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EC436" w14:textId="77777777" w:rsidR="006416B0" w:rsidRPr="00B4515A" w:rsidRDefault="005E58C1" w:rsidP="00EE238F">
      <w:pPr>
        <w:spacing w:line="360" w:lineRule="auto"/>
        <w:ind w:firstLine="420"/>
        <w:rPr>
          <w:rFonts w:ascii="Times New Roman" w:hAnsi="Times New Roman" w:cs="Times New Roman"/>
          <w:b/>
          <w:sz w:val="22"/>
        </w:rPr>
      </w:pPr>
      <w:r w:rsidRPr="00B4515A">
        <w:rPr>
          <w:rFonts w:ascii="Times New Roman" w:hAnsi="Times New Roman" w:cs="Times New Roman" w:hint="eastAsia"/>
          <w:b/>
          <w:sz w:val="22"/>
        </w:rPr>
        <w:t>股票代码：</w:t>
      </w:r>
      <w:r w:rsidRPr="00B4515A">
        <w:rPr>
          <w:rFonts w:ascii="Times New Roman" w:hAnsi="Times New Roman" w:cs="Times New Roman"/>
          <w:b/>
          <w:sz w:val="22"/>
        </w:rPr>
        <w:t xml:space="preserve">600198     </w:t>
      </w:r>
      <w:r w:rsidRPr="00B4515A">
        <w:rPr>
          <w:rFonts w:ascii="Times New Roman" w:hAnsi="Times New Roman" w:cs="Times New Roman" w:hint="eastAsia"/>
          <w:b/>
          <w:sz w:val="22"/>
        </w:rPr>
        <w:t>股票简称：</w:t>
      </w:r>
      <w:r w:rsidRPr="00B4515A">
        <w:rPr>
          <w:rFonts w:ascii="Times New Roman" w:hAnsi="Times New Roman" w:cs="Times New Roman"/>
          <w:b/>
          <w:sz w:val="22"/>
        </w:rPr>
        <w:t>*ST</w:t>
      </w:r>
      <w:r w:rsidRPr="00B4515A">
        <w:rPr>
          <w:rFonts w:ascii="Times New Roman" w:hAnsi="Times New Roman" w:cs="Times New Roman" w:hint="eastAsia"/>
          <w:b/>
          <w:sz w:val="22"/>
        </w:rPr>
        <w:t>大唐</w:t>
      </w:r>
      <w:r w:rsidRPr="00B4515A">
        <w:rPr>
          <w:rFonts w:ascii="Times New Roman" w:hAnsi="Times New Roman" w:cs="Times New Roman"/>
          <w:b/>
          <w:sz w:val="22"/>
        </w:rPr>
        <w:t xml:space="preserve">     </w:t>
      </w:r>
      <w:r w:rsidRPr="00B4515A">
        <w:rPr>
          <w:rFonts w:ascii="Times New Roman" w:hAnsi="Times New Roman" w:cs="Times New Roman" w:hint="eastAsia"/>
          <w:b/>
          <w:sz w:val="22"/>
        </w:rPr>
        <w:t>上市地点：上海证券交易所</w:t>
      </w:r>
    </w:p>
    <w:p w14:paraId="1D3A3C16" w14:textId="77777777" w:rsidR="006416B0" w:rsidRPr="00B4515A" w:rsidRDefault="006416B0" w:rsidP="00031627">
      <w:pPr>
        <w:spacing w:line="360" w:lineRule="auto"/>
        <w:ind w:firstLineChars="200" w:firstLine="643"/>
        <w:jc w:val="center"/>
        <w:rPr>
          <w:rFonts w:ascii="Times New Roman" w:hAnsi="Times New Roman" w:cs="Times New Roman"/>
          <w:b/>
          <w:sz w:val="32"/>
        </w:rPr>
      </w:pPr>
    </w:p>
    <w:p w14:paraId="5E1FE41E" w14:textId="77777777" w:rsidR="006416B0" w:rsidRPr="00B4515A" w:rsidRDefault="006416B0" w:rsidP="00031627">
      <w:pPr>
        <w:spacing w:line="360" w:lineRule="auto"/>
        <w:ind w:firstLineChars="200" w:firstLine="643"/>
        <w:jc w:val="center"/>
        <w:rPr>
          <w:rFonts w:ascii="Times New Roman" w:hAnsi="Times New Roman" w:cs="Times New Roman"/>
          <w:b/>
          <w:sz w:val="32"/>
        </w:rPr>
      </w:pPr>
    </w:p>
    <w:p w14:paraId="087F41B9" w14:textId="77777777" w:rsidR="006416B0" w:rsidRPr="00B4515A" w:rsidRDefault="005E58C1" w:rsidP="00031627">
      <w:pPr>
        <w:spacing w:line="360" w:lineRule="auto"/>
        <w:ind w:firstLineChars="200" w:firstLine="480"/>
        <w:jc w:val="center"/>
        <w:rPr>
          <w:rFonts w:ascii="Times New Roman" w:hAnsi="Times New Roman" w:cs="Times New Roman"/>
          <w:b/>
          <w:sz w:val="32"/>
        </w:rPr>
      </w:pPr>
      <w:r w:rsidRPr="00B4515A">
        <w:rPr>
          <w:rFonts w:ascii="Times New Roman" w:hAnsi="Times New Roman" w:cs="Times New Roman"/>
          <w:noProof/>
        </w:rPr>
        <w:drawing>
          <wp:inline distT="0" distB="0" distL="114300" distR="114300" wp14:anchorId="6B6A874D" wp14:editId="70D59133">
            <wp:extent cx="3748405" cy="373380"/>
            <wp:effectExtent l="0" t="0" r="444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rcRect l="26194" t="42581" r="26206" b="50307"/>
                    <a:stretch>
                      <a:fillRect/>
                    </a:stretch>
                  </pic:blipFill>
                  <pic:spPr>
                    <a:xfrm>
                      <a:off x="0" y="0"/>
                      <a:ext cx="3748405" cy="373380"/>
                    </a:xfrm>
                    <a:prstGeom prst="rect">
                      <a:avLst/>
                    </a:prstGeom>
                    <a:noFill/>
                    <a:ln>
                      <a:noFill/>
                    </a:ln>
                  </pic:spPr>
                </pic:pic>
              </a:graphicData>
            </a:graphic>
          </wp:inline>
        </w:drawing>
      </w:r>
    </w:p>
    <w:p w14:paraId="1508FC20" w14:textId="77777777" w:rsidR="006416B0" w:rsidRPr="00B4515A" w:rsidRDefault="006416B0" w:rsidP="00031627">
      <w:pPr>
        <w:spacing w:line="360" w:lineRule="auto"/>
        <w:ind w:firstLineChars="200" w:firstLine="643"/>
        <w:jc w:val="center"/>
        <w:rPr>
          <w:rFonts w:ascii="Times New Roman" w:hAnsi="Times New Roman" w:cs="Times New Roman"/>
          <w:b/>
          <w:sz w:val="32"/>
        </w:rPr>
      </w:pPr>
    </w:p>
    <w:p w14:paraId="14BD07A8" w14:textId="77777777" w:rsidR="006416B0" w:rsidRPr="00B4515A" w:rsidRDefault="005E58C1" w:rsidP="00031627">
      <w:pPr>
        <w:spacing w:line="360" w:lineRule="auto"/>
        <w:ind w:firstLineChars="200" w:firstLine="803"/>
        <w:jc w:val="center"/>
        <w:rPr>
          <w:rFonts w:ascii="Times New Roman" w:hAnsi="Times New Roman" w:cs="Times New Roman"/>
          <w:b/>
          <w:sz w:val="40"/>
        </w:rPr>
      </w:pPr>
      <w:bookmarkStart w:id="0" w:name="OLE_LINK11"/>
      <w:r w:rsidRPr="00B4515A">
        <w:rPr>
          <w:rFonts w:ascii="Times New Roman" w:hAnsi="Times New Roman" w:cs="Times New Roman" w:hint="eastAsia"/>
          <w:b/>
          <w:sz w:val="40"/>
        </w:rPr>
        <w:t>大唐电信科技</w:t>
      </w:r>
      <w:bookmarkEnd w:id="0"/>
      <w:r w:rsidRPr="00B4515A">
        <w:rPr>
          <w:rFonts w:ascii="Times New Roman" w:hAnsi="Times New Roman" w:cs="Times New Roman" w:hint="eastAsia"/>
          <w:b/>
          <w:sz w:val="40"/>
        </w:rPr>
        <w:t>股份有限公司</w:t>
      </w:r>
    </w:p>
    <w:p w14:paraId="32DB7C11" w14:textId="77777777" w:rsidR="006416B0" w:rsidRPr="00B4515A" w:rsidRDefault="005E58C1" w:rsidP="00031627">
      <w:pPr>
        <w:spacing w:line="360" w:lineRule="auto"/>
        <w:ind w:firstLineChars="200" w:firstLine="803"/>
        <w:jc w:val="center"/>
        <w:rPr>
          <w:rFonts w:ascii="Times New Roman" w:hAnsi="Times New Roman" w:cs="Times New Roman"/>
          <w:b/>
          <w:sz w:val="40"/>
        </w:rPr>
      </w:pPr>
      <w:r w:rsidRPr="00B4515A">
        <w:rPr>
          <w:rFonts w:ascii="Times New Roman" w:hAnsi="Times New Roman" w:cs="Times New Roman" w:hint="eastAsia"/>
          <w:b/>
          <w:sz w:val="40"/>
        </w:rPr>
        <w:t>发行股份购买资产并募集配套资金</w:t>
      </w:r>
    </w:p>
    <w:p w14:paraId="29336F52" w14:textId="77777777" w:rsidR="006416B0" w:rsidRPr="00B4515A" w:rsidRDefault="005E58C1" w:rsidP="00031627">
      <w:pPr>
        <w:spacing w:line="360" w:lineRule="auto"/>
        <w:ind w:firstLineChars="200" w:firstLine="803"/>
        <w:jc w:val="center"/>
        <w:rPr>
          <w:rFonts w:ascii="Times New Roman" w:hAnsi="Times New Roman" w:cs="Times New Roman"/>
          <w:b/>
          <w:sz w:val="40"/>
        </w:rPr>
      </w:pPr>
      <w:r w:rsidRPr="00B4515A">
        <w:rPr>
          <w:rFonts w:ascii="Times New Roman" w:hAnsi="Times New Roman" w:cs="Times New Roman" w:hint="eastAsia"/>
          <w:b/>
          <w:sz w:val="40"/>
        </w:rPr>
        <w:t>暨关联交易报告书（草案）</w:t>
      </w:r>
    </w:p>
    <w:p w14:paraId="354259C8" w14:textId="77777777" w:rsidR="006416B0" w:rsidRPr="00B4515A" w:rsidRDefault="006416B0" w:rsidP="00031627">
      <w:pPr>
        <w:spacing w:line="360" w:lineRule="auto"/>
        <w:ind w:firstLineChars="200" w:firstLine="643"/>
        <w:jc w:val="center"/>
        <w:rPr>
          <w:rFonts w:ascii="Times New Roman" w:hAnsi="Times New Roman" w:cs="Times New Roman"/>
          <w:b/>
          <w:sz w:val="32"/>
        </w:rPr>
      </w:pPr>
    </w:p>
    <w:p w14:paraId="4D7B21F3" w14:textId="77777777" w:rsidR="006416B0" w:rsidRPr="00B4515A" w:rsidRDefault="006416B0">
      <w:pPr>
        <w:autoSpaceDE w:val="0"/>
        <w:autoSpaceDN w:val="0"/>
        <w:adjustRightInd w:val="0"/>
        <w:rPr>
          <w:rFonts w:ascii="Times New Roman" w:hAnsi="Times New Roman" w:cs="Times New Roman"/>
          <w:color w:val="000000"/>
        </w:rPr>
      </w:pPr>
    </w:p>
    <w:tbl>
      <w:tblPr>
        <w:tblW w:w="8613"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A0" w:firstRow="1" w:lastRow="0" w:firstColumn="1" w:lastColumn="0" w:noHBand="0" w:noVBand="1"/>
      </w:tblPr>
      <w:tblGrid>
        <w:gridCol w:w="1678"/>
        <w:gridCol w:w="6935"/>
      </w:tblGrid>
      <w:tr w:rsidR="006416B0" w:rsidRPr="00B4515A" w14:paraId="1E0E0A14" w14:textId="77777777">
        <w:trPr>
          <w:trHeight w:val="105"/>
          <w:jc w:val="center"/>
        </w:trPr>
        <w:tc>
          <w:tcPr>
            <w:tcW w:w="1678" w:type="dxa"/>
            <w:vAlign w:val="center"/>
          </w:tcPr>
          <w:p w14:paraId="07D24E62" w14:textId="77777777" w:rsidR="006416B0" w:rsidRPr="00B4515A" w:rsidRDefault="005E58C1">
            <w:pPr>
              <w:autoSpaceDE w:val="0"/>
              <w:autoSpaceDN w:val="0"/>
              <w:adjustRightInd w:val="0"/>
              <w:jc w:val="center"/>
              <w:rPr>
                <w:rFonts w:ascii="Times New Roman" w:hAnsi="Times New Roman" w:cs="Times New Roman"/>
                <w:b/>
                <w:color w:val="000000"/>
                <w:szCs w:val="21"/>
              </w:rPr>
            </w:pPr>
            <w:r w:rsidRPr="00B4515A">
              <w:rPr>
                <w:rFonts w:ascii="Times New Roman" w:hAnsi="Times New Roman" w:cs="Times New Roman" w:hint="eastAsia"/>
                <w:b/>
                <w:color w:val="000000"/>
                <w:szCs w:val="21"/>
              </w:rPr>
              <w:t>交易对方</w:t>
            </w:r>
          </w:p>
        </w:tc>
        <w:tc>
          <w:tcPr>
            <w:tcW w:w="6935" w:type="dxa"/>
          </w:tcPr>
          <w:p w14:paraId="2A15B6AE" w14:textId="77777777" w:rsidR="006416B0" w:rsidRPr="00B4515A" w:rsidRDefault="005E58C1">
            <w:pPr>
              <w:autoSpaceDE w:val="0"/>
              <w:autoSpaceDN w:val="0"/>
              <w:adjustRightInd w:val="0"/>
              <w:jc w:val="center"/>
              <w:rPr>
                <w:rFonts w:ascii="Times New Roman" w:hAnsi="Times New Roman" w:cs="Times New Roman"/>
                <w:b/>
                <w:color w:val="000000"/>
                <w:szCs w:val="21"/>
              </w:rPr>
            </w:pPr>
            <w:r w:rsidRPr="00B4515A">
              <w:rPr>
                <w:rFonts w:ascii="Times New Roman" w:hAnsi="Times New Roman" w:cs="Times New Roman" w:hint="eastAsia"/>
                <w:b/>
                <w:color w:val="000000"/>
                <w:szCs w:val="21"/>
              </w:rPr>
              <w:t>交易对方名称</w:t>
            </w:r>
          </w:p>
        </w:tc>
      </w:tr>
      <w:tr w:rsidR="006416B0" w:rsidRPr="00B4515A" w14:paraId="71EC8837" w14:textId="77777777">
        <w:trPr>
          <w:trHeight w:val="112"/>
          <w:jc w:val="center"/>
        </w:trPr>
        <w:tc>
          <w:tcPr>
            <w:tcW w:w="1678" w:type="dxa"/>
            <w:vMerge w:val="restart"/>
            <w:vAlign w:val="center"/>
          </w:tcPr>
          <w:p w14:paraId="1BA56514" w14:textId="77777777" w:rsidR="006416B0" w:rsidRPr="00B4515A" w:rsidRDefault="005E58C1">
            <w:pPr>
              <w:autoSpaceDE w:val="0"/>
              <w:autoSpaceDN w:val="0"/>
              <w:adjustRightInd w:val="0"/>
              <w:jc w:val="center"/>
              <w:rPr>
                <w:rFonts w:ascii="Times New Roman" w:hAnsi="Times New Roman" w:cs="Times New Roman"/>
                <w:color w:val="000000"/>
                <w:szCs w:val="21"/>
              </w:rPr>
            </w:pPr>
            <w:r w:rsidRPr="00B4515A">
              <w:rPr>
                <w:rFonts w:ascii="Times New Roman" w:hAnsi="Times New Roman" w:cs="Times New Roman" w:hint="eastAsia"/>
                <w:color w:val="000000"/>
                <w:szCs w:val="21"/>
              </w:rPr>
              <w:t>发行股份购买资产的交易对方</w:t>
            </w:r>
          </w:p>
        </w:tc>
        <w:tc>
          <w:tcPr>
            <w:tcW w:w="6935" w:type="dxa"/>
          </w:tcPr>
          <w:p w14:paraId="33237281" w14:textId="77777777" w:rsidR="006416B0" w:rsidRPr="00B4515A" w:rsidRDefault="005E58C1">
            <w:pPr>
              <w:autoSpaceDE w:val="0"/>
              <w:autoSpaceDN w:val="0"/>
              <w:adjustRightInd w:val="0"/>
              <w:jc w:val="center"/>
              <w:rPr>
                <w:rFonts w:ascii="Times New Roman" w:hAnsi="Times New Roman" w:cs="Times New Roman"/>
                <w:color w:val="000000"/>
                <w:szCs w:val="21"/>
              </w:rPr>
            </w:pPr>
            <w:r w:rsidRPr="00B4515A">
              <w:rPr>
                <w:rFonts w:hint="eastAsia"/>
              </w:rPr>
              <w:t>电信科学技术研究院有限公司</w:t>
            </w:r>
          </w:p>
        </w:tc>
      </w:tr>
      <w:tr w:rsidR="006416B0" w:rsidRPr="00B4515A" w14:paraId="5DE5AA3F" w14:textId="77777777">
        <w:trPr>
          <w:trHeight w:val="112"/>
          <w:jc w:val="center"/>
        </w:trPr>
        <w:tc>
          <w:tcPr>
            <w:tcW w:w="1678" w:type="dxa"/>
            <w:vMerge/>
            <w:vAlign w:val="center"/>
          </w:tcPr>
          <w:p w14:paraId="1A329F84" w14:textId="77777777" w:rsidR="006416B0" w:rsidRPr="00B4515A" w:rsidRDefault="006416B0">
            <w:pPr>
              <w:autoSpaceDE w:val="0"/>
              <w:autoSpaceDN w:val="0"/>
              <w:adjustRightInd w:val="0"/>
              <w:jc w:val="center"/>
              <w:rPr>
                <w:rFonts w:ascii="Times New Roman" w:hAnsi="Times New Roman" w:cs="Times New Roman"/>
                <w:color w:val="000000"/>
                <w:szCs w:val="21"/>
              </w:rPr>
            </w:pPr>
          </w:p>
        </w:tc>
        <w:tc>
          <w:tcPr>
            <w:tcW w:w="6935" w:type="dxa"/>
          </w:tcPr>
          <w:p w14:paraId="231E5668" w14:textId="77777777" w:rsidR="006416B0" w:rsidRPr="00B4515A" w:rsidRDefault="005E58C1">
            <w:pPr>
              <w:autoSpaceDE w:val="0"/>
              <w:autoSpaceDN w:val="0"/>
              <w:adjustRightInd w:val="0"/>
              <w:jc w:val="center"/>
              <w:rPr>
                <w:rFonts w:ascii="Times New Roman" w:hAnsi="Times New Roman" w:cs="Times New Roman"/>
                <w:color w:val="000000"/>
                <w:szCs w:val="21"/>
              </w:rPr>
            </w:pPr>
            <w:r w:rsidRPr="00B4515A">
              <w:rPr>
                <w:rFonts w:hint="eastAsia"/>
              </w:rPr>
              <w:t>大唐电信科技产业控股有限公司</w:t>
            </w:r>
          </w:p>
        </w:tc>
      </w:tr>
      <w:tr w:rsidR="006416B0" w:rsidRPr="00B4515A" w14:paraId="14F0BE96" w14:textId="77777777">
        <w:trPr>
          <w:trHeight w:val="112"/>
          <w:jc w:val="center"/>
        </w:trPr>
        <w:tc>
          <w:tcPr>
            <w:tcW w:w="1678" w:type="dxa"/>
            <w:vMerge/>
            <w:vAlign w:val="center"/>
          </w:tcPr>
          <w:p w14:paraId="4EC12441" w14:textId="77777777" w:rsidR="006416B0" w:rsidRPr="00B4515A" w:rsidRDefault="006416B0">
            <w:pPr>
              <w:autoSpaceDE w:val="0"/>
              <w:autoSpaceDN w:val="0"/>
              <w:adjustRightInd w:val="0"/>
              <w:jc w:val="center"/>
              <w:rPr>
                <w:rFonts w:ascii="Times New Roman" w:hAnsi="Times New Roman" w:cs="Times New Roman"/>
                <w:color w:val="000000"/>
                <w:szCs w:val="21"/>
              </w:rPr>
            </w:pPr>
          </w:p>
        </w:tc>
        <w:tc>
          <w:tcPr>
            <w:tcW w:w="6935" w:type="dxa"/>
          </w:tcPr>
          <w:p w14:paraId="6298A4A2" w14:textId="77777777" w:rsidR="006416B0" w:rsidRPr="00B4515A" w:rsidRDefault="005E58C1">
            <w:pPr>
              <w:autoSpaceDE w:val="0"/>
              <w:autoSpaceDN w:val="0"/>
              <w:adjustRightInd w:val="0"/>
              <w:jc w:val="center"/>
              <w:rPr>
                <w:rFonts w:ascii="Times New Roman" w:hAnsi="Times New Roman" w:cs="Times New Roman"/>
                <w:color w:val="000000"/>
                <w:szCs w:val="21"/>
              </w:rPr>
            </w:pPr>
            <w:r w:rsidRPr="00B4515A">
              <w:rPr>
                <w:rFonts w:hint="eastAsia"/>
              </w:rPr>
              <w:t>湖北长江中信科移动通信技术产业投资基金合伙企业（有限合伙）</w:t>
            </w:r>
          </w:p>
        </w:tc>
      </w:tr>
      <w:tr w:rsidR="006416B0" w:rsidRPr="00B4515A" w14:paraId="394765E6" w14:textId="77777777">
        <w:trPr>
          <w:trHeight w:val="112"/>
          <w:jc w:val="center"/>
        </w:trPr>
        <w:tc>
          <w:tcPr>
            <w:tcW w:w="1678" w:type="dxa"/>
            <w:vMerge/>
            <w:vAlign w:val="center"/>
          </w:tcPr>
          <w:p w14:paraId="72CC2AE6" w14:textId="77777777" w:rsidR="006416B0" w:rsidRPr="00B4515A" w:rsidRDefault="006416B0">
            <w:pPr>
              <w:autoSpaceDE w:val="0"/>
              <w:autoSpaceDN w:val="0"/>
              <w:adjustRightInd w:val="0"/>
              <w:jc w:val="center"/>
              <w:rPr>
                <w:rFonts w:ascii="Times New Roman" w:hAnsi="Times New Roman" w:cs="Times New Roman"/>
                <w:color w:val="000000"/>
                <w:szCs w:val="21"/>
              </w:rPr>
            </w:pPr>
          </w:p>
        </w:tc>
        <w:tc>
          <w:tcPr>
            <w:tcW w:w="6935" w:type="dxa"/>
          </w:tcPr>
          <w:p w14:paraId="1D96B26B" w14:textId="77777777" w:rsidR="006416B0" w:rsidRPr="00B4515A" w:rsidRDefault="005E58C1">
            <w:pPr>
              <w:autoSpaceDE w:val="0"/>
              <w:autoSpaceDN w:val="0"/>
              <w:adjustRightInd w:val="0"/>
              <w:jc w:val="center"/>
              <w:rPr>
                <w:rFonts w:ascii="Times New Roman" w:hAnsi="Times New Roman" w:cs="Times New Roman"/>
                <w:color w:val="000000"/>
                <w:szCs w:val="21"/>
              </w:rPr>
            </w:pPr>
            <w:r w:rsidRPr="00B4515A">
              <w:rPr>
                <w:rFonts w:hint="eastAsia"/>
              </w:rPr>
              <w:t>中国国有企业结构调整基金股份有限公司</w:t>
            </w:r>
          </w:p>
        </w:tc>
      </w:tr>
      <w:tr w:rsidR="006416B0" w:rsidRPr="00B4515A" w14:paraId="3018E220" w14:textId="77777777">
        <w:trPr>
          <w:trHeight w:val="112"/>
          <w:jc w:val="center"/>
        </w:trPr>
        <w:tc>
          <w:tcPr>
            <w:tcW w:w="1678" w:type="dxa"/>
            <w:vMerge/>
            <w:vAlign w:val="center"/>
          </w:tcPr>
          <w:p w14:paraId="031CF6C9" w14:textId="77777777" w:rsidR="006416B0" w:rsidRPr="00B4515A" w:rsidRDefault="006416B0">
            <w:pPr>
              <w:autoSpaceDE w:val="0"/>
              <w:autoSpaceDN w:val="0"/>
              <w:adjustRightInd w:val="0"/>
              <w:jc w:val="center"/>
              <w:rPr>
                <w:rFonts w:ascii="Times New Roman" w:hAnsi="Times New Roman" w:cs="Times New Roman"/>
                <w:color w:val="000000"/>
                <w:szCs w:val="21"/>
              </w:rPr>
            </w:pPr>
          </w:p>
        </w:tc>
        <w:tc>
          <w:tcPr>
            <w:tcW w:w="6935" w:type="dxa"/>
          </w:tcPr>
          <w:p w14:paraId="0934226A" w14:textId="77777777" w:rsidR="006416B0" w:rsidRPr="00B4515A" w:rsidRDefault="005E58C1">
            <w:pPr>
              <w:autoSpaceDE w:val="0"/>
              <w:autoSpaceDN w:val="0"/>
              <w:adjustRightInd w:val="0"/>
              <w:jc w:val="center"/>
              <w:rPr>
                <w:rFonts w:ascii="Times New Roman" w:hAnsi="Times New Roman" w:cs="Times New Roman"/>
                <w:color w:val="000000"/>
                <w:szCs w:val="21"/>
              </w:rPr>
            </w:pPr>
            <w:r w:rsidRPr="00B4515A">
              <w:rPr>
                <w:rFonts w:hint="eastAsia"/>
              </w:rPr>
              <w:t>北京金融街资本运营中心</w:t>
            </w:r>
          </w:p>
        </w:tc>
      </w:tr>
      <w:tr w:rsidR="006416B0" w:rsidRPr="00B4515A" w14:paraId="2D5D6128" w14:textId="77777777">
        <w:trPr>
          <w:trHeight w:val="112"/>
          <w:jc w:val="center"/>
        </w:trPr>
        <w:tc>
          <w:tcPr>
            <w:tcW w:w="1678" w:type="dxa"/>
            <w:vAlign w:val="center"/>
          </w:tcPr>
          <w:p w14:paraId="45A7B723" w14:textId="77777777" w:rsidR="006416B0" w:rsidRPr="00B4515A" w:rsidRDefault="005E58C1">
            <w:pPr>
              <w:autoSpaceDE w:val="0"/>
              <w:autoSpaceDN w:val="0"/>
              <w:adjustRightInd w:val="0"/>
              <w:jc w:val="center"/>
              <w:rPr>
                <w:rFonts w:ascii="Times New Roman" w:hAnsi="Times New Roman" w:cs="Times New Roman"/>
                <w:color w:val="000000"/>
                <w:szCs w:val="21"/>
              </w:rPr>
            </w:pPr>
            <w:r w:rsidRPr="00B4515A">
              <w:rPr>
                <w:rFonts w:ascii="Times New Roman" w:hAnsi="Times New Roman" w:cs="Times New Roman" w:hint="eastAsia"/>
                <w:color w:val="000000"/>
                <w:szCs w:val="21"/>
              </w:rPr>
              <w:t>募集配套资金认购方</w:t>
            </w:r>
          </w:p>
        </w:tc>
        <w:tc>
          <w:tcPr>
            <w:tcW w:w="6935" w:type="dxa"/>
            <w:vAlign w:val="center"/>
          </w:tcPr>
          <w:p w14:paraId="4E299C48" w14:textId="77777777" w:rsidR="006416B0" w:rsidRPr="00B4515A" w:rsidRDefault="005E58C1">
            <w:pPr>
              <w:autoSpaceDE w:val="0"/>
              <w:autoSpaceDN w:val="0"/>
              <w:adjustRightInd w:val="0"/>
              <w:jc w:val="center"/>
              <w:rPr>
                <w:rFonts w:ascii="Times New Roman" w:hAnsi="Times New Roman" w:cs="Times New Roman"/>
                <w:color w:val="000000"/>
                <w:szCs w:val="21"/>
              </w:rPr>
            </w:pPr>
            <w:r w:rsidRPr="00B4515A">
              <w:rPr>
                <w:rFonts w:ascii="Times New Roman" w:hAnsi="Times New Roman" w:cs="Times New Roman" w:hint="eastAsia"/>
                <w:color w:val="000000"/>
                <w:szCs w:val="21"/>
              </w:rPr>
              <w:t>中国信息通信科技集团有限公司</w:t>
            </w:r>
          </w:p>
        </w:tc>
      </w:tr>
    </w:tbl>
    <w:p w14:paraId="7264FDB1" w14:textId="77777777" w:rsidR="006416B0" w:rsidRPr="00B4515A" w:rsidRDefault="006416B0" w:rsidP="00031627">
      <w:pPr>
        <w:spacing w:line="360" w:lineRule="auto"/>
        <w:ind w:firstLineChars="200" w:firstLine="562"/>
        <w:jc w:val="center"/>
        <w:rPr>
          <w:rFonts w:ascii="Times New Roman" w:hAnsi="Times New Roman" w:cs="Times New Roman"/>
          <w:b/>
          <w:sz w:val="28"/>
        </w:rPr>
      </w:pPr>
    </w:p>
    <w:p w14:paraId="2765580D" w14:textId="77777777" w:rsidR="006416B0" w:rsidRPr="00B4515A" w:rsidRDefault="005E58C1">
      <w:pPr>
        <w:spacing w:line="360" w:lineRule="auto"/>
        <w:jc w:val="center"/>
        <w:rPr>
          <w:rFonts w:ascii="Times New Roman" w:hAnsi="Times New Roman" w:cs="Times New Roman"/>
          <w:b/>
          <w:sz w:val="28"/>
        </w:rPr>
      </w:pPr>
      <w:r w:rsidRPr="00B4515A">
        <w:rPr>
          <w:rFonts w:ascii="Times New Roman" w:hAnsi="Times New Roman" w:cs="Times New Roman" w:hint="eastAsia"/>
          <w:b/>
          <w:sz w:val="44"/>
        </w:rPr>
        <w:t>独立财务顾问：</w:t>
      </w:r>
      <w:r w:rsidRPr="00B4515A">
        <w:rPr>
          <w:rFonts w:ascii="Times New Roman" w:hAnsi="Times New Roman" w:cs="Times New Roman"/>
          <w:b/>
          <w:noProof/>
          <w:sz w:val="28"/>
        </w:rPr>
        <w:drawing>
          <wp:inline distT="0" distB="0" distL="0" distR="0" wp14:anchorId="4C305806" wp14:editId="75ADB9D0">
            <wp:extent cx="2156460" cy="288925"/>
            <wp:effectExtent l="1905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6562" cy="288972"/>
                    </a:xfrm>
                    <a:prstGeom prst="rect">
                      <a:avLst/>
                    </a:prstGeom>
                    <a:noFill/>
                    <a:ln w="9525">
                      <a:noFill/>
                      <a:miter lim="800000"/>
                      <a:headEnd/>
                      <a:tailEnd/>
                    </a:ln>
                  </pic:spPr>
                </pic:pic>
              </a:graphicData>
            </a:graphic>
          </wp:inline>
        </w:drawing>
      </w:r>
    </w:p>
    <w:p w14:paraId="75EFC229" w14:textId="77777777" w:rsidR="006416B0" w:rsidRPr="00B4515A" w:rsidRDefault="005E58C1">
      <w:pPr>
        <w:spacing w:line="360" w:lineRule="auto"/>
        <w:jc w:val="center"/>
        <w:rPr>
          <w:rFonts w:ascii="Times New Roman" w:hAnsi="Times New Roman" w:cs="Times New Roman"/>
          <w:b/>
          <w:sz w:val="28"/>
        </w:rPr>
      </w:pPr>
      <w:r w:rsidRPr="00B4515A">
        <w:rPr>
          <w:rFonts w:ascii="Times New Roman" w:hAnsi="Times New Roman" w:cs="Times New Roman" w:hint="eastAsia"/>
          <w:b/>
          <w:sz w:val="28"/>
        </w:rPr>
        <w:t>（上海市浦东新区银城中路</w:t>
      </w:r>
      <w:r w:rsidRPr="00B4515A">
        <w:rPr>
          <w:rFonts w:ascii="Times New Roman" w:hAnsi="Times New Roman" w:cs="Times New Roman"/>
          <w:b/>
          <w:sz w:val="28"/>
        </w:rPr>
        <w:t>200</w:t>
      </w:r>
      <w:r w:rsidRPr="00B4515A">
        <w:rPr>
          <w:rFonts w:ascii="Times New Roman" w:hAnsi="Times New Roman" w:cs="Times New Roman" w:hint="eastAsia"/>
          <w:b/>
          <w:sz w:val="28"/>
        </w:rPr>
        <w:t>号中银大厦</w:t>
      </w:r>
      <w:r w:rsidRPr="00B4515A">
        <w:rPr>
          <w:rFonts w:ascii="Times New Roman" w:hAnsi="Times New Roman" w:cs="Times New Roman"/>
          <w:b/>
          <w:sz w:val="28"/>
        </w:rPr>
        <w:t>39</w:t>
      </w:r>
      <w:r w:rsidRPr="00B4515A">
        <w:rPr>
          <w:rFonts w:ascii="Times New Roman" w:hAnsi="Times New Roman" w:cs="Times New Roman" w:hint="eastAsia"/>
          <w:b/>
          <w:sz w:val="28"/>
        </w:rPr>
        <w:t>层）</w:t>
      </w:r>
    </w:p>
    <w:p w14:paraId="09F89E20" w14:textId="605C9003" w:rsidR="006416B0" w:rsidRPr="00B4515A" w:rsidRDefault="005E58C1">
      <w:pPr>
        <w:spacing w:line="360" w:lineRule="auto"/>
        <w:jc w:val="center"/>
        <w:rPr>
          <w:rFonts w:ascii="Times New Roman" w:hAnsi="Times New Roman" w:cs="Times New Roman"/>
          <w:b/>
          <w:sz w:val="28"/>
        </w:rPr>
        <w:sectPr w:rsidR="006416B0" w:rsidRPr="00B4515A" w:rsidSect="00031627">
          <w:headerReference w:type="default" r:id="rId12"/>
          <w:pgSz w:w="11906" w:h="16838"/>
          <w:pgMar w:top="1440" w:right="1797" w:bottom="1440" w:left="1797" w:header="851" w:footer="992" w:gutter="0"/>
          <w:cols w:space="425"/>
          <w:docGrid w:type="lines" w:linePitch="357" w:charSpace="4278"/>
        </w:sectPr>
      </w:pPr>
      <w:r w:rsidRPr="00B4515A">
        <w:rPr>
          <w:rFonts w:ascii="Times New Roman" w:hAnsi="Times New Roman" w:cs="Times New Roman" w:hint="eastAsia"/>
          <w:b/>
          <w:sz w:val="28"/>
        </w:rPr>
        <w:t>签署日期：二零二一年</w:t>
      </w:r>
      <w:r w:rsidR="00A17883" w:rsidRPr="00B4515A">
        <w:rPr>
          <w:rFonts w:ascii="Times New Roman" w:hAnsi="Times New Roman" w:cs="Times New Roman" w:hint="eastAsia"/>
          <w:b/>
          <w:sz w:val="28"/>
        </w:rPr>
        <w:t>八</w:t>
      </w:r>
      <w:r w:rsidRPr="00B4515A">
        <w:rPr>
          <w:rFonts w:ascii="Times New Roman" w:hAnsi="Times New Roman" w:cs="Times New Roman" w:hint="eastAsia"/>
          <w:b/>
          <w:sz w:val="28"/>
        </w:rPr>
        <w:t>月</w:t>
      </w:r>
    </w:p>
    <w:p w14:paraId="21D6F596" w14:textId="77777777" w:rsidR="006416B0" w:rsidRPr="00B4515A" w:rsidRDefault="005E58C1" w:rsidP="002B0582">
      <w:pPr>
        <w:pStyle w:val="001"/>
        <w:spacing w:before="360" w:after="360"/>
      </w:pPr>
      <w:bookmarkStart w:id="1" w:name="_Toc80960477"/>
      <w:r w:rsidRPr="00B4515A">
        <w:rPr>
          <w:rFonts w:hint="eastAsia"/>
        </w:rPr>
        <w:lastRenderedPageBreak/>
        <w:t>上市公司声明</w:t>
      </w:r>
      <w:bookmarkEnd w:id="1"/>
    </w:p>
    <w:p w14:paraId="4E984BAA" w14:textId="77777777" w:rsidR="006416B0" w:rsidRPr="00B4515A" w:rsidRDefault="005E58C1" w:rsidP="00031627">
      <w:pPr>
        <w:pStyle w:val="005"/>
        <w:spacing w:before="120" w:after="120"/>
        <w:ind w:firstLine="480"/>
      </w:pPr>
      <w:r w:rsidRPr="00B4515A">
        <w:rPr>
          <w:rFonts w:hint="eastAsia"/>
        </w:rPr>
        <w:t>本公司及全体董事、监事、高级管理人员保证本报告书及其摘要内容的真实、准确、完整，不存在虚假记载、误导性陈述或重大遗漏，</w:t>
      </w:r>
      <w:r w:rsidRPr="00B4515A">
        <w:rPr>
          <w:rFonts w:hint="eastAsia"/>
          <w:szCs w:val="21"/>
        </w:rPr>
        <w:t>并对本次交易报告书及其摘要内容的真实性、准确性和完整性承担个别和连带的法律责任</w:t>
      </w:r>
      <w:r w:rsidRPr="00B4515A">
        <w:rPr>
          <w:rFonts w:hint="eastAsia"/>
        </w:rPr>
        <w:t>。</w:t>
      </w:r>
    </w:p>
    <w:p w14:paraId="439BA03C" w14:textId="77777777" w:rsidR="006416B0" w:rsidRPr="00B4515A" w:rsidRDefault="005E58C1" w:rsidP="005860B4">
      <w:pPr>
        <w:pStyle w:val="005"/>
        <w:spacing w:before="120" w:after="120"/>
        <w:ind w:firstLine="480"/>
      </w:pPr>
      <w:r w:rsidRPr="00B4515A">
        <w:rPr>
          <w:rFonts w:hint="eastAsia"/>
        </w:rPr>
        <w:t>本公司负责人、主管会计工作的负责人和会计机构负责人保证本报告书及其摘要中财务会计资料的真实、准确、完整。</w:t>
      </w:r>
    </w:p>
    <w:p w14:paraId="445EF1B7" w14:textId="77777777" w:rsidR="006416B0" w:rsidRPr="00B4515A" w:rsidRDefault="005E58C1" w:rsidP="00031627">
      <w:pPr>
        <w:pStyle w:val="005"/>
        <w:spacing w:before="120" w:after="120"/>
        <w:ind w:firstLine="480"/>
      </w:pPr>
      <w:r w:rsidRPr="00B4515A">
        <w:rPr>
          <w:rFonts w:hint="eastAsia"/>
        </w:rPr>
        <w:t>本报告书所述事项并不代表中国证监会、上海证券交易所对于本次重大资产重组相关事项的实质性判断、确认或批准。本报告书所述本次重大资产重组相关事项的生效和完成尚需取得有关审批机关的批准或核准。</w:t>
      </w:r>
    </w:p>
    <w:p w14:paraId="096BE41B" w14:textId="77777777" w:rsidR="006416B0" w:rsidRPr="00B4515A" w:rsidRDefault="005E58C1" w:rsidP="00031627">
      <w:pPr>
        <w:pStyle w:val="005"/>
        <w:spacing w:before="120" w:after="120"/>
        <w:ind w:firstLine="480"/>
      </w:pPr>
      <w:r w:rsidRPr="00B4515A">
        <w:rPr>
          <w:rFonts w:hint="eastAsia"/>
        </w:rPr>
        <w:t>根据《证券法》等相关法律、法规的规定，本次交易完成后，本公司经营与收益的变化，由本公司自行负责；由此变化引致的投资风险，由投资者自行负责。</w:t>
      </w:r>
    </w:p>
    <w:p w14:paraId="2A941CEF" w14:textId="77777777" w:rsidR="00031627" w:rsidRPr="00B4515A" w:rsidRDefault="005E58C1" w:rsidP="00031627">
      <w:pPr>
        <w:pStyle w:val="005"/>
        <w:spacing w:before="120" w:after="120"/>
        <w:ind w:firstLine="480"/>
      </w:pPr>
      <w:r w:rsidRPr="00B4515A">
        <w:rPr>
          <w:rFonts w:hint="eastAsia"/>
        </w:rPr>
        <w:t>投资者若对本报告书及其摘要存在任何疑问，应咨询自己的股票经纪人、律师、会计师或其他专业顾问。</w:t>
      </w:r>
    </w:p>
    <w:p w14:paraId="0B1AA57F" w14:textId="0F26BF5D" w:rsidR="006416B0" w:rsidRPr="00B4515A" w:rsidRDefault="005E58C1" w:rsidP="00031627">
      <w:pPr>
        <w:pStyle w:val="005"/>
        <w:spacing w:before="120" w:after="120"/>
        <w:ind w:firstLine="480"/>
      </w:pPr>
      <w:r w:rsidRPr="00B4515A">
        <w:br w:type="page"/>
      </w:r>
    </w:p>
    <w:p w14:paraId="184BA9C5" w14:textId="77777777" w:rsidR="006416B0" w:rsidRPr="00B4515A" w:rsidRDefault="005E58C1" w:rsidP="002B0582">
      <w:pPr>
        <w:pStyle w:val="001"/>
        <w:spacing w:before="360" w:after="360"/>
      </w:pPr>
      <w:bookmarkStart w:id="2" w:name="_Toc80960478"/>
      <w:r w:rsidRPr="00B4515A">
        <w:rPr>
          <w:rFonts w:hint="eastAsia"/>
        </w:rPr>
        <w:lastRenderedPageBreak/>
        <w:t>交易对方声明</w:t>
      </w:r>
      <w:bookmarkEnd w:id="2"/>
    </w:p>
    <w:p w14:paraId="29BC99A0" w14:textId="77777777" w:rsidR="006416B0" w:rsidRPr="00B4515A" w:rsidRDefault="005E58C1" w:rsidP="00031627">
      <w:pPr>
        <w:pStyle w:val="005"/>
        <w:spacing w:before="120" w:after="120"/>
        <w:ind w:firstLine="480"/>
      </w:pPr>
      <w:r w:rsidRPr="00B4515A">
        <w:rPr>
          <w:rFonts w:hint="eastAsia"/>
        </w:rPr>
        <w:t>本次重大资产重组的交易对方已出具承诺函，将及时向上市公司提供本次重组相关信息，并保证所提供的信息真实、准确、完整，如因提供的信息存在虚假记载、误导性陈述或者重大遗漏，给上市公司或者投资者造成损失的，将依法承担个别和连带的法律责任。</w:t>
      </w:r>
    </w:p>
    <w:p w14:paraId="435E454C" w14:textId="77777777" w:rsidR="006416B0" w:rsidRPr="00B4515A" w:rsidRDefault="005E58C1">
      <w:pPr>
        <w:rPr>
          <w:rFonts w:ascii="Times New Roman" w:hAnsi="Times New Roman" w:cs="Times New Roman"/>
          <w:b/>
        </w:rPr>
      </w:pPr>
      <w:r w:rsidRPr="00B4515A">
        <w:rPr>
          <w:rFonts w:ascii="Times New Roman" w:hAnsi="Times New Roman" w:cs="Times New Roman"/>
          <w:b/>
        </w:rPr>
        <w:br w:type="page"/>
      </w:r>
    </w:p>
    <w:p w14:paraId="12955AF7" w14:textId="77777777" w:rsidR="006416B0" w:rsidRPr="00B4515A" w:rsidRDefault="005E58C1" w:rsidP="005F38A1">
      <w:pPr>
        <w:pStyle w:val="1"/>
        <w:spacing w:beforeLines="50" w:before="120" w:afterLines="50" w:after="120" w:line="360" w:lineRule="auto"/>
        <w:rPr>
          <w:rFonts w:ascii="Times New Roman" w:hAnsi="Times New Roman" w:cs="Times New Roman"/>
          <w:sz w:val="32"/>
          <w:szCs w:val="32"/>
        </w:rPr>
      </w:pPr>
      <w:bookmarkStart w:id="3" w:name="_Toc80960479"/>
      <w:r w:rsidRPr="00B4515A">
        <w:rPr>
          <w:rFonts w:ascii="Times New Roman" w:hAnsi="Times New Roman" w:cs="Times New Roman" w:hint="eastAsia"/>
          <w:sz w:val="32"/>
          <w:szCs w:val="32"/>
        </w:rPr>
        <w:lastRenderedPageBreak/>
        <w:t>相关证券服务机构声明</w:t>
      </w:r>
      <w:bookmarkEnd w:id="3"/>
    </w:p>
    <w:p w14:paraId="06CF6DDB" w14:textId="77777777" w:rsidR="006416B0" w:rsidRPr="00B4515A" w:rsidRDefault="005E58C1" w:rsidP="005F38A1">
      <w:pPr>
        <w:spacing w:line="360" w:lineRule="auto"/>
        <w:ind w:firstLineChars="200" w:firstLine="480"/>
        <w:rPr>
          <w:rFonts w:ascii="Times New Roman" w:hAnsi="Times New Roman" w:cs="Times New Roman"/>
        </w:rPr>
      </w:pPr>
      <w:r w:rsidRPr="00B4515A">
        <w:rPr>
          <w:rFonts w:ascii="Times New Roman" w:hAnsi="Times New Roman" w:cs="Times New Roman" w:hint="eastAsia"/>
        </w:rPr>
        <w:t>本次交易的证券服务机构承诺本次交易申请文件不存在虚假记载、误导性陈述或重大遗漏，并对其真实性、准确性和完整性承担相应的法律责任。</w:t>
      </w:r>
      <w:r w:rsidRPr="00B4515A">
        <w:rPr>
          <w:rFonts w:ascii="Times New Roman" w:hAnsi="Times New Roman" w:cs="Times New Roman"/>
        </w:rPr>
        <w:t>如披露文件存在虚假记载、误导性陈述或重大遗漏，且证券服务机构未能勤勉尽责，证券服务机构将承担连带赔偿责任。</w:t>
      </w:r>
    </w:p>
    <w:p w14:paraId="5EB61FE8" w14:textId="77777777" w:rsidR="006416B0" w:rsidRPr="00B4515A" w:rsidRDefault="005E58C1">
      <w:pPr>
        <w:rPr>
          <w:rFonts w:ascii="Times New Roman" w:hAnsi="Times New Roman" w:cs="Times New Roman"/>
        </w:rPr>
      </w:pPr>
      <w:r w:rsidRPr="00B4515A">
        <w:rPr>
          <w:rFonts w:ascii="Times New Roman" w:hAnsi="Times New Roman" w:cs="Times New Roman"/>
        </w:rPr>
        <w:br w:type="page"/>
      </w:r>
    </w:p>
    <w:p w14:paraId="0BF2EDB6" w14:textId="261F2A07" w:rsidR="006416B0" w:rsidRPr="00B4515A" w:rsidRDefault="005E58C1" w:rsidP="002B0582">
      <w:pPr>
        <w:pStyle w:val="001"/>
        <w:spacing w:before="360" w:after="360"/>
      </w:pPr>
      <w:bookmarkStart w:id="4" w:name="_Toc80960480"/>
      <w:bookmarkStart w:id="5" w:name="_Hlk530005198"/>
      <w:r w:rsidRPr="00B4515A">
        <w:rPr>
          <w:rFonts w:hint="eastAsia"/>
        </w:rPr>
        <w:lastRenderedPageBreak/>
        <w:t>目</w:t>
      </w:r>
      <w:r w:rsidR="005860B4" w:rsidRPr="00B4515A">
        <w:rPr>
          <w:rFonts w:hint="eastAsia"/>
        </w:rPr>
        <w:t xml:space="preserve"> </w:t>
      </w:r>
      <w:r w:rsidRPr="00B4515A">
        <w:rPr>
          <w:rFonts w:hint="eastAsia"/>
        </w:rPr>
        <w:t xml:space="preserve"> </w:t>
      </w:r>
      <w:r w:rsidRPr="00B4515A">
        <w:rPr>
          <w:rFonts w:hint="eastAsia"/>
        </w:rPr>
        <w:t>录</w:t>
      </w:r>
      <w:bookmarkEnd w:id="4"/>
    </w:p>
    <w:p w14:paraId="34D73225" w14:textId="77777777" w:rsidR="00C20F1D" w:rsidRPr="00B4515A" w:rsidRDefault="003319C0">
      <w:pPr>
        <w:pStyle w:val="10"/>
        <w:rPr>
          <w:rFonts w:asciiTheme="minorHAnsi" w:eastAsiaTheme="minorEastAsia" w:hAnsiTheme="minorHAnsi" w:cstheme="minorBidi"/>
          <w:b w:val="0"/>
          <w:noProof/>
          <w:kern w:val="2"/>
          <w:sz w:val="21"/>
          <w:szCs w:val="22"/>
        </w:rPr>
      </w:pPr>
      <w:r w:rsidRPr="00B4515A">
        <w:rPr>
          <w:rFonts w:cs="Times New Roman"/>
        </w:rPr>
        <w:fldChar w:fldCharType="begin"/>
      </w:r>
      <w:r w:rsidRPr="00B4515A">
        <w:rPr>
          <w:rFonts w:cs="Times New Roman"/>
        </w:rPr>
        <w:instrText xml:space="preserve"> TOC \o "1-2" \h \z \u </w:instrText>
      </w:r>
      <w:r w:rsidRPr="00B4515A">
        <w:rPr>
          <w:rFonts w:cs="Times New Roman"/>
        </w:rPr>
        <w:fldChar w:fldCharType="separate"/>
      </w:r>
      <w:hyperlink w:anchor="_Toc80960477" w:history="1">
        <w:r w:rsidR="00C20F1D" w:rsidRPr="00B4515A">
          <w:rPr>
            <w:rStyle w:val="aff"/>
            <w:rFonts w:hint="eastAsia"/>
            <w:noProof/>
          </w:rPr>
          <w:t>上市公司声明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_Toc80960477 \h </w:instrText>
        </w:r>
        <w:r w:rsidR="00C20F1D" w:rsidRPr="00B4515A">
          <w:rPr>
            <w:noProof/>
            <w:webHidden/>
          </w:rPr>
        </w:r>
        <w:r w:rsidR="00C20F1D" w:rsidRPr="00B4515A">
          <w:rPr>
            <w:noProof/>
            <w:webHidden/>
          </w:rPr>
          <w:fldChar w:fldCharType="separate"/>
        </w:r>
        <w:r w:rsidR="00C20F1D" w:rsidRPr="00B4515A">
          <w:rPr>
            <w:noProof/>
            <w:webHidden/>
          </w:rPr>
          <w:t>1</w:t>
        </w:r>
        <w:r w:rsidR="00C20F1D" w:rsidRPr="00B4515A">
          <w:rPr>
            <w:noProof/>
            <w:webHidden/>
          </w:rPr>
          <w:fldChar w:fldCharType="end"/>
        </w:r>
      </w:hyperlink>
    </w:p>
    <w:p w14:paraId="3EAB83D1"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478" w:history="1">
        <w:r w:rsidR="00C20F1D" w:rsidRPr="00B4515A">
          <w:rPr>
            <w:rStyle w:val="aff"/>
            <w:rFonts w:hint="eastAsia"/>
            <w:noProof/>
          </w:rPr>
          <w:t>交易对方声明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_Toc80960478 \h </w:instrText>
        </w:r>
        <w:r w:rsidR="00C20F1D" w:rsidRPr="00B4515A">
          <w:rPr>
            <w:noProof/>
            <w:webHidden/>
          </w:rPr>
        </w:r>
        <w:r w:rsidR="00C20F1D" w:rsidRPr="00B4515A">
          <w:rPr>
            <w:noProof/>
            <w:webHidden/>
          </w:rPr>
          <w:fldChar w:fldCharType="separate"/>
        </w:r>
        <w:r w:rsidR="00C20F1D" w:rsidRPr="00B4515A">
          <w:rPr>
            <w:noProof/>
            <w:webHidden/>
          </w:rPr>
          <w:t>2</w:t>
        </w:r>
        <w:r w:rsidR="00C20F1D" w:rsidRPr="00B4515A">
          <w:rPr>
            <w:noProof/>
            <w:webHidden/>
          </w:rPr>
          <w:fldChar w:fldCharType="end"/>
        </w:r>
      </w:hyperlink>
    </w:p>
    <w:p w14:paraId="54ECC29D"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479" w:history="1">
        <w:r w:rsidR="00C20F1D" w:rsidRPr="00B4515A">
          <w:rPr>
            <w:rStyle w:val="aff"/>
            <w:rFonts w:cs="Times New Roman" w:hint="eastAsia"/>
            <w:noProof/>
          </w:rPr>
          <w:t>相关证券服务机构声明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_Toc80960479 \h </w:instrText>
        </w:r>
        <w:r w:rsidR="00C20F1D" w:rsidRPr="00B4515A">
          <w:rPr>
            <w:noProof/>
            <w:webHidden/>
          </w:rPr>
        </w:r>
        <w:r w:rsidR="00C20F1D" w:rsidRPr="00B4515A">
          <w:rPr>
            <w:noProof/>
            <w:webHidden/>
          </w:rPr>
          <w:fldChar w:fldCharType="separate"/>
        </w:r>
        <w:r w:rsidR="00C20F1D" w:rsidRPr="00B4515A">
          <w:rPr>
            <w:noProof/>
            <w:webHidden/>
          </w:rPr>
          <w:t>3</w:t>
        </w:r>
        <w:r w:rsidR="00C20F1D" w:rsidRPr="00B4515A">
          <w:rPr>
            <w:noProof/>
            <w:webHidden/>
          </w:rPr>
          <w:fldChar w:fldCharType="end"/>
        </w:r>
      </w:hyperlink>
    </w:p>
    <w:p w14:paraId="19F2EB23"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480" w:history="1">
        <w:r w:rsidR="00C20F1D" w:rsidRPr="00B4515A">
          <w:rPr>
            <w:rStyle w:val="aff"/>
            <w:rFonts w:hint="eastAsia"/>
            <w:noProof/>
          </w:rPr>
          <w:t>目</w:t>
        </w:r>
        <w:r w:rsidR="00C20F1D" w:rsidRPr="00B4515A">
          <w:rPr>
            <w:rStyle w:val="aff"/>
            <w:noProof/>
          </w:rPr>
          <w:t xml:space="preserve">  </w:t>
        </w:r>
        <w:r w:rsidR="00C20F1D" w:rsidRPr="00B4515A">
          <w:rPr>
            <w:rStyle w:val="aff"/>
            <w:rFonts w:hint="eastAsia"/>
            <w:noProof/>
          </w:rPr>
          <w:t>录</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_Toc80960480 \h </w:instrText>
        </w:r>
        <w:r w:rsidR="00C20F1D" w:rsidRPr="00B4515A">
          <w:rPr>
            <w:noProof/>
            <w:webHidden/>
          </w:rPr>
        </w:r>
        <w:r w:rsidR="00C20F1D" w:rsidRPr="00B4515A">
          <w:rPr>
            <w:noProof/>
            <w:webHidden/>
          </w:rPr>
          <w:fldChar w:fldCharType="separate"/>
        </w:r>
        <w:r w:rsidR="00C20F1D" w:rsidRPr="00B4515A">
          <w:rPr>
            <w:noProof/>
            <w:webHidden/>
          </w:rPr>
          <w:t>4</w:t>
        </w:r>
        <w:r w:rsidR="00C20F1D" w:rsidRPr="00B4515A">
          <w:rPr>
            <w:noProof/>
            <w:webHidden/>
          </w:rPr>
          <w:fldChar w:fldCharType="end"/>
        </w:r>
      </w:hyperlink>
    </w:p>
    <w:p w14:paraId="173358FC"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481" w:history="1">
        <w:r w:rsidR="00C20F1D" w:rsidRPr="00B4515A">
          <w:rPr>
            <w:rStyle w:val="aff"/>
            <w:rFonts w:hint="eastAsia"/>
            <w:noProof/>
          </w:rPr>
          <w:t>释</w:t>
        </w:r>
        <w:r w:rsidR="00C20F1D" w:rsidRPr="00B4515A">
          <w:rPr>
            <w:rStyle w:val="aff"/>
            <w:noProof/>
          </w:rPr>
          <w:t xml:space="preserve">  </w:t>
        </w:r>
        <w:r w:rsidR="00C20F1D" w:rsidRPr="00B4515A">
          <w:rPr>
            <w:rStyle w:val="aff"/>
            <w:rFonts w:hint="eastAsia"/>
            <w:noProof/>
          </w:rPr>
          <w:t>义</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_Toc80960481 \h </w:instrText>
        </w:r>
        <w:r w:rsidR="00C20F1D" w:rsidRPr="00B4515A">
          <w:rPr>
            <w:noProof/>
            <w:webHidden/>
          </w:rPr>
        </w:r>
        <w:r w:rsidR="00C20F1D" w:rsidRPr="00B4515A">
          <w:rPr>
            <w:noProof/>
            <w:webHidden/>
          </w:rPr>
          <w:fldChar w:fldCharType="separate"/>
        </w:r>
        <w:r w:rsidR="00C20F1D" w:rsidRPr="00B4515A">
          <w:rPr>
            <w:noProof/>
            <w:webHidden/>
          </w:rPr>
          <w:t>10</w:t>
        </w:r>
        <w:r w:rsidR="00C20F1D" w:rsidRPr="00B4515A">
          <w:rPr>
            <w:noProof/>
            <w:webHidden/>
          </w:rPr>
          <w:fldChar w:fldCharType="end"/>
        </w:r>
      </w:hyperlink>
    </w:p>
    <w:p w14:paraId="27E98906"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482" w:history="1">
        <w:r w:rsidR="00C20F1D" w:rsidRPr="00B4515A">
          <w:rPr>
            <w:rStyle w:val="aff"/>
            <w:rFonts w:hint="eastAsia"/>
            <w:noProof/>
          </w:rPr>
          <w:t>重大事项提示</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_Toc80960482 \h </w:instrText>
        </w:r>
        <w:r w:rsidR="00C20F1D" w:rsidRPr="00B4515A">
          <w:rPr>
            <w:noProof/>
            <w:webHidden/>
          </w:rPr>
        </w:r>
        <w:r w:rsidR="00C20F1D" w:rsidRPr="00B4515A">
          <w:rPr>
            <w:noProof/>
            <w:webHidden/>
          </w:rPr>
          <w:fldChar w:fldCharType="separate"/>
        </w:r>
        <w:r w:rsidR="00C20F1D" w:rsidRPr="00B4515A">
          <w:rPr>
            <w:noProof/>
            <w:webHidden/>
          </w:rPr>
          <w:t>13</w:t>
        </w:r>
        <w:r w:rsidR="00C20F1D" w:rsidRPr="00B4515A">
          <w:rPr>
            <w:noProof/>
            <w:webHidden/>
          </w:rPr>
          <w:fldChar w:fldCharType="end"/>
        </w:r>
      </w:hyperlink>
    </w:p>
    <w:p w14:paraId="453A7DFA"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83" w:history="1">
        <w:r w:rsidR="00C20F1D" w:rsidRPr="00B4515A">
          <w:rPr>
            <w:rStyle w:val="aff"/>
            <w:rFonts w:hint="eastAsia"/>
            <w:noProof/>
          </w:rPr>
          <w:t>一、本次交易方案概述</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_Toc80960483 \h </w:instrText>
        </w:r>
        <w:r w:rsidR="00C20F1D" w:rsidRPr="00B4515A">
          <w:rPr>
            <w:noProof/>
            <w:webHidden/>
          </w:rPr>
        </w:r>
        <w:r w:rsidR="00C20F1D" w:rsidRPr="00B4515A">
          <w:rPr>
            <w:noProof/>
            <w:webHidden/>
          </w:rPr>
          <w:fldChar w:fldCharType="separate"/>
        </w:r>
        <w:r w:rsidR="00C20F1D" w:rsidRPr="00B4515A">
          <w:rPr>
            <w:noProof/>
            <w:webHidden/>
          </w:rPr>
          <w:t>13</w:t>
        </w:r>
        <w:r w:rsidR="00C20F1D" w:rsidRPr="00B4515A">
          <w:rPr>
            <w:noProof/>
            <w:webHidden/>
          </w:rPr>
          <w:fldChar w:fldCharType="end"/>
        </w:r>
      </w:hyperlink>
    </w:p>
    <w:p w14:paraId="6FFFAEA4"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84" w:history="1">
        <w:r w:rsidR="00C20F1D" w:rsidRPr="00B4515A">
          <w:rPr>
            <w:rStyle w:val="aff"/>
            <w:rFonts w:hint="eastAsia"/>
            <w:noProof/>
          </w:rPr>
          <w:t>二、标的公司评估作价情况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_Toc80960484 \h </w:instrText>
        </w:r>
        <w:r w:rsidR="00C20F1D" w:rsidRPr="00B4515A">
          <w:rPr>
            <w:noProof/>
            <w:webHidden/>
          </w:rPr>
        </w:r>
        <w:r w:rsidR="00C20F1D" w:rsidRPr="00B4515A">
          <w:rPr>
            <w:noProof/>
            <w:webHidden/>
          </w:rPr>
          <w:fldChar w:fldCharType="separate"/>
        </w:r>
        <w:r w:rsidR="00C20F1D" w:rsidRPr="00B4515A">
          <w:rPr>
            <w:noProof/>
            <w:webHidden/>
          </w:rPr>
          <w:t>14</w:t>
        </w:r>
        <w:r w:rsidR="00C20F1D" w:rsidRPr="00B4515A">
          <w:rPr>
            <w:noProof/>
            <w:webHidden/>
          </w:rPr>
          <w:fldChar w:fldCharType="end"/>
        </w:r>
      </w:hyperlink>
    </w:p>
    <w:p w14:paraId="3EDBCD14"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85" w:history="1">
        <w:r w:rsidR="00C20F1D" w:rsidRPr="00B4515A">
          <w:rPr>
            <w:rStyle w:val="aff"/>
            <w:rFonts w:hint="eastAsia"/>
            <w:noProof/>
          </w:rPr>
          <w:t>三、本次重组交易对方及对价支付方式</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_Toc80960485 \h </w:instrText>
        </w:r>
        <w:r w:rsidR="00C20F1D" w:rsidRPr="00B4515A">
          <w:rPr>
            <w:noProof/>
            <w:webHidden/>
          </w:rPr>
        </w:r>
        <w:r w:rsidR="00C20F1D" w:rsidRPr="00B4515A">
          <w:rPr>
            <w:noProof/>
            <w:webHidden/>
          </w:rPr>
          <w:fldChar w:fldCharType="separate"/>
        </w:r>
        <w:r w:rsidR="00C20F1D" w:rsidRPr="00B4515A">
          <w:rPr>
            <w:noProof/>
            <w:webHidden/>
          </w:rPr>
          <w:t>14</w:t>
        </w:r>
        <w:r w:rsidR="00C20F1D" w:rsidRPr="00B4515A">
          <w:rPr>
            <w:noProof/>
            <w:webHidden/>
          </w:rPr>
          <w:fldChar w:fldCharType="end"/>
        </w:r>
      </w:hyperlink>
    </w:p>
    <w:p w14:paraId="115749B7"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86" w:history="1">
        <w:r w:rsidR="00C20F1D" w:rsidRPr="00B4515A">
          <w:rPr>
            <w:rStyle w:val="aff"/>
            <w:rFonts w:hint="eastAsia"/>
            <w:noProof/>
          </w:rPr>
          <w:t>四、本次交易的性质</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_Toc80960486 \h </w:instrText>
        </w:r>
        <w:r w:rsidR="00C20F1D" w:rsidRPr="00B4515A">
          <w:rPr>
            <w:noProof/>
            <w:webHidden/>
          </w:rPr>
        </w:r>
        <w:r w:rsidR="00C20F1D" w:rsidRPr="00B4515A">
          <w:rPr>
            <w:noProof/>
            <w:webHidden/>
          </w:rPr>
          <w:fldChar w:fldCharType="separate"/>
        </w:r>
        <w:r w:rsidR="00C20F1D" w:rsidRPr="00B4515A">
          <w:rPr>
            <w:noProof/>
            <w:webHidden/>
          </w:rPr>
          <w:t>15</w:t>
        </w:r>
        <w:r w:rsidR="00C20F1D" w:rsidRPr="00B4515A">
          <w:rPr>
            <w:noProof/>
            <w:webHidden/>
          </w:rPr>
          <w:fldChar w:fldCharType="end"/>
        </w:r>
      </w:hyperlink>
    </w:p>
    <w:p w14:paraId="5CB3B5F7"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87" w:history="1">
        <w:r w:rsidR="00C20F1D" w:rsidRPr="00B4515A">
          <w:rPr>
            <w:rStyle w:val="aff"/>
            <w:rFonts w:hint="eastAsia"/>
            <w:noProof/>
          </w:rPr>
          <w:t>五、发行股份购买资产的情况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_Toc80960487 \h </w:instrText>
        </w:r>
        <w:r w:rsidR="00C20F1D" w:rsidRPr="00B4515A">
          <w:rPr>
            <w:noProof/>
            <w:webHidden/>
          </w:rPr>
        </w:r>
        <w:r w:rsidR="00C20F1D" w:rsidRPr="00B4515A">
          <w:rPr>
            <w:noProof/>
            <w:webHidden/>
          </w:rPr>
          <w:fldChar w:fldCharType="separate"/>
        </w:r>
        <w:r w:rsidR="00C20F1D" w:rsidRPr="00B4515A">
          <w:rPr>
            <w:noProof/>
            <w:webHidden/>
          </w:rPr>
          <w:t>16</w:t>
        </w:r>
        <w:r w:rsidR="00C20F1D" w:rsidRPr="00B4515A">
          <w:rPr>
            <w:noProof/>
            <w:webHidden/>
          </w:rPr>
          <w:fldChar w:fldCharType="end"/>
        </w:r>
      </w:hyperlink>
    </w:p>
    <w:p w14:paraId="75589F51"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88" w:history="1">
        <w:r w:rsidR="00C20F1D" w:rsidRPr="00B4515A">
          <w:rPr>
            <w:rStyle w:val="aff"/>
            <w:rFonts w:hint="eastAsia"/>
            <w:noProof/>
          </w:rPr>
          <w:t>六、募集配套资金</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_Toc80960488 \h </w:instrText>
        </w:r>
        <w:r w:rsidR="00C20F1D" w:rsidRPr="00B4515A">
          <w:rPr>
            <w:noProof/>
            <w:webHidden/>
          </w:rPr>
        </w:r>
        <w:r w:rsidR="00C20F1D" w:rsidRPr="00B4515A">
          <w:rPr>
            <w:noProof/>
            <w:webHidden/>
          </w:rPr>
          <w:fldChar w:fldCharType="separate"/>
        </w:r>
        <w:r w:rsidR="00C20F1D" w:rsidRPr="00B4515A">
          <w:rPr>
            <w:noProof/>
            <w:webHidden/>
          </w:rPr>
          <w:t>20</w:t>
        </w:r>
        <w:r w:rsidR="00C20F1D" w:rsidRPr="00B4515A">
          <w:rPr>
            <w:noProof/>
            <w:webHidden/>
          </w:rPr>
          <w:fldChar w:fldCharType="end"/>
        </w:r>
      </w:hyperlink>
    </w:p>
    <w:p w14:paraId="63E4D76A"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89" w:history="1">
        <w:r w:rsidR="00C20F1D" w:rsidRPr="00B4515A">
          <w:rPr>
            <w:rStyle w:val="aff"/>
            <w:rFonts w:hint="eastAsia"/>
            <w:noProof/>
          </w:rPr>
          <w:t>七、业绩补偿承诺安排</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_Toc80960489 \h </w:instrText>
        </w:r>
        <w:r w:rsidR="00C20F1D" w:rsidRPr="00B4515A">
          <w:rPr>
            <w:noProof/>
            <w:webHidden/>
          </w:rPr>
        </w:r>
        <w:r w:rsidR="00C20F1D" w:rsidRPr="00B4515A">
          <w:rPr>
            <w:noProof/>
            <w:webHidden/>
          </w:rPr>
          <w:fldChar w:fldCharType="separate"/>
        </w:r>
        <w:r w:rsidR="00C20F1D" w:rsidRPr="00B4515A">
          <w:rPr>
            <w:noProof/>
            <w:webHidden/>
          </w:rPr>
          <w:t>22</w:t>
        </w:r>
        <w:r w:rsidR="00C20F1D" w:rsidRPr="00B4515A">
          <w:rPr>
            <w:noProof/>
            <w:webHidden/>
          </w:rPr>
          <w:fldChar w:fldCharType="end"/>
        </w:r>
      </w:hyperlink>
    </w:p>
    <w:p w14:paraId="5D28FA69"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90" w:history="1">
        <w:r w:rsidR="00C20F1D" w:rsidRPr="00B4515A">
          <w:rPr>
            <w:rStyle w:val="aff"/>
            <w:rFonts w:hint="eastAsia"/>
            <w:noProof/>
          </w:rPr>
          <w:t>八、本次交易对上市公司的影响</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_Toc80960490 \h </w:instrText>
        </w:r>
        <w:r w:rsidR="00C20F1D" w:rsidRPr="00B4515A">
          <w:rPr>
            <w:noProof/>
            <w:webHidden/>
          </w:rPr>
        </w:r>
        <w:r w:rsidR="00C20F1D" w:rsidRPr="00B4515A">
          <w:rPr>
            <w:noProof/>
            <w:webHidden/>
          </w:rPr>
          <w:fldChar w:fldCharType="separate"/>
        </w:r>
        <w:r w:rsidR="00C20F1D" w:rsidRPr="00B4515A">
          <w:rPr>
            <w:noProof/>
            <w:webHidden/>
          </w:rPr>
          <w:t>25</w:t>
        </w:r>
        <w:r w:rsidR="00C20F1D" w:rsidRPr="00B4515A">
          <w:rPr>
            <w:noProof/>
            <w:webHidden/>
          </w:rPr>
          <w:fldChar w:fldCharType="end"/>
        </w:r>
      </w:hyperlink>
    </w:p>
    <w:p w14:paraId="081B867C"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91" w:history="1">
        <w:r w:rsidR="00C20F1D" w:rsidRPr="00B4515A">
          <w:rPr>
            <w:rStyle w:val="aff"/>
            <w:rFonts w:hint="eastAsia"/>
            <w:noProof/>
          </w:rPr>
          <w:t>九、本次交易方案实施需履行的批准程序</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_Toc80960491 \h </w:instrText>
        </w:r>
        <w:r w:rsidR="00C20F1D" w:rsidRPr="00B4515A">
          <w:rPr>
            <w:noProof/>
            <w:webHidden/>
          </w:rPr>
        </w:r>
        <w:r w:rsidR="00C20F1D" w:rsidRPr="00B4515A">
          <w:rPr>
            <w:noProof/>
            <w:webHidden/>
          </w:rPr>
          <w:fldChar w:fldCharType="separate"/>
        </w:r>
        <w:r w:rsidR="00C20F1D" w:rsidRPr="00B4515A">
          <w:rPr>
            <w:noProof/>
            <w:webHidden/>
          </w:rPr>
          <w:t>29</w:t>
        </w:r>
        <w:r w:rsidR="00C20F1D" w:rsidRPr="00B4515A">
          <w:rPr>
            <w:noProof/>
            <w:webHidden/>
          </w:rPr>
          <w:fldChar w:fldCharType="end"/>
        </w:r>
      </w:hyperlink>
    </w:p>
    <w:p w14:paraId="2302EB96"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92" w:history="1">
        <w:r w:rsidR="00C20F1D" w:rsidRPr="00B4515A">
          <w:rPr>
            <w:rStyle w:val="aff"/>
            <w:rFonts w:hint="eastAsia"/>
            <w:noProof/>
          </w:rPr>
          <w:t>十、本次交易相关方所作出的重要承诺</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_Toc80960492 \h </w:instrText>
        </w:r>
        <w:r w:rsidR="00C20F1D" w:rsidRPr="00B4515A">
          <w:rPr>
            <w:noProof/>
            <w:webHidden/>
          </w:rPr>
        </w:r>
        <w:r w:rsidR="00C20F1D" w:rsidRPr="00B4515A">
          <w:rPr>
            <w:noProof/>
            <w:webHidden/>
          </w:rPr>
          <w:fldChar w:fldCharType="separate"/>
        </w:r>
        <w:r w:rsidR="00C20F1D" w:rsidRPr="00B4515A">
          <w:rPr>
            <w:noProof/>
            <w:webHidden/>
          </w:rPr>
          <w:t>30</w:t>
        </w:r>
        <w:r w:rsidR="00C20F1D" w:rsidRPr="00B4515A">
          <w:rPr>
            <w:noProof/>
            <w:webHidden/>
          </w:rPr>
          <w:fldChar w:fldCharType="end"/>
        </w:r>
      </w:hyperlink>
    </w:p>
    <w:p w14:paraId="4214973C"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93" w:history="1">
        <w:r w:rsidR="00C20F1D" w:rsidRPr="00B4515A">
          <w:rPr>
            <w:rStyle w:val="aff"/>
            <w:rFonts w:hint="eastAsia"/>
            <w:noProof/>
          </w:rPr>
          <w:t>十一、上市公司控股股东对本次重组的原则性意见</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_Toc80960493 \h </w:instrText>
        </w:r>
        <w:r w:rsidR="00C20F1D" w:rsidRPr="00B4515A">
          <w:rPr>
            <w:noProof/>
            <w:webHidden/>
          </w:rPr>
        </w:r>
        <w:r w:rsidR="00C20F1D" w:rsidRPr="00B4515A">
          <w:rPr>
            <w:noProof/>
            <w:webHidden/>
          </w:rPr>
          <w:fldChar w:fldCharType="separate"/>
        </w:r>
        <w:r w:rsidR="00C20F1D" w:rsidRPr="00B4515A">
          <w:rPr>
            <w:noProof/>
            <w:webHidden/>
          </w:rPr>
          <w:t>49</w:t>
        </w:r>
        <w:r w:rsidR="00C20F1D" w:rsidRPr="00B4515A">
          <w:rPr>
            <w:noProof/>
            <w:webHidden/>
          </w:rPr>
          <w:fldChar w:fldCharType="end"/>
        </w:r>
      </w:hyperlink>
    </w:p>
    <w:p w14:paraId="2AFAA60D"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94" w:history="1">
        <w:r w:rsidR="00C20F1D" w:rsidRPr="00B4515A">
          <w:rPr>
            <w:rStyle w:val="aff"/>
            <w:rFonts w:hint="eastAsia"/>
            <w:noProof/>
          </w:rPr>
          <w:t>十二、上市公司的董事、监事、高级管理人员、控股股东自本次重组复牌之日起至实施完毕期间的股份减持计划</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_Toc80960494 \h </w:instrText>
        </w:r>
        <w:r w:rsidR="00C20F1D" w:rsidRPr="00B4515A">
          <w:rPr>
            <w:noProof/>
            <w:webHidden/>
          </w:rPr>
        </w:r>
        <w:r w:rsidR="00C20F1D" w:rsidRPr="00B4515A">
          <w:rPr>
            <w:noProof/>
            <w:webHidden/>
          </w:rPr>
          <w:fldChar w:fldCharType="separate"/>
        </w:r>
        <w:r w:rsidR="00C20F1D" w:rsidRPr="00B4515A">
          <w:rPr>
            <w:noProof/>
            <w:webHidden/>
          </w:rPr>
          <w:t>49</w:t>
        </w:r>
        <w:r w:rsidR="00C20F1D" w:rsidRPr="00B4515A">
          <w:rPr>
            <w:noProof/>
            <w:webHidden/>
          </w:rPr>
          <w:fldChar w:fldCharType="end"/>
        </w:r>
      </w:hyperlink>
    </w:p>
    <w:p w14:paraId="6CC0FE9C"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95" w:history="1">
        <w:r w:rsidR="00C20F1D" w:rsidRPr="00B4515A">
          <w:rPr>
            <w:rStyle w:val="aff"/>
            <w:rFonts w:hint="eastAsia"/>
            <w:noProof/>
          </w:rPr>
          <w:t>十三、本次重组对投资者权益保护的安排</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_Toc80960495 \h </w:instrText>
        </w:r>
        <w:r w:rsidR="00C20F1D" w:rsidRPr="00B4515A">
          <w:rPr>
            <w:noProof/>
            <w:webHidden/>
          </w:rPr>
        </w:r>
        <w:r w:rsidR="00C20F1D" w:rsidRPr="00B4515A">
          <w:rPr>
            <w:noProof/>
            <w:webHidden/>
          </w:rPr>
          <w:fldChar w:fldCharType="separate"/>
        </w:r>
        <w:r w:rsidR="00C20F1D" w:rsidRPr="00B4515A">
          <w:rPr>
            <w:noProof/>
            <w:webHidden/>
          </w:rPr>
          <w:t>49</w:t>
        </w:r>
        <w:r w:rsidR="00C20F1D" w:rsidRPr="00B4515A">
          <w:rPr>
            <w:noProof/>
            <w:webHidden/>
          </w:rPr>
          <w:fldChar w:fldCharType="end"/>
        </w:r>
      </w:hyperlink>
    </w:p>
    <w:p w14:paraId="42F4A839"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96" w:history="1">
        <w:r w:rsidR="00C20F1D" w:rsidRPr="00B4515A">
          <w:rPr>
            <w:rStyle w:val="aff"/>
            <w:rFonts w:hint="eastAsia"/>
            <w:noProof/>
          </w:rPr>
          <w:t>十四、独立财务顾问的资格</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_Toc80960496 \h </w:instrText>
        </w:r>
        <w:r w:rsidR="00C20F1D" w:rsidRPr="00B4515A">
          <w:rPr>
            <w:noProof/>
            <w:webHidden/>
          </w:rPr>
        </w:r>
        <w:r w:rsidR="00C20F1D" w:rsidRPr="00B4515A">
          <w:rPr>
            <w:noProof/>
            <w:webHidden/>
          </w:rPr>
          <w:fldChar w:fldCharType="separate"/>
        </w:r>
        <w:r w:rsidR="00C20F1D" w:rsidRPr="00B4515A">
          <w:rPr>
            <w:noProof/>
            <w:webHidden/>
          </w:rPr>
          <w:t>54</w:t>
        </w:r>
        <w:r w:rsidR="00C20F1D" w:rsidRPr="00B4515A">
          <w:rPr>
            <w:noProof/>
            <w:webHidden/>
          </w:rPr>
          <w:fldChar w:fldCharType="end"/>
        </w:r>
      </w:hyperlink>
    </w:p>
    <w:p w14:paraId="3EE66ECB"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97" w:history="1">
        <w:r w:rsidR="00C20F1D" w:rsidRPr="00B4515A">
          <w:rPr>
            <w:rStyle w:val="aff"/>
            <w:rFonts w:hint="eastAsia"/>
            <w:noProof/>
          </w:rPr>
          <w:t>十五、本次交易涉及的涉密信息披露及豁免事项</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_Toc80960497 \h </w:instrText>
        </w:r>
        <w:r w:rsidR="00C20F1D" w:rsidRPr="00B4515A">
          <w:rPr>
            <w:noProof/>
            <w:webHidden/>
          </w:rPr>
        </w:r>
        <w:r w:rsidR="00C20F1D" w:rsidRPr="00B4515A">
          <w:rPr>
            <w:noProof/>
            <w:webHidden/>
          </w:rPr>
          <w:fldChar w:fldCharType="separate"/>
        </w:r>
        <w:r w:rsidR="00C20F1D" w:rsidRPr="00B4515A">
          <w:rPr>
            <w:noProof/>
            <w:webHidden/>
          </w:rPr>
          <w:t>54</w:t>
        </w:r>
        <w:r w:rsidR="00C20F1D" w:rsidRPr="00B4515A">
          <w:rPr>
            <w:noProof/>
            <w:webHidden/>
          </w:rPr>
          <w:fldChar w:fldCharType="end"/>
        </w:r>
      </w:hyperlink>
    </w:p>
    <w:p w14:paraId="293544A7"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498" w:history="1">
        <w:r w:rsidR="00C20F1D" w:rsidRPr="00B4515A">
          <w:rPr>
            <w:rStyle w:val="aff"/>
            <w:rFonts w:hint="eastAsia"/>
            <w:noProof/>
          </w:rPr>
          <w:t>重大风险提示</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_Toc80960498 \h </w:instrText>
        </w:r>
        <w:r w:rsidR="00C20F1D" w:rsidRPr="00B4515A">
          <w:rPr>
            <w:noProof/>
            <w:webHidden/>
          </w:rPr>
        </w:r>
        <w:r w:rsidR="00C20F1D" w:rsidRPr="00B4515A">
          <w:rPr>
            <w:noProof/>
            <w:webHidden/>
          </w:rPr>
          <w:fldChar w:fldCharType="separate"/>
        </w:r>
        <w:r w:rsidR="00C20F1D" w:rsidRPr="00B4515A">
          <w:rPr>
            <w:noProof/>
            <w:webHidden/>
          </w:rPr>
          <w:t>56</w:t>
        </w:r>
        <w:r w:rsidR="00C20F1D" w:rsidRPr="00B4515A">
          <w:rPr>
            <w:noProof/>
            <w:webHidden/>
          </w:rPr>
          <w:fldChar w:fldCharType="end"/>
        </w:r>
      </w:hyperlink>
    </w:p>
    <w:p w14:paraId="7B978B83"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499" w:history="1">
        <w:r w:rsidR="00C20F1D" w:rsidRPr="00B4515A">
          <w:rPr>
            <w:rStyle w:val="aff"/>
            <w:rFonts w:hint="eastAsia"/>
            <w:noProof/>
          </w:rPr>
          <w:t>一、与本次交易相关的风险</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_Toc80960499 \h </w:instrText>
        </w:r>
        <w:r w:rsidR="00C20F1D" w:rsidRPr="00B4515A">
          <w:rPr>
            <w:noProof/>
            <w:webHidden/>
          </w:rPr>
        </w:r>
        <w:r w:rsidR="00C20F1D" w:rsidRPr="00B4515A">
          <w:rPr>
            <w:noProof/>
            <w:webHidden/>
          </w:rPr>
          <w:fldChar w:fldCharType="separate"/>
        </w:r>
        <w:r w:rsidR="00C20F1D" w:rsidRPr="00B4515A">
          <w:rPr>
            <w:noProof/>
            <w:webHidden/>
          </w:rPr>
          <w:t>56</w:t>
        </w:r>
        <w:r w:rsidR="00C20F1D" w:rsidRPr="00B4515A">
          <w:rPr>
            <w:noProof/>
            <w:webHidden/>
          </w:rPr>
          <w:fldChar w:fldCharType="end"/>
        </w:r>
      </w:hyperlink>
    </w:p>
    <w:p w14:paraId="7FD0206A"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00" w:history="1">
        <w:r w:rsidR="00C20F1D" w:rsidRPr="00B4515A">
          <w:rPr>
            <w:rStyle w:val="aff"/>
            <w:rFonts w:hint="eastAsia"/>
            <w:noProof/>
          </w:rPr>
          <w:t>二、与标的公司相关的风险</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_Toc80960500 \h </w:instrText>
        </w:r>
        <w:r w:rsidR="00C20F1D" w:rsidRPr="00B4515A">
          <w:rPr>
            <w:noProof/>
            <w:webHidden/>
          </w:rPr>
        </w:r>
        <w:r w:rsidR="00C20F1D" w:rsidRPr="00B4515A">
          <w:rPr>
            <w:noProof/>
            <w:webHidden/>
          </w:rPr>
          <w:fldChar w:fldCharType="separate"/>
        </w:r>
        <w:r w:rsidR="00C20F1D" w:rsidRPr="00B4515A">
          <w:rPr>
            <w:noProof/>
            <w:webHidden/>
          </w:rPr>
          <w:t>58</w:t>
        </w:r>
        <w:r w:rsidR="00C20F1D" w:rsidRPr="00B4515A">
          <w:rPr>
            <w:noProof/>
            <w:webHidden/>
          </w:rPr>
          <w:fldChar w:fldCharType="end"/>
        </w:r>
      </w:hyperlink>
    </w:p>
    <w:p w14:paraId="6E787E10"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01" w:history="1">
        <w:r w:rsidR="00C20F1D" w:rsidRPr="00B4515A">
          <w:rPr>
            <w:rStyle w:val="aff"/>
            <w:rFonts w:hint="eastAsia"/>
            <w:noProof/>
          </w:rPr>
          <w:t>三、其他风险</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_Toc80960501 \h </w:instrText>
        </w:r>
        <w:r w:rsidR="00C20F1D" w:rsidRPr="00B4515A">
          <w:rPr>
            <w:noProof/>
            <w:webHidden/>
          </w:rPr>
        </w:r>
        <w:r w:rsidR="00C20F1D" w:rsidRPr="00B4515A">
          <w:rPr>
            <w:noProof/>
            <w:webHidden/>
          </w:rPr>
          <w:fldChar w:fldCharType="separate"/>
        </w:r>
        <w:r w:rsidR="00C20F1D" w:rsidRPr="00B4515A">
          <w:rPr>
            <w:noProof/>
            <w:webHidden/>
          </w:rPr>
          <w:t>60</w:t>
        </w:r>
        <w:r w:rsidR="00C20F1D" w:rsidRPr="00B4515A">
          <w:rPr>
            <w:noProof/>
            <w:webHidden/>
          </w:rPr>
          <w:fldChar w:fldCharType="end"/>
        </w:r>
      </w:hyperlink>
    </w:p>
    <w:p w14:paraId="1F8919E2"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02" w:history="1">
        <w:r w:rsidR="00C20F1D" w:rsidRPr="00B4515A">
          <w:rPr>
            <w:rStyle w:val="aff"/>
            <w:rFonts w:hint="eastAsia"/>
            <w:noProof/>
          </w:rPr>
          <w:t>第一节</w:t>
        </w:r>
        <w:r w:rsidR="00C20F1D" w:rsidRPr="00B4515A">
          <w:rPr>
            <w:rStyle w:val="aff"/>
            <w:noProof/>
          </w:rPr>
          <w:t xml:space="preserve"> </w:t>
        </w:r>
        <w:r w:rsidR="00C20F1D" w:rsidRPr="00B4515A">
          <w:rPr>
            <w:rStyle w:val="aff"/>
            <w:rFonts w:hint="eastAsia"/>
            <w:noProof/>
          </w:rPr>
          <w:t>本次交易概况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_Toc80960502 \h </w:instrText>
        </w:r>
        <w:r w:rsidR="00C20F1D" w:rsidRPr="00B4515A">
          <w:rPr>
            <w:noProof/>
            <w:webHidden/>
          </w:rPr>
        </w:r>
        <w:r w:rsidR="00C20F1D" w:rsidRPr="00B4515A">
          <w:rPr>
            <w:noProof/>
            <w:webHidden/>
          </w:rPr>
          <w:fldChar w:fldCharType="separate"/>
        </w:r>
        <w:r w:rsidR="00C20F1D" w:rsidRPr="00B4515A">
          <w:rPr>
            <w:noProof/>
            <w:webHidden/>
          </w:rPr>
          <w:t>62</w:t>
        </w:r>
        <w:r w:rsidR="00C20F1D" w:rsidRPr="00B4515A">
          <w:rPr>
            <w:noProof/>
            <w:webHidden/>
          </w:rPr>
          <w:fldChar w:fldCharType="end"/>
        </w:r>
      </w:hyperlink>
    </w:p>
    <w:p w14:paraId="69B2C67F"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03" w:history="1">
        <w:r w:rsidR="00C20F1D" w:rsidRPr="00B4515A">
          <w:rPr>
            <w:rStyle w:val="aff"/>
            <w:rFonts w:hint="eastAsia"/>
            <w:noProof/>
          </w:rPr>
          <w:t>一、本次交易的背景和目的</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_Toc80960503 \h </w:instrText>
        </w:r>
        <w:r w:rsidR="00C20F1D" w:rsidRPr="00B4515A">
          <w:rPr>
            <w:noProof/>
            <w:webHidden/>
          </w:rPr>
        </w:r>
        <w:r w:rsidR="00C20F1D" w:rsidRPr="00B4515A">
          <w:rPr>
            <w:noProof/>
            <w:webHidden/>
          </w:rPr>
          <w:fldChar w:fldCharType="separate"/>
        </w:r>
        <w:r w:rsidR="00C20F1D" w:rsidRPr="00B4515A">
          <w:rPr>
            <w:noProof/>
            <w:webHidden/>
          </w:rPr>
          <w:t>62</w:t>
        </w:r>
        <w:r w:rsidR="00C20F1D" w:rsidRPr="00B4515A">
          <w:rPr>
            <w:noProof/>
            <w:webHidden/>
          </w:rPr>
          <w:fldChar w:fldCharType="end"/>
        </w:r>
      </w:hyperlink>
    </w:p>
    <w:p w14:paraId="0A75D659"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04" w:history="1">
        <w:r w:rsidR="00C20F1D" w:rsidRPr="00B4515A">
          <w:rPr>
            <w:rStyle w:val="aff"/>
            <w:rFonts w:hint="eastAsia"/>
            <w:noProof/>
          </w:rPr>
          <w:t>二、本次交易方案实施需履行的批准程序</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_Toc80960504 \h </w:instrText>
        </w:r>
        <w:r w:rsidR="00C20F1D" w:rsidRPr="00B4515A">
          <w:rPr>
            <w:noProof/>
            <w:webHidden/>
          </w:rPr>
        </w:r>
        <w:r w:rsidR="00C20F1D" w:rsidRPr="00B4515A">
          <w:rPr>
            <w:noProof/>
            <w:webHidden/>
          </w:rPr>
          <w:fldChar w:fldCharType="separate"/>
        </w:r>
        <w:r w:rsidR="00C20F1D" w:rsidRPr="00B4515A">
          <w:rPr>
            <w:noProof/>
            <w:webHidden/>
          </w:rPr>
          <w:t>63</w:t>
        </w:r>
        <w:r w:rsidR="00C20F1D" w:rsidRPr="00B4515A">
          <w:rPr>
            <w:noProof/>
            <w:webHidden/>
          </w:rPr>
          <w:fldChar w:fldCharType="end"/>
        </w:r>
      </w:hyperlink>
    </w:p>
    <w:p w14:paraId="65ACD07F"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05" w:history="1">
        <w:r w:rsidR="00C20F1D" w:rsidRPr="00B4515A">
          <w:rPr>
            <w:rStyle w:val="aff"/>
            <w:rFonts w:hint="eastAsia"/>
            <w:noProof/>
          </w:rPr>
          <w:t>三、本次交易的具体方案</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_Toc80960505 \h </w:instrText>
        </w:r>
        <w:r w:rsidR="00C20F1D" w:rsidRPr="00B4515A">
          <w:rPr>
            <w:noProof/>
            <w:webHidden/>
          </w:rPr>
        </w:r>
        <w:r w:rsidR="00C20F1D" w:rsidRPr="00B4515A">
          <w:rPr>
            <w:noProof/>
            <w:webHidden/>
          </w:rPr>
          <w:fldChar w:fldCharType="separate"/>
        </w:r>
        <w:r w:rsidR="00C20F1D" w:rsidRPr="00B4515A">
          <w:rPr>
            <w:noProof/>
            <w:webHidden/>
          </w:rPr>
          <w:t>64</w:t>
        </w:r>
        <w:r w:rsidR="00C20F1D" w:rsidRPr="00B4515A">
          <w:rPr>
            <w:noProof/>
            <w:webHidden/>
          </w:rPr>
          <w:fldChar w:fldCharType="end"/>
        </w:r>
      </w:hyperlink>
    </w:p>
    <w:p w14:paraId="31C792DF"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06" w:history="1">
        <w:r w:rsidR="00C20F1D" w:rsidRPr="00B4515A">
          <w:rPr>
            <w:rStyle w:val="aff"/>
            <w:rFonts w:hint="eastAsia"/>
            <w:noProof/>
          </w:rPr>
          <w:t>四、业绩补偿承诺安排</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_Toc80960506 \h </w:instrText>
        </w:r>
        <w:r w:rsidR="00C20F1D" w:rsidRPr="00B4515A">
          <w:rPr>
            <w:noProof/>
            <w:webHidden/>
          </w:rPr>
        </w:r>
        <w:r w:rsidR="00C20F1D" w:rsidRPr="00B4515A">
          <w:rPr>
            <w:noProof/>
            <w:webHidden/>
          </w:rPr>
          <w:fldChar w:fldCharType="separate"/>
        </w:r>
        <w:r w:rsidR="00C20F1D" w:rsidRPr="00B4515A">
          <w:rPr>
            <w:noProof/>
            <w:webHidden/>
          </w:rPr>
          <w:t>65</w:t>
        </w:r>
        <w:r w:rsidR="00C20F1D" w:rsidRPr="00B4515A">
          <w:rPr>
            <w:noProof/>
            <w:webHidden/>
          </w:rPr>
          <w:fldChar w:fldCharType="end"/>
        </w:r>
      </w:hyperlink>
    </w:p>
    <w:p w14:paraId="505A3CB8"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07" w:history="1">
        <w:r w:rsidR="00C20F1D" w:rsidRPr="00B4515A">
          <w:rPr>
            <w:rStyle w:val="aff"/>
            <w:rFonts w:hint="eastAsia"/>
            <w:noProof/>
          </w:rPr>
          <w:t>五、本次交易对上市公司的影响</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_Toc80960507 \h </w:instrText>
        </w:r>
        <w:r w:rsidR="00C20F1D" w:rsidRPr="00B4515A">
          <w:rPr>
            <w:noProof/>
            <w:webHidden/>
          </w:rPr>
        </w:r>
        <w:r w:rsidR="00C20F1D" w:rsidRPr="00B4515A">
          <w:rPr>
            <w:noProof/>
            <w:webHidden/>
          </w:rPr>
          <w:fldChar w:fldCharType="separate"/>
        </w:r>
        <w:r w:rsidR="00C20F1D" w:rsidRPr="00B4515A">
          <w:rPr>
            <w:noProof/>
            <w:webHidden/>
          </w:rPr>
          <w:t>68</w:t>
        </w:r>
        <w:r w:rsidR="00C20F1D" w:rsidRPr="00B4515A">
          <w:rPr>
            <w:noProof/>
            <w:webHidden/>
          </w:rPr>
          <w:fldChar w:fldCharType="end"/>
        </w:r>
      </w:hyperlink>
    </w:p>
    <w:p w14:paraId="30D8322A"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08" w:history="1">
        <w:r w:rsidR="00C20F1D" w:rsidRPr="00B4515A">
          <w:rPr>
            <w:rStyle w:val="aff"/>
            <w:rFonts w:hint="eastAsia"/>
            <w:noProof/>
          </w:rPr>
          <w:t>六、本次交易的必要性</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_Toc80960508 \h </w:instrText>
        </w:r>
        <w:r w:rsidR="00C20F1D" w:rsidRPr="00B4515A">
          <w:rPr>
            <w:noProof/>
            <w:webHidden/>
          </w:rPr>
        </w:r>
        <w:r w:rsidR="00C20F1D" w:rsidRPr="00B4515A">
          <w:rPr>
            <w:noProof/>
            <w:webHidden/>
          </w:rPr>
          <w:fldChar w:fldCharType="separate"/>
        </w:r>
        <w:r w:rsidR="00C20F1D" w:rsidRPr="00B4515A">
          <w:rPr>
            <w:noProof/>
            <w:webHidden/>
          </w:rPr>
          <w:t>72</w:t>
        </w:r>
        <w:r w:rsidR="00C20F1D" w:rsidRPr="00B4515A">
          <w:rPr>
            <w:noProof/>
            <w:webHidden/>
          </w:rPr>
          <w:fldChar w:fldCharType="end"/>
        </w:r>
      </w:hyperlink>
    </w:p>
    <w:p w14:paraId="71094E7F"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09" w:history="1">
        <w:r w:rsidR="00C20F1D" w:rsidRPr="00B4515A">
          <w:rPr>
            <w:rStyle w:val="aff"/>
            <w:rFonts w:hint="eastAsia"/>
            <w:noProof/>
          </w:rPr>
          <w:t>第二节</w:t>
        </w:r>
        <w:r w:rsidR="00C20F1D" w:rsidRPr="00B4515A">
          <w:rPr>
            <w:rStyle w:val="aff"/>
            <w:noProof/>
          </w:rPr>
          <w:t xml:space="preserve"> </w:t>
        </w:r>
        <w:r w:rsidR="00C20F1D" w:rsidRPr="00B4515A">
          <w:rPr>
            <w:rStyle w:val="aff"/>
            <w:rFonts w:hint="eastAsia"/>
            <w:noProof/>
          </w:rPr>
          <w:t>上市公司基本情况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_Toc80960509 \h </w:instrText>
        </w:r>
        <w:r w:rsidR="00C20F1D" w:rsidRPr="00B4515A">
          <w:rPr>
            <w:noProof/>
            <w:webHidden/>
          </w:rPr>
        </w:r>
        <w:r w:rsidR="00C20F1D" w:rsidRPr="00B4515A">
          <w:rPr>
            <w:noProof/>
            <w:webHidden/>
          </w:rPr>
          <w:fldChar w:fldCharType="separate"/>
        </w:r>
        <w:r w:rsidR="00C20F1D" w:rsidRPr="00B4515A">
          <w:rPr>
            <w:noProof/>
            <w:webHidden/>
          </w:rPr>
          <w:t>75</w:t>
        </w:r>
        <w:r w:rsidR="00C20F1D" w:rsidRPr="00B4515A">
          <w:rPr>
            <w:noProof/>
            <w:webHidden/>
          </w:rPr>
          <w:fldChar w:fldCharType="end"/>
        </w:r>
      </w:hyperlink>
    </w:p>
    <w:p w14:paraId="0D1544CB"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10" w:history="1">
        <w:r w:rsidR="00C20F1D" w:rsidRPr="00B4515A">
          <w:rPr>
            <w:rStyle w:val="aff"/>
            <w:rFonts w:hint="eastAsia"/>
            <w:noProof/>
          </w:rPr>
          <w:t>一、上市公司基本信息</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_Toc80960510 \h </w:instrText>
        </w:r>
        <w:r w:rsidR="00C20F1D" w:rsidRPr="00B4515A">
          <w:rPr>
            <w:noProof/>
            <w:webHidden/>
          </w:rPr>
        </w:r>
        <w:r w:rsidR="00C20F1D" w:rsidRPr="00B4515A">
          <w:rPr>
            <w:noProof/>
            <w:webHidden/>
          </w:rPr>
          <w:fldChar w:fldCharType="separate"/>
        </w:r>
        <w:r w:rsidR="00C20F1D" w:rsidRPr="00B4515A">
          <w:rPr>
            <w:noProof/>
            <w:webHidden/>
          </w:rPr>
          <w:t>75</w:t>
        </w:r>
        <w:r w:rsidR="00C20F1D" w:rsidRPr="00B4515A">
          <w:rPr>
            <w:noProof/>
            <w:webHidden/>
          </w:rPr>
          <w:fldChar w:fldCharType="end"/>
        </w:r>
      </w:hyperlink>
    </w:p>
    <w:p w14:paraId="03FCCD62"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11" w:history="1">
        <w:r w:rsidR="00C20F1D" w:rsidRPr="00B4515A">
          <w:rPr>
            <w:rStyle w:val="aff"/>
            <w:rFonts w:hint="eastAsia"/>
            <w:noProof/>
          </w:rPr>
          <w:t>二、公司股本结构情况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_Toc80960511 \h </w:instrText>
        </w:r>
        <w:r w:rsidR="00C20F1D" w:rsidRPr="00B4515A">
          <w:rPr>
            <w:noProof/>
            <w:webHidden/>
          </w:rPr>
        </w:r>
        <w:r w:rsidR="00C20F1D" w:rsidRPr="00B4515A">
          <w:rPr>
            <w:noProof/>
            <w:webHidden/>
          </w:rPr>
          <w:fldChar w:fldCharType="separate"/>
        </w:r>
        <w:r w:rsidR="00C20F1D" w:rsidRPr="00B4515A">
          <w:rPr>
            <w:noProof/>
            <w:webHidden/>
          </w:rPr>
          <w:t>75</w:t>
        </w:r>
        <w:r w:rsidR="00C20F1D" w:rsidRPr="00B4515A">
          <w:rPr>
            <w:noProof/>
            <w:webHidden/>
          </w:rPr>
          <w:fldChar w:fldCharType="end"/>
        </w:r>
      </w:hyperlink>
    </w:p>
    <w:p w14:paraId="145FCD78"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12" w:history="1">
        <w:r w:rsidR="00C20F1D" w:rsidRPr="00B4515A">
          <w:rPr>
            <w:rStyle w:val="aff"/>
            <w:rFonts w:hint="eastAsia"/>
            <w:noProof/>
          </w:rPr>
          <w:t>三、公司设立、上市及历次股本变动情况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_Toc80960512 \h </w:instrText>
        </w:r>
        <w:r w:rsidR="00C20F1D" w:rsidRPr="00B4515A">
          <w:rPr>
            <w:noProof/>
            <w:webHidden/>
          </w:rPr>
        </w:r>
        <w:r w:rsidR="00C20F1D" w:rsidRPr="00B4515A">
          <w:rPr>
            <w:noProof/>
            <w:webHidden/>
          </w:rPr>
          <w:fldChar w:fldCharType="separate"/>
        </w:r>
        <w:r w:rsidR="00C20F1D" w:rsidRPr="00B4515A">
          <w:rPr>
            <w:noProof/>
            <w:webHidden/>
          </w:rPr>
          <w:t>76</w:t>
        </w:r>
        <w:r w:rsidR="00C20F1D" w:rsidRPr="00B4515A">
          <w:rPr>
            <w:noProof/>
            <w:webHidden/>
          </w:rPr>
          <w:fldChar w:fldCharType="end"/>
        </w:r>
      </w:hyperlink>
    </w:p>
    <w:p w14:paraId="3A5A3628"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13" w:history="1">
        <w:r w:rsidR="00C20F1D" w:rsidRPr="00B4515A">
          <w:rPr>
            <w:rStyle w:val="aff"/>
            <w:rFonts w:hint="eastAsia"/>
            <w:noProof/>
          </w:rPr>
          <w:t>四、最近三十六个月的控制权变动情况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_Toc80960513 \h </w:instrText>
        </w:r>
        <w:r w:rsidR="00C20F1D" w:rsidRPr="00B4515A">
          <w:rPr>
            <w:noProof/>
            <w:webHidden/>
          </w:rPr>
        </w:r>
        <w:r w:rsidR="00C20F1D" w:rsidRPr="00B4515A">
          <w:rPr>
            <w:noProof/>
            <w:webHidden/>
          </w:rPr>
          <w:fldChar w:fldCharType="separate"/>
        </w:r>
        <w:r w:rsidR="00C20F1D" w:rsidRPr="00B4515A">
          <w:rPr>
            <w:noProof/>
            <w:webHidden/>
          </w:rPr>
          <w:t>78</w:t>
        </w:r>
        <w:r w:rsidR="00C20F1D" w:rsidRPr="00B4515A">
          <w:rPr>
            <w:noProof/>
            <w:webHidden/>
          </w:rPr>
          <w:fldChar w:fldCharType="end"/>
        </w:r>
      </w:hyperlink>
    </w:p>
    <w:p w14:paraId="31DC73E6"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14" w:history="1">
        <w:r w:rsidR="00C20F1D" w:rsidRPr="00B4515A">
          <w:rPr>
            <w:rStyle w:val="aff"/>
            <w:rFonts w:hint="eastAsia"/>
            <w:noProof/>
          </w:rPr>
          <w:t>五、最近三年重大资产重组情况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_Toc80960514 \h </w:instrText>
        </w:r>
        <w:r w:rsidR="00C20F1D" w:rsidRPr="00B4515A">
          <w:rPr>
            <w:noProof/>
            <w:webHidden/>
          </w:rPr>
        </w:r>
        <w:r w:rsidR="00C20F1D" w:rsidRPr="00B4515A">
          <w:rPr>
            <w:noProof/>
            <w:webHidden/>
          </w:rPr>
          <w:fldChar w:fldCharType="separate"/>
        </w:r>
        <w:r w:rsidR="00C20F1D" w:rsidRPr="00B4515A">
          <w:rPr>
            <w:noProof/>
            <w:webHidden/>
          </w:rPr>
          <w:t>78</w:t>
        </w:r>
        <w:r w:rsidR="00C20F1D" w:rsidRPr="00B4515A">
          <w:rPr>
            <w:noProof/>
            <w:webHidden/>
          </w:rPr>
          <w:fldChar w:fldCharType="end"/>
        </w:r>
      </w:hyperlink>
    </w:p>
    <w:p w14:paraId="71571073"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15" w:history="1">
        <w:r w:rsidR="00C20F1D" w:rsidRPr="00B4515A">
          <w:rPr>
            <w:rStyle w:val="aff"/>
            <w:rFonts w:hint="eastAsia"/>
            <w:noProof/>
          </w:rPr>
          <w:t>六、最近三年主营业务发展情况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_Toc80960515 \h </w:instrText>
        </w:r>
        <w:r w:rsidR="00C20F1D" w:rsidRPr="00B4515A">
          <w:rPr>
            <w:noProof/>
            <w:webHidden/>
          </w:rPr>
        </w:r>
        <w:r w:rsidR="00C20F1D" w:rsidRPr="00B4515A">
          <w:rPr>
            <w:noProof/>
            <w:webHidden/>
          </w:rPr>
          <w:fldChar w:fldCharType="separate"/>
        </w:r>
        <w:r w:rsidR="00C20F1D" w:rsidRPr="00B4515A">
          <w:rPr>
            <w:noProof/>
            <w:webHidden/>
          </w:rPr>
          <w:t>80</w:t>
        </w:r>
        <w:r w:rsidR="00C20F1D" w:rsidRPr="00B4515A">
          <w:rPr>
            <w:noProof/>
            <w:webHidden/>
          </w:rPr>
          <w:fldChar w:fldCharType="end"/>
        </w:r>
      </w:hyperlink>
    </w:p>
    <w:p w14:paraId="341EFA13"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16" w:history="1">
        <w:r w:rsidR="00C20F1D" w:rsidRPr="00B4515A">
          <w:rPr>
            <w:rStyle w:val="aff"/>
            <w:rFonts w:hint="eastAsia"/>
            <w:noProof/>
          </w:rPr>
          <w:t>七、主要财务数据及财务指标</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_Toc80960516 \h </w:instrText>
        </w:r>
        <w:r w:rsidR="00C20F1D" w:rsidRPr="00B4515A">
          <w:rPr>
            <w:noProof/>
            <w:webHidden/>
          </w:rPr>
        </w:r>
        <w:r w:rsidR="00C20F1D" w:rsidRPr="00B4515A">
          <w:rPr>
            <w:noProof/>
            <w:webHidden/>
          </w:rPr>
          <w:fldChar w:fldCharType="separate"/>
        </w:r>
        <w:r w:rsidR="00C20F1D" w:rsidRPr="00B4515A">
          <w:rPr>
            <w:noProof/>
            <w:webHidden/>
          </w:rPr>
          <w:t>80</w:t>
        </w:r>
        <w:r w:rsidR="00C20F1D" w:rsidRPr="00B4515A">
          <w:rPr>
            <w:noProof/>
            <w:webHidden/>
          </w:rPr>
          <w:fldChar w:fldCharType="end"/>
        </w:r>
      </w:hyperlink>
    </w:p>
    <w:p w14:paraId="236C6CC4"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17" w:history="1">
        <w:r w:rsidR="00C20F1D" w:rsidRPr="00B4515A">
          <w:rPr>
            <w:rStyle w:val="aff"/>
            <w:rFonts w:hint="eastAsia"/>
            <w:noProof/>
          </w:rPr>
          <w:t>八、控股股东及实际控制人情况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_Toc80960517 \h </w:instrText>
        </w:r>
        <w:r w:rsidR="00C20F1D" w:rsidRPr="00B4515A">
          <w:rPr>
            <w:noProof/>
            <w:webHidden/>
          </w:rPr>
        </w:r>
        <w:r w:rsidR="00C20F1D" w:rsidRPr="00B4515A">
          <w:rPr>
            <w:noProof/>
            <w:webHidden/>
          </w:rPr>
          <w:fldChar w:fldCharType="separate"/>
        </w:r>
        <w:r w:rsidR="00C20F1D" w:rsidRPr="00B4515A">
          <w:rPr>
            <w:noProof/>
            <w:webHidden/>
          </w:rPr>
          <w:t>81</w:t>
        </w:r>
        <w:r w:rsidR="00C20F1D" w:rsidRPr="00B4515A">
          <w:rPr>
            <w:noProof/>
            <w:webHidden/>
          </w:rPr>
          <w:fldChar w:fldCharType="end"/>
        </w:r>
      </w:hyperlink>
    </w:p>
    <w:p w14:paraId="11956815"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18" w:history="1">
        <w:r w:rsidR="00C20F1D" w:rsidRPr="00B4515A">
          <w:rPr>
            <w:rStyle w:val="aff"/>
            <w:rFonts w:hint="eastAsia"/>
            <w:noProof/>
          </w:rPr>
          <w:t>九、上市公司因本次交易导致的股权控制结构的预计变化情况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_Toc80960518 \h </w:instrText>
        </w:r>
        <w:r w:rsidR="00C20F1D" w:rsidRPr="00B4515A">
          <w:rPr>
            <w:noProof/>
            <w:webHidden/>
          </w:rPr>
        </w:r>
        <w:r w:rsidR="00C20F1D" w:rsidRPr="00B4515A">
          <w:rPr>
            <w:noProof/>
            <w:webHidden/>
          </w:rPr>
          <w:fldChar w:fldCharType="separate"/>
        </w:r>
        <w:r w:rsidR="00C20F1D" w:rsidRPr="00B4515A">
          <w:rPr>
            <w:noProof/>
            <w:webHidden/>
          </w:rPr>
          <w:t>82</w:t>
        </w:r>
        <w:r w:rsidR="00C20F1D" w:rsidRPr="00B4515A">
          <w:rPr>
            <w:noProof/>
            <w:webHidden/>
          </w:rPr>
          <w:fldChar w:fldCharType="end"/>
        </w:r>
      </w:hyperlink>
    </w:p>
    <w:p w14:paraId="2BC6AF0B"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19" w:history="1">
        <w:r w:rsidR="00C20F1D" w:rsidRPr="00B4515A">
          <w:rPr>
            <w:rStyle w:val="aff"/>
            <w:rFonts w:hint="eastAsia"/>
            <w:noProof/>
          </w:rPr>
          <w:t>十、上市公司及其现任董事、监事及高级管理人员合规性说明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_Toc80960519 \h </w:instrText>
        </w:r>
        <w:r w:rsidR="00C20F1D" w:rsidRPr="00B4515A">
          <w:rPr>
            <w:noProof/>
            <w:webHidden/>
          </w:rPr>
        </w:r>
        <w:r w:rsidR="00C20F1D" w:rsidRPr="00B4515A">
          <w:rPr>
            <w:noProof/>
            <w:webHidden/>
          </w:rPr>
          <w:fldChar w:fldCharType="separate"/>
        </w:r>
        <w:r w:rsidR="00C20F1D" w:rsidRPr="00B4515A">
          <w:rPr>
            <w:noProof/>
            <w:webHidden/>
          </w:rPr>
          <w:t>83</w:t>
        </w:r>
        <w:r w:rsidR="00C20F1D" w:rsidRPr="00B4515A">
          <w:rPr>
            <w:noProof/>
            <w:webHidden/>
          </w:rPr>
          <w:fldChar w:fldCharType="end"/>
        </w:r>
      </w:hyperlink>
    </w:p>
    <w:p w14:paraId="0036026E"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20" w:history="1">
        <w:r w:rsidR="00C20F1D" w:rsidRPr="00B4515A">
          <w:rPr>
            <w:rStyle w:val="aff"/>
            <w:rFonts w:hint="eastAsia"/>
            <w:noProof/>
          </w:rPr>
          <w:t>十一、上市公司及其控股股东最近十二个月内是否受到交易所公开谴责，是否存在其他重大失信行为</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_Toc80960520 \h </w:instrText>
        </w:r>
        <w:r w:rsidR="00C20F1D" w:rsidRPr="00B4515A">
          <w:rPr>
            <w:noProof/>
            <w:webHidden/>
          </w:rPr>
        </w:r>
        <w:r w:rsidR="00C20F1D" w:rsidRPr="00B4515A">
          <w:rPr>
            <w:noProof/>
            <w:webHidden/>
          </w:rPr>
          <w:fldChar w:fldCharType="separate"/>
        </w:r>
        <w:r w:rsidR="00C20F1D" w:rsidRPr="00B4515A">
          <w:rPr>
            <w:noProof/>
            <w:webHidden/>
          </w:rPr>
          <w:t>83</w:t>
        </w:r>
        <w:r w:rsidR="00C20F1D" w:rsidRPr="00B4515A">
          <w:rPr>
            <w:noProof/>
            <w:webHidden/>
          </w:rPr>
          <w:fldChar w:fldCharType="end"/>
        </w:r>
      </w:hyperlink>
    </w:p>
    <w:p w14:paraId="3307E9BD"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21" w:history="1">
        <w:r w:rsidR="00C20F1D" w:rsidRPr="00B4515A">
          <w:rPr>
            <w:rStyle w:val="aff"/>
            <w:rFonts w:hint="eastAsia"/>
            <w:noProof/>
          </w:rPr>
          <w:t>十二、上市公司的整合计划及控制、管理、运营标的公司所必要的人员和经验储备</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_Toc80960521 \h </w:instrText>
        </w:r>
        <w:r w:rsidR="00C20F1D" w:rsidRPr="00B4515A">
          <w:rPr>
            <w:noProof/>
            <w:webHidden/>
          </w:rPr>
        </w:r>
        <w:r w:rsidR="00C20F1D" w:rsidRPr="00B4515A">
          <w:rPr>
            <w:noProof/>
            <w:webHidden/>
          </w:rPr>
          <w:fldChar w:fldCharType="separate"/>
        </w:r>
        <w:r w:rsidR="00C20F1D" w:rsidRPr="00B4515A">
          <w:rPr>
            <w:noProof/>
            <w:webHidden/>
          </w:rPr>
          <w:t>83</w:t>
        </w:r>
        <w:r w:rsidR="00C20F1D" w:rsidRPr="00B4515A">
          <w:rPr>
            <w:noProof/>
            <w:webHidden/>
          </w:rPr>
          <w:fldChar w:fldCharType="end"/>
        </w:r>
      </w:hyperlink>
    </w:p>
    <w:p w14:paraId="519EBED8"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22" w:history="1">
        <w:r w:rsidR="00C20F1D" w:rsidRPr="00B4515A">
          <w:rPr>
            <w:rStyle w:val="aff"/>
            <w:rFonts w:hint="eastAsia"/>
            <w:noProof/>
          </w:rPr>
          <w:t>第三节</w:t>
        </w:r>
        <w:r w:rsidR="00C20F1D" w:rsidRPr="00B4515A">
          <w:rPr>
            <w:rStyle w:val="aff"/>
            <w:noProof/>
          </w:rPr>
          <w:t xml:space="preserve"> </w:t>
        </w:r>
        <w:r w:rsidR="00C20F1D" w:rsidRPr="00B4515A">
          <w:rPr>
            <w:rStyle w:val="aff"/>
            <w:rFonts w:hint="eastAsia"/>
            <w:noProof/>
          </w:rPr>
          <w:t>交易对方基本情况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_Toc80960522 \h </w:instrText>
        </w:r>
        <w:r w:rsidR="00C20F1D" w:rsidRPr="00B4515A">
          <w:rPr>
            <w:noProof/>
            <w:webHidden/>
          </w:rPr>
        </w:r>
        <w:r w:rsidR="00C20F1D" w:rsidRPr="00B4515A">
          <w:rPr>
            <w:noProof/>
            <w:webHidden/>
          </w:rPr>
          <w:fldChar w:fldCharType="separate"/>
        </w:r>
        <w:r w:rsidR="00C20F1D" w:rsidRPr="00B4515A">
          <w:rPr>
            <w:noProof/>
            <w:webHidden/>
          </w:rPr>
          <w:t>86</w:t>
        </w:r>
        <w:r w:rsidR="00C20F1D" w:rsidRPr="00B4515A">
          <w:rPr>
            <w:noProof/>
            <w:webHidden/>
          </w:rPr>
          <w:fldChar w:fldCharType="end"/>
        </w:r>
      </w:hyperlink>
    </w:p>
    <w:p w14:paraId="520C3BC2"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23" w:history="1">
        <w:r w:rsidR="00C20F1D" w:rsidRPr="00B4515A">
          <w:rPr>
            <w:rStyle w:val="aff"/>
            <w:rFonts w:hint="eastAsia"/>
            <w:noProof/>
          </w:rPr>
          <w:t>一、交易对方概况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_Toc80960523 \h </w:instrText>
        </w:r>
        <w:r w:rsidR="00C20F1D" w:rsidRPr="00B4515A">
          <w:rPr>
            <w:noProof/>
            <w:webHidden/>
          </w:rPr>
        </w:r>
        <w:r w:rsidR="00C20F1D" w:rsidRPr="00B4515A">
          <w:rPr>
            <w:noProof/>
            <w:webHidden/>
          </w:rPr>
          <w:fldChar w:fldCharType="separate"/>
        </w:r>
        <w:r w:rsidR="00C20F1D" w:rsidRPr="00B4515A">
          <w:rPr>
            <w:noProof/>
            <w:webHidden/>
          </w:rPr>
          <w:t>86</w:t>
        </w:r>
        <w:r w:rsidR="00C20F1D" w:rsidRPr="00B4515A">
          <w:rPr>
            <w:noProof/>
            <w:webHidden/>
          </w:rPr>
          <w:fldChar w:fldCharType="end"/>
        </w:r>
      </w:hyperlink>
    </w:p>
    <w:p w14:paraId="3A5D72C5"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24" w:history="1">
        <w:r w:rsidR="00C20F1D" w:rsidRPr="00B4515A">
          <w:rPr>
            <w:rStyle w:val="aff"/>
            <w:rFonts w:hint="eastAsia"/>
            <w:noProof/>
          </w:rPr>
          <w:t>二、发行股份购买资产交易对方的具体情况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_Toc80960524 \h </w:instrText>
        </w:r>
        <w:r w:rsidR="00C20F1D" w:rsidRPr="00B4515A">
          <w:rPr>
            <w:noProof/>
            <w:webHidden/>
          </w:rPr>
        </w:r>
        <w:r w:rsidR="00C20F1D" w:rsidRPr="00B4515A">
          <w:rPr>
            <w:noProof/>
            <w:webHidden/>
          </w:rPr>
          <w:fldChar w:fldCharType="separate"/>
        </w:r>
        <w:r w:rsidR="00C20F1D" w:rsidRPr="00B4515A">
          <w:rPr>
            <w:noProof/>
            <w:webHidden/>
          </w:rPr>
          <w:t>86</w:t>
        </w:r>
        <w:r w:rsidR="00C20F1D" w:rsidRPr="00B4515A">
          <w:rPr>
            <w:noProof/>
            <w:webHidden/>
          </w:rPr>
          <w:fldChar w:fldCharType="end"/>
        </w:r>
      </w:hyperlink>
    </w:p>
    <w:p w14:paraId="2E08BB9F"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25" w:history="1">
        <w:r w:rsidR="00C20F1D" w:rsidRPr="00B4515A">
          <w:rPr>
            <w:rStyle w:val="aff"/>
            <w:rFonts w:hint="eastAsia"/>
            <w:noProof/>
          </w:rPr>
          <w:t>三、募集配套资金认购对象的具体情况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_Toc80960525 \h </w:instrText>
        </w:r>
        <w:r w:rsidR="00C20F1D" w:rsidRPr="00B4515A">
          <w:rPr>
            <w:noProof/>
            <w:webHidden/>
          </w:rPr>
        </w:r>
        <w:r w:rsidR="00C20F1D" w:rsidRPr="00B4515A">
          <w:rPr>
            <w:noProof/>
            <w:webHidden/>
          </w:rPr>
          <w:fldChar w:fldCharType="separate"/>
        </w:r>
        <w:r w:rsidR="00C20F1D" w:rsidRPr="00B4515A">
          <w:rPr>
            <w:noProof/>
            <w:webHidden/>
          </w:rPr>
          <w:t>110</w:t>
        </w:r>
        <w:r w:rsidR="00C20F1D" w:rsidRPr="00B4515A">
          <w:rPr>
            <w:noProof/>
            <w:webHidden/>
          </w:rPr>
          <w:fldChar w:fldCharType="end"/>
        </w:r>
      </w:hyperlink>
    </w:p>
    <w:p w14:paraId="20128440"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26" w:history="1">
        <w:r w:rsidR="00C20F1D" w:rsidRPr="00B4515A">
          <w:rPr>
            <w:rStyle w:val="aff"/>
            <w:rFonts w:hint="eastAsia"/>
            <w:noProof/>
          </w:rPr>
          <w:t>四、交易对方之间的关联关系说明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_Toc80960526 \h </w:instrText>
        </w:r>
        <w:r w:rsidR="00C20F1D" w:rsidRPr="00B4515A">
          <w:rPr>
            <w:noProof/>
            <w:webHidden/>
          </w:rPr>
        </w:r>
        <w:r w:rsidR="00C20F1D" w:rsidRPr="00B4515A">
          <w:rPr>
            <w:noProof/>
            <w:webHidden/>
          </w:rPr>
          <w:fldChar w:fldCharType="separate"/>
        </w:r>
        <w:r w:rsidR="00C20F1D" w:rsidRPr="00B4515A">
          <w:rPr>
            <w:noProof/>
            <w:webHidden/>
          </w:rPr>
          <w:t>113</w:t>
        </w:r>
        <w:r w:rsidR="00C20F1D" w:rsidRPr="00B4515A">
          <w:rPr>
            <w:noProof/>
            <w:webHidden/>
          </w:rPr>
          <w:fldChar w:fldCharType="end"/>
        </w:r>
      </w:hyperlink>
    </w:p>
    <w:p w14:paraId="01685BA7"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27" w:history="1">
        <w:r w:rsidR="00C20F1D" w:rsidRPr="00B4515A">
          <w:rPr>
            <w:rStyle w:val="aff"/>
            <w:rFonts w:hint="eastAsia"/>
            <w:noProof/>
          </w:rPr>
          <w:t>五、交易对方与上市公司的关联关系说明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_Toc80960527 \h </w:instrText>
        </w:r>
        <w:r w:rsidR="00C20F1D" w:rsidRPr="00B4515A">
          <w:rPr>
            <w:noProof/>
            <w:webHidden/>
          </w:rPr>
        </w:r>
        <w:r w:rsidR="00C20F1D" w:rsidRPr="00B4515A">
          <w:rPr>
            <w:noProof/>
            <w:webHidden/>
          </w:rPr>
          <w:fldChar w:fldCharType="separate"/>
        </w:r>
        <w:r w:rsidR="00C20F1D" w:rsidRPr="00B4515A">
          <w:rPr>
            <w:noProof/>
            <w:webHidden/>
          </w:rPr>
          <w:t>113</w:t>
        </w:r>
        <w:r w:rsidR="00C20F1D" w:rsidRPr="00B4515A">
          <w:rPr>
            <w:noProof/>
            <w:webHidden/>
          </w:rPr>
          <w:fldChar w:fldCharType="end"/>
        </w:r>
      </w:hyperlink>
    </w:p>
    <w:p w14:paraId="1B90C553"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28" w:history="1">
        <w:r w:rsidR="00C20F1D" w:rsidRPr="00B4515A">
          <w:rPr>
            <w:rStyle w:val="aff"/>
            <w:rFonts w:hint="eastAsia"/>
            <w:noProof/>
          </w:rPr>
          <w:t>六、交易对方向上市公司推荐的董事及高级管理人员情况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_Toc80960528 \h </w:instrText>
        </w:r>
        <w:r w:rsidR="00C20F1D" w:rsidRPr="00B4515A">
          <w:rPr>
            <w:noProof/>
            <w:webHidden/>
          </w:rPr>
        </w:r>
        <w:r w:rsidR="00C20F1D" w:rsidRPr="00B4515A">
          <w:rPr>
            <w:noProof/>
            <w:webHidden/>
          </w:rPr>
          <w:fldChar w:fldCharType="separate"/>
        </w:r>
        <w:r w:rsidR="00C20F1D" w:rsidRPr="00B4515A">
          <w:rPr>
            <w:noProof/>
            <w:webHidden/>
          </w:rPr>
          <w:t>113</w:t>
        </w:r>
        <w:r w:rsidR="00C20F1D" w:rsidRPr="00B4515A">
          <w:rPr>
            <w:noProof/>
            <w:webHidden/>
          </w:rPr>
          <w:fldChar w:fldCharType="end"/>
        </w:r>
      </w:hyperlink>
    </w:p>
    <w:p w14:paraId="1BEEC8B6"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29" w:history="1">
        <w:r w:rsidR="00C20F1D" w:rsidRPr="00B4515A">
          <w:rPr>
            <w:rStyle w:val="aff"/>
            <w:rFonts w:hint="eastAsia"/>
            <w:noProof/>
          </w:rPr>
          <w:t>七、交易对方及其主要管理人员最近五年内受到行政处罚（与证券市场明显无关的除外）、刑事处罚、或者涉及与经济纠纷有关的重大民事诉讼或者仲裁情况说明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_Toc80960529 \h </w:instrText>
        </w:r>
        <w:r w:rsidR="00C20F1D" w:rsidRPr="00B4515A">
          <w:rPr>
            <w:noProof/>
            <w:webHidden/>
          </w:rPr>
        </w:r>
        <w:r w:rsidR="00C20F1D" w:rsidRPr="00B4515A">
          <w:rPr>
            <w:noProof/>
            <w:webHidden/>
          </w:rPr>
          <w:fldChar w:fldCharType="separate"/>
        </w:r>
        <w:r w:rsidR="00C20F1D" w:rsidRPr="00B4515A">
          <w:rPr>
            <w:noProof/>
            <w:webHidden/>
          </w:rPr>
          <w:t>114</w:t>
        </w:r>
        <w:r w:rsidR="00C20F1D" w:rsidRPr="00B4515A">
          <w:rPr>
            <w:noProof/>
            <w:webHidden/>
          </w:rPr>
          <w:fldChar w:fldCharType="end"/>
        </w:r>
      </w:hyperlink>
    </w:p>
    <w:p w14:paraId="3296BF01"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30" w:history="1">
        <w:r w:rsidR="00C20F1D" w:rsidRPr="00B4515A">
          <w:rPr>
            <w:rStyle w:val="aff"/>
            <w:rFonts w:hint="eastAsia"/>
            <w:noProof/>
          </w:rPr>
          <w:t>八、交易对方最近五年的诚信情况说明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_Toc80960530 \h </w:instrText>
        </w:r>
        <w:r w:rsidR="00C20F1D" w:rsidRPr="00B4515A">
          <w:rPr>
            <w:noProof/>
            <w:webHidden/>
          </w:rPr>
        </w:r>
        <w:r w:rsidR="00C20F1D" w:rsidRPr="00B4515A">
          <w:rPr>
            <w:noProof/>
            <w:webHidden/>
          </w:rPr>
          <w:fldChar w:fldCharType="separate"/>
        </w:r>
        <w:r w:rsidR="00C20F1D" w:rsidRPr="00B4515A">
          <w:rPr>
            <w:noProof/>
            <w:webHidden/>
          </w:rPr>
          <w:t>114</w:t>
        </w:r>
        <w:r w:rsidR="00C20F1D" w:rsidRPr="00B4515A">
          <w:rPr>
            <w:noProof/>
            <w:webHidden/>
          </w:rPr>
          <w:fldChar w:fldCharType="end"/>
        </w:r>
      </w:hyperlink>
    </w:p>
    <w:p w14:paraId="5C2A5321"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31" w:history="1">
        <w:r w:rsidR="00C20F1D" w:rsidRPr="00B4515A">
          <w:rPr>
            <w:rStyle w:val="aff"/>
            <w:rFonts w:hint="eastAsia"/>
            <w:noProof/>
          </w:rPr>
          <w:t>九、交易对方持有大唐联诚权益的时间及锁定安排</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_Toc80960531 \h </w:instrText>
        </w:r>
        <w:r w:rsidR="00C20F1D" w:rsidRPr="00B4515A">
          <w:rPr>
            <w:noProof/>
            <w:webHidden/>
          </w:rPr>
        </w:r>
        <w:r w:rsidR="00C20F1D" w:rsidRPr="00B4515A">
          <w:rPr>
            <w:noProof/>
            <w:webHidden/>
          </w:rPr>
          <w:fldChar w:fldCharType="separate"/>
        </w:r>
        <w:r w:rsidR="00C20F1D" w:rsidRPr="00B4515A">
          <w:rPr>
            <w:noProof/>
            <w:webHidden/>
          </w:rPr>
          <w:t>114</w:t>
        </w:r>
        <w:r w:rsidR="00C20F1D" w:rsidRPr="00B4515A">
          <w:rPr>
            <w:noProof/>
            <w:webHidden/>
          </w:rPr>
          <w:fldChar w:fldCharType="end"/>
        </w:r>
      </w:hyperlink>
    </w:p>
    <w:p w14:paraId="5EC3FF4D"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32" w:history="1">
        <w:r w:rsidR="00C20F1D" w:rsidRPr="00B4515A">
          <w:rPr>
            <w:rStyle w:val="aff"/>
            <w:rFonts w:hint="eastAsia"/>
            <w:noProof/>
          </w:rPr>
          <w:t>十、穿透核查情况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_Toc80960532 \h </w:instrText>
        </w:r>
        <w:r w:rsidR="00C20F1D" w:rsidRPr="00B4515A">
          <w:rPr>
            <w:noProof/>
            <w:webHidden/>
          </w:rPr>
        </w:r>
        <w:r w:rsidR="00C20F1D" w:rsidRPr="00B4515A">
          <w:rPr>
            <w:noProof/>
            <w:webHidden/>
          </w:rPr>
          <w:fldChar w:fldCharType="separate"/>
        </w:r>
        <w:r w:rsidR="00C20F1D" w:rsidRPr="00B4515A">
          <w:rPr>
            <w:noProof/>
            <w:webHidden/>
          </w:rPr>
          <w:t>117</w:t>
        </w:r>
        <w:r w:rsidR="00C20F1D" w:rsidRPr="00B4515A">
          <w:rPr>
            <w:noProof/>
            <w:webHidden/>
          </w:rPr>
          <w:fldChar w:fldCharType="end"/>
        </w:r>
      </w:hyperlink>
    </w:p>
    <w:p w14:paraId="20261B32"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33" w:history="1">
        <w:r w:rsidR="00C20F1D" w:rsidRPr="00B4515A">
          <w:rPr>
            <w:rStyle w:val="aff"/>
            <w:rFonts w:hint="eastAsia"/>
            <w:noProof/>
          </w:rPr>
          <w:t>十一、本次重组交易对方是否存在专为本次交易设立情况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_Toc80960533 \h </w:instrText>
        </w:r>
        <w:r w:rsidR="00C20F1D" w:rsidRPr="00B4515A">
          <w:rPr>
            <w:noProof/>
            <w:webHidden/>
          </w:rPr>
        </w:r>
        <w:r w:rsidR="00C20F1D" w:rsidRPr="00B4515A">
          <w:rPr>
            <w:noProof/>
            <w:webHidden/>
          </w:rPr>
          <w:fldChar w:fldCharType="separate"/>
        </w:r>
        <w:r w:rsidR="00C20F1D" w:rsidRPr="00B4515A">
          <w:rPr>
            <w:noProof/>
            <w:webHidden/>
          </w:rPr>
          <w:t>122</w:t>
        </w:r>
        <w:r w:rsidR="00C20F1D" w:rsidRPr="00B4515A">
          <w:rPr>
            <w:noProof/>
            <w:webHidden/>
          </w:rPr>
          <w:fldChar w:fldCharType="end"/>
        </w:r>
      </w:hyperlink>
    </w:p>
    <w:p w14:paraId="70EE080E"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34" w:history="1">
        <w:r w:rsidR="00C20F1D" w:rsidRPr="00B4515A">
          <w:rPr>
            <w:rStyle w:val="aff"/>
            <w:rFonts w:hint="eastAsia"/>
            <w:noProof/>
          </w:rPr>
          <w:t>第四节</w:t>
        </w:r>
        <w:r w:rsidR="00C20F1D" w:rsidRPr="00B4515A">
          <w:rPr>
            <w:rStyle w:val="aff"/>
            <w:noProof/>
          </w:rPr>
          <w:t xml:space="preserve"> </w:t>
        </w:r>
        <w:r w:rsidR="00C20F1D" w:rsidRPr="00B4515A">
          <w:rPr>
            <w:rStyle w:val="aff"/>
            <w:rFonts w:hint="eastAsia"/>
            <w:noProof/>
          </w:rPr>
          <w:t>标的公司基本情况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_Toc80960534 \h </w:instrText>
        </w:r>
        <w:r w:rsidR="00C20F1D" w:rsidRPr="00B4515A">
          <w:rPr>
            <w:noProof/>
            <w:webHidden/>
          </w:rPr>
        </w:r>
        <w:r w:rsidR="00C20F1D" w:rsidRPr="00B4515A">
          <w:rPr>
            <w:noProof/>
            <w:webHidden/>
          </w:rPr>
          <w:fldChar w:fldCharType="separate"/>
        </w:r>
        <w:r w:rsidR="00C20F1D" w:rsidRPr="00B4515A">
          <w:rPr>
            <w:noProof/>
            <w:webHidden/>
          </w:rPr>
          <w:t>123</w:t>
        </w:r>
        <w:r w:rsidR="00C20F1D" w:rsidRPr="00B4515A">
          <w:rPr>
            <w:noProof/>
            <w:webHidden/>
          </w:rPr>
          <w:fldChar w:fldCharType="end"/>
        </w:r>
      </w:hyperlink>
    </w:p>
    <w:p w14:paraId="76B7F872"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35" w:history="1">
        <w:r w:rsidR="00C20F1D" w:rsidRPr="00B4515A">
          <w:rPr>
            <w:rStyle w:val="aff"/>
            <w:rFonts w:hint="eastAsia"/>
            <w:noProof/>
          </w:rPr>
          <w:t>一、基本情况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_Toc80960535 \h </w:instrText>
        </w:r>
        <w:r w:rsidR="00C20F1D" w:rsidRPr="00B4515A">
          <w:rPr>
            <w:noProof/>
            <w:webHidden/>
          </w:rPr>
        </w:r>
        <w:r w:rsidR="00C20F1D" w:rsidRPr="00B4515A">
          <w:rPr>
            <w:noProof/>
            <w:webHidden/>
          </w:rPr>
          <w:fldChar w:fldCharType="separate"/>
        </w:r>
        <w:r w:rsidR="00C20F1D" w:rsidRPr="00B4515A">
          <w:rPr>
            <w:noProof/>
            <w:webHidden/>
          </w:rPr>
          <w:t>123</w:t>
        </w:r>
        <w:r w:rsidR="00C20F1D" w:rsidRPr="00B4515A">
          <w:rPr>
            <w:noProof/>
            <w:webHidden/>
          </w:rPr>
          <w:fldChar w:fldCharType="end"/>
        </w:r>
      </w:hyperlink>
    </w:p>
    <w:p w14:paraId="0AC314E5"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36" w:history="1">
        <w:r w:rsidR="00C20F1D" w:rsidRPr="00B4515A">
          <w:rPr>
            <w:rStyle w:val="aff"/>
            <w:rFonts w:hint="eastAsia"/>
            <w:noProof/>
          </w:rPr>
          <w:t>二、历史沿革</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_Toc80960536 \h </w:instrText>
        </w:r>
        <w:r w:rsidR="00C20F1D" w:rsidRPr="00B4515A">
          <w:rPr>
            <w:noProof/>
            <w:webHidden/>
          </w:rPr>
        </w:r>
        <w:r w:rsidR="00C20F1D" w:rsidRPr="00B4515A">
          <w:rPr>
            <w:noProof/>
            <w:webHidden/>
          </w:rPr>
          <w:fldChar w:fldCharType="separate"/>
        </w:r>
        <w:r w:rsidR="00C20F1D" w:rsidRPr="00B4515A">
          <w:rPr>
            <w:noProof/>
            <w:webHidden/>
          </w:rPr>
          <w:t>123</w:t>
        </w:r>
        <w:r w:rsidR="00C20F1D" w:rsidRPr="00B4515A">
          <w:rPr>
            <w:noProof/>
            <w:webHidden/>
          </w:rPr>
          <w:fldChar w:fldCharType="end"/>
        </w:r>
      </w:hyperlink>
    </w:p>
    <w:p w14:paraId="790542D2"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37" w:history="1">
        <w:r w:rsidR="00C20F1D" w:rsidRPr="00B4515A">
          <w:rPr>
            <w:rStyle w:val="aff"/>
            <w:rFonts w:hint="eastAsia"/>
            <w:noProof/>
          </w:rPr>
          <w:t>三、产权控制关系</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_Toc80960537 \h </w:instrText>
        </w:r>
        <w:r w:rsidR="00C20F1D" w:rsidRPr="00B4515A">
          <w:rPr>
            <w:noProof/>
            <w:webHidden/>
          </w:rPr>
        </w:r>
        <w:r w:rsidR="00C20F1D" w:rsidRPr="00B4515A">
          <w:rPr>
            <w:noProof/>
            <w:webHidden/>
          </w:rPr>
          <w:fldChar w:fldCharType="separate"/>
        </w:r>
        <w:r w:rsidR="00C20F1D" w:rsidRPr="00B4515A">
          <w:rPr>
            <w:noProof/>
            <w:webHidden/>
          </w:rPr>
          <w:t>129</w:t>
        </w:r>
        <w:r w:rsidR="00C20F1D" w:rsidRPr="00B4515A">
          <w:rPr>
            <w:noProof/>
            <w:webHidden/>
          </w:rPr>
          <w:fldChar w:fldCharType="end"/>
        </w:r>
      </w:hyperlink>
    </w:p>
    <w:p w14:paraId="59E163E1"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38" w:history="1">
        <w:r w:rsidR="00C20F1D" w:rsidRPr="00B4515A">
          <w:rPr>
            <w:rStyle w:val="aff"/>
            <w:rFonts w:hint="eastAsia"/>
            <w:noProof/>
          </w:rPr>
          <w:t>四、主要资产权属、对外担保以及主要负债情况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_Toc80960538 \h </w:instrText>
        </w:r>
        <w:r w:rsidR="00C20F1D" w:rsidRPr="00B4515A">
          <w:rPr>
            <w:noProof/>
            <w:webHidden/>
          </w:rPr>
        </w:r>
        <w:r w:rsidR="00C20F1D" w:rsidRPr="00B4515A">
          <w:rPr>
            <w:noProof/>
            <w:webHidden/>
          </w:rPr>
          <w:fldChar w:fldCharType="separate"/>
        </w:r>
        <w:r w:rsidR="00C20F1D" w:rsidRPr="00B4515A">
          <w:rPr>
            <w:noProof/>
            <w:webHidden/>
          </w:rPr>
          <w:t>130</w:t>
        </w:r>
        <w:r w:rsidR="00C20F1D" w:rsidRPr="00B4515A">
          <w:rPr>
            <w:noProof/>
            <w:webHidden/>
          </w:rPr>
          <w:fldChar w:fldCharType="end"/>
        </w:r>
      </w:hyperlink>
    </w:p>
    <w:p w14:paraId="36C196AA"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39" w:history="1">
        <w:r w:rsidR="00C20F1D" w:rsidRPr="00B4515A">
          <w:rPr>
            <w:rStyle w:val="aff"/>
            <w:rFonts w:hint="eastAsia"/>
            <w:noProof/>
          </w:rPr>
          <w:t>五、主营业务发展情况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_Toc80960539 \h </w:instrText>
        </w:r>
        <w:r w:rsidR="00C20F1D" w:rsidRPr="00B4515A">
          <w:rPr>
            <w:noProof/>
            <w:webHidden/>
          </w:rPr>
        </w:r>
        <w:r w:rsidR="00C20F1D" w:rsidRPr="00B4515A">
          <w:rPr>
            <w:noProof/>
            <w:webHidden/>
          </w:rPr>
          <w:fldChar w:fldCharType="separate"/>
        </w:r>
        <w:r w:rsidR="00C20F1D" w:rsidRPr="00B4515A">
          <w:rPr>
            <w:noProof/>
            <w:webHidden/>
          </w:rPr>
          <w:t>139</w:t>
        </w:r>
        <w:r w:rsidR="00C20F1D" w:rsidRPr="00B4515A">
          <w:rPr>
            <w:noProof/>
            <w:webHidden/>
          </w:rPr>
          <w:fldChar w:fldCharType="end"/>
        </w:r>
      </w:hyperlink>
    </w:p>
    <w:p w14:paraId="3BBDCF20"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40" w:history="1">
        <w:r w:rsidR="00C20F1D" w:rsidRPr="00B4515A">
          <w:rPr>
            <w:rStyle w:val="aff"/>
            <w:rFonts w:hint="eastAsia"/>
            <w:noProof/>
          </w:rPr>
          <w:t>六、标的公司的独立性</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_Toc80960540 \h </w:instrText>
        </w:r>
        <w:r w:rsidR="00C20F1D" w:rsidRPr="00B4515A">
          <w:rPr>
            <w:noProof/>
            <w:webHidden/>
          </w:rPr>
        </w:r>
        <w:r w:rsidR="00C20F1D" w:rsidRPr="00B4515A">
          <w:rPr>
            <w:noProof/>
            <w:webHidden/>
          </w:rPr>
          <w:fldChar w:fldCharType="separate"/>
        </w:r>
        <w:r w:rsidR="00C20F1D" w:rsidRPr="00B4515A">
          <w:rPr>
            <w:noProof/>
            <w:webHidden/>
          </w:rPr>
          <w:t>160</w:t>
        </w:r>
        <w:r w:rsidR="00C20F1D" w:rsidRPr="00B4515A">
          <w:rPr>
            <w:noProof/>
            <w:webHidden/>
          </w:rPr>
          <w:fldChar w:fldCharType="end"/>
        </w:r>
      </w:hyperlink>
    </w:p>
    <w:p w14:paraId="7BBFD085"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41" w:history="1">
        <w:r w:rsidR="00C20F1D" w:rsidRPr="00B4515A">
          <w:rPr>
            <w:rStyle w:val="aff"/>
            <w:rFonts w:hint="eastAsia"/>
            <w:noProof/>
          </w:rPr>
          <w:t>七、最近两年及一期的主要财务数据</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_Toc80960541 \h </w:instrText>
        </w:r>
        <w:r w:rsidR="00C20F1D" w:rsidRPr="00B4515A">
          <w:rPr>
            <w:noProof/>
            <w:webHidden/>
          </w:rPr>
        </w:r>
        <w:r w:rsidR="00C20F1D" w:rsidRPr="00B4515A">
          <w:rPr>
            <w:noProof/>
            <w:webHidden/>
          </w:rPr>
          <w:fldChar w:fldCharType="separate"/>
        </w:r>
        <w:r w:rsidR="00C20F1D" w:rsidRPr="00B4515A">
          <w:rPr>
            <w:noProof/>
            <w:webHidden/>
          </w:rPr>
          <w:t>162</w:t>
        </w:r>
        <w:r w:rsidR="00C20F1D" w:rsidRPr="00B4515A">
          <w:rPr>
            <w:noProof/>
            <w:webHidden/>
          </w:rPr>
          <w:fldChar w:fldCharType="end"/>
        </w:r>
      </w:hyperlink>
    </w:p>
    <w:p w14:paraId="08AF6C9D"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42" w:history="1">
        <w:r w:rsidR="00C20F1D" w:rsidRPr="00B4515A">
          <w:rPr>
            <w:rStyle w:val="aff"/>
            <w:rFonts w:hint="eastAsia"/>
            <w:noProof/>
          </w:rPr>
          <w:t>八、交易标的为股权的相关说明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_Toc80960542 \h </w:instrText>
        </w:r>
        <w:r w:rsidR="00C20F1D" w:rsidRPr="00B4515A">
          <w:rPr>
            <w:noProof/>
            <w:webHidden/>
          </w:rPr>
        </w:r>
        <w:r w:rsidR="00C20F1D" w:rsidRPr="00B4515A">
          <w:rPr>
            <w:noProof/>
            <w:webHidden/>
          </w:rPr>
          <w:fldChar w:fldCharType="separate"/>
        </w:r>
        <w:r w:rsidR="00C20F1D" w:rsidRPr="00B4515A">
          <w:rPr>
            <w:noProof/>
            <w:webHidden/>
          </w:rPr>
          <w:t>162</w:t>
        </w:r>
        <w:r w:rsidR="00C20F1D" w:rsidRPr="00B4515A">
          <w:rPr>
            <w:noProof/>
            <w:webHidden/>
          </w:rPr>
          <w:fldChar w:fldCharType="end"/>
        </w:r>
      </w:hyperlink>
    </w:p>
    <w:p w14:paraId="4CE684E6"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43" w:history="1">
        <w:r w:rsidR="00C20F1D" w:rsidRPr="00B4515A">
          <w:rPr>
            <w:rStyle w:val="aff"/>
            <w:rFonts w:hint="eastAsia"/>
            <w:noProof/>
          </w:rPr>
          <w:t>九、资产许可使用情况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_Toc80960543 \h </w:instrText>
        </w:r>
        <w:r w:rsidR="00C20F1D" w:rsidRPr="00B4515A">
          <w:rPr>
            <w:noProof/>
            <w:webHidden/>
          </w:rPr>
        </w:r>
        <w:r w:rsidR="00C20F1D" w:rsidRPr="00B4515A">
          <w:rPr>
            <w:noProof/>
            <w:webHidden/>
          </w:rPr>
          <w:fldChar w:fldCharType="separate"/>
        </w:r>
        <w:r w:rsidR="00C20F1D" w:rsidRPr="00B4515A">
          <w:rPr>
            <w:noProof/>
            <w:webHidden/>
          </w:rPr>
          <w:t>163</w:t>
        </w:r>
        <w:r w:rsidR="00C20F1D" w:rsidRPr="00B4515A">
          <w:rPr>
            <w:noProof/>
            <w:webHidden/>
          </w:rPr>
          <w:fldChar w:fldCharType="end"/>
        </w:r>
      </w:hyperlink>
    </w:p>
    <w:p w14:paraId="4285386E"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44" w:history="1">
        <w:r w:rsidR="00C20F1D" w:rsidRPr="00B4515A">
          <w:rPr>
            <w:rStyle w:val="aff"/>
            <w:rFonts w:hint="eastAsia"/>
            <w:noProof/>
          </w:rPr>
          <w:t>十、最近三年与交易、增资及改制相关评估或估值情况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_Toc80960544 \h </w:instrText>
        </w:r>
        <w:r w:rsidR="00C20F1D" w:rsidRPr="00B4515A">
          <w:rPr>
            <w:noProof/>
            <w:webHidden/>
          </w:rPr>
        </w:r>
        <w:r w:rsidR="00C20F1D" w:rsidRPr="00B4515A">
          <w:rPr>
            <w:noProof/>
            <w:webHidden/>
          </w:rPr>
          <w:fldChar w:fldCharType="separate"/>
        </w:r>
        <w:r w:rsidR="00C20F1D" w:rsidRPr="00B4515A">
          <w:rPr>
            <w:noProof/>
            <w:webHidden/>
          </w:rPr>
          <w:t>163</w:t>
        </w:r>
        <w:r w:rsidR="00C20F1D" w:rsidRPr="00B4515A">
          <w:rPr>
            <w:noProof/>
            <w:webHidden/>
          </w:rPr>
          <w:fldChar w:fldCharType="end"/>
        </w:r>
      </w:hyperlink>
    </w:p>
    <w:p w14:paraId="0BD2BBBD"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45" w:history="1">
        <w:r w:rsidR="00C20F1D" w:rsidRPr="00B4515A">
          <w:rPr>
            <w:rStyle w:val="aff"/>
            <w:rFonts w:hint="eastAsia"/>
            <w:noProof/>
          </w:rPr>
          <w:t>十一、重要子公司基本情况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_Toc80960545 \h </w:instrText>
        </w:r>
        <w:r w:rsidR="00C20F1D" w:rsidRPr="00B4515A">
          <w:rPr>
            <w:noProof/>
            <w:webHidden/>
          </w:rPr>
        </w:r>
        <w:r w:rsidR="00C20F1D" w:rsidRPr="00B4515A">
          <w:rPr>
            <w:noProof/>
            <w:webHidden/>
          </w:rPr>
          <w:fldChar w:fldCharType="separate"/>
        </w:r>
        <w:r w:rsidR="00C20F1D" w:rsidRPr="00B4515A">
          <w:rPr>
            <w:noProof/>
            <w:webHidden/>
          </w:rPr>
          <w:t>164</w:t>
        </w:r>
        <w:r w:rsidR="00C20F1D" w:rsidRPr="00B4515A">
          <w:rPr>
            <w:noProof/>
            <w:webHidden/>
          </w:rPr>
          <w:fldChar w:fldCharType="end"/>
        </w:r>
      </w:hyperlink>
    </w:p>
    <w:p w14:paraId="2E790B17"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46" w:history="1">
        <w:r w:rsidR="00C20F1D" w:rsidRPr="00B4515A">
          <w:rPr>
            <w:rStyle w:val="aff"/>
            <w:rFonts w:hint="eastAsia"/>
            <w:noProof/>
          </w:rPr>
          <w:t>十二、债权债务转移情况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_Toc80960546 \h </w:instrText>
        </w:r>
        <w:r w:rsidR="00C20F1D" w:rsidRPr="00B4515A">
          <w:rPr>
            <w:noProof/>
            <w:webHidden/>
          </w:rPr>
        </w:r>
        <w:r w:rsidR="00C20F1D" w:rsidRPr="00B4515A">
          <w:rPr>
            <w:noProof/>
            <w:webHidden/>
          </w:rPr>
          <w:fldChar w:fldCharType="separate"/>
        </w:r>
        <w:r w:rsidR="00C20F1D" w:rsidRPr="00B4515A">
          <w:rPr>
            <w:noProof/>
            <w:webHidden/>
          </w:rPr>
          <w:t>164</w:t>
        </w:r>
        <w:r w:rsidR="00C20F1D" w:rsidRPr="00B4515A">
          <w:rPr>
            <w:noProof/>
            <w:webHidden/>
          </w:rPr>
          <w:fldChar w:fldCharType="end"/>
        </w:r>
      </w:hyperlink>
    </w:p>
    <w:p w14:paraId="74AB4B7E"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47" w:history="1">
        <w:r w:rsidR="00C20F1D" w:rsidRPr="00B4515A">
          <w:rPr>
            <w:rStyle w:val="aff"/>
            <w:rFonts w:hint="eastAsia"/>
            <w:noProof/>
          </w:rPr>
          <w:t>十三、报告期内主要会计政策及相关会计处理</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_Toc80960547 \h </w:instrText>
        </w:r>
        <w:r w:rsidR="00C20F1D" w:rsidRPr="00B4515A">
          <w:rPr>
            <w:noProof/>
            <w:webHidden/>
          </w:rPr>
        </w:r>
        <w:r w:rsidR="00C20F1D" w:rsidRPr="00B4515A">
          <w:rPr>
            <w:noProof/>
            <w:webHidden/>
          </w:rPr>
          <w:fldChar w:fldCharType="separate"/>
        </w:r>
        <w:r w:rsidR="00C20F1D" w:rsidRPr="00B4515A">
          <w:rPr>
            <w:noProof/>
            <w:webHidden/>
          </w:rPr>
          <w:t>165</w:t>
        </w:r>
        <w:r w:rsidR="00C20F1D" w:rsidRPr="00B4515A">
          <w:rPr>
            <w:noProof/>
            <w:webHidden/>
          </w:rPr>
          <w:fldChar w:fldCharType="end"/>
        </w:r>
      </w:hyperlink>
    </w:p>
    <w:p w14:paraId="6A7C0E51"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48" w:history="1">
        <w:r w:rsidR="00C20F1D" w:rsidRPr="00B4515A">
          <w:rPr>
            <w:rStyle w:val="aff"/>
            <w:rFonts w:hint="eastAsia"/>
            <w:noProof/>
          </w:rPr>
          <w:t>十四、重大未决诉讼、仲裁和行政处罚</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_Toc80960548 \h </w:instrText>
        </w:r>
        <w:r w:rsidR="00C20F1D" w:rsidRPr="00B4515A">
          <w:rPr>
            <w:noProof/>
            <w:webHidden/>
          </w:rPr>
        </w:r>
        <w:r w:rsidR="00C20F1D" w:rsidRPr="00B4515A">
          <w:rPr>
            <w:noProof/>
            <w:webHidden/>
          </w:rPr>
          <w:fldChar w:fldCharType="separate"/>
        </w:r>
        <w:r w:rsidR="00C20F1D" w:rsidRPr="00B4515A">
          <w:rPr>
            <w:noProof/>
            <w:webHidden/>
          </w:rPr>
          <w:t>170</w:t>
        </w:r>
        <w:r w:rsidR="00C20F1D" w:rsidRPr="00B4515A">
          <w:rPr>
            <w:noProof/>
            <w:webHidden/>
          </w:rPr>
          <w:fldChar w:fldCharType="end"/>
        </w:r>
      </w:hyperlink>
    </w:p>
    <w:p w14:paraId="343E28B2"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49" w:history="1">
        <w:r w:rsidR="00C20F1D" w:rsidRPr="00B4515A">
          <w:rPr>
            <w:rStyle w:val="aff"/>
            <w:rFonts w:hint="eastAsia"/>
            <w:noProof/>
          </w:rPr>
          <w:t>第五节</w:t>
        </w:r>
        <w:r w:rsidR="00C20F1D" w:rsidRPr="00B4515A">
          <w:rPr>
            <w:rStyle w:val="aff"/>
            <w:noProof/>
          </w:rPr>
          <w:t xml:space="preserve"> </w:t>
        </w:r>
        <w:r w:rsidR="00C20F1D" w:rsidRPr="00B4515A">
          <w:rPr>
            <w:rStyle w:val="aff"/>
            <w:rFonts w:hint="eastAsia"/>
            <w:noProof/>
          </w:rPr>
          <w:t>发行股份情况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_Toc80960549 \h </w:instrText>
        </w:r>
        <w:r w:rsidR="00C20F1D" w:rsidRPr="00B4515A">
          <w:rPr>
            <w:noProof/>
            <w:webHidden/>
          </w:rPr>
        </w:r>
        <w:r w:rsidR="00C20F1D" w:rsidRPr="00B4515A">
          <w:rPr>
            <w:noProof/>
            <w:webHidden/>
          </w:rPr>
          <w:fldChar w:fldCharType="separate"/>
        </w:r>
        <w:r w:rsidR="00C20F1D" w:rsidRPr="00B4515A">
          <w:rPr>
            <w:noProof/>
            <w:webHidden/>
          </w:rPr>
          <w:t>173</w:t>
        </w:r>
        <w:r w:rsidR="00C20F1D" w:rsidRPr="00B4515A">
          <w:rPr>
            <w:noProof/>
            <w:webHidden/>
          </w:rPr>
          <w:fldChar w:fldCharType="end"/>
        </w:r>
      </w:hyperlink>
    </w:p>
    <w:p w14:paraId="4FAC0463"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50" w:history="1">
        <w:r w:rsidR="00C20F1D" w:rsidRPr="00B4515A">
          <w:rPr>
            <w:rStyle w:val="aff"/>
            <w:rFonts w:hint="eastAsia"/>
            <w:noProof/>
          </w:rPr>
          <w:t>一、购买资产拟发行股份情况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_Toc80960550 \h </w:instrText>
        </w:r>
        <w:r w:rsidR="00C20F1D" w:rsidRPr="00B4515A">
          <w:rPr>
            <w:noProof/>
            <w:webHidden/>
          </w:rPr>
        </w:r>
        <w:r w:rsidR="00C20F1D" w:rsidRPr="00B4515A">
          <w:rPr>
            <w:noProof/>
            <w:webHidden/>
          </w:rPr>
          <w:fldChar w:fldCharType="separate"/>
        </w:r>
        <w:r w:rsidR="00C20F1D" w:rsidRPr="00B4515A">
          <w:rPr>
            <w:noProof/>
            <w:webHidden/>
          </w:rPr>
          <w:t>173</w:t>
        </w:r>
        <w:r w:rsidR="00C20F1D" w:rsidRPr="00B4515A">
          <w:rPr>
            <w:noProof/>
            <w:webHidden/>
          </w:rPr>
          <w:fldChar w:fldCharType="end"/>
        </w:r>
      </w:hyperlink>
    </w:p>
    <w:p w14:paraId="15312DFF"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51" w:history="1">
        <w:r w:rsidR="00C20F1D" w:rsidRPr="00B4515A">
          <w:rPr>
            <w:rStyle w:val="aff"/>
            <w:rFonts w:hint="eastAsia"/>
            <w:noProof/>
          </w:rPr>
          <w:t>二、募集配套资金拟发行股份的情况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_Toc80960551 \h </w:instrText>
        </w:r>
        <w:r w:rsidR="00C20F1D" w:rsidRPr="00B4515A">
          <w:rPr>
            <w:noProof/>
            <w:webHidden/>
          </w:rPr>
        </w:r>
        <w:r w:rsidR="00C20F1D" w:rsidRPr="00B4515A">
          <w:rPr>
            <w:noProof/>
            <w:webHidden/>
          </w:rPr>
          <w:fldChar w:fldCharType="separate"/>
        </w:r>
        <w:r w:rsidR="00C20F1D" w:rsidRPr="00B4515A">
          <w:rPr>
            <w:noProof/>
            <w:webHidden/>
          </w:rPr>
          <w:t>177</w:t>
        </w:r>
        <w:r w:rsidR="00C20F1D" w:rsidRPr="00B4515A">
          <w:rPr>
            <w:noProof/>
            <w:webHidden/>
          </w:rPr>
          <w:fldChar w:fldCharType="end"/>
        </w:r>
      </w:hyperlink>
    </w:p>
    <w:p w14:paraId="1ABE55EC"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52" w:history="1">
        <w:r w:rsidR="00C20F1D" w:rsidRPr="00B4515A">
          <w:rPr>
            <w:rStyle w:val="aff"/>
            <w:rFonts w:hint="eastAsia"/>
            <w:noProof/>
          </w:rPr>
          <w:t>第六节</w:t>
        </w:r>
        <w:r w:rsidR="00C20F1D" w:rsidRPr="00B4515A">
          <w:rPr>
            <w:rStyle w:val="aff"/>
            <w:noProof/>
          </w:rPr>
          <w:t xml:space="preserve"> </w:t>
        </w:r>
        <w:r w:rsidR="00C20F1D" w:rsidRPr="00B4515A">
          <w:rPr>
            <w:rStyle w:val="aff"/>
            <w:rFonts w:hint="eastAsia"/>
            <w:noProof/>
          </w:rPr>
          <w:t>标的公司评估情况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_Toc80960552 \h </w:instrText>
        </w:r>
        <w:r w:rsidR="00C20F1D" w:rsidRPr="00B4515A">
          <w:rPr>
            <w:noProof/>
            <w:webHidden/>
          </w:rPr>
        </w:r>
        <w:r w:rsidR="00C20F1D" w:rsidRPr="00B4515A">
          <w:rPr>
            <w:noProof/>
            <w:webHidden/>
          </w:rPr>
          <w:fldChar w:fldCharType="separate"/>
        </w:r>
        <w:r w:rsidR="00C20F1D" w:rsidRPr="00B4515A">
          <w:rPr>
            <w:noProof/>
            <w:webHidden/>
          </w:rPr>
          <w:t>183</w:t>
        </w:r>
        <w:r w:rsidR="00C20F1D" w:rsidRPr="00B4515A">
          <w:rPr>
            <w:noProof/>
            <w:webHidden/>
          </w:rPr>
          <w:fldChar w:fldCharType="end"/>
        </w:r>
      </w:hyperlink>
    </w:p>
    <w:p w14:paraId="12F300C0"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53" w:history="1">
        <w:r w:rsidR="00C20F1D" w:rsidRPr="00B4515A">
          <w:rPr>
            <w:rStyle w:val="aff"/>
            <w:rFonts w:hint="eastAsia"/>
            <w:noProof/>
          </w:rPr>
          <w:t>一、标的公司评估情况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_Toc80960553 \h </w:instrText>
        </w:r>
        <w:r w:rsidR="00C20F1D" w:rsidRPr="00B4515A">
          <w:rPr>
            <w:noProof/>
            <w:webHidden/>
          </w:rPr>
        </w:r>
        <w:r w:rsidR="00C20F1D" w:rsidRPr="00B4515A">
          <w:rPr>
            <w:noProof/>
            <w:webHidden/>
          </w:rPr>
          <w:fldChar w:fldCharType="separate"/>
        </w:r>
        <w:r w:rsidR="00C20F1D" w:rsidRPr="00B4515A">
          <w:rPr>
            <w:noProof/>
            <w:webHidden/>
          </w:rPr>
          <w:t>183</w:t>
        </w:r>
        <w:r w:rsidR="00C20F1D" w:rsidRPr="00B4515A">
          <w:rPr>
            <w:noProof/>
            <w:webHidden/>
          </w:rPr>
          <w:fldChar w:fldCharType="end"/>
        </w:r>
      </w:hyperlink>
    </w:p>
    <w:p w14:paraId="0F707A34"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54" w:history="1">
        <w:r w:rsidR="00C20F1D" w:rsidRPr="00B4515A">
          <w:rPr>
            <w:rStyle w:val="aff"/>
            <w:rFonts w:hint="eastAsia"/>
            <w:noProof/>
          </w:rPr>
          <w:t>二、董事会对本次交易标的评估的合理性及定价的公允性的分析</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_Toc80960554 \h </w:instrText>
        </w:r>
        <w:r w:rsidR="00C20F1D" w:rsidRPr="00B4515A">
          <w:rPr>
            <w:noProof/>
            <w:webHidden/>
          </w:rPr>
        </w:r>
        <w:r w:rsidR="00C20F1D" w:rsidRPr="00B4515A">
          <w:rPr>
            <w:noProof/>
            <w:webHidden/>
          </w:rPr>
          <w:fldChar w:fldCharType="separate"/>
        </w:r>
        <w:r w:rsidR="00C20F1D" w:rsidRPr="00B4515A">
          <w:rPr>
            <w:noProof/>
            <w:webHidden/>
          </w:rPr>
          <w:t>203</w:t>
        </w:r>
        <w:r w:rsidR="00C20F1D" w:rsidRPr="00B4515A">
          <w:rPr>
            <w:noProof/>
            <w:webHidden/>
          </w:rPr>
          <w:fldChar w:fldCharType="end"/>
        </w:r>
      </w:hyperlink>
    </w:p>
    <w:p w14:paraId="690CD60F"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55" w:history="1">
        <w:r w:rsidR="00C20F1D" w:rsidRPr="00B4515A">
          <w:rPr>
            <w:rStyle w:val="aff"/>
            <w:rFonts w:hint="eastAsia"/>
            <w:noProof/>
          </w:rPr>
          <w:t>三、独立董事对本次交易评估事项的意见</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_Toc80960555 \h </w:instrText>
        </w:r>
        <w:r w:rsidR="00C20F1D" w:rsidRPr="00B4515A">
          <w:rPr>
            <w:noProof/>
            <w:webHidden/>
          </w:rPr>
        </w:r>
        <w:r w:rsidR="00C20F1D" w:rsidRPr="00B4515A">
          <w:rPr>
            <w:noProof/>
            <w:webHidden/>
          </w:rPr>
          <w:fldChar w:fldCharType="separate"/>
        </w:r>
        <w:r w:rsidR="00C20F1D" w:rsidRPr="00B4515A">
          <w:rPr>
            <w:noProof/>
            <w:webHidden/>
          </w:rPr>
          <w:t>206</w:t>
        </w:r>
        <w:r w:rsidR="00C20F1D" w:rsidRPr="00B4515A">
          <w:rPr>
            <w:noProof/>
            <w:webHidden/>
          </w:rPr>
          <w:fldChar w:fldCharType="end"/>
        </w:r>
      </w:hyperlink>
    </w:p>
    <w:p w14:paraId="2C7CEDFE"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56" w:history="1">
        <w:r w:rsidR="00C20F1D" w:rsidRPr="00B4515A">
          <w:rPr>
            <w:rStyle w:val="aff"/>
            <w:rFonts w:hint="eastAsia"/>
            <w:noProof/>
          </w:rPr>
          <w:t>第七节</w:t>
        </w:r>
        <w:r w:rsidR="00C20F1D" w:rsidRPr="00B4515A">
          <w:rPr>
            <w:rStyle w:val="aff"/>
            <w:noProof/>
          </w:rPr>
          <w:t xml:space="preserve"> </w:t>
        </w:r>
        <w:r w:rsidR="00C20F1D" w:rsidRPr="00B4515A">
          <w:rPr>
            <w:rStyle w:val="aff"/>
            <w:rFonts w:hint="eastAsia"/>
            <w:noProof/>
          </w:rPr>
          <w:t>本次交易主要合同</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_Toc80960556 \h </w:instrText>
        </w:r>
        <w:r w:rsidR="00C20F1D" w:rsidRPr="00B4515A">
          <w:rPr>
            <w:noProof/>
            <w:webHidden/>
          </w:rPr>
        </w:r>
        <w:r w:rsidR="00C20F1D" w:rsidRPr="00B4515A">
          <w:rPr>
            <w:noProof/>
            <w:webHidden/>
          </w:rPr>
          <w:fldChar w:fldCharType="separate"/>
        </w:r>
        <w:r w:rsidR="00C20F1D" w:rsidRPr="00B4515A">
          <w:rPr>
            <w:noProof/>
            <w:webHidden/>
          </w:rPr>
          <w:t>208</w:t>
        </w:r>
        <w:r w:rsidR="00C20F1D" w:rsidRPr="00B4515A">
          <w:rPr>
            <w:noProof/>
            <w:webHidden/>
          </w:rPr>
          <w:fldChar w:fldCharType="end"/>
        </w:r>
      </w:hyperlink>
    </w:p>
    <w:p w14:paraId="4FC2FC5E"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57" w:history="1">
        <w:r w:rsidR="00C20F1D" w:rsidRPr="00B4515A">
          <w:rPr>
            <w:rStyle w:val="aff"/>
            <w:rFonts w:hint="eastAsia"/>
            <w:noProof/>
          </w:rPr>
          <w:t>一、发行股份购买资产协议主要内容</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_Toc80960557 \h </w:instrText>
        </w:r>
        <w:r w:rsidR="00C20F1D" w:rsidRPr="00B4515A">
          <w:rPr>
            <w:noProof/>
            <w:webHidden/>
          </w:rPr>
        </w:r>
        <w:r w:rsidR="00C20F1D" w:rsidRPr="00B4515A">
          <w:rPr>
            <w:noProof/>
            <w:webHidden/>
          </w:rPr>
          <w:fldChar w:fldCharType="separate"/>
        </w:r>
        <w:r w:rsidR="00C20F1D" w:rsidRPr="00B4515A">
          <w:rPr>
            <w:noProof/>
            <w:webHidden/>
          </w:rPr>
          <w:t>208</w:t>
        </w:r>
        <w:r w:rsidR="00C20F1D" w:rsidRPr="00B4515A">
          <w:rPr>
            <w:noProof/>
            <w:webHidden/>
          </w:rPr>
          <w:fldChar w:fldCharType="end"/>
        </w:r>
      </w:hyperlink>
    </w:p>
    <w:p w14:paraId="06588CDA"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58" w:history="1">
        <w:r w:rsidR="00C20F1D" w:rsidRPr="00B4515A">
          <w:rPr>
            <w:rStyle w:val="aff"/>
            <w:rFonts w:hint="eastAsia"/>
            <w:noProof/>
          </w:rPr>
          <w:t>二、发行股份购买资产协议之补充协议主要内容</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_Toc80960558 \h </w:instrText>
        </w:r>
        <w:r w:rsidR="00C20F1D" w:rsidRPr="00B4515A">
          <w:rPr>
            <w:noProof/>
            <w:webHidden/>
          </w:rPr>
        </w:r>
        <w:r w:rsidR="00C20F1D" w:rsidRPr="00B4515A">
          <w:rPr>
            <w:noProof/>
            <w:webHidden/>
          </w:rPr>
          <w:fldChar w:fldCharType="separate"/>
        </w:r>
        <w:r w:rsidR="00C20F1D" w:rsidRPr="00B4515A">
          <w:rPr>
            <w:noProof/>
            <w:webHidden/>
          </w:rPr>
          <w:t>213</w:t>
        </w:r>
        <w:r w:rsidR="00C20F1D" w:rsidRPr="00B4515A">
          <w:rPr>
            <w:noProof/>
            <w:webHidden/>
          </w:rPr>
          <w:fldChar w:fldCharType="end"/>
        </w:r>
      </w:hyperlink>
    </w:p>
    <w:p w14:paraId="0E202D7D"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59" w:history="1">
        <w:r w:rsidR="00C20F1D" w:rsidRPr="00B4515A">
          <w:rPr>
            <w:rStyle w:val="aff"/>
            <w:rFonts w:hint="eastAsia"/>
            <w:noProof/>
          </w:rPr>
          <w:t>三、业绩补偿协议主要内容</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_Toc80960559 \h </w:instrText>
        </w:r>
        <w:r w:rsidR="00C20F1D" w:rsidRPr="00B4515A">
          <w:rPr>
            <w:noProof/>
            <w:webHidden/>
          </w:rPr>
        </w:r>
        <w:r w:rsidR="00C20F1D" w:rsidRPr="00B4515A">
          <w:rPr>
            <w:noProof/>
            <w:webHidden/>
          </w:rPr>
          <w:fldChar w:fldCharType="separate"/>
        </w:r>
        <w:r w:rsidR="00C20F1D" w:rsidRPr="00B4515A">
          <w:rPr>
            <w:noProof/>
            <w:webHidden/>
          </w:rPr>
          <w:t>217</w:t>
        </w:r>
        <w:r w:rsidR="00C20F1D" w:rsidRPr="00B4515A">
          <w:rPr>
            <w:noProof/>
            <w:webHidden/>
          </w:rPr>
          <w:fldChar w:fldCharType="end"/>
        </w:r>
      </w:hyperlink>
    </w:p>
    <w:p w14:paraId="037DC0EC"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60" w:history="1">
        <w:r w:rsidR="00C20F1D" w:rsidRPr="00B4515A">
          <w:rPr>
            <w:rStyle w:val="aff"/>
            <w:rFonts w:hint="eastAsia"/>
            <w:noProof/>
          </w:rPr>
          <w:t>四、募集配套资金股份认购协议主要内容</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_Toc80960560 \h </w:instrText>
        </w:r>
        <w:r w:rsidR="00C20F1D" w:rsidRPr="00B4515A">
          <w:rPr>
            <w:noProof/>
            <w:webHidden/>
          </w:rPr>
        </w:r>
        <w:r w:rsidR="00C20F1D" w:rsidRPr="00B4515A">
          <w:rPr>
            <w:noProof/>
            <w:webHidden/>
          </w:rPr>
          <w:fldChar w:fldCharType="separate"/>
        </w:r>
        <w:r w:rsidR="00C20F1D" w:rsidRPr="00B4515A">
          <w:rPr>
            <w:noProof/>
            <w:webHidden/>
          </w:rPr>
          <w:t>222</w:t>
        </w:r>
        <w:r w:rsidR="00C20F1D" w:rsidRPr="00B4515A">
          <w:rPr>
            <w:noProof/>
            <w:webHidden/>
          </w:rPr>
          <w:fldChar w:fldCharType="end"/>
        </w:r>
      </w:hyperlink>
    </w:p>
    <w:p w14:paraId="0A5ECD2B"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61" w:history="1">
        <w:r w:rsidR="00C20F1D" w:rsidRPr="00B4515A">
          <w:rPr>
            <w:rStyle w:val="aff"/>
            <w:rFonts w:hint="eastAsia"/>
            <w:noProof/>
          </w:rPr>
          <w:t>五、募集配套资金股份认购协议之补充协议主要内容</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_Toc80960561 \h </w:instrText>
        </w:r>
        <w:r w:rsidR="00C20F1D" w:rsidRPr="00B4515A">
          <w:rPr>
            <w:noProof/>
            <w:webHidden/>
          </w:rPr>
        </w:r>
        <w:r w:rsidR="00C20F1D" w:rsidRPr="00B4515A">
          <w:rPr>
            <w:noProof/>
            <w:webHidden/>
          </w:rPr>
          <w:fldChar w:fldCharType="separate"/>
        </w:r>
        <w:r w:rsidR="00C20F1D" w:rsidRPr="00B4515A">
          <w:rPr>
            <w:noProof/>
            <w:webHidden/>
          </w:rPr>
          <w:t>226</w:t>
        </w:r>
        <w:r w:rsidR="00C20F1D" w:rsidRPr="00B4515A">
          <w:rPr>
            <w:noProof/>
            <w:webHidden/>
          </w:rPr>
          <w:fldChar w:fldCharType="end"/>
        </w:r>
      </w:hyperlink>
    </w:p>
    <w:p w14:paraId="71F19D45"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62" w:history="1">
        <w:r w:rsidR="00C20F1D" w:rsidRPr="00B4515A">
          <w:rPr>
            <w:rStyle w:val="aff"/>
            <w:rFonts w:hint="eastAsia"/>
            <w:noProof/>
          </w:rPr>
          <w:t>第八节</w:t>
        </w:r>
        <w:r w:rsidR="00C20F1D" w:rsidRPr="00B4515A">
          <w:rPr>
            <w:rStyle w:val="aff"/>
            <w:noProof/>
          </w:rPr>
          <w:t xml:space="preserve"> </w:t>
        </w:r>
        <w:r w:rsidR="00C20F1D" w:rsidRPr="00B4515A">
          <w:rPr>
            <w:rStyle w:val="aff"/>
            <w:rFonts w:hint="eastAsia"/>
            <w:noProof/>
          </w:rPr>
          <w:t>本次交易的合规性分析</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_Toc80960562 \h </w:instrText>
        </w:r>
        <w:r w:rsidR="00C20F1D" w:rsidRPr="00B4515A">
          <w:rPr>
            <w:noProof/>
            <w:webHidden/>
          </w:rPr>
        </w:r>
        <w:r w:rsidR="00C20F1D" w:rsidRPr="00B4515A">
          <w:rPr>
            <w:noProof/>
            <w:webHidden/>
          </w:rPr>
          <w:fldChar w:fldCharType="separate"/>
        </w:r>
        <w:r w:rsidR="00C20F1D" w:rsidRPr="00B4515A">
          <w:rPr>
            <w:noProof/>
            <w:webHidden/>
          </w:rPr>
          <w:t>227</w:t>
        </w:r>
        <w:r w:rsidR="00C20F1D" w:rsidRPr="00B4515A">
          <w:rPr>
            <w:noProof/>
            <w:webHidden/>
          </w:rPr>
          <w:fldChar w:fldCharType="end"/>
        </w:r>
      </w:hyperlink>
    </w:p>
    <w:p w14:paraId="5D2B582D"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63" w:history="1">
        <w:r w:rsidR="00C20F1D" w:rsidRPr="00B4515A">
          <w:rPr>
            <w:rStyle w:val="aff"/>
            <w:rFonts w:hint="eastAsia"/>
            <w:noProof/>
          </w:rPr>
          <w:t>一、本次交易符合《重组管理办法》第十一条的规定</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_Toc80960563 \h </w:instrText>
        </w:r>
        <w:r w:rsidR="00C20F1D" w:rsidRPr="00B4515A">
          <w:rPr>
            <w:noProof/>
            <w:webHidden/>
          </w:rPr>
        </w:r>
        <w:r w:rsidR="00C20F1D" w:rsidRPr="00B4515A">
          <w:rPr>
            <w:noProof/>
            <w:webHidden/>
          </w:rPr>
          <w:fldChar w:fldCharType="separate"/>
        </w:r>
        <w:r w:rsidR="00C20F1D" w:rsidRPr="00B4515A">
          <w:rPr>
            <w:noProof/>
            <w:webHidden/>
          </w:rPr>
          <w:t>227</w:t>
        </w:r>
        <w:r w:rsidR="00C20F1D" w:rsidRPr="00B4515A">
          <w:rPr>
            <w:noProof/>
            <w:webHidden/>
          </w:rPr>
          <w:fldChar w:fldCharType="end"/>
        </w:r>
      </w:hyperlink>
    </w:p>
    <w:p w14:paraId="62E296C7"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64" w:history="1">
        <w:r w:rsidR="00C20F1D" w:rsidRPr="00B4515A">
          <w:rPr>
            <w:rStyle w:val="aff"/>
            <w:rFonts w:hint="eastAsia"/>
            <w:noProof/>
          </w:rPr>
          <w:t>二、本次交易不适用《重组管理办法》第十三条的说明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_Toc80960564 \h </w:instrText>
        </w:r>
        <w:r w:rsidR="00C20F1D" w:rsidRPr="00B4515A">
          <w:rPr>
            <w:noProof/>
            <w:webHidden/>
          </w:rPr>
        </w:r>
        <w:r w:rsidR="00C20F1D" w:rsidRPr="00B4515A">
          <w:rPr>
            <w:noProof/>
            <w:webHidden/>
          </w:rPr>
          <w:fldChar w:fldCharType="separate"/>
        </w:r>
        <w:r w:rsidR="00C20F1D" w:rsidRPr="00B4515A">
          <w:rPr>
            <w:noProof/>
            <w:webHidden/>
          </w:rPr>
          <w:t>232</w:t>
        </w:r>
        <w:r w:rsidR="00C20F1D" w:rsidRPr="00B4515A">
          <w:rPr>
            <w:noProof/>
            <w:webHidden/>
          </w:rPr>
          <w:fldChar w:fldCharType="end"/>
        </w:r>
      </w:hyperlink>
    </w:p>
    <w:p w14:paraId="29BF47BB"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65" w:history="1">
        <w:r w:rsidR="00C20F1D" w:rsidRPr="00B4515A">
          <w:rPr>
            <w:rStyle w:val="aff"/>
            <w:rFonts w:hint="eastAsia"/>
            <w:noProof/>
          </w:rPr>
          <w:t>三、本次交易符合《重组管理办法》第四十三条要求的说明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_Toc80960565 \h </w:instrText>
        </w:r>
        <w:r w:rsidR="00C20F1D" w:rsidRPr="00B4515A">
          <w:rPr>
            <w:noProof/>
            <w:webHidden/>
          </w:rPr>
        </w:r>
        <w:r w:rsidR="00C20F1D" w:rsidRPr="00B4515A">
          <w:rPr>
            <w:noProof/>
            <w:webHidden/>
          </w:rPr>
          <w:fldChar w:fldCharType="separate"/>
        </w:r>
        <w:r w:rsidR="00C20F1D" w:rsidRPr="00B4515A">
          <w:rPr>
            <w:noProof/>
            <w:webHidden/>
          </w:rPr>
          <w:t>233</w:t>
        </w:r>
        <w:r w:rsidR="00C20F1D" w:rsidRPr="00B4515A">
          <w:rPr>
            <w:noProof/>
            <w:webHidden/>
          </w:rPr>
          <w:fldChar w:fldCharType="end"/>
        </w:r>
      </w:hyperlink>
    </w:p>
    <w:p w14:paraId="2A2F98F1"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66" w:history="1">
        <w:r w:rsidR="00C20F1D" w:rsidRPr="00B4515A">
          <w:rPr>
            <w:rStyle w:val="aff"/>
            <w:rFonts w:hint="eastAsia"/>
            <w:noProof/>
          </w:rPr>
          <w:t>四、本次交易符合《重组管理办法》第四十四条及其适用意见要求的说明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_Toc80960566 \h </w:instrText>
        </w:r>
        <w:r w:rsidR="00C20F1D" w:rsidRPr="00B4515A">
          <w:rPr>
            <w:noProof/>
            <w:webHidden/>
          </w:rPr>
        </w:r>
        <w:r w:rsidR="00C20F1D" w:rsidRPr="00B4515A">
          <w:rPr>
            <w:noProof/>
            <w:webHidden/>
          </w:rPr>
          <w:fldChar w:fldCharType="separate"/>
        </w:r>
        <w:r w:rsidR="00C20F1D" w:rsidRPr="00B4515A">
          <w:rPr>
            <w:noProof/>
            <w:webHidden/>
          </w:rPr>
          <w:t>234</w:t>
        </w:r>
        <w:r w:rsidR="00C20F1D" w:rsidRPr="00B4515A">
          <w:rPr>
            <w:noProof/>
            <w:webHidden/>
          </w:rPr>
          <w:fldChar w:fldCharType="end"/>
        </w:r>
      </w:hyperlink>
    </w:p>
    <w:p w14:paraId="7F0B1E61"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67" w:history="1">
        <w:r w:rsidR="00C20F1D" w:rsidRPr="00B4515A">
          <w:rPr>
            <w:rStyle w:val="aff"/>
            <w:rFonts w:ascii="Cambria" w:hAnsi="Cambria" w:cs="Cambria" w:hint="eastAsia"/>
            <w:noProof/>
          </w:rPr>
          <w:t>五</w:t>
        </w:r>
        <w:r w:rsidR="00C20F1D" w:rsidRPr="00B4515A">
          <w:rPr>
            <w:rStyle w:val="aff"/>
            <w:rFonts w:hint="eastAsia"/>
            <w:noProof/>
          </w:rPr>
          <w:t>、不存在《上市公司证券发行管理办法》第三十九条规定的不得非公开发行股票的情形</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_Toc80960567 \h </w:instrText>
        </w:r>
        <w:r w:rsidR="00C20F1D" w:rsidRPr="00B4515A">
          <w:rPr>
            <w:noProof/>
            <w:webHidden/>
          </w:rPr>
        </w:r>
        <w:r w:rsidR="00C20F1D" w:rsidRPr="00B4515A">
          <w:rPr>
            <w:noProof/>
            <w:webHidden/>
          </w:rPr>
          <w:fldChar w:fldCharType="separate"/>
        </w:r>
        <w:r w:rsidR="00C20F1D" w:rsidRPr="00B4515A">
          <w:rPr>
            <w:noProof/>
            <w:webHidden/>
          </w:rPr>
          <w:t>235</w:t>
        </w:r>
        <w:r w:rsidR="00C20F1D" w:rsidRPr="00B4515A">
          <w:rPr>
            <w:noProof/>
            <w:webHidden/>
          </w:rPr>
          <w:fldChar w:fldCharType="end"/>
        </w:r>
      </w:hyperlink>
    </w:p>
    <w:p w14:paraId="68995E5B"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68" w:history="1">
        <w:r w:rsidR="00C20F1D" w:rsidRPr="00B4515A">
          <w:rPr>
            <w:rStyle w:val="aff"/>
            <w:rFonts w:hint="eastAsia"/>
            <w:noProof/>
          </w:rPr>
          <w:t>六、本次交易的相关主体不存在《关于加强与上市公司重大资产重组相关股票异常交易监管暂行规定》第十三条规定的不得参与任何上市公司重大资产重组之情形</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_Toc80960568 \h </w:instrText>
        </w:r>
        <w:r w:rsidR="00C20F1D" w:rsidRPr="00B4515A">
          <w:rPr>
            <w:noProof/>
            <w:webHidden/>
          </w:rPr>
        </w:r>
        <w:r w:rsidR="00C20F1D" w:rsidRPr="00B4515A">
          <w:rPr>
            <w:noProof/>
            <w:webHidden/>
          </w:rPr>
          <w:fldChar w:fldCharType="separate"/>
        </w:r>
        <w:r w:rsidR="00C20F1D" w:rsidRPr="00B4515A">
          <w:rPr>
            <w:noProof/>
            <w:webHidden/>
          </w:rPr>
          <w:t>236</w:t>
        </w:r>
        <w:r w:rsidR="00C20F1D" w:rsidRPr="00B4515A">
          <w:rPr>
            <w:noProof/>
            <w:webHidden/>
          </w:rPr>
          <w:fldChar w:fldCharType="end"/>
        </w:r>
      </w:hyperlink>
    </w:p>
    <w:p w14:paraId="5EC5B148"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69" w:history="1">
        <w:r w:rsidR="00C20F1D" w:rsidRPr="00B4515A">
          <w:rPr>
            <w:rStyle w:val="aff"/>
            <w:rFonts w:hint="eastAsia"/>
            <w:noProof/>
          </w:rPr>
          <w:t>七、独立财务顾问和法律顾问对本次交易是否符合《重组管理办法》发表的明确意见</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_Toc80960569 \h </w:instrText>
        </w:r>
        <w:r w:rsidR="00C20F1D" w:rsidRPr="00B4515A">
          <w:rPr>
            <w:noProof/>
            <w:webHidden/>
          </w:rPr>
        </w:r>
        <w:r w:rsidR="00C20F1D" w:rsidRPr="00B4515A">
          <w:rPr>
            <w:noProof/>
            <w:webHidden/>
          </w:rPr>
          <w:fldChar w:fldCharType="separate"/>
        </w:r>
        <w:r w:rsidR="00C20F1D" w:rsidRPr="00B4515A">
          <w:rPr>
            <w:noProof/>
            <w:webHidden/>
          </w:rPr>
          <w:t>236</w:t>
        </w:r>
        <w:r w:rsidR="00C20F1D" w:rsidRPr="00B4515A">
          <w:rPr>
            <w:noProof/>
            <w:webHidden/>
          </w:rPr>
          <w:fldChar w:fldCharType="end"/>
        </w:r>
      </w:hyperlink>
    </w:p>
    <w:p w14:paraId="612F0A65"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70" w:history="1">
        <w:r w:rsidR="00C20F1D" w:rsidRPr="00B4515A">
          <w:rPr>
            <w:rStyle w:val="aff"/>
            <w:rFonts w:hint="eastAsia"/>
            <w:noProof/>
          </w:rPr>
          <w:t>第九节</w:t>
        </w:r>
        <w:r w:rsidR="00C20F1D" w:rsidRPr="00B4515A">
          <w:rPr>
            <w:rStyle w:val="aff"/>
            <w:noProof/>
          </w:rPr>
          <w:t xml:space="preserve"> </w:t>
        </w:r>
        <w:r w:rsidR="00C20F1D" w:rsidRPr="00B4515A">
          <w:rPr>
            <w:rStyle w:val="aff"/>
            <w:rFonts w:hint="eastAsia"/>
            <w:noProof/>
          </w:rPr>
          <w:t>管理层讨论与分析</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_Toc80960570 \h </w:instrText>
        </w:r>
        <w:r w:rsidR="00C20F1D" w:rsidRPr="00B4515A">
          <w:rPr>
            <w:noProof/>
            <w:webHidden/>
          </w:rPr>
        </w:r>
        <w:r w:rsidR="00C20F1D" w:rsidRPr="00B4515A">
          <w:rPr>
            <w:noProof/>
            <w:webHidden/>
          </w:rPr>
          <w:fldChar w:fldCharType="separate"/>
        </w:r>
        <w:r w:rsidR="00C20F1D" w:rsidRPr="00B4515A">
          <w:rPr>
            <w:noProof/>
            <w:webHidden/>
          </w:rPr>
          <w:t>237</w:t>
        </w:r>
        <w:r w:rsidR="00C20F1D" w:rsidRPr="00B4515A">
          <w:rPr>
            <w:noProof/>
            <w:webHidden/>
          </w:rPr>
          <w:fldChar w:fldCharType="end"/>
        </w:r>
      </w:hyperlink>
    </w:p>
    <w:p w14:paraId="64AEAC77"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71" w:history="1">
        <w:r w:rsidR="00C20F1D" w:rsidRPr="00B4515A">
          <w:rPr>
            <w:rStyle w:val="aff"/>
            <w:rFonts w:hint="eastAsia"/>
            <w:noProof/>
          </w:rPr>
          <w:t>一、本次交易前上市公司财务状况和经营成果的讨论与分析</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_Toc80960571 \h </w:instrText>
        </w:r>
        <w:r w:rsidR="00C20F1D" w:rsidRPr="00B4515A">
          <w:rPr>
            <w:noProof/>
            <w:webHidden/>
          </w:rPr>
        </w:r>
        <w:r w:rsidR="00C20F1D" w:rsidRPr="00B4515A">
          <w:rPr>
            <w:noProof/>
            <w:webHidden/>
          </w:rPr>
          <w:fldChar w:fldCharType="separate"/>
        </w:r>
        <w:r w:rsidR="00C20F1D" w:rsidRPr="00B4515A">
          <w:rPr>
            <w:noProof/>
            <w:webHidden/>
          </w:rPr>
          <w:t>237</w:t>
        </w:r>
        <w:r w:rsidR="00C20F1D" w:rsidRPr="00B4515A">
          <w:rPr>
            <w:noProof/>
            <w:webHidden/>
          </w:rPr>
          <w:fldChar w:fldCharType="end"/>
        </w:r>
      </w:hyperlink>
    </w:p>
    <w:p w14:paraId="1C1B4107"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72" w:history="1">
        <w:r w:rsidR="00C20F1D" w:rsidRPr="00B4515A">
          <w:rPr>
            <w:rStyle w:val="aff"/>
            <w:rFonts w:hint="eastAsia"/>
            <w:noProof/>
          </w:rPr>
          <w:t>二、标的公司所在行业情况分析</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_Toc80960572 \h </w:instrText>
        </w:r>
        <w:r w:rsidR="00C20F1D" w:rsidRPr="00B4515A">
          <w:rPr>
            <w:noProof/>
            <w:webHidden/>
          </w:rPr>
        </w:r>
        <w:r w:rsidR="00C20F1D" w:rsidRPr="00B4515A">
          <w:rPr>
            <w:noProof/>
            <w:webHidden/>
          </w:rPr>
          <w:fldChar w:fldCharType="separate"/>
        </w:r>
        <w:r w:rsidR="00C20F1D" w:rsidRPr="00B4515A">
          <w:rPr>
            <w:noProof/>
            <w:webHidden/>
          </w:rPr>
          <w:t>242</w:t>
        </w:r>
        <w:r w:rsidR="00C20F1D" w:rsidRPr="00B4515A">
          <w:rPr>
            <w:noProof/>
            <w:webHidden/>
          </w:rPr>
          <w:fldChar w:fldCharType="end"/>
        </w:r>
      </w:hyperlink>
    </w:p>
    <w:p w14:paraId="5C9A5D51"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73" w:history="1">
        <w:r w:rsidR="00C20F1D" w:rsidRPr="00B4515A">
          <w:rPr>
            <w:rStyle w:val="aff"/>
            <w:rFonts w:hint="eastAsia"/>
            <w:noProof/>
          </w:rPr>
          <w:t>三、标的公司核心竞争力及行业地位分析</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_Toc80960573 \h </w:instrText>
        </w:r>
        <w:r w:rsidR="00C20F1D" w:rsidRPr="00B4515A">
          <w:rPr>
            <w:noProof/>
            <w:webHidden/>
          </w:rPr>
        </w:r>
        <w:r w:rsidR="00C20F1D" w:rsidRPr="00B4515A">
          <w:rPr>
            <w:noProof/>
            <w:webHidden/>
          </w:rPr>
          <w:fldChar w:fldCharType="separate"/>
        </w:r>
        <w:r w:rsidR="00C20F1D" w:rsidRPr="00B4515A">
          <w:rPr>
            <w:noProof/>
            <w:webHidden/>
          </w:rPr>
          <w:t>248</w:t>
        </w:r>
        <w:r w:rsidR="00C20F1D" w:rsidRPr="00B4515A">
          <w:rPr>
            <w:noProof/>
            <w:webHidden/>
          </w:rPr>
          <w:fldChar w:fldCharType="end"/>
        </w:r>
      </w:hyperlink>
    </w:p>
    <w:p w14:paraId="28FAD9F9"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74" w:history="1">
        <w:r w:rsidR="00C20F1D" w:rsidRPr="00B4515A">
          <w:rPr>
            <w:rStyle w:val="aff"/>
            <w:rFonts w:hint="eastAsia"/>
            <w:noProof/>
          </w:rPr>
          <w:t>四、标的公司财务状况和盈利能力的分析</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_Toc80960574 \h </w:instrText>
        </w:r>
        <w:r w:rsidR="00C20F1D" w:rsidRPr="00B4515A">
          <w:rPr>
            <w:noProof/>
            <w:webHidden/>
          </w:rPr>
        </w:r>
        <w:r w:rsidR="00C20F1D" w:rsidRPr="00B4515A">
          <w:rPr>
            <w:noProof/>
            <w:webHidden/>
          </w:rPr>
          <w:fldChar w:fldCharType="separate"/>
        </w:r>
        <w:r w:rsidR="00C20F1D" w:rsidRPr="00B4515A">
          <w:rPr>
            <w:noProof/>
            <w:webHidden/>
          </w:rPr>
          <w:t>253</w:t>
        </w:r>
        <w:r w:rsidR="00C20F1D" w:rsidRPr="00B4515A">
          <w:rPr>
            <w:noProof/>
            <w:webHidden/>
          </w:rPr>
          <w:fldChar w:fldCharType="end"/>
        </w:r>
      </w:hyperlink>
    </w:p>
    <w:p w14:paraId="3A88EE5D"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75" w:history="1">
        <w:r w:rsidR="00C20F1D" w:rsidRPr="00B4515A">
          <w:rPr>
            <w:rStyle w:val="aff"/>
            <w:rFonts w:hint="eastAsia"/>
            <w:noProof/>
          </w:rPr>
          <w:t>五、本次交易对上市公司持续经营能、未来发展前景影响和上市公司当期每股收益等财务指标和非财务指标影响的分析</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_Toc80960575 \h </w:instrText>
        </w:r>
        <w:r w:rsidR="00C20F1D" w:rsidRPr="00B4515A">
          <w:rPr>
            <w:noProof/>
            <w:webHidden/>
          </w:rPr>
        </w:r>
        <w:r w:rsidR="00C20F1D" w:rsidRPr="00B4515A">
          <w:rPr>
            <w:noProof/>
            <w:webHidden/>
          </w:rPr>
          <w:fldChar w:fldCharType="separate"/>
        </w:r>
        <w:r w:rsidR="00C20F1D" w:rsidRPr="00B4515A">
          <w:rPr>
            <w:noProof/>
            <w:webHidden/>
          </w:rPr>
          <w:t>286</w:t>
        </w:r>
        <w:r w:rsidR="00C20F1D" w:rsidRPr="00B4515A">
          <w:rPr>
            <w:noProof/>
            <w:webHidden/>
          </w:rPr>
          <w:fldChar w:fldCharType="end"/>
        </w:r>
      </w:hyperlink>
    </w:p>
    <w:p w14:paraId="322D3583"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76" w:history="1">
        <w:r w:rsidR="00C20F1D" w:rsidRPr="00B4515A">
          <w:rPr>
            <w:rStyle w:val="aff"/>
            <w:rFonts w:hint="eastAsia"/>
            <w:noProof/>
          </w:rPr>
          <w:t>第十节</w:t>
        </w:r>
        <w:r w:rsidR="00C20F1D" w:rsidRPr="00B4515A">
          <w:rPr>
            <w:rStyle w:val="aff"/>
            <w:noProof/>
          </w:rPr>
          <w:t xml:space="preserve"> </w:t>
        </w:r>
        <w:r w:rsidR="00C20F1D" w:rsidRPr="00B4515A">
          <w:rPr>
            <w:rStyle w:val="aff"/>
            <w:rFonts w:hint="eastAsia"/>
            <w:noProof/>
          </w:rPr>
          <w:t>财务会计信息</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_Toc80960576 \h </w:instrText>
        </w:r>
        <w:r w:rsidR="00C20F1D" w:rsidRPr="00B4515A">
          <w:rPr>
            <w:noProof/>
            <w:webHidden/>
          </w:rPr>
        </w:r>
        <w:r w:rsidR="00C20F1D" w:rsidRPr="00B4515A">
          <w:rPr>
            <w:noProof/>
            <w:webHidden/>
          </w:rPr>
          <w:fldChar w:fldCharType="separate"/>
        </w:r>
        <w:r w:rsidR="00C20F1D" w:rsidRPr="00B4515A">
          <w:rPr>
            <w:noProof/>
            <w:webHidden/>
          </w:rPr>
          <w:t>298</w:t>
        </w:r>
        <w:r w:rsidR="00C20F1D" w:rsidRPr="00B4515A">
          <w:rPr>
            <w:noProof/>
            <w:webHidden/>
          </w:rPr>
          <w:fldChar w:fldCharType="end"/>
        </w:r>
      </w:hyperlink>
    </w:p>
    <w:p w14:paraId="0B6AA042" w14:textId="3076FBB9" w:rsidR="00C20F1D" w:rsidRPr="00B4515A" w:rsidRDefault="000374A4" w:rsidP="00C20F1D">
      <w:pPr>
        <w:pStyle w:val="23"/>
        <w:tabs>
          <w:tab w:val="left" w:pos="1260"/>
        </w:tabs>
        <w:ind w:left="480"/>
        <w:rPr>
          <w:rFonts w:asciiTheme="minorHAnsi" w:eastAsiaTheme="minorEastAsia" w:hAnsiTheme="minorHAnsi" w:cstheme="minorBidi"/>
          <w:bCs w:val="0"/>
          <w:noProof/>
          <w:kern w:val="2"/>
          <w:sz w:val="21"/>
          <w:szCs w:val="22"/>
        </w:rPr>
      </w:pPr>
      <w:hyperlink w:anchor="_Toc80960577" w:history="1">
        <w:r w:rsidR="00C20F1D" w:rsidRPr="00B4515A">
          <w:rPr>
            <w:rStyle w:val="aff"/>
            <w:rFonts w:hint="eastAsia"/>
            <w:noProof/>
          </w:rPr>
          <w:t>一、标的公司最近两年及一期简要财务报表</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_Toc80960577 \h </w:instrText>
        </w:r>
        <w:r w:rsidR="00C20F1D" w:rsidRPr="00B4515A">
          <w:rPr>
            <w:noProof/>
            <w:webHidden/>
          </w:rPr>
        </w:r>
        <w:r w:rsidR="00C20F1D" w:rsidRPr="00B4515A">
          <w:rPr>
            <w:noProof/>
            <w:webHidden/>
          </w:rPr>
          <w:fldChar w:fldCharType="separate"/>
        </w:r>
        <w:r w:rsidR="00C20F1D" w:rsidRPr="00B4515A">
          <w:rPr>
            <w:noProof/>
            <w:webHidden/>
          </w:rPr>
          <w:t>298</w:t>
        </w:r>
        <w:r w:rsidR="00C20F1D" w:rsidRPr="00B4515A">
          <w:rPr>
            <w:noProof/>
            <w:webHidden/>
          </w:rPr>
          <w:fldChar w:fldCharType="end"/>
        </w:r>
      </w:hyperlink>
    </w:p>
    <w:p w14:paraId="1492CA43"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78" w:history="1">
        <w:r w:rsidR="00C20F1D" w:rsidRPr="00B4515A">
          <w:rPr>
            <w:rStyle w:val="aff"/>
            <w:rFonts w:hint="eastAsia"/>
            <w:noProof/>
          </w:rPr>
          <w:t>二、上市公司最近一年及一期的简要备考合并财务报表</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_Toc80960578 \h </w:instrText>
        </w:r>
        <w:r w:rsidR="00C20F1D" w:rsidRPr="00B4515A">
          <w:rPr>
            <w:noProof/>
            <w:webHidden/>
          </w:rPr>
        </w:r>
        <w:r w:rsidR="00C20F1D" w:rsidRPr="00B4515A">
          <w:rPr>
            <w:noProof/>
            <w:webHidden/>
          </w:rPr>
          <w:fldChar w:fldCharType="separate"/>
        </w:r>
        <w:r w:rsidR="00C20F1D" w:rsidRPr="00B4515A">
          <w:rPr>
            <w:noProof/>
            <w:webHidden/>
          </w:rPr>
          <w:t>304</w:t>
        </w:r>
        <w:r w:rsidR="00C20F1D" w:rsidRPr="00B4515A">
          <w:rPr>
            <w:noProof/>
            <w:webHidden/>
          </w:rPr>
          <w:fldChar w:fldCharType="end"/>
        </w:r>
      </w:hyperlink>
    </w:p>
    <w:p w14:paraId="5E662E5A"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79" w:history="1">
        <w:r w:rsidR="00C20F1D" w:rsidRPr="00B4515A">
          <w:rPr>
            <w:rStyle w:val="aff"/>
            <w:rFonts w:hint="eastAsia"/>
            <w:noProof/>
          </w:rPr>
          <w:t>第十一节</w:t>
        </w:r>
        <w:r w:rsidR="00C20F1D" w:rsidRPr="00B4515A">
          <w:rPr>
            <w:rStyle w:val="aff"/>
            <w:noProof/>
          </w:rPr>
          <w:t xml:space="preserve"> </w:t>
        </w:r>
        <w:r w:rsidR="00C20F1D" w:rsidRPr="00B4515A">
          <w:rPr>
            <w:rStyle w:val="aff"/>
            <w:rFonts w:hint="eastAsia"/>
            <w:noProof/>
          </w:rPr>
          <w:t>同业竞争与关联交易</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_Toc80960579 \h </w:instrText>
        </w:r>
        <w:r w:rsidR="00C20F1D" w:rsidRPr="00B4515A">
          <w:rPr>
            <w:noProof/>
            <w:webHidden/>
          </w:rPr>
        </w:r>
        <w:r w:rsidR="00C20F1D" w:rsidRPr="00B4515A">
          <w:rPr>
            <w:noProof/>
            <w:webHidden/>
          </w:rPr>
          <w:fldChar w:fldCharType="separate"/>
        </w:r>
        <w:r w:rsidR="00C20F1D" w:rsidRPr="00B4515A">
          <w:rPr>
            <w:noProof/>
            <w:webHidden/>
          </w:rPr>
          <w:t>310</w:t>
        </w:r>
        <w:r w:rsidR="00C20F1D" w:rsidRPr="00B4515A">
          <w:rPr>
            <w:noProof/>
            <w:webHidden/>
          </w:rPr>
          <w:fldChar w:fldCharType="end"/>
        </w:r>
      </w:hyperlink>
    </w:p>
    <w:p w14:paraId="110D0D83"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80" w:history="1">
        <w:r w:rsidR="00C20F1D" w:rsidRPr="00B4515A">
          <w:rPr>
            <w:rStyle w:val="aff"/>
            <w:rFonts w:hint="eastAsia"/>
            <w:noProof/>
          </w:rPr>
          <w:t>一、本次交易对同业竞争的影响</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_Toc80960580 \h </w:instrText>
        </w:r>
        <w:r w:rsidR="00C20F1D" w:rsidRPr="00B4515A">
          <w:rPr>
            <w:noProof/>
            <w:webHidden/>
          </w:rPr>
        </w:r>
        <w:r w:rsidR="00C20F1D" w:rsidRPr="00B4515A">
          <w:rPr>
            <w:noProof/>
            <w:webHidden/>
          </w:rPr>
          <w:fldChar w:fldCharType="separate"/>
        </w:r>
        <w:r w:rsidR="00C20F1D" w:rsidRPr="00B4515A">
          <w:rPr>
            <w:noProof/>
            <w:webHidden/>
          </w:rPr>
          <w:t>310</w:t>
        </w:r>
        <w:r w:rsidR="00C20F1D" w:rsidRPr="00B4515A">
          <w:rPr>
            <w:noProof/>
            <w:webHidden/>
          </w:rPr>
          <w:fldChar w:fldCharType="end"/>
        </w:r>
      </w:hyperlink>
    </w:p>
    <w:p w14:paraId="3CCC13C3"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81" w:history="1">
        <w:r w:rsidR="00C20F1D" w:rsidRPr="00B4515A">
          <w:rPr>
            <w:rStyle w:val="aff"/>
            <w:rFonts w:hint="eastAsia"/>
            <w:noProof/>
          </w:rPr>
          <w:t>二、标的公司报告期关联交易情况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_Toc80960581 \h </w:instrText>
        </w:r>
        <w:r w:rsidR="00C20F1D" w:rsidRPr="00B4515A">
          <w:rPr>
            <w:noProof/>
            <w:webHidden/>
          </w:rPr>
        </w:r>
        <w:r w:rsidR="00C20F1D" w:rsidRPr="00B4515A">
          <w:rPr>
            <w:noProof/>
            <w:webHidden/>
          </w:rPr>
          <w:fldChar w:fldCharType="separate"/>
        </w:r>
        <w:r w:rsidR="00C20F1D" w:rsidRPr="00B4515A">
          <w:rPr>
            <w:noProof/>
            <w:webHidden/>
          </w:rPr>
          <w:t>311</w:t>
        </w:r>
        <w:r w:rsidR="00C20F1D" w:rsidRPr="00B4515A">
          <w:rPr>
            <w:noProof/>
            <w:webHidden/>
          </w:rPr>
          <w:fldChar w:fldCharType="end"/>
        </w:r>
      </w:hyperlink>
    </w:p>
    <w:p w14:paraId="7C1EEA04"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82" w:history="1">
        <w:r w:rsidR="00C20F1D" w:rsidRPr="00B4515A">
          <w:rPr>
            <w:rStyle w:val="aff"/>
            <w:rFonts w:hint="eastAsia"/>
            <w:noProof/>
          </w:rPr>
          <w:t>三、本次交易对关联交易的影响</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_Toc80960582 \h </w:instrText>
        </w:r>
        <w:r w:rsidR="00C20F1D" w:rsidRPr="00B4515A">
          <w:rPr>
            <w:noProof/>
            <w:webHidden/>
          </w:rPr>
        </w:r>
        <w:r w:rsidR="00C20F1D" w:rsidRPr="00B4515A">
          <w:rPr>
            <w:noProof/>
            <w:webHidden/>
          </w:rPr>
          <w:fldChar w:fldCharType="separate"/>
        </w:r>
        <w:r w:rsidR="00C20F1D" w:rsidRPr="00B4515A">
          <w:rPr>
            <w:noProof/>
            <w:webHidden/>
          </w:rPr>
          <w:t>318</w:t>
        </w:r>
        <w:r w:rsidR="00C20F1D" w:rsidRPr="00B4515A">
          <w:rPr>
            <w:noProof/>
            <w:webHidden/>
          </w:rPr>
          <w:fldChar w:fldCharType="end"/>
        </w:r>
      </w:hyperlink>
    </w:p>
    <w:p w14:paraId="490494E9"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83" w:history="1">
        <w:r w:rsidR="00C20F1D" w:rsidRPr="00B4515A">
          <w:rPr>
            <w:rStyle w:val="aff"/>
            <w:rFonts w:hint="eastAsia"/>
            <w:noProof/>
          </w:rPr>
          <w:t>第十二节</w:t>
        </w:r>
        <w:r w:rsidR="00C20F1D" w:rsidRPr="00B4515A">
          <w:rPr>
            <w:rStyle w:val="aff"/>
            <w:noProof/>
          </w:rPr>
          <w:t xml:space="preserve"> </w:t>
        </w:r>
        <w:r w:rsidR="00C20F1D" w:rsidRPr="00B4515A">
          <w:rPr>
            <w:rStyle w:val="aff"/>
            <w:rFonts w:hint="eastAsia"/>
            <w:noProof/>
          </w:rPr>
          <w:t>风险因素</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_Toc80960583 \h </w:instrText>
        </w:r>
        <w:r w:rsidR="00C20F1D" w:rsidRPr="00B4515A">
          <w:rPr>
            <w:noProof/>
            <w:webHidden/>
          </w:rPr>
        </w:r>
        <w:r w:rsidR="00C20F1D" w:rsidRPr="00B4515A">
          <w:rPr>
            <w:noProof/>
            <w:webHidden/>
          </w:rPr>
          <w:fldChar w:fldCharType="separate"/>
        </w:r>
        <w:r w:rsidR="00C20F1D" w:rsidRPr="00B4515A">
          <w:rPr>
            <w:noProof/>
            <w:webHidden/>
          </w:rPr>
          <w:t>329</w:t>
        </w:r>
        <w:r w:rsidR="00C20F1D" w:rsidRPr="00B4515A">
          <w:rPr>
            <w:noProof/>
            <w:webHidden/>
          </w:rPr>
          <w:fldChar w:fldCharType="end"/>
        </w:r>
      </w:hyperlink>
    </w:p>
    <w:p w14:paraId="4FD1996B"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84" w:history="1">
        <w:r w:rsidR="00C20F1D" w:rsidRPr="00B4515A">
          <w:rPr>
            <w:rStyle w:val="aff"/>
            <w:rFonts w:hint="eastAsia"/>
            <w:noProof/>
          </w:rPr>
          <w:t>一、与本次交易相关的风险</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_Toc80960584 \h </w:instrText>
        </w:r>
        <w:r w:rsidR="00C20F1D" w:rsidRPr="00B4515A">
          <w:rPr>
            <w:noProof/>
            <w:webHidden/>
          </w:rPr>
        </w:r>
        <w:r w:rsidR="00C20F1D" w:rsidRPr="00B4515A">
          <w:rPr>
            <w:noProof/>
            <w:webHidden/>
          </w:rPr>
          <w:fldChar w:fldCharType="separate"/>
        </w:r>
        <w:r w:rsidR="00C20F1D" w:rsidRPr="00B4515A">
          <w:rPr>
            <w:noProof/>
            <w:webHidden/>
          </w:rPr>
          <w:t>329</w:t>
        </w:r>
        <w:r w:rsidR="00C20F1D" w:rsidRPr="00B4515A">
          <w:rPr>
            <w:noProof/>
            <w:webHidden/>
          </w:rPr>
          <w:fldChar w:fldCharType="end"/>
        </w:r>
      </w:hyperlink>
    </w:p>
    <w:p w14:paraId="36F7717E"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85" w:history="1">
        <w:r w:rsidR="00C20F1D" w:rsidRPr="00B4515A">
          <w:rPr>
            <w:rStyle w:val="aff"/>
            <w:rFonts w:hint="eastAsia"/>
            <w:noProof/>
          </w:rPr>
          <w:t>二、与标的公司相关的风险</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_Toc80960585 \h </w:instrText>
        </w:r>
        <w:r w:rsidR="00C20F1D" w:rsidRPr="00B4515A">
          <w:rPr>
            <w:noProof/>
            <w:webHidden/>
          </w:rPr>
        </w:r>
        <w:r w:rsidR="00C20F1D" w:rsidRPr="00B4515A">
          <w:rPr>
            <w:noProof/>
            <w:webHidden/>
          </w:rPr>
          <w:fldChar w:fldCharType="separate"/>
        </w:r>
        <w:r w:rsidR="00C20F1D" w:rsidRPr="00B4515A">
          <w:rPr>
            <w:noProof/>
            <w:webHidden/>
          </w:rPr>
          <w:t>331</w:t>
        </w:r>
        <w:r w:rsidR="00C20F1D" w:rsidRPr="00B4515A">
          <w:rPr>
            <w:noProof/>
            <w:webHidden/>
          </w:rPr>
          <w:fldChar w:fldCharType="end"/>
        </w:r>
      </w:hyperlink>
    </w:p>
    <w:p w14:paraId="4DC9BD86"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86" w:history="1">
        <w:r w:rsidR="00C20F1D" w:rsidRPr="00B4515A">
          <w:rPr>
            <w:rStyle w:val="aff"/>
            <w:rFonts w:hint="eastAsia"/>
            <w:noProof/>
          </w:rPr>
          <w:t>三、其他风险</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_Toc80960586 \h </w:instrText>
        </w:r>
        <w:r w:rsidR="00C20F1D" w:rsidRPr="00B4515A">
          <w:rPr>
            <w:noProof/>
            <w:webHidden/>
          </w:rPr>
        </w:r>
        <w:r w:rsidR="00C20F1D" w:rsidRPr="00B4515A">
          <w:rPr>
            <w:noProof/>
            <w:webHidden/>
          </w:rPr>
          <w:fldChar w:fldCharType="separate"/>
        </w:r>
        <w:r w:rsidR="00C20F1D" w:rsidRPr="00B4515A">
          <w:rPr>
            <w:noProof/>
            <w:webHidden/>
          </w:rPr>
          <w:t>333</w:t>
        </w:r>
        <w:r w:rsidR="00C20F1D" w:rsidRPr="00B4515A">
          <w:rPr>
            <w:noProof/>
            <w:webHidden/>
          </w:rPr>
          <w:fldChar w:fldCharType="end"/>
        </w:r>
      </w:hyperlink>
    </w:p>
    <w:p w14:paraId="4F7893D9"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87" w:history="1">
        <w:r w:rsidR="00C20F1D" w:rsidRPr="00B4515A">
          <w:rPr>
            <w:rStyle w:val="aff"/>
            <w:rFonts w:hint="eastAsia"/>
            <w:noProof/>
          </w:rPr>
          <w:t>第十三节</w:t>
        </w:r>
        <w:r w:rsidR="00C20F1D" w:rsidRPr="00B4515A">
          <w:rPr>
            <w:rStyle w:val="aff"/>
            <w:noProof/>
          </w:rPr>
          <w:t xml:space="preserve"> </w:t>
        </w:r>
        <w:r w:rsidR="00C20F1D" w:rsidRPr="00B4515A">
          <w:rPr>
            <w:rStyle w:val="aff"/>
            <w:rFonts w:hint="eastAsia"/>
            <w:noProof/>
          </w:rPr>
          <w:t>其他重要事项</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_Toc80960587 \h </w:instrText>
        </w:r>
        <w:r w:rsidR="00C20F1D" w:rsidRPr="00B4515A">
          <w:rPr>
            <w:noProof/>
            <w:webHidden/>
          </w:rPr>
        </w:r>
        <w:r w:rsidR="00C20F1D" w:rsidRPr="00B4515A">
          <w:rPr>
            <w:noProof/>
            <w:webHidden/>
          </w:rPr>
          <w:fldChar w:fldCharType="separate"/>
        </w:r>
        <w:r w:rsidR="00C20F1D" w:rsidRPr="00B4515A">
          <w:rPr>
            <w:noProof/>
            <w:webHidden/>
          </w:rPr>
          <w:t>335</w:t>
        </w:r>
        <w:r w:rsidR="00C20F1D" w:rsidRPr="00B4515A">
          <w:rPr>
            <w:noProof/>
            <w:webHidden/>
          </w:rPr>
          <w:fldChar w:fldCharType="end"/>
        </w:r>
      </w:hyperlink>
    </w:p>
    <w:p w14:paraId="5FCCC153"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88" w:history="1">
        <w:r w:rsidR="00C20F1D" w:rsidRPr="00B4515A">
          <w:rPr>
            <w:rStyle w:val="aff"/>
            <w:rFonts w:hint="eastAsia"/>
            <w:noProof/>
          </w:rPr>
          <w:t>一、本次交易完成后上市公司资金、资产占用及对外担保情况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_Toc80960588 \h </w:instrText>
        </w:r>
        <w:r w:rsidR="00C20F1D" w:rsidRPr="00B4515A">
          <w:rPr>
            <w:noProof/>
            <w:webHidden/>
          </w:rPr>
        </w:r>
        <w:r w:rsidR="00C20F1D" w:rsidRPr="00B4515A">
          <w:rPr>
            <w:noProof/>
            <w:webHidden/>
          </w:rPr>
          <w:fldChar w:fldCharType="separate"/>
        </w:r>
        <w:r w:rsidR="00C20F1D" w:rsidRPr="00B4515A">
          <w:rPr>
            <w:noProof/>
            <w:webHidden/>
          </w:rPr>
          <w:t>335</w:t>
        </w:r>
        <w:r w:rsidR="00C20F1D" w:rsidRPr="00B4515A">
          <w:rPr>
            <w:noProof/>
            <w:webHidden/>
          </w:rPr>
          <w:fldChar w:fldCharType="end"/>
        </w:r>
      </w:hyperlink>
    </w:p>
    <w:p w14:paraId="4D2170A8"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89" w:history="1">
        <w:r w:rsidR="00C20F1D" w:rsidRPr="00B4515A">
          <w:rPr>
            <w:rStyle w:val="aff"/>
            <w:rFonts w:hint="eastAsia"/>
            <w:noProof/>
          </w:rPr>
          <w:t>二、本次交易对上市公司负债结构的影响</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_Toc80960589 \h </w:instrText>
        </w:r>
        <w:r w:rsidR="00C20F1D" w:rsidRPr="00B4515A">
          <w:rPr>
            <w:noProof/>
            <w:webHidden/>
          </w:rPr>
        </w:r>
        <w:r w:rsidR="00C20F1D" w:rsidRPr="00B4515A">
          <w:rPr>
            <w:noProof/>
            <w:webHidden/>
          </w:rPr>
          <w:fldChar w:fldCharType="separate"/>
        </w:r>
        <w:r w:rsidR="00C20F1D" w:rsidRPr="00B4515A">
          <w:rPr>
            <w:noProof/>
            <w:webHidden/>
          </w:rPr>
          <w:t>335</w:t>
        </w:r>
        <w:r w:rsidR="00C20F1D" w:rsidRPr="00B4515A">
          <w:rPr>
            <w:noProof/>
            <w:webHidden/>
          </w:rPr>
          <w:fldChar w:fldCharType="end"/>
        </w:r>
      </w:hyperlink>
    </w:p>
    <w:p w14:paraId="16EBBF44"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90" w:history="1">
        <w:r w:rsidR="00C20F1D" w:rsidRPr="00B4515A">
          <w:rPr>
            <w:rStyle w:val="aff"/>
            <w:rFonts w:hint="eastAsia"/>
            <w:noProof/>
          </w:rPr>
          <w:t>三、上市公司最近</w:t>
        </w:r>
        <w:r w:rsidR="00C20F1D" w:rsidRPr="00B4515A">
          <w:rPr>
            <w:rStyle w:val="aff"/>
            <w:noProof/>
          </w:rPr>
          <w:t>12</w:t>
        </w:r>
        <w:r w:rsidR="00C20F1D" w:rsidRPr="00B4515A">
          <w:rPr>
            <w:rStyle w:val="aff"/>
            <w:rFonts w:hint="eastAsia"/>
            <w:noProof/>
          </w:rPr>
          <w:t>个月重大资产购买或出售情况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_Toc80960590 \h </w:instrText>
        </w:r>
        <w:r w:rsidR="00C20F1D" w:rsidRPr="00B4515A">
          <w:rPr>
            <w:noProof/>
            <w:webHidden/>
          </w:rPr>
        </w:r>
        <w:r w:rsidR="00C20F1D" w:rsidRPr="00B4515A">
          <w:rPr>
            <w:noProof/>
            <w:webHidden/>
          </w:rPr>
          <w:fldChar w:fldCharType="separate"/>
        </w:r>
        <w:r w:rsidR="00C20F1D" w:rsidRPr="00B4515A">
          <w:rPr>
            <w:noProof/>
            <w:webHidden/>
          </w:rPr>
          <w:t>335</w:t>
        </w:r>
        <w:r w:rsidR="00C20F1D" w:rsidRPr="00B4515A">
          <w:rPr>
            <w:noProof/>
            <w:webHidden/>
          </w:rPr>
          <w:fldChar w:fldCharType="end"/>
        </w:r>
      </w:hyperlink>
    </w:p>
    <w:p w14:paraId="6D154C32"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91" w:history="1">
        <w:r w:rsidR="00C20F1D" w:rsidRPr="00B4515A">
          <w:rPr>
            <w:rStyle w:val="aff"/>
            <w:rFonts w:hint="eastAsia"/>
            <w:noProof/>
          </w:rPr>
          <w:t>四、本次交易对公司治理机制的影响</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_Toc80960591 \h </w:instrText>
        </w:r>
        <w:r w:rsidR="00C20F1D" w:rsidRPr="00B4515A">
          <w:rPr>
            <w:noProof/>
            <w:webHidden/>
          </w:rPr>
        </w:r>
        <w:r w:rsidR="00C20F1D" w:rsidRPr="00B4515A">
          <w:rPr>
            <w:noProof/>
            <w:webHidden/>
          </w:rPr>
          <w:fldChar w:fldCharType="separate"/>
        </w:r>
        <w:r w:rsidR="00C20F1D" w:rsidRPr="00B4515A">
          <w:rPr>
            <w:noProof/>
            <w:webHidden/>
          </w:rPr>
          <w:t>337</w:t>
        </w:r>
        <w:r w:rsidR="00C20F1D" w:rsidRPr="00B4515A">
          <w:rPr>
            <w:noProof/>
            <w:webHidden/>
          </w:rPr>
          <w:fldChar w:fldCharType="end"/>
        </w:r>
      </w:hyperlink>
    </w:p>
    <w:p w14:paraId="651918B7"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92" w:history="1">
        <w:r w:rsidR="00C20F1D" w:rsidRPr="00B4515A">
          <w:rPr>
            <w:rStyle w:val="aff"/>
            <w:rFonts w:hint="eastAsia"/>
            <w:noProof/>
          </w:rPr>
          <w:t>五、本次交易后公司的现金分红政策及相应安排、董事会对上述情况的说明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_Toc80960592 \h </w:instrText>
        </w:r>
        <w:r w:rsidR="00C20F1D" w:rsidRPr="00B4515A">
          <w:rPr>
            <w:noProof/>
            <w:webHidden/>
          </w:rPr>
        </w:r>
        <w:r w:rsidR="00C20F1D" w:rsidRPr="00B4515A">
          <w:rPr>
            <w:noProof/>
            <w:webHidden/>
          </w:rPr>
          <w:fldChar w:fldCharType="separate"/>
        </w:r>
        <w:r w:rsidR="00C20F1D" w:rsidRPr="00B4515A">
          <w:rPr>
            <w:noProof/>
            <w:webHidden/>
          </w:rPr>
          <w:t>337</w:t>
        </w:r>
        <w:r w:rsidR="00C20F1D" w:rsidRPr="00B4515A">
          <w:rPr>
            <w:noProof/>
            <w:webHidden/>
          </w:rPr>
          <w:fldChar w:fldCharType="end"/>
        </w:r>
      </w:hyperlink>
    </w:p>
    <w:p w14:paraId="0ED61CBE"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93" w:history="1">
        <w:r w:rsidR="00C20F1D" w:rsidRPr="00B4515A">
          <w:rPr>
            <w:rStyle w:val="aff"/>
            <w:rFonts w:hint="eastAsia"/>
            <w:noProof/>
          </w:rPr>
          <w:t>六、本次交易涉及的相关主体买卖上市公司股票的自查情况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_Toc80960593 \h </w:instrText>
        </w:r>
        <w:r w:rsidR="00C20F1D" w:rsidRPr="00B4515A">
          <w:rPr>
            <w:noProof/>
            <w:webHidden/>
          </w:rPr>
        </w:r>
        <w:r w:rsidR="00C20F1D" w:rsidRPr="00B4515A">
          <w:rPr>
            <w:noProof/>
            <w:webHidden/>
          </w:rPr>
          <w:fldChar w:fldCharType="separate"/>
        </w:r>
        <w:r w:rsidR="00C20F1D" w:rsidRPr="00B4515A">
          <w:rPr>
            <w:noProof/>
            <w:webHidden/>
          </w:rPr>
          <w:t>339</w:t>
        </w:r>
        <w:r w:rsidR="00C20F1D" w:rsidRPr="00B4515A">
          <w:rPr>
            <w:noProof/>
            <w:webHidden/>
          </w:rPr>
          <w:fldChar w:fldCharType="end"/>
        </w:r>
      </w:hyperlink>
    </w:p>
    <w:p w14:paraId="47196CF4"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94" w:history="1">
        <w:r w:rsidR="00C20F1D" w:rsidRPr="00B4515A">
          <w:rPr>
            <w:rStyle w:val="aff"/>
            <w:rFonts w:hint="eastAsia"/>
            <w:noProof/>
          </w:rPr>
          <w:t>七、本次重组对中小投资者权益保护的安排</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_Toc80960594 \h </w:instrText>
        </w:r>
        <w:r w:rsidR="00C20F1D" w:rsidRPr="00B4515A">
          <w:rPr>
            <w:noProof/>
            <w:webHidden/>
          </w:rPr>
        </w:r>
        <w:r w:rsidR="00C20F1D" w:rsidRPr="00B4515A">
          <w:rPr>
            <w:noProof/>
            <w:webHidden/>
          </w:rPr>
          <w:fldChar w:fldCharType="separate"/>
        </w:r>
        <w:r w:rsidR="00C20F1D" w:rsidRPr="00B4515A">
          <w:rPr>
            <w:noProof/>
            <w:webHidden/>
          </w:rPr>
          <w:t>340</w:t>
        </w:r>
        <w:r w:rsidR="00C20F1D" w:rsidRPr="00B4515A">
          <w:rPr>
            <w:noProof/>
            <w:webHidden/>
          </w:rPr>
          <w:fldChar w:fldCharType="end"/>
        </w:r>
      </w:hyperlink>
    </w:p>
    <w:p w14:paraId="3575B4DE"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95" w:history="1">
        <w:r w:rsidR="00C20F1D" w:rsidRPr="00B4515A">
          <w:rPr>
            <w:rStyle w:val="aff"/>
            <w:rFonts w:hint="eastAsia"/>
            <w:noProof/>
          </w:rPr>
          <w:t>八、上市公司股票停牌前股价波动未达到</w:t>
        </w:r>
        <w:r w:rsidR="00C20F1D" w:rsidRPr="00B4515A">
          <w:rPr>
            <w:rStyle w:val="aff"/>
            <w:noProof/>
          </w:rPr>
          <w:t>20%</w:t>
        </w:r>
        <w:r w:rsidR="00C20F1D" w:rsidRPr="00B4515A">
          <w:rPr>
            <w:rStyle w:val="aff"/>
            <w:rFonts w:hint="eastAsia"/>
            <w:noProof/>
          </w:rPr>
          <w:t>的说明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_Toc80960595 \h </w:instrText>
        </w:r>
        <w:r w:rsidR="00C20F1D" w:rsidRPr="00B4515A">
          <w:rPr>
            <w:noProof/>
            <w:webHidden/>
          </w:rPr>
        </w:r>
        <w:r w:rsidR="00C20F1D" w:rsidRPr="00B4515A">
          <w:rPr>
            <w:noProof/>
            <w:webHidden/>
          </w:rPr>
          <w:fldChar w:fldCharType="separate"/>
        </w:r>
        <w:r w:rsidR="00C20F1D" w:rsidRPr="00B4515A">
          <w:rPr>
            <w:noProof/>
            <w:webHidden/>
          </w:rPr>
          <w:t>344</w:t>
        </w:r>
        <w:r w:rsidR="00C20F1D" w:rsidRPr="00B4515A">
          <w:rPr>
            <w:noProof/>
            <w:webHidden/>
          </w:rPr>
          <w:fldChar w:fldCharType="end"/>
        </w:r>
      </w:hyperlink>
    </w:p>
    <w:p w14:paraId="7FA87585"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96" w:history="1">
        <w:r w:rsidR="00C20F1D" w:rsidRPr="00B4515A">
          <w:rPr>
            <w:rStyle w:val="aff"/>
            <w:rFonts w:hint="eastAsia"/>
            <w:noProof/>
          </w:rPr>
          <w:t>九、上市公司控股股东及其一致行动人对本次重组的原则性意见</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_Toc80960596 \h </w:instrText>
        </w:r>
        <w:r w:rsidR="00C20F1D" w:rsidRPr="00B4515A">
          <w:rPr>
            <w:noProof/>
            <w:webHidden/>
          </w:rPr>
        </w:r>
        <w:r w:rsidR="00C20F1D" w:rsidRPr="00B4515A">
          <w:rPr>
            <w:noProof/>
            <w:webHidden/>
          </w:rPr>
          <w:fldChar w:fldCharType="separate"/>
        </w:r>
        <w:r w:rsidR="00C20F1D" w:rsidRPr="00B4515A">
          <w:rPr>
            <w:noProof/>
            <w:webHidden/>
          </w:rPr>
          <w:t>345</w:t>
        </w:r>
        <w:r w:rsidR="00C20F1D" w:rsidRPr="00B4515A">
          <w:rPr>
            <w:noProof/>
            <w:webHidden/>
          </w:rPr>
          <w:fldChar w:fldCharType="end"/>
        </w:r>
      </w:hyperlink>
    </w:p>
    <w:p w14:paraId="7CB17D74"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97" w:history="1">
        <w:r w:rsidR="00C20F1D" w:rsidRPr="00B4515A">
          <w:rPr>
            <w:rStyle w:val="aff"/>
            <w:rFonts w:hint="eastAsia"/>
            <w:noProof/>
          </w:rPr>
          <w:t>十、上市公司的董事、监事、高级管理人员、控股股东及其一致行动人自本次重组复牌之日起至实施完毕期间的股份减持计划</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_Toc80960597 \h </w:instrText>
        </w:r>
        <w:r w:rsidR="00C20F1D" w:rsidRPr="00B4515A">
          <w:rPr>
            <w:noProof/>
            <w:webHidden/>
          </w:rPr>
        </w:r>
        <w:r w:rsidR="00C20F1D" w:rsidRPr="00B4515A">
          <w:rPr>
            <w:noProof/>
            <w:webHidden/>
          </w:rPr>
          <w:fldChar w:fldCharType="separate"/>
        </w:r>
        <w:r w:rsidR="00C20F1D" w:rsidRPr="00B4515A">
          <w:rPr>
            <w:noProof/>
            <w:webHidden/>
          </w:rPr>
          <w:t>345</w:t>
        </w:r>
        <w:r w:rsidR="00C20F1D" w:rsidRPr="00B4515A">
          <w:rPr>
            <w:noProof/>
            <w:webHidden/>
          </w:rPr>
          <w:fldChar w:fldCharType="end"/>
        </w:r>
      </w:hyperlink>
    </w:p>
    <w:p w14:paraId="4026BB02"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598" w:history="1">
        <w:r w:rsidR="00C20F1D" w:rsidRPr="00B4515A">
          <w:rPr>
            <w:rStyle w:val="aff"/>
            <w:rFonts w:hint="eastAsia"/>
            <w:noProof/>
          </w:rPr>
          <w:t>十一、关于本次重组相关主体是否存在依据《关于加强与上市公司重大资产重组相关股票异常交易监管的暂行规定》第十三条不得参与上市公司重大资产重组情形的说明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_Toc80960598 \h </w:instrText>
        </w:r>
        <w:r w:rsidR="00C20F1D" w:rsidRPr="00B4515A">
          <w:rPr>
            <w:noProof/>
            <w:webHidden/>
          </w:rPr>
        </w:r>
        <w:r w:rsidR="00C20F1D" w:rsidRPr="00B4515A">
          <w:rPr>
            <w:noProof/>
            <w:webHidden/>
          </w:rPr>
          <w:fldChar w:fldCharType="separate"/>
        </w:r>
        <w:r w:rsidR="00C20F1D" w:rsidRPr="00B4515A">
          <w:rPr>
            <w:noProof/>
            <w:webHidden/>
          </w:rPr>
          <w:t>346</w:t>
        </w:r>
        <w:r w:rsidR="00C20F1D" w:rsidRPr="00B4515A">
          <w:rPr>
            <w:noProof/>
            <w:webHidden/>
          </w:rPr>
          <w:fldChar w:fldCharType="end"/>
        </w:r>
      </w:hyperlink>
    </w:p>
    <w:p w14:paraId="28E11CE9"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599" w:history="1">
        <w:r w:rsidR="00C20F1D" w:rsidRPr="00B4515A">
          <w:rPr>
            <w:rStyle w:val="aff"/>
            <w:rFonts w:hint="eastAsia"/>
            <w:noProof/>
          </w:rPr>
          <w:t>第十四节</w:t>
        </w:r>
        <w:r w:rsidR="00C20F1D" w:rsidRPr="00B4515A">
          <w:rPr>
            <w:rStyle w:val="aff"/>
            <w:noProof/>
          </w:rPr>
          <w:t xml:space="preserve"> </w:t>
        </w:r>
        <w:r w:rsidR="00C20F1D" w:rsidRPr="00B4515A">
          <w:rPr>
            <w:rStyle w:val="aff"/>
            <w:rFonts w:hint="eastAsia"/>
            <w:noProof/>
          </w:rPr>
          <w:t>独立董事及相关中介意见</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_Toc80960599 \h </w:instrText>
        </w:r>
        <w:r w:rsidR="00C20F1D" w:rsidRPr="00B4515A">
          <w:rPr>
            <w:noProof/>
            <w:webHidden/>
          </w:rPr>
        </w:r>
        <w:r w:rsidR="00C20F1D" w:rsidRPr="00B4515A">
          <w:rPr>
            <w:noProof/>
            <w:webHidden/>
          </w:rPr>
          <w:fldChar w:fldCharType="separate"/>
        </w:r>
        <w:r w:rsidR="00C20F1D" w:rsidRPr="00B4515A">
          <w:rPr>
            <w:noProof/>
            <w:webHidden/>
          </w:rPr>
          <w:t>347</w:t>
        </w:r>
        <w:r w:rsidR="00C20F1D" w:rsidRPr="00B4515A">
          <w:rPr>
            <w:noProof/>
            <w:webHidden/>
          </w:rPr>
          <w:fldChar w:fldCharType="end"/>
        </w:r>
      </w:hyperlink>
    </w:p>
    <w:p w14:paraId="5F1EE0AC"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00" w:history="1">
        <w:r w:rsidR="00C20F1D" w:rsidRPr="00B4515A">
          <w:rPr>
            <w:rStyle w:val="aff"/>
            <w:rFonts w:hint="eastAsia"/>
            <w:noProof/>
          </w:rPr>
          <w:t>一、上市公司独立董事意见</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_Toc80960600 \h </w:instrText>
        </w:r>
        <w:r w:rsidR="00C20F1D" w:rsidRPr="00B4515A">
          <w:rPr>
            <w:noProof/>
            <w:webHidden/>
          </w:rPr>
        </w:r>
        <w:r w:rsidR="00C20F1D" w:rsidRPr="00B4515A">
          <w:rPr>
            <w:noProof/>
            <w:webHidden/>
          </w:rPr>
          <w:fldChar w:fldCharType="separate"/>
        </w:r>
        <w:r w:rsidR="00C20F1D" w:rsidRPr="00B4515A">
          <w:rPr>
            <w:noProof/>
            <w:webHidden/>
          </w:rPr>
          <w:t>347</w:t>
        </w:r>
        <w:r w:rsidR="00C20F1D" w:rsidRPr="00B4515A">
          <w:rPr>
            <w:noProof/>
            <w:webHidden/>
          </w:rPr>
          <w:fldChar w:fldCharType="end"/>
        </w:r>
      </w:hyperlink>
    </w:p>
    <w:p w14:paraId="3E9E1202"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01" w:history="1">
        <w:r w:rsidR="00C20F1D" w:rsidRPr="00B4515A">
          <w:rPr>
            <w:rStyle w:val="aff"/>
            <w:rFonts w:hint="eastAsia"/>
            <w:noProof/>
          </w:rPr>
          <w:t>二、独立财务顾问意见</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_Toc80960601 \h </w:instrText>
        </w:r>
        <w:r w:rsidR="00C20F1D" w:rsidRPr="00B4515A">
          <w:rPr>
            <w:noProof/>
            <w:webHidden/>
          </w:rPr>
        </w:r>
        <w:r w:rsidR="00C20F1D" w:rsidRPr="00B4515A">
          <w:rPr>
            <w:noProof/>
            <w:webHidden/>
          </w:rPr>
          <w:fldChar w:fldCharType="separate"/>
        </w:r>
        <w:r w:rsidR="00C20F1D" w:rsidRPr="00B4515A">
          <w:rPr>
            <w:noProof/>
            <w:webHidden/>
          </w:rPr>
          <w:t>348</w:t>
        </w:r>
        <w:r w:rsidR="00C20F1D" w:rsidRPr="00B4515A">
          <w:rPr>
            <w:noProof/>
            <w:webHidden/>
          </w:rPr>
          <w:fldChar w:fldCharType="end"/>
        </w:r>
      </w:hyperlink>
    </w:p>
    <w:p w14:paraId="5125A34D"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02" w:history="1">
        <w:r w:rsidR="00C20F1D" w:rsidRPr="00B4515A">
          <w:rPr>
            <w:rStyle w:val="aff"/>
            <w:rFonts w:hint="eastAsia"/>
            <w:noProof/>
          </w:rPr>
          <w:t>三、法律顾问意见</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_Toc80960602 \h </w:instrText>
        </w:r>
        <w:r w:rsidR="00C20F1D" w:rsidRPr="00B4515A">
          <w:rPr>
            <w:noProof/>
            <w:webHidden/>
          </w:rPr>
        </w:r>
        <w:r w:rsidR="00C20F1D" w:rsidRPr="00B4515A">
          <w:rPr>
            <w:noProof/>
            <w:webHidden/>
          </w:rPr>
          <w:fldChar w:fldCharType="separate"/>
        </w:r>
        <w:r w:rsidR="00C20F1D" w:rsidRPr="00B4515A">
          <w:rPr>
            <w:noProof/>
            <w:webHidden/>
          </w:rPr>
          <w:t>350</w:t>
        </w:r>
        <w:r w:rsidR="00C20F1D" w:rsidRPr="00B4515A">
          <w:rPr>
            <w:noProof/>
            <w:webHidden/>
          </w:rPr>
          <w:fldChar w:fldCharType="end"/>
        </w:r>
      </w:hyperlink>
    </w:p>
    <w:p w14:paraId="2BF6B33D"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603" w:history="1">
        <w:r w:rsidR="00C20F1D" w:rsidRPr="00B4515A">
          <w:rPr>
            <w:rStyle w:val="aff"/>
            <w:rFonts w:hint="eastAsia"/>
            <w:noProof/>
          </w:rPr>
          <w:t>第十五节</w:t>
        </w:r>
        <w:r w:rsidR="00C20F1D" w:rsidRPr="00B4515A">
          <w:rPr>
            <w:rStyle w:val="aff"/>
            <w:noProof/>
          </w:rPr>
          <w:t xml:space="preserve"> </w:t>
        </w:r>
        <w:r w:rsidR="00C20F1D" w:rsidRPr="00B4515A">
          <w:rPr>
            <w:rStyle w:val="aff"/>
            <w:rFonts w:hint="eastAsia"/>
            <w:noProof/>
          </w:rPr>
          <w:t>本次交易相关证券服务机构及经办人员情况</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_Toc80960603 \h </w:instrText>
        </w:r>
        <w:r w:rsidR="00C20F1D" w:rsidRPr="00B4515A">
          <w:rPr>
            <w:noProof/>
            <w:webHidden/>
          </w:rPr>
        </w:r>
        <w:r w:rsidR="00C20F1D" w:rsidRPr="00B4515A">
          <w:rPr>
            <w:noProof/>
            <w:webHidden/>
          </w:rPr>
          <w:fldChar w:fldCharType="separate"/>
        </w:r>
        <w:r w:rsidR="00C20F1D" w:rsidRPr="00B4515A">
          <w:rPr>
            <w:noProof/>
            <w:webHidden/>
          </w:rPr>
          <w:t>352</w:t>
        </w:r>
        <w:r w:rsidR="00C20F1D" w:rsidRPr="00B4515A">
          <w:rPr>
            <w:noProof/>
            <w:webHidden/>
          </w:rPr>
          <w:fldChar w:fldCharType="end"/>
        </w:r>
      </w:hyperlink>
    </w:p>
    <w:p w14:paraId="32470513"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04" w:history="1">
        <w:r w:rsidR="00C20F1D" w:rsidRPr="00B4515A">
          <w:rPr>
            <w:rStyle w:val="aff"/>
            <w:rFonts w:hint="eastAsia"/>
            <w:noProof/>
          </w:rPr>
          <w:t>一、独立财务顾问：中银国际证券股份有限公司</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_Toc80960604 \h </w:instrText>
        </w:r>
        <w:r w:rsidR="00C20F1D" w:rsidRPr="00B4515A">
          <w:rPr>
            <w:noProof/>
            <w:webHidden/>
          </w:rPr>
        </w:r>
        <w:r w:rsidR="00C20F1D" w:rsidRPr="00B4515A">
          <w:rPr>
            <w:noProof/>
            <w:webHidden/>
          </w:rPr>
          <w:fldChar w:fldCharType="separate"/>
        </w:r>
        <w:r w:rsidR="00C20F1D" w:rsidRPr="00B4515A">
          <w:rPr>
            <w:noProof/>
            <w:webHidden/>
          </w:rPr>
          <w:t>352</w:t>
        </w:r>
        <w:r w:rsidR="00C20F1D" w:rsidRPr="00B4515A">
          <w:rPr>
            <w:noProof/>
            <w:webHidden/>
          </w:rPr>
          <w:fldChar w:fldCharType="end"/>
        </w:r>
      </w:hyperlink>
    </w:p>
    <w:p w14:paraId="699A828A"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05" w:history="1">
        <w:r w:rsidR="00C20F1D" w:rsidRPr="00B4515A">
          <w:rPr>
            <w:rStyle w:val="aff"/>
            <w:rFonts w:hint="eastAsia"/>
            <w:noProof/>
          </w:rPr>
          <w:t>二、律师事务所：北京德恒律师事务所</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_Toc80960605 \h </w:instrText>
        </w:r>
        <w:r w:rsidR="00C20F1D" w:rsidRPr="00B4515A">
          <w:rPr>
            <w:noProof/>
            <w:webHidden/>
          </w:rPr>
        </w:r>
        <w:r w:rsidR="00C20F1D" w:rsidRPr="00B4515A">
          <w:rPr>
            <w:noProof/>
            <w:webHidden/>
          </w:rPr>
          <w:fldChar w:fldCharType="separate"/>
        </w:r>
        <w:r w:rsidR="00C20F1D" w:rsidRPr="00B4515A">
          <w:rPr>
            <w:noProof/>
            <w:webHidden/>
          </w:rPr>
          <w:t>352</w:t>
        </w:r>
        <w:r w:rsidR="00C20F1D" w:rsidRPr="00B4515A">
          <w:rPr>
            <w:noProof/>
            <w:webHidden/>
          </w:rPr>
          <w:fldChar w:fldCharType="end"/>
        </w:r>
      </w:hyperlink>
    </w:p>
    <w:p w14:paraId="678EE3C3"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06" w:history="1">
        <w:r w:rsidR="00C20F1D" w:rsidRPr="00B4515A">
          <w:rPr>
            <w:rStyle w:val="aff"/>
            <w:rFonts w:hint="eastAsia"/>
            <w:noProof/>
          </w:rPr>
          <w:t>三、审计机构：立信会计师事务所（特殊普通合伙）</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_Toc80960606 \h </w:instrText>
        </w:r>
        <w:r w:rsidR="00C20F1D" w:rsidRPr="00B4515A">
          <w:rPr>
            <w:noProof/>
            <w:webHidden/>
          </w:rPr>
        </w:r>
        <w:r w:rsidR="00C20F1D" w:rsidRPr="00B4515A">
          <w:rPr>
            <w:noProof/>
            <w:webHidden/>
          </w:rPr>
          <w:fldChar w:fldCharType="separate"/>
        </w:r>
        <w:r w:rsidR="00C20F1D" w:rsidRPr="00B4515A">
          <w:rPr>
            <w:noProof/>
            <w:webHidden/>
          </w:rPr>
          <w:t>352</w:t>
        </w:r>
        <w:r w:rsidR="00C20F1D" w:rsidRPr="00B4515A">
          <w:rPr>
            <w:noProof/>
            <w:webHidden/>
          </w:rPr>
          <w:fldChar w:fldCharType="end"/>
        </w:r>
      </w:hyperlink>
    </w:p>
    <w:p w14:paraId="6FC4A4CD"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07" w:history="1">
        <w:r w:rsidR="00C20F1D" w:rsidRPr="00B4515A">
          <w:rPr>
            <w:rStyle w:val="aff"/>
            <w:rFonts w:hint="eastAsia"/>
            <w:noProof/>
          </w:rPr>
          <w:t>四、备考审阅机构：立信会计师事务所（特殊普通合伙）</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_Toc80960607 \h </w:instrText>
        </w:r>
        <w:r w:rsidR="00C20F1D" w:rsidRPr="00B4515A">
          <w:rPr>
            <w:noProof/>
            <w:webHidden/>
          </w:rPr>
        </w:r>
        <w:r w:rsidR="00C20F1D" w:rsidRPr="00B4515A">
          <w:rPr>
            <w:noProof/>
            <w:webHidden/>
          </w:rPr>
          <w:fldChar w:fldCharType="separate"/>
        </w:r>
        <w:r w:rsidR="00C20F1D" w:rsidRPr="00B4515A">
          <w:rPr>
            <w:noProof/>
            <w:webHidden/>
          </w:rPr>
          <w:t>352</w:t>
        </w:r>
        <w:r w:rsidR="00C20F1D" w:rsidRPr="00B4515A">
          <w:rPr>
            <w:noProof/>
            <w:webHidden/>
          </w:rPr>
          <w:fldChar w:fldCharType="end"/>
        </w:r>
      </w:hyperlink>
    </w:p>
    <w:p w14:paraId="65F33B11"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08" w:history="1">
        <w:r w:rsidR="00C20F1D" w:rsidRPr="00B4515A">
          <w:rPr>
            <w:rStyle w:val="aff"/>
            <w:rFonts w:hint="eastAsia"/>
            <w:noProof/>
          </w:rPr>
          <w:t>五、资产评估机构：上海东洲资产评估有限公司</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_Toc80960608 \h </w:instrText>
        </w:r>
        <w:r w:rsidR="00C20F1D" w:rsidRPr="00B4515A">
          <w:rPr>
            <w:noProof/>
            <w:webHidden/>
          </w:rPr>
        </w:r>
        <w:r w:rsidR="00C20F1D" w:rsidRPr="00B4515A">
          <w:rPr>
            <w:noProof/>
            <w:webHidden/>
          </w:rPr>
          <w:fldChar w:fldCharType="separate"/>
        </w:r>
        <w:r w:rsidR="00C20F1D" w:rsidRPr="00B4515A">
          <w:rPr>
            <w:noProof/>
            <w:webHidden/>
          </w:rPr>
          <w:t>353</w:t>
        </w:r>
        <w:r w:rsidR="00C20F1D" w:rsidRPr="00B4515A">
          <w:rPr>
            <w:noProof/>
            <w:webHidden/>
          </w:rPr>
          <w:fldChar w:fldCharType="end"/>
        </w:r>
      </w:hyperlink>
    </w:p>
    <w:p w14:paraId="3F2DD8E9"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09" w:history="1">
        <w:r w:rsidR="00C20F1D" w:rsidRPr="00B4515A">
          <w:rPr>
            <w:rStyle w:val="aff"/>
            <w:rFonts w:hint="eastAsia"/>
            <w:noProof/>
          </w:rPr>
          <w:t>六、资产评估机构：中资资产评估有限公司</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_Toc80960609 \h </w:instrText>
        </w:r>
        <w:r w:rsidR="00C20F1D" w:rsidRPr="00B4515A">
          <w:rPr>
            <w:noProof/>
            <w:webHidden/>
          </w:rPr>
        </w:r>
        <w:r w:rsidR="00C20F1D" w:rsidRPr="00B4515A">
          <w:rPr>
            <w:noProof/>
            <w:webHidden/>
          </w:rPr>
          <w:fldChar w:fldCharType="separate"/>
        </w:r>
        <w:r w:rsidR="00C20F1D" w:rsidRPr="00B4515A">
          <w:rPr>
            <w:noProof/>
            <w:webHidden/>
          </w:rPr>
          <w:t>353</w:t>
        </w:r>
        <w:r w:rsidR="00C20F1D" w:rsidRPr="00B4515A">
          <w:rPr>
            <w:noProof/>
            <w:webHidden/>
          </w:rPr>
          <w:fldChar w:fldCharType="end"/>
        </w:r>
      </w:hyperlink>
    </w:p>
    <w:p w14:paraId="5CE74566"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610" w:history="1">
        <w:r w:rsidR="00C20F1D" w:rsidRPr="00B4515A">
          <w:rPr>
            <w:rStyle w:val="aff"/>
            <w:rFonts w:hint="eastAsia"/>
            <w:noProof/>
          </w:rPr>
          <w:t>第十六节</w:t>
        </w:r>
        <w:r w:rsidR="00C20F1D" w:rsidRPr="00B4515A">
          <w:rPr>
            <w:rStyle w:val="aff"/>
            <w:noProof/>
          </w:rPr>
          <w:t xml:space="preserve"> </w:t>
        </w:r>
        <w:r w:rsidR="00C20F1D" w:rsidRPr="00B4515A">
          <w:rPr>
            <w:rStyle w:val="aff"/>
            <w:rFonts w:hint="eastAsia"/>
            <w:noProof/>
          </w:rPr>
          <w:t>声明与承诺</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_Toc80960610 \h </w:instrText>
        </w:r>
        <w:r w:rsidR="00C20F1D" w:rsidRPr="00B4515A">
          <w:rPr>
            <w:noProof/>
            <w:webHidden/>
          </w:rPr>
        </w:r>
        <w:r w:rsidR="00C20F1D" w:rsidRPr="00B4515A">
          <w:rPr>
            <w:noProof/>
            <w:webHidden/>
          </w:rPr>
          <w:fldChar w:fldCharType="separate"/>
        </w:r>
        <w:r w:rsidR="00C20F1D" w:rsidRPr="00B4515A">
          <w:rPr>
            <w:noProof/>
            <w:webHidden/>
          </w:rPr>
          <w:t>354</w:t>
        </w:r>
        <w:r w:rsidR="00C20F1D" w:rsidRPr="00B4515A">
          <w:rPr>
            <w:noProof/>
            <w:webHidden/>
          </w:rPr>
          <w:fldChar w:fldCharType="end"/>
        </w:r>
      </w:hyperlink>
    </w:p>
    <w:p w14:paraId="2F5E4355"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11" w:history="1">
        <w:r w:rsidR="00C20F1D" w:rsidRPr="00B4515A">
          <w:rPr>
            <w:rStyle w:val="aff"/>
            <w:rFonts w:cs="Times New Roman" w:hint="eastAsia"/>
            <w:noProof/>
          </w:rPr>
          <w:t>一、上市公司及全体董事、监事、高级管理人员声明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_Toc80960611 \h </w:instrText>
        </w:r>
        <w:r w:rsidR="00C20F1D" w:rsidRPr="00B4515A">
          <w:rPr>
            <w:noProof/>
            <w:webHidden/>
          </w:rPr>
        </w:r>
        <w:r w:rsidR="00C20F1D" w:rsidRPr="00B4515A">
          <w:rPr>
            <w:noProof/>
            <w:webHidden/>
          </w:rPr>
          <w:fldChar w:fldCharType="separate"/>
        </w:r>
        <w:r w:rsidR="00C20F1D" w:rsidRPr="00B4515A">
          <w:rPr>
            <w:noProof/>
            <w:webHidden/>
          </w:rPr>
          <w:t>354</w:t>
        </w:r>
        <w:r w:rsidR="00C20F1D" w:rsidRPr="00B4515A">
          <w:rPr>
            <w:noProof/>
            <w:webHidden/>
          </w:rPr>
          <w:fldChar w:fldCharType="end"/>
        </w:r>
      </w:hyperlink>
    </w:p>
    <w:p w14:paraId="4E49CF39"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12" w:history="1">
        <w:r w:rsidR="00C20F1D" w:rsidRPr="00B4515A">
          <w:rPr>
            <w:rStyle w:val="aff"/>
            <w:rFonts w:cs="Times New Roman" w:hint="eastAsia"/>
            <w:noProof/>
          </w:rPr>
          <w:t>二、独立财务顾问声明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_Toc80960612 \h </w:instrText>
        </w:r>
        <w:r w:rsidR="00C20F1D" w:rsidRPr="00B4515A">
          <w:rPr>
            <w:noProof/>
            <w:webHidden/>
          </w:rPr>
        </w:r>
        <w:r w:rsidR="00C20F1D" w:rsidRPr="00B4515A">
          <w:rPr>
            <w:noProof/>
            <w:webHidden/>
          </w:rPr>
          <w:fldChar w:fldCharType="separate"/>
        </w:r>
        <w:r w:rsidR="00C20F1D" w:rsidRPr="00B4515A">
          <w:rPr>
            <w:noProof/>
            <w:webHidden/>
          </w:rPr>
          <w:t>357</w:t>
        </w:r>
        <w:r w:rsidR="00C20F1D" w:rsidRPr="00B4515A">
          <w:rPr>
            <w:noProof/>
            <w:webHidden/>
          </w:rPr>
          <w:fldChar w:fldCharType="end"/>
        </w:r>
      </w:hyperlink>
    </w:p>
    <w:p w14:paraId="009F9228"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13" w:history="1">
        <w:r w:rsidR="00C20F1D" w:rsidRPr="00B4515A">
          <w:rPr>
            <w:rStyle w:val="aff"/>
            <w:rFonts w:cs="Times New Roman" w:hint="eastAsia"/>
            <w:noProof/>
          </w:rPr>
          <w:t>三、法律顾问声明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_Toc80960613 \h </w:instrText>
        </w:r>
        <w:r w:rsidR="00C20F1D" w:rsidRPr="00B4515A">
          <w:rPr>
            <w:noProof/>
            <w:webHidden/>
          </w:rPr>
        </w:r>
        <w:r w:rsidR="00C20F1D" w:rsidRPr="00B4515A">
          <w:rPr>
            <w:noProof/>
            <w:webHidden/>
          </w:rPr>
          <w:fldChar w:fldCharType="separate"/>
        </w:r>
        <w:r w:rsidR="00C20F1D" w:rsidRPr="00B4515A">
          <w:rPr>
            <w:noProof/>
            <w:webHidden/>
          </w:rPr>
          <w:t>358</w:t>
        </w:r>
        <w:r w:rsidR="00C20F1D" w:rsidRPr="00B4515A">
          <w:rPr>
            <w:noProof/>
            <w:webHidden/>
          </w:rPr>
          <w:fldChar w:fldCharType="end"/>
        </w:r>
      </w:hyperlink>
    </w:p>
    <w:p w14:paraId="04B6B0D9"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14" w:history="1">
        <w:r w:rsidR="00C20F1D" w:rsidRPr="00B4515A">
          <w:rPr>
            <w:rStyle w:val="aff"/>
            <w:rFonts w:cs="Times New Roman" w:hint="eastAsia"/>
            <w:noProof/>
          </w:rPr>
          <w:t>四、审计机构声明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_Toc80960614 \h </w:instrText>
        </w:r>
        <w:r w:rsidR="00C20F1D" w:rsidRPr="00B4515A">
          <w:rPr>
            <w:noProof/>
            <w:webHidden/>
          </w:rPr>
        </w:r>
        <w:r w:rsidR="00C20F1D" w:rsidRPr="00B4515A">
          <w:rPr>
            <w:noProof/>
            <w:webHidden/>
          </w:rPr>
          <w:fldChar w:fldCharType="separate"/>
        </w:r>
        <w:r w:rsidR="00C20F1D" w:rsidRPr="00B4515A">
          <w:rPr>
            <w:noProof/>
            <w:webHidden/>
          </w:rPr>
          <w:t>359</w:t>
        </w:r>
        <w:r w:rsidR="00C20F1D" w:rsidRPr="00B4515A">
          <w:rPr>
            <w:noProof/>
            <w:webHidden/>
          </w:rPr>
          <w:fldChar w:fldCharType="end"/>
        </w:r>
      </w:hyperlink>
    </w:p>
    <w:p w14:paraId="6FAB1DAB"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15" w:history="1">
        <w:r w:rsidR="00C20F1D" w:rsidRPr="00B4515A">
          <w:rPr>
            <w:rStyle w:val="aff"/>
            <w:rFonts w:cs="Times New Roman" w:hint="eastAsia"/>
            <w:noProof/>
          </w:rPr>
          <w:t>五、备考审阅机构声明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_Toc80960615 \h </w:instrText>
        </w:r>
        <w:r w:rsidR="00C20F1D" w:rsidRPr="00B4515A">
          <w:rPr>
            <w:noProof/>
            <w:webHidden/>
          </w:rPr>
        </w:r>
        <w:r w:rsidR="00C20F1D" w:rsidRPr="00B4515A">
          <w:rPr>
            <w:noProof/>
            <w:webHidden/>
          </w:rPr>
          <w:fldChar w:fldCharType="separate"/>
        </w:r>
        <w:r w:rsidR="00C20F1D" w:rsidRPr="00B4515A">
          <w:rPr>
            <w:noProof/>
            <w:webHidden/>
          </w:rPr>
          <w:t>360</w:t>
        </w:r>
        <w:r w:rsidR="00C20F1D" w:rsidRPr="00B4515A">
          <w:rPr>
            <w:noProof/>
            <w:webHidden/>
          </w:rPr>
          <w:fldChar w:fldCharType="end"/>
        </w:r>
      </w:hyperlink>
    </w:p>
    <w:p w14:paraId="129E0E3D"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16" w:history="1">
        <w:r w:rsidR="00C20F1D" w:rsidRPr="00B4515A">
          <w:rPr>
            <w:rStyle w:val="aff"/>
            <w:rFonts w:ascii="Cambria" w:hAnsi="Cambria" w:cs="Cambria" w:hint="eastAsia"/>
            <w:noProof/>
          </w:rPr>
          <w:t>六</w:t>
        </w:r>
        <w:r w:rsidR="00C20F1D" w:rsidRPr="00B4515A">
          <w:rPr>
            <w:rStyle w:val="aff"/>
            <w:rFonts w:cs="Times New Roman" w:hint="eastAsia"/>
            <w:noProof/>
          </w:rPr>
          <w:t>、资产评估机构声明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_Toc80960616 \h </w:instrText>
        </w:r>
        <w:r w:rsidR="00C20F1D" w:rsidRPr="00B4515A">
          <w:rPr>
            <w:noProof/>
            <w:webHidden/>
          </w:rPr>
        </w:r>
        <w:r w:rsidR="00C20F1D" w:rsidRPr="00B4515A">
          <w:rPr>
            <w:noProof/>
            <w:webHidden/>
          </w:rPr>
          <w:fldChar w:fldCharType="separate"/>
        </w:r>
        <w:r w:rsidR="00C20F1D" w:rsidRPr="00B4515A">
          <w:rPr>
            <w:noProof/>
            <w:webHidden/>
          </w:rPr>
          <w:t>361</w:t>
        </w:r>
        <w:r w:rsidR="00C20F1D" w:rsidRPr="00B4515A">
          <w:rPr>
            <w:noProof/>
            <w:webHidden/>
          </w:rPr>
          <w:fldChar w:fldCharType="end"/>
        </w:r>
      </w:hyperlink>
    </w:p>
    <w:p w14:paraId="5495059D"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17" w:history="1">
        <w:r w:rsidR="00C20F1D" w:rsidRPr="00B4515A">
          <w:rPr>
            <w:rStyle w:val="aff"/>
            <w:rFonts w:ascii="Cambria" w:hAnsi="Cambria" w:cs="Cambria" w:hint="eastAsia"/>
            <w:noProof/>
          </w:rPr>
          <w:t>七</w:t>
        </w:r>
        <w:r w:rsidR="00C20F1D" w:rsidRPr="00B4515A">
          <w:rPr>
            <w:rStyle w:val="aff"/>
            <w:rFonts w:cs="Times New Roman" w:hint="eastAsia"/>
            <w:noProof/>
          </w:rPr>
          <w:t>、资产评估机构声明</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_Toc80960617 \h </w:instrText>
        </w:r>
        <w:r w:rsidR="00C20F1D" w:rsidRPr="00B4515A">
          <w:rPr>
            <w:noProof/>
            <w:webHidden/>
          </w:rPr>
        </w:r>
        <w:r w:rsidR="00C20F1D" w:rsidRPr="00B4515A">
          <w:rPr>
            <w:noProof/>
            <w:webHidden/>
          </w:rPr>
          <w:fldChar w:fldCharType="separate"/>
        </w:r>
        <w:r w:rsidR="00C20F1D" w:rsidRPr="00B4515A">
          <w:rPr>
            <w:noProof/>
            <w:webHidden/>
          </w:rPr>
          <w:t>362</w:t>
        </w:r>
        <w:r w:rsidR="00C20F1D" w:rsidRPr="00B4515A">
          <w:rPr>
            <w:noProof/>
            <w:webHidden/>
          </w:rPr>
          <w:fldChar w:fldCharType="end"/>
        </w:r>
      </w:hyperlink>
    </w:p>
    <w:p w14:paraId="74052E80" w14:textId="77777777" w:rsidR="00C20F1D" w:rsidRPr="00B4515A" w:rsidRDefault="000374A4">
      <w:pPr>
        <w:pStyle w:val="10"/>
        <w:rPr>
          <w:rFonts w:asciiTheme="minorHAnsi" w:eastAsiaTheme="minorEastAsia" w:hAnsiTheme="minorHAnsi" w:cstheme="minorBidi"/>
          <w:b w:val="0"/>
          <w:noProof/>
          <w:kern w:val="2"/>
          <w:sz w:val="21"/>
          <w:szCs w:val="22"/>
        </w:rPr>
      </w:pPr>
      <w:hyperlink w:anchor="_Toc80960618" w:history="1">
        <w:r w:rsidR="00C20F1D" w:rsidRPr="00B4515A">
          <w:rPr>
            <w:rStyle w:val="aff"/>
            <w:rFonts w:hint="eastAsia"/>
            <w:noProof/>
          </w:rPr>
          <w:t>第十七节</w:t>
        </w:r>
        <w:r w:rsidR="00C20F1D" w:rsidRPr="00B4515A">
          <w:rPr>
            <w:rStyle w:val="aff"/>
            <w:noProof/>
          </w:rPr>
          <w:t xml:space="preserve"> </w:t>
        </w:r>
        <w:r w:rsidR="00C20F1D" w:rsidRPr="00B4515A">
          <w:rPr>
            <w:rStyle w:val="aff"/>
            <w:rFonts w:hint="eastAsia"/>
            <w:noProof/>
          </w:rPr>
          <w:t>备查文件及地点</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_Toc80960618 \h </w:instrText>
        </w:r>
        <w:r w:rsidR="00C20F1D" w:rsidRPr="00B4515A">
          <w:rPr>
            <w:noProof/>
            <w:webHidden/>
          </w:rPr>
        </w:r>
        <w:r w:rsidR="00C20F1D" w:rsidRPr="00B4515A">
          <w:rPr>
            <w:noProof/>
            <w:webHidden/>
          </w:rPr>
          <w:fldChar w:fldCharType="separate"/>
        </w:r>
        <w:r w:rsidR="00C20F1D" w:rsidRPr="00B4515A">
          <w:rPr>
            <w:noProof/>
            <w:webHidden/>
          </w:rPr>
          <w:t>363</w:t>
        </w:r>
        <w:r w:rsidR="00C20F1D" w:rsidRPr="00B4515A">
          <w:rPr>
            <w:noProof/>
            <w:webHidden/>
          </w:rPr>
          <w:fldChar w:fldCharType="end"/>
        </w:r>
      </w:hyperlink>
    </w:p>
    <w:p w14:paraId="05D5D5DF"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19" w:history="1">
        <w:r w:rsidR="00C20F1D" w:rsidRPr="00B4515A">
          <w:rPr>
            <w:rStyle w:val="aff"/>
            <w:rFonts w:hint="eastAsia"/>
            <w:noProof/>
          </w:rPr>
          <w:t>一、备查文件</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_Toc80960619 \h </w:instrText>
        </w:r>
        <w:r w:rsidR="00C20F1D" w:rsidRPr="00B4515A">
          <w:rPr>
            <w:noProof/>
            <w:webHidden/>
          </w:rPr>
        </w:r>
        <w:r w:rsidR="00C20F1D" w:rsidRPr="00B4515A">
          <w:rPr>
            <w:noProof/>
            <w:webHidden/>
          </w:rPr>
          <w:fldChar w:fldCharType="separate"/>
        </w:r>
        <w:r w:rsidR="00C20F1D" w:rsidRPr="00B4515A">
          <w:rPr>
            <w:noProof/>
            <w:webHidden/>
          </w:rPr>
          <w:t>363</w:t>
        </w:r>
        <w:r w:rsidR="00C20F1D" w:rsidRPr="00B4515A">
          <w:rPr>
            <w:noProof/>
            <w:webHidden/>
          </w:rPr>
          <w:fldChar w:fldCharType="end"/>
        </w:r>
      </w:hyperlink>
    </w:p>
    <w:p w14:paraId="777A78BE" w14:textId="77777777" w:rsidR="00C20F1D" w:rsidRPr="00B4515A" w:rsidRDefault="000374A4" w:rsidP="00C20F1D">
      <w:pPr>
        <w:pStyle w:val="23"/>
        <w:ind w:left="480"/>
        <w:rPr>
          <w:rFonts w:asciiTheme="minorHAnsi" w:eastAsiaTheme="minorEastAsia" w:hAnsiTheme="minorHAnsi" w:cstheme="minorBidi"/>
          <w:bCs w:val="0"/>
          <w:noProof/>
          <w:kern w:val="2"/>
          <w:sz w:val="21"/>
          <w:szCs w:val="22"/>
        </w:rPr>
      </w:pPr>
      <w:hyperlink w:anchor="_Toc80960620" w:history="1">
        <w:r w:rsidR="00C20F1D" w:rsidRPr="00B4515A">
          <w:rPr>
            <w:rStyle w:val="aff"/>
            <w:rFonts w:hint="eastAsia"/>
            <w:noProof/>
          </w:rPr>
          <w:t>二、备查地点</w:t>
        </w:r>
        <w:r w:rsidR="00C20F1D" w:rsidRPr="00B4515A">
          <w:rPr>
            <w:noProof/>
            <w:webHidden/>
          </w:rPr>
          <w:tab/>
        </w:r>
        <w:r w:rsidR="00C20F1D" w:rsidRPr="00B4515A">
          <w:rPr>
            <w:noProof/>
            <w:webHidden/>
          </w:rPr>
          <w:fldChar w:fldCharType="begin"/>
        </w:r>
        <w:r w:rsidR="00C20F1D" w:rsidRPr="00B4515A">
          <w:rPr>
            <w:noProof/>
            <w:webHidden/>
          </w:rPr>
          <w:instrText xml:space="preserve"> PAGEREF _Toc80960620 \h </w:instrText>
        </w:r>
        <w:r w:rsidR="00C20F1D" w:rsidRPr="00B4515A">
          <w:rPr>
            <w:noProof/>
            <w:webHidden/>
          </w:rPr>
        </w:r>
        <w:r w:rsidR="00C20F1D" w:rsidRPr="00B4515A">
          <w:rPr>
            <w:noProof/>
            <w:webHidden/>
          </w:rPr>
          <w:fldChar w:fldCharType="separate"/>
        </w:r>
        <w:r w:rsidR="00C20F1D" w:rsidRPr="00B4515A">
          <w:rPr>
            <w:noProof/>
            <w:webHidden/>
          </w:rPr>
          <w:t>363</w:t>
        </w:r>
        <w:r w:rsidR="00C20F1D" w:rsidRPr="00B4515A">
          <w:rPr>
            <w:noProof/>
            <w:webHidden/>
          </w:rPr>
          <w:fldChar w:fldCharType="end"/>
        </w:r>
      </w:hyperlink>
    </w:p>
    <w:p w14:paraId="599A7CBA" w14:textId="77777777" w:rsidR="006416B0" w:rsidRPr="00B4515A" w:rsidRDefault="003319C0">
      <w:pPr>
        <w:rPr>
          <w:rFonts w:ascii="Times New Roman" w:hAnsi="Times New Roman" w:cs="Times New Roman"/>
        </w:rPr>
      </w:pPr>
      <w:r w:rsidRPr="00B4515A">
        <w:rPr>
          <w:rFonts w:ascii="Times New Roman" w:hAnsi="Times New Roman" w:cs="Times New Roman"/>
        </w:rPr>
        <w:fldChar w:fldCharType="end"/>
      </w:r>
      <w:r w:rsidR="005E58C1" w:rsidRPr="00B4515A">
        <w:rPr>
          <w:rFonts w:ascii="Times New Roman" w:hAnsi="Times New Roman" w:cs="Times New Roman"/>
        </w:rPr>
        <w:br w:type="page"/>
      </w:r>
    </w:p>
    <w:p w14:paraId="16AFD0BA" w14:textId="149C0DDC" w:rsidR="006416B0" w:rsidRPr="00B4515A" w:rsidRDefault="005E58C1" w:rsidP="002B0582">
      <w:pPr>
        <w:pStyle w:val="001"/>
        <w:spacing w:before="360" w:after="360"/>
      </w:pPr>
      <w:bookmarkStart w:id="6" w:name="_Toc80960481"/>
      <w:r w:rsidRPr="00B4515A">
        <w:lastRenderedPageBreak/>
        <w:t>释</w:t>
      </w:r>
      <w:r w:rsidR="005860B4" w:rsidRPr="00B4515A">
        <w:rPr>
          <w:rFonts w:hint="eastAsia"/>
        </w:rPr>
        <w:t xml:space="preserve">  </w:t>
      </w:r>
      <w:r w:rsidRPr="00B4515A">
        <w:t>义</w:t>
      </w:r>
      <w:bookmarkEnd w:id="6"/>
    </w:p>
    <w:p w14:paraId="71E72B49" w14:textId="77777777" w:rsidR="006416B0" w:rsidRPr="00B4515A" w:rsidRDefault="005E58C1" w:rsidP="005860B4">
      <w:pPr>
        <w:pStyle w:val="005"/>
        <w:spacing w:before="120" w:after="120"/>
        <w:ind w:firstLine="480"/>
      </w:pPr>
      <w:r w:rsidRPr="00B4515A">
        <w:rPr>
          <w:rFonts w:hint="eastAsia"/>
        </w:rPr>
        <w:t>在本报告中，除非文义载明，以下简称具有如下含义：</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120" w:type="dxa"/>
          <w:bottom w:w="120" w:type="dxa"/>
        </w:tblCellMar>
        <w:tblLook w:val="04A0" w:firstRow="1" w:lastRow="0" w:firstColumn="1" w:lastColumn="0" w:noHBand="0" w:noVBand="1"/>
      </w:tblPr>
      <w:tblGrid>
        <w:gridCol w:w="1969"/>
        <w:gridCol w:w="682"/>
        <w:gridCol w:w="5877"/>
      </w:tblGrid>
      <w:tr w:rsidR="006416B0" w:rsidRPr="00B4515A" w14:paraId="7DBE4A15" w14:textId="77777777" w:rsidTr="005860B4">
        <w:trPr>
          <w:trHeight w:val="340"/>
          <w:jc w:val="center"/>
        </w:trPr>
        <w:tc>
          <w:tcPr>
            <w:tcW w:w="1154" w:type="pct"/>
            <w:tcMar>
              <w:top w:w="0" w:type="dxa"/>
              <w:left w:w="108" w:type="dxa"/>
              <w:bottom w:w="0" w:type="dxa"/>
              <w:right w:w="108" w:type="dxa"/>
            </w:tcMar>
            <w:vAlign w:val="center"/>
          </w:tcPr>
          <w:p w14:paraId="4C7486CE" w14:textId="77777777" w:rsidR="006416B0" w:rsidRPr="00B4515A" w:rsidRDefault="005E58C1" w:rsidP="005860B4">
            <w:pPr>
              <w:adjustRightInd w:val="0"/>
              <w:snapToGrid w:val="0"/>
              <w:jc w:val="center"/>
              <w:rPr>
                <w:rFonts w:ascii="Times New Roman" w:hAnsi="Times New Roman" w:cs="Times New Roman"/>
                <w:color w:val="000000"/>
                <w:sz w:val="21"/>
                <w:szCs w:val="21"/>
              </w:rPr>
            </w:pPr>
            <w:bookmarkStart w:id="7" w:name="_Hlk76922705"/>
            <w:r w:rsidRPr="00B4515A">
              <w:rPr>
                <w:rFonts w:ascii="Times New Roman" w:hAnsi="Times New Roman" w:cs="Times New Roman" w:hint="eastAsia"/>
                <w:color w:val="000000"/>
                <w:sz w:val="21"/>
                <w:szCs w:val="21"/>
              </w:rPr>
              <w:t>本公司</w:t>
            </w:r>
            <w:r w:rsidRPr="00B4515A">
              <w:rPr>
                <w:rFonts w:ascii="Times New Roman" w:hAnsi="Times New Roman" w:cs="Times New Roman"/>
                <w:color w:val="000000"/>
                <w:sz w:val="21"/>
                <w:szCs w:val="21"/>
              </w:rPr>
              <w:t>/</w:t>
            </w:r>
            <w:r w:rsidRPr="00B4515A">
              <w:rPr>
                <w:rFonts w:ascii="Times New Roman" w:hAnsi="Times New Roman" w:cs="Times New Roman" w:hint="eastAsia"/>
                <w:color w:val="000000"/>
                <w:sz w:val="21"/>
                <w:szCs w:val="21"/>
              </w:rPr>
              <w:t>公司</w:t>
            </w:r>
            <w:r w:rsidRPr="00B4515A">
              <w:rPr>
                <w:rFonts w:ascii="Times New Roman" w:hAnsi="Times New Roman" w:cs="Times New Roman"/>
                <w:color w:val="000000"/>
                <w:sz w:val="21"/>
                <w:szCs w:val="21"/>
              </w:rPr>
              <w:t>/</w:t>
            </w:r>
            <w:r w:rsidRPr="00B4515A">
              <w:rPr>
                <w:rFonts w:ascii="Times New Roman" w:hAnsi="Times New Roman" w:cs="Times New Roman" w:hint="eastAsia"/>
                <w:color w:val="000000"/>
                <w:sz w:val="21"/>
                <w:szCs w:val="21"/>
              </w:rPr>
              <w:t>上市公司</w:t>
            </w:r>
            <w:r w:rsidRPr="00B4515A">
              <w:rPr>
                <w:rFonts w:ascii="Times New Roman" w:hAnsi="Times New Roman" w:cs="Times New Roman"/>
                <w:color w:val="000000"/>
                <w:sz w:val="21"/>
                <w:szCs w:val="21"/>
              </w:rPr>
              <w:t xml:space="preserve">/ </w:t>
            </w:r>
            <w:r w:rsidRPr="00B4515A">
              <w:rPr>
                <w:rFonts w:ascii="Times New Roman" w:hAnsi="Times New Roman" w:cs="Times New Roman" w:hint="eastAsia"/>
                <w:color w:val="000000"/>
                <w:sz w:val="21"/>
                <w:szCs w:val="21"/>
              </w:rPr>
              <w:t>大唐电信</w:t>
            </w:r>
          </w:p>
        </w:tc>
        <w:tc>
          <w:tcPr>
            <w:tcW w:w="400" w:type="pct"/>
            <w:tcMar>
              <w:top w:w="0" w:type="dxa"/>
              <w:left w:w="108" w:type="dxa"/>
              <w:bottom w:w="0" w:type="dxa"/>
              <w:right w:w="108" w:type="dxa"/>
            </w:tcMar>
            <w:vAlign w:val="center"/>
          </w:tcPr>
          <w:p w14:paraId="2D646D4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00C0C125"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大唐电信科技股份有限公司</w:t>
            </w:r>
          </w:p>
        </w:tc>
      </w:tr>
      <w:tr w:rsidR="006416B0" w:rsidRPr="00B4515A" w14:paraId="076C5FE6" w14:textId="77777777" w:rsidTr="005860B4">
        <w:trPr>
          <w:trHeight w:val="340"/>
          <w:jc w:val="center"/>
        </w:trPr>
        <w:tc>
          <w:tcPr>
            <w:tcW w:w="1154" w:type="pct"/>
            <w:tcMar>
              <w:top w:w="0" w:type="dxa"/>
              <w:left w:w="108" w:type="dxa"/>
              <w:bottom w:w="0" w:type="dxa"/>
              <w:right w:w="108" w:type="dxa"/>
            </w:tcMar>
            <w:vAlign w:val="center"/>
          </w:tcPr>
          <w:p w14:paraId="082CF6D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标的公司</w:t>
            </w:r>
            <w:r w:rsidRPr="00B4515A">
              <w:rPr>
                <w:rFonts w:ascii="Times New Roman" w:hAnsi="Times New Roman" w:cs="Times New Roman"/>
                <w:color w:val="000000"/>
                <w:sz w:val="21"/>
                <w:szCs w:val="21"/>
              </w:rPr>
              <w:t>/</w:t>
            </w:r>
            <w:r w:rsidRPr="00B4515A">
              <w:rPr>
                <w:rFonts w:ascii="Times New Roman" w:hAnsi="Times New Roman" w:cs="Times New Roman" w:hint="eastAsia"/>
                <w:color w:val="000000"/>
                <w:sz w:val="21"/>
                <w:szCs w:val="21"/>
              </w:rPr>
              <w:t>大唐联诚</w:t>
            </w:r>
            <w:r w:rsidRPr="00B4515A">
              <w:rPr>
                <w:rFonts w:ascii="Times New Roman" w:hAnsi="Times New Roman" w:cs="Times New Roman"/>
                <w:color w:val="000000"/>
                <w:sz w:val="21"/>
                <w:szCs w:val="21"/>
              </w:rPr>
              <w:t>/</w:t>
            </w:r>
            <w:r w:rsidRPr="00B4515A">
              <w:rPr>
                <w:rFonts w:ascii="Times New Roman" w:hAnsi="Times New Roman" w:cs="Times New Roman" w:hint="eastAsia"/>
                <w:color w:val="000000"/>
                <w:sz w:val="21"/>
                <w:szCs w:val="21"/>
              </w:rPr>
              <w:t>目标公司</w:t>
            </w:r>
          </w:p>
        </w:tc>
        <w:tc>
          <w:tcPr>
            <w:tcW w:w="400" w:type="pct"/>
            <w:tcMar>
              <w:top w:w="0" w:type="dxa"/>
              <w:left w:w="108" w:type="dxa"/>
              <w:bottom w:w="0" w:type="dxa"/>
              <w:right w:w="108" w:type="dxa"/>
            </w:tcMar>
            <w:vAlign w:val="center"/>
          </w:tcPr>
          <w:p w14:paraId="4005D0F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3A2DBB04" w14:textId="77777777" w:rsidR="006416B0" w:rsidRPr="00B4515A" w:rsidRDefault="005E58C1" w:rsidP="005860B4">
            <w:pPr>
              <w:adjustRightInd w:val="0"/>
              <w:snapToGrid w:val="0"/>
              <w:jc w:val="both"/>
              <w:rPr>
                <w:rFonts w:ascii="Times New Roman" w:hAnsi="Times New Roman" w:cs="Times New Roman"/>
                <w:color w:val="000000"/>
                <w:sz w:val="21"/>
                <w:szCs w:val="21"/>
              </w:rPr>
            </w:pPr>
            <w:bookmarkStart w:id="8" w:name="_Hlk76991508"/>
            <w:r w:rsidRPr="00B4515A">
              <w:rPr>
                <w:rFonts w:ascii="Times New Roman" w:hAnsi="Times New Roman" w:cs="Times New Roman" w:hint="eastAsia"/>
                <w:color w:val="000000"/>
                <w:sz w:val="21"/>
                <w:szCs w:val="21"/>
              </w:rPr>
              <w:t>大唐联诚信息系统技术有限公司</w:t>
            </w:r>
            <w:bookmarkEnd w:id="8"/>
          </w:p>
        </w:tc>
      </w:tr>
      <w:tr w:rsidR="006416B0" w:rsidRPr="00B4515A" w14:paraId="6E21CF1E" w14:textId="77777777" w:rsidTr="005860B4">
        <w:trPr>
          <w:trHeight w:val="340"/>
          <w:jc w:val="center"/>
        </w:trPr>
        <w:tc>
          <w:tcPr>
            <w:tcW w:w="1154" w:type="pct"/>
            <w:tcMar>
              <w:top w:w="0" w:type="dxa"/>
              <w:left w:w="108" w:type="dxa"/>
              <w:bottom w:w="0" w:type="dxa"/>
              <w:right w:w="108" w:type="dxa"/>
            </w:tcMar>
            <w:vAlign w:val="center"/>
          </w:tcPr>
          <w:p w14:paraId="63A7AD0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交易标的</w:t>
            </w:r>
            <w:r w:rsidRPr="00B4515A">
              <w:rPr>
                <w:rFonts w:ascii="Times New Roman" w:hAnsi="Times New Roman" w:cs="Times New Roman"/>
                <w:color w:val="000000"/>
                <w:sz w:val="21"/>
                <w:szCs w:val="21"/>
              </w:rPr>
              <w:t>/</w:t>
            </w:r>
            <w:r w:rsidRPr="00B4515A">
              <w:rPr>
                <w:rFonts w:ascii="Times New Roman" w:hAnsi="Times New Roman" w:cs="Times New Roman" w:hint="eastAsia"/>
                <w:color w:val="000000"/>
                <w:sz w:val="21"/>
                <w:szCs w:val="21"/>
              </w:rPr>
              <w:t>标的资产</w:t>
            </w:r>
          </w:p>
        </w:tc>
        <w:tc>
          <w:tcPr>
            <w:tcW w:w="400" w:type="pct"/>
            <w:tcMar>
              <w:top w:w="0" w:type="dxa"/>
              <w:left w:w="108" w:type="dxa"/>
              <w:bottom w:w="0" w:type="dxa"/>
              <w:right w:w="108" w:type="dxa"/>
            </w:tcMar>
            <w:vAlign w:val="center"/>
          </w:tcPr>
          <w:p w14:paraId="32A6DC4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465CB894"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大唐联诚信息系统技术有限公司</w:t>
            </w:r>
            <w:r w:rsidRPr="00B4515A">
              <w:rPr>
                <w:rFonts w:ascii="Times New Roman" w:hAnsi="Times New Roman" w:cs="Times New Roman" w:hint="eastAsia"/>
                <w:color w:val="000000"/>
                <w:sz w:val="21"/>
                <w:szCs w:val="21"/>
              </w:rPr>
              <w:t>9</w:t>
            </w:r>
            <w:r w:rsidRPr="00B4515A">
              <w:rPr>
                <w:rFonts w:ascii="Times New Roman" w:hAnsi="Times New Roman" w:cs="Times New Roman"/>
                <w:color w:val="000000"/>
                <w:sz w:val="21"/>
                <w:szCs w:val="21"/>
              </w:rPr>
              <w:t>5.001</w:t>
            </w:r>
            <w:r w:rsidRPr="00B4515A">
              <w:rPr>
                <w:rFonts w:ascii="Times New Roman" w:hAnsi="Times New Roman" w:cs="Times New Roman" w:hint="eastAsia"/>
                <w:color w:val="000000"/>
                <w:sz w:val="21"/>
                <w:szCs w:val="21"/>
              </w:rPr>
              <w:t>%</w:t>
            </w:r>
            <w:r w:rsidRPr="00B4515A">
              <w:rPr>
                <w:rFonts w:ascii="Times New Roman" w:hAnsi="Times New Roman" w:cs="Times New Roman" w:hint="eastAsia"/>
                <w:color w:val="000000"/>
                <w:sz w:val="21"/>
                <w:szCs w:val="21"/>
              </w:rPr>
              <w:t>股权</w:t>
            </w:r>
          </w:p>
        </w:tc>
      </w:tr>
      <w:tr w:rsidR="006416B0" w:rsidRPr="00B4515A" w14:paraId="1E26F7D8" w14:textId="77777777" w:rsidTr="005860B4">
        <w:trPr>
          <w:trHeight w:val="340"/>
          <w:jc w:val="center"/>
        </w:trPr>
        <w:tc>
          <w:tcPr>
            <w:tcW w:w="1154" w:type="pct"/>
            <w:tcMar>
              <w:top w:w="0" w:type="dxa"/>
              <w:left w:w="108" w:type="dxa"/>
              <w:bottom w:w="0" w:type="dxa"/>
              <w:right w:w="108" w:type="dxa"/>
            </w:tcMar>
            <w:vAlign w:val="center"/>
          </w:tcPr>
          <w:p w14:paraId="2213AB6F"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电信科研院</w:t>
            </w:r>
          </w:p>
        </w:tc>
        <w:tc>
          <w:tcPr>
            <w:tcW w:w="400" w:type="pct"/>
            <w:tcMar>
              <w:top w:w="0" w:type="dxa"/>
              <w:left w:w="108" w:type="dxa"/>
              <w:bottom w:w="0" w:type="dxa"/>
              <w:right w:w="108" w:type="dxa"/>
            </w:tcMar>
            <w:vAlign w:val="center"/>
          </w:tcPr>
          <w:p w14:paraId="67A48CC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2EB984C3"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电信科学技术研究院有限公司</w:t>
            </w:r>
          </w:p>
        </w:tc>
      </w:tr>
      <w:tr w:rsidR="006416B0" w:rsidRPr="00B4515A" w14:paraId="4E3A31B1"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57FEEC7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中国信科集团</w:t>
            </w:r>
          </w:p>
        </w:tc>
        <w:tc>
          <w:tcPr>
            <w:tcW w:w="400" w:type="pct"/>
            <w:shd w:val="clear" w:color="auto" w:fill="FFFFFF"/>
            <w:tcMar>
              <w:top w:w="0" w:type="dxa"/>
              <w:left w:w="108" w:type="dxa"/>
              <w:bottom w:w="0" w:type="dxa"/>
              <w:right w:w="108" w:type="dxa"/>
            </w:tcMar>
            <w:vAlign w:val="center"/>
          </w:tcPr>
          <w:p w14:paraId="69C35B2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068C44DB"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中国信息通信科技集团有限公司</w:t>
            </w:r>
          </w:p>
        </w:tc>
      </w:tr>
      <w:tr w:rsidR="006416B0" w:rsidRPr="00B4515A" w14:paraId="5EDD0BE2"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29912C9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大唐控股</w:t>
            </w:r>
          </w:p>
        </w:tc>
        <w:tc>
          <w:tcPr>
            <w:tcW w:w="400" w:type="pct"/>
            <w:shd w:val="clear" w:color="auto" w:fill="FFFFFF"/>
            <w:tcMar>
              <w:top w:w="0" w:type="dxa"/>
              <w:left w:w="108" w:type="dxa"/>
              <w:bottom w:w="0" w:type="dxa"/>
              <w:right w:w="108" w:type="dxa"/>
            </w:tcMar>
            <w:vAlign w:val="center"/>
          </w:tcPr>
          <w:p w14:paraId="416970A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0513ACE9"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大唐电信科技产业控股有限公司</w:t>
            </w:r>
          </w:p>
        </w:tc>
      </w:tr>
      <w:tr w:rsidR="006416B0" w:rsidRPr="00B4515A" w14:paraId="585942E5"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611DC181" w14:textId="481B9A75" w:rsidR="006416B0" w:rsidRPr="00B4515A" w:rsidRDefault="00252376"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长江移动基金</w:t>
            </w:r>
          </w:p>
        </w:tc>
        <w:tc>
          <w:tcPr>
            <w:tcW w:w="400" w:type="pct"/>
            <w:shd w:val="clear" w:color="auto" w:fill="FFFFFF"/>
            <w:tcMar>
              <w:top w:w="0" w:type="dxa"/>
              <w:left w:w="108" w:type="dxa"/>
              <w:bottom w:w="0" w:type="dxa"/>
              <w:right w:w="108" w:type="dxa"/>
            </w:tcMar>
            <w:vAlign w:val="center"/>
          </w:tcPr>
          <w:p w14:paraId="4D955AF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75D06FAD"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湖北长江中信科移动通信技术产业投资基金合伙企业（有限合伙）</w:t>
            </w:r>
          </w:p>
        </w:tc>
      </w:tr>
      <w:tr w:rsidR="006416B0" w:rsidRPr="00B4515A" w14:paraId="69431C89"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73683F8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结构调整基金</w:t>
            </w:r>
          </w:p>
        </w:tc>
        <w:tc>
          <w:tcPr>
            <w:tcW w:w="400" w:type="pct"/>
            <w:shd w:val="clear" w:color="auto" w:fill="FFFFFF"/>
            <w:tcMar>
              <w:top w:w="0" w:type="dxa"/>
              <w:left w:w="108" w:type="dxa"/>
              <w:bottom w:w="0" w:type="dxa"/>
              <w:right w:w="108" w:type="dxa"/>
            </w:tcMar>
            <w:vAlign w:val="center"/>
          </w:tcPr>
          <w:p w14:paraId="015B07C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1C46F574"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中国国有企业结构调整基金股份有限公司</w:t>
            </w:r>
          </w:p>
        </w:tc>
      </w:tr>
      <w:tr w:rsidR="006416B0" w:rsidRPr="00B4515A" w14:paraId="7DFB19E9"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4EAA9E5B"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金融街资本</w:t>
            </w:r>
          </w:p>
        </w:tc>
        <w:tc>
          <w:tcPr>
            <w:tcW w:w="400" w:type="pct"/>
            <w:shd w:val="clear" w:color="auto" w:fill="FFFFFF"/>
            <w:tcMar>
              <w:top w:w="0" w:type="dxa"/>
              <w:left w:w="108" w:type="dxa"/>
              <w:bottom w:w="0" w:type="dxa"/>
              <w:right w:w="108" w:type="dxa"/>
            </w:tcMar>
            <w:vAlign w:val="center"/>
          </w:tcPr>
          <w:p w14:paraId="0289DE7B"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7E28CADA"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北京金融街资本运营中心</w:t>
            </w:r>
          </w:p>
        </w:tc>
      </w:tr>
      <w:tr w:rsidR="006416B0" w:rsidRPr="00B4515A" w14:paraId="2571AFF0"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251DF536" w14:textId="77777777" w:rsidR="006416B0" w:rsidRPr="00B4515A" w:rsidRDefault="005E58C1" w:rsidP="005860B4">
            <w:pPr>
              <w:adjustRightInd w:val="0"/>
              <w:snapToGrid w:val="0"/>
              <w:jc w:val="center"/>
              <w:rPr>
                <w:rFonts w:ascii="Times New Roman" w:hAnsi="Times New Roman" w:cs="Times New Roman"/>
                <w:color w:val="000000"/>
                <w:spacing w:val="8"/>
                <w:sz w:val="21"/>
                <w:szCs w:val="21"/>
              </w:rPr>
            </w:pPr>
            <w:r w:rsidRPr="00B4515A">
              <w:rPr>
                <w:rFonts w:ascii="Times New Roman" w:hAnsi="Times New Roman" w:cs="Times New Roman" w:hint="eastAsia"/>
                <w:color w:val="000000"/>
                <w:spacing w:val="8"/>
                <w:sz w:val="21"/>
                <w:szCs w:val="21"/>
              </w:rPr>
              <w:t>天津益诚</w:t>
            </w:r>
          </w:p>
        </w:tc>
        <w:tc>
          <w:tcPr>
            <w:tcW w:w="400" w:type="pct"/>
            <w:shd w:val="clear" w:color="auto" w:fill="FFFFFF"/>
            <w:tcMar>
              <w:top w:w="0" w:type="dxa"/>
              <w:left w:w="108" w:type="dxa"/>
              <w:bottom w:w="0" w:type="dxa"/>
              <w:right w:w="108" w:type="dxa"/>
            </w:tcMar>
            <w:vAlign w:val="center"/>
          </w:tcPr>
          <w:p w14:paraId="0954CBF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1520C6A7" w14:textId="77777777" w:rsidR="006416B0" w:rsidRPr="00B4515A" w:rsidRDefault="005E58C1" w:rsidP="005860B4">
            <w:pPr>
              <w:adjustRightInd w:val="0"/>
              <w:snapToGrid w:val="0"/>
              <w:jc w:val="both"/>
              <w:rPr>
                <w:rFonts w:ascii="Times New Roman" w:hAnsi="Times New Roman" w:cs="Times New Roman"/>
                <w:color w:val="000000"/>
                <w:spacing w:val="8"/>
                <w:sz w:val="21"/>
                <w:szCs w:val="21"/>
              </w:rPr>
            </w:pPr>
            <w:r w:rsidRPr="00B4515A">
              <w:rPr>
                <w:rFonts w:ascii="Times New Roman" w:hAnsi="Times New Roman" w:cs="Times New Roman" w:hint="eastAsia"/>
                <w:color w:val="000000"/>
                <w:spacing w:val="8"/>
                <w:sz w:val="21"/>
                <w:szCs w:val="21"/>
              </w:rPr>
              <w:t>天津益诚企业管理合伙企业（有限合伙）</w:t>
            </w:r>
          </w:p>
        </w:tc>
      </w:tr>
      <w:tr w:rsidR="006416B0" w:rsidRPr="00B4515A" w14:paraId="2D3CF648"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157757AB" w14:textId="77777777" w:rsidR="006416B0" w:rsidRPr="00B4515A" w:rsidRDefault="005E58C1" w:rsidP="005860B4">
            <w:pPr>
              <w:adjustRightInd w:val="0"/>
              <w:snapToGrid w:val="0"/>
              <w:jc w:val="center"/>
              <w:rPr>
                <w:rFonts w:ascii="Times New Roman" w:hAnsi="Times New Roman" w:cs="Times New Roman"/>
                <w:color w:val="000000"/>
                <w:spacing w:val="8"/>
                <w:sz w:val="21"/>
                <w:szCs w:val="21"/>
              </w:rPr>
            </w:pPr>
            <w:r w:rsidRPr="00B4515A">
              <w:rPr>
                <w:rFonts w:ascii="Times New Roman" w:hAnsi="Times New Roman" w:cs="Times New Roman" w:hint="eastAsia"/>
                <w:color w:val="000000"/>
                <w:spacing w:val="8"/>
                <w:sz w:val="21"/>
                <w:szCs w:val="21"/>
              </w:rPr>
              <w:t>天津乾诚</w:t>
            </w:r>
          </w:p>
        </w:tc>
        <w:tc>
          <w:tcPr>
            <w:tcW w:w="400" w:type="pct"/>
            <w:shd w:val="clear" w:color="auto" w:fill="FFFFFF"/>
            <w:tcMar>
              <w:top w:w="0" w:type="dxa"/>
              <w:left w:w="108" w:type="dxa"/>
              <w:bottom w:w="0" w:type="dxa"/>
              <w:right w:w="108" w:type="dxa"/>
            </w:tcMar>
            <w:vAlign w:val="center"/>
          </w:tcPr>
          <w:p w14:paraId="1E6AE78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0642016A" w14:textId="77777777" w:rsidR="006416B0" w:rsidRPr="00B4515A" w:rsidRDefault="005E58C1" w:rsidP="005860B4">
            <w:pPr>
              <w:adjustRightInd w:val="0"/>
              <w:snapToGrid w:val="0"/>
              <w:jc w:val="both"/>
              <w:rPr>
                <w:rFonts w:ascii="Times New Roman" w:hAnsi="Times New Roman" w:cs="Times New Roman"/>
                <w:color w:val="000000"/>
                <w:spacing w:val="8"/>
                <w:sz w:val="21"/>
                <w:szCs w:val="21"/>
              </w:rPr>
            </w:pPr>
            <w:r w:rsidRPr="00B4515A">
              <w:rPr>
                <w:rFonts w:ascii="Times New Roman" w:hAnsi="Times New Roman" w:cs="Times New Roman" w:hint="eastAsia"/>
                <w:color w:val="000000"/>
                <w:spacing w:val="8"/>
                <w:sz w:val="21"/>
                <w:szCs w:val="21"/>
              </w:rPr>
              <w:t>天津乾诚企业管理合伙企业（有限合伙）</w:t>
            </w:r>
          </w:p>
        </w:tc>
      </w:tr>
      <w:tr w:rsidR="006416B0" w:rsidRPr="00B4515A" w14:paraId="35FF16AB"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16C0F988" w14:textId="77777777" w:rsidR="006416B0" w:rsidRPr="00B4515A" w:rsidRDefault="005E58C1" w:rsidP="005860B4">
            <w:pPr>
              <w:adjustRightInd w:val="0"/>
              <w:snapToGrid w:val="0"/>
              <w:jc w:val="center"/>
              <w:rPr>
                <w:rFonts w:ascii="Times New Roman" w:hAnsi="Times New Roman" w:cs="Times New Roman"/>
                <w:color w:val="000000"/>
                <w:spacing w:val="8"/>
                <w:sz w:val="21"/>
                <w:szCs w:val="21"/>
              </w:rPr>
            </w:pPr>
            <w:r w:rsidRPr="00B4515A">
              <w:rPr>
                <w:rFonts w:ascii="Times New Roman" w:hAnsi="Times New Roman" w:cs="Times New Roman" w:hint="eastAsia"/>
                <w:color w:val="000000"/>
                <w:spacing w:val="8"/>
                <w:sz w:val="21"/>
                <w:szCs w:val="21"/>
              </w:rPr>
              <w:t>天津首诚</w:t>
            </w:r>
          </w:p>
        </w:tc>
        <w:tc>
          <w:tcPr>
            <w:tcW w:w="400" w:type="pct"/>
            <w:shd w:val="clear" w:color="auto" w:fill="FFFFFF"/>
            <w:tcMar>
              <w:top w:w="0" w:type="dxa"/>
              <w:left w:w="108" w:type="dxa"/>
              <w:bottom w:w="0" w:type="dxa"/>
              <w:right w:w="108" w:type="dxa"/>
            </w:tcMar>
            <w:vAlign w:val="center"/>
          </w:tcPr>
          <w:p w14:paraId="043193E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7D04A371" w14:textId="77777777" w:rsidR="006416B0" w:rsidRPr="00B4515A" w:rsidRDefault="005E58C1" w:rsidP="005860B4">
            <w:pPr>
              <w:adjustRightInd w:val="0"/>
              <w:snapToGrid w:val="0"/>
              <w:jc w:val="both"/>
              <w:rPr>
                <w:rFonts w:ascii="Times New Roman" w:hAnsi="Times New Roman" w:cs="Times New Roman"/>
                <w:color w:val="000000"/>
                <w:spacing w:val="8"/>
                <w:sz w:val="21"/>
                <w:szCs w:val="21"/>
              </w:rPr>
            </w:pPr>
            <w:r w:rsidRPr="00B4515A">
              <w:rPr>
                <w:rFonts w:ascii="Times New Roman" w:hAnsi="Times New Roman" w:cs="Times New Roman" w:hint="eastAsia"/>
                <w:color w:val="000000"/>
                <w:spacing w:val="8"/>
                <w:sz w:val="21"/>
                <w:szCs w:val="21"/>
              </w:rPr>
              <w:t>天津首诚企业管理合伙企业（有限合伙）</w:t>
            </w:r>
          </w:p>
        </w:tc>
      </w:tr>
      <w:tr w:rsidR="006416B0" w:rsidRPr="00B4515A" w14:paraId="7F440436"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16157843" w14:textId="77777777" w:rsidR="006416B0" w:rsidRPr="00B4515A" w:rsidRDefault="005E58C1" w:rsidP="005860B4">
            <w:pPr>
              <w:adjustRightInd w:val="0"/>
              <w:snapToGrid w:val="0"/>
              <w:jc w:val="center"/>
              <w:rPr>
                <w:rFonts w:ascii="Times New Roman" w:hAnsi="Times New Roman" w:cs="Times New Roman"/>
                <w:color w:val="000000"/>
                <w:spacing w:val="8"/>
                <w:sz w:val="21"/>
                <w:szCs w:val="21"/>
              </w:rPr>
            </w:pPr>
            <w:r w:rsidRPr="00B4515A">
              <w:rPr>
                <w:rFonts w:ascii="Times New Roman" w:hAnsi="Times New Roman" w:cs="Times New Roman" w:hint="eastAsia"/>
                <w:color w:val="000000"/>
                <w:spacing w:val="8"/>
                <w:sz w:val="21"/>
                <w:szCs w:val="21"/>
              </w:rPr>
              <w:t>天津军诚</w:t>
            </w:r>
          </w:p>
        </w:tc>
        <w:tc>
          <w:tcPr>
            <w:tcW w:w="400" w:type="pct"/>
            <w:shd w:val="clear" w:color="auto" w:fill="FFFFFF"/>
            <w:tcMar>
              <w:top w:w="0" w:type="dxa"/>
              <w:left w:w="108" w:type="dxa"/>
              <w:bottom w:w="0" w:type="dxa"/>
              <w:right w:w="108" w:type="dxa"/>
            </w:tcMar>
            <w:vAlign w:val="center"/>
          </w:tcPr>
          <w:p w14:paraId="50B3698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0DE40297" w14:textId="77777777" w:rsidR="006416B0" w:rsidRPr="00B4515A" w:rsidRDefault="005E58C1" w:rsidP="005860B4">
            <w:pPr>
              <w:adjustRightInd w:val="0"/>
              <w:snapToGrid w:val="0"/>
              <w:jc w:val="both"/>
              <w:rPr>
                <w:rFonts w:ascii="Times New Roman" w:hAnsi="Times New Roman" w:cs="Times New Roman"/>
                <w:color w:val="000000"/>
                <w:spacing w:val="8"/>
                <w:sz w:val="21"/>
                <w:szCs w:val="21"/>
              </w:rPr>
            </w:pPr>
            <w:r w:rsidRPr="00B4515A">
              <w:rPr>
                <w:rFonts w:ascii="Times New Roman" w:hAnsi="Times New Roman" w:cs="Times New Roman" w:hint="eastAsia"/>
                <w:color w:val="000000"/>
                <w:spacing w:val="8"/>
                <w:sz w:val="21"/>
                <w:szCs w:val="21"/>
              </w:rPr>
              <w:t>天津军诚企业管理合伙企业（有限合伙）</w:t>
            </w:r>
          </w:p>
        </w:tc>
      </w:tr>
      <w:tr w:rsidR="006416B0" w:rsidRPr="00B4515A" w14:paraId="453FEC0A"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6F62960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宸芯科技</w:t>
            </w:r>
          </w:p>
        </w:tc>
        <w:tc>
          <w:tcPr>
            <w:tcW w:w="400" w:type="pct"/>
            <w:shd w:val="clear" w:color="auto" w:fill="FFFFFF"/>
            <w:tcMar>
              <w:top w:w="0" w:type="dxa"/>
              <w:left w:w="108" w:type="dxa"/>
              <w:bottom w:w="0" w:type="dxa"/>
              <w:right w:w="108" w:type="dxa"/>
            </w:tcMar>
            <w:vAlign w:val="center"/>
          </w:tcPr>
          <w:p w14:paraId="3421B77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0C877FD6"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宸芯科技有限公司</w:t>
            </w:r>
          </w:p>
        </w:tc>
      </w:tr>
      <w:tr w:rsidR="006416B0" w:rsidRPr="00B4515A" w14:paraId="14FA543D"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404F176C"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辰芯科技</w:t>
            </w:r>
          </w:p>
        </w:tc>
        <w:tc>
          <w:tcPr>
            <w:tcW w:w="400" w:type="pct"/>
            <w:shd w:val="clear" w:color="auto" w:fill="FFFFFF"/>
            <w:tcMar>
              <w:top w:w="0" w:type="dxa"/>
              <w:left w:w="108" w:type="dxa"/>
              <w:bottom w:w="0" w:type="dxa"/>
              <w:right w:w="108" w:type="dxa"/>
            </w:tcMar>
            <w:vAlign w:val="center"/>
          </w:tcPr>
          <w:p w14:paraId="3542514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4C347F09"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辰芯科技有限公司</w:t>
            </w:r>
          </w:p>
        </w:tc>
      </w:tr>
      <w:tr w:rsidR="006416B0" w:rsidRPr="00B4515A" w14:paraId="4524D755"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627E651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联芯科技</w:t>
            </w:r>
          </w:p>
        </w:tc>
        <w:tc>
          <w:tcPr>
            <w:tcW w:w="400" w:type="pct"/>
            <w:shd w:val="clear" w:color="auto" w:fill="FFFFFF"/>
            <w:tcMar>
              <w:top w:w="0" w:type="dxa"/>
              <w:left w:w="108" w:type="dxa"/>
              <w:bottom w:w="0" w:type="dxa"/>
              <w:right w:w="108" w:type="dxa"/>
            </w:tcMar>
            <w:vAlign w:val="center"/>
          </w:tcPr>
          <w:p w14:paraId="25F87D9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48F6F514"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联芯科技有限公司</w:t>
            </w:r>
          </w:p>
        </w:tc>
      </w:tr>
      <w:tr w:rsidR="006416B0" w:rsidRPr="00B4515A" w14:paraId="4ACC1B16"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3165B44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大唐恩智浦</w:t>
            </w:r>
          </w:p>
        </w:tc>
        <w:tc>
          <w:tcPr>
            <w:tcW w:w="400" w:type="pct"/>
            <w:shd w:val="clear" w:color="auto" w:fill="FFFFFF"/>
            <w:tcMar>
              <w:top w:w="0" w:type="dxa"/>
              <w:left w:w="108" w:type="dxa"/>
              <w:bottom w:w="0" w:type="dxa"/>
              <w:right w:w="108" w:type="dxa"/>
            </w:tcMar>
            <w:vAlign w:val="center"/>
          </w:tcPr>
          <w:p w14:paraId="25C16D1F"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0883FEA1"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大唐恩智浦半导体有限公司</w:t>
            </w:r>
          </w:p>
        </w:tc>
      </w:tr>
      <w:tr w:rsidR="006416B0" w:rsidRPr="00B4515A" w14:paraId="153480E3"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1338087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恩智浦</w:t>
            </w:r>
          </w:p>
        </w:tc>
        <w:tc>
          <w:tcPr>
            <w:tcW w:w="400" w:type="pct"/>
            <w:shd w:val="clear" w:color="auto" w:fill="FFFFFF"/>
            <w:tcMar>
              <w:top w:w="0" w:type="dxa"/>
              <w:left w:w="108" w:type="dxa"/>
              <w:bottom w:w="0" w:type="dxa"/>
              <w:right w:w="108" w:type="dxa"/>
            </w:tcMar>
            <w:vAlign w:val="center"/>
          </w:tcPr>
          <w:p w14:paraId="67A97F2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6C806877"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恩智浦有限公司</w:t>
            </w:r>
          </w:p>
        </w:tc>
      </w:tr>
      <w:tr w:rsidR="006416B0" w:rsidRPr="00B4515A" w14:paraId="12389824"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1A414E6C"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江苏安防</w:t>
            </w:r>
          </w:p>
        </w:tc>
        <w:tc>
          <w:tcPr>
            <w:tcW w:w="400" w:type="pct"/>
            <w:shd w:val="clear" w:color="auto" w:fill="FFFFFF"/>
            <w:tcMar>
              <w:top w:w="0" w:type="dxa"/>
              <w:left w:w="108" w:type="dxa"/>
              <w:bottom w:w="0" w:type="dxa"/>
              <w:right w:w="108" w:type="dxa"/>
            </w:tcMar>
            <w:vAlign w:val="center"/>
          </w:tcPr>
          <w:p w14:paraId="566A436C"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45A97D4C"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江苏安防科技有限公司</w:t>
            </w:r>
          </w:p>
        </w:tc>
      </w:tr>
      <w:tr w:rsidR="006416B0" w:rsidRPr="00B4515A" w14:paraId="296BC81C"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2031542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徐州汽车基金</w:t>
            </w:r>
          </w:p>
        </w:tc>
        <w:tc>
          <w:tcPr>
            <w:tcW w:w="400" w:type="pct"/>
            <w:shd w:val="clear" w:color="auto" w:fill="FFFFFF"/>
            <w:tcMar>
              <w:top w:w="0" w:type="dxa"/>
              <w:left w:w="108" w:type="dxa"/>
              <w:bottom w:w="0" w:type="dxa"/>
              <w:right w:w="108" w:type="dxa"/>
            </w:tcMar>
            <w:vAlign w:val="center"/>
          </w:tcPr>
          <w:p w14:paraId="1F76230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122B7D1F"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徐州汽车半导体产业基金合伙企业</w:t>
            </w:r>
            <w:r w:rsidRPr="00B4515A">
              <w:rPr>
                <w:rFonts w:ascii="Times New Roman" w:hAnsi="Times New Roman" w:cs="Times New Roman"/>
                <w:color w:val="000000"/>
                <w:sz w:val="21"/>
                <w:szCs w:val="21"/>
              </w:rPr>
              <w:t>(</w:t>
            </w:r>
            <w:r w:rsidRPr="00B4515A">
              <w:rPr>
                <w:rFonts w:ascii="Times New Roman" w:hAnsi="Times New Roman" w:cs="Times New Roman" w:hint="eastAsia"/>
                <w:color w:val="000000"/>
                <w:sz w:val="21"/>
                <w:szCs w:val="21"/>
              </w:rPr>
              <w:t>有限合伙</w:t>
            </w:r>
            <w:r w:rsidRPr="00B4515A">
              <w:rPr>
                <w:rFonts w:ascii="Times New Roman" w:hAnsi="Times New Roman" w:cs="Times New Roman"/>
                <w:color w:val="000000"/>
                <w:sz w:val="21"/>
                <w:szCs w:val="21"/>
              </w:rPr>
              <w:t>)</w:t>
            </w:r>
          </w:p>
        </w:tc>
      </w:tr>
      <w:tr w:rsidR="006416B0" w:rsidRPr="00B4515A" w14:paraId="4DC8075D"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26E8965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徐州智安基金</w:t>
            </w:r>
          </w:p>
        </w:tc>
        <w:tc>
          <w:tcPr>
            <w:tcW w:w="400" w:type="pct"/>
            <w:shd w:val="clear" w:color="auto" w:fill="FFFFFF"/>
            <w:tcMar>
              <w:top w:w="0" w:type="dxa"/>
              <w:left w:w="108" w:type="dxa"/>
              <w:bottom w:w="0" w:type="dxa"/>
              <w:right w:w="108" w:type="dxa"/>
            </w:tcMar>
            <w:vAlign w:val="center"/>
          </w:tcPr>
          <w:p w14:paraId="43DC5BF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77C14D86"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徐州智安产业投资基金合伙企业</w:t>
            </w:r>
            <w:r w:rsidRPr="00B4515A">
              <w:rPr>
                <w:rFonts w:ascii="Times New Roman" w:hAnsi="Times New Roman" w:cs="Times New Roman"/>
                <w:color w:val="000000"/>
                <w:sz w:val="21"/>
                <w:szCs w:val="21"/>
              </w:rPr>
              <w:t>(</w:t>
            </w:r>
            <w:r w:rsidRPr="00B4515A">
              <w:rPr>
                <w:rFonts w:ascii="Times New Roman" w:hAnsi="Times New Roman" w:cs="Times New Roman" w:hint="eastAsia"/>
                <w:color w:val="000000"/>
                <w:sz w:val="21"/>
                <w:szCs w:val="21"/>
              </w:rPr>
              <w:t>有限合伙</w:t>
            </w:r>
            <w:r w:rsidRPr="00B4515A">
              <w:rPr>
                <w:rFonts w:ascii="Times New Roman" w:hAnsi="Times New Roman" w:cs="Times New Roman"/>
                <w:color w:val="000000"/>
                <w:sz w:val="21"/>
                <w:szCs w:val="21"/>
              </w:rPr>
              <w:t>)</w:t>
            </w:r>
          </w:p>
        </w:tc>
      </w:tr>
      <w:tr w:rsidR="006416B0" w:rsidRPr="00B4515A" w14:paraId="3AD4611B"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0DCF540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成都线缆</w:t>
            </w:r>
          </w:p>
        </w:tc>
        <w:tc>
          <w:tcPr>
            <w:tcW w:w="400" w:type="pct"/>
            <w:shd w:val="clear" w:color="auto" w:fill="FFFFFF"/>
            <w:tcMar>
              <w:top w:w="0" w:type="dxa"/>
              <w:left w:w="108" w:type="dxa"/>
              <w:bottom w:w="0" w:type="dxa"/>
              <w:right w:w="108" w:type="dxa"/>
            </w:tcMar>
            <w:vAlign w:val="center"/>
          </w:tcPr>
          <w:p w14:paraId="65D750D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1044CF60"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成都大唐线缆有限公司</w:t>
            </w:r>
          </w:p>
        </w:tc>
      </w:tr>
      <w:tr w:rsidR="006416B0" w:rsidRPr="00B4515A" w14:paraId="0E92229D"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009E0A6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烽火通信</w:t>
            </w:r>
          </w:p>
        </w:tc>
        <w:tc>
          <w:tcPr>
            <w:tcW w:w="400" w:type="pct"/>
            <w:shd w:val="clear" w:color="auto" w:fill="FFFFFF"/>
            <w:tcMar>
              <w:top w:w="0" w:type="dxa"/>
              <w:left w:w="108" w:type="dxa"/>
              <w:bottom w:w="0" w:type="dxa"/>
              <w:right w:w="108" w:type="dxa"/>
            </w:tcMar>
            <w:vAlign w:val="center"/>
          </w:tcPr>
          <w:p w14:paraId="4A00B5E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184E4AA4"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烽火通信科技股份有限公司</w:t>
            </w:r>
          </w:p>
        </w:tc>
      </w:tr>
      <w:tr w:rsidR="006416B0" w:rsidRPr="00B4515A" w14:paraId="12E41B66"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17469AE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大唐半导体</w:t>
            </w:r>
          </w:p>
        </w:tc>
        <w:tc>
          <w:tcPr>
            <w:tcW w:w="400" w:type="pct"/>
            <w:shd w:val="clear" w:color="auto" w:fill="FFFFFF"/>
            <w:tcMar>
              <w:top w:w="0" w:type="dxa"/>
              <w:left w:w="108" w:type="dxa"/>
              <w:bottom w:w="0" w:type="dxa"/>
              <w:right w:w="108" w:type="dxa"/>
            </w:tcMar>
            <w:vAlign w:val="center"/>
          </w:tcPr>
          <w:p w14:paraId="0AB08C4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32020770"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大唐半导体设计有限公司</w:t>
            </w:r>
          </w:p>
        </w:tc>
      </w:tr>
      <w:tr w:rsidR="006416B0" w:rsidRPr="00B4515A" w14:paraId="334333C4"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53FBC50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大唐移动</w:t>
            </w:r>
          </w:p>
        </w:tc>
        <w:tc>
          <w:tcPr>
            <w:tcW w:w="400" w:type="pct"/>
            <w:shd w:val="clear" w:color="auto" w:fill="FFFFFF"/>
            <w:tcMar>
              <w:top w:w="0" w:type="dxa"/>
              <w:left w:w="108" w:type="dxa"/>
              <w:bottom w:w="0" w:type="dxa"/>
              <w:right w:w="108" w:type="dxa"/>
            </w:tcMar>
            <w:vAlign w:val="center"/>
          </w:tcPr>
          <w:p w14:paraId="7CC1DD5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3454C62B"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大唐移动通信设备有限公司</w:t>
            </w:r>
          </w:p>
        </w:tc>
      </w:tr>
      <w:tr w:rsidR="006416B0" w:rsidRPr="00B4515A" w14:paraId="0854C1FE"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3425BF5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烽火科技集团</w:t>
            </w:r>
          </w:p>
        </w:tc>
        <w:tc>
          <w:tcPr>
            <w:tcW w:w="400" w:type="pct"/>
            <w:shd w:val="clear" w:color="auto" w:fill="FFFFFF"/>
            <w:tcMar>
              <w:top w:w="0" w:type="dxa"/>
              <w:left w:w="108" w:type="dxa"/>
              <w:bottom w:w="0" w:type="dxa"/>
              <w:right w:w="108" w:type="dxa"/>
            </w:tcMar>
            <w:vAlign w:val="center"/>
          </w:tcPr>
          <w:p w14:paraId="272B58D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44FBBB7F"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烽火科技集团有限公司</w:t>
            </w:r>
          </w:p>
        </w:tc>
      </w:tr>
      <w:tr w:rsidR="006416B0" w:rsidRPr="00B4515A" w14:paraId="6C3F3EFF"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36A2F25C"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烽火创投</w:t>
            </w:r>
          </w:p>
        </w:tc>
        <w:tc>
          <w:tcPr>
            <w:tcW w:w="400" w:type="pct"/>
            <w:shd w:val="clear" w:color="auto" w:fill="FFFFFF"/>
            <w:tcMar>
              <w:top w:w="0" w:type="dxa"/>
              <w:left w:w="108" w:type="dxa"/>
              <w:bottom w:w="0" w:type="dxa"/>
              <w:right w:w="108" w:type="dxa"/>
            </w:tcMar>
            <w:vAlign w:val="center"/>
          </w:tcPr>
          <w:p w14:paraId="2438790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2587F7EE"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武汉光谷烽火科技创业投资有限公司</w:t>
            </w:r>
          </w:p>
        </w:tc>
      </w:tr>
      <w:tr w:rsidR="006416B0" w:rsidRPr="00B4515A" w14:paraId="7C986DDD"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5160BF2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烽火投资</w:t>
            </w:r>
          </w:p>
        </w:tc>
        <w:tc>
          <w:tcPr>
            <w:tcW w:w="400" w:type="pct"/>
            <w:shd w:val="clear" w:color="auto" w:fill="FFFFFF"/>
            <w:tcMar>
              <w:top w:w="0" w:type="dxa"/>
              <w:left w:w="108" w:type="dxa"/>
              <w:bottom w:w="0" w:type="dxa"/>
              <w:right w:w="108" w:type="dxa"/>
            </w:tcMar>
            <w:vAlign w:val="center"/>
          </w:tcPr>
          <w:p w14:paraId="079271EC"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18291F09"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武汉光谷烽火投资基金管理有限公司</w:t>
            </w:r>
          </w:p>
        </w:tc>
      </w:tr>
      <w:tr w:rsidR="006416B0" w:rsidRPr="00B4515A" w14:paraId="48B854D7"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7EBBB01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本次交易、本次重组、本次重大资产重组</w:t>
            </w:r>
          </w:p>
        </w:tc>
        <w:tc>
          <w:tcPr>
            <w:tcW w:w="400" w:type="pct"/>
            <w:shd w:val="clear" w:color="auto" w:fill="FFFFFF"/>
            <w:tcMar>
              <w:top w:w="0" w:type="dxa"/>
              <w:left w:w="108" w:type="dxa"/>
              <w:bottom w:w="0" w:type="dxa"/>
              <w:right w:w="108" w:type="dxa"/>
            </w:tcMar>
            <w:vAlign w:val="center"/>
          </w:tcPr>
          <w:p w14:paraId="015E74E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1FB6F3EC"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大唐电信科技股份有限公司发行股份购买资产并募集配套资金暨关联交易</w:t>
            </w:r>
          </w:p>
        </w:tc>
      </w:tr>
      <w:tr w:rsidR="006416B0" w:rsidRPr="00B4515A" w14:paraId="23317D40" w14:textId="77777777" w:rsidTr="005860B4">
        <w:trPr>
          <w:trHeight w:val="340"/>
          <w:jc w:val="center"/>
        </w:trPr>
        <w:tc>
          <w:tcPr>
            <w:tcW w:w="1154" w:type="pct"/>
            <w:shd w:val="clear" w:color="auto" w:fill="FFFFFF"/>
            <w:tcMar>
              <w:top w:w="0" w:type="dxa"/>
              <w:left w:w="108" w:type="dxa"/>
              <w:bottom w:w="0" w:type="dxa"/>
              <w:right w:w="108" w:type="dxa"/>
            </w:tcMar>
            <w:vAlign w:val="center"/>
          </w:tcPr>
          <w:p w14:paraId="629B929C"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发行股份购买资产</w:t>
            </w:r>
          </w:p>
        </w:tc>
        <w:tc>
          <w:tcPr>
            <w:tcW w:w="400" w:type="pct"/>
            <w:shd w:val="clear" w:color="auto" w:fill="FFFFFF"/>
            <w:tcMar>
              <w:top w:w="0" w:type="dxa"/>
              <w:left w:w="108" w:type="dxa"/>
              <w:bottom w:w="0" w:type="dxa"/>
              <w:right w:w="108" w:type="dxa"/>
            </w:tcMar>
            <w:vAlign w:val="center"/>
          </w:tcPr>
          <w:p w14:paraId="05544C6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shd w:val="clear" w:color="auto" w:fill="FFFFFF"/>
            <w:tcMar>
              <w:top w:w="0" w:type="dxa"/>
              <w:left w:w="108" w:type="dxa"/>
              <w:bottom w:w="0" w:type="dxa"/>
              <w:right w:w="108" w:type="dxa"/>
            </w:tcMar>
            <w:vAlign w:val="center"/>
          </w:tcPr>
          <w:p w14:paraId="0E02F9B0"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333333"/>
                <w:sz w:val="21"/>
                <w:szCs w:val="21"/>
              </w:rPr>
              <w:t>上市公司拟发行股份购买大唐联诚</w:t>
            </w:r>
            <w:r w:rsidRPr="00B4515A">
              <w:rPr>
                <w:rFonts w:ascii="Times New Roman" w:hAnsi="Times New Roman" w:cs="Times New Roman"/>
                <w:color w:val="000000"/>
                <w:sz w:val="21"/>
                <w:szCs w:val="21"/>
              </w:rPr>
              <w:t>95.001%</w:t>
            </w:r>
            <w:r w:rsidRPr="00B4515A">
              <w:rPr>
                <w:rFonts w:ascii="Times New Roman" w:hAnsi="Times New Roman" w:cs="Times New Roman" w:hint="eastAsia"/>
                <w:color w:val="000000"/>
                <w:sz w:val="21"/>
                <w:szCs w:val="21"/>
              </w:rPr>
              <w:t>股权。</w:t>
            </w:r>
          </w:p>
        </w:tc>
      </w:tr>
      <w:tr w:rsidR="006416B0" w:rsidRPr="00B4515A" w14:paraId="2049F942" w14:textId="77777777" w:rsidTr="005860B4">
        <w:trPr>
          <w:trHeight w:val="340"/>
          <w:jc w:val="center"/>
        </w:trPr>
        <w:tc>
          <w:tcPr>
            <w:tcW w:w="1154" w:type="pct"/>
            <w:tcMar>
              <w:top w:w="0" w:type="dxa"/>
              <w:left w:w="108" w:type="dxa"/>
              <w:bottom w:w="0" w:type="dxa"/>
              <w:right w:w="108" w:type="dxa"/>
            </w:tcMar>
            <w:vAlign w:val="center"/>
          </w:tcPr>
          <w:p w14:paraId="3C9ECF73" w14:textId="55DF8C24"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重组报告书（草</w:t>
            </w:r>
            <w:r w:rsidRPr="00B4515A">
              <w:rPr>
                <w:rFonts w:ascii="Times New Roman" w:hAnsi="Times New Roman" w:cs="Times New Roman" w:hint="eastAsia"/>
                <w:color w:val="333333"/>
                <w:sz w:val="21"/>
                <w:szCs w:val="21"/>
              </w:rPr>
              <w:lastRenderedPageBreak/>
              <w:t>案）、重组报告书、本</w:t>
            </w:r>
            <w:r w:rsidR="00776E2F" w:rsidRPr="00B4515A">
              <w:rPr>
                <w:rFonts w:ascii="Times New Roman" w:hAnsi="Times New Roman" w:cs="Times New Roman" w:hint="eastAsia"/>
                <w:color w:val="333333"/>
                <w:sz w:val="21"/>
                <w:szCs w:val="21"/>
              </w:rPr>
              <w:t>报告书</w:t>
            </w:r>
          </w:p>
        </w:tc>
        <w:tc>
          <w:tcPr>
            <w:tcW w:w="400" w:type="pct"/>
            <w:tcMar>
              <w:top w:w="0" w:type="dxa"/>
              <w:left w:w="108" w:type="dxa"/>
              <w:bottom w:w="0" w:type="dxa"/>
              <w:right w:w="108" w:type="dxa"/>
            </w:tcMar>
            <w:vAlign w:val="center"/>
          </w:tcPr>
          <w:p w14:paraId="3389486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lastRenderedPageBreak/>
              <w:t>指</w:t>
            </w:r>
          </w:p>
        </w:tc>
        <w:tc>
          <w:tcPr>
            <w:tcW w:w="3446" w:type="pct"/>
            <w:tcMar>
              <w:top w:w="0" w:type="dxa"/>
              <w:left w:w="108" w:type="dxa"/>
              <w:bottom w:w="0" w:type="dxa"/>
              <w:right w:w="108" w:type="dxa"/>
            </w:tcMar>
            <w:vAlign w:val="center"/>
          </w:tcPr>
          <w:p w14:paraId="34AB0776"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《大唐电信科技股份有限公司发行股份购买资产并募集配套</w:t>
            </w:r>
            <w:r w:rsidRPr="00B4515A">
              <w:rPr>
                <w:rFonts w:ascii="Times New Roman" w:hAnsi="Times New Roman" w:cs="Times New Roman" w:hint="eastAsia"/>
                <w:color w:val="000000"/>
                <w:sz w:val="21"/>
                <w:szCs w:val="21"/>
              </w:rPr>
              <w:lastRenderedPageBreak/>
              <w:t>资金暨关联交易报告书（草案》</w:t>
            </w:r>
          </w:p>
        </w:tc>
      </w:tr>
      <w:tr w:rsidR="006416B0" w:rsidRPr="00B4515A" w14:paraId="70133F36" w14:textId="77777777" w:rsidTr="005860B4">
        <w:trPr>
          <w:trHeight w:val="340"/>
          <w:jc w:val="center"/>
        </w:trPr>
        <w:tc>
          <w:tcPr>
            <w:tcW w:w="1154" w:type="pct"/>
            <w:tcMar>
              <w:top w:w="0" w:type="dxa"/>
              <w:left w:w="108" w:type="dxa"/>
              <w:bottom w:w="0" w:type="dxa"/>
              <w:right w:w="108" w:type="dxa"/>
            </w:tcMar>
            <w:vAlign w:val="center"/>
          </w:tcPr>
          <w:p w14:paraId="50EC261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lastRenderedPageBreak/>
              <w:t>审计报告</w:t>
            </w:r>
          </w:p>
        </w:tc>
        <w:tc>
          <w:tcPr>
            <w:tcW w:w="400" w:type="pct"/>
            <w:tcMar>
              <w:top w:w="0" w:type="dxa"/>
              <w:left w:w="108" w:type="dxa"/>
              <w:bottom w:w="0" w:type="dxa"/>
              <w:right w:w="108" w:type="dxa"/>
            </w:tcMar>
            <w:vAlign w:val="center"/>
          </w:tcPr>
          <w:p w14:paraId="0E7DA39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04F96E90" w14:textId="641B32FB"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《大唐联诚信息系统技术有限公司审计报告及财务报表》（</w:t>
            </w:r>
            <w:r w:rsidR="00124C84" w:rsidRPr="00B4515A">
              <w:rPr>
                <w:rFonts w:ascii="Times New Roman" w:hAnsi="Times New Roman" w:cs="Times New Roman" w:hint="eastAsia"/>
                <w:color w:val="000000"/>
                <w:sz w:val="21"/>
                <w:szCs w:val="21"/>
              </w:rPr>
              <w:t>信会师报字［</w:t>
            </w:r>
            <w:r w:rsidR="00124C84" w:rsidRPr="00B4515A">
              <w:rPr>
                <w:rFonts w:ascii="Times New Roman" w:hAnsi="Times New Roman" w:cs="Times New Roman" w:hint="eastAsia"/>
                <w:color w:val="000000"/>
                <w:sz w:val="21"/>
                <w:szCs w:val="21"/>
              </w:rPr>
              <w:t>2021</w:t>
            </w:r>
            <w:r w:rsidR="00124C84" w:rsidRPr="00B4515A">
              <w:rPr>
                <w:rFonts w:ascii="Times New Roman" w:hAnsi="Times New Roman" w:cs="Times New Roman" w:hint="eastAsia"/>
                <w:color w:val="000000"/>
                <w:sz w:val="21"/>
                <w:szCs w:val="21"/>
              </w:rPr>
              <w:t>］第</w:t>
            </w:r>
            <w:r w:rsidR="00124C84" w:rsidRPr="00B4515A">
              <w:rPr>
                <w:rFonts w:ascii="Times New Roman" w:hAnsi="Times New Roman" w:cs="Times New Roman" w:hint="eastAsia"/>
                <w:color w:val="000000"/>
                <w:sz w:val="21"/>
                <w:szCs w:val="21"/>
              </w:rPr>
              <w:t>ZE21651</w:t>
            </w:r>
            <w:r w:rsidR="00124C84" w:rsidRPr="00B4515A">
              <w:rPr>
                <w:rFonts w:ascii="Times New Roman" w:hAnsi="Times New Roman" w:cs="Times New Roman" w:hint="eastAsia"/>
                <w:color w:val="000000"/>
                <w:sz w:val="21"/>
                <w:szCs w:val="21"/>
              </w:rPr>
              <w:t>号</w:t>
            </w:r>
            <w:r w:rsidRPr="00B4515A">
              <w:rPr>
                <w:rFonts w:ascii="Times New Roman" w:hAnsi="Times New Roman" w:cs="Times New Roman" w:hint="eastAsia"/>
                <w:color w:val="000000"/>
                <w:sz w:val="21"/>
                <w:szCs w:val="21"/>
              </w:rPr>
              <w:t>）</w:t>
            </w:r>
          </w:p>
        </w:tc>
      </w:tr>
      <w:tr w:rsidR="006416B0" w:rsidRPr="00B4515A" w14:paraId="585C6C83" w14:textId="77777777" w:rsidTr="005860B4">
        <w:trPr>
          <w:trHeight w:val="340"/>
          <w:jc w:val="center"/>
        </w:trPr>
        <w:tc>
          <w:tcPr>
            <w:tcW w:w="1154" w:type="pct"/>
            <w:tcMar>
              <w:top w:w="0" w:type="dxa"/>
              <w:left w:w="108" w:type="dxa"/>
              <w:bottom w:w="0" w:type="dxa"/>
              <w:right w:w="108" w:type="dxa"/>
            </w:tcMar>
            <w:vAlign w:val="center"/>
          </w:tcPr>
          <w:p w14:paraId="2D6CDD9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评估报告</w:t>
            </w:r>
          </w:p>
        </w:tc>
        <w:tc>
          <w:tcPr>
            <w:tcW w:w="400" w:type="pct"/>
            <w:tcMar>
              <w:top w:w="0" w:type="dxa"/>
              <w:left w:w="108" w:type="dxa"/>
              <w:bottom w:w="0" w:type="dxa"/>
              <w:right w:w="108" w:type="dxa"/>
            </w:tcMar>
            <w:vAlign w:val="center"/>
          </w:tcPr>
          <w:p w14:paraId="447E0E7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32FE1445"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《大唐电信科技股份有限公司拟发行股份购买大唐联诚信息系统技术有限公司股权所涉及的大唐联诚信息系统技术有限公司股东全部权益价值资产评估报告》（东洲评报字【</w:t>
            </w:r>
            <w:r w:rsidRPr="00B4515A">
              <w:rPr>
                <w:rFonts w:ascii="Times New Roman" w:hAnsi="Times New Roman" w:cs="Times New Roman"/>
                <w:color w:val="000000"/>
                <w:sz w:val="21"/>
                <w:szCs w:val="21"/>
              </w:rPr>
              <w:t>2021</w:t>
            </w:r>
            <w:r w:rsidRPr="00B4515A">
              <w:rPr>
                <w:rFonts w:ascii="Times New Roman" w:hAnsi="Times New Roman" w:cs="Times New Roman"/>
                <w:color w:val="000000"/>
                <w:sz w:val="21"/>
                <w:szCs w:val="21"/>
              </w:rPr>
              <w:t>】第</w:t>
            </w:r>
            <w:r w:rsidRPr="00B4515A">
              <w:rPr>
                <w:rFonts w:ascii="Times New Roman" w:hAnsi="Times New Roman" w:cs="Times New Roman"/>
                <w:color w:val="000000"/>
                <w:sz w:val="21"/>
                <w:szCs w:val="21"/>
              </w:rPr>
              <w:t>0898</w:t>
            </w:r>
            <w:r w:rsidRPr="00B4515A">
              <w:rPr>
                <w:rFonts w:ascii="Times New Roman" w:hAnsi="Times New Roman" w:cs="Times New Roman"/>
                <w:color w:val="000000"/>
                <w:sz w:val="21"/>
                <w:szCs w:val="21"/>
              </w:rPr>
              <w:t>号</w:t>
            </w:r>
            <w:r w:rsidRPr="00B4515A">
              <w:rPr>
                <w:rFonts w:ascii="Times New Roman" w:hAnsi="Times New Roman" w:cs="Times New Roman" w:hint="eastAsia"/>
                <w:color w:val="000000"/>
                <w:sz w:val="21"/>
                <w:szCs w:val="21"/>
              </w:rPr>
              <w:t>）</w:t>
            </w:r>
          </w:p>
        </w:tc>
      </w:tr>
      <w:tr w:rsidR="002C4073" w:rsidRPr="00B4515A" w14:paraId="240EB59B" w14:textId="77777777" w:rsidTr="00EE238F">
        <w:trPr>
          <w:trHeight w:val="340"/>
          <w:jc w:val="center"/>
        </w:trPr>
        <w:tc>
          <w:tcPr>
            <w:tcW w:w="1154" w:type="pct"/>
            <w:tcMar>
              <w:top w:w="0" w:type="dxa"/>
              <w:left w:w="108" w:type="dxa"/>
              <w:bottom w:w="0" w:type="dxa"/>
              <w:right w:w="108" w:type="dxa"/>
            </w:tcMar>
            <w:vAlign w:val="center"/>
          </w:tcPr>
          <w:p w14:paraId="099F5308" w14:textId="066775BA" w:rsidR="002C4073" w:rsidRPr="00B4515A" w:rsidRDefault="002C4073"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审阅报告、备考审阅报告</w:t>
            </w:r>
          </w:p>
        </w:tc>
        <w:tc>
          <w:tcPr>
            <w:tcW w:w="400" w:type="pct"/>
            <w:tcMar>
              <w:top w:w="0" w:type="dxa"/>
              <w:left w:w="108" w:type="dxa"/>
              <w:bottom w:w="0" w:type="dxa"/>
              <w:right w:w="108" w:type="dxa"/>
            </w:tcMar>
            <w:vAlign w:val="center"/>
          </w:tcPr>
          <w:p w14:paraId="40411254" w14:textId="658A062E" w:rsidR="002C4073" w:rsidRPr="00B4515A" w:rsidRDefault="002C4073"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1B68F1BE" w14:textId="6359BBE5" w:rsidR="002C4073" w:rsidRPr="00B4515A" w:rsidRDefault="002C4073" w:rsidP="00EE238F">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《大唐电信科技股份有限公司备考合并财务报表审阅报告》（信会师报字</w:t>
            </w:r>
            <w:r w:rsidRPr="00B4515A">
              <w:rPr>
                <w:rFonts w:ascii="Times New Roman" w:hAnsi="Times New Roman" w:cs="Times New Roman"/>
                <w:color w:val="000000"/>
                <w:sz w:val="21"/>
                <w:szCs w:val="21"/>
              </w:rPr>
              <w:t>[2021]</w:t>
            </w:r>
            <w:r w:rsidRPr="00B4515A">
              <w:rPr>
                <w:rFonts w:ascii="Times New Roman" w:hAnsi="Times New Roman" w:cs="Times New Roman" w:hint="eastAsia"/>
                <w:color w:val="000000"/>
                <w:sz w:val="21"/>
                <w:szCs w:val="21"/>
              </w:rPr>
              <w:t>第</w:t>
            </w:r>
            <w:r w:rsidRPr="00B4515A">
              <w:rPr>
                <w:rFonts w:ascii="Times New Roman" w:hAnsi="Times New Roman" w:cs="Times New Roman"/>
                <w:color w:val="000000"/>
                <w:sz w:val="21"/>
                <w:szCs w:val="21"/>
              </w:rPr>
              <w:t>ZG11653</w:t>
            </w:r>
            <w:r w:rsidRPr="00B4515A">
              <w:rPr>
                <w:rFonts w:ascii="Times New Roman" w:hAnsi="Times New Roman" w:cs="Times New Roman" w:hint="eastAsia"/>
                <w:color w:val="000000"/>
                <w:sz w:val="21"/>
                <w:szCs w:val="21"/>
              </w:rPr>
              <w:t>号）</w:t>
            </w:r>
          </w:p>
        </w:tc>
      </w:tr>
      <w:tr w:rsidR="006416B0" w:rsidRPr="00B4515A" w14:paraId="617DBEB8" w14:textId="77777777" w:rsidTr="005860B4">
        <w:trPr>
          <w:trHeight w:val="340"/>
          <w:jc w:val="center"/>
        </w:trPr>
        <w:tc>
          <w:tcPr>
            <w:tcW w:w="1154" w:type="pct"/>
            <w:tcMar>
              <w:top w:w="0" w:type="dxa"/>
              <w:left w:w="108" w:type="dxa"/>
              <w:bottom w:w="0" w:type="dxa"/>
              <w:right w:w="108" w:type="dxa"/>
            </w:tcMar>
            <w:vAlign w:val="center"/>
          </w:tcPr>
          <w:p w14:paraId="6CBBC86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000000"/>
                <w:sz w:val="21"/>
                <w:szCs w:val="21"/>
              </w:rPr>
              <w:t>业绩补偿协议</w:t>
            </w:r>
          </w:p>
        </w:tc>
        <w:tc>
          <w:tcPr>
            <w:tcW w:w="400" w:type="pct"/>
            <w:tcMar>
              <w:top w:w="0" w:type="dxa"/>
              <w:left w:w="108" w:type="dxa"/>
              <w:bottom w:w="0" w:type="dxa"/>
              <w:right w:w="108" w:type="dxa"/>
            </w:tcMar>
            <w:vAlign w:val="center"/>
          </w:tcPr>
          <w:p w14:paraId="7B054B4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1525AD80" w14:textId="3CDDCC56"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大唐电信科技股份有限公司与电信科学技术研究院有限公司</w:t>
            </w:r>
            <w:r w:rsidR="00387F18" w:rsidRPr="00B4515A">
              <w:rPr>
                <w:rFonts w:ascii="Times New Roman" w:hAnsi="Times New Roman" w:cs="Times New Roman" w:hint="eastAsia"/>
                <w:color w:val="000000"/>
                <w:sz w:val="21"/>
                <w:szCs w:val="21"/>
              </w:rPr>
              <w:t>、</w:t>
            </w:r>
            <w:r w:rsidRPr="00B4515A">
              <w:rPr>
                <w:rFonts w:ascii="Times New Roman" w:hAnsi="Times New Roman" w:cs="Times New Roman" w:hint="eastAsia"/>
                <w:color w:val="000000"/>
                <w:sz w:val="21"/>
                <w:szCs w:val="21"/>
              </w:rPr>
              <w:t>大唐电信科技产业控股有限公司之业绩承诺与补偿协议</w:t>
            </w:r>
          </w:p>
        </w:tc>
      </w:tr>
      <w:tr w:rsidR="006416B0" w:rsidRPr="00B4515A" w14:paraId="65DE9B3F" w14:textId="77777777" w:rsidTr="005860B4">
        <w:trPr>
          <w:trHeight w:val="340"/>
          <w:jc w:val="center"/>
        </w:trPr>
        <w:tc>
          <w:tcPr>
            <w:tcW w:w="1154" w:type="pct"/>
            <w:tcMar>
              <w:top w:w="0" w:type="dxa"/>
              <w:left w:w="108" w:type="dxa"/>
              <w:bottom w:w="0" w:type="dxa"/>
              <w:right w:w="108" w:type="dxa"/>
            </w:tcMar>
            <w:vAlign w:val="center"/>
          </w:tcPr>
          <w:p w14:paraId="300A940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000000"/>
                <w:sz w:val="21"/>
                <w:szCs w:val="21"/>
              </w:rPr>
              <w:t>发行股份购买资产协议</w:t>
            </w:r>
          </w:p>
        </w:tc>
        <w:tc>
          <w:tcPr>
            <w:tcW w:w="400" w:type="pct"/>
            <w:tcMar>
              <w:top w:w="0" w:type="dxa"/>
              <w:left w:w="108" w:type="dxa"/>
              <w:bottom w:w="0" w:type="dxa"/>
              <w:right w:w="108" w:type="dxa"/>
            </w:tcMar>
            <w:vAlign w:val="center"/>
          </w:tcPr>
          <w:p w14:paraId="20DD9BB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70AADC9E"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大唐电信科技股份有限公司与大唐联诚信息系统技术有限公司股东之发行股份购买资产协议</w:t>
            </w:r>
          </w:p>
        </w:tc>
      </w:tr>
      <w:tr w:rsidR="006416B0" w:rsidRPr="00B4515A" w14:paraId="603B7DBE" w14:textId="77777777" w:rsidTr="005860B4">
        <w:trPr>
          <w:trHeight w:val="340"/>
          <w:jc w:val="center"/>
        </w:trPr>
        <w:tc>
          <w:tcPr>
            <w:tcW w:w="1154" w:type="pct"/>
            <w:tcMar>
              <w:top w:w="0" w:type="dxa"/>
              <w:left w:w="108" w:type="dxa"/>
              <w:bottom w:w="0" w:type="dxa"/>
              <w:right w:w="108" w:type="dxa"/>
            </w:tcMar>
            <w:vAlign w:val="center"/>
          </w:tcPr>
          <w:p w14:paraId="27F6B7D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000000"/>
                <w:sz w:val="21"/>
                <w:szCs w:val="21"/>
              </w:rPr>
              <w:t>发行股份购买资产协议之补充协议</w:t>
            </w:r>
          </w:p>
        </w:tc>
        <w:tc>
          <w:tcPr>
            <w:tcW w:w="400" w:type="pct"/>
            <w:tcMar>
              <w:top w:w="0" w:type="dxa"/>
              <w:left w:w="108" w:type="dxa"/>
              <w:bottom w:w="0" w:type="dxa"/>
              <w:right w:w="108" w:type="dxa"/>
            </w:tcMar>
            <w:vAlign w:val="center"/>
          </w:tcPr>
          <w:p w14:paraId="3EF7D24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4449D9F6"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大唐电信科技股份有限公司与大唐联诚信息系统技术有限公司股东之发行股份购买资产协议之补充协议</w:t>
            </w:r>
          </w:p>
        </w:tc>
      </w:tr>
      <w:tr w:rsidR="006416B0" w:rsidRPr="00B4515A" w14:paraId="4038BAC0" w14:textId="77777777" w:rsidTr="005860B4">
        <w:trPr>
          <w:trHeight w:val="340"/>
          <w:jc w:val="center"/>
        </w:trPr>
        <w:tc>
          <w:tcPr>
            <w:tcW w:w="1154" w:type="pct"/>
            <w:tcMar>
              <w:top w:w="0" w:type="dxa"/>
              <w:left w:w="108" w:type="dxa"/>
              <w:bottom w:w="0" w:type="dxa"/>
              <w:right w:w="108" w:type="dxa"/>
            </w:tcMar>
            <w:vAlign w:val="center"/>
          </w:tcPr>
          <w:p w14:paraId="6553D7E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000000"/>
                <w:sz w:val="21"/>
                <w:szCs w:val="21"/>
              </w:rPr>
              <w:t>募集配套资金股份认购协议</w:t>
            </w:r>
          </w:p>
        </w:tc>
        <w:tc>
          <w:tcPr>
            <w:tcW w:w="400" w:type="pct"/>
            <w:tcMar>
              <w:top w:w="0" w:type="dxa"/>
              <w:left w:w="108" w:type="dxa"/>
              <w:bottom w:w="0" w:type="dxa"/>
              <w:right w:w="108" w:type="dxa"/>
            </w:tcMar>
            <w:vAlign w:val="center"/>
          </w:tcPr>
          <w:p w14:paraId="5C8DEE9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4C06E980"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大唐电信科技股份有限公司与中国信息通信科技集团有限公司关于大唐电信科技股份有限公司非公开发行股票之附条件生效的股份认购协议</w:t>
            </w:r>
          </w:p>
        </w:tc>
      </w:tr>
      <w:tr w:rsidR="006416B0" w:rsidRPr="00B4515A" w14:paraId="7D2E6AC6" w14:textId="77777777" w:rsidTr="005860B4">
        <w:trPr>
          <w:trHeight w:val="340"/>
          <w:jc w:val="center"/>
        </w:trPr>
        <w:tc>
          <w:tcPr>
            <w:tcW w:w="1154" w:type="pct"/>
            <w:tcMar>
              <w:top w:w="0" w:type="dxa"/>
              <w:left w:w="108" w:type="dxa"/>
              <w:bottom w:w="0" w:type="dxa"/>
              <w:right w:w="108" w:type="dxa"/>
            </w:tcMar>
            <w:vAlign w:val="center"/>
          </w:tcPr>
          <w:p w14:paraId="5B613D2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000000"/>
                <w:sz w:val="21"/>
                <w:szCs w:val="21"/>
              </w:rPr>
              <w:t>募集配套资金股份认购协议之补充协议</w:t>
            </w:r>
          </w:p>
        </w:tc>
        <w:tc>
          <w:tcPr>
            <w:tcW w:w="400" w:type="pct"/>
            <w:tcMar>
              <w:top w:w="0" w:type="dxa"/>
              <w:left w:w="108" w:type="dxa"/>
              <w:bottom w:w="0" w:type="dxa"/>
              <w:right w:w="108" w:type="dxa"/>
            </w:tcMar>
            <w:vAlign w:val="center"/>
          </w:tcPr>
          <w:p w14:paraId="3C72EB9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1FC5AA99"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大唐电信科技股份有限公司与中国信息通信科技集团有限公司关于大唐电信科技股份有限公司非公开发行股票之附条件生效的股份认购协议之补充协议</w:t>
            </w:r>
          </w:p>
        </w:tc>
      </w:tr>
      <w:tr w:rsidR="006416B0" w:rsidRPr="00B4515A" w14:paraId="676E27C9" w14:textId="77777777" w:rsidTr="005860B4">
        <w:trPr>
          <w:trHeight w:val="340"/>
          <w:jc w:val="center"/>
        </w:trPr>
        <w:tc>
          <w:tcPr>
            <w:tcW w:w="1154" w:type="pct"/>
            <w:tcMar>
              <w:top w:w="0" w:type="dxa"/>
              <w:left w:w="108" w:type="dxa"/>
              <w:bottom w:w="0" w:type="dxa"/>
              <w:right w:w="108" w:type="dxa"/>
            </w:tcMar>
            <w:vAlign w:val="center"/>
          </w:tcPr>
          <w:p w14:paraId="78C31ACC"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《公司法》</w:t>
            </w:r>
          </w:p>
        </w:tc>
        <w:tc>
          <w:tcPr>
            <w:tcW w:w="400" w:type="pct"/>
            <w:tcMar>
              <w:top w:w="0" w:type="dxa"/>
              <w:left w:w="108" w:type="dxa"/>
              <w:bottom w:w="0" w:type="dxa"/>
              <w:right w:w="108" w:type="dxa"/>
            </w:tcMar>
            <w:vAlign w:val="center"/>
          </w:tcPr>
          <w:p w14:paraId="6FE8017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328D07BA"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《中华人民共和国公司法》</w:t>
            </w:r>
          </w:p>
        </w:tc>
      </w:tr>
      <w:tr w:rsidR="006416B0" w:rsidRPr="00B4515A" w14:paraId="247F089E" w14:textId="77777777" w:rsidTr="005860B4">
        <w:trPr>
          <w:trHeight w:val="340"/>
          <w:jc w:val="center"/>
        </w:trPr>
        <w:tc>
          <w:tcPr>
            <w:tcW w:w="1154" w:type="pct"/>
            <w:tcMar>
              <w:top w:w="0" w:type="dxa"/>
              <w:left w:w="108" w:type="dxa"/>
              <w:bottom w:w="0" w:type="dxa"/>
              <w:right w:w="108" w:type="dxa"/>
            </w:tcMar>
            <w:vAlign w:val="center"/>
          </w:tcPr>
          <w:p w14:paraId="07F9333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《证券法》</w:t>
            </w:r>
          </w:p>
        </w:tc>
        <w:tc>
          <w:tcPr>
            <w:tcW w:w="400" w:type="pct"/>
            <w:tcMar>
              <w:top w:w="0" w:type="dxa"/>
              <w:left w:w="108" w:type="dxa"/>
              <w:bottom w:w="0" w:type="dxa"/>
              <w:right w:w="108" w:type="dxa"/>
            </w:tcMar>
            <w:vAlign w:val="center"/>
          </w:tcPr>
          <w:p w14:paraId="7E2EC61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6371EC31"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《中华人民共和国证券法》</w:t>
            </w:r>
          </w:p>
        </w:tc>
      </w:tr>
      <w:tr w:rsidR="006416B0" w:rsidRPr="00B4515A" w14:paraId="36402A6E" w14:textId="77777777" w:rsidTr="005860B4">
        <w:trPr>
          <w:trHeight w:val="340"/>
          <w:jc w:val="center"/>
        </w:trPr>
        <w:tc>
          <w:tcPr>
            <w:tcW w:w="1154" w:type="pct"/>
            <w:tcMar>
              <w:top w:w="0" w:type="dxa"/>
              <w:left w:w="108" w:type="dxa"/>
              <w:bottom w:w="0" w:type="dxa"/>
              <w:right w:w="108" w:type="dxa"/>
            </w:tcMar>
            <w:vAlign w:val="center"/>
          </w:tcPr>
          <w:p w14:paraId="387A4FB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《重组办法》、《重组管理办法》</w:t>
            </w:r>
          </w:p>
        </w:tc>
        <w:tc>
          <w:tcPr>
            <w:tcW w:w="400" w:type="pct"/>
            <w:tcMar>
              <w:top w:w="0" w:type="dxa"/>
              <w:left w:w="108" w:type="dxa"/>
              <w:bottom w:w="0" w:type="dxa"/>
              <w:right w:w="108" w:type="dxa"/>
            </w:tcMar>
            <w:vAlign w:val="center"/>
          </w:tcPr>
          <w:p w14:paraId="47501F4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67CCC8CC"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《上市公司重大资产重组管理办法（</w:t>
            </w:r>
            <w:r w:rsidRPr="00B4515A">
              <w:rPr>
                <w:rFonts w:ascii="Times New Roman" w:hAnsi="Times New Roman" w:cs="Times New Roman"/>
                <w:color w:val="000000"/>
                <w:sz w:val="21"/>
                <w:szCs w:val="21"/>
              </w:rPr>
              <w:t>2020</w:t>
            </w:r>
            <w:r w:rsidRPr="00B4515A">
              <w:rPr>
                <w:rFonts w:ascii="Times New Roman" w:hAnsi="Times New Roman" w:cs="Times New Roman" w:hint="eastAsia"/>
                <w:color w:val="000000"/>
                <w:sz w:val="21"/>
                <w:szCs w:val="21"/>
              </w:rPr>
              <w:t>年修订）》</w:t>
            </w:r>
          </w:p>
        </w:tc>
      </w:tr>
      <w:tr w:rsidR="006416B0" w:rsidRPr="00B4515A" w14:paraId="3707BFC9" w14:textId="77777777" w:rsidTr="005860B4">
        <w:trPr>
          <w:trHeight w:val="340"/>
          <w:jc w:val="center"/>
        </w:trPr>
        <w:tc>
          <w:tcPr>
            <w:tcW w:w="1154" w:type="pct"/>
            <w:tcMar>
              <w:top w:w="0" w:type="dxa"/>
              <w:left w:w="108" w:type="dxa"/>
              <w:bottom w:w="0" w:type="dxa"/>
              <w:right w:w="108" w:type="dxa"/>
            </w:tcMar>
            <w:vAlign w:val="center"/>
          </w:tcPr>
          <w:p w14:paraId="56A87C2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《上市规则》</w:t>
            </w:r>
          </w:p>
        </w:tc>
        <w:tc>
          <w:tcPr>
            <w:tcW w:w="400" w:type="pct"/>
            <w:tcMar>
              <w:top w:w="0" w:type="dxa"/>
              <w:left w:w="108" w:type="dxa"/>
              <w:bottom w:w="0" w:type="dxa"/>
              <w:right w:w="108" w:type="dxa"/>
            </w:tcMar>
            <w:vAlign w:val="center"/>
          </w:tcPr>
          <w:p w14:paraId="18AFB4D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27BA742E" w14:textId="77777777" w:rsidR="006416B0" w:rsidRPr="00B4515A" w:rsidRDefault="005E58C1" w:rsidP="005860B4">
            <w:pPr>
              <w:adjustRightInd w:val="0"/>
              <w:snapToGrid w:val="0"/>
              <w:jc w:val="both"/>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《上海证券交易所股票上市规则》</w:t>
            </w:r>
          </w:p>
        </w:tc>
      </w:tr>
      <w:tr w:rsidR="006416B0" w:rsidRPr="00B4515A" w14:paraId="0684A39A" w14:textId="77777777" w:rsidTr="005860B4">
        <w:trPr>
          <w:trHeight w:val="340"/>
          <w:jc w:val="center"/>
        </w:trPr>
        <w:tc>
          <w:tcPr>
            <w:tcW w:w="1154" w:type="pct"/>
            <w:tcMar>
              <w:top w:w="0" w:type="dxa"/>
              <w:left w:w="108" w:type="dxa"/>
              <w:bottom w:w="0" w:type="dxa"/>
              <w:right w:w="108" w:type="dxa"/>
            </w:tcMar>
            <w:vAlign w:val="center"/>
          </w:tcPr>
          <w:p w14:paraId="3F5548E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《若干问题的规定》</w:t>
            </w:r>
          </w:p>
        </w:tc>
        <w:tc>
          <w:tcPr>
            <w:tcW w:w="400" w:type="pct"/>
            <w:tcMar>
              <w:top w:w="0" w:type="dxa"/>
              <w:left w:w="108" w:type="dxa"/>
              <w:bottom w:w="0" w:type="dxa"/>
              <w:right w:w="108" w:type="dxa"/>
            </w:tcMar>
            <w:vAlign w:val="center"/>
          </w:tcPr>
          <w:p w14:paraId="45DA995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6E387245"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《关于规范上市公司重大资产重组若干问题的规定》</w:t>
            </w:r>
          </w:p>
        </w:tc>
      </w:tr>
      <w:tr w:rsidR="006416B0" w:rsidRPr="00B4515A" w14:paraId="6218052F" w14:textId="77777777" w:rsidTr="005860B4">
        <w:trPr>
          <w:trHeight w:val="340"/>
          <w:jc w:val="center"/>
        </w:trPr>
        <w:tc>
          <w:tcPr>
            <w:tcW w:w="1154" w:type="pct"/>
            <w:tcMar>
              <w:top w:w="0" w:type="dxa"/>
              <w:left w:w="108" w:type="dxa"/>
              <w:bottom w:w="0" w:type="dxa"/>
              <w:right w:w="108" w:type="dxa"/>
            </w:tcMar>
            <w:vAlign w:val="center"/>
          </w:tcPr>
          <w:p w14:paraId="2984F907" w14:textId="77777777" w:rsidR="006416B0" w:rsidRPr="00B4515A" w:rsidRDefault="005E58C1" w:rsidP="005860B4">
            <w:pPr>
              <w:adjustRightInd w:val="0"/>
              <w:snapToGrid w:val="0"/>
              <w:jc w:val="center"/>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《暂行规定》</w:t>
            </w:r>
          </w:p>
        </w:tc>
        <w:tc>
          <w:tcPr>
            <w:tcW w:w="400" w:type="pct"/>
            <w:tcMar>
              <w:top w:w="0" w:type="dxa"/>
              <w:left w:w="108" w:type="dxa"/>
              <w:bottom w:w="0" w:type="dxa"/>
              <w:right w:w="108" w:type="dxa"/>
            </w:tcMar>
            <w:vAlign w:val="center"/>
          </w:tcPr>
          <w:p w14:paraId="6D52503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09DC438C"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《关于加强与上市公司重大资产重组相关股票异常交易监管的暂行规定》</w:t>
            </w:r>
          </w:p>
        </w:tc>
      </w:tr>
      <w:tr w:rsidR="006416B0" w:rsidRPr="00B4515A" w14:paraId="3894952C" w14:textId="77777777" w:rsidTr="005860B4">
        <w:trPr>
          <w:trHeight w:val="340"/>
          <w:jc w:val="center"/>
        </w:trPr>
        <w:tc>
          <w:tcPr>
            <w:tcW w:w="1154" w:type="pct"/>
            <w:tcMar>
              <w:top w:w="0" w:type="dxa"/>
              <w:left w:w="108" w:type="dxa"/>
              <w:bottom w:w="0" w:type="dxa"/>
              <w:right w:w="108" w:type="dxa"/>
            </w:tcMar>
            <w:vAlign w:val="center"/>
          </w:tcPr>
          <w:p w14:paraId="4E8BC62C" w14:textId="77777777" w:rsidR="006416B0" w:rsidRPr="00B4515A" w:rsidRDefault="005E58C1" w:rsidP="005860B4">
            <w:pPr>
              <w:adjustRightInd w:val="0"/>
              <w:snapToGrid w:val="0"/>
              <w:jc w:val="center"/>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《证券发行管理办法》</w:t>
            </w:r>
          </w:p>
        </w:tc>
        <w:tc>
          <w:tcPr>
            <w:tcW w:w="400" w:type="pct"/>
            <w:tcMar>
              <w:top w:w="0" w:type="dxa"/>
              <w:left w:w="108" w:type="dxa"/>
              <w:bottom w:w="0" w:type="dxa"/>
              <w:right w:w="108" w:type="dxa"/>
            </w:tcMar>
            <w:vAlign w:val="center"/>
          </w:tcPr>
          <w:p w14:paraId="633E679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6C19E5DF"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w:t>
            </w:r>
            <w:bookmarkStart w:id="9" w:name="_Hlk76937194"/>
            <w:r w:rsidRPr="00B4515A">
              <w:rPr>
                <w:rFonts w:ascii="Times New Roman" w:hAnsi="Times New Roman" w:cs="Times New Roman" w:hint="eastAsia"/>
                <w:color w:val="000000"/>
                <w:sz w:val="21"/>
                <w:szCs w:val="21"/>
              </w:rPr>
              <w:t>上市公司证券发行管理办法</w:t>
            </w:r>
            <w:bookmarkEnd w:id="9"/>
            <w:r w:rsidRPr="00B4515A">
              <w:rPr>
                <w:rFonts w:ascii="Times New Roman" w:hAnsi="Times New Roman" w:cs="Times New Roman" w:hint="eastAsia"/>
                <w:color w:val="000000"/>
                <w:sz w:val="21"/>
                <w:szCs w:val="21"/>
              </w:rPr>
              <w:t>》</w:t>
            </w:r>
          </w:p>
        </w:tc>
      </w:tr>
      <w:tr w:rsidR="006416B0" w:rsidRPr="00B4515A" w14:paraId="7B1F341D" w14:textId="77777777" w:rsidTr="005860B4">
        <w:trPr>
          <w:trHeight w:val="340"/>
          <w:jc w:val="center"/>
        </w:trPr>
        <w:tc>
          <w:tcPr>
            <w:tcW w:w="1154" w:type="pct"/>
            <w:tcMar>
              <w:top w:w="0" w:type="dxa"/>
              <w:left w:w="108" w:type="dxa"/>
              <w:bottom w:w="0" w:type="dxa"/>
              <w:right w:w="108" w:type="dxa"/>
            </w:tcMar>
            <w:vAlign w:val="center"/>
          </w:tcPr>
          <w:p w14:paraId="372B87E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《实施细则》</w:t>
            </w:r>
          </w:p>
        </w:tc>
        <w:tc>
          <w:tcPr>
            <w:tcW w:w="400" w:type="pct"/>
            <w:tcMar>
              <w:top w:w="0" w:type="dxa"/>
              <w:left w:w="108" w:type="dxa"/>
              <w:bottom w:w="0" w:type="dxa"/>
              <w:right w:w="108" w:type="dxa"/>
            </w:tcMar>
            <w:vAlign w:val="center"/>
          </w:tcPr>
          <w:p w14:paraId="1C08CD3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18B53782" w14:textId="027FBC3A"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《上市公司非公开发行股票实施细则》（</w:t>
            </w:r>
            <w:r w:rsidRPr="00B4515A">
              <w:rPr>
                <w:rFonts w:ascii="Times New Roman" w:hAnsi="Times New Roman" w:cs="Times New Roman"/>
                <w:color w:val="000000"/>
                <w:sz w:val="21"/>
                <w:szCs w:val="21"/>
              </w:rPr>
              <w:t>2020</w:t>
            </w:r>
            <w:r w:rsidRPr="00B4515A">
              <w:rPr>
                <w:rFonts w:ascii="Times New Roman" w:hAnsi="Times New Roman" w:cs="Times New Roman" w:hint="eastAsia"/>
                <w:color w:val="000000"/>
                <w:sz w:val="21"/>
                <w:szCs w:val="21"/>
              </w:rPr>
              <w:t>年修</w:t>
            </w:r>
            <w:r w:rsidR="001C1A2F" w:rsidRPr="00B4515A">
              <w:rPr>
                <w:rFonts w:ascii="Times New Roman" w:hAnsi="Times New Roman" w:cs="Times New Roman" w:hint="eastAsia"/>
                <w:color w:val="000000"/>
                <w:sz w:val="21"/>
                <w:szCs w:val="21"/>
              </w:rPr>
              <w:t>订</w:t>
            </w:r>
            <w:r w:rsidRPr="00B4515A">
              <w:rPr>
                <w:rFonts w:ascii="Times New Roman" w:hAnsi="Times New Roman" w:cs="Times New Roman" w:hint="eastAsia"/>
                <w:color w:val="000000"/>
                <w:sz w:val="21"/>
                <w:szCs w:val="21"/>
              </w:rPr>
              <w:t>）</w:t>
            </w:r>
          </w:p>
        </w:tc>
      </w:tr>
      <w:tr w:rsidR="006416B0" w:rsidRPr="00B4515A" w14:paraId="26AB00B4" w14:textId="77777777" w:rsidTr="005860B4">
        <w:trPr>
          <w:trHeight w:val="340"/>
          <w:jc w:val="center"/>
        </w:trPr>
        <w:tc>
          <w:tcPr>
            <w:tcW w:w="1154" w:type="pct"/>
            <w:tcMar>
              <w:top w:w="0" w:type="dxa"/>
              <w:left w:w="108" w:type="dxa"/>
              <w:bottom w:w="0" w:type="dxa"/>
              <w:right w:w="108" w:type="dxa"/>
            </w:tcMar>
            <w:vAlign w:val="center"/>
          </w:tcPr>
          <w:p w14:paraId="771F3E1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w:t>
            </w:r>
            <w:r w:rsidRPr="00B4515A">
              <w:rPr>
                <w:rFonts w:ascii="Times New Roman" w:hAnsi="Times New Roman" w:cs="Times New Roman"/>
                <w:color w:val="000000"/>
                <w:sz w:val="21"/>
                <w:szCs w:val="21"/>
              </w:rPr>
              <w:t>格式准则第</w:t>
            </w:r>
            <w:r w:rsidRPr="00B4515A">
              <w:rPr>
                <w:rFonts w:ascii="Times New Roman" w:hAnsi="Times New Roman" w:cs="Times New Roman"/>
                <w:color w:val="000000"/>
                <w:sz w:val="21"/>
                <w:szCs w:val="21"/>
              </w:rPr>
              <w:t xml:space="preserve"> 26 </w:t>
            </w:r>
            <w:r w:rsidRPr="00B4515A">
              <w:rPr>
                <w:rFonts w:ascii="Times New Roman" w:hAnsi="Times New Roman" w:cs="Times New Roman"/>
                <w:color w:val="000000"/>
                <w:sz w:val="21"/>
                <w:szCs w:val="21"/>
              </w:rPr>
              <w:t>号</w:t>
            </w:r>
            <w:r w:rsidRPr="00B4515A">
              <w:rPr>
                <w:rFonts w:ascii="Times New Roman" w:hAnsi="Times New Roman" w:cs="Times New Roman" w:hint="eastAsia"/>
                <w:color w:val="000000"/>
                <w:sz w:val="21"/>
                <w:szCs w:val="21"/>
              </w:rPr>
              <w:t>》</w:t>
            </w:r>
          </w:p>
        </w:tc>
        <w:tc>
          <w:tcPr>
            <w:tcW w:w="400" w:type="pct"/>
            <w:tcMar>
              <w:top w:w="0" w:type="dxa"/>
              <w:left w:w="108" w:type="dxa"/>
              <w:bottom w:w="0" w:type="dxa"/>
              <w:right w:w="108" w:type="dxa"/>
            </w:tcMar>
            <w:vAlign w:val="center"/>
          </w:tcPr>
          <w:p w14:paraId="049DAE1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302C183F" w14:textId="18AF329A"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color w:val="000000"/>
                <w:sz w:val="21"/>
                <w:szCs w:val="21"/>
              </w:rPr>
              <w:t>《公开发行证券的公司信息披露内容与格式准则</w:t>
            </w:r>
            <w:r w:rsidRPr="00B4515A">
              <w:rPr>
                <w:rFonts w:ascii="Times New Roman" w:hAnsi="Times New Roman" w:cs="Times New Roman"/>
                <w:color w:val="000000"/>
                <w:sz w:val="21"/>
                <w:szCs w:val="21"/>
              </w:rPr>
              <w:t>26</w:t>
            </w:r>
            <w:r w:rsidRPr="00B4515A">
              <w:rPr>
                <w:rFonts w:ascii="Times New Roman" w:hAnsi="Times New Roman" w:cs="Times New Roman"/>
                <w:color w:val="000000"/>
                <w:sz w:val="21"/>
                <w:szCs w:val="21"/>
              </w:rPr>
              <w:t>号</w:t>
            </w:r>
            <w:r w:rsidRPr="00B4515A">
              <w:rPr>
                <w:rFonts w:ascii="Times New Roman" w:hAnsi="Times New Roman" w:cs="Times New Roman"/>
                <w:color w:val="000000"/>
                <w:sz w:val="21"/>
                <w:szCs w:val="21"/>
              </w:rPr>
              <w:t>——</w:t>
            </w:r>
            <w:r w:rsidRPr="00B4515A">
              <w:rPr>
                <w:rFonts w:ascii="Times New Roman" w:hAnsi="Times New Roman" w:cs="Times New Roman"/>
                <w:color w:val="000000"/>
                <w:sz w:val="21"/>
                <w:szCs w:val="21"/>
              </w:rPr>
              <w:t>上市公司重大资产重组（</w:t>
            </w:r>
            <w:r w:rsidRPr="00B4515A">
              <w:rPr>
                <w:rFonts w:ascii="Times New Roman" w:hAnsi="Times New Roman" w:cs="Times New Roman"/>
                <w:color w:val="000000"/>
                <w:sz w:val="21"/>
                <w:szCs w:val="21"/>
              </w:rPr>
              <w:t>2018</w:t>
            </w:r>
            <w:r w:rsidRPr="00B4515A">
              <w:rPr>
                <w:rFonts w:ascii="Times New Roman" w:hAnsi="Times New Roman" w:cs="Times New Roman"/>
                <w:color w:val="000000"/>
                <w:sz w:val="21"/>
                <w:szCs w:val="21"/>
              </w:rPr>
              <w:t>年修订）》</w:t>
            </w:r>
          </w:p>
        </w:tc>
      </w:tr>
      <w:tr w:rsidR="006416B0" w:rsidRPr="00B4515A" w14:paraId="77630660" w14:textId="77777777" w:rsidTr="005860B4">
        <w:trPr>
          <w:trHeight w:val="340"/>
          <w:jc w:val="center"/>
        </w:trPr>
        <w:tc>
          <w:tcPr>
            <w:tcW w:w="1154" w:type="pct"/>
            <w:tcMar>
              <w:top w:w="0" w:type="dxa"/>
              <w:left w:w="108" w:type="dxa"/>
              <w:bottom w:w="0" w:type="dxa"/>
              <w:right w:w="108" w:type="dxa"/>
            </w:tcMar>
            <w:vAlign w:val="center"/>
          </w:tcPr>
          <w:p w14:paraId="3153E49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国务院</w:t>
            </w:r>
          </w:p>
        </w:tc>
        <w:tc>
          <w:tcPr>
            <w:tcW w:w="400" w:type="pct"/>
            <w:tcMar>
              <w:top w:w="0" w:type="dxa"/>
              <w:left w:w="108" w:type="dxa"/>
              <w:bottom w:w="0" w:type="dxa"/>
              <w:right w:w="108" w:type="dxa"/>
            </w:tcMar>
            <w:vAlign w:val="center"/>
          </w:tcPr>
          <w:p w14:paraId="7A75922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0B73DFF2"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中华人民共和国国务院</w:t>
            </w:r>
          </w:p>
        </w:tc>
      </w:tr>
      <w:tr w:rsidR="006416B0" w:rsidRPr="00B4515A" w14:paraId="4A746529" w14:textId="77777777" w:rsidTr="005860B4">
        <w:trPr>
          <w:trHeight w:val="340"/>
          <w:jc w:val="center"/>
        </w:trPr>
        <w:tc>
          <w:tcPr>
            <w:tcW w:w="1154" w:type="pct"/>
            <w:tcMar>
              <w:top w:w="0" w:type="dxa"/>
              <w:left w:w="108" w:type="dxa"/>
              <w:bottom w:w="0" w:type="dxa"/>
              <w:right w:w="108" w:type="dxa"/>
            </w:tcMar>
            <w:vAlign w:val="center"/>
          </w:tcPr>
          <w:p w14:paraId="2CF88B4F"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国务院国资委</w:t>
            </w:r>
          </w:p>
        </w:tc>
        <w:tc>
          <w:tcPr>
            <w:tcW w:w="400" w:type="pct"/>
            <w:tcMar>
              <w:top w:w="0" w:type="dxa"/>
              <w:left w:w="108" w:type="dxa"/>
              <w:bottom w:w="0" w:type="dxa"/>
              <w:right w:w="108" w:type="dxa"/>
            </w:tcMar>
            <w:vAlign w:val="center"/>
          </w:tcPr>
          <w:p w14:paraId="5605280B"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1EDE1FBD"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国务院国有资产监督管理委员会</w:t>
            </w:r>
          </w:p>
        </w:tc>
      </w:tr>
      <w:tr w:rsidR="006416B0" w:rsidRPr="00B4515A" w14:paraId="5F8E9D26" w14:textId="77777777" w:rsidTr="005860B4">
        <w:trPr>
          <w:trHeight w:val="340"/>
          <w:jc w:val="center"/>
        </w:trPr>
        <w:tc>
          <w:tcPr>
            <w:tcW w:w="1154" w:type="pct"/>
            <w:tcMar>
              <w:top w:w="0" w:type="dxa"/>
              <w:left w:w="108" w:type="dxa"/>
              <w:bottom w:w="0" w:type="dxa"/>
              <w:right w:w="108" w:type="dxa"/>
            </w:tcMar>
            <w:vAlign w:val="center"/>
          </w:tcPr>
          <w:p w14:paraId="6E59A50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发改委、国家发改委</w:t>
            </w:r>
          </w:p>
        </w:tc>
        <w:tc>
          <w:tcPr>
            <w:tcW w:w="400" w:type="pct"/>
            <w:tcMar>
              <w:top w:w="0" w:type="dxa"/>
              <w:left w:w="108" w:type="dxa"/>
              <w:bottom w:w="0" w:type="dxa"/>
              <w:right w:w="108" w:type="dxa"/>
            </w:tcMar>
            <w:vAlign w:val="center"/>
          </w:tcPr>
          <w:p w14:paraId="001C837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60EC2D31"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中华人民共和国国家发展和改革委员会</w:t>
            </w:r>
          </w:p>
        </w:tc>
      </w:tr>
      <w:tr w:rsidR="006416B0" w:rsidRPr="00B4515A" w14:paraId="62676DA9" w14:textId="77777777" w:rsidTr="005860B4">
        <w:trPr>
          <w:trHeight w:val="340"/>
          <w:jc w:val="center"/>
        </w:trPr>
        <w:tc>
          <w:tcPr>
            <w:tcW w:w="1154" w:type="pct"/>
            <w:tcMar>
              <w:top w:w="0" w:type="dxa"/>
              <w:left w:w="108" w:type="dxa"/>
              <w:bottom w:w="0" w:type="dxa"/>
              <w:right w:w="108" w:type="dxa"/>
            </w:tcMar>
            <w:vAlign w:val="center"/>
          </w:tcPr>
          <w:p w14:paraId="7D2F95B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工信部</w:t>
            </w:r>
          </w:p>
        </w:tc>
        <w:tc>
          <w:tcPr>
            <w:tcW w:w="400" w:type="pct"/>
            <w:tcMar>
              <w:top w:w="0" w:type="dxa"/>
              <w:left w:w="108" w:type="dxa"/>
              <w:bottom w:w="0" w:type="dxa"/>
              <w:right w:w="108" w:type="dxa"/>
            </w:tcMar>
            <w:vAlign w:val="center"/>
          </w:tcPr>
          <w:p w14:paraId="258E8DC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68E2DDE4"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中华人民共和国工业与信息化部</w:t>
            </w:r>
          </w:p>
        </w:tc>
      </w:tr>
      <w:tr w:rsidR="006416B0" w:rsidRPr="00B4515A" w14:paraId="2811BEDE" w14:textId="77777777" w:rsidTr="005860B4">
        <w:trPr>
          <w:trHeight w:val="340"/>
          <w:jc w:val="center"/>
        </w:trPr>
        <w:tc>
          <w:tcPr>
            <w:tcW w:w="1154" w:type="pct"/>
            <w:tcMar>
              <w:top w:w="0" w:type="dxa"/>
              <w:left w:w="108" w:type="dxa"/>
              <w:bottom w:w="0" w:type="dxa"/>
              <w:right w:w="108" w:type="dxa"/>
            </w:tcMar>
            <w:vAlign w:val="center"/>
          </w:tcPr>
          <w:p w14:paraId="34E6D39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中国证监会、证监会</w:t>
            </w:r>
          </w:p>
        </w:tc>
        <w:tc>
          <w:tcPr>
            <w:tcW w:w="400" w:type="pct"/>
            <w:tcMar>
              <w:top w:w="0" w:type="dxa"/>
              <w:left w:w="108" w:type="dxa"/>
              <w:bottom w:w="0" w:type="dxa"/>
              <w:right w:w="108" w:type="dxa"/>
            </w:tcMar>
            <w:vAlign w:val="center"/>
          </w:tcPr>
          <w:p w14:paraId="164F667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7F1A1E85"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中国证券监督管理委员会</w:t>
            </w:r>
          </w:p>
        </w:tc>
      </w:tr>
      <w:tr w:rsidR="006416B0" w:rsidRPr="00B4515A" w14:paraId="5989D10B" w14:textId="77777777" w:rsidTr="005860B4">
        <w:trPr>
          <w:trHeight w:val="340"/>
          <w:jc w:val="center"/>
        </w:trPr>
        <w:tc>
          <w:tcPr>
            <w:tcW w:w="1154" w:type="pct"/>
            <w:tcMar>
              <w:top w:w="0" w:type="dxa"/>
              <w:left w:w="108" w:type="dxa"/>
              <w:bottom w:w="0" w:type="dxa"/>
              <w:right w:w="108" w:type="dxa"/>
            </w:tcMar>
            <w:vAlign w:val="center"/>
          </w:tcPr>
          <w:p w14:paraId="4BD4098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上交所、交易所</w:t>
            </w:r>
          </w:p>
        </w:tc>
        <w:tc>
          <w:tcPr>
            <w:tcW w:w="400" w:type="pct"/>
            <w:tcMar>
              <w:top w:w="0" w:type="dxa"/>
              <w:left w:w="108" w:type="dxa"/>
              <w:bottom w:w="0" w:type="dxa"/>
              <w:right w:w="108" w:type="dxa"/>
            </w:tcMar>
            <w:vAlign w:val="center"/>
          </w:tcPr>
          <w:p w14:paraId="207DCFA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15939362"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上海证券交易所</w:t>
            </w:r>
          </w:p>
        </w:tc>
      </w:tr>
      <w:tr w:rsidR="006416B0" w:rsidRPr="00B4515A" w14:paraId="3F0E9258" w14:textId="77777777" w:rsidTr="005860B4">
        <w:trPr>
          <w:trHeight w:val="340"/>
          <w:jc w:val="center"/>
        </w:trPr>
        <w:tc>
          <w:tcPr>
            <w:tcW w:w="1154" w:type="pct"/>
            <w:tcMar>
              <w:top w:w="0" w:type="dxa"/>
              <w:left w:w="108" w:type="dxa"/>
              <w:bottom w:w="0" w:type="dxa"/>
              <w:right w:w="108" w:type="dxa"/>
            </w:tcMar>
            <w:vAlign w:val="center"/>
          </w:tcPr>
          <w:p w14:paraId="172586E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国防科工局</w:t>
            </w:r>
          </w:p>
        </w:tc>
        <w:tc>
          <w:tcPr>
            <w:tcW w:w="400" w:type="pct"/>
            <w:tcMar>
              <w:top w:w="0" w:type="dxa"/>
              <w:left w:w="108" w:type="dxa"/>
              <w:bottom w:w="0" w:type="dxa"/>
              <w:right w:w="108" w:type="dxa"/>
            </w:tcMar>
            <w:vAlign w:val="center"/>
          </w:tcPr>
          <w:p w14:paraId="15B5726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6CF2F0D8"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国家国防科技工业局</w:t>
            </w:r>
          </w:p>
        </w:tc>
      </w:tr>
      <w:tr w:rsidR="006416B0" w:rsidRPr="00B4515A" w14:paraId="06E73635" w14:textId="77777777" w:rsidTr="005860B4">
        <w:trPr>
          <w:trHeight w:val="340"/>
          <w:jc w:val="center"/>
        </w:trPr>
        <w:tc>
          <w:tcPr>
            <w:tcW w:w="1154" w:type="pct"/>
            <w:tcMar>
              <w:top w:w="0" w:type="dxa"/>
              <w:left w:w="108" w:type="dxa"/>
              <w:bottom w:w="0" w:type="dxa"/>
              <w:right w:w="108" w:type="dxa"/>
            </w:tcMar>
            <w:vAlign w:val="center"/>
          </w:tcPr>
          <w:p w14:paraId="2D1107D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社保基金会</w:t>
            </w:r>
          </w:p>
        </w:tc>
        <w:tc>
          <w:tcPr>
            <w:tcW w:w="400" w:type="pct"/>
            <w:tcMar>
              <w:top w:w="0" w:type="dxa"/>
              <w:left w:w="108" w:type="dxa"/>
              <w:bottom w:w="0" w:type="dxa"/>
              <w:right w:w="108" w:type="dxa"/>
            </w:tcMar>
            <w:vAlign w:val="center"/>
          </w:tcPr>
          <w:p w14:paraId="0165D29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3A4BBEE5"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333333"/>
                <w:sz w:val="21"/>
                <w:szCs w:val="21"/>
              </w:rPr>
              <w:t>全国社会保障基金理事会</w:t>
            </w:r>
          </w:p>
        </w:tc>
      </w:tr>
      <w:tr w:rsidR="006416B0" w:rsidRPr="00B4515A" w14:paraId="6EC66995" w14:textId="77777777" w:rsidTr="005860B4">
        <w:trPr>
          <w:trHeight w:val="340"/>
          <w:jc w:val="center"/>
        </w:trPr>
        <w:tc>
          <w:tcPr>
            <w:tcW w:w="1154" w:type="pct"/>
            <w:tcMar>
              <w:top w:w="0" w:type="dxa"/>
              <w:left w:w="108" w:type="dxa"/>
              <w:bottom w:w="0" w:type="dxa"/>
              <w:right w:w="108" w:type="dxa"/>
            </w:tcMar>
            <w:vAlign w:val="center"/>
          </w:tcPr>
          <w:p w14:paraId="6F17341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国家工商总局</w:t>
            </w:r>
          </w:p>
        </w:tc>
        <w:tc>
          <w:tcPr>
            <w:tcW w:w="400" w:type="pct"/>
            <w:tcMar>
              <w:top w:w="0" w:type="dxa"/>
              <w:left w:w="108" w:type="dxa"/>
              <w:bottom w:w="0" w:type="dxa"/>
              <w:right w:w="108" w:type="dxa"/>
            </w:tcMar>
            <w:vAlign w:val="center"/>
          </w:tcPr>
          <w:p w14:paraId="68374AD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2C3E5818"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中华人民共和国国家工商行政管理总局</w:t>
            </w:r>
          </w:p>
        </w:tc>
      </w:tr>
      <w:tr w:rsidR="006416B0" w:rsidRPr="00B4515A" w14:paraId="7EAC5089" w14:textId="77777777" w:rsidTr="005860B4">
        <w:trPr>
          <w:trHeight w:val="340"/>
          <w:jc w:val="center"/>
        </w:trPr>
        <w:tc>
          <w:tcPr>
            <w:tcW w:w="1154" w:type="pct"/>
            <w:tcMar>
              <w:top w:w="0" w:type="dxa"/>
              <w:left w:w="108" w:type="dxa"/>
              <w:bottom w:w="0" w:type="dxa"/>
              <w:right w:w="108" w:type="dxa"/>
            </w:tcMar>
            <w:vAlign w:val="center"/>
          </w:tcPr>
          <w:p w14:paraId="4CCD634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lastRenderedPageBreak/>
              <w:t>独立财务顾问、中银证券</w:t>
            </w:r>
          </w:p>
        </w:tc>
        <w:tc>
          <w:tcPr>
            <w:tcW w:w="400" w:type="pct"/>
            <w:tcMar>
              <w:top w:w="0" w:type="dxa"/>
              <w:left w:w="108" w:type="dxa"/>
              <w:bottom w:w="0" w:type="dxa"/>
              <w:right w:w="108" w:type="dxa"/>
            </w:tcMar>
            <w:vAlign w:val="center"/>
          </w:tcPr>
          <w:p w14:paraId="7E6769A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604CD5A0"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中银国际证券股份有限公司</w:t>
            </w:r>
          </w:p>
        </w:tc>
      </w:tr>
      <w:tr w:rsidR="006416B0" w:rsidRPr="00B4515A" w14:paraId="7A5D58EB" w14:textId="77777777" w:rsidTr="005860B4">
        <w:trPr>
          <w:trHeight w:val="340"/>
          <w:jc w:val="center"/>
        </w:trPr>
        <w:tc>
          <w:tcPr>
            <w:tcW w:w="1154" w:type="pct"/>
            <w:tcMar>
              <w:top w:w="0" w:type="dxa"/>
              <w:left w:w="108" w:type="dxa"/>
              <w:bottom w:w="0" w:type="dxa"/>
              <w:right w:w="108" w:type="dxa"/>
            </w:tcMar>
            <w:vAlign w:val="center"/>
          </w:tcPr>
          <w:p w14:paraId="339A89D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资产评估机构、东洲评估</w:t>
            </w:r>
          </w:p>
        </w:tc>
        <w:tc>
          <w:tcPr>
            <w:tcW w:w="400" w:type="pct"/>
            <w:tcMar>
              <w:top w:w="0" w:type="dxa"/>
              <w:left w:w="108" w:type="dxa"/>
              <w:bottom w:w="0" w:type="dxa"/>
              <w:right w:w="108" w:type="dxa"/>
            </w:tcMar>
            <w:vAlign w:val="center"/>
          </w:tcPr>
          <w:p w14:paraId="4AA5B5B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523946C8"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上海东洲资产评估有限公司</w:t>
            </w:r>
          </w:p>
        </w:tc>
      </w:tr>
      <w:tr w:rsidR="006416B0" w:rsidRPr="00B4515A" w14:paraId="339B51AD" w14:textId="77777777" w:rsidTr="005860B4">
        <w:trPr>
          <w:trHeight w:val="340"/>
          <w:jc w:val="center"/>
        </w:trPr>
        <w:tc>
          <w:tcPr>
            <w:tcW w:w="1154" w:type="pct"/>
            <w:tcMar>
              <w:top w:w="0" w:type="dxa"/>
              <w:left w:w="108" w:type="dxa"/>
              <w:bottom w:w="0" w:type="dxa"/>
              <w:right w:w="108" w:type="dxa"/>
            </w:tcMar>
            <w:vAlign w:val="center"/>
          </w:tcPr>
          <w:p w14:paraId="6A292FA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333333"/>
                <w:sz w:val="21"/>
                <w:szCs w:val="21"/>
              </w:rPr>
              <w:t>立信会计师</w:t>
            </w:r>
          </w:p>
        </w:tc>
        <w:tc>
          <w:tcPr>
            <w:tcW w:w="400" w:type="pct"/>
            <w:tcMar>
              <w:top w:w="0" w:type="dxa"/>
              <w:left w:w="108" w:type="dxa"/>
              <w:bottom w:w="0" w:type="dxa"/>
              <w:right w:w="108" w:type="dxa"/>
            </w:tcMar>
            <w:vAlign w:val="center"/>
          </w:tcPr>
          <w:p w14:paraId="4915CBF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643DD82E"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立信会计师事务所（特殊普通合伙）</w:t>
            </w:r>
          </w:p>
        </w:tc>
      </w:tr>
      <w:tr w:rsidR="006416B0" w:rsidRPr="00B4515A" w14:paraId="648F1E63" w14:textId="77777777" w:rsidTr="005860B4">
        <w:trPr>
          <w:trHeight w:val="340"/>
          <w:jc w:val="center"/>
        </w:trPr>
        <w:tc>
          <w:tcPr>
            <w:tcW w:w="1154" w:type="pct"/>
            <w:tcMar>
              <w:top w:w="0" w:type="dxa"/>
              <w:left w:w="108" w:type="dxa"/>
              <w:bottom w:w="0" w:type="dxa"/>
              <w:right w:w="108" w:type="dxa"/>
            </w:tcMar>
            <w:vAlign w:val="center"/>
          </w:tcPr>
          <w:p w14:paraId="6899221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元、万元、亿元</w:t>
            </w:r>
          </w:p>
        </w:tc>
        <w:tc>
          <w:tcPr>
            <w:tcW w:w="400" w:type="pct"/>
            <w:tcMar>
              <w:top w:w="0" w:type="dxa"/>
              <w:left w:w="108" w:type="dxa"/>
              <w:bottom w:w="0" w:type="dxa"/>
              <w:right w:w="108" w:type="dxa"/>
            </w:tcMar>
            <w:vAlign w:val="center"/>
          </w:tcPr>
          <w:p w14:paraId="55BD370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56F3DDC1"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人民币元、万元、亿元</w:t>
            </w:r>
          </w:p>
        </w:tc>
      </w:tr>
      <w:tr w:rsidR="006416B0" w:rsidRPr="00B4515A" w14:paraId="5610FDEA" w14:textId="77777777" w:rsidTr="005860B4">
        <w:trPr>
          <w:trHeight w:val="340"/>
          <w:jc w:val="center"/>
        </w:trPr>
        <w:tc>
          <w:tcPr>
            <w:tcW w:w="1154" w:type="pct"/>
            <w:tcMar>
              <w:top w:w="0" w:type="dxa"/>
              <w:left w:w="108" w:type="dxa"/>
              <w:bottom w:w="0" w:type="dxa"/>
              <w:right w:w="108" w:type="dxa"/>
            </w:tcMar>
            <w:vAlign w:val="center"/>
          </w:tcPr>
          <w:p w14:paraId="618D9DAB"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4G</w:t>
            </w:r>
          </w:p>
        </w:tc>
        <w:tc>
          <w:tcPr>
            <w:tcW w:w="400" w:type="pct"/>
            <w:tcMar>
              <w:top w:w="0" w:type="dxa"/>
              <w:left w:w="108" w:type="dxa"/>
              <w:bottom w:w="0" w:type="dxa"/>
              <w:right w:w="108" w:type="dxa"/>
            </w:tcMar>
            <w:vAlign w:val="center"/>
          </w:tcPr>
          <w:p w14:paraId="10E6A3EF"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7B2BB022"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第四代的移动信息系统的简称。通过采用正交多任务分频技术</w:t>
            </w:r>
            <w:r w:rsidRPr="00B4515A">
              <w:rPr>
                <w:rFonts w:ascii="Times New Roman" w:hAnsi="Times New Roman" w:cs="Times New Roman"/>
                <w:color w:val="000000"/>
                <w:sz w:val="21"/>
                <w:szCs w:val="21"/>
              </w:rPr>
              <w:t>(OFDM)</w:t>
            </w:r>
            <w:r w:rsidRPr="00B4515A">
              <w:rPr>
                <w:rFonts w:ascii="Times New Roman" w:hAnsi="Times New Roman" w:cs="Times New Roman" w:hint="eastAsia"/>
                <w:color w:val="000000"/>
                <w:sz w:val="21"/>
                <w:szCs w:val="21"/>
              </w:rPr>
              <w:t>等技术，网络速度高达</w:t>
            </w:r>
            <w:r w:rsidRPr="00B4515A">
              <w:rPr>
                <w:rFonts w:ascii="Times New Roman" w:hAnsi="Times New Roman" w:cs="Times New Roman"/>
                <w:color w:val="000000"/>
                <w:sz w:val="21"/>
                <w:szCs w:val="21"/>
              </w:rPr>
              <w:t>100Mbps</w:t>
            </w:r>
            <w:r w:rsidRPr="00B4515A">
              <w:rPr>
                <w:rFonts w:ascii="Times New Roman" w:hAnsi="Times New Roman" w:cs="Times New Roman" w:hint="eastAsia"/>
                <w:color w:val="000000"/>
                <w:sz w:val="21"/>
                <w:szCs w:val="21"/>
              </w:rPr>
              <w:t>，可实现话音、数据、视频的快速传输。</w:t>
            </w:r>
          </w:p>
        </w:tc>
      </w:tr>
      <w:tr w:rsidR="006416B0" w:rsidRPr="00B4515A" w14:paraId="3D824682" w14:textId="77777777" w:rsidTr="005860B4">
        <w:trPr>
          <w:trHeight w:val="340"/>
          <w:jc w:val="center"/>
        </w:trPr>
        <w:tc>
          <w:tcPr>
            <w:tcW w:w="1154" w:type="pct"/>
            <w:tcMar>
              <w:top w:w="0" w:type="dxa"/>
              <w:left w:w="108" w:type="dxa"/>
              <w:bottom w:w="0" w:type="dxa"/>
              <w:right w:w="108" w:type="dxa"/>
            </w:tcMar>
            <w:vAlign w:val="center"/>
          </w:tcPr>
          <w:p w14:paraId="64E9D3B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5G</w:t>
            </w:r>
          </w:p>
        </w:tc>
        <w:tc>
          <w:tcPr>
            <w:tcW w:w="400" w:type="pct"/>
            <w:tcMar>
              <w:top w:w="0" w:type="dxa"/>
              <w:left w:w="108" w:type="dxa"/>
              <w:bottom w:w="0" w:type="dxa"/>
              <w:right w:w="108" w:type="dxa"/>
            </w:tcMar>
            <w:vAlign w:val="center"/>
          </w:tcPr>
          <w:p w14:paraId="796B3DC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222D4379"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第五代的移动信息系统的简称。采用了大规模天线和先进编码等技术，网络速度最高可达</w:t>
            </w:r>
            <w:r w:rsidRPr="00B4515A">
              <w:rPr>
                <w:rFonts w:ascii="Times New Roman" w:hAnsi="Times New Roman" w:cs="Times New Roman"/>
                <w:color w:val="000000"/>
                <w:sz w:val="21"/>
                <w:szCs w:val="21"/>
              </w:rPr>
              <w:t>10Gbps</w:t>
            </w:r>
            <w:r w:rsidRPr="00B4515A">
              <w:rPr>
                <w:rFonts w:ascii="Times New Roman" w:hAnsi="Times New Roman" w:cs="Times New Roman" w:hint="eastAsia"/>
                <w:color w:val="000000"/>
                <w:sz w:val="21"/>
                <w:szCs w:val="21"/>
              </w:rPr>
              <w:t>，支持大带宽、多连接和低延迟三种应用场景。</w:t>
            </w:r>
          </w:p>
        </w:tc>
      </w:tr>
      <w:tr w:rsidR="006416B0" w:rsidRPr="00B4515A" w14:paraId="678002BA" w14:textId="77777777" w:rsidTr="005860B4">
        <w:trPr>
          <w:trHeight w:val="340"/>
          <w:jc w:val="center"/>
        </w:trPr>
        <w:tc>
          <w:tcPr>
            <w:tcW w:w="1154" w:type="pct"/>
            <w:tcMar>
              <w:top w:w="0" w:type="dxa"/>
              <w:left w:w="108" w:type="dxa"/>
              <w:bottom w:w="0" w:type="dxa"/>
              <w:right w:w="108" w:type="dxa"/>
            </w:tcMar>
            <w:vAlign w:val="center"/>
          </w:tcPr>
          <w:p w14:paraId="49D7C2F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宽带移动通信系统</w:t>
            </w:r>
          </w:p>
        </w:tc>
        <w:tc>
          <w:tcPr>
            <w:tcW w:w="400" w:type="pct"/>
            <w:tcMar>
              <w:top w:w="0" w:type="dxa"/>
              <w:left w:w="108" w:type="dxa"/>
              <w:bottom w:w="0" w:type="dxa"/>
              <w:right w:w="108" w:type="dxa"/>
            </w:tcMar>
            <w:vAlign w:val="center"/>
          </w:tcPr>
          <w:p w14:paraId="756054F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0BA8D856"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通过将移动终端接入基站实现宽带通信的一种方式，可实现移动用户与固定点用户之间或移动用户之间的话音、数据和视频业务。</w:t>
            </w:r>
          </w:p>
        </w:tc>
      </w:tr>
      <w:tr w:rsidR="006416B0" w:rsidRPr="00B4515A" w14:paraId="7445BFE0" w14:textId="77777777" w:rsidTr="005860B4">
        <w:trPr>
          <w:trHeight w:val="340"/>
          <w:jc w:val="center"/>
        </w:trPr>
        <w:tc>
          <w:tcPr>
            <w:tcW w:w="1154" w:type="pct"/>
            <w:tcMar>
              <w:top w:w="0" w:type="dxa"/>
              <w:left w:w="108" w:type="dxa"/>
              <w:bottom w:w="0" w:type="dxa"/>
              <w:right w:w="108" w:type="dxa"/>
            </w:tcMar>
            <w:vAlign w:val="center"/>
          </w:tcPr>
          <w:p w14:paraId="34F58F3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通信波形</w:t>
            </w:r>
          </w:p>
        </w:tc>
        <w:tc>
          <w:tcPr>
            <w:tcW w:w="400" w:type="pct"/>
            <w:tcMar>
              <w:top w:w="0" w:type="dxa"/>
              <w:left w:w="108" w:type="dxa"/>
              <w:bottom w:w="0" w:type="dxa"/>
              <w:right w:w="108" w:type="dxa"/>
            </w:tcMar>
            <w:vAlign w:val="center"/>
          </w:tcPr>
          <w:p w14:paraId="4B83C4D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指</w:t>
            </w:r>
          </w:p>
        </w:tc>
        <w:tc>
          <w:tcPr>
            <w:tcW w:w="3446" w:type="pct"/>
            <w:tcMar>
              <w:top w:w="0" w:type="dxa"/>
              <w:left w:w="108" w:type="dxa"/>
              <w:bottom w:w="0" w:type="dxa"/>
              <w:right w:w="108" w:type="dxa"/>
            </w:tcMar>
            <w:vAlign w:val="center"/>
          </w:tcPr>
          <w:p w14:paraId="192324C1"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通信信号的形状和形式，是通信用无线电波的相应物理量在时间或空间上分布情况的曲线图形。</w:t>
            </w:r>
          </w:p>
        </w:tc>
      </w:tr>
    </w:tbl>
    <w:bookmarkEnd w:id="7"/>
    <w:p w14:paraId="32DEE452" w14:textId="77777777" w:rsidR="006416B0" w:rsidRPr="00B4515A" w:rsidRDefault="005E58C1" w:rsidP="005860B4">
      <w:pPr>
        <w:pStyle w:val="006"/>
        <w:ind w:firstLine="420"/>
      </w:pPr>
      <w:r w:rsidRPr="00B4515A">
        <w:rPr>
          <w:rFonts w:hint="eastAsia"/>
        </w:rPr>
        <w:t>注</w:t>
      </w:r>
      <w:r w:rsidRPr="00B4515A">
        <w:t>1</w:t>
      </w:r>
      <w:r w:rsidRPr="00B4515A">
        <w:rPr>
          <w:rFonts w:hint="eastAsia"/>
        </w:rPr>
        <w:t>：本报告书中所引用的财务数据和财务指标，如无特殊说明，指合并报表口径的财务数据和根据该类财务数据计算的财务指标；</w:t>
      </w:r>
    </w:p>
    <w:p w14:paraId="2BE9DFA7" w14:textId="77777777" w:rsidR="006416B0" w:rsidRPr="00B4515A" w:rsidRDefault="005E58C1" w:rsidP="005860B4">
      <w:pPr>
        <w:pStyle w:val="006"/>
        <w:ind w:firstLine="420"/>
      </w:pPr>
      <w:r w:rsidRPr="00B4515A">
        <w:rPr>
          <w:rFonts w:hint="eastAsia"/>
        </w:rPr>
        <w:t>注</w:t>
      </w:r>
      <w:r w:rsidRPr="00B4515A">
        <w:t>2</w:t>
      </w:r>
      <w:r w:rsidRPr="00B4515A">
        <w:rPr>
          <w:rFonts w:hint="eastAsia"/>
        </w:rPr>
        <w:t>：本报告书中可能存在个别数据加总后与相关数据汇总数存在尾差情况，系数据计算时四舍五入造成。</w:t>
      </w:r>
    </w:p>
    <w:p w14:paraId="4635D68B" w14:textId="77777777" w:rsidR="006416B0" w:rsidRPr="00B4515A" w:rsidRDefault="005E58C1">
      <w:pPr>
        <w:rPr>
          <w:rFonts w:ascii="Times New Roman" w:hAnsi="Times New Roman" w:cs="Times New Roman"/>
          <w:color w:val="000000" w:themeColor="text1"/>
        </w:rPr>
      </w:pPr>
      <w:r w:rsidRPr="00B4515A">
        <w:rPr>
          <w:rFonts w:ascii="Times New Roman" w:hAnsi="Times New Roman" w:cs="Times New Roman"/>
          <w:color w:val="000000" w:themeColor="text1"/>
        </w:rPr>
        <w:br w:type="page"/>
      </w:r>
    </w:p>
    <w:p w14:paraId="1A747A46" w14:textId="77777777" w:rsidR="006416B0" w:rsidRPr="00B4515A" w:rsidRDefault="005E58C1" w:rsidP="002B0582">
      <w:pPr>
        <w:pStyle w:val="001"/>
        <w:spacing w:before="360" w:after="360"/>
      </w:pPr>
      <w:bookmarkStart w:id="10" w:name="_Toc80960482"/>
      <w:r w:rsidRPr="00B4515A">
        <w:rPr>
          <w:rFonts w:hint="eastAsia"/>
        </w:rPr>
        <w:lastRenderedPageBreak/>
        <w:t>重大事项提示</w:t>
      </w:r>
      <w:bookmarkEnd w:id="10"/>
    </w:p>
    <w:bookmarkEnd w:id="5"/>
    <w:p w14:paraId="018398DD" w14:textId="77777777" w:rsidR="006416B0" w:rsidRPr="00B4515A" w:rsidRDefault="005E58C1" w:rsidP="005860B4">
      <w:pPr>
        <w:pStyle w:val="005"/>
        <w:spacing w:before="120" w:after="120"/>
        <w:ind w:firstLine="480"/>
      </w:pPr>
      <w:r w:rsidRPr="00B4515A">
        <w:rPr>
          <w:rFonts w:hint="eastAsia"/>
        </w:rPr>
        <w:t>本部分所述的词语或简称与本报告书</w:t>
      </w:r>
      <w:r w:rsidRPr="00B4515A">
        <w:rPr>
          <w:rFonts w:ascii="宋体" w:hAnsi="宋体"/>
        </w:rPr>
        <w:t>“</w:t>
      </w:r>
      <w:r w:rsidRPr="00B4515A">
        <w:rPr>
          <w:rFonts w:hint="eastAsia"/>
        </w:rPr>
        <w:t>释义</w:t>
      </w:r>
      <w:r w:rsidRPr="00B4515A">
        <w:rPr>
          <w:rFonts w:ascii="宋体" w:hAnsi="宋体"/>
        </w:rPr>
        <w:t>”</w:t>
      </w:r>
      <w:r w:rsidRPr="00B4515A">
        <w:rPr>
          <w:rFonts w:hint="eastAsia"/>
        </w:rPr>
        <w:t>中所定义的词语或简称具有相同的涵义。</w:t>
      </w:r>
    </w:p>
    <w:p w14:paraId="308C0A10" w14:textId="77777777" w:rsidR="006416B0" w:rsidRPr="00B4515A" w:rsidRDefault="005E58C1" w:rsidP="005860B4">
      <w:pPr>
        <w:pStyle w:val="005"/>
        <w:spacing w:before="120" w:after="120"/>
        <w:ind w:firstLine="480"/>
        <w:rPr>
          <w:b/>
        </w:rPr>
      </w:pPr>
      <w:r w:rsidRPr="00B4515A">
        <w:rPr>
          <w:rFonts w:hint="eastAsia"/>
        </w:rPr>
        <w:t>在此特别提醒投资者认真阅读本报告书全文，并充分注意以下事项：</w:t>
      </w:r>
    </w:p>
    <w:p w14:paraId="076ACF00" w14:textId="10A8A846" w:rsidR="006416B0" w:rsidRPr="00B4515A" w:rsidRDefault="008C1C67" w:rsidP="005860B4">
      <w:pPr>
        <w:pStyle w:val="002"/>
        <w:spacing w:before="120" w:after="120"/>
        <w:ind w:firstLine="562"/>
      </w:pPr>
      <w:bookmarkStart w:id="11" w:name="_Toc80960483"/>
      <w:r w:rsidRPr="00B4515A">
        <w:rPr>
          <w:rFonts w:hint="eastAsia"/>
        </w:rPr>
        <w:t>一、</w:t>
      </w:r>
      <w:r w:rsidR="005E58C1" w:rsidRPr="00B4515A">
        <w:t>本次交易</w:t>
      </w:r>
      <w:r w:rsidR="005E58C1" w:rsidRPr="00B4515A">
        <w:rPr>
          <w:rFonts w:hint="eastAsia"/>
        </w:rPr>
        <w:t>方案概述</w:t>
      </w:r>
      <w:bookmarkEnd w:id="11"/>
    </w:p>
    <w:p w14:paraId="2793E10C" w14:textId="5127EE47" w:rsidR="006416B0" w:rsidRPr="00B4515A" w:rsidRDefault="005E58C1" w:rsidP="005860B4">
      <w:pPr>
        <w:pStyle w:val="005"/>
        <w:spacing w:before="120" w:after="120"/>
        <w:ind w:firstLine="480"/>
      </w:pPr>
      <w:r w:rsidRPr="00B4515A">
        <w:rPr>
          <w:rFonts w:hint="eastAsia"/>
        </w:rPr>
        <w:t>上市公司拟</w:t>
      </w:r>
      <w:bookmarkStart w:id="12" w:name="_Hlk76936716"/>
      <w:r w:rsidRPr="00B4515A">
        <w:rPr>
          <w:rFonts w:hint="eastAsia"/>
        </w:rPr>
        <w:t>向电信科研院、大唐控股、</w:t>
      </w:r>
      <w:r w:rsidR="00252376" w:rsidRPr="00B4515A">
        <w:rPr>
          <w:rFonts w:hint="eastAsia"/>
        </w:rPr>
        <w:t>长江移动基金</w:t>
      </w:r>
      <w:r w:rsidRPr="00B4515A">
        <w:rPr>
          <w:rFonts w:hint="eastAsia"/>
        </w:rPr>
        <w:t>、结构调整基金及金融街资本</w:t>
      </w:r>
      <w:bookmarkEnd w:id="12"/>
      <w:r w:rsidRPr="00B4515A">
        <w:rPr>
          <w:rFonts w:hint="eastAsia"/>
        </w:rPr>
        <w:t>发行股份购买其持有的大唐联诚</w:t>
      </w:r>
      <w:r w:rsidRPr="00B4515A">
        <w:t>95.001%</w:t>
      </w:r>
      <w:r w:rsidRPr="00B4515A">
        <w:rPr>
          <w:rFonts w:hint="eastAsia"/>
        </w:rPr>
        <w:t>股权。</w:t>
      </w:r>
    </w:p>
    <w:p w14:paraId="6F2D415E" w14:textId="77777777" w:rsidR="006416B0" w:rsidRPr="00B4515A" w:rsidRDefault="005E58C1" w:rsidP="005860B4">
      <w:pPr>
        <w:pStyle w:val="005"/>
        <w:spacing w:before="120" w:after="120"/>
        <w:ind w:firstLine="480"/>
      </w:pPr>
      <w:r w:rsidRPr="00B4515A">
        <w:rPr>
          <w:rFonts w:hint="eastAsia"/>
        </w:rPr>
        <w:t>为提高重组后新注入资产的绩效，同时满足上市公司未来的资金需求，上市公司拟向</w:t>
      </w:r>
      <w:bookmarkStart w:id="13" w:name="_Hlk76936754"/>
      <w:r w:rsidRPr="00B4515A">
        <w:rPr>
          <w:rFonts w:hint="eastAsia"/>
        </w:rPr>
        <w:t>中国信科集团</w:t>
      </w:r>
      <w:bookmarkEnd w:id="13"/>
      <w:r w:rsidRPr="00B4515A">
        <w:rPr>
          <w:rFonts w:hint="eastAsia"/>
        </w:rPr>
        <w:t>非公开发行股份募集配套资金</w:t>
      </w:r>
      <w:r w:rsidRPr="00B4515A">
        <w:rPr>
          <w:rFonts w:hint="eastAsia"/>
        </w:rPr>
        <w:t>99,999.999656</w:t>
      </w:r>
      <w:r w:rsidRPr="00B4515A">
        <w:rPr>
          <w:rFonts w:hint="eastAsia"/>
        </w:rPr>
        <w:t>万元。</w:t>
      </w:r>
    </w:p>
    <w:p w14:paraId="36319797" w14:textId="77777777" w:rsidR="006416B0" w:rsidRPr="00B4515A" w:rsidRDefault="005E58C1" w:rsidP="005860B4">
      <w:pPr>
        <w:pStyle w:val="005"/>
        <w:spacing w:before="120" w:after="120"/>
        <w:ind w:firstLine="480"/>
      </w:pPr>
      <w:r w:rsidRPr="00B4515A">
        <w:rPr>
          <w:rFonts w:hint="eastAsia"/>
        </w:rPr>
        <w:t>本次发行股份购买资产为募集配套资金的前提，而发行股份购买资产不以募集配套资金为前提。</w:t>
      </w:r>
    </w:p>
    <w:p w14:paraId="27915566" w14:textId="77777777" w:rsidR="006416B0" w:rsidRPr="00B4515A" w:rsidRDefault="005E58C1" w:rsidP="005860B4">
      <w:pPr>
        <w:pStyle w:val="003"/>
        <w:spacing w:before="120"/>
        <w:ind w:firstLine="482"/>
      </w:pPr>
      <w:r w:rsidRPr="00B4515A">
        <w:t>（一）发行股份购买资产</w:t>
      </w:r>
    </w:p>
    <w:p w14:paraId="0D85DFDB" w14:textId="77777777" w:rsidR="006416B0" w:rsidRPr="00B4515A" w:rsidRDefault="005E58C1" w:rsidP="005860B4">
      <w:pPr>
        <w:pStyle w:val="005"/>
        <w:spacing w:before="120" w:after="120"/>
        <w:ind w:firstLine="480"/>
      </w:pPr>
      <w:r w:rsidRPr="00B4515A">
        <w:t>本次交易标的资产的交易价格以经备案的评估报告的评估结果为基础，由上市公司与交易对方协商确定。</w:t>
      </w:r>
    </w:p>
    <w:p w14:paraId="63E99811" w14:textId="77777777" w:rsidR="006416B0" w:rsidRPr="00B4515A" w:rsidRDefault="005E58C1" w:rsidP="005860B4">
      <w:pPr>
        <w:pStyle w:val="005"/>
        <w:spacing w:before="120" w:after="120"/>
        <w:ind w:firstLine="480"/>
      </w:pPr>
      <w:r w:rsidRPr="00B4515A">
        <w:t>根据东洲</w:t>
      </w:r>
      <w:r w:rsidRPr="00B4515A">
        <w:rPr>
          <w:rFonts w:hint="eastAsia"/>
        </w:rPr>
        <w:t>评估</w:t>
      </w:r>
      <w:r w:rsidRPr="00B4515A">
        <w:t>出具的并经国务院国资委备案的资产评估报告，以</w:t>
      </w:r>
      <w:r w:rsidRPr="00B4515A">
        <w:t>2021</w:t>
      </w:r>
      <w:r w:rsidRPr="00B4515A">
        <w:t>年</w:t>
      </w:r>
      <w:r w:rsidRPr="00B4515A">
        <w:t>4</w:t>
      </w:r>
      <w:r w:rsidRPr="00B4515A">
        <w:t>月</w:t>
      </w:r>
      <w:r w:rsidRPr="00B4515A">
        <w:t>30</w:t>
      </w:r>
      <w:r w:rsidRPr="00B4515A">
        <w:t>日为评估基准日，标的公司大唐联诚股东全部权益评估值为</w:t>
      </w:r>
      <w:r w:rsidRPr="00B4515A">
        <w:rPr>
          <w:rFonts w:hint="eastAsia"/>
        </w:rPr>
        <w:t>人民币</w:t>
      </w:r>
      <w:r w:rsidRPr="00B4515A">
        <w:t>148,256.37</w:t>
      </w:r>
      <w:r w:rsidRPr="00B4515A">
        <w:rPr>
          <w:rFonts w:hint="eastAsia"/>
        </w:rPr>
        <w:t>万元</w:t>
      </w:r>
      <w:r w:rsidRPr="00B4515A">
        <w:t>。经交易双方友好协商，同意标的资产交易价格为</w:t>
      </w:r>
      <w:r w:rsidRPr="00B4515A">
        <w:rPr>
          <w:rFonts w:hint="eastAsia"/>
        </w:rPr>
        <w:t>标的公司</w:t>
      </w:r>
      <w:r w:rsidRPr="00B4515A">
        <w:t>全部权益评估值</w:t>
      </w:r>
      <w:r w:rsidRPr="00B4515A">
        <w:rPr>
          <w:rFonts w:hint="eastAsia"/>
        </w:rPr>
        <w:t>与</w:t>
      </w:r>
      <w:r w:rsidRPr="00B4515A">
        <w:rPr>
          <w:rFonts w:hint="eastAsia"/>
        </w:rPr>
        <w:t>9</w:t>
      </w:r>
      <w:r w:rsidRPr="00B4515A">
        <w:t>5.001</w:t>
      </w:r>
      <w:r w:rsidRPr="00B4515A">
        <w:rPr>
          <w:rFonts w:hint="eastAsia"/>
        </w:rPr>
        <w:t>%</w:t>
      </w:r>
      <w:r w:rsidRPr="00B4515A">
        <w:rPr>
          <w:rFonts w:hint="eastAsia"/>
        </w:rPr>
        <w:t>的乘积，即</w:t>
      </w:r>
      <w:r w:rsidRPr="00B4515A">
        <w:t>1,408,450,340.64</w:t>
      </w:r>
      <w:r w:rsidRPr="00B4515A">
        <w:t>元。</w:t>
      </w:r>
    </w:p>
    <w:p w14:paraId="137BB745" w14:textId="77777777" w:rsidR="006416B0" w:rsidRPr="00B4515A" w:rsidRDefault="005E58C1" w:rsidP="005860B4">
      <w:pPr>
        <w:pStyle w:val="005"/>
        <w:spacing w:before="120" w:after="120"/>
        <w:ind w:firstLine="480"/>
      </w:pPr>
      <w:bookmarkStart w:id="14" w:name="_Hlk76936862"/>
      <w:r w:rsidRPr="00B4515A">
        <w:rPr>
          <w:rFonts w:ascii="Arial" w:hAnsi="Arial" w:cs="Arial"/>
        </w:rPr>
        <w:t>本次发行股份购买资产的定价基准日为公司审议本次重组相关事项的</w:t>
      </w:r>
      <w:bookmarkStart w:id="15" w:name="_Hlk76936805"/>
      <w:r w:rsidRPr="00B4515A">
        <w:rPr>
          <w:rFonts w:ascii="Arial" w:hAnsi="Arial" w:cs="Arial"/>
        </w:rPr>
        <w:t>第七届董事会第五十八次会议决议公告之日</w:t>
      </w:r>
      <w:bookmarkEnd w:id="15"/>
      <w:r w:rsidRPr="00B4515A">
        <w:rPr>
          <w:rFonts w:ascii="Arial" w:hAnsi="Arial" w:cs="Arial"/>
          <w:bCs/>
        </w:rPr>
        <w:t>。本次发行股份购买资产的</w:t>
      </w:r>
      <w:r w:rsidRPr="00B4515A">
        <w:t>发行价格为</w:t>
      </w:r>
      <w:r w:rsidRPr="00B4515A">
        <w:t>5.85</w:t>
      </w:r>
      <w:r w:rsidRPr="00B4515A">
        <w:t>元</w:t>
      </w:r>
      <w:r w:rsidRPr="00B4515A">
        <w:t>/</w:t>
      </w:r>
      <w:r w:rsidRPr="00B4515A">
        <w:t>股，不低于定价基准日前</w:t>
      </w:r>
      <w:r w:rsidRPr="00B4515A">
        <w:t>60</w:t>
      </w:r>
      <w:r w:rsidRPr="00B4515A">
        <w:t>个交易日上市公司股票交易均价的</w:t>
      </w:r>
      <w:r w:rsidRPr="00B4515A">
        <w:t>90%</w:t>
      </w:r>
      <w:r w:rsidRPr="00B4515A">
        <w:t>。</w:t>
      </w:r>
    </w:p>
    <w:bookmarkEnd w:id="14"/>
    <w:p w14:paraId="0C32858C" w14:textId="77777777" w:rsidR="006416B0" w:rsidRPr="00B4515A" w:rsidRDefault="005E58C1" w:rsidP="005860B4">
      <w:pPr>
        <w:pStyle w:val="005"/>
        <w:spacing w:before="120" w:after="120"/>
        <w:ind w:firstLine="480"/>
      </w:pPr>
      <w:r w:rsidRPr="00B4515A">
        <w:t>本次交易的发行股份数量为</w:t>
      </w:r>
      <w:r w:rsidRPr="00B4515A">
        <w:t>240,760,740</w:t>
      </w:r>
      <w:r w:rsidRPr="00B4515A">
        <w:t>股，发行完成后，公司总股本将变更为</w:t>
      </w:r>
      <w:r w:rsidRPr="00B4515A">
        <w:t>1,122,869,212</w:t>
      </w:r>
      <w:r w:rsidRPr="00B4515A">
        <w:t>股。若在股份发行日之前，上市公司发生派发股利、送红股、转增股本、增发新股或配股等除息、除权行为，则上述发行价格、发行数量亦将根据相关规则作相应调整。最终发行数量以股东大会审议通过并经中国证监会核</w:t>
      </w:r>
      <w:r w:rsidRPr="00B4515A">
        <w:lastRenderedPageBreak/>
        <w:t>准的数量为准。</w:t>
      </w:r>
    </w:p>
    <w:p w14:paraId="0939F72C" w14:textId="77777777" w:rsidR="006416B0" w:rsidRPr="00B4515A" w:rsidRDefault="005E58C1" w:rsidP="005860B4">
      <w:pPr>
        <w:pStyle w:val="003"/>
        <w:spacing w:before="120"/>
        <w:ind w:firstLine="482"/>
      </w:pPr>
      <w:r w:rsidRPr="00B4515A">
        <w:t>（二）募集配套资金</w:t>
      </w:r>
    </w:p>
    <w:p w14:paraId="0FCC0604" w14:textId="77777777" w:rsidR="006416B0" w:rsidRPr="00B4515A" w:rsidRDefault="005E58C1" w:rsidP="005860B4">
      <w:pPr>
        <w:pStyle w:val="005"/>
        <w:spacing w:before="120" w:after="120"/>
        <w:ind w:firstLine="480"/>
      </w:pPr>
      <w:r w:rsidRPr="00B4515A">
        <w:t>上市公司拟向中国信科集团以锁价方式非公开发行股票募集配套资金</w:t>
      </w:r>
      <w:r w:rsidRPr="00B4515A">
        <w:t>99,999.999656</w:t>
      </w:r>
      <w:r w:rsidRPr="00B4515A">
        <w:t>万元。</w:t>
      </w:r>
    </w:p>
    <w:p w14:paraId="210F6F51" w14:textId="77777777" w:rsidR="006416B0" w:rsidRPr="00B4515A" w:rsidRDefault="005E58C1" w:rsidP="005860B4">
      <w:pPr>
        <w:pStyle w:val="005"/>
        <w:spacing w:before="120" w:after="120"/>
        <w:ind w:firstLine="480"/>
      </w:pPr>
      <w:bookmarkStart w:id="16" w:name="_Hlk76936878"/>
      <w:r w:rsidRPr="00B4515A">
        <w:t>本次募集配套资金定价基准日为上市公司审议本次发行股份购买资产并募集配套资金的第七届董事会第五十八次董事会决议公告日，发行价格为</w:t>
      </w:r>
      <w:r w:rsidRPr="00B4515A">
        <w:t>5.24</w:t>
      </w:r>
      <w:r w:rsidRPr="00B4515A">
        <w:t>元</w:t>
      </w:r>
      <w:r w:rsidRPr="00B4515A">
        <w:t>/</w:t>
      </w:r>
      <w:r w:rsidRPr="00B4515A">
        <w:t>股，不低于定价基准日前</w:t>
      </w:r>
      <w:r w:rsidRPr="00B4515A">
        <w:t>20</w:t>
      </w:r>
      <w:r w:rsidRPr="00B4515A">
        <w:t>个交易日上市公司</w:t>
      </w:r>
      <w:r w:rsidRPr="00B4515A">
        <w:t>A</w:t>
      </w:r>
      <w:r w:rsidRPr="00B4515A">
        <w:t>股股票交易均价的</w:t>
      </w:r>
      <w:r w:rsidRPr="00B4515A">
        <w:t>80%</w:t>
      </w:r>
      <w:r w:rsidRPr="00B4515A">
        <w:t>。</w:t>
      </w:r>
    </w:p>
    <w:bookmarkEnd w:id="16"/>
    <w:p w14:paraId="682E422D" w14:textId="77777777" w:rsidR="006416B0" w:rsidRPr="00B4515A" w:rsidRDefault="005E58C1" w:rsidP="005860B4">
      <w:pPr>
        <w:pStyle w:val="005"/>
        <w:spacing w:before="120" w:after="120"/>
        <w:ind w:firstLine="480"/>
        <w:rPr>
          <w:rFonts w:ascii="Arial" w:hAnsi="Arial" w:cs="Arial"/>
          <w:bCs/>
        </w:rPr>
      </w:pPr>
      <w:r w:rsidRPr="00B4515A">
        <w:rPr>
          <w:rFonts w:ascii="Arial" w:hAnsi="Arial" w:cs="Arial"/>
          <w:bCs/>
        </w:rPr>
        <w:t>在本次交易定价基准日至发行日期间，若上市公司股票发生派息、送红股、资本公积金转增股本、配股等除权除息事项，则发行价格将作相应调整。</w:t>
      </w:r>
    </w:p>
    <w:p w14:paraId="51ADAAB0" w14:textId="77777777" w:rsidR="006416B0" w:rsidRPr="00B4515A" w:rsidRDefault="005E58C1" w:rsidP="005860B4">
      <w:pPr>
        <w:pStyle w:val="005"/>
        <w:spacing w:before="120" w:after="120"/>
        <w:ind w:firstLine="480"/>
      </w:pPr>
      <w:r w:rsidRPr="00B4515A">
        <w:rPr>
          <w:rFonts w:ascii="Arial" w:hAnsi="Arial" w:cs="Arial" w:hint="eastAsia"/>
          <w:bCs/>
        </w:rPr>
        <w:t>本次募集配套资金发行对象中国信科集团参与募集配套资金股份认购所取得股份自发行结束之日起</w:t>
      </w:r>
      <w:r w:rsidRPr="00B4515A">
        <w:rPr>
          <w:bCs/>
        </w:rPr>
        <w:t>3</w:t>
      </w:r>
      <w:r w:rsidRPr="00B4515A">
        <w:rPr>
          <w:rFonts w:ascii="Arial" w:hAnsi="Arial" w:cs="Arial" w:hint="eastAsia"/>
          <w:bCs/>
        </w:rPr>
        <w:t>年内不得转让。中国信科集团所认购</w:t>
      </w:r>
      <w:r w:rsidRPr="00B4515A">
        <w:rPr>
          <w:bCs/>
        </w:rPr>
        <w:t>A</w:t>
      </w:r>
      <w:r w:rsidRPr="00B4515A">
        <w:rPr>
          <w:rFonts w:ascii="Arial" w:hAnsi="Arial" w:cs="Arial" w:hint="eastAsia"/>
          <w:bCs/>
        </w:rPr>
        <w:t>股股份因上市公司分配股票股利、资本公积转增等情形所衍生取得的股份亦应遵守上述股份锁定安排。上述锁定期满后，该等股份的解锁及减持将按中国证监会及上海证券交易所的规定执行。</w:t>
      </w:r>
    </w:p>
    <w:p w14:paraId="0E7A02D3" w14:textId="77777777" w:rsidR="006416B0" w:rsidRPr="00B4515A" w:rsidRDefault="005E58C1" w:rsidP="005860B4">
      <w:pPr>
        <w:pStyle w:val="002"/>
        <w:spacing w:before="120" w:after="120"/>
        <w:ind w:firstLine="562"/>
      </w:pPr>
      <w:bookmarkStart w:id="17" w:name="_Toc529272266"/>
      <w:bookmarkStart w:id="18" w:name="_Toc80960484"/>
      <w:r w:rsidRPr="00B4515A">
        <w:t>二、</w:t>
      </w:r>
      <w:bookmarkEnd w:id="17"/>
      <w:r w:rsidRPr="00B4515A">
        <w:t>标的</w:t>
      </w:r>
      <w:r w:rsidRPr="00B4515A">
        <w:rPr>
          <w:rFonts w:hint="eastAsia"/>
        </w:rPr>
        <w:t>公司</w:t>
      </w:r>
      <w:r w:rsidRPr="00B4515A">
        <w:t>评估作价情况</w:t>
      </w:r>
      <w:bookmarkEnd w:id="18"/>
    </w:p>
    <w:p w14:paraId="79CB06CE" w14:textId="219129F8" w:rsidR="006416B0" w:rsidRPr="00B4515A" w:rsidRDefault="005E58C1" w:rsidP="005860B4">
      <w:pPr>
        <w:pStyle w:val="005"/>
        <w:spacing w:before="120" w:after="120"/>
        <w:ind w:firstLine="480"/>
      </w:pPr>
      <w:bookmarkStart w:id="19" w:name="_Hlk76936095"/>
      <w:r w:rsidRPr="00B4515A">
        <w:rPr>
          <w:rFonts w:hint="eastAsia"/>
        </w:rPr>
        <w:t>资产评估机构以</w:t>
      </w:r>
      <w:r w:rsidRPr="00B4515A">
        <w:t>2021</w:t>
      </w:r>
      <w:r w:rsidRPr="00B4515A">
        <w:t>年</w:t>
      </w:r>
      <w:r w:rsidRPr="00B4515A">
        <w:t>4</w:t>
      </w:r>
      <w:r w:rsidRPr="00B4515A">
        <w:t>月</w:t>
      </w:r>
      <w:r w:rsidRPr="00B4515A">
        <w:t>30</w:t>
      </w:r>
      <w:r w:rsidRPr="00B4515A">
        <w:t>日为评估基准日出具了东洲评报字【</w:t>
      </w:r>
      <w:r w:rsidRPr="00B4515A">
        <w:t>2021</w:t>
      </w:r>
      <w:r w:rsidRPr="00B4515A">
        <w:t>】第</w:t>
      </w:r>
      <w:r w:rsidRPr="00B4515A">
        <w:t>0898</w:t>
      </w:r>
      <w:r w:rsidRPr="00B4515A">
        <w:t>号资产评估报告。资产评估机构采用收益法和资产基础法对大唐联诚</w:t>
      </w:r>
      <w:r w:rsidR="00F964DD" w:rsidRPr="00B4515A">
        <w:t>股东</w:t>
      </w:r>
      <w:r w:rsidRPr="00B4515A">
        <w:t>全部权益价值进行了评估，并采用收益法评估结果作为本次交易的评估结论，评估基准日大唐联诚</w:t>
      </w:r>
      <w:r w:rsidR="00F964DD" w:rsidRPr="00B4515A">
        <w:t>股东</w:t>
      </w:r>
      <w:r w:rsidRPr="00B4515A">
        <w:t>全部权益价值在收益法下的评估结果为人民币</w:t>
      </w:r>
      <w:r w:rsidRPr="00B4515A">
        <w:t>148,256.37</w:t>
      </w:r>
      <w:r w:rsidRPr="00B4515A">
        <w:t>万元。其所有者权益账面价值为</w:t>
      </w:r>
      <w:r w:rsidRPr="00B4515A">
        <w:t>77,488.74</w:t>
      </w:r>
      <w:r w:rsidRPr="00B4515A">
        <w:t>万元，评估增值</w:t>
      </w:r>
      <w:r w:rsidRPr="00B4515A">
        <w:t>70,767.63</w:t>
      </w:r>
      <w:r w:rsidRPr="00B4515A">
        <w:t>万元，增值率为</w:t>
      </w:r>
      <w:r w:rsidRPr="00B4515A">
        <w:t>91.33%</w:t>
      </w:r>
      <w:r w:rsidRPr="00B4515A">
        <w:t>。参考上述评估价值，经上市公司及交</w:t>
      </w:r>
      <w:r w:rsidRPr="00B4515A">
        <w:rPr>
          <w:rFonts w:hint="eastAsia"/>
        </w:rPr>
        <w:t>易对方友好协商，确定</w:t>
      </w:r>
      <w:r w:rsidRPr="00B4515A">
        <w:t>本次发行股份购买</w:t>
      </w:r>
      <w:r w:rsidRPr="00B4515A">
        <w:t>95.001%</w:t>
      </w:r>
      <w:r w:rsidRPr="00B4515A">
        <w:t>股权的交易作价为</w:t>
      </w:r>
      <w:r w:rsidRPr="00B4515A">
        <w:t>1,408,450,340.64</w:t>
      </w:r>
      <w:r w:rsidRPr="00B4515A">
        <w:t>元。</w:t>
      </w:r>
    </w:p>
    <w:p w14:paraId="7CD108D7" w14:textId="77777777" w:rsidR="006416B0" w:rsidRPr="00B4515A" w:rsidRDefault="005E58C1" w:rsidP="005860B4">
      <w:pPr>
        <w:pStyle w:val="002"/>
        <w:spacing w:before="120" w:after="120"/>
        <w:ind w:firstLine="562"/>
      </w:pPr>
      <w:bookmarkStart w:id="20" w:name="_Toc80960485"/>
      <w:bookmarkEnd w:id="19"/>
      <w:r w:rsidRPr="00B4515A">
        <w:rPr>
          <w:rFonts w:hint="eastAsia"/>
        </w:rPr>
        <w:t>三、</w:t>
      </w:r>
      <w:r w:rsidRPr="00B4515A">
        <w:t>本次重组交易对方及对价支付方式</w:t>
      </w:r>
      <w:bookmarkEnd w:id="20"/>
    </w:p>
    <w:p w14:paraId="7A4D119E" w14:textId="26C2A876" w:rsidR="006416B0" w:rsidRPr="00B4515A" w:rsidRDefault="005E58C1" w:rsidP="005860B4">
      <w:pPr>
        <w:pStyle w:val="005"/>
        <w:spacing w:before="120" w:after="120"/>
        <w:ind w:firstLine="480"/>
      </w:pPr>
      <w:r w:rsidRPr="00B4515A">
        <w:rPr>
          <w:rFonts w:hint="eastAsia"/>
        </w:rPr>
        <w:t>本次发行股份购买资产的发行对象为电信科研院、大唐控股、</w:t>
      </w:r>
      <w:r w:rsidR="00252376" w:rsidRPr="00B4515A">
        <w:rPr>
          <w:rFonts w:hint="eastAsia"/>
        </w:rPr>
        <w:t>长江移动基金</w:t>
      </w:r>
      <w:r w:rsidRPr="00B4515A">
        <w:rPr>
          <w:rFonts w:hint="eastAsia"/>
        </w:rPr>
        <w:t>、结构调整基金及金融街资本，发行股份购买资产的发行对象以其分别持有的标的公司股权认购本次发行的股份。</w:t>
      </w:r>
    </w:p>
    <w:p w14:paraId="79A9E1CA" w14:textId="77777777" w:rsidR="006416B0" w:rsidRPr="00B4515A" w:rsidRDefault="005E58C1" w:rsidP="005860B4">
      <w:pPr>
        <w:pStyle w:val="005"/>
        <w:spacing w:before="120" w:after="120"/>
        <w:ind w:firstLine="480"/>
      </w:pPr>
      <w:r w:rsidRPr="00B4515A">
        <w:rPr>
          <w:rFonts w:hint="eastAsia"/>
        </w:rPr>
        <w:t>本次募集配套资金的交易对象为中国信科集团，中国信科集团以其自有资金</w:t>
      </w:r>
      <w:r w:rsidRPr="00B4515A">
        <w:rPr>
          <w:rFonts w:hint="eastAsia"/>
        </w:rPr>
        <w:lastRenderedPageBreak/>
        <w:t>认购本次发行的股份。</w:t>
      </w:r>
    </w:p>
    <w:p w14:paraId="05480B48" w14:textId="77777777" w:rsidR="006416B0" w:rsidRPr="00B4515A" w:rsidRDefault="005E58C1" w:rsidP="005860B4">
      <w:pPr>
        <w:pStyle w:val="002"/>
        <w:spacing w:before="120" w:after="120"/>
        <w:ind w:firstLine="562"/>
      </w:pPr>
      <w:bookmarkStart w:id="21" w:name="（二）发行股份"/>
      <w:bookmarkStart w:id="22" w:name="（一）资产置换"/>
      <w:bookmarkStart w:id="23" w:name="四、本次交易评估作价情况"/>
      <w:bookmarkStart w:id="24" w:name="bookmark1"/>
      <w:bookmarkStart w:id="25" w:name="（一）拟置出资产的评估情况"/>
      <w:bookmarkStart w:id="26" w:name="三、本次重组支付方式"/>
      <w:bookmarkStart w:id="27" w:name="_Toc529272267"/>
      <w:bookmarkStart w:id="28" w:name="_Toc80960486"/>
      <w:bookmarkEnd w:id="21"/>
      <w:bookmarkEnd w:id="22"/>
      <w:bookmarkEnd w:id="23"/>
      <w:bookmarkEnd w:id="24"/>
      <w:bookmarkEnd w:id="25"/>
      <w:bookmarkEnd w:id="26"/>
      <w:r w:rsidRPr="00B4515A">
        <w:rPr>
          <w:rFonts w:hint="eastAsia"/>
        </w:rPr>
        <w:t>四</w:t>
      </w:r>
      <w:r w:rsidRPr="00B4515A">
        <w:t>、</w:t>
      </w:r>
      <w:bookmarkEnd w:id="27"/>
      <w:r w:rsidRPr="00B4515A">
        <w:t>本次交易的性质</w:t>
      </w:r>
      <w:bookmarkEnd w:id="28"/>
    </w:p>
    <w:p w14:paraId="37E5773D" w14:textId="77777777" w:rsidR="006416B0" w:rsidRPr="00B4515A" w:rsidRDefault="005E58C1" w:rsidP="005860B4">
      <w:pPr>
        <w:pStyle w:val="003"/>
        <w:spacing w:before="120"/>
        <w:ind w:firstLine="482"/>
      </w:pPr>
      <w:r w:rsidRPr="00B4515A">
        <w:rPr>
          <w:rFonts w:hint="eastAsia"/>
        </w:rPr>
        <w:t>（一）本次交易构成关联交易</w:t>
      </w:r>
    </w:p>
    <w:p w14:paraId="791C2DD5" w14:textId="5903E124" w:rsidR="006416B0" w:rsidRPr="00B4515A" w:rsidRDefault="005E58C1" w:rsidP="005860B4">
      <w:pPr>
        <w:pStyle w:val="005"/>
        <w:spacing w:before="120" w:after="120"/>
        <w:ind w:firstLine="480"/>
      </w:pPr>
      <w:r w:rsidRPr="00B4515A">
        <w:rPr>
          <w:rFonts w:hint="eastAsia"/>
        </w:rPr>
        <w:t>截至本</w:t>
      </w:r>
      <w:r w:rsidR="00776E2F" w:rsidRPr="00B4515A">
        <w:rPr>
          <w:rFonts w:hint="eastAsia"/>
        </w:rPr>
        <w:t>报告书</w:t>
      </w:r>
      <w:r w:rsidRPr="00B4515A">
        <w:rPr>
          <w:rFonts w:hint="eastAsia"/>
        </w:rPr>
        <w:t>签署日，电信科研院直接持有本公司</w:t>
      </w:r>
      <w:r w:rsidRPr="00B4515A">
        <w:t>17.15%</w:t>
      </w:r>
      <w:r w:rsidRPr="00B4515A">
        <w:rPr>
          <w:rFonts w:hint="eastAsia"/>
        </w:rPr>
        <w:t>股份，通过全资子公司大唐控股间接控制本公司</w:t>
      </w:r>
      <w:r w:rsidRPr="00B4515A">
        <w:t>16.79%</w:t>
      </w:r>
      <w:r w:rsidRPr="00B4515A">
        <w:rPr>
          <w:rFonts w:hint="eastAsia"/>
        </w:rPr>
        <w:t>股份，为本公司控股股东。根据《上市规则》，电信科研院为本公司关联法人。公司向电信科研院及其全资控股的子公司大唐控股发行股份购买其持有的大唐联诚</w:t>
      </w:r>
      <w:r w:rsidRPr="00B4515A">
        <w:t>59.867%</w:t>
      </w:r>
      <w:r w:rsidRPr="00B4515A">
        <w:rPr>
          <w:rFonts w:hint="eastAsia"/>
        </w:rPr>
        <w:t>股权，构成关联交易。</w:t>
      </w:r>
    </w:p>
    <w:p w14:paraId="491739F1" w14:textId="77704267" w:rsidR="006416B0" w:rsidRPr="00B4515A" w:rsidRDefault="00252376" w:rsidP="005860B4">
      <w:pPr>
        <w:pStyle w:val="005"/>
        <w:spacing w:before="120" w:after="120"/>
        <w:ind w:firstLine="480"/>
      </w:pPr>
      <w:r w:rsidRPr="00B4515A">
        <w:rPr>
          <w:rFonts w:hint="eastAsia"/>
        </w:rPr>
        <w:t>长江移动基金</w:t>
      </w:r>
      <w:r w:rsidR="005E58C1" w:rsidRPr="00B4515A">
        <w:rPr>
          <w:rFonts w:hint="eastAsia"/>
        </w:rPr>
        <w:t>为公司控股股东电信科研院的控股股东中国信科集团施加重大影响的企业，为本公司关联方，公司向</w:t>
      </w:r>
      <w:r w:rsidRPr="00B4515A">
        <w:rPr>
          <w:rFonts w:hint="eastAsia"/>
        </w:rPr>
        <w:t>长江移动基金</w:t>
      </w:r>
      <w:r w:rsidR="005E58C1" w:rsidRPr="00B4515A">
        <w:rPr>
          <w:rFonts w:hint="eastAsia"/>
        </w:rPr>
        <w:t>发行股份购买其持有的大唐联诚</w:t>
      </w:r>
      <w:r w:rsidR="005E58C1" w:rsidRPr="00B4515A">
        <w:t>21.080%</w:t>
      </w:r>
      <w:r w:rsidR="005E58C1" w:rsidRPr="00B4515A">
        <w:rPr>
          <w:rFonts w:hint="eastAsia"/>
        </w:rPr>
        <w:t>股权，构成关联交易。</w:t>
      </w:r>
    </w:p>
    <w:p w14:paraId="1B16AC3E" w14:textId="77777777" w:rsidR="006416B0" w:rsidRPr="00B4515A" w:rsidRDefault="005E58C1" w:rsidP="005860B4">
      <w:pPr>
        <w:pStyle w:val="005"/>
        <w:spacing w:before="120" w:after="120"/>
        <w:ind w:firstLine="480"/>
      </w:pPr>
      <w:r w:rsidRPr="00B4515A">
        <w:rPr>
          <w:rFonts w:hint="eastAsia"/>
        </w:rPr>
        <w:t>本次募集配套资金的发行对象为中国信科集团，中国信科集团为公司控股股东的控股股东，公司向中国信科集团发行股份募集配套资金构成关联交易。</w:t>
      </w:r>
    </w:p>
    <w:p w14:paraId="4FDA8A42" w14:textId="28B051DF" w:rsidR="006416B0" w:rsidRPr="00B4515A" w:rsidRDefault="005E58C1" w:rsidP="005860B4">
      <w:pPr>
        <w:pStyle w:val="003"/>
        <w:spacing w:before="120"/>
        <w:ind w:firstLine="482"/>
      </w:pPr>
      <w:r w:rsidRPr="00B4515A">
        <w:rPr>
          <w:rFonts w:hint="eastAsia"/>
        </w:rPr>
        <w:t>（二）本次交易构成重大资产重组</w:t>
      </w:r>
    </w:p>
    <w:p w14:paraId="0DF6E79D" w14:textId="77777777" w:rsidR="006416B0" w:rsidRPr="00B4515A" w:rsidRDefault="005E58C1" w:rsidP="005860B4">
      <w:pPr>
        <w:pStyle w:val="005"/>
        <w:spacing w:before="120" w:after="120"/>
        <w:ind w:firstLine="480"/>
      </w:pPr>
      <w:r w:rsidRPr="00B4515A">
        <w:rPr>
          <w:rFonts w:hint="eastAsia"/>
        </w:rPr>
        <w:t>根据目标公司经审计的最近一期资产总额、资产净额及最近一年的营业收入占上市公司最近一个会计年度经审计的合并财务报告相关指标的比例进行测算，本次交易将达到《重组管理办法》规定的重大资产重组标准，构成上市公司重大资产重组。</w:t>
      </w:r>
    </w:p>
    <w:p w14:paraId="6E719999" w14:textId="4594DEE6" w:rsidR="006416B0" w:rsidRPr="00B4515A" w:rsidRDefault="005E58C1" w:rsidP="00EE238F">
      <w:pPr>
        <w:pStyle w:val="005"/>
        <w:spacing w:before="120" w:after="120"/>
        <w:ind w:firstLine="480"/>
        <w:rPr>
          <w:color w:val="000000"/>
          <w:sz w:val="21"/>
          <w:szCs w:val="21"/>
        </w:rPr>
      </w:pPr>
      <w:r w:rsidRPr="00B4515A">
        <w:rPr>
          <w:rFonts w:hint="eastAsia"/>
        </w:rPr>
        <w:t>根据大唐电信经审计的财务数据、目标公司经审计的财务数据以及交易作价情况，相关财务比例计算如下：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54"/>
        <w:gridCol w:w="2182"/>
        <w:gridCol w:w="1401"/>
        <w:gridCol w:w="1455"/>
        <w:gridCol w:w="2036"/>
      </w:tblGrid>
      <w:tr w:rsidR="006416B0" w:rsidRPr="00B4515A" w14:paraId="081DA88F" w14:textId="77777777" w:rsidTr="00031627">
        <w:trPr>
          <w:trHeight w:val="340"/>
          <w:jc w:val="center"/>
        </w:trPr>
        <w:tc>
          <w:tcPr>
            <w:tcW w:w="1418" w:type="dxa"/>
            <w:shd w:val="clear" w:color="000000" w:fill="FFFFFF"/>
            <w:tcMar>
              <w:top w:w="0" w:type="dxa"/>
              <w:left w:w="108" w:type="dxa"/>
              <w:bottom w:w="0" w:type="dxa"/>
              <w:right w:w="108" w:type="dxa"/>
            </w:tcMar>
            <w:vAlign w:val="center"/>
          </w:tcPr>
          <w:p w14:paraId="171E77C6"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项目</w:t>
            </w:r>
          </w:p>
        </w:tc>
        <w:tc>
          <w:tcPr>
            <w:tcW w:w="2126" w:type="dxa"/>
            <w:shd w:val="clear" w:color="000000" w:fill="FFFFFF"/>
            <w:tcMar>
              <w:top w:w="0" w:type="dxa"/>
              <w:left w:w="108" w:type="dxa"/>
              <w:bottom w:w="0" w:type="dxa"/>
              <w:right w:w="108" w:type="dxa"/>
            </w:tcMar>
            <w:vAlign w:val="center"/>
          </w:tcPr>
          <w:p w14:paraId="06E59DB5"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上市公司</w:t>
            </w:r>
          </w:p>
          <w:p w14:paraId="31DFD3C4"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hint="eastAsia"/>
                <w:b/>
                <w:bCs/>
                <w:color w:val="333333"/>
                <w:sz w:val="21"/>
                <w:szCs w:val="21"/>
              </w:rPr>
              <w:t>（万元）</w:t>
            </w:r>
          </w:p>
        </w:tc>
        <w:tc>
          <w:tcPr>
            <w:tcW w:w="1365" w:type="dxa"/>
            <w:shd w:val="clear" w:color="000000" w:fill="FFFFFF"/>
            <w:tcMar>
              <w:top w:w="0" w:type="dxa"/>
              <w:left w:w="108" w:type="dxa"/>
              <w:bottom w:w="0" w:type="dxa"/>
              <w:right w:w="108" w:type="dxa"/>
            </w:tcMar>
            <w:vAlign w:val="center"/>
          </w:tcPr>
          <w:p w14:paraId="72CBC3B7"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大唐联诚</w:t>
            </w:r>
          </w:p>
          <w:p w14:paraId="0E20488E"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hint="eastAsia"/>
                <w:b/>
                <w:bCs/>
                <w:color w:val="333333"/>
                <w:sz w:val="21"/>
                <w:szCs w:val="21"/>
              </w:rPr>
              <w:t>（万元）</w:t>
            </w:r>
          </w:p>
        </w:tc>
        <w:tc>
          <w:tcPr>
            <w:tcW w:w="1418" w:type="dxa"/>
            <w:shd w:val="clear" w:color="000000" w:fill="FFFFFF"/>
            <w:tcMar>
              <w:top w:w="0" w:type="dxa"/>
              <w:left w:w="108" w:type="dxa"/>
              <w:bottom w:w="0" w:type="dxa"/>
              <w:right w:w="108" w:type="dxa"/>
            </w:tcMar>
            <w:vAlign w:val="center"/>
          </w:tcPr>
          <w:p w14:paraId="078C39D8"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交易金额</w:t>
            </w:r>
          </w:p>
          <w:p w14:paraId="2993C72C"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hint="eastAsia"/>
                <w:b/>
                <w:bCs/>
                <w:color w:val="333333"/>
                <w:sz w:val="21"/>
                <w:szCs w:val="21"/>
              </w:rPr>
              <w:t>（万元）</w:t>
            </w:r>
          </w:p>
        </w:tc>
        <w:tc>
          <w:tcPr>
            <w:tcW w:w="1984" w:type="dxa"/>
            <w:shd w:val="clear" w:color="000000" w:fill="FFFFFF"/>
            <w:tcMar>
              <w:top w:w="0" w:type="dxa"/>
              <w:left w:w="108" w:type="dxa"/>
              <w:bottom w:w="0" w:type="dxa"/>
              <w:right w:w="108" w:type="dxa"/>
            </w:tcMar>
            <w:vAlign w:val="center"/>
          </w:tcPr>
          <w:p w14:paraId="254CA333"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指标占比</w:t>
            </w:r>
          </w:p>
        </w:tc>
      </w:tr>
      <w:tr w:rsidR="006416B0" w:rsidRPr="00B4515A" w14:paraId="56241CE0" w14:textId="77777777" w:rsidTr="00031627">
        <w:trPr>
          <w:trHeight w:val="340"/>
          <w:jc w:val="center"/>
        </w:trPr>
        <w:tc>
          <w:tcPr>
            <w:tcW w:w="1418" w:type="dxa"/>
            <w:shd w:val="clear" w:color="000000" w:fill="FFFFFF"/>
            <w:tcMar>
              <w:top w:w="0" w:type="dxa"/>
              <w:left w:w="108" w:type="dxa"/>
              <w:bottom w:w="0" w:type="dxa"/>
              <w:right w:w="108" w:type="dxa"/>
            </w:tcMar>
            <w:vAlign w:val="center"/>
          </w:tcPr>
          <w:p w14:paraId="74D81EEF" w14:textId="77777777" w:rsidR="006416B0"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t>资产总额</w:t>
            </w:r>
          </w:p>
        </w:tc>
        <w:tc>
          <w:tcPr>
            <w:tcW w:w="2126" w:type="dxa"/>
            <w:shd w:val="clear" w:color="auto" w:fill="auto"/>
            <w:tcMar>
              <w:top w:w="0" w:type="dxa"/>
              <w:left w:w="108" w:type="dxa"/>
              <w:bottom w:w="0" w:type="dxa"/>
              <w:right w:w="108" w:type="dxa"/>
            </w:tcMar>
            <w:vAlign w:val="center"/>
          </w:tcPr>
          <w:p w14:paraId="22279E61"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314,041.93</w:t>
            </w:r>
          </w:p>
        </w:tc>
        <w:tc>
          <w:tcPr>
            <w:tcW w:w="1365" w:type="dxa"/>
            <w:shd w:val="clear" w:color="auto" w:fill="auto"/>
            <w:tcMar>
              <w:top w:w="0" w:type="dxa"/>
              <w:left w:w="108" w:type="dxa"/>
              <w:bottom w:w="0" w:type="dxa"/>
              <w:right w:w="108" w:type="dxa"/>
            </w:tcMar>
            <w:vAlign w:val="center"/>
          </w:tcPr>
          <w:p w14:paraId="64F3A3E9"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150,577.88</w:t>
            </w:r>
          </w:p>
        </w:tc>
        <w:tc>
          <w:tcPr>
            <w:tcW w:w="1418" w:type="dxa"/>
            <w:vMerge w:val="restart"/>
            <w:shd w:val="clear" w:color="auto" w:fill="auto"/>
            <w:tcMar>
              <w:top w:w="0" w:type="dxa"/>
              <w:left w:w="108" w:type="dxa"/>
              <w:bottom w:w="0" w:type="dxa"/>
              <w:right w:w="108" w:type="dxa"/>
            </w:tcMar>
            <w:vAlign w:val="center"/>
          </w:tcPr>
          <w:p w14:paraId="71E41615"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140,845.03</w:t>
            </w:r>
          </w:p>
          <w:p w14:paraId="563007CF" w14:textId="77777777" w:rsidR="006416B0" w:rsidRPr="00B4515A" w:rsidRDefault="006416B0" w:rsidP="005860B4">
            <w:pPr>
              <w:adjustRightInd w:val="0"/>
              <w:snapToGrid w:val="0"/>
              <w:jc w:val="right"/>
              <w:rPr>
                <w:rFonts w:ascii="Times New Roman" w:eastAsiaTheme="majorEastAsia" w:hAnsi="Times New Roman" w:cs="Times New Roman"/>
                <w:color w:val="000000"/>
                <w:sz w:val="21"/>
                <w:szCs w:val="21"/>
              </w:rPr>
            </w:pPr>
          </w:p>
        </w:tc>
        <w:tc>
          <w:tcPr>
            <w:tcW w:w="1984" w:type="dxa"/>
            <w:shd w:val="clear" w:color="000000" w:fill="FFFFFF"/>
            <w:tcMar>
              <w:top w:w="0" w:type="dxa"/>
              <w:left w:w="108" w:type="dxa"/>
              <w:bottom w:w="0" w:type="dxa"/>
              <w:right w:w="108" w:type="dxa"/>
            </w:tcMar>
            <w:vAlign w:val="center"/>
          </w:tcPr>
          <w:p w14:paraId="0BA8647F"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47.95%</w:t>
            </w:r>
          </w:p>
        </w:tc>
      </w:tr>
      <w:tr w:rsidR="006416B0" w:rsidRPr="00B4515A" w14:paraId="33F1F9EB" w14:textId="77777777" w:rsidTr="00031627">
        <w:trPr>
          <w:trHeight w:val="340"/>
          <w:jc w:val="center"/>
        </w:trPr>
        <w:tc>
          <w:tcPr>
            <w:tcW w:w="1418" w:type="dxa"/>
            <w:shd w:val="clear" w:color="000000" w:fill="FFFFFF"/>
            <w:tcMar>
              <w:top w:w="0" w:type="dxa"/>
              <w:left w:w="108" w:type="dxa"/>
              <w:bottom w:w="0" w:type="dxa"/>
              <w:right w:w="108" w:type="dxa"/>
            </w:tcMar>
            <w:vAlign w:val="center"/>
          </w:tcPr>
          <w:p w14:paraId="427494D1" w14:textId="77777777" w:rsidR="006416B0"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t>资产净额</w:t>
            </w:r>
          </w:p>
        </w:tc>
        <w:tc>
          <w:tcPr>
            <w:tcW w:w="2126" w:type="dxa"/>
            <w:shd w:val="clear" w:color="auto" w:fill="auto"/>
            <w:tcMar>
              <w:top w:w="0" w:type="dxa"/>
              <w:left w:w="108" w:type="dxa"/>
              <w:bottom w:w="0" w:type="dxa"/>
              <w:right w:w="108" w:type="dxa"/>
            </w:tcMar>
            <w:vAlign w:val="center"/>
          </w:tcPr>
          <w:p w14:paraId="0D7DEECB"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-131,187.30</w:t>
            </w:r>
          </w:p>
        </w:tc>
        <w:tc>
          <w:tcPr>
            <w:tcW w:w="1365" w:type="dxa"/>
            <w:shd w:val="clear" w:color="auto" w:fill="auto"/>
            <w:tcMar>
              <w:top w:w="0" w:type="dxa"/>
              <w:left w:w="108" w:type="dxa"/>
              <w:bottom w:w="0" w:type="dxa"/>
              <w:right w:w="108" w:type="dxa"/>
            </w:tcMar>
            <w:vAlign w:val="center"/>
          </w:tcPr>
          <w:p w14:paraId="333EA58F"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77,488.74</w:t>
            </w:r>
          </w:p>
        </w:tc>
        <w:tc>
          <w:tcPr>
            <w:tcW w:w="1418" w:type="dxa"/>
            <w:vMerge/>
            <w:tcMar>
              <w:top w:w="0" w:type="dxa"/>
              <w:left w:w="108" w:type="dxa"/>
              <w:bottom w:w="0" w:type="dxa"/>
              <w:right w:w="108" w:type="dxa"/>
            </w:tcMar>
            <w:vAlign w:val="center"/>
          </w:tcPr>
          <w:p w14:paraId="05622131" w14:textId="77777777" w:rsidR="006416B0" w:rsidRPr="00B4515A" w:rsidRDefault="006416B0" w:rsidP="005860B4">
            <w:pPr>
              <w:adjustRightInd w:val="0"/>
              <w:snapToGrid w:val="0"/>
              <w:jc w:val="right"/>
              <w:rPr>
                <w:rFonts w:ascii="Times New Roman" w:eastAsiaTheme="majorEastAsia" w:hAnsi="Times New Roman" w:cs="Times New Roman"/>
                <w:color w:val="000000"/>
                <w:sz w:val="21"/>
                <w:szCs w:val="21"/>
              </w:rPr>
            </w:pPr>
          </w:p>
        </w:tc>
        <w:tc>
          <w:tcPr>
            <w:tcW w:w="1984" w:type="dxa"/>
            <w:shd w:val="clear" w:color="000000" w:fill="FFFFFF"/>
            <w:tcMar>
              <w:top w:w="0" w:type="dxa"/>
              <w:left w:w="108" w:type="dxa"/>
              <w:bottom w:w="0" w:type="dxa"/>
              <w:right w:w="108" w:type="dxa"/>
            </w:tcMar>
            <w:vAlign w:val="center"/>
          </w:tcPr>
          <w:p w14:paraId="209FF7CB"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107.36%</w:t>
            </w:r>
          </w:p>
        </w:tc>
      </w:tr>
      <w:tr w:rsidR="006416B0" w:rsidRPr="00B4515A" w14:paraId="6AA62925" w14:textId="77777777" w:rsidTr="00031627">
        <w:trPr>
          <w:trHeight w:val="340"/>
          <w:jc w:val="center"/>
        </w:trPr>
        <w:tc>
          <w:tcPr>
            <w:tcW w:w="1418" w:type="dxa"/>
            <w:shd w:val="clear" w:color="000000" w:fill="FFFFFF"/>
            <w:tcMar>
              <w:top w:w="0" w:type="dxa"/>
              <w:left w:w="108" w:type="dxa"/>
              <w:bottom w:w="0" w:type="dxa"/>
              <w:right w:w="108" w:type="dxa"/>
            </w:tcMar>
            <w:vAlign w:val="center"/>
          </w:tcPr>
          <w:p w14:paraId="650D77AC" w14:textId="77777777" w:rsidR="006416B0"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t>营业收入</w:t>
            </w:r>
          </w:p>
        </w:tc>
        <w:tc>
          <w:tcPr>
            <w:tcW w:w="2126" w:type="dxa"/>
            <w:shd w:val="clear" w:color="auto" w:fill="auto"/>
            <w:tcMar>
              <w:top w:w="0" w:type="dxa"/>
              <w:left w:w="108" w:type="dxa"/>
              <w:bottom w:w="0" w:type="dxa"/>
              <w:right w:w="108" w:type="dxa"/>
            </w:tcMar>
            <w:vAlign w:val="center"/>
          </w:tcPr>
          <w:p w14:paraId="50B4F061"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120,721.15</w:t>
            </w:r>
          </w:p>
        </w:tc>
        <w:tc>
          <w:tcPr>
            <w:tcW w:w="1365" w:type="dxa"/>
            <w:shd w:val="clear" w:color="auto" w:fill="auto"/>
            <w:tcMar>
              <w:top w:w="0" w:type="dxa"/>
              <w:left w:w="108" w:type="dxa"/>
              <w:bottom w:w="0" w:type="dxa"/>
              <w:right w:w="108" w:type="dxa"/>
            </w:tcMar>
            <w:vAlign w:val="center"/>
          </w:tcPr>
          <w:p w14:paraId="48768C7C"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55,282.98</w:t>
            </w:r>
          </w:p>
        </w:tc>
        <w:tc>
          <w:tcPr>
            <w:tcW w:w="1418" w:type="dxa"/>
            <w:shd w:val="clear" w:color="auto" w:fill="auto"/>
            <w:tcMar>
              <w:top w:w="0" w:type="dxa"/>
              <w:left w:w="108" w:type="dxa"/>
              <w:bottom w:w="0" w:type="dxa"/>
              <w:right w:w="108" w:type="dxa"/>
            </w:tcMar>
            <w:vAlign w:val="center"/>
          </w:tcPr>
          <w:p w14:paraId="06F84352"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w:t>
            </w:r>
          </w:p>
        </w:tc>
        <w:tc>
          <w:tcPr>
            <w:tcW w:w="1984" w:type="dxa"/>
            <w:shd w:val="clear" w:color="000000" w:fill="FFFFFF"/>
            <w:tcMar>
              <w:top w:w="0" w:type="dxa"/>
              <w:left w:w="108" w:type="dxa"/>
              <w:bottom w:w="0" w:type="dxa"/>
              <w:right w:w="108" w:type="dxa"/>
            </w:tcMar>
            <w:vAlign w:val="center"/>
          </w:tcPr>
          <w:p w14:paraId="7D3B6532"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45.79%</w:t>
            </w:r>
          </w:p>
        </w:tc>
      </w:tr>
    </w:tbl>
    <w:p w14:paraId="0385658F" w14:textId="77777777" w:rsidR="006416B0" w:rsidRPr="00B4515A" w:rsidRDefault="005E58C1" w:rsidP="005860B4">
      <w:pPr>
        <w:pStyle w:val="006"/>
        <w:ind w:firstLine="420"/>
      </w:pPr>
      <w:r w:rsidRPr="00B4515A">
        <w:rPr>
          <w:rFonts w:hint="eastAsia"/>
        </w:rPr>
        <w:t>注：上述财务数据系大唐联诚经审计的</w:t>
      </w:r>
      <w:r w:rsidRPr="00B4515A">
        <w:t>2021</w:t>
      </w:r>
      <w:r w:rsidRPr="00B4515A">
        <w:t>年</w:t>
      </w:r>
      <w:r w:rsidRPr="00B4515A">
        <w:t>4</w:t>
      </w:r>
      <w:r w:rsidRPr="00B4515A">
        <w:t>月</w:t>
      </w:r>
      <w:r w:rsidRPr="00B4515A">
        <w:t>30</w:t>
      </w:r>
      <w:r w:rsidRPr="00B4515A">
        <w:t>日资产总额、资产净额及</w:t>
      </w:r>
      <w:r w:rsidRPr="00B4515A">
        <w:t>2020</w:t>
      </w:r>
      <w:r w:rsidRPr="00B4515A">
        <w:t>年度的营业收入占上市公司</w:t>
      </w:r>
      <w:r w:rsidRPr="00B4515A">
        <w:t>2020</w:t>
      </w:r>
      <w:r w:rsidRPr="00B4515A">
        <w:t>年经审计的合并财务报表相关指标；资产净额为归属于母公司所有者的所有者权益。交易金额为依据大唐联诚</w:t>
      </w:r>
      <w:r w:rsidRPr="00B4515A">
        <w:t>95.001%</w:t>
      </w:r>
      <w:r w:rsidRPr="00B4515A">
        <w:t>股权的</w:t>
      </w:r>
      <w:r w:rsidRPr="00B4515A">
        <w:t>2021</w:t>
      </w:r>
      <w:r w:rsidRPr="00B4515A">
        <w:t>年</w:t>
      </w:r>
      <w:r w:rsidRPr="00B4515A">
        <w:t>4</w:t>
      </w:r>
      <w:r w:rsidRPr="00B4515A">
        <w:t>月</w:t>
      </w:r>
      <w:r w:rsidRPr="00B4515A">
        <w:t>30</w:t>
      </w:r>
      <w:r w:rsidRPr="00B4515A">
        <w:t>日的估值。指标计算为负值的，采用绝对值。</w:t>
      </w:r>
    </w:p>
    <w:p w14:paraId="2F95CEC1" w14:textId="7B37EB2D" w:rsidR="006416B0" w:rsidRPr="00B4515A" w:rsidRDefault="005E58C1" w:rsidP="005860B4">
      <w:pPr>
        <w:pStyle w:val="005"/>
        <w:spacing w:before="120" w:after="120"/>
        <w:ind w:firstLine="480"/>
      </w:pPr>
      <w:r w:rsidRPr="00B4515A">
        <w:rPr>
          <w:rFonts w:hint="eastAsia"/>
        </w:rPr>
        <w:t>根据《重组</w:t>
      </w:r>
      <w:r w:rsidR="00F964DD" w:rsidRPr="00B4515A">
        <w:rPr>
          <w:rFonts w:hint="eastAsia"/>
        </w:rPr>
        <w:t>管理</w:t>
      </w:r>
      <w:r w:rsidRPr="00B4515A">
        <w:rPr>
          <w:rFonts w:hint="eastAsia"/>
        </w:rPr>
        <w:t>办法》相关规定，经计算，本次标的资产的资产净额与交易金额孰高值</w:t>
      </w:r>
      <w:r w:rsidR="00052704" w:rsidRPr="00B4515A">
        <w:rPr>
          <w:rFonts w:hint="eastAsia"/>
        </w:rPr>
        <w:t>占</w:t>
      </w:r>
      <w:r w:rsidRPr="00B4515A">
        <w:rPr>
          <w:rFonts w:hint="eastAsia"/>
        </w:rPr>
        <w:t>上市公司最近一年经审计的资产净额</w:t>
      </w:r>
      <w:r w:rsidR="00052704" w:rsidRPr="00B4515A">
        <w:rPr>
          <w:rFonts w:hint="eastAsia"/>
        </w:rPr>
        <w:t>绝对值</w:t>
      </w:r>
      <w:r w:rsidRPr="00B4515A">
        <w:rPr>
          <w:rFonts w:hint="eastAsia"/>
        </w:rPr>
        <w:t>的</w:t>
      </w:r>
      <w:r w:rsidR="00052704" w:rsidRPr="00B4515A">
        <w:rPr>
          <w:rFonts w:hint="eastAsia"/>
        </w:rPr>
        <w:t>比例大于</w:t>
      </w:r>
      <w:r w:rsidRPr="00B4515A">
        <w:t>50%</w:t>
      </w:r>
      <w:r w:rsidRPr="00B4515A">
        <w:rPr>
          <w:rFonts w:hint="eastAsia"/>
        </w:rPr>
        <w:t>，且超</w:t>
      </w:r>
      <w:r w:rsidRPr="00B4515A">
        <w:rPr>
          <w:rFonts w:hint="eastAsia"/>
        </w:rPr>
        <w:lastRenderedPageBreak/>
        <w:t>过</w:t>
      </w:r>
      <w:r w:rsidRPr="00B4515A">
        <w:t xml:space="preserve"> 5,000</w:t>
      </w:r>
      <w:r w:rsidRPr="00B4515A">
        <w:rPr>
          <w:rFonts w:hint="eastAsia"/>
        </w:rPr>
        <w:t>万元，因此，本次交易构成上市公司重大资产重组。</w:t>
      </w:r>
    </w:p>
    <w:p w14:paraId="2129979C" w14:textId="77777777" w:rsidR="006416B0" w:rsidRPr="00B4515A" w:rsidRDefault="005E58C1" w:rsidP="005860B4">
      <w:pPr>
        <w:pStyle w:val="003"/>
        <w:spacing w:before="120"/>
        <w:ind w:firstLine="482"/>
      </w:pPr>
      <w:r w:rsidRPr="00B4515A">
        <w:rPr>
          <w:rFonts w:hint="eastAsia"/>
        </w:rPr>
        <w:t>（三）本次交易不构成重组上市</w:t>
      </w:r>
    </w:p>
    <w:p w14:paraId="53A9F8D0" w14:textId="77777777" w:rsidR="006416B0" w:rsidRPr="00B4515A" w:rsidRDefault="005E58C1" w:rsidP="005860B4">
      <w:pPr>
        <w:pStyle w:val="005"/>
        <w:spacing w:before="120" w:after="120"/>
        <w:ind w:firstLine="480"/>
      </w:pPr>
      <w:r w:rsidRPr="00B4515A">
        <w:rPr>
          <w:rFonts w:hint="eastAsia"/>
        </w:rPr>
        <w:t>本次交易前三十六个月内，公司控股股东为电信科研院，中国信科集团为电信科研院的控股股东，实际控制人为国务院国资委。本次交易完成后，公司控股股东为中国信科集团，实际控制人仍为国务院国资委。本次交易未导致上市公司控制权发生变化，不构成《重组管理办法》所规定的重组上市。</w:t>
      </w:r>
    </w:p>
    <w:p w14:paraId="3ABB25CB" w14:textId="77777777" w:rsidR="006416B0" w:rsidRPr="00B4515A" w:rsidRDefault="005E58C1" w:rsidP="005860B4">
      <w:pPr>
        <w:pStyle w:val="002"/>
        <w:spacing w:before="120" w:after="120"/>
        <w:ind w:firstLine="562"/>
      </w:pPr>
      <w:bookmarkStart w:id="29" w:name="_Toc529272270"/>
      <w:bookmarkStart w:id="30" w:name="_Toc80960487"/>
      <w:r w:rsidRPr="00B4515A">
        <w:t>五、</w:t>
      </w:r>
      <w:bookmarkEnd w:id="29"/>
      <w:r w:rsidRPr="00B4515A">
        <w:t>发行股份购买资产的情况</w:t>
      </w:r>
      <w:bookmarkEnd w:id="30"/>
    </w:p>
    <w:p w14:paraId="38A5BB9B" w14:textId="77777777" w:rsidR="006416B0" w:rsidRPr="00B4515A" w:rsidRDefault="005E58C1" w:rsidP="005860B4">
      <w:pPr>
        <w:pStyle w:val="003"/>
        <w:spacing w:before="120"/>
        <w:ind w:firstLine="482"/>
      </w:pPr>
      <w:r w:rsidRPr="00B4515A">
        <w:rPr>
          <w:rFonts w:hint="eastAsia"/>
        </w:rPr>
        <w:t>（一）发行股份的种类、面值</w:t>
      </w:r>
    </w:p>
    <w:p w14:paraId="491B0180" w14:textId="77777777" w:rsidR="006416B0" w:rsidRPr="00B4515A" w:rsidRDefault="005E58C1" w:rsidP="005860B4">
      <w:pPr>
        <w:pStyle w:val="005"/>
        <w:spacing w:before="120" w:after="120"/>
        <w:ind w:firstLine="480"/>
      </w:pPr>
      <w:r w:rsidRPr="00B4515A">
        <w:rPr>
          <w:rFonts w:hint="eastAsia"/>
        </w:rPr>
        <w:t>本次发行股份购买资产的股票种类为境内上市人民币普通股（</w:t>
      </w:r>
      <w:r w:rsidRPr="00B4515A">
        <w:t>A</w:t>
      </w:r>
      <w:r w:rsidRPr="00B4515A">
        <w:rPr>
          <w:rFonts w:hint="eastAsia"/>
        </w:rPr>
        <w:t>股），每股面值为人民币</w:t>
      </w:r>
      <w:r w:rsidRPr="00B4515A">
        <w:t>1.00</w:t>
      </w:r>
      <w:r w:rsidRPr="00B4515A">
        <w:rPr>
          <w:rFonts w:hint="eastAsia"/>
        </w:rPr>
        <w:t>元。</w:t>
      </w:r>
    </w:p>
    <w:p w14:paraId="2C155D53" w14:textId="77777777" w:rsidR="006416B0" w:rsidRPr="00B4515A" w:rsidRDefault="005E58C1" w:rsidP="005860B4">
      <w:pPr>
        <w:pStyle w:val="003"/>
        <w:spacing w:before="120"/>
        <w:ind w:firstLine="482"/>
      </w:pPr>
      <w:r w:rsidRPr="00B4515A">
        <w:rPr>
          <w:rFonts w:hint="eastAsia"/>
        </w:rPr>
        <w:t>（二）定价基准日及发行价格</w:t>
      </w:r>
    </w:p>
    <w:p w14:paraId="4AA9FA1D" w14:textId="77777777" w:rsidR="006416B0" w:rsidRPr="00B4515A" w:rsidRDefault="005E58C1" w:rsidP="005860B4">
      <w:pPr>
        <w:pStyle w:val="005"/>
        <w:spacing w:before="120" w:after="120"/>
        <w:ind w:firstLine="480"/>
      </w:pPr>
      <w:r w:rsidRPr="00B4515A">
        <w:rPr>
          <w:rFonts w:hint="eastAsia"/>
        </w:rPr>
        <w:t>本次发行股份购买资产的定价基准日为公司审议本次重组相关事项的第七届董事会第五十八次会议</w:t>
      </w:r>
      <w:r w:rsidRPr="00B4515A">
        <w:t>决议公告之日。</w:t>
      </w:r>
    </w:p>
    <w:p w14:paraId="75ED16E1" w14:textId="77777777" w:rsidR="006416B0" w:rsidRPr="00B4515A" w:rsidRDefault="005E58C1" w:rsidP="005860B4">
      <w:pPr>
        <w:pStyle w:val="005"/>
        <w:spacing w:before="120" w:after="120"/>
        <w:ind w:firstLine="480"/>
      </w:pPr>
      <w:bookmarkStart w:id="31" w:name="_Hlk76937120"/>
      <w:r w:rsidRPr="00B4515A">
        <w:rPr>
          <w:rFonts w:hint="eastAsia"/>
        </w:rPr>
        <w:t>根据《重组管理办法》相关规定，上市公司发行股份的价格不得低于市场参考价的</w:t>
      </w:r>
      <w:r w:rsidRPr="00B4515A">
        <w:t>90%</w:t>
      </w:r>
      <w:r w:rsidRPr="00B4515A">
        <w:rPr>
          <w:rFonts w:hint="eastAsia"/>
        </w:rPr>
        <w:t>。市场参考价为定价基准日前</w:t>
      </w:r>
      <w:r w:rsidRPr="00B4515A">
        <w:t>20</w:t>
      </w:r>
      <w:r w:rsidRPr="00B4515A">
        <w:rPr>
          <w:rFonts w:hint="eastAsia"/>
        </w:rPr>
        <w:t>个交易日、</w:t>
      </w:r>
      <w:r w:rsidRPr="00B4515A">
        <w:t>60</w:t>
      </w:r>
      <w:r w:rsidRPr="00B4515A">
        <w:rPr>
          <w:rFonts w:hint="eastAsia"/>
        </w:rPr>
        <w:t>个交易日或者</w:t>
      </w:r>
      <w:r w:rsidRPr="00B4515A">
        <w:t>120</w:t>
      </w:r>
      <w:r w:rsidRPr="00B4515A">
        <w:rPr>
          <w:rFonts w:hint="eastAsia"/>
        </w:rPr>
        <w:t>个交易日的公司股票交易均价之一。定价基准日前若干个交易日公司股票交易均价＝定价基准日前若干个交易日公司股票交易总额</w:t>
      </w:r>
      <w:r w:rsidRPr="00B4515A">
        <w:t>/</w:t>
      </w:r>
      <w:r w:rsidRPr="00B4515A">
        <w:rPr>
          <w:rFonts w:hint="eastAsia"/>
        </w:rPr>
        <w:t>定价基准日前若干个交易日公司股票交易总量。</w:t>
      </w:r>
    </w:p>
    <w:bookmarkEnd w:id="31"/>
    <w:p w14:paraId="2393A89B" w14:textId="77777777" w:rsidR="006416B0" w:rsidRPr="00B4515A" w:rsidRDefault="005E58C1" w:rsidP="005860B4">
      <w:pPr>
        <w:pStyle w:val="005"/>
        <w:spacing w:before="120" w:after="120"/>
        <w:ind w:firstLine="480"/>
      </w:pPr>
      <w:r w:rsidRPr="00B4515A">
        <w:rPr>
          <w:rFonts w:hint="eastAsia"/>
        </w:rPr>
        <w:t>上市公司定价基准日前</w:t>
      </w:r>
      <w:r w:rsidRPr="00B4515A">
        <w:t>20</w:t>
      </w:r>
      <w:r w:rsidRPr="00B4515A">
        <w:rPr>
          <w:rFonts w:hint="eastAsia"/>
        </w:rPr>
        <w:t>个交易日、</w:t>
      </w:r>
      <w:r w:rsidRPr="00B4515A">
        <w:t>60</w:t>
      </w:r>
      <w:r w:rsidRPr="00B4515A">
        <w:rPr>
          <w:rFonts w:hint="eastAsia"/>
        </w:rPr>
        <w:t>个交易日、</w:t>
      </w:r>
      <w:r w:rsidRPr="00B4515A">
        <w:t>120</w:t>
      </w:r>
      <w:r w:rsidRPr="00B4515A">
        <w:rPr>
          <w:rFonts w:hint="eastAsia"/>
        </w:rPr>
        <w:t>个交易日</w:t>
      </w:r>
      <w:r w:rsidRPr="00B4515A">
        <w:t>A</w:t>
      </w:r>
      <w:r w:rsidRPr="00B4515A">
        <w:rPr>
          <w:rFonts w:hint="eastAsia"/>
        </w:rPr>
        <w:t>股股票交易均价具体情况如下表所示：</w:t>
      </w:r>
      <w:r w:rsidRPr="00B4515A">
        <w:t xml:space="preserve"> </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843"/>
        <w:gridCol w:w="2842"/>
        <w:gridCol w:w="2843"/>
      </w:tblGrid>
      <w:tr w:rsidR="006416B0" w:rsidRPr="00B4515A" w14:paraId="50365FF9" w14:textId="77777777" w:rsidTr="00031627">
        <w:trPr>
          <w:trHeight w:val="340"/>
          <w:jc w:val="center"/>
        </w:trPr>
        <w:tc>
          <w:tcPr>
            <w:tcW w:w="2767" w:type="dxa"/>
            <w:tcMar>
              <w:top w:w="0" w:type="dxa"/>
              <w:left w:w="108" w:type="dxa"/>
              <w:bottom w:w="0" w:type="dxa"/>
              <w:right w:w="108" w:type="dxa"/>
            </w:tcMar>
            <w:vAlign w:val="center"/>
          </w:tcPr>
          <w:p w14:paraId="72B80751"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股票交易均价计算区间</w:t>
            </w:r>
          </w:p>
        </w:tc>
        <w:tc>
          <w:tcPr>
            <w:tcW w:w="2767" w:type="dxa"/>
            <w:tcMar>
              <w:top w:w="0" w:type="dxa"/>
              <w:left w:w="108" w:type="dxa"/>
              <w:bottom w:w="0" w:type="dxa"/>
              <w:right w:w="108" w:type="dxa"/>
            </w:tcMar>
            <w:vAlign w:val="center"/>
          </w:tcPr>
          <w:p w14:paraId="18FD936F"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交易均价（元</w:t>
            </w:r>
            <w:r w:rsidRPr="00B4515A">
              <w:rPr>
                <w:rFonts w:ascii="Times New Roman" w:hAnsi="Times New Roman" w:cs="Times New Roman"/>
                <w:b/>
                <w:bCs/>
                <w:sz w:val="21"/>
                <w:szCs w:val="21"/>
              </w:rPr>
              <w:t>/</w:t>
            </w:r>
            <w:r w:rsidRPr="00B4515A">
              <w:rPr>
                <w:rFonts w:ascii="Times New Roman" w:hAnsi="Times New Roman" w:cs="Times New Roman" w:hint="eastAsia"/>
                <w:b/>
                <w:bCs/>
                <w:sz w:val="21"/>
                <w:szCs w:val="21"/>
              </w:rPr>
              <w:t>股）</w:t>
            </w:r>
          </w:p>
        </w:tc>
        <w:tc>
          <w:tcPr>
            <w:tcW w:w="2768" w:type="dxa"/>
            <w:tcMar>
              <w:top w:w="0" w:type="dxa"/>
              <w:left w:w="108" w:type="dxa"/>
              <w:bottom w:w="0" w:type="dxa"/>
              <w:right w:w="108" w:type="dxa"/>
            </w:tcMar>
            <w:vAlign w:val="center"/>
          </w:tcPr>
          <w:p w14:paraId="530DB71B"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交易均价的</w:t>
            </w:r>
            <w:r w:rsidRPr="00B4515A">
              <w:rPr>
                <w:rFonts w:ascii="Times New Roman" w:hAnsi="Times New Roman" w:cs="Times New Roman"/>
                <w:b/>
                <w:bCs/>
                <w:sz w:val="21"/>
                <w:szCs w:val="21"/>
              </w:rPr>
              <w:t>90%</w:t>
            </w:r>
            <w:r w:rsidRPr="00B4515A">
              <w:rPr>
                <w:rFonts w:ascii="Times New Roman" w:hAnsi="Times New Roman" w:cs="Times New Roman" w:hint="eastAsia"/>
                <w:b/>
                <w:bCs/>
                <w:sz w:val="21"/>
                <w:szCs w:val="21"/>
              </w:rPr>
              <w:t>（元</w:t>
            </w:r>
            <w:r w:rsidRPr="00B4515A">
              <w:rPr>
                <w:rFonts w:ascii="Times New Roman" w:hAnsi="Times New Roman" w:cs="Times New Roman"/>
                <w:b/>
                <w:bCs/>
                <w:sz w:val="21"/>
                <w:szCs w:val="21"/>
              </w:rPr>
              <w:t>/</w:t>
            </w:r>
            <w:r w:rsidRPr="00B4515A">
              <w:rPr>
                <w:rFonts w:ascii="Times New Roman" w:hAnsi="Times New Roman" w:cs="Times New Roman" w:hint="eastAsia"/>
                <w:b/>
                <w:bCs/>
                <w:sz w:val="21"/>
                <w:szCs w:val="21"/>
              </w:rPr>
              <w:t>股）</w:t>
            </w:r>
          </w:p>
        </w:tc>
      </w:tr>
      <w:tr w:rsidR="006416B0" w:rsidRPr="00B4515A" w14:paraId="39B46DFA" w14:textId="77777777" w:rsidTr="00031627">
        <w:trPr>
          <w:trHeight w:val="340"/>
          <w:jc w:val="center"/>
        </w:trPr>
        <w:tc>
          <w:tcPr>
            <w:tcW w:w="2767" w:type="dxa"/>
            <w:tcMar>
              <w:top w:w="0" w:type="dxa"/>
              <w:left w:w="108" w:type="dxa"/>
              <w:bottom w:w="0" w:type="dxa"/>
              <w:right w:w="108" w:type="dxa"/>
            </w:tcMar>
            <w:vAlign w:val="center"/>
          </w:tcPr>
          <w:p w14:paraId="510CB32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前</w:t>
            </w:r>
            <w:r w:rsidRPr="00B4515A">
              <w:rPr>
                <w:rFonts w:ascii="Times New Roman" w:hAnsi="Times New Roman" w:cs="Times New Roman"/>
                <w:sz w:val="21"/>
                <w:szCs w:val="21"/>
              </w:rPr>
              <w:t>20</w:t>
            </w:r>
            <w:r w:rsidRPr="00B4515A">
              <w:rPr>
                <w:rFonts w:ascii="Times New Roman" w:hAnsi="Times New Roman" w:cs="Times New Roman" w:hint="eastAsia"/>
                <w:sz w:val="21"/>
                <w:szCs w:val="21"/>
              </w:rPr>
              <w:t>个交易日</w:t>
            </w:r>
          </w:p>
        </w:tc>
        <w:tc>
          <w:tcPr>
            <w:tcW w:w="2767" w:type="dxa"/>
            <w:tcMar>
              <w:top w:w="0" w:type="dxa"/>
              <w:left w:w="108" w:type="dxa"/>
              <w:bottom w:w="0" w:type="dxa"/>
              <w:right w:w="108" w:type="dxa"/>
            </w:tcMar>
            <w:vAlign w:val="center"/>
          </w:tcPr>
          <w:p w14:paraId="6F41443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6.54</w:t>
            </w:r>
          </w:p>
        </w:tc>
        <w:tc>
          <w:tcPr>
            <w:tcW w:w="2768" w:type="dxa"/>
            <w:tcMar>
              <w:top w:w="0" w:type="dxa"/>
              <w:left w:w="108" w:type="dxa"/>
              <w:bottom w:w="0" w:type="dxa"/>
              <w:right w:w="108" w:type="dxa"/>
            </w:tcMar>
            <w:vAlign w:val="center"/>
          </w:tcPr>
          <w:p w14:paraId="35E1FD0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color w:val="000000"/>
                <w:sz w:val="21"/>
                <w:szCs w:val="21"/>
              </w:rPr>
              <w:t>5.886</w:t>
            </w:r>
          </w:p>
        </w:tc>
      </w:tr>
      <w:tr w:rsidR="006416B0" w:rsidRPr="00B4515A" w14:paraId="20DC6003" w14:textId="77777777" w:rsidTr="00031627">
        <w:trPr>
          <w:trHeight w:val="340"/>
          <w:jc w:val="center"/>
        </w:trPr>
        <w:tc>
          <w:tcPr>
            <w:tcW w:w="2767" w:type="dxa"/>
            <w:tcMar>
              <w:top w:w="0" w:type="dxa"/>
              <w:left w:w="108" w:type="dxa"/>
              <w:bottom w:w="0" w:type="dxa"/>
              <w:right w:w="108" w:type="dxa"/>
            </w:tcMar>
            <w:vAlign w:val="center"/>
          </w:tcPr>
          <w:p w14:paraId="59EBDC6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前</w:t>
            </w:r>
            <w:r w:rsidRPr="00B4515A">
              <w:rPr>
                <w:rFonts w:ascii="Times New Roman" w:hAnsi="Times New Roman" w:cs="Times New Roman"/>
                <w:sz w:val="21"/>
                <w:szCs w:val="21"/>
              </w:rPr>
              <w:t>60</w:t>
            </w:r>
            <w:r w:rsidRPr="00B4515A">
              <w:rPr>
                <w:rFonts w:ascii="Times New Roman" w:hAnsi="Times New Roman" w:cs="Times New Roman" w:hint="eastAsia"/>
                <w:sz w:val="21"/>
                <w:szCs w:val="21"/>
              </w:rPr>
              <w:t>个交易日</w:t>
            </w:r>
          </w:p>
        </w:tc>
        <w:tc>
          <w:tcPr>
            <w:tcW w:w="2767" w:type="dxa"/>
            <w:tcMar>
              <w:top w:w="0" w:type="dxa"/>
              <w:left w:w="108" w:type="dxa"/>
              <w:bottom w:w="0" w:type="dxa"/>
              <w:right w:w="108" w:type="dxa"/>
            </w:tcMar>
            <w:vAlign w:val="center"/>
          </w:tcPr>
          <w:p w14:paraId="487300F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6.49</w:t>
            </w:r>
          </w:p>
        </w:tc>
        <w:tc>
          <w:tcPr>
            <w:tcW w:w="2768" w:type="dxa"/>
            <w:tcMar>
              <w:top w:w="0" w:type="dxa"/>
              <w:left w:w="108" w:type="dxa"/>
              <w:bottom w:w="0" w:type="dxa"/>
              <w:right w:w="108" w:type="dxa"/>
            </w:tcMar>
            <w:vAlign w:val="center"/>
          </w:tcPr>
          <w:p w14:paraId="7EF890E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color w:val="000000"/>
                <w:sz w:val="21"/>
                <w:szCs w:val="21"/>
              </w:rPr>
              <w:t>5.841</w:t>
            </w:r>
          </w:p>
        </w:tc>
      </w:tr>
      <w:tr w:rsidR="006416B0" w:rsidRPr="00B4515A" w14:paraId="0A5B4016" w14:textId="77777777" w:rsidTr="00031627">
        <w:trPr>
          <w:trHeight w:val="340"/>
          <w:jc w:val="center"/>
        </w:trPr>
        <w:tc>
          <w:tcPr>
            <w:tcW w:w="2767" w:type="dxa"/>
            <w:tcMar>
              <w:top w:w="0" w:type="dxa"/>
              <w:left w:w="108" w:type="dxa"/>
              <w:bottom w:w="0" w:type="dxa"/>
              <w:right w:w="108" w:type="dxa"/>
            </w:tcMar>
            <w:vAlign w:val="center"/>
          </w:tcPr>
          <w:p w14:paraId="415C286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前</w:t>
            </w:r>
            <w:r w:rsidRPr="00B4515A">
              <w:rPr>
                <w:rFonts w:ascii="Times New Roman" w:hAnsi="Times New Roman" w:cs="Times New Roman"/>
                <w:sz w:val="21"/>
                <w:szCs w:val="21"/>
              </w:rPr>
              <w:t>120</w:t>
            </w:r>
            <w:r w:rsidRPr="00B4515A">
              <w:rPr>
                <w:rFonts w:ascii="Times New Roman" w:hAnsi="Times New Roman" w:cs="Times New Roman" w:hint="eastAsia"/>
                <w:sz w:val="21"/>
                <w:szCs w:val="21"/>
              </w:rPr>
              <w:t>个交易日</w:t>
            </w:r>
          </w:p>
        </w:tc>
        <w:tc>
          <w:tcPr>
            <w:tcW w:w="2767" w:type="dxa"/>
            <w:tcMar>
              <w:top w:w="0" w:type="dxa"/>
              <w:left w:w="108" w:type="dxa"/>
              <w:bottom w:w="0" w:type="dxa"/>
              <w:right w:w="108" w:type="dxa"/>
            </w:tcMar>
            <w:vAlign w:val="center"/>
          </w:tcPr>
          <w:p w14:paraId="0787FFE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8.60</w:t>
            </w:r>
          </w:p>
        </w:tc>
        <w:tc>
          <w:tcPr>
            <w:tcW w:w="2768" w:type="dxa"/>
            <w:tcMar>
              <w:top w:w="0" w:type="dxa"/>
              <w:left w:w="108" w:type="dxa"/>
              <w:bottom w:w="0" w:type="dxa"/>
              <w:right w:w="108" w:type="dxa"/>
            </w:tcMar>
            <w:vAlign w:val="center"/>
          </w:tcPr>
          <w:p w14:paraId="0770B84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color w:val="000000"/>
                <w:sz w:val="21"/>
                <w:szCs w:val="21"/>
              </w:rPr>
              <w:t>7.740</w:t>
            </w:r>
          </w:p>
        </w:tc>
      </w:tr>
    </w:tbl>
    <w:p w14:paraId="69B644DC" w14:textId="77777777" w:rsidR="006416B0" w:rsidRPr="00B4515A" w:rsidRDefault="005E58C1" w:rsidP="005860B4">
      <w:pPr>
        <w:pStyle w:val="005"/>
        <w:spacing w:before="120" w:after="120"/>
        <w:ind w:firstLine="480"/>
      </w:pPr>
      <w:r w:rsidRPr="00B4515A">
        <w:rPr>
          <w:rFonts w:hint="eastAsia"/>
        </w:rPr>
        <w:t>本次发行股份购买资产的发行价格为</w:t>
      </w:r>
      <w:r w:rsidRPr="00B4515A">
        <w:t>5.85</w:t>
      </w:r>
      <w:r w:rsidRPr="00B4515A">
        <w:rPr>
          <w:rFonts w:hint="eastAsia"/>
        </w:rPr>
        <w:t>元</w:t>
      </w:r>
      <w:r w:rsidRPr="00B4515A">
        <w:t>/</w:t>
      </w:r>
      <w:r w:rsidRPr="00B4515A">
        <w:rPr>
          <w:rFonts w:hint="eastAsia"/>
        </w:rPr>
        <w:t>股，不低于定价基准日前</w:t>
      </w:r>
      <w:r w:rsidRPr="00B4515A">
        <w:t>60</w:t>
      </w:r>
      <w:r w:rsidRPr="00B4515A">
        <w:rPr>
          <w:rFonts w:hint="eastAsia"/>
        </w:rPr>
        <w:t>个交易日上市公司股票交易均价的</w:t>
      </w:r>
      <w:r w:rsidRPr="00B4515A">
        <w:t>90%</w:t>
      </w:r>
      <w:r w:rsidRPr="00B4515A">
        <w:rPr>
          <w:rFonts w:hint="eastAsia"/>
        </w:rPr>
        <w:t>。</w:t>
      </w:r>
    </w:p>
    <w:p w14:paraId="107CA6F5" w14:textId="77777777" w:rsidR="006416B0" w:rsidRPr="00B4515A" w:rsidRDefault="005E58C1" w:rsidP="005860B4">
      <w:pPr>
        <w:pStyle w:val="005"/>
        <w:spacing w:before="120" w:after="120"/>
        <w:ind w:firstLine="480"/>
      </w:pPr>
      <w:r w:rsidRPr="00B4515A">
        <w:rPr>
          <w:rFonts w:hint="eastAsia"/>
        </w:rPr>
        <w:t>在本次交易定价基准日至本次交易完成日期间，若上市公司发生派息、送红</w:t>
      </w:r>
      <w:r w:rsidRPr="00B4515A">
        <w:rPr>
          <w:rFonts w:hint="eastAsia"/>
        </w:rPr>
        <w:lastRenderedPageBreak/>
        <w:t>股、转增股本、增发新股或配股等除权、除息事项，则发行价格将按照法律法规及上交所的相关规定做相应调整。调整公式具体如下：</w:t>
      </w:r>
    </w:p>
    <w:p w14:paraId="191DC239" w14:textId="77777777" w:rsidR="006416B0" w:rsidRPr="00B4515A" w:rsidRDefault="005E58C1" w:rsidP="005860B4">
      <w:pPr>
        <w:pStyle w:val="005"/>
        <w:spacing w:before="120" w:after="120"/>
        <w:ind w:firstLine="480"/>
      </w:pPr>
      <w:r w:rsidRPr="00B4515A">
        <w:rPr>
          <w:rFonts w:hint="eastAsia"/>
        </w:rPr>
        <w:t>当送红股或转增股本时，按如下公式调整：</w:t>
      </w:r>
      <w:r w:rsidRPr="00B4515A">
        <w:t xml:space="preserve">P1=P0/(1+N) </w:t>
      </w:r>
    </w:p>
    <w:p w14:paraId="25B0C78C" w14:textId="77777777" w:rsidR="006416B0" w:rsidRPr="00B4515A" w:rsidRDefault="005E58C1" w:rsidP="005860B4">
      <w:pPr>
        <w:pStyle w:val="005"/>
        <w:spacing w:before="120" w:after="120"/>
        <w:ind w:firstLine="480"/>
      </w:pPr>
      <w:r w:rsidRPr="00B4515A">
        <w:rPr>
          <w:rFonts w:hint="eastAsia"/>
        </w:rPr>
        <w:t>当配股时，按如下公式调整：</w:t>
      </w:r>
      <w:r w:rsidRPr="00B4515A">
        <w:t>P1=</w:t>
      </w:r>
      <w:r w:rsidRPr="00B4515A">
        <w:rPr>
          <w:rFonts w:hint="eastAsia"/>
        </w:rPr>
        <w:t>（</w:t>
      </w:r>
      <w:r w:rsidRPr="00B4515A">
        <w:t>P0+A</w:t>
      </w:r>
      <w:r w:rsidRPr="00B4515A">
        <w:rPr>
          <w:rFonts w:hint="eastAsia"/>
        </w:rPr>
        <w:t>×</w:t>
      </w:r>
      <w:r w:rsidRPr="00B4515A">
        <w:t>K</w:t>
      </w:r>
      <w:r w:rsidRPr="00B4515A">
        <w:rPr>
          <w:rFonts w:hint="eastAsia"/>
        </w:rPr>
        <w:t>）</w:t>
      </w:r>
      <w:r w:rsidRPr="00B4515A">
        <w:t>/(1+K)</w:t>
      </w:r>
    </w:p>
    <w:p w14:paraId="09E3FA3D" w14:textId="77777777" w:rsidR="006416B0" w:rsidRPr="00B4515A" w:rsidRDefault="005E58C1" w:rsidP="005860B4">
      <w:pPr>
        <w:pStyle w:val="005"/>
        <w:spacing w:before="120" w:after="120"/>
        <w:ind w:firstLine="480"/>
      </w:pPr>
      <w:r w:rsidRPr="00B4515A">
        <w:rPr>
          <w:rFonts w:hint="eastAsia"/>
        </w:rPr>
        <w:t>上述两项同时进行时，按如下公式调整：</w:t>
      </w:r>
      <w:r w:rsidRPr="00B4515A">
        <w:t>P1=(P0+A</w:t>
      </w:r>
      <w:r w:rsidRPr="00B4515A">
        <w:rPr>
          <w:rFonts w:hint="eastAsia"/>
        </w:rPr>
        <w:t>×</w:t>
      </w:r>
      <w:r w:rsidRPr="00B4515A">
        <w:t>K</w:t>
      </w:r>
      <w:r w:rsidRPr="00B4515A">
        <w:rPr>
          <w:rFonts w:hint="eastAsia"/>
        </w:rPr>
        <w:t>）</w:t>
      </w:r>
      <w:r w:rsidRPr="00B4515A">
        <w:t>/(1+N+K)</w:t>
      </w:r>
    </w:p>
    <w:p w14:paraId="0A03A85E" w14:textId="77777777" w:rsidR="006416B0" w:rsidRPr="00B4515A" w:rsidRDefault="005E58C1" w:rsidP="005860B4">
      <w:pPr>
        <w:pStyle w:val="005"/>
        <w:spacing w:before="120" w:after="120"/>
        <w:ind w:firstLine="480"/>
      </w:pPr>
      <w:r w:rsidRPr="00B4515A">
        <w:rPr>
          <w:rFonts w:hint="eastAsia"/>
        </w:rPr>
        <w:t>当派发现金股利时，按如下公式调整：</w:t>
      </w:r>
      <w:r w:rsidRPr="00B4515A">
        <w:t>P1=P0-D</w:t>
      </w:r>
    </w:p>
    <w:p w14:paraId="495EC616" w14:textId="77777777" w:rsidR="006416B0" w:rsidRPr="00B4515A" w:rsidRDefault="005E58C1" w:rsidP="005860B4">
      <w:pPr>
        <w:pStyle w:val="005"/>
        <w:spacing w:before="120" w:after="120"/>
        <w:ind w:firstLine="480"/>
      </w:pPr>
      <w:r w:rsidRPr="00B4515A">
        <w:rPr>
          <w:rFonts w:hint="eastAsia"/>
        </w:rPr>
        <w:t>当上述三项同时进行时，按如下公式调整：</w:t>
      </w:r>
      <w:r w:rsidRPr="00B4515A">
        <w:t>P1=(P0-D+A</w:t>
      </w:r>
      <w:r w:rsidRPr="00B4515A">
        <w:rPr>
          <w:rFonts w:hint="eastAsia"/>
        </w:rPr>
        <w:t>×</w:t>
      </w:r>
      <w:r w:rsidRPr="00B4515A">
        <w:t>K)/(1+N+K)</w:t>
      </w:r>
    </w:p>
    <w:p w14:paraId="53E20CB6" w14:textId="2B462472" w:rsidR="006416B0" w:rsidRPr="00B4515A" w:rsidRDefault="005E58C1" w:rsidP="002B0582">
      <w:pPr>
        <w:pStyle w:val="005"/>
        <w:spacing w:before="120" w:after="120"/>
        <w:ind w:firstLine="480"/>
      </w:pPr>
      <w:r w:rsidRPr="00B4515A">
        <w:rPr>
          <w:rFonts w:hint="eastAsia"/>
        </w:rPr>
        <w:t>其中</w:t>
      </w:r>
      <w:r w:rsidR="00201C23" w:rsidRPr="00B4515A">
        <w:rPr>
          <w:rFonts w:hint="eastAsia"/>
        </w:rPr>
        <w:t>：</w:t>
      </w:r>
    </w:p>
    <w:p w14:paraId="220E9057" w14:textId="77777777" w:rsidR="006416B0" w:rsidRPr="00B4515A" w:rsidRDefault="005E58C1" w:rsidP="005860B4">
      <w:pPr>
        <w:pStyle w:val="005"/>
        <w:spacing w:before="120" w:after="120"/>
        <w:ind w:firstLine="480"/>
      </w:pPr>
      <w:r w:rsidRPr="00B4515A">
        <w:t xml:space="preserve">P0 </w:t>
      </w:r>
      <w:r w:rsidRPr="00B4515A">
        <w:rPr>
          <w:rFonts w:hint="eastAsia"/>
        </w:rPr>
        <w:t>为调整前有效的发行价格</w:t>
      </w:r>
    </w:p>
    <w:p w14:paraId="23C41480" w14:textId="77777777" w:rsidR="006416B0" w:rsidRPr="00B4515A" w:rsidRDefault="005E58C1" w:rsidP="005860B4">
      <w:pPr>
        <w:pStyle w:val="005"/>
        <w:spacing w:before="120" w:after="120"/>
        <w:ind w:firstLine="480"/>
      </w:pPr>
      <w:r w:rsidRPr="00B4515A">
        <w:t xml:space="preserve">P1 </w:t>
      </w:r>
      <w:r w:rsidRPr="00B4515A">
        <w:rPr>
          <w:rFonts w:hint="eastAsia"/>
        </w:rPr>
        <w:t>为调整后有效的发行价格</w:t>
      </w:r>
    </w:p>
    <w:p w14:paraId="34534380" w14:textId="77777777" w:rsidR="006416B0" w:rsidRPr="00B4515A" w:rsidRDefault="005E58C1" w:rsidP="005860B4">
      <w:pPr>
        <w:pStyle w:val="005"/>
        <w:spacing w:before="120" w:after="120"/>
        <w:ind w:firstLine="480"/>
      </w:pPr>
      <w:r w:rsidRPr="00B4515A">
        <w:t xml:space="preserve">D </w:t>
      </w:r>
      <w:r w:rsidRPr="00B4515A">
        <w:rPr>
          <w:rFonts w:hint="eastAsia"/>
        </w:rPr>
        <w:t>为该次每股派发现金股利</w:t>
      </w:r>
    </w:p>
    <w:p w14:paraId="79514689" w14:textId="3CF0F012" w:rsidR="006416B0" w:rsidRPr="00B4515A" w:rsidRDefault="005E58C1" w:rsidP="002B0582">
      <w:pPr>
        <w:pStyle w:val="005"/>
        <w:spacing w:before="120" w:after="120"/>
        <w:ind w:firstLine="480"/>
      </w:pPr>
      <w:r w:rsidRPr="00B4515A">
        <w:t xml:space="preserve">N </w:t>
      </w:r>
      <w:r w:rsidRPr="00B4515A">
        <w:rPr>
          <w:rFonts w:hint="eastAsia"/>
        </w:rPr>
        <w:t>为该次送股率或转增股本率</w:t>
      </w:r>
    </w:p>
    <w:p w14:paraId="3E0BE916" w14:textId="77777777" w:rsidR="006416B0" w:rsidRPr="00B4515A" w:rsidRDefault="005E58C1" w:rsidP="005860B4">
      <w:pPr>
        <w:pStyle w:val="005"/>
        <w:spacing w:before="120" w:after="120"/>
        <w:ind w:firstLine="480"/>
      </w:pPr>
      <w:r w:rsidRPr="00B4515A">
        <w:t xml:space="preserve">K </w:t>
      </w:r>
      <w:r w:rsidRPr="00B4515A">
        <w:rPr>
          <w:rFonts w:hint="eastAsia"/>
        </w:rPr>
        <w:t>为配股率</w:t>
      </w:r>
    </w:p>
    <w:p w14:paraId="69F9B972" w14:textId="77777777" w:rsidR="006416B0" w:rsidRPr="00B4515A" w:rsidRDefault="005E58C1" w:rsidP="005860B4">
      <w:pPr>
        <w:pStyle w:val="005"/>
        <w:spacing w:before="120" w:after="120"/>
        <w:ind w:firstLine="480"/>
      </w:pPr>
      <w:r w:rsidRPr="00B4515A">
        <w:t xml:space="preserve">A </w:t>
      </w:r>
      <w:r w:rsidRPr="00B4515A">
        <w:rPr>
          <w:rFonts w:hint="eastAsia"/>
        </w:rPr>
        <w:t>为配股价</w:t>
      </w:r>
    </w:p>
    <w:p w14:paraId="2C4C3D0E" w14:textId="77777777" w:rsidR="006416B0" w:rsidRPr="00B4515A" w:rsidRDefault="005E58C1" w:rsidP="005860B4">
      <w:pPr>
        <w:pStyle w:val="003"/>
        <w:spacing w:before="120"/>
        <w:ind w:firstLine="482"/>
      </w:pPr>
      <w:r w:rsidRPr="00B4515A">
        <w:rPr>
          <w:rFonts w:hint="eastAsia"/>
        </w:rPr>
        <w:t>（三）发行对象与认购方式</w:t>
      </w:r>
    </w:p>
    <w:p w14:paraId="03CF187B" w14:textId="0F419395" w:rsidR="006416B0" w:rsidRPr="00B4515A" w:rsidRDefault="005E58C1" w:rsidP="005860B4">
      <w:pPr>
        <w:pStyle w:val="005"/>
        <w:spacing w:before="120" w:after="120"/>
        <w:ind w:firstLine="480"/>
      </w:pPr>
      <w:r w:rsidRPr="00B4515A">
        <w:rPr>
          <w:rFonts w:hint="eastAsia"/>
        </w:rPr>
        <w:t>本次发行股份购买资产的发行对象为电信科研院、大唐控股、</w:t>
      </w:r>
      <w:r w:rsidR="00252376" w:rsidRPr="00B4515A">
        <w:rPr>
          <w:rFonts w:hint="eastAsia"/>
        </w:rPr>
        <w:t>长江移动基金</w:t>
      </w:r>
      <w:r w:rsidRPr="00B4515A">
        <w:rPr>
          <w:rFonts w:hint="eastAsia"/>
        </w:rPr>
        <w:t>、结构调整基金及金融街资本，发行对象以其分别持有的标的公司股权</w:t>
      </w:r>
      <w:r w:rsidRPr="00B4515A">
        <w:t>认购本次发行的股份。</w:t>
      </w:r>
    </w:p>
    <w:p w14:paraId="3AEAEAB8" w14:textId="77777777" w:rsidR="006416B0" w:rsidRPr="00B4515A" w:rsidRDefault="005E58C1" w:rsidP="005860B4">
      <w:pPr>
        <w:pStyle w:val="003"/>
        <w:spacing w:before="120"/>
        <w:ind w:firstLine="482"/>
      </w:pPr>
      <w:r w:rsidRPr="00B4515A">
        <w:rPr>
          <w:rFonts w:hint="eastAsia"/>
        </w:rPr>
        <w:t>（四）发行数量</w:t>
      </w:r>
    </w:p>
    <w:p w14:paraId="613B6BFC" w14:textId="77777777" w:rsidR="006416B0" w:rsidRPr="00B4515A" w:rsidRDefault="005E58C1" w:rsidP="005860B4">
      <w:pPr>
        <w:pStyle w:val="005"/>
        <w:spacing w:before="120" w:after="120"/>
        <w:ind w:firstLine="480"/>
      </w:pPr>
      <w:r w:rsidRPr="00B4515A">
        <w:rPr>
          <w:rFonts w:hint="eastAsia"/>
        </w:rPr>
        <w:t>本次发行股份购买资产的发行股份数量应按照以下公式进行计算：</w:t>
      </w:r>
    </w:p>
    <w:p w14:paraId="3FAA85E7" w14:textId="0236C766" w:rsidR="006416B0" w:rsidRPr="00B4515A" w:rsidRDefault="005E58C1" w:rsidP="005860B4">
      <w:pPr>
        <w:pStyle w:val="005"/>
        <w:spacing w:before="120" w:after="120"/>
        <w:ind w:firstLine="480"/>
      </w:pPr>
      <w:r w:rsidRPr="00B4515A">
        <w:rPr>
          <w:rFonts w:hint="eastAsia"/>
        </w:rPr>
        <w:t>本次发行股份购买资产向各交易对方发行的股份数量</w:t>
      </w:r>
      <w:r w:rsidRPr="00B4515A">
        <w:t>=</w:t>
      </w:r>
      <w:r w:rsidRPr="00B4515A">
        <w:rPr>
          <w:rFonts w:hint="eastAsia"/>
        </w:rPr>
        <w:t>以发行股份形式向各交易对方支付的交易对价（具体为标的公司的评估值与交易对方分别在本次交易前持有标的公司股权的比例乘积）</w:t>
      </w:r>
      <w:r w:rsidRPr="00B4515A">
        <w:t>/</w:t>
      </w:r>
      <w:r w:rsidRPr="00B4515A">
        <w:rPr>
          <w:rFonts w:hint="eastAsia"/>
        </w:rPr>
        <w:t>本次发行股份购买资产的发行价格</w:t>
      </w:r>
      <w:r w:rsidR="00F964DD" w:rsidRPr="00B4515A">
        <w:rPr>
          <w:rFonts w:hint="eastAsia"/>
        </w:rPr>
        <w:t>。</w:t>
      </w:r>
      <w:r w:rsidRPr="00B4515A">
        <w:rPr>
          <w:rFonts w:hint="eastAsia"/>
        </w:rPr>
        <w:t>本次发行股份购买资产所发行股份的总数量</w:t>
      </w:r>
      <w:r w:rsidRPr="00B4515A">
        <w:t>=</w:t>
      </w:r>
      <w:r w:rsidRPr="00B4515A">
        <w:rPr>
          <w:rFonts w:hint="eastAsia"/>
        </w:rPr>
        <w:t>向各交易对方发行股份数量之和。</w:t>
      </w:r>
    </w:p>
    <w:p w14:paraId="0BDFC337" w14:textId="77777777" w:rsidR="006416B0" w:rsidRPr="00B4515A" w:rsidRDefault="005E58C1" w:rsidP="005860B4">
      <w:pPr>
        <w:pStyle w:val="005"/>
        <w:spacing w:before="120" w:after="120"/>
        <w:ind w:firstLine="480"/>
      </w:pPr>
      <w:r w:rsidRPr="00B4515A">
        <w:rPr>
          <w:rFonts w:hint="eastAsia"/>
        </w:rPr>
        <w:t>按上述公式计算的交易对方取得新增股份数量按照向下取整精确至股，不足</w:t>
      </w:r>
      <w:r w:rsidRPr="00B4515A">
        <w:rPr>
          <w:rFonts w:hint="eastAsia"/>
        </w:rPr>
        <w:lastRenderedPageBreak/>
        <w:t>一股的交易对方自愿放弃。</w:t>
      </w:r>
    </w:p>
    <w:p w14:paraId="2250D5B8" w14:textId="77777777" w:rsidR="006416B0" w:rsidRPr="00B4515A" w:rsidRDefault="005E58C1" w:rsidP="005860B4">
      <w:pPr>
        <w:pStyle w:val="005"/>
        <w:spacing w:before="120" w:after="120"/>
        <w:ind w:firstLine="480"/>
      </w:pPr>
      <w:r w:rsidRPr="00B4515A">
        <w:rPr>
          <w:rFonts w:hint="eastAsia"/>
        </w:rPr>
        <w:t>本次重组中，标的公司</w:t>
      </w:r>
      <w:r w:rsidRPr="00B4515A">
        <w:rPr>
          <w:rFonts w:hint="eastAsia"/>
        </w:rPr>
        <w:t>9</w:t>
      </w:r>
      <w:r w:rsidRPr="00B4515A">
        <w:t>5.001%</w:t>
      </w:r>
      <w:r w:rsidRPr="00B4515A">
        <w:rPr>
          <w:rFonts w:hint="eastAsia"/>
        </w:rPr>
        <w:t>股权的交易作价为</w:t>
      </w:r>
      <w:r w:rsidRPr="00B4515A">
        <w:t>1,408,450,340.64</w:t>
      </w:r>
      <w:r w:rsidRPr="00B4515A">
        <w:rPr>
          <w:rFonts w:hint="eastAsia"/>
        </w:rPr>
        <w:t>元，发行价格为</w:t>
      </w:r>
      <w:r w:rsidRPr="00B4515A">
        <w:rPr>
          <w:rFonts w:hint="eastAsia"/>
        </w:rPr>
        <w:t>5.85</w:t>
      </w:r>
      <w:r w:rsidRPr="00B4515A">
        <w:rPr>
          <w:rFonts w:hint="eastAsia"/>
        </w:rPr>
        <w:t>元</w:t>
      </w:r>
      <w:r w:rsidRPr="00B4515A">
        <w:rPr>
          <w:rFonts w:hint="eastAsia"/>
        </w:rPr>
        <w:t>/</w:t>
      </w:r>
      <w:r w:rsidRPr="00B4515A">
        <w:rPr>
          <w:rFonts w:hint="eastAsia"/>
        </w:rPr>
        <w:t>股。按照上述公式计算，上市公司本次发行股份购买资产所涉及的发行股票数量总计</w:t>
      </w:r>
      <w:r w:rsidRPr="00B4515A">
        <w:t>240,760,740</w:t>
      </w:r>
      <w:r w:rsidRPr="00B4515A">
        <w:rPr>
          <w:rFonts w:hint="eastAsia"/>
        </w:rPr>
        <w:t>股，具体如下：</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23"/>
        <w:gridCol w:w="2007"/>
        <w:gridCol w:w="1745"/>
        <w:gridCol w:w="1276"/>
        <w:gridCol w:w="1598"/>
        <w:gridCol w:w="1179"/>
      </w:tblGrid>
      <w:tr w:rsidR="006416B0" w:rsidRPr="00B4515A" w14:paraId="343A05A5" w14:textId="77777777" w:rsidTr="005860B4">
        <w:trPr>
          <w:trHeight w:val="340"/>
          <w:jc w:val="center"/>
        </w:trPr>
        <w:tc>
          <w:tcPr>
            <w:tcW w:w="424" w:type="pct"/>
            <w:tcMar>
              <w:top w:w="0" w:type="dxa"/>
              <w:left w:w="108" w:type="dxa"/>
              <w:bottom w:w="0" w:type="dxa"/>
              <w:right w:w="108" w:type="dxa"/>
            </w:tcMar>
            <w:vAlign w:val="center"/>
          </w:tcPr>
          <w:p w14:paraId="1223CB4A" w14:textId="77777777" w:rsidR="006416B0" w:rsidRPr="00B4515A" w:rsidRDefault="005E58C1" w:rsidP="005860B4">
            <w:pPr>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b/>
                <w:bCs/>
                <w:color w:val="000000"/>
                <w:spacing w:val="-2"/>
                <w:sz w:val="21"/>
                <w:szCs w:val="21"/>
              </w:rPr>
              <w:t>序号</w:t>
            </w:r>
          </w:p>
        </w:tc>
        <w:tc>
          <w:tcPr>
            <w:tcW w:w="1176" w:type="pct"/>
            <w:tcMar>
              <w:top w:w="0" w:type="dxa"/>
              <w:left w:w="108" w:type="dxa"/>
              <w:bottom w:w="0" w:type="dxa"/>
              <w:right w:w="108" w:type="dxa"/>
            </w:tcMar>
            <w:vAlign w:val="center"/>
          </w:tcPr>
          <w:p w14:paraId="023A8863" w14:textId="77777777" w:rsidR="006416B0" w:rsidRPr="00B4515A" w:rsidRDefault="005E58C1" w:rsidP="005860B4">
            <w:pPr>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b/>
                <w:bCs/>
                <w:color w:val="000000"/>
                <w:spacing w:val="-2"/>
                <w:sz w:val="21"/>
                <w:szCs w:val="21"/>
              </w:rPr>
              <w:t>交易对方</w:t>
            </w:r>
          </w:p>
        </w:tc>
        <w:tc>
          <w:tcPr>
            <w:tcW w:w="1023" w:type="pct"/>
            <w:tcMar>
              <w:top w:w="0" w:type="dxa"/>
              <w:left w:w="108" w:type="dxa"/>
              <w:bottom w:w="0" w:type="dxa"/>
              <w:right w:w="108" w:type="dxa"/>
            </w:tcMar>
            <w:vAlign w:val="center"/>
          </w:tcPr>
          <w:p w14:paraId="1A8F01C7" w14:textId="77777777" w:rsidR="006416B0" w:rsidRPr="00B4515A" w:rsidRDefault="005E58C1" w:rsidP="005860B4">
            <w:pPr>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hint="eastAsia"/>
                <w:b/>
                <w:bCs/>
                <w:color w:val="000000"/>
                <w:spacing w:val="8"/>
                <w:sz w:val="21"/>
                <w:szCs w:val="21"/>
              </w:rPr>
              <w:t>拟转让</w:t>
            </w:r>
            <w:r w:rsidRPr="00B4515A">
              <w:rPr>
                <w:rFonts w:ascii="Times New Roman" w:hAnsi="Times New Roman" w:cs="Times New Roman"/>
                <w:b/>
                <w:bCs/>
                <w:color w:val="000000"/>
                <w:spacing w:val="8"/>
                <w:sz w:val="21"/>
                <w:szCs w:val="21"/>
              </w:rPr>
              <w:t>出资额（万元）</w:t>
            </w:r>
          </w:p>
        </w:tc>
        <w:tc>
          <w:tcPr>
            <w:tcW w:w="748" w:type="pct"/>
            <w:tcMar>
              <w:top w:w="0" w:type="dxa"/>
              <w:left w:w="108" w:type="dxa"/>
              <w:bottom w:w="0" w:type="dxa"/>
              <w:right w:w="108" w:type="dxa"/>
            </w:tcMar>
            <w:vAlign w:val="center"/>
          </w:tcPr>
          <w:p w14:paraId="471836B9" w14:textId="77777777" w:rsidR="005860B4" w:rsidRPr="00B4515A" w:rsidRDefault="005E58C1" w:rsidP="005860B4">
            <w:pPr>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hint="eastAsia"/>
                <w:b/>
                <w:bCs/>
                <w:color w:val="000000"/>
                <w:spacing w:val="8"/>
                <w:sz w:val="21"/>
                <w:szCs w:val="21"/>
              </w:rPr>
              <w:t>占标的公司</w:t>
            </w:r>
            <w:r w:rsidRPr="00B4515A">
              <w:rPr>
                <w:rFonts w:ascii="Times New Roman" w:hAnsi="Times New Roman" w:cs="Times New Roman"/>
                <w:b/>
                <w:bCs/>
                <w:color w:val="000000"/>
                <w:spacing w:val="8"/>
                <w:sz w:val="21"/>
                <w:szCs w:val="21"/>
              </w:rPr>
              <w:t>出资</w:t>
            </w:r>
          </w:p>
          <w:p w14:paraId="7B43F187" w14:textId="06F836AB" w:rsidR="006416B0" w:rsidRPr="00B4515A" w:rsidRDefault="005E58C1" w:rsidP="005860B4">
            <w:pPr>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b/>
                <w:bCs/>
                <w:color w:val="000000"/>
                <w:spacing w:val="8"/>
                <w:sz w:val="21"/>
                <w:szCs w:val="21"/>
              </w:rPr>
              <w:t>比例</w:t>
            </w:r>
          </w:p>
        </w:tc>
        <w:tc>
          <w:tcPr>
            <w:tcW w:w="937" w:type="pct"/>
            <w:tcMar>
              <w:top w:w="0" w:type="dxa"/>
              <w:left w:w="108" w:type="dxa"/>
              <w:bottom w:w="0" w:type="dxa"/>
              <w:right w:w="108" w:type="dxa"/>
            </w:tcMar>
            <w:vAlign w:val="center"/>
          </w:tcPr>
          <w:p w14:paraId="7895CEC3" w14:textId="77777777" w:rsidR="006416B0" w:rsidRPr="00B4515A" w:rsidRDefault="005E58C1" w:rsidP="005860B4">
            <w:pPr>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b/>
                <w:bCs/>
                <w:color w:val="000000"/>
                <w:spacing w:val="8"/>
                <w:sz w:val="21"/>
                <w:szCs w:val="21"/>
              </w:rPr>
              <w:t>对价股份数额（股）</w:t>
            </w:r>
          </w:p>
        </w:tc>
        <w:tc>
          <w:tcPr>
            <w:tcW w:w="691" w:type="pct"/>
            <w:tcMar>
              <w:top w:w="0" w:type="dxa"/>
              <w:left w:w="108" w:type="dxa"/>
              <w:bottom w:w="0" w:type="dxa"/>
              <w:right w:w="108" w:type="dxa"/>
            </w:tcMar>
            <w:vAlign w:val="center"/>
          </w:tcPr>
          <w:p w14:paraId="2629FF75" w14:textId="77777777" w:rsidR="006416B0" w:rsidRPr="00B4515A" w:rsidRDefault="005E58C1" w:rsidP="005860B4">
            <w:pPr>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hint="eastAsia"/>
                <w:b/>
                <w:bCs/>
                <w:color w:val="000000"/>
                <w:spacing w:val="8"/>
                <w:sz w:val="21"/>
                <w:szCs w:val="21"/>
              </w:rPr>
              <w:t>占发行后股本总额的比例</w:t>
            </w:r>
          </w:p>
        </w:tc>
      </w:tr>
      <w:tr w:rsidR="006416B0" w:rsidRPr="00B4515A" w14:paraId="7A977964" w14:textId="77777777" w:rsidTr="005860B4">
        <w:trPr>
          <w:trHeight w:val="340"/>
          <w:jc w:val="center"/>
        </w:trPr>
        <w:tc>
          <w:tcPr>
            <w:tcW w:w="424" w:type="pct"/>
            <w:tcMar>
              <w:top w:w="0" w:type="dxa"/>
              <w:left w:w="108" w:type="dxa"/>
              <w:bottom w:w="0" w:type="dxa"/>
              <w:right w:w="108" w:type="dxa"/>
            </w:tcMar>
            <w:vAlign w:val="center"/>
          </w:tcPr>
          <w:p w14:paraId="30F75220"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1</w:t>
            </w:r>
          </w:p>
        </w:tc>
        <w:tc>
          <w:tcPr>
            <w:tcW w:w="1176" w:type="pct"/>
            <w:tcMar>
              <w:top w:w="0" w:type="dxa"/>
              <w:left w:w="108" w:type="dxa"/>
              <w:bottom w:w="0" w:type="dxa"/>
              <w:right w:w="108" w:type="dxa"/>
            </w:tcMar>
            <w:vAlign w:val="center"/>
          </w:tcPr>
          <w:p w14:paraId="1B165E88" w14:textId="77777777" w:rsidR="006416B0" w:rsidRPr="00B4515A" w:rsidRDefault="005E58C1" w:rsidP="005860B4">
            <w:pPr>
              <w:adjustRightInd w:val="0"/>
              <w:snapToGrid w:val="0"/>
              <w:rPr>
                <w:rFonts w:ascii="Times New Roman" w:hAnsi="Times New Roman" w:cs="Times New Roman"/>
                <w:color w:val="000000"/>
                <w:spacing w:val="-2"/>
                <w:sz w:val="21"/>
                <w:szCs w:val="21"/>
              </w:rPr>
            </w:pPr>
            <w:r w:rsidRPr="00B4515A">
              <w:rPr>
                <w:rFonts w:ascii="Times New Roman" w:hAnsi="Times New Roman" w:cs="Times New Roman"/>
                <w:color w:val="000000"/>
                <w:spacing w:val="8"/>
                <w:sz w:val="21"/>
                <w:szCs w:val="21"/>
              </w:rPr>
              <w:t>电信科学技术研究院有限公司</w:t>
            </w:r>
          </w:p>
        </w:tc>
        <w:tc>
          <w:tcPr>
            <w:tcW w:w="1023" w:type="pct"/>
            <w:tcMar>
              <w:top w:w="0" w:type="dxa"/>
              <w:left w:w="108" w:type="dxa"/>
              <w:bottom w:w="0" w:type="dxa"/>
              <w:right w:w="108" w:type="dxa"/>
            </w:tcMar>
            <w:vAlign w:val="center"/>
          </w:tcPr>
          <w:p w14:paraId="4435572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61,559.283849</w:t>
            </w:r>
          </w:p>
        </w:tc>
        <w:tc>
          <w:tcPr>
            <w:tcW w:w="748" w:type="pct"/>
            <w:tcMar>
              <w:top w:w="0" w:type="dxa"/>
              <w:left w:w="108" w:type="dxa"/>
              <w:bottom w:w="0" w:type="dxa"/>
              <w:right w:w="108" w:type="dxa"/>
            </w:tcMar>
            <w:vAlign w:val="center"/>
          </w:tcPr>
          <w:p w14:paraId="4D5C7104"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56.798</w:t>
            </w:r>
            <w:r w:rsidRPr="00B4515A">
              <w:rPr>
                <w:rFonts w:ascii="Times New Roman" w:hAnsi="Times New Roman" w:cs="Times New Roman"/>
                <w:b/>
                <w:bCs/>
                <w:color w:val="000000"/>
                <w:spacing w:val="8"/>
                <w:sz w:val="21"/>
                <w:szCs w:val="21"/>
              </w:rPr>
              <w:t>%</w:t>
            </w:r>
          </w:p>
        </w:tc>
        <w:tc>
          <w:tcPr>
            <w:tcW w:w="937" w:type="pct"/>
            <w:shd w:val="clear" w:color="auto" w:fill="auto"/>
            <w:tcMar>
              <w:top w:w="0" w:type="dxa"/>
              <w:left w:w="108" w:type="dxa"/>
              <w:bottom w:w="0" w:type="dxa"/>
              <w:right w:w="108" w:type="dxa"/>
            </w:tcMar>
            <w:vAlign w:val="center"/>
          </w:tcPr>
          <w:p w14:paraId="6E68931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143,942,996</w:t>
            </w:r>
          </w:p>
        </w:tc>
        <w:tc>
          <w:tcPr>
            <w:tcW w:w="691" w:type="pct"/>
            <w:tcMar>
              <w:top w:w="0" w:type="dxa"/>
              <w:left w:w="108" w:type="dxa"/>
              <w:bottom w:w="0" w:type="dxa"/>
              <w:right w:w="108" w:type="dxa"/>
            </w:tcMar>
            <w:vAlign w:val="center"/>
          </w:tcPr>
          <w:p w14:paraId="3CE00E7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12.82%</w:t>
            </w:r>
          </w:p>
        </w:tc>
      </w:tr>
      <w:tr w:rsidR="006416B0" w:rsidRPr="00B4515A" w14:paraId="0BFA09B3" w14:textId="77777777" w:rsidTr="005860B4">
        <w:trPr>
          <w:trHeight w:val="340"/>
          <w:jc w:val="center"/>
        </w:trPr>
        <w:tc>
          <w:tcPr>
            <w:tcW w:w="424" w:type="pct"/>
            <w:tcMar>
              <w:top w:w="0" w:type="dxa"/>
              <w:left w:w="108" w:type="dxa"/>
              <w:bottom w:w="0" w:type="dxa"/>
              <w:right w:w="108" w:type="dxa"/>
            </w:tcMar>
            <w:vAlign w:val="center"/>
          </w:tcPr>
          <w:p w14:paraId="2018D7D5"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2</w:t>
            </w:r>
          </w:p>
        </w:tc>
        <w:tc>
          <w:tcPr>
            <w:tcW w:w="1176" w:type="pct"/>
            <w:tcMar>
              <w:top w:w="0" w:type="dxa"/>
              <w:left w:w="108" w:type="dxa"/>
              <w:bottom w:w="0" w:type="dxa"/>
              <w:right w:w="108" w:type="dxa"/>
            </w:tcMar>
            <w:vAlign w:val="center"/>
          </w:tcPr>
          <w:p w14:paraId="741CCC6F" w14:textId="77777777" w:rsidR="006416B0" w:rsidRPr="00B4515A" w:rsidRDefault="005E58C1" w:rsidP="005860B4">
            <w:pPr>
              <w:adjustRightInd w:val="0"/>
              <w:snapToGrid w:val="0"/>
              <w:rPr>
                <w:rFonts w:ascii="Times New Roman" w:hAnsi="Times New Roman" w:cs="Times New Roman"/>
                <w:color w:val="000000"/>
                <w:spacing w:val="-2"/>
                <w:sz w:val="21"/>
                <w:szCs w:val="21"/>
              </w:rPr>
            </w:pPr>
            <w:r w:rsidRPr="00B4515A">
              <w:rPr>
                <w:rFonts w:ascii="Times New Roman" w:hAnsi="Times New Roman" w:cs="Times New Roman"/>
                <w:color w:val="000000"/>
                <w:spacing w:val="8"/>
                <w:sz w:val="21"/>
                <w:szCs w:val="21"/>
              </w:rPr>
              <w:t>大唐电信科技产业控股有限公司</w:t>
            </w:r>
          </w:p>
        </w:tc>
        <w:tc>
          <w:tcPr>
            <w:tcW w:w="1023" w:type="pct"/>
            <w:tcMar>
              <w:top w:w="0" w:type="dxa"/>
              <w:left w:w="108" w:type="dxa"/>
              <w:bottom w:w="0" w:type="dxa"/>
              <w:right w:w="108" w:type="dxa"/>
            </w:tcMar>
            <w:vAlign w:val="center"/>
          </w:tcPr>
          <w:p w14:paraId="0FDBB82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3,326.00</w:t>
            </w:r>
          </w:p>
        </w:tc>
        <w:tc>
          <w:tcPr>
            <w:tcW w:w="748" w:type="pct"/>
            <w:tcMar>
              <w:top w:w="0" w:type="dxa"/>
              <w:left w:w="108" w:type="dxa"/>
              <w:bottom w:w="0" w:type="dxa"/>
              <w:right w:w="108" w:type="dxa"/>
            </w:tcMar>
            <w:vAlign w:val="center"/>
          </w:tcPr>
          <w:p w14:paraId="7B34BDDB"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3.069</w:t>
            </w:r>
            <w:r w:rsidRPr="00B4515A">
              <w:rPr>
                <w:rFonts w:ascii="Times New Roman" w:hAnsi="Times New Roman" w:cs="Times New Roman"/>
                <w:b/>
                <w:bCs/>
                <w:color w:val="000000"/>
                <w:spacing w:val="8"/>
                <w:sz w:val="21"/>
                <w:szCs w:val="21"/>
              </w:rPr>
              <w:t>%</w:t>
            </w:r>
          </w:p>
        </w:tc>
        <w:tc>
          <w:tcPr>
            <w:tcW w:w="937" w:type="pct"/>
            <w:shd w:val="clear" w:color="auto" w:fill="auto"/>
            <w:tcMar>
              <w:top w:w="0" w:type="dxa"/>
              <w:left w:w="108" w:type="dxa"/>
              <w:bottom w:w="0" w:type="dxa"/>
              <w:right w:w="108" w:type="dxa"/>
            </w:tcMar>
            <w:vAlign w:val="center"/>
          </w:tcPr>
          <w:p w14:paraId="316466E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7,777,757</w:t>
            </w:r>
          </w:p>
        </w:tc>
        <w:tc>
          <w:tcPr>
            <w:tcW w:w="691" w:type="pct"/>
            <w:tcMar>
              <w:top w:w="0" w:type="dxa"/>
              <w:left w:w="108" w:type="dxa"/>
              <w:bottom w:w="0" w:type="dxa"/>
              <w:right w:w="108" w:type="dxa"/>
            </w:tcMar>
            <w:vAlign w:val="center"/>
          </w:tcPr>
          <w:p w14:paraId="73CC9EE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0.69%</w:t>
            </w:r>
          </w:p>
        </w:tc>
      </w:tr>
      <w:tr w:rsidR="006416B0" w:rsidRPr="00B4515A" w14:paraId="41128FAF" w14:textId="77777777" w:rsidTr="005860B4">
        <w:trPr>
          <w:trHeight w:val="340"/>
          <w:jc w:val="center"/>
        </w:trPr>
        <w:tc>
          <w:tcPr>
            <w:tcW w:w="424" w:type="pct"/>
            <w:tcMar>
              <w:top w:w="0" w:type="dxa"/>
              <w:left w:w="108" w:type="dxa"/>
              <w:bottom w:w="0" w:type="dxa"/>
              <w:right w:w="108" w:type="dxa"/>
            </w:tcMar>
            <w:vAlign w:val="center"/>
          </w:tcPr>
          <w:p w14:paraId="1252C79C"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3</w:t>
            </w:r>
          </w:p>
        </w:tc>
        <w:tc>
          <w:tcPr>
            <w:tcW w:w="1176" w:type="pct"/>
            <w:tcMar>
              <w:top w:w="0" w:type="dxa"/>
              <w:left w:w="108" w:type="dxa"/>
              <w:bottom w:w="0" w:type="dxa"/>
              <w:right w:w="108" w:type="dxa"/>
            </w:tcMar>
            <w:vAlign w:val="center"/>
          </w:tcPr>
          <w:p w14:paraId="0CC06C43" w14:textId="77777777" w:rsidR="006416B0" w:rsidRPr="00B4515A" w:rsidRDefault="005E58C1" w:rsidP="005860B4">
            <w:pPr>
              <w:adjustRightInd w:val="0"/>
              <w:snapToGrid w:val="0"/>
              <w:rPr>
                <w:rFonts w:ascii="Times New Roman" w:hAnsi="Times New Roman" w:cs="Times New Roman"/>
                <w:color w:val="000000"/>
                <w:spacing w:val="-2"/>
                <w:sz w:val="21"/>
                <w:szCs w:val="21"/>
              </w:rPr>
            </w:pPr>
            <w:r w:rsidRPr="00B4515A">
              <w:rPr>
                <w:rFonts w:ascii="Times New Roman" w:hAnsi="Times New Roman" w:cs="Times New Roman"/>
                <w:color w:val="000000"/>
                <w:spacing w:val="8"/>
                <w:sz w:val="21"/>
                <w:szCs w:val="21"/>
              </w:rPr>
              <w:t>湖北长江中信科移动通信技术产业投资基金合伙企业（有限合伙）</w:t>
            </w:r>
          </w:p>
        </w:tc>
        <w:tc>
          <w:tcPr>
            <w:tcW w:w="1023" w:type="pct"/>
            <w:tcMar>
              <w:top w:w="0" w:type="dxa"/>
              <w:left w:w="108" w:type="dxa"/>
              <w:bottom w:w="0" w:type="dxa"/>
              <w:right w:w="108" w:type="dxa"/>
            </w:tcMar>
            <w:vAlign w:val="center"/>
          </w:tcPr>
          <w:p w14:paraId="4D060FD8"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22,846.930933</w:t>
            </w:r>
          </w:p>
        </w:tc>
        <w:tc>
          <w:tcPr>
            <w:tcW w:w="748" w:type="pct"/>
            <w:tcMar>
              <w:top w:w="0" w:type="dxa"/>
              <w:left w:w="108" w:type="dxa"/>
              <w:bottom w:w="0" w:type="dxa"/>
              <w:right w:w="108" w:type="dxa"/>
            </w:tcMar>
            <w:vAlign w:val="center"/>
          </w:tcPr>
          <w:p w14:paraId="7C9AB293"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21.080</w:t>
            </w:r>
            <w:r w:rsidRPr="00B4515A">
              <w:rPr>
                <w:rFonts w:ascii="Times New Roman" w:hAnsi="Times New Roman" w:cs="Times New Roman"/>
                <w:b/>
                <w:bCs/>
                <w:color w:val="000000"/>
                <w:spacing w:val="8"/>
                <w:sz w:val="21"/>
                <w:szCs w:val="21"/>
              </w:rPr>
              <w:t>%</w:t>
            </w:r>
          </w:p>
        </w:tc>
        <w:tc>
          <w:tcPr>
            <w:tcW w:w="937" w:type="pct"/>
            <w:shd w:val="clear" w:color="auto" w:fill="auto"/>
            <w:tcMar>
              <w:top w:w="0" w:type="dxa"/>
              <w:left w:w="108" w:type="dxa"/>
              <w:bottom w:w="0" w:type="dxa"/>
              <w:right w:w="108" w:type="dxa"/>
            </w:tcMar>
            <w:vAlign w:val="center"/>
          </w:tcPr>
          <w:p w14:paraId="55C19AD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53,422,979</w:t>
            </w:r>
          </w:p>
        </w:tc>
        <w:tc>
          <w:tcPr>
            <w:tcW w:w="691" w:type="pct"/>
            <w:tcMar>
              <w:top w:w="0" w:type="dxa"/>
              <w:left w:w="108" w:type="dxa"/>
              <w:bottom w:w="0" w:type="dxa"/>
              <w:right w:w="108" w:type="dxa"/>
            </w:tcMar>
            <w:vAlign w:val="center"/>
          </w:tcPr>
          <w:p w14:paraId="7F5D805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4.76%</w:t>
            </w:r>
          </w:p>
        </w:tc>
      </w:tr>
      <w:tr w:rsidR="006416B0" w:rsidRPr="00B4515A" w14:paraId="5ACED1DF" w14:textId="77777777" w:rsidTr="005860B4">
        <w:trPr>
          <w:trHeight w:val="340"/>
          <w:jc w:val="center"/>
        </w:trPr>
        <w:tc>
          <w:tcPr>
            <w:tcW w:w="424" w:type="pct"/>
            <w:tcMar>
              <w:top w:w="0" w:type="dxa"/>
              <w:left w:w="108" w:type="dxa"/>
              <w:bottom w:w="0" w:type="dxa"/>
              <w:right w:w="108" w:type="dxa"/>
            </w:tcMar>
            <w:vAlign w:val="center"/>
          </w:tcPr>
          <w:p w14:paraId="001EF808"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4</w:t>
            </w:r>
          </w:p>
        </w:tc>
        <w:tc>
          <w:tcPr>
            <w:tcW w:w="1176" w:type="pct"/>
            <w:tcMar>
              <w:top w:w="0" w:type="dxa"/>
              <w:left w:w="108" w:type="dxa"/>
              <w:bottom w:w="0" w:type="dxa"/>
              <w:right w:w="108" w:type="dxa"/>
            </w:tcMar>
            <w:vAlign w:val="center"/>
          </w:tcPr>
          <w:p w14:paraId="3F1DFB03" w14:textId="77777777" w:rsidR="006416B0" w:rsidRPr="00B4515A" w:rsidRDefault="005E58C1" w:rsidP="005860B4">
            <w:pPr>
              <w:adjustRightInd w:val="0"/>
              <w:snapToGrid w:val="0"/>
              <w:rPr>
                <w:rFonts w:ascii="Times New Roman" w:hAnsi="Times New Roman" w:cs="Times New Roman"/>
                <w:color w:val="000000"/>
                <w:spacing w:val="-2"/>
                <w:sz w:val="21"/>
                <w:szCs w:val="21"/>
              </w:rPr>
            </w:pPr>
            <w:r w:rsidRPr="00B4515A">
              <w:rPr>
                <w:rFonts w:ascii="Times New Roman" w:hAnsi="Times New Roman" w:cs="Times New Roman"/>
                <w:color w:val="000000"/>
                <w:spacing w:val="8"/>
                <w:sz w:val="21"/>
                <w:szCs w:val="21"/>
              </w:rPr>
              <w:t>中国国有企业结构调整基金股份有限公司</w:t>
            </w:r>
          </w:p>
        </w:tc>
        <w:tc>
          <w:tcPr>
            <w:tcW w:w="1023" w:type="pct"/>
            <w:tcMar>
              <w:top w:w="0" w:type="dxa"/>
              <w:left w:w="108" w:type="dxa"/>
              <w:bottom w:w="0" w:type="dxa"/>
              <w:right w:w="108" w:type="dxa"/>
            </w:tcMar>
            <w:vAlign w:val="center"/>
          </w:tcPr>
          <w:p w14:paraId="7C336D17"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7,615.643644</w:t>
            </w:r>
          </w:p>
        </w:tc>
        <w:tc>
          <w:tcPr>
            <w:tcW w:w="748" w:type="pct"/>
            <w:tcMar>
              <w:top w:w="0" w:type="dxa"/>
              <w:left w:w="108" w:type="dxa"/>
              <w:bottom w:w="0" w:type="dxa"/>
              <w:right w:w="108" w:type="dxa"/>
            </w:tcMar>
            <w:vAlign w:val="center"/>
          </w:tcPr>
          <w:p w14:paraId="5BED1320"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7.027</w:t>
            </w:r>
            <w:r w:rsidRPr="00B4515A">
              <w:rPr>
                <w:rFonts w:ascii="Times New Roman" w:hAnsi="Times New Roman" w:cs="Times New Roman"/>
                <w:b/>
                <w:bCs/>
                <w:color w:val="000000"/>
                <w:spacing w:val="8"/>
                <w:sz w:val="21"/>
                <w:szCs w:val="21"/>
              </w:rPr>
              <w:t>%</w:t>
            </w:r>
          </w:p>
        </w:tc>
        <w:tc>
          <w:tcPr>
            <w:tcW w:w="937" w:type="pct"/>
            <w:shd w:val="clear" w:color="auto" w:fill="auto"/>
            <w:tcMar>
              <w:top w:w="0" w:type="dxa"/>
              <w:left w:w="108" w:type="dxa"/>
              <w:bottom w:w="0" w:type="dxa"/>
              <w:right w:w="108" w:type="dxa"/>
            </w:tcMar>
            <w:vAlign w:val="center"/>
          </w:tcPr>
          <w:p w14:paraId="3103918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17,808,504</w:t>
            </w:r>
          </w:p>
        </w:tc>
        <w:tc>
          <w:tcPr>
            <w:tcW w:w="691" w:type="pct"/>
            <w:tcMar>
              <w:top w:w="0" w:type="dxa"/>
              <w:left w:w="108" w:type="dxa"/>
              <w:bottom w:w="0" w:type="dxa"/>
              <w:right w:w="108" w:type="dxa"/>
            </w:tcMar>
            <w:vAlign w:val="center"/>
          </w:tcPr>
          <w:p w14:paraId="70F3FA1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1.59%</w:t>
            </w:r>
          </w:p>
        </w:tc>
      </w:tr>
      <w:tr w:rsidR="006416B0" w:rsidRPr="00B4515A" w14:paraId="1B14A344" w14:textId="77777777" w:rsidTr="005860B4">
        <w:trPr>
          <w:trHeight w:val="340"/>
          <w:jc w:val="center"/>
        </w:trPr>
        <w:tc>
          <w:tcPr>
            <w:tcW w:w="424" w:type="pct"/>
            <w:tcMar>
              <w:top w:w="0" w:type="dxa"/>
              <w:left w:w="108" w:type="dxa"/>
              <w:bottom w:w="0" w:type="dxa"/>
              <w:right w:w="108" w:type="dxa"/>
            </w:tcMar>
            <w:vAlign w:val="center"/>
          </w:tcPr>
          <w:p w14:paraId="4B563FC9"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5</w:t>
            </w:r>
          </w:p>
        </w:tc>
        <w:tc>
          <w:tcPr>
            <w:tcW w:w="1176" w:type="pct"/>
            <w:tcMar>
              <w:top w:w="0" w:type="dxa"/>
              <w:left w:w="108" w:type="dxa"/>
              <w:bottom w:w="0" w:type="dxa"/>
              <w:right w:w="108" w:type="dxa"/>
            </w:tcMar>
            <w:vAlign w:val="center"/>
          </w:tcPr>
          <w:p w14:paraId="46D9F1D0" w14:textId="77777777" w:rsidR="006416B0" w:rsidRPr="00B4515A" w:rsidRDefault="005E58C1" w:rsidP="005860B4">
            <w:pPr>
              <w:adjustRightInd w:val="0"/>
              <w:snapToGrid w:val="0"/>
              <w:rPr>
                <w:rFonts w:ascii="Times New Roman" w:hAnsi="Times New Roman" w:cs="Times New Roman"/>
                <w:color w:val="000000"/>
                <w:spacing w:val="-2"/>
                <w:sz w:val="21"/>
                <w:szCs w:val="21"/>
              </w:rPr>
            </w:pPr>
            <w:r w:rsidRPr="00B4515A">
              <w:rPr>
                <w:rFonts w:ascii="Times New Roman" w:hAnsi="Times New Roman" w:cs="Times New Roman"/>
                <w:color w:val="000000"/>
                <w:spacing w:val="8"/>
                <w:sz w:val="21"/>
                <w:szCs w:val="21"/>
              </w:rPr>
              <w:t>北京金融街资本运营中心</w:t>
            </w:r>
          </w:p>
        </w:tc>
        <w:tc>
          <w:tcPr>
            <w:tcW w:w="1023" w:type="pct"/>
            <w:tcMar>
              <w:top w:w="0" w:type="dxa"/>
              <w:left w:w="108" w:type="dxa"/>
              <w:bottom w:w="0" w:type="dxa"/>
              <w:right w:w="108" w:type="dxa"/>
            </w:tcMar>
            <w:vAlign w:val="center"/>
          </w:tcPr>
          <w:p w14:paraId="321E92B4"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7,615.643644</w:t>
            </w:r>
          </w:p>
        </w:tc>
        <w:tc>
          <w:tcPr>
            <w:tcW w:w="748" w:type="pct"/>
            <w:tcMar>
              <w:top w:w="0" w:type="dxa"/>
              <w:left w:w="108" w:type="dxa"/>
              <w:bottom w:w="0" w:type="dxa"/>
              <w:right w:w="108" w:type="dxa"/>
            </w:tcMar>
            <w:vAlign w:val="center"/>
          </w:tcPr>
          <w:p w14:paraId="59EECA92"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7.027</w:t>
            </w:r>
            <w:r w:rsidRPr="00B4515A">
              <w:rPr>
                <w:rFonts w:ascii="Times New Roman" w:hAnsi="Times New Roman" w:cs="Times New Roman"/>
                <w:b/>
                <w:bCs/>
                <w:color w:val="000000"/>
                <w:spacing w:val="8"/>
                <w:sz w:val="21"/>
                <w:szCs w:val="21"/>
              </w:rPr>
              <w:t>%</w:t>
            </w:r>
          </w:p>
        </w:tc>
        <w:tc>
          <w:tcPr>
            <w:tcW w:w="937" w:type="pct"/>
            <w:shd w:val="clear" w:color="auto" w:fill="auto"/>
            <w:tcMar>
              <w:top w:w="0" w:type="dxa"/>
              <w:left w:w="108" w:type="dxa"/>
              <w:bottom w:w="0" w:type="dxa"/>
              <w:right w:w="108" w:type="dxa"/>
            </w:tcMar>
            <w:vAlign w:val="center"/>
          </w:tcPr>
          <w:p w14:paraId="38DE324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17,808,504</w:t>
            </w:r>
          </w:p>
        </w:tc>
        <w:tc>
          <w:tcPr>
            <w:tcW w:w="691" w:type="pct"/>
            <w:tcMar>
              <w:top w:w="0" w:type="dxa"/>
              <w:left w:w="108" w:type="dxa"/>
              <w:bottom w:w="0" w:type="dxa"/>
              <w:right w:w="108" w:type="dxa"/>
            </w:tcMar>
            <w:vAlign w:val="center"/>
          </w:tcPr>
          <w:p w14:paraId="3F3CD06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1.59%</w:t>
            </w:r>
          </w:p>
        </w:tc>
      </w:tr>
      <w:tr w:rsidR="006416B0" w:rsidRPr="00B4515A" w14:paraId="47D1E695" w14:textId="77777777" w:rsidTr="00031627">
        <w:trPr>
          <w:trHeight w:val="340"/>
          <w:jc w:val="center"/>
        </w:trPr>
        <w:tc>
          <w:tcPr>
            <w:tcW w:w="1601" w:type="pct"/>
            <w:gridSpan w:val="2"/>
            <w:tcMar>
              <w:top w:w="0" w:type="dxa"/>
              <w:left w:w="108" w:type="dxa"/>
              <w:bottom w:w="0" w:type="dxa"/>
              <w:right w:w="108" w:type="dxa"/>
            </w:tcMar>
            <w:vAlign w:val="center"/>
          </w:tcPr>
          <w:p w14:paraId="01C82DFD" w14:textId="77777777" w:rsidR="006416B0" w:rsidRPr="00B4515A" w:rsidRDefault="005E58C1" w:rsidP="005860B4">
            <w:pPr>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b/>
                <w:bCs/>
                <w:color w:val="000000"/>
                <w:spacing w:val="8"/>
                <w:sz w:val="21"/>
                <w:szCs w:val="21"/>
              </w:rPr>
              <w:t>合计</w:t>
            </w:r>
          </w:p>
        </w:tc>
        <w:tc>
          <w:tcPr>
            <w:tcW w:w="1023" w:type="pct"/>
            <w:tcMar>
              <w:top w:w="0" w:type="dxa"/>
              <w:left w:w="108" w:type="dxa"/>
              <w:bottom w:w="0" w:type="dxa"/>
              <w:right w:w="108" w:type="dxa"/>
            </w:tcMar>
            <w:vAlign w:val="center"/>
          </w:tcPr>
          <w:p w14:paraId="779904EB" w14:textId="77777777" w:rsidR="006416B0" w:rsidRPr="00B4515A" w:rsidRDefault="005E58C1" w:rsidP="005860B4">
            <w:pPr>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b/>
                <w:bCs/>
                <w:sz w:val="21"/>
                <w:szCs w:val="21"/>
              </w:rPr>
              <w:t>102,963.50207</w:t>
            </w:r>
          </w:p>
        </w:tc>
        <w:tc>
          <w:tcPr>
            <w:tcW w:w="748" w:type="pct"/>
            <w:tcMar>
              <w:top w:w="0" w:type="dxa"/>
              <w:left w:w="108" w:type="dxa"/>
              <w:bottom w:w="0" w:type="dxa"/>
              <w:right w:w="108" w:type="dxa"/>
            </w:tcMar>
            <w:vAlign w:val="center"/>
          </w:tcPr>
          <w:p w14:paraId="445EAC8D" w14:textId="77777777" w:rsidR="006416B0" w:rsidRPr="00B4515A" w:rsidRDefault="005E58C1" w:rsidP="005860B4">
            <w:pPr>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b/>
                <w:bCs/>
                <w:color w:val="000000"/>
                <w:spacing w:val="-2"/>
                <w:sz w:val="21"/>
                <w:szCs w:val="21"/>
              </w:rPr>
              <w:t>95.001</w:t>
            </w:r>
            <w:r w:rsidRPr="00B4515A">
              <w:rPr>
                <w:rFonts w:ascii="Times New Roman" w:hAnsi="Times New Roman" w:cs="Times New Roman"/>
                <w:b/>
                <w:bCs/>
                <w:color w:val="000000"/>
                <w:spacing w:val="8"/>
                <w:sz w:val="21"/>
                <w:szCs w:val="21"/>
              </w:rPr>
              <w:t>%</w:t>
            </w:r>
          </w:p>
        </w:tc>
        <w:tc>
          <w:tcPr>
            <w:tcW w:w="937" w:type="pct"/>
            <w:tcMar>
              <w:top w:w="0" w:type="dxa"/>
              <w:left w:w="108" w:type="dxa"/>
              <w:bottom w:w="0" w:type="dxa"/>
              <w:right w:w="108" w:type="dxa"/>
            </w:tcMar>
            <w:vAlign w:val="center"/>
          </w:tcPr>
          <w:p w14:paraId="7F0E6D78"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240,760,740</w:t>
            </w:r>
          </w:p>
        </w:tc>
        <w:tc>
          <w:tcPr>
            <w:tcW w:w="691" w:type="pct"/>
            <w:tcMar>
              <w:top w:w="0" w:type="dxa"/>
              <w:left w:w="108" w:type="dxa"/>
              <w:bottom w:w="0" w:type="dxa"/>
              <w:right w:w="108" w:type="dxa"/>
            </w:tcMar>
            <w:vAlign w:val="center"/>
          </w:tcPr>
          <w:p w14:paraId="678A8309"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21.44%</w:t>
            </w:r>
          </w:p>
        </w:tc>
      </w:tr>
    </w:tbl>
    <w:p w14:paraId="5A87B4B3" w14:textId="77777777" w:rsidR="006416B0" w:rsidRPr="00B4515A" w:rsidRDefault="005E58C1" w:rsidP="005860B4">
      <w:pPr>
        <w:pStyle w:val="006"/>
        <w:ind w:firstLine="420"/>
      </w:pPr>
      <w:r w:rsidRPr="00B4515A">
        <w:rPr>
          <w:rFonts w:hint="eastAsia"/>
        </w:rPr>
        <w:t>注：在计算</w:t>
      </w:r>
      <w:r w:rsidRPr="00B4515A">
        <w:rPr>
          <w:rFonts w:ascii="宋体" w:hAnsi="宋体" w:hint="eastAsia"/>
        </w:rPr>
        <w:t>“</w:t>
      </w:r>
      <w:r w:rsidRPr="00B4515A">
        <w:rPr>
          <w:rFonts w:hint="eastAsia"/>
        </w:rPr>
        <w:t>占发行后股本总额的比例</w:t>
      </w:r>
      <w:r w:rsidRPr="00B4515A">
        <w:rPr>
          <w:rFonts w:ascii="宋体" w:hAnsi="宋体" w:hint="eastAsia"/>
        </w:rPr>
        <w:t>”</w:t>
      </w:r>
      <w:r w:rsidRPr="00B4515A">
        <w:rPr>
          <w:rFonts w:hint="eastAsia"/>
        </w:rPr>
        <w:t>时，发行后股本总额未包含配套募集资金对应的股票发行数量。</w:t>
      </w:r>
    </w:p>
    <w:p w14:paraId="232C1750" w14:textId="4D960A74" w:rsidR="006416B0" w:rsidRPr="00B4515A" w:rsidRDefault="005E58C1" w:rsidP="005860B4">
      <w:pPr>
        <w:pStyle w:val="005"/>
        <w:spacing w:before="120" w:after="120"/>
        <w:ind w:firstLine="480"/>
      </w:pPr>
      <w:r w:rsidRPr="00B4515A">
        <w:rPr>
          <w:rFonts w:hint="eastAsia"/>
        </w:rPr>
        <w:t>最终发行股份数量以经上市公司股东大会审议通过，且经中国证监会核准的结果为准。</w:t>
      </w:r>
    </w:p>
    <w:p w14:paraId="6D871B32" w14:textId="77777777" w:rsidR="006416B0" w:rsidRPr="00B4515A" w:rsidRDefault="005E58C1" w:rsidP="005860B4">
      <w:pPr>
        <w:pStyle w:val="005"/>
        <w:spacing w:before="120" w:after="120"/>
        <w:ind w:firstLine="480"/>
      </w:pPr>
      <w:r w:rsidRPr="00B4515A">
        <w:rPr>
          <w:rFonts w:hint="eastAsia"/>
        </w:rPr>
        <w:t>在定价基准日至发行日期间，上市公司如有派息、送红股、转增股本、增发新股或配股等除权、除息事项，则发行数量也将根据中国证监会和上交所的相关规则进行相应调整。</w:t>
      </w:r>
    </w:p>
    <w:p w14:paraId="732B43C6" w14:textId="77777777" w:rsidR="006416B0" w:rsidRPr="00B4515A" w:rsidRDefault="005E58C1" w:rsidP="005860B4">
      <w:pPr>
        <w:pStyle w:val="003"/>
        <w:spacing w:before="120"/>
        <w:ind w:firstLine="482"/>
      </w:pPr>
      <w:r w:rsidRPr="00B4515A">
        <w:rPr>
          <w:rFonts w:hint="eastAsia"/>
        </w:rPr>
        <w:t>（五）股份锁定期安排</w:t>
      </w:r>
    </w:p>
    <w:p w14:paraId="5DD3F173" w14:textId="77777777" w:rsidR="006416B0" w:rsidRPr="00B4515A" w:rsidRDefault="005E58C1" w:rsidP="005860B4">
      <w:pPr>
        <w:pStyle w:val="004"/>
        <w:spacing w:before="120" w:after="120"/>
        <w:ind w:firstLine="482"/>
      </w:pPr>
      <w:r w:rsidRPr="00B4515A">
        <w:t>1</w:t>
      </w:r>
      <w:r w:rsidRPr="00B4515A">
        <w:rPr>
          <w:rFonts w:hint="eastAsia"/>
        </w:rPr>
        <w:t>、本次发行股份购买资产的交易对方对其通过本次交易取得的上市公司股份锁定期安排如下：</w:t>
      </w:r>
    </w:p>
    <w:p w14:paraId="26E29F9F" w14:textId="77777777" w:rsidR="006416B0" w:rsidRPr="00B4515A" w:rsidRDefault="005E58C1" w:rsidP="005860B4">
      <w:pPr>
        <w:pStyle w:val="005"/>
        <w:spacing w:before="120" w:after="120"/>
        <w:ind w:firstLine="480"/>
      </w:pPr>
      <w:r w:rsidRPr="00B4515A">
        <w:rPr>
          <w:rFonts w:hint="eastAsia"/>
        </w:rPr>
        <w:t>电信科研院、大唐控股在本次交易中以标的公司股权认购取得的对价股份，自股份发行结束之日起</w:t>
      </w:r>
      <w:r w:rsidRPr="00B4515A">
        <w:t>36</w:t>
      </w:r>
      <w:r w:rsidRPr="00B4515A">
        <w:rPr>
          <w:rFonts w:hint="eastAsia"/>
        </w:rPr>
        <w:t>个月内不得以任何方式转让。本次交易完成后</w:t>
      </w:r>
      <w:r w:rsidRPr="00B4515A">
        <w:t>6</w:t>
      </w:r>
      <w:r w:rsidRPr="00B4515A">
        <w:rPr>
          <w:rFonts w:hint="eastAsia"/>
        </w:rPr>
        <w:t>个月内如上市公司股票连续</w:t>
      </w:r>
      <w:r w:rsidRPr="00B4515A">
        <w:t>20</w:t>
      </w:r>
      <w:r w:rsidRPr="00B4515A">
        <w:rPr>
          <w:rFonts w:hint="eastAsia"/>
        </w:rPr>
        <w:t>个交易日的收盘价低于发行价，或者交易完成后</w:t>
      </w:r>
      <w:r w:rsidRPr="00B4515A">
        <w:t>6</w:t>
      </w:r>
      <w:r w:rsidRPr="00B4515A">
        <w:rPr>
          <w:rFonts w:hint="eastAsia"/>
        </w:rPr>
        <w:t>个月期末收盘价低于发行价的，其持有上市公司股票的锁定期自动延长至少</w:t>
      </w:r>
      <w:r w:rsidRPr="00B4515A">
        <w:t>6</w:t>
      </w:r>
      <w:r w:rsidRPr="00B4515A">
        <w:rPr>
          <w:rFonts w:hint="eastAsia"/>
        </w:rPr>
        <w:t>个月。</w:t>
      </w:r>
    </w:p>
    <w:p w14:paraId="5F125E3E" w14:textId="77777777" w:rsidR="006416B0" w:rsidRPr="00B4515A" w:rsidRDefault="005E58C1" w:rsidP="005860B4">
      <w:pPr>
        <w:pStyle w:val="005"/>
        <w:spacing w:before="120" w:after="120"/>
        <w:ind w:firstLine="480"/>
      </w:pPr>
      <w:r w:rsidRPr="00B4515A">
        <w:rPr>
          <w:rFonts w:ascii="宋体" w:hAnsi="宋体" w:hint="eastAsia"/>
        </w:rPr>
        <w:lastRenderedPageBreak/>
        <w:t>电信科研院、大唐控股作为业绩承诺人，在其依据《大唐电信科技股份有限公司与电信科学技术研究院有限公司、大唐电信科技产业控股有限公司之业绩承诺与补偿协议》应履行的补偿义务履行完毕之前，不得减持对价股份。</w:t>
      </w:r>
    </w:p>
    <w:p w14:paraId="5EB6554D" w14:textId="61C77E1D" w:rsidR="006416B0" w:rsidRPr="00B4515A" w:rsidRDefault="00252376" w:rsidP="005860B4">
      <w:pPr>
        <w:pStyle w:val="005"/>
        <w:spacing w:before="120" w:after="120"/>
        <w:ind w:firstLine="480"/>
      </w:pPr>
      <w:r w:rsidRPr="00B4515A">
        <w:rPr>
          <w:rFonts w:hint="eastAsia"/>
        </w:rPr>
        <w:t>长江移动基金</w:t>
      </w:r>
      <w:r w:rsidR="005E58C1" w:rsidRPr="00B4515A">
        <w:rPr>
          <w:rFonts w:hint="eastAsia"/>
        </w:rPr>
        <w:t>、结构调整基金及金融街资本通过本次交易取得上市公司股份时：如持续持有标的公司股权时间不足</w:t>
      </w:r>
      <w:r w:rsidR="005E58C1" w:rsidRPr="00B4515A">
        <w:t>12</w:t>
      </w:r>
      <w:r w:rsidR="005E58C1" w:rsidRPr="00B4515A">
        <w:rPr>
          <w:rFonts w:hint="eastAsia"/>
        </w:rPr>
        <w:t>个月，则在本次交易中以标的公司股权认购取得的对价股份，自股份发行结束之日起</w:t>
      </w:r>
      <w:r w:rsidR="005E58C1" w:rsidRPr="00B4515A">
        <w:t>36</w:t>
      </w:r>
      <w:r w:rsidR="005E58C1" w:rsidRPr="00B4515A">
        <w:rPr>
          <w:rFonts w:hint="eastAsia"/>
        </w:rPr>
        <w:t>个月内不得以任何方式转让；如持续持有标的公司股权时间已满</w:t>
      </w:r>
      <w:r w:rsidR="005E58C1" w:rsidRPr="00B4515A">
        <w:t>12</w:t>
      </w:r>
      <w:r w:rsidR="005E58C1" w:rsidRPr="00B4515A">
        <w:rPr>
          <w:rFonts w:hint="eastAsia"/>
        </w:rPr>
        <w:t>个月，则在本次交易中以标的公司股权认购取得的对价股份，自股份发行结束之日起</w:t>
      </w:r>
      <w:r w:rsidR="005E58C1" w:rsidRPr="00B4515A">
        <w:t>12</w:t>
      </w:r>
      <w:r w:rsidR="005E58C1" w:rsidRPr="00B4515A">
        <w:rPr>
          <w:rFonts w:hint="eastAsia"/>
        </w:rPr>
        <w:t>个月内不得以任何方式转让。</w:t>
      </w:r>
    </w:p>
    <w:p w14:paraId="13F35094" w14:textId="77777777" w:rsidR="006416B0" w:rsidRPr="00B4515A" w:rsidRDefault="005E58C1" w:rsidP="005860B4">
      <w:pPr>
        <w:pStyle w:val="005"/>
        <w:spacing w:before="120" w:after="120"/>
        <w:ind w:firstLine="480"/>
      </w:pPr>
      <w:r w:rsidRPr="00B4515A">
        <w:rPr>
          <w:rFonts w:hint="eastAsia"/>
        </w:rPr>
        <w:t>交易对方在本次交易中取得的对价股份，在上述锁定期届满后减持时，还应当遵守《公司法》《证券法》《上市规则》等法律法规和规范性文件的相关规定、中国证监会和上海证券交易所的相关监管规则以及上市公司公司章程的相关约定。</w:t>
      </w:r>
    </w:p>
    <w:p w14:paraId="7866FCED" w14:textId="77777777" w:rsidR="006416B0" w:rsidRPr="00B4515A" w:rsidRDefault="005E58C1" w:rsidP="005860B4">
      <w:pPr>
        <w:pStyle w:val="004"/>
        <w:spacing w:before="120" w:after="120"/>
        <w:ind w:firstLine="482"/>
      </w:pPr>
      <w:r w:rsidRPr="00B4515A">
        <w:t>2</w:t>
      </w:r>
      <w:r w:rsidRPr="00B4515A">
        <w:rPr>
          <w:rFonts w:hint="eastAsia"/>
        </w:rPr>
        <w:t>、电信科研院、大唐控股所持本次交易前股份的锁定安排</w:t>
      </w:r>
    </w:p>
    <w:p w14:paraId="22021506" w14:textId="77777777" w:rsidR="006416B0" w:rsidRPr="00B4515A" w:rsidRDefault="005E58C1" w:rsidP="005860B4">
      <w:pPr>
        <w:pStyle w:val="005"/>
        <w:spacing w:before="120" w:after="120"/>
        <w:ind w:firstLine="480"/>
      </w:pPr>
      <w:r w:rsidRPr="00B4515A">
        <w:rPr>
          <w:rFonts w:hint="eastAsia"/>
        </w:rPr>
        <w:t>电信科研院、大唐控股在本次交易完成前已持有的大唐电信股份，自本次交易完成后</w:t>
      </w:r>
      <w:r w:rsidRPr="00B4515A">
        <w:rPr>
          <w:rFonts w:hint="eastAsia"/>
        </w:rPr>
        <w:t>1</w:t>
      </w:r>
      <w:r w:rsidRPr="00B4515A">
        <w:t>8</w:t>
      </w:r>
      <w:r w:rsidRPr="00B4515A">
        <w:rPr>
          <w:rFonts w:hint="eastAsia"/>
        </w:rPr>
        <w:t>个月内不得转让。</w:t>
      </w:r>
    </w:p>
    <w:p w14:paraId="44ED43A6" w14:textId="77777777" w:rsidR="006416B0" w:rsidRPr="00B4515A" w:rsidRDefault="005E58C1" w:rsidP="005860B4">
      <w:pPr>
        <w:pStyle w:val="005"/>
        <w:spacing w:before="120" w:after="120"/>
        <w:ind w:firstLine="480"/>
      </w:pPr>
      <w:r w:rsidRPr="00B4515A">
        <w:rPr>
          <w:rFonts w:hint="eastAsia"/>
        </w:rPr>
        <w:t>本次交易实施完成后，交易对方所持对价股份由于上市公司送红股、资本公积金转增股本等原因而增加的，亦应遵守上述锁定期的约定。</w:t>
      </w:r>
    </w:p>
    <w:p w14:paraId="5D49012F" w14:textId="77777777" w:rsidR="006416B0" w:rsidRPr="00B4515A" w:rsidRDefault="005E58C1" w:rsidP="005860B4">
      <w:pPr>
        <w:pStyle w:val="003"/>
        <w:spacing w:before="120"/>
        <w:ind w:firstLine="482"/>
      </w:pPr>
      <w:r w:rsidRPr="00B4515A">
        <w:rPr>
          <w:rFonts w:hint="eastAsia"/>
        </w:rPr>
        <w:t>（六）过渡期间损益归属及滚存未分配利润安排</w:t>
      </w:r>
    </w:p>
    <w:p w14:paraId="54BF45A9" w14:textId="77777777" w:rsidR="006416B0" w:rsidRPr="00B4515A" w:rsidRDefault="005E58C1" w:rsidP="005860B4">
      <w:pPr>
        <w:pStyle w:val="005"/>
        <w:spacing w:before="120" w:after="120"/>
        <w:ind w:firstLine="480"/>
      </w:pPr>
      <w:r w:rsidRPr="00B4515A">
        <w:rPr>
          <w:rFonts w:hint="eastAsia"/>
        </w:rPr>
        <w:t>过渡期间指自本次交易的评估基准日（不含基准日当日）至标的资产交割日（含交割日当日）的期间。上市公司将于交割日后</w:t>
      </w:r>
      <w:r w:rsidRPr="00B4515A">
        <w:t>30</w:t>
      </w:r>
      <w:r w:rsidRPr="00B4515A">
        <w:rPr>
          <w:rFonts w:hint="eastAsia"/>
        </w:rPr>
        <w:t>日内提出对标的公司进行专项审计，确定过渡期内标的资产的损益。该等审计由上市公司聘请的具有证券期货业务资格的会计师事务所完成，若标的资产交割日为当月</w:t>
      </w:r>
      <w:r w:rsidRPr="00B4515A">
        <w:t>15</w:t>
      </w:r>
      <w:r w:rsidRPr="00B4515A">
        <w:rPr>
          <w:rFonts w:hint="eastAsia"/>
        </w:rPr>
        <w:t>日（含</w:t>
      </w:r>
      <w:r w:rsidRPr="00B4515A">
        <w:t>15</w:t>
      </w:r>
      <w:r w:rsidRPr="00B4515A">
        <w:rPr>
          <w:rFonts w:hint="eastAsia"/>
        </w:rPr>
        <w:t>日）之前，则交割审计基准日为前一个月最后一个自然日；若标的资产交割日为当月</w:t>
      </w:r>
      <w:r w:rsidRPr="00B4515A">
        <w:t>15</w:t>
      </w:r>
      <w:r w:rsidRPr="00B4515A">
        <w:rPr>
          <w:rFonts w:hint="eastAsia"/>
        </w:rPr>
        <w:t>日之后，则交割审计基准日为当月最后一个自然日。</w:t>
      </w:r>
    </w:p>
    <w:p w14:paraId="48E03937" w14:textId="77777777" w:rsidR="006416B0" w:rsidRPr="00B4515A" w:rsidRDefault="005E58C1" w:rsidP="005860B4">
      <w:pPr>
        <w:pStyle w:val="005"/>
        <w:spacing w:before="120" w:after="120"/>
        <w:ind w:firstLine="480"/>
      </w:pPr>
      <w:r w:rsidRPr="00B4515A">
        <w:rPr>
          <w:rFonts w:hint="eastAsia"/>
        </w:rPr>
        <w:t>在过渡期内，标的资产产生的收益由上市公司享有；在过渡期内所产生的亏损由电信科研院及大唐控股承担，并按其本次交易中拟转让股权占标的资产的相对比例于专项交割审计报告出具后</w:t>
      </w:r>
      <w:r w:rsidRPr="00B4515A">
        <w:t>30</w:t>
      </w:r>
      <w:r w:rsidRPr="00B4515A">
        <w:rPr>
          <w:rFonts w:hint="eastAsia"/>
        </w:rPr>
        <w:t>日内以现金方式一次性全额补偿予上市公司。</w:t>
      </w:r>
    </w:p>
    <w:p w14:paraId="5CFFBE22" w14:textId="77777777" w:rsidR="006416B0" w:rsidRPr="00B4515A" w:rsidRDefault="005E58C1" w:rsidP="005860B4">
      <w:pPr>
        <w:pStyle w:val="005"/>
        <w:spacing w:before="120" w:after="120"/>
        <w:ind w:firstLine="480"/>
      </w:pPr>
      <w:r w:rsidRPr="00B4515A">
        <w:rPr>
          <w:rFonts w:hint="eastAsia"/>
        </w:rPr>
        <w:lastRenderedPageBreak/>
        <w:t>本次交易完成后，标的公司评估基准日前滚存的未分配利润由本次交易完成后的标的公司新老股东按所持标的公司股权比例享有，上市公司的滚存未分配利润由上市公司新老股东按本次交易完成后的持股比例共同享有。</w:t>
      </w:r>
    </w:p>
    <w:p w14:paraId="28364BC6" w14:textId="3FAFDFF7" w:rsidR="00D43376" w:rsidRPr="00B4515A" w:rsidRDefault="005E58C1" w:rsidP="00EE238F">
      <w:pPr>
        <w:pStyle w:val="002"/>
        <w:spacing w:before="120" w:after="120"/>
        <w:ind w:firstLine="562"/>
      </w:pPr>
      <w:bookmarkStart w:id="32" w:name="_Toc80960488"/>
      <w:bookmarkStart w:id="33" w:name="_Toc529272271"/>
      <w:r w:rsidRPr="00B4515A">
        <w:t>六、募集配套资金</w:t>
      </w:r>
      <w:bookmarkEnd w:id="32"/>
    </w:p>
    <w:p w14:paraId="5B77B92A" w14:textId="42AFA0D1" w:rsidR="00D43376" w:rsidRPr="00B4515A" w:rsidRDefault="00D43376" w:rsidP="006100BC">
      <w:pPr>
        <w:pStyle w:val="003"/>
        <w:spacing w:before="120"/>
        <w:ind w:firstLine="482"/>
      </w:pPr>
      <w:r w:rsidRPr="00B4515A">
        <w:rPr>
          <w:rFonts w:hint="eastAsia"/>
        </w:rPr>
        <w:t>（一）募集配套资金的情况</w:t>
      </w:r>
    </w:p>
    <w:p w14:paraId="31A85530" w14:textId="592FD64B" w:rsidR="006416B0" w:rsidRPr="00B4515A" w:rsidRDefault="00D43376" w:rsidP="00EE238F">
      <w:pPr>
        <w:pStyle w:val="004"/>
        <w:spacing w:before="120" w:after="120"/>
        <w:ind w:firstLine="482"/>
      </w:pPr>
      <w:r w:rsidRPr="00B4515A">
        <w:t>1</w:t>
      </w:r>
      <w:r w:rsidRPr="00B4515A">
        <w:rPr>
          <w:rFonts w:hint="eastAsia"/>
        </w:rPr>
        <w:t>、</w:t>
      </w:r>
      <w:r w:rsidR="005E58C1" w:rsidRPr="00B4515A">
        <w:rPr>
          <w:rFonts w:hint="eastAsia"/>
        </w:rPr>
        <w:t>发行股份的种类和每股面值</w:t>
      </w:r>
    </w:p>
    <w:p w14:paraId="21D8E3F6" w14:textId="77777777" w:rsidR="006416B0" w:rsidRPr="00B4515A" w:rsidRDefault="005E58C1" w:rsidP="005860B4">
      <w:pPr>
        <w:pStyle w:val="005"/>
        <w:spacing w:before="120" w:after="120"/>
        <w:ind w:firstLine="480"/>
      </w:pPr>
      <w:r w:rsidRPr="00B4515A">
        <w:rPr>
          <w:rFonts w:hint="eastAsia"/>
        </w:rPr>
        <w:t>本次发行的股份种类为境内上市的人民币普通股（</w:t>
      </w:r>
      <w:r w:rsidRPr="00B4515A">
        <w:t>A</w:t>
      </w:r>
      <w:r w:rsidRPr="00B4515A">
        <w:rPr>
          <w:rFonts w:hint="eastAsia"/>
        </w:rPr>
        <w:t>股），每股面值为</w:t>
      </w:r>
      <w:r w:rsidRPr="00B4515A">
        <w:t>1.00</w:t>
      </w:r>
      <w:r w:rsidRPr="00B4515A">
        <w:rPr>
          <w:rFonts w:hint="eastAsia"/>
        </w:rPr>
        <w:t>元。</w:t>
      </w:r>
    </w:p>
    <w:p w14:paraId="18AE1FD3" w14:textId="1B3CE86B" w:rsidR="006416B0" w:rsidRPr="00B4515A" w:rsidRDefault="00D43376" w:rsidP="00EE238F">
      <w:pPr>
        <w:pStyle w:val="004"/>
        <w:spacing w:before="120" w:after="120"/>
        <w:ind w:firstLine="482"/>
      </w:pPr>
      <w:r w:rsidRPr="00B4515A">
        <w:t>2</w:t>
      </w:r>
      <w:r w:rsidRPr="00B4515A">
        <w:rPr>
          <w:rFonts w:hint="eastAsia"/>
        </w:rPr>
        <w:t>、</w:t>
      </w:r>
      <w:r w:rsidR="005E58C1" w:rsidRPr="00B4515A">
        <w:rPr>
          <w:rFonts w:hint="eastAsia"/>
        </w:rPr>
        <w:t>发行对象和发行方式</w:t>
      </w:r>
    </w:p>
    <w:p w14:paraId="6B0791C1" w14:textId="77777777" w:rsidR="006416B0" w:rsidRPr="00B4515A" w:rsidRDefault="005E58C1" w:rsidP="005860B4">
      <w:pPr>
        <w:pStyle w:val="005"/>
        <w:spacing w:before="120" w:after="120"/>
        <w:ind w:firstLine="480"/>
      </w:pPr>
      <w:r w:rsidRPr="00B4515A">
        <w:rPr>
          <w:rFonts w:hint="eastAsia"/>
        </w:rPr>
        <w:t>上市公司拟向中国信科集团以锁价方式非公开发行股票募集配套资金。</w:t>
      </w:r>
    </w:p>
    <w:p w14:paraId="1C6F8A7B" w14:textId="0AAD1D4D" w:rsidR="006416B0" w:rsidRPr="00B4515A" w:rsidRDefault="00D43376" w:rsidP="00EE238F">
      <w:pPr>
        <w:pStyle w:val="004"/>
        <w:spacing w:before="120" w:after="120"/>
        <w:ind w:firstLine="482"/>
      </w:pPr>
      <w:r w:rsidRPr="00B4515A">
        <w:t>3</w:t>
      </w:r>
      <w:r w:rsidRPr="00B4515A">
        <w:rPr>
          <w:rFonts w:hint="eastAsia"/>
        </w:rPr>
        <w:t>、</w:t>
      </w:r>
      <w:r w:rsidR="005E58C1" w:rsidRPr="00B4515A">
        <w:rPr>
          <w:rFonts w:hint="eastAsia"/>
        </w:rPr>
        <w:t>定价基准日和发行价格</w:t>
      </w:r>
    </w:p>
    <w:p w14:paraId="7E2063C7" w14:textId="77777777" w:rsidR="006416B0" w:rsidRPr="00B4515A" w:rsidRDefault="005E58C1" w:rsidP="005860B4">
      <w:pPr>
        <w:pStyle w:val="005"/>
        <w:spacing w:before="120" w:after="120"/>
        <w:ind w:firstLine="480"/>
      </w:pPr>
      <w:r w:rsidRPr="00B4515A">
        <w:rPr>
          <w:rFonts w:hint="eastAsia"/>
        </w:rPr>
        <w:t>本次募集配套资金定价基准日为上市公司审议本次发行股份购买资产并募集配套资金的第七届董事会第五十八次董事会决议公告日，发行价格为</w:t>
      </w:r>
      <w:r w:rsidRPr="00B4515A">
        <w:t>5.24</w:t>
      </w:r>
      <w:r w:rsidRPr="00B4515A">
        <w:rPr>
          <w:rFonts w:hint="eastAsia"/>
        </w:rPr>
        <w:t>元</w:t>
      </w:r>
      <w:r w:rsidRPr="00B4515A">
        <w:t>/</w:t>
      </w:r>
      <w:r w:rsidRPr="00B4515A">
        <w:rPr>
          <w:rFonts w:hint="eastAsia"/>
        </w:rPr>
        <w:t>股，不低于定价基准日前</w:t>
      </w:r>
      <w:r w:rsidRPr="00B4515A">
        <w:t>20</w:t>
      </w:r>
      <w:r w:rsidRPr="00B4515A">
        <w:rPr>
          <w:rFonts w:hint="eastAsia"/>
        </w:rPr>
        <w:t>个交易日上市公司</w:t>
      </w:r>
      <w:r w:rsidRPr="00B4515A">
        <w:t>A</w:t>
      </w:r>
      <w:r w:rsidRPr="00B4515A">
        <w:rPr>
          <w:rFonts w:hint="eastAsia"/>
        </w:rPr>
        <w:t>股股票交易均价的</w:t>
      </w:r>
      <w:r w:rsidRPr="00B4515A">
        <w:t>80%</w:t>
      </w:r>
      <w:r w:rsidRPr="00B4515A">
        <w:rPr>
          <w:rFonts w:hint="eastAsia"/>
        </w:rPr>
        <w:t>。</w:t>
      </w:r>
    </w:p>
    <w:p w14:paraId="3BA0B3FE" w14:textId="77777777" w:rsidR="006416B0" w:rsidRPr="00B4515A" w:rsidRDefault="005E58C1" w:rsidP="005860B4">
      <w:pPr>
        <w:pStyle w:val="005"/>
        <w:spacing w:before="120" w:after="120"/>
        <w:ind w:firstLine="480"/>
      </w:pPr>
      <w:r w:rsidRPr="00B4515A">
        <w:rPr>
          <w:rFonts w:hint="eastAsia"/>
        </w:rPr>
        <w:t>在交易定价基准日至发行日期间，若上市公司</w:t>
      </w:r>
      <w:bookmarkStart w:id="34" w:name="_Hlk76937059"/>
      <w:r w:rsidRPr="00B4515A">
        <w:rPr>
          <w:rFonts w:hint="eastAsia"/>
        </w:rPr>
        <w:t>股票发生派息、送红股、资本公积金转增股本等除权除息事项</w:t>
      </w:r>
      <w:bookmarkEnd w:id="34"/>
      <w:r w:rsidRPr="00B4515A">
        <w:rPr>
          <w:rFonts w:hint="eastAsia"/>
        </w:rPr>
        <w:t>，则发行价格将作相应调整。调整公式具体如下：</w:t>
      </w:r>
    </w:p>
    <w:p w14:paraId="1F25E3ED" w14:textId="77777777" w:rsidR="006416B0" w:rsidRPr="00B4515A" w:rsidRDefault="005E58C1" w:rsidP="005860B4">
      <w:pPr>
        <w:pStyle w:val="005"/>
        <w:spacing w:before="120" w:after="120"/>
        <w:ind w:firstLine="480"/>
      </w:pPr>
      <w:r w:rsidRPr="00B4515A">
        <w:rPr>
          <w:rFonts w:hint="eastAsia"/>
        </w:rPr>
        <w:t>当送红股或转增股本时，按如下公式调整：</w:t>
      </w:r>
      <w:r w:rsidRPr="00B4515A">
        <w:t xml:space="preserve">P1=P0/(1+N) </w:t>
      </w:r>
    </w:p>
    <w:p w14:paraId="0BA5CDF9" w14:textId="77777777" w:rsidR="006416B0" w:rsidRPr="00B4515A" w:rsidRDefault="005E58C1" w:rsidP="005860B4">
      <w:pPr>
        <w:pStyle w:val="005"/>
        <w:spacing w:before="120" w:after="120"/>
        <w:ind w:firstLine="480"/>
      </w:pPr>
      <w:r w:rsidRPr="00B4515A">
        <w:rPr>
          <w:rFonts w:hint="eastAsia"/>
        </w:rPr>
        <w:t>当配股时，按如下公式调整：</w:t>
      </w:r>
      <w:r w:rsidRPr="00B4515A">
        <w:t>P1=</w:t>
      </w:r>
      <w:r w:rsidRPr="00B4515A">
        <w:rPr>
          <w:rFonts w:hint="eastAsia"/>
        </w:rPr>
        <w:t>（</w:t>
      </w:r>
      <w:r w:rsidRPr="00B4515A">
        <w:t>P0+A</w:t>
      </w:r>
      <w:r w:rsidRPr="00B4515A">
        <w:rPr>
          <w:rFonts w:hint="eastAsia"/>
        </w:rPr>
        <w:t>×</w:t>
      </w:r>
      <w:r w:rsidRPr="00B4515A">
        <w:t>K</w:t>
      </w:r>
      <w:r w:rsidRPr="00B4515A">
        <w:rPr>
          <w:rFonts w:hint="eastAsia"/>
        </w:rPr>
        <w:t>）</w:t>
      </w:r>
      <w:r w:rsidRPr="00B4515A">
        <w:t>/(1+K)</w:t>
      </w:r>
    </w:p>
    <w:p w14:paraId="72DB78E2" w14:textId="77777777" w:rsidR="006416B0" w:rsidRPr="00B4515A" w:rsidRDefault="005E58C1" w:rsidP="005860B4">
      <w:pPr>
        <w:pStyle w:val="005"/>
        <w:spacing w:before="120" w:after="120"/>
        <w:ind w:firstLine="480"/>
      </w:pPr>
      <w:r w:rsidRPr="00B4515A">
        <w:rPr>
          <w:rFonts w:hint="eastAsia"/>
        </w:rPr>
        <w:t>上述两项同时进行时，按如下公式调整：</w:t>
      </w:r>
      <w:r w:rsidRPr="00B4515A">
        <w:t>P1=(P0+A</w:t>
      </w:r>
      <w:r w:rsidRPr="00B4515A">
        <w:rPr>
          <w:rFonts w:hint="eastAsia"/>
        </w:rPr>
        <w:t>×</w:t>
      </w:r>
      <w:r w:rsidRPr="00B4515A">
        <w:t>K</w:t>
      </w:r>
      <w:r w:rsidRPr="00B4515A">
        <w:rPr>
          <w:rFonts w:hint="eastAsia"/>
        </w:rPr>
        <w:t>）</w:t>
      </w:r>
      <w:r w:rsidRPr="00B4515A">
        <w:t>/(1+N+K)</w:t>
      </w:r>
    </w:p>
    <w:p w14:paraId="68B9757A" w14:textId="77777777" w:rsidR="006416B0" w:rsidRPr="00B4515A" w:rsidRDefault="005E58C1" w:rsidP="005860B4">
      <w:pPr>
        <w:pStyle w:val="005"/>
        <w:spacing w:before="120" w:after="120"/>
        <w:ind w:firstLine="480"/>
      </w:pPr>
      <w:r w:rsidRPr="00B4515A">
        <w:rPr>
          <w:rFonts w:hint="eastAsia"/>
        </w:rPr>
        <w:t>当派发现金股利时，按如下公式调整：</w:t>
      </w:r>
      <w:r w:rsidRPr="00B4515A">
        <w:t>P1=P0-D</w:t>
      </w:r>
    </w:p>
    <w:p w14:paraId="2DDCC16F" w14:textId="77777777" w:rsidR="006416B0" w:rsidRPr="00B4515A" w:rsidRDefault="005E58C1" w:rsidP="005860B4">
      <w:pPr>
        <w:pStyle w:val="005"/>
        <w:spacing w:before="120" w:after="120"/>
        <w:ind w:firstLine="480"/>
      </w:pPr>
      <w:r w:rsidRPr="00B4515A">
        <w:rPr>
          <w:rFonts w:hint="eastAsia"/>
        </w:rPr>
        <w:t>当上述三项同时进行时，按如下公式调整：</w:t>
      </w:r>
      <w:r w:rsidRPr="00B4515A">
        <w:t>P1=(P0-D+A</w:t>
      </w:r>
      <w:r w:rsidRPr="00B4515A">
        <w:rPr>
          <w:rFonts w:hint="eastAsia"/>
        </w:rPr>
        <w:t>×</w:t>
      </w:r>
      <w:r w:rsidRPr="00B4515A">
        <w:t>K)/(1+N+K)</w:t>
      </w:r>
    </w:p>
    <w:p w14:paraId="08F57953" w14:textId="77777777" w:rsidR="006416B0" w:rsidRPr="00B4515A" w:rsidRDefault="005E58C1" w:rsidP="005860B4">
      <w:pPr>
        <w:pStyle w:val="005"/>
        <w:spacing w:before="120" w:after="120"/>
        <w:ind w:firstLine="480"/>
      </w:pPr>
      <w:r w:rsidRPr="00B4515A">
        <w:rPr>
          <w:rFonts w:hint="eastAsia"/>
        </w:rPr>
        <w:t>其中：</w:t>
      </w:r>
    </w:p>
    <w:p w14:paraId="4C3C08E5" w14:textId="77777777" w:rsidR="006416B0" w:rsidRPr="00B4515A" w:rsidRDefault="005E58C1" w:rsidP="005860B4">
      <w:pPr>
        <w:pStyle w:val="005"/>
        <w:spacing w:before="120" w:after="120"/>
        <w:ind w:firstLine="480"/>
      </w:pPr>
      <w:r w:rsidRPr="00B4515A">
        <w:t xml:space="preserve">P0 </w:t>
      </w:r>
      <w:r w:rsidRPr="00B4515A">
        <w:rPr>
          <w:rFonts w:hint="eastAsia"/>
        </w:rPr>
        <w:t>为调整前有效的发行价格</w:t>
      </w:r>
    </w:p>
    <w:p w14:paraId="362E0552" w14:textId="77777777" w:rsidR="006416B0" w:rsidRPr="00B4515A" w:rsidRDefault="005E58C1" w:rsidP="005860B4">
      <w:pPr>
        <w:pStyle w:val="005"/>
        <w:spacing w:before="120" w:after="120"/>
        <w:ind w:firstLine="480"/>
      </w:pPr>
      <w:r w:rsidRPr="00B4515A">
        <w:t xml:space="preserve">P1 </w:t>
      </w:r>
      <w:r w:rsidRPr="00B4515A">
        <w:rPr>
          <w:rFonts w:hint="eastAsia"/>
        </w:rPr>
        <w:t>为调整后有效的发行价格</w:t>
      </w:r>
    </w:p>
    <w:p w14:paraId="1E8EE33F" w14:textId="77777777" w:rsidR="006416B0" w:rsidRPr="00B4515A" w:rsidRDefault="005E58C1" w:rsidP="005860B4">
      <w:pPr>
        <w:pStyle w:val="005"/>
        <w:spacing w:before="120" w:after="120"/>
        <w:ind w:firstLine="480"/>
      </w:pPr>
      <w:r w:rsidRPr="00B4515A">
        <w:t xml:space="preserve">D </w:t>
      </w:r>
      <w:r w:rsidRPr="00B4515A">
        <w:rPr>
          <w:rFonts w:hint="eastAsia"/>
        </w:rPr>
        <w:t>为该次每股派发现金股利</w:t>
      </w:r>
    </w:p>
    <w:p w14:paraId="6AB0B429" w14:textId="2E49D0F1" w:rsidR="006416B0" w:rsidRPr="00B4515A" w:rsidRDefault="005E58C1" w:rsidP="002B0582">
      <w:pPr>
        <w:pStyle w:val="005"/>
        <w:spacing w:before="120" w:after="120"/>
        <w:ind w:firstLine="480"/>
      </w:pPr>
      <w:r w:rsidRPr="00B4515A">
        <w:lastRenderedPageBreak/>
        <w:t xml:space="preserve">N </w:t>
      </w:r>
      <w:r w:rsidRPr="00B4515A">
        <w:rPr>
          <w:rFonts w:hint="eastAsia"/>
        </w:rPr>
        <w:t>为该次送股率或转增股本率</w:t>
      </w:r>
    </w:p>
    <w:p w14:paraId="17FC85A7" w14:textId="77777777" w:rsidR="006416B0" w:rsidRPr="00B4515A" w:rsidRDefault="005E58C1" w:rsidP="005860B4">
      <w:pPr>
        <w:pStyle w:val="005"/>
        <w:spacing w:before="120" w:after="120"/>
        <w:ind w:firstLine="480"/>
      </w:pPr>
      <w:r w:rsidRPr="00B4515A">
        <w:t xml:space="preserve">K </w:t>
      </w:r>
      <w:r w:rsidRPr="00B4515A">
        <w:rPr>
          <w:rFonts w:hint="eastAsia"/>
        </w:rPr>
        <w:t>为配股率</w:t>
      </w:r>
    </w:p>
    <w:p w14:paraId="4DA01BB4" w14:textId="77777777" w:rsidR="006416B0" w:rsidRPr="00B4515A" w:rsidRDefault="005E58C1" w:rsidP="005860B4">
      <w:pPr>
        <w:pStyle w:val="005"/>
        <w:spacing w:before="120" w:after="120"/>
        <w:ind w:firstLine="480"/>
      </w:pPr>
      <w:r w:rsidRPr="00B4515A">
        <w:t xml:space="preserve">A </w:t>
      </w:r>
      <w:r w:rsidRPr="00B4515A">
        <w:rPr>
          <w:rFonts w:hint="eastAsia"/>
        </w:rPr>
        <w:t>为配股价</w:t>
      </w:r>
    </w:p>
    <w:p w14:paraId="12539F89" w14:textId="77777777" w:rsidR="006416B0" w:rsidRPr="00B4515A" w:rsidRDefault="005E58C1" w:rsidP="005860B4">
      <w:pPr>
        <w:pStyle w:val="005"/>
        <w:spacing w:before="120" w:after="120"/>
        <w:ind w:firstLine="480"/>
      </w:pPr>
      <w:r w:rsidRPr="00B4515A">
        <w:rPr>
          <w:rFonts w:hint="eastAsia"/>
        </w:rPr>
        <w:t>在定价基准日至发行日期间，如中国证监会对发行价格进行政策调整的，则本次非公开发行</w:t>
      </w:r>
      <w:r w:rsidRPr="00B4515A">
        <w:t>A</w:t>
      </w:r>
      <w:r w:rsidRPr="00B4515A">
        <w:rPr>
          <w:rFonts w:hint="eastAsia"/>
        </w:rPr>
        <w:t>股股票的发行价格将做相应调整。</w:t>
      </w:r>
    </w:p>
    <w:p w14:paraId="2D1C07C3" w14:textId="60E16958" w:rsidR="006416B0" w:rsidRPr="00B4515A" w:rsidRDefault="00D43376" w:rsidP="00EE238F">
      <w:pPr>
        <w:pStyle w:val="004"/>
        <w:spacing w:before="120" w:after="120"/>
        <w:ind w:firstLine="482"/>
      </w:pPr>
      <w:r w:rsidRPr="00B4515A">
        <w:t>4</w:t>
      </w:r>
      <w:r w:rsidRPr="00B4515A">
        <w:rPr>
          <w:rFonts w:hint="eastAsia"/>
        </w:rPr>
        <w:t>、</w:t>
      </w:r>
      <w:r w:rsidR="005E58C1" w:rsidRPr="00B4515A">
        <w:rPr>
          <w:rFonts w:hint="eastAsia"/>
        </w:rPr>
        <w:t>发行数量</w:t>
      </w:r>
    </w:p>
    <w:p w14:paraId="27629823" w14:textId="77777777" w:rsidR="006416B0" w:rsidRPr="00B4515A" w:rsidRDefault="005E58C1" w:rsidP="005860B4">
      <w:pPr>
        <w:pStyle w:val="005"/>
        <w:spacing w:before="120" w:after="120"/>
        <w:ind w:firstLine="480"/>
      </w:pPr>
      <w:r w:rsidRPr="00B4515A">
        <w:rPr>
          <w:rFonts w:hint="eastAsia"/>
        </w:rPr>
        <w:t>本次募集配套资金总额为</w:t>
      </w:r>
      <w:bookmarkStart w:id="35" w:name="_Hlk76937537"/>
      <w:r w:rsidRPr="00B4515A">
        <w:t>99,999.999656</w:t>
      </w:r>
      <w:bookmarkEnd w:id="35"/>
      <w:r w:rsidRPr="00B4515A">
        <w:rPr>
          <w:rFonts w:hint="eastAsia"/>
        </w:rPr>
        <w:t>万元。</w:t>
      </w:r>
    </w:p>
    <w:p w14:paraId="0C733775" w14:textId="77777777" w:rsidR="006416B0" w:rsidRPr="00B4515A" w:rsidRDefault="005E58C1" w:rsidP="005860B4">
      <w:pPr>
        <w:pStyle w:val="005"/>
        <w:spacing w:before="120" w:after="120"/>
        <w:ind w:firstLine="480"/>
      </w:pPr>
      <w:r w:rsidRPr="00B4515A">
        <w:rPr>
          <w:rFonts w:hint="eastAsia"/>
        </w:rPr>
        <w:t>中国信科集团认购本次非公开发行</w:t>
      </w:r>
      <w:r w:rsidRPr="00B4515A">
        <w:t>A</w:t>
      </w:r>
      <w:r w:rsidRPr="00B4515A">
        <w:rPr>
          <w:rFonts w:hint="eastAsia"/>
        </w:rPr>
        <w:t>股股票的认购数量计算公式为：中国信科集团认购的本次非公开发行</w:t>
      </w:r>
      <w:r w:rsidRPr="00B4515A">
        <w:t>A</w:t>
      </w:r>
      <w:r w:rsidRPr="00B4515A">
        <w:rPr>
          <w:rFonts w:hint="eastAsia"/>
        </w:rPr>
        <w:t>股股票的股份数量</w:t>
      </w:r>
      <w:r w:rsidRPr="00B4515A">
        <w:t>=</w:t>
      </w:r>
      <w:r w:rsidRPr="00B4515A">
        <w:rPr>
          <w:rFonts w:hint="eastAsia"/>
        </w:rPr>
        <w:t>认购金额÷发行价格。</w:t>
      </w:r>
    </w:p>
    <w:p w14:paraId="3B233495" w14:textId="77777777" w:rsidR="006416B0" w:rsidRPr="00B4515A" w:rsidRDefault="005E58C1" w:rsidP="005860B4">
      <w:pPr>
        <w:pStyle w:val="005"/>
        <w:spacing w:before="120" w:after="120"/>
        <w:ind w:firstLine="480"/>
      </w:pPr>
      <w:r w:rsidRPr="00B4515A">
        <w:rPr>
          <w:rFonts w:hint="eastAsia"/>
        </w:rPr>
        <w:t>依据上述公式计算的发行数量应精确至个位，不足一股的应当舍去取整。根据前述认购金额及发行价格计算，中国信科集团在本次非公开发行</w:t>
      </w:r>
      <w:r w:rsidRPr="00B4515A">
        <w:t>A</w:t>
      </w:r>
      <w:r w:rsidRPr="00B4515A">
        <w:rPr>
          <w:rFonts w:hint="eastAsia"/>
        </w:rPr>
        <w:t>股股票的认购数量为</w:t>
      </w:r>
      <w:r w:rsidRPr="00B4515A">
        <w:t>190,839,694</w:t>
      </w:r>
      <w:r w:rsidRPr="00B4515A">
        <w:rPr>
          <w:rFonts w:hint="eastAsia"/>
        </w:rPr>
        <w:t>股，募集配套资金总额不超过</w:t>
      </w:r>
      <w:bookmarkStart w:id="36" w:name="_Hlk76937681"/>
      <w:r w:rsidRPr="00B4515A">
        <w:rPr>
          <w:rFonts w:hint="eastAsia"/>
        </w:rPr>
        <w:t>本次购买资产中以发行股份方式购买资产的交易价格的</w:t>
      </w:r>
      <w:r w:rsidRPr="00B4515A">
        <w:rPr>
          <w:rFonts w:hint="eastAsia"/>
        </w:rPr>
        <w:t>100%</w:t>
      </w:r>
      <w:r w:rsidRPr="00B4515A">
        <w:rPr>
          <w:rFonts w:hint="eastAsia"/>
        </w:rPr>
        <w:t>，不超过本次交易前上市公司总股本的</w:t>
      </w:r>
      <w:r w:rsidRPr="00B4515A">
        <w:t>30%</w:t>
      </w:r>
      <w:bookmarkEnd w:id="36"/>
      <w:r w:rsidRPr="00B4515A">
        <w:rPr>
          <w:rFonts w:hint="eastAsia"/>
        </w:rPr>
        <w:t>。</w:t>
      </w:r>
    </w:p>
    <w:p w14:paraId="50A510FE" w14:textId="77777777" w:rsidR="006416B0" w:rsidRPr="00B4515A" w:rsidRDefault="005E58C1" w:rsidP="005860B4">
      <w:pPr>
        <w:pStyle w:val="005"/>
        <w:spacing w:before="120" w:after="120"/>
        <w:ind w:firstLine="480"/>
      </w:pPr>
      <w:r w:rsidRPr="00B4515A">
        <w:rPr>
          <w:rFonts w:hint="eastAsia"/>
        </w:rPr>
        <w:t>若上市公司股票在定价基准日至发行日期间发生派息、送红股、资本公积金转增股本等除权除息事项，则本次发行的股票数量将作相应调整。</w:t>
      </w:r>
    </w:p>
    <w:p w14:paraId="6789CA72" w14:textId="77777777" w:rsidR="006416B0" w:rsidRPr="00B4515A" w:rsidRDefault="005E58C1" w:rsidP="005860B4">
      <w:pPr>
        <w:pStyle w:val="005"/>
        <w:spacing w:before="120" w:after="120"/>
        <w:ind w:firstLine="480"/>
      </w:pPr>
      <w:r w:rsidRPr="00B4515A">
        <w:rPr>
          <w:rFonts w:hint="eastAsia"/>
        </w:rPr>
        <w:t>最终发行数量将由上市公司股东大会授权董事会或董事会授权人士根据股东大会的授权与本次发行的独立财务顾问（主承销商）根据经中国证监会核准的发行方案协商确定。</w:t>
      </w:r>
    </w:p>
    <w:p w14:paraId="2C286004" w14:textId="77777777" w:rsidR="006416B0" w:rsidRPr="00B4515A" w:rsidRDefault="005E58C1" w:rsidP="005860B4">
      <w:pPr>
        <w:pStyle w:val="005"/>
        <w:spacing w:before="120" w:after="120"/>
        <w:ind w:firstLine="480"/>
      </w:pPr>
      <w:r w:rsidRPr="00B4515A">
        <w:rPr>
          <w:rFonts w:hint="eastAsia"/>
        </w:rPr>
        <w:t>本次发行股份购买资产为募集配套资金的前提，而发行股份购买资产不以募集配套资金为前提。</w:t>
      </w:r>
    </w:p>
    <w:p w14:paraId="23F842CF" w14:textId="42932CDC" w:rsidR="006416B0" w:rsidRPr="00B4515A" w:rsidRDefault="00D43376" w:rsidP="00EE238F">
      <w:pPr>
        <w:pStyle w:val="004"/>
        <w:spacing w:before="120" w:after="120"/>
        <w:ind w:firstLine="482"/>
      </w:pPr>
      <w:r w:rsidRPr="00B4515A">
        <w:t>5</w:t>
      </w:r>
      <w:r w:rsidRPr="00B4515A">
        <w:rPr>
          <w:rFonts w:hint="eastAsia"/>
        </w:rPr>
        <w:t>、</w:t>
      </w:r>
      <w:r w:rsidR="005E58C1" w:rsidRPr="00B4515A">
        <w:rPr>
          <w:rFonts w:hint="eastAsia"/>
        </w:rPr>
        <w:t>股份的锁定期</w:t>
      </w:r>
    </w:p>
    <w:p w14:paraId="0627D260" w14:textId="77777777" w:rsidR="006416B0" w:rsidRPr="00B4515A" w:rsidRDefault="005E58C1" w:rsidP="005860B4">
      <w:pPr>
        <w:pStyle w:val="005"/>
        <w:spacing w:before="120" w:after="120"/>
        <w:ind w:firstLine="480"/>
      </w:pPr>
      <w:r w:rsidRPr="00B4515A">
        <w:rPr>
          <w:rFonts w:hint="eastAsia"/>
        </w:rPr>
        <w:t>本次募集配套资金发行对象中国信科集团参与募集配套资金股份认购所取得股份自发行结束之日起</w:t>
      </w:r>
      <w:r w:rsidRPr="00B4515A">
        <w:rPr>
          <w:rFonts w:hint="eastAsia"/>
        </w:rPr>
        <w:t>3</w:t>
      </w:r>
      <w:r w:rsidRPr="00B4515A">
        <w:rPr>
          <w:rFonts w:hint="eastAsia"/>
        </w:rPr>
        <w:t>年内不得转让。</w:t>
      </w:r>
    </w:p>
    <w:p w14:paraId="40BE51D1" w14:textId="77777777" w:rsidR="006416B0" w:rsidRPr="00B4515A" w:rsidRDefault="005E58C1" w:rsidP="005860B4">
      <w:pPr>
        <w:pStyle w:val="005"/>
        <w:spacing w:before="120" w:after="120"/>
        <w:ind w:firstLine="480"/>
      </w:pPr>
      <w:r w:rsidRPr="00B4515A">
        <w:rPr>
          <w:rFonts w:hint="eastAsia"/>
        </w:rPr>
        <w:t>若所认购股份的锁定期与中国证监会、上海证券交易所等监管部门的规定不相符，则锁定期将根据相关监管部门的规定进行相应调整。</w:t>
      </w:r>
    </w:p>
    <w:p w14:paraId="60558774" w14:textId="76B86C82" w:rsidR="006416B0" w:rsidRPr="00B4515A" w:rsidRDefault="005E58C1" w:rsidP="006100BC">
      <w:pPr>
        <w:pStyle w:val="005"/>
        <w:spacing w:before="120" w:after="120"/>
        <w:ind w:firstLine="480"/>
      </w:pPr>
      <w:r w:rsidRPr="00B4515A">
        <w:rPr>
          <w:rFonts w:hint="eastAsia"/>
        </w:rPr>
        <w:t>中国信科集团所认购</w:t>
      </w:r>
      <w:r w:rsidRPr="00B4515A">
        <w:t>A</w:t>
      </w:r>
      <w:r w:rsidRPr="00B4515A">
        <w:rPr>
          <w:rFonts w:hint="eastAsia"/>
        </w:rPr>
        <w:t>股股份因上市公司分配股票股利、资本公积转增等</w:t>
      </w:r>
      <w:r w:rsidRPr="00B4515A">
        <w:rPr>
          <w:rFonts w:hint="eastAsia"/>
        </w:rPr>
        <w:lastRenderedPageBreak/>
        <w:t>情形所衍生取得的股份亦应遵守上述股份锁定安排。上述锁定期满后，该等股份的解锁及减持将按中国证监会及上海证券交易所的规定执行。</w:t>
      </w:r>
    </w:p>
    <w:p w14:paraId="1C279D95" w14:textId="0E1B7862" w:rsidR="00D43376" w:rsidRPr="00B4515A" w:rsidRDefault="00D43376" w:rsidP="00EE238F">
      <w:pPr>
        <w:pStyle w:val="003"/>
        <w:spacing w:before="120"/>
        <w:ind w:firstLine="482"/>
      </w:pPr>
      <w:r w:rsidRPr="00B4515A">
        <w:rPr>
          <w:rFonts w:hint="eastAsia"/>
        </w:rPr>
        <w:t>（二）募集配套资金的用途</w:t>
      </w:r>
    </w:p>
    <w:p w14:paraId="52C77005" w14:textId="77777777" w:rsidR="00D43376" w:rsidRPr="00B4515A" w:rsidRDefault="00D43376" w:rsidP="006100BC">
      <w:pPr>
        <w:pStyle w:val="005"/>
        <w:spacing w:before="120" w:after="120"/>
        <w:ind w:firstLine="480"/>
      </w:pPr>
      <w:r w:rsidRPr="00B4515A">
        <w:rPr>
          <w:rFonts w:hint="eastAsia"/>
        </w:rPr>
        <w:t>本次募集配套资金将用于以下项目：</w:t>
      </w:r>
    </w:p>
    <w:p w14:paraId="4821556B" w14:textId="77777777" w:rsidR="00D43376" w:rsidRPr="00B4515A" w:rsidRDefault="00D43376" w:rsidP="005860B4">
      <w:pPr>
        <w:pStyle w:val="009"/>
      </w:pPr>
      <w:r w:rsidRPr="00B4515A">
        <w:rPr>
          <w:rFonts w:hint="eastAsia"/>
        </w:rPr>
        <w:t>单位：万元</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644"/>
        <w:gridCol w:w="1561"/>
        <w:gridCol w:w="2323"/>
      </w:tblGrid>
      <w:tr w:rsidR="00D43376" w:rsidRPr="00B4515A" w14:paraId="41C81DC9" w14:textId="77777777" w:rsidTr="00031627">
        <w:trPr>
          <w:trHeight w:val="340"/>
          <w:jc w:val="center"/>
        </w:trPr>
        <w:tc>
          <w:tcPr>
            <w:tcW w:w="2723" w:type="pct"/>
            <w:tcMar>
              <w:top w:w="0" w:type="dxa"/>
              <w:left w:w="108" w:type="dxa"/>
              <w:bottom w:w="0" w:type="dxa"/>
              <w:right w:w="108" w:type="dxa"/>
            </w:tcMar>
            <w:vAlign w:val="center"/>
          </w:tcPr>
          <w:p w14:paraId="41D6CF66" w14:textId="77777777" w:rsidR="00D43376" w:rsidRPr="00B4515A" w:rsidRDefault="00D43376"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募集配套资金使用项目</w:t>
            </w:r>
          </w:p>
        </w:tc>
        <w:tc>
          <w:tcPr>
            <w:tcW w:w="915" w:type="pct"/>
            <w:tcMar>
              <w:top w:w="0" w:type="dxa"/>
              <w:left w:w="108" w:type="dxa"/>
              <w:bottom w:w="0" w:type="dxa"/>
              <w:right w:w="108" w:type="dxa"/>
            </w:tcMar>
            <w:vAlign w:val="center"/>
          </w:tcPr>
          <w:p w14:paraId="68DF5A9D" w14:textId="77777777" w:rsidR="00D43376" w:rsidRPr="00B4515A" w:rsidRDefault="00D43376" w:rsidP="005860B4">
            <w:pPr>
              <w:widowControl w:val="0"/>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项目投资总额</w:t>
            </w:r>
          </w:p>
        </w:tc>
        <w:tc>
          <w:tcPr>
            <w:tcW w:w="1363" w:type="pct"/>
            <w:tcMar>
              <w:top w:w="0" w:type="dxa"/>
              <w:left w:w="108" w:type="dxa"/>
              <w:bottom w:w="0" w:type="dxa"/>
              <w:right w:w="108" w:type="dxa"/>
            </w:tcMar>
            <w:vAlign w:val="center"/>
          </w:tcPr>
          <w:p w14:paraId="5BA41BB7" w14:textId="77777777" w:rsidR="00D43376" w:rsidRPr="00B4515A" w:rsidRDefault="00D43376" w:rsidP="005860B4">
            <w:pPr>
              <w:widowControl w:val="0"/>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拟投入募集配套资金</w:t>
            </w:r>
          </w:p>
        </w:tc>
      </w:tr>
      <w:tr w:rsidR="00D43376" w:rsidRPr="00B4515A" w14:paraId="4580C557" w14:textId="77777777" w:rsidTr="00031627">
        <w:trPr>
          <w:trHeight w:val="340"/>
          <w:jc w:val="center"/>
        </w:trPr>
        <w:tc>
          <w:tcPr>
            <w:tcW w:w="2723" w:type="pct"/>
            <w:tcMar>
              <w:top w:w="0" w:type="dxa"/>
              <w:left w:w="108" w:type="dxa"/>
              <w:bottom w:w="0" w:type="dxa"/>
              <w:right w:w="108" w:type="dxa"/>
            </w:tcMar>
            <w:vAlign w:val="center"/>
          </w:tcPr>
          <w:p w14:paraId="352B8DD9" w14:textId="77777777" w:rsidR="00D43376" w:rsidRPr="00B4515A" w:rsidRDefault="00D43376"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新型高性能系列安全芯片研发及产业化项目</w:t>
            </w:r>
          </w:p>
        </w:tc>
        <w:tc>
          <w:tcPr>
            <w:tcW w:w="915" w:type="pct"/>
            <w:tcMar>
              <w:top w:w="0" w:type="dxa"/>
              <w:left w:w="108" w:type="dxa"/>
              <w:bottom w:w="0" w:type="dxa"/>
              <w:right w:w="108" w:type="dxa"/>
            </w:tcMar>
            <w:vAlign w:val="center"/>
          </w:tcPr>
          <w:p w14:paraId="62ED91E6" w14:textId="77777777" w:rsidR="00D43376" w:rsidRPr="00B4515A" w:rsidRDefault="00D43376"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71,610.00 </w:t>
            </w:r>
          </w:p>
        </w:tc>
        <w:tc>
          <w:tcPr>
            <w:tcW w:w="1363" w:type="pct"/>
            <w:tcMar>
              <w:top w:w="0" w:type="dxa"/>
              <w:left w:w="108" w:type="dxa"/>
              <w:bottom w:w="0" w:type="dxa"/>
              <w:right w:w="108" w:type="dxa"/>
            </w:tcMar>
            <w:vAlign w:val="center"/>
          </w:tcPr>
          <w:p w14:paraId="4F031D1D" w14:textId="77777777" w:rsidR="00D43376" w:rsidRPr="00B4515A" w:rsidRDefault="00D43376"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50,000.00 </w:t>
            </w:r>
          </w:p>
        </w:tc>
      </w:tr>
      <w:tr w:rsidR="00D43376" w:rsidRPr="00B4515A" w14:paraId="37668BE4" w14:textId="77777777" w:rsidTr="00031627">
        <w:trPr>
          <w:trHeight w:val="340"/>
          <w:jc w:val="center"/>
        </w:trPr>
        <w:tc>
          <w:tcPr>
            <w:tcW w:w="2723" w:type="pct"/>
            <w:tcMar>
              <w:top w:w="0" w:type="dxa"/>
              <w:left w:w="108" w:type="dxa"/>
              <w:bottom w:w="0" w:type="dxa"/>
              <w:right w:w="108" w:type="dxa"/>
            </w:tcMar>
            <w:vAlign w:val="center"/>
          </w:tcPr>
          <w:p w14:paraId="781F7258" w14:textId="55A42EAB" w:rsidR="00D43376" w:rsidRPr="00B4515A" w:rsidRDefault="00D43376"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补充流动资金</w:t>
            </w:r>
            <w:r w:rsidRPr="00B4515A">
              <w:rPr>
                <w:rFonts w:ascii="Times New Roman" w:hAnsi="Times New Roman" w:cs="Times New Roman" w:hint="eastAsia"/>
                <w:sz w:val="21"/>
                <w:szCs w:val="21"/>
              </w:rPr>
              <w:t>、偿还债务</w:t>
            </w:r>
          </w:p>
        </w:tc>
        <w:tc>
          <w:tcPr>
            <w:tcW w:w="915" w:type="pct"/>
            <w:tcMar>
              <w:top w:w="0" w:type="dxa"/>
              <w:left w:w="108" w:type="dxa"/>
              <w:bottom w:w="0" w:type="dxa"/>
              <w:right w:w="108" w:type="dxa"/>
            </w:tcMar>
            <w:vAlign w:val="center"/>
          </w:tcPr>
          <w:p w14:paraId="69728EB4" w14:textId="77777777" w:rsidR="00D43376" w:rsidRPr="00B4515A" w:rsidRDefault="00D43376"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   </w:t>
            </w:r>
          </w:p>
        </w:tc>
        <w:tc>
          <w:tcPr>
            <w:tcW w:w="1363" w:type="pct"/>
            <w:tcMar>
              <w:top w:w="0" w:type="dxa"/>
              <w:left w:w="108" w:type="dxa"/>
              <w:bottom w:w="0" w:type="dxa"/>
              <w:right w:w="108" w:type="dxa"/>
            </w:tcMar>
            <w:vAlign w:val="center"/>
          </w:tcPr>
          <w:p w14:paraId="6AD98F97" w14:textId="77777777" w:rsidR="00D43376" w:rsidRPr="00B4515A" w:rsidRDefault="00D43376"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48,964.999656 </w:t>
            </w:r>
          </w:p>
        </w:tc>
      </w:tr>
      <w:tr w:rsidR="00D43376" w:rsidRPr="00B4515A" w14:paraId="4627E4DF" w14:textId="77777777" w:rsidTr="00031627">
        <w:trPr>
          <w:trHeight w:val="340"/>
          <w:jc w:val="center"/>
        </w:trPr>
        <w:tc>
          <w:tcPr>
            <w:tcW w:w="2723" w:type="pct"/>
            <w:tcMar>
              <w:top w:w="0" w:type="dxa"/>
              <w:left w:w="108" w:type="dxa"/>
              <w:bottom w:w="0" w:type="dxa"/>
              <w:right w:w="108" w:type="dxa"/>
            </w:tcMar>
            <w:vAlign w:val="center"/>
          </w:tcPr>
          <w:p w14:paraId="7411835D" w14:textId="77777777" w:rsidR="00D43376" w:rsidRPr="00B4515A" w:rsidRDefault="00D43376"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支付本次交易税费、中介机构费用等发行费用</w:t>
            </w:r>
          </w:p>
        </w:tc>
        <w:tc>
          <w:tcPr>
            <w:tcW w:w="915" w:type="pct"/>
            <w:tcMar>
              <w:top w:w="0" w:type="dxa"/>
              <w:left w:w="108" w:type="dxa"/>
              <w:bottom w:w="0" w:type="dxa"/>
              <w:right w:w="108" w:type="dxa"/>
            </w:tcMar>
            <w:vAlign w:val="center"/>
          </w:tcPr>
          <w:p w14:paraId="5EE9894F" w14:textId="77777777" w:rsidR="00D43376" w:rsidRPr="00B4515A" w:rsidRDefault="00D43376"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   </w:t>
            </w:r>
          </w:p>
        </w:tc>
        <w:tc>
          <w:tcPr>
            <w:tcW w:w="1363" w:type="pct"/>
            <w:tcMar>
              <w:top w:w="0" w:type="dxa"/>
              <w:left w:w="108" w:type="dxa"/>
              <w:bottom w:w="0" w:type="dxa"/>
              <w:right w:w="108" w:type="dxa"/>
            </w:tcMar>
            <w:vAlign w:val="center"/>
          </w:tcPr>
          <w:p w14:paraId="404585B9" w14:textId="5191BED5" w:rsidR="00D43376" w:rsidRPr="00B4515A" w:rsidRDefault="00D43376"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w:t>
            </w:r>
            <w:r w:rsidRPr="00B4515A">
              <w:rPr>
                <w:rFonts w:ascii="Times New Roman" w:hAnsi="Times New Roman" w:cs="Times New Roman"/>
                <w:sz w:val="21"/>
                <w:szCs w:val="21"/>
              </w:rPr>
              <w:t>约</w:t>
            </w:r>
            <w:r w:rsidRPr="00B4515A">
              <w:rPr>
                <w:rFonts w:ascii="Times New Roman" w:hAnsi="Times New Roman" w:cs="Times New Roman"/>
                <w:sz w:val="21"/>
                <w:szCs w:val="21"/>
              </w:rPr>
              <w:t>1,035</w:t>
            </w:r>
            <w:r w:rsidR="008428D4" w:rsidRPr="00B4515A">
              <w:rPr>
                <w:rFonts w:ascii="Times New Roman" w:hAnsi="Times New Roman" w:cs="Times New Roman"/>
                <w:sz w:val="21"/>
                <w:szCs w:val="21"/>
              </w:rPr>
              <w:t>.00</w:t>
            </w:r>
            <w:r w:rsidRPr="00B4515A">
              <w:rPr>
                <w:rFonts w:ascii="Times New Roman" w:hAnsi="Times New Roman" w:cs="Times New Roman"/>
                <w:sz w:val="21"/>
                <w:szCs w:val="21"/>
              </w:rPr>
              <w:t xml:space="preserve"> </w:t>
            </w:r>
          </w:p>
        </w:tc>
      </w:tr>
      <w:tr w:rsidR="00D43376" w:rsidRPr="00B4515A" w14:paraId="640F91A0" w14:textId="77777777" w:rsidTr="00031627">
        <w:trPr>
          <w:trHeight w:val="340"/>
          <w:jc w:val="center"/>
        </w:trPr>
        <w:tc>
          <w:tcPr>
            <w:tcW w:w="2723" w:type="pct"/>
            <w:tcMar>
              <w:top w:w="0" w:type="dxa"/>
              <w:left w:w="108" w:type="dxa"/>
              <w:bottom w:w="0" w:type="dxa"/>
              <w:right w:w="108" w:type="dxa"/>
            </w:tcMar>
            <w:vAlign w:val="center"/>
          </w:tcPr>
          <w:p w14:paraId="0384109D" w14:textId="77777777" w:rsidR="00D43376" w:rsidRPr="00B4515A" w:rsidRDefault="00D43376"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合计</w:t>
            </w:r>
          </w:p>
        </w:tc>
        <w:tc>
          <w:tcPr>
            <w:tcW w:w="915" w:type="pct"/>
            <w:tcMar>
              <w:top w:w="0" w:type="dxa"/>
              <w:left w:w="108" w:type="dxa"/>
              <w:bottom w:w="0" w:type="dxa"/>
              <w:right w:w="108" w:type="dxa"/>
            </w:tcMar>
            <w:vAlign w:val="center"/>
          </w:tcPr>
          <w:p w14:paraId="7C7E0317" w14:textId="77777777" w:rsidR="00D43376" w:rsidRPr="00B4515A" w:rsidRDefault="00D43376"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 xml:space="preserve"> 71,610.00 </w:t>
            </w:r>
          </w:p>
        </w:tc>
        <w:tc>
          <w:tcPr>
            <w:tcW w:w="1363" w:type="pct"/>
            <w:tcMar>
              <w:top w:w="0" w:type="dxa"/>
              <w:left w:w="108" w:type="dxa"/>
              <w:bottom w:w="0" w:type="dxa"/>
              <w:right w:w="108" w:type="dxa"/>
            </w:tcMar>
            <w:vAlign w:val="center"/>
          </w:tcPr>
          <w:p w14:paraId="09498212" w14:textId="77777777" w:rsidR="00D43376" w:rsidRPr="00B4515A" w:rsidRDefault="00D43376"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99,999.999656</w:t>
            </w:r>
          </w:p>
        </w:tc>
      </w:tr>
    </w:tbl>
    <w:p w14:paraId="4C3A66C0" w14:textId="77777777" w:rsidR="006416B0" w:rsidRPr="00B4515A" w:rsidRDefault="005E58C1" w:rsidP="005860B4">
      <w:pPr>
        <w:pStyle w:val="002"/>
        <w:spacing w:before="120" w:after="120"/>
        <w:ind w:firstLine="562"/>
      </w:pPr>
      <w:bookmarkStart w:id="37" w:name="_Toc80960489"/>
      <w:r w:rsidRPr="00B4515A">
        <w:rPr>
          <w:rFonts w:hint="eastAsia"/>
        </w:rPr>
        <w:t>七、业绩补偿承诺安排</w:t>
      </w:r>
      <w:bookmarkEnd w:id="37"/>
    </w:p>
    <w:p w14:paraId="7784A605" w14:textId="77777777" w:rsidR="006416B0" w:rsidRPr="00B4515A" w:rsidRDefault="005E58C1" w:rsidP="005860B4">
      <w:pPr>
        <w:pStyle w:val="003"/>
        <w:spacing w:before="120"/>
        <w:ind w:firstLine="482"/>
      </w:pPr>
      <w:r w:rsidRPr="00B4515A">
        <w:rPr>
          <w:rFonts w:hint="eastAsia"/>
        </w:rPr>
        <w:t>（一）业绩承诺</w:t>
      </w:r>
    </w:p>
    <w:p w14:paraId="36E1F897" w14:textId="77777777" w:rsidR="006416B0" w:rsidRPr="00B4515A" w:rsidRDefault="005E58C1" w:rsidP="005860B4">
      <w:pPr>
        <w:pStyle w:val="004"/>
        <w:spacing w:before="120" w:after="120"/>
        <w:ind w:firstLine="482"/>
      </w:pPr>
      <w:r w:rsidRPr="00B4515A">
        <w:rPr>
          <w:rFonts w:hint="eastAsia"/>
        </w:rPr>
        <w:t>1</w:t>
      </w:r>
      <w:r w:rsidRPr="00B4515A">
        <w:rPr>
          <w:rFonts w:hint="eastAsia"/>
        </w:rPr>
        <w:t>、业绩承诺人</w:t>
      </w:r>
    </w:p>
    <w:p w14:paraId="160A8C8E" w14:textId="77777777" w:rsidR="006416B0" w:rsidRPr="00B4515A" w:rsidRDefault="005E58C1" w:rsidP="005860B4">
      <w:pPr>
        <w:pStyle w:val="005"/>
        <w:spacing w:before="120" w:after="120"/>
        <w:ind w:firstLine="480"/>
      </w:pPr>
      <w:r w:rsidRPr="00B4515A">
        <w:rPr>
          <w:rFonts w:hint="eastAsia"/>
        </w:rPr>
        <w:t>电信科研院、大唐控股为本次交易的业绩承诺人。</w:t>
      </w:r>
    </w:p>
    <w:p w14:paraId="2DBED2F1" w14:textId="77777777" w:rsidR="006416B0" w:rsidRPr="00B4515A" w:rsidRDefault="005E58C1" w:rsidP="005860B4">
      <w:pPr>
        <w:pStyle w:val="004"/>
        <w:spacing w:before="120" w:after="120"/>
        <w:ind w:firstLine="482"/>
      </w:pPr>
      <w:r w:rsidRPr="00B4515A">
        <w:rPr>
          <w:rFonts w:hint="eastAsia"/>
        </w:rPr>
        <w:t>2</w:t>
      </w:r>
      <w:r w:rsidRPr="00B4515A">
        <w:rPr>
          <w:rFonts w:hint="eastAsia"/>
        </w:rPr>
        <w:t>、业绩承诺期</w:t>
      </w:r>
    </w:p>
    <w:p w14:paraId="0CAF399A" w14:textId="77777777" w:rsidR="006416B0" w:rsidRPr="00B4515A" w:rsidRDefault="005E58C1" w:rsidP="005860B4">
      <w:pPr>
        <w:pStyle w:val="005"/>
        <w:spacing w:before="120" w:after="120"/>
        <w:ind w:firstLine="480"/>
      </w:pPr>
      <w:r w:rsidRPr="00B4515A">
        <w:rPr>
          <w:rFonts w:hint="eastAsia"/>
        </w:rPr>
        <w:t>本次交易的业绩承诺期为</w:t>
      </w:r>
      <w:r w:rsidRPr="00B4515A">
        <w:rPr>
          <w:rFonts w:hint="eastAsia"/>
        </w:rPr>
        <w:t>2021</w:t>
      </w:r>
      <w:r w:rsidRPr="00B4515A">
        <w:rPr>
          <w:rFonts w:hint="eastAsia"/>
        </w:rPr>
        <w:t>年、</w:t>
      </w:r>
      <w:r w:rsidRPr="00B4515A">
        <w:rPr>
          <w:rFonts w:hint="eastAsia"/>
        </w:rPr>
        <w:t>2022</w:t>
      </w:r>
      <w:r w:rsidRPr="00B4515A">
        <w:rPr>
          <w:rFonts w:hint="eastAsia"/>
        </w:rPr>
        <w:t>年和</w:t>
      </w:r>
      <w:r w:rsidRPr="00B4515A">
        <w:rPr>
          <w:rFonts w:hint="eastAsia"/>
        </w:rPr>
        <w:t>2023</w:t>
      </w:r>
      <w:r w:rsidRPr="00B4515A">
        <w:rPr>
          <w:rFonts w:hint="eastAsia"/>
        </w:rPr>
        <w:t>年，若交割日推迟至</w:t>
      </w:r>
      <w:r w:rsidRPr="00B4515A">
        <w:rPr>
          <w:rFonts w:hint="eastAsia"/>
        </w:rPr>
        <w:t>2021</w:t>
      </w:r>
      <w:r w:rsidRPr="00B4515A">
        <w:rPr>
          <w:rFonts w:hint="eastAsia"/>
        </w:rPr>
        <w:t>年</w:t>
      </w:r>
      <w:r w:rsidRPr="00B4515A">
        <w:rPr>
          <w:rFonts w:hint="eastAsia"/>
        </w:rPr>
        <w:t>12</w:t>
      </w:r>
      <w:r w:rsidRPr="00B4515A">
        <w:rPr>
          <w:rFonts w:hint="eastAsia"/>
        </w:rPr>
        <w:t>月</w:t>
      </w:r>
      <w:r w:rsidRPr="00B4515A">
        <w:rPr>
          <w:rFonts w:hint="eastAsia"/>
        </w:rPr>
        <w:t>31</w:t>
      </w:r>
      <w:r w:rsidRPr="00B4515A">
        <w:rPr>
          <w:rFonts w:hint="eastAsia"/>
        </w:rPr>
        <w:t>日之后的，则前述业绩承诺期相应顺延为</w:t>
      </w:r>
      <w:r w:rsidRPr="00B4515A">
        <w:rPr>
          <w:rFonts w:hint="eastAsia"/>
        </w:rPr>
        <w:t>2022</w:t>
      </w:r>
      <w:r w:rsidRPr="00B4515A">
        <w:rPr>
          <w:rFonts w:hint="eastAsia"/>
        </w:rPr>
        <w:t>年、</w:t>
      </w:r>
      <w:r w:rsidRPr="00B4515A">
        <w:rPr>
          <w:rFonts w:hint="eastAsia"/>
        </w:rPr>
        <w:t>2023</w:t>
      </w:r>
      <w:r w:rsidRPr="00B4515A">
        <w:rPr>
          <w:rFonts w:hint="eastAsia"/>
        </w:rPr>
        <w:t>年、</w:t>
      </w:r>
      <w:r w:rsidRPr="00B4515A">
        <w:rPr>
          <w:rFonts w:hint="eastAsia"/>
        </w:rPr>
        <w:t>2024</w:t>
      </w:r>
      <w:r w:rsidRPr="00B4515A">
        <w:rPr>
          <w:rFonts w:hint="eastAsia"/>
        </w:rPr>
        <w:t>年。</w:t>
      </w:r>
    </w:p>
    <w:p w14:paraId="39417873" w14:textId="77777777" w:rsidR="006416B0" w:rsidRPr="00B4515A" w:rsidRDefault="005E58C1" w:rsidP="005860B4">
      <w:pPr>
        <w:pStyle w:val="004"/>
        <w:spacing w:before="120" w:after="120"/>
        <w:ind w:firstLine="482"/>
      </w:pPr>
      <w:r w:rsidRPr="00B4515A">
        <w:rPr>
          <w:rFonts w:hint="eastAsia"/>
        </w:rPr>
        <w:t>3</w:t>
      </w:r>
      <w:r w:rsidRPr="00B4515A">
        <w:rPr>
          <w:rFonts w:hint="eastAsia"/>
        </w:rPr>
        <w:t>、承诺利润</w:t>
      </w:r>
    </w:p>
    <w:p w14:paraId="1FB6B3C3" w14:textId="232CD03C" w:rsidR="006416B0" w:rsidRPr="00B4515A" w:rsidRDefault="005E58C1" w:rsidP="005860B4">
      <w:pPr>
        <w:pStyle w:val="005"/>
        <w:spacing w:before="120" w:after="120"/>
        <w:ind w:firstLine="480"/>
      </w:pPr>
      <w:r w:rsidRPr="00B4515A">
        <w:rPr>
          <w:rFonts w:hint="eastAsia"/>
        </w:rPr>
        <w:t>业绩承诺</w:t>
      </w:r>
      <w:r w:rsidR="008428D4" w:rsidRPr="00B4515A">
        <w:rPr>
          <w:rFonts w:hint="eastAsia"/>
        </w:rPr>
        <w:t>人</w:t>
      </w:r>
      <w:r w:rsidRPr="00B4515A">
        <w:rPr>
          <w:rFonts w:hint="eastAsia"/>
        </w:rPr>
        <w:t>对标的公司在业绩承诺期间每年实现的承诺净利润数分别如下：</w:t>
      </w:r>
    </w:p>
    <w:p w14:paraId="3F1B0D77" w14:textId="77777777" w:rsidR="006416B0" w:rsidRPr="00B4515A" w:rsidRDefault="005E58C1" w:rsidP="005860B4">
      <w:pPr>
        <w:pStyle w:val="009"/>
      </w:pPr>
      <w:r w:rsidRPr="00B4515A">
        <w:rPr>
          <w:rFonts w:hint="eastAsia"/>
        </w:rPr>
        <w:t>单位：万元</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70"/>
        <w:gridCol w:w="2170"/>
        <w:gridCol w:w="2170"/>
        <w:gridCol w:w="2018"/>
      </w:tblGrid>
      <w:tr w:rsidR="006416B0" w:rsidRPr="00B4515A" w14:paraId="3975E957" w14:textId="77777777" w:rsidTr="00031627">
        <w:trPr>
          <w:trHeight w:val="340"/>
          <w:jc w:val="center"/>
        </w:trPr>
        <w:tc>
          <w:tcPr>
            <w:tcW w:w="1273" w:type="pct"/>
            <w:tcMar>
              <w:top w:w="0" w:type="dxa"/>
              <w:left w:w="108" w:type="dxa"/>
              <w:bottom w:w="0" w:type="dxa"/>
              <w:right w:w="108" w:type="dxa"/>
            </w:tcMar>
            <w:vAlign w:val="center"/>
          </w:tcPr>
          <w:p w14:paraId="0BE06EF7"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2021</w:t>
            </w:r>
            <w:r w:rsidRPr="00B4515A">
              <w:rPr>
                <w:rFonts w:ascii="Times New Roman" w:hAnsi="Times New Roman" w:cs="Times New Roman"/>
                <w:b/>
                <w:sz w:val="21"/>
                <w:szCs w:val="21"/>
              </w:rPr>
              <w:t>年</w:t>
            </w:r>
          </w:p>
        </w:tc>
        <w:tc>
          <w:tcPr>
            <w:tcW w:w="1272" w:type="pct"/>
            <w:tcMar>
              <w:top w:w="0" w:type="dxa"/>
              <w:left w:w="108" w:type="dxa"/>
              <w:bottom w:w="0" w:type="dxa"/>
              <w:right w:w="108" w:type="dxa"/>
            </w:tcMar>
            <w:vAlign w:val="center"/>
          </w:tcPr>
          <w:p w14:paraId="3C0DC050"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2022</w:t>
            </w:r>
            <w:r w:rsidRPr="00B4515A">
              <w:rPr>
                <w:rFonts w:ascii="Times New Roman" w:hAnsi="Times New Roman" w:cs="Times New Roman"/>
                <w:b/>
                <w:sz w:val="21"/>
                <w:szCs w:val="21"/>
              </w:rPr>
              <w:t>年</w:t>
            </w:r>
          </w:p>
        </w:tc>
        <w:tc>
          <w:tcPr>
            <w:tcW w:w="1272" w:type="pct"/>
            <w:tcMar>
              <w:top w:w="0" w:type="dxa"/>
              <w:left w:w="108" w:type="dxa"/>
              <w:bottom w:w="0" w:type="dxa"/>
              <w:right w:w="108" w:type="dxa"/>
            </w:tcMar>
            <w:vAlign w:val="center"/>
          </w:tcPr>
          <w:p w14:paraId="76979AF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2023</w:t>
            </w:r>
            <w:r w:rsidRPr="00B4515A">
              <w:rPr>
                <w:rFonts w:ascii="Times New Roman" w:hAnsi="Times New Roman" w:cs="Times New Roman"/>
                <w:b/>
                <w:sz w:val="21"/>
                <w:szCs w:val="21"/>
              </w:rPr>
              <w:t>年</w:t>
            </w:r>
          </w:p>
        </w:tc>
        <w:tc>
          <w:tcPr>
            <w:tcW w:w="1183" w:type="pct"/>
            <w:tcMar>
              <w:top w:w="0" w:type="dxa"/>
              <w:left w:w="108" w:type="dxa"/>
              <w:bottom w:w="0" w:type="dxa"/>
              <w:right w:w="108" w:type="dxa"/>
            </w:tcMar>
            <w:vAlign w:val="center"/>
          </w:tcPr>
          <w:p w14:paraId="3120269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2024</w:t>
            </w:r>
            <w:r w:rsidRPr="00B4515A">
              <w:rPr>
                <w:rFonts w:ascii="Times New Roman" w:hAnsi="Times New Roman" w:cs="Times New Roman"/>
                <w:b/>
                <w:sz w:val="21"/>
                <w:szCs w:val="21"/>
              </w:rPr>
              <w:t>年</w:t>
            </w:r>
          </w:p>
        </w:tc>
      </w:tr>
      <w:tr w:rsidR="006416B0" w:rsidRPr="00B4515A" w14:paraId="1205BB19" w14:textId="77777777" w:rsidTr="00031627">
        <w:trPr>
          <w:trHeight w:val="340"/>
          <w:jc w:val="center"/>
        </w:trPr>
        <w:tc>
          <w:tcPr>
            <w:tcW w:w="1273" w:type="pct"/>
            <w:tcMar>
              <w:top w:w="0" w:type="dxa"/>
              <w:left w:w="108" w:type="dxa"/>
              <w:bottom w:w="0" w:type="dxa"/>
              <w:right w:w="108" w:type="dxa"/>
            </w:tcMar>
            <w:vAlign w:val="center"/>
          </w:tcPr>
          <w:p w14:paraId="7B85910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4,315.64 </w:t>
            </w:r>
          </w:p>
        </w:tc>
        <w:tc>
          <w:tcPr>
            <w:tcW w:w="1272" w:type="pct"/>
            <w:tcMar>
              <w:top w:w="0" w:type="dxa"/>
              <w:left w:w="108" w:type="dxa"/>
              <w:bottom w:w="0" w:type="dxa"/>
              <w:right w:w="108" w:type="dxa"/>
            </w:tcMar>
            <w:vAlign w:val="center"/>
          </w:tcPr>
          <w:p w14:paraId="4E1AE03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6,904.02 </w:t>
            </w:r>
          </w:p>
        </w:tc>
        <w:tc>
          <w:tcPr>
            <w:tcW w:w="1272" w:type="pct"/>
            <w:tcMar>
              <w:top w:w="0" w:type="dxa"/>
              <w:left w:w="108" w:type="dxa"/>
              <w:bottom w:w="0" w:type="dxa"/>
              <w:right w:w="108" w:type="dxa"/>
            </w:tcMar>
            <w:vAlign w:val="center"/>
          </w:tcPr>
          <w:p w14:paraId="781869E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8,406.64 </w:t>
            </w:r>
          </w:p>
        </w:tc>
        <w:tc>
          <w:tcPr>
            <w:tcW w:w="1183" w:type="pct"/>
            <w:tcMar>
              <w:top w:w="0" w:type="dxa"/>
              <w:left w:w="108" w:type="dxa"/>
              <w:bottom w:w="0" w:type="dxa"/>
              <w:right w:w="108" w:type="dxa"/>
            </w:tcMar>
            <w:vAlign w:val="center"/>
          </w:tcPr>
          <w:p w14:paraId="5BA2DD0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11,521.03 </w:t>
            </w:r>
          </w:p>
        </w:tc>
      </w:tr>
    </w:tbl>
    <w:p w14:paraId="00E75CFE" w14:textId="77777777" w:rsidR="006416B0" w:rsidRPr="00B4515A" w:rsidRDefault="005E58C1" w:rsidP="005860B4">
      <w:pPr>
        <w:pStyle w:val="006"/>
        <w:ind w:firstLine="420"/>
      </w:pPr>
      <w:r w:rsidRPr="00B4515A">
        <w:rPr>
          <w:rFonts w:hint="eastAsia"/>
        </w:rPr>
        <w:t>注：净利润指经审计合并报表口径下扣除非经常性损益后的归属于母公司所有者净利润。</w:t>
      </w:r>
    </w:p>
    <w:p w14:paraId="46E72483" w14:textId="77777777" w:rsidR="006416B0" w:rsidRPr="00B4515A" w:rsidRDefault="005E58C1" w:rsidP="005860B4">
      <w:pPr>
        <w:pStyle w:val="004"/>
        <w:spacing w:before="120" w:after="120"/>
        <w:ind w:firstLine="482"/>
      </w:pPr>
      <w:r w:rsidRPr="00B4515A">
        <w:t>4</w:t>
      </w:r>
      <w:r w:rsidRPr="00B4515A">
        <w:t>、业绩承诺金额的确定</w:t>
      </w:r>
    </w:p>
    <w:p w14:paraId="2C707DD3" w14:textId="77777777" w:rsidR="006416B0" w:rsidRPr="00B4515A" w:rsidRDefault="005E58C1" w:rsidP="005860B4">
      <w:pPr>
        <w:pStyle w:val="005"/>
        <w:spacing w:before="120" w:after="120"/>
        <w:ind w:firstLine="480"/>
      </w:pPr>
      <w:r w:rsidRPr="00B4515A">
        <w:t>在业绩承诺期间内每个会计年度，应由上市公司聘请具备《证券法》等法律法规及中国证监会规定的从事证券服务业务资质的审计机构，对标的公司在业绩承诺期间的每年度实现净利润与承诺净利润数额的差异情况分别进行专项审核，并出具业绩承诺年度专项审核报告。标的公司在业绩承诺期间内实现净利润与承诺净利润的差额，将根据业绩承诺年度专项审核报告的结果确定。</w:t>
      </w:r>
    </w:p>
    <w:p w14:paraId="7297CA7C" w14:textId="77777777" w:rsidR="006416B0" w:rsidRPr="00B4515A" w:rsidRDefault="005E58C1" w:rsidP="005860B4">
      <w:pPr>
        <w:pStyle w:val="005"/>
        <w:spacing w:before="120" w:after="120"/>
        <w:ind w:firstLine="480"/>
      </w:pPr>
      <w:r w:rsidRPr="00B4515A">
        <w:rPr>
          <w:rFonts w:hint="eastAsia"/>
        </w:rPr>
        <w:lastRenderedPageBreak/>
        <w:t>标的公司于业绩承诺期内实现净利润按照如下原则计算：</w:t>
      </w:r>
    </w:p>
    <w:p w14:paraId="443FF826" w14:textId="77777777" w:rsidR="006416B0" w:rsidRPr="00B4515A" w:rsidRDefault="005E58C1" w:rsidP="005860B4">
      <w:pPr>
        <w:pStyle w:val="005"/>
        <w:spacing w:before="120" w:after="120"/>
        <w:ind w:firstLine="480"/>
      </w:pPr>
      <w:r w:rsidRPr="00B4515A">
        <w:rPr>
          <w:rFonts w:hint="eastAsia"/>
        </w:rPr>
        <w:t>（</w:t>
      </w:r>
      <w:r w:rsidRPr="00B4515A">
        <w:rPr>
          <w:rFonts w:hint="eastAsia"/>
        </w:rPr>
        <w:t>1</w:t>
      </w:r>
      <w:r w:rsidRPr="00B4515A">
        <w:rPr>
          <w:rFonts w:hint="eastAsia"/>
        </w:rPr>
        <w:t>）标的</w:t>
      </w:r>
      <w:r w:rsidRPr="00B4515A">
        <w:t>公司的财务报表编制应符合《企业会计准则》及其他法律、法规的规定并与</w:t>
      </w:r>
      <w:r w:rsidRPr="00B4515A">
        <w:rPr>
          <w:rFonts w:hint="eastAsia"/>
        </w:rPr>
        <w:t>上市公司</w:t>
      </w:r>
      <w:r w:rsidRPr="00B4515A">
        <w:t>会计政策及会计估计保持一致；</w:t>
      </w:r>
    </w:p>
    <w:p w14:paraId="651FA271" w14:textId="77777777" w:rsidR="006416B0" w:rsidRPr="00B4515A" w:rsidRDefault="005E58C1" w:rsidP="005860B4">
      <w:pPr>
        <w:pStyle w:val="005"/>
        <w:spacing w:before="120" w:after="120"/>
        <w:ind w:firstLine="480"/>
      </w:pPr>
      <w:r w:rsidRPr="00B4515A">
        <w:rPr>
          <w:rFonts w:hint="eastAsia"/>
        </w:rPr>
        <w:t>（</w:t>
      </w:r>
      <w:r w:rsidRPr="00B4515A">
        <w:rPr>
          <w:rFonts w:hint="eastAsia"/>
        </w:rPr>
        <w:t>2</w:t>
      </w:r>
      <w:r w:rsidRPr="00B4515A">
        <w:rPr>
          <w:rFonts w:hint="eastAsia"/>
        </w:rPr>
        <w:t>）</w:t>
      </w:r>
      <w:r w:rsidRPr="00B4515A">
        <w:t>若本次交易募集配套资金成功实施，在计算</w:t>
      </w:r>
      <w:r w:rsidRPr="00B4515A">
        <w:rPr>
          <w:rFonts w:hint="eastAsia"/>
        </w:rPr>
        <w:t>标的</w:t>
      </w:r>
      <w:r w:rsidRPr="00B4515A">
        <w:t>公司于业绩承诺期间的实际实现净利润时应扣除募集资金投入</w:t>
      </w:r>
      <w:r w:rsidRPr="00B4515A">
        <w:rPr>
          <w:rFonts w:hint="eastAsia"/>
        </w:rPr>
        <w:t>标的</w:t>
      </w:r>
      <w:r w:rsidRPr="00B4515A">
        <w:t>公司带来的影响，包括：（</w:t>
      </w:r>
      <w:r w:rsidRPr="00B4515A">
        <w:t>i</w:t>
      </w:r>
      <w:r w:rsidRPr="00B4515A">
        <w:t>）已投入募集资金所产生的募投项目经营收益或经营亏损；（</w:t>
      </w:r>
      <w:r w:rsidRPr="00B4515A">
        <w:t>ii</w:t>
      </w:r>
      <w:r w:rsidRPr="00B4515A">
        <w:t>）暂未使用的其余应用于</w:t>
      </w:r>
      <w:r w:rsidRPr="00B4515A">
        <w:rPr>
          <w:rFonts w:hint="eastAsia"/>
        </w:rPr>
        <w:t>标的</w:t>
      </w:r>
      <w:r w:rsidRPr="00B4515A">
        <w:t>公司募投项目的募集资金产生的利息收益；及（</w:t>
      </w:r>
      <w:r w:rsidRPr="00B4515A">
        <w:t>iii</w:t>
      </w:r>
      <w:r w:rsidRPr="00B4515A">
        <w:t>）如</w:t>
      </w:r>
      <w:r w:rsidRPr="00B4515A">
        <w:rPr>
          <w:rFonts w:hint="eastAsia"/>
        </w:rPr>
        <w:t>上市公司</w:t>
      </w:r>
      <w:r w:rsidRPr="00B4515A">
        <w:t>以借款方式将募集资金投入</w:t>
      </w:r>
      <w:r w:rsidRPr="00B4515A">
        <w:rPr>
          <w:rFonts w:hint="eastAsia"/>
        </w:rPr>
        <w:t>标的</w:t>
      </w:r>
      <w:r w:rsidRPr="00B4515A">
        <w:t>公司，还应扣除该等借款的相应利息。</w:t>
      </w:r>
    </w:p>
    <w:p w14:paraId="09A7C4B0" w14:textId="77777777" w:rsidR="006416B0" w:rsidRPr="00B4515A" w:rsidRDefault="005E58C1" w:rsidP="005860B4">
      <w:pPr>
        <w:pStyle w:val="004"/>
        <w:spacing w:before="120" w:after="120"/>
        <w:ind w:firstLine="482"/>
      </w:pPr>
      <w:r w:rsidRPr="00B4515A">
        <w:t>5</w:t>
      </w:r>
      <w:r w:rsidRPr="00B4515A">
        <w:t>、业绩补偿方式及实施</w:t>
      </w:r>
    </w:p>
    <w:p w14:paraId="04313C2E" w14:textId="77777777" w:rsidR="006416B0" w:rsidRPr="00B4515A" w:rsidRDefault="005E58C1" w:rsidP="005860B4">
      <w:pPr>
        <w:pStyle w:val="005"/>
        <w:spacing w:before="120" w:after="120"/>
        <w:ind w:firstLine="480"/>
      </w:pPr>
      <w:r w:rsidRPr="00B4515A">
        <w:t>（</w:t>
      </w:r>
      <w:r w:rsidRPr="00B4515A">
        <w:t>1</w:t>
      </w:r>
      <w:r w:rsidRPr="00B4515A">
        <w:t>）补偿原则</w:t>
      </w:r>
    </w:p>
    <w:p w14:paraId="6FDE5293" w14:textId="77777777" w:rsidR="006416B0" w:rsidRPr="00B4515A" w:rsidRDefault="005E58C1" w:rsidP="005860B4">
      <w:pPr>
        <w:pStyle w:val="005"/>
        <w:spacing w:before="120" w:after="120"/>
        <w:ind w:firstLine="480"/>
      </w:pPr>
      <w:r w:rsidRPr="00B4515A">
        <w:t>若标的公司在业绩承诺期间任一会计年度当年年末累计实现净利润（标的公司经上市公司聘请的具备《证券法》等法律法规及中国证监会规定的从事证券服务业务资质的会计师事务所审计的合并报表口径下扣除非经常性损益后的归属于母公司所有者净利润）低于当年年末累计承诺净利润的，则业绩承诺</w:t>
      </w:r>
      <w:r w:rsidRPr="00B4515A">
        <w:rPr>
          <w:rFonts w:hint="eastAsia"/>
        </w:rPr>
        <w:t>人</w:t>
      </w:r>
      <w:r w:rsidRPr="00B4515A">
        <w:t>应按照《大唐电信科技股份有限公司与电信科学技术研究院有限公司、大唐电信科技产业控股有限公司之业绩承诺与补偿协议》约定对上市公司承担业绩补偿义务。补偿原则为：</w:t>
      </w:r>
    </w:p>
    <w:p w14:paraId="3F12D580" w14:textId="093D5F3F" w:rsidR="006416B0" w:rsidRPr="00B4515A" w:rsidRDefault="005E58C1" w:rsidP="002B0582">
      <w:pPr>
        <w:pStyle w:val="005"/>
        <w:spacing w:before="120" w:after="120"/>
        <w:ind w:firstLine="480"/>
      </w:pPr>
      <w:r w:rsidRPr="00B4515A">
        <w:t>1</w:t>
      </w:r>
      <w:r w:rsidRPr="00B4515A">
        <w:t>）业绩承诺</w:t>
      </w:r>
      <w:r w:rsidRPr="00B4515A">
        <w:rPr>
          <w:rFonts w:hint="eastAsia"/>
        </w:rPr>
        <w:t>人</w:t>
      </w:r>
      <w:r w:rsidRPr="00B4515A">
        <w:t>应以通过本次交易而取得的对价股份对上市公司进行补偿</w:t>
      </w:r>
      <w:r w:rsidR="008428D4" w:rsidRPr="00B4515A">
        <w:rPr>
          <w:rFonts w:hint="eastAsia"/>
        </w:rPr>
        <w:t>。</w:t>
      </w:r>
    </w:p>
    <w:p w14:paraId="50957254" w14:textId="77777777" w:rsidR="006416B0" w:rsidRPr="00B4515A" w:rsidRDefault="005E58C1" w:rsidP="005860B4">
      <w:pPr>
        <w:pStyle w:val="005"/>
        <w:spacing w:before="120" w:after="120"/>
        <w:ind w:firstLine="480"/>
      </w:pPr>
      <w:r w:rsidRPr="00B4515A">
        <w:t>2</w:t>
      </w:r>
      <w:r w:rsidRPr="00B4515A">
        <w:t>）业绩承诺</w:t>
      </w:r>
      <w:r w:rsidRPr="00B4515A">
        <w:rPr>
          <w:rFonts w:hint="eastAsia"/>
        </w:rPr>
        <w:t>人</w:t>
      </w:r>
      <w:r w:rsidRPr="00B4515A">
        <w:t>仅按其在</w:t>
      </w:r>
      <w:r w:rsidRPr="00B4515A">
        <w:rPr>
          <w:rFonts w:hint="eastAsia"/>
        </w:rPr>
        <w:t>业绩补偿协议</w:t>
      </w:r>
      <w:r w:rsidRPr="00B4515A">
        <w:t>签署日</w:t>
      </w:r>
      <w:r w:rsidRPr="00B4515A">
        <w:rPr>
          <w:rFonts w:hint="eastAsia"/>
        </w:rPr>
        <w:t>拟转让股权占标的资产的比例</w:t>
      </w:r>
      <w:r w:rsidRPr="00B4515A">
        <w:t>承担</w:t>
      </w:r>
      <w:r w:rsidRPr="00B4515A">
        <w:rPr>
          <w:rFonts w:hint="eastAsia"/>
        </w:rPr>
        <w:t>业绩补偿协议</w:t>
      </w:r>
      <w:r w:rsidRPr="00B4515A">
        <w:t>项下的补偿义务。</w:t>
      </w:r>
    </w:p>
    <w:p w14:paraId="104FF0C3" w14:textId="77777777" w:rsidR="006416B0" w:rsidRPr="00B4515A" w:rsidRDefault="005E58C1" w:rsidP="005860B4">
      <w:pPr>
        <w:pStyle w:val="005"/>
        <w:spacing w:before="120" w:after="120"/>
        <w:ind w:firstLine="480"/>
      </w:pPr>
      <w:r w:rsidRPr="00B4515A">
        <w:t>3</w:t>
      </w:r>
      <w:r w:rsidRPr="00B4515A">
        <w:t>）对于业绩承诺</w:t>
      </w:r>
      <w:r w:rsidRPr="00B4515A">
        <w:rPr>
          <w:rFonts w:hint="eastAsia"/>
        </w:rPr>
        <w:t>人</w:t>
      </w:r>
      <w:r w:rsidRPr="00B4515A">
        <w:t>补偿的股份，上市公司有权分别以</w:t>
      </w:r>
      <w:r w:rsidRPr="00B4515A">
        <w:t>1</w:t>
      </w:r>
      <w:r w:rsidRPr="00B4515A">
        <w:t>元的总价格予以回购并注销。</w:t>
      </w:r>
    </w:p>
    <w:p w14:paraId="65D4200F" w14:textId="77777777" w:rsidR="006416B0" w:rsidRPr="00B4515A" w:rsidRDefault="005E58C1" w:rsidP="005860B4">
      <w:pPr>
        <w:pStyle w:val="005"/>
        <w:spacing w:before="120" w:after="120"/>
        <w:ind w:firstLine="480"/>
      </w:pPr>
      <w:r w:rsidRPr="00B4515A">
        <w:t>4</w:t>
      </w:r>
      <w:r w:rsidRPr="00B4515A">
        <w:t>）业绩承诺</w:t>
      </w:r>
      <w:r w:rsidRPr="00B4515A">
        <w:rPr>
          <w:rFonts w:hint="eastAsia"/>
        </w:rPr>
        <w:t>人</w:t>
      </w:r>
      <w:r w:rsidRPr="00B4515A">
        <w:t>因业绩补偿分别需要向上市公司补偿的股份数量应不超过业绩承诺</w:t>
      </w:r>
      <w:r w:rsidRPr="00B4515A">
        <w:rPr>
          <w:rFonts w:hint="eastAsia"/>
        </w:rPr>
        <w:t>人</w:t>
      </w:r>
      <w:r w:rsidRPr="00B4515A">
        <w:t>在本次交易中分别取得的对价股份（包括送股或转增的股份）数量。</w:t>
      </w:r>
    </w:p>
    <w:p w14:paraId="15DEDAA2" w14:textId="77777777" w:rsidR="006416B0" w:rsidRPr="00B4515A" w:rsidRDefault="005E58C1" w:rsidP="005860B4">
      <w:pPr>
        <w:pStyle w:val="005"/>
        <w:spacing w:before="120" w:after="120"/>
        <w:ind w:firstLine="480"/>
      </w:pPr>
      <w:r w:rsidRPr="00B4515A">
        <w:t>（</w:t>
      </w:r>
      <w:r w:rsidRPr="00B4515A">
        <w:t>2</w:t>
      </w:r>
      <w:r w:rsidRPr="00B4515A">
        <w:t>）补偿股份的计算</w:t>
      </w:r>
    </w:p>
    <w:p w14:paraId="21764402" w14:textId="77777777" w:rsidR="006416B0" w:rsidRPr="00B4515A" w:rsidRDefault="005E58C1" w:rsidP="005860B4">
      <w:pPr>
        <w:pStyle w:val="005"/>
        <w:spacing w:before="120" w:after="120"/>
        <w:ind w:firstLine="480"/>
      </w:pPr>
      <w:r w:rsidRPr="00B4515A">
        <w:t>任一业绩承诺</w:t>
      </w:r>
      <w:r w:rsidRPr="00B4515A">
        <w:rPr>
          <w:rFonts w:hint="eastAsia"/>
        </w:rPr>
        <w:t>人</w:t>
      </w:r>
      <w:r w:rsidRPr="00B4515A">
        <w:t>当期应补偿金额</w:t>
      </w:r>
      <w:r w:rsidRPr="00B4515A">
        <w:t>=</w:t>
      </w:r>
      <w:r w:rsidRPr="00B4515A">
        <w:t>（截至当期期末累计承诺净利润数</w:t>
      </w:r>
      <w:r w:rsidRPr="00B4515A">
        <w:t>-</w:t>
      </w:r>
      <w:r w:rsidRPr="00B4515A">
        <w:t>截至当期期末累计实现净利润数）</w:t>
      </w:r>
      <w:r w:rsidRPr="00B4515A">
        <w:t>÷</w:t>
      </w:r>
      <w:r w:rsidRPr="00B4515A">
        <w:t>业绩承诺期内各年的预测净利润数总和</w:t>
      </w:r>
      <w:r w:rsidRPr="00B4515A">
        <w:t>×</w:t>
      </w:r>
      <w:r w:rsidRPr="00B4515A">
        <w:rPr>
          <w:rFonts w:hint="eastAsia"/>
        </w:rPr>
        <w:t>标的资产的</w:t>
      </w:r>
      <w:r w:rsidRPr="00B4515A">
        <w:rPr>
          <w:rFonts w:hint="eastAsia"/>
        </w:rPr>
        <w:lastRenderedPageBreak/>
        <w:t>交易价格×业绩补偿协议签署日该业绩承诺人拟转让股权占标的资产的比例</w:t>
      </w:r>
      <w:r w:rsidRPr="00B4515A">
        <w:t>-</w:t>
      </w:r>
      <w:r w:rsidRPr="00B4515A">
        <w:t>该业绩承诺</w:t>
      </w:r>
      <w:r w:rsidRPr="00B4515A">
        <w:rPr>
          <w:rFonts w:hint="eastAsia"/>
        </w:rPr>
        <w:t>方</w:t>
      </w:r>
      <w:r w:rsidRPr="00B4515A">
        <w:t>累积已补偿金额；</w:t>
      </w:r>
    </w:p>
    <w:p w14:paraId="511BBB52" w14:textId="77777777" w:rsidR="006416B0" w:rsidRPr="00B4515A" w:rsidRDefault="005E58C1" w:rsidP="005860B4">
      <w:pPr>
        <w:pStyle w:val="005"/>
        <w:spacing w:before="120" w:after="120"/>
        <w:ind w:firstLine="480"/>
      </w:pPr>
      <w:r w:rsidRPr="00B4515A">
        <w:t>任一业绩承诺</w:t>
      </w:r>
      <w:r w:rsidRPr="00B4515A">
        <w:rPr>
          <w:rFonts w:hint="eastAsia"/>
        </w:rPr>
        <w:t>方</w:t>
      </w:r>
      <w:r w:rsidRPr="00B4515A">
        <w:t>当期应补偿股份数</w:t>
      </w:r>
      <w:r w:rsidRPr="00B4515A">
        <w:t>=</w:t>
      </w:r>
      <w:r w:rsidRPr="00B4515A">
        <w:t>任一业绩承诺</w:t>
      </w:r>
      <w:r w:rsidRPr="00B4515A">
        <w:rPr>
          <w:rFonts w:hint="eastAsia"/>
        </w:rPr>
        <w:t>方</w:t>
      </w:r>
      <w:r w:rsidRPr="00B4515A">
        <w:t>当期应补偿金额</w:t>
      </w:r>
      <w:r w:rsidRPr="00B4515A">
        <w:t>÷</w:t>
      </w:r>
      <w:r w:rsidRPr="00B4515A">
        <w:t>本次发行价格。</w:t>
      </w:r>
    </w:p>
    <w:p w14:paraId="2FEE1447" w14:textId="77777777" w:rsidR="006416B0" w:rsidRPr="00B4515A" w:rsidRDefault="005E58C1" w:rsidP="005860B4">
      <w:pPr>
        <w:pStyle w:val="005"/>
        <w:spacing w:before="120" w:after="120"/>
        <w:ind w:firstLine="480"/>
      </w:pPr>
      <w:r w:rsidRPr="00B4515A">
        <w:t>如依据前述公式计算出的当期应补偿股份数额小于</w:t>
      </w:r>
      <w:r w:rsidRPr="00B4515A">
        <w:t>0</w:t>
      </w:r>
      <w:r w:rsidRPr="00B4515A">
        <w:t>时，按</w:t>
      </w:r>
      <w:r w:rsidRPr="00B4515A">
        <w:t>0</w:t>
      </w:r>
      <w:r w:rsidRPr="00B4515A">
        <w:t>取值。按照上述公式计算的股份数量取整计算，小数点后不足一股的，按四舍五入原则确定。</w:t>
      </w:r>
    </w:p>
    <w:p w14:paraId="5B8CB950" w14:textId="77777777" w:rsidR="006416B0" w:rsidRPr="00B4515A" w:rsidRDefault="005E58C1" w:rsidP="005860B4">
      <w:pPr>
        <w:pStyle w:val="005"/>
        <w:spacing w:before="120" w:after="120"/>
        <w:ind w:firstLine="480"/>
      </w:pPr>
      <w:r w:rsidRPr="00B4515A">
        <w:t>若上市公司在业绩承诺期间实施转增或送股分配的，则业绩承诺人补偿股份数进行相应调整为：应补偿股份数（调整后）</w:t>
      </w:r>
      <w:r w:rsidRPr="00B4515A">
        <w:t>=</w:t>
      </w:r>
      <w:r w:rsidRPr="00B4515A">
        <w:t>应补偿股份数（调整前）</w:t>
      </w:r>
      <w:r w:rsidRPr="00B4515A">
        <w:t>×</w:t>
      </w:r>
      <w:r w:rsidRPr="00B4515A">
        <w:t>（</w:t>
      </w:r>
      <w:r w:rsidRPr="00B4515A">
        <w:t>1+</w:t>
      </w:r>
      <w:r w:rsidRPr="00B4515A">
        <w:t>转增或送股比例）。</w:t>
      </w:r>
    </w:p>
    <w:p w14:paraId="40AE23E1" w14:textId="77777777" w:rsidR="006416B0" w:rsidRPr="00B4515A" w:rsidRDefault="005E58C1" w:rsidP="005860B4">
      <w:pPr>
        <w:pStyle w:val="005"/>
        <w:spacing w:before="120" w:after="120"/>
        <w:ind w:firstLine="480"/>
      </w:pPr>
      <w:r w:rsidRPr="00B4515A">
        <w:t>若上市公司在承诺年度内有现金分红的，业绩承诺</w:t>
      </w:r>
      <w:r w:rsidRPr="00B4515A">
        <w:rPr>
          <w:rFonts w:hint="eastAsia"/>
        </w:rPr>
        <w:t>人</w:t>
      </w:r>
      <w:r w:rsidRPr="00B4515A">
        <w:t>应将按以下公式计算的当年度补偿股份所对应的分红收益无偿返还上市公司。计算公式为：返还金额</w:t>
      </w:r>
      <w:r w:rsidRPr="00B4515A">
        <w:t>=</w:t>
      </w:r>
      <w:r w:rsidRPr="00B4515A">
        <w:t>截至补偿前每股已获得的现金股利（税后）</w:t>
      </w:r>
      <w:r w:rsidRPr="00B4515A">
        <w:t>×</w:t>
      </w:r>
      <w:r w:rsidRPr="00B4515A">
        <w:t>当年应补偿股份数。如上市公司实施派息、送股、资本公积金转增股本等除权、除息事项，将按照相关规定对返还金额进行相应调整。</w:t>
      </w:r>
    </w:p>
    <w:p w14:paraId="73A34534" w14:textId="77777777" w:rsidR="006416B0" w:rsidRPr="00B4515A" w:rsidRDefault="005E58C1" w:rsidP="005860B4">
      <w:pPr>
        <w:pStyle w:val="005"/>
        <w:spacing w:before="120" w:after="120"/>
        <w:ind w:firstLine="480"/>
      </w:pPr>
      <w:r w:rsidRPr="00B4515A">
        <w:t>业绩补偿按年度进行，以前年度已经补偿的后续年度不得冲回，以前年度超出的净利润，可以往以后年度累计。</w:t>
      </w:r>
    </w:p>
    <w:p w14:paraId="59A2CD42" w14:textId="77777777" w:rsidR="006416B0" w:rsidRPr="00B4515A" w:rsidRDefault="005E58C1" w:rsidP="005860B4">
      <w:pPr>
        <w:pStyle w:val="003"/>
        <w:spacing w:before="120"/>
        <w:ind w:firstLine="482"/>
      </w:pPr>
      <w:r w:rsidRPr="00B4515A">
        <w:rPr>
          <w:rFonts w:hint="eastAsia"/>
        </w:rPr>
        <w:t>（二）减值测试</w:t>
      </w:r>
    </w:p>
    <w:p w14:paraId="55A93012" w14:textId="77777777" w:rsidR="006416B0" w:rsidRPr="00B4515A" w:rsidRDefault="005E58C1" w:rsidP="005860B4">
      <w:pPr>
        <w:pStyle w:val="005"/>
        <w:spacing w:before="120" w:after="120"/>
        <w:ind w:firstLine="480"/>
      </w:pPr>
      <w:r w:rsidRPr="00B4515A">
        <w:rPr>
          <w:rFonts w:hint="eastAsia"/>
        </w:rPr>
        <w:t>在业绩承诺期届满后六个月内，上市公司应聘请具备《证券法》等法律法规及中国证监会规定的从事证券服务业务资质的审计机构对标的资产进行减值测试，并出具《减值测试审核报告》。除非法律、法规或规范性文件有强制性规定，否则《减值测试审核报告》采取的估值方法应与东洲评报字</w:t>
      </w:r>
      <w:r w:rsidRPr="00B4515A">
        <w:rPr>
          <w:rFonts w:hint="eastAsia"/>
        </w:rPr>
        <w:t>[2021]</w:t>
      </w:r>
      <w:r w:rsidRPr="00B4515A">
        <w:rPr>
          <w:rFonts w:hint="eastAsia"/>
        </w:rPr>
        <w:t>第</w:t>
      </w:r>
      <w:r w:rsidRPr="00B4515A">
        <w:rPr>
          <w:rFonts w:hint="eastAsia"/>
        </w:rPr>
        <w:t>0898</w:t>
      </w:r>
      <w:r w:rsidRPr="00B4515A">
        <w:rPr>
          <w:rFonts w:hint="eastAsia"/>
        </w:rPr>
        <w:t>号《资产评估报告》保持一致。上市公司应当在《减值测试审核报告》出具后</w:t>
      </w:r>
      <w:r w:rsidRPr="00B4515A">
        <w:rPr>
          <w:rFonts w:hint="eastAsia"/>
        </w:rPr>
        <w:t>5</w:t>
      </w:r>
      <w:r w:rsidRPr="00B4515A">
        <w:rPr>
          <w:rFonts w:hint="eastAsia"/>
        </w:rPr>
        <w:t>个工作日内将报告结果以书面方式通知业绩承诺人。</w:t>
      </w:r>
    </w:p>
    <w:p w14:paraId="56A60D3C" w14:textId="77777777" w:rsidR="006416B0" w:rsidRPr="00B4515A" w:rsidRDefault="005E58C1" w:rsidP="005860B4">
      <w:pPr>
        <w:pStyle w:val="005"/>
        <w:spacing w:before="120" w:after="120"/>
        <w:ind w:firstLine="480"/>
      </w:pPr>
      <w:r w:rsidRPr="00B4515A">
        <w:rPr>
          <w:rFonts w:hint="eastAsia"/>
        </w:rPr>
        <w:t>标的资产期末减值额为标的资产的交易对价减去业绩承诺期末标的资产的评估值，并且应当扣除补偿期限内标的资产所对应的增资、减资、接受赠与以及利润分配的影响。经减值测试，如标的资产期末减值额÷标的资产交易价格＞业绩承诺人补偿期限内已补偿股份总数÷业绩承诺人取得的对价股份，则业绩承诺人中的每一方应按业绩补偿协议签署日拟转让股权占标的资产的比例，以取得的</w:t>
      </w:r>
      <w:r w:rsidRPr="00B4515A">
        <w:rPr>
          <w:rFonts w:hint="eastAsia"/>
        </w:rPr>
        <w:lastRenderedPageBreak/>
        <w:t>对价股份对上市公司另行补偿。</w:t>
      </w:r>
    </w:p>
    <w:p w14:paraId="3B56A9D0" w14:textId="77777777" w:rsidR="006416B0" w:rsidRPr="00B4515A" w:rsidRDefault="005E58C1" w:rsidP="005860B4">
      <w:pPr>
        <w:pStyle w:val="005"/>
        <w:spacing w:before="120" w:after="120"/>
        <w:ind w:firstLine="480"/>
      </w:pPr>
      <w:r w:rsidRPr="00B4515A">
        <w:rPr>
          <w:rFonts w:hint="eastAsia"/>
        </w:rPr>
        <w:t>每一业绩承诺人减值测试股份补偿数量</w:t>
      </w:r>
      <w:r w:rsidRPr="00B4515A">
        <w:rPr>
          <w:rFonts w:hint="eastAsia"/>
        </w:rPr>
        <w:t>=</w:t>
      </w:r>
      <w:r w:rsidRPr="00B4515A">
        <w:rPr>
          <w:rFonts w:hint="eastAsia"/>
        </w:rPr>
        <w:t>标的资产期末减值额÷本次发行价格×业绩补偿协议签署日业绩承诺人拟转让股权占标的资产的比例</w:t>
      </w:r>
      <w:r w:rsidRPr="00B4515A">
        <w:rPr>
          <w:rFonts w:hint="eastAsia"/>
        </w:rPr>
        <w:t>-</w:t>
      </w:r>
      <w:r w:rsidRPr="00B4515A">
        <w:rPr>
          <w:rFonts w:hint="eastAsia"/>
        </w:rPr>
        <w:t>该业绩承诺人已补偿股份总数。</w:t>
      </w:r>
    </w:p>
    <w:p w14:paraId="06BD6370" w14:textId="77777777" w:rsidR="006416B0" w:rsidRPr="00B4515A" w:rsidRDefault="005E58C1" w:rsidP="005860B4">
      <w:pPr>
        <w:pStyle w:val="005"/>
        <w:spacing w:before="120" w:after="120"/>
        <w:ind w:firstLine="480"/>
      </w:pPr>
      <w:r w:rsidRPr="00B4515A">
        <w:rPr>
          <w:rFonts w:hint="eastAsia"/>
        </w:rPr>
        <w:t>业绩承诺人因业绩补偿及减值测试需要向上市公司支付的股份补偿数量总计不超过业绩承诺人在本次交易中取得的对价股份数量（包括送股或转增的股份）。</w:t>
      </w:r>
    </w:p>
    <w:p w14:paraId="2A9C6F1E" w14:textId="77777777" w:rsidR="006416B0" w:rsidRPr="00B4515A" w:rsidRDefault="005E58C1" w:rsidP="005860B4">
      <w:pPr>
        <w:pStyle w:val="002"/>
        <w:spacing w:before="120" w:after="120"/>
        <w:ind w:firstLine="562"/>
      </w:pPr>
      <w:bookmarkStart w:id="38" w:name="_Toc80960490"/>
      <w:r w:rsidRPr="00B4515A">
        <w:rPr>
          <w:rFonts w:hint="eastAsia"/>
        </w:rPr>
        <w:t>八</w:t>
      </w:r>
      <w:r w:rsidRPr="00B4515A">
        <w:t>、本次交易对上市公司的影响</w:t>
      </w:r>
      <w:bookmarkEnd w:id="38"/>
    </w:p>
    <w:p w14:paraId="4E5FAAEA" w14:textId="77777777" w:rsidR="006416B0" w:rsidRPr="00B4515A" w:rsidRDefault="005E58C1" w:rsidP="005860B4">
      <w:pPr>
        <w:pStyle w:val="003"/>
        <w:spacing w:before="120"/>
        <w:ind w:firstLine="482"/>
      </w:pPr>
      <w:bookmarkStart w:id="39" w:name="_Hlk76921770"/>
      <w:r w:rsidRPr="00B4515A">
        <w:rPr>
          <w:rFonts w:hint="eastAsia"/>
        </w:rPr>
        <w:t>（一）本次交易对上市公司主营业务的影响</w:t>
      </w:r>
    </w:p>
    <w:p w14:paraId="472CA4C1" w14:textId="77777777" w:rsidR="006416B0" w:rsidRPr="00B4515A" w:rsidRDefault="005E58C1" w:rsidP="005860B4">
      <w:pPr>
        <w:pStyle w:val="005"/>
        <w:spacing w:before="120" w:after="120"/>
        <w:ind w:firstLine="480"/>
      </w:pPr>
      <w:r w:rsidRPr="00B4515A">
        <w:t>本次交易前，上市公司重点布局安全芯片业务和信息通信安全业务。</w:t>
      </w:r>
    </w:p>
    <w:p w14:paraId="16B96079" w14:textId="77777777" w:rsidR="006416B0" w:rsidRPr="00B4515A" w:rsidRDefault="005E58C1" w:rsidP="005860B4">
      <w:pPr>
        <w:pStyle w:val="005"/>
        <w:spacing w:before="120" w:after="120"/>
        <w:ind w:firstLine="480"/>
      </w:pPr>
      <w:r w:rsidRPr="00B4515A">
        <w:t>上市公司本次发行股份购买的标的资产为大唐联诚</w:t>
      </w:r>
      <w:r w:rsidRPr="00B4515A">
        <w:t>95.001%</w:t>
      </w:r>
      <w:r w:rsidRPr="00B4515A">
        <w:t>股权。大唐联诚的主营业务包括专用移动通信、专用宽带电台和宽带移动安全应用等。</w:t>
      </w:r>
    </w:p>
    <w:p w14:paraId="60B6CC0F" w14:textId="77777777" w:rsidR="006416B0" w:rsidRPr="00B4515A" w:rsidRDefault="005E58C1" w:rsidP="005860B4">
      <w:pPr>
        <w:pStyle w:val="005"/>
        <w:spacing w:before="120" w:after="120"/>
        <w:ind w:firstLine="480"/>
      </w:pPr>
      <w:r w:rsidRPr="00B4515A">
        <w:t>本次交易完成后，上市公司业务将增加专用移动通信、专用宽带电台和宽带移动安全应用等。相关业务与上市公司现有业务形成协同优势，助力上市公司拓展特种通信市场，形成</w:t>
      </w:r>
      <w:r w:rsidRPr="00B4515A">
        <w:rPr>
          <w:rFonts w:ascii="宋体" w:hAnsi="宋体"/>
        </w:rPr>
        <w:t>“</w:t>
      </w:r>
      <w:r w:rsidRPr="00B4515A">
        <w:t>安全芯片</w:t>
      </w:r>
      <w:r w:rsidRPr="00B4515A">
        <w:t>+</w:t>
      </w:r>
      <w:r w:rsidRPr="00B4515A">
        <w:t>特种通信</w:t>
      </w:r>
      <w:r w:rsidRPr="00B4515A">
        <w:rPr>
          <w:rFonts w:ascii="宋体" w:hAnsi="宋体"/>
        </w:rPr>
        <w:t>”</w:t>
      </w:r>
      <w:r w:rsidRPr="00B4515A">
        <w:t>的整体产业布局，持续优化主营业务结构。</w:t>
      </w:r>
    </w:p>
    <w:p w14:paraId="5FBF4DF0" w14:textId="77777777" w:rsidR="006416B0" w:rsidRPr="00B4515A" w:rsidRDefault="005E58C1" w:rsidP="005860B4">
      <w:pPr>
        <w:pStyle w:val="005"/>
        <w:spacing w:before="120" w:after="120"/>
        <w:ind w:firstLine="480"/>
      </w:pPr>
      <w:r w:rsidRPr="00B4515A">
        <w:t>本次交易将为上市公司开拓新的业务增长点，上市公司将向特通信息化行业布局。本次交易有利于拓宽公司的业务范围，优化上市公司的收入结构，扩大上市公司的资产规模、收</w:t>
      </w:r>
      <w:r w:rsidRPr="00B4515A">
        <w:rPr>
          <w:rFonts w:hint="eastAsia"/>
        </w:rPr>
        <w:t>入和利润规模，增强上市公司的盈利能力、可持续发展能力及整体实力。</w:t>
      </w:r>
    </w:p>
    <w:p w14:paraId="491DDF02" w14:textId="77777777" w:rsidR="006416B0" w:rsidRPr="00B4515A" w:rsidRDefault="005E58C1" w:rsidP="005860B4">
      <w:pPr>
        <w:pStyle w:val="003"/>
        <w:spacing w:before="120"/>
        <w:ind w:firstLine="482"/>
      </w:pPr>
      <w:r w:rsidRPr="00B4515A">
        <w:rPr>
          <w:rFonts w:hint="eastAsia"/>
        </w:rPr>
        <w:t>（二）本次交易对上市公司股权结构的影响</w:t>
      </w:r>
    </w:p>
    <w:p w14:paraId="1A011C02" w14:textId="77777777" w:rsidR="006416B0" w:rsidRPr="00B4515A" w:rsidRDefault="005E58C1" w:rsidP="005860B4">
      <w:pPr>
        <w:pStyle w:val="005"/>
        <w:spacing w:before="120" w:after="120"/>
        <w:ind w:firstLine="480"/>
      </w:pPr>
      <w:r w:rsidRPr="00B4515A">
        <w:t>本次发行股份购买资产向各交易对方发行的股份数量</w:t>
      </w:r>
      <w:r w:rsidRPr="00B4515A">
        <w:t>=</w:t>
      </w:r>
      <w:r w:rsidRPr="00B4515A">
        <w:t>以发行股份形式向各交易对方支付的交易对价</w:t>
      </w:r>
      <w:r w:rsidRPr="00B4515A">
        <w:t>/</w:t>
      </w:r>
      <w:r w:rsidRPr="00B4515A">
        <w:t>本次发行股份购买资产的发行价格；本次发行股份购买资产所发行股份的总数量</w:t>
      </w:r>
      <w:r w:rsidRPr="00B4515A">
        <w:t>=</w:t>
      </w:r>
      <w:r w:rsidRPr="00B4515A">
        <w:t>向各交易对方发行股份数量之和。</w:t>
      </w:r>
    </w:p>
    <w:p w14:paraId="379C28C2" w14:textId="77777777" w:rsidR="006416B0" w:rsidRPr="00B4515A" w:rsidRDefault="005E58C1" w:rsidP="005860B4">
      <w:pPr>
        <w:pStyle w:val="005"/>
        <w:spacing w:before="120" w:after="120"/>
        <w:ind w:firstLine="480"/>
      </w:pPr>
      <w:r w:rsidRPr="00B4515A">
        <w:t>按上述公式计算的交易对方取得新增股份数量按照向下取整精确至股，不足一股的交易对方自愿放弃。</w:t>
      </w:r>
    </w:p>
    <w:p w14:paraId="7CD45E82" w14:textId="77777777" w:rsidR="006416B0" w:rsidRPr="00B4515A" w:rsidRDefault="005E58C1" w:rsidP="005860B4">
      <w:pPr>
        <w:pStyle w:val="005"/>
        <w:spacing w:before="120" w:after="120"/>
        <w:ind w:firstLine="480"/>
      </w:pPr>
      <w:r w:rsidRPr="00B4515A">
        <w:lastRenderedPageBreak/>
        <w:t>本次拟购买资产交易作价为</w:t>
      </w:r>
      <w:r w:rsidRPr="00B4515A">
        <w:t>1,408,450,340.64</w:t>
      </w:r>
      <w:r w:rsidRPr="00B4515A">
        <w:t>元。按照发行股份价格</w:t>
      </w:r>
      <w:r w:rsidRPr="00B4515A">
        <w:t>5.85</w:t>
      </w:r>
      <w:r w:rsidRPr="00B4515A">
        <w:t>元</w:t>
      </w:r>
      <w:r w:rsidRPr="00B4515A">
        <w:t>/</w:t>
      </w:r>
      <w:r w:rsidRPr="00B4515A">
        <w:t>股计算，上市公司发行股份购买资产（不考虑配套融资）前后的股权结构变化情况如下：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676"/>
        <w:gridCol w:w="1535"/>
        <w:gridCol w:w="1124"/>
        <w:gridCol w:w="1514"/>
        <w:gridCol w:w="1536"/>
        <w:gridCol w:w="1143"/>
      </w:tblGrid>
      <w:tr w:rsidR="006416B0" w:rsidRPr="00B4515A" w14:paraId="44F840B4" w14:textId="77777777" w:rsidTr="00EE238F">
        <w:trPr>
          <w:trHeight w:val="340"/>
          <w:jc w:val="center"/>
        </w:trPr>
        <w:tc>
          <w:tcPr>
            <w:tcW w:w="1641" w:type="dxa"/>
            <w:shd w:val="clear" w:color="auto" w:fill="auto"/>
            <w:tcMar>
              <w:top w:w="0" w:type="dxa"/>
              <w:left w:w="108" w:type="dxa"/>
              <w:bottom w:w="0" w:type="dxa"/>
              <w:right w:w="108" w:type="dxa"/>
            </w:tcMar>
            <w:vAlign w:val="center"/>
          </w:tcPr>
          <w:p w14:paraId="7A3A9EBA" w14:textId="77777777" w:rsidR="006416B0" w:rsidRPr="00B4515A" w:rsidRDefault="005E58C1" w:rsidP="005860B4">
            <w:pPr>
              <w:adjustRightInd w:val="0"/>
              <w:snapToGrid w:val="0"/>
              <w:jc w:val="center"/>
              <w:rPr>
                <w:b/>
                <w:color w:val="000000"/>
                <w:sz w:val="21"/>
                <w:szCs w:val="21"/>
              </w:rPr>
            </w:pPr>
            <w:r w:rsidRPr="00B4515A">
              <w:rPr>
                <w:b/>
                <w:color w:val="000000"/>
                <w:sz w:val="21"/>
                <w:szCs w:val="21"/>
              </w:rPr>
              <w:t>股东名称</w:t>
            </w:r>
          </w:p>
        </w:tc>
        <w:tc>
          <w:tcPr>
            <w:tcW w:w="1503" w:type="dxa"/>
            <w:shd w:val="clear" w:color="auto" w:fill="auto"/>
            <w:tcMar>
              <w:top w:w="0" w:type="dxa"/>
              <w:left w:w="108" w:type="dxa"/>
              <w:bottom w:w="0" w:type="dxa"/>
              <w:right w:w="108" w:type="dxa"/>
            </w:tcMar>
            <w:vAlign w:val="center"/>
          </w:tcPr>
          <w:p w14:paraId="35E84F5D" w14:textId="77777777" w:rsidR="006416B0" w:rsidRPr="00B4515A" w:rsidRDefault="005E58C1" w:rsidP="005860B4">
            <w:pPr>
              <w:adjustRightInd w:val="0"/>
              <w:snapToGrid w:val="0"/>
              <w:jc w:val="center"/>
              <w:rPr>
                <w:b/>
                <w:color w:val="000000"/>
                <w:sz w:val="21"/>
                <w:szCs w:val="21"/>
              </w:rPr>
            </w:pPr>
            <w:r w:rsidRPr="00B4515A">
              <w:rPr>
                <w:b/>
                <w:color w:val="000000"/>
                <w:sz w:val="21"/>
                <w:szCs w:val="21"/>
              </w:rPr>
              <w:t>原持股（股）</w:t>
            </w:r>
          </w:p>
        </w:tc>
        <w:tc>
          <w:tcPr>
            <w:tcW w:w="1100" w:type="dxa"/>
            <w:shd w:val="clear" w:color="auto" w:fill="auto"/>
            <w:tcMar>
              <w:top w:w="0" w:type="dxa"/>
              <w:left w:w="108" w:type="dxa"/>
              <w:bottom w:w="0" w:type="dxa"/>
              <w:right w:w="108" w:type="dxa"/>
            </w:tcMar>
            <w:vAlign w:val="center"/>
          </w:tcPr>
          <w:p w14:paraId="7306909F" w14:textId="77777777" w:rsidR="005860B4" w:rsidRPr="00B4515A" w:rsidRDefault="005E58C1" w:rsidP="005860B4">
            <w:pPr>
              <w:adjustRightInd w:val="0"/>
              <w:snapToGrid w:val="0"/>
              <w:jc w:val="center"/>
              <w:rPr>
                <w:b/>
                <w:color w:val="000000"/>
                <w:sz w:val="21"/>
                <w:szCs w:val="21"/>
              </w:rPr>
            </w:pPr>
            <w:r w:rsidRPr="00B4515A">
              <w:rPr>
                <w:b/>
                <w:color w:val="000000"/>
                <w:sz w:val="21"/>
                <w:szCs w:val="21"/>
              </w:rPr>
              <w:t>原持股</w:t>
            </w:r>
          </w:p>
          <w:p w14:paraId="2C397E20" w14:textId="5DE70FCF" w:rsidR="006416B0" w:rsidRPr="00B4515A" w:rsidRDefault="005E58C1" w:rsidP="005860B4">
            <w:pPr>
              <w:adjustRightInd w:val="0"/>
              <w:snapToGrid w:val="0"/>
              <w:jc w:val="center"/>
              <w:rPr>
                <w:b/>
                <w:color w:val="000000"/>
                <w:sz w:val="21"/>
                <w:szCs w:val="21"/>
              </w:rPr>
            </w:pPr>
            <w:r w:rsidRPr="00B4515A">
              <w:rPr>
                <w:b/>
                <w:color w:val="000000"/>
                <w:sz w:val="21"/>
                <w:szCs w:val="21"/>
              </w:rPr>
              <w:t>比例</w:t>
            </w:r>
          </w:p>
        </w:tc>
        <w:tc>
          <w:tcPr>
            <w:tcW w:w="1482" w:type="dxa"/>
            <w:shd w:val="clear" w:color="auto" w:fill="auto"/>
            <w:tcMar>
              <w:top w:w="0" w:type="dxa"/>
              <w:left w:w="108" w:type="dxa"/>
              <w:bottom w:w="0" w:type="dxa"/>
              <w:right w:w="108" w:type="dxa"/>
            </w:tcMar>
            <w:vAlign w:val="center"/>
          </w:tcPr>
          <w:p w14:paraId="34A85536" w14:textId="77777777" w:rsidR="006416B0" w:rsidRPr="00B4515A" w:rsidRDefault="005E58C1" w:rsidP="005860B4">
            <w:pPr>
              <w:adjustRightInd w:val="0"/>
              <w:snapToGrid w:val="0"/>
              <w:jc w:val="center"/>
              <w:rPr>
                <w:b/>
                <w:color w:val="000000"/>
                <w:sz w:val="21"/>
                <w:szCs w:val="21"/>
              </w:rPr>
            </w:pPr>
            <w:r w:rsidRPr="00B4515A">
              <w:rPr>
                <w:b/>
                <w:color w:val="000000"/>
                <w:sz w:val="21"/>
                <w:szCs w:val="21"/>
              </w:rPr>
              <w:t>新增股数（股）</w:t>
            </w:r>
          </w:p>
        </w:tc>
        <w:tc>
          <w:tcPr>
            <w:tcW w:w="1504" w:type="dxa"/>
            <w:shd w:val="clear" w:color="auto" w:fill="auto"/>
            <w:tcMar>
              <w:top w:w="0" w:type="dxa"/>
              <w:left w:w="108" w:type="dxa"/>
              <w:bottom w:w="0" w:type="dxa"/>
              <w:right w:w="108" w:type="dxa"/>
            </w:tcMar>
            <w:vAlign w:val="center"/>
          </w:tcPr>
          <w:p w14:paraId="38D9CC50" w14:textId="77777777" w:rsidR="006416B0" w:rsidRPr="00B4515A" w:rsidRDefault="005E58C1" w:rsidP="005860B4">
            <w:pPr>
              <w:adjustRightInd w:val="0"/>
              <w:snapToGrid w:val="0"/>
              <w:jc w:val="center"/>
              <w:rPr>
                <w:b/>
                <w:color w:val="000000"/>
                <w:sz w:val="21"/>
                <w:szCs w:val="21"/>
              </w:rPr>
            </w:pPr>
            <w:r w:rsidRPr="00B4515A">
              <w:rPr>
                <w:b/>
                <w:color w:val="000000"/>
                <w:sz w:val="21"/>
                <w:szCs w:val="21"/>
              </w:rPr>
              <w:t>资产注入后股数（股）</w:t>
            </w:r>
          </w:p>
        </w:tc>
        <w:tc>
          <w:tcPr>
            <w:tcW w:w="1119" w:type="dxa"/>
            <w:shd w:val="clear" w:color="auto" w:fill="auto"/>
            <w:tcMar>
              <w:top w:w="0" w:type="dxa"/>
              <w:left w:w="108" w:type="dxa"/>
              <w:bottom w:w="0" w:type="dxa"/>
              <w:right w:w="108" w:type="dxa"/>
            </w:tcMar>
            <w:vAlign w:val="center"/>
          </w:tcPr>
          <w:p w14:paraId="04564F58" w14:textId="77777777" w:rsidR="005860B4" w:rsidRPr="00B4515A" w:rsidRDefault="005E58C1" w:rsidP="005860B4">
            <w:pPr>
              <w:adjustRightInd w:val="0"/>
              <w:snapToGrid w:val="0"/>
              <w:jc w:val="center"/>
              <w:rPr>
                <w:b/>
                <w:color w:val="000000"/>
                <w:sz w:val="21"/>
                <w:szCs w:val="21"/>
              </w:rPr>
            </w:pPr>
            <w:r w:rsidRPr="00B4515A">
              <w:rPr>
                <w:b/>
                <w:color w:val="000000"/>
                <w:sz w:val="21"/>
                <w:szCs w:val="21"/>
              </w:rPr>
              <w:t>资产注入后持股</w:t>
            </w:r>
          </w:p>
          <w:p w14:paraId="167FEEC9" w14:textId="7E2E9FF5" w:rsidR="006416B0" w:rsidRPr="00B4515A" w:rsidRDefault="005E58C1" w:rsidP="005860B4">
            <w:pPr>
              <w:adjustRightInd w:val="0"/>
              <w:snapToGrid w:val="0"/>
              <w:jc w:val="center"/>
              <w:rPr>
                <w:b/>
                <w:color w:val="000000"/>
                <w:sz w:val="21"/>
                <w:szCs w:val="21"/>
              </w:rPr>
            </w:pPr>
            <w:r w:rsidRPr="00B4515A">
              <w:rPr>
                <w:b/>
                <w:color w:val="000000"/>
                <w:sz w:val="21"/>
                <w:szCs w:val="21"/>
              </w:rPr>
              <w:t>比例</w:t>
            </w:r>
          </w:p>
        </w:tc>
      </w:tr>
      <w:tr w:rsidR="006416B0" w:rsidRPr="00B4515A" w14:paraId="2D533F12" w14:textId="77777777" w:rsidTr="00031627">
        <w:trPr>
          <w:trHeight w:val="340"/>
          <w:jc w:val="center"/>
        </w:trPr>
        <w:tc>
          <w:tcPr>
            <w:tcW w:w="1641" w:type="dxa"/>
            <w:shd w:val="clear" w:color="auto" w:fill="auto"/>
            <w:tcMar>
              <w:top w:w="0" w:type="dxa"/>
              <w:left w:w="108" w:type="dxa"/>
              <w:bottom w:w="0" w:type="dxa"/>
              <w:right w:w="108" w:type="dxa"/>
            </w:tcMar>
            <w:vAlign w:val="center"/>
          </w:tcPr>
          <w:p w14:paraId="02D70F43" w14:textId="77777777" w:rsidR="006416B0" w:rsidRPr="00B4515A" w:rsidRDefault="005E58C1" w:rsidP="005860B4">
            <w:pPr>
              <w:adjustRightInd w:val="0"/>
              <w:snapToGrid w:val="0"/>
              <w:jc w:val="center"/>
              <w:rPr>
                <w:color w:val="000000"/>
                <w:sz w:val="21"/>
                <w:szCs w:val="21"/>
              </w:rPr>
            </w:pPr>
            <w:r w:rsidRPr="00B4515A">
              <w:rPr>
                <w:color w:val="000000"/>
                <w:sz w:val="21"/>
                <w:szCs w:val="21"/>
              </w:rPr>
              <w:t>电信科研院</w:t>
            </w:r>
          </w:p>
        </w:tc>
        <w:tc>
          <w:tcPr>
            <w:tcW w:w="1503" w:type="dxa"/>
            <w:shd w:val="clear" w:color="auto" w:fill="auto"/>
            <w:tcMar>
              <w:top w:w="0" w:type="dxa"/>
              <w:left w:w="108" w:type="dxa"/>
              <w:bottom w:w="0" w:type="dxa"/>
              <w:right w:w="108" w:type="dxa"/>
            </w:tcMar>
            <w:vAlign w:val="center"/>
          </w:tcPr>
          <w:p w14:paraId="0F7136F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151,252,178</w:t>
            </w:r>
          </w:p>
        </w:tc>
        <w:tc>
          <w:tcPr>
            <w:tcW w:w="1100" w:type="dxa"/>
            <w:shd w:val="clear" w:color="auto" w:fill="auto"/>
            <w:tcMar>
              <w:top w:w="0" w:type="dxa"/>
              <w:left w:w="108" w:type="dxa"/>
              <w:bottom w:w="0" w:type="dxa"/>
              <w:right w:w="108" w:type="dxa"/>
            </w:tcMar>
            <w:vAlign w:val="center"/>
          </w:tcPr>
          <w:p w14:paraId="05564900" w14:textId="77777777" w:rsidR="006416B0" w:rsidRPr="00B4515A" w:rsidRDefault="005E58C1" w:rsidP="005860B4">
            <w:pPr>
              <w:adjustRightInd w:val="0"/>
              <w:snapToGrid w:val="0"/>
              <w:jc w:val="right"/>
              <w:rPr>
                <w:rFonts w:ascii="Times New Roman" w:hAnsi="Times New Roman" w:cs="Times New Roman"/>
                <w:bCs/>
                <w:color w:val="000000"/>
                <w:sz w:val="21"/>
                <w:szCs w:val="21"/>
              </w:rPr>
            </w:pPr>
            <w:r w:rsidRPr="00B4515A">
              <w:rPr>
                <w:rFonts w:ascii="Times New Roman" w:hAnsi="Times New Roman" w:cs="Times New Roman"/>
                <w:bCs/>
                <w:color w:val="000000"/>
                <w:sz w:val="21"/>
                <w:szCs w:val="21"/>
              </w:rPr>
              <w:t>17.15%</w:t>
            </w:r>
          </w:p>
        </w:tc>
        <w:tc>
          <w:tcPr>
            <w:tcW w:w="1482" w:type="dxa"/>
            <w:shd w:val="clear" w:color="auto" w:fill="auto"/>
            <w:tcMar>
              <w:top w:w="0" w:type="dxa"/>
              <w:left w:w="108" w:type="dxa"/>
              <w:bottom w:w="0" w:type="dxa"/>
              <w:right w:w="108" w:type="dxa"/>
            </w:tcMar>
            <w:vAlign w:val="center"/>
          </w:tcPr>
          <w:p w14:paraId="5A3B300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143,942,996</w:t>
            </w:r>
          </w:p>
        </w:tc>
        <w:tc>
          <w:tcPr>
            <w:tcW w:w="1504" w:type="dxa"/>
            <w:shd w:val="clear" w:color="auto" w:fill="auto"/>
            <w:tcMar>
              <w:top w:w="0" w:type="dxa"/>
              <w:left w:w="108" w:type="dxa"/>
              <w:bottom w:w="0" w:type="dxa"/>
              <w:right w:w="108" w:type="dxa"/>
            </w:tcMar>
            <w:vAlign w:val="center"/>
          </w:tcPr>
          <w:p w14:paraId="2BADA09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295,195,174</w:t>
            </w:r>
          </w:p>
        </w:tc>
        <w:tc>
          <w:tcPr>
            <w:tcW w:w="1119" w:type="dxa"/>
            <w:shd w:val="clear" w:color="auto" w:fill="auto"/>
            <w:tcMar>
              <w:top w:w="0" w:type="dxa"/>
              <w:left w:w="108" w:type="dxa"/>
              <w:bottom w:w="0" w:type="dxa"/>
              <w:right w:w="108" w:type="dxa"/>
            </w:tcMar>
            <w:vAlign w:val="center"/>
          </w:tcPr>
          <w:p w14:paraId="3EF73905"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sz w:val="21"/>
                <w:szCs w:val="21"/>
              </w:rPr>
              <w:t>26.29%</w:t>
            </w:r>
          </w:p>
        </w:tc>
      </w:tr>
      <w:tr w:rsidR="006416B0" w:rsidRPr="00B4515A" w14:paraId="0CEFD08E" w14:textId="77777777" w:rsidTr="00031627">
        <w:trPr>
          <w:trHeight w:val="340"/>
          <w:jc w:val="center"/>
        </w:trPr>
        <w:tc>
          <w:tcPr>
            <w:tcW w:w="1641" w:type="dxa"/>
            <w:shd w:val="clear" w:color="auto" w:fill="auto"/>
            <w:tcMar>
              <w:top w:w="0" w:type="dxa"/>
              <w:left w:w="108" w:type="dxa"/>
              <w:bottom w:w="0" w:type="dxa"/>
              <w:right w:w="108" w:type="dxa"/>
            </w:tcMar>
            <w:vAlign w:val="center"/>
          </w:tcPr>
          <w:p w14:paraId="6DA76F9A" w14:textId="77777777" w:rsidR="006416B0" w:rsidRPr="00B4515A" w:rsidRDefault="005E58C1" w:rsidP="005860B4">
            <w:pPr>
              <w:adjustRightInd w:val="0"/>
              <w:snapToGrid w:val="0"/>
              <w:jc w:val="center"/>
              <w:rPr>
                <w:color w:val="000000"/>
                <w:sz w:val="21"/>
                <w:szCs w:val="21"/>
              </w:rPr>
            </w:pPr>
            <w:r w:rsidRPr="00B4515A">
              <w:rPr>
                <w:color w:val="000000"/>
                <w:sz w:val="21"/>
                <w:szCs w:val="21"/>
              </w:rPr>
              <w:t>大唐控股</w:t>
            </w:r>
          </w:p>
        </w:tc>
        <w:tc>
          <w:tcPr>
            <w:tcW w:w="1503" w:type="dxa"/>
            <w:shd w:val="clear" w:color="auto" w:fill="auto"/>
            <w:tcMar>
              <w:top w:w="0" w:type="dxa"/>
              <w:left w:w="108" w:type="dxa"/>
              <w:bottom w:w="0" w:type="dxa"/>
              <w:right w:w="108" w:type="dxa"/>
            </w:tcMar>
            <w:vAlign w:val="center"/>
          </w:tcPr>
          <w:p w14:paraId="4B714D8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148,118,845</w:t>
            </w:r>
          </w:p>
        </w:tc>
        <w:tc>
          <w:tcPr>
            <w:tcW w:w="1100" w:type="dxa"/>
            <w:shd w:val="clear" w:color="auto" w:fill="auto"/>
            <w:tcMar>
              <w:top w:w="0" w:type="dxa"/>
              <w:left w:w="108" w:type="dxa"/>
              <w:bottom w:w="0" w:type="dxa"/>
              <w:right w:w="108" w:type="dxa"/>
            </w:tcMar>
            <w:vAlign w:val="center"/>
          </w:tcPr>
          <w:p w14:paraId="54B7DAC8" w14:textId="77777777" w:rsidR="006416B0" w:rsidRPr="00B4515A" w:rsidRDefault="005E58C1" w:rsidP="005860B4">
            <w:pPr>
              <w:adjustRightInd w:val="0"/>
              <w:snapToGrid w:val="0"/>
              <w:jc w:val="right"/>
              <w:rPr>
                <w:rFonts w:ascii="Times New Roman" w:hAnsi="Times New Roman" w:cs="Times New Roman"/>
                <w:bCs/>
                <w:color w:val="000000"/>
                <w:sz w:val="21"/>
                <w:szCs w:val="21"/>
              </w:rPr>
            </w:pPr>
            <w:r w:rsidRPr="00B4515A">
              <w:rPr>
                <w:rFonts w:ascii="Times New Roman" w:hAnsi="Times New Roman" w:cs="Times New Roman"/>
                <w:bCs/>
                <w:color w:val="000000"/>
                <w:sz w:val="21"/>
                <w:szCs w:val="21"/>
              </w:rPr>
              <w:t>16.79%</w:t>
            </w:r>
          </w:p>
        </w:tc>
        <w:tc>
          <w:tcPr>
            <w:tcW w:w="1482" w:type="dxa"/>
            <w:shd w:val="clear" w:color="auto" w:fill="auto"/>
            <w:tcMar>
              <w:top w:w="0" w:type="dxa"/>
              <w:left w:w="108" w:type="dxa"/>
              <w:bottom w:w="0" w:type="dxa"/>
              <w:right w:w="108" w:type="dxa"/>
            </w:tcMar>
            <w:vAlign w:val="center"/>
          </w:tcPr>
          <w:p w14:paraId="2C5100F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7,777,757</w:t>
            </w:r>
          </w:p>
        </w:tc>
        <w:tc>
          <w:tcPr>
            <w:tcW w:w="1504" w:type="dxa"/>
            <w:shd w:val="clear" w:color="auto" w:fill="auto"/>
            <w:tcMar>
              <w:top w:w="0" w:type="dxa"/>
              <w:left w:w="108" w:type="dxa"/>
              <w:bottom w:w="0" w:type="dxa"/>
              <w:right w:w="108" w:type="dxa"/>
            </w:tcMar>
            <w:vAlign w:val="center"/>
          </w:tcPr>
          <w:p w14:paraId="3A9F33E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155,896,602</w:t>
            </w:r>
          </w:p>
        </w:tc>
        <w:tc>
          <w:tcPr>
            <w:tcW w:w="1119" w:type="dxa"/>
            <w:shd w:val="clear" w:color="auto" w:fill="auto"/>
            <w:tcMar>
              <w:top w:w="0" w:type="dxa"/>
              <w:left w:w="108" w:type="dxa"/>
              <w:bottom w:w="0" w:type="dxa"/>
              <w:right w:w="108" w:type="dxa"/>
            </w:tcMar>
            <w:vAlign w:val="center"/>
          </w:tcPr>
          <w:p w14:paraId="089666BB"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sz w:val="21"/>
                <w:szCs w:val="21"/>
              </w:rPr>
              <w:t>13.88%</w:t>
            </w:r>
          </w:p>
        </w:tc>
      </w:tr>
      <w:tr w:rsidR="006416B0" w:rsidRPr="00B4515A" w14:paraId="331D58A4" w14:textId="77777777" w:rsidTr="00031627">
        <w:trPr>
          <w:trHeight w:val="340"/>
          <w:jc w:val="center"/>
        </w:trPr>
        <w:tc>
          <w:tcPr>
            <w:tcW w:w="1641" w:type="dxa"/>
            <w:shd w:val="clear" w:color="auto" w:fill="auto"/>
            <w:tcMar>
              <w:top w:w="0" w:type="dxa"/>
              <w:left w:w="108" w:type="dxa"/>
              <w:bottom w:w="0" w:type="dxa"/>
              <w:right w:w="108" w:type="dxa"/>
            </w:tcMar>
            <w:vAlign w:val="center"/>
          </w:tcPr>
          <w:p w14:paraId="67208909" w14:textId="3D3E0736" w:rsidR="006416B0" w:rsidRPr="00B4515A" w:rsidRDefault="00252376" w:rsidP="005860B4">
            <w:pPr>
              <w:adjustRightInd w:val="0"/>
              <w:snapToGrid w:val="0"/>
              <w:jc w:val="center"/>
              <w:rPr>
                <w:color w:val="000000"/>
                <w:sz w:val="21"/>
                <w:szCs w:val="21"/>
              </w:rPr>
            </w:pPr>
            <w:r w:rsidRPr="00B4515A">
              <w:rPr>
                <w:color w:val="000000"/>
                <w:sz w:val="21"/>
                <w:szCs w:val="21"/>
              </w:rPr>
              <w:t>长江移动基金</w:t>
            </w:r>
          </w:p>
        </w:tc>
        <w:tc>
          <w:tcPr>
            <w:tcW w:w="1503" w:type="dxa"/>
            <w:shd w:val="clear" w:color="auto" w:fill="auto"/>
            <w:tcMar>
              <w:top w:w="0" w:type="dxa"/>
              <w:left w:w="108" w:type="dxa"/>
              <w:bottom w:w="0" w:type="dxa"/>
              <w:right w:w="108" w:type="dxa"/>
            </w:tcMar>
            <w:vAlign w:val="center"/>
          </w:tcPr>
          <w:p w14:paraId="663619F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00" w:type="dxa"/>
            <w:shd w:val="clear" w:color="auto" w:fill="auto"/>
            <w:tcMar>
              <w:top w:w="0" w:type="dxa"/>
              <w:left w:w="108" w:type="dxa"/>
              <w:bottom w:w="0" w:type="dxa"/>
              <w:right w:w="108" w:type="dxa"/>
            </w:tcMar>
            <w:vAlign w:val="center"/>
          </w:tcPr>
          <w:p w14:paraId="448F616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1482" w:type="dxa"/>
            <w:shd w:val="clear" w:color="auto" w:fill="auto"/>
            <w:tcMar>
              <w:top w:w="0" w:type="dxa"/>
              <w:left w:w="108" w:type="dxa"/>
              <w:bottom w:w="0" w:type="dxa"/>
              <w:right w:w="108" w:type="dxa"/>
            </w:tcMar>
            <w:vAlign w:val="center"/>
          </w:tcPr>
          <w:p w14:paraId="4B97FD7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53,422,979</w:t>
            </w:r>
          </w:p>
        </w:tc>
        <w:tc>
          <w:tcPr>
            <w:tcW w:w="1504" w:type="dxa"/>
            <w:shd w:val="clear" w:color="auto" w:fill="auto"/>
            <w:tcMar>
              <w:top w:w="0" w:type="dxa"/>
              <w:left w:w="108" w:type="dxa"/>
              <w:bottom w:w="0" w:type="dxa"/>
              <w:right w:w="108" w:type="dxa"/>
            </w:tcMar>
            <w:vAlign w:val="center"/>
          </w:tcPr>
          <w:p w14:paraId="20E28FC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53,422,979</w:t>
            </w:r>
          </w:p>
        </w:tc>
        <w:tc>
          <w:tcPr>
            <w:tcW w:w="1119" w:type="dxa"/>
            <w:shd w:val="clear" w:color="auto" w:fill="auto"/>
            <w:tcMar>
              <w:top w:w="0" w:type="dxa"/>
              <w:left w:w="108" w:type="dxa"/>
              <w:bottom w:w="0" w:type="dxa"/>
              <w:right w:w="108" w:type="dxa"/>
            </w:tcMar>
            <w:vAlign w:val="center"/>
          </w:tcPr>
          <w:p w14:paraId="2EB3645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4.76%</w:t>
            </w:r>
          </w:p>
        </w:tc>
      </w:tr>
      <w:tr w:rsidR="006416B0" w:rsidRPr="00B4515A" w14:paraId="71E434A2" w14:textId="77777777" w:rsidTr="00031627">
        <w:trPr>
          <w:trHeight w:val="340"/>
          <w:jc w:val="center"/>
        </w:trPr>
        <w:tc>
          <w:tcPr>
            <w:tcW w:w="1641" w:type="dxa"/>
            <w:shd w:val="clear" w:color="auto" w:fill="auto"/>
            <w:tcMar>
              <w:top w:w="0" w:type="dxa"/>
              <w:left w:w="108" w:type="dxa"/>
              <w:bottom w:w="0" w:type="dxa"/>
              <w:right w:w="108" w:type="dxa"/>
            </w:tcMar>
            <w:vAlign w:val="center"/>
          </w:tcPr>
          <w:p w14:paraId="07DE48CC"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结构调整基金</w:t>
            </w:r>
          </w:p>
        </w:tc>
        <w:tc>
          <w:tcPr>
            <w:tcW w:w="1503" w:type="dxa"/>
            <w:shd w:val="clear" w:color="auto" w:fill="auto"/>
            <w:tcMar>
              <w:top w:w="0" w:type="dxa"/>
              <w:left w:w="108" w:type="dxa"/>
              <w:bottom w:w="0" w:type="dxa"/>
              <w:right w:w="108" w:type="dxa"/>
            </w:tcMar>
            <w:vAlign w:val="center"/>
          </w:tcPr>
          <w:p w14:paraId="759B7CF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00" w:type="dxa"/>
            <w:shd w:val="clear" w:color="auto" w:fill="auto"/>
            <w:tcMar>
              <w:top w:w="0" w:type="dxa"/>
              <w:left w:w="108" w:type="dxa"/>
              <w:bottom w:w="0" w:type="dxa"/>
              <w:right w:w="108" w:type="dxa"/>
            </w:tcMar>
            <w:vAlign w:val="center"/>
          </w:tcPr>
          <w:p w14:paraId="69152AA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1482" w:type="dxa"/>
            <w:shd w:val="clear" w:color="auto" w:fill="auto"/>
            <w:tcMar>
              <w:top w:w="0" w:type="dxa"/>
              <w:left w:w="108" w:type="dxa"/>
              <w:bottom w:w="0" w:type="dxa"/>
              <w:right w:w="108" w:type="dxa"/>
            </w:tcMar>
            <w:vAlign w:val="center"/>
          </w:tcPr>
          <w:p w14:paraId="6C12214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17,808,504</w:t>
            </w:r>
          </w:p>
        </w:tc>
        <w:tc>
          <w:tcPr>
            <w:tcW w:w="1504" w:type="dxa"/>
            <w:shd w:val="clear" w:color="auto" w:fill="auto"/>
            <w:tcMar>
              <w:top w:w="0" w:type="dxa"/>
              <w:left w:w="108" w:type="dxa"/>
              <w:bottom w:w="0" w:type="dxa"/>
              <w:right w:w="108" w:type="dxa"/>
            </w:tcMar>
            <w:vAlign w:val="center"/>
          </w:tcPr>
          <w:p w14:paraId="0E94A8F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17,808,504</w:t>
            </w:r>
          </w:p>
        </w:tc>
        <w:tc>
          <w:tcPr>
            <w:tcW w:w="1119" w:type="dxa"/>
            <w:shd w:val="clear" w:color="auto" w:fill="auto"/>
            <w:tcMar>
              <w:top w:w="0" w:type="dxa"/>
              <w:left w:w="108" w:type="dxa"/>
              <w:bottom w:w="0" w:type="dxa"/>
              <w:right w:w="108" w:type="dxa"/>
            </w:tcMar>
            <w:vAlign w:val="center"/>
          </w:tcPr>
          <w:p w14:paraId="782300D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1.59%</w:t>
            </w:r>
          </w:p>
        </w:tc>
      </w:tr>
      <w:tr w:rsidR="006416B0" w:rsidRPr="00B4515A" w14:paraId="4E18D6F2" w14:textId="77777777" w:rsidTr="00031627">
        <w:trPr>
          <w:trHeight w:val="340"/>
          <w:jc w:val="center"/>
        </w:trPr>
        <w:tc>
          <w:tcPr>
            <w:tcW w:w="1641" w:type="dxa"/>
            <w:shd w:val="clear" w:color="auto" w:fill="auto"/>
            <w:tcMar>
              <w:top w:w="0" w:type="dxa"/>
              <w:left w:w="108" w:type="dxa"/>
              <w:bottom w:w="0" w:type="dxa"/>
              <w:right w:w="108" w:type="dxa"/>
            </w:tcMar>
            <w:vAlign w:val="center"/>
          </w:tcPr>
          <w:p w14:paraId="5AC426DB" w14:textId="77777777" w:rsidR="006416B0" w:rsidRPr="00B4515A" w:rsidRDefault="005E58C1" w:rsidP="005860B4">
            <w:pPr>
              <w:adjustRightInd w:val="0"/>
              <w:snapToGrid w:val="0"/>
              <w:jc w:val="center"/>
              <w:rPr>
                <w:color w:val="000000"/>
                <w:sz w:val="21"/>
                <w:szCs w:val="21"/>
              </w:rPr>
            </w:pPr>
            <w:r w:rsidRPr="00B4515A">
              <w:rPr>
                <w:color w:val="000000"/>
                <w:sz w:val="21"/>
                <w:szCs w:val="21"/>
              </w:rPr>
              <w:t>金融街资本</w:t>
            </w:r>
          </w:p>
        </w:tc>
        <w:tc>
          <w:tcPr>
            <w:tcW w:w="1503" w:type="dxa"/>
            <w:shd w:val="clear" w:color="auto" w:fill="auto"/>
            <w:tcMar>
              <w:top w:w="0" w:type="dxa"/>
              <w:left w:w="108" w:type="dxa"/>
              <w:bottom w:w="0" w:type="dxa"/>
              <w:right w:w="108" w:type="dxa"/>
            </w:tcMar>
            <w:vAlign w:val="center"/>
          </w:tcPr>
          <w:p w14:paraId="3213911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00" w:type="dxa"/>
            <w:shd w:val="clear" w:color="auto" w:fill="auto"/>
            <w:tcMar>
              <w:top w:w="0" w:type="dxa"/>
              <w:left w:w="108" w:type="dxa"/>
              <w:bottom w:w="0" w:type="dxa"/>
              <w:right w:w="108" w:type="dxa"/>
            </w:tcMar>
            <w:vAlign w:val="center"/>
          </w:tcPr>
          <w:p w14:paraId="33B166D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1482" w:type="dxa"/>
            <w:shd w:val="clear" w:color="auto" w:fill="auto"/>
            <w:tcMar>
              <w:top w:w="0" w:type="dxa"/>
              <w:left w:w="108" w:type="dxa"/>
              <w:bottom w:w="0" w:type="dxa"/>
              <w:right w:w="108" w:type="dxa"/>
            </w:tcMar>
            <w:vAlign w:val="center"/>
          </w:tcPr>
          <w:p w14:paraId="37C3E16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17,808,504</w:t>
            </w:r>
          </w:p>
        </w:tc>
        <w:tc>
          <w:tcPr>
            <w:tcW w:w="1504" w:type="dxa"/>
            <w:shd w:val="clear" w:color="auto" w:fill="auto"/>
            <w:tcMar>
              <w:top w:w="0" w:type="dxa"/>
              <w:left w:w="108" w:type="dxa"/>
              <w:bottom w:w="0" w:type="dxa"/>
              <w:right w:w="108" w:type="dxa"/>
            </w:tcMar>
            <w:vAlign w:val="center"/>
          </w:tcPr>
          <w:p w14:paraId="70AB4AA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17,808,504</w:t>
            </w:r>
          </w:p>
        </w:tc>
        <w:tc>
          <w:tcPr>
            <w:tcW w:w="1119" w:type="dxa"/>
            <w:shd w:val="clear" w:color="auto" w:fill="auto"/>
            <w:tcMar>
              <w:top w:w="0" w:type="dxa"/>
              <w:left w:w="108" w:type="dxa"/>
              <w:bottom w:w="0" w:type="dxa"/>
              <w:right w:w="108" w:type="dxa"/>
            </w:tcMar>
            <w:vAlign w:val="center"/>
          </w:tcPr>
          <w:p w14:paraId="765C4D9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1.59%</w:t>
            </w:r>
          </w:p>
        </w:tc>
      </w:tr>
      <w:tr w:rsidR="006416B0" w:rsidRPr="00B4515A" w14:paraId="0EB91DE7" w14:textId="77777777" w:rsidTr="00031627">
        <w:trPr>
          <w:trHeight w:val="340"/>
          <w:jc w:val="center"/>
        </w:trPr>
        <w:tc>
          <w:tcPr>
            <w:tcW w:w="1641" w:type="dxa"/>
            <w:shd w:val="clear" w:color="auto" w:fill="auto"/>
            <w:tcMar>
              <w:top w:w="0" w:type="dxa"/>
              <w:left w:w="108" w:type="dxa"/>
              <w:bottom w:w="0" w:type="dxa"/>
              <w:right w:w="108" w:type="dxa"/>
            </w:tcMar>
            <w:vAlign w:val="center"/>
          </w:tcPr>
          <w:p w14:paraId="29FAD3F6" w14:textId="77777777" w:rsidR="006416B0" w:rsidRPr="00B4515A" w:rsidRDefault="005E58C1" w:rsidP="005860B4">
            <w:pPr>
              <w:adjustRightInd w:val="0"/>
              <w:snapToGrid w:val="0"/>
              <w:jc w:val="center"/>
              <w:rPr>
                <w:color w:val="000000"/>
                <w:sz w:val="21"/>
                <w:szCs w:val="21"/>
              </w:rPr>
            </w:pPr>
            <w:r w:rsidRPr="00B4515A">
              <w:rPr>
                <w:color w:val="000000"/>
                <w:sz w:val="21"/>
                <w:szCs w:val="21"/>
              </w:rPr>
              <w:t>大唐电信其他股东</w:t>
            </w:r>
          </w:p>
        </w:tc>
        <w:tc>
          <w:tcPr>
            <w:tcW w:w="1503" w:type="dxa"/>
            <w:shd w:val="clear" w:color="auto" w:fill="auto"/>
            <w:tcMar>
              <w:top w:w="0" w:type="dxa"/>
              <w:left w:w="108" w:type="dxa"/>
              <w:bottom w:w="0" w:type="dxa"/>
              <w:right w:w="108" w:type="dxa"/>
            </w:tcMar>
            <w:vAlign w:val="center"/>
          </w:tcPr>
          <w:p w14:paraId="16A25A3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582,737,449</w:t>
            </w:r>
          </w:p>
        </w:tc>
        <w:tc>
          <w:tcPr>
            <w:tcW w:w="1100" w:type="dxa"/>
            <w:shd w:val="clear" w:color="auto" w:fill="auto"/>
            <w:tcMar>
              <w:top w:w="0" w:type="dxa"/>
              <w:left w:w="108" w:type="dxa"/>
              <w:bottom w:w="0" w:type="dxa"/>
              <w:right w:w="108" w:type="dxa"/>
            </w:tcMar>
            <w:vAlign w:val="center"/>
          </w:tcPr>
          <w:p w14:paraId="6D6C8FC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66.06%</w:t>
            </w:r>
          </w:p>
        </w:tc>
        <w:tc>
          <w:tcPr>
            <w:tcW w:w="1482" w:type="dxa"/>
            <w:shd w:val="clear" w:color="auto" w:fill="auto"/>
            <w:tcMar>
              <w:top w:w="0" w:type="dxa"/>
              <w:left w:w="108" w:type="dxa"/>
              <w:bottom w:w="0" w:type="dxa"/>
              <w:right w:w="108" w:type="dxa"/>
            </w:tcMar>
            <w:vAlign w:val="center"/>
          </w:tcPr>
          <w:p w14:paraId="78D4B94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   </w:t>
            </w:r>
          </w:p>
        </w:tc>
        <w:tc>
          <w:tcPr>
            <w:tcW w:w="1504" w:type="dxa"/>
            <w:shd w:val="clear" w:color="auto" w:fill="auto"/>
            <w:tcMar>
              <w:top w:w="0" w:type="dxa"/>
              <w:left w:w="108" w:type="dxa"/>
              <w:bottom w:w="0" w:type="dxa"/>
              <w:right w:w="108" w:type="dxa"/>
            </w:tcMar>
            <w:vAlign w:val="center"/>
          </w:tcPr>
          <w:p w14:paraId="13D4DFE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582,737,449</w:t>
            </w:r>
          </w:p>
        </w:tc>
        <w:tc>
          <w:tcPr>
            <w:tcW w:w="1119" w:type="dxa"/>
            <w:shd w:val="clear" w:color="auto" w:fill="auto"/>
            <w:tcMar>
              <w:top w:w="0" w:type="dxa"/>
              <w:left w:w="108" w:type="dxa"/>
              <w:bottom w:w="0" w:type="dxa"/>
              <w:right w:w="108" w:type="dxa"/>
            </w:tcMar>
            <w:vAlign w:val="center"/>
          </w:tcPr>
          <w:p w14:paraId="689DF47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51.90%</w:t>
            </w:r>
          </w:p>
        </w:tc>
      </w:tr>
      <w:tr w:rsidR="006416B0" w:rsidRPr="00B4515A" w14:paraId="1273211D" w14:textId="77777777" w:rsidTr="00031627">
        <w:trPr>
          <w:trHeight w:val="340"/>
          <w:jc w:val="center"/>
        </w:trPr>
        <w:tc>
          <w:tcPr>
            <w:tcW w:w="1641" w:type="dxa"/>
            <w:shd w:val="clear" w:color="auto" w:fill="auto"/>
            <w:tcMar>
              <w:top w:w="0" w:type="dxa"/>
              <w:left w:w="108" w:type="dxa"/>
              <w:bottom w:w="0" w:type="dxa"/>
              <w:right w:w="108" w:type="dxa"/>
            </w:tcMar>
            <w:vAlign w:val="center"/>
          </w:tcPr>
          <w:p w14:paraId="6EBCED20" w14:textId="77777777" w:rsidR="006416B0" w:rsidRPr="00B4515A" w:rsidRDefault="005E58C1" w:rsidP="005860B4">
            <w:pPr>
              <w:adjustRightInd w:val="0"/>
              <w:snapToGrid w:val="0"/>
              <w:jc w:val="center"/>
              <w:rPr>
                <w:b/>
                <w:bCs/>
                <w:color w:val="000000"/>
                <w:sz w:val="21"/>
                <w:szCs w:val="21"/>
              </w:rPr>
            </w:pPr>
            <w:r w:rsidRPr="00B4515A">
              <w:rPr>
                <w:b/>
                <w:bCs/>
                <w:color w:val="000000"/>
                <w:sz w:val="21"/>
                <w:szCs w:val="21"/>
              </w:rPr>
              <w:t>合计</w:t>
            </w:r>
          </w:p>
        </w:tc>
        <w:tc>
          <w:tcPr>
            <w:tcW w:w="1503" w:type="dxa"/>
            <w:shd w:val="clear" w:color="auto" w:fill="auto"/>
            <w:tcMar>
              <w:top w:w="0" w:type="dxa"/>
              <w:left w:w="108" w:type="dxa"/>
              <w:bottom w:w="0" w:type="dxa"/>
              <w:right w:w="108" w:type="dxa"/>
            </w:tcMar>
            <w:vAlign w:val="center"/>
          </w:tcPr>
          <w:p w14:paraId="60E1C608"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sz w:val="21"/>
                <w:szCs w:val="21"/>
              </w:rPr>
              <w:t>882,108,472</w:t>
            </w:r>
          </w:p>
        </w:tc>
        <w:tc>
          <w:tcPr>
            <w:tcW w:w="1100" w:type="dxa"/>
            <w:shd w:val="clear" w:color="auto" w:fill="auto"/>
            <w:tcMar>
              <w:top w:w="0" w:type="dxa"/>
              <w:left w:w="108" w:type="dxa"/>
              <w:bottom w:w="0" w:type="dxa"/>
              <w:right w:w="108" w:type="dxa"/>
            </w:tcMar>
            <w:vAlign w:val="center"/>
          </w:tcPr>
          <w:p w14:paraId="5076FFD7"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100.00%</w:t>
            </w:r>
          </w:p>
        </w:tc>
        <w:tc>
          <w:tcPr>
            <w:tcW w:w="1482" w:type="dxa"/>
            <w:shd w:val="clear" w:color="auto" w:fill="auto"/>
            <w:tcMar>
              <w:top w:w="0" w:type="dxa"/>
              <w:left w:w="108" w:type="dxa"/>
              <w:bottom w:w="0" w:type="dxa"/>
              <w:right w:w="108" w:type="dxa"/>
            </w:tcMar>
            <w:vAlign w:val="center"/>
          </w:tcPr>
          <w:p w14:paraId="0041BA45"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sz w:val="21"/>
                <w:szCs w:val="21"/>
              </w:rPr>
              <w:t>240,760,740</w:t>
            </w:r>
          </w:p>
        </w:tc>
        <w:tc>
          <w:tcPr>
            <w:tcW w:w="1504" w:type="dxa"/>
            <w:shd w:val="clear" w:color="auto" w:fill="auto"/>
            <w:tcMar>
              <w:top w:w="0" w:type="dxa"/>
              <w:left w:w="108" w:type="dxa"/>
              <w:bottom w:w="0" w:type="dxa"/>
              <w:right w:w="108" w:type="dxa"/>
            </w:tcMar>
            <w:vAlign w:val="center"/>
          </w:tcPr>
          <w:p w14:paraId="74939067"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sz w:val="21"/>
                <w:szCs w:val="21"/>
              </w:rPr>
              <w:t>1,122,869,212</w:t>
            </w:r>
          </w:p>
        </w:tc>
        <w:tc>
          <w:tcPr>
            <w:tcW w:w="1119" w:type="dxa"/>
            <w:shd w:val="clear" w:color="auto" w:fill="auto"/>
            <w:tcMar>
              <w:top w:w="0" w:type="dxa"/>
              <w:left w:w="108" w:type="dxa"/>
              <w:bottom w:w="0" w:type="dxa"/>
              <w:right w:w="108" w:type="dxa"/>
            </w:tcMar>
            <w:vAlign w:val="center"/>
          </w:tcPr>
          <w:p w14:paraId="5C17A71E"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sz w:val="21"/>
                <w:szCs w:val="21"/>
              </w:rPr>
              <w:t>100.00%</w:t>
            </w:r>
          </w:p>
        </w:tc>
      </w:tr>
    </w:tbl>
    <w:p w14:paraId="65CA08A2" w14:textId="77777777" w:rsidR="006416B0" w:rsidRPr="00B4515A" w:rsidRDefault="005E58C1" w:rsidP="005860B4">
      <w:pPr>
        <w:pStyle w:val="005"/>
        <w:spacing w:before="120" w:after="120"/>
        <w:ind w:firstLine="480"/>
      </w:pPr>
      <w:r w:rsidRPr="00B4515A">
        <w:rPr>
          <w:rFonts w:hint="eastAsia"/>
        </w:rPr>
        <w:t>发行股份购买资产同时募集配套资金前后股权结构变化情况如下：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579"/>
        <w:gridCol w:w="1447"/>
        <w:gridCol w:w="1158"/>
        <w:gridCol w:w="1448"/>
        <w:gridCol w:w="1721"/>
        <w:gridCol w:w="1175"/>
      </w:tblGrid>
      <w:tr w:rsidR="006416B0" w:rsidRPr="00B4515A" w14:paraId="117C770A" w14:textId="77777777" w:rsidTr="00031627">
        <w:trPr>
          <w:trHeight w:val="340"/>
          <w:jc w:val="center"/>
        </w:trPr>
        <w:tc>
          <w:tcPr>
            <w:tcW w:w="1545" w:type="dxa"/>
            <w:shd w:val="clear" w:color="auto" w:fill="auto"/>
            <w:tcMar>
              <w:top w:w="0" w:type="dxa"/>
              <w:left w:w="108" w:type="dxa"/>
              <w:bottom w:w="0" w:type="dxa"/>
              <w:right w:w="108" w:type="dxa"/>
            </w:tcMar>
            <w:vAlign w:val="center"/>
          </w:tcPr>
          <w:p w14:paraId="12BA2A69"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股东名称</w:t>
            </w:r>
          </w:p>
        </w:tc>
        <w:tc>
          <w:tcPr>
            <w:tcW w:w="1417" w:type="dxa"/>
            <w:shd w:val="clear" w:color="auto" w:fill="auto"/>
            <w:tcMar>
              <w:top w:w="0" w:type="dxa"/>
              <w:left w:w="108" w:type="dxa"/>
              <w:bottom w:w="0" w:type="dxa"/>
              <w:right w:w="108" w:type="dxa"/>
            </w:tcMar>
            <w:vAlign w:val="center"/>
          </w:tcPr>
          <w:p w14:paraId="0AF9C5C8"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原持股（股）</w:t>
            </w:r>
          </w:p>
        </w:tc>
        <w:tc>
          <w:tcPr>
            <w:tcW w:w="1134" w:type="dxa"/>
            <w:shd w:val="clear" w:color="auto" w:fill="auto"/>
            <w:tcMar>
              <w:top w:w="0" w:type="dxa"/>
              <w:left w:w="108" w:type="dxa"/>
              <w:bottom w:w="0" w:type="dxa"/>
              <w:right w:w="108" w:type="dxa"/>
            </w:tcMar>
            <w:vAlign w:val="center"/>
          </w:tcPr>
          <w:p w14:paraId="5DBB74A9" w14:textId="77777777" w:rsidR="005860B4"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原持股</w:t>
            </w:r>
          </w:p>
          <w:p w14:paraId="2B252FA6" w14:textId="7B775E91"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比例</w:t>
            </w:r>
          </w:p>
        </w:tc>
        <w:tc>
          <w:tcPr>
            <w:tcW w:w="1418" w:type="dxa"/>
            <w:shd w:val="clear" w:color="auto" w:fill="auto"/>
            <w:tcMar>
              <w:top w:w="0" w:type="dxa"/>
              <w:left w:w="108" w:type="dxa"/>
              <w:bottom w:w="0" w:type="dxa"/>
              <w:right w:w="108" w:type="dxa"/>
            </w:tcMar>
            <w:vAlign w:val="center"/>
          </w:tcPr>
          <w:p w14:paraId="4CA1AA4D"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新增股数（股）</w:t>
            </w:r>
          </w:p>
        </w:tc>
        <w:tc>
          <w:tcPr>
            <w:tcW w:w="1685" w:type="dxa"/>
            <w:shd w:val="clear" w:color="auto" w:fill="auto"/>
            <w:tcMar>
              <w:top w:w="0" w:type="dxa"/>
              <w:left w:w="108" w:type="dxa"/>
              <w:bottom w:w="0" w:type="dxa"/>
              <w:right w:w="108" w:type="dxa"/>
            </w:tcMar>
            <w:vAlign w:val="center"/>
          </w:tcPr>
          <w:p w14:paraId="710F323F"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资产注入后股数（股）</w:t>
            </w:r>
          </w:p>
        </w:tc>
        <w:tc>
          <w:tcPr>
            <w:tcW w:w="1150" w:type="dxa"/>
            <w:shd w:val="clear" w:color="auto" w:fill="auto"/>
            <w:tcMar>
              <w:top w:w="0" w:type="dxa"/>
              <w:left w:w="108" w:type="dxa"/>
              <w:bottom w:w="0" w:type="dxa"/>
              <w:right w:w="108" w:type="dxa"/>
            </w:tcMar>
            <w:vAlign w:val="center"/>
          </w:tcPr>
          <w:p w14:paraId="2D73E573" w14:textId="77777777" w:rsidR="005860B4"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资产注入后持股</w:t>
            </w:r>
          </w:p>
          <w:p w14:paraId="6F0798C4" w14:textId="52364185"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比例</w:t>
            </w:r>
          </w:p>
        </w:tc>
      </w:tr>
      <w:tr w:rsidR="006416B0" w:rsidRPr="00B4515A" w14:paraId="7910A140" w14:textId="77777777" w:rsidTr="00031627">
        <w:trPr>
          <w:trHeight w:val="340"/>
          <w:jc w:val="center"/>
        </w:trPr>
        <w:tc>
          <w:tcPr>
            <w:tcW w:w="1545" w:type="dxa"/>
            <w:shd w:val="clear" w:color="auto" w:fill="auto"/>
            <w:tcMar>
              <w:top w:w="0" w:type="dxa"/>
              <w:left w:w="108" w:type="dxa"/>
              <w:bottom w:w="0" w:type="dxa"/>
              <w:right w:w="108" w:type="dxa"/>
            </w:tcMar>
            <w:vAlign w:val="center"/>
          </w:tcPr>
          <w:p w14:paraId="6EEF7A6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电信科研院</w:t>
            </w:r>
          </w:p>
        </w:tc>
        <w:tc>
          <w:tcPr>
            <w:tcW w:w="1417" w:type="dxa"/>
            <w:shd w:val="clear" w:color="auto" w:fill="auto"/>
            <w:tcMar>
              <w:top w:w="0" w:type="dxa"/>
              <w:left w:w="108" w:type="dxa"/>
              <w:bottom w:w="0" w:type="dxa"/>
              <w:right w:w="108" w:type="dxa"/>
            </w:tcMar>
            <w:vAlign w:val="center"/>
          </w:tcPr>
          <w:p w14:paraId="743764A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151,252,178</w:t>
            </w:r>
          </w:p>
        </w:tc>
        <w:tc>
          <w:tcPr>
            <w:tcW w:w="1134" w:type="dxa"/>
            <w:shd w:val="clear" w:color="auto" w:fill="auto"/>
            <w:tcMar>
              <w:top w:w="0" w:type="dxa"/>
              <w:left w:w="108" w:type="dxa"/>
              <w:bottom w:w="0" w:type="dxa"/>
              <w:right w:w="108" w:type="dxa"/>
            </w:tcMar>
            <w:vAlign w:val="center"/>
          </w:tcPr>
          <w:p w14:paraId="0C1C8315" w14:textId="77777777" w:rsidR="006416B0" w:rsidRPr="00B4515A" w:rsidRDefault="005E58C1" w:rsidP="005860B4">
            <w:pPr>
              <w:adjustRightInd w:val="0"/>
              <w:snapToGrid w:val="0"/>
              <w:jc w:val="right"/>
              <w:rPr>
                <w:rFonts w:ascii="Times New Roman" w:hAnsi="Times New Roman" w:cs="Times New Roman"/>
                <w:bCs/>
                <w:color w:val="000000"/>
                <w:sz w:val="21"/>
                <w:szCs w:val="21"/>
              </w:rPr>
            </w:pPr>
            <w:r w:rsidRPr="00B4515A">
              <w:rPr>
                <w:rFonts w:ascii="Times New Roman" w:hAnsi="Times New Roman" w:cs="Times New Roman"/>
                <w:bCs/>
                <w:color w:val="000000"/>
                <w:sz w:val="21"/>
                <w:szCs w:val="21"/>
              </w:rPr>
              <w:t>17.15%</w:t>
            </w:r>
          </w:p>
        </w:tc>
        <w:tc>
          <w:tcPr>
            <w:tcW w:w="1418" w:type="dxa"/>
            <w:shd w:val="clear" w:color="auto" w:fill="auto"/>
            <w:tcMar>
              <w:top w:w="0" w:type="dxa"/>
              <w:left w:w="108" w:type="dxa"/>
              <w:bottom w:w="0" w:type="dxa"/>
              <w:right w:w="108" w:type="dxa"/>
            </w:tcMar>
            <w:vAlign w:val="center"/>
          </w:tcPr>
          <w:p w14:paraId="3CDD633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143,942,996</w:t>
            </w:r>
          </w:p>
        </w:tc>
        <w:tc>
          <w:tcPr>
            <w:tcW w:w="1685" w:type="dxa"/>
            <w:shd w:val="clear" w:color="auto" w:fill="auto"/>
            <w:tcMar>
              <w:top w:w="0" w:type="dxa"/>
              <w:left w:w="108" w:type="dxa"/>
              <w:bottom w:w="0" w:type="dxa"/>
              <w:right w:w="108" w:type="dxa"/>
            </w:tcMar>
            <w:vAlign w:val="center"/>
          </w:tcPr>
          <w:p w14:paraId="143423B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295,195,174</w:t>
            </w:r>
          </w:p>
        </w:tc>
        <w:tc>
          <w:tcPr>
            <w:tcW w:w="1150" w:type="dxa"/>
            <w:shd w:val="clear" w:color="auto" w:fill="auto"/>
            <w:tcMar>
              <w:top w:w="0" w:type="dxa"/>
              <w:left w:w="108" w:type="dxa"/>
              <w:bottom w:w="0" w:type="dxa"/>
              <w:right w:w="108" w:type="dxa"/>
            </w:tcMar>
            <w:vAlign w:val="center"/>
          </w:tcPr>
          <w:p w14:paraId="2F4B5BE1"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color w:val="000000"/>
                <w:sz w:val="21"/>
                <w:szCs w:val="21"/>
              </w:rPr>
              <w:t>22.47%</w:t>
            </w:r>
          </w:p>
        </w:tc>
      </w:tr>
      <w:tr w:rsidR="006416B0" w:rsidRPr="00B4515A" w14:paraId="53CE5CD6" w14:textId="77777777" w:rsidTr="00031627">
        <w:trPr>
          <w:trHeight w:val="340"/>
          <w:jc w:val="center"/>
        </w:trPr>
        <w:tc>
          <w:tcPr>
            <w:tcW w:w="1545" w:type="dxa"/>
            <w:shd w:val="clear" w:color="auto" w:fill="auto"/>
            <w:tcMar>
              <w:top w:w="0" w:type="dxa"/>
              <w:left w:w="108" w:type="dxa"/>
              <w:bottom w:w="0" w:type="dxa"/>
              <w:right w:w="108" w:type="dxa"/>
            </w:tcMar>
            <w:vAlign w:val="center"/>
          </w:tcPr>
          <w:p w14:paraId="0E06FE4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大唐控股</w:t>
            </w:r>
          </w:p>
        </w:tc>
        <w:tc>
          <w:tcPr>
            <w:tcW w:w="1417" w:type="dxa"/>
            <w:shd w:val="clear" w:color="auto" w:fill="auto"/>
            <w:tcMar>
              <w:top w:w="0" w:type="dxa"/>
              <w:left w:w="108" w:type="dxa"/>
              <w:bottom w:w="0" w:type="dxa"/>
              <w:right w:w="108" w:type="dxa"/>
            </w:tcMar>
            <w:vAlign w:val="center"/>
          </w:tcPr>
          <w:p w14:paraId="3D559E2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148,118,845</w:t>
            </w:r>
          </w:p>
        </w:tc>
        <w:tc>
          <w:tcPr>
            <w:tcW w:w="1134" w:type="dxa"/>
            <w:shd w:val="clear" w:color="auto" w:fill="auto"/>
            <w:tcMar>
              <w:top w:w="0" w:type="dxa"/>
              <w:left w:w="108" w:type="dxa"/>
              <w:bottom w:w="0" w:type="dxa"/>
              <w:right w:w="108" w:type="dxa"/>
            </w:tcMar>
            <w:vAlign w:val="center"/>
          </w:tcPr>
          <w:p w14:paraId="18A1B030" w14:textId="77777777" w:rsidR="006416B0" w:rsidRPr="00B4515A" w:rsidRDefault="005E58C1" w:rsidP="005860B4">
            <w:pPr>
              <w:adjustRightInd w:val="0"/>
              <w:snapToGrid w:val="0"/>
              <w:jc w:val="right"/>
              <w:rPr>
                <w:rFonts w:ascii="Times New Roman" w:hAnsi="Times New Roman" w:cs="Times New Roman"/>
                <w:bCs/>
                <w:color w:val="000000"/>
                <w:sz w:val="21"/>
                <w:szCs w:val="21"/>
              </w:rPr>
            </w:pPr>
            <w:r w:rsidRPr="00B4515A">
              <w:rPr>
                <w:rFonts w:ascii="Times New Roman" w:hAnsi="Times New Roman" w:cs="Times New Roman"/>
                <w:bCs/>
                <w:color w:val="000000"/>
                <w:sz w:val="21"/>
                <w:szCs w:val="21"/>
              </w:rPr>
              <w:t>16.79%</w:t>
            </w:r>
          </w:p>
        </w:tc>
        <w:tc>
          <w:tcPr>
            <w:tcW w:w="1418" w:type="dxa"/>
            <w:shd w:val="clear" w:color="auto" w:fill="auto"/>
            <w:tcMar>
              <w:top w:w="0" w:type="dxa"/>
              <w:left w:w="108" w:type="dxa"/>
              <w:bottom w:w="0" w:type="dxa"/>
              <w:right w:w="108" w:type="dxa"/>
            </w:tcMar>
            <w:vAlign w:val="center"/>
          </w:tcPr>
          <w:p w14:paraId="0DF0EFB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7,777,757</w:t>
            </w:r>
          </w:p>
        </w:tc>
        <w:tc>
          <w:tcPr>
            <w:tcW w:w="1685" w:type="dxa"/>
            <w:shd w:val="clear" w:color="auto" w:fill="auto"/>
            <w:tcMar>
              <w:top w:w="0" w:type="dxa"/>
              <w:left w:w="108" w:type="dxa"/>
              <w:bottom w:w="0" w:type="dxa"/>
              <w:right w:w="108" w:type="dxa"/>
            </w:tcMar>
            <w:vAlign w:val="center"/>
          </w:tcPr>
          <w:p w14:paraId="6F29F86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155,896,602</w:t>
            </w:r>
          </w:p>
        </w:tc>
        <w:tc>
          <w:tcPr>
            <w:tcW w:w="1150" w:type="dxa"/>
            <w:shd w:val="clear" w:color="auto" w:fill="auto"/>
            <w:tcMar>
              <w:top w:w="0" w:type="dxa"/>
              <w:left w:w="108" w:type="dxa"/>
              <w:bottom w:w="0" w:type="dxa"/>
              <w:right w:w="108" w:type="dxa"/>
            </w:tcMar>
            <w:vAlign w:val="center"/>
          </w:tcPr>
          <w:p w14:paraId="382A8F75"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color w:val="000000"/>
                <w:sz w:val="21"/>
                <w:szCs w:val="21"/>
              </w:rPr>
              <w:t>11.87%</w:t>
            </w:r>
          </w:p>
        </w:tc>
      </w:tr>
      <w:tr w:rsidR="006416B0" w:rsidRPr="00B4515A" w14:paraId="6A994BD3" w14:textId="77777777" w:rsidTr="00031627">
        <w:trPr>
          <w:trHeight w:val="340"/>
          <w:jc w:val="center"/>
        </w:trPr>
        <w:tc>
          <w:tcPr>
            <w:tcW w:w="1545" w:type="dxa"/>
            <w:shd w:val="clear" w:color="auto" w:fill="auto"/>
            <w:tcMar>
              <w:top w:w="0" w:type="dxa"/>
              <w:left w:w="108" w:type="dxa"/>
              <w:bottom w:w="0" w:type="dxa"/>
              <w:right w:w="108" w:type="dxa"/>
            </w:tcMar>
            <w:vAlign w:val="center"/>
          </w:tcPr>
          <w:p w14:paraId="2ECC55B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中国信科集团</w:t>
            </w:r>
          </w:p>
        </w:tc>
        <w:tc>
          <w:tcPr>
            <w:tcW w:w="1417" w:type="dxa"/>
            <w:shd w:val="clear" w:color="auto" w:fill="auto"/>
            <w:tcMar>
              <w:top w:w="0" w:type="dxa"/>
              <w:left w:w="108" w:type="dxa"/>
              <w:bottom w:w="0" w:type="dxa"/>
              <w:right w:w="108" w:type="dxa"/>
            </w:tcMar>
            <w:vAlign w:val="center"/>
          </w:tcPr>
          <w:p w14:paraId="7000E40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color w:val="000000"/>
                <w:sz w:val="21"/>
                <w:szCs w:val="21"/>
              </w:rPr>
              <w:t>-</w:t>
            </w:r>
          </w:p>
        </w:tc>
        <w:tc>
          <w:tcPr>
            <w:tcW w:w="1134" w:type="dxa"/>
            <w:shd w:val="clear" w:color="auto" w:fill="auto"/>
            <w:tcMar>
              <w:top w:w="0" w:type="dxa"/>
              <w:left w:w="108" w:type="dxa"/>
              <w:bottom w:w="0" w:type="dxa"/>
              <w:right w:w="108" w:type="dxa"/>
            </w:tcMar>
            <w:vAlign w:val="center"/>
          </w:tcPr>
          <w:p w14:paraId="6D38FA98" w14:textId="77777777" w:rsidR="006416B0" w:rsidRPr="00B4515A" w:rsidRDefault="005E58C1" w:rsidP="005860B4">
            <w:pPr>
              <w:adjustRightInd w:val="0"/>
              <w:snapToGrid w:val="0"/>
              <w:jc w:val="right"/>
              <w:rPr>
                <w:rFonts w:ascii="Times New Roman" w:hAnsi="Times New Roman" w:cs="Times New Roman"/>
                <w:bCs/>
                <w:color w:val="000000"/>
                <w:sz w:val="21"/>
                <w:szCs w:val="21"/>
              </w:rPr>
            </w:pPr>
            <w:r w:rsidRPr="00B4515A">
              <w:rPr>
                <w:rFonts w:ascii="Times New Roman" w:hAnsi="Times New Roman" w:cs="Times New Roman"/>
                <w:color w:val="000000"/>
                <w:sz w:val="21"/>
                <w:szCs w:val="21"/>
              </w:rPr>
              <w:t>0.00%</w:t>
            </w:r>
          </w:p>
        </w:tc>
        <w:tc>
          <w:tcPr>
            <w:tcW w:w="1418" w:type="dxa"/>
            <w:shd w:val="clear" w:color="auto" w:fill="auto"/>
            <w:tcMar>
              <w:top w:w="0" w:type="dxa"/>
              <w:left w:w="108" w:type="dxa"/>
              <w:bottom w:w="0" w:type="dxa"/>
              <w:right w:w="108" w:type="dxa"/>
            </w:tcMar>
            <w:vAlign w:val="center"/>
          </w:tcPr>
          <w:p w14:paraId="3DF2847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190,839,694</w:t>
            </w:r>
          </w:p>
        </w:tc>
        <w:tc>
          <w:tcPr>
            <w:tcW w:w="1685" w:type="dxa"/>
            <w:shd w:val="clear" w:color="auto" w:fill="auto"/>
            <w:tcMar>
              <w:top w:w="0" w:type="dxa"/>
              <w:left w:w="108" w:type="dxa"/>
              <w:bottom w:w="0" w:type="dxa"/>
              <w:right w:w="108" w:type="dxa"/>
            </w:tcMar>
            <w:vAlign w:val="center"/>
          </w:tcPr>
          <w:p w14:paraId="1BCFBA3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190,839,694</w:t>
            </w:r>
          </w:p>
        </w:tc>
        <w:tc>
          <w:tcPr>
            <w:tcW w:w="1150" w:type="dxa"/>
            <w:shd w:val="clear" w:color="auto" w:fill="auto"/>
            <w:tcMar>
              <w:top w:w="0" w:type="dxa"/>
              <w:left w:w="108" w:type="dxa"/>
              <w:bottom w:w="0" w:type="dxa"/>
              <w:right w:w="108" w:type="dxa"/>
            </w:tcMar>
            <w:vAlign w:val="center"/>
          </w:tcPr>
          <w:p w14:paraId="0B26CD2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14.53%</w:t>
            </w:r>
          </w:p>
        </w:tc>
      </w:tr>
      <w:tr w:rsidR="006416B0" w:rsidRPr="00B4515A" w14:paraId="1C982EE4" w14:textId="77777777" w:rsidTr="00031627">
        <w:trPr>
          <w:trHeight w:val="340"/>
          <w:jc w:val="center"/>
        </w:trPr>
        <w:tc>
          <w:tcPr>
            <w:tcW w:w="1545" w:type="dxa"/>
            <w:shd w:val="clear" w:color="auto" w:fill="auto"/>
            <w:tcMar>
              <w:top w:w="0" w:type="dxa"/>
              <w:left w:w="108" w:type="dxa"/>
              <w:bottom w:w="0" w:type="dxa"/>
              <w:right w:w="108" w:type="dxa"/>
            </w:tcMar>
            <w:vAlign w:val="center"/>
          </w:tcPr>
          <w:p w14:paraId="15FEC4C2" w14:textId="0FA772F2" w:rsidR="006416B0" w:rsidRPr="00B4515A" w:rsidRDefault="00252376"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长江移动基金</w:t>
            </w:r>
          </w:p>
        </w:tc>
        <w:tc>
          <w:tcPr>
            <w:tcW w:w="1417" w:type="dxa"/>
            <w:shd w:val="clear" w:color="auto" w:fill="auto"/>
            <w:tcMar>
              <w:top w:w="0" w:type="dxa"/>
              <w:left w:w="108" w:type="dxa"/>
              <w:bottom w:w="0" w:type="dxa"/>
              <w:right w:w="108" w:type="dxa"/>
            </w:tcMar>
            <w:vAlign w:val="center"/>
          </w:tcPr>
          <w:p w14:paraId="69CEF78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34" w:type="dxa"/>
            <w:shd w:val="clear" w:color="auto" w:fill="auto"/>
            <w:tcMar>
              <w:top w:w="0" w:type="dxa"/>
              <w:left w:w="108" w:type="dxa"/>
              <w:bottom w:w="0" w:type="dxa"/>
              <w:right w:w="108" w:type="dxa"/>
            </w:tcMar>
            <w:vAlign w:val="center"/>
          </w:tcPr>
          <w:p w14:paraId="43FBDB7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1418" w:type="dxa"/>
            <w:shd w:val="clear" w:color="auto" w:fill="auto"/>
            <w:tcMar>
              <w:top w:w="0" w:type="dxa"/>
              <w:left w:w="108" w:type="dxa"/>
              <w:bottom w:w="0" w:type="dxa"/>
              <w:right w:w="108" w:type="dxa"/>
            </w:tcMar>
            <w:vAlign w:val="center"/>
          </w:tcPr>
          <w:p w14:paraId="301EB4F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53,422,979</w:t>
            </w:r>
          </w:p>
        </w:tc>
        <w:tc>
          <w:tcPr>
            <w:tcW w:w="1685" w:type="dxa"/>
            <w:shd w:val="clear" w:color="auto" w:fill="auto"/>
            <w:tcMar>
              <w:top w:w="0" w:type="dxa"/>
              <w:left w:w="108" w:type="dxa"/>
              <w:bottom w:w="0" w:type="dxa"/>
              <w:right w:w="108" w:type="dxa"/>
            </w:tcMar>
            <w:vAlign w:val="center"/>
          </w:tcPr>
          <w:p w14:paraId="2510B6E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53,422,979</w:t>
            </w:r>
          </w:p>
        </w:tc>
        <w:tc>
          <w:tcPr>
            <w:tcW w:w="1150" w:type="dxa"/>
            <w:shd w:val="clear" w:color="auto" w:fill="auto"/>
            <w:tcMar>
              <w:top w:w="0" w:type="dxa"/>
              <w:left w:w="108" w:type="dxa"/>
              <w:bottom w:w="0" w:type="dxa"/>
              <w:right w:w="108" w:type="dxa"/>
            </w:tcMar>
            <w:vAlign w:val="center"/>
          </w:tcPr>
          <w:p w14:paraId="0D449F1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4.07%</w:t>
            </w:r>
          </w:p>
        </w:tc>
      </w:tr>
      <w:tr w:rsidR="006416B0" w:rsidRPr="00B4515A" w14:paraId="44730D47" w14:textId="77777777" w:rsidTr="00031627">
        <w:trPr>
          <w:trHeight w:val="340"/>
          <w:jc w:val="center"/>
        </w:trPr>
        <w:tc>
          <w:tcPr>
            <w:tcW w:w="1545" w:type="dxa"/>
            <w:shd w:val="clear" w:color="auto" w:fill="auto"/>
            <w:tcMar>
              <w:top w:w="0" w:type="dxa"/>
              <w:left w:w="108" w:type="dxa"/>
              <w:bottom w:w="0" w:type="dxa"/>
              <w:right w:w="108" w:type="dxa"/>
            </w:tcMar>
            <w:vAlign w:val="center"/>
          </w:tcPr>
          <w:p w14:paraId="154BAC2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hint="eastAsia"/>
                <w:color w:val="000000"/>
                <w:sz w:val="21"/>
                <w:szCs w:val="21"/>
              </w:rPr>
              <w:t>结构调整基金</w:t>
            </w:r>
          </w:p>
        </w:tc>
        <w:tc>
          <w:tcPr>
            <w:tcW w:w="1417" w:type="dxa"/>
            <w:shd w:val="clear" w:color="auto" w:fill="auto"/>
            <w:tcMar>
              <w:top w:w="0" w:type="dxa"/>
              <w:left w:w="108" w:type="dxa"/>
              <w:bottom w:w="0" w:type="dxa"/>
              <w:right w:w="108" w:type="dxa"/>
            </w:tcMar>
            <w:vAlign w:val="center"/>
          </w:tcPr>
          <w:p w14:paraId="13175CE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34" w:type="dxa"/>
            <w:shd w:val="clear" w:color="auto" w:fill="auto"/>
            <w:tcMar>
              <w:top w:w="0" w:type="dxa"/>
              <w:left w:w="108" w:type="dxa"/>
              <w:bottom w:w="0" w:type="dxa"/>
              <w:right w:w="108" w:type="dxa"/>
            </w:tcMar>
            <w:vAlign w:val="center"/>
          </w:tcPr>
          <w:p w14:paraId="02531D5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1418" w:type="dxa"/>
            <w:shd w:val="clear" w:color="auto" w:fill="auto"/>
            <w:tcMar>
              <w:top w:w="0" w:type="dxa"/>
              <w:left w:w="108" w:type="dxa"/>
              <w:bottom w:w="0" w:type="dxa"/>
              <w:right w:w="108" w:type="dxa"/>
            </w:tcMar>
            <w:vAlign w:val="center"/>
          </w:tcPr>
          <w:p w14:paraId="4999B19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17,808,504</w:t>
            </w:r>
          </w:p>
        </w:tc>
        <w:tc>
          <w:tcPr>
            <w:tcW w:w="1685" w:type="dxa"/>
            <w:shd w:val="clear" w:color="auto" w:fill="auto"/>
            <w:tcMar>
              <w:top w:w="0" w:type="dxa"/>
              <w:left w:w="108" w:type="dxa"/>
              <w:bottom w:w="0" w:type="dxa"/>
              <w:right w:w="108" w:type="dxa"/>
            </w:tcMar>
            <w:vAlign w:val="center"/>
          </w:tcPr>
          <w:p w14:paraId="283F4BB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17,808,504</w:t>
            </w:r>
          </w:p>
        </w:tc>
        <w:tc>
          <w:tcPr>
            <w:tcW w:w="1150" w:type="dxa"/>
            <w:shd w:val="clear" w:color="auto" w:fill="auto"/>
            <w:tcMar>
              <w:top w:w="0" w:type="dxa"/>
              <w:left w:w="108" w:type="dxa"/>
              <w:bottom w:w="0" w:type="dxa"/>
              <w:right w:w="108" w:type="dxa"/>
            </w:tcMar>
            <w:vAlign w:val="center"/>
          </w:tcPr>
          <w:p w14:paraId="1F48BC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1.36%</w:t>
            </w:r>
          </w:p>
        </w:tc>
      </w:tr>
      <w:tr w:rsidR="006416B0" w:rsidRPr="00B4515A" w14:paraId="1DBA7833" w14:textId="77777777" w:rsidTr="00031627">
        <w:trPr>
          <w:trHeight w:val="340"/>
          <w:jc w:val="center"/>
        </w:trPr>
        <w:tc>
          <w:tcPr>
            <w:tcW w:w="1545" w:type="dxa"/>
            <w:shd w:val="clear" w:color="auto" w:fill="auto"/>
            <w:tcMar>
              <w:top w:w="0" w:type="dxa"/>
              <w:left w:w="108" w:type="dxa"/>
              <w:bottom w:w="0" w:type="dxa"/>
              <w:right w:w="108" w:type="dxa"/>
            </w:tcMar>
            <w:vAlign w:val="center"/>
          </w:tcPr>
          <w:p w14:paraId="0CD133C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金融街资本</w:t>
            </w:r>
          </w:p>
        </w:tc>
        <w:tc>
          <w:tcPr>
            <w:tcW w:w="1417" w:type="dxa"/>
            <w:shd w:val="clear" w:color="auto" w:fill="auto"/>
            <w:tcMar>
              <w:top w:w="0" w:type="dxa"/>
              <w:left w:w="108" w:type="dxa"/>
              <w:bottom w:w="0" w:type="dxa"/>
              <w:right w:w="108" w:type="dxa"/>
            </w:tcMar>
            <w:vAlign w:val="center"/>
          </w:tcPr>
          <w:p w14:paraId="50BC7B7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34" w:type="dxa"/>
            <w:shd w:val="clear" w:color="auto" w:fill="auto"/>
            <w:tcMar>
              <w:top w:w="0" w:type="dxa"/>
              <w:left w:w="108" w:type="dxa"/>
              <w:bottom w:w="0" w:type="dxa"/>
              <w:right w:w="108" w:type="dxa"/>
            </w:tcMar>
            <w:vAlign w:val="center"/>
          </w:tcPr>
          <w:p w14:paraId="69D8543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1418" w:type="dxa"/>
            <w:shd w:val="clear" w:color="auto" w:fill="auto"/>
            <w:tcMar>
              <w:top w:w="0" w:type="dxa"/>
              <w:left w:w="108" w:type="dxa"/>
              <w:bottom w:w="0" w:type="dxa"/>
              <w:right w:w="108" w:type="dxa"/>
            </w:tcMar>
            <w:vAlign w:val="center"/>
          </w:tcPr>
          <w:p w14:paraId="2B23F51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17,808,504</w:t>
            </w:r>
          </w:p>
        </w:tc>
        <w:tc>
          <w:tcPr>
            <w:tcW w:w="1685" w:type="dxa"/>
            <w:shd w:val="clear" w:color="auto" w:fill="auto"/>
            <w:tcMar>
              <w:top w:w="0" w:type="dxa"/>
              <w:left w:w="108" w:type="dxa"/>
              <w:bottom w:w="0" w:type="dxa"/>
              <w:right w:w="108" w:type="dxa"/>
            </w:tcMar>
            <w:vAlign w:val="center"/>
          </w:tcPr>
          <w:p w14:paraId="1D7D1EF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17,808,504</w:t>
            </w:r>
          </w:p>
        </w:tc>
        <w:tc>
          <w:tcPr>
            <w:tcW w:w="1150" w:type="dxa"/>
            <w:shd w:val="clear" w:color="auto" w:fill="auto"/>
            <w:tcMar>
              <w:top w:w="0" w:type="dxa"/>
              <w:left w:w="108" w:type="dxa"/>
              <w:bottom w:w="0" w:type="dxa"/>
              <w:right w:w="108" w:type="dxa"/>
            </w:tcMar>
            <w:vAlign w:val="center"/>
          </w:tcPr>
          <w:p w14:paraId="6418928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1.36%</w:t>
            </w:r>
          </w:p>
        </w:tc>
      </w:tr>
      <w:tr w:rsidR="006416B0" w:rsidRPr="00B4515A" w14:paraId="1C2A9CB8" w14:textId="77777777" w:rsidTr="00031627">
        <w:trPr>
          <w:trHeight w:val="340"/>
          <w:jc w:val="center"/>
        </w:trPr>
        <w:tc>
          <w:tcPr>
            <w:tcW w:w="1545" w:type="dxa"/>
            <w:shd w:val="clear" w:color="auto" w:fill="auto"/>
            <w:tcMar>
              <w:top w:w="0" w:type="dxa"/>
              <w:left w:w="108" w:type="dxa"/>
              <w:bottom w:w="0" w:type="dxa"/>
              <w:right w:w="108" w:type="dxa"/>
            </w:tcMar>
            <w:vAlign w:val="center"/>
          </w:tcPr>
          <w:p w14:paraId="15A1FB9F"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大唐电信其他股东</w:t>
            </w:r>
          </w:p>
        </w:tc>
        <w:tc>
          <w:tcPr>
            <w:tcW w:w="1417" w:type="dxa"/>
            <w:shd w:val="clear" w:color="auto" w:fill="auto"/>
            <w:tcMar>
              <w:top w:w="0" w:type="dxa"/>
              <w:left w:w="108" w:type="dxa"/>
              <w:bottom w:w="0" w:type="dxa"/>
              <w:right w:w="108" w:type="dxa"/>
            </w:tcMar>
            <w:vAlign w:val="center"/>
          </w:tcPr>
          <w:p w14:paraId="023EB3F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582,737,449</w:t>
            </w:r>
          </w:p>
        </w:tc>
        <w:tc>
          <w:tcPr>
            <w:tcW w:w="1134" w:type="dxa"/>
            <w:shd w:val="clear" w:color="auto" w:fill="auto"/>
            <w:tcMar>
              <w:top w:w="0" w:type="dxa"/>
              <w:left w:w="108" w:type="dxa"/>
              <w:bottom w:w="0" w:type="dxa"/>
              <w:right w:w="108" w:type="dxa"/>
            </w:tcMar>
            <w:vAlign w:val="center"/>
          </w:tcPr>
          <w:p w14:paraId="3A8BD7B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66.06%</w:t>
            </w:r>
          </w:p>
        </w:tc>
        <w:tc>
          <w:tcPr>
            <w:tcW w:w="1418" w:type="dxa"/>
            <w:shd w:val="clear" w:color="auto" w:fill="auto"/>
            <w:tcMar>
              <w:top w:w="0" w:type="dxa"/>
              <w:left w:w="108" w:type="dxa"/>
              <w:bottom w:w="0" w:type="dxa"/>
              <w:right w:w="108" w:type="dxa"/>
            </w:tcMar>
            <w:vAlign w:val="center"/>
          </w:tcPr>
          <w:p w14:paraId="21DF430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685" w:type="dxa"/>
            <w:shd w:val="clear" w:color="auto" w:fill="auto"/>
            <w:tcMar>
              <w:top w:w="0" w:type="dxa"/>
              <w:left w:w="108" w:type="dxa"/>
              <w:bottom w:w="0" w:type="dxa"/>
              <w:right w:w="108" w:type="dxa"/>
            </w:tcMar>
            <w:vAlign w:val="center"/>
          </w:tcPr>
          <w:p w14:paraId="0D1C23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582,737,449</w:t>
            </w:r>
          </w:p>
        </w:tc>
        <w:tc>
          <w:tcPr>
            <w:tcW w:w="1150" w:type="dxa"/>
            <w:shd w:val="clear" w:color="auto" w:fill="auto"/>
            <w:tcMar>
              <w:top w:w="0" w:type="dxa"/>
              <w:left w:w="108" w:type="dxa"/>
              <w:bottom w:w="0" w:type="dxa"/>
              <w:right w:w="108" w:type="dxa"/>
            </w:tcMar>
            <w:vAlign w:val="center"/>
          </w:tcPr>
          <w:p w14:paraId="0B92DCB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44.36%</w:t>
            </w:r>
          </w:p>
        </w:tc>
      </w:tr>
      <w:tr w:rsidR="006416B0" w:rsidRPr="00B4515A" w14:paraId="43274055" w14:textId="77777777" w:rsidTr="00031627">
        <w:trPr>
          <w:trHeight w:val="340"/>
          <w:jc w:val="center"/>
        </w:trPr>
        <w:tc>
          <w:tcPr>
            <w:tcW w:w="1545" w:type="dxa"/>
            <w:shd w:val="clear" w:color="auto" w:fill="auto"/>
            <w:tcMar>
              <w:top w:w="0" w:type="dxa"/>
              <w:left w:w="108" w:type="dxa"/>
              <w:bottom w:w="0" w:type="dxa"/>
              <w:right w:w="108" w:type="dxa"/>
            </w:tcMar>
            <w:vAlign w:val="center"/>
          </w:tcPr>
          <w:p w14:paraId="29CB0DD2"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合计</w:t>
            </w:r>
          </w:p>
        </w:tc>
        <w:tc>
          <w:tcPr>
            <w:tcW w:w="1417" w:type="dxa"/>
            <w:shd w:val="clear" w:color="auto" w:fill="auto"/>
            <w:tcMar>
              <w:top w:w="0" w:type="dxa"/>
              <w:left w:w="108" w:type="dxa"/>
              <w:bottom w:w="0" w:type="dxa"/>
              <w:right w:w="108" w:type="dxa"/>
            </w:tcMar>
            <w:vAlign w:val="center"/>
          </w:tcPr>
          <w:p w14:paraId="6DDDF5FF"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sz w:val="21"/>
                <w:szCs w:val="21"/>
              </w:rPr>
              <w:t>882,108,472</w:t>
            </w:r>
          </w:p>
        </w:tc>
        <w:tc>
          <w:tcPr>
            <w:tcW w:w="1134" w:type="dxa"/>
            <w:shd w:val="clear" w:color="auto" w:fill="auto"/>
            <w:tcMar>
              <w:top w:w="0" w:type="dxa"/>
              <w:left w:w="108" w:type="dxa"/>
              <w:bottom w:w="0" w:type="dxa"/>
              <w:right w:w="108" w:type="dxa"/>
            </w:tcMar>
            <w:vAlign w:val="center"/>
          </w:tcPr>
          <w:p w14:paraId="77332721"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100.00%</w:t>
            </w:r>
          </w:p>
        </w:tc>
        <w:tc>
          <w:tcPr>
            <w:tcW w:w="1418" w:type="dxa"/>
            <w:shd w:val="clear" w:color="auto" w:fill="auto"/>
            <w:tcMar>
              <w:top w:w="0" w:type="dxa"/>
              <w:left w:w="108" w:type="dxa"/>
              <w:bottom w:w="0" w:type="dxa"/>
              <w:right w:w="108" w:type="dxa"/>
            </w:tcMar>
            <w:vAlign w:val="center"/>
          </w:tcPr>
          <w:p w14:paraId="0071019F"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eastAsia="等线" w:hAnsi="Times New Roman" w:cs="Times New Roman"/>
                <w:b/>
                <w:bCs/>
                <w:color w:val="000000"/>
                <w:sz w:val="21"/>
                <w:szCs w:val="21"/>
              </w:rPr>
              <w:t>431,600,434</w:t>
            </w:r>
          </w:p>
        </w:tc>
        <w:tc>
          <w:tcPr>
            <w:tcW w:w="1685" w:type="dxa"/>
            <w:shd w:val="clear" w:color="auto" w:fill="auto"/>
            <w:tcMar>
              <w:top w:w="0" w:type="dxa"/>
              <w:left w:w="108" w:type="dxa"/>
              <w:bottom w:w="0" w:type="dxa"/>
              <w:right w:w="108" w:type="dxa"/>
            </w:tcMar>
            <w:vAlign w:val="center"/>
          </w:tcPr>
          <w:p w14:paraId="0A57E225"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eastAsia="等线" w:hAnsi="Times New Roman" w:cs="Times New Roman"/>
                <w:b/>
                <w:bCs/>
                <w:color w:val="000000"/>
                <w:sz w:val="21"/>
                <w:szCs w:val="21"/>
              </w:rPr>
              <w:t>1,313,708,906</w:t>
            </w:r>
          </w:p>
        </w:tc>
        <w:tc>
          <w:tcPr>
            <w:tcW w:w="1150" w:type="dxa"/>
            <w:shd w:val="clear" w:color="auto" w:fill="auto"/>
            <w:tcMar>
              <w:top w:w="0" w:type="dxa"/>
              <w:left w:w="108" w:type="dxa"/>
              <w:bottom w:w="0" w:type="dxa"/>
              <w:right w:w="108" w:type="dxa"/>
            </w:tcMar>
            <w:vAlign w:val="center"/>
          </w:tcPr>
          <w:p w14:paraId="688B4D74"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eastAsia="等线" w:hAnsi="Times New Roman" w:cs="Times New Roman"/>
                <w:b/>
                <w:bCs/>
                <w:color w:val="000000"/>
                <w:sz w:val="21"/>
                <w:szCs w:val="21"/>
              </w:rPr>
              <w:t>100.00%</w:t>
            </w:r>
          </w:p>
        </w:tc>
      </w:tr>
    </w:tbl>
    <w:p w14:paraId="53DBCF4D" w14:textId="77777777" w:rsidR="006416B0" w:rsidRPr="00B4515A" w:rsidRDefault="005E58C1" w:rsidP="005860B4">
      <w:pPr>
        <w:pStyle w:val="003"/>
        <w:spacing w:before="120"/>
        <w:ind w:firstLine="482"/>
      </w:pPr>
      <w:bookmarkStart w:id="40" w:name="_Toc65677751"/>
      <w:r w:rsidRPr="00B4515A">
        <w:rPr>
          <w:rFonts w:hint="eastAsia"/>
        </w:rPr>
        <w:t>（三）本次交易对上市公司主要财务指标的影响</w:t>
      </w:r>
    </w:p>
    <w:p w14:paraId="32AC8F52" w14:textId="3C3E7AA7" w:rsidR="006416B0" w:rsidRPr="00B4515A" w:rsidRDefault="00D44516">
      <w:pPr>
        <w:ind w:firstLineChars="200" w:firstLine="420"/>
        <w:jc w:val="right"/>
        <w:rPr>
          <w:rFonts w:ascii="Arial" w:hAnsi="Arial" w:cs="Arial"/>
          <w:bCs/>
          <w:sz w:val="21"/>
          <w:szCs w:val="21"/>
        </w:rPr>
      </w:pPr>
      <w:r w:rsidRPr="00B4515A">
        <w:rPr>
          <w:rFonts w:ascii="Arial" w:hAnsi="Arial" w:cs="Arial" w:hint="eastAsia"/>
          <w:bCs/>
          <w:sz w:val="21"/>
          <w:szCs w:val="21"/>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903"/>
        <w:gridCol w:w="1478"/>
        <w:gridCol w:w="2430"/>
        <w:gridCol w:w="1717"/>
      </w:tblGrid>
      <w:tr w:rsidR="006416B0" w:rsidRPr="00B4515A" w14:paraId="6CFF5962" w14:textId="77777777" w:rsidTr="005860B4">
        <w:trPr>
          <w:trHeight w:val="340"/>
          <w:tblHeader/>
          <w:jc w:val="center"/>
        </w:trPr>
        <w:tc>
          <w:tcPr>
            <w:tcW w:w="2819" w:type="dxa"/>
            <w:vMerge w:val="restart"/>
            <w:shd w:val="clear" w:color="auto" w:fill="auto"/>
            <w:tcMar>
              <w:top w:w="0" w:type="dxa"/>
              <w:left w:w="108" w:type="dxa"/>
              <w:bottom w:w="0" w:type="dxa"/>
              <w:right w:w="108" w:type="dxa"/>
            </w:tcMar>
            <w:vAlign w:val="center"/>
          </w:tcPr>
          <w:p w14:paraId="2103082B"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项目</w:t>
            </w:r>
          </w:p>
        </w:tc>
        <w:tc>
          <w:tcPr>
            <w:tcW w:w="5464" w:type="dxa"/>
            <w:gridSpan w:val="3"/>
            <w:shd w:val="clear" w:color="auto" w:fill="auto"/>
            <w:tcMar>
              <w:top w:w="0" w:type="dxa"/>
              <w:left w:w="108" w:type="dxa"/>
              <w:bottom w:w="0" w:type="dxa"/>
              <w:right w:w="108" w:type="dxa"/>
            </w:tcMar>
            <w:vAlign w:val="center"/>
          </w:tcPr>
          <w:p w14:paraId="0C5D2920"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w:t>
            </w:r>
            <w:r w:rsidRPr="00B4515A">
              <w:rPr>
                <w:rFonts w:cs="Times New Roman" w:hint="eastAsia"/>
                <w:b/>
                <w:bCs/>
                <w:color w:val="000000"/>
                <w:sz w:val="21"/>
                <w:szCs w:val="21"/>
              </w:rPr>
              <w:t>年</w:t>
            </w:r>
            <w:r w:rsidRPr="00B4515A">
              <w:rPr>
                <w:rFonts w:ascii="Times New Roman" w:hAnsi="Times New Roman" w:cs="Times New Roman"/>
                <w:b/>
                <w:bCs/>
                <w:color w:val="000000"/>
                <w:sz w:val="21"/>
                <w:szCs w:val="21"/>
              </w:rPr>
              <w:t>4</w:t>
            </w:r>
            <w:r w:rsidRPr="00B4515A">
              <w:rPr>
                <w:rFonts w:cs="Times New Roman" w:hint="eastAsia"/>
                <w:b/>
                <w:bCs/>
                <w:color w:val="000000"/>
                <w:sz w:val="21"/>
                <w:szCs w:val="21"/>
              </w:rPr>
              <w:t>月</w:t>
            </w:r>
            <w:r w:rsidRPr="00B4515A">
              <w:rPr>
                <w:rFonts w:ascii="Times New Roman" w:hAnsi="Times New Roman" w:cs="Times New Roman"/>
                <w:b/>
                <w:bCs/>
                <w:color w:val="000000"/>
                <w:sz w:val="21"/>
                <w:szCs w:val="21"/>
              </w:rPr>
              <w:t>30</w:t>
            </w:r>
            <w:r w:rsidRPr="00B4515A">
              <w:rPr>
                <w:rFonts w:cs="Times New Roman" w:hint="eastAsia"/>
                <w:b/>
                <w:bCs/>
                <w:color w:val="000000"/>
                <w:sz w:val="21"/>
                <w:szCs w:val="21"/>
              </w:rPr>
              <w:t>日</w:t>
            </w:r>
            <w:r w:rsidRPr="00B4515A">
              <w:rPr>
                <w:rFonts w:ascii="Times New Roman" w:hAnsi="Times New Roman" w:cs="Times New Roman"/>
                <w:b/>
                <w:bCs/>
                <w:color w:val="000000"/>
                <w:sz w:val="21"/>
                <w:szCs w:val="21"/>
              </w:rPr>
              <w:t>/2021</w:t>
            </w:r>
            <w:r w:rsidRPr="00B4515A">
              <w:rPr>
                <w:rFonts w:cs="Times New Roman" w:hint="eastAsia"/>
                <w:b/>
                <w:bCs/>
                <w:color w:val="000000"/>
                <w:sz w:val="21"/>
                <w:szCs w:val="21"/>
              </w:rPr>
              <w:t>年</w:t>
            </w:r>
            <w:r w:rsidRPr="00B4515A">
              <w:rPr>
                <w:rFonts w:ascii="Times New Roman" w:hAnsi="Times New Roman" w:cs="Times New Roman"/>
                <w:b/>
                <w:bCs/>
                <w:color w:val="000000"/>
                <w:sz w:val="21"/>
                <w:szCs w:val="21"/>
              </w:rPr>
              <w:t>1-4</w:t>
            </w:r>
            <w:r w:rsidRPr="00B4515A">
              <w:rPr>
                <w:rFonts w:cs="Times New Roman" w:hint="eastAsia"/>
                <w:b/>
                <w:bCs/>
                <w:color w:val="000000"/>
                <w:sz w:val="21"/>
                <w:szCs w:val="21"/>
              </w:rPr>
              <w:t>月</w:t>
            </w:r>
          </w:p>
        </w:tc>
      </w:tr>
      <w:tr w:rsidR="006416B0" w:rsidRPr="00B4515A" w14:paraId="0927A9A9" w14:textId="77777777" w:rsidTr="005860B4">
        <w:trPr>
          <w:trHeight w:val="340"/>
          <w:tblHeader/>
          <w:jc w:val="center"/>
        </w:trPr>
        <w:tc>
          <w:tcPr>
            <w:tcW w:w="2819" w:type="dxa"/>
            <w:vMerge/>
            <w:tcMar>
              <w:top w:w="0" w:type="dxa"/>
              <w:left w:w="108" w:type="dxa"/>
              <w:bottom w:w="0" w:type="dxa"/>
              <w:right w:w="108" w:type="dxa"/>
            </w:tcMar>
            <w:vAlign w:val="center"/>
          </w:tcPr>
          <w:p w14:paraId="1B14FD9D" w14:textId="77777777" w:rsidR="006416B0" w:rsidRPr="00B4515A" w:rsidRDefault="006416B0" w:rsidP="005860B4">
            <w:pPr>
              <w:adjustRightInd w:val="0"/>
              <w:snapToGrid w:val="0"/>
              <w:rPr>
                <w:rFonts w:ascii="Times New Roman" w:hAnsi="Times New Roman" w:cs="Times New Roman"/>
                <w:b/>
                <w:bCs/>
                <w:color w:val="000000"/>
                <w:sz w:val="21"/>
                <w:szCs w:val="21"/>
              </w:rPr>
            </w:pPr>
          </w:p>
        </w:tc>
        <w:tc>
          <w:tcPr>
            <w:tcW w:w="1436" w:type="dxa"/>
            <w:shd w:val="clear" w:color="auto" w:fill="auto"/>
            <w:tcMar>
              <w:top w:w="0" w:type="dxa"/>
              <w:left w:w="108" w:type="dxa"/>
              <w:bottom w:w="0" w:type="dxa"/>
              <w:right w:w="108" w:type="dxa"/>
            </w:tcMar>
            <w:vAlign w:val="center"/>
          </w:tcPr>
          <w:p w14:paraId="0F523100"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交易前</w:t>
            </w:r>
            <w:r w:rsidRPr="00B4515A">
              <w:rPr>
                <w:rFonts w:hint="eastAsia"/>
                <w:b/>
                <w:bCs/>
                <w:color w:val="000000"/>
                <w:sz w:val="21"/>
                <w:szCs w:val="21"/>
              </w:rPr>
              <w:br/>
              <w:t>（实际数）</w:t>
            </w:r>
          </w:p>
        </w:tc>
        <w:tc>
          <w:tcPr>
            <w:tcW w:w="2360" w:type="dxa"/>
            <w:shd w:val="clear" w:color="auto" w:fill="auto"/>
            <w:tcMar>
              <w:top w:w="0" w:type="dxa"/>
              <w:left w:w="108" w:type="dxa"/>
              <w:bottom w:w="0" w:type="dxa"/>
              <w:right w:w="108" w:type="dxa"/>
            </w:tcMar>
            <w:vAlign w:val="center"/>
          </w:tcPr>
          <w:p w14:paraId="5F2E92FB"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交易后</w:t>
            </w:r>
            <w:r w:rsidRPr="00B4515A">
              <w:rPr>
                <w:rFonts w:hint="eastAsia"/>
                <w:b/>
                <w:bCs/>
                <w:color w:val="000000"/>
                <w:sz w:val="21"/>
                <w:szCs w:val="21"/>
              </w:rPr>
              <w:br/>
              <w:t>（备考数）</w:t>
            </w:r>
          </w:p>
        </w:tc>
        <w:tc>
          <w:tcPr>
            <w:tcW w:w="1668" w:type="dxa"/>
            <w:shd w:val="clear" w:color="auto" w:fill="auto"/>
            <w:tcMar>
              <w:top w:w="0" w:type="dxa"/>
              <w:left w:w="108" w:type="dxa"/>
              <w:bottom w:w="0" w:type="dxa"/>
              <w:right w:w="108" w:type="dxa"/>
            </w:tcMar>
            <w:vAlign w:val="center"/>
          </w:tcPr>
          <w:p w14:paraId="18C99A0D" w14:textId="23CFB0B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变动幅度</w:t>
            </w:r>
            <w:r w:rsidR="000A015B" w:rsidRPr="00B4515A">
              <w:rPr>
                <w:rFonts w:cs="Times New Roman" w:hint="eastAsia"/>
                <w:b/>
                <w:bCs/>
                <w:color w:val="000000"/>
                <w:sz w:val="21"/>
                <w:szCs w:val="21"/>
              </w:rPr>
              <w:t>（%）</w:t>
            </w:r>
          </w:p>
        </w:tc>
      </w:tr>
      <w:tr w:rsidR="006416B0" w:rsidRPr="00B4515A" w14:paraId="3586356C"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51A4701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资产总额</w:t>
            </w:r>
          </w:p>
        </w:tc>
        <w:tc>
          <w:tcPr>
            <w:tcW w:w="1436" w:type="dxa"/>
            <w:shd w:val="clear" w:color="auto" w:fill="auto"/>
            <w:tcMar>
              <w:top w:w="0" w:type="dxa"/>
              <w:left w:w="108" w:type="dxa"/>
              <w:bottom w:w="0" w:type="dxa"/>
              <w:right w:w="108" w:type="dxa"/>
            </w:tcMar>
            <w:vAlign w:val="center"/>
          </w:tcPr>
          <w:p w14:paraId="2C6C147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298,000.05 </w:t>
            </w:r>
          </w:p>
        </w:tc>
        <w:tc>
          <w:tcPr>
            <w:tcW w:w="2360" w:type="dxa"/>
            <w:shd w:val="clear" w:color="auto" w:fill="auto"/>
            <w:tcMar>
              <w:top w:w="0" w:type="dxa"/>
              <w:left w:w="108" w:type="dxa"/>
              <w:bottom w:w="0" w:type="dxa"/>
              <w:right w:w="108" w:type="dxa"/>
            </w:tcMar>
            <w:vAlign w:val="center"/>
          </w:tcPr>
          <w:p w14:paraId="49590BD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538,861.16</w:t>
            </w:r>
          </w:p>
        </w:tc>
        <w:tc>
          <w:tcPr>
            <w:tcW w:w="1668" w:type="dxa"/>
            <w:shd w:val="clear" w:color="auto" w:fill="auto"/>
            <w:tcMar>
              <w:top w:w="0" w:type="dxa"/>
              <w:left w:w="108" w:type="dxa"/>
              <w:bottom w:w="0" w:type="dxa"/>
              <w:right w:w="108" w:type="dxa"/>
            </w:tcMar>
            <w:vAlign w:val="center"/>
          </w:tcPr>
          <w:p w14:paraId="78281A4F" w14:textId="127BB860"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80.83</w:t>
            </w:r>
          </w:p>
        </w:tc>
      </w:tr>
      <w:tr w:rsidR="006416B0" w:rsidRPr="00B4515A" w14:paraId="178ACE57"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78BC394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负债总额</w:t>
            </w:r>
          </w:p>
        </w:tc>
        <w:tc>
          <w:tcPr>
            <w:tcW w:w="1436" w:type="dxa"/>
            <w:shd w:val="clear" w:color="auto" w:fill="auto"/>
            <w:tcMar>
              <w:top w:w="0" w:type="dxa"/>
              <w:left w:w="108" w:type="dxa"/>
              <w:bottom w:w="0" w:type="dxa"/>
              <w:right w:w="108" w:type="dxa"/>
            </w:tcMar>
            <w:vAlign w:val="center"/>
          </w:tcPr>
          <w:p w14:paraId="67EEA98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364,511.94 </w:t>
            </w:r>
          </w:p>
        </w:tc>
        <w:tc>
          <w:tcPr>
            <w:tcW w:w="2360" w:type="dxa"/>
            <w:shd w:val="clear" w:color="auto" w:fill="auto"/>
            <w:tcMar>
              <w:top w:w="0" w:type="dxa"/>
              <w:left w:w="108" w:type="dxa"/>
              <w:bottom w:w="0" w:type="dxa"/>
              <w:right w:w="108" w:type="dxa"/>
            </w:tcMar>
            <w:vAlign w:val="center"/>
          </w:tcPr>
          <w:p w14:paraId="49EB156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430,922.12</w:t>
            </w:r>
          </w:p>
        </w:tc>
        <w:tc>
          <w:tcPr>
            <w:tcW w:w="1668" w:type="dxa"/>
            <w:shd w:val="clear" w:color="auto" w:fill="auto"/>
            <w:tcMar>
              <w:top w:w="0" w:type="dxa"/>
              <w:left w:w="108" w:type="dxa"/>
              <w:bottom w:w="0" w:type="dxa"/>
              <w:right w:w="108" w:type="dxa"/>
            </w:tcMar>
            <w:vAlign w:val="center"/>
          </w:tcPr>
          <w:p w14:paraId="5AA2184B" w14:textId="2F5CEF1A"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18.22</w:t>
            </w:r>
          </w:p>
        </w:tc>
      </w:tr>
      <w:tr w:rsidR="006416B0" w:rsidRPr="00B4515A" w14:paraId="1BECF70D"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431A91F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归属于母公司所有者权益</w:t>
            </w:r>
          </w:p>
        </w:tc>
        <w:tc>
          <w:tcPr>
            <w:tcW w:w="1436" w:type="dxa"/>
            <w:shd w:val="clear" w:color="auto" w:fill="auto"/>
            <w:tcMar>
              <w:top w:w="0" w:type="dxa"/>
              <w:left w:w="108" w:type="dxa"/>
              <w:bottom w:w="0" w:type="dxa"/>
              <w:right w:w="108" w:type="dxa"/>
            </w:tcMar>
            <w:vAlign w:val="center"/>
          </w:tcPr>
          <w:p w14:paraId="6D5E403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-140,970.51 </w:t>
            </w:r>
          </w:p>
        </w:tc>
        <w:tc>
          <w:tcPr>
            <w:tcW w:w="2360" w:type="dxa"/>
            <w:shd w:val="clear" w:color="auto" w:fill="auto"/>
            <w:tcMar>
              <w:top w:w="0" w:type="dxa"/>
              <w:left w:w="108" w:type="dxa"/>
              <w:bottom w:w="0" w:type="dxa"/>
              <w:right w:w="108" w:type="dxa"/>
            </w:tcMar>
            <w:vAlign w:val="center"/>
          </w:tcPr>
          <w:p w14:paraId="53D3550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29,482.47</w:t>
            </w:r>
          </w:p>
        </w:tc>
        <w:tc>
          <w:tcPr>
            <w:tcW w:w="1668" w:type="dxa"/>
            <w:shd w:val="clear" w:color="auto" w:fill="auto"/>
            <w:tcMar>
              <w:top w:w="0" w:type="dxa"/>
              <w:left w:w="108" w:type="dxa"/>
              <w:bottom w:w="0" w:type="dxa"/>
              <w:right w:w="108" w:type="dxa"/>
            </w:tcMar>
            <w:vAlign w:val="center"/>
          </w:tcPr>
          <w:p w14:paraId="6D70D01E" w14:textId="1B4D8314"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120.91</w:t>
            </w:r>
          </w:p>
        </w:tc>
      </w:tr>
      <w:tr w:rsidR="006416B0" w:rsidRPr="00B4515A" w14:paraId="4E2AA5C7"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6CCE73C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营业收入</w:t>
            </w:r>
          </w:p>
        </w:tc>
        <w:tc>
          <w:tcPr>
            <w:tcW w:w="1436" w:type="dxa"/>
            <w:shd w:val="clear" w:color="auto" w:fill="auto"/>
            <w:tcMar>
              <w:top w:w="0" w:type="dxa"/>
              <w:left w:w="108" w:type="dxa"/>
              <w:bottom w:w="0" w:type="dxa"/>
              <w:right w:w="108" w:type="dxa"/>
            </w:tcMar>
            <w:vAlign w:val="center"/>
          </w:tcPr>
          <w:p w14:paraId="473C932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13,624.42 </w:t>
            </w:r>
          </w:p>
        </w:tc>
        <w:tc>
          <w:tcPr>
            <w:tcW w:w="2360" w:type="dxa"/>
            <w:shd w:val="clear" w:color="auto" w:fill="auto"/>
            <w:tcMar>
              <w:top w:w="0" w:type="dxa"/>
              <w:left w:w="108" w:type="dxa"/>
              <w:bottom w:w="0" w:type="dxa"/>
              <w:right w:w="108" w:type="dxa"/>
            </w:tcMar>
            <w:vAlign w:val="center"/>
          </w:tcPr>
          <w:p w14:paraId="79E519F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25,810.48</w:t>
            </w:r>
          </w:p>
        </w:tc>
        <w:tc>
          <w:tcPr>
            <w:tcW w:w="1668" w:type="dxa"/>
            <w:shd w:val="clear" w:color="auto" w:fill="auto"/>
            <w:tcMar>
              <w:top w:w="0" w:type="dxa"/>
              <w:left w:w="108" w:type="dxa"/>
              <w:bottom w:w="0" w:type="dxa"/>
              <w:right w:w="108" w:type="dxa"/>
            </w:tcMar>
            <w:vAlign w:val="center"/>
          </w:tcPr>
          <w:p w14:paraId="65216B9F" w14:textId="07AA4673"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89.44</w:t>
            </w:r>
          </w:p>
        </w:tc>
      </w:tr>
      <w:tr w:rsidR="006416B0" w:rsidRPr="00B4515A" w14:paraId="2AE50824"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5526962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营业利润</w:t>
            </w:r>
          </w:p>
        </w:tc>
        <w:tc>
          <w:tcPr>
            <w:tcW w:w="1436" w:type="dxa"/>
            <w:shd w:val="clear" w:color="auto" w:fill="auto"/>
            <w:tcMar>
              <w:top w:w="0" w:type="dxa"/>
              <w:left w:w="108" w:type="dxa"/>
              <w:bottom w:w="0" w:type="dxa"/>
              <w:right w:w="108" w:type="dxa"/>
            </w:tcMar>
            <w:vAlign w:val="center"/>
          </w:tcPr>
          <w:p w14:paraId="445B9F0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-15,190.48 </w:t>
            </w:r>
          </w:p>
        </w:tc>
        <w:tc>
          <w:tcPr>
            <w:tcW w:w="2360" w:type="dxa"/>
            <w:shd w:val="clear" w:color="auto" w:fill="auto"/>
            <w:tcMar>
              <w:top w:w="0" w:type="dxa"/>
              <w:left w:w="108" w:type="dxa"/>
              <w:bottom w:w="0" w:type="dxa"/>
              <w:right w:w="108" w:type="dxa"/>
            </w:tcMar>
            <w:vAlign w:val="center"/>
          </w:tcPr>
          <w:p w14:paraId="09F18EB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-14,796.74</w:t>
            </w:r>
          </w:p>
        </w:tc>
        <w:tc>
          <w:tcPr>
            <w:tcW w:w="1668" w:type="dxa"/>
            <w:shd w:val="clear" w:color="auto" w:fill="auto"/>
            <w:tcMar>
              <w:top w:w="0" w:type="dxa"/>
              <w:left w:w="108" w:type="dxa"/>
              <w:bottom w:w="0" w:type="dxa"/>
              <w:right w:w="108" w:type="dxa"/>
            </w:tcMar>
            <w:vAlign w:val="center"/>
          </w:tcPr>
          <w:p w14:paraId="12FDBA69" w14:textId="2A5D5563"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2.59</w:t>
            </w:r>
          </w:p>
        </w:tc>
      </w:tr>
      <w:tr w:rsidR="006416B0" w:rsidRPr="00B4515A" w14:paraId="5461F637"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2F76172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利润总额</w:t>
            </w:r>
          </w:p>
        </w:tc>
        <w:tc>
          <w:tcPr>
            <w:tcW w:w="1436" w:type="dxa"/>
            <w:shd w:val="clear" w:color="auto" w:fill="auto"/>
            <w:tcMar>
              <w:top w:w="0" w:type="dxa"/>
              <w:left w:w="108" w:type="dxa"/>
              <w:bottom w:w="0" w:type="dxa"/>
              <w:right w:w="108" w:type="dxa"/>
            </w:tcMar>
            <w:vAlign w:val="center"/>
          </w:tcPr>
          <w:p w14:paraId="6064323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-15,164.66 </w:t>
            </w:r>
          </w:p>
        </w:tc>
        <w:tc>
          <w:tcPr>
            <w:tcW w:w="2360" w:type="dxa"/>
            <w:shd w:val="clear" w:color="auto" w:fill="auto"/>
            <w:tcMar>
              <w:top w:w="0" w:type="dxa"/>
              <w:left w:w="108" w:type="dxa"/>
              <w:bottom w:w="0" w:type="dxa"/>
              <w:right w:w="108" w:type="dxa"/>
            </w:tcMar>
            <w:vAlign w:val="center"/>
          </w:tcPr>
          <w:p w14:paraId="7EE6BD5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-14,784.62</w:t>
            </w:r>
          </w:p>
        </w:tc>
        <w:tc>
          <w:tcPr>
            <w:tcW w:w="1668" w:type="dxa"/>
            <w:shd w:val="clear" w:color="auto" w:fill="auto"/>
            <w:tcMar>
              <w:top w:w="0" w:type="dxa"/>
              <w:left w:w="108" w:type="dxa"/>
              <w:bottom w:w="0" w:type="dxa"/>
              <w:right w:w="108" w:type="dxa"/>
            </w:tcMar>
            <w:vAlign w:val="center"/>
          </w:tcPr>
          <w:p w14:paraId="74FACB9B" w14:textId="59A185DD"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2.51</w:t>
            </w:r>
          </w:p>
        </w:tc>
      </w:tr>
      <w:tr w:rsidR="006416B0" w:rsidRPr="00B4515A" w14:paraId="5E637EC4"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4D2F6E0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归属于母公司所有者的净利</w:t>
            </w:r>
            <w:r w:rsidRPr="00B4515A">
              <w:rPr>
                <w:rFonts w:cs="Times New Roman" w:hint="eastAsia"/>
                <w:color w:val="000000"/>
                <w:sz w:val="21"/>
                <w:szCs w:val="21"/>
              </w:rPr>
              <w:lastRenderedPageBreak/>
              <w:t>润</w:t>
            </w:r>
          </w:p>
        </w:tc>
        <w:tc>
          <w:tcPr>
            <w:tcW w:w="1436" w:type="dxa"/>
            <w:shd w:val="clear" w:color="auto" w:fill="auto"/>
            <w:tcMar>
              <w:top w:w="0" w:type="dxa"/>
              <w:left w:w="108" w:type="dxa"/>
              <w:bottom w:w="0" w:type="dxa"/>
              <w:right w:w="108" w:type="dxa"/>
            </w:tcMar>
            <w:vAlign w:val="center"/>
          </w:tcPr>
          <w:p w14:paraId="2F9CD86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lastRenderedPageBreak/>
              <w:t xml:space="preserve">-9,784.31 </w:t>
            </w:r>
          </w:p>
        </w:tc>
        <w:tc>
          <w:tcPr>
            <w:tcW w:w="2360" w:type="dxa"/>
            <w:shd w:val="clear" w:color="auto" w:fill="auto"/>
            <w:tcMar>
              <w:top w:w="0" w:type="dxa"/>
              <w:left w:w="108" w:type="dxa"/>
              <w:bottom w:w="0" w:type="dxa"/>
              <w:right w:w="108" w:type="dxa"/>
            </w:tcMar>
            <w:vAlign w:val="center"/>
          </w:tcPr>
          <w:p w14:paraId="2F27142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-9,443.36</w:t>
            </w:r>
          </w:p>
        </w:tc>
        <w:tc>
          <w:tcPr>
            <w:tcW w:w="1668" w:type="dxa"/>
            <w:shd w:val="clear" w:color="auto" w:fill="auto"/>
            <w:tcMar>
              <w:top w:w="0" w:type="dxa"/>
              <w:left w:w="108" w:type="dxa"/>
              <w:bottom w:w="0" w:type="dxa"/>
              <w:right w:w="108" w:type="dxa"/>
            </w:tcMar>
            <w:vAlign w:val="center"/>
          </w:tcPr>
          <w:p w14:paraId="093C039E" w14:textId="24995364"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3.48</w:t>
            </w:r>
          </w:p>
        </w:tc>
      </w:tr>
      <w:tr w:rsidR="003E700C" w:rsidRPr="00B4515A" w14:paraId="2A7A7AC6"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2A031227" w14:textId="57839501" w:rsidR="003E700C" w:rsidRPr="00B4515A" w:rsidRDefault="003E700C"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lastRenderedPageBreak/>
              <w:t>资产负债率（%）</w:t>
            </w:r>
          </w:p>
        </w:tc>
        <w:tc>
          <w:tcPr>
            <w:tcW w:w="1436" w:type="dxa"/>
            <w:shd w:val="clear" w:color="auto" w:fill="auto"/>
            <w:tcMar>
              <w:top w:w="0" w:type="dxa"/>
              <w:left w:w="108" w:type="dxa"/>
              <w:bottom w:w="0" w:type="dxa"/>
              <w:right w:w="108" w:type="dxa"/>
            </w:tcMar>
            <w:vAlign w:val="center"/>
          </w:tcPr>
          <w:p w14:paraId="52DC19B0" w14:textId="77777777"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122.32 </w:t>
            </w:r>
          </w:p>
        </w:tc>
        <w:tc>
          <w:tcPr>
            <w:tcW w:w="2360" w:type="dxa"/>
            <w:shd w:val="clear" w:color="auto" w:fill="auto"/>
            <w:tcMar>
              <w:top w:w="0" w:type="dxa"/>
              <w:left w:w="108" w:type="dxa"/>
              <w:bottom w:w="0" w:type="dxa"/>
              <w:right w:w="108" w:type="dxa"/>
            </w:tcMar>
            <w:vAlign w:val="center"/>
          </w:tcPr>
          <w:p w14:paraId="60D265A1" w14:textId="77777777"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79.97</w:t>
            </w:r>
          </w:p>
        </w:tc>
        <w:tc>
          <w:tcPr>
            <w:tcW w:w="1668" w:type="dxa"/>
            <w:shd w:val="clear" w:color="auto" w:fill="auto"/>
            <w:tcMar>
              <w:top w:w="0" w:type="dxa"/>
              <w:left w:w="108" w:type="dxa"/>
              <w:bottom w:w="0" w:type="dxa"/>
              <w:right w:w="108" w:type="dxa"/>
            </w:tcMar>
            <w:vAlign w:val="center"/>
          </w:tcPr>
          <w:p w14:paraId="0291B286" w14:textId="6374D5AE"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-42.35</w:t>
            </w:r>
          </w:p>
        </w:tc>
      </w:tr>
      <w:tr w:rsidR="003E700C" w:rsidRPr="00B4515A" w14:paraId="56314086"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37C4CB55" w14:textId="249C9339" w:rsidR="003E700C" w:rsidRPr="00B4515A" w:rsidRDefault="003E700C"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毛利率（%）</w:t>
            </w:r>
          </w:p>
        </w:tc>
        <w:tc>
          <w:tcPr>
            <w:tcW w:w="1436" w:type="dxa"/>
            <w:shd w:val="clear" w:color="auto" w:fill="auto"/>
            <w:tcMar>
              <w:top w:w="0" w:type="dxa"/>
              <w:left w:w="108" w:type="dxa"/>
              <w:bottom w:w="0" w:type="dxa"/>
              <w:right w:w="108" w:type="dxa"/>
            </w:tcMar>
            <w:vAlign w:val="center"/>
          </w:tcPr>
          <w:p w14:paraId="13B95EB6" w14:textId="77777777"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25.45 </w:t>
            </w:r>
          </w:p>
        </w:tc>
        <w:tc>
          <w:tcPr>
            <w:tcW w:w="2360" w:type="dxa"/>
            <w:shd w:val="clear" w:color="auto" w:fill="auto"/>
            <w:tcMar>
              <w:top w:w="0" w:type="dxa"/>
              <w:left w:w="108" w:type="dxa"/>
              <w:bottom w:w="0" w:type="dxa"/>
              <w:right w:w="108" w:type="dxa"/>
            </w:tcMar>
            <w:vAlign w:val="center"/>
          </w:tcPr>
          <w:p w14:paraId="497335FF" w14:textId="77777777"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43.30</w:t>
            </w:r>
          </w:p>
        </w:tc>
        <w:tc>
          <w:tcPr>
            <w:tcW w:w="1668" w:type="dxa"/>
            <w:shd w:val="clear" w:color="auto" w:fill="auto"/>
            <w:tcMar>
              <w:top w:w="0" w:type="dxa"/>
              <w:left w:w="108" w:type="dxa"/>
              <w:bottom w:w="0" w:type="dxa"/>
              <w:right w:w="108" w:type="dxa"/>
            </w:tcMar>
            <w:vAlign w:val="center"/>
          </w:tcPr>
          <w:p w14:paraId="63EB5538" w14:textId="207B0AF6"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17.85</w:t>
            </w:r>
          </w:p>
        </w:tc>
      </w:tr>
      <w:tr w:rsidR="006416B0" w:rsidRPr="00B4515A" w14:paraId="3670A4E2"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3A85463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基本每股收益（元</w:t>
            </w:r>
            <w:r w:rsidRPr="00B4515A">
              <w:rPr>
                <w:rFonts w:ascii="Times New Roman" w:hAnsi="Times New Roman" w:cs="Times New Roman"/>
                <w:color w:val="000000"/>
                <w:sz w:val="21"/>
                <w:szCs w:val="21"/>
              </w:rPr>
              <w:t>/</w:t>
            </w:r>
            <w:r w:rsidRPr="00B4515A">
              <w:rPr>
                <w:rFonts w:cs="Times New Roman" w:hint="eastAsia"/>
                <w:color w:val="000000"/>
                <w:sz w:val="21"/>
                <w:szCs w:val="21"/>
              </w:rPr>
              <w:t>股）</w:t>
            </w:r>
          </w:p>
        </w:tc>
        <w:tc>
          <w:tcPr>
            <w:tcW w:w="1436" w:type="dxa"/>
            <w:shd w:val="clear" w:color="auto" w:fill="auto"/>
            <w:tcMar>
              <w:top w:w="0" w:type="dxa"/>
              <w:left w:w="108" w:type="dxa"/>
              <w:bottom w:w="0" w:type="dxa"/>
              <w:right w:w="108" w:type="dxa"/>
            </w:tcMar>
            <w:vAlign w:val="center"/>
          </w:tcPr>
          <w:p w14:paraId="25E2CD2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-0.11 </w:t>
            </w:r>
          </w:p>
        </w:tc>
        <w:tc>
          <w:tcPr>
            <w:tcW w:w="2360" w:type="dxa"/>
            <w:shd w:val="clear" w:color="auto" w:fill="auto"/>
            <w:tcMar>
              <w:top w:w="0" w:type="dxa"/>
              <w:left w:w="108" w:type="dxa"/>
              <w:bottom w:w="0" w:type="dxa"/>
              <w:right w:w="108" w:type="dxa"/>
            </w:tcMar>
            <w:vAlign w:val="center"/>
          </w:tcPr>
          <w:p w14:paraId="08E3F9C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 xml:space="preserve">-0.07 </w:t>
            </w:r>
          </w:p>
        </w:tc>
        <w:tc>
          <w:tcPr>
            <w:tcW w:w="1668" w:type="dxa"/>
            <w:shd w:val="clear" w:color="auto" w:fill="auto"/>
            <w:tcMar>
              <w:top w:w="0" w:type="dxa"/>
              <w:left w:w="108" w:type="dxa"/>
              <w:bottom w:w="0" w:type="dxa"/>
              <w:right w:w="108" w:type="dxa"/>
            </w:tcMar>
            <w:vAlign w:val="center"/>
          </w:tcPr>
          <w:p w14:paraId="2CF10C46" w14:textId="2B60365E"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35.19</w:t>
            </w:r>
          </w:p>
        </w:tc>
      </w:tr>
      <w:tr w:rsidR="006416B0" w:rsidRPr="00B4515A" w14:paraId="188C69ED"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1A724892" w14:textId="5E80973C"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每股净资产</w:t>
            </w:r>
            <w:r w:rsidR="00FE7BD3" w:rsidRPr="00B4515A">
              <w:rPr>
                <w:rFonts w:cs="Times New Roman" w:hint="eastAsia"/>
                <w:color w:val="000000"/>
                <w:sz w:val="21"/>
                <w:szCs w:val="21"/>
              </w:rPr>
              <w:t>（元</w:t>
            </w:r>
            <w:r w:rsidR="00FE7BD3" w:rsidRPr="00B4515A">
              <w:rPr>
                <w:rFonts w:ascii="Times New Roman" w:hAnsi="Times New Roman" w:cs="Times New Roman"/>
                <w:color w:val="000000"/>
                <w:sz w:val="21"/>
                <w:szCs w:val="21"/>
              </w:rPr>
              <w:t>/</w:t>
            </w:r>
            <w:r w:rsidR="00FE7BD3" w:rsidRPr="00B4515A">
              <w:rPr>
                <w:rFonts w:cs="Times New Roman" w:hint="eastAsia"/>
                <w:color w:val="000000"/>
                <w:sz w:val="21"/>
                <w:szCs w:val="21"/>
              </w:rPr>
              <w:t>股）</w:t>
            </w:r>
          </w:p>
        </w:tc>
        <w:tc>
          <w:tcPr>
            <w:tcW w:w="1436" w:type="dxa"/>
            <w:shd w:val="clear" w:color="auto" w:fill="auto"/>
            <w:tcMar>
              <w:top w:w="0" w:type="dxa"/>
              <w:left w:w="108" w:type="dxa"/>
              <w:bottom w:w="0" w:type="dxa"/>
              <w:right w:w="108" w:type="dxa"/>
            </w:tcMar>
            <w:vAlign w:val="center"/>
          </w:tcPr>
          <w:p w14:paraId="2D56D40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-1.60 </w:t>
            </w:r>
          </w:p>
        </w:tc>
        <w:tc>
          <w:tcPr>
            <w:tcW w:w="2360" w:type="dxa"/>
            <w:shd w:val="clear" w:color="auto" w:fill="auto"/>
            <w:tcMar>
              <w:top w:w="0" w:type="dxa"/>
              <w:left w:w="108" w:type="dxa"/>
              <w:bottom w:w="0" w:type="dxa"/>
              <w:right w:w="108" w:type="dxa"/>
            </w:tcMar>
            <w:vAlign w:val="center"/>
          </w:tcPr>
          <w:p w14:paraId="77117D0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0.22</w:t>
            </w:r>
          </w:p>
        </w:tc>
        <w:tc>
          <w:tcPr>
            <w:tcW w:w="1668" w:type="dxa"/>
            <w:shd w:val="clear" w:color="auto" w:fill="auto"/>
            <w:tcMar>
              <w:top w:w="0" w:type="dxa"/>
              <w:left w:w="108" w:type="dxa"/>
              <w:bottom w:w="0" w:type="dxa"/>
              <w:right w:w="108" w:type="dxa"/>
            </w:tcMar>
            <w:vAlign w:val="center"/>
          </w:tcPr>
          <w:p w14:paraId="74F5E62E" w14:textId="25127410"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114.04</w:t>
            </w:r>
          </w:p>
        </w:tc>
      </w:tr>
    </w:tbl>
    <w:p w14:paraId="41DDF11F" w14:textId="77777777" w:rsidR="00D62C18" w:rsidRPr="00B4515A" w:rsidRDefault="00D62C18" w:rsidP="00D62C18">
      <w:pPr>
        <w:pStyle w:val="005"/>
        <w:spacing w:before="120" w:after="120"/>
        <w:ind w:firstLine="480"/>
      </w:pPr>
    </w:p>
    <w:p w14:paraId="5DC85C46" w14:textId="0AE64F88" w:rsidR="006416B0" w:rsidRPr="00B4515A" w:rsidRDefault="00D44516" w:rsidP="005860B4">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908"/>
        <w:gridCol w:w="1477"/>
        <w:gridCol w:w="2427"/>
        <w:gridCol w:w="1716"/>
      </w:tblGrid>
      <w:tr w:rsidR="006416B0" w:rsidRPr="00B4515A" w14:paraId="5761A1A9" w14:textId="77777777" w:rsidTr="00EE238F">
        <w:trPr>
          <w:trHeight w:val="340"/>
          <w:jc w:val="center"/>
        </w:trPr>
        <w:tc>
          <w:tcPr>
            <w:tcW w:w="2827" w:type="dxa"/>
            <w:vMerge w:val="restart"/>
            <w:shd w:val="clear" w:color="auto" w:fill="auto"/>
            <w:tcMar>
              <w:top w:w="0" w:type="dxa"/>
              <w:left w:w="108" w:type="dxa"/>
              <w:bottom w:w="0" w:type="dxa"/>
              <w:right w:w="108" w:type="dxa"/>
            </w:tcMar>
            <w:vAlign w:val="center"/>
          </w:tcPr>
          <w:p w14:paraId="6A88C597"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项目</w:t>
            </w:r>
          </w:p>
        </w:tc>
        <w:tc>
          <w:tcPr>
            <w:tcW w:w="5464" w:type="dxa"/>
            <w:gridSpan w:val="3"/>
            <w:shd w:val="clear" w:color="auto" w:fill="auto"/>
            <w:tcMar>
              <w:top w:w="0" w:type="dxa"/>
              <w:left w:w="108" w:type="dxa"/>
              <w:bottom w:w="0" w:type="dxa"/>
              <w:right w:w="108" w:type="dxa"/>
            </w:tcMar>
            <w:vAlign w:val="center"/>
          </w:tcPr>
          <w:p w14:paraId="1C111BBB"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w:t>
            </w:r>
            <w:r w:rsidRPr="00B4515A">
              <w:rPr>
                <w:rFonts w:cs="Times New Roman" w:hint="eastAsia"/>
                <w:b/>
                <w:bCs/>
                <w:color w:val="000000"/>
                <w:sz w:val="21"/>
                <w:szCs w:val="21"/>
              </w:rPr>
              <w:t>年</w:t>
            </w:r>
            <w:r w:rsidRPr="00B4515A">
              <w:rPr>
                <w:rFonts w:ascii="Times New Roman" w:hAnsi="Times New Roman" w:cs="Times New Roman"/>
                <w:b/>
                <w:bCs/>
                <w:color w:val="000000"/>
                <w:sz w:val="21"/>
                <w:szCs w:val="21"/>
              </w:rPr>
              <w:t>12</w:t>
            </w:r>
            <w:r w:rsidRPr="00B4515A">
              <w:rPr>
                <w:rFonts w:cs="Times New Roman" w:hint="eastAsia"/>
                <w:b/>
                <w:bCs/>
                <w:color w:val="000000"/>
                <w:sz w:val="21"/>
                <w:szCs w:val="21"/>
              </w:rPr>
              <w:t>月</w:t>
            </w:r>
            <w:r w:rsidRPr="00B4515A">
              <w:rPr>
                <w:rFonts w:ascii="Times New Roman" w:hAnsi="Times New Roman" w:cs="Times New Roman"/>
                <w:b/>
                <w:bCs/>
                <w:color w:val="000000"/>
                <w:sz w:val="21"/>
                <w:szCs w:val="21"/>
              </w:rPr>
              <w:t>31</w:t>
            </w:r>
            <w:r w:rsidRPr="00B4515A">
              <w:rPr>
                <w:rFonts w:cs="Times New Roman" w:hint="eastAsia"/>
                <w:b/>
                <w:bCs/>
                <w:color w:val="000000"/>
                <w:sz w:val="21"/>
                <w:szCs w:val="21"/>
              </w:rPr>
              <w:t>日</w:t>
            </w:r>
            <w:r w:rsidRPr="00B4515A">
              <w:rPr>
                <w:rFonts w:ascii="Times New Roman" w:hAnsi="Times New Roman" w:cs="Times New Roman"/>
                <w:b/>
                <w:bCs/>
                <w:color w:val="000000"/>
                <w:sz w:val="21"/>
                <w:szCs w:val="21"/>
              </w:rPr>
              <w:t>/2020</w:t>
            </w:r>
            <w:r w:rsidRPr="00B4515A">
              <w:rPr>
                <w:rFonts w:cs="Times New Roman" w:hint="eastAsia"/>
                <w:b/>
                <w:bCs/>
                <w:color w:val="000000"/>
                <w:sz w:val="21"/>
                <w:szCs w:val="21"/>
              </w:rPr>
              <w:t>年度</w:t>
            </w:r>
          </w:p>
        </w:tc>
      </w:tr>
      <w:tr w:rsidR="006416B0" w:rsidRPr="00B4515A" w14:paraId="11D34DA2" w14:textId="77777777" w:rsidTr="00EE238F">
        <w:trPr>
          <w:trHeight w:val="340"/>
          <w:jc w:val="center"/>
        </w:trPr>
        <w:tc>
          <w:tcPr>
            <w:tcW w:w="2827" w:type="dxa"/>
            <w:vMerge/>
            <w:tcMar>
              <w:top w:w="0" w:type="dxa"/>
              <w:left w:w="108" w:type="dxa"/>
              <w:bottom w:w="0" w:type="dxa"/>
              <w:right w:w="108" w:type="dxa"/>
            </w:tcMar>
            <w:vAlign w:val="center"/>
          </w:tcPr>
          <w:p w14:paraId="5783AA3C" w14:textId="77777777" w:rsidR="006416B0" w:rsidRPr="00B4515A" w:rsidRDefault="006416B0" w:rsidP="00EE238F">
            <w:pPr>
              <w:adjustRightInd w:val="0"/>
              <w:snapToGrid w:val="0"/>
              <w:jc w:val="center"/>
              <w:rPr>
                <w:rFonts w:ascii="Times New Roman" w:hAnsi="Times New Roman" w:cs="Times New Roman"/>
                <w:b/>
                <w:bCs/>
                <w:color w:val="000000"/>
                <w:sz w:val="21"/>
                <w:szCs w:val="21"/>
              </w:rPr>
            </w:pPr>
          </w:p>
        </w:tc>
        <w:tc>
          <w:tcPr>
            <w:tcW w:w="1436" w:type="dxa"/>
            <w:shd w:val="clear" w:color="auto" w:fill="auto"/>
            <w:tcMar>
              <w:top w:w="0" w:type="dxa"/>
              <w:left w:w="108" w:type="dxa"/>
              <w:bottom w:w="0" w:type="dxa"/>
              <w:right w:w="108" w:type="dxa"/>
            </w:tcMar>
            <w:vAlign w:val="center"/>
          </w:tcPr>
          <w:p w14:paraId="71269177"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交易前</w:t>
            </w:r>
            <w:r w:rsidRPr="00B4515A">
              <w:rPr>
                <w:rFonts w:hint="eastAsia"/>
                <w:b/>
                <w:bCs/>
                <w:color w:val="000000"/>
                <w:sz w:val="21"/>
                <w:szCs w:val="21"/>
              </w:rPr>
              <w:br/>
              <w:t>（实际数）</w:t>
            </w:r>
          </w:p>
        </w:tc>
        <w:tc>
          <w:tcPr>
            <w:tcW w:w="2360" w:type="dxa"/>
            <w:shd w:val="clear" w:color="auto" w:fill="auto"/>
            <w:tcMar>
              <w:top w:w="0" w:type="dxa"/>
              <w:left w:w="108" w:type="dxa"/>
              <w:bottom w:w="0" w:type="dxa"/>
              <w:right w:w="108" w:type="dxa"/>
            </w:tcMar>
            <w:vAlign w:val="center"/>
          </w:tcPr>
          <w:p w14:paraId="6FA781FB"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交易后</w:t>
            </w:r>
            <w:r w:rsidRPr="00B4515A">
              <w:rPr>
                <w:rFonts w:hint="eastAsia"/>
                <w:b/>
                <w:bCs/>
                <w:color w:val="000000"/>
                <w:sz w:val="21"/>
                <w:szCs w:val="21"/>
              </w:rPr>
              <w:br/>
              <w:t>（备考数）</w:t>
            </w:r>
          </w:p>
        </w:tc>
        <w:tc>
          <w:tcPr>
            <w:tcW w:w="1668" w:type="dxa"/>
            <w:shd w:val="clear" w:color="auto" w:fill="auto"/>
            <w:tcMar>
              <w:top w:w="0" w:type="dxa"/>
              <w:left w:w="108" w:type="dxa"/>
              <w:bottom w:w="0" w:type="dxa"/>
              <w:right w:w="108" w:type="dxa"/>
            </w:tcMar>
            <w:vAlign w:val="center"/>
          </w:tcPr>
          <w:p w14:paraId="08326EDA" w14:textId="1D0B0535"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变动幅度</w:t>
            </w:r>
            <w:r w:rsidR="003D1589" w:rsidRPr="00B4515A">
              <w:rPr>
                <w:rFonts w:cs="Times New Roman" w:hint="eastAsia"/>
                <w:b/>
                <w:bCs/>
                <w:color w:val="000000"/>
                <w:sz w:val="21"/>
                <w:szCs w:val="21"/>
              </w:rPr>
              <w:t>（%）</w:t>
            </w:r>
          </w:p>
        </w:tc>
      </w:tr>
      <w:tr w:rsidR="006416B0" w:rsidRPr="00B4515A" w14:paraId="21D18114"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7255E84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资产总额</w:t>
            </w:r>
          </w:p>
        </w:tc>
        <w:tc>
          <w:tcPr>
            <w:tcW w:w="1436" w:type="dxa"/>
            <w:shd w:val="clear" w:color="auto" w:fill="auto"/>
            <w:tcMar>
              <w:top w:w="0" w:type="dxa"/>
              <w:left w:w="108" w:type="dxa"/>
              <w:bottom w:w="0" w:type="dxa"/>
              <w:right w:w="108" w:type="dxa"/>
            </w:tcMar>
            <w:vAlign w:val="center"/>
          </w:tcPr>
          <w:p w14:paraId="64BE223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314,041.93 </w:t>
            </w:r>
          </w:p>
        </w:tc>
        <w:tc>
          <w:tcPr>
            <w:tcW w:w="2360" w:type="dxa"/>
            <w:shd w:val="clear" w:color="auto" w:fill="auto"/>
            <w:tcMar>
              <w:top w:w="0" w:type="dxa"/>
              <w:left w:w="108" w:type="dxa"/>
              <w:bottom w:w="0" w:type="dxa"/>
              <w:right w:w="108" w:type="dxa"/>
            </w:tcMar>
            <w:vAlign w:val="center"/>
          </w:tcPr>
          <w:p w14:paraId="6D32CFF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548,152.06</w:t>
            </w:r>
          </w:p>
        </w:tc>
        <w:tc>
          <w:tcPr>
            <w:tcW w:w="1668" w:type="dxa"/>
            <w:shd w:val="clear" w:color="auto" w:fill="auto"/>
            <w:tcMar>
              <w:top w:w="0" w:type="dxa"/>
              <w:left w:w="108" w:type="dxa"/>
              <w:bottom w:w="0" w:type="dxa"/>
              <w:right w:w="108" w:type="dxa"/>
            </w:tcMar>
            <w:vAlign w:val="center"/>
          </w:tcPr>
          <w:p w14:paraId="51616E4E" w14:textId="4FFB6154"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74.55</w:t>
            </w:r>
          </w:p>
        </w:tc>
      </w:tr>
      <w:tr w:rsidR="006416B0" w:rsidRPr="00B4515A" w14:paraId="6518376E"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7D518E7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负债总额</w:t>
            </w:r>
          </w:p>
        </w:tc>
        <w:tc>
          <w:tcPr>
            <w:tcW w:w="1436" w:type="dxa"/>
            <w:shd w:val="clear" w:color="auto" w:fill="auto"/>
            <w:tcMar>
              <w:top w:w="0" w:type="dxa"/>
              <w:left w:w="108" w:type="dxa"/>
              <w:bottom w:w="0" w:type="dxa"/>
              <w:right w:w="108" w:type="dxa"/>
            </w:tcMar>
            <w:vAlign w:val="center"/>
          </w:tcPr>
          <w:p w14:paraId="3CD35FE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365,968.92 </w:t>
            </w:r>
          </w:p>
        </w:tc>
        <w:tc>
          <w:tcPr>
            <w:tcW w:w="2360" w:type="dxa"/>
            <w:shd w:val="clear" w:color="auto" w:fill="auto"/>
            <w:tcMar>
              <w:top w:w="0" w:type="dxa"/>
              <w:left w:w="108" w:type="dxa"/>
              <w:bottom w:w="0" w:type="dxa"/>
              <w:right w:w="108" w:type="dxa"/>
            </w:tcMar>
            <w:vAlign w:val="center"/>
          </w:tcPr>
          <w:p w14:paraId="1412A6F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426,008.16</w:t>
            </w:r>
          </w:p>
        </w:tc>
        <w:tc>
          <w:tcPr>
            <w:tcW w:w="1668" w:type="dxa"/>
            <w:shd w:val="clear" w:color="auto" w:fill="auto"/>
            <w:tcMar>
              <w:top w:w="0" w:type="dxa"/>
              <w:left w:w="108" w:type="dxa"/>
              <w:bottom w:w="0" w:type="dxa"/>
              <w:right w:w="108" w:type="dxa"/>
            </w:tcMar>
            <w:vAlign w:val="center"/>
          </w:tcPr>
          <w:p w14:paraId="2A9D06BD" w14:textId="79D1B359"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16.41</w:t>
            </w:r>
          </w:p>
        </w:tc>
      </w:tr>
      <w:tr w:rsidR="006416B0" w:rsidRPr="00B4515A" w14:paraId="6DB1D72E"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6D136EB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归属于母公司所有者权益</w:t>
            </w:r>
          </w:p>
        </w:tc>
        <w:tc>
          <w:tcPr>
            <w:tcW w:w="1436" w:type="dxa"/>
            <w:shd w:val="clear" w:color="auto" w:fill="auto"/>
            <w:tcMar>
              <w:top w:w="0" w:type="dxa"/>
              <w:left w:w="108" w:type="dxa"/>
              <w:bottom w:w="0" w:type="dxa"/>
              <w:right w:w="108" w:type="dxa"/>
            </w:tcMar>
            <w:vAlign w:val="center"/>
          </w:tcPr>
          <w:p w14:paraId="1D8A868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-131,187.30 </w:t>
            </w:r>
          </w:p>
        </w:tc>
        <w:tc>
          <w:tcPr>
            <w:tcW w:w="2360" w:type="dxa"/>
            <w:shd w:val="clear" w:color="auto" w:fill="auto"/>
            <w:tcMar>
              <w:top w:w="0" w:type="dxa"/>
              <w:left w:w="108" w:type="dxa"/>
              <w:bottom w:w="0" w:type="dxa"/>
              <w:right w:w="108" w:type="dxa"/>
            </w:tcMar>
            <w:vAlign w:val="center"/>
          </w:tcPr>
          <w:p w14:paraId="6658614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38,924.73</w:t>
            </w:r>
          </w:p>
        </w:tc>
        <w:tc>
          <w:tcPr>
            <w:tcW w:w="1668" w:type="dxa"/>
            <w:shd w:val="clear" w:color="auto" w:fill="auto"/>
            <w:tcMar>
              <w:top w:w="0" w:type="dxa"/>
              <w:left w:w="108" w:type="dxa"/>
              <w:bottom w:w="0" w:type="dxa"/>
              <w:right w:w="108" w:type="dxa"/>
            </w:tcMar>
            <w:vAlign w:val="center"/>
          </w:tcPr>
          <w:p w14:paraId="6798D860" w14:textId="7CDA4362"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129.67</w:t>
            </w:r>
          </w:p>
        </w:tc>
      </w:tr>
      <w:tr w:rsidR="006416B0" w:rsidRPr="00B4515A" w14:paraId="55517FCA"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5A98E6A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营业收入</w:t>
            </w:r>
          </w:p>
        </w:tc>
        <w:tc>
          <w:tcPr>
            <w:tcW w:w="1436" w:type="dxa"/>
            <w:shd w:val="clear" w:color="auto" w:fill="auto"/>
            <w:tcMar>
              <w:top w:w="0" w:type="dxa"/>
              <w:left w:w="108" w:type="dxa"/>
              <w:bottom w:w="0" w:type="dxa"/>
              <w:right w:w="108" w:type="dxa"/>
            </w:tcMar>
            <w:vAlign w:val="center"/>
          </w:tcPr>
          <w:p w14:paraId="36D5D16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120,721.15 </w:t>
            </w:r>
          </w:p>
        </w:tc>
        <w:tc>
          <w:tcPr>
            <w:tcW w:w="2360" w:type="dxa"/>
            <w:shd w:val="clear" w:color="auto" w:fill="auto"/>
            <w:tcMar>
              <w:top w:w="0" w:type="dxa"/>
              <w:left w:w="108" w:type="dxa"/>
              <w:bottom w:w="0" w:type="dxa"/>
              <w:right w:w="108" w:type="dxa"/>
            </w:tcMar>
            <w:vAlign w:val="center"/>
          </w:tcPr>
          <w:p w14:paraId="43CF983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162,630.87</w:t>
            </w:r>
          </w:p>
        </w:tc>
        <w:tc>
          <w:tcPr>
            <w:tcW w:w="1668" w:type="dxa"/>
            <w:shd w:val="clear" w:color="auto" w:fill="auto"/>
            <w:tcMar>
              <w:top w:w="0" w:type="dxa"/>
              <w:left w:w="108" w:type="dxa"/>
              <w:bottom w:w="0" w:type="dxa"/>
              <w:right w:w="108" w:type="dxa"/>
            </w:tcMar>
            <w:vAlign w:val="center"/>
          </w:tcPr>
          <w:p w14:paraId="0E0E4A9F" w14:textId="5C57EF93"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34.72</w:t>
            </w:r>
          </w:p>
        </w:tc>
      </w:tr>
      <w:tr w:rsidR="006416B0" w:rsidRPr="00B4515A" w14:paraId="47B5D951"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32A053E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营业利润</w:t>
            </w:r>
          </w:p>
        </w:tc>
        <w:tc>
          <w:tcPr>
            <w:tcW w:w="1436" w:type="dxa"/>
            <w:shd w:val="clear" w:color="auto" w:fill="auto"/>
            <w:tcMar>
              <w:top w:w="0" w:type="dxa"/>
              <w:left w:w="108" w:type="dxa"/>
              <w:bottom w:w="0" w:type="dxa"/>
              <w:right w:w="108" w:type="dxa"/>
            </w:tcMar>
            <w:vAlign w:val="center"/>
          </w:tcPr>
          <w:p w14:paraId="4BBFB7D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-160,274.33 </w:t>
            </w:r>
          </w:p>
        </w:tc>
        <w:tc>
          <w:tcPr>
            <w:tcW w:w="2360" w:type="dxa"/>
            <w:shd w:val="clear" w:color="auto" w:fill="auto"/>
            <w:tcMar>
              <w:top w:w="0" w:type="dxa"/>
              <w:left w:w="108" w:type="dxa"/>
              <w:bottom w:w="0" w:type="dxa"/>
              <w:right w:w="108" w:type="dxa"/>
            </w:tcMar>
            <w:vAlign w:val="center"/>
          </w:tcPr>
          <w:p w14:paraId="14FD3ED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-155,847.49</w:t>
            </w:r>
          </w:p>
        </w:tc>
        <w:tc>
          <w:tcPr>
            <w:tcW w:w="1668" w:type="dxa"/>
            <w:shd w:val="clear" w:color="auto" w:fill="auto"/>
            <w:tcMar>
              <w:top w:w="0" w:type="dxa"/>
              <w:left w:w="108" w:type="dxa"/>
              <w:bottom w:w="0" w:type="dxa"/>
              <w:right w:w="108" w:type="dxa"/>
            </w:tcMar>
            <w:vAlign w:val="center"/>
          </w:tcPr>
          <w:p w14:paraId="525FFE91" w14:textId="348EC6AD"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2.76</w:t>
            </w:r>
          </w:p>
        </w:tc>
      </w:tr>
      <w:tr w:rsidR="006416B0" w:rsidRPr="00B4515A" w14:paraId="508402B4"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265ECDB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利润总额</w:t>
            </w:r>
          </w:p>
        </w:tc>
        <w:tc>
          <w:tcPr>
            <w:tcW w:w="1436" w:type="dxa"/>
            <w:shd w:val="clear" w:color="auto" w:fill="auto"/>
            <w:tcMar>
              <w:top w:w="0" w:type="dxa"/>
              <w:left w:w="108" w:type="dxa"/>
              <w:bottom w:w="0" w:type="dxa"/>
              <w:right w:w="108" w:type="dxa"/>
            </w:tcMar>
            <w:vAlign w:val="center"/>
          </w:tcPr>
          <w:p w14:paraId="1E05F44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-168,793.47 </w:t>
            </w:r>
          </w:p>
        </w:tc>
        <w:tc>
          <w:tcPr>
            <w:tcW w:w="2360" w:type="dxa"/>
            <w:shd w:val="clear" w:color="auto" w:fill="auto"/>
            <w:tcMar>
              <w:top w:w="0" w:type="dxa"/>
              <w:left w:w="108" w:type="dxa"/>
              <w:bottom w:w="0" w:type="dxa"/>
              <w:right w:w="108" w:type="dxa"/>
            </w:tcMar>
            <w:vAlign w:val="center"/>
          </w:tcPr>
          <w:p w14:paraId="65789C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-164,212.51</w:t>
            </w:r>
          </w:p>
        </w:tc>
        <w:tc>
          <w:tcPr>
            <w:tcW w:w="1668" w:type="dxa"/>
            <w:shd w:val="clear" w:color="auto" w:fill="auto"/>
            <w:tcMar>
              <w:top w:w="0" w:type="dxa"/>
              <w:left w:w="108" w:type="dxa"/>
              <w:bottom w:w="0" w:type="dxa"/>
              <w:right w:w="108" w:type="dxa"/>
            </w:tcMar>
            <w:vAlign w:val="center"/>
          </w:tcPr>
          <w:p w14:paraId="5F295A8F" w14:textId="6468A061"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2.71</w:t>
            </w:r>
          </w:p>
        </w:tc>
      </w:tr>
      <w:tr w:rsidR="006416B0" w:rsidRPr="00B4515A" w14:paraId="0BCFA6E2"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73689CA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归属于母公司所有者的净利润</w:t>
            </w:r>
          </w:p>
        </w:tc>
        <w:tc>
          <w:tcPr>
            <w:tcW w:w="1436" w:type="dxa"/>
            <w:shd w:val="clear" w:color="auto" w:fill="auto"/>
            <w:tcMar>
              <w:top w:w="0" w:type="dxa"/>
              <w:left w:w="108" w:type="dxa"/>
              <w:bottom w:w="0" w:type="dxa"/>
              <w:right w:w="108" w:type="dxa"/>
            </w:tcMar>
            <w:vAlign w:val="center"/>
          </w:tcPr>
          <w:p w14:paraId="0F4F07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-136,381.11 </w:t>
            </w:r>
          </w:p>
        </w:tc>
        <w:tc>
          <w:tcPr>
            <w:tcW w:w="2360" w:type="dxa"/>
            <w:shd w:val="clear" w:color="auto" w:fill="auto"/>
            <w:tcMar>
              <w:top w:w="0" w:type="dxa"/>
              <w:left w:w="108" w:type="dxa"/>
              <w:bottom w:w="0" w:type="dxa"/>
              <w:right w:w="108" w:type="dxa"/>
            </w:tcMar>
            <w:vAlign w:val="center"/>
          </w:tcPr>
          <w:p w14:paraId="65DE34A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-132,112.46</w:t>
            </w:r>
          </w:p>
        </w:tc>
        <w:tc>
          <w:tcPr>
            <w:tcW w:w="1668" w:type="dxa"/>
            <w:shd w:val="clear" w:color="auto" w:fill="auto"/>
            <w:tcMar>
              <w:top w:w="0" w:type="dxa"/>
              <w:left w:w="108" w:type="dxa"/>
              <w:bottom w:w="0" w:type="dxa"/>
              <w:right w:w="108" w:type="dxa"/>
            </w:tcMar>
            <w:vAlign w:val="center"/>
          </w:tcPr>
          <w:p w14:paraId="18979F86" w14:textId="1CDD98A9"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3.13</w:t>
            </w:r>
          </w:p>
        </w:tc>
      </w:tr>
      <w:tr w:rsidR="003E700C" w:rsidRPr="00B4515A" w14:paraId="17ADDC6C"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3841DF5A" w14:textId="243EA577" w:rsidR="003E700C" w:rsidRPr="00B4515A" w:rsidRDefault="003E700C"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资产负债率（%）</w:t>
            </w:r>
          </w:p>
        </w:tc>
        <w:tc>
          <w:tcPr>
            <w:tcW w:w="1436" w:type="dxa"/>
            <w:shd w:val="clear" w:color="auto" w:fill="auto"/>
            <w:tcMar>
              <w:top w:w="0" w:type="dxa"/>
              <w:left w:w="108" w:type="dxa"/>
              <w:bottom w:w="0" w:type="dxa"/>
              <w:right w:w="108" w:type="dxa"/>
            </w:tcMar>
            <w:vAlign w:val="center"/>
          </w:tcPr>
          <w:p w14:paraId="522262D3" w14:textId="125E882C"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116.54 </w:t>
            </w:r>
          </w:p>
        </w:tc>
        <w:tc>
          <w:tcPr>
            <w:tcW w:w="2360" w:type="dxa"/>
            <w:shd w:val="clear" w:color="auto" w:fill="auto"/>
            <w:tcMar>
              <w:top w:w="0" w:type="dxa"/>
              <w:left w:w="108" w:type="dxa"/>
              <w:bottom w:w="0" w:type="dxa"/>
              <w:right w:w="108" w:type="dxa"/>
            </w:tcMar>
            <w:vAlign w:val="center"/>
          </w:tcPr>
          <w:p w14:paraId="0C361E69" w14:textId="77777777"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77.72</w:t>
            </w:r>
          </w:p>
        </w:tc>
        <w:tc>
          <w:tcPr>
            <w:tcW w:w="1668" w:type="dxa"/>
            <w:shd w:val="clear" w:color="auto" w:fill="auto"/>
            <w:tcMar>
              <w:top w:w="0" w:type="dxa"/>
              <w:left w:w="108" w:type="dxa"/>
              <w:bottom w:w="0" w:type="dxa"/>
              <w:right w:w="108" w:type="dxa"/>
            </w:tcMar>
            <w:vAlign w:val="center"/>
          </w:tcPr>
          <w:p w14:paraId="133948E3" w14:textId="7BFD91E2"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-38.82</w:t>
            </w:r>
          </w:p>
        </w:tc>
      </w:tr>
      <w:tr w:rsidR="003E700C" w:rsidRPr="00B4515A" w14:paraId="15D0FA85"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03EDD84E" w14:textId="0354DE64" w:rsidR="003E700C" w:rsidRPr="00B4515A" w:rsidRDefault="003E700C"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毛利率（%）</w:t>
            </w:r>
          </w:p>
        </w:tc>
        <w:tc>
          <w:tcPr>
            <w:tcW w:w="1436" w:type="dxa"/>
            <w:shd w:val="clear" w:color="auto" w:fill="auto"/>
            <w:tcMar>
              <w:top w:w="0" w:type="dxa"/>
              <w:left w:w="108" w:type="dxa"/>
              <w:bottom w:w="0" w:type="dxa"/>
              <w:right w:w="108" w:type="dxa"/>
            </w:tcMar>
            <w:vAlign w:val="center"/>
          </w:tcPr>
          <w:p w14:paraId="568FDD3C" w14:textId="77777777"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32.04 </w:t>
            </w:r>
          </w:p>
        </w:tc>
        <w:tc>
          <w:tcPr>
            <w:tcW w:w="2360" w:type="dxa"/>
            <w:shd w:val="clear" w:color="auto" w:fill="auto"/>
            <w:tcMar>
              <w:top w:w="0" w:type="dxa"/>
              <w:left w:w="108" w:type="dxa"/>
              <w:bottom w:w="0" w:type="dxa"/>
              <w:right w:w="108" w:type="dxa"/>
            </w:tcMar>
            <w:vAlign w:val="center"/>
          </w:tcPr>
          <w:p w14:paraId="682729C6" w14:textId="77777777"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40.46</w:t>
            </w:r>
          </w:p>
        </w:tc>
        <w:tc>
          <w:tcPr>
            <w:tcW w:w="1668" w:type="dxa"/>
            <w:shd w:val="clear" w:color="auto" w:fill="auto"/>
            <w:tcMar>
              <w:top w:w="0" w:type="dxa"/>
              <w:left w:w="108" w:type="dxa"/>
              <w:bottom w:w="0" w:type="dxa"/>
              <w:right w:w="108" w:type="dxa"/>
            </w:tcMar>
            <w:vAlign w:val="center"/>
          </w:tcPr>
          <w:p w14:paraId="417A8F1C" w14:textId="74DCB29D"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8.42</w:t>
            </w:r>
          </w:p>
        </w:tc>
      </w:tr>
      <w:tr w:rsidR="006416B0" w:rsidRPr="00B4515A" w14:paraId="2A309066"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0D276F8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基本每股收益（元</w:t>
            </w:r>
            <w:r w:rsidRPr="00B4515A">
              <w:rPr>
                <w:rFonts w:ascii="Times New Roman" w:hAnsi="Times New Roman" w:cs="Times New Roman"/>
                <w:color w:val="000000"/>
                <w:sz w:val="21"/>
                <w:szCs w:val="21"/>
              </w:rPr>
              <w:t>/</w:t>
            </w:r>
            <w:r w:rsidRPr="00B4515A">
              <w:rPr>
                <w:rFonts w:cs="Times New Roman" w:hint="eastAsia"/>
                <w:color w:val="000000"/>
                <w:sz w:val="21"/>
                <w:szCs w:val="21"/>
              </w:rPr>
              <w:t>股）</w:t>
            </w:r>
          </w:p>
        </w:tc>
        <w:tc>
          <w:tcPr>
            <w:tcW w:w="1436" w:type="dxa"/>
            <w:shd w:val="clear" w:color="auto" w:fill="auto"/>
            <w:tcMar>
              <w:top w:w="0" w:type="dxa"/>
              <w:left w:w="108" w:type="dxa"/>
              <w:bottom w:w="0" w:type="dxa"/>
              <w:right w:w="108" w:type="dxa"/>
            </w:tcMar>
            <w:vAlign w:val="center"/>
          </w:tcPr>
          <w:p w14:paraId="3CEE2BC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-1.55 </w:t>
            </w:r>
          </w:p>
        </w:tc>
        <w:tc>
          <w:tcPr>
            <w:tcW w:w="2360" w:type="dxa"/>
            <w:shd w:val="clear" w:color="auto" w:fill="auto"/>
            <w:tcMar>
              <w:top w:w="0" w:type="dxa"/>
              <w:left w:w="108" w:type="dxa"/>
              <w:bottom w:w="0" w:type="dxa"/>
              <w:right w:w="108" w:type="dxa"/>
            </w:tcMar>
            <w:vAlign w:val="center"/>
          </w:tcPr>
          <w:p w14:paraId="1812C27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 xml:space="preserve">-1.01 </w:t>
            </w:r>
          </w:p>
        </w:tc>
        <w:tc>
          <w:tcPr>
            <w:tcW w:w="1668" w:type="dxa"/>
            <w:shd w:val="clear" w:color="auto" w:fill="auto"/>
            <w:tcMar>
              <w:top w:w="0" w:type="dxa"/>
              <w:left w:w="108" w:type="dxa"/>
              <w:bottom w:w="0" w:type="dxa"/>
              <w:right w:w="108" w:type="dxa"/>
            </w:tcMar>
            <w:vAlign w:val="center"/>
          </w:tcPr>
          <w:p w14:paraId="22BC3B02" w14:textId="51BD349C"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34.96</w:t>
            </w:r>
          </w:p>
        </w:tc>
      </w:tr>
      <w:tr w:rsidR="006416B0" w:rsidRPr="00B4515A" w14:paraId="102ADFB4"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24205646" w14:textId="26954B0D"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每股净资产</w:t>
            </w:r>
            <w:r w:rsidR="00FE7BD3" w:rsidRPr="00B4515A">
              <w:rPr>
                <w:rFonts w:cs="Times New Roman" w:hint="eastAsia"/>
                <w:color w:val="000000"/>
                <w:sz w:val="21"/>
                <w:szCs w:val="21"/>
              </w:rPr>
              <w:t>（元</w:t>
            </w:r>
            <w:r w:rsidR="00FE7BD3" w:rsidRPr="00B4515A">
              <w:rPr>
                <w:rFonts w:ascii="Times New Roman" w:hAnsi="Times New Roman" w:cs="Times New Roman"/>
                <w:color w:val="000000"/>
                <w:sz w:val="21"/>
                <w:szCs w:val="21"/>
              </w:rPr>
              <w:t>/</w:t>
            </w:r>
            <w:r w:rsidR="00FE7BD3" w:rsidRPr="00B4515A">
              <w:rPr>
                <w:rFonts w:cs="Times New Roman" w:hint="eastAsia"/>
                <w:color w:val="000000"/>
                <w:sz w:val="21"/>
                <w:szCs w:val="21"/>
              </w:rPr>
              <w:t>股）</w:t>
            </w:r>
          </w:p>
        </w:tc>
        <w:tc>
          <w:tcPr>
            <w:tcW w:w="1436" w:type="dxa"/>
            <w:shd w:val="clear" w:color="auto" w:fill="auto"/>
            <w:tcMar>
              <w:top w:w="0" w:type="dxa"/>
              <w:left w:w="108" w:type="dxa"/>
              <w:bottom w:w="0" w:type="dxa"/>
              <w:right w:w="108" w:type="dxa"/>
            </w:tcMar>
            <w:vAlign w:val="center"/>
          </w:tcPr>
          <w:p w14:paraId="079A7E4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-1.49 </w:t>
            </w:r>
          </w:p>
        </w:tc>
        <w:tc>
          <w:tcPr>
            <w:tcW w:w="2360" w:type="dxa"/>
            <w:shd w:val="clear" w:color="auto" w:fill="auto"/>
            <w:tcMar>
              <w:top w:w="0" w:type="dxa"/>
              <w:left w:w="108" w:type="dxa"/>
              <w:bottom w:w="0" w:type="dxa"/>
              <w:right w:w="108" w:type="dxa"/>
            </w:tcMar>
            <w:vAlign w:val="center"/>
          </w:tcPr>
          <w:p w14:paraId="4CEAD17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0.30</w:t>
            </w:r>
          </w:p>
        </w:tc>
        <w:tc>
          <w:tcPr>
            <w:tcW w:w="1668" w:type="dxa"/>
            <w:shd w:val="clear" w:color="auto" w:fill="auto"/>
            <w:tcMar>
              <w:top w:w="0" w:type="dxa"/>
              <w:left w:w="108" w:type="dxa"/>
              <w:bottom w:w="0" w:type="dxa"/>
              <w:right w:w="108" w:type="dxa"/>
            </w:tcMar>
            <w:vAlign w:val="center"/>
          </w:tcPr>
          <w:p w14:paraId="6771B49D" w14:textId="62981D03"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119.92</w:t>
            </w:r>
          </w:p>
        </w:tc>
      </w:tr>
    </w:tbl>
    <w:bookmarkEnd w:id="39"/>
    <w:bookmarkEnd w:id="40"/>
    <w:p w14:paraId="57D4A8BF" w14:textId="77777777" w:rsidR="006416B0" w:rsidRPr="00B4515A" w:rsidRDefault="005E58C1" w:rsidP="005860B4">
      <w:pPr>
        <w:pStyle w:val="003"/>
        <w:spacing w:before="120"/>
        <w:ind w:firstLine="482"/>
      </w:pPr>
      <w:r w:rsidRPr="00B4515A">
        <w:rPr>
          <w:rFonts w:hint="eastAsia"/>
        </w:rPr>
        <w:t>（四）交易完成后上市公司同业竞争及关联交易情况</w:t>
      </w:r>
    </w:p>
    <w:p w14:paraId="145A959C" w14:textId="77777777" w:rsidR="006416B0" w:rsidRPr="00B4515A" w:rsidRDefault="005E58C1" w:rsidP="005860B4">
      <w:pPr>
        <w:pStyle w:val="004"/>
        <w:spacing w:before="120" w:after="120"/>
        <w:ind w:firstLine="482"/>
      </w:pPr>
      <w:r w:rsidRPr="00B4515A">
        <w:t>1</w:t>
      </w:r>
      <w:r w:rsidRPr="00B4515A">
        <w:t>、交易完成后上市公司同业竞争情况</w:t>
      </w:r>
    </w:p>
    <w:p w14:paraId="722A3C90" w14:textId="77777777" w:rsidR="006416B0" w:rsidRPr="00B4515A" w:rsidRDefault="005E58C1" w:rsidP="005860B4">
      <w:pPr>
        <w:pStyle w:val="005"/>
        <w:spacing w:before="120" w:after="120"/>
        <w:ind w:firstLine="480"/>
      </w:pPr>
      <w:r w:rsidRPr="00B4515A">
        <w:t>本次交易前，上市公司控股股东为电信科研院，中国信科集团为电信科研院的控股股东。本次交易完成后，上市公司控股股东为中国信科集团，大唐联诚将成为上市公司的子公司。</w:t>
      </w:r>
    </w:p>
    <w:p w14:paraId="596257AC" w14:textId="77777777" w:rsidR="006416B0" w:rsidRPr="00B4515A" w:rsidRDefault="005E58C1" w:rsidP="005860B4">
      <w:pPr>
        <w:pStyle w:val="005"/>
        <w:spacing w:before="120" w:after="120"/>
        <w:ind w:firstLine="480"/>
      </w:pPr>
      <w:r w:rsidRPr="00B4515A">
        <w:t>中国信科集团的产业布局主要分为六大板块：光通信、移动通信、智能化应用、光电子和集成电路、网络安全和特通、数据通信。大唐联诚属于中国信科集团内网络安全和特通板块。大唐联诚定位于无线通信技术面向特通信息化领域的应用，拥有完整的特种通信行业科研生产资质，主营业务为立足特种通信行业，提供涵盖定制化无线通信设备和系统应用软件的自主可控整体解决方案。在网络</w:t>
      </w:r>
      <w:r w:rsidRPr="00B4515A">
        <w:lastRenderedPageBreak/>
        <w:t>安全和特通板块的无线通信领域，中国信科集团仅有大唐联诚一家企业。</w:t>
      </w:r>
    </w:p>
    <w:p w14:paraId="2CCA48F6" w14:textId="77777777" w:rsidR="006416B0" w:rsidRPr="00B4515A" w:rsidRDefault="005E58C1" w:rsidP="005860B4">
      <w:pPr>
        <w:pStyle w:val="005"/>
        <w:spacing w:before="120" w:after="120"/>
        <w:ind w:firstLine="480"/>
      </w:pPr>
      <w:r w:rsidRPr="00B4515A">
        <w:t>综上，本次交易前，中国信科集团及下属全资、控股子公司及其他可实际控制企业与上市公司主营业务不存在相竞争的业务，本次交易不会导致中国信科集团与上市公司增加同业竞争。</w:t>
      </w:r>
    </w:p>
    <w:p w14:paraId="675DD949" w14:textId="77777777" w:rsidR="006416B0" w:rsidRPr="00B4515A" w:rsidRDefault="005E58C1" w:rsidP="005860B4">
      <w:pPr>
        <w:pStyle w:val="005"/>
        <w:spacing w:before="120" w:after="120"/>
        <w:ind w:firstLine="480"/>
      </w:pPr>
      <w:r w:rsidRPr="00B4515A">
        <w:t>中国信科集团已出具《关于避免同业竞争的承诺函》，承诺内容如下：</w:t>
      </w:r>
    </w:p>
    <w:p w14:paraId="1665B025" w14:textId="77777777" w:rsidR="006416B0" w:rsidRPr="00B4515A" w:rsidRDefault="005E58C1" w:rsidP="005860B4">
      <w:pPr>
        <w:pStyle w:val="005"/>
        <w:spacing w:before="120" w:after="120"/>
        <w:ind w:firstLine="480"/>
        <w:rPr>
          <w:rFonts w:ascii="宋体" w:hAnsi="宋体"/>
        </w:rPr>
      </w:pPr>
      <w:r w:rsidRPr="00B4515A">
        <w:rPr>
          <w:rFonts w:ascii="宋体" w:hAnsi="宋体"/>
        </w:rPr>
        <w:t>“</w:t>
      </w:r>
    </w:p>
    <w:p w14:paraId="56234120" w14:textId="77777777" w:rsidR="006416B0" w:rsidRPr="00B4515A" w:rsidRDefault="005E58C1" w:rsidP="005860B4">
      <w:pPr>
        <w:pStyle w:val="005"/>
        <w:spacing w:before="120" w:after="120"/>
        <w:ind w:firstLine="480"/>
      </w:pPr>
      <w:r w:rsidRPr="00B4515A">
        <w:t>1</w:t>
      </w:r>
      <w:r w:rsidRPr="00B4515A">
        <w:t>、本次交易前，本公司及下属全资、控股子公司及其他可实际控制企业</w:t>
      </w:r>
      <w:r w:rsidRPr="00B4515A">
        <w:t>(</w:t>
      </w:r>
      <w:r w:rsidRPr="00B4515A">
        <w:t>以下统称为</w:t>
      </w:r>
      <w:r w:rsidRPr="00B4515A">
        <w:rPr>
          <w:rFonts w:ascii="宋体" w:hAnsi="宋体"/>
        </w:rPr>
        <w:t>“</w:t>
      </w:r>
      <w:r w:rsidRPr="00B4515A">
        <w:t>本公司及相关企业</w:t>
      </w:r>
      <w:r w:rsidRPr="00B4515A">
        <w:rPr>
          <w:rFonts w:ascii="宋体" w:hAnsi="宋体"/>
        </w:rPr>
        <w:t>”</w:t>
      </w:r>
      <w:r w:rsidRPr="00B4515A">
        <w:t>，不含上市公司及其下属子公司）与上市公司主营业务不存在相竞争的业务，本次交易不会导致本公司与上市公司增加同业竞争。</w:t>
      </w:r>
    </w:p>
    <w:p w14:paraId="21863F9E" w14:textId="77777777" w:rsidR="006416B0" w:rsidRPr="00B4515A" w:rsidRDefault="005E58C1" w:rsidP="005860B4">
      <w:pPr>
        <w:pStyle w:val="005"/>
        <w:spacing w:before="120" w:after="120"/>
        <w:ind w:firstLine="480"/>
      </w:pPr>
      <w:r w:rsidRPr="00B4515A">
        <w:t>2</w:t>
      </w:r>
      <w:r w:rsidRPr="00B4515A">
        <w:t>、本公司保证绝不利用对上市公司的了解和知悉的信息协助第三方从事、参与或投资与上市公司相竞争的业务或项目。</w:t>
      </w:r>
    </w:p>
    <w:p w14:paraId="364365D1" w14:textId="77777777" w:rsidR="006416B0" w:rsidRPr="00B4515A" w:rsidRDefault="005E58C1" w:rsidP="005860B4">
      <w:pPr>
        <w:pStyle w:val="005"/>
        <w:spacing w:before="120" w:after="120"/>
        <w:ind w:firstLine="480"/>
      </w:pPr>
      <w:r w:rsidRPr="00B4515A">
        <w:t>3</w:t>
      </w:r>
      <w:r w:rsidRPr="00B4515A">
        <w:t>、本承诺函在上市公司合法有效存续且在本公司对上市公司拥有控制权期间持续有效。</w:t>
      </w:r>
    </w:p>
    <w:p w14:paraId="52A5DF76" w14:textId="77777777" w:rsidR="006416B0" w:rsidRPr="00B4515A" w:rsidRDefault="005E58C1" w:rsidP="005860B4">
      <w:pPr>
        <w:pStyle w:val="005"/>
        <w:spacing w:before="120" w:after="120"/>
        <w:ind w:firstLine="480"/>
        <w:rPr>
          <w:rFonts w:ascii="宋体" w:hAnsi="宋体"/>
        </w:rPr>
      </w:pPr>
      <w:r w:rsidRPr="00B4515A">
        <w:rPr>
          <w:rFonts w:ascii="宋体" w:hAnsi="宋体"/>
        </w:rPr>
        <w:t>”</w:t>
      </w:r>
    </w:p>
    <w:p w14:paraId="407A9838" w14:textId="77777777" w:rsidR="006416B0" w:rsidRPr="00B4515A" w:rsidRDefault="005E58C1" w:rsidP="005860B4">
      <w:pPr>
        <w:pStyle w:val="005"/>
        <w:spacing w:before="120" w:after="120"/>
        <w:ind w:firstLine="480"/>
      </w:pPr>
      <w:r w:rsidRPr="00B4515A">
        <w:t>本次交易不会导致控股股东及关联方与上市公司存在同业竞争或潜在同业竞争，本次交易不会违反控股股东作出的避免同业竞争的承诺。</w:t>
      </w:r>
    </w:p>
    <w:p w14:paraId="3A2E7AD4" w14:textId="77777777" w:rsidR="006416B0" w:rsidRPr="00B4515A" w:rsidRDefault="005E58C1" w:rsidP="005860B4">
      <w:pPr>
        <w:pStyle w:val="004"/>
        <w:spacing w:before="120" w:after="120"/>
        <w:ind w:firstLine="482"/>
      </w:pPr>
      <w:r w:rsidRPr="00B4515A">
        <w:t>2</w:t>
      </w:r>
      <w:r w:rsidRPr="00B4515A">
        <w:t>、交易完成后上市公司关联交易情况</w:t>
      </w:r>
    </w:p>
    <w:p w14:paraId="51039218" w14:textId="77777777" w:rsidR="005A4F56" w:rsidRPr="00B4515A" w:rsidRDefault="005A4F56" w:rsidP="005860B4">
      <w:pPr>
        <w:pStyle w:val="005"/>
        <w:spacing w:before="120" w:after="120"/>
        <w:ind w:firstLine="480"/>
      </w:pPr>
      <w:r w:rsidRPr="00B4515A">
        <w:rPr>
          <w:rFonts w:hint="eastAsia"/>
        </w:rPr>
        <w:t>根据立信会计事务所（特殊普通合伙）出具的《大唐电信科技股份有限公司</w:t>
      </w:r>
      <w:r w:rsidRPr="00B4515A">
        <w:t>2020</w:t>
      </w:r>
      <w:r w:rsidRPr="00B4515A">
        <w:rPr>
          <w:rFonts w:hint="eastAsia"/>
        </w:rPr>
        <w:t>审计报告》（信会师报字</w:t>
      </w:r>
      <w:r w:rsidRPr="00B4515A">
        <w:t>[2021]</w:t>
      </w:r>
      <w:r w:rsidRPr="00B4515A">
        <w:rPr>
          <w:rFonts w:hint="eastAsia"/>
        </w:rPr>
        <w:t>第</w:t>
      </w:r>
      <w:r w:rsidRPr="00B4515A">
        <w:t>ZG11031</w:t>
      </w:r>
      <w:r w:rsidRPr="00B4515A">
        <w:rPr>
          <w:rFonts w:hint="eastAsia"/>
        </w:rPr>
        <w:t>号）及按本次交易完成后架构编制的《大唐电信科技股份有限公司备考合并财务报表审阅报告》（信会师报字</w:t>
      </w:r>
      <w:r w:rsidRPr="00B4515A">
        <w:t>[2021]</w:t>
      </w:r>
      <w:r w:rsidRPr="00B4515A">
        <w:rPr>
          <w:rFonts w:hint="eastAsia"/>
        </w:rPr>
        <w:t>第</w:t>
      </w:r>
      <w:r w:rsidRPr="00B4515A">
        <w:t>ZG11653</w:t>
      </w:r>
      <w:r w:rsidRPr="00B4515A">
        <w:rPr>
          <w:rFonts w:hint="eastAsia"/>
        </w:rPr>
        <w:t>号），本次交易前后，上市公司关联交易的变化情况如下：</w:t>
      </w:r>
    </w:p>
    <w:p w14:paraId="1108881A" w14:textId="668BA3B2" w:rsidR="005A4F56" w:rsidRPr="00B4515A" w:rsidRDefault="00D44516" w:rsidP="00EE238F">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635"/>
        <w:gridCol w:w="2836"/>
        <w:gridCol w:w="2057"/>
      </w:tblGrid>
      <w:tr w:rsidR="005A4F56" w:rsidRPr="00B4515A" w14:paraId="266CA19F" w14:textId="77777777" w:rsidTr="00EE238F">
        <w:trPr>
          <w:trHeight w:val="340"/>
          <w:jc w:val="center"/>
        </w:trPr>
        <w:tc>
          <w:tcPr>
            <w:tcW w:w="2131" w:type="pct"/>
            <w:vMerge w:val="restart"/>
            <w:shd w:val="clear" w:color="auto" w:fill="auto"/>
            <w:tcMar>
              <w:top w:w="0" w:type="dxa"/>
              <w:left w:w="108" w:type="dxa"/>
              <w:bottom w:w="0" w:type="dxa"/>
              <w:right w:w="108" w:type="dxa"/>
            </w:tcMar>
            <w:vAlign w:val="center"/>
          </w:tcPr>
          <w:p w14:paraId="0F59F7B5" w14:textId="77777777" w:rsidR="005A4F56" w:rsidRPr="00B4515A" w:rsidRDefault="005A4F56" w:rsidP="005860B4">
            <w:pPr>
              <w:adjustRightInd w:val="0"/>
              <w:snapToGrid w:val="0"/>
              <w:jc w:val="center"/>
              <w:rPr>
                <w:b/>
                <w:bCs/>
                <w:color w:val="000000"/>
                <w:sz w:val="21"/>
                <w:szCs w:val="21"/>
              </w:rPr>
            </w:pPr>
            <w:r w:rsidRPr="00B4515A">
              <w:rPr>
                <w:rFonts w:hint="eastAsia"/>
                <w:b/>
                <w:bCs/>
                <w:color w:val="000000"/>
                <w:sz w:val="21"/>
                <w:szCs w:val="21"/>
              </w:rPr>
              <w:t>项目</w:t>
            </w:r>
          </w:p>
        </w:tc>
        <w:tc>
          <w:tcPr>
            <w:tcW w:w="2869" w:type="pct"/>
            <w:gridSpan w:val="2"/>
            <w:shd w:val="clear" w:color="auto" w:fill="auto"/>
            <w:tcMar>
              <w:top w:w="0" w:type="dxa"/>
              <w:left w:w="108" w:type="dxa"/>
              <w:bottom w:w="0" w:type="dxa"/>
              <w:right w:w="108" w:type="dxa"/>
            </w:tcMar>
            <w:vAlign w:val="center"/>
          </w:tcPr>
          <w:p w14:paraId="09809F51" w14:textId="77777777" w:rsidR="005A4F56" w:rsidRPr="00B4515A" w:rsidRDefault="005A4F56" w:rsidP="005860B4">
            <w:pPr>
              <w:adjustRightInd w:val="0"/>
              <w:snapToGrid w:val="0"/>
              <w:jc w:val="center"/>
              <w:rPr>
                <w:b/>
                <w:bCs/>
                <w:color w:val="000000"/>
                <w:sz w:val="21"/>
                <w:szCs w:val="21"/>
              </w:rPr>
            </w:pPr>
            <w:r w:rsidRPr="00B4515A">
              <w:rPr>
                <w:rFonts w:ascii="Times New Roman" w:hAnsi="Times New Roman" w:cs="Times New Roman"/>
                <w:b/>
                <w:bCs/>
                <w:color w:val="000000"/>
                <w:sz w:val="21"/>
                <w:szCs w:val="21"/>
              </w:rPr>
              <w:t>2020</w:t>
            </w:r>
            <w:r w:rsidRPr="00B4515A">
              <w:rPr>
                <w:rFonts w:hint="eastAsia"/>
                <w:b/>
                <w:bCs/>
                <w:color w:val="000000"/>
                <w:sz w:val="21"/>
                <w:szCs w:val="21"/>
              </w:rPr>
              <w:t>年度</w:t>
            </w:r>
          </w:p>
        </w:tc>
      </w:tr>
      <w:tr w:rsidR="005A4F56" w:rsidRPr="00B4515A" w14:paraId="34008C4C" w14:textId="77777777" w:rsidTr="00EE238F">
        <w:trPr>
          <w:trHeight w:val="340"/>
          <w:jc w:val="center"/>
        </w:trPr>
        <w:tc>
          <w:tcPr>
            <w:tcW w:w="2131" w:type="pct"/>
            <w:vMerge/>
            <w:shd w:val="clear" w:color="auto" w:fill="auto"/>
            <w:tcMar>
              <w:top w:w="0" w:type="dxa"/>
              <w:left w:w="108" w:type="dxa"/>
              <w:bottom w:w="0" w:type="dxa"/>
              <w:right w:w="108" w:type="dxa"/>
            </w:tcMar>
            <w:vAlign w:val="center"/>
          </w:tcPr>
          <w:p w14:paraId="30811745" w14:textId="77777777" w:rsidR="005A4F56" w:rsidRPr="00B4515A" w:rsidRDefault="005A4F56" w:rsidP="00EE238F">
            <w:pPr>
              <w:adjustRightInd w:val="0"/>
              <w:snapToGrid w:val="0"/>
              <w:jc w:val="center"/>
              <w:rPr>
                <w:b/>
                <w:bCs/>
                <w:color w:val="000000"/>
                <w:sz w:val="21"/>
                <w:szCs w:val="21"/>
              </w:rPr>
            </w:pPr>
          </w:p>
        </w:tc>
        <w:tc>
          <w:tcPr>
            <w:tcW w:w="1663" w:type="pct"/>
            <w:shd w:val="clear" w:color="auto" w:fill="auto"/>
            <w:tcMar>
              <w:top w:w="0" w:type="dxa"/>
              <w:left w:w="108" w:type="dxa"/>
              <w:bottom w:w="0" w:type="dxa"/>
              <w:right w:w="108" w:type="dxa"/>
            </w:tcMar>
            <w:vAlign w:val="center"/>
          </w:tcPr>
          <w:p w14:paraId="636688FB" w14:textId="77777777" w:rsidR="005A4F56" w:rsidRPr="00B4515A" w:rsidRDefault="005A4F56" w:rsidP="005860B4">
            <w:pPr>
              <w:adjustRightInd w:val="0"/>
              <w:snapToGrid w:val="0"/>
              <w:jc w:val="center"/>
              <w:rPr>
                <w:b/>
                <w:bCs/>
                <w:color w:val="000000"/>
                <w:sz w:val="21"/>
                <w:szCs w:val="21"/>
              </w:rPr>
            </w:pPr>
            <w:r w:rsidRPr="00B4515A">
              <w:rPr>
                <w:rFonts w:hint="eastAsia"/>
                <w:b/>
                <w:bCs/>
                <w:color w:val="000000"/>
                <w:sz w:val="21"/>
                <w:szCs w:val="21"/>
              </w:rPr>
              <w:t>交易前</w:t>
            </w:r>
          </w:p>
        </w:tc>
        <w:tc>
          <w:tcPr>
            <w:tcW w:w="1206" w:type="pct"/>
            <w:shd w:val="clear" w:color="auto" w:fill="auto"/>
            <w:tcMar>
              <w:top w:w="0" w:type="dxa"/>
              <w:left w:w="108" w:type="dxa"/>
              <w:bottom w:w="0" w:type="dxa"/>
              <w:right w:w="108" w:type="dxa"/>
            </w:tcMar>
            <w:vAlign w:val="center"/>
          </w:tcPr>
          <w:p w14:paraId="6FA1F9FF" w14:textId="77777777" w:rsidR="005A4F56" w:rsidRPr="00B4515A" w:rsidRDefault="005A4F56" w:rsidP="00EE238F">
            <w:pPr>
              <w:adjustRightInd w:val="0"/>
              <w:snapToGrid w:val="0"/>
              <w:jc w:val="center"/>
              <w:rPr>
                <w:b/>
                <w:bCs/>
                <w:color w:val="000000"/>
                <w:sz w:val="21"/>
                <w:szCs w:val="21"/>
              </w:rPr>
            </w:pPr>
            <w:r w:rsidRPr="00B4515A">
              <w:rPr>
                <w:rFonts w:hint="eastAsia"/>
                <w:b/>
                <w:bCs/>
                <w:color w:val="000000"/>
                <w:sz w:val="21"/>
                <w:szCs w:val="21"/>
              </w:rPr>
              <w:t>交易后</w:t>
            </w:r>
          </w:p>
        </w:tc>
      </w:tr>
      <w:tr w:rsidR="005A4F56" w:rsidRPr="00B4515A" w14:paraId="087A8C4A" w14:textId="77777777" w:rsidTr="00031627">
        <w:trPr>
          <w:trHeight w:val="340"/>
          <w:jc w:val="center"/>
        </w:trPr>
        <w:tc>
          <w:tcPr>
            <w:tcW w:w="2131" w:type="pct"/>
            <w:shd w:val="clear" w:color="auto" w:fill="auto"/>
            <w:tcMar>
              <w:top w:w="0" w:type="dxa"/>
              <w:left w:w="108" w:type="dxa"/>
              <w:bottom w:w="0" w:type="dxa"/>
              <w:right w:w="108" w:type="dxa"/>
            </w:tcMar>
            <w:vAlign w:val="center"/>
          </w:tcPr>
          <w:p w14:paraId="1412FF60" w14:textId="77777777" w:rsidR="005A4F56" w:rsidRPr="00B4515A" w:rsidRDefault="005A4F56" w:rsidP="005860B4">
            <w:pPr>
              <w:adjustRightInd w:val="0"/>
              <w:snapToGrid w:val="0"/>
              <w:jc w:val="center"/>
              <w:rPr>
                <w:color w:val="000000"/>
                <w:sz w:val="21"/>
                <w:szCs w:val="21"/>
              </w:rPr>
            </w:pPr>
            <w:r w:rsidRPr="00B4515A">
              <w:rPr>
                <w:rFonts w:hint="eastAsia"/>
                <w:color w:val="000000"/>
                <w:sz w:val="21"/>
                <w:szCs w:val="21"/>
              </w:rPr>
              <w:t>销售商品、提供劳务</w:t>
            </w:r>
          </w:p>
        </w:tc>
        <w:tc>
          <w:tcPr>
            <w:tcW w:w="1663" w:type="pct"/>
            <w:shd w:val="clear" w:color="auto" w:fill="auto"/>
            <w:tcMar>
              <w:top w:w="0" w:type="dxa"/>
              <w:left w:w="108" w:type="dxa"/>
              <w:bottom w:w="0" w:type="dxa"/>
              <w:right w:w="108" w:type="dxa"/>
            </w:tcMar>
            <w:vAlign w:val="center"/>
          </w:tcPr>
          <w:p w14:paraId="37DBCF75" w14:textId="37B197A4" w:rsidR="005A4F56" w:rsidRPr="00B4515A" w:rsidRDefault="005A4F56"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22,310.33</w:t>
            </w:r>
          </w:p>
        </w:tc>
        <w:tc>
          <w:tcPr>
            <w:tcW w:w="1206" w:type="pct"/>
            <w:shd w:val="clear" w:color="auto" w:fill="auto"/>
            <w:tcMar>
              <w:top w:w="0" w:type="dxa"/>
              <w:left w:w="108" w:type="dxa"/>
              <w:bottom w:w="0" w:type="dxa"/>
              <w:right w:w="108" w:type="dxa"/>
            </w:tcMar>
            <w:vAlign w:val="center"/>
          </w:tcPr>
          <w:p w14:paraId="06B27D38" w14:textId="0504CB9A" w:rsidR="005A4F56" w:rsidRPr="00B4515A" w:rsidRDefault="005A4F56"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14,472.72</w:t>
            </w:r>
          </w:p>
        </w:tc>
      </w:tr>
      <w:tr w:rsidR="005A4F56" w:rsidRPr="00B4515A" w14:paraId="7F8CAF99" w14:textId="77777777" w:rsidTr="00031627">
        <w:trPr>
          <w:trHeight w:val="340"/>
          <w:jc w:val="center"/>
        </w:trPr>
        <w:tc>
          <w:tcPr>
            <w:tcW w:w="2131" w:type="pct"/>
            <w:shd w:val="clear" w:color="auto" w:fill="auto"/>
            <w:tcMar>
              <w:top w:w="0" w:type="dxa"/>
              <w:left w:w="108" w:type="dxa"/>
              <w:bottom w:w="0" w:type="dxa"/>
              <w:right w:w="108" w:type="dxa"/>
            </w:tcMar>
            <w:vAlign w:val="center"/>
          </w:tcPr>
          <w:p w14:paraId="6064962C" w14:textId="77777777" w:rsidR="005A4F56" w:rsidRPr="00B4515A" w:rsidRDefault="005A4F56" w:rsidP="005860B4">
            <w:pPr>
              <w:adjustRightInd w:val="0"/>
              <w:snapToGrid w:val="0"/>
              <w:jc w:val="center"/>
              <w:rPr>
                <w:color w:val="000000"/>
                <w:sz w:val="21"/>
                <w:szCs w:val="21"/>
              </w:rPr>
            </w:pPr>
            <w:r w:rsidRPr="00B4515A">
              <w:rPr>
                <w:rFonts w:hint="eastAsia"/>
                <w:color w:val="000000"/>
                <w:sz w:val="21"/>
                <w:szCs w:val="21"/>
              </w:rPr>
              <w:t>占营业收入比例</w:t>
            </w:r>
          </w:p>
        </w:tc>
        <w:tc>
          <w:tcPr>
            <w:tcW w:w="1663" w:type="pct"/>
            <w:shd w:val="clear" w:color="auto" w:fill="auto"/>
            <w:tcMar>
              <w:top w:w="0" w:type="dxa"/>
              <w:left w:w="108" w:type="dxa"/>
              <w:bottom w:w="0" w:type="dxa"/>
              <w:right w:w="108" w:type="dxa"/>
            </w:tcMar>
            <w:vAlign w:val="center"/>
          </w:tcPr>
          <w:p w14:paraId="0DE20508" w14:textId="77777777" w:rsidR="005A4F56" w:rsidRPr="00B4515A" w:rsidRDefault="005A4F56"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18.48%</w:t>
            </w:r>
          </w:p>
        </w:tc>
        <w:tc>
          <w:tcPr>
            <w:tcW w:w="1206" w:type="pct"/>
            <w:shd w:val="clear" w:color="auto" w:fill="auto"/>
            <w:tcMar>
              <w:top w:w="0" w:type="dxa"/>
              <w:left w:w="108" w:type="dxa"/>
              <w:bottom w:w="0" w:type="dxa"/>
              <w:right w:w="108" w:type="dxa"/>
            </w:tcMar>
            <w:vAlign w:val="center"/>
          </w:tcPr>
          <w:p w14:paraId="32E7BEBA" w14:textId="77777777" w:rsidR="005A4F56" w:rsidRPr="00B4515A" w:rsidRDefault="005A4F56"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8.90%</w:t>
            </w:r>
          </w:p>
        </w:tc>
      </w:tr>
      <w:tr w:rsidR="00DF6C53" w:rsidRPr="00B4515A" w14:paraId="5494B974" w14:textId="77777777" w:rsidTr="00031627">
        <w:trPr>
          <w:trHeight w:val="340"/>
          <w:jc w:val="center"/>
        </w:trPr>
        <w:tc>
          <w:tcPr>
            <w:tcW w:w="2131" w:type="pct"/>
            <w:shd w:val="clear" w:color="auto" w:fill="auto"/>
            <w:tcMar>
              <w:top w:w="0" w:type="dxa"/>
              <w:left w:w="108" w:type="dxa"/>
              <w:bottom w:w="0" w:type="dxa"/>
              <w:right w:w="108" w:type="dxa"/>
            </w:tcMar>
            <w:vAlign w:val="center"/>
          </w:tcPr>
          <w:p w14:paraId="53396C1A" w14:textId="77777777" w:rsidR="00DF6C53" w:rsidRPr="00B4515A" w:rsidRDefault="00DF6C53" w:rsidP="00DF6C53">
            <w:pPr>
              <w:adjustRightInd w:val="0"/>
              <w:snapToGrid w:val="0"/>
              <w:jc w:val="center"/>
              <w:rPr>
                <w:color w:val="000000"/>
                <w:sz w:val="21"/>
                <w:szCs w:val="21"/>
              </w:rPr>
            </w:pPr>
            <w:r w:rsidRPr="00B4515A">
              <w:rPr>
                <w:rFonts w:hint="eastAsia"/>
                <w:color w:val="000000"/>
                <w:sz w:val="21"/>
                <w:szCs w:val="21"/>
              </w:rPr>
              <w:t>购买商品、接受劳务</w:t>
            </w:r>
          </w:p>
        </w:tc>
        <w:tc>
          <w:tcPr>
            <w:tcW w:w="1663" w:type="pct"/>
            <w:shd w:val="clear" w:color="auto" w:fill="auto"/>
            <w:tcMar>
              <w:top w:w="0" w:type="dxa"/>
              <w:left w:w="108" w:type="dxa"/>
              <w:bottom w:w="0" w:type="dxa"/>
              <w:right w:w="108" w:type="dxa"/>
            </w:tcMar>
            <w:vAlign w:val="center"/>
          </w:tcPr>
          <w:p w14:paraId="5CF51475" w14:textId="33744F7F" w:rsidR="00DF6C53" w:rsidRPr="00B4515A" w:rsidRDefault="00DF6C53" w:rsidP="00DF6C53">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10,054.55</w:t>
            </w:r>
          </w:p>
        </w:tc>
        <w:tc>
          <w:tcPr>
            <w:tcW w:w="1206" w:type="pct"/>
            <w:shd w:val="clear" w:color="auto" w:fill="auto"/>
            <w:tcMar>
              <w:top w:w="0" w:type="dxa"/>
              <w:left w:w="108" w:type="dxa"/>
              <w:bottom w:w="0" w:type="dxa"/>
              <w:right w:w="108" w:type="dxa"/>
            </w:tcMar>
            <w:vAlign w:val="center"/>
          </w:tcPr>
          <w:p w14:paraId="411EC5BD" w14:textId="009DDBDA" w:rsidR="00DF6C53" w:rsidRPr="00B4515A" w:rsidRDefault="00DF6C53" w:rsidP="00DF6C53">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8,967.53</w:t>
            </w:r>
          </w:p>
        </w:tc>
      </w:tr>
      <w:tr w:rsidR="00DF6C53" w:rsidRPr="00B4515A" w14:paraId="10141646" w14:textId="77777777" w:rsidTr="00031627">
        <w:trPr>
          <w:trHeight w:val="340"/>
          <w:jc w:val="center"/>
        </w:trPr>
        <w:tc>
          <w:tcPr>
            <w:tcW w:w="2131" w:type="pct"/>
            <w:shd w:val="clear" w:color="auto" w:fill="auto"/>
            <w:tcMar>
              <w:top w:w="0" w:type="dxa"/>
              <w:left w:w="108" w:type="dxa"/>
              <w:bottom w:w="0" w:type="dxa"/>
              <w:right w:w="108" w:type="dxa"/>
            </w:tcMar>
            <w:vAlign w:val="center"/>
          </w:tcPr>
          <w:p w14:paraId="689B7027" w14:textId="77777777" w:rsidR="00DF6C53" w:rsidRPr="00B4515A" w:rsidRDefault="00DF6C53" w:rsidP="00DF6C53">
            <w:pPr>
              <w:adjustRightInd w:val="0"/>
              <w:snapToGrid w:val="0"/>
              <w:jc w:val="center"/>
              <w:rPr>
                <w:color w:val="000000"/>
                <w:sz w:val="21"/>
                <w:szCs w:val="21"/>
              </w:rPr>
            </w:pPr>
            <w:r w:rsidRPr="00B4515A">
              <w:rPr>
                <w:rFonts w:hint="eastAsia"/>
                <w:color w:val="000000"/>
                <w:sz w:val="21"/>
                <w:szCs w:val="21"/>
              </w:rPr>
              <w:t>占营业成本比例</w:t>
            </w:r>
          </w:p>
        </w:tc>
        <w:tc>
          <w:tcPr>
            <w:tcW w:w="1663" w:type="pct"/>
            <w:shd w:val="clear" w:color="auto" w:fill="auto"/>
            <w:tcMar>
              <w:top w:w="0" w:type="dxa"/>
              <w:left w:w="108" w:type="dxa"/>
              <w:bottom w:w="0" w:type="dxa"/>
              <w:right w:w="108" w:type="dxa"/>
            </w:tcMar>
            <w:vAlign w:val="center"/>
          </w:tcPr>
          <w:p w14:paraId="2E2A8048" w14:textId="77777777" w:rsidR="00DF6C53" w:rsidRPr="00B4515A" w:rsidRDefault="00DF6C53" w:rsidP="00DF6C53">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12.26%</w:t>
            </w:r>
          </w:p>
        </w:tc>
        <w:tc>
          <w:tcPr>
            <w:tcW w:w="1206" w:type="pct"/>
            <w:shd w:val="clear" w:color="auto" w:fill="auto"/>
            <w:tcMar>
              <w:top w:w="0" w:type="dxa"/>
              <w:left w:w="108" w:type="dxa"/>
              <w:bottom w:w="0" w:type="dxa"/>
              <w:right w:w="108" w:type="dxa"/>
            </w:tcMar>
            <w:vAlign w:val="center"/>
          </w:tcPr>
          <w:p w14:paraId="2F880427" w14:textId="4307F2EB" w:rsidR="00DF6C53" w:rsidRPr="00B4515A" w:rsidRDefault="00DF6C53" w:rsidP="00DF6C53">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9.26%</w:t>
            </w:r>
          </w:p>
        </w:tc>
      </w:tr>
    </w:tbl>
    <w:p w14:paraId="6DA7478E" w14:textId="77777777" w:rsidR="005A4F56" w:rsidRPr="00B4515A" w:rsidRDefault="005A4F56" w:rsidP="005860B4">
      <w:pPr>
        <w:pStyle w:val="005"/>
        <w:spacing w:before="120" w:after="120"/>
        <w:ind w:firstLine="480"/>
      </w:pPr>
      <w:r w:rsidRPr="00B4515A">
        <w:rPr>
          <w:rFonts w:hint="eastAsia"/>
        </w:rPr>
        <w:lastRenderedPageBreak/>
        <w:t>根据上表，本次交易完成后，上市公司关联交易规模及占比均有所下降，本次交易有利于上市公司减少关联交易。</w:t>
      </w:r>
    </w:p>
    <w:p w14:paraId="1EAEB000" w14:textId="77777777" w:rsidR="006416B0" w:rsidRPr="00B4515A" w:rsidRDefault="005E58C1" w:rsidP="005860B4">
      <w:pPr>
        <w:pStyle w:val="002"/>
        <w:spacing w:before="120" w:after="120"/>
        <w:ind w:firstLine="562"/>
      </w:pPr>
      <w:bookmarkStart w:id="41" w:name="_Toc80960491"/>
      <w:r w:rsidRPr="00B4515A">
        <w:rPr>
          <w:rFonts w:hint="eastAsia"/>
        </w:rPr>
        <w:t>九、本次交易方案实施需履行的批准程序</w:t>
      </w:r>
      <w:bookmarkEnd w:id="41"/>
    </w:p>
    <w:p w14:paraId="2EA2AF17" w14:textId="77777777" w:rsidR="006416B0" w:rsidRPr="00B4515A" w:rsidRDefault="005E58C1" w:rsidP="005860B4">
      <w:pPr>
        <w:pStyle w:val="003"/>
        <w:spacing w:before="120"/>
        <w:ind w:firstLine="482"/>
      </w:pPr>
      <w:bookmarkStart w:id="42" w:name="_Hlk76921930"/>
      <w:r w:rsidRPr="00B4515A">
        <w:rPr>
          <w:rFonts w:hint="eastAsia"/>
        </w:rPr>
        <w:t>（一）本次交易方案已获得的授权和批准</w:t>
      </w:r>
    </w:p>
    <w:p w14:paraId="3223DCF3" w14:textId="77777777" w:rsidR="006416B0" w:rsidRPr="00B4515A" w:rsidRDefault="005E58C1" w:rsidP="005860B4">
      <w:pPr>
        <w:pStyle w:val="005"/>
        <w:spacing w:before="120" w:after="120"/>
        <w:ind w:firstLine="480"/>
      </w:pPr>
      <w:r w:rsidRPr="00B4515A">
        <w:rPr>
          <w:rFonts w:hint="eastAsia"/>
        </w:rPr>
        <w:t>截至本报告书签署之日，本次交易已经履行的决策过程及审批程序包括：</w:t>
      </w:r>
    </w:p>
    <w:p w14:paraId="24E016B8" w14:textId="77777777" w:rsidR="006416B0" w:rsidRPr="00B4515A" w:rsidRDefault="005E58C1" w:rsidP="005860B4">
      <w:pPr>
        <w:pStyle w:val="004"/>
        <w:spacing w:before="120" w:after="120"/>
        <w:ind w:firstLine="482"/>
      </w:pPr>
      <w:r w:rsidRPr="00B4515A">
        <w:t>1</w:t>
      </w:r>
      <w:r w:rsidRPr="00B4515A">
        <w:rPr>
          <w:rFonts w:hint="eastAsia"/>
        </w:rPr>
        <w:t>、上市公司已经履行的决策程序和获得的批准</w:t>
      </w:r>
    </w:p>
    <w:p w14:paraId="43D44C69" w14:textId="77777777" w:rsidR="006416B0" w:rsidRPr="00B4515A" w:rsidRDefault="005E58C1" w:rsidP="005860B4">
      <w:pPr>
        <w:pStyle w:val="005"/>
        <w:spacing w:before="120" w:after="120"/>
        <w:ind w:firstLine="480"/>
      </w:pPr>
      <w:r w:rsidRPr="00B4515A">
        <w:t>2021</w:t>
      </w:r>
      <w:r w:rsidRPr="00B4515A">
        <w:rPr>
          <w:rFonts w:hint="eastAsia"/>
        </w:rPr>
        <w:t>年</w:t>
      </w:r>
      <w:r w:rsidRPr="00B4515A">
        <w:t>5</w:t>
      </w:r>
      <w:r w:rsidRPr="00B4515A">
        <w:rPr>
          <w:rFonts w:hint="eastAsia"/>
        </w:rPr>
        <w:t>月</w:t>
      </w:r>
      <w:r w:rsidRPr="00B4515A">
        <w:t>10</w:t>
      </w:r>
      <w:r w:rsidRPr="00B4515A">
        <w:rPr>
          <w:rFonts w:hint="eastAsia"/>
        </w:rPr>
        <w:t>日，大唐电信召开第七届董事会第五十八次会议，审议通过了《关于本次发行股份购买资产并募集配套资金暨关联交易的方案的议案》等与本次交易相关的议案。</w:t>
      </w:r>
    </w:p>
    <w:p w14:paraId="4284417E" w14:textId="6DFDB938" w:rsidR="006416B0" w:rsidRPr="00B4515A" w:rsidRDefault="005E58C1" w:rsidP="005860B4">
      <w:pPr>
        <w:pStyle w:val="005"/>
        <w:spacing w:before="120" w:after="120"/>
        <w:ind w:firstLine="480"/>
      </w:pPr>
      <w:r w:rsidRPr="00B4515A">
        <w:rPr>
          <w:rFonts w:hint="eastAsia"/>
        </w:rPr>
        <w:t>2</w:t>
      </w:r>
      <w:r w:rsidRPr="00B4515A">
        <w:t>021</w:t>
      </w:r>
      <w:r w:rsidRPr="00B4515A">
        <w:rPr>
          <w:rFonts w:hint="eastAsia"/>
        </w:rPr>
        <w:t>年</w:t>
      </w:r>
      <w:r w:rsidRPr="00B4515A">
        <w:t>8</w:t>
      </w:r>
      <w:r w:rsidRPr="00B4515A">
        <w:rPr>
          <w:rFonts w:hint="eastAsia"/>
        </w:rPr>
        <w:t>月</w:t>
      </w:r>
      <w:r w:rsidR="00846F05" w:rsidRPr="00B4515A">
        <w:t>2</w:t>
      </w:r>
      <w:r w:rsidR="00C677F3" w:rsidRPr="00B4515A">
        <w:t>6</w:t>
      </w:r>
      <w:r w:rsidRPr="00B4515A">
        <w:rPr>
          <w:rFonts w:hint="eastAsia"/>
        </w:rPr>
        <w:t>日，大唐电信召开第八届董事会第</w:t>
      </w:r>
      <w:r w:rsidR="00DF26D5" w:rsidRPr="00B4515A">
        <w:rPr>
          <w:rFonts w:hint="eastAsia"/>
        </w:rPr>
        <w:t>五</w:t>
      </w:r>
      <w:r w:rsidRPr="00B4515A">
        <w:rPr>
          <w:rFonts w:hint="eastAsia"/>
        </w:rPr>
        <w:t>次会议，审议通过了《</w:t>
      </w:r>
      <w:bookmarkStart w:id="43" w:name="_Hlk70328081"/>
      <w:r w:rsidRPr="00B4515A">
        <w:rPr>
          <w:rFonts w:hint="eastAsia"/>
        </w:rPr>
        <w:t>关于本次发行股份购买资产并募集配套资金暨关联交易的方案的议案</w:t>
      </w:r>
      <w:bookmarkEnd w:id="43"/>
      <w:r w:rsidRPr="00B4515A">
        <w:rPr>
          <w:rFonts w:hint="eastAsia"/>
        </w:rPr>
        <w:t>》等与本次交易相关的议案。</w:t>
      </w:r>
    </w:p>
    <w:p w14:paraId="66D16772" w14:textId="77777777" w:rsidR="006416B0" w:rsidRPr="00B4515A" w:rsidRDefault="005E58C1" w:rsidP="005860B4">
      <w:pPr>
        <w:pStyle w:val="004"/>
        <w:spacing w:before="120" w:after="120"/>
        <w:ind w:firstLine="482"/>
      </w:pPr>
      <w:r w:rsidRPr="00B4515A">
        <w:t>2</w:t>
      </w:r>
      <w:r w:rsidRPr="00B4515A">
        <w:rPr>
          <w:rFonts w:hint="eastAsia"/>
        </w:rPr>
        <w:t>、交易对方已经履行的决策程序和获得的批准</w:t>
      </w:r>
    </w:p>
    <w:p w14:paraId="0A7A771B" w14:textId="39B787B7" w:rsidR="006416B0" w:rsidRPr="00B4515A" w:rsidRDefault="005E58C1" w:rsidP="005860B4">
      <w:pPr>
        <w:pStyle w:val="005"/>
        <w:spacing w:before="120" w:after="120"/>
        <w:ind w:firstLine="480"/>
      </w:pPr>
      <w:r w:rsidRPr="00B4515A">
        <w:t>2021</w:t>
      </w:r>
      <w:r w:rsidRPr="00B4515A">
        <w:rPr>
          <w:rFonts w:hint="eastAsia"/>
        </w:rPr>
        <w:t>年</w:t>
      </w:r>
      <w:r w:rsidRPr="00B4515A">
        <w:t>5</w:t>
      </w:r>
      <w:r w:rsidRPr="00B4515A">
        <w:rPr>
          <w:rFonts w:hint="eastAsia"/>
        </w:rPr>
        <w:t>月至</w:t>
      </w:r>
      <w:r w:rsidRPr="00B4515A">
        <w:t>2021</w:t>
      </w:r>
      <w:r w:rsidRPr="00B4515A">
        <w:rPr>
          <w:rFonts w:hint="eastAsia"/>
        </w:rPr>
        <w:t>年</w:t>
      </w:r>
      <w:r w:rsidR="00DF26D5" w:rsidRPr="00B4515A">
        <w:rPr>
          <w:rFonts w:hint="eastAsia"/>
        </w:rPr>
        <w:t>8</w:t>
      </w:r>
      <w:r w:rsidRPr="00B4515A">
        <w:rPr>
          <w:rFonts w:hint="eastAsia"/>
        </w:rPr>
        <w:t>月</w:t>
      </w:r>
      <w:r w:rsidRPr="00B4515A">
        <w:t>，本次</w:t>
      </w:r>
      <w:r w:rsidRPr="00B4515A">
        <w:rPr>
          <w:rFonts w:hint="eastAsia"/>
        </w:rPr>
        <w:t>重组的交</w:t>
      </w:r>
      <w:r w:rsidRPr="00B4515A">
        <w:t>易对方均就参与本次交易相关事宜履行了相应的内部审议及批准程序。</w:t>
      </w:r>
    </w:p>
    <w:p w14:paraId="1737EF7F" w14:textId="77777777" w:rsidR="006416B0" w:rsidRPr="00B4515A" w:rsidRDefault="005E58C1" w:rsidP="005860B4">
      <w:pPr>
        <w:pStyle w:val="004"/>
        <w:spacing w:before="120" w:after="120"/>
        <w:ind w:firstLine="482"/>
      </w:pPr>
      <w:r w:rsidRPr="00B4515A">
        <w:t>3</w:t>
      </w:r>
      <w:r w:rsidRPr="00B4515A">
        <w:rPr>
          <w:rFonts w:hint="eastAsia"/>
        </w:rPr>
        <w:t>、标的公司已经履行的决策程序和获得的批准</w:t>
      </w:r>
    </w:p>
    <w:p w14:paraId="57EBA6D0" w14:textId="7958E5AF" w:rsidR="006416B0" w:rsidRPr="00B4515A" w:rsidRDefault="005E58C1" w:rsidP="005860B4">
      <w:pPr>
        <w:pStyle w:val="005"/>
        <w:spacing w:before="120" w:after="120"/>
        <w:ind w:firstLine="480"/>
      </w:pPr>
      <w:r w:rsidRPr="00B4515A">
        <w:rPr>
          <w:rFonts w:hint="eastAsia"/>
        </w:rPr>
        <w:t>2</w:t>
      </w:r>
      <w:r w:rsidRPr="00B4515A">
        <w:t>021</w:t>
      </w:r>
      <w:r w:rsidRPr="00B4515A">
        <w:rPr>
          <w:rFonts w:hint="eastAsia"/>
        </w:rPr>
        <w:t>年</w:t>
      </w:r>
      <w:r w:rsidRPr="00B4515A">
        <w:t>8</w:t>
      </w:r>
      <w:r w:rsidRPr="00B4515A">
        <w:rPr>
          <w:rFonts w:hint="eastAsia"/>
        </w:rPr>
        <w:t>月</w:t>
      </w:r>
      <w:r w:rsidR="00DF26D5" w:rsidRPr="00B4515A">
        <w:t>9</w:t>
      </w:r>
      <w:r w:rsidRPr="00B4515A">
        <w:rPr>
          <w:rFonts w:hint="eastAsia"/>
        </w:rPr>
        <w:t>日，大唐联诚召开</w:t>
      </w:r>
      <w:r w:rsidRPr="00B4515A">
        <w:rPr>
          <w:rFonts w:hint="eastAsia"/>
        </w:rPr>
        <w:t>2021</w:t>
      </w:r>
      <w:r w:rsidRPr="00B4515A">
        <w:rPr>
          <w:rFonts w:hint="eastAsia"/>
        </w:rPr>
        <w:t>年第</w:t>
      </w:r>
      <w:r w:rsidR="00DF26D5" w:rsidRPr="00B4515A">
        <w:rPr>
          <w:rFonts w:hint="eastAsia"/>
        </w:rPr>
        <w:t>五</w:t>
      </w:r>
      <w:r w:rsidRPr="00B4515A">
        <w:rPr>
          <w:rFonts w:hint="eastAsia"/>
        </w:rPr>
        <w:t>次股东会会议，审议通过了与本次交易相关的议案。</w:t>
      </w:r>
    </w:p>
    <w:p w14:paraId="066B64F0" w14:textId="77777777" w:rsidR="006416B0" w:rsidRPr="00B4515A" w:rsidRDefault="005E58C1" w:rsidP="005860B4">
      <w:pPr>
        <w:pStyle w:val="004"/>
        <w:spacing w:before="120" w:after="120"/>
        <w:ind w:firstLine="482"/>
      </w:pPr>
      <w:r w:rsidRPr="00B4515A">
        <w:t>4</w:t>
      </w:r>
      <w:r w:rsidRPr="00B4515A">
        <w:rPr>
          <w:rFonts w:hint="eastAsia"/>
        </w:rPr>
        <w:t>、评估备案</w:t>
      </w:r>
    </w:p>
    <w:p w14:paraId="610C09D3" w14:textId="627074F7" w:rsidR="006416B0" w:rsidRPr="00B4515A" w:rsidRDefault="005E58C1" w:rsidP="005860B4">
      <w:pPr>
        <w:pStyle w:val="005"/>
        <w:spacing w:before="120" w:after="120"/>
        <w:ind w:firstLine="480"/>
      </w:pPr>
      <w:r w:rsidRPr="00B4515A">
        <w:t>2021</w:t>
      </w:r>
      <w:r w:rsidRPr="00B4515A">
        <w:t>年</w:t>
      </w:r>
      <w:r w:rsidRPr="00B4515A">
        <w:t>8</w:t>
      </w:r>
      <w:r w:rsidRPr="00B4515A">
        <w:t>月</w:t>
      </w:r>
      <w:r w:rsidR="00F252BF" w:rsidRPr="00B4515A">
        <w:rPr>
          <w:rFonts w:hint="eastAsia"/>
        </w:rPr>
        <w:t>2</w:t>
      </w:r>
      <w:r w:rsidR="00F252BF" w:rsidRPr="00B4515A">
        <w:t>4</w:t>
      </w:r>
      <w:r w:rsidRPr="00B4515A">
        <w:t>日，</w:t>
      </w:r>
      <w:r w:rsidRPr="00B4515A">
        <w:rPr>
          <w:rFonts w:hint="eastAsia"/>
        </w:rPr>
        <w:t>大唐联诚</w:t>
      </w:r>
      <w:r w:rsidRPr="00B4515A">
        <w:t>《评估报告》取得国务院国资委备案。</w:t>
      </w:r>
    </w:p>
    <w:p w14:paraId="25E1DE29" w14:textId="77777777" w:rsidR="006416B0" w:rsidRPr="00B4515A" w:rsidRDefault="005E58C1" w:rsidP="005860B4">
      <w:pPr>
        <w:pStyle w:val="004"/>
        <w:spacing w:before="120" w:after="120"/>
        <w:ind w:firstLine="482"/>
      </w:pPr>
      <w:r w:rsidRPr="00B4515A">
        <w:rPr>
          <w:rFonts w:hint="eastAsia"/>
        </w:rPr>
        <w:t>5</w:t>
      </w:r>
      <w:r w:rsidRPr="00B4515A">
        <w:rPr>
          <w:rFonts w:hint="eastAsia"/>
        </w:rPr>
        <w:t>、</w:t>
      </w:r>
      <w:r w:rsidRPr="00B4515A">
        <w:t>国防科工局审查的批复</w:t>
      </w:r>
    </w:p>
    <w:p w14:paraId="6514A40F" w14:textId="0F441474" w:rsidR="006416B0" w:rsidRPr="00B4515A" w:rsidRDefault="005E58C1" w:rsidP="005860B4">
      <w:pPr>
        <w:pStyle w:val="005"/>
        <w:spacing w:before="120" w:after="120"/>
        <w:ind w:firstLine="480"/>
      </w:pPr>
      <w:r w:rsidRPr="00B4515A">
        <w:rPr>
          <w:rFonts w:hint="eastAsia"/>
        </w:rPr>
        <w:t>2</w:t>
      </w:r>
      <w:r w:rsidRPr="00B4515A">
        <w:t>021</w:t>
      </w:r>
      <w:r w:rsidRPr="00B4515A">
        <w:rPr>
          <w:rFonts w:hint="eastAsia"/>
        </w:rPr>
        <w:t>年</w:t>
      </w:r>
      <w:r w:rsidRPr="00B4515A">
        <w:rPr>
          <w:rFonts w:hint="eastAsia"/>
        </w:rPr>
        <w:t>7</w:t>
      </w:r>
      <w:r w:rsidRPr="00B4515A">
        <w:rPr>
          <w:rFonts w:hint="eastAsia"/>
        </w:rPr>
        <w:t>月，</w:t>
      </w:r>
      <w:r w:rsidR="008F3BBE" w:rsidRPr="00B4515A">
        <w:rPr>
          <w:rFonts w:hint="eastAsia"/>
        </w:rPr>
        <w:t>国防科工局出具了对本次重组原则同意的审查意见</w:t>
      </w:r>
      <w:r w:rsidRPr="00B4515A">
        <w:rPr>
          <w:rFonts w:hint="eastAsia"/>
        </w:rPr>
        <w:t>。</w:t>
      </w:r>
    </w:p>
    <w:p w14:paraId="63E6B321" w14:textId="77777777" w:rsidR="006416B0" w:rsidRPr="00B4515A" w:rsidRDefault="005E58C1" w:rsidP="005860B4">
      <w:pPr>
        <w:pStyle w:val="003"/>
        <w:spacing w:before="120"/>
        <w:ind w:firstLine="482"/>
      </w:pPr>
      <w:r w:rsidRPr="00B4515A">
        <w:rPr>
          <w:rFonts w:hint="eastAsia"/>
        </w:rPr>
        <w:t>（二）本次交易方案尚需获得的批准和核准</w:t>
      </w:r>
    </w:p>
    <w:p w14:paraId="2472F778" w14:textId="77777777" w:rsidR="006416B0" w:rsidRPr="00B4515A" w:rsidRDefault="005E58C1" w:rsidP="005860B4">
      <w:pPr>
        <w:pStyle w:val="005"/>
        <w:spacing w:before="120" w:after="120"/>
        <w:ind w:firstLine="480"/>
      </w:pPr>
      <w:r w:rsidRPr="00B4515A">
        <w:rPr>
          <w:rFonts w:hint="eastAsia"/>
        </w:rPr>
        <w:t>截至本报告书签署之日，本次重组尚未履行的决策程序，包括但不限于：</w:t>
      </w:r>
    </w:p>
    <w:p w14:paraId="698C8172" w14:textId="77777777" w:rsidR="006416B0" w:rsidRPr="00B4515A" w:rsidRDefault="005E58C1" w:rsidP="005860B4">
      <w:pPr>
        <w:pStyle w:val="005"/>
        <w:spacing w:before="120" w:after="120"/>
        <w:ind w:firstLine="480"/>
      </w:pPr>
      <w:r w:rsidRPr="00B4515A">
        <w:t>1</w:t>
      </w:r>
      <w:r w:rsidRPr="00B4515A">
        <w:rPr>
          <w:rFonts w:hint="eastAsia"/>
        </w:rPr>
        <w:t>、本次交易相关事项尚需取得金融街资本主管部门的批准</w:t>
      </w:r>
      <w:r w:rsidRPr="00B4515A">
        <w:rPr>
          <w:rFonts w:hint="eastAsia"/>
        </w:rPr>
        <w:t>/</w:t>
      </w:r>
      <w:r w:rsidRPr="00B4515A">
        <w:rPr>
          <w:rFonts w:hint="eastAsia"/>
        </w:rPr>
        <w:t>备案；</w:t>
      </w:r>
    </w:p>
    <w:p w14:paraId="4E4EDDDC" w14:textId="77777777" w:rsidR="006416B0" w:rsidRPr="00B4515A" w:rsidRDefault="005E58C1" w:rsidP="005860B4">
      <w:pPr>
        <w:pStyle w:val="005"/>
        <w:spacing w:before="120" w:after="120"/>
        <w:ind w:firstLine="480"/>
      </w:pPr>
      <w:r w:rsidRPr="00B4515A">
        <w:lastRenderedPageBreak/>
        <w:t>2</w:t>
      </w:r>
      <w:r w:rsidRPr="00B4515A">
        <w:rPr>
          <w:rFonts w:hint="eastAsia"/>
        </w:rPr>
        <w:t>、本次重组尚需经国务院国资委批复；</w:t>
      </w:r>
    </w:p>
    <w:p w14:paraId="42A22CE5" w14:textId="77777777" w:rsidR="006416B0" w:rsidRPr="00B4515A" w:rsidRDefault="005E58C1" w:rsidP="005860B4">
      <w:pPr>
        <w:pStyle w:val="005"/>
        <w:spacing w:before="120" w:after="120"/>
        <w:ind w:firstLine="480"/>
      </w:pPr>
      <w:r w:rsidRPr="00B4515A">
        <w:t>3</w:t>
      </w:r>
      <w:r w:rsidRPr="00B4515A">
        <w:rPr>
          <w:rFonts w:hint="eastAsia"/>
        </w:rPr>
        <w:t>、本次重组尚需经上市公司股东大会审议通过；</w:t>
      </w:r>
    </w:p>
    <w:p w14:paraId="62A11D37" w14:textId="77777777" w:rsidR="006416B0" w:rsidRPr="00B4515A" w:rsidRDefault="005E58C1" w:rsidP="005860B4">
      <w:pPr>
        <w:pStyle w:val="005"/>
        <w:spacing w:before="120" w:after="120"/>
        <w:ind w:firstLine="480"/>
      </w:pPr>
      <w:r w:rsidRPr="00B4515A">
        <w:t>4</w:t>
      </w:r>
      <w:r w:rsidRPr="00B4515A">
        <w:rPr>
          <w:rFonts w:hint="eastAsia"/>
        </w:rPr>
        <w:t>、本次重组尚需经中国证监会核准；</w:t>
      </w:r>
    </w:p>
    <w:p w14:paraId="59EAA085" w14:textId="77777777" w:rsidR="006416B0" w:rsidRPr="00B4515A" w:rsidRDefault="005E58C1" w:rsidP="005860B4">
      <w:pPr>
        <w:pStyle w:val="005"/>
        <w:spacing w:before="120" w:after="120"/>
        <w:ind w:firstLine="480"/>
      </w:pPr>
      <w:r w:rsidRPr="00B4515A">
        <w:t>5</w:t>
      </w:r>
      <w:r w:rsidRPr="00B4515A">
        <w:rPr>
          <w:rFonts w:hint="eastAsia"/>
        </w:rPr>
        <w:t>、相关法律法规所要求的其他可能涉及的批准或核准。</w:t>
      </w:r>
      <w:bookmarkEnd w:id="42"/>
    </w:p>
    <w:p w14:paraId="191CEA7B" w14:textId="77777777" w:rsidR="006416B0" w:rsidRPr="00B4515A" w:rsidRDefault="005E58C1" w:rsidP="005860B4">
      <w:pPr>
        <w:pStyle w:val="002"/>
        <w:spacing w:before="120" w:after="120"/>
        <w:ind w:firstLine="562"/>
      </w:pPr>
      <w:bookmarkStart w:id="44" w:name="_Toc80960492"/>
      <w:r w:rsidRPr="00B4515A">
        <w:rPr>
          <w:rFonts w:hint="eastAsia"/>
        </w:rPr>
        <w:t>十、本次交易相关方所作出的重要承诺</w:t>
      </w:r>
      <w:bookmarkEnd w:id="44"/>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07"/>
        <w:gridCol w:w="1361"/>
        <w:gridCol w:w="6060"/>
      </w:tblGrid>
      <w:tr w:rsidR="006416B0" w:rsidRPr="00B4515A" w14:paraId="68D003CA" w14:textId="77777777" w:rsidTr="005860B4">
        <w:trPr>
          <w:trHeight w:val="340"/>
          <w:tblHeader/>
          <w:jc w:val="center"/>
        </w:trPr>
        <w:tc>
          <w:tcPr>
            <w:tcW w:w="649" w:type="pct"/>
            <w:tcMar>
              <w:top w:w="0" w:type="dxa"/>
              <w:left w:w="108" w:type="dxa"/>
              <w:bottom w:w="0" w:type="dxa"/>
              <w:right w:w="108" w:type="dxa"/>
            </w:tcMar>
            <w:vAlign w:val="center"/>
          </w:tcPr>
          <w:p w14:paraId="055C3433"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承诺人</w:t>
            </w:r>
          </w:p>
        </w:tc>
        <w:tc>
          <w:tcPr>
            <w:tcW w:w="798" w:type="pct"/>
            <w:tcMar>
              <w:top w:w="0" w:type="dxa"/>
              <w:left w:w="108" w:type="dxa"/>
              <w:bottom w:w="0" w:type="dxa"/>
              <w:right w:w="108" w:type="dxa"/>
            </w:tcMar>
            <w:vAlign w:val="center"/>
          </w:tcPr>
          <w:p w14:paraId="3D4B2EE4"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承诺事项</w:t>
            </w:r>
          </w:p>
        </w:tc>
        <w:tc>
          <w:tcPr>
            <w:tcW w:w="3553" w:type="pct"/>
            <w:tcMar>
              <w:top w:w="0" w:type="dxa"/>
              <w:left w:w="108" w:type="dxa"/>
              <w:bottom w:w="0" w:type="dxa"/>
              <w:right w:w="108" w:type="dxa"/>
            </w:tcMar>
            <w:vAlign w:val="center"/>
          </w:tcPr>
          <w:p w14:paraId="0852BAAC"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承诺内容</w:t>
            </w:r>
          </w:p>
        </w:tc>
      </w:tr>
      <w:tr w:rsidR="006416B0" w:rsidRPr="00B4515A" w14:paraId="4A8C0EA5" w14:textId="77777777" w:rsidTr="00031627">
        <w:trPr>
          <w:trHeight w:val="340"/>
          <w:jc w:val="center"/>
        </w:trPr>
        <w:tc>
          <w:tcPr>
            <w:tcW w:w="649" w:type="pct"/>
            <w:tcMar>
              <w:top w:w="0" w:type="dxa"/>
              <w:left w:w="108" w:type="dxa"/>
              <w:bottom w:w="0" w:type="dxa"/>
              <w:right w:w="108" w:type="dxa"/>
            </w:tcMar>
            <w:vAlign w:val="center"/>
          </w:tcPr>
          <w:p w14:paraId="0F2E5C2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大唐电信</w:t>
            </w:r>
          </w:p>
        </w:tc>
        <w:tc>
          <w:tcPr>
            <w:tcW w:w="798" w:type="pct"/>
            <w:tcMar>
              <w:top w:w="0" w:type="dxa"/>
              <w:left w:w="108" w:type="dxa"/>
              <w:bottom w:w="0" w:type="dxa"/>
              <w:right w:w="108" w:type="dxa"/>
            </w:tcMar>
            <w:vAlign w:val="center"/>
          </w:tcPr>
          <w:p w14:paraId="009178F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关于提供材料真实、准确和完整的承诺函</w:t>
            </w:r>
          </w:p>
        </w:tc>
        <w:tc>
          <w:tcPr>
            <w:tcW w:w="3553" w:type="pct"/>
            <w:tcMar>
              <w:top w:w="0" w:type="dxa"/>
              <w:left w:w="108" w:type="dxa"/>
              <w:bottom w:w="0" w:type="dxa"/>
              <w:right w:w="108" w:type="dxa"/>
            </w:tcMar>
            <w:vAlign w:val="center"/>
          </w:tcPr>
          <w:p w14:paraId="67D9814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承诺及时向为本次交易提供财务顾问、审计、评估、法律等专业服务的中介机构提供完成本次交易所必需的相关文件、信息，并保证所提供的所有文件、信息均真实、准确、完整，不存在虚假记载、误导性陈述或者重大遗漏，文件上所有签字与印章均真实有效，复印件均与原件一致，本公司对所有文件、信息之真实性、准确性、完整性承担法律责任。</w:t>
            </w:r>
          </w:p>
          <w:p w14:paraId="1E42595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、根据本次交易安排，如需要本公司补充提供相关文件、信息时，本公司保证继续提供的相关文件、信息仍然符合真实、准确、完整、有效的要求。</w:t>
            </w:r>
          </w:p>
          <w:p w14:paraId="72693E6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、如本次交易因本公司所提供或者披露的文件、信息存在虚假记载、误导性陈述或者重大遗漏，给本公司投资者造成损失的，本公司将依法承担个别和连带的法律责任。</w:t>
            </w:r>
            <w:r w:rsidRPr="00B4515A">
              <w:rPr>
                <w:rFonts w:cs="Times New Roman"/>
                <w:sz w:val="21"/>
                <w:szCs w:val="21"/>
              </w:rPr>
              <w:t>”</w:t>
            </w:r>
          </w:p>
        </w:tc>
      </w:tr>
      <w:tr w:rsidR="006416B0" w:rsidRPr="00B4515A" w14:paraId="277C9A0F" w14:textId="77777777" w:rsidTr="00031627">
        <w:trPr>
          <w:trHeight w:val="340"/>
          <w:jc w:val="center"/>
        </w:trPr>
        <w:tc>
          <w:tcPr>
            <w:tcW w:w="649" w:type="pct"/>
            <w:tcMar>
              <w:top w:w="0" w:type="dxa"/>
              <w:left w:w="108" w:type="dxa"/>
              <w:bottom w:w="0" w:type="dxa"/>
              <w:right w:w="108" w:type="dxa"/>
            </w:tcMar>
            <w:vAlign w:val="center"/>
          </w:tcPr>
          <w:p w14:paraId="7A1ABB4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大唐电信董事、监事、高级管理人员</w:t>
            </w:r>
          </w:p>
        </w:tc>
        <w:tc>
          <w:tcPr>
            <w:tcW w:w="798" w:type="pct"/>
            <w:tcMar>
              <w:top w:w="0" w:type="dxa"/>
              <w:left w:w="108" w:type="dxa"/>
              <w:bottom w:w="0" w:type="dxa"/>
              <w:right w:w="108" w:type="dxa"/>
            </w:tcMar>
            <w:vAlign w:val="center"/>
          </w:tcPr>
          <w:p w14:paraId="6E90D11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关于提供材料真实、准确和完整的承诺函</w:t>
            </w:r>
          </w:p>
        </w:tc>
        <w:tc>
          <w:tcPr>
            <w:tcW w:w="3553" w:type="pct"/>
            <w:tcMar>
              <w:top w:w="0" w:type="dxa"/>
              <w:left w:w="108" w:type="dxa"/>
              <w:bottom w:w="0" w:type="dxa"/>
              <w:right w:w="108" w:type="dxa"/>
            </w:tcMar>
            <w:vAlign w:val="center"/>
          </w:tcPr>
          <w:p w14:paraId="44B14D5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人承诺及时向大唐电信及为本次交易提供财务顾问、审计、评估、法律等专业服务的中介机构提供完成本次交易所必需的相关文件、信息，并保证所提供的所有文件、信息均真实、准确、完整，不存在虚假记载、误导性陈述或者重大遗漏，文件上所有签章均真实有效，复印件均与原件一致，本人对所有文件、信息之真实性、准确性、完整性承担法律责任。</w:t>
            </w:r>
          </w:p>
          <w:p w14:paraId="60F01C0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根据本次交易安排，如需要本人补充提供相关文件、信息时，本人将依照相关法律、法规、规章、监管机构的有关规定及时提供相关信息和文件，并保证继续提供的相关文件、信息仍然符合真实、准确、完整、有效的要求。</w:t>
            </w:r>
          </w:p>
          <w:p w14:paraId="76701F3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、本人不存在泄露本次交易内幕信息的情形，亦不存在利用本次交易信息进行内幕交易的情形或从事市场操纵等禁止交易的行为。</w:t>
            </w:r>
          </w:p>
          <w:p w14:paraId="4669952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如本次交易因本人所提供或者披露的文件、信息存在虚假记载、误导性陈述或者重大遗漏，被司法机关立案侦查或者被中国证券监督管理委员会立案调查的，在案件调查结论明确之前，本人不转让在大唐电信拥有权益的股份，并于收到立案稽查通知的两个交易日内将暂停转让的书面申请和股票账户提交大唐电信董事会，由大唐电信董事会代本人向证券交易所和登记结算公司申请锁定；未在两个交易日内提交锁定申请的，授权大唐电信董事会核实后直接向证券交易所和登记结算公司报送本人的身份信息和账户信息并申请锁定；大唐电信董事会未向证券交易所和登记结算公司报送本人的身份信息和账户信息的，授权证券交易所和登记结算公司直接锁定相关股份。如调查结论发现存在违法违规情节，本人承诺锁定股份自愿用于相关投资者赔偿安排。</w:t>
            </w:r>
          </w:p>
          <w:p w14:paraId="5B8C113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、如因本人提供的文件、信息存在虚假记载、误导性陈述或者</w:t>
            </w:r>
            <w:r w:rsidRPr="00B4515A">
              <w:rPr>
                <w:rFonts w:ascii="Times New Roman" w:hAnsi="Times New Roman" w:cs="Times New Roman"/>
                <w:sz w:val="21"/>
                <w:szCs w:val="21"/>
              </w:rPr>
              <w:lastRenderedPageBreak/>
              <w:t>重大遗漏，给大唐电信或投资者造成损失的，将依法承担个别和连带的法律责任。</w:t>
            </w:r>
            <w:r w:rsidRPr="00B4515A">
              <w:rPr>
                <w:rFonts w:cs="Times New Roman"/>
                <w:sz w:val="21"/>
                <w:szCs w:val="21"/>
              </w:rPr>
              <w:t>”</w:t>
            </w:r>
          </w:p>
        </w:tc>
      </w:tr>
      <w:tr w:rsidR="006416B0" w:rsidRPr="00B4515A" w14:paraId="06D250DB" w14:textId="77777777" w:rsidTr="00031627">
        <w:trPr>
          <w:trHeight w:val="340"/>
          <w:jc w:val="center"/>
        </w:trPr>
        <w:tc>
          <w:tcPr>
            <w:tcW w:w="649" w:type="pct"/>
            <w:tcMar>
              <w:top w:w="0" w:type="dxa"/>
              <w:left w:w="108" w:type="dxa"/>
              <w:bottom w:w="0" w:type="dxa"/>
              <w:right w:w="108" w:type="dxa"/>
            </w:tcMar>
            <w:vAlign w:val="center"/>
          </w:tcPr>
          <w:p w14:paraId="722F04B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大唐电信及董事、监事、高级管理人员</w:t>
            </w:r>
          </w:p>
        </w:tc>
        <w:tc>
          <w:tcPr>
            <w:tcW w:w="798" w:type="pct"/>
            <w:tcMar>
              <w:top w:w="0" w:type="dxa"/>
              <w:left w:w="108" w:type="dxa"/>
              <w:bottom w:w="0" w:type="dxa"/>
              <w:right w:w="108" w:type="dxa"/>
            </w:tcMar>
            <w:vAlign w:val="center"/>
          </w:tcPr>
          <w:p w14:paraId="10D3F2F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关于守法和诚信情况的承诺函</w:t>
            </w:r>
          </w:p>
        </w:tc>
        <w:tc>
          <w:tcPr>
            <w:tcW w:w="3553" w:type="pct"/>
            <w:tcMar>
              <w:top w:w="0" w:type="dxa"/>
              <w:left w:w="108" w:type="dxa"/>
              <w:bottom w:w="0" w:type="dxa"/>
              <w:right w:w="108" w:type="dxa"/>
            </w:tcMar>
            <w:vAlign w:val="center"/>
          </w:tcPr>
          <w:p w14:paraId="2E1BA5C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、本公司不存在《上市公司证券发行管理办法》第</w:t>
            </w:r>
            <w:r w:rsidRPr="00B4515A">
              <w:rPr>
                <w:rFonts w:ascii="Times New Roman" w:hAnsi="Times New Roman" w:cs="Times New Roman"/>
                <w:sz w:val="21"/>
                <w:szCs w:val="21"/>
              </w:rPr>
              <w:t>39</w:t>
            </w:r>
            <w:r w:rsidRPr="00B4515A">
              <w:rPr>
                <w:rFonts w:ascii="Times New Roman" w:hAnsi="Times New Roman" w:cs="Times New Roman"/>
                <w:sz w:val="21"/>
                <w:szCs w:val="21"/>
              </w:rPr>
              <w:t>条规定的不得非公开发行股票的下列情形：</w:t>
            </w:r>
          </w:p>
          <w:p w14:paraId="75B271F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）本次发行申请文件有虚假记载、误导性陈述或重大遗漏；</w:t>
            </w:r>
          </w:p>
          <w:p w14:paraId="59CA176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w:t>
            </w:r>
            <w:r w:rsidRPr="00B4515A">
              <w:rPr>
                <w:rFonts w:ascii="Times New Roman" w:hAnsi="Times New Roman" w:cs="Times New Roman"/>
                <w:sz w:val="21"/>
                <w:szCs w:val="21"/>
              </w:rPr>
              <w:t>2</w:t>
            </w:r>
            <w:r w:rsidRPr="00B4515A">
              <w:rPr>
                <w:rFonts w:ascii="Times New Roman" w:hAnsi="Times New Roman" w:cs="Times New Roman"/>
                <w:sz w:val="21"/>
                <w:szCs w:val="21"/>
              </w:rPr>
              <w:t>）上市公司的权益被控股股东或实际控制人严重损害且尚未消除；</w:t>
            </w:r>
          </w:p>
          <w:p w14:paraId="38F1613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w:t>
            </w:r>
            <w:r w:rsidRPr="00B4515A">
              <w:rPr>
                <w:rFonts w:ascii="Times New Roman" w:hAnsi="Times New Roman" w:cs="Times New Roman"/>
                <w:sz w:val="21"/>
                <w:szCs w:val="21"/>
              </w:rPr>
              <w:t>3</w:t>
            </w:r>
            <w:r w:rsidRPr="00B4515A">
              <w:rPr>
                <w:rFonts w:ascii="Times New Roman" w:hAnsi="Times New Roman" w:cs="Times New Roman"/>
                <w:sz w:val="21"/>
                <w:szCs w:val="21"/>
              </w:rPr>
              <w:t>）上市公司及其附属公司违规对外提供担保且尚未解除；</w:t>
            </w:r>
          </w:p>
          <w:p w14:paraId="1F2BC37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w:t>
            </w:r>
            <w:r w:rsidRPr="00B4515A">
              <w:rPr>
                <w:rFonts w:ascii="Times New Roman" w:hAnsi="Times New Roman" w:cs="Times New Roman"/>
                <w:sz w:val="21"/>
                <w:szCs w:val="21"/>
              </w:rPr>
              <w:t>4</w:t>
            </w:r>
            <w:r w:rsidRPr="00B4515A">
              <w:rPr>
                <w:rFonts w:ascii="Times New Roman" w:hAnsi="Times New Roman" w:cs="Times New Roman"/>
                <w:sz w:val="21"/>
                <w:szCs w:val="21"/>
              </w:rPr>
              <w:t>）上市公司现任董事、高级管理人员最近三十六个月内受到过中国证券监督管理委员会的行政处罚，或者最近十二个月内受到过证券交易所公开谴责；</w:t>
            </w:r>
          </w:p>
          <w:p w14:paraId="6CF76EF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w:t>
            </w:r>
            <w:r w:rsidRPr="00B4515A">
              <w:rPr>
                <w:rFonts w:ascii="Times New Roman" w:hAnsi="Times New Roman" w:cs="Times New Roman"/>
                <w:sz w:val="21"/>
                <w:szCs w:val="21"/>
              </w:rPr>
              <w:t>5</w:t>
            </w:r>
            <w:r w:rsidRPr="00B4515A">
              <w:rPr>
                <w:rFonts w:ascii="Times New Roman" w:hAnsi="Times New Roman" w:cs="Times New Roman"/>
                <w:sz w:val="21"/>
                <w:szCs w:val="21"/>
              </w:rPr>
              <w:t>）上市公司或其现任董事、高级管理人员因涉嫌犯罪正被司法机关立案侦查或涉嫌违法违规正被中国证监会立案调查；</w:t>
            </w:r>
          </w:p>
          <w:p w14:paraId="6B68204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w:t>
            </w:r>
            <w:r w:rsidRPr="00B4515A">
              <w:rPr>
                <w:rFonts w:ascii="Times New Roman" w:hAnsi="Times New Roman" w:cs="Times New Roman"/>
                <w:sz w:val="21"/>
                <w:szCs w:val="21"/>
              </w:rPr>
              <w:t>6</w:t>
            </w:r>
            <w:r w:rsidRPr="00B4515A">
              <w:rPr>
                <w:rFonts w:ascii="Times New Roman" w:hAnsi="Times New Roman" w:cs="Times New Roman"/>
                <w:sz w:val="21"/>
                <w:szCs w:val="21"/>
              </w:rPr>
              <w:t>）上市公司最近一年及一期财务报表被注册会计师出具保留意见、否定意见或无法表示意见的审计报告；</w:t>
            </w:r>
          </w:p>
          <w:p w14:paraId="14AAAF5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w:t>
            </w:r>
            <w:r w:rsidRPr="00B4515A">
              <w:rPr>
                <w:rFonts w:ascii="Times New Roman" w:hAnsi="Times New Roman" w:cs="Times New Roman"/>
                <w:sz w:val="21"/>
                <w:szCs w:val="21"/>
              </w:rPr>
              <w:t>7</w:t>
            </w:r>
            <w:r w:rsidRPr="00B4515A">
              <w:rPr>
                <w:rFonts w:ascii="Times New Roman" w:hAnsi="Times New Roman" w:cs="Times New Roman"/>
                <w:sz w:val="21"/>
                <w:szCs w:val="21"/>
              </w:rPr>
              <w:t>）严重损害投资者合法权益和社会公共利益的其他情形。</w:t>
            </w:r>
          </w:p>
          <w:p w14:paraId="73155FF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及本公司现任董事、监事、高级管理人员均不存在因涉嫌犯罪正被司法机关立案侦查或涉嫌违法违规正被中国证监会立案调查的情形。最近三年，不存在刑事处罚或与证券市场明显相关的行政处罚情况，亦不存在严重损害投资者合法权益和社会公共利益的重大违法行为。</w:t>
            </w:r>
          </w:p>
          <w:p w14:paraId="160F6BE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、本公司及其控股股东、实际控制人最近</w:t>
            </w:r>
            <w:r w:rsidRPr="00B4515A">
              <w:rPr>
                <w:rFonts w:ascii="Times New Roman" w:hAnsi="Times New Roman" w:cs="Times New Roman"/>
                <w:sz w:val="21"/>
                <w:szCs w:val="21"/>
              </w:rPr>
              <w:t>12</w:t>
            </w:r>
            <w:r w:rsidRPr="00B4515A">
              <w:rPr>
                <w:rFonts w:ascii="Times New Roman" w:hAnsi="Times New Roman" w:cs="Times New Roman"/>
                <w:sz w:val="21"/>
                <w:szCs w:val="21"/>
              </w:rPr>
              <w:t>个月内未受到证券交易所公开谴责，不存在其他重大失信行为。</w:t>
            </w:r>
          </w:p>
          <w:p w14:paraId="68AA9F5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、本公司最近三年内不存在因违反法律、行政法规、规章受到行政处罚且情节严重的情形。</w:t>
            </w:r>
          </w:p>
          <w:p w14:paraId="74AF5EB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、本公司现任董事、监事、高级管理人员，不存在违反《公司法》第</w:t>
            </w:r>
            <w:r w:rsidRPr="00B4515A">
              <w:rPr>
                <w:rFonts w:ascii="Times New Roman" w:hAnsi="Times New Roman" w:cs="Times New Roman"/>
                <w:sz w:val="21"/>
                <w:szCs w:val="21"/>
              </w:rPr>
              <w:t>146</w:t>
            </w:r>
            <w:r w:rsidRPr="00B4515A">
              <w:rPr>
                <w:rFonts w:ascii="Times New Roman" w:hAnsi="Times New Roman" w:cs="Times New Roman"/>
                <w:sz w:val="21"/>
                <w:szCs w:val="21"/>
              </w:rPr>
              <w:t>条、第</w:t>
            </w:r>
            <w:r w:rsidRPr="00B4515A">
              <w:rPr>
                <w:rFonts w:ascii="Times New Roman" w:hAnsi="Times New Roman" w:cs="Times New Roman"/>
                <w:sz w:val="21"/>
                <w:szCs w:val="21"/>
              </w:rPr>
              <w:t>147</w:t>
            </w:r>
            <w:r w:rsidRPr="00B4515A">
              <w:rPr>
                <w:rFonts w:ascii="Times New Roman" w:hAnsi="Times New Roman" w:cs="Times New Roman"/>
                <w:sz w:val="21"/>
                <w:szCs w:val="21"/>
              </w:rPr>
              <w:t>条、第</w:t>
            </w:r>
            <w:r w:rsidRPr="00B4515A">
              <w:rPr>
                <w:rFonts w:ascii="Times New Roman" w:hAnsi="Times New Roman" w:cs="Times New Roman"/>
                <w:sz w:val="21"/>
                <w:szCs w:val="21"/>
              </w:rPr>
              <w:t>148</w:t>
            </w:r>
            <w:r w:rsidRPr="00B4515A">
              <w:rPr>
                <w:rFonts w:ascii="Times New Roman" w:hAnsi="Times New Roman" w:cs="Times New Roman"/>
                <w:sz w:val="21"/>
                <w:szCs w:val="21"/>
              </w:rPr>
              <w:t>条规定的情形，且最近五年内诚信情况良好。</w:t>
            </w:r>
            <w:r w:rsidRPr="00B4515A">
              <w:rPr>
                <w:rFonts w:cs="Times New Roman"/>
                <w:sz w:val="21"/>
                <w:szCs w:val="21"/>
              </w:rPr>
              <w:t>”</w:t>
            </w:r>
          </w:p>
        </w:tc>
      </w:tr>
      <w:tr w:rsidR="006416B0" w:rsidRPr="00B4515A" w14:paraId="4A8895FF" w14:textId="77777777" w:rsidTr="00031627">
        <w:trPr>
          <w:trHeight w:val="340"/>
          <w:jc w:val="center"/>
        </w:trPr>
        <w:tc>
          <w:tcPr>
            <w:tcW w:w="649" w:type="pct"/>
            <w:tcMar>
              <w:top w:w="0" w:type="dxa"/>
              <w:left w:w="108" w:type="dxa"/>
              <w:bottom w:w="0" w:type="dxa"/>
              <w:right w:w="108" w:type="dxa"/>
            </w:tcMar>
            <w:vAlign w:val="center"/>
          </w:tcPr>
          <w:p w14:paraId="4D748D1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大唐电信董事、监事、高级管理人员</w:t>
            </w:r>
          </w:p>
        </w:tc>
        <w:tc>
          <w:tcPr>
            <w:tcW w:w="798" w:type="pct"/>
            <w:tcMar>
              <w:top w:w="0" w:type="dxa"/>
              <w:left w:w="108" w:type="dxa"/>
              <w:bottom w:w="0" w:type="dxa"/>
              <w:right w:w="108" w:type="dxa"/>
            </w:tcMar>
            <w:vAlign w:val="center"/>
          </w:tcPr>
          <w:p w14:paraId="0B5599A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关于不存在减持计划的承诺函</w:t>
            </w:r>
          </w:p>
        </w:tc>
        <w:tc>
          <w:tcPr>
            <w:tcW w:w="3553" w:type="pct"/>
            <w:tcMar>
              <w:top w:w="0" w:type="dxa"/>
              <w:left w:w="108" w:type="dxa"/>
              <w:bottom w:w="0" w:type="dxa"/>
              <w:right w:w="108" w:type="dxa"/>
            </w:tcMar>
            <w:vAlign w:val="center"/>
          </w:tcPr>
          <w:p w14:paraId="6DF45D8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、截至本承诺函出具之日，本人无任何减持上市公司股份的计划。</w:t>
            </w:r>
          </w:p>
          <w:p w14:paraId="52B4F74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、本次交易过程中，自上市公司股票复牌之日起至本次交易实施完毕期间，本人不存在减持上市公司股份的计划。</w:t>
            </w:r>
          </w:p>
          <w:p w14:paraId="037F6D1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、本承诺函自签署之日起对本人具有法律约束力，若因本人违反本承诺函的承诺内容而导致大唐电信受到损失的，本人将依法承担相应赔偿责任。</w:t>
            </w:r>
            <w:r w:rsidRPr="00B4515A">
              <w:rPr>
                <w:rFonts w:cs="Times New Roman"/>
                <w:sz w:val="21"/>
                <w:szCs w:val="21"/>
              </w:rPr>
              <w:t>”</w:t>
            </w:r>
          </w:p>
        </w:tc>
      </w:tr>
      <w:tr w:rsidR="006416B0" w:rsidRPr="00B4515A" w14:paraId="67B6A6DD" w14:textId="77777777" w:rsidTr="00031627">
        <w:trPr>
          <w:trHeight w:val="340"/>
          <w:jc w:val="center"/>
        </w:trPr>
        <w:tc>
          <w:tcPr>
            <w:tcW w:w="649" w:type="pct"/>
            <w:tcMar>
              <w:top w:w="0" w:type="dxa"/>
              <w:left w:w="108" w:type="dxa"/>
              <w:bottom w:w="0" w:type="dxa"/>
              <w:right w:w="108" w:type="dxa"/>
            </w:tcMar>
            <w:vAlign w:val="center"/>
          </w:tcPr>
          <w:p w14:paraId="74EF298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大唐电信</w:t>
            </w:r>
            <w:r w:rsidRPr="00B4515A">
              <w:rPr>
                <w:rFonts w:ascii="Times New Roman" w:hAnsi="Times New Roman" w:cs="Times New Roman" w:hint="eastAsia"/>
                <w:sz w:val="21"/>
                <w:szCs w:val="21"/>
              </w:rPr>
              <w:t>及</w:t>
            </w:r>
            <w:r w:rsidRPr="00B4515A">
              <w:rPr>
                <w:rFonts w:ascii="Times New Roman" w:hAnsi="Times New Roman" w:cs="Times New Roman"/>
                <w:sz w:val="21"/>
                <w:szCs w:val="21"/>
              </w:rPr>
              <w:t>董事、监事、高级管理人员</w:t>
            </w:r>
          </w:p>
        </w:tc>
        <w:tc>
          <w:tcPr>
            <w:tcW w:w="798" w:type="pct"/>
            <w:tcMar>
              <w:top w:w="0" w:type="dxa"/>
              <w:left w:w="108" w:type="dxa"/>
              <w:bottom w:w="0" w:type="dxa"/>
              <w:right w:w="108" w:type="dxa"/>
            </w:tcMar>
            <w:vAlign w:val="center"/>
          </w:tcPr>
          <w:p w14:paraId="161934B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关于发行股份购买资产并募集配套资金暨关联交易报告书（草案）内容</w:t>
            </w:r>
          </w:p>
          <w:p w14:paraId="60079F4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真实、准确、完整的承诺函</w:t>
            </w:r>
          </w:p>
        </w:tc>
        <w:tc>
          <w:tcPr>
            <w:tcW w:w="3553" w:type="pct"/>
            <w:tcMar>
              <w:top w:w="0" w:type="dxa"/>
              <w:left w:w="108" w:type="dxa"/>
              <w:bottom w:w="0" w:type="dxa"/>
              <w:right w:w="108" w:type="dxa"/>
            </w:tcMar>
            <w:vAlign w:val="center"/>
          </w:tcPr>
          <w:p w14:paraId="1F754D7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一、本公司</w:t>
            </w:r>
            <w:r w:rsidRPr="00B4515A">
              <w:rPr>
                <w:rFonts w:ascii="Times New Roman" w:hAnsi="Times New Roman" w:cs="Times New Roman"/>
                <w:sz w:val="21"/>
                <w:szCs w:val="21"/>
              </w:rPr>
              <w:t>/</w:t>
            </w:r>
            <w:r w:rsidRPr="00B4515A">
              <w:rPr>
                <w:rFonts w:ascii="Times New Roman" w:hAnsi="Times New Roman" w:cs="Times New Roman"/>
                <w:sz w:val="21"/>
                <w:szCs w:val="21"/>
              </w:rPr>
              <w:t>本人承诺并保证本次交易报告书（草案）及其摘要内容的真实、准确、完整，不存在虚假记载、误导性陈述或重大遗漏，并对本次交易报告书（草案）及其摘要内容的真实性、准确性和完整性承担个别和连带的法律责任。</w:t>
            </w:r>
          </w:p>
          <w:p w14:paraId="722A9C2F" w14:textId="78535C0F" w:rsidR="00253111"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二、本次交易报告书（草案）及其摘要所述事项并不代表中国证监会、上海证券交易所对于本次交易相关事项的实质性判断、确认或批准。本次交易报告书（草案）及其摘要所述本次交易相关事项的生效和完成尚待取得有权审批机关的批准或核准。</w:t>
            </w:r>
            <w:r w:rsidRPr="00B4515A">
              <w:rPr>
                <w:rFonts w:cs="Times New Roman" w:hint="eastAsia"/>
                <w:sz w:val="21"/>
                <w:szCs w:val="21"/>
              </w:rPr>
              <w:t>”</w:t>
            </w:r>
          </w:p>
        </w:tc>
      </w:tr>
      <w:tr w:rsidR="006416B0" w:rsidRPr="00B4515A" w14:paraId="62F8A0BF" w14:textId="77777777" w:rsidTr="00031627">
        <w:trPr>
          <w:trHeight w:val="340"/>
          <w:jc w:val="center"/>
        </w:trPr>
        <w:tc>
          <w:tcPr>
            <w:tcW w:w="649" w:type="pct"/>
            <w:tcMar>
              <w:top w:w="0" w:type="dxa"/>
              <w:left w:w="108" w:type="dxa"/>
              <w:bottom w:w="0" w:type="dxa"/>
              <w:right w:w="108" w:type="dxa"/>
            </w:tcMar>
            <w:vAlign w:val="center"/>
          </w:tcPr>
          <w:p w14:paraId="652C6CC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大唐电信</w:t>
            </w:r>
            <w:r w:rsidRPr="00B4515A">
              <w:rPr>
                <w:rFonts w:ascii="Times New Roman" w:hAnsi="Times New Roman" w:cs="Times New Roman" w:hint="eastAsia"/>
                <w:sz w:val="21"/>
                <w:szCs w:val="21"/>
              </w:rPr>
              <w:t>及</w:t>
            </w:r>
            <w:r w:rsidRPr="00B4515A">
              <w:rPr>
                <w:rFonts w:ascii="Times New Roman" w:hAnsi="Times New Roman" w:cs="Times New Roman"/>
                <w:sz w:val="21"/>
                <w:szCs w:val="21"/>
              </w:rPr>
              <w:t>董事、监事、高级管理人</w:t>
            </w:r>
            <w:r w:rsidRPr="00B4515A">
              <w:rPr>
                <w:rFonts w:ascii="Times New Roman" w:hAnsi="Times New Roman" w:cs="Times New Roman"/>
                <w:sz w:val="21"/>
                <w:szCs w:val="21"/>
              </w:rPr>
              <w:lastRenderedPageBreak/>
              <w:t>员</w:t>
            </w:r>
          </w:p>
        </w:tc>
        <w:tc>
          <w:tcPr>
            <w:tcW w:w="798" w:type="pct"/>
            <w:tcMar>
              <w:top w:w="0" w:type="dxa"/>
              <w:left w:w="108" w:type="dxa"/>
              <w:bottom w:w="0" w:type="dxa"/>
              <w:right w:w="108" w:type="dxa"/>
            </w:tcMar>
            <w:vAlign w:val="center"/>
          </w:tcPr>
          <w:p w14:paraId="7456489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关于本次交易摊薄即期回报填补措施的承诺函</w:t>
            </w:r>
          </w:p>
        </w:tc>
        <w:tc>
          <w:tcPr>
            <w:tcW w:w="3553" w:type="pct"/>
            <w:tcMar>
              <w:top w:w="0" w:type="dxa"/>
              <w:left w:w="108" w:type="dxa"/>
              <w:bottom w:w="0" w:type="dxa"/>
              <w:right w:w="108" w:type="dxa"/>
            </w:tcMar>
            <w:vAlign w:val="center"/>
          </w:tcPr>
          <w:p w14:paraId="2D2AAB9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一、上市公司承诺：</w:t>
            </w:r>
          </w:p>
          <w:p w14:paraId="590542E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1</w:t>
            </w:r>
            <w:r w:rsidRPr="00B4515A">
              <w:rPr>
                <w:rFonts w:ascii="Times New Roman" w:hAnsi="Times New Roman" w:cs="Times New Roman"/>
                <w:sz w:val="21"/>
                <w:szCs w:val="21"/>
              </w:rPr>
              <w:t>、加快与目标公司的整合，增强综合竞争优势和持续盈利能力</w:t>
            </w:r>
          </w:p>
          <w:p w14:paraId="39E5691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本次交易完成后，上市公司将加快对目标公司的整合，充分发挥上市公司与目标公司之间的协同效应，共同增强综合竞争优势，</w:t>
            </w:r>
            <w:r w:rsidRPr="00B4515A">
              <w:rPr>
                <w:rFonts w:ascii="Times New Roman" w:hAnsi="Times New Roman" w:cs="Times New Roman"/>
                <w:sz w:val="21"/>
                <w:szCs w:val="21"/>
              </w:rPr>
              <w:lastRenderedPageBreak/>
              <w:t>从而提升上市公司及全体股东的长远利益，提高上市公司的可持续发展能力及盈利能力。。</w:t>
            </w:r>
            <w:r w:rsidRPr="00B4515A">
              <w:rPr>
                <w:rFonts w:ascii="Times New Roman" w:hAnsi="Times New Roman" w:cs="Times New Roman"/>
                <w:sz w:val="21"/>
                <w:szCs w:val="21"/>
              </w:rPr>
              <w:t xml:space="preserve"> </w:t>
            </w:r>
          </w:p>
          <w:p w14:paraId="30FDA63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、切实履行《业绩承诺与补偿协议》的相关约定</w:t>
            </w:r>
          </w:p>
          <w:p w14:paraId="0DDF814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为充分维护上市公司及中小股东的利益，上市公司与业绩承诺方签订了《业绩承诺与补偿协议》。当目标公司出现业绩承诺期内实现净利润低于承诺净利润的情形，上市公司将严格按照《业绩承诺与补偿协议》的相关约定，督促业绩承诺方严格遵照《业绩承诺与补偿协议》履行补偿义务，对上市公司进行补偿，切实维护上市公司广大投资者的利益。</w:t>
            </w:r>
          </w:p>
          <w:p w14:paraId="526F31B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、继续完善公司治理，提高公司运营效率</w:t>
            </w:r>
          </w:p>
          <w:p w14:paraId="0ED3512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本次交易前，上市公司已经根据《公司法》、《上市公司治理准则》</w:t>
            </w:r>
            <w:r w:rsidRPr="00B4515A">
              <w:rPr>
                <w:rFonts w:ascii="Times New Roman" w:hAnsi="Times New Roman" w:cs="Times New Roman"/>
                <w:sz w:val="21"/>
                <w:szCs w:val="21"/>
              </w:rPr>
              <w:t xml:space="preserve"> </w:t>
            </w:r>
            <w:r w:rsidRPr="00B4515A">
              <w:rPr>
                <w:rFonts w:ascii="Times New Roman" w:hAnsi="Times New Roman" w:cs="Times New Roman"/>
                <w:sz w:val="21"/>
                <w:szCs w:val="21"/>
              </w:rPr>
              <w:t>、《企业内部控制基本规范》等法律法规，建立了较为完善、健全的公司法人治理结构和内部控制制度管理体系，初步形成了设置合理、运行有效、权责分明、运作良好的公司治理与经营框架，保证了上市公司各项经营活动的正常有序进行。本次交易完成后，上市公司将进一步完善治理结构，进一步提高经营和管理水平，完善并强化投资决策、内部控制程序，加强成本管控，强化执行监督，全面有效地提高上市公司运营效率。</w:t>
            </w:r>
          </w:p>
          <w:p w14:paraId="5BDC77C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、严格遵守并不断完善上市公司利润分配政策，强化投资者分红回报</w:t>
            </w:r>
          </w:p>
          <w:p w14:paraId="33EB820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实行积极的利润分配政策。本次交易完成后，上市公司将根据中国证监会《关于进一步落实上市公司现金分红有关事项的通知》及《上市公司监管指引第</w:t>
            </w:r>
            <w:r w:rsidRPr="00B4515A">
              <w:rPr>
                <w:rFonts w:ascii="Times New Roman" w:hAnsi="Times New Roman" w:cs="Times New Roman"/>
                <w:sz w:val="21"/>
                <w:szCs w:val="21"/>
              </w:rPr>
              <w:t>3</w:t>
            </w:r>
            <w:r w:rsidRPr="00B4515A">
              <w:rPr>
                <w:rFonts w:ascii="Times New Roman" w:hAnsi="Times New Roman" w:cs="Times New Roman"/>
                <w:sz w:val="21"/>
                <w:szCs w:val="21"/>
              </w:rPr>
              <w:t>号</w:t>
            </w:r>
            <w:r w:rsidRPr="00B4515A">
              <w:rPr>
                <w:rFonts w:ascii="Times New Roman" w:hAnsi="Times New Roman" w:cs="Times New Roman"/>
                <w:sz w:val="21"/>
                <w:szCs w:val="21"/>
              </w:rPr>
              <w:t>——</w:t>
            </w:r>
            <w:r w:rsidRPr="00B4515A">
              <w:rPr>
                <w:rFonts w:ascii="Times New Roman" w:hAnsi="Times New Roman" w:cs="Times New Roman"/>
                <w:sz w:val="21"/>
                <w:szCs w:val="21"/>
              </w:rPr>
              <w:t>上市公司现金分红》等规定，严格执行现行分红政策，在符合条件的情况下积极推动对广大股东的利润分配以及现金分红，提升股东回报水平。</w:t>
            </w:r>
          </w:p>
          <w:p w14:paraId="6CE9237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、加强募集资金的管理和运用</w:t>
            </w:r>
          </w:p>
          <w:p w14:paraId="47032210" w14:textId="5FAFBBF5"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本次募集配套资金到位后，上市公司将严格按照《上市公司监管指引</w:t>
            </w:r>
            <w:r w:rsidRPr="00B4515A">
              <w:rPr>
                <w:rFonts w:ascii="Times New Roman" w:hAnsi="Times New Roman" w:cs="Times New Roman"/>
                <w:sz w:val="21"/>
                <w:szCs w:val="21"/>
              </w:rPr>
              <w:t>2</w:t>
            </w:r>
            <w:r w:rsidRPr="00B4515A">
              <w:rPr>
                <w:rFonts w:ascii="Times New Roman" w:hAnsi="Times New Roman" w:cs="Times New Roman"/>
                <w:sz w:val="21"/>
                <w:szCs w:val="21"/>
              </w:rPr>
              <w:t>号</w:t>
            </w:r>
            <w:r w:rsidRPr="00B4515A">
              <w:rPr>
                <w:rFonts w:ascii="Times New Roman" w:hAnsi="Times New Roman" w:cs="Times New Roman"/>
                <w:sz w:val="21"/>
                <w:szCs w:val="21"/>
              </w:rPr>
              <w:t>—</w:t>
            </w:r>
            <w:r w:rsidRPr="00B4515A">
              <w:rPr>
                <w:rFonts w:ascii="Times New Roman" w:hAnsi="Times New Roman" w:cs="Times New Roman"/>
                <w:sz w:val="21"/>
                <w:szCs w:val="21"/>
              </w:rPr>
              <w:t>上市公司募集资金管理和使用的监管要求》、《上海证券交易所股票上市规则》、以及大唐电信《募集资金使用管理办法》等规定，加强募集资金使用的管理。上市公司董事会将持续监督对募集资金的专户存储，保障募集资金按顺序用于规定的用途，</w:t>
            </w:r>
            <w:r w:rsidRPr="00B4515A">
              <w:rPr>
                <w:rFonts w:ascii="Times New Roman" w:hAnsi="Times New Roman" w:cs="Times New Roman" w:hint="eastAsia"/>
                <w:sz w:val="21"/>
                <w:szCs w:val="21"/>
              </w:rPr>
              <w:t>配合</w:t>
            </w:r>
            <w:r w:rsidR="00B5446C" w:rsidRPr="00B4515A">
              <w:rPr>
                <w:rFonts w:ascii="Times New Roman" w:hAnsi="Times New Roman" w:cs="Times New Roman" w:hint="eastAsia"/>
                <w:sz w:val="21"/>
                <w:szCs w:val="21"/>
              </w:rPr>
              <w:t>独立财务顾问等相关机构</w:t>
            </w:r>
            <w:r w:rsidRPr="00B4515A">
              <w:rPr>
                <w:rFonts w:ascii="Times New Roman" w:hAnsi="Times New Roman" w:cs="Times New Roman" w:hint="eastAsia"/>
                <w:sz w:val="21"/>
                <w:szCs w:val="21"/>
              </w:rPr>
              <w:t>对募集资金使用的检查和监</w:t>
            </w:r>
            <w:r w:rsidRPr="00B4515A">
              <w:rPr>
                <w:rFonts w:ascii="Times New Roman" w:hAnsi="Times New Roman" w:cs="Times New Roman"/>
                <w:sz w:val="21"/>
                <w:szCs w:val="21"/>
              </w:rPr>
              <w:t>督，以保证募集资金合理规范使用，防范募集资金使用风险，以保证募集资金投资项目的顺利推进，早日实现预期收益。</w:t>
            </w:r>
          </w:p>
          <w:p w14:paraId="5E3EADB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二、本人作为大唐电信的董事、监事、高级管理人员承诺：</w:t>
            </w:r>
          </w:p>
          <w:p w14:paraId="259BCAA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1</w:t>
            </w:r>
            <w:r w:rsidRPr="00B4515A">
              <w:rPr>
                <w:rFonts w:ascii="Times New Roman" w:hAnsi="Times New Roman" w:cs="Times New Roman"/>
                <w:sz w:val="21"/>
                <w:szCs w:val="21"/>
              </w:rPr>
              <w:t>、本人承诺忠实、勤勉地履行职责，维护上市公司和全体股东的合法权益。</w:t>
            </w:r>
            <w:r w:rsidRPr="00B4515A">
              <w:rPr>
                <w:rFonts w:ascii="Times New Roman" w:hAnsi="Times New Roman" w:cs="Times New Roman"/>
                <w:sz w:val="21"/>
                <w:szCs w:val="21"/>
              </w:rPr>
              <w:t xml:space="preserve"> </w:t>
            </w:r>
          </w:p>
          <w:p w14:paraId="64BB56B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、本人承诺不无偿或以不公平条件向其他单位或者个人输送利益，也不采用其他方式损害上市公司利益。</w:t>
            </w:r>
            <w:r w:rsidRPr="00B4515A">
              <w:rPr>
                <w:rFonts w:ascii="Times New Roman" w:hAnsi="Times New Roman" w:cs="Times New Roman"/>
                <w:sz w:val="21"/>
                <w:szCs w:val="21"/>
              </w:rPr>
              <w:t xml:space="preserve"> </w:t>
            </w:r>
          </w:p>
          <w:p w14:paraId="01F9AA3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、本人承诺对本人的职务消费行为进行约束。</w:t>
            </w:r>
            <w:r w:rsidRPr="00B4515A">
              <w:rPr>
                <w:rFonts w:ascii="Times New Roman" w:hAnsi="Times New Roman" w:cs="Times New Roman"/>
                <w:sz w:val="21"/>
                <w:szCs w:val="21"/>
              </w:rPr>
              <w:t xml:space="preserve"> </w:t>
            </w:r>
          </w:p>
          <w:p w14:paraId="620367E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、本人承诺不动用上市公司资产从事与履行职责无关的投资、消费活动。</w:t>
            </w:r>
            <w:r w:rsidRPr="00B4515A">
              <w:rPr>
                <w:rFonts w:ascii="Times New Roman" w:hAnsi="Times New Roman" w:cs="Times New Roman"/>
                <w:sz w:val="21"/>
                <w:szCs w:val="21"/>
              </w:rPr>
              <w:t xml:space="preserve"> </w:t>
            </w:r>
          </w:p>
          <w:p w14:paraId="37B6E38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、本人承诺在自身职责和权限范围内，全力促使上市公司董事会或者薪酬与考核委员会制定的薪酬制度与上市公司填补回报措施的执行情况相挂钩。</w:t>
            </w:r>
            <w:r w:rsidRPr="00B4515A">
              <w:rPr>
                <w:rFonts w:ascii="Times New Roman" w:hAnsi="Times New Roman" w:cs="Times New Roman"/>
                <w:sz w:val="21"/>
                <w:szCs w:val="21"/>
              </w:rPr>
              <w:t xml:space="preserve"> </w:t>
            </w:r>
          </w:p>
          <w:p w14:paraId="7E43F9F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6</w:t>
            </w:r>
            <w:r w:rsidRPr="00B4515A">
              <w:rPr>
                <w:rFonts w:ascii="Times New Roman" w:hAnsi="Times New Roman" w:cs="Times New Roman"/>
                <w:sz w:val="21"/>
                <w:szCs w:val="21"/>
              </w:rPr>
              <w:t>、若上市公司后续推出股权激励政策，本人承诺在自身职责和权限范围内，全力促使股权激励的行权条件与上市公司填补回报措施的执行情况相挂钩。</w:t>
            </w:r>
            <w:r w:rsidRPr="00B4515A">
              <w:rPr>
                <w:rFonts w:ascii="Times New Roman" w:hAnsi="Times New Roman" w:cs="Times New Roman"/>
                <w:sz w:val="21"/>
                <w:szCs w:val="21"/>
              </w:rPr>
              <w:t xml:space="preserve"> </w:t>
            </w:r>
          </w:p>
          <w:p w14:paraId="10D8D0C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7</w:t>
            </w:r>
            <w:r w:rsidRPr="00B4515A">
              <w:rPr>
                <w:rFonts w:ascii="Times New Roman" w:hAnsi="Times New Roman" w:cs="Times New Roman"/>
                <w:sz w:val="21"/>
                <w:szCs w:val="21"/>
              </w:rPr>
              <w:t>、在中国证监会、上海证券交易所另行发布填补摊薄即期回报</w:t>
            </w:r>
            <w:r w:rsidRPr="00B4515A">
              <w:rPr>
                <w:rFonts w:ascii="Times New Roman" w:hAnsi="Times New Roman" w:cs="Times New Roman"/>
                <w:sz w:val="21"/>
                <w:szCs w:val="21"/>
              </w:rPr>
              <w:lastRenderedPageBreak/>
              <w:t>措施及其承诺的相关意见及实施细则后，如果上市公司的相关规定及本人承诺与该等规定不符时，本人承诺将立即按照中国证监会及上海证券交易所的规定出具补充承诺，并积极推进上市公司制定新的规定，以符合中国证监会及上海证券交易所的要求。</w:t>
            </w:r>
          </w:p>
          <w:p w14:paraId="68CEDCC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8</w:t>
            </w:r>
            <w:r w:rsidRPr="00B4515A">
              <w:rPr>
                <w:rFonts w:ascii="Times New Roman" w:hAnsi="Times New Roman" w:cs="Times New Roman"/>
                <w:sz w:val="21"/>
                <w:szCs w:val="21"/>
              </w:rPr>
              <w:t>、本人承诺切实履行上市公司制定的有关填补回报措施以及本人对此作出的任何有关填补回报措施的承诺，若本人违反该等承诺并给上市公司或者投资者造成损失的，本人愿意依法承担对上市公司或者投资者的补偿责任。</w:t>
            </w:r>
            <w:r w:rsidRPr="00B4515A">
              <w:rPr>
                <w:rFonts w:cs="Times New Roman" w:hint="eastAsia"/>
                <w:sz w:val="21"/>
                <w:szCs w:val="21"/>
              </w:rPr>
              <w:t>”</w:t>
            </w:r>
          </w:p>
        </w:tc>
      </w:tr>
      <w:tr w:rsidR="006416B0" w:rsidRPr="00B4515A" w14:paraId="46DEA822" w14:textId="77777777" w:rsidTr="00031627">
        <w:trPr>
          <w:trHeight w:val="340"/>
          <w:jc w:val="center"/>
        </w:trPr>
        <w:tc>
          <w:tcPr>
            <w:tcW w:w="649" w:type="pct"/>
            <w:tcMar>
              <w:top w:w="0" w:type="dxa"/>
              <w:left w:w="108" w:type="dxa"/>
              <w:bottom w:w="0" w:type="dxa"/>
              <w:right w:w="108" w:type="dxa"/>
            </w:tcMar>
            <w:vAlign w:val="center"/>
          </w:tcPr>
          <w:p w14:paraId="773BB32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lastRenderedPageBreak/>
              <w:t>中国信科集团</w:t>
            </w:r>
          </w:p>
        </w:tc>
        <w:tc>
          <w:tcPr>
            <w:tcW w:w="798" w:type="pct"/>
            <w:tcMar>
              <w:top w:w="0" w:type="dxa"/>
              <w:left w:w="108" w:type="dxa"/>
              <w:bottom w:w="0" w:type="dxa"/>
              <w:right w:w="108" w:type="dxa"/>
            </w:tcMar>
            <w:vAlign w:val="center"/>
          </w:tcPr>
          <w:p w14:paraId="4854AAF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关于与大唐联诚信息系统技术有限公司不存在同业竞争的承诺函</w:t>
            </w:r>
          </w:p>
        </w:tc>
        <w:tc>
          <w:tcPr>
            <w:tcW w:w="3553" w:type="pct"/>
            <w:tcMar>
              <w:top w:w="0" w:type="dxa"/>
              <w:left w:w="108" w:type="dxa"/>
              <w:bottom w:w="0" w:type="dxa"/>
              <w:right w:w="108" w:type="dxa"/>
            </w:tcMar>
            <w:vAlign w:val="center"/>
          </w:tcPr>
          <w:p w14:paraId="7330CB9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、本公司为集团投资控股平台，主要从事投资与资产管理业务。</w:t>
            </w:r>
          </w:p>
          <w:p w14:paraId="31FEEFE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、截至本函出具之日，本公司及下属全资、控股子公司及其他可实际控制企业（不含大唐联诚）与大唐联诚主营业务不存在相竞争的业务，本次交易不会导致本公司与大唐电信增加同业竞争。</w:t>
            </w:r>
          </w:p>
          <w:p w14:paraId="1C45D2E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、本公司保证绝不利用对大唐联诚的了解和知悉的信息协助第三方从事、参与或投资与大唐联诚相竞争的业务或项目。</w:t>
            </w:r>
          </w:p>
          <w:p w14:paraId="3DB7951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、如本次交易成功完成，本承诺函在上市公司合法有效存续且本公司作为上市公司控股股东期间持续有效。</w:t>
            </w:r>
            <w:r w:rsidRPr="00B4515A">
              <w:rPr>
                <w:rFonts w:cs="Times New Roman" w:hint="eastAsia"/>
                <w:sz w:val="21"/>
                <w:szCs w:val="21"/>
              </w:rPr>
              <w:t>”</w:t>
            </w:r>
          </w:p>
        </w:tc>
      </w:tr>
      <w:tr w:rsidR="006416B0" w:rsidRPr="00B4515A" w14:paraId="4BF37F51" w14:textId="77777777" w:rsidTr="00031627">
        <w:trPr>
          <w:trHeight w:val="340"/>
          <w:jc w:val="center"/>
        </w:trPr>
        <w:tc>
          <w:tcPr>
            <w:tcW w:w="649" w:type="pct"/>
            <w:tcMar>
              <w:top w:w="0" w:type="dxa"/>
              <w:left w:w="108" w:type="dxa"/>
              <w:bottom w:w="0" w:type="dxa"/>
              <w:right w:w="108" w:type="dxa"/>
            </w:tcMar>
            <w:vAlign w:val="center"/>
          </w:tcPr>
          <w:p w14:paraId="66E4FCF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中国信科集团</w:t>
            </w:r>
          </w:p>
        </w:tc>
        <w:tc>
          <w:tcPr>
            <w:tcW w:w="798" w:type="pct"/>
            <w:tcMar>
              <w:top w:w="0" w:type="dxa"/>
              <w:left w:w="108" w:type="dxa"/>
              <w:bottom w:w="0" w:type="dxa"/>
              <w:right w:w="108" w:type="dxa"/>
            </w:tcMar>
            <w:vAlign w:val="center"/>
          </w:tcPr>
          <w:p w14:paraId="79C956A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关于股份锁定期的承诺函</w:t>
            </w:r>
          </w:p>
        </w:tc>
        <w:tc>
          <w:tcPr>
            <w:tcW w:w="3553" w:type="pct"/>
            <w:tcMar>
              <w:top w:w="0" w:type="dxa"/>
              <w:left w:w="108" w:type="dxa"/>
              <w:bottom w:w="0" w:type="dxa"/>
              <w:right w:w="108" w:type="dxa"/>
            </w:tcMar>
            <w:vAlign w:val="center"/>
          </w:tcPr>
          <w:p w14:paraId="3C0F784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、本公司就大唐电信本次非公开发行股份募集配套资金认购的股份自本次发行结束之日起三年内不得转让；</w:t>
            </w:r>
          </w:p>
          <w:p w14:paraId="3886FE3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、限售期内，本公司如因大唐电信实施送股、配股、资本公积转增股本等原因而由上述认购股份衍生取得的大唐电信的股份，亦应遵守上述锁定期约定；</w:t>
            </w:r>
          </w:p>
          <w:p w14:paraId="2DD3281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因本次交易认购的大唐电信的股份在限售期届满后减持时，需遵守《中华人民共和国公司法》、《中华人民共和国证券法》、《上海证券交易所股票上市规则》等法律、法规、规章、规范性文件以及大唐电信公司章程的相关规定。</w:t>
            </w:r>
          </w:p>
          <w:p w14:paraId="18B60FB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、若股份的锁定期规定与证券监管机构的最新监管意见不相符，将根据相关证券监管机构的监管意见进行相应调整。</w:t>
            </w:r>
          </w:p>
          <w:p w14:paraId="1B84AD2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本承诺函自作出之日即对本公司发生法律效力，本公司就本次交易已经出具的《中国信息通信科技集团有限公司关于股份锁定期的承诺函》与本承诺函存在不一致之处的，以本承诺函内容为准。</w:t>
            </w:r>
            <w:r w:rsidRPr="00B4515A">
              <w:rPr>
                <w:rFonts w:cs="Times New Roman"/>
                <w:sz w:val="21"/>
                <w:szCs w:val="21"/>
              </w:rPr>
              <w:t>”</w:t>
            </w:r>
          </w:p>
        </w:tc>
      </w:tr>
      <w:tr w:rsidR="006416B0" w:rsidRPr="00B4515A" w14:paraId="46F22358" w14:textId="77777777" w:rsidTr="00031627">
        <w:trPr>
          <w:trHeight w:val="340"/>
          <w:jc w:val="center"/>
        </w:trPr>
        <w:tc>
          <w:tcPr>
            <w:tcW w:w="649" w:type="pct"/>
            <w:tcMar>
              <w:top w:w="0" w:type="dxa"/>
              <w:left w:w="108" w:type="dxa"/>
              <w:bottom w:w="0" w:type="dxa"/>
              <w:right w:w="108" w:type="dxa"/>
            </w:tcMar>
            <w:vAlign w:val="center"/>
          </w:tcPr>
          <w:p w14:paraId="5768319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中国信科集团</w:t>
            </w:r>
          </w:p>
        </w:tc>
        <w:tc>
          <w:tcPr>
            <w:tcW w:w="798" w:type="pct"/>
            <w:tcMar>
              <w:top w:w="0" w:type="dxa"/>
              <w:left w:w="108" w:type="dxa"/>
              <w:bottom w:w="0" w:type="dxa"/>
              <w:right w:w="108" w:type="dxa"/>
            </w:tcMar>
            <w:vAlign w:val="center"/>
          </w:tcPr>
          <w:p w14:paraId="5342A48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关于避免同业竞争的承诺函</w:t>
            </w:r>
          </w:p>
        </w:tc>
        <w:tc>
          <w:tcPr>
            <w:tcW w:w="3553" w:type="pct"/>
            <w:tcMar>
              <w:top w:w="0" w:type="dxa"/>
              <w:left w:w="108" w:type="dxa"/>
              <w:bottom w:w="0" w:type="dxa"/>
              <w:right w:w="108" w:type="dxa"/>
            </w:tcMar>
            <w:vAlign w:val="center"/>
          </w:tcPr>
          <w:p w14:paraId="3EADA30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、本次交易前，本公司及下属全资、控股子公司及其他可实际控制企业</w:t>
            </w:r>
            <w:r w:rsidRPr="00B4515A">
              <w:rPr>
                <w:rFonts w:ascii="Times New Roman" w:hAnsi="Times New Roman" w:cs="Times New Roman"/>
                <w:sz w:val="21"/>
                <w:szCs w:val="21"/>
              </w:rPr>
              <w:t>(</w:t>
            </w:r>
            <w:r w:rsidRPr="00B4515A">
              <w:rPr>
                <w:rFonts w:ascii="Times New Roman" w:hAnsi="Times New Roman" w:cs="Times New Roman"/>
                <w:sz w:val="21"/>
                <w:szCs w:val="21"/>
              </w:rPr>
              <w:t>以下统称为</w:t>
            </w:r>
            <w:r w:rsidRPr="00B4515A">
              <w:rPr>
                <w:rFonts w:cs="Times New Roman" w:hint="eastAsia"/>
                <w:sz w:val="21"/>
                <w:szCs w:val="21"/>
              </w:rPr>
              <w:t>“</w:t>
            </w:r>
            <w:r w:rsidRPr="00B4515A">
              <w:rPr>
                <w:rFonts w:ascii="Times New Roman" w:hAnsi="Times New Roman" w:cs="Times New Roman"/>
                <w:sz w:val="21"/>
                <w:szCs w:val="21"/>
              </w:rPr>
              <w:t>本公司及相关企业</w:t>
            </w:r>
            <w:r w:rsidRPr="00B4515A">
              <w:rPr>
                <w:rFonts w:cs="Times New Roman" w:hint="eastAsia"/>
                <w:sz w:val="21"/>
                <w:szCs w:val="21"/>
              </w:rPr>
              <w:t>”</w:t>
            </w:r>
            <w:r w:rsidRPr="00B4515A">
              <w:rPr>
                <w:rFonts w:ascii="Times New Roman" w:hAnsi="Times New Roman" w:cs="Times New Roman"/>
                <w:sz w:val="21"/>
                <w:szCs w:val="21"/>
              </w:rPr>
              <w:t>，不含上市公司及其下属子公司）与上市公司主营业务不存在相竞争的业务，本次交易不会导致本公司与上市公司增加同业竞争。</w:t>
            </w:r>
          </w:p>
          <w:p w14:paraId="26535BC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、本公司保证绝不利用对上市公司的了解和知悉的信息协助第三方从事、参与或投资与上市公司相竞争的业务或项目。</w:t>
            </w:r>
          </w:p>
          <w:p w14:paraId="66F4587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、本承诺函在上市公司合法有效存续且在本公司对上市公司拥有控制权期间持续有效。</w:t>
            </w:r>
            <w:r w:rsidRPr="00B4515A">
              <w:rPr>
                <w:rFonts w:cs="Times New Roman"/>
                <w:sz w:val="21"/>
                <w:szCs w:val="21"/>
              </w:rPr>
              <w:t>”</w:t>
            </w:r>
          </w:p>
        </w:tc>
      </w:tr>
      <w:tr w:rsidR="006416B0" w:rsidRPr="00B4515A" w14:paraId="02C0F112" w14:textId="77777777" w:rsidTr="00031627">
        <w:trPr>
          <w:trHeight w:val="340"/>
          <w:jc w:val="center"/>
        </w:trPr>
        <w:tc>
          <w:tcPr>
            <w:tcW w:w="649" w:type="pct"/>
            <w:tcMar>
              <w:top w:w="0" w:type="dxa"/>
              <w:left w:w="108" w:type="dxa"/>
              <w:bottom w:w="0" w:type="dxa"/>
              <w:right w:w="108" w:type="dxa"/>
            </w:tcMar>
            <w:vAlign w:val="center"/>
          </w:tcPr>
          <w:p w14:paraId="5242D29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中国信科集团</w:t>
            </w:r>
          </w:p>
        </w:tc>
        <w:tc>
          <w:tcPr>
            <w:tcW w:w="798" w:type="pct"/>
            <w:tcMar>
              <w:top w:w="0" w:type="dxa"/>
              <w:left w:w="108" w:type="dxa"/>
              <w:bottom w:w="0" w:type="dxa"/>
              <w:right w:w="108" w:type="dxa"/>
            </w:tcMar>
            <w:vAlign w:val="center"/>
          </w:tcPr>
          <w:p w14:paraId="6894D83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关于减少和规范关联交易的承诺函</w:t>
            </w:r>
          </w:p>
        </w:tc>
        <w:tc>
          <w:tcPr>
            <w:tcW w:w="3553" w:type="pct"/>
            <w:tcMar>
              <w:top w:w="0" w:type="dxa"/>
              <w:left w:w="108" w:type="dxa"/>
              <w:bottom w:w="0" w:type="dxa"/>
              <w:right w:w="108" w:type="dxa"/>
            </w:tcMar>
            <w:vAlign w:val="center"/>
          </w:tcPr>
          <w:p w14:paraId="3137CA7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hint="eastAsia"/>
                <w:sz w:val="21"/>
                <w:szCs w:val="21"/>
              </w:rPr>
              <w:t>１</w:t>
            </w:r>
            <w:r w:rsidRPr="00B4515A">
              <w:rPr>
                <w:rFonts w:ascii="Times New Roman" w:hAnsi="Times New Roman" w:cs="Times New Roman"/>
                <w:sz w:val="21"/>
                <w:szCs w:val="21"/>
              </w:rPr>
              <w:t>、本公司将尽可能地避免和减少与大唐电信（含其全资及控股子公司，下同）的关联交易；对无法避免或者有合理原因而发生的关联交易，将遵循平等、自愿、公平的原则，按照合理和正常的商业交易条件进行，并保证不通过关联交易损害大唐电信及其他股东的合法权益。</w:t>
            </w:r>
          </w:p>
          <w:p w14:paraId="445FF7B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、本公司在间接控股大唐电信期间，将不会以借款、代偿款项、要求提供担保或者其他任何方式非法占用大唐电信的资金或资产，不会利用其控制地位影响大唐电信的独立性，以确保大唐电</w:t>
            </w:r>
            <w:r w:rsidRPr="00B4515A">
              <w:rPr>
                <w:rFonts w:ascii="Times New Roman" w:hAnsi="Times New Roman" w:cs="Times New Roman"/>
                <w:sz w:val="21"/>
                <w:szCs w:val="21"/>
              </w:rPr>
              <w:lastRenderedPageBreak/>
              <w:t>信的规范运作。</w:t>
            </w:r>
          </w:p>
          <w:p w14:paraId="30AE632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对于无法避免或者有合理原因而发生的关联交易，本公司将严格按照有关法律、法规、规范性文件以及大唐电信的章程和关联交易决策制度等规定，在大唐电信董事会、股东大会对相关关联交易事项进行表决时，继续严格履行关联董事、关联股东回避表决的义务。</w:t>
            </w:r>
          </w:p>
          <w:p w14:paraId="2D1E697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、因本公司违反本承诺函，导致大唐电信遭受损失的，本公司将对由此给大唐电信造成的全部损失做出全面、及时和足额的赔偿，并保证积极消除由此造成的任何不利影响。</w:t>
            </w:r>
            <w:r w:rsidRPr="00B4515A">
              <w:rPr>
                <w:rFonts w:cs="Times New Roman"/>
                <w:sz w:val="21"/>
                <w:szCs w:val="21"/>
              </w:rPr>
              <w:t>”</w:t>
            </w:r>
          </w:p>
        </w:tc>
      </w:tr>
      <w:tr w:rsidR="006416B0" w:rsidRPr="00B4515A" w14:paraId="6CE1A2E4" w14:textId="77777777" w:rsidTr="00031627">
        <w:trPr>
          <w:trHeight w:val="340"/>
          <w:jc w:val="center"/>
        </w:trPr>
        <w:tc>
          <w:tcPr>
            <w:tcW w:w="649" w:type="pct"/>
            <w:tcMar>
              <w:top w:w="0" w:type="dxa"/>
              <w:left w:w="108" w:type="dxa"/>
              <w:bottom w:w="0" w:type="dxa"/>
              <w:right w:w="108" w:type="dxa"/>
            </w:tcMar>
            <w:vAlign w:val="center"/>
          </w:tcPr>
          <w:p w14:paraId="3EECF62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中国信科集团</w:t>
            </w:r>
          </w:p>
        </w:tc>
        <w:tc>
          <w:tcPr>
            <w:tcW w:w="798" w:type="pct"/>
            <w:tcMar>
              <w:top w:w="0" w:type="dxa"/>
              <w:left w:w="108" w:type="dxa"/>
              <w:bottom w:w="0" w:type="dxa"/>
              <w:right w:w="108" w:type="dxa"/>
            </w:tcMar>
            <w:vAlign w:val="center"/>
          </w:tcPr>
          <w:p w14:paraId="23AC6CB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关于保证上市公司独立性的承诺函</w:t>
            </w:r>
          </w:p>
        </w:tc>
        <w:tc>
          <w:tcPr>
            <w:tcW w:w="3553" w:type="pct"/>
            <w:tcMar>
              <w:top w:w="0" w:type="dxa"/>
              <w:left w:w="108" w:type="dxa"/>
              <w:bottom w:w="0" w:type="dxa"/>
              <w:right w:w="108" w:type="dxa"/>
            </w:tcMar>
            <w:vAlign w:val="center"/>
          </w:tcPr>
          <w:p w14:paraId="28D2C56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本公司将继续按照有关法律、法规、规范性文件的要求，做到与大唐电信在人员、资产、业务、机构、财务方面完全分开，不从事任何影响大唐电信人员独立、资产独立完整、业务独立、机构独立、财务独立的行为，不损害大唐电信及其他股东的利益，切实保障大唐电信在人员、资产、业务、机构和财务等方面的独立性。</w:t>
            </w:r>
          </w:p>
          <w:p w14:paraId="38ECBB7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如因本公司违反本承诺函导致大唐电信遭受损失的，本公司将对由此给大唐电信造成的全部损失做出全面、及时和足额的赔偿，并保证积极消除由此造成的任何不利影响。</w:t>
            </w:r>
            <w:r w:rsidRPr="00B4515A">
              <w:rPr>
                <w:rFonts w:cs="Times New Roman"/>
                <w:sz w:val="21"/>
                <w:szCs w:val="21"/>
              </w:rPr>
              <w:t>”</w:t>
            </w:r>
          </w:p>
        </w:tc>
      </w:tr>
      <w:tr w:rsidR="006416B0" w:rsidRPr="00B4515A" w14:paraId="50093CF9" w14:textId="77777777" w:rsidTr="00031627">
        <w:trPr>
          <w:trHeight w:val="340"/>
          <w:jc w:val="center"/>
        </w:trPr>
        <w:tc>
          <w:tcPr>
            <w:tcW w:w="649" w:type="pct"/>
            <w:tcMar>
              <w:top w:w="0" w:type="dxa"/>
              <w:left w:w="108" w:type="dxa"/>
              <w:bottom w:w="0" w:type="dxa"/>
              <w:right w:w="108" w:type="dxa"/>
            </w:tcMar>
            <w:vAlign w:val="center"/>
          </w:tcPr>
          <w:p w14:paraId="2733080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中国信科集团</w:t>
            </w:r>
          </w:p>
        </w:tc>
        <w:tc>
          <w:tcPr>
            <w:tcW w:w="798" w:type="pct"/>
            <w:tcMar>
              <w:top w:w="0" w:type="dxa"/>
              <w:left w:w="108" w:type="dxa"/>
              <w:bottom w:w="0" w:type="dxa"/>
              <w:right w:w="108" w:type="dxa"/>
            </w:tcMar>
            <w:vAlign w:val="center"/>
          </w:tcPr>
          <w:p w14:paraId="6BC7D07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关于提供资料真实、准确和完整的承诺函</w:t>
            </w:r>
          </w:p>
        </w:tc>
        <w:tc>
          <w:tcPr>
            <w:tcW w:w="3553" w:type="pct"/>
            <w:tcMar>
              <w:top w:w="0" w:type="dxa"/>
              <w:left w:w="108" w:type="dxa"/>
              <w:bottom w:w="0" w:type="dxa"/>
              <w:right w:w="108" w:type="dxa"/>
            </w:tcMar>
            <w:vAlign w:val="center"/>
          </w:tcPr>
          <w:p w14:paraId="6B95D3A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、本公司保证为本次交易所提供的有关信息真实、准确和完整，不存在虚假记载、误导性陈述或者重大遗漏，并对所提供信息的真实性、准确性和完整性承担个别及连带责任。</w:t>
            </w:r>
          </w:p>
          <w:p w14:paraId="6DE586E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承诺及时向大唐电信和参与本次交易的各中介机构提供本次交易所必需的全部原始书面资料、副本资料、复印件或口头证言和其他信息，保证为本次交易所提供的文件真实、准确、完整，不存在虚假记载、误导性陈述或重大遗漏。</w:t>
            </w:r>
          </w:p>
          <w:p w14:paraId="1975590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保证向大唐电信和参与本次交易的各中介机构所提供的资料副本或复印件与其原始资料或原件一致，所有文件的签名、印章均是真实和有效的，各文件的正本或原件的效力在其有效期内均未被有关政府部门撤销。</w:t>
            </w:r>
          </w:p>
          <w:p w14:paraId="45E47CC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、本公司不存在泄露本次交易内幕信息的情形，亦不存在利用本次交易信息进行内幕交易的情形或从事市场操纵等禁止交易的行为。</w:t>
            </w:r>
          </w:p>
          <w:p w14:paraId="6993394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本公司承诺，如本次交易所提供或披露的信息涉嫌虚假记载、误导性陈述或者重大遗漏，被司法机关立案侦查或者被中国证监会立案调查的，在形成调查结论以前，不转让在大唐电信拥有的股份，并于收到立案稽查通知的两个交易日内将暂停转让的书面申请和股票账户提交大唐电信董事会，由大唐电信董事会代其向证券交易所和登记结算公司申请锁定；未在两个交易日内提交锁定申请的，授权大唐电信董事会核实后直接向证券交易所和登记结算公司报送本公司的身份信息和账户信息并申请锁定；大唐电信董事会未向证券交易所和登记结算公司报送本公司的身份信息和账户信息的，授权证券交易所和登记结算公司直接锁定相关股份。如调查结论发现存在违法违规情形，本公司承诺锁定股份自愿用于相关投资者赔偿安排。</w:t>
            </w:r>
            <w:r w:rsidRPr="00B4515A">
              <w:rPr>
                <w:rFonts w:cs="Times New Roman"/>
                <w:sz w:val="21"/>
                <w:szCs w:val="21"/>
              </w:rPr>
              <w:t>”</w:t>
            </w:r>
          </w:p>
        </w:tc>
      </w:tr>
      <w:tr w:rsidR="006416B0" w:rsidRPr="00B4515A" w14:paraId="1329EBE1" w14:textId="77777777" w:rsidTr="00031627">
        <w:trPr>
          <w:trHeight w:val="340"/>
          <w:jc w:val="center"/>
        </w:trPr>
        <w:tc>
          <w:tcPr>
            <w:tcW w:w="649" w:type="pct"/>
            <w:tcMar>
              <w:top w:w="0" w:type="dxa"/>
              <w:left w:w="108" w:type="dxa"/>
              <w:bottom w:w="0" w:type="dxa"/>
              <w:right w:w="108" w:type="dxa"/>
            </w:tcMar>
            <w:vAlign w:val="center"/>
          </w:tcPr>
          <w:p w14:paraId="0D74F0A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中国信科集团</w:t>
            </w:r>
          </w:p>
        </w:tc>
        <w:tc>
          <w:tcPr>
            <w:tcW w:w="798" w:type="pct"/>
            <w:tcMar>
              <w:top w:w="0" w:type="dxa"/>
              <w:left w:w="108" w:type="dxa"/>
              <w:bottom w:w="0" w:type="dxa"/>
              <w:right w:w="108" w:type="dxa"/>
            </w:tcMar>
            <w:vAlign w:val="center"/>
          </w:tcPr>
          <w:p w14:paraId="5A41FCF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关于资金来源合法性的承诺函</w:t>
            </w:r>
          </w:p>
        </w:tc>
        <w:tc>
          <w:tcPr>
            <w:tcW w:w="3553" w:type="pct"/>
            <w:tcMar>
              <w:top w:w="0" w:type="dxa"/>
              <w:left w:w="108" w:type="dxa"/>
              <w:bottom w:w="0" w:type="dxa"/>
              <w:right w:w="108" w:type="dxa"/>
            </w:tcMar>
            <w:vAlign w:val="center"/>
          </w:tcPr>
          <w:p w14:paraId="309304B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本公司以自有资金或合法筹集的资金认购大唐电信本次非公开发行的</w:t>
            </w:r>
            <w:r w:rsidRPr="00B4515A">
              <w:rPr>
                <w:rFonts w:ascii="Times New Roman" w:hAnsi="Times New Roman" w:cs="Times New Roman"/>
                <w:sz w:val="21"/>
                <w:szCs w:val="21"/>
              </w:rPr>
              <w:t>A</w:t>
            </w:r>
            <w:r w:rsidRPr="00B4515A">
              <w:rPr>
                <w:rFonts w:ascii="Times New Roman" w:hAnsi="Times New Roman" w:cs="Times New Roman"/>
                <w:sz w:val="21"/>
                <w:szCs w:val="21"/>
              </w:rPr>
              <w:t>股股份，不存在通过代持、信托、受托持股等方式认购大唐电信非公开发行</w:t>
            </w:r>
            <w:r w:rsidRPr="00B4515A">
              <w:rPr>
                <w:rFonts w:ascii="Times New Roman" w:hAnsi="Times New Roman" w:cs="Times New Roman"/>
                <w:sz w:val="21"/>
                <w:szCs w:val="21"/>
              </w:rPr>
              <w:t>A</w:t>
            </w:r>
            <w:r w:rsidRPr="00B4515A">
              <w:rPr>
                <w:rFonts w:ascii="Times New Roman" w:hAnsi="Times New Roman" w:cs="Times New Roman"/>
                <w:sz w:val="21"/>
                <w:szCs w:val="21"/>
              </w:rPr>
              <w:t>股股票的情形，亦不存在资金直接或间接来源于上市公司的情形。</w:t>
            </w:r>
            <w:r w:rsidRPr="00B4515A">
              <w:rPr>
                <w:rFonts w:cs="Times New Roman" w:hint="eastAsia"/>
                <w:sz w:val="21"/>
                <w:szCs w:val="21"/>
              </w:rPr>
              <w:t>”</w:t>
            </w:r>
          </w:p>
        </w:tc>
      </w:tr>
      <w:tr w:rsidR="006416B0" w:rsidRPr="00B4515A" w14:paraId="1A7D8CCA" w14:textId="77777777" w:rsidTr="00031627">
        <w:trPr>
          <w:trHeight w:val="340"/>
          <w:jc w:val="center"/>
        </w:trPr>
        <w:tc>
          <w:tcPr>
            <w:tcW w:w="649" w:type="pct"/>
            <w:tcMar>
              <w:top w:w="0" w:type="dxa"/>
              <w:left w:w="108" w:type="dxa"/>
              <w:bottom w:w="0" w:type="dxa"/>
              <w:right w:w="108" w:type="dxa"/>
            </w:tcMar>
            <w:vAlign w:val="center"/>
          </w:tcPr>
          <w:p w14:paraId="4A4ADE1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中国信科</w:t>
            </w:r>
            <w:r w:rsidRPr="00B4515A">
              <w:rPr>
                <w:rFonts w:ascii="Times New Roman" w:hAnsi="Times New Roman" w:cs="Times New Roman" w:hint="eastAsia"/>
                <w:sz w:val="21"/>
                <w:szCs w:val="21"/>
              </w:rPr>
              <w:lastRenderedPageBreak/>
              <w:t>集团</w:t>
            </w:r>
          </w:p>
        </w:tc>
        <w:tc>
          <w:tcPr>
            <w:tcW w:w="798" w:type="pct"/>
            <w:tcMar>
              <w:top w:w="0" w:type="dxa"/>
              <w:left w:w="108" w:type="dxa"/>
              <w:bottom w:w="0" w:type="dxa"/>
              <w:right w:w="108" w:type="dxa"/>
            </w:tcMar>
            <w:vAlign w:val="center"/>
          </w:tcPr>
          <w:p w14:paraId="35362F6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关于具备交</w:t>
            </w:r>
            <w:r w:rsidRPr="00B4515A">
              <w:rPr>
                <w:rFonts w:ascii="Times New Roman" w:hAnsi="Times New Roman" w:cs="Times New Roman"/>
                <w:sz w:val="21"/>
                <w:szCs w:val="21"/>
              </w:rPr>
              <w:lastRenderedPageBreak/>
              <w:t>易主体资格的承诺函</w:t>
            </w:r>
          </w:p>
        </w:tc>
        <w:tc>
          <w:tcPr>
            <w:tcW w:w="3553" w:type="pct"/>
            <w:tcMar>
              <w:top w:w="0" w:type="dxa"/>
              <w:left w:w="108" w:type="dxa"/>
              <w:bottom w:w="0" w:type="dxa"/>
              <w:right w:w="108" w:type="dxa"/>
            </w:tcMar>
            <w:vAlign w:val="center"/>
          </w:tcPr>
          <w:p w14:paraId="7AC48A1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lastRenderedPageBreak/>
              <w:t>“</w:t>
            </w:r>
            <w:r w:rsidRPr="00B4515A">
              <w:rPr>
                <w:rFonts w:ascii="Times New Roman" w:hAnsi="Times New Roman" w:cs="Times New Roman"/>
                <w:sz w:val="21"/>
                <w:szCs w:val="21"/>
              </w:rPr>
              <w:t>一、本公司作为依据设立地法律设立并有效存续的公司，不存</w:t>
            </w:r>
            <w:r w:rsidRPr="00B4515A">
              <w:rPr>
                <w:rFonts w:ascii="Times New Roman" w:hAnsi="Times New Roman" w:cs="Times New Roman"/>
                <w:sz w:val="21"/>
                <w:szCs w:val="21"/>
              </w:rPr>
              <w:lastRenderedPageBreak/>
              <w:t>在相关法律、法规和规范性文件规定的不得认购上市公司股份的情形，具备作为本次交易的交易对方的主体资格。</w:t>
            </w:r>
          </w:p>
          <w:p w14:paraId="60F22C6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二、本公司不存在利用上市公司的收购损害大唐电信及其股东的合法权益的情形，不存在《上市公司收购管理办法》第六条规定的如下情形：</w:t>
            </w:r>
          </w:p>
          <w:p w14:paraId="459E777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1.</w:t>
            </w:r>
            <w:r w:rsidRPr="00B4515A">
              <w:rPr>
                <w:rFonts w:ascii="Times New Roman" w:hAnsi="Times New Roman" w:cs="Times New Roman"/>
                <w:sz w:val="21"/>
                <w:szCs w:val="21"/>
              </w:rPr>
              <w:t>负有数额较大债务，到期未清偿，且处于持续状态；</w:t>
            </w:r>
          </w:p>
          <w:p w14:paraId="6B59AFF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最近</w:t>
            </w:r>
            <w:r w:rsidRPr="00B4515A">
              <w:rPr>
                <w:rFonts w:ascii="Times New Roman" w:hAnsi="Times New Roman" w:cs="Times New Roman"/>
                <w:sz w:val="21"/>
                <w:szCs w:val="21"/>
              </w:rPr>
              <w:t>3</w:t>
            </w:r>
            <w:r w:rsidRPr="00B4515A">
              <w:rPr>
                <w:rFonts w:ascii="Times New Roman" w:hAnsi="Times New Roman" w:cs="Times New Roman"/>
                <w:sz w:val="21"/>
                <w:szCs w:val="21"/>
              </w:rPr>
              <w:t>年有重大违法行为或者涉嫌有重大违法行为；</w:t>
            </w:r>
          </w:p>
          <w:p w14:paraId="6AC1CA7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最近</w:t>
            </w:r>
            <w:r w:rsidRPr="00B4515A">
              <w:rPr>
                <w:rFonts w:ascii="Times New Roman" w:hAnsi="Times New Roman" w:cs="Times New Roman"/>
                <w:sz w:val="21"/>
                <w:szCs w:val="21"/>
              </w:rPr>
              <w:t>3</w:t>
            </w:r>
            <w:r w:rsidRPr="00B4515A">
              <w:rPr>
                <w:rFonts w:ascii="Times New Roman" w:hAnsi="Times New Roman" w:cs="Times New Roman"/>
                <w:sz w:val="21"/>
                <w:szCs w:val="21"/>
              </w:rPr>
              <w:t>年有严重的证券市场失信行为；</w:t>
            </w:r>
          </w:p>
          <w:p w14:paraId="27800DD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法律、行政法规规定以及中国证监会认定的不得收购上市公司的其他情形。</w:t>
            </w:r>
          </w:p>
          <w:p w14:paraId="769EF0A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三、截至本承诺函出具日，本公司及董事、监事、高级管理人员不存在因涉嫌犯罪正被司法机关立案侦查或涉嫌违法违规正被中国证监会立案调查的情形。</w:t>
            </w:r>
          </w:p>
          <w:p w14:paraId="4A84105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四、本公司及董事、监事、高级管理人员在最近五年内诚信情况良好，不存在未按期偿还大额债务、未履行承诺或被中国证监会采取行政监管措施或受到证券交易所纪律处分的情况。</w:t>
            </w:r>
          </w:p>
          <w:p w14:paraId="4772A37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五、本公司及董事、监事、高级管理人员最近五年内不存在受到行政处罚（与证券市场明显无关的除外）、刑事处罚的情况。</w:t>
            </w:r>
          </w:p>
          <w:p w14:paraId="13F5838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六、本公司及董事、监事、高级管理人员不存在其他涉及与经济纠纷有关的重大民事诉讼和仲裁。</w:t>
            </w:r>
          </w:p>
          <w:p w14:paraId="4CC41C4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七、上述承诺内容真实、完整、准确，不存在虚假、误导性陈述，不存在重大遗漏。本公司完全了解作出虚假声明可能导致的后果，并愿承担因此产生的一切法律后果。</w:t>
            </w:r>
            <w:r w:rsidRPr="00B4515A">
              <w:rPr>
                <w:rFonts w:cs="Times New Roman" w:hint="eastAsia"/>
                <w:sz w:val="21"/>
                <w:szCs w:val="21"/>
              </w:rPr>
              <w:t>”</w:t>
            </w:r>
          </w:p>
        </w:tc>
      </w:tr>
      <w:tr w:rsidR="006416B0" w:rsidRPr="00B4515A" w14:paraId="7AE6FD57" w14:textId="77777777" w:rsidTr="00031627">
        <w:trPr>
          <w:trHeight w:val="340"/>
          <w:jc w:val="center"/>
        </w:trPr>
        <w:tc>
          <w:tcPr>
            <w:tcW w:w="649" w:type="pct"/>
            <w:tcMar>
              <w:top w:w="0" w:type="dxa"/>
              <w:left w:w="108" w:type="dxa"/>
              <w:bottom w:w="0" w:type="dxa"/>
              <w:right w:w="108" w:type="dxa"/>
            </w:tcMar>
            <w:vAlign w:val="center"/>
          </w:tcPr>
          <w:p w14:paraId="5D8ECF5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lastRenderedPageBreak/>
              <w:t>中国信科集团</w:t>
            </w:r>
          </w:p>
        </w:tc>
        <w:tc>
          <w:tcPr>
            <w:tcW w:w="798" w:type="pct"/>
            <w:tcMar>
              <w:top w:w="0" w:type="dxa"/>
              <w:left w:w="108" w:type="dxa"/>
              <w:bottom w:w="0" w:type="dxa"/>
              <w:right w:w="108" w:type="dxa"/>
            </w:tcMar>
            <w:vAlign w:val="center"/>
          </w:tcPr>
          <w:p w14:paraId="4AB4172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关于本次交易摊薄即期回报填补措施的承诺函</w:t>
            </w:r>
          </w:p>
        </w:tc>
        <w:tc>
          <w:tcPr>
            <w:tcW w:w="3553" w:type="pct"/>
            <w:tcMar>
              <w:top w:w="0" w:type="dxa"/>
              <w:left w:w="108" w:type="dxa"/>
              <w:bottom w:w="0" w:type="dxa"/>
              <w:right w:w="108" w:type="dxa"/>
            </w:tcMar>
            <w:vAlign w:val="center"/>
          </w:tcPr>
          <w:p w14:paraId="79E97DB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、继续保证上市公司的独立性，不越权干预上市公司经营管理活动，不侵占上市公司利益。</w:t>
            </w:r>
          </w:p>
          <w:p w14:paraId="0D8814E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自本承诺出具之日起至本次交易实施完毕前，若中国证监会、上海证券交易所作出关于填补回报措施及其承诺的其他新的监管规定的，且上述承诺不能满足中国证监会、上海证券交易所该等规定时，承诺届时将按照中国证监会、上海证券交易所的最新规定出具补充承诺。</w:t>
            </w:r>
          </w:p>
          <w:p w14:paraId="3896592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承诺切实履行上市公司制定的有关防范即期回报被摊薄措施以及本公司对此作出的任何有关防范即期回报被摊薄措施的承诺，若违反该等承诺并给上市公司或者投资者造成损失的，愿意依法承担对上市公司或者投资者的补偿责任。</w:t>
            </w:r>
            <w:r w:rsidRPr="00B4515A">
              <w:rPr>
                <w:rFonts w:cs="Times New Roman" w:hint="eastAsia"/>
                <w:sz w:val="21"/>
                <w:szCs w:val="21"/>
              </w:rPr>
              <w:t>”</w:t>
            </w:r>
          </w:p>
        </w:tc>
      </w:tr>
      <w:tr w:rsidR="006416B0" w:rsidRPr="00B4515A" w14:paraId="70D3E849" w14:textId="77777777" w:rsidTr="00031627">
        <w:trPr>
          <w:trHeight w:val="340"/>
          <w:jc w:val="center"/>
        </w:trPr>
        <w:tc>
          <w:tcPr>
            <w:tcW w:w="649" w:type="pct"/>
            <w:tcMar>
              <w:top w:w="0" w:type="dxa"/>
              <w:left w:w="108" w:type="dxa"/>
              <w:bottom w:w="0" w:type="dxa"/>
              <w:right w:w="108" w:type="dxa"/>
            </w:tcMar>
            <w:vAlign w:val="center"/>
          </w:tcPr>
          <w:p w14:paraId="0A91DA1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电信科研院</w:t>
            </w:r>
          </w:p>
        </w:tc>
        <w:tc>
          <w:tcPr>
            <w:tcW w:w="798" w:type="pct"/>
            <w:tcMar>
              <w:top w:w="0" w:type="dxa"/>
              <w:left w:w="108" w:type="dxa"/>
              <w:bottom w:w="0" w:type="dxa"/>
              <w:right w:w="108" w:type="dxa"/>
            </w:tcMar>
            <w:vAlign w:val="center"/>
          </w:tcPr>
          <w:p w14:paraId="18682BA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关于与大唐联诚信息系统技术有限公司不存在同业竞争的承诺函</w:t>
            </w:r>
          </w:p>
        </w:tc>
        <w:tc>
          <w:tcPr>
            <w:tcW w:w="3553" w:type="pct"/>
            <w:tcMar>
              <w:top w:w="0" w:type="dxa"/>
              <w:left w:w="108" w:type="dxa"/>
              <w:bottom w:w="0" w:type="dxa"/>
              <w:right w:w="108" w:type="dxa"/>
            </w:tcMar>
            <w:vAlign w:val="center"/>
          </w:tcPr>
          <w:p w14:paraId="6F5E645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、本公司自身主要作为总部持有各子公司股权，基本不开展实体业务。</w:t>
            </w:r>
          </w:p>
          <w:p w14:paraId="133CB8A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、截至本函出具之日，本公司及下属全资、控股子公司及其他可实际控制企业（不含大唐联诚）与大唐联诚主营业务不存在相竞争的业务，本次交易不会导致本公司与大唐电信增加同业竞争。</w:t>
            </w:r>
          </w:p>
          <w:p w14:paraId="1B83833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、本公司保证绝不利用对大唐联诚的了解和知悉的信息协助第三方从事、参与或投资与大唐联诚相竞争的业务或项目。</w:t>
            </w:r>
          </w:p>
          <w:p w14:paraId="1F4D3AC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、如本次交易成功完成，本承诺函在上市公司合法有效存续且本公司作为上市公司控股股东期间持续有效。</w:t>
            </w:r>
            <w:r w:rsidRPr="00B4515A">
              <w:rPr>
                <w:rFonts w:cs="Times New Roman" w:hint="eastAsia"/>
                <w:sz w:val="21"/>
                <w:szCs w:val="21"/>
              </w:rPr>
              <w:t>”</w:t>
            </w:r>
          </w:p>
        </w:tc>
      </w:tr>
      <w:tr w:rsidR="006416B0" w:rsidRPr="00B4515A" w14:paraId="40202520" w14:textId="77777777" w:rsidTr="00031627">
        <w:trPr>
          <w:trHeight w:val="340"/>
          <w:jc w:val="center"/>
        </w:trPr>
        <w:tc>
          <w:tcPr>
            <w:tcW w:w="649" w:type="pct"/>
            <w:tcMar>
              <w:top w:w="0" w:type="dxa"/>
              <w:left w:w="108" w:type="dxa"/>
              <w:bottom w:w="0" w:type="dxa"/>
              <w:right w:w="108" w:type="dxa"/>
            </w:tcMar>
            <w:vAlign w:val="center"/>
          </w:tcPr>
          <w:p w14:paraId="0C83211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电信科研院、大唐控股</w:t>
            </w:r>
          </w:p>
        </w:tc>
        <w:tc>
          <w:tcPr>
            <w:tcW w:w="798" w:type="pct"/>
            <w:tcMar>
              <w:top w:w="0" w:type="dxa"/>
              <w:left w:w="108" w:type="dxa"/>
              <w:bottom w:w="0" w:type="dxa"/>
              <w:right w:w="108" w:type="dxa"/>
            </w:tcMar>
            <w:vAlign w:val="center"/>
          </w:tcPr>
          <w:p w14:paraId="1D9A6B9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关于股份锁定期的承诺函</w:t>
            </w:r>
          </w:p>
        </w:tc>
        <w:tc>
          <w:tcPr>
            <w:tcW w:w="3553" w:type="pct"/>
            <w:tcMar>
              <w:top w:w="0" w:type="dxa"/>
              <w:left w:w="108" w:type="dxa"/>
              <w:bottom w:w="0" w:type="dxa"/>
              <w:right w:w="108" w:type="dxa"/>
            </w:tcMar>
            <w:vAlign w:val="center"/>
          </w:tcPr>
          <w:p w14:paraId="481F5F9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、本公司在本次交易完成前已持有的大唐电信股份，自本次交易完成后</w:t>
            </w:r>
            <w:r w:rsidRPr="00B4515A">
              <w:rPr>
                <w:rFonts w:ascii="Times New Roman" w:hAnsi="Times New Roman" w:cs="Times New Roman"/>
                <w:sz w:val="21"/>
                <w:szCs w:val="21"/>
              </w:rPr>
              <w:t>18</w:t>
            </w:r>
            <w:r w:rsidRPr="00B4515A">
              <w:rPr>
                <w:rFonts w:ascii="Times New Roman" w:hAnsi="Times New Roman" w:cs="Times New Roman"/>
                <w:sz w:val="21"/>
                <w:szCs w:val="21"/>
              </w:rPr>
              <w:t>个月内不得转让。</w:t>
            </w:r>
          </w:p>
          <w:p w14:paraId="76A22F5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本企业通过本次交易取得的大唐电信的股份自该等股份发行结束之日起</w:t>
            </w:r>
            <w:r w:rsidRPr="00B4515A">
              <w:rPr>
                <w:rFonts w:ascii="Times New Roman" w:hAnsi="Times New Roman" w:cs="Times New Roman"/>
                <w:sz w:val="21"/>
                <w:szCs w:val="21"/>
              </w:rPr>
              <w:t>36</w:t>
            </w:r>
            <w:r w:rsidRPr="00B4515A">
              <w:rPr>
                <w:rFonts w:ascii="Times New Roman" w:hAnsi="Times New Roman" w:cs="Times New Roman"/>
                <w:sz w:val="21"/>
                <w:szCs w:val="21"/>
              </w:rPr>
              <w:t>个月不得转让。如未来本公司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本企业还需承担业绩承诺及补偿义务，本公司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本企业所持有股份还应遵守相</w:t>
            </w:r>
            <w:r w:rsidRPr="00B4515A">
              <w:rPr>
                <w:rFonts w:ascii="Times New Roman" w:hAnsi="Times New Roman" w:cs="Times New Roman"/>
                <w:sz w:val="21"/>
                <w:szCs w:val="21"/>
              </w:rPr>
              <w:lastRenderedPageBreak/>
              <w:t>关业绩承诺中对于锁定期的要求。</w:t>
            </w:r>
          </w:p>
          <w:p w14:paraId="46FF0B8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、限售期内，本公司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本企业如因大唐电信实施送股、配股、资本公积转增股本等原因而由上述认购股份衍生取得的大唐电信的股份，亦应遵守上述锁定期约定。</w:t>
            </w:r>
          </w:p>
          <w:p w14:paraId="416900B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因本次交易股份购买资产所获得的大唐电信的股份在限售期届满后减持时，需遵守《中华人民共和国公司法》、《中华人民共和国证券法》、《上海证券交易所股票上市规则》等法律、法规、规章、规范性文件以及大唐电信公司章程的相关规定。</w:t>
            </w:r>
          </w:p>
          <w:p w14:paraId="744E71A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、若股份的锁定期规定与证券监管机构的最新监管意见不相符，将根据相关证券监管机构的监管意见进行相应调整。</w:t>
            </w:r>
          </w:p>
          <w:p w14:paraId="006B24C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6</w:t>
            </w:r>
            <w:r w:rsidRPr="00B4515A">
              <w:rPr>
                <w:rFonts w:ascii="Times New Roman" w:hAnsi="Times New Roman" w:cs="Times New Roman"/>
                <w:sz w:val="21"/>
                <w:szCs w:val="21"/>
              </w:rPr>
              <w:t>、本次交易完成后</w:t>
            </w:r>
            <w:r w:rsidRPr="00B4515A">
              <w:rPr>
                <w:rFonts w:ascii="Times New Roman" w:hAnsi="Times New Roman" w:cs="Times New Roman"/>
                <w:sz w:val="21"/>
                <w:szCs w:val="21"/>
              </w:rPr>
              <w:t>6</w:t>
            </w:r>
            <w:r w:rsidRPr="00B4515A">
              <w:rPr>
                <w:rFonts w:ascii="Times New Roman" w:hAnsi="Times New Roman" w:cs="Times New Roman"/>
                <w:sz w:val="21"/>
                <w:szCs w:val="21"/>
              </w:rPr>
              <w:t>个月内如大唐电信股票连续</w:t>
            </w:r>
            <w:r w:rsidRPr="00B4515A">
              <w:rPr>
                <w:rFonts w:ascii="Times New Roman" w:hAnsi="Times New Roman" w:cs="Times New Roman"/>
                <w:sz w:val="21"/>
                <w:szCs w:val="21"/>
              </w:rPr>
              <w:t>20</w:t>
            </w:r>
            <w:r w:rsidRPr="00B4515A">
              <w:rPr>
                <w:rFonts w:ascii="Times New Roman" w:hAnsi="Times New Roman" w:cs="Times New Roman"/>
                <w:sz w:val="21"/>
                <w:szCs w:val="21"/>
              </w:rPr>
              <w:t>个交易日的收盘价低于发行价，或者交易完成后</w:t>
            </w:r>
            <w:r w:rsidRPr="00B4515A">
              <w:rPr>
                <w:rFonts w:ascii="Times New Roman" w:hAnsi="Times New Roman" w:cs="Times New Roman"/>
                <w:sz w:val="21"/>
                <w:szCs w:val="21"/>
              </w:rPr>
              <w:t>6</w:t>
            </w:r>
            <w:r w:rsidRPr="00B4515A">
              <w:rPr>
                <w:rFonts w:ascii="Times New Roman" w:hAnsi="Times New Roman" w:cs="Times New Roman"/>
                <w:sz w:val="21"/>
                <w:szCs w:val="21"/>
              </w:rPr>
              <w:t>个月期末收盘价低于发行价的，本公司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本企业在本次交易中取得的大唐电信的股份的锁定期自动延长</w:t>
            </w:r>
            <w:r w:rsidRPr="00B4515A">
              <w:rPr>
                <w:rFonts w:ascii="Times New Roman" w:hAnsi="Times New Roman" w:cs="Times New Roman"/>
                <w:sz w:val="21"/>
                <w:szCs w:val="21"/>
              </w:rPr>
              <w:t>6</w:t>
            </w:r>
            <w:r w:rsidRPr="00B4515A">
              <w:rPr>
                <w:rFonts w:ascii="Times New Roman" w:hAnsi="Times New Roman" w:cs="Times New Roman"/>
                <w:sz w:val="21"/>
                <w:szCs w:val="21"/>
              </w:rPr>
              <w:t>个月（若上述期间上市公司发生派息、送股、转增股本或配股等除权除息事项的，则前述本次交易发行价以经除息、除权等因素调整后的价格计算）。</w:t>
            </w:r>
          </w:p>
          <w:p w14:paraId="296FC68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7</w:t>
            </w:r>
            <w:r w:rsidRPr="00B4515A">
              <w:rPr>
                <w:rFonts w:ascii="Times New Roman" w:hAnsi="Times New Roman" w:cs="Times New Roman"/>
                <w:sz w:val="21"/>
                <w:szCs w:val="21"/>
              </w:rPr>
              <w:t>、如本公司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本企业为本次交易所提供或披露的信息涉嫌虚假记载、误导性陈述或者重大遗漏，被司法机关立案侦查或者被中国证监会立案调查的，在形成调查结论以前，本公司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本企业不得转让其在大唐电信拥有权益的股份。</w:t>
            </w:r>
            <w:r w:rsidRPr="00B4515A">
              <w:rPr>
                <w:rFonts w:cs="Times New Roman"/>
                <w:sz w:val="21"/>
                <w:szCs w:val="21"/>
              </w:rPr>
              <w:t>”</w:t>
            </w:r>
          </w:p>
        </w:tc>
      </w:tr>
      <w:tr w:rsidR="006416B0" w:rsidRPr="00B4515A" w14:paraId="2D6180BA" w14:textId="77777777" w:rsidTr="00031627">
        <w:trPr>
          <w:trHeight w:val="340"/>
          <w:jc w:val="center"/>
        </w:trPr>
        <w:tc>
          <w:tcPr>
            <w:tcW w:w="649" w:type="pct"/>
            <w:tcMar>
              <w:top w:w="0" w:type="dxa"/>
              <w:left w:w="108" w:type="dxa"/>
              <w:bottom w:w="0" w:type="dxa"/>
              <w:right w:w="108" w:type="dxa"/>
            </w:tcMar>
            <w:vAlign w:val="center"/>
          </w:tcPr>
          <w:p w14:paraId="2C3D1A2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电信科研院</w:t>
            </w:r>
          </w:p>
        </w:tc>
        <w:tc>
          <w:tcPr>
            <w:tcW w:w="798" w:type="pct"/>
            <w:tcMar>
              <w:top w:w="0" w:type="dxa"/>
              <w:left w:w="108" w:type="dxa"/>
              <w:bottom w:w="0" w:type="dxa"/>
              <w:right w:w="108" w:type="dxa"/>
            </w:tcMar>
            <w:vAlign w:val="center"/>
          </w:tcPr>
          <w:p w14:paraId="3F21EE8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关于不存在股份减持计划的承诺函</w:t>
            </w:r>
          </w:p>
        </w:tc>
        <w:tc>
          <w:tcPr>
            <w:tcW w:w="3553" w:type="pct"/>
            <w:tcMar>
              <w:top w:w="0" w:type="dxa"/>
              <w:left w:w="108" w:type="dxa"/>
              <w:bottom w:w="0" w:type="dxa"/>
              <w:right w:w="108" w:type="dxa"/>
            </w:tcMar>
            <w:vAlign w:val="center"/>
          </w:tcPr>
          <w:p w14:paraId="13C8F4D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、截至本承诺函出具之日，本公司无任何减持大唐电信股份的计划。</w:t>
            </w:r>
          </w:p>
          <w:p w14:paraId="1F655AE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、本次交易过程中，自大唐电信股票复牌之日起至本次交易实施完毕期间，本公司不存在减持大唐电信股份的计划。</w:t>
            </w:r>
          </w:p>
          <w:p w14:paraId="0E5D53B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、本承诺函自签署之日起对本公司具有法律约束力，若因本公司违反本承诺函的承诺内容而导致大唐电信受到损失的，本公司将依法承担相应赔偿责任。</w:t>
            </w:r>
            <w:r w:rsidRPr="00B4515A">
              <w:rPr>
                <w:rFonts w:cs="Times New Roman"/>
                <w:sz w:val="21"/>
                <w:szCs w:val="21"/>
              </w:rPr>
              <w:t>”</w:t>
            </w:r>
          </w:p>
        </w:tc>
      </w:tr>
      <w:tr w:rsidR="006416B0" w:rsidRPr="00B4515A" w14:paraId="6CC1BD41" w14:textId="77777777" w:rsidTr="00031627">
        <w:trPr>
          <w:trHeight w:val="340"/>
          <w:jc w:val="center"/>
        </w:trPr>
        <w:tc>
          <w:tcPr>
            <w:tcW w:w="649" w:type="pct"/>
            <w:tcMar>
              <w:top w:w="0" w:type="dxa"/>
              <w:left w:w="108" w:type="dxa"/>
              <w:bottom w:w="0" w:type="dxa"/>
              <w:right w:w="108" w:type="dxa"/>
            </w:tcMar>
            <w:vAlign w:val="center"/>
          </w:tcPr>
          <w:p w14:paraId="109432F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大唐控股</w:t>
            </w:r>
          </w:p>
        </w:tc>
        <w:tc>
          <w:tcPr>
            <w:tcW w:w="798" w:type="pct"/>
            <w:tcMar>
              <w:top w:w="0" w:type="dxa"/>
              <w:left w:w="108" w:type="dxa"/>
              <w:bottom w:w="0" w:type="dxa"/>
              <w:right w:w="108" w:type="dxa"/>
            </w:tcMar>
            <w:vAlign w:val="center"/>
          </w:tcPr>
          <w:p w14:paraId="20740DF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关于不存在股份减持计划的承诺函</w:t>
            </w:r>
          </w:p>
        </w:tc>
        <w:tc>
          <w:tcPr>
            <w:tcW w:w="3553" w:type="pct"/>
            <w:tcMar>
              <w:top w:w="0" w:type="dxa"/>
              <w:left w:w="108" w:type="dxa"/>
              <w:bottom w:w="0" w:type="dxa"/>
              <w:right w:w="108" w:type="dxa"/>
            </w:tcMar>
            <w:vAlign w:val="center"/>
          </w:tcPr>
          <w:p w14:paraId="1F4792B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、截至本承诺函出具之日，本公司无任何减持大唐电信股份的计划。</w:t>
            </w:r>
          </w:p>
          <w:p w14:paraId="17D4713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、本次交易过程中，自大唐电信股票复牌之日起至本次交易实施完毕期间，本公司不存在减持大唐电信股份的计划。</w:t>
            </w:r>
          </w:p>
          <w:p w14:paraId="4C0812B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、本承诺函自签署之日起对本公司具有法律约束力，若因本公司违反本承诺函的承诺内容而导致大唐电信受到损失的，本公司将依法承担相应赔偿责任。</w:t>
            </w:r>
            <w:r w:rsidRPr="00B4515A">
              <w:rPr>
                <w:rFonts w:cs="Times New Roman"/>
                <w:sz w:val="21"/>
                <w:szCs w:val="21"/>
              </w:rPr>
              <w:t>”</w:t>
            </w:r>
          </w:p>
        </w:tc>
      </w:tr>
      <w:tr w:rsidR="006416B0" w:rsidRPr="00B4515A" w14:paraId="36C7609C" w14:textId="77777777" w:rsidTr="00031627">
        <w:trPr>
          <w:trHeight w:val="340"/>
          <w:jc w:val="center"/>
        </w:trPr>
        <w:tc>
          <w:tcPr>
            <w:tcW w:w="649" w:type="pct"/>
            <w:tcMar>
              <w:top w:w="0" w:type="dxa"/>
              <w:left w:w="108" w:type="dxa"/>
              <w:bottom w:w="0" w:type="dxa"/>
              <w:right w:w="108" w:type="dxa"/>
            </w:tcMar>
            <w:vAlign w:val="center"/>
          </w:tcPr>
          <w:p w14:paraId="5F86663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电信科研院</w:t>
            </w:r>
          </w:p>
        </w:tc>
        <w:tc>
          <w:tcPr>
            <w:tcW w:w="798" w:type="pct"/>
            <w:tcMar>
              <w:top w:w="0" w:type="dxa"/>
              <w:left w:w="108" w:type="dxa"/>
              <w:bottom w:w="0" w:type="dxa"/>
              <w:right w:w="108" w:type="dxa"/>
            </w:tcMar>
            <w:vAlign w:val="center"/>
          </w:tcPr>
          <w:p w14:paraId="420C32B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关于避免同业竞争的承诺函</w:t>
            </w:r>
          </w:p>
        </w:tc>
        <w:tc>
          <w:tcPr>
            <w:tcW w:w="3553" w:type="pct"/>
            <w:tcMar>
              <w:top w:w="0" w:type="dxa"/>
              <w:left w:w="108" w:type="dxa"/>
              <w:bottom w:w="0" w:type="dxa"/>
              <w:right w:w="108" w:type="dxa"/>
            </w:tcMar>
            <w:vAlign w:val="center"/>
          </w:tcPr>
          <w:p w14:paraId="690224B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、本次交易前，本公司及下属全资、控股子公司及其他可实际控制企业</w:t>
            </w:r>
            <w:r w:rsidRPr="00B4515A">
              <w:rPr>
                <w:rFonts w:ascii="Times New Roman" w:hAnsi="Times New Roman" w:cs="Times New Roman"/>
                <w:sz w:val="21"/>
                <w:szCs w:val="21"/>
              </w:rPr>
              <w:t>(</w:t>
            </w:r>
            <w:r w:rsidRPr="00B4515A">
              <w:rPr>
                <w:rFonts w:ascii="Times New Roman" w:hAnsi="Times New Roman" w:cs="Times New Roman"/>
                <w:sz w:val="21"/>
                <w:szCs w:val="21"/>
              </w:rPr>
              <w:t>以下统称为</w:t>
            </w:r>
            <w:r w:rsidRPr="00B4515A">
              <w:rPr>
                <w:rFonts w:cs="Times New Roman"/>
                <w:sz w:val="21"/>
                <w:szCs w:val="21"/>
              </w:rPr>
              <w:t>“</w:t>
            </w:r>
            <w:r w:rsidRPr="00B4515A">
              <w:rPr>
                <w:rFonts w:ascii="Times New Roman" w:hAnsi="Times New Roman" w:cs="Times New Roman"/>
                <w:sz w:val="21"/>
                <w:szCs w:val="21"/>
              </w:rPr>
              <w:t>本公司及相关企业</w:t>
            </w:r>
            <w:r w:rsidRPr="00B4515A">
              <w:rPr>
                <w:rFonts w:cs="Times New Roman"/>
                <w:sz w:val="21"/>
                <w:szCs w:val="21"/>
              </w:rPr>
              <w:t>”</w:t>
            </w:r>
            <w:r w:rsidRPr="00B4515A">
              <w:rPr>
                <w:rFonts w:ascii="Times New Roman" w:hAnsi="Times New Roman" w:cs="Times New Roman"/>
                <w:sz w:val="21"/>
                <w:szCs w:val="21"/>
              </w:rPr>
              <w:t>，不含上市公司及其下属子公司）与上市公司主营业务不存在相竞争的业务，本次交易不会导致本公司与上市公司增加同业竞争。</w:t>
            </w:r>
          </w:p>
          <w:p w14:paraId="12476DF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、本公司保证绝不利用对上市公司的了解和知悉的信息协助第三方从事、参与或投资与上市公司相竞争的业务或项目。</w:t>
            </w:r>
          </w:p>
          <w:p w14:paraId="5951EB9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、本承诺函在上市公司合法有效存续且本公司作为上市公司控股股东期间持续有效。</w:t>
            </w:r>
            <w:r w:rsidRPr="00B4515A">
              <w:rPr>
                <w:rFonts w:cs="Times New Roman"/>
                <w:sz w:val="21"/>
                <w:szCs w:val="21"/>
              </w:rPr>
              <w:t>”</w:t>
            </w:r>
          </w:p>
        </w:tc>
      </w:tr>
      <w:tr w:rsidR="006416B0" w:rsidRPr="00B4515A" w14:paraId="64B7D0E5" w14:textId="77777777" w:rsidTr="00031627">
        <w:trPr>
          <w:trHeight w:val="340"/>
          <w:jc w:val="center"/>
        </w:trPr>
        <w:tc>
          <w:tcPr>
            <w:tcW w:w="649" w:type="pct"/>
            <w:tcMar>
              <w:top w:w="0" w:type="dxa"/>
              <w:left w:w="108" w:type="dxa"/>
              <w:bottom w:w="0" w:type="dxa"/>
              <w:right w:w="108" w:type="dxa"/>
            </w:tcMar>
            <w:vAlign w:val="center"/>
          </w:tcPr>
          <w:p w14:paraId="19D2245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大唐控股</w:t>
            </w:r>
          </w:p>
        </w:tc>
        <w:tc>
          <w:tcPr>
            <w:tcW w:w="798" w:type="pct"/>
            <w:tcMar>
              <w:top w:w="0" w:type="dxa"/>
              <w:left w:w="108" w:type="dxa"/>
              <w:bottom w:w="0" w:type="dxa"/>
              <w:right w:w="108" w:type="dxa"/>
            </w:tcMar>
            <w:vAlign w:val="center"/>
          </w:tcPr>
          <w:p w14:paraId="2DC8745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关于避免同业竞争的承诺函</w:t>
            </w:r>
          </w:p>
        </w:tc>
        <w:tc>
          <w:tcPr>
            <w:tcW w:w="3553" w:type="pct"/>
            <w:tcMar>
              <w:top w:w="0" w:type="dxa"/>
              <w:left w:w="108" w:type="dxa"/>
              <w:bottom w:w="0" w:type="dxa"/>
              <w:right w:w="108" w:type="dxa"/>
            </w:tcMar>
            <w:vAlign w:val="center"/>
          </w:tcPr>
          <w:p w14:paraId="7E23446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、本次交易前，本公司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本企业及下属全资、控股子公司及其他可实际控制企业与上市公司主营业务不存在相竞争的业务，本次交易不会导致本公司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本企业与上市公司增加同业竞争。</w:t>
            </w:r>
          </w:p>
          <w:p w14:paraId="2A0422B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本企业保证绝不利用对上市公司的了解和知悉的信息协助第三方从事、参与或投资与上市公司相竞争的业务或项目。</w:t>
            </w:r>
          </w:p>
          <w:p w14:paraId="7BB4DE0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、本承诺函在上市公司合法有效存续且在本公司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本企业作为上</w:t>
            </w:r>
            <w:r w:rsidRPr="00B4515A">
              <w:rPr>
                <w:rFonts w:ascii="Times New Roman" w:hAnsi="Times New Roman" w:cs="Times New Roman"/>
                <w:sz w:val="21"/>
                <w:szCs w:val="21"/>
              </w:rPr>
              <w:lastRenderedPageBreak/>
              <w:t>市公司股东期间持续有效。</w:t>
            </w:r>
            <w:r w:rsidRPr="00B4515A">
              <w:rPr>
                <w:rFonts w:cs="Times New Roman" w:hint="eastAsia"/>
                <w:sz w:val="21"/>
                <w:szCs w:val="21"/>
              </w:rPr>
              <w:t>”</w:t>
            </w:r>
          </w:p>
        </w:tc>
      </w:tr>
      <w:tr w:rsidR="006416B0" w:rsidRPr="00B4515A" w14:paraId="3E25F0A8" w14:textId="77777777" w:rsidTr="00031627">
        <w:trPr>
          <w:trHeight w:val="340"/>
          <w:jc w:val="center"/>
        </w:trPr>
        <w:tc>
          <w:tcPr>
            <w:tcW w:w="649" w:type="pct"/>
            <w:tcMar>
              <w:top w:w="0" w:type="dxa"/>
              <w:left w:w="108" w:type="dxa"/>
              <w:bottom w:w="0" w:type="dxa"/>
              <w:right w:w="108" w:type="dxa"/>
            </w:tcMar>
            <w:vAlign w:val="center"/>
          </w:tcPr>
          <w:p w14:paraId="7AD5CD4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电信科研院</w:t>
            </w:r>
          </w:p>
        </w:tc>
        <w:tc>
          <w:tcPr>
            <w:tcW w:w="798" w:type="pct"/>
            <w:tcMar>
              <w:top w:w="0" w:type="dxa"/>
              <w:left w:w="108" w:type="dxa"/>
              <w:bottom w:w="0" w:type="dxa"/>
              <w:right w:w="108" w:type="dxa"/>
            </w:tcMar>
            <w:vAlign w:val="center"/>
          </w:tcPr>
          <w:p w14:paraId="7732540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关于减少和规范关联交易的承诺函</w:t>
            </w:r>
          </w:p>
        </w:tc>
        <w:tc>
          <w:tcPr>
            <w:tcW w:w="3553" w:type="pct"/>
            <w:tcMar>
              <w:top w:w="0" w:type="dxa"/>
              <w:left w:w="108" w:type="dxa"/>
              <w:bottom w:w="0" w:type="dxa"/>
              <w:right w:w="108" w:type="dxa"/>
            </w:tcMar>
            <w:vAlign w:val="center"/>
          </w:tcPr>
          <w:p w14:paraId="60CE3BA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将尽可能地避免和减少与大唐电信（含其全资及控股子公司，下同）的关联交易；对无法避免或者有合理原因而发生的关联交易，将遵循平等、自愿、公平的原则，按照合理和正常的商业交易条件进行，并保证不通过关联交易损害大唐电信及其他股东的合法权益。</w:t>
            </w:r>
          </w:p>
          <w:p w14:paraId="62D2540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、本公司在作为大唐电信控股股东期间，将不会以借款、代偿款项、要求提供担保或者其他任何方式非法占用大唐电信的资金或资产，不会利用其控制地位影响大唐电信的独立性，以确保大唐电信的规范运作。</w:t>
            </w:r>
          </w:p>
          <w:p w14:paraId="39EF31E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对于无法避免或者有合理原因而发生的关联交易，本公司将严格按照有关法律、法规、规范性文件以及大唐电信的章程和关联交易决策制度等规定，在大唐电信董事会、股东大会对相关关联交易事项进行表决时，继续严格履行关联董事、关联股东回避表决的义务。</w:t>
            </w:r>
          </w:p>
          <w:p w14:paraId="285ACAE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、因本公司违反本承诺函，导致大唐电信遭受损失的，本公司将对由此给大唐电信造成的全部损失做出全面、及时和足额的赔偿，并保证积极消除由此造成的任何不利影响。</w:t>
            </w:r>
            <w:r w:rsidRPr="00B4515A">
              <w:rPr>
                <w:rFonts w:cs="Times New Roman"/>
                <w:sz w:val="21"/>
                <w:szCs w:val="21"/>
              </w:rPr>
              <w:t>”</w:t>
            </w:r>
          </w:p>
        </w:tc>
      </w:tr>
      <w:tr w:rsidR="006416B0" w:rsidRPr="00B4515A" w14:paraId="3B20CCC0" w14:textId="77777777" w:rsidTr="00031627">
        <w:trPr>
          <w:trHeight w:val="340"/>
          <w:jc w:val="center"/>
        </w:trPr>
        <w:tc>
          <w:tcPr>
            <w:tcW w:w="649" w:type="pct"/>
            <w:tcMar>
              <w:top w:w="0" w:type="dxa"/>
              <w:left w:w="108" w:type="dxa"/>
              <w:bottom w:w="0" w:type="dxa"/>
              <w:right w:w="108" w:type="dxa"/>
            </w:tcMar>
            <w:vAlign w:val="center"/>
          </w:tcPr>
          <w:p w14:paraId="508E2B7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大唐控股</w:t>
            </w:r>
          </w:p>
        </w:tc>
        <w:tc>
          <w:tcPr>
            <w:tcW w:w="798" w:type="pct"/>
            <w:tcMar>
              <w:top w:w="0" w:type="dxa"/>
              <w:left w:w="108" w:type="dxa"/>
              <w:bottom w:w="0" w:type="dxa"/>
              <w:right w:w="108" w:type="dxa"/>
            </w:tcMar>
            <w:vAlign w:val="center"/>
          </w:tcPr>
          <w:p w14:paraId="7926EE5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关于减少和规范关联交易的承诺函</w:t>
            </w:r>
          </w:p>
        </w:tc>
        <w:tc>
          <w:tcPr>
            <w:tcW w:w="3553" w:type="pct"/>
            <w:tcMar>
              <w:top w:w="0" w:type="dxa"/>
              <w:left w:w="108" w:type="dxa"/>
              <w:bottom w:w="0" w:type="dxa"/>
              <w:right w:w="108" w:type="dxa"/>
            </w:tcMar>
            <w:vAlign w:val="center"/>
          </w:tcPr>
          <w:p w14:paraId="6592659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尽可能地避免和减少与大唐电信（含其全资及控股子公司，下同）的关联交易；对无法避免或者有合理原因而发生的关联交易，将遵循平等、自愿、公平的原则，按照合理和正常的商业交易条件进行，并保证不通过关联交易损害大唐电信及其他股东的合法权益。</w:t>
            </w:r>
          </w:p>
          <w:p w14:paraId="3C4FE73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本企业在作为大唐电信股东期间，将不会以借款、代偿款项、要求提供担保或者其他任何方式非法占用大唐电信的资金或资产，不会利用其股东地位影响大唐电信的独立性，以确保大唐电信的规范运作。</w:t>
            </w:r>
          </w:p>
          <w:p w14:paraId="6065D38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、对于无法避免或者有合理原因而发生的关联交易，本公司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严格按照有关法律、法规、规范性文件以及大唐电信的章程和关联交易决策制度等规定，在大唐电信董事会、股东大会对相关关联交易事项进行表决时，继续严格履行关联董事、关联股东回避表决的义务。</w:t>
            </w:r>
          </w:p>
          <w:p w14:paraId="3D71359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、因本公司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本企业违反本承诺函，导致大唐电信遭受损失的，本公司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本企业将对由此给大唐电信造成的全部损失做出全面、及时和足额的赔偿，并保证积极消除由此造成的任何不利影响。</w:t>
            </w:r>
            <w:r w:rsidRPr="00B4515A">
              <w:rPr>
                <w:rFonts w:cs="Times New Roman" w:hint="eastAsia"/>
                <w:sz w:val="21"/>
                <w:szCs w:val="21"/>
              </w:rPr>
              <w:t>”</w:t>
            </w:r>
          </w:p>
        </w:tc>
      </w:tr>
      <w:tr w:rsidR="006416B0" w:rsidRPr="00B4515A" w14:paraId="448CDC06" w14:textId="77777777" w:rsidTr="00031627">
        <w:trPr>
          <w:trHeight w:val="340"/>
          <w:jc w:val="center"/>
        </w:trPr>
        <w:tc>
          <w:tcPr>
            <w:tcW w:w="649" w:type="pct"/>
            <w:tcMar>
              <w:top w:w="0" w:type="dxa"/>
              <w:left w:w="108" w:type="dxa"/>
              <w:bottom w:w="0" w:type="dxa"/>
              <w:right w:w="108" w:type="dxa"/>
            </w:tcMar>
            <w:vAlign w:val="center"/>
          </w:tcPr>
          <w:p w14:paraId="745BA9C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电信科研院</w:t>
            </w:r>
          </w:p>
        </w:tc>
        <w:tc>
          <w:tcPr>
            <w:tcW w:w="798" w:type="pct"/>
            <w:tcMar>
              <w:top w:w="0" w:type="dxa"/>
              <w:left w:w="108" w:type="dxa"/>
              <w:bottom w:w="0" w:type="dxa"/>
              <w:right w:w="108" w:type="dxa"/>
            </w:tcMar>
            <w:vAlign w:val="center"/>
          </w:tcPr>
          <w:p w14:paraId="7B8C404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关于保证上市公司独立性的承诺函</w:t>
            </w:r>
          </w:p>
        </w:tc>
        <w:tc>
          <w:tcPr>
            <w:tcW w:w="3553" w:type="pct"/>
            <w:tcMar>
              <w:top w:w="0" w:type="dxa"/>
              <w:left w:w="108" w:type="dxa"/>
              <w:bottom w:w="0" w:type="dxa"/>
              <w:right w:w="108" w:type="dxa"/>
            </w:tcMar>
            <w:vAlign w:val="center"/>
          </w:tcPr>
          <w:p w14:paraId="4E8BDF7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本公司将继续按照有关法律、法规、规范性文件的要求，做到与大唐电信在人员、资产、业务、机构、财务方面完全分开，不从事任何影响大唐电信人员独立、资产独立完整、业务独立、机构独立、财务独立的行为，不损害大唐电信及其他股东的利益，切实保障大唐电信在人员、资产、业务、机构和财务等方面的独立性。</w:t>
            </w:r>
          </w:p>
          <w:p w14:paraId="67084D5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如因本公司违反本承诺函导致大唐电信遭受损失的，本公司将对由此给大唐电信造成的全部损失做出全面、及时和足额的赔偿，并保证积极消除由此造成的任何不利影响。</w:t>
            </w:r>
            <w:r w:rsidRPr="00B4515A">
              <w:rPr>
                <w:rFonts w:cs="Times New Roman"/>
                <w:sz w:val="21"/>
                <w:szCs w:val="21"/>
              </w:rPr>
              <w:t>”</w:t>
            </w:r>
          </w:p>
        </w:tc>
      </w:tr>
      <w:tr w:rsidR="006416B0" w:rsidRPr="00B4515A" w14:paraId="7AC71C5B" w14:textId="77777777" w:rsidTr="00031627">
        <w:trPr>
          <w:trHeight w:val="340"/>
          <w:jc w:val="center"/>
        </w:trPr>
        <w:tc>
          <w:tcPr>
            <w:tcW w:w="649" w:type="pct"/>
            <w:tcMar>
              <w:top w:w="0" w:type="dxa"/>
              <w:left w:w="108" w:type="dxa"/>
              <w:bottom w:w="0" w:type="dxa"/>
              <w:right w:w="108" w:type="dxa"/>
            </w:tcMar>
            <w:vAlign w:val="center"/>
          </w:tcPr>
          <w:p w14:paraId="6AE1B9F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大唐控股</w:t>
            </w:r>
          </w:p>
        </w:tc>
        <w:tc>
          <w:tcPr>
            <w:tcW w:w="798" w:type="pct"/>
            <w:tcMar>
              <w:top w:w="0" w:type="dxa"/>
              <w:left w:w="108" w:type="dxa"/>
              <w:bottom w:w="0" w:type="dxa"/>
              <w:right w:w="108" w:type="dxa"/>
            </w:tcMar>
            <w:vAlign w:val="center"/>
          </w:tcPr>
          <w:p w14:paraId="70A7B56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关于本次交易后保持上市公司独立性的承诺函</w:t>
            </w:r>
          </w:p>
        </w:tc>
        <w:tc>
          <w:tcPr>
            <w:tcW w:w="3553" w:type="pct"/>
            <w:tcMar>
              <w:top w:w="0" w:type="dxa"/>
              <w:left w:w="108" w:type="dxa"/>
              <w:bottom w:w="0" w:type="dxa"/>
              <w:right w:w="108" w:type="dxa"/>
            </w:tcMar>
            <w:vAlign w:val="center"/>
          </w:tcPr>
          <w:p w14:paraId="6CE83D7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在本次交易完成后，本公司承诺将按照有关法律、法规、规范性文件的要求，做到与大唐电信在人员、资产、业务、机构、财务方面完全分开，不从事任何影响大唐电信人员独立、资产独立完整、业务独立、机构独立、财务独立的行为，不损害大唐电信及其他股东的利益，切实保障大唐电信在人员、资产、业务、机</w:t>
            </w:r>
            <w:r w:rsidRPr="00B4515A">
              <w:rPr>
                <w:rFonts w:ascii="Times New Roman" w:hAnsi="Times New Roman" w:cs="Times New Roman"/>
                <w:sz w:val="21"/>
                <w:szCs w:val="21"/>
              </w:rPr>
              <w:lastRenderedPageBreak/>
              <w:t>构和财务等方面的独立性。</w:t>
            </w:r>
          </w:p>
          <w:p w14:paraId="248AC57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如因本公司违反上述承诺导致大唐电信遭受损失的，本公司将对由此给大唐电信造成的实际损失做出及时和足额的赔偿，并保证积极消除由此造成的任何不利影响。</w:t>
            </w:r>
            <w:r w:rsidRPr="00B4515A">
              <w:rPr>
                <w:rFonts w:cs="Times New Roman" w:hint="eastAsia"/>
                <w:sz w:val="21"/>
                <w:szCs w:val="21"/>
              </w:rPr>
              <w:t>”</w:t>
            </w:r>
          </w:p>
        </w:tc>
      </w:tr>
      <w:tr w:rsidR="006416B0" w:rsidRPr="00B4515A" w14:paraId="0E6D75A8" w14:textId="77777777" w:rsidTr="00031627">
        <w:trPr>
          <w:trHeight w:val="340"/>
          <w:jc w:val="center"/>
        </w:trPr>
        <w:tc>
          <w:tcPr>
            <w:tcW w:w="649" w:type="pct"/>
            <w:tcMar>
              <w:top w:w="0" w:type="dxa"/>
              <w:left w:w="108" w:type="dxa"/>
              <w:bottom w:w="0" w:type="dxa"/>
              <w:right w:w="108" w:type="dxa"/>
            </w:tcMar>
            <w:vAlign w:val="center"/>
          </w:tcPr>
          <w:p w14:paraId="4397C7F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电信科研院、大唐控股</w:t>
            </w:r>
          </w:p>
        </w:tc>
        <w:tc>
          <w:tcPr>
            <w:tcW w:w="798" w:type="pct"/>
            <w:tcMar>
              <w:top w:w="0" w:type="dxa"/>
              <w:left w:w="108" w:type="dxa"/>
              <w:bottom w:w="0" w:type="dxa"/>
              <w:right w:w="108" w:type="dxa"/>
            </w:tcMar>
            <w:vAlign w:val="center"/>
          </w:tcPr>
          <w:p w14:paraId="30E03BB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关于具备交易主体资格的承诺函</w:t>
            </w:r>
          </w:p>
        </w:tc>
        <w:tc>
          <w:tcPr>
            <w:tcW w:w="3553" w:type="pct"/>
            <w:tcMar>
              <w:top w:w="0" w:type="dxa"/>
              <w:left w:w="108" w:type="dxa"/>
              <w:bottom w:w="0" w:type="dxa"/>
              <w:right w:w="108" w:type="dxa"/>
            </w:tcMar>
            <w:vAlign w:val="center"/>
          </w:tcPr>
          <w:p w14:paraId="255F5FD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本企业作为依据设立地法律设立并有效存续的公司</w:t>
            </w:r>
            <w:r w:rsidRPr="00B4515A">
              <w:rPr>
                <w:rFonts w:ascii="Times New Roman" w:hAnsi="Times New Roman" w:cs="Times New Roman"/>
                <w:sz w:val="21"/>
                <w:szCs w:val="21"/>
              </w:rPr>
              <w:t>/</w:t>
            </w:r>
            <w:r w:rsidRPr="00B4515A">
              <w:rPr>
                <w:rFonts w:ascii="Times New Roman" w:hAnsi="Times New Roman" w:cs="Times New Roman"/>
                <w:sz w:val="21"/>
                <w:szCs w:val="21"/>
              </w:rPr>
              <w:t>企业，不存在相关法律、法规和规范性文件规定的不得认购上市公司股份的情形，具备作为本次交易的交易对方的主体资格。</w:t>
            </w:r>
          </w:p>
          <w:p w14:paraId="56EC100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、截至本承诺函出具日，本公司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本企业及主要管理人员不存在因涉嫌犯罪正被司法机关立案侦查或涉嫌违法违规正被中国证监会立案调查的情形。</w:t>
            </w:r>
          </w:p>
          <w:p w14:paraId="392F7F0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本企业及主要管理人员在最近五年内诚信情况良好，不存在未按期偿还大额债务、未履行承诺或被中国证监会采取行政监管措施或受到证券交易所纪律处分的情况。</w:t>
            </w:r>
          </w:p>
          <w:p w14:paraId="6E285ED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本企业及主要管理人员最近五年内不存在受到行政处罚（与证券市场明显无关的除外）、刑事处罚的情况。</w:t>
            </w:r>
          </w:p>
          <w:p w14:paraId="1DCB6C9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、除向大唐电信及本次交易中介机构已提供的诉讼及仲裁之外，本公司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本企业及主要管理人员不存在其他涉及与经济纠纷有关的重大民事诉讼和仲裁。</w:t>
            </w:r>
          </w:p>
          <w:p w14:paraId="2012D5D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6</w:t>
            </w:r>
            <w:r w:rsidRPr="00B4515A">
              <w:rPr>
                <w:rFonts w:ascii="Times New Roman" w:hAnsi="Times New Roman" w:cs="Times New Roman"/>
                <w:sz w:val="21"/>
                <w:szCs w:val="21"/>
              </w:rPr>
              <w:t>、上述承诺内容真实、完整、准确，不存在虚假、误导性陈述，不存在重大遗漏。本公司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本企业完全了解作出虚假声明可能导致的后果，并愿承担因此产生的一切法律后果。</w:t>
            </w:r>
          </w:p>
          <w:p w14:paraId="0DA1ACC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7</w:t>
            </w:r>
            <w:r w:rsidRPr="00B4515A">
              <w:rPr>
                <w:rFonts w:ascii="Times New Roman" w:hAnsi="Times New Roman" w:cs="Times New Roman"/>
                <w:sz w:val="21"/>
                <w:szCs w:val="21"/>
              </w:rPr>
              <w:t>、本次交易中，本公司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本企业同意接受大唐电信发行股份购买本公司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本企业所持有的目标公司股权并签署相关交易协议和文件，就本次交易事宜本公司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本企业已履行内部所需的全部决策程序，已获得必要的授权和</w:t>
            </w:r>
            <w:r w:rsidRPr="00B4515A">
              <w:rPr>
                <w:rFonts w:ascii="Times New Roman" w:hAnsi="Times New Roman" w:cs="Times New Roman"/>
                <w:sz w:val="21"/>
                <w:szCs w:val="21"/>
              </w:rPr>
              <w:t>/</w:t>
            </w:r>
            <w:r w:rsidRPr="00B4515A">
              <w:rPr>
                <w:rFonts w:ascii="Times New Roman" w:hAnsi="Times New Roman" w:cs="Times New Roman"/>
                <w:sz w:val="21"/>
                <w:szCs w:val="21"/>
              </w:rPr>
              <w:t>或批准。</w:t>
            </w:r>
            <w:r w:rsidRPr="00B4515A">
              <w:rPr>
                <w:rFonts w:cs="Times New Roman"/>
                <w:sz w:val="21"/>
                <w:szCs w:val="21"/>
              </w:rPr>
              <w:t>”</w:t>
            </w:r>
          </w:p>
        </w:tc>
      </w:tr>
      <w:tr w:rsidR="006416B0" w:rsidRPr="00B4515A" w14:paraId="4BC6A3A6" w14:textId="77777777" w:rsidTr="00031627">
        <w:trPr>
          <w:trHeight w:val="340"/>
          <w:jc w:val="center"/>
        </w:trPr>
        <w:tc>
          <w:tcPr>
            <w:tcW w:w="649" w:type="pct"/>
            <w:tcMar>
              <w:top w:w="0" w:type="dxa"/>
              <w:left w:w="108" w:type="dxa"/>
              <w:bottom w:w="0" w:type="dxa"/>
              <w:right w:w="108" w:type="dxa"/>
            </w:tcMar>
            <w:vAlign w:val="center"/>
          </w:tcPr>
          <w:p w14:paraId="1847661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电信科研院、大唐控股</w:t>
            </w:r>
          </w:p>
        </w:tc>
        <w:tc>
          <w:tcPr>
            <w:tcW w:w="798" w:type="pct"/>
            <w:tcMar>
              <w:top w:w="0" w:type="dxa"/>
              <w:left w:w="108" w:type="dxa"/>
              <w:bottom w:w="0" w:type="dxa"/>
              <w:right w:w="108" w:type="dxa"/>
            </w:tcMar>
            <w:vAlign w:val="center"/>
          </w:tcPr>
          <w:p w14:paraId="0623E20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关于标的资产权属状况的承诺函</w:t>
            </w:r>
          </w:p>
        </w:tc>
        <w:tc>
          <w:tcPr>
            <w:tcW w:w="3553" w:type="pct"/>
            <w:tcMar>
              <w:top w:w="0" w:type="dxa"/>
              <w:left w:w="108" w:type="dxa"/>
              <w:bottom w:w="0" w:type="dxa"/>
              <w:right w:w="108" w:type="dxa"/>
            </w:tcMar>
            <w:vAlign w:val="center"/>
          </w:tcPr>
          <w:p w14:paraId="29A2514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本企业合法持有目标公司股权。对于本公司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本企业所持目标公司股权，本公司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本企业确认，本公司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本企业已经依法履行相应的出资义务，不存在任何虚假出资、抽逃出资及出资不实等违反作为目标公司股东所应承担的义务及责任的行为，不存在可能影响目标公司合法存续的情况。</w:t>
            </w:r>
          </w:p>
          <w:p w14:paraId="5314CF8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有的目标公司股权的资产权属清晰，不存在信托持股、委托持股等股权代持的情形或类似安排，不存在禁止转让、限制转让的承诺或安排，不存在任何现有或潜在法律权属纠纷。该等股权不存在质押、抵押、其他担保或第三方权益限制情形，也不存在法院或其他有权机关冻结、轮候冻结、查封、拍卖该等股权之情形。</w:t>
            </w:r>
          </w:p>
          <w:p w14:paraId="6069895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本企业依法拥有该等股权的占有、使用、收益及处分权，对该等股权的占有、使用、收益或处分没有侵犯任何其他第三方的权益，该等股权的过户、转移或变更登记不存在法律障碍，若因本公司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本企业所出售股权的任何权属瑕疵引起的损失或法律责任，均由本公司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本企业承担。</w:t>
            </w:r>
            <w:r w:rsidRPr="00B4515A">
              <w:rPr>
                <w:rFonts w:cs="Times New Roman"/>
                <w:sz w:val="21"/>
                <w:szCs w:val="21"/>
              </w:rPr>
              <w:t>”</w:t>
            </w:r>
          </w:p>
        </w:tc>
      </w:tr>
      <w:tr w:rsidR="006416B0" w:rsidRPr="00B4515A" w14:paraId="164BF1AF" w14:textId="77777777" w:rsidTr="00031627">
        <w:trPr>
          <w:trHeight w:val="340"/>
          <w:jc w:val="center"/>
        </w:trPr>
        <w:tc>
          <w:tcPr>
            <w:tcW w:w="649" w:type="pct"/>
            <w:tcMar>
              <w:top w:w="0" w:type="dxa"/>
              <w:left w:w="108" w:type="dxa"/>
              <w:bottom w:w="0" w:type="dxa"/>
              <w:right w:w="108" w:type="dxa"/>
            </w:tcMar>
            <w:vAlign w:val="center"/>
          </w:tcPr>
          <w:p w14:paraId="1E80F75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电信科研院、大唐控股</w:t>
            </w:r>
          </w:p>
        </w:tc>
        <w:tc>
          <w:tcPr>
            <w:tcW w:w="798" w:type="pct"/>
            <w:tcMar>
              <w:top w:w="0" w:type="dxa"/>
              <w:left w:w="108" w:type="dxa"/>
              <w:bottom w:w="0" w:type="dxa"/>
              <w:right w:w="108" w:type="dxa"/>
            </w:tcMar>
            <w:vAlign w:val="center"/>
          </w:tcPr>
          <w:p w14:paraId="549E7F6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关于提供材料真实、准确和完整的承诺函</w:t>
            </w:r>
          </w:p>
        </w:tc>
        <w:tc>
          <w:tcPr>
            <w:tcW w:w="3553" w:type="pct"/>
            <w:tcMar>
              <w:top w:w="0" w:type="dxa"/>
              <w:left w:w="108" w:type="dxa"/>
              <w:bottom w:w="0" w:type="dxa"/>
              <w:right w:w="108" w:type="dxa"/>
            </w:tcMar>
            <w:vAlign w:val="center"/>
          </w:tcPr>
          <w:p w14:paraId="5F8988D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诺及时向大唐电信以及向为本次交易提供财务顾问、审计、评估、法律等专业服务的中介机构提供完成本次交易所必需的相关文件、信息，并保证所提供的所有文件、信息均真实、准确、完整，不存在虚假记载、误导性陈述或者重大遗漏，文件上所有签字与印章均真实有效，复印件均与原件一致，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本企业对所有文件、信息之真实性、准确性、完整性承担法律责任。</w:t>
            </w:r>
          </w:p>
          <w:p w14:paraId="3A53DA2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、根据本次交易安排，如需要本公司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本企业补充提供相关文件、</w:t>
            </w:r>
            <w:r w:rsidRPr="00B4515A">
              <w:rPr>
                <w:rFonts w:ascii="Times New Roman" w:hAnsi="Times New Roman" w:cs="Times New Roman"/>
                <w:sz w:val="21"/>
                <w:szCs w:val="21"/>
              </w:rPr>
              <w:lastRenderedPageBreak/>
              <w:t>信息时，本公司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本企业保证继续提供的相关文件、信息仍然符合真实、准确、完整、有效的要求。</w:t>
            </w:r>
          </w:p>
          <w:p w14:paraId="3DE4E48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、如本次交易因本公司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本企业所提供或者披露的文件、信息存在虚假记载、误导性陈述或者重大遗漏，给大唐电信或投资者造成损失的，本公司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本企业将依法承担个别和连带的法律责任。</w:t>
            </w:r>
          </w:p>
          <w:p w14:paraId="1120117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诺，如本次交易所提供或披露的信息涉嫌虚假记载、误导性陈述或者重大遗漏，被司法机关立案侦查或者被中国证监会立案调查的，在形成调查结论以前，不转让在大唐电信拥有的股份，并于收到立案稽查通知的两个交易日内将暂停转让的书面申请和股票账户提交大唐电信董事会，由大唐电信董事会代其向证券交易所和登记结算公司申请锁定；未在两个交易日内提交锁定申请的，授权大唐电信董事会核实后直接向证券交易所和登记结算公司报送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本企业的身份信息和账户信息并申请锁定；大唐电信董事会未向证券交易所和登记结算公司报送本公司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本企业的身份信息和账户信息的，授权证券交易所和登记结算公司直接锁定相关股份。如调查结论发现存在违法违规情形，本公司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本企业承诺锁定股份自愿用于相关投资者赔偿安排。</w:t>
            </w:r>
            <w:r w:rsidRPr="00B4515A">
              <w:rPr>
                <w:rFonts w:cs="Times New Roman"/>
                <w:sz w:val="21"/>
                <w:szCs w:val="21"/>
              </w:rPr>
              <w:t>”</w:t>
            </w:r>
          </w:p>
        </w:tc>
      </w:tr>
      <w:tr w:rsidR="006416B0" w:rsidRPr="00B4515A" w14:paraId="7656AA82" w14:textId="77777777" w:rsidTr="00031627">
        <w:trPr>
          <w:trHeight w:val="340"/>
          <w:jc w:val="center"/>
        </w:trPr>
        <w:tc>
          <w:tcPr>
            <w:tcW w:w="649" w:type="pct"/>
            <w:tcMar>
              <w:top w:w="0" w:type="dxa"/>
              <w:left w:w="108" w:type="dxa"/>
              <w:bottom w:w="0" w:type="dxa"/>
              <w:right w:w="108" w:type="dxa"/>
            </w:tcMar>
            <w:vAlign w:val="center"/>
          </w:tcPr>
          <w:p w14:paraId="7A83710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电信科研院董事、监事、高级管理人员</w:t>
            </w:r>
          </w:p>
        </w:tc>
        <w:tc>
          <w:tcPr>
            <w:tcW w:w="798" w:type="pct"/>
            <w:tcMar>
              <w:top w:w="0" w:type="dxa"/>
              <w:left w:w="108" w:type="dxa"/>
              <w:bottom w:w="0" w:type="dxa"/>
              <w:right w:w="108" w:type="dxa"/>
            </w:tcMar>
            <w:vAlign w:val="center"/>
          </w:tcPr>
          <w:p w14:paraId="1F9525E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关于守法和诚信情况的承诺函</w:t>
            </w:r>
          </w:p>
        </w:tc>
        <w:tc>
          <w:tcPr>
            <w:tcW w:w="3553" w:type="pct"/>
            <w:tcMar>
              <w:top w:w="0" w:type="dxa"/>
              <w:left w:w="108" w:type="dxa"/>
              <w:bottom w:w="0" w:type="dxa"/>
              <w:right w:w="108" w:type="dxa"/>
            </w:tcMar>
            <w:vAlign w:val="center"/>
          </w:tcPr>
          <w:p w14:paraId="37DC575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一、截至本承诺函出具日，本人不存在因涉嫌犯罪正被司法机关立案侦查或涉嫌违法违规正被中国证监会立案调查的情形。</w:t>
            </w:r>
          </w:p>
          <w:p w14:paraId="1B0FED4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二、本人在最近五年内诚信情况良好，不存在未按期偿还大额债务、未履行承诺或被中国证监会采取行政监管措施或受到证券交易所纪律处分的情况。</w:t>
            </w:r>
          </w:p>
          <w:p w14:paraId="4D0E0DD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三、本人最近五年内不存在受到行政处罚（与证券市场明显无关的除外）、刑事处罚的情况。</w:t>
            </w:r>
          </w:p>
          <w:p w14:paraId="2F34C2A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四、本人不存在其他涉及与经济纠纷有关的重大民事诉讼和仲裁。</w:t>
            </w:r>
          </w:p>
          <w:p w14:paraId="161D1FB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五、上述承诺内容真实、完整、准确，不存在虚假、误导性陈述，不存在重大遗漏。本人完全了解作出虚假声明可能导致的后果，并愿承担因此产生的一切法律后果。</w:t>
            </w:r>
            <w:r w:rsidRPr="00B4515A">
              <w:rPr>
                <w:rFonts w:cs="Times New Roman" w:hint="eastAsia"/>
                <w:sz w:val="21"/>
                <w:szCs w:val="21"/>
              </w:rPr>
              <w:t>”</w:t>
            </w:r>
          </w:p>
        </w:tc>
      </w:tr>
      <w:tr w:rsidR="006416B0" w:rsidRPr="00B4515A" w14:paraId="64596662" w14:textId="77777777" w:rsidTr="00031627">
        <w:trPr>
          <w:trHeight w:val="340"/>
          <w:jc w:val="center"/>
        </w:trPr>
        <w:tc>
          <w:tcPr>
            <w:tcW w:w="649" w:type="pct"/>
            <w:tcMar>
              <w:top w:w="0" w:type="dxa"/>
              <w:left w:w="108" w:type="dxa"/>
              <w:bottom w:w="0" w:type="dxa"/>
              <w:right w:w="108" w:type="dxa"/>
            </w:tcMar>
            <w:vAlign w:val="center"/>
          </w:tcPr>
          <w:p w14:paraId="75D8472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大唐控股董事、监事、高级管理人员</w:t>
            </w:r>
          </w:p>
        </w:tc>
        <w:tc>
          <w:tcPr>
            <w:tcW w:w="798" w:type="pct"/>
            <w:tcMar>
              <w:top w:w="0" w:type="dxa"/>
              <w:left w:w="108" w:type="dxa"/>
              <w:bottom w:w="0" w:type="dxa"/>
              <w:right w:w="108" w:type="dxa"/>
            </w:tcMar>
            <w:vAlign w:val="center"/>
          </w:tcPr>
          <w:p w14:paraId="052F25E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关于守法和诚信情况的承诺函</w:t>
            </w:r>
          </w:p>
        </w:tc>
        <w:tc>
          <w:tcPr>
            <w:tcW w:w="3553" w:type="pct"/>
            <w:tcMar>
              <w:top w:w="0" w:type="dxa"/>
              <w:left w:w="108" w:type="dxa"/>
              <w:bottom w:w="0" w:type="dxa"/>
              <w:right w:w="108" w:type="dxa"/>
            </w:tcMar>
            <w:vAlign w:val="center"/>
          </w:tcPr>
          <w:p w14:paraId="7CCDA3F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一、截至本承诺函出具日，本人不存在因涉嫌犯罪正被司法机关立案侦查或涉嫌违法违规正被中国证监会立案调查的情形。</w:t>
            </w:r>
          </w:p>
          <w:p w14:paraId="781862D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二、本人在最近五年内诚信情况良好，不存在未按期偿还大额债务、未履行承诺或被中国证监会采取行政监管措施或受到证券交易所纪律处分的情况。</w:t>
            </w:r>
          </w:p>
          <w:p w14:paraId="5A95CF9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三、本人最近五年内不存在受到行政处罚（与证券市场明显无关的除外）、刑事处罚的情况。</w:t>
            </w:r>
          </w:p>
          <w:p w14:paraId="4048BD5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四、本人不存在其他涉及与经济纠纷有关的重大民事诉讼和仲裁。</w:t>
            </w:r>
          </w:p>
          <w:p w14:paraId="4193F63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五、上述承诺内容真实、完整、准确，不存在虚假、误导性陈述，不存在重大遗漏。本人完全了解作出虚假声明可能导致的后果，并愿承担因此产生的一切法律后果。</w:t>
            </w:r>
            <w:r w:rsidRPr="00B4515A">
              <w:rPr>
                <w:rFonts w:cs="Times New Roman" w:hint="eastAsia"/>
                <w:sz w:val="21"/>
                <w:szCs w:val="21"/>
              </w:rPr>
              <w:t>”</w:t>
            </w:r>
          </w:p>
        </w:tc>
      </w:tr>
      <w:tr w:rsidR="006416B0" w:rsidRPr="00B4515A" w14:paraId="1B2C2983" w14:textId="77777777" w:rsidTr="00031627">
        <w:trPr>
          <w:trHeight w:val="340"/>
          <w:jc w:val="center"/>
        </w:trPr>
        <w:tc>
          <w:tcPr>
            <w:tcW w:w="649" w:type="pct"/>
            <w:tcMar>
              <w:top w:w="0" w:type="dxa"/>
              <w:left w:w="108" w:type="dxa"/>
              <w:bottom w:w="0" w:type="dxa"/>
              <w:right w:w="108" w:type="dxa"/>
            </w:tcMar>
            <w:vAlign w:val="center"/>
          </w:tcPr>
          <w:p w14:paraId="54B9A59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电信科研院</w:t>
            </w:r>
          </w:p>
        </w:tc>
        <w:tc>
          <w:tcPr>
            <w:tcW w:w="798" w:type="pct"/>
            <w:tcMar>
              <w:top w:w="0" w:type="dxa"/>
              <w:left w:w="108" w:type="dxa"/>
              <w:bottom w:w="0" w:type="dxa"/>
              <w:right w:w="108" w:type="dxa"/>
            </w:tcMar>
            <w:vAlign w:val="center"/>
          </w:tcPr>
          <w:p w14:paraId="7112E34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关于保障业绩补偿义务实现的承诺函</w:t>
            </w:r>
          </w:p>
        </w:tc>
        <w:tc>
          <w:tcPr>
            <w:tcW w:w="3553" w:type="pct"/>
            <w:tcMar>
              <w:top w:w="0" w:type="dxa"/>
              <w:left w:w="108" w:type="dxa"/>
              <w:bottom w:w="0" w:type="dxa"/>
              <w:right w:w="108" w:type="dxa"/>
            </w:tcMar>
            <w:vAlign w:val="center"/>
          </w:tcPr>
          <w:p w14:paraId="7CA60EE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、本公司保证于本次交易项下取得的上市公司对价股份优先用于履行业绩补偿承诺，不通过质押股份等方式逃废补偿义务。</w:t>
            </w:r>
          </w:p>
          <w:p w14:paraId="0997AF4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、未来质押对价股份（如有）时，将书面告知质权人：根据业绩承诺与补偿协议，前述股份具有潜在业绩承诺补偿义务情况，并在质押协议中就相关股份优先用于支付业绩补偿事项等与质权人作出明确约定。</w:t>
            </w:r>
            <w:r w:rsidRPr="00B4515A">
              <w:rPr>
                <w:rFonts w:cs="Times New Roman" w:hint="eastAsia"/>
                <w:sz w:val="21"/>
                <w:szCs w:val="21"/>
              </w:rPr>
              <w:t>”</w:t>
            </w:r>
          </w:p>
        </w:tc>
      </w:tr>
      <w:tr w:rsidR="006416B0" w:rsidRPr="00B4515A" w14:paraId="361917EC" w14:textId="77777777" w:rsidTr="00031627">
        <w:trPr>
          <w:trHeight w:val="340"/>
          <w:jc w:val="center"/>
        </w:trPr>
        <w:tc>
          <w:tcPr>
            <w:tcW w:w="649" w:type="pct"/>
            <w:tcMar>
              <w:top w:w="0" w:type="dxa"/>
              <w:left w:w="108" w:type="dxa"/>
              <w:bottom w:w="0" w:type="dxa"/>
              <w:right w:w="108" w:type="dxa"/>
            </w:tcMar>
            <w:vAlign w:val="center"/>
          </w:tcPr>
          <w:p w14:paraId="08413D9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大唐控股</w:t>
            </w:r>
          </w:p>
        </w:tc>
        <w:tc>
          <w:tcPr>
            <w:tcW w:w="798" w:type="pct"/>
            <w:tcMar>
              <w:top w:w="0" w:type="dxa"/>
              <w:left w:w="108" w:type="dxa"/>
              <w:bottom w:w="0" w:type="dxa"/>
              <w:right w:w="108" w:type="dxa"/>
            </w:tcMar>
            <w:vAlign w:val="center"/>
          </w:tcPr>
          <w:p w14:paraId="49E489C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关于保障业</w:t>
            </w:r>
            <w:r w:rsidRPr="00B4515A">
              <w:rPr>
                <w:rFonts w:ascii="Times New Roman" w:hAnsi="Times New Roman" w:cs="Times New Roman"/>
                <w:sz w:val="21"/>
                <w:szCs w:val="21"/>
              </w:rPr>
              <w:lastRenderedPageBreak/>
              <w:t>绩补偿义务实现的承诺函</w:t>
            </w:r>
          </w:p>
        </w:tc>
        <w:tc>
          <w:tcPr>
            <w:tcW w:w="3553" w:type="pct"/>
            <w:tcMar>
              <w:top w:w="0" w:type="dxa"/>
              <w:left w:w="108" w:type="dxa"/>
              <w:bottom w:w="0" w:type="dxa"/>
              <w:right w:w="108" w:type="dxa"/>
            </w:tcMar>
            <w:vAlign w:val="center"/>
          </w:tcPr>
          <w:p w14:paraId="5F86221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lastRenderedPageBreak/>
              <w:t>“</w:t>
            </w:r>
            <w:r w:rsidRPr="00B4515A">
              <w:rPr>
                <w:rFonts w:ascii="Times New Roman" w:hAnsi="Times New Roman" w:cs="Times New Roman"/>
                <w:sz w:val="21"/>
                <w:szCs w:val="21"/>
              </w:rPr>
              <w:t>1</w:t>
            </w:r>
            <w:r w:rsidRPr="00B4515A">
              <w:rPr>
                <w:rFonts w:ascii="Times New Roman" w:hAnsi="Times New Roman" w:cs="Times New Roman"/>
                <w:sz w:val="21"/>
                <w:szCs w:val="21"/>
              </w:rPr>
              <w:t>、本公司保证于本次交易项下取得的上市公司对价股份优先</w:t>
            </w:r>
            <w:r w:rsidRPr="00B4515A">
              <w:rPr>
                <w:rFonts w:ascii="Times New Roman" w:hAnsi="Times New Roman" w:cs="Times New Roman"/>
                <w:sz w:val="21"/>
                <w:szCs w:val="21"/>
              </w:rPr>
              <w:lastRenderedPageBreak/>
              <w:t>用于履行业绩补偿承诺，不通过质押股份等方式逃废补偿义务。</w:t>
            </w:r>
          </w:p>
          <w:p w14:paraId="37D65F7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、未来质押对价股份（如有）时，将书面告知质权人：根据业绩承诺与补偿协议，前述股份具有潜在业绩承诺补偿义务情况，并在质押协议中就相关股份优先用于支付业绩补偿事项等与质权人作出明确约定。</w:t>
            </w:r>
            <w:r w:rsidRPr="00B4515A">
              <w:rPr>
                <w:rFonts w:cs="Times New Roman" w:hint="eastAsia"/>
                <w:sz w:val="21"/>
                <w:szCs w:val="21"/>
              </w:rPr>
              <w:t>”</w:t>
            </w:r>
          </w:p>
        </w:tc>
      </w:tr>
      <w:tr w:rsidR="006416B0" w:rsidRPr="00B4515A" w14:paraId="7D079618" w14:textId="77777777" w:rsidTr="00031627">
        <w:trPr>
          <w:trHeight w:val="340"/>
          <w:jc w:val="center"/>
        </w:trPr>
        <w:tc>
          <w:tcPr>
            <w:tcW w:w="649" w:type="pct"/>
            <w:tcMar>
              <w:top w:w="0" w:type="dxa"/>
              <w:left w:w="108" w:type="dxa"/>
              <w:bottom w:w="0" w:type="dxa"/>
              <w:right w:w="108" w:type="dxa"/>
            </w:tcMar>
            <w:vAlign w:val="center"/>
          </w:tcPr>
          <w:p w14:paraId="7BB77B5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lastRenderedPageBreak/>
              <w:t>电信科研院</w:t>
            </w:r>
          </w:p>
        </w:tc>
        <w:tc>
          <w:tcPr>
            <w:tcW w:w="798" w:type="pct"/>
            <w:tcMar>
              <w:top w:w="0" w:type="dxa"/>
              <w:left w:w="108" w:type="dxa"/>
              <w:bottom w:w="0" w:type="dxa"/>
              <w:right w:w="108" w:type="dxa"/>
            </w:tcMar>
            <w:vAlign w:val="center"/>
          </w:tcPr>
          <w:p w14:paraId="4903CB2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关于本次交易摊薄即期回报填补措施的承诺函</w:t>
            </w:r>
          </w:p>
        </w:tc>
        <w:tc>
          <w:tcPr>
            <w:tcW w:w="3553" w:type="pct"/>
            <w:tcMar>
              <w:top w:w="0" w:type="dxa"/>
              <w:left w:w="108" w:type="dxa"/>
              <w:bottom w:w="0" w:type="dxa"/>
              <w:right w:w="108" w:type="dxa"/>
            </w:tcMar>
            <w:vAlign w:val="center"/>
          </w:tcPr>
          <w:p w14:paraId="3195EF3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、继续保证上市公司的独立性，不越权干预上市公司经营管理活动，不侵占上市公司利益。</w:t>
            </w:r>
          </w:p>
          <w:p w14:paraId="6005D19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自本承诺出具之日起至本次交易实施完毕前，若中国证监会作出关于填补回报措施及其承诺的其他新的监管规定的，且上述承诺不能满足中国证监会该等规定时，承诺届时将按照中国证监会的最新规定出具补充承诺。</w:t>
            </w:r>
          </w:p>
          <w:p w14:paraId="5A47515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承诺切实履行上市公司制定的有关防范即期回报被摊薄措施以及本公司对此作出的任何有关防范即期回报被摊薄措施的承诺，若违反该等承诺并给上市公司或者投资者造成损失的，愿意依法承担对上市公司或者投资者的补偿责任。</w:t>
            </w:r>
            <w:r w:rsidRPr="00B4515A">
              <w:rPr>
                <w:rFonts w:cs="Times New Roman" w:hint="eastAsia"/>
                <w:sz w:val="21"/>
                <w:szCs w:val="21"/>
              </w:rPr>
              <w:t>”</w:t>
            </w:r>
          </w:p>
        </w:tc>
      </w:tr>
      <w:tr w:rsidR="006416B0" w:rsidRPr="00B4515A" w14:paraId="3A8F4BE9" w14:textId="77777777" w:rsidTr="00031627">
        <w:trPr>
          <w:trHeight w:val="340"/>
          <w:jc w:val="center"/>
        </w:trPr>
        <w:tc>
          <w:tcPr>
            <w:tcW w:w="649" w:type="pct"/>
            <w:tcMar>
              <w:top w:w="0" w:type="dxa"/>
              <w:left w:w="108" w:type="dxa"/>
              <w:bottom w:w="0" w:type="dxa"/>
              <w:right w:w="108" w:type="dxa"/>
            </w:tcMar>
            <w:vAlign w:val="center"/>
          </w:tcPr>
          <w:p w14:paraId="271618B9" w14:textId="70F9C1AE" w:rsidR="006416B0" w:rsidRPr="00B4515A" w:rsidRDefault="00252376"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长江移动基金</w:t>
            </w:r>
          </w:p>
        </w:tc>
        <w:tc>
          <w:tcPr>
            <w:tcW w:w="798" w:type="pct"/>
            <w:tcMar>
              <w:top w:w="0" w:type="dxa"/>
              <w:left w:w="108" w:type="dxa"/>
              <w:bottom w:w="0" w:type="dxa"/>
              <w:right w:w="108" w:type="dxa"/>
            </w:tcMar>
            <w:vAlign w:val="center"/>
          </w:tcPr>
          <w:p w14:paraId="15BF2A6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关于提供材料真实、准确和完整的承诺函</w:t>
            </w:r>
          </w:p>
        </w:tc>
        <w:tc>
          <w:tcPr>
            <w:tcW w:w="3553" w:type="pct"/>
            <w:tcMar>
              <w:top w:w="0" w:type="dxa"/>
              <w:left w:w="108" w:type="dxa"/>
              <w:bottom w:w="0" w:type="dxa"/>
              <w:right w:w="108" w:type="dxa"/>
            </w:tcMar>
            <w:vAlign w:val="center"/>
          </w:tcPr>
          <w:p w14:paraId="61C9956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诺及时向大唐电信以及向为本次交易提供财务顾问、审计、评估、法律等专业服务的中介机构提供完成本次交易所必需的相关文件、信息，并保证所提供的所有文件、信息均真实、准确、完整，不存在虚假记载、误导性陈述或者重大遗漏，文件上所有签字与印章均真实有效，复印件均与原件一致，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本企业对所有文件、信息之真实性、准确性、完整性承担法律责任。</w:t>
            </w:r>
          </w:p>
          <w:p w14:paraId="0D75FCF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、根据本次交易安排，如需要本公司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本企业补充提供相关文件、信息时，本公司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本企业保证继续提供的相关文件、信息仍然符合真实、准确、完整、有效的要求。</w:t>
            </w:r>
          </w:p>
          <w:p w14:paraId="02767A6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、如本次交易因本公司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本企业所提供或者披露的文件、信息存在虚假记载、误导性陈述或者重大遗漏，给大唐电信或投资者造成损失的，本公司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本企业将依法承担个别和连带的法律责任。</w:t>
            </w:r>
          </w:p>
          <w:p w14:paraId="16439A9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诺，如本次交易所提供或披露的信息涉嫌虚假记载、误导性陈述或者重大遗漏，被司法机关立案侦查或者被中国证监会立案调查的，在形成调查结论以前，不转让在大唐电信拥有的股份，并于收到立案稽查通知的两个交易日内将暂停转让的书面申请和股票账户提交大唐电信董事会，由大唐电信董事会代其向证券交易所和登记结算公司申请锁定；未在两个交易日内提交锁定申请的，授权大唐电信董事会核实后直接向证券交易所和登记结算公司报送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本企业的身份信息和账户信息并申请锁定；大唐电信董事会未向证券交易所和登记结算公司报送本公司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本企业的身份信息和账户信息的，授权证券交易所和登记结算公司直接锁定相关股份。如调查结论发现存在违法违规情形，本公司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本企业承诺锁定股份自愿用于相关投资者赔偿安排。</w:t>
            </w:r>
            <w:r w:rsidRPr="00B4515A">
              <w:rPr>
                <w:rFonts w:cs="Times New Roman"/>
                <w:sz w:val="21"/>
                <w:szCs w:val="21"/>
              </w:rPr>
              <w:t>”</w:t>
            </w:r>
          </w:p>
        </w:tc>
      </w:tr>
      <w:tr w:rsidR="006416B0" w:rsidRPr="00B4515A" w14:paraId="01A08E0A" w14:textId="77777777" w:rsidTr="00031627">
        <w:trPr>
          <w:trHeight w:val="340"/>
          <w:jc w:val="center"/>
        </w:trPr>
        <w:tc>
          <w:tcPr>
            <w:tcW w:w="649" w:type="pct"/>
            <w:tcMar>
              <w:top w:w="0" w:type="dxa"/>
              <w:left w:w="108" w:type="dxa"/>
              <w:bottom w:w="0" w:type="dxa"/>
              <w:right w:w="108" w:type="dxa"/>
            </w:tcMar>
            <w:vAlign w:val="center"/>
          </w:tcPr>
          <w:p w14:paraId="265FF014" w14:textId="59773E1E" w:rsidR="006416B0" w:rsidRPr="00B4515A" w:rsidRDefault="00252376"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长江移动基金</w:t>
            </w:r>
          </w:p>
        </w:tc>
        <w:tc>
          <w:tcPr>
            <w:tcW w:w="798" w:type="pct"/>
            <w:tcMar>
              <w:top w:w="0" w:type="dxa"/>
              <w:left w:w="108" w:type="dxa"/>
              <w:bottom w:w="0" w:type="dxa"/>
              <w:right w:w="108" w:type="dxa"/>
            </w:tcMar>
            <w:vAlign w:val="center"/>
          </w:tcPr>
          <w:p w14:paraId="4989FF3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关于标的资产权属状况的承诺函</w:t>
            </w:r>
          </w:p>
        </w:tc>
        <w:tc>
          <w:tcPr>
            <w:tcW w:w="3553" w:type="pct"/>
            <w:tcMar>
              <w:top w:w="0" w:type="dxa"/>
              <w:left w:w="108" w:type="dxa"/>
              <w:bottom w:w="0" w:type="dxa"/>
              <w:right w:w="108" w:type="dxa"/>
            </w:tcMar>
            <w:vAlign w:val="center"/>
          </w:tcPr>
          <w:p w14:paraId="4E10B38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本企业合法持有目标公司股权。对于本公司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本企业所持目标公司股权，本公司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本企业确认，本公司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本企业已经依法履行相应的出资义务，不存在任何虚假出资、抽逃出资及出资不实等违反作为目标公司股东所应承担的义务及责任的行为，不存在可能影响目标公司合法存续的情况。</w:t>
            </w:r>
          </w:p>
          <w:p w14:paraId="71C5088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本企业所持有的目标公司股权的资产权属清晰，不存在信托持股、委托持股等股权代持的情形或类似安排，不存在禁止转让、限制转让的承诺或安排，不存在任何现有或潜在法律权</w:t>
            </w:r>
            <w:r w:rsidRPr="00B4515A">
              <w:rPr>
                <w:rFonts w:ascii="Times New Roman" w:hAnsi="Times New Roman" w:cs="Times New Roman"/>
                <w:sz w:val="21"/>
                <w:szCs w:val="21"/>
              </w:rPr>
              <w:lastRenderedPageBreak/>
              <w:t>属纠纷。该等股权不存在质押、抵押、其他担保或第三方权益限制情形，也不存在法院或其他有权机关冻结、轮候冻结、查封、拍卖该等股权之情形。</w:t>
            </w:r>
          </w:p>
          <w:p w14:paraId="2EE4265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本企业依法拥有该等股权的占有、使用、收益及处分权，对该等股权的占有、使用、收益或处分没有侵犯任何其他第三方的权益，该等股权的过户、转移或变更登记不存在法律障碍，若因本公司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本企业所出售股权的任何权属瑕疵引起的损失或法律责任，均由本公司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本企业承担。</w:t>
            </w:r>
            <w:r w:rsidRPr="00B4515A">
              <w:rPr>
                <w:rFonts w:cs="Times New Roman"/>
                <w:sz w:val="21"/>
                <w:szCs w:val="21"/>
              </w:rPr>
              <w:t>”</w:t>
            </w:r>
          </w:p>
        </w:tc>
      </w:tr>
      <w:tr w:rsidR="006416B0" w:rsidRPr="00B4515A" w14:paraId="491DAA4B" w14:textId="77777777" w:rsidTr="00031627">
        <w:trPr>
          <w:trHeight w:val="340"/>
          <w:jc w:val="center"/>
        </w:trPr>
        <w:tc>
          <w:tcPr>
            <w:tcW w:w="649" w:type="pct"/>
            <w:tcMar>
              <w:top w:w="0" w:type="dxa"/>
              <w:left w:w="108" w:type="dxa"/>
              <w:bottom w:w="0" w:type="dxa"/>
              <w:right w:w="108" w:type="dxa"/>
            </w:tcMar>
            <w:vAlign w:val="center"/>
          </w:tcPr>
          <w:p w14:paraId="0775B75B" w14:textId="4E96F7D6" w:rsidR="006416B0" w:rsidRPr="00B4515A" w:rsidRDefault="00252376"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长江移动基金</w:t>
            </w:r>
          </w:p>
        </w:tc>
        <w:tc>
          <w:tcPr>
            <w:tcW w:w="798" w:type="pct"/>
            <w:tcMar>
              <w:top w:w="0" w:type="dxa"/>
              <w:left w:w="108" w:type="dxa"/>
              <w:bottom w:w="0" w:type="dxa"/>
              <w:right w:w="108" w:type="dxa"/>
            </w:tcMar>
            <w:vAlign w:val="center"/>
          </w:tcPr>
          <w:p w14:paraId="4A07C77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关于具备交易主体资格的承诺函</w:t>
            </w:r>
          </w:p>
        </w:tc>
        <w:tc>
          <w:tcPr>
            <w:tcW w:w="3553" w:type="pct"/>
            <w:tcMar>
              <w:top w:w="0" w:type="dxa"/>
              <w:left w:w="108" w:type="dxa"/>
              <w:bottom w:w="0" w:type="dxa"/>
              <w:right w:w="108" w:type="dxa"/>
            </w:tcMar>
            <w:vAlign w:val="center"/>
          </w:tcPr>
          <w:p w14:paraId="277D234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本企业作为依据设立地法律设立并有效存续的公司</w:t>
            </w:r>
            <w:r w:rsidRPr="00B4515A">
              <w:rPr>
                <w:rFonts w:ascii="Times New Roman" w:hAnsi="Times New Roman" w:cs="Times New Roman"/>
                <w:sz w:val="21"/>
                <w:szCs w:val="21"/>
              </w:rPr>
              <w:t>/</w:t>
            </w:r>
            <w:r w:rsidRPr="00B4515A">
              <w:rPr>
                <w:rFonts w:ascii="Times New Roman" w:hAnsi="Times New Roman" w:cs="Times New Roman"/>
                <w:sz w:val="21"/>
                <w:szCs w:val="21"/>
              </w:rPr>
              <w:t>企业，不存在相关法律、法规和规范性文件规定的不得认购上市公司股份的情形，具备作为本次交易的交易对方的主体资格。</w:t>
            </w:r>
          </w:p>
          <w:p w14:paraId="06BF053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、截至本承诺函出具日，本公司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本企业及主要管理人员不存在因涉嫌犯罪正被司法机关立案侦查或涉嫌违法违规正被中国证监会立案调查的情形。</w:t>
            </w:r>
          </w:p>
          <w:p w14:paraId="69376E6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本企业及主要管理人员在最近五年内诚信情况良好，不存在未按期偿还大额债务、未履行承诺或被中国证监会采取行政监管措施或受到证券交易所纪律处分的情况。</w:t>
            </w:r>
          </w:p>
          <w:p w14:paraId="0E92A54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本企业及主要管理人员最近五年内不存在受到行政处罚（与证券市场明显无关的除外）、刑事处罚的情况。</w:t>
            </w:r>
          </w:p>
          <w:p w14:paraId="2ADB826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、除向大唐电信及本次交易中介机构已提供的诉讼及仲裁之外，本公司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本企业及主要管理人员不存在其他涉及与经济纠纷有关的重大民事诉讼和仲裁。</w:t>
            </w:r>
          </w:p>
          <w:p w14:paraId="4226EC6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6</w:t>
            </w:r>
            <w:r w:rsidRPr="00B4515A">
              <w:rPr>
                <w:rFonts w:ascii="Times New Roman" w:hAnsi="Times New Roman" w:cs="Times New Roman"/>
                <w:sz w:val="21"/>
                <w:szCs w:val="21"/>
              </w:rPr>
              <w:t>、上述承诺内容真实、完整、准确，不存在虚假、误导性陈述，不存在重大遗漏。本公司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本企业完全了解作出虚假声明可能导致的后果，并愿承担因此产生的一切法律后果。</w:t>
            </w:r>
          </w:p>
          <w:p w14:paraId="6A47373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7</w:t>
            </w:r>
            <w:r w:rsidRPr="00B4515A">
              <w:rPr>
                <w:rFonts w:ascii="Times New Roman" w:hAnsi="Times New Roman" w:cs="Times New Roman"/>
                <w:sz w:val="21"/>
                <w:szCs w:val="21"/>
              </w:rPr>
              <w:t>、本次交易中，本公司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本企业同意接受大唐电信发行股份购买本公司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本企业所持有的目标公司股权并签署相关交易协议和文件，就本次交易事宜本公司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本企业已履行内部所需的全部决策程序，已获得必要的授权和</w:t>
            </w:r>
            <w:r w:rsidRPr="00B4515A">
              <w:rPr>
                <w:rFonts w:ascii="Times New Roman" w:hAnsi="Times New Roman" w:cs="Times New Roman"/>
                <w:sz w:val="21"/>
                <w:szCs w:val="21"/>
              </w:rPr>
              <w:t>/</w:t>
            </w:r>
            <w:r w:rsidRPr="00B4515A">
              <w:rPr>
                <w:rFonts w:ascii="Times New Roman" w:hAnsi="Times New Roman" w:cs="Times New Roman"/>
                <w:sz w:val="21"/>
                <w:szCs w:val="21"/>
              </w:rPr>
              <w:t>或批准。</w:t>
            </w:r>
            <w:r w:rsidRPr="00B4515A">
              <w:rPr>
                <w:rFonts w:cs="Times New Roman"/>
                <w:sz w:val="21"/>
                <w:szCs w:val="21"/>
              </w:rPr>
              <w:t>”</w:t>
            </w:r>
          </w:p>
        </w:tc>
      </w:tr>
      <w:tr w:rsidR="006416B0" w:rsidRPr="00B4515A" w14:paraId="04C4FA05" w14:textId="77777777" w:rsidTr="00031627">
        <w:trPr>
          <w:trHeight w:val="340"/>
          <w:jc w:val="center"/>
        </w:trPr>
        <w:tc>
          <w:tcPr>
            <w:tcW w:w="649" w:type="pct"/>
            <w:tcMar>
              <w:top w:w="0" w:type="dxa"/>
              <w:left w:w="108" w:type="dxa"/>
              <w:bottom w:w="0" w:type="dxa"/>
              <w:right w:w="108" w:type="dxa"/>
            </w:tcMar>
            <w:vAlign w:val="center"/>
          </w:tcPr>
          <w:p w14:paraId="121AE860" w14:textId="10AEBF03" w:rsidR="006416B0" w:rsidRPr="00B4515A" w:rsidRDefault="00252376"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长江移动基金</w:t>
            </w:r>
          </w:p>
        </w:tc>
        <w:tc>
          <w:tcPr>
            <w:tcW w:w="798" w:type="pct"/>
            <w:tcMar>
              <w:top w:w="0" w:type="dxa"/>
              <w:left w:w="108" w:type="dxa"/>
              <w:bottom w:w="0" w:type="dxa"/>
              <w:right w:w="108" w:type="dxa"/>
            </w:tcMar>
            <w:vAlign w:val="center"/>
          </w:tcPr>
          <w:p w14:paraId="2D51584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关于股份锁定期的承诺函</w:t>
            </w:r>
          </w:p>
        </w:tc>
        <w:tc>
          <w:tcPr>
            <w:tcW w:w="3553" w:type="pct"/>
            <w:tcMar>
              <w:top w:w="0" w:type="dxa"/>
              <w:left w:w="108" w:type="dxa"/>
              <w:bottom w:w="0" w:type="dxa"/>
              <w:right w:w="108" w:type="dxa"/>
            </w:tcMar>
            <w:vAlign w:val="center"/>
          </w:tcPr>
          <w:p w14:paraId="24B49ED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、本企业通过本次交易取得的大唐电信向本企业发行的股份时，如本企业用于认购股份的资产持续拥有权益的时间不足</w:t>
            </w:r>
            <w:r w:rsidRPr="00B4515A">
              <w:rPr>
                <w:rFonts w:ascii="Times New Roman" w:hAnsi="Times New Roman" w:cs="Times New Roman"/>
                <w:sz w:val="21"/>
                <w:szCs w:val="21"/>
              </w:rPr>
              <w:t>12</w:t>
            </w:r>
            <w:r w:rsidRPr="00B4515A">
              <w:rPr>
                <w:rFonts w:ascii="Times New Roman" w:hAnsi="Times New Roman" w:cs="Times New Roman"/>
                <w:sz w:val="21"/>
                <w:szCs w:val="21"/>
              </w:rPr>
              <w:t>个月，则本企业所认购的大唐电信股份自该等股份发行结束之日起</w:t>
            </w:r>
            <w:r w:rsidRPr="00B4515A">
              <w:rPr>
                <w:rFonts w:ascii="Times New Roman" w:hAnsi="Times New Roman" w:cs="Times New Roman"/>
                <w:sz w:val="21"/>
                <w:szCs w:val="21"/>
              </w:rPr>
              <w:t>36</w:t>
            </w:r>
            <w:r w:rsidRPr="00B4515A">
              <w:rPr>
                <w:rFonts w:ascii="Times New Roman" w:hAnsi="Times New Roman" w:cs="Times New Roman"/>
                <w:sz w:val="21"/>
                <w:szCs w:val="21"/>
              </w:rPr>
              <w:t>个月内不得转让。</w:t>
            </w:r>
          </w:p>
          <w:p w14:paraId="403E926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、本企业通过本次交易取得的大唐电信向本企业发行的股份时，如本企业用于认购股份的资产持续拥有权益的时间已满</w:t>
            </w:r>
            <w:r w:rsidRPr="00B4515A">
              <w:rPr>
                <w:rFonts w:ascii="Times New Roman" w:hAnsi="Times New Roman" w:cs="Times New Roman"/>
                <w:sz w:val="21"/>
                <w:szCs w:val="21"/>
              </w:rPr>
              <w:t>12</w:t>
            </w:r>
            <w:r w:rsidRPr="00B4515A">
              <w:rPr>
                <w:rFonts w:ascii="Times New Roman" w:hAnsi="Times New Roman" w:cs="Times New Roman"/>
                <w:sz w:val="21"/>
                <w:szCs w:val="21"/>
              </w:rPr>
              <w:t>个月，则本企业所认购的大唐电信股份自该等股份发行结束之日起</w:t>
            </w:r>
            <w:r w:rsidRPr="00B4515A">
              <w:rPr>
                <w:rFonts w:ascii="Times New Roman" w:hAnsi="Times New Roman" w:cs="Times New Roman"/>
                <w:sz w:val="21"/>
                <w:szCs w:val="21"/>
              </w:rPr>
              <w:t>12</w:t>
            </w:r>
            <w:r w:rsidRPr="00B4515A">
              <w:rPr>
                <w:rFonts w:ascii="Times New Roman" w:hAnsi="Times New Roman" w:cs="Times New Roman"/>
                <w:sz w:val="21"/>
                <w:szCs w:val="21"/>
              </w:rPr>
              <w:t>个月内不得转让。</w:t>
            </w:r>
          </w:p>
          <w:p w14:paraId="3B8302E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、限售期内，本企业如因大唐电信实施送股、配股、资本公积转增股本等原因而由上述认购股份衍生取得的大唐电信的股份，亦应遵守上述锁定期约定。</w:t>
            </w:r>
          </w:p>
          <w:p w14:paraId="2C14674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企业因本次交易股份购买资产所获得的大唐电信的股份在限售期届满后减持时，需遵守《中华人民共和国公司法》、《中华人民共和国证券法》、《上海证券交易所股票上市规则》等法律、法规、规章、规范性文件以及大唐电信公司章程的相关规定。</w:t>
            </w:r>
          </w:p>
          <w:p w14:paraId="25CB3AE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、若股份的锁定期规定与证券监管机构的最新监管意见不相符，将根据相关证券监管机构的监管意见进行相应调整。</w:t>
            </w:r>
          </w:p>
          <w:p w14:paraId="009F928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6</w:t>
            </w:r>
            <w:r w:rsidRPr="00B4515A">
              <w:rPr>
                <w:rFonts w:ascii="Times New Roman" w:hAnsi="Times New Roman" w:cs="Times New Roman"/>
                <w:sz w:val="21"/>
                <w:szCs w:val="21"/>
              </w:rPr>
              <w:t>、如本企业为本次交易所提供或披露的信息涉嫌虚假记载、误导性陈述或者重大遗漏，被司法机关立案侦查或者被中国证监会立案调查的，在形成调查结论以前，本企业不得转让其在大唐电</w:t>
            </w:r>
            <w:r w:rsidRPr="00B4515A">
              <w:rPr>
                <w:rFonts w:ascii="Times New Roman" w:hAnsi="Times New Roman" w:cs="Times New Roman"/>
                <w:sz w:val="21"/>
                <w:szCs w:val="21"/>
              </w:rPr>
              <w:lastRenderedPageBreak/>
              <w:t>信拥有权益的股份。</w:t>
            </w:r>
            <w:r w:rsidRPr="00B4515A">
              <w:rPr>
                <w:rFonts w:cs="Times New Roman"/>
                <w:sz w:val="21"/>
                <w:szCs w:val="21"/>
              </w:rPr>
              <w:t>”</w:t>
            </w:r>
          </w:p>
        </w:tc>
      </w:tr>
      <w:tr w:rsidR="006416B0" w:rsidRPr="00B4515A" w14:paraId="4388C1C0" w14:textId="77777777" w:rsidTr="00031627">
        <w:trPr>
          <w:trHeight w:val="340"/>
          <w:jc w:val="center"/>
        </w:trPr>
        <w:tc>
          <w:tcPr>
            <w:tcW w:w="649" w:type="pct"/>
            <w:tcMar>
              <w:top w:w="0" w:type="dxa"/>
              <w:left w:w="108" w:type="dxa"/>
              <w:bottom w:w="0" w:type="dxa"/>
              <w:right w:w="108" w:type="dxa"/>
            </w:tcMar>
            <w:vAlign w:val="center"/>
          </w:tcPr>
          <w:p w14:paraId="13B85568" w14:textId="1AE289A5" w:rsidR="006416B0" w:rsidRPr="00B4515A" w:rsidRDefault="00252376"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长江移动基金</w:t>
            </w:r>
            <w:r w:rsidR="005E58C1" w:rsidRPr="00B4515A">
              <w:rPr>
                <w:rFonts w:ascii="Times New Roman" w:hAnsi="Times New Roman" w:cs="Times New Roman"/>
                <w:sz w:val="21"/>
                <w:szCs w:val="21"/>
              </w:rPr>
              <w:t>主要管理人员</w:t>
            </w:r>
          </w:p>
        </w:tc>
        <w:tc>
          <w:tcPr>
            <w:tcW w:w="798" w:type="pct"/>
            <w:tcMar>
              <w:top w:w="0" w:type="dxa"/>
              <w:left w:w="108" w:type="dxa"/>
              <w:bottom w:w="0" w:type="dxa"/>
              <w:right w:w="108" w:type="dxa"/>
            </w:tcMar>
            <w:vAlign w:val="center"/>
          </w:tcPr>
          <w:p w14:paraId="21B12F9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关于守法和诚信情况的承诺函</w:t>
            </w:r>
          </w:p>
        </w:tc>
        <w:tc>
          <w:tcPr>
            <w:tcW w:w="3553" w:type="pct"/>
            <w:tcMar>
              <w:top w:w="0" w:type="dxa"/>
              <w:left w:w="108" w:type="dxa"/>
              <w:bottom w:w="0" w:type="dxa"/>
              <w:right w:w="108" w:type="dxa"/>
            </w:tcMar>
            <w:vAlign w:val="center"/>
          </w:tcPr>
          <w:p w14:paraId="257C506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一、截至本承诺函出具日，本人不存在因涉嫌犯罪正被司法机关立案侦查或涉嫌违法违规正被中国证监会立案调查的情形。</w:t>
            </w:r>
          </w:p>
          <w:p w14:paraId="2D25CF4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二、本人在最近五年内诚信情况良好，不存在未按期偿还大额债务、未履行承诺或被中国证监会采取行政监管措施或受到证券交易所纪律处分的情况。</w:t>
            </w:r>
          </w:p>
          <w:p w14:paraId="1E8D5EF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三、本人最近五年内不存在受到行政处罚（与证券市场明显无关的除外）、刑事处罚的情况。</w:t>
            </w:r>
          </w:p>
          <w:p w14:paraId="3080D57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四、本人不存在其他涉及与经济纠纷有关的重大民事诉讼和仲裁。</w:t>
            </w:r>
          </w:p>
          <w:p w14:paraId="598AF93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五、上述承诺内容真实、完整、准确，不存在虚假、误导性陈述，不存在重大遗漏。本人完全了解作出虚假声明可能导致的后果，并愿承担因此产生的一切法律后果。</w:t>
            </w:r>
            <w:r w:rsidRPr="00B4515A">
              <w:rPr>
                <w:rFonts w:cs="Times New Roman" w:hint="eastAsia"/>
                <w:sz w:val="21"/>
                <w:szCs w:val="21"/>
              </w:rPr>
              <w:t>”</w:t>
            </w:r>
          </w:p>
        </w:tc>
      </w:tr>
      <w:tr w:rsidR="006416B0" w:rsidRPr="00B4515A" w14:paraId="7CF71AAC" w14:textId="77777777" w:rsidTr="00031627">
        <w:trPr>
          <w:trHeight w:val="340"/>
          <w:jc w:val="center"/>
        </w:trPr>
        <w:tc>
          <w:tcPr>
            <w:tcW w:w="649" w:type="pct"/>
            <w:tcMar>
              <w:top w:w="0" w:type="dxa"/>
              <w:left w:w="108" w:type="dxa"/>
              <w:bottom w:w="0" w:type="dxa"/>
              <w:right w:w="108" w:type="dxa"/>
            </w:tcMar>
            <w:vAlign w:val="center"/>
          </w:tcPr>
          <w:p w14:paraId="707DB0BF" w14:textId="7FC73137" w:rsidR="006416B0" w:rsidRPr="00B4515A" w:rsidRDefault="00252376"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长江移动基金</w:t>
            </w:r>
          </w:p>
        </w:tc>
        <w:tc>
          <w:tcPr>
            <w:tcW w:w="798" w:type="pct"/>
            <w:tcMar>
              <w:top w:w="0" w:type="dxa"/>
              <w:left w:w="108" w:type="dxa"/>
              <w:bottom w:w="0" w:type="dxa"/>
              <w:right w:w="108" w:type="dxa"/>
            </w:tcMar>
            <w:vAlign w:val="center"/>
          </w:tcPr>
          <w:p w14:paraId="20F292F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关于本次交易后保持上市公司独立性的承诺函</w:t>
            </w:r>
          </w:p>
        </w:tc>
        <w:tc>
          <w:tcPr>
            <w:tcW w:w="3553" w:type="pct"/>
            <w:tcMar>
              <w:top w:w="0" w:type="dxa"/>
              <w:left w:w="108" w:type="dxa"/>
              <w:bottom w:w="0" w:type="dxa"/>
              <w:right w:w="108" w:type="dxa"/>
            </w:tcMar>
            <w:vAlign w:val="center"/>
          </w:tcPr>
          <w:p w14:paraId="14FCBFB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在本次交易完成后，本企业承诺将按照有关法律、法规、规范性文件的要求，做到与大唐电信在人员、资产、业务、机构、财务方面完全分开，不从事任何影响大唐电信人员独立、资产独立完整、业务独立、机构独立、财务独立的行为，不损害大唐电信及其他股东的利益，切实保障大唐电信在人员、资产、业务、机构和财务等方面的独立性。</w:t>
            </w:r>
          </w:p>
          <w:p w14:paraId="3F53628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如因本企业违反上述承诺导致大唐电信遭受损失的，本企业将对由此给大唐电信造成的实际损失做出及时和足额的赔偿，并保证积极消除由此造成的任何不利影响。</w:t>
            </w:r>
            <w:r w:rsidRPr="00B4515A">
              <w:rPr>
                <w:rFonts w:cs="Times New Roman" w:hint="eastAsia"/>
                <w:sz w:val="21"/>
                <w:szCs w:val="21"/>
              </w:rPr>
              <w:t>”</w:t>
            </w:r>
          </w:p>
        </w:tc>
      </w:tr>
      <w:tr w:rsidR="006416B0" w:rsidRPr="00B4515A" w14:paraId="13300ACE" w14:textId="77777777" w:rsidTr="00031627">
        <w:trPr>
          <w:trHeight w:val="340"/>
          <w:jc w:val="center"/>
        </w:trPr>
        <w:tc>
          <w:tcPr>
            <w:tcW w:w="649" w:type="pct"/>
            <w:tcMar>
              <w:top w:w="0" w:type="dxa"/>
              <w:left w:w="108" w:type="dxa"/>
              <w:bottom w:w="0" w:type="dxa"/>
              <w:right w:w="108" w:type="dxa"/>
            </w:tcMar>
            <w:vAlign w:val="center"/>
          </w:tcPr>
          <w:p w14:paraId="2EC72595" w14:textId="17B8069D" w:rsidR="006416B0" w:rsidRPr="00B4515A" w:rsidRDefault="00252376"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长江移动基金</w:t>
            </w:r>
          </w:p>
        </w:tc>
        <w:tc>
          <w:tcPr>
            <w:tcW w:w="798" w:type="pct"/>
            <w:tcMar>
              <w:top w:w="0" w:type="dxa"/>
              <w:left w:w="108" w:type="dxa"/>
              <w:bottom w:w="0" w:type="dxa"/>
              <w:right w:w="108" w:type="dxa"/>
            </w:tcMar>
            <w:vAlign w:val="center"/>
          </w:tcPr>
          <w:p w14:paraId="28F98A9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关于避免同业竞争的承诺函</w:t>
            </w:r>
          </w:p>
        </w:tc>
        <w:tc>
          <w:tcPr>
            <w:tcW w:w="3553" w:type="pct"/>
            <w:tcMar>
              <w:top w:w="0" w:type="dxa"/>
              <w:left w:w="108" w:type="dxa"/>
              <w:bottom w:w="0" w:type="dxa"/>
              <w:right w:w="108" w:type="dxa"/>
            </w:tcMar>
            <w:vAlign w:val="center"/>
          </w:tcPr>
          <w:p w14:paraId="084684F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、本次交易前，本公司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本企业及下属全资、控股子公司及其他可实际控制企业与上市公司主营业务不存在相竞争的业务，本次交易不会导致本公司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本企业与上市公司增加同业竞争。</w:t>
            </w:r>
          </w:p>
          <w:p w14:paraId="1466F35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本企业保证绝不利用对上市公司的了解和知悉的信息协助第三方从事、参与或投资与上市公司相竞争的业务或项目。</w:t>
            </w:r>
          </w:p>
          <w:p w14:paraId="4C91DF4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、本承诺函在上市公司合法有效存续且在本公司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本企业作为上市公司股东期间持续有效。</w:t>
            </w:r>
            <w:r w:rsidRPr="00B4515A">
              <w:rPr>
                <w:rFonts w:cs="Times New Roman" w:hint="eastAsia"/>
                <w:sz w:val="21"/>
                <w:szCs w:val="21"/>
              </w:rPr>
              <w:t>”</w:t>
            </w:r>
          </w:p>
        </w:tc>
      </w:tr>
      <w:tr w:rsidR="006416B0" w:rsidRPr="00B4515A" w14:paraId="05714EE7" w14:textId="77777777" w:rsidTr="00031627">
        <w:trPr>
          <w:trHeight w:val="340"/>
          <w:jc w:val="center"/>
        </w:trPr>
        <w:tc>
          <w:tcPr>
            <w:tcW w:w="649" w:type="pct"/>
            <w:tcMar>
              <w:top w:w="0" w:type="dxa"/>
              <w:left w:w="108" w:type="dxa"/>
              <w:bottom w:w="0" w:type="dxa"/>
              <w:right w:w="108" w:type="dxa"/>
            </w:tcMar>
            <w:vAlign w:val="center"/>
          </w:tcPr>
          <w:p w14:paraId="351B2A0C" w14:textId="09E283CA" w:rsidR="006416B0" w:rsidRPr="00B4515A" w:rsidRDefault="00252376"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长江移动基金</w:t>
            </w:r>
          </w:p>
        </w:tc>
        <w:tc>
          <w:tcPr>
            <w:tcW w:w="798" w:type="pct"/>
            <w:tcMar>
              <w:top w:w="0" w:type="dxa"/>
              <w:left w:w="108" w:type="dxa"/>
              <w:bottom w:w="0" w:type="dxa"/>
              <w:right w:w="108" w:type="dxa"/>
            </w:tcMar>
            <w:vAlign w:val="center"/>
          </w:tcPr>
          <w:p w14:paraId="6E28E47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关于减少和规范关联交易的承诺函</w:t>
            </w:r>
          </w:p>
        </w:tc>
        <w:tc>
          <w:tcPr>
            <w:tcW w:w="3553" w:type="pct"/>
            <w:tcMar>
              <w:top w:w="0" w:type="dxa"/>
              <w:left w:w="108" w:type="dxa"/>
              <w:bottom w:w="0" w:type="dxa"/>
              <w:right w:w="108" w:type="dxa"/>
            </w:tcMar>
            <w:vAlign w:val="center"/>
          </w:tcPr>
          <w:p w14:paraId="31D104A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尽可能地避免和减少与大唐电信（含其全资及控股子公司，下同）的关联交易；对无法避免或者有合理原因而发生的关联交易，将遵循平等、自愿、公平的原则，按照合理和正常的商业交易条件进行，并保证不通过关联交易损害大唐电信及其他股东的合法权益。</w:t>
            </w:r>
          </w:p>
          <w:p w14:paraId="3AACD56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本企业在作为大唐电信股东期间，将不会以借款、代偿款项、要求提供担保或者其他任何方式非法占用大唐电信的资金或资产，不会利用其股东地位影响大唐电信的独立性，以确保大唐电信的规范运作。</w:t>
            </w:r>
          </w:p>
          <w:p w14:paraId="1382F27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、对于无法避免或者有合理原因而发生的关联交易，本公司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严格按照有关法律、法规、规范性文件以及大唐电信的章程和关联交易决策制度等规定，在大唐电信董事会、股东大会对相关关联交易事项进行表决时，继续严格履行关联董事、关联股东回避表决的义务。</w:t>
            </w:r>
          </w:p>
          <w:p w14:paraId="219C54E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、因本公司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本企业违反本承诺函，导致大唐电信遭受损失的，本公司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本企业将对由此给大唐电信造成的全部损失做出全面、及时和足额的赔偿，并保证积极消除由此造成的任何不利影响。</w:t>
            </w:r>
            <w:r w:rsidRPr="00B4515A">
              <w:rPr>
                <w:rFonts w:cs="Times New Roman" w:hint="eastAsia"/>
                <w:sz w:val="21"/>
                <w:szCs w:val="21"/>
              </w:rPr>
              <w:t>”</w:t>
            </w:r>
          </w:p>
        </w:tc>
      </w:tr>
      <w:tr w:rsidR="006416B0" w:rsidRPr="00B4515A" w14:paraId="7DB75CB8" w14:textId="77777777" w:rsidTr="00031627">
        <w:trPr>
          <w:trHeight w:val="340"/>
          <w:jc w:val="center"/>
        </w:trPr>
        <w:tc>
          <w:tcPr>
            <w:tcW w:w="649" w:type="pct"/>
            <w:tcMar>
              <w:top w:w="0" w:type="dxa"/>
              <w:left w:w="108" w:type="dxa"/>
              <w:bottom w:w="0" w:type="dxa"/>
              <w:right w:w="108" w:type="dxa"/>
            </w:tcMar>
            <w:vAlign w:val="center"/>
          </w:tcPr>
          <w:p w14:paraId="66EC9D8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结构调整基金</w:t>
            </w:r>
          </w:p>
        </w:tc>
        <w:tc>
          <w:tcPr>
            <w:tcW w:w="798" w:type="pct"/>
            <w:tcMar>
              <w:top w:w="0" w:type="dxa"/>
              <w:left w:w="108" w:type="dxa"/>
              <w:bottom w:w="0" w:type="dxa"/>
              <w:right w:w="108" w:type="dxa"/>
            </w:tcMar>
            <w:vAlign w:val="center"/>
          </w:tcPr>
          <w:p w14:paraId="1E63307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关于提供材料真实、准确和完整的</w:t>
            </w:r>
            <w:r w:rsidRPr="00B4515A">
              <w:rPr>
                <w:rFonts w:ascii="Times New Roman" w:hAnsi="Times New Roman" w:cs="Times New Roman"/>
                <w:sz w:val="21"/>
                <w:szCs w:val="21"/>
              </w:rPr>
              <w:lastRenderedPageBreak/>
              <w:t>承诺函</w:t>
            </w:r>
          </w:p>
        </w:tc>
        <w:tc>
          <w:tcPr>
            <w:tcW w:w="3553" w:type="pct"/>
            <w:tcMar>
              <w:top w:w="0" w:type="dxa"/>
              <w:left w:w="108" w:type="dxa"/>
              <w:bottom w:w="0" w:type="dxa"/>
              <w:right w:w="108" w:type="dxa"/>
            </w:tcMar>
            <w:vAlign w:val="center"/>
          </w:tcPr>
          <w:p w14:paraId="5E45F29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lastRenderedPageBreak/>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本企业承诺及时向大唐电信以及向为本次交易提供财务顾问、审计、评估、法律等专业服务的中介机构提供完成本次交易所必需的相关文件、信息，并保证所提供的所有文件、信</w:t>
            </w:r>
            <w:r w:rsidRPr="00B4515A">
              <w:rPr>
                <w:rFonts w:ascii="Times New Roman" w:hAnsi="Times New Roman" w:cs="Times New Roman"/>
                <w:sz w:val="21"/>
                <w:szCs w:val="21"/>
              </w:rPr>
              <w:lastRenderedPageBreak/>
              <w:t>息均真实、准确、完整，不存在虚假记载、误导性陈述或者重大遗漏，文件上所有签字与印章均真实有效，复印件均与原件一致，本公司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本企业对所有文件、信息之真实性、准确性、完整性承担法律责任。</w:t>
            </w:r>
          </w:p>
          <w:p w14:paraId="3C790DC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、根据本次交易安排，如需要本公司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本企业补充提供相关文件、信息时，本公司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本企业保证继续提供的相关文件、信息仍然符合真实、准确、完整、有效的要求。</w:t>
            </w:r>
          </w:p>
          <w:p w14:paraId="0B138E7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、如本次交易因本公司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本企业所提供或者披露的文件、信息存在虚假记载、误导性陈述或者重大遗漏，给大唐电信或投资者造成损失的，本公司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本企业将依法承担个别和连带的法律责任。</w:t>
            </w:r>
          </w:p>
          <w:p w14:paraId="084C99D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诺，如本次交易所提供或披露的信息涉嫌虚假记载、误导性陈述或者重大遗漏，被司法机关立案侦查或者被中国证监会立案调查的，在形成调查结论以前，不转让在大唐电信拥有的股份，并于收到立案稽查通知的两个交易日内将暂停转让的书面申请和股票账户提交大唐电信董事会，由大唐电信董事会代其向证券交易所和登记结算公司申请锁定；未在两个交易日内提交锁定申请的，授权大唐电信董事会核实后直接向证券交易所和登记结算公司报送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本企业的身份信息和账户信息并申请锁定；大唐电信董事会未向证券交易所和登记结算公司报送本公司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本企业的身份信息和账户信息的，授权证券交易所和登记结算公司直接锁定相关股份。如调查结论发现存在违法违规情形，本公司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本企业承诺锁定股份自愿用于相关投资者赔偿安排。</w:t>
            </w:r>
            <w:r w:rsidRPr="00B4515A">
              <w:rPr>
                <w:rFonts w:cs="Times New Roman"/>
                <w:sz w:val="21"/>
                <w:szCs w:val="21"/>
              </w:rPr>
              <w:t>”</w:t>
            </w:r>
          </w:p>
        </w:tc>
      </w:tr>
      <w:tr w:rsidR="006416B0" w:rsidRPr="00B4515A" w14:paraId="53F93CCB" w14:textId="77777777" w:rsidTr="00031627">
        <w:trPr>
          <w:trHeight w:val="340"/>
          <w:jc w:val="center"/>
        </w:trPr>
        <w:tc>
          <w:tcPr>
            <w:tcW w:w="649" w:type="pct"/>
            <w:tcMar>
              <w:top w:w="0" w:type="dxa"/>
              <w:left w:w="108" w:type="dxa"/>
              <w:bottom w:w="0" w:type="dxa"/>
              <w:right w:w="108" w:type="dxa"/>
            </w:tcMar>
            <w:vAlign w:val="center"/>
          </w:tcPr>
          <w:p w14:paraId="7E6CE9D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结构调整基金</w:t>
            </w:r>
          </w:p>
        </w:tc>
        <w:tc>
          <w:tcPr>
            <w:tcW w:w="798" w:type="pct"/>
            <w:tcMar>
              <w:top w:w="0" w:type="dxa"/>
              <w:left w:w="108" w:type="dxa"/>
              <w:bottom w:w="0" w:type="dxa"/>
              <w:right w:w="108" w:type="dxa"/>
            </w:tcMar>
            <w:vAlign w:val="center"/>
          </w:tcPr>
          <w:p w14:paraId="3353C5A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关于标的资产权属状况的承诺函</w:t>
            </w:r>
          </w:p>
        </w:tc>
        <w:tc>
          <w:tcPr>
            <w:tcW w:w="3553" w:type="pct"/>
            <w:tcMar>
              <w:top w:w="0" w:type="dxa"/>
              <w:left w:w="108" w:type="dxa"/>
              <w:bottom w:w="0" w:type="dxa"/>
              <w:right w:w="108" w:type="dxa"/>
            </w:tcMar>
            <w:vAlign w:val="center"/>
          </w:tcPr>
          <w:p w14:paraId="2FD19A5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本企业合法持有目标公司股权。对于本公司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本企业所持目标公司股权，本公司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本企业确认，本公司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本企业已经依法履行相应的出资义务，不存在任何虚假出资、抽逃出资及出资不实等违反作为目标公司股东所应承担的义务及责任的行为，不存在可能影响目标公司合法存续的情况。</w:t>
            </w:r>
          </w:p>
          <w:p w14:paraId="1719CD5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有的目标公司股权的资产权属清晰，不存在信托持股、委托持股等股权代持的情形或类似安排，不存在禁止转让、限制转让的承诺或安排，不存在任何现有或潜在法律权属纠纷。该等股权不存在质押、抵押、其他担保或第三方权益限制情形，也不存在法院或其他有权机关冻结、轮候冻结、查封、拍卖该等股权之情形。</w:t>
            </w:r>
          </w:p>
          <w:p w14:paraId="53E6AFF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本企业依法拥有该等股权的占有、使用、收益及处分权，对该等股权的占有、使用、收益或处分没有侵犯任何其他第三方的权益，该等股权的过户、转移或变更登记不存在法律障碍，若因本公司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本企业所出售股权的任何权属瑕疵引起的损失或法律责任，均由本公司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本企业承担。</w:t>
            </w:r>
            <w:r w:rsidRPr="00B4515A">
              <w:rPr>
                <w:rFonts w:cs="Times New Roman"/>
                <w:sz w:val="21"/>
                <w:szCs w:val="21"/>
              </w:rPr>
              <w:t>”</w:t>
            </w:r>
          </w:p>
        </w:tc>
      </w:tr>
      <w:tr w:rsidR="006416B0" w:rsidRPr="00B4515A" w14:paraId="7F7C6DE1" w14:textId="77777777" w:rsidTr="00031627">
        <w:trPr>
          <w:trHeight w:val="340"/>
          <w:jc w:val="center"/>
        </w:trPr>
        <w:tc>
          <w:tcPr>
            <w:tcW w:w="649" w:type="pct"/>
            <w:tcMar>
              <w:top w:w="0" w:type="dxa"/>
              <w:left w:w="108" w:type="dxa"/>
              <w:bottom w:w="0" w:type="dxa"/>
              <w:right w:w="108" w:type="dxa"/>
            </w:tcMar>
            <w:vAlign w:val="center"/>
          </w:tcPr>
          <w:p w14:paraId="1B9E1C1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结构调整基金</w:t>
            </w:r>
          </w:p>
        </w:tc>
        <w:tc>
          <w:tcPr>
            <w:tcW w:w="798" w:type="pct"/>
            <w:tcMar>
              <w:top w:w="0" w:type="dxa"/>
              <w:left w:w="108" w:type="dxa"/>
              <w:bottom w:w="0" w:type="dxa"/>
              <w:right w:w="108" w:type="dxa"/>
            </w:tcMar>
            <w:vAlign w:val="center"/>
          </w:tcPr>
          <w:p w14:paraId="1BA7E71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关于具备交易主体资格的承诺函</w:t>
            </w:r>
          </w:p>
        </w:tc>
        <w:tc>
          <w:tcPr>
            <w:tcW w:w="3553" w:type="pct"/>
            <w:tcMar>
              <w:top w:w="0" w:type="dxa"/>
              <w:left w:w="108" w:type="dxa"/>
              <w:bottom w:w="0" w:type="dxa"/>
              <w:right w:w="108" w:type="dxa"/>
            </w:tcMar>
            <w:vAlign w:val="center"/>
          </w:tcPr>
          <w:p w14:paraId="1358025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本企业作为依据设立地法律设立并有效存续的公司</w:t>
            </w:r>
            <w:r w:rsidRPr="00B4515A">
              <w:rPr>
                <w:rFonts w:ascii="Times New Roman" w:hAnsi="Times New Roman" w:cs="Times New Roman"/>
                <w:sz w:val="21"/>
                <w:szCs w:val="21"/>
              </w:rPr>
              <w:t>/</w:t>
            </w:r>
            <w:r w:rsidRPr="00B4515A">
              <w:rPr>
                <w:rFonts w:ascii="Times New Roman" w:hAnsi="Times New Roman" w:cs="Times New Roman"/>
                <w:sz w:val="21"/>
                <w:szCs w:val="21"/>
              </w:rPr>
              <w:t>企业，不存在相关法律、法规和规范性文件规定的不得认购上市公司股份的情形，具备作为本次交易的交易对方的主体资格。</w:t>
            </w:r>
          </w:p>
          <w:p w14:paraId="325E9FE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、截至本承诺函出具日，本公司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本企业及主要管理人员不存在因涉嫌犯罪正被司法机关立案侦查或涉嫌违法违规正被中国证监会立案调查的情形。</w:t>
            </w:r>
          </w:p>
          <w:p w14:paraId="7329CBD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本企业及主要管理人员在最近五年内诚信情况良好，不存在未按期偿还大额债务、未履行承诺或被中国证监会采取行政监管措施或受到证券交易所纪律处分的情况。</w:t>
            </w:r>
          </w:p>
          <w:p w14:paraId="257CFBC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本企业及主要管理人员最近五年内不存在受到行政处</w:t>
            </w:r>
            <w:r w:rsidRPr="00B4515A">
              <w:rPr>
                <w:rFonts w:ascii="Times New Roman" w:hAnsi="Times New Roman" w:cs="Times New Roman"/>
                <w:sz w:val="21"/>
                <w:szCs w:val="21"/>
              </w:rPr>
              <w:lastRenderedPageBreak/>
              <w:t>罚（与证券市场明显无关的除外）、刑事处罚的情况。</w:t>
            </w:r>
          </w:p>
          <w:p w14:paraId="46D3B5A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、除向大唐电信及本次交易中介机构已提供的诉讼及仲裁之外，本公司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本企业及主要管理人员不存在其他涉及与经济纠纷有关的重大民事诉讼和仲裁。</w:t>
            </w:r>
          </w:p>
          <w:p w14:paraId="42ED39B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6</w:t>
            </w:r>
            <w:r w:rsidRPr="00B4515A">
              <w:rPr>
                <w:rFonts w:ascii="Times New Roman" w:hAnsi="Times New Roman" w:cs="Times New Roman"/>
                <w:sz w:val="21"/>
                <w:szCs w:val="21"/>
              </w:rPr>
              <w:t>、上述承诺内容真实、完整、准确，不存在虚假、误导性陈述，不存在重大遗漏。本公司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本企业完全了解作出虚假声明可能导致的后果，并愿承担因此产生的一切法律后果。</w:t>
            </w:r>
          </w:p>
          <w:p w14:paraId="21CAE33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7</w:t>
            </w:r>
            <w:r w:rsidRPr="00B4515A">
              <w:rPr>
                <w:rFonts w:ascii="Times New Roman" w:hAnsi="Times New Roman" w:cs="Times New Roman"/>
                <w:sz w:val="21"/>
                <w:szCs w:val="21"/>
              </w:rPr>
              <w:t>、本次交易中，本公司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本企业同意接受大唐电信发行股份购买本公司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本企业所持有的目标公司股权并签署相关交易协议和文件，就本次交易事宜本公司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本企业已履行内部所需的全部决策程序，已获得必要的授权和</w:t>
            </w:r>
            <w:r w:rsidRPr="00B4515A">
              <w:rPr>
                <w:rFonts w:ascii="Times New Roman" w:hAnsi="Times New Roman" w:cs="Times New Roman"/>
                <w:sz w:val="21"/>
                <w:szCs w:val="21"/>
              </w:rPr>
              <w:t>/</w:t>
            </w:r>
            <w:r w:rsidRPr="00B4515A">
              <w:rPr>
                <w:rFonts w:ascii="Times New Roman" w:hAnsi="Times New Roman" w:cs="Times New Roman"/>
                <w:sz w:val="21"/>
                <w:szCs w:val="21"/>
              </w:rPr>
              <w:t>或批准。</w:t>
            </w:r>
            <w:r w:rsidRPr="00B4515A">
              <w:rPr>
                <w:rFonts w:cs="Times New Roman"/>
                <w:sz w:val="21"/>
                <w:szCs w:val="21"/>
              </w:rPr>
              <w:t>”</w:t>
            </w:r>
          </w:p>
        </w:tc>
      </w:tr>
      <w:tr w:rsidR="006416B0" w:rsidRPr="00B4515A" w14:paraId="0520AB54" w14:textId="77777777" w:rsidTr="00031627">
        <w:trPr>
          <w:trHeight w:val="340"/>
          <w:jc w:val="center"/>
        </w:trPr>
        <w:tc>
          <w:tcPr>
            <w:tcW w:w="649" w:type="pct"/>
            <w:tcMar>
              <w:top w:w="0" w:type="dxa"/>
              <w:left w:w="108" w:type="dxa"/>
              <w:bottom w:w="0" w:type="dxa"/>
              <w:right w:w="108" w:type="dxa"/>
            </w:tcMar>
            <w:vAlign w:val="center"/>
          </w:tcPr>
          <w:p w14:paraId="63903EF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结构调整基金</w:t>
            </w:r>
          </w:p>
        </w:tc>
        <w:tc>
          <w:tcPr>
            <w:tcW w:w="798" w:type="pct"/>
            <w:tcMar>
              <w:top w:w="0" w:type="dxa"/>
              <w:left w:w="108" w:type="dxa"/>
              <w:bottom w:w="0" w:type="dxa"/>
              <w:right w:w="108" w:type="dxa"/>
            </w:tcMar>
            <w:vAlign w:val="center"/>
          </w:tcPr>
          <w:p w14:paraId="2FCC1E5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关于股份锁定期的承诺函</w:t>
            </w:r>
          </w:p>
        </w:tc>
        <w:tc>
          <w:tcPr>
            <w:tcW w:w="3553" w:type="pct"/>
            <w:tcMar>
              <w:top w:w="0" w:type="dxa"/>
              <w:left w:w="108" w:type="dxa"/>
              <w:bottom w:w="0" w:type="dxa"/>
              <w:right w:w="108" w:type="dxa"/>
            </w:tcMar>
            <w:vAlign w:val="center"/>
          </w:tcPr>
          <w:p w14:paraId="44B4A13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、本企业通过本次交易取得的大唐电信向本企业发行的股份时，如本企业用于认购股份的资产持续拥有权益的时间不足</w:t>
            </w:r>
            <w:r w:rsidRPr="00B4515A">
              <w:rPr>
                <w:rFonts w:ascii="Times New Roman" w:hAnsi="Times New Roman" w:cs="Times New Roman"/>
                <w:sz w:val="21"/>
                <w:szCs w:val="21"/>
              </w:rPr>
              <w:t>12</w:t>
            </w:r>
            <w:r w:rsidRPr="00B4515A">
              <w:rPr>
                <w:rFonts w:ascii="Times New Roman" w:hAnsi="Times New Roman" w:cs="Times New Roman"/>
                <w:sz w:val="21"/>
                <w:szCs w:val="21"/>
              </w:rPr>
              <w:t>个月，则本企业所认购的大唐电信股份自该等股份发行结束之日起</w:t>
            </w:r>
            <w:r w:rsidRPr="00B4515A">
              <w:rPr>
                <w:rFonts w:ascii="Times New Roman" w:hAnsi="Times New Roman" w:cs="Times New Roman"/>
                <w:sz w:val="21"/>
                <w:szCs w:val="21"/>
              </w:rPr>
              <w:t>36</w:t>
            </w:r>
            <w:r w:rsidRPr="00B4515A">
              <w:rPr>
                <w:rFonts w:ascii="Times New Roman" w:hAnsi="Times New Roman" w:cs="Times New Roman"/>
                <w:sz w:val="21"/>
                <w:szCs w:val="21"/>
              </w:rPr>
              <w:t>个月内不得转让。</w:t>
            </w:r>
          </w:p>
          <w:p w14:paraId="6099518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、本企业通过本次交易取得的大唐电信向本企业发行的股份时，如本企业用于认购股份的资产持续拥有权益的时间已满</w:t>
            </w:r>
            <w:r w:rsidRPr="00B4515A">
              <w:rPr>
                <w:rFonts w:ascii="Times New Roman" w:hAnsi="Times New Roman" w:cs="Times New Roman"/>
                <w:sz w:val="21"/>
                <w:szCs w:val="21"/>
              </w:rPr>
              <w:t>12</w:t>
            </w:r>
            <w:r w:rsidRPr="00B4515A">
              <w:rPr>
                <w:rFonts w:ascii="Times New Roman" w:hAnsi="Times New Roman" w:cs="Times New Roman"/>
                <w:sz w:val="21"/>
                <w:szCs w:val="21"/>
              </w:rPr>
              <w:t>个月，则本企业所认购的大唐电信股份自该等股份发行结束之日起</w:t>
            </w:r>
            <w:r w:rsidRPr="00B4515A">
              <w:rPr>
                <w:rFonts w:ascii="Times New Roman" w:hAnsi="Times New Roman" w:cs="Times New Roman"/>
                <w:sz w:val="21"/>
                <w:szCs w:val="21"/>
              </w:rPr>
              <w:t>12</w:t>
            </w:r>
            <w:r w:rsidRPr="00B4515A">
              <w:rPr>
                <w:rFonts w:ascii="Times New Roman" w:hAnsi="Times New Roman" w:cs="Times New Roman"/>
                <w:sz w:val="21"/>
                <w:szCs w:val="21"/>
              </w:rPr>
              <w:t>个月内不得转让。</w:t>
            </w:r>
          </w:p>
          <w:p w14:paraId="74D9C21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、限售期内，本企业如因大唐电信实施送股、配股、资本公积转增股本等原因而由上述认购股份衍生取得的大唐电信的股份，亦应遵守上述锁定期约定。</w:t>
            </w:r>
          </w:p>
          <w:p w14:paraId="60F7FDF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企业因本次交易股份购买资产所获得的大唐电信的股份在限售期届满后减持时，需遵守《中华人民共和国公司法》、《中华人民共和国证券法》、《上海证券交易所股票上市规则》等法律、法规、规章、规范性文件以及大唐电信公司章程的相关规定。</w:t>
            </w:r>
          </w:p>
          <w:p w14:paraId="24D5DDB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、若股份的锁定期规定与证券监管机构的最新监管意见不相符，将根据相关证券监管机构的监管意见进行相应调整。</w:t>
            </w:r>
          </w:p>
          <w:p w14:paraId="3BA6B2A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6</w:t>
            </w:r>
            <w:r w:rsidRPr="00B4515A">
              <w:rPr>
                <w:rFonts w:ascii="Times New Roman" w:hAnsi="Times New Roman" w:cs="Times New Roman"/>
                <w:sz w:val="21"/>
                <w:szCs w:val="21"/>
              </w:rPr>
              <w:t>、如本企业为本次交易所提供或披露的信息涉嫌虚假记载、误导性陈述或者重大遗漏，被司法机关立案侦查或者被中国证监会立案调查的，在形成调查结论以前，本企业不得转让其在大唐电信拥有权益的股份。</w:t>
            </w:r>
            <w:r w:rsidRPr="00B4515A">
              <w:rPr>
                <w:rFonts w:cs="Times New Roman"/>
                <w:sz w:val="21"/>
                <w:szCs w:val="21"/>
              </w:rPr>
              <w:t>”</w:t>
            </w:r>
          </w:p>
        </w:tc>
      </w:tr>
      <w:tr w:rsidR="006416B0" w:rsidRPr="00B4515A" w14:paraId="3FD04AC8" w14:textId="77777777" w:rsidTr="00031627">
        <w:trPr>
          <w:trHeight w:val="340"/>
          <w:jc w:val="center"/>
        </w:trPr>
        <w:tc>
          <w:tcPr>
            <w:tcW w:w="649" w:type="pct"/>
            <w:tcMar>
              <w:top w:w="0" w:type="dxa"/>
              <w:left w:w="108" w:type="dxa"/>
              <w:bottom w:w="0" w:type="dxa"/>
              <w:right w:w="108" w:type="dxa"/>
            </w:tcMar>
            <w:vAlign w:val="center"/>
          </w:tcPr>
          <w:p w14:paraId="5159764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结构调整基金主要管理人员</w:t>
            </w:r>
          </w:p>
        </w:tc>
        <w:tc>
          <w:tcPr>
            <w:tcW w:w="798" w:type="pct"/>
            <w:tcMar>
              <w:top w:w="0" w:type="dxa"/>
              <w:left w:w="108" w:type="dxa"/>
              <w:bottom w:w="0" w:type="dxa"/>
              <w:right w:w="108" w:type="dxa"/>
            </w:tcMar>
            <w:vAlign w:val="center"/>
          </w:tcPr>
          <w:p w14:paraId="701A730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关于守法和诚信情况的承诺函</w:t>
            </w:r>
          </w:p>
        </w:tc>
        <w:tc>
          <w:tcPr>
            <w:tcW w:w="3553" w:type="pct"/>
            <w:tcMar>
              <w:top w:w="0" w:type="dxa"/>
              <w:left w:w="108" w:type="dxa"/>
              <w:bottom w:w="0" w:type="dxa"/>
              <w:right w:w="108" w:type="dxa"/>
            </w:tcMar>
            <w:vAlign w:val="center"/>
          </w:tcPr>
          <w:p w14:paraId="41BCB8F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一、截至本承诺函出具日，本人不存在因涉嫌犯罪正被司法机关立案侦查或涉嫌违法违规正被中国证监会立案调查的情形。</w:t>
            </w:r>
          </w:p>
          <w:p w14:paraId="00102C9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二、本人在最近五年内诚信情况良好，不存在未按期偿还大额债务、未履行承诺或被中国证监会采取行政监管措施或受到证券交易所纪律处分的情况。</w:t>
            </w:r>
          </w:p>
          <w:p w14:paraId="078BE01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三、本人最近五年内不存在受到行政处罚（与证券市场明显无关的除外）、刑事处罚的情况。</w:t>
            </w:r>
          </w:p>
          <w:p w14:paraId="1C21C66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四、本人不存在其他涉及与经济纠纷有关的重大民事诉讼和仲裁。</w:t>
            </w:r>
          </w:p>
          <w:p w14:paraId="56C4327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五、上述承诺内容真实、完整、准确，不存在虚假、误导性陈述，不存在重大遗漏。本人完全了解作出虚假声明可能导致的后果，并愿承担因此产生的一切法律后果。</w:t>
            </w:r>
            <w:r w:rsidRPr="00B4515A">
              <w:rPr>
                <w:rFonts w:cs="Times New Roman" w:hint="eastAsia"/>
                <w:sz w:val="21"/>
                <w:szCs w:val="21"/>
              </w:rPr>
              <w:t>”</w:t>
            </w:r>
          </w:p>
        </w:tc>
      </w:tr>
      <w:tr w:rsidR="006416B0" w:rsidRPr="00B4515A" w14:paraId="5ECAB335" w14:textId="77777777" w:rsidTr="00031627">
        <w:trPr>
          <w:trHeight w:val="340"/>
          <w:jc w:val="center"/>
        </w:trPr>
        <w:tc>
          <w:tcPr>
            <w:tcW w:w="649" w:type="pct"/>
            <w:tcMar>
              <w:top w:w="0" w:type="dxa"/>
              <w:left w:w="108" w:type="dxa"/>
              <w:bottom w:w="0" w:type="dxa"/>
              <w:right w:w="108" w:type="dxa"/>
            </w:tcMar>
            <w:vAlign w:val="center"/>
          </w:tcPr>
          <w:p w14:paraId="34D1AEC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结构调整基金</w:t>
            </w:r>
          </w:p>
        </w:tc>
        <w:tc>
          <w:tcPr>
            <w:tcW w:w="798" w:type="pct"/>
            <w:tcMar>
              <w:top w:w="0" w:type="dxa"/>
              <w:left w:w="108" w:type="dxa"/>
              <w:bottom w:w="0" w:type="dxa"/>
              <w:right w:w="108" w:type="dxa"/>
            </w:tcMar>
            <w:vAlign w:val="center"/>
          </w:tcPr>
          <w:p w14:paraId="6B2BC7A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关于本次交易后保持上市公司独立性的承诺函</w:t>
            </w:r>
          </w:p>
        </w:tc>
        <w:tc>
          <w:tcPr>
            <w:tcW w:w="3553" w:type="pct"/>
            <w:tcMar>
              <w:top w:w="0" w:type="dxa"/>
              <w:left w:w="108" w:type="dxa"/>
              <w:bottom w:w="0" w:type="dxa"/>
              <w:right w:w="108" w:type="dxa"/>
            </w:tcMar>
            <w:vAlign w:val="center"/>
          </w:tcPr>
          <w:p w14:paraId="099697E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在本次交易完成后，本公司承诺将按照有关法律、法规、规范性文件的要求，做到与大唐电信在人员、资产、业务、机构、财务方面完全分开，不从事任何影响大唐电信人员独立、资产独立完整、业务独立、机构独立、财务独立的行为，不损害大唐电信及其他股东的利益，切实保障大唐电信在人员、资产、业务、机</w:t>
            </w:r>
            <w:r w:rsidRPr="00B4515A">
              <w:rPr>
                <w:rFonts w:ascii="Times New Roman" w:hAnsi="Times New Roman" w:cs="Times New Roman"/>
                <w:sz w:val="21"/>
                <w:szCs w:val="21"/>
              </w:rPr>
              <w:lastRenderedPageBreak/>
              <w:t>构和财务等方面的独立性。</w:t>
            </w:r>
          </w:p>
          <w:p w14:paraId="714E2AB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如因本公司违反上述承诺导致大唐电信遭受损失的，本公司将对由此给大唐电信造成的实际损失做出及时和足额的赔偿，并保证积极消除由此造成的任何不利影响。</w:t>
            </w:r>
            <w:r w:rsidRPr="00B4515A">
              <w:rPr>
                <w:rFonts w:cs="Times New Roman" w:hint="eastAsia"/>
                <w:sz w:val="21"/>
                <w:szCs w:val="21"/>
              </w:rPr>
              <w:t>”</w:t>
            </w:r>
          </w:p>
        </w:tc>
      </w:tr>
      <w:tr w:rsidR="006416B0" w:rsidRPr="00B4515A" w14:paraId="31342062" w14:textId="77777777" w:rsidTr="00031627">
        <w:trPr>
          <w:trHeight w:val="340"/>
          <w:jc w:val="center"/>
        </w:trPr>
        <w:tc>
          <w:tcPr>
            <w:tcW w:w="649" w:type="pct"/>
            <w:tcMar>
              <w:top w:w="0" w:type="dxa"/>
              <w:left w:w="108" w:type="dxa"/>
              <w:bottom w:w="0" w:type="dxa"/>
              <w:right w:w="108" w:type="dxa"/>
            </w:tcMar>
            <w:vAlign w:val="center"/>
          </w:tcPr>
          <w:p w14:paraId="2149DF9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结构调整基金</w:t>
            </w:r>
          </w:p>
        </w:tc>
        <w:tc>
          <w:tcPr>
            <w:tcW w:w="798" w:type="pct"/>
            <w:tcMar>
              <w:top w:w="0" w:type="dxa"/>
              <w:left w:w="108" w:type="dxa"/>
              <w:bottom w:w="0" w:type="dxa"/>
              <w:right w:w="108" w:type="dxa"/>
            </w:tcMar>
            <w:vAlign w:val="center"/>
          </w:tcPr>
          <w:p w14:paraId="2A131D1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关于避免同业竞争的承诺函</w:t>
            </w:r>
          </w:p>
        </w:tc>
        <w:tc>
          <w:tcPr>
            <w:tcW w:w="3553" w:type="pct"/>
            <w:tcMar>
              <w:top w:w="0" w:type="dxa"/>
              <w:left w:w="108" w:type="dxa"/>
              <w:bottom w:w="0" w:type="dxa"/>
              <w:right w:w="108" w:type="dxa"/>
            </w:tcMar>
            <w:vAlign w:val="center"/>
          </w:tcPr>
          <w:p w14:paraId="3A50AE0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、本次交易前，本公司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本企业及下属全资、控股子公司及其他可实际控制企业与上市公司主营业务不存在相竞争的业务，本次交易不会导致本公司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本企业与上市公司增加同业竞争。</w:t>
            </w:r>
          </w:p>
          <w:p w14:paraId="44317A9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本企业保证绝不利用对上市公司的了解和知悉的信息协助第三方从事、参与或投资与上市公司相竞争的业务或项目。</w:t>
            </w:r>
          </w:p>
          <w:p w14:paraId="3937EAB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、本承诺函在上市公司合法有效存续且在本公司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本企业作为上市公司股东期间持续有效。</w:t>
            </w:r>
            <w:r w:rsidRPr="00B4515A">
              <w:rPr>
                <w:rFonts w:cs="Times New Roman" w:hint="eastAsia"/>
                <w:sz w:val="21"/>
                <w:szCs w:val="21"/>
              </w:rPr>
              <w:t>”</w:t>
            </w:r>
          </w:p>
        </w:tc>
      </w:tr>
      <w:tr w:rsidR="006416B0" w:rsidRPr="00B4515A" w14:paraId="08EB41FE" w14:textId="77777777" w:rsidTr="00031627">
        <w:trPr>
          <w:trHeight w:val="340"/>
          <w:jc w:val="center"/>
        </w:trPr>
        <w:tc>
          <w:tcPr>
            <w:tcW w:w="649" w:type="pct"/>
            <w:tcMar>
              <w:top w:w="0" w:type="dxa"/>
              <w:left w:w="108" w:type="dxa"/>
              <w:bottom w:w="0" w:type="dxa"/>
              <w:right w:w="108" w:type="dxa"/>
            </w:tcMar>
            <w:vAlign w:val="center"/>
          </w:tcPr>
          <w:p w14:paraId="37CB286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结构调整基金</w:t>
            </w:r>
          </w:p>
        </w:tc>
        <w:tc>
          <w:tcPr>
            <w:tcW w:w="798" w:type="pct"/>
            <w:tcMar>
              <w:top w:w="0" w:type="dxa"/>
              <w:left w:w="108" w:type="dxa"/>
              <w:bottom w:w="0" w:type="dxa"/>
              <w:right w:w="108" w:type="dxa"/>
            </w:tcMar>
            <w:vAlign w:val="center"/>
          </w:tcPr>
          <w:p w14:paraId="07D9678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关于减少和规范关联交易的承诺函</w:t>
            </w:r>
          </w:p>
        </w:tc>
        <w:tc>
          <w:tcPr>
            <w:tcW w:w="3553" w:type="pct"/>
            <w:tcMar>
              <w:top w:w="0" w:type="dxa"/>
              <w:left w:w="108" w:type="dxa"/>
              <w:bottom w:w="0" w:type="dxa"/>
              <w:right w:w="108" w:type="dxa"/>
            </w:tcMar>
            <w:vAlign w:val="center"/>
          </w:tcPr>
          <w:p w14:paraId="3A65B92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尽可能地避免和减少与大唐电信（含其全资及控股子公司，下同）的关联交易；对无法避免或者有合理原因而发生的关联交易，将遵循平等、自愿、公平的原则，按照合理和正常的商业交易条件进行，并保证不通过关联交易损害大唐电信及其他股东的合法权益。</w:t>
            </w:r>
          </w:p>
          <w:p w14:paraId="6B7BEFF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本企业在作为大唐电信股东期间，将不会以借款、代偿款项、要求提供担保或者其他任何方式非法占用大唐电信的资金或资产，不会利用其股东地位影响大唐电信的独立性，以确保大唐电信的规范运作。</w:t>
            </w:r>
          </w:p>
          <w:p w14:paraId="0CB1D3C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、对于无法避免或者有合理原因而发生的关联交易，本公司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严格按照有关法律、法规、规范性文件以及大唐电信的章程和关联交易决策制度等规定，在大唐电信董事会、股东大会对相关关联交易事项进行表决时，继续严格履行关联董事、关联股东回避表决的义务。</w:t>
            </w:r>
          </w:p>
          <w:p w14:paraId="1D16A60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、因本公司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本企业违反本承诺函，导致大唐电信遭受损失的，本公司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本企业将对由此给大唐电信造成的全部损失做出全面、及时和足额的赔偿，并保证积极消除由此造成的任何不利影响。</w:t>
            </w:r>
            <w:r w:rsidRPr="00B4515A">
              <w:rPr>
                <w:rFonts w:cs="Times New Roman" w:hint="eastAsia"/>
                <w:sz w:val="21"/>
                <w:szCs w:val="21"/>
              </w:rPr>
              <w:t>”</w:t>
            </w:r>
          </w:p>
        </w:tc>
      </w:tr>
      <w:tr w:rsidR="006416B0" w:rsidRPr="00B4515A" w14:paraId="55648934" w14:textId="77777777" w:rsidTr="00031627">
        <w:trPr>
          <w:trHeight w:val="340"/>
          <w:jc w:val="center"/>
        </w:trPr>
        <w:tc>
          <w:tcPr>
            <w:tcW w:w="649" w:type="pct"/>
            <w:tcMar>
              <w:top w:w="0" w:type="dxa"/>
              <w:left w:w="108" w:type="dxa"/>
              <w:bottom w:w="0" w:type="dxa"/>
              <w:right w:w="108" w:type="dxa"/>
            </w:tcMar>
            <w:vAlign w:val="center"/>
          </w:tcPr>
          <w:p w14:paraId="444F67A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金融街资本</w:t>
            </w:r>
          </w:p>
        </w:tc>
        <w:tc>
          <w:tcPr>
            <w:tcW w:w="798" w:type="pct"/>
            <w:tcMar>
              <w:top w:w="0" w:type="dxa"/>
              <w:left w:w="108" w:type="dxa"/>
              <w:bottom w:w="0" w:type="dxa"/>
              <w:right w:w="108" w:type="dxa"/>
            </w:tcMar>
            <w:vAlign w:val="center"/>
          </w:tcPr>
          <w:p w14:paraId="3547EB8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关于提供材料真实、准确和完整的承诺函</w:t>
            </w:r>
          </w:p>
        </w:tc>
        <w:tc>
          <w:tcPr>
            <w:tcW w:w="3553" w:type="pct"/>
            <w:tcMar>
              <w:top w:w="0" w:type="dxa"/>
              <w:left w:w="108" w:type="dxa"/>
              <w:bottom w:w="0" w:type="dxa"/>
              <w:right w:w="108" w:type="dxa"/>
            </w:tcMar>
            <w:vAlign w:val="center"/>
          </w:tcPr>
          <w:p w14:paraId="2323519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诺及时向大唐电信以及向为本次交易提供财务顾问、审计、评估、法律等专业服务的中介机构提供完成本次交易所必需的相关文件、信息，并保证所提供的所有文件、信息均真实、准确、完整，不存在虚假记载、误导性陈述或者重大遗漏，文件上所有签字与印章均真实有效，复印件均与原件一致，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本企业对所有文件、信息之真实性、准确性、完整性承担法律责任。</w:t>
            </w:r>
          </w:p>
          <w:p w14:paraId="1CFCF20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、根据本次交易安排，如需要本公司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本企业补充提供相关文件、信息时，本公司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本企业保证继续提供的相关文件、信息仍然符合真实、准确、完整、有效的要求。</w:t>
            </w:r>
          </w:p>
          <w:p w14:paraId="2EDCF16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、如本次交易因本公司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本企业所提供或者披露的文件、信息存在虚假记载、误导性陈述或者重大遗漏，给大唐电信或投资者造成损失的，本公司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本企业将依法承担个别和连带的法律责任。</w:t>
            </w:r>
          </w:p>
          <w:p w14:paraId="6D25922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诺，如本次交易所提供或披露的信息涉嫌虚假记载、误导性陈述或者重大遗漏，被司法机关立案侦查或者被中国证监会立案调查的，在形成调查结论以前，不转让在大唐电信拥有的股份，并于收到立案稽查通知的两个交易日内将暂停转让的书面申请和股票账户提交大唐电信董事会，由大唐电信董事会代其向证券交易所和登记结算公司申请锁定；未在两个交易日内提交锁定申请的，授权大唐电信董事会核实后直接向证券交易所和登记结算公司报送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本企业的身份信息和账户信息并</w:t>
            </w:r>
            <w:r w:rsidRPr="00B4515A">
              <w:rPr>
                <w:rFonts w:ascii="Times New Roman" w:hAnsi="Times New Roman" w:cs="Times New Roman"/>
                <w:sz w:val="21"/>
                <w:szCs w:val="21"/>
              </w:rPr>
              <w:lastRenderedPageBreak/>
              <w:t>申请锁定；大唐电信董事会未向证券交易所和登记结算公司报送本公司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本企业的身份信息和账户信息的，授权证券交易所和登记结算公司直接锁定相关股份。如调查结论发现存在违法违规情形，本公司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本企业承诺锁定股份自愿用于相关投资者赔偿安排。</w:t>
            </w:r>
            <w:r w:rsidRPr="00B4515A">
              <w:rPr>
                <w:rFonts w:cs="Times New Roman"/>
                <w:sz w:val="21"/>
                <w:szCs w:val="21"/>
              </w:rPr>
              <w:t>”</w:t>
            </w:r>
          </w:p>
        </w:tc>
      </w:tr>
      <w:tr w:rsidR="006416B0" w:rsidRPr="00B4515A" w14:paraId="735BB6CA" w14:textId="77777777" w:rsidTr="00031627">
        <w:trPr>
          <w:trHeight w:val="340"/>
          <w:jc w:val="center"/>
        </w:trPr>
        <w:tc>
          <w:tcPr>
            <w:tcW w:w="649" w:type="pct"/>
            <w:tcMar>
              <w:top w:w="0" w:type="dxa"/>
              <w:left w:w="108" w:type="dxa"/>
              <w:bottom w:w="0" w:type="dxa"/>
              <w:right w:w="108" w:type="dxa"/>
            </w:tcMar>
            <w:vAlign w:val="center"/>
          </w:tcPr>
          <w:p w14:paraId="0CF0822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金融街资本</w:t>
            </w:r>
          </w:p>
        </w:tc>
        <w:tc>
          <w:tcPr>
            <w:tcW w:w="798" w:type="pct"/>
            <w:tcMar>
              <w:top w:w="0" w:type="dxa"/>
              <w:left w:w="108" w:type="dxa"/>
              <w:bottom w:w="0" w:type="dxa"/>
              <w:right w:w="108" w:type="dxa"/>
            </w:tcMar>
            <w:vAlign w:val="center"/>
          </w:tcPr>
          <w:p w14:paraId="01BE127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关于标的资产权属状况的承诺函</w:t>
            </w:r>
          </w:p>
        </w:tc>
        <w:tc>
          <w:tcPr>
            <w:tcW w:w="3553" w:type="pct"/>
            <w:tcMar>
              <w:top w:w="0" w:type="dxa"/>
              <w:left w:w="108" w:type="dxa"/>
              <w:bottom w:w="0" w:type="dxa"/>
              <w:right w:w="108" w:type="dxa"/>
            </w:tcMar>
            <w:vAlign w:val="center"/>
          </w:tcPr>
          <w:p w14:paraId="73D6780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本企业合法持有目标公司股权。对于本公司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本企业所持目标公司股权，本公司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本企业确认，本公司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本企业已经依法履行相应的出资义务，不存在任何虚假出资、抽逃出资及出资不实等违反作为目标公司股东所应承担的义务及责任的行为，不存在可能影响目标公司合法存续的情况。</w:t>
            </w:r>
          </w:p>
          <w:p w14:paraId="05C8865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有的目标公司股权的资产权属清晰，不存在信托持股、委托持股等股权代持的情形或类似安排，不存在禁止转让、限制转让的承诺或安排，不存在任何现有或潜在法律权属纠纷。该等股权不存在质押、抵押、其他担保或第三方权益限制情形，也不存在法院或其他有权机关冻结、轮候冻结、查封、拍卖该等股权之情形。</w:t>
            </w:r>
          </w:p>
          <w:p w14:paraId="78D736B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本企业依法拥有该等股权的占有、使用、收益及处分权，对该等股权的占有、使用、收益或处分没有侵犯任何其他第三方的权益，该等股权的过户、转移或变更登记不存在法律障碍，若因本公司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本企业所出售股权的任何权属瑕疵引起的损失或法律责任，均由本公司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本企业承担。</w:t>
            </w:r>
            <w:r w:rsidRPr="00B4515A">
              <w:rPr>
                <w:rFonts w:cs="Times New Roman"/>
                <w:sz w:val="21"/>
                <w:szCs w:val="21"/>
              </w:rPr>
              <w:t>”</w:t>
            </w:r>
          </w:p>
        </w:tc>
      </w:tr>
      <w:tr w:rsidR="006416B0" w:rsidRPr="00B4515A" w14:paraId="60887D90" w14:textId="77777777" w:rsidTr="00031627">
        <w:trPr>
          <w:trHeight w:val="340"/>
          <w:jc w:val="center"/>
        </w:trPr>
        <w:tc>
          <w:tcPr>
            <w:tcW w:w="649" w:type="pct"/>
            <w:tcMar>
              <w:top w:w="0" w:type="dxa"/>
              <w:left w:w="108" w:type="dxa"/>
              <w:bottom w:w="0" w:type="dxa"/>
              <w:right w:w="108" w:type="dxa"/>
            </w:tcMar>
            <w:vAlign w:val="center"/>
          </w:tcPr>
          <w:p w14:paraId="2080643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金融街资本</w:t>
            </w:r>
          </w:p>
        </w:tc>
        <w:tc>
          <w:tcPr>
            <w:tcW w:w="798" w:type="pct"/>
            <w:tcMar>
              <w:top w:w="0" w:type="dxa"/>
              <w:left w:w="108" w:type="dxa"/>
              <w:bottom w:w="0" w:type="dxa"/>
              <w:right w:w="108" w:type="dxa"/>
            </w:tcMar>
            <w:vAlign w:val="center"/>
          </w:tcPr>
          <w:p w14:paraId="7890423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关于具备交易主体资格的承诺函</w:t>
            </w:r>
          </w:p>
        </w:tc>
        <w:tc>
          <w:tcPr>
            <w:tcW w:w="3553" w:type="pct"/>
            <w:tcMar>
              <w:top w:w="0" w:type="dxa"/>
              <w:left w:w="108" w:type="dxa"/>
              <w:bottom w:w="0" w:type="dxa"/>
              <w:right w:w="108" w:type="dxa"/>
            </w:tcMar>
            <w:vAlign w:val="center"/>
          </w:tcPr>
          <w:p w14:paraId="5148AAA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本企业作为依据设立地法律设立并有效存续的公司</w:t>
            </w:r>
            <w:r w:rsidRPr="00B4515A">
              <w:rPr>
                <w:rFonts w:ascii="Times New Roman" w:hAnsi="Times New Roman" w:cs="Times New Roman"/>
                <w:sz w:val="21"/>
                <w:szCs w:val="21"/>
              </w:rPr>
              <w:t>/</w:t>
            </w:r>
            <w:r w:rsidRPr="00B4515A">
              <w:rPr>
                <w:rFonts w:ascii="Times New Roman" w:hAnsi="Times New Roman" w:cs="Times New Roman"/>
                <w:sz w:val="21"/>
                <w:szCs w:val="21"/>
              </w:rPr>
              <w:t>企业，不存在相关法律、法规和规范性文件规定的不得认购上市公司股份的情形，具备作为本次交易的交易对方的主体资格。</w:t>
            </w:r>
          </w:p>
          <w:p w14:paraId="6BC7493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、截至本承诺函出具日，本公司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本企业及主要管理人员不存在因涉嫌犯罪正被司法机关立案侦查或涉嫌违法违规正被中国证监会立案调查的情形。</w:t>
            </w:r>
          </w:p>
          <w:p w14:paraId="574FC10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本企业及主要管理人员在最近五年内诚信情况良好，不存在未按期偿还大额债务、未履行承诺或被中国证监会采取行政监管措施或受到证券交易所纪律处分的情况。</w:t>
            </w:r>
          </w:p>
          <w:p w14:paraId="29AE116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本企业及主要管理人员最近五年内不存在受到行政处罚（与证券市场明显无关的除外）、刑事处罚的情况。</w:t>
            </w:r>
          </w:p>
          <w:p w14:paraId="15DF463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、除向大唐电信及本次交易中介机构已提供的诉讼及仲裁之外，本公司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本企业及主要管理人员不存在其他涉及与经济纠纷有关的重大民事诉讼和仲裁。</w:t>
            </w:r>
          </w:p>
          <w:p w14:paraId="31944CC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6</w:t>
            </w:r>
            <w:r w:rsidRPr="00B4515A">
              <w:rPr>
                <w:rFonts w:ascii="Times New Roman" w:hAnsi="Times New Roman" w:cs="Times New Roman"/>
                <w:sz w:val="21"/>
                <w:szCs w:val="21"/>
              </w:rPr>
              <w:t>、上述承诺内容真实、完整、准确，不存在虚假、误导性陈述，不存在重大遗漏。本公司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本企业完全了解作出虚假声明可能导致的后果，并愿承担因此产生的一切法律后果。</w:t>
            </w:r>
          </w:p>
          <w:p w14:paraId="2151F74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7</w:t>
            </w:r>
            <w:r w:rsidRPr="00B4515A">
              <w:rPr>
                <w:rFonts w:ascii="Times New Roman" w:hAnsi="Times New Roman" w:cs="Times New Roman"/>
                <w:sz w:val="21"/>
                <w:szCs w:val="21"/>
              </w:rPr>
              <w:t>、本次交易中，本公司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本企业同意接受大唐电信发行股份购买本公司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本企业所持有的目标公司股权并签署相关附条件生效的交易协议和文件，就本次交易事宜本公司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本企业已履行现阶段内部所需的全部决策程序，已获得现阶段必要的内部授权和</w:t>
            </w:r>
            <w:r w:rsidRPr="00B4515A">
              <w:rPr>
                <w:rFonts w:ascii="Times New Roman" w:hAnsi="Times New Roman" w:cs="Times New Roman"/>
                <w:sz w:val="21"/>
                <w:szCs w:val="21"/>
              </w:rPr>
              <w:t>/</w:t>
            </w:r>
            <w:r w:rsidRPr="00B4515A">
              <w:rPr>
                <w:rFonts w:ascii="Times New Roman" w:hAnsi="Times New Roman" w:cs="Times New Roman"/>
                <w:sz w:val="21"/>
                <w:szCs w:val="21"/>
              </w:rPr>
              <w:t>或批准，尚待履行本公司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本企业相关国资监管审批流程。</w:t>
            </w:r>
            <w:r w:rsidRPr="00B4515A">
              <w:rPr>
                <w:rFonts w:cs="Times New Roman"/>
                <w:sz w:val="21"/>
                <w:szCs w:val="21"/>
              </w:rPr>
              <w:t>”</w:t>
            </w:r>
          </w:p>
        </w:tc>
      </w:tr>
      <w:tr w:rsidR="006416B0" w:rsidRPr="00B4515A" w14:paraId="0926399C" w14:textId="77777777" w:rsidTr="00031627">
        <w:trPr>
          <w:trHeight w:val="340"/>
          <w:jc w:val="center"/>
        </w:trPr>
        <w:tc>
          <w:tcPr>
            <w:tcW w:w="649" w:type="pct"/>
            <w:tcMar>
              <w:top w:w="0" w:type="dxa"/>
              <w:left w:w="108" w:type="dxa"/>
              <w:bottom w:w="0" w:type="dxa"/>
              <w:right w:w="108" w:type="dxa"/>
            </w:tcMar>
            <w:vAlign w:val="center"/>
          </w:tcPr>
          <w:p w14:paraId="6F45F98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金融街资本</w:t>
            </w:r>
          </w:p>
        </w:tc>
        <w:tc>
          <w:tcPr>
            <w:tcW w:w="798" w:type="pct"/>
            <w:tcMar>
              <w:top w:w="0" w:type="dxa"/>
              <w:left w:w="108" w:type="dxa"/>
              <w:bottom w:w="0" w:type="dxa"/>
              <w:right w:w="108" w:type="dxa"/>
            </w:tcMar>
            <w:vAlign w:val="center"/>
          </w:tcPr>
          <w:p w14:paraId="6A83297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关于股份锁定期的承诺函</w:t>
            </w:r>
          </w:p>
        </w:tc>
        <w:tc>
          <w:tcPr>
            <w:tcW w:w="3553" w:type="pct"/>
            <w:tcMar>
              <w:top w:w="0" w:type="dxa"/>
              <w:left w:w="108" w:type="dxa"/>
              <w:bottom w:w="0" w:type="dxa"/>
              <w:right w:w="108" w:type="dxa"/>
            </w:tcMar>
            <w:vAlign w:val="center"/>
          </w:tcPr>
          <w:p w14:paraId="44DB216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、本企业通过本次交易取得的大唐电信向本企业发行的股份时，如本企业用于认购股份的资产持续拥有权益的时间不足</w:t>
            </w:r>
            <w:r w:rsidRPr="00B4515A">
              <w:rPr>
                <w:rFonts w:ascii="Times New Roman" w:hAnsi="Times New Roman" w:cs="Times New Roman"/>
                <w:sz w:val="21"/>
                <w:szCs w:val="21"/>
              </w:rPr>
              <w:t>12</w:t>
            </w:r>
            <w:r w:rsidRPr="00B4515A">
              <w:rPr>
                <w:rFonts w:ascii="Times New Roman" w:hAnsi="Times New Roman" w:cs="Times New Roman"/>
                <w:sz w:val="21"/>
                <w:szCs w:val="21"/>
              </w:rPr>
              <w:t>个月，则本企业所认购的大唐电信股份自该等股份发行结束之日起</w:t>
            </w:r>
            <w:r w:rsidRPr="00B4515A">
              <w:rPr>
                <w:rFonts w:ascii="Times New Roman" w:hAnsi="Times New Roman" w:cs="Times New Roman"/>
                <w:sz w:val="21"/>
                <w:szCs w:val="21"/>
              </w:rPr>
              <w:t>36</w:t>
            </w:r>
            <w:r w:rsidRPr="00B4515A">
              <w:rPr>
                <w:rFonts w:ascii="Times New Roman" w:hAnsi="Times New Roman" w:cs="Times New Roman"/>
                <w:sz w:val="21"/>
                <w:szCs w:val="21"/>
              </w:rPr>
              <w:t>个月内不得转让。</w:t>
            </w:r>
          </w:p>
          <w:p w14:paraId="259C944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、本企业通过本次交易取得的大唐电信向本企业发行的股份时，如本企业用于认购股份的资产持续拥有权益的时间已满</w:t>
            </w:r>
            <w:r w:rsidRPr="00B4515A">
              <w:rPr>
                <w:rFonts w:ascii="Times New Roman" w:hAnsi="Times New Roman" w:cs="Times New Roman"/>
                <w:sz w:val="21"/>
                <w:szCs w:val="21"/>
              </w:rPr>
              <w:t>12</w:t>
            </w:r>
            <w:r w:rsidRPr="00B4515A">
              <w:rPr>
                <w:rFonts w:ascii="Times New Roman" w:hAnsi="Times New Roman" w:cs="Times New Roman"/>
                <w:sz w:val="21"/>
                <w:szCs w:val="21"/>
              </w:rPr>
              <w:t>个月，</w:t>
            </w:r>
            <w:r w:rsidRPr="00B4515A">
              <w:rPr>
                <w:rFonts w:ascii="Times New Roman" w:hAnsi="Times New Roman" w:cs="Times New Roman"/>
                <w:sz w:val="21"/>
                <w:szCs w:val="21"/>
              </w:rPr>
              <w:lastRenderedPageBreak/>
              <w:t>则本企业所认购的大唐电信股份自该等股份发行结束之日起</w:t>
            </w:r>
            <w:r w:rsidRPr="00B4515A">
              <w:rPr>
                <w:rFonts w:ascii="Times New Roman" w:hAnsi="Times New Roman" w:cs="Times New Roman"/>
                <w:sz w:val="21"/>
                <w:szCs w:val="21"/>
              </w:rPr>
              <w:t>12</w:t>
            </w:r>
            <w:r w:rsidRPr="00B4515A">
              <w:rPr>
                <w:rFonts w:ascii="Times New Roman" w:hAnsi="Times New Roman" w:cs="Times New Roman"/>
                <w:sz w:val="21"/>
                <w:szCs w:val="21"/>
              </w:rPr>
              <w:t>个月内不得转让。</w:t>
            </w:r>
          </w:p>
          <w:p w14:paraId="02F236C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、限售期内，本企业如因大唐电信实施送股、配股、资本公积转增股本等原因而由上述认购股份衍生取得的大唐电信的股份，亦应遵守上述锁定期约定。</w:t>
            </w:r>
          </w:p>
          <w:p w14:paraId="212D0E5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本企业因本次交易股份购买资产所获得的大唐电信的股份在限售期届满后减持时，需遵守《中华人民共和国公司法》、《中华人民共和国证券法》、《上海证券交易所股票上市规则》等法律、法规、规章、规范性文件以及大唐电信公司章程的相关规定。</w:t>
            </w:r>
          </w:p>
          <w:p w14:paraId="588D195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sz w:val="21"/>
                <w:szCs w:val="21"/>
              </w:rPr>
              <w:t>、若股份的锁定期规定与证券监管机构的最新监管意见不相符，将根据相关证券监管机构的监管意见进行相应调整。</w:t>
            </w:r>
          </w:p>
          <w:p w14:paraId="3811423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6</w:t>
            </w:r>
            <w:r w:rsidRPr="00B4515A">
              <w:rPr>
                <w:rFonts w:ascii="Times New Roman" w:hAnsi="Times New Roman" w:cs="Times New Roman"/>
                <w:sz w:val="21"/>
                <w:szCs w:val="21"/>
              </w:rPr>
              <w:t>、如本企业为本次交易所提供或披露的信息涉嫌虚假记载、误导性陈述或者重大遗漏，被司法机关立案侦查或者被中国证监会立案调查的，在形成调查结论以前，本企业不得转让其在大唐电信拥有权益的股份。</w:t>
            </w:r>
            <w:r w:rsidRPr="00B4515A">
              <w:rPr>
                <w:rFonts w:cs="Times New Roman"/>
                <w:sz w:val="21"/>
                <w:szCs w:val="21"/>
              </w:rPr>
              <w:t>”</w:t>
            </w:r>
          </w:p>
        </w:tc>
      </w:tr>
      <w:tr w:rsidR="006416B0" w:rsidRPr="00B4515A" w14:paraId="64FE3A08" w14:textId="77777777" w:rsidTr="00031627">
        <w:trPr>
          <w:trHeight w:val="340"/>
          <w:jc w:val="center"/>
        </w:trPr>
        <w:tc>
          <w:tcPr>
            <w:tcW w:w="649" w:type="pct"/>
            <w:tcMar>
              <w:top w:w="0" w:type="dxa"/>
              <w:left w:w="108" w:type="dxa"/>
              <w:bottom w:w="0" w:type="dxa"/>
              <w:right w:w="108" w:type="dxa"/>
            </w:tcMar>
            <w:vAlign w:val="center"/>
          </w:tcPr>
          <w:p w14:paraId="1A7CD24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金融街资本主要管理人员</w:t>
            </w:r>
          </w:p>
        </w:tc>
        <w:tc>
          <w:tcPr>
            <w:tcW w:w="798" w:type="pct"/>
            <w:tcMar>
              <w:top w:w="0" w:type="dxa"/>
              <w:left w:w="108" w:type="dxa"/>
              <w:bottom w:w="0" w:type="dxa"/>
              <w:right w:w="108" w:type="dxa"/>
            </w:tcMar>
            <w:vAlign w:val="center"/>
          </w:tcPr>
          <w:p w14:paraId="419C38B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关于守法和诚信情况的承诺函</w:t>
            </w:r>
          </w:p>
        </w:tc>
        <w:tc>
          <w:tcPr>
            <w:tcW w:w="3553" w:type="pct"/>
            <w:tcMar>
              <w:top w:w="0" w:type="dxa"/>
              <w:left w:w="108" w:type="dxa"/>
              <w:bottom w:w="0" w:type="dxa"/>
              <w:right w:w="108" w:type="dxa"/>
            </w:tcMar>
            <w:vAlign w:val="center"/>
          </w:tcPr>
          <w:p w14:paraId="2138005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一、截至本承诺函出具日，本人不存在因涉嫌犯罪正被司法机关立案侦查或涉嫌违法违规正被中国证监会立案调查的情形。</w:t>
            </w:r>
          </w:p>
          <w:p w14:paraId="7C73121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二、本人在最近五年内诚信情况良好，不存在未按期偿还大额债务、未履行承诺或被中国证监会采取行政监管措施或受到证券交易所纪律处分的情况。</w:t>
            </w:r>
          </w:p>
          <w:p w14:paraId="658973B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三、本人最近五年内不存在受到行政处罚（与证券市场明显无关的除外）、刑事处罚的情况。</w:t>
            </w:r>
          </w:p>
          <w:p w14:paraId="6529F7D8"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四、本人不存在其他涉及与经济纠纷有关的重大民事诉讼和仲裁。</w:t>
            </w:r>
          </w:p>
          <w:p w14:paraId="1615FFA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五、上述承诺内容真实、完整、准确，不存在虚假、误导性陈述，不存在重大遗漏。本人完全了解作出虚假声明可能导致的后果，并愿承担因此产生的一切法律后果。</w:t>
            </w:r>
            <w:r w:rsidRPr="00B4515A">
              <w:rPr>
                <w:rFonts w:cs="Times New Roman" w:hint="eastAsia"/>
                <w:sz w:val="21"/>
                <w:szCs w:val="21"/>
              </w:rPr>
              <w:t>”</w:t>
            </w:r>
          </w:p>
        </w:tc>
      </w:tr>
      <w:tr w:rsidR="006416B0" w:rsidRPr="00B4515A" w14:paraId="5A12D472" w14:textId="77777777" w:rsidTr="00031627">
        <w:trPr>
          <w:trHeight w:val="340"/>
          <w:jc w:val="center"/>
        </w:trPr>
        <w:tc>
          <w:tcPr>
            <w:tcW w:w="649" w:type="pct"/>
            <w:tcMar>
              <w:top w:w="0" w:type="dxa"/>
              <w:left w:w="108" w:type="dxa"/>
              <w:bottom w:w="0" w:type="dxa"/>
              <w:right w:w="108" w:type="dxa"/>
            </w:tcMar>
            <w:vAlign w:val="center"/>
          </w:tcPr>
          <w:p w14:paraId="080528D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金融街资本</w:t>
            </w:r>
          </w:p>
        </w:tc>
        <w:tc>
          <w:tcPr>
            <w:tcW w:w="798" w:type="pct"/>
            <w:tcMar>
              <w:top w:w="0" w:type="dxa"/>
              <w:left w:w="108" w:type="dxa"/>
              <w:bottom w:w="0" w:type="dxa"/>
              <w:right w:w="108" w:type="dxa"/>
            </w:tcMar>
            <w:vAlign w:val="center"/>
          </w:tcPr>
          <w:p w14:paraId="48FD659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关于本次交易后保持上市公司独立性的承诺函</w:t>
            </w:r>
          </w:p>
        </w:tc>
        <w:tc>
          <w:tcPr>
            <w:tcW w:w="3553" w:type="pct"/>
            <w:tcMar>
              <w:top w:w="0" w:type="dxa"/>
              <w:left w:w="108" w:type="dxa"/>
              <w:bottom w:w="0" w:type="dxa"/>
              <w:right w:w="108" w:type="dxa"/>
            </w:tcMar>
            <w:vAlign w:val="center"/>
          </w:tcPr>
          <w:p w14:paraId="3C2F8B1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在本次交易完成后，本企业承诺将按照有关法律、法规、规范性文件的要求，做到与大唐电信在人员、资产、业务、机构、财务方面完全分开，不从事任何影响大唐电信人员独立、资产独立完整、业务独立、机构独立、财务独立的行为，不损害大唐电信及其他股东的利益，切实保障大唐电信在人员、资产、业务、机构和财务等方面的独立性。</w:t>
            </w:r>
          </w:p>
          <w:p w14:paraId="06F758B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如因本企业违反上述承诺导致大唐电信遭受损失的，本企业将对由此给大唐电信造成的实际损失做出及时和足额的赔偿，并保证积极消除由此造成的任何不利影响。</w:t>
            </w:r>
            <w:r w:rsidRPr="00B4515A">
              <w:rPr>
                <w:rFonts w:cs="Times New Roman" w:hint="eastAsia"/>
                <w:sz w:val="21"/>
                <w:szCs w:val="21"/>
              </w:rPr>
              <w:t>”</w:t>
            </w:r>
          </w:p>
        </w:tc>
      </w:tr>
      <w:tr w:rsidR="006416B0" w:rsidRPr="00B4515A" w14:paraId="79682414" w14:textId="77777777" w:rsidTr="00031627">
        <w:trPr>
          <w:trHeight w:val="340"/>
          <w:jc w:val="center"/>
        </w:trPr>
        <w:tc>
          <w:tcPr>
            <w:tcW w:w="649" w:type="pct"/>
            <w:tcMar>
              <w:top w:w="0" w:type="dxa"/>
              <w:left w:w="108" w:type="dxa"/>
              <w:bottom w:w="0" w:type="dxa"/>
              <w:right w:w="108" w:type="dxa"/>
            </w:tcMar>
            <w:vAlign w:val="center"/>
          </w:tcPr>
          <w:p w14:paraId="1F6CF83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金融街资本</w:t>
            </w:r>
          </w:p>
        </w:tc>
        <w:tc>
          <w:tcPr>
            <w:tcW w:w="798" w:type="pct"/>
            <w:tcMar>
              <w:top w:w="0" w:type="dxa"/>
              <w:left w:w="108" w:type="dxa"/>
              <w:bottom w:w="0" w:type="dxa"/>
              <w:right w:w="108" w:type="dxa"/>
            </w:tcMar>
            <w:vAlign w:val="center"/>
          </w:tcPr>
          <w:p w14:paraId="327A8DC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关于避免同业竞争的承诺函</w:t>
            </w:r>
          </w:p>
        </w:tc>
        <w:tc>
          <w:tcPr>
            <w:tcW w:w="3553" w:type="pct"/>
            <w:tcMar>
              <w:top w:w="0" w:type="dxa"/>
              <w:left w:w="108" w:type="dxa"/>
              <w:bottom w:w="0" w:type="dxa"/>
              <w:right w:w="108" w:type="dxa"/>
            </w:tcMar>
            <w:vAlign w:val="center"/>
          </w:tcPr>
          <w:p w14:paraId="229CD4B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、本次交易前，本公司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本企业及下属全资、控股子公司及其他可实际控制企业与上市公司主营业务不存在相竞争的业务，本次交易不会导致本公司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本企业与上市公司增加同业竞争。</w:t>
            </w:r>
          </w:p>
          <w:p w14:paraId="7598714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本企业保证绝不利用对上市公司的了解和知悉的信息协助第三方从事、参与或投资与上市公司相竞争的业务或项目。</w:t>
            </w:r>
          </w:p>
          <w:p w14:paraId="743D941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、本承诺函在上市公司合法有效存续且在本公司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本企业作为上市公司股东期间持续有效。</w:t>
            </w:r>
            <w:r w:rsidRPr="00B4515A">
              <w:rPr>
                <w:rFonts w:cs="Times New Roman" w:hint="eastAsia"/>
                <w:sz w:val="21"/>
                <w:szCs w:val="21"/>
              </w:rPr>
              <w:t>”</w:t>
            </w:r>
          </w:p>
        </w:tc>
      </w:tr>
      <w:tr w:rsidR="006416B0" w:rsidRPr="00B4515A" w14:paraId="13541183" w14:textId="77777777" w:rsidTr="00031627">
        <w:trPr>
          <w:trHeight w:val="340"/>
          <w:jc w:val="center"/>
        </w:trPr>
        <w:tc>
          <w:tcPr>
            <w:tcW w:w="649" w:type="pct"/>
            <w:tcMar>
              <w:top w:w="0" w:type="dxa"/>
              <w:left w:w="108" w:type="dxa"/>
              <w:bottom w:w="0" w:type="dxa"/>
              <w:right w:w="108" w:type="dxa"/>
            </w:tcMar>
            <w:vAlign w:val="center"/>
          </w:tcPr>
          <w:p w14:paraId="2B3D03B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金融街资本</w:t>
            </w:r>
          </w:p>
        </w:tc>
        <w:tc>
          <w:tcPr>
            <w:tcW w:w="798" w:type="pct"/>
            <w:tcMar>
              <w:top w:w="0" w:type="dxa"/>
              <w:left w:w="108" w:type="dxa"/>
              <w:bottom w:w="0" w:type="dxa"/>
              <w:right w:w="108" w:type="dxa"/>
            </w:tcMar>
            <w:vAlign w:val="center"/>
          </w:tcPr>
          <w:p w14:paraId="5EC50F7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关于减少和规范关联交易的承诺函</w:t>
            </w:r>
          </w:p>
        </w:tc>
        <w:tc>
          <w:tcPr>
            <w:tcW w:w="3553" w:type="pct"/>
            <w:tcMar>
              <w:top w:w="0" w:type="dxa"/>
              <w:left w:w="108" w:type="dxa"/>
              <w:bottom w:w="0" w:type="dxa"/>
              <w:right w:w="108" w:type="dxa"/>
            </w:tcMar>
            <w:vAlign w:val="center"/>
          </w:tcPr>
          <w:p w14:paraId="48F070E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尽可能地避免和减少与大唐电信（含其全资及控股子公司，下同）的关联交易；对无法避免或者有合理原因而发生的关联交易，将遵循平等、自愿、公平的原则，按照合理和正常的商业交易条件进行，并保证不通过关联交易损害大唐电信及其他股东的合法权益。</w:t>
            </w:r>
          </w:p>
          <w:p w14:paraId="4B28FC4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本企业在作为大唐电信股东期间，将不会以借款、代</w:t>
            </w:r>
            <w:r w:rsidRPr="00B4515A">
              <w:rPr>
                <w:rFonts w:ascii="Times New Roman" w:hAnsi="Times New Roman" w:cs="Times New Roman"/>
                <w:sz w:val="21"/>
                <w:szCs w:val="21"/>
              </w:rPr>
              <w:lastRenderedPageBreak/>
              <w:t>偿款项、要求提供担保或者其他任何方式非法占用大唐电信的资金或资产，不会利用其股东地位影响大唐电信的独立性，以确保大唐电信的规范运作。</w:t>
            </w:r>
          </w:p>
          <w:p w14:paraId="7E62206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、对于无法避免或者有合理原因而发生的关联交易，本公司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严格按照有关法律、法规、规范性文件以及大唐电信的章程和关联交易决策制度等规定，在大唐电信董事会、股东大会对相关关联交易事项进行表决时，继续严格履行关联董事、关联股东回避表决的义务。</w:t>
            </w:r>
          </w:p>
          <w:p w14:paraId="1581101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、因本公司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本企业违反本承诺函，导致大唐电信遭受损失的，本公司</w:t>
            </w:r>
            <w:r w:rsidRPr="00B4515A">
              <w:rPr>
                <w:rFonts w:ascii="Times New Roman" w:hAnsi="Times New Roman" w:cs="Times New Roman"/>
                <w:sz w:val="21"/>
                <w:szCs w:val="21"/>
              </w:rPr>
              <w:t>/</w:t>
            </w:r>
            <w:r w:rsidRPr="00B4515A">
              <w:rPr>
                <w:rFonts w:ascii="Times New Roman" w:hAnsi="Times New Roman" w:cs="Times New Roman"/>
                <w:sz w:val="21"/>
                <w:szCs w:val="21"/>
              </w:rPr>
              <w:t>本企业将对由此给大唐电信造成的全部损失做出全面、及时和足额的赔偿，并保证积极消除由此造成的任何不利影响。</w:t>
            </w:r>
            <w:r w:rsidRPr="00B4515A">
              <w:rPr>
                <w:rFonts w:cs="Times New Roman" w:hint="eastAsia"/>
                <w:sz w:val="21"/>
                <w:szCs w:val="21"/>
              </w:rPr>
              <w:t>”</w:t>
            </w:r>
          </w:p>
        </w:tc>
      </w:tr>
      <w:tr w:rsidR="006416B0" w:rsidRPr="00B4515A" w14:paraId="2B34E2D3" w14:textId="77777777" w:rsidTr="00031627">
        <w:trPr>
          <w:trHeight w:val="340"/>
          <w:jc w:val="center"/>
        </w:trPr>
        <w:tc>
          <w:tcPr>
            <w:tcW w:w="649" w:type="pct"/>
            <w:tcMar>
              <w:top w:w="0" w:type="dxa"/>
              <w:left w:w="108" w:type="dxa"/>
              <w:bottom w:w="0" w:type="dxa"/>
              <w:right w:w="108" w:type="dxa"/>
            </w:tcMar>
            <w:vAlign w:val="center"/>
          </w:tcPr>
          <w:p w14:paraId="1B30946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lastRenderedPageBreak/>
              <w:t>大唐联诚</w:t>
            </w:r>
          </w:p>
        </w:tc>
        <w:tc>
          <w:tcPr>
            <w:tcW w:w="798" w:type="pct"/>
            <w:tcMar>
              <w:top w:w="0" w:type="dxa"/>
              <w:left w:w="108" w:type="dxa"/>
              <w:bottom w:w="0" w:type="dxa"/>
              <w:right w:w="108" w:type="dxa"/>
            </w:tcMar>
            <w:vAlign w:val="center"/>
          </w:tcPr>
          <w:p w14:paraId="31BAD82A"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关于提供材料真实、准确和完整的承诺函</w:t>
            </w:r>
          </w:p>
        </w:tc>
        <w:tc>
          <w:tcPr>
            <w:tcW w:w="3553" w:type="pct"/>
            <w:tcMar>
              <w:top w:w="0" w:type="dxa"/>
              <w:left w:w="108" w:type="dxa"/>
              <w:bottom w:w="0" w:type="dxa"/>
              <w:right w:w="108" w:type="dxa"/>
            </w:tcMar>
            <w:vAlign w:val="center"/>
          </w:tcPr>
          <w:p w14:paraId="6803906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承诺及时向大唐电信以及向为本次交易提供财务顾问、审计、评估、法律等专业服务的中介机构提供完成本次交易所必需的相关文件、信息，并保证所提供的所有文件、信息均真实、准确、完整，不存在虚假记载、误导性陈述或者重大遗漏，文件上所有签字与印章均真实有效，复印件均与原件一致，本公司对所有文件、信息之真实性、准确性、完整性承担法律责任。</w:t>
            </w:r>
          </w:p>
          <w:p w14:paraId="6BC8CF9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、根据本次交易安排，如需要本公司补充提供相关文件、信息时，本公司保证继续提供的相关文件、信息仍然符合真实、准确、完整、有效的要求。</w:t>
            </w:r>
          </w:p>
          <w:p w14:paraId="11D172F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、如本次交易因本公司所提供或者披露的文件、信息存在虚假记载、误导性陈述或者重大遗漏，给大唐电信或投资者造成损失的，本公司将依法承担个别和连带的法律责任。</w:t>
            </w:r>
            <w:r w:rsidRPr="00B4515A">
              <w:rPr>
                <w:rFonts w:cs="Times New Roman"/>
                <w:sz w:val="21"/>
                <w:szCs w:val="21"/>
              </w:rPr>
              <w:t>”</w:t>
            </w:r>
          </w:p>
        </w:tc>
      </w:tr>
      <w:tr w:rsidR="006416B0" w:rsidRPr="00B4515A" w14:paraId="33A02D22" w14:textId="77777777" w:rsidTr="00031627">
        <w:trPr>
          <w:trHeight w:val="340"/>
          <w:jc w:val="center"/>
        </w:trPr>
        <w:tc>
          <w:tcPr>
            <w:tcW w:w="649" w:type="pct"/>
            <w:tcMar>
              <w:top w:w="0" w:type="dxa"/>
              <w:left w:w="108" w:type="dxa"/>
              <w:bottom w:w="0" w:type="dxa"/>
              <w:right w:w="108" w:type="dxa"/>
            </w:tcMar>
            <w:vAlign w:val="center"/>
          </w:tcPr>
          <w:p w14:paraId="26EE71C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大唐联诚及董事、监事、高级管理人员</w:t>
            </w:r>
          </w:p>
        </w:tc>
        <w:tc>
          <w:tcPr>
            <w:tcW w:w="798" w:type="pct"/>
            <w:tcMar>
              <w:top w:w="0" w:type="dxa"/>
              <w:left w:w="108" w:type="dxa"/>
              <w:bottom w:w="0" w:type="dxa"/>
              <w:right w:w="108" w:type="dxa"/>
            </w:tcMar>
            <w:vAlign w:val="center"/>
          </w:tcPr>
          <w:p w14:paraId="248E95F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关于合法合规的承诺函</w:t>
            </w:r>
          </w:p>
        </w:tc>
        <w:tc>
          <w:tcPr>
            <w:tcW w:w="3553" w:type="pct"/>
            <w:tcMar>
              <w:top w:w="0" w:type="dxa"/>
              <w:left w:w="108" w:type="dxa"/>
              <w:bottom w:w="0" w:type="dxa"/>
              <w:right w:w="108" w:type="dxa"/>
            </w:tcMar>
            <w:vAlign w:val="center"/>
          </w:tcPr>
          <w:p w14:paraId="0D1BD59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根据相关法律、法规及规范性文件之有关规定，作为本次交易的目标公司，特就本次交易相关事项承诺如下：</w:t>
            </w:r>
          </w:p>
          <w:p w14:paraId="7FDD9F7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1</w:t>
            </w:r>
            <w:r w:rsidRPr="00B4515A">
              <w:rPr>
                <w:rFonts w:ascii="Times New Roman" w:hAnsi="Times New Roman" w:cs="Times New Roman"/>
                <w:sz w:val="21"/>
                <w:szCs w:val="21"/>
              </w:rPr>
              <w:t>、本公司最近三年不存在违反工商、税务、劳动用工、社会保障及其他法律、行政法规而受到行政处罚的情形。</w:t>
            </w:r>
          </w:p>
          <w:p w14:paraId="743AF55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、本公司及本公司董事、监事以及高级管理人员最近五年未受过与证券市场相关的行政处罚、刑事处罚，也不存在涉及与经济纠纷有关的重大民事诉讼或仲裁的情况。</w:t>
            </w:r>
          </w:p>
          <w:p w14:paraId="14E1E5B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、本公司及本公司董事、监事以及高级管理人员在最近五年内不存在未按期偿还大额债务、未履行承诺、被中国证监会采取行政监管措施或受到证券交易所纪律处分等违反诚信的情况。</w:t>
            </w:r>
          </w:p>
          <w:p w14:paraId="393572D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、若因以上承诺内容不真实或违反以上任何承诺事项，并导致大唐电信遭受损失，本公司将对由此给大唐电信造成的全部损失做出全面、及时和足额的赔偿，并保证积极消除由此造成的任何不利影响。</w:t>
            </w:r>
          </w:p>
          <w:p w14:paraId="528497F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根据相关法律、法规及规范性文件之有关规定，作为本次交易目标公司的董事、监事、高级管理人员，特就本次交易相关事项承诺如下：</w:t>
            </w:r>
          </w:p>
          <w:p w14:paraId="43C7FA5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1</w:t>
            </w:r>
            <w:r w:rsidRPr="00B4515A">
              <w:rPr>
                <w:rFonts w:ascii="Times New Roman" w:hAnsi="Times New Roman" w:cs="Times New Roman"/>
                <w:sz w:val="21"/>
                <w:szCs w:val="21"/>
              </w:rPr>
              <w:t>、本人最近五年未受过与证券市场相关的行政处罚、刑事处罚，也不存在涉及与经济纠纷有关的重大民事诉讼或仲裁的情况。</w:t>
            </w:r>
          </w:p>
          <w:p w14:paraId="69DA9F6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、本人最近五年内不存在未按期偿还大额债务、未履行承诺、被中国证监会采取行政监管措施或受到证券交易所纪律处分等违反诚信的情况。</w:t>
            </w:r>
          </w:p>
          <w:p w14:paraId="03216805"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、若因以上承诺内容不真实或违反以上任何承诺事项，并导致大唐电信遭受损失，本人将对由此给大唐电信造成的全部损失做出全面、及时和足额的赔偿，并保证积极消除由此造成的任何不利影响。</w:t>
            </w:r>
            <w:r w:rsidRPr="00B4515A">
              <w:rPr>
                <w:rFonts w:cs="Times New Roman"/>
                <w:sz w:val="21"/>
                <w:szCs w:val="21"/>
              </w:rPr>
              <w:t>”</w:t>
            </w:r>
          </w:p>
        </w:tc>
      </w:tr>
      <w:tr w:rsidR="006416B0" w:rsidRPr="00B4515A" w14:paraId="0DCFCBAB" w14:textId="77777777" w:rsidTr="00031627">
        <w:trPr>
          <w:trHeight w:val="340"/>
          <w:jc w:val="center"/>
        </w:trPr>
        <w:tc>
          <w:tcPr>
            <w:tcW w:w="649" w:type="pct"/>
            <w:tcMar>
              <w:top w:w="0" w:type="dxa"/>
              <w:left w:w="108" w:type="dxa"/>
              <w:bottom w:w="0" w:type="dxa"/>
              <w:right w:w="108" w:type="dxa"/>
            </w:tcMar>
            <w:vAlign w:val="center"/>
          </w:tcPr>
          <w:p w14:paraId="22F0365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lastRenderedPageBreak/>
              <w:t>大唐联诚</w:t>
            </w:r>
          </w:p>
        </w:tc>
        <w:tc>
          <w:tcPr>
            <w:tcW w:w="798" w:type="pct"/>
            <w:tcMar>
              <w:top w:w="0" w:type="dxa"/>
              <w:left w:w="108" w:type="dxa"/>
              <w:bottom w:w="0" w:type="dxa"/>
              <w:right w:w="108" w:type="dxa"/>
            </w:tcMar>
            <w:vAlign w:val="center"/>
          </w:tcPr>
          <w:p w14:paraId="7462636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关于守法情况的承诺函</w:t>
            </w:r>
          </w:p>
        </w:tc>
        <w:tc>
          <w:tcPr>
            <w:tcW w:w="3553" w:type="pct"/>
            <w:tcMar>
              <w:top w:w="0" w:type="dxa"/>
              <w:left w:w="108" w:type="dxa"/>
              <w:bottom w:w="0" w:type="dxa"/>
              <w:right w:w="108" w:type="dxa"/>
            </w:tcMar>
            <w:vAlign w:val="center"/>
          </w:tcPr>
          <w:p w14:paraId="7D8D3E0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、本公司生产经营符合国家及地方有关环境保护、安全生产和质量技术监督的要求，</w:t>
            </w:r>
            <w:r w:rsidRPr="00B4515A">
              <w:rPr>
                <w:rFonts w:ascii="Times New Roman" w:hAnsi="Times New Roman" w:cs="Times New Roman"/>
                <w:sz w:val="21"/>
                <w:szCs w:val="21"/>
              </w:rPr>
              <w:t>2018</w:t>
            </w:r>
            <w:r w:rsidRPr="00B4515A">
              <w:rPr>
                <w:rFonts w:ascii="Times New Roman" w:hAnsi="Times New Roman" w:cs="Times New Roman"/>
                <w:sz w:val="21"/>
                <w:szCs w:val="21"/>
              </w:rPr>
              <w:t>年</w:t>
            </w:r>
            <w:r w:rsidRPr="00B4515A">
              <w:rPr>
                <w:rFonts w:ascii="Times New Roman" w:hAnsi="Times New Roman" w:cs="Times New Roman"/>
                <w:sz w:val="21"/>
                <w:szCs w:val="21"/>
              </w:rPr>
              <w:t>1</w:t>
            </w:r>
            <w:r w:rsidRPr="00B4515A">
              <w:rPr>
                <w:rFonts w:ascii="Times New Roman" w:hAnsi="Times New Roman" w:cs="Times New Roman"/>
                <w:sz w:val="21"/>
                <w:szCs w:val="21"/>
              </w:rPr>
              <w:t>月</w:t>
            </w:r>
            <w:r w:rsidRPr="00B4515A">
              <w:rPr>
                <w:rFonts w:ascii="Times New Roman" w:hAnsi="Times New Roman" w:cs="Times New Roman"/>
                <w:sz w:val="21"/>
                <w:szCs w:val="21"/>
              </w:rPr>
              <w:t>1</w:t>
            </w:r>
            <w:r w:rsidRPr="00B4515A">
              <w:rPr>
                <w:rFonts w:ascii="Times New Roman" w:hAnsi="Times New Roman" w:cs="Times New Roman"/>
                <w:sz w:val="21"/>
                <w:szCs w:val="21"/>
              </w:rPr>
              <w:t>日至今，不存在违反环境保护、安全生产、质量和技术监督等相关法律、法规、规范性文件而受到行政处罚的情形。</w:t>
            </w:r>
          </w:p>
          <w:p w14:paraId="2E91DFC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sz w:val="21"/>
                <w:szCs w:val="21"/>
              </w:rPr>
              <w:t>、</w:t>
            </w:r>
            <w:r w:rsidRPr="00B4515A">
              <w:rPr>
                <w:rFonts w:ascii="Times New Roman" w:hAnsi="Times New Roman" w:cs="Times New Roman"/>
                <w:sz w:val="21"/>
                <w:szCs w:val="21"/>
              </w:rPr>
              <w:t>2018</w:t>
            </w:r>
            <w:r w:rsidRPr="00B4515A">
              <w:rPr>
                <w:rFonts w:ascii="Times New Roman" w:hAnsi="Times New Roman" w:cs="Times New Roman"/>
                <w:sz w:val="21"/>
                <w:szCs w:val="21"/>
              </w:rPr>
              <w:t>年</w:t>
            </w:r>
            <w:r w:rsidRPr="00B4515A">
              <w:rPr>
                <w:rFonts w:ascii="Times New Roman" w:hAnsi="Times New Roman" w:cs="Times New Roman"/>
                <w:sz w:val="21"/>
                <w:szCs w:val="21"/>
              </w:rPr>
              <w:t>1</w:t>
            </w:r>
            <w:r w:rsidRPr="00B4515A">
              <w:rPr>
                <w:rFonts w:ascii="Times New Roman" w:hAnsi="Times New Roman" w:cs="Times New Roman"/>
                <w:sz w:val="21"/>
                <w:szCs w:val="21"/>
              </w:rPr>
              <w:t>月</w:t>
            </w:r>
            <w:r w:rsidRPr="00B4515A">
              <w:rPr>
                <w:rFonts w:ascii="Times New Roman" w:hAnsi="Times New Roman" w:cs="Times New Roman"/>
                <w:sz w:val="21"/>
                <w:szCs w:val="21"/>
              </w:rPr>
              <w:t>1</w:t>
            </w:r>
            <w:r w:rsidRPr="00B4515A">
              <w:rPr>
                <w:rFonts w:ascii="Times New Roman" w:hAnsi="Times New Roman" w:cs="Times New Roman"/>
                <w:sz w:val="21"/>
                <w:szCs w:val="21"/>
              </w:rPr>
              <w:t>日至今，本公司不存在因涉嫌犯罪被司法机关立案侦查或者涉嫌违法违规被中国证监会立案调查的情形。</w:t>
            </w:r>
          </w:p>
          <w:p w14:paraId="2D42763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3</w:t>
            </w:r>
            <w:r w:rsidRPr="00B4515A">
              <w:rPr>
                <w:rFonts w:ascii="Times New Roman" w:hAnsi="Times New Roman" w:cs="Times New Roman"/>
                <w:sz w:val="21"/>
                <w:szCs w:val="21"/>
              </w:rPr>
              <w:t>、</w:t>
            </w:r>
            <w:r w:rsidRPr="00B4515A">
              <w:rPr>
                <w:rFonts w:ascii="Times New Roman" w:hAnsi="Times New Roman" w:cs="Times New Roman"/>
                <w:sz w:val="21"/>
                <w:szCs w:val="21"/>
              </w:rPr>
              <w:t>2018</w:t>
            </w:r>
            <w:r w:rsidRPr="00B4515A">
              <w:rPr>
                <w:rFonts w:ascii="Times New Roman" w:hAnsi="Times New Roman" w:cs="Times New Roman"/>
                <w:sz w:val="21"/>
                <w:szCs w:val="21"/>
              </w:rPr>
              <w:t>年</w:t>
            </w:r>
            <w:r w:rsidRPr="00B4515A">
              <w:rPr>
                <w:rFonts w:ascii="Times New Roman" w:hAnsi="Times New Roman" w:cs="Times New Roman"/>
                <w:sz w:val="21"/>
                <w:szCs w:val="21"/>
              </w:rPr>
              <w:t>1</w:t>
            </w:r>
            <w:r w:rsidRPr="00B4515A">
              <w:rPr>
                <w:rFonts w:ascii="Times New Roman" w:hAnsi="Times New Roman" w:cs="Times New Roman"/>
                <w:sz w:val="21"/>
                <w:szCs w:val="21"/>
              </w:rPr>
              <w:t>月</w:t>
            </w:r>
            <w:r w:rsidRPr="00B4515A">
              <w:rPr>
                <w:rFonts w:ascii="Times New Roman" w:hAnsi="Times New Roman" w:cs="Times New Roman"/>
                <w:sz w:val="21"/>
                <w:szCs w:val="21"/>
              </w:rPr>
              <w:t>1</w:t>
            </w:r>
            <w:r w:rsidRPr="00B4515A">
              <w:rPr>
                <w:rFonts w:ascii="Times New Roman" w:hAnsi="Times New Roman" w:cs="Times New Roman"/>
                <w:sz w:val="21"/>
                <w:szCs w:val="21"/>
              </w:rPr>
              <w:t>日至今，本公司未受到过重大行政处罚，不存在任何刑事处罚。</w:t>
            </w:r>
          </w:p>
          <w:p w14:paraId="69BCDF4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4</w:t>
            </w:r>
            <w:r w:rsidRPr="00B4515A">
              <w:rPr>
                <w:rFonts w:ascii="Times New Roman" w:hAnsi="Times New Roman" w:cs="Times New Roman"/>
                <w:sz w:val="21"/>
                <w:szCs w:val="21"/>
              </w:rPr>
              <w:t>、除已披露的诉讼、仲裁案件外，本公司不存在标的金额在</w:t>
            </w:r>
            <w:r w:rsidRPr="00B4515A">
              <w:rPr>
                <w:rFonts w:ascii="Times New Roman" w:hAnsi="Times New Roman" w:cs="Times New Roman"/>
                <w:sz w:val="21"/>
                <w:szCs w:val="21"/>
              </w:rPr>
              <w:t>100</w:t>
            </w:r>
            <w:r w:rsidRPr="00B4515A">
              <w:rPr>
                <w:rFonts w:ascii="Times New Roman" w:hAnsi="Times New Roman" w:cs="Times New Roman"/>
                <w:sz w:val="21"/>
                <w:szCs w:val="21"/>
              </w:rPr>
              <w:t>万元以上的、正在进行的涉及与经济纠纷有关的民事诉讼或仲裁的情况。</w:t>
            </w:r>
            <w:r w:rsidRPr="00B4515A">
              <w:rPr>
                <w:rFonts w:cs="Times New Roman" w:hint="eastAsia"/>
                <w:sz w:val="21"/>
                <w:szCs w:val="21"/>
              </w:rPr>
              <w:t>”</w:t>
            </w:r>
          </w:p>
        </w:tc>
      </w:tr>
    </w:tbl>
    <w:p w14:paraId="5FFC9704" w14:textId="77777777" w:rsidR="006416B0" w:rsidRPr="00B4515A" w:rsidRDefault="005E58C1" w:rsidP="005860B4">
      <w:pPr>
        <w:pStyle w:val="002"/>
        <w:spacing w:before="120" w:after="120"/>
        <w:ind w:firstLine="562"/>
      </w:pPr>
      <w:bookmarkStart w:id="45" w:name="_Toc80960493"/>
      <w:r w:rsidRPr="00B4515A">
        <w:rPr>
          <w:rFonts w:hint="eastAsia"/>
        </w:rPr>
        <w:t>十一、上市公司控股股东对本次重组的原则性意见</w:t>
      </w:r>
      <w:bookmarkEnd w:id="45"/>
    </w:p>
    <w:p w14:paraId="783A6EA8" w14:textId="77777777" w:rsidR="006416B0" w:rsidRPr="00B4515A" w:rsidRDefault="005E58C1" w:rsidP="005860B4">
      <w:pPr>
        <w:pStyle w:val="005"/>
        <w:spacing w:before="120" w:after="120"/>
        <w:ind w:firstLine="480"/>
      </w:pPr>
      <w:bookmarkStart w:id="46" w:name="_Hlk76922186"/>
      <w:r w:rsidRPr="00B4515A">
        <w:t>针对本次交易，电信科研院及一致行动人大唐控股已出具《关于大唐电信科技股份有限公司发行股份购买资产并募集配套资金暨关联交易的原则性意见》，原则同意上市公司本次重组。</w:t>
      </w:r>
    </w:p>
    <w:p w14:paraId="74B42D0C" w14:textId="77777777" w:rsidR="006416B0" w:rsidRPr="00B4515A" w:rsidRDefault="005E58C1" w:rsidP="005860B4">
      <w:pPr>
        <w:pStyle w:val="002"/>
        <w:spacing w:before="120" w:after="120"/>
        <w:ind w:firstLine="562"/>
      </w:pPr>
      <w:bookmarkStart w:id="47" w:name="_Toc80960494"/>
      <w:bookmarkEnd w:id="46"/>
      <w:r w:rsidRPr="00B4515A">
        <w:rPr>
          <w:rFonts w:hint="eastAsia"/>
        </w:rPr>
        <w:t>十二、上市公司的董事、监事、高级管理人员、控股股东自本次重组复牌之日起至实施完毕期间的股份减持计划</w:t>
      </w:r>
      <w:bookmarkEnd w:id="47"/>
    </w:p>
    <w:p w14:paraId="3F3115AD" w14:textId="77777777" w:rsidR="006416B0" w:rsidRPr="00B4515A" w:rsidRDefault="005E58C1" w:rsidP="005860B4">
      <w:pPr>
        <w:pStyle w:val="005"/>
        <w:spacing w:before="120" w:after="120"/>
        <w:ind w:firstLine="480"/>
      </w:pPr>
      <w:bookmarkStart w:id="48" w:name="_Hlk76922201"/>
      <w:r w:rsidRPr="00B4515A">
        <w:rPr>
          <w:rFonts w:hint="eastAsia"/>
        </w:rPr>
        <w:t>根据控股股东电信科研院及其一致行动人大唐控股出具的承诺函，控股股东及其一致行动人自本次重组复牌之日起至实施完毕期间不存在减持公司股份的计划。</w:t>
      </w:r>
    </w:p>
    <w:p w14:paraId="5919727A" w14:textId="77777777" w:rsidR="006416B0" w:rsidRPr="00B4515A" w:rsidRDefault="005E58C1" w:rsidP="005860B4">
      <w:pPr>
        <w:pStyle w:val="005"/>
        <w:spacing w:before="120" w:after="120"/>
        <w:ind w:firstLine="480"/>
      </w:pPr>
      <w:r w:rsidRPr="00B4515A">
        <w:rPr>
          <w:rFonts w:hint="eastAsia"/>
        </w:rPr>
        <w:t>根据上市公司董事、监事、高级管理人员出具的承诺函，上市公司董事、监事、高级管理人员自本次重组复牌之日起至实施完毕期间不存在减持公司股份的计划。</w:t>
      </w:r>
    </w:p>
    <w:p w14:paraId="404989FD" w14:textId="77777777" w:rsidR="006416B0" w:rsidRPr="00B4515A" w:rsidRDefault="005E58C1" w:rsidP="005860B4">
      <w:pPr>
        <w:pStyle w:val="002"/>
        <w:spacing w:before="120" w:after="120"/>
        <w:ind w:firstLine="562"/>
      </w:pPr>
      <w:bookmarkStart w:id="49" w:name="_Toc80960495"/>
      <w:bookmarkEnd w:id="48"/>
      <w:r w:rsidRPr="00B4515A">
        <w:rPr>
          <w:rFonts w:hint="eastAsia"/>
        </w:rPr>
        <w:t>十三、本次重组对投资者权益保护的安排</w:t>
      </w:r>
      <w:bookmarkEnd w:id="49"/>
    </w:p>
    <w:p w14:paraId="603F7651" w14:textId="77777777" w:rsidR="006416B0" w:rsidRPr="00B4515A" w:rsidRDefault="005E58C1" w:rsidP="005860B4">
      <w:pPr>
        <w:pStyle w:val="005"/>
        <w:spacing w:before="120" w:after="120"/>
        <w:ind w:firstLine="480"/>
      </w:pPr>
      <w:bookmarkStart w:id="50" w:name="_Hlk76922240"/>
      <w:r w:rsidRPr="00B4515A">
        <w:rPr>
          <w:rFonts w:hint="eastAsia"/>
        </w:rPr>
        <w:t>本次交易过程中上市公司将采取以下安排和措施保护投资者尤其是中小投资者的合法权益：</w:t>
      </w:r>
    </w:p>
    <w:p w14:paraId="7DAADF3C" w14:textId="77777777" w:rsidR="006416B0" w:rsidRPr="00B4515A" w:rsidRDefault="005E58C1" w:rsidP="005860B4">
      <w:pPr>
        <w:pStyle w:val="003"/>
        <w:spacing w:before="120"/>
        <w:ind w:firstLine="482"/>
      </w:pPr>
      <w:r w:rsidRPr="00B4515A">
        <w:rPr>
          <w:rFonts w:hint="eastAsia"/>
        </w:rPr>
        <w:t>（一）严格履行上市公司信息披露义务</w:t>
      </w:r>
    </w:p>
    <w:p w14:paraId="1F42EA86" w14:textId="77777777" w:rsidR="006416B0" w:rsidRPr="00B4515A" w:rsidRDefault="005E58C1" w:rsidP="005860B4">
      <w:pPr>
        <w:pStyle w:val="005"/>
        <w:spacing w:before="120" w:after="120"/>
        <w:ind w:firstLine="480"/>
      </w:pPr>
      <w:r w:rsidRPr="00B4515A">
        <w:rPr>
          <w:rFonts w:hint="eastAsia"/>
        </w:rPr>
        <w:t>公司及相关信息披露义务人将严格按照《重组管理办法》、《上市公司信息披露管理办法》等相关法律法规的要求履行信息披露义务，公平地向所有投资者披露可能对上市公司股票交易价格产生较大影响的重大事件。本报告书披露后，</w:t>
      </w:r>
      <w:r w:rsidRPr="00B4515A">
        <w:rPr>
          <w:rFonts w:hint="eastAsia"/>
        </w:rPr>
        <w:lastRenderedPageBreak/>
        <w:t>公司将继续严格履行信息披露义务，按照相关法规的要求，及时、准确、公平地向所有投资者披露可能对上市公司股票交易价格产生较大影响的重大事件以及本次交易的进展情况。</w:t>
      </w:r>
    </w:p>
    <w:p w14:paraId="652BD58B" w14:textId="77777777" w:rsidR="006416B0" w:rsidRPr="00B4515A" w:rsidRDefault="005E58C1" w:rsidP="005860B4">
      <w:pPr>
        <w:pStyle w:val="003"/>
        <w:spacing w:before="120"/>
        <w:ind w:firstLine="482"/>
      </w:pPr>
      <w:r w:rsidRPr="00B4515A">
        <w:rPr>
          <w:rFonts w:hint="eastAsia"/>
        </w:rPr>
        <w:t>（二）严格履行上市公司审议及表决程序</w:t>
      </w:r>
    </w:p>
    <w:p w14:paraId="5DAC1E8B" w14:textId="77777777" w:rsidR="006416B0" w:rsidRPr="00B4515A" w:rsidRDefault="005E58C1" w:rsidP="005860B4">
      <w:pPr>
        <w:pStyle w:val="005"/>
        <w:spacing w:before="120" w:after="120"/>
        <w:ind w:firstLine="480"/>
      </w:pPr>
      <w:r w:rsidRPr="00B4515A">
        <w:rPr>
          <w:rFonts w:hint="eastAsia"/>
        </w:rPr>
        <w:t>公司在本次交易进程中严格遵守《公司法》、《重组管理办法》等相关法律法规的要求，严格履行相关审议程序。本次交易构成关联交易，其实施将执行法律法规以及公司内部对于关联交易的审批程序。本次交易的议案关联方董事均回避表决，并取得独立董事对本次交易的事前认可意见及独立意见。本次交易的议案将提交公司股东大会并由非关联股东予以表决。</w:t>
      </w:r>
    </w:p>
    <w:p w14:paraId="2F1CADAA" w14:textId="77777777" w:rsidR="006416B0" w:rsidRPr="00B4515A" w:rsidRDefault="005E58C1" w:rsidP="005860B4">
      <w:pPr>
        <w:pStyle w:val="003"/>
        <w:spacing w:before="120"/>
        <w:ind w:firstLine="482"/>
      </w:pPr>
      <w:r w:rsidRPr="00B4515A">
        <w:rPr>
          <w:rFonts w:hint="eastAsia"/>
        </w:rPr>
        <w:t>（三）股东大会提供网络投票平台</w:t>
      </w:r>
    </w:p>
    <w:p w14:paraId="7A3F0D33" w14:textId="77777777" w:rsidR="006416B0" w:rsidRPr="00B4515A" w:rsidRDefault="005E58C1" w:rsidP="005860B4">
      <w:pPr>
        <w:pStyle w:val="005"/>
        <w:spacing w:before="120" w:after="120"/>
        <w:ind w:firstLine="480"/>
      </w:pPr>
      <w:r w:rsidRPr="00B4515A">
        <w:rPr>
          <w:rFonts w:hint="eastAsia"/>
        </w:rPr>
        <w:t>公司董事会将在审议本次交易方案的股东大会召开前发布提示性公告，提醒全体股东参加审议本次交易方案的股东大会会议。公司将根据中国证监会《关于加强社会公众股股东权益保护的若干规定》等有关规定，就本次交易方案的表决提供网络投票平台，为股东参加股东大会提供便利。股东可以参加现场投票，也可以直接通过网络进行投票表决。</w:t>
      </w:r>
    </w:p>
    <w:p w14:paraId="5FEA5171" w14:textId="77777777" w:rsidR="006416B0" w:rsidRPr="00B4515A" w:rsidRDefault="005E58C1" w:rsidP="005860B4">
      <w:pPr>
        <w:pStyle w:val="003"/>
        <w:spacing w:before="120"/>
        <w:ind w:firstLine="482"/>
      </w:pPr>
      <w:r w:rsidRPr="00B4515A">
        <w:rPr>
          <w:rFonts w:hint="eastAsia"/>
        </w:rPr>
        <w:t>（四）确保本次交易的定价公允</w:t>
      </w:r>
    </w:p>
    <w:p w14:paraId="3B4335E4" w14:textId="77777777" w:rsidR="006416B0" w:rsidRPr="00B4515A" w:rsidRDefault="005E58C1" w:rsidP="005860B4">
      <w:pPr>
        <w:pStyle w:val="005"/>
        <w:spacing w:before="120" w:after="120"/>
        <w:ind w:firstLine="480"/>
      </w:pPr>
      <w:r w:rsidRPr="00B4515A">
        <w:rPr>
          <w:rFonts w:hint="eastAsia"/>
        </w:rPr>
        <w:t>上市公司已聘请审计机构、评估机构对标的资产进行审计、评估，并经国务院国资委核准的评估结果为基础确定交易价格，以确保标的资产的定价公允合理。上市公司独立董事已对标的资产评估定价的公允性发表独立意见。上市公司已聘请独立财务顾问和法律顾问对本次交易的实施过程和相关后续事项的合规性及风险进行核查，并发表明确的意见。</w:t>
      </w:r>
    </w:p>
    <w:p w14:paraId="1C773D81" w14:textId="77777777" w:rsidR="006416B0" w:rsidRPr="00B4515A" w:rsidRDefault="005E58C1" w:rsidP="005860B4">
      <w:pPr>
        <w:pStyle w:val="003"/>
        <w:spacing w:before="120"/>
        <w:ind w:firstLine="482"/>
      </w:pPr>
      <w:r w:rsidRPr="00B4515A">
        <w:rPr>
          <w:rFonts w:hint="eastAsia"/>
        </w:rPr>
        <w:t>（五）股份锁定安排</w:t>
      </w:r>
    </w:p>
    <w:p w14:paraId="257F30E4" w14:textId="77777777" w:rsidR="006416B0" w:rsidRPr="00B4515A" w:rsidRDefault="005E58C1" w:rsidP="005860B4">
      <w:pPr>
        <w:pStyle w:val="005"/>
        <w:spacing w:before="120" w:after="120"/>
        <w:ind w:firstLine="480"/>
      </w:pPr>
      <w:r w:rsidRPr="00B4515A">
        <w:rPr>
          <w:rFonts w:hint="eastAsia"/>
        </w:rPr>
        <w:t>本次交易中对交易对方所获得的上市公司新增股份进行了锁定安排，详见本报告书</w:t>
      </w:r>
      <w:r w:rsidRPr="00B4515A">
        <w:rPr>
          <w:rFonts w:ascii="宋体" w:hAnsi="宋体" w:hint="eastAsia"/>
        </w:rPr>
        <w:t>“</w:t>
      </w:r>
      <w:r w:rsidRPr="00B4515A">
        <w:rPr>
          <w:rFonts w:hint="eastAsia"/>
        </w:rPr>
        <w:t>重大事项提示</w:t>
      </w:r>
      <w:r w:rsidRPr="00B4515A">
        <w:rPr>
          <w:rFonts w:ascii="宋体" w:hAnsi="宋体" w:hint="eastAsia"/>
        </w:rPr>
        <w:t>”</w:t>
      </w:r>
      <w:r w:rsidRPr="00B4515A">
        <w:rPr>
          <w:rFonts w:hint="eastAsia"/>
        </w:rPr>
        <w:t>之</w:t>
      </w:r>
      <w:r w:rsidRPr="00B4515A">
        <w:rPr>
          <w:rFonts w:ascii="宋体" w:hAnsi="宋体" w:hint="eastAsia"/>
        </w:rPr>
        <w:t>“</w:t>
      </w:r>
      <w:r w:rsidRPr="00B4515A">
        <w:t>五、发行股份购买资产的情况</w:t>
      </w:r>
      <w:r w:rsidRPr="00B4515A">
        <w:rPr>
          <w:rFonts w:ascii="宋体" w:hAnsi="宋体" w:hint="eastAsia"/>
        </w:rPr>
        <w:t>”</w:t>
      </w:r>
      <w:r w:rsidRPr="00B4515A">
        <w:rPr>
          <w:rFonts w:hint="eastAsia"/>
        </w:rPr>
        <w:t>相关内容。</w:t>
      </w:r>
    </w:p>
    <w:p w14:paraId="1B83690E" w14:textId="77777777" w:rsidR="006416B0" w:rsidRPr="00B4515A" w:rsidRDefault="005E58C1" w:rsidP="005860B4">
      <w:pPr>
        <w:pStyle w:val="003"/>
        <w:spacing w:before="120"/>
        <w:ind w:firstLine="482"/>
      </w:pPr>
      <w:r w:rsidRPr="00B4515A">
        <w:rPr>
          <w:rFonts w:hint="eastAsia"/>
        </w:rPr>
        <w:t>（六）</w:t>
      </w:r>
      <w:r w:rsidRPr="00B4515A">
        <w:t>本次重组摊薄即期回报情况及相关填补措施</w:t>
      </w:r>
    </w:p>
    <w:p w14:paraId="1B6209D7" w14:textId="149CE2EF" w:rsidR="006416B0" w:rsidRPr="00B4515A" w:rsidRDefault="005E58C1" w:rsidP="005860B4">
      <w:pPr>
        <w:pStyle w:val="005"/>
        <w:spacing w:before="120" w:after="120"/>
        <w:ind w:firstLine="480"/>
      </w:pPr>
      <w:r w:rsidRPr="00B4515A">
        <w:t>根据立信会计事务所（特殊普通合伙）出具的《</w:t>
      </w:r>
      <w:r w:rsidRPr="00B4515A">
        <w:rPr>
          <w:rFonts w:hint="eastAsia"/>
        </w:rPr>
        <w:t>大唐电信科技股份有限公司</w:t>
      </w:r>
      <w:r w:rsidRPr="00B4515A">
        <w:t>2020</w:t>
      </w:r>
      <w:r w:rsidRPr="00B4515A">
        <w:t>审计报告》（信会师报字</w:t>
      </w:r>
      <w:r w:rsidRPr="00B4515A">
        <w:rPr>
          <w:rFonts w:hint="eastAsia"/>
        </w:rPr>
        <w:t>［</w:t>
      </w:r>
      <w:r w:rsidRPr="00B4515A">
        <w:t>2021</w:t>
      </w:r>
      <w:r w:rsidRPr="00B4515A">
        <w:rPr>
          <w:rFonts w:hint="eastAsia"/>
        </w:rPr>
        <w:t>］</w:t>
      </w:r>
      <w:r w:rsidRPr="00B4515A">
        <w:t>第</w:t>
      </w:r>
      <w:r w:rsidRPr="00B4515A">
        <w:t>ZG11031</w:t>
      </w:r>
      <w:r w:rsidRPr="00B4515A">
        <w:rPr>
          <w:rFonts w:hint="eastAsia"/>
        </w:rPr>
        <w:t>号</w:t>
      </w:r>
      <w:r w:rsidRPr="00B4515A">
        <w:t>）和按本次交易完成后架</w:t>
      </w:r>
      <w:r w:rsidRPr="00B4515A">
        <w:lastRenderedPageBreak/>
        <w:t>构编制的上市公司《</w:t>
      </w:r>
      <w:r w:rsidRPr="00B4515A">
        <w:rPr>
          <w:rFonts w:hint="eastAsia"/>
        </w:rPr>
        <w:t>大唐电信科技股份有限公司</w:t>
      </w:r>
      <w:r w:rsidRPr="00B4515A">
        <w:t>备考合并财务报表</w:t>
      </w:r>
      <w:r w:rsidRPr="00B4515A">
        <w:rPr>
          <w:rFonts w:hint="eastAsia"/>
        </w:rPr>
        <w:t>审阅</w:t>
      </w:r>
      <w:r w:rsidRPr="00B4515A">
        <w:t>报告》（</w:t>
      </w:r>
      <w:r w:rsidRPr="00B4515A">
        <w:rPr>
          <w:rFonts w:hint="eastAsia"/>
        </w:rPr>
        <w:t>信会师报字［</w:t>
      </w:r>
      <w:r w:rsidRPr="00B4515A">
        <w:t>2021</w:t>
      </w:r>
      <w:r w:rsidRPr="00B4515A">
        <w:rPr>
          <w:rFonts w:hint="eastAsia"/>
        </w:rPr>
        <w:t>］第</w:t>
      </w:r>
      <w:r w:rsidRPr="00B4515A">
        <w:t>ZG11653</w:t>
      </w:r>
      <w:r w:rsidRPr="00B4515A">
        <w:rPr>
          <w:rFonts w:hint="eastAsia"/>
        </w:rPr>
        <w:t>号</w:t>
      </w:r>
      <w:r w:rsidRPr="00B4515A">
        <w:t>），本次交易完成前后上市公司近一年一期的主要财务指标情况比较如下：</w:t>
      </w:r>
    </w:p>
    <w:p w14:paraId="1B204916" w14:textId="77777777" w:rsidR="006416B0" w:rsidRPr="00B4515A" w:rsidRDefault="005E58C1" w:rsidP="005860B4">
      <w:pPr>
        <w:pStyle w:val="009"/>
      </w:pPr>
      <w:r w:rsidRPr="00B4515A">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773"/>
        <w:gridCol w:w="1467"/>
        <w:gridCol w:w="1322"/>
        <w:gridCol w:w="1465"/>
        <w:gridCol w:w="1501"/>
      </w:tblGrid>
      <w:tr w:rsidR="006416B0" w:rsidRPr="00B4515A" w14:paraId="0B18067D" w14:textId="77777777" w:rsidTr="00031627">
        <w:trPr>
          <w:trHeight w:val="340"/>
          <w:jc w:val="center"/>
        </w:trPr>
        <w:tc>
          <w:tcPr>
            <w:tcW w:w="1626" w:type="pct"/>
            <w:vMerge w:val="restart"/>
            <w:shd w:val="clear" w:color="auto" w:fill="auto"/>
            <w:tcMar>
              <w:top w:w="0" w:type="dxa"/>
              <w:left w:w="108" w:type="dxa"/>
              <w:bottom w:w="0" w:type="dxa"/>
              <w:right w:w="108" w:type="dxa"/>
            </w:tcMar>
            <w:vAlign w:val="center"/>
          </w:tcPr>
          <w:p w14:paraId="6A14F51B" w14:textId="77777777" w:rsidR="006416B0" w:rsidRPr="00B4515A" w:rsidRDefault="005E58C1" w:rsidP="005860B4">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1635" w:type="pct"/>
            <w:gridSpan w:val="2"/>
            <w:shd w:val="clear" w:color="auto" w:fill="auto"/>
            <w:tcMar>
              <w:top w:w="0" w:type="dxa"/>
              <w:left w:w="108" w:type="dxa"/>
              <w:bottom w:w="0" w:type="dxa"/>
              <w:right w:w="108" w:type="dxa"/>
            </w:tcMar>
            <w:vAlign w:val="center"/>
          </w:tcPr>
          <w:p w14:paraId="410C08D1" w14:textId="77777777" w:rsidR="006416B0" w:rsidRPr="00B4515A" w:rsidRDefault="005E58C1" w:rsidP="005860B4">
            <w:pPr>
              <w:keepNext/>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w:t>
            </w:r>
          </w:p>
          <w:p w14:paraId="05BB0502" w14:textId="77777777" w:rsidR="006416B0" w:rsidRPr="00B4515A" w:rsidRDefault="005E58C1" w:rsidP="005860B4">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4</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30</w:t>
            </w:r>
            <w:r w:rsidRPr="00B4515A">
              <w:rPr>
                <w:rFonts w:ascii="Times New Roman" w:eastAsiaTheme="minorEastAsia" w:hAnsi="Times New Roman" w:cs="Times New Roman"/>
                <w:b/>
                <w:bCs/>
                <w:color w:val="000000"/>
                <w:sz w:val="21"/>
                <w:szCs w:val="21"/>
              </w:rPr>
              <w:t>日</w:t>
            </w:r>
          </w:p>
        </w:tc>
        <w:tc>
          <w:tcPr>
            <w:tcW w:w="1739" w:type="pct"/>
            <w:gridSpan w:val="2"/>
            <w:shd w:val="clear" w:color="auto" w:fill="auto"/>
            <w:tcMar>
              <w:top w:w="0" w:type="dxa"/>
              <w:left w:w="108" w:type="dxa"/>
              <w:bottom w:w="0" w:type="dxa"/>
              <w:right w:w="108" w:type="dxa"/>
            </w:tcMar>
            <w:vAlign w:val="center"/>
          </w:tcPr>
          <w:p w14:paraId="72BBD159" w14:textId="77777777" w:rsidR="006416B0" w:rsidRPr="00B4515A" w:rsidRDefault="005E58C1" w:rsidP="005860B4">
            <w:pPr>
              <w:keepNext/>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年度</w:t>
            </w:r>
            <w:r w:rsidRPr="00B4515A">
              <w:rPr>
                <w:rFonts w:ascii="Times New Roman" w:eastAsiaTheme="minorEastAsia" w:hAnsi="Times New Roman" w:cs="Times New Roman"/>
                <w:b/>
                <w:bCs/>
                <w:color w:val="000000"/>
                <w:sz w:val="21"/>
                <w:szCs w:val="21"/>
              </w:rPr>
              <w:t>/</w:t>
            </w:r>
          </w:p>
          <w:p w14:paraId="2A5B494E" w14:textId="77777777" w:rsidR="006416B0" w:rsidRPr="00B4515A" w:rsidRDefault="005E58C1" w:rsidP="005860B4">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p>
        </w:tc>
      </w:tr>
      <w:tr w:rsidR="006416B0" w:rsidRPr="00B4515A" w14:paraId="467DE198" w14:textId="77777777" w:rsidTr="00031627">
        <w:trPr>
          <w:trHeight w:val="340"/>
          <w:jc w:val="center"/>
        </w:trPr>
        <w:tc>
          <w:tcPr>
            <w:tcW w:w="1626" w:type="pct"/>
            <w:vMerge/>
            <w:tcMar>
              <w:top w:w="0" w:type="dxa"/>
              <w:left w:w="108" w:type="dxa"/>
              <w:bottom w:w="0" w:type="dxa"/>
              <w:right w:w="108" w:type="dxa"/>
            </w:tcMar>
            <w:vAlign w:val="center"/>
          </w:tcPr>
          <w:p w14:paraId="33BD9206"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860" w:type="pct"/>
            <w:shd w:val="clear" w:color="auto" w:fill="auto"/>
            <w:tcMar>
              <w:top w:w="0" w:type="dxa"/>
              <w:left w:w="108" w:type="dxa"/>
              <w:bottom w:w="0" w:type="dxa"/>
              <w:right w:w="108" w:type="dxa"/>
            </w:tcMar>
            <w:vAlign w:val="center"/>
          </w:tcPr>
          <w:p w14:paraId="0A97B4E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实际数</w:t>
            </w:r>
          </w:p>
        </w:tc>
        <w:tc>
          <w:tcPr>
            <w:tcW w:w="775" w:type="pct"/>
            <w:shd w:val="clear" w:color="auto" w:fill="auto"/>
            <w:tcMar>
              <w:top w:w="0" w:type="dxa"/>
              <w:left w:w="108" w:type="dxa"/>
              <w:bottom w:w="0" w:type="dxa"/>
              <w:right w:w="108" w:type="dxa"/>
            </w:tcMar>
            <w:vAlign w:val="center"/>
          </w:tcPr>
          <w:p w14:paraId="790357F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备考数</w:t>
            </w:r>
          </w:p>
        </w:tc>
        <w:tc>
          <w:tcPr>
            <w:tcW w:w="859" w:type="pct"/>
            <w:shd w:val="clear" w:color="auto" w:fill="auto"/>
            <w:tcMar>
              <w:top w:w="0" w:type="dxa"/>
              <w:left w:w="108" w:type="dxa"/>
              <w:bottom w:w="0" w:type="dxa"/>
              <w:right w:w="108" w:type="dxa"/>
            </w:tcMar>
            <w:vAlign w:val="center"/>
          </w:tcPr>
          <w:p w14:paraId="105236A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实际数</w:t>
            </w:r>
          </w:p>
        </w:tc>
        <w:tc>
          <w:tcPr>
            <w:tcW w:w="880" w:type="pct"/>
            <w:shd w:val="clear" w:color="auto" w:fill="auto"/>
            <w:tcMar>
              <w:top w:w="0" w:type="dxa"/>
              <w:left w:w="108" w:type="dxa"/>
              <w:bottom w:w="0" w:type="dxa"/>
              <w:right w:w="108" w:type="dxa"/>
            </w:tcMar>
            <w:vAlign w:val="center"/>
          </w:tcPr>
          <w:p w14:paraId="3D06BC9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备考数</w:t>
            </w:r>
          </w:p>
        </w:tc>
      </w:tr>
      <w:tr w:rsidR="006416B0" w:rsidRPr="00B4515A" w14:paraId="6C1F8727"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66445DE8"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资产总额</w:t>
            </w:r>
          </w:p>
        </w:tc>
        <w:tc>
          <w:tcPr>
            <w:tcW w:w="860" w:type="pct"/>
            <w:shd w:val="clear" w:color="auto" w:fill="auto"/>
            <w:tcMar>
              <w:top w:w="0" w:type="dxa"/>
              <w:left w:w="108" w:type="dxa"/>
              <w:bottom w:w="0" w:type="dxa"/>
              <w:right w:w="108" w:type="dxa"/>
            </w:tcMar>
            <w:vAlign w:val="center"/>
          </w:tcPr>
          <w:p w14:paraId="67D3776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298,000.05</w:t>
            </w:r>
          </w:p>
        </w:tc>
        <w:tc>
          <w:tcPr>
            <w:tcW w:w="775" w:type="pct"/>
            <w:shd w:val="clear" w:color="auto" w:fill="auto"/>
            <w:tcMar>
              <w:top w:w="0" w:type="dxa"/>
              <w:left w:w="108" w:type="dxa"/>
              <w:bottom w:w="0" w:type="dxa"/>
              <w:right w:w="108" w:type="dxa"/>
            </w:tcMar>
            <w:vAlign w:val="center"/>
          </w:tcPr>
          <w:p w14:paraId="3697A5D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538,861.16</w:t>
            </w:r>
          </w:p>
        </w:tc>
        <w:tc>
          <w:tcPr>
            <w:tcW w:w="859" w:type="pct"/>
            <w:shd w:val="clear" w:color="auto" w:fill="auto"/>
            <w:tcMar>
              <w:top w:w="0" w:type="dxa"/>
              <w:left w:w="108" w:type="dxa"/>
              <w:bottom w:w="0" w:type="dxa"/>
              <w:right w:w="108" w:type="dxa"/>
            </w:tcMar>
            <w:vAlign w:val="center"/>
          </w:tcPr>
          <w:p w14:paraId="72C3297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314,041.93</w:t>
            </w:r>
          </w:p>
        </w:tc>
        <w:tc>
          <w:tcPr>
            <w:tcW w:w="880" w:type="pct"/>
            <w:shd w:val="clear" w:color="auto" w:fill="auto"/>
            <w:tcMar>
              <w:top w:w="0" w:type="dxa"/>
              <w:left w:w="108" w:type="dxa"/>
              <w:bottom w:w="0" w:type="dxa"/>
              <w:right w:w="108" w:type="dxa"/>
            </w:tcMar>
            <w:vAlign w:val="center"/>
          </w:tcPr>
          <w:p w14:paraId="441B733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548,152.06</w:t>
            </w:r>
          </w:p>
        </w:tc>
      </w:tr>
      <w:tr w:rsidR="006416B0" w:rsidRPr="00B4515A" w14:paraId="363E360A"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1090C746"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归属母公司股东所有者权益</w:t>
            </w:r>
          </w:p>
        </w:tc>
        <w:tc>
          <w:tcPr>
            <w:tcW w:w="860" w:type="pct"/>
            <w:shd w:val="clear" w:color="auto" w:fill="auto"/>
            <w:tcMar>
              <w:top w:w="0" w:type="dxa"/>
              <w:left w:w="108" w:type="dxa"/>
              <w:bottom w:w="0" w:type="dxa"/>
              <w:right w:w="108" w:type="dxa"/>
            </w:tcMar>
            <w:vAlign w:val="center"/>
          </w:tcPr>
          <w:p w14:paraId="1D3995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-140,970.51</w:t>
            </w:r>
          </w:p>
        </w:tc>
        <w:tc>
          <w:tcPr>
            <w:tcW w:w="775" w:type="pct"/>
            <w:shd w:val="clear" w:color="auto" w:fill="auto"/>
            <w:tcMar>
              <w:top w:w="0" w:type="dxa"/>
              <w:left w:w="108" w:type="dxa"/>
              <w:bottom w:w="0" w:type="dxa"/>
              <w:right w:w="108" w:type="dxa"/>
            </w:tcMar>
            <w:vAlign w:val="center"/>
          </w:tcPr>
          <w:p w14:paraId="4530187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29,482.47</w:t>
            </w:r>
          </w:p>
        </w:tc>
        <w:tc>
          <w:tcPr>
            <w:tcW w:w="859" w:type="pct"/>
            <w:shd w:val="clear" w:color="auto" w:fill="auto"/>
            <w:tcMar>
              <w:top w:w="0" w:type="dxa"/>
              <w:left w:w="108" w:type="dxa"/>
              <w:bottom w:w="0" w:type="dxa"/>
              <w:right w:w="108" w:type="dxa"/>
            </w:tcMar>
            <w:vAlign w:val="center"/>
          </w:tcPr>
          <w:p w14:paraId="6127686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-131,187.30</w:t>
            </w:r>
          </w:p>
        </w:tc>
        <w:tc>
          <w:tcPr>
            <w:tcW w:w="880" w:type="pct"/>
            <w:shd w:val="clear" w:color="auto" w:fill="auto"/>
            <w:tcMar>
              <w:top w:w="0" w:type="dxa"/>
              <w:left w:w="108" w:type="dxa"/>
              <w:bottom w:w="0" w:type="dxa"/>
              <w:right w:w="108" w:type="dxa"/>
            </w:tcMar>
            <w:vAlign w:val="center"/>
          </w:tcPr>
          <w:p w14:paraId="3FDDACE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38,924.73</w:t>
            </w:r>
          </w:p>
        </w:tc>
      </w:tr>
      <w:tr w:rsidR="006416B0" w:rsidRPr="00B4515A" w14:paraId="0096CEFB"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0BABF29B"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营业收入</w:t>
            </w:r>
          </w:p>
        </w:tc>
        <w:tc>
          <w:tcPr>
            <w:tcW w:w="860" w:type="pct"/>
            <w:shd w:val="clear" w:color="auto" w:fill="auto"/>
            <w:tcMar>
              <w:top w:w="0" w:type="dxa"/>
              <w:left w:w="108" w:type="dxa"/>
              <w:bottom w:w="0" w:type="dxa"/>
              <w:right w:w="108" w:type="dxa"/>
            </w:tcMar>
            <w:vAlign w:val="center"/>
          </w:tcPr>
          <w:p w14:paraId="5E86D70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13,624.42</w:t>
            </w:r>
          </w:p>
        </w:tc>
        <w:tc>
          <w:tcPr>
            <w:tcW w:w="775" w:type="pct"/>
            <w:shd w:val="clear" w:color="auto" w:fill="auto"/>
            <w:tcMar>
              <w:top w:w="0" w:type="dxa"/>
              <w:left w:w="108" w:type="dxa"/>
              <w:bottom w:w="0" w:type="dxa"/>
              <w:right w:w="108" w:type="dxa"/>
            </w:tcMar>
            <w:vAlign w:val="center"/>
          </w:tcPr>
          <w:p w14:paraId="75F44CF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25,810.48</w:t>
            </w:r>
          </w:p>
        </w:tc>
        <w:tc>
          <w:tcPr>
            <w:tcW w:w="859" w:type="pct"/>
            <w:shd w:val="clear" w:color="auto" w:fill="auto"/>
            <w:tcMar>
              <w:top w:w="0" w:type="dxa"/>
              <w:left w:w="108" w:type="dxa"/>
              <w:bottom w:w="0" w:type="dxa"/>
              <w:right w:w="108" w:type="dxa"/>
            </w:tcMar>
            <w:vAlign w:val="center"/>
          </w:tcPr>
          <w:p w14:paraId="383A3BC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120,721.15</w:t>
            </w:r>
          </w:p>
        </w:tc>
        <w:tc>
          <w:tcPr>
            <w:tcW w:w="880" w:type="pct"/>
            <w:shd w:val="clear" w:color="auto" w:fill="auto"/>
            <w:tcMar>
              <w:top w:w="0" w:type="dxa"/>
              <w:left w:w="108" w:type="dxa"/>
              <w:bottom w:w="0" w:type="dxa"/>
              <w:right w:w="108" w:type="dxa"/>
            </w:tcMar>
            <w:vAlign w:val="center"/>
          </w:tcPr>
          <w:p w14:paraId="2D14589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162,630.87</w:t>
            </w:r>
          </w:p>
        </w:tc>
      </w:tr>
      <w:tr w:rsidR="006416B0" w:rsidRPr="00B4515A" w14:paraId="11D7801A"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348F22EA"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利润总额</w:t>
            </w:r>
          </w:p>
        </w:tc>
        <w:tc>
          <w:tcPr>
            <w:tcW w:w="860" w:type="pct"/>
            <w:shd w:val="clear" w:color="auto" w:fill="auto"/>
            <w:tcMar>
              <w:top w:w="0" w:type="dxa"/>
              <w:left w:w="108" w:type="dxa"/>
              <w:bottom w:w="0" w:type="dxa"/>
              <w:right w:w="108" w:type="dxa"/>
            </w:tcMar>
            <w:vAlign w:val="center"/>
          </w:tcPr>
          <w:p w14:paraId="723B398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-15,164.66</w:t>
            </w:r>
          </w:p>
        </w:tc>
        <w:tc>
          <w:tcPr>
            <w:tcW w:w="775" w:type="pct"/>
            <w:shd w:val="clear" w:color="auto" w:fill="auto"/>
            <w:tcMar>
              <w:top w:w="0" w:type="dxa"/>
              <w:left w:w="108" w:type="dxa"/>
              <w:bottom w:w="0" w:type="dxa"/>
              <w:right w:w="108" w:type="dxa"/>
            </w:tcMar>
            <w:vAlign w:val="center"/>
          </w:tcPr>
          <w:p w14:paraId="651B098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-14,784.62</w:t>
            </w:r>
          </w:p>
        </w:tc>
        <w:tc>
          <w:tcPr>
            <w:tcW w:w="859" w:type="pct"/>
            <w:shd w:val="clear" w:color="auto" w:fill="auto"/>
            <w:tcMar>
              <w:top w:w="0" w:type="dxa"/>
              <w:left w:w="108" w:type="dxa"/>
              <w:bottom w:w="0" w:type="dxa"/>
              <w:right w:w="108" w:type="dxa"/>
            </w:tcMar>
            <w:vAlign w:val="center"/>
          </w:tcPr>
          <w:p w14:paraId="5949970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-168,793.47</w:t>
            </w:r>
          </w:p>
        </w:tc>
        <w:tc>
          <w:tcPr>
            <w:tcW w:w="880" w:type="pct"/>
            <w:shd w:val="clear" w:color="auto" w:fill="auto"/>
            <w:tcMar>
              <w:top w:w="0" w:type="dxa"/>
              <w:left w:w="108" w:type="dxa"/>
              <w:bottom w:w="0" w:type="dxa"/>
              <w:right w:w="108" w:type="dxa"/>
            </w:tcMar>
            <w:vAlign w:val="center"/>
          </w:tcPr>
          <w:p w14:paraId="77339B3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-164,212.51</w:t>
            </w:r>
          </w:p>
        </w:tc>
      </w:tr>
      <w:tr w:rsidR="006416B0" w:rsidRPr="00B4515A" w14:paraId="0717B97F"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135A328D"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归属母公司股东所有者净利润</w:t>
            </w:r>
          </w:p>
        </w:tc>
        <w:tc>
          <w:tcPr>
            <w:tcW w:w="860" w:type="pct"/>
            <w:shd w:val="clear" w:color="auto" w:fill="auto"/>
            <w:tcMar>
              <w:top w:w="0" w:type="dxa"/>
              <w:left w:w="108" w:type="dxa"/>
              <w:bottom w:w="0" w:type="dxa"/>
              <w:right w:w="108" w:type="dxa"/>
            </w:tcMar>
            <w:vAlign w:val="center"/>
          </w:tcPr>
          <w:p w14:paraId="0651FB2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-9,784.31</w:t>
            </w:r>
          </w:p>
        </w:tc>
        <w:tc>
          <w:tcPr>
            <w:tcW w:w="775" w:type="pct"/>
            <w:shd w:val="clear" w:color="auto" w:fill="auto"/>
            <w:tcMar>
              <w:top w:w="0" w:type="dxa"/>
              <w:left w:w="108" w:type="dxa"/>
              <w:bottom w:w="0" w:type="dxa"/>
              <w:right w:w="108" w:type="dxa"/>
            </w:tcMar>
            <w:vAlign w:val="center"/>
          </w:tcPr>
          <w:p w14:paraId="121DD0C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-9,443.36</w:t>
            </w:r>
          </w:p>
        </w:tc>
        <w:tc>
          <w:tcPr>
            <w:tcW w:w="859" w:type="pct"/>
            <w:shd w:val="clear" w:color="auto" w:fill="auto"/>
            <w:tcMar>
              <w:top w:w="0" w:type="dxa"/>
              <w:left w:w="108" w:type="dxa"/>
              <w:bottom w:w="0" w:type="dxa"/>
              <w:right w:w="108" w:type="dxa"/>
            </w:tcMar>
            <w:vAlign w:val="center"/>
          </w:tcPr>
          <w:p w14:paraId="1CDF3D8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-136,381.11</w:t>
            </w:r>
          </w:p>
        </w:tc>
        <w:tc>
          <w:tcPr>
            <w:tcW w:w="880" w:type="pct"/>
            <w:shd w:val="clear" w:color="auto" w:fill="auto"/>
            <w:tcMar>
              <w:top w:w="0" w:type="dxa"/>
              <w:left w:w="108" w:type="dxa"/>
              <w:bottom w:w="0" w:type="dxa"/>
              <w:right w:w="108" w:type="dxa"/>
            </w:tcMar>
            <w:vAlign w:val="center"/>
          </w:tcPr>
          <w:p w14:paraId="3B49539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-132,112.46</w:t>
            </w:r>
          </w:p>
        </w:tc>
      </w:tr>
      <w:tr w:rsidR="006416B0" w:rsidRPr="00B4515A" w14:paraId="45E353F7"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3433EC1E"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扣非后归属母公司股东所有者净利润</w:t>
            </w:r>
          </w:p>
        </w:tc>
        <w:tc>
          <w:tcPr>
            <w:tcW w:w="860" w:type="pct"/>
            <w:shd w:val="clear" w:color="auto" w:fill="auto"/>
            <w:tcMar>
              <w:top w:w="0" w:type="dxa"/>
              <w:left w:w="108" w:type="dxa"/>
              <w:bottom w:w="0" w:type="dxa"/>
              <w:right w:w="108" w:type="dxa"/>
            </w:tcMar>
            <w:vAlign w:val="center"/>
          </w:tcPr>
          <w:p w14:paraId="46F6107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-11,083.58</w:t>
            </w:r>
          </w:p>
        </w:tc>
        <w:tc>
          <w:tcPr>
            <w:tcW w:w="775" w:type="pct"/>
            <w:shd w:val="clear" w:color="auto" w:fill="auto"/>
            <w:tcMar>
              <w:top w:w="0" w:type="dxa"/>
              <w:left w:w="108" w:type="dxa"/>
              <w:bottom w:w="0" w:type="dxa"/>
              <w:right w:w="108" w:type="dxa"/>
            </w:tcMar>
            <w:vAlign w:val="center"/>
          </w:tcPr>
          <w:p w14:paraId="68E28FB4"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-10,729.62</w:t>
            </w:r>
          </w:p>
        </w:tc>
        <w:tc>
          <w:tcPr>
            <w:tcW w:w="859" w:type="pct"/>
            <w:shd w:val="clear" w:color="auto" w:fill="auto"/>
            <w:tcMar>
              <w:top w:w="0" w:type="dxa"/>
              <w:left w:w="108" w:type="dxa"/>
              <w:bottom w:w="0" w:type="dxa"/>
              <w:right w:w="108" w:type="dxa"/>
            </w:tcMar>
            <w:vAlign w:val="center"/>
          </w:tcPr>
          <w:p w14:paraId="56AFCA8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-140,462.32</w:t>
            </w:r>
          </w:p>
        </w:tc>
        <w:tc>
          <w:tcPr>
            <w:tcW w:w="880" w:type="pct"/>
            <w:shd w:val="clear" w:color="auto" w:fill="auto"/>
            <w:tcMar>
              <w:top w:w="0" w:type="dxa"/>
              <w:left w:w="108" w:type="dxa"/>
              <w:bottom w:w="0" w:type="dxa"/>
              <w:right w:w="108" w:type="dxa"/>
            </w:tcMar>
            <w:vAlign w:val="center"/>
          </w:tcPr>
          <w:p w14:paraId="30F86FBC"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-136,354.04</w:t>
            </w:r>
          </w:p>
        </w:tc>
      </w:tr>
      <w:tr w:rsidR="006416B0" w:rsidRPr="00B4515A" w14:paraId="3E0A6202"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3D190E50"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基本每股收益（元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股）</w:t>
            </w:r>
          </w:p>
        </w:tc>
        <w:tc>
          <w:tcPr>
            <w:tcW w:w="860" w:type="pct"/>
            <w:shd w:val="clear" w:color="auto" w:fill="auto"/>
            <w:tcMar>
              <w:top w:w="0" w:type="dxa"/>
              <w:left w:w="108" w:type="dxa"/>
              <w:bottom w:w="0" w:type="dxa"/>
              <w:right w:w="108" w:type="dxa"/>
            </w:tcMar>
            <w:vAlign w:val="center"/>
          </w:tcPr>
          <w:p w14:paraId="0546D5E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-0.11</w:t>
            </w:r>
          </w:p>
        </w:tc>
        <w:tc>
          <w:tcPr>
            <w:tcW w:w="775" w:type="pct"/>
            <w:shd w:val="clear" w:color="auto" w:fill="auto"/>
            <w:tcMar>
              <w:top w:w="0" w:type="dxa"/>
              <w:left w:w="108" w:type="dxa"/>
              <w:bottom w:w="0" w:type="dxa"/>
              <w:right w:w="108" w:type="dxa"/>
            </w:tcMar>
            <w:vAlign w:val="center"/>
          </w:tcPr>
          <w:p w14:paraId="0988B34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-0.07</w:t>
            </w:r>
          </w:p>
        </w:tc>
        <w:tc>
          <w:tcPr>
            <w:tcW w:w="859" w:type="pct"/>
            <w:shd w:val="clear" w:color="auto" w:fill="auto"/>
            <w:tcMar>
              <w:top w:w="0" w:type="dxa"/>
              <w:left w:w="108" w:type="dxa"/>
              <w:bottom w:w="0" w:type="dxa"/>
              <w:right w:w="108" w:type="dxa"/>
            </w:tcMar>
            <w:vAlign w:val="center"/>
          </w:tcPr>
          <w:p w14:paraId="5C531CC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-1.55</w:t>
            </w:r>
          </w:p>
        </w:tc>
        <w:tc>
          <w:tcPr>
            <w:tcW w:w="880" w:type="pct"/>
            <w:shd w:val="clear" w:color="auto" w:fill="auto"/>
            <w:tcMar>
              <w:top w:w="0" w:type="dxa"/>
              <w:left w:w="108" w:type="dxa"/>
              <w:bottom w:w="0" w:type="dxa"/>
              <w:right w:w="108" w:type="dxa"/>
            </w:tcMar>
            <w:vAlign w:val="center"/>
          </w:tcPr>
          <w:p w14:paraId="7B8525D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-1.01</w:t>
            </w:r>
          </w:p>
        </w:tc>
      </w:tr>
      <w:tr w:rsidR="006416B0" w:rsidRPr="00B4515A" w14:paraId="212DFDB3"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2F5EAE96"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扣除非经常性损益后的基本每股收益（元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股）</w:t>
            </w:r>
          </w:p>
        </w:tc>
        <w:tc>
          <w:tcPr>
            <w:tcW w:w="860" w:type="pct"/>
            <w:shd w:val="clear" w:color="auto" w:fill="auto"/>
            <w:tcMar>
              <w:top w:w="0" w:type="dxa"/>
              <w:left w:w="108" w:type="dxa"/>
              <w:bottom w:w="0" w:type="dxa"/>
              <w:right w:w="108" w:type="dxa"/>
            </w:tcMar>
            <w:vAlign w:val="center"/>
          </w:tcPr>
          <w:p w14:paraId="5E5C6B6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-0.13</w:t>
            </w:r>
          </w:p>
        </w:tc>
        <w:tc>
          <w:tcPr>
            <w:tcW w:w="775" w:type="pct"/>
            <w:shd w:val="clear" w:color="auto" w:fill="auto"/>
            <w:tcMar>
              <w:top w:w="0" w:type="dxa"/>
              <w:left w:w="108" w:type="dxa"/>
              <w:bottom w:w="0" w:type="dxa"/>
              <w:right w:w="108" w:type="dxa"/>
            </w:tcMar>
            <w:vAlign w:val="center"/>
          </w:tcPr>
          <w:p w14:paraId="1A9085F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-0.08</w:t>
            </w:r>
          </w:p>
        </w:tc>
        <w:tc>
          <w:tcPr>
            <w:tcW w:w="859" w:type="pct"/>
            <w:shd w:val="clear" w:color="auto" w:fill="auto"/>
            <w:tcMar>
              <w:top w:w="0" w:type="dxa"/>
              <w:left w:w="108" w:type="dxa"/>
              <w:bottom w:w="0" w:type="dxa"/>
              <w:right w:w="108" w:type="dxa"/>
            </w:tcMar>
            <w:vAlign w:val="center"/>
          </w:tcPr>
          <w:p w14:paraId="357015C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-1.59</w:t>
            </w:r>
          </w:p>
        </w:tc>
        <w:tc>
          <w:tcPr>
            <w:tcW w:w="880" w:type="pct"/>
            <w:shd w:val="clear" w:color="auto" w:fill="auto"/>
            <w:tcMar>
              <w:top w:w="0" w:type="dxa"/>
              <w:left w:w="108" w:type="dxa"/>
              <w:bottom w:w="0" w:type="dxa"/>
              <w:right w:w="108" w:type="dxa"/>
            </w:tcMar>
            <w:vAlign w:val="center"/>
          </w:tcPr>
          <w:p w14:paraId="27FFF38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-1.04</w:t>
            </w:r>
          </w:p>
        </w:tc>
      </w:tr>
      <w:tr w:rsidR="006416B0" w:rsidRPr="00B4515A" w14:paraId="0F881F3E"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7C6A8155"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稀释每股收益（元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股）</w:t>
            </w:r>
          </w:p>
        </w:tc>
        <w:tc>
          <w:tcPr>
            <w:tcW w:w="860" w:type="pct"/>
            <w:shd w:val="clear" w:color="auto" w:fill="auto"/>
            <w:tcMar>
              <w:top w:w="0" w:type="dxa"/>
              <w:left w:w="108" w:type="dxa"/>
              <w:bottom w:w="0" w:type="dxa"/>
              <w:right w:w="108" w:type="dxa"/>
            </w:tcMar>
            <w:vAlign w:val="center"/>
          </w:tcPr>
          <w:p w14:paraId="1CF09AC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-0.11</w:t>
            </w:r>
          </w:p>
        </w:tc>
        <w:tc>
          <w:tcPr>
            <w:tcW w:w="775" w:type="pct"/>
            <w:shd w:val="clear" w:color="auto" w:fill="auto"/>
            <w:tcMar>
              <w:top w:w="0" w:type="dxa"/>
              <w:left w:w="108" w:type="dxa"/>
              <w:bottom w:w="0" w:type="dxa"/>
              <w:right w:w="108" w:type="dxa"/>
            </w:tcMar>
            <w:vAlign w:val="center"/>
          </w:tcPr>
          <w:p w14:paraId="556DC82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-0.07</w:t>
            </w:r>
          </w:p>
        </w:tc>
        <w:tc>
          <w:tcPr>
            <w:tcW w:w="859" w:type="pct"/>
            <w:shd w:val="clear" w:color="auto" w:fill="auto"/>
            <w:tcMar>
              <w:top w:w="0" w:type="dxa"/>
              <w:left w:w="108" w:type="dxa"/>
              <w:bottom w:w="0" w:type="dxa"/>
              <w:right w:w="108" w:type="dxa"/>
            </w:tcMar>
            <w:vAlign w:val="center"/>
          </w:tcPr>
          <w:p w14:paraId="6FA3C16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-1.55</w:t>
            </w:r>
          </w:p>
        </w:tc>
        <w:tc>
          <w:tcPr>
            <w:tcW w:w="880" w:type="pct"/>
            <w:shd w:val="clear" w:color="auto" w:fill="auto"/>
            <w:tcMar>
              <w:top w:w="0" w:type="dxa"/>
              <w:left w:w="108" w:type="dxa"/>
              <w:bottom w:w="0" w:type="dxa"/>
              <w:right w:w="108" w:type="dxa"/>
            </w:tcMar>
            <w:vAlign w:val="center"/>
          </w:tcPr>
          <w:p w14:paraId="783E77D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-1.01</w:t>
            </w:r>
          </w:p>
        </w:tc>
      </w:tr>
      <w:tr w:rsidR="006416B0" w:rsidRPr="00B4515A" w14:paraId="415B504F"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7423408C"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扣除非经常性损益后的稀释每股收益（元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股）</w:t>
            </w:r>
          </w:p>
        </w:tc>
        <w:tc>
          <w:tcPr>
            <w:tcW w:w="860" w:type="pct"/>
            <w:shd w:val="clear" w:color="auto" w:fill="auto"/>
            <w:tcMar>
              <w:top w:w="0" w:type="dxa"/>
              <w:left w:w="108" w:type="dxa"/>
              <w:bottom w:w="0" w:type="dxa"/>
              <w:right w:w="108" w:type="dxa"/>
            </w:tcMar>
            <w:vAlign w:val="center"/>
          </w:tcPr>
          <w:p w14:paraId="07702F7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-0.13</w:t>
            </w:r>
          </w:p>
        </w:tc>
        <w:tc>
          <w:tcPr>
            <w:tcW w:w="775" w:type="pct"/>
            <w:shd w:val="clear" w:color="auto" w:fill="auto"/>
            <w:tcMar>
              <w:top w:w="0" w:type="dxa"/>
              <w:left w:w="108" w:type="dxa"/>
              <w:bottom w:w="0" w:type="dxa"/>
              <w:right w:w="108" w:type="dxa"/>
            </w:tcMar>
            <w:vAlign w:val="center"/>
          </w:tcPr>
          <w:p w14:paraId="75D91A8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-0.07</w:t>
            </w:r>
          </w:p>
        </w:tc>
        <w:tc>
          <w:tcPr>
            <w:tcW w:w="859" w:type="pct"/>
            <w:shd w:val="clear" w:color="auto" w:fill="auto"/>
            <w:tcMar>
              <w:top w:w="0" w:type="dxa"/>
              <w:left w:w="108" w:type="dxa"/>
              <w:bottom w:w="0" w:type="dxa"/>
              <w:right w:w="108" w:type="dxa"/>
            </w:tcMar>
            <w:vAlign w:val="center"/>
          </w:tcPr>
          <w:p w14:paraId="24DB9F6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-1.59</w:t>
            </w:r>
          </w:p>
        </w:tc>
        <w:tc>
          <w:tcPr>
            <w:tcW w:w="880" w:type="pct"/>
            <w:shd w:val="clear" w:color="auto" w:fill="auto"/>
            <w:tcMar>
              <w:top w:w="0" w:type="dxa"/>
              <w:left w:w="108" w:type="dxa"/>
              <w:bottom w:w="0" w:type="dxa"/>
              <w:right w:w="108" w:type="dxa"/>
            </w:tcMar>
            <w:vAlign w:val="center"/>
          </w:tcPr>
          <w:p w14:paraId="187E53A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-1.04</w:t>
            </w:r>
          </w:p>
        </w:tc>
      </w:tr>
    </w:tbl>
    <w:p w14:paraId="6724B419" w14:textId="77777777" w:rsidR="006416B0" w:rsidRPr="00B4515A" w:rsidRDefault="005E58C1" w:rsidP="005860B4">
      <w:pPr>
        <w:pStyle w:val="005"/>
        <w:spacing w:before="120" w:after="120"/>
        <w:ind w:firstLine="480"/>
      </w:pPr>
      <w:r w:rsidRPr="00B4515A">
        <w:t>根据上表，本次交易后上市公司每股收益将较交易前有所升高。本次重大资产重组提升了上市公司的盈利能力，上市公司将注入盈利能力更强、增长前景较好的业务，上市公司股东利益将得到充分保障。</w:t>
      </w:r>
    </w:p>
    <w:p w14:paraId="061E1547" w14:textId="77777777" w:rsidR="006416B0" w:rsidRPr="00B4515A" w:rsidRDefault="005E58C1" w:rsidP="005860B4">
      <w:pPr>
        <w:pStyle w:val="005"/>
        <w:spacing w:before="120" w:after="120"/>
        <w:ind w:firstLine="480"/>
      </w:pPr>
      <w:r w:rsidRPr="00B4515A">
        <w:t>根据测算结果，本次重组完成当年预计不会出现即期回报被摊薄的情况，但并不能完全排除其未来盈利能力不及预期的可能。为维护公司和全体股东的合法权益，公司若出现即期回报被摊薄的情况，公司拟采取以下填补措施，增强公司持续盈利能力</w:t>
      </w:r>
      <w:r w:rsidRPr="00B4515A">
        <w:rPr>
          <w:rFonts w:hint="eastAsia"/>
        </w:rPr>
        <w:t>，公司承诺</w:t>
      </w:r>
      <w:r w:rsidRPr="00B4515A">
        <w:t>：</w:t>
      </w:r>
    </w:p>
    <w:p w14:paraId="4B22F160" w14:textId="77777777" w:rsidR="006416B0" w:rsidRPr="00B4515A" w:rsidRDefault="005E58C1" w:rsidP="005860B4">
      <w:pPr>
        <w:pStyle w:val="005"/>
        <w:spacing w:before="120" w:after="120"/>
        <w:ind w:firstLine="480"/>
      </w:pPr>
      <w:r w:rsidRPr="00B4515A">
        <w:rPr>
          <w:rFonts w:ascii="宋体" w:hAnsi="宋体" w:hint="eastAsia"/>
        </w:rPr>
        <w:t>“</w:t>
      </w:r>
      <w:r w:rsidRPr="00B4515A">
        <w:t>1</w:t>
      </w:r>
      <w:r w:rsidRPr="00B4515A">
        <w:t>、加快与目标公司的整合，增强综合竞争优势和持续盈利能力</w:t>
      </w:r>
    </w:p>
    <w:p w14:paraId="1692CCA4" w14:textId="77777777" w:rsidR="006416B0" w:rsidRPr="00B4515A" w:rsidRDefault="005E58C1" w:rsidP="005860B4">
      <w:pPr>
        <w:pStyle w:val="005"/>
        <w:spacing w:before="120" w:after="120"/>
        <w:ind w:firstLine="480"/>
      </w:pPr>
      <w:r w:rsidRPr="00B4515A">
        <w:t>本次交易完成后，上市公司将加快对目标公司的整合，充分发挥上市公司与目标公司之间的协同效应，共同增强综合竞争优势，从而提升上市公司及全体股东的长远利益，提高上市公司的可持续发展能力及盈利能力。</w:t>
      </w:r>
    </w:p>
    <w:p w14:paraId="18C15E1C" w14:textId="77777777" w:rsidR="006416B0" w:rsidRPr="00B4515A" w:rsidRDefault="005E58C1" w:rsidP="005860B4">
      <w:pPr>
        <w:pStyle w:val="005"/>
        <w:spacing w:before="120" w:after="120"/>
        <w:ind w:firstLine="480"/>
      </w:pPr>
      <w:r w:rsidRPr="00B4515A">
        <w:t>2</w:t>
      </w:r>
      <w:r w:rsidRPr="00B4515A">
        <w:t>、切实履行《业绩承诺与补偿协议》的相关约定</w:t>
      </w:r>
    </w:p>
    <w:p w14:paraId="4D442A4B" w14:textId="77777777" w:rsidR="006416B0" w:rsidRPr="00B4515A" w:rsidRDefault="005E58C1" w:rsidP="005860B4">
      <w:pPr>
        <w:pStyle w:val="005"/>
        <w:spacing w:before="120" w:after="120"/>
        <w:ind w:firstLine="480"/>
      </w:pPr>
      <w:r w:rsidRPr="00B4515A">
        <w:rPr>
          <w:rFonts w:hint="eastAsia"/>
        </w:rPr>
        <w:t>为充分维护上市公司及中小股东的利益，上市公司与业绩承诺方签订了</w:t>
      </w:r>
      <w:r w:rsidRPr="00B4515A">
        <w:t>《业</w:t>
      </w:r>
      <w:r w:rsidRPr="00B4515A">
        <w:lastRenderedPageBreak/>
        <w:t>绩承诺与补偿协议》</w:t>
      </w:r>
      <w:r w:rsidRPr="00B4515A">
        <w:rPr>
          <w:rFonts w:hint="eastAsia"/>
        </w:rPr>
        <w:t>。</w:t>
      </w:r>
      <w:r w:rsidRPr="00B4515A">
        <w:t>当目标公司出现业绩承诺期内实现净利润低于承诺净利润的情形，上市公司将严格按照《业绩承诺与补偿协议》的相关约定，督促业绩承诺方严格遵照《业绩承诺与补偿协议》履行补偿义务，对上市公司进行补偿，切实维护上市公司广大投资者的利益。</w:t>
      </w:r>
    </w:p>
    <w:p w14:paraId="4B175C15" w14:textId="77777777" w:rsidR="006416B0" w:rsidRPr="00B4515A" w:rsidRDefault="005E58C1" w:rsidP="005860B4">
      <w:pPr>
        <w:pStyle w:val="005"/>
        <w:spacing w:before="120" w:after="120"/>
        <w:ind w:firstLine="480"/>
      </w:pPr>
      <w:r w:rsidRPr="00B4515A">
        <w:t>3</w:t>
      </w:r>
      <w:r w:rsidRPr="00B4515A">
        <w:rPr>
          <w:rFonts w:hint="eastAsia"/>
        </w:rPr>
        <w:t>、继续完善公司治理，提高公司运营效率</w:t>
      </w:r>
    </w:p>
    <w:p w14:paraId="5A346D7D" w14:textId="77777777" w:rsidR="006416B0" w:rsidRPr="00B4515A" w:rsidRDefault="005E58C1" w:rsidP="005860B4">
      <w:pPr>
        <w:pStyle w:val="005"/>
        <w:spacing w:before="120" w:after="120"/>
        <w:ind w:firstLine="480"/>
      </w:pPr>
      <w:r w:rsidRPr="00B4515A">
        <w:rPr>
          <w:rFonts w:hint="eastAsia"/>
        </w:rPr>
        <w:t>本次交易前，上市公司已经根据《公司法》、《上市公司治理准则》、《企业内部控制基本规范》等法律法规，建立了较为完善、健全的公司法人治理结构和内部控制制度管理体系，初步形成了设置合理、运行有效、权责分明、运作良好的公司治理与经营框架，保证了上市公司各项经营活动的正常有序进行。本次交易完成后，上市公司将进一步完善治理结构，进一步提高经营和管理水平，完善并强化投资决策、内部控制程序，加强成本管控，强化执行监督，全面有效地提高上市公司运营效率。</w:t>
      </w:r>
    </w:p>
    <w:p w14:paraId="285948C7" w14:textId="77777777" w:rsidR="006416B0" w:rsidRPr="00B4515A" w:rsidRDefault="005E58C1" w:rsidP="005860B4">
      <w:pPr>
        <w:pStyle w:val="005"/>
        <w:spacing w:before="120" w:after="120"/>
        <w:ind w:firstLine="480"/>
      </w:pPr>
      <w:r w:rsidRPr="00B4515A">
        <w:t>4</w:t>
      </w:r>
      <w:r w:rsidRPr="00B4515A">
        <w:t>、</w:t>
      </w:r>
      <w:r w:rsidRPr="00B4515A">
        <w:rPr>
          <w:rFonts w:hint="eastAsia"/>
        </w:rPr>
        <w:t>严格遵守并不断完善上市公司利润分配政策，强化投资者分红回报</w:t>
      </w:r>
    </w:p>
    <w:p w14:paraId="0449B125" w14:textId="77777777" w:rsidR="006416B0" w:rsidRPr="00B4515A" w:rsidRDefault="005E58C1" w:rsidP="005860B4">
      <w:pPr>
        <w:pStyle w:val="005"/>
        <w:spacing w:before="120" w:after="120"/>
        <w:ind w:firstLine="480"/>
      </w:pPr>
      <w:r w:rsidRPr="00B4515A">
        <w:t>实行积极的利润分配政策。本次交易完成后，上市公司将根据中国证监会《关于进一步落实上市公司现金分红有关事项的通知》及《上市公司监管指引第</w:t>
      </w:r>
      <w:r w:rsidRPr="00B4515A">
        <w:t>3</w:t>
      </w:r>
      <w:r w:rsidRPr="00B4515A">
        <w:t>号</w:t>
      </w:r>
      <w:r w:rsidRPr="00B4515A">
        <w:t>——</w:t>
      </w:r>
      <w:r w:rsidRPr="00B4515A">
        <w:t>上市公司现金分红》等规定，</w:t>
      </w:r>
      <w:r w:rsidRPr="00B4515A">
        <w:rPr>
          <w:rFonts w:hint="eastAsia"/>
        </w:rPr>
        <w:t>严格执行现行分红政策，在符合条件的情况下积极推动对广大股东的利润分配以及现金分红，提升股东回报水平。</w:t>
      </w:r>
    </w:p>
    <w:p w14:paraId="1A1D8A6C" w14:textId="77777777" w:rsidR="006416B0" w:rsidRPr="00B4515A" w:rsidRDefault="005E58C1" w:rsidP="005860B4">
      <w:pPr>
        <w:pStyle w:val="005"/>
        <w:spacing w:before="120" w:after="120"/>
        <w:ind w:firstLine="480"/>
      </w:pPr>
      <w:r w:rsidRPr="00B4515A">
        <w:t>5</w:t>
      </w:r>
      <w:r w:rsidRPr="00B4515A">
        <w:t>、</w:t>
      </w:r>
      <w:r w:rsidRPr="00B4515A">
        <w:rPr>
          <w:rFonts w:hint="eastAsia"/>
        </w:rPr>
        <w:t>加强募集资金的管理和运用</w:t>
      </w:r>
    </w:p>
    <w:p w14:paraId="7A540AA0" w14:textId="73CA7FC4" w:rsidR="006416B0" w:rsidRPr="00B4515A" w:rsidRDefault="005E58C1" w:rsidP="005860B4">
      <w:pPr>
        <w:pStyle w:val="005"/>
        <w:spacing w:before="120" w:after="120"/>
        <w:ind w:firstLine="480"/>
      </w:pPr>
      <w:r w:rsidRPr="00B4515A">
        <w:t>本次募集配套资金到位后，上市公司将严格按照《上市公司监管指引</w:t>
      </w:r>
      <w:r w:rsidRPr="00B4515A">
        <w:t>2</w:t>
      </w:r>
      <w:r w:rsidRPr="00B4515A">
        <w:t>号</w:t>
      </w:r>
      <w:r w:rsidRPr="00B4515A">
        <w:t>—</w:t>
      </w:r>
      <w:r w:rsidRPr="00B4515A">
        <w:t>上市公司募集资金管理和使用的监管要求》、《上海证券交易所股票上市规则》、以及大唐电信《募集资金使用管理办法》等规定，加强募集资金使用的管理。上市公司董事会将持续监督对募集资金的专户存储，保障募集资金按顺序用于规定的用途，配合</w:t>
      </w:r>
      <w:r w:rsidR="000409D6" w:rsidRPr="00B4515A">
        <w:rPr>
          <w:rFonts w:hint="eastAsia"/>
        </w:rPr>
        <w:t>独立财务顾问</w:t>
      </w:r>
      <w:r w:rsidRPr="00B4515A">
        <w:t>等</w:t>
      </w:r>
      <w:r w:rsidR="000409D6" w:rsidRPr="00B4515A">
        <w:rPr>
          <w:rFonts w:hint="eastAsia"/>
        </w:rPr>
        <w:t>相关机构</w:t>
      </w:r>
      <w:r w:rsidRPr="00B4515A">
        <w:t>对募集资金使用的检查和监督，以保证募集资金合理规范使用，防范募集资金使用风险，以保证募集资金投资项目的顺利推进，早日实现预期收益。</w:t>
      </w:r>
      <w:r w:rsidRPr="00B4515A">
        <w:rPr>
          <w:rFonts w:ascii="宋体" w:hAnsi="宋体" w:hint="eastAsia"/>
        </w:rPr>
        <w:t>”</w:t>
      </w:r>
    </w:p>
    <w:p w14:paraId="0528A194" w14:textId="77777777" w:rsidR="006416B0" w:rsidRPr="00B4515A" w:rsidRDefault="005E58C1" w:rsidP="005860B4">
      <w:pPr>
        <w:pStyle w:val="005"/>
        <w:spacing w:before="120" w:after="120"/>
        <w:ind w:firstLine="480"/>
      </w:pPr>
      <w:r w:rsidRPr="00B4515A">
        <w:t>上市公司全体董事及高级管理人员将忠实、勤勉的履行职责，维护公司和全体股东的合法权益，并对公司填补摊薄即期回报措施能够得到切实履行作出以下承诺：</w:t>
      </w:r>
    </w:p>
    <w:p w14:paraId="02CB4B37" w14:textId="77777777" w:rsidR="006416B0" w:rsidRPr="00B4515A" w:rsidRDefault="005E58C1" w:rsidP="005860B4">
      <w:pPr>
        <w:pStyle w:val="005"/>
        <w:spacing w:before="120" w:after="120"/>
        <w:ind w:firstLine="480"/>
      </w:pPr>
      <w:r w:rsidRPr="00B4515A">
        <w:rPr>
          <w:rFonts w:ascii="宋体" w:hAnsi="宋体" w:hint="eastAsia"/>
        </w:rPr>
        <w:lastRenderedPageBreak/>
        <w:t>“</w:t>
      </w:r>
      <w:r w:rsidRPr="00B4515A">
        <w:t>1</w:t>
      </w:r>
      <w:r w:rsidRPr="00B4515A">
        <w:t>、本人承诺忠实、勤勉地履行职责，维护上市公司和全体股东的合法权益。</w:t>
      </w:r>
    </w:p>
    <w:p w14:paraId="4C11230B" w14:textId="77777777" w:rsidR="006416B0" w:rsidRPr="00B4515A" w:rsidRDefault="005E58C1" w:rsidP="005860B4">
      <w:pPr>
        <w:pStyle w:val="005"/>
        <w:spacing w:before="120" w:after="120"/>
        <w:ind w:firstLine="480"/>
      </w:pPr>
      <w:r w:rsidRPr="00B4515A">
        <w:t>2</w:t>
      </w:r>
      <w:r w:rsidRPr="00B4515A">
        <w:t>、本人承诺不无偿或以不公平条件向其他单位或者个人输送利益，也不采用其他方式损害上市公司利益。</w:t>
      </w:r>
    </w:p>
    <w:p w14:paraId="487A4154" w14:textId="77777777" w:rsidR="006416B0" w:rsidRPr="00B4515A" w:rsidRDefault="005E58C1" w:rsidP="005860B4">
      <w:pPr>
        <w:pStyle w:val="005"/>
        <w:spacing w:before="120" w:after="120"/>
        <w:ind w:firstLine="480"/>
      </w:pPr>
      <w:r w:rsidRPr="00B4515A">
        <w:t>3</w:t>
      </w:r>
      <w:r w:rsidRPr="00B4515A">
        <w:t>、本人承诺对本人的职务消费行为进行约束。</w:t>
      </w:r>
    </w:p>
    <w:p w14:paraId="15290650" w14:textId="77777777" w:rsidR="006416B0" w:rsidRPr="00B4515A" w:rsidRDefault="005E58C1" w:rsidP="005860B4">
      <w:pPr>
        <w:pStyle w:val="005"/>
        <w:spacing w:before="120" w:after="120"/>
        <w:ind w:firstLine="480"/>
      </w:pPr>
      <w:r w:rsidRPr="00B4515A">
        <w:t>4</w:t>
      </w:r>
      <w:r w:rsidRPr="00B4515A">
        <w:t>、本人承诺不动用上市公司资产从事与履行职责无关的投资、消费活动。</w:t>
      </w:r>
    </w:p>
    <w:p w14:paraId="61E3F9E3" w14:textId="77777777" w:rsidR="006416B0" w:rsidRPr="00B4515A" w:rsidRDefault="005E58C1" w:rsidP="005860B4">
      <w:pPr>
        <w:pStyle w:val="005"/>
        <w:spacing w:before="120" w:after="120"/>
        <w:ind w:firstLine="480"/>
      </w:pPr>
      <w:r w:rsidRPr="00B4515A">
        <w:t>5</w:t>
      </w:r>
      <w:r w:rsidRPr="00B4515A">
        <w:t>、本人承诺在自身职责和权限范围内，全力促使上市公司董事会或者薪酬与考核委员会制定的薪酬制度与上市公司填补回报措施的执行情况相挂钩。</w:t>
      </w:r>
    </w:p>
    <w:p w14:paraId="01F6569B" w14:textId="77777777" w:rsidR="006416B0" w:rsidRPr="00B4515A" w:rsidRDefault="005E58C1" w:rsidP="005860B4">
      <w:pPr>
        <w:pStyle w:val="005"/>
        <w:spacing w:before="120" w:after="120"/>
        <w:ind w:firstLine="480"/>
      </w:pPr>
      <w:r w:rsidRPr="00B4515A">
        <w:t>6</w:t>
      </w:r>
      <w:r w:rsidRPr="00B4515A">
        <w:t>、</w:t>
      </w:r>
      <w:r w:rsidRPr="00B4515A">
        <w:rPr>
          <w:rFonts w:hint="eastAsia"/>
        </w:rPr>
        <w:t>若上市公司后续推出股权激励政策，</w:t>
      </w:r>
      <w:r w:rsidRPr="00B4515A">
        <w:t>本人承诺在自身职责和权限范围内，全力促使</w:t>
      </w:r>
      <w:r w:rsidRPr="00B4515A">
        <w:rPr>
          <w:rFonts w:hint="eastAsia"/>
        </w:rPr>
        <w:t>股权激励的</w:t>
      </w:r>
      <w:r w:rsidRPr="00B4515A">
        <w:t>行权条件与上市公司填补回报措施的执行情况相挂钩。</w:t>
      </w:r>
    </w:p>
    <w:p w14:paraId="62652351" w14:textId="77777777" w:rsidR="006416B0" w:rsidRPr="00B4515A" w:rsidRDefault="005E58C1" w:rsidP="005860B4">
      <w:pPr>
        <w:pStyle w:val="005"/>
        <w:spacing w:before="120" w:after="120"/>
        <w:ind w:firstLine="480"/>
      </w:pPr>
      <w:r w:rsidRPr="00B4515A">
        <w:t>7</w:t>
      </w:r>
      <w:r w:rsidRPr="00B4515A">
        <w:t>、</w:t>
      </w:r>
      <w:r w:rsidRPr="00B4515A">
        <w:rPr>
          <w:rFonts w:hint="eastAsia"/>
        </w:rPr>
        <w:t>在中国证监会、上海证券交易所另行发布填补摊薄即期回报措施及其承诺的相关意见及实施细则后，如果上市公司的相关规定及本人承诺与该等规定不符时，本人承诺将立即按照中国证监会及上海证券交易所的规定出具补充承诺，并积极推进上市公司制定新的规定，以符合中国证监会及上海证券交易所的要求。</w:t>
      </w:r>
    </w:p>
    <w:p w14:paraId="5D08BE4E" w14:textId="77777777" w:rsidR="006416B0" w:rsidRPr="00B4515A" w:rsidRDefault="005E58C1" w:rsidP="005860B4">
      <w:pPr>
        <w:pStyle w:val="005"/>
        <w:spacing w:before="120" w:after="120"/>
        <w:ind w:firstLine="480"/>
      </w:pPr>
      <w:r w:rsidRPr="00B4515A">
        <w:t>8</w:t>
      </w:r>
      <w:r w:rsidRPr="00B4515A">
        <w:rPr>
          <w:rFonts w:hint="eastAsia"/>
        </w:rPr>
        <w:t>、</w:t>
      </w:r>
      <w:r w:rsidRPr="00B4515A">
        <w:t>本人承诺切实履行上市公司制定的有关填补回报措施以及本人对此作出的任何有关填补回报措施的承诺，若本人违反该等承诺并给上市公司或者投资者造成损失的，本人愿意依法承担对上市公司或者投资者的补偿责任。</w:t>
      </w:r>
      <w:r w:rsidRPr="00B4515A">
        <w:rPr>
          <w:rFonts w:ascii="宋体" w:hAnsi="宋体" w:hint="eastAsia"/>
        </w:rPr>
        <w:t>”</w:t>
      </w:r>
      <w:bookmarkEnd w:id="50"/>
    </w:p>
    <w:p w14:paraId="3379AC0D" w14:textId="77777777" w:rsidR="006416B0" w:rsidRPr="00B4515A" w:rsidRDefault="005E58C1" w:rsidP="005860B4">
      <w:pPr>
        <w:pStyle w:val="005"/>
        <w:spacing w:before="120" w:after="120"/>
        <w:ind w:firstLine="480"/>
      </w:pPr>
      <w:r w:rsidRPr="00B4515A">
        <w:t>上市公司控股股东为</w:t>
      </w:r>
      <w:r w:rsidRPr="00B4515A">
        <w:rPr>
          <w:rFonts w:hint="eastAsia"/>
        </w:rPr>
        <w:t>电信科学技术研究院有限公司</w:t>
      </w:r>
      <w:r w:rsidRPr="00B4515A">
        <w:t>。为保障公司填补被摊薄即期回报措施能够得到切实履行，维护中小投资者利益，</w:t>
      </w:r>
      <w:r w:rsidRPr="00B4515A">
        <w:rPr>
          <w:rFonts w:hint="eastAsia"/>
        </w:rPr>
        <w:t>电信科学技术研究院有限公司</w:t>
      </w:r>
      <w:r w:rsidRPr="00B4515A">
        <w:t>及其控股股东</w:t>
      </w:r>
      <w:r w:rsidRPr="00B4515A">
        <w:rPr>
          <w:rFonts w:hint="eastAsia"/>
        </w:rPr>
        <w:t>中国信息通信科技集团有限公司分别</w:t>
      </w:r>
      <w:r w:rsidRPr="00B4515A">
        <w:t>做出以下承诺</w:t>
      </w:r>
      <w:r w:rsidRPr="00B4515A">
        <w:rPr>
          <w:rFonts w:hint="eastAsia"/>
        </w:rPr>
        <w:t>。</w:t>
      </w:r>
    </w:p>
    <w:p w14:paraId="5DCA2FE9" w14:textId="77777777" w:rsidR="006416B0" w:rsidRPr="00B4515A" w:rsidRDefault="005E58C1" w:rsidP="005860B4">
      <w:pPr>
        <w:pStyle w:val="005"/>
        <w:spacing w:before="120" w:after="120"/>
        <w:ind w:firstLine="480"/>
      </w:pPr>
      <w:r w:rsidRPr="00B4515A">
        <w:rPr>
          <w:rFonts w:hint="eastAsia"/>
        </w:rPr>
        <w:t>电信科学技术研究院承诺：</w:t>
      </w:r>
    </w:p>
    <w:p w14:paraId="309CD889" w14:textId="77777777" w:rsidR="006416B0" w:rsidRPr="00B4515A" w:rsidRDefault="005E58C1" w:rsidP="005860B4">
      <w:pPr>
        <w:pStyle w:val="005"/>
        <w:spacing w:before="120" w:after="120"/>
        <w:ind w:firstLine="480"/>
      </w:pPr>
      <w:r w:rsidRPr="00B4515A">
        <w:rPr>
          <w:rFonts w:ascii="宋体" w:hAnsi="宋体" w:hint="eastAsia"/>
        </w:rPr>
        <w:t>“</w:t>
      </w:r>
      <w:r w:rsidRPr="00B4515A">
        <w:rPr>
          <w:rFonts w:hint="eastAsia"/>
        </w:rPr>
        <w:t>1</w:t>
      </w:r>
      <w:r w:rsidRPr="00B4515A">
        <w:rPr>
          <w:rFonts w:hint="eastAsia"/>
        </w:rPr>
        <w:t>、继续保证上市公司的独立性，不越权干预上市公司经营管理活动，不侵占上市公司利益。</w:t>
      </w:r>
    </w:p>
    <w:p w14:paraId="0C2BBFE9" w14:textId="77777777" w:rsidR="006416B0" w:rsidRPr="00B4515A" w:rsidRDefault="005E58C1" w:rsidP="005860B4">
      <w:pPr>
        <w:pStyle w:val="005"/>
        <w:spacing w:before="120" w:after="120"/>
        <w:ind w:firstLine="480"/>
      </w:pPr>
      <w:r w:rsidRPr="00B4515A">
        <w:rPr>
          <w:rFonts w:hint="eastAsia"/>
        </w:rPr>
        <w:t>2</w:t>
      </w:r>
      <w:r w:rsidRPr="00B4515A">
        <w:rPr>
          <w:rFonts w:hint="eastAsia"/>
        </w:rPr>
        <w:t>、自本承诺出具之日起至本次交易实施完毕前，若中国证监会作出关于填补回报措施及其承诺的其他新的监管规定的，且上述承诺不能满足中国证监会该等规定时，承诺届时将按照中国证监会的最新规定出具补充承诺。</w:t>
      </w:r>
    </w:p>
    <w:p w14:paraId="056E13B5" w14:textId="77777777" w:rsidR="006416B0" w:rsidRPr="00B4515A" w:rsidRDefault="005E58C1" w:rsidP="005860B4">
      <w:pPr>
        <w:pStyle w:val="005"/>
        <w:spacing w:before="120" w:after="120"/>
        <w:ind w:firstLine="480"/>
      </w:pPr>
      <w:r w:rsidRPr="00B4515A">
        <w:rPr>
          <w:rFonts w:hint="eastAsia"/>
        </w:rPr>
        <w:t>3</w:t>
      </w:r>
      <w:r w:rsidRPr="00B4515A">
        <w:rPr>
          <w:rFonts w:hint="eastAsia"/>
        </w:rPr>
        <w:t>、承诺切实履行上市公司制定的有关防范即期回报被摊薄措施以及本公司</w:t>
      </w:r>
      <w:r w:rsidRPr="00B4515A">
        <w:rPr>
          <w:rFonts w:hint="eastAsia"/>
        </w:rPr>
        <w:lastRenderedPageBreak/>
        <w:t>对此作出的任何有关防范即期回报被摊薄措施的承诺，若违反该等承诺并给上市公司或者投资者造成损失的，愿意依法承担对上市公司或者投资者的补偿责任。</w:t>
      </w:r>
      <w:r w:rsidRPr="00B4515A">
        <w:rPr>
          <w:rFonts w:ascii="宋体" w:hAnsi="宋体" w:hint="eastAsia"/>
        </w:rPr>
        <w:t>”</w:t>
      </w:r>
    </w:p>
    <w:p w14:paraId="6AF6B3DC" w14:textId="77777777" w:rsidR="006416B0" w:rsidRPr="00B4515A" w:rsidRDefault="005E58C1" w:rsidP="005860B4">
      <w:pPr>
        <w:pStyle w:val="005"/>
        <w:spacing w:before="120" w:after="120"/>
        <w:ind w:firstLine="480"/>
      </w:pPr>
      <w:r w:rsidRPr="00B4515A">
        <w:rPr>
          <w:rFonts w:hint="eastAsia"/>
        </w:rPr>
        <w:t>中国信息通信科技集团有限公司承诺：</w:t>
      </w:r>
    </w:p>
    <w:p w14:paraId="155EE61A" w14:textId="77777777" w:rsidR="006416B0" w:rsidRPr="00B4515A" w:rsidRDefault="005E58C1" w:rsidP="005860B4">
      <w:pPr>
        <w:pStyle w:val="005"/>
        <w:spacing w:before="120" w:after="120"/>
        <w:ind w:firstLine="480"/>
      </w:pPr>
      <w:r w:rsidRPr="00B4515A">
        <w:rPr>
          <w:rFonts w:ascii="宋体" w:hAnsi="宋体" w:hint="eastAsia"/>
        </w:rPr>
        <w:t>“</w:t>
      </w:r>
      <w:r w:rsidRPr="00B4515A">
        <w:rPr>
          <w:rFonts w:hint="eastAsia"/>
        </w:rPr>
        <w:t>1</w:t>
      </w:r>
      <w:r w:rsidRPr="00B4515A">
        <w:rPr>
          <w:rFonts w:hint="eastAsia"/>
        </w:rPr>
        <w:t>、继续保证上市公司的独立性，不越权干预上市公司经营管理活动，不侵占上市公司利益。</w:t>
      </w:r>
    </w:p>
    <w:p w14:paraId="74AE2B90" w14:textId="77777777" w:rsidR="006416B0" w:rsidRPr="00B4515A" w:rsidRDefault="005E58C1" w:rsidP="005860B4">
      <w:pPr>
        <w:pStyle w:val="005"/>
        <w:spacing w:before="120" w:after="120"/>
        <w:ind w:firstLine="480"/>
      </w:pPr>
      <w:r w:rsidRPr="00B4515A">
        <w:rPr>
          <w:rFonts w:hint="eastAsia"/>
        </w:rPr>
        <w:t>2</w:t>
      </w:r>
      <w:r w:rsidRPr="00B4515A">
        <w:rPr>
          <w:rFonts w:hint="eastAsia"/>
        </w:rPr>
        <w:t>、自本承诺出具之日起至本次交易实施完毕前，若中国证监会、上海证券交易所作出关于填补回报措施及其承诺的其他新的监管规定的，且上述承诺不能满足中国证监会、上海证券交易所该等规定时，承诺届时将按照中国证监会、上海证券交易所的最新规定出具补充承诺。</w:t>
      </w:r>
    </w:p>
    <w:p w14:paraId="58CA3563" w14:textId="77777777" w:rsidR="006416B0" w:rsidRPr="00B4515A" w:rsidRDefault="005E58C1" w:rsidP="005860B4">
      <w:pPr>
        <w:pStyle w:val="005"/>
        <w:spacing w:before="120" w:after="120"/>
        <w:ind w:firstLine="480"/>
        <w:rPr>
          <w:b/>
        </w:rPr>
      </w:pPr>
      <w:r w:rsidRPr="00B4515A">
        <w:rPr>
          <w:rFonts w:hint="eastAsia"/>
        </w:rPr>
        <w:t>3</w:t>
      </w:r>
      <w:r w:rsidRPr="00B4515A">
        <w:rPr>
          <w:rFonts w:hint="eastAsia"/>
        </w:rPr>
        <w:t>、承诺切实履行上市公司制定的有关防范即期回报被摊薄措施以及本公司对此作出的任何有关防范即期回报被摊薄措施的承诺，若违反该等承诺并给上市公司或者投资者造成损失的，愿意依法承担对上市公司或者投资者的补偿责任。</w:t>
      </w:r>
      <w:r w:rsidRPr="00B4515A">
        <w:rPr>
          <w:rFonts w:ascii="宋体" w:hAnsi="宋体" w:hint="eastAsia"/>
        </w:rPr>
        <w:t>”</w:t>
      </w:r>
    </w:p>
    <w:p w14:paraId="606EFD64" w14:textId="77777777" w:rsidR="006416B0" w:rsidRPr="00B4515A" w:rsidRDefault="005E58C1" w:rsidP="005860B4">
      <w:pPr>
        <w:pStyle w:val="002"/>
        <w:spacing w:before="120" w:after="120"/>
        <w:ind w:firstLine="562"/>
      </w:pPr>
      <w:bookmarkStart w:id="51" w:name="_Toc80960496"/>
      <w:r w:rsidRPr="00B4515A">
        <w:rPr>
          <w:rFonts w:hint="eastAsia"/>
        </w:rPr>
        <w:t>十四、独立财务顾问的资格</w:t>
      </w:r>
      <w:bookmarkEnd w:id="51"/>
    </w:p>
    <w:p w14:paraId="1CFBCAC9" w14:textId="77777777" w:rsidR="006416B0" w:rsidRPr="00B4515A" w:rsidRDefault="005E58C1" w:rsidP="005860B4">
      <w:pPr>
        <w:pStyle w:val="005"/>
        <w:spacing w:before="120" w:after="120"/>
        <w:ind w:firstLine="480"/>
      </w:pPr>
      <w:r w:rsidRPr="00B4515A">
        <w:rPr>
          <w:rFonts w:hint="eastAsia"/>
        </w:rPr>
        <w:t>上市公司聘请中银证券担任本次交易的独立财务顾问，中银证券经中国证监会批准依法设立，具备财务顾问业务资格及保荐承销业务资格。</w:t>
      </w:r>
    </w:p>
    <w:p w14:paraId="029F3240" w14:textId="77777777" w:rsidR="006416B0" w:rsidRPr="00B4515A" w:rsidRDefault="005E58C1" w:rsidP="005860B4">
      <w:pPr>
        <w:pStyle w:val="002"/>
        <w:spacing w:before="120" w:after="120"/>
        <w:ind w:firstLine="562"/>
      </w:pPr>
      <w:bookmarkStart w:id="52" w:name="_Toc80960497"/>
      <w:r w:rsidRPr="00B4515A">
        <w:rPr>
          <w:rFonts w:hint="eastAsia"/>
        </w:rPr>
        <w:t>十五、本次交易涉及的涉密信息披露及豁免事项</w:t>
      </w:r>
      <w:bookmarkEnd w:id="52"/>
    </w:p>
    <w:p w14:paraId="305781B1" w14:textId="77777777" w:rsidR="006416B0" w:rsidRPr="00B4515A" w:rsidRDefault="005E58C1" w:rsidP="005860B4">
      <w:pPr>
        <w:pStyle w:val="005"/>
        <w:spacing w:before="120" w:after="120"/>
        <w:ind w:firstLine="480"/>
      </w:pPr>
      <w:bookmarkStart w:id="53" w:name="_Hlk76922540"/>
      <w:r w:rsidRPr="00B4515A">
        <w:t>本</w:t>
      </w:r>
      <w:r w:rsidRPr="00B4515A">
        <w:rPr>
          <w:rFonts w:hint="eastAsia"/>
        </w:rPr>
        <w:t>重组</w:t>
      </w:r>
      <w:r w:rsidRPr="00B4515A">
        <w:t>报告书的相关内容已由标的公司按照其保密管理制度及程序进行了保密审核和脱密处理。</w:t>
      </w:r>
    </w:p>
    <w:p w14:paraId="28171EDF" w14:textId="41D16F1F" w:rsidR="006416B0" w:rsidRPr="00B4515A" w:rsidRDefault="005E58C1" w:rsidP="005860B4">
      <w:pPr>
        <w:pStyle w:val="005"/>
        <w:spacing w:before="120" w:after="120"/>
        <w:ind w:firstLine="480"/>
      </w:pPr>
      <w:r w:rsidRPr="00B4515A">
        <w:rPr>
          <w:rFonts w:hint="eastAsia"/>
        </w:rPr>
        <w:t>根据《中华人民共和国保守国家秘密法》《中华人民共和国保守国家秘密法实施条例》、国防科工局《涉军企事业单位改制重组上市及上市后资本运作军工事项审查工作管理暂行办法》等法律法规和规范性文件规定，国防科工局负责组织、实施、指导、监督全国涉军企事业单位改制、重组、上市及上市后资本运作军工事项审查管理工作。</w:t>
      </w:r>
    </w:p>
    <w:p w14:paraId="1A082B01" w14:textId="77777777" w:rsidR="006416B0" w:rsidRPr="00B4515A" w:rsidRDefault="005E58C1" w:rsidP="005860B4">
      <w:pPr>
        <w:pStyle w:val="005"/>
        <w:spacing w:before="120" w:after="120"/>
        <w:ind w:firstLine="480"/>
      </w:pPr>
      <w:r w:rsidRPr="00B4515A">
        <w:rPr>
          <w:rFonts w:hint="eastAsia"/>
        </w:rPr>
        <w:t>为了保护投资者利益，除根据上述相关规定需要脱密处理或者申请豁免披露信息外，本公司不以保密为由规避依法应当予以公开披露的信息。重组报告书信息披露符合中国证监会和上交所关于重大资产重组信息披露的要求。</w:t>
      </w:r>
    </w:p>
    <w:p w14:paraId="46667E9C" w14:textId="585E7D97" w:rsidR="006416B0" w:rsidRPr="00B4515A" w:rsidRDefault="005E58C1" w:rsidP="005860B4">
      <w:pPr>
        <w:pStyle w:val="005"/>
        <w:spacing w:before="120" w:after="120"/>
        <w:ind w:firstLine="480"/>
      </w:pPr>
      <w:bookmarkStart w:id="54" w:name="_Hlk78554038"/>
      <w:r w:rsidRPr="00B4515A">
        <w:rPr>
          <w:rFonts w:hint="eastAsia"/>
        </w:rPr>
        <w:t>由于标的公司从事特种通信产品业务，部分信息涉及国家秘密，涉密信息主</w:t>
      </w:r>
      <w:r w:rsidRPr="00B4515A">
        <w:rPr>
          <w:rFonts w:hint="eastAsia"/>
        </w:rPr>
        <w:lastRenderedPageBreak/>
        <w:t>要包括：产品业务涉及资质的具体内容；产品产能、产量、销量；涉密客户和供应商名称；产品合同合同方名称、产品具体型号、技术指标等。</w:t>
      </w:r>
      <w:r w:rsidRPr="00B4515A">
        <w:t>上述涉密信息</w:t>
      </w:r>
      <w:r w:rsidRPr="00B4515A">
        <w:rPr>
          <w:rFonts w:hint="eastAsia"/>
        </w:rPr>
        <w:t>申请</w:t>
      </w:r>
      <w:r w:rsidRPr="00B4515A">
        <w:t>豁免披露或</w:t>
      </w:r>
      <w:r w:rsidRPr="00B4515A">
        <w:rPr>
          <w:rFonts w:hint="eastAsia"/>
        </w:rPr>
        <w:t>标的</w:t>
      </w:r>
      <w:r w:rsidRPr="00B4515A">
        <w:t>公司对部分涉密信息采取代称、打包或者汇总等脱密处理的方式对外披露。</w:t>
      </w:r>
      <w:r w:rsidRPr="00B4515A">
        <w:rPr>
          <w:rFonts w:hint="eastAsia"/>
        </w:rPr>
        <w:t>目前，</w:t>
      </w:r>
      <w:r w:rsidR="006345FC" w:rsidRPr="00B4515A">
        <w:rPr>
          <w:rFonts w:hint="eastAsia"/>
        </w:rPr>
        <w:t>国防科工局已出具</w:t>
      </w:r>
      <w:r w:rsidRPr="00B4515A">
        <w:rPr>
          <w:rFonts w:hint="eastAsia"/>
        </w:rPr>
        <w:t>关于本次重组豁免信息披露</w:t>
      </w:r>
      <w:r w:rsidR="006345FC" w:rsidRPr="00B4515A">
        <w:rPr>
          <w:rFonts w:hint="eastAsia"/>
        </w:rPr>
        <w:t>事项的</w:t>
      </w:r>
      <w:r w:rsidRPr="00B4515A">
        <w:rPr>
          <w:rFonts w:hint="eastAsia"/>
        </w:rPr>
        <w:t>批复。</w:t>
      </w:r>
    </w:p>
    <w:p w14:paraId="5897F53A" w14:textId="77777777" w:rsidR="006416B0" w:rsidRPr="00B4515A" w:rsidRDefault="005E58C1">
      <w:pPr>
        <w:rPr>
          <w:rFonts w:ascii="Times New Roman" w:eastAsia="黑体" w:hAnsi="Times New Roman" w:cs="Times New Roman"/>
          <w:b/>
          <w:bCs/>
          <w:kern w:val="44"/>
          <w:sz w:val="32"/>
          <w:szCs w:val="32"/>
        </w:rPr>
      </w:pPr>
      <w:bookmarkStart w:id="55" w:name="_Hlk530005219"/>
      <w:bookmarkEnd w:id="33"/>
      <w:bookmarkEnd w:id="53"/>
      <w:bookmarkEnd w:id="54"/>
      <w:r w:rsidRPr="00B4515A">
        <w:rPr>
          <w:rFonts w:ascii="Times New Roman" w:hAnsi="Times New Roman" w:cs="Times New Roman"/>
          <w:sz w:val="32"/>
          <w:szCs w:val="32"/>
        </w:rPr>
        <w:br w:type="page"/>
      </w:r>
    </w:p>
    <w:p w14:paraId="58A79E7E" w14:textId="77777777" w:rsidR="006416B0" w:rsidRPr="00B4515A" w:rsidRDefault="005E58C1" w:rsidP="002B0582">
      <w:pPr>
        <w:pStyle w:val="001"/>
        <w:spacing w:before="360" w:after="360"/>
      </w:pPr>
      <w:bookmarkStart w:id="56" w:name="_Toc80960498"/>
      <w:r w:rsidRPr="00B4515A">
        <w:rPr>
          <w:rFonts w:hint="eastAsia"/>
        </w:rPr>
        <w:lastRenderedPageBreak/>
        <w:t>重大风险提示</w:t>
      </w:r>
      <w:bookmarkEnd w:id="56"/>
    </w:p>
    <w:bookmarkEnd w:id="55"/>
    <w:p w14:paraId="31781B3F" w14:textId="77777777" w:rsidR="006416B0" w:rsidRPr="00B4515A" w:rsidRDefault="005E58C1" w:rsidP="005860B4">
      <w:pPr>
        <w:pStyle w:val="005"/>
        <w:spacing w:before="120" w:after="120"/>
        <w:ind w:firstLine="480"/>
      </w:pPr>
      <w:r w:rsidRPr="00B4515A">
        <w:rPr>
          <w:rFonts w:hint="eastAsia"/>
        </w:rPr>
        <w:t>投资者在评价本次重大资产重组时，除本报告书的其他内容和与本报告书同时披露的相关文件外，还应考虑下述各项风险因素：</w:t>
      </w:r>
    </w:p>
    <w:p w14:paraId="67BA00B3" w14:textId="77777777" w:rsidR="006416B0" w:rsidRPr="00B4515A" w:rsidRDefault="005E58C1" w:rsidP="005860B4">
      <w:pPr>
        <w:pStyle w:val="002"/>
        <w:spacing w:before="120" w:after="120"/>
        <w:ind w:firstLine="562"/>
      </w:pPr>
      <w:bookmarkStart w:id="57" w:name="_Toc74565131"/>
      <w:bookmarkStart w:id="58" w:name="_Toc80960499"/>
      <w:r w:rsidRPr="00B4515A">
        <w:rPr>
          <w:rFonts w:hint="eastAsia"/>
        </w:rPr>
        <w:t>一、与本次交易相关的风险</w:t>
      </w:r>
      <w:bookmarkEnd w:id="57"/>
      <w:bookmarkEnd w:id="58"/>
    </w:p>
    <w:p w14:paraId="65B9B16F" w14:textId="77777777" w:rsidR="006416B0" w:rsidRPr="00B4515A" w:rsidRDefault="005E58C1" w:rsidP="005860B4">
      <w:pPr>
        <w:pStyle w:val="003"/>
        <w:spacing w:before="120"/>
        <w:ind w:firstLine="482"/>
      </w:pPr>
      <w:bookmarkStart w:id="59" w:name="_Hlk76922593"/>
      <w:r w:rsidRPr="00B4515A">
        <w:rPr>
          <w:rFonts w:hint="eastAsia"/>
        </w:rPr>
        <w:t>（一）本次交易被暂停、中止或取消的风险</w:t>
      </w:r>
    </w:p>
    <w:p w14:paraId="1FD8EA6F" w14:textId="77777777" w:rsidR="006416B0" w:rsidRPr="00B4515A" w:rsidRDefault="005E58C1" w:rsidP="005860B4">
      <w:pPr>
        <w:pStyle w:val="005"/>
        <w:spacing w:before="120" w:after="120"/>
        <w:ind w:firstLine="480"/>
      </w:pPr>
      <w:r w:rsidRPr="00B4515A">
        <w:rPr>
          <w:rFonts w:hint="eastAsia"/>
        </w:rPr>
        <w:t>本次重组存在如下被暂停、中止或取消的风险：</w:t>
      </w:r>
    </w:p>
    <w:p w14:paraId="5FA66882" w14:textId="77777777" w:rsidR="006416B0" w:rsidRPr="00B4515A" w:rsidRDefault="005E58C1" w:rsidP="005860B4">
      <w:pPr>
        <w:pStyle w:val="005"/>
        <w:spacing w:before="120" w:after="120"/>
        <w:ind w:firstLine="480"/>
      </w:pPr>
      <w:r w:rsidRPr="00B4515A">
        <w:t>1</w:t>
      </w:r>
      <w:r w:rsidRPr="00B4515A">
        <w:rPr>
          <w:rFonts w:hint="eastAsia"/>
        </w:rPr>
        <w:t>、本次重组存在因上市公司股价的异常波动或异常交易可能涉嫌内幕交易，而被暂停、中止或取消的风险。</w:t>
      </w:r>
    </w:p>
    <w:p w14:paraId="0E04284F" w14:textId="77777777" w:rsidR="006416B0" w:rsidRPr="00B4515A" w:rsidRDefault="005E58C1" w:rsidP="005860B4">
      <w:pPr>
        <w:pStyle w:val="005"/>
        <w:spacing w:before="120" w:after="120"/>
        <w:ind w:firstLine="480"/>
      </w:pPr>
      <w:r w:rsidRPr="00B4515A">
        <w:t>2</w:t>
      </w:r>
      <w:r w:rsidRPr="00B4515A">
        <w:rPr>
          <w:rFonts w:hint="eastAsia"/>
        </w:rPr>
        <w:t>、本次重组尚需股东大会审议通过，若无法通过上市公司股东大会审议，则本次交易有被终止或取消的风险。</w:t>
      </w:r>
    </w:p>
    <w:p w14:paraId="508B1373" w14:textId="77777777" w:rsidR="006416B0" w:rsidRPr="00B4515A" w:rsidRDefault="005E58C1" w:rsidP="005860B4">
      <w:pPr>
        <w:pStyle w:val="005"/>
        <w:spacing w:before="120" w:after="120"/>
        <w:ind w:firstLine="480"/>
      </w:pPr>
      <w:r w:rsidRPr="00B4515A">
        <w:t>3</w:t>
      </w:r>
      <w:r w:rsidRPr="00B4515A">
        <w:rPr>
          <w:rFonts w:hint="eastAsia"/>
        </w:rPr>
        <w:t>、在本次交易审核过程中，交易各方可能需根据监管机构的要求不断完善交易方案，如交易各方无法就完善交易方案的措施达成一致，则本次交易存在中止的可能。</w:t>
      </w:r>
    </w:p>
    <w:p w14:paraId="0275F7D3" w14:textId="77777777" w:rsidR="006416B0" w:rsidRPr="00B4515A" w:rsidRDefault="005E58C1" w:rsidP="005860B4">
      <w:pPr>
        <w:pStyle w:val="005"/>
        <w:spacing w:before="120" w:after="120"/>
        <w:ind w:firstLine="480"/>
      </w:pPr>
      <w:r w:rsidRPr="00B4515A">
        <w:rPr>
          <w:rFonts w:hint="eastAsia"/>
        </w:rPr>
        <w:t>若本次重组因上述某种原因或其他原因被暂停、中止或取消，而上市公司又计划重新启动重组，则交易定价及其他交易条件都可能较本报告书中披露的重组方案发生重大变化，提请投资者注意投资风险。</w:t>
      </w:r>
    </w:p>
    <w:p w14:paraId="02B1135A" w14:textId="77777777" w:rsidR="006416B0" w:rsidRPr="00B4515A" w:rsidRDefault="005E58C1" w:rsidP="005860B4">
      <w:pPr>
        <w:pStyle w:val="003"/>
        <w:spacing w:before="120"/>
        <w:ind w:firstLine="482"/>
      </w:pPr>
      <w:r w:rsidRPr="00B4515A">
        <w:rPr>
          <w:rFonts w:hint="eastAsia"/>
        </w:rPr>
        <w:t>（二）审批风险</w:t>
      </w:r>
    </w:p>
    <w:p w14:paraId="5E4011ED" w14:textId="77777777" w:rsidR="006416B0" w:rsidRPr="00B4515A" w:rsidRDefault="005E58C1" w:rsidP="005860B4">
      <w:pPr>
        <w:pStyle w:val="005"/>
        <w:spacing w:before="120" w:after="120"/>
        <w:ind w:firstLine="480"/>
      </w:pPr>
      <w:r w:rsidRPr="00B4515A">
        <w:rPr>
          <w:rFonts w:hint="eastAsia"/>
        </w:rPr>
        <w:t>本次交易尚需履行多项审批程序，包括但不限于国资监管机构的批准、上市公司股东大会的批准、中国证监会的核准等。本次交易能否取得上述批准或核准并最终得以成功实施的时间面临着不确定性，存在无法通过审批而导致交易失败的风险。</w:t>
      </w:r>
    </w:p>
    <w:p w14:paraId="5AFCA4B5" w14:textId="77777777" w:rsidR="006416B0" w:rsidRPr="00B4515A" w:rsidRDefault="005E58C1" w:rsidP="005860B4">
      <w:pPr>
        <w:pStyle w:val="003"/>
        <w:spacing w:before="120"/>
        <w:ind w:firstLine="482"/>
      </w:pPr>
      <w:r w:rsidRPr="00B4515A">
        <w:rPr>
          <w:rFonts w:hint="eastAsia"/>
        </w:rPr>
        <w:t>（三）交易标的估值风险</w:t>
      </w:r>
    </w:p>
    <w:p w14:paraId="2947905E" w14:textId="77777777" w:rsidR="006416B0" w:rsidRPr="00B4515A" w:rsidRDefault="005E58C1" w:rsidP="005860B4">
      <w:pPr>
        <w:pStyle w:val="005"/>
        <w:spacing w:before="120" w:after="120"/>
        <w:ind w:firstLine="480"/>
      </w:pPr>
      <w:r w:rsidRPr="00B4515A">
        <w:rPr>
          <w:rFonts w:hint="eastAsia"/>
        </w:rPr>
        <w:t>本次交易中，标的资产的交易价格根据具有证券、期货相关业务资格的资产评估机构出具并经有权部门备案的评估报告的评估结果确定。</w:t>
      </w:r>
    </w:p>
    <w:p w14:paraId="397A2D1B" w14:textId="77777777" w:rsidR="006416B0" w:rsidRPr="00B4515A" w:rsidRDefault="005E58C1" w:rsidP="005860B4">
      <w:pPr>
        <w:pStyle w:val="005"/>
        <w:spacing w:before="120" w:after="120"/>
        <w:ind w:firstLine="480"/>
      </w:pPr>
      <w:r w:rsidRPr="00B4515A">
        <w:rPr>
          <w:rFonts w:hint="eastAsia"/>
        </w:rPr>
        <w:t>鉴于资产评估中的分析、判断和结论受相关假设和限定条件的限制，本次评</w:t>
      </w:r>
      <w:r w:rsidRPr="00B4515A">
        <w:rPr>
          <w:rFonts w:hint="eastAsia"/>
        </w:rPr>
        <w:lastRenderedPageBreak/>
        <w:t>估中包含的相关假设、限定条件及特别事项等因素的不可预期变动，可能将对评估结果的准确性造成一定影响。提请广大投资者注意本次交易标的资产的估值风险。</w:t>
      </w:r>
    </w:p>
    <w:p w14:paraId="1F213F2D" w14:textId="77777777" w:rsidR="006416B0" w:rsidRPr="00B4515A" w:rsidRDefault="005E58C1" w:rsidP="005860B4">
      <w:pPr>
        <w:pStyle w:val="003"/>
        <w:spacing w:before="120"/>
        <w:ind w:firstLine="482"/>
      </w:pPr>
      <w:r w:rsidRPr="00B4515A">
        <w:rPr>
          <w:rFonts w:hint="eastAsia"/>
        </w:rPr>
        <w:t>（四）本次募集配套资金审批及实施风险</w:t>
      </w:r>
    </w:p>
    <w:p w14:paraId="59815712" w14:textId="77777777" w:rsidR="006416B0" w:rsidRPr="00B4515A" w:rsidRDefault="005E58C1" w:rsidP="005860B4">
      <w:pPr>
        <w:pStyle w:val="005"/>
        <w:spacing w:before="120" w:after="120"/>
        <w:ind w:firstLine="480"/>
      </w:pPr>
      <w:r w:rsidRPr="00B4515A">
        <w:rPr>
          <w:rFonts w:hint="eastAsia"/>
        </w:rPr>
        <w:t>本次募集配套资金需经中国证监会核准。能否取得中国证监会核准，以及最终取得中国证监会核准的时间存在不确定性。在募集配套资金未能实施的情形下，公司将以自筹资金方式解决，将在一定程度上增加公司的财务费用，影响公司盈利能力。提请投资者注意相关风险。</w:t>
      </w:r>
    </w:p>
    <w:p w14:paraId="51F63072" w14:textId="77777777" w:rsidR="006416B0" w:rsidRPr="00B4515A" w:rsidRDefault="005E58C1" w:rsidP="005860B4">
      <w:pPr>
        <w:pStyle w:val="003"/>
        <w:spacing w:before="120"/>
        <w:ind w:firstLine="482"/>
        <w:rPr>
          <w:rFonts w:ascii="Arial" w:hAnsi="Arial" w:cs="Arial"/>
        </w:rPr>
      </w:pPr>
      <w:r w:rsidRPr="00B4515A">
        <w:rPr>
          <w:rFonts w:hint="eastAsia"/>
        </w:rPr>
        <w:t>（五）本次重组涉及的相关信息豁免披露相关的风险</w:t>
      </w:r>
    </w:p>
    <w:p w14:paraId="6CAD5642" w14:textId="77777777" w:rsidR="006416B0" w:rsidRPr="00B4515A" w:rsidRDefault="005E58C1" w:rsidP="005860B4">
      <w:pPr>
        <w:pStyle w:val="005"/>
        <w:spacing w:before="120" w:after="120"/>
        <w:ind w:firstLine="480"/>
      </w:pPr>
      <w:r w:rsidRPr="00B4515A">
        <w:rPr>
          <w:rFonts w:hint="eastAsia"/>
        </w:rPr>
        <w:t>本次交易的标的公司涉及特种通信产品业务，对外信息披露需履行保守国家秘密的义务，本次交易根据国家相关法律法规进行了涉密信息脱密处理。</w:t>
      </w:r>
    </w:p>
    <w:p w14:paraId="50D321CE" w14:textId="77777777" w:rsidR="006416B0" w:rsidRPr="00B4515A" w:rsidRDefault="005E58C1" w:rsidP="005860B4">
      <w:pPr>
        <w:pStyle w:val="005"/>
        <w:spacing w:before="120" w:after="120"/>
        <w:ind w:firstLine="480"/>
      </w:pPr>
      <w:r w:rsidRPr="00B4515A">
        <w:rPr>
          <w:rFonts w:hint="eastAsia"/>
        </w:rPr>
        <w:t>为了保护投资者利益，除根据相关规定需要脱密处理或申请豁免披露信息外，上市公司不以保密为由规避依法应当予以公开披露的信息。本报告书信息披露符合中国证监会和上交所关于重大资产重组信息披露的要求，公司保证本报告书披露内容的真实、准确、完整。</w:t>
      </w:r>
    </w:p>
    <w:p w14:paraId="4EC4B12E" w14:textId="77777777" w:rsidR="006416B0" w:rsidRPr="00B4515A" w:rsidRDefault="005E58C1" w:rsidP="005860B4">
      <w:pPr>
        <w:pStyle w:val="005"/>
        <w:spacing w:before="120" w:after="120"/>
        <w:ind w:firstLine="480"/>
      </w:pPr>
      <w:r w:rsidRPr="00B4515A">
        <w:rPr>
          <w:rFonts w:hint="eastAsia"/>
        </w:rPr>
        <w:t>上述因特种企业行业特殊规定而采取的信息披露处理方式，可能导致投资者阅读本报告书时对部分信息了解不够充分，影响投资者的价值判断，提请广大投资者注意。</w:t>
      </w:r>
    </w:p>
    <w:p w14:paraId="6ACE0747" w14:textId="77777777" w:rsidR="006416B0" w:rsidRPr="00B4515A" w:rsidRDefault="005E58C1" w:rsidP="005860B4">
      <w:pPr>
        <w:pStyle w:val="003"/>
        <w:spacing w:before="120"/>
        <w:ind w:firstLine="482"/>
      </w:pPr>
      <w:r w:rsidRPr="00B4515A">
        <w:rPr>
          <w:rFonts w:hint="eastAsia"/>
        </w:rPr>
        <w:t>（六）本次交易的整合风险</w:t>
      </w:r>
    </w:p>
    <w:p w14:paraId="7CFA1943" w14:textId="77777777" w:rsidR="006416B0" w:rsidRPr="00B4515A" w:rsidRDefault="005E58C1" w:rsidP="005860B4">
      <w:pPr>
        <w:pStyle w:val="004"/>
        <w:spacing w:before="120" w:after="120"/>
        <w:ind w:firstLine="482"/>
      </w:pPr>
      <w:r w:rsidRPr="00B4515A">
        <w:t>1</w:t>
      </w:r>
      <w:r w:rsidRPr="00B4515A">
        <w:rPr>
          <w:rFonts w:hint="eastAsia"/>
        </w:rPr>
        <w:t>、业务整合风险</w:t>
      </w:r>
    </w:p>
    <w:p w14:paraId="21A823E4" w14:textId="77777777" w:rsidR="006416B0" w:rsidRPr="00B4515A" w:rsidRDefault="005E58C1" w:rsidP="005860B4">
      <w:pPr>
        <w:pStyle w:val="005"/>
        <w:spacing w:before="120" w:after="120"/>
        <w:ind w:firstLine="480"/>
      </w:pPr>
      <w:r w:rsidRPr="00B4515A">
        <w:rPr>
          <w:rFonts w:hint="eastAsia"/>
        </w:rPr>
        <w:t>本次交易前，上市公司主营业务主要分为集成电路设计、信息通信安全等业务。本次交易完成后，大唐联诚将成为上市公司的子公司，上市公司将向特种通信领域布局，构建</w:t>
      </w:r>
      <w:r w:rsidRPr="00B4515A">
        <w:rPr>
          <w:rFonts w:ascii="宋体" w:hAnsi="宋体" w:hint="eastAsia"/>
        </w:rPr>
        <w:t>“</w:t>
      </w:r>
      <w:r w:rsidRPr="00B4515A">
        <w:rPr>
          <w:rFonts w:hint="eastAsia"/>
        </w:rPr>
        <w:t>安全芯片</w:t>
      </w:r>
      <w:r w:rsidRPr="00B4515A">
        <w:t>+</w:t>
      </w:r>
      <w:r w:rsidRPr="00B4515A">
        <w:rPr>
          <w:rFonts w:hint="eastAsia"/>
        </w:rPr>
        <w:t>特种通信</w:t>
      </w:r>
      <w:r w:rsidRPr="00B4515A">
        <w:rPr>
          <w:rFonts w:ascii="宋体" w:hAnsi="宋体" w:hint="eastAsia"/>
        </w:rPr>
        <w:t>”</w:t>
      </w:r>
      <w:r w:rsidRPr="00B4515A">
        <w:rPr>
          <w:rFonts w:hint="eastAsia"/>
        </w:rPr>
        <w:t>的整体产业格局。上市公司与大唐联诚之间能否顺利实现整合取决于双方的业务互补性、互通性，也受到具体人员、理念、工作习惯等众多因素的影响，能否发挥合并优势具有一定的不确定性。若上述整合无法顺利完成，将影响本次交易协同效应的发挥，并且整合过程中可能会对两家公司的正常业务发展产生影响。</w:t>
      </w:r>
    </w:p>
    <w:p w14:paraId="4A75A1BE" w14:textId="77777777" w:rsidR="006416B0" w:rsidRPr="00B4515A" w:rsidRDefault="005E58C1" w:rsidP="005860B4">
      <w:pPr>
        <w:pStyle w:val="004"/>
        <w:spacing w:before="120" w:after="120"/>
        <w:ind w:firstLine="482"/>
      </w:pPr>
      <w:r w:rsidRPr="00B4515A">
        <w:lastRenderedPageBreak/>
        <w:t>2</w:t>
      </w:r>
      <w:r w:rsidRPr="00B4515A">
        <w:rPr>
          <w:rFonts w:hint="eastAsia"/>
        </w:rPr>
        <w:t>、人员整合风险</w:t>
      </w:r>
    </w:p>
    <w:p w14:paraId="1DCACD8B" w14:textId="77777777" w:rsidR="006416B0" w:rsidRPr="00B4515A" w:rsidRDefault="005E58C1" w:rsidP="005860B4">
      <w:pPr>
        <w:pStyle w:val="005"/>
        <w:spacing w:before="120" w:after="120"/>
        <w:ind w:firstLine="480"/>
      </w:pPr>
      <w:r w:rsidRPr="00B4515A">
        <w:rPr>
          <w:rFonts w:hint="eastAsia"/>
        </w:rPr>
        <w:t>上市公司与标的公司的经营管理方式存在一定差异，上市公司能否在短时间内完成整合、或整合效果能否达到预期具有不确定性，如人员整合不及预期，则可能会带来人才流失的风险，从而对标的资产的盈利能力和上市公司运营带来负面影响。</w:t>
      </w:r>
    </w:p>
    <w:p w14:paraId="083C06F8" w14:textId="77777777" w:rsidR="006416B0" w:rsidRPr="00B4515A" w:rsidRDefault="005E58C1" w:rsidP="005860B4">
      <w:pPr>
        <w:pStyle w:val="004"/>
        <w:spacing w:before="120" w:after="120"/>
        <w:ind w:firstLine="482"/>
      </w:pPr>
      <w:r w:rsidRPr="00B4515A">
        <w:t>3</w:t>
      </w:r>
      <w:r w:rsidRPr="00B4515A">
        <w:rPr>
          <w:rFonts w:hint="eastAsia"/>
        </w:rPr>
        <w:t>、管理风险</w:t>
      </w:r>
    </w:p>
    <w:p w14:paraId="01E417C9" w14:textId="77777777" w:rsidR="006416B0" w:rsidRPr="00B4515A" w:rsidRDefault="005E58C1" w:rsidP="005860B4">
      <w:pPr>
        <w:pStyle w:val="005"/>
        <w:spacing w:before="120" w:after="120"/>
        <w:ind w:firstLine="480"/>
      </w:pPr>
      <w:r w:rsidRPr="00B4515A">
        <w:rPr>
          <w:rFonts w:hint="eastAsia"/>
        </w:rPr>
        <w:t>交易完成后上市公司资产、业务、人员规模将进一步扩大，对上市公司原有管理和治理格局产生一定影响，对上市公司经营管理提出了更高的要求，包括组织架构、管理制度、内部控制、激励机制和人才建设等方面，从而给公司的经营管理带来一定风险。</w:t>
      </w:r>
    </w:p>
    <w:p w14:paraId="26713CA2" w14:textId="77777777" w:rsidR="006416B0" w:rsidRPr="00B4515A" w:rsidRDefault="005E58C1" w:rsidP="005860B4">
      <w:pPr>
        <w:pStyle w:val="003"/>
        <w:spacing w:before="120"/>
        <w:ind w:firstLine="482"/>
      </w:pPr>
      <w:r w:rsidRPr="00B4515A">
        <w:rPr>
          <w:rFonts w:hint="eastAsia"/>
        </w:rPr>
        <w:t>（七）关联交易风险</w:t>
      </w:r>
    </w:p>
    <w:p w14:paraId="612FD8AF" w14:textId="77777777" w:rsidR="006416B0" w:rsidRPr="00B4515A" w:rsidRDefault="005E58C1" w:rsidP="005860B4">
      <w:pPr>
        <w:pStyle w:val="005"/>
        <w:spacing w:before="120" w:after="120"/>
        <w:ind w:firstLine="480"/>
      </w:pPr>
      <w:r w:rsidRPr="00B4515A">
        <w:rPr>
          <w:rFonts w:hint="eastAsia"/>
        </w:rPr>
        <w:t>上市公司将尽量避免或减少与关联人之间的关联交易。对于无法避免的关联交易，上市公司将遵循公平、公正、公开及等价有偿的原则，切实履行信息披露及关联交易决策的相关规定，不损害全体股东特别是中小股东的合法权益。</w:t>
      </w:r>
    </w:p>
    <w:p w14:paraId="0398AD82" w14:textId="77777777" w:rsidR="006416B0" w:rsidRPr="00B4515A" w:rsidRDefault="005E58C1" w:rsidP="005860B4">
      <w:pPr>
        <w:pStyle w:val="005"/>
        <w:spacing w:before="120" w:after="120"/>
        <w:ind w:firstLine="480"/>
      </w:pPr>
      <w:r w:rsidRPr="00B4515A">
        <w:rPr>
          <w:rFonts w:hint="eastAsia"/>
        </w:rPr>
        <w:t>为避免和消除可能出现的公司股东利用其地位而从事损害本公司或公司其他股东利益的情形，保护中小股东的利益，公司将继续严格执行《上市规则》《公司章程》等法规、制度，保证公司与关联人所发生的关联交易合法、公允和公平。</w:t>
      </w:r>
    </w:p>
    <w:p w14:paraId="13451857" w14:textId="77777777" w:rsidR="006416B0" w:rsidRPr="00B4515A" w:rsidRDefault="005E58C1" w:rsidP="005860B4">
      <w:pPr>
        <w:pStyle w:val="005"/>
        <w:spacing w:before="120" w:after="120"/>
        <w:ind w:firstLine="480"/>
      </w:pPr>
      <w:r w:rsidRPr="00B4515A">
        <w:rPr>
          <w:rFonts w:hint="eastAsia"/>
        </w:rPr>
        <w:t>为进一步减少和规范关联交易，维护上市公司及中小股东的合法权益，控股股东电信科研院、控股股东的股东中国信科集团，以及本次交易的交易对方分别出具了关于规范和减少关联交易的承诺，具体参见</w:t>
      </w:r>
      <w:r w:rsidRPr="00B4515A">
        <w:rPr>
          <w:rFonts w:hint="eastAsia"/>
        </w:rPr>
        <w:t xml:space="preserve"> </w:t>
      </w:r>
      <w:r w:rsidRPr="00B4515A">
        <w:rPr>
          <w:rFonts w:ascii="宋体" w:hAnsi="宋体" w:hint="eastAsia"/>
        </w:rPr>
        <w:t>“</w:t>
      </w:r>
      <w:r w:rsidRPr="00B4515A">
        <w:rPr>
          <w:rFonts w:hint="eastAsia"/>
        </w:rPr>
        <w:t>第十一节</w:t>
      </w:r>
      <w:r w:rsidRPr="00B4515A">
        <w:rPr>
          <w:rFonts w:hint="eastAsia"/>
        </w:rPr>
        <w:t xml:space="preserve"> </w:t>
      </w:r>
      <w:r w:rsidRPr="00B4515A">
        <w:rPr>
          <w:rFonts w:hint="eastAsia"/>
        </w:rPr>
        <w:t>同业竞争与关联交易</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三、本次交易对关联交易的影响</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（三）本次交易完成后规范和减少关联交易的措施</w:t>
      </w:r>
      <w:r w:rsidRPr="00B4515A">
        <w:rPr>
          <w:rFonts w:ascii="宋体" w:hAnsi="宋体" w:hint="eastAsia"/>
        </w:rPr>
        <w:t>”</w:t>
      </w:r>
      <w:r w:rsidRPr="00B4515A">
        <w:rPr>
          <w:rFonts w:hint="eastAsia"/>
        </w:rPr>
        <w:t>。</w:t>
      </w:r>
      <w:bookmarkEnd w:id="59"/>
    </w:p>
    <w:p w14:paraId="5CC3795A" w14:textId="77777777" w:rsidR="006416B0" w:rsidRPr="00B4515A" w:rsidRDefault="005E58C1" w:rsidP="005860B4">
      <w:pPr>
        <w:pStyle w:val="002"/>
        <w:spacing w:before="120" w:after="120"/>
        <w:ind w:firstLine="562"/>
      </w:pPr>
      <w:bookmarkStart w:id="60" w:name="_Toc74565132"/>
      <w:bookmarkStart w:id="61" w:name="_Toc80960500"/>
      <w:r w:rsidRPr="00B4515A">
        <w:rPr>
          <w:rFonts w:hint="eastAsia"/>
        </w:rPr>
        <w:t>二、与标的公司相关的风险</w:t>
      </w:r>
      <w:bookmarkEnd w:id="60"/>
      <w:bookmarkEnd w:id="61"/>
    </w:p>
    <w:p w14:paraId="521350EE" w14:textId="77777777" w:rsidR="006416B0" w:rsidRPr="00B4515A" w:rsidRDefault="005E58C1" w:rsidP="005860B4">
      <w:pPr>
        <w:pStyle w:val="003"/>
        <w:spacing w:before="120"/>
        <w:ind w:firstLine="482"/>
      </w:pPr>
      <w:bookmarkStart w:id="62" w:name="_Hlk76922628"/>
      <w:r w:rsidRPr="00B4515A">
        <w:rPr>
          <w:rFonts w:hint="eastAsia"/>
        </w:rPr>
        <w:t>（一）技术风险</w:t>
      </w:r>
    </w:p>
    <w:p w14:paraId="4A148F21" w14:textId="77777777" w:rsidR="006416B0" w:rsidRPr="00B4515A" w:rsidRDefault="005E58C1" w:rsidP="005860B4">
      <w:pPr>
        <w:pStyle w:val="004"/>
        <w:spacing w:before="120" w:after="120"/>
        <w:ind w:firstLine="482"/>
      </w:pPr>
      <w:r w:rsidRPr="00B4515A">
        <w:t>1</w:t>
      </w:r>
      <w:r w:rsidRPr="00B4515A">
        <w:rPr>
          <w:rFonts w:hint="eastAsia"/>
        </w:rPr>
        <w:t>、产品研发风险</w:t>
      </w:r>
    </w:p>
    <w:p w14:paraId="11C3C892" w14:textId="77777777" w:rsidR="006416B0" w:rsidRPr="00B4515A" w:rsidRDefault="005E58C1">
      <w:pPr>
        <w:spacing w:beforeLines="50" w:before="120" w:afterLines="50" w:after="120" w:line="360" w:lineRule="auto"/>
        <w:ind w:firstLineChars="200" w:firstLine="480"/>
        <w:jc w:val="both"/>
        <w:rPr>
          <w:rFonts w:ascii="Times New Roman" w:hAnsi="Times New Roman" w:cs="Times New Roman"/>
          <w:bCs/>
        </w:rPr>
      </w:pPr>
      <w:r w:rsidRPr="00B4515A">
        <w:rPr>
          <w:rFonts w:ascii="Times New Roman" w:hAnsi="Times New Roman" w:cs="Times New Roman" w:hint="eastAsia"/>
          <w:bCs/>
        </w:rPr>
        <w:t>标的公司所处的特种通信行业属于技术密集型行业，技术更新及产品迭代较快，面向客户的型号研制需经过严格的试验和检验程序，研制生命周期长，产品</w:t>
      </w:r>
      <w:r w:rsidRPr="00B4515A">
        <w:rPr>
          <w:rFonts w:ascii="Times New Roman" w:hAnsi="Times New Roman" w:cs="Times New Roman" w:hint="eastAsia"/>
          <w:bCs/>
        </w:rPr>
        <w:lastRenderedPageBreak/>
        <w:t>研发先期投入较大。若标的公司未来研制的新产品未通过型号鉴定并最终定型，或新产品的研发周期太长，又或带来的收益不能消化投入的研发费用，持续的高研发投入则会削弱标的公司的盈利能力，对标的公司经营业绩造成不利影响。</w:t>
      </w:r>
      <w:r w:rsidRPr="00B4515A">
        <w:rPr>
          <w:rFonts w:ascii="Times New Roman" w:hAnsi="Times New Roman" w:cs="Times New Roman"/>
          <w:bCs/>
        </w:rPr>
        <w:t xml:space="preserve"> </w:t>
      </w:r>
    </w:p>
    <w:p w14:paraId="1EF24BE1" w14:textId="77777777" w:rsidR="006416B0" w:rsidRPr="00B4515A" w:rsidRDefault="005E58C1" w:rsidP="005860B4">
      <w:pPr>
        <w:pStyle w:val="004"/>
        <w:spacing w:before="120" w:after="120"/>
        <w:ind w:firstLine="482"/>
      </w:pPr>
      <w:r w:rsidRPr="00B4515A">
        <w:t>2</w:t>
      </w:r>
      <w:r w:rsidRPr="00B4515A">
        <w:rPr>
          <w:rFonts w:hint="eastAsia"/>
        </w:rPr>
        <w:t>、核心技术人员流失的风险</w:t>
      </w:r>
    </w:p>
    <w:p w14:paraId="5055AB1D" w14:textId="19657175" w:rsidR="006416B0" w:rsidRPr="00B4515A" w:rsidRDefault="005E58C1" w:rsidP="005860B4">
      <w:pPr>
        <w:pStyle w:val="005"/>
        <w:spacing w:before="120" w:after="120"/>
        <w:ind w:firstLine="480"/>
      </w:pPr>
      <w:r w:rsidRPr="00B4515A">
        <w:rPr>
          <w:rFonts w:hint="eastAsia"/>
        </w:rPr>
        <w:t>标的公司所处行业为技术密集型，核心技术人员的稳定对其技术创新、保持业绩增长具有重要意义，虽然大唐联诚已通过股权激励等方式凝聚团队，但随着行业的快速发展，行业内竞争加剧，对技术人才的争夺将更加激烈。若未来标的公司的部分核心技术人员流失，将会对其生产经营造成不利影响。</w:t>
      </w:r>
    </w:p>
    <w:p w14:paraId="63BE50FF" w14:textId="5FFA6ABB" w:rsidR="00171137" w:rsidRPr="00B4515A" w:rsidRDefault="00171137" w:rsidP="005860B4">
      <w:pPr>
        <w:pStyle w:val="004"/>
        <w:spacing w:before="120" w:after="120"/>
        <w:ind w:firstLine="482"/>
      </w:pPr>
      <w:r w:rsidRPr="00B4515A">
        <w:rPr>
          <w:rFonts w:hint="eastAsia"/>
        </w:rPr>
        <w:t>3</w:t>
      </w:r>
      <w:r w:rsidRPr="00B4515A">
        <w:rPr>
          <w:rFonts w:hint="eastAsia"/>
        </w:rPr>
        <w:t>、存货减值的风险</w:t>
      </w:r>
    </w:p>
    <w:p w14:paraId="24DD70C3" w14:textId="3D6CFD45" w:rsidR="00171137" w:rsidRPr="00B4515A" w:rsidRDefault="00171137" w:rsidP="005860B4">
      <w:pPr>
        <w:pStyle w:val="005"/>
        <w:spacing w:before="120" w:after="120"/>
        <w:ind w:firstLine="480"/>
      </w:pPr>
      <w:r w:rsidRPr="00B4515A">
        <w:rPr>
          <w:rFonts w:hint="eastAsia"/>
        </w:rPr>
        <w:t>报告期各期末，</w:t>
      </w:r>
      <w:r w:rsidR="005C299E" w:rsidRPr="00B4515A">
        <w:rPr>
          <w:rFonts w:hint="eastAsia"/>
        </w:rPr>
        <w:t>标的</w:t>
      </w:r>
      <w:r w:rsidRPr="00B4515A">
        <w:rPr>
          <w:rFonts w:hint="eastAsia"/>
        </w:rPr>
        <w:t>公司存货账面价值分别为</w:t>
      </w:r>
      <w:r w:rsidRPr="00B4515A">
        <w:t>12,597.71</w:t>
      </w:r>
      <w:r w:rsidRPr="00B4515A">
        <w:rPr>
          <w:rFonts w:hint="eastAsia"/>
        </w:rPr>
        <w:t>万元、</w:t>
      </w:r>
      <w:r w:rsidRPr="00B4515A">
        <w:t>15,250.81</w:t>
      </w:r>
      <w:r w:rsidRPr="00B4515A">
        <w:rPr>
          <w:rFonts w:hint="eastAsia"/>
        </w:rPr>
        <w:t>万元和</w:t>
      </w:r>
      <w:r w:rsidRPr="00B4515A">
        <w:t>17,993.53</w:t>
      </w:r>
      <w:r w:rsidRPr="00B4515A">
        <w:t>万元，占资产总额的比例分别为</w:t>
      </w:r>
      <w:r w:rsidRPr="00B4515A">
        <w:t>17.50%</w:t>
      </w:r>
      <w:r w:rsidRPr="00B4515A">
        <w:rPr>
          <w:rFonts w:hint="eastAsia"/>
        </w:rPr>
        <w:t>、</w:t>
      </w:r>
      <w:r w:rsidRPr="00B4515A">
        <w:t>17.49%</w:t>
      </w:r>
      <w:r w:rsidR="00253111" w:rsidRPr="00B4515A">
        <w:rPr>
          <w:rFonts w:hint="eastAsia"/>
        </w:rPr>
        <w:t>和</w:t>
      </w:r>
      <w:r w:rsidRPr="00B4515A">
        <w:t>11.95%</w:t>
      </w:r>
      <w:r w:rsidRPr="00B4515A">
        <w:rPr>
          <w:rFonts w:hint="eastAsia"/>
        </w:rPr>
        <w:t>。</w:t>
      </w:r>
      <w:r w:rsidR="005C299E" w:rsidRPr="00B4515A">
        <w:rPr>
          <w:rFonts w:hint="eastAsia"/>
        </w:rPr>
        <w:t>标的</w:t>
      </w:r>
      <w:r w:rsidRPr="00B4515A">
        <w:t>公司主要根据客户订单以及需求确定原材料采购计划和生产计划，并为及时响应客户需求</w:t>
      </w:r>
      <w:r w:rsidR="00253111" w:rsidRPr="00B4515A">
        <w:rPr>
          <w:rFonts w:hint="eastAsia"/>
        </w:rPr>
        <w:t>而</w:t>
      </w:r>
      <w:r w:rsidRPr="00B4515A">
        <w:t>保持必要的库存规模。未来，随着生产规模的不断扩大，</w:t>
      </w:r>
      <w:r w:rsidR="005C299E" w:rsidRPr="00B4515A">
        <w:rPr>
          <w:rFonts w:hint="eastAsia"/>
        </w:rPr>
        <w:t>标的</w:t>
      </w:r>
      <w:r w:rsidRPr="00B4515A">
        <w:t>公司存货可能相应增加，如客户的生产经营发生重大不利变化，无法继续执行订单或库存与预测出现较大偏差，客户无法有效消化，可能导致</w:t>
      </w:r>
      <w:r w:rsidR="005C299E" w:rsidRPr="00B4515A">
        <w:rPr>
          <w:rFonts w:hint="eastAsia"/>
        </w:rPr>
        <w:t>标的</w:t>
      </w:r>
      <w:r w:rsidRPr="00B4515A">
        <w:t>公司存货的可变现净值降低，进而带来存货减值的风险。</w:t>
      </w:r>
    </w:p>
    <w:p w14:paraId="0192501B" w14:textId="77777777" w:rsidR="006416B0" w:rsidRPr="00B4515A" w:rsidRDefault="005E58C1" w:rsidP="005860B4">
      <w:pPr>
        <w:pStyle w:val="003"/>
        <w:spacing w:before="120"/>
        <w:ind w:firstLine="482"/>
      </w:pPr>
      <w:r w:rsidRPr="00B4515A">
        <w:rPr>
          <w:rFonts w:hint="eastAsia"/>
        </w:rPr>
        <w:t>（二）经营风险</w:t>
      </w:r>
    </w:p>
    <w:p w14:paraId="6517C3BE" w14:textId="77777777" w:rsidR="006416B0" w:rsidRPr="00B4515A" w:rsidRDefault="005E58C1" w:rsidP="005860B4">
      <w:pPr>
        <w:pStyle w:val="004"/>
        <w:spacing w:before="120" w:after="120"/>
        <w:ind w:firstLine="482"/>
      </w:pPr>
      <w:r w:rsidRPr="00B4515A">
        <w:t>1</w:t>
      </w:r>
      <w:r w:rsidRPr="00B4515A">
        <w:rPr>
          <w:rFonts w:hint="eastAsia"/>
        </w:rPr>
        <w:t>、生产经营资质到期后不能续期的风险</w:t>
      </w:r>
    </w:p>
    <w:p w14:paraId="5BBD491B" w14:textId="77777777" w:rsidR="006416B0" w:rsidRPr="00B4515A" w:rsidRDefault="005E58C1" w:rsidP="005860B4">
      <w:pPr>
        <w:pStyle w:val="005"/>
        <w:spacing w:before="120" w:after="120"/>
        <w:ind w:firstLine="480"/>
      </w:pPr>
      <w:r w:rsidRPr="00B4515A">
        <w:rPr>
          <w:rFonts w:hint="eastAsia"/>
        </w:rPr>
        <w:t>标的公司所处的特种通信领域，需具备相应的资质才能开展研发、生产和销售。目前，大唐联诚已具备研发、生产和销售现有产品及服务的相关资质证书，上述资质到期后，大唐联诚将根据相关规定申请续期。但是，存在上述资质到期后未能及时续期或者申请续期未通过的风险，这将会对大唐联诚的生产经营造成不利影响。</w:t>
      </w:r>
    </w:p>
    <w:p w14:paraId="07AA8A7F" w14:textId="77777777" w:rsidR="006416B0" w:rsidRPr="00B4515A" w:rsidRDefault="005E58C1" w:rsidP="005860B4">
      <w:pPr>
        <w:pStyle w:val="004"/>
        <w:spacing w:before="120" w:after="120"/>
        <w:ind w:firstLine="482"/>
      </w:pPr>
      <w:r w:rsidRPr="00B4515A">
        <w:t>2</w:t>
      </w:r>
      <w:r w:rsidRPr="00B4515A">
        <w:rPr>
          <w:rFonts w:hint="eastAsia"/>
        </w:rPr>
        <w:t>、产业政策风险</w:t>
      </w:r>
    </w:p>
    <w:p w14:paraId="348FDD04" w14:textId="77777777" w:rsidR="006416B0" w:rsidRPr="00B4515A" w:rsidRDefault="005E58C1" w:rsidP="005860B4">
      <w:pPr>
        <w:pStyle w:val="005"/>
        <w:spacing w:before="120" w:after="120"/>
        <w:ind w:firstLine="480"/>
      </w:pPr>
      <w:r w:rsidRPr="00B4515A">
        <w:rPr>
          <w:rFonts w:hint="eastAsia"/>
        </w:rPr>
        <w:t>标的公司所处的特种通信领域，受特通领域政策的影响较大。近年来，我国在特通领域领域的投入不断增加，政策支持力度不断提升，但若未来产业政策出现不利于标的公司业务发展的变化，则将会对其经营造成不利影响。</w:t>
      </w:r>
    </w:p>
    <w:p w14:paraId="0E1EA2BF" w14:textId="77777777" w:rsidR="006416B0" w:rsidRPr="00B4515A" w:rsidRDefault="005E58C1" w:rsidP="005860B4">
      <w:pPr>
        <w:pStyle w:val="004"/>
        <w:spacing w:before="120" w:after="120"/>
        <w:ind w:firstLine="482"/>
      </w:pPr>
      <w:r w:rsidRPr="00B4515A">
        <w:lastRenderedPageBreak/>
        <w:t>3</w:t>
      </w:r>
      <w:r w:rsidRPr="00B4515A">
        <w:rPr>
          <w:rFonts w:hint="eastAsia"/>
        </w:rPr>
        <w:t>、市场竞争加剧风险</w:t>
      </w:r>
    </w:p>
    <w:p w14:paraId="48562705" w14:textId="77777777" w:rsidR="006416B0" w:rsidRPr="00B4515A" w:rsidRDefault="005E58C1" w:rsidP="005860B4">
      <w:pPr>
        <w:pStyle w:val="005"/>
        <w:spacing w:before="120" w:after="120"/>
        <w:ind w:firstLine="480"/>
      </w:pPr>
      <w:r w:rsidRPr="00B4515A">
        <w:rPr>
          <w:rFonts w:hint="eastAsia"/>
        </w:rPr>
        <w:t>大唐联诚的主营业务为立足</w:t>
      </w:r>
      <w:r w:rsidRPr="00B4515A">
        <w:rPr>
          <w:rFonts w:hint="eastAsia"/>
          <w:bCs/>
        </w:rPr>
        <w:t>特种</w:t>
      </w:r>
      <w:r w:rsidRPr="00B4515A">
        <w:rPr>
          <w:rFonts w:hint="eastAsia"/>
        </w:rPr>
        <w:t>通信领域，依托</w:t>
      </w:r>
      <w:r w:rsidRPr="00B4515A">
        <w:t>3G/4G/5G</w:t>
      </w:r>
      <w:r w:rsidRPr="00B4515A">
        <w:rPr>
          <w:rFonts w:hint="eastAsia"/>
        </w:rPr>
        <w:t>无线移动通信技术，通过技术创新，提供涵盖定制化无线通信设备和系统应用软件的自主可控整体解决方案。大唐联诚提供的产品和技术服务属于特种通信行业范畴。</w:t>
      </w:r>
    </w:p>
    <w:p w14:paraId="2C23B60C" w14:textId="77777777" w:rsidR="006416B0" w:rsidRPr="00B4515A" w:rsidRDefault="005E58C1" w:rsidP="005860B4">
      <w:pPr>
        <w:pStyle w:val="005"/>
        <w:spacing w:before="120" w:after="120"/>
        <w:ind w:firstLine="480"/>
      </w:pPr>
      <w:r w:rsidRPr="00B4515A">
        <w:rPr>
          <w:rFonts w:hint="eastAsia"/>
        </w:rPr>
        <w:t>近年来，国家先后颁布一系列鼓励性政策，支持优势企业进入特通信息化相关产业链条。未来，特种通信行业的市场竞争将会日趋激烈，若标的公司不能保持持续研发能力、扩大经营规模，不能准确把握市场需求变化趋势并及时调整市场竞争策略，则难以保持市场竞争力，市场竞争地位也会被削弱，市场份额相应下降，会对其经营业绩造成不利影响。</w:t>
      </w:r>
    </w:p>
    <w:p w14:paraId="710BABEB" w14:textId="77777777" w:rsidR="006416B0" w:rsidRPr="00B4515A" w:rsidRDefault="005E58C1" w:rsidP="005860B4">
      <w:pPr>
        <w:pStyle w:val="004"/>
        <w:spacing w:before="120" w:after="120"/>
        <w:ind w:firstLine="482"/>
      </w:pPr>
      <w:r w:rsidRPr="00B4515A">
        <w:t>4</w:t>
      </w:r>
      <w:r w:rsidRPr="00B4515A">
        <w:rPr>
          <w:rFonts w:hint="eastAsia"/>
        </w:rPr>
        <w:t>、产品质量控制风险</w:t>
      </w:r>
    </w:p>
    <w:p w14:paraId="67CF5419" w14:textId="77777777" w:rsidR="006416B0" w:rsidRPr="00B4515A" w:rsidRDefault="005E58C1" w:rsidP="005860B4">
      <w:pPr>
        <w:pStyle w:val="005"/>
        <w:spacing w:before="120" w:after="120"/>
        <w:ind w:firstLine="480"/>
      </w:pPr>
      <w:r w:rsidRPr="00B4515A">
        <w:rPr>
          <w:rFonts w:hint="eastAsia"/>
        </w:rPr>
        <w:t>标的公司处于</w:t>
      </w:r>
      <w:r w:rsidRPr="00B4515A">
        <w:rPr>
          <w:rFonts w:hint="eastAsia"/>
          <w:bCs/>
        </w:rPr>
        <w:t>特种</w:t>
      </w:r>
      <w:r w:rsidRPr="00B4515A">
        <w:rPr>
          <w:rFonts w:hint="eastAsia"/>
        </w:rPr>
        <w:t>通信领域，客户非常重视产品的稳定性、可靠性，对产品质量的要求较高，若由于不可预见的因素导致标的公司的产品质量出现问题，则大唐联诚的生产经营、市场信誉等将会受到不利影响。</w:t>
      </w:r>
    </w:p>
    <w:p w14:paraId="17DA3B7F" w14:textId="77777777" w:rsidR="006416B0" w:rsidRPr="00B4515A" w:rsidRDefault="005E58C1" w:rsidP="005860B4">
      <w:pPr>
        <w:pStyle w:val="004"/>
        <w:spacing w:before="120" w:after="120"/>
        <w:ind w:firstLine="482"/>
      </w:pPr>
      <w:r w:rsidRPr="00B4515A">
        <w:t>5</w:t>
      </w:r>
      <w:r w:rsidRPr="00B4515A">
        <w:rPr>
          <w:rFonts w:hint="eastAsia"/>
        </w:rPr>
        <w:t>、客户集中度较高风险</w:t>
      </w:r>
    </w:p>
    <w:p w14:paraId="2A2926A5" w14:textId="77777777" w:rsidR="006416B0" w:rsidRPr="00B4515A" w:rsidRDefault="005E58C1" w:rsidP="005860B4">
      <w:pPr>
        <w:pStyle w:val="005"/>
        <w:spacing w:before="120" w:after="120"/>
        <w:ind w:firstLine="480"/>
      </w:pPr>
      <w:r w:rsidRPr="00B4515A">
        <w:rPr>
          <w:rFonts w:hint="eastAsia"/>
        </w:rPr>
        <w:t>报告期内，标的公司均从事</w:t>
      </w:r>
      <w:r w:rsidRPr="00B4515A">
        <w:rPr>
          <w:rFonts w:hint="eastAsia"/>
          <w:bCs/>
        </w:rPr>
        <w:t>特种</w:t>
      </w:r>
      <w:r w:rsidRPr="00B4515A">
        <w:rPr>
          <w:rFonts w:hint="eastAsia"/>
        </w:rPr>
        <w:t>通信相关业务，标的公司存在向前五大客户销售占同期营业收入的比例超过</w:t>
      </w:r>
      <w:r w:rsidRPr="00B4515A">
        <w:t>60%</w:t>
      </w:r>
      <w:r w:rsidRPr="00B4515A">
        <w:rPr>
          <w:rFonts w:hint="eastAsia"/>
        </w:rPr>
        <w:t>的情况。标的公司客户集中度较高，主要系行业的特殊性，合格供应商准入资质及名录范围所致。本次重组完成后，如果我国宏观经济形势未来出现较大波动、</w:t>
      </w:r>
      <w:r w:rsidRPr="00B4515A">
        <w:rPr>
          <w:rFonts w:hint="eastAsia"/>
          <w:bCs/>
        </w:rPr>
        <w:t>特种</w:t>
      </w:r>
      <w:r w:rsidRPr="00B4515A">
        <w:rPr>
          <w:rFonts w:hint="eastAsia"/>
        </w:rPr>
        <w:t>通信产品采购速度放缓，将可能对公司的业务发展产生不利影响。公司存在客户集中度较高风险。</w:t>
      </w:r>
    </w:p>
    <w:p w14:paraId="07BC4191" w14:textId="77777777" w:rsidR="006416B0" w:rsidRPr="00B4515A" w:rsidRDefault="005E58C1" w:rsidP="005860B4">
      <w:pPr>
        <w:pStyle w:val="004"/>
        <w:spacing w:before="120" w:after="120"/>
        <w:ind w:firstLine="482"/>
      </w:pPr>
      <w:r w:rsidRPr="00B4515A">
        <w:t>6</w:t>
      </w:r>
      <w:r w:rsidRPr="00B4515A">
        <w:rPr>
          <w:rFonts w:hint="eastAsia"/>
        </w:rPr>
        <w:t>、税收政策风险</w:t>
      </w:r>
    </w:p>
    <w:p w14:paraId="1EE01DEC" w14:textId="77777777" w:rsidR="006416B0" w:rsidRPr="00B4515A" w:rsidRDefault="005E58C1" w:rsidP="005860B4">
      <w:pPr>
        <w:pStyle w:val="005"/>
        <w:spacing w:before="120" w:after="120"/>
        <w:ind w:firstLine="480"/>
      </w:pPr>
      <w:r w:rsidRPr="00B4515A">
        <w:rPr>
          <w:rFonts w:hint="eastAsia"/>
        </w:rPr>
        <w:t>本次注入的标的公司为高新技术企业，若其不能持续满足高新技术企业的认定要求，将导致该标的公司及上市公司无法享受税收优惠，从而给上市公司未来业绩水平造成不利影响。</w:t>
      </w:r>
    </w:p>
    <w:p w14:paraId="00BCF965" w14:textId="77777777" w:rsidR="006416B0" w:rsidRPr="00B4515A" w:rsidRDefault="005E58C1" w:rsidP="005860B4">
      <w:pPr>
        <w:pStyle w:val="002"/>
        <w:spacing w:before="120" w:after="120"/>
        <w:ind w:firstLine="562"/>
      </w:pPr>
      <w:bookmarkStart w:id="63" w:name="_Toc74565133"/>
      <w:bookmarkStart w:id="64" w:name="_Toc80960501"/>
      <w:bookmarkEnd w:id="62"/>
      <w:r w:rsidRPr="00B4515A">
        <w:rPr>
          <w:rFonts w:hint="eastAsia"/>
        </w:rPr>
        <w:t>三、其他风险</w:t>
      </w:r>
      <w:bookmarkEnd w:id="63"/>
      <w:bookmarkEnd w:id="64"/>
    </w:p>
    <w:p w14:paraId="6CB8525C" w14:textId="77777777" w:rsidR="006416B0" w:rsidRPr="00B4515A" w:rsidRDefault="005E58C1" w:rsidP="005860B4">
      <w:pPr>
        <w:pStyle w:val="003"/>
        <w:spacing w:before="120"/>
        <w:ind w:firstLine="482"/>
      </w:pPr>
      <w:bookmarkStart w:id="65" w:name="_Hlk76922649"/>
      <w:r w:rsidRPr="00B4515A">
        <w:rPr>
          <w:rFonts w:hint="eastAsia"/>
        </w:rPr>
        <w:t>（一）股价波动风险</w:t>
      </w:r>
    </w:p>
    <w:p w14:paraId="763C75E0" w14:textId="77777777" w:rsidR="006416B0" w:rsidRPr="00B4515A" w:rsidRDefault="005E58C1" w:rsidP="005860B4">
      <w:pPr>
        <w:pStyle w:val="005"/>
        <w:spacing w:before="120" w:after="120"/>
        <w:ind w:firstLine="480"/>
      </w:pPr>
      <w:r w:rsidRPr="00B4515A">
        <w:rPr>
          <w:rFonts w:hint="eastAsia"/>
        </w:rPr>
        <w:t>上市公司股票价格不仅取决于公司的盈利水平及发展前景，也受到市场供求关系、</w:t>
      </w:r>
      <w:r w:rsidRPr="00B4515A">
        <w:rPr>
          <w:rStyle w:val="005Char"/>
          <w:rFonts w:hint="eastAsia"/>
        </w:rPr>
        <w:t>国</w:t>
      </w:r>
      <w:r w:rsidRPr="00B4515A">
        <w:rPr>
          <w:rFonts w:hint="eastAsia"/>
        </w:rPr>
        <w:t>家经济政策调整、利率和汇率的变化、股票市场投机行为以及投资者心</w:t>
      </w:r>
      <w:r w:rsidRPr="00B4515A">
        <w:rPr>
          <w:rFonts w:hint="eastAsia"/>
        </w:rPr>
        <w:lastRenderedPageBreak/>
        <w:t>理预期等各种不可预测因素的影响，从而使上市公司股票的价格偏离其价值。除此之外，国内外宏观经济环境、国家宏观经济政策的制定、资本市场运行状况和投资者预期等各方面因素都会对股票价格产生影响。本次重组交易的实施完成需要较长的时间，在此期间上市公司的股票价格可能会出现较大波动，提请投资者注意本次交易中股票价格波动导致的投资风险。</w:t>
      </w:r>
    </w:p>
    <w:p w14:paraId="088311AF" w14:textId="77777777" w:rsidR="006416B0" w:rsidRPr="00B4515A" w:rsidRDefault="005E58C1" w:rsidP="005860B4">
      <w:pPr>
        <w:pStyle w:val="003"/>
        <w:spacing w:before="120"/>
        <w:ind w:firstLine="482"/>
      </w:pPr>
      <w:r w:rsidRPr="00B4515A">
        <w:rPr>
          <w:rFonts w:hint="eastAsia"/>
        </w:rPr>
        <w:t>（二）诉讼风险</w:t>
      </w:r>
    </w:p>
    <w:p w14:paraId="274A0B11" w14:textId="77777777" w:rsidR="006416B0" w:rsidRPr="00B4515A" w:rsidRDefault="005E58C1" w:rsidP="005860B4">
      <w:pPr>
        <w:pStyle w:val="005"/>
        <w:spacing w:before="120" w:after="120"/>
        <w:ind w:firstLine="480"/>
      </w:pPr>
      <w:r w:rsidRPr="00B4515A">
        <w:rPr>
          <w:rFonts w:hint="eastAsia"/>
        </w:rPr>
        <w:t>上市公司目前发生了多起诉讼案件，案件是否取得胜诉存在不确定性，我方起诉案件胜诉后对方有无可供执行的财产亦存在不确定性，我方被诉案件若败诉后则面临赔付的风险。公司将强化对已发生诉讼案件的应对策略和事后妥善处理措施，充分利用法律手段维护自身权益，尽最大可能收回欠款，避免损失扩大。</w:t>
      </w:r>
      <w:bookmarkEnd w:id="65"/>
    </w:p>
    <w:p w14:paraId="6DEEDFF2" w14:textId="77777777" w:rsidR="006416B0" w:rsidRPr="00B4515A" w:rsidRDefault="005E58C1">
      <w:r w:rsidRPr="00B4515A">
        <w:br w:type="page"/>
      </w:r>
    </w:p>
    <w:p w14:paraId="00123D4E" w14:textId="77777777" w:rsidR="006416B0" w:rsidRPr="00B4515A" w:rsidRDefault="005E58C1" w:rsidP="002B0582">
      <w:pPr>
        <w:pStyle w:val="001"/>
        <w:spacing w:before="360" w:after="360"/>
      </w:pPr>
      <w:bookmarkStart w:id="66" w:name="_Toc65492051"/>
      <w:bookmarkStart w:id="67" w:name="_Toc80960502"/>
      <w:r w:rsidRPr="00B4515A">
        <w:lastRenderedPageBreak/>
        <w:t>第一节</w:t>
      </w:r>
      <w:bookmarkStart w:id="68" w:name="_Hlk530005236"/>
      <w:r w:rsidRPr="00B4515A">
        <w:t xml:space="preserve"> </w:t>
      </w:r>
      <w:r w:rsidRPr="00B4515A">
        <w:t>本次交易概</w:t>
      </w:r>
      <w:bookmarkEnd w:id="68"/>
      <w:r w:rsidRPr="00B4515A">
        <w:rPr>
          <w:rFonts w:hint="eastAsia"/>
        </w:rPr>
        <w:t>况</w:t>
      </w:r>
      <w:bookmarkEnd w:id="66"/>
      <w:bookmarkEnd w:id="67"/>
    </w:p>
    <w:p w14:paraId="56C68C83" w14:textId="77777777" w:rsidR="006416B0" w:rsidRPr="00B4515A" w:rsidRDefault="005E58C1" w:rsidP="005860B4">
      <w:pPr>
        <w:pStyle w:val="002"/>
        <w:spacing w:before="120" w:after="120"/>
        <w:ind w:firstLine="562"/>
      </w:pPr>
      <w:bookmarkStart w:id="69" w:name="_Toc65492053"/>
      <w:bookmarkStart w:id="70" w:name="_Toc80960503"/>
      <w:r w:rsidRPr="00B4515A">
        <w:rPr>
          <w:rFonts w:hint="eastAsia"/>
        </w:rPr>
        <w:t>一</w:t>
      </w:r>
      <w:r w:rsidRPr="00B4515A">
        <w:t>、本次交易的背景和目的</w:t>
      </w:r>
      <w:bookmarkEnd w:id="69"/>
      <w:bookmarkEnd w:id="70"/>
    </w:p>
    <w:p w14:paraId="1A0959C1" w14:textId="77777777" w:rsidR="006416B0" w:rsidRPr="00B4515A" w:rsidRDefault="005E58C1" w:rsidP="005860B4">
      <w:pPr>
        <w:pStyle w:val="003"/>
        <w:spacing w:before="120"/>
        <w:ind w:firstLine="482"/>
      </w:pPr>
      <w:bookmarkStart w:id="71" w:name="_Hlk76922800"/>
      <w:r w:rsidRPr="00B4515A">
        <w:rPr>
          <w:rFonts w:hint="eastAsia"/>
        </w:rPr>
        <w:t>（一）本次交易背景</w:t>
      </w:r>
    </w:p>
    <w:p w14:paraId="73C51242" w14:textId="77777777" w:rsidR="006416B0" w:rsidRPr="00B4515A" w:rsidRDefault="005E58C1" w:rsidP="005860B4">
      <w:pPr>
        <w:pStyle w:val="004"/>
        <w:spacing w:before="120" w:after="120"/>
        <w:ind w:firstLine="482"/>
      </w:pPr>
      <w:r w:rsidRPr="00B4515A">
        <w:t>1</w:t>
      </w:r>
      <w:r w:rsidRPr="00B4515A">
        <w:rPr>
          <w:rFonts w:hint="eastAsia"/>
        </w:rPr>
        <w:t>、特通信息化行业发展前景广阔</w:t>
      </w:r>
    </w:p>
    <w:p w14:paraId="6A5A6350" w14:textId="77777777" w:rsidR="006416B0" w:rsidRPr="00B4515A" w:rsidRDefault="005E58C1" w:rsidP="005860B4">
      <w:pPr>
        <w:pStyle w:val="005"/>
        <w:spacing w:before="120" w:after="120"/>
        <w:ind w:firstLine="480"/>
      </w:pPr>
      <w:r w:rsidRPr="00B4515A">
        <w:rPr>
          <w:rFonts w:hint="eastAsia"/>
        </w:rPr>
        <w:t>自主可控和信息化作为我国实现特通信息化加速发展的重要途径，将推动特通信息化行业不断扩大，为行业内企业的发展带来新机遇。随着我国特通信息化建设全面开启，行业将迎来新的发展机遇。</w:t>
      </w:r>
    </w:p>
    <w:p w14:paraId="28A0DF49" w14:textId="77777777" w:rsidR="006416B0" w:rsidRPr="00B4515A" w:rsidRDefault="005E58C1" w:rsidP="005860B4">
      <w:pPr>
        <w:pStyle w:val="004"/>
        <w:spacing w:before="120" w:after="120"/>
        <w:ind w:firstLine="482"/>
      </w:pPr>
      <w:r w:rsidRPr="00B4515A">
        <w:t>2</w:t>
      </w:r>
      <w:r w:rsidRPr="00B4515A">
        <w:rPr>
          <w:rFonts w:hint="eastAsia"/>
        </w:rPr>
        <w:t>、上市公司现有业务增长压力较大</w:t>
      </w:r>
    </w:p>
    <w:p w14:paraId="3EA2CA96" w14:textId="187EE185" w:rsidR="006416B0" w:rsidRPr="00B4515A" w:rsidRDefault="005E58C1" w:rsidP="005860B4">
      <w:pPr>
        <w:pStyle w:val="005"/>
        <w:spacing w:before="120" w:after="120"/>
        <w:ind w:firstLine="480"/>
      </w:pPr>
      <w:r w:rsidRPr="00B4515A">
        <w:rPr>
          <w:rFonts w:hint="eastAsia"/>
        </w:rPr>
        <w:t>上市公司在继续发展</w:t>
      </w:r>
      <w:r w:rsidRPr="00B4515A">
        <w:rPr>
          <w:rFonts w:ascii="宋体" w:hAnsi="宋体" w:hint="eastAsia"/>
        </w:rPr>
        <w:t>“</w:t>
      </w:r>
      <w:r w:rsidRPr="00B4515A">
        <w:rPr>
          <w:rFonts w:hint="eastAsia"/>
        </w:rPr>
        <w:t>芯端云</w:t>
      </w:r>
      <w:r w:rsidRPr="00B4515A">
        <w:rPr>
          <w:rFonts w:ascii="宋体" w:hAnsi="宋体" w:hint="eastAsia"/>
        </w:rPr>
        <w:t>”</w:t>
      </w:r>
      <w:r w:rsidRPr="00B4515A">
        <w:rPr>
          <w:rFonts w:hint="eastAsia"/>
        </w:rPr>
        <w:t>战略的基础上，进一步突出</w:t>
      </w:r>
      <w:r w:rsidRPr="00B4515A">
        <w:rPr>
          <w:rFonts w:ascii="宋体" w:hAnsi="宋体" w:hint="eastAsia"/>
        </w:rPr>
        <w:t>“</w:t>
      </w:r>
      <w:r w:rsidRPr="00B4515A">
        <w:rPr>
          <w:rFonts w:hint="eastAsia"/>
        </w:rPr>
        <w:t>大安全</w:t>
      </w:r>
      <w:r w:rsidRPr="00B4515A">
        <w:rPr>
          <w:rFonts w:ascii="宋体" w:hAnsi="宋体" w:hint="eastAsia"/>
        </w:rPr>
        <w:t>”</w:t>
      </w:r>
      <w:r w:rsidRPr="00B4515A">
        <w:rPr>
          <w:rFonts w:hint="eastAsia"/>
        </w:rPr>
        <w:t>战略的引领作用，布局芯片、终端、网络与服务等信息通信产业链关键环节，提供相关产品和解决方案。在经济环境复杂和市场竞争</w:t>
      </w:r>
      <w:r w:rsidR="001C2353" w:rsidRPr="00B4515A">
        <w:rPr>
          <w:rFonts w:hint="eastAsia"/>
        </w:rPr>
        <w:t>激烈</w:t>
      </w:r>
      <w:r w:rsidRPr="00B4515A">
        <w:rPr>
          <w:rFonts w:hint="eastAsia"/>
        </w:rPr>
        <w:t>的背景下，上市公司现有主营业务增长压力较大。</w:t>
      </w:r>
      <w:r w:rsidRPr="00B4515A">
        <w:t>2019</w:t>
      </w:r>
      <w:r w:rsidRPr="00B4515A">
        <w:rPr>
          <w:rFonts w:hint="eastAsia"/>
        </w:rPr>
        <w:t>年度、</w:t>
      </w:r>
      <w:r w:rsidRPr="00B4515A">
        <w:t>2020</w:t>
      </w:r>
      <w:r w:rsidRPr="00B4515A">
        <w:rPr>
          <w:rFonts w:hint="eastAsia"/>
        </w:rPr>
        <w:t>年度，归属于上市公司股东的扣除非经常性损益的净利润分别为</w:t>
      </w:r>
      <w:r w:rsidRPr="00B4515A">
        <w:t>-97,005.63</w:t>
      </w:r>
      <w:r w:rsidRPr="00B4515A">
        <w:rPr>
          <w:rFonts w:hint="eastAsia"/>
        </w:rPr>
        <w:t>万元和</w:t>
      </w:r>
      <w:r w:rsidRPr="00B4515A">
        <w:t>-140,462.32</w:t>
      </w:r>
      <w:r w:rsidRPr="00B4515A">
        <w:rPr>
          <w:rFonts w:hint="eastAsia"/>
        </w:rPr>
        <w:t>万元。本次交易有利于实现上市公司股东利益最大化，增强上市公司的持续盈利能力和发展潜力。</w:t>
      </w:r>
    </w:p>
    <w:p w14:paraId="0642B8E2" w14:textId="77777777" w:rsidR="006416B0" w:rsidRPr="00B4515A" w:rsidRDefault="005E58C1" w:rsidP="005860B4">
      <w:pPr>
        <w:pStyle w:val="003"/>
        <w:spacing w:before="120"/>
        <w:ind w:firstLine="482"/>
      </w:pPr>
      <w:r w:rsidRPr="00B4515A">
        <w:rPr>
          <w:rFonts w:hint="eastAsia"/>
        </w:rPr>
        <w:t>（二）本次交易目的</w:t>
      </w:r>
    </w:p>
    <w:p w14:paraId="48BB6827" w14:textId="77777777" w:rsidR="006416B0" w:rsidRPr="00B4515A" w:rsidRDefault="005E58C1" w:rsidP="005860B4">
      <w:pPr>
        <w:pStyle w:val="004"/>
        <w:spacing w:before="120" w:after="120"/>
        <w:ind w:firstLine="482"/>
      </w:pPr>
      <w:r w:rsidRPr="00B4515A">
        <w:t>1</w:t>
      </w:r>
      <w:r w:rsidRPr="00B4515A">
        <w:rPr>
          <w:rFonts w:hint="eastAsia"/>
        </w:rPr>
        <w:t>、培育新的业务增长点，提高上市公司盈利能力</w:t>
      </w:r>
    </w:p>
    <w:p w14:paraId="589786E5" w14:textId="77777777" w:rsidR="006416B0" w:rsidRPr="00B4515A" w:rsidRDefault="005E58C1" w:rsidP="005860B4">
      <w:pPr>
        <w:pStyle w:val="005"/>
        <w:spacing w:before="120" w:after="120"/>
        <w:ind w:firstLine="480"/>
      </w:pPr>
      <w:r w:rsidRPr="00B4515A">
        <w:rPr>
          <w:rFonts w:hint="eastAsia"/>
        </w:rPr>
        <w:t>本次交易将为上市公司开拓新的业务增长点，上市公司将向特通信息化行业布局。本次交易完成后，大唐联诚将成为上市公司的子公司，纳入上市公司合并报表范围，有利于优化上市公司的收入结构，扩大上市公司的资产规模、收入和利润规模，增长上市公司未来的盈利能力，提升上市公司价值，增加股东的投资回报。</w:t>
      </w:r>
    </w:p>
    <w:p w14:paraId="481EDA27" w14:textId="77777777" w:rsidR="006416B0" w:rsidRPr="00B4515A" w:rsidRDefault="005E58C1" w:rsidP="005860B4">
      <w:pPr>
        <w:pStyle w:val="004"/>
        <w:spacing w:before="120" w:after="120"/>
        <w:ind w:firstLine="482"/>
      </w:pPr>
      <w:r w:rsidRPr="00B4515A">
        <w:t>2</w:t>
      </w:r>
      <w:r w:rsidRPr="00B4515A">
        <w:rPr>
          <w:rFonts w:hint="eastAsia"/>
        </w:rPr>
        <w:t>、拓宽大唐联诚融资渠道</w:t>
      </w:r>
    </w:p>
    <w:p w14:paraId="62A3F7A3" w14:textId="77777777" w:rsidR="006416B0" w:rsidRPr="00B4515A" w:rsidRDefault="005E58C1" w:rsidP="005860B4">
      <w:pPr>
        <w:pStyle w:val="005"/>
        <w:spacing w:before="120" w:after="120"/>
        <w:ind w:firstLine="480"/>
      </w:pPr>
      <w:r w:rsidRPr="00B4515A">
        <w:rPr>
          <w:rFonts w:hint="eastAsia"/>
        </w:rPr>
        <w:t>大唐联诚是快速发展的高新技术企业，在营运资金和研发投入等方面存在较大的资金需求。本次交易完成后，大唐联诚将成为上市公司的子公司，可实现与资本市场的对接，建立持续的资本补充机制，有效降低融资成本，提升大唐联诚</w:t>
      </w:r>
      <w:r w:rsidRPr="00B4515A">
        <w:rPr>
          <w:rFonts w:hint="eastAsia"/>
        </w:rPr>
        <w:lastRenderedPageBreak/>
        <w:t>的整体竞争力。</w:t>
      </w:r>
      <w:bookmarkEnd w:id="71"/>
    </w:p>
    <w:p w14:paraId="47601084" w14:textId="77777777" w:rsidR="006416B0" w:rsidRPr="00B4515A" w:rsidRDefault="005E58C1" w:rsidP="005860B4">
      <w:pPr>
        <w:pStyle w:val="002"/>
        <w:spacing w:before="120" w:after="120"/>
        <w:ind w:firstLine="562"/>
      </w:pPr>
      <w:bookmarkStart w:id="72" w:name="_Toc80960504"/>
      <w:r w:rsidRPr="00B4515A">
        <w:rPr>
          <w:rFonts w:hint="eastAsia"/>
        </w:rPr>
        <w:t>二、本次交易方案实施需履行的批准程序</w:t>
      </w:r>
      <w:bookmarkEnd w:id="72"/>
    </w:p>
    <w:p w14:paraId="4B666BCC" w14:textId="77777777" w:rsidR="006416B0" w:rsidRPr="00B4515A" w:rsidRDefault="005E58C1" w:rsidP="005860B4">
      <w:pPr>
        <w:pStyle w:val="003"/>
        <w:spacing w:before="120"/>
        <w:ind w:firstLine="482"/>
      </w:pPr>
      <w:bookmarkStart w:id="73" w:name="_Hlk76922823"/>
      <w:r w:rsidRPr="00B4515A">
        <w:rPr>
          <w:rFonts w:hint="eastAsia"/>
        </w:rPr>
        <w:t>（一）本次交易方案已获得的授权和批准</w:t>
      </w:r>
    </w:p>
    <w:p w14:paraId="334254C4" w14:textId="77777777" w:rsidR="006416B0" w:rsidRPr="00B4515A" w:rsidRDefault="005E58C1" w:rsidP="005860B4">
      <w:pPr>
        <w:pStyle w:val="005"/>
        <w:spacing w:before="120" w:after="120"/>
        <w:ind w:firstLine="480"/>
      </w:pPr>
      <w:r w:rsidRPr="00B4515A">
        <w:rPr>
          <w:rFonts w:hint="eastAsia"/>
        </w:rPr>
        <w:t>截至本报告书签署之日，本次交易已经履行的决策过程及审批程序包括：</w:t>
      </w:r>
    </w:p>
    <w:p w14:paraId="12BAAD03" w14:textId="77777777" w:rsidR="006416B0" w:rsidRPr="00B4515A" w:rsidRDefault="005E58C1" w:rsidP="005860B4">
      <w:pPr>
        <w:pStyle w:val="004"/>
        <w:spacing w:before="120" w:after="120"/>
        <w:ind w:firstLine="482"/>
      </w:pPr>
      <w:r w:rsidRPr="00B4515A">
        <w:t>1</w:t>
      </w:r>
      <w:r w:rsidRPr="00B4515A">
        <w:rPr>
          <w:rFonts w:hint="eastAsia"/>
        </w:rPr>
        <w:t>、上市公司已经履行的决策程序和获得的批准</w:t>
      </w:r>
    </w:p>
    <w:p w14:paraId="1E8BFC59" w14:textId="77777777" w:rsidR="006416B0" w:rsidRPr="00B4515A" w:rsidRDefault="005E58C1" w:rsidP="005860B4">
      <w:pPr>
        <w:pStyle w:val="005"/>
        <w:spacing w:before="120" w:after="120"/>
        <w:ind w:firstLine="480"/>
      </w:pPr>
      <w:r w:rsidRPr="00B4515A">
        <w:t>2021</w:t>
      </w:r>
      <w:r w:rsidRPr="00B4515A">
        <w:rPr>
          <w:rFonts w:hint="eastAsia"/>
        </w:rPr>
        <w:t>年</w:t>
      </w:r>
      <w:r w:rsidRPr="00B4515A">
        <w:t>5</w:t>
      </w:r>
      <w:r w:rsidRPr="00B4515A">
        <w:rPr>
          <w:rFonts w:hint="eastAsia"/>
        </w:rPr>
        <w:t>月</w:t>
      </w:r>
      <w:r w:rsidRPr="00B4515A">
        <w:t>10</w:t>
      </w:r>
      <w:r w:rsidRPr="00B4515A">
        <w:rPr>
          <w:rFonts w:hint="eastAsia"/>
        </w:rPr>
        <w:t>日，大唐电信召开第七届董事会第五十八次会议，审议通过了《关于本次发行股份购买资产并募集配套资金暨关联交易的方案的议案》等与本次交易相关的议案。</w:t>
      </w:r>
    </w:p>
    <w:p w14:paraId="7B5C94E8" w14:textId="6719ACCF" w:rsidR="006416B0" w:rsidRPr="00B4515A" w:rsidRDefault="005E58C1" w:rsidP="005860B4">
      <w:pPr>
        <w:pStyle w:val="005"/>
        <w:spacing w:before="120" w:after="120"/>
        <w:ind w:firstLine="480"/>
      </w:pPr>
      <w:r w:rsidRPr="00B4515A">
        <w:rPr>
          <w:rFonts w:hint="eastAsia"/>
        </w:rPr>
        <w:t>2</w:t>
      </w:r>
      <w:r w:rsidRPr="00B4515A">
        <w:t>021</w:t>
      </w:r>
      <w:r w:rsidRPr="00B4515A">
        <w:rPr>
          <w:rFonts w:hint="eastAsia"/>
        </w:rPr>
        <w:t>年</w:t>
      </w:r>
      <w:r w:rsidRPr="00B4515A">
        <w:t>8</w:t>
      </w:r>
      <w:r w:rsidRPr="00B4515A">
        <w:rPr>
          <w:rFonts w:hint="eastAsia"/>
        </w:rPr>
        <w:t>月</w:t>
      </w:r>
      <w:r w:rsidR="00846F05" w:rsidRPr="00B4515A">
        <w:t>2</w:t>
      </w:r>
      <w:r w:rsidR="00C677F3" w:rsidRPr="00B4515A">
        <w:t>6</w:t>
      </w:r>
      <w:r w:rsidRPr="00B4515A">
        <w:rPr>
          <w:rFonts w:hint="eastAsia"/>
        </w:rPr>
        <w:t>日，大唐电信召开第八届董事会第</w:t>
      </w:r>
      <w:r w:rsidR="00DF26D5" w:rsidRPr="00B4515A">
        <w:rPr>
          <w:rFonts w:hint="eastAsia"/>
        </w:rPr>
        <w:t>五</w:t>
      </w:r>
      <w:r w:rsidRPr="00B4515A">
        <w:rPr>
          <w:rFonts w:hint="eastAsia"/>
        </w:rPr>
        <w:t>次会议，审议通过了《</w:t>
      </w:r>
      <w:bookmarkStart w:id="74" w:name="_Hlk78554149"/>
      <w:r w:rsidRPr="00B4515A">
        <w:rPr>
          <w:rFonts w:hint="eastAsia"/>
        </w:rPr>
        <w:t>关于本次发行股份购买资产并募集配套资金暨关联交易的方案的议案</w:t>
      </w:r>
      <w:bookmarkEnd w:id="74"/>
      <w:r w:rsidRPr="00B4515A">
        <w:rPr>
          <w:rFonts w:hint="eastAsia"/>
        </w:rPr>
        <w:t>》等与本次交易相关的议案。</w:t>
      </w:r>
    </w:p>
    <w:p w14:paraId="29C9796D" w14:textId="77777777" w:rsidR="006416B0" w:rsidRPr="00B4515A" w:rsidRDefault="005E58C1" w:rsidP="005860B4">
      <w:pPr>
        <w:pStyle w:val="004"/>
        <w:spacing w:before="120" w:after="120"/>
        <w:ind w:firstLine="482"/>
      </w:pPr>
      <w:r w:rsidRPr="00B4515A">
        <w:t>2</w:t>
      </w:r>
      <w:r w:rsidRPr="00B4515A">
        <w:rPr>
          <w:rFonts w:hint="eastAsia"/>
        </w:rPr>
        <w:t>、交易对方已经履行的决策程序和获得的批准</w:t>
      </w:r>
    </w:p>
    <w:p w14:paraId="314408DD" w14:textId="5F076467" w:rsidR="006416B0" w:rsidRPr="00B4515A" w:rsidRDefault="005E58C1" w:rsidP="005860B4">
      <w:pPr>
        <w:pStyle w:val="005"/>
        <w:spacing w:before="120" w:after="120"/>
        <w:ind w:firstLine="480"/>
      </w:pPr>
      <w:r w:rsidRPr="00B4515A">
        <w:t>2021</w:t>
      </w:r>
      <w:r w:rsidRPr="00B4515A">
        <w:rPr>
          <w:rFonts w:hint="eastAsia"/>
        </w:rPr>
        <w:t>年</w:t>
      </w:r>
      <w:r w:rsidRPr="00B4515A">
        <w:t>5</w:t>
      </w:r>
      <w:r w:rsidRPr="00B4515A">
        <w:rPr>
          <w:rFonts w:hint="eastAsia"/>
        </w:rPr>
        <w:t>月至</w:t>
      </w:r>
      <w:r w:rsidRPr="00B4515A">
        <w:t>2021</w:t>
      </w:r>
      <w:r w:rsidRPr="00B4515A">
        <w:rPr>
          <w:rFonts w:hint="eastAsia"/>
        </w:rPr>
        <w:t>年</w:t>
      </w:r>
      <w:r w:rsidR="00DF26D5" w:rsidRPr="00B4515A">
        <w:rPr>
          <w:rFonts w:hint="eastAsia"/>
        </w:rPr>
        <w:t>8</w:t>
      </w:r>
      <w:r w:rsidRPr="00B4515A">
        <w:rPr>
          <w:rFonts w:hint="eastAsia"/>
        </w:rPr>
        <w:t>月</w:t>
      </w:r>
      <w:r w:rsidRPr="00B4515A">
        <w:t>，本次</w:t>
      </w:r>
      <w:r w:rsidRPr="00B4515A">
        <w:rPr>
          <w:rFonts w:hint="eastAsia"/>
        </w:rPr>
        <w:t>重组的交</w:t>
      </w:r>
      <w:r w:rsidRPr="00B4515A">
        <w:t>易对方均就参与本次交易相关事宜履行了相应的内部审议及批准程序。</w:t>
      </w:r>
    </w:p>
    <w:p w14:paraId="1A14DDF4" w14:textId="77777777" w:rsidR="006416B0" w:rsidRPr="00B4515A" w:rsidRDefault="005E58C1" w:rsidP="005860B4">
      <w:pPr>
        <w:pStyle w:val="004"/>
        <w:spacing w:before="120" w:after="120"/>
        <w:ind w:firstLine="482"/>
      </w:pPr>
      <w:r w:rsidRPr="00B4515A">
        <w:t>3</w:t>
      </w:r>
      <w:r w:rsidRPr="00B4515A">
        <w:rPr>
          <w:rFonts w:hint="eastAsia"/>
        </w:rPr>
        <w:t>、标的公司已经履行的决策程序和获得的批准</w:t>
      </w:r>
    </w:p>
    <w:p w14:paraId="2D93A10C" w14:textId="57A91E0F" w:rsidR="006416B0" w:rsidRPr="00B4515A" w:rsidRDefault="005E58C1" w:rsidP="005860B4">
      <w:pPr>
        <w:pStyle w:val="005"/>
        <w:spacing w:before="120" w:after="120"/>
        <w:ind w:firstLine="480"/>
      </w:pPr>
      <w:r w:rsidRPr="00B4515A">
        <w:rPr>
          <w:rFonts w:hint="eastAsia"/>
        </w:rPr>
        <w:t>2</w:t>
      </w:r>
      <w:r w:rsidRPr="00B4515A">
        <w:t>021</w:t>
      </w:r>
      <w:r w:rsidRPr="00B4515A">
        <w:rPr>
          <w:rFonts w:hint="eastAsia"/>
        </w:rPr>
        <w:t>年</w:t>
      </w:r>
      <w:r w:rsidRPr="00B4515A">
        <w:t>8</w:t>
      </w:r>
      <w:r w:rsidRPr="00B4515A">
        <w:rPr>
          <w:rFonts w:hint="eastAsia"/>
        </w:rPr>
        <w:t>月</w:t>
      </w:r>
      <w:r w:rsidR="00DF26D5" w:rsidRPr="00B4515A">
        <w:t>9</w:t>
      </w:r>
      <w:r w:rsidRPr="00B4515A">
        <w:rPr>
          <w:rFonts w:hint="eastAsia"/>
        </w:rPr>
        <w:t>日，大唐联诚召开</w:t>
      </w:r>
      <w:r w:rsidRPr="00B4515A">
        <w:rPr>
          <w:rFonts w:hint="eastAsia"/>
        </w:rPr>
        <w:t>2021</w:t>
      </w:r>
      <w:r w:rsidRPr="00B4515A">
        <w:rPr>
          <w:rFonts w:hint="eastAsia"/>
        </w:rPr>
        <w:t>年第</w:t>
      </w:r>
      <w:r w:rsidR="00DF26D5" w:rsidRPr="00B4515A">
        <w:rPr>
          <w:rFonts w:hint="eastAsia"/>
        </w:rPr>
        <w:t>五</w:t>
      </w:r>
      <w:r w:rsidRPr="00B4515A">
        <w:rPr>
          <w:rFonts w:hint="eastAsia"/>
        </w:rPr>
        <w:t>次股东会会议，审议通过了与本次交易相关的议案。</w:t>
      </w:r>
    </w:p>
    <w:p w14:paraId="1396272C" w14:textId="77777777" w:rsidR="006416B0" w:rsidRPr="00B4515A" w:rsidRDefault="005E58C1" w:rsidP="005860B4">
      <w:pPr>
        <w:pStyle w:val="004"/>
        <w:spacing w:before="120" w:after="120"/>
        <w:ind w:firstLine="482"/>
      </w:pPr>
      <w:r w:rsidRPr="00B4515A">
        <w:t>4</w:t>
      </w:r>
      <w:r w:rsidRPr="00B4515A">
        <w:rPr>
          <w:rFonts w:hint="eastAsia"/>
        </w:rPr>
        <w:t>、评估备案</w:t>
      </w:r>
    </w:p>
    <w:p w14:paraId="02698659" w14:textId="0DF2FC25" w:rsidR="006416B0" w:rsidRPr="00B4515A" w:rsidRDefault="005E58C1" w:rsidP="005860B4">
      <w:pPr>
        <w:pStyle w:val="005"/>
        <w:spacing w:before="120" w:after="120"/>
        <w:ind w:firstLine="480"/>
      </w:pPr>
      <w:r w:rsidRPr="00B4515A">
        <w:t>2021</w:t>
      </w:r>
      <w:r w:rsidRPr="00B4515A">
        <w:t>年</w:t>
      </w:r>
      <w:r w:rsidRPr="00B4515A">
        <w:t>8</w:t>
      </w:r>
      <w:r w:rsidRPr="00B4515A">
        <w:t>月</w:t>
      </w:r>
      <w:r w:rsidR="00F252BF" w:rsidRPr="00B4515A">
        <w:rPr>
          <w:rFonts w:hint="eastAsia"/>
        </w:rPr>
        <w:t>2</w:t>
      </w:r>
      <w:r w:rsidR="00F252BF" w:rsidRPr="00B4515A">
        <w:t>4</w:t>
      </w:r>
      <w:r w:rsidRPr="00B4515A">
        <w:t>日，</w:t>
      </w:r>
      <w:r w:rsidRPr="00B4515A">
        <w:rPr>
          <w:rFonts w:hint="eastAsia"/>
        </w:rPr>
        <w:t>大唐联诚</w:t>
      </w:r>
      <w:r w:rsidRPr="00B4515A">
        <w:t>《评估报告》取得国务院国资委备案。</w:t>
      </w:r>
    </w:p>
    <w:p w14:paraId="2553C320" w14:textId="77777777" w:rsidR="006416B0" w:rsidRPr="00B4515A" w:rsidRDefault="005E58C1" w:rsidP="005860B4">
      <w:pPr>
        <w:pStyle w:val="004"/>
        <w:spacing w:before="120" w:after="120"/>
        <w:ind w:firstLine="482"/>
      </w:pPr>
      <w:r w:rsidRPr="00B4515A">
        <w:rPr>
          <w:rFonts w:hint="eastAsia"/>
        </w:rPr>
        <w:t>5</w:t>
      </w:r>
      <w:r w:rsidRPr="00B4515A">
        <w:rPr>
          <w:rFonts w:hint="eastAsia"/>
        </w:rPr>
        <w:t>、</w:t>
      </w:r>
      <w:r w:rsidRPr="00B4515A">
        <w:t>国防科工局审查的批复</w:t>
      </w:r>
    </w:p>
    <w:p w14:paraId="19715E59" w14:textId="3DBFD0FD" w:rsidR="006416B0" w:rsidRPr="00B4515A" w:rsidRDefault="005E58C1" w:rsidP="005860B4">
      <w:pPr>
        <w:pStyle w:val="005"/>
        <w:spacing w:before="120" w:after="120"/>
        <w:ind w:firstLine="480"/>
      </w:pPr>
      <w:r w:rsidRPr="00B4515A">
        <w:rPr>
          <w:rFonts w:hint="eastAsia"/>
        </w:rPr>
        <w:t>2</w:t>
      </w:r>
      <w:r w:rsidRPr="00B4515A">
        <w:t>021</w:t>
      </w:r>
      <w:r w:rsidRPr="00B4515A">
        <w:rPr>
          <w:rFonts w:hint="eastAsia"/>
        </w:rPr>
        <w:t>年</w:t>
      </w:r>
      <w:r w:rsidRPr="00B4515A">
        <w:rPr>
          <w:rFonts w:hint="eastAsia"/>
        </w:rPr>
        <w:t>7</w:t>
      </w:r>
      <w:r w:rsidRPr="00B4515A">
        <w:rPr>
          <w:rFonts w:hint="eastAsia"/>
        </w:rPr>
        <w:t>月，</w:t>
      </w:r>
      <w:r w:rsidR="008F3BBE" w:rsidRPr="00B4515A">
        <w:rPr>
          <w:rFonts w:hint="eastAsia"/>
        </w:rPr>
        <w:t>国防科工局出具了对本次重组原则同意的审查意见</w:t>
      </w:r>
      <w:r w:rsidRPr="00B4515A">
        <w:rPr>
          <w:rFonts w:hint="eastAsia"/>
        </w:rPr>
        <w:t>。</w:t>
      </w:r>
    </w:p>
    <w:p w14:paraId="2D3D3DE5" w14:textId="77777777" w:rsidR="006416B0" w:rsidRPr="00B4515A" w:rsidRDefault="005E58C1" w:rsidP="005860B4">
      <w:pPr>
        <w:pStyle w:val="003"/>
        <w:spacing w:before="120"/>
        <w:ind w:firstLine="482"/>
      </w:pPr>
      <w:r w:rsidRPr="00B4515A">
        <w:rPr>
          <w:rFonts w:hint="eastAsia"/>
        </w:rPr>
        <w:t>（二）本次交易方案尚需获得的批准和核准</w:t>
      </w:r>
    </w:p>
    <w:p w14:paraId="217C518F" w14:textId="77777777" w:rsidR="006416B0" w:rsidRPr="00B4515A" w:rsidRDefault="005E58C1" w:rsidP="005860B4">
      <w:pPr>
        <w:pStyle w:val="005"/>
        <w:spacing w:before="120" w:after="120"/>
        <w:ind w:firstLine="480"/>
      </w:pPr>
      <w:r w:rsidRPr="00B4515A">
        <w:rPr>
          <w:rFonts w:hint="eastAsia"/>
        </w:rPr>
        <w:t>截至本报告书签署之日，本次重组尚未履行的决策程序，包括但不限于：</w:t>
      </w:r>
    </w:p>
    <w:p w14:paraId="3951ACD9" w14:textId="77777777" w:rsidR="006416B0" w:rsidRPr="00B4515A" w:rsidRDefault="005E58C1" w:rsidP="005860B4">
      <w:pPr>
        <w:pStyle w:val="005"/>
        <w:spacing w:before="120" w:after="120"/>
        <w:ind w:firstLine="480"/>
      </w:pPr>
      <w:r w:rsidRPr="00B4515A">
        <w:t>1</w:t>
      </w:r>
      <w:r w:rsidRPr="00B4515A">
        <w:rPr>
          <w:rFonts w:hint="eastAsia"/>
        </w:rPr>
        <w:t>、本次交易相关事项尚需取得金融街资本主管部门的批准</w:t>
      </w:r>
      <w:r w:rsidRPr="00B4515A">
        <w:rPr>
          <w:rFonts w:hint="eastAsia"/>
        </w:rPr>
        <w:t>/</w:t>
      </w:r>
      <w:r w:rsidRPr="00B4515A">
        <w:rPr>
          <w:rFonts w:hint="eastAsia"/>
        </w:rPr>
        <w:t>备案；</w:t>
      </w:r>
    </w:p>
    <w:p w14:paraId="0D60C8C4" w14:textId="77777777" w:rsidR="006416B0" w:rsidRPr="00B4515A" w:rsidRDefault="005E58C1" w:rsidP="005860B4">
      <w:pPr>
        <w:pStyle w:val="005"/>
        <w:spacing w:before="120" w:after="120"/>
        <w:ind w:firstLine="480"/>
      </w:pPr>
      <w:r w:rsidRPr="00B4515A">
        <w:t>2</w:t>
      </w:r>
      <w:r w:rsidRPr="00B4515A">
        <w:rPr>
          <w:rFonts w:hint="eastAsia"/>
        </w:rPr>
        <w:t>、本次重组尚需经国务院国资委批复；</w:t>
      </w:r>
    </w:p>
    <w:p w14:paraId="5502C910" w14:textId="77777777" w:rsidR="006416B0" w:rsidRPr="00B4515A" w:rsidRDefault="005E58C1" w:rsidP="005860B4">
      <w:pPr>
        <w:pStyle w:val="005"/>
        <w:spacing w:before="120" w:after="120"/>
        <w:ind w:firstLine="480"/>
      </w:pPr>
      <w:r w:rsidRPr="00B4515A">
        <w:lastRenderedPageBreak/>
        <w:t>3</w:t>
      </w:r>
      <w:r w:rsidRPr="00B4515A">
        <w:rPr>
          <w:rFonts w:hint="eastAsia"/>
        </w:rPr>
        <w:t>、本次重组尚需经上市公司股东大会审议通过；</w:t>
      </w:r>
    </w:p>
    <w:p w14:paraId="66E85E0D" w14:textId="77777777" w:rsidR="006416B0" w:rsidRPr="00B4515A" w:rsidRDefault="005E58C1" w:rsidP="005860B4">
      <w:pPr>
        <w:pStyle w:val="005"/>
        <w:spacing w:before="120" w:after="120"/>
        <w:ind w:firstLine="480"/>
      </w:pPr>
      <w:r w:rsidRPr="00B4515A">
        <w:t>4</w:t>
      </w:r>
      <w:r w:rsidRPr="00B4515A">
        <w:rPr>
          <w:rFonts w:hint="eastAsia"/>
        </w:rPr>
        <w:t>、本次重组尚需经中国证监会核准；</w:t>
      </w:r>
    </w:p>
    <w:p w14:paraId="7B6D007F" w14:textId="77777777" w:rsidR="006416B0" w:rsidRPr="00B4515A" w:rsidRDefault="005E58C1" w:rsidP="005860B4">
      <w:pPr>
        <w:pStyle w:val="005"/>
        <w:spacing w:before="120" w:after="120"/>
        <w:ind w:firstLine="480"/>
      </w:pPr>
      <w:r w:rsidRPr="00B4515A">
        <w:t>5</w:t>
      </w:r>
      <w:r w:rsidRPr="00B4515A">
        <w:rPr>
          <w:rFonts w:hint="eastAsia"/>
        </w:rPr>
        <w:t>、相关法律法规所要求的其他可能涉及的批准或核准。</w:t>
      </w:r>
      <w:bookmarkEnd w:id="73"/>
    </w:p>
    <w:p w14:paraId="1FB8F7EF" w14:textId="77777777" w:rsidR="006416B0" w:rsidRPr="00B4515A" w:rsidRDefault="005E58C1" w:rsidP="005860B4">
      <w:pPr>
        <w:pStyle w:val="002"/>
        <w:spacing w:before="120" w:after="120"/>
        <w:ind w:firstLine="562"/>
      </w:pPr>
      <w:bookmarkStart w:id="75" w:name="_Toc65492056"/>
      <w:bookmarkStart w:id="76" w:name="_Toc80960505"/>
      <w:r w:rsidRPr="00B4515A">
        <w:rPr>
          <w:rFonts w:hint="eastAsia"/>
        </w:rPr>
        <w:t>三</w:t>
      </w:r>
      <w:r w:rsidRPr="00B4515A">
        <w:t>、本次交易的具体方案</w:t>
      </w:r>
      <w:bookmarkEnd w:id="75"/>
      <w:bookmarkEnd w:id="76"/>
    </w:p>
    <w:p w14:paraId="160C3F9A" w14:textId="00C27A1E" w:rsidR="006416B0" w:rsidRPr="00B4515A" w:rsidRDefault="005E58C1" w:rsidP="005860B4">
      <w:pPr>
        <w:pStyle w:val="005"/>
        <w:spacing w:before="120" w:after="120"/>
        <w:ind w:firstLine="480"/>
      </w:pPr>
      <w:bookmarkStart w:id="77" w:name="OLE_LINK9"/>
      <w:bookmarkStart w:id="78" w:name="OLE_LINK10"/>
      <w:r w:rsidRPr="00B4515A">
        <w:rPr>
          <w:rFonts w:hint="eastAsia"/>
        </w:rPr>
        <w:t>上市公司拟向电信科研院、大唐控股、</w:t>
      </w:r>
      <w:r w:rsidR="00252376" w:rsidRPr="00B4515A">
        <w:rPr>
          <w:rFonts w:hint="eastAsia"/>
        </w:rPr>
        <w:t>长江移动基金</w:t>
      </w:r>
      <w:r w:rsidRPr="00B4515A">
        <w:rPr>
          <w:rFonts w:hint="eastAsia"/>
        </w:rPr>
        <w:t>、结构调整基金及金融街资本发行股份购买其持有的大唐联诚</w:t>
      </w:r>
      <w:r w:rsidRPr="00B4515A">
        <w:t>95.001</w:t>
      </w:r>
      <w:r w:rsidRPr="00B4515A">
        <w:rPr>
          <w:rFonts w:hint="eastAsia"/>
        </w:rPr>
        <w:t>%</w:t>
      </w:r>
      <w:r w:rsidRPr="00B4515A">
        <w:rPr>
          <w:rFonts w:hint="eastAsia"/>
        </w:rPr>
        <w:t>股权。</w:t>
      </w:r>
    </w:p>
    <w:p w14:paraId="6EF0BE20" w14:textId="77777777" w:rsidR="006416B0" w:rsidRPr="00B4515A" w:rsidRDefault="005E58C1" w:rsidP="005860B4">
      <w:pPr>
        <w:pStyle w:val="005"/>
        <w:spacing w:before="120" w:after="120"/>
        <w:ind w:firstLine="480"/>
      </w:pPr>
      <w:r w:rsidRPr="00B4515A">
        <w:rPr>
          <w:rFonts w:hint="eastAsia"/>
        </w:rPr>
        <w:t>为提高重组后新注入资产的绩效，同时满足上市公司未来的资金需求，上市公司拟向中国信科集团非公开发行股份募集配套资金</w:t>
      </w:r>
      <w:r w:rsidRPr="00B4515A">
        <w:rPr>
          <w:rFonts w:hint="eastAsia"/>
        </w:rPr>
        <w:t>99,999.999656</w:t>
      </w:r>
      <w:r w:rsidRPr="00B4515A">
        <w:rPr>
          <w:rFonts w:hint="eastAsia"/>
        </w:rPr>
        <w:t>万元。</w:t>
      </w:r>
    </w:p>
    <w:p w14:paraId="24BAC0E5" w14:textId="77777777" w:rsidR="006416B0" w:rsidRPr="00B4515A" w:rsidRDefault="005E58C1" w:rsidP="005860B4">
      <w:pPr>
        <w:pStyle w:val="005"/>
        <w:spacing w:before="120" w:after="120"/>
        <w:ind w:firstLine="480"/>
      </w:pPr>
      <w:r w:rsidRPr="00B4515A">
        <w:rPr>
          <w:rFonts w:hint="eastAsia"/>
        </w:rPr>
        <w:t>本次发行股份购买资产为募集配套资金的前提，而发行股份购买资产不以募集配套资金为前提。</w:t>
      </w:r>
    </w:p>
    <w:p w14:paraId="2B86E0FE" w14:textId="77777777" w:rsidR="006416B0" w:rsidRPr="00B4515A" w:rsidRDefault="005E58C1" w:rsidP="005860B4">
      <w:pPr>
        <w:pStyle w:val="003"/>
        <w:spacing w:before="120"/>
        <w:ind w:firstLine="482"/>
      </w:pPr>
      <w:r w:rsidRPr="00B4515A">
        <w:t>（一）发行股份购买资产</w:t>
      </w:r>
    </w:p>
    <w:p w14:paraId="707234E8" w14:textId="77777777" w:rsidR="006416B0" w:rsidRPr="00B4515A" w:rsidRDefault="005E58C1" w:rsidP="005860B4">
      <w:pPr>
        <w:pStyle w:val="005"/>
        <w:spacing w:before="120" w:after="120"/>
        <w:ind w:firstLine="480"/>
      </w:pPr>
      <w:r w:rsidRPr="00B4515A">
        <w:t>本次交易标的资产的交易价格以经备案的评估报告的评估结果为基础，由上市公司与交易对方协商确定。</w:t>
      </w:r>
    </w:p>
    <w:p w14:paraId="686490CE" w14:textId="34745FBA" w:rsidR="006416B0" w:rsidRPr="00B4515A" w:rsidRDefault="005E58C1" w:rsidP="005860B4">
      <w:pPr>
        <w:pStyle w:val="005"/>
        <w:spacing w:before="120" w:after="120"/>
        <w:ind w:firstLine="480"/>
      </w:pPr>
      <w:r w:rsidRPr="00B4515A">
        <w:t>根据东洲</w:t>
      </w:r>
      <w:r w:rsidR="00201C23" w:rsidRPr="00B4515A">
        <w:rPr>
          <w:rFonts w:hint="eastAsia"/>
        </w:rPr>
        <w:t>评估</w:t>
      </w:r>
      <w:r w:rsidRPr="00B4515A">
        <w:t>出具的并经国务院国资委备案的资产评估报告，以</w:t>
      </w:r>
      <w:r w:rsidRPr="00B4515A">
        <w:t>2021</w:t>
      </w:r>
      <w:r w:rsidRPr="00B4515A">
        <w:t>年</w:t>
      </w:r>
      <w:r w:rsidRPr="00B4515A">
        <w:t>4</w:t>
      </w:r>
      <w:r w:rsidRPr="00B4515A">
        <w:t>月</w:t>
      </w:r>
      <w:r w:rsidRPr="00B4515A">
        <w:t>30</w:t>
      </w:r>
      <w:r w:rsidRPr="00B4515A">
        <w:t>日为评估基准日，标的公司大唐联诚股东全部权益评估值为</w:t>
      </w:r>
      <w:r w:rsidRPr="00B4515A">
        <w:rPr>
          <w:rFonts w:hint="eastAsia"/>
        </w:rPr>
        <w:t>人民币</w:t>
      </w:r>
      <w:r w:rsidRPr="00B4515A">
        <w:t>148,256.37</w:t>
      </w:r>
      <w:r w:rsidRPr="00B4515A">
        <w:rPr>
          <w:rFonts w:hint="eastAsia"/>
        </w:rPr>
        <w:t>万元</w:t>
      </w:r>
      <w:r w:rsidRPr="00B4515A">
        <w:t>。经交易双方友好协商，同意标的资产交易价格为</w:t>
      </w:r>
      <w:r w:rsidRPr="00B4515A">
        <w:rPr>
          <w:rFonts w:hint="eastAsia"/>
        </w:rPr>
        <w:t>标的公司评估值与</w:t>
      </w:r>
      <w:r w:rsidRPr="00B4515A">
        <w:rPr>
          <w:rFonts w:hint="eastAsia"/>
        </w:rPr>
        <w:t>9</w:t>
      </w:r>
      <w:r w:rsidRPr="00B4515A">
        <w:t>5.001</w:t>
      </w:r>
      <w:r w:rsidRPr="00B4515A">
        <w:rPr>
          <w:rFonts w:hint="eastAsia"/>
        </w:rPr>
        <w:t>%</w:t>
      </w:r>
      <w:r w:rsidRPr="00B4515A">
        <w:rPr>
          <w:rFonts w:hint="eastAsia"/>
        </w:rPr>
        <w:t>的乘积，即</w:t>
      </w:r>
      <w:r w:rsidRPr="00B4515A">
        <w:t>1,408,450,340.64</w:t>
      </w:r>
      <w:r w:rsidRPr="00B4515A">
        <w:t>元。</w:t>
      </w:r>
    </w:p>
    <w:p w14:paraId="751417A8" w14:textId="77777777" w:rsidR="006416B0" w:rsidRPr="00B4515A" w:rsidRDefault="005E58C1" w:rsidP="005860B4">
      <w:pPr>
        <w:pStyle w:val="005"/>
        <w:spacing w:before="120" w:after="120"/>
        <w:ind w:firstLine="480"/>
      </w:pPr>
      <w:r w:rsidRPr="00B4515A">
        <w:t>本次发行股份购买资产的定价基准日为公司审议本次重组相关事项的第七届董事会第五十八次会议决议公告之日。本次发行股份购买资产的发行价格为</w:t>
      </w:r>
      <w:r w:rsidRPr="00B4515A">
        <w:t>5.85</w:t>
      </w:r>
      <w:r w:rsidRPr="00B4515A">
        <w:t>元</w:t>
      </w:r>
      <w:r w:rsidRPr="00B4515A">
        <w:t>/</w:t>
      </w:r>
      <w:r w:rsidRPr="00B4515A">
        <w:t>股，不低于定价基准日前</w:t>
      </w:r>
      <w:r w:rsidRPr="00B4515A">
        <w:t>60</w:t>
      </w:r>
      <w:r w:rsidRPr="00B4515A">
        <w:t>个交易日上市公司股票交易均价的</w:t>
      </w:r>
      <w:r w:rsidRPr="00B4515A">
        <w:t>90%</w:t>
      </w:r>
      <w:r w:rsidRPr="00B4515A">
        <w:t>。</w:t>
      </w:r>
    </w:p>
    <w:p w14:paraId="1EDC8CA8" w14:textId="77777777" w:rsidR="006416B0" w:rsidRPr="00B4515A" w:rsidRDefault="005E58C1" w:rsidP="005860B4">
      <w:pPr>
        <w:pStyle w:val="005"/>
        <w:spacing w:before="120" w:after="120"/>
        <w:ind w:firstLine="480"/>
      </w:pPr>
      <w:r w:rsidRPr="00B4515A">
        <w:t>本次</w:t>
      </w:r>
      <w:r w:rsidRPr="00B4515A">
        <w:rPr>
          <w:rFonts w:hint="eastAsia"/>
        </w:rPr>
        <w:t>购买资产所</w:t>
      </w:r>
      <w:r w:rsidRPr="00B4515A">
        <w:t>发行</w:t>
      </w:r>
      <w:r w:rsidRPr="00B4515A">
        <w:rPr>
          <w:rFonts w:hint="eastAsia"/>
        </w:rPr>
        <w:t>的</w:t>
      </w:r>
      <w:r w:rsidRPr="00B4515A">
        <w:t>股份数量为</w:t>
      </w:r>
      <w:r w:rsidRPr="00B4515A">
        <w:t>240,760,740</w:t>
      </w:r>
      <w:r w:rsidRPr="00B4515A">
        <w:t>股，发行完成后，公司总股本将变更为</w:t>
      </w:r>
      <w:r w:rsidRPr="00B4515A">
        <w:t>1,122,869,212</w:t>
      </w:r>
      <w:r w:rsidRPr="00B4515A">
        <w:t>股。若在股份发行日之前，上市公司发生派发股利、送红股、转增股本、增发新股或配股等除息、除权行为，则上述发行价格、发行数量亦将根据相关规则作相应调整。最终发行数量以股东大会审议通过并经中国证监会核准的数量为准。</w:t>
      </w:r>
    </w:p>
    <w:p w14:paraId="0E0CCFFE" w14:textId="77777777" w:rsidR="006416B0" w:rsidRPr="00B4515A" w:rsidRDefault="005E58C1" w:rsidP="005860B4">
      <w:pPr>
        <w:pStyle w:val="003"/>
        <w:spacing w:before="120"/>
        <w:ind w:firstLine="482"/>
      </w:pPr>
      <w:r w:rsidRPr="00B4515A">
        <w:lastRenderedPageBreak/>
        <w:t>（二）募集配套资金</w:t>
      </w:r>
    </w:p>
    <w:p w14:paraId="1C93F747" w14:textId="77777777" w:rsidR="006416B0" w:rsidRPr="00B4515A" w:rsidRDefault="005E58C1" w:rsidP="005860B4">
      <w:pPr>
        <w:pStyle w:val="005"/>
        <w:spacing w:before="120" w:after="120"/>
        <w:ind w:firstLine="480"/>
      </w:pPr>
      <w:r w:rsidRPr="00B4515A">
        <w:t>上市公司拟向中国信科集团以锁价方式非公开发行股票募集配套资金</w:t>
      </w:r>
      <w:r w:rsidRPr="00B4515A">
        <w:t>99,999.999656</w:t>
      </w:r>
      <w:r w:rsidRPr="00B4515A">
        <w:t>万元。</w:t>
      </w:r>
    </w:p>
    <w:p w14:paraId="73821484" w14:textId="77777777" w:rsidR="006416B0" w:rsidRPr="00B4515A" w:rsidRDefault="005E58C1" w:rsidP="005860B4">
      <w:pPr>
        <w:pStyle w:val="005"/>
        <w:spacing w:before="120" w:after="120"/>
        <w:ind w:firstLine="480"/>
      </w:pPr>
      <w:r w:rsidRPr="00B4515A">
        <w:t>本次募集配套资金定价基准日为上市公司审议本次发行股份购买资产并募集配套资金的第七届董事会第五十八次董事会决议公告日，发行价格为</w:t>
      </w:r>
      <w:r w:rsidRPr="00B4515A">
        <w:t>5.24</w:t>
      </w:r>
      <w:r w:rsidRPr="00B4515A">
        <w:t>元</w:t>
      </w:r>
      <w:r w:rsidRPr="00B4515A">
        <w:t>/</w:t>
      </w:r>
      <w:r w:rsidRPr="00B4515A">
        <w:t>股，不低于定价基准日前</w:t>
      </w:r>
      <w:r w:rsidRPr="00B4515A">
        <w:t>20</w:t>
      </w:r>
      <w:r w:rsidRPr="00B4515A">
        <w:t>个交易日上市公司</w:t>
      </w:r>
      <w:r w:rsidRPr="00B4515A">
        <w:t>A</w:t>
      </w:r>
      <w:r w:rsidRPr="00B4515A">
        <w:t>股股票交易均价的</w:t>
      </w:r>
      <w:r w:rsidRPr="00B4515A">
        <w:t>80%</w:t>
      </w:r>
      <w:r w:rsidRPr="00B4515A">
        <w:t>。</w:t>
      </w:r>
    </w:p>
    <w:p w14:paraId="6059EEDB" w14:textId="77777777" w:rsidR="006416B0" w:rsidRPr="00B4515A" w:rsidRDefault="005E58C1" w:rsidP="005860B4">
      <w:pPr>
        <w:pStyle w:val="005"/>
        <w:spacing w:before="120" w:after="120"/>
        <w:ind w:firstLine="480"/>
      </w:pPr>
      <w:r w:rsidRPr="00B4515A">
        <w:t>在本次交易定价基准日至发行日期间，若上市公司股票发生派息、送红股、资本公积金转增股本、配股等除权除息事项，则发行价格将作相应调整。</w:t>
      </w:r>
    </w:p>
    <w:p w14:paraId="752D3EC4" w14:textId="77777777" w:rsidR="006416B0" w:rsidRPr="00B4515A" w:rsidRDefault="005E58C1" w:rsidP="005860B4">
      <w:pPr>
        <w:pStyle w:val="005"/>
        <w:spacing w:before="120" w:after="120"/>
        <w:ind w:firstLine="480"/>
      </w:pPr>
      <w:r w:rsidRPr="00B4515A">
        <w:rPr>
          <w:rFonts w:hint="eastAsia"/>
        </w:rPr>
        <w:t>本次募集配套资金发行对象中国信科集团参与募集配套资金股份认购所取得股份自发行结束之日起</w:t>
      </w:r>
      <w:r w:rsidRPr="00B4515A">
        <w:t>3</w:t>
      </w:r>
      <w:r w:rsidRPr="00B4515A">
        <w:rPr>
          <w:rFonts w:hint="eastAsia"/>
        </w:rPr>
        <w:t>年内不得转让。中国信科集团所认购</w:t>
      </w:r>
      <w:r w:rsidRPr="00B4515A">
        <w:rPr>
          <w:rFonts w:hint="eastAsia"/>
        </w:rPr>
        <w:t>A</w:t>
      </w:r>
      <w:r w:rsidRPr="00B4515A">
        <w:rPr>
          <w:rFonts w:hint="eastAsia"/>
        </w:rPr>
        <w:t>股股份因上市公司分配股票股利、资本公积转增等情形所衍生取得的股份亦应遵守上述股份锁定安排。上述锁定期满后，该等股份的解锁及减持将按中国证监会及上海证券交易所的规定执行。</w:t>
      </w:r>
      <w:bookmarkEnd w:id="77"/>
      <w:bookmarkEnd w:id="78"/>
    </w:p>
    <w:p w14:paraId="63CDE507" w14:textId="77777777" w:rsidR="006416B0" w:rsidRPr="00B4515A" w:rsidRDefault="005E58C1" w:rsidP="005860B4">
      <w:pPr>
        <w:pStyle w:val="002"/>
        <w:spacing w:before="120" w:after="120"/>
        <w:ind w:firstLine="562"/>
      </w:pPr>
      <w:bookmarkStart w:id="79" w:name="_Toc65492058"/>
      <w:bookmarkStart w:id="80" w:name="_Toc80960506"/>
      <w:r w:rsidRPr="00B4515A">
        <w:rPr>
          <w:rFonts w:hint="eastAsia"/>
        </w:rPr>
        <w:t>四</w:t>
      </w:r>
      <w:r w:rsidRPr="00B4515A">
        <w:t>、业绩补偿承诺安排</w:t>
      </w:r>
      <w:bookmarkEnd w:id="79"/>
      <w:bookmarkEnd w:id="80"/>
    </w:p>
    <w:p w14:paraId="6CD8393F" w14:textId="77777777" w:rsidR="006416B0" w:rsidRPr="00B4515A" w:rsidRDefault="005E58C1" w:rsidP="005860B4">
      <w:pPr>
        <w:pStyle w:val="003"/>
        <w:spacing w:before="120"/>
        <w:ind w:firstLine="482"/>
      </w:pPr>
      <w:bookmarkStart w:id="81" w:name="_Hlk76922882"/>
      <w:r w:rsidRPr="00B4515A">
        <w:rPr>
          <w:rFonts w:hint="eastAsia"/>
        </w:rPr>
        <w:t>（一）业绩承诺</w:t>
      </w:r>
    </w:p>
    <w:p w14:paraId="3E1921D2" w14:textId="77777777" w:rsidR="006416B0" w:rsidRPr="00B4515A" w:rsidRDefault="005E58C1" w:rsidP="005860B4">
      <w:pPr>
        <w:pStyle w:val="004"/>
        <w:spacing w:before="120" w:after="120"/>
        <w:ind w:firstLine="482"/>
      </w:pPr>
      <w:r w:rsidRPr="00B4515A">
        <w:rPr>
          <w:rFonts w:hint="eastAsia"/>
        </w:rPr>
        <w:t>1</w:t>
      </w:r>
      <w:r w:rsidRPr="00B4515A">
        <w:rPr>
          <w:rFonts w:hint="eastAsia"/>
        </w:rPr>
        <w:t>、业绩承诺人</w:t>
      </w:r>
    </w:p>
    <w:p w14:paraId="6533398C" w14:textId="77777777" w:rsidR="006416B0" w:rsidRPr="00B4515A" w:rsidRDefault="005E58C1" w:rsidP="005860B4">
      <w:pPr>
        <w:pStyle w:val="005"/>
        <w:spacing w:before="120" w:after="120"/>
        <w:ind w:firstLine="480"/>
      </w:pPr>
      <w:r w:rsidRPr="00B4515A">
        <w:rPr>
          <w:rFonts w:hint="eastAsia"/>
        </w:rPr>
        <w:t>电信科研院、大唐控股为本次交易的业绩承诺人。</w:t>
      </w:r>
    </w:p>
    <w:p w14:paraId="79339BE7" w14:textId="77777777" w:rsidR="006416B0" w:rsidRPr="00B4515A" w:rsidRDefault="005E58C1" w:rsidP="005860B4">
      <w:pPr>
        <w:pStyle w:val="004"/>
        <w:spacing w:before="120" w:after="120"/>
        <w:ind w:firstLine="482"/>
      </w:pPr>
      <w:r w:rsidRPr="00B4515A">
        <w:rPr>
          <w:rFonts w:hint="eastAsia"/>
        </w:rPr>
        <w:t>2</w:t>
      </w:r>
      <w:r w:rsidRPr="00B4515A">
        <w:rPr>
          <w:rFonts w:hint="eastAsia"/>
        </w:rPr>
        <w:t>、业绩承诺期</w:t>
      </w:r>
    </w:p>
    <w:p w14:paraId="4BF0EA46" w14:textId="77777777" w:rsidR="006416B0" w:rsidRPr="00B4515A" w:rsidRDefault="005E58C1" w:rsidP="005860B4">
      <w:pPr>
        <w:pStyle w:val="005"/>
        <w:spacing w:before="120" w:after="120"/>
        <w:ind w:firstLine="480"/>
      </w:pPr>
      <w:r w:rsidRPr="00B4515A">
        <w:rPr>
          <w:rFonts w:hint="eastAsia"/>
        </w:rPr>
        <w:t>本次交易的业绩承诺期为</w:t>
      </w:r>
      <w:r w:rsidRPr="00B4515A">
        <w:rPr>
          <w:rFonts w:hint="eastAsia"/>
        </w:rPr>
        <w:t>2021</w:t>
      </w:r>
      <w:r w:rsidRPr="00B4515A">
        <w:rPr>
          <w:rFonts w:hint="eastAsia"/>
        </w:rPr>
        <w:t>年、</w:t>
      </w:r>
      <w:r w:rsidRPr="00B4515A">
        <w:rPr>
          <w:rFonts w:hint="eastAsia"/>
        </w:rPr>
        <w:t>2022</w:t>
      </w:r>
      <w:r w:rsidRPr="00B4515A">
        <w:rPr>
          <w:rFonts w:hint="eastAsia"/>
        </w:rPr>
        <w:t>年和</w:t>
      </w:r>
      <w:r w:rsidRPr="00B4515A">
        <w:rPr>
          <w:rFonts w:hint="eastAsia"/>
        </w:rPr>
        <w:t>2023</w:t>
      </w:r>
      <w:r w:rsidRPr="00B4515A">
        <w:rPr>
          <w:rFonts w:hint="eastAsia"/>
        </w:rPr>
        <w:t>年，若交割日推迟至</w:t>
      </w:r>
      <w:r w:rsidRPr="00B4515A">
        <w:rPr>
          <w:rFonts w:hint="eastAsia"/>
        </w:rPr>
        <w:t>2021</w:t>
      </w:r>
      <w:r w:rsidRPr="00B4515A">
        <w:rPr>
          <w:rFonts w:hint="eastAsia"/>
        </w:rPr>
        <w:t>年</w:t>
      </w:r>
      <w:r w:rsidRPr="00B4515A">
        <w:rPr>
          <w:rFonts w:hint="eastAsia"/>
        </w:rPr>
        <w:t>12</w:t>
      </w:r>
      <w:r w:rsidRPr="00B4515A">
        <w:rPr>
          <w:rFonts w:hint="eastAsia"/>
        </w:rPr>
        <w:t>月</w:t>
      </w:r>
      <w:r w:rsidRPr="00B4515A">
        <w:rPr>
          <w:rFonts w:hint="eastAsia"/>
        </w:rPr>
        <w:t>31</w:t>
      </w:r>
      <w:r w:rsidRPr="00B4515A">
        <w:rPr>
          <w:rFonts w:hint="eastAsia"/>
        </w:rPr>
        <w:t>日之后的，则前述业绩承诺期相应顺延为</w:t>
      </w:r>
      <w:r w:rsidRPr="00B4515A">
        <w:rPr>
          <w:rFonts w:hint="eastAsia"/>
        </w:rPr>
        <w:t>2022</w:t>
      </w:r>
      <w:r w:rsidRPr="00B4515A">
        <w:rPr>
          <w:rFonts w:hint="eastAsia"/>
        </w:rPr>
        <w:t>年、</w:t>
      </w:r>
      <w:r w:rsidRPr="00B4515A">
        <w:rPr>
          <w:rFonts w:hint="eastAsia"/>
        </w:rPr>
        <w:t>2023</w:t>
      </w:r>
      <w:r w:rsidRPr="00B4515A">
        <w:rPr>
          <w:rFonts w:hint="eastAsia"/>
        </w:rPr>
        <w:t>年、</w:t>
      </w:r>
      <w:r w:rsidRPr="00B4515A">
        <w:rPr>
          <w:rFonts w:hint="eastAsia"/>
        </w:rPr>
        <w:t>2024</w:t>
      </w:r>
      <w:r w:rsidRPr="00B4515A">
        <w:rPr>
          <w:rFonts w:hint="eastAsia"/>
        </w:rPr>
        <w:t>年。</w:t>
      </w:r>
    </w:p>
    <w:p w14:paraId="745854EC" w14:textId="77777777" w:rsidR="006416B0" w:rsidRPr="00B4515A" w:rsidRDefault="005E58C1" w:rsidP="005860B4">
      <w:pPr>
        <w:pStyle w:val="004"/>
        <w:spacing w:before="120" w:after="120"/>
        <w:ind w:firstLine="482"/>
      </w:pPr>
      <w:r w:rsidRPr="00B4515A">
        <w:rPr>
          <w:rFonts w:hint="eastAsia"/>
        </w:rPr>
        <w:t>3</w:t>
      </w:r>
      <w:r w:rsidRPr="00B4515A">
        <w:rPr>
          <w:rFonts w:hint="eastAsia"/>
        </w:rPr>
        <w:t>、承诺利润</w:t>
      </w:r>
    </w:p>
    <w:p w14:paraId="7BBEC53C" w14:textId="77777777" w:rsidR="006416B0" w:rsidRPr="00B4515A" w:rsidRDefault="005E58C1" w:rsidP="005860B4">
      <w:pPr>
        <w:pStyle w:val="005"/>
        <w:spacing w:before="120" w:after="120"/>
        <w:ind w:firstLine="480"/>
      </w:pPr>
      <w:r w:rsidRPr="00B4515A">
        <w:rPr>
          <w:rFonts w:hint="eastAsia"/>
        </w:rPr>
        <w:t>业绩承诺方对标的公司在业绩承诺期间每年实现的承诺净利润数分别如下：</w:t>
      </w:r>
    </w:p>
    <w:p w14:paraId="60A19764" w14:textId="77777777" w:rsidR="006416B0" w:rsidRPr="00B4515A" w:rsidRDefault="005E58C1" w:rsidP="005860B4">
      <w:pPr>
        <w:pStyle w:val="009"/>
      </w:pPr>
      <w:r w:rsidRPr="00B4515A">
        <w:rPr>
          <w:rFonts w:hint="eastAsia"/>
        </w:rPr>
        <w:t>单位：万元</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70"/>
        <w:gridCol w:w="2170"/>
        <w:gridCol w:w="2170"/>
        <w:gridCol w:w="2018"/>
      </w:tblGrid>
      <w:tr w:rsidR="006416B0" w:rsidRPr="00B4515A" w14:paraId="5D5254C4" w14:textId="77777777" w:rsidTr="00031627">
        <w:trPr>
          <w:trHeight w:val="340"/>
          <w:jc w:val="center"/>
        </w:trPr>
        <w:tc>
          <w:tcPr>
            <w:tcW w:w="1273" w:type="pct"/>
            <w:tcMar>
              <w:top w:w="0" w:type="dxa"/>
              <w:left w:w="108" w:type="dxa"/>
              <w:bottom w:w="0" w:type="dxa"/>
              <w:right w:w="108" w:type="dxa"/>
            </w:tcMar>
            <w:vAlign w:val="center"/>
          </w:tcPr>
          <w:p w14:paraId="3239B643"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hint="eastAsia"/>
                <w:b/>
                <w:bCs/>
                <w:sz w:val="21"/>
                <w:szCs w:val="21"/>
              </w:rPr>
              <w:t>年</w:t>
            </w:r>
          </w:p>
        </w:tc>
        <w:tc>
          <w:tcPr>
            <w:tcW w:w="1272" w:type="pct"/>
            <w:tcMar>
              <w:top w:w="0" w:type="dxa"/>
              <w:left w:w="108" w:type="dxa"/>
              <w:bottom w:w="0" w:type="dxa"/>
              <w:right w:w="108" w:type="dxa"/>
            </w:tcMar>
            <w:vAlign w:val="center"/>
          </w:tcPr>
          <w:p w14:paraId="6B12077F" w14:textId="77777777" w:rsidR="006416B0" w:rsidRPr="00B4515A" w:rsidRDefault="005E58C1" w:rsidP="005860B4">
            <w:pPr>
              <w:widowControl w:val="0"/>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2022</w:t>
            </w:r>
            <w:r w:rsidRPr="00B4515A">
              <w:rPr>
                <w:rFonts w:ascii="Times New Roman" w:hAnsi="Times New Roman" w:cs="Times New Roman" w:hint="eastAsia"/>
                <w:b/>
                <w:bCs/>
                <w:sz w:val="21"/>
                <w:szCs w:val="21"/>
              </w:rPr>
              <w:t>年</w:t>
            </w:r>
          </w:p>
        </w:tc>
        <w:tc>
          <w:tcPr>
            <w:tcW w:w="1272" w:type="pct"/>
            <w:tcMar>
              <w:top w:w="0" w:type="dxa"/>
              <w:left w:w="108" w:type="dxa"/>
              <w:bottom w:w="0" w:type="dxa"/>
              <w:right w:w="108" w:type="dxa"/>
            </w:tcMar>
            <w:vAlign w:val="center"/>
          </w:tcPr>
          <w:p w14:paraId="2DB68734" w14:textId="77777777" w:rsidR="006416B0" w:rsidRPr="00B4515A" w:rsidRDefault="005E58C1" w:rsidP="005860B4">
            <w:pPr>
              <w:widowControl w:val="0"/>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2023</w:t>
            </w:r>
            <w:r w:rsidRPr="00B4515A">
              <w:rPr>
                <w:rFonts w:ascii="Times New Roman" w:hAnsi="Times New Roman" w:cs="Times New Roman" w:hint="eastAsia"/>
                <w:b/>
                <w:bCs/>
                <w:sz w:val="21"/>
                <w:szCs w:val="21"/>
              </w:rPr>
              <w:t>年</w:t>
            </w:r>
          </w:p>
        </w:tc>
        <w:tc>
          <w:tcPr>
            <w:tcW w:w="1183" w:type="pct"/>
            <w:tcMar>
              <w:top w:w="0" w:type="dxa"/>
              <w:left w:w="108" w:type="dxa"/>
              <w:bottom w:w="0" w:type="dxa"/>
              <w:right w:w="108" w:type="dxa"/>
            </w:tcMar>
            <w:vAlign w:val="center"/>
          </w:tcPr>
          <w:p w14:paraId="4E6D974D" w14:textId="77777777" w:rsidR="006416B0" w:rsidRPr="00B4515A" w:rsidRDefault="005E58C1" w:rsidP="005860B4">
            <w:pPr>
              <w:widowControl w:val="0"/>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2024</w:t>
            </w:r>
            <w:r w:rsidRPr="00B4515A">
              <w:rPr>
                <w:rFonts w:ascii="Times New Roman" w:hAnsi="Times New Roman" w:cs="Times New Roman" w:hint="eastAsia"/>
                <w:b/>
                <w:bCs/>
                <w:sz w:val="21"/>
                <w:szCs w:val="21"/>
              </w:rPr>
              <w:t>年</w:t>
            </w:r>
          </w:p>
        </w:tc>
      </w:tr>
      <w:tr w:rsidR="006416B0" w:rsidRPr="00B4515A" w14:paraId="070E4F07" w14:textId="77777777" w:rsidTr="00031627">
        <w:trPr>
          <w:trHeight w:val="340"/>
          <w:jc w:val="center"/>
        </w:trPr>
        <w:tc>
          <w:tcPr>
            <w:tcW w:w="1273" w:type="pct"/>
            <w:tcMar>
              <w:top w:w="0" w:type="dxa"/>
              <w:left w:w="108" w:type="dxa"/>
              <w:bottom w:w="0" w:type="dxa"/>
              <w:right w:w="108" w:type="dxa"/>
            </w:tcMar>
            <w:vAlign w:val="center"/>
          </w:tcPr>
          <w:p w14:paraId="3A8ABD5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4,315.64 </w:t>
            </w:r>
          </w:p>
        </w:tc>
        <w:tc>
          <w:tcPr>
            <w:tcW w:w="1272" w:type="pct"/>
            <w:tcMar>
              <w:top w:w="0" w:type="dxa"/>
              <w:left w:w="108" w:type="dxa"/>
              <w:bottom w:w="0" w:type="dxa"/>
              <w:right w:w="108" w:type="dxa"/>
            </w:tcMar>
            <w:vAlign w:val="center"/>
          </w:tcPr>
          <w:p w14:paraId="778EA02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6,904.02 </w:t>
            </w:r>
          </w:p>
        </w:tc>
        <w:tc>
          <w:tcPr>
            <w:tcW w:w="1272" w:type="pct"/>
            <w:tcMar>
              <w:top w:w="0" w:type="dxa"/>
              <w:left w:w="108" w:type="dxa"/>
              <w:bottom w:w="0" w:type="dxa"/>
              <w:right w:w="108" w:type="dxa"/>
            </w:tcMar>
            <w:vAlign w:val="center"/>
          </w:tcPr>
          <w:p w14:paraId="35A2C11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8,406.64 </w:t>
            </w:r>
          </w:p>
        </w:tc>
        <w:tc>
          <w:tcPr>
            <w:tcW w:w="1183" w:type="pct"/>
            <w:tcMar>
              <w:top w:w="0" w:type="dxa"/>
              <w:left w:w="108" w:type="dxa"/>
              <w:bottom w:w="0" w:type="dxa"/>
              <w:right w:w="108" w:type="dxa"/>
            </w:tcMar>
            <w:vAlign w:val="center"/>
          </w:tcPr>
          <w:p w14:paraId="3FD5C5B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11,521.03 </w:t>
            </w:r>
          </w:p>
        </w:tc>
      </w:tr>
    </w:tbl>
    <w:p w14:paraId="4AFA81B4" w14:textId="77777777" w:rsidR="006416B0" w:rsidRPr="00B4515A" w:rsidRDefault="005E58C1" w:rsidP="005860B4">
      <w:pPr>
        <w:pStyle w:val="006"/>
        <w:ind w:firstLine="420"/>
      </w:pPr>
      <w:r w:rsidRPr="00B4515A">
        <w:rPr>
          <w:rFonts w:hint="eastAsia"/>
        </w:rPr>
        <w:t>注：净利润指经审计合并报表口径下扣除非经常性损益后的归属于母公司所有者净利润。</w:t>
      </w:r>
    </w:p>
    <w:p w14:paraId="074EBF25" w14:textId="77777777" w:rsidR="006416B0" w:rsidRPr="00B4515A" w:rsidRDefault="005E58C1" w:rsidP="005860B4">
      <w:pPr>
        <w:pStyle w:val="004"/>
        <w:spacing w:before="120" w:after="120"/>
        <w:ind w:firstLine="482"/>
      </w:pPr>
      <w:r w:rsidRPr="00B4515A">
        <w:lastRenderedPageBreak/>
        <w:t>4</w:t>
      </w:r>
      <w:r w:rsidRPr="00B4515A">
        <w:t>、业绩承诺金额的确定</w:t>
      </w:r>
    </w:p>
    <w:p w14:paraId="73079F5E" w14:textId="77777777" w:rsidR="006416B0" w:rsidRPr="00B4515A" w:rsidRDefault="005E58C1" w:rsidP="005860B4">
      <w:pPr>
        <w:pStyle w:val="005"/>
        <w:spacing w:before="120" w:after="120"/>
        <w:ind w:firstLine="480"/>
      </w:pPr>
      <w:r w:rsidRPr="00B4515A">
        <w:t>在业绩承诺期间内每个会计年度，应由上市公司聘请具备《证券法》等法律法规及中国证监会规定的从事证券服务业务资质的审计机构，对标的公司在业绩承诺期间的每年度实现净利润与承诺净利润数额的差异情况分别进行专项审核，并出具业绩承诺年度专项审核报告。标的公司在业绩承诺期间内实现净利润与承诺净利润的差额，将根据业绩承诺年度专项审核报告的结果确定。</w:t>
      </w:r>
    </w:p>
    <w:p w14:paraId="0679CA72" w14:textId="77777777" w:rsidR="006416B0" w:rsidRPr="00B4515A" w:rsidRDefault="005E58C1" w:rsidP="005860B4">
      <w:pPr>
        <w:pStyle w:val="005"/>
        <w:spacing w:before="120" w:after="120"/>
        <w:ind w:firstLine="480"/>
      </w:pPr>
      <w:r w:rsidRPr="00B4515A">
        <w:rPr>
          <w:rFonts w:hint="eastAsia"/>
        </w:rPr>
        <w:t>标的公司于业绩承诺期内实现净利润按照如下原则计算：</w:t>
      </w:r>
    </w:p>
    <w:p w14:paraId="09581D1B" w14:textId="02C14092" w:rsidR="006416B0" w:rsidRPr="00B4515A" w:rsidRDefault="005E58C1" w:rsidP="002B0582">
      <w:pPr>
        <w:pStyle w:val="005"/>
        <w:spacing w:before="120" w:after="120"/>
        <w:ind w:firstLine="480"/>
      </w:pPr>
      <w:r w:rsidRPr="00B4515A">
        <w:rPr>
          <w:rFonts w:hint="eastAsia"/>
        </w:rPr>
        <w:t>（</w:t>
      </w:r>
      <w:r w:rsidRPr="00B4515A">
        <w:rPr>
          <w:rFonts w:hint="eastAsia"/>
        </w:rPr>
        <w:t>1</w:t>
      </w:r>
      <w:r w:rsidRPr="00B4515A">
        <w:rPr>
          <w:rFonts w:hint="eastAsia"/>
        </w:rPr>
        <w:t>）标的</w:t>
      </w:r>
      <w:r w:rsidRPr="00B4515A">
        <w:t>公司的财务报表编制应符合《企业会计准则》及其他法律、法规的规定并与</w:t>
      </w:r>
      <w:r w:rsidRPr="00B4515A">
        <w:rPr>
          <w:rFonts w:hint="eastAsia"/>
        </w:rPr>
        <w:t>上市公司</w:t>
      </w:r>
      <w:r w:rsidRPr="00B4515A">
        <w:t>会计政策及会计估计保持一致</w:t>
      </w:r>
      <w:r w:rsidR="00C7292E" w:rsidRPr="00B4515A">
        <w:rPr>
          <w:rFonts w:hint="eastAsia"/>
        </w:rPr>
        <w:t>。</w:t>
      </w:r>
    </w:p>
    <w:p w14:paraId="1461564D" w14:textId="77777777" w:rsidR="006416B0" w:rsidRPr="00B4515A" w:rsidRDefault="005E58C1" w:rsidP="005860B4">
      <w:pPr>
        <w:pStyle w:val="005"/>
        <w:spacing w:before="120" w:after="120"/>
        <w:ind w:firstLine="480"/>
      </w:pPr>
      <w:r w:rsidRPr="00B4515A">
        <w:rPr>
          <w:rFonts w:hint="eastAsia"/>
        </w:rPr>
        <w:t>（</w:t>
      </w:r>
      <w:r w:rsidRPr="00B4515A">
        <w:rPr>
          <w:rFonts w:hint="eastAsia"/>
        </w:rPr>
        <w:t>2</w:t>
      </w:r>
      <w:r w:rsidRPr="00B4515A">
        <w:rPr>
          <w:rFonts w:hint="eastAsia"/>
        </w:rPr>
        <w:t>）</w:t>
      </w:r>
      <w:r w:rsidRPr="00B4515A">
        <w:t>若本次交易募集配套资金成功实施，在计算</w:t>
      </w:r>
      <w:r w:rsidRPr="00B4515A">
        <w:rPr>
          <w:rFonts w:hint="eastAsia"/>
        </w:rPr>
        <w:t>标的</w:t>
      </w:r>
      <w:r w:rsidRPr="00B4515A">
        <w:t>公司于业绩承诺期间的实际实现净利润时应扣除募集资金投入</w:t>
      </w:r>
      <w:r w:rsidRPr="00B4515A">
        <w:rPr>
          <w:rFonts w:hint="eastAsia"/>
        </w:rPr>
        <w:t>标的</w:t>
      </w:r>
      <w:r w:rsidRPr="00B4515A">
        <w:t>公司带来的影响，包括：（</w:t>
      </w:r>
      <w:r w:rsidRPr="00B4515A">
        <w:t>i</w:t>
      </w:r>
      <w:r w:rsidRPr="00B4515A">
        <w:t>）已投入募集资金所产生的募投项目经营收益或经营亏损；（</w:t>
      </w:r>
      <w:r w:rsidRPr="00B4515A">
        <w:t>ii</w:t>
      </w:r>
      <w:r w:rsidRPr="00B4515A">
        <w:t>）暂未使用的其余应用于</w:t>
      </w:r>
      <w:r w:rsidRPr="00B4515A">
        <w:rPr>
          <w:rFonts w:hint="eastAsia"/>
        </w:rPr>
        <w:t>标的</w:t>
      </w:r>
      <w:r w:rsidRPr="00B4515A">
        <w:t>公司募投项目的募集资金产生的利息收益；及（</w:t>
      </w:r>
      <w:r w:rsidRPr="00B4515A">
        <w:t>iii</w:t>
      </w:r>
      <w:r w:rsidRPr="00B4515A">
        <w:t>）如</w:t>
      </w:r>
      <w:r w:rsidRPr="00B4515A">
        <w:rPr>
          <w:rFonts w:hint="eastAsia"/>
        </w:rPr>
        <w:t>上市公司</w:t>
      </w:r>
      <w:r w:rsidRPr="00B4515A">
        <w:t>以借款方式将募集资金投入</w:t>
      </w:r>
      <w:r w:rsidRPr="00B4515A">
        <w:rPr>
          <w:rFonts w:hint="eastAsia"/>
        </w:rPr>
        <w:t>标的</w:t>
      </w:r>
      <w:r w:rsidRPr="00B4515A">
        <w:t>公司，还应扣除该等借款的相应利息。</w:t>
      </w:r>
    </w:p>
    <w:p w14:paraId="75387201" w14:textId="77777777" w:rsidR="006416B0" w:rsidRPr="00B4515A" w:rsidRDefault="005E58C1" w:rsidP="005860B4">
      <w:pPr>
        <w:pStyle w:val="004"/>
        <w:spacing w:before="120" w:after="120"/>
        <w:ind w:firstLine="482"/>
      </w:pPr>
      <w:r w:rsidRPr="00B4515A">
        <w:t>5</w:t>
      </w:r>
      <w:r w:rsidRPr="00B4515A">
        <w:t>、业绩补偿方式及实施</w:t>
      </w:r>
    </w:p>
    <w:p w14:paraId="117A8CBF" w14:textId="77777777" w:rsidR="006416B0" w:rsidRPr="00B4515A" w:rsidRDefault="005E58C1" w:rsidP="005860B4">
      <w:pPr>
        <w:pStyle w:val="005"/>
        <w:spacing w:before="120" w:after="120"/>
        <w:ind w:firstLine="480"/>
      </w:pPr>
      <w:r w:rsidRPr="00B4515A">
        <w:t>（</w:t>
      </w:r>
      <w:r w:rsidRPr="00B4515A">
        <w:t>1</w:t>
      </w:r>
      <w:r w:rsidRPr="00B4515A">
        <w:t>）补偿原则</w:t>
      </w:r>
    </w:p>
    <w:p w14:paraId="257642F2" w14:textId="77777777" w:rsidR="006416B0" w:rsidRPr="00B4515A" w:rsidRDefault="005E58C1" w:rsidP="005860B4">
      <w:pPr>
        <w:pStyle w:val="005"/>
        <w:spacing w:before="120" w:after="120"/>
        <w:ind w:firstLine="480"/>
      </w:pPr>
      <w:r w:rsidRPr="00B4515A">
        <w:t>若标的公司在业绩承诺期间任一会计年度当年年末累计实现净利润（标的公司经上市公司聘请的具备《证券法》等法律法规及中国证监会规定的从事证券服务业务资质的会计师事务所审计的合并报表口径下扣除非经常性损益后的归属于母公司所有者净利润）低于当年年末累计承诺净利润的，则业绩承诺</w:t>
      </w:r>
      <w:r w:rsidRPr="00B4515A">
        <w:rPr>
          <w:rFonts w:hint="eastAsia"/>
        </w:rPr>
        <w:t>人</w:t>
      </w:r>
      <w:r w:rsidRPr="00B4515A">
        <w:t>应按照《大唐电信科技股份有限公司与电信科学技术研究院有限公司、大唐电信科技产业控股有限公司之业绩承诺与补偿协议》约定对上市公司承担业绩补偿义务。补偿原则为：</w:t>
      </w:r>
    </w:p>
    <w:p w14:paraId="44F3034C" w14:textId="4AD6DF87" w:rsidR="006416B0" w:rsidRPr="00B4515A" w:rsidRDefault="005E58C1" w:rsidP="002B0582">
      <w:pPr>
        <w:pStyle w:val="005"/>
        <w:spacing w:before="120" w:after="120"/>
        <w:ind w:firstLine="480"/>
      </w:pPr>
      <w:r w:rsidRPr="00B4515A">
        <w:t>1</w:t>
      </w:r>
      <w:r w:rsidRPr="00B4515A">
        <w:t>）业绩承诺</w:t>
      </w:r>
      <w:r w:rsidRPr="00B4515A">
        <w:rPr>
          <w:rFonts w:hint="eastAsia"/>
        </w:rPr>
        <w:t>人</w:t>
      </w:r>
      <w:r w:rsidRPr="00B4515A">
        <w:t>应以通过本次交易而取得的对价股份对上市公司进行补偿</w:t>
      </w:r>
      <w:r w:rsidR="00837158" w:rsidRPr="00B4515A">
        <w:rPr>
          <w:rFonts w:hint="eastAsia"/>
        </w:rPr>
        <w:t>。</w:t>
      </w:r>
    </w:p>
    <w:p w14:paraId="39D25C17" w14:textId="77777777" w:rsidR="006416B0" w:rsidRPr="00B4515A" w:rsidRDefault="005E58C1" w:rsidP="005860B4">
      <w:pPr>
        <w:pStyle w:val="005"/>
        <w:spacing w:before="120" w:after="120"/>
        <w:ind w:firstLine="480"/>
      </w:pPr>
      <w:r w:rsidRPr="00B4515A">
        <w:t>2</w:t>
      </w:r>
      <w:r w:rsidRPr="00B4515A">
        <w:t>）业绩承诺</w:t>
      </w:r>
      <w:r w:rsidRPr="00B4515A">
        <w:rPr>
          <w:rFonts w:hint="eastAsia"/>
        </w:rPr>
        <w:t>人</w:t>
      </w:r>
      <w:r w:rsidRPr="00B4515A">
        <w:t>仅按其在</w:t>
      </w:r>
      <w:r w:rsidRPr="00B4515A">
        <w:rPr>
          <w:rFonts w:hint="eastAsia"/>
        </w:rPr>
        <w:t>业绩补偿协议</w:t>
      </w:r>
      <w:r w:rsidRPr="00B4515A">
        <w:t>签署日</w:t>
      </w:r>
      <w:r w:rsidRPr="00B4515A">
        <w:rPr>
          <w:rFonts w:hint="eastAsia"/>
        </w:rPr>
        <w:t>拟转让股权占标的资产的比例</w:t>
      </w:r>
      <w:r w:rsidRPr="00B4515A">
        <w:t>承担</w:t>
      </w:r>
      <w:r w:rsidRPr="00B4515A">
        <w:rPr>
          <w:rFonts w:hint="eastAsia"/>
        </w:rPr>
        <w:t>业绩补偿协议</w:t>
      </w:r>
      <w:r w:rsidRPr="00B4515A">
        <w:t>项下的补偿义务。</w:t>
      </w:r>
    </w:p>
    <w:p w14:paraId="5623C442" w14:textId="77777777" w:rsidR="006416B0" w:rsidRPr="00B4515A" w:rsidRDefault="005E58C1" w:rsidP="005860B4">
      <w:pPr>
        <w:pStyle w:val="005"/>
        <w:spacing w:before="120" w:after="120"/>
        <w:ind w:firstLine="480"/>
      </w:pPr>
      <w:r w:rsidRPr="00B4515A">
        <w:t>3</w:t>
      </w:r>
      <w:r w:rsidRPr="00B4515A">
        <w:t>）对于业绩承诺</w:t>
      </w:r>
      <w:r w:rsidRPr="00B4515A">
        <w:rPr>
          <w:rFonts w:hint="eastAsia"/>
        </w:rPr>
        <w:t>人</w:t>
      </w:r>
      <w:r w:rsidRPr="00B4515A">
        <w:t>补偿的股份，上市公司有权分别以</w:t>
      </w:r>
      <w:r w:rsidRPr="00B4515A">
        <w:t>1</w:t>
      </w:r>
      <w:r w:rsidRPr="00B4515A">
        <w:t>元的总价格予以回</w:t>
      </w:r>
      <w:r w:rsidRPr="00B4515A">
        <w:lastRenderedPageBreak/>
        <w:t>购并注销。</w:t>
      </w:r>
    </w:p>
    <w:p w14:paraId="352CF304" w14:textId="77777777" w:rsidR="006416B0" w:rsidRPr="00B4515A" w:rsidRDefault="005E58C1" w:rsidP="005860B4">
      <w:pPr>
        <w:pStyle w:val="005"/>
        <w:spacing w:before="120" w:after="120"/>
        <w:ind w:firstLine="480"/>
      </w:pPr>
      <w:r w:rsidRPr="00B4515A">
        <w:t>4</w:t>
      </w:r>
      <w:r w:rsidRPr="00B4515A">
        <w:t>）业绩承诺</w:t>
      </w:r>
      <w:r w:rsidRPr="00B4515A">
        <w:rPr>
          <w:rFonts w:hint="eastAsia"/>
        </w:rPr>
        <w:t>人</w:t>
      </w:r>
      <w:r w:rsidRPr="00B4515A">
        <w:t>因业绩补偿分别需要向上市公司补偿的股份数量应不超过业绩承诺</w:t>
      </w:r>
      <w:r w:rsidRPr="00B4515A">
        <w:rPr>
          <w:rFonts w:hint="eastAsia"/>
        </w:rPr>
        <w:t>人</w:t>
      </w:r>
      <w:r w:rsidRPr="00B4515A">
        <w:t>在本次交易中分别取得的对价股份（包括送股或转增的股份）数量。</w:t>
      </w:r>
    </w:p>
    <w:p w14:paraId="1873AE88" w14:textId="77777777" w:rsidR="006416B0" w:rsidRPr="00B4515A" w:rsidRDefault="005E58C1" w:rsidP="005860B4">
      <w:pPr>
        <w:pStyle w:val="005"/>
        <w:spacing w:before="120" w:after="120"/>
        <w:ind w:firstLine="480"/>
      </w:pPr>
      <w:r w:rsidRPr="00B4515A">
        <w:t>（</w:t>
      </w:r>
      <w:r w:rsidRPr="00B4515A">
        <w:t>2</w:t>
      </w:r>
      <w:r w:rsidRPr="00B4515A">
        <w:t>）补偿股份的计算</w:t>
      </w:r>
    </w:p>
    <w:p w14:paraId="28FB5539" w14:textId="77777777" w:rsidR="006416B0" w:rsidRPr="00B4515A" w:rsidRDefault="005E58C1" w:rsidP="005860B4">
      <w:pPr>
        <w:pStyle w:val="005"/>
        <w:spacing w:before="120" w:after="120"/>
        <w:ind w:firstLine="480"/>
      </w:pPr>
      <w:r w:rsidRPr="00B4515A">
        <w:t>任一业绩承诺</w:t>
      </w:r>
      <w:r w:rsidRPr="00B4515A">
        <w:rPr>
          <w:rFonts w:hint="eastAsia"/>
        </w:rPr>
        <w:t>人</w:t>
      </w:r>
      <w:r w:rsidRPr="00B4515A">
        <w:t>当期应补偿金额</w:t>
      </w:r>
      <w:r w:rsidRPr="00B4515A">
        <w:t>=</w:t>
      </w:r>
      <w:r w:rsidRPr="00B4515A">
        <w:t>（截至当期期末累计承诺净利润数</w:t>
      </w:r>
      <w:r w:rsidRPr="00B4515A">
        <w:t>-</w:t>
      </w:r>
      <w:r w:rsidRPr="00B4515A">
        <w:t>截至当期期末累计实现净利润数）</w:t>
      </w:r>
      <w:r w:rsidRPr="00B4515A">
        <w:t>÷</w:t>
      </w:r>
      <w:r w:rsidRPr="00B4515A">
        <w:t>业绩承诺期内各年的预测净利润数总和</w:t>
      </w:r>
      <w:r w:rsidRPr="00B4515A">
        <w:t>×</w:t>
      </w:r>
      <w:r w:rsidRPr="00B4515A">
        <w:rPr>
          <w:rFonts w:hint="eastAsia"/>
        </w:rPr>
        <w:t>标的资产的交易价格×业绩补偿协议签署日该业绩承诺人拟转让股权占标的资产的比例</w:t>
      </w:r>
      <w:r w:rsidRPr="00B4515A">
        <w:t>-</w:t>
      </w:r>
      <w:r w:rsidRPr="00B4515A">
        <w:t>该业绩承诺</w:t>
      </w:r>
      <w:r w:rsidRPr="00B4515A">
        <w:rPr>
          <w:rFonts w:hint="eastAsia"/>
        </w:rPr>
        <w:t>方</w:t>
      </w:r>
      <w:r w:rsidRPr="00B4515A">
        <w:t>累积已补偿金额；</w:t>
      </w:r>
    </w:p>
    <w:p w14:paraId="4D013FED" w14:textId="77777777" w:rsidR="006416B0" w:rsidRPr="00B4515A" w:rsidRDefault="005E58C1" w:rsidP="005860B4">
      <w:pPr>
        <w:pStyle w:val="005"/>
        <w:spacing w:before="120" w:after="120"/>
        <w:ind w:firstLine="480"/>
      </w:pPr>
      <w:r w:rsidRPr="00B4515A">
        <w:t>任一业绩承诺</w:t>
      </w:r>
      <w:r w:rsidRPr="00B4515A">
        <w:rPr>
          <w:rFonts w:hint="eastAsia"/>
        </w:rPr>
        <w:t>方</w:t>
      </w:r>
      <w:r w:rsidRPr="00B4515A">
        <w:t>当期应补偿股份数</w:t>
      </w:r>
      <w:r w:rsidRPr="00B4515A">
        <w:t>=</w:t>
      </w:r>
      <w:r w:rsidRPr="00B4515A">
        <w:t>任一业绩承诺</w:t>
      </w:r>
      <w:r w:rsidRPr="00B4515A">
        <w:rPr>
          <w:rFonts w:hint="eastAsia"/>
        </w:rPr>
        <w:t>方</w:t>
      </w:r>
      <w:r w:rsidRPr="00B4515A">
        <w:t>当期应补偿金额</w:t>
      </w:r>
      <w:r w:rsidRPr="00B4515A">
        <w:t>÷</w:t>
      </w:r>
      <w:r w:rsidRPr="00B4515A">
        <w:t>本次发行价格。</w:t>
      </w:r>
    </w:p>
    <w:p w14:paraId="43FE473B" w14:textId="77777777" w:rsidR="006416B0" w:rsidRPr="00B4515A" w:rsidRDefault="005E58C1" w:rsidP="005860B4">
      <w:pPr>
        <w:pStyle w:val="005"/>
        <w:spacing w:before="120" w:after="120"/>
        <w:ind w:firstLine="480"/>
      </w:pPr>
      <w:r w:rsidRPr="00B4515A">
        <w:t>如依据前述公式计算出的当期应补偿股份数额小于</w:t>
      </w:r>
      <w:r w:rsidRPr="00B4515A">
        <w:t>0</w:t>
      </w:r>
      <w:r w:rsidRPr="00B4515A">
        <w:t>时，按</w:t>
      </w:r>
      <w:r w:rsidRPr="00B4515A">
        <w:t>0</w:t>
      </w:r>
      <w:r w:rsidRPr="00B4515A">
        <w:t>取值。按照上述公式计算的股份数量取整计算，小数点后不足一股的，按四舍五入原则确定。</w:t>
      </w:r>
    </w:p>
    <w:p w14:paraId="0CFF7E00" w14:textId="77777777" w:rsidR="006416B0" w:rsidRPr="00B4515A" w:rsidRDefault="005E58C1" w:rsidP="005860B4">
      <w:pPr>
        <w:pStyle w:val="005"/>
        <w:spacing w:before="120" w:after="120"/>
        <w:ind w:firstLine="480"/>
      </w:pPr>
      <w:r w:rsidRPr="00B4515A">
        <w:t>若上市公司在业绩承诺期间实施转增或送股分配的，则业绩承诺人补偿股份数进行相应调整为：应补偿股份数（调整后）</w:t>
      </w:r>
      <w:r w:rsidRPr="00B4515A">
        <w:t>=</w:t>
      </w:r>
      <w:r w:rsidRPr="00B4515A">
        <w:t>应补偿股份数（调整前）</w:t>
      </w:r>
      <w:r w:rsidRPr="00B4515A">
        <w:t>×</w:t>
      </w:r>
      <w:r w:rsidRPr="00B4515A">
        <w:t>（</w:t>
      </w:r>
      <w:r w:rsidRPr="00B4515A">
        <w:t>1+</w:t>
      </w:r>
      <w:r w:rsidRPr="00B4515A">
        <w:t>转增或送股比例）。</w:t>
      </w:r>
    </w:p>
    <w:p w14:paraId="40917821" w14:textId="77777777" w:rsidR="006416B0" w:rsidRPr="00B4515A" w:rsidRDefault="005E58C1" w:rsidP="005860B4">
      <w:pPr>
        <w:pStyle w:val="005"/>
        <w:spacing w:before="120" w:after="120"/>
        <w:ind w:firstLine="480"/>
      </w:pPr>
      <w:r w:rsidRPr="00B4515A">
        <w:t>若上市公司在承诺年度内有现金分红的，业绩承诺</w:t>
      </w:r>
      <w:r w:rsidRPr="00B4515A">
        <w:rPr>
          <w:rFonts w:hint="eastAsia"/>
        </w:rPr>
        <w:t>人</w:t>
      </w:r>
      <w:r w:rsidRPr="00B4515A">
        <w:t>应将按以下公式计算的当年度补偿股份所对应的分红收益无偿返还上市公司。计算公式为：返还金额</w:t>
      </w:r>
      <w:r w:rsidRPr="00B4515A">
        <w:t>=</w:t>
      </w:r>
      <w:r w:rsidRPr="00B4515A">
        <w:t>截至补偿前每股已获得的现金股利（税后）</w:t>
      </w:r>
      <w:r w:rsidRPr="00B4515A">
        <w:t>×</w:t>
      </w:r>
      <w:r w:rsidRPr="00B4515A">
        <w:t>当年应补偿股份数。如上市公司实施派息、送股、资本公积金转增股本等除权、除息事项，将按照相关规定对返还金额进行相应调整。</w:t>
      </w:r>
    </w:p>
    <w:p w14:paraId="27BA5152" w14:textId="77777777" w:rsidR="006416B0" w:rsidRPr="00B4515A" w:rsidRDefault="005E58C1" w:rsidP="005860B4">
      <w:pPr>
        <w:pStyle w:val="005"/>
        <w:spacing w:before="120" w:after="120"/>
        <w:ind w:firstLine="480"/>
      </w:pPr>
      <w:r w:rsidRPr="00B4515A">
        <w:t>业绩补偿按年度进行，以前年度已经补偿的后续年度不得冲回，以前年度超出的净利润，可以往以后年度累计。</w:t>
      </w:r>
    </w:p>
    <w:p w14:paraId="31CE8DA2" w14:textId="77777777" w:rsidR="006416B0" w:rsidRPr="00B4515A" w:rsidRDefault="005E58C1" w:rsidP="005860B4">
      <w:pPr>
        <w:pStyle w:val="003"/>
        <w:spacing w:before="120"/>
        <w:ind w:firstLine="482"/>
      </w:pPr>
      <w:r w:rsidRPr="00B4515A">
        <w:rPr>
          <w:rFonts w:hint="eastAsia"/>
        </w:rPr>
        <w:t>（二）减值测试</w:t>
      </w:r>
    </w:p>
    <w:p w14:paraId="5C1C4755" w14:textId="77777777" w:rsidR="006416B0" w:rsidRPr="00B4515A" w:rsidRDefault="005E58C1" w:rsidP="005860B4">
      <w:pPr>
        <w:pStyle w:val="005"/>
        <w:spacing w:before="120" w:after="120"/>
        <w:ind w:firstLine="480"/>
      </w:pPr>
      <w:r w:rsidRPr="00B4515A">
        <w:rPr>
          <w:rFonts w:hint="eastAsia"/>
        </w:rPr>
        <w:t>在业绩承诺期届满后六个月内，上市公司应聘请具备《证券法》等法律法规及中国证监会规定的从事证券服务业务资质的审计机构对标的资产进行减值测试，并出具《减值测试审核报告》。除非法律、法规或规范性文件有强制性规定，否则《减值测试审核报告》采取的估值方法应与东洲评报字</w:t>
      </w:r>
      <w:r w:rsidRPr="00B4515A">
        <w:rPr>
          <w:rFonts w:hint="eastAsia"/>
        </w:rPr>
        <w:t>[2021]</w:t>
      </w:r>
      <w:r w:rsidRPr="00B4515A">
        <w:rPr>
          <w:rFonts w:hint="eastAsia"/>
        </w:rPr>
        <w:t>第</w:t>
      </w:r>
      <w:r w:rsidRPr="00B4515A">
        <w:rPr>
          <w:rFonts w:hint="eastAsia"/>
        </w:rPr>
        <w:t>0898</w:t>
      </w:r>
      <w:r w:rsidRPr="00B4515A">
        <w:rPr>
          <w:rFonts w:hint="eastAsia"/>
        </w:rPr>
        <w:t>号《资</w:t>
      </w:r>
      <w:r w:rsidRPr="00B4515A">
        <w:rPr>
          <w:rFonts w:hint="eastAsia"/>
        </w:rPr>
        <w:lastRenderedPageBreak/>
        <w:t>产评估报告》保持一致。上市公司应当在《减值测试审核报告》出具后</w:t>
      </w:r>
      <w:r w:rsidRPr="00B4515A">
        <w:rPr>
          <w:rFonts w:hint="eastAsia"/>
        </w:rPr>
        <w:t>5</w:t>
      </w:r>
      <w:r w:rsidRPr="00B4515A">
        <w:rPr>
          <w:rFonts w:hint="eastAsia"/>
        </w:rPr>
        <w:t>个工作日内将报告结果以书面方式通知业绩承诺人。</w:t>
      </w:r>
    </w:p>
    <w:p w14:paraId="43E96CA8" w14:textId="77777777" w:rsidR="006416B0" w:rsidRPr="00B4515A" w:rsidRDefault="005E58C1" w:rsidP="005860B4">
      <w:pPr>
        <w:pStyle w:val="005"/>
        <w:spacing w:before="120" w:after="120"/>
        <w:ind w:firstLine="480"/>
      </w:pPr>
      <w:r w:rsidRPr="00B4515A">
        <w:rPr>
          <w:rFonts w:hint="eastAsia"/>
        </w:rPr>
        <w:t>标的资产期末减值额为标的资产的交易对价减去业绩承诺期末标的资产的评估值，并且应当扣除补偿期限内标的资产所对应的增资、减资、接受赠与以及利润分配的影响。经减值测试，如标的资产期末减值额÷标的资产交易价格＞业绩承诺人补偿期限内已补偿股份总数÷业绩承诺人取得的对价股份，则业绩承诺人中的每一方应按业绩补偿协议签署日拟转让股权占标的资产的比例，以取得的对价股份对上市公司另行补偿。</w:t>
      </w:r>
    </w:p>
    <w:p w14:paraId="6CFA4EA2" w14:textId="77777777" w:rsidR="006416B0" w:rsidRPr="00B4515A" w:rsidRDefault="005E58C1" w:rsidP="005860B4">
      <w:pPr>
        <w:pStyle w:val="005"/>
        <w:spacing w:before="120" w:after="120"/>
        <w:ind w:firstLine="480"/>
      </w:pPr>
      <w:r w:rsidRPr="00B4515A">
        <w:rPr>
          <w:rFonts w:hint="eastAsia"/>
        </w:rPr>
        <w:t>每一业绩承诺人减值测试股份补偿数量</w:t>
      </w:r>
      <w:r w:rsidRPr="00B4515A">
        <w:rPr>
          <w:rFonts w:hint="eastAsia"/>
        </w:rPr>
        <w:t>=</w:t>
      </w:r>
      <w:r w:rsidRPr="00B4515A">
        <w:rPr>
          <w:rFonts w:hint="eastAsia"/>
        </w:rPr>
        <w:t>标的资产期末减值额÷本次发行价格×业绩补偿协议签署日业绩承诺人拟转让股权占标的资产的比例</w:t>
      </w:r>
      <w:r w:rsidRPr="00B4515A">
        <w:rPr>
          <w:rFonts w:hint="eastAsia"/>
        </w:rPr>
        <w:t>-</w:t>
      </w:r>
      <w:r w:rsidRPr="00B4515A">
        <w:rPr>
          <w:rFonts w:hint="eastAsia"/>
        </w:rPr>
        <w:t>该业绩承诺人已补偿股份总数。</w:t>
      </w:r>
    </w:p>
    <w:p w14:paraId="59A78261" w14:textId="77777777" w:rsidR="006416B0" w:rsidRPr="00B4515A" w:rsidRDefault="005E58C1" w:rsidP="005860B4">
      <w:pPr>
        <w:pStyle w:val="005"/>
        <w:spacing w:before="120" w:after="120"/>
        <w:ind w:firstLine="480"/>
      </w:pPr>
      <w:r w:rsidRPr="00B4515A">
        <w:rPr>
          <w:rFonts w:hint="eastAsia"/>
        </w:rPr>
        <w:t>业绩承诺人因业绩补偿及减值测试需要向上市公司支付的股份补偿数量总计不超过业绩承诺人在本次交易中取得的对价股份数量（包括送股或转增的股份）。</w:t>
      </w:r>
      <w:bookmarkEnd w:id="81"/>
    </w:p>
    <w:p w14:paraId="0A41A1E0" w14:textId="77777777" w:rsidR="006416B0" w:rsidRPr="00B4515A" w:rsidRDefault="005E58C1" w:rsidP="005860B4">
      <w:pPr>
        <w:pStyle w:val="002"/>
        <w:spacing w:before="120" w:after="120"/>
        <w:ind w:firstLine="562"/>
      </w:pPr>
      <w:bookmarkStart w:id="82" w:name="_Toc65492059"/>
      <w:bookmarkStart w:id="83" w:name="_Toc80960507"/>
      <w:r w:rsidRPr="00B4515A">
        <w:rPr>
          <w:rFonts w:hint="eastAsia"/>
        </w:rPr>
        <w:t>五</w:t>
      </w:r>
      <w:r w:rsidRPr="00B4515A">
        <w:t>、本次交易对上市公司的影响</w:t>
      </w:r>
      <w:bookmarkEnd w:id="82"/>
      <w:bookmarkEnd w:id="83"/>
    </w:p>
    <w:p w14:paraId="12EBD1AA" w14:textId="77777777" w:rsidR="006416B0" w:rsidRPr="00B4515A" w:rsidRDefault="005E58C1" w:rsidP="005860B4">
      <w:pPr>
        <w:pStyle w:val="003"/>
        <w:spacing w:before="120"/>
        <w:ind w:firstLine="482"/>
      </w:pPr>
      <w:bookmarkStart w:id="84" w:name="_Hlk76923024"/>
      <w:r w:rsidRPr="00B4515A">
        <w:rPr>
          <w:rFonts w:hint="eastAsia"/>
        </w:rPr>
        <w:t>（一）本次交易对上市公司主营业务的影响</w:t>
      </w:r>
    </w:p>
    <w:p w14:paraId="7BD71E93" w14:textId="77777777" w:rsidR="006416B0" w:rsidRPr="00B4515A" w:rsidRDefault="005E58C1" w:rsidP="005860B4">
      <w:pPr>
        <w:pStyle w:val="005"/>
        <w:spacing w:before="120" w:after="120"/>
        <w:ind w:firstLine="480"/>
      </w:pPr>
      <w:r w:rsidRPr="00B4515A">
        <w:rPr>
          <w:rFonts w:hint="eastAsia"/>
        </w:rPr>
        <w:t>本次交易前，上市公司重点布局安全芯片业务和信息通信安全业务。</w:t>
      </w:r>
    </w:p>
    <w:p w14:paraId="06BCF9F9" w14:textId="77777777" w:rsidR="006416B0" w:rsidRPr="00B4515A" w:rsidRDefault="005E58C1" w:rsidP="005860B4">
      <w:pPr>
        <w:pStyle w:val="005"/>
        <w:spacing w:before="120" w:after="120"/>
        <w:ind w:firstLine="480"/>
      </w:pPr>
      <w:r w:rsidRPr="00B4515A">
        <w:rPr>
          <w:rFonts w:hint="eastAsia"/>
        </w:rPr>
        <w:t>上市公司本次发行股份购买的标的资产为大唐联诚</w:t>
      </w:r>
      <w:r w:rsidRPr="00B4515A">
        <w:rPr>
          <w:rFonts w:hint="eastAsia"/>
        </w:rPr>
        <w:t>9</w:t>
      </w:r>
      <w:r w:rsidRPr="00B4515A">
        <w:t>5.001%</w:t>
      </w:r>
      <w:r w:rsidRPr="00B4515A">
        <w:rPr>
          <w:rFonts w:hint="eastAsia"/>
        </w:rPr>
        <w:t>股权。大唐联诚的主营业务包括专用移动通信、专用宽带电台和宽带移动安全应用等。</w:t>
      </w:r>
    </w:p>
    <w:p w14:paraId="1ACE6FA5" w14:textId="77777777" w:rsidR="006416B0" w:rsidRPr="00B4515A" w:rsidRDefault="005E58C1" w:rsidP="005860B4">
      <w:pPr>
        <w:pStyle w:val="005"/>
        <w:spacing w:before="120" w:after="120"/>
        <w:ind w:firstLine="480"/>
      </w:pPr>
      <w:r w:rsidRPr="00B4515A">
        <w:rPr>
          <w:rFonts w:hint="eastAsia"/>
        </w:rPr>
        <w:t>本次交易完成后，上市公司业务将增加专用移动通信、专用宽带电台和宽带移动安全应用等。相关业务与上市公司现有业务形成协同优势，助力上市公司拓展特种通信市场，形成</w:t>
      </w:r>
      <w:r w:rsidRPr="00B4515A">
        <w:rPr>
          <w:rFonts w:ascii="宋体" w:hAnsi="宋体" w:hint="eastAsia"/>
        </w:rPr>
        <w:t>“</w:t>
      </w:r>
      <w:r w:rsidRPr="00B4515A">
        <w:rPr>
          <w:rFonts w:hint="eastAsia"/>
        </w:rPr>
        <w:t>安全芯片</w:t>
      </w:r>
      <w:r w:rsidRPr="00B4515A">
        <w:t>+</w:t>
      </w:r>
      <w:r w:rsidRPr="00B4515A">
        <w:rPr>
          <w:rFonts w:hint="eastAsia"/>
        </w:rPr>
        <w:t>特种</w:t>
      </w:r>
      <w:r w:rsidRPr="00B4515A">
        <w:t>通信</w:t>
      </w:r>
      <w:r w:rsidRPr="00B4515A">
        <w:rPr>
          <w:rFonts w:ascii="宋体" w:hAnsi="宋体"/>
        </w:rPr>
        <w:t>”</w:t>
      </w:r>
      <w:r w:rsidRPr="00B4515A">
        <w:t>的整体产业布局，持续优化主营业务结构。</w:t>
      </w:r>
    </w:p>
    <w:p w14:paraId="7C9DCA87" w14:textId="77777777" w:rsidR="006416B0" w:rsidRPr="00B4515A" w:rsidRDefault="005E58C1" w:rsidP="005860B4">
      <w:pPr>
        <w:pStyle w:val="005"/>
        <w:spacing w:before="120" w:after="120"/>
        <w:ind w:firstLine="480"/>
      </w:pPr>
      <w:r w:rsidRPr="00B4515A">
        <w:rPr>
          <w:rFonts w:hint="eastAsia"/>
        </w:rPr>
        <w:t>本次交易将为上市公司开拓新的业务增长点，上市公司将向特通信息化行业布局。本次交易有利于拓宽公司的业务范围，优化上市公司的收入结构，扩大上市公司的资产规模、收入和利润规模，增强上市公司的盈利能力、可持续发展能力及整体实力。</w:t>
      </w:r>
    </w:p>
    <w:p w14:paraId="4C6FA915" w14:textId="77777777" w:rsidR="006416B0" w:rsidRPr="00B4515A" w:rsidRDefault="005E58C1" w:rsidP="005860B4">
      <w:pPr>
        <w:pStyle w:val="003"/>
        <w:spacing w:before="120"/>
        <w:ind w:firstLine="482"/>
      </w:pPr>
      <w:r w:rsidRPr="00B4515A">
        <w:rPr>
          <w:rFonts w:hint="eastAsia"/>
        </w:rPr>
        <w:lastRenderedPageBreak/>
        <w:t>（二）本次交易对上市公司股权结构的影响</w:t>
      </w:r>
    </w:p>
    <w:p w14:paraId="72B67732" w14:textId="77777777" w:rsidR="006416B0" w:rsidRPr="00B4515A" w:rsidRDefault="005E58C1" w:rsidP="005860B4">
      <w:pPr>
        <w:pStyle w:val="005"/>
        <w:spacing w:before="120" w:after="120"/>
        <w:ind w:firstLine="480"/>
        <w:rPr>
          <w:rFonts w:ascii="Arial" w:hAnsi="Arial" w:cs="Arial"/>
          <w:b/>
        </w:rPr>
      </w:pPr>
      <w:r w:rsidRPr="00B4515A">
        <w:rPr>
          <w:rFonts w:hint="eastAsia"/>
        </w:rPr>
        <w:t>本次发行股份购买资产向各交易对方发行的股份数量</w:t>
      </w:r>
      <w:r w:rsidRPr="00B4515A">
        <w:rPr>
          <w:rFonts w:hint="eastAsia"/>
        </w:rPr>
        <w:t>=</w:t>
      </w:r>
      <w:r w:rsidRPr="00B4515A">
        <w:rPr>
          <w:rFonts w:hint="eastAsia"/>
        </w:rPr>
        <w:t>以发行股份形式向各交易对方支付的交易对价</w:t>
      </w:r>
      <w:r w:rsidRPr="00B4515A">
        <w:rPr>
          <w:rFonts w:hint="eastAsia"/>
        </w:rPr>
        <w:t>/</w:t>
      </w:r>
      <w:r w:rsidRPr="00B4515A">
        <w:rPr>
          <w:rFonts w:hint="eastAsia"/>
        </w:rPr>
        <w:t>本次发行</w:t>
      </w:r>
      <w:r w:rsidRPr="00B4515A">
        <w:rPr>
          <w:rFonts w:eastAsiaTheme="minorEastAsia" w:hint="eastAsia"/>
        </w:rPr>
        <w:t>股份</w:t>
      </w:r>
      <w:r w:rsidRPr="00B4515A">
        <w:rPr>
          <w:rFonts w:hint="eastAsia"/>
        </w:rPr>
        <w:t>购买资产的发行价格；本次发行股份购买资产所发行股份的总数量</w:t>
      </w:r>
      <w:r w:rsidRPr="00B4515A">
        <w:rPr>
          <w:rFonts w:hint="eastAsia"/>
        </w:rPr>
        <w:t>=</w:t>
      </w:r>
      <w:r w:rsidRPr="00B4515A">
        <w:rPr>
          <w:rFonts w:hint="eastAsia"/>
        </w:rPr>
        <w:t>向各交易对方发行股份数量之和。</w:t>
      </w:r>
    </w:p>
    <w:p w14:paraId="5D07C0EF" w14:textId="77777777" w:rsidR="006416B0" w:rsidRPr="00B4515A" w:rsidRDefault="005E58C1" w:rsidP="005860B4">
      <w:pPr>
        <w:pStyle w:val="005"/>
        <w:spacing w:before="120" w:after="120"/>
        <w:ind w:firstLine="480"/>
      </w:pPr>
      <w:r w:rsidRPr="00B4515A">
        <w:rPr>
          <w:rFonts w:hint="eastAsia"/>
        </w:rPr>
        <w:t>按上述公式计算的交易对方取得新增股份数量按照向下取整精确至股，不足一股的交易对方自愿放弃。</w:t>
      </w:r>
    </w:p>
    <w:p w14:paraId="0D816FC3" w14:textId="77777777" w:rsidR="006416B0" w:rsidRPr="00B4515A" w:rsidRDefault="005E58C1" w:rsidP="005860B4">
      <w:pPr>
        <w:pStyle w:val="005"/>
        <w:spacing w:before="120" w:after="120"/>
        <w:ind w:firstLine="480"/>
      </w:pPr>
      <w:r w:rsidRPr="00B4515A">
        <w:t>本次拟购买资产交易作价为</w:t>
      </w:r>
      <w:r w:rsidRPr="00B4515A">
        <w:t>1,408,450,340.64</w:t>
      </w:r>
      <w:r w:rsidRPr="00B4515A">
        <w:t>元。按照发行股份价格</w:t>
      </w:r>
      <w:r w:rsidRPr="00B4515A">
        <w:t>5.85</w:t>
      </w:r>
      <w:r w:rsidRPr="00B4515A">
        <w:t>元</w:t>
      </w:r>
      <w:r w:rsidRPr="00B4515A">
        <w:t>/</w:t>
      </w:r>
      <w:r w:rsidRPr="00B4515A">
        <w:t>股计算，上市公司发行股份购买资产（不考虑配套融资）前后的股权结构变化情况如下：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57"/>
        <w:gridCol w:w="1398"/>
        <w:gridCol w:w="1119"/>
        <w:gridCol w:w="1397"/>
        <w:gridCol w:w="1538"/>
        <w:gridCol w:w="1119"/>
      </w:tblGrid>
      <w:tr w:rsidR="006416B0" w:rsidRPr="00B4515A" w14:paraId="52E8BC03" w14:textId="77777777" w:rsidTr="00031627">
        <w:trPr>
          <w:trHeight w:val="340"/>
          <w:jc w:val="center"/>
        </w:trPr>
        <w:tc>
          <w:tcPr>
            <w:tcW w:w="1985" w:type="dxa"/>
            <w:shd w:val="clear" w:color="auto" w:fill="auto"/>
            <w:tcMar>
              <w:top w:w="0" w:type="dxa"/>
              <w:left w:w="108" w:type="dxa"/>
              <w:bottom w:w="0" w:type="dxa"/>
              <w:right w:w="108" w:type="dxa"/>
            </w:tcMar>
            <w:vAlign w:val="center"/>
          </w:tcPr>
          <w:p w14:paraId="39A944A3" w14:textId="77777777" w:rsidR="006416B0" w:rsidRPr="00B4515A" w:rsidRDefault="005E58C1" w:rsidP="005860B4">
            <w:pPr>
              <w:adjustRightInd w:val="0"/>
              <w:snapToGrid w:val="0"/>
              <w:jc w:val="center"/>
              <w:rPr>
                <w:b/>
                <w:color w:val="000000"/>
                <w:sz w:val="21"/>
                <w:szCs w:val="21"/>
              </w:rPr>
            </w:pPr>
            <w:r w:rsidRPr="00B4515A">
              <w:rPr>
                <w:b/>
                <w:color w:val="000000"/>
                <w:sz w:val="21"/>
                <w:szCs w:val="21"/>
              </w:rPr>
              <w:t>股东名称</w:t>
            </w:r>
          </w:p>
        </w:tc>
        <w:tc>
          <w:tcPr>
            <w:tcW w:w="1418" w:type="dxa"/>
            <w:shd w:val="clear" w:color="auto" w:fill="auto"/>
            <w:tcMar>
              <w:top w:w="0" w:type="dxa"/>
              <w:left w:w="108" w:type="dxa"/>
              <w:bottom w:w="0" w:type="dxa"/>
              <w:right w:w="108" w:type="dxa"/>
            </w:tcMar>
            <w:vAlign w:val="center"/>
          </w:tcPr>
          <w:p w14:paraId="2DBAEEEB" w14:textId="77777777" w:rsidR="006416B0" w:rsidRPr="00B4515A" w:rsidRDefault="005E58C1" w:rsidP="005860B4">
            <w:pPr>
              <w:adjustRightInd w:val="0"/>
              <w:snapToGrid w:val="0"/>
              <w:jc w:val="center"/>
              <w:rPr>
                <w:b/>
                <w:color w:val="000000"/>
                <w:sz w:val="21"/>
                <w:szCs w:val="21"/>
              </w:rPr>
            </w:pPr>
            <w:r w:rsidRPr="00B4515A">
              <w:rPr>
                <w:b/>
                <w:color w:val="000000"/>
                <w:sz w:val="21"/>
                <w:szCs w:val="21"/>
              </w:rPr>
              <w:t>原持股（股）</w:t>
            </w:r>
          </w:p>
        </w:tc>
        <w:tc>
          <w:tcPr>
            <w:tcW w:w="1134" w:type="dxa"/>
            <w:shd w:val="clear" w:color="auto" w:fill="auto"/>
            <w:tcMar>
              <w:top w:w="0" w:type="dxa"/>
              <w:left w:w="108" w:type="dxa"/>
              <w:bottom w:w="0" w:type="dxa"/>
              <w:right w:w="108" w:type="dxa"/>
            </w:tcMar>
            <w:vAlign w:val="center"/>
          </w:tcPr>
          <w:p w14:paraId="344B3E27" w14:textId="77777777" w:rsidR="005860B4" w:rsidRPr="00B4515A" w:rsidRDefault="005E58C1" w:rsidP="005860B4">
            <w:pPr>
              <w:adjustRightInd w:val="0"/>
              <w:snapToGrid w:val="0"/>
              <w:jc w:val="center"/>
              <w:rPr>
                <w:b/>
                <w:color w:val="000000"/>
                <w:sz w:val="21"/>
                <w:szCs w:val="21"/>
              </w:rPr>
            </w:pPr>
            <w:r w:rsidRPr="00B4515A">
              <w:rPr>
                <w:b/>
                <w:color w:val="000000"/>
                <w:sz w:val="21"/>
                <w:szCs w:val="21"/>
              </w:rPr>
              <w:t>原持股</w:t>
            </w:r>
          </w:p>
          <w:p w14:paraId="776C6EB5" w14:textId="459C29B2" w:rsidR="006416B0" w:rsidRPr="00B4515A" w:rsidRDefault="005E58C1" w:rsidP="005860B4">
            <w:pPr>
              <w:adjustRightInd w:val="0"/>
              <w:snapToGrid w:val="0"/>
              <w:jc w:val="center"/>
              <w:rPr>
                <w:b/>
                <w:color w:val="000000"/>
                <w:sz w:val="21"/>
                <w:szCs w:val="21"/>
              </w:rPr>
            </w:pPr>
            <w:r w:rsidRPr="00B4515A">
              <w:rPr>
                <w:b/>
                <w:color w:val="000000"/>
                <w:sz w:val="21"/>
                <w:szCs w:val="21"/>
              </w:rPr>
              <w:t>比例</w:t>
            </w:r>
          </w:p>
        </w:tc>
        <w:tc>
          <w:tcPr>
            <w:tcW w:w="1417" w:type="dxa"/>
            <w:shd w:val="clear" w:color="auto" w:fill="auto"/>
            <w:tcMar>
              <w:top w:w="0" w:type="dxa"/>
              <w:left w:w="108" w:type="dxa"/>
              <w:bottom w:w="0" w:type="dxa"/>
              <w:right w:w="108" w:type="dxa"/>
            </w:tcMar>
            <w:vAlign w:val="center"/>
          </w:tcPr>
          <w:p w14:paraId="15DFFE95" w14:textId="77777777" w:rsidR="006416B0" w:rsidRPr="00B4515A" w:rsidRDefault="005E58C1" w:rsidP="005860B4">
            <w:pPr>
              <w:adjustRightInd w:val="0"/>
              <w:snapToGrid w:val="0"/>
              <w:jc w:val="center"/>
              <w:rPr>
                <w:b/>
                <w:color w:val="000000"/>
                <w:sz w:val="21"/>
                <w:szCs w:val="21"/>
              </w:rPr>
            </w:pPr>
            <w:r w:rsidRPr="00B4515A">
              <w:rPr>
                <w:b/>
                <w:color w:val="000000"/>
                <w:sz w:val="21"/>
                <w:szCs w:val="21"/>
              </w:rPr>
              <w:t>新增股数（股）</w:t>
            </w:r>
          </w:p>
        </w:tc>
        <w:tc>
          <w:tcPr>
            <w:tcW w:w="1560" w:type="dxa"/>
            <w:shd w:val="clear" w:color="auto" w:fill="auto"/>
            <w:tcMar>
              <w:top w:w="0" w:type="dxa"/>
              <w:left w:w="108" w:type="dxa"/>
              <w:bottom w:w="0" w:type="dxa"/>
              <w:right w:w="108" w:type="dxa"/>
            </w:tcMar>
            <w:vAlign w:val="center"/>
          </w:tcPr>
          <w:p w14:paraId="4D36521A" w14:textId="77777777" w:rsidR="006416B0" w:rsidRPr="00B4515A" w:rsidRDefault="005E58C1" w:rsidP="005860B4">
            <w:pPr>
              <w:adjustRightInd w:val="0"/>
              <w:snapToGrid w:val="0"/>
              <w:jc w:val="center"/>
              <w:rPr>
                <w:b/>
                <w:color w:val="000000"/>
                <w:sz w:val="21"/>
                <w:szCs w:val="21"/>
              </w:rPr>
            </w:pPr>
            <w:r w:rsidRPr="00B4515A">
              <w:rPr>
                <w:b/>
                <w:color w:val="000000"/>
                <w:sz w:val="21"/>
                <w:szCs w:val="21"/>
              </w:rPr>
              <w:t>资产注入后股数（股）</w:t>
            </w:r>
          </w:p>
        </w:tc>
        <w:tc>
          <w:tcPr>
            <w:tcW w:w="1134" w:type="dxa"/>
            <w:shd w:val="clear" w:color="auto" w:fill="auto"/>
            <w:tcMar>
              <w:top w:w="0" w:type="dxa"/>
              <w:left w:w="108" w:type="dxa"/>
              <w:bottom w:w="0" w:type="dxa"/>
              <w:right w:w="108" w:type="dxa"/>
            </w:tcMar>
            <w:vAlign w:val="center"/>
          </w:tcPr>
          <w:p w14:paraId="12F86F1A" w14:textId="77777777" w:rsidR="005860B4" w:rsidRPr="00B4515A" w:rsidRDefault="005E58C1" w:rsidP="005860B4">
            <w:pPr>
              <w:adjustRightInd w:val="0"/>
              <w:snapToGrid w:val="0"/>
              <w:jc w:val="center"/>
              <w:rPr>
                <w:b/>
                <w:color w:val="000000"/>
                <w:sz w:val="21"/>
                <w:szCs w:val="21"/>
              </w:rPr>
            </w:pPr>
            <w:r w:rsidRPr="00B4515A">
              <w:rPr>
                <w:b/>
                <w:color w:val="000000"/>
                <w:sz w:val="21"/>
                <w:szCs w:val="21"/>
              </w:rPr>
              <w:t>资产注入后持股</w:t>
            </w:r>
          </w:p>
          <w:p w14:paraId="37F87D39" w14:textId="5FCAFF53" w:rsidR="006416B0" w:rsidRPr="00B4515A" w:rsidRDefault="005E58C1" w:rsidP="005860B4">
            <w:pPr>
              <w:adjustRightInd w:val="0"/>
              <w:snapToGrid w:val="0"/>
              <w:jc w:val="center"/>
              <w:rPr>
                <w:b/>
                <w:color w:val="000000"/>
                <w:sz w:val="21"/>
                <w:szCs w:val="21"/>
              </w:rPr>
            </w:pPr>
            <w:r w:rsidRPr="00B4515A">
              <w:rPr>
                <w:b/>
                <w:color w:val="000000"/>
                <w:sz w:val="21"/>
                <w:szCs w:val="21"/>
              </w:rPr>
              <w:t>比例</w:t>
            </w:r>
          </w:p>
        </w:tc>
      </w:tr>
      <w:tr w:rsidR="006416B0" w:rsidRPr="00B4515A" w14:paraId="14232DE3" w14:textId="77777777" w:rsidTr="00031627">
        <w:trPr>
          <w:trHeight w:val="340"/>
          <w:jc w:val="center"/>
        </w:trPr>
        <w:tc>
          <w:tcPr>
            <w:tcW w:w="1985" w:type="dxa"/>
            <w:shd w:val="clear" w:color="auto" w:fill="auto"/>
            <w:tcMar>
              <w:top w:w="0" w:type="dxa"/>
              <w:left w:w="108" w:type="dxa"/>
              <w:bottom w:w="0" w:type="dxa"/>
              <w:right w:w="108" w:type="dxa"/>
            </w:tcMar>
            <w:vAlign w:val="center"/>
          </w:tcPr>
          <w:p w14:paraId="4581A3CB" w14:textId="77777777" w:rsidR="006416B0" w:rsidRPr="00B4515A" w:rsidRDefault="005E58C1" w:rsidP="005860B4">
            <w:pPr>
              <w:adjustRightInd w:val="0"/>
              <w:snapToGrid w:val="0"/>
              <w:jc w:val="center"/>
              <w:rPr>
                <w:color w:val="000000"/>
                <w:sz w:val="21"/>
                <w:szCs w:val="21"/>
              </w:rPr>
            </w:pPr>
            <w:r w:rsidRPr="00B4515A">
              <w:rPr>
                <w:color w:val="000000"/>
                <w:sz w:val="21"/>
                <w:szCs w:val="21"/>
              </w:rPr>
              <w:t>电信科研院</w:t>
            </w:r>
          </w:p>
        </w:tc>
        <w:tc>
          <w:tcPr>
            <w:tcW w:w="1418" w:type="dxa"/>
            <w:shd w:val="clear" w:color="auto" w:fill="auto"/>
            <w:tcMar>
              <w:top w:w="0" w:type="dxa"/>
              <w:left w:w="108" w:type="dxa"/>
              <w:bottom w:w="0" w:type="dxa"/>
              <w:right w:w="108" w:type="dxa"/>
            </w:tcMar>
            <w:vAlign w:val="center"/>
          </w:tcPr>
          <w:p w14:paraId="1975816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151,252,178</w:t>
            </w:r>
          </w:p>
        </w:tc>
        <w:tc>
          <w:tcPr>
            <w:tcW w:w="1134" w:type="dxa"/>
            <w:shd w:val="clear" w:color="auto" w:fill="auto"/>
            <w:tcMar>
              <w:top w:w="0" w:type="dxa"/>
              <w:left w:w="108" w:type="dxa"/>
              <w:bottom w:w="0" w:type="dxa"/>
              <w:right w:w="108" w:type="dxa"/>
            </w:tcMar>
            <w:vAlign w:val="center"/>
          </w:tcPr>
          <w:p w14:paraId="4BF14FE3" w14:textId="77777777" w:rsidR="006416B0" w:rsidRPr="00B4515A" w:rsidRDefault="005E58C1" w:rsidP="005860B4">
            <w:pPr>
              <w:adjustRightInd w:val="0"/>
              <w:snapToGrid w:val="0"/>
              <w:jc w:val="right"/>
              <w:rPr>
                <w:rFonts w:ascii="Times New Roman" w:hAnsi="Times New Roman" w:cs="Times New Roman"/>
                <w:bCs/>
                <w:color w:val="000000"/>
                <w:sz w:val="21"/>
                <w:szCs w:val="21"/>
              </w:rPr>
            </w:pPr>
            <w:r w:rsidRPr="00B4515A">
              <w:rPr>
                <w:rFonts w:ascii="Times New Roman" w:hAnsi="Times New Roman" w:cs="Times New Roman"/>
                <w:bCs/>
                <w:color w:val="000000"/>
                <w:sz w:val="21"/>
                <w:szCs w:val="21"/>
              </w:rPr>
              <w:t>17.15%</w:t>
            </w:r>
          </w:p>
        </w:tc>
        <w:tc>
          <w:tcPr>
            <w:tcW w:w="1417" w:type="dxa"/>
            <w:shd w:val="clear" w:color="auto" w:fill="auto"/>
            <w:tcMar>
              <w:top w:w="0" w:type="dxa"/>
              <w:left w:w="108" w:type="dxa"/>
              <w:bottom w:w="0" w:type="dxa"/>
              <w:right w:w="108" w:type="dxa"/>
            </w:tcMar>
            <w:vAlign w:val="center"/>
          </w:tcPr>
          <w:p w14:paraId="039295A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143,942,996</w:t>
            </w:r>
          </w:p>
        </w:tc>
        <w:tc>
          <w:tcPr>
            <w:tcW w:w="1560" w:type="dxa"/>
            <w:shd w:val="clear" w:color="auto" w:fill="auto"/>
            <w:tcMar>
              <w:top w:w="0" w:type="dxa"/>
              <w:left w:w="108" w:type="dxa"/>
              <w:bottom w:w="0" w:type="dxa"/>
              <w:right w:w="108" w:type="dxa"/>
            </w:tcMar>
            <w:vAlign w:val="center"/>
          </w:tcPr>
          <w:p w14:paraId="2983E78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295,195,174</w:t>
            </w:r>
          </w:p>
        </w:tc>
        <w:tc>
          <w:tcPr>
            <w:tcW w:w="1134" w:type="dxa"/>
            <w:shd w:val="clear" w:color="auto" w:fill="auto"/>
            <w:tcMar>
              <w:top w:w="0" w:type="dxa"/>
              <w:left w:w="108" w:type="dxa"/>
              <w:bottom w:w="0" w:type="dxa"/>
              <w:right w:w="108" w:type="dxa"/>
            </w:tcMar>
            <w:vAlign w:val="center"/>
          </w:tcPr>
          <w:p w14:paraId="445536C6"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sz w:val="21"/>
                <w:szCs w:val="21"/>
              </w:rPr>
              <w:t>26.29%</w:t>
            </w:r>
          </w:p>
        </w:tc>
      </w:tr>
      <w:tr w:rsidR="006416B0" w:rsidRPr="00B4515A" w14:paraId="5DA0182F" w14:textId="77777777" w:rsidTr="00031627">
        <w:trPr>
          <w:trHeight w:val="340"/>
          <w:jc w:val="center"/>
        </w:trPr>
        <w:tc>
          <w:tcPr>
            <w:tcW w:w="1985" w:type="dxa"/>
            <w:shd w:val="clear" w:color="auto" w:fill="auto"/>
            <w:tcMar>
              <w:top w:w="0" w:type="dxa"/>
              <w:left w:w="108" w:type="dxa"/>
              <w:bottom w:w="0" w:type="dxa"/>
              <w:right w:w="108" w:type="dxa"/>
            </w:tcMar>
            <w:vAlign w:val="center"/>
          </w:tcPr>
          <w:p w14:paraId="24A41CC8" w14:textId="77777777" w:rsidR="006416B0" w:rsidRPr="00B4515A" w:rsidRDefault="005E58C1" w:rsidP="005860B4">
            <w:pPr>
              <w:adjustRightInd w:val="0"/>
              <w:snapToGrid w:val="0"/>
              <w:jc w:val="center"/>
              <w:rPr>
                <w:color w:val="000000"/>
                <w:sz w:val="21"/>
                <w:szCs w:val="21"/>
              </w:rPr>
            </w:pPr>
            <w:r w:rsidRPr="00B4515A">
              <w:rPr>
                <w:color w:val="000000"/>
                <w:sz w:val="21"/>
                <w:szCs w:val="21"/>
              </w:rPr>
              <w:t>大唐控股</w:t>
            </w:r>
          </w:p>
        </w:tc>
        <w:tc>
          <w:tcPr>
            <w:tcW w:w="1418" w:type="dxa"/>
            <w:shd w:val="clear" w:color="auto" w:fill="auto"/>
            <w:tcMar>
              <w:top w:w="0" w:type="dxa"/>
              <w:left w:w="108" w:type="dxa"/>
              <w:bottom w:w="0" w:type="dxa"/>
              <w:right w:w="108" w:type="dxa"/>
            </w:tcMar>
            <w:vAlign w:val="center"/>
          </w:tcPr>
          <w:p w14:paraId="46F0EAC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148,118,845</w:t>
            </w:r>
          </w:p>
        </w:tc>
        <w:tc>
          <w:tcPr>
            <w:tcW w:w="1134" w:type="dxa"/>
            <w:shd w:val="clear" w:color="auto" w:fill="auto"/>
            <w:tcMar>
              <w:top w:w="0" w:type="dxa"/>
              <w:left w:w="108" w:type="dxa"/>
              <w:bottom w:w="0" w:type="dxa"/>
              <w:right w:w="108" w:type="dxa"/>
            </w:tcMar>
            <w:vAlign w:val="center"/>
          </w:tcPr>
          <w:p w14:paraId="236C21D3" w14:textId="77777777" w:rsidR="006416B0" w:rsidRPr="00B4515A" w:rsidRDefault="005E58C1" w:rsidP="005860B4">
            <w:pPr>
              <w:adjustRightInd w:val="0"/>
              <w:snapToGrid w:val="0"/>
              <w:jc w:val="right"/>
              <w:rPr>
                <w:rFonts w:ascii="Times New Roman" w:hAnsi="Times New Roman" w:cs="Times New Roman"/>
                <w:bCs/>
                <w:color w:val="000000"/>
                <w:sz w:val="21"/>
                <w:szCs w:val="21"/>
              </w:rPr>
            </w:pPr>
            <w:r w:rsidRPr="00B4515A">
              <w:rPr>
                <w:rFonts w:ascii="Times New Roman" w:hAnsi="Times New Roman" w:cs="Times New Roman"/>
                <w:bCs/>
                <w:color w:val="000000"/>
                <w:sz w:val="21"/>
                <w:szCs w:val="21"/>
              </w:rPr>
              <w:t>16.79%</w:t>
            </w:r>
          </w:p>
        </w:tc>
        <w:tc>
          <w:tcPr>
            <w:tcW w:w="1417" w:type="dxa"/>
            <w:shd w:val="clear" w:color="auto" w:fill="auto"/>
            <w:tcMar>
              <w:top w:w="0" w:type="dxa"/>
              <w:left w:w="108" w:type="dxa"/>
              <w:bottom w:w="0" w:type="dxa"/>
              <w:right w:w="108" w:type="dxa"/>
            </w:tcMar>
            <w:vAlign w:val="center"/>
          </w:tcPr>
          <w:p w14:paraId="065A585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7,777,757</w:t>
            </w:r>
          </w:p>
        </w:tc>
        <w:tc>
          <w:tcPr>
            <w:tcW w:w="1560" w:type="dxa"/>
            <w:shd w:val="clear" w:color="auto" w:fill="auto"/>
            <w:tcMar>
              <w:top w:w="0" w:type="dxa"/>
              <w:left w:w="108" w:type="dxa"/>
              <w:bottom w:w="0" w:type="dxa"/>
              <w:right w:w="108" w:type="dxa"/>
            </w:tcMar>
            <w:vAlign w:val="center"/>
          </w:tcPr>
          <w:p w14:paraId="52FC06C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155,896,602</w:t>
            </w:r>
          </w:p>
        </w:tc>
        <w:tc>
          <w:tcPr>
            <w:tcW w:w="1134" w:type="dxa"/>
            <w:shd w:val="clear" w:color="auto" w:fill="auto"/>
            <w:tcMar>
              <w:top w:w="0" w:type="dxa"/>
              <w:left w:w="108" w:type="dxa"/>
              <w:bottom w:w="0" w:type="dxa"/>
              <w:right w:w="108" w:type="dxa"/>
            </w:tcMar>
            <w:vAlign w:val="center"/>
          </w:tcPr>
          <w:p w14:paraId="299BEB56"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sz w:val="21"/>
                <w:szCs w:val="21"/>
              </w:rPr>
              <w:t>13.88%</w:t>
            </w:r>
          </w:p>
        </w:tc>
      </w:tr>
      <w:tr w:rsidR="006416B0" w:rsidRPr="00B4515A" w14:paraId="190DD621" w14:textId="77777777" w:rsidTr="00031627">
        <w:trPr>
          <w:trHeight w:val="340"/>
          <w:jc w:val="center"/>
        </w:trPr>
        <w:tc>
          <w:tcPr>
            <w:tcW w:w="1985" w:type="dxa"/>
            <w:shd w:val="clear" w:color="auto" w:fill="auto"/>
            <w:tcMar>
              <w:top w:w="0" w:type="dxa"/>
              <w:left w:w="108" w:type="dxa"/>
              <w:bottom w:w="0" w:type="dxa"/>
              <w:right w:w="108" w:type="dxa"/>
            </w:tcMar>
            <w:vAlign w:val="center"/>
          </w:tcPr>
          <w:p w14:paraId="61CCAA06" w14:textId="0F5FD493" w:rsidR="006416B0" w:rsidRPr="00B4515A" w:rsidRDefault="00252376" w:rsidP="005860B4">
            <w:pPr>
              <w:adjustRightInd w:val="0"/>
              <w:snapToGrid w:val="0"/>
              <w:jc w:val="center"/>
              <w:rPr>
                <w:color w:val="000000"/>
                <w:sz w:val="21"/>
                <w:szCs w:val="21"/>
              </w:rPr>
            </w:pPr>
            <w:r w:rsidRPr="00B4515A">
              <w:rPr>
                <w:color w:val="000000"/>
                <w:sz w:val="21"/>
                <w:szCs w:val="21"/>
              </w:rPr>
              <w:t>长江移动基金</w:t>
            </w:r>
          </w:p>
        </w:tc>
        <w:tc>
          <w:tcPr>
            <w:tcW w:w="1418" w:type="dxa"/>
            <w:shd w:val="clear" w:color="auto" w:fill="auto"/>
            <w:tcMar>
              <w:top w:w="0" w:type="dxa"/>
              <w:left w:w="108" w:type="dxa"/>
              <w:bottom w:w="0" w:type="dxa"/>
              <w:right w:w="108" w:type="dxa"/>
            </w:tcMar>
            <w:vAlign w:val="center"/>
          </w:tcPr>
          <w:p w14:paraId="03A3980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34" w:type="dxa"/>
            <w:shd w:val="clear" w:color="auto" w:fill="auto"/>
            <w:tcMar>
              <w:top w:w="0" w:type="dxa"/>
              <w:left w:w="108" w:type="dxa"/>
              <w:bottom w:w="0" w:type="dxa"/>
              <w:right w:w="108" w:type="dxa"/>
            </w:tcMar>
            <w:vAlign w:val="center"/>
          </w:tcPr>
          <w:p w14:paraId="360CE5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1417" w:type="dxa"/>
            <w:shd w:val="clear" w:color="auto" w:fill="auto"/>
            <w:tcMar>
              <w:top w:w="0" w:type="dxa"/>
              <w:left w:w="108" w:type="dxa"/>
              <w:bottom w:w="0" w:type="dxa"/>
              <w:right w:w="108" w:type="dxa"/>
            </w:tcMar>
            <w:vAlign w:val="center"/>
          </w:tcPr>
          <w:p w14:paraId="27CBEFA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53,422,979</w:t>
            </w:r>
          </w:p>
        </w:tc>
        <w:tc>
          <w:tcPr>
            <w:tcW w:w="1560" w:type="dxa"/>
            <w:shd w:val="clear" w:color="auto" w:fill="auto"/>
            <w:tcMar>
              <w:top w:w="0" w:type="dxa"/>
              <w:left w:w="108" w:type="dxa"/>
              <w:bottom w:w="0" w:type="dxa"/>
              <w:right w:w="108" w:type="dxa"/>
            </w:tcMar>
            <w:vAlign w:val="center"/>
          </w:tcPr>
          <w:p w14:paraId="55B5C94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53,422,979</w:t>
            </w:r>
          </w:p>
        </w:tc>
        <w:tc>
          <w:tcPr>
            <w:tcW w:w="1134" w:type="dxa"/>
            <w:shd w:val="clear" w:color="auto" w:fill="auto"/>
            <w:tcMar>
              <w:top w:w="0" w:type="dxa"/>
              <w:left w:w="108" w:type="dxa"/>
              <w:bottom w:w="0" w:type="dxa"/>
              <w:right w:w="108" w:type="dxa"/>
            </w:tcMar>
            <w:vAlign w:val="center"/>
          </w:tcPr>
          <w:p w14:paraId="39F8CE4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4.76%</w:t>
            </w:r>
          </w:p>
        </w:tc>
      </w:tr>
      <w:tr w:rsidR="006416B0" w:rsidRPr="00B4515A" w14:paraId="775E795D" w14:textId="77777777" w:rsidTr="00031627">
        <w:trPr>
          <w:trHeight w:val="340"/>
          <w:jc w:val="center"/>
        </w:trPr>
        <w:tc>
          <w:tcPr>
            <w:tcW w:w="1985" w:type="dxa"/>
            <w:shd w:val="clear" w:color="auto" w:fill="auto"/>
            <w:tcMar>
              <w:top w:w="0" w:type="dxa"/>
              <w:left w:w="108" w:type="dxa"/>
              <w:bottom w:w="0" w:type="dxa"/>
              <w:right w:w="108" w:type="dxa"/>
            </w:tcMar>
            <w:vAlign w:val="center"/>
          </w:tcPr>
          <w:p w14:paraId="42DC7825"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结构调整基金</w:t>
            </w:r>
          </w:p>
        </w:tc>
        <w:tc>
          <w:tcPr>
            <w:tcW w:w="1418" w:type="dxa"/>
            <w:shd w:val="clear" w:color="auto" w:fill="auto"/>
            <w:tcMar>
              <w:top w:w="0" w:type="dxa"/>
              <w:left w:w="108" w:type="dxa"/>
              <w:bottom w:w="0" w:type="dxa"/>
              <w:right w:w="108" w:type="dxa"/>
            </w:tcMar>
            <w:vAlign w:val="center"/>
          </w:tcPr>
          <w:p w14:paraId="1EF9FA3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34" w:type="dxa"/>
            <w:shd w:val="clear" w:color="auto" w:fill="auto"/>
            <w:tcMar>
              <w:top w:w="0" w:type="dxa"/>
              <w:left w:w="108" w:type="dxa"/>
              <w:bottom w:w="0" w:type="dxa"/>
              <w:right w:w="108" w:type="dxa"/>
            </w:tcMar>
            <w:vAlign w:val="center"/>
          </w:tcPr>
          <w:p w14:paraId="7700AA2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1417" w:type="dxa"/>
            <w:shd w:val="clear" w:color="auto" w:fill="auto"/>
            <w:tcMar>
              <w:top w:w="0" w:type="dxa"/>
              <w:left w:w="108" w:type="dxa"/>
              <w:bottom w:w="0" w:type="dxa"/>
              <w:right w:w="108" w:type="dxa"/>
            </w:tcMar>
            <w:vAlign w:val="center"/>
          </w:tcPr>
          <w:p w14:paraId="6F8B9CE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17,808,504</w:t>
            </w:r>
          </w:p>
        </w:tc>
        <w:tc>
          <w:tcPr>
            <w:tcW w:w="1560" w:type="dxa"/>
            <w:shd w:val="clear" w:color="auto" w:fill="auto"/>
            <w:tcMar>
              <w:top w:w="0" w:type="dxa"/>
              <w:left w:w="108" w:type="dxa"/>
              <w:bottom w:w="0" w:type="dxa"/>
              <w:right w:w="108" w:type="dxa"/>
            </w:tcMar>
            <w:vAlign w:val="center"/>
          </w:tcPr>
          <w:p w14:paraId="5A0E95B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17,808,504</w:t>
            </w:r>
          </w:p>
        </w:tc>
        <w:tc>
          <w:tcPr>
            <w:tcW w:w="1134" w:type="dxa"/>
            <w:shd w:val="clear" w:color="auto" w:fill="auto"/>
            <w:tcMar>
              <w:top w:w="0" w:type="dxa"/>
              <w:left w:w="108" w:type="dxa"/>
              <w:bottom w:w="0" w:type="dxa"/>
              <w:right w:w="108" w:type="dxa"/>
            </w:tcMar>
            <w:vAlign w:val="center"/>
          </w:tcPr>
          <w:p w14:paraId="7C91906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1.59%</w:t>
            </w:r>
          </w:p>
        </w:tc>
      </w:tr>
      <w:tr w:rsidR="006416B0" w:rsidRPr="00B4515A" w14:paraId="7B3F1567" w14:textId="77777777" w:rsidTr="00031627">
        <w:trPr>
          <w:trHeight w:val="340"/>
          <w:jc w:val="center"/>
        </w:trPr>
        <w:tc>
          <w:tcPr>
            <w:tcW w:w="1985" w:type="dxa"/>
            <w:shd w:val="clear" w:color="auto" w:fill="auto"/>
            <w:tcMar>
              <w:top w:w="0" w:type="dxa"/>
              <w:left w:w="108" w:type="dxa"/>
              <w:bottom w:w="0" w:type="dxa"/>
              <w:right w:w="108" w:type="dxa"/>
            </w:tcMar>
            <w:vAlign w:val="center"/>
          </w:tcPr>
          <w:p w14:paraId="7E62E7FB" w14:textId="77777777" w:rsidR="006416B0" w:rsidRPr="00B4515A" w:rsidRDefault="005E58C1" w:rsidP="005860B4">
            <w:pPr>
              <w:adjustRightInd w:val="0"/>
              <w:snapToGrid w:val="0"/>
              <w:jc w:val="center"/>
              <w:rPr>
                <w:color w:val="000000"/>
                <w:sz w:val="21"/>
                <w:szCs w:val="21"/>
              </w:rPr>
            </w:pPr>
            <w:r w:rsidRPr="00B4515A">
              <w:rPr>
                <w:color w:val="000000"/>
                <w:sz w:val="21"/>
                <w:szCs w:val="21"/>
              </w:rPr>
              <w:t>金融街资本</w:t>
            </w:r>
          </w:p>
        </w:tc>
        <w:tc>
          <w:tcPr>
            <w:tcW w:w="1418" w:type="dxa"/>
            <w:shd w:val="clear" w:color="auto" w:fill="auto"/>
            <w:tcMar>
              <w:top w:w="0" w:type="dxa"/>
              <w:left w:w="108" w:type="dxa"/>
              <w:bottom w:w="0" w:type="dxa"/>
              <w:right w:w="108" w:type="dxa"/>
            </w:tcMar>
            <w:vAlign w:val="center"/>
          </w:tcPr>
          <w:p w14:paraId="336A8A7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34" w:type="dxa"/>
            <w:shd w:val="clear" w:color="auto" w:fill="auto"/>
            <w:tcMar>
              <w:top w:w="0" w:type="dxa"/>
              <w:left w:w="108" w:type="dxa"/>
              <w:bottom w:w="0" w:type="dxa"/>
              <w:right w:w="108" w:type="dxa"/>
            </w:tcMar>
            <w:vAlign w:val="center"/>
          </w:tcPr>
          <w:p w14:paraId="194F8C1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1417" w:type="dxa"/>
            <w:shd w:val="clear" w:color="auto" w:fill="auto"/>
            <w:tcMar>
              <w:top w:w="0" w:type="dxa"/>
              <w:left w:w="108" w:type="dxa"/>
              <w:bottom w:w="0" w:type="dxa"/>
              <w:right w:w="108" w:type="dxa"/>
            </w:tcMar>
            <w:vAlign w:val="center"/>
          </w:tcPr>
          <w:p w14:paraId="1BBE2E6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17,808,504</w:t>
            </w:r>
          </w:p>
        </w:tc>
        <w:tc>
          <w:tcPr>
            <w:tcW w:w="1560" w:type="dxa"/>
            <w:shd w:val="clear" w:color="auto" w:fill="auto"/>
            <w:tcMar>
              <w:top w:w="0" w:type="dxa"/>
              <w:left w:w="108" w:type="dxa"/>
              <w:bottom w:w="0" w:type="dxa"/>
              <w:right w:w="108" w:type="dxa"/>
            </w:tcMar>
            <w:vAlign w:val="center"/>
          </w:tcPr>
          <w:p w14:paraId="6A076D1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17,808,504</w:t>
            </w:r>
          </w:p>
        </w:tc>
        <w:tc>
          <w:tcPr>
            <w:tcW w:w="1134" w:type="dxa"/>
            <w:shd w:val="clear" w:color="auto" w:fill="auto"/>
            <w:tcMar>
              <w:top w:w="0" w:type="dxa"/>
              <w:left w:w="108" w:type="dxa"/>
              <w:bottom w:w="0" w:type="dxa"/>
              <w:right w:w="108" w:type="dxa"/>
            </w:tcMar>
            <w:vAlign w:val="center"/>
          </w:tcPr>
          <w:p w14:paraId="39F15B0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1.59%</w:t>
            </w:r>
          </w:p>
        </w:tc>
      </w:tr>
      <w:tr w:rsidR="006416B0" w:rsidRPr="00B4515A" w14:paraId="1FEB9EAB" w14:textId="77777777" w:rsidTr="00031627">
        <w:trPr>
          <w:trHeight w:val="340"/>
          <w:jc w:val="center"/>
        </w:trPr>
        <w:tc>
          <w:tcPr>
            <w:tcW w:w="1985" w:type="dxa"/>
            <w:shd w:val="clear" w:color="auto" w:fill="auto"/>
            <w:tcMar>
              <w:top w:w="0" w:type="dxa"/>
              <w:left w:w="108" w:type="dxa"/>
              <w:bottom w:w="0" w:type="dxa"/>
              <w:right w:w="108" w:type="dxa"/>
            </w:tcMar>
            <w:vAlign w:val="center"/>
          </w:tcPr>
          <w:p w14:paraId="3E251125" w14:textId="77777777" w:rsidR="006416B0" w:rsidRPr="00B4515A" w:rsidRDefault="005E58C1" w:rsidP="005860B4">
            <w:pPr>
              <w:adjustRightInd w:val="0"/>
              <w:snapToGrid w:val="0"/>
              <w:jc w:val="center"/>
              <w:rPr>
                <w:color w:val="000000"/>
                <w:sz w:val="21"/>
                <w:szCs w:val="21"/>
              </w:rPr>
            </w:pPr>
            <w:r w:rsidRPr="00B4515A">
              <w:rPr>
                <w:color w:val="000000"/>
                <w:sz w:val="21"/>
                <w:szCs w:val="21"/>
              </w:rPr>
              <w:t>大唐电信其他股东</w:t>
            </w:r>
          </w:p>
        </w:tc>
        <w:tc>
          <w:tcPr>
            <w:tcW w:w="1418" w:type="dxa"/>
            <w:shd w:val="clear" w:color="auto" w:fill="auto"/>
            <w:tcMar>
              <w:top w:w="0" w:type="dxa"/>
              <w:left w:w="108" w:type="dxa"/>
              <w:bottom w:w="0" w:type="dxa"/>
              <w:right w:w="108" w:type="dxa"/>
            </w:tcMar>
            <w:vAlign w:val="center"/>
          </w:tcPr>
          <w:p w14:paraId="2F0F94A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582,737,449</w:t>
            </w:r>
          </w:p>
        </w:tc>
        <w:tc>
          <w:tcPr>
            <w:tcW w:w="1134" w:type="dxa"/>
            <w:shd w:val="clear" w:color="auto" w:fill="auto"/>
            <w:tcMar>
              <w:top w:w="0" w:type="dxa"/>
              <w:left w:w="108" w:type="dxa"/>
              <w:bottom w:w="0" w:type="dxa"/>
              <w:right w:w="108" w:type="dxa"/>
            </w:tcMar>
            <w:vAlign w:val="center"/>
          </w:tcPr>
          <w:p w14:paraId="03C7A1B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66.06%</w:t>
            </w:r>
          </w:p>
        </w:tc>
        <w:tc>
          <w:tcPr>
            <w:tcW w:w="1417" w:type="dxa"/>
            <w:shd w:val="clear" w:color="auto" w:fill="auto"/>
            <w:tcMar>
              <w:top w:w="0" w:type="dxa"/>
              <w:left w:w="108" w:type="dxa"/>
              <w:bottom w:w="0" w:type="dxa"/>
              <w:right w:w="108" w:type="dxa"/>
            </w:tcMar>
            <w:vAlign w:val="center"/>
          </w:tcPr>
          <w:p w14:paraId="1C92CBE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   </w:t>
            </w:r>
          </w:p>
        </w:tc>
        <w:tc>
          <w:tcPr>
            <w:tcW w:w="1560" w:type="dxa"/>
            <w:shd w:val="clear" w:color="auto" w:fill="auto"/>
            <w:tcMar>
              <w:top w:w="0" w:type="dxa"/>
              <w:left w:w="108" w:type="dxa"/>
              <w:bottom w:w="0" w:type="dxa"/>
              <w:right w:w="108" w:type="dxa"/>
            </w:tcMar>
            <w:vAlign w:val="center"/>
          </w:tcPr>
          <w:p w14:paraId="46A55D7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582,737,449</w:t>
            </w:r>
          </w:p>
        </w:tc>
        <w:tc>
          <w:tcPr>
            <w:tcW w:w="1134" w:type="dxa"/>
            <w:shd w:val="clear" w:color="auto" w:fill="auto"/>
            <w:tcMar>
              <w:top w:w="0" w:type="dxa"/>
              <w:left w:w="108" w:type="dxa"/>
              <w:bottom w:w="0" w:type="dxa"/>
              <w:right w:w="108" w:type="dxa"/>
            </w:tcMar>
            <w:vAlign w:val="center"/>
          </w:tcPr>
          <w:p w14:paraId="51009F4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51.90%</w:t>
            </w:r>
          </w:p>
        </w:tc>
      </w:tr>
      <w:tr w:rsidR="006416B0" w:rsidRPr="00B4515A" w14:paraId="4E073330" w14:textId="77777777" w:rsidTr="00031627">
        <w:trPr>
          <w:trHeight w:val="340"/>
          <w:jc w:val="center"/>
        </w:trPr>
        <w:tc>
          <w:tcPr>
            <w:tcW w:w="1985" w:type="dxa"/>
            <w:shd w:val="clear" w:color="auto" w:fill="auto"/>
            <w:tcMar>
              <w:top w:w="0" w:type="dxa"/>
              <w:left w:w="108" w:type="dxa"/>
              <w:bottom w:w="0" w:type="dxa"/>
              <w:right w:w="108" w:type="dxa"/>
            </w:tcMar>
            <w:vAlign w:val="center"/>
          </w:tcPr>
          <w:p w14:paraId="2D32D639" w14:textId="77777777" w:rsidR="006416B0" w:rsidRPr="00B4515A" w:rsidRDefault="005E58C1" w:rsidP="005860B4">
            <w:pPr>
              <w:adjustRightInd w:val="0"/>
              <w:snapToGrid w:val="0"/>
              <w:jc w:val="center"/>
              <w:rPr>
                <w:b/>
                <w:bCs/>
                <w:color w:val="000000"/>
                <w:sz w:val="21"/>
                <w:szCs w:val="21"/>
              </w:rPr>
            </w:pPr>
            <w:r w:rsidRPr="00B4515A">
              <w:rPr>
                <w:b/>
                <w:bCs/>
                <w:color w:val="000000"/>
                <w:sz w:val="21"/>
                <w:szCs w:val="21"/>
              </w:rPr>
              <w:t>合计</w:t>
            </w:r>
          </w:p>
        </w:tc>
        <w:tc>
          <w:tcPr>
            <w:tcW w:w="1418" w:type="dxa"/>
            <w:shd w:val="clear" w:color="auto" w:fill="auto"/>
            <w:tcMar>
              <w:top w:w="0" w:type="dxa"/>
              <w:left w:w="108" w:type="dxa"/>
              <w:bottom w:w="0" w:type="dxa"/>
              <w:right w:w="108" w:type="dxa"/>
            </w:tcMar>
            <w:vAlign w:val="center"/>
          </w:tcPr>
          <w:p w14:paraId="125102DB"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sz w:val="21"/>
                <w:szCs w:val="21"/>
              </w:rPr>
              <w:t>882,108,472</w:t>
            </w:r>
          </w:p>
        </w:tc>
        <w:tc>
          <w:tcPr>
            <w:tcW w:w="1134" w:type="dxa"/>
            <w:shd w:val="clear" w:color="auto" w:fill="auto"/>
            <w:tcMar>
              <w:top w:w="0" w:type="dxa"/>
              <w:left w:w="108" w:type="dxa"/>
              <w:bottom w:w="0" w:type="dxa"/>
              <w:right w:w="108" w:type="dxa"/>
            </w:tcMar>
            <w:vAlign w:val="center"/>
          </w:tcPr>
          <w:p w14:paraId="48E73D3C"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100.00%</w:t>
            </w:r>
          </w:p>
        </w:tc>
        <w:tc>
          <w:tcPr>
            <w:tcW w:w="1417" w:type="dxa"/>
            <w:shd w:val="clear" w:color="auto" w:fill="auto"/>
            <w:tcMar>
              <w:top w:w="0" w:type="dxa"/>
              <w:left w:w="108" w:type="dxa"/>
              <w:bottom w:w="0" w:type="dxa"/>
              <w:right w:w="108" w:type="dxa"/>
            </w:tcMar>
            <w:vAlign w:val="center"/>
          </w:tcPr>
          <w:p w14:paraId="6A25110B"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sz w:val="21"/>
                <w:szCs w:val="21"/>
              </w:rPr>
              <w:t>240,760,740</w:t>
            </w:r>
          </w:p>
        </w:tc>
        <w:tc>
          <w:tcPr>
            <w:tcW w:w="1560" w:type="dxa"/>
            <w:shd w:val="clear" w:color="auto" w:fill="auto"/>
            <w:tcMar>
              <w:top w:w="0" w:type="dxa"/>
              <w:left w:w="108" w:type="dxa"/>
              <w:bottom w:w="0" w:type="dxa"/>
              <w:right w:w="108" w:type="dxa"/>
            </w:tcMar>
            <w:vAlign w:val="center"/>
          </w:tcPr>
          <w:p w14:paraId="2B0BC291"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sz w:val="21"/>
                <w:szCs w:val="21"/>
              </w:rPr>
              <w:t>1,122,869,212</w:t>
            </w:r>
          </w:p>
        </w:tc>
        <w:tc>
          <w:tcPr>
            <w:tcW w:w="1134" w:type="dxa"/>
            <w:shd w:val="clear" w:color="auto" w:fill="auto"/>
            <w:tcMar>
              <w:top w:w="0" w:type="dxa"/>
              <w:left w:w="108" w:type="dxa"/>
              <w:bottom w:w="0" w:type="dxa"/>
              <w:right w:w="108" w:type="dxa"/>
            </w:tcMar>
            <w:vAlign w:val="center"/>
          </w:tcPr>
          <w:p w14:paraId="7D33F9E8"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sz w:val="21"/>
                <w:szCs w:val="21"/>
              </w:rPr>
              <w:t>100.00%</w:t>
            </w:r>
          </w:p>
        </w:tc>
      </w:tr>
    </w:tbl>
    <w:p w14:paraId="0543A6A9" w14:textId="77777777" w:rsidR="006416B0" w:rsidRPr="00B4515A" w:rsidRDefault="005E58C1" w:rsidP="005860B4">
      <w:pPr>
        <w:pStyle w:val="005"/>
        <w:spacing w:before="120" w:after="120"/>
        <w:ind w:firstLine="480"/>
      </w:pPr>
      <w:r w:rsidRPr="00B4515A">
        <w:rPr>
          <w:rFonts w:hint="eastAsia"/>
        </w:rPr>
        <w:t>发行股份购买资产同时募集配套资金前后股权结构变化情况如下：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694"/>
        <w:gridCol w:w="1424"/>
        <w:gridCol w:w="1139"/>
        <w:gridCol w:w="1467"/>
        <w:gridCol w:w="1665"/>
        <w:gridCol w:w="1139"/>
      </w:tblGrid>
      <w:tr w:rsidR="006416B0" w:rsidRPr="00B4515A" w14:paraId="65C6D150" w14:textId="77777777" w:rsidTr="00031627">
        <w:trPr>
          <w:trHeight w:val="340"/>
          <w:jc w:val="center"/>
        </w:trPr>
        <w:tc>
          <w:tcPr>
            <w:tcW w:w="1686" w:type="dxa"/>
            <w:shd w:val="clear" w:color="auto" w:fill="auto"/>
            <w:tcMar>
              <w:top w:w="0" w:type="dxa"/>
              <w:left w:w="108" w:type="dxa"/>
              <w:bottom w:w="0" w:type="dxa"/>
              <w:right w:w="108" w:type="dxa"/>
            </w:tcMar>
            <w:vAlign w:val="center"/>
          </w:tcPr>
          <w:p w14:paraId="0F5D5C4B"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股东名称</w:t>
            </w:r>
          </w:p>
        </w:tc>
        <w:tc>
          <w:tcPr>
            <w:tcW w:w="1418" w:type="dxa"/>
            <w:shd w:val="clear" w:color="auto" w:fill="auto"/>
            <w:tcMar>
              <w:top w:w="0" w:type="dxa"/>
              <w:left w:w="108" w:type="dxa"/>
              <w:bottom w:w="0" w:type="dxa"/>
              <w:right w:w="108" w:type="dxa"/>
            </w:tcMar>
            <w:vAlign w:val="center"/>
          </w:tcPr>
          <w:p w14:paraId="0BAA53E2"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原持股（股）</w:t>
            </w:r>
          </w:p>
        </w:tc>
        <w:tc>
          <w:tcPr>
            <w:tcW w:w="1134" w:type="dxa"/>
            <w:shd w:val="clear" w:color="auto" w:fill="auto"/>
            <w:tcMar>
              <w:top w:w="0" w:type="dxa"/>
              <w:left w:w="108" w:type="dxa"/>
              <w:bottom w:w="0" w:type="dxa"/>
              <w:right w:w="108" w:type="dxa"/>
            </w:tcMar>
            <w:vAlign w:val="center"/>
          </w:tcPr>
          <w:p w14:paraId="09B20CEA" w14:textId="77777777" w:rsidR="005860B4"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原持股</w:t>
            </w:r>
          </w:p>
          <w:p w14:paraId="2060C624" w14:textId="0EA626DB"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比例</w:t>
            </w:r>
          </w:p>
        </w:tc>
        <w:tc>
          <w:tcPr>
            <w:tcW w:w="1460" w:type="dxa"/>
            <w:shd w:val="clear" w:color="auto" w:fill="auto"/>
            <w:tcMar>
              <w:top w:w="0" w:type="dxa"/>
              <w:left w:w="108" w:type="dxa"/>
              <w:bottom w:w="0" w:type="dxa"/>
              <w:right w:w="108" w:type="dxa"/>
            </w:tcMar>
            <w:vAlign w:val="center"/>
          </w:tcPr>
          <w:p w14:paraId="3B9E2008"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新增股数（股）</w:t>
            </w:r>
          </w:p>
        </w:tc>
        <w:tc>
          <w:tcPr>
            <w:tcW w:w="1658" w:type="dxa"/>
            <w:shd w:val="clear" w:color="auto" w:fill="auto"/>
            <w:tcMar>
              <w:top w:w="0" w:type="dxa"/>
              <w:left w:w="108" w:type="dxa"/>
              <w:bottom w:w="0" w:type="dxa"/>
              <w:right w:w="108" w:type="dxa"/>
            </w:tcMar>
            <w:vAlign w:val="center"/>
          </w:tcPr>
          <w:p w14:paraId="3C3F9B4A"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资产注入后股数（股）</w:t>
            </w:r>
          </w:p>
        </w:tc>
        <w:tc>
          <w:tcPr>
            <w:tcW w:w="1134" w:type="dxa"/>
            <w:shd w:val="clear" w:color="auto" w:fill="auto"/>
            <w:tcMar>
              <w:top w:w="0" w:type="dxa"/>
              <w:left w:w="108" w:type="dxa"/>
              <w:bottom w:w="0" w:type="dxa"/>
              <w:right w:w="108" w:type="dxa"/>
            </w:tcMar>
            <w:vAlign w:val="center"/>
          </w:tcPr>
          <w:p w14:paraId="172D5BBB" w14:textId="77777777" w:rsidR="005860B4"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资产注入后持股</w:t>
            </w:r>
          </w:p>
          <w:p w14:paraId="6F352B30" w14:textId="4224C2F1"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比例</w:t>
            </w:r>
          </w:p>
        </w:tc>
      </w:tr>
      <w:tr w:rsidR="006416B0" w:rsidRPr="00B4515A" w14:paraId="472EFB2B" w14:textId="77777777" w:rsidTr="00031627">
        <w:trPr>
          <w:trHeight w:val="340"/>
          <w:jc w:val="center"/>
        </w:trPr>
        <w:tc>
          <w:tcPr>
            <w:tcW w:w="1686" w:type="dxa"/>
            <w:shd w:val="clear" w:color="auto" w:fill="auto"/>
            <w:tcMar>
              <w:top w:w="0" w:type="dxa"/>
              <w:left w:w="108" w:type="dxa"/>
              <w:bottom w:w="0" w:type="dxa"/>
              <w:right w:w="108" w:type="dxa"/>
            </w:tcMar>
            <w:vAlign w:val="center"/>
          </w:tcPr>
          <w:p w14:paraId="1758D41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电信科研院</w:t>
            </w:r>
          </w:p>
        </w:tc>
        <w:tc>
          <w:tcPr>
            <w:tcW w:w="1418" w:type="dxa"/>
            <w:shd w:val="clear" w:color="auto" w:fill="auto"/>
            <w:tcMar>
              <w:top w:w="0" w:type="dxa"/>
              <w:left w:w="108" w:type="dxa"/>
              <w:bottom w:w="0" w:type="dxa"/>
              <w:right w:w="108" w:type="dxa"/>
            </w:tcMar>
            <w:vAlign w:val="center"/>
          </w:tcPr>
          <w:p w14:paraId="45CD2AA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151,252,178</w:t>
            </w:r>
          </w:p>
        </w:tc>
        <w:tc>
          <w:tcPr>
            <w:tcW w:w="1134" w:type="dxa"/>
            <w:shd w:val="clear" w:color="auto" w:fill="auto"/>
            <w:tcMar>
              <w:top w:w="0" w:type="dxa"/>
              <w:left w:w="108" w:type="dxa"/>
              <w:bottom w:w="0" w:type="dxa"/>
              <w:right w:w="108" w:type="dxa"/>
            </w:tcMar>
            <w:vAlign w:val="center"/>
          </w:tcPr>
          <w:p w14:paraId="6AEA40A0" w14:textId="77777777" w:rsidR="006416B0" w:rsidRPr="00B4515A" w:rsidRDefault="005E58C1" w:rsidP="005860B4">
            <w:pPr>
              <w:adjustRightInd w:val="0"/>
              <w:snapToGrid w:val="0"/>
              <w:jc w:val="right"/>
              <w:rPr>
                <w:rFonts w:ascii="Times New Roman" w:hAnsi="Times New Roman" w:cs="Times New Roman"/>
                <w:bCs/>
                <w:color w:val="000000"/>
                <w:sz w:val="21"/>
                <w:szCs w:val="21"/>
              </w:rPr>
            </w:pPr>
            <w:r w:rsidRPr="00B4515A">
              <w:rPr>
                <w:rFonts w:ascii="Times New Roman" w:hAnsi="Times New Roman" w:cs="Times New Roman"/>
                <w:bCs/>
                <w:color w:val="000000"/>
                <w:sz w:val="21"/>
                <w:szCs w:val="21"/>
              </w:rPr>
              <w:t>17.15%</w:t>
            </w:r>
          </w:p>
        </w:tc>
        <w:tc>
          <w:tcPr>
            <w:tcW w:w="1460" w:type="dxa"/>
            <w:shd w:val="clear" w:color="auto" w:fill="auto"/>
            <w:tcMar>
              <w:top w:w="0" w:type="dxa"/>
              <w:left w:w="108" w:type="dxa"/>
              <w:bottom w:w="0" w:type="dxa"/>
              <w:right w:w="108" w:type="dxa"/>
            </w:tcMar>
            <w:vAlign w:val="center"/>
          </w:tcPr>
          <w:p w14:paraId="37BE32E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143,942,996</w:t>
            </w:r>
          </w:p>
        </w:tc>
        <w:tc>
          <w:tcPr>
            <w:tcW w:w="1658" w:type="dxa"/>
            <w:shd w:val="clear" w:color="auto" w:fill="auto"/>
            <w:tcMar>
              <w:top w:w="0" w:type="dxa"/>
              <w:left w:w="108" w:type="dxa"/>
              <w:bottom w:w="0" w:type="dxa"/>
              <w:right w:w="108" w:type="dxa"/>
            </w:tcMar>
            <w:vAlign w:val="center"/>
          </w:tcPr>
          <w:p w14:paraId="16B3E6F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295,195,174</w:t>
            </w:r>
          </w:p>
        </w:tc>
        <w:tc>
          <w:tcPr>
            <w:tcW w:w="1134" w:type="dxa"/>
            <w:shd w:val="clear" w:color="auto" w:fill="auto"/>
            <w:tcMar>
              <w:top w:w="0" w:type="dxa"/>
              <w:left w:w="108" w:type="dxa"/>
              <w:bottom w:w="0" w:type="dxa"/>
              <w:right w:w="108" w:type="dxa"/>
            </w:tcMar>
            <w:vAlign w:val="center"/>
          </w:tcPr>
          <w:p w14:paraId="0EB169A8"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color w:val="000000"/>
                <w:sz w:val="21"/>
                <w:szCs w:val="21"/>
              </w:rPr>
              <w:t>22.47%</w:t>
            </w:r>
          </w:p>
        </w:tc>
      </w:tr>
      <w:tr w:rsidR="006416B0" w:rsidRPr="00B4515A" w14:paraId="56AC5F0D" w14:textId="77777777" w:rsidTr="00031627">
        <w:trPr>
          <w:trHeight w:val="340"/>
          <w:jc w:val="center"/>
        </w:trPr>
        <w:tc>
          <w:tcPr>
            <w:tcW w:w="1686" w:type="dxa"/>
            <w:shd w:val="clear" w:color="auto" w:fill="auto"/>
            <w:tcMar>
              <w:top w:w="0" w:type="dxa"/>
              <w:left w:w="108" w:type="dxa"/>
              <w:bottom w:w="0" w:type="dxa"/>
              <w:right w:w="108" w:type="dxa"/>
            </w:tcMar>
            <w:vAlign w:val="center"/>
          </w:tcPr>
          <w:p w14:paraId="70666FB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大唐控股</w:t>
            </w:r>
          </w:p>
        </w:tc>
        <w:tc>
          <w:tcPr>
            <w:tcW w:w="1418" w:type="dxa"/>
            <w:shd w:val="clear" w:color="auto" w:fill="auto"/>
            <w:tcMar>
              <w:top w:w="0" w:type="dxa"/>
              <w:left w:w="108" w:type="dxa"/>
              <w:bottom w:w="0" w:type="dxa"/>
              <w:right w:w="108" w:type="dxa"/>
            </w:tcMar>
            <w:vAlign w:val="center"/>
          </w:tcPr>
          <w:p w14:paraId="24D9C50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148,118,845</w:t>
            </w:r>
          </w:p>
        </w:tc>
        <w:tc>
          <w:tcPr>
            <w:tcW w:w="1134" w:type="dxa"/>
            <w:shd w:val="clear" w:color="auto" w:fill="auto"/>
            <w:tcMar>
              <w:top w:w="0" w:type="dxa"/>
              <w:left w:w="108" w:type="dxa"/>
              <w:bottom w:w="0" w:type="dxa"/>
              <w:right w:w="108" w:type="dxa"/>
            </w:tcMar>
            <w:vAlign w:val="center"/>
          </w:tcPr>
          <w:p w14:paraId="5168AB3B" w14:textId="77777777" w:rsidR="006416B0" w:rsidRPr="00B4515A" w:rsidRDefault="005E58C1" w:rsidP="005860B4">
            <w:pPr>
              <w:adjustRightInd w:val="0"/>
              <w:snapToGrid w:val="0"/>
              <w:jc w:val="right"/>
              <w:rPr>
                <w:rFonts w:ascii="Times New Roman" w:hAnsi="Times New Roman" w:cs="Times New Roman"/>
                <w:bCs/>
                <w:color w:val="000000"/>
                <w:sz w:val="21"/>
                <w:szCs w:val="21"/>
              </w:rPr>
            </w:pPr>
            <w:r w:rsidRPr="00B4515A">
              <w:rPr>
                <w:rFonts w:ascii="Times New Roman" w:hAnsi="Times New Roman" w:cs="Times New Roman"/>
                <w:bCs/>
                <w:color w:val="000000"/>
                <w:sz w:val="21"/>
                <w:szCs w:val="21"/>
              </w:rPr>
              <w:t>16.79%</w:t>
            </w:r>
          </w:p>
        </w:tc>
        <w:tc>
          <w:tcPr>
            <w:tcW w:w="1460" w:type="dxa"/>
            <w:shd w:val="clear" w:color="auto" w:fill="auto"/>
            <w:tcMar>
              <w:top w:w="0" w:type="dxa"/>
              <w:left w:w="108" w:type="dxa"/>
              <w:bottom w:w="0" w:type="dxa"/>
              <w:right w:w="108" w:type="dxa"/>
            </w:tcMar>
            <w:vAlign w:val="center"/>
          </w:tcPr>
          <w:p w14:paraId="377DE2C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7,777,757</w:t>
            </w:r>
          </w:p>
        </w:tc>
        <w:tc>
          <w:tcPr>
            <w:tcW w:w="1658" w:type="dxa"/>
            <w:shd w:val="clear" w:color="auto" w:fill="auto"/>
            <w:tcMar>
              <w:top w:w="0" w:type="dxa"/>
              <w:left w:w="108" w:type="dxa"/>
              <w:bottom w:w="0" w:type="dxa"/>
              <w:right w:w="108" w:type="dxa"/>
            </w:tcMar>
            <w:vAlign w:val="center"/>
          </w:tcPr>
          <w:p w14:paraId="7371DF2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155,896,602</w:t>
            </w:r>
          </w:p>
        </w:tc>
        <w:tc>
          <w:tcPr>
            <w:tcW w:w="1134" w:type="dxa"/>
            <w:shd w:val="clear" w:color="auto" w:fill="auto"/>
            <w:tcMar>
              <w:top w:w="0" w:type="dxa"/>
              <w:left w:w="108" w:type="dxa"/>
              <w:bottom w:w="0" w:type="dxa"/>
              <w:right w:w="108" w:type="dxa"/>
            </w:tcMar>
            <w:vAlign w:val="center"/>
          </w:tcPr>
          <w:p w14:paraId="728AECD3"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color w:val="000000"/>
                <w:sz w:val="21"/>
                <w:szCs w:val="21"/>
              </w:rPr>
              <w:t>11.87%</w:t>
            </w:r>
          </w:p>
        </w:tc>
      </w:tr>
      <w:tr w:rsidR="006416B0" w:rsidRPr="00B4515A" w14:paraId="0D1FE13A" w14:textId="77777777" w:rsidTr="00031627">
        <w:trPr>
          <w:trHeight w:val="340"/>
          <w:jc w:val="center"/>
        </w:trPr>
        <w:tc>
          <w:tcPr>
            <w:tcW w:w="1686" w:type="dxa"/>
            <w:shd w:val="clear" w:color="auto" w:fill="auto"/>
            <w:tcMar>
              <w:top w:w="0" w:type="dxa"/>
              <w:left w:w="108" w:type="dxa"/>
              <w:bottom w:w="0" w:type="dxa"/>
              <w:right w:w="108" w:type="dxa"/>
            </w:tcMar>
            <w:vAlign w:val="center"/>
          </w:tcPr>
          <w:p w14:paraId="2DC74E1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中国信科集团</w:t>
            </w:r>
          </w:p>
        </w:tc>
        <w:tc>
          <w:tcPr>
            <w:tcW w:w="1418" w:type="dxa"/>
            <w:shd w:val="clear" w:color="auto" w:fill="auto"/>
            <w:tcMar>
              <w:top w:w="0" w:type="dxa"/>
              <w:left w:w="108" w:type="dxa"/>
              <w:bottom w:w="0" w:type="dxa"/>
              <w:right w:w="108" w:type="dxa"/>
            </w:tcMar>
            <w:vAlign w:val="center"/>
          </w:tcPr>
          <w:p w14:paraId="520A9B9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color w:val="000000"/>
                <w:sz w:val="21"/>
                <w:szCs w:val="21"/>
              </w:rPr>
              <w:t>-</w:t>
            </w:r>
          </w:p>
        </w:tc>
        <w:tc>
          <w:tcPr>
            <w:tcW w:w="1134" w:type="dxa"/>
            <w:shd w:val="clear" w:color="auto" w:fill="auto"/>
            <w:tcMar>
              <w:top w:w="0" w:type="dxa"/>
              <w:left w:w="108" w:type="dxa"/>
              <w:bottom w:w="0" w:type="dxa"/>
              <w:right w:w="108" w:type="dxa"/>
            </w:tcMar>
            <w:vAlign w:val="center"/>
          </w:tcPr>
          <w:p w14:paraId="7BFF0F1F" w14:textId="77777777" w:rsidR="006416B0" w:rsidRPr="00B4515A" w:rsidRDefault="005E58C1" w:rsidP="005860B4">
            <w:pPr>
              <w:adjustRightInd w:val="0"/>
              <w:snapToGrid w:val="0"/>
              <w:jc w:val="right"/>
              <w:rPr>
                <w:rFonts w:ascii="Times New Roman" w:hAnsi="Times New Roman" w:cs="Times New Roman"/>
                <w:bCs/>
                <w:color w:val="000000"/>
                <w:sz w:val="21"/>
                <w:szCs w:val="21"/>
              </w:rPr>
            </w:pPr>
            <w:r w:rsidRPr="00B4515A">
              <w:rPr>
                <w:rFonts w:ascii="Times New Roman" w:hAnsi="Times New Roman" w:cs="Times New Roman"/>
                <w:color w:val="000000"/>
                <w:sz w:val="21"/>
                <w:szCs w:val="21"/>
              </w:rPr>
              <w:t>0.00%</w:t>
            </w:r>
          </w:p>
        </w:tc>
        <w:tc>
          <w:tcPr>
            <w:tcW w:w="1460" w:type="dxa"/>
            <w:shd w:val="clear" w:color="auto" w:fill="auto"/>
            <w:tcMar>
              <w:top w:w="0" w:type="dxa"/>
              <w:left w:w="108" w:type="dxa"/>
              <w:bottom w:w="0" w:type="dxa"/>
              <w:right w:w="108" w:type="dxa"/>
            </w:tcMar>
            <w:vAlign w:val="center"/>
          </w:tcPr>
          <w:p w14:paraId="02F4055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190,839,694</w:t>
            </w:r>
          </w:p>
        </w:tc>
        <w:tc>
          <w:tcPr>
            <w:tcW w:w="1658" w:type="dxa"/>
            <w:shd w:val="clear" w:color="auto" w:fill="auto"/>
            <w:tcMar>
              <w:top w:w="0" w:type="dxa"/>
              <w:left w:w="108" w:type="dxa"/>
              <w:bottom w:w="0" w:type="dxa"/>
              <w:right w:w="108" w:type="dxa"/>
            </w:tcMar>
            <w:vAlign w:val="center"/>
          </w:tcPr>
          <w:p w14:paraId="667E5FE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190,839,694</w:t>
            </w:r>
          </w:p>
        </w:tc>
        <w:tc>
          <w:tcPr>
            <w:tcW w:w="1134" w:type="dxa"/>
            <w:shd w:val="clear" w:color="auto" w:fill="auto"/>
            <w:tcMar>
              <w:top w:w="0" w:type="dxa"/>
              <w:left w:w="108" w:type="dxa"/>
              <w:bottom w:w="0" w:type="dxa"/>
              <w:right w:w="108" w:type="dxa"/>
            </w:tcMar>
            <w:vAlign w:val="center"/>
          </w:tcPr>
          <w:p w14:paraId="1931233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14.53%</w:t>
            </w:r>
          </w:p>
        </w:tc>
      </w:tr>
      <w:tr w:rsidR="006416B0" w:rsidRPr="00B4515A" w14:paraId="5548FF79" w14:textId="77777777" w:rsidTr="00031627">
        <w:trPr>
          <w:trHeight w:val="340"/>
          <w:jc w:val="center"/>
        </w:trPr>
        <w:tc>
          <w:tcPr>
            <w:tcW w:w="1686" w:type="dxa"/>
            <w:shd w:val="clear" w:color="auto" w:fill="auto"/>
            <w:tcMar>
              <w:top w:w="0" w:type="dxa"/>
              <w:left w:w="108" w:type="dxa"/>
              <w:bottom w:w="0" w:type="dxa"/>
              <w:right w:w="108" w:type="dxa"/>
            </w:tcMar>
            <w:vAlign w:val="center"/>
          </w:tcPr>
          <w:p w14:paraId="1B101A0E" w14:textId="6A6AC94A" w:rsidR="006416B0" w:rsidRPr="00B4515A" w:rsidRDefault="00252376"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长江移动基金</w:t>
            </w:r>
          </w:p>
        </w:tc>
        <w:tc>
          <w:tcPr>
            <w:tcW w:w="1418" w:type="dxa"/>
            <w:shd w:val="clear" w:color="auto" w:fill="auto"/>
            <w:tcMar>
              <w:top w:w="0" w:type="dxa"/>
              <w:left w:w="108" w:type="dxa"/>
              <w:bottom w:w="0" w:type="dxa"/>
              <w:right w:w="108" w:type="dxa"/>
            </w:tcMar>
            <w:vAlign w:val="center"/>
          </w:tcPr>
          <w:p w14:paraId="53C4567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34" w:type="dxa"/>
            <w:shd w:val="clear" w:color="auto" w:fill="auto"/>
            <w:tcMar>
              <w:top w:w="0" w:type="dxa"/>
              <w:left w:w="108" w:type="dxa"/>
              <w:bottom w:w="0" w:type="dxa"/>
              <w:right w:w="108" w:type="dxa"/>
            </w:tcMar>
            <w:vAlign w:val="center"/>
          </w:tcPr>
          <w:p w14:paraId="2E35E2B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1460" w:type="dxa"/>
            <w:shd w:val="clear" w:color="auto" w:fill="auto"/>
            <w:tcMar>
              <w:top w:w="0" w:type="dxa"/>
              <w:left w:w="108" w:type="dxa"/>
              <w:bottom w:w="0" w:type="dxa"/>
              <w:right w:w="108" w:type="dxa"/>
            </w:tcMar>
            <w:vAlign w:val="center"/>
          </w:tcPr>
          <w:p w14:paraId="6447EF0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53,422,979</w:t>
            </w:r>
          </w:p>
        </w:tc>
        <w:tc>
          <w:tcPr>
            <w:tcW w:w="1658" w:type="dxa"/>
            <w:shd w:val="clear" w:color="auto" w:fill="auto"/>
            <w:tcMar>
              <w:top w:w="0" w:type="dxa"/>
              <w:left w:w="108" w:type="dxa"/>
              <w:bottom w:w="0" w:type="dxa"/>
              <w:right w:w="108" w:type="dxa"/>
            </w:tcMar>
            <w:vAlign w:val="center"/>
          </w:tcPr>
          <w:p w14:paraId="36AAE51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53,422,979</w:t>
            </w:r>
          </w:p>
        </w:tc>
        <w:tc>
          <w:tcPr>
            <w:tcW w:w="1134" w:type="dxa"/>
            <w:shd w:val="clear" w:color="auto" w:fill="auto"/>
            <w:tcMar>
              <w:top w:w="0" w:type="dxa"/>
              <w:left w:w="108" w:type="dxa"/>
              <w:bottom w:w="0" w:type="dxa"/>
              <w:right w:w="108" w:type="dxa"/>
            </w:tcMar>
            <w:vAlign w:val="center"/>
          </w:tcPr>
          <w:p w14:paraId="5523B0F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4.07%</w:t>
            </w:r>
          </w:p>
        </w:tc>
      </w:tr>
      <w:tr w:rsidR="006416B0" w:rsidRPr="00B4515A" w14:paraId="48C4AE69" w14:textId="77777777" w:rsidTr="00031627">
        <w:trPr>
          <w:trHeight w:val="340"/>
          <w:jc w:val="center"/>
        </w:trPr>
        <w:tc>
          <w:tcPr>
            <w:tcW w:w="1686" w:type="dxa"/>
            <w:shd w:val="clear" w:color="auto" w:fill="auto"/>
            <w:tcMar>
              <w:top w:w="0" w:type="dxa"/>
              <w:left w:w="108" w:type="dxa"/>
              <w:bottom w:w="0" w:type="dxa"/>
              <w:right w:w="108" w:type="dxa"/>
            </w:tcMar>
            <w:vAlign w:val="center"/>
          </w:tcPr>
          <w:p w14:paraId="6C7D959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hint="eastAsia"/>
                <w:color w:val="000000"/>
                <w:sz w:val="21"/>
                <w:szCs w:val="21"/>
              </w:rPr>
              <w:t>结构调整基金</w:t>
            </w:r>
          </w:p>
        </w:tc>
        <w:tc>
          <w:tcPr>
            <w:tcW w:w="1418" w:type="dxa"/>
            <w:shd w:val="clear" w:color="auto" w:fill="auto"/>
            <w:tcMar>
              <w:top w:w="0" w:type="dxa"/>
              <w:left w:w="108" w:type="dxa"/>
              <w:bottom w:w="0" w:type="dxa"/>
              <w:right w:w="108" w:type="dxa"/>
            </w:tcMar>
            <w:vAlign w:val="center"/>
          </w:tcPr>
          <w:p w14:paraId="28E039B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34" w:type="dxa"/>
            <w:shd w:val="clear" w:color="auto" w:fill="auto"/>
            <w:tcMar>
              <w:top w:w="0" w:type="dxa"/>
              <w:left w:w="108" w:type="dxa"/>
              <w:bottom w:w="0" w:type="dxa"/>
              <w:right w:w="108" w:type="dxa"/>
            </w:tcMar>
            <w:vAlign w:val="center"/>
          </w:tcPr>
          <w:p w14:paraId="3D11F69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1460" w:type="dxa"/>
            <w:shd w:val="clear" w:color="auto" w:fill="auto"/>
            <w:tcMar>
              <w:top w:w="0" w:type="dxa"/>
              <w:left w:w="108" w:type="dxa"/>
              <w:bottom w:w="0" w:type="dxa"/>
              <w:right w:w="108" w:type="dxa"/>
            </w:tcMar>
            <w:vAlign w:val="center"/>
          </w:tcPr>
          <w:p w14:paraId="752D0C8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17,808,504</w:t>
            </w:r>
          </w:p>
        </w:tc>
        <w:tc>
          <w:tcPr>
            <w:tcW w:w="1658" w:type="dxa"/>
            <w:shd w:val="clear" w:color="auto" w:fill="auto"/>
            <w:tcMar>
              <w:top w:w="0" w:type="dxa"/>
              <w:left w:w="108" w:type="dxa"/>
              <w:bottom w:w="0" w:type="dxa"/>
              <w:right w:w="108" w:type="dxa"/>
            </w:tcMar>
            <w:vAlign w:val="center"/>
          </w:tcPr>
          <w:p w14:paraId="5C45F6B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17,808,504</w:t>
            </w:r>
          </w:p>
        </w:tc>
        <w:tc>
          <w:tcPr>
            <w:tcW w:w="1134" w:type="dxa"/>
            <w:shd w:val="clear" w:color="auto" w:fill="auto"/>
            <w:tcMar>
              <w:top w:w="0" w:type="dxa"/>
              <w:left w:w="108" w:type="dxa"/>
              <w:bottom w:w="0" w:type="dxa"/>
              <w:right w:w="108" w:type="dxa"/>
            </w:tcMar>
            <w:vAlign w:val="center"/>
          </w:tcPr>
          <w:p w14:paraId="0317F2A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1.36%</w:t>
            </w:r>
          </w:p>
        </w:tc>
      </w:tr>
      <w:tr w:rsidR="006416B0" w:rsidRPr="00B4515A" w14:paraId="7E3EE1A5" w14:textId="77777777" w:rsidTr="00031627">
        <w:trPr>
          <w:trHeight w:val="340"/>
          <w:jc w:val="center"/>
        </w:trPr>
        <w:tc>
          <w:tcPr>
            <w:tcW w:w="1686" w:type="dxa"/>
            <w:shd w:val="clear" w:color="auto" w:fill="auto"/>
            <w:tcMar>
              <w:top w:w="0" w:type="dxa"/>
              <w:left w:w="108" w:type="dxa"/>
              <w:bottom w:w="0" w:type="dxa"/>
              <w:right w:w="108" w:type="dxa"/>
            </w:tcMar>
            <w:vAlign w:val="center"/>
          </w:tcPr>
          <w:p w14:paraId="3C63BF6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金融街资本</w:t>
            </w:r>
          </w:p>
        </w:tc>
        <w:tc>
          <w:tcPr>
            <w:tcW w:w="1418" w:type="dxa"/>
            <w:shd w:val="clear" w:color="auto" w:fill="auto"/>
            <w:tcMar>
              <w:top w:w="0" w:type="dxa"/>
              <w:left w:w="108" w:type="dxa"/>
              <w:bottom w:w="0" w:type="dxa"/>
              <w:right w:w="108" w:type="dxa"/>
            </w:tcMar>
            <w:vAlign w:val="center"/>
          </w:tcPr>
          <w:p w14:paraId="59B280F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34" w:type="dxa"/>
            <w:shd w:val="clear" w:color="auto" w:fill="auto"/>
            <w:tcMar>
              <w:top w:w="0" w:type="dxa"/>
              <w:left w:w="108" w:type="dxa"/>
              <w:bottom w:w="0" w:type="dxa"/>
              <w:right w:w="108" w:type="dxa"/>
            </w:tcMar>
            <w:vAlign w:val="center"/>
          </w:tcPr>
          <w:p w14:paraId="3009BC6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1460" w:type="dxa"/>
            <w:shd w:val="clear" w:color="auto" w:fill="auto"/>
            <w:tcMar>
              <w:top w:w="0" w:type="dxa"/>
              <w:left w:w="108" w:type="dxa"/>
              <w:bottom w:w="0" w:type="dxa"/>
              <w:right w:w="108" w:type="dxa"/>
            </w:tcMar>
            <w:vAlign w:val="center"/>
          </w:tcPr>
          <w:p w14:paraId="008D71E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17,808,504</w:t>
            </w:r>
          </w:p>
        </w:tc>
        <w:tc>
          <w:tcPr>
            <w:tcW w:w="1658" w:type="dxa"/>
            <w:shd w:val="clear" w:color="auto" w:fill="auto"/>
            <w:tcMar>
              <w:top w:w="0" w:type="dxa"/>
              <w:left w:w="108" w:type="dxa"/>
              <w:bottom w:w="0" w:type="dxa"/>
              <w:right w:w="108" w:type="dxa"/>
            </w:tcMar>
            <w:vAlign w:val="center"/>
          </w:tcPr>
          <w:p w14:paraId="4D5713B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17,808,504</w:t>
            </w:r>
          </w:p>
        </w:tc>
        <w:tc>
          <w:tcPr>
            <w:tcW w:w="1134" w:type="dxa"/>
            <w:shd w:val="clear" w:color="auto" w:fill="auto"/>
            <w:tcMar>
              <w:top w:w="0" w:type="dxa"/>
              <w:left w:w="108" w:type="dxa"/>
              <w:bottom w:w="0" w:type="dxa"/>
              <w:right w:w="108" w:type="dxa"/>
            </w:tcMar>
            <w:vAlign w:val="center"/>
          </w:tcPr>
          <w:p w14:paraId="209B3B4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1.36%</w:t>
            </w:r>
          </w:p>
        </w:tc>
      </w:tr>
      <w:tr w:rsidR="006416B0" w:rsidRPr="00B4515A" w14:paraId="532471B0" w14:textId="77777777" w:rsidTr="00031627">
        <w:trPr>
          <w:trHeight w:val="340"/>
          <w:jc w:val="center"/>
        </w:trPr>
        <w:tc>
          <w:tcPr>
            <w:tcW w:w="1686" w:type="dxa"/>
            <w:shd w:val="clear" w:color="auto" w:fill="auto"/>
            <w:tcMar>
              <w:top w:w="0" w:type="dxa"/>
              <w:left w:w="108" w:type="dxa"/>
              <w:bottom w:w="0" w:type="dxa"/>
              <w:right w:w="108" w:type="dxa"/>
            </w:tcMar>
            <w:vAlign w:val="center"/>
          </w:tcPr>
          <w:p w14:paraId="4D636DA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大唐电信其他股东</w:t>
            </w:r>
          </w:p>
        </w:tc>
        <w:tc>
          <w:tcPr>
            <w:tcW w:w="1418" w:type="dxa"/>
            <w:shd w:val="clear" w:color="auto" w:fill="auto"/>
            <w:tcMar>
              <w:top w:w="0" w:type="dxa"/>
              <w:left w:w="108" w:type="dxa"/>
              <w:bottom w:w="0" w:type="dxa"/>
              <w:right w:w="108" w:type="dxa"/>
            </w:tcMar>
            <w:vAlign w:val="center"/>
          </w:tcPr>
          <w:p w14:paraId="7A71888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582,737,449</w:t>
            </w:r>
          </w:p>
        </w:tc>
        <w:tc>
          <w:tcPr>
            <w:tcW w:w="1134" w:type="dxa"/>
            <w:shd w:val="clear" w:color="auto" w:fill="auto"/>
            <w:tcMar>
              <w:top w:w="0" w:type="dxa"/>
              <w:left w:w="108" w:type="dxa"/>
              <w:bottom w:w="0" w:type="dxa"/>
              <w:right w:w="108" w:type="dxa"/>
            </w:tcMar>
            <w:vAlign w:val="center"/>
          </w:tcPr>
          <w:p w14:paraId="708FE1C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66.06%</w:t>
            </w:r>
          </w:p>
        </w:tc>
        <w:tc>
          <w:tcPr>
            <w:tcW w:w="1460" w:type="dxa"/>
            <w:shd w:val="clear" w:color="auto" w:fill="auto"/>
            <w:tcMar>
              <w:top w:w="0" w:type="dxa"/>
              <w:left w:w="108" w:type="dxa"/>
              <w:bottom w:w="0" w:type="dxa"/>
              <w:right w:w="108" w:type="dxa"/>
            </w:tcMar>
            <w:vAlign w:val="center"/>
          </w:tcPr>
          <w:p w14:paraId="5AD6ADB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658" w:type="dxa"/>
            <w:shd w:val="clear" w:color="auto" w:fill="auto"/>
            <w:tcMar>
              <w:top w:w="0" w:type="dxa"/>
              <w:left w:w="108" w:type="dxa"/>
              <w:bottom w:w="0" w:type="dxa"/>
              <w:right w:w="108" w:type="dxa"/>
            </w:tcMar>
            <w:vAlign w:val="center"/>
          </w:tcPr>
          <w:p w14:paraId="78D35ED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582,737,449</w:t>
            </w:r>
          </w:p>
        </w:tc>
        <w:tc>
          <w:tcPr>
            <w:tcW w:w="1134" w:type="dxa"/>
            <w:shd w:val="clear" w:color="auto" w:fill="auto"/>
            <w:tcMar>
              <w:top w:w="0" w:type="dxa"/>
              <w:left w:w="108" w:type="dxa"/>
              <w:bottom w:w="0" w:type="dxa"/>
              <w:right w:w="108" w:type="dxa"/>
            </w:tcMar>
            <w:vAlign w:val="center"/>
          </w:tcPr>
          <w:p w14:paraId="5FEAF0C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44.36%</w:t>
            </w:r>
          </w:p>
        </w:tc>
      </w:tr>
      <w:tr w:rsidR="006416B0" w:rsidRPr="00B4515A" w14:paraId="7E07FCB5" w14:textId="77777777" w:rsidTr="00031627">
        <w:trPr>
          <w:trHeight w:val="340"/>
          <w:jc w:val="center"/>
        </w:trPr>
        <w:tc>
          <w:tcPr>
            <w:tcW w:w="1686" w:type="dxa"/>
            <w:shd w:val="clear" w:color="auto" w:fill="auto"/>
            <w:tcMar>
              <w:top w:w="0" w:type="dxa"/>
              <w:left w:w="108" w:type="dxa"/>
              <w:bottom w:w="0" w:type="dxa"/>
              <w:right w:w="108" w:type="dxa"/>
            </w:tcMar>
            <w:vAlign w:val="center"/>
          </w:tcPr>
          <w:p w14:paraId="382A53E4"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合计</w:t>
            </w:r>
          </w:p>
        </w:tc>
        <w:tc>
          <w:tcPr>
            <w:tcW w:w="1418" w:type="dxa"/>
            <w:shd w:val="clear" w:color="auto" w:fill="auto"/>
            <w:tcMar>
              <w:top w:w="0" w:type="dxa"/>
              <w:left w:w="108" w:type="dxa"/>
              <w:bottom w:w="0" w:type="dxa"/>
              <w:right w:w="108" w:type="dxa"/>
            </w:tcMar>
            <w:vAlign w:val="center"/>
          </w:tcPr>
          <w:p w14:paraId="4AE11B55"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sz w:val="21"/>
                <w:szCs w:val="21"/>
              </w:rPr>
              <w:t>882,108,472</w:t>
            </w:r>
          </w:p>
        </w:tc>
        <w:tc>
          <w:tcPr>
            <w:tcW w:w="1134" w:type="dxa"/>
            <w:shd w:val="clear" w:color="auto" w:fill="auto"/>
            <w:tcMar>
              <w:top w:w="0" w:type="dxa"/>
              <w:left w:w="108" w:type="dxa"/>
              <w:bottom w:w="0" w:type="dxa"/>
              <w:right w:w="108" w:type="dxa"/>
            </w:tcMar>
            <w:vAlign w:val="center"/>
          </w:tcPr>
          <w:p w14:paraId="38E26CFD"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100.00%</w:t>
            </w:r>
          </w:p>
        </w:tc>
        <w:tc>
          <w:tcPr>
            <w:tcW w:w="1460" w:type="dxa"/>
            <w:shd w:val="clear" w:color="auto" w:fill="auto"/>
            <w:tcMar>
              <w:top w:w="0" w:type="dxa"/>
              <w:left w:w="108" w:type="dxa"/>
              <w:bottom w:w="0" w:type="dxa"/>
              <w:right w:w="108" w:type="dxa"/>
            </w:tcMar>
            <w:vAlign w:val="center"/>
          </w:tcPr>
          <w:p w14:paraId="617BE8F8"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eastAsia="等线" w:hAnsi="Times New Roman" w:cs="Times New Roman"/>
                <w:b/>
                <w:bCs/>
                <w:color w:val="000000"/>
                <w:sz w:val="21"/>
                <w:szCs w:val="21"/>
              </w:rPr>
              <w:t>431,600,434</w:t>
            </w:r>
          </w:p>
        </w:tc>
        <w:tc>
          <w:tcPr>
            <w:tcW w:w="1658" w:type="dxa"/>
            <w:shd w:val="clear" w:color="auto" w:fill="auto"/>
            <w:tcMar>
              <w:top w:w="0" w:type="dxa"/>
              <w:left w:w="108" w:type="dxa"/>
              <w:bottom w:w="0" w:type="dxa"/>
              <w:right w:w="108" w:type="dxa"/>
            </w:tcMar>
            <w:vAlign w:val="center"/>
          </w:tcPr>
          <w:p w14:paraId="69A561BC"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eastAsia="等线" w:hAnsi="Times New Roman" w:cs="Times New Roman"/>
                <w:b/>
                <w:bCs/>
                <w:color w:val="000000"/>
                <w:sz w:val="21"/>
                <w:szCs w:val="21"/>
              </w:rPr>
              <w:t>1,313,708,906</w:t>
            </w:r>
          </w:p>
        </w:tc>
        <w:tc>
          <w:tcPr>
            <w:tcW w:w="1134" w:type="dxa"/>
            <w:shd w:val="clear" w:color="auto" w:fill="auto"/>
            <w:tcMar>
              <w:top w:w="0" w:type="dxa"/>
              <w:left w:w="108" w:type="dxa"/>
              <w:bottom w:w="0" w:type="dxa"/>
              <w:right w:w="108" w:type="dxa"/>
            </w:tcMar>
            <w:vAlign w:val="center"/>
          </w:tcPr>
          <w:p w14:paraId="08A35BDE"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eastAsia="等线" w:hAnsi="Times New Roman" w:cs="Times New Roman"/>
                <w:b/>
                <w:bCs/>
                <w:color w:val="000000"/>
                <w:sz w:val="21"/>
                <w:szCs w:val="21"/>
              </w:rPr>
              <w:t>100.00%</w:t>
            </w:r>
          </w:p>
        </w:tc>
      </w:tr>
    </w:tbl>
    <w:p w14:paraId="13769A47" w14:textId="77777777" w:rsidR="006416B0" w:rsidRPr="00B4515A" w:rsidRDefault="005E58C1" w:rsidP="005860B4">
      <w:pPr>
        <w:pStyle w:val="003"/>
        <w:spacing w:before="120"/>
        <w:ind w:firstLine="482"/>
      </w:pPr>
      <w:r w:rsidRPr="00B4515A">
        <w:rPr>
          <w:rFonts w:hint="eastAsia"/>
        </w:rPr>
        <w:lastRenderedPageBreak/>
        <w:t>（三）本次交易对上市公司主要财务指标的影响</w:t>
      </w:r>
    </w:p>
    <w:p w14:paraId="48094645" w14:textId="77777777" w:rsidR="006416B0" w:rsidRPr="00B4515A" w:rsidRDefault="005E58C1" w:rsidP="002B0582">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903"/>
        <w:gridCol w:w="1478"/>
        <w:gridCol w:w="2430"/>
        <w:gridCol w:w="1717"/>
      </w:tblGrid>
      <w:tr w:rsidR="006416B0" w:rsidRPr="00B4515A" w14:paraId="1B8C09D7" w14:textId="77777777" w:rsidTr="00EE238F">
        <w:trPr>
          <w:trHeight w:val="340"/>
          <w:tblHeader/>
          <w:jc w:val="center"/>
        </w:trPr>
        <w:tc>
          <w:tcPr>
            <w:tcW w:w="2819" w:type="dxa"/>
            <w:vMerge w:val="restart"/>
            <w:shd w:val="clear" w:color="auto" w:fill="auto"/>
            <w:tcMar>
              <w:top w:w="0" w:type="dxa"/>
              <w:left w:w="108" w:type="dxa"/>
              <w:bottom w:w="0" w:type="dxa"/>
              <w:right w:w="108" w:type="dxa"/>
            </w:tcMar>
            <w:vAlign w:val="center"/>
          </w:tcPr>
          <w:p w14:paraId="26D9B2EA" w14:textId="77777777" w:rsidR="006416B0" w:rsidRPr="00B4515A" w:rsidRDefault="005E58C1" w:rsidP="002B0582">
            <w:pPr>
              <w:keepNext/>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项目</w:t>
            </w:r>
          </w:p>
        </w:tc>
        <w:tc>
          <w:tcPr>
            <w:tcW w:w="5464" w:type="dxa"/>
            <w:gridSpan w:val="3"/>
            <w:shd w:val="clear" w:color="auto" w:fill="auto"/>
            <w:tcMar>
              <w:top w:w="0" w:type="dxa"/>
              <w:left w:w="108" w:type="dxa"/>
              <w:bottom w:w="0" w:type="dxa"/>
              <w:right w:w="108" w:type="dxa"/>
            </w:tcMar>
            <w:vAlign w:val="center"/>
          </w:tcPr>
          <w:p w14:paraId="08B1796D" w14:textId="77777777" w:rsidR="006416B0" w:rsidRPr="00B4515A" w:rsidRDefault="005E58C1" w:rsidP="002B0582">
            <w:pPr>
              <w:keepNext/>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w:t>
            </w:r>
            <w:r w:rsidRPr="00B4515A">
              <w:rPr>
                <w:rFonts w:cs="Times New Roman" w:hint="eastAsia"/>
                <w:b/>
                <w:bCs/>
                <w:color w:val="000000"/>
                <w:sz w:val="21"/>
                <w:szCs w:val="21"/>
              </w:rPr>
              <w:t>年</w:t>
            </w:r>
            <w:r w:rsidRPr="00B4515A">
              <w:rPr>
                <w:rFonts w:ascii="Times New Roman" w:hAnsi="Times New Roman" w:cs="Times New Roman"/>
                <w:b/>
                <w:bCs/>
                <w:color w:val="000000"/>
                <w:sz w:val="21"/>
                <w:szCs w:val="21"/>
              </w:rPr>
              <w:t>4</w:t>
            </w:r>
            <w:r w:rsidRPr="00B4515A">
              <w:rPr>
                <w:rFonts w:cs="Times New Roman" w:hint="eastAsia"/>
                <w:b/>
                <w:bCs/>
                <w:color w:val="000000"/>
                <w:sz w:val="21"/>
                <w:szCs w:val="21"/>
              </w:rPr>
              <w:t>月</w:t>
            </w:r>
            <w:r w:rsidRPr="00B4515A">
              <w:rPr>
                <w:rFonts w:ascii="Times New Roman" w:hAnsi="Times New Roman" w:cs="Times New Roman"/>
                <w:b/>
                <w:bCs/>
                <w:color w:val="000000"/>
                <w:sz w:val="21"/>
                <w:szCs w:val="21"/>
              </w:rPr>
              <w:t>30</w:t>
            </w:r>
            <w:r w:rsidRPr="00B4515A">
              <w:rPr>
                <w:rFonts w:cs="Times New Roman" w:hint="eastAsia"/>
                <w:b/>
                <w:bCs/>
                <w:color w:val="000000"/>
                <w:sz w:val="21"/>
                <w:szCs w:val="21"/>
              </w:rPr>
              <w:t>日</w:t>
            </w:r>
            <w:r w:rsidRPr="00B4515A">
              <w:rPr>
                <w:rFonts w:ascii="Times New Roman" w:hAnsi="Times New Roman" w:cs="Times New Roman"/>
                <w:b/>
                <w:bCs/>
                <w:color w:val="000000"/>
                <w:sz w:val="21"/>
                <w:szCs w:val="21"/>
              </w:rPr>
              <w:t>/2021</w:t>
            </w:r>
            <w:r w:rsidRPr="00B4515A">
              <w:rPr>
                <w:rFonts w:cs="Times New Roman" w:hint="eastAsia"/>
                <w:b/>
                <w:bCs/>
                <w:color w:val="000000"/>
                <w:sz w:val="21"/>
                <w:szCs w:val="21"/>
              </w:rPr>
              <w:t>年</w:t>
            </w:r>
            <w:r w:rsidRPr="00B4515A">
              <w:rPr>
                <w:rFonts w:ascii="Times New Roman" w:hAnsi="Times New Roman" w:cs="Times New Roman"/>
                <w:b/>
                <w:bCs/>
                <w:color w:val="000000"/>
                <w:sz w:val="21"/>
                <w:szCs w:val="21"/>
              </w:rPr>
              <w:t>1-4</w:t>
            </w:r>
            <w:r w:rsidRPr="00B4515A">
              <w:rPr>
                <w:rFonts w:cs="Times New Roman" w:hint="eastAsia"/>
                <w:b/>
                <w:bCs/>
                <w:color w:val="000000"/>
                <w:sz w:val="21"/>
                <w:szCs w:val="21"/>
              </w:rPr>
              <w:t>月</w:t>
            </w:r>
          </w:p>
        </w:tc>
      </w:tr>
      <w:tr w:rsidR="006416B0" w:rsidRPr="00B4515A" w14:paraId="172D28E9" w14:textId="77777777" w:rsidTr="00EE238F">
        <w:trPr>
          <w:trHeight w:val="340"/>
          <w:tblHeader/>
          <w:jc w:val="center"/>
        </w:trPr>
        <w:tc>
          <w:tcPr>
            <w:tcW w:w="2819" w:type="dxa"/>
            <w:vMerge/>
            <w:tcMar>
              <w:top w:w="0" w:type="dxa"/>
              <w:left w:w="108" w:type="dxa"/>
              <w:bottom w:w="0" w:type="dxa"/>
              <w:right w:w="108" w:type="dxa"/>
            </w:tcMar>
            <w:vAlign w:val="center"/>
          </w:tcPr>
          <w:p w14:paraId="66623C45" w14:textId="77777777" w:rsidR="006416B0" w:rsidRPr="00B4515A" w:rsidRDefault="006416B0" w:rsidP="005860B4">
            <w:pPr>
              <w:adjustRightInd w:val="0"/>
              <w:snapToGrid w:val="0"/>
              <w:rPr>
                <w:rFonts w:ascii="Times New Roman" w:hAnsi="Times New Roman" w:cs="Times New Roman"/>
                <w:b/>
                <w:bCs/>
                <w:color w:val="000000"/>
                <w:sz w:val="21"/>
                <w:szCs w:val="21"/>
              </w:rPr>
            </w:pPr>
          </w:p>
        </w:tc>
        <w:tc>
          <w:tcPr>
            <w:tcW w:w="1436" w:type="dxa"/>
            <w:shd w:val="clear" w:color="auto" w:fill="auto"/>
            <w:tcMar>
              <w:top w:w="0" w:type="dxa"/>
              <w:left w:w="108" w:type="dxa"/>
              <w:bottom w:w="0" w:type="dxa"/>
              <w:right w:w="108" w:type="dxa"/>
            </w:tcMar>
            <w:vAlign w:val="center"/>
          </w:tcPr>
          <w:p w14:paraId="4FF8E198" w14:textId="77777777" w:rsidR="0068059E"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交易前</w:t>
            </w:r>
          </w:p>
          <w:p w14:paraId="61AF01A0" w14:textId="53754F39"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（实际数）</w:t>
            </w:r>
          </w:p>
        </w:tc>
        <w:tc>
          <w:tcPr>
            <w:tcW w:w="2360" w:type="dxa"/>
            <w:shd w:val="clear" w:color="auto" w:fill="auto"/>
            <w:tcMar>
              <w:top w:w="0" w:type="dxa"/>
              <w:left w:w="108" w:type="dxa"/>
              <w:bottom w:w="0" w:type="dxa"/>
              <w:right w:w="108" w:type="dxa"/>
            </w:tcMar>
            <w:vAlign w:val="center"/>
          </w:tcPr>
          <w:p w14:paraId="2915CF7E" w14:textId="77777777" w:rsidR="0068059E"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交易后</w:t>
            </w:r>
          </w:p>
          <w:p w14:paraId="11DE39CF" w14:textId="566D10BA"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（备考数）</w:t>
            </w:r>
          </w:p>
        </w:tc>
        <w:tc>
          <w:tcPr>
            <w:tcW w:w="1668" w:type="dxa"/>
            <w:shd w:val="clear" w:color="auto" w:fill="auto"/>
            <w:tcMar>
              <w:top w:w="0" w:type="dxa"/>
              <w:left w:w="108" w:type="dxa"/>
              <w:bottom w:w="0" w:type="dxa"/>
              <w:right w:w="108" w:type="dxa"/>
            </w:tcMar>
            <w:vAlign w:val="center"/>
          </w:tcPr>
          <w:p w14:paraId="155C7625" w14:textId="13172B81"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变动幅度</w:t>
            </w:r>
            <w:r w:rsidR="003056C0" w:rsidRPr="00B4515A">
              <w:rPr>
                <w:rFonts w:cs="Times New Roman" w:hint="eastAsia"/>
                <w:b/>
                <w:bCs/>
                <w:color w:val="000000"/>
                <w:sz w:val="21"/>
                <w:szCs w:val="21"/>
              </w:rPr>
              <w:t>（%）</w:t>
            </w:r>
          </w:p>
        </w:tc>
      </w:tr>
      <w:tr w:rsidR="006416B0" w:rsidRPr="00B4515A" w14:paraId="06001FAC"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3A87205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资产总额</w:t>
            </w:r>
          </w:p>
        </w:tc>
        <w:tc>
          <w:tcPr>
            <w:tcW w:w="1436" w:type="dxa"/>
            <w:shd w:val="clear" w:color="auto" w:fill="auto"/>
            <w:tcMar>
              <w:top w:w="0" w:type="dxa"/>
              <w:left w:w="108" w:type="dxa"/>
              <w:bottom w:w="0" w:type="dxa"/>
              <w:right w:w="108" w:type="dxa"/>
            </w:tcMar>
            <w:vAlign w:val="center"/>
          </w:tcPr>
          <w:p w14:paraId="6CF0EEE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298,000.05 </w:t>
            </w:r>
          </w:p>
        </w:tc>
        <w:tc>
          <w:tcPr>
            <w:tcW w:w="2360" w:type="dxa"/>
            <w:shd w:val="clear" w:color="auto" w:fill="auto"/>
            <w:tcMar>
              <w:top w:w="0" w:type="dxa"/>
              <w:left w:w="108" w:type="dxa"/>
              <w:bottom w:w="0" w:type="dxa"/>
              <w:right w:w="108" w:type="dxa"/>
            </w:tcMar>
            <w:vAlign w:val="center"/>
          </w:tcPr>
          <w:p w14:paraId="720984A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538,861.16</w:t>
            </w:r>
          </w:p>
        </w:tc>
        <w:tc>
          <w:tcPr>
            <w:tcW w:w="1668" w:type="dxa"/>
            <w:shd w:val="clear" w:color="auto" w:fill="auto"/>
            <w:tcMar>
              <w:top w:w="0" w:type="dxa"/>
              <w:left w:w="108" w:type="dxa"/>
              <w:bottom w:w="0" w:type="dxa"/>
              <w:right w:w="108" w:type="dxa"/>
            </w:tcMar>
            <w:vAlign w:val="center"/>
          </w:tcPr>
          <w:p w14:paraId="72321297" w14:textId="304A2A9E"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80.83</w:t>
            </w:r>
          </w:p>
        </w:tc>
      </w:tr>
      <w:tr w:rsidR="006416B0" w:rsidRPr="00B4515A" w14:paraId="283DF37C"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4DCBC3D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负债总额</w:t>
            </w:r>
          </w:p>
        </w:tc>
        <w:tc>
          <w:tcPr>
            <w:tcW w:w="1436" w:type="dxa"/>
            <w:shd w:val="clear" w:color="auto" w:fill="auto"/>
            <w:tcMar>
              <w:top w:w="0" w:type="dxa"/>
              <w:left w:w="108" w:type="dxa"/>
              <w:bottom w:w="0" w:type="dxa"/>
              <w:right w:w="108" w:type="dxa"/>
            </w:tcMar>
            <w:vAlign w:val="center"/>
          </w:tcPr>
          <w:p w14:paraId="1D256F2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364,511.94 </w:t>
            </w:r>
          </w:p>
        </w:tc>
        <w:tc>
          <w:tcPr>
            <w:tcW w:w="2360" w:type="dxa"/>
            <w:shd w:val="clear" w:color="auto" w:fill="auto"/>
            <w:tcMar>
              <w:top w:w="0" w:type="dxa"/>
              <w:left w:w="108" w:type="dxa"/>
              <w:bottom w:w="0" w:type="dxa"/>
              <w:right w:w="108" w:type="dxa"/>
            </w:tcMar>
            <w:vAlign w:val="center"/>
          </w:tcPr>
          <w:p w14:paraId="402595F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430,922.12</w:t>
            </w:r>
          </w:p>
        </w:tc>
        <w:tc>
          <w:tcPr>
            <w:tcW w:w="1668" w:type="dxa"/>
            <w:shd w:val="clear" w:color="auto" w:fill="auto"/>
            <w:tcMar>
              <w:top w:w="0" w:type="dxa"/>
              <w:left w:w="108" w:type="dxa"/>
              <w:bottom w:w="0" w:type="dxa"/>
              <w:right w:w="108" w:type="dxa"/>
            </w:tcMar>
            <w:vAlign w:val="center"/>
          </w:tcPr>
          <w:p w14:paraId="7CF6EF0E" w14:textId="2851C172"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18.22</w:t>
            </w:r>
          </w:p>
        </w:tc>
      </w:tr>
      <w:tr w:rsidR="006416B0" w:rsidRPr="00B4515A" w14:paraId="0608CFAF"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6BB2983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归属于母公司所有者权益</w:t>
            </w:r>
          </w:p>
        </w:tc>
        <w:tc>
          <w:tcPr>
            <w:tcW w:w="1436" w:type="dxa"/>
            <w:shd w:val="clear" w:color="auto" w:fill="auto"/>
            <w:tcMar>
              <w:top w:w="0" w:type="dxa"/>
              <w:left w:w="108" w:type="dxa"/>
              <w:bottom w:w="0" w:type="dxa"/>
              <w:right w:w="108" w:type="dxa"/>
            </w:tcMar>
            <w:vAlign w:val="center"/>
          </w:tcPr>
          <w:p w14:paraId="3D864A5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-140,970.51 </w:t>
            </w:r>
          </w:p>
        </w:tc>
        <w:tc>
          <w:tcPr>
            <w:tcW w:w="2360" w:type="dxa"/>
            <w:shd w:val="clear" w:color="auto" w:fill="auto"/>
            <w:tcMar>
              <w:top w:w="0" w:type="dxa"/>
              <w:left w:w="108" w:type="dxa"/>
              <w:bottom w:w="0" w:type="dxa"/>
              <w:right w:w="108" w:type="dxa"/>
            </w:tcMar>
            <w:vAlign w:val="center"/>
          </w:tcPr>
          <w:p w14:paraId="63DF268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29,482.47</w:t>
            </w:r>
          </w:p>
        </w:tc>
        <w:tc>
          <w:tcPr>
            <w:tcW w:w="1668" w:type="dxa"/>
            <w:shd w:val="clear" w:color="auto" w:fill="auto"/>
            <w:tcMar>
              <w:top w:w="0" w:type="dxa"/>
              <w:left w:w="108" w:type="dxa"/>
              <w:bottom w:w="0" w:type="dxa"/>
              <w:right w:w="108" w:type="dxa"/>
            </w:tcMar>
            <w:vAlign w:val="center"/>
          </w:tcPr>
          <w:p w14:paraId="02D6D07C" w14:textId="63770848"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120.91</w:t>
            </w:r>
          </w:p>
        </w:tc>
      </w:tr>
      <w:tr w:rsidR="006416B0" w:rsidRPr="00B4515A" w14:paraId="7664DB7E"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1B142D9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营业收入</w:t>
            </w:r>
          </w:p>
        </w:tc>
        <w:tc>
          <w:tcPr>
            <w:tcW w:w="1436" w:type="dxa"/>
            <w:shd w:val="clear" w:color="auto" w:fill="auto"/>
            <w:tcMar>
              <w:top w:w="0" w:type="dxa"/>
              <w:left w:w="108" w:type="dxa"/>
              <w:bottom w:w="0" w:type="dxa"/>
              <w:right w:w="108" w:type="dxa"/>
            </w:tcMar>
            <w:vAlign w:val="center"/>
          </w:tcPr>
          <w:p w14:paraId="7026C3F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13,624.42 </w:t>
            </w:r>
          </w:p>
        </w:tc>
        <w:tc>
          <w:tcPr>
            <w:tcW w:w="2360" w:type="dxa"/>
            <w:shd w:val="clear" w:color="auto" w:fill="auto"/>
            <w:tcMar>
              <w:top w:w="0" w:type="dxa"/>
              <w:left w:w="108" w:type="dxa"/>
              <w:bottom w:w="0" w:type="dxa"/>
              <w:right w:w="108" w:type="dxa"/>
            </w:tcMar>
            <w:vAlign w:val="center"/>
          </w:tcPr>
          <w:p w14:paraId="1A394A9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25,810.48</w:t>
            </w:r>
          </w:p>
        </w:tc>
        <w:tc>
          <w:tcPr>
            <w:tcW w:w="1668" w:type="dxa"/>
            <w:shd w:val="clear" w:color="auto" w:fill="auto"/>
            <w:tcMar>
              <w:top w:w="0" w:type="dxa"/>
              <w:left w:w="108" w:type="dxa"/>
              <w:bottom w:w="0" w:type="dxa"/>
              <w:right w:w="108" w:type="dxa"/>
            </w:tcMar>
            <w:vAlign w:val="center"/>
          </w:tcPr>
          <w:p w14:paraId="22F043C7" w14:textId="68859223"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89.44</w:t>
            </w:r>
          </w:p>
        </w:tc>
      </w:tr>
      <w:tr w:rsidR="006416B0" w:rsidRPr="00B4515A" w14:paraId="5244E240"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1645657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营业利润</w:t>
            </w:r>
          </w:p>
        </w:tc>
        <w:tc>
          <w:tcPr>
            <w:tcW w:w="1436" w:type="dxa"/>
            <w:shd w:val="clear" w:color="auto" w:fill="auto"/>
            <w:tcMar>
              <w:top w:w="0" w:type="dxa"/>
              <w:left w:w="108" w:type="dxa"/>
              <w:bottom w:w="0" w:type="dxa"/>
              <w:right w:w="108" w:type="dxa"/>
            </w:tcMar>
            <w:vAlign w:val="center"/>
          </w:tcPr>
          <w:p w14:paraId="7F514C7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-15,190.48 </w:t>
            </w:r>
          </w:p>
        </w:tc>
        <w:tc>
          <w:tcPr>
            <w:tcW w:w="2360" w:type="dxa"/>
            <w:shd w:val="clear" w:color="auto" w:fill="auto"/>
            <w:tcMar>
              <w:top w:w="0" w:type="dxa"/>
              <w:left w:w="108" w:type="dxa"/>
              <w:bottom w:w="0" w:type="dxa"/>
              <w:right w:w="108" w:type="dxa"/>
            </w:tcMar>
            <w:vAlign w:val="center"/>
          </w:tcPr>
          <w:p w14:paraId="6CEFFFD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-14,796.74</w:t>
            </w:r>
          </w:p>
        </w:tc>
        <w:tc>
          <w:tcPr>
            <w:tcW w:w="1668" w:type="dxa"/>
            <w:shd w:val="clear" w:color="auto" w:fill="auto"/>
            <w:tcMar>
              <w:top w:w="0" w:type="dxa"/>
              <w:left w:w="108" w:type="dxa"/>
              <w:bottom w:w="0" w:type="dxa"/>
              <w:right w:w="108" w:type="dxa"/>
            </w:tcMar>
            <w:vAlign w:val="center"/>
          </w:tcPr>
          <w:p w14:paraId="4E37EB26" w14:textId="67443CB4"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2.59</w:t>
            </w:r>
          </w:p>
        </w:tc>
      </w:tr>
      <w:tr w:rsidR="006416B0" w:rsidRPr="00B4515A" w14:paraId="57E31650"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37A89C1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利润总额</w:t>
            </w:r>
          </w:p>
        </w:tc>
        <w:tc>
          <w:tcPr>
            <w:tcW w:w="1436" w:type="dxa"/>
            <w:shd w:val="clear" w:color="auto" w:fill="auto"/>
            <w:tcMar>
              <w:top w:w="0" w:type="dxa"/>
              <w:left w:w="108" w:type="dxa"/>
              <w:bottom w:w="0" w:type="dxa"/>
              <w:right w:w="108" w:type="dxa"/>
            </w:tcMar>
            <w:vAlign w:val="center"/>
          </w:tcPr>
          <w:p w14:paraId="5A7945A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-15,164.66 </w:t>
            </w:r>
          </w:p>
        </w:tc>
        <w:tc>
          <w:tcPr>
            <w:tcW w:w="2360" w:type="dxa"/>
            <w:shd w:val="clear" w:color="auto" w:fill="auto"/>
            <w:tcMar>
              <w:top w:w="0" w:type="dxa"/>
              <w:left w:w="108" w:type="dxa"/>
              <w:bottom w:w="0" w:type="dxa"/>
              <w:right w:w="108" w:type="dxa"/>
            </w:tcMar>
            <w:vAlign w:val="center"/>
          </w:tcPr>
          <w:p w14:paraId="7972A21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-14,784.62</w:t>
            </w:r>
          </w:p>
        </w:tc>
        <w:tc>
          <w:tcPr>
            <w:tcW w:w="1668" w:type="dxa"/>
            <w:shd w:val="clear" w:color="auto" w:fill="auto"/>
            <w:tcMar>
              <w:top w:w="0" w:type="dxa"/>
              <w:left w:w="108" w:type="dxa"/>
              <w:bottom w:w="0" w:type="dxa"/>
              <w:right w:w="108" w:type="dxa"/>
            </w:tcMar>
            <w:vAlign w:val="center"/>
          </w:tcPr>
          <w:p w14:paraId="3DC20914" w14:textId="3FD9A620"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2.51</w:t>
            </w:r>
          </w:p>
        </w:tc>
      </w:tr>
      <w:tr w:rsidR="006416B0" w:rsidRPr="00B4515A" w14:paraId="6C8979BA"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3DDBD0E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归属于母公司所有者的净利润</w:t>
            </w:r>
          </w:p>
        </w:tc>
        <w:tc>
          <w:tcPr>
            <w:tcW w:w="1436" w:type="dxa"/>
            <w:shd w:val="clear" w:color="auto" w:fill="auto"/>
            <w:tcMar>
              <w:top w:w="0" w:type="dxa"/>
              <w:left w:w="108" w:type="dxa"/>
              <w:bottom w:w="0" w:type="dxa"/>
              <w:right w:w="108" w:type="dxa"/>
            </w:tcMar>
            <w:vAlign w:val="center"/>
          </w:tcPr>
          <w:p w14:paraId="34EB1A7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-9,784.31 </w:t>
            </w:r>
          </w:p>
        </w:tc>
        <w:tc>
          <w:tcPr>
            <w:tcW w:w="2360" w:type="dxa"/>
            <w:shd w:val="clear" w:color="auto" w:fill="auto"/>
            <w:tcMar>
              <w:top w:w="0" w:type="dxa"/>
              <w:left w:w="108" w:type="dxa"/>
              <w:bottom w:w="0" w:type="dxa"/>
              <w:right w:w="108" w:type="dxa"/>
            </w:tcMar>
            <w:vAlign w:val="center"/>
          </w:tcPr>
          <w:p w14:paraId="3A62550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-9,443.36</w:t>
            </w:r>
          </w:p>
        </w:tc>
        <w:tc>
          <w:tcPr>
            <w:tcW w:w="1668" w:type="dxa"/>
            <w:shd w:val="clear" w:color="auto" w:fill="auto"/>
            <w:tcMar>
              <w:top w:w="0" w:type="dxa"/>
              <w:left w:w="108" w:type="dxa"/>
              <w:bottom w:w="0" w:type="dxa"/>
              <w:right w:w="108" w:type="dxa"/>
            </w:tcMar>
            <w:vAlign w:val="center"/>
          </w:tcPr>
          <w:p w14:paraId="6965415D" w14:textId="1BC6E036"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3.48</w:t>
            </w:r>
          </w:p>
        </w:tc>
      </w:tr>
      <w:tr w:rsidR="003E700C" w:rsidRPr="00B4515A" w14:paraId="301CD65E"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710FD8D1" w14:textId="3EBD70D0" w:rsidR="003E700C" w:rsidRPr="00B4515A" w:rsidRDefault="003E700C"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资产负债率（%）</w:t>
            </w:r>
          </w:p>
        </w:tc>
        <w:tc>
          <w:tcPr>
            <w:tcW w:w="1436" w:type="dxa"/>
            <w:shd w:val="clear" w:color="auto" w:fill="auto"/>
            <w:tcMar>
              <w:top w:w="0" w:type="dxa"/>
              <w:left w:w="108" w:type="dxa"/>
              <w:bottom w:w="0" w:type="dxa"/>
              <w:right w:w="108" w:type="dxa"/>
            </w:tcMar>
            <w:vAlign w:val="center"/>
          </w:tcPr>
          <w:p w14:paraId="07FDBAB2" w14:textId="049DBE06"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122.32 </w:t>
            </w:r>
          </w:p>
        </w:tc>
        <w:tc>
          <w:tcPr>
            <w:tcW w:w="2360" w:type="dxa"/>
            <w:shd w:val="clear" w:color="auto" w:fill="auto"/>
            <w:tcMar>
              <w:top w:w="0" w:type="dxa"/>
              <w:left w:w="108" w:type="dxa"/>
              <w:bottom w:w="0" w:type="dxa"/>
              <w:right w:w="108" w:type="dxa"/>
            </w:tcMar>
            <w:vAlign w:val="center"/>
          </w:tcPr>
          <w:p w14:paraId="2BF00061" w14:textId="328F9338"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79.97</w:t>
            </w:r>
          </w:p>
        </w:tc>
        <w:tc>
          <w:tcPr>
            <w:tcW w:w="1668" w:type="dxa"/>
            <w:shd w:val="clear" w:color="auto" w:fill="auto"/>
            <w:tcMar>
              <w:top w:w="0" w:type="dxa"/>
              <w:left w:w="108" w:type="dxa"/>
              <w:bottom w:w="0" w:type="dxa"/>
              <w:right w:w="108" w:type="dxa"/>
            </w:tcMar>
            <w:vAlign w:val="center"/>
          </w:tcPr>
          <w:p w14:paraId="314B482E" w14:textId="762745ED"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-42.35</w:t>
            </w:r>
          </w:p>
        </w:tc>
      </w:tr>
      <w:tr w:rsidR="003E700C" w:rsidRPr="00B4515A" w14:paraId="0BFA7DC1"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5D589CD4" w14:textId="5F72C111" w:rsidR="003E700C" w:rsidRPr="00B4515A" w:rsidRDefault="003E700C"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毛利率（%）</w:t>
            </w:r>
          </w:p>
        </w:tc>
        <w:tc>
          <w:tcPr>
            <w:tcW w:w="1436" w:type="dxa"/>
            <w:shd w:val="clear" w:color="auto" w:fill="auto"/>
            <w:tcMar>
              <w:top w:w="0" w:type="dxa"/>
              <w:left w:w="108" w:type="dxa"/>
              <w:bottom w:w="0" w:type="dxa"/>
              <w:right w:w="108" w:type="dxa"/>
            </w:tcMar>
            <w:vAlign w:val="center"/>
          </w:tcPr>
          <w:p w14:paraId="2B855233" w14:textId="50658603"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25.45 </w:t>
            </w:r>
          </w:p>
        </w:tc>
        <w:tc>
          <w:tcPr>
            <w:tcW w:w="2360" w:type="dxa"/>
            <w:shd w:val="clear" w:color="auto" w:fill="auto"/>
            <w:tcMar>
              <w:top w:w="0" w:type="dxa"/>
              <w:left w:w="108" w:type="dxa"/>
              <w:bottom w:w="0" w:type="dxa"/>
              <w:right w:w="108" w:type="dxa"/>
            </w:tcMar>
            <w:vAlign w:val="center"/>
          </w:tcPr>
          <w:p w14:paraId="34AF388F" w14:textId="61D2FCF3"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43.30</w:t>
            </w:r>
          </w:p>
        </w:tc>
        <w:tc>
          <w:tcPr>
            <w:tcW w:w="1668" w:type="dxa"/>
            <w:shd w:val="clear" w:color="auto" w:fill="auto"/>
            <w:tcMar>
              <w:top w:w="0" w:type="dxa"/>
              <w:left w:w="108" w:type="dxa"/>
              <w:bottom w:w="0" w:type="dxa"/>
              <w:right w:w="108" w:type="dxa"/>
            </w:tcMar>
            <w:vAlign w:val="center"/>
          </w:tcPr>
          <w:p w14:paraId="41198B1C" w14:textId="66BC72C9"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17.85</w:t>
            </w:r>
          </w:p>
        </w:tc>
      </w:tr>
      <w:tr w:rsidR="006416B0" w:rsidRPr="00B4515A" w14:paraId="22BA9858"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23B6FAA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基本每股收益（元</w:t>
            </w:r>
            <w:r w:rsidRPr="00B4515A">
              <w:rPr>
                <w:rFonts w:ascii="Times New Roman" w:hAnsi="Times New Roman" w:cs="Times New Roman"/>
                <w:color w:val="000000"/>
                <w:sz w:val="21"/>
                <w:szCs w:val="21"/>
              </w:rPr>
              <w:t>/</w:t>
            </w:r>
            <w:r w:rsidRPr="00B4515A">
              <w:rPr>
                <w:rFonts w:cs="Times New Roman" w:hint="eastAsia"/>
                <w:color w:val="000000"/>
                <w:sz w:val="21"/>
                <w:szCs w:val="21"/>
              </w:rPr>
              <w:t>股）</w:t>
            </w:r>
          </w:p>
        </w:tc>
        <w:tc>
          <w:tcPr>
            <w:tcW w:w="1436" w:type="dxa"/>
            <w:shd w:val="clear" w:color="auto" w:fill="auto"/>
            <w:tcMar>
              <w:top w:w="0" w:type="dxa"/>
              <w:left w:w="108" w:type="dxa"/>
              <w:bottom w:w="0" w:type="dxa"/>
              <w:right w:w="108" w:type="dxa"/>
            </w:tcMar>
            <w:vAlign w:val="center"/>
          </w:tcPr>
          <w:p w14:paraId="3DBAB29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-0.11 </w:t>
            </w:r>
          </w:p>
        </w:tc>
        <w:tc>
          <w:tcPr>
            <w:tcW w:w="2360" w:type="dxa"/>
            <w:shd w:val="clear" w:color="auto" w:fill="auto"/>
            <w:tcMar>
              <w:top w:w="0" w:type="dxa"/>
              <w:left w:w="108" w:type="dxa"/>
              <w:bottom w:w="0" w:type="dxa"/>
              <w:right w:w="108" w:type="dxa"/>
            </w:tcMar>
            <w:vAlign w:val="center"/>
          </w:tcPr>
          <w:p w14:paraId="3E61D6C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 xml:space="preserve">-0.07 </w:t>
            </w:r>
          </w:p>
        </w:tc>
        <w:tc>
          <w:tcPr>
            <w:tcW w:w="1668" w:type="dxa"/>
            <w:shd w:val="clear" w:color="auto" w:fill="auto"/>
            <w:tcMar>
              <w:top w:w="0" w:type="dxa"/>
              <w:left w:w="108" w:type="dxa"/>
              <w:bottom w:w="0" w:type="dxa"/>
              <w:right w:w="108" w:type="dxa"/>
            </w:tcMar>
            <w:vAlign w:val="center"/>
          </w:tcPr>
          <w:p w14:paraId="4A7918D6" w14:textId="668C87B9"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35.19</w:t>
            </w:r>
          </w:p>
        </w:tc>
      </w:tr>
      <w:tr w:rsidR="006416B0" w:rsidRPr="00B4515A" w14:paraId="1AE807E0" w14:textId="77777777" w:rsidTr="00031627">
        <w:trPr>
          <w:trHeight w:val="340"/>
          <w:jc w:val="center"/>
        </w:trPr>
        <w:tc>
          <w:tcPr>
            <w:tcW w:w="2819" w:type="dxa"/>
            <w:shd w:val="clear" w:color="auto" w:fill="auto"/>
            <w:tcMar>
              <w:top w:w="0" w:type="dxa"/>
              <w:left w:w="108" w:type="dxa"/>
              <w:bottom w:w="0" w:type="dxa"/>
              <w:right w:w="108" w:type="dxa"/>
            </w:tcMar>
            <w:vAlign w:val="center"/>
          </w:tcPr>
          <w:p w14:paraId="6B733033" w14:textId="29F467B5"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每股净资产</w:t>
            </w:r>
            <w:r w:rsidR="00FE7BD3" w:rsidRPr="00B4515A">
              <w:rPr>
                <w:rFonts w:cs="Times New Roman" w:hint="eastAsia"/>
                <w:color w:val="000000"/>
                <w:sz w:val="21"/>
                <w:szCs w:val="21"/>
              </w:rPr>
              <w:t>（元</w:t>
            </w:r>
            <w:r w:rsidR="00FE7BD3" w:rsidRPr="00B4515A">
              <w:rPr>
                <w:rFonts w:ascii="Times New Roman" w:hAnsi="Times New Roman" w:cs="Times New Roman"/>
                <w:color w:val="000000"/>
                <w:sz w:val="21"/>
                <w:szCs w:val="21"/>
              </w:rPr>
              <w:t>/</w:t>
            </w:r>
            <w:r w:rsidR="00FE7BD3" w:rsidRPr="00B4515A">
              <w:rPr>
                <w:rFonts w:cs="Times New Roman" w:hint="eastAsia"/>
                <w:color w:val="000000"/>
                <w:sz w:val="21"/>
                <w:szCs w:val="21"/>
              </w:rPr>
              <w:t>股）</w:t>
            </w:r>
          </w:p>
        </w:tc>
        <w:tc>
          <w:tcPr>
            <w:tcW w:w="1436" w:type="dxa"/>
            <w:shd w:val="clear" w:color="auto" w:fill="auto"/>
            <w:tcMar>
              <w:top w:w="0" w:type="dxa"/>
              <w:left w:w="108" w:type="dxa"/>
              <w:bottom w:w="0" w:type="dxa"/>
              <w:right w:w="108" w:type="dxa"/>
            </w:tcMar>
            <w:vAlign w:val="center"/>
          </w:tcPr>
          <w:p w14:paraId="3D0CF24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-1.60 </w:t>
            </w:r>
          </w:p>
        </w:tc>
        <w:tc>
          <w:tcPr>
            <w:tcW w:w="2360" w:type="dxa"/>
            <w:shd w:val="clear" w:color="auto" w:fill="auto"/>
            <w:tcMar>
              <w:top w:w="0" w:type="dxa"/>
              <w:left w:w="108" w:type="dxa"/>
              <w:bottom w:w="0" w:type="dxa"/>
              <w:right w:w="108" w:type="dxa"/>
            </w:tcMar>
            <w:vAlign w:val="center"/>
          </w:tcPr>
          <w:p w14:paraId="34B6D72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0.22</w:t>
            </w:r>
          </w:p>
        </w:tc>
        <w:tc>
          <w:tcPr>
            <w:tcW w:w="1668" w:type="dxa"/>
            <w:shd w:val="clear" w:color="auto" w:fill="auto"/>
            <w:tcMar>
              <w:top w:w="0" w:type="dxa"/>
              <w:left w:w="108" w:type="dxa"/>
              <w:bottom w:w="0" w:type="dxa"/>
              <w:right w:w="108" w:type="dxa"/>
            </w:tcMar>
            <w:vAlign w:val="center"/>
          </w:tcPr>
          <w:p w14:paraId="65697CDD" w14:textId="383FA3F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114.04</w:t>
            </w:r>
          </w:p>
        </w:tc>
      </w:tr>
    </w:tbl>
    <w:p w14:paraId="32D90D0B" w14:textId="77777777" w:rsidR="00D62C18" w:rsidRPr="00B4515A" w:rsidRDefault="00D62C18" w:rsidP="00D62C18"/>
    <w:p w14:paraId="5282CAD4" w14:textId="10A71507" w:rsidR="006416B0" w:rsidRPr="00B4515A" w:rsidRDefault="00D44516" w:rsidP="005860B4">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908"/>
        <w:gridCol w:w="1477"/>
        <w:gridCol w:w="2427"/>
        <w:gridCol w:w="1716"/>
      </w:tblGrid>
      <w:tr w:rsidR="006416B0" w:rsidRPr="00B4515A" w14:paraId="50D29D6C" w14:textId="77777777" w:rsidTr="00031627">
        <w:trPr>
          <w:trHeight w:val="340"/>
          <w:jc w:val="center"/>
        </w:trPr>
        <w:tc>
          <w:tcPr>
            <w:tcW w:w="2827" w:type="dxa"/>
            <w:vMerge w:val="restart"/>
            <w:shd w:val="clear" w:color="auto" w:fill="auto"/>
            <w:tcMar>
              <w:top w:w="0" w:type="dxa"/>
              <w:left w:w="108" w:type="dxa"/>
              <w:bottom w:w="0" w:type="dxa"/>
              <w:right w:w="108" w:type="dxa"/>
            </w:tcMar>
            <w:vAlign w:val="center"/>
          </w:tcPr>
          <w:p w14:paraId="7EAC1887"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项目</w:t>
            </w:r>
          </w:p>
        </w:tc>
        <w:tc>
          <w:tcPr>
            <w:tcW w:w="5464" w:type="dxa"/>
            <w:gridSpan w:val="3"/>
            <w:shd w:val="clear" w:color="auto" w:fill="auto"/>
            <w:tcMar>
              <w:top w:w="0" w:type="dxa"/>
              <w:left w:w="108" w:type="dxa"/>
              <w:bottom w:w="0" w:type="dxa"/>
              <w:right w:w="108" w:type="dxa"/>
            </w:tcMar>
            <w:vAlign w:val="center"/>
          </w:tcPr>
          <w:p w14:paraId="2B35FA5D"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w:t>
            </w:r>
            <w:r w:rsidRPr="00B4515A">
              <w:rPr>
                <w:rFonts w:cs="Times New Roman" w:hint="eastAsia"/>
                <w:b/>
                <w:bCs/>
                <w:color w:val="000000"/>
                <w:sz w:val="21"/>
                <w:szCs w:val="21"/>
              </w:rPr>
              <w:t>年</w:t>
            </w:r>
            <w:r w:rsidRPr="00B4515A">
              <w:rPr>
                <w:rFonts w:ascii="Times New Roman" w:hAnsi="Times New Roman" w:cs="Times New Roman"/>
                <w:b/>
                <w:bCs/>
                <w:color w:val="000000"/>
                <w:sz w:val="21"/>
                <w:szCs w:val="21"/>
              </w:rPr>
              <w:t>12</w:t>
            </w:r>
            <w:r w:rsidRPr="00B4515A">
              <w:rPr>
                <w:rFonts w:cs="Times New Roman" w:hint="eastAsia"/>
                <w:b/>
                <w:bCs/>
                <w:color w:val="000000"/>
                <w:sz w:val="21"/>
                <w:szCs w:val="21"/>
              </w:rPr>
              <w:t>月</w:t>
            </w:r>
            <w:r w:rsidRPr="00B4515A">
              <w:rPr>
                <w:rFonts w:ascii="Times New Roman" w:hAnsi="Times New Roman" w:cs="Times New Roman"/>
                <w:b/>
                <w:bCs/>
                <w:color w:val="000000"/>
                <w:sz w:val="21"/>
                <w:szCs w:val="21"/>
              </w:rPr>
              <w:t>31</w:t>
            </w:r>
            <w:r w:rsidRPr="00B4515A">
              <w:rPr>
                <w:rFonts w:cs="Times New Roman" w:hint="eastAsia"/>
                <w:b/>
                <w:bCs/>
                <w:color w:val="000000"/>
                <w:sz w:val="21"/>
                <w:szCs w:val="21"/>
              </w:rPr>
              <w:t>日</w:t>
            </w:r>
            <w:r w:rsidRPr="00B4515A">
              <w:rPr>
                <w:rFonts w:ascii="Times New Roman" w:hAnsi="Times New Roman" w:cs="Times New Roman"/>
                <w:b/>
                <w:bCs/>
                <w:color w:val="000000"/>
                <w:sz w:val="21"/>
                <w:szCs w:val="21"/>
              </w:rPr>
              <w:t>/2020</w:t>
            </w:r>
            <w:r w:rsidRPr="00B4515A">
              <w:rPr>
                <w:rFonts w:cs="Times New Roman" w:hint="eastAsia"/>
                <w:b/>
                <w:bCs/>
                <w:color w:val="000000"/>
                <w:sz w:val="21"/>
                <w:szCs w:val="21"/>
              </w:rPr>
              <w:t>年度</w:t>
            </w:r>
          </w:p>
        </w:tc>
      </w:tr>
      <w:tr w:rsidR="006416B0" w:rsidRPr="00B4515A" w14:paraId="0AF5CDE3" w14:textId="77777777" w:rsidTr="00031627">
        <w:trPr>
          <w:trHeight w:val="340"/>
          <w:jc w:val="center"/>
        </w:trPr>
        <w:tc>
          <w:tcPr>
            <w:tcW w:w="2827" w:type="dxa"/>
            <w:vMerge/>
            <w:tcMar>
              <w:top w:w="0" w:type="dxa"/>
              <w:left w:w="108" w:type="dxa"/>
              <w:bottom w:w="0" w:type="dxa"/>
              <w:right w:w="108" w:type="dxa"/>
            </w:tcMar>
            <w:vAlign w:val="center"/>
          </w:tcPr>
          <w:p w14:paraId="3AEE17B2" w14:textId="77777777" w:rsidR="006416B0" w:rsidRPr="00B4515A" w:rsidRDefault="006416B0" w:rsidP="005860B4">
            <w:pPr>
              <w:adjustRightInd w:val="0"/>
              <w:snapToGrid w:val="0"/>
              <w:rPr>
                <w:rFonts w:ascii="Times New Roman" w:hAnsi="Times New Roman" w:cs="Times New Roman"/>
                <w:b/>
                <w:bCs/>
                <w:color w:val="000000"/>
                <w:sz w:val="21"/>
                <w:szCs w:val="21"/>
              </w:rPr>
            </w:pPr>
          </w:p>
        </w:tc>
        <w:tc>
          <w:tcPr>
            <w:tcW w:w="1436" w:type="dxa"/>
            <w:shd w:val="clear" w:color="auto" w:fill="auto"/>
            <w:tcMar>
              <w:top w:w="0" w:type="dxa"/>
              <w:left w:w="108" w:type="dxa"/>
              <w:bottom w:w="0" w:type="dxa"/>
              <w:right w:w="108" w:type="dxa"/>
            </w:tcMar>
            <w:vAlign w:val="center"/>
          </w:tcPr>
          <w:p w14:paraId="5B0FCAE0"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交易前</w:t>
            </w:r>
            <w:r w:rsidRPr="00B4515A">
              <w:rPr>
                <w:rFonts w:hint="eastAsia"/>
                <w:b/>
                <w:bCs/>
                <w:color w:val="000000"/>
                <w:sz w:val="21"/>
                <w:szCs w:val="21"/>
              </w:rPr>
              <w:br/>
              <w:t>（实际数）</w:t>
            </w:r>
          </w:p>
        </w:tc>
        <w:tc>
          <w:tcPr>
            <w:tcW w:w="2360" w:type="dxa"/>
            <w:shd w:val="clear" w:color="auto" w:fill="auto"/>
            <w:tcMar>
              <w:top w:w="0" w:type="dxa"/>
              <w:left w:w="108" w:type="dxa"/>
              <w:bottom w:w="0" w:type="dxa"/>
              <w:right w:w="108" w:type="dxa"/>
            </w:tcMar>
            <w:vAlign w:val="center"/>
          </w:tcPr>
          <w:p w14:paraId="07E6CA98"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交易后</w:t>
            </w:r>
            <w:r w:rsidRPr="00B4515A">
              <w:rPr>
                <w:rFonts w:hint="eastAsia"/>
                <w:b/>
                <w:bCs/>
                <w:color w:val="000000"/>
                <w:sz w:val="21"/>
                <w:szCs w:val="21"/>
              </w:rPr>
              <w:br/>
              <w:t>（备考数）</w:t>
            </w:r>
          </w:p>
        </w:tc>
        <w:tc>
          <w:tcPr>
            <w:tcW w:w="1668" w:type="dxa"/>
            <w:shd w:val="clear" w:color="auto" w:fill="auto"/>
            <w:tcMar>
              <w:top w:w="0" w:type="dxa"/>
              <w:left w:w="108" w:type="dxa"/>
              <w:bottom w:w="0" w:type="dxa"/>
              <w:right w:w="108" w:type="dxa"/>
            </w:tcMar>
            <w:vAlign w:val="center"/>
          </w:tcPr>
          <w:p w14:paraId="3BF6ED2E" w14:textId="77434F59"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变动幅度</w:t>
            </w:r>
            <w:r w:rsidR="001D77AF" w:rsidRPr="00B4515A">
              <w:rPr>
                <w:rFonts w:cs="Times New Roman" w:hint="eastAsia"/>
                <w:b/>
                <w:bCs/>
                <w:color w:val="000000"/>
                <w:sz w:val="21"/>
                <w:szCs w:val="21"/>
              </w:rPr>
              <w:t>（%）</w:t>
            </w:r>
          </w:p>
        </w:tc>
      </w:tr>
      <w:tr w:rsidR="006416B0" w:rsidRPr="00B4515A" w14:paraId="6091377A"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12E83E9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资产总额</w:t>
            </w:r>
          </w:p>
        </w:tc>
        <w:tc>
          <w:tcPr>
            <w:tcW w:w="1436" w:type="dxa"/>
            <w:shd w:val="clear" w:color="auto" w:fill="auto"/>
            <w:tcMar>
              <w:top w:w="0" w:type="dxa"/>
              <w:left w:w="108" w:type="dxa"/>
              <w:bottom w:w="0" w:type="dxa"/>
              <w:right w:w="108" w:type="dxa"/>
            </w:tcMar>
            <w:vAlign w:val="center"/>
          </w:tcPr>
          <w:p w14:paraId="72B587A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314,041.93 </w:t>
            </w:r>
          </w:p>
        </w:tc>
        <w:tc>
          <w:tcPr>
            <w:tcW w:w="2360" w:type="dxa"/>
            <w:shd w:val="clear" w:color="auto" w:fill="auto"/>
            <w:tcMar>
              <w:top w:w="0" w:type="dxa"/>
              <w:left w:w="108" w:type="dxa"/>
              <w:bottom w:w="0" w:type="dxa"/>
              <w:right w:w="108" w:type="dxa"/>
            </w:tcMar>
            <w:vAlign w:val="center"/>
          </w:tcPr>
          <w:p w14:paraId="39232F3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548,152.06</w:t>
            </w:r>
          </w:p>
        </w:tc>
        <w:tc>
          <w:tcPr>
            <w:tcW w:w="1668" w:type="dxa"/>
            <w:shd w:val="clear" w:color="auto" w:fill="auto"/>
            <w:tcMar>
              <w:top w:w="0" w:type="dxa"/>
              <w:left w:w="108" w:type="dxa"/>
              <w:bottom w:w="0" w:type="dxa"/>
              <w:right w:w="108" w:type="dxa"/>
            </w:tcMar>
            <w:vAlign w:val="center"/>
          </w:tcPr>
          <w:p w14:paraId="15D67D4A" w14:textId="7C8219D0"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74.55</w:t>
            </w:r>
          </w:p>
        </w:tc>
      </w:tr>
      <w:tr w:rsidR="006416B0" w:rsidRPr="00B4515A" w14:paraId="38007108"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3E0A3AF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负债总额</w:t>
            </w:r>
          </w:p>
        </w:tc>
        <w:tc>
          <w:tcPr>
            <w:tcW w:w="1436" w:type="dxa"/>
            <w:shd w:val="clear" w:color="auto" w:fill="auto"/>
            <w:tcMar>
              <w:top w:w="0" w:type="dxa"/>
              <w:left w:w="108" w:type="dxa"/>
              <w:bottom w:w="0" w:type="dxa"/>
              <w:right w:w="108" w:type="dxa"/>
            </w:tcMar>
            <w:vAlign w:val="center"/>
          </w:tcPr>
          <w:p w14:paraId="29858C1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365,968.92 </w:t>
            </w:r>
          </w:p>
        </w:tc>
        <w:tc>
          <w:tcPr>
            <w:tcW w:w="2360" w:type="dxa"/>
            <w:shd w:val="clear" w:color="auto" w:fill="auto"/>
            <w:tcMar>
              <w:top w:w="0" w:type="dxa"/>
              <w:left w:w="108" w:type="dxa"/>
              <w:bottom w:w="0" w:type="dxa"/>
              <w:right w:w="108" w:type="dxa"/>
            </w:tcMar>
            <w:vAlign w:val="center"/>
          </w:tcPr>
          <w:p w14:paraId="035C578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426,008.16</w:t>
            </w:r>
          </w:p>
        </w:tc>
        <w:tc>
          <w:tcPr>
            <w:tcW w:w="1668" w:type="dxa"/>
            <w:shd w:val="clear" w:color="auto" w:fill="auto"/>
            <w:tcMar>
              <w:top w:w="0" w:type="dxa"/>
              <w:left w:w="108" w:type="dxa"/>
              <w:bottom w:w="0" w:type="dxa"/>
              <w:right w:w="108" w:type="dxa"/>
            </w:tcMar>
            <w:vAlign w:val="center"/>
          </w:tcPr>
          <w:p w14:paraId="0897861B" w14:textId="26252DA9"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16.41</w:t>
            </w:r>
          </w:p>
        </w:tc>
      </w:tr>
      <w:tr w:rsidR="006416B0" w:rsidRPr="00B4515A" w14:paraId="7A99CEE8"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03FD14B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归属于母公司所有者权益</w:t>
            </w:r>
          </w:p>
        </w:tc>
        <w:tc>
          <w:tcPr>
            <w:tcW w:w="1436" w:type="dxa"/>
            <w:shd w:val="clear" w:color="auto" w:fill="auto"/>
            <w:tcMar>
              <w:top w:w="0" w:type="dxa"/>
              <w:left w:w="108" w:type="dxa"/>
              <w:bottom w:w="0" w:type="dxa"/>
              <w:right w:w="108" w:type="dxa"/>
            </w:tcMar>
            <w:vAlign w:val="center"/>
          </w:tcPr>
          <w:p w14:paraId="1F10EEB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-131,187.30 </w:t>
            </w:r>
          </w:p>
        </w:tc>
        <w:tc>
          <w:tcPr>
            <w:tcW w:w="2360" w:type="dxa"/>
            <w:shd w:val="clear" w:color="auto" w:fill="auto"/>
            <w:tcMar>
              <w:top w:w="0" w:type="dxa"/>
              <w:left w:w="108" w:type="dxa"/>
              <w:bottom w:w="0" w:type="dxa"/>
              <w:right w:w="108" w:type="dxa"/>
            </w:tcMar>
            <w:vAlign w:val="center"/>
          </w:tcPr>
          <w:p w14:paraId="67A3102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38,924.73</w:t>
            </w:r>
          </w:p>
        </w:tc>
        <w:tc>
          <w:tcPr>
            <w:tcW w:w="1668" w:type="dxa"/>
            <w:shd w:val="clear" w:color="auto" w:fill="auto"/>
            <w:tcMar>
              <w:top w:w="0" w:type="dxa"/>
              <w:left w:w="108" w:type="dxa"/>
              <w:bottom w:w="0" w:type="dxa"/>
              <w:right w:w="108" w:type="dxa"/>
            </w:tcMar>
            <w:vAlign w:val="center"/>
          </w:tcPr>
          <w:p w14:paraId="75AFF6BE" w14:textId="7B5571DA"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129.67</w:t>
            </w:r>
          </w:p>
        </w:tc>
      </w:tr>
      <w:tr w:rsidR="006416B0" w:rsidRPr="00B4515A" w14:paraId="687E852D"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79A38C1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营业收入</w:t>
            </w:r>
          </w:p>
        </w:tc>
        <w:tc>
          <w:tcPr>
            <w:tcW w:w="1436" w:type="dxa"/>
            <w:shd w:val="clear" w:color="auto" w:fill="auto"/>
            <w:tcMar>
              <w:top w:w="0" w:type="dxa"/>
              <w:left w:w="108" w:type="dxa"/>
              <w:bottom w:w="0" w:type="dxa"/>
              <w:right w:w="108" w:type="dxa"/>
            </w:tcMar>
            <w:vAlign w:val="center"/>
          </w:tcPr>
          <w:p w14:paraId="124271A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120,721.15 </w:t>
            </w:r>
          </w:p>
        </w:tc>
        <w:tc>
          <w:tcPr>
            <w:tcW w:w="2360" w:type="dxa"/>
            <w:shd w:val="clear" w:color="auto" w:fill="auto"/>
            <w:tcMar>
              <w:top w:w="0" w:type="dxa"/>
              <w:left w:w="108" w:type="dxa"/>
              <w:bottom w:w="0" w:type="dxa"/>
              <w:right w:w="108" w:type="dxa"/>
            </w:tcMar>
            <w:vAlign w:val="center"/>
          </w:tcPr>
          <w:p w14:paraId="1A0DD92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162,630.87</w:t>
            </w:r>
          </w:p>
        </w:tc>
        <w:tc>
          <w:tcPr>
            <w:tcW w:w="1668" w:type="dxa"/>
            <w:shd w:val="clear" w:color="auto" w:fill="auto"/>
            <w:tcMar>
              <w:top w:w="0" w:type="dxa"/>
              <w:left w:w="108" w:type="dxa"/>
              <w:bottom w:w="0" w:type="dxa"/>
              <w:right w:w="108" w:type="dxa"/>
            </w:tcMar>
            <w:vAlign w:val="center"/>
          </w:tcPr>
          <w:p w14:paraId="205142DB" w14:textId="17FDA0A6"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34.72</w:t>
            </w:r>
          </w:p>
        </w:tc>
      </w:tr>
      <w:tr w:rsidR="006416B0" w:rsidRPr="00B4515A" w14:paraId="51A19AAA"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58C8035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营业利润</w:t>
            </w:r>
          </w:p>
        </w:tc>
        <w:tc>
          <w:tcPr>
            <w:tcW w:w="1436" w:type="dxa"/>
            <w:shd w:val="clear" w:color="auto" w:fill="auto"/>
            <w:tcMar>
              <w:top w:w="0" w:type="dxa"/>
              <w:left w:w="108" w:type="dxa"/>
              <w:bottom w:w="0" w:type="dxa"/>
              <w:right w:w="108" w:type="dxa"/>
            </w:tcMar>
            <w:vAlign w:val="center"/>
          </w:tcPr>
          <w:p w14:paraId="0C34DAF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-160,274.33 </w:t>
            </w:r>
          </w:p>
        </w:tc>
        <w:tc>
          <w:tcPr>
            <w:tcW w:w="2360" w:type="dxa"/>
            <w:shd w:val="clear" w:color="auto" w:fill="auto"/>
            <w:tcMar>
              <w:top w:w="0" w:type="dxa"/>
              <w:left w:w="108" w:type="dxa"/>
              <w:bottom w:w="0" w:type="dxa"/>
              <w:right w:w="108" w:type="dxa"/>
            </w:tcMar>
            <w:vAlign w:val="center"/>
          </w:tcPr>
          <w:p w14:paraId="62C16F6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-155,847.49</w:t>
            </w:r>
          </w:p>
        </w:tc>
        <w:tc>
          <w:tcPr>
            <w:tcW w:w="1668" w:type="dxa"/>
            <w:shd w:val="clear" w:color="auto" w:fill="auto"/>
            <w:tcMar>
              <w:top w:w="0" w:type="dxa"/>
              <w:left w:w="108" w:type="dxa"/>
              <w:bottom w:w="0" w:type="dxa"/>
              <w:right w:w="108" w:type="dxa"/>
            </w:tcMar>
            <w:vAlign w:val="center"/>
          </w:tcPr>
          <w:p w14:paraId="31DBA04E" w14:textId="7808BBB8"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2.76</w:t>
            </w:r>
          </w:p>
        </w:tc>
      </w:tr>
      <w:tr w:rsidR="006416B0" w:rsidRPr="00B4515A" w14:paraId="35E852FA"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3FB74CC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利润总额</w:t>
            </w:r>
          </w:p>
        </w:tc>
        <w:tc>
          <w:tcPr>
            <w:tcW w:w="1436" w:type="dxa"/>
            <w:shd w:val="clear" w:color="auto" w:fill="auto"/>
            <w:tcMar>
              <w:top w:w="0" w:type="dxa"/>
              <w:left w:w="108" w:type="dxa"/>
              <w:bottom w:w="0" w:type="dxa"/>
              <w:right w:w="108" w:type="dxa"/>
            </w:tcMar>
            <w:vAlign w:val="center"/>
          </w:tcPr>
          <w:p w14:paraId="7609C3D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-168,793.47 </w:t>
            </w:r>
          </w:p>
        </w:tc>
        <w:tc>
          <w:tcPr>
            <w:tcW w:w="2360" w:type="dxa"/>
            <w:shd w:val="clear" w:color="auto" w:fill="auto"/>
            <w:tcMar>
              <w:top w:w="0" w:type="dxa"/>
              <w:left w:w="108" w:type="dxa"/>
              <w:bottom w:w="0" w:type="dxa"/>
              <w:right w:w="108" w:type="dxa"/>
            </w:tcMar>
            <w:vAlign w:val="center"/>
          </w:tcPr>
          <w:p w14:paraId="6FAADC8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-164,212.51</w:t>
            </w:r>
          </w:p>
        </w:tc>
        <w:tc>
          <w:tcPr>
            <w:tcW w:w="1668" w:type="dxa"/>
            <w:shd w:val="clear" w:color="auto" w:fill="auto"/>
            <w:tcMar>
              <w:top w:w="0" w:type="dxa"/>
              <w:left w:w="108" w:type="dxa"/>
              <w:bottom w:w="0" w:type="dxa"/>
              <w:right w:w="108" w:type="dxa"/>
            </w:tcMar>
            <w:vAlign w:val="center"/>
          </w:tcPr>
          <w:p w14:paraId="08DA3322" w14:textId="021683A0"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2.71</w:t>
            </w:r>
          </w:p>
        </w:tc>
      </w:tr>
      <w:tr w:rsidR="006416B0" w:rsidRPr="00B4515A" w14:paraId="132E98D4"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2CC4206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归属于母公司所有者的净利润</w:t>
            </w:r>
          </w:p>
        </w:tc>
        <w:tc>
          <w:tcPr>
            <w:tcW w:w="1436" w:type="dxa"/>
            <w:shd w:val="clear" w:color="auto" w:fill="auto"/>
            <w:tcMar>
              <w:top w:w="0" w:type="dxa"/>
              <w:left w:w="108" w:type="dxa"/>
              <w:bottom w:w="0" w:type="dxa"/>
              <w:right w:w="108" w:type="dxa"/>
            </w:tcMar>
            <w:vAlign w:val="center"/>
          </w:tcPr>
          <w:p w14:paraId="7B1CED1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-136,381.11 </w:t>
            </w:r>
          </w:p>
        </w:tc>
        <w:tc>
          <w:tcPr>
            <w:tcW w:w="2360" w:type="dxa"/>
            <w:shd w:val="clear" w:color="auto" w:fill="auto"/>
            <w:tcMar>
              <w:top w:w="0" w:type="dxa"/>
              <w:left w:w="108" w:type="dxa"/>
              <w:bottom w:w="0" w:type="dxa"/>
              <w:right w:w="108" w:type="dxa"/>
            </w:tcMar>
            <w:vAlign w:val="center"/>
          </w:tcPr>
          <w:p w14:paraId="1FC11A2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-132,112.46</w:t>
            </w:r>
          </w:p>
        </w:tc>
        <w:tc>
          <w:tcPr>
            <w:tcW w:w="1668" w:type="dxa"/>
            <w:shd w:val="clear" w:color="auto" w:fill="auto"/>
            <w:tcMar>
              <w:top w:w="0" w:type="dxa"/>
              <w:left w:w="108" w:type="dxa"/>
              <w:bottom w:w="0" w:type="dxa"/>
              <w:right w:w="108" w:type="dxa"/>
            </w:tcMar>
            <w:vAlign w:val="center"/>
          </w:tcPr>
          <w:p w14:paraId="4E14E8AA" w14:textId="34C43551"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3.13</w:t>
            </w:r>
          </w:p>
        </w:tc>
      </w:tr>
      <w:tr w:rsidR="003E700C" w:rsidRPr="00B4515A" w14:paraId="7DFF91FA"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7DA9B309" w14:textId="592B718A" w:rsidR="003E700C" w:rsidRPr="00B4515A" w:rsidRDefault="003E700C"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资产负债率（%）</w:t>
            </w:r>
          </w:p>
        </w:tc>
        <w:tc>
          <w:tcPr>
            <w:tcW w:w="1436" w:type="dxa"/>
            <w:shd w:val="clear" w:color="auto" w:fill="auto"/>
            <w:tcMar>
              <w:top w:w="0" w:type="dxa"/>
              <w:left w:w="108" w:type="dxa"/>
              <w:bottom w:w="0" w:type="dxa"/>
              <w:right w:w="108" w:type="dxa"/>
            </w:tcMar>
            <w:vAlign w:val="center"/>
          </w:tcPr>
          <w:p w14:paraId="72465F0C" w14:textId="72AFA3A8"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116.54 </w:t>
            </w:r>
          </w:p>
        </w:tc>
        <w:tc>
          <w:tcPr>
            <w:tcW w:w="2360" w:type="dxa"/>
            <w:shd w:val="clear" w:color="auto" w:fill="auto"/>
            <w:tcMar>
              <w:top w:w="0" w:type="dxa"/>
              <w:left w:w="108" w:type="dxa"/>
              <w:bottom w:w="0" w:type="dxa"/>
              <w:right w:w="108" w:type="dxa"/>
            </w:tcMar>
            <w:vAlign w:val="center"/>
          </w:tcPr>
          <w:p w14:paraId="10B93617" w14:textId="77777777"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77.72</w:t>
            </w:r>
          </w:p>
        </w:tc>
        <w:tc>
          <w:tcPr>
            <w:tcW w:w="1668" w:type="dxa"/>
            <w:shd w:val="clear" w:color="auto" w:fill="auto"/>
            <w:tcMar>
              <w:top w:w="0" w:type="dxa"/>
              <w:left w:w="108" w:type="dxa"/>
              <w:bottom w:w="0" w:type="dxa"/>
              <w:right w:w="108" w:type="dxa"/>
            </w:tcMar>
            <w:vAlign w:val="center"/>
          </w:tcPr>
          <w:p w14:paraId="2C5CC508" w14:textId="735C6BF2"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-38.82</w:t>
            </w:r>
          </w:p>
        </w:tc>
      </w:tr>
      <w:tr w:rsidR="003E700C" w:rsidRPr="00B4515A" w14:paraId="0E408ACC"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50902E5D" w14:textId="63D8F52F" w:rsidR="003E700C" w:rsidRPr="00B4515A" w:rsidRDefault="003E700C"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毛利率（%）</w:t>
            </w:r>
          </w:p>
        </w:tc>
        <w:tc>
          <w:tcPr>
            <w:tcW w:w="1436" w:type="dxa"/>
            <w:shd w:val="clear" w:color="auto" w:fill="auto"/>
            <w:tcMar>
              <w:top w:w="0" w:type="dxa"/>
              <w:left w:w="108" w:type="dxa"/>
              <w:bottom w:w="0" w:type="dxa"/>
              <w:right w:w="108" w:type="dxa"/>
            </w:tcMar>
            <w:vAlign w:val="center"/>
          </w:tcPr>
          <w:p w14:paraId="464F7A14" w14:textId="77777777"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32.04 </w:t>
            </w:r>
          </w:p>
        </w:tc>
        <w:tc>
          <w:tcPr>
            <w:tcW w:w="2360" w:type="dxa"/>
            <w:shd w:val="clear" w:color="auto" w:fill="auto"/>
            <w:tcMar>
              <w:top w:w="0" w:type="dxa"/>
              <w:left w:w="108" w:type="dxa"/>
              <w:bottom w:w="0" w:type="dxa"/>
              <w:right w:w="108" w:type="dxa"/>
            </w:tcMar>
            <w:vAlign w:val="center"/>
          </w:tcPr>
          <w:p w14:paraId="720B385D" w14:textId="77777777" w:rsidR="003E700C" w:rsidRPr="00B4515A" w:rsidRDefault="003E700C"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40.46</w:t>
            </w:r>
          </w:p>
        </w:tc>
        <w:tc>
          <w:tcPr>
            <w:tcW w:w="1668" w:type="dxa"/>
            <w:shd w:val="clear" w:color="auto" w:fill="auto"/>
            <w:tcMar>
              <w:top w:w="0" w:type="dxa"/>
              <w:left w:w="108" w:type="dxa"/>
              <w:bottom w:w="0" w:type="dxa"/>
              <w:right w:w="108" w:type="dxa"/>
            </w:tcMar>
            <w:vAlign w:val="center"/>
          </w:tcPr>
          <w:p w14:paraId="337E4597" w14:textId="46D0A1C3"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8.42</w:t>
            </w:r>
          </w:p>
        </w:tc>
      </w:tr>
      <w:tr w:rsidR="006416B0" w:rsidRPr="00B4515A" w14:paraId="35E4DDEB"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5D197EE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基本每股收益（元</w:t>
            </w:r>
            <w:r w:rsidRPr="00B4515A">
              <w:rPr>
                <w:rFonts w:ascii="Times New Roman" w:hAnsi="Times New Roman" w:cs="Times New Roman"/>
                <w:color w:val="000000"/>
                <w:sz w:val="21"/>
                <w:szCs w:val="21"/>
              </w:rPr>
              <w:t>/</w:t>
            </w:r>
            <w:r w:rsidRPr="00B4515A">
              <w:rPr>
                <w:rFonts w:cs="Times New Roman" w:hint="eastAsia"/>
                <w:color w:val="000000"/>
                <w:sz w:val="21"/>
                <w:szCs w:val="21"/>
              </w:rPr>
              <w:t>股）</w:t>
            </w:r>
          </w:p>
        </w:tc>
        <w:tc>
          <w:tcPr>
            <w:tcW w:w="1436" w:type="dxa"/>
            <w:shd w:val="clear" w:color="auto" w:fill="auto"/>
            <w:tcMar>
              <w:top w:w="0" w:type="dxa"/>
              <w:left w:w="108" w:type="dxa"/>
              <w:bottom w:w="0" w:type="dxa"/>
              <w:right w:w="108" w:type="dxa"/>
            </w:tcMar>
            <w:vAlign w:val="center"/>
          </w:tcPr>
          <w:p w14:paraId="3625AEF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-1.55 </w:t>
            </w:r>
          </w:p>
        </w:tc>
        <w:tc>
          <w:tcPr>
            <w:tcW w:w="2360" w:type="dxa"/>
            <w:shd w:val="clear" w:color="auto" w:fill="auto"/>
            <w:tcMar>
              <w:top w:w="0" w:type="dxa"/>
              <w:left w:w="108" w:type="dxa"/>
              <w:bottom w:w="0" w:type="dxa"/>
              <w:right w:w="108" w:type="dxa"/>
            </w:tcMar>
            <w:vAlign w:val="center"/>
          </w:tcPr>
          <w:p w14:paraId="5EB543A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 xml:space="preserve">-1.01 </w:t>
            </w:r>
          </w:p>
        </w:tc>
        <w:tc>
          <w:tcPr>
            <w:tcW w:w="1668" w:type="dxa"/>
            <w:shd w:val="clear" w:color="auto" w:fill="auto"/>
            <w:tcMar>
              <w:top w:w="0" w:type="dxa"/>
              <w:left w:w="108" w:type="dxa"/>
              <w:bottom w:w="0" w:type="dxa"/>
              <w:right w:w="108" w:type="dxa"/>
            </w:tcMar>
            <w:vAlign w:val="center"/>
          </w:tcPr>
          <w:p w14:paraId="6AF0E096" w14:textId="4CDA7D65"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34.96</w:t>
            </w:r>
          </w:p>
        </w:tc>
      </w:tr>
      <w:tr w:rsidR="006416B0" w:rsidRPr="00B4515A" w14:paraId="60400F82" w14:textId="77777777" w:rsidTr="00031627">
        <w:trPr>
          <w:trHeight w:val="340"/>
          <w:jc w:val="center"/>
        </w:trPr>
        <w:tc>
          <w:tcPr>
            <w:tcW w:w="2827" w:type="dxa"/>
            <w:shd w:val="clear" w:color="auto" w:fill="auto"/>
            <w:tcMar>
              <w:top w:w="0" w:type="dxa"/>
              <w:left w:w="108" w:type="dxa"/>
              <w:bottom w:w="0" w:type="dxa"/>
              <w:right w:w="108" w:type="dxa"/>
            </w:tcMar>
            <w:vAlign w:val="center"/>
          </w:tcPr>
          <w:p w14:paraId="28224AED" w14:textId="7BA64D11"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每股净资产</w:t>
            </w:r>
            <w:r w:rsidR="00FE7BD3" w:rsidRPr="00B4515A">
              <w:rPr>
                <w:rFonts w:cs="Times New Roman" w:hint="eastAsia"/>
                <w:color w:val="000000"/>
                <w:sz w:val="21"/>
                <w:szCs w:val="21"/>
              </w:rPr>
              <w:t>（元</w:t>
            </w:r>
            <w:r w:rsidR="00FE7BD3" w:rsidRPr="00B4515A">
              <w:rPr>
                <w:rFonts w:ascii="Times New Roman" w:hAnsi="Times New Roman" w:cs="Times New Roman"/>
                <w:color w:val="000000"/>
                <w:sz w:val="21"/>
                <w:szCs w:val="21"/>
              </w:rPr>
              <w:t>/</w:t>
            </w:r>
            <w:r w:rsidR="00FE7BD3" w:rsidRPr="00B4515A">
              <w:rPr>
                <w:rFonts w:cs="Times New Roman" w:hint="eastAsia"/>
                <w:color w:val="000000"/>
                <w:sz w:val="21"/>
                <w:szCs w:val="21"/>
              </w:rPr>
              <w:t>股）</w:t>
            </w:r>
          </w:p>
        </w:tc>
        <w:tc>
          <w:tcPr>
            <w:tcW w:w="1436" w:type="dxa"/>
            <w:shd w:val="clear" w:color="auto" w:fill="auto"/>
            <w:tcMar>
              <w:top w:w="0" w:type="dxa"/>
              <w:left w:w="108" w:type="dxa"/>
              <w:bottom w:w="0" w:type="dxa"/>
              <w:right w:w="108" w:type="dxa"/>
            </w:tcMar>
            <w:vAlign w:val="center"/>
          </w:tcPr>
          <w:p w14:paraId="46A135A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-1.49 </w:t>
            </w:r>
          </w:p>
        </w:tc>
        <w:tc>
          <w:tcPr>
            <w:tcW w:w="2360" w:type="dxa"/>
            <w:shd w:val="clear" w:color="auto" w:fill="auto"/>
            <w:tcMar>
              <w:top w:w="0" w:type="dxa"/>
              <w:left w:w="108" w:type="dxa"/>
              <w:bottom w:w="0" w:type="dxa"/>
              <w:right w:w="108" w:type="dxa"/>
            </w:tcMar>
            <w:vAlign w:val="center"/>
          </w:tcPr>
          <w:p w14:paraId="3194DD9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0.30</w:t>
            </w:r>
          </w:p>
        </w:tc>
        <w:tc>
          <w:tcPr>
            <w:tcW w:w="1668" w:type="dxa"/>
            <w:shd w:val="clear" w:color="auto" w:fill="auto"/>
            <w:tcMar>
              <w:top w:w="0" w:type="dxa"/>
              <w:left w:w="108" w:type="dxa"/>
              <w:bottom w:w="0" w:type="dxa"/>
              <w:right w:w="108" w:type="dxa"/>
            </w:tcMar>
            <w:vAlign w:val="center"/>
          </w:tcPr>
          <w:p w14:paraId="3705454B" w14:textId="7509776F"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119.92</w:t>
            </w:r>
          </w:p>
        </w:tc>
      </w:tr>
    </w:tbl>
    <w:p w14:paraId="149FD016" w14:textId="77777777" w:rsidR="006416B0" w:rsidRPr="00B4515A" w:rsidRDefault="005E58C1" w:rsidP="005860B4">
      <w:pPr>
        <w:pStyle w:val="005"/>
        <w:spacing w:before="120" w:after="120"/>
        <w:ind w:firstLine="480"/>
      </w:pPr>
      <w:r w:rsidRPr="00B4515A">
        <w:rPr>
          <w:rFonts w:ascii="Arial" w:hAnsi="Arial" w:cs="Arial" w:hint="eastAsia"/>
          <w:bCs/>
        </w:rPr>
        <w:t>根据上市公司备考报表，本次交易完成后上市公司资产总额、</w:t>
      </w:r>
      <w:r w:rsidRPr="00B4515A">
        <w:rPr>
          <w:rFonts w:hint="eastAsia"/>
        </w:rPr>
        <w:t>归属于母公司所有者权益、营业收入均增加，亏损减少。公司资产负债率降低，长期偿债能力提高；毛利率及每股收益提高，盈利能力有所提升。</w:t>
      </w:r>
    </w:p>
    <w:p w14:paraId="51FE9802" w14:textId="77777777" w:rsidR="006416B0" w:rsidRPr="00B4515A" w:rsidRDefault="005E58C1" w:rsidP="005860B4">
      <w:pPr>
        <w:pStyle w:val="003"/>
        <w:spacing w:before="120"/>
        <w:ind w:firstLine="482"/>
      </w:pPr>
      <w:r w:rsidRPr="00B4515A">
        <w:rPr>
          <w:rFonts w:hint="eastAsia"/>
        </w:rPr>
        <w:lastRenderedPageBreak/>
        <w:t>（四）交易完成后上市公司同业竞争及关联交易情况</w:t>
      </w:r>
    </w:p>
    <w:p w14:paraId="2F1A7186" w14:textId="77777777" w:rsidR="006416B0" w:rsidRPr="00B4515A" w:rsidRDefault="005E58C1" w:rsidP="005860B4">
      <w:pPr>
        <w:pStyle w:val="004"/>
        <w:spacing w:before="120" w:after="120"/>
        <w:ind w:firstLine="482"/>
      </w:pPr>
      <w:r w:rsidRPr="00B4515A">
        <w:t>1</w:t>
      </w:r>
      <w:r w:rsidRPr="00B4515A">
        <w:t>、交易完成后上市公司同业竞争情况</w:t>
      </w:r>
    </w:p>
    <w:p w14:paraId="2481F1A1" w14:textId="77777777" w:rsidR="006416B0" w:rsidRPr="00B4515A" w:rsidRDefault="005E58C1" w:rsidP="005860B4">
      <w:pPr>
        <w:pStyle w:val="005"/>
        <w:spacing w:before="120" w:after="120"/>
        <w:ind w:firstLine="480"/>
      </w:pPr>
      <w:r w:rsidRPr="00B4515A">
        <w:t>本次交易前，上市公司控股股东为电信科研院，中国信科集团为电信科研院的控股股东。本次交易完成后，上市公司控股股东为中国信科集团，大唐联诚将成为上市公司的子公司。</w:t>
      </w:r>
    </w:p>
    <w:p w14:paraId="281F8010" w14:textId="77777777" w:rsidR="006416B0" w:rsidRPr="00B4515A" w:rsidRDefault="005E58C1" w:rsidP="005860B4">
      <w:pPr>
        <w:pStyle w:val="005"/>
        <w:spacing w:before="120" w:after="120"/>
        <w:ind w:firstLine="480"/>
      </w:pPr>
      <w:r w:rsidRPr="00B4515A">
        <w:t>中国信科集团的产业布局主要分为六大板块：光通信、移动通信、智能化应用、光电子和集成电路、网络安全和特通、数据通信。大唐联诚属于中国信科集团内网络安全和特通板块。大唐联诚定位于无线通信技术面向特通信息化领域的应用，拥有完整的特种通信行业科研生产资质，主营业务为立足特种通信行业，提供涵盖定制化无线通信设备和系统应用软件的自主可控整体解决方案。在网络安全和特通板块的无线通信领域，中国信科集团仅有大唐联诚一家企业。</w:t>
      </w:r>
    </w:p>
    <w:p w14:paraId="5B809FBB" w14:textId="77777777" w:rsidR="006416B0" w:rsidRPr="00B4515A" w:rsidRDefault="005E58C1" w:rsidP="005860B4">
      <w:pPr>
        <w:pStyle w:val="005"/>
        <w:spacing w:before="120" w:after="120"/>
        <w:ind w:firstLine="480"/>
      </w:pPr>
      <w:r w:rsidRPr="00B4515A">
        <w:t>综上，本次交易前，中国信科集团及下属全资、控股子公司及其他可实际控制企业与上市公司主营业务不存在相竞争的业务，本次交易不会导致中国信科集团与上市公司增加同业竞争。</w:t>
      </w:r>
    </w:p>
    <w:p w14:paraId="707CB26E" w14:textId="77777777" w:rsidR="006416B0" w:rsidRPr="00B4515A" w:rsidRDefault="005E58C1" w:rsidP="005860B4">
      <w:pPr>
        <w:pStyle w:val="005"/>
        <w:spacing w:before="120" w:after="120"/>
        <w:ind w:firstLine="480"/>
      </w:pPr>
      <w:r w:rsidRPr="00B4515A">
        <w:t>中国信科集团已出具《关于避免同业竞争的承诺函》，承诺内容如下：</w:t>
      </w:r>
    </w:p>
    <w:p w14:paraId="7AD61C92" w14:textId="77777777" w:rsidR="006416B0" w:rsidRPr="00B4515A" w:rsidRDefault="005E58C1">
      <w:pPr>
        <w:spacing w:beforeLines="50" w:before="120" w:afterLines="50" w:after="120" w:line="360" w:lineRule="auto"/>
        <w:ind w:firstLineChars="200" w:firstLine="480"/>
        <w:jc w:val="both"/>
        <w:rPr>
          <w:rFonts w:cs="Times New Roman"/>
        </w:rPr>
      </w:pPr>
      <w:r w:rsidRPr="00B4515A">
        <w:rPr>
          <w:rFonts w:cs="Times New Roman"/>
        </w:rPr>
        <w:t>“</w:t>
      </w:r>
    </w:p>
    <w:p w14:paraId="0312FB90" w14:textId="77777777" w:rsidR="006416B0" w:rsidRPr="00B4515A" w:rsidRDefault="005E58C1" w:rsidP="005860B4">
      <w:pPr>
        <w:pStyle w:val="005"/>
        <w:spacing w:before="120" w:after="120"/>
        <w:ind w:firstLine="480"/>
      </w:pPr>
      <w:r w:rsidRPr="00B4515A">
        <w:t>1</w:t>
      </w:r>
      <w:r w:rsidRPr="00B4515A">
        <w:t>、本次交易前，本公司及下属全资、控股子公司及其他可实际控制企业</w:t>
      </w:r>
      <w:r w:rsidRPr="00B4515A">
        <w:t>(</w:t>
      </w:r>
      <w:r w:rsidRPr="00B4515A">
        <w:t>以下统称为</w:t>
      </w:r>
      <w:r w:rsidRPr="00B4515A">
        <w:rPr>
          <w:rFonts w:ascii="宋体" w:hAnsi="宋体"/>
        </w:rPr>
        <w:t>“</w:t>
      </w:r>
      <w:r w:rsidRPr="00B4515A">
        <w:t>本公司及相关企业</w:t>
      </w:r>
      <w:r w:rsidRPr="00B4515A">
        <w:rPr>
          <w:rFonts w:ascii="宋体" w:hAnsi="宋体"/>
        </w:rPr>
        <w:t>”</w:t>
      </w:r>
      <w:r w:rsidRPr="00B4515A">
        <w:t>，不含上市公司及其下属子公司）与上市公司主营业务不存在相竞争的业务，本次交易不会导致本公司与上市公司增加同业竞争。</w:t>
      </w:r>
    </w:p>
    <w:p w14:paraId="0A4973CB" w14:textId="77777777" w:rsidR="006416B0" w:rsidRPr="00B4515A" w:rsidRDefault="005E58C1" w:rsidP="005860B4">
      <w:pPr>
        <w:pStyle w:val="005"/>
        <w:spacing w:before="120" w:after="120"/>
        <w:ind w:firstLine="480"/>
      </w:pPr>
      <w:r w:rsidRPr="00B4515A">
        <w:t>2</w:t>
      </w:r>
      <w:r w:rsidRPr="00B4515A">
        <w:t>、本公司保证绝不利用对上市公司的了解和知悉的信息协助第三方从事、参与或投资与上市公司相竞争的业务或项目。</w:t>
      </w:r>
    </w:p>
    <w:p w14:paraId="3EEBFA3B" w14:textId="77777777" w:rsidR="006416B0" w:rsidRPr="00B4515A" w:rsidRDefault="005E58C1" w:rsidP="005860B4">
      <w:pPr>
        <w:pStyle w:val="005"/>
        <w:spacing w:before="120" w:after="120"/>
        <w:ind w:firstLine="480"/>
      </w:pPr>
      <w:r w:rsidRPr="00B4515A">
        <w:t>3</w:t>
      </w:r>
      <w:r w:rsidRPr="00B4515A">
        <w:t>、本承诺函在上市公司合法有效存续且在本公司对上市公司拥有控制权期间持续有效。</w:t>
      </w:r>
    </w:p>
    <w:p w14:paraId="7DEB7ED7" w14:textId="77777777" w:rsidR="006416B0" w:rsidRPr="00B4515A" w:rsidRDefault="005E58C1" w:rsidP="005860B4">
      <w:pPr>
        <w:pStyle w:val="005"/>
        <w:spacing w:before="120" w:after="120"/>
        <w:ind w:firstLine="480"/>
        <w:rPr>
          <w:rFonts w:ascii="宋体" w:hAnsi="宋体"/>
        </w:rPr>
      </w:pPr>
      <w:r w:rsidRPr="00B4515A">
        <w:rPr>
          <w:rFonts w:ascii="宋体" w:hAnsi="宋体"/>
        </w:rPr>
        <w:t>”</w:t>
      </w:r>
    </w:p>
    <w:p w14:paraId="4E6DF1B8" w14:textId="77777777" w:rsidR="006416B0" w:rsidRPr="00B4515A" w:rsidRDefault="005E58C1" w:rsidP="005860B4">
      <w:pPr>
        <w:pStyle w:val="005"/>
        <w:spacing w:before="120" w:after="120"/>
        <w:ind w:firstLine="480"/>
      </w:pPr>
      <w:r w:rsidRPr="00B4515A">
        <w:t>本次交易不会导致控股股东及关联方与上市公司存在同业竞争或潜在同业竞争，本次交易不会违反控股股东作出的避免同业竞争的承诺。</w:t>
      </w:r>
    </w:p>
    <w:p w14:paraId="6ADF042C" w14:textId="77777777" w:rsidR="006416B0" w:rsidRPr="00B4515A" w:rsidRDefault="005E58C1" w:rsidP="006100BC">
      <w:pPr>
        <w:pStyle w:val="004"/>
        <w:spacing w:before="120" w:after="120"/>
        <w:ind w:firstLine="482"/>
      </w:pPr>
      <w:r w:rsidRPr="00B4515A">
        <w:lastRenderedPageBreak/>
        <w:t>2</w:t>
      </w:r>
      <w:r w:rsidRPr="00B4515A">
        <w:t>、交易完成后上市公司关联交易情况</w:t>
      </w:r>
    </w:p>
    <w:p w14:paraId="4FB3AFF5" w14:textId="77777777" w:rsidR="00030E81" w:rsidRPr="00B4515A" w:rsidRDefault="00030E81" w:rsidP="005860B4">
      <w:pPr>
        <w:pStyle w:val="005"/>
        <w:spacing w:before="120" w:after="120"/>
        <w:ind w:firstLine="480"/>
        <w:rPr>
          <w:rFonts w:eastAsiaTheme="majorEastAsia"/>
        </w:rPr>
      </w:pPr>
      <w:r w:rsidRPr="00B4515A">
        <w:rPr>
          <w:rFonts w:eastAsiaTheme="majorEastAsia" w:hint="eastAsia"/>
        </w:rPr>
        <w:t>根据立信会计事务所（特殊普通合伙）出具的《大唐电信科技股份有限公司</w:t>
      </w:r>
      <w:r w:rsidRPr="00B4515A">
        <w:rPr>
          <w:rFonts w:eastAsiaTheme="majorEastAsia"/>
        </w:rPr>
        <w:t>2020</w:t>
      </w:r>
      <w:r w:rsidRPr="00B4515A">
        <w:rPr>
          <w:rFonts w:eastAsiaTheme="majorEastAsia" w:hint="eastAsia"/>
        </w:rPr>
        <w:t>审计报告》（信会师报字</w:t>
      </w:r>
      <w:r w:rsidRPr="00B4515A">
        <w:rPr>
          <w:rFonts w:eastAsiaTheme="majorEastAsia"/>
        </w:rPr>
        <w:t>[2021]</w:t>
      </w:r>
      <w:r w:rsidRPr="00B4515A">
        <w:rPr>
          <w:rFonts w:eastAsiaTheme="majorEastAsia" w:hint="eastAsia"/>
        </w:rPr>
        <w:t>第</w:t>
      </w:r>
      <w:r w:rsidRPr="00B4515A">
        <w:rPr>
          <w:rFonts w:eastAsiaTheme="majorEastAsia"/>
        </w:rPr>
        <w:t>ZG11031</w:t>
      </w:r>
      <w:r w:rsidRPr="00B4515A">
        <w:rPr>
          <w:rFonts w:eastAsiaTheme="majorEastAsia" w:hint="eastAsia"/>
        </w:rPr>
        <w:t>号）及按本次交易完成后架构编制的《大唐电信科技股份有限公司备考合并财务报表审阅报告》（信会师报字</w:t>
      </w:r>
      <w:r w:rsidRPr="00B4515A">
        <w:rPr>
          <w:rFonts w:eastAsiaTheme="majorEastAsia"/>
        </w:rPr>
        <w:t>[2021]</w:t>
      </w:r>
      <w:r w:rsidRPr="00B4515A">
        <w:rPr>
          <w:rFonts w:eastAsiaTheme="majorEastAsia" w:hint="eastAsia"/>
        </w:rPr>
        <w:t>第</w:t>
      </w:r>
      <w:r w:rsidRPr="00B4515A">
        <w:rPr>
          <w:rFonts w:eastAsiaTheme="majorEastAsia"/>
        </w:rPr>
        <w:t>ZG11653</w:t>
      </w:r>
      <w:r w:rsidRPr="00B4515A">
        <w:rPr>
          <w:rFonts w:eastAsiaTheme="majorEastAsia" w:hint="eastAsia"/>
        </w:rPr>
        <w:t>号），本次交易前后，上市公司关联交易的变化情况如下：</w:t>
      </w:r>
    </w:p>
    <w:p w14:paraId="3B722724" w14:textId="120BF0B1" w:rsidR="00030E81" w:rsidRPr="00B4515A" w:rsidRDefault="00D44516" w:rsidP="00EE238F">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635"/>
        <w:gridCol w:w="2836"/>
        <w:gridCol w:w="2057"/>
      </w:tblGrid>
      <w:tr w:rsidR="00030E81" w:rsidRPr="00B4515A" w14:paraId="678E77BD" w14:textId="77777777" w:rsidTr="00EE238F">
        <w:trPr>
          <w:trHeight w:val="340"/>
          <w:jc w:val="center"/>
        </w:trPr>
        <w:tc>
          <w:tcPr>
            <w:tcW w:w="2131" w:type="pct"/>
            <w:vMerge w:val="restart"/>
            <w:shd w:val="clear" w:color="auto" w:fill="auto"/>
            <w:tcMar>
              <w:top w:w="0" w:type="dxa"/>
              <w:left w:w="108" w:type="dxa"/>
              <w:bottom w:w="0" w:type="dxa"/>
              <w:right w:w="108" w:type="dxa"/>
            </w:tcMar>
            <w:vAlign w:val="center"/>
          </w:tcPr>
          <w:p w14:paraId="25546174" w14:textId="77777777" w:rsidR="00030E81" w:rsidRPr="00B4515A" w:rsidRDefault="00030E81" w:rsidP="005860B4">
            <w:pPr>
              <w:keepNext/>
              <w:adjustRightInd w:val="0"/>
              <w:snapToGrid w:val="0"/>
              <w:jc w:val="center"/>
              <w:rPr>
                <w:b/>
                <w:bCs/>
                <w:color w:val="000000"/>
                <w:sz w:val="21"/>
                <w:szCs w:val="21"/>
              </w:rPr>
            </w:pPr>
            <w:r w:rsidRPr="00B4515A">
              <w:rPr>
                <w:rFonts w:hint="eastAsia"/>
                <w:b/>
                <w:bCs/>
                <w:color w:val="000000"/>
                <w:sz w:val="21"/>
                <w:szCs w:val="21"/>
              </w:rPr>
              <w:t>项目</w:t>
            </w:r>
          </w:p>
        </w:tc>
        <w:tc>
          <w:tcPr>
            <w:tcW w:w="2869" w:type="pct"/>
            <w:gridSpan w:val="2"/>
            <w:shd w:val="clear" w:color="auto" w:fill="auto"/>
            <w:tcMar>
              <w:top w:w="0" w:type="dxa"/>
              <w:left w:w="108" w:type="dxa"/>
              <w:bottom w:w="0" w:type="dxa"/>
              <w:right w:w="108" w:type="dxa"/>
            </w:tcMar>
            <w:vAlign w:val="center"/>
          </w:tcPr>
          <w:p w14:paraId="312B5CA8" w14:textId="77777777" w:rsidR="00030E81" w:rsidRPr="00B4515A" w:rsidRDefault="00030E81" w:rsidP="005860B4">
            <w:pPr>
              <w:keepNext/>
              <w:adjustRightInd w:val="0"/>
              <w:snapToGrid w:val="0"/>
              <w:jc w:val="center"/>
              <w:rPr>
                <w:b/>
                <w:bCs/>
                <w:color w:val="000000"/>
                <w:sz w:val="21"/>
                <w:szCs w:val="21"/>
              </w:rPr>
            </w:pPr>
            <w:r w:rsidRPr="00B4515A">
              <w:rPr>
                <w:rFonts w:ascii="Times New Roman" w:hAnsi="Times New Roman" w:cs="Times New Roman"/>
                <w:b/>
                <w:bCs/>
                <w:color w:val="000000"/>
                <w:sz w:val="21"/>
                <w:szCs w:val="21"/>
              </w:rPr>
              <w:t>2020</w:t>
            </w:r>
            <w:r w:rsidRPr="00B4515A">
              <w:rPr>
                <w:rFonts w:hint="eastAsia"/>
                <w:b/>
                <w:bCs/>
                <w:color w:val="000000"/>
                <w:sz w:val="21"/>
                <w:szCs w:val="21"/>
              </w:rPr>
              <w:t>年度</w:t>
            </w:r>
          </w:p>
        </w:tc>
      </w:tr>
      <w:tr w:rsidR="00030E81" w:rsidRPr="00B4515A" w14:paraId="5E0E7EBD" w14:textId="77777777" w:rsidTr="00EE238F">
        <w:trPr>
          <w:trHeight w:val="340"/>
          <w:jc w:val="center"/>
        </w:trPr>
        <w:tc>
          <w:tcPr>
            <w:tcW w:w="2131" w:type="pct"/>
            <w:vMerge/>
            <w:shd w:val="clear" w:color="auto" w:fill="auto"/>
            <w:tcMar>
              <w:top w:w="0" w:type="dxa"/>
              <w:left w:w="108" w:type="dxa"/>
              <w:bottom w:w="0" w:type="dxa"/>
              <w:right w:w="108" w:type="dxa"/>
            </w:tcMar>
            <w:vAlign w:val="center"/>
          </w:tcPr>
          <w:p w14:paraId="5F947E47" w14:textId="77777777" w:rsidR="00030E81" w:rsidRPr="00B4515A" w:rsidRDefault="00030E81" w:rsidP="00EE238F">
            <w:pPr>
              <w:adjustRightInd w:val="0"/>
              <w:snapToGrid w:val="0"/>
              <w:jc w:val="center"/>
              <w:rPr>
                <w:b/>
                <w:bCs/>
                <w:color w:val="000000"/>
                <w:sz w:val="21"/>
                <w:szCs w:val="21"/>
              </w:rPr>
            </w:pPr>
          </w:p>
        </w:tc>
        <w:tc>
          <w:tcPr>
            <w:tcW w:w="1663" w:type="pct"/>
            <w:shd w:val="clear" w:color="auto" w:fill="auto"/>
            <w:tcMar>
              <w:top w:w="0" w:type="dxa"/>
              <w:left w:w="108" w:type="dxa"/>
              <w:bottom w:w="0" w:type="dxa"/>
              <w:right w:w="108" w:type="dxa"/>
            </w:tcMar>
            <w:vAlign w:val="center"/>
          </w:tcPr>
          <w:p w14:paraId="5EBD43DB" w14:textId="77777777" w:rsidR="00030E81" w:rsidRPr="00B4515A" w:rsidRDefault="00030E81" w:rsidP="005860B4">
            <w:pPr>
              <w:adjustRightInd w:val="0"/>
              <w:snapToGrid w:val="0"/>
              <w:jc w:val="center"/>
              <w:rPr>
                <w:b/>
                <w:bCs/>
                <w:color w:val="000000"/>
                <w:sz w:val="21"/>
                <w:szCs w:val="21"/>
              </w:rPr>
            </w:pPr>
            <w:r w:rsidRPr="00B4515A">
              <w:rPr>
                <w:rFonts w:hint="eastAsia"/>
                <w:b/>
                <w:bCs/>
                <w:color w:val="000000"/>
                <w:sz w:val="21"/>
                <w:szCs w:val="21"/>
              </w:rPr>
              <w:t>交易前</w:t>
            </w:r>
          </w:p>
        </w:tc>
        <w:tc>
          <w:tcPr>
            <w:tcW w:w="1206" w:type="pct"/>
            <w:shd w:val="clear" w:color="auto" w:fill="auto"/>
            <w:tcMar>
              <w:top w:w="0" w:type="dxa"/>
              <w:left w:w="108" w:type="dxa"/>
              <w:bottom w:w="0" w:type="dxa"/>
              <w:right w:w="108" w:type="dxa"/>
            </w:tcMar>
            <w:vAlign w:val="center"/>
          </w:tcPr>
          <w:p w14:paraId="1DE10F23" w14:textId="77777777" w:rsidR="00030E81" w:rsidRPr="00B4515A" w:rsidRDefault="00030E81" w:rsidP="00EE238F">
            <w:pPr>
              <w:adjustRightInd w:val="0"/>
              <w:snapToGrid w:val="0"/>
              <w:jc w:val="center"/>
              <w:rPr>
                <w:b/>
                <w:bCs/>
                <w:color w:val="000000"/>
                <w:sz w:val="21"/>
                <w:szCs w:val="21"/>
              </w:rPr>
            </w:pPr>
            <w:r w:rsidRPr="00B4515A">
              <w:rPr>
                <w:rFonts w:hint="eastAsia"/>
                <w:b/>
                <w:bCs/>
                <w:color w:val="000000"/>
                <w:sz w:val="21"/>
                <w:szCs w:val="21"/>
              </w:rPr>
              <w:t>交易后</w:t>
            </w:r>
          </w:p>
        </w:tc>
      </w:tr>
      <w:tr w:rsidR="00030E81" w:rsidRPr="00B4515A" w14:paraId="5FB04345" w14:textId="77777777" w:rsidTr="00031627">
        <w:trPr>
          <w:trHeight w:val="340"/>
          <w:jc w:val="center"/>
        </w:trPr>
        <w:tc>
          <w:tcPr>
            <w:tcW w:w="2131" w:type="pct"/>
            <w:shd w:val="clear" w:color="auto" w:fill="auto"/>
            <w:tcMar>
              <w:top w:w="0" w:type="dxa"/>
              <w:left w:w="108" w:type="dxa"/>
              <w:bottom w:w="0" w:type="dxa"/>
              <w:right w:w="108" w:type="dxa"/>
            </w:tcMar>
            <w:vAlign w:val="center"/>
          </w:tcPr>
          <w:p w14:paraId="6D210E5F" w14:textId="77777777" w:rsidR="00030E81" w:rsidRPr="00B4515A" w:rsidRDefault="00030E81" w:rsidP="005860B4">
            <w:pPr>
              <w:adjustRightInd w:val="0"/>
              <w:snapToGrid w:val="0"/>
              <w:jc w:val="center"/>
              <w:rPr>
                <w:color w:val="000000"/>
                <w:sz w:val="21"/>
                <w:szCs w:val="21"/>
              </w:rPr>
            </w:pPr>
            <w:r w:rsidRPr="00B4515A">
              <w:rPr>
                <w:rFonts w:hint="eastAsia"/>
                <w:color w:val="000000"/>
                <w:sz w:val="21"/>
                <w:szCs w:val="21"/>
              </w:rPr>
              <w:t>销售商品、提供劳务</w:t>
            </w:r>
          </w:p>
        </w:tc>
        <w:tc>
          <w:tcPr>
            <w:tcW w:w="1663" w:type="pct"/>
            <w:shd w:val="clear" w:color="auto" w:fill="auto"/>
            <w:tcMar>
              <w:top w:w="0" w:type="dxa"/>
              <w:left w:w="108" w:type="dxa"/>
              <w:bottom w:w="0" w:type="dxa"/>
              <w:right w:w="108" w:type="dxa"/>
            </w:tcMar>
            <w:vAlign w:val="center"/>
          </w:tcPr>
          <w:p w14:paraId="28313A10" w14:textId="47A8C775" w:rsidR="00030E81" w:rsidRPr="00B4515A" w:rsidRDefault="00030E8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22,310.33</w:t>
            </w:r>
          </w:p>
        </w:tc>
        <w:tc>
          <w:tcPr>
            <w:tcW w:w="1206" w:type="pct"/>
            <w:shd w:val="clear" w:color="auto" w:fill="auto"/>
            <w:tcMar>
              <w:top w:w="0" w:type="dxa"/>
              <w:left w:w="108" w:type="dxa"/>
              <w:bottom w:w="0" w:type="dxa"/>
              <w:right w:w="108" w:type="dxa"/>
            </w:tcMar>
            <w:vAlign w:val="center"/>
          </w:tcPr>
          <w:p w14:paraId="038D52DB" w14:textId="4D3ED03D" w:rsidR="00030E81" w:rsidRPr="00B4515A" w:rsidRDefault="00030E8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14,472.72</w:t>
            </w:r>
          </w:p>
        </w:tc>
      </w:tr>
      <w:tr w:rsidR="00030E81" w:rsidRPr="00B4515A" w14:paraId="5C0D5F1D" w14:textId="77777777" w:rsidTr="00031627">
        <w:trPr>
          <w:trHeight w:val="340"/>
          <w:jc w:val="center"/>
        </w:trPr>
        <w:tc>
          <w:tcPr>
            <w:tcW w:w="2131" w:type="pct"/>
            <w:shd w:val="clear" w:color="auto" w:fill="auto"/>
            <w:tcMar>
              <w:top w:w="0" w:type="dxa"/>
              <w:left w:w="108" w:type="dxa"/>
              <w:bottom w:w="0" w:type="dxa"/>
              <w:right w:w="108" w:type="dxa"/>
            </w:tcMar>
            <w:vAlign w:val="center"/>
          </w:tcPr>
          <w:p w14:paraId="08119240" w14:textId="77777777" w:rsidR="00030E81" w:rsidRPr="00B4515A" w:rsidRDefault="00030E81" w:rsidP="005860B4">
            <w:pPr>
              <w:adjustRightInd w:val="0"/>
              <w:snapToGrid w:val="0"/>
              <w:jc w:val="center"/>
              <w:rPr>
                <w:color w:val="000000"/>
                <w:sz w:val="21"/>
                <w:szCs w:val="21"/>
              </w:rPr>
            </w:pPr>
            <w:r w:rsidRPr="00B4515A">
              <w:rPr>
                <w:rFonts w:hint="eastAsia"/>
                <w:color w:val="000000"/>
                <w:sz w:val="21"/>
                <w:szCs w:val="21"/>
              </w:rPr>
              <w:t>占营业收入比例</w:t>
            </w:r>
          </w:p>
        </w:tc>
        <w:tc>
          <w:tcPr>
            <w:tcW w:w="1663" w:type="pct"/>
            <w:shd w:val="clear" w:color="auto" w:fill="auto"/>
            <w:tcMar>
              <w:top w:w="0" w:type="dxa"/>
              <w:left w:w="108" w:type="dxa"/>
              <w:bottom w:w="0" w:type="dxa"/>
              <w:right w:w="108" w:type="dxa"/>
            </w:tcMar>
            <w:vAlign w:val="center"/>
          </w:tcPr>
          <w:p w14:paraId="25244F1C" w14:textId="77777777" w:rsidR="00030E81" w:rsidRPr="00B4515A" w:rsidRDefault="00030E8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18.48%</w:t>
            </w:r>
          </w:p>
        </w:tc>
        <w:tc>
          <w:tcPr>
            <w:tcW w:w="1206" w:type="pct"/>
            <w:shd w:val="clear" w:color="auto" w:fill="auto"/>
            <w:tcMar>
              <w:top w:w="0" w:type="dxa"/>
              <w:left w:w="108" w:type="dxa"/>
              <w:bottom w:w="0" w:type="dxa"/>
              <w:right w:w="108" w:type="dxa"/>
            </w:tcMar>
            <w:vAlign w:val="center"/>
          </w:tcPr>
          <w:p w14:paraId="7CFB9EF0" w14:textId="77777777" w:rsidR="00030E81" w:rsidRPr="00B4515A" w:rsidRDefault="00030E8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8.90%</w:t>
            </w:r>
          </w:p>
        </w:tc>
      </w:tr>
      <w:tr w:rsidR="00DF6C53" w:rsidRPr="00B4515A" w14:paraId="055CC33C" w14:textId="77777777" w:rsidTr="00031627">
        <w:trPr>
          <w:trHeight w:val="340"/>
          <w:jc w:val="center"/>
        </w:trPr>
        <w:tc>
          <w:tcPr>
            <w:tcW w:w="2131" w:type="pct"/>
            <w:shd w:val="clear" w:color="auto" w:fill="auto"/>
            <w:tcMar>
              <w:top w:w="0" w:type="dxa"/>
              <w:left w:w="108" w:type="dxa"/>
              <w:bottom w:w="0" w:type="dxa"/>
              <w:right w:w="108" w:type="dxa"/>
            </w:tcMar>
            <w:vAlign w:val="center"/>
          </w:tcPr>
          <w:p w14:paraId="0806B42E" w14:textId="77777777" w:rsidR="00DF6C53" w:rsidRPr="00B4515A" w:rsidRDefault="00DF6C53" w:rsidP="00DF6C53">
            <w:pPr>
              <w:adjustRightInd w:val="0"/>
              <w:snapToGrid w:val="0"/>
              <w:jc w:val="center"/>
              <w:rPr>
                <w:color w:val="000000"/>
                <w:sz w:val="21"/>
                <w:szCs w:val="21"/>
              </w:rPr>
            </w:pPr>
            <w:r w:rsidRPr="00B4515A">
              <w:rPr>
                <w:rFonts w:hint="eastAsia"/>
                <w:color w:val="000000"/>
                <w:sz w:val="21"/>
                <w:szCs w:val="21"/>
              </w:rPr>
              <w:t>购买商品、接受劳务</w:t>
            </w:r>
          </w:p>
        </w:tc>
        <w:tc>
          <w:tcPr>
            <w:tcW w:w="1663" w:type="pct"/>
            <w:shd w:val="clear" w:color="auto" w:fill="auto"/>
            <w:tcMar>
              <w:top w:w="0" w:type="dxa"/>
              <w:left w:w="108" w:type="dxa"/>
              <w:bottom w:w="0" w:type="dxa"/>
              <w:right w:w="108" w:type="dxa"/>
            </w:tcMar>
            <w:vAlign w:val="center"/>
          </w:tcPr>
          <w:p w14:paraId="043AF79F" w14:textId="6B350C74" w:rsidR="00DF6C53" w:rsidRPr="00B4515A" w:rsidRDefault="00DF6C53" w:rsidP="00DF6C53">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10,054.55</w:t>
            </w:r>
          </w:p>
        </w:tc>
        <w:tc>
          <w:tcPr>
            <w:tcW w:w="1206" w:type="pct"/>
            <w:shd w:val="clear" w:color="auto" w:fill="auto"/>
            <w:tcMar>
              <w:top w:w="0" w:type="dxa"/>
              <w:left w:w="108" w:type="dxa"/>
              <w:bottom w:w="0" w:type="dxa"/>
              <w:right w:w="108" w:type="dxa"/>
            </w:tcMar>
            <w:vAlign w:val="center"/>
          </w:tcPr>
          <w:p w14:paraId="653A36FF" w14:textId="0737E52C" w:rsidR="00DF6C53" w:rsidRPr="00B4515A" w:rsidRDefault="00DF6C53" w:rsidP="00DF6C53">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8,967.53</w:t>
            </w:r>
          </w:p>
        </w:tc>
      </w:tr>
      <w:tr w:rsidR="00DF6C53" w:rsidRPr="00B4515A" w14:paraId="737ADF82" w14:textId="77777777" w:rsidTr="00031627">
        <w:trPr>
          <w:trHeight w:val="340"/>
          <w:jc w:val="center"/>
        </w:trPr>
        <w:tc>
          <w:tcPr>
            <w:tcW w:w="2131" w:type="pct"/>
            <w:shd w:val="clear" w:color="auto" w:fill="auto"/>
            <w:tcMar>
              <w:top w:w="0" w:type="dxa"/>
              <w:left w:w="108" w:type="dxa"/>
              <w:bottom w:w="0" w:type="dxa"/>
              <w:right w:w="108" w:type="dxa"/>
            </w:tcMar>
            <w:vAlign w:val="center"/>
          </w:tcPr>
          <w:p w14:paraId="52BA8C2B" w14:textId="77777777" w:rsidR="00DF6C53" w:rsidRPr="00B4515A" w:rsidRDefault="00DF6C53" w:rsidP="00DF6C53">
            <w:pPr>
              <w:adjustRightInd w:val="0"/>
              <w:snapToGrid w:val="0"/>
              <w:jc w:val="center"/>
              <w:rPr>
                <w:color w:val="000000"/>
                <w:sz w:val="21"/>
                <w:szCs w:val="21"/>
              </w:rPr>
            </w:pPr>
            <w:r w:rsidRPr="00B4515A">
              <w:rPr>
                <w:rFonts w:hint="eastAsia"/>
                <w:color w:val="000000"/>
                <w:sz w:val="21"/>
                <w:szCs w:val="21"/>
              </w:rPr>
              <w:t>占营业成本比例</w:t>
            </w:r>
          </w:p>
        </w:tc>
        <w:tc>
          <w:tcPr>
            <w:tcW w:w="1663" w:type="pct"/>
            <w:shd w:val="clear" w:color="auto" w:fill="auto"/>
            <w:tcMar>
              <w:top w:w="0" w:type="dxa"/>
              <w:left w:w="108" w:type="dxa"/>
              <w:bottom w:w="0" w:type="dxa"/>
              <w:right w:w="108" w:type="dxa"/>
            </w:tcMar>
            <w:vAlign w:val="center"/>
          </w:tcPr>
          <w:p w14:paraId="59A03060" w14:textId="77777777" w:rsidR="00DF6C53" w:rsidRPr="00B4515A" w:rsidRDefault="00DF6C53" w:rsidP="00DF6C53">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12.26%</w:t>
            </w:r>
          </w:p>
        </w:tc>
        <w:tc>
          <w:tcPr>
            <w:tcW w:w="1206" w:type="pct"/>
            <w:shd w:val="clear" w:color="auto" w:fill="auto"/>
            <w:tcMar>
              <w:top w:w="0" w:type="dxa"/>
              <w:left w:w="108" w:type="dxa"/>
              <w:bottom w:w="0" w:type="dxa"/>
              <w:right w:w="108" w:type="dxa"/>
            </w:tcMar>
            <w:vAlign w:val="center"/>
          </w:tcPr>
          <w:p w14:paraId="716CBC26" w14:textId="065F889A" w:rsidR="00DF6C53" w:rsidRPr="00B4515A" w:rsidRDefault="00DF6C53" w:rsidP="00DF6C53">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9.26%</w:t>
            </w:r>
          </w:p>
        </w:tc>
      </w:tr>
    </w:tbl>
    <w:p w14:paraId="58F1CF89" w14:textId="0A791D06" w:rsidR="00030E81" w:rsidRPr="00B4515A" w:rsidRDefault="00030E81" w:rsidP="005860B4">
      <w:pPr>
        <w:pStyle w:val="005"/>
        <w:spacing w:before="120" w:after="120"/>
        <w:ind w:firstLine="480"/>
      </w:pPr>
      <w:r w:rsidRPr="00B4515A">
        <w:rPr>
          <w:rFonts w:hint="eastAsia"/>
        </w:rPr>
        <w:t>根据上表，本次交易完成后，上市公司关联交易规模及占比均有所下降，本次交易有利于上市公司减少关联交易。</w:t>
      </w:r>
    </w:p>
    <w:p w14:paraId="604FB31E" w14:textId="77777777" w:rsidR="006416B0" w:rsidRPr="00B4515A" w:rsidRDefault="005E58C1" w:rsidP="005860B4">
      <w:pPr>
        <w:pStyle w:val="002"/>
        <w:spacing w:before="120" w:after="120"/>
        <w:ind w:firstLine="562"/>
      </w:pPr>
      <w:bookmarkStart w:id="85" w:name="_Toc80960508"/>
      <w:bookmarkEnd w:id="84"/>
      <w:r w:rsidRPr="00B4515A">
        <w:rPr>
          <w:rFonts w:hint="eastAsia"/>
        </w:rPr>
        <w:t>六、本次交易的必要性</w:t>
      </w:r>
      <w:bookmarkEnd w:id="85"/>
    </w:p>
    <w:p w14:paraId="6C977025" w14:textId="77777777" w:rsidR="006416B0" w:rsidRPr="00B4515A" w:rsidRDefault="005E58C1" w:rsidP="005860B4">
      <w:pPr>
        <w:pStyle w:val="004"/>
        <w:spacing w:before="120" w:after="120"/>
        <w:ind w:firstLine="482"/>
      </w:pPr>
      <w:bookmarkStart w:id="86" w:name="_Hlk73521296"/>
      <w:bookmarkStart w:id="87" w:name="_Hlk76923332"/>
      <w:r w:rsidRPr="00B4515A">
        <w:t>1</w:t>
      </w:r>
      <w:r w:rsidRPr="00B4515A">
        <w:t>、与现有业务形成协同，优化主营业务结构</w:t>
      </w:r>
    </w:p>
    <w:p w14:paraId="08B62B03" w14:textId="77777777" w:rsidR="006416B0" w:rsidRPr="00B4515A" w:rsidRDefault="005E58C1" w:rsidP="005860B4">
      <w:pPr>
        <w:pStyle w:val="005"/>
        <w:spacing w:before="120" w:after="120"/>
        <w:ind w:firstLine="480"/>
      </w:pPr>
      <w:r w:rsidRPr="00B4515A">
        <w:t>本次交易前，上市公司重点布局安全芯片业务和信息通信安全业务。本次交易完成后，上市公司业务将增加专用移动通信、专用宽带电台和宽带移动安全应用等。相关业务与上市公司现有业务形成协同优势，助力上市公司拓展特种通信市场，形成</w:t>
      </w:r>
      <w:r w:rsidRPr="00B4515A">
        <w:rPr>
          <w:rFonts w:ascii="宋体" w:hAnsi="宋体"/>
        </w:rPr>
        <w:t>“</w:t>
      </w:r>
      <w:r w:rsidRPr="00B4515A">
        <w:t>安全芯片</w:t>
      </w:r>
      <w:r w:rsidRPr="00B4515A">
        <w:t>+</w:t>
      </w:r>
      <w:bookmarkStart w:id="88" w:name="_Hlk79158883"/>
      <w:r w:rsidRPr="00B4515A">
        <w:t>特种通信</w:t>
      </w:r>
      <w:bookmarkEnd w:id="88"/>
      <w:r w:rsidRPr="00B4515A">
        <w:rPr>
          <w:rFonts w:ascii="宋体" w:hAnsi="宋体"/>
        </w:rPr>
        <w:t>”</w:t>
      </w:r>
      <w:r w:rsidRPr="00B4515A">
        <w:t>的整体产业布局，持续优化主营业务结构。</w:t>
      </w:r>
    </w:p>
    <w:p w14:paraId="4F9CD766" w14:textId="77777777" w:rsidR="006416B0" w:rsidRPr="00B4515A" w:rsidRDefault="005E58C1" w:rsidP="005860B4">
      <w:pPr>
        <w:pStyle w:val="004"/>
        <w:spacing w:before="120" w:after="120"/>
        <w:ind w:firstLine="482"/>
      </w:pPr>
      <w:r w:rsidRPr="00B4515A">
        <w:t>2</w:t>
      </w:r>
      <w:r w:rsidRPr="00B4515A">
        <w:t>、培育新的业务增长点，提高公司盈利能力</w:t>
      </w:r>
    </w:p>
    <w:p w14:paraId="4F003E91" w14:textId="77777777" w:rsidR="006416B0" w:rsidRPr="00B4515A" w:rsidRDefault="005E58C1" w:rsidP="005860B4">
      <w:pPr>
        <w:pStyle w:val="005"/>
        <w:spacing w:before="120" w:after="120"/>
        <w:ind w:firstLine="480"/>
      </w:pPr>
      <w:r w:rsidRPr="00B4515A">
        <w:t>本次交易将为上市公司开拓新的业务增长点，公司将向特种通信领域布局。本次交易完成后，大唐联诚将成为上市公司的子公司，纳入上市公司合并报表范围，有利于优化上市公司的收入结构，扩大上市公司的资产规模、收入和利润规模，增强上市公司的盈利能力。</w:t>
      </w:r>
    </w:p>
    <w:p w14:paraId="576D2AB3" w14:textId="77777777" w:rsidR="006416B0" w:rsidRPr="00B4515A" w:rsidRDefault="005E58C1" w:rsidP="005860B4">
      <w:pPr>
        <w:pStyle w:val="004"/>
        <w:spacing w:before="120" w:after="120"/>
        <w:ind w:firstLine="482"/>
      </w:pPr>
      <w:r w:rsidRPr="00B4515A">
        <w:t>3</w:t>
      </w:r>
      <w:r w:rsidRPr="00B4515A">
        <w:t>、缓解现有业务增长压力</w:t>
      </w:r>
    </w:p>
    <w:p w14:paraId="120BEFB2" w14:textId="77777777" w:rsidR="006416B0" w:rsidRPr="00B4515A" w:rsidRDefault="005E58C1" w:rsidP="005860B4">
      <w:pPr>
        <w:pStyle w:val="005"/>
        <w:spacing w:before="120" w:after="120"/>
        <w:ind w:firstLine="480"/>
      </w:pPr>
      <w:r w:rsidRPr="00B4515A">
        <w:t>在经济环境复杂和市场竞争激烈的背景下，上市公司现有主营业务增长压力较大。通过本次交易，上市公司聚焦安全芯片、特种通信两大产业，继续发挥安全芯片核心技术和产业优势，大力发展特种通信业务，打造面向特殊领域的富有</w:t>
      </w:r>
      <w:r w:rsidRPr="00B4515A">
        <w:lastRenderedPageBreak/>
        <w:t>竞争力的整体通信解决方案，形成</w:t>
      </w:r>
      <w:r w:rsidRPr="00B4515A">
        <w:rPr>
          <w:rFonts w:ascii="宋体" w:hAnsi="宋体"/>
        </w:rPr>
        <w:t>“</w:t>
      </w:r>
      <w:r w:rsidRPr="00B4515A">
        <w:t>安全芯片</w:t>
      </w:r>
      <w:r w:rsidRPr="00B4515A">
        <w:t>+</w:t>
      </w:r>
      <w:r w:rsidRPr="00B4515A">
        <w:t>特种通信</w:t>
      </w:r>
      <w:r w:rsidRPr="00B4515A">
        <w:rPr>
          <w:rFonts w:ascii="宋体" w:hAnsi="宋体"/>
        </w:rPr>
        <w:t>”</w:t>
      </w:r>
      <w:r w:rsidRPr="00B4515A">
        <w:t>的整体产业布局。本次交易有利于缓解现有主营业务增长压力，增强上市公司的持续盈利能力和发展潜力。</w:t>
      </w:r>
    </w:p>
    <w:p w14:paraId="6EF72AE5" w14:textId="77777777" w:rsidR="006416B0" w:rsidRPr="00B4515A" w:rsidRDefault="005E58C1" w:rsidP="005860B4">
      <w:pPr>
        <w:pStyle w:val="004"/>
        <w:spacing w:before="120" w:after="120"/>
        <w:ind w:firstLine="482"/>
      </w:pPr>
      <w:r w:rsidRPr="00B4515A">
        <w:t>4</w:t>
      </w:r>
      <w:r w:rsidRPr="00B4515A">
        <w:t>、上市公司制定了</w:t>
      </w:r>
      <w:r w:rsidRPr="00B4515A">
        <w:rPr>
          <w:rFonts w:ascii="宋体" w:hAnsi="宋体"/>
        </w:rPr>
        <w:t>“</w:t>
      </w:r>
      <w:r w:rsidRPr="00B4515A">
        <w:t>安全芯片</w:t>
      </w:r>
      <w:r w:rsidRPr="00B4515A">
        <w:t>+</w:t>
      </w:r>
      <w:r w:rsidRPr="00B4515A">
        <w:t>特种通信</w:t>
      </w:r>
      <w:r w:rsidRPr="00B4515A">
        <w:rPr>
          <w:rFonts w:ascii="宋体" w:hAnsi="宋体"/>
        </w:rPr>
        <w:t>”</w:t>
      </w:r>
      <w:r w:rsidRPr="00B4515A">
        <w:t>的未来发展战略及经营计划</w:t>
      </w:r>
    </w:p>
    <w:p w14:paraId="1B358BFA" w14:textId="77777777" w:rsidR="006416B0" w:rsidRPr="00B4515A" w:rsidRDefault="005E58C1" w:rsidP="005860B4">
      <w:pPr>
        <w:pStyle w:val="005"/>
        <w:spacing w:before="120" w:after="120"/>
        <w:ind w:firstLine="480"/>
      </w:pPr>
      <w:r w:rsidRPr="00B4515A">
        <w:t>（</w:t>
      </w:r>
      <w:r w:rsidRPr="00B4515A">
        <w:t>1</w:t>
      </w:r>
      <w:r w:rsidRPr="00B4515A">
        <w:t>）未来发展战略</w:t>
      </w:r>
    </w:p>
    <w:p w14:paraId="7047C82A" w14:textId="77777777" w:rsidR="006416B0" w:rsidRPr="00B4515A" w:rsidRDefault="005E58C1" w:rsidP="005860B4">
      <w:pPr>
        <w:pStyle w:val="005"/>
        <w:spacing w:before="120" w:after="120"/>
        <w:ind w:firstLine="480"/>
      </w:pPr>
      <w:r w:rsidRPr="00B4515A">
        <w:t>公司未来将聚焦安全芯片、特种通信两大产业，继续发挥安全芯片核心技术和产业优势，大力发展特种通信业务，打造面向特殊领域的富有竞争力的整体通信解决方案，形成</w:t>
      </w:r>
      <w:r w:rsidRPr="00B4515A">
        <w:rPr>
          <w:rFonts w:ascii="宋体" w:hAnsi="宋体"/>
        </w:rPr>
        <w:t>“</w:t>
      </w:r>
      <w:r w:rsidRPr="00B4515A">
        <w:t>安全芯片</w:t>
      </w:r>
      <w:r w:rsidRPr="00B4515A">
        <w:t>+</w:t>
      </w:r>
      <w:r w:rsidRPr="00B4515A">
        <w:t>特种通信</w:t>
      </w:r>
      <w:r w:rsidRPr="00B4515A">
        <w:rPr>
          <w:rFonts w:ascii="宋体" w:hAnsi="宋体"/>
        </w:rPr>
        <w:t>”</w:t>
      </w:r>
      <w:r w:rsidRPr="00B4515A">
        <w:t>的整体产业布局。</w:t>
      </w:r>
    </w:p>
    <w:p w14:paraId="0CD6E501" w14:textId="77777777" w:rsidR="006416B0" w:rsidRPr="00B4515A" w:rsidRDefault="005E58C1" w:rsidP="005860B4">
      <w:pPr>
        <w:pStyle w:val="005"/>
        <w:spacing w:before="120" w:after="120"/>
        <w:ind w:firstLine="480"/>
      </w:pPr>
      <w:r w:rsidRPr="00B4515A">
        <w:t>（</w:t>
      </w:r>
      <w:r w:rsidRPr="00B4515A">
        <w:t>2</w:t>
      </w:r>
      <w:r w:rsidRPr="00B4515A">
        <w:t>）未来经营计划</w:t>
      </w:r>
    </w:p>
    <w:p w14:paraId="2B1C00A6" w14:textId="77777777" w:rsidR="006416B0" w:rsidRPr="00B4515A" w:rsidRDefault="005E58C1" w:rsidP="005860B4">
      <w:pPr>
        <w:pStyle w:val="005"/>
        <w:spacing w:before="120" w:after="120"/>
        <w:ind w:firstLine="480"/>
      </w:pPr>
      <w:r w:rsidRPr="00B4515A">
        <w:t>公司以</w:t>
      </w:r>
      <w:r w:rsidRPr="00B4515A">
        <w:rPr>
          <w:rFonts w:ascii="宋体" w:hAnsi="宋体"/>
        </w:rPr>
        <w:t>“</w:t>
      </w:r>
      <w:r w:rsidRPr="00B4515A">
        <w:t>安全芯片</w:t>
      </w:r>
      <w:r w:rsidRPr="00B4515A">
        <w:t>+</w:t>
      </w:r>
      <w:r w:rsidRPr="00B4515A">
        <w:t>特种通信</w:t>
      </w:r>
      <w:r w:rsidRPr="00B4515A">
        <w:rPr>
          <w:rFonts w:ascii="宋体" w:hAnsi="宋体"/>
        </w:rPr>
        <w:t>”</w:t>
      </w:r>
      <w:r w:rsidRPr="00B4515A">
        <w:t>战略为指引，以守护国家信息通信安全为使命，持续深耕安全芯片、特种通信业务，培育创新能力和市场竞争力。</w:t>
      </w:r>
    </w:p>
    <w:p w14:paraId="6C51BD5D" w14:textId="77777777" w:rsidR="006416B0" w:rsidRPr="00B4515A" w:rsidRDefault="005E58C1" w:rsidP="005860B4">
      <w:pPr>
        <w:pStyle w:val="005"/>
        <w:spacing w:before="120" w:after="120"/>
        <w:ind w:firstLine="480"/>
      </w:pPr>
      <w:r w:rsidRPr="00B4515A">
        <w:t>安全芯片业务，保持存量业务稳定发展，做好增量业务的拓展。跟踪市场需求与行业发展趋势，布局核心技术与产品，提高产品质量与研发速度。在身份识别及安全认证产品领域推出面向政务、金融、社保、交通等行业的系列安全芯片和解决方案。面向物联网、车联网、工业互联网应用场景，提升安全芯片的适应性，提供系列高性能安全芯片产品和解决方案。</w:t>
      </w:r>
    </w:p>
    <w:p w14:paraId="16DA898E" w14:textId="77777777" w:rsidR="006416B0" w:rsidRPr="00B4515A" w:rsidRDefault="005E58C1" w:rsidP="005860B4">
      <w:pPr>
        <w:pStyle w:val="005"/>
        <w:spacing w:before="120" w:after="120"/>
        <w:ind w:firstLine="480"/>
      </w:pPr>
      <w:r w:rsidRPr="00B4515A">
        <w:t>特种通信业务，持续扩大重点领域业务规模，以市场为引领，开展通信应用与技术创新。深耕专用移动通信、专用宽带电台、宽带移动安全应用业务，丰富产品型谱，提升产品应用范围和市场份额。在</w:t>
      </w:r>
      <w:r w:rsidRPr="00B4515A">
        <w:t>4G</w:t>
      </w:r>
      <w:r w:rsidRPr="00B4515A">
        <w:t>专用移动通信基础上，抓住</w:t>
      </w:r>
      <w:r w:rsidRPr="00B4515A">
        <w:t>5G</w:t>
      </w:r>
      <w:r w:rsidRPr="00B4515A">
        <w:t>应用机遇，布局下一代特种通信产品，拓展新市场领域，提升核心竞争力。</w:t>
      </w:r>
    </w:p>
    <w:p w14:paraId="58DBCE4C" w14:textId="77777777" w:rsidR="006416B0" w:rsidRPr="00B4515A" w:rsidRDefault="005E58C1" w:rsidP="005860B4">
      <w:pPr>
        <w:pStyle w:val="005"/>
        <w:spacing w:before="120" w:after="120"/>
        <w:ind w:firstLine="480"/>
      </w:pPr>
      <w:r w:rsidRPr="00B4515A">
        <w:t>大唐联诚是一家拥有完整的特种通信行业科研生产资质，立足特种通信行业，依托</w:t>
      </w:r>
      <w:r w:rsidRPr="00B4515A">
        <w:t>3G/4G/5G</w:t>
      </w:r>
      <w:r w:rsidRPr="00B4515A">
        <w:t>无线移动通信技术，通过技术创新，提供涵盖定制化无线通信设备和系统应用软件的自主可控整体解决方案的高新技术企业。本次交易将为上市公司开拓新的业务增长点，上市公司将向特通信息化行业布局。本次交易符合上市公司</w:t>
      </w:r>
      <w:r w:rsidRPr="00B4515A">
        <w:rPr>
          <w:rFonts w:ascii="宋体" w:hAnsi="宋体"/>
        </w:rPr>
        <w:t>“</w:t>
      </w:r>
      <w:r w:rsidRPr="00B4515A">
        <w:t>安全芯片</w:t>
      </w:r>
      <w:r w:rsidRPr="00B4515A">
        <w:t>+</w:t>
      </w:r>
      <w:r w:rsidRPr="00B4515A">
        <w:t>特种通信</w:t>
      </w:r>
      <w:r w:rsidRPr="00B4515A">
        <w:rPr>
          <w:rFonts w:ascii="宋体" w:hAnsi="宋体"/>
        </w:rPr>
        <w:t>”</w:t>
      </w:r>
      <w:r w:rsidRPr="00B4515A">
        <w:t>的未来发展战略及经营计划。</w:t>
      </w:r>
    </w:p>
    <w:bookmarkEnd w:id="86"/>
    <w:p w14:paraId="03861EEB" w14:textId="77777777" w:rsidR="006416B0" w:rsidRPr="00B4515A" w:rsidRDefault="005E58C1" w:rsidP="005860B4">
      <w:pPr>
        <w:pStyle w:val="004"/>
        <w:spacing w:before="120" w:after="120"/>
        <w:ind w:firstLine="482"/>
      </w:pPr>
      <w:r w:rsidRPr="00B4515A">
        <w:t>5</w:t>
      </w:r>
      <w:r w:rsidRPr="00B4515A">
        <w:t>、本次交易有利于增强上市公司持续经营能力、提高上市公司质量</w:t>
      </w:r>
    </w:p>
    <w:p w14:paraId="4B5CC0A9" w14:textId="77777777" w:rsidR="006416B0" w:rsidRPr="00B4515A" w:rsidRDefault="005E58C1" w:rsidP="005860B4">
      <w:pPr>
        <w:pStyle w:val="005"/>
        <w:spacing w:before="120" w:after="120"/>
        <w:ind w:firstLine="480"/>
      </w:pPr>
      <w:r w:rsidRPr="00B4515A">
        <w:t>随着我国特通信息化建设全面开启，行业将迎来新的发展机遇。自主可控和</w:t>
      </w:r>
      <w:r w:rsidRPr="00B4515A">
        <w:lastRenderedPageBreak/>
        <w:t>信息化作为我国实现特通信息化加速发展的重要途径，将推动特通信息化行业不断扩大，为行业内企业的发展带来新机遇。</w:t>
      </w:r>
    </w:p>
    <w:p w14:paraId="40580270" w14:textId="77777777" w:rsidR="006416B0" w:rsidRPr="00B4515A" w:rsidRDefault="005E58C1" w:rsidP="005860B4">
      <w:pPr>
        <w:pStyle w:val="005"/>
        <w:spacing w:before="120" w:after="120"/>
        <w:ind w:firstLine="480"/>
      </w:pPr>
      <w:r w:rsidRPr="00B4515A">
        <w:t>标的公司大唐联诚的产品主要应用于特种通信领域，是一家拥有完整的特种通信行业科研生产资质，立足特种通信行业，依托</w:t>
      </w:r>
      <w:r w:rsidRPr="00B4515A">
        <w:t>3G/4G/5G</w:t>
      </w:r>
      <w:r w:rsidRPr="00B4515A">
        <w:t>无线移动通信技术，通过技术创新，提供涵盖定制化无线通信设备和系统应用软件的自主可控整体解决方案的高新技术企业。</w:t>
      </w:r>
    </w:p>
    <w:p w14:paraId="0B6263DF" w14:textId="77777777" w:rsidR="006416B0" w:rsidRPr="00B4515A" w:rsidRDefault="005E58C1" w:rsidP="005860B4">
      <w:pPr>
        <w:pStyle w:val="005"/>
        <w:spacing w:before="120" w:after="120"/>
        <w:ind w:firstLine="480"/>
      </w:pPr>
      <w:bookmarkStart w:id="89" w:name="_Hlk73694113"/>
      <w:r w:rsidRPr="00B4515A">
        <w:t>报告期内，标的公司的盈利情况如下：</w:t>
      </w:r>
    </w:p>
    <w:p w14:paraId="589E2C0A" w14:textId="77777777" w:rsidR="006416B0" w:rsidRPr="00B4515A" w:rsidRDefault="005E58C1" w:rsidP="005860B4">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821"/>
        <w:gridCol w:w="1902"/>
        <w:gridCol w:w="1903"/>
        <w:gridCol w:w="1902"/>
      </w:tblGrid>
      <w:tr w:rsidR="006416B0" w:rsidRPr="00B4515A" w14:paraId="77B05090" w14:textId="77777777" w:rsidTr="00031627">
        <w:trPr>
          <w:trHeight w:val="340"/>
          <w:jc w:val="center"/>
        </w:trPr>
        <w:tc>
          <w:tcPr>
            <w:tcW w:w="1654" w:type="pct"/>
            <w:shd w:val="clear" w:color="auto" w:fill="auto"/>
            <w:tcMar>
              <w:top w:w="0" w:type="dxa"/>
              <w:left w:w="108" w:type="dxa"/>
              <w:bottom w:w="0" w:type="dxa"/>
              <w:right w:w="108" w:type="dxa"/>
            </w:tcMar>
            <w:vAlign w:val="center"/>
          </w:tcPr>
          <w:p w14:paraId="470C6728"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hint="eastAsia"/>
                <w:b/>
                <w:bCs/>
                <w:color w:val="000000"/>
                <w:sz w:val="21"/>
                <w:szCs w:val="21"/>
              </w:rPr>
              <w:t>项目</w:t>
            </w:r>
          </w:p>
        </w:tc>
        <w:tc>
          <w:tcPr>
            <w:tcW w:w="1115" w:type="pct"/>
            <w:shd w:val="clear" w:color="auto" w:fill="auto"/>
            <w:tcMar>
              <w:top w:w="0" w:type="dxa"/>
              <w:left w:w="108" w:type="dxa"/>
              <w:bottom w:w="0" w:type="dxa"/>
              <w:right w:w="108" w:type="dxa"/>
            </w:tcMar>
            <w:vAlign w:val="center"/>
          </w:tcPr>
          <w:p w14:paraId="41DE361C" w14:textId="77777777" w:rsidR="006416B0" w:rsidRPr="00B4515A" w:rsidRDefault="005E58C1" w:rsidP="005860B4">
            <w:pPr>
              <w:widowControl w:val="0"/>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w:t>
            </w:r>
            <w:r w:rsidRPr="00B4515A">
              <w:rPr>
                <w:rFonts w:ascii="Times New Roman" w:hAnsi="Times New Roman" w:cs="Times New Roman" w:hint="eastAsia"/>
                <w:b/>
                <w:bCs/>
                <w:color w:val="000000"/>
                <w:sz w:val="21"/>
                <w:szCs w:val="21"/>
              </w:rPr>
              <w:t>年</w:t>
            </w:r>
            <w:r w:rsidRPr="00B4515A">
              <w:rPr>
                <w:rFonts w:ascii="Times New Roman" w:hAnsi="Times New Roman" w:cs="Times New Roman"/>
                <w:b/>
                <w:bCs/>
                <w:color w:val="000000"/>
                <w:sz w:val="21"/>
                <w:szCs w:val="21"/>
              </w:rPr>
              <w:t>1-4</w:t>
            </w:r>
            <w:r w:rsidRPr="00B4515A">
              <w:rPr>
                <w:rFonts w:ascii="Times New Roman" w:hAnsi="Times New Roman" w:cs="Times New Roman" w:hint="eastAsia"/>
                <w:b/>
                <w:bCs/>
                <w:color w:val="000000"/>
                <w:sz w:val="21"/>
                <w:szCs w:val="21"/>
              </w:rPr>
              <w:t>月</w:t>
            </w:r>
          </w:p>
        </w:tc>
        <w:tc>
          <w:tcPr>
            <w:tcW w:w="1116" w:type="pct"/>
            <w:shd w:val="clear" w:color="auto" w:fill="auto"/>
            <w:tcMar>
              <w:top w:w="0" w:type="dxa"/>
              <w:left w:w="108" w:type="dxa"/>
              <w:bottom w:w="0" w:type="dxa"/>
              <w:right w:w="108" w:type="dxa"/>
            </w:tcMar>
            <w:vAlign w:val="center"/>
          </w:tcPr>
          <w:p w14:paraId="04CE9C14" w14:textId="77777777" w:rsidR="006416B0" w:rsidRPr="00B4515A" w:rsidRDefault="005E58C1" w:rsidP="005860B4">
            <w:pPr>
              <w:widowControl w:val="0"/>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w:t>
            </w:r>
            <w:r w:rsidRPr="00B4515A">
              <w:rPr>
                <w:rFonts w:ascii="Times New Roman" w:hAnsi="Times New Roman" w:cs="Times New Roman" w:hint="eastAsia"/>
                <w:b/>
                <w:bCs/>
                <w:color w:val="000000"/>
                <w:sz w:val="21"/>
                <w:szCs w:val="21"/>
              </w:rPr>
              <w:t>年度</w:t>
            </w:r>
          </w:p>
        </w:tc>
        <w:tc>
          <w:tcPr>
            <w:tcW w:w="1116" w:type="pct"/>
            <w:shd w:val="clear" w:color="auto" w:fill="auto"/>
            <w:tcMar>
              <w:top w:w="0" w:type="dxa"/>
              <w:left w:w="108" w:type="dxa"/>
              <w:bottom w:w="0" w:type="dxa"/>
              <w:right w:w="108" w:type="dxa"/>
            </w:tcMar>
            <w:vAlign w:val="center"/>
          </w:tcPr>
          <w:p w14:paraId="05465ED2" w14:textId="77777777" w:rsidR="006416B0" w:rsidRPr="00B4515A" w:rsidRDefault="005E58C1" w:rsidP="005860B4">
            <w:pPr>
              <w:widowControl w:val="0"/>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w:t>
            </w:r>
            <w:r w:rsidRPr="00B4515A">
              <w:rPr>
                <w:rFonts w:ascii="Times New Roman" w:hAnsi="Times New Roman" w:cs="Times New Roman" w:hint="eastAsia"/>
                <w:b/>
                <w:bCs/>
                <w:color w:val="000000"/>
                <w:sz w:val="21"/>
                <w:szCs w:val="21"/>
              </w:rPr>
              <w:t>年度</w:t>
            </w:r>
          </w:p>
        </w:tc>
      </w:tr>
      <w:tr w:rsidR="006416B0" w:rsidRPr="00B4515A" w14:paraId="7F15C919" w14:textId="77777777" w:rsidTr="00031627">
        <w:trPr>
          <w:trHeight w:val="340"/>
          <w:jc w:val="center"/>
        </w:trPr>
        <w:tc>
          <w:tcPr>
            <w:tcW w:w="1654" w:type="pct"/>
            <w:shd w:val="clear" w:color="auto" w:fill="auto"/>
            <w:tcMar>
              <w:top w:w="0" w:type="dxa"/>
              <w:left w:w="108" w:type="dxa"/>
              <w:bottom w:w="0" w:type="dxa"/>
              <w:right w:w="108" w:type="dxa"/>
            </w:tcMar>
            <w:vAlign w:val="center"/>
          </w:tcPr>
          <w:p w14:paraId="420F9FF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营业收入</w:t>
            </w:r>
          </w:p>
        </w:tc>
        <w:tc>
          <w:tcPr>
            <w:tcW w:w="1115" w:type="pct"/>
            <w:shd w:val="clear" w:color="auto" w:fill="auto"/>
            <w:tcMar>
              <w:top w:w="0" w:type="dxa"/>
              <w:left w:w="108" w:type="dxa"/>
              <w:bottom w:w="0" w:type="dxa"/>
              <w:right w:w="108" w:type="dxa"/>
            </w:tcMar>
            <w:vAlign w:val="center"/>
          </w:tcPr>
          <w:p w14:paraId="6C77D5A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12,758.79</w:t>
            </w:r>
          </w:p>
        </w:tc>
        <w:tc>
          <w:tcPr>
            <w:tcW w:w="1116" w:type="pct"/>
            <w:shd w:val="clear" w:color="auto" w:fill="auto"/>
            <w:tcMar>
              <w:top w:w="0" w:type="dxa"/>
              <w:left w:w="108" w:type="dxa"/>
              <w:bottom w:w="0" w:type="dxa"/>
              <w:right w:w="108" w:type="dxa"/>
            </w:tcMar>
            <w:vAlign w:val="center"/>
          </w:tcPr>
          <w:p w14:paraId="4C4CB0E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55,282.98</w:t>
            </w:r>
          </w:p>
        </w:tc>
        <w:tc>
          <w:tcPr>
            <w:tcW w:w="1116" w:type="pct"/>
            <w:shd w:val="clear" w:color="auto" w:fill="auto"/>
            <w:tcMar>
              <w:top w:w="0" w:type="dxa"/>
              <w:left w:w="108" w:type="dxa"/>
              <w:bottom w:w="0" w:type="dxa"/>
              <w:right w:w="108" w:type="dxa"/>
            </w:tcMar>
            <w:vAlign w:val="center"/>
          </w:tcPr>
          <w:p w14:paraId="352C49B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36,685.37</w:t>
            </w:r>
          </w:p>
        </w:tc>
      </w:tr>
      <w:tr w:rsidR="006416B0" w:rsidRPr="00B4515A" w14:paraId="345E6489" w14:textId="77777777" w:rsidTr="00031627">
        <w:trPr>
          <w:trHeight w:val="340"/>
          <w:jc w:val="center"/>
        </w:trPr>
        <w:tc>
          <w:tcPr>
            <w:tcW w:w="1654" w:type="pct"/>
            <w:shd w:val="clear" w:color="auto" w:fill="auto"/>
            <w:tcMar>
              <w:top w:w="0" w:type="dxa"/>
              <w:left w:w="108" w:type="dxa"/>
              <w:bottom w:w="0" w:type="dxa"/>
              <w:right w:w="108" w:type="dxa"/>
            </w:tcMar>
            <w:vAlign w:val="center"/>
          </w:tcPr>
          <w:p w14:paraId="01D0C47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利润总额</w:t>
            </w:r>
          </w:p>
        </w:tc>
        <w:tc>
          <w:tcPr>
            <w:tcW w:w="1115" w:type="pct"/>
            <w:shd w:val="clear" w:color="auto" w:fill="auto"/>
            <w:tcMar>
              <w:top w:w="0" w:type="dxa"/>
              <w:left w:w="108" w:type="dxa"/>
              <w:bottom w:w="0" w:type="dxa"/>
              <w:right w:w="108" w:type="dxa"/>
            </w:tcMar>
            <w:vAlign w:val="center"/>
          </w:tcPr>
          <w:p w14:paraId="410CB60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780.09</w:t>
            </w:r>
          </w:p>
        </w:tc>
        <w:tc>
          <w:tcPr>
            <w:tcW w:w="1116" w:type="pct"/>
            <w:shd w:val="clear" w:color="auto" w:fill="auto"/>
            <w:tcMar>
              <w:top w:w="0" w:type="dxa"/>
              <w:left w:w="108" w:type="dxa"/>
              <w:bottom w:w="0" w:type="dxa"/>
              <w:right w:w="108" w:type="dxa"/>
            </w:tcMar>
            <w:vAlign w:val="center"/>
          </w:tcPr>
          <w:p w14:paraId="1FAF42D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4,206.85 </w:t>
            </w:r>
          </w:p>
        </w:tc>
        <w:tc>
          <w:tcPr>
            <w:tcW w:w="1116" w:type="pct"/>
            <w:shd w:val="clear" w:color="auto" w:fill="auto"/>
            <w:tcMar>
              <w:top w:w="0" w:type="dxa"/>
              <w:left w:w="108" w:type="dxa"/>
              <w:bottom w:w="0" w:type="dxa"/>
              <w:right w:w="108" w:type="dxa"/>
            </w:tcMar>
            <w:vAlign w:val="center"/>
          </w:tcPr>
          <w:p w14:paraId="21A43A5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816.06 </w:t>
            </w:r>
          </w:p>
        </w:tc>
      </w:tr>
      <w:tr w:rsidR="006416B0" w:rsidRPr="00B4515A" w14:paraId="6673727C" w14:textId="77777777" w:rsidTr="00031627">
        <w:trPr>
          <w:trHeight w:val="340"/>
          <w:jc w:val="center"/>
        </w:trPr>
        <w:tc>
          <w:tcPr>
            <w:tcW w:w="1654" w:type="pct"/>
            <w:shd w:val="clear" w:color="auto" w:fill="auto"/>
            <w:tcMar>
              <w:top w:w="0" w:type="dxa"/>
              <w:left w:w="108" w:type="dxa"/>
              <w:bottom w:w="0" w:type="dxa"/>
              <w:right w:w="108" w:type="dxa"/>
            </w:tcMar>
            <w:vAlign w:val="center"/>
          </w:tcPr>
          <w:p w14:paraId="2443A23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净利润</w:t>
            </w:r>
          </w:p>
        </w:tc>
        <w:tc>
          <w:tcPr>
            <w:tcW w:w="1115" w:type="pct"/>
            <w:shd w:val="clear" w:color="auto" w:fill="auto"/>
            <w:tcMar>
              <w:top w:w="0" w:type="dxa"/>
              <w:left w:w="108" w:type="dxa"/>
              <w:bottom w:w="0" w:type="dxa"/>
              <w:right w:w="108" w:type="dxa"/>
            </w:tcMar>
            <w:vAlign w:val="center"/>
          </w:tcPr>
          <w:p w14:paraId="51B274D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780.09</w:t>
            </w:r>
          </w:p>
        </w:tc>
        <w:tc>
          <w:tcPr>
            <w:tcW w:w="1116" w:type="pct"/>
            <w:shd w:val="clear" w:color="auto" w:fill="auto"/>
            <w:tcMar>
              <w:top w:w="0" w:type="dxa"/>
              <w:left w:w="108" w:type="dxa"/>
              <w:bottom w:w="0" w:type="dxa"/>
              <w:right w:w="108" w:type="dxa"/>
            </w:tcMar>
            <w:vAlign w:val="center"/>
          </w:tcPr>
          <w:p w14:paraId="46392EA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4,206.85 </w:t>
            </w:r>
          </w:p>
        </w:tc>
        <w:tc>
          <w:tcPr>
            <w:tcW w:w="1116" w:type="pct"/>
            <w:shd w:val="clear" w:color="auto" w:fill="auto"/>
            <w:tcMar>
              <w:top w:w="0" w:type="dxa"/>
              <w:left w:w="108" w:type="dxa"/>
              <w:bottom w:w="0" w:type="dxa"/>
              <w:right w:w="108" w:type="dxa"/>
            </w:tcMar>
            <w:vAlign w:val="center"/>
          </w:tcPr>
          <w:p w14:paraId="1AC0832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816.06 </w:t>
            </w:r>
          </w:p>
        </w:tc>
      </w:tr>
      <w:tr w:rsidR="006416B0" w:rsidRPr="00B4515A" w14:paraId="6AE3967F" w14:textId="77777777" w:rsidTr="00031627">
        <w:trPr>
          <w:trHeight w:val="340"/>
          <w:jc w:val="center"/>
        </w:trPr>
        <w:tc>
          <w:tcPr>
            <w:tcW w:w="1654" w:type="pct"/>
            <w:shd w:val="clear" w:color="auto" w:fill="auto"/>
            <w:tcMar>
              <w:top w:w="0" w:type="dxa"/>
              <w:left w:w="108" w:type="dxa"/>
              <w:bottom w:w="0" w:type="dxa"/>
              <w:right w:w="108" w:type="dxa"/>
            </w:tcMar>
            <w:vAlign w:val="center"/>
          </w:tcPr>
          <w:p w14:paraId="75FBF5A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归属于母公司的净利润</w:t>
            </w:r>
          </w:p>
        </w:tc>
        <w:tc>
          <w:tcPr>
            <w:tcW w:w="1115" w:type="pct"/>
            <w:shd w:val="clear" w:color="auto" w:fill="auto"/>
            <w:tcMar>
              <w:top w:w="0" w:type="dxa"/>
              <w:left w:w="108" w:type="dxa"/>
              <w:bottom w:w="0" w:type="dxa"/>
              <w:right w:w="108" w:type="dxa"/>
            </w:tcMar>
            <w:vAlign w:val="center"/>
          </w:tcPr>
          <w:p w14:paraId="5E0C1C7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780.09 </w:t>
            </w:r>
          </w:p>
        </w:tc>
        <w:tc>
          <w:tcPr>
            <w:tcW w:w="1116" w:type="pct"/>
            <w:shd w:val="clear" w:color="auto" w:fill="auto"/>
            <w:tcMar>
              <w:top w:w="0" w:type="dxa"/>
              <w:left w:w="108" w:type="dxa"/>
              <w:bottom w:w="0" w:type="dxa"/>
              <w:right w:w="108" w:type="dxa"/>
            </w:tcMar>
            <w:vAlign w:val="center"/>
          </w:tcPr>
          <w:p w14:paraId="11AD444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4,206.85 </w:t>
            </w:r>
          </w:p>
        </w:tc>
        <w:tc>
          <w:tcPr>
            <w:tcW w:w="1116" w:type="pct"/>
            <w:shd w:val="clear" w:color="auto" w:fill="auto"/>
            <w:tcMar>
              <w:top w:w="0" w:type="dxa"/>
              <w:left w:w="108" w:type="dxa"/>
              <w:bottom w:w="0" w:type="dxa"/>
              <w:right w:w="108" w:type="dxa"/>
            </w:tcMar>
            <w:vAlign w:val="center"/>
          </w:tcPr>
          <w:p w14:paraId="3F20DDA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1,785.66 </w:t>
            </w:r>
          </w:p>
        </w:tc>
      </w:tr>
    </w:tbl>
    <w:p w14:paraId="38116FA3" w14:textId="77777777" w:rsidR="006416B0" w:rsidRPr="00B4515A" w:rsidRDefault="005E58C1" w:rsidP="005860B4">
      <w:pPr>
        <w:pStyle w:val="005"/>
        <w:spacing w:before="120" w:after="120"/>
        <w:ind w:firstLine="480"/>
      </w:pPr>
      <w:r w:rsidRPr="00B4515A">
        <w:t>得益于大唐联诚在特种通信行业的长期技术积累和市场影响，持续聚焦三个业务方向，</w:t>
      </w:r>
      <w:r w:rsidRPr="00B4515A">
        <w:t>2019</w:t>
      </w:r>
      <w:r w:rsidRPr="00B4515A">
        <w:t>年度以来，标的公司的营业收入和净利润规模实现较大幅度增长。</w:t>
      </w:r>
    </w:p>
    <w:bookmarkEnd w:id="89"/>
    <w:p w14:paraId="0FF49077" w14:textId="77777777" w:rsidR="006416B0" w:rsidRPr="00B4515A" w:rsidRDefault="005E58C1" w:rsidP="005860B4">
      <w:pPr>
        <w:pStyle w:val="005"/>
        <w:spacing w:before="120" w:after="120"/>
        <w:ind w:firstLine="480"/>
      </w:pPr>
      <w:r w:rsidRPr="00B4515A">
        <w:t>本次交易完成后，上市公司主营业务进一步聚焦到安全芯片和特种通信两大产业，抓住特通信息化发展机遇，进一步提升市场地位，形成</w:t>
      </w:r>
      <w:r w:rsidRPr="00B4515A">
        <w:rPr>
          <w:rFonts w:ascii="宋体" w:hAnsi="宋体"/>
        </w:rPr>
        <w:t>“</w:t>
      </w:r>
      <w:r w:rsidRPr="00B4515A">
        <w:t>安全芯片</w:t>
      </w:r>
      <w:r w:rsidRPr="00B4515A">
        <w:t>+</w:t>
      </w:r>
      <w:r w:rsidRPr="00B4515A">
        <w:t>特种通信</w:t>
      </w:r>
      <w:r w:rsidRPr="00B4515A">
        <w:rPr>
          <w:rFonts w:ascii="宋体" w:hAnsi="宋体"/>
        </w:rPr>
        <w:t>”</w:t>
      </w:r>
      <w:r w:rsidRPr="00B4515A">
        <w:t>的整体产业布局。随着持续加大的投入和布局，上市公司持续经营能力将增强。</w:t>
      </w:r>
    </w:p>
    <w:p w14:paraId="3456ED50" w14:textId="77777777" w:rsidR="006416B0" w:rsidRPr="00B4515A" w:rsidRDefault="005E58C1" w:rsidP="005860B4">
      <w:pPr>
        <w:pStyle w:val="005"/>
        <w:spacing w:before="120" w:after="120"/>
        <w:ind w:firstLine="480"/>
      </w:pPr>
      <w:r w:rsidRPr="00B4515A">
        <w:t>标的公司大唐联诚的产品主要应用于特种通信领域，与公司现有业务领域形成产业协同，将成为上市公司新的业务增长点。本次交易有利于上市公司优化主营业务结构，聚焦安全芯片和特种通信产业，拓展特通信息化市场，实现上市公司股东利益最大化。</w:t>
      </w:r>
    </w:p>
    <w:p w14:paraId="05DAE5DD" w14:textId="77777777" w:rsidR="006416B0" w:rsidRPr="00B4515A" w:rsidRDefault="005E58C1" w:rsidP="005860B4">
      <w:pPr>
        <w:pStyle w:val="005"/>
        <w:spacing w:before="120" w:after="120"/>
        <w:ind w:firstLine="480"/>
      </w:pPr>
      <w:r w:rsidRPr="00B4515A">
        <w:t>综上，本次交易是必要的，有利于增强上市公司的持续盈利能力和发展潜力，提高上市公司质量。</w:t>
      </w:r>
      <w:bookmarkEnd w:id="87"/>
    </w:p>
    <w:p w14:paraId="39B113EC" w14:textId="77777777" w:rsidR="006416B0" w:rsidRPr="00B4515A" w:rsidRDefault="005E58C1">
      <w:pPr>
        <w:rPr>
          <w:rFonts w:ascii="Times New Roman" w:hAnsi="Times New Roman" w:cs="Times New Roman"/>
        </w:rPr>
      </w:pPr>
      <w:r w:rsidRPr="00B4515A">
        <w:rPr>
          <w:rFonts w:ascii="Times New Roman" w:hAnsi="Times New Roman" w:cs="Times New Roman"/>
        </w:rPr>
        <w:br w:type="page"/>
      </w:r>
    </w:p>
    <w:p w14:paraId="595606E5" w14:textId="77777777" w:rsidR="006416B0" w:rsidRPr="00B4515A" w:rsidRDefault="005E58C1" w:rsidP="002B0582">
      <w:pPr>
        <w:pStyle w:val="001"/>
        <w:spacing w:before="360" w:after="360"/>
      </w:pPr>
      <w:bookmarkStart w:id="90" w:name="_Toc2883166"/>
      <w:bookmarkStart w:id="91" w:name="_Toc65492061"/>
      <w:bookmarkStart w:id="92" w:name="_Toc80960509"/>
      <w:r w:rsidRPr="00B4515A">
        <w:rPr>
          <w:rFonts w:hint="eastAsia"/>
        </w:rPr>
        <w:lastRenderedPageBreak/>
        <w:t>第二节</w:t>
      </w:r>
      <w:bookmarkStart w:id="93" w:name="_Hlk530005242"/>
      <w:r w:rsidRPr="00B4515A">
        <w:t xml:space="preserve"> </w:t>
      </w:r>
      <w:r w:rsidRPr="00B4515A">
        <w:rPr>
          <w:rFonts w:hint="eastAsia"/>
        </w:rPr>
        <w:t>上市公司基本情况</w:t>
      </w:r>
      <w:bookmarkEnd w:id="90"/>
      <w:bookmarkEnd w:id="91"/>
      <w:bookmarkEnd w:id="92"/>
      <w:bookmarkEnd w:id="93"/>
    </w:p>
    <w:p w14:paraId="545367F1" w14:textId="77777777" w:rsidR="006416B0" w:rsidRPr="00B4515A" w:rsidRDefault="005E58C1" w:rsidP="005860B4">
      <w:pPr>
        <w:pStyle w:val="002"/>
        <w:spacing w:before="120" w:after="120"/>
        <w:ind w:firstLine="562"/>
      </w:pPr>
      <w:bookmarkStart w:id="94" w:name="_Toc2883167"/>
      <w:bookmarkStart w:id="95" w:name="_Toc65492062"/>
      <w:bookmarkStart w:id="96" w:name="_Toc80960510"/>
      <w:r w:rsidRPr="00B4515A">
        <w:rPr>
          <w:rFonts w:hint="eastAsia"/>
        </w:rPr>
        <w:t>一、上市公司基本信息</w:t>
      </w:r>
      <w:bookmarkEnd w:id="94"/>
      <w:bookmarkEnd w:id="95"/>
      <w:bookmarkEnd w:id="96"/>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31"/>
        <w:gridCol w:w="6197"/>
      </w:tblGrid>
      <w:tr w:rsidR="006416B0" w:rsidRPr="00B4515A" w14:paraId="6B46911B" w14:textId="77777777" w:rsidTr="00031627">
        <w:trPr>
          <w:trHeight w:val="340"/>
          <w:jc w:val="center"/>
        </w:trPr>
        <w:tc>
          <w:tcPr>
            <w:tcW w:w="2273" w:type="dxa"/>
            <w:tcMar>
              <w:top w:w="0" w:type="dxa"/>
              <w:left w:w="108" w:type="dxa"/>
              <w:bottom w:w="0" w:type="dxa"/>
              <w:right w:w="108" w:type="dxa"/>
            </w:tcMar>
            <w:vAlign w:val="center"/>
          </w:tcPr>
          <w:p w14:paraId="1EC75FD8" w14:textId="77777777" w:rsidR="006416B0" w:rsidRPr="00B4515A" w:rsidRDefault="005E58C1" w:rsidP="005860B4">
            <w:pPr>
              <w:adjustRightInd w:val="0"/>
              <w:snapToGrid w:val="0"/>
              <w:rPr>
                <w:rFonts w:ascii="Times New Roman" w:hAnsi="Times New Roman" w:cs="Times New Roman"/>
                <w:color w:val="000000" w:themeColor="text1"/>
                <w:sz w:val="21"/>
                <w:szCs w:val="21"/>
              </w:rPr>
            </w:pPr>
            <w:bookmarkStart w:id="97" w:name="_Hlk76923665"/>
            <w:r w:rsidRPr="00B4515A">
              <w:rPr>
                <w:rFonts w:ascii="Times New Roman" w:hAnsi="Times New Roman" w:cs="Times New Roman" w:hint="eastAsia"/>
                <w:color w:val="000000" w:themeColor="text1"/>
                <w:sz w:val="21"/>
                <w:szCs w:val="21"/>
              </w:rPr>
              <w:t>公司中文名称</w:t>
            </w:r>
          </w:p>
        </w:tc>
        <w:tc>
          <w:tcPr>
            <w:tcW w:w="6044" w:type="dxa"/>
            <w:tcMar>
              <w:top w:w="0" w:type="dxa"/>
              <w:left w:w="108" w:type="dxa"/>
              <w:bottom w:w="0" w:type="dxa"/>
              <w:right w:w="108" w:type="dxa"/>
            </w:tcMar>
            <w:vAlign w:val="center"/>
          </w:tcPr>
          <w:p w14:paraId="61B4AC65"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大唐电信科技股份有限公司</w:t>
            </w:r>
          </w:p>
        </w:tc>
      </w:tr>
      <w:tr w:rsidR="006416B0" w:rsidRPr="00B4515A" w14:paraId="6E9C5881" w14:textId="77777777" w:rsidTr="00031627">
        <w:trPr>
          <w:trHeight w:val="340"/>
          <w:jc w:val="center"/>
        </w:trPr>
        <w:tc>
          <w:tcPr>
            <w:tcW w:w="2273" w:type="dxa"/>
            <w:tcMar>
              <w:top w:w="0" w:type="dxa"/>
              <w:left w:w="108" w:type="dxa"/>
              <w:bottom w:w="0" w:type="dxa"/>
              <w:right w:w="108" w:type="dxa"/>
            </w:tcMar>
            <w:vAlign w:val="center"/>
          </w:tcPr>
          <w:p w14:paraId="0D39A0AA"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公司英文名称</w:t>
            </w:r>
          </w:p>
        </w:tc>
        <w:tc>
          <w:tcPr>
            <w:tcW w:w="6044" w:type="dxa"/>
            <w:tcMar>
              <w:top w:w="0" w:type="dxa"/>
              <w:left w:w="108" w:type="dxa"/>
              <w:bottom w:w="0" w:type="dxa"/>
              <w:right w:w="108" w:type="dxa"/>
            </w:tcMar>
            <w:vAlign w:val="center"/>
          </w:tcPr>
          <w:p w14:paraId="76D543F0" w14:textId="72E5B058"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DATANG TELECOM TECHNOLOGY CO.,LTD</w:t>
            </w:r>
            <w:r w:rsidR="00D72ABB" w:rsidRPr="00B4515A">
              <w:rPr>
                <w:rFonts w:ascii="Times New Roman" w:hAnsi="Times New Roman" w:cs="Times New Roman"/>
                <w:color w:val="000000" w:themeColor="text1"/>
                <w:sz w:val="21"/>
                <w:szCs w:val="21"/>
              </w:rPr>
              <w:t>.</w:t>
            </w:r>
          </w:p>
        </w:tc>
      </w:tr>
      <w:tr w:rsidR="006416B0" w:rsidRPr="00B4515A" w14:paraId="02B2E2A8" w14:textId="77777777" w:rsidTr="00031627">
        <w:trPr>
          <w:trHeight w:val="340"/>
          <w:jc w:val="center"/>
        </w:trPr>
        <w:tc>
          <w:tcPr>
            <w:tcW w:w="2273" w:type="dxa"/>
            <w:tcMar>
              <w:top w:w="0" w:type="dxa"/>
              <w:left w:w="108" w:type="dxa"/>
              <w:bottom w:w="0" w:type="dxa"/>
              <w:right w:w="108" w:type="dxa"/>
            </w:tcMar>
            <w:vAlign w:val="center"/>
          </w:tcPr>
          <w:p w14:paraId="7EFC32B0"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企业性质</w:t>
            </w:r>
          </w:p>
        </w:tc>
        <w:tc>
          <w:tcPr>
            <w:tcW w:w="6044" w:type="dxa"/>
            <w:tcMar>
              <w:top w:w="0" w:type="dxa"/>
              <w:left w:w="108" w:type="dxa"/>
              <w:bottom w:w="0" w:type="dxa"/>
              <w:right w:w="108" w:type="dxa"/>
            </w:tcMar>
            <w:vAlign w:val="center"/>
          </w:tcPr>
          <w:p w14:paraId="2C318472"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其他股份有限公司（上市）</w:t>
            </w:r>
          </w:p>
        </w:tc>
      </w:tr>
      <w:tr w:rsidR="006416B0" w:rsidRPr="00B4515A" w14:paraId="65670940" w14:textId="77777777" w:rsidTr="00031627">
        <w:trPr>
          <w:trHeight w:val="340"/>
          <w:jc w:val="center"/>
        </w:trPr>
        <w:tc>
          <w:tcPr>
            <w:tcW w:w="2273" w:type="dxa"/>
            <w:tcMar>
              <w:top w:w="0" w:type="dxa"/>
              <w:left w:w="108" w:type="dxa"/>
              <w:bottom w:w="0" w:type="dxa"/>
              <w:right w:w="108" w:type="dxa"/>
            </w:tcMar>
            <w:vAlign w:val="center"/>
          </w:tcPr>
          <w:p w14:paraId="23AE0752"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股票简称</w:t>
            </w:r>
          </w:p>
        </w:tc>
        <w:tc>
          <w:tcPr>
            <w:tcW w:w="6044" w:type="dxa"/>
            <w:tcMar>
              <w:top w:w="0" w:type="dxa"/>
              <w:left w:w="108" w:type="dxa"/>
              <w:bottom w:w="0" w:type="dxa"/>
              <w:right w:w="108" w:type="dxa"/>
            </w:tcMar>
            <w:vAlign w:val="center"/>
          </w:tcPr>
          <w:p w14:paraId="665BA8C9"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*ST</w:t>
            </w:r>
            <w:r w:rsidRPr="00B4515A">
              <w:rPr>
                <w:rFonts w:ascii="Times New Roman" w:hAnsi="Times New Roman" w:cs="Times New Roman" w:hint="eastAsia"/>
                <w:color w:val="000000" w:themeColor="text1"/>
                <w:sz w:val="21"/>
                <w:szCs w:val="21"/>
              </w:rPr>
              <w:t>大唐</w:t>
            </w:r>
          </w:p>
        </w:tc>
      </w:tr>
      <w:tr w:rsidR="006416B0" w:rsidRPr="00B4515A" w14:paraId="4093369B" w14:textId="77777777" w:rsidTr="00031627">
        <w:trPr>
          <w:trHeight w:val="340"/>
          <w:jc w:val="center"/>
        </w:trPr>
        <w:tc>
          <w:tcPr>
            <w:tcW w:w="2273" w:type="dxa"/>
            <w:tcMar>
              <w:top w:w="0" w:type="dxa"/>
              <w:left w:w="108" w:type="dxa"/>
              <w:bottom w:w="0" w:type="dxa"/>
              <w:right w:w="108" w:type="dxa"/>
            </w:tcMar>
            <w:vAlign w:val="center"/>
          </w:tcPr>
          <w:p w14:paraId="3CDABB1C"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股票代码</w:t>
            </w:r>
          </w:p>
        </w:tc>
        <w:tc>
          <w:tcPr>
            <w:tcW w:w="6044" w:type="dxa"/>
            <w:tcMar>
              <w:top w:w="0" w:type="dxa"/>
              <w:left w:w="108" w:type="dxa"/>
              <w:bottom w:w="0" w:type="dxa"/>
              <w:right w:w="108" w:type="dxa"/>
            </w:tcMar>
            <w:vAlign w:val="center"/>
          </w:tcPr>
          <w:p w14:paraId="2E48F95D"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600198.SH</w:t>
            </w:r>
          </w:p>
        </w:tc>
      </w:tr>
      <w:tr w:rsidR="006416B0" w:rsidRPr="00B4515A" w14:paraId="5EF4EF07" w14:textId="77777777" w:rsidTr="00031627">
        <w:trPr>
          <w:trHeight w:val="340"/>
          <w:jc w:val="center"/>
        </w:trPr>
        <w:tc>
          <w:tcPr>
            <w:tcW w:w="2273" w:type="dxa"/>
            <w:tcMar>
              <w:top w:w="0" w:type="dxa"/>
              <w:left w:w="108" w:type="dxa"/>
              <w:bottom w:w="0" w:type="dxa"/>
              <w:right w:w="108" w:type="dxa"/>
            </w:tcMar>
            <w:vAlign w:val="center"/>
          </w:tcPr>
          <w:p w14:paraId="6AA2BFA2"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股票上市地</w:t>
            </w:r>
          </w:p>
        </w:tc>
        <w:tc>
          <w:tcPr>
            <w:tcW w:w="6044" w:type="dxa"/>
            <w:tcMar>
              <w:top w:w="0" w:type="dxa"/>
              <w:left w:w="108" w:type="dxa"/>
              <w:bottom w:w="0" w:type="dxa"/>
              <w:right w:w="108" w:type="dxa"/>
            </w:tcMar>
            <w:vAlign w:val="center"/>
          </w:tcPr>
          <w:p w14:paraId="009E9634"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上海证券交易所</w:t>
            </w:r>
          </w:p>
        </w:tc>
      </w:tr>
      <w:tr w:rsidR="006416B0" w:rsidRPr="00B4515A" w14:paraId="3641A18F" w14:textId="77777777" w:rsidTr="00031627">
        <w:trPr>
          <w:trHeight w:val="340"/>
          <w:jc w:val="center"/>
        </w:trPr>
        <w:tc>
          <w:tcPr>
            <w:tcW w:w="2273" w:type="dxa"/>
            <w:tcMar>
              <w:top w:w="0" w:type="dxa"/>
              <w:left w:w="108" w:type="dxa"/>
              <w:bottom w:w="0" w:type="dxa"/>
              <w:right w:w="108" w:type="dxa"/>
            </w:tcMar>
            <w:vAlign w:val="center"/>
          </w:tcPr>
          <w:p w14:paraId="7582CAD7"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成立日期</w:t>
            </w:r>
          </w:p>
        </w:tc>
        <w:tc>
          <w:tcPr>
            <w:tcW w:w="6044" w:type="dxa"/>
            <w:tcMar>
              <w:top w:w="0" w:type="dxa"/>
              <w:left w:w="108" w:type="dxa"/>
              <w:bottom w:w="0" w:type="dxa"/>
              <w:right w:w="108" w:type="dxa"/>
            </w:tcMar>
            <w:vAlign w:val="center"/>
          </w:tcPr>
          <w:p w14:paraId="35AC839B"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1998</w:t>
            </w:r>
            <w:r w:rsidRPr="00B4515A">
              <w:rPr>
                <w:rFonts w:ascii="Times New Roman" w:hAnsi="Times New Roman" w:cs="Times New Roman" w:hint="eastAsia"/>
                <w:color w:val="000000" w:themeColor="text1"/>
                <w:sz w:val="21"/>
                <w:szCs w:val="21"/>
              </w:rPr>
              <w:t>年</w:t>
            </w:r>
            <w:r w:rsidRPr="00B4515A">
              <w:rPr>
                <w:rFonts w:ascii="Times New Roman" w:hAnsi="Times New Roman" w:cs="Times New Roman"/>
                <w:color w:val="000000" w:themeColor="text1"/>
                <w:sz w:val="21"/>
                <w:szCs w:val="21"/>
              </w:rPr>
              <w:t>9</w:t>
            </w:r>
            <w:r w:rsidRPr="00B4515A">
              <w:rPr>
                <w:rFonts w:ascii="Times New Roman" w:hAnsi="Times New Roman" w:cs="Times New Roman" w:hint="eastAsia"/>
                <w:color w:val="000000" w:themeColor="text1"/>
                <w:sz w:val="21"/>
                <w:szCs w:val="21"/>
              </w:rPr>
              <w:t>月</w:t>
            </w:r>
            <w:r w:rsidRPr="00B4515A">
              <w:rPr>
                <w:rFonts w:ascii="Times New Roman" w:hAnsi="Times New Roman" w:cs="Times New Roman"/>
                <w:color w:val="000000" w:themeColor="text1"/>
                <w:sz w:val="21"/>
                <w:szCs w:val="21"/>
              </w:rPr>
              <w:t>21</w:t>
            </w:r>
            <w:r w:rsidRPr="00B4515A">
              <w:rPr>
                <w:rFonts w:ascii="Times New Roman" w:hAnsi="Times New Roman" w:cs="Times New Roman" w:hint="eastAsia"/>
                <w:color w:val="000000" w:themeColor="text1"/>
                <w:sz w:val="21"/>
                <w:szCs w:val="21"/>
              </w:rPr>
              <w:t>日</w:t>
            </w:r>
          </w:p>
        </w:tc>
      </w:tr>
      <w:tr w:rsidR="006416B0" w:rsidRPr="00B4515A" w14:paraId="65552963" w14:textId="77777777" w:rsidTr="00031627">
        <w:trPr>
          <w:trHeight w:val="340"/>
          <w:jc w:val="center"/>
        </w:trPr>
        <w:tc>
          <w:tcPr>
            <w:tcW w:w="2273" w:type="dxa"/>
            <w:tcMar>
              <w:top w:w="0" w:type="dxa"/>
              <w:left w:w="108" w:type="dxa"/>
              <w:bottom w:w="0" w:type="dxa"/>
              <w:right w:w="108" w:type="dxa"/>
            </w:tcMar>
            <w:vAlign w:val="center"/>
          </w:tcPr>
          <w:p w14:paraId="0EDFB309"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上市时间</w:t>
            </w:r>
          </w:p>
        </w:tc>
        <w:tc>
          <w:tcPr>
            <w:tcW w:w="6044" w:type="dxa"/>
            <w:tcMar>
              <w:top w:w="0" w:type="dxa"/>
              <w:left w:w="108" w:type="dxa"/>
              <w:bottom w:w="0" w:type="dxa"/>
              <w:right w:w="108" w:type="dxa"/>
            </w:tcMar>
            <w:vAlign w:val="center"/>
          </w:tcPr>
          <w:p w14:paraId="36E409B5"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1998</w:t>
            </w:r>
            <w:r w:rsidRPr="00B4515A">
              <w:rPr>
                <w:rFonts w:ascii="Times New Roman" w:hAnsi="Times New Roman" w:cs="Times New Roman" w:hint="eastAsia"/>
                <w:color w:val="000000" w:themeColor="text1"/>
                <w:sz w:val="21"/>
                <w:szCs w:val="21"/>
              </w:rPr>
              <w:t>年</w:t>
            </w:r>
            <w:r w:rsidRPr="00B4515A">
              <w:rPr>
                <w:rFonts w:ascii="Times New Roman" w:hAnsi="Times New Roman" w:cs="Times New Roman"/>
                <w:color w:val="000000" w:themeColor="text1"/>
                <w:sz w:val="21"/>
                <w:szCs w:val="21"/>
              </w:rPr>
              <w:t>10</w:t>
            </w:r>
            <w:r w:rsidRPr="00B4515A">
              <w:rPr>
                <w:rFonts w:ascii="Times New Roman" w:hAnsi="Times New Roman" w:cs="Times New Roman" w:hint="eastAsia"/>
                <w:color w:val="000000" w:themeColor="text1"/>
                <w:sz w:val="21"/>
                <w:szCs w:val="21"/>
              </w:rPr>
              <w:t>月</w:t>
            </w:r>
            <w:r w:rsidRPr="00B4515A">
              <w:rPr>
                <w:rFonts w:ascii="Times New Roman" w:hAnsi="Times New Roman" w:cs="Times New Roman"/>
                <w:color w:val="000000" w:themeColor="text1"/>
                <w:sz w:val="21"/>
                <w:szCs w:val="21"/>
              </w:rPr>
              <w:t>21</w:t>
            </w:r>
            <w:r w:rsidRPr="00B4515A">
              <w:rPr>
                <w:rFonts w:ascii="Times New Roman" w:hAnsi="Times New Roman" w:cs="Times New Roman" w:hint="eastAsia"/>
                <w:color w:val="000000" w:themeColor="text1"/>
                <w:sz w:val="21"/>
                <w:szCs w:val="21"/>
              </w:rPr>
              <w:t>日</w:t>
            </w:r>
          </w:p>
        </w:tc>
      </w:tr>
      <w:tr w:rsidR="006416B0" w:rsidRPr="00B4515A" w14:paraId="7BA98B2F" w14:textId="77777777" w:rsidTr="00031627">
        <w:trPr>
          <w:trHeight w:val="340"/>
          <w:jc w:val="center"/>
        </w:trPr>
        <w:tc>
          <w:tcPr>
            <w:tcW w:w="2273" w:type="dxa"/>
            <w:tcMar>
              <w:top w:w="0" w:type="dxa"/>
              <w:left w:w="108" w:type="dxa"/>
              <w:bottom w:w="0" w:type="dxa"/>
              <w:right w:w="108" w:type="dxa"/>
            </w:tcMar>
            <w:vAlign w:val="center"/>
          </w:tcPr>
          <w:p w14:paraId="0F21A37E"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注册资本</w:t>
            </w:r>
          </w:p>
        </w:tc>
        <w:tc>
          <w:tcPr>
            <w:tcW w:w="6044" w:type="dxa"/>
            <w:tcMar>
              <w:top w:w="0" w:type="dxa"/>
              <w:left w:w="108" w:type="dxa"/>
              <w:bottom w:w="0" w:type="dxa"/>
              <w:right w:w="108" w:type="dxa"/>
            </w:tcMar>
            <w:vAlign w:val="center"/>
          </w:tcPr>
          <w:p w14:paraId="1889DB2A"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人民币</w:t>
            </w:r>
            <w:r w:rsidRPr="00B4515A">
              <w:rPr>
                <w:rFonts w:ascii="Times New Roman" w:hAnsi="Times New Roman" w:cs="Times New Roman"/>
                <w:color w:val="000000" w:themeColor="text1"/>
                <w:sz w:val="21"/>
                <w:szCs w:val="21"/>
              </w:rPr>
              <w:t>882,108,472</w:t>
            </w:r>
            <w:r w:rsidRPr="00B4515A">
              <w:rPr>
                <w:rFonts w:ascii="Times New Roman" w:hAnsi="Times New Roman" w:cs="Times New Roman" w:hint="eastAsia"/>
                <w:color w:val="000000" w:themeColor="text1"/>
                <w:sz w:val="21"/>
                <w:szCs w:val="21"/>
              </w:rPr>
              <w:t>元</w:t>
            </w:r>
          </w:p>
        </w:tc>
      </w:tr>
      <w:tr w:rsidR="006416B0" w:rsidRPr="00B4515A" w14:paraId="69093960" w14:textId="77777777" w:rsidTr="00031627">
        <w:trPr>
          <w:trHeight w:val="340"/>
          <w:jc w:val="center"/>
        </w:trPr>
        <w:tc>
          <w:tcPr>
            <w:tcW w:w="2273" w:type="dxa"/>
            <w:tcMar>
              <w:top w:w="0" w:type="dxa"/>
              <w:left w:w="108" w:type="dxa"/>
              <w:bottom w:w="0" w:type="dxa"/>
              <w:right w:w="108" w:type="dxa"/>
            </w:tcMar>
            <w:vAlign w:val="center"/>
          </w:tcPr>
          <w:p w14:paraId="324D7B5E"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法定代表人</w:t>
            </w:r>
          </w:p>
        </w:tc>
        <w:tc>
          <w:tcPr>
            <w:tcW w:w="6044" w:type="dxa"/>
            <w:tcMar>
              <w:top w:w="0" w:type="dxa"/>
              <w:left w:w="108" w:type="dxa"/>
              <w:bottom w:w="0" w:type="dxa"/>
              <w:right w:w="108" w:type="dxa"/>
            </w:tcMar>
            <w:vAlign w:val="center"/>
          </w:tcPr>
          <w:p w14:paraId="61829133"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雷信生</w:t>
            </w:r>
          </w:p>
        </w:tc>
      </w:tr>
      <w:tr w:rsidR="006416B0" w:rsidRPr="00B4515A" w14:paraId="1C751A5B" w14:textId="77777777" w:rsidTr="00031627">
        <w:trPr>
          <w:trHeight w:val="340"/>
          <w:jc w:val="center"/>
        </w:trPr>
        <w:tc>
          <w:tcPr>
            <w:tcW w:w="2273" w:type="dxa"/>
            <w:tcMar>
              <w:top w:w="0" w:type="dxa"/>
              <w:left w:w="108" w:type="dxa"/>
              <w:bottom w:w="0" w:type="dxa"/>
              <w:right w:w="108" w:type="dxa"/>
            </w:tcMar>
            <w:vAlign w:val="center"/>
          </w:tcPr>
          <w:p w14:paraId="21EB0EA3"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董事会秘书</w:t>
            </w:r>
          </w:p>
        </w:tc>
        <w:tc>
          <w:tcPr>
            <w:tcW w:w="6044" w:type="dxa"/>
            <w:tcMar>
              <w:top w:w="0" w:type="dxa"/>
              <w:left w:w="108" w:type="dxa"/>
              <w:bottom w:w="0" w:type="dxa"/>
              <w:right w:w="108" w:type="dxa"/>
            </w:tcMar>
            <w:vAlign w:val="center"/>
          </w:tcPr>
          <w:p w14:paraId="519D593B"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王韶莉</w:t>
            </w:r>
          </w:p>
        </w:tc>
      </w:tr>
      <w:tr w:rsidR="006416B0" w:rsidRPr="00B4515A" w14:paraId="38F3014F" w14:textId="77777777" w:rsidTr="00031627">
        <w:trPr>
          <w:trHeight w:val="340"/>
          <w:jc w:val="center"/>
        </w:trPr>
        <w:tc>
          <w:tcPr>
            <w:tcW w:w="2273" w:type="dxa"/>
            <w:tcMar>
              <w:top w:w="0" w:type="dxa"/>
              <w:left w:w="108" w:type="dxa"/>
              <w:bottom w:w="0" w:type="dxa"/>
              <w:right w:w="108" w:type="dxa"/>
            </w:tcMar>
            <w:vAlign w:val="center"/>
          </w:tcPr>
          <w:p w14:paraId="5380DA71"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注册地址</w:t>
            </w:r>
          </w:p>
        </w:tc>
        <w:tc>
          <w:tcPr>
            <w:tcW w:w="6044" w:type="dxa"/>
            <w:tcMar>
              <w:top w:w="0" w:type="dxa"/>
              <w:left w:w="108" w:type="dxa"/>
              <w:bottom w:w="0" w:type="dxa"/>
              <w:right w:w="108" w:type="dxa"/>
            </w:tcMar>
            <w:vAlign w:val="center"/>
          </w:tcPr>
          <w:p w14:paraId="11490289"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北京市海淀区永嘉北路</w:t>
            </w:r>
            <w:r w:rsidRPr="00B4515A">
              <w:rPr>
                <w:rFonts w:ascii="Times New Roman" w:hAnsi="Times New Roman" w:cs="Times New Roman"/>
                <w:color w:val="000000" w:themeColor="text1"/>
                <w:sz w:val="21"/>
                <w:szCs w:val="21"/>
              </w:rPr>
              <w:t>6</w:t>
            </w:r>
            <w:r w:rsidRPr="00B4515A">
              <w:rPr>
                <w:rFonts w:ascii="Times New Roman" w:hAnsi="Times New Roman" w:cs="Times New Roman" w:hint="eastAsia"/>
                <w:color w:val="000000" w:themeColor="text1"/>
                <w:sz w:val="21"/>
                <w:szCs w:val="21"/>
              </w:rPr>
              <w:t>号</w:t>
            </w:r>
            <w:r w:rsidRPr="00B4515A">
              <w:rPr>
                <w:rFonts w:ascii="Times New Roman" w:hAnsi="Times New Roman" w:cs="Times New Roman"/>
                <w:color w:val="000000" w:themeColor="text1"/>
                <w:sz w:val="21"/>
                <w:szCs w:val="21"/>
              </w:rPr>
              <w:t>5</w:t>
            </w:r>
            <w:r w:rsidRPr="00B4515A">
              <w:rPr>
                <w:rFonts w:ascii="Times New Roman" w:hAnsi="Times New Roman" w:cs="Times New Roman" w:hint="eastAsia"/>
                <w:color w:val="000000" w:themeColor="text1"/>
                <w:sz w:val="21"/>
                <w:szCs w:val="21"/>
              </w:rPr>
              <w:t>幢</w:t>
            </w:r>
          </w:p>
        </w:tc>
      </w:tr>
      <w:tr w:rsidR="006416B0" w:rsidRPr="00B4515A" w14:paraId="6C70AE79" w14:textId="77777777" w:rsidTr="00031627">
        <w:trPr>
          <w:trHeight w:val="340"/>
          <w:jc w:val="center"/>
        </w:trPr>
        <w:tc>
          <w:tcPr>
            <w:tcW w:w="2273" w:type="dxa"/>
            <w:tcMar>
              <w:top w:w="0" w:type="dxa"/>
              <w:left w:w="108" w:type="dxa"/>
              <w:bottom w:w="0" w:type="dxa"/>
              <w:right w:w="108" w:type="dxa"/>
            </w:tcMar>
            <w:vAlign w:val="center"/>
          </w:tcPr>
          <w:p w14:paraId="5D860EBC"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主要办公地址</w:t>
            </w:r>
          </w:p>
        </w:tc>
        <w:tc>
          <w:tcPr>
            <w:tcW w:w="6044" w:type="dxa"/>
            <w:tcMar>
              <w:top w:w="0" w:type="dxa"/>
              <w:left w:w="108" w:type="dxa"/>
              <w:bottom w:w="0" w:type="dxa"/>
              <w:right w:w="108" w:type="dxa"/>
            </w:tcMar>
            <w:vAlign w:val="center"/>
          </w:tcPr>
          <w:p w14:paraId="7AF036BB"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北京市海淀区永嘉北路</w:t>
            </w:r>
            <w:r w:rsidRPr="00B4515A">
              <w:rPr>
                <w:rFonts w:ascii="Times New Roman" w:hAnsi="Times New Roman" w:cs="Times New Roman"/>
                <w:color w:val="000000" w:themeColor="text1"/>
                <w:sz w:val="21"/>
                <w:szCs w:val="21"/>
              </w:rPr>
              <w:t>6</w:t>
            </w:r>
            <w:r w:rsidRPr="00B4515A">
              <w:rPr>
                <w:rFonts w:ascii="Times New Roman" w:hAnsi="Times New Roman" w:cs="Times New Roman" w:hint="eastAsia"/>
                <w:color w:val="000000" w:themeColor="text1"/>
                <w:sz w:val="21"/>
                <w:szCs w:val="21"/>
              </w:rPr>
              <w:t>号</w:t>
            </w:r>
            <w:r w:rsidRPr="00B4515A">
              <w:rPr>
                <w:rFonts w:ascii="Times New Roman" w:hAnsi="Times New Roman" w:cs="Times New Roman"/>
                <w:color w:val="000000" w:themeColor="text1"/>
                <w:sz w:val="21"/>
                <w:szCs w:val="21"/>
              </w:rPr>
              <w:t>5</w:t>
            </w:r>
            <w:r w:rsidRPr="00B4515A">
              <w:rPr>
                <w:rFonts w:ascii="Times New Roman" w:hAnsi="Times New Roman" w:cs="Times New Roman" w:hint="eastAsia"/>
                <w:color w:val="000000" w:themeColor="text1"/>
                <w:sz w:val="21"/>
                <w:szCs w:val="21"/>
              </w:rPr>
              <w:t>幢</w:t>
            </w:r>
          </w:p>
        </w:tc>
      </w:tr>
      <w:tr w:rsidR="006416B0" w:rsidRPr="00B4515A" w14:paraId="16E14E08" w14:textId="77777777" w:rsidTr="00031627">
        <w:trPr>
          <w:trHeight w:val="340"/>
          <w:jc w:val="center"/>
        </w:trPr>
        <w:tc>
          <w:tcPr>
            <w:tcW w:w="2273" w:type="dxa"/>
            <w:tcMar>
              <w:top w:w="0" w:type="dxa"/>
              <w:left w:w="108" w:type="dxa"/>
              <w:bottom w:w="0" w:type="dxa"/>
              <w:right w:w="108" w:type="dxa"/>
            </w:tcMar>
            <w:vAlign w:val="center"/>
          </w:tcPr>
          <w:p w14:paraId="39E2529E"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邮政编码</w:t>
            </w:r>
          </w:p>
        </w:tc>
        <w:tc>
          <w:tcPr>
            <w:tcW w:w="6044" w:type="dxa"/>
            <w:tcMar>
              <w:top w:w="0" w:type="dxa"/>
              <w:left w:w="108" w:type="dxa"/>
              <w:bottom w:w="0" w:type="dxa"/>
              <w:right w:w="108" w:type="dxa"/>
            </w:tcMar>
            <w:vAlign w:val="center"/>
          </w:tcPr>
          <w:p w14:paraId="3A883836"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100094</w:t>
            </w:r>
          </w:p>
        </w:tc>
      </w:tr>
      <w:tr w:rsidR="006416B0" w:rsidRPr="00B4515A" w14:paraId="1A952F42" w14:textId="77777777" w:rsidTr="00031627">
        <w:trPr>
          <w:trHeight w:val="340"/>
          <w:jc w:val="center"/>
        </w:trPr>
        <w:tc>
          <w:tcPr>
            <w:tcW w:w="2273" w:type="dxa"/>
            <w:tcMar>
              <w:top w:w="0" w:type="dxa"/>
              <w:left w:w="108" w:type="dxa"/>
              <w:bottom w:w="0" w:type="dxa"/>
              <w:right w:w="108" w:type="dxa"/>
            </w:tcMar>
            <w:vAlign w:val="center"/>
          </w:tcPr>
          <w:p w14:paraId="5C7B3749"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联系电话</w:t>
            </w:r>
          </w:p>
        </w:tc>
        <w:tc>
          <w:tcPr>
            <w:tcW w:w="6044" w:type="dxa"/>
            <w:tcMar>
              <w:top w:w="0" w:type="dxa"/>
              <w:left w:w="108" w:type="dxa"/>
              <w:bottom w:w="0" w:type="dxa"/>
              <w:right w:w="108" w:type="dxa"/>
            </w:tcMar>
            <w:vAlign w:val="center"/>
          </w:tcPr>
          <w:p w14:paraId="7E04D610"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w:t>
            </w:r>
            <w:r w:rsidRPr="00B4515A">
              <w:rPr>
                <w:rFonts w:ascii="Times New Roman" w:hAnsi="Times New Roman" w:cs="Times New Roman" w:hint="eastAsia"/>
                <w:color w:val="000000" w:themeColor="text1"/>
                <w:sz w:val="21"/>
                <w:szCs w:val="21"/>
              </w:rPr>
              <w:t>0</w:t>
            </w:r>
            <w:r w:rsidRPr="00B4515A">
              <w:rPr>
                <w:rFonts w:ascii="Times New Roman" w:hAnsi="Times New Roman" w:cs="Times New Roman"/>
                <w:color w:val="000000" w:themeColor="text1"/>
                <w:sz w:val="21"/>
                <w:szCs w:val="21"/>
              </w:rPr>
              <w:t>10</w:t>
            </w:r>
            <w:r w:rsidRPr="00B4515A">
              <w:rPr>
                <w:rFonts w:ascii="Times New Roman" w:hAnsi="Times New Roman" w:cs="Times New Roman" w:hint="eastAsia"/>
                <w:color w:val="000000" w:themeColor="text1"/>
                <w:sz w:val="21"/>
                <w:szCs w:val="21"/>
              </w:rPr>
              <w:t>）</w:t>
            </w:r>
            <w:r w:rsidRPr="00B4515A">
              <w:rPr>
                <w:rFonts w:ascii="Times New Roman" w:hAnsi="Times New Roman" w:cs="Times New Roman"/>
                <w:color w:val="000000" w:themeColor="text1"/>
                <w:sz w:val="21"/>
                <w:szCs w:val="21"/>
              </w:rPr>
              <w:t>58919172</w:t>
            </w:r>
          </w:p>
        </w:tc>
      </w:tr>
      <w:tr w:rsidR="006416B0" w:rsidRPr="00B4515A" w14:paraId="1B8377FD" w14:textId="77777777" w:rsidTr="00031627">
        <w:trPr>
          <w:trHeight w:val="340"/>
          <w:jc w:val="center"/>
        </w:trPr>
        <w:tc>
          <w:tcPr>
            <w:tcW w:w="2273" w:type="dxa"/>
            <w:tcMar>
              <w:top w:w="0" w:type="dxa"/>
              <w:left w:w="108" w:type="dxa"/>
              <w:bottom w:w="0" w:type="dxa"/>
              <w:right w:w="108" w:type="dxa"/>
            </w:tcMar>
            <w:vAlign w:val="center"/>
          </w:tcPr>
          <w:p w14:paraId="6842ABCD"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公司传真</w:t>
            </w:r>
          </w:p>
        </w:tc>
        <w:tc>
          <w:tcPr>
            <w:tcW w:w="6044" w:type="dxa"/>
            <w:tcMar>
              <w:top w:w="0" w:type="dxa"/>
              <w:left w:w="108" w:type="dxa"/>
              <w:bottom w:w="0" w:type="dxa"/>
              <w:right w:w="108" w:type="dxa"/>
            </w:tcMar>
            <w:vAlign w:val="center"/>
          </w:tcPr>
          <w:p w14:paraId="60C5B37C"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w:t>
            </w:r>
            <w:r w:rsidRPr="00B4515A">
              <w:rPr>
                <w:rFonts w:ascii="Times New Roman" w:hAnsi="Times New Roman" w:cs="Times New Roman" w:hint="eastAsia"/>
                <w:color w:val="000000" w:themeColor="text1"/>
                <w:sz w:val="21"/>
                <w:szCs w:val="21"/>
              </w:rPr>
              <w:t>0</w:t>
            </w:r>
            <w:r w:rsidRPr="00B4515A">
              <w:rPr>
                <w:rFonts w:ascii="Times New Roman" w:hAnsi="Times New Roman" w:cs="Times New Roman"/>
                <w:color w:val="000000" w:themeColor="text1"/>
                <w:sz w:val="21"/>
                <w:szCs w:val="21"/>
              </w:rPr>
              <w:t>10</w:t>
            </w:r>
            <w:r w:rsidRPr="00B4515A">
              <w:rPr>
                <w:rFonts w:ascii="Times New Roman" w:hAnsi="Times New Roman" w:cs="Times New Roman" w:hint="eastAsia"/>
                <w:color w:val="000000" w:themeColor="text1"/>
                <w:sz w:val="21"/>
                <w:szCs w:val="21"/>
              </w:rPr>
              <w:t>）</w:t>
            </w:r>
            <w:r w:rsidRPr="00B4515A">
              <w:rPr>
                <w:rFonts w:ascii="Times New Roman" w:hAnsi="Times New Roman" w:cs="Times New Roman"/>
                <w:color w:val="000000" w:themeColor="text1"/>
                <w:sz w:val="21"/>
                <w:szCs w:val="21"/>
              </w:rPr>
              <w:t>58919173</w:t>
            </w:r>
          </w:p>
        </w:tc>
      </w:tr>
      <w:tr w:rsidR="006416B0" w:rsidRPr="00B4515A" w14:paraId="3E49A6B6" w14:textId="77777777" w:rsidTr="00031627">
        <w:trPr>
          <w:trHeight w:val="340"/>
          <w:jc w:val="center"/>
        </w:trPr>
        <w:tc>
          <w:tcPr>
            <w:tcW w:w="2273" w:type="dxa"/>
            <w:tcMar>
              <w:top w:w="0" w:type="dxa"/>
              <w:left w:w="108" w:type="dxa"/>
              <w:bottom w:w="0" w:type="dxa"/>
              <w:right w:w="108" w:type="dxa"/>
            </w:tcMar>
            <w:vAlign w:val="center"/>
          </w:tcPr>
          <w:p w14:paraId="1D9ED385"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互联网网址</w:t>
            </w:r>
          </w:p>
        </w:tc>
        <w:tc>
          <w:tcPr>
            <w:tcW w:w="6044" w:type="dxa"/>
            <w:tcMar>
              <w:top w:w="0" w:type="dxa"/>
              <w:left w:w="108" w:type="dxa"/>
              <w:bottom w:w="0" w:type="dxa"/>
              <w:right w:w="108" w:type="dxa"/>
            </w:tcMar>
            <w:vAlign w:val="center"/>
          </w:tcPr>
          <w:p w14:paraId="7125480A" w14:textId="77777777" w:rsidR="006416B0" w:rsidRPr="00B4515A" w:rsidRDefault="000374A4" w:rsidP="005860B4">
            <w:pPr>
              <w:adjustRightInd w:val="0"/>
              <w:snapToGrid w:val="0"/>
              <w:rPr>
                <w:rFonts w:ascii="Times New Roman" w:hAnsi="Times New Roman" w:cs="Times New Roman"/>
                <w:color w:val="000000" w:themeColor="text1"/>
                <w:sz w:val="21"/>
                <w:szCs w:val="21"/>
              </w:rPr>
            </w:pPr>
            <w:hyperlink r:id="rId13" w:history="1">
              <w:r w:rsidR="005E58C1" w:rsidRPr="00B4515A">
                <w:rPr>
                  <w:rStyle w:val="aff"/>
                  <w:sz w:val="21"/>
                  <w:szCs w:val="21"/>
                </w:rPr>
                <w:t>www.datang.com</w:t>
              </w:r>
            </w:hyperlink>
          </w:p>
        </w:tc>
      </w:tr>
      <w:tr w:rsidR="006416B0" w:rsidRPr="00B4515A" w14:paraId="44A5FFBD" w14:textId="77777777" w:rsidTr="00031627">
        <w:trPr>
          <w:trHeight w:val="340"/>
          <w:jc w:val="center"/>
        </w:trPr>
        <w:tc>
          <w:tcPr>
            <w:tcW w:w="2273" w:type="dxa"/>
            <w:tcMar>
              <w:top w:w="0" w:type="dxa"/>
              <w:left w:w="108" w:type="dxa"/>
              <w:bottom w:w="0" w:type="dxa"/>
              <w:right w:w="108" w:type="dxa"/>
            </w:tcMar>
            <w:vAlign w:val="center"/>
          </w:tcPr>
          <w:p w14:paraId="2A8D705B"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统一社会信用代码</w:t>
            </w:r>
          </w:p>
        </w:tc>
        <w:tc>
          <w:tcPr>
            <w:tcW w:w="6044" w:type="dxa"/>
            <w:tcMar>
              <w:top w:w="0" w:type="dxa"/>
              <w:left w:w="108" w:type="dxa"/>
              <w:bottom w:w="0" w:type="dxa"/>
              <w:right w:w="108" w:type="dxa"/>
            </w:tcMar>
            <w:vAlign w:val="center"/>
          </w:tcPr>
          <w:p w14:paraId="0F1C1D8A"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91110000633709976B</w:t>
            </w:r>
          </w:p>
        </w:tc>
      </w:tr>
      <w:tr w:rsidR="006416B0" w:rsidRPr="00B4515A" w14:paraId="1D5909D4" w14:textId="77777777" w:rsidTr="00031627">
        <w:trPr>
          <w:trHeight w:val="340"/>
          <w:jc w:val="center"/>
        </w:trPr>
        <w:tc>
          <w:tcPr>
            <w:tcW w:w="2273" w:type="dxa"/>
            <w:tcMar>
              <w:top w:w="0" w:type="dxa"/>
              <w:left w:w="108" w:type="dxa"/>
              <w:bottom w:w="0" w:type="dxa"/>
              <w:right w:w="108" w:type="dxa"/>
            </w:tcMar>
            <w:vAlign w:val="center"/>
          </w:tcPr>
          <w:p w14:paraId="2F50CFE0"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经营范围</w:t>
            </w:r>
          </w:p>
        </w:tc>
        <w:tc>
          <w:tcPr>
            <w:tcW w:w="6044" w:type="dxa"/>
            <w:tcMar>
              <w:top w:w="0" w:type="dxa"/>
              <w:left w:w="108" w:type="dxa"/>
              <w:bottom w:w="0" w:type="dxa"/>
              <w:right w:w="108" w:type="dxa"/>
            </w:tcMar>
            <w:vAlign w:val="center"/>
          </w:tcPr>
          <w:p w14:paraId="4A439286"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制造电子及通信设备、移动电话机、仪器仪表、文化办公设备；第二类基础电信业务中的网络托管业务（比照增值电信业务管理）；物业管理；制造电子计算机软硬件及外部设备；技术开发、技术转让、技术咨询、技术服务；计算机系统集成；销售电子及通信设备、移动电话机、仪器仪表、文化办公设备、电子计算机软硬件及外部设备、光电缆、微电子器件、机械设备、电气设备、空调设备、通信基站机房节能设备、专业作业车辆；安装机械设备、电气设备、空调设备；通信及信息系统工程设计；信息服务；技术进出口；货物进出口；代理进出口。</w:t>
            </w:r>
            <w:r w:rsidRPr="00B4515A">
              <w:rPr>
                <w:rFonts w:ascii="Times New Roman" w:hAnsi="Times New Roman" w:cs="Times New Roman"/>
                <w:color w:val="000000" w:themeColor="text1"/>
                <w:sz w:val="21"/>
                <w:szCs w:val="21"/>
              </w:rPr>
              <w:t>（市场主体依法自主选择经营项目，开展经营活动；依法须经批准的项目，经相关部门批准后依批准的内容开展经营活动；不得从事国家和本市产业政策禁止和限制类项目的经营活动。）</w:t>
            </w:r>
          </w:p>
        </w:tc>
      </w:tr>
    </w:tbl>
    <w:p w14:paraId="15EE6B0C" w14:textId="77777777" w:rsidR="006416B0" w:rsidRPr="00B4515A" w:rsidRDefault="005E58C1" w:rsidP="005860B4">
      <w:pPr>
        <w:pStyle w:val="002"/>
        <w:spacing w:before="120" w:after="120"/>
        <w:ind w:firstLine="562"/>
      </w:pPr>
      <w:bookmarkStart w:id="98" w:name="_Toc80960511"/>
      <w:bookmarkStart w:id="99" w:name="_Toc65492063"/>
      <w:bookmarkEnd w:id="97"/>
      <w:r w:rsidRPr="00B4515A">
        <w:rPr>
          <w:rFonts w:hint="eastAsia"/>
        </w:rPr>
        <w:t>二、公司股本结构情况</w:t>
      </w:r>
      <w:bookmarkEnd w:id="98"/>
    </w:p>
    <w:p w14:paraId="768D5D09" w14:textId="484965CF" w:rsidR="006416B0" w:rsidRPr="00B4515A" w:rsidRDefault="005E58C1" w:rsidP="005860B4">
      <w:pPr>
        <w:pStyle w:val="005"/>
        <w:spacing w:before="120" w:after="120"/>
        <w:ind w:firstLine="480"/>
      </w:pPr>
      <w:r w:rsidRPr="00B4515A">
        <w:rPr>
          <w:rFonts w:hint="eastAsia"/>
        </w:rPr>
        <w:t>截至</w:t>
      </w:r>
      <w:r w:rsidRPr="00B4515A">
        <w:t>2021</w:t>
      </w:r>
      <w:r w:rsidRPr="00B4515A">
        <w:rPr>
          <w:rFonts w:hint="eastAsia"/>
        </w:rPr>
        <w:t>年</w:t>
      </w:r>
      <w:r w:rsidR="00267C95" w:rsidRPr="00B4515A">
        <w:t>6</w:t>
      </w:r>
      <w:r w:rsidRPr="00B4515A">
        <w:rPr>
          <w:rFonts w:hint="eastAsia"/>
        </w:rPr>
        <w:t>月</w:t>
      </w:r>
      <w:r w:rsidRPr="00B4515A">
        <w:t>3</w:t>
      </w:r>
      <w:r w:rsidR="00267C95" w:rsidRPr="00B4515A">
        <w:t>0</w:t>
      </w:r>
      <w:r w:rsidRPr="00B4515A">
        <w:rPr>
          <w:rFonts w:hint="eastAsia"/>
        </w:rPr>
        <w:t>日，公司总股本为</w:t>
      </w:r>
      <w:r w:rsidRPr="00B4515A">
        <w:t xml:space="preserve">882,108,472 </w:t>
      </w:r>
      <w:r w:rsidRPr="00B4515A">
        <w:t>股</w:t>
      </w:r>
      <w:r w:rsidRPr="00B4515A">
        <w:rPr>
          <w:rFonts w:hint="eastAsia"/>
        </w:rPr>
        <w:t>，前十大股东情况如下：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71"/>
        <w:gridCol w:w="2468"/>
        <w:gridCol w:w="2859"/>
        <w:gridCol w:w="2330"/>
      </w:tblGrid>
      <w:tr w:rsidR="006416B0" w:rsidRPr="00B4515A" w14:paraId="785843D8" w14:textId="77777777" w:rsidTr="005860B4">
        <w:trPr>
          <w:trHeight w:val="340"/>
          <w:tblHeader/>
          <w:jc w:val="center"/>
        </w:trPr>
        <w:tc>
          <w:tcPr>
            <w:tcW w:w="511" w:type="pct"/>
            <w:tcMar>
              <w:top w:w="0" w:type="dxa"/>
              <w:left w:w="108" w:type="dxa"/>
              <w:bottom w:w="0" w:type="dxa"/>
              <w:right w:w="108" w:type="dxa"/>
            </w:tcMar>
            <w:vAlign w:val="center"/>
          </w:tcPr>
          <w:p w14:paraId="28370C85" w14:textId="77777777" w:rsidR="006416B0" w:rsidRPr="00B4515A" w:rsidRDefault="005E58C1" w:rsidP="002B0582">
            <w:pPr>
              <w:keepNext/>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lastRenderedPageBreak/>
              <w:t>序号</w:t>
            </w:r>
          </w:p>
        </w:tc>
        <w:tc>
          <w:tcPr>
            <w:tcW w:w="1447" w:type="pct"/>
            <w:tcMar>
              <w:top w:w="0" w:type="dxa"/>
              <w:left w:w="108" w:type="dxa"/>
              <w:bottom w:w="0" w:type="dxa"/>
              <w:right w:w="108" w:type="dxa"/>
            </w:tcMar>
            <w:vAlign w:val="center"/>
          </w:tcPr>
          <w:p w14:paraId="62E813AB" w14:textId="77777777" w:rsidR="006416B0" w:rsidRPr="00B4515A" w:rsidRDefault="005E58C1" w:rsidP="002B0582">
            <w:pPr>
              <w:keepNext/>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股东名称</w:t>
            </w:r>
          </w:p>
        </w:tc>
        <w:tc>
          <w:tcPr>
            <w:tcW w:w="1676" w:type="pct"/>
            <w:tcMar>
              <w:top w:w="0" w:type="dxa"/>
              <w:left w:w="108" w:type="dxa"/>
              <w:bottom w:w="0" w:type="dxa"/>
              <w:right w:w="108" w:type="dxa"/>
            </w:tcMar>
            <w:vAlign w:val="center"/>
          </w:tcPr>
          <w:p w14:paraId="7C4780A7" w14:textId="77777777" w:rsidR="006416B0" w:rsidRPr="00B4515A" w:rsidRDefault="005E58C1" w:rsidP="002B0582">
            <w:pPr>
              <w:keepNext/>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持股数量</w:t>
            </w:r>
            <w:r w:rsidRPr="00B4515A">
              <w:rPr>
                <w:rFonts w:ascii="Times New Roman" w:hAnsi="Times New Roman" w:cs="Times New Roman"/>
                <w:b/>
                <w:sz w:val="21"/>
                <w:szCs w:val="21"/>
              </w:rPr>
              <w:t>（</w:t>
            </w:r>
            <w:r w:rsidRPr="00B4515A">
              <w:rPr>
                <w:rFonts w:ascii="Times New Roman" w:hAnsi="Times New Roman" w:cs="Times New Roman" w:hint="eastAsia"/>
                <w:b/>
                <w:sz w:val="21"/>
                <w:szCs w:val="21"/>
              </w:rPr>
              <w:t>股</w:t>
            </w:r>
            <w:r w:rsidRPr="00B4515A">
              <w:rPr>
                <w:rFonts w:ascii="Times New Roman" w:hAnsi="Times New Roman" w:cs="Times New Roman"/>
                <w:b/>
                <w:sz w:val="21"/>
                <w:szCs w:val="21"/>
              </w:rPr>
              <w:t>）</w:t>
            </w:r>
          </w:p>
        </w:tc>
        <w:tc>
          <w:tcPr>
            <w:tcW w:w="1366" w:type="pct"/>
            <w:tcMar>
              <w:top w:w="0" w:type="dxa"/>
              <w:left w:w="108" w:type="dxa"/>
              <w:bottom w:w="0" w:type="dxa"/>
              <w:right w:w="108" w:type="dxa"/>
            </w:tcMar>
            <w:vAlign w:val="center"/>
          </w:tcPr>
          <w:p w14:paraId="5E1F7855" w14:textId="77777777" w:rsidR="006416B0" w:rsidRPr="00B4515A" w:rsidRDefault="005E58C1" w:rsidP="002B0582">
            <w:pPr>
              <w:keepNext/>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持股比例（</w:t>
            </w:r>
            <w:r w:rsidRPr="00B4515A">
              <w:rPr>
                <w:rFonts w:ascii="Times New Roman" w:hAnsi="Times New Roman" w:cs="Times New Roman"/>
                <w:b/>
                <w:sz w:val="21"/>
                <w:szCs w:val="21"/>
              </w:rPr>
              <w:t>%</w:t>
            </w:r>
            <w:r w:rsidRPr="00B4515A">
              <w:rPr>
                <w:rFonts w:ascii="Times New Roman" w:hAnsi="Times New Roman" w:cs="Times New Roman"/>
                <w:b/>
                <w:sz w:val="21"/>
                <w:szCs w:val="21"/>
              </w:rPr>
              <w:t>）</w:t>
            </w:r>
          </w:p>
        </w:tc>
      </w:tr>
      <w:tr w:rsidR="00595F67" w:rsidRPr="00B4515A" w14:paraId="314A72DB" w14:textId="77777777" w:rsidTr="00EE238F">
        <w:trPr>
          <w:trHeight w:val="340"/>
          <w:jc w:val="center"/>
        </w:trPr>
        <w:tc>
          <w:tcPr>
            <w:tcW w:w="511" w:type="pct"/>
            <w:tcMar>
              <w:top w:w="0" w:type="dxa"/>
              <w:left w:w="108" w:type="dxa"/>
              <w:bottom w:w="0" w:type="dxa"/>
              <w:right w:w="108" w:type="dxa"/>
            </w:tcMar>
            <w:vAlign w:val="center"/>
          </w:tcPr>
          <w:p w14:paraId="6D2FB60B" w14:textId="77777777" w:rsidR="00595F67" w:rsidRPr="00B4515A" w:rsidRDefault="00595F6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447" w:type="pct"/>
            <w:tcMar>
              <w:top w:w="0" w:type="dxa"/>
              <w:left w:w="108" w:type="dxa"/>
              <w:bottom w:w="0" w:type="dxa"/>
              <w:right w:w="108" w:type="dxa"/>
            </w:tcMar>
            <w:vAlign w:val="center"/>
          </w:tcPr>
          <w:p w14:paraId="5A67B882" w14:textId="42D39AC1" w:rsidR="00595F67" w:rsidRPr="00B4515A" w:rsidRDefault="00DC7066" w:rsidP="005860B4">
            <w:pPr>
              <w:adjustRightInd w:val="0"/>
              <w:snapToGrid w:val="0"/>
              <w:jc w:val="center"/>
              <w:rPr>
                <w:rFonts w:ascii="Times New Roman" w:hAnsi="Times New Roman" w:cs="Times New Roman"/>
                <w:sz w:val="21"/>
                <w:szCs w:val="21"/>
              </w:rPr>
            </w:pPr>
            <w:r w:rsidRPr="00B4515A">
              <w:rPr>
                <w:rFonts w:hint="eastAsia"/>
                <w:sz w:val="21"/>
                <w:szCs w:val="21"/>
              </w:rPr>
              <w:t>电信科研院</w:t>
            </w:r>
          </w:p>
        </w:tc>
        <w:tc>
          <w:tcPr>
            <w:tcW w:w="1676" w:type="pct"/>
            <w:tcMar>
              <w:top w:w="0" w:type="dxa"/>
              <w:left w:w="108" w:type="dxa"/>
              <w:bottom w:w="0" w:type="dxa"/>
              <w:right w:w="108" w:type="dxa"/>
            </w:tcMar>
            <w:vAlign w:val="center"/>
          </w:tcPr>
          <w:p w14:paraId="581E3E73" w14:textId="77777777"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151,252,178</w:t>
            </w:r>
          </w:p>
        </w:tc>
        <w:tc>
          <w:tcPr>
            <w:tcW w:w="1366" w:type="pct"/>
            <w:tcMar>
              <w:top w:w="0" w:type="dxa"/>
              <w:left w:w="108" w:type="dxa"/>
              <w:bottom w:w="0" w:type="dxa"/>
              <w:right w:w="108" w:type="dxa"/>
            </w:tcMar>
            <w:vAlign w:val="center"/>
          </w:tcPr>
          <w:p w14:paraId="1B4E98D9" w14:textId="77777777"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17.15</w:t>
            </w:r>
          </w:p>
        </w:tc>
      </w:tr>
      <w:tr w:rsidR="00595F67" w:rsidRPr="00B4515A" w14:paraId="2C0C94B4" w14:textId="77777777" w:rsidTr="00EE238F">
        <w:trPr>
          <w:trHeight w:val="340"/>
          <w:jc w:val="center"/>
        </w:trPr>
        <w:tc>
          <w:tcPr>
            <w:tcW w:w="511" w:type="pct"/>
            <w:tcMar>
              <w:top w:w="0" w:type="dxa"/>
              <w:left w:w="108" w:type="dxa"/>
              <w:bottom w:w="0" w:type="dxa"/>
              <w:right w:w="108" w:type="dxa"/>
            </w:tcMar>
            <w:vAlign w:val="center"/>
          </w:tcPr>
          <w:p w14:paraId="102513FA" w14:textId="77777777" w:rsidR="00595F67" w:rsidRPr="00B4515A" w:rsidRDefault="00595F6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2</w:t>
            </w:r>
          </w:p>
        </w:tc>
        <w:tc>
          <w:tcPr>
            <w:tcW w:w="1447" w:type="pct"/>
            <w:tcMar>
              <w:top w:w="0" w:type="dxa"/>
              <w:left w:w="108" w:type="dxa"/>
              <w:bottom w:w="0" w:type="dxa"/>
              <w:right w:w="108" w:type="dxa"/>
            </w:tcMar>
            <w:vAlign w:val="center"/>
          </w:tcPr>
          <w:p w14:paraId="797C1E2E" w14:textId="4AE4AED0" w:rsidR="00595F67" w:rsidRPr="00B4515A" w:rsidRDefault="00DC7066" w:rsidP="005860B4">
            <w:pPr>
              <w:adjustRightInd w:val="0"/>
              <w:snapToGrid w:val="0"/>
              <w:jc w:val="center"/>
              <w:rPr>
                <w:rFonts w:ascii="Times New Roman" w:hAnsi="Times New Roman" w:cs="Times New Roman"/>
                <w:sz w:val="21"/>
                <w:szCs w:val="21"/>
              </w:rPr>
            </w:pPr>
            <w:r w:rsidRPr="00B4515A">
              <w:rPr>
                <w:rFonts w:hint="eastAsia"/>
                <w:sz w:val="21"/>
                <w:szCs w:val="21"/>
              </w:rPr>
              <w:t>大唐控股</w:t>
            </w:r>
          </w:p>
        </w:tc>
        <w:tc>
          <w:tcPr>
            <w:tcW w:w="1676" w:type="pct"/>
            <w:tcMar>
              <w:top w:w="0" w:type="dxa"/>
              <w:left w:w="108" w:type="dxa"/>
              <w:bottom w:w="0" w:type="dxa"/>
              <w:right w:w="108" w:type="dxa"/>
            </w:tcMar>
            <w:vAlign w:val="center"/>
          </w:tcPr>
          <w:p w14:paraId="299ECC0A" w14:textId="77777777"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148,118,845</w:t>
            </w:r>
          </w:p>
        </w:tc>
        <w:tc>
          <w:tcPr>
            <w:tcW w:w="1366" w:type="pct"/>
            <w:tcMar>
              <w:top w:w="0" w:type="dxa"/>
              <w:left w:w="108" w:type="dxa"/>
              <w:bottom w:w="0" w:type="dxa"/>
              <w:right w:w="108" w:type="dxa"/>
            </w:tcMar>
            <w:vAlign w:val="center"/>
          </w:tcPr>
          <w:p w14:paraId="4C0662E4" w14:textId="77777777"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6.79</w:t>
            </w:r>
          </w:p>
        </w:tc>
      </w:tr>
      <w:tr w:rsidR="00595F67" w:rsidRPr="00B4515A" w14:paraId="0FA9AAC3" w14:textId="77777777" w:rsidTr="00EE238F">
        <w:trPr>
          <w:trHeight w:val="340"/>
          <w:jc w:val="center"/>
        </w:trPr>
        <w:tc>
          <w:tcPr>
            <w:tcW w:w="511" w:type="pct"/>
            <w:tcMar>
              <w:top w:w="0" w:type="dxa"/>
              <w:left w:w="108" w:type="dxa"/>
              <w:bottom w:w="0" w:type="dxa"/>
              <w:right w:w="108" w:type="dxa"/>
            </w:tcMar>
            <w:vAlign w:val="center"/>
          </w:tcPr>
          <w:p w14:paraId="79B188FD" w14:textId="77777777" w:rsidR="00595F67" w:rsidRPr="00B4515A" w:rsidRDefault="00595F6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3</w:t>
            </w:r>
          </w:p>
        </w:tc>
        <w:tc>
          <w:tcPr>
            <w:tcW w:w="1447" w:type="pct"/>
            <w:tcMar>
              <w:top w:w="0" w:type="dxa"/>
              <w:left w:w="108" w:type="dxa"/>
              <w:bottom w:w="0" w:type="dxa"/>
              <w:right w:w="108" w:type="dxa"/>
            </w:tcMar>
            <w:vAlign w:val="center"/>
          </w:tcPr>
          <w:p w14:paraId="2AE15CAE" w14:textId="42132D17" w:rsidR="00595F67" w:rsidRPr="00B4515A" w:rsidRDefault="00595F67" w:rsidP="005860B4">
            <w:pPr>
              <w:adjustRightInd w:val="0"/>
              <w:snapToGrid w:val="0"/>
              <w:jc w:val="center"/>
              <w:rPr>
                <w:rFonts w:ascii="Times New Roman" w:hAnsi="Times New Roman" w:cs="Times New Roman"/>
                <w:sz w:val="21"/>
                <w:szCs w:val="21"/>
              </w:rPr>
            </w:pPr>
            <w:r w:rsidRPr="00B4515A">
              <w:rPr>
                <w:rFonts w:hint="eastAsia"/>
                <w:sz w:val="21"/>
                <w:szCs w:val="21"/>
              </w:rPr>
              <w:t>王燕</w:t>
            </w:r>
          </w:p>
        </w:tc>
        <w:tc>
          <w:tcPr>
            <w:tcW w:w="1676" w:type="pct"/>
            <w:tcMar>
              <w:top w:w="0" w:type="dxa"/>
              <w:left w:w="108" w:type="dxa"/>
              <w:bottom w:w="0" w:type="dxa"/>
              <w:right w:w="108" w:type="dxa"/>
            </w:tcMar>
            <w:vAlign w:val="center"/>
          </w:tcPr>
          <w:p w14:paraId="22AD41F9" w14:textId="74B5A8CA"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7,023,200</w:t>
            </w:r>
          </w:p>
        </w:tc>
        <w:tc>
          <w:tcPr>
            <w:tcW w:w="1366" w:type="pct"/>
            <w:tcMar>
              <w:top w:w="0" w:type="dxa"/>
              <w:left w:w="108" w:type="dxa"/>
              <w:bottom w:w="0" w:type="dxa"/>
              <w:right w:w="108" w:type="dxa"/>
            </w:tcMar>
            <w:vAlign w:val="center"/>
          </w:tcPr>
          <w:p w14:paraId="6BC8C139" w14:textId="7AEB05E1"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0.80</w:t>
            </w:r>
          </w:p>
        </w:tc>
      </w:tr>
      <w:tr w:rsidR="00595F67" w:rsidRPr="00B4515A" w14:paraId="03E849AE" w14:textId="77777777" w:rsidTr="00EE238F">
        <w:trPr>
          <w:trHeight w:val="340"/>
          <w:jc w:val="center"/>
        </w:trPr>
        <w:tc>
          <w:tcPr>
            <w:tcW w:w="511" w:type="pct"/>
            <w:tcMar>
              <w:top w:w="0" w:type="dxa"/>
              <w:left w:w="108" w:type="dxa"/>
              <w:bottom w:w="0" w:type="dxa"/>
              <w:right w:w="108" w:type="dxa"/>
            </w:tcMar>
            <w:vAlign w:val="center"/>
          </w:tcPr>
          <w:p w14:paraId="7B08A279" w14:textId="77777777" w:rsidR="00595F67" w:rsidRPr="00B4515A" w:rsidRDefault="00595F6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4</w:t>
            </w:r>
          </w:p>
        </w:tc>
        <w:tc>
          <w:tcPr>
            <w:tcW w:w="1447" w:type="pct"/>
            <w:tcMar>
              <w:top w:w="0" w:type="dxa"/>
              <w:left w:w="108" w:type="dxa"/>
              <w:bottom w:w="0" w:type="dxa"/>
              <w:right w:w="108" w:type="dxa"/>
            </w:tcMar>
            <w:vAlign w:val="center"/>
          </w:tcPr>
          <w:p w14:paraId="154DFF89" w14:textId="254D8F63" w:rsidR="00595F67" w:rsidRPr="00B4515A" w:rsidRDefault="00595F67" w:rsidP="005860B4">
            <w:pPr>
              <w:adjustRightInd w:val="0"/>
              <w:snapToGrid w:val="0"/>
              <w:jc w:val="center"/>
              <w:rPr>
                <w:rFonts w:ascii="Times New Roman" w:hAnsi="Times New Roman" w:cs="Times New Roman"/>
                <w:sz w:val="21"/>
                <w:szCs w:val="21"/>
              </w:rPr>
            </w:pPr>
            <w:r w:rsidRPr="00B4515A">
              <w:rPr>
                <w:rFonts w:hint="eastAsia"/>
                <w:sz w:val="21"/>
                <w:szCs w:val="21"/>
              </w:rPr>
              <w:t>嘉实基金－农业银行－嘉实中证金融资产管理计划</w:t>
            </w:r>
          </w:p>
        </w:tc>
        <w:tc>
          <w:tcPr>
            <w:tcW w:w="1676" w:type="pct"/>
            <w:tcMar>
              <w:top w:w="0" w:type="dxa"/>
              <w:left w:w="108" w:type="dxa"/>
              <w:bottom w:w="0" w:type="dxa"/>
              <w:right w:w="108" w:type="dxa"/>
            </w:tcMar>
            <w:vAlign w:val="center"/>
          </w:tcPr>
          <w:p w14:paraId="6C50DCBF" w14:textId="2B828C2D"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6,882,150</w:t>
            </w:r>
          </w:p>
        </w:tc>
        <w:tc>
          <w:tcPr>
            <w:tcW w:w="1366" w:type="pct"/>
            <w:tcMar>
              <w:top w:w="0" w:type="dxa"/>
              <w:left w:w="108" w:type="dxa"/>
              <w:bottom w:w="0" w:type="dxa"/>
              <w:right w:w="108" w:type="dxa"/>
            </w:tcMar>
            <w:vAlign w:val="center"/>
          </w:tcPr>
          <w:p w14:paraId="75316B24" w14:textId="58398BA2"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0.78</w:t>
            </w:r>
          </w:p>
        </w:tc>
      </w:tr>
      <w:tr w:rsidR="00595F67" w:rsidRPr="00B4515A" w14:paraId="152950F5" w14:textId="77777777" w:rsidTr="00EE238F">
        <w:trPr>
          <w:trHeight w:val="340"/>
          <w:jc w:val="center"/>
        </w:trPr>
        <w:tc>
          <w:tcPr>
            <w:tcW w:w="511" w:type="pct"/>
            <w:tcMar>
              <w:top w:w="0" w:type="dxa"/>
              <w:left w:w="108" w:type="dxa"/>
              <w:bottom w:w="0" w:type="dxa"/>
              <w:right w:w="108" w:type="dxa"/>
            </w:tcMar>
            <w:vAlign w:val="center"/>
          </w:tcPr>
          <w:p w14:paraId="015F4699" w14:textId="77777777" w:rsidR="00595F67" w:rsidRPr="00B4515A" w:rsidRDefault="00595F6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5</w:t>
            </w:r>
          </w:p>
        </w:tc>
        <w:tc>
          <w:tcPr>
            <w:tcW w:w="1447" w:type="pct"/>
            <w:tcMar>
              <w:top w:w="0" w:type="dxa"/>
              <w:left w:w="108" w:type="dxa"/>
              <w:bottom w:w="0" w:type="dxa"/>
              <w:right w:w="108" w:type="dxa"/>
            </w:tcMar>
            <w:vAlign w:val="center"/>
          </w:tcPr>
          <w:p w14:paraId="11F5F3B7" w14:textId="637E9B79" w:rsidR="00595F67" w:rsidRPr="00B4515A" w:rsidRDefault="00595F67" w:rsidP="005860B4">
            <w:pPr>
              <w:adjustRightInd w:val="0"/>
              <w:snapToGrid w:val="0"/>
              <w:jc w:val="center"/>
              <w:rPr>
                <w:rFonts w:ascii="Times New Roman" w:hAnsi="Times New Roman" w:cs="Times New Roman"/>
                <w:sz w:val="21"/>
                <w:szCs w:val="21"/>
              </w:rPr>
            </w:pPr>
            <w:r w:rsidRPr="00B4515A">
              <w:rPr>
                <w:rFonts w:hint="eastAsia"/>
                <w:sz w:val="21"/>
                <w:szCs w:val="21"/>
              </w:rPr>
              <w:t>牛桂兰</w:t>
            </w:r>
          </w:p>
        </w:tc>
        <w:tc>
          <w:tcPr>
            <w:tcW w:w="1676" w:type="pct"/>
            <w:tcMar>
              <w:top w:w="0" w:type="dxa"/>
              <w:left w:w="108" w:type="dxa"/>
              <w:bottom w:w="0" w:type="dxa"/>
              <w:right w:w="108" w:type="dxa"/>
            </w:tcMar>
            <w:vAlign w:val="center"/>
          </w:tcPr>
          <w:p w14:paraId="23938082" w14:textId="0B1F5750"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6,000,000</w:t>
            </w:r>
          </w:p>
        </w:tc>
        <w:tc>
          <w:tcPr>
            <w:tcW w:w="1366" w:type="pct"/>
            <w:tcMar>
              <w:top w:w="0" w:type="dxa"/>
              <w:left w:w="108" w:type="dxa"/>
              <w:bottom w:w="0" w:type="dxa"/>
              <w:right w:w="108" w:type="dxa"/>
            </w:tcMar>
            <w:vAlign w:val="center"/>
          </w:tcPr>
          <w:p w14:paraId="6CB5CA93" w14:textId="4C65502F"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0</w:t>
            </w:r>
            <w:r w:rsidRPr="00B4515A">
              <w:rPr>
                <w:rFonts w:ascii="Times New Roman" w:hAnsi="Times New Roman" w:cs="Times New Roman"/>
                <w:sz w:val="21"/>
                <w:szCs w:val="21"/>
              </w:rPr>
              <w:t>.68</w:t>
            </w:r>
          </w:p>
        </w:tc>
      </w:tr>
      <w:tr w:rsidR="00595F67" w:rsidRPr="00B4515A" w14:paraId="5EFD13CD" w14:textId="77777777" w:rsidTr="00EE238F">
        <w:trPr>
          <w:trHeight w:val="340"/>
          <w:jc w:val="center"/>
        </w:trPr>
        <w:tc>
          <w:tcPr>
            <w:tcW w:w="511" w:type="pct"/>
            <w:tcMar>
              <w:top w:w="0" w:type="dxa"/>
              <w:left w:w="108" w:type="dxa"/>
              <w:bottom w:w="0" w:type="dxa"/>
              <w:right w:w="108" w:type="dxa"/>
            </w:tcMar>
            <w:vAlign w:val="center"/>
          </w:tcPr>
          <w:p w14:paraId="6D137BAD" w14:textId="77777777" w:rsidR="00595F67" w:rsidRPr="00B4515A" w:rsidRDefault="00595F6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6</w:t>
            </w:r>
          </w:p>
        </w:tc>
        <w:tc>
          <w:tcPr>
            <w:tcW w:w="1447" w:type="pct"/>
            <w:tcMar>
              <w:top w:w="0" w:type="dxa"/>
              <w:left w:w="108" w:type="dxa"/>
              <w:bottom w:w="0" w:type="dxa"/>
              <w:right w:w="108" w:type="dxa"/>
            </w:tcMar>
            <w:vAlign w:val="center"/>
          </w:tcPr>
          <w:p w14:paraId="1F7C904A" w14:textId="65C1F6C9" w:rsidR="00595F67" w:rsidRPr="00B4515A" w:rsidRDefault="00595F67" w:rsidP="005860B4">
            <w:pPr>
              <w:adjustRightInd w:val="0"/>
              <w:snapToGrid w:val="0"/>
              <w:jc w:val="center"/>
              <w:rPr>
                <w:rFonts w:ascii="Times New Roman" w:hAnsi="Times New Roman" w:cs="Times New Roman"/>
                <w:sz w:val="21"/>
                <w:szCs w:val="21"/>
              </w:rPr>
            </w:pPr>
            <w:r w:rsidRPr="00B4515A">
              <w:rPr>
                <w:rFonts w:hint="eastAsia"/>
                <w:sz w:val="21"/>
                <w:szCs w:val="21"/>
              </w:rPr>
              <w:t>华夏基金－农业银行－华夏中证金融资产管理计划</w:t>
            </w:r>
          </w:p>
        </w:tc>
        <w:tc>
          <w:tcPr>
            <w:tcW w:w="1676" w:type="pct"/>
            <w:tcMar>
              <w:top w:w="0" w:type="dxa"/>
              <w:left w:w="108" w:type="dxa"/>
              <w:bottom w:w="0" w:type="dxa"/>
              <w:right w:w="108" w:type="dxa"/>
            </w:tcMar>
            <w:vAlign w:val="center"/>
          </w:tcPr>
          <w:p w14:paraId="08B824DA" w14:textId="5D256372"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4,318,040</w:t>
            </w:r>
          </w:p>
        </w:tc>
        <w:tc>
          <w:tcPr>
            <w:tcW w:w="1366" w:type="pct"/>
            <w:tcMar>
              <w:top w:w="0" w:type="dxa"/>
              <w:left w:w="108" w:type="dxa"/>
              <w:bottom w:w="0" w:type="dxa"/>
              <w:right w:w="108" w:type="dxa"/>
            </w:tcMar>
            <w:vAlign w:val="center"/>
          </w:tcPr>
          <w:p w14:paraId="1B6A7AFE" w14:textId="7E64F1DD"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0</w:t>
            </w:r>
            <w:r w:rsidRPr="00B4515A">
              <w:rPr>
                <w:rFonts w:ascii="Times New Roman" w:hAnsi="Times New Roman" w:cs="Times New Roman"/>
                <w:sz w:val="21"/>
                <w:szCs w:val="21"/>
              </w:rPr>
              <w:t>.49</w:t>
            </w:r>
          </w:p>
        </w:tc>
      </w:tr>
      <w:tr w:rsidR="00595F67" w:rsidRPr="00B4515A" w14:paraId="57BF4C30" w14:textId="77777777" w:rsidTr="00EE238F">
        <w:trPr>
          <w:trHeight w:val="340"/>
          <w:jc w:val="center"/>
        </w:trPr>
        <w:tc>
          <w:tcPr>
            <w:tcW w:w="511" w:type="pct"/>
            <w:tcMar>
              <w:top w:w="0" w:type="dxa"/>
              <w:left w:w="108" w:type="dxa"/>
              <w:bottom w:w="0" w:type="dxa"/>
              <w:right w:w="108" w:type="dxa"/>
            </w:tcMar>
            <w:vAlign w:val="center"/>
          </w:tcPr>
          <w:p w14:paraId="2DED7BC9" w14:textId="77777777" w:rsidR="00595F67" w:rsidRPr="00B4515A" w:rsidRDefault="00595F6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7</w:t>
            </w:r>
          </w:p>
        </w:tc>
        <w:tc>
          <w:tcPr>
            <w:tcW w:w="1447" w:type="pct"/>
            <w:tcMar>
              <w:top w:w="0" w:type="dxa"/>
              <w:left w:w="108" w:type="dxa"/>
              <w:bottom w:w="0" w:type="dxa"/>
              <w:right w:w="108" w:type="dxa"/>
            </w:tcMar>
            <w:vAlign w:val="center"/>
          </w:tcPr>
          <w:p w14:paraId="0AB29F78" w14:textId="019FA93E" w:rsidR="00595F67" w:rsidRPr="00B4515A" w:rsidRDefault="00595F67" w:rsidP="005860B4">
            <w:pPr>
              <w:adjustRightInd w:val="0"/>
              <w:snapToGrid w:val="0"/>
              <w:jc w:val="center"/>
              <w:rPr>
                <w:rFonts w:ascii="Times New Roman" w:hAnsi="Times New Roman" w:cs="Times New Roman"/>
                <w:sz w:val="21"/>
                <w:szCs w:val="21"/>
              </w:rPr>
            </w:pPr>
            <w:r w:rsidRPr="00B4515A">
              <w:rPr>
                <w:rFonts w:hint="eastAsia"/>
                <w:sz w:val="21"/>
                <w:szCs w:val="21"/>
              </w:rPr>
              <w:t>高如田</w:t>
            </w:r>
          </w:p>
        </w:tc>
        <w:tc>
          <w:tcPr>
            <w:tcW w:w="1676" w:type="pct"/>
            <w:tcMar>
              <w:top w:w="0" w:type="dxa"/>
              <w:left w:w="108" w:type="dxa"/>
              <w:bottom w:w="0" w:type="dxa"/>
              <w:right w:w="108" w:type="dxa"/>
            </w:tcMar>
            <w:vAlign w:val="center"/>
          </w:tcPr>
          <w:p w14:paraId="019C8315" w14:textId="652C7009"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3,670,000</w:t>
            </w:r>
          </w:p>
        </w:tc>
        <w:tc>
          <w:tcPr>
            <w:tcW w:w="1366" w:type="pct"/>
            <w:tcMar>
              <w:top w:w="0" w:type="dxa"/>
              <w:left w:w="108" w:type="dxa"/>
              <w:bottom w:w="0" w:type="dxa"/>
              <w:right w:w="108" w:type="dxa"/>
            </w:tcMar>
            <w:vAlign w:val="center"/>
          </w:tcPr>
          <w:p w14:paraId="6C5D70DA" w14:textId="74D2F22B"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0</w:t>
            </w:r>
            <w:r w:rsidRPr="00B4515A">
              <w:rPr>
                <w:rFonts w:ascii="Times New Roman" w:hAnsi="Times New Roman" w:cs="Times New Roman"/>
                <w:sz w:val="21"/>
                <w:szCs w:val="21"/>
              </w:rPr>
              <w:t>.42</w:t>
            </w:r>
          </w:p>
        </w:tc>
      </w:tr>
      <w:tr w:rsidR="00595F67" w:rsidRPr="00B4515A" w14:paraId="27E49F2C" w14:textId="77777777" w:rsidTr="00EE238F">
        <w:trPr>
          <w:trHeight w:val="340"/>
          <w:jc w:val="center"/>
        </w:trPr>
        <w:tc>
          <w:tcPr>
            <w:tcW w:w="511" w:type="pct"/>
            <w:tcMar>
              <w:top w:w="0" w:type="dxa"/>
              <w:left w:w="108" w:type="dxa"/>
              <w:bottom w:w="0" w:type="dxa"/>
              <w:right w:w="108" w:type="dxa"/>
            </w:tcMar>
            <w:vAlign w:val="center"/>
          </w:tcPr>
          <w:p w14:paraId="60DAAF84" w14:textId="77777777" w:rsidR="00595F67" w:rsidRPr="00B4515A" w:rsidRDefault="00595F6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8</w:t>
            </w:r>
          </w:p>
        </w:tc>
        <w:tc>
          <w:tcPr>
            <w:tcW w:w="1447" w:type="pct"/>
            <w:tcMar>
              <w:top w:w="0" w:type="dxa"/>
              <w:left w:w="108" w:type="dxa"/>
              <w:bottom w:w="0" w:type="dxa"/>
              <w:right w:w="108" w:type="dxa"/>
            </w:tcMar>
            <w:vAlign w:val="center"/>
          </w:tcPr>
          <w:p w14:paraId="2B716E4B" w14:textId="2C55FFA2" w:rsidR="00595F67" w:rsidRPr="00B4515A" w:rsidRDefault="00595F67" w:rsidP="005860B4">
            <w:pPr>
              <w:adjustRightInd w:val="0"/>
              <w:snapToGrid w:val="0"/>
              <w:jc w:val="center"/>
              <w:rPr>
                <w:rFonts w:ascii="Times New Roman" w:hAnsi="Times New Roman" w:cs="Times New Roman"/>
                <w:sz w:val="21"/>
                <w:szCs w:val="21"/>
              </w:rPr>
            </w:pPr>
            <w:r w:rsidRPr="00B4515A">
              <w:rPr>
                <w:rFonts w:hint="eastAsia"/>
                <w:sz w:val="21"/>
                <w:szCs w:val="21"/>
              </w:rPr>
              <w:t>沈霁</w:t>
            </w:r>
          </w:p>
        </w:tc>
        <w:tc>
          <w:tcPr>
            <w:tcW w:w="1676" w:type="pct"/>
            <w:tcMar>
              <w:top w:w="0" w:type="dxa"/>
              <w:left w:w="108" w:type="dxa"/>
              <w:bottom w:w="0" w:type="dxa"/>
              <w:right w:w="108" w:type="dxa"/>
            </w:tcMar>
            <w:vAlign w:val="center"/>
          </w:tcPr>
          <w:p w14:paraId="39A0FB41" w14:textId="7A3CBBF8"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2,706,300</w:t>
            </w:r>
          </w:p>
        </w:tc>
        <w:tc>
          <w:tcPr>
            <w:tcW w:w="1366" w:type="pct"/>
            <w:tcMar>
              <w:top w:w="0" w:type="dxa"/>
              <w:left w:w="108" w:type="dxa"/>
              <w:bottom w:w="0" w:type="dxa"/>
              <w:right w:w="108" w:type="dxa"/>
            </w:tcMar>
            <w:vAlign w:val="center"/>
          </w:tcPr>
          <w:p w14:paraId="6FD3B571" w14:textId="07041C4C"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0</w:t>
            </w:r>
            <w:r w:rsidRPr="00B4515A">
              <w:rPr>
                <w:rFonts w:ascii="Times New Roman" w:hAnsi="Times New Roman" w:cs="Times New Roman"/>
                <w:sz w:val="21"/>
                <w:szCs w:val="21"/>
              </w:rPr>
              <w:t>.31</w:t>
            </w:r>
          </w:p>
        </w:tc>
      </w:tr>
      <w:tr w:rsidR="00595F67" w:rsidRPr="00B4515A" w14:paraId="163E1DE2" w14:textId="77777777" w:rsidTr="00EE238F">
        <w:trPr>
          <w:trHeight w:val="340"/>
          <w:jc w:val="center"/>
        </w:trPr>
        <w:tc>
          <w:tcPr>
            <w:tcW w:w="511" w:type="pct"/>
            <w:tcMar>
              <w:top w:w="0" w:type="dxa"/>
              <w:left w:w="108" w:type="dxa"/>
              <w:bottom w:w="0" w:type="dxa"/>
              <w:right w:w="108" w:type="dxa"/>
            </w:tcMar>
            <w:vAlign w:val="center"/>
          </w:tcPr>
          <w:p w14:paraId="08BB1CDA" w14:textId="77777777" w:rsidR="00595F67" w:rsidRPr="00B4515A" w:rsidRDefault="00595F6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9</w:t>
            </w:r>
          </w:p>
        </w:tc>
        <w:tc>
          <w:tcPr>
            <w:tcW w:w="1447" w:type="pct"/>
            <w:tcMar>
              <w:top w:w="0" w:type="dxa"/>
              <w:left w:w="108" w:type="dxa"/>
              <w:bottom w:w="0" w:type="dxa"/>
              <w:right w:w="108" w:type="dxa"/>
            </w:tcMar>
            <w:vAlign w:val="center"/>
          </w:tcPr>
          <w:p w14:paraId="0D4E7DB6" w14:textId="43BE452F" w:rsidR="00595F67" w:rsidRPr="00B4515A" w:rsidRDefault="00595F67" w:rsidP="005860B4">
            <w:pPr>
              <w:adjustRightInd w:val="0"/>
              <w:snapToGrid w:val="0"/>
              <w:jc w:val="center"/>
              <w:rPr>
                <w:rFonts w:ascii="Times New Roman" w:hAnsi="Times New Roman" w:cs="Times New Roman"/>
                <w:sz w:val="21"/>
                <w:szCs w:val="21"/>
              </w:rPr>
            </w:pPr>
            <w:r w:rsidRPr="00B4515A">
              <w:rPr>
                <w:rFonts w:hint="eastAsia"/>
                <w:sz w:val="21"/>
                <w:szCs w:val="21"/>
              </w:rPr>
              <w:t>林军丞</w:t>
            </w:r>
          </w:p>
        </w:tc>
        <w:tc>
          <w:tcPr>
            <w:tcW w:w="1676" w:type="pct"/>
            <w:tcMar>
              <w:top w:w="0" w:type="dxa"/>
              <w:left w:w="108" w:type="dxa"/>
              <w:bottom w:w="0" w:type="dxa"/>
              <w:right w:w="108" w:type="dxa"/>
            </w:tcMar>
            <w:vAlign w:val="center"/>
          </w:tcPr>
          <w:p w14:paraId="17397088" w14:textId="7570F10A"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2,142,536</w:t>
            </w:r>
          </w:p>
        </w:tc>
        <w:tc>
          <w:tcPr>
            <w:tcW w:w="1366" w:type="pct"/>
            <w:tcMar>
              <w:top w:w="0" w:type="dxa"/>
              <w:left w:w="108" w:type="dxa"/>
              <w:bottom w:w="0" w:type="dxa"/>
              <w:right w:w="108" w:type="dxa"/>
            </w:tcMar>
            <w:vAlign w:val="center"/>
          </w:tcPr>
          <w:p w14:paraId="119EDAD7" w14:textId="08DC0C17"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0</w:t>
            </w:r>
            <w:r w:rsidRPr="00B4515A">
              <w:rPr>
                <w:rFonts w:ascii="Times New Roman" w:hAnsi="Times New Roman" w:cs="Times New Roman"/>
                <w:sz w:val="21"/>
                <w:szCs w:val="21"/>
              </w:rPr>
              <w:t>.24</w:t>
            </w:r>
          </w:p>
        </w:tc>
      </w:tr>
      <w:tr w:rsidR="00595F67" w:rsidRPr="00B4515A" w14:paraId="2475CF93" w14:textId="77777777" w:rsidTr="00EE238F">
        <w:trPr>
          <w:trHeight w:val="340"/>
          <w:jc w:val="center"/>
        </w:trPr>
        <w:tc>
          <w:tcPr>
            <w:tcW w:w="511" w:type="pct"/>
            <w:tcMar>
              <w:top w:w="0" w:type="dxa"/>
              <w:left w:w="108" w:type="dxa"/>
              <w:bottom w:w="0" w:type="dxa"/>
              <w:right w:w="108" w:type="dxa"/>
            </w:tcMar>
            <w:vAlign w:val="center"/>
          </w:tcPr>
          <w:p w14:paraId="680D2E48" w14:textId="77777777" w:rsidR="00595F67" w:rsidRPr="00B4515A" w:rsidRDefault="00595F6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w:t>
            </w:r>
          </w:p>
        </w:tc>
        <w:tc>
          <w:tcPr>
            <w:tcW w:w="1447" w:type="pct"/>
            <w:tcMar>
              <w:top w:w="0" w:type="dxa"/>
              <w:left w:w="108" w:type="dxa"/>
              <w:bottom w:w="0" w:type="dxa"/>
              <w:right w:w="108" w:type="dxa"/>
            </w:tcMar>
            <w:vAlign w:val="center"/>
          </w:tcPr>
          <w:p w14:paraId="5CB56F6C" w14:textId="7CC880C7" w:rsidR="00595F67" w:rsidRPr="00B4515A" w:rsidRDefault="00595F67" w:rsidP="005860B4">
            <w:pPr>
              <w:adjustRightInd w:val="0"/>
              <w:snapToGrid w:val="0"/>
              <w:jc w:val="center"/>
              <w:rPr>
                <w:rFonts w:ascii="Times New Roman" w:hAnsi="Times New Roman" w:cs="Times New Roman"/>
                <w:sz w:val="21"/>
                <w:szCs w:val="21"/>
              </w:rPr>
            </w:pPr>
            <w:r w:rsidRPr="00B4515A">
              <w:rPr>
                <w:rFonts w:hint="eastAsia"/>
                <w:sz w:val="21"/>
                <w:szCs w:val="21"/>
              </w:rPr>
              <w:t>任文峰</w:t>
            </w:r>
          </w:p>
        </w:tc>
        <w:tc>
          <w:tcPr>
            <w:tcW w:w="1676" w:type="pct"/>
            <w:tcMar>
              <w:top w:w="0" w:type="dxa"/>
              <w:left w:w="108" w:type="dxa"/>
              <w:bottom w:w="0" w:type="dxa"/>
              <w:right w:w="108" w:type="dxa"/>
            </w:tcMar>
            <w:vAlign w:val="center"/>
          </w:tcPr>
          <w:p w14:paraId="37807852" w14:textId="33015BDD"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2,001,500</w:t>
            </w:r>
          </w:p>
        </w:tc>
        <w:tc>
          <w:tcPr>
            <w:tcW w:w="1366" w:type="pct"/>
            <w:tcMar>
              <w:top w:w="0" w:type="dxa"/>
              <w:left w:w="108" w:type="dxa"/>
              <w:bottom w:w="0" w:type="dxa"/>
              <w:right w:w="108" w:type="dxa"/>
            </w:tcMar>
            <w:vAlign w:val="center"/>
          </w:tcPr>
          <w:p w14:paraId="5694C5D1" w14:textId="562DF3A4" w:rsidR="00595F67" w:rsidRPr="00B4515A" w:rsidRDefault="00595F6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0</w:t>
            </w:r>
            <w:r w:rsidRPr="00B4515A">
              <w:rPr>
                <w:rFonts w:ascii="Times New Roman" w:hAnsi="Times New Roman" w:cs="Times New Roman"/>
                <w:sz w:val="21"/>
                <w:szCs w:val="21"/>
              </w:rPr>
              <w:t>.23</w:t>
            </w:r>
          </w:p>
        </w:tc>
      </w:tr>
      <w:tr w:rsidR="006416B0" w:rsidRPr="00B4515A" w14:paraId="1D997055" w14:textId="77777777" w:rsidTr="00031627">
        <w:trPr>
          <w:trHeight w:val="340"/>
          <w:jc w:val="center"/>
        </w:trPr>
        <w:tc>
          <w:tcPr>
            <w:tcW w:w="1958" w:type="pct"/>
            <w:gridSpan w:val="2"/>
            <w:tcMar>
              <w:top w:w="0" w:type="dxa"/>
              <w:left w:w="108" w:type="dxa"/>
              <w:bottom w:w="0" w:type="dxa"/>
              <w:right w:w="108" w:type="dxa"/>
            </w:tcMar>
            <w:vAlign w:val="center"/>
          </w:tcPr>
          <w:p w14:paraId="56A8FC6A"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sz w:val="21"/>
                <w:szCs w:val="21"/>
              </w:rPr>
              <w:t>合计</w:t>
            </w:r>
          </w:p>
        </w:tc>
        <w:tc>
          <w:tcPr>
            <w:tcW w:w="1676" w:type="pct"/>
            <w:tcMar>
              <w:top w:w="0" w:type="dxa"/>
              <w:left w:w="108" w:type="dxa"/>
              <w:bottom w:w="0" w:type="dxa"/>
              <w:right w:w="108" w:type="dxa"/>
            </w:tcMar>
            <w:vAlign w:val="center"/>
          </w:tcPr>
          <w:p w14:paraId="2BE84953" w14:textId="631819F4"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3</w:t>
            </w:r>
            <w:r w:rsidR="00595F67" w:rsidRPr="00B4515A">
              <w:rPr>
                <w:rFonts w:ascii="Times New Roman" w:hAnsi="Times New Roman" w:cs="Times New Roman"/>
                <w:b/>
                <w:sz w:val="21"/>
                <w:szCs w:val="21"/>
              </w:rPr>
              <w:t>34</w:t>
            </w:r>
            <w:r w:rsidR="00FE7BD3" w:rsidRPr="00B4515A">
              <w:rPr>
                <w:rFonts w:ascii="Times New Roman" w:hAnsi="Times New Roman" w:cs="Times New Roman" w:hint="eastAsia"/>
                <w:b/>
                <w:sz w:val="21"/>
                <w:szCs w:val="21"/>
              </w:rPr>
              <w:t>,</w:t>
            </w:r>
            <w:r w:rsidR="00595F67" w:rsidRPr="00B4515A">
              <w:rPr>
                <w:rFonts w:ascii="Times New Roman" w:hAnsi="Times New Roman" w:cs="Times New Roman"/>
                <w:b/>
                <w:sz w:val="21"/>
                <w:szCs w:val="21"/>
              </w:rPr>
              <w:t>114</w:t>
            </w:r>
            <w:r w:rsidR="00595F67" w:rsidRPr="00B4515A">
              <w:rPr>
                <w:rFonts w:ascii="Times New Roman" w:hAnsi="Times New Roman" w:cs="Times New Roman" w:hint="eastAsia"/>
                <w:b/>
                <w:sz w:val="21"/>
                <w:szCs w:val="21"/>
              </w:rPr>
              <w:t>,</w:t>
            </w:r>
            <w:r w:rsidR="00595F67" w:rsidRPr="00B4515A">
              <w:rPr>
                <w:rFonts w:ascii="Times New Roman" w:hAnsi="Times New Roman" w:cs="Times New Roman"/>
                <w:b/>
                <w:sz w:val="21"/>
                <w:szCs w:val="21"/>
              </w:rPr>
              <w:t>749</w:t>
            </w:r>
          </w:p>
        </w:tc>
        <w:tc>
          <w:tcPr>
            <w:tcW w:w="1366" w:type="pct"/>
            <w:tcMar>
              <w:top w:w="0" w:type="dxa"/>
              <w:left w:w="108" w:type="dxa"/>
              <w:bottom w:w="0" w:type="dxa"/>
              <w:right w:w="108" w:type="dxa"/>
            </w:tcMar>
            <w:vAlign w:val="center"/>
          </w:tcPr>
          <w:p w14:paraId="0951AE54" w14:textId="2EA89DAD"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3</w:t>
            </w:r>
            <w:r w:rsidR="00595F67" w:rsidRPr="00B4515A">
              <w:rPr>
                <w:rFonts w:ascii="Times New Roman" w:hAnsi="Times New Roman" w:cs="Times New Roman"/>
                <w:b/>
                <w:sz w:val="21"/>
                <w:szCs w:val="21"/>
              </w:rPr>
              <w:t>7.89</w:t>
            </w:r>
          </w:p>
        </w:tc>
      </w:tr>
    </w:tbl>
    <w:p w14:paraId="53DE1E27" w14:textId="77777777" w:rsidR="006416B0" w:rsidRPr="00B4515A" w:rsidRDefault="005E58C1" w:rsidP="005860B4">
      <w:pPr>
        <w:pStyle w:val="002"/>
        <w:spacing w:before="120" w:after="120"/>
        <w:ind w:firstLine="562"/>
      </w:pPr>
      <w:bookmarkStart w:id="100" w:name="_Toc80960512"/>
      <w:r w:rsidRPr="00B4515A">
        <w:rPr>
          <w:rFonts w:hint="eastAsia"/>
        </w:rPr>
        <w:t>三、公司设立、上市及历次股本变动情况</w:t>
      </w:r>
      <w:bookmarkEnd w:id="100"/>
    </w:p>
    <w:p w14:paraId="0B37B130" w14:textId="77777777" w:rsidR="006416B0" w:rsidRPr="00B4515A" w:rsidRDefault="005E58C1" w:rsidP="005860B4">
      <w:pPr>
        <w:pStyle w:val="003"/>
        <w:spacing w:before="120"/>
        <w:ind w:firstLine="482"/>
      </w:pPr>
      <w:r w:rsidRPr="00B4515A">
        <w:rPr>
          <w:rFonts w:hint="eastAsia"/>
        </w:rPr>
        <w:t>（一）大唐电信设立及首次公开发行股票情况</w:t>
      </w:r>
    </w:p>
    <w:p w14:paraId="72952AF1" w14:textId="77777777" w:rsidR="006416B0" w:rsidRPr="00B4515A" w:rsidRDefault="005E58C1" w:rsidP="005860B4">
      <w:pPr>
        <w:pStyle w:val="005"/>
        <w:spacing w:before="120" w:after="120"/>
        <w:ind w:firstLine="480"/>
      </w:pPr>
      <w:r w:rsidRPr="00B4515A">
        <w:t>1998</w:t>
      </w:r>
      <w:r w:rsidRPr="00B4515A">
        <w:rPr>
          <w:rFonts w:hint="eastAsia"/>
        </w:rPr>
        <w:t>年</w:t>
      </w:r>
      <w:r w:rsidRPr="00B4515A">
        <w:t>9</w:t>
      </w:r>
      <w:r w:rsidRPr="00B4515A">
        <w:rPr>
          <w:rFonts w:hint="eastAsia"/>
        </w:rPr>
        <w:t>月</w:t>
      </w:r>
      <w:r w:rsidRPr="00B4515A">
        <w:t>21</w:t>
      </w:r>
      <w:r w:rsidRPr="00B4515A">
        <w:rPr>
          <w:rFonts w:hint="eastAsia"/>
        </w:rPr>
        <w:t>日，根据原邮电部《关于同意设立大唐电信科技股份有限公司及发行</w:t>
      </w:r>
      <w:r w:rsidRPr="00B4515A">
        <w:t>A</w:t>
      </w:r>
      <w:r w:rsidRPr="00B4515A">
        <w:rPr>
          <w:rFonts w:hint="eastAsia"/>
        </w:rPr>
        <w:t>股并上市的批复》（</w:t>
      </w:r>
      <w:r w:rsidRPr="00B4515A">
        <w:rPr>
          <w:rFonts w:hint="eastAsia"/>
        </w:rPr>
        <w:t>[</w:t>
      </w:r>
      <w:r w:rsidRPr="00B4515A">
        <w:t>1998</w:t>
      </w:r>
      <w:r w:rsidRPr="00B4515A">
        <w:rPr>
          <w:rFonts w:hint="eastAsia"/>
        </w:rPr>
        <w:t>]</w:t>
      </w:r>
      <w:r w:rsidRPr="00B4515A">
        <w:t>326</w:t>
      </w:r>
      <w:r w:rsidRPr="00B4515A">
        <w:rPr>
          <w:rFonts w:hint="eastAsia"/>
        </w:rPr>
        <w:t>号文），经国家经贸委《关于同意设立大唐电信科技股份有限公司的复函》（国经贸企改（</w:t>
      </w:r>
      <w:r w:rsidRPr="00B4515A">
        <w:t>1998</w:t>
      </w:r>
      <w:r w:rsidRPr="00B4515A">
        <w:rPr>
          <w:rFonts w:hint="eastAsia"/>
        </w:rPr>
        <w:t>）</w:t>
      </w:r>
      <w:r w:rsidRPr="00B4515A">
        <w:t>543</w:t>
      </w:r>
      <w:r w:rsidRPr="00B4515A">
        <w:rPr>
          <w:rFonts w:hint="eastAsia"/>
        </w:rPr>
        <w:t>号）批准，电信科研院作为主要发起人，联合电信科学技术第十研究所、国际电话数据传输公司、西安</w:t>
      </w:r>
      <w:r w:rsidRPr="00B4515A">
        <w:rPr>
          <w:rFonts w:hint="eastAsia"/>
          <w:bCs/>
          <w:color w:val="000000" w:themeColor="text1"/>
        </w:rPr>
        <w:t>高科</w:t>
      </w:r>
      <w:r w:rsidRPr="00B4515A">
        <w:rPr>
          <w:rFonts w:hint="eastAsia"/>
        </w:rPr>
        <w:t>（集团）公司、</w:t>
      </w:r>
      <w:hyperlink r:id="rId14" w:tgtFrame="https://www.jianweidata.com/_blank" w:history="1">
        <w:r w:rsidRPr="00B4515A">
          <w:rPr>
            <w:rFonts w:hint="eastAsia"/>
          </w:rPr>
          <w:t>北京凯腾飞信息技术有限公司</w:t>
        </w:r>
      </w:hyperlink>
      <w:r w:rsidRPr="00B4515A">
        <w:rPr>
          <w:rFonts w:hint="eastAsia"/>
        </w:rPr>
        <w:t>、陕西省国际信托投资股份有限公司、</w:t>
      </w:r>
      <w:hyperlink r:id="rId15" w:tgtFrame="https://www.jianweidata.com/_blank" w:history="1">
        <w:r w:rsidRPr="00B4515A">
          <w:rPr>
            <w:rFonts w:hint="eastAsia"/>
          </w:rPr>
          <w:t>湖南南天集团有限公司</w:t>
        </w:r>
      </w:hyperlink>
      <w:r w:rsidRPr="00B4515A">
        <w:rPr>
          <w:rFonts w:hint="eastAsia"/>
        </w:rPr>
        <w:t>、</w:t>
      </w:r>
      <w:hyperlink r:id="rId16" w:tgtFrame="https://www.jianweidata.com/_blank" w:history="1">
        <w:r w:rsidRPr="00B4515A">
          <w:rPr>
            <w:rFonts w:hint="eastAsia"/>
          </w:rPr>
          <w:t>广东益源通信技术有限公司</w:t>
        </w:r>
      </w:hyperlink>
      <w:r w:rsidRPr="00B4515A">
        <w:rPr>
          <w:rFonts w:hint="eastAsia"/>
        </w:rPr>
        <w:t>、陕西顺达通信公司、山东邮电实业总公司、山西鸿飞通信实业总公司、河北通信发展股份有限公司、信息产业部北京设计院共</w:t>
      </w:r>
      <w:r w:rsidRPr="00B4515A">
        <w:t>13</w:t>
      </w:r>
      <w:r w:rsidRPr="00B4515A">
        <w:rPr>
          <w:rFonts w:hint="eastAsia"/>
        </w:rPr>
        <w:t>家发起人共同发起，以募集设立方式组建大唐电信科技股份有限公司。</w:t>
      </w:r>
    </w:p>
    <w:p w14:paraId="5F9D5BB5" w14:textId="77777777" w:rsidR="006416B0" w:rsidRPr="00B4515A" w:rsidRDefault="005E58C1" w:rsidP="005860B4">
      <w:pPr>
        <w:pStyle w:val="005"/>
        <w:spacing w:before="120" w:after="120"/>
        <w:ind w:firstLine="480"/>
        <w:rPr>
          <w:bCs/>
          <w:color w:val="000000" w:themeColor="text1"/>
        </w:rPr>
      </w:pPr>
      <w:r w:rsidRPr="00B4515A">
        <w:rPr>
          <w:rFonts w:hint="eastAsia"/>
          <w:bCs/>
          <w:color w:val="000000" w:themeColor="text1"/>
        </w:rPr>
        <w:t>根据中国证监会《关于大唐电信科技股份有限公司（筹）申请公开发行股票的批复》（证监发字［</w:t>
      </w:r>
      <w:r w:rsidRPr="00B4515A">
        <w:rPr>
          <w:bCs/>
          <w:color w:val="000000" w:themeColor="text1"/>
        </w:rPr>
        <w:t>1998</w:t>
      </w:r>
      <w:r w:rsidRPr="00B4515A">
        <w:rPr>
          <w:rFonts w:hint="eastAsia"/>
          <w:bCs/>
          <w:color w:val="000000" w:themeColor="text1"/>
        </w:rPr>
        <w:t>］</w:t>
      </w:r>
      <w:r w:rsidRPr="00B4515A">
        <w:rPr>
          <w:bCs/>
          <w:color w:val="000000" w:themeColor="text1"/>
        </w:rPr>
        <w:t>211</w:t>
      </w:r>
      <w:r w:rsidRPr="00B4515A">
        <w:rPr>
          <w:rFonts w:hint="eastAsia"/>
          <w:bCs/>
          <w:color w:val="000000" w:themeColor="text1"/>
        </w:rPr>
        <w:t>号文件）及中国证监会《关于大唐电信科技股份有限公司（筹）</w:t>
      </w:r>
      <w:r w:rsidRPr="00B4515A">
        <w:rPr>
          <w:bCs/>
          <w:color w:val="000000" w:themeColor="text1"/>
        </w:rPr>
        <w:t>A</w:t>
      </w:r>
      <w:r w:rsidRPr="00B4515A">
        <w:rPr>
          <w:rFonts w:hint="eastAsia"/>
          <w:bCs/>
          <w:color w:val="000000" w:themeColor="text1"/>
        </w:rPr>
        <w:t>股发行方案的批复》（证监发字［</w:t>
      </w:r>
      <w:r w:rsidRPr="00B4515A">
        <w:rPr>
          <w:bCs/>
          <w:color w:val="000000" w:themeColor="text1"/>
        </w:rPr>
        <w:t>1998</w:t>
      </w:r>
      <w:r w:rsidRPr="00B4515A">
        <w:rPr>
          <w:rFonts w:hint="eastAsia"/>
          <w:bCs/>
          <w:color w:val="000000" w:themeColor="text1"/>
        </w:rPr>
        <w:t>］</w:t>
      </w:r>
      <w:r w:rsidRPr="00B4515A">
        <w:rPr>
          <w:bCs/>
          <w:color w:val="000000" w:themeColor="text1"/>
        </w:rPr>
        <w:t>212</w:t>
      </w:r>
      <w:r w:rsidRPr="00B4515A">
        <w:rPr>
          <w:rFonts w:hint="eastAsia"/>
          <w:bCs/>
          <w:color w:val="000000" w:themeColor="text1"/>
        </w:rPr>
        <w:t>号文件），大唐电信于</w:t>
      </w:r>
      <w:r w:rsidRPr="00B4515A">
        <w:rPr>
          <w:bCs/>
          <w:color w:val="000000" w:themeColor="text1"/>
        </w:rPr>
        <w:t>1998</w:t>
      </w:r>
      <w:r w:rsidRPr="00B4515A">
        <w:rPr>
          <w:rFonts w:hint="eastAsia"/>
          <w:bCs/>
          <w:color w:val="000000" w:themeColor="text1"/>
        </w:rPr>
        <w:t>年</w:t>
      </w:r>
      <w:r w:rsidRPr="00B4515A">
        <w:rPr>
          <w:bCs/>
          <w:color w:val="000000" w:themeColor="text1"/>
        </w:rPr>
        <w:t>8</w:t>
      </w:r>
      <w:r w:rsidRPr="00B4515A">
        <w:rPr>
          <w:rFonts w:hint="eastAsia"/>
          <w:bCs/>
          <w:color w:val="000000" w:themeColor="text1"/>
        </w:rPr>
        <w:t>月</w:t>
      </w:r>
      <w:r w:rsidRPr="00B4515A">
        <w:rPr>
          <w:bCs/>
          <w:color w:val="000000" w:themeColor="text1"/>
        </w:rPr>
        <w:t>7</w:t>
      </w:r>
      <w:r w:rsidRPr="00B4515A">
        <w:rPr>
          <w:rFonts w:hint="eastAsia"/>
          <w:bCs/>
          <w:color w:val="000000" w:themeColor="text1"/>
        </w:rPr>
        <w:t>日首次向社会公众发行了人民币普通股</w:t>
      </w:r>
      <w:r w:rsidRPr="00B4515A">
        <w:rPr>
          <w:bCs/>
          <w:color w:val="000000" w:themeColor="text1"/>
        </w:rPr>
        <w:t>10,000</w:t>
      </w:r>
      <w:r w:rsidRPr="00B4515A">
        <w:rPr>
          <w:rFonts w:hint="eastAsia"/>
          <w:bCs/>
          <w:color w:val="000000" w:themeColor="text1"/>
        </w:rPr>
        <w:t>万股，每股发行价格为</w:t>
      </w:r>
      <w:r w:rsidRPr="00B4515A">
        <w:rPr>
          <w:bCs/>
          <w:color w:val="000000" w:themeColor="text1"/>
        </w:rPr>
        <w:t>5.98</w:t>
      </w:r>
      <w:r w:rsidRPr="00B4515A">
        <w:rPr>
          <w:rFonts w:hint="eastAsia"/>
          <w:bCs/>
          <w:color w:val="000000" w:themeColor="text1"/>
        </w:rPr>
        <w:t>元，所发行股票于</w:t>
      </w:r>
      <w:r w:rsidRPr="00B4515A">
        <w:rPr>
          <w:bCs/>
          <w:color w:val="000000" w:themeColor="text1"/>
        </w:rPr>
        <w:t>1998</w:t>
      </w:r>
      <w:r w:rsidRPr="00B4515A">
        <w:rPr>
          <w:rFonts w:hint="eastAsia"/>
          <w:bCs/>
          <w:color w:val="000000" w:themeColor="text1"/>
        </w:rPr>
        <w:t>年</w:t>
      </w:r>
      <w:r w:rsidRPr="00B4515A">
        <w:rPr>
          <w:bCs/>
          <w:color w:val="000000" w:themeColor="text1"/>
        </w:rPr>
        <w:t>10</w:t>
      </w:r>
      <w:r w:rsidRPr="00B4515A">
        <w:rPr>
          <w:rFonts w:hint="eastAsia"/>
          <w:bCs/>
          <w:color w:val="000000" w:themeColor="text1"/>
        </w:rPr>
        <w:t>月</w:t>
      </w:r>
      <w:r w:rsidRPr="00B4515A">
        <w:rPr>
          <w:bCs/>
          <w:color w:val="000000" w:themeColor="text1"/>
        </w:rPr>
        <w:t>21</w:t>
      </w:r>
      <w:r w:rsidRPr="00B4515A">
        <w:rPr>
          <w:rFonts w:hint="eastAsia"/>
          <w:bCs/>
          <w:color w:val="000000" w:themeColor="text1"/>
        </w:rPr>
        <w:t>日在上海证券交易所挂牌交易。陕西岳华会计师事务所出具了《验资报告》（陕岳会验字（</w:t>
      </w:r>
      <w:r w:rsidRPr="00B4515A">
        <w:rPr>
          <w:bCs/>
          <w:color w:val="000000" w:themeColor="text1"/>
        </w:rPr>
        <w:t>1998</w:t>
      </w:r>
      <w:r w:rsidRPr="00B4515A">
        <w:rPr>
          <w:rFonts w:hint="eastAsia"/>
          <w:bCs/>
          <w:color w:val="000000" w:themeColor="text1"/>
        </w:rPr>
        <w:t>）</w:t>
      </w:r>
      <w:r w:rsidRPr="00B4515A">
        <w:rPr>
          <w:bCs/>
          <w:color w:val="000000" w:themeColor="text1"/>
        </w:rPr>
        <w:t>026</w:t>
      </w:r>
      <w:r w:rsidRPr="00B4515A">
        <w:rPr>
          <w:rFonts w:hint="eastAsia"/>
          <w:bCs/>
          <w:color w:val="000000" w:themeColor="text1"/>
        </w:rPr>
        <w:t>号），</w:t>
      </w:r>
      <w:r w:rsidRPr="00B4515A">
        <w:rPr>
          <w:rFonts w:hint="eastAsia"/>
          <w:bCs/>
          <w:color w:val="000000" w:themeColor="text1"/>
        </w:rPr>
        <w:lastRenderedPageBreak/>
        <w:t>对本次募集设立进行了审验。首次公开发行股票后，公司总股本为</w:t>
      </w:r>
      <w:r w:rsidRPr="00B4515A">
        <w:rPr>
          <w:bCs/>
          <w:color w:val="000000" w:themeColor="text1"/>
        </w:rPr>
        <w:t>31,300</w:t>
      </w:r>
      <w:r w:rsidRPr="00B4515A">
        <w:rPr>
          <w:rFonts w:hint="eastAsia"/>
          <w:bCs/>
          <w:color w:val="000000" w:themeColor="text1"/>
        </w:rPr>
        <w:t>万股。</w:t>
      </w:r>
    </w:p>
    <w:p w14:paraId="32D407D8" w14:textId="77777777" w:rsidR="006416B0" w:rsidRPr="00B4515A" w:rsidRDefault="005E58C1" w:rsidP="005860B4">
      <w:pPr>
        <w:pStyle w:val="003"/>
        <w:spacing w:before="120"/>
        <w:ind w:firstLine="482"/>
      </w:pPr>
      <w:r w:rsidRPr="00B4515A">
        <w:rPr>
          <w:rFonts w:hint="eastAsia"/>
        </w:rPr>
        <w:t>（二）大唐电信首次公开发行并上市后股本变动及重要股权变动情况</w:t>
      </w:r>
    </w:p>
    <w:p w14:paraId="0B3DC230" w14:textId="77777777" w:rsidR="006416B0" w:rsidRPr="00B4515A" w:rsidRDefault="005E58C1" w:rsidP="005860B4">
      <w:pPr>
        <w:pStyle w:val="004"/>
        <w:spacing w:before="120" w:after="120"/>
        <w:ind w:firstLine="482"/>
      </w:pPr>
      <w:r w:rsidRPr="00B4515A">
        <w:t>1</w:t>
      </w:r>
      <w:r w:rsidRPr="00B4515A">
        <w:rPr>
          <w:rFonts w:hint="eastAsia"/>
        </w:rPr>
        <w:t>、</w:t>
      </w:r>
      <w:r w:rsidRPr="00B4515A">
        <w:t>2000</w:t>
      </w:r>
      <w:r w:rsidRPr="00B4515A">
        <w:rPr>
          <w:rFonts w:hint="eastAsia"/>
        </w:rPr>
        <w:t>年配股</w:t>
      </w:r>
    </w:p>
    <w:p w14:paraId="5B4F614F" w14:textId="77777777" w:rsidR="006416B0" w:rsidRPr="00B4515A" w:rsidRDefault="005E58C1" w:rsidP="005860B4">
      <w:pPr>
        <w:pStyle w:val="005"/>
        <w:spacing w:before="120" w:after="120"/>
        <w:ind w:firstLine="480"/>
        <w:rPr>
          <w:b/>
        </w:rPr>
      </w:pPr>
      <w:r w:rsidRPr="00B4515A">
        <w:rPr>
          <w:rFonts w:hint="eastAsia"/>
        </w:rPr>
        <w:t>根据公司</w:t>
      </w:r>
      <w:r w:rsidRPr="00B4515A">
        <w:t>1999</w:t>
      </w:r>
      <w:r w:rsidRPr="00B4515A">
        <w:rPr>
          <w:rFonts w:hint="eastAsia"/>
        </w:rPr>
        <w:t>年度股东大会决议，并经中国证监会证监公司字</w:t>
      </w:r>
      <w:r w:rsidRPr="00B4515A">
        <w:rPr>
          <w:rFonts w:hint="eastAsia"/>
        </w:rPr>
        <w:t>[</w:t>
      </w:r>
      <w:r w:rsidRPr="00B4515A">
        <w:t>2000</w:t>
      </w:r>
      <w:r w:rsidRPr="00B4515A">
        <w:rPr>
          <w:rFonts w:hint="eastAsia"/>
        </w:rPr>
        <w:t>]</w:t>
      </w:r>
      <w:r w:rsidRPr="00B4515A">
        <w:rPr>
          <w:rFonts w:hint="eastAsia"/>
        </w:rPr>
        <w:t>第</w:t>
      </w:r>
      <w:r w:rsidRPr="00B4515A">
        <w:t>46</w:t>
      </w:r>
      <w:r w:rsidRPr="00B4515A">
        <w:rPr>
          <w:rFonts w:hint="eastAsia"/>
        </w:rPr>
        <w:t>号文批准，公司以</w:t>
      </w:r>
      <w:r w:rsidRPr="00B4515A">
        <w:t>1999</w:t>
      </w:r>
      <w:r w:rsidRPr="00B4515A">
        <w:rPr>
          <w:rFonts w:hint="eastAsia"/>
        </w:rPr>
        <w:t>年末股本</w:t>
      </w:r>
      <w:r w:rsidRPr="00B4515A">
        <w:t>31,300</w:t>
      </w:r>
      <w:r w:rsidRPr="00B4515A">
        <w:rPr>
          <w:rFonts w:hint="eastAsia"/>
        </w:rPr>
        <w:t>万股为基数，按照</w:t>
      </w:r>
      <w:r w:rsidRPr="00B4515A">
        <w:t>10:3</w:t>
      </w:r>
      <w:r w:rsidRPr="00B4515A">
        <w:rPr>
          <w:rFonts w:hint="eastAsia"/>
        </w:rPr>
        <w:t>的比例向全体股东配售股份，配股价格为每股人民币</w:t>
      </w:r>
      <w:r w:rsidRPr="00B4515A">
        <w:t>26</w:t>
      </w:r>
      <w:r w:rsidRPr="00B4515A">
        <w:rPr>
          <w:rFonts w:hint="eastAsia"/>
        </w:rPr>
        <w:t>元。公司控股股东电信科研院以货币</w:t>
      </w:r>
      <w:r w:rsidRPr="00B4515A">
        <w:t>417.23</w:t>
      </w:r>
      <w:r w:rsidRPr="00B4515A">
        <w:rPr>
          <w:rFonts w:hint="eastAsia"/>
        </w:rPr>
        <w:t>万元和经评估实物资产</w:t>
      </w:r>
      <w:r w:rsidRPr="00B4515A">
        <w:t>5,007.41</w:t>
      </w:r>
      <w:r w:rsidRPr="00B4515A">
        <w:rPr>
          <w:rFonts w:hint="eastAsia"/>
        </w:rPr>
        <w:t>万元认配</w:t>
      </w:r>
      <w:r w:rsidRPr="00B4515A">
        <w:t>208.64</w:t>
      </w:r>
      <w:r w:rsidRPr="00B4515A">
        <w:rPr>
          <w:rFonts w:hint="eastAsia"/>
        </w:rPr>
        <w:t>万股，其他发起人股东均放弃配股权；社会公众股东认配</w:t>
      </w:r>
      <w:r w:rsidRPr="00B4515A">
        <w:t>3,000.00</w:t>
      </w:r>
      <w:r w:rsidRPr="00B4515A">
        <w:rPr>
          <w:rFonts w:hint="eastAsia"/>
        </w:rPr>
        <w:t>万股。本次配股完成后，公司总股本变更为</w:t>
      </w:r>
      <w:r w:rsidRPr="00B4515A">
        <w:t>34,508.64</w:t>
      </w:r>
      <w:r w:rsidRPr="00B4515A">
        <w:rPr>
          <w:rFonts w:hint="eastAsia"/>
        </w:rPr>
        <w:t>万股。</w:t>
      </w:r>
    </w:p>
    <w:p w14:paraId="0F55048B" w14:textId="77777777" w:rsidR="006416B0" w:rsidRPr="00B4515A" w:rsidRDefault="005E58C1" w:rsidP="005860B4">
      <w:pPr>
        <w:pStyle w:val="004"/>
        <w:spacing w:before="120" w:after="120"/>
        <w:ind w:firstLine="482"/>
      </w:pPr>
      <w:r w:rsidRPr="00B4515A">
        <w:t>2</w:t>
      </w:r>
      <w:r w:rsidRPr="00B4515A">
        <w:rPr>
          <w:rFonts w:hint="eastAsia"/>
        </w:rPr>
        <w:t>、</w:t>
      </w:r>
      <w:r w:rsidRPr="00B4515A">
        <w:t>2000</w:t>
      </w:r>
      <w:r w:rsidRPr="00B4515A">
        <w:rPr>
          <w:rFonts w:hint="eastAsia"/>
        </w:rPr>
        <w:t>年资本公积金转增股本</w:t>
      </w:r>
    </w:p>
    <w:p w14:paraId="4B9C111A" w14:textId="77777777" w:rsidR="006416B0" w:rsidRPr="00B4515A" w:rsidRDefault="005E58C1" w:rsidP="005860B4">
      <w:pPr>
        <w:pStyle w:val="005"/>
        <w:spacing w:before="120" w:after="120"/>
        <w:ind w:firstLine="480"/>
      </w:pPr>
      <w:r w:rsidRPr="00B4515A">
        <w:rPr>
          <w:rFonts w:hint="eastAsia"/>
        </w:rPr>
        <w:t>根据公司</w:t>
      </w:r>
      <w:r w:rsidRPr="00B4515A">
        <w:t>2000</w:t>
      </w:r>
      <w:r w:rsidRPr="00B4515A">
        <w:rPr>
          <w:rFonts w:hint="eastAsia"/>
        </w:rPr>
        <w:t>年度第一次临时股东大会决议，公司以</w:t>
      </w:r>
      <w:r w:rsidRPr="00B4515A">
        <w:t>2000</w:t>
      </w:r>
      <w:r w:rsidRPr="00B4515A">
        <w:rPr>
          <w:rFonts w:hint="eastAsia"/>
        </w:rPr>
        <w:t>年</w:t>
      </w:r>
      <w:r w:rsidRPr="00B4515A">
        <w:t>6</w:t>
      </w:r>
      <w:r w:rsidRPr="00B4515A">
        <w:rPr>
          <w:rFonts w:hint="eastAsia"/>
        </w:rPr>
        <w:t>月</w:t>
      </w:r>
      <w:r w:rsidRPr="00B4515A">
        <w:t>30</w:t>
      </w:r>
      <w:r w:rsidRPr="00B4515A">
        <w:rPr>
          <w:rFonts w:hint="eastAsia"/>
        </w:rPr>
        <w:t>日总股本</w:t>
      </w:r>
      <w:r w:rsidRPr="00B4515A">
        <w:t>31,300</w:t>
      </w:r>
      <w:r w:rsidRPr="00B4515A">
        <w:rPr>
          <w:rFonts w:hint="eastAsia"/>
        </w:rPr>
        <w:t>万股为基数，按照每</w:t>
      </w:r>
      <w:r w:rsidRPr="00B4515A">
        <w:t>10</w:t>
      </w:r>
      <w:r w:rsidRPr="00B4515A">
        <w:rPr>
          <w:rFonts w:hint="eastAsia"/>
        </w:rPr>
        <w:t>股转增</w:t>
      </w:r>
      <w:r w:rsidRPr="00B4515A">
        <w:t>3</w:t>
      </w:r>
      <w:r w:rsidRPr="00B4515A">
        <w:rPr>
          <w:rFonts w:hint="eastAsia"/>
        </w:rPr>
        <w:t>股的比例向全体股东实施资本公积转增股本，共转增股本</w:t>
      </w:r>
      <w:r w:rsidRPr="00B4515A">
        <w:t>9,390</w:t>
      </w:r>
      <w:r w:rsidRPr="00B4515A">
        <w:rPr>
          <w:rFonts w:hint="eastAsia"/>
        </w:rPr>
        <w:t>万股。本次资本公积转增股本后，公司总股本增至</w:t>
      </w:r>
      <w:r w:rsidRPr="00B4515A">
        <w:t>43,898.64</w:t>
      </w:r>
      <w:r w:rsidRPr="00B4515A">
        <w:rPr>
          <w:rFonts w:hint="eastAsia"/>
        </w:rPr>
        <w:t>万股。</w:t>
      </w:r>
    </w:p>
    <w:p w14:paraId="3D48ECA9" w14:textId="77777777" w:rsidR="006416B0" w:rsidRPr="00B4515A" w:rsidRDefault="005E58C1" w:rsidP="005860B4">
      <w:pPr>
        <w:pStyle w:val="004"/>
        <w:spacing w:before="120" w:after="120"/>
        <w:ind w:firstLine="482"/>
      </w:pPr>
      <w:r w:rsidRPr="00B4515A">
        <w:t>3</w:t>
      </w:r>
      <w:r w:rsidRPr="00B4515A">
        <w:rPr>
          <w:rFonts w:hint="eastAsia"/>
        </w:rPr>
        <w:t>、</w:t>
      </w:r>
      <w:r w:rsidRPr="00B4515A">
        <w:t>2006</w:t>
      </w:r>
      <w:r w:rsidRPr="00B4515A">
        <w:rPr>
          <w:rFonts w:hint="eastAsia"/>
        </w:rPr>
        <w:t>年股权分置改革</w:t>
      </w:r>
    </w:p>
    <w:p w14:paraId="31ABDD8C" w14:textId="77777777" w:rsidR="006416B0" w:rsidRPr="00B4515A" w:rsidRDefault="005E58C1" w:rsidP="005860B4">
      <w:pPr>
        <w:pStyle w:val="005"/>
        <w:spacing w:before="120" w:after="120"/>
        <w:ind w:firstLine="480"/>
      </w:pPr>
      <w:r w:rsidRPr="00B4515A">
        <w:t>2006</w:t>
      </w:r>
      <w:r w:rsidRPr="00B4515A">
        <w:rPr>
          <w:rFonts w:hint="eastAsia"/>
        </w:rPr>
        <w:t>年</w:t>
      </w:r>
      <w:r w:rsidRPr="00B4515A">
        <w:t>4</w:t>
      </w:r>
      <w:r w:rsidRPr="00B4515A">
        <w:rPr>
          <w:rFonts w:hint="eastAsia"/>
        </w:rPr>
        <w:t>月</w:t>
      </w:r>
      <w:r w:rsidRPr="00B4515A">
        <w:t>17</w:t>
      </w:r>
      <w:r w:rsidRPr="00B4515A">
        <w:rPr>
          <w:rFonts w:hint="eastAsia"/>
        </w:rPr>
        <w:t>日，公司股权分置改革相关决议经股东大会通过，全体原非流通股股东向公司全体流通股股东每</w:t>
      </w:r>
      <w:r w:rsidRPr="00B4515A">
        <w:t>10</w:t>
      </w:r>
      <w:r w:rsidRPr="00B4515A">
        <w:rPr>
          <w:rFonts w:hint="eastAsia"/>
        </w:rPr>
        <w:t>股支付</w:t>
      </w:r>
      <w:r w:rsidRPr="00B4515A">
        <w:t>3.4</w:t>
      </w:r>
      <w:r w:rsidRPr="00B4515A">
        <w:rPr>
          <w:rFonts w:hint="eastAsia"/>
        </w:rPr>
        <w:t>股股份，以获得其所持股份的流通权。实施上述送股对价后，公司股份总数不变，股份结构发生相应变化，公司总股本仍为</w:t>
      </w:r>
      <w:r w:rsidRPr="00B4515A">
        <w:t>43,898.64</w:t>
      </w:r>
      <w:r w:rsidRPr="00B4515A">
        <w:rPr>
          <w:rFonts w:hint="eastAsia"/>
        </w:rPr>
        <w:t>万股。</w:t>
      </w:r>
    </w:p>
    <w:p w14:paraId="295F08A5" w14:textId="77777777" w:rsidR="006416B0" w:rsidRPr="00B4515A" w:rsidRDefault="005E58C1" w:rsidP="005860B4">
      <w:pPr>
        <w:pStyle w:val="004"/>
        <w:spacing w:before="120" w:after="120"/>
        <w:ind w:firstLine="482"/>
      </w:pPr>
      <w:r w:rsidRPr="00B4515A">
        <w:t>4</w:t>
      </w:r>
      <w:r w:rsidRPr="00B4515A">
        <w:rPr>
          <w:rFonts w:hint="eastAsia"/>
        </w:rPr>
        <w:t>、</w:t>
      </w:r>
      <w:r w:rsidRPr="00B4515A">
        <w:t>2012</w:t>
      </w:r>
      <w:r w:rsidRPr="00B4515A">
        <w:rPr>
          <w:rFonts w:hint="eastAsia"/>
        </w:rPr>
        <w:t>年非公开发行股份购买资产并募集配套资金</w:t>
      </w:r>
    </w:p>
    <w:p w14:paraId="3DDB720A" w14:textId="77777777" w:rsidR="006416B0" w:rsidRPr="00B4515A" w:rsidRDefault="005E58C1" w:rsidP="005860B4">
      <w:pPr>
        <w:pStyle w:val="005"/>
        <w:spacing w:before="120" w:after="120"/>
        <w:ind w:firstLine="480"/>
      </w:pPr>
      <w:r w:rsidRPr="00B4515A">
        <w:t>2012</w:t>
      </w:r>
      <w:r w:rsidRPr="00B4515A">
        <w:rPr>
          <w:rFonts w:hint="eastAsia"/>
        </w:rPr>
        <w:t>年</w:t>
      </w:r>
      <w:r w:rsidRPr="00B4515A">
        <w:t>9</w:t>
      </w:r>
      <w:r w:rsidRPr="00B4515A">
        <w:rPr>
          <w:rFonts w:hint="eastAsia"/>
        </w:rPr>
        <w:t>月</w:t>
      </w:r>
      <w:r w:rsidRPr="00B4515A">
        <w:t>27</w:t>
      </w:r>
      <w:r w:rsidRPr="00B4515A">
        <w:rPr>
          <w:rFonts w:hint="eastAsia"/>
        </w:rPr>
        <w:t>日，中国证券监督管理委员会核准大唐电信非公开发行股份收购联芯科技有限公司</w:t>
      </w:r>
      <w:r w:rsidRPr="00B4515A">
        <w:t>99.36%</w:t>
      </w:r>
      <w:r w:rsidRPr="00B4515A">
        <w:rPr>
          <w:rFonts w:hint="eastAsia"/>
        </w:rPr>
        <w:t>股权、上海优思通信科技有限公司</w:t>
      </w:r>
      <w:r w:rsidRPr="00B4515A">
        <w:t>49%</w:t>
      </w:r>
      <w:r w:rsidRPr="00B4515A">
        <w:rPr>
          <w:rFonts w:hint="eastAsia"/>
        </w:rPr>
        <w:t>股权和启东优思电子有限公司</w:t>
      </w:r>
      <w:r w:rsidRPr="00B4515A">
        <w:t>100%</w:t>
      </w:r>
      <w:r w:rsidRPr="00B4515A">
        <w:rPr>
          <w:rFonts w:hint="eastAsia"/>
        </w:rPr>
        <w:t>股权并募集配套资金。</w:t>
      </w:r>
      <w:r w:rsidRPr="00B4515A">
        <w:t>2012</w:t>
      </w:r>
      <w:r w:rsidRPr="00B4515A">
        <w:rPr>
          <w:rFonts w:hint="eastAsia"/>
        </w:rPr>
        <w:t>年</w:t>
      </w:r>
      <w:r w:rsidRPr="00B4515A">
        <w:t>11</w:t>
      </w:r>
      <w:r w:rsidRPr="00B4515A">
        <w:rPr>
          <w:rFonts w:hint="eastAsia"/>
        </w:rPr>
        <w:t>月</w:t>
      </w:r>
      <w:r w:rsidRPr="00B4515A">
        <w:t>1</w:t>
      </w:r>
      <w:r w:rsidRPr="00B4515A">
        <w:rPr>
          <w:rFonts w:hint="eastAsia"/>
        </w:rPr>
        <w:t>日，公司发行的股份完成登记，中国证券登记结算有限责任公司上海分公司出具《证券登记确认书》。公司发行股份</w:t>
      </w:r>
      <w:r w:rsidRPr="00B4515A">
        <w:t>302,720,913</w:t>
      </w:r>
      <w:r w:rsidRPr="00B4515A">
        <w:rPr>
          <w:rFonts w:hint="eastAsia"/>
        </w:rPr>
        <w:t>股，其中发行股份购买资产的股份发行数量为</w:t>
      </w:r>
      <w:r w:rsidRPr="00B4515A">
        <w:t>227,720,913</w:t>
      </w:r>
      <w:r w:rsidRPr="00B4515A">
        <w:rPr>
          <w:rFonts w:hint="eastAsia"/>
        </w:rPr>
        <w:t>股，募集配套资金的股份发行数量为</w:t>
      </w:r>
      <w:r w:rsidRPr="00B4515A">
        <w:t>75,000,000</w:t>
      </w:r>
      <w:r w:rsidRPr="00B4515A">
        <w:rPr>
          <w:rFonts w:hint="eastAsia"/>
        </w:rPr>
        <w:t>股。交易完成后公司的总股本为</w:t>
      </w:r>
      <w:r w:rsidRPr="00B4515A">
        <w:t>741,707,313</w:t>
      </w:r>
      <w:r w:rsidRPr="00B4515A">
        <w:rPr>
          <w:rFonts w:hint="eastAsia"/>
        </w:rPr>
        <w:t>股。</w:t>
      </w:r>
    </w:p>
    <w:p w14:paraId="26B2CA24" w14:textId="77777777" w:rsidR="006416B0" w:rsidRPr="00B4515A" w:rsidRDefault="005E58C1" w:rsidP="005860B4">
      <w:pPr>
        <w:pStyle w:val="004"/>
        <w:spacing w:before="120" w:after="120"/>
        <w:ind w:firstLine="482"/>
      </w:pPr>
      <w:r w:rsidRPr="00B4515A">
        <w:lastRenderedPageBreak/>
        <w:t>5</w:t>
      </w:r>
      <w:r w:rsidRPr="00B4515A">
        <w:rPr>
          <w:rFonts w:hint="eastAsia"/>
        </w:rPr>
        <w:t>、</w:t>
      </w:r>
      <w:r w:rsidRPr="00B4515A">
        <w:t>2014</w:t>
      </w:r>
      <w:r w:rsidRPr="00B4515A">
        <w:rPr>
          <w:rFonts w:hint="eastAsia"/>
        </w:rPr>
        <w:t>年非公开发行股份购买资产并募集配套资金</w:t>
      </w:r>
    </w:p>
    <w:p w14:paraId="34019F1F" w14:textId="77777777" w:rsidR="006416B0" w:rsidRPr="00B4515A" w:rsidRDefault="005E58C1" w:rsidP="005860B4">
      <w:pPr>
        <w:pStyle w:val="005"/>
        <w:spacing w:before="120" w:after="120"/>
        <w:ind w:firstLine="480"/>
      </w:pPr>
      <w:r w:rsidRPr="00B4515A">
        <w:t>2014</w:t>
      </w:r>
      <w:r w:rsidRPr="00B4515A">
        <w:rPr>
          <w:rFonts w:hint="eastAsia"/>
        </w:rPr>
        <w:t>年</w:t>
      </w:r>
      <w:r w:rsidRPr="00B4515A">
        <w:t>3</w:t>
      </w:r>
      <w:r w:rsidRPr="00B4515A">
        <w:rPr>
          <w:rFonts w:hint="eastAsia"/>
        </w:rPr>
        <w:t>月</w:t>
      </w:r>
      <w:r w:rsidRPr="00B4515A">
        <w:t>27</w:t>
      </w:r>
      <w:r w:rsidRPr="00B4515A">
        <w:rPr>
          <w:rFonts w:hint="eastAsia"/>
        </w:rPr>
        <w:t>日，中国证券监督管理委员会核准大唐电信非公开发行股份收购广州要玩娱乐网络技术有限公司</w:t>
      </w:r>
      <w:r w:rsidRPr="00B4515A">
        <w:t>100%</w:t>
      </w:r>
      <w:r w:rsidRPr="00B4515A">
        <w:rPr>
          <w:rFonts w:hint="eastAsia"/>
        </w:rPr>
        <w:t>股权并募集配套资金。本次非公开发行所新增的股份分别于</w:t>
      </w:r>
      <w:r w:rsidRPr="00B4515A">
        <w:t>2014</w:t>
      </w:r>
      <w:r w:rsidRPr="00B4515A">
        <w:rPr>
          <w:rFonts w:hint="eastAsia"/>
        </w:rPr>
        <w:t>年</w:t>
      </w:r>
      <w:r w:rsidRPr="00B4515A">
        <w:t>5</w:t>
      </w:r>
      <w:r w:rsidRPr="00B4515A">
        <w:rPr>
          <w:rFonts w:hint="eastAsia"/>
        </w:rPr>
        <w:t>月</w:t>
      </w:r>
      <w:r w:rsidRPr="00B4515A">
        <w:t>12</w:t>
      </w:r>
      <w:r w:rsidRPr="00B4515A">
        <w:rPr>
          <w:rFonts w:hint="eastAsia"/>
        </w:rPr>
        <w:t>日、</w:t>
      </w:r>
      <w:r w:rsidRPr="00B4515A">
        <w:t>2014</w:t>
      </w:r>
      <w:r w:rsidRPr="00B4515A">
        <w:rPr>
          <w:rFonts w:hint="eastAsia"/>
        </w:rPr>
        <w:t>年</w:t>
      </w:r>
      <w:r w:rsidRPr="00B4515A">
        <w:t>6</w:t>
      </w:r>
      <w:r w:rsidRPr="00B4515A">
        <w:rPr>
          <w:rFonts w:hint="eastAsia"/>
        </w:rPr>
        <w:t>月</w:t>
      </w:r>
      <w:r w:rsidRPr="00B4515A">
        <w:t>6</w:t>
      </w:r>
      <w:r w:rsidRPr="00B4515A">
        <w:rPr>
          <w:rFonts w:hint="eastAsia"/>
        </w:rPr>
        <w:t>日完成登记，中国证券登记结算有限责任公司上海分公司出具《证券变更登记证明》。公司本次发行股份购买资产的股份发行数量为</w:t>
      </w:r>
      <w:r w:rsidRPr="00B4515A">
        <w:t>102,580,631</w:t>
      </w:r>
      <w:r w:rsidRPr="00B4515A">
        <w:rPr>
          <w:rFonts w:hint="eastAsia"/>
        </w:rPr>
        <w:t>股，募集配套资金的股份发行数量为</w:t>
      </w:r>
      <w:r w:rsidRPr="00B4515A">
        <w:t>37,820,528</w:t>
      </w:r>
      <w:r w:rsidRPr="00B4515A">
        <w:rPr>
          <w:rFonts w:hint="eastAsia"/>
        </w:rPr>
        <w:t>股。本次非公开发行后公司总股本为</w:t>
      </w:r>
      <w:r w:rsidRPr="00B4515A">
        <w:t>882,108,472</w:t>
      </w:r>
      <w:r w:rsidRPr="00B4515A">
        <w:rPr>
          <w:rFonts w:hint="eastAsia"/>
        </w:rPr>
        <w:t>股。</w:t>
      </w:r>
    </w:p>
    <w:p w14:paraId="3D422C26" w14:textId="77777777" w:rsidR="006416B0" w:rsidRPr="00B4515A" w:rsidRDefault="005E58C1" w:rsidP="005860B4">
      <w:pPr>
        <w:pStyle w:val="002"/>
        <w:spacing w:before="120" w:after="120"/>
        <w:ind w:firstLine="562"/>
      </w:pPr>
      <w:bookmarkStart w:id="101" w:name="_Toc80960513"/>
      <w:r w:rsidRPr="00B4515A">
        <w:rPr>
          <w:rFonts w:hint="eastAsia"/>
        </w:rPr>
        <w:t>四、最近三十六个月的控制权变动情况</w:t>
      </w:r>
      <w:bookmarkEnd w:id="101"/>
    </w:p>
    <w:p w14:paraId="2EA47703" w14:textId="77777777" w:rsidR="006416B0" w:rsidRPr="00B4515A" w:rsidRDefault="005E58C1" w:rsidP="005860B4">
      <w:pPr>
        <w:pStyle w:val="005"/>
        <w:spacing w:before="120" w:after="120"/>
        <w:ind w:firstLine="480"/>
      </w:pPr>
      <w:r w:rsidRPr="00B4515A">
        <w:rPr>
          <w:rFonts w:hint="eastAsia"/>
        </w:rPr>
        <w:t>截至本报告书签署之日，上市公司最近</w:t>
      </w:r>
      <w:r w:rsidRPr="00B4515A">
        <w:rPr>
          <w:rFonts w:hint="eastAsia"/>
          <w:bCs/>
          <w:color w:val="000000" w:themeColor="text1"/>
        </w:rPr>
        <w:t>三十六个月</w:t>
      </w:r>
      <w:r w:rsidRPr="00B4515A">
        <w:rPr>
          <w:rFonts w:hint="eastAsia"/>
        </w:rPr>
        <w:t>的控制权未发生变更，控股股东为电信科研院，实际控制人为国务院国资委。</w:t>
      </w:r>
    </w:p>
    <w:p w14:paraId="76767352" w14:textId="77777777" w:rsidR="006416B0" w:rsidRPr="00B4515A" w:rsidRDefault="005E58C1" w:rsidP="005860B4">
      <w:pPr>
        <w:pStyle w:val="002"/>
        <w:spacing w:before="120" w:after="120"/>
        <w:ind w:firstLine="562"/>
      </w:pPr>
      <w:bookmarkStart w:id="102" w:name="_Toc2883169"/>
      <w:bookmarkStart w:id="103" w:name="_Toc65492064"/>
      <w:bookmarkStart w:id="104" w:name="_Toc80960514"/>
      <w:bookmarkEnd w:id="99"/>
      <w:r w:rsidRPr="00B4515A">
        <w:rPr>
          <w:rFonts w:hint="eastAsia"/>
        </w:rPr>
        <w:t>五、</w:t>
      </w:r>
      <w:bookmarkEnd w:id="102"/>
      <w:bookmarkEnd w:id="103"/>
      <w:r w:rsidRPr="00B4515A">
        <w:rPr>
          <w:rFonts w:hint="eastAsia"/>
        </w:rPr>
        <w:t>最近三年重大资产重组情况</w:t>
      </w:r>
      <w:bookmarkEnd w:id="104"/>
    </w:p>
    <w:p w14:paraId="39330AB3" w14:textId="77777777" w:rsidR="006416B0" w:rsidRPr="00B4515A" w:rsidRDefault="005E58C1" w:rsidP="005860B4">
      <w:pPr>
        <w:pStyle w:val="005"/>
        <w:spacing w:before="120" w:after="120"/>
        <w:ind w:firstLine="480"/>
      </w:pPr>
      <w:r w:rsidRPr="00B4515A">
        <w:t>2018</w:t>
      </w:r>
      <w:r w:rsidRPr="00B4515A">
        <w:rPr>
          <w:rFonts w:hint="eastAsia"/>
        </w:rPr>
        <w:t>年</w:t>
      </w:r>
      <w:r w:rsidRPr="00B4515A">
        <w:t>12</w:t>
      </w:r>
      <w:r w:rsidRPr="00B4515A">
        <w:rPr>
          <w:rFonts w:hint="eastAsia"/>
        </w:rPr>
        <w:t>月</w:t>
      </w:r>
      <w:r w:rsidRPr="00B4515A">
        <w:t>7</w:t>
      </w:r>
      <w:r w:rsidRPr="00B4515A">
        <w:rPr>
          <w:rFonts w:hint="eastAsia"/>
        </w:rPr>
        <w:t>日，大唐电信公告重大资产出售暨关联交易报告书，拟将其持有的成都线缆</w:t>
      </w:r>
      <w:r w:rsidRPr="00B4515A">
        <w:t>46.478%</w:t>
      </w:r>
      <w:r w:rsidRPr="00B4515A">
        <w:rPr>
          <w:rFonts w:hint="eastAsia"/>
        </w:rPr>
        <w:t>股权转让给烽火通信。本次交易的标的资产为成都线缆</w:t>
      </w:r>
      <w:r w:rsidRPr="00B4515A">
        <w:t>46.478%</w:t>
      </w:r>
      <w:r w:rsidRPr="00B4515A">
        <w:rPr>
          <w:rFonts w:hint="eastAsia"/>
        </w:rPr>
        <w:t>股权，交易对方为烽火通信。本次交易完成后，大唐电信不再持有成都线缆的股权。上述交易属于《重组管理办法》第十二条所规定的重大资产重组情形，已按照相关规定履行必要的决策审批流程。</w:t>
      </w:r>
      <w:r w:rsidRPr="00B4515A">
        <w:t>2018</w:t>
      </w:r>
      <w:r w:rsidRPr="00B4515A">
        <w:rPr>
          <w:rFonts w:hint="eastAsia"/>
        </w:rPr>
        <w:t>年</w:t>
      </w:r>
      <w:r w:rsidRPr="00B4515A">
        <w:t>12</w:t>
      </w:r>
      <w:r w:rsidRPr="00B4515A">
        <w:rPr>
          <w:rFonts w:hint="eastAsia"/>
        </w:rPr>
        <w:t>月</w:t>
      </w:r>
      <w:r w:rsidRPr="00B4515A">
        <w:t>27</w:t>
      </w:r>
      <w:r w:rsidRPr="00B4515A">
        <w:rPr>
          <w:rFonts w:hint="eastAsia"/>
        </w:rPr>
        <w:t>日，股权转让的工商变更登记手续办理完毕。</w:t>
      </w:r>
    </w:p>
    <w:p w14:paraId="762E3CE1" w14:textId="77777777" w:rsidR="006416B0" w:rsidRPr="00B4515A" w:rsidRDefault="005E58C1" w:rsidP="005860B4">
      <w:pPr>
        <w:pStyle w:val="005"/>
        <w:spacing w:before="120" w:after="120"/>
        <w:ind w:firstLine="480"/>
        <w:rPr>
          <w:color w:val="000000"/>
        </w:rPr>
      </w:pPr>
      <w:r w:rsidRPr="00B4515A">
        <w:t>2019</w:t>
      </w:r>
      <w:r w:rsidRPr="00B4515A">
        <w:rPr>
          <w:rFonts w:hint="eastAsia"/>
        </w:rPr>
        <w:t>年</w:t>
      </w:r>
      <w:r w:rsidRPr="00B4515A">
        <w:t>12</w:t>
      </w:r>
      <w:r w:rsidRPr="00B4515A">
        <w:rPr>
          <w:rFonts w:hint="eastAsia"/>
        </w:rPr>
        <w:t>月</w:t>
      </w:r>
      <w:r w:rsidRPr="00B4515A">
        <w:t>11</w:t>
      </w:r>
      <w:r w:rsidRPr="00B4515A">
        <w:rPr>
          <w:rFonts w:hint="eastAsia"/>
        </w:rPr>
        <w:t>日，大唐电信公告全资子公司《增资之重大资产重组暨关联交易报告书（草案）修订稿》，为降低资产负债率、有效改善企业资本结构和提升未来盈利能力，大唐电信将其对电信科研院的</w:t>
      </w:r>
      <w:r w:rsidRPr="00B4515A">
        <w:t>181,700</w:t>
      </w:r>
      <w:r w:rsidRPr="00B4515A">
        <w:rPr>
          <w:rFonts w:hint="eastAsia"/>
        </w:rPr>
        <w:t>万元的债务转让给大唐半导体，电信科研院以前述对大唐半导体的债权以非公开协议方式对大唐半导体增资</w:t>
      </w:r>
      <w:r w:rsidRPr="00B4515A">
        <w:t>181,700</w:t>
      </w:r>
      <w:r w:rsidRPr="00B4515A">
        <w:rPr>
          <w:rFonts w:hint="eastAsia"/>
        </w:rPr>
        <w:t>万元。本次交易完成后，电信科研院持有大唐半导体</w:t>
      </w:r>
      <w:r w:rsidRPr="00B4515A">
        <w:t>49.22%</w:t>
      </w:r>
      <w:r w:rsidRPr="00B4515A">
        <w:rPr>
          <w:rFonts w:hint="eastAsia"/>
        </w:rPr>
        <w:t>的</w:t>
      </w:r>
      <w:r w:rsidRPr="00B4515A">
        <w:rPr>
          <w:rFonts w:hint="eastAsia"/>
          <w:bCs/>
          <w:color w:val="000000" w:themeColor="text1"/>
        </w:rPr>
        <w:t>股权</w:t>
      </w:r>
      <w:r w:rsidRPr="00B4515A">
        <w:rPr>
          <w:rFonts w:hint="eastAsia"/>
        </w:rPr>
        <w:t>，大唐电信持有大唐半导体</w:t>
      </w:r>
      <w:r w:rsidRPr="00B4515A">
        <w:t>50.78%</w:t>
      </w:r>
      <w:r w:rsidRPr="00B4515A">
        <w:rPr>
          <w:rFonts w:hint="eastAsia"/>
        </w:rPr>
        <w:t>的股权。上述交易属于《重组管理办法》第十二条所规定的重大资产重组情形，已按照相关规定履行必要的决策审批流程。</w:t>
      </w:r>
      <w:r w:rsidRPr="00B4515A">
        <w:t>2019</w:t>
      </w:r>
      <w:r w:rsidRPr="00B4515A">
        <w:rPr>
          <w:rFonts w:hint="eastAsia"/>
        </w:rPr>
        <w:t>年</w:t>
      </w:r>
      <w:r w:rsidRPr="00B4515A">
        <w:t>12</w:t>
      </w:r>
      <w:r w:rsidRPr="00B4515A">
        <w:rPr>
          <w:rFonts w:hint="eastAsia"/>
        </w:rPr>
        <w:t>月</w:t>
      </w:r>
      <w:r w:rsidRPr="00B4515A">
        <w:t>19</w:t>
      </w:r>
      <w:r w:rsidRPr="00B4515A">
        <w:rPr>
          <w:rFonts w:hint="eastAsia"/>
        </w:rPr>
        <w:t>日，大唐半导体办理完毕电信科研院债转股增资的工商变更登记。</w:t>
      </w:r>
    </w:p>
    <w:p w14:paraId="66E28B5B" w14:textId="77777777" w:rsidR="006416B0" w:rsidRPr="00B4515A" w:rsidRDefault="005E58C1" w:rsidP="005860B4">
      <w:pPr>
        <w:pStyle w:val="005"/>
        <w:spacing w:before="120" w:after="120"/>
        <w:ind w:firstLine="480"/>
      </w:pPr>
      <w:r w:rsidRPr="00B4515A">
        <w:t>2020</w:t>
      </w:r>
      <w:r w:rsidRPr="00B4515A">
        <w:rPr>
          <w:rFonts w:hint="eastAsia"/>
        </w:rPr>
        <w:t>年</w:t>
      </w:r>
      <w:r w:rsidRPr="00B4515A">
        <w:t>9</w:t>
      </w:r>
      <w:r w:rsidRPr="00B4515A">
        <w:rPr>
          <w:rFonts w:hint="eastAsia"/>
        </w:rPr>
        <w:t>月</w:t>
      </w:r>
      <w:r w:rsidRPr="00B4515A">
        <w:t>19</w:t>
      </w:r>
      <w:r w:rsidRPr="00B4515A">
        <w:rPr>
          <w:rFonts w:hint="eastAsia"/>
        </w:rPr>
        <w:t>日，大唐电信公告《大唐电信科技股份有限公司控股子公司增资及参股公司部分股权转让之重大资产重组暨关联交易报告书（草案）（修订</w:t>
      </w:r>
      <w:r w:rsidRPr="00B4515A">
        <w:rPr>
          <w:rFonts w:hint="eastAsia"/>
        </w:rPr>
        <w:lastRenderedPageBreak/>
        <w:t>稿）》。公司下属企业大唐恩智浦通过在北交所以公开挂牌的方式引入徐州汽车基金，并由其对大唐恩智浦现金增资</w:t>
      </w:r>
      <w:r w:rsidRPr="00B4515A">
        <w:t>1,683</w:t>
      </w:r>
      <w:r w:rsidRPr="00B4515A">
        <w:rPr>
          <w:rFonts w:hint="eastAsia"/>
        </w:rPr>
        <w:t>万美元，占增资后大唐恩智浦</w:t>
      </w:r>
      <w:r w:rsidRPr="00B4515A">
        <w:t>27.41%</w:t>
      </w:r>
      <w:r w:rsidRPr="00B4515A">
        <w:rPr>
          <w:rFonts w:hint="eastAsia"/>
        </w:rPr>
        <w:t>股权；同时大唐恩智浦原股东恩智浦按其持股比例对大唐恩智浦同比例现金增资</w:t>
      </w:r>
      <w:r w:rsidRPr="00B4515A">
        <w:t>1,617</w:t>
      </w:r>
      <w:r w:rsidRPr="00B4515A">
        <w:rPr>
          <w:rFonts w:hint="eastAsia"/>
        </w:rPr>
        <w:t>万美元，占增资后大唐恩智浦</w:t>
      </w:r>
      <w:r w:rsidRPr="00B4515A">
        <w:t>26.33%</w:t>
      </w:r>
      <w:r w:rsidRPr="00B4515A">
        <w:rPr>
          <w:rFonts w:hint="eastAsia"/>
        </w:rPr>
        <w:t>股权，加上恩智浦在增资前拥有的大唐恩智浦的股权，恩智浦合计占增资后大唐恩智浦的</w:t>
      </w:r>
      <w:r w:rsidRPr="00B4515A">
        <w:t>49%</w:t>
      </w:r>
      <w:r w:rsidRPr="00B4515A">
        <w:rPr>
          <w:rFonts w:hint="eastAsia"/>
        </w:rPr>
        <w:t>股权。公司下属企业江苏安防通过在北交所以公开挂牌的方式引入徐州智安基金，并由其对江苏安防现金增资</w:t>
      </w:r>
      <w:r w:rsidRPr="00B4515A">
        <w:t>13,500</w:t>
      </w:r>
      <w:r w:rsidRPr="00B4515A">
        <w:rPr>
          <w:rFonts w:hint="eastAsia"/>
        </w:rPr>
        <w:t>万元人民币，占增资后江苏安防</w:t>
      </w:r>
      <w:r w:rsidRPr="00B4515A">
        <w:t>24.83%</w:t>
      </w:r>
      <w:r w:rsidRPr="00B4515A">
        <w:rPr>
          <w:rFonts w:hint="eastAsia"/>
        </w:rPr>
        <w:t>的股权。本次增资完成后，大唐恩智浦与江苏安防不再纳入本公司合并报表范围。公司下属企业联芯科技通过在北交所以公开挂牌的方式向联合体转让其所持有的宸芯科技</w:t>
      </w:r>
      <w:r w:rsidRPr="00B4515A">
        <w:t>15%</w:t>
      </w:r>
      <w:r w:rsidRPr="00B4515A">
        <w:rPr>
          <w:rFonts w:hint="eastAsia"/>
        </w:rPr>
        <w:t>股权。联合体成员为浙江制造基金合伙企业（有限合伙）、深圳市红马全晟投资中心（有限合伙）、北京楚星融智咨询有限公司、日照宸睿联合一期股权投资管理中心（有限合伙）、南京翎贲昭离股权投资合伙企业（有限合伙）、天津维致瑾企业管理咨询中心（有限合伙）、创新创业新动能股权投资基金（湖北）合伙企业（有限合伙）、北京紫岩连合科技有限公司。本次转让前联芯科技持有宸芯科技</w:t>
      </w:r>
      <w:r w:rsidRPr="00B4515A">
        <w:t>17.23%</w:t>
      </w:r>
      <w:r w:rsidRPr="00B4515A">
        <w:rPr>
          <w:rFonts w:hint="eastAsia"/>
        </w:rPr>
        <w:t>股权，本次转让后，联芯科技持有宸芯科技</w:t>
      </w:r>
      <w:r w:rsidRPr="00B4515A">
        <w:t>2.23%</w:t>
      </w:r>
      <w:r w:rsidRPr="00B4515A">
        <w:rPr>
          <w:rFonts w:hint="eastAsia"/>
        </w:rPr>
        <w:t>股权。上述交易属于《重组管理办法》第十二条所规定的重大资产重组情形，已按照相关规定履行必要的决策审批流程。</w:t>
      </w:r>
      <w:r w:rsidRPr="00B4515A">
        <w:t>2020</w:t>
      </w:r>
      <w:r w:rsidRPr="00B4515A">
        <w:rPr>
          <w:rFonts w:hint="eastAsia"/>
        </w:rPr>
        <w:t>年</w:t>
      </w:r>
      <w:r w:rsidRPr="00B4515A">
        <w:t>9</w:t>
      </w:r>
      <w:r w:rsidRPr="00B4515A">
        <w:rPr>
          <w:rFonts w:hint="eastAsia"/>
        </w:rPr>
        <w:t>月</w:t>
      </w:r>
      <w:r w:rsidRPr="00B4515A">
        <w:t>30</w:t>
      </w:r>
      <w:r w:rsidRPr="00B4515A">
        <w:rPr>
          <w:rFonts w:hint="eastAsia"/>
        </w:rPr>
        <w:t>日，大唐恩智浦办理完毕本次大唐恩智浦增资扩股的工商变更登记手续；</w:t>
      </w:r>
      <w:r w:rsidRPr="00B4515A">
        <w:t>2020</w:t>
      </w:r>
      <w:r w:rsidRPr="00B4515A">
        <w:rPr>
          <w:rFonts w:hint="eastAsia"/>
        </w:rPr>
        <w:t>年</w:t>
      </w:r>
      <w:r w:rsidRPr="00B4515A">
        <w:t>12</w:t>
      </w:r>
      <w:r w:rsidRPr="00B4515A">
        <w:rPr>
          <w:rFonts w:hint="eastAsia"/>
        </w:rPr>
        <w:t>月</w:t>
      </w:r>
      <w:r w:rsidRPr="00B4515A">
        <w:t>4</w:t>
      </w:r>
      <w:r w:rsidRPr="00B4515A">
        <w:rPr>
          <w:rFonts w:hint="eastAsia"/>
        </w:rPr>
        <w:t>日，江苏安防办理完毕本次江苏安防增资扩股的工商变更登记手续；</w:t>
      </w:r>
      <w:r w:rsidRPr="00B4515A">
        <w:t>2020</w:t>
      </w:r>
      <w:r w:rsidRPr="00B4515A">
        <w:rPr>
          <w:rFonts w:hint="eastAsia"/>
        </w:rPr>
        <w:t>年</w:t>
      </w:r>
      <w:r w:rsidRPr="00B4515A">
        <w:t>10</w:t>
      </w:r>
      <w:r w:rsidRPr="00B4515A">
        <w:rPr>
          <w:rFonts w:hint="eastAsia"/>
        </w:rPr>
        <w:t>月</w:t>
      </w:r>
      <w:r w:rsidRPr="00B4515A">
        <w:t>30</w:t>
      </w:r>
      <w:r w:rsidRPr="00B4515A">
        <w:rPr>
          <w:rFonts w:hint="eastAsia"/>
        </w:rPr>
        <w:t>日，宸芯科技办理完毕本次股权转让的工商变更登记手续。</w:t>
      </w:r>
    </w:p>
    <w:p w14:paraId="1C091992" w14:textId="7ADC2562" w:rsidR="006416B0" w:rsidRPr="00B4515A" w:rsidRDefault="005E58C1" w:rsidP="005860B4">
      <w:pPr>
        <w:pStyle w:val="005"/>
        <w:spacing w:before="120" w:after="120"/>
        <w:ind w:firstLine="480"/>
      </w:pPr>
      <w:r w:rsidRPr="00B4515A">
        <w:t>2021</w:t>
      </w:r>
      <w:r w:rsidRPr="00B4515A">
        <w:rPr>
          <w:rFonts w:hint="eastAsia"/>
        </w:rPr>
        <w:t>年</w:t>
      </w:r>
      <w:r w:rsidRPr="00B4515A">
        <w:rPr>
          <w:rFonts w:hint="eastAsia"/>
        </w:rPr>
        <w:t>6</w:t>
      </w:r>
      <w:r w:rsidRPr="00B4515A">
        <w:rPr>
          <w:rFonts w:hint="eastAsia"/>
        </w:rPr>
        <w:t>月</w:t>
      </w:r>
      <w:r w:rsidRPr="00B4515A">
        <w:rPr>
          <w:rFonts w:hint="eastAsia"/>
        </w:rPr>
        <w:t>9</w:t>
      </w:r>
      <w:r w:rsidRPr="00B4515A">
        <w:rPr>
          <w:rFonts w:hint="eastAsia"/>
        </w:rPr>
        <w:t>日，大唐电信公告《</w:t>
      </w:r>
      <w:r w:rsidRPr="00B4515A">
        <w:t>大唐电信科技股份有限公司控股子公司增资之重大资产重组报告书（草案）</w:t>
      </w:r>
      <w:r w:rsidRPr="00B4515A">
        <w:rPr>
          <w:rFonts w:hint="eastAsia"/>
        </w:rPr>
        <w:t>》，公司下属企业</w:t>
      </w:r>
      <w:r w:rsidRPr="00B4515A">
        <w:t>大唐微电子技术有限公司</w:t>
      </w:r>
      <w:r w:rsidRPr="00B4515A">
        <w:rPr>
          <w:rFonts w:hint="eastAsia"/>
        </w:rPr>
        <w:t>拟引入国新建信基金现金增资，增资总金额为人民币</w:t>
      </w:r>
      <w:r w:rsidRPr="00B4515A">
        <w:rPr>
          <w:rFonts w:hint="eastAsia"/>
        </w:rPr>
        <w:t>40,000</w:t>
      </w:r>
      <w:r w:rsidRPr="00B4515A">
        <w:rPr>
          <w:rFonts w:hint="eastAsia"/>
        </w:rPr>
        <w:t>万元，增资资金用于偿还银行贷款等有息金融负债，实施市场化债转股。上述交易</w:t>
      </w:r>
      <w:r w:rsidRPr="00B4515A">
        <w:t>构成《重组管理办法》第十二条所规定的重大资产重组情形</w:t>
      </w:r>
      <w:r w:rsidRPr="00B4515A">
        <w:rPr>
          <w:rFonts w:hint="eastAsia"/>
        </w:rPr>
        <w:t>。</w:t>
      </w:r>
      <w:r w:rsidR="00686A63" w:rsidRPr="00B4515A">
        <w:rPr>
          <w:rFonts w:hint="eastAsia"/>
        </w:rPr>
        <w:t>前述重组草案及相关议案</w:t>
      </w:r>
      <w:r w:rsidRPr="00B4515A">
        <w:rPr>
          <w:rFonts w:hint="eastAsia"/>
        </w:rPr>
        <w:t>已经公司第八届董事会第二次会议</w:t>
      </w:r>
      <w:r w:rsidR="00686A63" w:rsidRPr="00B4515A">
        <w:rPr>
          <w:rFonts w:hint="eastAsia"/>
        </w:rPr>
        <w:t>及</w:t>
      </w:r>
      <w:r w:rsidR="00686A63" w:rsidRPr="00B4515A">
        <w:t>2021</w:t>
      </w:r>
      <w:r w:rsidR="00686A63" w:rsidRPr="00B4515A">
        <w:t>年第二次临时股东大会</w:t>
      </w:r>
      <w:r w:rsidRPr="00B4515A">
        <w:rPr>
          <w:rFonts w:hint="eastAsia"/>
        </w:rPr>
        <w:t>审议通过。</w:t>
      </w:r>
    </w:p>
    <w:p w14:paraId="2426C504" w14:textId="6A9312B7" w:rsidR="006416B0" w:rsidRPr="00B4515A" w:rsidRDefault="005E58C1" w:rsidP="005860B4">
      <w:pPr>
        <w:pStyle w:val="005"/>
        <w:spacing w:before="120" w:after="120"/>
        <w:ind w:firstLine="480"/>
      </w:pPr>
      <w:r w:rsidRPr="00B4515A">
        <w:t>2021</w:t>
      </w:r>
      <w:r w:rsidRPr="00B4515A">
        <w:rPr>
          <w:rFonts w:hint="eastAsia"/>
        </w:rPr>
        <w:t>年</w:t>
      </w:r>
      <w:r w:rsidRPr="00B4515A">
        <w:t>7</w:t>
      </w:r>
      <w:r w:rsidRPr="00B4515A">
        <w:rPr>
          <w:rFonts w:hint="eastAsia"/>
        </w:rPr>
        <w:t>月</w:t>
      </w:r>
      <w:r w:rsidRPr="00B4515A">
        <w:t>3</w:t>
      </w:r>
      <w:r w:rsidRPr="00B4515A">
        <w:rPr>
          <w:rFonts w:hint="eastAsia"/>
        </w:rPr>
        <w:t>日，大唐电信公告《</w:t>
      </w:r>
      <w:r w:rsidRPr="00B4515A">
        <w:t>大唐电信科技股份有限公司间接参股公司部分股权转让之重大资产重组预案</w:t>
      </w:r>
      <w:r w:rsidRPr="00B4515A">
        <w:rPr>
          <w:rFonts w:hint="eastAsia"/>
        </w:rPr>
        <w:t>》，</w:t>
      </w:r>
      <w:r w:rsidRPr="00B4515A">
        <w:t>公司下属企业联芯科技拟通过在广东联合产权交易中心以公开挂牌的方式转让参股公司瓴盛科技有限</w:t>
      </w:r>
      <w:r w:rsidRPr="00B4515A">
        <w:rPr>
          <w:rFonts w:hint="eastAsia"/>
        </w:rPr>
        <w:t>公司</w:t>
      </w:r>
      <w:r w:rsidRPr="00B4515A">
        <w:rPr>
          <w:rFonts w:hint="eastAsia"/>
        </w:rPr>
        <w:t>6</w:t>
      </w:r>
      <w:r w:rsidRPr="00B4515A">
        <w:t>.701%</w:t>
      </w:r>
      <w:r w:rsidRPr="00B4515A">
        <w:t>的股</w:t>
      </w:r>
      <w:r w:rsidRPr="00B4515A">
        <w:lastRenderedPageBreak/>
        <w:t>权。</w:t>
      </w:r>
      <w:r w:rsidRPr="00B4515A">
        <w:t xml:space="preserve"> </w:t>
      </w:r>
      <w:r w:rsidRPr="00B4515A">
        <w:t>本次交易完成前后，瓴盛科技有限</w:t>
      </w:r>
      <w:r w:rsidRPr="00B4515A">
        <w:rPr>
          <w:rFonts w:hint="eastAsia"/>
        </w:rPr>
        <w:t>公司</w:t>
      </w:r>
      <w:r w:rsidRPr="00B4515A">
        <w:t>持续为公司间接参股公司，公司合并报表范围未发生变化。</w:t>
      </w:r>
      <w:r w:rsidRPr="00B4515A">
        <w:rPr>
          <w:rFonts w:hint="eastAsia"/>
        </w:rPr>
        <w:t>上述交易</w:t>
      </w:r>
      <w:r w:rsidRPr="00B4515A">
        <w:t>构成《重组管理办法》第十二条所规定的重大资产重组情形</w:t>
      </w:r>
      <w:r w:rsidRPr="00B4515A">
        <w:rPr>
          <w:rFonts w:hint="eastAsia"/>
        </w:rPr>
        <w:t>。前述重组预案及相关议案已经公司第八届董事会第三次会议审议通过。</w:t>
      </w:r>
    </w:p>
    <w:p w14:paraId="7E60EF29" w14:textId="77777777" w:rsidR="006416B0" w:rsidRPr="00B4515A" w:rsidRDefault="005E58C1" w:rsidP="005860B4">
      <w:pPr>
        <w:pStyle w:val="002"/>
        <w:spacing w:before="120" w:after="120"/>
        <w:ind w:firstLine="562"/>
      </w:pPr>
      <w:bookmarkStart w:id="105" w:name="_Toc65492066"/>
      <w:bookmarkStart w:id="106" w:name="_Toc80960515"/>
      <w:r w:rsidRPr="00B4515A">
        <w:rPr>
          <w:rFonts w:hint="eastAsia"/>
        </w:rPr>
        <w:t>六</w:t>
      </w:r>
      <w:r w:rsidRPr="00B4515A">
        <w:t>、最近三年主营业务发展情况</w:t>
      </w:r>
      <w:bookmarkEnd w:id="105"/>
      <w:bookmarkEnd w:id="106"/>
    </w:p>
    <w:p w14:paraId="67C3E763" w14:textId="77777777" w:rsidR="006416B0" w:rsidRPr="00B4515A" w:rsidRDefault="005E58C1" w:rsidP="005860B4">
      <w:pPr>
        <w:pStyle w:val="005"/>
        <w:spacing w:before="120" w:after="120"/>
        <w:ind w:firstLine="480"/>
      </w:pPr>
      <w:r w:rsidRPr="00B4515A">
        <w:rPr>
          <w:rFonts w:hint="eastAsia"/>
        </w:rPr>
        <w:t>大唐电信积极对接网络强国、数字中国建设等国家战略，基于公司</w:t>
      </w:r>
      <w:r w:rsidRPr="00B4515A">
        <w:rPr>
          <w:rFonts w:ascii="宋体" w:hAnsi="宋体" w:hint="eastAsia"/>
        </w:rPr>
        <w:t>“</w:t>
      </w:r>
      <w:r w:rsidRPr="00B4515A">
        <w:rPr>
          <w:rFonts w:hint="eastAsia"/>
        </w:rPr>
        <w:t>芯端云</w:t>
      </w:r>
      <w:r w:rsidRPr="00B4515A">
        <w:rPr>
          <w:rFonts w:ascii="宋体" w:hAnsi="宋体" w:hint="eastAsia"/>
        </w:rPr>
        <w:t>”</w:t>
      </w:r>
      <w:r w:rsidRPr="00B4515A">
        <w:rPr>
          <w:rFonts w:hint="eastAsia"/>
        </w:rPr>
        <w:t>已有技术积累，加强产业链上下游整合能力，形成以安全芯片、行业终端、大数据云平台为核心的特色解决方案体系，并深入拓展行业市场和重要地方政府市场，形成规模优势，全面提升各项业务核心竞争力。最近三年主营业务主要分为集成电路设计、终端设计、网络与服务等三大业务板块。</w:t>
      </w:r>
    </w:p>
    <w:p w14:paraId="6190A598" w14:textId="77777777" w:rsidR="006416B0" w:rsidRPr="00B4515A" w:rsidRDefault="005E58C1" w:rsidP="005860B4">
      <w:pPr>
        <w:pStyle w:val="002"/>
        <w:spacing w:before="120" w:after="120"/>
        <w:ind w:firstLine="562"/>
      </w:pPr>
      <w:bookmarkStart w:id="107" w:name="_Toc80960516"/>
      <w:bookmarkStart w:id="108" w:name="_Toc65492067"/>
      <w:r w:rsidRPr="00B4515A">
        <w:rPr>
          <w:rFonts w:hint="eastAsia"/>
        </w:rPr>
        <w:t>七</w:t>
      </w:r>
      <w:r w:rsidRPr="00B4515A">
        <w:t>、主要财务数据及财务指标</w:t>
      </w:r>
      <w:bookmarkEnd w:id="107"/>
    </w:p>
    <w:bookmarkEnd w:id="108"/>
    <w:p w14:paraId="052D8FE4" w14:textId="77777777" w:rsidR="006416B0" w:rsidRPr="00B4515A" w:rsidRDefault="005E58C1" w:rsidP="005860B4">
      <w:pPr>
        <w:pStyle w:val="009"/>
      </w:pPr>
      <w:r w:rsidRPr="00B4515A">
        <w:rPr>
          <w:rFonts w:hint="eastAsia"/>
        </w:rPr>
        <w:t>单位：万元</w:t>
      </w:r>
    </w:p>
    <w:tbl>
      <w:tblPr>
        <w:tblW w:w="5277"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772"/>
        <w:gridCol w:w="2173"/>
        <w:gridCol w:w="1952"/>
        <w:gridCol w:w="2103"/>
      </w:tblGrid>
      <w:tr w:rsidR="006416B0" w:rsidRPr="00B4515A" w14:paraId="016B9C9C"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3FF5BEDF"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资产负债项目</w:t>
            </w:r>
          </w:p>
        </w:tc>
        <w:tc>
          <w:tcPr>
            <w:tcW w:w="2173" w:type="dxa"/>
            <w:shd w:val="clear" w:color="000000" w:fill="FFFFFF"/>
            <w:tcMar>
              <w:top w:w="0" w:type="dxa"/>
              <w:left w:w="108" w:type="dxa"/>
              <w:bottom w:w="0" w:type="dxa"/>
              <w:right w:w="108" w:type="dxa"/>
            </w:tcMar>
            <w:vAlign w:val="center"/>
          </w:tcPr>
          <w:p w14:paraId="51A84ED2"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2021</w:t>
            </w:r>
            <w:r w:rsidRPr="00B4515A">
              <w:rPr>
                <w:rFonts w:ascii="Times New Roman" w:eastAsiaTheme="majorEastAsia" w:hAnsi="Times New Roman" w:cs="Times New Roman"/>
                <w:b/>
                <w:bCs/>
                <w:color w:val="333333"/>
                <w:sz w:val="21"/>
                <w:szCs w:val="21"/>
              </w:rPr>
              <w:t>年</w:t>
            </w:r>
            <w:r w:rsidRPr="00B4515A">
              <w:rPr>
                <w:rFonts w:ascii="Times New Roman" w:eastAsiaTheme="majorEastAsia" w:hAnsi="Times New Roman" w:cs="Times New Roman"/>
                <w:b/>
                <w:bCs/>
                <w:color w:val="333333"/>
                <w:sz w:val="21"/>
                <w:szCs w:val="21"/>
              </w:rPr>
              <w:t>4</w:t>
            </w:r>
            <w:r w:rsidRPr="00B4515A">
              <w:rPr>
                <w:rFonts w:ascii="Times New Roman" w:eastAsiaTheme="majorEastAsia" w:hAnsi="Times New Roman" w:cs="Times New Roman"/>
                <w:b/>
                <w:bCs/>
                <w:color w:val="333333"/>
                <w:sz w:val="21"/>
                <w:szCs w:val="21"/>
              </w:rPr>
              <w:t>月</w:t>
            </w:r>
            <w:r w:rsidRPr="00B4515A">
              <w:rPr>
                <w:rFonts w:ascii="Times New Roman" w:eastAsiaTheme="majorEastAsia" w:hAnsi="Times New Roman" w:cs="Times New Roman"/>
                <w:b/>
                <w:bCs/>
                <w:color w:val="333333"/>
                <w:sz w:val="21"/>
                <w:szCs w:val="21"/>
              </w:rPr>
              <w:t>30</w:t>
            </w:r>
            <w:r w:rsidRPr="00B4515A">
              <w:rPr>
                <w:rFonts w:ascii="Times New Roman" w:eastAsiaTheme="majorEastAsia" w:hAnsi="Times New Roman" w:cs="Times New Roman"/>
                <w:b/>
                <w:bCs/>
                <w:color w:val="333333"/>
                <w:sz w:val="21"/>
                <w:szCs w:val="21"/>
              </w:rPr>
              <w:t>日</w:t>
            </w:r>
          </w:p>
        </w:tc>
        <w:tc>
          <w:tcPr>
            <w:tcW w:w="1952" w:type="dxa"/>
            <w:shd w:val="clear" w:color="000000" w:fill="FFFFFF"/>
            <w:tcMar>
              <w:top w:w="0" w:type="dxa"/>
              <w:left w:w="108" w:type="dxa"/>
              <w:bottom w:w="0" w:type="dxa"/>
              <w:right w:w="108" w:type="dxa"/>
            </w:tcMar>
            <w:vAlign w:val="center"/>
          </w:tcPr>
          <w:p w14:paraId="40E4B803"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2020</w:t>
            </w:r>
            <w:r w:rsidRPr="00B4515A">
              <w:rPr>
                <w:rFonts w:ascii="Times New Roman" w:eastAsiaTheme="majorEastAsia" w:hAnsi="Times New Roman" w:cs="Times New Roman"/>
                <w:b/>
                <w:bCs/>
                <w:color w:val="333333"/>
                <w:sz w:val="21"/>
                <w:szCs w:val="21"/>
              </w:rPr>
              <w:t>年</w:t>
            </w:r>
            <w:r w:rsidRPr="00B4515A">
              <w:rPr>
                <w:rFonts w:ascii="Times New Roman" w:eastAsiaTheme="majorEastAsia" w:hAnsi="Times New Roman" w:cs="Times New Roman"/>
                <w:b/>
                <w:bCs/>
                <w:color w:val="333333"/>
                <w:sz w:val="21"/>
                <w:szCs w:val="21"/>
              </w:rPr>
              <w:t>12</w:t>
            </w:r>
            <w:r w:rsidRPr="00B4515A">
              <w:rPr>
                <w:rFonts w:ascii="Times New Roman" w:eastAsiaTheme="majorEastAsia" w:hAnsi="Times New Roman" w:cs="Times New Roman"/>
                <w:b/>
                <w:bCs/>
                <w:color w:val="333333"/>
                <w:sz w:val="21"/>
                <w:szCs w:val="21"/>
              </w:rPr>
              <w:t>月</w:t>
            </w:r>
            <w:r w:rsidRPr="00B4515A">
              <w:rPr>
                <w:rFonts w:ascii="Times New Roman" w:eastAsiaTheme="majorEastAsia" w:hAnsi="Times New Roman" w:cs="Times New Roman"/>
                <w:b/>
                <w:bCs/>
                <w:color w:val="333333"/>
                <w:sz w:val="21"/>
                <w:szCs w:val="21"/>
              </w:rPr>
              <w:t>31</w:t>
            </w:r>
            <w:r w:rsidRPr="00B4515A">
              <w:rPr>
                <w:rFonts w:ascii="Times New Roman" w:eastAsiaTheme="majorEastAsia" w:hAnsi="Times New Roman" w:cs="Times New Roman"/>
                <w:b/>
                <w:bCs/>
                <w:color w:val="333333"/>
                <w:sz w:val="21"/>
                <w:szCs w:val="21"/>
              </w:rPr>
              <w:t>日</w:t>
            </w:r>
          </w:p>
        </w:tc>
        <w:tc>
          <w:tcPr>
            <w:tcW w:w="2103" w:type="dxa"/>
            <w:shd w:val="clear" w:color="000000" w:fill="FFFFFF"/>
            <w:tcMar>
              <w:top w:w="0" w:type="dxa"/>
              <w:left w:w="108" w:type="dxa"/>
              <w:bottom w:w="0" w:type="dxa"/>
              <w:right w:w="108" w:type="dxa"/>
            </w:tcMar>
            <w:vAlign w:val="center"/>
          </w:tcPr>
          <w:p w14:paraId="2174303F"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2019</w:t>
            </w:r>
            <w:r w:rsidRPr="00B4515A">
              <w:rPr>
                <w:rFonts w:ascii="Times New Roman" w:eastAsiaTheme="majorEastAsia" w:hAnsi="Times New Roman" w:cs="Times New Roman"/>
                <w:b/>
                <w:bCs/>
                <w:color w:val="333333"/>
                <w:sz w:val="21"/>
                <w:szCs w:val="21"/>
              </w:rPr>
              <w:t>年</w:t>
            </w:r>
            <w:r w:rsidRPr="00B4515A">
              <w:rPr>
                <w:rFonts w:ascii="Times New Roman" w:eastAsiaTheme="majorEastAsia" w:hAnsi="Times New Roman" w:cs="Times New Roman"/>
                <w:b/>
                <w:bCs/>
                <w:color w:val="333333"/>
                <w:sz w:val="21"/>
                <w:szCs w:val="21"/>
              </w:rPr>
              <w:t>12</w:t>
            </w:r>
            <w:r w:rsidRPr="00B4515A">
              <w:rPr>
                <w:rFonts w:ascii="Times New Roman" w:eastAsiaTheme="majorEastAsia" w:hAnsi="Times New Roman" w:cs="Times New Roman"/>
                <w:b/>
                <w:bCs/>
                <w:color w:val="333333"/>
                <w:sz w:val="21"/>
                <w:szCs w:val="21"/>
              </w:rPr>
              <w:t>月</w:t>
            </w:r>
            <w:r w:rsidRPr="00B4515A">
              <w:rPr>
                <w:rFonts w:ascii="Times New Roman" w:eastAsiaTheme="majorEastAsia" w:hAnsi="Times New Roman" w:cs="Times New Roman"/>
                <w:b/>
                <w:bCs/>
                <w:color w:val="333333"/>
                <w:sz w:val="21"/>
                <w:szCs w:val="21"/>
              </w:rPr>
              <w:t>31</w:t>
            </w:r>
            <w:r w:rsidRPr="00B4515A">
              <w:rPr>
                <w:rFonts w:ascii="Times New Roman" w:eastAsiaTheme="majorEastAsia" w:hAnsi="Times New Roman" w:cs="Times New Roman"/>
                <w:b/>
                <w:bCs/>
                <w:color w:val="333333"/>
                <w:sz w:val="21"/>
                <w:szCs w:val="21"/>
              </w:rPr>
              <w:t>日</w:t>
            </w:r>
          </w:p>
        </w:tc>
      </w:tr>
      <w:tr w:rsidR="006416B0" w:rsidRPr="00B4515A" w14:paraId="5E466917"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1863B73C" w14:textId="77777777" w:rsidR="006416B0"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t>资产总计</w:t>
            </w:r>
          </w:p>
        </w:tc>
        <w:tc>
          <w:tcPr>
            <w:tcW w:w="2173" w:type="dxa"/>
            <w:shd w:val="clear" w:color="auto" w:fill="auto"/>
            <w:tcMar>
              <w:top w:w="0" w:type="dxa"/>
              <w:left w:w="108" w:type="dxa"/>
              <w:bottom w:w="0" w:type="dxa"/>
              <w:right w:w="108" w:type="dxa"/>
            </w:tcMar>
            <w:vAlign w:val="center"/>
          </w:tcPr>
          <w:p w14:paraId="447932DE"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298,000.05</w:t>
            </w:r>
          </w:p>
        </w:tc>
        <w:tc>
          <w:tcPr>
            <w:tcW w:w="1952" w:type="dxa"/>
            <w:shd w:val="clear" w:color="auto" w:fill="auto"/>
            <w:tcMar>
              <w:top w:w="0" w:type="dxa"/>
              <w:left w:w="108" w:type="dxa"/>
              <w:bottom w:w="0" w:type="dxa"/>
              <w:right w:w="108" w:type="dxa"/>
            </w:tcMar>
            <w:vAlign w:val="center"/>
          </w:tcPr>
          <w:p w14:paraId="78A14B38"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314,041.93</w:t>
            </w:r>
          </w:p>
        </w:tc>
        <w:tc>
          <w:tcPr>
            <w:tcW w:w="2103" w:type="dxa"/>
            <w:shd w:val="clear" w:color="auto" w:fill="auto"/>
            <w:tcMar>
              <w:top w:w="0" w:type="dxa"/>
              <w:left w:w="108" w:type="dxa"/>
              <w:bottom w:w="0" w:type="dxa"/>
              <w:right w:w="108" w:type="dxa"/>
            </w:tcMar>
            <w:vAlign w:val="center"/>
          </w:tcPr>
          <w:p w14:paraId="5ECFA053"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576,967.76</w:t>
            </w:r>
          </w:p>
        </w:tc>
      </w:tr>
      <w:tr w:rsidR="006416B0" w:rsidRPr="00B4515A" w14:paraId="7E3B7A46"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4E3A887F" w14:textId="77777777" w:rsidR="006416B0"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t>负债合计</w:t>
            </w:r>
          </w:p>
        </w:tc>
        <w:tc>
          <w:tcPr>
            <w:tcW w:w="2173" w:type="dxa"/>
            <w:shd w:val="clear" w:color="auto" w:fill="auto"/>
            <w:tcMar>
              <w:top w:w="0" w:type="dxa"/>
              <w:left w:w="108" w:type="dxa"/>
              <w:bottom w:w="0" w:type="dxa"/>
              <w:right w:w="108" w:type="dxa"/>
            </w:tcMar>
            <w:vAlign w:val="center"/>
          </w:tcPr>
          <w:p w14:paraId="3693549E"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364,511.94</w:t>
            </w:r>
          </w:p>
        </w:tc>
        <w:tc>
          <w:tcPr>
            <w:tcW w:w="1952" w:type="dxa"/>
            <w:shd w:val="clear" w:color="auto" w:fill="auto"/>
            <w:tcMar>
              <w:top w:w="0" w:type="dxa"/>
              <w:left w:w="108" w:type="dxa"/>
              <w:bottom w:w="0" w:type="dxa"/>
              <w:right w:w="108" w:type="dxa"/>
            </w:tcMar>
            <w:vAlign w:val="center"/>
          </w:tcPr>
          <w:p w14:paraId="4D21FB21"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365,968.92</w:t>
            </w:r>
          </w:p>
        </w:tc>
        <w:tc>
          <w:tcPr>
            <w:tcW w:w="2103" w:type="dxa"/>
            <w:shd w:val="clear" w:color="auto" w:fill="auto"/>
            <w:tcMar>
              <w:top w:w="0" w:type="dxa"/>
              <w:left w:w="108" w:type="dxa"/>
              <w:bottom w:w="0" w:type="dxa"/>
              <w:right w:w="108" w:type="dxa"/>
            </w:tcMar>
            <w:vAlign w:val="center"/>
          </w:tcPr>
          <w:p w14:paraId="2BABF0A3"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434,442.26</w:t>
            </w:r>
          </w:p>
        </w:tc>
      </w:tr>
      <w:tr w:rsidR="006416B0" w:rsidRPr="00B4515A" w14:paraId="0BD50226"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4ACEC032" w14:textId="77777777" w:rsidR="006416B0"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t>所有者权益合计</w:t>
            </w:r>
          </w:p>
        </w:tc>
        <w:tc>
          <w:tcPr>
            <w:tcW w:w="2173" w:type="dxa"/>
            <w:shd w:val="clear" w:color="auto" w:fill="auto"/>
            <w:tcMar>
              <w:top w:w="0" w:type="dxa"/>
              <w:left w:w="108" w:type="dxa"/>
              <w:bottom w:w="0" w:type="dxa"/>
              <w:right w:w="108" w:type="dxa"/>
            </w:tcMar>
            <w:vAlign w:val="center"/>
          </w:tcPr>
          <w:p w14:paraId="78B0263C"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-66,511.89</w:t>
            </w:r>
          </w:p>
        </w:tc>
        <w:tc>
          <w:tcPr>
            <w:tcW w:w="1952" w:type="dxa"/>
            <w:shd w:val="clear" w:color="auto" w:fill="auto"/>
            <w:tcMar>
              <w:top w:w="0" w:type="dxa"/>
              <w:left w:w="108" w:type="dxa"/>
              <w:bottom w:w="0" w:type="dxa"/>
              <w:right w:w="108" w:type="dxa"/>
            </w:tcMar>
            <w:vAlign w:val="center"/>
          </w:tcPr>
          <w:p w14:paraId="18B7D777"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-51,926.99</w:t>
            </w:r>
          </w:p>
        </w:tc>
        <w:tc>
          <w:tcPr>
            <w:tcW w:w="2103" w:type="dxa"/>
            <w:shd w:val="clear" w:color="auto" w:fill="auto"/>
            <w:tcMar>
              <w:top w:w="0" w:type="dxa"/>
              <w:left w:w="108" w:type="dxa"/>
              <w:bottom w:w="0" w:type="dxa"/>
              <w:right w:w="108" w:type="dxa"/>
            </w:tcMar>
            <w:vAlign w:val="center"/>
          </w:tcPr>
          <w:p w14:paraId="5FD1B9E2"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142,525.50</w:t>
            </w:r>
          </w:p>
        </w:tc>
      </w:tr>
      <w:tr w:rsidR="006416B0" w:rsidRPr="00B4515A" w14:paraId="755642A3"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4C7E6AF1" w14:textId="77777777" w:rsidR="005860B4"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t>归属于母公司所有者权益</w:t>
            </w:r>
          </w:p>
          <w:p w14:paraId="05C026A1" w14:textId="28D985AE" w:rsidR="006416B0"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t>合计</w:t>
            </w:r>
          </w:p>
        </w:tc>
        <w:tc>
          <w:tcPr>
            <w:tcW w:w="2173" w:type="dxa"/>
            <w:shd w:val="clear" w:color="auto" w:fill="auto"/>
            <w:tcMar>
              <w:top w:w="0" w:type="dxa"/>
              <w:left w:w="108" w:type="dxa"/>
              <w:bottom w:w="0" w:type="dxa"/>
              <w:right w:w="108" w:type="dxa"/>
            </w:tcMar>
            <w:vAlign w:val="center"/>
          </w:tcPr>
          <w:p w14:paraId="37969228"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-140,970.51</w:t>
            </w:r>
          </w:p>
        </w:tc>
        <w:tc>
          <w:tcPr>
            <w:tcW w:w="1952" w:type="dxa"/>
            <w:shd w:val="clear" w:color="auto" w:fill="auto"/>
            <w:tcMar>
              <w:top w:w="0" w:type="dxa"/>
              <w:left w:w="108" w:type="dxa"/>
              <w:bottom w:w="0" w:type="dxa"/>
              <w:right w:w="108" w:type="dxa"/>
            </w:tcMar>
            <w:vAlign w:val="center"/>
          </w:tcPr>
          <w:p w14:paraId="2671CDB1"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-131,187.30</w:t>
            </w:r>
          </w:p>
        </w:tc>
        <w:tc>
          <w:tcPr>
            <w:tcW w:w="2103" w:type="dxa"/>
            <w:shd w:val="clear" w:color="auto" w:fill="auto"/>
            <w:tcMar>
              <w:top w:w="0" w:type="dxa"/>
              <w:left w:w="108" w:type="dxa"/>
              <w:bottom w:w="0" w:type="dxa"/>
              <w:right w:w="108" w:type="dxa"/>
            </w:tcMar>
            <w:vAlign w:val="center"/>
          </w:tcPr>
          <w:p w14:paraId="76ECCBE0"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3,354.67</w:t>
            </w:r>
          </w:p>
        </w:tc>
      </w:tr>
      <w:tr w:rsidR="006416B0" w:rsidRPr="00B4515A" w14:paraId="29A9C912"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09476792"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收入利润项目</w:t>
            </w:r>
          </w:p>
        </w:tc>
        <w:tc>
          <w:tcPr>
            <w:tcW w:w="2173" w:type="dxa"/>
            <w:shd w:val="clear" w:color="000000" w:fill="FFFFFF"/>
            <w:tcMar>
              <w:top w:w="0" w:type="dxa"/>
              <w:left w:w="108" w:type="dxa"/>
              <w:bottom w:w="0" w:type="dxa"/>
              <w:right w:w="108" w:type="dxa"/>
            </w:tcMar>
            <w:vAlign w:val="center"/>
          </w:tcPr>
          <w:p w14:paraId="135D055D"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2021</w:t>
            </w:r>
            <w:r w:rsidRPr="00B4515A">
              <w:rPr>
                <w:rFonts w:ascii="Times New Roman" w:eastAsiaTheme="majorEastAsia" w:hAnsi="Times New Roman" w:cs="Times New Roman"/>
                <w:b/>
                <w:bCs/>
                <w:color w:val="333333"/>
                <w:sz w:val="21"/>
                <w:szCs w:val="21"/>
              </w:rPr>
              <w:t>年</w:t>
            </w:r>
            <w:r w:rsidRPr="00B4515A">
              <w:rPr>
                <w:rFonts w:ascii="Times New Roman" w:eastAsiaTheme="majorEastAsia" w:hAnsi="Times New Roman" w:cs="Times New Roman"/>
                <w:b/>
                <w:bCs/>
                <w:color w:val="333333"/>
                <w:sz w:val="21"/>
                <w:szCs w:val="21"/>
              </w:rPr>
              <w:t>1-4</w:t>
            </w:r>
            <w:r w:rsidRPr="00B4515A">
              <w:rPr>
                <w:rFonts w:ascii="Times New Roman" w:eastAsiaTheme="majorEastAsia" w:hAnsi="Times New Roman" w:cs="Times New Roman"/>
                <w:b/>
                <w:bCs/>
                <w:color w:val="333333"/>
                <w:sz w:val="21"/>
                <w:szCs w:val="21"/>
              </w:rPr>
              <w:t>月</w:t>
            </w:r>
          </w:p>
        </w:tc>
        <w:tc>
          <w:tcPr>
            <w:tcW w:w="1952" w:type="dxa"/>
            <w:shd w:val="clear" w:color="000000" w:fill="FFFFFF"/>
            <w:tcMar>
              <w:top w:w="0" w:type="dxa"/>
              <w:left w:w="108" w:type="dxa"/>
              <w:bottom w:w="0" w:type="dxa"/>
              <w:right w:w="108" w:type="dxa"/>
            </w:tcMar>
            <w:vAlign w:val="center"/>
          </w:tcPr>
          <w:p w14:paraId="72A37289"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2020</w:t>
            </w:r>
            <w:r w:rsidRPr="00B4515A">
              <w:rPr>
                <w:rFonts w:ascii="Times New Roman" w:eastAsiaTheme="majorEastAsia" w:hAnsi="Times New Roman" w:cs="Times New Roman"/>
                <w:b/>
                <w:bCs/>
                <w:color w:val="333333"/>
                <w:sz w:val="21"/>
                <w:szCs w:val="21"/>
              </w:rPr>
              <w:t>年度</w:t>
            </w:r>
          </w:p>
        </w:tc>
        <w:tc>
          <w:tcPr>
            <w:tcW w:w="2103" w:type="dxa"/>
            <w:shd w:val="clear" w:color="000000" w:fill="FFFFFF"/>
            <w:tcMar>
              <w:top w:w="0" w:type="dxa"/>
              <w:left w:w="108" w:type="dxa"/>
              <w:bottom w:w="0" w:type="dxa"/>
              <w:right w:w="108" w:type="dxa"/>
            </w:tcMar>
            <w:vAlign w:val="center"/>
          </w:tcPr>
          <w:p w14:paraId="036DE2FD"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2019</w:t>
            </w:r>
            <w:r w:rsidRPr="00B4515A">
              <w:rPr>
                <w:rFonts w:ascii="Times New Roman" w:eastAsiaTheme="majorEastAsia" w:hAnsi="Times New Roman" w:cs="Times New Roman"/>
                <w:b/>
                <w:bCs/>
                <w:color w:val="333333"/>
                <w:sz w:val="21"/>
                <w:szCs w:val="21"/>
              </w:rPr>
              <w:t>年度</w:t>
            </w:r>
          </w:p>
        </w:tc>
      </w:tr>
      <w:tr w:rsidR="006416B0" w:rsidRPr="00B4515A" w14:paraId="06FD8779" w14:textId="77777777" w:rsidTr="005860B4">
        <w:trPr>
          <w:trHeight w:val="340"/>
          <w:jc w:val="center"/>
        </w:trPr>
        <w:tc>
          <w:tcPr>
            <w:tcW w:w="2772" w:type="dxa"/>
            <w:shd w:val="clear" w:color="auto" w:fill="auto"/>
            <w:tcMar>
              <w:top w:w="0" w:type="dxa"/>
              <w:left w:w="108" w:type="dxa"/>
              <w:bottom w:w="0" w:type="dxa"/>
              <w:right w:w="108" w:type="dxa"/>
            </w:tcMar>
            <w:vAlign w:val="center"/>
          </w:tcPr>
          <w:p w14:paraId="7193841D"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营业总收入</w:t>
            </w:r>
          </w:p>
        </w:tc>
        <w:tc>
          <w:tcPr>
            <w:tcW w:w="2173" w:type="dxa"/>
            <w:shd w:val="clear" w:color="auto" w:fill="auto"/>
            <w:tcMar>
              <w:top w:w="0" w:type="dxa"/>
              <w:left w:w="108" w:type="dxa"/>
              <w:bottom w:w="0" w:type="dxa"/>
              <w:right w:w="108" w:type="dxa"/>
            </w:tcMar>
            <w:vAlign w:val="center"/>
          </w:tcPr>
          <w:p w14:paraId="43403ECD"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13,624.42</w:t>
            </w:r>
          </w:p>
        </w:tc>
        <w:tc>
          <w:tcPr>
            <w:tcW w:w="1952" w:type="dxa"/>
            <w:shd w:val="clear" w:color="auto" w:fill="auto"/>
            <w:tcMar>
              <w:top w:w="0" w:type="dxa"/>
              <w:left w:w="108" w:type="dxa"/>
              <w:bottom w:w="0" w:type="dxa"/>
              <w:right w:w="108" w:type="dxa"/>
            </w:tcMar>
            <w:vAlign w:val="center"/>
          </w:tcPr>
          <w:p w14:paraId="12B61877"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120,721.15</w:t>
            </w:r>
          </w:p>
        </w:tc>
        <w:tc>
          <w:tcPr>
            <w:tcW w:w="2103" w:type="dxa"/>
            <w:shd w:val="clear" w:color="auto" w:fill="auto"/>
            <w:tcMar>
              <w:top w:w="0" w:type="dxa"/>
              <w:left w:w="108" w:type="dxa"/>
              <w:bottom w:w="0" w:type="dxa"/>
              <w:right w:w="108" w:type="dxa"/>
            </w:tcMar>
            <w:vAlign w:val="center"/>
          </w:tcPr>
          <w:p w14:paraId="6ED54679"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143,064.75</w:t>
            </w:r>
          </w:p>
        </w:tc>
      </w:tr>
      <w:tr w:rsidR="006416B0" w:rsidRPr="00B4515A" w14:paraId="29210D2F" w14:textId="77777777" w:rsidTr="005860B4">
        <w:trPr>
          <w:trHeight w:val="340"/>
          <w:jc w:val="center"/>
        </w:trPr>
        <w:tc>
          <w:tcPr>
            <w:tcW w:w="2772" w:type="dxa"/>
            <w:shd w:val="clear" w:color="auto" w:fill="auto"/>
            <w:tcMar>
              <w:top w:w="0" w:type="dxa"/>
              <w:left w:w="108" w:type="dxa"/>
              <w:bottom w:w="0" w:type="dxa"/>
              <w:right w:w="108" w:type="dxa"/>
            </w:tcMar>
            <w:vAlign w:val="center"/>
          </w:tcPr>
          <w:p w14:paraId="4742D5A5"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营业总成本</w:t>
            </w:r>
          </w:p>
        </w:tc>
        <w:tc>
          <w:tcPr>
            <w:tcW w:w="2173" w:type="dxa"/>
            <w:shd w:val="clear" w:color="auto" w:fill="auto"/>
            <w:tcMar>
              <w:top w:w="0" w:type="dxa"/>
              <w:left w:w="108" w:type="dxa"/>
              <w:bottom w:w="0" w:type="dxa"/>
              <w:right w:w="108" w:type="dxa"/>
            </w:tcMar>
            <w:vAlign w:val="center"/>
          </w:tcPr>
          <w:p w14:paraId="6A0AE69E"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23,284.16</w:t>
            </w:r>
          </w:p>
        </w:tc>
        <w:tc>
          <w:tcPr>
            <w:tcW w:w="1952" w:type="dxa"/>
            <w:shd w:val="clear" w:color="auto" w:fill="auto"/>
            <w:tcMar>
              <w:top w:w="0" w:type="dxa"/>
              <w:left w:w="108" w:type="dxa"/>
              <w:bottom w:w="0" w:type="dxa"/>
              <w:right w:w="108" w:type="dxa"/>
            </w:tcMar>
            <w:vAlign w:val="center"/>
          </w:tcPr>
          <w:p w14:paraId="3F3E26C5"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164,733.57</w:t>
            </w:r>
          </w:p>
        </w:tc>
        <w:tc>
          <w:tcPr>
            <w:tcW w:w="2103" w:type="dxa"/>
            <w:shd w:val="clear" w:color="auto" w:fill="auto"/>
            <w:tcMar>
              <w:top w:w="0" w:type="dxa"/>
              <w:left w:w="108" w:type="dxa"/>
              <w:bottom w:w="0" w:type="dxa"/>
              <w:right w:w="108" w:type="dxa"/>
            </w:tcMar>
            <w:vAlign w:val="center"/>
          </w:tcPr>
          <w:p w14:paraId="4E623892"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202,691.21</w:t>
            </w:r>
          </w:p>
        </w:tc>
      </w:tr>
      <w:tr w:rsidR="006416B0" w:rsidRPr="00B4515A" w14:paraId="20B0384F" w14:textId="77777777" w:rsidTr="005860B4">
        <w:trPr>
          <w:trHeight w:val="340"/>
          <w:jc w:val="center"/>
        </w:trPr>
        <w:tc>
          <w:tcPr>
            <w:tcW w:w="2772" w:type="dxa"/>
            <w:shd w:val="clear" w:color="auto" w:fill="auto"/>
            <w:tcMar>
              <w:top w:w="0" w:type="dxa"/>
              <w:left w:w="108" w:type="dxa"/>
              <w:bottom w:w="0" w:type="dxa"/>
              <w:right w:w="108" w:type="dxa"/>
            </w:tcMar>
            <w:vAlign w:val="center"/>
          </w:tcPr>
          <w:p w14:paraId="74039D3C"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营业利润</w:t>
            </w:r>
          </w:p>
        </w:tc>
        <w:tc>
          <w:tcPr>
            <w:tcW w:w="2173" w:type="dxa"/>
            <w:shd w:val="clear" w:color="auto" w:fill="auto"/>
            <w:tcMar>
              <w:top w:w="0" w:type="dxa"/>
              <w:left w:w="108" w:type="dxa"/>
              <w:bottom w:w="0" w:type="dxa"/>
              <w:right w:w="108" w:type="dxa"/>
            </w:tcMar>
            <w:vAlign w:val="center"/>
          </w:tcPr>
          <w:p w14:paraId="49B40CD8"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-15,190.48</w:t>
            </w:r>
          </w:p>
        </w:tc>
        <w:tc>
          <w:tcPr>
            <w:tcW w:w="1952" w:type="dxa"/>
            <w:shd w:val="clear" w:color="auto" w:fill="auto"/>
            <w:tcMar>
              <w:top w:w="0" w:type="dxa"/>
              <w:left w:w="108" w:type="dxa"/>
              <w:bottom w:w="0" w:type="dxa"/>
              <w:right w:w="108" w:type="dxa"/>
            </w:tcMar>
            <w:vAlign w:val="center"/>
          </w:tcPr>
          <w:p w14:paraId="1B5D92A9"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-160,274.33</w:t>
            </w:r>
          </w:p>
        </w:tc>
        <w:tc>
          <w:tcPr>
            <w:tcW w:w="2103" w:type="dxa"/>
            <w:shd w:val="clear" w:color="auto" w:fill="auto"/>
            <w:tcMar>
              <w:top w:w="0" w:type="dxa"/>
              <w:left w:w="108" w:type="dxa"/>
              <w:bottom w:w="0" w:type="dxa"/>
              <w:right w:w="108" w:type="dxa"/>
            </w:tcMar>
            <w:vAlign w:val="center"/>
          </w:tcPr>
          <w:p w14:paraId="6FD02F37"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-93,942.21</w:t>
            </w:r>
          </w:p>
        </w:tc>
      </w:tr>
      <w:tr w:rsidR="006416B0" w:rsidRPr="00B4515A" w14:paraId="5B29B3F2" w14:textId="77777777" w:rsidTr="005860B4">
        <w:trPr>
          <w:trHeight w:val="340"/>
          <w:jc w:val="center"/>
        </w:trPr>
        <w:tc>
          <w:tcPr>
            <w:tcW w:w="2772" w:type="dxa"/>
            <w:shd w:val="clear" w:color="auto" w:fill="auto"/>
            <w:tcMar>
              <w:top w:w="0" w:type="dxa"/>
              <w:left w:w="108" w:type="dxa"/>
              <w:bottom w:w="0" w:type="dxa"/>
              <w:right w:w="108" w:type="dxa"/>
            </w:tcMar>
            <w:vAlign w:val="center"/>
          </w:tcPr>
          <w:p w14:paraId="236CF4C2"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利润总额</w:t>
            </w:r>
          </w:p>
        </w:tc>
        <w:tc>
          <w:tcPr>
            <w:tcW w:w="2173" w:type="dxa"/>
            <w:shd w:val="clear" w:color="auto" w:fill="auto"/>
            <w:tcMar>
              <w:top w:w="0" w:type="dxa"/>
              <w:left w:w="108" w:type="dxa"/>
              <w:bottom w:w="0" w:type="dxa"/>
              <w:right w:w="108" w:type="dxa"/>
            </w:tcMar>
            <w:vAlign w:val="center"/>
          </w:tcPr>
          <w:p w14:paraId="25F689F3"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-15,164.66</w:t>
            </w:r>
          </w:p>
        </w:tc>
        <w:tc>
          <w:tcPr>
            <w:tcW w:w="1952" w:type="dxa"/>
            <w:shd w:val="clear" w:color="auto" w:fill="auto"/>
            <w:tcMar>
              <w:top w:w="0" w:type="dxa"/>
              <w:left w:w="108" w:type="dxa"/>
              <w:bottom w:w="0" w:type="dxa"/>
              <w:right w:w="108" w:type="dxa"/>
            </w:tcMar>
            <w:vAlign w:val="center"/>
          </w:tcPr>
          <w:p w14:paraId="7E16F016"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-168,793.47</w:t>
            </w:r>
          </w:p>
        </w:tc>
        <w:tc>
          <w:tcPr>
            <w:tcW w:w="2103" w:type="dxa"/>
            <w:shd w:val="clear" w:color="auto" w:fill="auto"/>
            <w:tcMar>
              <w:top w:w="0" w:type="dxa"/>
              <w:left w:w="108" w:type="dxa"/>
              <w:bottom w:w="0" w:type="dxa"/>
              <w:right w:w="108" w:type="dxa"/>
            </w:tcMar>
            <w:vAlign w:val="center"/>
          </w:tcPr>
          <w:p w14:paraId="510580C4"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-97,651.87</w:t>
            </w:r>
          </w:p>
        </w:tc>
      </w:tr>
      <w:tr w:rsidR="006416B0" w:rsidRPr="00B4515A" w14:paraId="3C30928D" w14:textId="77777777" w:rsidTr="005860B4">
        <w:trPr>
          <w:trHeight w:val="340"/>
          <w:jc w:val="center"/>
        </w:trPr>
        <w:tc>
          <w:tcPr>
            <w:tcW w:w="2772" w:type="dxa"/>
            <w:shd w:val="clear" w:color="auto" w:fill="auto"/>
            <w:tcMar>
              <w:top w:w="0" w:type="dxa"/>
              <w:left w:w="108" w:type="dxa"/>
              <w:bottom w:w="0" w:type="dxa"/>
              <w:right w:w="108" w:type="dxa"/>
            </w:tcMar>
            <w:vAlign w:val="center"/>
          </w:tcPr>
          <w:p w14:paraId="69E93576"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净利润</w:t>
            </w:r>
          </w:p>
        </w:tc>
        <w:tc>
          <w:tcPr>
            <w:tcW w:w="2173" w:type="dxa"/>
            <w:shd w:val="clear" w:color="auto" w:fill="auto"/>
            <w:tcMar>
              <w:top w:w="0" w:type="dxa"/>
              <w:left w:w="108" w:type="dxa"/>
              <w:bottom w:w="0" w:type="dxa"/>
              <w:right w:w="108" w:type="dxa"/>
            </w:tcMar>
            <w:vAlign w:val="center"/>
          </w:tcPr>
          <w:p w14:paraId="32B4D4F2"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-14,586.00</w:t>
            </w:r>
          </w:p>
        </w:tc>
        <w:tc>
          <w:tcPr>
            <w:tcW w:w="1952" w:type="dxa"/>
            <w:shd w:val="clear" w:color="auto" w:fill="auto"/>
            <w:tcMar>
              <w:top w:w="0" w:type="dxa"/>
              <w:left w:w="108" w:type="dxa"/>
              <w:bottom w:w="0" w:type="dxa"/>
              <w:right w:w="108" w:type="dxa"/>
            </w:tcMar>
            <w:vAlign w:val="center"/>
          </w:tcPr>
          <w:p w14:paraId="5E5A2306"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-173,763.40</w:t>
            </w:r>
          </w:p>
        </w:tc>
        <w:tc>
          <w:tcPr>
            <w:tcW w:w="2103" w:type="dxa"/>
            <w:shd w:val="clear" w:color="auto" w:fill="auto"/>
            <w:tcMar>
              <w:top w:w="0" w:type="dxa"/>
              <w:left w:w="108" w:type="dxa"/>
              <w:bottom w:w="0" w:type="dxa"/>
              <w:right w:w="108" w:type="dxa"/>
            </w:tcMar>
            <w:vAlign w:val="center"/>
          </w:tcPr>
          <w:p w14:paraId="42FE9896"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-99,455.42</w:t>
            </w:r>
          </w:p>
        </w:tc>
      </w:tr>
      <w:tr w:rsidR="006416B0" w:rsidRPr="00B4515A" w14:paraId="2D49FCEF"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2E72FFD1" w14:textId="77777777" w:rsidR="006416B0"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t>归属于母公司所有者的净利润</w:t>
            </w:r>
          </w:p>
        </w:tc>
        <w:tc>
          <w:tcPr>
            <w:tcW w:w="2173" w:type="dxa"/>
            <w:shd w:val="clear" w:color="auto" w:fill="auto"/>
            <w:tcMar>
              <w:top w:w="0" w:type="dxa"/>
              <w:left w:w="108" w:type="dxa"/>
              <w:bottom w:w="0" w:type="dxa"/>
              <w:right w:w="108" w:type="dxa"/>
            </w:tcMar>
            <w:vAlign w:val="center"/>
          </w:tcPr>
          <w:p w14:paraId="0CCCD18A"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-9,784.31</w:t>
            </w:r>
          </w:p>
        </w:tc>
        <w:tc>
          <w:tcPr>
            <w:tcW w:w="1952" w:type="dxa"/>
            <w:shd w:val="clear" w:color="auto" w:fill="auto"/>
            <w:tcMar>
              <w:top w:w="0" w:type="dxa"/>
              <w:left w:w="108" w:type="dxa"/>
              <w:bottom w:w="0" w:type="dxa"/>
              <w:right w:w="108" w:type="dxa"/>
            </w:tcMar>
            <w:vAlign w:val="center"/>
          </w:tcPr>
          <w:p w14:paraId="288F6217"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-136,381.11</w:t>
            </w:r>
          </w:p>
        </w:tc>
        <w:tc>
          <w:tcPr>
            <w:tcW w:w="2103" w:type="dxa"/>
            <w:shd w:val="clear" w:color="auto" w:fill="auto"/>
            <w:tcMar>
              <w:top w:w="0" w:type="dxa"/>
              <w:left w:w="108" w:type="dxa"/>
              <w:bottom w:w="0" w:type="dxa"/>
              <w:right w:w="108" w:type="dxa"/>
            </w:tcMar>
            <w:vAlign w:val="center"/>
          </w:tcPr>
          <w:p w14:paraId="1FB2E6B9"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-89,932.32</w:t>
            </w:r>
          </w:p>
        </w:tc>
      </w:tr>
      <w:tr w:rsidR="006416B0" w:rsidRPr="00B4515A" w14:paraId="6CDF6435"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0A79195F"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现金流量项目</w:t>
            </w:r>
          </w:p>
        </w:tc>
        <w:tc>
          <w:tcPr>
            <w:tcW w:w="2173" w:type="dxa"/>
            <w:shd w:val="clear" w:color="000000" w:fill="FFFFFF"/>
            <w:tcMar>
              <w:top w:w="0" w:type="dxa"/>
              <w:left w:w="108" w:type="dxa"/>
              <w:bottom w:w="0" w:type="dxa"/>
              <w:right w:w="108" w:type="dxa"/>
            </w:tcMar>
            <w:vAlign w:val="center"/>
          </w:tcPr>
          <w:p w14:paraId="62CEFBFF"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2021</w:t>
            </w:r>
            <w:r w:rsidRPr="00B4515A">
              <w:rPr>
                <w:rFonts w:ascii="Times New Roman" w:eastAsiaTheme="majorEastAsia" w:hAnsi="Times New Roman" w:cs="Times New Roman"/>
                <w:b/>
                <w:bCs/>
                <w:color w:val="333333"/>
                <w:sz w:val="21"/>
                <w:szCs w:val="21"/>
              </w:rPr>
              <w:t>年</w:t>
            </w:r>
            <w:r w:rsidRPr="00B4515A">
              <w:rPr>
                <w:rFonts w:ascii="Times New Roman" w:eastAsiaTheme="majorEastAsia" w:hAnsi="Times New Roman" w:cs="Times New Roman"/>
                <w:b/>
                <w:bCs/>
                <w:color w:val="333333"/>
                <w:sz w:val="21"/>
                <w:szCs w:val="21"/>
              </w:rPr>
              <w:t>1-4</w:t>
            </w:r>
            <w:r w:rsidRPr="00B4515A">
              <w:rPr>
                <w:rFonts w:ascii="Times New Roman" w:eastAsiaTheme="majorEastAsia" w:hAnsi="Times New Roman" w:cs="Times New Roman"/>
                <w:b/>
                <w:bCs/>
                <w:color w:val="333333"/>
                <w:sz w:val="21"/>
                <w:szCs w:val="21"/>
              </w:rPr>
              <w:t>月</w:t>
            </w:r>
          </w:p>
        </w:tc>
        <w:tc>
          <w:tcPr>
            <w:tcW w:w="1952" w:type="dxa"/>
            <w:shd w:val="clear" w:color="000000" w:fill="FFFFFF"/>
            <w:tcMar>
              <w:top w:w="0" w:type="dxa"/>
              <w:left w:w="108" w:type="dxa"/>
              <w:bottom w:w="0" w:type="dxa"/>
              <w:right w:w="108" w:type="dxa"/>
            </w:tcMar>
            <w:vAlign w:val="center"/>
          </w:tcPr>
          <w:p w14:paraId="39A63F1A"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2020</w:t>
            </w:r>
            <w:r w:rsidRPr="00B4515A">
              <w:rPr>
                <w:rFonts w:ascii="Times New Roman" w:eastAsiaTheme="majorEastAsia" w:hAnsi="Times New Roman" w:cs="Times New Roman"/>
                <w:b/>
                <w:bCs/>
                <w:color w:val="333333"/>
                <w:sz w:val="21"/>
                <w:szCs w:val="21"/>
              </w:rPr>
              <w:t>年度</w:t>
            </w:r>
          </w:p>
        </w:tc>
        <w:tc>
          <w:tcPr>
            <w:tcW w:w="2103" w:type="dxa"/>
            <w:shd w:val="clear" w:color="000000" w:fill="FFFFFF"/>
            <w:tcMar>
              <w:top w:w="0" w:type="dxa"/>
              <w:left w:w="108" w:type="dxa"/>
              <w:bottom w:w="0" w:type="dxa"/>
              <w:right w:w="108" w:type="dxa"/>
            </w:tcMar>
            <w:vAlign w:val="center"/>
          </w:tcPr>
          <w:p w14:paraId="39CF9DA4"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2019</w:t>
            </w:r>
            <w:r w:rsidRPr="00B4515A">
              <w:rPr>
                <w:rFonts w:ascii="Times New Roman" w:eastAsiaTheme="majorEastAsia" w:hAnsi="Times New Roman" w:cs="Times New Roman"/>
                <w:b/>
                <w:bCs/>
                <w:color w:val="333333"/>
                <w:sz w:val="21"/>
                <w:szCs w:val="21"/>
              </w:rPr>
              <w:t>年度</w:t>
            </w:r>
          </w:p>
        </w:tc>
      </w:tr>
      <w:tr w:rsidR="006416B0" w:rsidRPr="00B4515A" w14:paraId="3527F800" w14:textId="77777777" w:rsidTr="005860B4">
        <w:trPr>
          <w:trHeight w:val="340"/>
          <w:jc w:val="center"/>
        </w:trPr>
        <w:tc>
          <w:tcPr>
            <w:tcW w:w="2772" w:type="dxa"/>
            <w:shd w:val="clear" w:color="auto" w:fill="auto"/>
            <w:tcMar>
              <w:top w:w="0" w:type="dxa"/>
              <w:left w:w="108" w:type="dxa"/>
              <w:bottom w:w="0" w:type="dxa"/>
              <w:right w:w="108" w:type="dxa"/>
            </w:tcMar>
            <w:vAlign w:val="center"/>
          </w:tcPr>
          <w:p w14:paraId="511437F8"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经营活动现金净流量</w:t>
            </w:r>
          </w:p>
        </w:tc>
        <w:tc>
          <w:tcPr>
            <w:tcW w:w="2173" w:type="dxa"/>
            <w:shd w:val="clear" w:color="auto" w:fill="auto"/>
            <w:tcMar>
              <w:top w:w="0" w:type="dxa"/>
              <w:left w:w="108" w:type="dxa"/>
              <w:bottom w:w="0" w:type="dxa"/>
              <w:right w:w="108" w:type="dxa"/>
            </w:tcMar>
            <w:vAlign w:val="center"/>
          </w:tcPr>
          <w:p w14:paraId="0FB40288"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-15,214.85</w:t>
            </w:r>
          </w:p>
        </w:tc>
        <w:tc>
          <w:tcPr>
            <w:tcW w:w="1952" w:type="dxa"/>
            <w:shd w:val="clear" w:color="auto" w:fill="auto"/>
            <w:tcMar>
              <w:top w:w="0" w:type="dxa"/>
              <w:left w:w="108" w:type="dxa"/>
              <w:bottom w:w="0" w:type="dxa"/>
              <w:right w:w="108" w:type="dxa"/>
            </w:tcMar>
            <w:vAlign w:val="center"/>
          </w:tcPr>
          <w:p w14:paraId="07D1E24B"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2,970.05</w:t>
            </w:r>
          </w:p>
        </w:tc>
        <w:tc>
          <w:tcPr>
            <w:tcW w:w="2103" w:type="dxa"/>
            <w:shd w:val="clear" w:color="auto" w:fill="auto"/>
            <w:tcMar>
              <w:top w:w="0" w:type="dxa"/>
              <w:left w:w="108" w:type="dxa"/>
              <w:bottom w:w="0" w:type="dxa"/>
              <w:right w:w="108" w:type="dxa"/>
            </w:tcMar>
            <w:vAlign w:val="center"/>
          </w:tcPr>
          <w:p w14:paraId="19E30448"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26,678.48</w:t>
            </w:r>
          </w:p>
        </w:tc>
      </w:tr>
      <w:tr w:rsidR="006416B0" w:rsidRPr="00B4515A" w14:paraId="50D9D707" w14:textId="77777777" w:rsidTr="005860B4">
        <w:trPr>
          <w:trHeight w:val="340"/>
          <w:jc w:val="center"/>
        </w:trPr>
        <w:tc>
          <w:tcPr>
            <w:tcW w:w="2772" w:type="dxa"/>
            <w:shd w:val="clear" w:color="auto" w:fill="auto"/>
            <w:tcMar>
              <w:top w:w="0" w:type="dxa"/>
              <w:left w:w="108" w:type="dxa"/>
              <w:bottom w:w="0" w:type="dxa"/>
              <w:right w:w="108" w:type="dxa"/>
            </w:tcMar>
            <w:vAlign w:val="center"/>
          </w:tcPr>
          <w:p w14:paraId="5961FA88"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投资活动现金净流量</w:t>
            </w:r>
          </w:p>
        </w:tc>
        <w:tc>
          <w:tcPr>
            <w:tcW w:w="2173" w:type="dxa"/>
            <w:shd w:val="clear" w:color="auto" w:fill="auto"/>
            <w:tcMar>
              <w:top w:w="0" w:type="dxa"/>
              <w:left w:w="108" w:type="dxa"/>
              <w:bottom w:w="0" w:type="dxa"/>
              <w:right w:w="108" w:type="dxa"/>
            </w:tcMar>
            <w:vAlign w:val="center"/>
          </w:tcPr>
          <w:p w14:paraId="1ED507C7"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-1,597.52</w:t>
            </w:r>
          </w:p>
        </w:tc>
        <w:tc>
          <w:tcPr>
            <w:tcW w:w="1952" w:type="dxa"/>
            <w:shd w:val="clear" w:color="auto" w:fill="auto"/>
            <w:tcMar>
              <w:top w:w="0" w:type="dxa"/>
              <w:left w:w="108" w:type="dxa"/>
              <w:bottom w:w="0" w:type="dxa"/>
              <w:right w:w="108" w:type="dxa"/>
            </w:tcMar>
            <w:vAlign w:val="center"/>
          </w:tcPr>
          <w:p w14:paraId="6D9824FF"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32,022.38</w:t>
            </w:r>
          </w:p>
        </w:tc>
        <w:tc>
          <w:tcPr>
            <w:tcW w:w="2103" w:type="dxa"/>
            <w:shd w:val="clear" w:color="auto" w:fill="auto"/>
            <w:tcMar>
              <w:top w:w="0" w:type="dxa"/>
              <w:left w:w="108" w:type="dxa"/>
              <w:bottom w:w="0" w:type="dxa"/>
              <w:right w:w="108" w:type="dxa"/>
            </w:tcMar>
            <w:vAlign w:val="center"/>
          </w:tcPr>
          <w:p w14:paraId="00D04453"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-16,798.38</w:t>
            </w:r>
          </w:p>
        </w:tc>
      </w:tr>
      <w:tr w:rsidR="006416B0" w:rsidRPr="00B4515A" w14:paraId="573AA8D3" w14:textId="77777777" w:rsidTr="005860B4">
        <w:trPr>
          <w:trHeight w:val="340"/>
          <w:jc w:val="center"/>
        </w:trPr>
        <w:tc>
          <w:tcPr>
            <w:tcW w:w="2772" w:type="dxa"/>
            <w:shd w:val="clear" w:color="auto" w:fill="auto"/>
            <w:tcMar>
              <w:top w:w="0" w:type="dxa"/>
              <w:left w:w="108" w:type="dxa"/>
              <w:bottom w:w="0" w:type="dxa"/>
              <w:right w:w="108" w:type="dxa"/>
            </w:tcMar>
            <w:vAlign w:val="center"/>
          </w:tcPr>
          <w:p w14:paraId="501B0E32"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筹资活动现金净流量</w:t>
            </w:r>
          </w:p>
        </w:tc>
        <w:tc>
          <w:tcPr>
            <w:tcW w:w="2173" w:type="dxa"/>
            <w:shd w:val="clear" w:color="auto" w:fill="auto"/>
            <w:tcMar>
              <w:top w:w="0" w:type="dxa"/>
              <w:left w:w="108" w:type="dxa"/>
              <w:bottom w:w="0" w:type="dxa"/>
              <w:right w:w="108" w:type="dxa"/>
            </w:tcMar>
            <w:vAlign w:val="center"/>
          </w:tcPr>
          <w:p w14:paraId="38FC73A0"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2,906.64</w:t>
            </w:r>
          </w:p>
        </w:tc>
        <w:tc>
          <w:tcPr>
            <w:tcW w:w="1952" w:type="dxa"/>
            <w:shd w:val="clear" w:color="auto" w:fill="auto"/>
            <w:tcMar>
              <w:top w:w="0" w:type="dxa"/>
              <w:left w:w="108" w:type="dxa"/>
              <w:bottom w:w="0" w:type="dxa"/>
              <w:right w:w="108" w:type="dxa"/>
            </w:tcMar>
            <w:vAlign w:val="center"/>
          </w:tcPr>
          <w:p w14:paraId="47EC8456"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-48,673.67</w:t>
            </w:r>
          </w:p>
        </w:tc>
        <w:tc>
          <w:tcPr>
            <w:tcW w:w="2103" w:type="dxa"/>
            <w:shd w:val="clear" w:color="auto" w:fill="auto"/>
            <w:tcMar>
              <w:top w:w="0" w:type="dxa"/>
              <w:left w:w="108" w:type="dxa"/>
              <w:bottom w:w="0" w:type="dxa"/>
              <w:right w:w="108" w:type="dxa"/>
            </w:tcMar>
            <w:vAlign w:val="center"/>
          </w:tcPr>
          <w:p w14:paraId="579DAE75"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-63,693.14</w:t>
            </w:r>
          </w:p>
        </w:tc>
      </w:tr>
      <w:tr w:rsidR="006416B0" w:rsidRPr="00B4515A" w14:paraId="43E4EA1B" w14:textId="77777777" w:rsidTr="005860B4">
        <w:trPr>
          <w:trHeight w:val="340"/>
          <w:jc w:val="center"/>
        </w:trPr>
        <w:tc>
          <w:tcPr>
            <w:tcW w:w="2772" w:type="dxa"/>
            <w:shd w:val="clear" w:color="auto" w:fill="auto"/>
            <w:tcMar>
              <w:top w:w="0" w:type="dxa"/>
              <w:left w:w="108" w:type="dxa"/>
              <w:bottom w:w="0" w:type="dxa"/>
              <w:right w:w="108" w:type="dxa"/>
            </w:tcMar>
            <w:vAlign w:val="center"/>
          </w:tcPr>
          <w:p w14:paraId="006B9D31"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现金净增加额</w:t>
            </w:r>
          </w:p>
        </w:tc>
        <w:tc>
          <w:tcPr>
            <w:tcW w:w="2173" w:type="dxa"/>
            <w:shd w:val="clear" w:color="auto" w:fill="auto"/>
            <w:tcMar>
              <w:top w:w="0" w:type="dxa"/>
              <w:left w:w="108" w:type="dxa"/>
              <w:bottom w:w="0" w:type="dxa"/>
              <w:right w:w="108" w:type="dxa"/>
            </w:tcMar>
            <w:vAlign w:val="center"/>
          </w:tcPr>
          <w:p w14:paraId="3B7A21EA"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-13,927.86</w:t>
            </w:r>
          </w:p>
        </w:tc>
        <w:tc>
          <w:tcPr>
            <w:tcW w:w="1952" w:type="dxa"/>
            <w:shd w:val="clear" w:color="auto" w:fill="auto"/>
            <w:tcMar>
              <w:top w:w="0" w:type="dxa"/>
              <w:left w:w="108" w:type="dxa"/>
              <w:bottom w:w="0" w:type="dxa"/>
              <w:right w:w="108" w:type="dxa"/>
            </w:tcMar>
            <w:vAlign w:val="center"/>
          </w:tcPr>
          <w:p w14:paraId="5773E1ED"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-13,963.70</w:t>
            </w:r>
          </w:p>
        </w:tc>
        <w:tc>
          <w:tcPr>
            <w:tcW w:w="2103" w:type="dxa"/>
            <w:shd w:val="clear" w:color="auto" w:fill="auto"/>
            <w:tcMar>
              <w:top w:w="0" w:type="dxa"/>
              <w:left w:w="108" w:type="dxa"/>
              <w:bottom w:w="0" w:type="dxa"/>
              <w:right w:w="108" w:type="dxa"/>
            </w:tcMar>
            <w:vAlign w:val="center"/>
          </w:tcPr>
          <w:p w14:paraId="13AF3730"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-53,829.05</w:t>
            </w:r>
          </w:p>
        </w:tc>
      </w:tr>
      <w:tr w:rsidR="006416B0" w:rsidRPr="00B4515A" w14:paraId="5E0EA3E9"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3FF5D417"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主要财务指标</w:t>
            </w:r>
          </w:p>
        </w:tc>
        <w:tc>
          <w:tcPr>
            <w:tcW w:w="2173" w:type="dxa"/>
            <w:shd w:val="clear" w:color="000000" w:fill="FFFFFF"/>
            <w:tcMar>
              <w:top w:w="0" w:type="dxa"/>
              <w:left w:w="108" w:type="dxa"/>
              <w:bottom w:w="0" w:type="dxa"/>
              <w:right w:w="108" w:type="dxa"/>
            </w:tcMar>
            <w:vAlign w:val="center"/>
          </w:tcPr>
          <w:p w14:paraId="54D65EBB"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2021</w:t>
            </w:r>
            <w:r w:rsidRPr="00B4515A">
              <w:rPr>
                <w:rFonts w:ascii="Times New Roman" w:eastAsiaTheme="majorEastAsia" w:hAnsi="Times New Roman" w:cs="Times New Roman"/>
                <w:b/>
                <w:bCs/>
                <w:color w:val="333333"/>
                <w:sz w:val="21"/>
                <w:szCs w:val="21"/>
              </w:rPr>
              <w:t>年</w:t>
            </w:r>
            <w:r w:rsidRPr="00B4515A">
              <w:rPr>
                <w:rFonts w:ascii="Times New Roman" w:eastAsiaTheme="majorEastAsia" w:hAnsi="Times New Roman" w:cs="Times New Roman"/>
                <w:b/>
                <w:bCs/>
                <w:color w:val="333333"/>
                <w:sz w:val="21"/>
                <w:szCs w:val="21"/>
              </w:rPr>
              <w:t>4</w:t>
            </w:r>
            <w:r w:rsidRPr="00B4515A">
              <w:rPr>
                <w:rFonts w:ascii="Times New Roman" w:eastAsiaTheme="majorEastAsia" w:hAnsi="Times New Roman" w:cs="Times New Roman"/>
                <w:b/>
                <w:bCs/>
                <w:color w:val="333333"/>
                <w:sz w:val="21"/>
                <w:szCs w:val="21"/>
              </w:rPr>
              <w:t>月</w:t>
            </w:r>
            <w:r w:rsidRPr="00B4515A">
              <w:rPr>
                <w:rFonts w:ascii="Times New Roman" w:eastAsiaTheme="majorEastAsia" w:hAnsi="Times New Roman" w:cs="Times New Roman"/>
                <w:b/>
                <w:bCs/>
                <w:color w:val="333333"/>
                <w:sz w:val="21"/>
                <w:szCs w:val="21"/>
              </w:rPr>
              <w:t>30</w:t>
            </w:r>
            <w:r w:rsidRPr="00B4515A">
              <w:rPr>
                <w:rFonts w:ascii="Times New Roman" w:eastAsiaTheme="majorEastAsia" w:hAnsi="Times New Roman" w:cs="Times New Roman"/>
                <w:b/>
                <w:bCs/>
                <w:color w:val="333333"/>
                <w:sz w:val="21"/>
                <w:szCs w:val="21"/>
              </w:rPr>
              <w:t>日</w:t>
            </w:r>
            <w:r w:rsidRPr="00B4515A">
              <w:rPr>
                <w:rFonts w:ascii="Times New Roman" w:eastAsiaTheme="majorEastAsia" w:hAnsi="Times New Roman" w:cs="Times New Roman"/>
                <w:b/>
                <w:bCs/>
                <w:color w:val="333333"/>
                <w:sz w:val="21"/>
                <w:szCs w:val="21"/>
              </w:rPr>
              <w:t>/2021</w:t>
            </w:r>
            <w:r w:rsidRPr="00B4515A">
              <w:rPr>
                <w:rFonts w:ascii="Times New Roman" w:eastAsiaTheme="majorEastAsia" w:hAnsi="Times New Roman" w:cs="Times New Roman"/>
                <w:b/>
                <w:bCs/>
                <w:color w:val="333333"/>
                <w:sz w:val="21"/>
                <w:szCs w:val="21"/>
              </w:rPr>
              <w:t>年</w:t>
            </w:r>
            <w:r w:rsidRPr="00B4515A">
              <w:rPr>
                <w:rFonts w:ascii="Times New Roman" w:eastAsiaTheme="majorEastAsia" w:hAnsi="Times New Roman" w:cs="Times New Roman"/>
                <w:b/>
                <w:bCs/>
                <w:color w:val="333333"/>
                <w:sz w:val="21"/>
                <w:szCs w:val="21"/>
              </w:rPr>
              <w:t>1-4</w:t>
            </w:r>
            <w:r w:rsidRPr="00B4515A">
              <w:rPr>
                <w:rFonts w:ascii="Times New Roman" w:eastAsiaTheme="majorEastAsia" w:hAnsi="Times New Roman" w:cs="Times New Roman"/>
                <w:b/>
                <w:bCs/>
                <w:color w:val="333333"/>
                <w:sz w:val="21"/>
                <w:szCs w:val="21"/>
              </w:rPr>
              <w:t>月</w:t>
            </w:r>
          </w:p>
        </w:tc>
        <w:tc>
          <w:tcPr>
            <w:tcW w:w="1952" w:type="dxa"/>
            <w:shd w:val="clear" w:color="000000" w:fill="FFFFFF"/>
            <w:tcMar>
              <w:top w:w="0" w:type="dxa"/>
              <w:left w:w="108" w:type="dxa"/>
              <w:bottom w:w="0" w:type="dxa"/>
              <w:right w:w="108" w:type="dxa"/>
            </w:tcMar>
            <w:vAlign w:val="center"/>
          </w:tcPr>
          <w:p w14:paraId="3EFD06BF"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2020</w:t>
            </w:r>
            <w:r w:rsidRPr="00B4515A">
              <w:rPr>
                <w:rFonts w:ascii="Times New Roman" w:eastAsiaTheme="majorEastAsia" w:hAnsi="Times New Roman" w:cs="Times New Roman"/>
                <w:b/>
                <w:bCs/>
                <w:color w:val="333333"/>
                <w:sz w:val="21"/>
                <w:szCs w:val="21"/>
              </w:rPr>
              <w:t>年</w:t>
            </w:r>
            <w:r w:rsidRPr="00B4515A">
              <w:rPr>
                <w:rFonts w:ascii="Times New Roman" w:eastAsiaTheme="majorEastAsia" w:hAnsi="Times New Roman" w:cs="Times New Roman"/>
                <w:b/>
                <w:bCs/>
                <w:color w:val="333333"/>
                <w:sz w:val="21"/>
                <w:szCs w:val="21"/>
              </w:rPr>
              <w:t>12</w:t>
            </w:r>
            <w:r w:rsidRPr="00B4515A">
              <w:rPr>
                <w:rFonts w:ascii="Times New Roman" w:eastAsiaTheme="majorEastAsia" w:hAnsi="Times New Roman" w:cs="Times New Roman"/>
                <w:b/>
                <w:bCs/>
                <w:color w:val="333333"/>
                <w:sz w:val="21"/>
                <w:szCs w:val="21"/>
              </w:rPr>
              <w:t>月</w:t>
            </w:r>
            <w:r w:rsidRPr="00B4515A">
              <w:rPr>
                <w:rFonts w:ascii="Times New Roman" w:eastAsiaTheme="majorEastAsia" w:hAnsi="Times New Roman" w:cs="Times New Roman"/>
                <w:b/>
                <w:bCs/>
                <w:color w:val="333333"/>
                <w:sz w:val="21"/>
                <w:szCs w:val="21"/>
              </w:rPr>
              <w:t>31</w:t>
            </w:r>
            <w:r w:rsidRPr="00B4515A">
              <w:rPr>
                <w:rFonts w:ascii="Times New Roman" w:eastAsiaTheme="majorEastAsia" w:hAnsi="Times New Roman" w:cs="Times New Roman"/>
                <w:b/>
                <w:bCs/>
                <w:color w:val="333333"/>
                <w:sz w:val="21"/>
                <w:szCs w:val="21"/>
              </w:rPr>
              <w:t>日</w:t>
            </w:r>
            <w:r w:rsidRPr="00B4515A">
              <w:rPr>
                <w:rFonts w:ascii="Times New Roman" w:eastAsiaTheme="majorEastAsia" w:hAnsi="Times New Roman" w:cs="Times New Roman"/>
                <w:b/>
                <w:bCs/>
                <w:color w:val="333333"/>
                <w:sz w:val="21"/>
                <w:szCs w:val="21"/>
              </w:rPr>
              <w:t>/2020</w:t>
            </w:r>
            <w:r w:rsidRPr="00B4515A">
              <w:rPr>
                <w:rFonts w:ascii="Times New Roman" w:eastAsiaTheme="majorEastAsia" w:hAnsi="Times New Roman" w:cs="Times New Roman"/>
                <w:b/>
                <w:bCs/>
                <w:color w:val="333333"/>
                <w:sz w:val="21"/>
                <w:szCs w:val="21"/>
              </w:rPr>
              <w:t>年度</w:t>
            </w:r>
          </w:p>
        </w:tc>
        <w:tc>
          <w:tcPr>
            <w:tcW w:w="2103" w:type="dxa"/>
            <w:shd w:val="clear" w:color="000000" w:fill="FFFFFF"/>
            <w:tcMar>
              <w:top w:w="0" w:type="dxa"/>
              <w:left w:w="108" w:type="dxa"/>
              <w:bottom w:w="0" w:type="dxa"/>
              <w:right w:w="108" w:type="dxa"/>
            </w:tcMar>
            <w:vAlign w:val="center"/>
          </w:tcPr>
          <w:p w14:paraId="0BF8ACEC" w14:textId="77777777" w:rsidR="006416B0" w:rsidRPr="00B4515A" w:rsidRDefault="005E58C1" w:rsidP="005860B4">
            <w:pPr>
              <w:adjustRightInd w:val="0"/>
              <w:snapToGrid w:val="0"/>
              <w:jc w:val="center"/>
              <w:rPr>
                <w:rFonts w:ascii="Times New Roman" w:eastAsiaTheme="majorEastAsia" w:hAnsi="Times New Roman" w:cs="Times New Roman"/>
                <w:b/>
                <w:bCs/>
                <w:color w:val="333333"/>
                <w:sz w:val="21"/>
                <w:szCs w:val="21"/>
              </w:rPr>
            </w:pPr>
            <w:r w:rsidRPr="00B4515A">
              <w:rPr>
                <w:rFonts w:ascii="Times New Roman" w:eastAsiaTheme="majorEastAsia" w:hAnsi="Times New Roman" w:cs="Times New Roman"/>
                <w:b/>
                <w:bCs/>
                <w:color w:val="333333"/>
                <w:sz w:val="21"/>
                <w:szCs w:val="21"/>
              </w:rPr>
              <w:t>2019</w:t>
            </w:r>
            <w:r w:rsidRPr="00B4515A">
              <w:rPr>
                <w:rFonts w:ascii="Times New Roman" w:eastAsiaTheme="majorEastAsia" w:hAnsi="Times New Roman" w:cs="Times New Roman"/>
                <w:b/>
                <w:bCs/>
                <w:color w:val="333333"/>
                <w:sz w:val="21"/>
                <w:szCs w:val="21"/>
              </w:rPr>
              <w:t>年</w:t>
            </w:r>
            <w:r w:rsidRPr="00B4515A">
              <w:rPr>
                <w:rFonts w:ascii="Times New Roman" w:eastAsiaTheme="majorEastAsia" w:hAnsi="Times New Roman" w:cs="Times New Roman"/>
                <w:b/>
                <w:bCs/>
                <w:color w:val="333333"/>
                <w:sz w:val="21"/>
                <w:szCs w:val="21"/>
              </w:rPr>
              <w:t>12</w:t>
            </w:r>
            <w:r w:rsidRPr="00B4515A">
              <w:rPr>
                <w:rFonts w:ascii="Times New Roman" w:eastAsiaTheme="majorEastAsia" w:hAnsi="Times New Roman" w:cs="Times New Roman"/>
                <w:b/>
                <w:bCs/>
                <w:color w:val="333333"/>
                <w:sz w:val="21"/>
                <w:szCs w:val="21"/>
              </w:rPr>
              <w:t>月</w:t>
            </w:r>
            <w:r w:rsidRPr="00B4515A">
              <w:rPr>
                <w:rFonts w:ascii="Times New Roman" w:eastAsiaTheme="majorEastAsia" w:hAnsi="Times New Roman" w:cs="Times New Roman"/>
                <w:b/>
                <w:bCs/>
                <w:color w:val="333333"/>
                <w:sz w:val="21"/>
                <w:szCs w:val="21"/>
              </w:rPr>
              <w:t>31</w:t>
            </w:r>
            <w:r w:rsidRPr="00B4515A">
              <w:rPr>
                <w:rFonts w:ascii="Times New Roman" w:eastAsiaTheme="majorEastAsia" w:hAnsi="Times New Roman" w:cs="Times New Roman"/>
                <w:b/>
                <w:bCs/>
                <w:color w:val="333333"/>
                <w:sz w:val="21"/>
                <w:szCs w:val="21"/>
              </w:rPr>
              <w:t>日</w:t>
            </w:r>
            <w:r w:rsidRPr="00B4515A">
              <w:rPr>
                <w:rFonts w:ascii="Times New Roman" w:eastAsiaTheme="majorEastAsia" w:hAnsi="Times New Roman" w:cs="Times New Roman"/>
                <w:b/>
                <w:bCs/>
                <w:color w:val="333333"/>
                <w:sz w:val="21"/>
                <w:szCs w:val="21"/>
              </w:rPr>
              <w:t>/2019</w:t>
            </w:r>
            <w:r w:rsidRPr="00B4515A">
              <w:rPr>
                <w:rFonts w:ascii="Times New Roman" w:eastAsiaTheme="majorEastAsia" w:hAnsi="Times New Roman" w:cs="Times New Roman"/>
                <w:b/>
                <w:bCs/>
                <w:color w:val="333333"/>
                <w:sz w:val="21"/>
                <w:szCs w:val="21"/>
              </w:rPr>
              <w:t>年度</w:t>
            </w:r>
          </w:p>
        </w:tc>
      </w:tr>
      <w:tr w:rsidR="006416B0" w:rsidRPr="00B4515A" w14:paraId="024588A7"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72B31B1A" w14:textId="77777777" w:rsidR="006416B0"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t>资产负债率（</w:t>
            </w:r>
            <w:r w:rsidRPr="00B4515A">
              <w:rPr>
                <w:rFonts w:ascii="Times New Roman" w:eastAsiaTheme="majorEastAsia" w:hAnsi="Times New Roman" w:cs="Times New Roman"/>
                <w:color w:val="333333"/>
                <w:sz w:val="21"/>
                <w:szCs w:val="21"/>
              </w:rPr>
              <w:t>%</w:t>
            </w:r>
            <w:r w:rsidRPr="00B4515A">
              <w:rPr>
                <w:rFonts w:ascii="Times New Roman" w:eastAsiaTheme="majorEastAsia" w:hAnsi="Times New Roman" w:cs="Times New Roman"/>
                <w:color w:val="333333"/>
                <w:sz w:val="21"/>
                <w:szCs w:val="21"/>
              </w:rPr>
              <w:t>）</w:t>
            </w:r>
          </w:p>
        </w:tc>
        <w:tc>
          <w:tcPr>
            <w:tcW w:w="2173" w:type="dxa"/>
            <w:shd w:val="clear" w:color="auto" w:fill="auto"/>
            <w:tcMar>
              <w:top w:w="0" w:type="dxa"/>
              <w:left w:w="108" w:type="dxa"/>
              <w:bottom w:w="0" w:type="dxa"/>
              <w:right w:w="108" w:type="dxa"/>
            </w:tcMar>
            <w:vAlign w:val="center"/>
          </w:tcPr>
          <w:p w14:paraId="5C239F24"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122.32</w:t>
            </w:r>
          </w:p>
        </w:tc>
        <w:tc>
          <w:tcPr>
            <w:tcW w:w="1952" w:type="dxa"/>
            <w:shd w:val="clear" w:color="auto" w:fill="auto"/>
            <w:tcMar>
              <w:top w:w="0" w:type="dxa"/>
              <w:left w:w="108" w:type="dxa"/>
              <w:bottom w:w="0" w:type="dxa"/>
              <w:right w:w="108" w:type="dxa"/>
            </w:tcMar>
            <w:vAlign w:val="center"/>
          </w:tcPr>
          <w:p w14:paraId="5D9D1B17" w14:textId="2741E8E6"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116.5</w:t>
            </w:r>
            <w:r w:rsidR="00313418" w:rsidRPr="00B4515A">
              <w:rPr>
                <w:rFonts w:ascii="Times New Roman" w:eastAsiaTheme="majorEastAsia" w:hAnsi="Times New Roman" w:cs="Times New Roman"/>
                <w:color w:val="000000"/>
                <w:sz w:val="21"/>
                <w:szCs w:val="21"/>
              </w:rPr>
              <w:t>4</w:t>
            </w:r>
          </w:p>
        </w:tc>
        <w:tc>
          <w:tcPr>
            <w:tcW w:w="2103" w:type="dxa"/>
            <w:shd w:val="clear" w:color="auto" w:fill="auto"/>
            <w:tcMar>
              <w:top w:w="0" w:type="dxa"/>
              <w:left w:w="108" w:type="dxa"/>
              <w:bottom w:w="0" w:type="dxa"/>
              <w:right w:w="108" w:type="dxa"/>
            </w:tcMar>
            <w:vAlign w:val="center"/>
          </w:tcPr>
          <w:p w14:paraId="6F253A96"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75.30</w:t>
            </w:r>
          </w:p>
        </w:tc>
      </w:tr>
      <w:tr w:rsidR="006416B0" w:rsidRPr="00B4515A" w14:paraId="5D8DA4A6"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40982165" w14:textId="77777777" w:rsidR="006416B0"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t>毛利率（</w:t>
            </w:r>
            <w:r w:rsidRPr="00B4515A">
              <w:rPr>
                <w:rFonts w:ascii="Times New Roman" w:eastAsiaTheme="majorEastAsia" w:hAnsi="Times New Roman" w:cs="Times New Roman"/>
                <w:color w:val="333333"/>
                <w:sz w:val="21"/>
                <w:szCs w:val="21"/>
              </w:rPr>
              <w:t>%</w:t>
            </w:r>
            <w:r w:rsidRPr="00B4515A">
              <w:rPr>
                <w:rFonts w:ascii="Times New Roman" w:eastAsiaTheme="majorEastAsia" w:hAnsi="Times New Roman" w:cs="Times New Roman"/>
                <w:color w:val="333333"/>
                <w:sz w:val="21"/>
                <w:szCs w:val="21"/>
              </w:rPr>
              <w:t>）</w:t>
            </w:r>
          </w:p>
        </w:tc>
        <w:tc>
          <w:tcPr>
            <w:tcW w:w="2173" w:type="dxa"/>
            <w:shd w:val="clear" w:color="auto" w:fill="auto"/>
            <w:tcMar>
              <w:top w:w="0" w:type="dxa"/>
              <w:left w:w="108" w:type="dxa"/>
              <w:bottom w:w="0" w:type="dxa"/>
              <w:right w:w="108" w:type="dxa"/>
            </w:tcMar>
            <w:vAlign w:val="center"/>
          </w:tcPr>
          <w:p w14:paraId="2745F869"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25.45</w:t>
            </w:r>
          </w:p>
        </w:tc>
        <w:tc>
          <w:tcPr>
            <w:tcW w:w="1952" w:type="dxa"/>
            <w:shd w:val="clear" w:color="auto" w:fill="auto"/>
            <w:tcMar>
              <w:top w:w="0" w:type="dxa"/>
              <w:left w:w="108" w:type="dxa"/>
              <w:bottom w:w="0" w:type="dxa"/>
              <w:right w:w="108" w:type="dxa"/>
            </w:tcMar>
            <w:vAlign w:val="center"/>
          </w:tcPr>
          <w:p w14:paraId="4257A105"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32.04</w:t>
            </w:r>
          </w:p>
        </w:tc>
        <w:tc>
          <w:tcPr>
            <w:tcW w:w="2103" w:type="dxa"/>
            <w:shd w:val="clear" w:color="auto" w:fill="auto"/>
            <w:tcMar>
              <w:top w:w="0" w:type="dxa"/>
              <w:left w:w="108" w:type="dxa"/>
              <w:bottom w:w="0" w:type="dxa"/>
              <w:right w:w="108" w:type="dxa"/>
            </w:tcMar>
            <w:vAlign w:val="center"/>
          </w:tcPr>
          <w:p w14:paraId="36C92498"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27.93</w:t>
            </w:r>
          </w:p>
        </w:tc>
      </w:tr>
      <w:tr w:rsidR="006416B0" w:rsidRPr="00B4515A" w14:paraId="7A3D3B53"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1DF24E72" w14:textId="77777777" w:rsidR="006416B0"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lastRenderedPageBreak/>
              <w:t>基本每股收益（元</w:t>
            </w:r>
            <w:r w:rsidRPr="00B4515A">
              <w:rPr>
                <w:rFonts w:ascii="Times New Roman" w:eastAsiaTheme="majorEastAsia" w:hAnsi="Times New Roman" w:cs="Times New Roman"/>
                <w:color w:val="333333"/>
                <w:sz w:val="21"/>
                <w:szCs w:val="21"/>
              </w:rPr>
              <w:t>/</w:t>
            </w:r>
            <w:r w:rsidRPr="00B4515A">
              <w:rPr>
                <w:rFonts w:ascii="Times New Roman" w:eastAsiaTheme="majorEastAsia" w:hAnsi="Times New Roman" w:cs="Times New Roman"/>
                <w:color w:val="333333"/>
                <w:sz w:val="21"/>
                <w:szCs w:val="21"/>
              </w:rPr>
              <w:t>股）</w:t>
            </w:r>
          </w:p>
        </w:tc>
        <w:tc>
          <w:tcPr>
            <w:tcW w:w="2173" w:type="dxa"/>
            <w:shd w:val="clear" w:color="auto" w:fill="auto"/>
            <w:tcMar>
              <w:top w:w="0" w:type="dxa"/>
              <w:left w:w="108" w:type="dxa"/>
              <w:bottom w:w="0" w:type="dxa"/>
              <w:right w:w="108" w:type="dxa"/>
            </w:tcMar>
            <w:vAlign w:val="center"/>
          </w:tcPr>
          <w:p w14:paraId="73B83298"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-0.11</w:t>
            </w:r>
          </w:p>
        </w:tc>
        <w:tc>
          <w:tcPr>
            <w:tcW w:w="1952" w:type="dxa"/>
            <w:shd w:val="clear" w:color="auto" w:fill="auto"/>
            <w:tcMar>
              <w:top w:w="0" w:type="dxa"/>
              <w:left w:w="108" w:type="dxa"/>
              <w:bottom w:w="0" w:type="dxa"/>
              <w:right w:w="108" w:type="dxa"/>
            </w:tcMar>
            <w:vAlign w:val="center"/>
          </w:tcPr>
          <w:p w14:paraId="7C79E07C"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-1.55</w:t>
            </w:r>
          </w:p>
        </w:tc>
        <w:tc>
          <w:tcPr>
            <w:tcW w:w="2103" w:type="dxa"/>
            <w:shd w:val="clear" w:color="auto" w:fill="auto"/>
            <w:tcMar>
              <w:top w:w="0" w:type="dxa"/>
              <w:left w:w="108" w:type="dxa"/>
              <w:bottom w:w="0" w:type="dxa"/>
              <w:right w:w="108" w:type="dxa"/>
            </w:tcMar>
            <w:vAlign w:val="center"/>
          </w:tcPr>
          <w:p w14:paraId="6AA5EB35"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-1.02</w:t>
            </w:r>
          </w:p>
        </w:tc>
      </w:tr>
      <w:tr w:rsidR="006416B0" w:rsidRPr="00B4515A" w14:paraId="331B6972" w14:textId="77777777" w:rsidTr="005860B4">
        <w:trPr>
          <w:trHeight w:val="340"/>
          <w:jc w:val="center"/>
        </w:trPr>
        <w:tc>
          <w:tcPr>
            <w:tcW w:w="2772" w:type="dxa"/>
            <w:shd w:val="clear" w:color="000000" w:fill="FFFFFF"/>
            <w:tcMar>
              <w:top w:w="0" w:type="dxa"/>
              <w:left w:w="108" w:type="dxa"/>
              <w:bottom w:w="0" w:type="dxa"/>
              <w:right w:w="108" w:type="dxa"/>
            </w:tcMar>
            <w:vAlign w:val="center"/>
          </w:tcPr>
          <w:p w14:paraId="1A19CEA6" w14:textId="77777777" w:rsidR="006416B0" w:rsidRPr="00B4515A" w:rsidRDefault="005E58C1" w:rsidP="005860B4">
            <w:pPr>
              <w:adjustRightInd w:val="0"/>
              <w:snapToGrid w:val="0"/>
              <w:jc w:val="center"/>
              <w:rPr>
                <w:rFonts w:ascii="Times New Roman" w:eastAsiaTheme="majorEastAsia" w:hAnsi="Times New Roman" w:cs="Times New Roman"/>
                <w:color w:val="333333"/>
                <w:sz w:val="21"/>
                <w:szCs w:val="21"/>
              </w:rPr>
            </w:pPr>
            <w:r w:rsidRPr="00B4515A">
              <w:rPr>
                <w:rFonts w:ascii="Times New Roman" w:eastAsiaTheme="majorEastAsia" w:hAnsi="Times New Roman" w:cs="Times New Roman"/>
                <w:color w:val="333333"/>
                <w:sz w:val="21"/>
                <w:szCs w:val="21"/>
              </w:rPr>
              <w:t>加权平均净资产收益率（</w:t>
            </w:r>
            <w:r w:rsidRPr="00B4515A">
              <w:rPr>
                <w:rFonts w:ascii="Times New Roman" w:eastAsiaTheme="majorEastAsia" w:hAnsi="Times New Roman" w:cs="Times New Roman"/>
                <w:color w:val="333333"/>
                <w:sz w:val="21"/>
                <w:szCs w:val="21"/>
              </w:rPr>
              <w:t>%</w:t>
            </w:r>
            <w:r w:rsidRPr="00B4515A">
              <w:rPr>
                <w:rFonts w:ascii="Times New Roman" w:eastAsiaTheme="majorEastAsia" w:hAnsi="Times New Roman" w:cs="Times New Roman"/>
                <w:color w:val="333333"/>
                <w:sz w:val="21"/>
                <w:szCs w:val="21"/>
              </w:rPr>
              <w:t>）</w:t>
            </w:r>
          </w:p>
        </w:tc>
        <w:tc>
          <w:tcPr>
            <w:tcW w:w="2173" w:type="dxa"/>
            <w:shd w:val="clear" w:color="auto" w:fill="auto"/>
            <w:tcMar>
              <w:top w:w="0" w:type="dxa"/>
              <w:left w:w="108" w:type="dxa"/>
              <w:bottom w:w="0" w:type="dxa"/>
              <w:right w:w="108" w:type="dxa"/>
            </w:tcMar>
            <w:vAlign w:val="center"/>
          </w:tcPr>
          <w:p w14:paraId="6B197491"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w:t>
            </w:r>
          </w:p>
        </w:tc>
        <w:tc>
          <w:tcPr>
            <w:tcW w:w="1952" w:type="dxa"/>
            <w:shd w:val="clear" w:color="auto" w:fill="auto"/>
            <w:tcMar>
              <w:top w:w="0" w:type="dxa"/>
              <w:left w:w="108" w:type="dxa"/>
              <w:bottom w:w="0" w:type="dxa"/>
              <w:right w:w="108" w:type="dxa"/>
            </w:tcMar>
            <w:vAlign w:val="center"/>
          </w:tcPr>
          <w:p w14:paraId="4A99DCB4"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w:t>
            </w:r>
          </w:p>
        </w:tc>
        <w:tc>
          <w:tcPr>
            <w:tcW w:w="2103" w:type="dxa"/>
            <w:shd w:val="clear" w:color="auto" w:fill="auto"/>
            <w:tcMar>
              <w:top w:w="0" w:type="dxa"/>
              <w:left w:w="108" w:type="dxa"/>
              <w:bottom w:w="0" w:type="dxa"/>
              <w:right w:w="108" w:type="dxa"/>
            </w:tcMar>
            <w:vAlign w:val="center"/>
          </w:tcPr>
          <w:p w14:paraId="0BB4D350"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w:t>
            </w:r>
          </w:p>
        </w:tc>
      </w:tr>
    </w:tbl>
    <w:p w14:paraId="3DA91BE5" w14:textId="77777777" w:rsidR="006416B0" w:rsidRPr="00B4515A" w:rsidRDefault="005E58C1" w:rsidP="00EE238F">
      <w:pPr>
        <w:pStyle w:val="006"/>
        <w:ind w:firstLine="420"/>
      </w:pPr>
      <w:r w:rsidRPr="00B4515A">
        <w:rPr>
          <w:rFonts w:hint="eastAsia"/>
        </w:rPr>
        <w:t>注：数据来源于</w:t>
      </w:r>
      <w:r w:rsidRPr="00B4515A">
        <w:t>wind</w:t>
      </w:r>
      <w:r w:rsidRPr="00B4515A">
        <w:rPr>
          <w:rFonts w:hint="eastAsia"/>
        </w:rPr>
        <w:t>及大唐电信年度报告。</w:t>
      </w:r>
    </w:p>
    <w:p w14:paraId="1BA00619" w14:textId="77777777" w:rsidR="006416B0" w:rsidRPr="00B4515A" w:rsidRDefault="005E58C1" w:rsidP="00EE238F">
      <w:pPr>
        <w:pStyle w:val="006"/>
        <w:ind w:firstLine="420"/>
      </w:pPr>
      <w:r w:rsidRPr="00B4515A">
        <w:rPr>
          <w:rFonts w:hint="eastAsia"/>
        </w:rPr>
        <w:t>基本每股收益</w:t>
      </w:r>
      <w:r w:rsidRPr="00B4515A">
        <w:t>=P0÷S</w:t>
      </w:r>
      <w:r w:rsidRPr="00B4515A">
        <w:rPr>
          <w:rFonts w:hint="eastAsia"/>
        </w:rPr>
        <w:t>，其中：</w:t>
      </w:r>
      <w:r w:rsidRPr="00B4515A">
        <w:t>P0</w:t>
      </w:r>
      <w:r w:rsidRPr="00B4515A">
        <w:rPr>
          <w:rFonts w:hint="eastAsia"/>
        </w:rPr>
        <w:t>为归属于公司普通股股东的净利润；</w:t>
      </w:r>
      <w:r w:rsidRPr="00B4515A">
        <w:t>S</w:t>
      </w:r>
      <w:r w:rsidRPr="00B4515A">
        <w:rPr>
          <w:rFonts w:hint="eastAsia"/>
        </w:rPr>
        <w:t>为发行在外的普通股加权平均数；毛利率</w:t>
      </w:r>
      <w:r w:rsidRPr="00B4515A">
        <w:t>=</w:t>
      </w:r>
      <w:r w:rsidRPr="00B4515A">
        <w:rPr>
          <w:rFonts w:hint="eastAsia"/>
        </w:rPr>
        <w:t>（营业收入</w:t>
      </w:r>
      <w:r w:rsidRPr="00B4515A">
        <w:t>-</w:t>
      </w:r>
      <w:r w:rsidRPr="00B4515A">
        <w:rPr>
          <w:rFonts w:hint="eastAsia"/>
        </w:rPr>
        <w:t>营业成本）</w:t>
      </w:r>
      <w:r w:rsidRPr="00B4515A">
        <w:t>/</w:t>
      </w:r>
      <w:r w:rsidRPr="00B4515A">
        <w:rPr>
          <w:rFonts w:hint="eastAsia"/>
        </w:rPr>
        <w:t>营业收入；资产负债率</w:t>
      </w:r>
      <w:r w:rsidRPr="00B4515A">
        <w:t>=</w:t>
      </w:r>
      <w:r w:rsidRPr="00B4515A">
        <w:rPr>
          <w:rFonts w:hint="eastAsia"/>
          <w:color w:val="000000"/>
        </w:rPr>
        <w:t>（负债总额</w:t>
      </w:r>
      <w:r w:rsidRPr="00B4515A">
        <w:rPr>
          <w:color w:val="000000"/>
        </w:rPr>
        <w:t>/</w:t>
      </w:r>
      <w:r w:rsidRPr="00B4515A">
        <w:rPr>
          <w:rFonts w:hint="eastAsia"/>
          <w:color w:val="000000"/>
        </w:rPr>
        <w:t>资产总额）</w:t>
      </w:r>
      <w:r w:rsidRPr="00B4515A">
        <w:rPr>
          <w:color w:val="000000"/>
        </w:rPr>
        <w:t>*100%</w:t>
      </w:r>
      <w:r w:rsidRPr="00B4515A">
        <w:rPr>
          <w:rFonts w:hint="eastAsia"/>
        </w:rPr>
        <w:t>。</w:t>
      </w:r>
    </w:p>
    <w:p w14:paraId="6516A1C1" w14:textId="77777777" w:rsidR="006416B0" w:rsidRPr="00B4515A" w:rsidRDefault="005E58C1" w:rsidP="005860B4">
      <w:pPr>
        <w:pStyle w:val="002"/>
        <w:spacing w:before="120" w:after="120"/>
        <w:ind w:firstLine="562"/>
      </w:pPr>
      <w:bookmarkStart w:id="109" w:name="_Toc65492068"/>
      <w:bookmarkStart w:id="110" w:name="_Toc2883170"/>
      <w:bookmarkStart w:id="111" w:name="_Toc80960517"/>
      <w:r w:rsidRPr="00B4515A">
        <w:rPr>
          <w:rFonts w:hint="eastAsia"/>
        </w:rPr>
        <w:t>八、控股股东及实际控制人情况</w:t>
      </w:r>
      <w:bookmarkEnd w:id="109"/>
      <w:bookmarkEnd w:id="110"/>
      <w:bookmarkEnd w:id="111"/>
    </w:p>
    <w:p w14:paraId="30485D8E" w14:textId="77777777" w:rsidR="006416B0" w:rsidRPr="00B4515A" w:rsidRDefault="005E58C1" w:rsidP="005860B4">
      <w:pPr>
        <w:pStyle w:val="005"/>
        <w:spacing w:before="120" w:after="120"/>
        <w:ind w:firstLine="480"/>
        <w:rPr>
          <w:color w:val="000000"/>
        </w:rPr>
      </w:pPr>
      <w:r w:rsidRPr="00B4515A">
        <w:rPr>
          <w:rFonts w:hint="eastAsia"/>
        </w:rPr>
        <w:t>截至本报告书签署之日，大唐电信的控股股东为电信科研院，实际控制人为国务院国资委，控股股东及实际控制人自公司设立以来未发生变化。公司与控股股东、实际控制人之间的产权及控制关系如下：</w:t>
      </w:r>
    </w:p>
    <w:p w14:paraId="6339CE66" w14:textId="77777777" w:rsidR="006416B0" w:rsidRPr="00B4515A" w:rsidRDefault="005E58C1">
      <w:pPr>
        <w:spacing w:line="360" w:lineRule="auto"/>
        <w:jc w:val="center"/>
        <w:rPr>
          <w:rFonts w:ascii="Times New Roman" w:hAnsi="Times New Roman" w:cs="Times New Roman"/>
          <w:color w:val="000000"/>
        </w:rPr>
      </w:pPr>
      <w:r w:rsidRPr="00B4515A">
        <w:rPr>
          <w:rFonts w:ascii="Times New Roman" w:hAnsi="Times New Roman" w:cs="Times New Roman"/>
          <w:noProof/>
          <w:color w:val="000000"/>
        </w:rPr>
        <w:drawing>
          <wp:inline distT="0" distB="0" distL="0" distR="0" wp14:anchorId="24BE6663" wp14:editId="376AA754">
            <wp:extent cx="3258820" cy="2927985"/>
            <wp:effectExtent l="0" t="0" r="508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3284193" cy="2951015"/>
                    </a:xfrm>
                    <a:prstGeom prst="rect">
                      <a:avLst/>
                    </a:prstGeom>
                  </pic:spPr>
                </pic:pic>
              </a:graphicData>
            </a:graphic>
          </wp:inline>
        </w:drawing>
      </w:r>
    </w:p>
    <w:p w14:paraId="3BB019A3" w14:textId="77777777" w:rsidR="006416B0" w:rsidRPr="00B4515A" w:rsidRDefault="005E58C1" w:rsidP="005860B4">
      <w:pPr>
        <w:pStyle w:val="006"/>
        <w:ind w:firstLine="420"/>
      </w:pPr>
      <w:r w:rsidRPr="00B4515A">
        <w:rPr>
          <w:rFonts w:hint="eastAsia"/>
        </w:rPr>
        <w:t>注：根据财政部、国务院国资委、人力资源社会保障部出具《财政部、人力资源社会保障部、国资委关于划转中国石油天然气集团有限公司等</w:t>
      </w:r>
      <w:r w:rsidRPr="00B4515A">
        <w:t>35</w:t>
      </w:r>
      <w:r w:rsidRPr="00B4515A">
        <w:rPr>
          <w:rFonts w:hint="eastAsia"/>
        </w:rPr>
        <w:t>家中央企业部分国有资本有关问题的通知》，将中国信科集团</w:t>
      </w:r>
      <w:r w:rsidRPr="00B4515A">
        <w:t>10%</w:t>
      </w:r>
      <w:r w:rsidRPr="00B4515A">
        <w:rPr>
          <w:rFonts w:hint="eastAsia"/>
        </w:rPr>
        <w:t>的股权一次性划转给社保基金会持有。由于中国信科集团公司章程的变更尚未</w:t>
      </w:r>
      <w:r w:rsidRPr="00B4515A">
        <w:rPr>
          <w:rFonts w:hint="eastAsia"/>
          <w:color w:val="000000" w:themeColor="text1"/>
        </w:rPr>
        <w:t>取得</w:t>
      </w:r>
      <w:r w:rsidRPr="00B4515A">
        <w:rPr>
          <w:rFonts w:hint="eastAsia"/>
        </w:rPr>
        <w:t>国务院国资委批复，本次划转未进行工商变更登记。</w:t>
      </w:r>
    </w:p>
    <w:p w14:paraId="6DD46258" w14:textId="0E52919B" w:rsidR="006416B0" w:rsidRPr="00B4515A" w:rsidRDefault="008C1C67" w:rsidP="005860B4">
      <w:pPr>
        <w:pStyle w:val="003"/>
        <w:spacing w:before="120"/>
        <w:ind w:firstLine="482"/>
      </w:pPr>
      <w:r w:rsidRPr="00B4515A">
        <w:rPr>
          <w:rFonts w:hint="eastAsia"/>
        </w:rPr>
        <w:t>（一）</w:t>
      </w:r>
      <w:r w:rsidR="005E58C1" w:rsidRPr="00B4515A">
        <w:rPr>
          <w:rFonts w:hint="eastAsia"/>
        </w:rPr>
        <w:t>控股股东</w:t>
      </w:r>
    </w:p>
    <w:p w14:paraId="07CDCBE6" w14:textId="77777777" w:rsidR="006416B0" w:rsidRPr="00B4515A" w:rsidRDefault="005E58C1" w:rsidP="005860B4">
      <w:pPr>
        <w:pStyle w:val="005"/>
        <w:spacing w:before="120" w:after="120"/>
        <w:ind w:firstLine="480"/>
      </w:pPr>
      <w:bookmarkStart w:id="112" w:name="OLE_LINK3"/>
      <w:bookmarkStart w:id="113" w:name="OLE_LINK4"/>
      <w:r w:rsidRPr="00B4515A">
        <w:rPr>
          <w:rFonts w:hint="eastAsia"/>
        </w:rPr>
        <w:t>截至本报告书签署之日，电信科研院直接持有公司</w:t>
      </w:r>
      <w:r w:rsidRPr="00B4515A">
        <w:t>17.15%</w:t>
      </w:r>
      <w:r w:rsidRPr="00B4515A">
        <w:rPr>
          <w:rFonts w:hint="eastAsia"/>
        </w:rPr>
        <w:t>的股份，通过大唐控股间接持有公司</w:t>
      </w:r>
      <w:r w:rsidRPr="00B4515A">
        <w:t>16.79%</w:t>
      </w:r>
      <w:r w:rsidRPr="00B4515A">
        <w:rPr>
          <w:rFonts w:hint="eastAsia"/>
        </w:rPr>
        <w:t>的股份，合计持有公司</w:t>
      </w:r>
      <w:r w:rsidRPr="00B4515A">
        <w:t>33.94%</w:t>
      </w:r>
      <w:r w:rsidRPr="00B4515A">
        <w:rPr>
          <w:rFonts w:hint="eastAsia"/>
        </w:rPr>
        <w:t>的股份，为公司控股股东。</w:t>
      </w:r>
    </w:p>
    <w:bookmarkEnd w:id="112"/>
    <w:bookmarkEnd w:id="113"/>
    <w:p w14:paraId="7D13E8D4" w14:textId="77777777" w:rsidR="006416B0" w:rsidRPr="00B4515A" w:rsidRDefault="005E58C1" w:rsidP="005860B4">
      <w:pPr>
        <w:pStyle w:val="005"/>
        <w:spacing w:before="120" w:after="120"/>
        <w:ind w:firstLine="480"/>
      </w:pPr>
      <w:r w:rsidRPr="00B4515A">
        <w:rPr>
          <w:rFonts w:hint="eastAsia"/>
        </w:rPr>
        <w:t>电信科研院基本情况如下：</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5"/>
        <w:gridCol w:w="6133"/>
      </w:tblGrid>
      <w:tr w:rsidR="006416B0" w:rsidRPr="00B4515A" w14:paraId="663FCA54"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7FD808A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公司名称</w:t>
            </w:r>
          </w:p>
        </w:tc>
        <w:tc>
          <w:tcPr>
            <w:tcW w:w="6116" w:type="dxa"/>
            <w:shd w:val="clear" w:color="auto" w:fill="auto"/>
            <w:tcMar>
              <w:top w:w="0" w:type="dxa"/>
              <w:left w:w="108" w:type="dxa"/>
              <w:bottom w:w="0" w:type="dxa"/>
              <w:right w:w="108" w:type="dxa"/>
            </w:tcMar>
            <w:vAlign w:val="center"/>
          </w:tcPr>
          <w:p w14:paraId="1DD0970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电信科学技术研究院有限公司</w:t>
            </w:r>
          </w:p>
        </w:tc>
      </w:tr>
      <w:tr w:rsidR="006416B0" w:rsidRPr="00B4515A" w14:paraId="66555F7F"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3841D4FA"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企业类型</w:t>
            </w:r>
          </w:p>
        </w:tc>
        <w:tc>
          <w:tcPr>
            <w:tcW w:w="6116" w:type="dxa"/>
            <w:shd w:val="clear" w:color="auto" w:fill="auto"/>
            <w:tcMar>
              <w:top w:w="0" w:type="dxa"/>
              <w:left w:w="108" w:type="dxa"/>
              <w:bottom w:w="0" w:type="dxa"/>
              <w:right w:w="108" w:type="dxa"/>
            </w:tcMar>
            <w:vAlign w:val="center"/>
          </w:tcPr>
          <w:p w14:paraId="50945A34" w14:textId="77777777" w:rsidR="006416B0" w:rsidRPr="00B4515A" w:rsidRDefault="005E58C1" w:rsidP="005860B4">
            <w:pPr>
              <w:adjustRightInd w:val="0"/>
              <w:snapToGrid w:val="0"/>
              <w:rPr>
                <w:rFonts w:ascii="Times New Roman" w:hAnsi="Times New Roman" w:cs="Times New Roman"/>
                <w:bCs/>
                <w:sz w:val="21"/>
                <w:szCs w:val="21"/>
              </w:rPr>
            </w:pPr>
            <w:r w:rsidRPr="00B4515A">
              <w:rPr>
                <w:rFonts w:ascii="Times New Roman" w:hAnsi="Times New Roman" w:cs="Times New Roman" w:hint="eastAsia"/>
                <w:bCs/>
                <w:sz w:val="21"/>
                <w:szCs w:val="21"/>
              </w:rPr>
              <w:t>有限责任公司（法人独资）</w:t>
            </w:r>
          </w:p>
        </w:tc>
      </w:tr>
      <w:tr w:rsidR="006416B0" w:rsidRPr="00B4515A" w14:paraId="439BAD20"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743D667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注册地址</w:t>
            </w:r>
          </w:p>
        </w:tc>
        <w:tc>
          <w:tcPr>
            <w:tcW w:w="6116" w:type="dxa"/>
            <w:shd w:val="clear" w:color="auto" w:fill="auto"/>
            <w:tcMar>
              <w:top w:w="0" w:type="dxa"/>
              <w:left w:w="108" w:type="dxa"/>
              <w:bottom w:w="0" w:type="dxa"/>
              <w:right w:w="108" w:type="dxa"/>
            </w:tcMar>
            <w:vAlign w:val="center"/>
          </w:tcPr>
          <w:p w14:paraId="729119E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北京市海淀区学院路</w:t>
            </w:r>
            <w:r w:rsidRPr="00B4515A">
              <w:rPr>
                <w:rFonts w:ascii="Times New Roman" w:hAnsi="Times New Roman" w:cs="Times New Roman"/>
                <w:sz w:val="21"/>
                <w:szCs w:val="21"/>
              </w:rPr>
              <w:t>40</w:t>
            </w:r>
            <w:r w:rsidRPr="00B4515A">
              <w:rPr>
                <w:rFonts w:ascii="Times New Roman" w:hAnsi="Times New Roman" w:cs="Times New Roman" w:hint="eastAsia"/>
                <w:sz w:val="21"/>
                <w:szCs w:val="21"/>
              </w:rPr>
              <w:t>号一区</w:t>
            </w:r>
          </w:p>
        </w:tc>
      </w:tr>
      <w:tr w:rsidR="006416B0" w:rsidRPr="00B4515A" w14:paraId="49224CE0"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464D885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lastRenderedPageBreak/>
              <w:t>主要办公地址</w:t>
            </w:r>
          </w:p>
        </w:tc>
        <w:tc>
          <w:tcPr>
            <w:tcW w:w="6116" w:type="dxa"/>
            <w:shd w:val="clear" w:color="auto" w:fill="auto"/>
            <w:tcMar>
              <w:top w:w="0" w:type="dxa"/>
              <w:left w:w="108" w:type="dxa"/>
              <w:bottom w:w="0" w:type="dxa"/>
              <w:right w:w="108" w:type="dxa"/>
            </w:tcMar>
            <w:vAlign w:val="center"/>
          </w:tcPr>
          <w:p w14:paraId="2774DBD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北京市海淀区学院路</w:t>
            </w:r>
            <w:r w:rsidRPr="00B4515A">
              <w:rPr>
                <w:rFonts w:ascii="Times New Roman" w:hAnsi="Times New Roman" w:cs="Times New Roman"/>
                <w:sz w:val="21"/>
                <w:szCs w:val="21"/>
              </w:rPr>
              <w:t>40</w:t>
            </w:r>
            <w:r w:rsidRPr="00B4515A">
              <w:rPr>
                <w:rFonts w:ascii="Times New Roman" w:hAnsi="Times New Roman" w:cs="Times New Roman" w:hint="eastAsia"/>
                <w:sz w:val="21"/>
                <w:szCs w:val="21"/>
              </w:rPr>
              <w:t>号一区</w:t>
            </w:r>
          </w:p>
        </w:tc>
      </w:tr>
      <w:tr w:rsidR="006416B0" w:rsidRPr="00B4515A" w14:paraId="5C95ECD2"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43EC06B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法定代表人</w:t>
            </w:r>
          </w:p>
        </w:tc>
        <w:tc>
          <w:tcPr>
            <w:tcW w:w="6116" w:type="dxa"/>
            <w:shd w:val="clear" w:color="auto" w:fill="auto"/>
            <w:tcMar>
              <w:top w:w="0" w:type="dxa"/>
              <w:left w:w="108" w:type="dxa"/>
              <w:bottom w:w="0" w:type="dxa"/>
              <w:right w:w="108" w:type="dxa"/>
            </w:tcMar>
            <w:vAlign w:val="center"/>
          </w:tcPr>
          <w:p w14:paraId="50C97B8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鲁国庆</w:t>
            </w:r>
          </w:p>
        </w:tc>
      </w:tr>
      <w:tr w:rsidR="006416B0" w:rsidRPr="00B4515A" w14:paraId="77C13293"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7EAB264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注册资本</w:t>
            </w:r>
          </w:p>
        </w:tc>
        <w:tc>
          <w:tcPr>
            <w:tcW w:w="6116" w:type="dxa"/>
            <w:shd w:val="clear" w:color="auto" w:fill="auto"/>
            <w:tcMar>
              <w:top w:w="0" w:type="dxa"/>
              <w:left w:w="108" w:type="dxa"/>
              <w:bottom w:w="0" w:type="dxa"/>
              <w:right w:w="108" w:type="dxa"/>
            </w:tcMar>
            <w:vAlign w:val="center"/>
          </w:tcPr>
          <w:p w14:paraId="06E7700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人民币</w:t>
            </w:r>
            <w:r w:rsidRPr="00B4515A">
              <w:rPr>
                <w:rFonts w:ascii="Times New Roman" w:hAnsi="Times New Roman" w:cs="Times New Roman"/>
                <w:sz w:val="21"/>
                <w:szCs w:val="21"/>
              </w:rPr>
              <w:t>780,000</w:t>
            </w:r>
            <w:r w:rsidRPr="00B4515A">
              <w:rPr>
                <w:rFonts w:ascii="Times New Roman" w:hAnsi="Times New Roman" w:cs="Times New Roman" w:hint="eastAsia"/>
                <w:sz w:val="21"/>
                <w:szCs w:val="21"/>
              </w:rPr>
              <w:t>万元</w:t>
            </w:r>
          </w:p>
        </w:tc>
      </w:tr>
      <w:tr w:rsidR="006416B0" w:rsidRPr="00B4515A" w14:paraId="4C2C2D2C"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49BE2B8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统一社会信用代码</w:t>
            </w:r>
          </w:p>
        </w:tc>
        <w:tc>
          <w:tcPr>
            <w:tcW w:w="6116" w:type="dxa"/>
            <w:shd w:val="clear" w:color="auto" w:fill="auto"/>
            <w:tcMar>
              <w:top w:w="0" w:type="dxa"/>
              <w:left w:w="108" w:type="dxa"/>
              <w:bottom w:w="0" w:type="dxa"/>
              <w:right w:w="108" w:type="dxa"/>
            </w:tcMar>
            <w:vAlign w:val="center"/>
          </w:tcPr>
          <w:p w14:paraId="1F99039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91110000400011016E</w:t>
            </w:r>
          </w:p>
        </w:tc>
      </w:tr>
      <w:tr w:rsidR="006416B0" w:rsidRPr="00B4515A" w14:paraId="061E38D2"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5CDBEF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经营范围</w:t>
            </w:r>
          </w:p>
        </w:tc>
        <w:tc>
          <w:tcPr>
            <w:tcW w:w="6116" w:type="dxa"/>
            <w:shd w:val="clear" w:color="auto" w:fill="auto"/>
            <w:tcMar>
              <w:top w:w="0" w:type="dxa"/>
              <w:left w:w="108" w:type="dxa"/>
              <w:bottom w:w="0" w:type="dxa"/>
              <w:right w:w="108" w:type="dxa"/>
            </w:tcMar>
            <w:vAlign w:val="center"/>
          </w:tcPr>
          <w:p w14:paraId="5124A6C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通信设备、电子计算机及外部设备、电子软件、广播电视设备、光纤及光电缆、电子元器件、其他电子设备、仪器仪表的开发、生产、销售；系统集成（国家有专项专营规定的除外）、通信、网络、电子商务、信息安全、广播电视的技术开发、技术服务；小区及写字楼物业管理；供暖、绿化服务；花木租赁；房屋维修、家居装饰；房产租售咨询；物业管理咨询；技术开发、技术转让、技术交流；百货、机械电子设备、建筑材料、五金交电销售。</w:t>
            </w:r>
            <w:r w:rsidRPr="00B4515A">
              <w:rPr>
                <w:rFonts w:ascii="Times New Roman" w:hAnsi="Times New Roman" w:cs="Times New Roman"/>
                <w:sz w:val="21"/>
                <w:szCs w:val="21"/>
              </w:rPr>
              <w:t>（市场主体依法自主选择经营项目，开展经营活动；依法须经批准的项目，经相关部门批准后依批准的内容开展经营活动；不得从事国家和本市产业政策禁止和限制类项目的经营活动。）</w:t>
            </w:r>
          </w:p>
        </w:tc>
      </w:tr>
      <w:tr w:rsidR="006416B0" w:rsidRPr="00B4515A" w14:paraId="2D206321"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07689A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成立日期</w:t>
            </w:r>
          </w:p>
        </w:tc>
        <w:tc>
          <w:tcPr>
            <w:tcW w:w="6116" w:type="dxa"/>
            <w:shd w:val="clear" w:color="auto" w:fill="auto"/>
            <w:tcMar>
              <w:top w:w="0" w:type="dxa"/>
              <w:left w:w="108" w:type="dxa"/>
              <w:bottom w:w="0" w:type="dxa"/>
              <w:right w:w="108" w:type="dxa"/>
            </w:tcMar>
            <w:vAlign w:val="center"/>
          </w:tcPr>
          <w:p w14:paraId="6E8CDDA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2001</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1</w:t>
            </w:r>
            <w:r w:rsidRPr="00B4515A">
              <w:rPr>
                <w:rFonts w:ascii="Times New Roman" w:hAnsi="Times New Roman" w:cs="Times New Roman" w:hint="eastAsia"/>
                <w:sz w:val="21"/>
                <w:szCs w:val="21"/>
              </w:rPr>
              <w:t>月</w:t>
            </w:r>
            <w:r w:rsidRPr="00B4515A">
              <w:rPr>
                <w:rFonts w:ascii="Times New Roman" w:hAnsi="Times New Roman" w:cs="Times New Roman"/>
                <w:sz w:val="21"/>
                <w:szCs w:val="21"/>
              </w:rPr>
              <w:t>20</w:t>
            </w:r>
            <w:r w:rsidRPr="00B4515A">
              <w:rPr>
                <w:rFonts w:ascii="Times New Roman" w:hAnsi="Times New Roman" w:cs="Times New Roman" w:hint="eastAsia"/>
                <w:sz w:val="21"/>
                <w:szCs w:val="21"/>
              </w:rPr>
              <w:t>日</w:t>
            </w:r>
          </w:p>
        </w:tc>
      </w:tr>
    </w:tbl>
    <w:p w14:paraId="4E87AE72" w14:textId="6F183267" w:rsidR="006416B0" w:rsidRPr="00B4515A" w:rsidRDefault="008C1C67" w:rsidP="005860B4">
      <w:pPr>
        <w:pStyle w:val="003"/>
        <w:spacing w:before="120"/>
        <w:ind w:firstLine="482"/>
      </w:pPr>
      <w:r w:rsidRPr="00B4515A">
        <w:rPr>
          <w:rFonts w:hint="eastAsia"/>
        </w:rPr>
        <w:t>（二）</w:t>
      </w:r>
      <w:r w:rsidR="005E58C1" w:rsidRPr="00B4515A">
        <w:rPr>
          <w:rFonts w:hint="eastAsia"/>
        </w:rPr>
        <w:t>实际控制人</w:t>
      </w:r>
    </w:p>
    <w:p w14:paraId="463C33DD" w14:textId="77777777" w:rsidR="006416B0" w:rsidRPr="00B4515A" w:rsidRDefault="005E58C1" w:rsidP="005860B4">
      <w:pPr>
        <w:pStyle w:val="005"/>
        <w:spacing w:before="120" w:after="120"/>
        <w:ind w:firstLine="480"/>
      </w:pPr>
      <w:r w:rsidRPr="00B4515A">
        <w:rPr>
          <w:rFonts w:hint="eastAsia"/>
        </w:rPr>
        <w:t>截至本报告签署之日，公司实际控制人为国务院国资委。</w:t>
      </w:r>
    </w:p>
    <w:p w14:paraId="0E9E8712" w14:textId="77777777" w:rsidR="006416B0" w:rsidRPr="00B4515A" w:rsidRDefault="005E58C1" w:rsidP="005860B4">
      <w:pPr>
        <w:pStyle w:val="002"/>
        <w:spacing w:before="120" w:after="120"/>
        <w:ind w:firstLine="562"/>
      </w:pPr>
      <w:bookmarkStart w:id="114" w:name="_Toc80960518"/>
      <w:r w:rsidRPr="00B4515A">
        <w:rPr>
          <w:rFonts w:hint="eastAsia"/>
        </w:rPr>
        <w:t>九、上市公司因本次交易导致的股权控制结构的预计变化情况</w:t>
      </w:r>
      <w:bookmarkEnd w:id="114"/>
    </w:p>
    <w:p w14:paraId="72B07296" w14:textId="77777777" w:rsidR="006416B0" w:rsidRPr="00B4515A" w:rsidRDefault="005E58C1" w:rsidP="005860B4">
      <w:pPr>
        <w:pStyle w:val="005"/>
        <w:spacing w:before="120" w:after="120"/>
        <w:ind w:firstLine="480"/>
      </w:pPr>
      <w:r w:rsidRPr="00B4515A">
        <w:rPr>
          <w:rFonts w:hint="eastAsia"/>
        </w:rPr>
        <w:t>本次交易完成后上市公司的股权</w:t>
      </w:r>
      <w:r w:rsidRPr="00B4515A">
        <w:rPr>
          <w:rFonts w:hint="eastAsia"/>
          <w:bCs/>
          <w:color w:val="000000" w:themeColor="text1"/>
        </w:rPr>
        <w:t>结构</w:t>
      </w:r>
      <w:r w:rsidRPr="00B4515A">
        <w:rPr>
          <w:rFonts w:hint="eastAsia"/>
        </w:rPr>
        <w:t>如下：</w:t>
      </w:r>
    </w:p>
    <w:p w14:paraId="7628D568" w14:textId="77777777" w:rsidR="006416B0" w:rsidRPr="00B4515A" w:rsidRDefault="005E58C1" w:rsidP="00EE238F">
      <w:pPr>
        <w:pStyle w:val="009"/>
        <w:ind w:firstLine="480"/>
      </w:pPr>
      <w:r w:rsidRPr="00B4515A">
        <w:rPr>
          <w:rFonts w:hint="eastAsia"/>
        </w:rPr>
        <w:t>单位：股</w:t>
      </w:r>
    </w:p>
    <w:tbl>
      <w:tblPr>
        <w:tblW w:w="5762"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97"/>
        <w:gridCol w:w="1266"/>
        <w:gridCol w:w="849"/>
        <w:gridCol w:w="1266"/>
        <w:gridCol w:w="1425"/>
        <w:gridCol w:w="849"/>
        <w:gridCol w:w="1266"/>
        <w:gridCol w:w="1252"/>
        <w:gridCol w:w="758"/>
      </w:tblGrid>
      <w:tr w:rsidR="006416B0" w:rsidRPr="00B4515A" w14:paraId="77DB14C1" w14:textId="77777777" w:rsidTr="005860B4">
        <w:trPr>
          <w:trHeight w:val="340"/>
          <w:jc w:val="center"/>
        </w:trPr>
        <w:tc>
          <w:tcPr>
            <w:tcW w:w="457" w:type="pct"/>
            <w:vMerge w:val="restart"/>
            <w:shd w:val="clear" w:color="auto" w:fill="auto"/>
            <w:tcMar>
              <w:top w:w="0" w:type="dxa"/>
              <w:left w:w="108" w:type="dxa"/>
              <w:bottom w:w="0" w:type="dxa"/>
              <w:right w:w="108" w:type="dxa"/>
            </w:tcMar>
            <w:vAlign w:val="center"/>
          </w:tcPr>
          <w:p w14:paraId="461B589E" w14:textId="77777777" w:rsidR="005860B4" w:rsidRPr="00B4515A" w:rsidRDefault="005E58C1" w:rsidP="005860B4">
            <w:pPr>
              <w:adjustRightInd w:val="0"/>
              <w:snapToGrid w:val="0"/>
              <w:jc w:val="center"/>
              <w:rPr>
                <w:rFonts w:ascii="Times New Roman" w:hAnsi="Times New Roman" w:cs="Times New Roman"/>
                <w:b/>
                <w:bCs/>
                <w:color w:val="000000"/>
                <w:sz w:val="21"/>
                <w:szCs w:val="21"/>
              </w:rPr>
            </w:pPr>
            <w:bookmarkStart w:id="115" w:name="_Hlk76924086"/>
            <w:r w:rsidRPr="00B4515A">
              <w:rPr>
                <w:rFonts w:ascii="Times New Roman" w:hAnsi="Times New Roman" w:cs="Times New Roman"/>
                <w:b/>
                <w:bCs/>
                <w:color w:val="000000"/>
                <w:sz w:val="21"/>
                <w:szCs w:val="21"/>
              </w:rPr>
              <w:t>股东</w:t>
            </w:r>
          </w:p>
          <w:p w14:paraId="178FECCC" w14:textId="22238861"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名称</w:t>
            </w:r>
          </w:p>
        </w:tc>
        <w:tc>
          <w:tcPr>
            <w:tcW w:w="1076" w:type="pct"/>
            <w:gridSpan w:val="2"/>
            <w:shd w:val="clear" w:color="auto" w:fill="auto"/>
            <w:tcMar>
              <w:top w:w="0" w:type="dxa"/>
              <w:left w:w="108" w:type="dxa"/>
              <w:bottom w:w="0" w:type="dxa"/>
              <w:right w:w="108" w:type="dxa"/>
            </w:tcMar>
            <w:vAlign w:val="center"/>
          </w:tcPr>
          <w:p w14:paraId="077C04E3"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本次重组前</w:t>
            </w:r>
          </w:p>
        </w:tc>
        <w:tc>
          <w:tcPr>
            <w:tcW w:w="644" w:type="pct"/>
            <w:vMerge w:val="restart"/>
            <w:shd w:val="clear" w:color="auto" w:fill="auto"/>
            <w:tcMar>
              <w:top w:w="0" w:type="dxa"/>
              <w:left w:w="108" w:type="dxa"/>
              <w:bottom w:w="0" w:type="dxa"/>
              <w:right w:w="108" w:type="dxa"/>
            </w:tcMar>
            <w:vAlign w:val="center"/>
          </w:tcPr>
          <w:p w14:paraId="3BD42379"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发行股份购买资产新增股数</w:t>
            </w:r>
          </w:p>
        </w:tc>
        <w:tc>
          <w:tcPr>
            <w:tcW w:w="1157" w:type="pct"/>
            <w:gridSpan w:val="2"/>
            <w:shd w:val="clear" w:color="auto" w:fill="auto"/>
            <w:tcMar>
              <w:top w:w="0" w:type="dxa"/>
              <w:left w:w="108" w:type="dxa"/>
              <w:bottom w:w="0" w:type="dxa"/>
              <w:right w:w="108" w:type="dxa"/>
            </w:tcMar>
            <w:vAlign w:val="center"/>
          </w:tcPr>
          <w:p w14:paraId="5461BCD6"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发行股份购买资产完成后</w:t>
            </w:r>
          </w:p>
        </w:tc>
        <w:tc>
          <w:tcPr>
            <w:tcW w:w="644" w:type="pct"/>
            <w:vMerge w:val="restart"/>
            <w:shd w:val="clear" w:color="auto" w:fill="auto"/>
            <w:tcMar>
              <w:top w:w="0" w:type="dxa"/>
              <w:left w:w="108" w:type="dxa"/>
              <w:bottom w:w="0" w:type="dxa"/>
              <w:right w:w="108" w:type="dxa"/>
            </w:tcMar>
            <w:vAlign w:val="center"/>
          </w:tcPr>
          <w:p w14:paraId="44963C74"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配套募集资金新增股数</w:t>
            </w:r>
          </w:p>
        </w:tc>
        <w:tc>
          <w:tcPr>
            <w:tcW w:w="1022" w:type="pct"/>
            <w:gridSpan w:val="2"/>
            <w:shd w:val="clear" w:color="auto" w:fill="auto"/>
            <w:noWrap/>
            <w:vAlign w:val="center"/>
          </w:tcPr>
          <w:p w14:paraId="5299F865" w14:textId="77777777" w:rsidR="006416B0" w:rsidRPr="00B4515A" w:rsidRDefault="005E58C1" w:rsidP="00031627">
            <w:pPr>
              <w:jc w:val="center"/>
              <w:rPr>
                <w:rFonts w:ascii="Times New Roman" w:hAnsi="Times New Roman" w:cs="Times New Roman"/>
                <w:b/>
                <w:bCs/>
                <w:color w:val="000000"/>
                <w:sz w:val="18"/>
                <w:szCs w:val="18"/>
              </w:rPr>
            </w:pPr>
            <w:r w:rsidRPr="00B4515A">
              <w:rPr>
                <w:rFonts w:ascii="Times New Roman" w:hAnsi="Times New Roman" w:cs="Times New Roman"/>
                <w:b/>
                <w:bCs/>
                <w:color w:val="000000"/>
                <w:sz w:val="18"/>
                <w:szCs w:val="18"/>
              </w:rPr>
              <w:t>募集配套资金完成后</w:t>
            </w:r>
          </w:p>
        </w:tc>
      </w:tr>
      <w:tr w:rsidR="006416B0" w:rsidRPr="00B4515A" w14:paraId="70B59F4D" w14:textId="77777777" w:rsidTr="005860B4">
        <w:trPr>
          <w:trHeight w:val="340"/>
          <w:jc w:val="center"/>
        </w:trPr>
        <w:tc>
          <w:tcPr>
            <w:tcW w:w="457" w:type="pct"/>
            <w:vMerge/>
            <w:tcMar>
              <w:top w:w="0" w:type="dxa"/>
              <w:left w:w="108" w:type="dxa"/>
              <w:bottom w:w="0" w:type="dxa"/>
              <w:right w:w="108" w:type="dxa"/>
            </w:tcMar>
            <w:vAlign w:val="center"/>
          </w:tcPr>
          <w:p w14:paraId="2AB816B1" w14:textId="77777777" w:rsidR="006416B0" w:rsidRPr="00B4515A" w:rsidRDefault="006416B0" w:rsidP="005860B4">
            <w:pPr>
              <w:adjustRightInd w:val="0"/>
              <w:snapToGrid w:val="0"/>
              <w:jc w:val="center"/>
              <w:rPr>
                <w:rFonts w:ascii="Times New Roman" w:hAnsi="Times New Roman" w:cs="Times New Roman"/>
                <w:b/>
                <w:bCs/>
                <w:color w:val="000000"/>
                <w:sz w:val="21"/>
                <w:szCs w:val="21"/>
              </w:rPr>
            </w:pPr>
          </w:p>
        </w:tc>
        <w:tc>
          <w:tcPr>
            <w:tcW w:w="644" w:type="pct"/>
            <w:shd w:val="clear" w:color="auto" w:fill="auto"/>
            <w:tcMar>
              <w:top w:w="0" w:type="dxa"/>
              <w:left w:w="108" w:type="dxa"/>
              <w:bottom w:w="0" w:type="dxa"/>
              <w:right w:w="108" w:type="dxa"/>
            </w:tcMar>
            <w:vAlign w:val="center"/>
          </w:tcPr>
          <w:p w14:paraId="734B5166"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持股</w:t>
            </w:r>
            <w:r w:rsidRPr="00B4515A">
              <w:rPr>
                <w:rFonts w:ascii="Times New Roman" w:hAnsi="Times New Roman" w:cs="Times New Roman" w:hint="eastAsia"/>
                <w:b/>
                <w:bCs/>
                <w:color w:val="000000"/>
                <w:sz w:val="21"/>
                <w:szCs w:val="21"/>
              </w:rPr>
              <w:t>数量</w:t>
            </w:r>
          </w:p>
        </w:tc>
        <w:tc>
          <w:tcPr>
            <w:tcW w:w="431" w:type="pct"/>
            <w:shd w:val="clear" w:color="auto" w:fill="auto"/>
            <w:tcMar>
              <w:top w:w="0" w:type="dxa"/>
              <w:left w:w="108" w:type="dxa"/>
              <w:bottom w:w="0" w:type="dxa"/>
              <w:right w:w="108" w:type="dxa"/>
            </w:tcMar>
            <w:vAlign w:val="center"/>
          </w:tcPr>
          <w:p w14:paraId="2B7EB2BD"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持股比例</w:t>
            </w:r>
            <w:r w:rsidRPr="00B4515A">
              <w:rPr>
                <w:rFonts w:ascii="Times New Roman" w:hAnsi="Times New Roman" w:cs="Times New Roman" w:hint="eastAsia"/>
                <w:b/>
                <w:bCs/>
                <w:color w:val="000000"/>
                <w:sz w:val="21"/>
                <w:szCs w:val="21"/>
              </w:rPr>
              <w:t>（</w:t>
            </w:r>
            <w:r w:rsidRPr="00B4515A">
              <w:rPr>
                <w:rFonts w:ascii="Times New Roman" w:hAnsi="Times New Roman" w:cs="Times New Roman" w:hint="eastAsia"/>
                <w:b/>
                <w:bCs/>
                <w:color w:val="000000"/>
                <w:sz w:val="21"/>
                <w:szCs w:val="21"/>
              </w:rPr>
              <w:t>%</w:t>
            </w:r>
            <w:r w:rsidRPr="00B4515A">
              <w:rPr>
                <w:rFonts w:ascii="Times New Roman" w:hAnsi="Times New Roman" w:cs="Times New Roman" w:hint="eastAsia"/>
                <w:b/>
                <w:bCs/>
                <w:color w:val="000000"/>
                <w:sz w:val="21"/>
                <w:szCs w:val="21"/>
              </w:rPr>
              <w:t>）</w:t>
            </w:r>
          </w:p>
        </w:tc>
        <w:tc>
          <w:tcPr>
            <w:tcW w:w="644" w:type="pct"/>
            <w:vMerge/>
            <w:tcMar>
              <w:top w:w="0" w:type="dxa"/>
              <w:left w:w="108" w:type="dxa"/>
              <w:bottom w:w="0" w:type="dxa"/>
              <w:right w:w="108" w:type="dxa"/>
            </w:tcMar>
            <w:vAlign w:val="center"/>
          </w:tcPr>
          <w:p w14:paraId="369BB9BA" w14:textId="77777777" w:rsidR="006416B0" w:rsidRPr="00B4515A" w:rsidRDefault="006416B0" w:rsidP="005860B4">
            <w:pPr>
              <w:adjustRightInd w:val="0"/>
              <w:snapToGrid w:val="0"/>
              <w:jc w:val="center"/>
              <w:rPr>
                <w:rFonts w:ascii="Times New Roman" w:hAnsi="Times New Roman" w:cs="Times New Roman"/>
                <w:b/>
                <w:bCs/>
                <w:color w:val="000000"/>
                <w:sz w:val="21"/>
                <w:szCs w:val="21"/>
              </w:rPr>
            </w:pPr>
          </w:p>
        </w:tc>
        <w:tc>
          <w:tcPr>
            <w:tcW w:w="725" w:type="pct"/>
            <w:shd w:val="clear" w:color="auto" w:fill="auto"/>
            <w:tcMar>
              <w:top w:w="0" w:type="dxa"/>
              <w:left w:w="108" w:type="dxa"/>
              <w:bottom w:w="0" w:type="dxa"/>
              <w:right w:w="108" w:type="dxa"/>
            </w:tcMar>
            <w:vAlign w:val="center"/>
          </w:tcPr>
          <w:p w14:paraId="0F30EFD6"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持股</w:t>
            </w:r>
            <w:r w:rsidRPr="00B4515A">
              <w:rPr>
                <w:rFonts w:ascii="Times New Roman" w:hAnsi="Times New Roman" w:cs="Times New Roman" w:hint="eastAsia"/>
                <w:b/>
                <w:bCs/>
                <w:color w:val="000000"/>
                <w:sz w:val="21"/>
                <w:szCs w:val="21"/>
              </w:rPr>
              <w:t>数量</w:t>
            </w:r>
          </w:p>
        </w:tc>
        <w:tc>
          <w:tcPr>
            <w:tcW w:w="432" w:type="pct"/>
            <w:shd w:val="clear" w:color="auto" w:fill="auto"/>
            <w:tcMar>
              <w:top w:w="0" w:type="dxa"/>
              <w:left w:w="108" w:type="dxa"/>
              <w:bottom w:w="0" w:type="dxa"/>
              <w:right w:w="108" w:type="dxa"/>
            </w:tcMar>
            <w:vAlign w:val="center"/>
          </w:tcPr>
          <w:p w14:paraId="636DA15B"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持股比例</w:t>
            </w:r>
            <w:r w:rsidRPr="00B4515A">
              <w:rPr>
                <w:rFonts w:ascii="Times New Roman" w:hAnsi="Times New Roman" w:cs="Times New Roman" w:hint="eastAsia"/>
                <w:b/>
                <w:bCs/>
                <w:color w:val="000000"/>
                <w:sz w:val="21"/>
                <w:szCs w:val="21"/>
              </w:rPr>
              <w:t>（</w:t>
            </w:r>
            <w:r w:rsidRPr="00B4515A">
              <w:rPr>
                <w:rFonts w:ascii="Times New Roman" w:hAnsi="Times New Roman" w:cs="Times New Roman" w:hint="eastAsia"/>
                <w:b/>
                <w:bCs/>
                <w:color w:val="000000"/>
                <w:sz w:val="21"/>
                <w:szCs w:val="21"/>
              </w:rPr>
              <w:t>%</w:t>
            </w:r>
            <w:r w:rsidRPr="00B4515A">
              <w:rPr>
                <w:rFonts w:ascii="Times New Roman" w:hAnsi="Times New Roman" w:cs="Times New Roman" w:hint="eastAsia"/>
                <w:b/>
                <w:bCs/>
                <w:color w:val="000000"/>
                <w:sz w:val="21"/>
                <w:szCs w:val="21"/>
              </w:rPr>
              <w:t>）</w:t>
            </w:r>
          </w:p>
        </w:tc>
        <w:tc>
          <w:tcPr>
            <w:tcW w:w="644" w:type="pct"/>
            <w:vMerge/>
            <w:tcMar>
              <w:top w:w="0" w:type="dxa"/>
              <w:left w:w="108" w:type="dxa"/>
              <w:bottom w:w="0" w:type="dxa"/>
              <w:right w:w="108" w:type="dxa"/>
            </w:tcMar>
            <w:vAlign w:val="center"/>
          </w:tcPr>
          <w:p w14:paraId="7FD41E3C" w14:textId="77777777" w:rsidR="006416B0" w:rsidRPr="00B4515A" w:rsidRDefault="006416B0" w:rsidP="005860B4">
            <w:pPr>
              <w:adjustRightInd w:val="0"/>
              <w:snapToGrid w:val="0"/>
              <w:jc w:val="center"/>
              <w:rPr>
                <w:rFonts w:ascii="Times New Roman" w:hAnsi="Times New Roman" w:cs="Times New Roman"/>
                <w:b/>
                <w:bCs/>
                <w:color w:val="000000"/>
                <w:sz w:val="21"/>
                <w:szCs w:val="21"/>
              </w:rPr>
            </w:pPr>
          </w:p>
        </w:tc>
        <w:tc>
          <w:tcPr>
            <w:tcW w:w="637" w:type="pct"/>
            <w:shd w:val="clear" w:color="auto" w:fill="auto"/>
            <w:vAlign w:val="center"/>
          </w:tcPr>
          <w:p w14:paraId="0798DF82" w14:textId="77777777" w:rsidR="006416B0" w:rsidRPr="00B4515A" w:rsidRDefault="005E58C1" w:rsidP="00031627">
            <w:pPr>
              <w:jc w:val="center"/>
              <w:rPr>
                <w:rFonts w:ascii="Times New Roman" w:hAnsi="Times New Roman" w:cs="Times New Roman"/>
                <w:b/>
                <w:bCs/>
                <w:color w:val="000000"/>
                <w:sz w:val="18"/>
                <w:szCs w:val="18"/>
              </w:rPr>
            </w:pPr>
            <w:r w:rsidRPr="00B4515A">
              <w:rPr>
                <w:rFonts w:ascii="Times New Roman" w:hAnsi="Times New Roman" w:cs="Times New Roman"/>
                <w:b/>
                <w:bCs/>
                <w:color w:val="000000"/>
                <w:sz w:val="18"/>
                <w:szCs w:val="18"/>
              </w:rPr>
              <w:t>持股</w:t>
            </w:r>
            <w:r w:rsidRPr="00B4515A">
              <w:rPr>
                <w:rFonts w:ascii="Times New Roman" w:hAnsi="Times New Roman" w:cs="Times New Roman" w:hint="eastAsia"/>
                <w:b/>
                <w:bCs/>
                <w:color w:val="000000"/>
                <w:sz w:val="18"/>
                <w:szCs w:val="18"/>
              </w:rPr>
              <w:t>数量</w:t>
            </w:r>
          </w:p>
        </w:tc>
        <w:tc>
          <w:tcPr>
            <w:tcW w:w="386" w:type="pct"/>
            <w:shd w:val="clear" w:color="auto" w:fill="auto"/>
            <w:vAlign w:val="center"/>
          </w:tcPr>
          <w:p w14:paraId="0EC32D82" w14:textId="77777777" w:rsidR="006416B0" w:rsidRPr="00B4515A" w:rsidRDefault="005E58C1" w:rsidP="00031627">
            <w:pPr>
              <w:jc w:val="center"/>
              <w:rPr>
                <w:rFonts w:ascii="Times New Roman" w:hAnsi="Times New Roman" w:cs="Times New Roman"/>
                <w:b/>
                <w:bCs/>
                <w:color w:val="000000"/>
                <w:sz w:val="18"/>
                <w:szCs w:val="18"/>
              </w:rPr>
            </w:pPr>
            <w:r w:rsidRPr="00B4515A">
              <w:rPr>
                <w:rFonts w:ascii="Times New Roman" w:hAnsi="Times New Roman" w:cs="Times New Roman"/>
                <w:b/>
                <w:bCs/>
                <w:color w:val="000000"/>
                <w:sz w:val="18"/>
                <w:szCs w:val="18"/>
              </w:rPr>
              <w:t>持股比例</w:t>
            </w:r>
            <w:r w:rsidRPr="00B4515A">
              <w:rPr>
                <w:rFonts w:ascii="Times New Roman" w:hAnsi="Times New Roman" w:cs="Times New Roman" w:hint="eastAsia"/>
                <w:b/>
                <w:bCs/>
                <w:color w:val="000000"/>
                <w:sz w:val="18"/>
                <w:szCs w:val="18"/>
              </w:rPr>
              <w:t>（</w:t>
            </w:r>
            <w:r w:rsidRPr="00B4515A">
              <w:rPr>
                <w:rFonts w:ascii="Times New Roman" w:hAnsi="Times New Roman" w:cs="Times New Roman" w:hint="eastAsia"/>
                <w:b/>
                <w:bCs/>
                <w:color w:val="000000"/>
                <w:sz w:val="18"/>
                <w:szCs w:val="18"/>
              </w:rPr>
              <w:t>%</w:t>
            </w:r>
            <w:r w:rsidRPr="00B4515A">
              <w:rPr>
                <w:rFonts w:ascii="Times New Roman" w:hAnsi="Times New Roman" w:cs="Times New Roman" w:hint="eastAsia"/>
                <w:b/>
                <w:bCs/>
                <w:color w:val="000000"/>
                <w:sz w:val="18"/>
                <w:szCs w:val="18"/>
              </w:rPr>
              <w:t>）</w:t>
            </w:r>
          </w:p>
        </w:tc>
      </w:tr>
      <w:tr w:rsidR="006416B0" w:rsidRPr="00B4515A" w14:paraId="1AD68130" w14:textId="77777777" w:rsidTr="005860B4">
        <w:trPr>
          <w:trHeight w:val="340"/>
          <w:jc w:val="center"/>
        </w:trPr>
        <w:tc>
          <w:tcPr>
            <w:tcW w:w="457" w:type="pct"/>
            <w:shd w:val="clear" w:color="auto" w:fill="auto"/>
            <w:tcMar>
              <w:top w:w="0" w:type="dxa"/>
              <w:left w:w="108" w:type="dxa"/>
              <w:bottom w:w="0" w:type="dxa"/>
              <w:right w:w="108" w:type="dxa"/>
            </w:tcMar>
            <w:vAlign w:val="center"/>
          </w:tcPr>
          <w:p w14:paraId="02AD4D5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电信科研院</w:t>
            </w:r>
          </w:p>
        </w:tc>
        <w:tc>
          <w:tcPr>
            <w:tcW w:w="644" w:type="pct"/>
            <w:shd w:val="clear" w:color="auto" w:fill="auto"/>
            <w:tcMar>
              <w:top w:w="0" w:type="dxa"/>
              <w:left w:w="108" w:type="dxa"/>
              <w:bottom w:w="0" w:type="dxa"/>
              <w:right w:w="108" w:type="dxa"/>
            </w:tcMar>
            <w:vAlign w:val="center"/>
          </w:tcPr>
          <w:p w14:paraId="4D7C48D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151,252,178</w:t>
            </w:r>
          </w:p>
        </w:tc>
        <w:tc>
          <w:tcPr>
            <w:tcW w:w="431" w:type="pct"/>
            <w:shd w:val="clear" w:color="auto" w:fill="auto"/>
            <w:tcMar>
              <w:top w:w="0" w:type="dxa"/>
              <w:left w:w="108" w:type="dxa"/>
              <w:bottom w:w="0" w:type="dxa"/>
              <w:right w:w="108" w:type="dxa"/>
            </w:tcMar>
            <w:vAlign w:val="center"/>
          </w:tcPr>
          <w:p w14:paraId="340311D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17.15</w:t>
            </w:r>
          </w:p>
        </w:tc>
        <w:tc>
          <w:tcPr>
            <w:tcW w:w="644" w:type="pct"/>
            <w:shd w:val="clear" w:color="auto" w:fill="auto"/>
            <w:tcMar>
              <w:top w:w="0" w:type="dxa"/>
              <w:left w:w="108" w:type="dxa"/>
              <w:bottom w:w="0" w:type="dxa"/>
              <w:right w:w="108" w:type="dxa"/>
            </w:tcMar>
            <w:vAlign w:val="center"/>
          </w:tcPr>
          <w:p w14:paraId="74D106C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143,942,996</w:t>
            </w:r>
          </w:p>
        </w:tc>
        <w:tc>
          <w:tcPr>
            <w:tcW w:w="725" w:type="pct"/>
            <w:shd w:val="clear" w:color="auto" w:fill="auto"/>
            <w:tcMar>
              <w:top w:w="0" w:type="dxa"/>
              <w:left w:w="108" w:type="dxa"/>
              <w:bottom w:w="0" w:type="dxa"/>
              <w:right w:w="108" w:type="dxa"/>
            </w:tcMar>
            <w:vAlign w:val="center"/>
          </w:tcPr>
          <w:p w14:paraId="11FDE2A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295,195,174</w:t>
            </w:r>
          </w:p>
        </w:tc>
        <w:tc>
          <w:tcPr>
            <w:tcW w:w="432" w:type="pct"/>
            <w:shd w:val="clear" w:color="auto" w:fill="auto"/>
            <w:tcMar>
              <w:top w:w="0" w:type="dxa"/>
              <w:left w:w="108" w:type="dxa"/>
              <w:bottom w:w="0" w:type="dxa"/>
              <w:right w:w="108" w:type="dxa"/>
            </w:tcMar>
            <w:vAlign w:val="center"/>
          </w:tcPr>
          <w:p w14:paraId="53EDCD5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26.29</w:t>
            </w:r>
          </w:p>
        </w:tc>
        <w:tc>
          <w:tcPr>
            <w:tcW w:w="644" w:type="pct"/>
            <w:shd w:val="clear" w:color="auto" w:fill="auto"/>
            <w:tcMar>
              <w:top w:w="0" w:type="dxa"/>
              <w:left w:w="108" w:type="dxa"/>
              <w:bottom w:w="0" w:type="dxa"/>
              <w:right w:w="108" w:type="dxa"/>
            </w:tcMar>
            <w:vAlign w:val="center"/>
          </w:tcPr>
          <w:p w14:paraId="64EBF2F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637" w:type="pct"/>
            <w:shd w:val="clear" w:color="auto" w:fill="auto"/>
            <w:noWrap/>
            <w:vAlign w:val="center"/>
          </w:tcPr>
          <w:p w14:paraId="4AD52F45"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color w:val="000000"/>
                <w:sz w:val="18"/>
                <w:szCs w:val="18"/>
              </w:rPr>
              <w:t>295,195,174</w:t>
            </w:r>
          </w:p>
        </w:tc>
        <w:tc>
          <w:tcPr>
            <w:tcW w:w="386" w:type="pct"/>
            <w:shd w:val="clear" w:color="auto" w:fill="auto"/>
            <w:noWrap/>
            <w:vAlign w:val="center"/>
          </w:tcPr>
          <w:p w14:paraId="6F834AB9"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color w:val="000000"/>
                <w:sz w:val="18"/>
                <w:szCs w:val="18"/>
              </w:rPr>
              <w:t>22.47</w:t>
            </w:r>
          </w:p>
        </w:tc>
      </w:tr>
      <w:tr w:rsidR="006416B0" w:rsidRPr="00B4515A" w14:paraId="05FA560C" w14:textId="77777777" w:rsidTr="005860B4">
        <w:trPr>
          <w:trHeight w:val="340"/>
          <w:jc w:val="center"/>
        </w:trPr>
        <w:tc>
          <w:tcPr>
            <w:tcW w:w="457" w:type="pct"/>
            <w:shd w:val="clear" w:color="auto" w:fill="auto"/>
            <w:tcMar>
              <w:top w:w="0" w:type="dxa"/>
              <w:left w:w="108" w:type="dxa"/>
              <w:bottom w:w="0" w:type="dxa"/>
              <w:right w:w="108" w:type="dxa"/>
            </w:tcMar>
            <w:vAlign w:val="center"/>
          </w:tcPr>
          <w:p w14:paraId="4833C90E" w14:textId="77777777" w:rsidR="005860B4"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w:t>
            </w:r>
          </w:p>
          <w:p w14:paraId="3226CA28" w14:textId="05B4F36F"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控股</w:t>
            </w:r>
          </w:p>
        </w:tc>
        <w:tc>
          <w:tcPr>
            <w:tcW w:w="644" w:type="pct"/>
            <w:shd w:val="clear" w:color="auto" w:fill="auto"/>
            <w:tcMar>
              <w:top w:w="0" w:type="dxa"/>
              <w:left w:w="108" w:type="dxa"/>
              <w:bottom w:w="0" w:type="dxa"/>
              <w:right w:w="108" w:type="dxa"/>
            </w:tcMar>
            <w:vAlign w:val="center"/>
          </w:tcPr>
          <w:p w14:paraId="1526317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148,118,845</w:t>
            </w:r>
          </w:p>
        </w:tc>
        <w:tc>
          <w:tcPr>
            <w:tcW w:w="431" w:type="pct"/>
            <w:shd w:val="clear" w:color="auto" w:fill="auto"/>
            <w:tcMar>
              <w:top w:w="0" w:type="dxa"/>
              <w:left w:w="108" w:type="dxa"/>
              <w:bottom w:w="0" w:type="dxa"/>
              <w:right w:w="108" w:type="dxa"/>
            </w:tcMar>
            <w:vAlign w:val="center"/>
          </w:tcPr>
          <w:p w14:paraId="75440F9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16.79</w:t>
            </w:r>
          </w:p>
        </w:tc>
        <w:tc>
          <w:tcPr>
            <w:tcW w:w="644" w:type="pct"/>
            <w:shd w:val="clear" w:color="auto" w:fill="auto"/>
            <w:tcMar>
              <w:top w:w="0" w:type="dxa"/>
              <w:left w:w="108" w:type="dxa"/>
              <w:bottom w:w="0" w:type="dxa"/>
              <w:right w:w="108" w:type="dxa"/>
            </w:tcMar>
            <w:vAlign w:val="center"/>
          </w:tcPr>
          <w:p w14:paraId="4F164B7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7,777,757</w:t>
            </w:r>
          </w:p>
        </w:tc>
        <w:tc>
          <w:tcPr>
            <w:tcW w:w="725" w:type="pct"/>
            <w:shd w:val="clear" w:color="auto" w:fill="auto"/>
            <w:tcMar>
              <w:top w:w="0" w:type="dxa"/>
              <w:left w:w="108" w:type="dxa"/>
              <w:bottom w:w="0" w:type="dxa"/>
              <w:right w:w="108" w:type="dxa"/>
            </w:tcMar>
            <w:vAlign w:val="center"/>
          </w:tcPr>
          <w:p w14:paraId="255A4F7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155,896,602</w:t>
            </w:r>
          </w:p>
        </w:tc>
        <w:tc>
          <w:tcPr>
            <w:tcW w:w="432" w:type="pct"/>
            <w:shd w:val="clear" w:color="auto" w:fill="auto"/>
            <w:tcMar>
              <w:top w:w="0" w:type="dxa"/>
              <w:left w:w="108" w:type="dxa"/>
              <w:bottom w:w="0" w:type="dxa"/>
              <w:right w:w="108" w:type="dxa"/>
            </w:tcMar>
            <w:vAlign w:val="center"/>
          </w:tcPr>
          <w:p w14:paraId="14A7D21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13.88</w:t>
            </w:r>
          </w:p>
        </w:tc>
        <w:tc>
          <w:tcPr>
            <w:tcW w:w="644" w:type="pct"/>
            <w:shd w:val="clear" w:color="auto" w:fill="auto"/>
            <w:tcMar>
              <w:top w:w="0" w:type="dxa"/>
              <w:left w:w="108" w:type="dxa"/>
              <w:bottom w:w="0" w:type="dxa"/>
              <w:right w:w="108" w:type="dxa"/>
            </w:tcMar>
            <w:vAlign w:val="center"/>
          </w:tcPr>
          <w:p w14:paraId="05337CD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637" w:type="pct"/>
            <w:shd w:val="clear" w:color="auto" w:fill="auto"/>
            <w:noWrap/>
            <w:vAlign w:val="center"/>
          </w:tcPr>
          <w:p w14:paraId="234A398D"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color w:val="000000"/>
                <w:sz w:val="18"/>
                <w:szCs w:val="18"/>
              </w:rPr>
              <w:t>155,896,602</w:t>
            </w:r>
          </w:p>
        </w:tc>
        <w:tc>
          <w:tcPr>
            <w:tcW w:w="386" w:type="pct"/>
            <w:shd w:val="clear" w:color="auto" w:fill="auto"/>
            <w:noWrap/>
            <w:vAlign w:val="center"/>
          </w:tcPr>
          <w:p w14:paraId="718E9516"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color w:val="000000"/>
                <w:sz w:val="18"/>
                <w:szCs w:val="18"/>
              </w:rPr>
              <w:t>11.87</w:t>
            </w:r>
          </w:p>
        </w:tc>
      </w:tr>
      <w:tr w:rsidR="006416B0" w:rsidRPr="00B4515A" w14:paraId="268D0E3F" w14:textId="77777777" w:rsidTr="005860B4">
        <w:trPr>
          <w:trHeight w:val="340"/>
          <w:jc w:val="center"/>
        </w:trPr>
        <w:tc>
          <w:tcPr>
            <w:tcW w:w="457" w:type="pct"/>
            <w:shd w:val="clear" w:color="auto" w:fill="auto"/>
            <w:tcMar>
              <w:top w:w="0" w:type="dxa"/>
              <w:left w:w="108" w:type="dxa"/>
              <w:bottom w:w="0" w:type="dxa"/>
              <w:right w:w="108" w:type="dxa"/>
            </w:tcMar>
            <w:vAlign w:val="center"/>
          </w:tcPr>
          <w:p w14:paraId="6FC3B0F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中国信科集团</w:t>
            </w:r>
          </w:p>
        </w:tc>
        <w:tc>
          <w:tcPr>
            <w:tcW w:w="644" w:type="pct"/>
            <w:shd w:val="clear" w:color="auto" w:fill="auto"/>
            <w:tcMar>
              <w:top w:w="0" w:type="dxa"/>
              <w:left w:w="108" w:type="dxa"/>
              <w:bottom w:w="0" w:type="dxa"/>
              <w:right w:w="108" w:type="dxa"/>
            </w:tcMar>
            <w:vAlign w:val="center"/>
          </w:tcPr>
          <w:p w14:paraId="416822A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w:t>
            </w:r>
          </w:p>
        </w:tc>
        <w:tc>
          <w:tcPr>
            <w:tcW w:w="431" w:type="pct"/>
            <w:shd w:val="clear" w:color="auto" w:fill="auto"/>
            <w:tcMar>
              <w:top w:w="0" w:type="dxa"/>
              <w:left w:w="108" w:type="dxa"/>
              <w:bottom w:w="0" w:type="dxa"/>
              <w:right w:w="108" w:type="dxa"/>
            </w:tcMar>
            <w:vAlign w:val="center"/>
          </w:tcPr>
          <w:p w14:paraId="530672D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644" w:type="pct"/>
            <w:shd w:val="clear" w:color="auto" w:fill="auto"/>
            <w:tcMar>
              <w:top w:w="0" w:type="dxa"/>
              <w:left w:w="108" w:type="dxa"/>
              <w:bottom w:w="0" w:type="dxa"/>
              <w:right w:w="108" w:type="dxa"/>
            </w:tcMar>
            <w:vAlign w:val="center"/>
          </w:tcPr>
          <w:p w14:paraId="3970FDA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725" w:type="pct"/>
            <w:shd w:val="clear" w:color="auto" w:fill="auto"/>
            <w:tcMar>
              <w:top w:w="0" w:type="dxa"/>
              <w:left w:w="108" w:type="dxa"/>
              <w:bottom w:w="0" w:type="dxa"/>
              <w:right w:w="108" w:type="dxa"/>
            </w:tcMar>
            <w:vAlign w:val="center"/>
          </w:tcPr>
          <w:p w14:paraId="3EBF84B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w:t>
            </w:r>
          </w:p>
        </w:tc>
        <w:tc>
          <w:tcPr>
            <w:tcW w:w="432" w:type="pct"/>
            <w:shd w:val="clear" w:color="auto" w:fill="auto"/>
            <w:tcMar>
              <w:top w:w="0" w:type="dxa"/>
              <w:left w:w="108" w:type="dxa"/>
              <w:bottom w:w="0" w:type="dxa"/>
              <w:right w:w="108" w:type="dxa"/>
            </w:tcMar>
            <w:vAlign w:val="center"/>
          </w:tcPr>
          <w:p w14:paraId="5453889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644" w:type="pct"/>
            <w:shd w:val="clear" w:color="auto" w:fill="auto"/>
            <w:tcMar>
              <w:top w:w="0" w:type="dxa"/>
              <w:left w:w="108" w:type="dxa"/>
              <w:bottom w:w="0" w:type="dxa"/>
              <w:right w:w="108" w:type="dxa"/>
            </w:tcMar>
            <w:vAlign w:val="center"/>
          </w:tcPr>
          <w:p w14:paraId="23AD065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190,839,694</w:t>
            </w:r>
          </w:p>
        </w:tc>
        <w:tc>
          <w:tcPr>
            <w:tcW w:w="637" w:type="pct"/>
            <w:shd w:val="clear" w:color="auto" w:fill="auto"/>
            <w:noWrap/>
            <w:vAlign w:val="center"/>
          </w:tcPr>
          <w:p w14:paraId="3FD82100"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color w:val="000000"/>
                <w:sz w:val="18"/>
                <w:szCs w:val="18"/>
              </w:rPr>
              <w:t>190,839,694</w:t>
            </w:r>
          </w:p>
        </w:tc>
        <w:tc>
          <w:tcPr>
            <w:tcW w:w="386" w:type="pct"/>
            <w:shd w:val="clear" w:color="auto" w:fill="auto"/>
            <w:noWrap/>
            <w:vAlign w:val="center"/>
          </w:tcPr>
          <w:p w14:paraId="6176D317"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color w:val="000000"/>
                <w:sz w:val="18"/>
                <w:szCs w:val="18"/>
              </w:rPr>
              <w:t>14.53</w:t>
            </w:r>
          </w:p>
        </w:tc>
      </w:tr>
      <w:tr w:rsidR="006416B0" w:rsidRPr="00B4515A" w14:paraId="6264038F" w14:textId="77777777" w:rsidTr="005860B4">
        <w:trPr>
          <w:trHeight w:val="340"/>
          <w:jc w:val="center"/>
        </w:trPr>
        <w:tc>
          <w:tcPr>
            <w:tcW w:w="457" w:type="pct"/>
            <w:shd w:val="clear" w:color="auto" w:fill="auto"/>
            <w:tcMar>
              <w:top w:w="0" w:type="dxa"/>
              <w:left w:w="108" w:type="dxa"/>
              <w:bottom w:w="0" w:type="dxa"/>
              <w:right w:w="108" w:type="dxa"/>
            </w:tcMar>
            <w:vAlign w:val="center"/>
          </w:tcPr>
          <w:p w14:paraId="0C684827" w14:textId="16859182" w:rsidR="006416B0" w:rsidRPr="00B4515A" w:rsidRDefault="00252376"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长江移动基金</w:t>
            </w:r>
          </w:p>
        </w:tc>
        <w:tc>
          <w:tcPr>
            <w:tcW w:w="644" w:type="pct"/>
            <w:shd w:val="clear" w:color="auto" w:fill="auto"/>
            <w:tcMar>
              <w:top w:w="0" w:type="dxa"/>
              <w:left w:w="108" w:type="dxa"/>
              <w:bottom w:w="0" w:type="dxa"/>
              <w:right w:w="108" w:type="dxa"/>
            </w:tcMar>
            <w:vAlign w:val="center"/>
          </w:tcPr>
          <w:p w14:paraId="17A4BBA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w:t>
            </w:r>
          </w:p>
        </w:tc>
        <w:tc>
          <w:tcPr>
            <w:tcW w:w="431" w:type="pct"/>
            <w:shd w:val="clear" w:color="auto" w:fill="auto"/>
            <w:tcMar>
              <w:top w:w="0" w:type="dxa"/>
              <w:left w:w="108" w:type="dxa"/>
              <w:bottom w:w="0" w:type="dxa"/>
              <w:right w:w="108" w:type="dxa"/>
            </w:tcMar>
            <w:vAlign w:val="center"/>
          </w:tcPr>
          <w:p w14:paraId="25C024C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644" w:type="pct"/>
            <w:shd w:val="clear" w:color="auto" w:fill="auto"/>
            <w:tcMar>
              <w:top w:w="0" w:type="dxa"/>
              <w:left w:w="108" w:type="dxa"/>
              <w:bottom w:w="0" w:type="dxa"/>
              <w:right w:w="108" w:type="dxa"/>
            </w:tcMar>
            <w:vAlign w:val="center"/>
          </w:tcPr>
          <w:p w14:paraId="574FACB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53,422,979</w:t>
            </w:r>
          </w:p>
        </w:tc>
        <w:tc>
          <w:tcPr>
            <w:tcW w:w="725" w:type="pct"/>
            <w:shd w:val="clear" w:color="auto" w:fill="auto"/>
            <w:tcMar>
              <w:top w:w="0" w:type="dxa"/>
              <w:left w:w="108" w:type="dxa"/>
              <w:bottom w:w="0" w:type="dxa"/>
              <w:right w:w="108" w:type="dxa"/>
            </w:tcMar>
            <w:vAlign w:val="center"/>
          </w:tcPr>
          <w:p w14:paraId="26A22B8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53,422,979</w:t>
            </w:r>
          </w:p>
        </w:tc>
        <w:tc>
          <w:tcPr>
            <w:tcW w:w="432" w:type="pct"/>
            <w:shd w:val="clear" w:color="auto" w:fill="auto"/>
            <w:tcMar>
              <w:top w:w="0" w:type="dxa"/>
              <w:left w:w="108" w:type="dxa"/>
              <w:bottom w:w="0" w:type="dxa"/>
              <w:right w:w="108" w:type="dxa"/>
            </w:tcMar>
            <w:vAlign w:val="center"/>
          </w:tcPr>
          <w:p w14:paraId="366C5FE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4.76</w:t>
            </w:r>
          </w:p>
        </w:tc>
        <w:tc>
          <w:tcPr>
            <w:tcW w:w="644" w:type="pct"/>
            <w:shd w:val="clear" w:color="auto" w:fill="auto"/>
            <w:tcMar>
              <w:top w:w="0" w:type="dxa"/>
              <w:left w:w="108" w:type="dxa"/>
              <w:bottom w:w="0" w:type="dxa"/>
              <w:right w:w="108" w:type="dxa"/>
            </w:tcMar>
            <w:vAlign w:val="center"/>
          </w:tcPr>
          <w:p w14:paraId="76A767B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637" w:type="pct"/>
            <w:shd w:val="clear" w:color="auto" w:fill="auto"/>
            <w:noWrap/>
            <w:vAlign w:val="center"/>
          </w:tcPr>
          <w:p w14:paraId="0F43F3E4"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color w:val="000000"/>
                <w:sz w:val="18"/>
                <w:szCs w:val="18"/>
              </w:rPr>
              <w:t>53,422,979</w:t>
            </w:r>
          </w:p>
        </w:tc>
        <w:tc>
          <w:tcPr>
            <w:tcW w:w="386" w:type="pct"/>
            <w:shd w:val="clear" w:color="auto" w:fill="auto"/>
            <w:noWrap/>
            <w:vAlign w:val="center"/>
          </w:tcPr>
          <w:p w14:paraId="3CF01BB7"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color w:val="000000"/>
                <w:sz w:val="18"/>
                <w:szCs w:val="18"/>
              </w:rPr>
              <w:t>4.07</w:t>
            </w:r>
          </w:p>
        </w:tc>
      </w:tr>
      <w:tr w:rsidR="006416B0" w:rsidRPr="00B4515A" w14:paraId="34137904" w14:textId="77777777" w:rsidTr="005860B4">
        <w:trPr>
          <w:trHeight w:val="340"/>
          <w:jc w:val="center"/>
        </w:trPr>
        <w:tc>
          <w:tcPr>
            <w:tcW w:w="457" w:type="pct"/>
            <w:shd w:val="clear" w:color="auto" w:fill="auto"/>
            <w:tcMar>
              <w:top w:w="0" w:type="dxa"/>
              <w:left w:w="108" w:type="dxa"/>
              <w:bottom w:w="0" w:type="dxa"/>
              <w:right w:w="108" w:type="dxa"/>
            </w:tcMar>
            <w:vAlign w:val="center"/>
          </w:tcPr>
          <w:p w14:paraId="31E97B1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结构调整基金</w:t>
            </w:r>
          </w:p>
        </w:tc>
        <w:tc>
          <w:tcPr>
            <w:tcW w:w="644" w:type="pct"/>
            <w:shd w:val="clear" w:color="auto" w:fill="auto"/>
            <w:tcMar>
              <w:top w:w="0" w:type="dxa"/>
              <w:left w:w="108" w:type="dxa"/>
              <w:bottom w:w="0" w:type="dxa"/>
              <w:right w:w="108" w:type="dxa"/>
            </w:tcMar>
            <w:vAlign w:val="center"/>
          </w:tcPr>
          <w:p w14:paraId="6524CC2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w:t>
            </w:r>
          </w:p>
        </w:tc>
        <w:tc>
          <w:tcPr>
            <w:tcW w:w="431" w:type="pct"/>
            <w:shd w:val="clear" w:color="auto" w:fill="auto"/>
            <w:tcMar>
              <w:top w:w="0" w:type="dxa"/>
              <w:left w:w="108" w:type="dxa"/>
              <w:bottom w:w="0" w:type="dxa"/>
              <w:right w:w="108" w:type="dxa"/>
            </w:tcMar>
            <w:vAlign w:val="center"/>
          </w:tcPr>
          <w:p w14:paraId="4FB9762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644" w:type="pct"/>
            <w:shd w:val="clear" w:color="auto" w:fill="auto"/>
            <w:tcMar>
              <w:top w:w="0" w:type="dxa"/>
              <w:left w:w="108" w:type="dxa"/>
              <w:bottom w:w="0" w:type="dxa"/>
              <w:right w:w="108" w:type="dxa"/>
            </w:tcMar>
            <w:vAlign w:val="center"/>
          </w:tcPr>
          <w:p w14:paraId="18F6523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17,808,504</w:t>
            </w:r>
          </w:p>
        </w:tc>
        <w:tc>
          <w:tcPr>
            <w:tcW w:w="725" w:type="pct"/>
            <w:shd w:val="clear" w:color="auto" w:fill="auto"/>
            <w:tcMar>
              <w:top w:w="0" w:type="dxa"/>
              <w:left w:w="108" w:type="dxa"/>
              <w:bottom w:w="0" w:type="dxa"/>
              <w:right w:w="108" w:type="dxa"/>
            </w:tcMar>
            <w:vAlign w:val="center"/>
          </w:tcPr>
          <w:p w14:paraId="3CBBF91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17,808,504</w:t>
            </w:r>
          </w:p>
        </w:tc>
        <w:tc>
          <w:tcPr>
            <w:tcW w:w="432" w:type="pct"/>
            <w:shd w:val="clear" w:color="auto" w:fill="auto"/>
            <w:tcMar>
              <w:top w:w="0" w:type="dxa"/>
              <w:left w:w="108" w:type="dxa"/>
              <w:bottom w:w="0" w:type="dxa"/>
              <w:right w:w="108" w:type="dxa"/>
            </w:tcMar>
            <w:vAlign w:val="center"/>
          </w:tcPr>
          <w:p w14:paraId="124FD8A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1.59</w:t>
            </w:r>
          </w:p>
        </w:tc>
        <w:tc>
          <w:tcPr>
            <w:tcW w:w="644" w:type="pct"/>
            <w:shd w:val="clear" w:color="auto" w:fill="auto"/>
            <w:tcMar>
              <w:top w:w="0" w:type="dxa"/>
              <w:left w:w="108" w:type="dxa"/>
              <w:bottom w:w="0" w:type="dxa"/>
              <w:right w:w="108" w:type="dxa"/>
            </w:tcMar>
            <w:vAlign w:val="center"/>
          </w:tcPr>
          <w:p w14:paraId="1C37245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637" w:type="pct"/>
            <w:shd w:val="clear" w:color="auto" w:fill="auto"/>
            <w:noWrap/>
            <w:vAlign w:val="center"/>
          </w:tcPr>
          <w:p w14:paraId="0A7A9EEA"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hint="eastAsia"/>
                <w:color w:val="000000"/>
                <w:sz w:val="18"/>
                <w:szCs w:val="18"/>
              </w:rPr>
              <w:t>17,808,504</w:t>
            </w:r>
          </w:p>
        </w:tc>
        <w:tc>
          <w:tcPr>
            <w:tcW w:w="386" w:type="pct"/>
            <w:shd w:val="clear" w:color="auto" w:fill="auto"/>
            <w:noWrap/>
            <w:vAlign w:val="center"/>
          </w:tcPr>
          <w:p w14:paraId="1D2F210C"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color w:val="000000"/>
                <w:sz w:val="18"/>
                <w:szCs w:val="18"/>
              </w:rPr>
              <w:t>1.36</w:t>
            </w:r>
          </w:p>
        </w:tc>
      </w:tr>
      <w:tr w:rsidR="006416B0" w:rsidRPr="00B4515A" w14:paraId="7D0AA573" w14:textId="77777777" w:rsidTr="005860B4">
        <w:trPr>
          <w:trHeight w:val="340"/>
          <w:jc w:val="center"/>
        </w:trPr>
        <w:tc>
          <w:tcPr>
            <w:tcW w:w="457" w:type="pct"/>
            <w:shd w:val="clear" w:color="auto" w:fill="auto"/>
            <w:tcMar>
              <w:top w:w="0" w:type="dxa"/>
              <w:left w:w="108" w:type="dxa"/>
              <w:bottom w:w="0" w:type="dxa"/>
              <w:right w:w="108" w:type="dxa"/>
            </w:tcMar>
            <w:vAlign w:val="center"/>
          </w:tcPr>
          <w:p w14:paraId="6A16560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金融街资本</w:t>
            </w:r>
          </w:p>
        </w:tc>
        <w:tc>
          <w:tcPr>
            <w:tcW w:w="644" w:type="pct"/>
            <w:shd w:val="clear" w:color="auto" w:fill="auto"/>
            <w:tcMar>
              <w:top w:w="0" w:type="dxa"/>
              <w:left w:w="108" w:type="dxa"/>
              <w:bottom w:w="0" w:type="dxa"/>
              <w:right w:w="108" w:type="dxa"/>
            </w:tcMar>
            <w:vAlign w:val="center"/>
          </w:tcPr>
          <w:p w14:paraId="75EE76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w:t>
            </w:r>
          </w:p>
        </w:tc>
        <w:tc>
          <w:tcPr>
            <w:tcW w:w="431" w:type="pct"/>
            <w:shd w:val="clear" w:color="auto" w:fill="auto"/>
            <w:tcMar>
              <w:top w:w="0" w:type="dxa"/>
              <w:left w:w="108" w:type="dxa"/>
              <w:bottom w:w="0" w:type="dxa"/>
              <w:right w:w="108" w:type="dxa"/>
            </w:tcMar>
            <w:vAlign w:val="center"/>
          </w:tcPr>
          <w:p w14:paraId="5843E17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c>
          <w:tcPr>
            <w:tcW w:w="644" w:type="pct"/>
            <w:shd w:val="clear" w:color="auto" w:fill="auto"/>
            <w:tcMar>
              <w:top w:w="0" w:type="dxa"/>
              <w:left w:w="108" w:type="dxa"/>
              <w:bottom w:w="0" w:type="dxa"/>
              <w:right w:w="108" w:type="dxa"/>
            </w:tcMar>
            <w:vAlign w:val="center"/>
          </w:tcPr>
          <w:p w14:paraId="3F2C6BA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17,808,504</w:t>
            </w:r>
          </w:p>
        </w:tc>
        <w:tc>
          <w:tcPr>
            <w:tcW w:w="725" w:type="pct"/>
            <w:shd w:val="clear" w:color="auto" w:fill="auto"/>
            <w:tcMar>
              <w:top w:w="0" w:type="dxa"/>
              <w:left w:w="108" w:type="dxa"/>
              <w:bottom w:w="0" w:type="dxa"/>
              <w:right w:w="108" w:type="dxa"/>
            </w:tcMar>
            <w:vAlign w:val="center"/>
          </w:tcPr>
          <w:p w14:paraId="262B3AC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17,808,504</w:t>
            </w:r>
          </w:p>
        </w:tc>
        <w:tc>
          <w:tcPr>
            <w:tcW w:w="432" w:type="pct"/>
            <w:shd w:val="clear" w:color="auto" w:fill="auto"/>
            <w:tcMar>
              <w:top w:w="0" w:type="dxa"/>
              <w:left w:w="108" w:type="dxa"/>
              <w:bottom w:w="0" w:type="dxa"/>
              <w:right w:w="108" w:type="dxa"/>
            </w:tcMar>
            <w:vAlign w:val="center"/>
          </w:tcPr>
          <w:p w14:paraId="637A3B2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1.59</w:t>
            </w:r>
          </w:p>
        </w:tc>
        <w:tc>
          <w:tcPr>
            <w:tcW w:w="644" w:type="pct"/>
            <w:shd w:val="clear" w:color="auto" w:fill="auto"/>
            <w:tcMar>
              <w:top w:w="0" w:type="dxa"/>
              <w:left w:w="108" w:type="dxa"/>
              <w:bottom w:w="0" w:type="dxa"/>
              <w:right w:w="108" w:type="dxa"/>
            </w:tcMar>
            <w:vAlign w:val="center"/>
          </w:tcPr>
          <w:p w14:paraId="633C521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637" w:type="pct"/>
            <w:shd w:val="clear" w:color="auto" w:fill="auto"/>
            <w:noWrap/>
            <w:vAlign w:val="center"/>
          </w:tcPr>
          <w:p w14:paraId="1C25E6B1"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hint="eastAsia"/>
                <w:color w:val="000000"/>
                <w:sz w:val="18"/>
                <w:szCs w:val="18"/>
              </w:rPr>
              <w:t>17,808,504</w:t>
            </w:r>
          </w:p>
        </w:tc>
        <w:tc>
          <w:tcPr>
            <w:tcW w:w="386" w:type="pct"/>
            <w:shd w:val="clear" w:color="auto" w:fill="auto"/>
            <w:noWrap/>
            <w:vAlign w:val="center"/>
          </w:tcPr>
          <w:p w14:paraId="750FDFD3"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color w:val="000000"/>
                <w:sz w:val="18"/>
                <w:szCs w:val="18"/>
              </w:rPr>
              <w:t>1.36</w:t>
            </w:r>
          </w:p>
        </w:tc>
      </w:tr>
      <w:tr w:rsidR="006416B0" w:rsidRPr="00B4515A" w14:paraId="7DF66986" w14:textId="77777777" w:rsidTr="005860B4">
        <w:trPr>
          <w:trHeight w:val="340"/>
          <w:jc w:val="center"/>
        </w:trPr>
        <w:tc>
          <w:tcPr>
            <w:tcW w:w="457" w:type="pct"/>
            <w:shd w:val="clear" w:color="auto" w:fill="auto"/>
            <w:tcMar>
              <w:top w:w="0" w:type="dxa"/>
              <w:left w:w="108" w:type="dxa"/>
              <w:bottom w:w="0" w:type="dxa"/>
              <w:right w:w="108" w:type="dxa"/>
            </w:tcMar>
            <w:vAlign w:val="center"/>
          </w:tcPr>
          <w:p w14:paraId="09EB9888" w14:textId="77777777" w:rsidR="005860B4"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w:t>
            </w:r>
          </w:p>
          <w:p w14:paraId="1C7A1A1A" w14:textId="2E475D84"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股东</w:t>
            </w:r>
          </w:p>
        </w:tc>
        <w:tc>
          <w:tcPr>
            <w:tcW w:w="644" w:type="pct"/>
            <w:shd w:val="clear" w:color="auto" w:fill="auto"/>
            <w:tcMar>
              <w:top w:w="0" w:type="dxa"/>
              <w:left w:w="108" w:type="dxa"/>
              <w:bottom w:w="0" w:type="dxa"/>
              <w:right w:w="108" w:type="dxa"/>
            </w:tcMar>
            <w:vAlign w:val="center"/>
          </w:tcPr>
          <w:p w14:paraId="13480B8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582,737,449</w:t>
            </w:r>
          </w:p>
        </w:tc>
        <w:tc>
          <w:tcPr>
            <w:tcW w:w="431" w:type="pct"/>
            <w:shd w:val="clear" w:color="auto" w:fill="auto"/>
            <w:tcMar>
              <w:top w:w="0" w:type="dxa"/>
              <w:left w:w="108" w:type="dxa"/>
              <w:bottom w:w="0" w:type="dxa"/>
              <w:right w:w="108" w:type="dxa"/>
            </w:tcMar>
            <w:vAlign w:val="center"/>
          </w:tcPr>
          <w:p w14:paraId="4DEED05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66.06</w:t>
            </w:r>
          </w:p>
        </w:tc>
        <w:tc>
          <w:tcPr>
            <w:tcW w:w="644" w:type="pct"/>
            <w:shd w:val="clear" w:color="auto" w:fill="auto"/>
            <w:tcMar>
              <w:top w:w="0" w:type="dxa"/>
              <w:left w:w="108" w:type="dxa"/>
              <w:bottom w:w="0" w:type="dxa"/>
              <w:right w:w="108" w:type="dxa"/>
            </w:tcMar>
            <w:vAlign w:val="center"/>
          </w:tcPr>
          <w:p w14:paraId="5DBCAB4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725" w:type="pct"/>
            <w:shd w:val="clear" w:color="auto" w:fill="auto"/>
            <w:tcMar>
              <w:top w:w="0" w:type="dxa"/>
              <w:left w:w="108" w:type="dxa"/>
              <w:bottom w:w="0" w:type="dxa"/>
              <w:right w:w="108" w:type="dxa"/>
            </w:tcMar>
            <w:vAlign w:val="center"/>
          </w:tcPr>
          <w:p w14:paraId="2A0453D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582,737,449</w:t>
            </w:r>
          </w:p>
        </w:tc>
        <w:tc>
          <w:tcPr>
            <w:tcW w:w="432" w:type="pct"/>
            <w:shd w:val="clear" w:color="auto" w:fill="auto"/>
            <w:tcMar>
              <w:top w:w="0" w:type="dxa"/>
              <w:left w:w="108" w:type="dxa"/>
              <w:bottom w:w="0" w:type="dxa"/>
              <w:right w:w="108" w:type="dxa"/>
            </w:tcMar>
            <w:vAlign w:val="center"/>
          </w:tcPr>
          <w:p w14:paraId="0310E85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51.90</w:t>
            </w:r>
          </w:p>
        </w:tc>
        <w:tc>
          <w:tcPr>
            <w:tcW w:w="644" w:type="pct"/>
            <w:shd w:val="clear" w:color="auto" w:fill="auto"/>
            <w:tcMar>
              <w:top w:w="0" w:type="dxa"/>
              <w:left w:w="108" w:type="dxa"/>
              <w:bottom w:w="0" w:type="dxa"/>
              <w:right w:w="108" w:type="dxa"/>
            </w:tcMar>
            <w:vAlign w:val="center"/>
          </w:tcPr>
          <w:p w14:paraId="3AAD78B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637" w:type="pct"/>
            <w:shd w:val="clear" w:color="auto" w:fill="auto"/>
            <w:noWrap/>
            <w:vAlign w:val="center"/>
          </w:tcPr>
          <w:p w14:paraId="2BFDDA88"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color w:val="000000"/>
                <w:sz w:val="18"/>
                <w:szCs w:val="18"/>
              </w:rPr>
              <w:t>582,737,449</w:t>
            </w:r>
          </w:p>
        </w:tc>
        <w:tc>
          <w:tcPr>
            <w:tcW w:w="386" w:type="pct"/>
            <w:shd w:val="clear" w:color="auto" w:fill="auto"/>
            <w:noWrap/>
            <w:vAlign w:val="center"/>
          </w:tcPr>
          <w:p w14:paraId="44B56527" w14:textId="77777777" w:rsidR="006416B0" w:rsidRPr="00B4515A" w:rsidRDefault="005E58C1" w:rsidP="00031627">
            <w:pPr>
              <w:jc w:val="right"/>
              <w:rPr>
                <w:rFonts w:ascii="Times New Roman" w:hAnsi="Times New Roman" w:cs="Times New Roman"/>
                <w:color w:val="000000"/>
                <w:sz w:val="18"/>
                <w:szCs w:val="18"/>
              </w:rPr>
            </w:pPr>
            <w:r w:rsidRPr="00B4515A">
              <w:rPr>
                <w:rFonts w:ascii="Times New Roman" w:hAnsi="Times New Roman" w:cs="Times New Roman"/>
                <w:color w:val="000000"/>
                <w:sz w:val="18"/>
                <w:szCs w:val="18"/>
              </w:rPr>
              <w:t>44.36</w:t>
            </w:r>
          </w:p>
        </w:tc>
      </w:tr>
      <w:tr w:rsidR="006416B0" w:rsidRPr="00B4515A" w14:paraId="53BC9EE9" w14:textId="77777777" w:rsidTr="005860B4">
        <w:trPr>
          <w:trHeight w:val="340"/>
          <w:jc w:val="center"/>
        </w:trPr>
        <w:tc>
          <w:tcPr>
            <w:tcW w:w="457" w:type="pct"/>
            <w:shd w:val="clear" w:color="auto" w:fill="auto"/>
            <w:tcMar>
              <w:top w:w="0" w:type="dxa"/>
              <w:left w:w="108" w:type="dxa"/>
              <w:bottom w:w="0" w:type="dxa"/>
              <w:right w:w="108" w:type="dxa"/>
            </w:tcMar>
            <w:vAlign w:val="center"/>
          </w:tcPr>
          <w:p w14:paraId="713B2A25"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合计</w:t>
            </w:r>
          </w:p>
        </w:tc>
        <w:tc>
          <w:tcPr>
            <w:tcW w:w="644" w:type="pct"/>
            <w:shd w:val="clear" w:color="auto" w:fill="auto"/>
            <w:tcMar>
              <w:top w:w="0" w:type="dxa"/>
              <w:left w:w="108" w:type="dxa"/>
              <w:bottom w:w="0" w:type="dxa"/>
              <w:right w:w="108" w:type="dxa"/>
            </w:tcMar>
            <w:vAlign w:val="center"/>
          </w:tcPr>
          <w:p w14:paraId="05CCC003"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882,108,472</w:t>
            </w:r>
          </w:p>
        </w:tc>
        <w:tc>
          <w:tcPr>
            <w:tcW w:w="431" w:type="pct"/>
            <w:shd w:val="clear" w:color="auto" w:fill="auto"/>
            <w:tcMar>
              <w:top w:w="0" w:type="dxa"/>
              <w:left w:w="108" w:type="dxa"/>
              <w:bottom w:w="0" w:type="dxa"/>
              <w:right w:w="108" w:type="dxa"/>
            </w:tcMar>
            <w:vAlign w:val="center"/>
          </w:tcPr>
          <w:p w14:paraId="1AEEDC3A"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100.00</w:t>
            </w:r>
          </w:p>
        </w:tc>
        <w:tc>
          <w:tcPr>
            <w:tcW w:w="644" w:type="pct"/>
            <w:shd w:val="clear" w:color="auto" w:fill="auto"/>
            <w:tcMar>
              <w:top w:w="0" w:type="dxa"/>
              <w:left w:w="108" w:type="dxa"/>
              <w:bottom w:w="0" w:type="dxa"/>
              <w:right w:w="108" w:type="dxa"/>
            </w:tcMar>
            <w:vAlign w:val="center"/>
          </w:tcPr>
          <w:p w14:paraId="58836C32"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240,760,740</w:t>
            </w:r>
          </w:p>
        </w:tc>
        <w:tc>
          <w:tcPr>
            <w:tcW w:w="725" w:type="pct"/>
            <w:shd w:val="clear" w:color="auto" w:fill="auto"/>
            <w:tcMar>
              <w:top w:w="0" w:type="dxa"/>
              <w:left w:w="108" w:type="dxa"/>
              <w:bottom w:w="0" w:type="dxa"/>
              <w:right w:w="108" w:type="dxa"/>
            </w:tcMar>
            <w:vAlign w:val="center"/>
          </w:tcPr>
          <w:p w14:paraId="44DA8CCF"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1,122,869,212</w:t>
            </w:r>
          </w:p>
        </w:tc>
        <w:tc>
          <w:tcPr>
            <w:tcW w:w="432" w:type="pct"/>
            <w:shd w:val="clear" w:color="auto" w:fill="auto"/>
            <w:tcMar>
              <w:top w:w="0" w:type="dxa"/>
              <w:left w:w="108" w:type="dxa"/>
              <w:bottom w:w="0" w:type="dxa"/>
              <w:right w:w="108" w:type="dxa"/>
            </w:tcMar>
            <w:vAlign w:val="center"/>
          </w:tcPr>
          <w:p w14:paraId="0F58C874"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100.00</w:t>
            </w:r>
          </w:p>
        </w:tc>
        <w:tc>
          <w:tcPr>
            <w:tcW w:w="644" w:type="pct"/>
            <w:shd w:val="clear" w:color="auto" w:fill="auto"/>
            <w:tcMar>
              <w:top w:w="0" w:type="dxa"/>
              <w:left w:w="108" w:type="dxa"/>
              <w:bottom w:w="0" w:type="dxa"/>
              <w:right w:w="108" w:type="dxa"/>
            </w:tcMar>
            <w:vAlign w:val="center"/>
          </w:tcPr>
          <w:p w14:paraId="5C0EC927"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190,839,694</w:t>
            </w:r>
          </w:p>
        </w:tc>
        <w:tc>
          <w:tcPr>
            <w:tcW w:w="637" w:type="pct"/>
            <w:shd w:val="clear" w:color="auto" w:fill="auto"/>
            <w:noWrap/>
            <w:vAlign w:val="center"/>
          </w:tcPr>
          <w:p w14:paraId="3E47D428" w14:textId="77777777" w:rsidR="006416B0" w:rsidRPr="00B4515A" w:rsidRDefault="005E58C1" w:rsidP="00031627">
            <w:pPr>
              <w:jc w:val="right"/>
              <w:rPr>
                <w:rFonts w:ascii="Times New Roman" w:hAnsi="Times New Roman" w:cs="Times New Roman"/>
                <w:b/>
                <w:bCs/>
                <w:color w:val="000000"/>
                <w:sz w:val="18"/>
                <w:szCs w:val="18"/>
              </w:rPr>
            </w:pPr>
            <w:r w:rsidRPr="00B4515A">
              <w:rPr>
                <w:rFonts w:ascii="Times New Roman" w:hAnsi="Times New Roman" w:cs="Times New Roman"/>
                <w:b/>
                <w:bCs/>
                <w:color w:val="000000"/>
                <w:sz w:val="18"/>
                <w:szCs w:val="18"/>
              </w:rPr>
              <w:t>1,313,708,906</w:t>
            </w:r>
          </w:p>
        </w:tc>
        <w:tc>
          <w:tcPr>
            <w:tcW w:w="386" w:type="pct"/>
            <w:shd w:val="clear" w:color="auto" w:fill="auto"/>
            <w:noWrap/>
            <w:vAlign w:val="center"/>
          </w:tcPr>
          <w:p w14:paraId="64A2C717" w14:textId="77777777" w:rsidR="006416B0" w:rsidRPr="00B4515A" w:rsidRDefault="005E58C1" w:rsidP="00031627">
            <w:pPr>
              <w:jc w:val="right"/>
              <w:rPr>
                <w:rFonts w:ascii="Times New Roman" w:hAnsi="Times New Roman" w:cs="Times New Roman"/>
                <w:b/>
                <w:bCs/>
                <w:color w:val="000000"/>
                <w:sz w:val="18"/>
                <w:szCs w:val="18"/>
              </w:rPr>
            </w:pPr>
            <w:r w:rsidRPr="00B4515A">
              <w:rPr>
                <w:rFonts w:ascii="Times New Roman" w:hAnsi="Times New Roman" w:cs="Times New Roman"/>
                <w:b/>
                <w:bCs/>
                <w:color w:val="000000"/>
                <w:sz w:val="18"/>
                <w:szCs w:val="18"/>
              </w:rPr>
              <w:t>100.00</w:t>
            </w:r>
          </w:p>
        </w:tc>
      </w:tr>
    </w:tbl>
    <w:bookmarkEnd w:id="115"/>
    <w:p w14:paraId="06293D85" w14:textId="77777777" w:rsidR="006416B0" w:rsidRPr="00B4515A" w:rsidRDefault="005E58C1" w:rsidP="005860B4">
      <w:pPr>
        <w:pStyle w:val="005"/>
        <w:spacing w:before="120" w:after="120"/>
        <w:ind w:firstLine="480"/>
      </w:pPr>
      <w:r w:rsidRPr="00B4515A">
        <w:rPr>
          <w:rFonts w:hint="eastAsia"/>
        </w:rPr>
        <w:t>本次交易前，公司控股股东为电信科研院，中国信科集团为电信科研院的控股股东，实际控制人为国务院国资委。本次交易完成后，公司控股股东为中国信</w:t>
      </w:r>
      <w:r w:rsidRPr="00B4515A">
        <w:rPr>
          <w:rFonts w:hint="eastAsia"/>
        </w:rPr>
        <w:lastRenderedPageBreak/>
        <w:t>科集团，实际控制人仍为国务院国资委。</w:t>
      </w:r>
    </w:p>
    <w:p w14:paraId="7729C7DE" w14:textId="77777777" w:rsidR="006416B0" w:rsidRPr="00B4515A" w:rsidRDefault="005E58C1" w:rsidP="005860B4">
      <w:pPr>
        <w:pStyle w:val="002"/>
        <w:spacing w:before="120" w:after="120"/>
        <w:ind w:firstLine="562"/>
      </w:pPr>
      <w:bookmarkStart w:id="116" w:name="_Toc80960519"/>
      <w:bookmarkStart w:id="117" w:name="_Toc65492070"/>
      <w:bookmarkStart w:id="118" w:name="_Toc2883172"/>
      <w:r w:rsidRPr="00B4515A">
        <w:rPr>
          <w:rFonts w:hint="eastAsia"/>
        </w:rPr>
        <w:t>十、上市公司及其现任董事、监事及高级管理人员合规性说明</w:t>
      </w:r>
      <w:bookmarkEnd w:id="116"/>
    </w:p>
    <w:p w14:paraId="18E58477" w14:textId="77777777" w:rsidR="006416B0" w:rsidRPr="00B4515A" w:rsidRDefault="005E58C1" w:rsidP="005860B4">
      <w:pPr>
        <w:pStyle w:val="005"/>
        <w:spacing w:before="120" w:after="120"/>
        <w:ind w:firstLine="480"/>
        <w:rPr>
          <w:bCs/>
          <w:color w:val="000000" w:themeColor="text1"/>
        </w:rPr>
      </w:pPr>
      <w:r w:rsidRPr="00B4515A">
        <w:rPr>
          <w:bCs/>
          <w:color w:val="000000" w:themeColor="text1"/>
        </w:rPr>
        <w:t>截至本报告书签署日，</w:t>
      </w:r>
      <w:r w:rsidRPr="00B4515A">
        <w:rPr>
          <w:rFonts w:hint="eastAsia"/>
        </w:rPr>
        <w:t>上市公司及其现任董事、监事、高级管理人员不存在因涉嫌犯罪正被司法机关立案侦查或者涉嫌违法违规正被中国证监会立案调查的情况。最近三年，不存在刑事处罚或与证券市场明显相关的行政处罚情况，亦不存在严重损害投资者合法权益和社会公共利益的重大违法行为。</w:t>
      </w:r>
      <w:bookmarkEnd w:id="117"/>
      <w:bookmarkEnd w:id="118"/>
    </w:p>
    <w:p w14:paraId="3817839A" w14:textId="77777777" w:rsidR="006416B0" w:rsidRPr="00B4515A" w:rsidRDefault="005E58C1" w:rsidP="005860B4">
      <w:pPr>
        <w:pStyle w:val="002"/>
        <w:spacing w:before="120" w:after="120"/>
        <w:ind w:firstLine="562"/>
      </w:pPr>
      <w:bookmarkStart w:id="119" w:name="_Toc65492072"/>
      <w:bookmarkStart w:id="120" w:name="_Toc80960520"/>
      <w:r w:rsidRPr="00B4515A">
        <w:rPr>
          <w:rFonts w:hint="eastAsia"/>
        </w:rPr>
        <w:t>十一、上市公司及其控股股东最近十二个月内是否受到交易所公开谴责，是否存在其他重大失信行为</w:t>
      </w:r>
      <w:bookmarkEnd w:id="119"/>
      <w:bookmarkEnd w:id="120"/>
    </w:p>
    <w:p w14:paraId="79207186" w14:textId="77777777" w:rsidR="006416B0" w:rsidRPr="00B4515A" w:rsidRDefault="005E58C1" w:rsidP="005860B4">
      <w:pPr>
        <w:pStyle w:val="005"/>
        <w:spacing w:before="120" w:after="120"/>
        <w:ind w:firstLine="480"/>
      </w:pPr>
      <w:r w:rsidRPr="00B4515A">
        <w:t>截至本报告书签署日，</w:t>
      </w:r>
      <w:r w:rsidRPr="00B4515A">
        <w:rPr>
          <w:rFonts w:hint="eastAsia"/>
        </w:rPr>
        <w:t>大唐电信</w:t>
      </w:r>
      <w:r w:rsidRPr="00B4515A">
        <w:t>及其控股股东最近十二个月内未曾受到交易所公开谴责，且不存在其他重大失信行为。</w:t>
      </w:r>
    </w:p>
    <w:p w14:paraId="6CB025ED" w14:textId="77777777" w:rsidR="006416B0" w:rsidRPr="00B4515A" w:rsidRDefault="005E58C1" w:rsidP="005860B4">
      <w:pPr>
        <w:pStyle w:val="002"/>
        <w:spacing w:before="120" w:after="120"/>
        <w:ind w:firstLine="562"/>
      </w:pPr>
      <w:bookmarkStart w:id="121" w:name="_Toc74565153"/>
      <w:bookmarkStart w:id="122" w:name="_Toc80960521"/>
      <w:r w:rsidRPr="00B4515A">
        <w:rPr>
          <w:rFonts w:hint="eastAsia"/>
        </w:rPr>
        <w:t>十二、上市公司的整合计划及控制、管理、运营标的公司所必要的人员和经验储备</w:t>
      </w:r>
      <w:bookmarkEnd w:id="121"/>
      <w:bookmarkEnd w:id="122"/>
    </w:p>
    <w:p w14:paraId="3CABE5DE" w14:textId="77777777" w:rsidR="006416B0" w:rsidRPr="00B4515A" w:rsidRDefault="005E58C1" w:rsidP="005860B4">
      <w:pPr>
        <w:pStyle w:val="004"/>
        <w:spacing w:before="120" w:after="120"/>
        <w:ind w:firstLine="482"/>
      </w:pPr>
      <w:bookmarkStart w:id="123" w:name="_Hlk76924158"/>
      <w:r w:rsidRPr="00B4515A">
        <w:t>1</w:t>
      </w:r>
      <w:r w:rsidRPr="00B4515A">
        <w:rPr>
          <w:rFonts w:hint="eastAsia"/>
        </w:rPr>
        <w:t>、整合计划</w:t>
      </w:r>
    </w:p>
    <w:p w14:paraId="299E375D" w14:textId="77777777" w:rsidR="006416B0" w:rsidRPr="00B4515A" w:rsidRDefault="005E58C1" w:rsidP="005860B4">
      <w:pPr>
        <w:pStyle w:val="005"/>
        <w:spacing w:before="120" w:after="120"/>
        <w:ind w:firstLine="480"/>
      </w:pPr>
      <w:r w:rsidRPr="00B4515A">
        <w:rPr>
          <w:rFonts w:hint="eastAsia"/>
        </w:rPr>
        <w:t>本次交易完成后，标的公司将成为公司的子公司，为了提高本次交易的整合效果，最大化有利于公司与标的公司在管理体制、业务、机构、人员与财务等方面的整合，公司制定了整合计划，具体如下：</w:t>
      </w:r>
    </w:p>
    <w:p w14:paraId="35BEA9BA" w14:textId="77777777" w:rsidR="006416B0" w:rsidRPr="00B4515A" w:rsidRDefault="005E58C1" w:rsidP="005860B4">
      <w:pPr>
        <w:pStyle w:val="005"/>
        <w:spacing w:before="120" w:after="120"/>
        <w:ind w:firstLine="480"/>
      </w:pPr>
      <w:r w:rsidRPr="00B4515A">
        <w:rPr>
          <w:rFonts w:hint="eastAsia"/>
        </w:rPr>
        <w:t>（</w:t>
      </w:r>
      <w:r w:rsidRPr="00B4515A">
        <w:t>1</w:t>
      </w:r>
      <w:r w:rsidRPr="00B4515A">
        <w:t>）管理体制的整合</w:t>
      </w:r>
    </w:p>
    <w:p w14:paraId="6E820E39" w14:textId="77777777" w:rsidR="006416B0" w:rsidRPr="00B4515A" w:rsidRDefault="005E58C1" w:rsidP="005860B4">
      <w:pPr>
        <w:pStyle w:val="005"/>
        <w:spacing w:before="120" w:after="120"/>
        <w:ind w:firstLine="480"/>
      </w:pPr>
      <w:r w:rsidRPr="00B4515A">
        <w:rPr>
          <w:rFonts w:hint="eastAsia"/>
        </w:rPr>
        <w:t>公司将根据《上市规则》《公司章程》等法律、法规和规章，按照法人治理结构的要求，结合标的公司大唐联诚的实际情况，建立涵盖标的公司的规范内部管理体制，加强对标的公司的管理与控制。在大唐联诚遵守相关法律、法规、规章、规范性文件外，公司也将通过法人治理结构的安排，推进其遵守上市公司相关管理制度，实现协同管理与发展。通过管理体制整合，能够保证上市公司对大唐联诚的有效控制，并促进上市公司与标的公司的有效融合。</w:t>
      </w:r>
    </w:p>
    <w:p w14:paraId="0E688FC1" w14:textId="77777777" w:rsidR="006416B0" w:rsidRPr="00B4515A" w:rsidRDefault="005E58C1" w:rsidP="005860B4">
      <w:pPr>
        <w:pStyle w:val="005"/>
        <w:spacing w:before="120" w:after="120"/>
        <w:ind w:firstLine="480"/>
      </w:pPr>
      <w:r w:rsidRPr="00B4515A">
        <w:rPr>
          <w:rFonts w:hint="eastAsia"/>
        </w:rPr>
        <w:t>（</w:t>
      </w:r>
      <w:r w:rsidRPr="00B4515A">
        <w:t>2</w:t>
      </w:r>
      <w:r w:rsidRPr="00B4515A">
        <w:t>）业务整合</w:t>
      </w:r>
    </w:p>
    <w:p w14:paraId="5C5F9A15" w14:textId="77777777" w:rsidR="006416B0" w:rsidRPr="00B4515A" w:rsidRDefault="005E58C1" w:rsidP="005860B4">
      <w:pPr>
        <w:pStyle w:val="005"/>
        <w:spacing w:before="120" w:after="120"/>
        <w:ind w:firstLine="480"/>
      </w:pPr>
      <w:r w:rsidRPr="00B4515A">
        <w:rPr>
          <w:rFonts w:hint="eastAsia"/>
        </w:rPr>
        <w:t>上市公司与大唐联诚在部分业务上，存在上下游合作关系，在保持标的公司的独立性、规范治理以及相关法律法规允许情况下，上市公司计划将标的公司大</w:t>
      </w:r>
      <w:r w:rsidRPr="00B4515A">
        <w:rPr>
          <w:rFonts w:hint="eastAsia"/>
        </w:rPr>
        <w:lastRenderedPageBreak/>
        <w:t>唐联诚的业务、市场开拓等方面的工作纳入到上市公司整体发展规划中，从而实现业务的进一步整合、提升市场竞争力。上市公司计划进行统一规划，通过发挥双方产业链协调、研发互补等方面的协同效应，实现双方优势互补，促进上市公司整体的业务拓展，扩大销售规模和盈利能力。</w:t>
      </w:r>
    </w:p>
    <w:p w14:paraId="5AA6EF98" w14:textId="77777777" w:rsidR="006416B0" w:rsidRPr="00B4515A" w:rsidRDefault="005E58C1" w:rsidP="005860B4">
      <w:pPr>
        <w:pStyle w:val="005"/>
        <w:spacing w:before="120" w:after="120"/>
        <w:ind w:firstLine="480"/>
      </w:pPr>
      <w:r w:rsidRPr="00B4515A">
        <w:rPr>
          <w:rFonts w:hint="eastAsia"/>
        </w:rPr>
        <w:t>（</w:t>
      </w:r>
      <w:r w:rsidRPr="00B4515A">
        <w:t>3</w:t>
      </w:r>
      <w:r w:rsidRPr="00B4515A">
        <w:t>）机构整合</w:t>
      </w:r>
    </w:p>
    <w:p w14:paraId="51427D7F" w14:textId="77777777" w:rsidR="006416B0" w:rsidRPr="00B4515A" w:rsidRDefault="005E58C1" w:rsidP="005860B4">
      <w:pPr>
        <w:pStyle w:val="005"/>
        <w:spacing w:before="120" w:after="120"/>
        <w:ind w:firstLine="480"/>
      </w:pPr>
      <w:r w:rsidRPr="00B4515A">
        <w:rPr>
          <w:rFonts w:hint="eastAsia"/>
        </w:rPr>
        <w:t>本次交易完成后，大唐联诚将在内部组织机构方面保持独立稳定，除执行大唐联诚规范的现有内部控制制度外，也要求其全面符合上市公司的内部控制要求，全面防范内部控制风险。上市公司也将进一步提升整体内部管理水平、改善公司经营水平，增强公司的竞争力。</w:t>
      </w:r>
    </w:p>
    <w:p w14:paraId="7ED564D3" w14:textId="77777777" w:rsidR="006416B0" w:rsidRPr="00B4515A" w:rsidRDefault="005E58C1" w:rsidP="005860B4">
      <w:pPr>
        <w:pStyle w:val="005"/>
        <w:spacing w:before="120" w:after="120"/>
        <w:ind w:firstLine="480"/>
      </w:pPr>
      <w:r w:rsidRPr="00B4515A">
        <w:rPr>
          <w:rFonts w:hint="eastAsia"/>
        </w:rPr>
        <w:t>（</w:t>
      </w:r>
      <w:r w:rsidRPr="00B4515A">
        <w:t>4</w:t>
      </w:r>
      <w:r w:rsidRPr="00B4515A">
        <w:t>）人员整合</w:t>
      </w:r>
    </w:p>
    <w:p w14:paraId="5B89DDE0" w14:textId="77777777" w:rsidR="006416B0" w:rsidRPr="00B4515A" w:rsidRDefault="005E58C1" w:rsidP="005860B4">
      <w:pPr>
        <w:pStyle w:val="005"/>
        <w:spacing w:before="120" w:after="120"/>
        <w:ind w:firstLine="480"/>
      </w:pPr>
      <w:r w:rsidRPr="00B4515A">
        <w:rPr>
          <w:rFonts w:hint="eastAsia"/>
        </w:rPr>
        <w:t>人员整合方面，按照人员与资产、业务相匹配的原则，标的公司在职员工劳动关系不变。为保证标的公司业务稳定性，上市公司将保持标的公司人员的延续性。</w:t>
      </w:r>
    </w:p>
    <w:p w14:paraId="5311B184" w14:textId="77777777" w:rsidR="006416B0" w:rsidRPr="00B4515A" w:rsidRDefault="005E58C1" w:rsidP="005860B4">
      <w:pPr>
        <w:pStyle w:val="005"/>
        <w:spacing w:before="120" w:after="120"/>
        <w:ind w:firstLine="480"/>
      </w:pPr>
      <w:r w:rsidRPr="00B4515A">
        <w:rPr>
          <w:rFonts w:hint="eastAsia"/>
        </w:rPr>
        <w:t>（</w:t>
      </w:r>
      <w:r w:rsidRPr="00B4515A">
        <w:t>5</w:t>
      </w:r>
      <w:r w:rsidRPr="00B4515A">
        <w:t>）财务整合</w:t>
      </w:r>
    </w:p>
    <w:p w14:paraId="68D3F84E" w14:textId="77777777" w:rsidR="006416B0" w:rsidRPr="00B4515A" w:rsidRDefault="005E58C1" w:rsidP="005860B4">
      <w:pPr>
        <w:pStyle w:val="005"/>
        <w:spacing w:before="120" w:after="120"/>
        <w:ind w:firstLine="480"/>
      </w:pPr>
      <w:r w:rsidRPr="00B4515A">
        <w:rPr>
          <w:rFonts w:hint="eastAsia"/>
        </w:rPr>
        <w:t>本次交易完成后，标的公司整体上纳入上市公司的财务管理体系，接受监督和管理，遵照执行上市公司财务制度和管理要求，并定期向上市公司报送财务报告和相关财务资料。公司将按照上市公司治理要求进行整体财务管控，加强内部控制，控制标的公司的财务风险。</w:t>
      </w:r>
    </w:p>
    <w:p w14:paraId="26E9C2FF" w14:textId="77777777" w:rsidR="006416B0" w:rsidRPr="00B4515A" w:rsidRDefault="005E58C1" w:rsidP="005860B4">
      <w:pPr>
        <w:pStyle w:val="005"/>
        <w:spacing w:before="120" w:after="120"/>
        <w:ind w:firstLine="480"/>
      </w:pPr>
      <w:r w:rsidRPr="00B4515A">
        <w:rPr>
          <w:rFonts w:hint="eastAsia"/>
        </w:rPr>
        <w:t>上市公司是国内第一家电信类科研院所改制上市的公司，自</w:t>
      </w:r>
      <w:r w:rsidRPr="00B4515A">
        <w:t>1998</w:t>
      </w:r>
      <w:r w:rsidRPr="00B4515A">
        <w:rPr>
          <w:rFonts w:hint="eastAsia"/>
        </w:rPr>
        <w:t>年上市至今，经过多年发展，已根据法律法规、规范性文件的要求，建立健全了法人治理结构，制定了一系列内控制度并严格执行。上市公司董事、监事及高级管理人员普遍具有丰富的经营管理经验和深厚的行业技术背景，熟悉信息通信产业的业务特点和发展趋势，在销售、研发及人力资源等方面管理经验丰富。公司在内部组织架构上，设立了健全的总部机构，相关总部管理人员工作经验丰富。公司内部专业结构合理，能够对上市公司及其子公司实施有效控制、管理。</w:t>
      </w:r>
    </w:p>
    <w:p w14:paraId="70EA715F" w14:textId="77777777" w:rsidR="006416B0" w:rsidRPr="00B4515A" w:rsidRDefault="005E58C1" w:rsidP="005860B4">
      <w:pPr>
        <w:pStyle w:val="005"/>
        <w:spacing w:before="120" w:after="120"/>
        <w:ind w:firstLine="480"/>
      </w:pPr>
      <w:r w:rsidRPr="00B4515A">
        <w:rPr>
          <w:rFonts w:hint="eastAsia"/>
        </w:rPr>
        <w:t>上市公司也将保持标的公司大唐联诚现有核心管理团队的稳定，保持标的公司核心业务的正常运转，支持标的公司根据整体发展战略发展自身业务并开展内部合作。上市公司将加强对标的公司相关人员以上市公司规范运营管理为核心内</w:t>
      </w:r>
      <w:r w:rsidRPr="00B4515A">
        <w:rPr>
          <w:rFonts w:hint="eastAsia"/>
        </w:rPr>
        <w:lastRenderedPageBreak/>
        <w:t>容的培训，建立和完善长效培训机制，同时重视员工的自我感受，增强标的公司员工对上市公司的文化认同感和规范运营意识。</w:t>
      </w:r>
      <w:r w:rsidRPr="00B4515A">
        <w:t xml:space="preserve"> </w:t>
      </w:r>
    </w:p>
    <w:p w14:paraId="6D0C4750" w14:textId="77777777" w:rsidR="006416B0" w:rsidRPr="00B4515A" w:rsidRDefault="005E58C1" w:rsidP="005860B4">
      <w:pPr>
        <w:pStyle w:val="005"/>
        <w:spacing w:before="120" w:after="120"/>
        <w:ind w:firstLine="480"/>
      </w:pPr>
      <w:r w:rsidRPr="00B4515A">
        <w:rPr>
          <w:rFonts w:hint="eastAsia"/>
        </w:rPr>
        <w:t>综上，上市公司具备控制、管理、运营标的公司所具备的人员和经验储备，收购标的公司后能够对其实施有效控制。</w:t>
      </w:r>
      <w:bookmarkEnd w:id="123"/>
    </w:p>
    <w:p w14:paraId="0B18C75F" w14:textId="77777777" w:rsidR="006416B0" w:rsidRPr="00B4515A" w:rsidRDefault="006416B0">
      <w:pPr>
        <w:spacing w:beforeLines="50" w:before="120" w:afterLines="50" w:after="120" w:line="360" w:lineRule="auto"/>
        <w:ind w:firstLineChars="200" w:firstLine="480"/>
        <w:jc w:val="both"/>
        <w:rPr>
          <w:rFonts w:ascii="Times New Roman" w:hAnsi="Times New Roman" w:cs="Times New Roman"/>
        </w:rPr>
      </w:pPr>
    </w:p>
    <w:p w14:paraId="6B95E772" w14:textId="77777777" w:rsidR="006416B0" w:rsidRPr="00B4515A" w:rsidRDefault="005E58C1" w:rsidP="002B0582">
      <w:pPr>
        <w:pStyle w:val="001"/>
        <w:spacing w:before="360" w:after="360"/>
      </w:pPr>
      <w:bookmarkStart w:id="124" w:name="_Toc65492073"/>
      <w:bookmarkStart w:id="125" w:name="_Toc80960522"/>
      <w:bookmarkStart w:id="126" w:name="_Toc531619032"/>
      <w:r w:rsidRPr="00B4515A">
        <w:rPr>
          <w:rFonts w:hint="eastAsia"/>
        </w:rPr>
        <w:lastRenderedPageBreak/>
        <w:t>第三节</w:t>
      </w:r>
      <w:bookmarkStart w:id="127" w:name="_Hlk530005258"/>
      <w:r w:rsidRPr="00B4515A">
        <w:t xml:space="preserve"> </w:t>
      </w:r>
      <w:r w:rsidRPr="00B4515A">
        <w:rPr>
          <w:rFonts w:hint="eastAsia"/>
        </w:rPr>
        <w:t>交易对方基本情况</w:t>
      </w:r>
      <w:bookmarkEnd w:id="124"/>
      <w:bookmarkEnd w:id="125"/>
      <w:bookmarkEnd w:id="127"/>
    </w:p>
    <w:p w14:paraId="70DCEC62" w14:textId="77777777" w:rsidR="006416B0" w:rsidRPr="00B4515A" w:rsidRDefault="005E58C1" w:rsidP="005860B4">
      <w:pPr>
        <w:pStyle w:val="002"/>
        <w:spacing w:before="120" w:after="120"/>
        <w:ind w:firstLine="562"/>
      </w:pPr>
      <w:bookmarkStart w:id="128" w:name="_Toc65492074"/>
      <w:bookmarkStart w:id="129" w:name="_Toc80960523"/>
      <w:r w:rsidRPr="00B4515A">
        <w:rPr>
          <w:rFonts w:hint="eastAsia"/>
        </w:rPr>
        <w:t>一、</w:t>
      </w:r>
      <w:bookmarkEnd w:id="128"/>
      <w:r w:rsidRPr="00B4515A">
        <w:rPr>
          <w:rFonts w:hint="eastAsia"/>
        </w:rPr>
        <w:t>交易对方概况</w:t>
      </w:r>
      <w:bookmarkEnd w:id="129"/>
    </w:p>
    <w:p w14:paraId="66656210" w14:textId="77777777" w:rsidR="006416B0" w:rsidRPr="00B4515A" w:rsidRDefault="005E58C1" w:rsidP="005860B4">
      <w:pPr>
        <w:pStyle w:val="005"/>
        <w:spacing w:before="120" w:after="120"/>
        <w:ind w:firstLine="480"/>
      </w:pPr>
      <w:bookmarkStart w:id="130" w:name="_Hlk76924276"/>
      <w:r w:rsidRPr="00B4515A">
        <w:rPr>
          <w:rFonts w:hint="eastAsia"/>
        </w:rPr>
        <w:t>本次交易，上市公司拟发行股份购买大唐联诚</w:t>
      </w:r>
      <w:r w:rsidRPr="00B4515A">
        <w:t>95.001%</w:t>
      </w:r>
      <w:r w:rsidRPr="00B4515A">
        <w:rPr>
          <w:rFonts w:hint="eastAsia"/>
        </w:rPr>
        <w:t>股权并募集配套资金。</w:t>
      </w:r>
    </w:p>
    <w:p w14:paraId="5A6FE065" w14:textId="65CE295C" w:rsidR="006416B0" w:rsidRPr="00B4515A" w:rsidRDefault="005E58C1" w:rsidP="005860B4">
      <w:pPr>
        <w:pStyle w:val="005"/>
        <w:spacing w:before="120" w:after="120"/>
        <w:ind w:firstLine="480"/>
      </w:pPr>
      <w:r w:rsidRPr="00B4515A">
        <w:rPr>
          <w:rFonts w:hint="eastAsia"/>
        </w:rPr>
        <w:t>本次交易的交易对方包括发行股份购买资产的交易对方及募集配套资金的认购对象。其中，发行股份购买资产的交易对方包括电信科研院、大唐控股、</w:t>
      </w:r>
      <w:r w:rsidR="00252376" w:rsidRPr="00B4515A">
        <w:rPr>
          <w:rFonts w:hint="eastAsia"/>
        </w:rPr>
        <w:t>长江移动基金</w:t>
      </w:r>
      <w:r w:rsidRPr="00B4515A">
        <w:rPr>
          <w:rFonts w:hint="eastAsia"/>
        </w:rPr>
        <w:t>、结构调整基金、金融街资本，募集配套资金的认购对象为中国信科集团。</w:t>
      </w:r>
      <w:bookmarkEnd w:id="130"/>
    </w:p>
    <w:p w14:paraId="110061B4" w14:textId="77777777" w:rsidR="006416B0" w:rsidRPr="00B4515A" w:rsidRDefault="005E58C1" w:rsidP="005860B4">
      <w:pPr>
        <w:pStyle w:val="002"/>
        <w:spacing w:before="120" w:after="120"/>
        <w:ind w:firstLine="562"/>
      </w:pPr>
      <w:bookmarkStart w:id="131" w:name="_Toc80960524"/>
      <w:r w:rsidRPr="00B4515A">
        <w:rPr>
          <w:rFonts w:hint="eastAsia"/>
        </w:rPr>
        <w:t>二、发行股份购买资产交易对方的具体情况</w:t>
      </w:r>
      <w:bookmarkEnd w:id="131"/>
    </w:p>
    <w:p w14:paraId="56B0F627" w14:textId="77777777" w:rsidR="006416B0" w:rsidRPr="00B4515A" w:rsidRDefault="005E58C1" w:rsidP="005860B4">
      <w:pPr>
        <w:pStyle w:val="003"/>
        <w:spacing w:before="120"/>
        <w:ind w:firstLine="482"/>
        <w:rPr>
          <w:color w:val="000000" w:themeColor="text1"/>
        </w:rPr>
      </w:pPr>
      <w:bookmarkStart w:id="132" w:name="OLE_LINK1"/>
      <w:bookmarkStart w:id="133" w:name="OLE_LINK2"/>
      <w:r w:rsidRPr="00B4515A">
        <w:rPr>
          <w:rFonts w:hint="eastAsia"/>
          <w:color w:val="000000" w:themeColor="text1"/>
        </w:rPr>
        <w:t>（一）</w:t>
      </w:r>
      <w:r w:rsidRPr="00B4515A">
        <w:rPr>
          <w:rFonts w:hint="eastAsia"/>
        </w:rPr>
        <w:t>电信科研院</w:t>
      </w:r>
    </w:p>
    <w:p w14:paraId="5DE0261C" w14:textId="77777777" w:rsidR="006416B0" w:rsidRPr="00B4515A" w:rsidRDefault="005E58C1" w:rsidP="005860B4">
      <w:pPr>
        <w:pStyle w:val="004"/>
        <w:spacing w:before="120" w:after="120"/>
        <w:ind w:firstLine="482"/>
      </w:pPr>
      <w:r w:rsidRPr="00B4515A">
        <w:t>1</w:t>
      </w:r>
      <w:r w:rsidRPr="00B4515A">
        <w:rPr>
          <w:rFonts w:hint="eastAsia"/>
        </w:rPr>
        <w:t>、基本情况</w:t>
      </w:r>
    </w:p>
    <w:p w14:paraId="7B22E83E" w14:textId="4A931FB5" w:rsidR="006416B0" w:rsidRPr="00B4515A" w:rsidRDefault="005E58C1" w:rsidP="005860B4">
      <w:pPr>
        <w:pStyle w:val="005"/>
        <w:spacing w:before="120" w:after="120"/>
        <w:ind w:firstLine="480"/>
        <w:rPr>
          <w:b/>
          <w:color w:val="000000" w:themeColor="text1"/>
        </w:rPr>
      </w:pPr>
      <w:r w:rsidRPr="00B4515A">
        <w:rPr>
          <w:rFonts w:hint="eastAsia"/>
          <w:color w:val="000000"/>
        </w:rPr>
        <w:t>电信科研院基本情况详见本报告书</w:t>
      </w:r>
      <w:r w:rsidRPr="00B4515A">
        <w:rPr>
          <w:rFonts w:ascii="宋体" w:hAnsi="宋体" w:hint="eastAsia"/>
        </w:rPr>
        <w:t>“</w:t>
      </w:r>
      <w:r w:rsidRPr="00B4515A">
        <w:rPr>
          <w:rFonts w:hint="eastAsia"/>
          <w:color w:val="000000"/>
        </w:rPr>
        <w:t>第</w:t>
      </w:r>
      <w:r w:rsidRPr="00B4515A">
        <w:rPr>
          <w:rFonts w:hint="eastAsia"/>
        </w:rPr>
        <w:t>二</w:t>
      </w:r>
      <w:r w:rsidRPr="00B4515A">
        <w:rPr>
          <w:rFonts w:hint="eastAsia"/>
          <w:color w:val="000000"/>
        </w:rPr>
        <w:t>节</w:t>
      </w:r>
      <w:r w:rsidRPr="00B4515A">
        <w:rPr>
          <w:rFonts w:hint="eastAsia"/>
        </w:rPr>
        <w:t xml:space="preserve"> </w:t>
      </w:r>
      <w:r w:rsidRPr="00B4515A">
        <w:rPr>
          <w:rFonts w:hint="eastAsia"/>
        </w:rPr>
        <w:t>上市公司</w:t>
      </w:r>
      <w:r w:rsidRPr="00B4515A">
        <w:rPr>
          <w:rFonts w:hint="eastAsia"/>
          <w:color w:val="000000"/>
        </w:rPr>
        <w:t>基本情况</w:t>
      </w:r>
      <w:r w:rsidRPr="00B4515A">
        <w:rPr>
          <w:rFonts w:ascii="宋体" w:hAnsi="宋体" w:hint="eastAsia"/>
        </w:rPr>
        <w:t>”</w:t>
      </w:r>
      <w:r w:rsidRPr="00B4515A">
        <w:rPr>
          <w:rFonts w:hint="eastAsia"/>
          <w:color w:val="000000"/>
        </w:rPr>
        <w:t>之</w:t>
      </w:r>
      <w:r w:rsidRPr="00B4515A">
        <w:rPr>
          <w:rFonts w:ascii="宋体" w:hAnsi="宋体" w:hint="eastAsia"/>
        </w:rPr>
        <w:t>“</w:t>
      </w:r>
      <w:r w:rsidRPr="00B4515A">
        <w:rPr>
          <w:rFonts w:hint="eastAsia"/>
        </w:rPr>
        <w:t>八</w:t>
      </w:r>
      <w:r w:rsidRPr="00B4515A">
        <w:rPr>
          <w:rFonts w:hint="eastAsia"/>
          <w:color w:val="000000"/>
        </w:rPr>
        <w:t>、</w:t>
      </w:r>
      <w:r w:rsidRPr="00B4515A">
        <w:rPr>
          <w:rFonts w:hint="eastAsia"/>
        </w:rPr>
        <w:t>控股股东及实际控制人情况</w:t>
      </w:r>
      <w:r w:rsidRPr="00B4515A">
        <w:rPr>
          <w:rFonts w:ascii="宋体" w:hAnsi="宋体" w:hint="eastAsia"/>
        </w:rPr>
        <w:t>”</w:t>
      </w:r>
      <w:r w:rsidRPr="00B4515A">
        <w:rPr>
          <w:rFonts w:hint="eastAsia"/>
          <w:color w:val="000000"/>
        </w:rPr>
        <w:t>之</w:t>
      </w:r>
      <w:r w:rsidRPr="00B4515A">
        <w:rPr>
          <w:rFonts w:ascii="宋体" w:hAnsi="宋体" w:hint="eastAsia"/>
        </w:rPr>
        <w:t>“</w:t>
      </w:r>
      <w:r w:rsidRPr="00B4515A">
        <w:rPr>
          <w:rFonts w:hint="eastAsia"/>
          <w:color w:val="000000"/>
        </w:rPr>
        <w:t>（一）</w:t>
      </w:r>
      <w:r w:rsidRPr="00B4515A">
        <w:rPr>
          <w:rFonts w:hint="eastAsia"/>
        </w:rPr>
        <w:t>控股股东</w:t>
      </w:r>
      <w:r w:rsidRPr="00B4515A">
        <w:rPr>
          <w:rFonts w:ascii="宋体" w:hAnsi="宋体" w:hint="eastAsia"/>
        </w:rPr>
        <w:t>”</w:t>
      </w:r>
      <w:r w:rsidRPr="00B4515A">
        <w:rPr>
          <w:rFonts w:hint="eastAsia"/>
        </w:rPr>
        <w:t>。</w:t>
      </w:r>
    </w:p>
    <w:bookmarkEnd w:id="126"/>
    <w:bookmarkEnd w:id="132"/>
    <w:bookmarkEnd w:id="133"/>
    <w:p w14:paraId="05349E32" w14:textId="77777777" w:rsidR="006416B0" w:rsidRPr="00B4515A" w:rsidRDefault="005E58C1" w:rsidP="005860B4">
      <w:pPr>
        <w:pStyle w:val="004"/>
        <w:spacing w:before="120" w:after="120"/>
        <w:ind w:firstLine="482"/>
      </w:pPr>
      <w:r w:rsidRPr="00B4515A">
        <w:t>2</w:t>
      </w:r>
      <w:r w:rsidRPr="00B4515A">
        <w:rPr>
          <w:rFonts w:hint="eastAsia"/>
        </w:rPr>
        <w:t>、历史沿革</w:t>
      </w:r>
    </w:p>
    <w:p w14:paraId="4EA58774" w14:textId="77777777" w:rsidR="006416B0" w:rsidRPr="00B4515A" w:rsidRDefault="005E58C1" w:rsidP="005860B4">
      <w:pPr>
        <w:pStyle w:val="005"/>
        <w:spacing w:before="120" w:after="120"/>
        <w:ind w:firstLine="480"/>
      </w:pPr>
      <w:r w:rsidRPr="00B4515A">
        <w:rPr>
          <w:rFonts w:hint="eastAsia"/>
        </w:rPr>
        <w:t>电信科研院由电信科学技术研究院改制而来，电信科学技术研究院的前身为</w:t>
      </w:r>
      <w:r w:rsidRPr="00B4515A">
        <w:t>信息产业部电信</w:t>
      </w:r>
      <w:r w:rsidRPr="00B4515A">
        <w:rPr>
          <w:bCs/>
          <w:color w:val="000000" w:themeColor="text1"/>
        </w:rPr>
        <w:t>科学技术</w:t>
      </w:r>
      <w:r w:rsidRPr="00B4515A">
        <w:t>研究院</w:t>
      </w:r>
      <w:r w:rsidRPr="00B4515A">
        <w:rPr>
          <w:rFonts w:hint="eastAsia"/>
        </w:rPr>
        <w:t>。</w:t>
      </w:r>
    </w:p>
    <w:p w14:paraId="3F4A5C2F" w14:textId="77777777" w:rsidR="006416B0" w:rsidRPr="00B4515A" w:rsidRDefault="005E58C1" w:rsidP="005860B4">
      <w:pPr>
        <w:pStyle w:val="005"/>
        <w:spacing w:before="120" w:after="120"/>
        <w:ind w:firstLine="480"/>
      </w:pPr>
      <w:r w:rsidRPr="00B4515A">
        <w:t>2000</w:t>
      </w:r>
      <w:r w:rsidRPr="00B4515A">
        <w:t>年</w:t>
      </w:r>
      <w:r w:rsidRPr="00B4515A">
        <w:t>7</w:t>
      </w:r>
      <w:r w:rsidRPr="00B4515A">
        <w:t>月</w:t>
      </w:r>
      <w:r w:rsidRPr="00B4515A">
        <w:t>11</w:t>
      </w:r>
      <w:r w:rsidRPr="00B4515A">
        <w:t>日，科学技术部、中央机构编制委员会办公室、财政部、劳动和社会保障部、国家税务总局、国家工商行政管理局联合发布《关于印发建设部等</w:t>
      </w:r>
      <w:r w:rsidRPr="00B4515A">
        <w:t>11</w:t>
      </w:r>
      <w:r w:rsidRPr="00B4515A">
        <w:t>个部门（单位）所属</w:t>
      </w:r>
      <w:r w:rsidRPr="00B4515A">
        <w:t>134</w:t>
      </w:r>
      <w:r w:rsidRPr="00B4515A">
        <w:t>个科研机构转制方案的通知》（国科发政字</w:t>
      </w:r>
      <w:r w:rsidRPr="00B4515A">
        <w:rPr>
          <w:rFonts w:hint="eastAsia"/>
        </w:rPr>
        <w:t>［</w:t>
      </w:r>
      <w:r w:rsidRPr="00B4515A">
        <w:t>2000</w:t>
      </w:r>
      <w:r w:rsidRPr="00B4515A">
        <w:rPr>
          <w:rFonts w:hint="eastAsia"/>
        </w:rPr>
        <w:t>］</w:t>
      </w:r>
      <w:r w:rsidRPr="00B4515A">
        <w:t>300</w:t>
      </w:r>
      <w:r w:rsidRPr="00B4515A">
        <w:t>号），按照《国务院办公厅转发科技部等部门关于深化科研机构管理体质改革实施意见的通知》（国办发［</w:t>
      </w:r>
      <w:r w:rsidRPr="00B4515A">
        <w:t>2000</w:t>
      </w:r>
      <w:r w:rsidRPr="00B4515A">
        <w:t>］</w:t>
      </w:r>
      <w:r w:rsidRPr="00B4515A">
        <w:t>38</w:t>
      </w:r>
      <w:r w:rsidRPr="00B4515A">
        <w:t>号）的要求，信息产业部（不含电子部分院所）的转制方案已报国务院备案</w:t>
      </w:r>
      <w:r w:rsidRPr="00B4515A">
        <w:rPr>
          <w:rFonts w:hint="eastAsia"/>
        </w:rPr>
        <w:t>，</w:t>
      </w:r>
      <w:r w:rsidRPr="00B4515A">
        <w:t>其中，信息产业部电信科学技术研究院转为中央直属的科技型全民所有制企业。</w:t>
      </w:r>
      <w:r w:rsidRPr="00B4515A">
        <w:t>2001</w:t>
      </w:r>
      <w:r w:rsidRPr="00B4515A">
        <w:t>年</w:t>
      </w:r>
      <w:r w:rsidRPr="00B4515A">
        <w:t>1</w:t>
      </w:r>
      <w:r w:rsidRPr="00B4515A">
        <w:t>月</w:t>
      </w:r>
      <w:r w:rsidRPr="00B4515A">
        <w:t>20</w:t>
      </w:r>
      <w:r w:rsidRPr="00B4515A">
        <w:t>日</w:t>
      </w:r>
      <w:r w:rsidRPr="00B4515A">
        <w:rPr>
          <w:rFonts w:hint="eastAsia"/>
        </w:rPr>
        <w:t>电信科学技术研究院</w:t>
      </w:r>
      <w:r w:rsidRPr="00B4515A">
        <w:t>设立，设立时的注册资本为</w:t>
      </w:r>
      <w:r w:rsidRPr="00B4515A">
        <w:t>52,327</w:t>
      </w:r>
      <w:r w:rsidRPr="00B4515A">
        <w:t>万元，出资人为国务院，经济性质为全民所有制，主管机关为</w:t>
      </w:r>
      <w:r w:rsidRPr="00B4515A">
        <w:rPr>
          <w:bCs/>
          <w:color w:val="000000" w:themeColor="text1"/>
        </w:rPr>
        <w:t>中共中央企业工作委员会</w:t>
      </w:r>
      <w:r w:rsidRPr="00B4515A">
        <w:t>。</w:t>
      </w:r>
    </w:p>
    <w:p w14:paraId="22BF5842" w14:textId="77777777" w:rsidR="006416B0" w:rsidRPr="00B4515A" w:rsidRDefault="005E58C1" w:rsidP="005860B4">
      <w:pPr>
        <w:pStyle w:val="005"/>
        <w:spacing w:before="120" w:after="120"/>
        <w:ind w:firstLine="480"/>
      </w:pPr>
      <w:r w:rsidRPr="00B4515A">
        <w:t>2010</w:t>
      </w:r>
      <w:r w:rsidRPr="00B4515A">
        <w:t>年</w:t>
      </w:r>
      <w:r w:rsidRPr="00B4515A">
        <w:t>8</w:t>
      </w:r>
      <w:r w:rsidRPr="00B4515A">
        <w:t>月，根据</w:t>
      </w:r>
      <w:r w:rsidRPr="00B4515A">
        <w:rPr>
          <w:rFonts w:hint="eastAsia"/>
        </w:rPr>
        <w:t>财政部下达的相关通知</w:t>
      </w:r>
      <w:r w:rsidRPr="00B4515A">
        <w:t>，国务院追加投资</w:t>
      </w:r>
      <w:r w:rsidRPr="00B4515A">
        <w:t>500,000</w:t>
      </w:r>
      <w:r w:rsidRPr="00B4515A">
        <w:t>万元</w:t>
      </w:r>
      <w:r w:rsidRPr="00B4515A">
        <w:rPr>
          <w:rFonts w:hint="eastAsia"/>
        </w:rPr>
        <w:t>，</w:t>
      </w:r>
      <w:r w:rsidRPr="00B4515A">
        <w:rPr>
          <w:rFonts w:hint="eastAsia"/>
        </w:rPr>
        <w:lastRenderedPageBreak/>
        <w:t>电信科学技术</w:t>
      </w:r>
      <w:r w:rsidRPr="00B4515A">
        <w:rPr>
          <w:rFonts w:hint="eastAsia"/>
          <w:bCs/>
          <w:color w:val="000000" w:themeColor="text1"/>
        </w:rPr>
        <w:t>研究院</w:t>
      </w:r>
      <w:r w:rsidRPr="00B4515A">
        <w:t>注册资金由</w:t>
      </w:r>
      <w:r w:rsidRPr="00B4515A">
        <w:t>52,327</w:t>
      </w:r>
      <w:r w:rsidRPr="00B4515A">
        <w:t>万元变更为</w:t>
      </w:r>
      <w:r w:rsidRPr="00B4515A">
        <w:t>552,327</w:t>
      </w:r>
      <w:r w:rsidRPr="00B4515A">
        <w:t>万元</w:t>
      </w:r>
      <w:r w:rsidRPr="00B4515A">
        <w:rPr>
          <w:rFonts w:hint="eastAsia"/>
        </w:rPr>
        <w:t>。</w:t>
      </w:r>
    </w:p>
    <w:p w14:paraId="21A9A602" w14:textId="77777777" w:rsidR="006416B0" w:rsidRPr="00B4515A" w:rsidRDefault="005E58C1" w:rsidP="005860B4">
      <w:pPr>
        <w:pStyle w:val="005"/>
        <w:spacing w:before="120" w:after="120"/>
        <w:ind w:firstLine="480"/>
      </w:pPr>
      <w:r w:rsidRPr="00B4515A">
        <w:t>2012</w:t>
      </w:r>
      <w:r w:rsidRPr="00B4515A">
        <w:t>年</w:t>
      </w:r>
      <w:r w:rsidRPr="00B4515A">
        <w:t>2</w:t>
      </w:r>
      <w:r w:rsidRPr="00B4515A">
        <w:t>月，</w:t>
      </w:r>
      <w:r w:rsidRPr="00B4515A">
        <w:rPr>
          <w:rFonts w:hint="eastAsia"/>
        </w:rPr>
        <w:t>根据国家发展改革委、工业和信息化部下达的相关通知</w:t>
      </w:r>
      <w:r w:rsidRPr="00B4515A">
        <w:t>，国务院追加投资</w:t>
      </w:r>
      <w:r w:rsidRPr="00B4515A">
        <w:rPr>
          <w:bCs/>
          <w:color w:val="000000" w:themeColor="text1"/>
        </w:rPr>
        <w:t>100</w:t>
      </w:r>
      <w:r w:rsidRPr="00B4515A">
        <w:t>,000</w:t>
      </w:r>
      <w:r w:rsidRPr="00B4515A">
        <w:t>万元，</w:t>
      </w:r>
      <w:r w:rsidRPr="00B4515A">
        <w:rPr>
          <w:rFonts w:hint="eastAsia"/>
        </w:rPr>
        <w:t>电信科学技术研究院</w:t>
      </w:r>
      <w:r w:rsidRPr="00B4515A">
        <w:t>注册资金由</w:t>
      </w:r>
      <w:r w:rsidRPr="00B4515A">
        <w:t>552,327</w:t>
      </w:r>
      <w:r w:rsidRPr="00B4515A">
        <w:t>万元变更为</w:t>
      </w:r>
      <w:r w:rsidRPr="00B4515A">
        <w:t>652,327</w:t>
      </w:r>
      <w:r w:rsidRPr="00B4515A">
        <w:t>万元。</w:t>
      </w:r>
    </w:p>
    <w:p w14:paraId="04525FE4" w14:textId="77777777" w:rsidR="006416B0" w:rsidRPr="00B4515A" w:rsidRDefault="005E58C1" w:rsidP="005860B4">
      <w:pPr>
        <w:pStyle w:val="005"/>
        <w:spacing w:before="120" w:after="120"/>
        <w:ind w:firstLine="480"/>
      </w:pPr>
      <w:r w:rsidRPr="00B4515A">
        <w:t>2013</w:t>
      </w:r>
      <w:r w:rsidRPr="00B4515A">
        <w:t>年</w:t>
      </w:r>
      <w:r w:rsidRPr="00B4515A">
        <w:t>10</w:t>
      </w:r>
      <w:r w:rsidRPr="00B4515A">
        <w:t>月，根据</w:t>
      </w:r>
      <w:r w:rsidRPr="00B4515A">
        <w:rPr>
          <w:rFonts w:hint="eastAsia"/>
        </w:rPr>
        <w:t>财政部、国家发展改革委、工业和信息化部及国务院国资委下达的相关通知</w:t>
      </w:r>
      <w:r w:rsidRPr="00B4515A">
        <w:t>，</w:t>
      </w:r>
      <w:r w:rsidRPr="00B4515A">
        <w:rPr>
          <w:rFonts w:hint="eastAsia"/>
        </w:rPr>
        <w:t>电信科学技术研究院</w:t>
      </w:r>
      <w:r w:rsidRPr="00B4515A">
        <w:t>注册资金由</w:t>
      </w:r>
      <w:r w:rsidRPr="00B4515A">
        <w:t>652,327</w:t>
      </w:r>
      <w:r w:rsidRPr="00B4515A">
        <w:t>万元变更为</w:t>
      </w:r>
      <w:r w:rsidRPr="00B4515A">
        <w:t>7,430,250,000</w:t>
      </w:r>
      <w:r w:rsidRPr="00B4515A">
        <w:t>元。</w:t>
      </w:r>
    </w:p>
    <w:p w14:paraId="6735540A" w14:textId="77777777" w:rsidR="006416B0" w:rsidRPr="00B4515A" w:rsidRDefault="005E58C1" w:rsidP="005860B4">
      <w:pPr>
        <w:pStyle w:val="005"/>
        <w:spacing w:before="120" w:after="120"/>
        <w:ind w:firstLine="480"/>
      </w:pPr>
      <w:r w:rsidRPr="00B4515A">
        <w:t>2014</w:t>
      </w:r>
      <w:r w:rsidRPr="00B4515A">
        <w:t>年</w:t>
      </w:r>
      <w:r w:rsidRPr="00B4515A">
        <w:t>7</w:t>
      </w:r>
      <w:r w:rsidRPr="00B4515A">
        <w:t>月，根据</w:t>
      </w:r>
      <w:r w:rsidRPr="00B4515A">
        <w:rPr>
          <w:rFonts w:hint="eastAsia"/>
        </w:rPr>
        <w:t>财政部通知及国务院国资委审批</w:t>
      </w:r>
      <w:r w:rsidRPr="00B4515A">
        <w:t>，</w:t>
      </w:r>
      <w:r w:rsidRPr="00B4515A">
        <w:rPr>
          <w:rFonts w:hint="eastAsia"/>
        </w:rPr>
        <w:t>电信科学技术研究院</w:t>
      </w:r>
      <w:r w:rsidRPr="00B4515A">
        <w:t>注册资金由</w:t>
      </w:r>
      <w:r w:rsidRPr="00B4515A">
        <w:t>7,430,250,000</w:t>
      </w:r>
      <w:r w:rsidRPr="00B4515A">
        <w:t>元变更为</w:t>
      </w:r>
      <w:r w:rsidRPr="00B4515A">
        <w:t>7,718,820,370.82</w:t>
      </w:r>
      <w:r w:rsidRPr="00B4515A">
        <w:t>元。</w:t>
      </w:r>
    </w:p>
    <w:p w14:paraId="03E5F5E7" w14:textId="3707C23B" w:rsidR="006416B0" w:rsidRPr="00B4515A" w:rsidRDefault="005E58C1" w:rsidP="005860B4">
      <w:pPr>
        <w:pStyle w:val="005"/>
        <w:spacing w:before="120" w:after="120"/>
        <w:ind w:firstLine="480"/>
      </w:pPr>
      <w:r w:rsidRPr="00B4515A">
        <w:t>2017</w:t>
      </w:r>
      <w:r w:rsidRPr="00B4515A">
        <w:rPr>
          <w:rFonts w:hint="eastAsia"/>
        </w:rPr>
        <w:t>年</w:t>
      </w:r>
      <w:r w:rsidRPr="00B4515A">
        <w:t>11</w:t>
      </w:r>
      <w:r w:rsidRPr="00B4515A">
        <w:rPr>
          <w:rFonts w:hint="eastAsia"/>
        </w:rPr>
        <w:t>月</w:t>
      </w:r>
      <w:r w:rsidRPr="00B4515A">
        <w:t>16</w:t>
      </w:r>
      <w:r w:rsidRPr="00B4515A">
        <w:rPr>
          <w:rFonts w:hint="eastAsia"/>
        </w:rPr>
        <w:t>日，国务院国资委出具《关于电信</w:t>
      </w:r>
      <w:r w:rsidR="00830A35" w:rsidRPr="00B4515A">
        <w:rPr>
          <w:rFonts w:hint="eastAsia"/>
        </w:rPr>
        <w:t>科学技术研究院</w:t>
      </w:r>
      <w:r w:rsidRPr="00B4515A">
        <w:rPr>
          <w:rFonts w:hint="eastAsia"/>
        </w:rPr>
        <w:t>改制有关事项的批复》（国资改革［</w:t>
      </w:r>
      <w:r w:rsidRPr="00B4515A">
        <w:t>2017</w:t>
      </w:r>
      <w:r w:rsidRPr="00B4515A">
        <w:rPr>
          <w:rFonts w:hint="eastAsia"/>
        </w:rPr>
        <w:t>］</w:t>
      </w:r>
      <w:r w:rsidRPr="00B4515A">
        <w:t>1186</w:t>
      </w:r>
      <w:r w:rsidRPr="00B4515A">
        <w:rPr>
          <w:rFonts w:hint="eastAsia"/>
        </w:rPr>
        <w:t>号），同意电信科学技术研究院改制方案，由全民所有制改制为国有独资公司，改制后的公司名称为</w:t>
      </w:r>
      <w:r w:rsidRPr="00B4515A">
        <w:rPr>
          <w:rFonts w:ascii="宋体" w:hAnsi="宋体" w:hint="eastAsia"/>
        </w:rPr>
        <w:t>“</w:t>
      </w:r>
      <w:r w:rsidRPr="00B4515A">
        <w:rPr>
          <w:rFonts w:hint="eastAsia"/>
        </w:rPr>
        <w:t>电信科学技术研究院有限公司</w:t>
      </w:r>
      <w:r w:rsidRPr="00B4515A">
        <w:rPr>
          <w:rFonts w:ascii="宋体" w:hAnsi="宋体" w:hint="eastAsia"/>
        </w:rPr>
        <w:t>”</w:t>
      </w:r>
      <w:r w:rsidRPr="00B4515A">
        <w:rPr>
          <w:rFonts w:hint="eastAsia"/>
        </w:rPr>
        <w:t>，由国务院国资委代表国务院履行出资人职责。</w:t>
      </w:r>
      <w:r w:rsidRPr="00B4515A">
        <w:t>2017</w:t>
      </w:r>
      <w:r w:rsidRPr="00B4515A">
        <w:rPr>
          <w:rFonts w:hint="eastAsia"/>
        </w:rPr>
        <w:t>年</w:t>
      </w:r>
      <w:r w:rsidRPr="00B4515A">
        <w:t>12</w:t>
      </w:r>
      <w:r w:rsidRPr="00B4515A">
        <w:rPr>
          <w:rFonts w:hint="eastAsia"/>
        </w:rPr>
        <w:t>月</w:t>
      </w:r>
      <w:r w:rsidRPr="00B4515A">
        <w:t>29</w:t>
      </w:r>
      <w:r w:rsidRPr="00B4515A">
        <w:rPr>
          <w:rFonts w:hint="eastAsia"/>
        </w:rPr>
        <w:t>日，电信科研院取得改制完成后的《营业执照》，改制后注册资本为</w:t>
      </w:r>
      <w:r w:rsidRPr="00B4515A">
        <w:t>780,000</w:t>
      </w:r>
      <w:r w:rsidRPr="00B4515A">
        <w:rPr>
          <w:rFonts w:hint="eastAsia"/>
        </w:rPr>
        <w:t>万元，股东为国务院国资委。</w:t>
      </w:r>
    </w:p>
    <w:p w14:paraId="28175278" w14:textId="3FB332EA" w:rsidR="006416B0" w:rsidRPr="00B4515A" w:rsidRDefault="005E58C1" w:rsidP="005860B4">
      <w:pPr>
        <w:pStyle w:val="005"/>
        <w:spacing w:before="120" w:after="120"/>
        <w:ind w:firstLine="480"/>
      </w:pPr>
      <w:r w:rsidRPr="00B4515A">
        <w:t>2018</w:t>
      </w:r>
      <w:r w:rsidRPr="00B4515A">
        <w:rPr>
          <w:rFonts w:hint="eastAsia"/>
        </w:rPr>
        <w:t>年</w:t>
      </w:r>
      <w:r w:rsidRPr="00B4515A">
        <w:t>6</w:t>
      </w:r>
      <w:r w:rsidRPr="00B4515A">
        <w:rPr>
          <w:rFonts w:hint="eastAsia"/>
        </w:rPr>
        <w:t>月</w:t>
      </w:r>
      <w:r w:rsidRPr="00B4515A">
        <w:t>26</w:t>
      </w:r>
      <w:r w:rsidRPr="00B4515A">
        <w:rPr>
          <w:rFonts w:hint="eastAsia"/>
        </w:rPr>
        <w:t>日，国务院国资委出具《关于武汉邮电科学研究院有限公司与</w:t>
      </w:r>
      <w:r w:rsidR="00830A35" w:rsidRPr="00B4515A">
        <w:rPr>
          <w:rFonts w:hint="eastAsia"/>
        </w:rPr>
        <w:t>电信科学技术研究院</w:t>
      </w:r>
      <w:r w:rsidRPr="00B4515A">
        <w:rPr>
          <w:rFonts w:hint="eastAsia"/>
        </w:rPr>
        <w:t>有限公司重组的通知》（国资发改革［</w:t>
      </w:r>
      <w:r w:rsidRPr="00B4515A">
        <w:t>2018</w:t>
      </w:r>
      <w:r w:rsidRPr="00B4515A">
        <w:rPr>
          <w:rFonts w:hint="eastAsia"/>
        </w:rPr>
        <w:t>］</w:t>
      </w:r>
      <w:r w:rsidRPr="00B4515A">
        <w:t>54</w:t>
      </w:r>
      <w:r w:rsidRPr="00B4515A">
        <w:rPr>
          <w:rFonts w:hint="eastAsia"/>
        </w:rPr>
        <w:t>号），同意武汉邮电科学研究院有限公司（以下简称</w:t>
      </w:r>
      <w:r w:rsidRPr="00B4515A">
        <w:rPr>
          <w:rFonts w:ascii="宋体" w:hAnsi="宋体" w:hint="eastAsia"/>
        </w:rPr>
        <w:t>“</w:t>
      </w:r>
      <w:r w:rsidRPr="00B4515A">
        <w:rPr>
          <w:rFonts w:hint="eastAsia"/>
        </w:rPr>
        <w:t>武汉邮科院</w:t>
      </w:r>
      <w:r w:rsidRPr="00B4515A">
        <w:rPr>
          <w:rFonts w:ascii="宋体" w:hAnsi="宋体" w:hint="eastAsia"/>
        </w:rPr>
        <w:t>”</w:t>
      </w:r>
      <w:r w:rsidRPr="00B4515A">
        <w:rPr>
          <w:rFonts w:hint="eastAsia"/>
        </w:rPr>
        <w:t>）与电信科研院实施联合重组，新设中国信科集团，由国务院国资委代表国务院履行出资人职责，将武汉邮科院与电信科研院整体无偿划入中国信科集团，成为其全资子公司，不再作为国资委履行出资人职责的企业。授予中国信科集团国家授权投资机构资格。</w:t>
      </w:r>
      <w:r w:rsidRPr="00B4515A">
        <w:t>2018</w:t>
      </w:r>
      <w:r w:rsidRPr="00B4515A">
        <w:rPr>
          <w:rFonts w:hint="eastAsia"/>
        </w:rPr>
        <w:t>年</w:t>
      </w:r>
      <w:r w:rsidRPr="00B4515A">
        <w:t>12</w:t>
      </w:r>
      <w:r w:rsidRPr="00B4515A">
        <w:rPr>
          <w:rFonts w:hint="eastAsia"/>
        </w:rPr>
        <w:t>月</w:t>
      </w:r>
      <w:r w:rsidRPr="00B4515A">
        <w:t>26</w:t>
      </w:r>
      <w:r w:rsidRPr="00B4515A">
        <w:rPr>
          <w:rFonts w:hint="eastAsia"/>
        </w:rPr>
        <w:t>日，电信科研院本次股东变更完成工商变更登记，股东变更为中国信科集团，注册资本为</w:t>
      </w:r>
      <w:r w:rsidRPr="00B4515A">
        <w:t>780,000</w:t>
      </w:r>
      <w:r w:rsidRPr="00B4515A">
        <w:rPr>
          <w:rFonts w:hint="eastAsia"/>
        </w:rPr>
        <w:t>万元。</w:t>
      </w:r>
    </w:p>
    <w:p w14:paraId="21C39E3C" w14:textId="77777777" w:rsidR="006416B0" w:rsidRPr="00B4515A" w:rsidRDefault="005E58C1" w:rsidP="005860B4">
      <w:pPr>
        <w:pStyle w:val="004"/>
        <w:spacing w:before="120" w:after="120"/>
        <w:ind w:firstLine="482"/>
      </w:pPr>
      <w:r w:rsidRPr="00B4515A">
        <w:t>3</w:t>
      </w:r>
      <w:r w:rsidRPr="00B4515A">
        <w:rPr>
          <w:rFonts w:hint="eastAsia"/>
        </w:rPr>
        <w:t>、最近三年注册资本变化情况</w:t>
      </w:r>
    </w:p>
    <w:p w14:paraId="689A3910" w14:textId="77777777" w:rsidR="006416B0" w:rsidRPr="00B4515A" w:rsidRDefault="005E58C1" w:rsidP="005860B4">
      <w:pPr>
        <w:pStyle w:val="005"/>
        <w:spacing w:before="120" w:after="120"/>
        <w:ind w:firstLine="480"/>
        <w:rPr>
          <w:b/>
        </w:rPr>
      </w:pPr>
      <w:r w:rsidRPr="00B4515A">
        <w:rPr>
          <w:rFonts w:hint="eastAsia"/>
        </w:rPr>
        <w:t>截至本报告书签署日，最近</w:t>
      </w:r>
      <w:r w:rsidRPr="00B4515A">
        <w:rPr>
          <w:rFonts w:hint="eastAsia"/>
          <w:bCs/>
          <w:color w:val="000000" w:themeColor="text1"/>
        </w:rPr>
        <w:t>三年电信</w:t>
      </w:r>
      <w:r w:rsidRPr="00B4515A">
        <w:rPr>
          <w:rFonts w:hint="eastAsia"/>
        </w:rPr>
        <w:t>科研院注册资本未发生变化。</w:t>
      </w:r>
    </w:p>
    <w:p w14:paraId="7F8C0FC6" w14:textId="77777777" w:rsidR="006416B0" w:rsidRPr="00B4515A" w:rsidRDefault="005E58C1" w:rsidP="005860B4">
      <w:pPr>
        <w:pStyle w:val="004"/>
        <w:spacing w:before="120" w:after="120"/>
        <w:ind w:firstLine="482"/>
      </w:pPr>
      <w:r w:rsidRPr="00B4515A">
        <w:t>4</w:t>
      </w:r>
      <w:r w:rsidRPr="00B4515A">
        <w:rPr>
          <w:rFonts w:hint="eastAsia"/>
        </w:rPr>
        <w:t>、产权控制关系及主要股东基本情况</w:t>
      </w:r>
    </w:p>
    <w:p w14:paraId="3B460D86" w14:textId="77777777" w:rsidR="006416B0" w:rsidRPr="00B4515A" w:rsidRDefault="005E58C1" w:rsidP="005860B4">
      <w:pPr>
        <w:pStyle w:val="005"/>
        <w:spacing w:before="120" w:after="120"/>
        <w:ind w:firstLine="480"/>
      </w:pPr>
      <w:r w:rsidRPr="00B4515A">
        <w:rPr>
          <w:rFonts w:hint="eastAsia"/>
        </w:rPr>
        <w:t>截至本报告书签署日，电信科研院的产权</w:t>
      </w:r>
      <w:r w:rsidRPr="00B4515A">
        <w:rPr>
          <w:rFonts w:hint="eastAsia"/>
          <w:bCs/>
          <w:color w:val="000000" w:themeColor="text1"/>
        </w:rPr>
        <w:t>控制关系</w:t>
      </w:r>
      <w:r w:rsidRPr="00B4515A">
        <w:rPr>
          <w:rFonts w:hint="eastAsia"/>
        </w:rPr>
        <w:t>如下：</w:t>
      </w:r>
    </w:p>
    <w:p w14:paraId="0981AB6B" w14:textId="77777777" w:rsidR="006416B0" w:rsidRPr="00B4515A" w:rsidRDefault="005E58C1">
      <w:pPr>
        <w:spacing w:line="360" w:lineRule="auto"/>
        <w:jc w:val="center"/>
      </w:pPr>
      <w:r w:rsidRPr="00B4515A">
        <w:lastRenderedPageBreak/>
        <w:t xml:space="preserve">  </w:t>
      </w:r>
      <w:r w:rsidRPr="00B4515A">
        <w:rPr>
          <w:noProof/>
        </w:rPr>
        <w:drawing>
          <wp:inline distT="0" distB="0" distL="0" distR="0" wp14:anchorId="11A2004F" wp14:editId="0EF2926C">
            <wp:extent cx="2643505" cy="186499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2656767" cy="1874811"/>
                    </a:xfrm>
                    <a:prstGeom prst="rect">
                      <a:avLst/>
                    </a:prstGeom>
                  </pic:spPr>
                </pic:pic>
              </a:graphicData>
            </a:graphic>
          </wp:inline>
        </w:drawing>
      </w:r>
    </w:p>
    <w:p w14:paraId="4E99E443" w14:textId="77777777" w:rsidR="006416B0" w:rsidRPr="00B4515A" w:rsidRDefault="005E58C1" w:rsidP="005860B4">
      <w:pPr>
        <w:pStyle w:val="005"/>
        <w:spacing w:before="120" w:after="120"/>
        <w:ind w:firstLine="480"/>
      </w:pPr>
      <w:r w:rsidRPr="00B4515A">
        <w:rPr>
          <w:rFonts w:hint="eastAsia"/>
        </w:rPr>
        <w:t>截至本报告书签署日，电信科研院控股股东为中国信科集团，实际控制人为国务院国资委。中国信科集团基本情况如下：</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5"/>
        <w:gridCol w:w="6133"/>
      </w:tblGrid>
      <w:tr w:rsidR="006416B0" w:rsidRPr="00B4515A" w14:paraId="11605479"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00D6C79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公司名称</w:t>
            </w:r>
          </w:p>
        </w:tc>
        <w:tc>
          <w:tcPr>
            <w:tcW w:w="6116" w:type="dxa"/>
            <w:shd w:val="clear" w:color="auto" w:fill="auto"/>
            <w:tcMar>
              <w:top w:w="0" w:type="dxa"/>
              <w:left w:w="108" w:type="dxa"/>
              <w:bottom w:w="0" w:type="dxa"/>
              <w:right w:w="108" w:type="dxa"/>
            </w:tcMar>
            <w:vAlign w:val="center"/>
          </w:tcPr>
          <w:p w14:paraId="4AB4B3BE" w14:textId="77777777" w:rsidR="006416B0" w:rsidRPr="00B4515A" w:rsidRDefault="005E58C1" w:rsidP="005860B4">
            <w:pPr>
              <w:pStyle w:val="paragraph"/>
              <w:adjustRightInd w:val="0"/>
              <w:snapToGrid w:val="0"/>
              <w:spacing w:before="0" w:beforeAutospacing="0" w:after="0" w:afterAutospacing="0"/>
              <w:jc w:val="both"/>
              <w:rPr>
                <w:sz w:val="21"/>
                <w:szCs w:val="21"/>
              </w:rPr>
            </w:pPr>
            <w:r w:rsidRPr="00B4515A">
              <w:rPr>
                <w:rFonts w:hint="eastAsia"/>
                <w:color w:val="000000"/>
                <w:sz w:val="21"/>
                <w:szCs w:val="21"/>
              </w:rPr>
              <w:t>中国信息通信科技集团有限公司</w:t>
            </w:r>
          </w:p>
        </w:tc>
      </w:tr>
      <w:tr w:rsidR="006416B0" w:rsidRPr="00B4515A" w14:paraId="5B095F96"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379559B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企业类型</w:t>
            </w:r>
          </w:p>
        </w:tc>
        <w:tc>
          <w:tcPr>
            <w:tcW w:w="6116" w:type="dxa"/>
            <w:shd w:val="clear" w:color="auto" w:fill="auto"/>
            <w:tcMar>
              <w:top w:w="0" w:type="dxa"/>
              <w:left w:w="108" w:type="dxa"/>
              <w:bottom w:w="0" w:type="dxa"/>
              <w:right w:w="108" w:type="dxa"/>
            </w:tcMar>
            <w:vAlign w:val="center"/>
          </w:tcPr>
          <w:p w14:paraId="77A0487A" w14:textId="77777777" w:rsidR="006416B0" w:rsidRPr="00B4515A" w:rsidRDefault="005E58C1" w:rsidP="005860B4">
            <w:pPr>
              <w:adjustRightInd w:val="0"/>
              <w:snapToGrid w:val="0"/>
              <w:rPr>
                <w:rFonts w:ascii="Times New Roman" w:hAnsi="Times New Roman" w:cs="Times New Roman"/>
                <w:bCs/>
                <w:sz w:val="21"/>
                <w:szCs w:val="21"/>
              </w:rPr>
            </w:pPr>
            <w:r w:rsidRPr="00B4515A">
              <w:rPr>
                <w:rFonts w:ascii="Times New Roman" w:hAnsi="Times New Roman" w:cs="Times New Roman" w:hint="eastAsia"/>
                <w:bCs/>
                <w:sz w:val="21"/>
                <w:szCs w:val="21"/>
              </w:rPr>
              <w:t>有限责任公司（国有独资）</w:t>
            </w:r>
          </w:p>
        </w:tc>
      </w:tr>
      <w:tr w:rsidR="006416B0" w:rsidRPr="00B4515A" w14:paraId="089EBA49"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11A4F3A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注册地址</w:t>
            </w:r>
          </w:p>
        </w:tc>
        <w:tc>
          <w:tcPr>
            <w:tcW w:w="6116" w:type="dxa"/>
            <w:shd w:val="clear" w:color="auto" w:fill="auto"/>
            <w:tcMar>
              <w:top w:w="0" w:type="dxa"/>
              <w:left w:w="108" w:type="dxa"/>
              <w:bottom w:w="0" w:type="dxa"/>
              <w:right w:w="108" w:type="dxa"/>
            </w:tcMar>
            <w:vAlign w:val="center"/>
          </w:tcPr>
          <w:p w14:paraId="002438A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武汉市东湖新技术开发区高新四路</w:t>
            </w:r>
            <w:r w:rsidRPr="00B4515A">
              <w:rPr>
                <w:rFonts w:ascii="Times New Roman" w:hAnsi="Times New Roman" w:cs="Times New Roman"/>
                <w:sz w:val="21"/>
                <w:szCs w:val="21"/>
              </w:rPr>
              <w:t>6</w:t>
            </w:r>
            <w:r w:rsidRPr="00B4515A">
              <w:rPr>
                <w:rFonts w:ascii="Times New Roman" w:hAnsi="Times New Roman" w:cs="Times New Roman" w:hint="eastAsia"/>
                <w:sz w:val="21"/>
                <w:szCs w:val="21"/>
              </w:rPr>
              <w:t>号烽火科技园</w:t>
            </w:r>
          </w:p>
        </w:tc>
      </w:tr>
      <w:tr w:rsidR="006416B0" w:rsidRPr="00B4515A" w14:paraId="1B06107E"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4C5D44E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主要办公地址</w:t>
            </w:r>
          </w:p>
        </w:tc>
        <w:tc>
          <w:tcPr>
            <w:tcW w:w="6116" w:type="dxa"/>
            <w:shd w:val="clear" w:color="auto" w:fill="auto"/>
            <w:tcMar>
              <w:top w:w="0" w:type="dxa"/>
              <w:left w:w="108" w:type="dxa"/>
              <w:bottom w:w="0" w:type="dxa"/>
              <w:right w:w="108" w:type="dxa"/>
            </w:tcMar>
            <w:vAlign w:val="center"/>
          </w:tcPr>
          <w:p w14:paraId="31295DF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北京市海淀区学院路</w:t>
            </w:r>
            <w:r w:rsidRPr="00B4515A">
              <w:rPr>
                <w:rFonts w:ascii="Times New Roman" w:hAnsi="Times New Roman" w:cs="Times New Roman"/>
                <w:sz w:val="21"/>
                <w:szCs w:val="21"/>
              </w:rPr>
              <w:t>40</w:t>
            </w:r>
            <w:r w:rsidRPr="00B4515A">
              <w:rPr>
                <w:rFonts w:ascii="Times New Roman" w:hAnsi="Times New Roman" w:cs="Times New Roman" w:hint="eastAsia"/>
                <w:sz w:val="21"/>
                <w:szCs w:val="21"/>
              </w:rPr>
              <w:t>号</w:t>
            </w:r>
          </w:p>
        </w:tc>
      </w:tr>
      <w:tr w:rsidR="006416B0" w:rsidRPr="00B4515A" w14:paraId="63AF064F"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2B363C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法定代表人</w:t>
            </w:r>
          </w:p>
        </w:tc>
        <w:tc>
          <w:tcPr>
            <w:tcW w:w="6116" w:type="dxa"/>
            <w:shd w:val="clear" w:color="auto" w:fill="auto"/>
            <w:tcMar>
              <w:top w:w="0" w:type="dxa"/>
              <w:left w:w="108" w:type="dxa"/>
              <w:bottom w:w="0" w:type="dxa"/>
              <w:right w:w="108" w:type="dxa"/>
            </w:tcMar>
            <w:vAlign w:val="center"/>
          </w:tcPr>
          <w:p w14:paraId="47069C8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鲁国庆</w:t>
            </w:r>
          </w:p>
        </w:tc>
      </w:tr>
      <w:tr w:rsidR="006416B0" w:rsidRPr="00B4515A" w14:paraId="154E7721"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4C91F1C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注册资本</w:t>
            </w:r>
          </w:p>
        </w:tc>
        <w:tc>
          <w:tcPr>
            <w:tcW w:w="6116" w:type="dxa"/>
            <w:shd w:val="clear" w:color="auto" w:fill="auto"/>
            <w:tcMar>
              <w:top w:w="0" w:type="dxa"/>
              <w:left w:w="108" w:type="dxa"/>
              <w:bottom w:w="0" w:type="dxa"/>
              <w:right w:w="108" w:type="dxa"/>
            </w:tcMar>
            <w:vAlign w:val="center"/>
          </w:tcPr>
          <w:p w14:paraId="15F5E49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人民币</w:t>
            </w:r>
            <w:r w:rsidRPr="00B4515A">
              <w:rPr>
                <w:rFonts w:ascii="Times New Roman" w:hAnsi="Times New Roman" w:cs="Times New Roman"/>
                <w:sz w:val="21"/>
                <w:szCs w:val="21"/>
              </w:rPr>
              <w:t>3,000,000</w:t>
            </w:r>
            <w:r w:rsidRPr="00B4515A">
              <w:rPr>
                <w:rFonts w:ascii="Times New Roman" w:hAnsi="Times New Roman" w:cs="Times New Roman" w:hint="eastAsia"/>
                <w:sz w:val="21"/>
                <w:szCs w:val="21"/>
              </w:rPr>
              <w:t>万元</w:t>
            </w:r>
          </w:p>
        </w:tc>
      </w:tr>
      <w:tr w:rsidR="006416B0" w:rsidRPr="00B4515A" w14:paraId="5A497DB7"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7E3CE86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统一社会信用代码</w:t>
            </w:r>
          </w:p>
        </w:tc>
        <w:tc>
          <w:tcPr>
            <w:tcW w:w="6116" w:type="dxa"/>
            <w:shd w:val="clear" w:color="auto" w:fill="auto"/>
            <w:tcMar>
              <w:top w:w="0" w:type="dxa"/>
              <w:left w:w="108" w:type="dxa"/>
              <w:bottom w:w="0" w:type="dxa"/>
              <w:right w:w="108" w:type="dxa"/>
            </w:tcMar>
            <w:vAlign w:val="center"/>
          </w:tcPr>
          <w:p w14:paraId="01ACB93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91420100MA4L0GG411</w:t>
            </w:r>
          </w:p>
        </w:tc>
      </w:tr>
      <w:tr w:rsidR="006416B0" w:rsidRPr="00B4515A" w14:paraId="363B538E"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068CB6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经营范围</w:t>
            </w:r>
          </w:p>
        </w:tc>
        <w:tc>
          <w:tcPr>
            <w:tcW w:w="6116" w:type="dxa"/>
            <w:shd w:val="clear" w:color="auto" w:fill="auto"/>
            <w:tcMar>
              <w:top w:w="0" w:type="dxa"/>
              <w:left w:w="108" w:type="dxa"/>
              <w:bottom w:w="0" w:type="dxa"/>
              <w:right w:w="108" w:type="dxa"/>
            </w:tcMar>
            <w:vAlign w:val="center"/>
          </w:tcPr>
          <w:p w14:paraId="5F50B4F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通信设备、电子信息、电子计算机及外部设备、电子软件、电子商务、信息安全、广播电视设备、光纤及光电缆、光电子、电子元器件、集成电路、仪器仪表、其他电子设备、自动化技术及产品的开发、研制、销售、技术服务、系统集成（国家有专项专营规定的除外）；通信、网络、广播电视的工程（不含卫星地面接收设施）设计、施工；投资管理与咨询；房产租赁、物业管理与咨询；自营和代理各类商品和技术的进出口（但国家限定公司经营或禁止进出口的商品和技术除外）；承包境外通信工程和境内国际招标工程；上述境外工程所需的设备、材料出口；对外派遣实施上述境外工程所需的劳务人员。</w:t>
            </w:r>
          </w:p>
        </w:tc>
      </w:tr>
      <w:tr w:rsidR="006416B0" w:rsidRPr="00B4515A" w14:paraId="2B70C41E"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1D0130A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成立日期</w:t>
            </w:r>
          </w:p>
        </w:tc>
        <w:tc>
          <w:tcPr>
            <w:tcW w:w="6116" w:type="dxa"/>
            <w:shd w:val="clear" w:color="auto" w:fill="auto"/>
            <w:tcMar>
              <w:top w:w="0" w:type="dxa"/>
              <w:left w:w="108" w:type="dxa"/>
              <w:bottom w:w="0" w:type="dxa"/>
              <w:right w:w="108" w:type="dxa"/>
            </w:tcMar>
            <w:vAlign w:val="center"/>
          </w:tcPr>
          <w:p w14:paraId="51B5184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2018</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08</w:t>
            </w:r>
            <w:r w:rsidRPr="00B4515A">
              <w:rPr>
                <w:rFonts w:ascii="Times New Roman" w:hAnsi="Times New Roman" w:cs="Times New Roman" w:hint="eastAsia"/>
                <w:sz w:val="21"/>
                <w:szCs w:val="21"/>
              </w:rPr>
              <w:t>月</w:t>
            </w:r>
            <w:r w:rsidRPr="00B4515A">
              <w:rPr>
                <w:rFonts w:ascii="Times New Roman" w:hAnsi="Times New Roman" w:cs="Times New Roman"/>
                <w:sz w:val="21"/>
                <w:szCs w:val="21"/>
              </w:rPr>
              <w:t>15</w:t>
            </w:r>
            <w:r w:rsidRPr="00B4515A">
              <w:rPr>
                <w:rFonts w:ascii="Times New Roman" w:hAnsi="Times New Roman" w:cs="Times New Roman" w:hint="eastAsia"/>
                <w:sz w:val="21"/>
                <w:szCs w:val="21"/>
              </w:rPr>
              <w:t>日</w:t>
            </w:r>
          </w:p>
        </w:tc>
      </w:tr>
    </w:tbl>
    <w:p w14:paraId="20207D74" w14:textId="77777777" w:rsidR="006416B0" w:rsidRPr="00B4515A" w:rsidRDefault="005E58C1" w:rsidP="005860B4">
      <w:pPr>
        <w:pStyle w:val="004"/>
        <w:spacing w:before="120" w:after="120"/>
        <w:ind w:firstLine="482"/>
      </w:pPr>
      <w:r w:rsidRPr="00B4515A">
        <w:t>5</w:t>
      </w:r>
      <w:r w:rsidRPr="00B4515A">
        <w:rPr>
          <w:rFonts w:hint="eastAsia"/>
        </w:rPr>
        <w:t>、最近三年主要业务发展情况</w:t>
      </w:r>
    </w:p>
    <w:p w14:paraId="19799AB8" w14:textId="77777777" w:rsidR="006416B0" w:rsidRPr="00B4515A" w:rsidRDefault="005E58C1" w:rsidP="005860B4">
      <w:pPr>
        <w:pStyle w:val="005"/>
        <w:spacing w:before="120" w:after="120"/>
        <w:ind w:firstLine="480"/>
      </w:pPr>
      <w:r w:rsidRPr="00B4515A">
        <w:rPr>
          <w:rFonts w:hint="eastAsia"/>
        </w:rPr>
        <w:t>电信科研院主要持有各子公司股权，基本不开展实体业务。</w:t>
      </w:r>
    </w:p>
    <w:p w14:paraId="69313492" w14:textId="77777777" w:rsidR="006416B0" w:rsidRPr="00B4515A" w:rsidRDefault="005E58C1" w:rsidP="005860B4">
      <w:pPr>
        <w:pStyle w:val="004"/>
        <w:spacing w:before="120" w:after="120"/>
        <w:ind w:firstLine="482"/>
      </w:pPr>
      <w:r w:rsidRPr="00B4515A">
        <w:t>6</w:t>
      </w:r>
      <w:r w:rsidRPr="00B4515A">
        <w:rPr>
          <w:rFonts w:hint="eastAsia"/>
        </w:rPr>
        <w:t>、主要财务数据</w:t>
      </w:r>
    </w:p>
    <w:p w14:paraId="1FBAB9EE" w14:textId="77777777" w:rsidR="006416B0" w:rsidRPr="00B4515A" w:rsidRDefault="005E58C1" w:rsidP="005860B4">
      <w:pPr>
        <w:pStyle w:val="005"/>
        <w:spacing w:before="120" w:after="120"/>
        <w:ind w:firstLine="480"/>
        <w:rPr>
          <w:rFonts w:eastAsiaTheme="minorEastAsia"/>
        </w:rPr>
      </w:pPr>
      <w:r w:rsidRPr="00B4515A">
        <w:rPr>
          <w:rFonts w:hint="eastAsia"/>
        </w:rPr>
        <w:t>电信科研院最近两年主要财务数据如下：</w:t>
      </w:r>
    </w:p>
    <w:p w14:paraId="597BA0B9" w14:textId="77777777" w:rsidR="006416B0" w:rsidRPr="00B4515A" w:rsidRDefault="005E58C1" w:rsidP="005860B4">
      <w:pPr>
        <w:pStyle w:val="009"/>
      </w:pPr>
      <w:r w:rsidRPr="00B4515A">
        <w:rPr>
          <w:rFonts w:hint="eastAsia"/>
        </w:rPr>
        <w:t>单位：万元</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084"/>
        <w:gridCol w:w="3222"/>
        <w:gridCol w:w="3222"/>
      </w:tblGrid>
      <w:tr w:rsidR="006416B0" w:rsidRPr="00B4515A" w14:paraId="7FF38066"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76D1BB0F"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项目</w:t>
            </w:r>
          </w:p>
        </w:tc>
        <w:tc>
          <w:tcPr>
            <w:tcW w:w="3091" w:type="dxa"/>
            <w:tcMar>
              <w:top w:w="0" w:type="dxa"/>
              <w:left w:w="108" w:type="dxa"/>
              <w:bottom w:w="0" w:type="dxa"/>
              <w:right w:w="108" w:type="dxa"/>
            </w:tcMar>
            <w:vAlign w:val="center"/>
          </w:tcPr>
          <w:p w14:paraId="67023731"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2020</w:t>
            </w:r>
            <w:r w:rsidRPr="00B4515A">
              <w:rPr>
                <w:rFonts w:ascii="Times New Roman" w:hAnsi="Times New Roman" w:cs="Times New Roman" w:hint="eastAsia"/>
                <w:b/>
                <w:sz w:val="21"/>
                <w:szCs w:val="21"/>
              </w:rPr>
              <w:t>年</w:t>
            </w:r>
            <w:r w:rsidRPr="00B4515A">
              <w:rPr>
                <w:rFonts w:ascii="Times New Roman" w:hAnsi="Times New Roman" w:cs="Times New Roman"/>
                <w:b/>
                <w:sz w:val="21"/>
                <w:szCs w:val="21"/>
              </w:rPr>
              <w:t>12</w:t>
            </w:r>
            <w:r w:rsidRPr="00B4515A">
              <w:rPr>
                <w:rFonts w:ascii="Times New Roman" w:hAnsi="Times New Roman" w:cs="Times New Roman" w:hint="eastAsia"/>
                <w:b/>
                <w:sz w:val="21"/>
                <w:szCs w:val="21"/>
              </w:rPr>
              <w:t>月</w:t>
            </w:r>
            <w:r w:rsidRPr="00B4515A">
              <w:rPr>
                <w:rFonts w:ascii="Times New Roman" w:hAnsi="Times New Roman" w:cs="Times New Roman"/>
                <w:b/>
                <w:sz w:val="21"/>
                <w:szCs w:val="21"/>
              </w:rPr>
              <w:t>31</w:t>
            </w:r>
            <w:r w:rsidRPr="00B4515A">
              <w:rPr>
                <w:rFonts w:ascii="Times New Roman" w:hAnsi="Times New Roman" w:cs="Times New Roman" w:hint="eastAsia"/>
                <w:b/>
                <w:sz w:val="21"/>
                <w:szCs w:val="21"/>
              </w:rPr>
              <w:t>日</w:t>
            </w:r>
          </w:p>
        </w:tc>
        <w:tc>
          <w:tcPr>
            <w:tcW w:w="3091" w:type="dxa"/>
            <w:shd w:val="clear" w:color="auto" w:fill="auto"/>
            <w:tcMar>
              <w:top w:w="0" w:type="dxa"/>
              <w:left w:w="108" w:type="dxa"/>
              <w:bottom w:w="0" w:type="dxa"/>
              <w:right w:w="108" w:type="dxa"/>
            </w:tcMar>
            <w:vAlign w:val="center"/>
          </w:tcPr>
          <w:p w14:paraId="5B0C3FAC"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sz w:val="21"/>
                <w:szCs w:val="21"/>
              </w:rPr>
              <w:t>2019</w:t>
            </w:r>
            <w:r w:rsidRPr="00B4515A">
              <w:rPr>
                <w:rFonts w:ascii="Times New Roman" w:hAnsi="Times New Roman" w:cs="Times New Roman" w:hint="eastAsia"/>
                <w:b/>
                <w:sz w:val="21"/>
                <w:szCs w:val="21"/>
              </w:rPr>
              <w:t>年</w:t>
            </w:r>
            <w:r w:rsidRPr="00B4515A">
              <w:rPr>
                <w:rFonts w:ascii="Times New Roman" w:hAnsi="Times New Roman" w:cs="Times New Roman"/>
                <w:b/>
                <w:sz w:val="21"/>
                <w:szCs w:val="21"/>
              </w:rPr>
              <w:t>12</w:t>
            </w:r>
            <w:r w:rsidRPr="00B4515A">
              <w:rPr>
                <w:rFonts w:ascii="Times New Roman" w:hAnsi="Times New Roman" w:cs="Times New Roman" w:hint="eastAsia"/>
                <w:b/>
                <w:sz w:val="21"/>
                <w:szCs w:val="21"/>
              </w:rPr>
              <w:t>月</w:t>
            </w:r>
            <w:r w:rsidRPr="00B4515A">
              <w:rPr>
                <w:rFonts w:ascii="Times New Roman" w:hAnsi="Times New Roman" w:cs="Times New Roman"/>
                <w:b/>
                <w:sz w:val="21"/>
                <w:szCs w:val="21"/>
              </w:rPr>
              <w:t>31</w:t>
            </w:r>
            <w:r w:rsidRPr="00B4515A">
              <w:rPr>
                <w:rFonts w:ascii="Times New Roman" w:hAnsi="Times New Roman" w:cs="Times New Roman" w:hint="eastAsia"/>
                <w:b/>
                <w:sz w:val="21"/>
                <w:szCs w:val="21"/>
              </w:rPr>
              <w:t>日</w:t>
            </w:r>
          </w:p>
        </w:tc>
      </w:tr>
      <w:tr w:rsidR="006416B0" w:rsidRPr="00B4515A" w14:paraId="579E84F5"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3B91BDD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资产总计</w:t>
            </w:r>
          </w:p>
        </w:tc>
        <w:tc>
          <w:tcPr>
            <w:tcW w:w="3091" w:type="dxa"/>
            <w:tcMar>
              <w:top w:w="0" w:type="dxa"/>
              <w:left w:w="108" w:type="dxa"/>
              <w:bottom w:w="0" w:type="dxa"/>
              <w:right w:w="108" w:type="dxa"/>
            </w:tcMar>
            <w:vAlign w:val="center"/>
          </w:tcPr>
          <w:p w14:paraId="612DCE6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1,670,856.51</w:t>
            </w:r>
          </w:p>
        </w:tc>
        <w:tc>
          <w:tcPr>
            <w:tcW w:w="3091" w:type="dxa"/>
            <w:shd w:val="clear" w:color="auto" w:fill="auto"/>
            <w:tcMar>
              <w:top w:w="0" w:type="dxa"/>
              <w:left w:w="108" w:type="dxa"/>
              <w:bottom w:w="0" w:type="dxa"/>
              <w:right w:w="108" w:type="dxa"/>
            </w:tcMar>
            <w:vAlign w:val="center"/>
          </w:tcPr>
          <w:p w14:paraId="35534C2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1,779,182.19</w:t>
            </w:r>
          </w:p>
        </w:tc>
      </w:tr>
      <w:tr w:rsidR="006416B0" w:rsidRPr="00B4515A" w14:paraId="56CA0188"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775F9BB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负债总计</w:t>
            </w:r>
          </w:p>
        </w:tc>
        <w:tc>
          <w:tcPr>
            <w:tcW w:w="3091" w:type="dxa"/>
            <w:tcMar>
              <w:top w:w="0" w:type="dxa"/>
              <w:left w:w="108" w:type="dxa"/>
              <w:bottom w:w="0" w:type="dxa"/>
              <w:right w:w="108" w:type="dxa"/>
            </w:tcMar>
            <w:vAlign w:val="center"/>
          </w:tcPr>
          <w:p w14:paraId="29E4DCB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990,341.25</w:t>
            </w:r>
          </w:p>
        </w:tc>
        <w:tc>
          <w:tcPr>
            <w:tcW w:w="3091" w:type="dxa"/>
            <w:shd w:val="clear" w:color="auto" w:fill="auto"/>
            <w:tcMar>
              <w:top w:w="0" w:type="dxa"/>
              <w:left w:w="108" w:type="dxa"/>
              <w:bottom w:w="0" w:type="dxa"/>
              <w:right w:w="108" w:type="dxa"/>
            </w:tcMar>
            <w:vAlign w:val="center"/>
          </w:tcPr>
          <w:p w14:paraId="4BF37B3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991,326.68</w:t>
            </w:r>
          </w:p>
        </w:tc>
      </w:tr>
      <w:tr w:rsidR="006416B0" w:rsidRPr="00B4515A" w14:paraId="58D803A7"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1EA9AC7A"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lastRenderedPageBreak/>
              <w:t>所有者权益</w:t>
            </w:r>
          </w:p>
        </w:tc>
        <w:tc>
          <w:tcPr>
            <w:tcW w:w="3091" w:type="dxa"/>
            <w:tcMar>
              <w:top w:w="0" w:type="dxa"/>
              <w:left w:w="108" w:type="dxa"/>
              <w:bottom w:w="0" w:type="dxa"/>
              <w:right w:w="108" w:type="dxa"/>
            </w:tcMar>
            <w:vAlign w:val="center"/>
          </w:tcPr>
          <w:p w14:paraId="6E4A97A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680,515.26</w:t>
            </w:r>
          </w:p>
        </w:tc>
        <w:tc>
          <w:tcPr>
            <w:tcW w:w="3091" w:type="dxa"/>
            <w:shd w:val="clear" w:color="auto" w:fill="auto"/>
            <w:tcMar>
              <w:top w:w="0" w:type="dxa"/>
              <w:left w:w="108" w:type="dxa"/>
              <w:bottom w:w="0" w:type="dxa"/>
              <w:right w:w="108" w:type="dxa"/>
            </w:tcMar>
            <w:vAlign w:val="center"/>
          </w:tcPr>
          <w:p w14:paraId="3EA847D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787,855.51</w:t>
            </w:r>
          </w:p>
        </w:tc>
      </w:tr>
      <w:tr w:rsidR="006416B0" w:rsidRPr="00B4515A" w14:paraId="1B81340E"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7210F8A1"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项目</w:t>
            </w:r>
          </w:p>
        </w:tc>
        <w:tc>
          <w:tcPr>
            <w:tcW w:w="3091" w:type="dxa"/>
            <w:tcMar>
              <w:top w:w="0" w:type="dxa"/>
              <w:left w:w="108" w:type="dxa"/>
              <w:bottom w:w="0" w:type="dxa"/>
              <w:right w:w="108" w:type="dxa"/>
            </w:tcMar>
            <w:vAlign w:val="center"/>
          </w:tcPr>
          <w:p w14:paraId="101F25F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2020</w:t>
            </w:r>
            <w:r w:rsidRPr="00B4515A">
              <w:rPr>
                <w:rFonts w:ascii="Times New Roman" w:hAnsi="Times New Roman" w:cs="Times New Roman" w:hint="eastAsia"/>
                <w:b/>
                <w:sz w:val="21"/>
                <w:szCs w:val="21"/>
              </w:rPr>
              <w:t>年度</w:t>
            </w:r>
          </w:p>
        </w:tc>
        <w:tc>
          <w:tcPr>
            <w:tcW w:w="3091" w:type="dxa"/>
            <w:shd w:val="clear" w:color="auto" w:fill="auto"/>
            <w:tcMar>
              <w:top w:w="0" w:type="dxa"/>
              <w:left w:w="108" w:type="dxa"/>
              <w:bottom w:w="0" w:type="dxa"/>
              <w:right w:w="108" w:type="dxa"/>
            </w:tcMar>
            <w:vAlign w:val="center"/>
          </w:tcPr>
          <w:p w14:paraId="1600106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2019</w:t>
            </w:r>
            <w:r w:rsidRPr="00B4515A">
              <w:rPr>
                <w:rFonts w:ascii="Times New Roman" w:hAnsi="Times New Roman" w:cs="Times New Roman" w:hint="eastAsia"/>
                <w:b/>
                <w:sz w:val="21"/>
                <w:szCs w:val="21"/>
              </w:rPr>
              <w:t>年度</w:t>
            </w:r>
          </w:p>
        </w:tc>
      </w:tr>
      <w:tr w:rsidR="006416B0" w:rsidRPr="00B4515A" w14:paraId="3306FDD3"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46B6B64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营业收入</w:t>
            </w:r>
          </w:p>
        </w:tc>
        <w:tc>
          <w:tcPr>
            <w:tcW w:w="3091" w:type="dxa"/>
            <w:tcMar>
              <w:top w:w="0" w:type="dxa"/>
              <w:left w:w="108" w:type="dxa"/>
              <w:bottom w:w="0" w:type="dxa"/>
              <w:right w:w="108" w:type="dxa"/>
            </w:tcMar>
            <w:vAlign w:val="center"/>
          </w:tcPr>
          <w:p w14:paraId="6A7ACC2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2,095.16</w:t>
            </w:r>
          </w:p>
        </w:tc>
        <w:tc>
          <w:tcPr>
            <w:tcW w:w="3091" w:type="dxa"/>
            <w:shd w:val="clear" w:color="auto" w:fill="auto"/>
            <w:tcMar>
              <w:top w:w="0" w:type="dxa"/>
              <w:left w:w="108" w:type="dxa"/>
              <w:bottom w:w="0" w:type="dxa"/>
              <w:right w:w="108" w:type="dxa"/>
            </w:tcMar>
            <w:vAlign w:val="center"/>
          </w:tcPr>
          <w:p w14:paraId="03F6EDA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3,480.60</w:t>
            </w:r>
          </w:p>
        </w:tc>
      </w:tr>
      <w:tr w:rsidR="006416B0" w:rsidRPr="00B4515A" w14:paraId="28106F60"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2E44544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利润总额</w:t>
            </w:r>
          </w:p>
        </w:tc>
        <w:tc>
          <w:tcPr>
            <w:tcW w:w="3091" w:type="dxa"/>
            <w:tcMar>
              <w:top w:w="0" w:type="dxa"/>
              <w:left w:w="108" w:type="dxa"/>
              <w:bottom w:w="0" w:type="dxa"/>
              <w:right w:w="108" w:type="dxa"/>
            </w:tcMar>
            <w:vAlign w:val="center"/>
          </w:tcPr>
          <w:p w14:paraId="0E630736" w14:textId="58B520E9"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4,232.8</w:t>
            </w:r>
            <w:r w:rsidR="00CC215C" w:rsidRPr="00B4515A">
              <w:rPr>
                <w:rFonts w:ascii="Times New Roman" w:hAnsi="Times New Roman" w:cs="Times New Roman"/>
                <w:sz w:val="21"/>
                <w:szCs w:val="21"/>
              </w:rPr>
              <w:t>8</w:t>
            </w:r>
          </w:p>
        </w:tc>
        <w:tc>
          <w:tcPr>
            <w:tcW w:w="3091" w:type="dxa"/>
            <w:shd w:val="clear" w:color="auto" w:fill="auto"/>
            <w:tcMar>
              <w:top w:w="0" w:type="dxa"/>
              <w:left w:w="108" w:type="dxa"/>
              <w:bottom w:w="0" w:type="dxa"/>
              <w:right w:w="108" w:type="dxa"/>
            </w:tcMar>
            <w:vAlign w:val="center"/>
          </w:tcPr>
          <w:p w14:paraId="0818520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20,156.60</w:t>
            </w:r>
          </w:p>
        </w:tc>
      </w:tr>
      <w:tr w:rsidR="006416B0" w:rsidRPr="00B4515A" w14:paraId="11DB2C47"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198D87A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净利润</w:t>
            </w:r>
          </w:p>
        </w:tc>
        <w:tc>
          <w:tcPr>
            <w:tcW w:w="3091" w:type="dxa"/>
            <w:tcMar>
              <w:top w:w="0" w:type="dxa"/>
              <w:left w:w="108" w:type="dxa"/>
              <w:bottom w:w="0" w:type="dxa"/>
              <w:right w:w="108" w:type="dxa"/>
            </w:tcMar>
            <w:vAlign w:val="center"/>
          </w:tcPr>
          <w:p w14:paraId="6598BF1E" w14:textId="37BC65AF"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4,232.8</w:t>
            </w:r>
            <w:r w:rsidR="00CC215C" w:rsidRPr="00B4515A">
              <w:rPr>
                <w:rFonts w:ascii="Times New Roman" w:hAnsi="Times New Roman" w:cs="Times New Roman"/>
                <w:sz w:val="21"/>
                <w:szCs w:val="21"/>
              </w:rPr>
              <w:t>8</w:t>
            </w:r>
          </w:p>
        </w:tc>
        <w:tc>
          <w:tcPr>
            <w:tcW w:w="3091" w:type="dxa"/>
            <w:shd w:val="clear" w:color="auto" w:fill="auto"/>
            <w:tcMar>
              <w:top w:w="0" w:type="dxa"/>
              <w:left w:w="108" w:type="dxa"/>
              <w:bottom w:w="0" w:type="dxa"/>
              <w:right w:w="108" w:type="dxa"/>
            </w:tcMar>
            <w:vAlign w:val="center"/>
          </w:tcPr>
          <w:p w14:paraId="2FE8D25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20,156.60</w:t>
            </w:r>
          </w:p>
        </w:tc>
      </w:tr>
    </w:tbl>
    <w:p w14:paraId="203E6840" w14:textId="77777777" w:rsidR="006416B0" w:rsidRPr="00B4515A" w:rsidRDefault="005E58C1" w:rsidP="005860B4">
      <w:pPr>
        <w:pStyle w:val="006"/>
        <w:ind w:firstLine="420"/>
      </w:pPr>
      <w:r w:rsidRPr="00B4515A">
        <w:rPr>
          <w:rFonts w:hint="eastAsia"/>
        </w:rPr>
        <w:t>注：电信科研院最近两年财务数据已经立信会计师事务所（特殊普通合伙）审计。</w:t>
      </w:r>
    </w:p>
    <w:p w14:paraId="15322B88" w14:textId="77777777" w:rsidR="006416B0" w:rsidRPr="00B4515A" w:rsidRDefault="005E58C1" w:rsidP="005860B4">
      <w:pPr>
        <w:pStyle w:val="004"/>
        <w:spacing w:before="120" w:after="120"/>
        <w:ind w:firstLine="482"/>
      </w:pPr>
      <w:r w:rsidRPr="00B4515A">
        <w:t>7</w:t>
      </w:r>
      <w:r w:rsidRPr="00B4515A">
        <w:rPr>
          <w:rFonts w:hint="eastAsia"/>
        </w:rPr>
        <w:t>、主要下属企业情况</w:t>
      </w:r>
    </w:p>
    <w:p w14:paraId="40BCB070" w14:textId="77777777" w:rsidR="006416B0" w:rsidRPr="00B4515A" w:rsidRDefault="005E58C1" w:rsidP="005860B4">
      <w:pPr>
        <w:pStyle w:val="005"/>
        <w:spacing w:before="120" w:after="120"/>
        <w:ind w:firstLine="480"/>
        <w:rPr>
          <w:rFonts w:eastAsiaTheme="minorEastAsia"/>
        </w:rPr>
      </w:pPr>
      <w:r w:rsidRPr="00B4515A">
        <w:rPr>
          <w:rFonts w:hint="eastAsia"/>
        </w:rPr>
        <w:t>截至</w:t>
      </w:r>
      <w:r w:rsidRPr="00B4515A">
        <w:rPr>
          <w:rFonts w:hint="eastAsia"/>
        </w:rPr>
        <w:t>2</w:t>
      </w:r>
      <w:r w:rsidRPr="00B4515A">
        <w:t>021</w:t>
      </w:r>
      <w:r w:rsidRPr="00B4515A">
        <w:rPr>
          <w:rFonts w:hint="eastAsia"/>
        </w:rPr>
        <w:t>年</w:t>
      </w:r>
      <w:r w:rsidRPr="00B4515A">
        <w:rPr>
          <w:rFonts w:hint="eastAsia"/>
        </w:rPr>
        <w:t>4</w:t>
      </w:r>
      <w:r w:rsidRPr="00B4515A">
        <w:rPr>
          <w:rFonts w:hint="eastAsia"/>
        </w:rPr>
        <w:t>月</w:t>
      </w:r>
      <w:r w:rsidRPr="00B4515A">
        <w:rPr>
          <w:rFonts w:hint="eastAsia"/>
        </w:rPr>
        <w:t>3</w:t>
      </w:r>
      <w:r w:rsidRPr="00B4515A">
        <w:t>0</w:t>
      </w:r>
      <w:r w:rsidRPr="00B4515A">
        <w:rPr>
          <w:rFonts w:hint="eastAsia"/>
        </w:rPr>
        <w:t>日</w:t>
      </w:r>
      <w:r w:rsidRPr="00B4515A">
        <w:rPr>
          <w:rFonts w:eastAsiaTheme="minorEastAsia" w:hint="eastAsia"/>
        </w:rPr>
        <w:t>，除</w:t>
      </w:r>
      <w:r w:rsidRPr="00B4515A">
        <w:rPr>
          <w:rFonts w:hint="eastAsia"/>
        </w:rPr>
        <w:t>大唐电信、大唐控股、大唐联诚</w:t>
      </w:r>
      <w:r w:rsidRPr="00B4515A">
        <w:rPr>
          <w:rFonts w:eastAsiaTheme="minorEastAsia" w:hint="eastAsia"/>
        </w:rPr>
        <w:t>外，</w:t>
      </w:r>
      <w:r w:rsidRPr="00B4515A">
        <w:rPr>
          <w:rFonts w:hint="eastAsia"/>
        </w:rPr>
        <w:t>电信科研院</w:t>
      </w:r>
      <w:r w:rsidRPr="00B4515A">
        <w:rPr>
          <w:rFonts w:eastAsiaTheme="minorEastAsia" w:hint="eastAsia"/>
        </w:rPr>
        <w:t>主要下属企业基本情况如下：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19"/>
        <w:gridCol w:w="1706"/>
        <w:gridCol w:w="1915"/>
        <w:gridCol w:w="4188"/>
      </w:tblGrid>
      <w:tr w:rsidR="006416B0" w:rsidRPr="00B4515A" w14:paraId="03646F8A" w14:textId="77777777" w:rsidTr="005860B4">
        <w:trPr>
          <w:trHeight w:val="340"/>
          <w:tblHeader/>
          <w:jc w:val="center"/>
        </w:trPr>
        <w:tc>
          <w:tcPr>
            <w:tcW w:w="694" w:type="dxa"/>
            <w:tcMar>
              <w:top w:w="0" w:type="dxa"/>
              <w:left w:w="108" w:type="dxa"/>
              <w:bottom w:w="0" w:type="dxa"/>
              <w:right w:w="108" w:type="dxa"/>
            </w:tcMar>
            <w:vAlign w:val="center"/>
          </w:tcPr>
          <w:p w14:paraId="21C97CB9"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1648" w:type="dxa"/>
            <w:tcMar>
              <w:top w:w="0" w:type="dxa"/>
              <w:left w:w="108" w:type="dxa"/>
              <w:bottom w:w="0" w:type="dxa"/>
              <w:right w:w="108" w:type="dxa"/>
            </w:tcMar>
            <w:vAlign w:val="center"/>
          </w:tcPr>
          <w:p w14:paraId="49C29C59"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公司名称</w:t>
            </w:r>
          </w:p>
        </w:tc>
        <w:tc>
          <w:tcPr>
            <w:tcW w:w="1850" w:type="dxa"/>
            <w:tcMar>
              <w:top w:w="0" w:type="dxa"/>
              <w:left w:w="108" w:type="dxa"/>
              <w:bottom w:w="0" w:type="dxa"/>
              <w:right w:w="108" w:type="dxa"/>
            </w:tcMar>
            <w:vAlign w:val="center"/>
          </w:tcPr>
          <w:p w14:paraId="49F4E5B0"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直接</w:t>
            </w:r>
            <w:r w:rsidRPr="00B4515A">
              <w:rPr>
                <w:rFonts w:ascii="Times New Roman" w:hAnsi="Times New Roman" w:cs="Times New Roman"/>
                <w:b/>
                <w:sz w:val="21"/>
                <w:szCs w:val="21"/>
              </w:rPr>
              <w:t>持股比例</w:t>
            </w:r>
          </w:p>
        </w:tc>
        <w:tc>
          <w:tcPr>
            <w:tcW w:w="4046" w:type="dxa"/>
            <w:tcMar>
              <w:top w:w="0" w:type="dxa"/>
              <w:left w:w="108" w:type="dxa"/>
              <w:bottom w:w="0" w:type="dxa"/>
              <w:right w:w="108" w:type="dxa"/>
            </w:tcMar>
            <w:vAlign w:val="center"/>
          </w:tcPr>
          <w:p w14:paraId="531C653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经营范围</w:t>
            </w:r>
          </w:p>
        </w:tc>
      </w:tr>
      <w:tr w:rsidR="006416B0" w:rsidRPr="00B4515A" w14:paraId="59BE9A40" w14:textId="77777777" w:rsidTr="00031627">
        <w:trPr>
          <w:trHeight w:val="340"/>
          <w:jc w:val="center"/>
        </w:trPr>
        <w:tc>
          <w:tcPr>
            <w:tcW w:w="694" w:type="dxa"/>
            <w:tcMar>
              <w:top w:w="0" w:type="dxa"/>
              <w:left w:w="108" w:type="dxa"/>
              <w:bottom w:w="0" w:type="dxa"/>
              <w:right w:w="108" w:type="dxa"/>
            </w:tcMar>
            <w:vAlign w:val="center"/>
          </w:tcPr>
          <w:p w14:paraId="3F17B236" w14:textId="77777777" w:rsidR="006416B0" w:rsidRPr="00B4515A" w:rsidRDefault="005E58C1" w:rsidP="005860B4">
            <w:pPr>
              <w:adjustRightInd w:val="0"/>
              <w:snapToGrid w:val="0"/>
              <w:jc w:val="center"/>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1</w:t>
            </w:r>
          </w:p>
        </w:tc>
        <w:tc>
          <w:tcPr>
            <w:tcW w:w="1648" w:type="dxa"/>
            <w:tcMar>
              <w:top w:w="0" w:type="dxa"/>
              <w:left w:w="108" w:type="dxa"/>
              <w:bottom w:w="0" w:type="dxa"/>
              <w:right w:w="108" w:type="dxa"/>
            </w:tcMar>
            <w:vAlign w:val="center"/>
          </w:tcPr>
          <w:p w14:paraId="0B1C9A7C"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电信科学技术第一研究所有限公司</w:t>
            </w:r>
          </w:p>
        </w:tc>
        <w:tc>
          <w:tcPr>
            <w:tcW w:w="1850" w:type="dxa"/>
            <w:tcMar>
              <w:top w:w="0" w:type="dxa"/>
              <w:left w:w="108" w:type="dxa"/>
              <w:bottom w:w="0" w:type="dxa"/>
              <w:right w:w="108" w:type="dxa"/>
            </w:tcMar>
            <w:vAlign w:val="center"/>
          </w:tcPr>
          <w:p w14:paraId="635F4AD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w:t>
            </w:r>
          </w:p>
        </w:tc>
        <w:tc>
          <w:tcPr>
            <w:tcW w:w="4046" w:type="dxa"/>
            <w:tcMar>
              <w:top w:w="0" w:type="dxa"/>
              <w:left w:w="108" w:type="dxa"/>
              <w:bottom w:w="0" w:type="dxa"/>
              <w:right w:w="108" w:type="dxa"/>
            </w:tcMar>
            <w:vAlign w:val="center"/>
          </w:tcPr>
          <w:p w14:paraId="59C79C28" w14:textId="3C80859D"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通信信息、广播电视设备科研、设计、开发、制造（含测试）、应用及软件服务，通信终端、计算机软件、硬件、网络应用业务、系统集成，其他电子系统、设备及主器件等的开发、销售及上述领域内的技术开发、技术转让、技术咨询、技术服务，利用自有媒体发布广告（除增值电信业务），设计、制作各类广告，汽车销售，质检技术服务。</w:t>
            </w:r>
            <w:r w:rsidR="00E26331" w:rsidRPr="00B4515A">
              <w:rPr>
                <w:rFonts w:ascii="Times New Roman" w:hAnsi="Times New Roman" w:cs="Times New Roman" w:hint="eastAsia"/>
                <w:sz w:val="21"/>
                <w:szCs w:val="21"/>
              </w:rPr>
              <w:t>（</w:t>
            </w:r>
            <w:r w:rsidRPr="00B4515A">
              <w:rPr>
                <w:rFonts w:ascii="Times New Roman" w:hAnsi="Times New Roman" w:cs="Times New Roman" w:hint="eastAsia"/>
                <w:sz w:val="21"/>
                <w:szCs w:val="21"/>
              </w:rPr>
              <w:t>依法须经批准的项目，经相关部门批准后方可开展经营活动</w:t>
            </w:r>
            <w:r w:rsidR="00E26331" w:rsidRPr="00B4515A">
              <w:rPr>
                <w:rFonts w:ascii="Times New Roman" w:hAnsi="Times New Roman" w:cs="Times New Roman" w:hint="eastAsia"/>
                <w:sz w:val="21"/>
                <w:szCs w:val="21"/>
              </w:rPr>
              <w:t>）</w:t>
            </w:r>
          </w:p>
        </w:tc>
      </w:tr>
      <w:tr w:rsidR="006416B0" w:rsidRPr="00B4515A" w14:paraId="0A507CCF" w14:textId="77777777" w:rsidTr="00031627">
        <w:trPr>
          <w:trHeight w:val="340"/>
          <w:jc w:val="center"/>
        </w:trPr>
        <w:tc>
          <w:tcPr>
            <w:tcW w:w="694" w:type="dxa"/>
            <w:tcMar>
              <w:top w:w="0" w:type="dxa"/>
              <w:left w:w="108" w:type="dxa"/>
              <w:bottom w:w="0" w:type="dxa"/>
              <w:right w:w="108" w:type="dxa"/>
            </w:tcMar>
            <w:vAlign w:val="center"/>
          </w:tcPr>
          <w:p w14:paraId="00305C6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2</w:t>
            </w:r>
          </w:p>
        </w:tc>
        <w:tc>
          <w:tcPr>
            <w:tcW w:w="1648" w:type="dxa"/>
            <w:tcMar>
              <w:top w:w="0" w:type="dxa"/>
              <w:left w:w="108" w:type="dxa"/>
              <w:bottom w:w="0" w:type="dxa"/>
              <w:right w:w="108" w:type="dxa"/>
            </w:tcMar>
            <w:vAlign w:val="center"/>
          </w:tcPr>
          <w:p w14:paraId="5A566689" w14:textId="77777777" w:rsidR="006416B0" w:rsidRPr="00B4515A" w:rsidRDefault="000374A4" w:rsidP="005860B4">
            <w:pPr>
              <w:adjustRightInd w:val="0"/>
              <w:snapToGrid w:val="0"/>
              <w:jc w:val="both"/>
              <w:rPr>
                <w:rFonts w:ascii="Times New Roman" w:hAnsi="Times New Roman" w:cs="Times New Roman"/>
                <w:sz w:val="21"/>
                <w:szCs w:val="21"/>
              </w:rPr>
            </w:pPr>
            <w:hyperlink r:id="rId19" w:tgtFrame="_blank" w:history="1">
              <w:r w:rsidR="005E58C1" w:rsidRPr="00B4515A">
                <w:rPr>
                  <w:rFonts w:ascii="Times New Roman" w:hAnsi="Times New Roman" w:cs="Times New Roman"/>
                  <w:sz w:val="21"/>
                  <w:szCs w:val="21"/>
                </w:rPr>
                <w:t>电信科学技术半导体研究所有限公司</w:t>
              </w:r>
            </w:hyperlink>
          </w:p>
        </w:tc>
        <w:tc>
          <w:tcPr>
            <w:tcW w:w="1850" w:type="dxa"/>
            <w:tcMar>
              <w:top w:w="0" w:type="dxa"/>
              <w:left w:w="108" w:type="dxa"/>
              <w:bottom w:w="0" w:type="dxa"/>
              <w:right w:w="108" w:type="dxa"/>
            </w:tcMar>
            <w:vAlign w:val="center"/>
          </w:tcPr>
          <w:p w14:paraId="3FA884A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w:t>
            </w:r>
          </w:p>
        </w:tc>
        <w:tc>
          <w:tcPr>
            <w:tcW w:w="4046" w:type="dxa"/>
            <w:tcMar>
              <w:top w:w="0" w:type="dxa"/>
              <w:left w:w="108" w:type="dxa"/>
              <w:bottom w:w="0" w:type="dxa"/>
              <w:right w:w="108" w:type="dxa"/>
            </w:tcMar>
            <w:vAlign w:val="center"/>
          </w:tcPr>
          <w:p w14:paraId="3EF64F6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技术开发、技术转让、技术服务、技术推广；出租办公用房；租赁机械设备（不含汽车租赁）。（企业依法自主选择经营项目，开展经营活动；依法须经批准的项目，经相关部门批准后依批准的内容开展经营活动；不得从事本市产业政策禁止和限制类项目的经营活动。）</w:t>
            </w:r>
          </w:p>
        </w:tc>
      </w:tr>
      <w:tr w:rsidR="006416B0" w:rsidRPr="00B4515A" w14:paraId="0AFA4620" w14:textId="77777777" w:rsidTr="00031627">
        <w:trPr>
          <w:trHeight w:val="340"/>
          <w:jc w:val="center"/>
        </w:trPr>
        <w:tc>
          <w:tcPr>
            <w:tcW w:w="694" w:type="dxa"/>
            <w:tcMar>
              <w:top w:w="0" w:type="dxa"/>
              <w:left w:w="108" w:type="dxa"/>
              <w:bottom w:w="0" w:type="dxa"/>
              <w:right w:w="108" w:type="dxa"/>
            </w:tcMar>
            <w:vAlign w:val="center"/>
          </w:tcPr>
          <w:p w14:paraId="4CD0BDA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3</w:t>
            </w:r>
          </w:p>
        </w:tc>
        <w:tc>
          <w:tcPr>
            <w:tcW w:w="1648" w:type="dxa"/>
            <w:tcMar>
              <w:top w:w="0" w:type="dxa"/>
              <w:left w:w="108" w:type="dxa"/>
              <w:bottom w:w="0" w:type="dxa"/>
              <w:right w:w="108" w:type="dxa"/>
            </w:tcMar>
            <w:vAlign w:val="center"/>
          </w:tcPr>
          <w:p w14:paraId="7F07BEA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大唐实创（北京）投资有限公司</w:t>
            </w:r>
          </w:p>
        </w:tc>
        <w:tc>
          <w:tcPr>
            <w:tcW w:w="1850" w:type="dxa"/>
            <w:tcMar>
              <w:top w:w="0" w:type="dxa"/>
              <w:left w:w="108" w:type="dxa"/>
              <w:bottom w:w="0" w:type="dxa"/>
              <w:right w:w="108" w:type="dxa"/>
            </w:tcMar>
            <w:vAlign w:val="center"/>
          </w:tcPr>
          <w:p w14:paraId="672ACFFB"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w:t>
            </w:r>
          </w:p>
        </w:tc>
        <w:tc>
          <w:tcPr>
            <w:tcW w:w="4046" w:type="dxa"/>
            <w:tcMar>
              <w:top w:w="0" w:type="dxa"/>
              <w:left w:w="108" w:type="dxa"/>
              <w:bottom w:w="0" w:type="dxa"/>
              <w:right w:w="108" w:type="dxa"/>
            </w:tcMar>
            <w:vAlign w:val="center"/>
          </w:tcPr>
          <w:p w14:paraId="7079C7FE" w14:textId="77777777" w:rsidR="006416B0" w:rsidRPr="00B4515A" w:rsidRDefault="005E58C1" w:rsidP="005860B4">
            <w:pPr>
              <w:adjustRightInd w:val="0"/>
              <w:snapToGrid w:val="0"/>
              <w:rPr>
                <w:sz w:val="21"/>
                <w:szCs w:val="21"/>
              </w:rPr>
            </w:pPr>
            <w:r w:rsidRPr="00B4515A">
              <w:rPr>
                <w:rFonts w:ascii="Helvetica Neue" w:hAnsi="Helvetica Neue"/>
                <w:color w:val="333333"/>
                <w:sz w:val="21"/>
                <w:szCs w:val="21"/>
              </w:rPr>
              <w:t>投资管理；专业承包；城市园林绿化；施工总承包；零售日用杂货；体育项目经营（含保龄球、游泳、网球、游泳培训）；技术服务；会议服务；计算机技术培训；物业管理；软件开发；餐饮管理；酒店管理；出租办公用房；住宿；零售烟、饮料、酒；中餐；冷荤凉菜；美发；零售卷烟、雪茄烟（限分支机构经营）。（</w:t>
            </w:r>
            <w:r w:rsidRPr="00B4515A">
              <w:rPr>
                <w:rFonts w:hint="eastAsia"/>
                <w:color w:val="333333"/>
                <w:sz w:val="21"/>
                <w:szCs w:val="21"/>
              </w:rPr>
              <w:t>“</w:t>
            </w:r>
            <w:r w:rsidRPr="00B4515A">
              <w:rPr>
                <w:rFonts w:ascii="Helvetica Neue" w:hAnsi="Helvetica Neue"/>
                <w:color w:val="333333"/>
                <w:sz w:val="21"/>
                <w:szCs w:val="21"/>
              </w:rPr>
              <w:t>1</w:t>
            </w:r>
            <w:r w:rsidRPr="00B4515A">
              <w:rPr>
                <w:rFonts w:ascii="Helvetica Neue" w:hAnsi="Helvetica Neue"/>
                <w:color w:val="333333"/>
                <w:sz w:val="21"/>
                <w:szCs w:val="21"/>
              </w:rPr>
              <w:t>、未经有关部门批准，不得以公开方式募集资金；</w:t>
            </w:r>
            <w:r w:rsidRPr="00B4515A">
              <w:rPr>
                <w:rFonts w:ascii="Helvetica Neue" w:hAnsi="Helvetica Neue"/>
                <w:color w:val="333333"/>
                <w:sz w:val="21"/>
                <w:szCs w:val="21"/>
              </w:rPr>
              <w:t>2</w:t>
            </w:r>
            <w:r w:rsidRPr="00B4515A">
              <w:rPr>
                <w:rFonts w:ascii="Helvetica Neue" w:hAnsi="Helvetica Neue"/>
                <w:color w:val="333333"/>
                <w:sz w:val="21"/>
                <w:szCs w:val="21"/>
              </w:rPr>
              <w:t>、不得公开开展证券类产品和金融衍生品交易活动；</w:t>
            </w:r>
            <w:r w:rsidRPr="00B4515A">
              <w:rPr>
                <w:rFonts w:ascii="Helvetica Neue" w:hAnsi="Helvetica Neue"/>
                <w:color w:val="333333"/>
                <w:sz w:val="21"/>
                <w:szCs w:val="21"/>
              </w:rPr>
              <w:t>3</w:t>
            </w:r>
            <w:r w:rsidRPr="00B4515A">
              <w:rPr>
                <w:rFonts w:ascii="Helvetica Neue" w:hAnsi="Helvetica Neue"/>
                <w:color w:val="333333"/>
                <w:sz w:val="21"/>
                <w:szCs w:val="21"/>
              </w:rPr>
              <w:t>、不得发放贷款；</w:t>
            </w:r>
            <w:r w:rsidRPr="00B4515A">
              <w:rPr>
                <w:rFonts w:ascii="Helvetica Neue" w:hAnsi="Helvetica Neue"/>
                <w:color w:val="333333"/>
                <w:sz w:val="21"/>
                <w:szCs w:val="21"/>
              </w:rPr>
              <w:t>4</w:t>
            </w:r>
            <w:r w:rsidRPr="00B4515A">
              <w:rPr>
                <w:rFonts w:ascii="Helvetica Neue" w:hAnsi="Helvetica Neue"/>
                <w:color w:val="333333"/>
                <w:sz w:val="21"/>
                <w:szCs w:val="21"/>
              </w:rPr>
              <w:t>、不得对所投资企业以外的其他企业提供担保；</w:t>
            </w:r>
            <w:r w:rsidRPr="00B4515A">
              <w:rPr>
                <w:rFonts w:ascii="Helvetica Neue" w:hAnsi="Helvetica Neue"/>
                <w:color w:val="333333"/>
                <w:sz w:val="21"/>
                <w:szCs w:val="21"/>
              </w:rPr>
              <w:t>5</w:t>
            </w:r>
            <w:r w:rsidRPr="00B4515A">
              <w:rPr>
                <w:rFonts w:ascii="Helvetica Neue" w:hAnsi="Helvetica Neue"/>
                <w:color w:val="333333"/>
                <w:sz w:val="21"/>
                <w:szCs w:val="21"/>
              </w:rPr>
              <w:t>、不得向投资者承诺投资本金不受损失或者承诺最低收益</w:t>
            </w:r>
            <w:r w:rsidRPr="00B4515A">
              <w:rPr>
                <w:rFonts w:hint="eastAsia"/>
                <w:color w:val="333333"/>
                <w:sz w:val="21"/>
                <w:szCs w:val="21"/>
              </w:rPr>
              <w:t>”</w:t>
            </w:r>
            <w:r w:rsidRPr="00B4515A">
              <w:rPr>
                <w:rFonts w:ascii="Helvetica Neue" w:hAnsi="Helvetica Neue"/>
                <w:color w:val="333333"/>
                <w:sz w:val="21"/>
                <w:szCs w:val="21"/>
              </w:rPr>
              <w:t>；企业依法自主选择经营项目，开展经营活动；依法须经批准的项目，经相关部门批准后依批准的内容开展经营活动；不得从事本市产业政策禁止和限制类项目的经营活动。）</w:t>
            </w:r>
          </w:p>
        </w:tc>
      </w:tr>
      <w:tr w:rsidR="006416B0" w:rsidRPr="00B4515A" w14:paraId="7CA56F59" w14:textId="77777777" w:rsidTr="00031627">
        <w:trPr>
          <w:trHeight w:val="340"/>
          <w:jc w:val="center"/>
        </w:trPr>
        <w:tc>
          <w:tcPr>
            <w:tcW w:w="694" w:type="dxa"/>
            <w:tcMar>
              <w:top w:w="0" w:type="dxa"/>
              <w:left w:w="108" w:type="dxa"/>
              <w:bottom w:w="0" w:type="dxa"/>
              <w:right w:w="108" w:type="dxa"/>
            </w:tcMar>
            <w:vAlign w:val="center"/>
          </w:tcPr>
          <w:p w14:paraId="3E60EE0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lastRenderedPageBreak/>
              <w:t>4</w:t>
            </w:r>
          </w:p>
        </w:tc>
        <w:tc>
          <w:tcPr>
            <w:tcW w:w="1648" w:type="dxa"/>
            <w:tcMar>
              <w:top w:w="0" w:type="dxa"/>
              <w:left w:w="108" w:type="dxa"/>
              <w:bottom w:w="0" w:type="dxa"/>
              <w:right w:w="108" w:type="dxa"/>
            </w:tcMar>
            <w:vAlign w:val="center"/>
          </w:tcPr>
          <w:p w14:paraId="27974E9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电信科学技术第十研究所有限公司</w:t>
            </w:r>
          </w:p>
        </w:tc>
        <w:tc>
          <w:tcPr>
            <w:tcW w:w="1850" w:type="dxa"/>
            <w:tcMar>
              <w:top w:w="0" w:type="dxa"/>
              <w:left w:w="108" w:type="dxa"/>
              <w:bottom w:w="0" w:type="dxa"/>
              <w:right w:w="108" w:type="dxa"/>
            </w:tcMar>
            <w:vAlign w:val="center"/>
          </w:tcPr>
          <w:p w14:paraId="72ADDEF9"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1</w:t>
            </w:r>
            <w:r w:rsidRPr="00B4515A">
              <w:rPr>
                <w:rFonts w:ascii="Times New Roman" w:hAnsi="Times New Roman" w:cs="Times New Roman"/>
                <w:bCs/>
                <w:color w:val="000000" w:themeColor="text1"/>
                <w:sz w:val="21"/>
                <w:szCs w:val="21"/>
              </w:rPr>
              <w:t>00.00%</w:t>
            </w:r>
          </w:p>
        </w:tc>
        <w:tc>
          <w:tcPr>
            <w:tcW w:w="4046" w:type="dxa"/>
            <w:tcMar>
              <w:top w:w="0" w:type="dxa"/>
              <w:left w:w="108" w:type="dxa"/>
              <w:bottom w:w="0" w:type="dxa"/>
              <w:right w:w="108" w:type="dxa"/>
            </w:tcMar>
            <w:vAlign w:val="center"/>
          </w:tcPr>
          <w:p w14:paraId="134FEF8B"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通信设备、电子产品、计算机网络与通信系统、信息安全技术产品、软件产品的研制、开发、制造、销售；通信工程、网络工程的设计、集成、安装、调测与服务；建筑智能化工程设计与施工；公共安全防范工程的设计、安装、维护；通信仪器仪表及元器件的销售、代销、技术咨询、技术服务、技术转让、租赁业务；物业管理服务；代销水、电、暖气；停车收费业务。（依法须经批准的项目，经相关部门批准后方可开展经营活动）</w:t>
            </w:r>
          </w:p>
        </w:tc>
      </w:tr>
      <w:tr w:rsidR="006416B0" w:rsidRPr="00B4515A" w14:paraId="21042A60" w14:textId="77777777" w:rsidTr="00031627">
        <w:trPr>
          <w:trHeight w:val="340"/>
          <w:jc w:val="center"/>
        </w:trPr>
        <w:tc>
          <w:tcPr>
            <w:tcW w:w="694" w:type="dxa"/>
            <w:tcMar>
              <w:top w:w="0" w:type="dxa"/>
              <w:left w:w="108" w:type="dxa"/>
              <w:bottom w:w="0" w:type="dxa"/>
              <w:right w:w="108" w:type="dxa"/>
            </w:tcMar>
            <w:vAlign w:val="center"/>
          </w:tcPr>
          <w:p w14:paraId="71ADB0F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5</w:t>
            </w:r>
          </w:p>
        </w:tc>
        <w:tc>
          <w:tcPr>
            <w:tcW w:w="1648" w:type="dxa"/>
            <w:tcMar>
              <w:top w:w="0" w:type="dxa"/>
              <w:left w:w="108" w:type="dxa"/>
              <w:bottom w:w="0" w:type="dxa"/>
              <w:right w:w="108" w:type="dxa"/>
            </w:tcMar>
            <w:vAlign w:val="center"/>
          </w:tcPr>
          <w:p w14:paraId="2F6A51CA"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电信科学技术仪表研究所有限公司</w:t>
            </w:r>
          </w:p>
        </w:tc>
        <w:tc>
          <w:tcPr>
            <w:tcW w:w="1850" w:type="dxa"/>
            <w:tcMar>
              <w:top w:w="0" w:type="dxa"/>
              <w:left w:w="108" w:type="dxa"/>
              <w:bottom w:w="0" w:type="dxa"/>
              <w:right w:w="108" w:type="dxa"/>
            </w:tcMar>
            <w:vAlign w:val="center"/>
          </w:tcPr>
          <w:p w14:paraId="1CD0816F"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1</w:t>
            </w:r>
            <w:r w:rsidRPr="00B4515A">
              <w:rPr>
                <w:rFonts w:ascii="Times New Roman" w:hAnsi="Times New Roman" w:cs="Times New Roman"/>
                <w:bCs/>
                <w:color w:val="000000" w:themeColor="text1"/>
                <w:sz w:val="21"/>
                <w:szCs w:val="21"/>
              </w:rPr>
              <w:t>00.00%</w:t>
            </w:r>
          </w:p>
        </w:tc>
        <w:tc>
          <w:tcPr>
            <w:tcW w:w="4046" w:type="dxa"/>
            <w:tcMar>
              <w:top w:w="0" w:type="dxa"/>
              <w:left w:w="108" w:type="dxa"/>
              <w:bottom w:w="0" w:type="dxa"/>
              <w:right w:w="108" w:type="dxa"/>
            </w:tcMar>
            <w:vAlign w:val="center"/>
          </w:tcPr>
          <w:p w14:paraId="06024B0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通信电子仪器仪表、通信设备的制造；电路板生产线的加工、组装；互联网信息服务；通信电子仪器仪表、通信设备、计算机软件的技术开发、技术服务、技术转让、技术咨询、技术培训、技术推广；销售开发后的产品、电子元器件、通信器材；电路板生产线的调测；租赁房屋、设备、场地；通信和计算机网络技术服务；提供劳务服务；修理安装仪器仪表、家用电器、制冷设备；机动车公共停车场服务。（领取执照后，应到市市政管理委员会或区、县人民政府确定的行政主管部门备案。企业依法自主选择经营项目，开展经营活动；依法须经批准的项目，经相关部门批准后依批准的内容开展经营活动；不得从事本区产业政策禁止和限制类项目的经营活动。）</w:t>
            </w:r>
          </w:p>
        </w:tc>
      </w:tr>
      <w:tr w:rsidR="006416B0" w:rsidRPr="00B4515A" w14:paraId="17000028" w14:textId="77777777" w:rsidTr="00031627">
        <w:trPr>
          <w:trHeight w:val="340"/>
          <w:jc w:val="center"/>
        </w:trPr>
        <w:tc>
          <w:tcPr>
            <w:tcW w:w="694" w:type="dxa"/>
            <w:tcMar>
              <w:top w:w="0" w:type="dxa"/>
              <w:left w:w="108" w:type="dxa"/>
              <w:bottom w:w="0" w:type="dxa"/>
              <w:right w:w="108" w:type="dxa"/>
            </w:tcMar>
            <w:vAlign w:val="center"/>
          </w:tcPr>
          <w:p w14:paraId="37DA638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6</w:t>
            </w:r>
          </w:p>
        </w:tc>
        <w:tc>
          <w:tcPr>
            <w:tcW w:w="1648" w:type="dxa"/>
            <w:tcMar>
              <w:top w:w="0" w:type="dxa"/>
              <w:left w:w="108" w:type="dxa"/>
              <w:bottom w:w="0" w:type="dxa"/>
              <w:right w:w="108" w:type="dxa"/>
            </w:tcMar>
            <w:vAlign w:val="center"/>
          </w:tcPr>
          <w:p w14:paraId="5028931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电信科学技术第四研究所有限公司</w:t>
            </w:r>
          </w:p>
        </w:tc>
        <w:tc>
          <w:tcPr>
            <w:tcW w:w="1850" w:type="dxa"/>
            <w:tcMar>
              <w:top w:w="0" w:type="dxa"/>
              <w:left w:w="108" w:type="dxa"/>
              <w:bottom w:w="0" w:type="dxa"/>
              <w:right w:w="108" w:type="dxa"/>
            </w:tcMar>
            <w:vAlign w:val="center"/>
          </w:tcPr>
          <w:p w14:paraId="3F9FFF3F"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1</w:t>
            </w:r>
            <w:r w:rsidRPr="00B4515A">
              <w:rPr>
                <w:rFonts w:ascii="Times New Roman" w:hAnsi="Times New Roman" w:cs="Times New Roman"/>
                <w:bCs/>
                <w:color w:val="000000" w:themeColor="text1"/>
                <w:sz w:val="21"/>
                <w:szCs w:val="21"/>
              </w:rPr>
              <w:t>00.00%</w:t>
            </w:r>
          </w:p>
        </w:tc>
        <w:tc>
          <w:tcPr>
            <w:tcW w:w="4046" w:type="dxa"/>
            <w:tcMar>
              <w:top w:w="0" w:type="dxa"/>
              <w:left w:w="108" w:type="dxa"/>
              <w:bottom w:w="0" w:type="dxa"/>
              <w:right w:w="108" w:type="dxa"/>
            </w:tcMar>
            <w:vAlign w:val="center"/>
          </w:tcPr>
          <w:p w14:paraId="780FF39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通信设备、频谱监测设备、电子产品、信息网络设备、软件产品、隐身材料、吸波材料、金属合金材料、半导体材料、薄膜太阳能电池、伪装网、伪装器材、隐身器材、近红外远红外及热红外器材的研制、开发、制造和销售；仪器仪表及元器件的代销、技术咨询、技术服务；工程设计安装、能源供给、租赁服务（以上不含国家专项审批）；经营本企业和本企业成员企业自产产品及相关技术的出口业务；经营本企业和本企业成员企业生产、科研所需的原辅材料、机械设备、仪器仪表、零配件及相关技术的进口业务（国家限定公司经营或禁止进口、出口的商品除外）；经营本企业的进料加工和</w:t>
            </w:r>
            <w:r w:rsidRPr="00B4515A">
              <w:rPr>
                <w:rFonts w:cs="Times New Roman" w:hint="eastAsia"/>
                <w:sz w:val="21"/>
                <w:szCs w:val="21"/>
              </w:rPr>
              <w:t>“</w:t>
            </w:r>
            <w:r w:rsidRPr="00B4515A">
              <w:rPr>
                <w:rFonts w:ascii="Times New Roman" w:hAnsi="Times New Roman" w:cs="Times New Roman" w:hint="eastAsia"/>
                <w:sz w:val="21"/>
                <w:szCs w:val="21"/>
              </w:rPr>
              <w:t>三来一补</w:t>
            </w:r>
            <w:r w:rsidRPr="00B4515A">
              <w:rPr>
                <w:rFonts w:cs="Times New Roman" w:hint="eastAsia"/>
                <w:sz w:val="21"/>
                <w:szCs w:val="21"/>
              </w:rPr>
              <w:t>”</w:t>
            </w:r>
            <w:r w:rsidRPr="00B4515A">
              <w:rPr>
                <w:rFonts w:ascii="Times New Roman" w:hAnsi="Times New Roman" w:cs="Times New Roman" w:hint="eastAsia"/>
                <w:sz w:val="21"/>
                <w:szCs w:val="21"/>
              </w:rPr>
              <w:t>业务；物业管理。（依法须经批准的项目，经相关部门批准后方可开展经营活动）</w:t>
            </w:r>
          </w:p>
        </w:tc>
      </w:tr>
      <w:tr w:rsidR="006416B0" w:rsidRPr="00B4515A" w14:paraId="6D09BF3C" w14:textId="77777777" w:rsidTr="00031627">
        <w:trPr>
          <w:trHeight w:val="340"/>
          <w:jc w:val="center"/>
        </w:trPr>
        <w:tc>
          <w:tcPr>
            <w:tcW w:w="694" w:type="dxa"/>
            <w:tcMar>
              <w:top w:w="0" w:type="dxa"/>
              <w:left w:w="108" w:type="dxa"/>
              <w:bottom w:w="0" w:type="dxa"/>
              <w:right w:w="108" w:type="dxa"/>
            </w:tcMar>
            <w:vAlign w:val="center"/>
          </w:tcPr>
          <w:p w14:paraId="7612C96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7</w:t>
            </w:r>
          </w:p>
        </w:tc>
        <w:tc>
          <w:tcPr>
            <w:tcW w:w="1648" w:type="dxa"/>
            <w:tcMar>
              <w:top w:w="0" w:type="dxa"/>
              <w:left w:w="108" w:type="dxa"/>
              <w:bottom w:w="0" w:type="dxa"/>
              <w:right w:w="108" w:type="dxa"/>
            </w:tcMar>
            <w:vAlign w:val="center"/>
          </w:tcPr>
          <w:p w14:paraId="49C4A00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国家无线电频谱管理研究所有限公司</w:t>
            </w:r>
          </w:p>
        </w:tc>
        <w:tc>
          <w:tcPr>
            <w:tcW w:w="1850" w:type="dxa"/>
            <w:tcMar>
              <w:top w:w="0" w:type="dxa"/>
              <w:left w:w="108" w:type="dxa"/>
              <w:bottom w:w="0" w:type="dxa"/>
              <w:right w:w="108" w:type="dxa"/>
            </w:tcMar>
            <w:vAlign w:val="center"/>
          </w:tcPr>
          <w:p w14:paraId="173CD87C"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100.00%</w:t>
            </w:r>
          </w:p>
        </w:tc>
        <w:tc>
          <w:tcPr>
            <w:tcW w:w="4046" w:type="dxa"/>
            <w:tcMar>
              <w:top w:w="0" w:type="dxa"/>
              <w:left w:w="108" w:type="dxa"/>
              <w:bottom w:w="0" w:type="dxa"/>
              <w:right w:w="108" w:type="dxa"/>
            </w:tcMar>
            <w:vAlign w:val="center"/>
          </w:tcPr>
          <w:p w14:paraId="1449C4A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一般经营项目：无线电频谱管理软件、通信软件、电子政务软件及其它软件的开发、生产、集成、销售；无线电监测设备及仪表、通信设备、电子设备的开发、生产、集成、销售；计算机网络、通信网络的测试、设计、优化及工程安装；通信设备的检测、仪表计量、系统集成、综合布线；以上相关的技术</w:t>
            </w:r>
            <w:r w:rsidRPr="00B4515A">
              <w:rPr>
                <w:rFonts w:ascii="Times New Roman" w:hAnsi="Times New Roman" w:cs="Times New Roman" w:hint="eastAsia"/>
                <w:sz w:val="21"/>
                <w:szCs w:val="21"/>
              </w:rPr>
              <w:lastRenderedPageBreak/>
              <w:t>咨询、技术服务、技术培训；自营和代理各类商品和技术的进出口，但国家限定公司经营或禁止进出口的商品和技术除外；仪表设备租赁、房屋租赁、物业管理服务。（上述经营范围涉及许可经营项目的，凭许可证明文件或批准证书在有效期内经营，未经许可不得经营）</w:t>
            </w:r>
          </w:p>
        </w:tc>
      </w:tr>
      <w:tr w:rsidR="006416B0" w:rsidRPr="00B4515A" w14:paraId="5286FDD3" w14:textId="77777777" w:rsidTr="00031627">
        <w:trPr>
          <w:trHeight w:val="340"/>
          <w:jc w:val="center"/>
        </w:trPr>
        <w:tc>
          <w:tcPr>
            <w:tcW w:w="694" w:type="dxa"/>
            <w:tcMar>
              <w:top w:w="0" w:type="dxa"/>
              <w:left w:w="108" w:type="dxa"/>
              <w:bottom w:w="0" w:type="dxa"/>
              <w:right w:w="108" w:type="dxa"/>
            </w:tcMar>
            <w:vAlign w:val="center"/>
          </w:tcPr>
          <w:p w14:paraId="29FA641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lastRenderedPageBreak/>
              <w:t>8</w:t>
            </w:r>
          </w:p>
        </w:tc>
        <w:tc>
          <w:tcPr>
            <w:tcW w:w="1648" w:type="dxa"/>
            <w:tcMar>
              <w:top w:w="0" w:type="dxa"/>
              <w:left w:w="108" w:type="dxa"/>
              <w:bottom w:w="0" w:type="dxa"/>
              <w:right w:w="108" w:type="dxa"/>
            </w:tcMar>
            <w:vAlign w:val="center"/>
          </w:tcPr>
          <w:p w14:paraId="05DDE96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电信科学技术第五研究所有限公司</w:t>
            </w:r>
          </w:p>
        </w:tc>
        <w:tc>
          <w:tcPr>
            <w:tcW w:w="1850" w:type="dxa"/>
            <w:tcMar>
              <w:top w:w="0" w:type="dxa"/>
              <w:left w:w="108" w:type="dxa"/>
              <w:bottom w:w="0" w:type="dxa"/>
              <w:right w:w="108" w:type="dxa"/>
            </w:tcMar>
            <w:vAlign w:val="center"/>
          </w:tcPr>
          <w:p w14:paraId="2D4EAB64"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1</w:t>
            </w:r>
            <w:r w:rsidRPr="00B4515A">
              <w:rPr>
                <w:rFonts w:ascii="Times New Roman" w:hAnsi="Times New Roman" w:cs="Times New Roman"/>
                <w:bCs/>
                <w:color w:val="000000" w:themeColor="text1"/>
                <w:sz w:val="21"/>
                <w:szCs w:val="21"/>
              </w:rPr>
              <w:t>00.00%</w:t>
            </w:r>
          </w:p>
        </w:tc>
        <w:tc>
          <w:tcPr>
            <w:tcW w:w="4046" w:type="dxa"/>
            <w:tcMar>
              <w:top w:w="0" w:type="dxa"/>
              <w:left w:w="108" w:type="dxa"/>
              <w:bottom w:w="0" w:type="dxa"/>
              <w:right w:w="108" w:type="dxa"/>
            </w:tcMar>
            <w:vAlign w:val="center"/>
          </w:tcPr>
          <w:p w14:paraId="3E11F8EA"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以下范围不含前置许可项目，后置许可项目凭许可证或审批文件经营）：通信工程、电信工程、建筑装修装饰工程；通信产品研发、生产及销售；物业管理；房屋租赁；公共安全技术防范工程；软件和信息技术服务业；技术推广服务；专业停车场服务。（依法须经批准的项目，经相关部门批准后方可开展经营活动）</w:t>
            </w:r>
          </w:p>
        </w:tc>
      </w:tr>
      <w:tr w:rsidR="006416B0" w:rsidRPr="00B4515A" w14:paraId="002B712C" w14:textId="77777777" w:rsidTr="00031627">
        <w:trPr>
          <w:trHeight w:val="340"/>
          <w:jc w:val="center"/>
        </w:trPr>
        <w:tc>
          <w:tcPr>
            <w:tcW w:w="694" w:type="dxa"/>
            <w:tcMar>
              <w:top w:w="0" w:type="dxa"/>
              <w:left w:w="108" w:type="dxa"/>
              <w:bottom w:w="0" w:type="dxa"/>
              <w:right w:w="108" w:type="dxa"/>
            </w:tcMar>
            <w:vAlign w:val="center"/>
          </w:tcPr>
          <w:p w14:paraId="1FC4792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9</w:t>
            </w:r>
          </w:p>
        </w:tc>
        <w:tc>
          <w:tcPr>
            <w:tcW w:w="1648" w:type="dxa"/>
            <w:tcMar>
              <w:top w:w="0" w:type="dxa"/>
              <w:left w:w="108" w:type="dxa"/>
              <w:bottom w:w="0" w:type="dxa"/>
              <w:right w:w="108" w:type="dxa"/>
            </w:tcMar>
            <w:vAlign w:val="center"/>
          </w:tcPr>
          <w:p w14:paraId="4F69479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数据通信科学技术研究所</w:t>
            </w:r>
          </w:p>
        </w:tc>
        <w:tc>
          <w:tcPr>
            <w:tcW w:w="1850" w:type="dxa"/>
            <w:tcMar>
              <w:top w:w="0" w:type="dxa"/>
              <w:left w:w="108" w:type="dxa"/>
              <w:bottom w:w="0" w:type="dxa"/>
              <w:right w:w="108" w:type="dxa"/>
            </w:tcMar>
            <w:vAlign w:val="center"/>
          </w:tcPr>
          <w:p w14:paraId="14EBD442"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1</w:t>
            </w:r>
            <w:r w:rsidRPr="00B4515A">
              <w:rPr>
                <w:rFonts w:ascii="Times New Roman" w:hAnsi="Times New Roman" w:cs="Times New Roman"/>
                <w:bCs/>
                <w:color w:val="000000" w:themeColor="text1"/>
                <w:sz w:val="21"/>
                <w:szCs w:val="21"/>
              </w:rPr>
              <w:t>00.00%</w:t>
            </w:r>
          </w:p>
        </w:tc>
        <w:tc>
          <w:tcPr>
            <w:tcW w:w="4046" w:type="dxa"/>
            <w:tcMar>
              <w:top w:w="0" w:type="dxa"/>
              <w:left w:w="108" w:type="dxa"/>
              <w:bottom w:w="0" w:type="dxa"/>
              <w:right w:w="108" w:type="dxa"/>
            </w:tcMar>
            <w:vAlign w:val="center"/>
          </w:tcPr>
          <w:p w14:paraId="363A932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制造开发后的产品；通信软件、通信设备、计算机软硬件、电子产品、通信系统技术开发、技术服务、技术转让、技术咨询、技术培训；销售开发后的产品；通信及计算机系统集成；物业管理；租赁房屋及场地</w:t>
            </w:r>
            <w:r w:rsidRPr="00B4515A">
              <w:rPr>
                <w:rFonts w:ascii="Times New Roman" w:hAnsi="Times New Roman" w:cs="Times New Roman" w:hint="eastAsia"/>
                <w:sz w:val="21"/>
                <w:szCs w:val="21"/>
              </w:rPr>
              <w:t>;</w:t>
            </w:r>
            <w:r w:rsidRPr="00B4515A">
              <w:rPr>
                <w:rFonts w:ascii="Times New Roman" w:hAnsi="Times New Roman" w:cs="Times New Roman" w:hint="eastAsia"/>
                <w:sz w:val="21"/>
                <w:szCs w:val="21"/>
              </w:rPr>
              <w:t>主办《数据通信》杂志；设计和制作印刷品广告；利用自有《数据通信》杂志发布广告。（企业依法自主选择经营项目，开展经营活动；依法须经批准的项目，经相关部门批准后依批准的内容开展经营活动；不得从事本市产业政策禁止和限制类项目的经营活动。）</w:t>
            </w:r>
          </w:p>
        </w:tc>
      </w:tr>
      <w:tr w:rsidR="006416B0" w:rsidRPr="00B4515A" w14:paraId="1FEE9070" w14:textId="77777777" w:rsidTr="00031627">
        <w:trPr>
          <w:trHeight w:val="340"/>
          <w:jc w:val="center"/>
        </w:trPr>
        <w:tc>
          <w:tcPr>
            <w:tcW w:w="694" w:type="dxa"/>
            <w:tcMar>
              <w:top w:w="0" w:type="dxa"/>
              <w:left w:w="108" w:type="dxa"/>
              <w:bottom w:w="0" w:type="dxa"/>
              <w:right w:w="108" w:type="dxa"/>
            </w:tcMar>
            <w:vAlign w:val="center"/>
          </w:tcPr>
          <w:p w14:paraId="1DA1551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1</w:t>
            </w:r>
            <w:r w:rsidRPr="00B4515A">
              <w:rPr>
                <w:rFonts w:ascii="Times New Roman" w:hAnsi="Times New Roman" w:cs="Times New Roman"/>
                <w:bCs/>
                <w:color w:val="000000" w:themeColor="text1"/>
                <w:sz w:val="21"/>
                <w:szCs w:val="21"/>
              </w:rPr>
              <w:t>0</w:t>
            </w:r>
          </w:p>
        </w:tc>
        <w:tc>
          <w:tcPr>
            <w:tcW w:w="1648" w:type="dxa"/>
            <w:tcMar>
              <w:top w:w="0" w:type="dxa"/>
              <w:left w:w="108" w:type="dxa"/>
              <w:bottom w:w="0" w:type="dxa"/>
              <w:right w:w="108" w:type="dxa"/>
            </w:tcMar>
            <w:vAlign w:val="center"/>
          </w:tcPr>
          <w:p w14:paraId="514A1E5C" w14:textId="5195B8A6"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大唐高鸿数据网络技术股份有限公司</w:t>
            </w:r>
          </w:p>
        </w:tc>
        <w:tc>
          <w:tcPr>
            <w:tcW w:w="1850" w:type="dxa"/>
            <w:tcMar>
              <w:top w:w="0" w:type="dxa"/>
              <w:left w:w="108" w:type="dxa"/>
              <w:bottom w:w="0" w:type="dxa"/>
              <w:right w:w="108" w:type="dxa"/>
            </w:tcMar>
            <w:vAlign w:val="center"/>
          </w:tcPr>
          <w:p w14:paraId="237B90D5" w14:textId="46C92AFF"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电信科研院（</w:t>
            </w:r>
            <w:r w:rsidRPr="00B4515A">
              <w:rPr>
                <w:rFonts w:ascii="Times New Roman" w:hAnsi="Times New Roman" w:cs="Times New Roman"/>
                <w:sz w:val="21"/>
                <w:szCs w:val="21"/>
              </w:rPr>
              <w:t>12.81%</w:t>
            </w:r>
            <w:r w:rsidRPr="00B4515A">
              <w:rPr>
                <w:rFonts w:ascii="Times New Roman" w:hAnsi="Times New Roman" w:cs="Times New Roman" w:hint="eastAsia"/>
                <w:sz w:val="21"/>
                <w:szCs w:val="21"/>
              </w:rPr>
              <w:t>）、大唐高新创业投资有限公司（</w:t>
            </w:r>
            <w:r w:rsidRPr="00B4515A">
              <w:rPr>
                <w:rFonts w:ascii="Times New Roman" w:hAnsi="Times New Roman" w:cs="Times New Roman"/>
                <w:sz w:val="21"/>
                <w:szCs w:val="21"/>
              </w:rPr>
              <w:t>0.45%</w:t>
            </w:r>
            <w:r w:rsidRPr="00B4515A">
              <w:rPr>
                <w:rFonts w:ascii="Times New Roman" w:hAnsi="Times New Roman" w:cs="Times New Roman" w:hint="eastAsia"/>
                <w:sz w:val="21"/>
                <w:szCs w:val="21"/>
              </w:rPr>
              <w:t>）</w:t>
            </w:r>
          </w:p>
        </w:tc>
        <w:tc>
          <w:tcPr>
            <w:tcW w:w="4046" w:type="dxa"/>
            <w:tcMar>
              <w:top w:w="0" w:type="dxa"/>
              <w:left w:w="108" w:type="dxa"/>
              <w:bottom w:w="0" w:type="dxa"/>
              <w:right w:w="108" w:type="dxa"/>
            </w:tcMar>
            <w:vAlign w:val="center"/>
          </w:tcPr>
          <w:p w14:paraId="566FF3F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法律、法规、国务院决定规定禁止的不得经营；法律、法规、国务院决定规定应当许可（审批）的，经审批机关批准后凭许可（审批）文件经营</w:t>
            </w:r>
            <w:r w:rsidRPr="00B4515A">
              <w:rPr>
                <w:rFonts w:ascii="Times New Roman" w:hAnsi="Times New Roman" w:cs="Times New Roman"/>
                <w:sz w:val="21"/>
                <w:szCs w:val="21"/>
              </w:rPr>
              <w:t>;</w:t>
            </w:r>
            <w:r w:rsidRPr="00B4515A">
              <w:rPr>
                <w:rFonts w:ascii="Times New Roman" w:hAnsi="Times New Roman" w:cs="Times New Roman" w:hint="eastAsia"/>
                <w:sz w:val="21"/>
                <w:szCs w:val="21"/>
              </w:rPr>
              <w:t>法律、法规、国务院决定规定无需许可（审批）的，市场主体自主选择经营。（多业务宽带电信网络产品、通信器材、通信终端设备、仪器仪表、电子计算机软硬件及外部设备、系统集成的技术开发、转让、咨询、服务及制造、销售；通信及信息系统工程设计；信息服务；自营和代理各类商品和技术的进出口，但国家限定公司经营或禁止进出口的商品和技术除外。）</w:t>
            </w:r>
          </w:p>
        </w:tc>
      </w:tr>
      <w:tr w:rsidR="006416B0" w:rsidRPr="00B4515A" w14:paraId="5C203601" w14:textId="77777777" w:rsidTr="00031627">
        <w:trPr>
          <w:trHeight w:val="340"/>
          <w:jc w:val="center"/>
        </w:trPr>
        <w:tc>
          <w:tcPr>
            <w:tcW w:w="694" w:type="dxa"/>
            <w:tcMar>
              <w:top w:w="0" w:type="dxa"/>
              <w:left w:w="108" w:type="dxa"/>
              <w:bottom w:w="0" w:type="dxa"/>
              <w:right w:w="108" w:type="dxa"/>
            </w:tcMar>
            <w:vAlign w:val="center"/>
          </w:tcPr>
          <w:p w14:paraId="1E27E66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1</w:t>
            </w:r>
            <w:r w:rsidRPr="00B4515A">
              <w:rPr>
                <w:rFonts w:ascii="Times New Roman" w:hAnsi="Times New Roman" w:cs="Times New Roman"/>
                <w:bCs/>
                <w:color w:val="000000" w:themeColor="text1"/>
                <w:sz w:val="21"/>
                <w:szCs w:val="21"/>
              </w:rPr>
              <w:t>1</w:t>
            </w:r>
          </w:p>
        </w:tc>
        <w:tc>
          <w:tcPr>
            <w:tcW w:w="1648" w:type="dxa"/>
            <w:tcMar>
              <w:top w:w="0" w:type="dxa"/>
              <w:left w:w="108" w:type="dxa"/>
              <w:bottom w:w="0" w:type="dxa"/>
              <w:right w:w="108" w:type="dxa"/>
            </w:tcMar>
            <w:vAlign w:val="center"/>
          </w:tcPr>
          <w:p w14:paraId="7BBE4BAA"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bCs/>
                <w:sz w:val="21"/>
                <w:szCs w:val="21"/>
              </w:rPr>
              <w:t>宸芯科技有限公司</w:t>
            </w:r>
          </w:p>
        </w:tc>
        <w:tc>
          <w:tcPr>
            <w:tcW w:w="1850" w:type="dxa"/>
            <w:tcMar>
              <w:top w:w="0" w:type="dxa"/>
              <w:left w:w="108" w:type="dxa"/>
              <w:bottom w:w="0" w:type="dxa"/>
              <w:right w:w="108" w:type="dxa"/>
            </w:tcMar>
            <w:vAlign w:val="center"/>
          </w:tcPr>
          <w:p w14:paraId="4E69A19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sz w:val="21"/>
                <w:szCs w:val="21"/>
              </w:rPr>
              <w:t>电信科研院（</w:t>
            </w:r>
            <w:r w:rsidRPr="00B4515A">
              <w:rPr>
                <w:rFonts w:ascii="Times New Roman" w:hAnsi="Times New Roman" w:cs="Times New Roman"/>
                <w:sz w:val="21"/>
                <w:szCs w:val="21"/>
              </w:rPr>
              <w:t>25.9334%</w:t>
            </w:r>
            <w:r w:rsidRPr="00B4515A">
              <w:rPr>
                <w:rFonts w:ascii="Times New Roman" w:hAnsi="Times New Roman" w:cs="Times New Roman" w:hint="eastAsia"/>
                <w:sz w:val="21"/>
                <w:szCs w:val="21"/>
              </w:rPr>
              <w:t>）、联芯科技有限公司（</w:t>
            </w:r>
            <w:r w:rsidRPr="00B4515A">
              <w:rPr>
                <w:rFonts w:ascii="Times New Roman" w:hAnsi="Times New Roman" w:cs="Times New Roman"/>
                <w:sz w:val="21"/>
                <w:szCs w:val="21"/>
              </w:rPr>
              <w:t>2.2272%</w:t>
            </w:r>
            <w:r w:rsidRPr="00B4515A">
              <w:rPr>
                <w:rFonts w:ascii="Times New Roman" w:hAnsi="Times New Roman" w:cs="Times New Roman" w:hint="eastAsia"/>
                <w:sz w:val="21"/>
                <w:szCs w:val="21"/>
              </w:rPr>
              <w:t>）、大唐联诚（</w:t>
            </w:r>
            <w:r w:rsidRPr="00B4515A">
              <w:rPr>
                <w:rFonts w:ascii="Times New Roman" w:hAnsi="Times New Roman" w:cs="Times New Roman"/>
                <w:sz w:val="21"/>
                <w:szCs w:val="21"/>
              </w:rPr>
              <w:t>9.7250%</w:t>
            </w:r>
            <w:r w:rsidRPr="00B4515A">
              <w:rPr>
                <w:rFonts w:ascii="Times New Roman" w:hAnsi="Times New Roman" w:cs="Times New Roman" w:hint="eastAsia"/>
                <w:sz w:val="21"/>
                <w:szCs w:val="21"/>
              </w:rPr>
              <w:t>）</w:t>
            </w:r>
          </w:p>
        </w:tc>
        <w:tc>
          <w:tcPr>
            <w:tcW w:w="4046" w:type="dxa"/>
            <w:tcMar>
              <w:top w:w="0" w:type="dxa"/>
              <w:left w:w="108" w:type="dxa"/>
              <w:bottom w:w="0" w:type="dxa"/>
              <w:right w:w="108" w:type="dxa"/>
            </w:tcMar>
            <w:vAlign w:val="center"/>
          </w:tcPr>
          <w:p w14:paraId="4568AF7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电子科技、计算机科技、通信科技领域内的技术开发、技术转让、技术咨询、技术服务，电子产品、计算机软硬件及辅助设备、通讯设备的销售，从事货物及技术的进出口业务；集成电路产品的设计、研发、生产（委托加工）和销售。（涉及依法须经批准的项目，经相关部门批准后方可开展经营活动）。（依法须经批准的项目，经相关部门批准后方可开展经营活动）</w:t>
            </w:r>
          </w:p>
        </w:tc>
      </w:tr>
    </w:tbl>
    <w:p w14:paraId="5AC4B308" w14:textId="77777777" w:rsidR="006416B0" w:rsidRPr="00B4515A" w:rsidRDefault="005E58C1" w:rsidP="005860B4">
      <w:pPr>
        <w:pStyle w:val="003"/>
        <w:spacing w:before="120"/>
        <w:ind w:firstLine="482"/>
      </w:pPr>
      <w:r w:rsidRPr="00B4515A">
        <w:rPr>
          <w:rFonts w:hint="eastAsia"/>
        </w:rPr>
        <w:lastRenderedPageBreak/>
        <w:t>（二）大唐控股</w:t>
      </w:r>
    </w:p>
    <w:p w14:paraId="47151E9C" w14:textId="77777777" w:rsidR="006416B0" w:rsidRPr="00B4515A" w:rsidRDefault="005E58C1" w:rsidP="005860B4">
      <w:pPr>
        <w:pStyle w:val="004"/>
        <w:spacing w:before="120" w:after="120"/>
        <w:ind w:firstLine="482"/>
      </w:pPr>
      <w:r w:rsidRPr="00B4515A">
        <w:t>1</w:t>
      </w:r>
      <w:r w:rsidRPr="00B4515A">
        <w:rPr>
          <w:rFonts w:hint="eastAsia"/>
        </w:rPr>
        <w:t>、基本情况</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5"/>
        <w:gridCol w:w="6133"/>
      </w:tblGrid>
      <w:tr w:rsidR="006416B0" w:rsidRPr="00B4515A" w14:paraId="49AA43BB"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1044254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公司名称</w:t>
            </w:r>
          </w:p>
        </w:tc>
        <w:tc>
          <w:tcPr>
            <w:tcW w:w="6116" w:type="dxa"/>
            <w:shd w:val="clear" w:color="auto" w:fill="auto"/>
            <w:tcMar>
              <w:top w:w="0" w:type="dxa"/>
              <w:left w:w="108" w:type="dxa"/>
              <w:bottom w:w="0" w:type="dxa"/>
              <w:right w:w="108" w:type="dxa"/>
            </w:tcMar>
            <w:vAlign w:val="center"/>
          </w:tcPr>
          <w:p w14:paraId="21580AF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大唐电信科技产业控股有限公司</w:t>
            </w:r>
          </w:p>
        </w:tc>
      </w:tr>
      <w:tr w:rsidR="006416B0" w:rsidRPr="00B4515A" w14:paraId="69E8FC4B"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3F5432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企业类型</w:t>
            </w:r>
          </w:p>
        </w:tc>
        <w:tc>
          <w:tcPr>
            <w:tcW w:w="6116" w:type="dxa"/>
            <w:shd w:val="clear" w:color="auto" w:fill="auto"/>
            <w:tcMar>
              <w:top w:w="0" w:type="dxa"/>
              <w:left w:w="108" w:type="dxa"/>
              <w:bottom w:w="0" w:type="dxa"/>
              <w:right w:w="108" w:type="dxa"/>
            </w:tcMar>
            <w:vAlign w:val="center"/>
          </w:tcPr>
          <w:p w14:paraId="131D6644" w14:textId="77777777" w:rsidR="006416B0" w:rsidRPr="00B4515A" w:rsidRDefault="005E58C1" w:rsidP="005860B4">
            <w:pPr>
              <w:adjustRightInd w:val="0"/>
              <w:snapToGrid w:val="0"/>
              <w:rPr>
                <w:rFonts w:ascii="Times New Roman" w:hAnsi="Times New Roman" w:cs="Times New Roman"/>
                <w:bCs/>
                <w:sz w:val="21"/>
                <w:szCs w:val="21"/>
              </w:rPr>
            </w:pPr>
            <w:r w:rsidRPr="00B4515A">
              <w:rPr>
                <w:rFonts w:ascii="Times New Roman" w:hAnsi="Times New Roman" w:cs="Times New Roman" w:hint="eastAsia"/>
                <w:bCs/>
                <w:sz w:val="21"/>
                <w:szCs w:val="21"/>
              </w:rPr>
              <w:t>有限责任公司（法人独资）</w:t>
            </w:r>
          </w:p>
        </w:tc>
      </w:tr>
      <w:tr w:rsidR="006416B0" w:rsidRPr="00B4515A" w14:paraId="661631DF"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A23AEE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注册地址</w:t>
            </w:r>
          </w:p>
        </w:tc>
        <w:tc>
          <w:tcPr>
            <w:tcW w:w="6116" w:type="dxa"/>
            <w:shd w:val="clear" w:color="auto" w:fill="auto"/>
            <w:tcMar>
              <w:top w:w="0" w:type="dxa"/>
              <w:left w:w="108" w:type="dxa"/>
              <w:bottom w:w="0" w:type="dxa"/>
              <w:right w:w="108" w:type="dxa"/>
            </w:tcMar>
            <w:vAlign w:val="center"/>
          </w:tcPr>
          <w:p w14:paraId="35FA803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北京市海淀区学院路</w:t>
            </w:r>
            <w:r w:rsidRPr="00B4515A">
              <w:rPr>
                <w:rFonts w:ascii="Times New Roman" w:hAnsi="Times New Roman" w:cs="Times New Roman"/>
                <w:sz w:val="21"/>
                <w:szCs w:val="21"/>
              </w:rPr>
              <w:t>40</w:t>
            </w:r>
            <w:r w:rsidRPr="00B4515A">
              <w:rPr>
                <w:rFonts w:ascii="Times New Roman" w:hAnsi="Times New Roman" w:cs="Times New Roman" w:hint="eastAsia"/>
                <w:sz w:val="21"/>
                <w:szCs w:val="21"/>
              </w:rPr>
              <w:t>号一区</w:t>
            </w:r>
          </w:p>
        </w:tc>
      </w:tr>
      <w:tr w:rsidR="006416B0" w:rsidRPr="00B4515A" w14:paraId="2A2F63AB"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7C841B1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主要办公地址</w:t>
            </w:r>
          </w:p>
        </w:tc>
        <w:tc>
          <w:tcPr>
            <w:tcW w:w="6116" w:type="dxa"/>
            <w:shd w:val="clear" w:color="auto" w:fill="auto"/>
            <w:tcMar>
              <w:top w:w="0" w:type="dxa"/>
              <w:left w:w="108" w:type="dxa"/>
              <w:bottom w:w="0" w:type="dxa"/>
              <w:right w:w="108" w:type="dxa"/>
            </w:tcMar>
            <w:vAlign w:val="center"/>
          </w:tcPr>
          <w:p w14:paraId="730F39F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北京市海淀区学院路</w:t>
            </w:r>
            <w:r w:rsidRPr="00B4515A">
              <w:rPr>
                <w:rFonts w:ascii="Times New Roman" w:hAnsi="Times New Roman" w:cs="Times New Roman"/>
                <w:sz w:val="21"/>
                <w:szCs w:val="21"/>
              </w:rPr>
              <w:t>40</w:t>
            </w:r>
            <w:r w:rsidRPr="00B4515A">
              <w:rPr>
                <w:rFonts w:ascii="Times New Roman" w:hAnsi="Times New Roman" w:cs="Times New Roman" w:hint="eastAsia"/>
                <w:sz w:val="21"/>
                <w:szCs w:val="21"/>
              </w:rPr>
              <w:t>号一区</w:t>
            </w:r>
          </w:p>
        </w:tc>
      </w:tr>
      <w:tr w:rsidR="006416B0" w:rsidRPr="00B4515A" w14:paraId="579D7369"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770F4DB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法定代表人</w:t>
            </w:r>
          </w:p>
        </w:tc>
        <w:tc>
          <w:tcPr>
            <w:tcW w:w="6116" w:type="dxa"/>
            <w:shd w:val="clear" w:color="auto" w:fill="auto"/>
            <w:tcMar>
              <w:top w:w="0" w:type="dxa"/>
              <w:left w:w="108" w:type="dxa"/>
              <w:bottom w:w="0" w:type="dxa"/>
              <w:right w:w="108" w:type="dxa"/>
            </w:tcMar>
            <w:vAlign w:val="center"/>
          </w:tcPr>
          <w:p w14:paraId="21265BD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鲁国庆</w:t>
            </w:r>
          </w:p>
        </w:tc>
      </w:tr>
      <w:tr w:rsidR="006416B0" w:rsidRPr="00B4515A" w14:paraId="3F115AB8"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4E61611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注册资本</w:t>
            </w:r>
          </w:p>
        </w:tc>
        <w:tc>
          <w:tcPr>
            <w:tcW w:w="6116" w:type="dxa"/>
            <w:shd w:val="clear" w:color="auto" w:fill="auto"/>
            <w:tcMar>
              <w:top w:w="0" w:type="dxa"/>
              <w:left w:w="108" w:type="dxa"/>
              <w:bottom w:w="0" w:type="dxa"/>
              <w:right w:w="108" w:type="dxa"/>
            </w:tcMar>
            <w:vAlign w:val="center"/>
          </w:tcPr>
          <w:p w14:paraId="08D71A1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人民币</w:t>
            </w:r>
            <w:r w:rsidRPr="00B4515A">
              <w:rPr>
                <w:rFonts w:ascii="Times New Roman" w:hAnsi="Times New Roman" w:cs="Times New Roman"/>
                <w:sz w:val="21"/>
                <w:szCs w:val="21"/>
              </w:rPr>
              <w:t>570,000</w:t>
            </w:r>
            <w:r w:rsidRPr="00B4515A">
              <w:rPr>
                <w:rFonts w:ascii="Times New Roman" w:hAnsi="Times New Roman" w:cs="Times New Roman" w:hint="eastAsia"/>
                <w:sz w:val="21"/>
                <w:szCs w:val="21"/>
              </w:rPr>
              <w:t>万元</w:t>
            </w:r>
          </w:p>
        </w:tc>
      </w:tr>
      <w:tr w:rsidR="006416B0" w:rsidRPr="00B4515A" w14:paraId="2B087A28"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17D227A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统一社会信用代码</w:t>
            </w:r>
          </w:p>
        </w:tc>
        <w:tc>
          <w:tcPr>
            <w:tcW w:w="6116" w:type="dxa"/>
            <w:shd w:val="clear" w:color="auto" w:fill="auto"/>
            <w:tcMar>
              <w:top w:w="0" w:type="dxa"/>
              <w:left w:w="108" w:type="dxa"/>
              <w:bottom w:w="0" w:type="dxa"/>
              <w:right w:w="108" w:type="dxa"/>
            </w:tcMar>
            <w:vAlign w:val="center"/>
          </w:tcPr>
          <w:p w14:paraId="7448E1B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91110000710934625Y</w:t>
            </w:r>
          </w:p>
        </w:tc>
      </w:tr>
      <w:tr w:rsidR="006416B0" w:rsidRPr="00B4515A" w14:paraId="6192A7AE"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7F43256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经营范围</w:t>
            </w:r>
          </w:p>
        </w:tc>
        <w:tc>
          <w:tcPr>
            <w:tcW w:w="6116" w:type="dxa"/>
            <w:shd w:val="clear" w:color="auto" w:fill="auto"/>
            <w:tcMar>
              <w:top w:w="0" w:type="dxa"/>
              <w:left w:w="108" w:type="dxa"/>
              <w:bottom w:w="0" w:type="dxa"/>
              <w:right w:w="108" w:type="dxa"/>
            </w:tcMar>
            <w:vAlign w:val="center"/>
          </w:tcPr>
          <w:p w14:paraId="4DFF98B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实业投资；投资管理与咨询；信息技术、软件、芯片、设备的开发、生产、销售与服务；技术开发实业投资；投资管理与咨询；信息技术、软件、芯片、设备的开发、生产、销售与服务；技术开发、技术转让、技术咨询、技术服务；进出口业务。</w:t>
            </w:r>
          </w:p>
        </w:tc>
      </w:tr>
      <w:tr w:rsidR="006416B0" w:rsidRPr="00B4515A" w14:paraId="42DCB321"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2379A1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成立日期</w:t>
            </w:r>
          </w:p>
        </w:tc>
        <w:tc>
          <w:tcPr>
            <w:tcW w:w="6116" w:type="dxa"/>
            <w:shd w:val="clear" w:color="auto" w:fill="auto"/>
            <w:tcMar>
              <w:top w:w="0" w:type="dxa"/>
              <w:left w:w="108" w:type="dxa"/>
              <w:bottom w:w="0" w:type="dxa"/>
              <w:right w:w="108" w:type="dxa"/>
            </w:tcMar>
            <w:vAlign w:val="center"/>
          </w:tcPr>
          <w:p w14:paraId="3A1E98E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2007</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3</w:t>
            </w:r>
            <w:r w:rsidRPr="00B4515A">
              <w:rPr>
                <w:rFonts w:ascii="Times New Roman" w:hAnsi="Times New Roman" w:cs="Times New Roman" w:hint="eastAsia"/>
                <w:sz w:val="21"/>
                <w:szCs w:val="21"/>
              </w:rPr>
              <w:t>月</w:t>
            </w:r>
            <w:r w:rsidRPr="00B4515A">
              <w:rPr>
                <w:rFonts w:ascii="Times New Roman" w:hAnsi="Times New Roman" w:cs="Times New Roman"/>
                <w:sz w:val="21"/>
                <w:szCs w:val="21"/>
              </w:rPr>
              <w:t>12</w:t>
            </w:r>
            <w:r w:rsidRPr="00B4515A">
              <w:rPr>
                <w:rFonts w:ascii="Times New Roman" w:hAnsi="Times New Roman" w:cs="Times New Roman" w:hint="eastAsia"/>
                <w:sz w:val="21"/>
                <w:szCs w:val="21"/>
              </w:rPr>
              <w:t>日</w:t>
            </w:r>
          </w:p>
        </w:tc>
      </w:tr>
    </w:tbl>
    <w:p w14:paraId="27D0D155" w14:textId="77777777" w:rsidR="006416B0" w:rsidRPr="00B4515A" w:rsidRDefault="005E58C1" w:rsidP="005860B4">
      <w:pPr>
        <w:pStyle w:val="004"/>
        <w:spacing w:before="120" w:after="120"/>
        <w:ind w:firstLine="482"/>
      </w:pPr>
      <w:r w:rsidRPr="00B4515A">
        <w:t>2</w:t>
      </w:r>
      <w:r w:rsidRPr="00B4515A">
        <w:rPr>
          <w:rFonts w:hint="eastAsia"/>
        </w:rPr>
        <w:t>、历史沿革</w:t>
      </w:r>
    </w:p>
    <w:p w14:paraId="10FB6347" w14:textId="77777777" w:rsidR="006416B0" w:rsidRPr="00B4515A" w:rsidRDefault="005E58C1" w:rsidP="005860B4">
      <w:pPr>
        <w:pStyle w:val="005"/>
        <w:spacing w:before="120" w:after="120"/>
        <w:ind w:firstLine="480"/>
      </w:pPr>
      <w:r w:rsidRPr="00B4515A">
        <w:rPr>
          <w:rFonts w:hint="eastAsia"/>
        </w:rPr>
        <w:t>（</w:t>
      </w:r>
      <w:r w:rsidRPr="00B4515A">
        <w:rPr>
          <w:rFonts w:hint="eastAsia"/>
        </w:rPr>
        <w:t>1</w:t>
      </w:r>
      <w:r w:rsidRPr="00B4515A">
        <w:rPr>
          <w:rFonts w:hint="eastAsia"/>
        </w:rPr>
        <w:t>）大唐控股设立</w:t>
      </w:r>
    </w:p>
    <w:p w14:paraId="171C5384" w14:textId="77777777" w:rsidR="006416B0" w:rsidRPr="00B4515A" w:rsidRDefault="005E58C1" w:rsidP="005860B4">
      <w:pPr>
        <w:pStyle w:val="005"/>
        <w:spacing w:before="120" w:after="120"/>
        <w:ind w:firstLine="480"/>
      </w:pPr>
      <w:r w:rsidRPr="00B4515A">
        <w:t>2007</w:t>
      </w:r>
      <w:r w:rsidRPr="00B4515A">
        <w:rPr>
          <w:rFonts w:hint="eastAsia"/>
        </w:rPr>
        <w:t>年</w:t>
      </w:r>
      <w:r w:rsidRPr="00B4515A">
        <w:t>3</w:t>
      </w:r>
      <w:r w:rsidRPr="00B4515A">
        <w:rPr>
          <w:rFonts w:hint="eastAsia"/>
        </w:rPr>
        <w:t>月</w:t>
      </w:r>
      <w:r w:rsidRPr="00B4515A">
        <w:t>9</w:t>
      </w:r>
      <w:r w:rsidRPr="00B4515A">
        <w:rPr>
          <w:rFonts w:hint="eastAsia"/>
        </w:rPr>
        <w:t>日，电信科学技术研究院出具《同意大唐控股设立及有关事项的决定》，同意设立大唐控股，出资人为电信科研院，注册资本</w:t>
      </w:r>
      <w:r w:rsidRPr="00B4515A">
        <w:t>10,000</w:t>
      </w:r>
      <w:r w:rsidRPr="00B4515A">
        <w:rPr>
          <w:rFonts w:hint="eastAsia"/>
        </w:rPr>
        <w:t>万元。</w:t>
      </w:r>
    </w:p>
    <w:p w14:paraId="34BCB5B0" w14:textId="77777777" w:rsidR="006416B0" w:rsidRPr="00B4515A" w:rsidRDefault="005E58C1" w:rsidP="005860B4">
      <w:pPr>
        <w:pStyle w:val="005"/>
        <w:spacing w:before="120" w:after="120"/>
        <w:ind w:firstLine="480"/>
      </w:pPr>
      <w:r w:rsidRPr="00B4515A">
        <w:t>2007</w:t>
      </w:r>
      <w:r w:rsidRPr="00B4515A">
        <w:rPr>
          <w:rFonts w:hint="eastAsia"/>
        </w:rPr>
        <w:t>年</w:t>
      </w:r>
      <w:r w:rsidRPr="00B4515A">
        <w:t>3</w:t>
      </w:r>
      <w:r w:rsidRPr="00B4515A">
        <w:rPr>
          <w:rFonts w:hint="eastAsia"/>
        </w:rPr>
        <w:t>月</w:t>
      </w:r>
      <w:r w:rsidRPr="00B4515A">
        <w:t>12</w:t>
      </w:r>
      <w:r w:rsidRPr="00B4515A">
        <w:rPr>
          <w:rFonts w:hint="eastAsia"/>
        </w:rPr>
        <w:t>日，国家工商总局向大唐控股核发了《企业法人营业执照》。</w:t>
      </w:r>
    </w:p>
    <w:p w14:paraId="4692E665" w14:textId="77777777" w:rsidR="006416B0" w:rsidRPr="00B4515A" w:rsidRDefault="005E58C1" w:rsidP="005860B4">
      <w:pPr>
        <w:pStyle w:val="005"/>
        <w:spacing w:before="120" w:after="120"/>
        <w:ind w:firstLine="480"/>
      </w:pPr>
      <w:r w:rsidRPr="00B4515A">
        <w:rPr>
          <w:rFonts w:hint="eastAsia"/>
        </w:rPr>
        <w:t>大唐控股设立时的股权结构为：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71"/>
        <w:gridCol w:w="2468"/>
        <w:gridCol w:w="2859"/>
        <w:gridCol w:w="2330"/>
      </w:tblGrid>
      <w:tr w:rsidR="006416B0" w:rsidRPr="00B4515A" w14:paraId="31332CAF" w14:textId="77777777" w:rsidTr="00031627">
        <w:trPr>
          <w:trHeight w:val="340"/>
          <w:jc w:val="center"/>
        </w:trPr>
        <w:tc>
          <w:tcPr>
            <w:tcW w:w="511" w:type="pct"/>
            <w:tcMar>
              <w:top w:w="0" w:type="dxa"/>
              <w:left w:w="108" w:type="dxa"/>
              <w:bottom w:w="0" w:type="dxa"/>
              <w:right w:w="108" w:type="dxa"/>
            </w:tcMar>
            <w:vAlign w:val="center"/>
          </w:tcPr>
          <w:p w14:paraId="0C9D9925"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序号</w:t>
            </w:r>
          </w:p>
        </w:tc>
        <w:tc>
          <w:tcPr>
            <w:tcW w:w="1447" w:type="pct"/>
            <w:tcMar>
              <w:top w:w="0" w:type="dxa"/>
              <w:left w:w="108" w:type="dxa"/>
              <w:bottom w:w="0" w:type="dxa"/>
              <w:right w:w="108" w:type="dxa"/>
            </w:tcMar>
            <w:vAlign w:val="center"/>
          </w:tcPr>
          <w:p w14:paraId="1508DBDD"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股东名称</w:t>
            </w:r>
          </w:p>
        </w:tc>
        <w:tc>
          <w:tcPr>
            <w:tcW w:w="1676" w:type="pct"/>
            <w:tcMar>
              <w:top w:w="0" w:type="dxa"/>
              <w:left w:w="108" w:type="dxa"/>
              <w:bottom w:w="0" w:type="dxa"/>
              <w:right w:w="108" w:type="dxa"/>
            </w:tcMar>
            <w:vAlign w:val="center"/>
          </w:tcPr>
          <w:p w14:paraId="0FE7625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出资额（万元）</w:t>
            </w:r>
          </w:p>
        </w:tc>
        <w:tc>
          <w:tcPr>
            <w:tcW w:w="1366" w:type="pct"/>
            <w:tcMar>
              <w:top w:w="0" w:type="dxa"/>
              <w:left w:w="108" w:type="dxa"/>
              <w:bottom w:w="0" w:type="dxa"/>
              <w:right w:w="108" w:type="dxa"/>
            </w:tcMar>
            <w:vAlign w:val="center"/>
          </w:tcPr>
          <w:p w14:paraId="3AB447C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持股比例（</w:t>
            </w:r>
            <w:r w:rsidRPr="00B4515A">
              <w:rPr>
                <w:rFonts w:ascii="Times New Roman" w:hAnsi="Times New Roman" w:cs="Times New Roman"/>
                <w:b/>
                <w:sz w:val="21"/>
                <w:szCs w:val="21"/>
              </w:rPr>
              <w:t>%</w:t>
            </w:r>
            <w:r w:rsidRPr="00B4515A">
              <w:rPr>
                <w:rFonts w:ascii="Times New Roman" w:hAnsi="Times New Roman" w:cs="Times New Roman"/>
                <w:b/>
                <w:sz w:val="21"/>
                <w:szCs w:val="21"/>
              </w:rPr>
              <w:t>）</w:t>
            </w:r>
          </w:p>
        </w:tc>
      </w:tr>
      <w:tr w:rsidR="006416B0" w:rsidRPr="00B4515A" w14:paraId="53908540" w14:textId="77777777" w:rsidTr="00031627">
        <w:trPr>
          <w:trHeight w:val="340"/>
          <w:jc w:val="center"/>
        </w:trPr>
        <w:tc>
          <w:tcPr>
            <w:tcW w:w="511" w:type="pct"/>
            <w:tcMar>
              <w:top w:w="0" w:type="dxa"/>
              <w:left w:w="108" w:type="dxa"/>
              <w:bottom w:w="0" w:type="dxa"/>
              <w:right w:w="108" w:type="dxa"/>
            </w:tcMar>
            <w:vAlign w:val="center"/>
          </w:tcPr>
          <w:p w14:paraId="13460BA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447" w:type="pct"/>
            <w:tcMar>
              <w:top w:w="0" w:type="dxa"/>
              <w:left w:w="108" w:type="dxa"/>
              <w:bottom w:w="0" w:type="dxa"/>
              <w:right w:w="108" w:type="dxa"/>
            </w:tcMar>
            <w:vAlign w:val="center"/>
          </w:tcPr>
          <w:p w14:paraId="013A6DA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电信科学技术研究院</w:t>
            </w:r>
          </w:p>
        </w:tc>
        <w:tc>
          <w:tcPr>
            <w:tcW w:w="1676" w:type="pct"/>
            <w:tcMar>
              <w:top w:w="0" w:type="dxa"/>
              <w:left w:w="108" w:type="dxa"/>
              <w:bottom w:w="0" w:type="dxa"/>
              <w:right w:w="108" w:type="dxa"/>
            </w:tcMar>
            <w:vAlign w:val="center"/>
          </w:tcPr>
          <w:p w14:paraId="398D3A9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10,000.00</w:t>
            </w:r>
          </w:p>
        </w:tc>
        <w:tc>
          <w:tcPr>
            <w:tcW w:w="1366" w:type="pct"/>
            <w:tcMar>
              <w:top w:w="0" w:type="dxa"/>
              <w:left w:w="108" w:type="dxa"/>
              <w:bottom w:w="0" w:type="dxa"/>
              <w:right w:w="108" w:type="dxa"/>
            </w:tcMar>
            <w:vAlign w:val="center"/>
          </w:tcPr>
          <w:p w14:paraId="7A0CAE8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100.00</w:t>
            </w:r>
          </w:p>
        </w:tc>
      </w:tr>
      <w:tr w:rsidR="006416B0" w:rsidRPr="00B4515A" w14:paraId="168A5C10" w14:textId="77777777" w:rsidTr="00031627">
        <w:trPr>
          <w:trHeight w:val="340"/>
          <w:jc w:val="center"/>
        </w:trPr>
        <w:tc>
          <w:tcPr>
            <w:tcW w:w="1958" w:type="pct"/>
            <w:gridSpan w:val="2"/>
            <w:tcMar>
              <w:top w:w="0" w:type="dxa"/>
              <w:left w:w="108" w:type="dxa"/>
              <w:bottom w:w="0" w:type="dxa"/>
              <w:right w:w="108" w:type="dxa"/>
            </w:tcMar>
            <w:vAlign w:val="center"/>
          </w:tcPr>
          <w:p w14:paraId="6A54CD2D"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合计</w:t>
            </w:r>
          </w:p>
        </w:tc>
        <w:tc>
          <w:tcPr>
            <w:tcW w:w="1676" w:type="pct"/>
            <w:tcMar>
              <w:top w:w="0" w:type="dxa"/>
              <w:left w:w="108" w:type="dxa"/>
              <w:bottom w:w="0" w:type="dxa"/>
              <w:right w:w="108" w:type="dxa"/>
            </w:tcMar>
            <w:vAlign w:val="center"/>
          </w:tcPr>
          <w:p w14:paraId="52502AE3"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10,000.00</w:t>
            </w:r>
          </w:p>
        </w:tc>
        <w:tc>
          <w:tcPr>
            <w:tcW w:w="1366" w:type="pct"/>
            <w:tcMar>
              <w:top w:w="0" w:type="dxa"/>
              <w:left w:w="108" w:type="dxa"/>
              <w:bottom w:w="0" w:type="dxa"/>
              <w:right w:w="108" w:type="dxa"/>
            </w:tcMar>
            <w:vAlign w:val="center"/>
          </w:tcPr>
          <w:p w14:paraId="688A23C0"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100.00</w:t>
            </w:r>
          </w:p>
        </w:tc>
      </w:tr>
    </w:tbl>
    <w:p w14:paraId="54FA8716" w14:textId="77777777" w:rsidR="006416B0" w:rsidRPr="00B4515A" w:rsidRDefault="005E58C1" w:rsidP="005860B4">
      <w:pPr>
        <w:pStyle w:val="005"/>
        <w:spacing w:before="120" w:after="120"/>
        <w:ind w:firstLine="480"/>
      </w:pPr>
      <w:r w:rsidRPr="00B4515A">
        <w:rPr>
          <w:rFonts w:hint="eastAsia"/>
        </w:rPr>
        <w:t>（</w:t>
      </w:r>
      <w:r w:rsidRPr="00B4515A">
        <w:rPr>
          <w:rFonts w:hint="eastAsia"/>
        </w:rPr>
        <w:t>2</w:t>
      </w:r>
      <w:r w:rsidRPr="00B4515A">
        <w:rPr>
          <w:rFonts w:hint="eastAsia"/>
        </w:rPr>
        <w:t>）</w:t>
      </w:r>
      <w:r w:rsidRPr="00B4515A">
        <w:t>2007</w:t>
      </w:r>
      <w:r w:rsidRPr="00B4515A">
        <w:rPr>
          <w:rFonts w:hint="eastAsia"/>
        </w:rPr>
        <w:t>年第一次增资</w:t>
      </w:r>
    </w:p>
    <w:p w14:paraId="2A1D3674" w14:textId="77777777" w:rsidR="006416B0" w:rsidRPr="00B4515A" w:rsidRDefault="005E58C1" w:rsidP="005860B4">
      <w:pPr>
        <w:pStyle w:val="005"/>
        <w:spacing w:before="120" w:after="120"/>
        <w:ind w:firstLine="480"/>
      </w:pPr>
      <w:r w:rsidRPr="00B4515A">
        <w:t>2007</w:t>
      </w:r>
      <w:r w:rsidRPr="00B4515A">
        <w:t>年</w:t>
      </w:r>
      <w:r w:rsidRPr="00B4515A">
        <w:t>8</w:t>
      </w:r>
      <w:r w:rsidRPr="00B4515A">
        <w:t>月</w:t>
      </w:r>
      <w:r w:rsidRPr="00B4515A">
        <w:t>21</w:t>
      </w:r>
      <w:r w:rsidRPr="00B4515A">
        <w:t>日，</w:t>
      </w:r>
      <w:r w:rsidRPr="00B4515A">
        <w:rPr>
          <w:rFonts w:hint="eastAsia"/>
        </w:rPr>
        <w:t>电信科学技术研究院</w:t>
      </w:r>
      <w:r w:rsidRPr="00B4515A">
        <w:t>出具《关于同意大唐电信科技产业控股有限公司变更股东的决定》（院办</w:t>
      </w:r>
      <w:r w:rsidRPr="00B4515A">
        <w:rPr>
          <w:rFonts w:hint="eastAsia"/>
        </w:rPr>
        <w:t>［</w:t>
      </w:r>
      <w:r w:rsidRPr="00B4515A">
        <w:t>2007</w:t>
      </w:r>
      <w:r w:rsidRPr="00B4515A">
        <w:rPr>
          <w:rFonts w:hint="eastAsia"/>
        </w:rPr>
        <w:t>］</w:t>
      </w:r>
      <w:r w:rsidRPr="00B4515A">
        <w:t>353</w:t>
      </w:r>
      <w:r w:rsidRPr="00B4515A">
        <w:t>号），同意国家开发投资公司作为新的出资人对大唐控股增资。国家开发投资公司实际出资</w:t>
      </w:r>
      <w:r w:rsidRPr="00B4515A">
        <w:t>50</w:t>
      </w:r>
      <w:r w:rsidRPr="00B4515A">
        <w:t>亿元，其中</w:t>
      </w:r>
      <w:r w:rsidRPr="00B4515A">
        <w:t>5,384.62</w:t>
      </w:r>
      <w:r w:rsidRPr="00B4515A">
        <w:t>万元作为注册资本，</w:t>
      </w:r>
      <w:r w:rsidRPr="00B4515A">
        <w:t>494,615.38</w:t>
      </w:r>
      <w:r w:rsidRPr="00B4515A">
        <w:t>万元作为资本公积</w:t>
      </w:r>
      <w:r w:rsidRPr="00B4515A">
        <w:rPr>
          <w:rFonts w:hint="eastAsia"/>
        </w:rPr>
        <w:t>，大唐控股的注册资本由</w:t>
      </w:r>
      <w:r w:rsidRPr="00B4515A">
        <w:rPr>
          <w:rFonts w:hint="eastAsia"/>
        </w:rPr>
        <w:t>1</w:t>
      </w:r>
      <w:r w:rsidRPr="00B4515A">
        <w:t>0</w:t>
      </w:r>
      <w:r w:rsidRPr="00B4515A">
        <w:rPr>
          <w:rFonts w:hint="eastAsia"/>
        </w:rPr>
        <w:t>,</w:t>
      </w:r>
      <w:r w:rsidRPr="00B4515A">
        <w:t>000</w:t>
      </w:r>
      <w:r w:rsidRPr="00B4515A">
        <w:rPr>
          <w:rFonts w:hint="eastAsia"/>
        </w:rPr>
        <w:t>万元增加至</w:t>
      </w:r>
      <w:r w:rsidRPr="00B4515A">
        <w:t>15,384.62</w:t>
      </w:r>
      <w:r w:rsidRPr="00B4515A">
        <w:rPr>
          <w:rFonts w:hint="eastAsia"/>
        </w:rPr>
        <w:t>万元</w:t>
      </w:r>
      <w:r w:rsidRPr="00B4515A">
        <w:t>。</w:t>
      </w:r>
    </w:p>
    <w:p w14:paraId="3DBEC35A" w14:textId="77777777" w:rsidR="006416B0" w:rsidRPr="00B4515A" w:rsidRDefault="005E58C1" w:rsidP="005860B4">
      <w:pPr>
        <w:pStyle w:val="005"/>
        <w:spacing w:before="120" w:after="120"/>
        <w:ind w:firstLine="480"/>
      </w:pPr>
      <w:r w:rsidRPr="00B4515A">
        <w:rPr>
          <w:rFonts w:hint="eastAsia"/>
        </w:rPr>
        <w:t>2007</w:t>
      </w:r>
      <w:r w:rsidRPr="00B4515A">
        <w:rPr>
          <w:rFonts w:hint="eastAsia"/>
        </w:rPr>
        <w:t>年</w:t>
      </w:r>
      <w:r w:rsidRPr="00B4515A">
        <w:rPr>
          <w:rFonts w:hint="eastAsia"/>
        </w:rPr>
        <w:t>9</w:t>
      </w:r>
      <w:r w:rsidRPr="00B4515A">
        <w:rPr>
          <w:rFonts w:hint="eastAsia"/>
        </w:rPr>
        <w:t>月</w:t>
      </w:r>
      <w:r w:rsidRPr="00B4515A">
        <w:rPr>
          <w:rFonts w:hint="eastAsia"/>
        </w:rPr>
        <w:t>12</w:t>
      </w:r>
      <w:r w:rsidRPr="00B4515A">
        <w:rPr>
          <w:rFonts w:hint="eastAsia"/>
        </w:rPr>
        <w:t>日，大唐控股取得国家工商总局就此次变更核发的《企业法人营业执照》。</w:t>
      </w:r>
    </w:p>
    <w:p w14:paraId="5A592AE9" w14:textId="77777777" w:rsidR="006416B0" w:rsidRPr="00B4515A" w:rsidRDefault="005E58C1" w:rsidP="005860B4">
      <w:pPr>
        <w:pStyle w:val="005"/>
        <w:spacing w:before="120" w:after="120"/>
        <w:ind w:firstLine="480"/>
      </w:pPr>
      <w:r w:rsidRPr="00B4515A">
        <w:rPr>
          <w:rFonts w:hint="eastAsia"/>
        </w:rPr>
        <w:lastRenderedPageBreak/>
        <w:t>本次增资完成后，大唐控股的股权结构为：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71"/>
        <w:gridCol w:w="2468"/>
        <w:gridCol w:w="2859"/>
        <w:gridCol w:w="2330"/>
      </w:tblGrid>
      <w:tr w:rsidR="006416B0" w:rsidRPr="00B4515A" w14:paraId="557E931C" w14:textId="77777777" w:rsidTr="00031627">
        <w:trPr>
          <w:trHeight w:val="340"/>
          <w:jc w:val="center"/>
        </w:trPr>
        <w:tc>
          <w:tcPr>
            <w:tcW w:w="511" w:type="pct"/>
            <w:tcMar>
              <w:top w:w="0" w:type="dxa"/>
              <w:left w:w="108" w:type="dxa"/>
              <w:bottom w:w="0" w:type="dxa"/>
              <w:right w:w="108" w:type="dxa"/>
            </w:tcMar>
            <w:vAlign w:val="center"/>
          </w:tcPr>
          <w:p w14:paraId="29D016F8"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序号</w:t>
            </w:r>
          </w:p>
        </w:tc>
        <w:tc>
          <w:tcPr>
            <w:tcW w:w="1447" w:type="pct"/>
            <w:tcMar>
              <w:top w:w="0" w:type="dxa"/>
              <w:left w:w="108" w:type="dxa"/>
              <w:bottom w:w="0" w:type="dxa"/>
              <w:right w:w="108" w:type="dxa"/>
            </w:tcMar>
            <w:vAlign w:val="center"/>
          </w:tcPr>
          <w:p w14:paraId="2F0DF845"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股东名称</w:t>
            </w:r>
          </w:p>
        </w:tc>
        <w:tc>
          <w:tcPr>
            <w:tcW w:w="1676" w:type="pct"/>
            <w:tcMar>
              <w:top w:w="0" w:type="dxa"/>
              <w:left w:w="108" w:type="dxa"/>
              <w:bottom w:w="0" w:type="dxa"/>
              <w:right w:w="108" w:type="dxa"/>
            </w:tcMar>
            <w:vAlign w:val="center"/>
          </w:tcPr>
          <w:p w14:paraId="45FA302E"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出资额（万元）</w:t>
            </w:r>
          </w:p>
        </w:tc>
        <w:tc>
          <w:tcPr>
            <w:tcW w:w="1366" w:type="pct"/>
            <w:tcMar>
              <w:top w:w="0" w:type="dxa"/>
              <w:left w:w="108" w:type="dxa"/>
              <w:bottom w:w="0" w:type="dxa"/>
              <w:right w:w="108" w:type="dxa"/>
            </w:tcMar>
            <w:vAlign w:val="center"/>
          </w:tcPr>
          <w:p w14:paraId="2A1728A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持股比例（</w:t>
            </w:r>
            <w:r w:rsidRPr="00B4515A">
              <w:rPr>
                <w:rFonts w:ascii="Times New Roman" w:hAnsi="Times New Roman" w:cs="Times New Roman"/>
                <w:b/>
                <w:sz w:val="21"/>
                <w:szCs w:val="21"/>
              </w:rPr>
              <w:t>%</w:t>
            </w:r>
            <w:r w:rsidRPr="00B4515A">
              <w:rPr>
                <w:rFonts w:ascii="Times New Roman" w:hAnsi="Times New Roman" w:cs="Times New Roman"/>
                <w:b/>
                <w:sz w:val="21"/>
                <w:szCs w:val="21"/>
              </w:rPr>
              <w:t>）</w:t>
            </w:r>
          </w:p>
        </w:tc>
      </w:tr>
      <w:tr w:rsidR="006416B0" w:rsidRPr="00B4515A" w14:paraId="1C0941B5" w14:textId="77777777" w:rsidTr="00031627">
        <w:trPr>
          <w:trHeight w:val="340"/>
          <w:jc w:val="center"/>
        </w:trPr>
        <w:tc>
          <w:tcPr>
            <w:tcW w:w="511" w:type="pct"/>
            <w:tcMar>
              <w:top w:w="0" w:type="dxa"/>
              <w:left w:w="108" w:type="dxa"/>
              <w:bottom w:w="0" w:type="dxa"/>
              <w:right w:w="108" w:type="dxa"/>
            </w:tcMar>
            <w:vAlign w:val="center"/>
          </w:tcPr>
          <w:p w14:paraId="73DE853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447" w:type="pct"/>
            <w:tcMar>
              <w:top w:w="0" w:type="dxa"/>
              <w:left w:w="108" w:type="dxa"/>
              <w:bottom w:w="0" w:type="dxa"/>
              <w:right w:w="108" w:type="dxa"/>
            </w:tcMar>
            <w:vAlign w:val="center"/>
          </w:tcPr>
          <w:p w14:paraId="3AA98C5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电信科学技术研究院</w:t>
            </w:r>
          </w:p>
        </w:tc>
        <w:tc>
          <w:tcPr>
            <w:tcW w:w="1676" w:type="pct"/>
            <w:tcMar>
              <w:top w:w="0" w:type="dxa"/>
              <w:left w:w="108" w:type="dxa"/>
              <w:bottom w:w="0" w:type="dxa"/>
              <w:right w:w="108" w:type="dxa"/>
            </w:tcMar>
            <w:vAlign w:val="center"/>
          </w:tcPr>
          <w:p w14:paraId="157994B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10,000.00</w:t>
            </w:r>
          </w:p>
        </w:tc>
        <w:tc>
          <w:tcPr>
            <w:tcW w:w="1366" w:type="pct"/>
            <w:tcMar>
              <w:top w:w="0" w:type="dxa"/>
              <w:left w:w="108" w:type="dxa"/>
              <w:bottom w:w="0" w:type="dxa"/>
              <w:right w:w="108" w:type="dxa"/>
            </w:tcMar>
            <w:vAlign w:val="center"/>
          </w:tcPr>
          <w:p w14:paraId="744BD3C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65.00</w:t>
            </w:r>
          </w:p>
        </w:tc>
      </w:tr>
      <w:tr w:rsidR="006416B0" w:rsidRPr="00B4515A" w14:paraId="0FBAE0F6" w14:textId="77777777" w:rsidTr="00031627">
        <w:trPr>
          <w:trHeight w:val="340"/>
          <w:jc w:val="center"/>
        </w:trPr>
        <w:tc>
          <w:tcPr>
            <w:tcW w:w="511" w:type="pct"/>
            <w:tcMar>
              <w:top w:w="0" w:type="dxa"/>
              <w:left w:w="108" w:type="dxa"/>
              <w:bottom w:w="0" w:type="dxa"/>
              <w:right w:w="108" w:type="dxa"/>
            </w:tcMar>
            <w:vAlign w:val="center"/>
          </w:tcPr>
          <w:p w14:paraId="2A2A7554" w14:textId="77777777" w:rsidR="006416B0" w:rsidRPr="00B4515A" w:rsidRDefault="005E58C1" w:rsidP="005860B4">
            <w:pPr>
              <w:adjustRightInd w:val="0"/>
              <w:snapToGrid w:val="0"/>
              <w:jc w:val="center"/>
              <w:rPr>
                <w:rFonts w:ascii="Times New Roman" w:hAnsi="Times New Roman" w:cs="Times New Roman"/>
                <w:bCs/>
                <w:sz w:val="21"/>
                <w:szCs w:val="21"/>
              </w:rPr>
            </w:pPr>
            <w:r w:rsidRPr="00B4515A">
              <w:rPr>
                <w:rFonts w:ascii="Times New Roman" w:hAnsi="Times New Roman" w:cs="Times New Roman"/>
                <w:bCs/>
                <w:sz w:val="21"/>
                <w:szCs w:val="21"/>
              </w:rPr>
              <w:t>2</w:t>
            </w:r>
          </w:p>
        </w:tc>
        <w:tc>
          <w:tcPr>
            <w:tcW w:w="1447" w:type="pct"/>
            <w:tcMar>
              <w:top w:w="0" w:type="dxa"/>
              <w:left w:w="108" w:type="dxa"/>
              <w:bottom w:w="0" w:type="dxa"/>
              <w:right w:w="108" w:type="dxa"/>
            </w:tcMar>
            <w:vAlign w:val="center"/>
          </w:tcPr>
          <w:p w14:paraId="39E3D05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国家开发投资公司</w:t>
            </w:r>
          </w:p>
        </w:tc>
        <w:tc>
          <w:tcPr>
            <w:tcW w:w="1676" w:type="pct"/>
            <w:tcMar>
              <w:top w:w="0" w:type="dxa"/>
              <w:left w:w="108" w:type="dxa"/>
              <w:bottom w:w="0" w:type="dxa"/>
              <w:right w:w="108" w:type="dxa"/>
            </w:tcMar>
            <w:vAlign w:val="center"/>
          </w:tcPr>
          <w:p w14:paraId="73BB5AC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5,384.62</w:t>
            </w:r>
          </w:p>
        </w:tc>
        <w:tc>
          <w:tcPr>
            <w:tcW w:w="1366" w:type="pct"/>
            <w:tcMar>
              <w:top w:w="0" w:type="dxa"/>
              <w:left w:w="108" w:type="dxa"/>
              <w:bottom w:w="0" w:type="dxa"/>
              <w:right w:w="108" w:type="dxa"/>
            </w:tcMar>
            <w:vAlign w:val="center"/>
          </w:tcPr>
          <w:p w14:paraId="7595D28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35.00</w:t>
            </w:r>
          </w:p>
        </w:tc>
      </w:tr>
      <w:tr w:rsidR="006416B0" w:rsidRPr="00B4515A" w14:paraId="66E97BFC" w14:textId="77777777" w:rsidTr="00031627">
        <w:trPr>
          <w:trHeight w:val="340"/>
          <w:jc w:val="center"/>
        </w:trPr>
        <w:tc>
          <w:tcPr>
            <w:tcW w:w="1958" w:type="pct"/>
            <w:gridSpan w:val="2"/>
            <w:tcMar>
              <w:top w:w="0" w:type="dxa"/>
              <w:left w:w="108" w:type="dxa"/>
              <w:bottom w:w="0" w:type="dxa"/>
              <w:right w:w="108" w:type="dxa"/>
            </w:tcMar>
            <w:vAlign w:val="center"/>
          </w:tcPr>
          <w:p w14:paraId="0F54F558"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sz w:val="21"/>
                <w:szCs w:val="21"/>
              </w:rPr>
              <w:t>合计</w:t>
            </w:r>
          </w:p>
        </w:tc>
        <w:tc>
          <w:tcPr>
            <w:tcW w:w="1676" w:type="pct"/>
            <w:tcMar>
              <w:top w:w="0" w:type="dxa"/>
              <w:left w:w="108" w:type="dxa"/>
              <w:bottom w:w="0" w:type="dxa"/>
              <w:right w:w="108" w:type="dxa"/>
            </w:tcMar>
            <w:vAlign w:val="center"/>
          </w:tcPr>
          <w:p w14:paraId="4954D86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15,384.62</w:t>
            </w:r>
          </w:p>
        </w:tc>
        <w:tc>
          <w:tcPr>
            <w:tcW w:w="1366" w:type="pct"/>
            <w:tcMar>
              <w:top w:w="0" w:type="dxa"/>
              <w:left w:w="108" w:type="dxa"/>
              <w:bottom w:w="0" w:type="dxa"/>
              <w:right w:w="108" w:type="dxa"/>
            </w:tcMar>
            <w:vAlign w:val="center"/>
          </w:tcPr>
          <w:p w14:paraId="56FDEFE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100.00</w:t>
            </w:r>
          </w:p>
        </w:tc>
      </w:tr>
    </w:tbl>
    <w:p w14:paraId="2646512F" w14:textId="77777777" w:rsidR="006416B0" w:rsidRPr="00B4515A" w:rsidRDefault="005E58C1" w:rsidP="005860B4">
      <w:pPr>
        <w:pStyle w:val="005"/>
        <w:spacing w:before="120" w:after="120"/>
        <w:ind w:firstLine="480"/>
      </w:pPr>
      <w:r w:rsidRPr="00B4515A">
        <w:rPr>
          <w:rFonts w:hint="eastAsia"/>
        </w:rPr>
        <w:t>（</w:t>
      </w:r>
      <w:r w:rsidRPr="00B4515A">
        <w:t>3</w:t>
      </w:r>
      <w:r w:rsidRPr="00B4515A">
        <w:rPr>
          <w:rFonts w:hint="eastAsia"/>
        </w:rPr>
        <w:t>）</w:t>
      </w:r>
      <w:r w:rsidRPr="00B4515A">
        <w:t>2007</w:t>
      </w:r>
      <w:r w:rsidRPr="00B4515A">
        <w:rPr>
          <w:rFonts w:hint="eastAsia"/>
        </w:rPr>
        <w:t>年第二次增资</w:t>
      </w:r>
    </w:p>
    <w:p w14:paraId="72A53B5B" w14:textId="77777777" w:rsidR="006416B0" w:rsidRPr="00B4515A" w:rsidRDefault="005E58C1" w:rsidP="005860B4">
      <w:pPr>
        <w:pStyle w:val="005"/>
        <w:spacing w:before="120" w:after="120"/>
        <w:ind w:firstLine="480"/>
      </w:pPr>
      <w:r w:rsidRPr="00B4515A">
        <w:t>2007</w:t>
      </w:r>
      <w:r w:rsidRPr="00B4515A">
        <w:rPr>
          <w:rFonts w:hint="eastAsia"/>
        </w:rPr>
        <w:t>年</w:t>
      </w:r>
      <w:r w:rsidRPr="00B4515A">
        <w:t>9</w:t>
      </w:r>
      <w:r w:rsidRPr="00B4515A">
        <w:rPr>
          <w:rFonts w:hint="eastAsia"/>
        </w:rPr>
        <w:t>月，经电信科学技术研究院批准，</w:t>
      </w:r>
      <w:r w:rsidRPr="00B4515A">
        <w:t>将大唐控股截至</w:t>
      </w:r>
      <w:r w:rsidRPr="00B4515A">
        <w:t>2007</w:t>
      </w:r>
      <w:r w:rsidRPr="00B4515A">
        <w:t>年</w:t>
      </w:r>
      <w:r w:rsidRPr="00B4515A">
        <w:t>9</w:t>
      </w:r>
      <w:r w:rsidRPr="00B4515A">
        <w:t>月</w:t>
      </w:r>
      <w:r w:rsidRPr="00B4515A">
        <w:t>18</w:t>
      </w:r>
      <w:r w:rsidRPr="00B4515A">
        <w:t>日的资本公积</w:t>
      </w:r>
      <w:r w:rsidRPr="00B4515A">
        <w:t>521,947.365085</w:t>
      </w:r>
      <w:r w:rsidRPr="00B4515A">
        <w:t>万元中的</w:t>
      </w:r>
      <w:r w:rsidRPr="00B4515A">
        <w:t>284,615.38</w:t>
      </w:r>
      <w:r w:rsidRPr="00B4515A">
        <w:t>万元转增注册资本，转增前大唐控股注册资本为</w:t>
      </w:r>
      <w:r w:rsidRPr="00B4515A">
        <w:t xml:space="preserve"> 15,384.62</w:t>
      </w:r>
      <w:r w:rsidRPr="00B4515A">
        <w:t>万元，转增后注册资本变更为</w:t>
      </w:r>
      <w:r w:rsidRPr="00B4515A">
        <w:t>30</w:t>
      </w:r>
      <w:r w:rsidRPr="00B4515A">
        <w:t>亿元人民币。</w:t>
      </w:r>
    </w:p>
    <w:p w14:paraId="47E3169B" w14:textId="77777777" w:rsidR="006416B0" w:rsidRPr="00B4515A" w:rsidRDefault="005E58C1" w:rsidP="005860B4">
      <w:pPr>
        <w:pStyle w:val="005"/>
        <w:spacing w:before="120" w:after="120"/>
        <w:ind w:firstLine="480"/>
      </w:pPr>
      <w:r w:rsidRPr="00B4515A">
        <w:t>2007</w:t>
      </w:r>
      <w:r w:rsidRPr="00B4515A">
        <w:t>年</w:t>
      </w:r>
      <w:r w:rsidRPr="00B4515A">
        <w:t>9</w:t>
      </w:r>
      <w:r w:rsidRPr="00B4515A">
        <w:t>月</w:t>
      </w:r>
      <w:r w:rsidRPr="00B4515A">
        <w:t>24</w:t>
      </w:r>
      <w:r w:rsidRPr="00B4515A">
        <w:t>日，大唐控股取得国家工商总局就此次变更核发的《企业法人营业执照》。</w:t>
      </w:r>
    </w:p>
    <w:p w14:paraId="6DE71E95" w14:textId="77777777" w:rsidR="006416B0" w:rsidRPr="00B4515A" w:rsidRDefault="005E58C1" w:rsidP="005860B4">
      <w:pPr>
        <w:pStyle w:val="005"/>
        <w:spacing w:before="120" w:after="120"/>
        <w:ind w:firstLine="480"/>
      </w:pPr>
      <w:r w:rsidRPr="00B4515A">
        <w:rPr>
          <w:rFonts w:hint="eastAsia"/>
        </w:rPr>
        <w:t>本次增资完成后，大唐控股的股权结构为：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71"/>
        <w:gridCol w:w="2468"/>
        <w:gridCol w:w="2859"/>
        <w:gridCol w:w="2330"/>
      </w:tblGrid>
      <w:tr w:rsidR="006416B0" w:rsidRPr="00B4515A" w14:paraId="3BBF23A8" w14:textId="77777777" w:rsidTr="00031627">
        <w:trPr>
          <w:trHeight w:val="340"/>
          <w:jc w:val="center"/>
        </w:trPr>
        <w:tc>
          <w:tcPr>
            <w:tcW w:w="511" w:type="pct"/>
            <w:tcMar>
              <w:top w:w="0" w:type="dxa"/>
              <w:left w:w="108" w:type="dxa"/>
              <w:bottom w:w="0" w:type="dxa"/>
              <w:right w:w="108" w:type="dxa"/>
            </w:tcMar>
            <w:vAlign w:val="center"/>
          </w:tcPr>
          <w:p w14:paraId="568D380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序号</w:t>
            </w:r>
          </w:p>
        </w:tc>
        <w:tc>
          <w:tcPr>
            <w:tcW w:w="1447" w:type="pct"/>
            <w:tcMar>
              <w:top w:w="0" w:type="dxa"/>
              <w:left w:w="108" w:type="dxa"/>
              <w:bottom w:w="0" w:type="dxa"/>
              <w:right w:w="108" w:type="dxa"/>
            </w:tcMar>
            <w:vAlign w:val="center"/>
          </w:tcPr>
          <w:p w14:paraId="02AA8490"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股东名称</w:t>
            </w:r>
          </w:p>
        </w:tc>
        <w:tc>
          <w:tcPr>
            <w:tcW w:w="1676" w:type="pct"/>
            <w:tcMar>
              <w:top w:w="0" w:type="dxa"/>
              <w:left w:w="108" w:type="dxa"/>
              <w:bottom w:w="0" w:type="dxa"/>
              <w:right w:w="108" w:type="dxa"/>
            </w:tcMar>
            <w:vAlign w:val="center"/>
          </w:tcPr>
          <w:p w14:paraId="62AC4800"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出资额（万元）</w:t>
            </w:r>
          </w:p>
        </w:tc>
        <w:tc>
          <w:tcPr>
            <w:tcW w:w="1366" w:type="pct"/>
            <w:tcMar>
              <w:top w:w="0" w:type="dxa"/>
              <w:left w:w="108" w:type="dxa"/>
              <w:bottom w:w="0" w:type="dxa"/>
              <w:right w:w="108" w:type="dxa"/>
            </w:tcMar>
            <w:vAlign w:val="center"/>
          </w:tcPr>
          <w:p w14:paraId="065310F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持股比例（</w:t>
            </w:r>
            <w:r w:rsidRPr="00B4515A">
              <w:rPr>
                <w:rFonts w:ascii="Times New Roman" w:hAnsi="Times New Roman" w:cs="Times New Roman"/>
                <w:b/>
                <w:sz w:val="21"/>
                <w:szCs w:val="21"/>
              </w:rPr>
              <w:t>%</w:t>
            </w:r>
            <w:r w:rsidRPr="00B4515A">
              <w:rPr>
                <w:rFonts w:ascii="Times New Roman" w:hAnsi="Times New Roman" w:cs="Times New Roman"/>
                <w:b/>
                <w:sz w:val="21"/>
                <w:szCs w:val="21"/>
              </w:rPr>
              <w:t>）</w:t>
            </w:r>
          </w:p>
        </w:tc>
      </w:tr>
      <w:tr w:rsidR="006416B0" w:rsidRPr="00B4515A" w14:paraId="7521C1B7" w14:textId="77777777" w:rsidTr="00031627">
        <w:trPr>
          <w:trHeight w:val="340"/>
          <w:jc w:val="center"/>
        </w:trPr>
        <w:tc>
          <w:tcPr>
            <w:tcW w:w="511" w:type="pct"/>
            <w:tcMar>
              <w:top w:w="0" w:type="dxa"/>
              <w:left w:w="108" w:type="dxa"/>
              <w:bottom w:w="0" w:type="dxa"/>
              <w:right w:w="108" w:type="dxa"/>
            </w:tcMar>
            <w:vAlign w:val="center"/>
          </w:tcPr>
          <w:p w14:paraId="2EC7BFE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447" w:type="pct"/>
            <w:tcMar>
              <w:top w:w="0" w:type="dxa"/>
              <w:left w:w="108" w:type="dxa"/>
              <w:bottom w:w="0" w:type="dxa"/>
              <w:right w:w="108" w:type="dxa"/>
            </w:tcMar>
            <w:vAlign w:val="center"/>
          </w:tcPr>
          <w:p w14:paraId="4019823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电信科学技术研究院</w:t>
            </w:r>
          </w:p>
        </w:tc>
        <w:tc>
          <w:tcPr>
            <w:tcW w:w="1676" w:type="pct"/>
            <w:tcMar>
              <w:top w:w="0" w:type="dxa"/>
              <w:left w:w="108" w:type="dxa"/>
              <w:bottom w:w="0" w:type="dxa"/>
              <w:right w:w="108" w:type="dxa"/>
            </w:tcMar>
            <w:vAlign w:val="center"/>
          </w:tcPr>
          <w:p w14:paraId="2DA46F0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195,000.00</w:t>
            </w:r>
          </w:p>
        </w:tc>
        <w:tc>
          <w:tcPr>
            <w:tcW w:w="1366" w:type="pct"/>
            <w:tcMar>
              <w:top w:w="0" w:type="dxa"/>
              <w:left w:w="108" w:type="dxa"/>
              <w:bottom w:w="0" w:type="dxa"/>
              <w:right w:w="108" w:type="dxa"/>
            </w:tcMar>
            <w:vAlign w:val="center"/>
          </w:tcPr>
          <w:p w14:paraId="18439E6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65.00</w:t>
            </w:r>
          </w:p>
        </w:tc>
      </w:tr>
      <w:tr w:rsidR="006416B0" w:rsidRPr="00B4515A" w14:paraId="20B2539B" w14:textId="77777777" w:rsidTr="00031627">
        <w:trPr>
          <w:trHeight w:val="340"/>
          <w:jc w:val="center"/>
        </w:trPr>
        <w:tc>
          <w:tcPr>
            <w:tcW w:w="511" w:type="pct"/>
            <w:tcMar>
              <w:top w:w="0" w:type="dxa"/>
              <w:left w:w="108" w:type="dxa"/>
              <w:bottom w:w="0" w:type="dxa"/>
              <w:right w:w="108" w:type="dxa"/>
            </w:tcMar>
            <w:vAlign w:val="center"/>
          </w:tcPr>
          <w:p w14:paraId="2B118EEE" w14:textId="77777777" w:rsidR="006416B0" w:rsidRPr="00B4515A" w:rsidRDefault="005E58C1" w:rsidP="005860B4">
            <w:pPr>
              <w:adjustRightInd w:val="0"/>
              <w:snapToGrid w:val="0"/>
              <w:jc w:val="center"/>
              <w:rPr>
                <w:rFonts w:ascii="Times New Roman" w:hAnsi="Times New Roman" w:cs="Times New Roman"/>
                <w:bCs/>
                <w:sz w:val="21"/>
                <w:szCs w:val="21"/>
              </w:rPr>
            </w:pPr>
            <w:r w:rsidRPr="00B4515A">
              <w:rPr>
                <w:rFonts w:ascii="Times New Roman" w:hAnsi="Times New Roman" w:cs="Times New Roman"/>
                <w:bCs/>
                <w:sz w:val="21"/>
                <w:szCs w:val="21"/>
              </w:rPr>
              <w:t>2</w:t>
            </w:r>
          </w:p>
        </w:tc>
        <w:tc>
          <w:tcPr>
            <w:tcW w:w="1447" w:type="pct"/>
            <w:tcMar>
              <w:top w:w="0" w:type="dxa"/>
              <w:left w:w="108" w:type="dxa"/>
              <w:bottom w:w="0" w:type="dxa"/>
              <w:right w:w="108" w:type="dxa"/>
            </w:tcMar>
            <w:vAlign w:val="center"/>
          </w:tcPr>
          <w:p w14:paraId="5BA5074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国家开发投资公司</w:t>
            </w:r>
          </w:p>
        </w:tc>
        <w:tc>
          <w:tcPr>
            <w:tcW w:w="1676" w:type="pct"/>
            <w:tcMar>
              <w:top w:w="0" w:type="dxa"/>
              <w:left w:w="108" w:type="dxa"/>
              <w:bottom w:w="0" w:type="dxa"/>
              <w:right w:w="108" w:type="dxa"/>
            </w:tcMar>
            <w:vAlign w:val="center"/>
          </w:tcPr>
          <w:p w14:paraId="6514AE7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105,000.00</w:t>
            </w:r>
          </w:p>
        </w:tc>
        <w:tc>
          <w:tcPr>
            <w:tcW w:w="1366" w:type="pct"/>
            <w:tcMar>
              <w:top w:w="0" w:type="dxa"/>
              <w:left w:w="108" w:type="dxa"/>
              <w:bottom w:w="0" w:type="dxa"/>
              <w:right w:w="108" w:type="dxa"/>
            </w:tcMar>
            <w:vAlign w:val="center"/>
          </w:tcPr>
          <w:p w14:paraId="6576FC1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35.00</w:t>
            </w:r>
          </w:p>
        </w:tc>
      </w:tr>
      <w:tr w:rsidR="006416B0" w:rsidRPr="00B4515A" w14:paraId="538B8641" w14:textId="77777777" w:rsidTr="00031627">
        <w:trPr>
          <w:trHeight w:val="340"/>
          <w:jc w:val="center"/>
        </w:trPr>
        <w:tc>
          <w:tcPr>
            <w:tcW w:w="1958" w:type="pct"/>
            <w:gridSpan w:val="2"/>
            <w:tcMar>
              <w:top w:w="0" w:type="dxa"/>
              <w:left w:w="108" w:type="dxa"/>
              <w:bottom w:w="0" w:type="dxa"/>
              <w:right w:w="108" w:type="dxa"/>
            </w:tcMar>
            <w:vAlign w:val="center"/>
          </w:tcPr>
          <w:p w14:paraId="743E12D5"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sz w:val="21"/>
                <w:szCs w:val="21"/>
              </w:rPr>
              <w:t>合计</w:t>
            </w:r>
          </w:p>
        </w:tc>
        <w:tc>
          <w:tcPr>
            <w:tcW w:w="1676" w:type="pct"/>
            <w:tcMar>
              <w:top w:w="0" w:type="dxa"/>
              <w:left w:w="108" w:type="dxa"/>
              <w:bottom w:w="0" w:type="dxa"/>
              <w:right w:w="108" w:type="dxa"/>
            </w:tcMar>
            <w:vAlign w:val="center"/>
          </w:tcPr>
          <w:p w14:paraId="0C65780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300,000.00</w:t>
            </w:r>
          </w:p>
        </w:tc>
        <w:tc>
          <w:tcPr>
            <w:tcW w:w="1366" w:type="pct"/>
            <w:tcMar>
              <w:top w:w="0" w:type="dxa"/>
              <w:left w:w="108" w:type="dxa"/>
              <w:bottom w:w="0" w:type="dxa"/>
              <w:right w:w="108" w:type="dxa"/>
            </w:tcMar>
            <w:vAlign w:val="center"/>
          </w:tcPr>
          <w:p w14:paraId="2BBB828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100.00</w:t>
            </w:r>
          </w:p>
        </w:tc>
      </w:tr>
    </w:tbl>
    <w:p w14:paraId="2AAA4634" w14:textId="77777777" w:rsidR="006416B0" w:rsidRPr="00B4515A" w:rsidRDefault="005E58C1" w:rsidP="005860B4">
      <w:pPr>
        <w:pStyle w:val="005"/>
        <w:spacing w:before="120" w:after="120"/>
        <w:ind w:firstLine="480"/>
      </w:pPr>
      <w:r w:rsidRPr="00B4515A">
        <w:rPr>
          <w:rFonts w:hint="eastAsia"/>
        </w:rPr>
        <w:t>（</w:t>
      </w:r>
      <w:r w:rsidRPr="00B4515A">
        <w:t>4</w:t>
      </w:r>
      <w:r w:rsidRPr="00B4515A">
        <w:rPr>
          <w:rFonts w:hint="eastAsia"/>
        </w:rPr>
        <w:t>）</w:t>
      </w:r>
      <w:r w:rsidRPr="00B4515A">
        <w:t>2009</w:t>
      </w:r>
      <w:r w:rsidRPr="00B4515A">
        <w:rPr>
          <w:rFonts w:hint="eastAsia"/>
        </w:rPr>
        <w:t>年增资</w:t>
      </w:r>
    </w:p>
    <w:p w14:paraId="61540384" w14:textId="77777777" w:rsidR="006416B0" w:rsidRPr="00B4515A" w:rsidRDefault="005E58C1" w:rsidP="005860B4">
      <w:pPr>
        <w:pStyle w:val="005"/>
        <w:spacing w:before="120" w:after="120"/>
        <w:ind w:firstLine="480"/>
        <w:rPr>
          <w:color w:val="000000"/>
        </w:rPr>
      </w:pPr>
      <w:r w:rsidRPr="00B4515A">
        <w:rPr>
          <w:color w:val="000000"/>
        </w:rPr>
        <w:t>2009</w:t>
      </w:r>
      <w:r w:rsidRPr="00B4515A">
        <w:rPr>
          <w:rFonts w:hint="eastAsia"/>
          <w:color w:val="000000"/>
        </w:rPr>
        <w:t>年</w:t>
      </w:r>
      <w:r w:rsidRPr="00B4515A">
        <w:rPr>
          <w:color w:val="000000"/>
        </w:rPr>
        <w:t>8</w:t>
      </w:r>
      <w:r w:rsidRPr="00B4515A">
        <w:rPr>
          <w:rFonts w:hint="eastAsia"/>
          <w:color w:val="000000"/>
        </w:rPr>
        <w:t>月，经电信科学技术研究院批准，大唐控股</w:t>
      </w:r>
      <w:r w:rsidRPr="00B4515A">
        <w:rPr>
          <w:color w:val="000000"/>
        </w:rPr>
        <w:t>增加股东全国社会保障基金理事会，全国社会保障基金理事会以货币形式出资</w:t>
      </w:r>
      <w:r w:rsidRPr="00B4515A">
        <w:rPr>
          <w:color w:val="000000"/>
        </w:rPr>
        <w:t>6</w:t>
      </w:r>
      <w:r w:rsidRPr="00B4515A">
        <w:rPr>
          <w:color w:val="000000"/>
        </w:rPr>
        <w:t>亿元，占大唐控股注册资本的</w:t>
      </w:r>
      <w:r w:rsidRPr="00B4515A">
        <w:rPr>
          <w:color w:val="000000"/>
        </w:rPr>
        <w:t>16.66%</w:t>
      </w:r>
      <w:r w:rsidRPr="00B4515A">
        <w:rPr>
          <w:color w:val="000000"/>
        </w:rPr>
        <w:t>。</w:t>
      </w:r>
    </w:p>
    <w:p w14:paraId="6F17DBDB" w14:textId="77777777" w:rsidR="006416B0" w:rsidRPr="00B4515A" w:rsidRDefault="005E58C1" w:rsidP="005860B4">
      <w:pPr>
        <w:pStyle w:val="005"/>
        <w:spacing w:before="120" w:after="120"/>
        <w:ind w:firstLine="480"/>
        <w:rPr>
          <w:color w:val="000000"/>
        </w:rPr>
      </w:pPr>
      <w:r w:rsidRPr="00B4515A">
        <w:rPr>
          <w:color w:val="000000"/>
        </w:rPr>
        <w:t>2009</w:t>
      </w:r>
      <w:r w:rsidRPr="00B4515A">
        <w:rPr>
          <w:color w:val="000000"/>
        </w:rPr>
        <w:t>年</w:t>
      </w:r>
      <w:r w:rsidRPr="00B4515A">
        <w:rPr>
          <w:color w:val="000000"/>
        </w:rPr>
        <w:t>10</w:t>
      </w:r>
      <w:r w:rsidRPr="00B4515A">
        <w:rPr>
          <w:color w:val="000000"/>
        </w:rPr>
        <w:t>月</w:t>
      </w:r>
      <w:r w:rsidRPr="00B4515A">
        <w:rPr>
          <w:color w:val="000000"/>
        </w:rPr>
        <w:t>15</w:t>
      </w:r>
      <w:r w:rsidRPr="00B4515A">
        <w:rPr>
          <w:color w:val="000000"/>
        </w:rPr>
        <w:t>日，大唐控股取得国家工商总局就此次变更核发的《企业法人营业执照》</w:t>
      </w:r>
      <w:r w:rsidRPr="00B4515A">
        <w:rPr>
          <w:rFonts w:hint="eastAsia"/>
          <w:color w:val="000000"/>
        </w:rPr>
        <w:t>。</w:t>
      </w:r>
    </w:p>
    <w:p w14:paraId="015A58E6" w14:textId="77777777" w:rsidR="006416B0" w:rsidRPr="00B4515A" w:rsidRDefault="005E58C1" w:rsidP="005860B4">
      <w:pPr>
        <w:pStyle w:val="005"/>
        <w:spacing w:before="120" w:after="120"/>
        <w:ind w:firstLine="480"/>
        <w:rPr>
          <w:color w:val="000000"/>
        </w:rPr>
      </w:pPr>
      <w:r w:rsidRPr="00B4515A">
        <w:rPr>
          <w:rFonts w:hint="eastAsia"/>
          <w:color w:val="000000"/>
        </w:rPr>
        <w:t>本次增资完成后，大唐控股的股权结构为：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71"/>
        <w:gridCol w:w="2929"/>
        <w:gridCol w:w="2398"/>
        <w:gridCol w:w="2330"/>
      </w:tblGrid>
      <w:tr w:rsidR="006416B0" w:rsidRPr="00B4515A" w14:paraId="3BB870F3" w14:textId="77777777" w:rsidTr="00031627">
        <w:trPr>
          <w:trHeight w:val="340"/>
          <w:jc w:val="center"/>
        </w:trPr>
        <w:tc>
          <w:tcPr>
            <w:tcW w:w="511" w:type="pct"/>
            <w:tcMar>
              <w:top w:w="0" w:type="dxa"/>
              <w:left w:w="108" w:type="dxa"/>
              <w:bottom w:w="0" w:type="dxa"/>
              <w:right w:w="108" w:type="dxa"/>
            </w:tcMar>
            <w:vAlign w:val="center"/>
          </w:tcPr>
          <w:p w14:paraId="0211183F"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序号</w:t>
            </w:r>
          </w:p>
        </w:tc>
        <w:tc>
          <w:tcPr>
            <w:tcW w:w="1717" w:type="pct"/>
            <w:tcMar>
              <w:top w:w="0" w:type="dxa"/>
              <w:left w:w="108" w:type="dxa"/>
              <w:bottom w:w="0" w:type="dxa"/>
              <w:right w:w="108" w:type="dxa"/>
            </w:tcMar>
            <w:vAlign w:val="center"/>
          </w:tcPr>
          <w:p w14:paraId="64DBCE3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股东名称</w:t>
            </w:r>
          </w:p>
        </w:tc>
        <w:tc>
          <w:tcPr>
            <w:tcW w:w="1406" w:type="pct"/>
            <w:tcMar>
              <w:top w:w="0" w:type="dxa"/>
              <w:left w:w="108" w:type="dxa"/>
              <w:bottom w:w="0" w:type="dxa"/>
              <w:right w:w="108" w:type="dxa"/>
            </w:tcMar>
            <w:vAlign w:val="center"/>
          </w:tcPr>
          <w:p w14:paraId="5F82716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出资额（万元）</w:t>
            </w:r>
          </w:p>
        </w:tc>
        <w:tc>
          <w:tcPr>
            <w:tcW w:w="1366" w:type="pct"/>
            <w:tcMar>
              <w:top w:w="0" w:type="dxa"/>
              <w:left w:w="108" w:type="dxa"/>
              <w:bottom w:w="0" w:type="dxa"/>
              <w:right w:w="108" w:type="dxa"/>
            </w:tcMar>
            <w:vAlign w:val="center"/>
          </w:tcPr>
          <w:p w14:paraId="2A4532BE"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持股比例（</w:t>
            </w:r>
            <w:r w:rsidRPr="00B4515A">
              <w:rPr>
                <w:rFonts w:ascii="Times New Roman" w:hAnsi="Times New Roman" w:cs="Times New Roman"/>
                <w:b/>
                <w:sz w:val="21"/>
                <w:szCs w:val="21"/>
              </w:rPr>
              <w:t>%</w:t>
            </w:r>
            <w:r w:rsidRPr="00B4515A">
              <w:rPr>
                <w:rFonts w:ascii="Times New Roman" w:hAnsi="Times New Roman" w:cs="Times New Roman"/>
                <w:b/>
                <w:sz w:val="21"/>
                <w:szCs w:val="21"/>
              </w:rPr>
              <w:t>）</w:t>
            </w:r>
          </w:p>
        </w:tc>
      </w:tr>
      <w:tr w:rsidR="006416B0" w:rsidRPr="00B4515A" w14:paraId="268C4B7B" w14:textId="77777777" w:rsidTr="00031627">
        <w:trPr>
          <w:trHeight w:val="340"/>
          <w:jc w:val="center"/>
        </w:trPr>
        <w:tc>
          <w:tcPr>
            <w:tcW w:w="511" w:type="pct"/>
            <w:tcMar>
              <w:top w:w="0" w:type="dxa"/>
              <w:left w:w="108" w:type="dxa"/>
              <w:bottom w:w="0" w:type="dxa"/>
              <w:right w:w="108" w:type="dxa"/>
            </w:tcMar>
            <w:vAlign w:val="center"/>
          </w:tcPr>
          <w:p w14:paraId="2DD1F08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717" w:type="pct"/>
            <w:tcMar>
              <w:top w:w="0" w:type="dxa"/>
              <w:left w:w="108" w:type="dxa"/>
              <w:bottom w:w="0" w:type="dxa"/>
              <w:right w:w="108" w:type="dxa"/>
            </w:tcMar>
            <w:vAlign w:val="center"/>
          </w:tcPr>
          <w:p w14:paraId="6A04FAC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电信科学技术研究院</w:t>
            </w:r>
          </w:p>
        </w:tc>
        <w:tc>
          <w:tcPr>
            <w:tcW w:w="1406" w:type="pct"/>
            <w:tcMar>
              <w:top w:w="0" w:type="dxa"/>
              <w:left w:w="108" w:type="dxa"/>
              <w:bottom w:w="0" w:type="dxa"/>
              <w:right w:w="108" w:type="dxa"/>
            </w:tcMar>
            <w:vAlign w:val="center"/>
          </w:tcPr>
          <w:p w14:paraId="5C1583A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195,000.00</w:t>
            </w:r>
          </w:p>
        </w:tc>
        <w:tc>
          <w:tcPr>
            <w:tcW w:w="1366" w:type="pct"/>
            <w:tcMar>
              <w:top w:w="0" w:type="dxa"/>
              <w:left w:w="108" w:type="dxa"/>
              <w:bottom w:w="0" w:type="dxa"/>
              <w:right w:w="108" w:type="dxa"/>
            </w:tcMar>
            <w:vAlign w:val="center"/>
          </w:tcPr>
          <w:p w14:paraId="4069667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54.17</w:t>
            </w:r>
          </w:p>
        </w:tc>
      </w:tr>
      <w:tr w:rsidR="006416B0" w:rsidRPr="00B4515A" w14:paraId="2D6E6A66" w14:textId="77777777" w:rsidTr="00031627">
        <w:trPr>
          <w:trHeight w:val="340"/>
          <w:jc w:val="center"/>
        </w:trPr>
        <w:tc>
          <w:tcPr>
            <w:tcW w:w="511" w:type="pct"/>
            <w:tcMar>
              <w:top w:w="0" w:type="dxa"/>
              <w:left w:w="108" w:type="dxa"/>
              <w:bottom w:w="0" w:type="dxa"/>
              <w:right w:w="108" w:type="dxa"/>
            </w:tcMar>
            <w:vAlign w:val="center"/>
          </w:tcPr>
          <w:p w14:paraId="6F387144" w14:textId="77777777" w:rsidR="006416B0" w:rsidRPr="00B4515A" w:rsidRDefault="005E58C1" w:rsidP="005860B4">
            <w:pPr>
              <w:adjustRightInd w:val="0"/>
              <w:snapToGrid w:val="0"/>
              <w:jc w:val="center"/>
              <w:rPr>
                <w:rFonts w:ascii="Times New Roman" w:hAnsi="Times New Roman" w:cs="Times New Roman"/>
                <w:bCs/>
                <w:sz w:val="21"/>
                <w:szCs w:val="21"/>
              </w:rPr>
            </w:pPr>
            <w:r w:rsidRPr="00B4515A">
              <w:rPr>
                <w:rFonts w:ascii="Times New Roman" w:hAnsi="Times New Roman" w:cs="Times New Roman"/>
                <w:bCs/>
                <w:sz w:val="21"/>
                <w:szCs w:val="21"/>
              </w:rPr>
              <w:t>2</w:t>
            </w:r>
          </w:p>
        </w:tc>
        <w:tc>
          <w:tcPr>
            <w:tcW w:w="1717" w:type="pct"/>
            <w:tcMar>
              <w:top w:w="0" w:type="dxa"/>
              <w:left w:w="108" w:type="dxa"/>
              <w:bottom w:w="0" w:type="dxa"/>
              <w:right w:w="108" w:type="dxa"/>
            </w:tcMar>
            <w:vAlign w:val="center"/>
          </w:tcPr>
          <w:p w14:paraId="635E37C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国家开发投资公司</w:t>
            </w:r>
          </w:p>
        </w:tc>
        <w:tc>
          <w:tcPr>
            <w:tcW w:w="1406" w:type="pct"/>
            <w:tcMar>
              <w:top w:w="0" w:type="dxa"/>
              <w:left w:w="108" w:type="dxa"/>
              <w:bottom w:w="0" w:type="dxa"/>
              <w:right w:w="108" w:type="dxa"/>
            </w:tcMar>
            <w:vAlign w:val="center"/>
          </w:tcPr>
          <w:p w14:paraId="308E09A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105,000.00</w:t>
            </w:r>
          </w:p>
        </w:tc>
        <w:tc>
          <w:tcPr>
            <w:tcW w:w="1366" w:type="pct"/>
            <w:tcMar>
              <w:top w:w="0" w:type="dxa"/>
              <w:left w:w="108" w:type="dxa"/>
              <w:bottom w:w="0" w:type="dxa"/>
              <w:right w:w="108" w:type="dxa"/>
            </w:tcMar>
            <w:vAlign w:val="center"/>
          </w:tcPr>
          <w:p w14:paraId="541464D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29.17</w:t>
            </w:r>
          </w:p>
        </w:tc>
      </w:tr>
      <w:tr w:rsidR="006416B0" w:rsidRPr="00B4515A" w14:paraId="79C7EEB8" w14:textId="77777777" w:rsidTr="00031627">
        <w:trPr>
          <w:trHeight w:val="340"/>
          <w:jc w:val="center"/>
        </w:trPr>
        <w:tc>
          <w:tcPr>
            <w:tcW w:w="511" w:type="pct"/>
            <w:tcMar>
              <w:top w:w="0" w:type="dxa"/>
              <w:left w:w="108" w:type="dxa"/>
              <w:bottom w:w="0" w:type="dxa"/>
              <w:right w:w="108" w:type="dxa"/>
            </w:tcMar>
            <w:vAlign w:val="center"/>
          </w:tcPr>
          <w:p w14:paraId="7FF4850C" w14:textId="77777777" w:rsidR="006416B0" w:rsidRPr="00B4515A" w:rsidRDefault="005E58C1" w:rsidP="005860B4">
            <w:pPr>
              <w:adjustRightInd w:val="0"/>
              <w:snapToGrid w:val="0"/>
              <w:jc w:val="center"/>
              <w:rPr>
                <w:rFonts w:ascii="Times New Roman" w:hAnsi="Times New Roman" w:cs="Times New Roman"/>
                <w:bCs/>
                <w:sz w:val="21"/>
                <w:szCs w:val="21"/>
              </w:rPr>
            </w:pPr>
            <w:r w:rsidRPr="00B4515A">
              <w:rPr>
                <w:rFonts w:ascii="Times New Roman" w:hAnsi="Times New Roman" w:cs="Times New Roman"/>
                <w:bCs/>
                <w:sz w:val="21"/>
                <w:szCs w:val="21"/>
              </w:rPr>
              <w:t>3</w:t>
            </w:r>
          </w:p>
        </w:tc>
        <w:tc>
          <w:tcPr>
            <w:tcW w:w="1717" w:type="pct"/>
            <w:tcMar>
              <w:top w:w="0" w:type="dxa"/>
              <w:left w:w="108" w:type="dxa"/>
              <w:bottom w:w="0" w:type="dxa"/>
              <w:right w:w="108" w:type="dxa"/>
            </w:tcMar>
            <w:vAlign w:val="center"/>
          </w:tcPr>
          <w:p w14:paraId="62A10DD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全国社会保障基金理事会</w:t>
            </w:r>
          </w:p>
        </w:tc>
        <w:tc>
          <w:tcPr>
            <w:tcW w:w="1406" w:type="pct"/>
            <w:tcMar>
              <w:top w:w="0" w:type="dxa"/>
              <w:left w:w="108" w:type="dxa"/>
              <w:bottom w:w="0" w:type="dxa"/>
              <w:right w:w="108" w:type="dxa"/>
            </w:tcMar>
            <w:vAlign w:val="center"/>
          </w:tcPr>
          <w:p w14:paraId="579C4A3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60,000.00</w:t>
            </w:r>
          </w:p>
        </w:tc>
        <w:tc>
          <w:tcPr>
            <w:tcW w:w="1366" w:type="pct"/>
            <w:tcMar>
              <w:top w:w="0" w:type="dxa"/>
              <w:left w:w="108" w:type="dxa"/>
              <w:bottom w:w="0" w:type="dxa"/>
              <w:right w:w="108" w:type="dxa"/>
            </w:tcMar>
            <w:vAlign w:val="center"/>
          </w:tcPr>
          <w:p w14:paraId="21D815C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16.66</w:t>
            </w:r>
          </w:p>
        </w:tc>
      </w:tr>
      <w:tr w:rsidR="006416B0" w:rsidRPr="00B4515A" w14:paraId="460CC44D" w14:textId="77777777" w:rsidTr="00031627">
        <w:trPr>
          <w:trHeight w:val="340"/>
          <w:jc w:val="center"/>
        </w:trPr>
        <w:tc>
          <w:tcPr>
            <w:tcW w:w="2228" w:type="pct"/>
            <w:gridSpan w:val="2"/>
            <w:tcMar>
              <w:top w:w="0" w:type="dxa"/>
              <w:left w:w="108" w:type="dxa"/>
              <w:bottom w:w="0" w:type="dxa"/>
              <w:right w:w="108" w:type="dxa"/>
            </w:tcMar>
            <w:vAlign w:val="center"/>
          </w:tcPr>
          <w:p w14:paraId="061E05FA"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sz w:val="21"/>
                <w:szCs w:val="21"/>
              </w:rPr>
              <w:t>合计</w:t>
            </w:r>
          </w:p>
        </w:tc>
        <w:tc>
          <w:tcPr>
            <w:tcW w:w="1406" w:type="pct"/>
            <w:tcMar>
              <w:top w:w="0" w:type="dxa"/>
              <w:left w:w="108" w:type="dxa"/>
              <w:bottom w:w="0" w:type="dxa"/>
              <w:right w:w="108" w:type="dxa"/>
            </w:tcMar>
            <w:vAlign w:val="center"/>
          </w:tcPr>
          <w:p w14:paraId="48D8087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360,000.00</w:t>
            </w:r>
          </w:p>
        </w:tc>
        <w:tc>
          <w:tcPr>
            <w:tcW w:w="1366" w:type="pct"/>
            <w:tcMar>
              <w:top w:w="0" w:type="dxa"/>
              <w:left w:w="108" w:type="dxa"/>
              <w:bottom w:w="0" w:type="dxa"/>
              <w:right w:w="108" w:type="dxa"/>
            </w:tcMar>
            <w:vAlign w:val="center"/>
          </w:tcPr>
          <w:p w14:paraId="22CA4D8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100.00</w:t>
            </w:r>
          </w:p>
        </w:tc>
      </w:tr>
    </w:tbl>
    <w:p w14:paraId="72D3A7C5" w14:textId="77777777" w:rsidR="006416B0" w:rsidRPr="00B4515A" w:rsidRDefault="005E58C1" w:rsidP="005860B4">
      <w:pPr>
        <w:pStyle w:val="005"/>
        <w:spacing w:before="120" w:after="120"/>
        <w:ind w:firstLine="480"/>
      </w:pPr>
      <w:r w:rsidRPr="00B4515A">
        <w:rPr>
          <w:rFonts w:hint="eastAsia"/>
        </w:rPr>
        <w:t>（</w:t>
      </w:r>
      <w:r w:rsidRPr="00B4515A">
        <w:t>5</w:t>
      </w:r>
      <w:r w:rsidRPr="00B4515A">
        <w:rPr>
          <w:rFonts w:hint="eastAsia"/>
        </w:rPr>
        <w:t>）</w:t>
      </w:r>
      <w:r w:rsidRPr="00B4515A">
        <w:rPr>
          <w:rFonts w:hint="eastAsia"/>
        </w:rPr>
        <w:t>2</w:t>
      </w:r>
      <w:r w:rsidRPr="00B4515A">
        <w:t>012</w:t>
      </w:r>
      <w:r w:rsidRPr="00B4515A">
        <w:rPr>
          <w:rFonts w:hint="eastAsia"/>
        </w:rPr>
        <w:t>年股权划转</w:t>
      </w:r>
    </w:p>
    <w:p w14:paraId="3CD81CB0" w14:textId="77777777" w:rsidR="006416B0" w:rsidRPr="00B4515A" w:rsidRDefault="005E58C1" w:rsidP="005860B4">
      <w:pPr>
        <w:pStyle w:val="005"/>
        <w:spacing w:before="120" w:after="120"/>
        <w:ind w:firstLine="480"/>
      </w:pPr>
      <w:r w:rsidRPr="00B4515A">
        <w:lastRenderedPageBreak/>
        <w:t>2012</w:t>
      </w:r>
      <w:r w:rsidRPr="00B4515A">
        <w:rPr>
          <w:rFonts w:hint="eastAsia"/>
        </w:rPr>
        <w:t>年</w:t>
      </w:r>
      <w:r w:rsidRPr="00B4515A">
        <w:t>3</w:t>
      </w:r>
      <w:r w:rsidRPr="00B4515A">
        <w:rPr>
          <w:rFonts w:hint="eastAsia"/>
        </w:rPr>
        <w:t>月</w:t>
      </w:r>
      <w:r w:rsidRPr="00B4515A">
        <w:t>21</w:t>
      </w:r>
      <w:r w:rsidRPr="00B4515A">
        <w:rPr>
          <w:rFonts w:hint="eastAsia"/>
        </w:rPr>
        <w:t>日，国务院国资委出具《关于调整</w:t>
      </w:r>
      <w:r w:rsidRPr="00B4515A">
        <w:t>50</w:t>
      </w:r>
      <w:r w:rsidRPr="00B4515A">
        <w:rPr>
          <w:rFonts w:hint="eastAsia"/>
        </w:rPr>
        <w:t>亿元国家资本金账务处理的复函》，同意国务院国资委授权国家开发投资公司代为持有的</w:t>
      </w:r>
      <w:r w:rsidRPr="00B4515A">
        <w:t>50</w:t>
      </w:r>
      <w:r w:rsidRPr="00B4515A">
        <w:rPr>
          <w:rFonts w:hint="eastAsia"/>
        </w:rPr>
        <w:t>亿元大唐控股股权转由电信科学技术研究院持有。</w:t>
      </w:r>
    </w:p>
    <w:p w14:paraId="49D169F9" w14:textId="77D99C7B" w:rsidR="006416B0" w:rsidRPr="00B4515A" w:rsidRDefault="005E58C1" w:rsidP="005860B4">
      <w:pPr>
        <w:pStyle w:val="005"/>
        <w:spacing w:before="120" w:after="120"/>
        <w:ind w:firstLine="480"/>
      </w:pPr>
      <w:r w:rsidRPr="00B4515A">
        <w:t>2012</w:t>
      </w:r>
      <w:r w:rsidRPr="00B4515A">
        <w:rPr>
          <w:rFonts w:hint="eastAsia"/>
        </w:rPr>
        <w:t>年</w:t>
      </w:r>
      <w:r w:rsidRPr="00B4515A">
        <w:t>5</w:t>
      </w:r>
      <w:r w:rsidRPr="00B4515A">
        <w:rPr>
          <w:rFonts w:hint="eastAsia"/>
        </w:rPr>
        <w:t>月</w:t>
      </w:r>
      <w:r w:rsidRPr="00B4515A">
        <w:t>15</w:t>
      </w:r>
      <w:r w:rsidRPr="00B4515A">
        <w:rPr>
          <w:rFonts w:hint="eastAsia"/>
        </w:rPr>
        <w:t>日，大唐控股召开</w:t>
      </w:r>
      <w:r w:rsidRPr="00B4515A">
        <w:t>2012</w:t>
      </w:r>
      <w:r w:rsidRPr="00B4515A">
        <w:rPr>
          <w:rFonts w:hint="eastAsia"/>
        </w:rPr>
        <w:t>年第二次临时股东会，审议通过《关于国家开发投资公司与</w:t>
      </w:r>
      <w:r w:rsidR="00B1060D" w:rsidRPr="00B4515A">
        <w:rPr>
          <w:rFonts w:hint="eastAsia"/>
        </w:rPr>
        <w:t>电信科学技术研究院</w:t>
      </w:r>
      <w:r w:rsidRPr="00B4515A">
        <w:rPr>
          <w:rFonts w:hint="eastAsia"/>
        </w:rPr>
        <w:t>划转大唐</w:t>
      </w:r>
      <w:r w:rsidR="00DD3703" w:rsidRPr="00B4515A">
        <w:rPr>
          <w:rFonts w:hint="eastAsia"/>
        </w:rPr>
        <w:t>电信科技产业</w:t>
      </w:r>
      <w:r w:rsidRPr="00B4515A">
        <w:rPr>
          <w:rFonts w:hint="eastAsia"/>
        </w:rPr>
        <w:t>控股</w:t>
      </w:r>
      <w:r w:rsidR="00DD3703" w:rsidRPr="00B4515A">
        <w:rPr>
          <w:rFonts w:hint="eastAsia"/>
        </w:rPr>
        <w:t>有限公司</w:t>
      </w:r>
      <w:r w:rsidRPr="00B4515A">
        <w:rPr>
          <w:rFonts w:hint="eastAsia"/>
        </w:rPr>
        <w:t>股权的议案》，同意国家开发投资公司将所持的大唐控股</w:t>
      </w:r>
      <w:r w:rsidRPr="00B4515A">
        <w:t>29.17%</w:t>
      </w:r>
      <w:r w:rsidRPr="00B4515A">
        <w:rPr>
          <w:rFonts w:hint="eastAsia"/>
        </w:rPr>
        <w:t>的股权（认缴注册资本</w:t>
      </w:r>
      <w:r w:rsidRPr="00B4515A">
        <w:t>10.5</w:t>
      </w:r>
      <w:r w:rsidRPr="00B4515A">
        <w:rPr>
          <w:rFonts w:hint="eastAsia"/>
        </w:rPr>
        <w:t>亿元）转让给电信科学技术研究院。</w:t>
      </w:r>
    </w:p>
    <w:p w14:paraId="01DB4DBA" w14:textId="77777777" w:rsidR="006416B0" w:rsidRPr="00B4515A" w:rsidRDefault="005E58C1" w:rsidP="005860B4">
      <w:pPr>
        <w:pStyle w:val="005"/>
        <w:spacing w:before="120" w:after="120"/>
        <w:ind w:firstLine="480"/>
      </w:pPr>
      <w:r w:rsidRPr="00B4515A">
        <w:t>2012</w:t>
      </w:r>
      <w:r w:rsidRPr="00B4515A">
        <w:rPr>
          <w:rFonts w:hint="eastAsia"/>
        </w:rPr>
        <w:t>年</w:t>
      </w:r>
      <w:r w:rsidRPr="00B4515A">
        <w:t>7</w:t>
      </w:r>
      <w:r w:rsidRPr="00B4515A">
        <w:rPr>
          <w:rFonts w:hint="eastAsia"/>
        </w:rPr>
        <w:t>月</w:t>
      </w:r>
      <w:r w:rsidRPr="00B4515A">
        <w:t>13</w:t>
      </w:r>
      <w:r w:rsidRPr="00B4515A">
        <w:rPr>
          <w:rFonts w:hint="eastAsia"/>
        </w:rPr>
        <w:t>日，国家开发投资公司与电信科学技术研究院就前述股权无偿划转事项签署《股权无偿划转协议》。</w:t>
      </w:r>
    </w:p>
    <w:p w14:paraId="55418AFF" w14:textId="77777777" w:rsidR="006416B0" w:rsidRPr="00B4515A" w:rsidRDefault="005E58C1" w:rsidP="005860B4">
      <w:pPr>
        <w:pStyle w:val="005"/>
        <w:spacing w:before="120" w:after="120"/>
        <w:ind w:firstLine="480"/>
      </w:pPr>
      <w:r w:rsidRPr="00B4515A">
        <w:t>2012</w:t>
      </w:r>
      <w:r w:rsidRPr="00B4515A">
        <w:rPr>
          <w:rFonts w:hint="eastAsia"/>
        </w:rPr>
        <w:t>年</w:t>
      </w:r>
      <w:r w:rsidRPr="00B4515A">
        <w:t>8</w:t>
      </w:r>
      <w:r w:rsidRPr="00B4515A">
        <w:rPr>
          <w:rFonts w:hint="eastAsia"/>
        </w:rPr>
        <w:t>月</w:t>
      </w:r>
      <w:r w:rsidRPr="00B4515A">
        <w:t>30</w:t>
      </w:r>
      <w:r w:rsidRPr="00B4515A">
        <w:rPr>
          <w:rFonts w:hint="eastAsia"/>
        </w:rPr>
        <w:t>日，大唐控股取得国家工商总局就此次变更核发的《企业法人营业执照》。</w:t>
      </w:r>
    </w:p>
    <w:p w14:paraId="4E7E3BD8" w14:textId="77777777" w:rsidR="006416B0" w:rsidRPr="00B4515A" w:rsidRDefault="005E58C1" w:rsidP="005860B4">
      <w:pPr>
        <w:pStyle w:val="005"/>
        <w:spacing w:before="120" w:after="120"/>
        <w:ind w:firstLine="480"/>
      </w:pPr>
      <w:r w:rsidRPr="00B4515A">
        <w:rPr>
          <w:rFonts w:hint="eastAsia"/>
        </w:rPr>
        <w:t>本次股权划转完成后，大唐控股的股权结构为：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71"/>
        <w:gridCol w:w="2929"/>
        <w:gridCol w:w="2398"/>
        <w:gridCol w:w="2330"/>
      </w:tblGrid>
      <w:tr w:rsidR="006416B0" w:rsidRPr="00B4515A" w14:paraId="4AFF3989" w14:textId="77777777" w:rsidTr="00031627">
        <w:trPr>
          <w:trHeight w:val="340"/>
          <w:jc w:val="center"/>
        </w:trPr>
        <w:tc>
          <w:tcPr>
            <w:tcW w:w="511" w:type="pct"/>
            <w:tcMar>
              <w:top w:w="0" w:type="dxa"/>
              <w:left w:w="108" w:type="dxa"/>
              <w:bottom w:w="0" w:type="dxa"/>
              <w:right w:w="108" w:type="dxa"/>
            </w:tcMar>
            <w:vAlign w:val="center"/>
          </w:tcPr>
          <w:p w14:paraId="5BCAAAD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序号</w:t>
            </w:r>
          </w:p>
        </w:tc>
        <w:tc>
          <w:tcPr>
            <w:tcW w:w="1717" w:type="pct"/>
            <w:tcMar>
              <w:top w:w="0" w:type="dxa"/>
              <w:left w:w="108" w:type="dxa"/>
              <w:bottom w:w="0" w:type="dxa"/>
              <w:right w:w="108" w:type="dxa"/>
            </w:tcMar>
            <w:vAlign w:val="center"/>
          </w:tcPr>
          <w:p w14:paraId="09086D4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股东名称</w:t>
            </w:r>
          </w:p>
        </w:tc>
        <w:tc>
          <w:tcPr>
            <w:tcW w:w="1406" w:type="pct"/>
            <w:tcMar>
              <w:top w:w="0" w:type="dxa"/>
              <w:left w:w="108" w:type="dxa"/>
              <w:bottom w:w="0" w:type="dxa"/>
              <w:right w:w="108" w:type="dxa"/>
            </w:tcMar>
            <w:vAlign w:val="center"/>
          </w:tcPr>
          <w:p w14:paraId="2355ADC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出资额（万元）</w:t>
            </w:r>
          </w:p>
        </w:tc>
        <w:tc>
          <w:tcPr>
            <w:tcW w:w="1366" w:type="pct"/>
            <w:tcMar>
              <w:top w:w="0" w:type="dxa"/>
              <w:left w:w="108" w:type="dxa"/>
              <w:bottom w:w="0" w:type="dxa"/>
              <w:right w:w="108" w:type="dxa"/>
            </w:tcMar>
            <w:vAlign w:val="center"/>
          </w:tcPr>
          <w:p w14:paraId="28F7F1AD"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持股比例（</w:t>
            </w:r>
            <w:r w:rsidRPr="00B4515A">
              <w:rPr>
                <w:rFonts w:ascii="Times New Roman" w:hAnsi="Times New Roman" w:cs="Times New Roman"/>
                <w:b/>
                <w:sz w:val="21"/>
                <w:szCs w:val="21"/>
              </w:rPr>
              <w:t>%</w:t>
            </w:r>
            <w:r w:rsidRPr="00B4515A">
              <w:rPr>
                <w:rFonts w:ascii="Times New Roman" w:hAnsi="Times New Roman" w:cs="Times New Roman"/>
                <w:b/>
                <w:sz w:val="21"/>
                <w:szCs w:val="21"/>
              </w:rPr>
              <w:t>）</w:t>
            </w:r>
          </w:p>
        </w:tc>
      </w:tr>
      <w:tr w:rsidR="006416B0" w:rsidRPr="00B4515A" w14:paraId="2B687899" w14:textId="77777777" w:rsidTr="00031627">
        <w:trPr>
          <w:trHeight w:val="340"/>
          <w:jc w:val="center"/>
        </w:trPr>
        <w:tc>
          <w:tcPr>
            <w:tcW w:w="511" w:type="pct"/>
            <w:tcMar>
              <w:top w:w="0" w:type="dxa"/>
              <w:left w:w="108" w:type="dxa"/>
              <w:bottom w:w="0" w:type="dxa"/>
              <w:right w:w="108" w:type="dxa"/>
            </w:tcMar>
            <w:vAlign w:val="center"/>
          </w:tcPr>
          <w:p w14:paraId="3C4F25B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717" w:type="pct"/>
            <w:tcMar>
              <w:top w:w="0" w:type="dxa"/>
              <w:left w:w="108" w:type="dxa"/>
              <w:bottom w:w="0" w:type="dxa"/>
              <w:right w:w="108" w:type="dxa"/>
            </w:tcMar>
            <w:vAlign w:val="center"/>
          </w:tcPr>
          <w:p w14:paraId="4367D63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电信科学技术研究院</w:t>
            </w:r>
          </w:p>
        </w:tc>
        <w:tc>
          <w:tcPr>
            <w:tcW w:w="1406" w:type="pct"/>
            <w:tcMar>
              <w:top w:w="0" w:type="dxa"/>
              <w:left w:w="108" w:type="dxa"/>
              <w:bottom w:w="0" w:type="dxa"/>
              <w:right w:w="108" w:type="dxa"/>
            </w:tcMar>
            <w:vAlign w:val="center"/>
          </w:tcPr>
          <w:p w14:paraId="0192074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300,000.00</w:t>
            </w:r>
          </w:p>
        </w:tc>
        <w:tc>
          <w:tcPr>
            <w:tcW w:w="1366" w:type="pct"/>
            <w:tcMar>
              <w:top w:w="0" w:type="dxa"/>
              <w:left w:w="108" w:type="dxa"/>
              <w:bottom w:w="0" w:type="dxa"/>
              <w:right w:w="108" w:type="dxa"/>
            </w:tcMar>
            <w:vAlign w:val="center"/>
          </w:tcPr>
          <w:p w14:paraId="5A2DD59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83.34</w:t>
            </w:r>
          </w:p>
        </w:tc>
      </w:tr>
      <w:tr w:rsidR="006416B0" w:rsidRPr="00B4515A" w14:paraId="016D19D8" w14:textId="77777777" w:rsidTr="00031627">
        <w:trPr>
          <w:trHeight w:val="340"/>
          <w:jc w:val="center"/>
        </w:trPr>
        <w:tc>
          <w:tcPr>
            <w:tcW w:w="511" w:type="pct"/>
            <w:tcMar>
              <w:top w:w="0" w:type="dxa"/>
              <w:left w:w="108" w:type="dxa"/>
              <w:bottom w:w="0" w:type="dxa"/>
              <w:right w:w="108" w:type="dxa"/>
            </w:tcMar>
            <w:vAlign w:val="center"/>
          </w:tcPr>
          <w:p w14:paraId="61E749FD"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2</w:t>
            </w:r>
          </w:p>
        </w:tc>
        <w:tc>
          <w:tcPr>
            <w:tcW w:w="1717" w:type="pct"/>
            <w:tcMar>
              <w:top w:w="0" w:type="dxa"/>
              <w:left w:w="108" w:type="dxa"/>
              <w:bottom w:w="0" w:type="dxa"/>
              <w:right w:w="108" w:type="dxa"/>
            </w:tcMar>
            <w:vAlign w:val="center"/>
          </w:tcPr>
          <w:p w14:paraId="010E68E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全国社会保障基金理事会</w:t>
            </w:r>
          </w:p>
        </w:tc>
        <w:tc>
          <w:tcPr>
            <w:tcW w:w="1406" w:type="pct"/>
            <w:tcMar>
              <w:top w:w="0" w:type="dxa"/>
              <w:left w:w="108" w:type="dxa"/>
              <w:bottom w:w="0" w:type="dxa"/>
              <w:right w:w="108" w:type="dxa"/>
            </w:tcMar>
            <w:vAlign w:val="center"/>
          </w:tcPr>
          <w:p w14:paraId="20DAE7F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60,000.00</w:t>
            </w:r>
          </w:p>
        </w:tc>
        <w:tc>
          <w:tcPr>
            <w:tcW w:w="1366" w:type="pct"/>
            <w:tcMar>
              <w:top w:w="0" w:type="dxa"/>
              <w:left w:w="108" w:type="dxa"/>
              <w:bottom w:w="0" w:type="dxa"/>
              <w:right w:w="108" w:type="dxa"/>
            </w:tcMar>
            <w:vAlign w:val="center"/>
          </w:tcPr>
          <w:p w14:paraId="0900DEB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16.66</w:t>
            </w:r>
          </w:p>
        </w:tc>
      </w:tr>
      <w:tr w:rsidR="006416B0" w:rsidRPr="00B4515A" w14:paraId="3CFE8C88" w14:textId="77777777" w:rsidTr="00031627">
        <w:trPr>
          <w:trHeight w:val="340"/>
          <w:jc w:val="center"/>
        </w:trPr>
        <w:tc>
          <w:tcPr>
            <w:tcW w:w="2228" w:type="pct"/>
            <w:gridSpan w:val="2"/>
            <w:tcMar>
              <w:top w:w="0" w:type="dxa"/>
              <w:left w:w="108" w:type="dxa"/>
              <w:bottom w:w="0" w:type="dxa"/>
              <w:right w:w="108" w:type="dxa"/>
            </w:tcMar>
            <w:vAlign w:val="center"/>
          </w:tcPr>
          <w:p w14:paraId="518518E5"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sz w:val="21"/>
                <w:szCs w:val="21"/>
              </w:rPr>
              <w:t>合计</w:t>
            </w:r>
          </w:p>
        </w:tc>
        <w:tc>
          <w:tcPr>
            <w:tcW w:w="1406" w:type="pct"/>
            <w:tcMar>
              <w:top w:w="0" w:type="dxa"/>
              <w:left w:w="108" w:type="dxa"/>
              <w:bottom w:w="0" w:type="dxa"/>
              <w:right w:w="108" w:type="dxa"/>
            </w:tcMar>
            <w:vAlign w:val="center"/>
          </w:tcPr>
          <w:p w14:paraId="7A18EBD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360,000.00</w:t>
            </w:r>
          </w:p>
        </w:tc>
        <w:tc>
          <w:tcPr>
            <w:tcW w:w="1366" w:type="pct"/>
            <w:tcMar>
              <w:top w:w="0" w:type="dxa"/>
              <w:left w:w="108" w:type="dxa"/>
              <w:bottom w:w="0" w:type="dxa"/>
              <w:right w:w="108" w:type="dxa"/>
            </w:tcMar>
            <w:vAlign w:val="center"/>
          </w:tcPr>
          <w:p w14:paraId="291C47E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100.00</w:t>
            </w:r>
          </w:p>
        </w:tc>
      </w:tr>
    </w:tbl>
    <w:p w14:paraId="0C6218AC" w14:textId="77777777" w:rsidR="006416B0" w:rsidRPr="00B4515A" w:rsidRDefault="005E58C1" w:rsidP="005860B4">
      <w:pPr>
        <w:pStyle w:val="005"/>
        <w:spacing w:before="120" w:after="120"/>
        <w:ind w:firstLine="480"/>
      </w:pPr>
      <w:r w:rsidRPr="00B4515A">
        <w:rPr>
          <w:rFonts w:hint="eastAsia"/>
        </w:rPr>
        <w:t>（</w:t>
      </w:r>
      <w:r w:rsidRPr="00B4515A">
        <w:t>6</w:t>
      </w:r>
      <w:r w:rsidRPr="00B4515A">
        <w:rPr>
          <w:rFonts w:hint="eastAsia"/>
        </w:rPr>
        <w:t>）</w:t>
      </w:r>
      <w:r w:rsidRPr="00B4515A">
        <w:t>2014</w:t>
      </w:r>
      <w:r w:rsidRPr="00B4515A">
        <w:rPr>
          <w:rFonts w:hint="eastAsia"/>
        </w:rPr>
        <w:t>年增资及股权转让</w:t>
      </w:r>
    </w:p>
    <w:p w14:paraId="2A593B1A" w14:textId="77777777" w:rsidR="006416B0" w:rsidRPr="00B4515A" w:rsidRDefault="005E58C1" w:rsidP="005860B4">
      <w:pPr>
        <w:pStyle w:val="005"/>
        <w:spacing w:before="120" w:after="120"/>
        <w:ind w:firstLine="480"/>
      </w:pPr>
      <w:r w:rsidRPr="00B4515A">
        <w:t>2014</w:t>
      </w:r>
      <w:r w:rsidRPr="00B4515A">
        <w:rPr>
          <w:rFonts w:hint="eastAsia"/>
        </w:rPr>
        <w:t>年</w:t>
      </w:r>
      <w:r w:rsidRPr="00B4515A">
        <w:t>6</w:t>
      </w:r>
      <w:r w:rsidRPr="00B4515A">
        <w:rPr>
          <w:rFonts w:hint="eastAsia"/>
        </w:rPr>
        <w:t>月，经大唐控股全体股东同意，电信科学技术研究院</w:t>
      </w:r>
      <w:r w:rsidRPr="00B4515A">
        <w:t>按与全国社会保障基金理事会约定回购全国社会保障基金理事会所持有的</w:t>
      </w:r>
      <w:r w:rsidRPr="00B4515A">
        <w:rPr>
          <w:rFonts w:hint="eastAsia"/>
        </w:rPr>
        <w:t>大唐控股</w:t>
      </w:r>
      <w:r w:rsidRPr="00B4515A">
        <w:t>16.66%</w:t>
      </w:r>
      <w:r w:rsidRPr="00B4515A">
        <w:t>的股权。</w:t>
      </w:r>
      <w:r w:rsidRPr="00B4515A">
        <w:rPr>
          <w:rFonts w:hint="eastAsia"/>
        </w:rPr>
        <w:t>回购完成后</w:t>
      </w:r>
      <w:r w:rsidRPr="00B4515A">
        <w:t>，</w:t>
      </w:r>
      <w:r w:rsidRPr="00B4515A">
        <w:rPr>
          <w:rFonts w:hint="eastAsia"/>
        </w:rPr>
        <w:t>大唐控股变更为电信科学技术研究院的全资子公司</w:t>
      </w:r>
      <w:r w:rsidRPr="00B4515A">
        <w:t>。</w:t>
      </w:r>
    </w:p>
    <w:p w14:paraId="3C3D2C43" w14:textId="77777777" w:rsidR="006416B0" w:rsidRPr="00B4515A" w:rsidRDefault="005E58C1" w:rsidP="005860B4">
      <w:pPr>
        <w:pStyle w:val="005"/>
        <w:spacing w:before="120" w:after="120"/>
        <w:ind w:firstLine="480"/>
      </w:pPr>
      <w:r w:rsidRPr="00B4515A">
        <w:t>2014</w:t>
      </w:r>
      <w:r w:rsidRPr="00B4515A">
        <w:rPr>
          <w:rFonts w:hint="eastAsia"/>
        </w:rPr>
        <w:t>年</w:t>
      </w:r>
      <w:r w:rsidRPr="00B4515A">
        <w:t>6</w:t>
      </w:r>
      <w:r w:rsidRPr="00B4515A">
        <w:rPr>
          <w:rFonts w:hint="eastAsia"/>
        </w:rPr>
        <w:t>月</w:t>
      </w:r>
      <w:r w:rsidRPr="00B4515A">
        <w:t>17</w:t>
      </w:r>
      <w:r w:rsidRPr="00B4515A">
        <w:rPr>
          <w:rFonts w:hint="eastAsia"/>
        </w:rPr>
        <w:t>日，经电信科学技术研究院批准，大唐控股将原</w:t>
      </w:r>
      <w:r w:rsidRPr="00B4515A">
        <w:t>50</w:t>
      </w:r>
      <w:r w:rsidRPr="00B4515A">
        <w:rPr>
          <w:rFonts w:hint="eastAsia"/>
        </w:rPr>
        <w:t>亿元国有资本金投资形成的</w:t>
      </w:r>
      <w:r w:rsidRPr="00B4515A">
        <w:t>21</w:t>
      </w:r>
      <w:r w:rsidRPr="00B4515A">
        <w:rPr>
          <w:rFonts w:hint="eastAsia"/>
        </w:rPr>
        <w:t>亿元资本公积转增注册资本，转增后大唐控股的注册资本增至</w:t>
      </w:r>
      <w:r w:rsidRPr="00B4515A">
        <w:t>57</w:t>
      </w:r>
      <w:r w:rsidRPr="00B4515A">
        <w:rPr>
          <w:rFonts w:hint="eastAsia"/>
        </w:rPr>
        <w:t>亿元</w:t>
      </w:r>
      <w:r w:rsidRPr="00B4515A">
        <w:t>。</w:t>
      </w:r>
    </w:p>
    <w:p w14:paraId="11D7DBB0" w14:textId="77777777" w:rsidR="006416B0" w:rsidRPr="00B4515A" w:rsidRDefault="005E58C1" w:rsidP="005860B4">
      <w:pPr>
        <w:pStyle w:val="005"/>
        <w:spacing w:before="120" w:after="120"/>
        <w:ind w:firstLine="480"/>
      </w:pPr>
      <w:r w:rsidRPr="00B4515A">
        <w:t>2014</w:t>
      </w:r>
      <w:r w:rsidRPr="00B4515A">
        <w:t>年</w:t>
      </w:r>
      <w:r w:rsidRPr="00B4515A">
        <w:t>10</w:t>
      </w:r>
      <w:r w:rsidRPr="00B4515A">
        <w:t>月</w:t>
      </w:r>
      <w:r w:rsidRPr="00B4515A">
        <w:t>10</w:t>
      </w:r>
      <w:r w:rsidRPr="00B4515A">
        <w:t>日，大唐控股取得国家工商总局就此次变更核发的《营业执照》。</w:t>
      </w:r>
    </w:p>
    <w:p w14:paraId="21139E25" w14:textId="77777777" w:rsidR="006416B0" w:rsidRPr="00B4515A" w:rsidRDefault="005E58C1" w:rsidP="005860B4">
      <w:pPr>
        <w:pStyle w:val="005"/>
        <w:spacing w:before="120" w:after="120"/>
        <w:ind w:firstLine="480"/>
      </w:pPr>
      <w:r w:rsidRPr="00B4515A">
        <w:t>本次增资及股权转让完成后，大唐控股的股权结构为：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71"/>
        <w:gridCol w:w="2468"/>
        <w:gridCol w:w="2859"/>
        <w:gridCol w:w="2330"/>
      </w:tblGrid>
      <w:tr w:rsidR="006416B0" w:rsidRPr="00B4515A" w14:paraId="1719236B" w14:textId="77777777" w:rsidTr="005860B4">
        <w:trPr>
          <w:trHeight w:val="340"/>
          <w:tblHeader/>
          <w:jc w:val="center"/>
        </w:trPr>
        <w:tc>
          <w:tcPr>
            <w:tcW w:w="511" w:type="pct"/>
            <w:tcMar>
              <w:top w:w="0" w:type="dxa"/>
              <w:left w:w="108" w:type="dxa"/>
              <w:bottom w:w="0" w:type="dxa"/>
              <w:right w:w="108" w:type="dxa"/>
            </w:tcMar>
            <w:vAlign w:val="center"/>
          </w:tcPr>
          <w:p w14:paraId="08A6B58E"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序号</w:t>
            </w:r>
          </w:p>
        </w:tc>
        <w:tc>
          <w:tcPr>
            <w:tcW w:w="1447" w:type="pct"/>
            <w:tcMar>
              <w:top w:w="0" w:type="dxa"/>
              <w:left w:w="108" w:type="dxa"/>
              <w:bottom w:w="0" w:type="dxa"/>
              <w:right w:w="108" w:type="dxa"/>
            </w:tcMar>
            <w:vAlign w:val="center"/>
          </w:tcPr>
          <w:p w14:paraId="7E8FC05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股东名称</w:t>
            </w:r>
          </w:p>
        </w:tc>
        <w:tc>
          <w:tcPr>
            <w:tcW w:w="1676" w:type="pct"/>
            <w:tcMar>
              <w:top w:w="0" w:type="dxa"/>
              <w:left w:w="108" w:type="dxa"/>
              <w:bottom w:w="0" w:type="dxa"/>
              <w:right w:w="108" w:type="dxa"/>
            </w:tcMar>
            <w:vAlign w:val="center"/>
          </w:tcPr>
          <w:p w14:paraId="6BD25C1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出资额（万元）</w:t>
            </w:r>
          </w:p>
        </w:tc>
        <w:tc>
          <w:tcPr>
            <w:tcW w:w="1366" w:type="pct"/>
            <w:tcMar>
              <w:top w:w="0" w:type="dxa"/>
              <w:left w:w="108" w:type="dxa"/>
              <w:bottom w:w="0" w:type="dxa"/>
              <w:right w:w="108" w:type="dxa"/>
            </w:tcMar>
            <w:vAlign w:val="center"/>
          </w:tcPr>
          <w:p w14:paraId="00249949"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持股比例（</w:t>
            </w:r>
            <w:r w:rsidRPr="00B4515A">
              <w:rPr>
                <w:rFonts w:ascii="Times New Roman" w:hAnsi="Times New Roman" w:cs="Times New Roman"/>
                <w:b/>
                <w:sz w:val="21"/>
                <w:szCs w:val="21"/>
              </w:rPr>
              <w:t>%</w:t>
            </w:r>
            <w:r w:rsidRPr="00B4515A">
              <w:rPr>
                <w:rFonts w:ascii="Times New Roman" w:hAnsi="Times New Roman" w:cs="Times New Roman"/>
                <w:b/>
                <w:sz w:val="21"/>
                <w:szCs w:val="21"/>
              </w:rPr>
              <w:t>）</w:t>
            </w:r>
          </w:p>
        </w:tc>
      </w:tr>
      <w:tr w:rsidR="006416B0" w:rsidRPr="00B4515A" w14:paraId="42D26561" w14:textId="77777777" w:rsidTr="00031627">
        <w:trPr>
          <w:trHeight w:val="340"/>
          <w:jc w:val="center"/>
        </w:trPr>
        <w:tc>
          <w:tcPr>
            <w:tcW w:w="511" w:type="pct"/>
            <w:tcMar>
              <w:top w:w="0" w:type="dxa"/>
              <w:left w:w="108" w:type="dxa"/>
              <w:bottom w:w="0" w:type="dxa"/>
              <w:right w:w="108" w:type="dxa"/>
            </w:tcMar>
            <w:vAlign w:val="center"/>
          </w:tcPr>
          <w:p w14:paraId="3A70858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447" w:type="pct"/>
            <w:tcMar>
              <w:top w:w="0" w:type="dxa"/>
              <w:left w:w="108" w:type="dxa"/>
              <w:bottom w:w="0" w:type="dxa"/>
              <w:right w:w="108" w:type="dxa"/>
            </w:tcMar>
            <w:vAlign w:val="center"/>
          </w:tcPr>
          <w:p w14:paraId="09C07DF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电信科学技术研究院</w:t>
            </w:r>
          </w:p>
        </w:tc>
        <w:tc>
          <w:tcPr>
            <w:tcW w:w="1676" w:type="pct"/>
            <w:tcMar>
              <w:top w:w="0" w:type="dxa"/>
              <w:left w:w="108" w:type="dxa"/>
              <w:bottom w:w="0" w:type="dxa"/>
              <w:right w:w="108" w:type="dxa"/>
            </w:tcMar>
            <w:vAlign w:val="center"/>
          </w:tcPr>
          <w:p w14:paraId="38AC856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570,000.00</w:t>
            </w:r>
          </w:p>
        </w:tc>
        <w:tc>
          <w:tcPr>
            <w:tcW w:w="1366" w:type="pct"/>
            <w:tcMar>
              <w:top w:w="0" w:type="dxa"/>
              <w:left w:w="108" w:type="dxa"/>
              <w:bottom w:w="0" w:type="dxa"/>
              <w:right w:w="108" w:type="dxa"/>
            </w:tcMar>
            <w:vAlign w:val="center"/>
          </w:tcPr>
          <w:p w14:paraId="4D86AE1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100.00</w:t>
            </w:r>
          </w:p>
        </w:tc>
      </w:tr>
      <w:tr w:rsidR="006416B0" w:rsidRPr="00B4515A" w14:paraId="08F87E51" w14:textId="77777777" w:rsidTr="00031627">
        <w:trPr>
          <w:trHeight w:val="340"/>
          <w:jc w:val="center"/>
        </w:trPr>
        <w:tc>
          <w:tcPr>
            <w:tcW w:w="1958" w:type="pct"/>
            <w:gridSpan w:val="2"/>
            <w:tcMar>
              <w:top w:w="0" w:type="dxa"/>
              <w:left w:w="108" w:type="dxa"/>
              <w:bottom w:w="0" w:type="dxa"/>
              <w:right w:w="108" w:type="dxa"/>
            </w:tcMar>
            <w:vAlign w:val="center"/>
          </w:tcPr>
          <w:p w14:paraId="1C8801B9"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sz w:val="21"/>
                <w:szCs w:val="21"/>
              </w:rPr>
              <w:lastRenderedPageBreak/>
              <w:t>合计</w:t>
            </w:r>
          </w:p>
        </w:tc>
        <w:tc>
          <w:tcPr>
            <w:tcW w:w="1676" w:type="pct"/>
            <w:tcMar>
              <w:top w:w="0" w:type="dxa"/>
              <w:left w:w="108" w:type="dxa"/>
              <w:bottom w:w="0" w:type="dxa"/>
              <w:right w:w="108" w:type="dxa"/>
            </w:tcMar>
            <w:vAlign w:val="center"/>
          </w:tcPr>
          <w:p w14:paraId="28B6D4A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570,000.00</w:t>
            </w:r>
          </w:p>
        </w:tc>
        <w:tc>
          <w:tcPr>
            <w:tcW w:w="1366" w:type="pct"/>
            <w:tcMar>
              <w:top w:w="0" w:type="dxa"/>
              <w:left w:w="108" w:type="dxa"/>
              <w:bottom w:w="0" w:type="dxa"/>
              <w:right w:w="108" w:type="dxa"/>
            </w:tcMar>
            <w:vAlign w:val="center"/>
          </w:tcPr>
          <w:p w14:paraId="0907BD5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100.00</w:t>
            </w:r>
          </w:p>
        </w:tc>
      </w:tr>
    </w:tbl>
    <w:p w14:paraId="4012A19F" w14:textId="77777777" w:rsidR="006416B0" w:rsidRPr="00B4515A" w:rsidRDefault="005E58C1" w:rsidP="005860B4">
      <w:pPr>
        <w:pStyle w:val="004"/>
        <w:spacing w:before="120" w:after="120"/>
        <w:ind w:firstLine="482"/>
      </w:pPr>
      <w:r w:rsidRPr="00B4515A">
        <w:t>3</w:t>
      </w:r>
      <w:r w:rsidRPr="00B4515A">
        <w:rPr>
          <w:rFonts w:hint="eastAsia"/>
        </w:rPr>
        <w:t>、最近三年注册资本变化情况</w:t>
      </w:r>
    </w:p>
    <w:p w14:paraId="25CF3372" w14:textId="77777777" w:rsidR="006416B0" w:rsidRPr="00B4515A" w:rsidRDefault="005E58C1" w:rsidP="005860B4">
      <w:pPr>
        <w:pStyle w:val="005"/>
        <w:spacing w:before="120" w:after="120"/>
        <w:ind w:firstLine="480"/>
        <w:rPr>
          <w:b/>
        </w:rPr>
      </w:pPr>
      <w:r w:rsidRPr="00B4515A">
        <w:rPr>
          <w:rFonts w:hint="eastAsia"/>
        </w:rPr>
        <w:t>截至本报告书签署日，最近三年大唐控股注册资本未发生变化。</w:t>
      </w:r>
    </w:p>
    <w:p w14:paraId="18F5585C" w14:textId="77777777" w:rsidR="006416B0" w:rsidRPr="00B4515A" w:rsidRDefault="005E58C1" w:rsidP="005860B4">
      <w:pPr>
        <w:pStyle w:val="004"/>
        <w:spacing w:before="120" w:after="120"/>
        <w:ind w:firstLine="482"/>
      </w:pPr>
      <w:r w:rsidRPr="00B4515A">
        <w:t>4</w:t>
      </w:r>
      <w:r w:rsidRPr="00B4515A">
        <w:rPr>
          <w:rFonts w:hint="eastAsia"/>
        </w:rPr>
        <w:t>、产权控制关系及主要股东基本情况</w:t>
      </w:r>
    </w:p>
    <w:p w14:paraId="174B80E4" w14:textId="77777777" w:rsidR="006416B0" w:rsidRPr="00B4515A" w:rsidRDefault="005E58C1" w:rsidP="005860B4">
      <w:pPr>
        <w:pStyle w:val="005"/>
        <w:spacing w:before="120" w:after="120"/>
        <w:ind w:firstLine="480"/>
      </w:pPr>
      <w:r w:rsidRPr="00B4515A">
        <w:rPr>
          <w:rFonts w:hint="eastAsia"/>
        </w:rPr>
        <w:t>截至本报告书签署日，大唐控股的产权控制关系如下：</w:t>
      </w:r>
    </w:p>
    <w:p w14:paraId="469C5889" w14:textId="77777777" w:rsidR="006416B0" w:rsidRPr="00B4515A" w:rsidRDefault="005E58C1">
      <w:pPr>
        <w:spacing w:line="360" w:lineRule="auto"/>
        <w:jc w:val="center"/>
      </w:pPr>
      <w:r w:rsidRPr="00B4515A">
        <w:t xml:space="preserve">  </w:t>
      </w:r>
      <w:r w:rsidRPr="00B4515A">
        <w:rPr>
          <w:noProof/>
        </w:rPr>
        <w:drawing>
          <wp:inline distT="0" distB="0" distL="0" distR="0" wp14:anchorId="0AE7E3CC" wp14:editId="7D1AC32D">
            <wp:extent cx="2905760" cy="25717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2920705" cy="2584875"/>
                    </a:xfrm>
                    <a:prstGeom prst="rect">
                      <a:avLst/>
                    </a:prstGeom>
                  </pic:spPr>
                </pic:pic>
              </a:graphicData>
            </a:graphic>
          </wp:inline>
        </w:drawing>
      </w:r>
    </w:p>
    <w:p w14:paraId="76FD51F6" w14:textId="48A7E83D" w:rsidR="006416B0" w:rsidRPr="00B4515A" w:rsidRDefault="005E58C1" w:rsidP="005860B4">
      <w:pPr>
        <w:pStyle w:val="005"/>
        <w:spacing w:before="120" w:after="120"/>
        <w:ind w:firstLine="480"/>
      </w:pPr>
      <w:r w:rsidRPr="00B4515A">
        <w:rPr>
          <w:rFonts w:hint="eastAsia"/>
        </w:rPr>
        <w:t>截至本报告书签署日，大唐控股控股股东为电信科研院，实际控制人为国务院国资委。</w:t>
      </w:r>
      <w:r w:rsidRPr="00B4515A">
        <w:t>电信科研院基本情况详见本报告书</w:t>
      </w:r>
      <w:r w:rsidRPr="00B4515A">
        <w:rPr>
          <w:rFonts w:ascii="宋体" w:hAnsi="宋体" w:hint="eastAsia"/>
        </w:rPr>
        <w:t>“</w:t>
      </w:r>
      <w:r w:rsidRPr="00B4515A">
        <w:t>第</w:t>
      </w:r>
      <w:r w:rsidRPr="00B4515A">
        <w:rPr>
          <w:rFonts w:hint="eastAsia"/>
        </w:rPr>
        <w:t>二</w:t>
      </w:r>
      <w:r w:rsidRPr="00B4515A">
        <w:t>节</w:t>
      </w:r>
      <w:r w:rsidRPr="00B4515A">
        <w:rPr>
          <w:rFonts w:hint="eastAsia"/>
        </w:rPr>
        <w:t xml:space="preserve"> </w:t>
      </w:r>
      <w:r w:rsidRPr="00B4515A">
        <w:rPr>
          <w:rFonts w:hint="eastAsia"/>
        </w:rPr>
        <w:t>上市公司</w:t>
      </w:r>
      <w:r w:rsidRPr="00B4515A">
        <w:t>基本情况</w:t>
      </w:r>
      <w:r w:rsidRPr="00B4515A">
        <w:rPr>
          <w:rFonts w:ascii="宋体" w:hAnsi="宋体" w:hint="eastAsia"/>
        </w:rPr>
        <w:t>”</w:t>
      </w:r>
      <w:r w:rsidRPr="00B4515A">
        <w:t>之</w:t>
      </w:r>
      <w:r w:rsidRPr="00B4515A">
        <w:rPr>
          <w:rFonts w:ascii="宋体" w:hAnsi="宋体" w:hint="eastAsia"/>
        </w:rPr>
        <w:t>“</w:t>
      </w:r>
      <w:r w:rsidRPr="00B4515A">
        <w:rPr>
          <w:rFonts w:hint="eastAsia"/>
        </w:rPr>
        <w:t>八</w:t>
      </w:r>
      <w:r w:rsidRPr="00B4515A">
        <w:t>、</w:t>
      </w:r>
      <w:r w:rsidRPr="00B4515A">
        <w:rPr>
          <w:rFonts w:hint="eastAsia"/>
        </w:rPr>
        <w:t>控股股东及实际控制人情况</w:t>
      </w:r>
      <w:r w:rsidRPr="00B4515A">
        <w:rPr>
          <w:rFonts w:ascii="宋体" w:hAnsi="宋体" w:hint="eastAsia"/>
        </w:rPr>
        <w:t>”</w:t>
      </w:r>
      <w:r w:rsidRPr="00B4515A">
        <w:t>之</w:t>
      </w:r>
      <w:r w:rsidRPr="00B4515A">
        <w:rPr>
          <w:rFonts w:ascii="宋体" w:hAnsi="宋体" w:hint="eastAsia"/>
        </w:rPr>
        <w:t>“</w:t>
      </w:r>
      <w:r w:rsidRPr="00B4515A">
        <w:t>（一）</w:t>
      </w:r>
      <w:r w:rsidRPr="00B4515A">
        <w:rPr>
          <w:rFonts w:hint="eastAsia"/>
        </w:rPr>
        <w:t>控股股东</w:t>
      </w:r>
      <w:r w:rsidRPr="00B4515A">
        <w:rPr>
          <w:rFonts w:ascii="宋体" w:hAnsi="宋体" w:hint="eastAsia"/>
        </w:rPr>
        <w:t>”</w:t>
      </w:r>
      <w:r w:rsidRPr="00B4515A">
        <w:t>。</w:t>
      </w:r>
    </w:p>
    <w:p w14:paraId="6F3E5488" w14:textId="77777777" w:rsidR="006416B0" w:rsidRPr="00B4515A" w:rsidRDefault="005E58C1" w:rsidP="005860B4">
      <w:pPr>
        <w:pStyle w:val="004"/>
        <w:spacing w:before="120" w:after="120"/>
        <w:ind w:firstLine="482"/>
      </w:pPr>
      <w:r w:rsidRPr="00B4515A">
        <w:t>5</w:t>
      </w:r>
      <w:r w:rsidRPr="00B4515A">
        <w:rPr>
          <w:rFonts w:hint="eastAsia"/>
        </w:rPr>
        <w:t>、最近三年主要业务发展情况</w:t>
      </w:r>
    </w:p>
    <w:p w14:paraId="453DE383" w14:textId="77777777" w:rsidR="006416B0" w:rsidRPr="00B4515A" w:rsidRDefault="005E58C1" w:rsidP="005860B4">
      <w:pPr>
        <w:pStyle w:val="005"/>
        <w:spacing w:before="120" w:after="120"/>
        <w:ind w:firstLine="480"/>
      </w:pPr>
      <w:r w:rsidRPr="00B4515A">
        <w:rPr>
          <w:rFonts w:hint="eastAsia"/>
        </w:rPr>
        <w:t>大唐控股主要持有各子公司股权，基本不开展实体业务。</w:t>
      </w:r>
    </w:p>
    <w:p w14:paraId="724DE709" w14:textId="77777777" w:rsidR="006416B0" w:rsidRPr="00B4515A" w:rsidRDefault="005E58C1" w:rsidP="005860B4">
      <w:pPr>
        <w:pStyle w:val="004"/>
        <w:spacing w:before="120" w:after="120"/>
        <w:ind w:firstLine="482"/>
      </w:pPr>
      <w:r w:rsidRPr="00B4515A">
        <w:t>6</w:t>
      </w:r>
      <w:r w:rsidRPr="00B4515A">
        <w:rPr>
          <w:rFonts w:hint="eastAsia"/>
        </w:rPr>
        <w:t>、主要财务数据</w:t>
      </w:r>
    </w:p>
    <w:p w14:paraId="31A54B4B" w14:textId="77777777" w:rsidR="006416B0" w:rsidRPr="00B4515A" w:rsidRDefault="005E58C1" w:rsidP="005860B4">
      <w:pPr>
        <w:pStyle w:val="005"/>
        <w:spacing w:before="120" w:after="120"/>
        <w:ind w:firstLine="480"/>
        <w:rPr>
          <w:rFonts w:eastAsiaTheme="minorEastAsia"/>
        </w:rPr>
      </w:pPr>
      <w:r w:rsidRPr="00B4515A">
        <w:rPr>
          <w:rFonts w:hint="eastAsia"/>
        </w:rPr>
        <w:t>大唐控股最近两年主要财务数据如下：</w:t>
      </w:r>
    </w:p>
    <w:p w14:paraId="2D463C03" w14:textId="77777777" w:rsidR="006416B0" w:rsidRPr="00B4515A" w:rsidRDefault="005E58C1" w:rsidP="005860B4">
      <w:pPr>
        <w:pStyle w:val="009"/>
      </w:pPr>
      <w:r w:rsidRPr="00B4515A">
        <w:rPr>
          <w:rFonts w:hint="eastAsia"/>
        </w:rPr>
        <w:t>单位：万元</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084"/>
        <w:gridCol w:w="3222"/>
        <w:gridCol w:w="3222"/>
      </w:tblGrid>
      <w:tr w:rsidR="006416B0" w:rsidRPr="00B4515A" w14:paraId="3E818C1F"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7A7908A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项目</w:t>
            </w:r>
          </w:p>
        </w:tc>
        <w:tc>
          <w:tcPr>
            <w:tcW w:w="3091" w:type="dxa"/>
            <w:tcMar>
              <w:top w:w="0" w:type="dxa"/>
              <w:left w:w="108" w:type="dxa"/>
              <w:bottom w:w="0" w:type="dxa"/>
              <w:right w:w="108" w:type="dxa"/>
            </w:tcMar>
            <w:vAlign w:val="center"/>
          </w:tcPr>
          <w:p w14:paraId="104E703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2020</w:t>
            </w:r>
            <w:r w:rsidRPr="00B4515A">
              <w:rPr>
                <w:rFonts w:ascii="Times New Roman" w:hAnsi="Times New Roman" w:cs="Times New Roman" w:hint="eastAsia"/>
                <w:b/>
                <w:sz w:val="21"/>
                <w:szCs w:val="21"/>
              </w:rPr>
              <w:t>年</w:t>
            </w:r>
            <w:r w:rsidRPr="00B4515A">
              <w:rPr>
                <w:rFonts w:ascii="Times New Roman" w:hAnsi="Times New Roman" w:cs="Times New Roman"/>
                <w:b/>
                <w:sz w:val="21"/>
                <w:szCs w:val="21"/>
              </w:rPr>
              <w:t>12</w:t>
            </w:r>
            <w:r w:rsidRPr="00B4515A">
              <w:rPr>
                <w:rFonts w:ascii="Times New Roman" w:hAnsi="Times New Roman" w:cs="Times New Roman" w:hint="eastAsia"/>
                <w:b/>
                <w:sz w:val="21"/>
                <w:szCs w:val="21"/>
              </w:rPr>
              <w:t>月</w:t>
            </w:r>
            <w:r w:rsidRPr="00B4515A">
              <w:rPr>
                <w:rFonts w:ascii="Times New Roman" w:hAnsi="Times New Roman" w:cs="Times New Roman"/>
                <w:b/>
                <w:sz w:val="21"/>
                <w:szCs w:val="21"/>
              </w:rPr>
              <w:t>31</w:t>
            </w:r>
            <w:r w:rsidRPr="00B4515A">
              <w:rPr>
                <w:rFonts w:ascii="Times New Roman" w:hAnsi="Times New Roman" w:cs="Times New Roman" w:hint="eastAsia"/>
                <w:b/>
                <w:sz w:val="21"/>
                <w:szCs w:val="21"/>
              </w:rPr>
              <w:t>日</w:t>
            </w:r>
          </w:p>
        </w:tc>
        <w:tc>
          <w:tcPr>
            <w:tcW w:w="3091" w:type="dxa"/>
            <w:shd w:val="clear" w:color="auto" w:fill="auto"/>
            <w:tcMar>
              <w:top w:w="0" w:type="dxa"/>
              <w:left w:w="108" w:type="dxa"/>
              <w:bottom w:w="0" w:type="dxa"/>
              <w:right w:w="108" w:type="dxa"/>
            </w:tcMar>
            <w:vAlign w:val="center"/>
          </w:tcPr>
          <w:p w14:paraId="2C33138B"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sz w:val="21"/>
                <w:szCs w:val="21"/>
              </w:rPr>
              <w:t>2019</w:t>
            </w:r>
            <w:r w:rsidRPr="00B4515A">
              <w:rPr>
                <w:rFonts w:ascii="Times New Roman" w:hAnsi="Times New Roman" w:cs="Times New Roman" w:hint="eastAsia"/>
                <w:b/>
                <w:sz w:val="21"/>
                <w:szCs w:val="21"/>
              </w:rPr>
              <w:t>年</w:t>
            </w:r>
            <w:r w:rsidRPr="00B4515A">
              <w:rPr>
                <w:rFonts w:ascii="Times New Roman" w:hAnsi="Times New Roman" w:cs="Times New Roman"/>
                <w:b/>
                <w:sz w:val="21"/>
                <w:szCs w:val="21"/>
              </w:rPr>
              <w:t>12</w:t>
            </w:r>
            <w:r w:rsidRPr="00B4515A">
              <w:rPr>
                <w:rFonts w:ascii="Times New Roman" w:hAnsi="Times New Roman" w:cs="Times New Roman" w:hint="eastAsia"/>
                <w:b/>
                <w:sz w:val="21"/>
                <w:szCs w:val="21"/>
              </w:rPr>
              <w:t>月</w:t>
            </w:r>
            <w:r w:rsidRPr="00B4515A">
              <w:rPr>
                <w:rFonts w:ascii="Times New Roman" w:hAnsi="Times New Roman" w:cs="Times New Roman"/>
                <w:b/>
                <w:sz w:val="21"/>
                <w:szCs w:val="21"/>
              </w:rPr>
              <w:t>31</w:t>
            </w:r>
            <w:r w:rsidRPr="00B4515A">
              <w:rPr>
                <w:rFonts w:ascii="Times New Roman" w:hAnsi="Times New Roman" w:cs="Times New Roman" w:hint="eastAsia"/>
                <w:b/>
                <w:sz w:val="21"/>
                <w:szCs w:val="21"/>
              </w:rPr>
              <w:t>日</w:t>
            </w:r>
          </w:p>
        </w:tc>
      </w:tr>
      <w:tr w:rsidR="006416B0" w:rsidRPr="00B4515A" w14:paraId="01AD5987"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0AE945D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资产总计</w:t>
            </w:r>
          </w:p>
        </w:tc>
        <w:tc>
          <w:tcPr>
            <w:tcW w:w="3091" w:type="dxa"/>
            <w:tcMar>
              <w:top w:w="0" w:type="dxa"/>
              <w:left w:w="108" w:type="dxa"/>
              <w:bottom w:w="0" w:type="dxa"/>
              <w:right w:w="108" w:type="dxa"/>
            </w:tcMar>
            <w:vAlign w:val="center"/>
          </w:tcPr>
          <w:p w14:paraId="32286AD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1,034,325.91</w:t>
            </w:r>
          </w:p>
        </w:tc>
        <w:tc>
          <w:tcPr>
            <w:tcW w:w="3091" w:type="dxa"/>
            <w:shd w:val="clear" w:color="auto" w:fill="auto"/>
            <w:tcMar>
              <w:top w:w="0" w:type="dxa"/>
              <w:left w:w="108" w:type="dxa"/>
              <w:bottom w:w="0" w:type="dxa"/>
              <w:right w:w="108" w:type="dxa"/>
            </w:tcMar>
            <w:vAlign w:val="center"/>
          </w:tcPr>
          <w:p w14:paraId="5397CD5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1,184,041.02</w:t>
            </w:r>
          </w:p>
        </w:tc>
      </w:tr>
      <w:tr w:rsidR="006416B0" w:rsidRPr="00B4515A" w14:paraId="37432E8C"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7250382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负债总计</w:t>
            </w:r>
          </w:p>
        </w:tc>
        <w:tc>
          <w:tcPr>
            <w:tcW w:w="3091" w:type="dxa"/>
            <w:tcMar>
              <w:top w:w="0" w:type="dxa"/>
              <w:left w:w="108" w:type="dxa"/>
              <w:bottom w:w="0" w:type="dxa"/>
              <w:right w:w="108" w:type="dxa"/>
            </w:tcMar>
            <w:vAlign w:val="center"/>
          </w:tcPr>
          <w:p w14:paraId="0A862AA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304,566.40</w:t>
            </w:r>
          </w:p>
        </w:tc>
        <w:tc>
          <w:tcPr>
            <w:tcW w:w="3091" w:type="dxa"/>
            <w:shd w:val="clear" w:color="auto" w:fill="auto"/>
            <w:tcMar>
              <w:top w:w="0" w:type="dxa"/>
              <w:left w:w="108" w:type="dxa"/>
              <w:bottom w:w="0" w:type="dxa"/>
              <w:right w:w="108" w:type="dxa"/>
            </w:tcMar>
            <w:vAlign w:val="center"/>
          </w:tcPr>
          <w:p w14:paraId="581EF8F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288,902.25</w:t>
            </w:r>
          </w:p>
        </w:tc>
      </w:tr>
      <w:tr w:rsidR="006416B0" w:rsidRPr="00B4515A" w14:paraId="18959531"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275D778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所有者权益</w:t>
            </w:r>
          </w:p>
        </w:tc>
        <w:tc>
          <w:tcPr>
            <w:tcW w:w="3091" w:type="dxa"/>
            <w:tcMar>
              <w:top w:w="0" w:type="dxa"/>
              <w:left w:w="108" w:type="dxa"/>
              <w:bottom w:w="0" w:type="dxa"/>
              <w:right w:w="108" w:type="dxa"/>
            </w:tcMar>
            <w:vAlign w:val="center"/>
          </w:tcPr>
          <w:p w14:paraId="47BEE7C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729,759.51</w:t>
            </w:r>
          </w:p>
        </w:tc>
        <w:tc>
          <w:tcPr>
            <w:tcW w:w="3091" w:type="dxa"/>
            <w:shd w:val="clear" w:color="auto" w:fill="auto"/>
            <w:tcMar>
              <w:top w:w="0" w:type="dxa"/>
              <w:left w:w="108" w:type="dxa"/>
              <w:bottom w:w="0" w:type="dxa"/>
              <w:right w:w="108" w:type="dxa"/>
            </w:tcMar>
            <w:vAlign w:val="center"/>
          </w:tcPr>
          <w:p w14:paraId="01CFB66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895,138.77</w:t>
            </w:r>
          </w:p>
        </w:tc>
      </w:tr>
      <w:tr w:rsidR="006416B0" w:rsidRPr="00B4515A" w14:paraId="25ADDB36"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3D893160"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项目</w:t>
            </w:r>
          </w:p>
        </w:tc>
        <w:tc>
          <w:tcPr>
            <w:tcW w:w="3091" w:type="dxa"/>
            <w:tcMar>
              <w:top w:w="0" w:type="dxa"/>
              <w:left w:w="108" w:type="dxa"/>
              <w:bottom w:w="0" w:type="dxa"/>
              <w:right w:w="108" w:type="dxa"/>
            </w:tcMar>
            <w:vAlign w:val="center"/>
          </w:tcPr>
          <w:p w14:paraId="5337FFA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2020</w:t>
            </w:r>
            <w:r w:rsidRPr="00B4515A">
              <w:rPr>
                <w:rFonts w:ascii="Times New Roman" w:hAnsi="Times New Roman" w:cs="Times New Roman" w:hint="eastAsia"/>
                <w:b/>
                <w:sz w:val="21"/>
                <w:szCs w:val="21"/>
              </w:rPr>
              <w:t>年度</w:t>
            </w:r>
          </w:p>
        </w:tc>
        <w:tc>
          <w:tcPr>
            <w:tcW w:w="3091" w:type="dxa"/>
            <w:shd w:val="clear" w:color="auto" w:fill="auto"/>
            <w:tcMar>
              <w:top w:w="0" w:type="dxa"/>
              <w:left w:w="108" w:type="dxa"/>
              <w:bottom w:w="0" w:type="dxa"/>
              <w:right w:w="108" w:type="dxa"/>
            </w:tcMar>
            <w:vAlign w:val="center"/>
          </w:tcPr>
          <w:p w14:paraId="2658547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2019</w:t>
            </w:r>
            <w:r w:rsidRPr="00B4515A">
              <w:rPr>
                <w:rFonts w:ascii="Times New Roman" w:hAnsi="Times New Roman" w:cs="Times New Roman" w:hint="eastAsia"/>
                <w:b/>
                <w:sz w:val="21"/>
                <w:szCs w:val="21"/>
              </w:rPr>
              <w:t>年度</w:t>
            </w:r>
          </w:p>
        </w:tc>
      </w:tr>
      <w:tr w:rsidR="006416B0" w:rsidRPr="00B4515A" w14:paraId="4767166B"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19BF690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营业收入</w:t>
            </w:r>
          </w:p>
        </w:tc>
        <w:tc>
          <w:tcPr>
            <w:tcW w:w="3091" w:type="dxa"/>
            <w:tcMar>
              <w:top w:w="0" w:type="dxa"/>
              <w:left w:w="108" w:type="dxa"/>
              <w:bottom w:w="0" w:type="dxa"/>
              <w:right w:w="108" w:type="dxa"/>
            </w:tcMar>
            <w:vAlign w:val="center"/>
          </w:tcPr>
          <w:p w14:paraId="5F2C22A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0</w:t>
            </w:r>
            <w:r w:rsidRPr="00B4515A">
              <w:rPr>
                <w:rFonts w:ascii="Times New Roman" w:hAnsi="Times New Roman" w:cs="Times New Roman"/>
                <w:sz w:val="21"/>
                <w:szCs w:val="21"/>
              </w:rPr>
              <w:t>.00</w:t>
            </w:r>
          </w:p>
        </w:tc>
        <w:tc>
          <w:tcPr>
            <w:tcW w:w="3091" w:type="dxa"/>
            <w:shd w:val="clear" w:color="auto" w:fill="auto"/>
            <w:tcMar>
              <w:top w:w="0" w:type="dxa"/>
              <w:left w:w="108" w:type="dxa"/>
              <w:bottom w:w="0" w:type="dxa"/>
              <w:right w:w="108" w:type="dxa"/>
            </w:tcMar>
            <w:vAlign w:val="center"/>
          </w:tcPr>
          <w:p w14:paraId="3B3A51F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0.00</w:t>
            </w:r>
          </w:p>
        </w:tc>
      </w:tr>
      <w:tr w:rsidR="006416B0" w:rsidRPr="00B4515A" w14:paraId="409F6513"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58D3EEB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lastRenderedPageBreak/>
              <w:t>利润总额</w:t>
            </w:r>
          </w:p>
        </w:tc>
        <w:tc>
          <w:tcPr>
            <w:tcW w:w="3091" w:type="dxa"/>
            <w:tcMar>
              <w:top w:w="0" w:type="dxa"/>
              <w:left w:w="108" w:type="dxa"/>
              <w:bottom w:w="0" w:type="dxa"/>
              <w:right w:w="108" w:type="dxa"/>
            </w:tcMar>
            <w:vAlign w:val="center"/>
          </w:tcPr>
          <w:p w14:paraId="5579FF9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-8,026.78</w:t>
            </w:r>
          </w:p>
        </w:tc>
        <w:tc>
          <w:tcPr>
            <w:tcW w:w="3091" w:type="dxa"/>
            <w:shd w:val="clear" w:color="auto" w:fill="auto"/>
            <w:tcMar>
              <w:top w:w="0" w:type="dxa"/>
              <w:left w:w="108" w:type="dxa"/>
              <w:bottom w:w="0" w:type="dxa"/>
              <w:right w:w="108" w:type="dxa"/>
            </w:tcMar>
            <w:vAlign w:val="center"/>
          </w:tcPr>
          <w:p w14:paraId="444FB35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-5,794.16</w:t>
            </w:r>
          </w:p>
        </w:tc>
      </w:tr>
      <w:tr w:rsidR="006416B0" w:rsidRPr="00B4515A" w14:paraId="5B1D16F4"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3DF54F4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净利润</w:t>
            </w:r>
          </w:p>
        </w:tc>
        <w:tc>
          <w:tcPr>
            <w:tcW w:w="3091" w:type="dxa"/>
            <w:tcMar>
              <w:top w:w="0" w:type="dxa"/>
              <w:left w:w="108" w:type="dxa"/>
              <w:bottom w:w="0" w:type="dxa"/>
              <w:right w:w="108" w:type="dxa"/>
            </w:tcMar>
            <w:vAlign w:val="center"/>
          </w:tcPr>
          <w:p w14:paraId="06EF850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-8,026.78</w:t>
            </w:r>
          </w:p>
        </w:tc>
        <w:tc>
          <w:tcPr>
            <w:tcW w:w="3091" w:type="dxa"/>
            <w:shd w:val="clear" w:color="auto" w:fill="auto"/>
            <w:tcMar>
              <w:top w:w="0" w:type="dxa"/>
              <w:left w:w="108" w:type="dxa"/>
              <w:bottom w:w="0" w:type="dxa"/>
              <w:right w:w="108" w:type="dxa"/>
            </w:tcMar>
            <w:vAlign w:val="center"/>
          </w:tcPr>
          <w:p w14:paraId="2DCE36E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-5,794.16</w:t>
            </w:r>
          </w:p>
        </w:tc>
      </w:tr>
    </w:tbl>
    <w:p w14:paraId="06068315" w14:textId="77777777" w:rsidR="006416B0" w:rsidRPr="00B4515A" w:rsidRDefault="005E58C1" w:rsidP="005860B4">
      <w:pPr>
        <w:pStyle w:val="006"/>
        <w:ind w:firstLine="420"/>
        <w:rPr>
          <w:b/>
          <w:color w:val="000000" w:themeColor="text1"/>
        </w:rPr>
      </w:pPr>
      <w:r w:rsidRPr="00B4515A">
        <w:rPr>
          <w:rFonts w:hint="eastAsia"/>
        </w:rPr>
        <w:t>注：大唐控股最近两年财务数据已经立信会计师事务所（特殊普通合伙）审计。</w:t>
      </w:r>
    </w:p>
    <w:p w14:paraId="42DF7A72" w14:textId="77777777" w:rsidR="006416B0" w:rsidRPr="00B4515A" w:rsidRDefault="005E58C1" w:rsidP="005860B4">
      <w:pPr>
        <w:pStyle w:val="004"/>
        <w:spacing w:before="120" w:after="120"/>
        <w:ind w:firstLine="482"/>
      </w:pPr>
      <w:r w:rsidRPr="00B4515A">
        <w:t>7</w:t>
      </w:r>
      <w:r w:rsidRPr="00B4515A">
        <w:rPr>
          <w:rFonts w:hint="eastAsia"/>
        </w:rPr>
        <w:t>、主要下属企业情况</w:t>
      </w:r>
    </w:p>
    <w:p w14:paraId="12693BA3" w14:textId="77777777" w:rsidR="006416B0" w:rsidRPr="00B4515A" w:rsidRDefault="005E58C1" w:rsidP="005860B4">
      <w:pPr>
        <w:pStyle w:val="005"/>
        <w:spacing w:before="120" w:after="120"/>
        <w:ind w:firstLine="480"/>
        <w:rPr>
          <w:rFonts w:eastAsiaTheme="minorEastAsia"/>
        </w:rPr>
      </w:pPr>
      <w:r w:rsidRPr="00B4515A">
        <w:rPr>
          <w:rFonts w:hint="eastAsia"/>
        </w:rPr>
        <w:t>截至</w:t>
      </w:r>
      <w:r w:rsidRPr="00B4515A">
        <w:rPr>
          <w:rFonts w:hint="eastAsia"/>
        </w:rPr>
        <w:t>2</w:t>
      </w:r>
      <w:r w:rsidRPr="00B4515A">
        <w:t>021</w:t>
      </w:r>
      <w:r w:rsidRPr="00B4515A">
        <w:rPr>
          <w:rFonts w:hint="eastAsia"/>
        </w:rPr>
        <w:t>年</w:t>
      </w:r>
      <w:r w:rsidRPr="00B4515A">
        <w:rPr>
          <w:rFonts w:hint="eastAsia"/>
        </w:rPr>
        <w:t>4</w:t>
      </w:r>
      <w:r w:rsidRPr="00B4515A">
        <w:rPr>
          <w:rFonts w:hint="eastAsia"/>
        </w:rPr>
        <w:t>月</w:t>
      </w:r>
      <w:r w:rsidRPr="00B4515A">
        <w:rPr>
          <w:rFonts w:hint="eastAsia"/>
        </w:rPr>
        <w:t>3</w:t>
      </w:r>
      <w:r w:rsidRPr="00B4515A">
        <w:t>0</w:t>
      </w:r>
      <w:r w:rsidRPr="00B4515A">
        <w:rPr>
          <w:rFonts w:hint="eastAsia"/>
        </w:rPr>
        <w:t>日</w:t>
      </w:r>
      <w:r w:rsidRPr="00B4515A">
        <w:rPr>
          <w:rFonts w:eastAsiaTheme="minorEastAsia" w:hint="eastAsia"/>
        </w:rPr>
        <w:t>，</w:t>
      </w:r>
      <w:r w:rsidRPr="00B4515A">
        <w:rPr>
          <w:rFonts w:hint="eastAsia"/>
        </w:rPr>
        <w:t>大唐控股</w:t>
      </w:r>
      <w:r w:rsidRPr="00B4515A">
        <w:rPr>
          <w:rFonts w:eastAsiaTheme="minorEastAsia" w:hint="eastAsia"/>
        </w:rPr>
        <w:t>主要下属企业基本情况如下：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97"/>
        <w:gridCol w:w="1896"/>
        <w:gridCol w:w="2376"/>
        <w:gridCol w:w="3559"/>
      </w:tblGrid>
      <w:tr w:rsidR="006416B0" w:rsidRPr="00B4515A" w14:paraId="59F18032" w14:textId="77777777" w:rsidTr="005860B4">
        <w:trPr>
          <w:trHeight w:val="340"/>
          <w:tblHeader/>
          <w:jc w:val="center"/>
        </w:trPr>
        <w:tc>
          <w:tcPr>
            <w:tcW w:w="694" w:type="dxa"/>
            <w:tcMar>
              <w:top w:w="0" w:type="dxa"/>
              <w:left w:w="108" w:type="dxa"/>
              <w:bottom w:w="0" w:type="dxa"/>
              <w:right w:w="108" w:type="dxa"/>
            </w:tcMar>
            <w:vAlign w:val="center"/>
          </w:tcPr>
          <w:p w14:paraId="6A2195F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1888" w:type="dxa"/>
            <w:tcMar>
              <w:top w:w="0" w:type="dxa"/>
              <w:left w:w="108" w:type="dxa"/>
              <w:bottom w:w="0" w:type="dxa"/>
              <w:right w:w="108" w:type="dxa"/>
            </w:tcMar>
            <w:vAlign w:val="center"/>
          </w:tcPr>
          <w:p w14:paraId="2583C01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公司名称</w:t>
            </w:r>
          </w:p>
        </w:tc>
        <w:tc>
          <w:tcPr>
            <w:tcW w:w="2365" w:type="dxa"/>
            <w:tcMar>
              <w:top w:w="0" w:type="dxa"/>
              <w:left w:w="108" w:type="dxa"/>
              <w:bottom w:w="0" w:type="dxa"/>
              <w:right w:w="108" w:type="dxa"/>
            </w:tcMar>
            <w:vAlign w:val="center"/>
          </w:tcPr>
          <w:p w14:paraId="4A6DCAA9"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直接</w:t>
            </w:r>
            <w:r w:rsidRPr="00B4515A">
              <w:rPr>
                <w:rFonts w:ascii="Times New Roman" w:hAnsi="Times New Roman" w:cs="Times New Roman"/>
                <w:b/>
                <w:sz w:val="21"/>
                <w:szCs w:val="21"/>
              </w:rPr>
              <w:t>持股比例</w:t>
            </w:r>
          </w:p>
        </w:tc>
        <w:tc>
          <w:tcPr>
            <w:tcW w:w="3543" w:type="dxa"/>
            <w:tcMar>
              <w:top w:w="0" w:type="dxa"/>
              <w:left w:w="108" w:type="dxa"/>
              <w:bottom w:w="0" w:type="dxa"/>
              <w:right w:w="108" w:type="dxa"/>
            </w:tcMar>
            <w:vAlign w:val="center"/>
          </w:tcPr>
          <w:p w14:paraId="7104A31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经营范围</w:t>
            </w:r>
          </w:p>
        </w:tc>
      </w:tr>
      <w:tr w:rsidR="006416B0" w:rsidRPr="00B4515A" w14:paraId="12ED8568" w14:textId="77777777" w:rsidTr="00031627">
        <w:trPr>
          <w:trHeight w:val="340"/>
          <w:jc w:val="center"/>
        </w:trPr>
        <w:tc>
          <w:tcPr>
            <w:tcW w:w="694" w:type="dxa"/>
            <w:tcMar>
              <w:top w:w="0" w:type="dxa"/>
              <w:left w:w="108" w:type="dxa"/>
              <w:bottom w:w="0" w:type="dxa"/>
              <w:right w:w="108" w:type="dxa"/>
            </w:tcMar>
            <w:vAlign w:val="center"/>
          </w:tcPr>
          <w:p w14:paraId="20CFEC16" w14:textId="77777777" w:rsidR="006416B0" w:rsidRPr="00B4515A" w:rsidRDefault="005E58C1" w:rsidP="005860B4">
            <w:pPr>
              <w:adjustRightInd w:val="0"/>
              <w:snapToGrid w:val="0"/>
              <w:jc w:val="center"/>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1</w:t>
            </w:r>
          </w:p>
        </w:tc>
        <w:tc>
          <w:tcPr>
            <w:tcW w:w="1888" w:type="dxa"/>
            <w:tcMar>
              <w:top w:w="0" w:type="dxa"/>
              <w:left w:w="108" w:type="dxa"/>
              <w:bottom w:w="0" w:type="dxa"/>
              <w:right w:w="108" w:type="dxa"/>
            </w:tcMar>
            <w:vAlign w:val="center"/>
          </w:tcPr>
          <w:p w14:paraId="63A0CD6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大唐投资控股发展（上海）有限公司</w:t>
            </w:r>
          </w:p>
        </w:tc>
        <w:tc>
          <w:tcPr>
            <w:tcW w:w="2365" w:type="dxa"/>
            <w:tcMar>
              <w:top w:w="0" w:type="dxa"/>
              <w:left w:w="108" w:type="dxa"/>
              <w:bottom w:w="0" w:type="dxa"/>
              <w:right w:w="108" w:type="dxa"/>
            </w:tcMar>
            <w:vAlign w:val="center"/>
          </w:tcPr>
          <w:p w14:paraId="2AF3BD5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w:t>
            </w:r>
          </w:p>
        </w:tc>
        <w:tc>
          <w:tcPr>
            <w:tcW w:w="3543" w:type="dxa"/>
            <w:tcMar>
              <w:top w:w="0" w:type="dxa"/>
              <w:left w:w="108" w:type="dxa"/>
              <w:bottom w:w="0" w:type="dxa"/>
              <w:right w:w="108" w:type="dxa"/>
            </w:tcMar>
            <w:vAlign w:val="center"/>
          </w:tcPr>
          <w:p w14:paraId="63B431F6" w14:textId="59D588C3"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实业投资，投资管理与咨询，软件、芯片的开发、销售及相关技术领域内的技术开发、技术咨询、技术服务、技术转让，物业管理。</w:t>
            </w:r>
            <w:r w:rsidR="007514C9" w:rsidRPr="00B4515A">
              <w:rPr>
                <w:rFonts w:ascii="Times New Roman" w:hAnsi="Times New Roman" w:cs="Times New Roman" w:hint="eastAsia"/>
                <w:sz w:val="21"/>
                <w:szCs w:val="21"/>
              </w:rPr>
              <w:t>（</w:t>
            </w:r>
            <w:r w:rsidRPr="00B4515A">
              <w:rPr>
                <w:rFonts w:ascii="Times New Roman" w:hAnsi="Times New Roman" w:cs="Times New Roman" w:hint="eastAsia"/>
                <w:sz w:val="21"/>
                <w:szCs w:val="21"/>
              </w:rPr>
              <w:t>依法须经批准的项目，经相关部门批准后方可开展经营活动</w:t>
            </w:r>
            <w:r w:rsidR="007514C9" w:rsidRPr="00B4515A">
              <w:rPr>
                <w:rFonts w:ascii="Times New Roman" w:hAnsi="Times New Roman" w:cs="Times New Roman" w:hint="eastAsia"/>
                <w:sz w:val="21"/>
                <w:szCs w:val="21"/>
              </w:rPr>
              <w:t>）</w:t>
            </w:r>
          </w:p>
        </w:tc>
      </w:tr>
      <w:tr w:rsidR="006416B0" w:rsidRPr="00B4515A" w14:paraId="27C074A7" w14:textId="77777777" w:rsidTr="00031627">
        <w:trPr>
          <w:trHeight w:val="340"/>
          <w:jc w:val="center"/>
        </w:trPr>
        <w:tc>
          <w:tcPr>
            <w:tcW w:w="694" w:type="dxa"/>
            <w:tcMar>
              <w:top w:w="0" w:type="dxa"/>
              <w:left w:w="108" w:type="dxa"/>
              <w:bottom w:w="0" w:type="dxa"/>
              <w:right w:w="108" w:type="dxa"/>
            </w:tcMar>
            <w:vAlign w:val="center"/>
          </w:tcPr>
          <w:p w14:paraId="3D23B4DB"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2</w:t>
            </w:r>
          </w:p>
        </w:tc>
        <w:tc>
          <w:tcPr>
            <w:tcW w:w="1888" w:type="dxa"/>
            <w:tcMar>
              <w:top w:w="0" w:type="dxa"/>
              <w:left w:w="108" w:type="dxa"/>
              <w:bottom w:w="0" w:type="dxa"/>
              <w:right w:w="108" w:type="dxa"/>
            </w:tcMar>
            <w:vAlign w:val="center"/>
          </w:tcPr>
          <w:p w14:paraId="1DDE19B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大唐电信国际技术有限公司</w:t>
            </w:r>
          </w:p>
        </w:tc>
        <w:tc>
          <w:tcPr>
            <w:tcW w:w="2365" w:type="dxa"/>
            <w:tcMar>
              <w:top w:w="0" w:type="dxa"/>
              <w:left w:w="108" w:type="dxa"/>
              <w:bottom w:w="0" w:type="dxa"/>
              <w:right w:w="108" w:type="dxa"/>
            </w:tcMar>
            <w:vAlign w:val="center"/>
          </w:tcPr>
          <w:p w14:paraId="6C8E3BE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w:t>
            </w:r>
          </w:p>
        </w:tc>
        <w:tc>
          <w:tcPr>
            <w:tcW w:w="3543" w:type="dxa"/>
            <w:tcMar>
              <w:top w:w="0" w:type="dxa"/>
              <w:left w:w="108" w:type="dxa"/>
              <w:bottom w:w="0" w:type="dxa"/>
              <w:right w:w="108" w:type="dxa"/>
            </w:tcMar>
            <w:vAlign w:val="center"/>
          </w:tcPr>
          <w:p w14:paraId="279C06E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专业承包；技术开发、技术咨询、技术服务；投资及投资管理；投资咨询；开发、销售计算机软件、芯片、通信设备；技术进出口、货物进出口、代理进出口。（市场主体依法自主选择经营项目，开展经营活动；依法须经批准的项目，经相关部门批准后依批准的内容开展经营活动；不得从事国家和本市产业政策禁止和限制类项目的经营活动。）</w:t>
            </w:r>
          </w:p>
        </w:tc>
      </w:tr>
      <w:tr w:rsidR="006416B0" w:rsidRPr="00B4515A" w14:paraId="32A0A695" w14:textId="77777777" w:rsidTr="00031627">
        <w:trPr>
          <w:trHeight w:val="340"/>
          <w:jc w:val="center"/>
        </w:trPr>
        <w:tc>
          <w:tcPr>
            <w:tcW w:w="694" w:type="dxa"/>
            <w:tcMar>
              <w:top w:w="0" w:type="dxa"/>
              <w:left w:w="108" w:type="dxa"/>
              <w:bottom w:w="0" w:type="dxa"/>
              <w:right w:w="108" w:type="dxa"/>
            </w:tcMar>
            <w:vAlign w:val="center"/>
          </w:tcPr>
          <w:p w14:paraId="1D47E3C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3</w:t>
            </w:r>
          </w:p>
        </w:tc>
        <w:tc>
          <w:tcPr>
            <w:tcW w:w="1888" w:type="dxa"/>
            <w:tcMar>
              <w:top w:w="0" w:type="dxa"/>
              <w:left w:w="108" w:type="dxa"/>
              <w:bottom w:w="0" w:type="dxa"/>
              <w:right w:w="108" w:type="dxa"/>
            </w:tcMar>
            <w:vAlign w:val="center"/>
          </w:tcPr>
          <w:p w14:paraId="69F99969"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大唐控股（香港）投资有限公司</w:t>
            </w:r>
          </w:p>
        </w:tc>
        <w:tc>
          <w:tcPr>
            <w:tcW w:w="2365" w:type="dxa"/>
            <w:tcMar>
              <w:top w:w="0" w:type="dxa"/>
              <w:left w:w="108" w:type="dxa"/>
              <w:bottom w:w="0" w:type="dxa"/>
              <w:right w:w="108" w:type="dxa"/>
            </w:tcMar>
            <w:vAlign w:val="center"/>
          </w:tcPr>
          <w:p w14:paraId="277F4EB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w:t>
            </w:r>
          </w:p>
        </w:tc>
        <w:tc>
          <w:tcPr>
            <w:tcW w:w="3543" w:type="dxa"/>
            <w:tcMar>
              <w:top w:w="0" w:type="dxa"/>
              <w:left w:w="108" w:type="dxa"/>
              <w:bottom w:w="0" w:type="dxa"/>
              <w:right w:w="108" w:type="dxa"/>
            </w:tcMar>
            <w:vAlign w:val="center"/>
          </w:tcPr>
          <w:p w14:paraId="59FBF98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实业投资、投资管理与咨询、信息技术软件、芯片等开发、设备生产与制造、销售与服务、技术开发、技术转让、技术咨询、技术服务等</w:t>
            </w:r>
          </w:p>
        </w:tc>
      </w:tr>
      <w:tr w:rsidR="006416B0" w:rsidRPr="00B4515A" w14:paraId="0BD7AC8D" w14:textId="77777777" w:rsidTr="00031627">
        <w:trPr>
          <w:trHeight w:val="340"/>
          <w:jc w:val="center"/>
        </w:trPr>
        <w:tc>
          <w:tcPr>
            <w:tcW w:w="694" w:type="dxa"/>
            <w:tcMar>
              <w:top w:w="0" w:type="dxa"/>
              <w:left w:w="108" w:type="dxa"/>
              <w:bottom w:w="0" w:type="dxa"/>
              <w:right w:w="108" w:type="dxa"/>
            </w:tcMar>
            <w:vAlign w:val="center"/>
          </w:tcPr>
          <w:p w14:paraId="5823633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4</w:t>
            </w:r>
          </w:p>
        </w:tc>
        <w:tc>
          <w:tcPr>
            <w:tcW w:w="1888" w:type="dxa"/>
            <w:tcMar>
              <w:top w:w="0" w:type="dxa"/>
              <w:left w:w="108" w:type="dxa"/>
              <w:bottom w:w="0" w:type="dxa"/>
              <w:right w:w="108" w:type="dxa"/>
            </w:tcMar>
            <w:vAlign w:val="center"/>
          </w:tcPr>
          <w:p w14:paraId="60A3157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大唐创业投资（海南）有限公司</w:t>
            </w:r>
          </w:p>
        </w:tc>
        <w:tc>
          <w:tcPr>
            <w:tcW w:w="2365" w:type="dxa"/>
            <w:tcMar>
              <w:top w:w="0" w:type="dxa"/>
              <w:left w:w="108" w:type="dxa"/>
              <w:bottom w:w="0" w:type="dxa"/>
              <w:right w:w="108" w:type="dxa"/>
            </w:tcMar>
            <w:vAlign w:val="center"/>
          </w:tcPr>
          <w:p w14:paraId="6B7A7AAC"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sz w:val="21"/>
                <w:szCs w:val="21"/>
              </w:rPr>
              <w:t>55.00%</w:t>
            </w:r>
          </w:p>
        </w:tc>
        <w:tc>
          <w:tcPr>
            <w:tcW w:w="3543" w:type="dxa"/>
            <w:tcMar>
              <w:top w:w="0" w:type="dxa"/>
              <w:left w:w="108" w:type="dxa"/>
              <w:bottom w:w="0" w:type="dxa"/>
              <w:right w:w="108" w:type="dxa"/>
            </w:tcMar>
            <w:vAlign w:val="center"/>
          </w:tcPr>
          <w:p w14:paraId="54C10488"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color w:val="333333"/>
                <w:sz w:val="21"/>
                <w:szCs w:val="21"/>
              </w:rPr>
              <w:t>向目标企业和比利时相关项目进行投资；在中国法律规定的范围内，对已投资的企业提供债权投资；向被投资公司提供管理咨询；向比利时相关项目提供法律和行政框架咨询服务；从事其他中国法律法规许可的业务活动。（一般经营项目自主经营，许可经营项目凭相关许可证或者批准文件经营）（依法须经批准的项目，经相关部门批准后方可开展经营活动。）</w:t>
            </w:r>
          </w:p>
        </w:tc>
      </w:tr>
      <w:tr w:rsidR="006416B0" w:rsidRPr="00B4515A" w14:paraId="14727798" w14:textId="77777777" w:rsidTr="00031627">
        <w:trPr>
          <w:trHeight w:val="340"/>
          <w:jc w:val="center"/>
        </w:trPr>
        <w:tc>
          <w:tcPr>
            <w:tcW w:w="694" w:type="dxa"/>
            <w:tcMar>
              <w:top w:w="0" w:type="dxa"/>
              <w:left w:w="108" w:type="dxa"/>
              <w:bottom w:w="0" w:type="dxa"/>
              <w:right w:w="108" w:type="dxa"/>
            </w:tcMar>
            <w:vAlign w:val="center"/>
          </w:tcPr>
          <w:p w14:paraId="6C035A3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5</w:t>
            </w:r>
          </w:p>
        </w:tc>
        <w:tc>
          <w:tcPr>
            <w:tcW w:w="1888" w:type="dxa"/>
            <w:tcMar>
              <w:top w:w="0" w:type="dxa"/>
              <w:left w:w="108" w:type="dxa"/>
              <w:bottom w:w="0" w:type="dxa"/>
              <w:right w:w="108" w:type="dxa"/>
            </w:tcMar>
            <w:vAlign w:val="center"/>
          </w:tcPr>
          <w:p w14:paraId="57A8C44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大唐高新创业投资有限公司</w:t>
            </w:r>
          </w:p>
        </w:tc>
        <w:tc>
          <w:tcPr>
            <w:tcW w:w="2365" w:type="dxa"/>
            <w:tcMar>
              <w:top w:w="0" w:type="dxa"/>
              <w:left w:w="108" w:type="dxa"/>
              <w:bottom w:w="0" w:type="dxa"/>
              <w:right w:w="108" w:type="dxa"/>
            </w:tcMar>
            <w:vAlign w:val="center"/>
          </w:tcPr>
          <w:p w14:paraId="007E989C" w14:textId="77777777" w:rsidR="006416B0" w:rsidRPr="00B4515A" w:rsidRDefault="005E58C1" w:rsidP="005860B4">
            <w:pPr>
              <w:adjustRightInd w:val="0"/>
              <w:snapToGrid w:val="0"/>
              <w:jc w:val="center"/>
              <w:rPr>
                <w:rFonts w:ascii="Times New Roman" w:eastAsiaTheme="minorEastAsia" w:hAnsi="Times New Roman" w:cs="Times New Roman"/>
                <w:color w:val="333333"/>
                <w:sz w:val="21"/>
                <w:szCs w:val="21"/>
              </w:rPr>
            </w:pPr>
            <w:r w:rsidRPr="00B4515A">
              <w:rPr>
                <w:rFonts w:ascii="Times New Roman" w:eastAsiaTheme="minorEastAsia" w:hAnsi="Times New Roman" w:cs="Times New Roman" w:hint="eastAsia"/>
                <w:color w:val="333333"/>
                <w:sz w:val="21"/>
                <w:szCs w:val="21"/>
              </w:rPr>
              <w:t>大唐控股（</w:t>
            </w:r>
            <w:r w:rsidRPr="00B4515A">
              <w:rPr>
                <w:rFonts w:ascii="Times New Roman" w:eastAsiaTheme="minorEastAsia" w:hAnsi="Times New Roman" w:cs="Times New Roman"/>
                <w:color w:val="333333"/>
                <w:sz w:val="21"/>
                <w:szCs w:val="21"/>
              </w:rPr>
              <w:t>34.48%</w:t>
            </w:r>
            <w:r w:rsidRPr="00B4515A">
              <w:rPr>
                <w:rFonts w:ascii="Times New Roman" w:eastAsiaTheme="minorEastAsia" w:hAnsi="Times New Roman" w:cs="Times New Roman" w:hint="eastAsia"/>
                <w:color w:val="333333"/>
                <w:sz w:val="21"/>
                <w:szCs w:val="21"/>
              </w:rPr>
              <w:t>）、大唐投资管理（北京）有限公司（</w:t>
            </w:r>
            <w:r w:rsidRPr="00B4515A">
              <w:rPr>
                <w:rFonts w:ascii="Times New Roman" w:eastAsiaTheme="minorEastAsia" w:hAnsi="Times New Roman" w:cs="Times New Roman"/>
                <w:color w:val="333333"/>
                <w:sz w:val="21"/>
                <w:szCs w:val="21"/>
              </w:rPr>
              <w:t>20.00%</w:t>
            </w:r>
            <w:r w:rsidRPr="00B4515A">
              <w:rPr>
                <w:rFonts w:ascii="Times New Roman" w:eastAsiaTheme="minorEastAsia" w:hAnsi="Times New Roman" w:cs="Times New Roman" w:hint="eastAsia"/>
                <w:color w:val="333333"/>
                <w:sz w:val="21"/>
                <w:szCs w:val="21"/>
              </w:rPr>
              <w:t>）、大唐高鸿数据网络技术股份有限公司（</w:t>
            </w:r>
            <w:r w:rsidRPr="00B4515A">
              <w:rPr>
                <w:rFonts w:ascii="Times New Roman" w:eastAsiaTheme="minorEastAsia" w:hAnsi="Times New Roman" w:cs="Times New Roman"/>
                <w:color w:val="333333"/>
                <w:sz w:val="21"/>
                <w:szCs w:val="21"/>
              </w:rPr>
              <w:t>17.93%</w:t>
            </w:r>
            <w:r w:rsidRPr="00B4515A">
              <w:rPr>
                <w:rFonts w:ascii="Times New Roman" w:eastAsiaTheme="minorEastAsia" w:hAnsi="Times New Roman" w:cs="Times New Roman" w:hint="eastAsia"/>
                <w:color w:val="333333"/>
                <w:sz w:val="21"/>
                <w:szCs w:val="21"/>
              </w:rPr>
              <w:t>）、大唐电信科技股份有限公司（</w:t>
            </w:r>
            <w:r w:rsidRPr="00B4515A">
              <w:rPr>
                <w:rFonts w:ascii="Times New Roman" w:eastAsiaTheme="minorEastAsia" w:hAnsi="Times New Roman" w:cs="Times New Roman"/>
                <w:color w:val="333333"/>
                <w:sz w:val="21"/>
                <w:szCs w:val="21"/>
              </w:rPr>
              <w:t>15.17%</w:t>
            </w:r>
            <w:r w:rsidRPr="00B4515A">
              <w:rPr>
                <w:rFonts w:ascii="Times New Roman" w:eastAsiaTheme="minorEastAsia" w:hAnsi="Times New Roman" w:cs="Times New Roman" w:hint="eastAsia"/>
                <w:color w:val="333333"/>
                <w:sz w:val="21"/>
                <w:szCs w:val="21"/>
              </w:rPr>
              <w:t>）、南京庆亚贸易有限公司（</w:t>
            </w:r>
            <w:r w:rsidRPr="00B4515A">
              <w:rPr>
                <w:rFonts w:ascii="Times New Roman" w:eastAsiaTheme="minorEastAsia" w:hAnsi="Times New Roman" w:cs="Times New Roman"/>
                <w:color w:val="333333"/>
                <w:sz w:val="21"/>
                <w:szCs w:val="21"/>
              </w:rPr>
              <w:t>6.21%</w:t>
            </w:r>
            <w:r w:rsidRPr="00B4515A">
              <w:rPr>
                <w:rFonts w:ascii="Times New Roman" w:eastAsiaTheme="minorEastAsia" w:hAnsi="Times New Roman" w:cs="Times New Roman" w:hint="eastAsia"/>
                <w:color w:val="333333"/>
                <w:sz w:val="21"/>
                <w:szCs w:val="21"/>
              </w:rPr>
              <w:t>）、江苏嘉睿创业投资有限</w:t>
            </w:r>
            <w:r w:rsidRPr="00B4515A">
              <w:rPr>
                <w:rFonts w:ascii="Times New Roman" w:eastAsiaTheme="minorEastAsia" w:hAnsi="Times New Roman" w:cs="Times New Roman" w:hint="eastAsia"/>
                <w:color w:val="333333"/>
                <w:sz w:val="21"/>
                <w:szCs w:val="21"/>
              </w:rPr>
              <w:lastRenderedPageBreak/>
              <w:t>公司（</w:t>
            </w:r>
            <w:r w:rsidRPr="00B4515A">
              <w:rPr>
                <w:rFonts w:ascii="Times New Roman" w:eastAsiaTheme="minorEastAsia" w:hAnsi="Times New Roman" w:cs="Times New Roman"/>
                <w:color w:val="333333"/>
                <w:sz w:val="21"/>
                <w:szCs w:val="21"/>
              </w:rPr>
              <w:t>6.21%</w:t>
            </w:r>
            <w:r w:rsidRPr="00B4515A">
              <w:rPr>
                <w:rFonts w:ascii="Times New Roman" w:eastAsiaTheme="minorEastAsia" w:hAnsi="Times New Roman" w:cs="Times New Roman" w:hint="eastAsia"/>
                <w:color w:val="333333"/>
                <w:sz w:val="21"/>
                <w:szCs w:val="21"/>
              </w:rPr>
              <w:t>）</w:t>
            </w:r>
          </w:p>
        </w:tc>
        <w:tc>
          <w:tcPr>
            <w:tcW w:w="3543" w:type="dxa"/>
            <w:tcMar>
              <w:top w:w="0" w:type="dxa"/>
              <w:left w:w="108" w:type="dxa"/>
              <w:bottom w:w="0" w:type="dxa"/>
              <w:right w:w="108" w:type="dxa"/>
            </w:tcMar>
            <w:vAlign w:val="center"/>
          </w:tcPr>
          <w:p w14:paraId="13B150B9" w14:textId="77777777" w:rsidR="006416B0" w:rsidRPr="00B4515A" w:rsidRDefault="005E58C1" w:rsidP="005860B4">
            <w:pPr>
              <w:adjustRightInd w:val="0"/>
              <w:snapToGrid w:val="0"/>
              <w:rPr>
                <w:rFonts w:ascii="Times New Roman" w:eastAsiaTheme="minorEastAsia" w:hAnsi="Times New Roman" w:cs="Times New Roman"/>
                <w:color w:val="333333"/>
                <w:sz w:val="21"/>
                <w:szCs w:val="21"/>
              </w:rPr>
            </w:pPr>
            <w:r w:rsidRPr="00B4515A">
              <w:rPr>
                <w:rFonts w:ascii="Times New Roman" w:eastAsiaTheme="minorEastAsia" w:hAnsi="Times New Roman" w:cs="Times New Roman"/>
                <w:color w:val="333333"/>
                <w:sz w:val="21"/>
                <w:szCs w:val="21"/>
              </w:rPr>
              <w:lastRenderedPageBreak/>
              <w:t>创业投资业务；代理其他创业投资企业等机构或个人的创业投资业务；创业投资咨询业务；为创业企业提供创业管理服务业务；参与设立创业投资企业与创业投资管理顾问机构。（</w:t>
            </w:r>
            <w:r w:rsidRPr="00B4515A">
              <w:rPr>
                <w:rFonts w:cs="Times New Roman"/>
                <w:color w:val="333333"/>
                <w:sz w:val="21"/>
                <w:szCs w:val="21"/>
              </w:rPr>
              <w:t>“</w:t>
            </w:r>
            <w:r w:rsidRPr="00B4515A">
              <w:rPr>
                <w:rFonts w:ascii="Times New Roman" w:eastAsiaTheme="minorEastAsia" w:hAnsi="Times New Roman" w:cs="Times New Roman"/>
                <w:color w:val="333333"/>
                <w:sz w:val="21"/>
                <w:szCs w:val="21"/>
              </w:rPr>
              <w:t>1</w:t>
            </w:r>
            <w:r w:rsidRPr="00B4515A">
              <w:rPr>
                <w:rFonts w:ascii="Times New Roman" w:eastAsiaTheme="minorEastAsia" w:hAnsi="Times New Roman" w:cs="Times New Roman"/>
                <w:color w:val="333333"/>
                <w:sz w:val="21"/>
                <w:szCs w:val="21"/>
              </w:rPr>
              <w:t>、未经有关部门批准，不得以公开方式募集资金；</w:t>
            </w:r>
            <w:r w:rsidRPr="00B4515A">
              <w:rPr>
                <w:rFonts w:ascii="Times New Roman" w:eastAsiaTheme="minorEastAsia" w:hAnsi="Times New Roman" w:cs="Times New Roman"/>
                <w:color w:val="333333"/>
                <w:sz w:val="21"/>
                <w:szCs w:val="21"/>
              </w:rPr>
              <w:t>2</w:t>
            </w:r>
            <w:r w:rsidRPr="00B4515A">
              <w:rPr>
                <w:rFonts w:ascii="Times New Roman" w:eastAsiaTheme="minorEastAsia" w:hAnsi="Times New Roman" w:cs="Times New Roman"/>
                <w:color w:val="333333"/>
                <w:sz w:val="21"/>
                <w:szCs w:val="21"/>
              </w:rPr>
              <w:t>、不得公开开展证券类产品和金融衍生品交易活动；</w:t>
            </w:r>
            <w:r w:rsidRPr="00B4515A">
              <w:rPr>
                <w:rFonts w:ascii="Times New Roman" w:eastAsiaTheme="minorEastAsia" w:hAnsi="Times New Roman" w:cs="Times New Roman"/>
                <w:color w:val="333333"/>
                <w:sz w:val="21"/>
                <w:szCs w:val="21"/>
              </w:rPr>
              <w:t>3</w:t>
            </w:r>
            <w:r w:rsidRPr="00B4515A">
              <w:rPr>
                <w:rFonts w:ascii="Times New Roman" w:eastAsiaTheme="minorEastAsia" w:hAnsi="Times New Roman" w:cs="Times New Roman"/>
                <w:color w:val="333333"/>
                <w:sz w:val="21"/>
                <w:szCs w:val="21"/>
              </w:rPr>
              <w:t>、不得发放贷款；</w:t>
            </w:r>
            <w:r w:rsidRPr="00B4515A">
              <w:rPr>
                <w:rFonts w:ascii="Times New Roman" w:eastAsiaTheme="minorEastAsia" w:hAnsi="Times New Roman" w:cs="Times New Roman"/>
                <w:color w:val="333333"/>
                <w:sz w:val="21"/>
                <w:szCs w:val="21"/>
              </w:rPr>
              <w:t>4</w:t>
            </w:r>
            <w:r w:rsidRPr="00B4515A">
              <w:rPr>
                <w:rFonts w:ascii="Times New Roman" w:eastAsiaTheme="minorEastAsia" w:hAnsi="Times New Roman" w:cs="Times New Roman"/>
                <w:color w:val="333333"/>
                <w:sz w:val="21"/>
                <w:szCs w:val="21"/>
              </w:rPr>
              <w:t>、不得对所投资企业以外的其他企业提供担保；</w:t>
            </w:r>
            <w:r w:rsidRPr="00B4515A">
              <w:rPr>
                <w:rFonts w:ascii="Times New Roman" w:eastAsiaTheme="minorEastAsia" w:hAnsi="Times New Roman" w:cs="Times New Roman"/>
                <w:color w:val="333333"/>
                <w:sz w:val="21"/>
                <w:szCs w:val="21"/>
              </w:rPr>
              <w:lastRenderedPageBreak/>
              <w:t>5</w:t>
            </w:r>
            <w:r w:rsidRPr="00B4515A">
              <w:rPr>
                <w:rFonts w:ascii="Times New Roman" w:eastAsiaTheme="minorEastAsia" w:hAnsi="Times New Roman" w:cs="Times New Roman"/>
                <w:color w:val="333333"/>
                <w:sz w:val="21"/>
                <w:szCs w:val="21"/>
              </w:rPr>
              <w:t>、不得向投资者承诺投资本金不受损失或者承诺最低收益</w:t>
            </w:r>
            <w:r w:rsidRPr="00B4515A">
              <w:rPr>
                <w:rFonts w:cs="Times New Roman"/>
                <w:color w:val="333333"/>
                <w:sz w:val="21"/>
                <w:szCs w:val="21"/>
              </w:rPr>
              <w:t>”</w:t>
            </w:r>
            <w:r w:rsidRPr="00B4515A">
              <w:rPr>
                <w:rFonts w:ascii="Times New Roman" w:eastAsiaTheme="minorEastAsia" w:hAnsi="Times New Roman" w:cs="Times New Roman"/>
                <w:color w:val="333333"/>
                <w:sz w:val="21"/>
                <w:szCs w:val="21"/>
              </w:rPr>
              <w:t>；企业依法自主选择经营项目，开展经营活动；依法须经批准的项目，经相关部门批准后依批准的内容开展经营活动；不得从事本市产业政策禁止和限制类项目的经营活动。）</w:t>
            </w:r>
          </w:p>
        </w:tc>
      </w:tr>
    </w:tbl>
    <w:p w14:paraId="0662AB8C" w14:textId="26508DF1" w:rsidR="006416B0" w:rsidRPr="00B4515A" w:rsidRDefault="005E58C1" w:rsidP="005860B4">
      <w:pPr>
        <w:pStyle w:val="003"/>
        <w:spacing w:before="120"/>
        <w:ind w:firstLine="482"/>
      </w:pPr>
      <w:r w:rsidRPr="00B4515A">
        <w:rPr>
          <w:rFonts w:hint="eastAsia"/>
        </w:rPr>
        <w:lastRenderedPageBreak/>
        <w:t>（三）</w:t>
      </w:r>
      <w:r w:rsidR="00252376" w:rsidRPr="00B4515A">
        <w:rPr>
          <w:rFonts w:hint="eastAsia"/>
        </w:rPr>
        <w:t>长江移动基金</w:t>
      </w:r>
    </w:p>
    <w:p w14:paraId="125BC0DD" w14:textId="77777777" w:rsidR="006416B0" w:rsidRPr="00B4515A" w:rsidRDefault="005E58C1" w:rsidP="005860B4">
      <w:pPr>
        <w:pStyle w:val="004"/>
        <w:spacing w:before="120" w:after="120"/>
        <w:ind w:firstLine="482"/>
      </w:pPr>
      <w:r w:rsidRPr="00B4515A">
        <w:t>1</w:t>
      </w:r>
      <w:r w:rsidRPr="00B4515A">
        <w:rPr>
          <w:rFonts w:hint="eastAsia"/>
        </w:rPr>
        <w:t>、基本情况</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5"/>
        <w:gridCol w:w="6133"/>
      </w:tblGrid>
      <w:tr w:rsidR="006416B0" w:rsidRPr="00B4515A" w14:paraId="4B23448E"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6502937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企业名称</w:t>
            </w:r>
          </w:p>
        </w:tc>
        <w:tc>
          <w:tcPr>
            <w:tcW w:w="6116" w:type="dxa"/>
            <w:shd w:val="clear" w:color="auto" w:fill="auto"/>
            <w:tcMar>
              <w:top w:w="0" w:type="dxa"/>
              <w:left w:w="108" w:type="dxa"/>
              <w:bottom w:w="0" w:type="dxa"/>
              <w:right w:w="108" w:type="dxa"/>
            </w:tcMar>
            <w:vAlign w:val="center"/>
          </w:tcPr>
          <w:p w14:paraId="2EDF649A"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湖北长江中信科移动通信技术产业投资基金合伙企业（有限合伙）</w:t>
            </w:r>
          </w:p>
        </w:tc>
      </w:tr>
      <w:tr w:rsidR="006416B0" w:rsidRPr="00B4515A" w14:paraId="77F52406"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309E8E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企业类型</w:t>
            </w:r>
          </w:p>
        </w:tc>
        <w:tc>
          <w:tcPr>
            <w:tcW w:w="6116" w:type="dxa"/>
            <w:shd w:val="clear" w:color="auto" w:fill="auto"/>
            <w:tcMar>
              <w:top w:w="0" w:type="dxa"/>
              <w:left w:w="108" w:type="dxa"/>
              <w:bottom w:w="0" w:type="dxa"/>
              <w:right w:w="108" w:type="dxa"/>
            </w:tcMar>
            <w:vAlign w:val="center"/>
          </w:tcPr>
          <w:p w14:paraId="4E38E6A5" w14:textId="77777777" w:rsidR="006416B0" w:rsidRPr="00B4515A" w:rsidRDefault="005E58C1" w:rsidP="005860B4">
            <w:pPr>
              <w:adjustRightInd w:val="0"/>
              <w:snapToGrid w:val="0"/>
              <w:rPr>
                <w:rFonts w:ascii="Times New Roman" w:hAnsi="Times New Roman" w:cs="Times New Roman"/>
                <w:bCs/>
                <w:sz w:val="21"/>
                <w:szCs w:val="21"/>
              </w:rPr>
            </w:pPr>
            <w:r w:rsidRPr="00B4515A">
              <w:rPr>
                <w:rFonts w:ascii="Times New Roman" w:hAnsi="Times New Roman" w:cs="Times New Roman" w:hint="eastAsia"/>
                <w:bCs/>
                <w:sz w:val="21"/>
                <w:szCs w:val="21"/>
              </w:rPr>
              <w:t>有限合伙企业</w:t>
            </w:r>
          </w:p>
        </w:tc>
      </w:tr>
      <w:tr w:rsidR="006416B0" w:rsidRPr="00B4515A" w14:paraId="4B248A97"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1274037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注册地址</w:t>
            </w:r>
          </w:p>
        </w:tc>
        <w:tc>
          <w:tcPr>
            <w:tcW w:w="6116" w:type="dxa"/>
            <w:shd w:val="clear" w:color="auto" w:fill="auto"/>
            <w:tcMar>
              <w:top w:w="0" w:type="dxa"/>
              <w:left w:w="108" w:type="dxa"/>
              <w:bottom w:w="0" w:type="dxa"/>
              <w:right w:w="108" w:type="dxa"/>
            </w:tcMar>
            <w:vAlign w:val="center"/>
          </w:tcPr>
          <w:p w14:paraId="07B523A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武汉东湖新技术开发区高新四路</w:t>
            </w:r>
            <w:r w:rsidRPr="00B4515A">
              <w:rPr>
                <w:rFonts w:ascii="Times New Roman" w:hAnsi="Times New Roman" w:cs="Times New Roman"/>
                <w:sz w:val="21"/>
                <w:szCs w:val="21"/>
              </w:rPr>
              <w:t>6</w:t>
            </w:r>
            <w:r w:rsidRPr="00B4515A">
              <w:rPr>
                <w:rFonts w:ascii="Times New Roman" w:hAnsi="Times New Roman" w:cs="Times New Roman" w:hint="eastAsia"/>
                <w:sz w:val="21"/>
                <w:szCs w:val="21"/>
              </w:rPr>
              <w:t>号烽火科技园</w:t>
            </w:r>
            <w:r w:rsidRPr="00B4515A">
              <w:rPr>
                <w:rFonts w:ascii="Times New Roman" w:hAnsi="Times New Roman" w:cs="Times New Roman"/>
                <w:sz w:val="21"/>
                <w:szCs w:val="21"/>
              </w:rPr>
              <w:t>1</w:t>
            </w:r>
            <w:r w:rsidRPr="00B4515A">
              <w:rPr>
                <w:rFonts w:ascii="Times New Roman" w:hAnsi="Times New Roman" w:cs="Times New Roman" w:hint="eastAsia"/>
                <w:sz w:val="21"/>
                <w:szCs w:val="21"/>
              </w:rPr>
              <w:t>号楼</w:t>
            </w:r>
          </w:p>
        </w:tc>
      </w:tr>
      <w:tr w:rsidR="006416B0" w:rsidRPr="00B4515A" w14:paraId="678C5969"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3E5980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主要办公地址</w:t>
            </w:r>
          </w:p>
        </w:tc>
        <w:tc>
          <w:tcPr>
            <w:tcW w:w="6116" w:type="dxa"/>
            <w:shd w:val="clear" w:color="auto" w:fill="auto"/>
            <w:tcMar>
              <w:top w:w="0" w:type="dxa"/>
              <w:left w:w="108" w:type="dxa"/>
              <w:bottom w:w="0" w:type="dxa"/>
              <w:right w:w="108" w:type="dxa"/>
            </w:tcMar>
            <w:vAlign w:val="center"/>
          </w:tcPr>
          <w:p w14:paraId="2A06F25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武汉东湖新技术开发区高新四路</w:t>
            </w:r>
            <w:r w:rsidRPr="00B4515A">
              <w:rPr>
                <w:rFonts w:ascii="Times New Roman" w:hAnsi="Times New Roman" w:cs="Times New Roman"/>
                <w:sz w:val="21"/>
                <w:szCs w:val="21"/>
              </w:rPr>
              <w:t>6</w:t>
            </w:r>
            <w:r w:rsidRPr="00B4515A">
              <w:rPr>
                <w:rFonts w:ascii="Times New Roman" w:hAnsi="Times New Roman" w:cs="Times New Roman" w:hint="eastAsia"/>
                <w:sz w:val="21"/>
                <w:szCs w:val="21"/>
              </w:rPr>
              <w:t>号烽火科技园</w:t>
            </w:r>
            <w:r w:rsidRPr="00B4515A">
              <w:rPr>
                <w:rFonts w:ascii="Times New Roman" w:hAnsi="Times New Roman" w:cs="Times New Roman"/>
                <w:sz w:val="21"/>
                <w:szCs w:val="21"/>
              </w:rPr>
              <w:t>1</w:t>
            </w:r>
            <w:r w:rsidRPr="00B4515A">
              <w:rPr>
                <w:rFonts w:ascii="Times New Roman" w:hAnsi="Times New Roman" w:cs="Times New Roman" w:hint="eastAsia"/>
                <w:sz w:val="21"/>
                <w:szCs w:val="21"/>
              </w:rPr>
              <w:t>号楼</w:t>
            </w:r>
          </w:p>
        </w:tc>
      </w:tr>
      <w:tr w:rsidR="006416B0" w:rsidRPr="00B4515A" w14:paraId="52388998"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0E4EEE8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执行事务合伙人</w:t>
            </w:r>
          </w:p>
        </w:tc>
        <w:tc>
          <w:tcPr>
            <w:tcW w:w="6116" w:type="dxa"/>
            <w:shd w:val="clear" w:color="auto" w:fill="auto"/>
            <w:tcMar>
              <w:top w:w="0" w:type="dxa"/>
              <w:left w:w="108" w:type="dxa"/>
              <w:bottom w:w="0" w:type="dxa"/>
              <w:right w:w="108" w:type="dxa"/>
            </w:tcMar>
            <w:vAlign w:val="center"/>
          </w:tcPr>
          <w:p w14:paraId="0520B12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武汉光谷烽火投资基金管理有限公司</w:t>
            </w:r>
          </w:p>
        </w:tc>
      </w:tr>
      <w:tr w:rsidR="006416B0" w:rsidRPr="00B4515A" w14:paraId="0F0AD8E8"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E036C0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注册资本</w:t>
            </w:r>
          </w:p>
        </w:tc>
        <w:tc>
          <w:tcPr>
            <w:tcW w:w="6116" w:type="dxa"/>
            <w:shd w:val="clear" w:color="auto" w:fill="auto"/>
            <w:tcMar>
              <w:top w:w="0" w:type="dxa"/>
              <w:left w:w="108" w:type="dxa"/>
              <w:bottom w:w="0" w:type="dxa"/>
              <w:right w:w="108" w:type="dxa"/>
            </w:tcMar>
            <w:vAlign w:val="center"/>
          </w:tcPr>
          <w:p w14:paraId="445514C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人民币</w:t>
            </w:r>
            <w:r w:rsidRPr="00B4515A">
              <w:rPr>
                <w:rFonts w:ascii="Times New Roman" w:hAnsi="Times New Roman" w:cs="Times New Roman"/>
                <w:sz w:val="21"/>
                <w:szCs w:val="21"/>
              </w:rPr>
              <w:t>500,000</w:t>
            </w:r>
            <w:r w:rsidRPr="00B4515A">
              <w:rPr>
                <w:rFonts w:ascii="Times New Roman" w:hAnsi="Times New Roman" w:cs="Times New Roman" w:hint="eastAsia"/>
                <w:sz w:val="21"/>
                <w:szCs w:val="21"/>
              </w:rPr>
              <w:t>万元</w:t>
            </w:r>
          </w:p>
        </w:tc>
      </w:tr>
      <w:tr w:rsidR="006416B0" w:rsidRPr="00B4515A" w14:paraId="329B5D68"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E30021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统一社会信用代码</w:t>
            </w:r>
          </w:p>
        </w:tc>
        <w:tc>
          <w:tcPr>
            <w:tcW w:w="6116" w:type="dxa"/>
            <w:shd w:val="clear" w:color="auto" w:fill="auto"/>
            <w:tcMar>
              <w:top w:w="0" w:type="dxa"/>
              <w:left w:w="108" w:type="dxa"/>
              <w:bottom w:w="0" w:type="dxa"/>
              <w:right w:w="108" w:type="dxa"/>
            </w:tcMar>
            <w:vAlign w:val="center"/>
          </w:tcPr>
          <w:p w14:paraId="02CDF77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91420100MA49CM0167</w:t>
            </w:r>
          </w:p>
        </w:tc>
      </w:tr>
      <w:tr w:rsidR="006416B0" w:rsidRPr="00B4515A" w14:paraId="58FBE3FB"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0D5B3C1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经营范围</w:t>
            </w:r>
          </w:p>
        </w:tc>
        <w:tc>
          <w:tcPr>
            <w:tcW w:w="6116" w:type="dxa"/>
            <w:shd w:val="clear" w:color="auto" w:fill="auto"/>
            <w:tcMar>
              <w:top w:w="0" w:type="dxa"/>
              <w:left w:w="108" w:type="dxa"/>
              <w:bottom w:w="0" w:type="dxa"/>
              <w:right w:w="108" w:type="dxa"/>
            </w:tcMar>
            <w:vAlign w:val="center"/>
          </w:tcPr>
          <w:p w14:paraId="001C4E7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从事信息通信技术相关领域的股权投资、投资咨询业务及创业管理服务业务。</w:t>
            </w:r>
          </w:p>
        </w:tc>
      </w:tr>
      <w:tr w:rsidR="006416B0" w:rsidRPr="00B4515A" w14:paraId="0AE0575B"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265F47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成立日期</w:t>
            </w:r>
          </w:p>
        </w:tc>
        <w:tc>
          <w:tcPr>
            <w:tcW w:w="6116" w:type="dxa"/>
            <w:shd w:val="clear" w:color="auto" w:fill="auto"/>
            <w:tcMar>
              <w:top w:w="0" w:type="dxa"/>
              <w:left w:w="108" w:type="dxa"/>
              <w:bottom w:w="0" w:type="dxa"/>
              <w:right w:w="108" w:type="dxa"/>
            </w:tcMar>
            <w:vAlign w:val="center"/>
          </w:tcPr>
          <w:p w14:paraId="2C60711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2019</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11</w:t>
            </w:r>
            <w:r w:rsidRPr="00B4515A">
              <w:rPr>
                <w:rFonts w:ascii="Times New Roman" w:hAnsi="Times New Roman" w:cs="Times New Roman" w:hint="eastAsia"/>
                <w:sz w:val="21"/>
                <w:szCs w:val="21"/>
              </w:rPr>
              <w:t>月</w:t>
            </w:r>
            <w:r w:rsidRPr="00B4515A">
              <w:rPr>
                <w:rFonts w:ascii="Times New Roman" w:hAnsi="Times New Roman" w:cs="Times New Roman"/>
                <w:sz w:val="21"/>
                <w:szCs w:val="21"/>
              </w:rPr>
              <w:t>15</w:t>
            </w:r>
            <w:r w:rsidRPr="00B4515A">
              <w:rPr>
                <w:rFonts w:ascii="Times New Roman" w:hAnsi="Times New Roman" w:cs="Times New Roman" w:hint="eastAsia"/>
                <w:sz w:val="21"/>
                <w:szCs w:val="21"/>
              </w:rPr>
              <w:t>日</w:t>
            </w:r>
          </w:p>
        </w:tc>
      </w:tr>
    </w:tbl>
    <w:p w14:paraId="5B83EE29" w14:textId="77777777" w:rsidR="006416B0" w:rsidRPr="00B4515A" w:rsidRDefault="005E58C1" w:rsidP="005860B4">
      <w:pPr>
        <w:pStyle w:val="004"/>
        <w:spacing w:before="120" w:after="120"/>
        <w:ind w:firstLine="482"/>
      </w:pPr>
      <w:r w:rsidRPr="00B4515A">
        <w:rPr>
          <w:rFonts w:hint="eastAsia"/>
        </w:rPr>
        <w:t>2</w:t>
      </w:r>
      <w:r w:rsidRPr="00B4515A">
        <w:rPr>
          <w:rFonts w:hint="eastAsia"/>
        </w:rPr>
        <w:t>、历史沿革</w:t>
      </w:r>
    </w:p>
    <w:p w14:paraId="6F548C42" w14:textId="7B622D64" w:rsidR="006416B0" w:rsidRPr="00B4515A" w:rsidRDefault="005E58C1" w:rsidP="005860B4">
      <w:pPr>
        <w:pStyle w:val="005"/>
        <w:spacing w:before="120" w:after="120"/>
        <w:ind w:firstLine="480"/>
      </w:pPr>
      <w:r w:rsidRPr="00B4515A">
        <w:t>2019</w:t>
      </w:r>
      <w:r w:rsidRPr="00B4515A">
        <w:rPr>
          <w:rFonts w:hint="eastAsia"/>
        </w:rPr>
        <w:t>年，烽火投资、湖北省长江经济带产业引导基金合伙企业（有限合伙）、武汉光谷烽火光电子信息产业投资基金合伙企业（有限合伙）、武汉市工业发展投资基金（有限合伙）、武汉国创创新投资有限公司签署了《湖北长江中信科移动通信技术产业投资基金合伙企业（有限合伙）合伙协议》，决定出资设立</w:t>
      </w:r>
      <w:r w:rsidR="00252376" w:rsidRPr="00B4515A">
        <w:rPr>
          <w:rFonts w:hint="eastAsia"/>
        </w:rPr>
        <w:t>长江移动基金</w:t>
      </w:r>
      <w:r w:rsidRPr="00B4515A">
        <w:rPr>
          <w:rFonts w:hint="eastAsia"/>
        </w:rPr>
        <w:t>。</w:t>
      </w:r>
    </w:p>
    <w:p w14:paraId="1995B95D" w14:textId="0074432D" w:rsidR="006416B0" w:rsidRPr="00B4515A" w:rsidRDefault="005E58C1" w:rsidP="005860B4">
      <w:pPr>
        <w:pStyle w:val="005"/>
        <w:spacing w:before="120" w:after="120"/>
        <w:ind w:firstLine="480"/>
      </w:pPr>
      <w:r w:rsidRPr="00B4515A">
        <w:t>2019</w:t>
      </w:r>
      <w:r w:rsidRPr="00B4515A">
        <w:rPr>
          <w:rFonts w:hint="eastAsia"/>
        </w:rPr>
        <w:t>年</w:t>
      </w:r>
      <w:r w:rsidRPr="00B4515A">
        <w:t>11</w:t>
      </w:r>
      <w:r w:rsidRPr="00B4515A">
        <w:rPr>
          <w:rFonts w:hint="eastAsia"/>
        </w:rPr>
        <w:t>月</w:t>
      </w:r>
      <w:r w:rsidRPr="00B4515A">
        <w:t>15</w:t>
      </w:r>
      <w:r w:rsidRPr="00B4515A">
        <w:rPr>
          <w:rFonts w:hint="eastAsia"/>
        </w:rPr>
        <w:t>日，</w:t>
      </w:r>
      <w:r w:rsidR="00252376" w:rsidRPr="00B4515A">
        <w:rPr>
          <w:rFonts w:hint="eastAsia"/>
        </w:rPr>
        <w:t>长江移动基金</w:t>
      </w:r>
      <w:r w:rsidRPr="00B4515A">
        <w:rPr>
          <w:rFonts w:hint="eastAsia"/>
        </w:rPr>
        <w:t>取得武汉东湖新技术开发区市场监督管理局核发的《营业执照》。</w:t>
      </w:r>
    </w:p>
    <w:p w14:paraId="1FF4E227" w14:textId="0741D3EB" w:rsidR="006416B0" w:rsidRPr="00B4515A" w:rsidRDefault="00252376" w:rsidP="005860B4">
      <w:pPr>
        <w:pStyle w:val="005"/>
        <w:spacing w:before="120" w:after="120"/>
        <w:ind w:firstLine="480"/>
      </w:pPr>
      <w:r w:rsidRPr="00B4515A">
        <w:rPr>
          <w:rFonts w:hint="eastAsia"/>
        </w:rPr>
        <w:t>长江移动基金</w:t>
      </w:r>
      <w:r w:rsidR="005E58C1" w:rsidRPr="00B4515A">
        <w:rPr>
          <w:rFonts w:hint="eastAsia"/>
        </w:rPr>
        <w:t>设立时全体合伙人及其出资情况如下：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62"/>
        <w:gridCol w:w="2335"/>
        <w:gridCol w:w="1448"/>
        <w:gridCol w:w="1915"/>
        <w:gridCol w:w="1968"/>
      </w:tblGrid>
      <w:tr w:rsidR="006416B0" w:rsidRPr="00B4515A" w14:paraId="6FF4AB2D" w14:textId="77777777" w:rsidTr="005860B4">
        <w:trPr>
          <w:trHeight w:val="340"/>
          <w:tblHeader/>
          <w:jc w:val="center"/>
        </w:trPr>
        <w:tc>
          <w:tcPr>
            <w:tcW w:w="505" w:type="pct"/>
            <w:tcMar>
              <w:top w:w="0" w:type="dxa"/>
              <w:left w:w="108" w:type="dxa"/>
              <w:bottom w:w="0" w:type="dxa"/>
              <w:right w:w="108" w:type="dxa"/>
            </w:tcMar>
            <w:vAlign w:val="center"/>
          </w:tcPr>
          <w:p w14:paraId="1094C2F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序号</w:t>
            </w:r>
          </w:p>
        </w:tc>
        <w:tc>
          <w:tcPr>
            <w:tcW w:w="1369" w:type="pct"/>
            <w:tcMar>
              <w:top w:w="0" w:type="dxa"/>
              <w:left w:w="108" w:type="dxa"/>
              <w:bottom w:w="0" w:type="dxa"/>
              <w:right w:w="108" w:type="dxa"/>
            </w:tcMar>
            <w:vAlign w:val="center"/>
          </w:tcPr>
          <w:p w14:paraId="36076A0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合伙人名</w:t>
            </w:r>
            <w:r w:rsidRPr="00B4515A">
              <w:rPr>
                <w:rFonts w:ascii="Times New Roman" w:hAnsi="Times New Roman" w:cs="Times New Roman"/>
                <w:b/>
                <w:sz w:val="21"/>
                <w:szCs w:val="21"/>
              </w:rPr>
              <w:t>称</w:t>
            </w:r>
          </w:p>
        </w:tc>
        <w:tc>
          <w:tcPr>
            <w:tcW w:w="849" w:type="pct"/>
            <w:tcMar>
              <w:top w:w="0" w:type="dxa"/>
              <w:left w:w="108" w:type="dxa"/>
              <w:bottom w:w="0" w:type="dxa"/>
              <w:right w:w="108" w:type="dxa"/>
            </w:tcMar>
            <w:vAlign w:val="center"/>
          </w:tcPr>
          <w:p w14:paraId="557C27A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合伙人类型</w:t>
            </w:r>
          </w:p>
        </w:tc>
        <w:tc>
          <w:tcPr>
            <w:tcW w:w="1123" w:type="pct"/>
            <w:tcMar>
              <w:top w:w="0" w:type="dxa"/>
              <w:left w:w="108" w:type="dxa"/>
              <w:bottom w:w="0" w:type="dxa"/>
              <w:right w:w="108" w:type="dxa"/>
            </w:tcMar>
            <w:vAlign w:val="center"/>
          </w:tcPr>
          <w:p w14:paraId="170ADF1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出资额（</w:t>
            </w:r>
            <w:r w:rsidRPr="00B4515A">
              <w:rPr>
                <w:rFonts w:ascii="Times New Roman" w:hAnsi="Times New Roman" w:cs="Times New Roman" w:hint="eastAsia"/>
                <w:b/>
                <w:sz w:val="21"/>
                <w:szCs w:val="21"/>
              </w:rPr>
              <w:t>万</w:t>
            </w:r>
            <w:r w:rsidRPr="00B4515A">
              <w:rPr>
                <w:rFonts w:ascii="Times New Roman" w:hAnsi="Times New Roman" w:cs="Times New Roman"/>
                <w:b/>
                <w:sz w:val="21"/>
                <w:szCs w:val="21"/>
              </w:rPr>
              <w:t>元）</w:t>
            </w:r>
          </w:p>
        </w:tc>
        <w:tc>
          <w:tcPr>
            <w:tcW w:w="1155" w:type="pct"/>
            <w:tcMar>
              <w:top w:w="0" w:type="dxa"/>
              <w:left w:w="108" w:type="dxa"/>
              <w:bottom w:w="0" w:type="dxa"/>
              <w:right w:w="108" w:type="dxa"/>
            </w:tcMar>
            <w:vAlign w:val="center"/>
          </w:tcPr>
          <w:p w14:paraId="171DDEAF"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w:t>
            </w:r>
            <w:r w:rsidRPr="00B4515A">
              <w:rPr>
                <w:rFonts w:ascii="Times New Roman" w:hAnsi="Times New Roman" w:cs="Times New Roman"/>
                <w:b/>
                <w:sz w:val="21"/>
                <w:szCs w:val="21"/>
              </w:rPr>
              <w:t>比例（</w:t>
            </w:r>
            <w:r w:rsidRPr="00B4515A">
              <w:rPr>
                <w:rFonts w:ascii="Times New Roman" w:hAnsi="Times New Roman" w:cs="Times New Roman"/>
                <w:b/>
                <w:sz w:val="21"/>
                <w:szCs w:val="21"/>
              </w:rPr>
              <w:t>%</w:t>
            </w:r>
            <w:r w:rsidRPr="00B4515A">
              <w:rPr>
                <w:rFonts w:ascii="Times New Roman" w:hAnsi="Times New Roman" w:cs="Times New Roman"/>
                <w:b/>
                <w:sz w:val="21"/>
                <w:szCs w:val="21"/>
              </w:rPr>
              <w:t>）</w:t>
            </w:r>
          </w:p>
        </w:tc>
      </w:tr>
      <w:tr w:rsidR="006416B0" w:rsidRPr="00B4515A" w14:paraId="40977A08" w14:textId="77777777" w:rsidTr="00031627">
        <w:trPr>
          <w:trHeight w:val="340"/>
          <w:jc w:val="center"/>
        </w:trPr>
        <w:tc>
          <w:tcPr>
            <w:tcW w:w="505" w:type="pct"/>
            <w:tcMar>
              <w:top w:w="0" w:type="dxa"/>
              <w:left w:w="108" w:type="dxa"/>
              <w:bottom w:w="0" w:type="dxa"/>
              <w:right w:w="108" w:type="dxa"/>
            </w:tcMar>
            <w:vAlign w:val="center"/>
          </w:tcPr>
          <w:p w14:paraId="1857C1C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1</w:t>
            </w:r>
          </w:p>
        </w:tc>
        <w:tc>
          <w:tcPr>
            <w:tcW w:w="1369" w:type="pct"/>
            <w:tcMar>
              <w:top w:w="0" w:type="dxa"/>
              <w:left w:w="108" w:type="dxa"/>
              <w:bottom w:w="0" w:type="dxa"/>
              <w:right w:w="108" w:type="dxa"/>
            </w:tcMar>
            <w:vAlign w:val="center"/>
          </w:tcPr>
          <w:p w14:paraId="79B0CBD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烽火投资</w:t>
            </w:r>
          </w:p>
        </w:tc>
        <w:tc>
          <w:tcPr>
            <w:tcW w:w="849" w:type="pct"/>
            <w:tcMar>
              <w:top w:w="0" w:type="dxa"/>
              <w:left w:w="108" w:type="dxa"/>
              <w:bottom w:w="0" w:type="dxa"/>
              <w:right w:w="108" w:type="dxa"/>
            </w:tcMar>
            <w:vAlign w:val="center"/>
          </w:tcPr>
          <w:p w14:paraId="0E8A242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普通合伙人</w:t>
            </w:r>
          </w:p>
        </w:tc>
        <w:tc>
          <w:tcPr>
            <w:tcW w:w="1123" w:type="pct"/>
            <w:tcMar>
              <w:top w:w="0" w:type="dxa"/>
              <w:left w:w="108" w:type="dxa"/>
              <w:bottom w:w="0" w:type="dxa"/>
              <w:right w:w="108" w:type="dxa"/>
            </w:tcMar>
            <w:vAlign w:val="center"/>
          </w:tcPr>
          <w:p w14:paraId="64997C4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2</w:t>
            </w:r>
            <w:r w:rsidRPr="00B4515A">
              <w:rPr>
                <w:rFonts w:ascii="Times New Roman" w:hAnsi="Times New Roman" w:cs="Times New Roman"/>
                <w:sz w:val="21"/>
                <w:szCs w:val="21"/>
              </w:rPr>
              <w:t>,000.00</w:t>
            </w:r>
          </w:p>
        </w:tc>
        <w:tc>
          <w:tcPr>
            <w:tcW w:w="1155" w:type="pct"/>
            <w:tcMar>
              <w:top w:w="0" w:type="dxa"/>
              <w:left w:w="108" w:type="dxa"/>
              <w:bottom w:w="0" w:type="dxa"/>
              <w:right w:w="108" w:type="dxa"/>
            </w:tcMar>
            <w:vAlign w:val="center"/>
          </w:tcPr>
          <w:p w14:paraId="6F418BA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0</w:t>
            </w:r>
            <w:r w:rsidRPr="00B4515A">
              <w:rPr>
                <w:rFonts w:ascii="Times New Roman" w:hAnsi="Times New Roman" w:cs="Times New Roman"/>
                <w:sz w:val="21"/>
                <w:szCs w:val="21"/>
              </w:rPr>
              <w:t>.40</w:t>
            </w:r>
          </w:p>
        </w:tc>
      </w:tr>
      <w:tr w:rsidR="006416B0" w:rsidRPr="00B4515A" w14:paraId="29D6F587" w14:textId="77777777" w:rsidTr="00031627">
        <w:trPr>
          <w:trHeight w:val="340"/>
          <w:jc w:val="center"/>
        </w:trPr>
        <w:tc>
          <w:tcPr>
            <w:tcW w:w="505" w:type="pct"/>
            <w:tcMar>
              <w:top w:w="0" w:type="dxa"/>
              <w:left w:w="108" w:type="dxa"/>
              <w:bottom w:w="0" w:type="dxa"/>
              <w:right w:w="108" w:type="dxa"/>
            </w:tcMar>
            <w:vAlign w:val="center"/>
          </w:tcPr>
          <w:p w14:paraId="0E31623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2</w:t>
            </w:r>
          </w:p>
        </w:tc>
        <w:tc>
          <w:tcPr>
            <w:tcW w:w="1369" w:type="pct"/>
            <w:tcMar>
              <w:top w:w="0" w:type="dxa"/>
              <w:left w:w="108" w:type="dxa"/>
              <w:bottom w:w="0" w:type="dxa"/>
              <w:right w:w="108" w:type="dxa"/>
            </w:tcMar>
            <w:vAlign w:val="center"/>
          </w:tcPr>
          <w:p w14:paraId="1790D11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武汉光谷烽火光电子信息产业投资基金合伙企业（有限合伙）</w:t>
            </w:r>
          </w:p>
        </w:tc>
        <w:tc>
          <w:tcPr>
            <w:tcW w:w="849" w:type="pct"/>
            <w:tcMar>
              <w:top w:w="0" w:type="dxa"/>
              <w:left w:w="108" w:type="dxa"/>
              <w:bottom w:w="0" w:type="dxa"/>
              <w:right w:w="108" w:type="dxa"/>
            </w:tcMar>
            <w:vAlign w:val="center"/>
          </w:tcPr>
          <w:p w14:paraId="29B2FAD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有限合伙人</w:t>
            </w:r>
          </w:p>
        </w:tc>
        <w:tc>
          <w:tcPr>
            <w:tcW w:w="1123" w:type="pct"/>
            <w:tcMar>
              <w:top w:w="0" w:type="dxa"/>
              <w:left w:w="108" w:type="dxa"/>
              <w:bottom w:w="0" w:type="dxa"/>
              <w:right w:w="108" w:type="dxa"/>
            </w:tcMar>
            <w:vAlign w:val="center"/>
          </w:tcPr>
          <w:p w14:paraId="524CB6A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248,000.00</w:t>
            </w:r>
          </w:p>
        </w:tc>
        <w:tc>
          <w:tcPr>
            <w:tcW w:w="1155" w:type="pct"/>
            <w:tcMar>
              <w:top w:w="0" w:type="dxa"/>
              <w:left w:w="108" w:type="dxa"/>
              <w:bottom w:w="0" w:type="dxa"/>
              <w:right w:w="108" w:type="dxa"/>
            </w:tcMar>
            <w:vAlign w:val="center"/>
          </w:tcPr>
          <w:p w14:paraId="6408349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49.60</w:t>
            </w:r>
          </w:p>
        </w:tc>
      </w:tr>
      <w:tr w:rsidR="006416B0" w:rsidRPr="00B4515A" w14:paraId="4B57DE8D" w14:textId="77777777" w:rsidTr="00031627">
        <w:trPr>
          <w:trHeight w:val="340"/>
          <w:jc w:val="center"/>
        </w:trPr>
        <w:tc>
          <w:tcPr>
            <w:tcW w:w="505" w:type="pct"/>
            <w:tcMar>
              <w:top w:w="0" w:type="dxa"/>
              <w:left w:w="108" w:type="dxa"/>
              <w:bottom w:w="0" w:type="dxa"/>
              <w:right w:w="108" w:type="dxa"/>
            </w:tcMar>
            <w:vAlign w:val="center"/>
          </w:tcPr>
          <w:p w14:paraId="3696000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3</w:t>
            </w:r>
          </w:p>
        </w:tc>
        <w:tc>
          <w:tcPr>
            <w:tcW w:w="1369" w:type="pct"/>
            <w:tcMar>
              <w:top w:w="0" w:type="dxa"/>
              <w:left w:w="108" w:type="dxa"/>
              <w:bottom w:w="0" w:type="dxa"/>
              <w:right w:w="108" w:type="dxa"/>
            </w:tcMar>
            <w:vAlign w:val="center"/>
          </w:tcPr>
          <w:p w14:paraId="338AF68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湖北省长江经济带产业引导基金合伙企业（有</w:t>
            </w:r>
            <w:r w:rsidRPr="00B4515A">
              <w:rPr>
                <w:rFonts w:ascii="Times New Roman" w:hAnsi="Times New Roman" w:cs="Times New Roman"/>
                <w:sz w:val="21"/>
                <w:szCs w:val="21"/>
              </w:rPr>
              <w:lastRenderedPageBreak/>
              <w:t>限合伙）</w:t>
            </w:r>
          </w:p>
        </w:tc>
        <w:tc>
          <w:tcPr>
            <w:tcW w:w="849" w:type="pct"/>
            <w:tcMar>
              <w:top w:w="0" w:type="dxa"/>
              <w:left w:w="108" w:type="dxa"/>
              <w:bottom w:w="0" w:type="dxa"/>
              <w:right w:w="108" w:type="dxa"/>
            </w:tcMar>
            <w:vAlign w:val="center"/>
          </w:tcPr>
          <w:p w14:paraId="7520CD3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lastRenderedPageBreak/>
              <w:t>有限合伙人</w:t>
            </w:r>
          </w:p>
        </w:tc>
        <w:tc>
          <w:tcPr>
            <w:tcW w:w="1123" w:type="pct"/>
            <w:tcMar>
              <w:top w:w="0" w:type="dxa"/>
              <w:left w:w="108" w:type="dxa"/>
              <w:bottom w:w="0" w:type="dxa"/>
              <w:right w:w="108" w:type="dxa"/>
            </w:tcMar>
            <w:vAlign w:val="center"/>
          </w:tcPr>
          <w:p w14:paraId="066EBDC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100,000.00</w:t>
            </w:r>
          </w:p>
        </w:tc>
        <w:tc>
          <w:tcPr>
            <w:tcW w:w="1155" w:type="pct"/>
            <w:tcMar>
              <w:top w:w="0" w:type="dxa"/>
              <w:left w:w="108" w:type="dxa"/>
              <w:bottom w:w="0" w:type="dxa"/>
              <w:right w:w="108" w:type="dxa"/>
            </w:tcMar>
            <w:vAlign w:val="center"/>
          </w:tcPr>
          <w:p w14:paraId="6174727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20.00</w:t>
            </w:r>
          </w:p>
        </w:tc>
      </w:tr>
      <w:tr w:rsidR="006416B0" w:rsidRPr="00B4515A" w14:paraId="7BD7E25E" w14:textId="77777777" w:rsidTr="00031627">
        <w:trPr>
          <w:trHeight w:val="340"/>
          <w:jc w:val="center"/>
        </w:trPr>
        <w:tc>
          <w:tcPr>
            <w:tcW w:w="505" w:type="pct"/>
            <w:tcMar>
              <w:top w:w="0" w:type="dxa"/>
              <w:left w:w="108" w:type="dxa"/>
              <w:bottom w:w="0" w:type="dxa"/>
              <w:right w:w="108" w:type="dxa"/>
            </w:tcMar>
            <w:vAlign w:val="center"/>
          </w:tcPr>
          <w:p w14:paraId="05019E3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lastRenderedPageBreak/>
              <w:t>4</w:t>
            </w:r>
          </w:p>
        </w:tc>
        <w:tc>
          <w:tcPr>
            <w:tcW w:w="1369" w:type="pct"/>
            <w:tcMar>
              <w:top w:w="0" w:type="dxa"/>
              <w:left w:w="108" w:type="dxa"/>
              <w:bottom w:w="0" w:type="dxa"/>
              <w:right w:w="108" w:type="dxa"/>
            </w:tcMar>
            <w:vAlign w:val="center"/>
          </w:tcPr>
          <w:p w14:paraId="2A1F796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武汉市工业发展投资基金（有限合伙）</w:t>
            </w:r>
          </w:p>
        </w:tc>
        <w:tc>
          <w:tcPr>
            <w:tcW w:w="849" w:type="pct"/>
            <w:tcMar>
              <w:top w:w="0" w:type="dxa"/>
              <w:left w:w="108" w:type="dxa"/>
              <w:bottom w:w="0" w:type="dxa"/>
              <w:right w:w="108" w:type="dxa"/>
            </w:tcMar>
            <w:vAlign w:val="center"/>
          </w:tcPr>
          <w:p w14:paraId="14811A9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有限合伙人</w:t>
            </w:r>
          </w:p>
        </w:tc>
        <w:tc>
          <w:tcPr>
            <w:tcW w:w="1123" w:type="pct"/>
            <w:tcMar>
              <w:top w:w="0" w:type="dxa"/>
              <w:left w:w="108" w:type="dxa"/>
              <w:bottom w:w="0" w:type="dxa"/>
              <w:right w:w="108" w:type="dxa"/>
            </w:tcMar>
            <w:vAlign w:val="center"/>
          </w:tcPr>
          <w:p w14:paraId="37E5F93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100,000.00</w:t>
            </w:r>
          </w:p>
        </w:tc>
        <w:tc>
          <w:tcPr>
            <w:tcW w:w="1155" w:type="pct"/>
            <w:tcMar>
              <w:top w:w="0" w:type="dxa"/>
              <w:left w:w="108" w:type="dxa"/>
              <w:bottom w:w="0" w:type="dxa"/>
              <w:right w:w="108" w:type="dxa"/>
            </w:tcMar>
            <w:vAlign w:val="center"/>
          </w:tcPr>
          <w:p w14:paraId="0C9644B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2</w:t>
            </w:r>
            <w:r w:rsidRPr="00B4515A">
              <w:rPr>
                <w:rFonts w:ascii="Times New Roman" w:hAnsi="Times New Roman" w:cs="Times New Roman"/>
                <w:sz w:val="21"/>
                <w:szCs w:val="21"/>
              </w:rPr>
              <w:t>0.00</w:t>
            </w:r>
          </w:p>
        </w:tc>
      </w:tr>
      <w:tr w:rsidR="006416B0" w:rsidRPr="00B4515A" w14:paraId="58778FFA" w14:textId="77777777" w:rsidTr="00031627">
        <w:trPr>
          <w:trHeight w:val="340"/>
          <w:jc w:val="center"/>
        </w:trPr>
        <w:tc>
          <w:tcPr>
            <w:tcW w:w="505" w:type="pct"/>
            <w:tcMar>
              <w:top w:w="0" w:type="dxa"/>
              <w:left w:w="108" w:type="dxa"/>
              <w:bottom w:w="0" w:type="dxa"/>
              <w:right w:w="108" w:type="dxa"/>
            </w:tcMar>
            <w:vAlign w:val="center"/>
          </w:tcPr>
          <w:p w14:paraId="24143CF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5</w:t>
            </w:r>
          </w:p>
        </w:tc>
        <w:tc>
          <w:tcPr>
            <w:tcW w:w="1369" w:type="pct"/>
            <w:tcMar>
              <w:top w:w="0" w:type="dxa"/>
              <w:left w:w="108" w:type="dxa"/>
              <w:bottom w:w="0" w:type="dxa"/>
              <w:right w:w="108" w:type="dxa"/>
            </w:tcMar>
            <w:vAlign w:val="center"/>
          </w:tcPr>
          <w:p w14:paraId="3772A8B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武汉国创创新投资有限公司</w:t>
            </w:r>
          </w:p>
        </w:tc>
        <w:tc>
          <w:tcPr>
            <w:tcW w:w="849" w:type="pct"/>
            <w:tcMar>
              <w:top w:w="0" w:type="dxa"/>
              <w:left w:w="108" w:type="dxa"/>
              <w:bottom w:w="0" w:type="dxa"/>
              <w:right w:w="108" w:type="dxa"/>
            </w:tcMar>
            <w:vAlign w:val="center"/>
          </w:tcPr>
          <w:p w14:paraId="44BF530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有限合伙人</w:t>
            </w:r>
          </w:p>
        </w:tc>
        <w:tc>
          <w:tcPr>
            <w:tcW w:w="1123" w:type="pct"/>
            <w:tcMar>
              <w:top w:w="0" w:type="dxa"/>
              <w:left w:w="108" w:type="dxa"/>
              <w:bottom w:w="0" w:type="dxa"/>
              <w:right w:w="108" w:type="dxa"/>
            </w:tcMar>
            <w:vAlign w:val="center"/>
          </w:tcPr>
          <w:p w14:paraId="7AE1894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w:t>
            </w:r>
          </w:p>
        </w:tc>
        <w:tc>
          <w:tcPr>
            <w:tcW w:w="1155" w:type="pct"/>
            <w:tcMar>
              <w:top w:w="0" w:type="dxa"/>
              <w:left w:w="108" w:type="dxa"/>
              <w:bottom w:w="0" w:type="dxa"/>
              <w:right w:w="108" w:type="dxa"/>
            </w:tcMar>
            <w:vAlign w:val="center"/>
          </w:tcPr>
          <w:p w14:paraId="395DA45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w:t>
            </w:r>
          </w:p>
        </w:tc>
      </w:tr>
      <w:tr w:rsidR="006416B0" w:rsidRPr="00B4515A" w14:paraId="4AAB5629" w14:textId="77777777" w:rsidTr="00031627">
        <w:trPr>
          <w:trHeight w:val="340"/>
          <w:jc w:val="center"/>
        </w:trPr>
        <w:tc>
          <w:tcPr>
            <w:tcW w:w="2722" w:type="pct"/>
            <w:gridSpan w:val="3"/>
            <w:tcMar>
              <w:top w:w="0" w:type="dxa"/>
              <w:left w:w="108" w:type="dxa"/>
              <w:bottom w:w="0" w:type="dxa"/>
              <w:right w:w="108" w:type="dxa"/>
            </w:tcMar>
            <w:vAlign w:val="center"/>
          </w:tcPr>
          <w:p w14:paraId="7DDB3DE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合计</w:t>
            </w:r>
          </w:p>
        </w:tc>
        <w:tc>
          <w:tcPr>
            <w:tcW w:w="1123" w:type="pct"/>
            <w:tcMar>
              <w:top w:w="0" w:type="dxa"/>
              <w:left w:w="108" w:type="dxa"/>
              <w:bottom w:w="0" w:type="dxa"/>
              <w:right w:w="108" w:type="dxa"/>
            </w:tcMar>
            <w:vAlign w:val="center"/>
          </w:tcPr>
          <w:p w14:paraId="5EE2260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500,000.00</w:t>
            </w:r>
          </w:p>
        </w:tc>
        <w:tc>
          <w:tcPr>
            <w:tcW w:w="1155" w:type="pct"/>
            <w:tcMar>
              <w:top w:w="0" w:type="dxa"/>
              <w:left w:w="108" w:type="dxa"/>
              <w:bottom w:w="0" w:type="dxa"/>
              <w:right w:w="108" w:type="dxa"/>
            </w:tcMar>
            <w:vAlign w:val="center"/>
          </w:tcPr>
          <w:p w14:paraId="24D9981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b/>
                <w:sz w:val="21"/>
                <w:szCs w:val="21"/>
              </w:rPr>
              <w:t>100.00</w:t>
            </w:r>
          </w:p>
        </w:tc>
      </w:tr>
    </w:tbl>
    <w:p w14:paraId="2A152D26" w14:textId="77777777" w:rsidR="006416B0" w:rsidRPr="00B4515A" w:rsidRDefault="005E58C1" w:rsidP="005860B4">
      <w:pPr>
        <w:pStyle w:val="004"/>
        <w:spacing w:before="120" w:after="120"/>
        <w:ind w:firstLine="482"/>
      </w:pPr>
      <w:r w:rsidRPr="00B4515A">
        <w:t>3</w:t>
      </w:r>
      <w:r w:rsidRPr="00B4515A">
        <w:rPr>
          <w:rFonts w:hint="eastAsia"/>
        </w:rPr>
        <w:t>、最近三年注册资本变化情况</w:t>
      </w:r>
    </w:p>
    <w:p w14:paraId="0971E4DF" w14:textId="036B8530" w:rsidR="006416B0" w:rsidRPr="00B4515A" w:rsidRDefault="005E58C1" w:rsidP="005860B4">
      <w:pPr>
        <w:pStyle w:val="005"/>
        <w:spacing w:before="120" w:after="120"/>
        <w:ind w:firstLine="480"/>
        <w:rPr>
          <w:b/>
        </w:rPr>
      </w:pPr>
      <w:r w:rsidRPr="00B4515A">
        <w:rPr>
          <w:rFonts w:hint="eastAsia"/>
        </w:rPr>
        <w:t>截至本报告书签署日，最近三年</w:t>
      </w:r>
      <w:r w:rsidR="00252376" w:rsidRPr="00B4515A">
        <w:rPr>
          <w:rFonts w:hint="eastAsia"/>
        </w:rPr>
        <w:t>长江移动基金</w:t>
      </w:r>
      <w:r w:rsidRPr="00B4515A">
        <w:rPr>
          <w:rFonts w:hint="eastAsia"/>
        </w:rPr>
        <w:t>注册资本未发生变化。</w:t>
      </w:r>
    </w:p>
    <w:p w14:paraId="7165FF39" w14:textId="77777777" w:rsidR="006416B0" w:rsidRPr="00B4515A" w:rsidRDefault="005E58C1" w:rsidP="005860B4">
      <w:pPr>
        <w:pStyle w:val="004"/>
        <w:spacing w:before="120" w:after="120"/>
        <w:ind w:firstLine="482"/>
      </w:pPr>
      <w:r w:rsidRPr="00B4515A">
        <w:t>4</w:t>
      </w:r>
      <w:r w:rsidRPr="00B4515A">
        <w:rPr>
          <w:rFonts w:hint="eastAsia"/>
        </w:rPr>
        <w:t>、产权控制关系</w:t>
      </w:r>
    </w:p>
    <w:p w14:paraId="70FD2118" w14:textId="4EE144DC" w:rsidR="006416B0" w:rsidRPr="00B4515A" w:rsidRDefault="005E58C1" w:rsidP="005860B4">
      <w:pPr>
        <w:pStyle w:val="005"/>
        <w:spacing w:before="120" w:after="120"/>
        <w:ind w:firstLine="480"/>
      </w:pPr>
      <w:r w:rsidRPr="00B4515A">
        <w:rPr>
          <w:rFonts w:hint="eastAsia"/>
        </w:rPr>
        <w:t>截至本报告书签署日，</w:t>
      </w:r>
      <w:r w:rsidR="00252376" w:rsidRPr="00B4515A">
        <w:rPr>
          <w:rFonts w:hint="eastAsia"/>
        </w:rPr>
        <w:t>长江移动基金</w:t>
      </w:r>
      <w:r w:rsidRPr="00B4515A">
        <w:rPr>
          <w:rFonts w:hint="eastAsia"/>
        </w:rPr>
        <w:t>的产权控制关系如下：</w:t>
      </w:r>
      <w:r w:rsidRPr="00B4515A">
        <w:t xml:space="preserve"> </w:t>
      </w:r>
    </w:p>
    <w:p w14:paraId="39EB8B6F" w14:textId="331B99E1" w:rsidR="006416B0" w:rsidRPr="00B4515A" w:rsidRDefault="0057065A">
      <w:pPr>
        <w:spacing w:line="360" w:lineRule="auto"/>
        <w:ind w:firstLineChars="200" w:firstLine="480"/>
      </w:pPr>
      <w:r w:rsidRPr="00B4515A">
        <w:rPr>
          <w:noProof/>
        </w:rPr>
        <w:drawing>
          <wp:inline distT="0" distB="0" distL="0" distR="0" wp14:anchorId="5F84DBB0" wp14:editId="1F5A4CDF">
            <wp:extent cx="5250180" cy="309816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0180" cy="3098165"/>
                    </a:xfrm>
                    <a:prstGeom prst="rect">
                      <a:avLst/>
                    </a:prstGeom>
                  </pic:spPr>
                </pic:pic>
              </a:graphicData>
            </a:graphic>
          </wp:inline>
        </w:drawing>
      </w:r>
    </w:p>
    <w:p w14:paraId="1C50E297" w14:textId="77777777" w:rsidR="006416B0" w:rsidRPr="00B4515A" w:rsidRDefault="005E58C1" w:rsidP="005860B4">
      <w:pPr>
        <w:pStyle w:val="004"/>
        <w:spacing w:before="120" w:after="120"/>
        <w:ind w:firstLine="482"/>
      </w:pPr>
      <w:r w:rsidRPr="00B4515A">
        <w:t>5</w:t>
      </w:r>
      <w:r w:rsidRPr="00B4515A">
        <w:rPr>
          <w:rFonts w:hint="eastAsia"/>
        </w:rPr>
        <w:t>、执行事务合伙人</w:t>
      </w:r>
    </w:p>
    <w:p w14:paraId="66117659" w14:textId="07B623C1" w:rsidR="006416B0" w:rsidRPr="00B4515A" w:rsidRDefault="005E58C1" w:rsidP="005860B4">
      <w:pPr>
        <w:pStyle w:val="005"/>
        <w:spacing w:before="120" w:after="120"/>
        <w:ind w:firstLine="480"/>
      </w:pPr>
      <w:r w:rsidRPr="00B4515A">
        <w:rPr>
          <w:rFonts w:hint="eastAsia"/>
        </w:rPr>
        <w:t>截至本报告书签署日，</w:t>
      </w:r>
      <w:r w:rsidR="00252376" w:rsidRPr="00B4515A">
        <w:rPr>
          <w:rFonts w:hint="eastAsia"/>
        </w:rPr>
        <w:t>长江移动基金</w:t>
      </w:r>
      <w:r w:rsidRPr="00B4515A">
        <w:rPr>
          <w:rFonts w:hint="eastAsia"/>
        </w:rPr>
        <w:t>的执行事务合伙人为烽火投资，烽火投资的基本情况如下：</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5"/>
        <w:gridCol w:w="6133"/>
      </w:tblGrid>
      <w:tr w:rsidR="006416B0" w:rsidRPr="00B4515A" w14:paraId="3FAB50F5"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46F616B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公司名称</w:t>
            </w:r>
          </w:p>
        </w:tc>
        <w:tc>
          <w:tcPr>
            <w:tcW w:w="6116" w:type="dxa"/>
            <w:shd w:val="clear" w:color="auto" w:fill="auto"/>
            <w:tcMar>
              <w:top w:w="0" w:type="dxa"/>
              <w:left w:w="108" w:type="dxa"/>
              <w:bottom w:w="0" w:type="dxa"/>
              <w:right w:w="108" w:type="dxa"/>
            </w:tcMar>
            <w:vAlign w:val="center"/>
          </w:tcPr>
          <w:p w14:paraId="69D230E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武汉光谷烽火投资基金管理有限公司</w:t>
            </w:r>
          </w:p>
        </w:tc>
      </w:tr>
      <w:tr w:rsidR="006416B0" w:rsidRPr="00B4515A" w14:paraId="4D012F13"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A4D999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企业类型</w:t>
            </w:r>
          </w:p>
        </w:tc>
        <w:tc>
          <w:tcPr>
            <w:tcW w:w="6116" w:type="dxa"/>
            <w:shd w:val="clear" w:color="auto" w:fill="auto"/>
            <w:tcMar>
              <w:top w:w="0" w:type="dxa"/>
              <w:left w:w="108" w:type="dxa"/>
              <w:bottom w:w="0" w:type="dxa"/>
              <w:right w:w="108" w:type="dxa"/>
            </w:tcMar>
            <w:vAlign w:val="center"/>
          </w:tcPr>
          <w:p w14:paraId="7E097CAF" w14:textId="77777777" w:rsidR="006416B0" w:rsidRPr="00B4515A" w:rsidRDefault="005E58C1" w:rsidP="005860B4">
            <w:pPr>
              <w:adjustRightInd w:val="0"/>
              <w:snapToGrid w:val="0"/>
              <w:rPr>
                <w:rFonts w:ascii="Times New Roman" w:hAnsi="Times New Roman" w:cs="Times New Roman"/>
                <w:bCs/>
                <w:sz w:val="21"/>
                <w:szCs w:val="21"/>
              </w:rPr>
            </w:pPr>
            <w:r w:rsidRPr="00B4515A">
              <w:rPr>
                <w:rFonts w:ascii="Times New Roman" w:hAnsi="Times New Roman" w:cs="Times New Roman" w:hint="eastAsia"/>
                <w:bCs/>
                <w:sz w:val="21"/>
                <w:szCs w:val="21"/>
              </w:rPr>
              <w:t>其他有限责任公司</w:t>
            </w:r>
          </w:p>
        </w:tc>
      </w:tr>
      <w:tr w:rsidR="006416B0" w:rsidRPr="00B4515A" w14:paraId="4569230C"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4177BC2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注册地址</w:t>
            </w:r>
          </w:p>
        </w:tc>
        <w:tc>
          <w:tcPr>
            <w:tcW w:w="6116" w:type="dxa"/>
            <w:shd w:val="clear" w:color="auto" w:fill="auto"/>
            <w:tcMar>
              <w:top w:w="0" w:type="dxa"/>
              <w:left w:w="108" w:type="dxa"/>
              <w:bottom w:w="0" w:type="dxa"/>
              <w:right w:w="108" w:type="dxa"/>
            </w:tcMar>
            <w:vAlign w:val="center"/>
          </w:tcPr>
          <w:p w14:paraId="2979EC4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武汉市东湖开发区邮科院路</w:t>
            </w:r>
            <w:r w:rsidRPr="00B4515A">
              <w:rPr>
                <w:rFonts w:ascii="Times New Roman" w:hAnsi="Times New Roman" w:cs="Times New Roman" w:hint="eastAsia"/>
                <w:sz w:val="21"/>
                <w:szCs w:val="21"/>
              </w:rPr>
              <w:t>88</w:t>
            </w:r>
            <w:r w:rsidRPr="00B4515A">
              <w:rPr>
                <w:rFonts w:ascii="Times New Roman" w:hAnsi="Times New Roman" w:cs="Times New Roman" w:hint="eastAsia"/>
                <w:sz w:val="21"/>
                <w:szCs w:val="21"/>
              </w:rPr>
              <w:t>号烽火科技大厦四层</w:t>
            </w:r>
          </w:p>
        </w:tc>
      </w:tr>
      <w:tr w:rsidR="006416B0" w:rsidRPr="00B4515A" w14:paraId="607819F4"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6D726E5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主要办公地址</w:t>
            </w:r>
          </w:p>
        </w:tc>
        <w:tc>
          <w:tcPr>
            <w:tcW w:w="6116" w:type="dxa"/>
            <w:shd w:val="clear" w:color="auto" w:fill="auto"/>
            <w:tcMar>
              <w:top w:w="0" w:type="dxa"/>
              <w:left w:w="108" w:type="dxa"/>
              <w:bottom w:w="0" w:type="dxa"/>
              <w:right w:w="108" w:type="dxa"/>
            </w:tcMar>
            <w:vAlign w:val="center"/>
          </w:tcPr>
          <w:p w14:paraId="5A00819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武汉市东湖高新区高新四路烽火研发中心</w:t>
            </w:r>
          </w:p>
        </w:tc>
      </w:tr>
      <w:tr w:rsidR="006416B0" w:rsidRPr="00B4515A" w14:paraId="3F1DDB13"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7A8883E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法定代表人</w:t>
            </w:r>
          </w:p>
        </w:tc>
        <w:tc>
          <w:tcPr>
            <w:tcW w:w="6116" w:type="dxa"/>
            <w:shd w:val="clear" w:color="auto" w:fill="auto"/>
            <w:tcMar>
              <w:top w:w="0" w:type="dxa"/>
              <w:left w:w="108" w:type="dxa"/>
              <w:bottom w:w="0" w:type="dxa"/>
              <w:right w:w="108" w:type="dxa"/>
            </w:tcMar>
            <w:vAlign w:val="center"/>
          </w:tcPr>
          <w:p w14:paraId="6238FBB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陈建华</w:t>
            </w:r>
          </w:p>
        </w:tc>
      </w:tr>
      <w:tr w:rsidR="006416B0" w:rsidRPr="00B4515A" w14:paraId="1ED009A3"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776A2CD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注册资本</w:t>
            </w:r>
          </w:p>
        </w:tc>
        <w:tc>
          <w:tcPr>
            <w:tcW w:w="6116" w:type="dxa"/>
            <w:shd w:val="clear" w:color="auto" w:fill="auto"/>
            <w:tcMar>
              <w:top w:w="0" w:type="dxa"/>
              <w:left w:w="108" w:type="dxa"/>
              <w:bottom w:w="0" w:type="dxa"/>
              <w:right w:w="108" w:type="dxa"/>
            </w:tcMar>
            <w:vAlign w:val="center"/>
          </w:tcPr>
          <w:p w14:paraId="3F46EBC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人民币</w:t>
            </w:r>
            <w:r w:rsidRPr="00B4515A">
              <w:rPr>
                <w:rFonts w:ascii="Times New Roman" w:hAnsi="Times New Roman" w:cs="Times New Roman"/>
                <w:sz w:val="21"/>
                <w:szCs w:val="21"/>
              </w:rPr>
              <w:t>10,000</w:t>
            </w:r>
            <w:r w:rsidRPr="00B4515A">
              <w:rPr>
                <w:rFonts w:ascii="Times New Roman" w:hAnsi="Times New Roman" w:cs="Times New Roman" w:hint="eastAsia"/>
                <w:sz w:val="21"/>
                <w:szCs w:val="21"/>
              </w:rPr>
              <w:t>万元</w:t>
            </w:r>
          </w:p>
        </w:tc>
      </w:tr>
      <w:tr w:rsidR="006416B0" w:rsidRPr="00B4515A" w14:paraId="7BFFBF35"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E0E6B9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lastRenderedPageBreak/>
              <w:t>统一社会信用代码</w:t>
            </w:r>
          </w:p>
        </w:tc>
        <w:tc>
          <w:tcPr>
            <w:tcW w:w="6116" w:type="dxa"/>
            <w:shd w:val="clear" w:color="auto" w:fill="auto"/>
            <w:tcMar>
              <w:top w:w="0" w:type="dxa"/>
              <w:left w:w="108" w:type="dxa"/>
              <w:bottom w:w="0" w:type="dxa"/>
              <w:right w:w="108" w:type="dxa"/>
            </w:tcMar>
            <w:vAlign w:val="center"/>
          </w:tcPr>
          <w:p w14:paraId="7A431EC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91420100MA4KMKFQ52</w:t>
            </w:r>
          </w:p>
        </w:tc>
      </w:tr>
      <w:tr w:rsidR="006416B0" w:rsidRPr="00B4515A" w14:paraId="7A3D9B58"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1D57401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经营范围</w:t>
            </w:r>
          </w:p>
        </w:tc>
        <w:tc>
          <w:tcPr>
            <w:tcW w:w="6116" w:type="dxa"/>
            <w:shd w:val="clear" w:color="auto" w:fill="auto"/>
            <w:tcMar>
              <w:top w:w="0" w:type="dxa"/>
              <w:left w:w="108" w:type="dxa"/>
              <w:bottom w:w="0" w:type="dxa"/>
              <w:right w:w="108" w:type="dxa"/>
            </w:tcMar>
            <w:vAlign w:val="center"/>
          </w:tcPr>
          <w:p w14:paraId="3742016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管理或受托管理股权类投资并从事相关咨询服务业务（不含国家法律法规、国务院决定限制和禁止的项目；不得以任何方式公开募集和发行基金）（不得从事吸收公众存款或变相吸收公众存款，不得从事发放贷款等金融业务</w:t>
            </w:r>
            <w:r w:rsidRPr="00B4515A">
              <w:rPr>
                <w:rFonts w:ascii="Times New Roman" w:hAnsi="Times New Roman" w:cs="Times New Roman" w:hint="eastAsia"/>
                <w:sz w:val="21"/>
                <w:szCs w:val="21"/>
              </w:rPr>
              <w:t>)</w:t>
            </w:r>
            <w:r w:rsidRPr="00B4515A">
              <w:rPr>
                <w:rFonts w:ascii="Times New Roman" w:hAnsi="Times New Roman" w:cs="Times New Roman" w:hint="eastAsia"/>
                <w:sz w:val="21"/>
                <w:szCs w:val="21"/>
              </w:rPr>
              <w:t>。（依法须经审批的项目，经相关部门审批后方可开展经营活动）</w:t>
            </w:r>
          </w:p>
        </w:tc>
      </w:tr>
      <w:tr w:rsidR="006416B0" w:rsidRPr="00B4515A" w14:paraId="5FBDB202"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87D7CA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成立日期</w:t>
            </w:r>
          </w:p>
        </w:tc>
        <w:tc>
          <w:tcPr>
            <w:tcW w:w="6116" w:type="dxa"/>
            <w:shd w:val="clear" w:color="auto" w:fill="auto"/>
            <w:tcMar>
              <w:top w:w="0" w:type="dxa"/>
              <w:left w:w="108" w:type="dxa"/>
              <w:bottom w:w="0" w:type="dxa"/>
              <w:right w:w="108" w:type="dxa"/>
            </w:tcMar>
            <w:vAlign w:val="center"/>
          </w:tcPr>
          <w:p w14:paraId="7122D12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2016</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5</w:t>
            </w:r>
            <w:r w:rsidRPr="00B4515A">
              <w:rPr>
                <w:rFonts w:ascii="Times New Roman" w:hAnsi="Times New Roman" w:cs="Times New Roman" w:hint="eastAsia"/>
                <w:sz w:val="21"/>
                <w:szCs w:val="21"/>
              </w:rPr>
              <w:t>月</w:t>
            </w:r>
            <w:r w:rsidRPr="00B4515A">
              <w:rPr>
                <w:rFonts w:ascii="Times New Roman" w:hAnsi="Times New Roman" w:cs="Times New Roman"/>
                <w:sz w:val="21"/>
                <w:szCs w:val="21"/>
              </w:rPr>
              <w:t>11</w:t>
            </w:r>
            <w:r w:rsidRPr="00B4515A">
              <w:rPr>
                <w:rFonts w:ascii="Times New Roman" w:hAnsi="Times New Roman" w:cs="Times New Roman" w:hint="eastAsia"/>
                <w:sz w:val="21"/>
                <w:szCs w:val="21"/>
              </w:rPr>
              <w:t>日</w:t>
            </w:r>
          </w:p>
        </w:tc>
      </w:tr>
    </w:tbl>
    <w:p w14:paraId="0B62DA76" w14:textId="77777777" w:rsidR="006416B0" w:rsidRPr="00B4515A" w:rsidRDefault="005E58C1" w:rsidP="005860B4">
      <w:pPr>
        <w:pStyle w:val="005"/>
        <w:spacing w:before="120" w:after="120"/>
        <w:ind w:firstLine="480"/>
      </w:pPr>
      <w:r w:rsidRPr="00B4515A">
        <w:rPr>
          <w:rFonts w:hint="eastAsia"/>
        </w:rPr>
        <w:t>2017</w:t>
      </w:r>
      <w:r w:rsidRPr="00B4515A">
        <w:rPr>
          <w:rFonts w:hint="eastAsia"/>
        </w:rPr>
        <w:t>年</w:t>
      </w:r>
      <w:r w:rsidRPr="00B4515A">
        <w:t>11</w:t>
      </w:r>
      <w:r w:rsidRPr="00B4515A">
        <w:rPr>
          <w:rFonts w:hint="eastAsia"/>
        </w:rPr>
        <w:t>月</w:t>
      </w:r>
      <w:r w:rsidRPr="00B4515A">
        <w:rPr>
          <w:rFonts w:hint="eastAsia"/>
        </w:rPr>
        <w:t>2</w:t>
      </w:r>
      <w:r w:rsidRPr="00B4515A">
        <w:t>1</w:t>
      </w:r>
      <w:r w:rsidRPr="00B4515A">
        <w:rPr>
          <w:rFonts w:hint="eastAsia"/>
        </w:rPr>
        <w:t>日，烽火投资在基金业协会进行了私募基金管理人登记，登记编号为</w:t>
      </w:r>
      <w:r w:rsidRPr="00B4515A">
        <w:t>P1065947</w:t>
      </w:r>
      <w:r w:rsidRPr="00B4515A">
        <w:rPr>
          <w:rFonts w:hint="eastAsia"/>
        </w:rPr>
        <w:t>。</w:t>
      </w:r>
    </w:p>
    <w:p w14:paraId="6A638B46" w14:textId="77777777" w:rsidR="006416B0" w:rsidRPr="00B4515A" w:rsidRDefault="005E58C1" w:rsidP="005860B4">
      <w:pPr>
        <w:pStyle w:val="004"/>
        <w:spacing w:before="120" w:after="120"/>
        <w:ind w:firstLine="482"/>
      </w:pPr>
      <w:r w:rsidRPr="00B4515A">
        <w:t>6</w:t>
      </w:r>
      <w:r w:rsidRPr="00B4515A">
        <w:rPr>
          <w:rFonts w:hint="eastAsia"/>
        </w:rPr>
        <w:t>、最近三年主要业务发展情况</w:t>
      </w:r>
    </w:p>
    <w:p w14:paraId="07E2F54B" w14:textId="7186662C" w:rsidR="006416B0" w:rsidRPr="00B4515A" w:rsidRDefault="00252376" w:rsidP="005860B4">
      <w:pPr>
        <w:pStyle w:val="005"/>
        <w:spacing w:before="120" w:after="120"/>
        <w:ind w:firstLine="480"/>
      </w:pPr>
      <w:r w:rsidRPr="00B4515A">
        <w:rPr>
          <w:rFonts w:eastAsiaTheme="minorEastAsia" w:hint="eastAsia"/>
        </w:rPr>
        <w:t>长江移动基金</w:t>
      </w:r>
      <w:r w:rsidR="005E58C1" w:rsidRPr="00B4515A">
        <w:rPr>
          <w:rFonts w:eastAsiaTheme="minorEastAsia" w:hint="eastAsia"/>
        </w:rPr>
        <w:t>的主营业务为</w:t>
      </w:r>
      <w:r w:rsidR="005E58C1" w:rsidRPr="00B4515A">
        <w:t>从事信息通信技术相关领域的股权投资、投资咨询业务及创业管理服务业务</w:t>
      </w:r>
      <w:r w:rsidR="005E58C1" w:rsidRPr="00B4515A">
        <w:rPr>
          <w:rFonts w:hint="eastAsia"/>
        </w:rPr>
        <w:t>。</w:t>
      </w:r>
    </w:p>
    <w:p w14:paraId="28E8F133" w14:textId="4C0A95A1" w:rsidR="006416B0" w:rsidRPr="00B4515A" w:rsidRDefault="00252376" w:rsidP="005860B4">
      <w:pPr>
        <w:pStyle w:val="005"/>
        <w:spacing w:before="120" w:after="120"/>
        <w:ind w:firstLine="480"/>
      </w:pPr>
      <w:r w:rsidRPr="00B4515A">
        <w:rPr>
          <w:rFonts w:eastAsiaTheme="minorEastAsia" w:hint="eastAsia"/>
        </w:rPr>
        <w:t>长江移动基金</w:t>
      </w:r>
      <w:r w:rsidR="005E58C1" w:rsidRPr="00B4515A">
        <w:rPr>
          <w:rFonts w:hint="eastAsia"/>
        </w:rPr>
        <w:t>为经中国证券投资基金业协会备案的私募投资基金，基金编号为</w:t>
      </w:r>
      <w:r w:rsidR="005E58C1" w:rsidRPr="00B4515A">
        <w:rPr>
          <w:rFonts w:hint="eastAsia"/>
        </w:rPr>
        <w:t>SJM</w:t>
      </w:r>
      <w:r w:rsidR="005E58C1" w:rsidRPr="00B4515A">
        <w:t>005</w:t>
      </w:r>
      <w:r w:rsidR="005E58C1" w:rsidRPr="00B4515A">
        <w:rPr>
          <w:rFonts w:hint="eastAsia"/>
        </w:rPr>
        <w:t>。</w:t>
      </w:r>
    </w:p>
    <w:p w14:paraId="0B79F8CA" w14:textId="77777777" w:rsidR="006416B0" w:rsidRPr="00B4515A" w:rsidRDefault="005E58C1" w:rsidP="005860B4">
      <w:pPr>
        <w:pStyle w:val="004"/>
        <w:spacing w:before="120" w:after="120"/>
        <w:ind w:firstLine="482"/>
      </w:pPr>
      <w:r w:rsidRPr="00B4515A">
        <w:t>7</w:t>
      </w:r>
      <w:r w:rsidRPr="00B4515A">
        <w:rPr>
          <w:rFonts w:hint="eastAsia"/>
        </w:rPr>
        <w:t>、主要财务数据及财务指标</w:t>
      </w:r>
    </w:p>
    <w:p w14:paraId="614A06E4" w14:textId="4D1B0DD7" w:rsidR="006416B0" w:rsidRPr="00B4515A" w:rsidRDefault="00252376" w:rsidP="005860B4">
      <w:pPr>
        <w:pStyle w:val="005"/>
        <w:spacing w:before="120" w:after="120"/>
        <w:ind w:firstLine="480"/>
      </w:pPr>
      <w:r w:rsidRPr="00B4515A">
        <w:rPr>
          <w:rFonts w:hint="eastAsia"/>
        </w:rPr>
        <w:t>长江移动基金</w:t>
      </w:r>
      <w:r w:rsidR="005E58C1" w:rsidRPr="00B4515A">
        <w:rPr>
          <w:rFonts w:hint="eastAsia"/>
        </w:rPr>
        <w:t>最近两年主要财务数据如下：</w:t>
      </w:r>
    </w:p>
    <w:p w14:paraId="6FF74ACB" w14:textId="77777777" w:rsidR="006416B0" w:rsidRPr="00B4515A" w:rsidRDefault="005E58C1" w:rsidP="005860B4">
      <w:pPr>
        <w:pStyle w:val="009"/>
      </w:pPr>
      <w:r w:rsidRPr="00B4515A">
        <w:t>单位：万元</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084"/>
        <w:gridCol w:w="3222"/>
        <w:gridCol w:w="3222"/>
      </w:tblGrid>
      <w:tr w:rsidR="006416B0" w:rsidRPr="00B4515A" w14:paraId="07B93DFF"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7CFD322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项目</w:t>
            </w:r>
          </w:p>
        </w:tc>
        <w:tc>
          <w:tcPr>
            <w:tcW w:w="3091" w:type="dxa"/>
            <w:tcMar>
              <w:top w:w="0" w:type="dxa"/>
              <w:left w:w="108" w:type="dxa"/>
              <w:bottom w:w="0" w:type="dxa"/>
              <w:right w:w="108" w:type="dxa"/>
            </w:tcMar>
            <w:vAlign w:val="center"/>
          </w:tcPr>
          <w:p w14:paraId="1879C4EF"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2020</w:t>
            </w:r>
            <w:r w:rsidRPr="00B4515A">
              <w:rPr>
                <w:rFonts w:ascii="Times New Roman" w:hAnsi="Times New Roman" w:cs="Times New Roman"/>
                <w:b/>
                <w:sz w:val="21"/>
                <w:szCs w:val="21"/>
              </w:rPr>
              <w:t>年</w:t>
            </w:r>
            <w:r w:rsidRPr="00B4515A">
              <w:rPr>
                <w:rFonts w:ascii="Times New Roman" w:hAnsi="Times New Roman" w:cs="Times New Roman"/>
                <w:b/>
                <w:sz w:val="21"/>
                <w:szCs w:val="21"/>
              </w:rPr>
              <w:t>12</w:t>
            </w:r>
            <w:r w:rsidRPr="00B4515A">
              <w:rPr>
                <w:rFonts w:ascii="Times New Roman" w:hAnsi="Times New Roman" w:cs="Times New Roman"/>
                <w:b/>
                <w:sz w:val="21"/>
                <w:szCs w:val="21"/>
              </w:rPr>
              <w:t>月</w:t>
            </w:r>
            <w:r w:rsidRPr="00B4515A">
              <w:rPr>
                <w:rFonts w:ascii="Times New Roman" w:hAnsi="Times New Roman" w:cs="Times New Roman"/>
                <w:b/>
                <w:sz w:val="21"/>
                <w:szCs w:val="21"/>
              </w:rPr>
              <w:t>31</w:t>
            </w:r>
            <w:r w:rsidRPr="00B4515A">
              <w:rPr>
                <w:rFonts w:ascii="Times New Roman" w:hAnsi="Times New Roman" w:cs="Times New Roman"/>
                <w:b/>
                <w:sz w:val="21"/>
                <w:szCs w:val="21"/>
              </w:rPr>
              <w:t>日</w:t>
            </w:r>
          </w:p>
        </w:tc>
        <w:tc>
          <w:tcPr>
            <w:tcW w:w="3091" w:type="dxa"/>
            <w:shd w:val="clear" w:color="auto" w:fill="auto"/>
            <w:tcMar>
              <w:top w:w="0" w:type="dxa"/>
              <w:left w:w="108" w:type="dxa"/>
              <w:bottom w:w="0" w:type="dxa"/>
              <w:right w:w="108" w:type="dxa"/>
            </w:tcMar>
            <w:vAlign w:val="center"/>
          </w:tcPr>
          <w:p w14:paraId="1284B24F"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sz w:val="21"/>
                <w:szCs w:val="21"/>
              </w:rPr>
              <w:t>2019</w:t>
            </w:r>
            <w:r w:rsidRPr="00B4515A">
              <w:rPr>
                <w:rFonts w:ascii="Times New Roman" w:hAnsi="Times New Roman" w:cs="Times New Roman"/>
                <w:b/>
                <w:sz w:val="21"/>
                <w:szCs w:val="21"/>
              </w:rPr>
              <w:t>年</w:t>
            </w:r>
            <w:r w:rsidRPr="00B4515A">
              <w:rPr>
                <w:rFonts w:ascii="Times New Roman" w:hAnsi="Times New Roman" w:cs="Times New Roman"/>
                <w:b/>
                <w:sz w:val="21"/>
                <w:szCs w:val="21"/>
              </w:rPr>
              <w:t>12</w:t>
            </w:r>
            <w:r w:rsidRPr="00B4515A">
              <w:rPr>
                <w:rFonts w:ascii="Times New Roman" w:hAnsi="Times New Roman" w:cs="Times New Roman"/>
                <w:b/>
                <w:sz w:val="21"/>
                <w:szCs w:val="21"/>
              </w:rPr>
              <w:t>月</w:t>
            </w:r>
            <w:r w:rsidRPr="00B4515A">
              <w:rPr>
                <w:rFonts w:ascii="Times New Roman" w:hAnsi="Times New Roman" w:cs="Times New Roman"/>
                <w:b/>
                <w:sz w:val="21"/>
                <w:szCs w:val="21"/>
              </w:rPr>
              <w:t>31</w:t>
            </w:r>
            <w:r w:rsidRPr="00B4515A">
              <w:rPr>
                <w:rFonts w:ascii="Times New Roman" w:hAnsi="Times New Roman" w:cs="Times New Roman"/>
                <w:b/>
                <w:sz w:val="21"/>
                <w:szCs w:val="21"/>
              </w:rPr>
              <w:t>日</w:t>
            </w:r>
          </w:p>
        </w:tc>
      </w:tr>
      <w:tr w:rsidR="006416B0" w:rsidRPr="00B4515A" w14:paraId="2AF437C7"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688C031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资产总计</w:t>
            </w:r>
          </w:p>
        </w:tc>
        <w:tc>
          <w:tcPr>
            <w:tcW w:w="3091" w:type="dxa"/>
            <w:tcMar>
              <w:top w:w="0" w:type="dxa"/>
              <w:left w:w="108" w:type="dxa"/>
              <w:bottom w:w="0" w:type="dxa"/>
              <w:right w:w="108" w:type="dxa"/>
            </w:tcMar>
            <w:vAlign w:val="center"/>
          </w:tcPr>
          <w:p w14:paraId="5E5EECE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3</w:t>
            </w:r>
            <w:r w:rsidRPr="00B4515A">
              <w:rPr>
                <w:rFonts w:ascii="Times New Roman" w:hAnsi="Times New Roman" w:cs="Times New Roman"/>
                <w:color w:val="000000"/>
                <w:sz w:val="21"/>
                <w:szCs w:val="21"/>
              </w:rPr>
              <w:t>13,918.17</w:t>
            </w:r>
          </w:p>
        </w:tc>
        <w:tc>
          <w:tcPr>
            <w:tcW w:w="3091" w:type="dxa"/>
            <w:shd w:val="clear" w:color="auto" w:fill="auto"/>
            <w:tcMar>
              <w:top w:w="0" w:type="dxa"/>
              <w:left w:w="108" w:type="dxa"/>
              <w:bottom w:w="0" w:type="dxa"/>
              <w:right w:w="108" w:type="dxa"/>
            </w:tcMar>
            <w:vAlign w:val="center"/>
          </w:tcPr>
          <w:p w14:paraId="7AB2730A"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color w:val="000000"/>
                <w:sz w:val="21"/>
                <w:szCs w:val="21"/>
              </w:rPr>
              <w:t>280,208.71</w:t>
            </w:r>
          </w:p>
        </w:tc>
      </w:tr>
      <w:tr w:rsidR="006416B0" w:rsidRPr="00B4515A" w14:paraId="22578464"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760C8B8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负债总计</w:t>
            </w:r>
          </w:p>
        </w:tc>
        <w:tc>
          <w:tcPr>
            <w:tcW w:w="3091" w:type="dxa"/>
            <w:tcMar>
              <w:top w:w="0" w:type="dxa"/>
              <w:left w:w="108" w:type="dxa"/>
              <w:bottom w:w="0" w:type="dxa"/>
              <w:right w:w="108" w:type="dxa"/>
            </w:tcMar>
            <w:vAlign w:val="center"/>
          </w:tcPr>
          <w:p w14:paraId="5A52C49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0</w:t>
            </w:r>
            <w:r w:rsidRPr="00B4515A">
              <w:rPr>
                <w:rFonts w:ascii="Times New Roman" w:hAnsi="Times New Roman" w:cs="Times New Roman"/>
                <w:color w:val="000000"/>
                <w:sz w:val="21"/>
                <w:szCs w:val="21"/>
              </w:rPr>
              <w:t>.00</w:t>
            </w:r>
          </w:p>
        </w:tc>
        <w:tc>
          <w:tcPr>
            <w:tcW w:w="3091" w:type="dxa"/>
            <w:shd w:val="clear" w:color="auto" w:fill="auto"/>
            <w:tcMar>
              <w:top w:w="0" w:type="dxa"/>
              <w:left w:w="108" w:type="dxa"/>
              <w:bottom w:w="0" w:type="dxa"/>
              <w:right w:w="108" w:type="dxa"/>
            </w:tcMar>
            <w:vAlign w:val="center"/>
          </w:tcPr>
          <w:p w14:paraId="344DA8F5"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color w:val="000000"/>
                <w:sz w:val="21"/>
                <w:szCs w:val="21"/>
              </w:rPr>
              <w:t>0.00</w:t>
            </w:r>
          </w:p>
        </w:tc>
      </w:tr>
      <w:tr w:rsidR="006416B0" w:rsidRPr="00B4515A" w14:paraId="1DD1534F"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127EAB7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所有者权益</w:t>
            </w:r>
          </w:p>
        </w:tc>
        <w:tc>
          <w:tcPr>
            <w:tcW w:w="3091" w:type="dxa"/>
            <w:tcMar>
              <w:top w:w="0" w:type="dxa"/>
              <w:left w:w="108" w:type="dxa"/>
              <w:bottom w:w="0" w:type="dxa"/>
              <w:right w:w="108" w:type="dxa"/>
            </w:tcMar>
            <w:vAlign w:val="center"/>
          </w:tcPr>
          <w:p w14:paraId="20841A5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3</w:t>
            </w:r>
            <w:r w:rsidRPr="00B4515A">
              <w:rPr>
                <w:rFonts w:ascii="Times New Roman" w:hAnsi="Times New Roman" w:cs="Times New Roman"/>
                <w:color w:val="000000"/>
                <w:sz w:val="21"/>
                <w:szCs w:val="21"/>
              </w:rPr>
              <w:t>13,918.17</w:t>
            </w:r>
          </w:p>
        </w:tc>
        <w:tc>
          <w:tcPr>
            <w:tcW w:w="3091" w:type="dxa"/>
            <w:shd w:val="clear" w:color="auto" w:fill="auto"/>
            <w:tcMar>
              <w:top w:w="0" w:type="dxa"/>
              <w:left w:w="108" w:type="dxa"/>
              <w:bottom w:w="0" w:type="dxa"/>
              <w:right w:w="108" w:type="dxa"/>
            </w:tcMar>
            <w:vAlign w:val="center"/>
          </w:tcPr>
          <w:p w14:paraId="06F27078"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color w:val="000000"/>
                <w:sz w:val="21"/>
                <w:szCs w:val="21"/>
              </w:rPr>
              <w:t>280,208.71</w:t>
            </w:r>
          </w:p>
        </w:tc>
      </w:tr>
      <w:tr w:rsidR="006416B0" w:rsidRPr="00B4515A" w14:paraId="401F2C77"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0275BB85"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项目</w:t>
            </w:r>
          </w:p>
        </w:tc>
        <w:tc>
          <w:tcPr>
            <w:tcW w:w="3091" w:type="dxa"/>
            <w:tcMar>
              <w:top w:w="0" w:type="dxa"/>
              <w:left w:w="108" w:type="dxa"/>
              <w:bottom w:w="0" w:type="dxa"/>
              <w:right w:w="108" w:type="dxa"/>
            </w:tcMar>
            <w:vAlign w:val="center"/>
          </w:tcPr>
          <w:p w14:paraId="79A78B2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2020</w:t>
            </w:r>
            <w:r w:rsidRPr="00B4515A">
              <w:rPr>
                <w:rFonts w:ascii="Times New Roman" w:hAnsi="Times New Roman" w:cs="Times New Roman"/>
                <w:b/>
                <w:sz w:val="21"/>
                <w:szCs w:val="21"/>
              </w:rPr>
              <w:t>年度</w:t>
            </w:r>
          </w:p>
        </w:tc>
        <w:tc>
          <w:tcPr>
            <w:tcW w:w="3091" w:type="dxa"/>
            <w:shd w:val="clear" w:color="auto" w:fill="auto"/>
            <w:tcMar>
              <w:top w:w="0" w:type="dxa"/>
              <w:left w:w="108" w:type="dxa"/>
              <w:bottom w:w="0" w:type="dxa"/>
              <w:right w:w="108" w:type="dxa"/>
            </w:tcMar>
            <w:vAlign w:val="center"/>
          </w:tcPr>
          <w:p w14:paraId="2B92F71F"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2019</w:t>
            </w:r>
            <w:r w:rsidRPr="00B4515A">
              <w:rPr>
                <w:rFonts w:ascii="Times New Roman" w:hAnsi="Times New Roman" w:cs="Times New Roman"/>
                <w:b/>
                <w:sz w:val="21"/>
                <w:szCs w:val="21"/>
              </w:rPr>
              <w:t>年度</w:t>
            </w:r>
          </w:p>
        </w:tc>
      </w:tr>
      <w:tr w:rsidR="006416B0" w:rsidRPr="00B4515A" w14:paraId="141A16C5"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06F9A0A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营业收入</w:t>
            </w:r>
          </w:p>
        </w:tc>
        <w:tc>
          <w:tcPr>
            <w:tcW w:w="3091" w:type="dxa"/>
            <w:tcMar>
              <w:top w:w="0" w:type="dxa"/>
              <w:left w:w="108" w:type="dxa"/>
              <w:bottom w:w="0" w:type="dxa"/>
              <w:right w:w="108" w:type="dxa"/>
            </w:tcMar>
            <w:vAlign w:val="center"/>
          </w:tcPr>
          <w:p w14:paraId="3195153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0</w:t>
            </w:r>
            <w:r w:rsidRPr="00B4515A">
              <w:rPr>
                <w:rFonts w:ascii="Times New Roman" w:hAnsi="Times New Roman" w:cs="Times New Roman"/>
                <w:sz w:val="21"/>
                <w:szCs w:val="21"/>
              </w:rPr>
              <w:t>.00</w:t>
            </w:r>
          </w:p>
        </w:tc>
        <w:tc>
          <w:tcPr>
            <w:tcW w:w="3091" w:type="dxa"/>
            <w:shd w:val="clear" w:color="auto" w:fill="auto"/>
            <w:tcMar>
              <w:top w:w="0" w:type="dxa"/>
              <w:left w:w="108" w:type="dxa"/>
              <w:bottom w:w="0" w:type="dxa"/>
              <w:right w:w="108" w:type="dxa"/>
            </w:tcMar>
            <w:vAlign w:val="center"/>
          </w:tcPr>
          <w:p w14:paraId="3F5AA93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0.00</w:t>
            </w:r>
          </w:p>
        </w:tc>
      </w:tr>
      <w:tr w:rsidR="006416B0" w:rsidRPr="00B4515A" w14:paraId="21B2DF93"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47E8461A"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利润总额</w:t>
            </w:r>
          </w:p>
        </w:tc>
        <w:tc>
          <w:tcPr>
            <w:tcW w:w="3091" w:type="dxa"/>
            <w:tcMar>
              <w:top w:w="0" w:type="dxa"/>
              <w:left w:w="108" w:type="dxa"/>
              <w:bottom w:w="0" w:type="dxa"/>
              <w:right w:w="108" w:type="dxa"/>
            </w:tcMar>
            <w:vAlign w:val="center"/>
          </w:tcPr>
          <w:p w14:paraId="34D638A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color w:val="000000"/>
                <w:sz w:val="21"/>
                <w:szCs w:val="21"/>
              </w:rPr>
              <w:t>3</w:t>
            </w:r>
            <w:r w:rsidRPr="00B4515A">
              <w:rPr>
                <w:rFonts w:ascii="Times New Roman" w:hAnsi="Times New Roman" w:cs="Times New Roman"/>
                <w:color w:val="000000"/>
                <w:sz w:val="21"/>
                <w:szCs w:val="21"/>
              </w:rPr>
              <w:t>,709.46</w:t>
            </w:r>
          </w:p>
        </w:tc>
        <w:tc>
          <w:tcPr>
            <w:tcW w:w="3091" w:type="dxa"/>
            <w:shd w:val="clear" w:color="auto" w:fill="auto"/>
            <w:tcMar>
              <w:top w:w="0" w:type="dxa"/>
              <w:left w:w="108" w:type="dxa"/>
              <w:bottom w:w="0" w:type="dxa"/>
              <w:right w:w="108" w:type="dxa"/>
            </w:tcMar>
            <w:vAlign w:val="center"/>
          </w:tcPr>
          <w:p w14:paraId="1949078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color w:val="000000"/>
                <w:sz w:val="21"/>
                <w:szCs w:val="21"/>
              </w:rPr>
              <w:t>208.71</w:t>
            </w:r>
          </w:p>
        </w:tc>
      </w:tr>
      <w:tr w:rsidR="006416B0" w:rsidRPr="00B4515A" w14:paraId="20C7DBDB"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6637C4D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净利润</w:t>
            </w:r>
          </w:p>
        </w:tc>
        <w:tc>
          <w:tcPr>
            <w:tcW w:w="3091" w:type="dxa"/>
            <w:tcMar>
              <w:top w:w="0" w:type="dxa"/>
              <w:left w:w="108" w:type="dxa"/>
              <w:bottom w:w="0" w:type="dxa"/>
              <w:right w:w="108" w:type="dxa"/>
            </w:tcMar>
            <w:vAlign w:val="center"/>
          </w:tcPr>
          <w:p w14:paraId="0487866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3</w:t>
            </w:r>
            <w:r w:rsidRPr="00B4515A">
              <w:rPr>
                <w:rFonts w:ascii="Times New Roman" w:hAnsi="Times New Roman" w:cs="Times New Roman"/>
                <w:color w:val="000000"/>
                <w:sz w:val="21"/>
                <w:szCs w:val="21"/>
              </w:rPr>
              <w:t>,709.46</w:t>
            </w:r>
          </w:p>
        </w:tc>
        <w:tc>
          <w:tcPr>
            <w:tcW w:w="3091" w:type="dxa"/>
            <w:shd w:val="clear" w:color="auto" w:fill="auto"/>
            <w:tcMar>
              <w:top w:w="0" w:type="dxa"/>
              <w:left w:w="108" w:type="dxa"/>
              <w:bottom w:w="0" w:type="dxa"/>
              <w:right w:w="108" w:type="dxa"/>
            </w:tcMar>
            <w:vAlign w:val="center"/>
          </w:tcPr>
          <w:p w14:paraId="5E3B375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208.71</w:t>
            </w:r>
          </w:p>
        </w:tc>
      </w:tr>
    </w:tbl>
    <w:p w14:paraId="2E4A17B5" w14:textId="21EECE78" w:rsidR="006416B0" w:rsidRPr="00B4515A" w:rsidRDefault="005E58C1" w:rsidP="005860B4">
      <w:pPr>
        <w:pStyle w:val="006"/>
        <w:ind w:firstLine="420"/>
        <w:rPr>
          <w:b/>
          <w:color w:val="000000" w:themeColor="text1"/>
        </w:rPr>
      </w:pPr>
      <w:r w:rsidRPr="00B4515A">
        <w:rPr>
          <w:rFonts w:hint="eastAsia"/>
        </w:rPr>
        <w:t>注：</w:t>
      </w:r>
      <w:r w:rsidR="00252376" w:rsidRPr="00B4515A">
        <w:rPr>
          <w:rFonts w:hint="eastAsia"/>
        </w:rPr>
        <w:t>长江移动基金</w:t>
      </w:r>
      <w:r w:rsidRPr="00B4515A">
        <w:rPr>
          <w:rFonts w:hint="eastAsia"/>
        </w:rPr>
        <w:t>最近两年财务数据已经立信会计师事务所（特殊普通合伙）审计。</w:t>
      </w:r>
    </w:p>
    <w:p w14:paraId="6B7C489A" w14:textId="77777777" w:rsidR="006416B0" w:rsidRPr="00B4515A" w:rsidRDefault="005E58C1" w:rsidP="005860B4">
      <w:pPr>
        <w:pStyle w:val="004"/>
        <w:spacing w:before="120" w:after="120"/>
        <w:ind w:firstLine="482"/>
      </w:pPr>
      <w:r w:rsidRPr="00B4515A">
        <w:t>8</w:t>
      </w:r>
      <w:r w:rsidRPr="00B4515A">
        <w:rPr>
          <w:rFonts w:hint="eastAsia"/>
        </w:rPr>
        <w:t>、主要下属企业情况</w:t>
      </w:r>
    </w:p>
    <w:p w14:paraId="19FA3196" w14:textId="61739182" w:rsidR="006416B0" w:rsidRPr="00B4515A" w:rsidRDefault="005E58C1" w:rsidP="005860B4">
      <w:pPr>
        <w:pStyle w:val="005"/>
        <w:spacing w:before="120" w:after="120"/>
        <w:ind w:firstLine="480"/>
      </w:pPr>
      <w:r w:rsidRPr="00B4515A">
        <w:rPr>
          <w:rFonts w:hint="eastAsia"/>
        </w:rPr>
        <w:t>截至</w:t>
      </w:r>
      <w:r w:rsidRPr="00B4515A">
        <w:rPr>
          <w:rFonts w:hint="eastAsia"/>
        </w:rPr>
        <w:t>2</w:t>
      </w:r>
      <w:r w:rsidRPr="00B4515A">
        <w:t>021</w:t>
      </w:r>
      <w:r w:rsidRPr="00B4515A">
        <w:rPr>
          <w:rFonts w:hint="eastAsia"/>
        </w:rPr>
        <w:t>年</w:t>
      </w:r>
      <w:r w:rsidRPr="00B4515A">
        <w:rPr>
          <w:rFonts w:hint="eastAsia"/>
        </w:rPr>
        <w:t>4</w:t>
      </w:r>
      <w:r w:rsidRPr="00B4515A">
        <w:rPr>
          <w:rFonts w:hint="eastAsia"/>
        </w:rPr>
        <w:t>月</w:t>
      </w:r>
      <w:r w:rsidRPr="00B4515A">
        <w:rPr>
          <w:rFonts w:hint="eastAsia"/>
        </w:rPr>
        <w:t>3</w:t>
      </w:r>
      <w:r w:rsidRPr="00B4515A">
        <w:t>0</w:t>
      </w:r>
      <w:r w:rsidRPr="00B4515A">
        <w:rPr>
          <w:rFonts w:hint="eastAsia"/>
        </w:rPr>
        <w:t>日，</w:t>
      </w:r>
      <w:r w:rsidR="00252376" w:rsidRPr="00B4515A">
        <w:rPr>
          <w:rFonts w:hint="eastAsia"/>
        </w:rPr>
        <w:t>长江移动基金</w:t>
      </w:r>
      <w:r w:rsidRPr="00B4515A">
        <w:rPr>
          <w:rFonts w:hint="eastAsia"/>
        </w:rPr>
        <w:t>无控股的下属企业。</w:t>
      </w:r>
    </w:p>
    <w:p w14:paraId="2E4D01DD" w14:textId="77777777" w:rsidR="006416B0" w:rsidRPr="00B4515A" w:rsidRDefault="005E58C1" w:rsidP="005860B4">
      <w:pPr>
        <w:pStyle w:val="003"/>
        <w:spacing w:before="120"/>
        <w:ind w:firstLine="482"/>
      </w:pPr>
      <w:r w:rsidRPr="00B4515A">
        <w:rPr>
          <w:rFonts w:hint="eastAsia"/>
        </w:rPr>
        <w:t>（四）结构调整基金</w:t>
      </w:r>
    </w:p>
    <w:p w14:paraId="5B4D41DE" w14:textId="77777777" w:rsidR="006416B0" w:rsidRPr="00B4515A" w:rsidRDefault="005E58C1" w:rsidP="005860B4">
      <w:pPr>
        <w:pStyle w:val="004"/>
        <w:spacing w:before="120" w:after="120"/>
        <w:ind w:firstLine="482"/>
      </w:pPr>
      <w:r w:rsidRPr="00B4515A">
        <w:t>1</w:t>
      </w:r>
      <w:r w:rsidRPr="00B4515A">
        <w:rPr>
          <w:rFonts w:hint="eastAsia"/>
        </w:rPr>
        <w:t>、基本情况</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5"/>
        <w:gridCol w:w="6133"/>
      </w:tblGrid>
      <w:tr w:rsidR="006416B0" w:rsidRPr="00B4515A" w14:paraId="62F4611D"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3DE4BF8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公司名称</w:t>
            </w:r>
          </w:p>
        </w:tc>
        <w:tc>
          <w:tcPr>
            <w:tcW w:w="6116" w:type="dxa"/>
            <w:shd w:val="clear" w:color="auto" w:fill="auto"/>
            <w:tcMar>
              <w:top w:w="0" w:type="dxa"/>
              <w:left w:w="108" w:type="dxa"/>
              <w:bottom w:w="0" w:type="dxa"/>
              <w:right w:w="108" w:type="dxa"/>
            </w:tcMar>
            <w:vAlign w:val="center"/>
          </w:tcPr>
          <w:p w14:paraId="0B94B51A"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中国国有企业结构调整基金股份有限公司</w:t>
            </w:r>
          </w:p>
        </w:tc>
      </w:tr>
      <w:tr w:rsidR="006416B0" w:rsidRPr="00B4515A" w14:paraId="155570AE"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43E77F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企业类型</w:t>
            </w:r>
          </w:p>
        </w:tc>
        <w:tc>
          <w:tcPr>
            <w:tcW w:w="6116" w:type="dxa"/>
            <w:shd w:val="clear" w:color="auto" w:fill="auto"/>
            <w:tcMar>
              <w:top w:w="0" w:type="dxa"/>
              <w:left w:w="108" w:type="dxa"/>
              <w:bottom w:w="0" w:type="dxa"/>
              <w:right w:w="108" w:type="dxa"/>
            </w:tcMar>
            <w:vAlign w:val="center"/>
          </w:tcPr>
          <w:p w14:paraId="7B8E18AC" w14:textId="77777777" w:rsidR="006416B0" w:rsidRPr="00B4515A" w:rsidRDefault="005E58C1" w:rsidP="005860B4">
            <w:pPr>
              <w:adjustRightInd w:val="0"/>
              <w:snapToGrid w:val="0"/>
              <w:rPr>
                <w:rFonts w:ascii="Times New Roman" w:hAnsi="Times New Roman" w:cs="Times New Roman"/>
                <w:bCs/>
                <w:sz w:val="21"/>
                <w:szCs w:val="21"/>
              </w:rPr>
            </w:pPr>
            <w:r w:rsidRPr="00B4515A">
              <w:rPr>
                <w:rFonts w:ascii="Times New Roman" w:hAnsi="Times New Roman" w:cs="Times New Roman" w:hint="eastAsia"/>
                <w:bCs/>
                <w:sz w:val="21"/>
                <w:szCs w:val="21"/>
              </w:rPr>
              <w:t>股份有限公司（非上市、国有控股）</w:t>
            </w:r>
          </w:p>
        </w:tc>
      </w:tr>
      <w:tr w:rsidR="006416B0" w:rsidRPr="00B4515A" w14:paraId="4E239F1F"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09D06FC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lastRenderedPageBreak/>
              <w:t>注册地址</w:t>
            </w:r>
          </w:p>
        </w:tc>
        <w:tc>
          <w:tcPr>
            <w:tcW w:w="6116" w:type="dxa"/>
            <w:shd w:val="clear" w:color="auto" w:fill="auto"/>
            <w:tcMar>
              <w:top w:w="0" w:type="dxa"/>
              <w:left w:w="108" w:type="dxa"/>
              <w:bottom w:w="0" w:type="dxa"/>
              <w:right w:w="108" w:type="dxa"/>
            </w:tcMar>
            <w:vAlign w:val="center"/>
          </w:tcPr>
          <w:p w14:paraId="1C5D9B8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北京市西城区金融大街</w:t>
            </w:r>
            <w:r w:rsidRPr="00B4515A">
              <w:rPr>
                <w:rFonts w:ascii="Times New Roman" w:hAnsi="Times New Roman" w:cs="Times New Roman"/>
                <w:sz w:val="21"/>
                <w:szCs w:val="21"/>
              </w:rPr>
              <w:t>7</w:t>
            </w:r>
            <w:r w:rsidRPr="00B4515A">
              <w:rPr>
                <w:rFonts w:ascii="Times New Roman" w:hAnsi="Times New Roman" w:cs="Times New Roman" w:hint="eastAsia"/>
                <w:sz w:val="21"/>
                <w:szCs w:val="21"/>
              </w:rPr>
              <w:t>号英蓝国际金融中心</w:t>
            </w:r>
            <w:r w:rsidRPr="00B4515A">
              <w:rPr>
                <w:rFonts w:ascii="Times New Roman" w:hAnsi="Times New Roman" w:cs="Times New Roman"/>
                <w:sz w:val="21"/>
                <w:szCs w:val="21"/>
              </w:rPr>
              <w:t>F702</w:t>
            </w:r>
            <w:r w:rsidRPr="00B4515A">
              <w:rPr>
                <w:rFonts w:ascii="Times New Roman" w:hAnsi="Times New Roman" w:cs="Times New Roman" w:hint="eastAsia"/>
                <w:sz w:val="21"/>
                <w:szCs w:val="21"/>
              </w:rPr>
              <w:t>室</w:t>
            </w:r>
          </w:p>
        </w:tc>
      </w:tr>
      <w:tr w:rsidR="006416B0" w:rsidRPr="00B4515A" w14:paraId="61630A8C"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479C3A6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主要办公地址</w:t>
            </w:r>
          </w:p>
        </w:tc>
        <w:tc>
          <w:tcPr>
            <w:tcW w:w="6116" w:type="dxa"/>
            <w:shd w:val="clear" w:color="auto" w:fill="auto"/>
            <w:tcMar>
              <w:top w:w="0" w:type="dxa"/>
              <w:left w:w="108" w:type="dxa"/>
              <w:bottom w:w="0" w:type="dxa"/>
              <w:right w:w="108" w:type="dxa"/>
            </w:tcMar>
            <w:vAlign w:val="center"/>
          </w:tcPr>
          <w:p w14:paraId="4F789E7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北京市西城区金融大街</w:t>
            </w:r>
            <w:r w:rsidRPr="00B4515A">
              <w:rPr>
                <w:rFonts w:ascii="Times New Roman" w:hAnsi="Times New Roman" w:cs="Times New Roman"/>
                <w:sz w:val="21"/>
                <w:szCs w:val="21"/>
              </w:rPr>
              <w:t>7</w:t>
            </w:r>
            <w:r w:rsidRPr="00B4515A">
              <w:rPr>
                <w:rFonts w:ascii="Times New Roman" w:hAnsi="Times New Roman" w:cs="Times New Roman" w:hint="eastAsia"/>
                <w:sz w:val="21"/>
                <w:szCs w:val="21"/>
              </w:rPr>
              <w:t>号英蓝国际金融中心</w:t>
            </w:r>
            <w:r w:rsidRPr="00B4515A">
              <w:rPr>
                <w:rFonts w:ascii="Times New Roman" w:hAnsi="Times New Roman" w:cs="Times New Roman"/>
                <w:sz w:val="21"/>
                <w:szCs w:val="21"/>
              </w:rPr>
              <w:t>F702</w:t>
            </w:r>
            <w:r w:rsidRPr="00B4515A">
              <w:rPr>
                <w:rFonts w:ascii="Times New Roman" w:hAnsi="Times New Roman" w:cs="Times New Roman" w:hint="eastAsia"/>
                <w:sz w:val="21"/>
                <w:szCs w:val="21"/>
              </w:rPr>
              <w:t>室</w:t>
            </w:r>
          </w:p>
        </w:tc>
      </w:tr>
      <w:tr w:rsidR="006416B0" w:rsidRPr="00B4515A" w14:paraId="501753B6"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F98913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法定代表人</w:t>
            </w:r>
          </w:p>
        </w:tc>
        <w:tc>
          <w:tcPr>
            <w:tcW w:w="6116" w:type="dxa"/>
            <w:shd w:val="clear" w:color="auto" w:fill="auto"/>
            <w:tcMar>
              <w:top w:w="0" w:type="dxa"/>
              <w:left w:w="108" w:type="dxa"/>
              <w:bottom w:w="0" w:type="dxa"/>
              <w:right w:w="108" w:type="dxa"/>
            </w:tcMar>
            <w:vAlign w:val="center"/>
          </w:tcPr>
          <w:p w14:paraId="0B0814E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朱碧新</w:t>
            </w:r>
          </w:p>
        </w:tc>
      </w:tr>
      <w:tr w:rsidR="006416B0" w:rsidRPr="00B4515A" w14:paraId="22BFD19A"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9F34CE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注册资本</w:t>
            </w:r>
          </w:p>
        </w:tc>
        <w:tc>
          <w:tcPr>
            <w:tcW w:w="6116" w:type="dxa"/>
            <w:shd w:val="clear" w:color="auto" w:fill="auto"/>
            <w:tcMar>
              <w:top w:w="0" w:type="dxa"/>
              <w:left w:w="108" w:type="dxa"/>
              <w:bottom w:w="0" w:type="dxa"/>
              <w:right w:w="108" w:type="dxa"/>
            </w:tcMar>
            <w:vAlign w:val="center"/>
          </w:tcPr>
          <w:p w14:paraId="75D90C7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人民币</w:t>
            </w:r>
            <w:r w:rsidRPr="00B4515A">
              <w:rPr>
                <w:rFonts w:ascii="Times New Roman" w:hAnsi="Times New Roman" w:cs="Times New Roman"/>
                <w:sz w:val="21"/>
                <w:szCs w:val="21"/>
              </w:rPr>
              <w:t>9,882,608.6956</w:t>
            </w:r>
            <w:r w:rsidRPr="00B4515A">
              <w:rPr>
                <w:rFonts w:ascii="Times New Roman" w:hAnsi="Times New Roman" w:cs="Times New Roman" w:hint="eastAsia"/>
                <w:sz w:val="21"/>
                <w:szCs w:val="21"/>
              </w:rPr>
              <w:t>万元</w:t>
            </w:r>
          </w:p>
        </w:tc>
      </w:tr>
      <w:tr w:rsidR="006416B0" w:rsidRPr="00B4515A" w14:paraId="22C5376F"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33D8C66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统一社会信用代码</w:t>
            </w:r>
          </w:p>
        </w:tc>
        <w:tc>
          <w:tcPr>
            <w:tcW w:w="6116" w:type="dxa"/>
            <w:shd w:val="clear" w:color="auto" w:fill="auto"/>
            <w:tcMar>
              <w:top w:w="0" w:type="dxa"/>
              <w:left w:w="108" w:type="dxa"/>
              <w:bottom w:w="0" w:type="dxa"/>
              <w:right w:w="108" w:type="dxa"/>
            </w:tcMar>
            <w:vAlign w:val="center"/>
          </w:tcPr>
          <w:p w14:paraId="1E4045D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91110102MA008DDL0X</w:t>
            </w:r>
          </w:p>
        </w:tc>
      </w:tr>
      <w:tr w:rsidR="006416B0" w:rsidRPr="00B4515A" w14:paraId="6EC10689"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02EC526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经营范围</w:t>
            </w:r>
          </w:p>
        </w:tc>
        <w:tc>
          <w:tcPr>
            <w:tcW w:w="6116" w:type="dxa"/>
            <w:shd w:val="clear" w:color="auto" w:fill="auto"/>
            <w:tcMar>
              <w:top w:w="0" w:type="dxa"/>
              <w:left w:w="108" w:type="dxa"/>
              <w:bottom w:w="0" w:type="dxa"/>
              <w:right w:w="108" w:type="dxa"/>
            </w:tcMar>
            <w:vAlign w:val="center"/>
          </w:tcPr>
          <w:p w14:paraId="3F20F76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非公开募集资金；股权投资；项目投资；资产管理；投资咨询；企业管理咨询。（</w:t>
            </w: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hint="eastAsia"/>
                <w:sz w:val="21"/>
                <w:szCs w:val="21"/>
              </w:rPr>
              <w:t>、未经有关部门批准，不得以公开方式募集资金；</w:t>
            </w:r>
            <w:r w:rsidRPr="00B4515A">
              <w:rPr>
                <w:rFonts w:ascii="Times New Roman" w:hAnsi="Times New Roman" w:cs="Times New Roman"/>
                <w:sz w:val="21"/>
                <w:szCs w:val="21"/>
              </w:rPr>
              <w:t>2</w:t>
            </w:r>
            <w:r w:rsidRPr="00B4515A">
              <w:rPr>
                <w:rFonts w:ascii="Times New Roman" w:hAnsi="Times New Roman" w:cs="Times New Roman" w:hint="eastAsia"/>
                <w:sz w:val="21"/>
                <w:szCs w:val="21"/>
              </w:rPr>
              <w:t>、不得公开开展证券类产品和金融衍生品交易活动；</w:t>
            </w:r>
            <w:r w:rsidRPr="00B4515A">
              <w:rPr>
                <w:rFonts w:ascii="Times New Roman" w:hAnsi="Times New Roman" w:cs="Times New Roman"/>
                <w:sz w:val="21"/>
                <w:szCs w:val="21"/>
              </w:rPr>
              <w:t>3</w:t>
            </w:r>
            <w:r w:rsidRPr="00B4515A">
              <w:rPr>
                <w:rFonts w:ascii="Times New Roman" w:hAnsi="Times New Roman" w:cs="Times New Roman" w:hint="eastAsia"/>
                <w:sz w:val="21"/>
                <w:szCs w:val="21"/>
              </w:rPr>
              <w:t>、不得发放贷款；</w:t>
            </w:r>
            <w:r w:rsidRPr="00B4515A">
              <w:rPr>
                <w:rFonts w:ascii="Times New Roman" w:hAnsi="Times New Roman" w:cs="Times New Roman"/>
                <w:sz w:val="21"/>
                <w:szCs w:val="21"/>
              </w:rPr>
              <w:t>4</w:t>
            </w:r>
            <w:r w:rsidRPr="00B4515A">
              <w:rPr>
                <w:rFonts w:ascii="Times New Roman" w:hAnsi="Times New Roman" w:cs="Times New Roman" w:hint="eastAsia"/>
                <w:sz w:val="21"/>
                <w:szCs w:val="21"/>
              </w:rPr>
              <w:t>、不得对所投资企业以外的其他企业提供担保；</w:t>
            </w:r>
            <w:r w:rsidRPr="00B4515A">
              <w:rPr>
                <w:rFonts w:ascii="Times New Roman" w:hAnsi="Times New Roman" w:cs="Times New Roman"/>
                <w:sz w:val="21"/>
                <w:szCs w:val="21"/>
              </w:rPr>
              <w:t>5</w:t>
            </w:r>
            <w:r w:rsidRPr="00B4515A">
              <w:rPr>
                <w:rFonts w:ascii="Times New Roman" w:hAnsi="Times New Roman" w:cs="Times New Roman" w:hint="eastAsia"/>
                <w:sz w:val="21"/>
                <w:szCs w:val="21"/>
              </w:rPr>
              <w:t>、不得向投资者承诺投资本金不受损失或者承诺最低收益</w:t>
            </w:r>
            <w:r w:rsidRPr="00B4515A">
              <w:rPr>
                <w:rFonts w:cs="Times New Roman" w:hint="eastAsia"/>
                <w:sz w:val="21"/>
                <w:szCs w:val="21"/>
              </w:rPr>
              <w:t>”</w:t>
            </w:r>
            <w:r w:rsidRPr="00B4515A">
              <w:rPr>
                <w:rFonts w:ascii="Times New Roman" w:hAnsi="Times New Roman" w:cs="Times New Roman" w:hint="eastAsia"/>
                <w:sz w:val="21"/>
                <w:szCs w:val="21"/>
              </w:rPr>
              <w:t>；市场主体依法自主选择经营项目，开展经营活动；依法须经批准的项目，经相关部门批准后依批准的内容开展经营活动；不得从事国家和本市产业政策禁止和限制类项目的经营活动。）</w:t>
            </w:r>
          </w:p>
        </w:tc>
      </w:tr>
      <w:tr w:rsidR="006416B0" w:rsidRPr="00B4515A" w14:paraId="44A3C855"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7E24A2D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成立日期</w:t>
            </w:r>
          </w:p>
        </w:tc>
        <w:tc>
          <w:tcPr>
            <w:tcW w:w="6116" w:type="dxa"/>
            <w:shd w:val="clear" w:color="auto" w:fill="auto"/>
            <w:tcMar>
              <w:top w:w="0" w:type="dxa"/>
              <w:left w:w="108" w:type="dxa"/>
              <w:bottom w:w="0" w:type="dxa"/>
              <w:right w:w="108" w:type="dxa"/>
            </w:tcMar>
            <w:vAlign w:val="center"/>
          </w:tcPr>
          <w:p w14:paraId="5E88E41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2016</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9</w:t>
            </w:r>
            <w:r w:rsidRPr="00B4515A">
              <w:rPr>
                <w:rFonts w:ascii="Times New Roman" w:hAnsi="Times New Roman" w:cs="Times New Roman" w:hint="eastAsia"/>
                <w:sz w:val="21"/>
                <w:szCs w:val="21"/>
              </w:rPr>
              <w:t>月</w:t>
            </w:r>
            <w:r w:rsidRPr="00B4515A">
              <w:rPr>
                <w:rFonts w:ascii="Times New Roman" w:hAnsi="Times New Roman" w:cs="Times New Roman"/>
                <w:sz w:val="21"/>
                <w:szCs w:val="21"/>
              </w:rPr>
              <w:t>22</w:t>
            </w:r>
            <w:r w:rsidRPr="00B4515A">
              <w:rPr>
                <w:rFonts w:ascii="Times New Roman" w:hAnsi="Times New Roman" w:cs="Times New Roman" w:hint="eastAsia"/>
                <w:sz w:val="21"/>
                <w:szCs w:val="21"/>
              </w:rPr>
              <w:t>日</w:t>
            </w:r>
          </w:p>
        </w:tc>
      </w:tr>
    </w:tbl>
    <w:p w14:paraId="5A494DA1" w14:textId="77777777" w:rsidR="006416B0" w:rsidRPr="00B4515A" w:rsidRDefault="005E58C1" w:rsidP="005860B4">
      <w:pPr>
        <w:pStyle w:val="004"/>
        <w:spacing w:before="120" w:after="120"/>
        <w:ind w:firstLine="482"/>
      </w:pPr>
      <w:r w:rsidRPr="00B4515A">
        <w:rPr>
          <w:rFonts w:hint="eastAsia"/>
        </w:rPr>
        <w:t>2</w:t>
      </w:r>
      <w:r w:rsidRPr="00B4515A">
        <w:rPr>
          <w:rFonts w:hint="eastAsia"/>
        </w:rPr>
        <w:t>、历史沿革</w:t>
      </w:r>
    </w:p>
    <w:p w14:paraId="4933F0C8" w14:textId="77777777" w:rsidR="006416B0" w:rsidRPr="00B4515A" w:rsidRDefault="005E58C1" w:rsidP="005860B4">
      <w:pPr>
        <w:pStyle w:val="005"/>
        <w:spacing w:before="120" w:after="120"/>
        <w:ind w:firstLine="480"/>
      </w:pPr>
      <w:r w:rsidRPr="00B4515A">
        <w:rPr>
          <w:rFonts w:hint="eastAsia"/>
        </w:rPr>
        <w:t>（</w:t>
      </w:r>
      <w:r w:rsidRPr="00B4515A">
        <w:rPr>
          <w:rFonts w:hint="eastAsia"/>
        </w:rPr>
        <w:t>1</w:t>
      </w:r>
      <w:r w:rsidRPr="00B4515A">
        <w:rPr>
          <w:rFonts w:hint="eastAsia"/>
        </w:rPr>
        <w:t>）设立</w:t>
      </w:r>
    </w:p>
    <w:p w14:paraId="68A8F395" w14:textId="77777777" w:rsidR="006416B0" w:rsidRPr="00B4515A" w:rsidRDefault="005E58C1" w:rsidP="005860B4">
      <w:pPr>
        <w:pStyle w:val="005"/>
        <w:spacing w:before="120" w:after="120"/>
        <w:ind w:firstLine="480"/>
        <w:rPr>
          <w:color w:val="000000" w:themeColor="text1"/>
        </w:rPr>
      </w:pPr>
      <w:r w:rsidRPr="00B4515A">
        <w:rPr>
          <w:color w:val="000000" w:themeColor="text1"/>
        </w:rPr>
        <w:t>2016</w:t>
      </w:r>
      <w:r w:rsidRPr="00B4515A">
        <w:rPr>
          <w:rFonts w:hint="eastAsia"/>
          <w:color w:val="000000" w:themeColor="text1"/>
        </w:rPr>
        <w:t>年</w:t>
      </w:r>
      <w:r w:rsidRPr="00B4515A">
        <w:rPr>
          <w:color w:val="000000" w:themeColor="text1"/>
        </w:rPr>
        <w:t>9</w:t>
      </w:r>
      <w:r w:rsidRPr="00B4515A">
        <w:rPr>
          <w:rFonts w:hint="eastAsia"/>
          <w:color w:val="000000" w:themeColor="text1"/>
        </w:rPr>
        <w:t>月</w:t>
      </w:r>
      <w:r w:rsidRPr="00B4515A">
        <w:rPr>
          <w:color w:val="000000" w:themeColor="text1"/>
        </w:rPr>
        <w:t>21</w:t>
      </w:r>
      <w:r w:rsidRPr="00B4515A">
        <w:rPr>
          <w:rFonts w:hint="eastAsia"/>
          <w:color w:val="000000" w:themeColor="text1"/>
        </w:rPr>
        <w:t>日，</w:t>
      </w:r>
      <w:r w:rsidRPr="00B4515A">
        <w:rPr>
          <w:rFonts w:hint="eastAsia"/>
          <w:color w:val="000000" w:themeColor="text1"/>
          <w:lang w:eastAsia="zh-Hans"/>
        </w:rPr>
        <w:t>经</w:t>
      </w:r>
      <w:r w:rsidRPr="00B4515A">
        <w:rPr>
          <w:color w:val="000000" w:themeColor="text1"/>
        </w:rPr>
        <w:t>国务院</w:t>
      </w:r>
      <w:r w:rsidRPr="00B4515A">
        <w:rPr>
          <w:rFonts w:hint="eastAsia"/>
          <w:color w:val="000000" w:themeColor="text1"/>
        </w:rPr>
        <w:t>国资委</w:t>
      </w:r>
      <w:r w:rsidRPr="00B4515A">
        <w:rPr>
          <w:rFonts w:hint="eastAsia"/>
          <w:color w:val="000000" w:themeColor="text1"/>
          <w:lang w:eastAsia="zh-Hans"/>
        </w:rPr>
        <w:t>下发</w:t>
      </w:r>
      <w:r w:rsidRPr="00B4515A">
        <w:rPr>
          <w:rFonts w:hint="eastAsia"/>
          <w:color w:val="000000" w:themeColor="text1"/>
        </w:rPr>
        <w:t>《关于中国诚通控股集团有限公司发起设立中国国有企业结构调整基金股份有限公司有关意见的复函》</w:t>
      </w:r>
      <w:r w:rsidRPr="00B4515A">
        <w:rPr>
          <w:rFonts w:hint="eastAsia"/>
          <w:color w:val="000000" w:themeColor="text1"/>
          <w:lang w:eastAsia="zh-Hans"/>
        </w:rPr>
        <w:t>批准</w:t>
      </w:r>
      <w:r w:rsidRPr="00B4515A">
        <w:rPr>
          <w:rFonts w:hint="eastAsia"/>
          <w:color w:val="000000" w:themeColor="text1"/>
        </w:rPr>
        <w:t>同意</w:t>
      </w:r>
      <w:r w:rsidRPr="00B4515A">
        <w:rPr>
          <w:color w:val="000000" w:themeColor="text1"/>
        </w:rPr>
        <w:t>，</w:t>
      </w:r>
      <w:r w:rsidRPr="00B4515A">
        <w:rPr>
          <w:rFonts w:hint="eastAsia"/>
          <w:color w:val="000000" w:themeColor="text1"/>
        </w:rPr>
        <w:t>中国诚通控股集团有限公司与招商局集团有限公司、中国兵器工业集团公司、中国石油化工集团公司、神华集团有限责任公司、中国移动通信集团公司、中国中车集团公司、中国交通建设集团有限公司、中国邮政储蓄银行股份有限责任公司、北京金融街投资（集团）有限公司共同发起设立结构调整基金。</w:t>
      </w:r>
    </w:p>
    <w:p w14:paraId="34958D8C" w14:textId="77777777" w:rsidR="006416B0" w:rsidRPr="00B4515A" w:rsidRDefault="005E58C1" w:rsidP="005860B4">
      <w:pPr>
        <w:pStyle w:val="005"/>
        <w:spacing w:before="120" w:after="120"/>
        <w:ind w:firstLine="480"/>
        <w:rPr>
          <w:color w:val="000000"/>
        </w:rPr>
      </w:pPr>
      <w:r w:rsidRPr="00B4515A">
        <w:rPr>
          <w:color w:val="000000" w:themeColor="text1"/>
        </w:rPr>
        <w:t>2016</w:t>
      </w:r>
      <w:r w:rsidRPr="00B4515A">
        <w:rPr>
          <w:color w:val="000000" w:themeColor="text1"/>
        </w:rPr>
        <w:t>年</w:t>
      </w:r>
      <w:r w:rsidRPr="00B4515A">
        <w:rPr>
          <w:color w:val="000000" w:themeColor="text1"/>
        </w:rPr>
        <w:t>9</w:t>
      </w:r>
      <w:r w:rsidRPr="00B4515A">
        <w:rPr>
          <w:color w:val="000000" w:themeColor="text1"/>
        </w:rPr>
        <w:t>月</w:t>
      </w:r>
      <w:r w:rsidRPr="00B4515A">
        <w:rPr>
          <w:color w:val="000000" w:themeColor="text1"/>
        </w:rPr>
        <w:t>22</w:t>
      </w:r>
      <w:r w:rsidRPr="00B4515A">
        <w:rPr>
          <w:color w:val="000000" w:themeColor="text1"/>
        </w:rPr>
        <w:t>日</w:t>
      </w:r>
      <w:r w:rsidRPr="00B4515A">
        <w:rPr>
          <w:rFonts w:hint="eastAsia"/>
          <w:color w:val="000000" w:themeColor="text1"/>
        </w:rPr>
        <w:t>，</w:t>
      </w:r>
      <w:r w:rsidRPr="00B4515A">
        <w:rPr>
          <w:rFonts w:hint="eastAsia"/>
          <w:color w:val="000000"/>
        </w:rPr>
        <w:t>结构</w:t>
      </w:r>
      <w:r w:rsidRPr="00B4515A">
        <w:rPr>
          <w:rFonts w:hint="eastAsia"/>
          <w:color w:val="000000" w:themeColor="text1"/>
        </w:rPr>
        <w:t>调整基金取得设立后的《营业执照》。</w:t>
      </w:r>
    </w:p>
    <w:p w14:paraId="6863F558" w14:textId="77777777" w:rsidR="006416B0" w:rsidRPr="00B4515A" w:rsidRDefault="005E58C1" w:rsidP="005860B4">
      <w:pPr>
        <w:pStyle w:val="005"/>
        <w:spacing w:before="120" w:after="120"/>
        <w:ind w:firstLine="480"/>
        <w:rPr>
          <w:color w:val="000000"/>
        </w:rPr>
      </w:pPr>
      <w:r w:rsidRPr="00B4515A">
        <w:rPr>
          <w:rFonts w:hint="eastAsia"/>
          <w:color w:val="000000"/>
        </w:rPr>
        <w:t>设立时，结构调整基金的股权结构为：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14"/>
        <w:gridCol w:w="4088"/>
        <w:gridCol w:w="1898"/>
        <w:gridCol w:w="1828"/>
      </w:tblGrid>
      <w:tr w:rsidR="006416B0" w:rsidRPr="00B4515A" w14:paraId="54E32720" w14:textId="77777777" w:rsidTr="005860B4">
        <w:trPr>
          <w:trHeight w:val="340"/>
          <w:tblHeader/>
          <w:jc w:val="center"/>
        </w:trPr>
        <w:tc>
          <w:tcPr>
            <w:tcW w:w="418" w:type="pct"/>
            <w:tcMar>
              <w:top w:w="0" w:type="dxa"/>
              <w:left w:w="108" w:type="dxa"/>
              <w:bottom w:w="0" w:type="dxa"/>
              <w:right w:w="108" w:type="dxa"/>
            </w:tcMar>
            <w:vAlign w:val="center"/>
          </w:tcPr>
          <w:p w14:paraId="5DC827B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2396" w:type="pct"/>
            <w:tcMar>
              <w:top w:w="0" w:type="dxa"/>
              <w:left w:w="108" w:type="dxa"/>
              <w:bottom w:w="0" w:type="dxa"/>
              <w:right w:w="108" w:type="dxa"/>
            </w:tcMar>
            <w:vAlign w:val="center"/>
          </w:tcPr>
          <w:p w14:paraId="62A906F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股东名称</w:t>
            </w:r>
          </w:p>
        </w:tc>
        <w:tc>
          <w:tcPr>
            <w:tcW w:w="1113" w:type="pct"/>
            <w:tcMar>
              <w:top w:w="0" w:type="dxa"/>
              <w:left w:w="108" w:type="dxa"/>
              <w:bottom w:w="0" w:type="dxa"/>
              <w:right w:w="108" w:type="dxa"/>
            </w:tcMar>
            <w:vAlign w:val="center"/>
          </w:tcPr>
          <w:p w14:paraId="097C863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出资额（万元）</w:t>
            </w:r>
          </w:p>
        </w:tc>
        <w:tc>
          <w:tcPr>
            <w:tcW w:w="1072" w:type="pct"/>
            <w:tcMar>
              <w:top w:w="0" w:type="dxa"/>
              <w:left w:w="108" w:type="dxa"/>
              <w:bottom w:w="0" w:type="dxa"/>
              <w:right w:w="108" w:type="dxa"/>
            </w:tcMar>
            <w:vAlign w:val="center"/>
          </w:tcPr>
          <w:p w14:paraId="093517EA"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出资比例（％）</w:t>
            </w:r>
          </w:p>
        </w:tc>
      </w:tr>
      <w:tr w:rsidR="006416B0" w:rsidRPr="00B4515A" w14:paraId="79C5D342" w14:textId="77777777" w:rsidTr="00031627">
        <w:trPr>
          <w:trHeight w:val="340"/>
          <w:jc w:val="center"/>
        </w:trPr>
        <w:tc>
          <w:tcPr>
            <w:tcW w:w="418" w:type="pct"/>
            <w:tcMar>
              <w:top w:w="0" w:type="dxa"/>
              <w:left w:w="108" w:type="dxa"/>
              <w:bottom w:w="0" w:type="dxa"/>
              <w:right w:w="108" w:type="dxa"/>
            </w:tcMar>
            <w:vAlign w:val="center"/>
          </w:tcPr>
          <w:p w14:paraId="2960DC8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1</w:t>
            </w:r>
          </w:p>
        </w:tc>
        <w:tc>
          <w:tcPr>
            <w:tcW w:w="2396" w:type="pct"/>
            <w:tcMar>
              <w:top w:w="0" w:type="dxa"/>
              <w:left w:w="108" w:type="dxa"/>
              <w:bottom w:w="0" w:type="dxa"/>
              <w:right w:w="108" w:type="dxa"/>
            </w:tcMar>
            <w:vAlign w:val="center"/>
          </w:tcPr>
          <w:p w14:paraId="03F9021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建信（北京）投资基金管理有限公司</w:t>
            </w:r>
          </w:p>
        </w:tc>
        <w:tc>
          <w:tcPr>
            <w:tcW w:w="1113" w:type="pct"/>
            <w:tcMar>
              <w:top w:w="0" w:type="dxa"/>
              <w:left w:w="108" w:type="dxa"/>
              <w:bottom w:w="0" w:type="dxa"/>
              <w:right w:w="108" w:type="dxa"/>
            </w:tcMar>
            <w:vAlign w:val="center"/>
          </w:tcPr>
          <w:p w14:paraId="02D1ADB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w:t>
            </w:r>
            <w:r w:rsidRPr="00B4515A">
              <w:rPr>
                <w:rFonts w:ascii="Times New Roman" w:hAnsi="Times New Roman" w:cs="Times New Roman" w:hint="eastAsia"/>
                <w:sz w:val="21"/>
                <w:szCs w:val="21"/>
              </w:rPr>
              <w:t>,</w:t>
            </w:r>
            <w:r w:rsidRPr="00B4515A">
              <w:rPr>
                <w:rFonts w:ascii="Times New Roman" w:hAnsi="Times New Roman" w:cs="Times New Roman"/>
                <w:sz w:val="21"/>
                <w:szCs w:val="21"/>
              </w:rPr>
              <w:t>000,000.00</w:t>
            </w:r>
          </w:p>
        </w:tc>
        <w:tc>
          <w:tcPr>
            <w:tcW w:w="1072" w:type="pct"/>
            <w:tcMar>
              <w:top w:w="0" w:type="dxa"/>
              <w:left w:w="108" w:type="dxa"/>
              <w:bottom w:w="0" w:type="dxa"/>
              <w:right w:w="108" w:type="dxa"/>
            </w:tcMar>
            <w:vAlign w:val="center"/>
          </w:tcPr>
          <w:p w14:paraId="4101B69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38.20</w:t>
            </w:r>
          </w:p>
        </w:tc>
      </w:tr>
      <w:tr w:rsidR="006416B0" w:rsidRPr="00B4515A" w14:paraId="324405C1" w14:textId="77777777" w:rsidTr="00031627">
        <w:trPr>
          <w:trHeight w:val="340"/>
          <w:jc w:val="center"/>
        </w:trPr>
        <w:tc>
          <w:tcPr>
            <w:tcW w:w="418" w:type="pct"/>
            <w:tcMar>
              <w:top w:w="0" w:type="dxa"/>
              <w:left w:w="108" w:type="dxa"/>
              <w:bottom w:w="0" w:type="dxa"/>
              <w:right w:w="108" w:type="dxa"/>
            </w:tcMar>
            <w:vAlign w:val="center"/>
          </w:tcPr>
          <w:p w14:paraId="3546821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2</w:t>
            </w:r>
          </w:p>
        </w:tc>
        <w:tc>
          <w:tcPr>
            <w:tcW w:w="2396" w:type="pct"/>
            <w:tcMar>
              <w:top w:w="0" w:type="dxa"/>
              <w:left w:w="108" w:type="dxa"/>
              <w:bottom w:w="0" w:type="dxa"/>
              <w:right w:w="108" w:type="dxa"/>
            </w:tcMar>
            <w:vAlign w:val="center"/>
          </w:tcPr>
          <w:p w14:paraId="6CFA652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中国诚通控股集团有限公司</w:t>
            </w:r>
          </w:p>
        </w:tc>
        <w:tc>
          <w:tcPr>
            <w:tcW w:w="1113" w:type="pct"/>
            <w:tcMar>
              <w:top w:w="0" w:type="dxa"/>
              <w:left w:w="108" w:type="dxa"/>
              <w:bottom w:w="0" w:type="dxa"/>
              <w:right w:w="108" w:type="dxa"/>
            </w:tcMar>
            <w:vAlign w:val="center"/>
          </w:tcPr>
          <w:p w14:paraId="5D087CF6" w14:textId="6C854360"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3</w:t>
            </w:r>
            <w:r w:rsidR="00FE7BD3" w:rsidRPr="00B4515A">
              <w:rPr>
                <w:rFonts w:ascii="Times New Roman" w:hAnsi="Times New Roman" w:cs="Times New Roman"/>
                <w:sz w:val="21"/>
                <w:szCs w:val="21"/>
              </w:rPr>
              <w:t>,</w:t>
            </w:r>
            <w:r w:rsidRPr="00B4515A">
              <w:rPr>
                <w:rFonts w:ascii="Times New Roman" w:hAnsi="Times New Roman" w:cs="Times New Roman"/>
                <w:sz w:val="21"/>
                <w:szCs w:val="21"/>
              </w:rPr>
              <w:t>000,000</w:t>
            </w:r>
            <w:r w:rsidRPr="00B4515A">
              <w:rPr>
                <w:rFonts w:ascii="Times New Roman" w:hAnsi="Times New Roman" w:cs="Times New Roman" w:hint="eastAsia"/>
                <w:sz w:val="21"/>
                <w:szCs w:val="21"/>
              </w:rPr>
              <w:t>.</w:t>
            </w:r>
            <w:r w:rsidRPr="00B4515A">
              <w:rPr>
                <w:rFonts w:ascii="Times New Roman" w:hAnsi="Times New Roman" w:cs="Times New Roman"/>
                <w:sz w:val="21"/>
                <w:szCs w:val="21"/>
              </w:rPr>
              <w:t>00</w:t>
            </w:r>
          </w:p>
        </w:tc>
        <w:tc>
          <w:tcPr>
            <w:tcW w:w="1072" w:type="pct"/>
            <w:tcMar>
              <w:top w:w="0" w:type="dxa"/>
              <w:left w:w="108" w:type="dxa"/>
              <w:bottom w:w="0" w:type="dxa"/>
              <w:right w:w="108" w:type="dxa"/>
            </w:tcMar>
            <w:vAlign w:val="center"/>
          </w:tcPr>
          <w:p w14:paraId="29AECEE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22.90</w:t>
            </w:r>
          </w:p>
        </w:tc>
      </w:tr>
      <w:tr w:rsidR="006416B0" w:rsidRPr="00B4515A" w14:paraId="63AD40AA" w14:textId="77777777" w:rsidTr="00031627">
        <w:trPr>
          <w:trHeight w:val="340"/>
          <w:jc w:val="center"/>
        </w:trPr>
        <w:tc>
          <w:tcPr>
            <w:tcW w:w="418" w:type="pct"/>
            <w:tcMar>
              <w:top w:w="0" w:type="dxa"/>
              <w:left w:w="108" w:type="dxa"/>
              <w:bottom w:w="0" w:type="dxa"/>
              <w:right w:w="108" w:type="dxa"/>
            </w:tcMar>
            <w:vAlign w:val="center"/>
          </w:tcPr>
          <w:p w14:paraId="769D796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3</w:t>
            </w:r>
          </w:p>
        </w:tc>
        <w:tc>
          <w:tcPr>
            <w:tcW w:w="2396" w:type="pct"/>
            <w:tcMar>
              <w:top w:w="0" w:type="dxa"/>
              <w:left w:w="108" w:type="dxa"/>
              <w:bottom w:w="0" w:type="dxa"/>
              <w:right w:w="108" w:type="dxa"/>
            </w:tcMar>
            <w:vAlign w:val="center"/>
          </w:tcPr>
          <w:p w14:paraId="1248534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深圳市招商金葵资本管理有限责任公司</w:t>
            </w:r>
          </w:p>
        </w:tc>
        <w:tc>
          <w:tcPr>
            <w:tcW w:w="1113" w:type="pct"/>
            <w:tcMar>
              <w:top w:w="0" w:type="dxa"/>
              <w:left w:w="108" w:type="dxa"/>
              <w:bottom w:w="0" w:type="dxa"/>
              <w:right w:w="108" w:type="dxa"/>
            </w:tcMar>
            <w:vAlign w:val="center"/>
          </w:tcPr>
          <w:p w14:paraId="7BAF3D8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hint="eastAsia"/>
                <w:sz w:val="21"/>
                <w:szCs w:val="21"/>
              </w:rPr>
              <w:t>,</w:t>
            </w:r>
            <w:r w:rsidRPr="00B4515A">
              <w:rPr>
                <w:rFonts w:ascii="Times New Roman" w:hAnsi="Times New Roman" w:cs="Times New Roman"/>
                <w:sz w:val="21"/>
                <w:szCs w:val="21"/>
              </w:rPr>
              <w:t>000</w:t>
            </w:r>
            <w:r w:rsidRPr="00B4515A">
              <w:rPr>
                <w:rFonts w:ascii="Times New Roman" w:hAnsi="Times New Roman" w:cs="Times New Roman" w:hint="eastAsia"/>
                <w:sz w:val="21"/>
                <w:szCs w:val="21"/>
              </w:rPr>
              <w:t>,</w:t>
            </w:r>
            <w:r w:rsidRPr="00B4515A">
              <w:rPr>
                <w:rFonts w:ascii="Times New Roman" w:hAnsi="Times New Roman" w:cs="Times New Roman"/>
                <w:sz w:val="21"/>
                <w:szCs w:val="21"/>
              </w:rPr>
              <w:t>000.00</w:t>
            </w:r>
          </w:p>
        </w:tc>
        <w:tc>
          <w:tcPr>
            <w:tcW w:w="1072" w:type="pct"/>
            <w:tcMar>
              <w:top w:w="0" w:type="dxa"/>
              <w:left w:w="108" w:type="dxa"/>
              <w:bottom w:w="0" w:type="dxa"/>
              <w:right w:w="108" w:type="dxa"/>
            </w:tcMar>
            <w:vAlign w:val="center"/>
          </w:tcPr>
          <w:p w14:paraId="0CD85E7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15.30</w:t>
            </w:r>
          </w:p>
        </w:tc>
      </w:tr>
      <w:tr w:rsidR="006416B0" w:rsidRPr="00B4515A" w14:paraId="12B1BC52" w14:textId="77777777" w:rsidTr="00031627">
        <w:trPr>
          <w:trHeight w:val="340"/>
          <w:jc w:val="center"/>
        </w:trPr>
        <w:tc>
          <w:tcPr>
            <w:tcW w:w="418" w:type="pct"/>
            <w:tcMar>
              <w:top w:w="0" w:type="dxa"/>
              <w:left w:w="108" w:type="dxa"/>
              <w:bottom w:w="0" w:type="dxa"/>
              <w:right w:w="108" w:type="dxa"/>
            </w:tcMar>
            <w:vAlign w:val="center"/>
          </w:tcPr>
          <w:p w14:paraId="0896AB8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4</w:t>
            </w:r>
          </w:p>
        </w:tc>
        <w:tc>
          <w:tcPr>
            <w:tcW w:w="2396" w:type="pct"/>
            <w:tcMar>
              <w:top w:w="0" w:type="dxa"/>
              <w:left w:w="108" w:type="dxa"/>
              <w:bottom w:w="0" w:type="dxa"/>
              <w:right w:w="108" w:type="dxa"/>
            </w:tcMar>
            <w:vAlign w:val="center"/>
          </w:tcPr>
          <w:p w14:paraId="173E1D0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color w:val="000000"/>
                <w:sz w:val="21"/>
                <w:szCs w:val="21"/>
              </w:rPr>
              <w:t>中国兵器工业集团公司</w:t>
            </w:r>
          </w:p>
        </w:tc>
        <w:tc>
          <w:tcPr>
            <w:tcW w:w="1113" w:type="pct"/>
            <w:tcMar>
              <w:top w:w="0" w:type="dxa"/>
              <w:left w:w="108" w:type="dxa"/>
              <w:bottom w:w="0" w:type="dxa"/>
              <w:right w:w="108" w:type="dxa"/>
            </w:tcMar>
            <w:vAlign w:val="center"/>
          </w:tcPr>
          <w:p w14:paraId="44EB582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00,000.00</w:t>
            </w:r>
          </w:p>
        </w:tc>
        <w:tc>
          <w:tcPr>
            <w:tcW w:w="1072" w:type="pct"/>
            <w:tcMar>
              <w:top w:w="0" w:type="dxa"/>
              <w:left w:w="108" w:type="dxa"/>
              <w:bottom w:w="0" w:type="dxa"/>
              <w:right w:w="108" w:type="dxa"/>
            </w:tcMar>
            <w:vAlign w:val="center"/>
          </w:tcPr>
          <w:p w14:paraId="13A0964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3.80</w:t>
            </w:r>
          </w:p>
        </w:tc>
      </w:tr>
      <w:tr w:rsidR="006416B0" w:rsidRPr="00B4515A" w14:paraId="117E0A0B" w14:textId="77777777" w:rsidTr="00031627">
        <w:trPr>
          <w:trHeight w:val="340"/>
          <w:jc w:val="center"/>
        </w:trPr>
        <w:tc>
          <w:tcPr>
            <w:tcW w:w="418" w:type="pct"/>
            <w:tcMar>
              <w:top w:w="0" w:type="dxa"/>
              <w:left w:w="108" w:type="dxa"/>
              <w:bottom w:w="0" w:type="dxa"/>
              <w:right w:w="108" w:type="dxa"/>
            </w:tcMar>
            <w:vAlign w:val="center"/>
          </w:tcPr>
          <w:p w14:paraId="479254C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5</w:t>
            </w:r>
          </w:p>
        </w:tc>
        <w:tc>
          <w:tcPr>
            <w:tcW w:w="2396" w:type="pct"/>
            <w:tcMar>
              <w:top w:w="0" w:type="dxa"/>
              <w:left w:w="108" w:type="dxa"/>
              <w:bottom w:w="0" w:type="dxa"/>
              <w:right w:w="108" w:type="dxa"/>
            </w:tcMar>
            <w:vAlign w:val="center"/>
          </w:tcPr>
          <w:p w14:paraId="53CC337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color w:val="000000"/>
                <w:sz w:val="21"/>
                <w:szCs w:val="21"/>
              </w:rPr>
              <w:t>中国石油化工集团公司</w:t>
            </w:r>
          </w:p>
        </w:tc>
        <w:tc>
          <w:tcPr>
            <w:tcW w:w="1113" w:type="pct"/>
            <w:tcMar>
              <w:top w:w="0" w:type="dxa"/>
              <w:left w:w="108" w:type="dxa"/>
              <w:bottom w:w="0" w:type="dxa"/>
              <w:right w:w="108" w:type="dxa"/>
            </w:tcMar>
            <w:vAlign w:val="center"/>
          </w:tcPr>
          <w:p w14:paraId="5BDEFA6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00,000.00</w:t>
            </w:r>
          </w:p>
        </w:tc>
        <w:tc>
          <w:tcPr>
            <w:tcW w:w="1072" w:type="pct"/>
            <w:tcMar>
              <w:top w:w="0" w:type="dxa"/>
              <w:left w:w="108" w:type="dxa"/>
              <w:bottom w:w="0" w:type="dxa"/>
              <w:right w:w="108" w:type="dxa"/>
            </w:tcMar>
            <w:vAlign w:val="center"/>
          </w:tcPr>
          <w:p w14:paraId="143A092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3.80</w:t>
            </w:r>
          </w:p>
        </w:tc>
      </w:tr>
      <w:tr w:rsidR="006416B0" w:rsidRPr="00B4515A" w14:paraId="4B317C17" w14:textId="77777777" w:rsidTr="00031627">
        <w:trPr>
          <w:trHeight w:val="340"/>
          <w:jc w:val="center"/>
        </w:trPr>
        <w:tc>
          <w:tcPr>
            <w:tcW w:w="418" w:type="pct"/>
            <w:tcMar>
              <w:top w:w="0" w:type="dxa"/>
              <w:left w:w="108" w:type="dxa"/>
              <w:bottom w:w="0" w:type="dxa"/>
              <w:right w:w="108" w:type="dxa"/>
            </w:tcMar>
            <w:vAlign w:val="center"/>
          </w:tcPr>
          <w:p w14:paraId="2B53F88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6</w:t>
            </w:r>
          </w:p>
        </w:tc>
        <w:tc>
          <w:tcPr>
            <w:tcW w:w="2396" w:type="pct"/>
            <w:tcMar>
              <w:top w:w="0" w:type="dxa"/>
              <w:left w:w="108" w:type="dxa"/>
              <w:bottom w:w="0" w:type="dxa"/>
              <w:right w:w="108" w:type="dxa"/>
            </w:tcMar>
            <w:vAlign w:val="center"/>
          </w:tcPr>
          <w:p w14:paraId="4F7307A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神华集团有限责任公司</w:t>
            </w:r>
          </w:p>
        </w:tc>
        <w:tc>
          <w:tcPr>
            <w:tcW w:w="1113" w:type="pct"/>
            <w:tcMar>
              <w:top w:w="0" w:type="dxa"/>
              <w:left w:w="108" w:type="dxa"/>
              <w:bottom w:w="0" w:type="dxa"/>
              <w:right w:w="108" w:type="dxa"/>
            </w:tcMar>
            <w:vAlign w:val="center"/>
          </w:tcPr>
          <w:p w14:paraId="0AFA322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00,000.00</w:t>
            </w:r>
          </w:p>
        </w:tc>
        <w:tc>
          <w:tcPr>
            <w:tcW w:w="1072" w:type="pct"/>
            <w:tcMar>
              <w:top w:w="0" w:type="dxa"/>
              <w:left w:w="108" w:type="dxa"/>
              <w:bottom w:w="0" w:type="dxa"/>
              <w:right w:w="108" w:type="dxa"/>
            </w:tcMar>
            <w:vAlign w:val="center"/>
          </w:tcPr>
          <w:p w14:paraId="3B62750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3.80</w:t>
            </w:r>
          </w:p>
        </w:tc>
      </w:tr>
      <w:tr w:rsidR="006416B0" w:rsidRPr="00B4515A" w14:paraId="16E9B017" w14:textId="77777777" w:rsidTr="00031627">
        <w:trPr>
          <w:trHeight w:val="340"/>
          <w:jc w:val="center"/>
        </w:trPr>
        <w:tc>
          <w:tcPr>
            <w:tcW w:w="418" w:type="pct"/>
            <w:tcMar>
              <w:top w:w="0" w:type="dxa"/>
              <w:left w:w="108" w:type="dxa"/>
              <w:bottom w:w="0" w:type="dxa"/>
              <w:right w:w="108" w:type="dxa"/>
            </w:tcMar>
            <w:vAlign w:val="center"/>
          </w:tcPr>
          <w:p w14:paraId="44726EA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7</w:t>
            </w:r>
          </w:p>
        </w:tc>
        <w:tc>
          <w:tcPr>
            <w:tcW w:w="2396" w:type="pct"/>
            <w:tcMar>
              <w:top w:w="0" w:type="dxa"/>
              <w:left w:w="108" w:type="dxa"/>
              <w:bottom w:w="0" w:type="dxa"/>
              <w:right w:w="108" w:type="dxa"/>
            </w:tcMar>
            <w:vAlign w:val="center"/>
          </w:tcPr>
          <w:p w14:paraId="750CA10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color w:val="000000"/>
                <w:sz w:val="21"/>
                <w:szCs w:val="21"/>
              </w:rPr>
              <w:t>中国移动通信集团公司</w:t>
            </w:r>
          </w:p>
        </w:tc>
        <w:tc>
          <w:tcPr>
            <w:tcW w:w="1113" w:type="pct"/>
            <w:tcMar>
              <w:top w:w="0" w:type="dxa"/>
              <w:left w:w="108" w:type="dxa"/>
              <w:bottom w:w="0" w:type="dxa"/>
              <w:right w:w="108" w:type="dxa"/>
            </w:tcMar>
            <w:vAlign w:val="center"/>
          </w:tcPr>
          <w:p w14:paraId="008ACD5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00,000.00</w:t>
            </w:r>
          </w:p>
        </w:tc>
        <w:tc>
          <w:tcPr>
            <w:tcW w:w="1072" w:type="pct"/>
            <w:tcMar>
              <w:top w:w="0" w:type="dxa"/>
              <w:left w:w="108" w:type="dxa"/>
              <w:bottom w:w="0" w:type="dxa"/>
              <w:right w:w="108" w:type="dxa"/>
            </w:tcMar>
            <w:vAlign w:val="center"/>
          </w:tcPr>
          <w:p w14:paraId="67F4017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3.80</w:t>
            </w:r>
          </w:p>
        </w:tc>
      </w:tr>
      <w:tr w:rsidR="006416B0" w:rsidRPr="00B4515A" w14:paraId="06C02B54" w14:textId="77777777" w:rsidTr="00031627">
        <w:trPr>
          <w:trHeight w:val="340"/>
          <w:jc w:val="center"/>
        </w:trPr>
        <w:tc>
          <w:tcPr>
            <w:tcW w:w="418" w:type="pct"/>
            <w:tcMar>
              <w:top w:w="0" w:type="dxa"/>
              <w:left w:w="108" w:type="dxa"/>
              <w:bottom w:w="0" w:type="dxa"/>
              <w:right w:w="108" w:type="dxa"/>
            </w:tcMar>
            <w:vAlign w:val="center"/>
          </w:tcPr>
          <w:p w14:paraId="1E15309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8</w:t>
            </w:r>
          </w:p>
        </w:tc>
        <w:tc>
          <w:tcPr>
            <w:tcW w:w="2396" w:type="pct"/>
            <w:tcMar>
              <w:top w:w="0" w:type="dxa"/>
              <w:left w:w="108" w:type="dxa"/>
              <w:bottom w:w="0" w:type="dxa"/>
              <w:right w:w="108" w:type="dxa"/>
            </w:tcMar>
            <w:vAlign w:val="center"/>
          </w:tcPr>
          <w:p w14:paraId="2DF58FE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中国交通建设集团有限公司</w:t>
            </w:r>
          </w:p>
        </w:tc>
        <w:tc>
          <w:tcPr>
            <w:tcW w:w="1113" w:type="pct"/>
            <w:tcMar>
              <w:top w:w="0" w:type="dxa"/>
              <w:left w:w="108" w:type="dxa"/>
              <w:bottom w:w="0" w:type="dxa"/>
              <w:right w:w="108" w:type="dxa"/>
            </w:tcMar>
            <w:vAlign w:val="center"/>
          </w:tcPr>
          <w:p w14:paraId="409D9D1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00,000.00</w:t>
            </w:r>
          </w:p>
        </w:tc>
        <w:tc>
          <w:tcPr>
            <w:tcW w:w="1072" w:type="pct"/>
            <w:tcMar>
              <w:top w:w="0" w:type="dxa"/>
              <w:left w:w="108" w:type="dxa"/>
              <w:bottom w:w="0" w:type="dxa"/>
              <w:right w:w="108" w:type="dxa"/>
            </w:tcMar>
            <w:vAlign w:val="center"/>
          </w:tcPr>
          <w:p w14:paraId="799FE92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3.80</w:t>
            </w:r>
          </w:p>
        </w:tc>
      </w:tr>
      <w:tr w:rsidR="006416B0" w:rsidRPr="00B4515A" w14:paraId="21CE7B46" w14:textId="77777777" w:rsidTr="00031627">
        <w:trPr>
          <w:trHeight w:val="340"/>
          <w:jc w:val="center"/>
        </w:trPr>
        <w:tc>
          <w:tcPr>
            <w:tcW w:w="418" w:type="pct"/>
            <w:tcMar>
              <w:top w:w="0" w:type="dxa"/>
              <w:left w:w="108" w:type="dxa"/>
              <w:bottom w:w="0" w:type="dxa"/>
              <w:right w:w="108" w:type="dxa"/>
            </w:tcMar>
            <w:vAlign w:val="center"/>
          </w:tcPr>
          <w:p w14:paraId="154AE4C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9</w:t>
            </w:r>
          </w:p>
        </w:tc>
        <w:tc>
          <w:tcPr>
            <w:tcW w:w="2396" w:type="pct"/>
            <w:tcMar>
              <w:top w:w="0" w:type="dxa"/>
              <w:left w:w="108" w:type="dxa"/>
              <w:bottom w:w="0" w:type="dxa"/>
              <w:right w:w="108" w:type="dxa"/>
            </w:tcMar>
            <w:vAlign w:val="center"/>
          </w:tcPr>
          <w:p w14:paraId="7538312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北京金融街投资（集团）有限公司</w:t>
            </w:r>
          </w:p>
        </w:tc>
        <w:tc>
          <w:tcPr>
            <w:tcW w:w="1113" w:type="pct"/>
            <w:tcMar>
              <w:top w:w="0" w:type="dxa"/>
              <w:left w:w="108" w:type="dxa"/>
              <w:bottom w:w="0" w:type="dxa"/>
              <w:right w:w="108" w:type="dxa"/>
            </w:tcMar>
            <w:vAlign w:val="center"/>
          </w:tcPr>
          <w:p w14:paraId="07C3D86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00,000.00</w:t>
            </w:r>
          </w:p>
        </w:tc>
        <w:tc>
          <w:tcPr>
            <w:tcW w:w="1072" w:type="pct"/>
            <w:tcMar>
              <w:top w:w="0" w:type="dxa"/>
              <w:left w:w="108" w:type="dxa"/>
              <w:bottom w:w="0" w:type="dxa"/>
              <w:right w:w="108" w:type="dxa"/>
            </w:tcMar>
            <w:vAlign w:val="center"/>
          </w:tcPr>
          <w:p w14:paraId="7F52AD4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3.80</w:t>
            </w:r>
          </w:p>
        </w:tc>
      </w:tr>
      <w:tr w:rsidR="006416B0" w:rsidRPr="00B4515A" w14:paraId="0072EE3C" w14:textId="77777777" w:rsidTr="00031627">
        <w:trPr>
          <w:trHeight w:val="340"/>
          <w:jc w:val="center"/>
        </w:trPr>
        <w:tc>
          <w:tcPr>
            <w:tcW w:w="418" w:type="pct"/>
            <w:tcMar>
              <w:top w:w="0" w:type="dxa"/>
              <w:left w:w="108" w:type="dxa"/>
              <w:bottom w:w="0" w:type="dxa"/>
              <w:right w:w="108" w:type="dxa"/>
            </w:tcMar>
            <w:vAlign w:val="center"/>
          </w:tcPr>
          <w:p w14:paraId="095BF74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w:t>
            </w:r>
          </w:p>
        </w:tc>
        <w:tc>
          <w:tcPr>
            <w:tcW w:w="2396" w:type="pct"/>
            <w:tcMar>
              <w:top w:w="0" w:type="dxa"/>
              <w:left w:w="108" w:type="dxa"/>
              <w:bottom w:w="0" w:type="dxa"/>
              <w:right w:w="108" w:type="dxa"/>
            </w:tcMar>
            <w:vAlign w:val="center"/>
          </w:tcPr>
          <w:p w14:paraId="282A709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中车资本控股有限公司</w:t>
            </w:r>
          </w:p>
        </w:tc>
        <w:tc>
          <w:tcPr>
            <w:tcW w:w="1113" w:type="pct"/>
            <w:tcMar>
              <w:top w:w="0" w:type="dxa"/>
              <w:left w:w="108" w:type="dxa"/>
              <w:bottom w:w="0" w:type="dxa"/>
              <w:right w:w="108" w:type="dxa"/>
            </w:tcMar>
            <w:vAlign w:val="center"/>
          </w:tcPr>
          <w:p w14:paraId="7F2EAFE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00,000</w:t>
            </w:r>
            <w:r w:rsidRPr="00B4515A">
              <w:rPr>
                <w:rFonts w:ascii="Times New Roman" w:hAnsi="Times New Roman" w:cs="Times New Roman" w:hint="eastAsia"/>
                <w:sz w:val="21"/>
                <w:szCs w:val="21"/>
              </w:rPr>
              <w:t>.</w:t>
            </w:r>
            <w:r w:rsidRPr="00B4515A">
              <w:rPr>
                <w:rFonts w:ascii="Times New Roman" w:hAnsi="Times New Roman" w:cs="Times New Roman"/>
                <w:sz w:val="21"/>
                <w:szCs w:val="21"/>
              </w:rPr>
              <w:t>00</w:t>
            </w:r>
          </w:p>
        </w:tc>
        <w:tc>
          <w:tcPr>
            <w:tcW w:w="1072" w:type="pct"/>
            <w:tcMar>
              <w:top w:w="0" w:type="dxa"/>
              <w:left w:w="108" w:type="dxa"/>
              <w:bottom w:w="0" w:type="dxa"/>
              <w:right w:w="108" w:type="dxa"/>
            </w:tcMar>
            <w:vAlign w:val="center"/>
          </w:tcPr>
          <w:p w14:paraId="3D1F9A6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0</w:t>
            </w:r>
            <w:r w:rsidRPr="00B4515A">
              <w:rPr>
                <w:rFonts w:ascii="Times New Roman" w:hAnsi="Times New Roman" w:cs="Times New Roman"/>
                <w:sz w:val="21"/>
                <w:szCs w:val="21"/>
              </w:rPr>
              <w:t>.80</w:t>
            </w:r>
          </w:p>
        </w:tc>
      </w:tr>
      <w:tr w:rsidR="006416B0" w:rsidRPr="00B4515A" w14:paraId="7856328A" w14:textId="77777777" w:rsidTr="00031627">
        <w:trPr>
          <w:trHeight w:val="340"/>
          <w:jc w:val="center"/>
        </w:trPr>
        <w:tc>
          <w:tcPr>
            <w:tcW w:w="2815" w:type="pct"/>
            <w:gridSpan w:val="2"/>
            <w:tcMar>
              <w:top w:w="0" w:type="dxa"/>
              <w:left w:w="108" w:type="dxa"/>
              <w:bottom w:w="0" w:type="dxa"/>
              <w:right w:w="108" w:type="dxa"/>
            </w:tcMar>
            <w:vAlign w:val="center"/>
          </w:tcPr>
          <w:p w14:paraId="542A2998"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lastRenderedPageBreak/>
              <w:t>合计</w:t>
            </w:r>
          </w:p>
        </w:tc>
        <w:tc>
          <w:tcPr>
            <w:tcW w:w="1113" w:type="pct"/>
            <w:tcMar>
              <w:top w:w="0" w:type="dxa"/>
              <w:left w:w="108" w:type="dxa"/>
              <w:bottom w:w="0" w:type="dxa"/>
              <w:right w:w="108" w:type="dxa"/>
            </w:tcMar>
            <w:vAlign w:val="center"/>
          </w:tcPr>
          <w:p w14:paraId="708A9617"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13,100,000.00</w:t>
            </w:r>
          </w:p>
        </w:tc>
        <w:tc>
          <w:tcPr>
            <w:tcW w:w="1072" w:type="pct"/>
            <w:tcMar>
              <w:top w:w="0" w:type="dxa"/>
              <w:left w:w="108" w:type="dxa"/>
              <w:bottom w:w="0" w:type="dxa"/>
              <w:right w:w="108" w:type="dxa"/>
            </w:tcMar>
            <w:vAlign w:val="center"/>
          </w:tcPr>
          <w:p w14:paraId="0FACEEEA"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100.00</w:t>
            </w:r>
          </w:p>
        </w:tc>
      </w:tr>
    </w:tbl>
    <w:p w14:paraId="1DDDC66E" w14:textId="77777777" w:rsidR="006416B0" w:rsidRPr="00B4515A" w:rsidRDefault="005E58C1" w:rsidP="005860B4">
      <w:pPr>
        <w:pStyle w:val="005"/>
        <w:spacing w:before="120" w:after="120"/>
        <w:ind w:firstLine="480"/>
      </w:pPr>
      <w:r w:rsidRPr="00B4515A">
        <w:rPr>
          <w:rFonts w:hint="eastAsia"/>
        </w:rPr>
        <w:t>（</w:t>
      </w:r>
      <w:r w:rsidRPr="00B4515A">
        <w:t>2</w:t>
      </w:r>
      <w:r w:rsidRPr="00B4515A">
        <w:rPr>
          <w:rFonts w:hint="eastAsia"/>
        </w:rPr>
        <w:t>）</w:t>
      </w:r>
      <w:r w:rsidRPr="00B4515A">
        <w:rPr>
          <w:rFonts w:hint="eastAsia"/>
        </w:rPr>
        <w:t>2</w:t>
      </w:r>
      <w:r w:rsidRPr="00B4515A">
        <w:t>021</w:t>
      </w:r>
      <w:r w:rsidRPr="00B4515A">
        <w:rPr>
          <w:rFonts w:hint="eastAsia"/>
        </w:rPr>
        <w:t>年减资</w:t>
      </w:r>
    </w:p>
    <w:p w14:paraId="60122BD2" w14:textId="77777777" w:rsidR="006416B0" w:rsidRPr="00B4515A" w:rsidRDefault="005E58C1" w:rsidP="005860B4">
      <w:pPr>
        <w:pStyle w:val="005"/>
        <w:spacing w:before="120" w:after="120"/>
        <w:ind w:firstLine="480"/>
      </w:pPr>
      <w:r w:rsidRPr="00B4515A">
        <w:t>2020</w:t>
      </w:r>
      <w:r w:rsidRPr="00B4515A">
        <w:rPr>
          <w:rFonts w:hint="eastAsia"/>
        </w:rPr>
        <w:t>年</w:t>
      </w:r>
      <w:r w:rsidRPr="00B4515A">
        <w:t>11</w:t>
      </w:r>
      <w:r w:rsidRPr="00B4515A">
        <w:rPr>
          <w:rFonts w:hint="eastAsia"/>
        </w:rPr>
        <w:t>月</w:t>
      </w:r>
      <w:r w:rsidRPr="00B4515A">
        <w:t>27</w:t>
      </w:r>
      <w:r w:rsidRPr="00B4515A">
        <w:rPr>
          <w:rFonts w:hint="eastAsia"/>
        </w:rPr>
        <w:t>日，结构调整基金召开</w:t>
      </w:r>
      <w:r w:rsidRPr="00B4515A">
        <w:rPr>
          <w:rFonts w:hint="eastAsia"/>
        </w:rPr>
        <w:t>2</w:t>
      </w:r>
      <w:r w:rsidRPr="00B4515A">
        <w:t>020</w:t>
      </w:r>
      <w:r w:rsidRPr="00B4515A">
        <w:rPr>
          <w:rFonts w:hint="eastAsia"/>
        </w:rPr>
        <w:t>年第二次临时股东会，同意结构调整基金注册资本减少为</w:t>
      </w:r>
      <w:r w:rsidRPr="00B4515A">
        <w:rPr>
          <w:rFonts w:hint="eastAsia"/>
        </w:rPr>
        <w:t>9,882,608.6956</w:t>
      </w:r>
      <w:r w:rsidRPr="00B4515A">
        <w:rPr>
          <w:rFonts w:hint="eastAsia"/>
        </w:rPr>
        <w:t>万元。</w:t>
      </w:r>
    </w:p>
    <w:p w14:paraId="34280A88" w14:textId="77777777" w:rsidR="006416B0" w:rsidRPr="00B4515A" w:rsidRDefault="005E58C1" w:rsidP="005860B4">
      <w:pPr>
        <w:pStyle w:val="005"/>
        <w:spacing w:before="120" w:after="120"/>
        <w:ind w:firstLine="480"/>
      </w:pPr>
      <w:r w:rsidRPr="00B4515A">
        <w:rPr>
          <w:rFonts w:hint="eastAsia"/>
        </w:rPr>
        <w:t>2</w:t>
      </w:r>
      <w:r w:rsidRPr="00B4515A">
        <w:t>021</w:t>
      </w:r>
      <w:r w:rsidRPr="00B4515A">
        <w:rPr>
          <w:rFonts w:hint="eastAsia"/>
        </w:rPr>
        <w:t>年</w:t>
      </w:r>
      <w:r w:rsidRPr="00B4515A">
        <w:rPr>
          <w:rFonts w:hint="eastAsia"/>
        </w:rPr>
        <w:t>1</w:t>
      </w:r>
      <w:r w:rsidRPr="00B4515A">
        <w:rPr>
          <w:rFonts w:hint="eastAsia"/>
        </w:rPr>
        <w:t>月</w:t>
      </w:r>
      <w:r w:rsidRPr="00B4515A">
        <w:rPr>
          <w:rFonts w:hint="eastAsia"/>
        </w:rPr>
        <w:t>1</w:t>
      </w:r>
      <w:r w:rsidRPr="00B4515A">
        <w:t>8</w:t>
      </w:r>
      <w:r w:rsidRPr="00B4515A">
        <w:rPr>
          <w:rFonts w:hint="eastAsia"/>
        </w:rPr>
        <w:t>日，结构调整基金在《北京晚报》上刊登了减资公告。</w:t>
      </w:r>
    </w:p>
    <w:p w14:paraId="7F28C4D1" w14:textId="77777777" w:rsidR="006416B0" w:rsidRPr="00B4515A" w:rsidRDefault="005E58C1" w:rsidP="005860B4">
      <w:pPr>
        <w:pStyle w:val="005"/>
        <w:spacing w:before="120" w:after="120"/>
        <w:ind w:firstLine="480"/>
      </w:pPr>
      <w:r w:rsidRPr="00B4515A">
        <w:rPr>
          <w:rFonts w:hint="eastAsia"/>
        </w:rPr>
        <w:t>2</w:t>
      </w:r>
      <w:r w:rsidRPr="00B4515A">
        <w:t>021</w:t>
      </w:r>
      <w:r w:rsidRPr="00B4515A">
        <w:rPr>
          <w:rFonts w:hint="eastAsia"/>
        </w:rPr>
        <w:t>年</w:t>
      </w:r>
      <w:r w:rsidRPr="00B4515A">
        <w:rPr>
          <w:rFonts w:hint="eastAsia"/>
        </w:rPr>
        <w:t>3</w:t>
      </w:r>
      <w:r w:rsidRPr="00B4515A">
        <w:rPr>
          <w:rFonts w:hint="eastAsia"/>
        </w:rPr>
        <w:t>月</w:t>
      </w:r>
      <w:r w:rsidRPr="00B4515A">
        <w:t>23</w:t>
      </w:r>
      <w:r w:rsidRPr="00B4515A">
        <w:rPr>
          <w:rFonts w:hint="eastAsia"/>
        </w:rPr>
        <w:t>日，结构调整基金取得北京市西城区市场监督管理局就此次变更核发的《营业执照》。</w:t>
      </w:r>
    </w:p>
    <w:p w14:paraId="5A1375B8" w14:textId="77777777" w:rsidR="006416B0" w:rsidRPr="00B4515A" w:rsidRDefault="005E58C1" w:rsidP="005860B4">
      <w:pPr>
        <w:pStyle w:val="005"/>
        <w:spacing w:before="120" w:after="120"/>
        <w:ind w:firstLine="480"/>
      </w:pPr>
      <w:r w:rsidRPr="00B4515A">
        <w:rPr>
          <w:rFonts w:eastAsiaTheme="minorEastAsia" w:hint="eastAsia"/>
        </w:rPr>
        <w:t>本次减资后，</w:t>
      </w:r>
      <w:r w:rsidRPr="00B4515A">
        <w:rPr>
          <w:rFonts w:hint="eastAsia"/>
        </w:rPr>
        <w:t>结构调整基金</w:t>
      </w:r>
      <w:r w:rsidRPr="00B4515A">
        <w:t>的股权结构为</w:t>
      </w:r>
      <w:r w:rsidRPr="00B4515A">
        <w:rPr>
          <w:rFonts w:hint="eastAsia"/>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15"/>
        <w:gridCol w:w="3809"/>
        <w:gridCol w:w="2043"/>
        <w:gridCol w:w="1961"/>
      </w:tblGrid>
      <w:tr w:rsidR="006416B0" w:rsidRPr="00B4515A" w14:paraId="33E2210C" w14:textId="77777777" w:rsidTr="00031627">
        <w:trPr>
          <w:trHeight w:val="340"/>
          <w:jc w:val="center"/>
        </w:trPr>
        <w:tc>
          <w:tcPr>
            <w:tcW w:w="419" w:type="pct"/>
            <w:tcMar>
              <w:top w:w="0" w:type="dxa"/>
              <w:left w:w="108" w:type="dxa"/>
              <w:bottom w:w="0" w:type="dxa"/>
              <w:right w:w="108" w:type="dxa"/>
            </w:tcMar>
            <w:vAlign w:val="center"/>
          </w:tcPr>
          <w:p w14:paraId="3797EDF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2233" w:type="pct"/>
            <w:tcMar>
              <w:top w:w="0" w:type="dxa"/>
              <w:left w:w="108" w:type="dxa"/>
              <w:bottom w:w="0" w:type="dxa"/>
              <w:right w:w="108" w:type="dxa"/>
            </w:tcMar>
            <w:vAlign w:val="center"/>
          </w:tcPr>
          <w:p w14:paraId="5A91A3BA"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股东名称</w:t>
            </w:r>
          </w:p>
        </w:tc>
        <w:tc>
          <w:tcPr>
            <w:tcW w:w="1198" w:type="pct"/>
            <w:tcMar>
              <w:top w:w="0" w:type="dxa"/>
              <w:left w:w="108" w:type="dxa"/>
              <w:bottom w:w="0" w:type="dxa"/>
              <w:right w:w="108" w:type="dxa"/>
            </w:tcMar>
            <w:vAlign w:val="center"/>
          </w:tcPr>
          <w:p w14:paraId="204305D7"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出资额（万元）</w:t>
            </w:r>
          </w:p>
        </w:tc>
        <w:tc>
          <w:tcPr>
            <w:tcW w:w="1150" w:type="pct"/>
            <w:tcMar>
              <w:top w:w="0" w:type="dxa"/>
              <w:left w:w="108" w:type="dxa"/>
              <w:bottom w:w="0" w:type="dxa"/>
              <w:right w:w="108" w:type="dxa"/>
            </w:tcMar>
            <w:vAlign w:val="center"/>
          </w:tcPr>
          <w:p w14:paraId="4643D8D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出资比例（％）</w:t>
            </w:r>
          </w:p>
        </w:tc>
      </w:tr>
      <w:tr w:rsidR="006416B0" w:rsidRPr="00B4515A" w14:paraId="08A17D08" w14:textId="77777777" w:rsidTr="00031627">
        <w:trPr>
          <w:trHeight w:val="340"/>
          <w:jc w:val="center"/>
        </w:trPr>
        <w:tc>
          <w:tcPr>
            <w:tcW w:w="419" w:type="pct"/>
            <w:tcMar>
              <w:top w:w="0" w:type="dxa"/>
              <w:left w:w="108" w:type="dxa"/>
              <w:bottom w:w="0" w:type="dxa"/>
              <w:right w:w="108" w:type="dxa"/>
            </w:tcMar>
            <w:vAlign w:val="center"/>
          </w:tcPr>
          <w:p w14:paraId="051A8FA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2233" w:type="pct"/>
            <w:tcMar>
              <w:top w:w="0" w:type="dxa"/>
              <w:left w:w="108" w:type="dxa"/>
              <w:bottom w:w="0" w:type="dxa"/>
              <w:right w:w="108" w:type="dxa"/>
            </w:tcMar>
            <w:vAlign w:val="center"/>
          </w:tcPr>
          <w:p w14:paraId="67056EF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中国诚通控股集团有限公司</w:t>
            </w:r>
          </w:p>
        </w:tc>
        <w:tc>
          <w:tcPr>
            <w:tcW w:w="1198" w:type="pct"/>
            <w:tcMar>
              <w:top w:w="0" w:type="dxa"/>
              <w:left w:w="108" w:type="dxa"/>
              <w:bottom w:w="0" w:type="dxa"/>
              <w:right w:w="108" w:type="dxa"/>
            </w:tcMar>
            <w:vAlign w:val="center"/>
          </w:tcPr>
          <w:p w14:paraId="567E6174" w14:textId="4F76A433"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3</w:t>
            </w:r>
            <w:r w:rsidR="00FE7BD3" w:rsidRPr="00B4515A">
              <w:rPr>
                <w:rFonts w:ascii="Times New Roman" w:hAnsi="Times New Roman" w:cs="Times New Roman"/>
                <w:sz w:val="21"/>
                <w:szCs w:val="21"/>
              </w:rPr>
              <w:t>,</w:t>
            </w:r>
            <w:r w:rsidRPr="00B4515A">
              <w:rPr>
                <w:rFonts w:ascii="Times New Roman" w:hAnsi="Times New Roman" w:cs="Times New Roman"/>
                <w:sz w:val="21"/>
                <w:szCs w:val="21"/>
              </w:rPr>
              <w:t>000,000</w:t>
            </w:r>
            <w:r w:rsidRPr="00B4515A">
              <w:rPr>
                <w:rFonts w:ascii="Times New Roman" w:hAnsi="Times New Roman" w:cs="Times New Roman" w:hint="eastAsia"/>
                <w:sz w:val="21"/>
                <w:szCs w:val="21"/>
              </w:rPr>
              <w:t>.</w:t>
            </w:r>
            <w:r w:rsidRPr="00B4515A">
              <w:rPr>
                <w:rFonts w:ascii="Times New Roman" w:hAnsi="Times New Roman" w:cs="Times New Roman"/>
                <w:sz w:val="21"/>
                <w:szCs w:val="21"/>
              </w:rPr>
              <w:t>00</w:t>
            </w:r>
          </w:p>
        </w:tc>
        <w:tc>
          <w:tcPr>
            <w:tcW w:w="1150" w:type="pct"/>
            <w:tcMar>
              <w:top w:w="0" w:type="dxa"/>
              <w:left w:w="108" w:type="dxa"/>
              <w:bottom w:w="0" w:type="dxa"/>
              <w:right w:w="108" w:type="dxa"/>
            </w:tcMar>
            <w:vAlign w:val="center"/>
          </w:tcPr>
          <w:p w14:paraId="496D7EA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30.36</w:t>
            </w:r>
          </w:p>
        </w:tc>
      </w:tr>
      <w:tr w:rsidR="006416B0" w:rsidRPr="00B4515A" w14:paraId="325FD47F" w14:textId="77777777" w:rsidTr="00031627">
        <w:trPr>
          <w:trHeight w:val="340"/>
          <w:jc w:val="center"/>
        </w:trPr>
        <w:tc>
          <w:tcPr>
            <w:tcW w:w="419" w:type="pct"/>
            <w:tcMar>
              <w:top w:w="0" w:type="dxa"/>
              <w:left w:w="108" w:type="dxa"/>
              <w:bottom w:w="0" w:type="dxa"/>
              <w:right w:w="108" w:type="dxa"/>
            </w:tcMar>
            <w:vAlign w:val="center"/>
          </w:tcPr>
          <w:p w14:paraId="364648A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2233" w:type="pct"/>
            <w:tcMar>
              <w:top w:w="0" w:type="dxa"/>
              <w:left w:w="108" w:type="dxa"/>
              <w:bottom w:w="0" w:type="dxa"/>
              <w:right w:w="108" w:type="dxa"/>
            </w:tcMar>
            <w:vAlign w:val="center"/>
          </w:tcPr>
          <w:p w14:paraId="415D7FE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建信（北京）投资基金管理有限公司</w:t>
            </w:r>
          </w:p>
        </w:tc>
        <w:tc>
          <w:tcPr>
            <w:tcW w:w="1198" w:type="pct"/>
            <w:tcMar>
              <w:top w:w="0" w:type="dxa"/>
              <w:left w:w="108" w:type="dxa"/>
              <w:bottom w:w="0" w:type="dxa"/>
              <w:right w:w="108" w:type="dxa"/>
            </w:tcMar>
            <w:vAlign w:val="center"/>
          </w:tcPr>
          <w:p w14:paraId="3B0100A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2,500,000.00</w:t>
            </w:r>
          </w:p>
        </w:tc>
        <w:tc>
          <w:tcPr>
            <w:tcW w:w="1150" w:type="pct"/>
            <w:tcMar>
              <w:top w:w="0" w:type="dxa"/>
              <w:left w:w="108" w:type="dxa"/>
              <w:bottom w:w="0" w:type="dxa"/>
              <w:right w:w="108" w:type="dxa"/>
            </w:tcMar>
            <w:vAlign w:val="center"/>
          </w:tcPr>
          <w:p w14:paraId="3083264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2</w:t>
            </w:r>
            <w:r w:rsidRPr="00B4515A">
              <w:rPr>
                <w:rFonts w:ascii="Times New Roman" w:hAnsi="Times New Roman" w:cs="Times New Roman"/>
                <w:sz w:val="21"/>
                <w:szCs w:val="21"/>
              </w:rPr>
              <w:t>5.30</w:t>
            </w:r>
          </w:p>
        </w:tc>
      </w:tr>
      <w:tr w:rsidR="006416B0" w:rsidRPr="00B4515A" w14:paraId="170564D1" w14:textId="77777777" w:rsidTr="00031627">
        <w:trPr>
          <w:trHeight w:val="340"/>
          <w:jc w:val="center"/>
        </w:trPr>
        <w:tc>
          <w:tcPr>
            <w:tcW w:w="419" w:type="pct"/>
            <w:tcMar>
              <w:top w:w="0" w:type="dxa"/>
              <w:left w:w="108" w:type="dxa"/>
              <w:bottom w:w="0" w:type="dxa"/>
              <w:right w:w="108" w:type="dxa"/>
            </w:tcMar>
            <w:vAlign w:val="center"/>
          </w:tcPr>
          <w:p w14:paraId="2167E52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3</w:t>
            </w:r>
          </w:p>
        </w:tc>
        <w:tc>
          <w:tcPr>
            <w:tcW w:w="2233" w:type="pct"/>
            <w:tcMar>
              <w:top w:w="0" w:type="dxa"/>
              <w:left w:w="108" w:type="dxa"/>
              <w:bottom w:w="0" w:type="dxa"/>
              <w:right w:w="108" w:type="dxa"/>
            </w:tcMar>
            <w:vAlign w:val="center"/>
          </w:tcPr>
          <w:p w14:paraId="29CEDAE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深圳市招商金葵资本管理有限责任公司</w:t>
            </w:r>
          </w:p>
        </w:tc>
        <w:tc>
          <w:tcPr>
            <w:tcW w:w="1198" w:type="pct"/>
            <w:tcMar>
              <w:top w:w="0" w:type="dxa"/>
              <w:left w:w="108" w:type="dxa"/>
              <w:bottom w:w="0" w:type="dxa"/>
              <w:right w:w="108" w:type="dxa"/>
            </w:tcMar>
            <w:vAlign w:val="center"/>
          </w:tcPr>
          <w:p w14:paraId="7FB1235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,282,608.6956</w:t>
            </w:r>
          </w:p>
        </w:tc>
        <w:tc>
          <w:tcPr>
            <w:tcW w:w="1150" w:type="pct"/>
            <w:tcMar>
              <w:top w:w="0" w:type="dxa"/>
              <w:left w:w="108" w:type="dxa"/>
              <w:bottom w:w="0" w:type="dxa"/>
              <w:right w:w="108" w:type="dxa"/>
            </w:tcMar>
            <w:vAlign w:val="center"/>
          </w:tcPr>
          <w:p w14:paraId="49A6974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2.98</w:t>
            </w:r>
          </w:p>
        </w:tc>
      </w:tr>
      <w:tr w:rsidR="006416B0" w:rsidRPr="00B4515A" w14:paraId="7398897F" w14:textId="77777777" w:rsidTr="00031627">
        <w:trPr>
          <w:trHeight w:val="340"/>
          <w:jc w:val="center"/>
        </w:trPr>
        <w:tc>
          <w:tcPr>
            <w:tcW w:w="419" w:type="pct"/>
            <w:tcMar>
              <w:top w:w="0" w:type="dxa"/>
              <w:left w:w="108" w:type="dxa"/>
              <w:bottom w:w="0" w:type="dxa"/>
              <w:right w:w="108" w:type="dxa"/>
            </w:tcMar>
            <w:vAlign w:val="center"/>
          </w:tcPr>
          <w:p w14:paraId="44F9755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4</w:t>
            </w:r>
          </w:p>
        </w:tc>
        <w:tc>
          <w:tcPr>
            <w:tcW w:w="2233" w:type="pct"/>
            <w:tcMar>
              <w:top w:w="0" w:type="dxa"/>
              <w:left w:w="108" w:type="dxa"/>
              <w:bottom w:w="0" w:type="dxa"/>
              <w:right w:w="108" w:type="dxa"/>
            </w:tcMar>
            <w:vAlign w:val="center"/>
          </w:tcPr>
          <w:p w14:paraId="3117C5D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中国兵器工业集团有限公司</w:t>
            </w:r>
          </w:p>
        </w:tc>
        <w:tc>
          <w:tcPr>
            <w:tcW w:w="1198" w:type="pct"/>
            <w:tcMar>
              <w:top w:w="0" w:type="dxa"/>
              <w:left w:w="108" w:type="dxa"/>
              <w:bottom w:w="0" w:type="dxa"/>
              <w:right w:w="108" w:type="dxa"/>
            </w:tcMar>
            <w:vAlign w:val="center"/>
          </w:tcPr>
          <w:p w14:paraId="780E12F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00,000.00</w:t>
            </w:r>
          </w:p>
        </w:tc>
        <w:tc>
          <w:tcPr>
            <w:tcW w:w="1150" w:type="pct"/>
            <w:tcMar>
              <w:top w:w="0" w:type="dxa"/>
              <w:left w:w="108" w:type="dxa"/>
              <w:bottom w:w="0" w:type="dxa"/>
              <w:right w:w="108" w:type="dxa"/>
            </w:tcMar>
            <w:vAlign w:val="center"/>
          </w:tcPr>
          <w:p w14:paraId="4EFA4E3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.06</w:t>
            </w:r>
          </w:p>
        </w:tc>
      </w:tr>
      <w:tr w:rsidR="006416B0" w:rsidRPr="00B4515A" w14:paraId="44485434" w14:textId="77777777" w:rsidTr="00031627">
        <w:trPr>
          <w:trHeight w:val="340"/>
          <w:jc w:val="center"/>
        </w:trPr>
        <w:tc>
          <w:tcPr>
            <w:tcW w:w="419" w:type="pct"/>
            <w:tcMar>
              <w:top w:w="0" w:type="dxa"/>
              <w:left w:w="108" w:type="dxa"/>
              <w:bottom w:w="0" w:type="dxa"/>
              <w:right w:w="108" w:type="dxa"/>
            </w:tcMar>
            <w:vAlign w:val="center"/>
          </w:tcPr>
          <w:p w14:paraId="3DDFB95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5</w:t>
            </w:r>
          </w:p>
        </w:tc>
        <w:tc>
          <w:tcPr>
            <w:tcW w:w="2233" w:type="pct"/>
            <w:tcMar>
              <w:top w:w="0" w:type="dxa"/>
              <w:left w:w="108" w:type="dxa"/>
              <w:bottom w:w="0" w:type="dxa"/>
              <w:right w:w="108" w:type="dxa"/>
            </w:tcMar>
            <w:vAlign w:val="center"/>
          </w:tcPr>
          <w:p w14:paraId="4AD5D6C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中国石油化工集团有限公司</w:t>
            </w:r>
          </w:p>
        </w:tc>
        <w:tc>
          <w:tcPr>
            <w:tcW w:w="1198" w:type="pct"/>
            <w:tcMar>
              <w:top w:w="0" w:type="dxa"/>
              <w:left w:w="108" w:type="dxa"/>
              <w:bottom w:w="0" w:type="dxa"/>
              <w:right w:w="108" w:type="dxa"/>
            </w:tcMar>
            <w:vAlign w:val="center"/>
          </w:tcPr>
          <w:p w14:paraId="089E906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00,000.00</w:t>
            </w:r>
          </w:p>
        </w:tc>
        <w:tc>
          <w:tcPr>
            <w:tcW w:w="1150" w:type="pct"/>
            <w:tcMar>
              <w:top w:w="0" w:type="dxa"/>
              <w:left w:w="108" w:type="dxa"/>
              <w:bottom w:w="0" w:type="dxa"/>
              <w:right w:w="108" w:type="dxa"/>
            </w:tcMar>
            <w:vAlign w:val="center"/>
          </w:tcPr>
          <w:p w14:paraId="4615902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.06</w:t>
            </w:r>
          </w:p>
        </w:tc>
      </w:tr>
      <w:tr w:rsidR="006416B0" w:rsidRPr="00B4515A" w14:paraId="130FFD3A" w14:textId="77777777" w:rsidTr="00031627">
        <w:trPr>
          <w:trHeight w:val="340"/>
          <w:jc w:val="center"/>
        </w:trPr>
        <w:tc>
          <w:tcPr>
            <w:tcW w:w="419" w:type="pct"/>
            <w:tcMar>
              <w:top w:w="0" w:type="dxa"/>
              <w:left w:w="108" w:type="dxa"/>
              <w:bottom w:w="0" w:type="dxa"/>
              <w:right w:w="108" w:type="dxa"/>
            </w:tcMar>
            <w:vAlign w:val="center"/>
          </w:tcPr>
          <w:p w14:paraId="25D32A8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6</w:t>
            </w:r>
          </w:p>
        </w:tc>
        <w:tc>
          <w:tcPr>
            <w:tcW w:w="2233" w:type="pct"/>
            <w:tcMar>
              <w:top w:w="0" w:type="dxa"/>
              <w:left w:w="108" w:type="dxa"/>
              <w:bottom w:w="0" w:type="dxa"/>
              <w:right w:w="108" w:type="dxa"/>
            </w:tcMar>
            <w:vAlign w:val="center"/>
          </w:tcPr>
          <w:p w14:paraId="31135C8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国家能源投资集团有限责任公司</w:t>
            </w:r>
          </w:p>
        </w:tc>
        <w:tc>
          <w:tcPr>
            <w:tcW w:w="1198" w:type="pct"/>
            <w:tcMar>
              <w:top w:w="0" w:type="dxa"/>
              <w:left w:w="108" w:type="dxa"/>
              <w:bottom w:w="0" w:type="dxa"/>
              <w:right w:w="108" w:type="dxa"/>
            </w:tcMar>
            <w:vAlign w:val="center"/>
          </w:tcPr>
          <w:p w14:paraId="4ED0841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00,000.00</w:t>
            </w:r>
          </w:p>
        </w:tc>
        <w:tc>
          <w:tcPr>
            <w:tcW w:w="1150" w:type="pct"/>
            <w:tcMar>
              <w:top w:w="0" w:type="dxa"/>
              <w:left w:w="108" w:type="dxa"/>
              <w:bottom w:w="0" w:type="dxa"/>
              <w:right w:w="108" w:type="dxa"/>
            </w:tcMar>
            <w:vAlign w:val="center"/>
          </w:tcPr>
          <w:p w14:paraId="3067A41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.06</w:t>
            </w:r>
          </w:p>
        </w:tc>
      </w:tr>
      <w:tr w:rsidR="006416B0" w:rsidRPr="00B4515A" w14:paraId="524C6B78" w14:textId="77777777" w:rsidTr="00031627">
        <w:trPr>
          <w:trHeight w:val="340"/>
          <w:jc w:val="center"/>
        </w:trPr>
        <w:tc>
          <w:tcPr>
            <w:tcW w:w="419" w:type="pct"/>
            <w:tcMar>
              <w:top w:w="0" w:type="dxa"/>
              <w:left w:w="108" w:type="dxa"/>
              <w:bottom w:w="0" w:type="dxa"/>
              <w:right w:w="108" w:type="dxa"/>
            </w:tcMar>
            <w:vAlign w:val="center"/>
          </w:tcPr>
          <w:p w14:paraId="677243E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7</w:t>
            </w:r>
          </w:p>
        </w:tc>
        <w:tc>
          <w:tcPr>
            <w:tcW w:w="2233" w:type="pct"/>
            <w:tcMar>
              <w:top w:w="0" w:type="dxa"/>
              <w:left w:w="108" w:type="dxa"/>
              <w:bottom w:w="0" w:type="dxa"/>
              <w:right w:w="108" w:type="dxa"/>
            </w:tcMar>
            <w:vAlign w:val="center"/>
          </w:tcPr>
          <w:p w14:paraId="25A2F63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中国移动通信集团有限公司</w:t>
            </w:r>
          </w:p>
        </w:tc>
        <w:tc>
          <w:tcPr>
            <w:tcW w:w="1198" w:type="pct"/>
            <w:tcMar>
              <w:top w:w="0" w:type="dxa"/>
              <w:left w:w="108" w:type="dxa"/>
              <w:bottom w:w="0" w:type="dxa"/>
              <w:right w:w="108" w:type="dxa"/>
            </w:tcMar>
            <w:vAlign w:val="center"/>
          </w:tcPr>
          <w:p w14:paraId="77CC6FE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00,000.00</w:t>
            </w:r>
          </w:p>
        </w:tc>
        <w:tc>
          <w:tcPr>
            <w:tcW w:w="1150" w:type="pct"/>
            <w:tcMar>
              <w:top w:w="0" w:type="dxa"/>
              <w:left w:w="108" w:type="dxa"/>
              <w:bottom w:w="0" w:type="dxa"/>
              <w:right w:w="108" w:type="dxa"/>
            </w:tcMar>
            <w:vAlign w:val="center"/>
          </w:tcPr>
          <w:p w14:paraId="78EDB52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.06</w:t>
            </w:r>
          </w:p>
        </w:tc>
      </w:tr>
      <w:tr w:rsidR="006416B0" w:rsidRPr="00B4515A" w14:paraId="764262FB" w14:textId="77777777" w:rsidTr="00031627">
        <w:trPr>
          <w:trHeight w:val="340"/>
          <w:jc w:val="center"/>
        </w:trPr>
        <w:tc>
          <w:tcPr>
            <w:tcW w:w="419" w:type="pct"/>
            <w:tcMar>
              <w:top w:w="0" w:type="dxa"/>
              <w:left w:w="108" w:type="dxa"/>
              <w:bottom w:w="0" w:type="dxa"/>
              <w:right w:w="108" w:type="dxa"/>
            </w:tcMar>
            <w:vAlign w:val="center"/>
          </w:tcPr>
          <w:p w14:paraId="58C3B8A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8</w:t>
            </w:r>
          </w:p>
        </w:tc>
        <w:tc>
          <w:tcPr>
            <w:tcW w:w="2233" w:type="pct"/>
            <w:tcMar>
              <w:top w:w="0" w:type="dxa"/>
              <w:left w:w="108" w:type="dxa"/>
              <w:bottom w:w="0" w:type="dxa"/>
              <w:right w:w="108" w:type="dxa"/>
            </w:tcMar>
            <w:vAlign w:val="center"/>
          </w:tcPr>
          <w:p w14:paraId="678ED0C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中国交通建设集团有限公司</w:t>
            </w:r>
          </w:p>
        </w:tc>
        <w:tc>
          <w:tcPr>
            <w:tcW w:w="1198" w:type="pct"/>
            <w:tcMar>
              <w:top w:w="0" w:type="dxa"/>
              <w:left w:w="108" w:type="dxa"/>
              <w:bottom w:w="0" w:type="dxa"/>
              <w:right w:w="108" w:type="dxa"/>
            </w:tcMar>
            <w:vAlign w:val="center"/>
          </w:tcPr>
          <w:p w14:paraId="6CEB54E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00,000.00</w:t>
            </w:r>
          </w:p>
        </w:tc>
        <w:tc>
          <w:tcPr>
            <w:tcW w:w="1150" w:type="pct"/>
            <w:tcMar>
              <w:top w:w="0" w:type="dxa"/>
              <w:left w:w="108" w:type="dxa"/>
              <w:bottom w:w="0" w:type="dxa"/>
              <w:right w:w="108" w:type="dxa"/>
            </w:tcMar>
            <w:vAlign w:val="center"/>
          </w:tcPr>
          <w:p w14:paraId="1B25052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.06</w:t>
            </w:r>
          </w:p>
        </w:tc>
      </w:tr>
      <w:tr w:rsidR="006416B0" w:rsidRPr="00B4515A" w14:paraId="50CAFBBD" w14:textId="77777777" w:rsidTr="00031627">
        <w:trPr>
          <w:trHeight w:val="340"/>
          <w:jc w:val="center"/>
        </w:trPr>
        <w:tc>
          <w:tcPr>
            <w:tcW w:w="419" w:type="pct"/>
            <w:tcMar>
              <w:top w:w="0" w:type="dxa"/>
              <w:left w:w="108" w:type="dxa"/>
              <w:bottom w:w="0" w:type="dxa"/>
              <w:right w:w="108" w:type="dxa"/>
            </w:tcMar>
            <w:vAlign w:val="center"/>
          </w:tcPr>
          <w:p w14:paraId="6BDC268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9</w:t>
            </w:r>
          </w:p>
        </w:tc>
        <w:tc>
          <w:tcPr>
            <w:tcW w:w="2233" w:type="pct"/>
            <w:tcMar>
              <w:top w:w="0" w:type="dxa"/>
              <w:left w:w="108" w:type="dxa"/>
              <w:bottom w:w="0" w:type="dxa"/>
              <w:right w:w="108" w:type="dxa"/>
            </w:tcMar>
            <w:vAlign w:val="center"/>
          </w:tcPr>
          <w:p w14:paraId="77BEDFE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北京金融街投资（集团）有限公司</w:t>
            </w:r>
          </w:p>
        </w:tc>
        <w:tc>
          <w:tcPr>
            <w:tcW w:w="1198" w:type="pct"/>
            <w:tcMar>
              <w:top w:w="0" w:type="dxa"/>
              <w:left w:w="108" w:type="dxa"/>
              <w:bottom w:w="0" w:type="dxa"/>
              <w:right w:w="108" w:type="dxa"/>
            </w:tcMar>
            <w:vAlign w:val="center"/>
          </w:tcPr>
          <w:p w14:paraId="709FCF0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00,000.00</w:t>
            </w:r>
          </w:p>
        </w:tc>
        <w:tc>
          <w:tcPr>
            <w:tcW w:w="1150" w:type="pct"/>
            <w:tcMar>
              <w:top w:w="0" w:type="dxa"/>
              <w:left w:w="108" w:type="dxa"/>
              <w:bottom w:w="0" w:type="dxa"/>
              <w:right w:w="108" w:type="dxa"/>
            </w:tcMar>
            <w:vAlign w:val="center"/>
          </w:tcPr>
          <w:p w14:paraId="3DD5DEA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5</w:t>
            </w:r>
            <w:r w:rsidRPr="00B4515A">
              <w:rPr>
                <w:rFonts w:ascii="Times New Roman" w:hAnsi="Times New Roman" w:cs="Times New Roman"/>
                <w:sz w:val="21"/>
                <w:szCs w:val="21"/>
              </w:rPr>
              <w:t>.06</w:t>
            </w:r>
          </w:p>
        </w:tc>
      </w:tr>
      <w:tr w:rsidR="006416B0" w:rsidRPr="00B4515A" w14:paraId="4B1EECA1" w14:textId="77777777" w:rsidTr="00031627">
        <w:trPr>
          <w:trHeight w:val="340"/>
          <w:jc w:val="center"/>
        </w:trPr>
        <w:tc>
          <w:tcPr>
            <w:tcW w:w="419" w:type="pct"/>
            <w:tcMar>
              <w:top w:w="0" w:type="dxa"/>
              <w:left w:w="108" w:type="dxa"/>
              <w:bottom w:w="0" w:type="dxa"/>
              <w:right w:w="108" w:type="dxa"/>
            </w:tcMar>
            <w:vAlign w:val="center"/>
          </w:tcPr>
          <w:p w14:paraId="16286A6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w:t>
            </w:r>
          </w:p>
        </w:tc>
        <w:tc>
          <w:tcPr>
            <w:tcW w:w="2233" w:type="pct"/>
            <w:tcMar>
              <w:top w:w="0" w:type="dxa"/>
              <w:left w:w="108" w:type="dxa"/>
              <w:bottom w:w="0" w:type="dxa"/>
              <w:right w:w="108" w:type="dxa"/>
            </w:tcMar>
            <w:vAlign w:val="center"/>
          </w:tcPr>
          <w:p w14:paraId="2787157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中车资本控股有限公司</w:t>
            </w:r>
          </w:p>
        </w:tc>
        <w:tc>
          <w:tcPr>
            <w:tcW w:w="1198" w:type="pct"/>
            <w:tcMar>
              <w:top w:w="0" w:type="dxa"/>
              <w:left w:w="108" w:type="dxa"/>
              <w:bottom w:w="0" w:type="dxa"/>
              <w:right w:w="108" w:type="dxa"/>
            </w:tcMar>
            <w:vAlign w:val="center"/>
          </w:tcPr>
          <w:p w14:paraId="044E349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00,000</w:t>
            </w:r>
            <w:r w:rsidRPr="00B4515A">
              <w:rPr>
                <w:rFonts w:ascii="Times New Roman" w:hAnsi="Times New Roman" w:cs="Times New Roman" w:hint="eastAsia"/>
                <w:sz w:val="21"/>
                <w:szCs w:val="21"/>
              </w:rPr>
              <w:t>.</w:t>
            </w:r>
            <w:r w:rsidRPr="00B4515A">
              <w:rPr>
                <w:rFonts w:ascii="Times New Roman" w:hAnsi="Times New Roman" w:cs="Times New Roman"/>
                <w:sz w:val="21"/>
                <w:szCs w:val="21"/>
              </w:rPr>
              <w:t>00</w:t>
            </w:r>
          </w:p>
        </w:tc>
        <w:tc>
          <w:tcPr>
            <w:tcW w:w="1150" w:type="pct"/>
            <w:tcMar>
              <w:top w:w="0" w:type="dxa"/>
              <w:left w:w="108" w:type="dxa"/>
              <w:bottom w:w="0" w:type="dxa"/>
              <w:right w:w="108" w:type="dxa"/>
            </w:tcMar>
            <w:vAlign w:val="center"/>
          </w:tcPr>
          <w:p w14:paraId="47455D7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.01</w:t>
            </w:r>
          </w:p>
        </w:tc>
      </w:tr>
      <w:tr w:rsidR="006416B0" w:rsidRPr="00B4515A" w14:paraId="2A56F1B2" w14:textId="77777777" w:rsidTr="00031627">
        <w:trPr>
          <w:trHeight w:val="340"/>
          <w:jc w:val="center"/>
        </w:trPr>
        <w:tc>
          <w:tcPr>
            <w:tcW w:w="2652" w:type="pct"/>
            <w:gridSpan w:val="2"/>
            <w:tcMar>
              <w:top w:w="0" w:type="dxa"/>
              <w:left w:w="108" w:type="dxa"/>
              <w:bottom w:w="0" w:type="dxa"/>
              <w:right w:w="108" w:type="dxa"/>
            </w:tcMar>
            <w:vAlign w:val="center"/>
          </w:tcPr>
          <w:p w14:paraId="7C68ACE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合计</w:t>
            </w:r>
          </w:p>
        </w:tc>
        <w:tc>
          <w:tcPr>
            <w:tcW w:w="1198" w:type="pct"/>
            <w:tcMar>
              <w:top w:w="0" w:type="dxa"/>
              <w:left w:w="108" w:type="dxa"/>
              <w:bottom w:w="0" w:type="dxa"/>
              <w:right w:w="108" w:type="dxa"/>
            </w:tcMar>
            <w:vAlign w:val="center"/>
          </w:tcPr>
          <w:p w14:paraId="56BD567B"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9,882,608.6956</w:t>
            </w:r>
          </w:p>
        </w:tc>
        <w:tc>
          <w:tcPr>
            <w:tcW w:w="1150" w:type="pct"/>
            <w:tcMar>
              <w:top w:w="0" w:type="dxa"/>
              <w:left w:w="108" w:type="dxa"/>
              <w:bottom w:w="0" w:type="dxa"/>
              <w:right w:w="108" w:type="dxa"/>
            </w:tcMar>
            <w:vAlign w:val="center"/>
          </w:tcPr>
          <w:p w14:paraId="38AB9A9B"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100.00</w:t>
            </w:r>
          </w:p>
        </w:tc>
      </w:tr>
    </w:tbl>
    <w:p w14:paraId="6482F4C8" w14:textId="77777777" w:rsidR="006416B0" w:rsidRPr="00B4515A" w:rsidRDefault="005E58C1" w:rsidP="005860B4">
      <w:pPr>
        <w:pStyle w:val="006"/>
        <w:ind w:firstLine="420"/>
      </w:pPr>
      <w:r w:rsidRPr="00B4515A">
        <w:rPr>
          <w:rFonts w:hint="eastAsia"/>
        </w:rPr>
        <w:t>注：</w:t>
      </w:r>
      <w:r w:rsidRPr="00B4515A">
        <w:t>2020</w:t>
      </w:r>
      <w:r w:rsidRPr="00B4515A">
        <w:rPr>
          <w:rFonts w:hint="eastAsia"/>
        </w:rPr>
        <w:t>年</w:t>
      </w:r>
      <w:r w:rsidRPr="00B4515A">
        <w:t>7</w:t>
      </w:r>
      <w:r w:rsidRPr="00B4515A">
        <w:rPr>
          <w:rFonts w:hint="eastAsia"/>
        </w:rPr>
        <w:t>月，结构调整基金进行一次股东更名，其中：中国移动通信集团公司更名为中国移动通信集团有限公司、神华集团有限责任公司更名为国家能源投资集团有限责任公司、中国兵器工业集团公司更名为中国兵器工业集团有限公司、中国石油化工集团公司更名为中国石油化工集团有限公司。各股东股份结构未发生变化。</w:t>
      </w:r>
    </w:p>
    <w:p w14:paraId="0EF58290" w14:textId="77777777" w:rsidR="006416B0" w:rsidRPr="00B4515A" w:rsidRDefault="005E58C1" w:rsidP="005860B4">
      <w:pPr>
        <w:pStyle w:val="004"/>
        <w:spacing w:before="120" w:after="120"/>
        <w:ind w:firstLine="482"/>
      </w:pPr>
      <w:r w:rsidRPr="00B4515A">
        <w:t>3</w:t>
      </w:r>
      <w:r w:rsidRPr="00B4515A">
        <w:rPr>
          <w:rFonts w:hint="eastAsia"/>
        </w:rPr>
        <w:t>、最近三年注册资本变化情况</w:t>
      </w:r>
    </w:p>
    <w:p w14:paraId="7B9E82FC" w14:textId="77777777" w:rsidR="006416B0" w:rsidRPr="00B4515A" w:rsidRDefault="005E58C1" w:rsidP="005860B4">
      <w:pPr>
        <w:pStyle w:val="005"/>
        <w:spacing w:before="120" w:after="120"/>
        <w:ind w:firstLine="480"/>
      </w:pPr>
      <w:r w:rsidRPr="00B4515A">
        <w:t>详见本报告书</w:t>
      </w:r>
      <w:r w:rsidRPr="00B4515A">
        <w:rPr>
          <w:rFonts w:ascii="宋体" w:hAnsi="宋体" w:hint="eastAsia"/>
        </w:rPr>
        <w:t>“</w:t>
      </w:r>
      <w:r w:rsidRPr="00B4515A">
        <w:t>第三节</w:t>
      </w:r>
      <w:r w:rsidRPr="00B4515A">
        <w:rPr>
          <w:rFonts w:hint="eastAsia"/>
        </w:rPr>
        <w:t xml:space="preserve"> </w:t>
      </w:r>
      <w:r w:rsidRPr="00B4515A">
        <w:t>交易对方基本情况</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二、发行股份购买资产交易对方的具体情况</w:t>
      </w:r>
      <w:r w:rsidRPr="00B4515A">
        <w:rPr>
          <w:rFonts w:ascii="宋体" w:hAnsi="宋体" w:hint="eastAsia"/>
        </w:rPr>
        <w:t>”</w:t>
      </w:r>
      <w:r w:rsidRPr="00B4515A">
        <w:rPr>
          <w:rFonts w:hint="eastAsia"/>
        </w:rPr>
        <w:t>之</w:t>
      </w:r>
      <w:r w:rsidRPr="00B4515A">
        <w:rPr>
          <w:rFonts w:ascii="宋体" w:hAnsi="宋体" w:hint="eastAsia"/>
        </w:rPr>
        <w:t>“</w:t>
      </w:r>
      <w:r w:rsidRPr="00B4515A">
        <w:t>（</w:t>
      </w:r>
      <w:r w:rsidRPr="00B4515A">
        <w:rPr>
          <w:rFonts w:hint="eastAsia"/>
        </w:rPr>
        <w:t>四</w:t>
      </w:r>
      <w:r w:rsidRPr="00B4515A">
        <w:t>）结构调整基金</w:t>
      </w:r>
      <w:r w:rsidRPr="00B4515A">
        <w:rPr>
          <w:rFonts w:ascii="宋体" w:hAnsi="宋体" w:hint="eastAsia"/>
        </w:rPr>
        <w:t>”</w:t>
      </w:r>
      <w:r w:rsidRPr="00B4515A">
        <w:rPr>
          <w:rFonts w:hint="eastAsia"/>
        </w:rPr>
        <w:t>之</w:t>
      </w:r>
      <w:r w:rsidRPr="00B4515A">
        <w:rPr>
          <w:rFonts w:ascii="宋体" w:hAnsi="宋体" w:hint="eastAsia"/>
        </w:rPr>
        <w:t>“</w:t>
      </w:r>
      <w:r w:rsidRPr="00B4515A">
        <w:t>2</w:t>
      </w:r>
      <w:r w:rsidRPr="00B4515A">
        <w:rPr>
          <w:rFonts w:hint="eastAsia"/>
        </w:rPr>
        <w:t>、</w:t>
      </w:r>
      <w:r w:rsidRPr="00B4515A">
        <w:t>历史沿革</w:t>
      </w:r>
      <w:r w:rsidRPr="00B4515A">
        <w:rPr>
          <w:rFonts w:ascii="宋体" w:hAnsi="宋体" w:hint="eastAsia"/>
        </w:rPr>
        <w:t>”</w:t>
      </w:r>
    </w:p>
    <w:p w14:paraId="0B13F1FD" w14:textId="77777777" w:rsidR="006416B0" w:rsidRPr="00B4515A" w:rsidRDefault="005E58C1" w:rsidP="005860B4">
      <w:pPr>
        <w:pStyle w:val="004"/>
        <w:spacing w:before="120" w:after="120"/>
        <w:ind w:firstLine="482"/>
      </w:pPr>
      <w:r w:rsidRPr="00B4515A">
        <w:t>4</w:t>
      </w:r>
      <w:r w:rsidRPr="00B4515A">
        <w:rPr>
          <w:rFonts w:hint="eastAsia"/>
        </w:rPr>
        <w:t>、产权控制关系及主要股东基本情况</w:t>
      </w:r>
    </w:p>
    <w:p w14:paraId="173734E1" w14:textId="77777777" w:rsidR="006416B0" w:rsidRPr="00B4515A" w:rsidRDefault="005E58C1" w:rsidP="005860B4">
      <w:pPr>
        <w:pStyle w:val="005"/>
        <w:spacing w:before="120" w:after="120"/>
        <w:ind w:firstLine="480"/>
      </w:pPr>
      <w:r w:rsidRPr="00B4515A">
        <w:rPr>
          <w:rFonts w:hint="eastAsia"/>
        </w:rPr>
        <w:t>截至本报告书签署日，结构调整基金的产权控制关系如下：</w:t>
      </w:r>
    </w:p>
    <w:p w14:paraId="3BF45788" w14:textId="77777777" w:rsidR="006416B0" w:rsidRPr="00B4515A" w:rsidRDefault="005E58C1">
      <w:pPr>
        <w:spacing w:line="360" w:lineRule="auto"/>
        <w:jc w:val="center"/>
      </w:pPr>
      <w:r w:rsidRPr="00B4515A">
        <w:lastRenderedPageBreak/>
        <w:t xml:space="preserve"> </w:t>
      </w:r>
      <w:r w:rsidRPr="00B4515A">
        <w:rPr>
          <w:rFonts w:ascii="Times New Roman" w:hAnsi="Times New Roman" w:cs="Times New Roman"/>
          <w:noProof/>
          <w:color w:val="000000" w:themeColor="text1"/>
        </w:rPr>
        <w:drawing>
          <wp:inline distT="0" distB="0" distL="0" distR="0" wp14:anchorId="44EB6C1D" wp14:editId="169F7B6A">
            <wp:extent cx="4813300" cy="2794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4813300" cy="2794000"/>
                    </a:xfrm>
                    <a:prstGeom prst="rect">
                      <a:avLst/>
                    </a:prstGeom>
                  </pic:spPr>
                </pic:pic>
              </a:graphicData>
            </a:graphic>
          </wp:inline>
        </w:drawing>
      </w:r>
    </w:p>
    <w:p w14:paraId="27CED44D" w14:textId="77777777" w:rsidR="006416B0" w:rsidRPr="00B4515A" w:rsidRDefault="005E58C1" w:rsidP="005860B4">
      <w:pPr>
        <w:pStyle w:val="005"/>
        <w:spacing w:before="120" w:after="120"/>
        <w:ind w:firstLine="480"/>
      </w:pPr>
      <w:r w:rsidRPr="00B4515A">
        <w:rPr>
          <w:rFonts w:hint="eastAsia"/>
        </w:rPr>
        <w:t>根据《中国国有企业结构调整基金股份有限公司章程》，结构调整基金委托诚通基金管理有限公司为其管理人，负责基金管理事务的执行。诚通基金管理有限公司为中国诚通控股集团有限公司的全资子公司。</w:t>
      </w:r>
    </w:p>
    <w:p w14:paraId="44B343EC" w14:textId="77777777" w:rsidR="006416B0" w:rsidRPr="00B4515A" w:rsidRDefault="005E58C1" w:rsidP="005860B4">
      <w:pPr>
        <w:pStyle w:val="005"/>
        <w:spacing w:before="120" w:after="120"/>
        <w:ind w:firstLine="480"/>
      </w:pPr>
      <w:r w:rsidRPr="00B4515A">
        <w:rPr>
          <w:rFonts w:hint="eastAsia"/>
        </w:rPr>
        <w:t>中国诚通控股集团有限公司基本情况如下：</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5"/>
        <w:gridCol w:w="6133"/>
      </w:tblGrid>
      <w:tr w:rsidR="006416B0" w:rsidRPr="00B4515A" w14:paraId="7B6EB189"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C41862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公司名称</w:t>
            </w:r>
          </w:p>
        </w:tc>
        <w:tc>
          <w:tcPr>
            <w:tcW w:w="6116" w:type="dxa"/>
            <w:shd w:val="clear" w:color="auto" w:fill="auto"/>
            <w:tcMar>
              <w:top w:w="0" w:type="dxa"/>
              <w:left w:w="108" w:type="dxa"/>
              <w:bottom w:w="0" w:type="dxa"/>
              <w:right w:w="108" w:type="dxa"/>
            </w:tcMar>
            <w:vAlign w:val="center"/>
          </w:tcPr>
          <w:p w14:paraId="68C57D8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中国诚通控股集团有限公司</w:t>
            </w:r>
          </w:p>
        </w:tc>
      </w:tr>
      <w:tr w:rsidR="006416B0" w:rsidRPr="00B4515A" w14:paraId="08EDA194"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609DC5C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企业类型</w:t>
            </w:r>
          </w:p>
        </w:tc>
        <w:tc>
          <w:tcPr>
            <w:tcW w:w="6116" w:type="dxa"/>
            <w:shd w:val="clear" w:color="auto" w:fill="auto"/>
            <w:tcMar>
              <w:top w:w="0" w:type="dxa"/>
              <w:left w:w="108" w:type="dxa"/>
              <w:bottom w:w="0" w:type="dxa"/>
              <w:right w:w="108" w:type="dxa"/>
            </w:tcMar>
            <w:vAlign w:val="center"/>
          </w:tcPr>
          <w:p w14:paraId="1FB8A062" w14:textId="77777777" w:rsidR="006416B0" w:rsidRPr="00B4515A" w:rsidRDefault="005E58C1" w:rsidP="005860B4">
            <w:pPr>
              <w:adjustRightInd w:val="0"/>
              <w:snapToGrid w:val="0"/>
              <w:rPr>
                <w:rFonts w:ascii="Times New Roman" w:hAnsi="Times New Roman" w:cs="Times New Roman"/>
                <w:bCs/>
                <w:sz w:val="21"/>
                <w:szCs w:val="21"/>
              </w:rPr>
            </w:pPr>
            <w:r w:rsidRPr="00B4515A">
              <w:rPr>
                <w:rFonts w:ascii="Times New Roman" w:hAnsi="Times New Roman" w:cs="Times New Roman"/>
                <w:bCs/>
                <w:sz w:val="21"/>
                <w:szCs w:val="21"/>
              </w:rPr>
              <w:t>有限责任公司</w:t>
            </w:r>
            <w:r w:rsidRPr="00B4515A">
              <w:rPr>
                <w:rFonts w:ascii="Times New Roman" w:hAnsi="Times New Roman" w:cs="Times New Roman" w:hint="eastAsia"/>
                <w:bCs/>
                <w:sz w:val="21"/>
                <w:szCs w:val="21"/>
              </w:rPr>
              <w:t>（</w:t>
            </w:r>
            <w:r w:rsidRPr="00B4515A">
              <w:rPr>
                <w:rFonts w:ascii="Times New Roman" w:hAnsi="Times New Roman" w:cs="Times New Roman"/>
                <w:bCs/>
                <w:sz w:val="21"/>
                <w:szCs w:val="21"/>
              </w:rPr>
              <w:t>国有独资</w:t>
            </w:r>
            <w:r w:rsidRPr="00B4515A">
              <w:rPr>
                <w:rFonts w:ascii="Times New Roman" w:hAnsi="Times New Roman" w:cs="Times New Roman" w:hint="eastAsia"/>
                <w:bCs/>
                <w:sz w:val="21"/>
                <w:szCs w:val="21"/>
              </w:rPr>
              <w:t>）</w:t>
            </w:r>
          </w:p>
        </w:tc>
      </w:tr>
      <w:tr w:rsidR="006416B0" w:rsidRPr="00B4515A" w14:paraId="4907ED84"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1F5C534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注册地址</w:t>
            </w:r>
          </w:p>
        </w:tc>
        <w:tc>
          <w:tcPr>
            <w:tcW w:w="6116" w:type="dxa"/>
            <w:shd w:val="clear" w:color="auto" w:fill="auto"/>
            <w:tcMar>
              <w:top w:w="0" w:type="dxa"/>
              <w:left w:w="108" w:type="dxa"/>
              <w:bottom w:w="0" w:type="dxa"/>
              <w:right w:w="108" w:type="dxa"/>
            </w:tcMar>
            <w:vAlign w:val="center"/>
          </w:tcPr>
          <w:p w14:paraId="33F4951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北京市西城区复兴门内大街</w:t>
            </w:r>
            <w:r w:rsidRPr="00B4515A">
              <w:rPr>
                <w:rFonts w:ascii="Times New Roman" w:hAnsi="Times New Roman" w:cs="Times New Roman"/>
                <w:sz w:val="21"/>
                <w:szCs w:val="21"/>
              </w:rPr>
              <w:t>158</w:t>
            </w:r>
            <w:r w:rsidRPr="00B4515A">
              <w:rPr>
                <w:rFonts w:ascii="Times New Roman" w:hAnsi="Times New Roman" w:cs="Times New Roman"/>
                <w:sz w:val="21"/>
                <w:szCs w:val="21"/>
              </w:rPr>
              <w:t>号远洋大厦</w:t>
            </w:r>
            <w:r w:rsidRPr="00B4515A">
              <w:rPr>
                <w:rFonts w:ascii="Times New Roman" w:hAnsi="Times New Roman" w:cs="Times New Roman"/>
                <w:sz w:val="21"/>
                <w:szCs w:val="21"/>
              </w:rPr>
              <w:t>12</w:t>
            </w:r>
            <w:r w:rsidRPr="00B4515A">
              <w:rPr>
                <w:rFonts w:ascii="Times New Roman" w:hAnsi="Times New Roman" w:cs="Times New Roman"/>
                <w:sz w:val="21"/>
                <w:szCs w:val="21"/>
              </w:rPr>
              <w:t>层</w:t>
            </w:r>
            <w:r w:rsidRPr="00B4515A">
              <w:rPr>
                <w:rFonts w:ascii="Times New Roman" w:hAnsi="Times New Roman" w:cs="Times New Roman"/>
                <w:sz w:val="21"/>
                <w:szCs w:val="21"/>
              </w:rPr>
              <w:t>1229-1282</w:t>
            </w:r>
            <w:r w:rsidRPr="00B4515A">
              <w:rPr>
                <w:rFonts w:ascii="Times New Roman" w:hAnsi="Times New Roman" w:cs="Times New Roman"/>
                <w:sz w:val="21"/>
                <w:szCs w:val="21"/>
              </w:rPr>
              <w:t>室</w:t>
            </w:r>
          </w:p>
        </w:tc>
      </w:tr>
      <w:tr w:rsidR="006416B0" w:rsidRPr="00B4515A" w14:paraId="3CE69410"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02FC53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法定代表人</w:t>
            </w:r>
          </w:p>
        </w:tc>
        <w:tc>
          <w:tcPr>
            <w:tcW w:w="6116" w:type="dxa"/>
            <w:shd w:val="clear" w:color="auto" w:fill="auto"/>
            <w:tcMar>
              <w:top w:w="0" w:type="dxa"/>
              <w:left w:w="108" w:type="dxa"/>
              <w:bottom w:w="0" w:type="dxa"/>
              <w:right w:w="108" w:type="dxa"/>
            </w:tcMar>
            <w:vAlign w:val="center"/>
          </w:tcPr>
          <w:p w14:paraId="53AD5D7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朱碧新</w:t>
            </w:r>
          </w:p>
        </w:tc>
      </w:tr>
      <w:tr w:rsidR="006416B0" w:rsidRPr="00B4515A" w14:paraId="77394B15"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74CB05B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注册资本</w:t>
            </w:r>
          </w:p>
        </w:tc>
        <w:tc>
          <w:tcPr>
            <w:tcW w:w="6116" w:type="dxa"/>
            <w:shd w:val="clear" w:color="auto" w:fill="auto"/>
            <w:tcMar>
              <w:top w:w="0" w:type="dxa"/>
              <w:left w:w="108" w:type="dxa"/>
              <w:bottom w:w="0" w:type="dxa"/>
              <w:right w:w="108" w:type="dxa"/>
            </w:tcMar>
            <w:vAlign w:val="center"/>
          </w:tcPr>
          <w:p w14:paraId="2BA86BB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人民币</w:t>
            </w:r>
            <w:r w:rsidRPr="00B4515A">
              <w:rPr>
                <w:rFonts w:ascii="Times New Roman" w:hAnsi="Times New Roman" w:cs="Times New Roman"/>
                <w:sz w:val="21"/>
                <w:szCs w:val="21"/>
              </w:rPr>
              <w:t>1,130,000</w:t>
            </w:r>
            <w:r w:rsidRPr="00B4515A">
              <w:rPr>
                <w:rFonts w:ascii="Times New Roman" w:hAnsi="Times New Roman" w:cs="Times New Roman" w:hint="eastAsia"/>
                <w:sz w:val="21"/>
                <w:szCs w:val="21"/>
              </w:rPr>
              <w:t>万元</w:t>
            </w:r>
          </w:p>
        </w:tc>
      </w:tr>
      <w:tr w:rsidR="006416B0" w:rsidRPr="00B4515A" w14:paraId="684CAC36"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6C024B4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统一社会信用代码</w:t>
            </w:r>
          </w:p>
        </w:tc>
        <w:tc>
          <w:tcPr>
            <w:tcW w:w="6116" w:type="dxa"/>
            <w:shd w:val="clear" w:color="auto" w:fill="auto"/>
            <w:tcMar>
              <w:top w:w="0" w:type="dxa"/>
              <w:left w:w="108" w:type="dxa"/>
              <w:bottom w:w="0" w:type="dxa"/>
              <w:right w:w="108" w:type="dxa"/>
            </w:tcMar>
            <w:vAlign w:val="center"/>
          </w:tcPr>
          <w:p w14:paraId="2F0EDD4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911100007109225442</w:t>
            </w:r>
          </w:p>
        </w:tc>
      </w:tr>
      <w:tr w:rsidR="006416B0" w:rsidRPr="00B4515A" w14:paraId="5BBC9A0A"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60777A4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经营范围</w:t>
            </w:r>
          </w:p>
        </w:tc>
        <w:tc>
          <w:tcPr>
            <w:tcW w:w="6116" w:type="dxa"/>
            <w:shd w:val="clear" w:color="auto" w:fill="auto"/>
            <w:tcMar>
              <w:top w:w="0" w:type="dxa"/>
              <w:left w:w="108" w:type="dxa"/>
              <w:bottom w:w="0" w:type="dxa"/>
              <w:right w:w="108" w:type="dxa"/>
            </w:tcMar>
            <w:vAlign w:val="center"/>
          </w:tcPr>
          <w:p w14:paraId="629A7D0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资产经营管理；受托管理；兼并收购；投资管理及咨询；物流服务；进出口业务；金属材料、机电产品、化工原料及化工产品（不含危险化学品）、黑色金属矿产品、有色金属材料及矿产品、焦炭、建材、天然橡胶、木材、水泥、汽车的销售；五金交化、纺织品、服装、日用品、文化体育用品的销售；林浆纸生产、开发及利用。（企业依法自主选择经营项目，开展经营活动；依法须经批准的项目，经相关部门批准后依批准的内容开展经营活动；不得从事本市产业政策禁止和限制类项目的经营活动。）</w:t>
            </w:r>
          </w:p>
        </w:tc>
      </w:tr>
      <w:tr w:rsidR="006416B0" w:rsidRPr="00B4515A" w14:paraId="5722E779"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6D6E598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成立日期</w:t>
            </w:r>
          </w:p>
        </w:tc>
        <w:tc>
          <w:tcPr>
            <w:tcW w:w="6116" w:type="dxa"/>
            <w:shd w:val="clear" w:color="auto" w:fill="auto"/>
            <w:tcMar>
              <w:top w:w="0" w:type="dxa"/>
              <w:left w:w="108" w:type="dxa"/>
              <w:bottom w:w="0" w:type="dxa"/>
              <w:right w:w="108" w:type="dxa"/>
            </w:tcMar>
            <w:vAlign w:val="center"/>
          </w:tcPr>
          <w:p w14:paraId="3D6E9A5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1998</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1</w:t>
            </w:r>
            <w:r w:rsidRPr="00B4515A">
              <w:rPr>
                <w:rFonts w:ascii="Times New Roman" w:hAnsi="Times New Roman" w:cs="Times New Roman" w:hint="eastAsia"/>
                <w:sz w:val="21"/>
                <w:szCs w:val="21"/>
              </w:rPr>
              <w:t>月</w:t>
            </w:r>
            <w:r w:rsidRPr="00B4515A">
              <w:rPr>
                <w:rFonts w:ascii="Times New Roman" w:hAnsi="Times New Roman" w:cs="Times New Roman"/>
                <w:sz w:val="21"/>
                <w:szCs w:val="21"/>
              </w:rPr>
              <w:t>22</w:t>
            </w:r>
            <w:r w:rsidRPr="00B4515A">
              <w:rPr>
                <w:rFonts w:ascii="Times New Roman" w:hAnsi="Times New Roman" w:cs="Times New Roman" w:hint="eastAsia"/>
                <w:sz w:val="21"/>
                <w:szCs w:val="21"/>
              </w:rPr>
              <w:t>日</w:t>
            </w:r>
          </w:p>
        </w:tc>
      </w:tr>
    </w:tbl>
    <w:p w14:paraId="7116E2D2" w14:textId="77777777" w:rsidR="006416B0" w:rsidRPr="00B4515A" w:rsidRDefault="005E58C1" w:rsidP="005860B4">
      <w:pPr>
        <w:pStyle w:val="004"/>
        <w:spacing w:before="120" w:after="120"/>
        <w:ind w:firstLine="482"/>
      </w:pPr>
      <w:r w:rsidRPr="00B4515A">
        <w:t>5</w:t>
      </w:r>
      <w:r w:rsidRPr="00B4515A">
        <w:rPr>
          <w:rFonts w:hint="eastAsia"/>
        </w:rPr>
        <w:t>、最近三年主要业务发展情况</w:t>
      </w:r>
    </w:p>
    <w:p w14:paraId="160898A3" w14:textId="77777777" w:rsidR="006416B0" w:rsidRPr="00B4515A" w:rsidRDefault="005E58C1" w:rsidP="005860B4">
      <w:pPr>
        <w:pStyle w:val="005"/>
        <w:spacing w:before="120" w:after="120"/>
        <w:ind w:firstLine="480"/>
      </w:pPr>
      <w:r w:rsidRPr="00B4515A">
        <w:rPr>
          <w:rFonts w:eastAsiaTheme="minorEastAsia" w:hint="eastAsia"/>
        </w:rPr>
        <w:t>结构调整基金的主营业务为</w:t>
      </w:r>
      <w:r w:rsidRPr="00B4515A">
        <w:rPr>
          <w:rFonts w:hint="eastAsia"/>
        </w:rPr>
        <w:t>非公开募集资金，股权投资，项目投资，资产管理，投资咨询，企业管理咨询。</w:t>
      </w:r>
    </w:p>
    <w:p w14:paraId="62D472EA" w14:textId="77777777" w:rsidR="006416B0" w:rsidRPr="00B4515A" w:rsidRDefault="005E58C1" w:rsidP="005860B4">
      <w:pPr>
        <w:pStyle w:val="005"/>
        <w:spacing w:before="120" w:after="120"/>
        <w:ind w:firstLine="480"/>
      </w:pPr>
      <w:r w:rsidRPr="00B4515A">
        <w:rPr>
          <w:rFonts w:hint="eastAsia"/>
        </w:rPr>
        <w:t>结构调整基金为经中国证券投资基金业协会备案的私募投资基金，基金编号</w:t>
      </w:r>
      <w:r w:rsidRPr="00B4515A">
        <w:rPr>
          <w:rFonts w:hint="eastAsia"/>
        </w:rPr>
        <w:lastRenderedPageBreak/>
        <w:t>为</w:t>
      </w:r>
      <w:r w:rsidRPr="00B4515A">
        <w:rPr>
          <w:rFonts w:hint="eastAsia"/>
        </w:rPr>
        <w:t>SN3042</w:t>
      </w:r>
      <w:r w:rsidRPr="00B4515A">
        <w:rPr>
          <w:rFonts w:hint="eastAsia"/>
        </w:rPr>
        <w:t>。</w:t>
      </w:r>
    </w:p>
    <w:p w14:paraId="0B4962B6" w14:textId="77777777" w:rsidR="006416B0" w:rsidRPr="00B4515A" w:rsidRDefault="005E58C1" w:rsidP="005860B4">
      <w:pPr>
        <w:pStyle w:val="005"/>
        <w:spacing w:before="120" w:after="120"/>
        <w:ind w:firstLine="480"/>
      </w:pPr>
      <w:r w:rsidRPr="00B4515A">
        <w:rPr>
          <w:rFonts w:hint="eastAsia"/>
        </w:rPr>
        <w:t>结构调整基金的管理人诚通基金管理有限公司已于</w:t>
      </w:r>
      <w:r w:rsidRPr="00B4515A">
        <w:t>2016</w:t>
      </w:r>
      <w:r w:rsidRPr="00B4515A">
        <w:rPr>
          <w:rFonts w:hint="eastAsia"/>
        </w:rPr>
        <w:t>年</w:t>
      </w:r>
      <w:r w:rsidRPr="00B4515A">
        <w:t>9</w:t>
      </w:r>
      <w:r w:rsidRPr="00B4515A">
        <w:rPr>
          <w:rFonts w:hint="eastAsia"/>
        </w:rPr>
        <w:t>月</w:t>
      </w:r>
      <w:r w:rsidRPr="00B4515A">
        <w:t>8</w:t>
      </w:r>
      <w:r w:rsidRPr="00B4515A">
        <w:rPr>
          <w:rFonts w:hint="eastAsia"/>
        </w:rPr>
        <w:t>日完成私募基金管理人登记，登记编号为</w:t>
      </w:r>
      <w:r w:rsidRPr="00B4515A">
        <w:t>P1033560</w:t>
      </w:r>
      <w:r w:rsidRPr="00B4515A">
        <w:rPr>
          <w:rFonts w:hint="eastAsia"/>
        </w:rPr>
        <w:t>。</w:t>
      </w:r>
    </w:p>
    <w:p w14:paraId="195CA295" w14:textId="77777777" w:rsidR="006416B0" w:rsidRPr="00B4515A" w:rsidRDefault="005E58C1" w:rsidP="005860B4">
      <w:pPr>
        <w:pStyle w:val="004"/>
        <w:spacing w:before="120" w:after="120"/>
        <w:ind w:firstLine="482"/>
      </w:pPr>
      <w:r w:rsidRPr="00B4515A">
        <w:t>6</w:t>
      </w:r>
      <w:r w:rsidRPr="00B4515A">
        <w:rPr>
          <w:rFonts w:hint="eastAsia"/>
        </w:rPr>
        <w:t>、主要财务数据</w:t>
      </w:r>
    </w:p>
    <w:p w14:paraId="11D5E607" w14:textId="77777777" w:rsidR="006416B0" w:rsidRPr="00B4515A" w:rsidRDefault="005E58C1" w:rsidP="005860B4">
      <w:pPr>
        <w:pStyle w:val="005"/>
        <w:spacing w:before="120" w:after="120"/>
        <w:ind w:firstLine="480"/>
        <w:rPr>
          <w:b/>
          <w:color w:val="000000" w:themeColor="text1"/>
        </w:rPr>
      </w:pPr>
      <w:r w:rsidRPr="00B4515A">
        <w:rPr>
          <w:rFonts w:hint="eastAsia"/>
        </w:rPr>
        <w:t>结构调整基金最近两年主要财务数据如下：</w:t>
      </w:r>
    </w:p>
    <w:p w14:paraId="55E66159" w14:textId="77777777" w:rsidR="006416B0" w:rsidRPr="00B4515A" w:rsidRDefault="005E58C1" w:rsidP="005860B4">
      <w:pPr>
        <w:pStyle w:val="009"/>
      </w:pPr>
      <w:r w:rsidRPr="00B4515A">
        <w:t>单位：万元</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084"/>
        <w:gridCol w:w="3222"/>
        <w:gridCol w:w="3222"/>
      </w:tblGrid>
      <w:tr w:rsidR="006416B0" w:rsidRPr="00B4515A" w14:paraId="53F727FC"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02318620"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项目</w:t>
            </w:r>
          </w:p>
        </w:tc>
        <w:tc>
          <w:tcPr>
            <w:tcW w:w="3091" w:type="dxa"/>
            <w:tcMar>
              <w:top w:w="0" w:type="dxa"/>
              <w:left w:w="108" w:type="dxa"/>
              <w:bottom w:w="0" w:type="dxa"/>
              <w:right w:w="108" w:type="dxa"/>
            </w:tcMar>
            <w:vAlign w:val="center"/>
          </w:tcPr>
          <w:p w14:paraId="40F33797"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2020</w:t>
            </w:r>
            <w:r w:rsidRPr="00B4515A">
              <w:rPr>
                <w:rFonts w:ascii="Times New Roman" w:hAnsi="Times New Roman" w:cs="Times New Roman" w:hint="eastAsia"/>
                <w:b/>
                <w:sz w:val="21"/>
                <w:szCs w:val="21"/>
              </w:rPr>
              <w:t>年</w:t>
            </w:r>
            <w:r w:rsidRPr="00B4515A">
              <w:rPr>
                <w:rFonts w:ascii="Times New Roman" w:hAnsi="Times New Roman" w:cs="Times New Roman"/>
                <w:b/>
                <w:sz w:val="21"/>
                <w:szCs w:val="21"/>
              </w:rPr>
              <w:t>12</w:t>
            </w:r>
            <w:r w:rsidRPr="00B4515A">
              <w:rPr>
                <w:rFonts w:ascii="Times New Roman" w:hAnsi="Times New Roman" w:cs="Times New Roman" w:hint="eastAsia"/>
                <w:b/>
                <w:sz w:val="21"/>
                <w:szCs w:val="21"/>
              </w:rPr>
              <w:t>月</w:t>
            </w:r>
            <w:r w:rsidRPr="00B4515A">
              <w:rPr>
                <w:rFonts w:ascii="Times New Roman" w:hAnsi="Times New Roman" w:cs="Times New Roman"/>
                <w:b/>
                <w:sz w:val="21"/>
                <w:szCs w:val="21"/>
              </w:rPr>
              <w:t>31</w:t>
            </w:r>
            <w:r w:rsidRPr="00B4515A">
              <w:rPr>
                <w:rFonts w:ascii="Times New Roman" w:hAnsi="Times New Roman" w:cs="Times New Roman" w:hint="eastAsia"/>
                <w:b/>
                <w:sz w:val="21"/>
                <w:szCs w:val="21"/>
              </w:rPr>
              <w:t>日</w:t>
            </w:r>
          </w:p>
        </w:tc>
        <w:tc>
          <w:tcPr>
            <w:tcW w:w="3091" w:type="dxa"/>
            <w:shd w:val="clear" w:color="auto" w:fill="auto"/>
            <w:tcMar>
              <w:top w:w="0" w:type="dxa"/>
              <w:left w:w="108" w:type="dxa"/>
              <w:bottom w:w="0" w:type="dxa"/>
              <w:right w:w="108" w:type="dxa"/>
            </w:tcMar>
            <w:vAlign w:val="center"/>
          </w:tcPr>
          <w:p w14:paraId="4DA87E03"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sz w:val="21"/>
                <w:szCs w:val="21"/>
              </w:rPr>
              <w:t>2019</w:t>
            </w:r>
            <w:r w:rsidRPr="00B4515A">
              <w:rPr>
                <w:rFonts w:ascii="Times New Roman" w:hAnsi="Times New Roman" w:cs="Times New Roman" w:hint="eastAsia"/>
                <w:b/>
                <w:sz w:val="21"/>
                <w:szCs w:val="21"/>
              </w:rPr>
              <w:t>年</w:t>
            </w:r>
            <w:r w:rsidRPr="00B4515A">
              <w:rPr>
                <w:rFonts w:ascii="Times New Roman" w:hAnsi="Times New Roman" w:cs="Times New Roman"/>
                <w:b/>
                <w:sz w:val="21"/>
                <w:szCs w:val="21"/>
              </w:rPr>
              <w:t>12</w:t>
            </w:r>
            <w:r w:rsidRPr="00B4515A">
              <w:rPr>
                <w:rFonts w:ascii="Times New Roman" w:hAnsi="Times New Roman" w:cs="Times New Roman" w:hint="eastAsia"/>
                <w:b/>
                <w:sz w:val="21"/>
                <w:szCs w:val="21"/>
              </w:rPr>
              <w:t>月</w:t>
            </w:r>
            <w:r w:rsidRPr="00B4515A">
              <w:rPr>
                <w:rFonts w:ascii="Times New Roman" w:hAnsi="Times New Roman" w:cs="Times New Roman"/>
                <w:b/>
                <w:sz w:val="21"/>
                <w:szCs w:val="21"/>
              </w:rPr>
              <w:t>31</w:t>
            </w:r>
            <w:r w:rsidRPr="00B4515A">
              <w:rPr>
                <w:rFonts w:ascii="Times New Roman" w:hAnsi="Times New Roman" w:cs="Times New Roman" w:hint="eastAsia"/>
                <w:b/>
                <w:sz w:val="21"/>
                <w:szCs w:val="21"/>
              </w:rPr>
              <w:t>日</w:t>
            </w:r>
          </w:p>
        </w:tc>
      </w:tr>
      <w:tr w:rsidR="006416B0" w:rsidRPr="00B4515A" w14:paraId="00F4EBC5"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4BC5C1C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资产总计</w:t>
            </w:r>
          </w:p>
        </w:tc>
        <w:tc>
          <w:tcPr>
            <w:tcW w:w="3091" w:type="dxa"/>
            <w:tcMar>
              <w:top w:w="0" w:type="dxa"/>
              <w:left w:w="108" w:type="dxa"/>
              <w:bottom w:w="0" w:type="dxa"/>
              <w:right w:w="108" w:type="dxa"/>
            </w:tcMar>
            <w:vAlign w:val="center"/>
          </w:tcPr>
          <w:p w14:paraId="7CA85B0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1</w:t>
            </w:r>
            <w:r w:rsidRPr="00B4515A">
              <w:rPr>
                <w:rFonts w:ascii="Times New Roman" w:hAnsi="Times New Roman" w:cs="Times New Roman"/>
                <w:color w:val="000000"/>
                <w:sz w:val="21"/>
                <w:szCs w:val="21"/>
              </w:rPr>
              <w:t>0,348,264.11</w:t>
            </w:r>
          </w:p>
        </w:tc>
        <w:tc>
          <w:tcPr>
            <w:tcW w:w="3091" w:type="dxa"/>
            <w:shd w:val="clear" w:color="auto" w:fill="auto"/>
            <w:tcMar>
              <w:top w:w="0" w:type="dxa"/>
              <w:left w:w="108" w:type="dxa"/>
              <w:bottom w:w="0" w:type="dxa"/>
              <w:right w:w="108" w:type="dxa"/>
            </w:tcMar>
            <w:vAlign w:val="center"/>
          </w:tcPr>
          <w:p w14:paraId="61B8933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10,208,846.35</w:t>
            </w:r>
          </w:p>
        </w:tc>
      </w:tr>
      <w:tr w:rsidR="006416B0" w:rsidRPr="00B4515A" w14:paraId="61755CE0"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4F0593E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负债总计</w:t>
            </w:r>
          </w:p>
        </w:tc>
        <w:tc>
          <w:tcPr>
            <w:tcW w:w="3091" w:type="dxa"/>
            <w:tcMar>
              <w:top w:w="0" w:type="dxa"/>
              <w:left w:w="108" w:type="dxa"/>
              <w:bottom w:w="0" w:type="dxa"/>
              <w:right w:w="108" w:type="dxa"/>
            </w:tcMar>
            <w:vAlign w:val="center"/>
          </w:tcPr>
          <w:p w14:paraId="240896C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1</w:t>
            </w:r>
            <w:r w:rsidRPr="00B4515A">
              <w:rPr>
                <w:rFonts w:ascii="Times New Roman" w:hAnsi="Times New Roman" w:cs="Times New Roman"/>
                <w:color w:val="000000"/>
                <w:sz w:val="21"/>
                <w:szCs w:val="21"/>
              </w:rPr>
              <w:t>78,111.03</w:t>
            </w:r>
          </w:p>
        </w:tc>
        <w:tc>
          <w:tcPr>
            <w:tcW w:w="3091" w:type="dxa"/>
            <w:shd w:val="clear" w:color="auto" w:fill="auto"/>
            <w:tcMar>
              <w:top w:w="0" w:type="dxa"/>
              <w:left w:w="108" w:type="dxa"/>
              <w:bottom w:w="0" w:type="dxa"/>
              <w:right w:w="108" w:type="dxa"/>
            </w:tcMar>
            <w:vAlign w:val="center"/>
          </w:tcPr>
          <w:p w14:paraId="788D57F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94,133.69</w:t>
            </w:r>
          </w:p>
        </w:tc>
      </w:tr>
      <w:tr w:rsidR="006416B0" w:rsidRPr="00B4515A" w14:paraId="032F4160"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6E78E0C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所有者权益</w:t>
            </w:r>
          </w:p>
        </w:tc>
        <w:tc>
          <w:tcPr>
            <w:tcW w:w="3091" w:type="dxa"/>
            <w:tcMar>
              <w:top w:w="0" w:type="dxa"/>
              <w:left w:w="108" w:type="dxa"/>
              <w:bottom w:w="0" w:type="dxa"/>
              <w:right w:w="108" w:type="dxa"/>
            </w:tcMar>
            <w:vAlign w:val="center"/>
          </w:tcPr>
          <w:p w14:paraId="2E551A1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1</w:t>
            </w:r>
            <w:r w:rsidRPr="00B4515A">
              <w:rPr>
                <w:rFonts w:ascii="Times New Roman" w:hAnsi="Times New Roman" w:cs="Times New Roman"/>
                <w:color w:val="000000"/>
                <w:sz w:val="21"/>
                <w:szCs w:val="21"/>
              </w:rPr>
              <w:t>0,170,153.08</w:t>
            </w:r>
          </w:p>
        </w:tc>
        <w:tc>
          <w:tcPr>
            <w:tcW w:w="3091" w:type="dxa"/>
            <w:shd w:val="clear" w:color="auto" w:fill="auto"/>
            <w:tcMar>
              <w:top w:w="0" w:type="dxa"/>
              <w:left w:w="108" w:type="dxa"/>
              <w:bottom w:w="0" w:type="dxa"/>
              <w:right w:w="108" w:type="dxa"/>
            </w:tcMar>
            <w:vAlign w:val="center"/>
          </w:tcPr>
          <w:p w14:paraId="11D7143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10,114,712.66</w:t>
            </w:r>
          </w:p>
        </w:tc>
      </w:tr>
      <w:tr w:rsidR="006416B0" w:rsidRPr="00B4515A" w14:paraId="3AD9422F"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46EBA69D"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项目</w:t>
            </w:r>
          </w:p>
        </w:tc>
        <w:tc>
          <w:tcPr>
            <w:tcW w:w="3091" w:type="dxa"/>
            <w:tcMar>
              <w:top w:w="0" w:type="dxa"/>
              <w:left w:w="108" w:type="dxa"/>
              <w:bottom w:w="0" w:type="dxa"/>
              <w:right w:w="108" w:type="dxa"/>
            </w:tcMar>
            <w:vAlign w:val="center"/>
          </w:tcPr>
          <w:p w14:paraId="5963AB5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2020</w:t>
            </w:r>
            <w:r w:rsidRPr="00B4515A">
              <w:rPr>
                <w:rFonts w:ascii="Times New Roman" w:hAnsi="Times New Roman" w:cs="Times New Roman" w:hint="eastAsia"/>
                <w:b/>
                <w:sz w:val="21"/>
                <w:szCs w:val="21"/>
              </w:rPr>
              <w:t>年度</w:t>
            </w:r>
          </w:p>
        </w:tc>
        <w:tc>
          <w:tcPr>
            <w:tcW w:w="3091" w:type="dxa"/>
            <w:shd w:val="clear" w:color="auto" w:fill="auto"/>
            <w:tcMar>
              <w:top w:w="0" w:type="dxa"/>
              <w:left w:w="108" w:type="dxa"/>
              <w:bottom w:w="0" w:type="dxa"/>
              <w:right w:w="108" w:type="dxa"/>
            </w:tcMar>
            <w:vAlign w:val="center"/>
          </w:tcPr>
          <w:p w14:paraId="5FB19620"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2019</w:t>
            </w:r>
            <w:r w:rsidRPr="00B4515A">
              <w:rPr>
                <w:rFonts w:ascii="Times New Roman" w:hAnsi="Times New Roman" w:cs="Times New Roman" w:hint="eastAsia"/>
                <w:b/>
                <w:sz w:val="21"/>
                <w:szCs w:val="21"/>
              </w:rPr>
              <w:t>年度</w:t>
            </w:r>
          </w:p>
        </w:tc>
      </w:tr>
      <w:tr w:rsidR="006416B0" w:rsidRPr="00B4515A" w14:paraId="78D81123"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3BCCE8E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营业收入</w:t>
            </w:r>
          </w:p>
        </w:tc>
        <w:tc>
          <w:tcPr>
            <w:tcW w:w="3091" w:type="dxa"/>
            <w:tcMar>
              <w:top w:w="0" w:type="dxa"/>
              <w:left w:w="108" w:type="dxa"/>
              <w:bottom w:w="0" w:type="dxa"/>
              <w:right w:w="108" w:type="dxa"/>
            </w:tcMar>
            <w:vAlign w:val="center"/>
          </w:tcPr>
          <w:p w14:paraId="3F0ED77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8</w:t>
            </w:r>
            <w:r w:rsidRPr="00B4515A">
              <w:rPr>
                <w:rFonts w:ascii="Times New Roman" w:hAnsi="Times New Roman" w:cs="Times New Roman"/>
                <w:sz w:val="21"/>
                <w:szCs w:val="21"/>
              </w:rPr>
              <w:t>03,245.87</w:t>
            </w:r>
          </w:p>
        </w:tc>
        <w:tc>
          <w:tcPr>
            <w:tcW w:w="3091" w:type="dxa"/>
            <w:shd w:val="clear" w:color="auto" w:fill="auto"/>
            <w:tcMar>
              <w:top w:w="0" w:type="dxa"/>
              <w:left w:w="108" w:type="dxa"/>
              <w:bottom w:w="0" w:type="dxa"/>
              <w:right w:w="108" w:type="dxa"/>
            </w:tcMar>
            <w:vAlign w:val="center"/>
          </w:tcPr>
          <w:p w14:paraId="376D580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553,703.42</w:t>
            </w:r>
          </w:p>
        </w:tc>
      </w:tr>
      <w:tr w:rsidR="006416B0" w:rsidRPr="00B4515A" w14:paraId="68AD835F"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141655D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利润总额</w:t>
            </w:r>
          </w:p>
        </w:tc>
        <w:tc>
          <w:tcPr>
            <w:tcW w:w="3091" w:type="dxa"/>
            <w:tcMar>
              <w:top w:w="0" w:type="dxa"/>
              <w:left w:w="108" w:type="dxa"/>
              <w:bottom w:w="0" w:type="dxa"/>
              <w:right w:w="108" w:type="dxa"/>
            </w:tcMar>
            <w:vAlign w:val="center"/>
          </w:tcPr>
          <w:p w14:paraId="37E6EE3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6</w:t>
            </w:r>
            <w:r w:rsidRPr="00B4515A">
              <w:rPr>
                <w:rFonts w:ascii="Times New Roman" w:hAnsi="Times New Roman" w:cs="Times New Roman"/>
                <w:sz w:val="21"/>
                <w:szCs w:val="21"/>
              </w:rPr>
              <w:t>22.412.64</w:t>
            </w:r>
          </w:p>
        </w:tc>
        <w:tc>
          <w:tcPr>
            <w:tcW w:w="3091" w:type="dxa"/>
            <w:shd w:val="clear" w:color="auto" w:fill="auto"/>
            <w:tcMar>
              <w:top w:w="0" w:type="dxa"/>
              <w:left w:w="108" w:type="dxa"/>
              <w:bottom w:w="0" w:type="dxa"/>
              <w:right w:w="108" w:type="dxa"/>
            </w:tcMar>
            <w:vAlign w:val="center"/>
          </w:tcPr>
          <w:p w14:paraId="314CC1A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3</w:t>
            </w:r>
            <w:r w:rsidRPr="00B4515A">
              <w:rPr>
                <w:rFonts w:ascii="Times New Roman" w:hAnsi="Times New Roman" w:cs="Times New Roman"/>
                <w:sz w:val="21"/>
                <w:szCs w:val="21"/>
              </w:rPr>
              <w:t>89,639.50</w:t>
            </w:r>
          </w:p>
        </w:tc>
      </w:tr>
      <w:tr w:rsidR="006416B0" w:rsidRPr="00B4515A" w14:paraId="0484485F"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6395C8B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净利润</w:t>
            </w:r>
          </w:p>
        </w:tc>
        <w:tc>
          <w:tcPr>
            <w:tcW w:w="3091" w:type="dxa"/>
            <w:tcMar>
              <w:top w:w="0" w:type="dxa"/>
              <w:left w:w="108" w:type="dxa"/>
              <w:bottom w:w="0" w:type="dxa"/>
              <w:right w:w="108" w:type="dxa"/>
            </w:tcMar>
            <w:vAlign w:val="center"/>
          </w:tcPr>
          <w:p w14:paraId="0441582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4</w:t>
            </w:r>
            <w:r w:rsidRPr="00B4515A">
              <w:rPr>
                <w:rFonts w:ascii="Times New Roman" w:hAnsi="Times New Roman" w:cs="Times New Roman"/>
                <w:color w:val="000000"/>
                <w:sz w:val="21"/>
                <w:szCs w:val="21"/>
              </w:rPr>
              <w:t>72,345.73</w:t>
            </w:r>
          </w:p>
        </w:tc>
        <w:tc>
          <w:tcPr>
            <w:tcW w:w="3091" w:type="dxa"/>
            <w:shd w:val="clear" w:color="auto" w:fill="auto"/>
            <w:tcMar>
              <w:top w:w="0" w:type="dxa"/>
              <w:left w:w="108" w:type="dxa"/>
              <w:bottom w:w="0" w:type="dxa"/>
              <w:right w:w="108" w:type="dxa"/>
            </w:tcMar>
            <w:vAlign w:val="center"/>
          </w:tcPr>
          <w:p w14:paraId="59E014A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314,992.12</w:t>
            </w:r>
          </w:p>
        </w:tc>
      </w:tr>
    </w:tbl>
    <w:p w14:paraId="61D91CDB" w14:textId="77777777" w:rsidR="006416B0" w:rsidRPr="00B4515A" w:rsidRDefault="005E58C1" w:rsidP="005860B4">
      <w:pPr>
        <w:pStyle w:val="006"/>
        <w:ind w:firstLine="420"/>
      </w:pPr>
      <w:r w:rsidRPr="00B4515A">
        <w:rPr>
          <w:rFonts w:hint="eastAsia"/>
        </w:rPr>
        <w:t>注：结构调整基金上述财务数据未经审计</w:t>
      </w:r>
    </w:p>
    <w:p w14:paraId="6134EE2D" w14:textId="77777777" w:rsidR="006416B0" w:rsidRPr="00B4515A" w:rsidRDefault="005E58C1" w:rsidP="005860B4">
      <w:pPr>
        <w:pStyle w:val="004"/>
        <w:spacing w:before="120" w:after="120"/>
        <w:ind w:firstLine="482"/>
      </w:pPr>
      <w:r w:rsidRPr="00B4515A">
        <w:t>7</w:t>
      </w:r>
      <w:r w:rsidRPr="00B4515A">
        <w:rPr>
          <w:rFonts w:hint="eastAsia"/>
        </w:rPr>
        <w:t>、主要下属企业情况</w:t>
      </w:r>
    </w:p>
    <w:p w14:paraId="46A20E69" w14:textId="77777777" w:rsidR="006416B0" w:rsidRPr="00B4515A" w:rsidRDefault="005E58C1" w:rsidP="005860B4">
      <w:pPr>
        <w:pStyle w:val="005"/>
        <w:spacing w:before="120" w:after="120"/>
        <w:ind w:firstLine="480"/>
        <w:rPr>
          <w:rFonts w:eastAsiaTheme="minorEastAsia"/>
        </w:rPr>
      </w:pPr>
      <w:r w:rsidRPr="00B4515A">
        <w:rPr>
          <w:rFonts w:hint="eastAsia"/>
        </w:rPr>
        <w:t>截至</w:t>
      </w:r>
      <w:r w:rsidRPr="00B4515A">
        <w:rPr>
          <w:rFonts w:hint="eastAsia"/>
        </w:rPr>
        <w:t>2</w:t>
      </w:r>
      <w:r w:rsidRPr="00B4515A">
        <w:t>021</w:t>
      </w:r>
      <w:r w:rsidRPr="00B4515A">
        <w:rPr>
          <w:rFonts w:hint="eastAsia"/>
        </w:rPr>
        <w:t>年</w:t>
      </w:r>
      <w:r w:rsidRPr="00B4515A">
        <w:rPr>
          <w:rFonts w:hint="eastAsia"/>
        </w:rPr>
        <w:t>4</w:t>
      </w:r>
      <w:r w:rsidRPr="00B4515A">
        <w:rPr>
          <w:rFonts w:hint="eastAsia"/>
        </w:rPr>
        <w:t>月</w:t>
      </w:r>
      <w:r w:rsidRPr="00B4515A">
        <w:rPr>
          <w:rFonts w:hint="eastAsia"/>
        </w:rPr>
        <w:t>3</w:t>
      </w:r>
      <w:r w:rsidRPr="00B4515A">
        <w:t>0</w:t>
      </w:r>
      <w:r w:rsidRPr="00B4515A">
        <w:rPr>
          <w:rFonts w:hint="eastAsia"/>
        </w:rPr>
        <w:t>日</w:t>
      </w:r>
      <w:r w:rsidRPr="00B4515A">
        <w:rPr>
          <w:rFonts w:eastAsiaTheme="minorEastAsia" w:hint="eastAsia"/>
        </w:rPr>
        <w:t>，</w:t>
      </w:r>
      <w:r w:rsidRPr="00B4515A">
        <w:rPr>
          <w:rFonts w:hint="eastAsia"/>
        </w:rPr>
        <w:t>结构调整基金</w:t>
      </w:r>
      <w:r w:rsidRPr="00B4515A">
        <w:rPr>
          <w:rFonts w:eastAsiaTheme="minorEastAsia" w:hint="eastAsia"/>
        </w:rPr>
        <w:t>主要下属企业基本情况如下：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16"/>
        <w:gridCol w:w="1901"/>
        <w:gridCol w:w="1755"/>
        <w:gridCol w:w="4156"/>
      </w:tblGrid>
      <w:tr w:rsidR="006416B0" w:rsidRPr="00B4515A" w14:paraId="71A12029" w14:textId="77777777" w:rsidTr="00031627">
        <w:trPr>
          <w:trHeight w:val="340"/>
          <w:jc w:val="center"/>
        </w:trPr>
        <w:tc>
          <w:tcPr>
            <w:tcW w:w="694" w:type="dxa"/>
            <w:tcMar>
              <w:top w:w="0" w:type="dxa"/>
              <w:left w:w="108" w:type="dxa"/>
              <w:bottom w:w="0" w:type="dxa"/>
              <w:right w:w="108" w:type="dxa"/>
            </w:tcMar>
            <w:vAlign w:val="center"/>
          </w:tcPr>
          <w:p w14:paraId="520FB8B8"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1843" w:type="dxa"/>
            <w:tcMar>
              <w:top w:w="0" w:type="dxa"/>
              <w:left w:w="108" w:type="dxa"/>
              <w:bottom w:w="0" w:type="dxa"/>
              <w:right w:w="108" w:type="dxa"/>
            </w:tcMar>
            <w:vAlign w:val="center"/>
          </w:tcPr>
          <w:p w14:paraId="402E5E3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公司名称</w:t>
            </w:r>
          </w:p>
        </w:tc>
        <w:tc>
          <w:tcPr>
            <w:tcW w:w="1701" w:type="dxa"/>
            <w:tcMar>
              <w:top w:w="0" w:type="dxa"/>
              <w:left w:w="108" w:type="dxa"/>
              <w:bottom w:w="0" w:type="dxa"/>
              <w:right w:w="108" w:type="dxa"/>
            </w:tcMar>
            <w:vAlign w:val="center"/>
          </w:tcPr>
          <w:p w14:paraId="4DE1F325"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直接</w:t>
            </w:r>
            <w:r w:rsidRPr="00B4515A">
              <w:rPr>
                <w:rFonts w:ascii="Times New Roman" w:hAnsi="Times New Roman" w:cs="Times New Roman"/>
                <w:b/>
                <w:sz w:val="21"/>
                <w:szCs w:val="21"/>
              </w:rPr>
              <w:t>持股比例</w:t>
            </w:r>
          </w:p>
        </w:tc>
        <w:tc>
          <w:tcPr>
            <w:tcW w:w="4028" w:type="dxa"/>
            <w:tcMar>
              <w:top w:w="0" w:type="dxa"/>
              <w:left w:w="108" w:type="dxa"/>
              <w:bottom w:w="0" w:type="dxa"/>
              <w:right w:w="108" w:type="dxa"/>
            </w:tcMar>
            <w:vAlign w:val="center"/>
          </w:tcPr>
          <w:p w14:paraId="7039B9FD"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经营范围</w:t>
            </w:r>
          </w:p>
        </w:tc>
      </w:tr>
      <w:tr w:rsidR="006416B0" w:rsidRPr="00B4515A" w14:paraId="6499DF1D" w14:textId="77777777" w:rsidTr="00031627">
        <w:trPr>
          <w:trHeight w:val="340"/>
          <w:jc w:val="center"/>
        </w:trPr>
        <w:tc>
          <w:tcPr>
            <w:tcW w:w="694" w:type="dxa"/>
            <w:tcMar>
              <w:top w:w="0" w:type="dxa"/>
              <w:left w:w="108" w:type="dxa"/>
              <w:bottom w:w="0" w:type="dxa"/>
              <w:right w:w="108" w:type="dxa"/>
            </w:tcMar>
            <w:vAlign w:val="center"/>
          </w:tcPr>
          <w:p w14:paraId="4D5BAB79" w14:textId="77777777" w:rsidR="006416B0" w:rsidRPr="00B4515A" w:rsidRDefault="005E58C1" w:rsidP="005860B4">
            <w:pPr>
              <w:adjustRightInd w:val="0"/>
              <w:snapToGrid w:val="0"/>
              <w:jc w:val="center"/>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1</w:t>
            </w:r>
          </w:p>
        </w:tc>
        <w:tc>
          <w:tcPr>
            <w:tcW w:w="1843" w:type="dxa"/>
            <w:tcMar>
              <w:top w:w="0" w:type="dxa"/>
              <w:left w:w="108" w:type="dxa"/>
              <w:bottom w:w="0" w:type="dxa"/>
              <w:right w:w="108" w:type="dxa"/>
            </w:tcMar>
            <w:vAlign w:val="center"/>
          </w:tcPr>
          <w:p w14:paraId="50CE0E0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宁波梅山保税港区锦甜河投资管理有限公司</w:t>
            </w:r>
          </w:p>
        </w:tc>
        <w:tc>
          <w:tcPr>
            <w:tcW w:w="1701" w:type="dxa"/>
            <w:tcMar>
              <w:top w:w="0" w:type="dxa"/>
              <w:left w:w="108" w:type="dxa"/>
              <w:bottom w:w="0" w:type="dxa"/>
              <w:right w:w="108" w:type="dxa"/>
            </w:tcMar>
            <w:vAlign w:val="center"/>
          </w:tcPr>
          <w:p w14:paraId="0BFE2BC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w:t>
            </w:r>
          </w:p>
        </w:tc>
        <w:tc>
          <w:tcPr>
            <w:tcW w:w="4028" w:type="dxa"/>
            <w:tcMar>
              <w:top w:w="0" w:type="dxa"/>
              <w:left w:w="108" w:type="dxa"/>
              <w:bottom w:w="0" w:type="dxa"/>
              <w:right w:w="108" w:type="dxa"/>
            </w:tcMar>
            <w:vAlign w:val="center"/>
          </w:tcPr>
          <w:p w14:paraId="30E1E1A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投资管理。（未经金融等监管部门批准不得从事吸收存款、融资担保、代客理财、向社会公众集（融）资等金融业务）（依法须经批准的项目，经相关部门批准后方可开展经营活动）</w:t>
            </w:r>
          </w:p>
        </w:tc>
      </w:tr>
      <w:tr w:rsidR="006416B0" w:rsidRPr="00B4515A" w14:paraId="7D8404F5" w14:textId="77777777" w:rsidTr="00031627">
        <w:trPr>
          <w:trHeight w:val="340"/>
          <w:jc w:val="center"/>
        </w:trPr>
        <w:tc>
          <w:tcPr>
            <w:tcW w:w="694" w:type="dxa"/>
            <w:tcMar>
              <w:top w:w="0" w:type="dxa"/>
              <w:left w:w="108" w:type="dxa"/>
              <w:bottom w:w="0" w:type="dxa"/>
              <w:right w:w="108" w:type="dxa"/>
            </w:tcMar>
            <w:vAlign w:val="center"/>
          </w:tcPr>
          <w:p w14:paraId="7E113E8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2</w:t>
            </w:r>
          </w:p>
        </w:tc>
        <w:tc>
          <w:tcPr>
            <w:tcW w:w="1843" w:type="dxa"/>
            <w:tcMar>
              <w:top w:w="0" w:type="dxa"/>
              <w:left w:w="108" w:type="dxa"/>
              <w:bottom w:w="0" w:type="dxa"/>
              <w:right w:w="108" w:type="dxa"/>
            </w:tcMar>
            <w:vAlign w:val="center"/>
          </w:tcPr>
          <w:p w14:paraId="769825C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宁波梅山保税港区坤玉河投资管理有限公司</w:t>
            </w:r>
          </w:p>
        </w:tc>
        <w:tc>
          <w:tcPr>
            <w:tcW w:w="1701" w:type="dxa"/>
            <w:tcMar>
              <w:top w:w="0" w:type="dxa"/>
              <w:left w:w="108" w:type="dxa"/>
              <w:bottom w:w="0" w:type="dxa"/>
              <w:right w:w="108" w:type="dxa"/>
            </w:tcMar>
            <w:vAlign w:val="center"/>
          </w:tcPr>
          <w:p w14:paraId="45EDCBE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w:t>
            </w:r>
          </w:p>
        </w:tc>
        <w:tc>
          <w:tcPr>
            <w:tcW w:w="4028" w:type="dxa"/>
            <w:tcMar>
              <w:top w:w="0" w:type="dxa"/>
              <w:left w:w="108" w:type="dxa"/>
              <w:bottom w:w="0" w:type="dxa"/>
              <w:right w:w="108" w:type="dxa"/>
            </w:tcMar>
            <w:vAlign w:val="center"/>
          </w:tcPr>
          <w:p w14:paraId="4EB47F4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投资管理，实业投资，资产管理。（未经金融等监管部门批准不得从事吸收存款、融资担保、代客理财、向社会公众集（融）资等金融业务）（依法须经批准的项目，经相关部门批准后方可开展经营活动）</w:t>
            </w:r>
          </w:p>
        </w:tc>
      </w:tr>
    </w:tbl>
    <w:p w14:paraId="4CBF2B5B" w14:textId="77777777" w:rsidR="006416B0" w:rsidRPr="00B4515A" w:rsidRDefault="005E58C1" w:rsidP="005860B4">
      <w:pPr>
        <w:pStyle w:val="003"/>
        <w:spacing w:before="120"/>
        <w:ind w:firstLine="482"/>
      </w:pPr>
      <w:r w:rsidRPr="00B4515A">
        <w:rPr>
          <w:rFonts w:hint="eastAsia"/>
        </w:rPr>
        <w:t>（五）金融街资本</w:t>
      </w:r>
    </w:p>
    <w:p w14:paraId="5CEF21BE" w14:textId="77777777" w:rsidR="006416B0" w:rsidRPr="00B4515A" w:rsidRDefault="005E58C1" w:rsidP="005860B4">
      <w:pPr>
        <w:pStyle w:val="004"/>
        <w:spacing w:before="120" w:after="120"/>
        <w:ind w:firstLine="482"/>
      </w:pPr>
      <w:r w:rsidRPr="00B4515A">
        <w:t>1</w:t>
      </w:r>
      <w:r w:rsidRPr="00B4515A">
        <w:rPr>
          <w:rFonts w:hint="eastAsia"/>
        </w:rPr>
        <w:t>、基本情况</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5"/>
        <w:gridCol w:w="6133"/>
      </w:tblGrid>
      <w:tr w:rsidR="006416B0" w:rsidRPr="00B4515A" w14:paraId="3C76E6E9"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CEE4E2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企业名称</w:t>
            </w:r>
          </w:p>
        </w:tc>
        <w:tc>
          <w:tcPr>
            <w:tcW w:w="6116" w:type="dxa"/>
            <w:shd w:val="clear" w:color="auto" w:fill="auto"/>
            <w:tcMar>
              <w:top w:w="0" w:type="dxa"/>
              <w:left w:w="108" w:type="dxa"/>
              <w:bottom w:w="0" w:type="dxa"/>
              <w:right w:w="108" w:type="dxa"/>
            </w:tcMar>
            <w:vAlign w:val="center"/>
          </w:tcPr>
          <w:p w14:paraId="3D3885E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北京金融街资本运营中心</w:t>
            </w:r>
          </w:p>
        </w:tc>
      </w:tr>
      <w:tr w:rsidR="006416B0" w:rsidRPr="00B4515A" w14:paraId="4CA82DC1"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38853E4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企业类型</w:t>
            </w:r>
          </w:p>
        </w:tc>
        <w:tc>
          <w:tcPr>
            <w:tcW w:w="6116" w:type="dxa"/>
            <w:shd w:val="clear" w:color="auto" w:fill="auto"/>
            <w:tcMar>
              <w:top w:w="0" w:type="dxa"/>
              <w:left w:w="108" w:type="dxa"/>
              <w:bottom w:w="0" w:type="dxa"/>
              <w:right w:w="108" w:type="dxa"/>
            </w:tcMar>
            <w:vAlign w:val="center"/>
          </w:tcPr>
          <w:p w14:paraId="6AB213A2" w14:textId="77777777" w:rsidR="006416B0" w:rsidRPr="00B4515A" w:rsidRDefault="005E58C1" w:rsidP="005860B4">
            <w:pPr>
              <w:adjustRightInd w:val="0"/>
              <w:snapToGrid w:val="0"/>
              <w:rPr>
                <w:rFonts w:ascii="Times New Roman" w:hAnsi="Times New Roman" w:cs="Times New Roman"/>
                <w:bCs/>
                <w:sz w:val="21"/>
                <w:szCs w:val="21"/>
              </w:rPr>
            </w:pPr>
            <w:r w:rsidRPr="00B4515A">
              <w:rPr>
                <w:rFonts w:ascii="Times New Roman" w:hAnsi="Times New Roman" w:cs="Times New Roman" w:hint="eastAsia"/>
                <w:bCs/>
                <w:sz w:val="21"/>
                <w:szCs w:val="21"/>
              </w:rPr>
              <w:t>全民所有制</w:t>
            </w:r>
          </w:p>
        </w:tc>
      </w:tr>
      <w:tr w:rsidR="006416B0" w:rsidRPr="00B4515A" w14:paraId="49C9D123"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6AF0214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注册地址</w:t>
            </w:r>
          </w:p>
        </w:tc>
        <w:tc>
          <w:tcPr>
            <w:tcW w:w="6116" w:type="dxa"/>
            <w:shd w:val="clear" w:color="auto" w:fill="auto"/>
            <w:tcMar>
              <w:top w:w="0" w:type="dxa"/>
              <w:left w:w="108" w:type="dxa"/>
              <w:bottom w:w="0" w:type="dxa"/>
              <w:right w:w="108" w:type="dxa"/>
            </w:tcMar>
            <w:vAlign w:val="center"/>
          </w:tcPr>
          <w:p w14:paraId="1939644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北京市西城区宣武门内大街</w:t>
            </w:r>
            <w:r w:rsidRPr="00B4515A">
              <w:rPr>
                <w:rFonts w:ascii="Times New Roman" w:hAnsi="Times New Roman" w:cs="Times New Roman"/>
                <w:sz w:val="21"/>
                <w:szCs w:val="21"/>
              </w:rPr>
              <w:t>6</w:t>
            </w:r>
            <w:r w:rsidRPr="00B4515A">
              <w:rPr>
                <w:rFonts w:ascii="Times New Roman" w:hAnsi="Times New Roman" w:cs="Times New Roman" w:hint="eastAsia"/>
                <w:sz w:val="21"/>
                <w:szCs w:val="21"/>
              </w:rPr>
              <w:t>号</w:t>
            </w:r>
            <w:r w:rsidRPr="00B4515A">
              <w:rPr>
                <w:rFonts w:ascii="Times New Roman" w:hAnsi="Times New Roman" w:cs="Times New Roman"/>
                <w:sz w:val="21"/>
                <w:szCs w:val="21"/>
              </w:rPr>
              <w:t>4</w:t>
            </w:r>
            <w:r w:rsidRPr="00B4515A">
              <w:rPr>
                <w:rFonts w:ascii="Times New Roman" w:hAnsi="Times New Roman" w:cs="Times New Roman" w:hint="eastAsia"/>
                <w:sz w:val="21"/>
                <w:szCs w:val="21"/>
              </w:rPr>
              <w:t>层</w:t>
            </w:r>
            <w:r w:rsidRPr="00B4515A">
              <w:rPr>
                <w:rFonts w:ascii="Times New Roman" w:hAnsi="Times New Roman" w:cs="Times New Roman"/>
                <w:sz w:val="21"/>
                <w:szCs w:val="21"/>
              </w:rPr>
              <w:t>6-58</w:t>
            </w:r>
            <w:r w:rsidRPr="00B4515A">
              <w:rPr>
                <w:rFonts w:ascii="Times New Roman" w:hAnsi="Times New Roman" w:cs="Times New Roman" w:hint="eastAsia"/>
                <w:sz w:val="21"/>
                <w:szCs w:val="21"/>
              </w:rPr>
              <w:t>室</w:t>
            </w:r>
          </w:p>
        </w:tc>
      </w:tr>
      <w:tr w:rsidR="006416B0" w:rsidRPr="00B4515A" w14:paraId="79EA3732"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E690C8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主要办公地址</w:t>
            </w:r>
          </w:p>
        </w:tc>
        <w:tc>
          <w:tcPr>
            <w:tcW w:w="6116" w:type="dxa"/>
            <w:shd w:val="clear" w:color="auto" w:fill="auto"/>
            <w:tcMar>
              <w:top w:w="0" w:type="dxa"/>
              <w:left w:w="108" w:type="dxa"/>
              <w:bottom w:w="0" w:type="dxa"/>
              <w:right w:w="108" w:type="dxa"/>
            </w:tcMar>
            <w:vAlign w:val="center"/>
          </w:tcPr>
          <w:p w14:paraId="7F123E3A"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北京市西城区金融大街</w:t>
            </w:r>
            <w:r w:rsidRPr="00B4515A">
              <w:rPr>
                <w:rFonts w:ascii="Times New Roman" w:hAnsi="Times New Roman" w:cs="Times New Roman"/>
                <w:sz w:val="21"/>
                <w:szCs w:val="21"/>
              </w:rPr>
              <w:t>4</w:t>
            </w:r>
            <w:r w:rsidRPr="00B4515A">
              <w:rPr>
                <w:rFonts w:ascii="Times New Roman" w:hAnsi="Times New Roman" w:cs="Times New Roman" w:hint="eastAsia"/>
                <w:sz w:val="21"/>
                <w:szCs w:val="21"/>
              </w:rPr>
              <w:t>号金益大厦</w:t>
            </w:r>
            <w:r w:rsidRPr="00B4515A">
              <w:rPr>
                <w:rFonts w:ascii="Times New Roman" w:hAnsi="Times New Roman" w:cs="Times New Roman"/>
                <w:sz w:val="21"/>
                <w:szCs w:val="21"/>
              </w:rPr>
              <w:t>2</w:t>
            </w:r>
            <w:r w:rsidRPr="00B4515A">
              <w:rPr>
                <w:rFonts w:ascii="Times New Roman" w:hAnsi="Times New Roman" w:cs="Times New Roman" w:hint="eastAsia"/>
                <w:sz w:val="21"/>
                <w:szCs w:val="21"/>
              </w:rPr>
              <w:t>层</w:t>
            </w:r>
          </w:p>
        </w:tc>
      </w:tr>
      <w:tr w:rsidR="006416B0" w:rsidRPr="00B4515A" w14:paraId="62E4636A"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9546A6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法定代表人</w:t>
            </w:r>
          </w:p>
        </w:tc>
        <w:tc>
          <w:tcPr>
            <w:tcW w:w="6116" w:type="dxa"/>
            <w:shd w:val="clear" w:color="auto" w:fill="auto"/>
            <w:tcMar>
              <w:top w:w="0" w:type="dxa"/>
              <w:left w:w="108" w:type="dxa"/>
              <w:bottom w:w="0" w:type="dxa"/>
              <w:right w:w="108" w:type="dxa"/>
            </w:tcMar>
            <w:vAlign w:val="center"/>
          </w:tcPr>
          <w:p w14:paraId="2681F6C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程瑞琦</w:t>
            </w:r>
          </w:p>
        </w:tc>
      </w:tr>
      <w:tr w:rsidR="006416B0" w:rsidRPr="00B4515A" w14:paraId="7C51EB1B"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6EC6CBC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lastRenderedPageBreak/>
              <w:t>注册资本</w:t>
            </w:r>
          </w:p>
        </w:tc>
        <w:tc>
          <w:tcPr>
            <w:tcW w:w="6116" w:type="dxa"/>
            <w:shd w:val="clear" w:color="auto" w:fill="auto"/>
            <w:tcMar>
              <w:top w:w="0" w:type="dxa"/>
              <w:left w:w="108" w:type="dxa"/>
              <w:bottom w:w="0" w:type="dxa"/>
              <w:right w:w="108" w:type="dxa"/>
            </w:tcMar>
            <w:vAlign w:val="center"/>
          </w:tcPr>
          <w:p w14:paraId="5B8444D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人民币</w:t>
            </w:r>
            <w:r w:rsidRPr="00B4515A">
              <w:rPr>
                <w:rFonts w:ascii="Times New Roman" w:hAnsi="Times New Roman" w:cs="Times New Roman"/>
                <w:sz w:val="21"/>
                <w:szCs w:val="21"/>
              </w:rPr>
              <w:t>2,717,250.628388</w:t>
            </w:r>
            <w:r w:rsidRPr="00B4515A">
              <w:rPr>
                <w:rFonts w:ascii="Times New Roman" w:hAnsi="Times New Roman" w:cs="Times New Roman" w:hint="eastAsia"/>
                <w:sz w:val="21"/>
                <w:szCs w:val="21"/>
              </w:rPr>
              <w:t>万元</w:t>
            </w:r>
          </w:p>
        </w:tc>
      </w:tr>
      <w:tr w:rsidR="006416B0" w:rsidRPr="00B4515A" w14:paraId="08C24DB8"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6DB5667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统一社会信用代码</w:t>
            </w:r>
          </w:p>
        </w:tc>
        <w:tc>
          <w:tcPr>
            <w:tcW w:w="6116" w:type="dxa"/>
            <w:shd w:val="clear" w:color="auto" w:fill="auto"/>
            <w:tcMar>
              <w:top w:w="0" w:type="dxa"/>
              <w:left w:w="108" w:type="dxa"/>
              <w:bottom w:w="0" w:type="dxa"/>
              <w:right w:w="108" w:type="dxa"/>
            </w:tcMar>
            <w:vAlign w:val="center"/>
          </w:tcPr>
          <w:p w14:paraId="6327CBC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91110102101398791D</w:t>
            </w:r>
          </w:p>
        </w:tc>
      </w:tr>
      <w:tr w:rsidR="006416B0" w:rsidRPr="00B4515A" w14:paraId="7820486D"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12C41F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经营范围</w:t>
            </w:r>
          </w:p>
        </w:tc>
        <w:tc>
          <w:tcPr>
            <w:tcW w:w="6116" w:type="dxa"/>
            <w:shd w:val="clear" w:color="auto" w:fill="auto"/>
            <w:tcMar>
              <w:top w:w="0" w:type="dxa"/>
              <w:left w:w="108" w:type="dxa"/>
              <w:bottom w:w="0" w:type="dxa"/>
              <w:right w:w="108" w:type="dxa"/>
            </w:tcMar>
            <w:vAlign w:val="center"/>
          </w:tcPr>
          <w:p w14:paraId="39EA99E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以下仅限分支机构经营：住宿；零售卷烟；游泳池；西餐（含冷荤凉菜、含裱花蛋糕）、冷热饮、中餐（含冷荤凉菜）、中式糕点；销售饮料、酒；零售图书、期刊；体育运动项目经营；洗衣；酒店管理；会议服务；销售日用品、工艺品、文化用品、服装、珠宝首饰、鲜花、箱包；组织文化艺术交流活动（不含演出）；物业管理；出租办公用房；项目投资；投资管理；投资咨询；资产管理；经济信息咨询；西单商业区房地产开发经营、销售商品房；销售装饰材料；金属材料加工；制冷设备安装；承办消费品市场；汽车租赁。（</w:t>
            </w:r>
            <w:r w:rsidRPr="00B4515A">
              <w:rPr>
                <w:rFonts w:cs="Times New Roman" w:hint="eastAsia"/>
                <w:sz w:val="21"/>
                <w:szCs w:val="21"/>
              </w:rPr>
              <w:t>“</w:t>
            </w:r>
            <w:r w:rsidRPr="00B4515A">
              <w:rPr>
                <w:rFonts w:ascii="Times New Roman" w:hAnsi="Times New Roman" w:cs="Times New Roman"/>
                <w:sz w:val="21"/>
                <w:szCs w:val="21"/>
              </w:rPr>
              <w:t>1</w:t>
            </w:r>
            <w:r w:rsidRPr="00B4515A">
              <w:rPr>
                <w:rFonts w:ascii="Times New Roman" w:hAnsi="Times New Roman" w:cs="Times New Roman" w:hint="eastAsia"/>
                <w:sz w:val="21"/>
                <w:szCs w:val="21"/>
              </w:rPr>
              <w:t>、未经有关部门批准，不得以公开方式募集资金；</w:t>
            </w:r>
            <w:r w:rsidRPr="00B4515A">
              <w:rPr>
                <w:rFonts w:ascii="Times New Roman" w:hAnsi="Times New Roman" w:cs="Times New Roman"/>
                <w:sz w:val="21"/>
                <w:szCs w:val="21"/>
              </w:rPr>
              <w:t>2</w:t>
            </w:r>
            <w:r w:rsidRPr="00B4515A">
              <w:rPr>
                <w:rFonts w:ascii="Times New Roman" w:hAnsi="Times New Roman" w:cs="Times New Roman" w:hint="eastAsia"/>
                <w:sz w:val="21"/>
                <w:szCs w:val="21"/>
              </w:rPr>
              <w:t>、不得公开开展证券类产品和金融衍生品交易活动；</w:t>
            </w:r>
            <w:r w:rsidRPr="00B4515A">
              <w:rPr>
                <w:rFonts w:ascii="Times New Roman" w:hAnsi="Times New Roman" w:cs="Times New Roman"/>
                <w:sz w:val="21"/>
                <w:szCs w:val="21"/>
              </w:rPr>
              <w:t>3</w:t>
            </w:r>
            <w:r w:rsidRPr="00B4515A">
              <w:rPr>
                <w:rFonts w:ascii="Times New Roman" w:hAnsi="Times New Roman" w:cs="Times New Roman" w:hint="eastAsia"/>
                <w:sz w:val="21"/>
                <w:szCs w:val="21"/>
              </w:rPr>
              <w:t>、不得发放贷款；</w:t>
            </w:r>
            <w:r w:rsidRPr="00B4515A">
              <w:rPr>
                <w:rFonts w:ascii="Times New Roman" w:hAnsi="Times New Roman" w:cs="Times New Roman"/>
                <w:sz w:val="21"/>
                <w:szCs w:val="21"/>
              </w:rPr>
              <w:t>4</w:t>
            </w:r>
            <w:r w:rsidRPr="00B4515A">
              <w:rPr>
                <w:rFonts w:ascii="Times New Roman" w:hAnsi="Times New Roman" w:cs="Times New Roman" w:hint="eastAsia"/>
                <w:sz w:val="21"/>
                <w:szCs w:val="21"/>
              </w:rPr>
              <w:t>、不得对所投资企业以外的其他企业提供担保；</w:t>
            </w:r>
            <w:r w:rsidRPr="00B4515A">
              <w:rPr>
                <w:rFonts w:ascii="Times New Roman" w:hAnsi="Times New Roman" w:cs="Times New Roman"/>
                <w:sz w:val="21"/>
                <w:szCs w:val="21"/>
              </w:rPr>
              <w:t>5</w:t>
            </w:r>
            <w:r w:rsidRPr="00B4515A">
              <w:rPr>
                <w:rFonts w:ascii="Times New Roman" w:hAnsi="Times New Roman" w:cs="Times New Roman" w:hint="eastAsia"/>
                <w:sz w:val="21"/>
                <w:szCs w:val="21"/>
              </w:rPr>
              <w:t>、不得向投资者承诺投资本金不受损失或者承诺最低收益</w:t>
            </w:r>
            <w:r w:rsidRPr="00B4515A">
              <w:rPr>
                <w:rFonts w:cs="Times New Roman" w:hint="eastAsia"/>
                <w:sz w:val="21"/>
                <w:szCs w:val="21"/>
              </w:rPr>
              <w:t>”</w:t>
            </w:r>
            <w:r w:rsidRPr="00B4515A">
              <w:rPr>
                <w:rFonts w:ascii="Times New Roman" w:hAnsi="Times New Roman" w:cs="Times New Roman" w:hint="eastAsia"/>
                <w:sz w:val="21"/>
                <w:szCs w:val="21"/>
              </w:rPr>
              <w:t>；企业依法自主选择经营项目，开展经营活动；依法须经批准的项目，经相关部门批准后依批准的内容开展经营活动；不得从事本市产业政策禁止和限制类项目的经营活动。）</w:t>
            </w:r>
          </w:p>
        </w:tc>
      </w:tr>
      <w:tr w:rsidR="006416B0" w:rsidRPr="00B4515A" w14:paraId="538CD184"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09877F4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成立日期</w:t>
            </w:r>
          </w:p>
        </w:tc>
        <w:tc>
          <w:tcPr>
            <w:tcW w:w="6116" w:type="dxa"/>
            <w:shd w:val="clear" w:color="auto" w:fill="auto"/>
            <w:tcMar>
              <w:top w:w="0" w:type="dxa"/>
              <w:left w:w="108" w:type="dxa"/>
              <w:bottom w:w="0" w:type="dxa"/>
              <w:right w:w="108" w:type="dxa"/>
            </w:tcMar>
            <w:vAlign w:val="center"/>
          </w:tcPr>
          <w:p w14:paraId="2E2B70A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1992</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9</w:t>
            </w:r>
            <w:r w:rsidRPr="00B4515A">
              <w:rPr>
                <w:rFonts w:ascii="Times New Roman" w:hAnsi="Times New Roman" w:cs="Times New Roman" w:hint="eastAsia"/>
                <w:sz w:val="21"/>
                <w:szCs w:val="21"/>
              </w:rPr>
              <w:t>月</w:t>
            </w:r>
            <w:r w:rsidRPr="00B4515A">
              <w:rPr>
                <w:rFonts w:ascii="Times New Roman" w:hAnsi="Times New Roman" w:cs="Times New Roman"/>
                <w:sz w:val="21"/>
                <w:szCs w:val="21"/>
              </w:rPr>
              <w:t>16</w:t>
            </w:r>
            <w:r w:rsidRPr="00B4515A">
              <w:rPr>
                <w:rFonts w:ascii="Times New Roman" w:hAnsi="Times New Roman" w:cs="Times New Roman" w:hint="eastAsia"/>
                <w:sz w:val="21"/>
                <w:szCs w:val="21"/>
              </w:rPr>
              <w:t>日</w:t>
            </w:r>
          </w:p>
        </w:tc>
      </w:tr>
    </w:tbl>
    <w:p w14:paraId="5C4E868C" w14:textId="77777777" w:rsidR="006416B0" w:rsidRPr="00B4515A" w:rsidRDefault="005E58C1" w:rsidP="005860B4">
      <w:pPr>
        <w:pStyle w:val="004"/>
        <w:spacing w:before="120" w:after="120"/>
        <w:ind w:firstLine="482"/>
      </w:pPr>
      <w:r w:rsidRPr="00B4515A">
        <w:rPr>
          <w:rFonts w:hint="eastAsia"/>
        </w:rPr>
        <w:t>2</w:t>
      </w:r>
      <w:r w:rsidRPr="00B4515A">
        <w:rPr>
          <w:rFonts w:hint="eastAsia"/>
        </w:rPr>
        <w:t>、历史沿革</w:t>
      </w:r>
    </w:p>
    <w:p w14:paraId="4B8CA1A5" w14:textId="77777777" w:rsidR="006416B0" w:rsidRPr="00B4515A" w:rsidRDefault="005E58C1" w:rsidP="005860B4">
      <w:pPr>
        <w:pStyle w:val="005"/>
        <w:spacing w:before="120" w:after="120"/>
        <w:ind w:firstLine="480"/>
        <w:rPr>
          <w:color w:val="000000"/>
        </w:rPr>
      </w:pPr>
      <w:r w:rsidRPr="00B4515A">
        <w:t>经北京市西城区人民政府《北京市西城区人民政府关于同意成立北京市西单商业区建设开发公司的批复》（西政复</w:t>
      </w:r>
      <w:r w:rsidRPr="00B4515A">
        <w:rPr>
          <w:rFonts w:hint="eastAsia"/>
        </w:rPr>
        <w:t>［</w:t>
      </w:r>
      <w:r w:rsidRPr="00B4515A">
        <w:t>1992</w:t>
      </w:r>
      <w:r w:rsidRPr="00B4515A">
        <w:rPr>
          <w:rFonts w:hint="eastAsia"/>
        </w:rPr>
        <w:t>］</w:t>
      </w:r>
      <w:r w:rsidRPr="00B4515A">
        <w:t>63</w:t>
      </w:r>
      <w:r w:rsidRPr="00B4515A">
        <w:t>号）、北京市城乡建设委员会出具</w:t>
      </w:r>
      <w:r w:rsidRPr="00B4515A">
        <w:rPr>
          <w:color w:val="000000"/>
        </w:rPr>
        <w:t>《关于成立北京市西单商业区建设开发公司的批复》</w:t>
      </w:r>
      <w:r w:rsidRPr="00B4515A">
        <w:t>（</w:t>
      </w:r>
      <w:r w:rsidRPr="00B4515A">
        <w:rPr>
          <w:rFonts w:hint="eastAsia"/>
        </w:rPr>
        <w:t>［</w:t>
      </w:r>
      <w:r w:rsidRPr="00B4515A">
        <w:t>92</w:t>
      </w:r>
      <w:r w:rsidRPr="00B4515A">
        <w:rPr>
          <w:rFonts w:hint="eastAsia"/>
        </w:rPr>
        <w:t>］</w:t>
      </w:r>
      <w:r w:rsidRPr="00B4515A">
        <w:t>京建开字第</w:t>
      </w:r>
      <w:r w:rsidRPr="00B4515A">
        <w:t>294</w:t>
      </w:r>
      <w:r w:rsidRPr="00B4515A">
        <w:t>号）、北京市计划委员会出具《关于成立北京市西单商业区建设开发公司的批复》（</w:t>
      </w:r>
      <w:r w:rsidRPr="00B4515A">
        <w:rPr>
          <w:rFonts w:hint="eastAsia"/>
        </w:rPr>
        <w:t>［</w:t>
      </w:r>
      <w:r w:rsidRPr="00B4515A">
        <w:t>1992</w:t>
      </w:r>
      <w:r w:rsidRPr="00B4515A">
        <w:rPr>
          <w:rFonts w:hint="eastAsia"/>
        </w:rPr>
        <w:t>］</w:t>
      </w:r>
      <w:r w:rsidRPr="00B4515A">
        <w:t>京计综字第</w:t>
      </w:r>
      <w:r w:rsidRPr="00B4515A">
        <w:t>975</w:t>
      </w:r>
      <w:r w:rsidRPr="00B4515A">
        <w:t>号）批复</w:t>
      </w:r>
      <w:r w:rsidRPr="00B4515A">
        <w:rPr>
          <w:rFonts w:hint="eastAsia"/>
          <w:lang w:eastAsia="zh-Hans"/>
        </w:rPr>
        <w:t>同意</w:t>
      </w:r>
      <w:r w:rsidRPr="00B4515A">
        <w:t>，金融街资本</w:t>
      </w:r>
      <w:r w:rsidRPr="00B4515A">
        <w:rPr>
          <w:rFonts w:hint="eastAsia"/>
          <w:lang w:eastAsia="zh-Hans"/>
        </w:rPr>
        <w:t>前身</w:t>
      </w:r>
      <w:r w:rsidRPr="00B4515A">
        <w:t>北京市西单商业区建设开发公司于</w:t>
      </w:r>
      <w:r w:rsidRPr="00B4515A">
        <w:t>1992</w:t>
      </w:r>
      <w:r w:rsidRPr="00B4515A">
        <w:t>年</w:t>
      </w:r>
      <w:r w:rsidRPr="00B4515A">
        <w:t>9</w:t>
      </w:r>
      <w:r w:rsidRPr="00B4515A">
        <w:t>月</w:t>
      </w:r>
      <w:r w:rsidRPr="00B4515A">
        <w:t>16</w:t>
      </w:r>
      <w:r w:rsidRPr="00B4515A">
        <w:t>日在北京市西城区注册成立，设立时注册资本</w:t>
      </w:r>
      <w:r w:rsidRPr="00B4515A">
        <w:t>2,000</w:t>
      </w:r>
      <w:r w:rsidRPr="00B4515A">
        <w:t>万元，企业性质为全民所有制企业。</w:t>
      </w:r>
    </w:p>
    <w:p w14:paraId="6D220949" w14:textId="29A1FFBF" w:rsidR="006416B0" w:rsidRPr="00B4515A" w:rsidRDefault="005E58C1" w:rsidP="005860B4">
      <w:pPr>
        <w:pStyle w:val="005"/>
        <w:spacing w:before="120" w:after="120"/>
        <w:ind w:firstLine="480"/>
        <w:rPr>
          <w:color w:val="000000"/>
        </w:rPr>
      </w:pPr>
      <w:r w:rsidRPr="00B4515A">
        <w:rPr>
          <w:color w:val="000000"/>
        </w:rPr>
        <w:t>1998</w:t>
      </w:r>
      <w:r w:rsidRPr="00B4515A">
        <w:rPr>
          <w:color w:val="000000"/>
        </w:rPr>
        <w:t>年</w:t>
      </w:r>
      <w:r w:rsidRPr="00B4515A">
        <w:rPr>
          <w:color w:val="000000"/>
        </w:rPr>
        <w:t>8</w:t>
      </w:r>
      <w:r w:rsidRPr="00B4515A">
        <w:rPr>
          <w:rFonts w:hint="eastAsia"/>
          <w:color w:val="000000"/>
        </w:rPr>
        <w:t>月</w:t>
      </w:r>
      <w:r w:rsidRPr="00B4515A">
        <w:rPr>
          <w:color w:val="000000"/>
        </w:rPr>
        <w:t>，中共北京市西城区委员会、北京市西城区人民政府出具《关于建立区属商贸系统国有资产营运体系的决定》（西发［</w:t>
      </w:r>
      <w:r w:rsidRPr="00B4515A">
        <w:rPr>
          <w:color w:val="000000"/>
        </w:rPr>
        <w:t>1998</w:t>
      </w:r>
      <w:r w:rsidRPr="00B4515A">
        <w:rPr>
          <w:color w:val="000000"/>
        </w:rPr>
        <w:t>］</w:t>
      </w:r>
      <w:r w:rsidRPr="00B4515A">
        <w:rPr>
          <w:color w:val="000000"/>
        </w:rPr>
        <w:t>15</w:t>
      </w:r>
      <w:r w:rsidRPr="00B4515A">
        <w:rPr>
          <w:color w:val="000000"/>
        </w:rPr>
        <w:t>号），决定成立北京华方投资经营公司，持有北京万方实业总公司、北京市西单商业区建设开发公司国有产权，以出资者代表的身份对所持国有资产的投资运作和产权运营行使重大决策权和监管权；对北京万方实业总公司、北京市西城区粮食局、北京市西单商业区建设开发公司进行重组。经北京市西单商业区建设开发公司出具《关于北京市西单商业区建设开发公司出资关系调整有关转让协议事宜的说明》并经西城区国资委确认，根据上述西发［</w:t>
      </w:r>
      <w:r w:rsidRPr="00B4515A">
        <w:rPr>
          <w:color w:val="000000"/>
        </w:rPr>
        <w:t>1998</w:t>
      </w:r>
      <w:r w:rsidRPr="00B4515A">
        <w:rPr>
          <w:color w:val="000000"/>
        </w:rPr>
        <w:t>］</w:t>
      </w:r>
      <w:r w:rsidRPr="00B4515A">
        <w:rPr>
          <w:color w:val="000000"/>
        </w:rPr>
        <w:t>15</w:t>
      </w:r>
      <w:r w:rsidRPr="00B4515A">
        <w:rPr>
          <w:color w:val="000000"/>
        </w:rPr>
        <w:t>号决定，将北京市西单商业区建设开发公司划归北京华方投资经营公司，并进一步将其重组至北京华方投资经营公司的全资子公司</w:t>
      </w:r>
      <w:r w:rsidRPr="00B4515A">
        <w:rPr>
          <w:color w:val="000000"/>
        </w:rPr>
        <w:t>——</w:t>
      </w:r>
      <w:r w:rsidRPr="00B4515A">
        <w:rPr>
          <w:rFonts w:hint="eastAsia"/>
          <w:color w:val="000000"/>
        </w:rPr>
        <w:t>北京万方实业总公司</w:t>
      </w:r>
      <w:r w:rsidRPr="00B4515A">
        <w:rPr>
          <w:color w:val="000000"/>
        </w:rPr>
        <w:t>。</w:t>
      </w:r>
    </w:p>
    <w:p w14:paraId="4DCB2743" w14:textId="77777777" w:rsidR="006416B0" w:rsidRPr="00B4515A" w:rsidRDefault="005E58C1" w:rsidP="005860B4">
      <w:pPr>
        <w:pStyle w:val="005"/>
        <w:spacing w:before="120" w:after="120"/>
        <w:ind w:firstLine="480"/>
        <w:rPr>
          <w:color w:val="000000"/>
        </w:rPr>
      </w:pPr>
      <w:r w:rsidRPr="00B4515A">
        <w:rPr>
          <w:rFonts w:hint="eastAsia"/>
          <w:color w:val="000000"/>
        </w:rPr>
        <w:lastRenderedPageBreak/>
        <w:t>2</w:t>
      </w:r>
      <w:r w:rsidRPr="00B4515A">
        <w:rPr>
          <w:color w:val="000000"/>
        </w:rPr>
        <w:t>004</w:t>
      </w:r>
      <w:r w:rsidRPr="00B4515A">
        <w:rPr>
          <w:rFonts w:hint="eastAsia"/>
          <w:color w:val="000000"/>
        </w:rPr>
        <w:t>年</w:t>
      </w:r>
      <w:r w:rsidRPr="00B4515A">
        <w:rPr>
          <w:rFonts w:hint="eastAsia"/>
          <w:color w:val="000000"/>
        </w:rPr>
        <w:t>1</w:t>
      </w:r>
      <w:r w:rsidRPr="00B4515A">
        <w:rPr>
          <w:color w:val="000000"/>
        </w:rPr>
        <w:t>2</w:t>
      </w:r>
      <w:r w:rsidRPr="00B4515A">
        <w:rPr>
          <w:rFonts w:hint="eastAsia"/>
          <w:color w:val="000000"/>
        </w:rPr>
        <w:t>月，北京市西城区人民政府国有资产监督管理委员会出具《关于对北京万方实业总公司进行资产重组的决定》（西国资通</w:t>
      </w:r>
      <w:r w:rsidRPr="00B4515A">
        <w:rPr>
          <w:rFonts w:hint="eastAsia"/>
          <w:color w:val="000000"/>
        </w:rPr>
        <w:t>[</w:t>
      </w:r>
      <w:r w:rsidRPr="00B4515A">
        <w:rPr>
          <w:color w:val="000000"/>
        </w:rPr>
        <w:t>2004</w:t>
      </w:r>
      <w:r w:rsidRPr="00B4515A">
        <w:rPr>
          <w:rFonts w:hint="eastAsia"/>
          <w:color w:val="000000"/>
        </w:rPr>
        <w:t>]</w:t>
      </w:r>
      <w:r w:rsidRPr="00B4515A">
        <w:rPr>
          <w:color w:val="000000"/>
        </w:rPr>
        <w:t>21</w:t>
      </w:r>
      <w:r w:rsidRPr="00B4515A">
        <w:rPr>
          <w:rFonts w:hint="eastAsia"/>
          <w:color w:val="000000"/>
        </w:rPr>
        <w:t>号），决定将原北京万方实业总公司所持有北京市西单商业区建设开发公司</w:t>
      </w:r>
      <w:r w:rsidRPr="00B4515A">
        <w:rPr>
          <w:rFonts w:hint="eastAsia"/>
          <w:color w:val="000000"/>
        </w:rPr>
        <w:t>1</w:t>
      </w:r>
      <w:r w:rsidRPr="00B4515A">
        <w:rPr>
          <w:color w:val="000000"/>
        </w:rPr>
        <w:t>00%</w:t>
      </w:r>
      <w:r w:rsidRPr="00B4515A">
        <w:rPr>
          <w:rFonts w:hint="eastAsia"/>
          <w:color w:val="000000"/>
        </w:rPr>
        <w:t>国有法人产权无偿划转至北京华融综合投资公司持有。</w:t>
      </w:r>
    </w:p>
    <w:p w14:paraId="05AE04FE" w14:textId="77777777" w:rsidR="006416B0" w:rsidRPr="00B4515A" w:rsidRDefault="005E58C1" w:rsidP="005860B4">
      <w:pPr>
        <w:pStyle w:val="005"/>
        <w:spacing w:before="120" w:after="120"/>
        <w:ind w:firstLine="480"/>
        <w:rPr>
          <w:color w:val="000000"/>
        </w:rPr>
      </w:pPr>
      <w:r w:rsidRPr="00B4515A">
        <w:rPr>
          <w:rFonts w:hint="eastAsia"/>
          <w:color w:val="000000"/>
        </w:rPr>
        <w:t>2</w:t>
      </w:r>
      <w:r w:rsidRPr="00B4515A">
        <w:rPr>
          <w:color w:val="000000"/>
        </w:rPr>
        <w:t>009</w:t>
      </w:r>
      <w:r w:rsidRPr="00B4515A">
        <w:rPr>
          <w:rFonts w:hint="eastAsia"/>
          <w:color w:val="000000"/>
        </w:rPr>
        <w:t>年</w:t>
      </w:r>
      <w:r w:rsidRPr="00B4515A">
        <w:rPr>
          <w:rFonts w:hint="eastAsia"/>
          <w:color w:val="000000"/>
        </w:rPr>
        <w:t>1</w:t>
      </w:r>
      <w:r w:rsidRPr="00B4515A">
        <w:rPr>
          <w:color w:val="000000"/>
        </w:rPr>
        <w:t>0</w:t>
      </w:r>
      <w:r w:rsidRPr="00B4515A">
        <w:rPr>
          <w:rFonts w:hint="eastAsia"/>
          <w:color w:val="000000"/>
        </w:rPr>
        <w:t>月，北京市西城区人民政府国有资产监督管理委员会出具《北京市西城区人民政府国有资产监督管理委员会关于调整北京市西单商业区建设开发公司权属关系的通知》（西国资发</w:t>
      </w:r>
      <w:r w:rsidRPr="00B4515A">
        <w:rPr>
          <w:rFonts w:hint="eastAsia"/>
          <w:color w:val="000000"/>
        </w:rPr>
        <w:t>[</w:t>
      </w:r>
      <w:r w:rsidRPr="00B4515A">
        <w:rPr>
          <w:color w:val="000000"/>
        </w:rPr>
        <w:t>2009</w:t>
      </w:r>
      <w:r w:rsidRPr="00B4515A">
        <w:rPr>
          <w:rFonts w:hint="eastAsia"/>
          <w:color w:val="000000"/>
        </w:rPr>
        <w:t>]</w:t>
      </w:r>
      <w:r w:rsidRPr="00B4515A">
        <w:rPr>
          <w:color w:val="000000"/>
        </w:rPr>
        <w:t>41</w:t>
      </w:r>
      <w:r w:rsidRPr="00B4515A">
        <w:rPr>
          <w:rFonts w:hint="eastAsia"/>
          <w:color w:val="000000"/>
        </w:rPr>
        <w:t>号），决定将北京市西单商业区建设开发公司出资人变更为北京市西城区人民政府国有资产监督管理委员会。</w:t>
      </w:r>
    </w:p>
    <w:p w14:paraId="00023AFA" w14:textId="77777777" w:rsidR="006416B0" w:rsidRPr="00B4515A" w:rsidRDefault="005E58C1" w:rsidP="005860B4">
      <w:pPr>
        <w:pStyle w:val="005"/>
        <w:spacing w:before="120" w:after="120"/>
        <w:ind w:firstLine="480"/>
        <w:rPr>
          <w:color w:val="000000"/>
        </w:rPr>
      </w:pPr>
      <w:r w:rsidRPr="00B4515A">
        <w:rPr>
          <w:color w:val="000000"/>
        </w:rPr>
        <w:t>2011</w:t>
      </w:r>
      <w:r w:rsidRPr="00B4515A">
        <w:rPr>
          <w:rFonts w:hint="eastAsia"/>
          <w:color w:val="000000"/>
        </w:rPr>
        <w:t>年</w:t>
      </w:r>
      <w:r w:rsidRPr="00B4515A">
        <w:rPr>
          <w:color w:val="000000"/>
        </w:rPr>
        <w:t>5</w:t>
      </w:r>
      <w:r w:rsidRPr="00B4515A">
        <w:rPr>
          <w:rFonts w:hint="eastAsia"/>
          <w:color w:val="000000"/>
        </w:rPr>
        <w:t>月，</w:t>
      </w:r>
      <w:r w:rsidRPr="00B4515A">
        <w:rPr>
          <w:color w:val="000000"/>
        </w:rPr>
        <w:t>北京市西城区人民政府国有资产监督管理委员会</w:t>
      </w:r>
      <w:r w:rsidRPr="00B4515A">
        <w:rPr>
          <w:rFonts w:hint="eastAsia"/>
          <w:color w:val="000000"/>
        </w:rPr>
        <w:t>追加投资</w:t>
      </w:r>
      <w:r w:rsidRPr="00B4515A">
        <w:rPr>
          <w:color w:val="000000"/>
        </w:rPr>
        <w:t>400</w:t>
      </w:r>
      <w:r w:rsidRPr="00B4515A">
        <w:rPr>
          <w:rFonts w:hint="eastAsia"/>
          <w:color w:val="000000"/>
        </w:rPr>
        <w:t>万元，北京市西单商业区建设开发公司注册资本由</w:t>
      </w:r>
      <w:r w:rsidRPr="00B4515A">
        <w:rPr>
          <w:color w:val="000000"/>
        </w:rPr>
        <w:t>2,000</w:t>
      </w:r>
      <w:r w:rsidRPr="00B4515A">
        <w:rPr>
          <w:rFonts w:hint="eastAsia"/>
          <w:color w:val="000000"/>
        </w:rPr>
        <w:t>万元变更为</w:t>
      </w:r>
      <w:r w:rsidRPr="00B4515A">
        <w:rPr>
          <w:color w:val="000000"/>
        </w:rPr>
        <w:t>2,400</w:t>
      </w:r>
      <w:r w:rsidRPr="00B4515A">
        <w:rPr>
          <w:rFonts w:hint="eastAsia"/>
          <w:color w:val="000000"/>
        </w:rPr>
        <w:t>万元。</w:t>
      </w:r>
    </w:p>
    <w:p w14:paraId="709D2CDC" w14:textId="77777777" w:rsidR="006416B0" w:rsidRPr="00B4515A" w:rsidRDefault="005E58C1" w:rsidP="005860B4">
      <w:pPr>
        <w:pStyle w:val="005"/>
        <w:spacing w:before="120" w:after="120"/>
        <w:ind w:firstLine="480"/>
        <w:rPr>
          <w:color w:val="000000"/>
        </w:rPr>
      </w:pPr>
      <w:r w:rsidRPr="00B4515A">
        <w:rPr>
          <w:color w:val="000000"/>
        </w:rPr>
        <w:t>2012</w:t>
      </w:r>
      <w:r w:rsidRPr="00B4515A">
        <w:rPr>
          <w:rFonts w:hint="eastAsia"/>
          <w:color w:val="000000"/>
        </w:rPr>
        <w:t>年</w:t>
      </w:r>
      <w:r w:rsidRPr="00B4515A">
        <w:rPr>
          <w:color w:val="000000"/>
        </w:rPr>
        <w:t>2</w:t>
      </w:r>
      <w:r w:rsidRPr="00B4515A">
        <w:rPr>
          <w:rFonts w:hint="eastAsia"/>
          <w:color w:val="000000"/>
        </w:rPr>
        <w:t>月，</w:t>
      </w:r>
      <w:r w:rsidRPr="00B4515A">
        <w:rPr>
          <w:color w:val="000000"/>
        </w:rPr>
        <w:t>北京市西城区人民政府国有资产监督管理委员会</w:t>
      </w:r>
      <w:r w:rsidRPr="00B4515A">
        <w:rPr>
          <w:rFonts w:hint="eastAsia"/>
          <w:color w:val="000000"/>
        </w:rPr>
        <w:t>追加投资</w:t>
      </w:r>
      <w:r w:rsidRPr="00B4515A">
        <w:rPr>
          <w:color w:val="000000"/>
        </w:rPr>
        <w:t>796,196.876203</w:t>
      </w:r>
      <w:r w:rsidRPr="00B4515A">
        <w:rPr>
          <w:rFonts w:hint="eastAsia"/>
          <w:color w:val="000000"/>
        </w:rPr>
        <w:t>万元，北京市西单商业区建设开发公司注册资本由</w:t>
      </w:r>
      <w:r w:rsidRPr="00B4515A">
        <w:rPr>
          <w:color w:val="000000"/>
        </w:rPr>
        <w:t>2,400</w:t>
      </w:r>
      <w:r w:rsidRPr="00B4515A">
        <w:rPr>
          <w:rFonts w:hint="eastAsia"/>
          <w:color w:val="000000"/>
        </w:rPr>
        <w:t>万元变更为</w:t>
      </w:r>
      <w:r w:rsidRPr="00B4515A">
        <w:rPr>
          <w:color w:val="000000"/>
        </w:rPr>
        <w:t>798,596.876203</w:t>
      </w:r>
      <w:r w:rsidRPr="00B4515A">
        <w:rPr>
          <w:rFonts w:hint="eastAsia"/>
          <w:color w:val="000000"/>
        </w:rPr>
        <w:t>万元。</w:t>
      </w:r>
    </w:p>
    <w:p w14:paraId="58CEDBEC" w14:textId="77777777" w:rsidR="006416B0" w:rsidRPr="00B4515A" w:rsidRDefault="005E58C1" w:rsidP="005860B4">
      <w:pPr>
        <w:pStyle w:val="005"/>
        <w:spacing w:before="120" w:after="120"/>
        <w:ind w:firstLine="480"/>
        <w:rPr>
          <w:color w:val="000000"/>
        </w:rPr>
      </w:pPr>
      <w:r w:rsidRPr="00B4515A">
        <w:rPr>
          <w:color w:val="000000"/>
        </w:rPr>
        <w:t>2012</w:t>
      </w:r>
      <w:r w:rsidRPr="00B4515A">
        <w:rPr>
          <w:rFonts w:hint="eastAsia"/>
          <w:color w:val="000000"/>
        </w:rPr>
        <w:t>年</w:t>
      </w:r>
      <w:r w:rsidRPr="00B4515A">
        <w:rPr>
          <w:color w:val="000000"/>
        </w:rPr>
        <w:t>2</w:t>
      </w:r>
      <w:r w:rsidRPr="00B4515A">
        <w:rPr>
          <w:rFonts w:hint="eastAsia"/>
          <w:color w:val="000000"/>
        </w:rPr>
        <w:t>月，北京市西单商业区建设开发公司名称变更为北京金融街资本运营中心。</w:t>
      </w:r>
    </w:p>
    <w:p w14:paraId="12D7D902" w14:textId="77777777" w:rsidR="006416B0" w:rsidRPr="00B4515A" w:rsidRDefault="005E58C1" w:rsidP="005860B4">
      <w:pPr>
        <w:pStyle w:val="005"/>
        <w:spacing w:before="120" w:after="120"/>
        <w:ind w:firstLine="480"/>
        <w:rPr>
          <w:color w:val="000000"/>
        </w:rPr>
      </w:pPr>
      <w:r w:rsidRPr="00B4515A">
        <w:rPr>
          <w:color w:val="000000"/>
        </w:rPr>
        <w:t>2012</w:t>
      </w:r>
      <w:r w:rsidRPr="00B4515A">
        <w:rPr>
          <w:rFonts w:hint="eastAsia"/>
          <w:color w:val="000000"/>
        </w:rPr>
        <w:t>年</w:t>
      </w:r>
      <w:r w:rsidRPr="00B4515A">
        <w:rPr>
          <w:color w:val="000000"/>
        </w:rPr>
        <w:t>11</w:t>
      </w:r>
      <w:r w:rsidRPr="00B4515A">
        <w:rPr>
          <w:rFonts w:hint="eastAsia"/>
          <w:color w:val="000000"/>
        </w:rPr>
        <w:t>月，</w:t>
      </w:r>
      <w:r w:rsidRPr="00B4515A">
        <w:rPr>
          <w:color w:val="000000"/>
        </w:rPr>
        <w:t>北京市西城区人民政府国有资产监督管理委员会</w:t>
      </w:r>
      <w:r w:rsidRPr="00B4515A">
        <w:rPr>
          <w:rFonts w:hint="eastAsia"/>
          <w:color w:val="000000"/>
        </w:rPr>
        <w:t>追加投资</w:t>
      </w:r>
      <w:r w:rsidRPr="00B4515A">
        <w:rPr>
          <w:rFonts w:hint="eastAsia"/>
          <w:color w:val="000000"/>
        </w:rPr>
        <w:t>9</w:t>
      </w:r>
      <w:r w:rsidRPr="00B4515A">
        <w:rPr>
          <w:color w:val="000000"/>
        </w:rPr>
        <w:t>,800</w:t>
      </w:r>
      <w:r w:rsidRPr="00B4515A">
        <w:rPr>
          <w:rFonts w:hint="eastAsia"/>
          <w:color w:val="000000"/>
        </w:rPr>
        <w:t>万元，金融街资本注册资本变更为</w:t>
      </w:r>
      <w:r w:rsidRPr="00B4515A">
        <w:rPr>
          <w:color w:val="000000"/>
        </w:rPr>
        <w:t>808,396.876203</w:t>
      </w:r>
      <w:r w:rsidRPr="00B4515A">
        <w:rPr>
          <w:rFonts w:hint="eastAsia"/>
          <w:color w:val="000000"/>
        </w:rPr>
        <w:t>万元。</w:t>
      </w:r>
    </w:p>
    <w:p w14:paraId="7DACE742" w14:textId="77777777" w:rsidR="006416B0" w:rsidRPr="00B4515A" w:rsidRDefault="005E58C1" w:rsidP="005860B4">
      <w:pPr>
        <w:pStyle w:val="005"/>
        <w:spacing w:before="120" w:after="120"/>
        <w:ind w:firstLine="480"/>
        <w:rPr>
          <w:color w:val="000000"/>
        </w:rPr>
      </w:pPr>
      <w:r w:rsidRPr="00B4515A">
        <w:t>2013</w:t>
      </w:r>
      <w:r w:rsidRPr="00B4515A">
        <w:rPr>
          <w:rFonts w:hint="eastAsia"/>
        </w:rPr>
        <w:t>年</w:t>
      </w:r>
      <w:r w:rsidRPr="00B4515A">
        <w:t>2</w:t>
      </w:r>
      <w:r w:rsidRPr="00B4515A">
        <w:rPr>
          <w:rFonts w:hint="eastAsia"/>
        </w:rPr>
        <w:t>月，</w:t>
      </w:r>
      <w:r w:rsidRPr="00B4515A">
        <w:t>北京市西城区</w:t>
      </w:r>
      <w:r w:rsidRPr="00B4515A">
        <w:rPr>
          <w:color w:val="000000"/>
        </w:rPr>
        <w:t>人民政府</w:t>
      </w:r>
      <w:r w:rsidRPr="00B4515A">
        <w:t>国有资产监督管理委员会</w:t>
      </w:r>
      <w:r w:rsidRPr="00B4515A">
        <w:rPr>
          <w:rFonts w:hint="eastAsia"/>
        </w:rPr>
        <w:t>追加投资</w:t>
      </w:r>
      <w:r w:rsidRPr="00B4515A">
        <w:t>94,494.006319</w:t>
      </w:r>
      <w:r w:rsidRPr="00B4515A">
        <w:rPr>
          <w:rFonts w:hint="eastAsia"/>
        </w:rPr>
        <w:t>万元，金融街资本注册资本变更为</w:t>
      </w:r>
      <w:r w:rsidRPr="00B4515A">
        <w:t>902,890.882522</w:t>
      </w:r>
      <w:r w:rsidRPr="00B4515A">
        <w:rPr>
          <w:rFonts w:hint="eastAsia"/>
        </w:rPr>
        <w:t>万元。</w:t>
      </w:r>
    </w:p>
    <w:p w14:paraId="6D30BE64" w14:textId="77777777" w:rsidR="006416B0" w:rsidRPr="00B4515A" w:rsidRDefault="005E58C1" w:rsidP="005860B4">
      <w:pPr>
        <w:pStyle w:val="005"/>
        <w:spacing w:before="120" w:after="120"/>
        <w:ind w:firstLine="480"/>
      </w:pPr>
      <w:r w:rsidRPr="00B4515A">
        <w:t>2013</w:t>
      </w:r>
      <w:r w:rsidRPr="00B4515A">
        <w:rPr>
          <w:rFonts w:hint="eastAsia"/>
        </w:rPr>
        <w:t>年</w:t>
      </w:r>
      <w:r w:rsidRPr="00B4515A">
        <w:t>4</w:t>
      </w:r>
      <w:r w:rsidRPr="00B4515A">
        <w:rPr>
          <w:rFonts w:hint="eastAsia"/>
        </w:rPr>
        <w:t>月，</w:t>
      </w:r>
      <w:r w:rsidRPr="00B4515A">
        <w:t>北京市西城区</w:t>
      </w:r>
      <w:r w:rsidRPr="00B4515A">
        <w:rPr>
          <w:color w:val="000000"/>
        </w:rPr>
        <w:t>人民政府</w:t>
      </w:r>
      <w:r w:rsidRPr="00B4515A">
        <w:t>国有资产监督管理委员会</w:t>
      </w:r>
      <w:r w:rsidRPr="00B4515A">
        <w:rPr>
          <w:rFonts w:hint="eastAsia"/>
        </w:rPr>
        <w:t>追加投资</w:t>
      </w:r>
      <w:r w:rsidRPr="00B4515A">
        <w:rPr>
          <w:rFonts w:hint="eastAsia"/>
        </w:rPr>
        <w:t>1</w:t>
      </w:r>
      <w:r w:rsidRPr="00B4515A">
        <w:t>10,000</w:t>
      </w:r>
      <w:r w:rsidRPr="00B4515A">
        <w:rPr>
          <w:rFonts w:hint="eastAsia"/>
        </w:rPr>
        <w:t>万元，金融街资本注册资本变更为</w:t>
      </w:r>
      <w:r w:rsidRPr="00B4515A">
        <w:t>1,012,890.882522</w:t>
      </w:r>
      <w:r w:rsidRPr="00B4515A">
        <w:rPr>
          <w:rFonts w:hint="eastAsia"/>
        </w:rPr>
        <w:t>万元。</w:t>
      </w:r>
    </w:p>
    <w:p w14:paraId="0205066E" w14:textId="77777777" w:rsidR="006416B0" w:rsidRPr="00B4515A" w:rsidRDefault="005E58C1" w:rsidP="005860B4">
      <w:pPr>
        <w:pStyle w:val="005"/>
        <w:spacing w:before="120" w:after="120"/>
        <w:ind w:firstLine="480"/>
        <w:rPr>
          <w:color w:val="000000"/>
        </w:rPr>
      </w:pPr>
      <w:r w:rsidRPr="00B4515A">
        <w:t>2013</w:t>
      </w:r>
      <w:r w:rsidRPr="00B4515A">
        <w:rPr>
          <w:rFonts w:hint="eastAsia"/>
        </w:rPr>
        <w:t>年</w:t>
      </w:r>
      <w:r w:rsidRPr="00B4515A">
        <w:t>12</w:t>
      </w:r>
      <w:r w:rsidRPr="00B4515A">
        <w:rPr>
          <w:rFonts w:hint="eastAsia"/>
        </w:rPr>
        <w:t>月，</w:t>
      </w:r>
      <w:r w:rsidRPr="00B4515A">
        <w:t>北京市西城区人民政府</w:t>
      </w:r>
      <w:r w:rsidRPr="00B4515A">
        <w:rPr>
          <w:color w:val="000000"/>
        </w:rPr>
        <w:t>国有</w:t>
      </w:r>
      <w:r w:rsidRPr="00B4515A">
        <w:t>资产监督管理委员会</w:t>
      </w:r>
      <w:r w:rsidRPr="00B4515A">
        <w:rPr>
          <w:rFonts w:hint="eastAsia"/>
        </w:rPr>
        <w:t>追加投资</w:t>
      </w:r>
      <w:r w:rsidRPr="00B4515A">
        <w:t>3,500</w:t>
      </w:r>
      <w:r w:rsidRPr="00B4515A">
        <w:rPr>
          <w:rFonts w:hint="eastAsia"/>
        </w:rPr>
        <w:t>万元，金融街资本注册资本变更为</w:t>
      </w:r>
      <w:r w:rsidRPr="00B4515A">
        <w:t>1,016,390.882522</w:t>
      </w:r>
      <w:r w:rsidRPr="00B4515A">
        <w:rPr>
          <w:rFonts w:hint="eastAsia"/>
        </w:rPr>
        <w:t>万元。</w:t>
      </w:r>
    </w:p>
    <w:p w14:paraId="15D4666E" w14:textId="77777777" w:rsidR="006416B0" w:rsidRPr="00B4515A" w:rsidRDefault="005E58C1" w:rsidP="005860B4">
      <w:pPr>
        <w:pStyle w:val="005"/>
        <w:spacing w:before="120" w:after="120"/>
        <w:ind w:firstLine="480"/>
        <w:rPr>
          <w:color w:val="000000"/>
        </w:rPr>
      </w:pPr>
      <w:r w:rsidRPr="00B4515A">
        <w:t>2014</w:t>
      </w:r>
      <w:r w:rsidRPr="00B4515A">
        <w:rPr>
          <w:rFonts w:hint="eastAsia"/>
        </w:rPr>
        <w:t>年</w:t>
      </w:r>
      <w:r w:rsidRPr="00B4515A">
        <w:t>3</w:t>
      </w:r>
      <w:r w:rsidRPr="00B4515A">
        <w:rPr>
          <w:rFonts w:hint="eastAsia"/>
        </w:rPr>
        <w:t>月，</w:t>
      </w:r>
      <w:r w:rsidRPr="00B4515A">
        <w:t>北京市西城区人民政府国有资产监督管理委员会</w:t>
      </w:r>
      <w:r w:rsidRPr="00B4515A">
        <w:rPr>
          <w:rFonts w:hint="eastAsia"/>
        </w:rPr>
        <w:t>减少投资</w:t>
      </w:r>
      <w:r w:rsidRPr="00B4515A">
        <w:t>10,800</w:t>
      </w:r>
      <w:r w:rsidRPr="00B4515A">
        <w:rPr>
          <w:rFonts w:hint="eastAsia"/>
        </w:rPr>
        <w:t>万元，金融街资本注册资本变更为</w:t>
      </w:r>
      <w:r w:rsidRPr="00B4515A">
        <w:t>1,005,590.882522</w:t>
      </w:r>
      <w:r w:rsidRPr="00B4515A">
        <w:rPr>
          <w:rFonts w:hint="eastAsia"/>
        </w:rPr>
        <w:t>万元。</w:t>
      </w:r>
    </w:p>
    <w:p w14:paraId="106A53D9" w14:textId="77777777" w:rsidR="006416B0" w:rsidRPr="00B4515A" w:rsidRDefault="005E58C1" w:rsidP="005860B4">
      <w:pPr>
        <w:pStyle w:val="005"/>
        <w:spacing w:before="120" w:after="120"/>
        <w:ind w:firstLine="480"/>
        <w:rPr>
          <w:color w:val="000000"/>
        </w:rPr>
      </w:pPr>
      <w:r w:rsidRPr="00B4515A">
        <w:t>2014</w:t>
      </w:r>
      <w:r w:rsidRPr="00B4515A">
        <w:rPr>
          <w:rFonts w:hint="eastAsia"/>
        </w:rPr>
        <w:t>年</w:t>
      </w:r>
      <w:r w:rsidRPr="00B4515A">
        <w:t>9</w:t>
      </w:r>
      <w:r w:rsidRPr="00B4515A">
        <w:rPr>
          <w:rFonts w:hint="eastAsia"/>
        </w:rPr>
        <w:t>月，</w:t>
      </w:r>
      <w:r w:rsidRPr="00B4515A">
        <w:t>北京市西城区人民政府国有资产监督管理委员会</w:t>
      </w:r>
      <w:r w:rsidRPr="00B4515A">
        <w:rPr>
          <w:rFonts w:hint="eastAsia"/>
        </w:rPr>
        <w:t>追加投资</w:t>
      </w:r>
      <w:r w:rsidRPr="00B4515A">
        <w:t>213,732.01</w:t>
      </w:r>
      <w:r w:rsidRPr="00B4515A">
        <w:rPr>
          <w:rFonts w:hint="eastAsia"/>
        </w:rPr>
        <w:t>万元，金融街资本注册资本变更为</w:t>
      </w:r>
      <w:r w:rsidRPr="00B4515A">
        <w:t>1,219,322.892522</w:t>
      </w:r>
      <w:r w:rsidRPr="00B4515A">
        <w:rPr>
          <w:rFonts w:hint="eastAsia"/>
        </w:rPr>
        <w:t>万元。</w:t>
      </w:r>
    </w:p>
    <w:p w14:paraId="5A1F53B1" w14:textId="77777777" w:rsidR="006416B0" w:rsidRPr="00B4515A" w:rsidRDefault="005E58C1" w:rsidP="005860B4">
      <w:pPr>
        <w:pStyle w:val="005"/>
        <w:spacing w:before="120" w:after="120"/>
        <w:ind w:firstLine="480"/>
        <w:rPr>
          <w:color w:val="000000"/>
        </w:rPr>
      </w:pPr>
      <w:r w:rsidRPr="00B4515A">
        <w:lastRenderedPageBreak/>
        <w:t>20</w:t>
      </w:r>
      <w:r w:rsidRPr="00B4515A">
        <w:rPr>
          <w:color w:val="000000"/>
        </w:rPr>
        <w:t>15</w:t>
      </w:r>
      <w:r w:rsidRPr="00B4515A">
        <w:rPr>
          <w:rFonts w:hint="eastAsia"/>
          <w:color w:val="000000"/>
        </w:rPr>
        <w:t>年</w:t>
      </w:r>
      <w:r w:rsidRPr="00B4515A">
        <w:rPr>
          <w:rFonts w:hint="eastAsia"/>
          <w:color w:val="000000"/>
        </w:rPr>
        <w:t>1</w:t>
      </w:r>
      <w:r w:rsidRPr="00B4515A">
        <w:rPr>
          <w:rFonts w:hint="eastAsia"/>
          <w:color w:val="000000"/>
        </w:rPr>
        <w:t>月，</w:t>
      </w:r>
      <w:r w:rsidRPr="00B4515A">
        <w:rPr>
          <w:color w:val="000000"/>
        </w:rPr>
        <w:t>北京市西城区人民政府国有资产监督管理委员会</w:t>
      </w:r>
      <w:r w:rsidRPr="00B4515A">
        <w:rPr>
          <w:rFonts w:hint="eastAsia"/>
          <w:color w:val="000000"/>
        </w:rPr>
        <w:t>追加投资</w:t>
      </w:r>
      <w:r w:rsidRPr="00B4515A">
        <w:rPr>
          <w:rFonts w:hint="eastAsia"/>
          <w:color w:val="000000"/>
        </w:rPr>
        <w:t>4,384.99</w:t>
      </w:r>
      <w:r w:rsidRPr="00B4515A">
        <w:rPr>
          <w:rFonts w:hint="eastAsia"/>
          <w:color w:val="000000"/>
        </w:rPr>
        <w:t>万元，金融街资本注册资本变更为</w:t>
      </w:r>
      <w:r w:rsidRPr="00B4515A">
        <w:rPr>
          <w:color w:val="000000"/>
        </w:rPr>
        <w:t>1,223,707.882522</w:t>
      </w:r>
      <w:r w:rsidRPr="00B4515A">
        <w:rPr>
          <w:rFonts w:hint="eastAsia"/>
          <w:color w:val="000000"/>
        </w:rPr>
        <w:t>万元。</w:t>
      </w:r>
    </w:p>
    <w:p w14:paraId="7EDA9F6A" w14:textId="77777777" w:rsidR="006416B0" w:rsidRPr="00B4515A" w:rsidRDefault="005E58C1" w:rsidP="005860B4">
      <w:pPr>
        <w:pStyle w:val="005"/>
        <w:spacing w:before="120" w:after="120"/>
        <w:ind w:firstLine="480"/>
        <w:rPr>
          <w:color w:val="000000"/>
        </w:rPr>
      </w:pPr>
      <w:r w:rsidRPr="00B4515A">
        <w:rPr>
          <w:color w:val="000000"/>
        </w:rPr>
        <w:t>2015</w:t>
      </w:r>
      <w:r w:rsidRPr="00B4515A">
        <w:rPr>
          <w:rFonts w:hint="eastAsia"/>
          <w:color w:val="000000"/>
        </w:rPr>
        <w:t>年</w:t>
      </w:r>
      <w:r w:rsidRPr="00B4515A">
        <w:rPr>
          <w:color w:val="000000"/>
        </w:rPr>
        <w:t>4</w:t>
      </w:r>
      <w:r w:rsidRPr="00B4515A">
        <w:rPr>
          <w:rFonts w:hint="eastAsia"/>
          <w:color w:val="000000"/>
        </w:rPr>
        <w:t>月，</w:t>
      </w:r>
      <w:r w:rsidRPr="00B4515A">
        <w:rPr>
          <w:color w:val="000000"/>
        </w:rPr>
        <w:t>北京市西城区人民政府国有资产监督管理委员会</w:t>
      </w:r>
      <w:r w:rsidRPr="00B4515A">
        <w:rPr>
          <w:rFonts w:hint="eastAsia"/>
          <w:color w:val="000000"/>
        </w:rPr>
        <w:t>追加投资</w:t>
      </w:r>
      <w:r w:rsidRPr="00B4515A">
        <w:rPr>
          <w:color w:val="000000"/>
        </w:rPr>
        <w:t>25,000.00</w:t>
      </w:r>
      <w:r w:rsidRPr="00B4515A">
        <w:rPr>
          <w:rFonts w:hint="eastAsia"/>
          <w:color w:val="000000"/>
        </w:rPr>
        <w:t>万元，金融街资本注册资本变更为</w:t>
      </w:r>
      <w:r w:rsidRPr="00B4515A">
        <w:rPr>
          <w:color w:val="000000"/>
        </w:rPr>
        <w:t>1,248,707.882522</w:t>
      </w:r>
      <w:r w:rsidRPr="00B4515A">
        <w:rPr>
          <w:rFonts w:hint="eastAsia"/>
          <w:color w:val="000000"/>
        </w:rPr>
        <w:t>万元。</w:t>
      </w:r>
    </w:p>
    <w:p w14:paraId="242297DA" w14:textId="77777777" w:rsidR="006416B0" w:rsidRPr="00B4515A" w:rsidRDefault="005E58C1" w:rsidP="005860B4">
      <w:pPr>
        <w:pStyle w:val="005"/>
        <w:spacing w:before="120" w:after="120"/>
        <w:ind w:firstLine="480"/>
      </w:pPr>
      <w:r w:rsidRPr="00B4515A">
        <w:t>2015</w:t>
      </w:r>
      <w:r w:rsidRPr="00B4515A">
        <w:rPr>
          <w:rFonts w:hint="eastAsia"/>
        </w:rPr>
        <w:t>年</w:t>
      </w:r>
      <w:r w:rsidRPr="00B4515A">
        <w:t>6</w:t>
      </w:r>
      <w:r w:rsidRPr="00B4515A">
        <w:rPr>
          <w:rFonts w:hint="eastAsia"/>
        </w:rPr>
        <w:t>月，</w:t>
      </w:r>
      <w:r w:rsidRPr="00B4515A">
        <w:t>北京市西城区人民政府国有资产监督管理委员会</w:t>
      </w:r>
      <w:r w:rsidRPr="00B4515A">
        <w:rPr>
          <w:rFonts w:hint="eastAsia"/>
        </w:rPr>
        <w:t>追加投资</w:t>
      </w:r>
      <w:r w:rsidRPr="00B4515A">
        <w:rPr>
          <w:rFonts w:hint="eastAsia"/>
        </w:rPr>
        <w:t>6</w:t>
      </w:r>
      <w:r w:rsidRPr="00B4515A">
        <w:t>,576.625866</w:t>
      </w:r>
      <w:r w:rsidRPr="00B4515A">
        <w:rPr>
          <w:rFonts w:hint="eastAsia"/>
        </w:rPr>
        <w:t>万元，金融街资本注册资本变更为</w:t>
      </w:r>
      <w:r w:rsidRPr="00B4515A">
        <w:t>1,255,284.508388</w:t>
      </w:r>
      <w:r w:rsidRPr="00B4515A">
        <w:rPr>
          <w:rFonts w:hint="eastAsia"/>
        </w:rPr>
        <w:t>万元。</w:t>
      </w:r>
    </w:p>
    <w:p w14:paraId="5E2840DD" w14:textId="77777777" w:rsidR="006416B0" w:rsidRPr="00B4515A" w:rsidRDefault="005E58C1" w:rsidP="005860B4">
      <w:pPr>
        <w:pStyle w:val="005"/>
        <w:spacing w:before="120" w:after="120"/>
        <w:ind w:firstLine="480"/>
      </w:pPr>
      <w:r w:rsidRPr="00B4515A">
        <w:t>2015</w:t>
      </w:r>
      <w:r w:rsidRPr="00B4515A">
        <w:rPr>
          <w:rFonts w:hint="eastAsia"/>
        </w:rPr>
        <w:t>年</w:t>
      </w:r>
      <w:r w:rsidRPr="00B4515A">
        <w:t>8</w:t>
      </w:r>
      <w:r w:rsidRPr="00B4515A">
        <w:rPr>
          <w:rFonts w:hint="eastAsia"/>
        </w:rPr>
        <w:t>月，</w:t>
      </w:r>
      <w:r w:rsidRPr="00B4515A">
        <w:t>北京市西城区人民政府国有资产监督管理委员会</w:t>
      </w:r>
      <w:r w:rsidRPr="00B4515A">
        <w:rPr>
          <w:rFonts w:hint="eastAsia"/>
        </w:rPr>
        <w:t>追加投资</w:t>
      </w:r>
      <w:r w:rsidRPr="00B4515A">
        <w:t>445,300</w:t>
      </w:r>
      <w:r w:rsidRPr="00B4515A">
        <w:rPr>
          <w:rFonts w:hint="eastAsia"/>
        </w:rPr>
        <w:t>万元，金融街资本</w:t>
      </w:r>
      <w:r w:rsidRPr="00B4515A">
        <w:rPr>
          <w:rFonts w:hint="eastAsia"/>
          <w:color w:val="000000"/>
        </w:rPr>
        <w:t>注册</w:t>
      </w:r>
      <w:r w:rsidRPr="00B4515A">
        <w:rPr>
          <w:rFonts w:hint="eastAsia"/>
        </w:rPr>
        <w:t>资本变更为</w:t>
      </w:r>
      <w:r w:rsidRPr="00B4515A">
        <w:t>1,700,584.508388</w:t>
      </w:r>
      <w:r w:rsidRPr="00B4515A">
        <w:rPr>
          <w:rFonts w:hint="eastAsia"/>
        </w:rPr>
        <w:t>万元。</w:t>
      </w:r>
    </w:p>
    <w:p w14:paraId="494D40BE" w14:textId="77777777" w:rsidR="006416B0" w:rsidRPr="00B4515A" w:rsidRDefault="005E58C1" w:rsidP="005860B4">
      <w:pPr>
        <w:pStyle w:val="005"/>
        <w:spacing w:before="120" w:after="120"/>
        <w:ind w:firstLine="480"/>
        <w:rPr>
          <w:color w:val="000000"/>
        </w:rPr>
      </w:pPr>
      <w:r w:rsidRPr="00B4515A">
        <w:t>2016</w:t>
      </w:r>
      <w:r w:rsidRPr="00B4515A">
        <w:rPr>
          <w:rFonts w:hint="eastAsia"/>
        </w:rPr>
        <w:t>年</w:t>
      </w:r>
      <w:r w:rsidRPr="00B4515A">
        <w:t>5</w:t>
      </w:r>
      <w:r w:rsidRPr="00B4515A">
        <w:rPr>
          <w:rFonts w:hint="eastAsia"/>
        </w:rPr>
        <w:t>月，</w:t>
      </w:r>
      <w:r w:rsidRPr="00B4515A">
        <w:t>北京市西城区人民政府国有资产监督管理委员会</w:t>
      </w:r>
      <w:r w:rsidRPr="00B4515A">
        <w:rPr>
          <w:rFonts w:hint="eastAsia"/>
        </w:rPr>
        <w:t>追加投资</w:t>
      </w:r>
      <w:r w:rsidRPr="00B4515A">
        <w:rPr>
          <w:color w:val="000000"/>
        </w:rPr>
        <w:t>265,428</w:t>
      </w:r>
      <w:r w:rsidRPr="00B4515A">
        <w:rPr>
          <w:rFonts w:hint="eastAsia"/>
          <w:color w:val="000000"/>
        </w:rPr>
        <w:t>万元，金融街资本注册资本变更为</w:t>
      </w:r>
      <w:r w:rsidRPr="00B4515A">
        <w:rPr>
          <w:color w:val="000000"/>
        </w:rPr>
        <w:t>1,966,012.508388</w:t>
      </w:r>
      <w:r w:rsidRPr="00B4515A">
        <w:rPr>
          <w:rFonts w:hint="eastAsia"/>
          <w:color w:val="000000"/>
        </w:rPr>
        <w:t>万元。</w:t>
      </w:r>
    </w:p>
    <w:p w14:paraId="33B9866D" w14:textId="77777777" w:rsidR="006416B0" w:rsidRPr="00B4515A" w:rsidRDefault="005E58C1" w:rsidP="005860B4">
      <w:pPr>
        <w:pStyle w:val="005"/>
        <w:spacing w:before="120" w:after="120"/>
        <w:ind w:firstLine="480"/>
        <w:rPr>
          <w:color w:val="000000"/>
        </w:rPr>
      </w:pPr>
      <w:r w:rsidRPr="00B4515A">
        <w:rPr>
          <w:color w:val="000000"/>
        </w:rPr>
        <w:t>2016</w:t>
      </w:r>
      <w:r w:rsidRPr="00B4515A">
        <w:rPr>
          <w:rFonts w:hint="eastAsia"/>
          <w:color w:val="000000"/>
        </w:rPr>
        <w:t>年</w:t>
      </w:r>
      <w:r w:rsidRPr="00B4515A">
        <w:rPr>
          <w:color w:val="000000"/>
        </w:rPr>
        <w:t>10</w:t>
      </w:r>
      <w:r w:rsidRPr="00B4515A">
        <w:rPr>
          <w:rFonts w:hint="eastAsia"/>
          <w:color w:val="000000"/>
        </w:rPr>
        <w:t>月，</w:t>
      </w:r>
      <w:r w:rsidRPr="00B4515A">
        <w:rPr>
          <w:color w:val="000000"/>
        </w:rPr>
        <w:t>北京市西城区人民政府国有资产监督管理委员会</w:t>
      </w:r>
      <w:r w:rsidRPr="00B4515A">
        <w:rPr>
          <w:rFonts w:hint="eastAsia"/>
          <w:color w:val="000000"/>
        </w:rPr>
        <w:t>追加投资</w:t>
      </w:r>
      <w:r w:rsidRPr="00B4515A">
        <w:rPr>
          <w:color w:val="000000"/>
        </w:rPr>
        <w:t>2,700</w:t>
      </w:r>
      <w:r w:rsidRPr="00B4515A">
        <w:rPr>
          <w:rFonts w:hint="eastAsia"/>
          <w:color w:val="000000"/>
        </w:rPr>
        <w:t>万元，金融街资本注册资本变更为</w:t>
      </w:r>
      <w:r w:rsidRPr="00B4515A">
        <w:rPr>
          <w:color w:val="000000"/>
        </w:rPr>
        <w:t>1,968,712.508388</w:t>
      </w:r>
      <w:r w:rsidRPr="00B4515A">
        <w:rPr>
          <w:rFonts w:hint="eastAsia"/>
          <w:color w:val="000000"/>
        </w:rPr>
        <w:t>万元。</w:t>
      </w:r>
    </w:p>
    <w:p w14:paraId="6F66CF6C" w14:textId="77777777" w:rsidR="006416B0" w:rsidRPr="00B4515A" w:rsidRDefault="005E58C1" w:rsidP="005860B4">
      <w:pPr>
        <w:pStyle w:val="005"/>
        <w:spacing w:before="120" w:after="120"/>
        <w:ind w:firstLine="480"/>
        <w:rPr>
          <w:color w:val="000000"/>
        </w:rPr>
      </w:pPr>
      <w:r w:rsidRPr="00B4515A">
        <w:rPr>
          <w:color w:val="000000"/>
        </w:rPr>
        <w:t>2017</w:t>
      </w:r>
      <w:r w:rsidRPr="00B4515A">
        <w:rPr>
          <w:rFonts w:hint="eastAsia"/>
          <w:color w:val="000000"/>
        </w:rPr>
        <w:t>年</w:t>
      </w:r>
      <w:r w:rsidRPr="00B4515A">
        <w:rPr>
          <w:color w:val="000000"/>
        </w:rPr>
        <w:t>1</w:t>
      </w:r>
      <w:r w:rsidRPr="00B4515A">
        <w:rPr>
          <w:rFonts w:hint="eastAsia"/>
          <w:color w:val="000000"/>
        </w:rPr>
        <w:t>月，</w:t>
      </w:r>
      <w:r w:rsidRPr="00B4515A">
        <w:rPr>
          <w:color w:val="000000"/>
        </w:rPr>
        <w:t>北京市西城区人民政府国有资产监督管理委员会</w:t>
      </w:r>
      <w:r w:rsidRPr="00B4515A">
        <w:rPr>
          <w:rFonts w:hint="eastAsia"/>
          <w:color w:val="000000"/>
        </w:rPr>
        <w:t>追加投资</w:t>
      </w:r>
      <w:r w:rsidRPr="00B4515A">
        <w:rPr>
          <w:color w:val="000000"/>
        </w:rPr>
        <w:t>200,000</w:t>
      </w:r>
      <w:r w:rsidRPr="00B4515A">
        <w:rPr>
          <w:rFonts w:hint="eastAsia"/>
          <w:color w:val="000000"/>
        </w:rPr>
        <w:t>万元，金融街资本注册资本变更为</w:t>
      </w:r>
      <w:r w:rsidRPr="00B4515A">
        <w:rPr>
          <w:color w:val="000000"/>
        </w:rPr>
        <w:t>2,168,712.508388</w:t>
      </w:r>
      <w:r w:rsidRPr="00B4515A">
        <w:rPr>
          <w:rFonts w:hint="eastAsia"/>
          <w:color w:val="000000"/>
        </w:rPr>
        <w:t>万元。</w:t>
      </w:r>
    </w:p>
    <w:p w14:paraId="56305B8B" w14:textId="77777777" w:rsidR="006416B0" w:rsidRPr="00B4515A" w:rsidRDefault="005E58C1" w:rsidP="005860B4">
      <w:pPr>
        <w:pStyle w:val="005"/>
        <w:spacing w:before="120" w:after="120"/>
        <w:ind w:firstLine="480"/>
        <w:rPr>
          <w:color w:val="000000"/>
        </w:rPr>
      </w:pPr>
      <w:r w:rsidRPr="00B4515A">
        <w:rPr>
          <w:color w:val="000000"/>
        </w:rPr>
        <w:t>2019</w:t>
      </w:r>
      <w:r w:rsidRPr="00B4515A">
        <w:rPr>
          <w:rFonts w:hint="eastAsia"/>
          <w:color w:val="000000"/>
        </w:rPr>
        <w:t>年</w:t>
      </w:r>
      <w:r w:rsidRPr="00B4515A">
        <w:rPr>
          <w:color w:val="000000"/>
        </w:rPr>
        <w:t>1</w:t>
      </w:r>
      <w:r w:rsidRPr="00B4515A">
        <w:rPr>
          <w:rFonts w:hint="eastAsia"/>
          <w:color w:val="000000"/>
        </w:rPr>
        <w:t>月，</w:t>
      </w:r>
      <w:r w:rsidRPr="00B4515A">
        <w:rPr>
          <w:color w:val="000000"/>
        </w:rPr>
        <w:t>北京市西城区人民政府国有资产监督管理委员会</w:t>
      </w:r>
      <w:r w:rsidRPr="00B4515A">
        <w:rPr>
          <w:rFonts w:hint="eastAsia"/>
          <w:color w:val="000000"/>
        </w:rPr>
        <w:t>追加投资</w:t>
      </w:r>
      <w:r w:rsidRPr="00B4515A">
        <w:rPr>
          <w:color w:val="000000"/>
        </w:rPr>
        <w:t>154,485</w:t>
      </w:r>
      <w:r w:rsidRPr="00B4515A">
        <w:rPr>
          <w:rFonts w:hint="eastAsia"/>
          <w:color w:val="000000"/>
        </w:rPr>
        <w:t>万元，金融街资本注册资本变更为</w:t>
      </w:r>
      <w:r w:rsidRPr="00B4515A">
        <w:rPr>
          <w:color w:val="000000"/>
        </w:rPr>
        <w:t>2,323,197.508388</w:t>
      </w:r>
      <w:r w:rsidRPr="00B4515A">
        <w:rPr>
          <w:rFonts w:hint="eastAsia"/>
          <w:color w:val="000000"/>
        </w:rPr>
        <w:t>万元。</w:t>
      </w:r>
    </w:p>
    <w:p w14:paraId="1834C056" w14:textId="77777777" w:rsidR="006416B0" w:rsidRPr="00B4515A" w:rsidRDefault="005E58C1" w:rsidP="005860B4">
      <w:pPr>
        <w:pStyle w:val="005"/>
        <w:spacing w:before="120" w:after="120"/>
        <w:ind w:firstLine="480"/>
        <w:rPr>
          <w:color w:val="000000"/>
        </w:rPr>
      </w:pPr>
      <w:r w:rsidRPr="00B4515A">
        <w:rPr>
          <w:color w:val="000000"/>
        </w:rPr>
        <w:t>2019</w:t>
      </w:r>
      <w:r w:rsidRPr="00B4515A">
        <w:rPr>
          <w:rFonts w:hint="eastAsia"/>
          <w:color w:val="000000"/>
        </w:rPr>
        <w:t>年</w:t>
      </w:r>
      <w:r w:rsidRPr="00B4515A">
        <w:rPr>
          <w:color w:val="000000"/>
        </w:rPr>
        <w:t>9</w:t>
      </w:r>
      <w:r w:rsidRPr="00B4515A">
        <w:rPr>
          <w:rFonts w:hint="eastAsia"/>
          <w:color w:val="000000"/>
        </w:rPr>
        <w:t>月，</w:t>
      </w:r>
      <w:r w:rsidRPr="00B4515A">
        <w:rPr>
          <w:color w:val="000000"/>
        </w:rPr>
        <w:t>北京市西城区人民政府国有资产监督管理委员会</w:t>
      </w:r>
      <w:r w:rsidRPr="00B4515A">
        <w:rPr>
          <w:rFonts w:hint="eastAsia"/>
          <w:color w:val="000000"/>
        </w:rPr>
        <w:t>追加投资</w:t>
      </w:r>
      <w:r w:rsidRPr="00B4515A">
        <w:rPr>
          <w:color w:val="000000"/>
        </w:rPr>
        <w:t>394,053.12</w:t>
      </w:r>
      <w:r w:rsidRPr="00B4515A">
        <w:rPr>
          <w:rFonts w:hint="eastAsia"/>
          <w:color w:val="000000"/>
        </w:rPr>
        <w:t>万元，金融街资本注册资本变更为</w:t>
      </w:r>
      <w:r w:rsidRPr="00B4515A">
        <w:rPr>
          <w:color w:val="000000"/>
        </w:rPr>
        <w:t>2,717,250.628388</w:t>
      </w:r>
      <w:r w:rsidRPr="00B4515A">
        <w:rPr>
          <w:rFonts w:hint="eastAsia"/>
          <w:color w:val="000000"/>
        </w:rPr>
        <w:t>万元。</w:t>
      </w:r>
    </w:p>
    <w:p w14:paraId="3AC358BE" w14:textId="77777777" w:rsidR="006416B0" w:rsidRPr="00B4515A" w:rsidRDefault="005E58C1" w:rsidP="005860B4">
      <w:pPr>
        <w:pStyle w:val="004"/>
        <w:spacing w:before="120" w:after="120"/>
        <w:ind w:firstLine="482"/>
      </w:pPr>
      <w:r w:rsidRPr="00B4515A">
        <w:t>3</w:t>
      </w:r>
      <w:r w:rsidRPr="00B4515A">
        <w:rPr>
          <w:rFonts w:hint="eastAsia"/>
        </w:rPr>
        <w:t>、最近三年注册资本变化情况</w:t>
      </w:r>
    </w:p>
    <w:p w14:paraId="73303F05" w14:textId="77777777" w:rsidR="006416B0" w:rsidRPr="00B4515A" w:rsidRDefault="005E58C1" w:rsidP="005860B4">
      <w:pPr>
        <w:pStyle w:val="005"/>
        <w:spacing w:before="120" w:after="120"/>
        <w:ind w:firstLine="480"/>
        <w:rPr>
          <w:b/>
        </w:rPr>
      </w:pPr>
      <w:r w:rsidRPr="00B4515A">
        <w:t>详见本报告书</w:t>
      </w:r>
      <w:r w:rsidRPr="00B4515A">
        <w:rPr>
          <w:rFonts w:ascii="宋体" w:hAnsi="宋体" w:hint="eastAsia"/>
        </w:rPr>
        <w:t>“</w:t>
      </w:r>
      <w:r w:rsidRPr="00B4515A">
        <w:t>第三节</w:t>
      </w:r>
      <w:r w:rsidRPr="00B4515A">
        <w:t xml:space="preserve"> </w:t>
      </w:r>
      <w:r w:rsidRPr="00B4515A">
        <w:t>交易对方基本情况</w:t>
      </w:r>
      <w:r w:rsidRPr="00B4515A">
        <w:rPr>
          <w:rFonts w:ascii="宋体" w:hAnsi="宋体" w:hint="eastAsia"/>
        </w:rPr>
        <w:t>”</w:t>
      </w:r>
      <w:r w:rsidRPr="00B4515A">
        <w:t>之</w:t>
      </w:r>
      <w:r w:rsidRPr="00B4515A">
        <w:rPr>
          <w:rFonts w:ascii="宋体" w:hAnsi="宋体" w:hint="eastAsia"/>
        </w:rPr>
        <w:t>“</w:t>
      </w:r>
      <w:r w:rsidRPr="00B4515A">
        <w:rPr>
          <w:rFonts w:hint="eastAsia"/>
        </w:rPr>
        <w:t>二、发行股份购买资产交易对方的具体情况</w:t>
      </w:r>
      <w:r w:rsidRPr="00B4515A">
        <w:rPr>
          <w:rFonts w:ascii="宋体" w:hAnsi="宋体" w:hint="eastAsia"/>
        </w:rPr>
        <w:t>”</w:t>
      </w:r>
      <w:r w:rsidRPr="00B4515A">
        <w:rPr>
          <w:rFonts w:hint="eastAsia"/>
        </w:rPr>
        <w:t>之</w:t>
      </w:r>
      <w:r w:rsidRPr="00B4515A">
        <w:rPr>
          <w:rFonts w:ascii="宋体" w:hAnsi="宋体" w:hint="eastAsia"/>
        </w:rPr>
        <w:t>“</w:t>
      </w:r>
      <w:r w:rsidRPr="00B4515A">
        <w:t>（</w:t>
      </w:r>
      <w:r w:rsidRPr="00B4515A">
        <w:rPr>
          <w:rFonts w:hint="eastAsia"/>
        </w:rPr>
        <w:t>五</w:t>
      </w:r>
      <w:r w:rsidRPr="00B4515A">
        <w:t>）</w:t>
      </w:r>
      <w:r w:rsidRPr="00B4515A">
        <w:rPr>
          <w:rFonts w:hint="eastAsia"/>
        </w:rPr>
        <w:t>金融街资本</w:t>
      </w:r>
      <w:r w:rsidRPr="00B4515A">
        <w:rPr>
          <w:rFonts w:ascii="宋体" w:hAnsi="宋体" w:hint="eastAsia"/>
        </w:rPr>
        <w:t>”</w:t>
      </w:r>
      <w:r w:rsidRPr="00B4515A">
        <w:rPr>
          <w:rFonts w:hint="eastAsia"/>
        </w:rPr>
        <w:t>之</w:t>
      </w:r>
      <w:r w:rsidRPr="00B4515A">
        <w:rPr>
          <w:rFonts w:ascii="宋体" w:hAnsi="宋体" w:hint="eastAsia"/>
        </w:rPr>
        <w:t>“</w:t>
      </w:r>
      <w:r w:rsidRPr="00B4515A">
        <w:t>2</w:t>
      </w:r>
      <w:r w:rsidRPr="00B4515A">
        <w:t>、历史沿革</w:t>
      </w:r>
      <w:r w:rsidRPr="00B4515A">
        <w:rPr>
          <w:rFonts w:ascii="宋体" w:hAnsi="宋体" w:hint="eastAsia"/>
        </w:rPr>
        <w:t>”</w:t>
      </w:r>
      <w:r w:rsidRPr="00B4515A">
        <w:t>。</w:t>
      </w:r>
    </w:p>
    <w:p w14:paraId="1CEEA665" w14:textId="77777777" w:rsidR="006416B0" w:rsidRPr="00B4515A" w:rsidRDefault="005E58C1" w:rsidP="005860B4">
      <w:pPr>
        <w:pStyle w:val="004"/>
        <w:spacing w:before="120" w:after="120"/>
        <w:ind w:firstLine="482"/>
      </w:pPr>
      <w:r w:rsidRPr="00B4515A">
        <w:t>4</w:t>
      </w:r>
      <w:r w:rsidRPr="00B4515A">
        <w:rPr>
          <w:rFonts w:hint="eastAsia"/>
        </w:rPr>
        <w:t>、产权控制关系及主要股东基本情况</w:t>
      </w:r>
    </w:p>
    <w:p w14:paraId="0A7222AC" w14:textId="77777777" w:rsidR="006416B0" w:rsidRPr="00B4515A" w:rsidRDefault="005E58C1" w:rsidP="005860B4">
      <w:pPr>
        <w:pStyle w:val="005"/>
        <w:spacing w:before="120" w:after="120"/>
        <w:ind w:firstLine="480"/>
      </w:pPr>
      <w:r w:rsidRPr="00B4515A">
        <w:rPr>
          <w:rFonts w:hint="eastAsia"/>
        </w:rPr>
        <w:t>截至本报告书签署日，金融街资本的产权控制关系如下：</w:t>
      </w:r>
    </w:p>
    <w:p w14:paraId="57A8D9E1" w14:textId="77777777" w:rsidR="006416B0" w:rsidRPr="00B4515A" w:rsidRDefault="005E58C1">
      <w:pPr>
        <w:spacing w:line="360" w:lineRule="auto"/>
        <w:ind w:firstLineChars="200" w:firstLine="480"/>
        <w:jc w:val="center"/>
        <w:rPr>
          <w:rFonts w:ascii="Times New Roman" w:hAnsi="Times New Roman" w:cs="Times New Roman"/>
          <w:color w:val="000000"/>
        </w:rPr>
      </w:pPr>
      <w:r w:rsidRPr="00B4515A">
        <w:rPr>
          <w:rFonts w:ascii="Times New Roman" w:hAnsi="Times New Roman" w:cs="Times New Roman"/>
          <w:noProof/>
          <w:color w:val="000000" w:themeColor="text1"/>
        </w:rPr>
        <w:lastRenderedPageBreak/>
        <w:drawing>
          <wp:inline distT="0" distB="0" distL="0" distR="0" wp14:anchorId="7F4E540A" wp14:editId="7AFB0F39">
            <wp:extent cx="3008630" cy="1470025"/>
            <wp:effectExtent l="0" t="0" r="127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3016782" cy="1474109"/>
                    </a:xfrm>
                    <a:prstGeom prst="rect">
                      <a:avLst/>
                    </a:prstGeom>
                  </pic:spPr>
                </pic:pic>
              </a:graphicData>
            </a:graphic>
          </wp:inline>
        </w:drawing>
      </w:r>
    </w:p>
    <w:p w14:paraId="03BB6BD4" w14:textId="77777777" w:rsidR="006416B0" w:rsidRPr="00B4515A" w:rsidRDefault="005E58C1" w:rsidP="005860B4">
      <w:pPr>
        <w:pStyle w:val="005"/>
        <w:spacing w:before="120" w:after="120"/>
        <w:ind w:firstLine="480"/>
      </w:pPr>
      <w:r w:rsidRPr="00B4515A">
        <w:rPr>
          <w:rFonts w:hint="eastAsia"/>
        </w:rPr>
        <w:t>截至本报告书签署日，金融街资本控股股东、实际控制人为北京市西城区人民政府国有资产监督管理委员会。</w:t>
      </w:r>
    </w:p>
    <w:p w14:paraId="48244462" w14:textId="77777777" w:rsidR="006416B0" w:rsidRPr="00B4515A" w:rsidRDefault="005E58C1" w:rsidP="005860B4">
      <w:pPr>
        <w:pStyle w:val="004"/>
        <w:spacing w:before="120" w:after="120"/>
        <w:ind w:firstLine="482"/>
      </w:pPr>
      <w:r w:rsidRPr="00B4515A">
        <w:t>5</w:t>
      </w:r>
      <w:r w:rsidRPr="00B4515A">
        <w:rPr>
          <w:rFonts w:hint="eastAsia"/>
        </w:rPr>
        <w:t>、最近三年主要业务发展情况</w:t>
      </w:r>
    </w:p>
    <w:p w14:paraId="32604F6D" w14:textId="77777777" w:rsidR="006416B0" w:rsidRPr="00B4515A" w:rsidRDefault="005E58C1" w:rsidP="005860B4">
      <w:pPr>
        <w:pStyle w:val="005"/>
        <w:spacing w:before="120" w:after="120"/>
        <w:ind w:firstLine="480"/>
      </w:pPr>
      <w:r w:rsidRPr="00B4515A">
        <w:rPr>
          <w:rFonts w:hint="eastAsia"/>
        </w:rPr>
        <w:t>金融街资本是</w:t>
      </w:r>
      <w:r w:rsidRPr="00B4515A">
        <w:t>北京市西城区人民政府国有资产监督管理委员会</w:t>
      </w:r>
      <w:r w:rsidRPr="00B4515A">
        <w:rPr>
          <w:rFonts w:hint="eastAsia"/>
        </w:rPr>
        <w:t>全资拥有的国有资本运营企业。</w:t>
      </w:r>
    </w:p>
    <w:p w14:paraId="33D3CAAF" w14:textId="77777777" w:rsidR="006416B0" w:rsidRPr="00B4515A" w:rsidRDefault="005E58C1" w:rsidP="005860B4">
      <w:pPr>
        <w:pStyle w:val="004"/>
        <w:spacing w:before="120" w:after="120"/>
        <w:ind w:firstLine="482"/>
      </w:pPr>
      <w:r w:rsidRPr="00B4515A">
        <w:t>6</w:t>
      </w:r>
      <w:r w:rsidRPr="00B4515A">
        <w:rPr>
          <w:rFonts w:hint="eastAsia"/>
        </w:rPr>
        <w:t>、主要财务数据</w:t>
      </w:r>
    </w:p>
    <w:p w14:paraId="5F137D5B" w14:textId="77777777" w:rsidR="006416B0" w:rsidRPr="00B4515A" w:rsidRDefault="005E58C1" w:rsidP="005860B4">
      <w:pPr>
        <w:pStyle w:val="009"/>
      </w:pPr>
      <w:r w:rsidRPr="00B4515A">
        <w:t>单位：万元</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084"/>
        <w:gridCol w:w="3222"/>
        <w:gridCol w:w="3222"/>
      </w:tblGrid>
      <w:tr w:rsidR="006416B0" w:rsidRPr="00B4515A" w14:paraId="244DFD5A"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09BCE77A"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项目</w:t>
            </w:r>
          </w:p>
        </w:tc>
        <w:tc>
          <w:tcPr>
            <w:tcW w:w="3091" w:type="dxa"/>
            <w:tcMar>
              <w:top w:w="0" w:type="dxa"/>
              <w:left w:w="108" w:type="dxa"/>
              <w:bottom w:w="0" w:type="dxa"/>
              <w:right w:w="108" w:type="dxa"/>
            </w:tcMar>
            <w:vAlign w:val="center"/>
          </w:tcPr>
          <w:p w14:paraId="2F08D78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2020</w:t>
            </w:r>
            <w:r w:rsidRPr="00B4515A">
              <w:rPr>
                <w:rFonts w:ascii="Times New Roman" w:hAnsi="Times New Roman" w:cs="Times New Roman"/>
                <w:b/>
                <w:sz w:val="21"/>
                <w:szCs w:val="21"/>
              </w:rPr>
              <w:t>年</w:t>
            </w:r>
            <w:r w:rsidRPr="00B4515A">
              <w:rPr>
                <w:rFonts w:ascii="Times New Roman" w:hAnsi="Times New Roman" w:cs="Times New Roman"/>
                <w:b/>
                <w:sz w:val="21"/>
                <w:szCs w:val="21"/>
              </w:rPr>
              <w:t>12</w:t>
            </w:r>
            <w:r w:rsidRPr="00B4515A">
              <w:rPr>
                <w:rFonts w:ascii="Times New Roman" w:hAnsi="Times New Roman" w:cs="Times New Roman"/>
                <w:b/>
                <w:sz w:val="21"/>
                <w:szCs w:val="21"/>
              </w:rPr>
              <w:t>月</w:t>
            </w:r>
            <w:r w:rsidRPr="00B4515A">
              <w:rPr>
                <w:rFonts w:ascii="Times New Roman" w:hAnsi="Times New Roman" w:cs="Times New Roman"/>
                <w:b/>
                <w:sz w:val="21"/>
                <w:szCs w:val="21"/>
              </w:rPr>
              <w:t>31</w:t>
            </w:r>
            <w:r w:rsidRPr="00B4515A">
              <w:rPr>
                <w:rFonts w:ascii="Times New Roman" w:hAnsi="Times New Roman" w:cs="Times New Roman"/>
                <w:b/>
                <w:sz w:val="21"/>
                <w:szCs w:val="21"/>
              </w:rPr>
              <w:t>日</w:t>
            </w:r>
          </w:p>
        </w:tc>
        <w:tc>
          <w:tcPr>
            <w:tcW w:w="3091" w:type="dxa"/>
            <w:shd w:val="clear" w:color="auto" w:fill="auto"/>
            <w:tcMar>
              <w:top w:w="0" w:type="dxa"/>
              <w:left w:w="108" w:type="dxa"/>
              <w:bottom w:w="0" w:type="dxa"/>
              <w:right w:w="108" w:type="dxa"/>
            </w:tcMar>
            <w:vAlign w:val="center"/>
          </w:tcPr>
          <w:p w14:paraId="01408C2B"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sz w:val="21"/>
                <w:szCs w:val="21"/>
              </w:rPr>
              <w:t>2019</w:t>
            </w:r>
            <w:r w:rsidRPr="00B4515A">
              <w:rPr>
                <w:rFonts w:ascii="Times New Roman" w:hAnsi="Times New Roman" w:cs="Times New Roman"/>
                <w:b/>
                <w:sz w:val="21"/>
                <w:szCs w:val="21"/>
              </w:rPr>
              <w:t>年</w:t>
            </w:r>
            <w:r w:rsidRPr="00B4515A">
              <w:rPr>
                <w:rFonts w:ascii="Times New Roman" w:hAnsi="Times New Roman" w:cs="Times New Roman"/>
                <w:b/>
                <w:sz w:val="21"/>
                <w:szCs w:val="21"/>
              </w:rPr>
              <w:t>12</w:t>
            </w:r>
            <w:r w:rsidRPr="00B4515A">
              <w:rPr>
                <w:rFonts w:ascii="Times New Roman" w:hAnsi="Times New Roman" w:cs="Times New Roman"/>
                <w:b/>
                <w:sz w:val="21"/>
                <w:szCs w:val="21"/>
              </w:rPr>
              <w:t>月</w:t>
            </w:r>
            <w:r w:rsidRPr="00B4515A">
              <w:rPr>
                <w:rFonts w:ascii="Times New Roman" w:hAnsi="Times New Roman" w:cs="Times New Roman"/>
                <w:b/>
                <w:sz w:val="21"/>
                <w:szCs w:val="21"/>
              </w:rPr>
              <w:t>31</w:t>
            </w:r>
            <w:r w:rsidRPr="00B4515A">
              <w:rPr>
                <w:rFonts w:ascii="Times New Roman" w:hAnsi="Times New Roman" w:cs="Times New Roman"/>
                <w:b/>
                <w:sz w:val="21"/>
                <w:szCs w:val="21"/>
              </w:rPr>
              <w:t>日</w:t>
            </w:r>
          </w:p>
        </w:tc>
      </w:tr>
      <w:tr w:rsidR="006416B0" w:rsidRPr="00B4515A" w14:paraId="01E420D0"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5EFD343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资产总计</w:t>
            </w:r>
          </w:p>
        </w:tc>
        <w:tc>
          <w:tcPr>
            <w:tcW w:w="3091" w:type="dxa"/>
            <w:tcMar>
              <w:top w:w="0" w:type="dxa"/>
              <w:left w:w="108" w:type="dxa"/>
              <w:bottom w:w="0" w:type="dxa"/>
              <w:right w:w="108" w:type="dxa"/>
            </w:tcMar>
            <w:vAlign w:val="center"/>
          </w:tcPr>
          <w:p w14:paraId="32C93B79" w14:textId="158608C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4</w:t>
            </w:r>
            <w:r w:rsidRPr="00B4515A">
              <w:rPr>
                <w:rFonts w:ascii="Times New Roman" w:hAnsi="Times New Roman" w:cs="Times New Roman"/>
                <w:color w:val="000000"/>
                <w:sz w:val="21"/>
                <w:szCs w:val="21"/>
              </w:rPr>
              <w:t>,183,532</w:t>
            </w:r>
            <w:r w:rsidR="00942934" w:rsidRPr="00B4515A">
              <w:rPr>
                <w:rFonts w:ascii="Times New Roman" w:hAnsi="Times New Roman" w:cs="Times New Roman"/>
                <w:color w:val="000000"/>
                <w:sz w:val="21"/>
                <w:szCs w:val="21"/>
              </w:rPr>
              <w:t>.</w:t>
            </w:r>
            <w:r w:rsidRPr="00B4515A">
              <w:rPr>
                <w:rFonts w:ascii="Times New Roman" w:hAnsi="Times New Roman" w:cs="Times New Roman"/>
                <w:color w:val="000000"/>
                <w:sz w:val="21"/>
                <w:szCs w:val="21"/>
              </w:rPr>
              <w:t>40</w:t>
            </w:r>
          </w:p>
        </w:tc>
        <w:tc>
          <w:tcPr>
            <w:tcW w:w="3091" w:type="dxa"/>
            <w:shd w:val="clear" w:color="auto" w:fill="auto"/>
            <w:tcMar>
              <w:top w:w="0" w:type="dxa"/>
              <w:left w:w="108" w:type="dxa"/>
              <w:bottom w:w="0" w:type="dxa"/>
              <w:right w:w="108" w:type="dxa"/>
            </w:tcMar>
            <w:vAlign w:val="center"/>
          </w:tcPr>
          <w:p w14:paraId="6CFB5B2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3,956,221.64</w:t>
            </w:r>
          </w:p>
        </w:tc>
      </w:tr>
      <w:tr w:rsidR="006416B0" w:rsidRPr="00B4515A" w14:paraId="3275CCEB"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27CB8FF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负债总计</w:t>
            </w:r>
          </w:p>
        </w:tc>
        <w:tc>
          <w:tcPr>
            <w:tcW w:w="3091" w:type="dxa"/>
            <w:tcMar>
              <w:top w:w="0" w:type="dxa"/>
              <w:left w:w="108" w:type="dxa"/>
              <w:bottom w:w="0" w:type="dxa"/>
              <w:right w:w="108" w:type="dxa"/>
            </w:tcMar>
            <w:vAlign w:val="center"/>
          </w:tcPr>
          <w:p w14:paraId="475F171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9</w:t>
            </w:r>
            <w:r w:rsidRPr="00B4515A">
              <w:rPr>
                <w:rFonts w:ascii="Times New Roman" w:hAnsi="Times New Roman" w:cs="Times New Roman"/>
                <w:color w:val="000000"/>
                <w:sz w:val="21"/>
                <w:szCs w:val="21"/>
              </w:rPr>
              <w:t>32,595.41</w:t>
            </w:r>
          </w:p>
        </w:tc>
        <w:tc>
          <w:tcPr>
            <w:tcW w:w="3091" w:type="dxa"/>
            <w:shd w:val="clear" w:color="auto" w:fill="auto"/>
            <w:tcMar>
              <w:top w:w="0" w:type="dxa"/>
              <w:left w:w="108" w:type="dxa"/>
              <w:bottom w:w="0" w:type="dxa"/>
              <w:right w:w="108" w:type="dxa"/>
            </w:tcMar>
            <w:vAlign w:val="center"/>
          </w:tcPr>
          <w:p w14:paraId="2605400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830,570.75</w:t>
            </w:r>
          </w:p>
        </w:tc>
      </w:tr>
      <w:tr w:rsidR="006416B0" w:rsidRPr="00B4515A" w14:paraId="1F5173FF"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6C4329B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所有者权益</w:t>
            </w:r>
          </w:p>
        </w:tc>
        <w:tc>
          <w:tcPr>
            <w:tcW w:w="3091" w:type="dxa"/>
            <w:tcMar>
              <w:top w:w="0" w:type="dxa"/>
              <w:left w:w="108" w:type="dxa"/>
              <w:bottom w:w="0" w:type="dxa"/>
              <w:right w:w="108" w:type="dxa"/>
            </w:tcMar>
            <w:vAlign w:val="center"/>
          </w:tcPr>
          <w:p w14:paraId="67A3285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3</w:t>
            </w:r>
            <w:r w:rsidRPr="00B4515A">
              <w:rPr>
                <w:rFonts w:ascii="Times New Roman" w:hAnsi="Times New Roman" w:cs="Times New Roman"/>
                <w:color w:val="000000"/>
                <w:sz w:val="21"/>
                <w:szCs w:val="21"/>
              </w:rPr>
              <w:t>,250,936.99</w:t>
            </w:r>
          </w:p>
        </w:tc>
        <w:tc>
          <w:tcPr>
            <w:tcW w:w="3091" w:type="dxa"/>
            <w:shd w:val="clear" w:color="auto" w:fill="auto"/>
            <w:tcMar>
              <w:top w:w="0" w:type="dxa"/>
              <w:left w:w="108" w:type="dxa"/>
              <w:bottom w:w="0" w:type="dxa"/>
              <w:right w:w="108" w:type="dxa"/>
            </w:tcMar>
            <w:vAlign w:val="center"/>
          </w:tcPr>
          <w:p w14:paraId="7950797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3,125,650.89</w:t>
            </w:r>
          </w:p>
        </w:tc>
      </w:tr>
      <w:tr w:rsidR="006416B0" w:rsidRPr="00B4515A" w14:paraId="3E84B0C3"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12DBD17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项目</w:t>
            </w:r>
          </w:p>
        </w:tc>
        <w:tc>
          <w:tcPr>
            <w:tcW w:w="3091" w:type="dxa"/>
            <w:tcMar>
              <w:top w:w="0" w:type="dxa"/>
              <w:left w:w="108" w:type="dxa"/>
              <w:bottom w:w="0" w:type="dxa"/>
              <w:right w:w="108" w:type="dxa"/>
            </w:tcMar>
            <w:vAlign w:val="center"/>
          </w:tcPr>
          <w:p w14:paraId="16003F57"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2020</w:t>
            </w:r>
            <w:r w:rsidRPr="00B4515A">
              <w:rPr>
                <w:rFonts w:ascii="Times New Roman" w:hAnsi="Times New Roman" w:cs="Times New Roman"/>
                <w:b/>
                <w:sz w:val="21"/>
                <w:szCs w:val="21"/>
              </w:rPr>
              <w:t>年度</w:t>
            </w:r>
          </w:p>
        </w:tc>
        <w:tc>
          <w:tcPr>
            <w:tcW w:w="3091" w:type="dxa"/>
            <w:shd w:val="clear" w:color="auto" w:fill="auto"/>
            <w:tcMar>
              <w:top w:w="0" w:type="dxa"/>
              <w:left w:w="108" w:type="dxa"/>
              <w:bottom w:w="0" w:type="dxa"/>
              <w:right w:w="108" w:type="dxa"/>
            </w:tcMar>
            <w:vAlign w:val="center"/>
          </w:tcPr>
          <w:p w14:paraId="228AB669"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2019</w:t>
            </w:r>
            <w:r w:rsidRPr="00B4515A">
              <w:rPr>
                <w:rFonts w:ascii="Times New Roman" w:hAnsi="Times New Roman" w:cs="Times New Roman"/>
                <w:b/>
                <w:sz w:val="21"/>
                <w:szCs w:val="21"/>
              </w:rPr>
              <w:t>年度</w:t>
            </w:r>
          </w:p>
        </w:tc>
      </w:tr>
      <w:tr w:rsidR="006416B0" w:rsidRPr="00B4515A" w14:paraId="0F917692"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037E01C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营业收入</w:t>
            </w:r>
          </w:p>
        </w:tc>
        <w:tc>
          <w:tcPr>
            <w:tcW w:w="3091" w:type="dxa"/>
            <w:tcMar>
              <w:top w:w="0" w:type="dxa"/>
              <w:left w:w="108" w:type="dxa"/>
              <w:bottom w:w="0" w:type="dxa"/>
              <w:right w:w="108" w:type="dxa"/>
            </w:tcMar>
            <w:vAlign w:val="center"/>
          </w:tcPr>
          <w:p w14:paraId="1417207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2,488.96</w:t>
            </w:r>
          </w:p>
        </w:tc>
        <w:tc>
          <w:tcPr>
            <w:tcW w:w="3091" w:type="dxa"/>
            <w:shd w:val="clear" w:color="auto" w:fill="auto"/>
            <w:tcMar>
              <w:top w:w="0" w:type="dxa"/>
              <w:left w:w="108" w:type="dxa"/>
              <w:bottom w:w="0" w:type="dxa"/>
              <w:right w:w="108" w:type="dxa"/>
            </w:tcMar>
            <w:vAlign w:val="center"/>
          </w:tcPr>
          <w:p w14:paraId="564426C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21,411.13</w:t>
            </w:r>
          </w:p>
        </w:tc>
      </w:tr>
      <w:tr w:rsidR="006416B0" w:rsidRPr="00B4515A" w14:paraId="365DFC9A"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5A7E685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利润总额</w:t>
            </w:r>
          </w:p>
        </w:tc>
        <w:tc>
          <w:tcPr>
            <w:tcW w:w="3091" w:type="dxa"/>
            <w:tcMar>
              <w:top w:w="0" w:type="dxa"/>
              <w:left w:w="108" w:type="dxa"/>
              <w:bottom w:w="0" w:type="dxa"/>
              <w:right w:w="108" w:type="dxa"/>
            </w:tcMar>
            <w:vAlign w:val="center"/>
          </w:tcPr>
          <w:p w14:paraId="3E75153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48,895.03</w:t>
            </w:r>
          </w:p>
        </w:tc>
        <w:tc>
          <w:tcPr>
            <w:tcW w:w="3091" w:type="dxa"/>
            <w:shd w:val="clear" w:color="auto" w:fill="auto"/>
            <w:tcMar>
              <w:top w:w="0" w:type="dxa"/>
              <w:left w:w="108" w:type="dxa"/>
              <w:bottom w:w="0" w:type="dxa"/>
              <w:right w:w="108" w:type="dxa"/>
            </w:tcMar>
            <w:vAlign w:val="center"/>
          </w:tcPr>
          <w:p w14:paraId="2CBBA96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-1,394.30</w:t>
            </w:r>
          </w:p>
        </w:tc>
      </w:tr>
      <w:tr w:rsidR="006416B0" w:rsidRPr="00B4515A" w14:paraId="515270B1"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4EB07E4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净利润</w:t>
            </w:r>
          </w:p>
        </w:tc>
        <w:tc>
          <w:tcPr>
            <w:tcW w:w="3091" w:type="dxa"/>
            <w:tcMar>
              <w:top w:w="0" w:type="dxa"/>
              <w:left w:w="108" w:type="dxa"/>
              <w:bottom w:w="0" w:type="dxa"/>
              <w:right w:w="108" w:type="dxa"/>
            </w:tcMar>
            <w:vAlign w:val="center"/>
          </w:tcPr>
          <w:p w14:paraId="63E95DE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1</w:t>
            </w:r>
            <w:r w:rsidRPr="00B4515A">
              <w:rPr>
                <w:rFonts w:ascii="Times New Roman" w:hAnsi="Times New Roman" w:cs="Times New Roman"/>
                <w:color w:val="000000"/>
                <w:sz w:val="21"/>
                <w:szCs w:val="21"/>
              </w:rPr>
              <w:t>12,776.38</w:t>
            </w:r>
          </w:p>
        </w:tc>
        <w:tc>
          <w:tcPr>
            <w:tcW w:w="3091" w:type="dxa"/>
            <w:shd w:val="clear" w:color="auto" w:fill="auto"/>
            <w:tcMar>
              <w:top w:w="0" w:type="dxa"/>
              <w:left w:w="108" w:type="dxa"/>
              <w:bottom w:w="0" w:type="dxa"/>
              <w:right w:w="108" w:type="dxa"/>
            </w:tcMar>
            <w:vAlign w:val="center"/>
          </w:tcPr>
          <w:p w14:paraId="0AC5622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1,081.14</w:t>
            </w:r>
          </w:p>
        </w:tc>
      </w:tr>
    </w:tbl>
    <w:p w14:paraId="62BA14EF" w14:textId="77777777" w:rsidR="006416B0" w:rsidRPr="00B4515A" w:rsidRDefault="005E58C1" w:rsidP="005860B4">
      <w:pPr>
        <w:pStyle w:val="006"/>
        <w:ind w:firstLine="420"/>
        <w:rPr>
          <w:b/>
          <w:color w:val="000000" w:themeColor="text1"/>
        </w:rPr>
      </w:pPr>
      <w:r w:rsidRPr="00B4515A">
        <w:rPr>
          <w:rFonts w:hint="eastAsia"/>
        </w:rPr>
        <w:t>注：金融街资本上述财务数据经致同会计师事务所（特殊普通合伙）审计。</w:t>
      </w:r>
    </w:p>
    <w:p w14:paraId="17C1FE7A" w14:textId="77777777" w:rsidR="006416B0" w:rsidRPr="00B4515A" w:rsidRDefault="005E58C1" w:rsidP="005860B4">
      <w:pPr>
        <w:pStyle w:val="004"/>
        <w:spacing w:before="120" w:after="120"/>
        <w:ind w:firstLine="482"/>
      </w:pPr>
      <w:r w:rsidRPr="00B4515A">
        <w:t>7</w:t>
      </w:r>
      <w:r w:rsidRPr="00B4515A">
        <w:rPr>
          <w:rFonts w:hint="eastAsia"/>
        </w:rPr>
        <w:t>、主要下属企业情况</w:t>
      </w:r>
    </w:p>
    <w:p w14:paraId="084C4625" w14:textId="77777777" w:rsidR="006416B0" w:rsidRPr="00B4515A" w:rsidRDefault="005E58C1" w:rsidP="005860B4">
      <w:pPr>
        <w:pStyle w:val="005"/>
        <w:spacing w:before="120" w:after="120"/>
        <w:ind w:firstLine="480"/>
        <w:rPr>
          <w:rFonts w:eastAsiaTheme="minorEastAsia"/>
        </w:rPr>
      </w:pPr>
      <w:r w:rsidRPr="00B4515A">
        <w:rPr>
          <w:rFonts w:hint="eastAsia"/>
        </w:rPr>
        <w:t>截至</w:t>
      </w:r>
      <w:r w:rsidRPr="00B4515A">
        <w:rPr>
          <w:rFonts w:hint="eastAsia"/>
        </w:rPr>
        <w:t>2</w:t>
      </w:r>
      <w:r w:rsidRPr="00B4515A">
        <w:t>021</w:t>
      </w:r>
      <w:r w:rsidRPr="00B4515A">
        <w:rPr>
          <w:rFonts w:hint="eastAsia"/>
        </w:rPr>
        <w:t>年</w:t>
      </w:r>
      <w:r w:rsidRPr="00B4515A">
        <w:rPr>
          <w:rFonts w:hint="eastAsia"/>
        </w:rPr>
        <w:t>4</w:t>
      </w:r>
      <w:r w:rsidRPr="00B4515A">
        <w:rPr>
          <w:rFonts w:hint="eastAsia"/>
        </w:rPr>
        <w:t>月</w:t>
      </w:r>
      <w:r w:rsidRPr="00B4515A">
        <w:rPr>
          <w:rFonts w:hint="eastAsia"/>
        </w:rPr>
        <w:t>3</w:t>
      </w:r>
      <w:r w:rsidRPr="00B4515A">
        <w:t>0</w:t>
      </w:r>
      <w:r w:rsidRPr="00B4515A">
        <w:rPr>
          <w:rFonts w:hint="eastAsia"/>
        </w:rPr>
        <w:t>日</w:t>
      </w:r>
      <w:r w:rsidRPr="00B4515A">
        <w:rPr>
          <w:rFonts w:eastAsiaTheme="minorEastAsia" w:hint="eastAsia"/>
        </w:rPr>
        <w:t>，</w:t>
      </w:r>
      <w:r w:rsidRPr="00B4515A">
        <w:rPr>
          <w:rFonts w:hint="eastAsia"/>
        </w:rPr>
        <w:t>金融街资本</w:t>
      </w:r>
      <w:r w:rsidRPr="00B4515A">
        <w:rPr>
          <w:rFonts w:eastAsiaTheme="minorEastAsia" w:hint="eastAsia"/>
        </w:rPr>
        <w:t>主要下属企业基本情况如下：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17"/>
        <w:gridCol w:w="1335"/>
        <w:gridCol w:w="1735"/>
        <w:gridCol w:w="4741"/>
      </w:tblGrid>
      <w:tr w:rsidR="006416B0" w:rsidRPr="00B4515A" w14:paraId="66604154" w14:textId="77777777" w:rsidTr="005860B4">
        <w:trPr>
          <w:trHeight w:val="340"/>
          <w:tblHeader/>
          <w:jc w:val="center"/>
        </w:trPr>
        <w:tc>
          <w:tcPr>
            <w:tcW w:w="692" w:type="dxa"/>
            <w:tcMar>
              <w:top w:w="0" w:type="dxa"/>
              <w:left w:w="108" w:type="dxa"/>
              <w:bottom w:w="0" w:type="dxa"/>
              <w:right w:w="108" w:type="dxa"/>
            </w:tcMar>
            <w:vAlign w:val="center"/>
          </w:tcPr>
          <w:p w14:paraId="712BB947"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1290" w:type="dxa"/>
            <w:tcMar>
              <w:top w:w="0" w:type="dxa"/>
              <w:left w:w="108" w:type="dxa"/>
              <w:bottom w:w="0" w:type="dxa"/>
              <w:right w:w="108" w:type="dxa"/>
            </w:tcMar>
            <w:vAlign w:val="center"/>
          </w:tcPr>
          <w:p w14:paraId="356FCFB5"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公司名称</w:t>
            </w:r>
          </w:p>
        </w:tc>
        <w:tc>
          <w:tcPr>
            <w:tcW w:w="1676" w:type="dxa"/>
            <w:tcMar>
              <w:top w:w="0" w:type="dxa"/>
              <w:left w:w="108" w:type="dxa"/>
              <w:bottom w:w="0" w:type="dxa"/>
              <w:right w:w="108" w:type="dxa"/>
            </w:tcMar>
            <w:vAlign w:val="center"/>
          </w:tcPr>
          <w:p w14:paraId="1D80106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直接</w:t>
            </w:r>
            <w:r w:rsidRPr="00B4515A">
              <w:rPr>
                <w:rFonts w:ascii="Times New Roman" w:hAnsi="Times New Roman" w:cs="Times New Roman"/>
                <w:b/>
                <w:sz w:val="21"/>
                <w:szCs w:val="21"/>
              </w:rPr>
              <w:t>持股比例</w:t>
            </w:r>
          </w:p>
        </w:tc>
        <w:tc>
          <w:tcPr>
            <w:tcW w:w="4580" w:type="dxa"/>
            <w:tcMar>
              <w:top w:w="0" w:type="dxa"/>
              <w:left w:w="108" w:type="dxa"/>
              <w:bottom w:w="0" w:type="dxa"/>
              <w:right w:w="108" w:type="dxa"/>
            </w:tcMar>
            <w:vAlign w:val="center"/>
          </w:tcPr>
          <w:p w14:paraId="5502C58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经营范围</w:t>
            </w:r>
          </w:p>
        </w:tc>
      </w:tr>
      <w:tr w:rsidR="006416B0" w:rsidRPr="00B4515A" w14:paraId="3830C2CA" w14:textId="77777777" w:rsidTr="00031627">
        <w:trPr>
          <w:trHeight w:val="340"/>
          <w:jc w:val="center"/>
        </w:trPr>
        <w:tc>
          <w:tcPr>
            <w:tcW w:w="692" w:type="dxa"/>
            <w:tcMar>
              <w:top w:w="0" w:type="dxa"/>
              <w:left w:w="108" w:type="dxa"/>
              <w:bottom w:w="0" w:type="dxa"/>
              <w:right w:w="108" w:type="dxa"/>
            </w:tcMar>
            <w:vAlign w:val="center"/>
          </w:tcPr>
          <w:p w14:paraId="15B70E55" w14:textId="77777777" w:rsidR="006416B0" w:rsidRPr="00B4515A" w:rsidRDefault="005E58C1" w:rsidP="005860B4">
            <w:pPr>
              <w:adjustRightInd w:val="0"/>
              <w:snapToGrid w:val="0"/>
              <w:jc w:val="center"/>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1</w:t>
            </w:r>
          </w:p>
        </w:tc>
        <w:tc>
          <w:tcPr>
            <w:tcW w:w="1290" w:type="dxa"/>
            <w:tcMar>
              <w:top w:w="0" w:type="dxa"/>
              <w:left w:w="108" w:type="dxa"/>
              <w:bottom w:w="0" w:type="dxa"/>
              <w:right w:w="108" w:type="dxa"/>
            </w:tcMar>
            <w:vAlign w:val="center"/>
          </w:tcPr>
          <w:p w14:paraId="2AAD8C0D"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北京金融街服务中心有限公司</w:t>
            </w:r>
          </w:p>
        </w:tc>
        <w:tc>
          <w:tcPr>
            <w:tcW w:w="1676" w:type="dxa"/>
            <w:tcMar>
              <w:top w:w="0" w:type="dxa"/>
              <w:left w:w="108" w:type="dxa"/>
              <w:bottom w:w="0" w:type="dxa"/>
              <w:right w:w="108" w:type="dxa"/>
            </w:tcMar>
            <w:vAlign w:val="center"/>
          </w:tcPr>
          <w:p w14:paraId="5EE298E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w:t>
            </w:r>
          </w:p>
        </w:tc>
        <w:tc>
          <w:tcPr>
            <w:tcW w:w="4580" w:type="dxa"/>
            <w:tcMar>
              <w:top w:w="0" w:type="dxa"/>
              <w:left w:w="108" w:type="dxa"/>
              <w:bottom w:w="0" w:type="dxa"/>
              <w:right w:w="108" w:type="dxa"/>
            </w:tcMar>
            <w:vAlign w:val="center"/>
          </w:tcPr>
          <w:p w14:paraId="3610A90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人力资源服务；企业管理咨询；经济贸易咨询；打字、复印；市场调查；组织文化艺术交流活动（不含演出）；承办展览展示活动；会议服务；设计、制作、代理、发布广告；出租商业用房；出租办公用房；健康管理（须经审批的诊疗活动除外）；健康咨询（须经审批的诊疗活动除外）；技术开发、技术咨询、技术转让、技术服务；投资管理；项目投资；投资咨询。（</w:t>
            </w:r>
            <w:r w:rsidRPr="00B4515A">
              <w:rPr>
                <w:rFonts w:cs="Times New Roman" w:hint="eastAsia"/>
                <w:sz w:val="21"/>
                <w:szCs w:val="21"/>
              </w:rPr>
              <w:t>“</w:t>
            </w:r>
            <w:r w:rsidRPr="00B4515A">
              <w:rPr>
                <w:rFonts w:ascii="Times New Roman" w:hAnsi="Times New Roman" w:cs="Times New Roman" w:hint="eastAsia"/>
                <w:sz w:val="21"/>
                <w:szCs w:val="21"/>
              </w:rPr>
              <w:t>1</w:t>
            </w:r>
            <w:r w:rsidRPr="00B4515A">
              <w:rPr>
                <w:rFonts w:ascii="Times New Roman" w:hAnsi="Times New Roman" w:cs="Times New Roman" w:hint="eastAsia"/>
                <w:sz w:val="21"/>
                <w:szCs w:val="21"/>
              </w:rPr>
              <w:t>、未经有关部门批准，不得以公开方式募集资金；</w:t>
            </w:r>
            <w:r w:rsidRPr="00B4515A">
              <w:rPr>
                <w:rFonts w:ascii="Times New Roman" w:hAnsi="Times New Roman" w:cs="Times New Roman" w:hint="eastAsia"/>
                <w:sz w:val="21"/>
                <w:szCs w:val="21"/>
              </w:rPr>
              <w:t>2</w:t>
            </w:r>
            <w:r w:rsidRPr="00B4515A">
              <w:rPr>
                <w:rFonts w:ascii="Times New Roman" w:hAnsi="Times New Roman" w:cs="Times New Roman" w:hint="eastAsia"/>
                <w:sz w:val="21"/>
                <w:szCs w:val="21"/>
              </w:rPr>
              <w:t>、不得公开开展证券类产品和金融衍生品交易活动；</w:t>
            </w:r>
            <w:r w:rsidRPr="00B4515A">
              <w:rPr>
                <w:rFonts w:ascii="Times New Roman" w:hAnsi="Times New Roman" w:cs="Times New Roman" w:hint="eastAsia"/>
                <w:sz w:val="21"/>
                <w:szCs w:val="21"/>
              </w:rPr>
              <w:t>3</w:t>
            </w:r>
            <w:r w:rsidRPr="00B4515A">
              <w:rPr>
                <w:rFonts w:ascii="Times New Roman" w:hAnsi="Times New Roman" w:cs="Times New Roman" w:hint="eastAsia"/>
                <w:sz w:val="21"/>
                <w:szCs w:val="21"/>
              </w:rPr>
              <w:t>、不得发放贷款；</w:t>
            </w:r>
            <w:r w:rsidRPr="00B4515A">
              <w:rPr>
                <w:rFonts w:ascii="Times New Roman" w:hAnsi="Times New Roman" w:cs="Times New Roman" w:hint="eastAsia"/>
                <w:sz w:val="21"/>
                <w:szCs w:val="21"/>
              </w:rPr>
              <w:t>4</w:t>
            </w:r>
            <w:r w:rsidRPr="00B4515A">
              <w:rPr>
                <w:rFonts w:ascii="Times New Roman" w:hAnsi="Times New Roman" w:cs="Times New Roman" w:hint="eastAsia"/>
                <w:sz w:val="21"/>
                <w:szCs w:val="21"/>
              </w:rPr>
              <w:t>、不得对所投资企业以外的其他企业提供担保；</w:t>
            </w:r>
            <w:r w:rsidRPr="00B4515A">
              <w:rPr>
                <w:rFonts w:ascii="Times New Roman" w:hAnsi="Times New Roman" w:cs="Times New Roman" w:hint="eastAsia"/>
                <w:sz w:val="21"/>
                <w:szCs w:val="21"/>
              </w:rPr>
              <w:t>5</w:t>
            </w:r>
            <w:r w:rsidRPr="00B4515A">
              <w:rPr>
                <w:rFonts w:ascii="Times New Roman" w:hAnsi="Times New Roman" w:cs="Times New Roman" w:hint="eastAsia"/>
                <w:sz w:val="21"/>
                <w:szCs w:val="21"/>
              </w:rPr>
              <w:t>、</w:t>
            </w:r>
            <w:r w:rsidRPr="00B4515A">
              <w:rPr>
                <w:rFonts w:ascii="Times New Roman" w:hAnsi="Times New Roman" w:cs="Times New Roman" w:hint="eastAsia"/>
                <w:sz w:val="21"/>
                <w:szCs w:val="21"/>
              </w:rPr>
              <w:lastRenderedPageBreak/>
              <w:t>不得向投资者承诺投资本金不受损失或者承诺最低收益</w:t>
            </w:r>
            <w:r w:rsidRPr="00B4515A">
              <w:rPr>
                <w:rFonts w:cs="Times New Roman" w:hint="eastAsia"/>
                <w:sz w:val="21"/>
                <w:szCs w:val="21"/>
              </w:rPr>
              <w:t>”</w:t>
            </w:r>
            <w:r w:rsidRPr="00B4515A">
              <w:rPr>
                <w:rFonts w:ascii="Times New Roman" w:hAnsi="Times New Roman" w:cs="Times New Roman" w:hint="eastAsia"/>
                <w:sz w:val="21"/>
                <w:szCs w:val="21"/>
              </w:rPr>
              <w:t>；市场主体依法自主选择经营项目，开展经营活动；人力资源服务以及依法须经批准的项目，经相关部门批准后依批准的内容开展经营活动；不得从事国家和本市产业政策禁止和限制类项目的经营活动。）</w:t>
            </w:r>
          </w:p>
        </w:tc>
      </w:tr>
      <w:tr w:rsidR="006416B0" w:rsidRPr="00B4515A" w14:paraId="24C0444B" w14:textId="77777777" w:rsidTr="00031627">
        <w:trPr>
          <w:trHeight w:val="340"/>
          <w:jc w:val="center"/>
        </w:trPr>
        <w:tc>
          <w:tcPr>
            <w:tcW w:w="692" w:type="dxa"/>
            <w:tcMar>
              <w:top w:w="0" w:type="dxa"/>
              <w:left w:w="108" w:type="dxa"/>
              <w:bottom w:w="0" w:type="dxa"/>
              <w:right w:w="108" w:type="dxa"/>
            </w:tcMar>
            <w:vAlign w:val="center"/>
          </w:tcPr>
          <w:p w14:paraId="41AD8C0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lastRenderedPageBreak/>
              <w:t>2</w:t>
            </w:r>
          </w:p>
        </w:tc>
        <w:tc>
          <w:tcPr>
            <w:tcW w:w="1290" w:type="dxa"/>
            <w:tcMar>
              <w:top w:w="0" w:type="dxa"/>
              <w:left w:w="108" w:type="dxa"/>
              <w:bottom w:w="0" w:type="dxa"/>
              <w:right w:w="108" w:type="dxa"/>
            </w:tcMar>
            <w:vAlign w:val="center"/>
          </w:tcPr>
          <w:p w14:paraId="39E2082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北京熙诚资本控股有限公司</w:t>
            </w:r>
          </w:p>
        </w:tc>
        <w:tc>
          <w:tcPr>
            <w:tcW w:w="1676" w:type="dxa"/>
            <w:tcMar>
              <w:top w:w="0" w:type="dxa"/>
              <w:left w:w="108" w:type="dxa"/>
              <w:bottom w:w="0" w:type="dxa"/>
              <w:right w:w="108" w:type="dxa"/>
            </w:tcMar>
            <w:vAlign w:val="center"/>
          </w:tcPr>
          <w:p w14:paraId="2F5F22D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w:t>
            </w:r>
          </w:p>
        </w:tc>
        <w:tc>
          <w:tcPr>
            <w:tcW w:w="4580" w:type="dxa"/>
            <w:tcMar>
              <w:top w:w="0" w:type="dxa"/>
              <w:left w:w="108" w:type="dxa"/>
              <w:bottom w:w="0" w:type="dxa"/>
              <w:right w:w="108" w:type="dxa"/>
            </w:tcMar>
            <w:vAlign w:val="center"/>
          </w:tcPr>
          <w:p w14:paraId="6FC99E0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项目投资；投资管理；资产管理；投资咨询。（</w:t>
            </w:r>
            <w:r w:rsidRPr="00B4515A">
              <w:rPr>
                <w:rFonts w:cs="Times New Roman" w:hint="eastAsia"/>
                <w:sz w:val="21"/>
                <w:szCs w:val="21"/>
              </w:rPr>
              <w:t>“</w:t>
            </w:r>
            <w:r w:rsidRPr="00B4515A">
              <w:rPr>
                <w:rFonts w:ascii="Times New Roman" w:hAnsi="Times New Roman" w:cs="Times New Roman" w:hint="eastAsia"/>
                <w:sz w:val="21"/>
                <w:szCs w:val="21"/>
              </w:rPr>
              <w:t>1</w:t>
            </w:r>
            <w:r w:rsidRPr="00B4515A">
              <w:rPr>
                <w:rFonts w:ascii="Times New Roman" w:hAnsi="Times New Roman" w:cs="Times New Roman" w:hint="eastAsia"/>
                <w:sz w:val="21"/>
                <w:szCs w:val="21"/>
              </w:rPr>
              <w:t>、未经有关部门批准，不得以公开方式募集资金；</w:t>
            </w:r>
            <w:r w:rsidRPr="00B4515A">
              <w:rPr>
                <w:rFonts w:ascii="Times New Roman" w:hAnsi="Times New Roman" w:cs="Times New Roman" w:hint="eastAsia"/>
                <w:sz w:val="21"/>
                <w:szCs w:val="21"/>
              </w:rPr>
              <w:t>2</w:t>
            </w:r>
            <w:r w:rsidRPr="00B4515A">
              <w:rPr>
                <w:rFonts w:ascii="Times New Roman" w:hAnsi="Times New Roman" w:cs="Times New Roman" w:hint="eastAsia"/>
                <w:sz w:val="21"/>
                <w:szCs w:val="21"/>
              </w:rPr>
              <w:t>、不得公开开展证券类产品和金融衍生品交易活动；</w:t>
            </w:r>
            <w:r w:rsidRPr="00B4515A">
              <w:rPr>
                <w:rFonts w:ascii="Times New Roman" w:hAnsi="Times New Roman" w:cs="Times New Roman" w:hint="eastAsia"/>
                <w:sz w:val="21"/>
                <w:szCs w:val="21"/>
              </w:rPr>
              <w:t>3</w:t>
            </w:r>
            <w:r w:rsidRPr="00B4515A">
              <w:rPr>
                <w:rFonts w:ascii="Times New Roman" w:hAnsi="Times New Roman" w:cs="Times New Roman" w:hint="eastAsia"/>
                <w:sz w:val="21"/>
                <w:szCs w:val="21"/>
              </w:rPr>
              <w:t>、不得发放贷款；</w:t>
            </w:r>
            <w:r w:rsidRPr="00B4515A">
              <w:rPr>
                <w:rFonts w:ascii="Times New Roman" w:hAnsi="Times New Roman" w:cs="Times New Roman" w:hint="eastAsia"/>
                <w:sz w:val="21"/>
                <w:szCs w:val="21"/>
              </w:rPr>
              <w:t>4</w:t>
            </w:r>
            <w:r w:rsidRPr="00B4515A">
              <w:rPr>
                <w:rFonts w:ascii="Times New Roman" w:hAnsi="Times New Roman" w:cs="Times New Roman" w:hint="eastAsia"/>
                <w:sz w:val="21"/>
                <w:szCs w:val="21"/>
              </w:rPr>
              <w:t>、不得对所投资企业以外的其他企业提供担保；</w:t>
            </w:r>
            <w:r w:rsidRPr="00B4515A">
              <w:rPr>
                <w:rFonts w:ascii="Times New Roman" w:hAnsi="Times New Roman" w:cs="Times New Roman" w:hint="eastAsia"/>
                <w:sz w:val="21"/>
                <w:szCs w:val="21"/>
              </w:rPr>
              <w:t>5</w:t>
            </w:r>
            <w:r w:rsidRPr="00B4515A">
              <w:rPr>
                <w:rFonts w:ascii="Times New Roman" w:hAnsi="Times New Roman" w:cs="Times New Roman" w:hint="eastAsia"/>
                <w:sz w:val="21"/>
                <w:szCs w:val="21"/>
              </w:rPr>
              <w:t>、不得向投资者承诺投资本金不受损失或者承诺最低收益</w:t>
            </w:r>
            <w:r w:rsidRPr="00B4515A">
              <w:rPr>
                <w:rFonts w:cs="Times New Roman" w:hint="eastAsia"/>
                <w:sz w:val="21"/>
                <w:szCs w:val="21"/>
              </w:rPr>
              <w:t>”</w:t>
            </w:r>
            <w:r w:rsidRPr="00B4515A">
              <w:rPr>
                <w:rFonts w:ascii="Times New Roman" w:hAnsi="Times New Roman" w:cs="Times New Roman" w:hint="eastAsia"/>
                <w:sz w:val="21"/>
                <w:szCs w:val="21"/>
              </w:rPr>
              <w:t>；市场主体依法自主选择经营项目，开展经营活动；依法须经批准的项目，经相关部门批准后依批准的内容开展经营活动；不得从事国家和本市产业政策禁止和限制类项目的经营活动。）</w:t>
            </w:r>
          </w:p>
        </w:tc>
      </w:tr>
      <w:tr w:rsidR="006416B0" w:rsidRPr="00B4515A" w14:paraId="402014FC" w14:textId="77777777" w:rsidTr="00031627">
        <w:trPr>
          <w:trHeight w:val="340"/>
          <w:jc w:val="center"/>
        </w:trPr>
        <w:tc>
          <w:tcPr>
            <w:tcW w:w="692" w:type="dxa"/>
            <w:tcMar>
              <w:top w:w="0" w:type="dxa"/>
              <w:left w:w="108" w:type="dxa"/>
              <w:bottom w:w="0" w:type="dxa"/>
              <w:right w:w="108" w:type="dxa"/>
            </w:tcMar>
            <w:vAlign w:val="center"/>
          </w:tcPr>
          <w:p w14:paraId="7F08AB5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3</w:t>
            </w:r>
          </w:p>
        </w:tc>
        <w:tc>
          <w:tcPr>
            <w:tcW w:w="1290" w:type="dxa"/>
            <w:tcMar>
              <w:top w:w="0" w:type="dxa"/>
              <w:left w:w="108" w:type="dxa"/>
              <w:bottom w:w="0" w:type="dxa"/>
              <w:right w:w="108" w:type="dxa"/>
            </w:tcMar>
            <w:vAlign w:val="center"/>
          </w:tcPr>
          <w:p w14:paraId="0AA1138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北京熙诚产业投资管理有限公司</w:t>
            </w:r>
          </w:p>
        </w:tc>
        <w:tc>
          <w:tcPr>
            <w:tcW w:w="1676" w:type="dxa"/>
            <w:tcMar>
              <w:top w:w="0" w:type="dxa"/>
              <w:left w:w="108" w:type="dxa"/>
              <w:bottom w:w="0" w:type="dxa"/>
              <w:right w:w="108" w:type="dxa"/>
            </w:tcMar>
            <w:vAlign w:val="center"/>
          </w:tcPr>
          <w:p w14:paraId="6075DDA7"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sz w:val="21"/>
                <w:szCs w:val="21"/>
              </w:rPr>
              <w:t>100.00%</w:t>
            </w:r>
          </w:p>
        </w:tc>
        <w:tc>
          <w:tcPr>
            <w:tcW w:w="4580" w:type="dxa"/>
            <w:tcMar>
              <w:top w:w="0" w:type="dxa"/>
              <w:left w:w="108" w:type="dxa"/>
              <w:bottom w:w="0" w:type="dxa"/>
              <w:right w:w="108" w:type="dxa"/>
            </w:tcMar>
            <w:vAlign w:val="center"/>
          </w:tcPr>
          <w:p w14:paraId="24C54CCD" w14:textId="77777777" w:rsidR="006416B0" w:rsidRPr="00B4515A" w:rsidRDefault="005E58C1" w:rsidP="005860B4">
            <w:pPr>
              <w:adjustRightInd w:val="0"/>
              <w:snapToGrid w:val="0"/>
              <w:rPr>
                <w:sz w:val="21"/>
                <w:szCs w:val="21"/>
              </w:rPr>
            </w:pPr>
            <w:r w:rsidRPr="00B4515A">
              <w:rPr>
                <w:rFonts w:ascii="Helvetica Neue" w:hAnsi="Helvetica Neue" w:hint="eastAsia"/>
                <w:color w:val="333333"/>
                <w:sz w:val="21"/>
                <w:szCs w:val="21"/>
              </w:rPr>
              <w:t>项目投资；资产管理；投资管理；投资咨询。（</w:t>
            </w:r>
            <w:r w:rsidRPr="00B4515A">
              <w:rPr>
                <w:rFonts w:hint="eastAsia"/>
                <w:color w:val="333333"/>
                <w:sz w:val="21"/>
                <w:szCs w:val="21"/>
              </w:rPr>
              <w:t>“</w:t>
            </w:r>
            <w:r w:rsidRPr="00B4515A">
              <w:rPr>
                <w:rFonts w:ascii="Helvetica Neue" w:hAnsi="Helvetica Neue" w:hint="eastAsia"/>
                <w:color w:val="333333"/>
                <w:sz w:val="21"/>
                <w:szCs w:val="21"/>
              </w:rPr>
              <w:t>1</w:t>
            </w:r>
            <w:r w:rsidRPr="00B4515A">
              <w:rPr>
                <w:rFonts w:ascii="Helvetica Neue" w:hAnsi="Helvetica Neue" w:hint="eastAsia"/>
                <w:color w:val="333333"/>
                <w:sz w:val="21"/>
                <w:szCs w:val="21"/>
              </w:rPr>
              <w:t>、未经有关部门批准，不得以公开方式募集资金；</w:t>
            </w:r>
            <w:r w:rsidRPr="00B4515A">
              <w:rPr>
                <w:rFonts w:ascii="Helvetica Neue" w:hAnsi="Helvetica Neue" w:hint="eastAsia"/>
                <w:color w:val="333333"/>
                <w:sz w:val="21"/>
                <w:szCs w:val="21"/>
              </w:rPr>
              <w:t>2</w:t>
            </w:r>
            <w:r w:rsidRPr="00B4515A">
              <w:rPr>
                <w:rFonts w:ascii="Helvetica Neue" w:hAnsi="Helvetica Neue" w:hint="eastAsia"/>
                <w:color w:val="333333"/>
                <w:sz w:val="21"/>
                <w:szCs w:val="21"/>
              </w:rPr>
              <w:t>、不得公开开展证券类产品和金融衍生品交易活动；</w:t>
            </w:r>
            <w:r w:rsidRPr="00B4515A">
              <w:rPr>
                <w:rFonts w:ascii="Helvetica Neue" w:hAnsi="Helvetica Neue" w:hint="eastAsia"/>
                <w:color w:val="333333"/>
                <w:sz w:val="21"/>
                <w:szCs w:val="21"/>
              </w:rPr>
              <w:t>3</w:t>
            </w:r>
            <w:r w:rsidRPr="00B4515A">
              <w:rPr>
                <w:rFonts w:ascii="Helvetica Neue" w:hAnsi="Helvetica Neue" w:hint="eastAsia"/>
                <w:color w:val="333333"/>
                <w:sz w:val="21"/>
                <w:szCs w:val="21"/>
              </w:rPr>
              <w:t>、不得发放贷款；</w:t>
            </w:r>
            <w:r w:rsidRPr="00B4515A">
              <w:rPr>
                <w:rFonts w:ascii="Helvetica Neue" w:hAnsi="Helvetica Neue" w:hint="eastAsia"/>
                <w:color w:val="333333"/>
                <w:sz w:val="21"/>
                <w:szCs w:val="21"/>
              </w:rPr>
              <w:t>4</w:t>
            </w:r>
            <w:r w:rsidRPr="00B4515A">
              <w:rPr>
                <w:rFonts w:ascii="Helvetica Neue" w:hAnsi="Helvetica Neue" w:hint="eastAsia"/>
                <w:color w:val="333333"/>
                <w:sz w:val="21"/>
                <w:szCs w:val="21"/>
              </w:rPr>
              <w:t>、不得对所投资企业以外的其他企业提供担保；</w:t>
            </w:r>
            <w:r w:rsidRPr="00B4515A">
              <w:rPr>
                <w:rFonts w:ascii="Helvetica Neue" w:hAnsi="Helvetica Neue" w:hint="eastAsia"/>
                <w:color w:val="333333"/>
                <w:sz w:val="21"/>
                <w:szCs w:val="21"/>
              </w:rPr>
              <w:t>5</w:t>
            </w:r>
            <w:r w:rsidRPr="00B4515A">
              <w:rPr>
                <w:rFonts w:ascii="Helvetica Neue" w:hAnsi="Helvetica Neue" w:hint="eastAsia"/>
                <w:color w:val="333333"/>
                <w:sz w:val="21"/>
                <w:szCs w:val="21"/>
              </w:rPr>
              <w:t>、不得向投资者承诺投资本金不受损失或者承诺最低收益</w:t>
            </w:r>
            <w:r w:rsidRPr="00B4515A">
              <w:rPr>
                <w:rFonts w:hint="eastAsia"/>
                <w:color w:val="333333"/>
                <w:sz w:val="21"/>
                <w:szCs w:val="21"/>
              </w:rPr>
              <w:t>”</w:t>
            </w:r>
            <w:r w:rsidRPr="00B4515A">
              <w:rPr>
                <w:rFonts w:ascii="Helvetica Neue" w:hAnsi="Helvetica Neue" w:hint="eastAsia"/>
                <w:color w:val="333333"/>
                <w:sz w:val="21"/>
                <w:szCs w:val="21"/>
              </w:rPr>
              <w:t>；市场主体依法自主选择经营项目，开展经营活动；依法须经批准的项目，经相关部门批准后依批准的内容开展经营活动；不得从事国家和本市产业政策禁止和限制类项目的经营活动。）</w:t>
            </w:r>
          </w:p>
        </w:tc>
      </w:tr>
      <w:tr w:rsidR="006416B0" w:rsidRPr="00B4515A" w14:paraId="108AFE6F" w14:textId="77777777" w:rsidTr="00031627">
        <w:trPr>
          <w:trHeight w:val="340"/>
          <w:jc w:val="center"/>
        </w:trPr>
        <w:tc>
          <w:tcPr>
            <w:tcW w:w="692" w:type="dxa"/>
            <w:tcMar>
              <w:top w:w="0" w:type="dxa"/>
              <w:left w:w="108" w:type="dxa"/>
              <w:bottom w:w="0" w:type="dxa"/>
              <w:right w:w="108" w:type="dxa"/>
            </w:tcMar>
            <w:vAlign w:val="center"/>
          </w:tcPr>
          <w:p w14:paraId="29D1F07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4</w:t>
            </w:r>
          </w:p>
        </w:tc>
        <w:tc>
          <w:tcPr>
            <w:tcW w:w="1290" w:type="dxa"/>
            <w:tcMar>
              <w:top w:w="0" w:type="dxa"/>
              <w:left w:w="108" w:type="dxa"/>
              <w:bottom w:w="0" w:type="dxa"/>
              <w:right w:w="108" w:type="dxa"/>
            </w:tcMar>
            <w:vAlign w:val="center"/>
          </w:tcPr>
          <w:p w14:paraId="76022AA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北京金城永盛投资基金管理有限公司</w:t>
            </w:r>
          </w:p>
        </w:tc>
        <w:tc>
          <w:tcPr>
            <w:tcW w:w="1676" w:type="dxa"/>
            <w:tcMar>
              <w:top w:w="0" w:type="dxa"/>
              <w:left w:w="108" w:type="dxa"/>
              <w:bottom w:w="0" w:type="dxa"/>
              <w:right w:w="108" w:type="dxa"/>
            </w:tcMar>
            <w:vAlign w:val="center"/>
          </w:tcPr>
          <w:p w14:paraId="4C2ABEA1"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100.00%</w:t>
            </w:r>
          </w:p>
        </w:tc>
        <w:tc>
          <w:tcPr>
            <w:tcW w:w="4580" w:type="dxa"/>
            <w:tcMar>
              <w:top w:w="0" w:type="dxa"/>
              <w:left w:w="108" w:type="dxa"/>
              <w:bottom w:w="0" w:type="dxa"/>
              <w:right w:w="108" w:type="dxa"/>
            </w:tcMar>
            <w:vAlign w:val="center"/>
          </w:tcPr>
          <w:p w14:paraId="1EDFF371"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非证券业务的投资管理、咨询（不得从事下列业务：</w:t>
            </w:r>
            <w:r w:rsidRPr="00B4515A">
              <w:rPr>
                <w:rFonts w:ascii="Times New Roman" w:hAnsi="Times New Roman" w:cs="Times New Roman" w:hint="eastAsia"/>
                <w:sz w:val="21"/>
                <w:szCs w:val="21"/>
              </w:rPr>
              <w:t>1</w:t>
            </w:r>
            <w:r w:rsidRPr="00B4515A">
              <w:rPr>
                <w:rFonts w:ascii="Times New Roman" w:hAnsi="Times New Roman" w:cs="Times New Roman" w:hint="eastAsia"/>
                <w:sz w:val="21"/>
                <w:szCs w:val="21"/>
              </w:rPr>
              <w:t>、发放贷款；</w:t>
            </w:r>
            <w:r w:rsidRPr="00B4515A">
              <w:rPr>
                <w:rFonts w:ascii="Times New Roman" w:hAnsi="Times New Roman" w:cs="Times New Roman" w:hint="eastAsia"/>
                <w:sz w:val="21"/>
                <w:szCs w:val="21"/>
              </w:rPr>
              <w:t>2</w:t>
            </w:r>
            <w:r w:rsidRPr="00B4515A">
              <w:rPr>
                <w:rFonts w:ascii="Times New Roman" w:hAnsi="Times New Roman" w:cs="Times New Roman" w:hint="eastAsia"/>
                <w:sz w:val="21"/>
                <w:szCs w:val="21"/>
              </w:rPr>
              <w:t>、公开交易证券类投资或金融衍生品交易；</w:t>
            </w:r>
            <w:r w:rsidRPr="00B4515A">
              <w:rPr>
                <w:rFonts w:ascii="Times New Roman" w:hAnsi="Times New Roman" w:cs="Times New Roman" w:hint="eastAsia"/>
                <w:sz w:val="21"/>
                <w:szCs w:val="21"/>
              </w:rPr>
              <w:t>3</w:t>
            </w:r>
            <w:r w:rsidRPr="00B4515A">
              <w:rPr>
                <w:rFonts w:ascii="Times New Roman" w:hAnsi="Times New Roman" w:cs="Times New Roman" w:hint="eastAsia"/>
                <w:sz w:val="21"/>
                <w:szCs w:val="21"/>
              </w:rPr>
              <w:t>、以公开方式募集资金；</w:t>
            </w:r>
            <w:r w:rsidRPr="00B4515A">
              <w:rPr>
                <w:rFonts w:ascii="Times New Roman" w:hAnsi="Times New Roman" w:cs="Times New Roman" w:hint="eastAsia"/>
                <w:sz w:val="21"/>
                <w:szCs w:val="21"/>
              </w:rPr>
              <w:t>4</w:t>
            </w:r>
            <w:r w:rsidRPr="00B4515A">
              <w:rPr>
                <w:rFonts w:ascii="Times New Roman" w:hAnsi="Times New Roman" w:cs="Times New Roman" w:hint="eastAsia"/>
                <w:sz w:val="21"/>
                <w:szCs w:val="21"/>
              </w:rPr>
              <w:t>、对除被投资企业以外的企业提供担保）。（</w:t>
            </w:r>
            <w:r w:rsidRPr="00B4515A">
              <w:rPr>
                <w:rFonts w:cs="Times New Roman" w:hint="eastAsia"/>
                <w:sz w:val="21"/>
                <w:szCs w:val="21"/>
              </w:rPr>
              <w:t>“</w:t>
            </w:r>
            <w:r w:rsidRPr="00B4515A">
              <w:rPr>
                <w:rFonts w:ascii="Times New Roman" w:hAnsi="Times New Roman" w:cs="Times New Roman" w:hint="eastAsia"/>
                <w:sz w:val="21"/>
                <w:szCs w:val="21"/>
              </w:rPr>
              <w:t>1</w:t>
            </w:r>
            <w:r w:rsidRPr="00B4515A">
              <w:rPr>
                <w:rFonts w:ascii="Times New Roman" w:hAnsi="Times New Roman" w:cs="Times New Roman" w:hint="eastAsia"/>
                <w:sz w:val="21"/>
                <w:szCs w:val="21"/>
              </w:rPr>
              <w:t>、未经有关部门批准，不得以公开方式募集资金；</w:t>
            </w:r>
            <w:r w:rsidRPr="00B4515A">
              <w:rPr>
                <w:rFonts w:ascii="Times New Roman" w:hAnsi="Times New Roman" w:cs="Times New Roman" w:hint="eastAsia"/>
                <w:sz w:val="21"/>
                <w:szCs w:val="21"/>
              </w:rPr>
              <w:t>2</w:t>
            </w:r>
            <w:r w:rsidRPr="00B4515A">
              <w:rPr>
                <w:rFonts w:ascii="Times New Roman" w:hAnsi="Times New Roman" w:cs="Times New Roman" w:hint="eastAsia"/>
                <w:sz w:val="21"/>
                <w:szCs w:val="21"/>
              </w:rPr>
              <w:t>、不得公开开展证券类产品和金融衍生品交易活动；</w:t>
            </w:r>
            <w:r w:rsidRPr="00B4515A">
              <w:rPr>
                <w:rFonts w:ascii="Times New Roman" w:hAnsi="Times New Roman" w:cs="Times New Roman" w:hint="eastAsia"/>
                <w:sz w:val="21"/>
                <w:szCs w:val="21"/>
              </w:rPr>
              <w:t>3</w:t>
            </w:r>
            <w:r w:rsidRPr="00B4515A">
              <w:rPr>
                <w:rFonts w:ascii="Times New Roman" w:hAnsi="Times New Roman" w:cs="Times New Roman" w:hint="eastAsia"/>
                <w:sz w:val="21"/>
                <w:szCs w:val="21"/>
              </w:rPr>
              <w:t>、不得发放贷款；</w:t>
            </w:r>
            <w:r w:rsidRPr="00B4515A">
              <w:rPr>
                <w:rFonts w:ascii="Times New Roman" w:hAnsi="Times New Roman" w:cs="Times New Roman" w:hint="eastAsia"/>
                <w:sz w:val="21"/>
                <w:szCs w:val="21"/>
              </w:rPr>
              <w:t>4</w:t>
            </w:r>
            <w:r w:rsidRPr="00B4515A">
              <w:rPr>
                <w:rFonts w:ascii="Times New Roman" w:hAnsi="Times New Roman" w:cs="Times New Roman" w:hint="eastAsia"/>
                <w:sz w:val="21"/>
                <w:szCs w:val="21"/>
              </w:rPr>
              <w:t>、不得对所投资企业以外的其他企业提供担保；</w:t>
            </w:r>
            <w:r w:rsidRPr="00B4515A">
              <w:rPr>
                <w:rFonts w:ascii="Times New Roman" w:hAnsi="Times New Roman" w:cs="Times New Roman" w:hint="eastAsia"/>
                <w:sz w:val="21"/>
                <w:szCs w:val="21"/>
              </w:rPr>
              <w:t>5</w:t>
            </w:r>
            <w:r w:rsidRPr="00B4515A">
              <w:rPr>
                <w:rFonts w:ascii="Times New Roman" w:hAnsi="Times New Roman" w:cs="Times New Roman" w:hint="eastAsia"/>
                <w:sz w:val="21"/>
                <w:szCs w:val="21"/>
              </w:rPr>
              <w:t>、不得向投资者承诺投资本金不受损失或者承诺最低收益</w:t>
            </w:r>
            <w:r w:rsidRPr="00B4515A">
              <w:rPr>
                <w:rFonts w:cs="Times New Roman" w:hint="eastAsia"/>
                <w:sz w:val="21"/>
                <w:szCs w:val="21"/>
              </w:rPr>
              <w:t>”</w:t>
            </w:r>
            <w:r w:rsidRPr="00B4515A">
              <w:rPr>
                <w:rFonts w:ascii="Times New Roman" w:hAnsi="Times New Roman" w:cs="Times New Roman" w:hint="eastAsia"/>
                <w:sz w:val="21"/>
                <w:szCs w:val="21"/>
              </w:rPr>
              <w:t>；市场主体依法自主选择经营项目，开展经营活动；依法须经批准的项目，经相关部门批准后依批准的内容开展经营活动；不得从事国家和本市产业政策禁止和限制类项目的经营活动。）</w:t>
            </w:r>
          </w:p>
        </w:tc>
      </w:tr>
      <w:tr w:rsidR="006416B0" w:rsidRPr="00B4515A" w14:paraId="19AD15C1" w14:textId="77777777" w:rsidTr="00031627">
        <w:trPr>
          <w:trHeight w:val="340"/>
          <w:jc w:val="center"/>
        </w:trPr>
        <w:tc>
          <w:tcPr>
            <w:tcW w:w="692" w:type="dxa"/>
            <w:tcMar>
              <w:top w:w="0" w:type="dxa"/>
              <w:left w:w="108" w:type="dxa"/>
              <w:bottom w:w="0" w:type="dxa"/>
              <w:right w:w="108" w:type="dxa"/>
            </w:tcMar>
            <w:vAlign w:val="center"/>
          </w:tcPr>
          <w:p w14:paraId="3F4FADA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5</w:t>
            </w:r>
          </w:p>
        </w:tc>
        <w:tc>
          <w:tcPr>
            <w:tcW w:w="1290" w:type="dxa"/>
            <w:tcMar>
              <w:top w:w="0" w:type="dxa"/>
              <w:left w:w="108" w:type="dxa"/>
              <w:bottom w:w="0" w:type="dxa"/>
              <w:right w:w="108" w:type="dxa"/>
            </w:tcMar>
            <w:vAlign w:val="center"/>
          </w:tcPr>
          <w:p w14:paraId="6EC4FA5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北京市普瑞姆物业管理有限责任公司</w:t>
            </w:r>
          </w:p>
        </w:tc>
        <w:tc>
          <w:tcPr>
            <w:tcW w:w="1676" w:type="dxa"/>
            <w:tcMar>
              <w:top w:w="0" w:type="dxa"/>
              <w:left w:w="108" w:type="dxa"/>
              <w:bottom w:w="0" w:type="dxa"/>
              <w:right w:w="108" w:type="dxa"/>
            </w:tcMar>
            <w:vAlign w:val="center"/>
          </w:tcPr>
          <w:p w14:paraId="15C5ABD0"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100.00%</w:t>
            </w:r>
          </w:p>
        </w:tc>
        <w:tc>
          <w:tcPr>
            <w:tcW w:w="4580" w:type="dxa"/>
            <w:tcMar>
              <w:top w:w="0" w:type="dxa"/>
              <w:left w:w="108" w:type="dxa"/>
              <w:bottom w:w="0" w:type="dxa"/>
              <w:right w:w="108" w:type="dxa"/>
            </w:tcMar>
            <w:vAlign w:val="center"/>
          </w:tcPr>
          <w:p w14:paraId="5B5CFEF0"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物业管理；室内装饰工程设计；房地产信息咨询；销售五金交电、建筑材料、工艺品、日用品；打字服务。（企业依法自主选择经营项目，开展经营活动；依法须经批准的项目，经相关部门批准后依批准的内容开展经营活动；不得从事本市产业政策禁止和限制类项目的经营活动。）</w:t>
            </w:r>
          </w:p>
        </w:tc>
      </w:tr>
      <w:tr w:rsidR="006416B0" w:rsidRPr="00B4515A" w14:paraId="5E7AF913" w14:textId="77777777" w:rsidTr="00031627">
        <w:trPr>
          <w:trHeight w:val="340"/>
          <w:jc w:val="center"/>
        </w:trPr>
        <w:tc>
          <w:tcPr>
            <w:tcW w:w="692" w:type="dxa"/>
            <w:tcMar>
              <w:top w:w="0" w:type="dxa"/>
              <w:left w:w="108" w:type="dxa"/>
              <w:bottom w:w="0" w:type="dxa"/>
              <w:right w:w="108" w:type="dxa"/>
            </w:tcMar>
            <w:vAlign w:val="center"/>
          </w:tcPr>
          <w:p w14:paraId="20285B6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6</w:t>
            </w:r>
          </w:p>
        </w:tc>
        <w:tc>
          <w:tcPr>
            <w:tcW w:w="1290" w:type="dxa"/>
            <w:tcMar>
              <w:top w:w="0" w:type="dxa"/>
              <w:left w:w="108" w:type="dxa"/>
              <w:bottom w:w="0" w:type="dxa"/>
              <w:right w:w="108" w:type="dxa"/>
            </w:tcMar>
            <w:vAlign w:val="center"/>
          </w:tcPr>
          <w:p w14:paraId="4747C43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北京市金正资产投资经营公司</w:t>
            </w:r>
          </w:p>
        </w:tc>
        <w:tc>
          <w:tcPr>
            <w:tcW w:w="1676" w:type="dxa"/>
            <w:tcMar>
              <w:top w:w="0" w:type="dxa"/>
              <w:left w:w="108" w:type="dxa"/>
              <w:bottom w:w="0" w:type="dxa"/>
              <w:right w:w="108" w:type="dxa"/>
            </w:tcMar>
            <w:vAlign w:val="center"/>
          </w:tcPr>
          <w:p w14:paraId="273FD34B"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100.00%</w:t>
            </w:r>
          </w:p>
        </w:tc>
        <w:tc>
          <w:tcPr>
            <w:tcW w:w="4580" w:type="dxa"/>
            <w:tcMar>
              <w:top w:w="0" w:type="dxa"/>
              <w:left w:w="108" w:type="dxa"/>
              <w:bottom w:w="0" w:type="dxa"/>
              <w:right w:w="108" w:type="dxa"/>
            </w:tcMar>
            <w:vAlign w:val="center"/>
          </w:tcPr>
          <w:p w14:paraId="56999F24"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对国有资产产权经营管理、国有资产优化配置、收缴国有资产权益、收缴国有产权转让收入、国有资产投资、对企业提供贷款担保、咨询服务；餐饮服务（禁止在居民住宅楼、未配套设立专用烟道的商</w:t>
            </w:r>
            <w:r w:rsidRPr="00B4515A">
              <w:rPr>
                <w:rFonts w:ascii="Times New Roman" w:hAnsi="Times New Roman" w:cs="Times New Roman" w:hint="eastAsia"/>
                <w:sz w:val="21"/>
                <w:szCs w:val="21"/>
              </w:rPr>
              <w:lastRenderedPageBreak/>
              <w:t>住综合楼、商住综合楼内与居住层相邻的商业楼层内，新建、改建、扩建产生油烟、异味、废气的饮食服务；禁止新建与居住、医疗卫生、文化教育、科研、行政办公等为主要功能的场所边界水平距离小于</w:t>
            </w:r>
            <w:r w:rsidRPr="00B4515A">
              <w:rPr>
                <w:rFonts w:ascii="Times New Roman" w:hAnsi="Times New Roman" w:cs="Times New Roman" w:hint="eastAsia"/>
                <w:sz w:val="21"/>
                <w:szCs w:val="21"/>
              </w:rPr>
              <w:t>9</w:t>
            </w:r>
            <w:r w:rsidRPr="00B4515A">
              <w:rPr>
                <w:rFonts w:ascii="Times New Roman" w:hAnsi="Times New Roman" w:cs="Times New Roman" w:hint="eastAsia"/>
                <w:sz w:val="21"/>
                <w:szCs w:val="21"/>
              </w:rPr>
              <w:t>米的项目）。（企业依法自主选择经营项目，开展经营活动；依法须经批准的项目，经相关部门批准后依批准的内容开展经营活动；不得从事本市产业政策禁止和限制类项目的经营活动。）</w:t>
            </w:r>
          </w:p>
        </w:tc>
      </w:tr>
      <w:tr w:rsidR="006416B0" w:rsidRPr="00B4515A" w14:paraId="443C789A" w14:textId="77777777" w:rsidTr="00031627">
        <w:trPr>
          <w:trHeight w:val="340"/>
          <w:jc w:val="center"/>
        </w:trPr>
        <w:tc>
          <w:tcPr>
            <w:tcW w:w="692" w:type="dxa"/>
            <w:tcMar>
              <w:top w:w="0" w:type="dxa"/>
              <w:left w:w="108" w:type="dxa"/>
              <w:bottom w:w="0" w:type="dxa"/>
              <w:right w:w="108" w:type="dxa"/>
            </w:tcMar>
            <w:vAlign w:val="center"/>
          </w:tcPr>
          <w:p w14:paraId="2EB2354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lastRenderedPageBreak/>
              <w:t>7</w:t>
            </w:r>
          </w:p>
        </w:tc>
        <w:tc>
          <w:tcPr>
            <w:tcW w:w="1290" w:type="dxa"/>
            <w:tcMar>
              <w:top w:w="0" w:type="dxa"/>
              <w:left w:w="108" w:type="dxa"/>
              <w:bottom w:w="0" w:type="dxa"/>
              <w:right w:w="108" w:type="dxa"/>
            </w:tcMar>
            <w:vAlign w:val="center"/>
          </w:tcPr>
          <w:p w14:paraId="05B3BE4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北京华方投资有限公司</w:t>
            </w:r>
          </w:p>
        </w:tc>
        <w:tc>
          <w:tcPr>
            <w:tcW w:w="1676" w:type="dxa"/>
            <w:tcMar>
              <w:top w:w="0" w:type="dxa"/>
              <w:left w:w="108" w:type="dxa"/>
              <w:bottom w:w="0" w:type="dxa"/>
              <w:right w:w="108" w:type="dxa"/>
            </w:tcMar>
            <w:vAlign w:val="center"/>
          </w:tcPr>
          <w:p w14:paraId="5B97E543"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100.00%</w:t>
            </w:r>
          </w:p>
        </w:tc>
        <w:tc>
          <w:tcPr>
            <w:tcW w:w="4580" w:type="dxa"/>
            <w:tcMar>
              <w:top w:w="0" w:type="dxa"/>
              <w:left w:w="108" w:type="dxa"/>
              <w:bottom w:w="0" w:type="dxa"/>
              <w:right w:w="108" w:type="dxa"/>
            </w:tcMar>
            <w:vAlign w:val="center"/>
          </w:tcPr>
          <w:p w14:paraId="6D43270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投资管理；国有资产经营、开发、投资、国有资产优化配置、收缴国有资产收益、国有产权转让、租赁、商贸信息咨询、服务、接受委托从事物业管理（含出租写字间）。（市场主体依法自主选择经营项目，开展经营活动；依法须经批准的项目，经相关部门批准后依批准的内容开展经营活动；不得从事国家和本市产业政策禁止和限制类项目的经营活动。）</w:t>
            </w:r>
          </w:p>
        </w:tc>
      </w:tr>
      <w:tr w:rsidR="006416B0" w:rsidRPr="00B4515A" w14:paraId="6EC61E7F" w14:textId="77777777" w:rsidTr="00031627">
        <w:trPr>
          <w:trHeight w:val="340"/>
          <w:jc w:val="center"/>
        </w:trPr>
        <w:tc>
          <w:tcPr>
            <w:tcW w:w="692" w:type="dxa"/>
            <w:tcMar>
              <w:top w:w="0" w:type="dxa"/>
              <w:left w:w="108" w:type="dxa"/>
              <w:bottom w:w="0" w:type="dxa"/>
              <w:right w:w="108" w:type="dxa"/>
            </w:tcMar>
            <w:vAlign w:val="center"/>
          </w:tcPr>
          <w:p w14:paraId="5EEB95F8"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8</w:t>
            </w:r>
          </w:p>
        </w:tc>
        <w:tc>
          <w:tcPr>
            <w:tcW w:w="1290" w:type="dxa"/>
            <w:tcMar>
              <w:top w:w="0" w:type="dxa"/>
              <w:left w:w="108" w:type="dxa"/>
              <w:bottom w:w="0" w:type="dxa"/>
              <w:right w:w="108" w:type="dxa"/>
            </w:tcMar>
            <w:vAlign w:val="center"/>
          </w:tcPr>
          <w:p w14:paraId="0EE525C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北京华天饮食集团公司</w:t>
            </w:r>
          </w:p>
        </w:tc>
        <w:tc>
          <w:tcPr>
            <w:tcW w:w="1676" w:type="dxa"/>
            <w:tcMar>
              <w:top w:w="0" w:type="dxa"/>
              <w:left w:w="108" w:type="dxa"/>
              <w:bottom w:w="0" w:type="dxa"/>
              <w:right w:w="108" w:type="dxa"/>
            </w:tcMar>
            <w:vAlign w:val="center"/>
          </w:tcPr>
          <w:p w14:paraId="07E65514"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100.00%</w:t>
            </w:r>
          </w:p>
        </w:tc>
        <w:tc>
          <w:tcPr>
            <w:tcW w:w="4580" w:type="dxa"/>
            <w:tcMar>
              <w:top w:w="0" w:type="dxa"/>
              <w:left w:w="108" w:type="dxa"/>
              <w:bottom w:w="0" w:type="dxa"/>
              <w:right w:w="108" w:type="dxa"/>
            </w:tcMar>
            <w:vAlign w:val="center"/>
          </w:tcPr>
          <w:p w14:paraId="2A5A8C5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公共饮食业；购销食品；购销百货、交电、炊事机械及配件；承办消费品市场、生产要素市场；物业管理。（企业依法自主选择经营项目，开展经营活动；依法须经批准的项目，经相关部门批准后依批准的内容开展经营活动；不得从事本市产业政策禁止和限制类项目的经营活动。）</w:t>
            </w:r>
          </w:p>
        </w:tc>
      </w:tr>
      <w:tr w:rsidR="006416B0" w:rsidRPr="00B4515A" w14:paraId="7DFE26E9" w14:textId="77777777" w:rsidTr="00031627">
        <w:trPr>
          <w:trHeight w:val="340"/>
          <w:jc w:val="center"/>
        </w:trPr>
        <w:tc>
          <w:tcPr>
            <w:tcW w:w="692" w:type="dxa"/>
            <w:tcMar>
              <w:top w:w="0" w:type="dxa"/>
              <w:left w:w="108" w:type="dxa"/>
              <w:bottom w:w="0" w:type="dxa"/>
              <w:right w:w="108" w:type="dxa"/>
            </w:tcMar>
            <w:vAlign w:val="center"/>
          </w:tcPr>
          <w:p w14:paraId="418CDFE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9</w:t>
            </w:r>
          </w:p>
        </w:tc>
        <w:tc>
          <w:tcPr>
            <w:tcW w:w="1290" w:type="dxa"/>
            <w:tcMar>
              <w:top w:w="0" w:type="dxa"/>
              <w:left w:w="108" w:type="dxa"/>
              <w:bottom w:w="0" w:type="dxa"/>
              <w:right w:w="108" w:type="dxa"/>
            </w:tcMar>
            <w:vAlign w:val="center"/>
          </w:tcPr>
          <w:p w14:paraId="54758A6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北京金嘉房地产开发有限公司</w:t>
            </w:r>
          </w:p>
        </w:tc>
        <w:tc>
          <w:tcPr>
            <w:tcW w:w="1676" w:type="dxa"/>
            <w:tcMar>
              <w:top w:w="0" w:type="dxa"/>
              <w:left w:w="108" w:type="dxa"/>
              <w:bottom w:w="0" w:type="dxa"/>
              <w:right w:w="108" w:type="dxa"/>
            </w:tcMar>
            <w:vAlign w:val="center"/>
          </w:tcPr>
          <w:p w14:paraId="3C4AD507"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9</w:t>
            </w:r>
            <w:r w:rsidRPr="00B4515A">
              <w:rPr>
                <w:rFonts w:ascii="Times New Roman" w:hAnsi="Times New Roman" w:cs="Times New Roman"/>
                <w:bCs/>
                <w:color w:val="000000" w:themeColor="text1"/>
                <w:sz w:val="21"/>
                <w:szCs w:val="21"/>
              </w:rPr>
              <w:t>9.60%</w:t>
            </w:r>
          </w:p>
        </w:tc>
        <w:tc>
          <w:tcPr>
            <w:tcW w:w="4580" w:type="dxa"/>
            <w:tcMar>
              <w:top w:w="0" w:type="dxa"/>
              <w:left w:w="108" w:type="dxa"/>
              <w:bottom w:w="0" w:type="dxa"/>
              <w:right w:w="108" w:type="dxa"/>
            </w:tcMar>
            <w:vAlign w:val="center"/>
          </w:tcPr>
          <w:p w14:paraId="1DDB37F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房地产开发；销售自行开发的商品房；物业管理；出租办公用房；出租商业用房；机动车公共停车场服务；经济贸易咨询；销售建筑材料。（领取本执照后，应到住建委取得行政许可；企业依法自主选择经营项目，开展经营活动；依法须经批准的项目，经相关部门批准后依批准的内容开展经营活动；不得从事本市产业政策禁止和限制类项目的经营活动。）</w:t>
            </w:r>
          </w:p>
        </w:tc>
      </w:tr>
      <w:tr w:rsidR="006416B0" w:rsidRPr="00B4515A" w14:paraId="66C05CB3" w14:textId="77777777" w:rsidTr="00031627">
        <w:trPr>
          <w:trHeight w:val="340"/>
          <w:jc w:val="center"/>
        </w:trPr>
        <w:tc>
          <w:tcPr>
            <w:tcW w:w="692" w:type="dxa"/>
            <w:tcMar>
              <w:top w:w="0" w:type="dxa"/>
              <w:left w:w="108" w:type="dxa"/>
              <w:bottom w:w="0" w:type="dxa"/>
              <w:right w:w="108" w:type="dxa"/>
            </w:tcMar>
            <w:vAlign w:val="center"/>
          </w:tcPr>
          <w:p w14:paraId="1A27BD58"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1</w:t>
            </w:r>
            <w:r w:rsidRPr="00B4515A">
              <w:rPr>
                <w:rFonts w:ascii="Times New Roman" w:hAnsi="Times New Roman" w:cs="Times New Roman"/>
                <w:bCs/>
                <w:color w:val="000000" w:themeColor="text1"/>
                <w:sz w:val="21"/>
                <w:szCs w:val="21"/>
              </w:rPr>
              <w:t>0</w:t>
            </w:r>
          </w:p>
        </w:tc>
        <w:tc>
          <w:tcPr>
            <w:tcW w:w="1290" w:type="dxa"/>
            <w:tcMar>
              <w:top w:w="0" w:type="dxa"/>
              <w:left w:w="108" w:type="dxa"/>
              <w:bottom w:w="0" w:type="dxa"/>
              <w:right w:w="108" w:type="dxa"/>
            </w:tcMar>
            <w:vAlign w:val="center"/>
          </w:tcPr>
          <w:p w14:paraId="0197A6D3"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北京金融街投资（集团）有限公司</w:t>
            </w:r>
          </w:p>
        </w:tc>
        <w:tc>
          <w:tcPr>
            <w:tcW w:w="1676" w:type="dxa"/>
            <w:tcMar>
              <w:top w:w="0" w:type="dxa"/>
              <w:left w:w="108" w:type="dxa"/>
              <w:bottom w:w="0" w:type="dxa"/>
              <w:right w:w="108" w:type="dxa"/>
            </w:tcMar>
            <w:vAlign w:val="center"/>
          </w:tcPr>
          <w:p w14:paraId="31E79590"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6</w:t>
            </w:r>
            <w:r w:rsidRPr="00B4515A">
              <w:rPr>
                <w:rFonts w:ascii="Times New Roman" w:hAnsi="Times New Roman" w:cs="Times New Roman"/>
                <w:bCs/>
                <w:color w:val="000000" w:themeColor="text1"/>
                <w:sz w:val="21"/>
                <w:szCs w:val="21"/>
              </w:rPr>
              <w:t>2.06%</w:t>
            </w:r>
          </w:p>
        </w:tc>
        <w:tc>
          <w:tcPr>
            <w:tcW w:w="4580" w:type="dxa"/>
            <w:tcMar>
              <w:top w:w="0" w:type="dxa"/>
              <w:left w:w="108" w:type="dxa"/>
              <w:bottom w:w="0" w:type="dxa"/>
              <w:right w:w="108" w:type="dxa"/>
            </w:tcMar>
            <w:vAlign w:val="center"/>
          </w:tcPr>
          <w:p w14:paraId="1C6195E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投资及资产管理；投资咨询；企业管理；承办展览展销活动；经济信息咨询；技术推广；设计、制作广告；计算机技术服务；组织文化艺术交流活动（不含演出）。（市场主体依法自主选择经营项目，开展经营活动；依法须经批准的项目，经相关部门批准后依批准的内容开展经营活动；不得从事国家和本市产业政策禁止和限制类项目的经营活动。）</w:t>
            </w:r>
          </w:p>
        </w:tc>
      </w:tr>
      <w:tr w:rsidR="006416B0" w:rsidRPr="00B4515A" w14:paraId="192F8733" w14:textId="77777777" w:rsidTr="00031627">
        <w:trPr>
          <w:trHeight w:val="340"/>
          <w:jc w:val="center"/>
        </w:trPr>
        <w:tc>
          <w:tcPr>
            <w:tcW w:w="692" w:type="dxa"/>
            <w:tcMar>
              <w:top w:w="0" w:type="dxa"/>
              <w:left w:w="108" w:type="dxa"/>
              <w:bottom w:w="0" w:type="dxa"/>
              <w:right w:w="108" w:type="dxa"/>
            </w:tcMar>
            <w:vAlign w:val="center"/>
          </w:tcPr>
          <w:p w14:paraId="7CB133C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1</w:t>
            </w:r>
            <w:r w:rsidRPr="00B4515A">
              <w:rPr>
                <w:rFonts w:ascii="Times New Roman" w:hAnsi="Times New Roman" w:cs="Times New Roman"/>
                <w:bCs/>
                <w:color w:val="000000" w:themeColor="text1"/>
                <w:sz w:val="21"/>
                <w:szCs w:val="21"/>
              </w:rPr>
              <w:t>1</w:t>
            </w:r>
          </w:p>
        </w:tc>
        <w:tc>
          <w:tcPr>
            <w:tcW w:w="1290" w:type="dxa"/>
            <w:tcMar>
              <w:top w:w="0" w:type="dxa"/>
              <w:left w:w="108" w:type="dxa"/>
              <w:bottom w:w="0" w:type="dxa"/>
              <w:right w:w="108" w:type="dxa"/>
            </w:tcMar>
            <w:vAlign w:val="center"/>
          </w:tcPr>
          <w:p w14:paraId="351D2FD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北京天桥盛世投资集团有限责任公司</w:t>
            </w:r>
          </w:p>
        </w:tc>
        <w:tc>
          <w:tcPr>
            <w:tcW w:w="1676" w:type="dxa"/>
            <w:tcMar>
              <w:top w:w="0" w:type="dxa"/>
              <w:left w:w="108" w:type="dxa"/>
              <w:bottom w:w="0" w:type="dxa"/>
              <w:right w:w="108" w:type="dxa"/>
            </w:tcMar>
            <w:vAlign w:val="center"/>
          </w:tcPr>
          <w:p w14:paraId="3BC21CCF"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5</w:t>
            </w:r>
            <w:r w:rsidRPr="00B4515A">
              <w:rPr>
                <w:rFonts w:ascii="Times New Roman" w:hAnsi="Times New Roman" w:cs="Times New Roman"/>
                <w:bCs/>
                <w:color w:val="000000" w:themeColor="text1"/>
                <w:sz w:val="21"/>
                <w:szCs w:val="21"/>
              </w:rPr>
              <w:t>8.27%</w:t>
            </w:r>
          </w:p>
        </w:tc>
        <w:tc>
          <w:tcPr>
            <w:tcW w:w="4580" w:type="dxa"/>
            <w:tcMar>
              <w:top w:w="0" w:type="dxa"/>
              <w:left w:w="108" w:type="dxa"/>
              <w:bottom w:w="0" w:type="dxa"/>
              <w:right w:w="108" w:type="dxa"/>
            </w:tcMar>
            <w:vAlign w:val="center"/>
          </w:tcPr>
          <w:p w14:paraId="20D7FDC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文化投资；投资管理；文艺创作；筹备、策划、组织文化节、艺术节、大型庆典、晚会；设计、制作、代理、发布广告；会议服务；承办展览展示活动；经济信息咨询；房地产开发；销售自行开发的商品房；物业管理；出租办公用房；出租商业用房；演出经纪；文艺表演。（</w:t>
            </w:r>
            <w:r w:rsidRPr="00B4515A">
              <w:rPr>
                <w:rFonts w:cs="Times New Roman" w:hint="eastAsia"/>
                <w:sz w:val="21"/>
                <w:szCs w:val="21"/>
              </w:rPr>
              <w:t>“</w:t>
            </w:r>
            <w:r w:rsidRPr="00B4515A">
              <w:rPr>
                <w:rFonts w:ascii="Times New Roman" w:hAnsi="Times New Roman" w:cs="Times New Roman" w:hint="eastAsia"/>
                <w:sz w:val="21"/>
                <w:szCs w:val="21"/>
              </w:rPr>
              <w:t>1</w:t>
            </w:r>
            <w:r w:rsidRPr="00B4515A">
              <w:rPr>
                <w:rFonts w:ascii="Times New Roman" w:hAnsi="Times New Roman" w:cs="Times New Roman" w:hint="eastAsia"/>
                <w:sz w:val="21"/>
                <w:szCs w:val="21"/>
              </w:rPr>
              <w:t>、未经有关部门批准，不得以公开方式募集资金；</w:t>
            </w:r>
            <w:r w:rsidRPr="00B4515A">
              <w:rPr>
                <w:rFonts w:ascii="Times New Roman" w:hAnsi="Times New Roman" w:cs="Times New Roman" w:hint="eastAsia"/>
                <w:sz w:val="21"/>
                <w:szCs w:val="21"/>
              </w:rPr>
              <w:t>2</w:t>
            </w:r>
            <w:r w:rsidRPr="00B4515A">
              <w:rPr>
                <w:rFonts w:ascii="Times New Roman" w:hAnsi="Times New Roman" w:cs="Times New Roman" w:hint="eastAsia"/>
                <w:sz w:val="21"/>
                <w:szCs w:val="21"/>
              </w:rPr>
              <w:t>、不得公开开展证券类产品和金融衍生品交易活动；</w:t>
            </w:r>
            <w:r w:rsidRPr="00B4515A">
              <w:rPr>
                <w:rFonts w:ascii="Times New Roman" w:hAnsi="Times New Roman" w:cs="Times New Roman" w:hint="eastAsia"/>
                <w:sz w:val="21"/>
                <w:szCs w:val="21"/>
              </w:rPr>
              <w:t>3</w:t>
            </w:r>
            <w:r w:rsidRPr="00B4515A">
              <w:rPr>
                <w:rFonts w:ascii="Times New Roman" w:hAnsi="Times New Roman" w:cs="Times New Roman" w:hint="eastAsia"/>
                <w:sz w:val="21"/>
                <w:szCs w:val="21"/>
              </w:rPr>
              <w:t>、不得发放贷款；</w:t>
            </w:r>
            <w:r w:rsidRPr="00B4515A">
              <w:rPr>
                <w:rFonts w:ascii="Times New Roman" w:hAnsi="Times New Roman" w:cs="Times New Roman" w:hint="eastAsia"/>
                <w:sz w:val="21"/>
                <w:szCs w:val="21"/>
              </w:rPr>
              <w:t>4</w:t>
            </w:r>
            <w:r w:rsidRPr="00B4515A">
              <w:rPr>
                <w:rFonts w:ascii="Times New Roman" w:hAnsi="Times New Roman" w:cs="Times New Roman" w:hint="eastAsia"/>
                <w:sz w:val="21"/>
                <w:szCs w:val="21"/>
              </w:rPr>
              <w:t>、不得对所投资企业以外的其他企业提供担保；</w:t>
            </w:r>
            <w:r w:rsidRPr="00B4515A">
              <w:rPr>
                <w:rFonts w:ascii="Times New Roman" w:hAnsi="Times New Roman" w:cs="Times New Roman" w:hint="eastAsia"/>
                <w:sz w:val="21"/>
                <w:szCs w:val="21"/>
              </w:rPr>
              <w:t>5</w:t>
            </w:r>
            <w:r w:rsidRPr="00B4515A">
              <w:rPr>
                <w:rFonts w:ascii="Times New Roman" w:hAnsi="Times New Roman" w:cs="Times New Roman" w:hint="eastAsia"/>
                <w:sz w:val="21"/>
                <w:szCs w:val="21"/>
              </w:rPr>
              <w:t>、不得向投资者承诺投资本金不受损失或者承诺最低收益</w:t>
            </w:r>
            <w:r w:rsidRPr="00B4515A">
              <w:rPr>
                <w:rFonts w:cs="Times New Roman" w:hint="eastAsia"/>
                <w:sz w:val="21"/>
                <w:szCs w:val="21"/>
              </w:rPr>
              <w:t>”</w:t>
            </w:r>
            <w:r w:rsidRPr="00B4515A">
              <w:rPr>
                <w:rFonts w:ascii="Times New Roman" w:hAnsi="Times New Roman" w:cs="Times New Roman" w:hint="eastAsia"/>
                <w:sz w:val="21"/>
                <w:szCs w:val="21"/>
              </w:rPr>
              <w:t>；市场主体依法自主选择经营项目，开展经营活动；依法须经批准的项目，经相关部门批准</w:t>
            </w:r>
            <w:r w:rsidRPr="00B4515A">
              <w:rPr>
                <w:rFonts w:ascii="Times New Roman" w:hAnsi="Times New Roman" w:cs="Times New Roman" w:hint="eastAsia"/>
                <w:sz w:val="21"/>
                <w:szCs w:val="21"/>
              </w:rPr>
              <w:lastRenderedPageBreak/>
              <w:t>后依批准的内容开展经营活动；不得从事国家和本市产业政策禁止和限制类项目的经营活动。）</w:t>
            </w:r>
          </w:p>
        </w:tc>
      </w:tr>
      <w:tr w:rsidR="006416B0" w:rsidRPr="00B4515A" w14:paraId="04BD60E3" w14:textId="77777777" w:rsidTr="00031627">
        <w:trPr>
          <w:trHeight w:val="340"/>
          <w:jc w:val="center"/>
        </w:trPr>
        <w:tc>
          <w:tcPr>
            <w:tcW w:w="692" w:type="dxa"/>
            <w:tcMar>
              <w:top w:w="0" w:type="dxa"/>
              <w:left w:w="108" w:type="dxa"/>
              <w:bottom w:w="0" w:type="dxa"/>
              <w:right w:w="108" w:type="dxa"/>
            </w:tcMar>
            <w:vAlign w:val="center"/>
          </w:tcPr>
          <w:p w14:paraId="4F62631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lastRenderedPageBreak/>
              <w:t>1</w:t>
            </w:r>
            <w:r w:rsidRPr="00B4515A">
              <w:rPr>
                <w:rFonts w:ascii="Times New Roman" w:hAnsi="Times New Roman" w:cs="Times New Roman"/>
                <w:bCs/>
                <w:color w:val="000000" w:themeColor="text1"/>
                <w:sz w:val="21"/>
                <w:szCs w:val="21"/>
              </w:rPr>
              <w:t>2</w:t>
            </w:r>
          </w:p>
        </w:tc>
        <w:tc>
          <w:tcPr>
            <w:tcW w:w="1290" w:type="dxa"/>
            <w:tcMar>
              <w:top w:w="0" w:type="dxa"/>
              <w:left w:w="108" w:type="dxa"/>
              <w:bottom w:w="0" w:type="dxa"/>
              <w:right w:w="108" w:type="dxa"/>
            </w:tcMar>
            <w:vAlign w:val="center"/>
          </w:tcPr>
          <w:p w14:paraId="0C7FCEE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北京熙诚金信管理咨询有限公司</w:t>
            </w:r>
          </w:p>
        </w:tc>
        <w:tc>
          <w:tcPr>
            <w:tcW w:w="1676" w:type="dxa"/>
            <w:tcMar>
              <w:top w:w="0" w:type="dxa"/>
              <w:left w:w="108" w:type="dxa"/>
              <w:bottom w:w="0" w:type="dxa"/>
              <w:right w:w="108" w:type="dxa"/>
            </w:tcMar>
            <w:vAlign w:val="center"/>
          </w:tcPr>
          <w:p w14:paraId="1E316F8D"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5</w:t>
            </w:r>
            <w:r w:rsidRPr="00B4515A">
              <w:rPr>
                <w:rFonts w:ascii="Times New Roman" w:hAnsi="Times New Roman" w:cs="Times New Roman"/>
                <w:bCs/>
                <w:color w:val="000000" w:themeColor="text1"/>
                <w:sz w:val="21"/>
                <w:szCs w:val="21"/>
              </w:rPr>
              <w:t>1.00%</w:t>
            </w:r>
          </w:p>
        </w:tc>
        <w:tc>
          <w:tcPr>
            <w:tcW w:w="4580" w:type="dxa"/>
            <w:tcMar>
              <w:top w:w="0" w:type="dxa"/>
              <w:left w:w="108" w:type="dxa"/>
              <w:bottom w:w="0" w:type="dxa"/>
              <w:right w:w="108" w:type="dxa"/>
            </w:tcMar>
            <w:vAlign w:val="center"/>
          </w:tcPr>
          <w:p w14:paraId="699142D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经济贸易咨询；企业管理咨询；公共关系服务；企业策划、设计；市场调查。（市场主体依法自主选择经营项目，开展经营活动；依法须经批准的项目，经相关部门批准后依批准的内容开展经营活动；不得从事国家和本市产业政策禁止和限制类项目的经营活动。）</w:t>
            </w:r>
          </w:p>
        </w:tc>
      </w:tr>
      <w:tr w:rsidR="006416B0" w:rsidRPr="00B4515A" w14:paraId="1724E46C" w14:textId="77777777" w:rsidTr="00031627">
        <w:trPr>
          <w:trHeight w:val="340"/>
          <w:jc w:val="center"/>
        </w:trPr>
        <w:tc>
          <w:tcPr>
            <w:tcW w:w="692" w:type="dxa"/>
            <w:tcMar>
              <w:top w:w="0" w:type="dxa"/>
              <w:left w:w="108" w:type="dxa"/>
              <w:bottom w:w="0" w:type="dxa"/>
              <w:right w:w="108" w:type="dxa"/>
            </w:tcMar>
            <w:vAlign w:val="center"/>
          </w:tcPr>
          <w:p w14:paraId="703A9BD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1</w:t>
            </w:r>
            <w:r w:rsidRPr="00B4515A">
              <w:rPr>
                <w:rFonts w:ascii="Times New Roman" w:hAnsi="Times New Roman" w:cs="Times New Roman"/>
                <w:bCs/>
                <w:color w:val="000000" w:themeColor="text1"/>
                <w:sz w:val="21"/>
                <w:szCs w:val="21"/>
              </w:rPr>
              <w:t>3</w:t>
            </w:r>
          </w:p>
        </w:tc>
        <w:tc>
          <w:tcPr>
            <w:tcW w:w="1290" w:type="dxa"/>
            <w:tcMar>
              <w:top w:w="0" w:type="dxa"/>
              <w:left w:w="108" w:type="dxa"/>
              <w:bottom w:w="0" w:type="dxa"/>
              <w:right w:w="108" w:type="dxa"/>
            </w:tcMar>
            <w:vAlign w:val="center"/>
          </w:tcPr>
          <w:p w14:paraId="1379438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北京设计之都发展有限公司</w:t>
            </w:r>
          </w:p>
        </w:tc>
        <w:tc>
          <w:tcPr>
            <w:tcW w:w="1676" w:type="dxa"/>
            <w:tcMar>
              <w:top w:w="0" w:type="dxa"/>
              <w:left w:w="108" w:type="dxa"/>
              <w:bottom w:w="0" w:type="dxa"/>
              <w:right w:w="108" w:type="dxa"/>
            </w:tcMar>
            <w:vAlign w:val="center"/>
          </w:tcPr>
          <w:p w14:paraId="2E1F4890" w14:textId="77777777" w:rsidR="006416B0" w:rsidRPr="00B4515A" w:rsidRDefault="005E58C1" w:rsidP="005860B4">
            <w:pPr>
              <w:adjustRightInd w:val="0"/>
              <w:snapToGrid w:val="0"/>
              <w:jc w:val="right"/>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5</w:t>
            </w:r>
            <w:r w:rsidRPr="00B4515A">
              <w:rPr>
                <w:rFonts w:ascii="Times New Roman" w:hAnsi="Times New Roman" w:cs="Times New Roman"/>
                <w:bCs/>
                <w:color w:val="000000" w:themeColor="text1"/>
                <w:sz w:val="21"/>
                <w:szCs w:val="21"/>
              </w:rPr>
              <w:t>1.00%</w:t>
            </w:r>
          </w:p>
        </w:tc>
        <w:tc>
          <w:tcPr>
            <w:tcW w:w="4580" w:type="dxa"/>
            <w:tcMar>
              <w:top w:w="0" w:type="dxa"/>
              <w:left w:w="108" w:type="dxa"/>
              <w:bottom w:w="0" w:type="dxa"/>
              <w:right w:w="108" w:type="dxa"/>
            </w:tcMar>
            <w:vAlign w:val="center"/>
          </w:tcPr>
          <w:p w14:paraId="012F859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零售食品；互联网信息服务；广播电视节目制作；组织文化艺术交流活动（不含演出）；企业策划；经济信息咨询；翻译服务；策划艺术大赛；会议服务；礼仪服务；电脑动画设计；技术开发；技术转让、技术推广、技术咨询；企业管理方面的技术培训；销售服装鞋帽、针纺织品、家具、玩具、日用百货、食用农产品、塑料制品、仪器仪表、计算机、软件及辅助设备、电子产品、家用电器、工艺品、化妆品、文化用品、办公用品；打字、复印；企业孵化服务、投资管理、资产管理；出租商业用房；产品设计；工艺美术品设计；包装装潢设计；建设工程项目管理；设计、制作、代理、发布广告；承办展览展示活动；摄影服务；经济贸易咨询；市场调查；企业管理咨询；教育咨询（不含中介及办学）；租赁舞台灯光音响、机械设备、文化用品、日用品；代理进出口、货物进出口、技术进出口；城市园林绿化服务；应用软件服务；数据处理（数据处理中的银行卡中心、</w:t>
            </w:r>
            <w:r w:rsidRPr="00B4515A">
              <w:rPr>
                <w:rFonts w:ascii="Times New Roman" w:hAnsi="Times New Roman" w:cs="Times New Roman"/>
                <w:sz w:val="21"/>
                <w:szCs w:val="21"/>
              </w:rPr>
              <w:t>PUE</w:t>
            </w:r>
            <w:r w:rsidRPr="00B4515A">
              <w:rPr>
                <w:rFonts w:ascii="Times New Roman" w:hAnsi="Times New Roman" w:cs="Times New Roman"/>
                <w:sz w:val="21"/>
                <w:szCs w:val="21"/>
              </w:rPr>
              <w:t>值在</w:t>
            </w:r>
            <w:r w:rsidRPr="00B4515A">
              <w:rPr>
                <w:rFonts w:ascii="Times New Roman" w:hAnsi="Times New Roman" w:cs="Times New Roman"/>
                <w:sz w:val="21"/>
                <w:szCs w:val="21"/>
              </w:rPr>
              <w:t>1.4</w:t>
            </w:r>
            <w:r w:rsidRPr="00B4515A">
              <w:rPr>
                <w:rFonts w:ascii="Times New Roman" w:hAnsi="Times New Roman" w:cs="Times New Roman"/>
                <w:sz w:val="21"/>
                <w:szCs w:val="21"/>
              </w:rPr>
              <w:t>以上的云计算数据中心除外）；信息系统集成；基础软件服务；模型设计。（</w:t>
            </w:r>
            <w:r w:rsidRPr="00B4515A">
              <w:rPr>
                <w:rFonts w:cs="Times New Roman"/>
                <w:sz w:val="21"/>
                <w:szCs w:val="21"/>
              </w:rPr>
              <w:t>“</w:t>
            </w:r>
            <w:r w:rsidRPr="00B4515A">
              <w:rPr>
                <w:rFonts w:ascii="Times New Roman" w:hAnsi="Times New Roman" w:cs="Times New Roman"/>
                <w:sz w:val="21"/>
                <w:szCs w:val="21"/>
              </w:rPr>
              <w:t>1</w:t>
            </w:r>
            <w:r w:rsidRPr="00B4515A">
              <w:rPr>
                <w:rFonts w:ascii="Times New Roman" w:hAnsi="Times New Roman" w:cs="Times New Roman"/>
                <w:sz w:val="21"/>
                <w:szCs w:val="21"/>
              </w:rPr>
              <w:t>、未经有关部门批准，不得以公开方式募集资金；</w:t>
            </w:r>
            <w:r w:rsidRPr="00B4515A">
              <w:rPr>
                <w:rFonts w:ascii="Times New Roman" w:hAnsi="Times New Roman" w:cs="Times New Roman"/>
                <w:sz w:val="21"/>
                <w:szCs w:val="21"/>
              </w:rPr>
              <w:t>2</w:t>
            </w:r>
            <w:r w:rsidRPr="00B4515A">
              <w:rPr>
                <w:rFonts w:ascii="Times New Roman" w:hAnsi="Times New Roman" w:cs="Times New Roman"/>
                <w:sz w:val="21"/>
                <w:szCs w:val="21"/>
              </w:rPr>
              <w:t>、不得公开开展证券类产品和金融衍生品交易活动；</w:t>
            </w:r>
            <w:r w:rsidRPr="00B4515A">
              <w:rPr>
                <w:rFonts w:ascii="Times New Roman" w:hAnsi="Times New Roman" w:cs="Times New Roman"/>
                <w:sz w:val="21"/>
                <w:szCs w:val="21"/>
              </w:rPr>
              <w:t>3</w:t>
            </w:r>
            <w:r w:rsidRPr="00B4515A">
              <w:rPr>
                <w:rFonts w:ascii="Times New Roman" w:hAnsi="Times New Roman" w:cs="Times New Roman"/>
                <w:sz w:val="21"/>
                <w:szCs w:val="21"/>
              </w:rPr>
              <w:t>、不得发放贷款；</w:t>
            </w:r>
            <w:r w:rsidRPr="00B4515A">
              <w:rPr>
                <w:rFonts w:ascii="Times New Roman" w:hAnsi="Times New Roman" w:cs="Times New Roman"/>
                <w:sz w:val="21"/>
                <w:szCs w:val="21"/>
              </w:rPr>
              <w:t>4</w:t>
            </w:r>
            <w:r w:rsidRPr="00B4515A">
              <w:rPr>
                <w:rFonts w:ascii="Times New Roman" w:hAnsi="Times New Roman" w:cs="Times New Roman"/>
                <w:sz w:val="21"/>
                <w:szCs w:val="21"/>
              </w:rPr>
              <w:t>、不得对所投资企业以外的其他企业提供担保；</w:t>
            </w:r>
            <w:r w:rsidRPr="00B4515A">
              <w:rPr>
                <w:rFonts w:ascii="Times New Roman" w:hAnsi="Times New Roman" w:cs="Times New Roman"/>
                <w:sz w:val="21"/>
                <w:szCs w:val="21"/>
              </w:rPr>
              <w:t>5</w:t>
            </w:r>
            <w:r w:rsidRPr="00B4515A">
              <w:rPr>
                <w:rFonts w:ascii="Times New Roman" w:hAnsi="Times New Roman" w:cs="Times New Roman"/>
                <w:sz w:val="21"/>
                <w:szCs w:val="21"/>
              </w:rPr>
              <w:t>、不得向投资者承诺投资本金不受损失或者承诺最低收益</w:t>
            </w:r>
            <w:r w:rsidRPr="00B4515A">
              <w:rPr>
                <w:rFonts w:cs="Times New Roman"/>
                <w:sz w:val="21"/>
                <w:szCs w:val="21"/>
              </w:rPr>
              <w:t>”</w:t>
            </w:r>
            <w:r w:rsidRPr="00B4515A">
              <w:rPr>
                <w:rFonts w:ascii="Times New Roman" w:hAnsi="Times New Roman" w:cs="Times New Roman"/>
                <w:sz w:val="21"/>
                <w:szCs w:val="21"/>
              </w:rPr>
              <w:t>；市场主体依法自主选择经营项目，开展经营活动；零售食品；互联网信息服务；广播电视节目制作以及依法须经批准的项目，经相关部门批准后依批准的内容开展经营活动；不得从事国家和本市产业政策禁止和限制类项目的经营活动。）</w:t>
            </w:r>
          </w:p>
        </w:tc>
      </w:tr>
    </w:tbl>
    <w:p w14:paraId="46AD710D" w14:textId="77777777" w:rsidR="006416B0" w:rsidRPr="00B4515A" w:rsidRDefault="005E58C1" w:rsidP="005860B4">
      <w:pPr>
        <w:pStyle w:val="002"/>
        <w:spacing w:before="120" w:after="120"/>
        <w:ind w:firstLine="562"/>
      </w:pPr>
      <w:bookmarkStart w:id="134" w:name="_Toc71382270"/>
      <w:bookmarkStart w:id="135" w:name="_Toc80960525"/>
      <w:r w:rsidRPr="00B4515A">
        <w:rPr>
          <w:rFonts w:hint="eastAsia"/>
        </w:rPr>
        <w:t>三、募集配套资金认购对象的具体情况</w:t>
      </w:r>
      <w:bookmarkEnd w:id="134"/>
      <w:bookmarkEnd w:id="135"/>
    </w:p>
    <w:p w14:paraId="06D6E541" w14:textId="77777777" w:rsidR="006416B0" w:rsidRPr="00B4515A" w:rsidRDefault="005E58C1" w:rsidP="005860B4">
      <w:pPr>
        <w:pStyle w:val="003"/>
        <w:spacing w:before="120"/>
        <w:ind w:firstLine="482"/>
      </w:pPr>
      <w:r w:rsidRPr="00B4515A">
        <w:rPr>
          <w:rFonts w:hint="eastAsia"/>
        </w:rPr>
        <w:t>（一）中国信科集团</w:t>
      </w:r>
    </w:p>
    <w:p w14:paraId="7D25A6CE" w14:textId="77777777" w:rsidR="006416B0" w:rsidRPr="00B4515A" w:rsidRDefault="005E58C1" w:rsidP="005860B4">
      <w:pPr>
        <w:pStyle w:val="004"/>
        <w:spacing w:before="120" w:after="120"/>
        <w:ind w:firstLine="482"/>
      </w:pPr>
      <w:r w:rsidRPr="00B4515A">
        <w:t>1</w:t>
      </w:r>
      <w:r w:rsidRPr="00B4515A">
        <w:rPr>
          <w:rFonts w:hint="eastAsia"/>
        </w:rPr>
        <w:t>、基本情况</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5"/>
        <w:gridCol w:w="6133"/>
      </w:tblGrid>
      <w:tr w:rsidR="006416B0" w:rsidRPr="00B4515A" w14:paraId="2B4AFAB2"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87D35E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公司名称</w:t>
            </w:r>
          </w:p>
        </w:tc>
        <w:tc>
          <w:tcPr>
            <w:tcW w:w="6116" w:type="dxa"/>
            <w:shd w:val="clear" w:color="auto" w:fill="auto"/>
            <w:tcMar>
              <w:top w:w="0" w:type="dxa"/>
              <w:left w:w="108" w:type="dxa"/>
              <w:bottom w:w="0" w:type="dxa"/>
              <w:right w:w="108" w:type="dxa"/>
            </w:tcMar>
            <w:vAlign w:val="center"/>
          </w:tcPr>
          <w:p w14:paraId="6688DB1E" w14:textId="77777777" w:rsidR="006416B0" w:rsidRPr="00B4515A" w:rsidRDefault="005E58C1" w:rsidP="005860B4">
            <w:pPr>
              <w:pStyle w:val="paragraph"/>
              <w:adjustRightInd w:val="0"/>
              <w:snapToGrid w:val="0"/>
              <w:spacing w:before="0" w:beforeAutospacing="0" w:after="0" w:afterAutospacing="0"/>
              <w:jc w:val="both"/>
              <w:rPr>
                <w:sz w:val="21"/>
                <w:szCs w:val="21"/>
              </w:rPr>
            </w:pPr>
            <w:r w:rsidRPr="00B4515A">
              <w:rPr>
                <w:rFonts w:hint="eastAsia"/>
                <w:color w:val="000000"/>
                <w:sz w:val="21"/>
                <w:szCs w:val="21"/>
              </w:rPr>
              <w:t>中国信息通信科技集团有限公司</w:t>
            </w:r>
          </w:p>
        </w:tc>
      </w:tr>
      <w:tr w:rsidR="006416B0" w:rsidRPr="00B4515A" w14:paraId="52E1ADBE"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76804E9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企业类型</w:t>
            </w:r>
          </w:p>
        </w:tc>
        <w:tc>
          <w:tcPr>
            <w:tcW w:w="6116" w:type="dxa"/>
            <w:shd w:val="clear" w:color="auto" w:fill="auto"/>
            <w:tcMar>
              <w:top w:w="0" w:type="dxa"/>
              <w:left w:w="108" w:type="dxa"/>
              <w:bottom w:w="0" w:type="dxa"/>
              <w:right w:w="108" w:type="dxa"/>
            </w:tcMar>
            <w:vAlign w:val="center"/>
          </w:tcPr>
          <w:p w14:paraId="3354AF9B" w14:textId="77777777" w:rsidR="006416B0" w:rsidRPr="00B4515A" w:rsidRDefault="005E58C1" w:rsidP="005860B4">
            <w:pPr>
              <w:adjustRightInd w:val="0"/>
              <w:snapToGrid w:val="0"/>
              <w:rPr>
                <w:rFonts w:ascii="Times New Roman" w:hAnsi="Times New Roman" w:cs="Times New Roman"/>
                <w:bCs/>
                <w:sz w:val="21"/>
                <w:szCs w:val="21"/>
              </w:rPr>
            </w:pPr>
            <w:r w:rsidRPr="00B4515A">
              <w:rPr>
                <w:rFonts w:ascii="Times New Roman" w:hAnsi="Times New Roman" w:cs="Times New Roman" w:hint="eastAsia"/>
                <w:bCs/>
                <w:sz w:val="21"/>
                <w:szCs w:val="21"/>
              </w:rPr>
              <w:t>有限责任公司（国有独资）</w:t>
            </w:r>
          </w:p>
        </w:tc>
      </w:tr>
      <w:tr w:rsidR="006416B0" w:rsidRPr="00B4515A" w14:paraId="6DB8C12F"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36D3231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注册地址</w:t>
            </w:r>
          </w:p>
        </w:tc>
        <w:tc>
          <w:tcPr>
            <w:tcW w:w="6116" w:type="dxa"/>
            <w:shd w:val="clear" w:color="auto" w:fill="auto"/>
            <w:tcMar>
              <w:top w:w="0" w:type="dxa"/>
              <w:left w:w="108" w:type="dxa"/>
              <w:bottom w:w="0" w:type="dxa"/>
              <w:right w:w="108" w:type="dxa"/>
            </w:tcMar>
            <w:vAlign w:val="center"/>
          </w:tcPr>
          <w:p w14:paraId="5CF63E1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武汉市东湖新技术开发区高新四路</w:t>
            </w:r>
            <w:r w:rsidRPr="00B4515A">
              <w:rPr>
                <w:rFonts w:ascii="Times New Roman" w:hAnsi="Times New Roman" w:cs="Times New Roman"/>
                <w:sz w:val="21"/>
                <w:szCs w:val="21"/>
              </w:rPr>
              <w:t>6</w:t>
            </w:r>
            <w:r w:rsidRPr="00B4515A">
              <w:rPr>
                <w:rFonts w:ascii="Times New Roman" w:hAnsi="Times New Roman" w:cs="Times New Roman" w:hint="eastAsia"/>
                <w:sz w:val="21"/>
                <w:szCs w:val="21"/>
              </w:rPr>
              <w:t>号烽火科技园</w:t>
            </w:r>
          </w:p>
        </w:tc>
      </w:tr>
      <w:tr w:rsidR="006416B0" w:rsidRPr="00B4515A" w14:paraId="098E286C"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63D8173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主要办公地址</w:t>
            </w:r>
          </w:p>
        </w:tc>
        <w:tc>
          <w:tcPr>
            <w:tcW w:w="6116" w:type="dxa"/>
            <w:shd w:val="clear" w:color="auto" w:fill="auto"/>
            <w:tcMar>
              <w:top w:w="0" w:type="dxa"/>
              <w:left w:w="108" w:type="dxa"/>
              <w:bottom w:w="0" w:type="dxa"/>
              <w:right w:w="108" w:type="dxa"/>
            </w:tcMar>
            <w:vAlign w:val="center"/>
          </w:tcPr>
          <w:p w14:paraId="73FE9B0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北京市海淀区学院路</w:t>
            </w:r>
            <w:r w:rsidRPr="00B4515A">
              <w:rPr>
                <w:rFonts w:ascii="Times New Roman" w:hAnsi="Times New Roman" w:cs="Times New Roman"/>
                <w:sz w:val="21"/>
                <w:szCs w:val="21"/>
              </w:rPr>
              <w:t>40</w:t>
            </w:r>
            <w:r w:rsidRPr="00B4515A">
              <w:rPr>
                <w:rFonts w:ascii="Times New Roman" w:hAnsi="Times New Roman" w:cs="Times New Roman" w:hint="eastAsia"/>
                <w:sz w:val="21"/>
                <w:szCs w:val="21"/>
              </w:rPr>
              <w:t>号</w:t>
            </w:r>
          </w:p>
        </w:tc>
      </w:tr>
      <w:tr w:rsidR="006416B0" w:rsidRPr="00B4515A" w14:paraId="59697737"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DB178C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lastRenderedPageBreak/>
              <w:t>法定代表人</w:t>
            </w:r>
          </w:p>
        </w:tc>
        <w:tc>
          <w:tcPr>
            <w:tcW w:w="6116" w:type="dxa"/>
            <w:shd w:val="clear" w:color="auto" w:fill="auto"/>
            <w:tcMar>
              <w:top w:w="0" w:type="dxa"/>
              <w:left w:w="108" w:type="dxa"/>
              <w:bottom w:w="0" w:type="dxa"/>
              <w:right w:w="108" w:type="dxa"/>
            </w:tcMar>
            <w:vAlign w:val="center"/>
          </w:tcPr>
          <w:p w14:paraId="0C74017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鲁国庆</w:t>
            </w:r>
          </w:p>
        </w:tc>
      </w:tr>
      <w:tr w:rsidR="006416B0" w:rsidRPr="00B4515A" w14:paraId="5DC689E8"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3E0F674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注册资本</w:t>
            </w:r>
          </w:p>
        </w:tc>
        <w:tc>
          <w:tcPr>
            <w:tcW w:w="6116" w:type="dxa"/>
            <w:shd w:val="clear" w:color="auto" w:fill="auto"/>
            <w:tcMar>
              <w:top w:w="0" w:type="dxa"/>
              <w:left w:w="108" w:type="dxa"/>
              <w:bottom w:w="0" w:type="dxa"/>
              <w:right w:w="108" w:type="dxa"/>
            </w:tcMar>
            <w:vAlign w:val="center"/>
          </w:tcPr>
          <w:p w14:paraId="6FF9D0A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人民币</w:t>
            </w:r>
            <w:r w:rsidRPr="00B4515A">
              <w:rPr>
                <w:rFonts w:ascii="Times New Roman" w:hAnsi="Times New Roman" w:cs="Times New Roman"/>
                <w:sz w:val="21"/>
                <w:szCs w:val="21"/>
              </w:rPr>
              <w:t>3,000,000</w:t>
            </w:r>
            <w:r w:rsidRPr="00B4515A">
              <w:rPr>
                <w:rFonts w:ascii="Times New Roman" w:hAnsi="Times New Roman" w:cs="Times New Roman" w:hint="eastAsia"/>
                <w:sz w:val="21"/>
                <w:szCs w:val="21"/>
              </w:rPr>
              <w:t>万元</w:t>
            </w:r>
          </w:p>
        </w:tc>
      </w:tr>
      <w:tr w:rsidR="006416B0" w:rsidRPr="00B4515A" w14:paraId="40B406A9"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24A5713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统一社会信用代码</w:t>
            </w:r>
          </w:p>
        </w:tc>
        <w:tc>
          <w:tcPr>
            <w:tcW w:w="6116" w:type="dxa"/>
            <w:shd w:val="clear" w:color="auto" w:fill="auto"/>
            <w:tcMar>
              <w:top w:w="0" w:type="dxa"/>
              <w:left w:w="108" w:type="dxa"/>
              <w:bottom w:w="0" w:type="dxa"/>
              <w:right w:w="108" w:type="dxa"/>
            </w:tcMar>
            <w:vAlign w:val="center"/>
          </w:tcPr>
          <w:p w14:paraId="79F4D59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91420100MA4L0GG411</w:t>
            </w:r>
          </w:p>
        </w:tc>
      </w:tr>
      <w:tr w:rsidR="006416B0" w:rsidRPr="00B4515A" w14:paraId="16B50902"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5570496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经营范围</w:t>
            </w:r>
          </w:p>
        </w:tc>
        <w:tc>
          <w:tcPr>
            <w:tcW w:w="6116" w:type="dxa"/>
            <w:shd w:val="clear" w:color="auto" w:fill="auto"/>
            <w:tcMar>
              <w:top w:w="0" w:type="dxa"/>
              <w:left w:w="108" w:type="dxa"/>
              <w:bottom w:w="0" w:type="dxa"/>
              <w:right w:w="108" w:type="dxa"/>
            </w:tcMar>
            <w:vAlign w:val="center"/>
          </w:tcPr>
          <w:p w14:paraId="4FBCBD3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通信设备、电子信息、电子计算机及外部设备、电子软件、电子商务、信息安全、广播电视设备、光纤及光电缆、光电子、电子元器件、集成电路、仪器仪表、其他电子设备、自动化技术及产品的开发、研制、销售、技术服务、系统集成（国家有专项专营规定的除外）；通信、网络、广播电视的工程（不含卫星地面接收设施）设计、施工；投资管理与咨询；房产租赁、物业管理与咨询；自营和代理各类商品和技术的进出口（但国家限定公司经营或禁止进出口的商品和技术除外）；承包境外通信工程和境内国际招标工程；上述境外工程所需的设备、材料出口；对外派遣实施上述境外工程所需的劳务人员。</w:t>
            </w:r>
          </w:p>
        </w:tc>
      </w:tr>
      <w:tr w:rsidR="006416B0" w:rsidRPr="00B4515A" w14:paraId="691647D1" w14:textId="77777777" w:rsidTr="00031627">
        <w:trPr>
          <w:trHeight w:val="340"/>
          <w:jc w:val="center"/>
        </w:trPr>
        <w:tc>
          <w:tcPr>
            <w:tcW w:w="2388" w:type="dxa"/>
            <w:shd w:val="clear" w:color="auto" w:fill="auto"/>
            <w:tcMar>
              <w:top w:w="0" w:type="dxa"/>
              <w:left w:w="108" w:type="dxa"/>
              <w:bottom w:w="0" w:type="dxa"/>
              <w:right w:w="108" w:type="dxa"/>
            </w:tcMar>
            <w:vAlign w:val="center"/>
          </w:tcPr>
          <w:p w14:paraId="3A27538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成立日期</w:t>
            </w:r>
          </w:p>
        </w:tc>
        <w:tc>
          <w:tcPr>
            <w:tcW w:w="6116" w:type="dxa"/>
            <w:shd w:val="clear" w:color="auto" w:fill="auto"/>
            <w:tcMar>
              <w:top w:w="0" w:type="dxa"/>
              <w:left w:w="108" w:type="dxa"/>
              <w:bottom w:w="0" w:type="dxa"/>
              <w:right w:w="108" w:type="dxa"/>
            </w:tcMar>
            <w:vAlign w:val="center"/>
          </w:tcPr>
          <w:p w14:paraId="11BBB4D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2018</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08</w:t>
            </w:r>
            <w:r w:rsidRPr="00B4515A">
              <w:rPr>
                <w:rFonts w:ascii="Times New Roman" w:hAnsi="Times New Roman" w:cs="Times New Roman" w:hint="eastAsia"/>
                <w:sz w:val="21"/>
                <w:szCs w:val="21"/>
              </w:rPr>
              <w:t>月</w:t>
            </w:r>
            <w:r w:rsidRPr="00B4515A">
              <w:rPr>
                <w:rFonts w:ascii="Times New Roman" w:hAnsi="Times New Roman" w:cs="Times New Roman"/>
                <w:sz w:val="21"/>
                <w:szCs w:val="21"/>
              </w:rPr>
              <w:t>15</w:t>
            </w:r>
            <w:r w:rsidRPr="00B4515A">
              <w:rPr>
                <w:rFonts w:ascii="Times New Roman" w:hAnsi="Times New Roman" w:cs="Times New Roman" w:hint="eastAsia"/>
                <w:sz w:val="21"/>
                <w:szCs w:val="21"/>
              </w:rPr>
              <w:t>日</w:t>
            </w:r>
          </w:p>
        </w:tc>
      </w:tr>
    </w:tbl>
    <w:p w14:paraId="16CE0C59" w14:textId="77777777" w:rsidR="006416B0" w:rsidRPr="00B4515A" w:rsidRDefault="005E58C1" w:rsidP="005860B4">
      <w:pPr>
        <w:pStyle w:val="004"/>
        <w:spacing w:before="120" w:after="120"/>
        <w:ind w:firstLine="482"/>
      </w:pPr>
      <w:r w:rsidRPr="00B4515A">
        <w:t>2</w:t>
      </w:r>
      <w:r w:rsidRPr="00B4515A">
        <w:rPr>
          <w:rFonts w:hint="eastAsia"/>
        </w:rPr>
        <w:t>、历史沿革</w:t>
      </w:r>
    </w:p>
    <w:p w14:paraId="79BC69A0" w14:textId="77777777" w:rsidR="006416B0" w:rsidRPr="00B4515A" w:rsidRDefault="005E58C1" w:rsidP="005860B4">
      <w:pPr>
        <w:pStyle w:val="005"/>
        <w:spacing w:before="120" w:after="120"/>
        <w:ind w:firstLine="480"/>
      </w:pPr>
      <w:r w:rsidRPr="00B4515A">
        <w:t>2018</w:t>
      </w:r>
      <w:r w:rsidRPr="00B4515A">
        <w:rPr>
          <w:rFonts w:hint="eastAsia"/>
        </w:rPr>
        <w:t>年</w:t>
      </w:r>
      <w:r w:rsidRPr="00B4515A">
        <w:t>8</w:t>
      </w:r>
      <w:r w:rsidRPr="00B4515A">
        <w:rPr>
          <w:rFonts w:hint="eastAsia"/>
        </w:rPr>
        <w:t>月</w:t>
      </w:r>
      <w:r w:rsidRPr="00B4515A">
        <w:t>15</w:t>
      </w:r>
      <w:r w:rsidRPr="00B4515A">
        <w:rPr>
          <w:rFonts w:hint="eastAsia"/>
        </w:rPr>
        <w:t>日，中国信科集团在</w:t>
      </w:r>
      <w:r w:rsidRPr="00B4515A">
        <w:t>武汉东湖新技术开发区市场监督管理局</w:t>
      </w:r>
      <w:r w:rsidRPr="00B4515A">
        <w:rPr>
          <w:rFonts w:hint="eastAsia"/>
        </w:rPr>
        <w:t>登记成立，成立时注册资本为</w:t>
      </w:r>
      <w:r w:rsidRPr="00B4515A">
        <w:t>300</w:t>
      </w:r>
      <w:r w:rsidRPr="00B4515A">
        <w:rPr>
          <w:rFonts w:hint="eastAsia"/>
        </w:rPr>
        <w:t>亿元，股东为国务院国资委。</w:t>
      </w:r>
    </w:p>
    <w:p w14:paraId="4C2D2146" w14:textId="77777777" w:rsidR="006416B0" w:rsidRPr="00B4515A" w:rsidRDefault="005E58C1" w:rsidP="005860B4">
      <w:pPr>
        <w:pStyle w:val="004"/>
        <w:spacing w:before="120" w:after="120"/>
        <w:ind w:firstLine="482"/>
      </w:pPr>
      <w:r w:rsidRPr="00B4515A">
        <w:t>3</w:t>
      </w:r>
      <w:r w:rsidRPr="00B4515A">
        <w:rPr>
          <w:rFonts w:hint="eastAsia"/>
        </w:rPr>
        <w:t>、最近三年注册资本变化情况</w:t>
      </w:r>
    </w:p>
    <w:p w14:paraId="7A6267E6" w14:textId="77777777" w:rsidR="006416B0" w:rsidRPr="00B4515A" w:rsidRDefault="005E58C1" w:rsidP="005860B4">
      <w:pPr>
        <w:pStyle w:val="005"/>
        <w:spacing w:before="120" w:after="120"/>
        <w:ind w:firstLine="480"/>
        <w:rPr>
          <w:b/>
        </w:rPr>
      </w:pPr>
      <w:r w:rsidRPr="00B4515A">
        <w:rPr>
          <w:rFonts w:hint="eastAsia"/>
        </w:rPr>
        <w:t>最近三年中国信科集团注册资本未发生过变化。</w:t>
      </w:r>
    </w:p>
    <w:p w14:paraId="2C38CADB" w14:textId="77777777" w:rsidR="006416B0" w:rsidRPr="00B4515A" w:rsidRDefault="005E58C1" w:rsidP="005860B4">
      <w:pPr>
        <w:pStyle w:val="004"/>
        <w:spacing w:before="120" w:after="120"/>
        <w:ind w:firstLine="482"/>
      </w:pPr>
      <w:r w:rsidRPr="00B4515A">
        <w:t>4</w:t>
      </w:r>
      <w:r w:rsidRPr="00B4515A">
        <w:rPr>
          <w:rFonts w:hint="eastAsia"/>
        </w:rPr>
        <w:t>、产权控制关系及主要股东基本情况</w:t>
      </w:r>
    </w:p>
    <w:p w14:paraId="19CB0768" w14:textId="77777777" w:rsidR="006416B0" w:rsidRPr="00B4515A" w:rsidRDefault="005E58C1" w:rsidP="005860B4">
      <w:pPr>
        <w:pStyle w:val="005"/>
        <w:spacing w:before="120" w:after="120"/>
        <w:ind w:firstLine="480"/>
      </w:pPr>
      <w:r w:rsidRPr="00B4515A">
        <w:rPr>
          <w:rFonts w:hint="eastAsia"/>
        </w:rPr>
        <w:t>截至本报告书签署日，中国信科集团的产权控制关系如下：</w:t>
      </w:r>
    </w:p>
    <w:p w14:paraId="1CE7DE13" w14:textId="77777777" w:rsidR="006416B0" w:rsidRPr="00B4515A" w:rsidRDefault="005E58C1">
      <w:pPr>
        <w:spacing w:line="360" w:lineRule="auto"/>
        <w:jc w:val="center"/>
      </w:pPr>
      <w:r w:rsidRPr="00B4515A">
        <w:rPr>
          <w:noProof/>
        </w:rPr>
        <w:drawing>
          <wp:inline distT="0" distB="0" distL="0" distR="0" wp14:anchorId="0C83E6D6" wp14:editId="3B3B4D39">
            <wp:extent cx="3771900" cy="1905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3771900" cy="1905000"/>
                    </a:xfrm>
                    <a:prstGeom prst="rect">
                      <a:avLst/>
                    </a:prstGeom>
                  </pic:spPr>
                </pic:pic>
              </a:graphicData>
            </a:graphic>
          </wp:inline>
        </w:drawing>
      </w:r>
    </w:p>
    <w:p w14:paraId="063F48B6" w14:textId="77777777" w:rsidR="006416B0" w:rsidRPr="00B4515A" w:rsidRDefault="005E58C1" w:rsidP="005860B4">
      <w:pPr>
        <w:pStyle w:val="006"/>
        <w:ind w:firstLine="420"/>
      </w:pPr>
      <w:r w:rsidRPr="00B4515A">
        <w:rPr>
          <w:rFonts w:hint="eastAsia"/>
        </w:rPr>
        <w:t>注：根据财政部、国务院国资委、人力资源社会保障部出具《财政部、人力资源社会保障部、国资委关于划转中国石油天然气集团有限公司等</w:t>
      </w:r>
      <w:r w:rsidRPr="00B4515A">
        <w:t>35</w:t>
      </w:r>
      <w:r w:rsidRPr="00B4515A">
        <w:rPr>
          <w:rFonts w:hint="eastAsia"/>
        </w:rPr>
        <w:t>家中央企业部分国有资本有关问题的通知》，将中国信科集团</w:t>
      </w:r>
      <w:r w:rsidRPr="00B4515A">
        <w:t>10%</w:t>
      </w:r>
      <w:r w:rsidRPr="00B4515A">
        <w:rPr>
          <w:rFonts w:hint="eastAsia"/>
        </w:rPr>
        <w:t>的股权一次性划转给社保基金会持有。由于中国信科集团公司章程的变更尚未取得国务院国资委批复，本次划转未进行工商变更登记。</w:t>
      </w:r>
    </w:p>
    <w:p w14:paraId="44D51E5F" w14:textId="77777777" w:rsidR="006416B0" w:rsidRPr="00B4515A" w:rsidRDefault="005E58C1" w:rsidP="005860B4">
      <w:pPr>
        <w:pStyle w:val="005"/>
        <w:spacing w:before="120" w:after="120"/>
        <w:ind w:firstLine="480"/>
        <w:rPr>
          <w:b/>
          <w:bCs/>
          <w:color w:val="000000" w:themeColor="text1"/>
        </w:rPr>
      </w:pPr>
      <w:r w:rsidRPr="00B4515A">
        <w:rPr>
          <w:rFonts w:hint="eastAsia"/>
        </w:rPr>
        <w:t>截至本报告书签署日，中国信科集团的控股股东、实际控制人为国务院国资委。</w:t>
      </w:r>
    </w:p>
    <w:p w14:paraId="3EFAFB74" w14:textId="77777777" w:rsidR="006416B0" w:rsidRPr="00B4515A" w:rsidRDefault="005E58C1" w:rsidP="005860B4">
      <w:pPr>
        <w:pStyle w:val="004"/>
        <w:spacing w:before="120" w:after="120"/>
        <w:ind w:firstLine="482"/>
      </w:pPr>
      <w:r w:rsidRPr="00B4515A">
        <w:lastRenderedPageBreak/>
        <w:t>5</w:t>
      </w:r>
      <w:r w:rsidRPr="00B4515A">
        <w:rPr>
          <w:rFonts w:hint="eastAsia"/>
        </w:rPr>
        <w:t>、最近三年主要业务发展情况</w:t>
      </w:r>
    </w:p>
    <w:p w14:paraId="3D8D5BEB" w14:textId="77777777" w:rsidR="006416B0" w:rsidRPr="00B4515A" w:rsidRDefault="005E58C1" w:rsidP="005860B4">
      <w:pPr>
        <w:pStyle w:val="005"/>
        <w:spacing w:before="120" w:after="120"/>
        <w:ind w:firstLine="480"/>
        <w:rPr>
          <w:b/>
        </w:rPr>
      </w:pPr>
      <w:r w:rsidRPr="00B4515A">
        <w:rPr>
          <w:rFonts w:hint="eastAsia"/>
        </w:rPr>
        <w:t>中国信科集团系国务院国资委直属中央企业，主要持有各子公司股权，基本不开展实体业务。</w:t>
      </w:r>
    </w:p>
    <w:p w14:paraId="730C2AD9" w14:textId="77777777" w:rsidR="006416B0" w:rsidRPr="00B4515A" w:rsidRDefault="005E58C1" w:rsidP="005860B4">
      <w:pPr>
        <w:pStyle w:val="004"/>
        <w:spacing w:before="120" w:after="120"/>
        <w:ind w:firstLine="482"/>
      </w:pPr>
      <w:r w:rsidRPr="00B4515A">
        <w:t>6</w:t>
      </w:r>
      <w:r w:rsidRPr="00B4515A">
        <w:rPr>
          <w:rFonts w:hint="eastAsia"/>
        </w:rPr>
        <w:t>、主要财务数据</w:t>
      </w:r>
    </w:p>
    <w:p w14:paraId="34D4B6ED" w14:textId="77777777" w:rsidR="006416B0" w:rsidRPr="00B4515A" w:rsidRDefault="005E58C1" w:rsidP="005860B4">
      <w:pPr>
        <w:pStyle w:val="005"/>
        <w:spacing w:before="120" w:after="120"/>
        <w:ind w:firstLine="480"/>
        <w:rPr>
          <w:rFonts w:eastAsiaTheme="minorEastAsia"/>
        </w:rPr>
      </w:pPr>
      <w:r w:rsidRPr="00B4515A">
        <w:rPr>
          <w:rFonts w:hint="eastAsia"/>
        </w:rPr>
        <w:t>中国信科集团最近两年主要财务数据如下：</w:t>
      </w:r>
    </w:p>
    <w:p w14:paraId="5F7A71BF" w14:textId="77777777" w:rsidR="006416B0" w:rsidRPr="00B4515A" w:rsidRDefault="005E58C1" w:rsidP="005860B4">
      <w:pPr>
        <w:pStyle w:val="009"/>
      </w:pPr>
      <w:r w:rsidRPr="00B4515A">
        <w:rPr>
          <w:rFonts w:hint="eastAsia"/>
        </w:rPr>
        <w:t>单位：万元</w:t>
      </w:r>
    </w:p>
    <w:tbl>
      <w:tblPr>
        <w:tblStyle w:val="14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084"/>
        <w:gridCol w:w="3222"/>
        <w:gridCol w:w="3222"/>
      </w:tblGrid>
      <w:tr w:rsidR="006416B0" w:rsidRPr="00B4515A" w14:paraId="4BC18352"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776A897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项目</w:t>
            </w:r>
          </w:p>
        </w:tc>
        <w:tc>
          <w:tcPr>
            <w:tcW w:w="3091" w:type="dxa"/>
            <w:tcMar>
              <w:top w:w="0" w:type="dxa"/>
              <w:left w:w="108" w:type="dxa"/>
              <w:bottom w:w="0" w:type="dxa"/>
              <w:right w:w="108" w:type="dxa"/>
            </w:tcMar>
            <w:vAlign w:val="center"/>
          </w:tcPr>
          <w:p w14:paraId="4D27CB2E"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2020</w:t>
            </w:r>
            <w:r w:rsidRPr="00B4515A">
              <w:rPr>
                <w:rFonts w:ascii="Times New Roman" w:hAnsi="Times New Roman" w:cs="Times New Roman" w:hint="eastAsia"/>
                <w:b/>
                <w:sz w:val="21"/>
                <w:szCs w:val="21"/>
              </w:rPr>
              <w:t>年</w:t>
            </w:r>
            <w:r w:rsidRPr="00B4515A">
              <w:rPr>
                <w:rFonts w:ascii="Times New Roman" w:hAnsi="Times New Roman" w:cs="Times New Roman"/>
                <w:b/>
                <w:sz w:val="21"/>
                <w:szCs w:val="21"/>
              </w:rPr>
              <w:t>12</w:t>
            </w:r>
            <w:r w:rsidRPr="00B4515A">
              <w:rPr>
                <w:rFonts w:ascii="Times New Roman" w:hAnsi="Times New Roman" w:cs="Times New Roman" w:hint="eastAsia"/>
                <w:b/>
                <w:sz w:val="21"/>
                <w:szCs w:val="21"/>
              </w:rPr>
              <w:t>月</w:t>
            </w:r>
            <w:r w:rsidRPr="00B4515A">
              <w:rPr>
                <w:rFonts w:ascii="Times New Roman" w:hAnsi="Times New Roman" w:cs="Times New Roman"/>
                <w:b/>
                <w:sz w:val="21"/>
                <w:szCs w:val="21"/>
              </w:rPr>
              <w:t>31</w:t>
            </w:r>
            <w:r w:rsidRPr="00B4515A">
              <w:rPr>
                <w:rFonts w:ascii="Times New Roman" w:hAnsi="Times New Roman" w:cs="Times New Roman" w:hint="eastAsia"/>
                <w:b/>
                <w:sz w:val="21"/>
                <w:szCs w:val="21"/>
              </w:rPr>
              <w:t>日</w:t>
            </w:r>
          </w:p>
        </w:tc>
        <w:tc>
          <w:tcPr>
            <w:tcW w:w="3091" w:type="dxa"/>
            <w:shd w:val="clear" w:color="auto" w:fill="auto"/>
            <w:tcMar>
              <w:top w:w="0" w:type="dxa"/>
              <w:left w:w="108" w:type="dxa"/>
              <w:bottom w:w="0" w:type="dxa"/>
              <w:right w:w="108" w:type="dxa"/>
            </w:tcMar>
            <w:vAlign w:val="center"/>
          </w:tcPr>
          <w:p w14:paraId="0AAA8BCA"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sz w:val="21"/>
                <w:szCs w:val="21"/>
              </w:rPr>
              <w:t>2019</w:t>
            </w:r>
            <w:r w:rsidRPr="00B4515A">
              <w:rPr>
                <w:rFonts w:ascii="Times New Roman" w:hAnsi="Times New Roman" w:cs="Times New Roman" w:hint="eastAsia"/>
                <w:b/>
                <w:sz w:val="21"/>
                <w:szCs w:val="21"/>
              </w:rPr>
              <w:t>年</w:t>
            </w:r>
            <w:r w:rsidRPr="00B4515A">
              <w:rPr>
                <w:rFonts w:ascii="Times New Roman" w:hAnsi="Times New Roman" w:cs="Times New Roman"/>
                <w:b/>
                <w:sz w:val="21"/>
                <w:szCs w:val="21"/>
              </w:rPr>
              <w:t>12</w:t>
            </w:r>
            <w:r w:rsidRPr="00B4515A">
              <w:rPr>
                <w:rFonts w:ascii="Times New Roman" w:hAnsi="Times New Roman" w:cs="Times New Roman" w:hint="eastAsia"/>
                <w:b/>
                <w:sz w:val="21"/>
                <w:szCs w:val="21"/>
              </w:rPr>
              <w:t>月</w:t>
            </w:r>
            <w:r w:rsidRPr="00B4515A">
              <w:rPr>
                <w:rFonts w:ascii="Times New Roman" w:hAnsi="Times New Roman" w:cs="Times New Roman"/>
                <w:b/>
                <w:sz w:val="21"/>
                <w:szCs w:val="21"/>
              </w:rPr>
              <w:t>31</w:t>
            </w:r>
            <w:r w:rsidRPr="00B4515A">
              <w:rPr>
                <w:rFonts w:ascii="Times New Roman" w:hAnsi="Times New Roman" w:cs="Times New Roman" w:hint="eastAsia"/>
                <w:b/>
                <w:sz w:val="21"/>
                <w:szCs w:val="21"/>
              </w:rPr>
              <w:t>日</w:t>
            </w:r>
          </w:p>
        </w:tc>
      </w:tr>
      <w:tr w:rsidR="006416B0" w:rsidRPr="00B4515A" w14:paraId="502164C3"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59D7D0C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资产总计</w:t>
            </w:r>
          </w:p>
        </w:tc>
        <w:tc>
          <w:tcPr>
            <w:tcW w:w="3091" w:type="dxa"/>
            <w:tcMar>
              <w:top w:w="0" w:type="dxa"/>
              <w:left w:w="108" w:type="dxa"/>
              <w:bottom w:w="0" w:type="dxa"/>
              <w:right w:w="108" w:type="dxa"/>
            </w:tcMar>
            <w:vAlign w:val="center"/>
          </w:tcPr>
          <w:p w14:paraId="47725DE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1</w:t>
            </w:r>
            <w:r w:rsidRPr="00B4515A">
              <w:rPr>
                <w:rFonts w:ascii="Times New Roman" w:hAnsi="Times New Roman" w:cs="Times New Roman"/>
                <w:color w:val="000000"/>
                <w:sz w:val="21"/>
                <w:szCs w:val="21"/>
              </w:rPr>
              <w:t>,868,333.29</w:t>
            </w:r>
          </w:p>
        </w:tc>
        <w:tc>
          <w:tcPr>
            <w:tcW w:w="3091" w:type="dxa"/>
            <w:shd w:val="clear" w:color="auto" w:fill="auto"/>
            <w:tcMar>
              <w:top w:w="0" w:type="dxa"/>
              <w:left w:w="108" w:type="dxa"/>
              <w:bottom w:w="0" w:type="dxa"/>
              <w:right w:w="108" w:type="dxa"/>
            </w:tcMar>
            <w:vAlign w:val="center"/>
          </w:tcPr>
          <w:p w14:paraId="098861E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1,218,771.88</w:t>
            </w:r>
          </w:p>
        </w:tc>
      </w:tr>
      <w:tr w:rsidR="006416B0" w:rsidRPr="00B4515A" w14:paraId="2EDA1CDA"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2C23785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负债总计</w:t>
            </w:r>
          </w:p>
        </w:tc>
        <w:tc>
          <w:tcPr>
            <w:tcW w:w="3091" w:type="dxa"/>
            <w:tcMar>
              <w:top w:w="0" w:type="dxa"/>
              <w:left w:w="108" w:type="dxa"/>
              <w:bottom w:w="0" w:type="dxa"/>
              <w:right w:w="108" w:type="dxa"/>
            </w:tcMar>
            <w:vAlign w:val="center"/>
          </w:tcPr>
          <w:p w14:paraId="67CD545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7</w:t>
            </w:r>
            <w:r w:rsidRPr="00B4515A">
              <w:rPr>
                <w:rFonts w:ascii="Times New Roman" w:hAnsi="Times New Roman" w:cs="Times New Roman"/>
                <w:color w:val="000000"/>
                <w:sz w:val="21"/>
                <w:szCs w:val="21"/>
              </w:rPr>
              <w:t>58,159.77</w:t>
            </w:r>
          </w:p>
        </w:tc>
        <w:tc>
          <w:tcPr>
            <w:tcW w:w="3091" w:type="dxa"/>
            <w:shd w:val="clear" w:color="auto" w:fill="auto"/>
            <w:tcMar>
              <w:top w:w="0" w:type="dxa"/>
              <w:left w:w="108" w:type="dxa"/>
              <w:bottom w:w="0" w:type="dxa"/>
              <w:right w:w="108" w:type="dxa"/>
            </w:tcMar>
            <w:vAlign w:val="center"/>
          </w:tcPr>
          <w:p w14:paraId="4B2A3FB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179,566.19</w:t>
            </w:r>
          </w:p>
        </w:tc>
      </w:tr>
      <w:tr w:rsidR="006416B0" w:rsidRPr="00B4515A" w14:paraId="4CFAC125"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0091AFD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所有者权益</w:t>
            </w:r>
          </w:p>
        </w:tc>
        <w:tc>
          <w:tcPr>
            <w:tcW w:w="3091" w:type="dxa"/>
            <w:tcMar>
              <w:top w:w="0" w:type="dxa"/>
              <w:left w:w="108" w:type="dxa"/>
              <w:bottom w:w="0" w:type="dxa"/>
              <w:right w:w="108" w:type="dxa"/>
            </w:tcMar>
            <w:vAlign w:val="center"/>
          </w:tcPr>
          <w:p w14:paraId="70137A0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1</w:t>
            </w:r>
            <w:r w:rsidRPr="00B4515A">
              <w:rPr>
                <w:rFonts w:ascii="Times New Roman" w:hAnsi="Times New Roman" w:cs="Times New Roman"/>
                <w:color w:val="000000"/>
                <w:sz w:val="21"/>
                <w:szCs w:val="21"/>
              </w:rPr>
              <w:t>,110,173.52</w:t>
            </w:r>
          </w:p>
        </w:tc>
        <w:tc>
          <w:tcPr>
            <w:tcW w:w="3091" w:type="dxa"/>
            <w:shd w:val="clear" w:color="auto" w:fill="auto"/>
            <w:tcMar>
              <w:top w:w="0" w:type="dxa"/>
              <w:left w:w="108" w:type="dxa"/>
              <w:bottom w:w="0" w:type="dxa"/>
              <w:right w:w="108" w:type="dxa"/>
            </w:tcMar>
            <w:vAlign w:val="center"/>
          </w:tcPr>
          <w:p w14:paraId="363C93B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1,039,205.69</w:t>
            </w:r>
          </w:p>
        </w:tc>
      </w:tr>
      <w:tr w:rsidR="006416B0" w:rsidRPr="00B4515A" w14:paraId="236D1192"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4AD08C18"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项目</w:t>
            </w:r>
          </w:p>
        </w:tc>
        <w:tc>
          <w:tcPr>
            <w:tcW w:w="3091" w:type="dxa"/>
            <w:tcMar>
              <w:top w:w="0" w:type="dxa"/>
              <w:left w:w="108" w:type="dxa"/>
              <w:bottom w:w="0" w:type="dxa"/>
              <w:right w:w="108" w:type="dxa"/>
            </w:tcMar>
            <w:vAlign w:val="center"/>
          </w:tcPr>
          <w:p w14:paraId="3D9B64E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2020</w:t>
            </w:r>
            <w:r w:rsidRPr="00B4515A">
              <w:rPr>
                <w:rFonts w:ascii="Times New Roman" w:hAnsi="Times New Roman" w:cs="Times New Roman" w:hint="eastAsia"/>
                <w:b/>
                <w:sz w:val="21"/>
                <w:szCs w:val="21"/>
              </w:rPr>
              <w:t>年度</w:t>
            </w:r>
          </w:p>
        </w:tc>
        <w:tc>
          <w:tcPr>
            <w:tcW w:w="3091" w:type="dxa"/>
            <w:shd w:val="clear" w:color="auto" w:fill="auto"/>
            <w:tcMar>
              <w:top w:w="0" w:type="dxa"/>
              <w:left w:w="108" w:type="dxa"/>
              <w:bottom w:w="0" w:type="dxa"/>
              <w:right w:w="108" w:type="dxa"/>
            </w:tcMar>
            <w:vAlign w:val="center"/>
          </w:tcPr>
          <w:p w14:paraId="0D7A2F1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2019</w:t>
            </w:r>
            <w:r w:rsidRPr="00B4515A">
              <w:rPr>
                <w:rFonts w:ascii="Times New Roman" w:hAnsi="Times New Roman" w:cs="Times New Roman" w:hint="eastAsia"/>
                <w:b/>
                <w:sz w:val="21"/>
                <w:szCs w:val="21"/>
              </w:rPr>
              <w:t>年度</w:t>
            </w:r>
          </w:p>
        </w:tc>
      </w:tr>
      <w:tr w:rsidR="006416B0" w:rsidRPr="00B4515A" w14:paraId="6A44923D"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2A47D8D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营业收入</w:t>
            </w:r>
          </w:p>
        </w:tc>
        <w:tc>
          <w:tcPr>
            <w:tcW w:w="3091" w:type="dxa"/>
            <w:tcMar>
              <w:top w:w="0" w:type="dxa"/>
              <w:left w:w="108" w:type="dxa"/>
              <w:bottom w:w="0" w:type="dxa"/>
              <w:right w:w="108" w:type="dxa"/>
            </w:tcMar>
            <w:vAlign w:val="center"/>
          </w:tcPr>
          <w:p w14:paraId="2155AE6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4</w:t>
            </w:r>
            <w:r w:rsidRPr="00B4515A">
              <w:rPr>
                <w:rFonts w:ascii="Times New Roman" w:hAnsi="Times New Roman" w:cs="Times New Roman"/>
                <w:sz w:val="21"/>
                <w:szCs w:val="21"/>
              </w:rPr>
              <w:t>39.84</w:t>
            </w:r>
          </w:p>
        </w:tc>
        <w:tc>
          <w:tcPr>
            <w:tcW w:w="3091" w:type="dxa"/>
            <w:shd w:val="clear" w:color="auto" w:fill="auto"/>
            <w:tcMar>
              <w:top w:w="0" w:type="dxa"/>
              <w:left w:w="108" w:type="dxa"/>
              <w:bottom w:w="0" w:type="dxa"/>
              <w:right w:w="108" w:type="dxa"/>
            </w:tcMar>
            <w:vAlign w:val="center"/>
          </w:tcPr>
          <w:p w14:paraId="6F10958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27.64</w:t>
            </w:r>
          </w:p>
        </w:tc>
      </w:tr>
      <w:tr w:rsidR="006416B0" w:rsidRPr="00B4515A" w14:paraId="0FE22C86"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63AB0B4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利润总额</w:t>
            </w:r>
          </w:p>
        </w:tc>
        <w:tc>
          <w:tcPr>
            <w:tcW w:w="3091" w:type="dxa"/>
            <w:tcMar>
              <w:top w:w="0" w:type="dxa"/>
              <w:left w:w="108" w:type="dxa"/>
              <w:bottom w:w="0" w:type="dxa"/>
              <w:right w:w="108" w:type="dxa"/>
            </w:tcMar>
            <w:vAlign w:val="center"/>
          </w:tcPr>
          <w:p w14:paraId="33DD33F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w:t>
            </w:r>
            <w:r w:rsidRPr="00B4515A">
              <w:rPr>
                <w:rFonts w:ascii="Times New Roman" w:hAnsi="Times New Roman" w:cs="Times New Roman"/>
                <w:sz w:val="21"/>
                <w:szCs w:val="21"/>
              </w:rPr>
              <w:t>6,191.73</w:t>
            </w:r>
          </w:p>
        </w:tc>
        <w:tc>
          <w:tcPr>
            <w:tcW w:w="3091" w:type="dxa"/>
            <w:shd w:val="clear" w:color="auto" w:fill="auto"/>
            <w:tcMar>
              <w:top w:w="0" w:type="dxa"/>
              <w:left w:w="108" w:type="dxa"/>
              <w:bottom w:w="0" w:type="dxa"/>
              <w:right w:w="108" w:type="dxa"/>
            </w:tcMar>
            <w:vAlign w:val="center"/>
          </w:tcPr>
          <w:p w14:paraId="4820081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-798.50</w:t>
            </w:r>
          </w:p>
        </w:tc>
      </w:tr>
      <w:tr w:rsidR="006416B0" w:rsidRPr="00B4515A" w14:paraId="35274DC4" w14:textId="77777777" w:rsidTr="00031627">
        <w:trPr>
          <w:trHeight w:val="340"/>
          <w:jc w:val="center"/>
        </w:trPr>
        <w:tc>
          <w:tcPr>
            <w:tcW w:w="1999" w:type="dxa"/>
            <w:shd w:val="clear" w:color="auto" w:fill="auto"/>
            <w:tcMar>
              <w:top w:w="0" w:type="dxa"/>
              <w:left w:w="108" w:type="dxa"/>
              <w:bottom w:w="0" w:type="dxa"/>
              <w:right w:w="108" w:type="dxa"/>
            </w:tcMar>
            <w:vAlign w:val="center"/>
          </w:tcPr>
          <w:p w14:paraId="72D2DAE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净利润</w:t>
            </w:r>
          </w:p>
        </w:tc>
        <w:tc>
          <w:tcPr>
            <w:tcW w:w="3091" w:type="dxa"/>
            <w:tcMar>
              <w:top w:w="0" w:type="dxa"/>
              <w:left w:w="108" w:type="dxa"/>
              <w:bottom w:w="0" w:type="dxa"/>
              <w:right w:w="108" w:type="dxa"/>
            </w:tcMar>
            <w:vAlign w:val="center"/>
          </w:tcPr>
          <w:p w14:paraId="1E25DCE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sz w:val="21"/>
                <w:szCs w:val="21"/>
              </w:rPr>
              <w:t>-</w:t>
            </w:r>
            <w:r w:rsidRPr="00B4515A">
              <w:rPr>
                <w:rFonts w:ascii="Times New Roman" w:hAnsi="Times New Roman" w:cs="Times New Roman"/>
                <w:sz w:val="21"/>
                <w:szCs w:val="21"/>
              </w:rPr>
              <w:t>6,191.73</w:t>
            </w:r>
          </w:p>
        </w:tc>
        <w:tc>
          <w:tcPr>
            <w:tcW w:w="3091" w:type="dxa"/>
            <w:shd w:val="clear" w:color="auto" w:fill="auto"/>
            <w:tcMar>
              <w:top w:w="0" w:type="dxa"/>
              <w:left w:w="108" w:type="dxa"/>
              <w:bottom w:w="0" w:type="dxa"/>
              <w:right w:w="108" w:type="dxa"/>
            </w:tcMar>
            <w:vAlign w:val="center"/>
          </w:tcPr>
          <w:p w14:paraId="2D97D73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-798.50</w:t>
            </w:r>
          </w:p>
        </w:tc>
      </w:tr>
    </w:tbl>
    <w:p w14:paraId="3FDF1F4F" w14:textId="77777777" w:rsidR="006416B0" w:rsidRPr="00B4515A" w:rsidRDefault="005E58C1" w:rsidP="005860B4">
      <w:pPr>
        <w:pStyle w:val="006"/>
        <w:ind w:firstLine="420"/>
        <w:rPr>
          <w:b/>
          <w:color w:val="000000" w:themeColor="text1"/>
        </w:rPr>
      </w:pPr>
      <w:r w:rsidRPr="00B4515A">
        <w:rPr>
          <w:rFonts w:hint="eastAsia"/>
        </w:rPr>
        <w:t>注：中国信科集团最近两年财务数据已经立信会计师事务所（特殊普通合伙）审计。</w:t>
      </w:r>
    </w:p>
    <w:p w14:paraId="6DC101FF" w14:textId="77777777" w:rsidR="006416B0" w:rsidRPr="00B4515A" w:rsidRDefault="005E58C1" w:rsidP="005860B4">
      <w:pPr>
        <w:pStyle w:val="004"/>
        <w:spacing w:before="120" w:after="120"/>
        <w:ind w:firstLine="482"/>
      </w:pPr>
      <w:r w:rsidRPr="00B4515A">
        <w:t>7</w:t>
      </w:r>
      <w:r w:rsidRPr="00B4515A">
        <w:rPr>
          <w:rFonts w:hint="eastAsia"/>
        </w:rPr>
        <w:t>、主要下属企业情况</w:t>
      </w:r>
    </w:p>
    <w:p w14:paraId="20768DD9" w14:textId="77777777" w:rsidR="006416B0" w:rsidRPr="00B4515A" w:rsidRDefault="005E58C1" w:rsidP="005860B4">
      <w:pPr>
        <w:pStyle w:val="005"/>
        <w:spacing w:before="120" w:after="120"/>
        <w:ind w:firstLine="480"/>
      </w:pPr>
      <w:r w:rsidRPr="00B4515A">
        <w:rPr>
          <w:rFonts w:hint="eastAsia"/>
        </w:rPr>
        <w:t>截至</w:t>
      </w:r>
      <w:r w:rsidRPr="00B4515A">
        <w:rPr>
          <w:rFonts w:hint="eastAsia"/>
        </w:rPr>
        <w:t>2</w:t>
      </w:r>
      <w:r w:rsidRPr="00B4515A">
        <w:t>021</w:t>
      </w:r>
      <w:r w:rsidRPr="00B4515A">
        <w:rPr>
          <w:rFonts w:hint="eastAsia"/>
        </w:rPr>
        <w:t>年</w:t>
      </w:r>
      <w:r w:rsidRPr="00B4515A">
        <w:rPr>
          <w:rFonts w:hint="eastAsia"/>
        </w:rPr>
        <w:t>4</w:t>
      </w:r>
      <w:r w:rsidRPr="00B4515A">
        <w:rPr>
          <w:rFonts w:hint="eastAsia"/>
        </w:rPr>
        <w:t>月</w:t>
      </w:r>
      <w:r w:rsidRPr="00B4515A">
        <w:rPr>
          <w:rFonts w:hint="eastAsia"/>
        </w:rPr>
        <w:t>3</w:t>
      </w:r>
      <w:r w:rsidRPr="00B4515A">
        <w:t>0</w:t>
      </w:r>
      <w:r w:rsidRPr="00B4515A">
        <w:rPr>
          <w:rFonts w:hint="eastAsia"/>
        </w:rPr>
        <w:t>日，除电信科研院外，中国信科集团</w:t>
      </w:r>
      <w:r w:rsidRPr="00B4515A">
        <w:rPr>
          <w:rFonts w:eastAsiaTheme="minorEastAsia" w:hint="eastAsia"/>
        </w:rPr>
        <w:t>主要下属企业基本情况如下：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16"/>
        <w:gridCol w:w="1755"/>
        <w:gridCol w:w="1747"/>
        <w:gridCol w:w="4310"/>
      </w:tblGrid>
      <w:tr w:rsidR="006416B0" w:rsidRPr="00B4515A" w14:paraId="560F79D5" w14:textId="77777777" w:rsidTr="005860B4">
        <w:trPr>
          <w:trHeight w:val="340"/>
          <w:tblHeader/>
          <w:jc w:val="center"/>
        </w:trPr>
        <w:tc>
          <w:tcPr>
            <w:tcW w:w="694" w:type="dxa"/>
            <w:tcMar>
              <w:top w:w="0" w:type="dxa"/>
              <w:left w:w="108" w:type="dxa"/>
              <w:bottom w:w="0" w:type="dxa"/>
              <w:right w:w="108" w:type="dxa"/>
            </w:tcMar>
            <w:vAlign w:val="center"/>
          </w:tcPr>
          <w:p w14:paraId="7F2C7B32"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序号</w:t>
            </w:r>
          </w:p>
        </w:tc>
        <w:tc>
          <w:tcPr>
            <w:tcW w:w="1701" w:type="dxa"/>
            <w:tcMar>
              <w:top w:w="0" w:type="dxa"/>
              <w:left w:w="108" w:type="dxa"/>
              <w:bottom w:w="0" w:type="dxa"/>
              <w:right w:w="108" w:type="dxa"/>
            </w:tcMar>
            <w:vAlign w:val="center"/>
          </w:tcPr>
          <w:p w14:paraId="687F244C"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公司名称</w:t>
            </w:r>
          </w:p>
        </w:tc>
        <w:tc>
          <w:tcPr>
            <w:tcW w:w="1693" w:type="dxa"/>
            <w:tcMar>
              <w:top w:w="0" w:type="dxa"/>
              <w:left w:w="108" w:type="dxa"/>
              <w:bottom w:w="0" w:type="dxa"/>
              <w:right w:w="108" w:type="dxa"/>
            </w:tcMar>
            <w:vAlign w:val="center"/>
          </w:tcPr>
          <w:p w14:paraId="70A0709E"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直接</w:t>
            </w:r>
            <w:r w:rsidRPr="00B4515A">
              <w:rPr>
                <w:rFonts w:ascii="Times New Roman" w:hAnsi="Times New Roman" w:cs="Times New Roman"/>
                <w:b/>
                <w:bCs/>
                <w:sz w:val="21"/>
                <w:szCs w:val="21"/>
              </w:rPr>
              <w:t>持股</w:t>
            </w:r>
            <w:r w:rsidRPr="00B4515A">
              <w:rPr>
                <w:rFonts w:ascii="Times New Roman" w:hAnsi="Times New Roman" w:cs="Times New Roman" w:hint="eastAsia"/>
                <w:b/>
                <w:bCs/>
                <w:sz w:val="21"/>
                <w:szCs w:val="21"/>
              </w:rPr>
              <w:t>比例</w:t>
            </w:r>
          </w:p>
        </w:tc>
        <w:tc>
          <w:tcPr>
            <w:tcW w:w="4178" w:type="dxa"/>
            <w:tcMar>
              <w:top w:w="0" w:type="dxa"/>
              <w:left w:w="108" w:type="dxa"/>
              <w:bottom w:w="0" w:type="dxa"/>
              <w:right w:w="108" w:type="dxa"/>
            </w:tcMar>
            <w:vAlign w:val="center"/>
          </w:tcPr>
          <w:p w14:paraId="560D44A6"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经营范围</w:t>
            </w:r>
          </w:p>
        </w:tc>
      </w:tr>
      <w:tr w:rsidR="006416B0" w:rsidRPr="00B4515A" w14:paraId="3EFEDEAA" w14:textId="77777777" w:rsidTr="00031627">
        <w:trPr>
          <w:trHeight w:val="340"/>
          <w:jc w:val="center"/>
        </w:trPr>
        <w:tc>
          <w:tcPr>
            <w:tcW w:w="694" w:type="dxa"/>
            <w:tcMar>
              <w:top w:w="0" w:type="dxa"/>
              <w:left w:w="108" w:type="dxa"/>
              <w:bottom w:w="0" w:type="dxa"/>
              <w:right w:w="108" w:type="dxa"/>
            </w:tcMar>
            <w:vAlign w:val="center"/>
          </w:tcPr>
          <w:p w14:paraId="2AC1BEF1" w14:textId="77777777" w:rsidR="006416B0" w:rsidRPr="00B4515A" w:rsidRDefault="005E58C1" w:rsidP="005860B4">
            <w:pPr>
              <w:adjustRightInd w:val="0"/>
              <w:snapToGrid w:val="0"/>
              <w:jc w:val="center"/>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1</w:t>
            </w:r>
          </w:p>
        </w:tc>
        <w:tc>
          <w:tcPr>
            <w:tcW w:w="1701" w:type="dxa"/>
            <w:tcMar>
              <w:top w:w="0" w:type="dxa"/>
              <w:left w:w="108" w:type="dxa"/>
              <w:bottom w:w="0" w:type="dxa"/>
              <w:right w:w="108" w:type="dxa"/>
            </w:tcMar>
            <w:vAlign w:val="center"/>
          </w:tcPr>
          <w:p w14:paraId="65C6DFDE"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武汉邮电科学研究院有限公司</w:t>
            </w:r>
          </w:p>
        </w:tc>
        <w:tc>
          <w:tcPr>
            <w:tcW w:w="1693" w:type="dxa"/>
            <w:tcMar>
              <w:top w:w="0" w:type="dxa"/>
              <w:left w:w="108" w:type="dxa"/>
              <w:bottom w:w="0" w:type="dxa"/>
              <w:right w:w="108" w:type="dxa"/>
            </w:tcMar>
            <w:vAlign w:val="center"/>
          </w:tcPr>
          <w:p w14:paraId="198729F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w:t>
            </w:r>
          </w:p>
        </w:tc>
        <w:tc>
          <w:tcPr>
            <w:tcW w:w="4178" w:type="dxa"/>
            <w:tcMar>
              <w:top w:w="0" w:type="dxa"/>
              <w:left w:w="108" w:type="dxa"/>
              <w:bottom w:w="0" w:type="dxa"/>
              <w:right w:w="108" w:type="dxa"/>
            </w:tcMar>
            <w:vAlign w:val="center"/>
          </w:tcPr>
          <w:p w14:paraId="71615B7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通信、电子信息、自动化技术及产品的开发、研制、技术服务、开发产品的销售；通信工程设计、施工；自营和代理各类商品和技术的进出口，但国家限定公司经营或禁止进出口的商品和技术除外；承包境外通信工程和境内国际招标工程；上述境外工程所需的设备、材料出口；对外派遣实施上述境外工程所需的劳务人员。</w:t>
            </w:r>
          </w:p>
        </w:tc>
      </w:tr>
      <w:tr w:rsidR="006416B0" w:rsidRPr="00B4515A" w14:paraId="180882B6" w14:textId="77777777" w:rsidTr="00031627">
        <w:trPr>
          <w:trHeight w:val="340"/>
          <w:jc w:val="center"/>
        </w:trPr>
        <w:tc>
          <w:tcPr>
            <w:tcW w:w="694" w:type="dxa"/>
            <w:tcMar>
              <w:top w:w="0" w:type="dxa"/>
              <w:left w:w="108" w:type="dxa"/>
              <w:bottom w:w="0" w:type="dxa"/>
              <w:right w:w="108" w:type="dxa"/>
            </w:tcMar>
            <w:vAlign w:val="center"/>
          </w:tcPr>
          <w:p w14:paraId="52B0F21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2</w:t>
            </w:r>
          </w:p>
        </w:tc>
        <w:tc>
          <w:tcPr>
            <w:tcW w:w="1701" w:type="dxa"/>
            <w:tcMar>
              <w:top w:w="0" w:type="dxa"/>
              <w:left w:w="108" w:type="dxa"/>
              <w:bottom w:w="0" w:type="dxa"/>
              <w:right w:w="108" w:type="dxa"/>
            </w:tcMar>
            <w:vAlign w:val="center"/>
          </w:tcPr>
          <w:p w14:paraId="6944C12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sz w:val="21"/>
                <w:szCs w:val="21"/>
              </w:rPr>
              <w:t>大唐电信集团财务有限公司</w:t>
            </w:r>
          </w:p>
        </w:tc>
        <w:tc>
          <w:tcPr>
            <w:tcW w:w="1693" w:type="dxa"/>
            <w:tcMar>
              <w:top w:w="0" w:type="dxa"/>
              <w:left w:w="108" w:type="dxa"/>
              <w:bottom w:w="0" w:type="dxa"/>
              <w:right w:w="108" w:type="dxa"/>
            </w:tcMar>
            <w:vAlign w:val="center"/>
          </w:tcPr>
          <w:p w14:paraId="0DB41DF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00.00%</w:t>
            </w:r>
          </w:p>
        </w:tc>
        <w:tc>
          <w:tcPr>
            <w:tcW w:w="4178" w:type="dxa"/>
            <w:tcMar>
              <w:top w:w="0" w:type="dxa"/>
              <w:left w:w="108" w:type="dxa"/>
              <w:bottom w:w="0" w:type="dxa"/>
              <w:right w:w="108" w:type="dxa"/>
            </w:tcMar>
            <w:vAlign w:val="center"/>
          </w:tcPr>
          <w:p w14:paraId="51ED4F5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一）对成员单位办理财务和融资顾问、信用鉴证及相关的咨询、代理业务；（二）协助成员单位实现交易款项的收付；（三）经批准的保险代理业务；（四）对成员单位提供担保；（五）办理成员单位之间的委托贷款及委托投资；（六）对成员单位办理票据承兑与贴现；（七）办理成员单位之间的内部转账结算及相应的结算、清算方案设计；（八）吸收成员单位的存款；（九）对成员单位办理贷款及融资租赁；（十）从事同业拆借；（十一）承销成员单位的企业债券；（十二）有价证券投资（股票二级市场投资</w:t>
            </w:r>
            <w:r w:rsidRPr="00B4515A">
              <w:rPr>
                <w:rFonts w:ascii="Times New Roman" w:hAnsi="Times New Roman" w:cs="Times New Roman"/>
                <w:sz w:val="21"/>
                <w:szCs w:val="21"/>
              </w:rPr>
              <w:lastRenderedPageBreak/>
              <w:t>除外）；（十三）成员单位产品的买方信贷。（依法须经批准的项目，经相关部门批准后方可开展经营活动）（市场主体依法自主选择经营项目，开展经营活动；依法须经批准的项目，经相关部门批准后依批准的内容开展经营活动；不得从事国家和本市产业政策禁止和限制类项目的经营活动。）</w:t>
            </w:r>
          </w:p>
        </w:tc>
      </w:tr>
      <w:tr w:rsidR="006416B0" w:rsidRPr="00B4515A" w14:paraId="1E322CD8" w14:textId="77777777" w:rsidTr="00031627">
        <w:trPr>
          <w:trHeight w:val="340"/>
          <w:jc w:val="center"/>
        </w:trPr>
        <w:tc>
          <w:tcPr>
            <w:tcW w:w="694" w:type="dxa"/>
            <w:tcMar>
              <w:top w:w="0" w:type="dxa"/>
              <w:left w:w="108" w:type="dxa"/>
              <w:bottom w:w="0" w:type="dxa"/>
              <w:right w:w="108" w:type="dxa"/>
            </w:tcMar>
            <w:vAlign w:val="center"/>
          </w:tcPr>
          <w:p w14:paraId="198B410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lastRenderedPageBreak/>
              <w:t>3</w:t>
            </w:r>
          </w:p>
        </w:tc>
        <w:tc>
          <w:tcPr>
            <w:tcW w:w="1701" w:type="dxa"/>
            <w:tcMar>
              <w:top w:w="0" w:type="dxa"/>
              <w:left w:w="108" w:type="dxa"/>
              <w:bottom w:w="0" w:type="dxa"/>
              <w:right w:w="108" w:type="dxa"/>
            </w:tcMar>
            <w:vAlign w:val="center"/>
          </w:tcPr>
          <w:p w14:paraId="0E49A8BF" w14:textId="77777777" w:rsidR="006416B0" w:rsidRPr="00B4515A" w:rsidRDefault="000374A4" w:rsidP="005860B4">
            <w:pPr>
              <w:adjustRightInd w:val="0"/>
              <w:snapToGrid w:val="0"/>
              <w:jc w:val="both"/>
              <w:rPr>
                <w:rFonts w:ascii="Times New Roman" w:hAnsi="Times New Roman" w:cs="Times New Roman"/>
                <w:sz w:val="21"/>
                <w:szCs w:val="21"/>
              </w:rPr>
            </w:pPr>
            <w:hyperlink r:id="rId25" w:tgtFrame="_blank" w:history="1">
              <w:r w:rsidR="005E58C1" w:rsidRPr="00B4515A">
                <w:rPr>
                  <w:rFonts w:ascii="Times New Roman" w:hAnsi="Times New Roman" w:cs="Times New Roman"/>
                  <w:sz w:val="21"/>
                  <w:szCs w:val="21"/>
                </w:rPr>
                <w:t>中信科移动通信技术股份有限公司</w:t>
              </w:r>
            </w:hyperlink>
          </w:p>
        </w:tc>
        <w:tc>
          <w:tcPr>
            <w:tcW w:w="1693" w:type="dxa"/>
            <w:tcMar>
              <w:top w:w="0" w:type="dxa"/>
              <w:left w:w="108" w:type="dxa"/>
              <w:bottom w:w="0" w:type="dxa"/>
              <w:right w:w="108" w:type="dxa"/>
            </w:tcMar>
            <w:vAlign w:val="center"/>
          </w:tcPr>
          <w:p w14:paraId="3ADB51A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6</w:t>
            </w:r>
            <w:r w:rsidRPr="00B4515A">
              <w:rPr>
                <w:rFonts w:ascii="Times New Roman" w:hAnsi="Times New Roman" w:cs="Times New Roman"/>
                <w:sz w:val="21"/>
                <w:szCs w:val="21"/>
              </w:rPr>
              <w:t>8.10%</w:t>
            </w:r>
          </w:p>
        </w:tc>
        <w:tc>
          <w:tcPr>
            <w:tcW w:w="4178" w:type="dxa"/>
            <w:tcMar>
              <w:top w:w="0" w:type="dxa"/>
              <w:left w:w="108" w:type="dxa"/>
              <w:bottom w:w="0" w:type="dxa"/>
              <w:right w:w="108" w:type="dxa"/>
            </w:tcMar>
            <w:vAlign w:val="center"/>
          </w:tcPr>
          <w:p w14:paraId="0AD811D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通信系统及终端、仪器仪表、电子信息、电子技术、自动化技术、电子计算机软硬件及外部设备的开发、生产、销售；开发销售应用软件；技术开发、技术转让、技术咨询、技术服务、技术推广；通信信息网络系统集成（业务网、支撑网）；安全技术防范系统（工程）设计施工；施工总承包、专业承包；工程勘察设计；工程和技术研究与试验发展；通信工程、设备安装工程施工；计算机信息系统集成；货物进出口、技术进出口（国家有专项规定的、从其规定）、代理进出口；防雷设计与施工；交通机电设施工程的设计、安装、维护及交通机电设施产品的销售；汽车电子产品设计、研发、制造；通信类杆或塔的生产制造及安装（国家规定凭许可证经营的凭许可证方可经营）</w:t>
            </w:r>
          </w:p>
        </w:tc>
      </w:tr>
    </w:tbl>
    <w:p w14:paraId="05EF20FB" w14:textId="61037553" w:rsidR="006416B0" w:rsidRPr="00B4515A" w:rsidRDefault="005E58C1" w:rsidP="005860B4">
      <w:pPr>
        <w:pStyle w:val="002"/>
        <w:spacing w:before="120" w:after="120"/>
        <w:ind w:firstLine="562"/>
      </w:pPr>
      <w:bookmarkStart w:id="136" w:name="_Toc80960526"/>
      <w:r w:rsidRPr="00B4515A">
        <w:rPr>
          <w:rFonts w:hint="eastAsia"/>
        </w:rPr>
        <w:t>四、交易对方之间的关联关系说明</w:t>
      </w:r>
      <w:bookmarkEnd w:id="136"/>
    </w:p>
    <w:p w14:paraId="41D0EDBD" w14:textId="46DCFBDB" w:rsidR="006416B0" w:rsidRPr="00B4515A" w:rsidRDefault="005E58C1" w:rsidP="005860B4">
      <w:pPr>
        <w:pStyle w:val="005"/>
        <w:spacing w:before="120" w:after="120"/>
        <w:ind w:firstLine="480"/>
      </w:pPr>
      <w:bookmarkStart w:id="137" w:name="_Hlk76925203"/>
      <w:r w:rsidRPr="00B4515A">
        <w:rPr>
          <w:rFonts w:hint="eastAsia"/>
        </w:rPr>
        <w:t>截至本报告书签署日，电信科研院</w:t>
      </w:r>
      <w:r w:rsidRPr="00B4515A">
        <w:t>为大唐控股唯一股东，</w:t>
      </w:r>
      <w:r w:rsidRPr="00B4515A">
        <w:rPr>
          <w:rFonts w:hint="eastAsia"/>
        </w:rPr>
        <w:t>同受</w:t>
      </w:r>
      <w:r w:rsidRPr="00B4515A">
        <w:t>中国信科集团</w:t>
      </w:r>
      <w:r w:rsidRPr="00B4515A">
        <w:rPr>
          <w:rFonts w:hint="eastAsia"/>
        </w:rPr>
        <w:t>控制</w:t>
      </w:r>
      <w:r w:rsidRPr="00B4515A">
        <w:t>；</w:t>
      </w:r>
      <w:r w:rsidR="00252376" w:rsidRPr="00B4515A">
        <w:t>长江移动基金</w:t>
      </w:r>
      <w:r w:rsidRPr="00B4515A">
        <w:t>为中国信科集团控制的烽火投资（烽火</w:t>
      </w:r>
      <w:r w:rsidRPr="00B4515A">
        <w:rPr>
          <w:rFonts w:hint="eastAsia"/>
        </w:rPr>
        <w:t>投资</w:t>
      </w:r>
      <w:r w:rsidRPr="00B4515A">
        <w:t>的控股股东</w:t>
      </w:r>
      <w:r w:rsidRPr="00B4515A">
        <w:rPr>
          <w:rFonts w:hint="eastAsia"/>
        </w:rPr>
        <w:t>烽火创投</w:t>
      </w:r>
      <w:r w:rsidRPr="00B4515A">
        <w:t>为中国信科集团控股的烽火科技集团</w:t>
      </w:r>
      <w:r w:rsidRPr="00B4515A">
        <w:rPr>
          <w:rFonts w:hint="eastAsia"/>
        </w:rPr>
        <w:t>的</w:t>
      </w:r>
      <w:r w:rsidRPr="00B4515A">
        <w:t>控股子公司）作为基金管理人、普通合伙人、执行事务合伙人的有限合伙企业</w:t>
      </w:r>
      <w:r w:rsidRPr="00B4515A">
        <w:rPr>
          <w:rFonts w:hint="eastAsia"/>
        </w:rPr>
        <w:t>。</w:t>
      </w:r>
    </w:p>
    <w:p w14:paraId="073D3A1D" w14:textId="77777777" w:rsidR="006416B0" w:rsidRPr="00B4515A" w:rsidRDefault="005E58C1" w:rsidP="005860B4">
      <w:pPr>
        <w:pStyle w:val="002"/>
        <w:spacing w:before="120" w:after="120"/>
        <w:ind w:firstLine="562"/>
      </w:pPr>
      <w:bookmarkStart w:id="138" w:name="_Toc80960527"/>
      <w:bookmarkEnd w:id="137"/>
      <w:r w:rsidRPr="00B4515A">
        <w:rPr>
          <w:rFonts w:hint="eastAsia"/>
        </w:rPr>
        <w:t>五、交易对方与上市公司的关联关系说明</w:t>
      </w:r>
      <w:bookmarkEnd w:id="138"/>
    </w:p>
    <w:p w14:paraId="52EB24D4" w14:textId="6D77A72F" w:rsidR="006416B0" w:rsidRPr="00B4515A" w:rsidRDefault="005E58C1" w:rsidP="005860B4">
      <w:pPr>
        <w:pStyle w:val="005"/>
        <w:spacing w:before="120" w:after="120"/>
        <w:ind w:firstLine="480"/>
      </w:pPr>
      <w:bookmarkStart w:id="139" w:name="_Hlk76925221"/>
      <w:r w:rsidRPr="00B4515A">
        <w:rPr>
          <w:rFonts w:hint="eastAsia"/>
        </w:rPr>
        <w:t>截至本报告书签署日，中国信科集团为大唐电信控股股东的控股股东；</w:t>
      </w:r>
      <w:r w:rsidRPr="00B4515A">
        <w:t>电信</w:t>
      </w:r>
      <w:r w:rsidRPr="00B4515A">
        <w:rPr>
          <w:rFonts w:hint="eastAsia"/>
        </w:rPr>
        <w:t>科研院为</w:t>
      </w:r>
      <w:r w:rsidRPr="00B4515A">
        <w:t>大唐电信的控股股东</w:t>
      </w:r>
      <w:r w:rsidRPr="00B4515A">
        <w:rPr>
          <w:rFonts w:hint="eastAsia"/>
        </w:rPr>
        <w:t>，大唐控股为电信科研院一致行动人；</w:t>
      </w:r>
      <w:r w:rsidR="00252376" w:rsidRPr="00B4515A">
        <w:t>长江移动基金</w:t>
      </w:r>
      <w:r w:rsidRPr="00B4515A">
        <w:t>为中国信科集团控制的烽火投资（烽火</w:t>
      </w:r>
      <w:r w:rsidRPr="00B4515A">
        <w:rPr>
          <w:rFonts w:hint="eastAsia"/>
        </w:rPr>
        <w:t>投资</w:t>
      </w:r>
      <w:r w:rsidRPr="00B4515A">
        <w:t>的控股股东</w:t>
      </w:r>
      <w:r w:rsidRPr="00B4515A">
        <w:rPr>
          <w:rFonts w:hint="eastAsia"/>
        </w:rPr>
        <w:t>烽火创投</w:t>
      </w:r>
      <w:r w:rsidRPr="00B4515A">
        <w:t>为中国信科集团控股的烽火科技集团</w:t>
      </w:r>
      <w:r w:rsidRPr="00B4515A">
        <w:rPr>
          <w:rFonts w:hint="eastAsia"/>
        </w:rPr>
        <w:t>的</w:t>
      </w:r>
      <w:r w:rsidRPr="00B4515A">
        <w:t>控股子公司）作为基金管理人、普通合伙人、执行事务合伙人的有限合伙企业</w:t>
      </w:r>
      <w:r w:rsidRPr="00B4515A">
        <w:rPr>
          <w:rFonts w:hint="eastAsia"/>
        </w:rPr>
        <w:t>。</w:t>
      </w:r>
    </w:p>
    <w:p w14:paraId="21F0BEFF" w14:textId="77777777" w:rsidR="006416B0" w:rsidRPr="00B4515A" w:rsidRDefault="005E58C1" w:rsidP="005860B4">
      <w:pPr>
        <w:pStyle w:val="002"/>
        <w:spacing w:before="120" w:after="120"/>
        <w:ind w:firstLine="562"/>
      </w:pPr>
      <w:bookmarkStart w:id="140" w:name="_Toc80960528"/>
      <w:bookmarkEnd w:id="139"/>
      <w:r w:rsidRPr="00B4515A">
        <w:rPr>
          <w:rFonts w:hint="eastAsia"/>
        </w:rPr>
        <w:t>六、交易对方向上市公司推荐的董事及高级管理人员情况</w:t>
      </w:r>
      <w:bookmarkEnd w:id="140"/>
    </w:p>
    <w:p w14:paraId="2BDBF848" w14:textId="77777777" w:rsidR="006416B0" w:rsidRPr="00B4515A" w:rsidRDefault="005E58C1" w:rsidP="005860B4">
      <w:pPr>
        <w:pStyle w:val="005"/>
        <w:spacing w:before="120" w:after="120"/>
        <w:ind w:firstLine="480"/>
      </w:pPr>
      <w:bookmarkStart w:id="141" w:name="_Hlk76925244"/>
      <w:r w:rsidRPr="00B4515A">
        <w:rPr>
          <w:rFonts w:hint="eastAsia"/>
        </w:rPr>
        <w:t>截至本报告书签署之日，本次重组交易对方中国信科集团持有电信科研院</w:t>
      </w:r>
      <w:r w:rsidRPr="00B4515A">
        <w:rPr>
          <w:rFonts w:hint="eastAsia"/>
        </w:rPr>
        <w:lastRenderedPageBreak/>
        <w:t>1</w:t>
      </w:r>
      <w:r w:rsidRPr="00B4515A">
        <w:t>00%</w:t>
      </w:r>
      <w:r w:rsidRPr="00B4515A">
        <w:rPr>
          <w:rFonts w:hint="eastAsia"/>
        </w:rPr>
        <w:t>股权。中国信科集团向上市公司推荐现任董事为雷信生、马建成、马超、谢德平，推荐现任高级管理人员为雷信生、王韶莉、商利平。电信科研院向上市公司推荐现任高级管理人员为蒋昆、欧阳国玉。除前</w:t>
      </w:r>
      <w:r w:rsidRPr="00B4515A">
        <w:t>述情形外，本次</w:t>
      </w:r>
      <w:r w:rsidRPr="00B4515A">
        <w:rPr>
          <w:rFonts w:hint="eastAsia"/>
        </w:rPr>
        <w:t>重组其他</w:t>
      </w:r>
      <w:r w:rsidRPr="00B4515A">
        <w:t>交易对方未向上市公司推荐</w:t>
      </w:r>
      <w:r w:rsidRPr="00B4515A">
        <w:rPr>
          <w:rFonts w:hint="eastAsia"/>
        </w:rPr>
        <w:t>现任</w:t>
      </w:r>
      <w:r w:rsidRPr="00B4515A">
        <w:t>董事及高级管理人员。</w:t>
      </w:r>
    </w:p>
    <w:p w14:paraId="30D0AC1D" w14:textId="77777777" w:rsidR="006416B0" w:rsidRPr="00B4515A" w:rsidRDefault="005E58C1" w:rsidP="005860B4">
      <w:pPr>
        <w:pStyle w:val="002"/>
        <w:spacing w:before="120" w:after="120"/>
        <w:ind w:firstLine="562"/>
      </w:pPr>
      <w:bookmarkStart w:id="142" w:name="_Toc80960529"/>
      <w:bookmarkEnd w:id="141"/>
      <w:r w:rsidRPr="00B4515A">
        <w:rPr>
          <w:rFonts w:hint="eastAsia"/>
        </w:rPr>
        <w:t>七、交易对方及其主要管理人员最近五年内受到行政处罚（与证券市场明显无关的除外）、刑事处罚、或者涉及与经济纠纷有关的重大民事诉讼或者仲裁情况说明</w:t>
      </w:r>
      <w:bookmarkEnd w:id="142"/>
    </w:p>
    <w:p w14:paraId="506792BA" w14:textId="77777777" w:rsidR="006416B0" w:rsidRPr="00B4515A" w:rsidRDefault="005E58C1" w:rsidP="005860B4">
      <w:pPr>
        <w:pStyle w:val="005"/>
        <w:spacing w:before="120" w:after="120"/>
        <w:ind w:firstLine="480"/>
      </w:pPr>
      <w:r w:rsidRPr="00B4515A">
        <w:rPr>
          <w:rFonts w:hint="eastAsia"/>
        </w:rPr>
        <w:t>截至本报告书签署之日，本次交易对方及其主要管理人员最近五年内未受刑事处罚、与证券市场相关的行政处罚</w:t>
      </w:r>
      <w:r w:rsidRPr="00B4515A">
        <w:t>（与证券市场明显无关的除外）</w:t>
      </w:r>
      <w:r w:rsidRPr="00B4515A">
        <w:rPr>
          <w:rFonts w:hint="eastAsia"/>
        </w:rPr>
        <w:t>，亦不存在涉及与经济纠纷有关的</w:t>
      </w:r>
      <w:r w:rsidRPr="00B4515A">
        <w:t>重大民事诉讼或者仲裁</w:t>
      </w:r>
      <w:r w:rsidRPr="00B4515A">
        <w:rPr>
          <w:rFonts w:hint="eastAsia"/>
        </w:rPr>
        <w:t>的情形。</w:t>
      </w:r>
    </w:p>
    <w:p w14:paraId="3074BA45" w14:textId="77777777" w:rsidR="006416B0" w:rsidRPr="00B4515A" w:rsidRDefault="005E58C1" w:rsidP="005860B4">
      <w:pPr>
        <w:pStyle w:val="002"/>
        <w:spacing w:before="120" w:after="120"/>
        <w:ind w:firstLine="562"/>
      </w:pPr>
      <w:bookmarkStart w:id="143" w:name="_Toc80960530"/>
      <w:r w:rsidRPr="00B4515A">
        <w:rPr>
          <w:rFonts w:hint="eastAsia"/>
        </w:rPr>
        <w:t>八、交易对方最近五年的诚信情况说明</w:t>
      </w:r>
      <w:bookmarkEnd w:id="143"/>
    </w:p>
    <w:p w14:paraId="091AB499" w14:textId="77777777" w:rsidR="006416B0" w:rsidRPr="00B4515A" w:rsidRDefault="005E58C1" w:rsidP="005860B4">
      <w:pPr>
        <w:pStyle w:val="005"/>
        <w:spacing w:before="120" w:after="120"/>
        <w:ind w:firstLine="480"/>
      </w:pPr>
      <w:r w:rsidRPr="00B4515A">
        <w:rPr>
          <w:rFonts w:hint="eastAsia"/>
        </w:rPr>
        <w:t>截至本报告书签署之日，本次交易对方及其主要管理人员最近五年内不存在未按期偿还大额债务、未履行承诺或被中国证监会采取行政监管措施或受到证券交易所纪律处分的情形。</w:t>
      </w:r>
    </w:p>
    <w:p w14:paraId="608F08A7" w14:textId="77777777" w:rsidR="006416B0" w:rsidRPr="00B4515A" w:rsidRDefault="005E58C1" w:rsidP="005860B4">
      <w:pPr>
        <w:pStyle w:val="002"/>
        <w:spacing w:before="120" w:after="120"/>
        <w:ind w:firstLine="562"/>
      </w:pPr>
      <w:bookmarkStart w:id="144" w:name="_Toc80960531"/>
      <w:r w:rsidRPr="00B4515A">
        <w:rPr>
          <w:rFonts w:hint="eastAsia"/>
        </w:rPr>
        <w:t>九、交易对方持有大唐联诚权益的时间及锁定安排</w:t>
      </w:r>
      <w:bookmarkEnd w:id="144"/>
    </w:p>
    <w:p w14:paraId="6A4BDBE9" w14:textId="77777777" w:rsidR="006416B0" w:rsidRPr="00B4515A" w:rsidRDefault="005E58C1" w:rsidP="005860B4">
      <w:pPr>
        <w:pStyle w:val="003"/>
        <w:spacing w:before="120"/>
        <w:ind w:firstLine="482"/>
      </w:pPr>
      <w:r w:rsidRPr="00B4515A">
        <w:rPr>
          <w:rFonts w:hint="eastAsia"/>
        </w:rPr>
        <w:t>（一）本次交易的交易对方持有大唐联诚权益的具体时间如下表所示：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53"/>
        <w:gridCol w:w="1680"/>
        <w:gridCol w:w="2200"/>
        <w:gridCol w:w="1909"/>
        <w:gridCol w:w="2086"/>
      </w:tblGrid>
      <w:tr w:rsidR="006416B0" w:rsidRPr="00B4515A" w14:paraId="57F20ED6" w14:textId="77777777" w:rsidTr="005860B4">
        <w:trPr>
          <w:trHeight w:val="340"/>
          <w:jc w:val="center"/>
        </w:trPr>
        <w:tc>
          <w:tcPr>
            <w:tcW w:w="383" w:type="pct"/>
            <w:tcMar>
              <w:top w:w="0" w:type="dxa"/>
              <w:left w:w="108" w:type="dxa"/>
              <w:bottom w:w="0" w:type="dxa"/>
              <w:right w:w="108" w:type="dxa"/>
            </w:tcMar>
            <w:vAlign w:val="center"/>
          </w:tcPr>
          <w:p w14:paraId="7B407366" w14:textId="77777777" w:rsidR="006416B0" w:rsidRPr="00B4515A" w:rsidRDefault="005E58C1" w:rsidP="005860B4">
            <w:pPr>
              <w:adjustRightInd w:val="0"/>
              <w:snapToGrid w:val="0"/>
              <w:jc w:val="center"/>
              <w:rPr>
                <w:rFonts w:ascii="Times New Roman" w:hAnsi="Times New Roman" w:cs="Times New Roman"/>
                <w:b/>
                <w:bCs/>
                <w:sz w:val="21"/>
                <w:szCs w:val="21"/>
              </w:rPr>
            </w:pPr>
            <w:bookmarkStart w:id="145" w:name="_Hlk76925290"/>
            <w:r w:rsidRPr="00B4515A">
              <w:rPr>
                <w:rFonts w:ascii="Times New Roman" w:hAnsi="Times New Roman" w:cs="Times New Roman"/>
                <w:b/>
                <w:bCs/>
                <w:sz w:val="21"/>
                <w:szCs w:val="21"/>
              </w:rPr>
              <w:t>序号</w:t>
            </w:r>
          </w:p>
        </w:tc>
        <w:tc>
          <w:tcPr>
            <w:tcW w:w="984" w:type="pct"/>
            <w:tcMar>
              <w:top w:w="0" w:type="dxa"/>
              <w:left w:w="108" w:type="dxa"/>
              <w:bottom w:w="0" w:type="dxa"/>
              <w:right w:w="108" w:type="dxa"/>
            </w:tcMar>
            <w:vAlign w:val="center"/>
          </w:tcPr>
          <w:p w14:paraId="729816A0"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股东名称</w:t>
            </w:r>
          </w:p>
        </w:tc>
        <w:tc>
          <w:tcPr>
            <w:tcW w:w="1290" w:type="pct"/>
            <w:tcMar>
              <w:top w:w="0" w:type="dxa"/>
              <w:left w:w="108" w:type="dxa"/>
              <w:bottom w:w="0" w:type="dxa"/>
              <w:right w:w="108" w:type="dxa"/>
            </w:tcMar>
            <w:vAlign w:val="center"/>
          </w:tcPr>
          <w:p w14:paraId="4FA8DAA8"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认缴（实缴）出资额（万元）</w:t>
            </w:r>
          </w:p>
        </w:tc>
        <w:tc>
          <w:tcPr>
            <w:tcW w:w="1119" w:type="pct"/>
            <w:tcMar>
              <w:top w:w="0" w:type="dxa"/>
              <w:left w:w="108" w:type="dxa"/>
              <w:bottom w:w="0" w:type="dxa"/>
              <w:right w:w="108" w:type="dxa"/>
            </w:tcMar>
            <w:vAlign w:val="center"/>
          </w:tcPr>
          <w:p w14:paraId="1BD9337A"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持股比例（</w:t>
            </w:r>
            <w:r w:rsidRPr="00B4515A">
              <w:rPr>
                <w:rFonts w:ascii="Times New Roman" w:hAnsi="Times New Roman" w:cs="Times New Roman"/>
                <w:b/>
                <w:bCs/>
                <w:sz w:val="21"/>
                <w:szCs w:val="21"/>
              </w:rPr>
              <w:t>%</w:t>
            </w:r>
            <w:r w:rsidRPr="00B4515A">
              <w:rPr>
                <w:rFonts w:ascii="Times New Roman" w:hAnsi="Times New Roman" w:cs="Times New Roman"/>
                <w:b/>
                <w:bCs/>
                <w:sz w:val="21"/>
                <w:szCs w:val="21"/>
              </w:rPr>
              <w:t>）</w:t>
            </w:r>
          </w:p>
        </w:tc>
        <w:tc>
          <w:tcPr>
            <w:tcW w:w="1223" w:type="pct"/>
            <w:tcMar>
              <w:top w:w="0" w:type="dxa"/>
              <w:left w:w="108" w:type="dxa"/>
              <w:bottom w:w="0" w:type="dxa"/>
              <w:right w:w="108" w:type="dxa"/>
            </w:tcMar>
            <w:vAlign w:val="center"/>
          </w:tcPr>
          <w:p w14:paraId="76989DFE"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拥有权益期间</w:t>
            </w:r>
          </w:p>
        </w:tc>
      </w:tr>
      <w:tr w:rsidR="006416B0" w:rsidRPr="00B4515A" w14:paraId="6E706920" w14:textId="77777777" w:rsidTr="005860B4">
        <w:trPr>
          <w:trHeight w:val="340"/>
          <w:jc w:val="center"/>
        </w:trPr>
        <w:tc>
          <w:tcPr>
            <w:tcW w:w="383" w:type="pct"/>
            <w:tcMar>
              <w:top w:w="0" w:type="dxa"/>
              <w:left w:w="108" w:type="dxa"/>
              <w:bottom w:w="0" w:type="dxa"/>
              <w:right w:w="108" w:type="dxa"/>
            </w:tcMar>
            <w:vAlign w:val="center"/>
          </w:tcPr>
          <w:p w14:paraId="7C30016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984" w:type="pct"/>
            <w:tcMar>
              <w:top w:w="0" w:type="dxa"/>
              <w:left w:w="108" w:type="dxa"/>
              <w:bottom w:w="0" w:type="dxa"/>
              <w:right w:w="108" w:type="dxa"/>
            </w:tcMar>
            <w:vAlign w:val="center"/>
          </w:tcPr>
          <w:p w14:paraId="58B3C30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电信科研院</w:t>
            </w:r>
          </w:p>
        </w:tc>
        <w:tc>
          <w:tcPr>
            <w:tcW w:w="1290" w:type="pct"/>
            <w:tcMar>
              <w:top w:w="0" w:type="dxa"/>
              <w:left w:w="108" w:type="dxa"/>
              <w:bottom w:w="0" w:type="dxa"/>
              <w:right w:w="108" w:type="dxa"/>
            </w:tcMar>
            <w:vAlign w:val="center"/>
          </w:tcPr>
          <w:p w14:paraId="034EF81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61,559.283849</w:t>
            </w:r>
          </w:p>
        </w:tc>
        <w:tc>
          <w:tcPr>
            <w:tcW w:w="1119" w:type="pct"/>
            <w:tcMar>
              <w:top w:w="0" w:type="dxa"/>
              <w:left w:w="108" w:type="dxa"/>
              <w:bottom w:w="0" w:type="dxa"/>
              <w:right w:w="108" w:type="dxa"/>
            </w:tcMar>
            <w:vAlign w:val="center"/>
          </w:tcPr>
          <w:p w14:paraId="07900B1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56.798</w:t>
            </w:r>
          </w:p>
        </w:tc>
        <w:tc>
          <w:tcPr>
            <w:tcW w:w="1223" w:type="pct"/>
            <w:tcMar>
              <w:top w:w="0" w:type="dxa"/>
              <w:left w:w="108" w:type="dxa"/>
              <w:bottom w:w="0" w:type="dxa"/>
              <w:right w:w="108" w:type="dxa"/>
            </w:tcMar>
            <w:vAlign w:val="center"/>
          </w:tcPr>
          <w:p w14:paraId="3C06DD9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2008</w:t>
            </w:r>
            <w:r w:rsidRPr="00B4515A">
              <w:rPr>
                <w:rFonts w:ascii="Times New Roman" w:hAnsi="Times New Roman" w:cs="Times New Roman"/>
                <w:sz w:val="21"/>
                <w:szCs w:val="21"/>
              </w:rPr>
              <w:t>年</w:t>
            </w:r>
            <w:r w:rsidRPr="00B4515A">
              <w:rPr>
                <w:rFonts w:ascii="Times New Roman" w:hAnsi="Times New Roman" w:cs="Times New Roman"/>
                <w:sz w:val="21"/>
                <w:szCs w:val="21"/>
              </w:rPr>
              <w:t>12</w:t>
            </w:r>
            <w:r w:rsidRPr="00B4515A">
              <w:rPr>
                <w:rFonts w:ascii="Times New Roman" w:hAnsi="Times New Roman" w:cs="Times New Roman"/>
                <w:sz w:val="21"/>
                <w:szCs w:val="21"/>
              </w:rPr>
              <w:t>月至今</w:t>
            </w:r>
          </w:p>
        </w:tc>
      </w:tr>
      <w:tr w:rsidR="006416B0" w:rsidRPr="00B4515A" w14:paraId="1CECB73F" w14:textId="77777777" w:rsidTr="005860B4">
        <w:trPr>
          <w:trHeight w:val="340"/>
          <w:jc w:val="center"/>
        </w:trPr>
        <w:tc>
          <w:tcPr>
            <w:tcW w:w="383" w:type="pct"/>
            <w:tcMar>
              <w:top w:w="0" w:type="dxa"/>
              <w:left w:w="108" w:type="dxa"/>
              <w:bottom w:w="0" w:type="dxa"/>
              <w:right w:w="108" w:type="dxa"/>
            </w:tcMar>
            <w:vAlign w:val="center"/>
          </w:tcPr>
          <w:p w14:paraId="697DDBC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984" w:type="pct"/>
            <w:tcMar>
              <w:top w:w="0" w:type="dxa"/>
              <w:left w:w="108" w:type="dxa"/>
              <w:bottom w:w="0" w:type="dxa"/>
              <w:right w:w="108" w:type="dxa"/>
            </w:tcMar>
            <w:vAlign w:val="center"/>
          </w:tcPr>
          <w:p w14:paraId="1C650B2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大唐控股</w:t>
            </w:r>
          </w:p>
        </w:tc>
        <w:tc>
          <w:tcPr>
            <w:tcW w:w="1290" w:type="pct"/>
            <w:tcMar>
              <w:top w:w="0" w:type="dxa"/>
              <w:left w:w="108" w:type="dxa"/>
              <w:bottom w:w="0" w:type="dxa"/>
              <w:right w:w="108" w:type="dxa"/>
            </w:tcMar>
            <w:vAlign w:val="center"/>
          </w:tcPr>
          <w:p w14:paraId="6B6AABC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3,326</w:t>
            </w:r>
            <w:r w:rsidRPr="00B4515A">
              <w:rPr>
                <w:rFonts w:ascii="Times New Roman" w:hAnsi="Times New Roman" w:cs="Times New Roman" w:hint="eastAsia"/>
                <w:sz w:val="21"/>
                <w:szCs w:val="21"/>
              </w:rPr>
              <w:t>.</w:t>
            </w:r>
            <w:r w:rsidRPr="00B4515A">
              <w:rPr>
                <w:rFonts w:ascii="Times New Roman" w:hAnsi="Times New Roman" w:cs="Times New Roman"/>
                <w:sz w:val="21"/>
                <w:szCs w:val="21"/>
              </w:rPr>
              <w:t>00</w:t>
            </w:r>
          </w:p>
        </w:tc>
        <w:tc>
          <w:tcPr>
            <w:tcW w:w="1119" w:type="pct"/>
            <w:tcMar>
              <w:top w:w="0" w:type="dxa"/>
              <w:left w:w="108" w:type="dxa"/>
              <w:bottom w:w="0" w:type="dxa"/>
              <w:right w:w="108" w:type="dxa"/>
            </w:tcMar>
            <w:vAlign w:val="center"/>
          </w:tcPr>
          <w:p w14:paraId="764D5A8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3.069</w:t>
            </w:r>
          </w:p>
        </w:tc>
        <w:tc>
          <w:tcPr>
            <w:tcW w:w="1223" w:type="pct"/>
            <w:tcMar>
              <w:top w:w="0" w:type="dxa"/>
              <w:left w:w="108" w:type="dxa"/>
              <w:bottom w:w="0" w:type="dxa"/>
              <w:right w:w="108" w:type="dxa"/>
            </w:tcMar>
            <w:vAlign w:val="center"/>
          </w:tcPr>
          <w:p w14:paraId="1097719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2012</w:t>
            </w:r>
            <w:r w:rsidRPr="00B4515A">
              <w:rPr>
                <w:rFonts w:ascii="Times New Roman" w:hAnsi="Times New Roman" w:cs="Times New Roman"/>
                <w:sz w:val="21"/>
                <w:szCs w:val="21"/>
              </w:rPr>
              <w:t>年</w:t>
            </w:r>
            <w:r w:rsidRPr="00B4515A">
              <w:rPr>
                <w:rFonts w:ascii="Times New Roman" w:hAnsi="Times New Roman" w:cs="Times New Roman"/>
                <w:sz w:val="21"/>
                <w:szCs w:val="21"/>
              </w:rPr>
              <w:t>1</w:t>
            </w:r>
            <w:r w:rsidRPr="00B4515A">
              <w:rPr>
                <w:rFonts w:ascii="Times New Roman" w:hAnsi="Times New Roman" w:cs="Times New Roman"/>
                <w:sz w:val="21"/>
                <w:szCs w:val="21"/>
              </w:rPr>
              <w:t>月至今</w:t>
            </w:r>
          </w:p>
        </w:tc>
      </w:tr>
      <w:tr w:rsidR="006416B0" w:rsidRPr="00B4515A" w14:paraId="493FBAEE" w14:textId="77777777" w:rsidTr="005860B4">
        <w:trPr>
          <w:trHeight w:val="340"/>
          <w:jc w:val="center"/>
        </w:trPr>
        <w:tc>
          <w:tcPr>
            <w:tcW w:w="383" w:type="pct"/>
            <w:tcMar>
              <w:top w:w="0" w:type="dxa"/>
              <w:left w:w="108" w:type="dxa"/>
              <w:bottom w:w="0" w:type="dxa"/>
              <w:right w:w="108" w:type="dxa"/>
            </w:tcMar>
            <w:vAlign w:val="center"/>
          </w:tcPr>
          <w:p w14:paraId="403EB11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984" w:type="pct"/>
            <w:tcMar>
              <w:top w:w="0" w:type="dxa"/>
              <w:left w:w="108" w:type="dxa"/>
              <w:bottom w:w="0" w:type="dxa"/>
              <w:right w:w="108" w:type="dxa"/>
            </w:tcMar>
            <w:vAlign w:val="center"/>
          </w:tcPr>
          <w:p w14:paraId="401DC5CF" w14:textId="5C771CCE" w:rsidR="006416B0" w:rsidRPr="00B4515A" w:rsidRDefault="00252376"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长江移动基金</w:t>
            </w:r>
          </w:p>
        </w:tc>
        <w:tc>
          <w:tcPr>
            <w:tcW w:w="1290" w:type="pct"/>
            <w:tcMar>
              <w:top w:w="0" w:type="dxa"/>
              <w:left w:w="108" w:type="dxa"/>
              <w:bottom w:w="0" w:type="dxa"/>
              <w:right w:w="108" w:type="dxa"/>
            </w:tcMar>
            <w:vAlign w:val="center"/>
          </w:tcPr>
          <w:p w14:paraId="513A5DF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22,846.930933</w:t>
            </w:r>
          </w:p>
        </w:tc>
        <w:tc>
          <w:tcPr>
            <w:tcW w:w="1119" w:type="pct"/>
            <w:tcMar>
              <w:top w:w="0" w:type="dxa"/>
              <w:left w:w="108" w:type="dxa"/>
              <w:bottom w:w="0" w:type="dxa"/>
              <w:right w:w="108" w:type="dxa"/>
            </w:tcMar>
            <w:vAlign w:val="center"/>
          </w:tcPr>
          <w:p w14:paraId="4734407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21.080</w:t>
            </w:r>
          </w:p>
        </w:tc>
        <w:tc>
          <w:tcPr>
            <w:tcW w:w="1223" w:type="pct"/>
            <w:tcMar>
              <w:top w:w="0" w:type="dxa"/>
              <w:left w:w="108" w:type="dxa"/>
              <w:bottom w:w="0" w:type="dxa"/>
              <w:right w:w="108" w:type="dxa"/>
            </w:tcMar>
            <w:vAlign w:val="center"/>
          </w:tcPr>
          <w:p w14:paraId="3A9A371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2021</w:t>
            </w:r>
            <w:r w:rsidRPr="00B4515A">
              <w:rPr>
                <w:rFonts w:ascii="Times New Roman" w:hAnsi="Times New Roman" w:cs="Times New Roman"/>
                <w:sz w:val="21"/>
                <w:szCs w:val="21"/>
              </w:rPr>
              <w:t>年</w:t>
            </w:r>
            <w:r w:rsidRPr="00B4515A">
              <w:rPr>
                <w:rFonts w:ascii="Times New Roman" w:hAnsi="Times New Roman" w:cs="Times New Roman"/>
                <w:sz w:val="21"/>
                <w:szCs w:val="21"/>
              </w:rPr>
              <w:t>4</w:t>
            </w:r>
            <w:r w:rsidRPr="00B4515A">
              <w:rPr>
                <w:rFonts w:ascii="Times New Roman" w:hAnsi="Times New Roman" w:cs="Times New Roman"/>
                <w:sz w:val="21"/>
                <w:szCs w:val="21"/>
              </w:rPr>
              <w:t>月至今</w:t>
            </w:r>
          </w:p>
        </w:tc>
      </w:tr>
      <w:tr w:rsidR="006416B0" w:rsidRPr="00B4515A" w14:paraId="5DA1F348" w14:textId="77777777" w:rsidTr="005860B4">
        <w:trPr>
          <w:trHeight w:val="340"/>
          <w:jc w:val="center"/>
        </w:trPr>
        <w:tc>
          <w:tcPr>
            <w:tcW w:w="383" w:type="pct"/>
            <w:tcMar>
              <w:top w:w="0" w:type="dxa"/>
              <w:left w:w="108" w:type="dxa"/>
              <w:bottom w:w="0" w:type="dxa"/>
              <w:right w:w="108" w:type="dxa"/>
            </w:tcMar>
            <w:vAlign w:val="center"/>
          </w:tcPr>
          <w:p w14:paraId="2CF30CE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4</w:t>
            </w:r>
          </w:p>
        </w:tc>
        <w:tc>
          <w:tcPr>
            <w:tcW w:w="984" w:type="pct"/>
            <w:tcMar>
              <w:top w:w="0" w:type="dxa"/>
              <w:left w:w="108" w:type="dxa"/>
              <w:bottom w:w="0" w:type="dxa"/>
              <w:right w:w="108" w:type="dxa"/>
            </w:tcMar>
            <w:vAlign w:val="center"/>
          </w:tcPr>
          <w:p w14:paraId="034409D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结构调整基金</w:t>
            </w:r>
          </w:p>
        </w:tc>
        <w:tc>
          <w:tcPr>
            <w:tcW w:w="1290" w:type="pct"/>
            <w:tcMar>
              <w:top w:w="0" w:type="dxa"/>
              <w:left w:w="108" w:type="dxa"/>
              <w:bottom w:w="0" w:type="dxa"/>
              <w:right w:w="108" w:type="dxa"/>
            </w:tcMar>
            <w:vAlign w:val="center"/>
          </w:tcPr>
          <w:p w14:paraId="643933F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7,615.643644</w:t>
            </w:r>
          </w:p>
        </w:tc>
        <w:tc>
          <w:tcPr>
            <w:tcW w:w="1119" w:type="pct"/>
            <w:tcMar>
              <w:top w:w="0" w:type="dxa"/>
              <w:left w:w="108" w:type="dxa"/>
              <w:bottom w:w="0" w:type="dxa"/>
              <w:right w:w="108" w:type="dxa"/>
            </w:tcMar>
            <w:vAlign w:val="center"/>
          </w:tcPr>
          <w:p w14:paraId="018CA9C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7.027</w:t>
            </w:r>
          </w:p>
        </w:tc>
        <w:tc>
          <w:tcPr>
            <w:tcW w:w="1223" w:type="pct"/>
            <w:tcMar>
              <w:top w:w="0" w:type="dxa"/>
              <w:left w:w="108" w:type="dxa"/>
              <w:bottom w:w="0" w:type="dxa"/>
              <w:right w:w="108" w:type="dxa"/>
            </w:tcMar>
            <w:vAlign w:val="center"/>
          </w:tcPr>
          <w:p w14:paraId="0C596C7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2021</w:t>
            </w:r>
            <w:r w:rsidRPr="00B4515A">
              <w:rPr>
                <w:rFonts w:ascii="Times New Roman" w:hAnsi="Times New Roman" w:cs="Times New Roman"/>
                <w:sz w:val="21"/>
                <w:szCs w:val="21"/>
              </w:rPr>
              <w:t>年</w:t>
            </w:r>
            <w:r w:rsidRPr="00B4515A">
              <w:rPr>
                <w:rFonts w:ascii="Times New Roman" w:hAnsi="Times New Roman" w:cs="Times New Roman"/>
                <w:sz w:val="21"/>
                <w:szCs w:val="21"/>
              </w:rPr>
              <w:t>4</w:t>
            </w:r>
            <w:r w:rsidRPr="00B4515A">
              <w:rPr>
                <w:rFonts w:ascii="Times New Roman" w:hAnsi="Times New Roman" w:cs="Times New Roman"/>
                <w:sz w:val="21"/>
                <w:szCs w:val="21"/>
              </w:rPr>
              <w:t>月至今</w:t>
            </w:r>
          </w:p>
        </w:tc>
      </w:tr>
      <w:tr w:rsidR="006416B0" w:rsidRPr="00B4515A" w14:paraId="1FA7E80A" w14:textId="77777777" w:rsidTr="005860B4">
        <w:trPr>
          <w:trHeight w:val="340"/>
          <w:jc w:val="center"/>
        </w:trPr>
        <w:tc>
          <w:tcPr>
            <w:tcW w:w="383" w:type="pct"/>
            <w:tcMar>
              <w:top w:w="0" w:type="dxa"/>
              <w:left w:w="108" w:type="dxa"/>
              <w:bottom w:w="0" w:type="dxa"/>
              <w:right w:w="108" w:type="dxa"/>
            </w:tcMar>
            <w:vAlign w:val="center"/>
          </w:tcPr>
          <w:p w14:paraId="28FEFA6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w:t>
            </w:r>
          </w:p>
        </w:tc>
        <w:tc>
          <w:tcPr>
            <w:tcW w:w="984" w:type="pct"/>
            <w:tcMar>
              <w:top w:w="0" w:type="dxa"/>
              <w:left w:w="108" w:type="dxa"/>
              <w:bottom w:w="0" w:type="dxa"/>
              <w:right w:w="108" w:type="dxa"/>
            </w:tcMar>
            <w:vAlign w:val="center"/>
          </w:tcPr>
          <w:p w14:paraId="58D8BFC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金融街资本</w:t>
            </w:r>
          </w:p>
        </w:tc>
        <w:tc>
          <w:tcPr>
            <w:tcW w:w="1290" w:type="pct"/>
            <w:tcMar>
              <w:top w:w="0" w:type="dxa"/>
              <w:left w:w="108" w:type="dxa"/>
              <w:bottom w:w="0" w:type="dxa"/>
              <w:right w:w="108" w:type="dxa"/>
            </w:tcMar>
            <w:vAlign w:val="center"/>
          </w:tcPr>
          <w:p w14:paraId="0E41C28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7,615.643644</w:t>
            </w:r>
          </w:p>
        </w:tc>
        <w:tc>
          <w:tcPr>
            <w:tcW w:w="1119" w:type="pct"/>
            <w:tcMar>
              <w:top w:w="0" w:type="dxa"/>
              <w:left w:w="108" w:type="dxa"/>
              <w:bottom w:w="0" w:type="dxa"/>
              <w:right w:w="108" w:type="dxa"/>
            </w:tcMar>
            <w:vAlign w:val="center"/>
          </w:tcPr>
          <w:p w14:paraId="0BD1A13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7.027</w:t>
            </w:r>
          </w:p>
        </w:tc>
        <w:tc>
          <w:tcPr>
            <w:tcW w:w="1223" w:type="pct"/>
            <w:tcMar>
              <w:top w:w="0" w:type="dxa"/>
              <w:left w:w="108" w:type="dxa"/>
              <w:bottom w:w="0" w:type="dxa"/>
              <w:right w:w="108" w:type="dxa"/>
            </w:tcMar>
            <w:vAlign w:val="center"/>
          </w:tcPr>
          <w:p w14:paraId="0421CC5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2021</w:t>
            </w:r>
            <w:r w:rsidRPr="00B4515A">
              <w:rPr>
                <w:rFonts w:ascii="Times New Roman" w:hAnsi="Times New Roman" w:cs="Times New Roman"/>
                <w:sz w:val="21"/>
                <w:szCs w:val="21"/>
              </w:rPr>
              <w:t>年</w:t>
            </w:r>
            <w:r w:rsidRPr="00B4515A">
              <w:rPr>
                <w:rFonts w:ascii="Times New Roman" w:hAnsi="Times New Roman" w:cs="Times New Roman"/>
                <w:sz w:val="21"/>
                <w:szCs w:val="21"/>
              </w:rPr>
              <w:t>4</w:t>
            </w:r>
            <w:r w:rsidRPr="00B4515A">
              <w:rPr>
                <w:rFonts w:ascii="Times New Roman" w:hAnsi="Times New Roman" w:cs="Times New Roman"/>
                <w:sz w:val="21"/>
                <w:szCs w:val="21"/>
              </w:rPr>
              <w:t>月至今</w:t>
            </w:r>
          </w:p>
        </w:tc>
      </w:tr>
      <w:tr w:rsidR="006416B0" w:rsidRPr="00B4515A" w14:paraId="4052734C" w14:textId="77777777" w:rsidTr="005860B4">
        <w:trPr>
          <w:trHeight w:val="340"/>
          <w:jc w:val="center"/>
        </w:trPr>
        <w:tc>
          <w:tcPr>
            <w:tcW w:w="1368" w:type="pct"/>
            <w:gridSpan w:val="2"/>
            <w:tcMar>
              <w:top w:w="0" w:type="dxa"/>
              <w:left w:w="108" w:type="dxa"/>
              <w:bottom w:w="0" w:type="dxa"/>
              <w:right w:w="108" w:type="dxa"/>
            </w:tcMar>
            <w:vAlign w:val="center"/>
          </w:tcPr>
          <w:p w14:paraId="077D8C59"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合计</w:t>
            </w:r>
          </w:p>
        </w:tc>
        <w:tc>
          <w:tcPr>
            <w:tcW w:w="1290" w:type="pct"/>
            <w:tcMar>
              <w:top w:w="0" w:type="dxa"/>
              <w:left w:w="108" w:type="dxa"/>
              <w:bottom w:w="0" w:type="dxa"/>
              <w:right w:w="108" w:type="dxa"/>
            </w:tcMar>
            <w:vAlign w:val="center"/>
          </w:tcPr>
          <w:p w14:paraId="767DD519"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102,963.50207</w:t>
            </w:r>
          </w:p>
        </w:tc>
        <w:tc>
          <w:tcPr>
            <w:tcW w:w="1119" w:type="pct"/>
            <w:tcMar>
              <w:top w:w="0" w:type="dxa"/>
              <w:left w:w="108" w:type="dxa"/>
              <w:bottom w:w="0" w:type="dxa"/>
              <w:right w:w="108" w:type="dxa"/>
            </w:tcMar>
            <w:vAlign w:val="center"/>
          </w:tcPr>
          <w:p w14:paraId="546504B6"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95.001</w:t>
            </w:r>
          </w:p>
        </w:tc>
        <w:tc>
          <w:tcPr>
            <w:tcW w:w="1223" w:type="pct"/>
            <w:tcMar>
              <w:top w:w="0" w:type="dxa"/>
              <w:left w:w="108" w:type="dxa"/>
              <w:bottom w:w="0" w:type="dxa"/>
              <w:right w:w="108" w:type="dxa"/>
            </w:tcMar>
            <w:vAlign w:val="center"/>
          </w:tcPr>
          <w:p w14:paraId="427291DC"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w:t>
            </w:r>
          </w:p>
        </w:tc>
      </w:tr>
    </w:tbl>
    <w:p w14:paraId="361E044D" w14:textId="77777777" w:rsidR="006416B0" w:rsidRPr="00B4515A" w:rsidRDefault="005E58C1" w:rsidP="005860B4">
      <w:pPr>
        <w:pStyle w:val="003"/>
        <w:spacing w:before="120"/>
        <w:ind w:firstLine="482"/>
      </w:pPr>
      <w:bookmarkStart w:id="146" w:name="_Hlk76925322"/>
      <w:bookmarkEnd w:id="145"/>
      <w:r w:rsidRPr="00B4515A">
        <w:rPr>
          <w:rFonts w:hint="eastAsia"/>
        </w:rPr>
        <w:t>（二）</w:t>
      </w:r>
      <w:r w:rsidRPr="00B4515A">
        <w:t>结合交易对方与上市公司的关系、其在取得本次交易对价股份时持续拥有大唐联诚权益的时间，</w:t>
      </w:r>
      <w:r w:rsidRPr="00B4515A">
        <w:rPr>
          <w:rFonts w:hint="eastAsia"/>
        </w:rPr>
        <w:t>根据《重组管理办法》，本次交易的</w:t>
      </w:r>
      <w:r w:rsidRPr="00B4515A">
        <w:t>5</w:t>
      </w:r>
      <w:r w:rsidRPr="00B4515A">
        <w:rPr>
          <w:rFonts w:hint="eastAsia"/>
        </w:rPr>
        <w:t>家交易对方均出具了《关于股份锁定期的承诺函》。其中：</w:t>
      </w:r>
    </w:p>
    <w:p w14:paraId="3897C1B5" w14:textId="77777777" w:rsidR="006416B0" w:rsidRPr="00B4515A" w:rsidRDefault="005E58C1" w:rsidP="005860B4">
      <w:pPr>
        <w:pStyle w:val="005"/>
        <w:spacing w:before="120" w:after="120"/>
        <w:ind w:firstLine="480"/>
      </w:pPr>
      <w:r w:rsidRPr="00B4515A">
        <w:t>1</w:t>
      </w:r>
      <w:r w:rsidRPr="00B4515A">
        <w:rPr>
          <w:rFonts w:hint="eastAsia"/>
        </w:rPr>
        <w:t>、电信科研院和大唐控股分别作为上市公司的控股股东及控股股东控制的关联人，承诺内容如下：</w:t>
      </w:r>
    </w:p>
    <w:p w14:paraId="30EF1E63" w14:textId="77777777" w:rsidR="006416B0" w:rsidRPr="00B4515A" w:rsidRDefault="005E58C1" w:rsidP="005860B4">
      <w:pPr>
        <w:pStyle w:val="005"/>
        <w:spacing w:before="120" w:after="120"/>
        <w:ind w:firstLine="480"/>
      </w:pPr>
      <w:r w:rsidRPr="00B4515A">
        <w:rPr>
          <w:rFonts w:ascii="宋体" w:hAnsi="宋体" w:hint="eastAsia"/>
          <w:color w:val="000000"/>
        </w:rPr>
        <w:lastRenderedPageBreak/>
        <w:t>“</w:t>
      </w:r>
      <w:r w:rsidRPr="00B4515A">
        <w:t>1</w:t>
      </w:r>
      <w:r w:rsidRPr="00B4515A">
        <w:t>、本公司在本次交易完成前已持有的大唐电信股份，自本次交易完成后</w:t>
      </w:r>
      <w:r w:rsidRPr="00B4515A">
        <w:t>18</w:t>
      </w:r>
      <w:r w:rsidRPr="00B4515A">
        <w:t>个月内不得转让。</w:t>
      </w:r>
    </w:p>
    <w:p w14:paraId="606D8970" w14:textId="77777777" w:rsidR="006416B0" w:rsidRPr="00B4515A" w:rsidRDefault="005E58C1" w:rsidP="005860B4">
      <w:pPr>
        <w:pStyle w:val="005"/>
        <w:spacing w:before="120" w:after="120"/>
        <w:ind w:firstLine="480"/>
      </w:pPr>
      <w:r w:rsidRPr="00B4515A">
        <w:t>2</w:t>
      </w:r>
      <w:r w:rsidRPr="00B4515A">
        <w:t>、本公司</w:t>
      </w:r>
      <w:r w:rsidRPr="00B4515A">
        <w:t>/</w:t>
      </w:r>
      <w:r w:rsidRPr="00B4515A">
        <w:t>本企业通过本次交易取得的大唐电信的股份自该等股份发行结束之日起</w:t>
      </w:r>
      <w:r w:rsidRPr="00B4515A">
        <w:t>36</w:t>
      </w:r>
      <w:r w:rsidRPr="00B4515A">
        <w:t>个月不得转让。如未来本公司</w:t>
      </w:r>
      <w:r w:rsidRPr="00B4515A">
        <w:t>/</w:t>
      </w:r>
      <w:r w:rsidRPr="00B4515A">
        <w:t>本企业还需承担业绩承诺及补偿义务，本公司</w:t>
      </w:r>
      <w:r w:rsidRPr="00B4515A">
        <w:t>/</w:t>
      </w:r>
      <w:r w:rsidRPr="00B4515A">
        <w:t>本企业所持有股份还应遵守相关业绩承诺中对于锁定期的要求。</w:t>
      </w:r>
    </w:p>
    <w:p w14:paraId="653E86D8" w14:textId="77777777" w:rsidR="006416B0" w:rsidRPr="00B4515A" w:rsidRDefault="005E58C1" w:rsidP="005860B4">
      <w:pPr>
        <w:pStyle w:val="005"/>
        <w:spacing w:before="120" w:after="120"/>
        <w:ind w:firstLine="480"/>
      </w:pPr>
      <w:r w:rsidRPr="00B4515A">
        <w:t>3</w:t>
      </w:r>
      <w:r w:rsidRPr="00B4515A">
        <w:t>、限售期内，本公司</w:t>
      </w:r>
      <w:r w:rsidRPr="00B4515A">
        <w:t>/</w:t>
      </w:r>
      <w:r w:rsidRPr="00B4515A">
        <w:t>本企业如因大唐电信实施送股、配股、资本公积转增股本等原因而由上述认购股份衍生取得的大唐电信的股份，亦应遵守上述锁定期约定。</w:t>
      </w:r>
    </w:p>
    <w:p w14:paraId="2AC801A9" w14:textId="1E956CAD" w:rsidR="006416B0" w:rsidRPr="00B4515A" w:rsidRDefault="005E58C1" w:rsidP="005860B4">
      <w:pPr>
        <w:pStyle w:val="005"/>
        <w:spacing w:before="120" w:after="120"/>
        <w:ind w:firstLine="480"/>
      </w:pPr>
      <w:r w:rsidRPr="00B4515A">
        <w:t>4</w:t>
      </w:r>
      <w:r w:rsidRPr="00B4515A">
        <w:t>、本公司</w:t>
      </w:r>
      <w:r w:rsidRPr="00B4515A">
        <w:t>/</w:t>
      </w:r>
      <w:r w:rsidRPr="00B4515A">
        <w:t>本企业因本次交易股份购买资产所获得的大唐电信的股份在限售期届满后减持时，需遵守《中华人民共和国公司法》《中华人民共和国证券法》《上海证券交易所股票上市规则》等法律、法规、规章、规范性文件以及大唐电信公司章程的相关规定。</w:t>
      </w:r>
    </w:p>
    <w:p w14:paraId="55F4672B" w14:textId="77777777" w:rsidR="006416B0" w:rsidRPr="00B4515A" w:rsidRDefault="005E58C1" w:rsidP="005860B4">
      <w:pPr>
        <w:pStyle w:val="005"/>
        <w:spacing w:before="120" w:after="120"/>
        <w:ind w:firstLine="480"/>
      </w:pPr>
      <w:r w:rsidRPr="00B4515A">
        <w:t>5</w:t>
      </w:r>
      <w:r w:rsidRPr="00B4515A">
        <w:t>、若股份的锁定期规定与证券监管机构的最新监管意见不相符，将根据相关证券监管机构的监管意见进行相应调整。</w:t>
      </w:r>
    </w:p>
    <w:p w14:paraId="1C26ADFF" w14:textId="77777777" w:rsidR="006416B0" w:rsidRPr="00B4515A" w:rsidRDefault="005E58C1" w:rsidP="005860B4">
      <w:pPr>
        <w:pStyle w:val="005"/>
        <w:spacing w:before="120" w:after="120"/>
        <w:ind w:firstLine="480"/>
      </w:pPr>
      <w:r w:rsidRPr="00B4515A">
        <w:t>6</w:t>
      </w:r>
      <w:r w:rsidRPr="00B4515A">
        <w:t>、本次交易完成后</w:t>
      </w:r>
      <w:r w:rsidRPr="00B4515A">
        <w:t>6</w:t>
      </w:r>
      <w:r w:rsidRPr="00B4515A">
        <w:t>个月内如大唐电信股票连续</w:t>
      </w:r>
      <w:r w:rsidRPr="00B4515A">
        <w:t>20</w:t>
      </w:r>
      <w:r w:rsidRPr="00B4515A">
        <w:t>个交易日的收盘价低于发行价，或者交易完成后</w:t>
      </w:r>
      <w:r w:rsidRPr="00B4515A">
        <w:t>6</w:t>
      </w:r>
      <w:r w:rsidRPr="00B4515A">
        <w:t>个月期末收盘价低于发行价的，本公司</w:t>
      </w:r>
      <w:r w:rsidRPr="00B4515A">
        <w:t>/</w:t>
      </w:r>
      <w:r w:rsidRPr="00B4515A">
        <w:t>本企业在本次交易中取得的大唐电信的股份的锁定期自动延长</w:t>
      </w:r>
      <w:r w:rsidRPr="00B4515A">
        <w:t>6</w:t>
      </w:r>
      <w:r w:rsidRPr="00B4515A">
        <w:t>个月（若上述期间上市公司发生派息、送股、转增股本或配股等除权除息事项的，则前述本次交易发行价以经除息、除权等因素调整后的价格计算）。</w:t>
      </w:r>
    </w:p>
    <w:p w14:paraId="12EDCD28" w14:textId="77777777" w:rsidR="006416B0" w:rsidRPr="00B4515A" w:rsidRDefault="005E58C1" w:rsidP="005860B4">
      <w:pPr>
        <w:pStyle w:val="005"/>
        <w:spacing w:before="120" w:after="120"/>
        <w:ind w:firstLine="480"/>
        <w:rPr>
          <w:color w:val="000000"/>
        </w:rPr>
      </w:pPr>
      <w:r w:rsidRPr="00B4515A">
        <w:t>7</w:t>
      </w:r>
      <w:r w:rsidRPr="00B4515A">
        <w:t>、如本公司</w:t>
      </w:r>
      <w:r w:rsidRPr="00B4515A">
        <w:t>/</w:t>
      </w:r>
      <w:r w:rsidRPr="00B4515A">
        <w:t>本企业为本次交易所提供或披露的信息涉嫌虚假记载、误导性陈述或者重大遗漏，被司法机关立案侦查或者被中国证监会立案调查的，在形成调查结论以前，本公司</w:t>
      </w:r>
      <w:r w:rsidRPr="00B4515A">
        <w:t>/</w:t>
      </w:r>
      <w:r w:rsidRPr="00B4515A">
        <w:t>本企业不得转让其在大唐电信拥有权益的股份。</w:t>
      </w:r>
      <w:r w:rsidRPr="00B4515A">
        <w:rPr>
          <w:rFonts w:ascii="宋体" w:hAnsi="宋体"/>
          <w:color w:val="000000"/>
        </w:rPr>
        <w:t>”</w:t>
      </w:r>
    </w:p>
    <w:p w14:paraId="47E42FE1" w14:textId="6576ED7B" w:rsidR="006416B0" w:rsidRPr="00B4515A" w:rsidRDefault="005E58C1" w:rsidP="005860B4">
      <w:pPr>
        <w:pStyle w:val="005"/>
        <w:spacing w:before="120" w:after="120"/>
        <w:ind w:firstLine="480"/>
        <w:rPr>
          <w:color w:val="000000"/>
        </w:rPr>
      </w:pPr>
      <w:r w:rsidRPr="00B4515A">
        <w:rPr>
          <w:color w:val="000000"/>
        </w:rPr>
        <w:t>2</w:t>
      </w:r>
      <w:r w:rsidRPr="00B4515A">
        <w:rPr>
          <w:rFonts w:hint="eastAsia"/>
          <w:color w:val="000000"/>
        </w:rPr>
        <w:t>、</w:t>
      </w:r>
      <w:r w:rsidR="00252376" w:rsidRPr="00B4515A">
        <w:rPr>
          <w:rFonts w:hint="eastAsia"/>
          <w:color w:val="000000"/>
        </w:rPr>
        <w:t>长江移动基金</w:t>
      </w:r>
      <w:r w:rsidRPr="00B4515A">
        <w:rPr>
          <w:rFonts w:hint="eastAsia"/>
          <w:color w:val="000000"/>
        </w:rPr>
        <w:t>、结构调整基金、金融街资本承诺内容如下：</w:t>
      </w:r>
    </w:p>
    <w:p w14:paraId="180D94FF" w14:textId="77777777" w:rsidR="006416B0" w:rsidRPr="00B4515A" w:rsidRDefault="005E58C1" w:rsidP="005860B4">
      <w:pPr>
        <w:pStyle w:val="005"/>
        <w:spacing w:before="120" w:after="120"/>
        <w:ind w:firstLine="480"/>
        <w:rPr>
          <w:color w:val="000000"/>
        </w:rPr>
      </w:pPr>
      <w:r w:rsidRPr="00B4515A">
        <w:rPr>
          <w:rFonts w:ascii="宋体" w:hAnsi="宋体" w:hint="eastAsia"/>
          <w:color w:val="000000"/>
        </w:rPr>
        <w:t>“</w:t>
      </w:r>
      <w:r w:rsidRPr="00B4515A">
        <w:rPr>
          <w:color w:val="000000"/>
        </w:rPr>
        <w:t>1</w:t>
      </w:r>
      <w:r w:rsidRPr="00B4515A">
        <w:rPr>
          <w:rFonts w:hint="eastAsia"/>
          <w:color w:val="000000"/>
        </w:rPr>
        <w:t>、本企业通过本次交易取得的大唐电信向本企业发行的股份时，如本企业用于认购股份的资产持续拥有权益的时间不足</w:t>
      </w:r>
      <w:r w:rsidRPr="00B4515A">
        <w:rPr>
          <w:color w:val="000000"/>
        </w:rPr>
        <w:t>12</w:t>
      </w:r>
      <w:r w:rsidRPr="00B4515A">
        <w:rPr>
          <w:rFonts w:hint="eastAsia"/>
          <w:color w:val="000000"/>
        </w:rPr>
        <w:t>个月，则本企业所认购的大唐电信股份自该等股份发行结束之日起</w:t>
      </w:r>
      <w:r w:rsidRPr="00B4515A">
        <w:rPr>
          <w:color w:val="000000"/>
        </w:rPr>
        <w:t>36</w:t>
      </w:r>
      <w:r w:rsidRPr="00B4515A">
        <w:rPr>
          <w:rFonts w:hint="eastAsia"/>
          <w:color w:val="000000"/>
        </w:rPr>
        <w:t>个月内不得转让。</w:t>
      </w:r>
    </w:p>
    <w:p w14:paraId="5C19AE56" w14:textId="77777777" w:rsidR="006416B0" w:rsidRPr="00B4515A" w:rsidRDefault="005E58C1" w:rsidP="005860B4">
      <w:pPr>
        <w:pStyle w:val="005"/>
        <w:spacing w:before="120" w:after="120"/>
        <w:ind w:firstLine="480"/>
        <w:rPr>
          <w:color w:val="000000"/>
        </w:rPr>
      </w:pPr>
      <w:r w:rsidRPr="00B4515A">
        <w:rPr>
          <w:color w:val="000000"/>
        </w:rPr>
        <w:t>2</w:t>
      </w:r>
      <w:r w:rsidRPr="00B4515A">
        <w:rPr>
          <w:rFonts w:hint="eastAsia"/>
          <w:color w:val="000000"/>
        </w:rPr>
        <w:t>、本企业通过本次交易取得的大唐电信向本企业发行的股份时，如本企业</w:t>
      </w:r>
      <w:r w:rsidRPr="00B4515A">
        <w:rPr>
          <w:rFonts w:hint="eastAsia"/>
          <w:color w:val="000000"/>
        </w:rPr>
        <w:lastRenderedPageBreak/>
        <w:t>用于认购股份的资产持续拥有权益的时间已满</w:t>
      </w:r>
      <w:r w:rsidRPr="00B4515A">
        <w:rPr>
          <w:color w:val="000000"/>
        </w:rPr>
        <w:t>12</w:t>
      </w:r>
      <w:r w:rsidRPr="00B4515A">
        <w:rPr>
          <w:rFonts w:hint="eastAsia"/>
          <w:color w:val="000000"/>
        </w:rPr>
        <w:t>个月，则本企业所认购的大唐电信股份自该等股份发行结束之日起</w:t>
      </w:r>
      <w:r w:rsidRPr="00B4515A">
        <w:rPr>
          <w:color w:val="000000"/>
        </w:rPr>
        <w:t>12</w:t>
      </w:r>
      <w:r w:rsidRPr="00B4515A">
        <w:rPr>
          <w:rFonts w:hint="eastAsia"/>
          <w:color w:val="000000"/>
        </w:rPr>
        <w:t>个月内不得转让。</w:t>
      </w:r>
    </w:p>
    <w:p w14:paraId="6041FFD1" w14:textId="77777777" w:rsidR="006416B0" w:rsidRPr="00B4515A" w:rsidRDefault="005E58C1" w:rsidP="005860B4">
      <w:pPr>
        <w:pStyle w:val="005"/>
        <w:spacing w:before="120" w:after="120"/>
        <w:ind w:firstLine="480"/>
        <w:rPr>
          <w:color w:val="000000"/>
        </w:rPr>
      </w:pPr>
      <w:r w:rsidRPr="00B4515A">
        <w:rPr>
          <w:color w:val="000000"/>
        </w:rPr>
        <w:t>3</w:t>
      </w:r>
      <w:r w:rsidRPr="00B4515A">
        <w:rPr>
          <w:rFonts w:hint="eastAsia"/>
          <w:color w:val="000000"/>
        </w:rPr>
        <w:t>、限售期内，本企业如因大唐电信实施送股、配股、资本公积转增股本等原因而由上述认购股份衍生取得的大唐电信的股份，亦应遵守上述锁定期约定。</w:t>
      </w:r>
    </w:p>
    <w:p w14:paraId="5EFFE850" w14:textId="66BA8A00" w:rsidR="006416B0" w:rsidRPr="00B4515A" w:rsidRDefault="005E58C1" w:rsidP="005860B4">
      <w:pPr>
        <w:pStyle w:val="005"/>
        <w:spacing w:before="120" w:after="120"/>
        <w:ind w:firstLine="480"/>
        <w:rPr>
          <w:color w:val="000000"/>
        </w:rPr>
      </w:pPr>
      <w:r w:rsidRPr="00B4515A">
        <w:rPr>
          <w:color w:val="000000"/>
        </w:rPr>
        <w:t>4</w:t>
      </w:r>
      <w:r w:rsidRPr="00B4515A">
        <w:rPr>
          <w:rFonts w:hint="eastAsia"/>
          <w:color w:val="000000"/>
        </w:rPr>
        <w:t>、本企业因本次交易股份购买资产所获得的大唐电信的股份在限售期届满后减持时，需遵守《中华人民共和国公司法》《中华人民共和国证券法》《上海证券交易所股票上市规则》等法律、法规、规章、规范性文件以及大唐电信公司章程的相关规定。</w:t>
      </w:r>
    </w:p>
    <w:p w14:paraId="1A803AC7" w14:textId="77777777" w:rsidR="006416B0" w:rsidRPr="00B4515A" w:rsidRDefault="005E58C1" w:rsidP="005860B4">
      <w:pPr>
        <w:pStyle w:val="005"/>
        <w:spacing w:before="120" w:after="120"/>
        <w:ind w:firstLine="480"/>
        <w:rPr>
          <w:color w:val="000000"/>
        </w:rPr>
      </w:pPr>
      <w:r w:rsidRPr="00B4515A">
        <w:rPr>
          <w:color w:val="000000"/>
        </w:rPr>
        <w:t>5</w:t>
      </w:r>
      <w:r w:rsidRPr="00B4515A">
        <w:rPr>
          <w:rFonts w:hint="eastAsia"/>
          <w:color w:val="000000"/>
        </w:rPr>
        <w:t>、若股份的锁定期规定与证券监管机构的最新监管意见不相符，将根据相关证券监管机构的监管意见进行相应调整。</w:t>
      </w:r>
    </w:p>
    <w:p w14:paraId="445BA57B" w14:textId="77777777" w:rsidR="006416B0" w:rsidRPr="00B4515A" w:rsidRDefault="005E58C1" w:rsidP="005860B4">
      <w:pPr>
        <w:pStyle w:val="005"/>
        <w:spacing w:before="120" w:after="120"/>
        <w:ind w:firstLine="480"/>
        <w:rPr>
          <w:color w:val="000000"/>
        </w:rPr>
      </w:pPr>
      <w:r w:rsidRPr="00B4515A">
        <w:rPr>
          <w:color w:val="000000"/>
        </w:rPr>
        <w:t>6</w:t>
      </w:r>
      <w:r w:rsidRPr="00B4515A">
        <w:rPr>
          <w:rFonts w:hint="eastAsia"/>
          <w:color w:val="000000"/>
        </w:rPr>
        <w:t>、如本企业为本次交易所提供或披露的信息涉嫌虚假记载、误导性陈述或者重大遗漏，被司法机关立案侦查或者被中国证监会立案调查的，在形成调查结论以前，本企业不得转让其在大唐电信拥有权益的股份。</w:t>
      </w:r>
      <w:r w:rsidRPr="00B4515A">
        <w:rPr>
          <w:rFonts w:ascii="宋体" w:hAnsi="宋体"/>
          <w:color w:val="000000"/>
        </w:rPr>
        <w:t>”</w:t>
      </w:r>
    </w:p>
    <w:p w14:paraId="0AE83A93" w14:textId="77777777" w:rsidR="006416B0" w:rsidRPr="00B4515A" w:rsidRDefault="005E58C1" w:rsidP="005860B4">
      <w:pPr>
        <w:pStyle w:val="003"/>
        <w:spacing w:before="120"/>
        <w:ind w:firstLine="482"/>
      </w:pPr>
      <w:r w:rsidRPr="00B4515A">
        <w:rPr>
          <w:rFonts w:hint="eastAsia"/>
        </w:rPr>
        <w:t>（三）中国信科集团在本次交易前所持公司股份的锁定期安排</w:t>
      </w:r>
    </w:p>
    <w:p w14:paraId="0A1BD98B" w14:textId="77777777" w:rsidR="006416B0" w:rsidRPr="00B4515A" w:rsidRDefault="005E58C1" w:rsidP="005860B4">
      <w:pPr>
        <w:pStyle w:val="005"/>
        <w:spacing w:before="120" w:after="120"/>
        <w:ind w:firstLine="480"/>
      </w:pPr>
      <w:r w:rsidRPr="00B4515A">
        <w:t>本次交易前，中国信科集团未直接持有大唐电信股份。中国信科集团将在本次交易完成后直接持有大唐电信股份。</w:t>
      </w:r>
    </w:p>
    <w:p w14:paraId="69756F8D" w14:textId="5C20DFB8" w:rsidR="006416B0" w:rsidRPr="00B4515A" w:rsidRDefault="005E58C1" w:rsidP="005860B4">
      <w:pPr>
        <w:pStyle w:val="005"/>
        <w:spacing w:before="120" w:after="120"/>
        <w:ind w:firstLine="480"/>
      </w:pPr>
      <w:r w:rsidRPr="00B4515A">
        <w:t>截至</w:t>
      </w:r>
      <w:r w:rsidR="00CA7693" w:rsidRPr="00B4515A">
        <w:t>2021</w:t>
      </w:r>
      <w:r w:rsidR="00CA7693" w:rsidRPr="00B4515A">
        <w:t>年</w:t>
      </w:r>
      <w:r w:rsidR="00CA7693" w:rsidRPr="00B4515A">
        <w:t>6</w:t>
      </w:r>
      <w:r w:rsidRPr="00B4515A">
        <w:t>月</w:t>
      </w:r>
      <w:r w:rsidR="00CA7693" w:rsidRPr="00B4515A">
        <w:t>30</w:t>
      </w:r>
      <w:r w:rsidRPr="00B4515A">
        <w:t>日，中国信科集团全资子公司电信科研院、电信科研院全资子公司大唐控股分别持有大唐电信</w:t>
      </w:r>
      <w:r w:rsidRPr="00B4515A">
        <w:t>17.15%</w:t>
      </w:r>
      <w:r w:rsidRPr="00B4515A">
        <w:t>、</w:t>
      </w:r>
      <w:r w:rsidRPr="00B4515A">
        <w:t>16.79%</w:t>
      </w:r>
      <w:r w:rsidRPr="00B4515A">
        <w:t>的股份。电信科研院、大唐控股出具《关于股份锁定期的承诺函》，电信科研院和大唐控股承诺其在本次交易完成前已持有的大唐电信股份自本次交易完成后</w:t>
      </w:r>
      <w:r w:rsidRPr="00B4515A">
        <w:t>18</w:t>
      </w:r>
      <w:r w:rsidRPr="00B4515A">
        <w:t>个月内不得转让</w:t>
      </w:r>
      <w:r w:rsidRPr="00B4515A">
        <w:rPr>
          <w:rFonts w:hint="eastAsia"/>
        </w:rPr>
        <w:t>。</w:t>
      </w:r>
    </w:p>
    <w:p w14:paraId="59456E0E" w14:textId="77777777" w:rsidR="006416B0" w:rsidRPr="00B4515A" w:rsidRDefault="005E58C1" w:rsidP="005860B4">
      <w:pPr>
        <w:pStyle w:val="005"/>
        <w:spacing w:before="120" w:after="120"/>
        <w:ind w:firstLine="480"/>
      </w:pPr>
      <w:r w:rsidRPr="00B4515A">
        <w:t>就本次募集配套资金取得的股份，中国信科集团出具《中国信息通信科技集团有限公司关于股份锁定期的承诺函》，具体内容如下：</w:t>
      </w:r>
    </w:p>
    <w:p w14:paraId="579BF643" w14:textId="77777777" w:rsidR="006416B0" w:rsidRPr="00B4515A" w:rsidRDefault="005E58C1" w:rsidP="005860B4">
      <w:pPr>
        <w:pStyle w:val="005"/>
        <w:spacing w:before="120" w:after="120"/>
        <w:ind w:firstLine="480"/>
      </w:pPr>
      <w:r w:rsidRPr="00B4515A">
        <w:rPr>
          <w:rFonts w:ascii="宋体" w:hAnsi="宋体" w:hint="eastAsia"/>
        </w:rPr>
        <w:t>“</w:t>
      </w:r>
      <w:r w:rsidRPr="00B4515A">
        <w:t>1</w:t>
      </w:r>
      <w:r w:rsidRPr="00B4515A">
        <w:t>、本公司就大唐电信本次非公开发行股份募集配套资金认购的股份自本次发行结束之日起三年内不得转让；</w:t>
      </w:r>
    </w:p>
    <w:p w14:paraId="154346C1" w14:textId="77777777" w:rsidR="006416B0" w:rsidRPr="00B4515A" w:rsidRDefault="005E58C1" w:rsidP="005860B4">
      <w:pPr>
        <w:pStyle w:val="005"/>
        <w:spacing w:before="120" w:after="120"/>
        <w:ind w:firstLine="480"/>
      </w:pPr>
      <w:r w:rsidRPr="00B4515A">
        <w:t>2</w:t>
      </w:r>
      <w:r w:rsidRPr="00B4515A">
        <w:t>、限售期内，本公司如因大唐电信实施送股、配股、资本公积转增股本等原因而由上述认购股份衍生取得的大唐电信的股份，亦应遵守上述锁定期约定；</w:t>
      </w:r>
    </w:p>
    <w:p w14:paraId="50FE087E" w14:textId="78A5EC53" w:rsidR="006416B0" w:rsidRPr="00B4515A" w:rsidRDefault="005E58C1" w:rsidP="005860B4">
      <w:pPr>
        <w:pStyle w:val="005"/>
        <w:spacing w:before="120" w:after="120"/>
        <w:ind w:firstLine="480"/>
      </w:pPr>
      <w:r w:rsidRPr="00B4515A">
        <w:t>3</w:t>
      </w:r>
      <w:r w:rsidRPr="00B4515A">
        <w:t>、本公司因本次交易认购的大唐电信的股份在限售期届满后减持时，需遵</w:t>
      </w:r>
      <w:r w:rsidRPr="00B4515A">
        <w:lastRenderedPageBreak/>
        <w:t>守《中华人民共和国公司法》《中华人民共和国证券法》《上海证券交易所股票上市规则》等法律、法规、规章、</w:t>
      </w:r>
      <w:r w:rsidRPr="00B4515A">
        <w:rPr>
          <w:rFonts w:hint="eastAsia"/>
        </w:rPr>
        <w:t>规范性文件以及大唐电信公司章程的相关规定</w:t>
      </w:r>
      <w:r w:rsidRPr="00B4515A">
        <w:t>。</w:t>
      </w:r>
    </w:p>
    <w:p w14:paraId="3C98B452" w14:textId="77777777" w:rsidR="006416B0" w:rsidRPr="00B4515A" w:rsidRDefault="005E58C1" w:rsidP="005860B4">
      <w:pPr>
        <w:pStyle w:val="005"/>
        <w:spacing w:before="120" w:after="120"/>
        <w:ind w:firstLine="480"/>
      </w:pPr>
      <w:r w:rsidRPr="00B4515A">
        <w:t>4</w:t>
      </w:r>
      <w:r w:rsidRPr="00B4515A">
        <w:t>、若股份的锁定期规定与证券监管机构的最新监管意见不相符，将根据相关证券监管机构的监管意见进行相应调整。</w:t>
      </w:r>
    </w:p>
    <w:p w14:paraId="494A92DE" w14:textId="77777777" w:rsidR="006416B0" w:rsidRPr="00B4515A" w:rsidRDefault="005E58C1" w:rsidP="005860B4">
      <w:pPr>
        <w:pStyle w:val="005"/>
        <w:spacing w:before="120" w:after="120"/>
        <w:ind w:firstLine="480"/>
      </w:pPr>
      <w:r w:rsidRPr="00B4515A">
        <w:t>本承诺函自作出之日即对本公司发生法律效力，本公司就本次交易已经出具的《中国信息通信科技集团有限公司关于股份锁定期的承诺函》与本承诺函存在不一致之处的，以本承诺函内容为准。</w:t>
      </w:r>
      <w:r w:rsidRPr="00B4515A">
        <w:rPr>
          <w:rFonts w:ascii="宋体" w:hAnsi="宋体"/>
        </w:rPr>
        <w:t>”</w:t>
      </w:r>
    </w:p>
    <w:p w14:paraId="4CF129C3" w14:textId="62182C28" w:rsidR="006416B0" w:rsidRPr="00B4515A" w:rsidRDefault="005E58C1" w:rsidP="005860B4">
      <w:pPr>
        <w:pStyle w:val="005"/>
        <w:spacing w:before="120" w:after="120"/>
        <w:ind w:firstLine="480"/>
      </w:pPr>
      <w:r w:rsidRPr="00B4515A">
        <w:rPr>
          <w:rFonts w:hint="eastAsia"/>
        </w:rPr>
        <w:t>综上，</w:t>
      </w:r>
      <w:r w:rsidRPr="00B4515A">
        <w:t>电信科研院、大唐控股前述关于本次交易前所持上市公司锁定期的承诺符合《上市公司收购管理办法（</w:t>
      </w:r>
      <w:r w:rsidRPr="00B4515A">
        <w:t>2020</w:t>
      </w:r>
      <w:r w:rsidR="00CA7693" w:rsidRPr="00B4515A">
        <w:rPr>
          <w:rFonts w:hint="eastAsia"/>
        </w:rPr>
        <w:t>修订</w:t>
      </w:r>
      <w:r w:rsidRPr="00B4515A">
        <w:t>）》第七十四条的规定；中国信科集团、电信科研院、大唐控股就本次交易出具的关于股份锁定期的承诺函符合《重组管理办法》《上市公司收购管理办法（</w:t>
      </w:r>
      <w:r w:rsidRPr="00B4515A">
        <w:t>2020</w:t>
      </w:r>
      <w:r w:rsidR="00CA7693" w:rsidRPr="00B4515A">
        <w:rPr>
          <w:rFonts w:hint="eastAsia"/>
        </w:rPr>
        <w:t>修订</w:t>
      </w:r>
      <w:r w:rsidRPr="00B4515A">
        <w:rPr>
          <w:rFonts w:hint="eastAsia"/>
        </w:rPr>
        <w:t>）》《证券发行管理办法》《实施细则》的规定。</w:t>
      </w:r>
    </w:p>
    <w:p w14:paraId="5ADBF2E2" w14:textId="77777777" w:rsidR="006416B0" w:rsidRPr="00B4515A" w:rsidRDefault="005E58C1" w:rsidP="005860B4">
      <w:pPr>
        <w:pStyle w:val="002"/>
        <w:spacing w:before="120" w:after="120"/>
        <w:ind w:firstLine="562"/>
      </w:pPr>
      <w:bookmarkStart w:id="147" w:name="_Toc80960532"/>
      <w:bookmarkEnd w:id="146"/>
      <w:r w:rsidRPr="00B4515A">
        <w:rPr>
          <w:rFonts w:hint="eastAsia"/>
        </w:rPr>
        <w:t>十、穿透核查情况</w:t>
      </w:r>
      <w:bookmarkEnd w:id="147"/>
    </w:p>
    <w:p w14:paraId="4301A829" w14:textId="4D000825" w:rsidR="006416B0" w:rsidRPr="00B4515A" w:rsidRDefault="005E58C1" w:rsidP="005860B4">
      <w:pPr>
        <w:pStyle w:val="005"/>
        <w:spacing w:before="120" w:after="120"/>
        <w:ind w:firstLine="480"/>
      </w:pPr>
      <w:bookmarkStart w:id="148" w:name="_Hlk76925404"/>
      <w:r w:rsidRPr="00B4515A">
        <w:rPr>
          <w:rFonts w:hint="eastAsia"/>
        </w:rPr>
        <w:t>本次发行股份购买资产的交易对方分别为电信科研院、大唐控股、</w:t>
      </w:r>
      <w:r w:rsidR="00252376" w:rsidRPr="00B4515A">
        <w:rPr>
          <w:rFonts w:hint="eastAsia"/>
        </w:rPr>
        <w:t>长江移动基金</w:t>
      </w:r>
      <w:r w:rsidRPr="00B4515A">
        <w:rPr>
          <w:rFonts w:hint="eastAsia"/>
        </w:rPr>
        <w:t>、结构调整基金、金融街资本，其中：企业性质为有限合伙企业的为</w:t>
      </w:r>
      <w:r w:rsidR="00252376" w:rsidRPr="00B4515A">
        <w:rPr>
          <w:rFonts w:hint="eastAsia"/>
        </w:rPr>
        <w:t>长江移动基金</w:t>
      </w:r>
      <w:r w:rsidRPr="00B4515A">
        <w:rPr>
          <w:rFonts w:hint="eastAsia"/>
        </w:rPr>
        <w:t>一家交易对方。</w:t>
      </w:r>
    </w:p>
    <w:p w14:paraId="319D017D" w14:textId="20929F3C" w:rsidR="006416B0" w:rsidRPr="00B4515A" w:rsidRDefault="00252376" w:rsidP="005860B4">
      <w:pPr>
        <w:pStyle w:val="005"/>
        <w:spacing w:before="120" w:after="120"/>
        <w:ind w:firstLine="480"/>
      </w:pPr>
      <w:r w:rsidRPr="00B4515A">
        <w:rPr>
          <w:rFonts w:hint="eastAsia"/>
        </w:rPr>
        <w:t>长江移动基金</w:t>
      </w:r>
      <w:r w:rsidR="005E58C1" w:rsidRPr="00B4515A">
        <w:rPr>
          <w:rFonts w:hint="eastAsia"/>
        </w:rPr>
        <w:t>穿透至最终出资人（含自然人、上市公司、新三板挂牌公司、国有控股或管理主体（含事业单位、国有主体控制的产业基金等）、集体所有制企业、境外政府投资基金、大学捐赠基金、养老基金、公益基金以及公募资产管理产品）的取得权益时间、出资方式、资金来源、认缴出资是否已实缴到位、是否存在关联关系等具体情况如下：</w:t>
      </w:r>
    </w:p>
    <w:p w14:paraId="6F4EF505" w14:textId="33F37626" w:rsidR="006416B0" w:rsidRPr="00B4515A" w:rsidRDefault="005E58C1" w:rsidP="005860B4">
      <w:pPr>
        <w:pStyle w:val="003"/>
        <w:spacing w:before="120"/>
        <w:ind w:firstLine="482"/>
      </w:pPr>
      <w:r w:rsidRPr="00B4515A">
        <w:rPr>
          <w:rFonts w:hint="eastAsia"/>
        </w:rPr>
        <w:t>（一）</w:t>
      </w:r>
      <w:r w:rsidR="00252376" w:rsidRPr="00B4515A">
        <w:rPr>
          <w:rFonts w:hint="eastAsia"/>
        </w:rPr>
        <w:t>长江移动基金</w:t>
      </w:r>
      <w:r w:rsidRPr="00B4515A">
        <w:rPr>
          <w:rFonts w:hint="eastAsia"/>
        </w:rPr>
        <w:t>穿透核查情况</w:t>
      </w:r>
    </w:p>
    <w:p w14:paraId="431AAE23" w14:textId="1E084FDF" w:rsidR="006416B0" w:rsidRPr="00B4515A" w:rsidRDefault="00252376" w:rsidP="005860B4">
      <w:pPr>
        <w:pStyle w:val="005"/>
        <w:spacing w:before="120" w:after="120"/>
        <w:ind w:firstLine="480"/>
      </w:pPr>
      <w:r w:rsidRPr="00B4515A">
        <w:rPr>
          <w:rFonts w:hint="eastAsia"/>
        </w:rPr>
        <w:t>长江移动基金</w:t>
      </w:r>
      <w:r w:rsidR="005E58C1" w:rsidRPr="00B4515A">
        <w:rPr>
          <w:rFonts w:hint="eastAsia"/>
        </w:rPr>
        <w:t>的出资情况及穿透核查情况如下：</w:t>
      </w:r>
    </w:p>
    <w:p w14:paraId="71974F27" w14:textId="3FECDD1A" w:rsidR="006416B0" w:rsidRPr="00B4515A" w:rsidRDefault="005E58C1" w:rsidP="005860B4">
      <w:pPr>
        <w:pStyle w:val="004"/>
        <w:spacing w:before="120" w:after="120"/>
        <w:ind w:firstLine="482"/>
      </w:pPr>
      <w:r w:rsidRPr="00B4515A">
        <w:t>1</w:t>
      </w:r>
      <w:r w:rsidRPr="00B4515A">
        <w:rPr>
          <w:rFonts w:hint="eastAsia"/>
        </w:rPr>
        <w:t>、截至本报告书签署日，</w:t>
      </w:r>
      <w:r w:rsidR="00252376" w:rsidRPr="00B4515A">
        <w:rPr>
          <w:rFonts w:hint="eastAsia"/>
        </w:rPr>
        <w:t>长江移动基金</w:t>
      </w:r>
      <w:r w:rsidRPr="00B4515A">
        <w:rPr>
          <w:rFonts w:hint="eastAsia"/>
        </w:rPr>
        <w:t>的合伙人及出资结构如下：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67"/>
        <w:gridCol w:w="2297"/>
        <w:gridCol w:w="1448"/>
        <w:gridCol w:w="1457"/>
        <w:gridCol w:w="1421"/>
        <w:gridCol w:w="1138"/>
      </w:tblGrid>
      <w:tr w:rsidR="006416B0" w:rsidRPr="00B4515A" w14:paraId="42E9AA6C" w14:textId="77777777" w:rsidTr="005860B4">
        <w:trPr>
          <w:trHeight w:val="340"/>
          <w:tblHeader/>
          <w:jc w:val="center"/>
        </w:trPr>
        <w:tc>
          <w:tcPr>
            <w:tcW w:w="449" w:type="pct"/>
            <w:tcMar>
              <w:top w:w="0" w:type="dxa"/>
              <w:left w:w="108" w:type="dxa"/>
              <w:bottom w:w="0" w:type="dxa"/>
              <w:right w:w="108" w:type="dxa"/>
            </w:tcMar>
            <w:vAlign w:val="center"/>
          </w:tcPr>
          <w:p w14:paraId="54C46E39"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序号</w:t>
            </w:r>
          </w:p>
        </w:tc>
        <w:tc>
          <w:tcPr>
            <w:tcW w:w="1347" w:type="pct"/>
            <w:tcMar>
              <w:top w:w="0" w:type="dxa"/>
              <w:left w:w="108" w:type="dxa"/>
              <w:bottom w:w="0" w:type="dxa"/>
              <w:right w:w="108" w:type="dxa"/>
            </w:tcMar>
            <w:vAlign w:val="center"/>
          </w:tcPr>
          <w:p w14:paraId="0EC55FA5"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合伙人名称</w:t>
            </w:r>
          </w:p>
        </w:tc>
        <w:tc>
          <w:tcPr>
            <w:tcW w:w="849" w:type="pct"/>
            <w:tcMar>
              <w:top w:w="0" w:type="dxa"/>
              <w:left w:w="108" w:type="dxa"/>
              <w:bottom w:w="0" w:type="dxa"/>
              <w:right w:w="108" w:type="dxa"/>
            </w:tcMar>
            <w:vAlign w:val="center"/>
          </w:tcPr>
          <w:p w14:paraId="44F2F5BD"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合伙人类型</w:t>
            </w:r>
          </w:p>
        </w:tc>
        <w:tc>
          <w:tcPr>
            <w:tcW w:w="854" w:type="pct"/>
            <w:tcMar>
              <w:top w:w="0" w:type="dxa"/>
              <w:left w:w="108" w:type="dxa"/>
              <w:bottom w:w="0" w:type="dxa"/>
              <w:right w:w="108" w:type="dxa"/>
            </w:tcMar>
            <w:vAlign w:val="center"/>
          </w:tcPr>
          <w:p w14:paraId="37CA215D"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认缴出资额</w:t>
            </w:r>
          </w:p>
          <w:p w14:paraId="606EAE1F"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（万元）</w:t>
            </w:r>
          </w:p>
        </w:tc>
        <w:tc>
          <w:tcPr>
            <w:tcW w:w="833" w:type="pct"/>
            <w:tcMar>
              <w:top w:w="0" w:type="dxa"/>
              <w:left w:w="108" w:type="dxa"/>
              <w:bottom w:w="0" w:type="dxa"/>
              <w:right w:w="108" w:type="dxa"/>
            </w:tcMar>
            <w:vAlign w:val="center"/>
          </w:tcPr>
          <w:p w14:paraId="111AC417"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实缴出资额（万元）</w:t>
            </w:r>
          </w:p>
        </w:tc>
        <w:tc>
          <w:tcPr>
            <w:tcW w:w="667" w:type="pct"/>
            <w:tcMar>
              <w:top w:w="0" w:type="dxa"/>
              <w:left w:w="108" w:type="dxa"/>
              <w:bottom w:w="0" w:type="dxa"/>
              <w:right w:w="108" w:type="dxa"/>
            </w:tcMar>
            <w:vAlign w:val="center"/>
          </w:tcPr>
          <w:p w14:paraId="4AE15E40"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认缴出资比例</w:t>
            </w:r>
          </w:p>
        </w:tc>
      </w:tr>
      <w:tr w:rsidR="006416B0" w:rsidRPr="00B4515A" w14:paraId="4D05FCEB" w14:textId="77777777" w:rsidTr="005860B4">
        <w:trPr>
          <w:trHeight w:val="340"/>
          <w:jc w:val="center"/>
        </w:trPr>
        <w:tc>
          <w:tcPr>
            <w:tcW w:w="449" w:type="pct"/>
            <w:tcMar>
              <w:top w:w="0" w:type="dxa"/>
              <w:left w:w="108" w:type="dxa"/>
              <w:bottom w:w="0" w:type="dxa"/>
              <w:right w:w="108" w:type="dxa"/>
            </w:tcMar>
            <w:vAlign w:val="center"/>
          </w:tcPr>
          <w:p w14:paraId="193BBDA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347" w:type="pct"/>
            <w:tcMar>
              <w:top w:w="0" w:type="dxa"/>
              <w:left w:w="108" w:type="dxa"/>
              <w:bottom w:w="0" w:type="dxa"/>
              <w:right w:w="108" w:type="dxa"/>
            </w:tcMar>
            <w:vAlign w:val="center"/>
          </w:tcPr>
          <w:p w14:paraId="23E7E0B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武汉光谷烽火投资基金管理有限公司</w:t>
            </w:r>
          </w:p>
        </w:tc>
        <w:tc>
          <w:tcPr>
            <w:tcW w:w="849" w:type="pct"/>
            <w:tcMar>
              <w:top w:w="0" w:type="dxa"/>
              <w:left w:w="108" w:type="dxa"/>
              <w:bottom w:w="0" w:type="dxa"/>
              <w:right w:w="108" w:type="dxa"/>
            </w:tcMar>
            <w:vAlign w:val="center"/>
          </w:tcPr>
          <w:p w14:paraId="11A4FB5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普通合伙人</w:t>
            </w:r>
          </w:p>
        </w:tc>
        <w:tc>
          <w:tcPr>
            <w:tcW w:w="854" w:type="pct"/>
            <w:tcMar>
              <w:top w:w="0" w:type="dxa"/>
              <w:left w:w="108" w:type="dxa"/>
              <w:bottom w:w="0" w:type="dxa"/>
              <w:right w:w="108" w:type="dxa"/>
            </w:tcMar>
            <w:vAlign w:val="center"/>
          </w:tcPr>
          <w:p w14:paraId="014BF6A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2,000.00</w:t>
            </w:r>
          </w:p>
        </w:tc>
        <w:tc>
          <w:tcPr>
            <w:tcW w:w="833" w:type="pct"/>
            <w:tcMar>
              <w:top w:w="0" w:type="dxa"/>
              <w:left w:w="108" w:type="dxa"/>
              <w:bottom w:w="0" w:type="dxa"/>
              <w:right w:w="108" w:type="dxa"/>
            </w:tcMar>
            <w:vAlign w:val="center"/>
          </w:tcPr>
          <w:p w14:paraId="5A43272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1,400.00</w:t>
            </w:r>
          </w:p>
        </w:tc>
        <w:tc>
          <w:tcPr>
            <w:tcW w:w="667" w:type="pct"/>
            <w:tcMar>
              <w:top w:w="0" w:type="dxa"/>
              <w:left w:w="108" w:type="dxa"/>
              <w:bottom w:w="0" w:type="dxa"/>
              <w:right w:w="108" w:type="dxa"/>
            </w:tcMar>
            <w:vAlign w:val="center"/>
          </w:tcPr>
          <w:p w14:paraId="5D42215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0.40%</w:t>
            </w:r>
          </w:p>
        </w:tc>
      </w:tr>
      <w:tr w:rsidR="006416B0" w:rsidRPr="00B4515A" w14:paraId="68944AE7" w14:textId="77777777" w:rsidTr="005860B4">
        <w:trPr>
          <w:trHeight w:val="340"/>
          <w:jc w:val="center"/>
        </w:trPr>
        <w:tc>
          <w:tcPr>
            <w:tcW w:w="449" w:type="pct"/>
            <w:tcMar>
              <w:top w:w="0" w:type="dxa"/>
              <w:left w:w="108" w:type="dxa"/>
              <w:bottom w:w="0" w:type="dxa"/>
              <w:right w:w="108" w:type="dxa"/>
            </w:tcMar>
            <w:vAlign w:val="center"/>
          </w:tcPr>
          <w:p w14:paraId="79C495F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lastRenderedPageBreak/>
              <w:t>2</w:t>
            </w:r>
          </w:p>
        </w:tc>
        <w:tc>
          <w:tcPr>
            <w:tcW w:w="1347" w:type="pct"/>
            <w:tcMar>
              <w:top w:w="0" w:type="dxa"/>
              <w:left w:w="108" w:type="dxa"/>
              <w:bottom w:w="0" w:type="dxa"/>
              <w:right w:w="108" w:type="dxa"/>
            </w:tcMar>
            <w:vAlign w:val="center"/>
          </w:tcPr>
          <w:p w14:paraId="05B91ED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武汉光谷烽火光电子信息产业投资基金合伙企业（有限合伙）</w:t>
            </w:r>
          </w:p>
        </w:tc>
        <w:tc>
          <w:tcPr>
            <w:tcW w:w="849" w:type="pct"/>
            <w:tcMar>
              <w:top w:w="0" w:type="dxa"/>
              <w:left w:w="108" w:type="dxa"/>
              <w:bottom w:w="0" w:type="dxa"/>
              <w:right w:w="108" w:type="dxa"/>
            </w:tcMar>
            <w:vAlign w:val="center"/>
          </w:tcPr>
          <w:p w14:paraId="29E0BAF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有限合伙人</w:t>
            </w:r>
          </w:p>
        </w:tc>
        <w:tc>
          <w:tcPr>
            <w:tcW w:w="854" w:type="pct"/>
            <w:tcMar>
              <w:top w:w="0" w:type="dxa"/>
              <w:left w:w="108" w:type="dxa"/>
              <w:bottom w:w="0" w:type="dxa"/>
              <w:right w:w="108" w:type="dxa"/>
            </w:tcMar>
            <w:vAlign w:val="center"/>
          </w:tcPr>
          <w:p w14:paraId="2D70F9D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248,000.00</w:t>
            </w:r>
          </w:p>
        </w:tc>
        <w:tc>
          <w:tcPr>
            <w:tcW w:w="833" w:type="pct"/>
            <w:tcMar>
              <w:top w:w="0" w:type="dxa"/>
              <w:left w:w="108" w:type="dxa"/>
              <w:bottom w:w="0" w:type="dxa"/>
              <w:right w:w="108" w:type="dxa"/>
            </w:tcMar>
            <w:vAlign w:val="center"/>
          </w:tcPr>
          <w:p w14:paraId="622E30E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173,600.00</w:t>
            </w:r>
          </w:p>
        </w:tc>
        <w:tc>
          <w:tcPr>
            <w:tcW w:w="667" w:type="pct"/>
            <w:tcMar>
              <w:top w:w="0" w:type="dxa"/>
              <w:left w:w="108" w:type="dxa"/>
              <w:bottom w:w="0" w:type="dxa"/>
              <w:right w:w="108" w:type="dxa"/>
            </w:tcMar>
            <w:vAlign w:val="center"/>
          </w:tcPr>
          <w:p w14:paraId="21161E4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49.60%</w:t>
            </w:r>
          </w:p>
        </w:tc>
      </w:tr>
      <w:tr w:rsidR="006416B0" w:rsidRPr="00B4515A" w14:paraId="39A66F12" w14:textId="77777777" w:rsidTr="005860B4">
        <w:trPr>
          <w:trHeight w:val="340"/>
          <w:jc w:val="center"/>
        </w:trPr>
        <w:tc>
          <w:tcPr>
            <w:tcW w:w="449" w:type="pct"/>
            <w:tcMar>
              <w:top w:w="0" w:type="dxa"/>
              <w:left w:w="108" w:type="dxa"/>
              <w:bottom w:w="0" w:type="dxa"/>
              <w:right w:w="108" w:type="dxa"/>
            </w:tcMar>
            <w:vAlign w:val="center"/>
          </w:tcPr>
          <w:p w14:paraId="1C0A7A3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1347" w:type="pct"/>
            <w:tcMar>
              <w:top w:w="0" w:type="dxa"/>
              <w:left w:w="108" w:type="dxa"/>
              <w:bottom w:w="0" w:type="dxa"/>
              <w:right w:w="108" w:type="dxa"/>
            </w:tcMar>
            <w:vAlign w:val="center"/>
          </w:tcPr>
          <w:p w14:paraId="58FEE12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湖北长江经济带产业引导基金合伙企业（有限合伙）</w:t>
            </w:r>
          </w:p>
        </w:tc>
        <w:tc>
          <w:tcPr>
            <w:tcW w:w="849" w:type="pct"/>
            <w:tcMar>
              <w:top w:w="0" w:type="dxa"/>
              <w:left w:w="108" w:type="dxa"/>
              <w:bottom w:w="0" w:type="dxa"/>
              <w:right w:w="108" w:type="dxa"/>
            </w:tcMar>
            <w:vAlign w:val="center"/>
          </w:tcPr>
          <w:p w14:paraId="45105AD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有限合伙人</w:t>
            </w:r>
          </w:p>
        </w:tc>
        <w:tc>
          <w:tcPr>
            <w:tcW w:w="854" w:type="pct"/>
            <w:tcMar>
              <w:top w:w="0" w:type="dxa"/>
              <w:left w:w="108" w:type="dxa"/>
              <w:bottom w:w="0" w:type="dxa"/>
              <w:right w:w="108" w:type="dxa"/>
            </w:tcMar>
            <w:vAlign w:val="center"/>
          </w:tcPr>
          <w:p w14:paraId="1F7A343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100,000.00</w:t>
            </w:r>
          </w:p>
        </w:tc>
        <w:tc>
          <w:tcPr>
            <w:tcW w:w="833" w:type="pct"/>
            <w:tcMar>
              <w:top w:w="0" w:type="dxa"/>
              <w:left w:w="108" w:type="dxa"/>
              <w:bottom w:w="0" w:type="dxa"/>
              <w:right w:w="108" w:type="dxa"/>
            </w:tcMar>
            <w:vAlign w:val="center"/>
          </w:tcPr>
          <w:p w14:paraId="2E30EAD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30,000.00</w:t>
            </w:r>
          </w:p>
        </w:tc>
        <w:tc>
          <w:tcPr>
            <w:tcW w:w="667" w:type="pct"/>
            <w:tcMar>
              <w:top w:w="0" w:type="dxa"/>
              <w:left w:w="108" w:type="dxa"/>
              <w:bottom w:w="0" w:type="dxa"/>
              <w:right w:w="108" w:type="dxa"/>
            </w:tcMar>
            <w:vAlign w:val="center"/>
          </w:tcPr>
          <w:p w14:paraId="25AEB01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20.00%</w:t>
            </w:r>
          </w:p>
        </w:tc>
      </w:tr>
      <w:tr w:rsidR="006416B0" w:rsidRPr="00B4515A" w14:paraId="12BD123E" w14:textId="77777777" w:rsidTr="005860B4">
        <w:trPr>
          <w:trHeight w:val="340"/>
          <w:jc w:val="center"/>
        </w:trPr>
        <w:tc>
          <w:tcPr>
            <w:tcW w:w="449" w:type="pct"/>
            <w:tcMar>
              <w:top w:w="0" w:type="dxa"/>
              <w:left w:w="108" w:type="dxa"/>
              <w:bottom w:w="0" w:type="dxa"/>
              <w:right w:w="108" w:type="dxa"/>
            </w:tcMar>
            <w:vAlign w:val="center"/>
          </w:tcPr>
          <w:p w14:paraId="40FFE40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4</w:t>
            </w:r>
          </w:p>
        </w:tc>
        <w:tc>
          <w:tcPr>
            <w:tcW w:w="1347" w:type="pct"/>
            <w:tcMar>
              <w:top w:w="0" w:type="dxa"/>
              <w:left w:w="108" w:type="dxa"/>
              <w:bottom w:w="0" w:type="dxa"/>
              <w:right w:w="108" w:type="dxa"/>
            </w:tcMar>
            <w:vAlign w:val="center"/>
          </w:tcPr>
          <w:p w14:paraId="33DB95E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武汉市工业发展投资基金（有限合伙）</w:t>
            </w:r>
          </w:p>
        </w:tc>
        <w:tc>
          <w:tcPr>
            <w:tcW w:w="849" w:type="pct"/>
            <w:tcMar>
              <w:top w:w="0" w:type="dxa"/>
              <w:left w:w="108" w:type="dxa"/>
              <w:bottom w:w="0" w:type="dxa"/>
              <w:right w:w="108" w:type="dxa"/>
            </w:tcMar>
            <w:vAlign w:val="center"/>
          </w:tcPr>
          <w:p w14:paraId="0A12324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有限合伙人</w:t>
            </w:r>
          </w:p>
        </w:tc>
        <w:tc>
          <w:tcPr>
            <w:tcW w:w="854" w:type="pct"/>
            <w:tcMar>
              <w:top w:w="0" w:type="dxa"/>
              <w:left w:w="108" w:type="dxa"/>
              <w:bottom w:w="0" w:type="dxa"/>
              <w:right w:w="108" w:type="dxa"/>
            </w:tcMar>
            <w:vAlign w:val="center"/>
          </w:tcPr>
          <w:p w14:paraId="771ECD1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100,000.00</w:t>
            </w:r>
          </w:p>
        </w:tc>
        <w:tc>
          <w:tcPr>
            <w:tcW w:w="833" w:type="pct"/>
            <w:tcMar>
              <w:top w:w="0" w:type="dxa"/>
              <w:left w:w="108" w:type="dxa"/>
              <w:bottom w:w="0" w:type="dxa"/>
              <w:right w:w="108" w:type="dxa"/>
            </w:tcMar>
            <w:vAlign w:val="center"/>
          </w:tcPr>
          <w:p w14:paraId="73ADDCC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70,000.00</w:t>
            </w:r>
          </w:p>
        </w:tc>
        <w:tc>
          <w:tcPr>
            <w:tcW w:w="667" w:type="pct"/>
            <w:tcMar>
              <w:top w:w="0" w:type="dxa"/>
              <w:left w:w="108" w:type="dxa"/>
              <w:bottom w:w="0" w:type="dxa"/>
              <w:right w:w="108" w:type="dxa"/>
            </w:tcMar>
            <w:vAlign w:val="center"/>
          </w:tcPr>
          <w:p w14:paraId="6FFB321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20.00%</w:t>
            </w:r>
          </w:p>
        </w:tc>
      </w:tr>
      <w:tr w:rsidR="006416B0" w:rsidRPr="00B4515A" w14:paraId="50A64672" w14:textId="77777777" w:rsidTr="005860B4">
        <w:trPr>
          <w:trHeight w:val="340"/>
          <w:jc w:val="center"/>
        </w:trPr>
        <w:tc>
          <w:tcPr>
            <w:tcW w:w="449" w:type="pct"/>
            <w:tcMar>
              <w:top w:w="0" w:type="dxa"/>
              <w:left w:w="108" w:type="dxa"/>
              <w:bottom w:w="0" w:type="dxa"/>
              <w:right w:w="108" w:type="dxa"/>
            </w:tcMar>
            <w:vAlign w:val="center"/>
          </w:tcPr>
          <w:p w14:paraId="7A719A6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w:t>
            </w:r>
          </w:p>
        </w:tc>
        <w:tc>
          <w:tcPr>
            <w:tcW w:w="1347" w:type="pct"/>
            <w:tcMar>
              <w:top w:w="0" w:type="dxa"/>
              <w:left w:w="108" w:type="dxa"/>
              <w:bottom w:w="0" w:type="dxa"/>
              <w:right w:w="108" w:type="dxa"/>
            </w:tcMar>
            <w:vAlign w:val="center"/>
          </w:tcPr>
          <w:p w14:paraId="733E59D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武汉国创创新投资有限公司</w:t>
            </w:r>
          </w:p>
        </w:tc>
        <w:tc>
          <w:tcPr>
            <w:tcW w:w="849" w:type="pct"/>
            <w:tcMar>
              <w:top w:w="0" w:type="dxa"/>
              <w:left w:w="108" w:type="dxa"/>
              <w:bottom w:w="0" w:type="dxa"/>
              <w:right w:w="108" w:type="dxa"/>
            </w:tcMar>
            <w:vAlign w:val="center"/>
          </w:tcPr>
          <w:p w14:paraId="3A0A15F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有限合伙人</w:t>
            </w:r>
          </w:p>
        </w:tc>
        <w:tc>
          <w:tcPr>
            <w:tcW w:w="854" w:type="pct"/>
            <w:tcMar>
              <w:top w:w="0" w:type="dxa"/>
              <w:left w:w="108" w:type="dxa"/>
              <w:bottom w:w="0" w:type="dxa"/>
              <w:right w:w="108" w:type="dxa"/>
            </w:tcMar>
            <w:vAlign w:val="center"/>
          </w:tcPr>
          <w:p w14:paraId="2FF9F58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50,000.00</w:t>
            </w:r>
          </w:p>
        </w:tc>
        <w:tc>
          <w:tcPr>
            <w:tcW w:w="833" w:type="pct"/>
            <w:tcMar>
              <w:top w:w="0" w:type="dxa"/>
              <w:left w:w="108" w:type="dxa"/>
              <w:bottom w:w="0" w:type="dxa"/>
              <w:right w:w="108" w:type="dxa"/>
            </w:tcMar>
            <w:vAlign w:val="center"/>
          </w:tcPr>
          <w:p w14:paraId="234E2B5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35,000.00</w:t>
            </w:r>
          </w:p>
        </w:tc>
        <w:tc>
          <w:tcPr>
            <w:tcW w:w="667" w:type="pct"/>
            <w:tcMar>
              <w:top w:w="0" w:type="dxa"/>
              <w:left w:w="108" w:type="dxa"/>
              <w:bottom w:w="0" w:type="dxa"/>
              <w:right w:w="108" w:type="dxa"/>
            </w:tcMar>
            <w:vAlign w:val="center"/>
          </w:tcPr>
          <w:p w14:paraId="08E191E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w:t>
            </w:r>
          </w:p>
        </w:tc>
      </w:tr>
      <w:tr w:rsidR="006416B0" w:rsidRPr="00B4515A" w14:paraId="6BC20532" w14:textId="77777777" w:rsidTr="005860B4">
        <w:trPr>
          <w:trHeight w:val="340"/>
          <w:jc w:val="center"/>
        </w:trPr>
        <w:tc>
          <w:tcPr>
            <w:tcW w:w="2645" w:type="pct"/>
            <w:gridSpan w:val="3"/>
            <w:tcMar>
              <w:top w:w="0" w:type="dxa"/>
              <w:left w:w="108" w:type="dxa"/>
              <w:bottom w:w="0" w:type="dxa"/>
              <w:right w:w="108" w:type="dxa"/>
            </w:tcMar>
            <w:vAlign w:val="center"/>
          </w:tcPr>
          <w:p w14:paraId="15E957DC"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合计</w:t>
            </w:r>
          </w:p>
        </w:tc>
        <w:tc>
          <w:tcPr>
            <w:tcW w:w="854" w:type="pct"/>
            <w:tcMar>
              <w:top w:w="0" w:type="dxa"/>
              <w:left w:w="108" w:type="dxa"/>
              <w:bottom w:w="0" w:type="dxa"/>
              <w:right w:w="108" w:type="dxa"/>
            </w:tcMar>
            <w:vAlign w:val="center"/>
          </w:tcPr>
          <w:p w14:paraId="33DC6199"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500,000.00</w:t>
            </w:r>
          </w:p>
        </w:tc>
        <w:tc>
          <w:tcPr>
            <w:tcW w:w="833" w:type="pct"/>
            <w:tcMar>
              <w:top w:w="0" w:type="dxa"/>
              <w:left w:w="108" w:type="dxa"/>
              <w:bottom w:w="0" w:type="dxa"/>
              <w:right w:w="108" w:type="dxa"/>
            </w:tcMar>
            <w:vAlign w:val="center"/>
          </w:tcPr>
          <w:p w14:paraId="2898F9C8"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310,000.00</w:t>
            </w:r>
          </w:p>
        </w:tc>
        <w:tc>
          <w:tcPr>
            <w:tcW w:w="667" w:type="pct"/>
            <w:tcMar>
              <w:top w:w="0" w:type="dxa"/>
              <w:left w:w="108" w:type="dxa"/>
              <w:bottom w:w="0" w:type="dxa"/>
              <w:right w:w="108" w:type="dxa"/>
            </w:tcMar>
            <w:vAlign w:val="center"/>
          </w:tcPr>
          <w:p w14:paraId="0FB34746"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100.00%</w:t>
            </w:r>
          </w:p>
        </w:tc>
      </w:tr>
    </w:tbl>
    <w:p w14:paraId="0D4E34EC" w14:textId="7CEB0608" w:rsidR="006416B0" w:rsidRPr="00B4515A" w:rsidRDefault="005E58C1" w:rsidP="005860B4">
      <w:pPr>
        <w:pStyle w:val="004"/>
        <w:spacing w:before="120" w:after="120"/>
        <w:ind w:firstLine="482"/>
      </w:pPr>
      <w:r w:rsidRPr="00B4515A">
        <w:t>2</w:t>
      </w:r>
      <w:r w:rsidRPr="00B4515A">
        <w:rPr>
          <w:rFonts w:hint="eastAsia"/>
        </w:rPr>
        <w:t>、查询天眼查，</w:t>
      </w:r>
      <w:r w:rsidR="00252376" w:rsidRPr="00B4515A">
        <w:rPr>
          <w:rFonts w:hint="eastAsia"/>
        </w:rPr>
        <w:t>长江移动基金</w:t>
      </w:r>
      <w:r w:rsidRPr="00B4515A">
        <w:rPr>
          <w:rFonts w:hint="eastAsia"/>
        </w:rPr>
        <w:t>向上穿透的各层出资人情况如下：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57"/>
        <w:gridCol w:w="1190"/>
        <w:gridCol w:w="4069"/>
        <w:gridCol w:w="1313"/>
        <w:gridCol w:w="1399"/>
      </w:tblGrid>
      <w:tr w:rsidR="006416B0" w:rsidRPr="00B4515A" w14:paraId="15FAB7B8" w14:textId="77777777" w:rsidTr="005860B4">
        <w:trPr>
          <w:trHeight w:val="340"/>
          <w:tblHeader/>
          <w:jc w:val="center"/>
        </w:trPr>
        <w:tc>
          <w:tcPr>
            <w:tcW w:w="540" w:type="dxa"/>
            <w:tcMar>
              <w:top w:w="0" w:type="dxa"/>
              <w:left w:w="108" w:type="dxa"/>
              <w:bottom w:w="0" w:type="dxa"/>
              <w:right w:w="108" w:type="dxa"/>
            </w:tcMar>
            <w:vAlign w:val="center"/>
          </w:tcPr>
          <w:p w14:paraId="0C50E8A0"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1156" w:type="dxa"/>
            <w:tcMar>
              <w:top w:w="0" w:type="dxa"/>
              <w:left w:w="108" w:type="dxa"/>
              <w:bottom w:w="0" w:type="dxa"/>
              <w:right w:w="108" w:type="dxa"/>
            </w:tcMar>
            <w:vAlign w:val="center"/>
          </w:tcPr>
          <w:p w14:paraId="16F90005"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层级</w:t>
            </w:r>
          </w:p>
        </w:tc>
        <w:tc>
          <w:tcPr>
            <w:tcW w:w="3952" w:type="dxa"/>
            <w:tcMar>
              <w:top w:w="0" w:type="dxa"/>
              <w:left w:w="108" w:type="dxa"/>
              <w:bottom w:w="0" w:type="dxa"/>
              <w:right w:w="108" w:type="dxa"/>
            </w:tcMar>
            <w:vAlign w:val="center"/>
          </w:tcPr>
          <w:p w14:paraId="698274A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投资人姓名</w:t>
            </w:r>
            <w:r w:rsidRPr="00B4515A">
              <w:rPr>
                <w:rFonts w:ascii="Times New Roman" w:hAnsi="Times New Roman" w:cs="Times New Roman"/>
                <w:b/>
                <w:sz w:val="21"/>
                <w:szCs w:val="21"/>
              </w:rPr>
              <w:t>/</w:t>
            </w:r>
            <w:r w:rsidRPr="00B4515A">
              <w:rPr>
                <w:rFonts w:ascii="Times New Roman" w:hAnsi="Times New Roman" w:cs="Times New Roman" w:hint="eastAsia"/>
                <w:b/>
                <w:sz w:val="21"/>
                <w:szCs w:val="21"/>
              </w:rPr>
              <w:t>名称</w:t>
            </w:r>
          </w:p>
        </w:tc>
        <w:tc>
          <w:tcPr>
            <w:tcW w:w="1275" w:type="dxa"/>
            <w:tcMar>
              <w:top w:w="0" w:type="dxa"/>
              <w:left w:w="108" w:type="dxa"/>
              <w:bottom w:w="0" w:type="dxa"/>
              <w:right w:w="108" w:type="dxa"/>
            </w:tcMar>
            <w:vAlign w:val="center"/>
          </w:tcPr>
          <w:p w14:paraId="4CC19397"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对上层主体出资比例</w:t>
            </w:r>
          </w:p>
        </w:tc>
        <w:tc>
          <w:tcPr>
            <w:tcW w:w="1359" w:type="dxa"/>
            <w:tcMar>
              <w:top w:w="0" w:type="dxa"/>
              <w:left w:w="108" w:type="dxa"/>
              <w:bottom w:w="0" w:type="dxa"/>
              <w:right w:w="108" w:type="dxa"/>
            </w:tcMar>
            <w:vAlign w:val="center"/>
          </w:tcPr>
          <w:p w14:paraId="3947E3C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备注</w:t>
            </w:r>
          </w:p>
        </w:tc>
      </w:tr>
      <w:tr w:rsidR="006416B0" w:rsidRPr="00B4515A" w14:paraId="4C3288DB" w14:textId="77777777" w:rsidTr="00031627">
        <w:trPr>
          <w:trHeight w:val="340"/>
          <w:jc w:val="center"/>
        </w:trPr>
        <w:tc>
          <w:tcPr>
            <w:tcW w:w="540" w:type="dxa"/>
            <w:vMerge w:val="restart"/>
            <w:tcMar>
              <w:top w:w="0" w:type="dxa"/>
              <w:left w:w="108" w:type="dxa"/>
              <w:bottom w:w="0" w:type="dxa"/>
              <w:right w:w="108" w:type="dxa"/>
            </w:tcMar>
            <w:vAlign w:val="center"/>
          </w:tcPr>
          <w:p w14:paraId="4E66C09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156" w:type="dxa"/>
            <w:tcMar>
              <w:top w:w="0" w:type="dxa"/>
              <w:left w:w="108" w:type="dxa"/>
              <w:bottom w:w="0" w:type="dxa"/>
              <w:right w:w="108" w:type="dxa"/>
            </w:tcMar>
            <w:vAlign w:val="center"/>
          </w:tcPr>
          <w:p w14:paraId="56F679C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3952" w:type="dxa"/>
            <w:tcMar>
              <w:top w:w="0" w:type="dxa"/>
              <w:left w:w="108" w:type="dxa"/>
              <w:bottom w:w="0" w:type="dxa"/>
              <w:right w:w="108" w:type="dxa"/>
            </w:tcMar>
            <w:vAlign w:val="center"/>
          </w:tcPr>
          <w:p w14:paraId="48A9BD5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武汉光谷烽火投资基金管理有限公司</w:t>
            </w:r>
          </w:p>
        </w:tc>
        <w:tc>
          <w:tcPr>
            <w:tcW w:w="1275" w:type="dxa"/>
            <w:tcMar>
              <w:top w:w="0" w:type="dxa"/>
              <w:left w:w="108" w:type="dxa"/>
              <w:bottom w:w="0" w:type="dxa"/>
              <w:right w:w="108" w:type="dxa"/>
            </w:tcMar>
            <w:vAlign w:val="center"/>
          </w:tcPr>
          <w:p w14:paraId="32D1F02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0.4%</w:t>
            </w:r>
          </w:p>
        </w:tc>
        <w:tc>
          <w:tcPr>
            <w:tcW w:w="1359" w:type="dxa"/>
            <w:tcMar>
              <w:top w:w="0" w:type="dxa"/>
              <w:left w:w="108" w:type="dxa"/>
              <w:bottom w:w="0" w:type="dxa"/>
              <w:right w:w="108" w:type="dxa"/>
            </w:tcMar>
            <w:vAlign w:val="center"/>
          </w:tcPr>
          <w:p w14:paraId="3AF7B6F4"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7EF50D07" w14:textId="77777777" w:rsidTr="00031627">
        <w:trPr>
          <w:trHeight w:val="340"/>
          <w:jc w:val="center"/>
        </w:trPr>
        <w:tc>
          <w:tcPr>
            <w:tcW w:w="540" w:type="dxa"/>
            <w:vMerge/>
            <w:tcMar>
              <w:top w:w="0" w:type="dxa"/>
              <w:left w:w="108" w:type="dxa"/>
              <w:bottom w:w="0" w:type="dxa"/>
              <w:right w:w="108" w:type="dxa"/>
            </w:tcMar>
            <w:vAlign w:val="center"/>
          </w:tcPr>
          <w:p w14:paraId="49B907B5"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5A6995E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w:t>
            </w:r>
          </w:p>
        </w:tc>
        <w:tc>
          <w:tcPr>
            <w:tcW w:w="3952" w:type="dxa"/>
            <w:tcMar>
              <w:top w:w="0" w:type="dxa"/>
              <w:left w:w="108" w:type="dxa"/>
              <w:bottom w:w="0" w:type="dxa"/>
              <w:right w:w="108" w:type="dxa"/>
            </w:tcMar>
            <w:vAlign w:val="center"/>
          </w:tcPr>
          <w:p w14:paraId="1FA88F0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武汉光谷烽火科技创业投资有限公司</w:t>
            </w:r>
          </w:p>
        </w:tc>
        <w:tc>
          <w:tcPr>
            <w:tcW w:w="1275" w:type="dxa"/>
            <w:tcMar>
              <w:top w:w="0" w:type="dxa"/>
              <w:left w:w="108" w:type="dxa"/>
              <w:bottom w:w="0" w:type="dxa"/>
              <w:right w:w="108" w:type="dxa"/>
            </w:tcMar>
            <w:vAlign w:val="center"/>
          </w:tcPr>
          <w:p w14:paraId="20836CF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55%</w:t>
            </w:r>
          </w:p>
        </w:tc>
        <w:tc>
          <w:tcPr>
            <w:tcW w:w="1359" w:type="dxa"/>
            <w:tcMar>
              <w:top w:w="0" w:type="dxa"/>
              <w:left w:w="108" w:type="dxa"/>
              <w:bottom w:w="0" w:type="dxa"/>
              <w:right w:w="108" w:type="dxa"/>
            </w:tcMar>
            <w:vAlign w:val="center"/>
          </w:tcPr>
          <w:p w14:paraId="6CF7F168"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73C9A2C7" w14:textId="77777777" w:rsidTr="00031627">
        <w:trPr>
          <w:trHeight w:val="340"/>
          <w:jc w:val="center"/>
        </w:trPr>
        <w:tc>
          <w:tcPr>
            <w:tcW w:w="540" w:type="dxa"/>
            <w:vMerge/>
            <w:tcMar>
              <w:top w:w="0" w:type="dxa"/>
              <w:left w:w="108" w:type="dxa"/>
              <w:bottom w:w="0" w:type="dxa"/>
              <w:right w:w="108" w:type="dxa"/>
            </w:tcMar>
            <w:vAlign w:val="center"/>
          </w:tcPr>
          <w:p w14:paraId="1A01B544"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4E939E9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1.1.1</w:t>
            </w:r>
          </w:p>
        </w:tc>
        <w:tc>
          <w:tcPr>
            <w:tcW w:w="3952" w:type="dxa"/>
            <w:tcMar>
              <w:top w:w="0" w:type="dxa"/>
              <w:left w:w="108" w:type="dxa"/>
              <w:bottom w:w="0" w:type="dxa"/>
              <w:right w:w="108" w:type="dxa"/>
            </w:tcMar>
            <w:vAlign w:val="center"/>
          </w:tcPr>
          <w:p w14:paraId="1037B2C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烽火科技集团有限公司</w:t>
            </w:r>
          </w:p>
        </w:tc>
        <w:tc>
          <w:tcPr>
            <w:tcW w:w="1275" w:type="dxa"/>
            <w:tcMar>
              <w:top w:w="0" w:type="dxa"/>
              <w:left w:w="108" w:type="dxa"/>
              <w:bottom w:w="0" w:type="dxa"/>
              <w:right w:w="108" w:type="dxa"/>
            </w:tcMar>
            <w:vAlign w:val="center"/>
          </w:tcPr>
          <w:p w14:paraId="43D1CD9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49.6%</w:t>
            </w:r>
          </w:p>
        </w:tc>
        <w:tc>
          <w:tcPr>
            <w:tcW w:w="1359" w:type="dxa"/>
            <w:tcMar>
              <w:top w:w="0" w:type="dxa"/>
              <w:left w:w="108" w:type="dxa"/>
              <w:bottom w:w="0" w:type="dxa"/>
              <w:right w:w="108" w:type="dxa"/>
            </w:tcMar>
            <w:vAlign w:val="center"/>
          </w:tcPr>
          <w:p w14:paraId="62C9D3A7"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22749EAF" w14:textId="77777777" w:rsidTr="00031627">
        <w:trPr>
          <w:trHeight w:val="340"/>
          <w:jc w:val="center"/>
        </w:trPr>
        <w:tc>
          <w:tcPr>
            <w:tcW w:w="540" w:type="dxa"/>
            <w:vMerge/>
            <w:tcMar>
              <w:top w:w="0" w:type="dxa"/>
              <w:left w:w="108" w:type="dxa"/>
              <w:bottom w:w="0" w:type="dxa"/>
              <w:right w:w="108" w:type="dxa"/>
            </w:tcMar>
            <w:vAlign w:val="center"/>
          </w:tcPr>
          <w:p w14:paraId="1976A8D4"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78377C4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1.1.1.1</w:t>
            </w:r>
          </w:p>
        </w:tc>
        <w:tc>
          <w:tcPr>
            <w:tcW w:w="3952" w:type="dxa"/>
            <w:tcMar>
              <w:top w:w="0" w:type="dxa"/>
              <w:left w:w="108" w:type="dxa"/>
              <w:bottom w:w="0" w:type="dxa"/>
              <w:right w:w="108" w:type="dxa"/>
            </w:tcMar>
            <w:vAlign w:val="center"/>
          </w:tcPr>
          <w:p w14:paraId="03A83AB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武汉邮电科学研究院有限公司</w:t>
            </w:r>
          </w:p>
        </w:tc>
        <w:tc>
          <w:tcPr>
            <w:tcW w:w="1275" w:type="dxa"/>
            <w:tcMar>
              <w:top w:w="0" w:type="dxa"/>
              <w:left w:w="108" w:type="dxa"/>
              <w:bottom w:w="0" w:type="dxa"/>
              <w:right w:w="108" w:type="dxa"/>
            </w:tcMar>
            <w:vAlign w:val="center"/>
          </w:tcPr>
          <w:p w14:paraId="67E04C1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92.6905%</w:t>
            </w:r>
          </w:p>
        </w:tc>
        <w:tc>
          <w:tcPr>
            <w:tcW w:w="1359" w:type="dxa"/>
            <w:tcMar>
              <w:top w:w="0" w:type="dxa"/>
              <w:left w:w="108" w:type="dxa"/>
              <w:bottom w:w="0" w:type="dxa"/>
              <w:right w:w="108" w:type="dxa"/>
            </w:tcMar>
            <w:vAlign w:val="center"/>
          </w:tcPr>
          <w:p w14:paraId="22D36273"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57F93C0B" w14:textId="77777777" w:rsidTr="00031627">
        <w:trPr>
          <w:trHeight w:val="340"/>
          <w:jc w:val="center"/>
        </w:trPr>
        <w:tc>
          <w:tcPr>
            <w:tcW w:w="540" w:type="dxa"/>
            <w:vMerge/>
            <w:tcMar>
              <w:top w:w="0" w:type="dxa"/>
              <w:left w:w="108" w:type="dxa"/>
              <w:bottom w:w="0" w:type="dxa"/>
              <w:right w:w="108" w:type="dxa"/>
            </w:tcMar>
            <w:vAlign w:val="center"/>
          </w:tcPr>
          <w:p w14:paraId="6EF86F4C"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4BD29AA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1.1.1.1.1</w:t>
            </w:r>
          </w:p>
        </w:tc>
        <w:tc>
          <w:tcPr>
            <w:tcW w:w="3952" w:type="dxa"/>
            <w:tcMar>
              <w:top w:w="0" w:type="dxa"/>
              <w:left w:w="108" w:type="dxa"/>
              <w:bottom w:w="0" w:type="dxa"/>
              <w:right w:w="108" w:type="dxa"/>
            </w:tcMar>
            <w:vAlign w:val="center"/>
          </w:tcPr>
          <w:p w14:paraId="69834BE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中国信科集团</w:t>
            </w:r>
          </w:p>
        </w:tc>
        <w:tc>
          <w:tcPr>
            <w:tcW w:w="1275" w:type="dxa"/>
            <w:tcMar>
              <w:top w:w="0" w:type="dxa"/>
              <w:left w:w="108" w:type="dxa"/>
              <w:bottom w:w="0" w:type="dxa"/>
              <w:right w:w="108" w:type="dxa"/>
            </w:tcMar>
            <w:vAlign w:val="center"/>
          </w:tcPr>
          <w:p w14:paraId="6D04FF2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w:t>
            </w:r>
          </w:p>
        </w:tc>
        <w:tc>
          <w:tcPr>
            <w:tcW w:w="1359" w:type="dxa"/>
            <w:tcMar>
              <w:top w:w="0" w:type="dxa"/>
              <w:left w:w="108" w:type="dxa"/>
              <w:bottom w:w="0" w:type="dxa"/>
              <w:right w:w="108" w:type="dxa"/>
            </w:tcMar>
            <w:vAlign w:val="center"/>
          </w:tcPr>
          <w:p w14:paraId="73BDEB4F"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774D1522" w14:textId="77777777" w:rsidTr="00031627">
        <w:trPr>
          <w:trHeight w:val="340"/>
          <w:jc w:val="center"/>
        </w:trPr>
        <w:tc>
          <w:tcPr>
            <w:tcW w:w="540" w:type="dxa"/>
            <w:vMerge/>
            <w:tcMar>
              <w:top w:w="0" w:type="dxa"/>
              <w:left w:w="108" w:type="dxa"/>
              <w:bottom w:w="0" w:type="dxa"/>
              <w:right w:w="108" w:type="dxa"/>
            </w:tcMar>
            <w:vAlign w:val="center"/>
          </w:tcPr>
          <w:p w14:paraId="0F816610"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7235352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1.1.1.1.1.1</w:t>
            </w:r>
          </w:p>
        </w:tc>
        <w:tc>
          <w:tcPr>
            <w:tcW w:w="3952" w:type="dxa"/>
            <w:tcMar>
              <w:top w:w="0" w:type="dxa"/>
              <w:left w:w="108" w:type="dxa"/>
              <w:bottom w:w="0" w:type="dxa"/>
              <w:right w:w="108" w:type="dxa"/>
            </w:tcMar>
            <w:vAlign w:val="center"/>
          </w:tcPr>
          <w:p w14:paraId="7E44DBA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国务院国资委</w:t>
            </w:r>
          </w:p>
        </w:tc>
        <w:tc>
          <w:tcPr>
            <w:tcW w:w="1275" w:type="dxa"/>
            <w:tcMar>
              <w:top w:w="0" w:type="dxa"/>
              <w:left w:w="108" w:type="dxa"/>
              <w:bottom w:w="0" w:type="dxa"/>
              <w:right w:w="108" w:type="dxa"/>
            </w:tcMar>
            <w:vAlign w:val="center"/>
          </w:tcPr>
          <w:p w14:paraId="32AA8DD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w:t>
            </w:r>
          </w:p>
        </w:tc>
        <w:tc>
          <w:tcPr>
            <w:tcW w:w="1359" w:type="dxa"/>
            <w:tcMar>
              <w:top w:w="0" w:type="dxa"/>
              <w:left w:w="108" w:type="dxa"/>
              <w:bottom w:w="0" w:type="dxa"/>
              <w:right w:w="108" w:type="dxa"/>
            </w:tcMar>
            <w:vAlign w:val="center"/>
          </w:tcPr>
          <w:p w14:paraId="540FA58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注</w:t>
            </w:r>
            <w:r w:rsidRPr="00B4515A">
              <w:rPr>
                <w:rFonts w:ascii="Times New Roman" w:hAnsi="Times New Roman" w:cs="Times New Roman"/>
                <w:sz w:val="21"/>
                <w:szCs w:val="21"/>
              </w:rPr>
              <w:t>1</w:t>
            </w:r>
          </w:p>
        </w:tc>
      </w:tr>
      <w:tr w:rsidR="006416B0" w:rsidRPr="00B4515A" w14:paraId="20D4626B" w14:textId="77777777" w:rsidTr="00031627">
        <w:trPr>
          <w:trHeight w:val="340"/>
          <w:jc w:val="center"/>
        </w:trPr>
        <w:tc>
          <w:tcPr>
            <w:tcW w:w="540" w:type="dxa"/>
            <w:vMerge/>
            <w:tcMar>
              <w:top w:w="0" w:type="dxa"/>
              <w:left w:w="108" w:type="dxa"/>
              <w:bottom w:w="0" w:type="dxa"/>
              <w:right w:w="108" w:type="dxa"/>
            </w:tcMar>
            <w:vAlign w:val="center"/>
          </w:tcPr>
          <w:p w14:paraId="6330C04C"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604E02B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1.1.1.2</w:t>
            </w:r>
          </w:p>
        </w:tc>
        <w:tc>
          <w:tcPr>
            <w:tcW w:w="3952" w:type="dxa"/>
            <w:tcMar>
              <w:top w:w="0" w:type="dxa"/>
              <w:left w:w="108" w:type="dxa"/>
              <w:bottom w:w="0" w:type="dxa"/>
              <w:right w:w="108" w:type="dxa"/>
            </w:tcMar>
            <w:vAlign w:val="center"/>
          </w:tcPr>
          <w:p w14:paraId="2BCA2D6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武汉金融控股（集团）有限公司</w:t>
            </w:r>
          </w:p>
        </w:tc>
        <w:tc>
          <w:tcPr>
            <w:tcW w:w="1275" w:type="dxa"/>
            <w:tcMar>
              <w:top w:w="0" w:type="dxa"/>
              <w:left w:w="108" w:type="dxa"/>
              <w:bottom w:w="0" w:type="dxa"/>
              <w:right w:w="108" w:type="dxa"/>
            </w:tcMar>
            <w:vAlign w:val="center"/>
          </w:tcPr>
          <w:p w14:paraId="063C678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4.6157%</w:t>
            </w:r>
          </w:p>
        </w:tc>
        <w:tc>
          <w:tcPr>
            <w:tcW w:w="1359" w:type="dxa"/>
            <w:tcMar>
              <w:top w:w="0" w:type="dxa"/>
              <w:left w:w="108" w:type="dxa"/>
              <w:bottom w:w="0" w:type="dxa"/>
              <w:right w:w="108" w:type="dxa"/>
            </w:tcMar>
            <w:vAlign w:val="center"/>
          </w:tcPr>
          <w:p w14:paraId="565BF50A"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4D899E4E" w14:textId="77777777" w:rsidTr="00031627">
        <w:trPr>
          <w:trHeight w:val="340"/>
          <w:jc w:val="center"/>
        </w:trPr>
        <w:tc>
          <w:tcPr>
            <w:tcW w:w="540" w:type="dxa"/>
            <w:vMerge/>
            <w:tcMar>
              <w:top w:w="0" w:type="dxa"/>
              <w:left w:w="108" w:type="dxa"/>
              <w:bottom w:w="0" w:type="dxa"/>
              <w:right w:w="108" w:type="dxa"/>
            </w:tcMar>
            <w:vAlign w:val="center"/>
          </w:tcPr>
          <w:p w14:paraId="0ED057EC"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69C9C34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1.1.1.2.1</w:t>
            </w:r>
          </w:p>
        </w:tc>
        <w:tc>
          <w:tcPr>
            <w:tcW w:w="3952" w:type="dxa"/>
            <w:tcMar>
              <w:top w:w="0" w:type="dxa"/>
              <w:left w:w="108" w:type="dxa"/>
              <w:bottom w:w="0" w:type="dxa"/>
              <w:right w:w="108" w:type="dxa"/>
            </w:tcMar>
            <w:vAlign w:val="center"/>
          </w:tcPr>
          <w:p w14:paraId="7C55BD7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武汉市人民政府国有资产监督管理委员会</w:t>
            </w:r>
          </w:p>
        </w:tc>
        <w:tc>
          <w:tcPr>
            <w:tcW w:w="1275" w:type="dxa"/>
            <w:tcMar>
              <w:top w:w="0" w:type="dxa"/>
              <w:left w:w="108" w:type="dxa"/>
              <w:bottom w:w="0" w:type="dxa"/>
              <w:right w:w="108" w:type="dxa"/>
            </w:tcMar>
            <w:vAlign w:val="center"/>
          </w:tcPr>
          <w:p w14:paraId="0052079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w:t>
            </w:r>
          </w:p>
        </w:tc>
        <w:tc>
          <w:tcPr>
            <w:tcW w:w="1359" w:type="dxa"/>
            <w:tcMar>
              <w:top w:w="0" w:type="dxa"/>
              <w:left w:w="108" w:type="dxa"/>
              <w:bottom w:w="0" w:type="dxa"/>
              <w:right w:w="108" w:type="dxa"/>
            </w:tcMar>
            <w:vAlign w:val="center"/>
          </w:tcPr>
          <w:p w14:paraId="65FA472E"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38B189BA" w14:textId="77777777" w:rsidTr="00031627">
        <w:trPr>
          <w:trHeight w:val="340"/>
          <w:jc w:val="center"/>
        </w:trPr>
        <w:tc>
          <w:tcPr>
            <w:tcW w:w="540" w:type="dxa"/>
            <w:vMerge/>
            <w:tcMar>
              <w:top w:w="0" w:type="dxa"/>
              <w:left w:w="108" w:type="dxa"/>
              <w:bottom w:w="0" w:type="dxa"/>
              <w:right w:w="108" w:type="dxa"/>
            </w:tcMar>
            <w:vAlign w:val="center"/>
          </w:tcPr>
          <w:p w14:paraId="338B0275"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76EA207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1.1.1.3</w:t>
            </w:r>
          </w:p>
        </w:tc>
        <w:tc>
          <w:tcPr>
            <w:tcW w:w="3952" w:type="dxa"/>
            <w:tcMar>
              <w:top w:w="0" w:type="dxa"/>
              <w:left w:w="108" w:type="dxa"/>
              <w:bottom w:w="0" w:type="dxa"/>
              <w:right w:w="108" w:type="dxa"/>
            </w:tcMar>
            <w:vAlign w:val="center"/>
          </w:tcPr>
          <w:p w14:paraId="0EEC468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武汉高科国有控股集团有限公司</w:t>
            </w:r>
          </w:p>
        </w:tc>
        <w:tc>
          <w:tcPr>
            <w:tcW w:w="1275" w:type="dxa"/>
            <w:tcMar>
              <w:top w:w="0" w:type="dxa"/>
              <w:left w:w="108" w:type="dxa"/>
              <w:bottom w:w="0" w:type="dxa"/>
              <w:right w:w="108" w:type="dxa"/>
            </w:tcMar>
            <w:vAlign w:val="center"/>
          </w:tcPr>
          <w:p w14:paraId="195A860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2.6938%</w:t>
            </w:r>
          </w:p>
        </w:tc>
        <w:tc>
          <w:tcPr>
            <w:tcW w:w="1359" w:type="dxa"/>
            <w:tcMar>
              <w:top w:w="0" w:type="dxa"/>
              <w:left w:w="108" w:type="dxa"/>
              <w:bottom w:w="0" w:type="dxa"/>
              <w:right w:w="108" w:type="dxa"/>
            </w:tcMar>
            <w:vAlign w:val="center"/>
          </w:tcPr>
          <w:p w14:paraId="40D4A458"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1C357838" w14:textId="77777777" w:rsidTr="00031627">
        <w:trPr>
          <w:trHeight w:val="340"/>
          <w:jc w:val="center"/>
        </w:trPr>
        <w:tc>
          <w:tcPr>
            <w:tcW w:w="540" w:type="dxa"/>
            <w:vMerge/>
            <w:tcMar>
              <w:top w:w="0" w:type="dxa"/>
              <w:left w:w="108" w:type="dxa"/>
              <w:bottom w:w="0" w:type="dxa"/>
              <w:right w:w="108" w:type="dxa"/>
            </w:tcMar>
            <w:vAlign w:val="center"/>
          </w:tcPr>
          <w:p w14:paraId="0DFD8289"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51856CB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1.1.1.3.1</w:t>
            </w:r>
          </w:p>
        </w:tc>
        <w:tc>
          <w:tcPr>
            <w:tcW w:w="3952" w:type="dxa"/>
            <w:tcMar>
              <w:top w:w="0" w:type="dxa"/>
              <w:left w:w="108" w:type="dxa"/>
              <w:bottom w:w="0" w:type="dxa"/>
              <w:right w:w="108" w:type="dxa"/>
            </w:tcMar>
            <w:vAlign w:val="center"/>
          </w:tcPr>
          <w:p w14:paraId="06A8124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武汉东湖新技术开发区管理委员会</w:t>
            </w:r>
          </w:p>
        </w:tc>
        <w:tc>
          <w:tcPr>
            <w:tcW w:w="1275" w:type="dxa"/>
            <w:tcMar>
              <w:top w:w="0" w:type="dxa"/>
              <w:left w:w="108" w:type="dxa"/>
              <w:bottom w:w="0" w:type="dxa"/>
              <w:right w:w="108" w:type="dxa"/>
            </w:tcMar>
            <w:vAlign w:val="center"/>
          </w:tcPr>
          <w:p w14:paraId="78D2F6C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w:t>
            </w:r>
          </w:p>
        </w:tc>
        <w:tc>
          <w:tcPr>
            <w:tcW w:w="1359" w:type="dxa"/>
            <w:tcMar>
              <w:top w:w="0" w:type="dxa"/>
              <w:left w:w="108" w:type="dxa"/>
              <w:bottom w:w="0" w:type="dxa"/>
              <w:right w:w="108" w:type="dxa"/>
            </w:tcMar>
            <w:vAlign w:val="center"/>
          </w:tcPr>
          <w:p w14:paraId="505306B7"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225F0C4A" w14:textId="77777777" w:rsidTr="00031627">
        <w:trPr>
          <w:trHeight w:val="340"/>
          <w:jc w:val="center"/>
        </w:trPr>
        <w:tc>
          <w:tcPr>
            <w:tcW w:w="540" w:type="dxa"/>
            <w:vMerge/>
            <w:tcMar>
              <w:top w:w="0" w:type="dxa"/>
              <w:left w:w="108" w:type="dxa"/>
              <w:bottom w:w="0" w:type="dxa"/>
              <w:right w:w="108" w:type="dxa"/>
            </w:tcMar>
            <w:vAlign w:val="center"/>
          </w:tcPr>
          <w:p w14:paraId="4A51B8BC"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3C28ED9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w:t>
            </w:r>
          </w:p>
        </w:tc>
        <w:tc>
          <w:tcPr>
            <w:tcW w:w="3952" w:type="dxa"/>
            <w:tcMar>
              <w:top w:w="0" w:type="dxa"/>
              <w:left w:w="108" w:type="dxa"/>
              <w:bottom w:w="0" w:type="dxa"/>
              <w:right w:w="108" w:type="dxa"/>
            </w:tcMar>
            <w:vAlign w:val="center"/>
          </w:tcPr>
          <w:p w14:paraId="092EDBC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深圳市建元信诺创业投资企业（有限合伙）</w:t>
            </w:r>
          </w:p>
        </w:tc>
        <w:tc>
          <w:tcPr>
            <w:tcW w:w="1275" w:type="dxa"/>
            <w:tcMar>
              <w:top w:w="0" w:type="dxa"/>
              <w:left w:w="108" w:type="dxa"/>
              <w:bottom w:w="0" w:type="dxa"/>
              <w:right w:w="108" w:type="dxa"/>
            </w:tcMar>
            <w:vAlign w:val="center"/>
          </w:tcPr>
          <w:p w14:paraId="65B102D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24%</w:t>
            </w:r>
          </w:p>
        </w:tc>
        <w:tc>
          <w:tcPr>
            <w:tcW w:w="1359" w:type="dxa"/>
            <w:tcMar>
              <w:top w:w="0" w:type="dxa"/>
              <w:left w:w="108" w:type="dxa"/>
              <w:bottom w:w="0" w:type="dxa"/>
              <w:right w:w="108" w:type="dxa"/>
            </w:tcMar>
            <w:vAlign w:val="center"/>
          </w:tcPr>
          <w:p w14:paraId="52C6740E"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495E1F54" w14:textId="77777777" w:rsidTr="00031627">
        <w:trPr>
          <w:trHeight w:val="340"/>
          <w:jc w:val="center"/>
        </w:trPr>
        <w:tc>
          <w:tcPr>
            <w:tcW w:w="540" w:type="dxa"/>
            <w:vMerge/>
            <w:tcMar>
              <w:top w:w="0" w:type="dxa"/>
              <w:left w:w="108" w:type="dxa"/>
              <w:bottom w:w="0" w:type="dxa"/>
              <w:right w:w="108" w:type="dxa"/>
            </w:tcMar>
            <w:vAlign w:val="center"/>
          </w:tcPr>
          <w:p w14:paraId="33672623"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172EC97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1.1.2.1</w:t>
            </w:r>
          </w:p>
        </w:tc>
        <w:tc>
          <w:tcPr>
            <w:tcW w:w="3952" w:type="dxa"/>
            <w:tcMar>
              <w:top w:w="0" w:type="dxa"/>
              <w:left w:w="108" w:type="dxa"/>
              <w:bottom w:w="0" w:type="dxa"/>
              <w:right w:w="108" w:type="dxa"/>
            </w:tcMar>
            <w:vAlign w:val="center"/>
          </w:tcPr>
          <w:p w14:paraId="78F4596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郑学文</w:t>
            </w:r>
          </w:p>
        </w:tc>
        <w:tc>
          <w:tcPr>
            <w:tcW w:w="1275" w:type="dxa"/>
            <w:tcMar>
              <w:top w:w="0" w:type="dxa"/>
              <w:left w:w="108" w:type="dxa"/>
              <w:bottom w:w="0" w:type="dxa"/>
              <w:right w:w="108" w:type="dxa"/>
            </w:tcMar>
            <w:vAlign w:val="center"/>
          </w:tcPr>
          <w:p w14:paraId="5117EAC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23.3333%</w:t>
            </w:r>
          </w:p>
        </w:tc>
        <w:tc>
          <w:tcPr>
            <w:tcW w:w="1359" w:type="dxa"/>
            <w:tcMar>
              <w:top w:w="0" w:type="dxa"/>
              <w:left w:w="108" w:type="dxa"/>
              <w:bottom w:w="0" w:type="dxa"/>
              <w:right w:w="108" w:type="dxa"/>
            </w:tcMar>
            <w:vAlign w:val="center"/>
          </w:tcPr>
          <w:p w14:paraId="1D971DC7"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198BEC84" w14:textId="77777777" w:rsidTr="00031627">
        <w:trPr>
          <w:trHeight w:val="340"/>
          <w:jc w:val="center"/>
        </w:trPr>
        <w:tc>
          <w:tcPr>
            <w:tcW w:w="540" w:type="dxa"/>
            <w:vMerge/>
            <w:tcMar>
              <w:top w:w="0" w:type="dxa"/>
              <w:left w:w="108" w:type="dxa"/>
              <w:bottom w:w="0" w:type="dxa"/>
              <w:right w:w="108" w:type="dxa"/>
            </w:tcMar>
            <w:vAlign w:val="center"/>
          </w:tcPr>
          <w:p w14:paraId="3AE4B0A8"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725A006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1.1.2.2</w:t>
            </w:r>
          </w:p>
        </w:tc>
        <w:tc>
          <w:tcPr>
            <w:tcW w:w="3952" w:type="dxa"/>
            <w:tcMar>
              <w:top w:w="0" w:type="dxa"/>
              <w:left w:w="108" w:type="dxa"/>
              <w:bottom w:w="0" w:type="dxa"/>
              <w:right w:w="108" w:type="dxa"/>
            </w:tcMar>
            <w:vAlign w:val="center"/>
          </w:tcPr>
          <w:p w14:paraId="01CDAA4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杨念群</w:t>
            </w:r>
          </w:p>
        </w:tc>
        <w:tc>
          <w:tcPr>
            <w:tcW w:w="1275" w:type="dxa"/>
            <w:tcMar>
              <w:top w:w="0" w:type="dxa"/>
              <w:left w:w="108" w:type="dxa"/>
              <w:bottom w:w="0" w:type="dxa"/>
              <w:right w:w="108" w:type="dxa"/>
            </w:tcMar>
            <w:vAlign w:val="center"/>
          </w:tcPr>
          <w:p w14:paraId="4A098D2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18.9667%</w:t>
            </w:r>
          </w:p>
        </w:tc>
        <w:tc>
          <w:tcPr>
            <w:tcW w:w="1359" w:type="dxa"/>
            <w:tcMar>
              <w:top w:w="0" w:type="dxa"/>
              <w:left w:w="108" w:type="dxa"/>
              <w:bottom w:w="0" w:type="dxa"/>
              <w:right w:w="108" w:type="dxa"/>
            </w:tcMar>
            <w:vAlign w:val="center"/>
          </w:tcPr>
          <w:p w14:paraId="6B78EF94"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5BCC3C1C" w14:textId="77777777" w:rsidTr="00031627">
        <w:trPr>
          <w:trHeight w:val="340"/>
          <w:jc w:val="center"/>
        </w:trPr>
        <w:tc>
          <w:tcPr>
            <w:tcW w:w="540" w:type="dxa"/>
            <w:vMerge/>
            <w:tcMar>
              <w:top w:w="0" w:type="dxa"/>
              <w:left w:w="108" w:type="dxa"/>
              <w:bottom w:w="0" w:type="dxa"/>
              <w:right w:w="108" w:type="dxa"/>
            </w:tcMar>
            <w:vAlign w:val="center"/>
          </w:tcPr>
          <w:p w14:paraId="27FD3F39"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396F3B2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1.1.2.3</w:t>
            </w:r>
          </w:p>
        </w:tc>
        <w:tc>
          <w:tcPr>
            <w:tcW w:w="3952" w:type="dxa"/>
            <w:tcMar>
              <w:top w:w="0" w:type="dxa"/>
              <w:left w:w="108" w:type="dxa"/>
              <w:bottom w:w="0" w:type="dxa"/>
              <w:right w:w="108" w:type="dxa"/>
            </w:tcMar>
            <w:vAlign w:val="center"/>
          </w:tcPr>
          <w:p w14:paraId="7B3E4CD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郑学宏</w:t>
            </w:r>
          </w:p>
        </w:tc>
        <w:tc>
          <w:tcPr>
            <w:tcW w:w="1275" w:type="dxa"/>
            <w:tcMar>
              <w:top w:w="0" w:type="dxa"/>
              <w:left w:w="108" w:type="dxa"/>
              <w:bottom w:w="0" w:type="dxa"/>
              <w:right w:w="108" w:type="dxa"/>
            </w:tcMar>
            <w:vAlign w:val="center"/>
          </w:tcPr>
          <w:p w14:paraId="2017D5D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w:t>
            </w:r>
          </w:p>
        </w:tc>
        <w:tc>
          <w:tcPr>
            <w:tcW w:w="1359" w:type="dxa"/>
            <w:tcMar>
              <w:top w:w="0" w:type="dxa"/>
              <w:left w:w="108" w:type="dxa"/>
              <w:bottom w:w="0" w:type="dxa"/>
              <w:right w:w="108" w:type="dxa"/>
            </w:tcMar>
            <w:vAlign w:val="center"/>
          </w:tcPr>
          <w:p w14:paraId="4D734FE1"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5739293E" w14:textId="77777777" w:rsidTr="00031627">
        <w:trPr>
          <w:trHeight w:val="340"/>
          <w:jc w:val="center"/>
        </w:trPr>
        <w:tc>
          <w:tcPr>
            <w:tcW w:w="540" w:type="dxa"/>
            <w:vMerge/>
            <w:tcMar>
              <w:top w:w="0" w:type="dxa"/>
              <w:left w:w="108" w:type="dxa"/>
              <w:bottom w:w="0" w:type="dxa"/>
              <w:right w:w="108" w:type="dxa"/>
            </w:tcMar>
            <w:vAlign w:val="center"/>
          </w:tcPr>
          <w:p w14:paraId="452AE20D"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192EEB6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1.1.2.4</w:t>
            </w:r>
          </w:p>
        </w:tc>
        <w:tc>
          <w:tcPr>
            <w:tcW w:w="3952" w:type="dxa"/>
            <w:tcMar>
              <w:top w:w="0" w:type="dxa"/>
              <w:left w:w="108" w:type="dxa"/>
              <w:bottom w:w="0" w:type="dxa"/>
              <w:right w:w="108" w:type="dxa"/>
            </w:tcMar>
            <w:vAlign w:val="center"/>
          </w:tcPr>
          <w:p w14:paraId="380ACB9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赵孟</w:t>
            </w:r>
          </w:p>
        </w:tc>
        <w:tc>
          <w:tcPr>
            <w:tcW w:w="1275" w:type="dxa"/>
            <w:tcMar>
              <w:top w:w="0" w:type="dxa"/>
              <w:left w:w="108" w:type="dxa"/>
              <w:bottom w:w="0" w:type="dxa"/>
              <w:right w:w="108" w:type="dxa"/>
            </w:tcMar>
            <w:vAlign w:val="center"/>
          </w:tcPr>
          <w:p w14:paraId="1130C6D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8.3333%</w:t>
            </w:r>
          </w:p>
        </w:tc>
        <w:tc>
          <w:tcPr>
            <w:tcW w:w="1359" w:type="dxa"/>
            <w:tcMar>
              <w:top w:w="0" w:type="dxa"/>
              <w:left w:w="108" w:type="dxa"/>
              <w:bottom w:w="0" w:type="dxa"/>
              <w:right w:w="108" w:type="dxa"/>
            </w:tcMar>
            <w:vAlign w:val="center"/>
          </w:tcPr>
          <w:p w14:paraId="17489998"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7F44254B" w14:textId="77777777" w:rsidTr="00031627">
        <w:trPr>
          <w:trHeight w:val="340"/>
          <w:jc w:val="center"/>
        </w:trPr>
        <w:tc>
          <w:tcPr>
            <w:tcW w:w="540" w:type="dxa"/>
            <w:vMerge/>
            <w:tcMar>
              <w:top w:w="0" w:type="dxa"/>
              <w:left w:w="108" w:type="dxa"/>
              <w:bottom w:w="0" w:type="dxa"/>
              <w:right w:w="108" w:type="dxa"/>
            </w:tcMar>
            <w:vAlign w:val="center"/>
          </w:tcPr>
          <w:p w14:paraId="46F0253C"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05D1565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1.1.2.5</w:t>
            </w:r>
          </w:p>
        </w:tc>
        <w:tc>
          <w:tcPr>
            <w:tcW w:w="3952" w:type="dxa"/>
            <w:tcMar>
              <w:top w:w="0" w:type="dxa"/>
              <w:left w:w="108" w:type="dxa"/>
              <w:bottom w:w="0" w:type="dxa"/>
              <w:right w:w="108" w:type="dxa"/>
            </w:tcMar>
            <w:vAlign w:val="center"/>
          </w:tcPr>
          <w:p w14:paraId="4AEA6F3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廖志旺</w:t>
            </w:r>
          </w:p>
        </w:tc>
        <w:tc>
          <w:tcPr>
            <w:tcW w:w="1275" w:type="dxa"/>
            <w:tcMar>
              <w:top w:w="0" w:type="dxa"/>
              <w:left w:w="108" w:type="dxa"/>
              <w:bottom w:w="0" w:type="dxa"/>
              <w:right w:w="108" w:type="dxa"/>
            </w:tcMar>
            <w:vAlign w:val="center"/>
          </w:tcPr>
          <w:p w14:paraId="1EB99DD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6.6667%</w:t>
            </w:r>
          </w:p>
        </w:tc>
        <w:tc>
          <w:tcPr>
            <w:tcW w:w="1359" w:type="dxa"/>
            <w:tcMar>
              <w:top w:w="0" w:type="dxa"/>
              <w:left w:w="108" w:type="dxa"/>
              <w:bottom w:w="0" w:type="dxa"/>
              <w:right w:w="108" w:type="dxa"/>
            </w:tcMar>
            <w:vAlign w:val="center"/>
          </w:tcPr>
          <w:p w14:paraId="51E953E4"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1CD69664" w14:textId="77777777" w:rsidTr="00031627">
        <w:trPr>
          <w:trHeight w:val="340"/>
          <w:jc w:val="center"/>
        </w:trPr>
        <w:tc>
          <w:tcPr>
            <w:tcW w:w="540" w:type="dxa"/>
            <w:vMerge/>
            <w:tcMar>
              <w:top w:w="0" w:type="dxa"/>
              <w:left w:w="108" w:type="dxa"/>
              <w:bottom w:w="0" w:type="dxa"/>
              <w:right w:w="108" w:type="dxa"/>
            </w:tcMar>
            <w:vAlign w:val="center"/>
          </w:tcPr>
          <w:p w14:paraId="7457BBC8"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64CBEC8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1.1.2.6</w:t>
            </w:r>
          </w:p>
        </w:tc>
        <w:tc>
          <w:tcPr>
            <w:tcW w:w="3952" w:type="dxa"/>
            <w:tcMar>
              <w:top w:w="0" w:type="dxa"/>
              <w:left w:w="108" w:type="dxa"/>
              <w:bottom w:w="0" w:type="dxa"/>
              <w:right w:w="108" w:type="dxa"/>
            </w:tcMar>
            <w:vAlign w:val="center"/>
          </w:tcPr>
          <w:p w14:paraId="7E3CECA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李鹏进</w:t>
            </w:r>
          </w:p>
        </w:tc>
        <w:tc>
          <w:tcPr>
            <w:tcW w:w="1275" w:type="dxa"/>
            <w:tcMar>
              <w:top w:w="0" w:type="dxa"/>
              <w:left w:w="108" w:type="dxa"/>
              <w:bottom w:w="0" w:type="dxa"/>
              <w:right w:w="108" w:type="dxa"/>
            </w:tcMar>
            <w:vAlign w:val="center"/>
          </w:tcPr>
          <w:p w14:paraId="024F89B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6.6667%</w:t>
            </w:r>
          </w:p>
        </w:tc>
        <w:tc>
          <w:tcPr>
            <w:tcW w:w="1359" w:type="dxa"/>
            <w:tcMar>
              <w:top w:w="0" w:type="dxa"/>
              <w:left w:w="108" w:type="dxa"/>
              <w:bottom w:w="0" w:type="dxa"/>
              <w:right w:w="108" w:type="dxa"/>
            </w:tcMar>
            <w:vAlign w:val="center"/>
          </w:tcPr>
          <w:p w14:paraId="4062795C"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28351F69" w14:textId="77777777" w:rsidTr="00031627">
        <w:trPr>
          <w:trHeight w:val="340"/>
          <w:jc w:val="center"/>
        </w:trPr>
        <w:tc>
          <w:tcPr>
            <w:tcW w:w="540" w:type="dxa"/>
            <w:vMerge/>
            <w:tcMar>
              <w:top w:w="0" w:type="dxa"/>
              <w:left w:w="108" w:type="dxa"/>
              <w:bottom w:w="0" w:type="dxa"/>
              <w:right w:w="108" w:type="dxa"/>
            </w:tcMar>
            <w:vAlign w:val="center"/>
          </w:tcPr>
          <w:p w14:paraId="6F544E3F"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104AB18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1.1.2.7</w:t>
            </w:r>
          </w:p>
        </w:tc>
        <w:tc>
          <w:tcPr>
            <w:tcW w:w="3952" w:type="dxa"/>
            <w:tcMar>
              <w:top w:w="0" w:type="dxa"/>
              <w:left w:w="108" w:type="dxa"/>
              <w:bottom w:w="0" w:type="dxa"/>
              <w:right w:w="108" w:type="dxa"/>
            </w:tcMar>
            <w:vAlign w:val="center"/>
          </w:tcPr>
          <w:p w14:paraId="1C88B45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郑志兰</w:t>
            </w:r>
          </w:p>
        </w:tc>
        <w:tc>
          <w:tcPr>
            <w:tcW w:w="1275" w:type="dxa"/>
            <w:tcMar>
              <w:top w:w="0" w:type="dxa"/>
              <w:left w:w="108" w:type="dxa"/>
              <w:bottom w:w="0" w:type="dxa"/>
              <w:right w:w="108" w:type="dxa"/>
            </w:tcMar>
            <w:vAlign w:val="center"/>
          </w:tcPr>
          <w:p w14:paraId="437B984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6.6667%</w:t>
            </w:r>
          </w:p>
        </w:tc>
        <w:tc>
          <w:tcPr>
            <w:tcW w:w="1359" w:type="dxa"/>
            <w:tcMar>
              <w:top w:w="0" w:type="dxa"/>
              <w:left w:w="108" w:type="dxa"/>
              <w:bottom w:w="0" w:type="dxa"/>
              <w:right w:w="108" w:type="dxa"/>
            </w:tcMar>
            <w:vAlign w:val="center"/>
          </w:tcPr>
          <w:p w14:paraId="778E468A"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370972FA" w14:textId="77777777" w:rsidTr="00031627">
        <w:trPr>
          <w:trHeight w:val="340"/>
          <w:jc w:val="center"/>
        </w:trPr>
        <w:tc>
          <w:tcPr>
            <w:tcW w:w="540" w:type="dxa"/>
            <w:vMerge/>
            <w:tcMar>
              <w:top w:w="0" w:type="dxa"/>
              <w:left w:w="108" w:type="dxa"/>
              <w:bottom w:w="0" w:type="dxa"/>
              <w:right w:w="108" w:type="dxa"/>
            </w:tcMar>
            <w:vAlign w:val="center"/>
          </w:tcPr>
          <w:p w14:paraId="1902BB9D"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18E43FE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1.1.2.8</w:t>
            </w:r>
          </w:p>
        </w:tc>
        <w:tc>
          <w:tcPr>
            <w:tcW w:w="3952" w:type="dxa"/>
            <w:tcMar>
              <w:top w:w="0" w:type="dxa"/>
              <w:left w:w="108" w:type="dxa"/>
              <w:bottom w:w="0" w:type="dxa"/>
              <w:right w:w="108" w:type="dxa"/>
            </w:tcMar>
            <w:vAlign w:val="center"/>
          </w:tcPr>
          <w:p w14:paraId="0774D19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余少彦</w:t>
            </w:r>
          </w:p>
        </w:tc>
        <w:tc>
          <w:tcPr>
            <w:tcW w:w="1275" w:type="dxa"/>
            <w:tcMar>
              <w:top w:w="0" w:type="dxa"/>
              <w:left w:w="108" w:type="dxa"/>
              <w:bottom w:w="0" w:type="dxa"/>
              <w:right w:w="108" w:type="dxa"/>
            </w:tcMar>
            <w:vAlign w:val="center"/>
          </w:tcPr>
          <w:p w14:paraId="2799890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3.3333%</w:t>
            </w:r>
          </w:p>
        </w:tc>
        <w:tc>
          <w:tcPr>
            <w:tcW w:w="1359" w:type="dxa"/>
            <w:tcMar>
              <w:top w:w="0" w:type="dxa"/>
              <w:left w:w="108" w:type="dxa"/>
              <w:bottom w:w="0" w:type="dxa"/>
              <w:right w:w="108" w:type="dxa"/>
            </w:tcMar>
            <w:vAlign w:val="center"/>
          </w:tcPr>
          <w:p w14:paraId="482B0FC9"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58991DA8" w14:textId="77777777" w:rsidTr="00031627">
        <w:trPr>
          <w:trHeight w:val="340"/>
          <w:jc w:val="center"/>
        </w:trPr>
        <w:tc>
          <w:tcPr>
            <w:tcW w:w="540" w:type="dxa"/>
            <w:vMerge/>
            <w:tcMar>
              <w:top w:w="0" w:type="dxa"/>
              <w:left w:w="108" w:type="dxa"/>
              <w:bottom w:w="0" w:type="dxa"/>
              <w:right w:w="108" w:type="dxa"/>
            </w:tcMar>
            <w:vAlign w:val="center"/>
          </w:tcPr>
          <w:p w14:paraId="008CBC50"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3220F43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1.1.2.9</w:t>
            </w:r>
          </w:p>
        </w:tc>
        <w:tc>
          <w:tcPr>
            <w:tcW w:w="3952" w:type="dxa"/>
            <w:tcMar>
              <w:top w:w="0" w:type="dxa"/>
              <w:left w:w="108" w:type="dxa"/>
              <w:bottom w:w="0" w:type="dxa"/>
              <w:right w:w="108" w:type="dxa"/>
            </w:tcMar>
            <w:vAlign w:val="center"/>
          </w:tcPr>
          <w:p w14:paraId="3545FA2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樊泞</w:t>
            </w:r>
          </w:p>
        </w:tc>
        <w:tc>
          <w:tcPr>
            <w:tcW w:w="1275" w:type="dxa"/>
            <w:tcMar>
              <w:top w:w="0" w:type="dxa"/>
              <w:left w:w="108" w:type="dxa"/>
              <w:bottom w:w="0" w:type="dxa"/>
              <w:right w:w="108" w:type="dxa"/>
            </w:tcMar>
            <w:vAlign w:val="center"/>
          </w:tcPr>
          <w:p w14:paraId="589AD8D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3.3333%</w:t>
            </w:r>
          </w:p>
        </w:tc>
        <w:tc>
          <w:tcPr>
            <w:tcW w:w="1359" w:type="dxa"/>
            <w:tcMar>
              <w:top w:w="0" w:type="dxa"/>
              <w:left w:w="108" w:type="dxa"/>
              <w:bottom w:w="0" w:type="dxa"/>
              <w:right w:w="108" w:type="dxa"/>
            </w:tcMar>
            <w:vAlign w:val="center"/>
          </w:tcPr>
          <w:p w14:paraId="477E6FF0"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2DCC6FCD" w14:textId="77777777" w:rsidTr="00031627">
        <w:trPr>
          <w:trHeight w:val="340"/>
          <w:jc w:val="center"/>
        </w:trPr>
        <w:tc>
          <w:tcPr>
            <w:tcW w:w="540" w:type="dxa"/>
            <w:vMerge/>
            <w:tcMar>
              <w:top w:w="0" w:type="dxa"/>
              <w:left w:w="108" w:type="dxa"/>
              <w:bottom w:w="0" w:type="dxa"/>
              <w:right w:w="108" w:type="dxa"/>
            </w:tcMar>
            <w:vAlign w:val="center"/>
          </w:tcPr>
          <w:p w14:paraId="05139D36"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5C82D8A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1.1.2.10</w:t>
            </w:r>
          </w:p>
        </w:tc>
        <w:tc>
          <w:tcPr>
            <w:tcW w:w="3952" w:type="dxa"/>
            <w:tcMar>
              <w:top w:w="0" w:type="dxa"/>
              <w:left w:w="108" w:type="dxa"/>
              <w:bottom w:w="0" w:type="dxa"/>
              <w:right w:w="108" w:type="dxa"/>
            </w:tcMar>
            <w:vAlign w:val="center"/>
          </w:tcPr>
          <w:p w14:paraId="22BEC68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蒋克谋</w:t>
            </w:r>
          </w:p>
        </w:tc>
        <w:tc>
          <w:tcPr>
            <w:tcW w:w="1275" w:type="dxa"/>
            <w:tcMar>
              <w:top w:w="0" w:type="dxa"/>
              <w:left w:w="108" w:type="dxa"/>
              <w:bottom w:w="0" w:type="dxa"/>
              <w:right w:w="108" w:type="dxa"/>
            </w:tcMar>
            <w:vAlign w:val="center"/>
          </w:tcPr>
          <w:p w14:paraId="0BD2070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3.3333%</w:t>
            </w:r>
          </w:p>
        </w:tc>
        <w:tc>
          <w:tcPr>
            <w:tcW w:w="1359" w:type="dxa"/>
            <w:tcMar>
              <w:top w:w="0" w:type="dxa"/>
              <w:left w:w="108" w:type="dxa"/>
              <w:bottom w:w="0" w:type="dxa"/>
              <w:right w:w="108" w:type="dxa"/>
            </w:tcMar>
            <w:vAlign w:val="center"/>
          </w:tcPr>
          <w:p w14:paraId="13653C71"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6B1B4621" w14:textId="77777777" w:rsidTr="00031627">
        <w:trPr>
          <w:trHeight w:val="340"/>
          <w:jc w:val="center"/>
        </w:trPr>
        <w:tc>
          <w:tcPr>
            <w:tcW w:w="540" w:type="dxa"/>
            <w:vMerge/>
            <w:tcMar>
              <w:top w:w="0" w:type="dxa"/>
              <w:left w:w="108" w:type="dxa"/>
              <w:bottom w:w="0" w:type="dxa"/>
              <w:right w:w="108" w:type="dxa"/>
            </w:tcMar>
            <w:vAlign w:val="center"/>
          </w:tcPr>
          <w:p w14:paraId="16E9E085"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2557080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1.1.2.11</w:t>
            </w:r>
          </w:p>
        </w:tc>
        <w:tc>
          <w:tcPr>
            <w:tcW w:w="3952" w:type="dxa"/>
            <w:tcMar>
              <w:top w:w="0" w:type="dxa"/>
              <w:left w:w="108" w:type="dxa"/>
              <w:bottom w:w="0" w:type="dxa"/>
              <w:right w:w="108" w:type="dxa"/>
            </w:tcMar>
            <w:vAlign w:val="center"/>
          </w:tcPr>
          <w:p w14:paraId="16DB2FB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张旭</w:t>
            </w:r>
          </w:p>
        </w:tc>
        <w:tc>
          <w:tcPr>
            <w:tcW w:w="1275" w:type="dxa"/>
            <w:tcMar>
              <w:top w:w="0" w:type="dxa"/>
              <w:left w:w="108" w:type="dxa"/>
              <w:bottom w:w="0" w:type="dxa"/>
              <w:right w:w="108" w:type="dxa"/>
            </w:tcMar>
            <w:vAlign w:val="center"/>
          </w:tcPr>
          <w:p w14:paraId="71C1292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2.5%</w:t>
            </w:r>
          </w:p>
        </w:tc>
        <w:tc>
          <w:tcPr>
            <w:tcW w:w="1359" w:type="dxa"/>
            <w:tcMar>
              <w:top w:w="0" w:type="dxa"/>
              <w:left w:w="108" w:type="dxa"/>
              <w:bottom w:w="0" w:type="dxa"/>
              <w:right w:w="108" w:type="dxa"/>
            </w:tcMar>
            <w:vAlign w:val="center"/>
          </w:tcPr>
          <w:p w14:paraId="1A55DD66"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2F8B0280" w14:textId="77777777" w:rsidTr="00031627">
        <w:trPr>
          <w:trHeight w:val="340"/>
          <w:jc w:val="center"/>
        </w:trPr>
        <w:tc>
          <w:tcPr>
            <w:tcW w:w="540" w:type="dxa"/>
            <w:vMerge/>
            <w:tcMar>
              <w:top w:w="0" w:type="dxa"/>
              <w:left w:w="108" w:type="dxa"/>
              <w:bottom w:w="0" w:type="dxa"/>
              <w:right w:w="108" w:type="dxa"/>
            </w:tcMar>
            <w:vAlign w:val="center"/>
          </w:tcPr>
          <w:p w14:paraId="105E430C"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0B3EDBE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1.1.2.12</w:t>
            </w:r>
          </w:p>
        </w:tc>
        <w:tc>
          <w:tcPr>
            <w:tcW w:w="3952" w:type="dxa"/>
            <w:tcMar>
              <w:top w:w="0" w:type="dxa"/>
              <w:left w:w="108" w:type="dxa"/>
              <w:bottom w:w="0" w:type="dxa"/>
              <w:right w:w="108" w:type="dxa"/>
            </w:tcMar>
            <w:vAlign w:val="center"/>
          </w:tcPr>
          <w:p w14:paraId="058818A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韦罡</w:t>
            </w:r>
          </w:p>
        </w:tc>
        <w:tc>
          <w:tcPr>
            <w:tcW w:w="1275" w:type="dxa"/>
            <w:tcMar>
              <w:top w:w="0" w:type="dxa"/>
              <w:left w:w="108" w:type="dxa"/>
              <w:bottom w:w="0" w:type="dxa"/>
              <w:right w:w="108" w:type="dxa"/>
            </w:tcMar>
            <w:vAlign w:val="center"/>
          </w:tcPr>
          <w:p w14:paraId="5125597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2.5%</w:t>
            </w:r>
          </w:p>
        </w:tc>
        <w:tc>
          <w:tcPr>
            <w:tcW w:w="1359" w:type="dxa"/>
            <w:tcMar>
              <w:top w:w="0" w:type="dxa"/>
              <w:left w:w="108" w:type="dxa"/>
              <w:bottom w:w="0" w:type="dxa"/>
              <w:right w:w="108" w:type="dxa"/>
            </w:tcMar>
            <w:vAlign w:val="center"/>
          </w:tcPr>
          <w:p w14:paraId="20E5EB92"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507B2B76" w14:textId="77777777" w:rsidTr="00031627">
        <w:trPr>
          <w:trHeight w:val="340"/>
          <w:jc w:val="center"/>
        </w:trPr>
        <w:tc>
          <w:tcPr>
            <w:tcW w:w="540" w:type="dxa"/>
            <w:vMerge/>
            <w:tcMar>
              <w:top w:w="0" w:type="dxa"/>
              <w:left w:w="108" w:type="dxa"/>
              <w:bottom w:w="0" w:type="dxa"/>
              <w:right w:w="108" w:type="dxa"/>
            </w:tcMar>
            <w:vAlign w:val="center"/>
          </w:tcPr>
          <w:p w14:paraId="02EBC6C4"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2A34EDA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1.1.2.13</w:t>
            </w:r>
          </w:p>
        </w:tc>
        <w:tc>
          <w:tcPr>
            <w:tcW w:w="3952" w:type="dxa"/>
            <w:tcMar>
              <w:top w:w="0" w:type="dxa"/>
              <w:left w:w="108" w:type="dxa"/>
              <w:bottom w:w="0" w:type="dxa"/>
              <w:right w:w="108" w:type="dxa"/>
            </w:tcMar>
            <w:vAlign w:val="center"/>
          </w:tcPr>
          <w:p w14:paraId="4B8DC5B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郑培忠</w:t>
            </w:r>
          </w:p>
        </w:tc>
        <w:tc>
          <w:tcPr>
            <w:tcW w:w="1275" w:type="dxa"/>
            <w:tcMar>
              <w:top w:w="0" w:type="dxa"/>
              <w:left w:w="108" w:type="dxa"/>
              <w:bottom w:w="0" w:type="dxa"/>
              <w:right w:w="108" w:type="dxa"/>
            </w:tcMar>
            <w:vAlign w:val="center"/>
          </w:tcPr>
          <w:p w14:paraId="18E7924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1.6667%</w:t>
            </w:r>
          </w:p>
        </w:tc>
        <w:tc>
          <w:tcPr>
            <w:tcW w:w="1359" w:type="dxa"/>
            <w:tcMar>
              <w:top w:w="0" w:type="dxa"/>
              <w:left w:w="108" w:type="dxa"/>
              <w:bottom w:w="0" w:type="dxa"/>
              <w:right w:w="108" w:type="dxa"/>
            </w:tcMar>
            <w:vAlign w:val="center"/>
          </w:tcPr>
          <w:p w14:paraId="06E313CC"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17CB00A8" w14:textId="77777777" w:rsidTr="00031627">
        <w:trPr>
          <w:trHeight w:val="340"/>
          <w:jc w:val="center"/>
        </w:trPr>
        <w:tc>
          <w:tcPr>
            <w:tcW w:w="540" w:type="dxa"/>
            <w:vMerge/>
            <w:tcMar>
              <w:top w:w="0" w:type="dxa"/>
              <w:left w:w="108" w:type="dxa"/>
              <w:bottom w:w="0" w:type="dxa"/>
              <w:right w:w="108" w:type="dxa"/>
            </w:tcMar>
            <w:vAlign w:val="center"/>
          </w:tcPr>
          <w:p w14:paraId="203F2A1B"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323F184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1.1.2.14</w:t>
            </w:r>
          </w:p>
        </w:tc>
        <w:tc>
          <w:tcPr>
            <w:tcW w:w="3952" w:type="dxa"/>
            <w:tcMar>
              <w:top w:w="0" w:type="dxa"/>
              <w:left w:w="108" w:type="dxa"/>
              <w:bottom w:w="0" w:type="dxa"/>
              <w:right w:w="108" w:type="dxa"/>
            </w:tcMar>
            <w:vAlign w:val="center"/>
          </w:tcPr>
          <w:p w14:paraId="3993977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张锦坤</w:t>
            </w:r>
          </w:p>
        </w:tc>
        <w:tc>
          <w:tcPr>
            <w:tcW w:w="1275" w:type="dxa"/>
            <w:tcMar>
              <w:top w:w="0" w:type="dxa"/>
              <w:left w:w="108" w:type="dxa"/>
              <w:bottom w:w="0" w:type="dxa"/>
              <w:right w:w="108" w:type="dxa"/>
            </w:tcMar>
            <w:vAlign w:val="center"/>
          </w:tcPr>
          <w:p w14:paraId="6E27709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1.3333%</w:t>
            </w:r>
          </w:p>
        </w:tc>
        <w:tc>
          <w:tcPr>
            <w:tcW w:w="1359" w:type="dxa"/>
            <w:tcMar>
              <w:top w:w="0" w:type="dxa"/>
              <w:left w:w="108" w:type="dxa"/>
              <w:bottom w:w="0" w:type="dxa"/>
              <w:right w:w="108" w:type="dxa"/>
            </w:tcMar>
            <w:vAlign w:val="center"/>
          </w:tcPr>
          <w:p w14:paraId="7A187846"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7F19DCB9" w14:textId="77777777" w:rsidTr="00031627">
        <w:trPr>
          <w:trHeight w:val="340"/>
          <w:jc w:val="center"/>
        </w:trPr>
        <w:tc>
          <w:tcPr>
            <w:tcW w:w="540" w:type="dxa"/>
            <w:vMerge/>
            <w:tcMar>
              <w:top w:w="0" w:type="dxa"/>
              <w:left w:w="108" w:type="dxa"/>
              <w:bottom w:w="0" w:type="dxa"/>
              <w:right w:w="108" w:type="dxa"/>
            </w:tcMar>
            <w:vAlign w:val="center"/>
          </w:tcPr>
          <w:p w14:paraId="61E4DDCF"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241E318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1.1.2.15</w:t>
            </w:r>
          </w:p>
        </w:tc>
        <w:tc>
          <w:tcPr>
            <w:tcW w:w="3952" w:type="dxa"/>
            <w:tcMar>
              <w:top w:w="0" w:type="dxa"/>
              <w:left w:w="108" w:type="dxa"/>
              <w:bottom w:w="0" w:type="dxa"/>
              <w:right w:w="108" w:type="dxa"/>
            </w:tcMar>
            <w:vAlign w:val="center"/>
          </w:tcPr>
          <w:p w14:paraId="355FE8E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李展凡</w:t>
            </w:r>
          </w:p>
        </w:tc>
        <w:tc>
          <w:tcPr>
            <w:tcW w:w="1275" w:type="dxa"/>
            <w:tcMar>
              <w:top w:w="0" w:type="dxa"/>
              <w:left w:w="108" w:type="dxa"/>
              <w:bottom w:w="0" w:type="dxa"/>
              <w:right w:w="108" w:type="dxa"/>
            </w:tcMar>
            <w:vAlign w:val="center"/>
          </w:tcPr>
          <w:p w14:paraId="3B75E6D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1.3333%</w:t>
            </w:r>
          </w:p>
        </w:tc>
        <w:tc>
          <w:tcPr>
            <w:tcW w:w="1359" w:type="dxa"/>
            <w:tcMar>
              <w:top w:w="0" w:type="dxa"/>
              <w:left w:w="108" w:type="dxa"/>
              <w:bottom w:w="0" w:type="dxa"/>
              <w:right w:w="108" w:type="dxa"/>
            </w:tcMar>
            <w:vAlign w:val="center"/>
          </w:tcPr>
          <w:p w14:paraId="35259D8C"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321013F5" w14:textId="77777777" w:rsidTr="00031627">
        <w:trPr>
          <w:trHeight w:val="340"/>
          <w:jc w:val="center"/>
        </w:trPr>
        <w:tc>
          <w:tcPr>
            <w:tcW w:w="540" w:type="dxa"/>
            <w:vMerge/>
            <w:tcMar>
              <w:top w:w="0" w:type="dxa"/>
              <w:left w:w="108" w:type="dxa"/>
              <w:bottom w:w="0" w:type="dxa"/>
              <w:right w:w="108" w:type="dxa"/>
            </w:tcMar>
            <w:vAlign w:val="center"/>
          </w:tcPr>
          <w:p w14:paraId="1E358F62"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07CA64E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1.1.2.16</w:t>
            </w:r>
          </w:p>
        </w:tc>
        <w:tc>
          <w:tcPr>
            <w:tcW w:w="3952" w:type="dxa"/>
            <w:tcMar>
              <w:top w:w="0" w:type="dxa"/>
              <w:left w:w="108" w:type="dxa"/>
              <w:bottom w:w="0" w:type="dxa"/>
              <w:right w:w="108" w:type="dxa"/>
            </w:tcMar>
            <w:vAlign w:val="center"/>
          </w:tcPr>
          <w:p w14:paraId="7A8E355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杨俊智</w:t>
            </w:r>
          </w:p>
        </w:tc>
        <w:tc>
          <w:tcPr>
            <w:tcW w:w="1275" w:type="dxa"/>
            <w:tcMar>
              <w:top w:w="0" w:type="dxa"/>
              <w:left w:w="108" w:type="dxa"/>
              <w:bottom w:w="0" w:type="dxa"/>
              <w:right w:w="108" w:type="dxa"/>
            </w:tcMar>
            <w:vAlign w:val="center"/>
          </w:tcPr>
          <w:p w14:paraId="3CA0CCE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0.0333%</w:t>
            </w:r>
          </w:p>
        </w:tc>
        <w:tc>
          <w:tcPr>
            <w:tcW w:w="1359" w:type="dxa"/>
            <w:tcMar>
              <w:top w:w="0" w:type="dxa"/>
              <w:left w:w="108" w:type="dxa"/>
              <w:bottom w:w="0" w:type="dxa"/>
              <w:right w:w="108" w:type="dxa"/>
            </w:tcMar>
            <w:vAlign w:val="center"/>
          </w:tcPr>
          <w:p w14:paraId="7FE29236"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33C89EFE" w14:textId="77777777" w:rsidTr="00031627">
        <w:trPr>
          <w:trHeight w:val="340"/>
          <w:jc w:val="center"/>
        </w:trPr>
        <w:tc>
          <w:tcPr>
            <w:tcW w:w="540" w:type="dxa"/>
            <w:vMerge/>
            <w:tcMar>
              <w:top w:w="0" w:type="dxa"/>
              <w:left w:w="108" w:type="dxa"/>
              <w:bottom w:w="0" w:type="dxa"/>
              <w:right w:w="108" w:type="dxa"/>
            </w:tcMar>
            <w:vAlign w:val="center"/>
          </w:tcPr>
          <w:p w14:paraId="2DDA7F0A"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32485EB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1.1.3</w:t>
            </w:r>
          </w:p>
        </w:tc>
        <w:tc>
          <w:tcPr>
            <w:tcW w:w="3952" w:type="dxa"/>
            <w:tcMar>
              <w:top w:w="0" w:type="dxa"/>
              <w:left w:w="108" w:type="dxa"/>
              <w:bottom w:w="0" w:type="dxa"/>
              <w:right w:w="108" w:type="dxa"/>
            </w:tcMar>
            <w:vAlign w:val="center"/>
          </w:tcPr>
          <w:p w14:paraId="1D66D2F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深圳市鑫成创业投资企业（有限合伙）</w:t>
            </w:r>
          </w:p>
        </w:tc>
        <w:tc>
          <w:tcPr>
            <w:tcW w:w="1275" w:type="dxa"/>
            <w:tcMar>
              <w:top w:w="0" w:type="dxa"/>
              <w:left w:w="108" w:type="dxa"/>
              <w:bottom w:w="0" w:type="dxa"/>
              <w:right w:w="108" w:type="dxa"/>
            </w:tcMar>
            <w:vAlign w:val="center"/>
          </w:tcPr>
          <w:p w14:paraId="0CB8664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11.6%</w:t>
            </w:r>
          </w:p>
        </w:tc>
        <w:tc>
          <w:tcPr>
            <w:tcW w:w="1359" w:type="dxa"/>
            <w:tcMar>
              <w:top w:w="0" w:type="dxa"/>
              <w:left w:w="108" w:type="dxa"/>
              <w:bottom w:w="0" w:type="dxa"/>
              <w:right w:w="108" w:type="dxa"/>
            </w:tcMar>
            <w:vAlign w:val="center"/>
          </w:tcPr>
          <w:p w14:paraId="1938D178"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66BC2C06" w14:textId="77777777" w:rsidTr="00031627">
        <w:trPr>
          <w:trHeight w:val="340"/>
          <w:jc w:val="center"/>
        </w:trPr>
        <w:tc>
          <w:tcPr>
            <w:tcW w:w="540" w:type="dxa"/>
            <w:vMerge/>
            <w:tcMar>
              <w:top w:w="0" w:type="dxa"/>
              <w:left w:w="108" w:type="dxa"/>
              <w:bottom w:w="0" w:type="dxa"/>
              <w:right w:w="108" w:type="dxa"/>
            </w:tcMar>
            <w:vAlign w:val="center"/>
          </w:tcPr>
          <w:p w14:paraId="32884B2B"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31B882B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1.1.3.1</w:t>
            </w:r>
          </w:p>
        </w:tc>
        <w:tc>
          <w:tcPr>
            <w:tcW w:w="3952" w:type="dxa"/>
            <w:tcMar>
              <w:top w:w="0" w:type="dxa"/>
              <w:left w:w="108" w:type="dxa"/>
              <w:bottom w:w="0" w:type="dxa"/>
              <w:right w:w="108" w:type="dxa"/>
            </w:tcMar>
            <w:vAlign w:val="center"/>
          </w:tcPr>
          <w:p w14:paraId="0E7C8FD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戴丽</w:t>
            </w:r>
          </w:p>
        </w:tc>
        <w:tc>
          <w:tcPr>
            <w:tcW w:w="1275" w:type="dxa"/>
            <w:tcMar>
              <w:top w:w="0" w:type="dxa"/>
              <w:left w:w="108" w:type="dxa"/>
              <w:bottom w:w="0" w:type="dxa"/>
              <w:right w:w="108" w:type="dxa"/>
            </w:tcMar>
            <w:vAlign w:val="center"/>
          </w:tcPr>
          <w:p w14:paraId="5BA7C6C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73.3089%</w:t>
            </w:r>
          </w:p>
        </w:tc>
        <w:tc>
          <w:tcPr>
            <w:tcW w:w="1359" w:type="dxa"/>
            <w:tcMar>
              <w:top w:w="0" w:type="dxa"/>
              <w:left w:w="108" w:type="dxa"/>
              <w:bottom w:w="0" w:type="dxa"/>
              <w:right w:w="108" w:type="dxa"/>
            </w:tcMar>
            <w:vAlign w:val="center"/>
          </w:tcPr>
          <w:p w14:paraId="4E81DB05"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3729479A" w14:textId="77777777" w:rsidTr="00031627">
        <w:trPr>
          <w:trHeight w:val="340"/>
          <w:jc w:val="center"/>
        </w:trPr>
        <w:tc>
          <w:tcPr>
            <w:tcW w:w="540" w:type="dxa"/>
            <w:vMerge/>
            <w:tcMar>
              <w:top w:w="0" w:type="dxa"/>
              <w:left w:w="108" w:type="dxa"/>
              <w:bottom w:w="0" w:type="dxa"/>
              <w:right w:w="108" w:type="dxa"/>
            </w:tcMar>
            <w:vAlign w:val="center"/>
          </w:tcPr>
          <w:p w14:paraId="5BF1E0E2"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694D1DD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1.1.3.2</w:t>
            </w:r>
          </w:p>
        </w:tc>
        <w:tc>
          <w:tcPr>
            <w:tcW w:w="3952" w:type="dxa"/>
            <w:tcMar>
              <w:top w:w="0" w:type="dxa"/>
              <w:left w:w="108" w:type="dxa"/>
              <w:bottom w:w="0" w:type="dxa"/>
              <w:right w:w="108" w:type="dxa"/>
            </w:tcMar>
            <w:vAlign w:val="center"/>
          </w:tcPr>
          <w:p w14:paraId="4E7F600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杨俊智</w:t>
            </w:r>
          </w:p>
        </w:tc>
        <w:tc>
          <w:tcPr>
            <w:tcW w:w="1275" w:type="dxa"/>
            <w:tcMar>
              <w:top w:w="0" w:type="dxa"/>
              <w:left w:w="108" w:type="dxa"/>
              <w:bottom w:w="0" w:type="dxa"/>
              <w:right w:w="108" w:type="dxa"/>
            </w:tcMar>
            <w:vAlign w:val="center"/>
          </w:tcPr>
          <w:p w14:paraId="0792F37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15.4948%</w:t>
            </w:r>
          </w:p>
        </w:tc>
        <w:tc>
          <w:tcPr>
            <w:tcW w:w="1359" w:type="dxa"/>
            <w:tcMar>
              <w:top w:w="0" w:type="dxa"/>
              <w:left w:w="108" w:type="dxa"/>
              <w:bottom w:w="0" w:type="dxa"/>
              <w:right w:w="108" w:type="dxa"/>
            </w:tcMar>
            <w:vAlign w:val="center"/>
          </w:tcPr>
          <w:p w14:paraId="2B92BB54"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51EC6E2C" w14:textId="77777777" w:rsidTr="00031627">
        <w:trPr>
          <w:trHeight w:val="340"/>
          <w:jc w:val="center"/>
        </w:trPr>
        <w:tc>
          <w:tcPr>
            <w:tcW w:w="540" w:type="dxa"/>
            <w:vMerge/>
            <w:tcMar>
              <w:top w:w="0" w:type="dxa"/>
              <w:left w:w="108" w:type="dxa"/>
              <w:bottom w:w="0" w:type="dxa"/>
              <w:right w:w="108" w:type="dxa"/>
            </w:tcMar>
            <w:vAlign w:val="center"/>
          </w:tcPr>
          <w:p w14:paraId="45ACC0BA"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0F6A7AF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1.1.3.3</w:t>
            </w:r>
          </w:p>
        </w:tc>
        <w:tc>
          <w:tcPr>
            <w:tcW w:w="3952" w:type="dxa"/>
            <w:tcMar>
              <w:top w:w="0" w:type="dxa"/>
              <w:left w:w="108" w:type="dxa"/>
              <w:bottom w:w="0" w:type="dxa"/>
              <w:right w:w="108" w:type="dxa"/>
            </w:tcMar>
            <w:vAlign w:val="center"/>
          </w:tcPr>
          <w:p w14:paraId="02FCE01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黄新雪</w:t>
            </w:r>
          </w:p>
        </w:tc>
        <w:tc>
          <w:tcPr>
            <w:tcW w:w="1275" w:type="dxa"/>
            <w:tcMar>
              <w:top w:w="0" w:type="dxa"/>
              <w:left w:w="108" w:type="dxa"/>
              <w:bottom w:w="0" w:type="dxa"/>
              <w:right w:w="108" w:type="dxa"/>
            </w:tcMar>
            <w:vAlign w:val="center"/>
          </w:tcPr>
          <w:p w14:paraId="3A2E150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7.1643%</w:t>
            </w:r>
          </w:p>
        </w:tc>
        <w:tc>
          <w:tcPr>
            <w:tcW w:w="1359" w:type="dxa"/>
            <w:tcMar>
              <w:top w:w="0" w:type="dxa"/>
              <w:left w:w="108" w:type="dxa"/>
              <w:bottom w:w="0" w:type="dxa"/>
              <w:right w:w="108" w:type="dxa"/>
            </w:tcMar>
            <w:vAlign w:val="center"/>
          </w:tcPr>
          <w:p w14:paraId="14E936EA"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3A4ACEA7" w14:textId="77777777" w:rsidTr="00031627">
        <w:trPr>
          <w:trHeight w:val="340"/>
          <w:jc w:val="center"/>
        </w:trPr>
        <w:tc>
          <w:tcPr>
            <w:tcW w:w="540" w:type="dxa"/>
            <w:vMerge/>
            <w:tcMar>
              <w:top w:w="0" w:type="dxa"/>
              <w:left w:w="108" w:type="dxa"/>
              <w:bottom w:w="0" w:type="dxa"/>
              <w:right w:w="108" w:type="dxa"/>
            </w:tcMar>
            <w:vAlign w:val="center"/>
          </w:tcPr>
          <w:p w14:paraId="764B6C8A"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468FF32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1.1.3.4</w:t>
            </w:r>
          </w:p>
        </w:tc>
        <w:tc>
          <w:tcPr>
            <w:tcW w:w="3952" w:type="dxa"/>
            <w:tcMar>
              <w:top w:w="0" w:type="dxa"/>
              <w:left w:w="108" w:type="dxa"/>
              <w:bottom w:w="0" w:type="dxa"/>
              <w:right w:w="108" w:type="dxa"/>
            </w:tcMar>
            <w:vAlign w:val="center"/>
          </w:tcPr>
          <w:p w14:paraId="1B70E7B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温青山</w:t>
            </w:r>
          </w:p>
        </w:tc>
        <w:tc>
          <w:tcPr>
            <w:tcW w:w="1275" w:type="dxa"/>
            <w:tcMar>
              <w:top w:w="0" w:type="dxa"/>
              <w:left w:w="108" w:type="dxa"/>
              <w:bottom w:w="0" w:type="dxa"/>
              <w:right w:w="108" w:type="dxa"/>
            </w:tcMar>
            <w:vAlign w:val="center"/>
          </w:tcPr>
          <w:p w14:paraId="5576B75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3.9987%</w:t>
            </w:r>
          </w:p>
        </w:tc>
        <w:tc>
          <w:tcPr>
            <w:tcW w:w="1359" w:type="dxa"/>
            <w:tcMar>
              <w:top w:w="0" w:type="dxa"/>
              <w:left w:w="108" w:type="dxa"/>
              <w:bottom w:w="0" w:type="dxa"/>
              <w:right w:w="108" w:type="dxa"/>
            </w:tcMar>
            <w:vAlign w:val="center"/>
          </w:tcPr>
          <w:p w14:paraId="46656119"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3BB0DD50" w14:textId="77777777" w:rsidTr="00031627">
        <w:trPr>
          <w:trHeight w:val="340"/>
          <w:jc w:val="center"/>
        </w:trPr>
        <w:tc>
          <w:tcPr>
            <w:tcW w:w="540" w:type="dxa"/>
            <w:vMerge/>
            <w:tcMar>
              <w:top w:w="0" w:type="dxa"/>
              <w:left w:w="108" w:type="dxa"/>
              <w:bottom w:w="0" w:type="dxa"/>
              <w:right w:w="108" w:type="dxa"/>
            </w:tcMar>
            <w:vAlign w:val="center"/>
          </w:tcPr>
          <w:p w14:paraId="62E6BCF3"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48EB9FC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1.1.3.5</w:t>
            </w:r>
          </w:p>
        </w:tc>
        <w:tc>
          <w:tcPr>
            <w:tcW w:w="3952" w:type="dxa"/>
            <w:tcMar>
              <w:top w:w="0" w:type="dxa"/>
              <w:left w:w="108" w:type="dxa"/>
              <w:bottom w:w="0" w:type="dxa"/>
              <w:right w:w="108" w:type="dxa"/>
            </w:tcMar>
            <w:vAlign w:val="center"/>
          </w:tcPr>
          <w:p w14:paraId="125D658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珠海中汇世银企业管理咨询有限公司</w:t>
            </w:r>
          </w:p>
        </w:tc>
        <w:tc>
          <w:tcPr>
            <w:tcW w:w="1275" w:type="dxa"/>
            <w:tcMar>
              <w:top w:w="0" w:type="dxa"/>
              <w:left w:w="108" w:type="dxa"/>
              <w:bottom w:w="0" w:type="dxa"/>
              <w:right w:w="108" w:type="dxa"/>
            </w:tcMar>
            <w:vAlign w:val="center"/>
          </w:tcPr>
          <w:p w14:paraId="240D4D9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0.0333%</w:t>
            </w:r>
          </w:p>
        </w:tc>
        <w:tc>
          <w:tcPr>
            <w:tcW w:w="1359" w:type="dxa"/>
            <w:tcMar>
              <w:top w:w="0" w:type="dxa"/>
              <w:left w:w="108" w:type="dxa"/>
              <w:bottom w:w="0" w:type="dxa"/>
              <w:right w:w="108" w:type="dxa"/>
            </w:tcMar>
            <w:vAlign w:val="center"/>
          </w:tcPr>
          <w:p w14:paraId="2D65F691"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520FF551" w14:textId="77777777" w:rsidTr="00031627">
        <w:trPr>
          <w:trHeight w:val="340"/>
          <w:jc w:val="center"/>
        </w:trPr>
        <w:tc>
          <w:tcPr>
            <w:tcW w:w="540" w:type="dxa"/>
            <w:vMerge/>
            <w:tcMar>
              <w:top w:w="0" w:type="dxa"/>
              <w:left w:w="108" w:type="dxa"/>
              <w:bottom w:w="0" w:type="dxa"/>
              <w:right w:w="108" w:type="dxa"/>
            </w:tcMar>
            <w:vAlign w:val="center"/>
          </w:tcPr>
          <w:p w14:paraId="0B27083A"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73735B7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1.1.3.5.1</w:t>
            </w:r>
          </w:p>
        </w:tc>
        <w:tc>
          <w:tcPr>
            <w:tcW w:w="3952" w:type="dxa"/>
            <w:tcMar>
              <w:top w:w="0" w:type="dxa"/>
              <w:left w:w="108" w:type="dxa"/>
              <w:bottom w:w="0" w:type="dxa"/>
              <w:right w:w="108" w:type="dxa"/>
            </w:tcMar>
            <w:vAlign w:val="center"/>
          </w:tcPr>
          <w:p w14:paraId="2B886EC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戴丽</w:t>
            </w:r>
          </w:p>
        </w:tc>
        <w:tc>
          <w:tcPr>
            <w:tcW w:w="1275" w:type="dxa"/>
            <w:tcMar>
              <w:top w:w="0" w:type="dxa"/>
              <w:left w:w="108" w:type="dxa"/>
              <w:bottom w:w="0" w:type="dxa"/>
              <w:right w:w="108" w:type="dxa"/>
            </w:tcMar>
            <w:vAlign w:val="center"/>
          </w:tcPr>
          <w:p w14:paraId="2C0F531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51%</w:t>
            </w:r>
          </w:p>
        </w:tc>
        <w:tc>
          <w:tcPr>
            <w:tcW w:w="1359" w:type="dxa"/>
            <w:tcMar>
              <w:top w:w="0" w:type="dxa"/>
              <w:left w:w="108" w:type="dxa"/>
              <w:bottom w:w="0" w:type="dxa"/>
              <w:right w:w="108" w:type="dxa"/>
            </w:tcMar>
            <w:vAlign w:val="center"/>
          </w:tcPr>
          <w:p w14:paraId="62F4528E"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40FDAA47" w14:textId="77777777" w:rsidTr="00031627">
        <w:trPr>
          <w:trHeight w:val="340"/>
          <w:jc w:val="center"/>
        </w:trPr>
        <w:tc>
          <w:tcPr>
            <w:tcW w:w="540" w:type="dxa"/>
            <w:vMerge/>
            <w:tcMar>
              <w:top w:w="0" w:type="dxa"/>
              <w:left w:w="108" w:type="dxa"/>
              <w:bottom w:w="0" w:type="dxa"/>
              <w:right w:w="108" w:type="dxa"/>
            </w:tcMar>
            <w:vAlign w:val="center"/>
          </w:tcPr>
          <w:p w14:paraId="4942F533"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28C5780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1.1.3.5.2</w:t>
            </w:r>
          </w:p>
        </w:tc>
        <w:tc>
          <w:tcPr>
            <w:tcW w:w="3952" w:type="dxa"/>
            <w:tcMar>
              <w:top w:w="0" w:type="dxa"/>
              <w:left w:w="108" w:type="dxa"/>
              <w:bottom w:w="0" w:type="dxa"/>
              <w:right w:w="108" w:type="dxa"/>
            </w:tcMar>
            <w:vAlign w:val="center"/>
          </w:tcPr>
          <w:p w14:paraId="3A9A577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杨俊智</w:t>
            </w:r>
          </w:p>
        </w:tc>
        <w:tc>
          <w:tcPr>
            <w:tcW w:w="1275" w:type="dxa"/>
            <w:tcMar>
              <w:top w:w="0" w:type="dxa"/>
              <w:left w:w="108" w:type="dxa"/>
              <w:bottom w:w="0" w:type="dxa"/>
              <w:right w:w="108" w:type="dxa"/>
            </w:tcMar>
            <w:vAlign w:val="center"/>
          </w:tcPr>
          <w:p w14:paraId="4E1B6A6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49%</w:t>
            </w:r>
          </w:p>
        </w:tc>
        <w:tc>
          <w:tcPr>
            <w:tcW w:w="1359" w:type="dxa"/>
            <w:tcMar>
              <w:top w:w="0" w:type="dxa"/>
              <w:left w:w="108" w:type="dxa"/>
              <w:bottom w:w="0" w:type="dxa"/>
              <w:right w:w="108" w:type="dxa"/>
            </w:tcMar>
            <w:vAlign w:val="center"/>
          </w:tcPr>
          <w:p w14:paraId="0CCD7492"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5DB2AFCA" w14:textId="77777777" w:rsidTr="00031627">
        <w:trPr>
          <w:trHeight w:val="340"/>
          <w:jc w:val="center"/>
        </w:trPr>
        <w:tc>
          <w:tcPr>
            <w:tcW w:w="540" w:type="dxa"/>
            <w:vMerge/>
            <w:tcMar>
              <w:top w:w="0" w:type="dxa"/>
              <w:left w:w="108" w:type="dxa"/>
              <w:bottom w:w="0" w:type="dxa"/>
              <w:right w:w="108" w:type="dxa"/>
            </w:tcMar>
            <w:vAlign w:val="center"/>
          </w:tcPr>
          <w:p w14:paraId="5E7A4A32"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147D494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1.1.4</w:t>
            </w:r>
          </w:p>
        </w:tc>
        <w:tc>
          <w:tcPr>
            <w:tcW w:w="3952" w:type="dxa"/>
            <w:tcMar>
              <w:top w:w="0" w:type="dxa"/>
              <w:left w:w="108" w:type="dxa"/>
              <w:bottom w:w="0" w:type="dxa"/>
              <w:right w:w="108" w:type="dxa"/>
            </w:tcMar>
            <w:vAlign w:val="center"/>
          </w:tcPr>
          <w:p w14:paraId="25716FA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袁华章</w:t>
            </w:r>
          </w:p>
        </w:tc>
        <w:tc>
          <w:tcPr>
            <w:tcW w:w="1275" w:type="dxa"/>
            <w:tcMar>
              <w:top w:w="0" w:type="dxa"/>
              <w:left w:w="108" w:type="dxa"/>
              <w:bottom w:w="0" w:type="dxa"/>
              <w:right w:w="108" w:type="dxa"/>
            </w:tcMar>
            <w:vAlign w:val="center"/>
          </w:tcPr>
          <w:p w14:paraId="0BD5365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w:t>
            </w:r>
          </w:p>
        </w:tc>
        <w:tc>
          <w:tcPr>
            <w:tcW w:w="1359" w:type="dxa"/>
            <w:tcMar>
              <w:top w:w="0" w:type="dxa"/>
              <w:left w:w="108" w:type="dxa"/>
              <w:bottom w:w="0" w:type="dxa"/>
              <w:right w:w="108" w:type="dxa"/>
            </w:tcMar>
            <w:vAlign w:val="center"/>
          </w:tcPr>
          <w:p w14:paraId="0D930EFD"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0691F581" w14:textId="77777777" w:rsidTr="00031627">
        <w:trPr>
          <w:trHeight w:val="340"/>
          <w:jc w:val="center"/>
        </w:trPr>
        <w:tc>
          <w:tcPr>
            <w:tcW w:w="540" w:type="dxa"/>
            <w:vMerge/>
            <w:tcMar>
              <w:top w:w="0" w:type="dxa"/>
              <w:left w:w="108" w:type="dxa"/>
              <w:bottom w:w="0" w:type="dxa"/>
              <w:right w:w="108" w:type="dxa"/>
            </w:tcMar>
            <w:vAlign w:val="center"/>
          </w:tcPr>
          <w:p w14:paraId="2B0EB4D9"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6E3CA1D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1.1.5</w:t>
            </w:r>
          </w:p>
        </w:tc>
        <w:tc>
          <w:tcPr>
            <w:tcW w:w="3952" w:type="dxa"/>
            <w:tcMar>
              <w:top w:w="0" w:type="dxa"/>
              <w:left w:w="108" w:type="dxa"/>
              <w:bottom w:w="0" w:type="dxa"/>
              <w:right w:w="108" w:type="dxa"/>
            </w:tcMar>
            <w:vAlign w:val="center"/>
          </w:tcPr>
          <w:p w14:paraId="271A0AC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大连开元泓道创业投资中心（有限合伙）</w:t>
            </w:r>
          </w:p>
        </w:tc>
        <w:tc>
          <w:tcPr>
            <w:tcW w:w="1275" w:type="dxa"/>
            <w:tcMar>
              <w:top w:w="0" w:type="dxa"/>
              <w:left w:w="108" w:type="dxa"/>
              <w:bottom w:w="0" w:type="dxa"/>
              <w:right w:w="108" w:type="dxa"/>
            </w:tcMar>
            <w:vAlign w:val="center"/>
          </w:tcPr>
          <w:p w14:paraId="2D1D35D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4.8%</w:t>
            </w:r>
          </w:p>
        </w:tc>
        <w:tc>
          <w:tcPr>
            <w:tcW w:w="1359" w:type="dxa"/>
            <w:tcMar>
              <w:top w:w="0" w:type="dxa"/>
              <w:left w:w="108" w:type="dxa"/>
              <w:bottom w:w="0" w:type="dxa"/>
              <w:right w:w="108" w:type="dxa"/>
            </w:tcMar>
            <w:vAlign w:val="center"/>
          </w:tcPr>
          <w:p w14:paraId="54A63026"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152AF27A" w14:textId="77777777" w:rsidTr="00031627">
        <w:trPr>
          <w:trHeight w:val="340"/>
          <w:jc w:val="center"/>
        </w:trPr>
        <w:tc>
          <w:tcPr>
            <w:tcW w:w="540" w:type="dxa"/>
            <w:vMerge/>
            <w:tcMar>
              <w:top w:w="0" w:type="dxa"/>
              <w:left w:w="108" w:type="dxa"/>
              <w:bottom w:w="0" w:type="dxa"/>
              <w:right w:w="108" w:type="dxa"/>
            </w:tcMar>
            <w:vAlign w:val="center"/>
          </w:tcPr>
          <w:p w14:paraId="28840538"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6BC9076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1.1.5.1</w:t>
            </w:r>
          </w:p>
        </w:tc>
        <w:tc>
          <w:tcPr>
            <w:tcW w:w="3952" w:type="dxa"/>
            <w:tcMar>
              <w:top w:w="0" w:type="dxa"/>
              <w:left w:w="108" w:type="dxa"/>
              <w:bottom w:w="0" w:type="dxa"/>
              <w:right w:w="108" w:type="dxa"/>
            </w:tcMar>
            <w:vAlign w:val="center"/>
          </w:tcPr>
          <w:p w14:paraId="1A2D5D3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大连慧鑫领航投资咨询中心（有限合伙）</w:t>
            </w:r>
          </w:p>
        </w:tc>
        <w:tc>
          <w:tcPr>
            <w:tcW w:w="1275" w:type="dxa"/>
            <w:tcMar>
              <w:top w:w="0" w:type="dxa"/>
              <w:left w:w="108" w:type="dxa"/>
              <w:bottom w:w="0" w:type="dxa"/>
              <w:right w:w="108" w:type="dxa"/>
            </w:tcMar>
            <w:vAlign w:val="center"/>
          </w:tcPr>
          <w:p w14:paraId="595D274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99.8487%</w:t>
            </w:r>
          </w:p>
        </w:tc>
        <w:tc>
          <w:tcPr>
            <w:tcW w:w="1359" w:type="dxa"/>
            <w:tcMar>
              <w:top w:w="0" w:type="dxa"/>
              <w:left w:w="108" w:type="dxa"/>
              <w:bottom w:w="0" w:type="dxa"/>
              <w:right w:w="108" w:type="dxa"/>
            </w:tcMar>
            <w:vAlign w:val="center"/>
          </w:tcPr>
          <w:p w14:paraId="65B96A2B"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28D978B9" w14:textId="77777777" w:rsidTr="00031627">
        <w:trPr>
          <w:trHeight w:val="340"/>
          <w:jc w:val="center"/>
        </w:trPr>
        <w:tc>
          <w:tcPr>
            <w:tcW w:w="540" w:type="dxa"/>
            <w:vMerge/>
            <w:tcMar>
              <w:top w:w="0" w:type="dxa"/>
              <w:left w:w="108" w:type="dxa"/>
              <w:bottom w:w="0" w:type="dxa"/>
              <w:right w:w="108" w:type="dxa"/>
            </w:tcMar>
            <w:vAlign w:val="center"/>
          </w:tcPr>
          <w:p w14:paraId="2BA4F9A7"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730A528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1.1.5.1.1</w:t>
            </w:r>
          </w:p>
        </w:tc>
        <w:tc>
          <w:tcPr>
            <w:tcW w:w="3952" w:type="dxa"/>
            <w:tcMar>
              <w:top w:w="0" w:type="dxa"/>
              <w:left w:w="108" w:type="dxa"/>
              <w:bottom w:w="0" w:type="dxa"/>
              <w:right w:w="108" w:type="dxa"/>
            </w:tcMar>
            <w:vAlign w:val="center"/>
          </w:tcPr>
          <w:p w14:paraId="6E0C331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易爱民</w:t>
            </w:r>
          </w:p>
        </w:tc>
        <w:tc>
          <w:tcPr>
            <w:tcW w:w="1275" w:type="dxa"/>
            <w:tcMar>
              <w:top w:w="0" w:type="dxa"/>
              <w:left w:w="108" w:type="dxa"/>
              <w:bottom w:w="0" w:type="dxa"/>
              <w:right w:w="108" w:type="dxa"/>
            </w:tcMar>
            <w:vAlign w:val="center"/>
          </w:tcPr>
          <w:p w14:paraId="65101E7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49.3671%</w:t>
            </w:r>
          </w:p>
        </w:tc>
        <w:tc>
          <w:tcPr>
            <w:tcW w:w="1359" w:type="dxa"/>
            <w:tcMar>
              <w:top w:w="0" w:type="dxa"/>
              <w:left w:w="108" w:type="dxa"/>
              <w:bottom w:w="0" w:type="dxa"/>
              <w:right w:w="108" w:type="dxa"/>
            </w:tcMar>
            <w:vAlign w:val="center"/>
          </w:tcPr>
          <w:p w14:paraId="366DAED9"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69FE536D" w14:textId="77777777" w:rsidTr="00031627">
        <w:trPr>
          <w:trHeight w:val="340"/>
          <w:jc w:val="center"/>
        </w:trPr>
        <w:tc>
          <w:tcPr>
            <w:tcW w:w="540" w:type="dxa"/>
            <w:vMerge/>
            <w:tcMar>
              <w:top w:w="0" w:type="dxa"/>
              <w:left w:w="108" w:type="dxa"/>
              <w:bottom w:w="0" w:type="dxa"/>
              <w:right w:w="108" w:type="dxa"/>
            </w:tcMar>
            <w:vAlign w:val="center"/>
          </w:tcPr>
          <w:p w14:paraId="39F92C65"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2728FAB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1.1.5.1.2</w:t>
            </w:r>
          </w:p>
        </w:tc>
        <w:tc>
          <w:tcPr>
            <w:tcW w:w="3952" w:type="dxa"/>
            <w:tcMar>
              <w:top w:w="0" w:type="dxa"/>
              <w:left w:w="108" w:type="dxa"/>
              <w:bottom w:w="0" w:type="dxa"/>
              <w:right w:w="108" w:type="dxa"/>
            </w:tcMar>
            <w:vAlign w:val="center"/>
          </w:tcPr>
          <w:p w14:paraId="6A26A75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梁军</w:t>
            </w:r>
          </w:p>
        </w:tc>
        <w:tc>
          <w:tcPr>
            <w:tcW w:w="1275" w:type="dxa"/>
            <w:tcMar>
              <w:top w:w="0" w:type="dxa"/>
              <w:left w:w="108" w:type="dxa"/>
              <w:bottom w:w="0" w:type="dxa"/>
              <w:right w:w="108" w:type="dxa"/>
            </w:tcMar>
            <w:vAlign w:val="center"/>
          </w:tcPr>
          <w:p w14:paraId="67EE167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19.6203%</w:t>
            </w:r>
          </w:p>
        </w:tc>
        <w:tc>
          <w:tcPr>
            <w:tcW w:w="1359" w:type="dxa"/>
            <w:tcMar>
              <w:top w:w="0" w:type="dxa"/>
              <w:left w:w="108" w:type="dxa"/>
              <w:bottom w:w="0" w:type="dxa"/>
              <w:right w:w="108" w:type="dxa"/>
            </w:tcMar>
            <w:vAlign w:val="center"/>
          </w:tcPr>
          <w:p w14:paraId="33E16C23"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09EB67CD" w14:textId="77777777" w:rsidTr="00031627">
        <w:trPr>
          <w:trHeight w:val="340"/>
          <w:jc w:val="center"/>
        </w:trPr>
        <w:tc>
          <w:tcPr>
            <w:tcW w:w="540" w:type="dxa"/>
            <w:vMerge/>
            <w:tcMar>
              <w:top w:w="0" w:type="dxa"/>
              <w:left w:w="108" w:type="dxa"/>
              <w:bottom w:w="0" w:type="dxa"/>
              <w:right w:w="108" w:type="dxa"/>
            </w:tcMar>
            <w:vAlign w:val="center"/>
          </w:tcPr>
          <w:p w14:paraId="5CD37F32"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38C3920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1.1.5.1.3</w:t>
            </w:r>
          </w:p>
        </w:tc>
        <w:tc>
          <w:tcPr>
            <w:tcW w:w="3952" w:type="dxa"/>
            <w:tcMar>
              <w:top w:w="0" w:type="dxa"/>
              <w:left w:w="108" w:type="dxa"/>
              <w:bottom w:w="0" w:type="dxa"/>
              <w:right w:w="108" w:type="dxa"/>
            </w:tcMar>
            <w:vAlign w:val="center"/>
          </w:tcPr>
          <w:p w14:paraId="41C51F5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梁浩辰</w:t>
            </w:r>
          </w:p>
        </w:tc>
        <w:tc>
          <w:tcPr>
            <w:tcW w:w="1275" w:type="dxa"/>
            <w:tcMar>
              <w:top w:w="0" w:type="dxa"/>
              <w:left w:w="108" w:type="dxa"/>
              <w:bottom w:w="0" w:type="dxa"/>
              <w:right w:w="108" w:type="dxa"/>
            </w:tcMar>
            <w:vAlign w:val="center"/>
          </w:tcPr>
          <w:p w14:paraId="424FDA1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18.3544%</w:t>
            </w:r>
          </w:p>
        </w:tc>
        <w:tc>
          <w:tcPr>
            <w:tcW w:w="1359" w:type="dxa"/>
            <w:tcMar>
              <w:top w:w="0" w:type="dxa"/>
              <w:left w:w="108" w:type="dxa"/>
              <w:bottom w:w="0" w:type="dxa"/>
              <w:right w:w="108" w:type="dxa"/>
            </w:tcMar>
            <w:vAlign w:val="center"/>
          </w:tcPr>
          <w:p w14:paraId="0C6E98DF"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74BE8522" w14:textId="77777777" w:rsidTr="00031627">
        <w:trPr>
          <w:trHeight w:val="340"/>
          <w:jc w:val="center"/>
        </w:trPr>
        <w:tc>
          <w:tcPr>
            <w:tcW w:w="540" w:type="dxa"/>
            <w:vMerge/>
            <w:tcMar>
              <w:top w:w="0" w:type="dxa"/>
              <w:left w:w="108" w:type="dxa"/>
              <w:bottom w:w="0" w:type="dxa"/>
              <w:right w:w="108" w:type="dxa"/>
            </w:tcMar>
            <w:vAlign w:val="center"/>
          </w:tcPr>
          <w:p w14:paraId="26F9CD36"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58424AC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1.1.5.1.4</w:t>
            </w:r>
          </w:p>
        </w:tc>
        <w:tc>
          <w:tcPr>
            <w:tcW w:w="3952" w:type="dxa"/>
            <w:tcMar>
              <w:top w:w="0" w:type="dxa"/>
              <w:left w:w="108" w:type="dxa"/>
              <w:bottom w:w="0" w:type="dxa"/>
              <w:right w:w="108" w:type="dxa"/>
            </w:tcMar>
            <w:vAlign w:val="center"/>
          </w:tcPr>
          <w:p w14:paraId="023AF2E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刘晓鹏</w:t>
            </w:r>
          </w:p>
        </w:tc>
        <w:tc>
          <w:tcPr>
            <w:tcW w:w="1275" w:type="dxa"/>
            <w:tcMar>
              <w:top w:w="0" w:type="dxa"/>
              <w:left w:w="108" w:type="dxa"/>
              <w:bottom w:w="0" w:type="dxa"/>
              <w:right w:w="108" w:type="dxa"/>
            </w:tcMar>
            <w:vAlign w:val="center"/>
          </w:tcPr>
          <w:p w14:paraId="2A848BF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12.6582%</w:t>
            </w:r>
          </w:p>
        </w:tc>
        <w:tc>
          <w:tcPr>
            <w:tcW w:w="1359" w:type="dxa"/>
            <w:tcMar>
              <w:top w:w="0" w:type="dxa"/>
              <w:left w:w="108" w:type="dxa"/>
              <w:bottom w:w="0" w:type="dxa"/>
              <w:right w:w="108" w:type="dxa"/>
            </w:tcMar>
            <w:vAlign w:val="center"/>
          </w:tcPr>
          <w:p w14:paraId="39FB321E"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54B4F041" w14:textId="77777777" w:rsidTr="00031627">
        <w:trPr>
          <w:trHeight w:val="340"/>
          <w:jc w:val="center"/>
        </w:trPr>
        <w:tc>
          <w:tcPr>
            <w:tcW w:w="540" w:type="dxa"/>
            <w:vMerge/>
            <w:tcMar>
              <w:top w:w="0" w:type="dxa"/>
              <w:left w:w="108" w:type="dxa"/>
              <w:bottom w:w="0" w:type="dxa"/>
              <w:right w:w="108" w:type="dxa"/>
            </w:tcMar>
            <w:vAlign w:val="center"/>
          </w:tcPr>
          <w:p w14:paraId="4C065A31"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2ABEF8E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1.1.5.2</w:t>
            </w:r>
          </w:p>
        </w:tc>
        <w:tc>
          <w:tcPr>
            <w:tcW w:w="3952" w:type="dxa"/>
            <w:tcMar>
              <w:top w:w="0" w:type="dxa"/>
              <w:left w:w="108" w:type="dxa"/>
              <w:bottom w:w="0" w:type="dxa"/>
              <w:right w:w="108" w:type="dxa"/>
            </w:tcMar>
            <w:vAlign w:val="center"/>
          </w:tcPr>
          <w:p w14:paraId="7B60378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辽宁科漫创业投资有限公司</w:t>
            </w:r>
          </w:p>
        </w:tc>
        <w:tc>
          <w:tcPr>
            <w:tcW w:w="1275" w:type="dxa"/>
            <w:tcMar>
              <w:top w:w="0" w:type="dxa"/>
              <w:left w:w="108" w:type="dxa"/>
              <w:bottom w:w="0" w:type="dxa"/>
              <w:right w:w="108" w:type="dxa"/>
            </w:tcMar>
            <w:vAlign w:val="center"/>
          </w:tcPr>
          <w:p w14:paraId="353ED59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0.1513%</w:t>
            </w:r>
          </w:p>
        </w:tc>
        <w:tc>
          <w:tcPr>
            <w:tcW w:w="1359" w:type="dxa"/>
            <w:tcMar>
              <w:top w:w="0" w:type="dxa"/>
              <w:left w:w="108" w:type="dxa"/>
              <w:bottom w:w="0" w:type="dxa"/>
              <w:right w:w="108" w:type="dxa"/>
            </w:tcMar>
            <w:vAlign w:val="center"/>
          </w:tcPr>
          <w:p w14:paraId="4694C777"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32B029A9" w14:textId="77777777" w:rsidTr="00031627">
        <w:trPr>
          <w:trHeight w:val="340"/>
          <w:jc w:val="center"/>
        </w:trPr>
        <w:tc>
          <w:tcPr>
            <w:tcW w:w="540" w:type="dxa"/>
            <w:vMerge/>
            <w:tcMar>
              <w:top w:w="0" w:type="dxa"/>
              <w:left w:w="108" w:type="dxa"/>
              <w:bottom w:w="0" w:type="dxa"/>
              <w:right w:w="108" w:type="dxa"/>
            </w:tcMar>
            <w:vAlign w:val="center"/>
          </w:tcPr>
          <w:p w14:paraId="3C71C727"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73F1FF5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1.1.5.2.1</w:t>
            </w:r>
          </w:p>
        </w:tc>
        <w:tc>
          <w:tcPr>
            <w:tcW w:w="3952" w:type="dxa"/>
            <w:tcMar>
              <w:top w:w="0" w:type="dxa"/>
              <w:left w:w="108" w:type="dxa"/>
              <w:bottom w:w="0" w:type="dxa"/>
              <w:right w:w="108" w:type="dxa"/>
            </w:tcMar>
            <w:vAlign w:val="center"/>
          </w:tcPr>
          <w:p w14:paraId="25DD236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李广凡</w:t>
            </w:r>
          </w:p>
        </w:tc>
        <w:tc>
          <w:tcPr>
            <w:tcW w:w="1275" w:type="dxa"/>
            <w:tcMar>
              <w:top w:w="0" w:type="dxa"/>
              <w:left w:w="108" w:type="dxa"/>
              <w:bottom w:w="0" w:type="dxa"/>
              <w:right w:w="108" w:type="dxa"/>
            </w:tcMar>
            <w:vAlign w:val="center"/>
          </w:tcPr>
          <w:p w14:paraId="2FA3802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90%</w:t>
            </w:r>
          </w:p>
        </w:tc>
        <w:tc>
          <w:tcPr>
            <w:tcW w:w="1359" w:type="dxa"/>
            <w:tcMar>
              <w:top w:w="0" w:type="dxa"/>
              <w:left w:w="108" w:type="dxa"/>
              <w:bottom w:w="0" w:type="dxa"/>
              <w:right w:w="108" w:type="dxa"/>
            </w:tcMar>
            <w:vAlign w:val="center"/>
          </w:tcPr>
          <w:p w14:paraId="2E7752CC"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1CD1A3A6" w14:textId="77777777" w:rsidTr="00031627">
        <w:trPr>
          <w:trHeight w:val="340"/>
          <w:jc w:val="center"/>
        </w:trPr>
        <w:tc>
          <w:tcPr>
            <w:tcW w:w="540" w:type="dxa"/>
            <w:vMerge/>
            <w:tcMar>
              <w:top w:w="0" w:type="dxa"/>
              <w:left w:w="108" w:type="dxa"/>
              <w:bottom w:w="0" w:type="dxa"/>
              <w:right w:w="108" w:type="dxa"/>
            </w:tcMar>
            <w:vAlign w:val="center"/>
          </w:tcPr>
          <w:p w14:paraId="2B3B1229"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1434799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1.1.5.2.2</w:t>
            </w:r>
          </w:p>
        </w:tc>
        <w:tc>
          <w:tcPr>
            <w:tcW w:w="3952" w:type="dxa"/>
            <w:tcMar>
              <w:top w:w="0" w:type="dxa"/>
              <w:left w:w="108" w:type="dxa"/>
              <w:bottom w:w="0" w:type="dxa"/>
              <w:right w:w="108" w:type="dxa"/>
            </w:tcMar>
            <w:vAlign w:val="center"/>
          </w:tcPr>
          <w:p w14:paraId="3C29C01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毕永广</w:t>
            </w:r>
          </w:p>
        </w:tc>
        <w:tc>
          <w:tcPr>
            <w:tcW w:w="1275" w:type="dxa"/>
            <w:tcMar>
              <w:top w:w="0" w:type="dxa"/>
              <w:left w:w="108" w:type="dxa"/>
              <w:bottom w:w="0" w:type="dxa"/>
              <w:right w:w="108" w:type="dxa"/>
            </w:tcMar>
            <w:vAlign w:val="center"/>
          </w:tcPr>
          <w:p w14:paraId="28BB269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w:t>
            </w:r>
          </w:p>
        </w:tc>
        <w:tc>
          <w:tcPr>
            <w:tcW w:w="1359" w:type="dxa"/>
            <w:tcMar>
              <w:top w:w="0" w:type="dxa"/>
              <w:left w:w="108" w:type="dxa"/>
              <w:bottom w:w="0" w:type="dxa"/>
              <w:right w:w="108" w:type="dxa"/>
            </w:tcMar>
            <w:vAlign w:val="center"/>
          </w:tcPr>
          <w:p w14:paraId="2EC37E51"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29187894" w14:textId="77777777" w:rsidTr="00031627">
        <w:trPr>
          <w:trHeight w:val="340"/>
          <w:jc w:val="center"/>
        </w:trPr>
        <w:tc>
          <w:tcPr>
            <w:tcW w:w="540" w:type="dxa"/>
            <w:vMerge/>
            <w:tcMar>
              <w:top w:w="0" w:type="dxa"/>
              <w:left w:w="108" w:type="dxa"/>
              <w:bottom w:w="0" w:type="dxa"/>
              <w:right w:w="108" w:type="dxa"/>
            </w:tcMar>
            <w:vAlign w:val="center"/>
          </w:tcPr>
          <w:p w14:paraId="317FCFF4"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0F59836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1.2</w:t>
            </w:r>
          </w:p>
        </w:tc>
        <w:tc>
          <w:tcPr>
            <w:tcW w:w="3952" w:type="dxa"/>
            <w:tcMar>
              <w:top w:w="0" w:type="dxa"/>
              <w:left w:w="108" w:type="dxa"/>
              <w:bottom w:w="0" w:type="dxa"/>
              <w:right w:w="108" w:type="dxa"/>
            </w:tcMar>
            <w:vAlign w:val="center"/>
          </w:tcPr>
          <w:p w14:paraId="7812F65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武汉光谷产业投资基金管理有限公司</w:t>
            </w:r>
          </w:p>
        </w:tc>
        <w:tc>
          <w:tcPr>
            <w:tcW w:w="1275" w:type="dxa"/>
            <w:tcMar>
              <w:top w:w="0" w:type="dxa"/>
              <w:left w:w="108" w:type="dxa"/>
              <w:bottom w:w="0" w:type="dxa"/>
              <w:right w:w="108" w:type="dxa"/>
            </w:tcMar>
            <w:vAlign w:val="center"/>
          </w:tcPr>
          <w:p w14:paraId="0A820F8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45%</w:t>
            </w:r>
          </w:p>
        </w:tc>
        <w:tc>
          <w:tcPr>
            <w:tcW w:w="1359" w:type="dxa"/>
            <w:tcMar>
              <w:top w:w="0" w:type="dxa"/>
              <w:left w:w="108" w:type="dxa"/>
              <w:bottom w:w="0" w:type="dxa"/>
              <w:right w:w="108" w:type="dxa"/>
            </w:tcMar>
            <w:vAlign w:val="center"/>
          </w:tcPr>
          <w:p w14:paraId="3A996084"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282B5213" w14:textId="77777777" w:rsidTr="00031627">
        <w:trPr>
          <w:trHeight w:val="340"/>
          <w:jc w:val="center"/>
        </w:trPr>
        <w:tc>
          <w:tcPr>
            <w:tcW w:w="540" w:type="dxa"/>
            <w:vMerge/>
            <w:tcMar>
              <w:top w:w="0" w:type="dxa"/>
              <w:left w:w="108" w:type="dxa"/>
              <w:bottom w:w="0" w:type="dxa"/>
              <w:right w:w="108" w:type="dxa"/>
            </w:tcMar>
            <w:vAlign w:val="center"/>
          </w:tcPr>
          <w:p w14:paraId="2AD68A54"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038573B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1.2.1</w:t>
            </w:r>
          </w:p>
        </w:tc>
        <w:tc>
          <w:tcPr>
            <w:tcW w:w="3952" w:type="dxa"/>
            <w:tcMar>
              <w:top w:w="0" w:type="dxa"/>
              <w:left w:w="108" w:type="dxa"/>
              <w:bottom w:w="0" w:type="dxa"/>
              <w:right w:w="108" w:type="dxa"/>
            </w:tcMar>
            <w:vAlign w:val="center"/>
          </w:tcPr>
          <w:p w14:paraId="31B4D3A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武汉光谷产业投资有限公司</w:t>
            </w:r>
          </w:p>
        </w:tc>
        <w:tc>
          <w:tcPr>
            <w:tcW w:w="1275" w:type="dxa"/>
            <w:tcMar>
              <w:top w:w="0" w:type="dxa"/>
              <w:left w:w="108" w:type="dxa"/>
              <w:bottom w:w="0" w:type="dxa"/>
              <w:right w:w="108" w:type="dxa"/>
            </w:tcMar>
            <w:vAlign w:val="center"/>
          </w:tcPr>
          <w:p w14:paraId="0127780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w:t>
            </w:r>
          </w:p>
        </w:tc>
        <w:tc>
          <w:tcPr>
            <w:tcW w:w="1359" w:type="dxa"/>
            <w:tcMar>
              <w:top w:w="0" w:type="dxa"/>
              <w:left w:w="108" w:type="dxa"/>
              <w:bottom w:w="0" w:type="dxa"/>
              <w:right w:w="108" w:type="dxa"/>
            </w:tcMar>
            <w:vAlign w:val="center"/>
          </w:tcPr>
          <w:p w14:paraId="62350C72"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2F757C56" w14:textId="77777777" w:rsidTr="00031627">
        <w:trPr>
          <w:trHeight w:val="340"/>
          <w:jc w:val="center"/>
        </w:trPr>
        <w:tc>
          <w:tcPr>
            <w:tcW w:w="540" w:type="dxa"/>
            <w:vMerge/>
            <w:tcMar>
              <w:top w:w="0" w:type="dxa"/>
              <w:left w:w="108" w:type="dxa"/>
              <w:bottom w:w="0" w:type="dxa"/>
              <w:right w:w="108" w:type="dxa"/>
            </w:tcMar>
            <w:vAlign w:val="center"/>
          </w:tcPr>
          <w:p w14:paraId="20F86DFC"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75A0102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1.2.1.1</w:t>
            </w:r>
          </w:p>
        </w:tc>
        <w:tc>
          <w:tcPr>
            <w:tcW w:w="3952" w:type="dxa"/>
            <w:tcMar>
              <w:top w:w="0" w:type="dxa"/>
              <w:left w:w="108" w:type="dxa"/>
              <w:bottom w:w="0" w:type="dxa"/>
              <w:right w:w="108" w:type="dxa"/>
            </w:tcMar>
            <w:vAlign w:val="center"/>
          </w:tcPr>
          <w:p w14:paraId="1899479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湖北省科技投资集团有限公司</w:t>
            </w:r>
          </w:p>
        </w:tc>
        <w:tc>
          <w:tcPr>
            <w:tcW w:w="1275" w:type="dxa"/>
            <w:tcMar>
              <w:top w:w="0" w:type="dxa"/>
              <w:left w:w="108" w:type="dxa"/>
              <w:bottom w:w="0" w:type="dxa"/>
              <w:right w:w="108" w:type="dxa"/>
            </w:tcMar>
            <w:vAlign w:val="center"/>
          </w:tcPr>
          <w:p w14:paraId="4B5C635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w:t>
            </w:r>
          </w:p>
        </w:tc>
        <w:tc>
          <w:tcPr>
            <w:tcW w:w="1359" w:type="dxa"/>
            <w:tcMar>
              <w:top w:w="0" w:type="dxa"/>
              <w:left w:w="108" w:type="dxa"/>
              <w:bottom w:w="0" w:type="dxa"/>
              <w:right w:w="108" w:type="dxa"/>
            </w:tcMar>
            <w:vAlign w:val="center"/>
          </w:tcPr>
          <w:p w14:paraId="325CDC20"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26792142" w14:textId="77777777" w:rsidTr="00031627">
        <w:trPr>
          <w:trHeight w:val="340"/>
          <w:jc w:val="center"/>
        </w:trPr>
        <w:tc>
          <w:tcPr>
            <w:tcW w:w="540" w:type="dxa"/>
            <w:vMerge/>
            <w:tcMar>
              <w:top w:w="0" w:type="dxa"/>
              <w:left w:w="108" w:type="dxa"/>
              <w:bottom w:w="0" w:type="dxa"/>
              <w:right w:w="108" w:type="dxa"/>
            </w:tcMar>
            <w:vAlign w:val="center"/>
          </w:tcPr>
          <w:p w14:paraId="492FB85F"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46C0F92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1.2.1.1.1</w:t>
            </w:r>
          </w:p>
        </w:tc>
        <w:tc>
          <w:tcPr>
            <w:tcW w:w="3952" w:type="dxa"/>
            <w:tcMar>
              <w:top w:w="0" w:type="dxa"/>
              <w:left w:w="108" w:type="dxa"/>
              <w:bottom w:w="0" w:type="dxa"/>
              <w:right w:w="108" w:type="dxa"/>
            </w:tcMar>
            <w:vAlign w:val="center"/>
          </w:tcPr>
          <w:p w14:paraId="7422B1B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武汉东湖新技术开发区管理委员会</w:t>
            </w:r>
          </w:p>
        </w:tc>
        <w:tc>
          <w:tcPr>
            <w:tcW w:w="1275" w:type="dxa"/>
            <w:tcMar>
              <w:top w:w="0" w:type="dxa"/>
              <w:left w:w="108" w:type="dxa"/>
              <w:bottom w:w="0" w:type="dxa"/>
              <w:right w:w="108" w:type="dxa"/>
            </w:tcMar>
            <w:vAlign w:val="center"/>
          </w:tcPr>
          <w:p w14:paraId="7209B3C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w:t>
            </w:r>
          </w:p>
        </w:tc>
        <w:tc>
          <w:tcPr>
            <w:tcW w:w="1359" w:type="dxa"/>
            <w:tcMar>
              <w:top w:w="0" w:type="dxa"/>
              <w:left w:w="108" w:type="dxa"/>
              <w:bottom w:w="0" w:type="dxa"/>
              <w:right w:w="108" w:type="dxa"/>
            </w:tcMar>
            <w:vAlign w:val="center"/>
          </w:tcPr>
          <w:p w14:paraId="794350A1"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7AE6FC5C" w14:textId="77777777" w:rsidTr="00031627">
        <w:trPr>
          <w:trHeight w:val="340"/>
          <w:jc w:val="center"/>
        </w:trPr>
        <w:tc>
          <w:tcPr>
            <w:tcW w:w="540" w:type="dxa"/>
            <w:vMerge w:val="restart"/>
            <w:tcMar>
              <w:top w:w="0" w:type="dxa"/>
              <w:left w:w="108" w:type="dxa"/>
              <w:bottom w:w="0" w:type="dxa"/>
              <w:right w:w="108" w:type="dxa"/>
            </w:tcMar>
            <w:vAlign w:val="center"/>
          </w:tcPr>
          <w:p w14:paraId="0FFDA2B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1156" w:type="dxa"/>
            <w:tcMar>
              <w:top w:w="0" w:type="dxa"/>
              <w:left w:w="108" w:type="dxa"/>
              <w:bottom w:w="0" w:type="dxa"/>
              <w:right w:w="108" w:type="dxa"/>
            </w:tcMar>
            <w:vAlign w:val="center"/>
          </w:tcPr>
          <w:p w14:paraId="10571F3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3952" w:type="dxa"/>
            <w:tcMar>
              <w:top w:w="0" w:type="dxa"/>
              <w:left w:w="108" w:type="dxa"/>
              <w:bottom w:w="0" w:type="dxa"/>
              <w:right w:w="108" w:type="dxa"/>
            </w:tcMar>
            <w:vAlign w:val="center"/>
          </w:tcPr>
          <w:p w14:paraId="7956572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武汉光谷烽火光电子信息产业投资基金合伙企业（有限合伙）</w:t>
            </w:r>
          </w:p>
        </w:tc>
        <w:tc>
          <w:tcPr>
            <w:tcW w:w="1275" w:type="dxa"/>
            <w:tcMar>
              <w:top w:w="0" w:type="dxa"/>
              <w:left w:w="108" w:type="dxa"/>
              <w:bottom w:w="0" w:type="dxa"/>
              <w:right w:w="108" w:type="dxa"/>
            </w:tcMar>
            <w:vAlign w:val="center"/>
          </w:tcPr>
          <w:p w14:paraId="005B486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49.6%</w:t>
            </w:r>
          </w:p>
        </w:tc>
        <w:tc>
          <w:tcPr>
            <w:tcW w:w="1359" w:type="dxa"/>
            <w:tcMar>
              <w:top w:w="0" w:type="dxa"/>
              <w:left w:w="108" w:type="dxa"/>
              <w:bottom w:w="0" w:type="dxa"/>
              <w:right w:w="108" w:type="dxa"/>
            </w:tcMar>
            <w:vAlign w:val="center"/>
          </w:tcPr>
          <w:p w14:paraId="48F505A9"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0E6DBD86" w14:textId="77777777" w:rsidTr="00031627">
        <w:trPr>
          <w:trHeight w:val="340"/>
          <w:jc w:val="center"/>
        </w:trPr>
        <w:tc>
          <w:tcPr>
            <w:tcW w:w="540" w:type="dxa"/>
            <w:vMerge/>
            <w:tcMar>
              <w:top w:w="0" w:type="dxa"/>
              <w:left w:w="108" w:type="dxa"/>
              <w:bottom w:w="0" w:type="dxa"/>
              <w:right w:w="108" w:type="dxa"/>
            </w:tcMar>
            <w:vAlign w:val="center"/>
          </w:tcPr>
          <w:p w14:paraId="0A6C4717"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76F005F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2.1</w:t>
            </w:r>
          </w:p>
        </w:tc>
        <w:tc>
          <w:tcPr>
            <w:tcW w:w="3952" w:type="dxa"/>
            <w:tcMar>
              <w:top w:w="0" w:type="dxa"/>
              <w:left w:w="108" w:type="dxa"/>
              <w:bottom w:w="0" w:type="dxa"/>
              <w:right w:w="108" w:type="dxa"/>
            </w:tcMar>
            <w:vAlign w:val="center"/>
          </w:tcPr>
          <w:p w14:paraId="7121889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中国信科集团</w:t>
            </w:r>
          </w:p>
        </w:tc>
        <w:tc>
          <w:tcPr>
            <w:tcW w:w="1275" w:type="dxa"/>
            <w:tcMar>
              <w:top w:w="0" w:type="dxa"/>
              <w:left w:w="108" w:type="dxa"/>
              <w:bottom w:w="0" w:type="dxa"/>
              <w:right w:w="108" w:type="dxa"/>
            </w:tcMar>
            <w:vAlign w:val="center"/>
          </w:tcPr>
          <w:p w14:paraId="2E818A4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48.3766%</w:t>
            </w:r>
          </w:p>
        </w:tc>
        <w:tc>
          <w:tcPr>
            <w:tcW w:w="1359" w:type="dxa"/>
            <w:tcMar>
              <w:top w:w="0" w:type="dxa"/>
              <w:left w:w="108" w:type="dxa"/>
              <w:bottom w:w="0" w:type="dxa"/>
              <w:right w:w="108" w:type="dxa"/>
            </w:tcMar>
            <w:vAlign w:val="center"/>
          </w:tcPr>
          <w:p w14:paraId="3AA2B10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同</w:t>
            </w:r>
            <w:r w:rsidRPr="00B4515A">
              <w:rPr>
                <w:rFonts w:ascii="Times New Roman" w:hAnsi="Times New Roman" w:cs="Times New Roman"/>
                <w:sz w:val="21"/>
                <w:szCs w:val="21"/>
              </w:rPr>
              <w:t>1.1.1.1.1</w:t>
            </w:r>
          </w:p>
        </w:tc>
      </w:tr>
      <w:tr w:rsidR="006416B0" w:rsidRPr="00B4515A" w14:paraId="21BEF9DB" w14:textId="77777777" w:rsidTr="00031627">
        <w:trPr>
          <w:trHeight w:val="340"/>
          <w:jc w:val="center"/>
        </w:trPr>
        <w:tc>
          <w:tcPr>
            <w:tcW w:w="540" w:type="dxa"/>
            <w:vMerge/>
            <w:tcMar>
              <w:top w:w="0" w:type="dxa"/>
              <w:left w:w="108" w:type="dxa"/>
              <w:bottom w:w="0" w:type="dxa"/>
              <w:right w:w="108" w:type="dxa"/>
            </w:tcMar>
            <w:vAlign w:val="center"/>
          </w:tcPr>
          <w:p w14:paraId="230C73B5"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2FBF98C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2.2</w:t>
            </w:r>
          </w:p>
        </w:tc>
        <w:tc>
          <w:tcPr>
            <w:tcW w:w="3952" w:type="dxa"/>
            <w:tcMar>
              <w:top w:w="0" w:type="dxa"/>
              <w:left w:w="108" w:type="dxa"/>
              <w:bottom w:w="0" w:type="dxa"/>
              <w:right w:w="108" w:type="dxa"/>
            </w:tcMar>
            <w:vAlign w:val="center"/>
          </w:tcPr>
          <w:p w14:paraId="6455FD9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武汉光谷产业投资有限公司</w:t>
            </w:r>
          </w:p>
        </w:tc>
        <w:tc>
          <w:tcPr>
            <w:tcW w:w="1275" w:type="dxa"/>
            <w:tcMar>
              <w:top w:w="0" w:type="dxa"/>
              <w:left w:w="108" w:type="dxa"/>
              <w:bottom w:w="0" w:type="dxa"/>
              <w:right w:w="108" w:type="dxa"/>
            </w:tcMar>
            <w:vAlign w:val="center"/>
          </w:tcPr>
          <w:p w14:paraId="51ED584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47.4351%</w:t>
            </w:r>
          </w:p>
        </w:tc>
        <w:tc>
          <w:tcPr>
            <w:tcW w:w="1359" w:type="dxa"/>
            <w:tcMar>
              <w:top w:w="0" w:type="dxa"/>
              <w:left w:w="108" w:type="dxa"/>
              <w:bottom w:w="0" w:type="dxa"/>
              <w:right w:w="108" w:type="dxa"/>
            </w:tcMar>
            <w:vAlign w:val="center"/>
          </w:tcPr>
          <w:p w14:paraId="196062E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同</w:t>
            </w:r>
            <w:r w:rsidRPr="00B4515A">
              <w:rPr>
                <w:rFonts w:ascii="Times New Roman" w:hAnsi="Times New Roman" w:cs="Times New Roman"/>
                <w:sz w:val="21"/>
                <w:szCs w:val="21"/>
              </w:rPr>
              <w:t>1.2.1</w:t>
            </w:r>
          </w:p>
        </w:tc>
      </w:tr>
      <w:tr w:rsidR="006416B0" w:rsidRPr="00B4515A" w14:paraId="28D7F2EC" w14:textId="77777777" w:rsidTr="00031627">
        <w:trPr>
          <w:trHeight w:val="340"/>
          <w:jc w:val="center"/>
        </w:trPr>
        <w:tc>
          <w:tcPr>
            <w:tcW w:w="540" w:type="dxa"/>
            <w:vMerge/>
            <w:tcMar>
              <w:top w:w="0" w:type="dxa"/>
              <w:left w:w="108" w:type="dxa"/>
              <w:bottom w:w="0" w:type="dxa"/>
              <w:right w:w="108" w:type="dxa"/>
            </w:tcMar>
            <w:vAlign w:val="center"/>
          </w:tcPr>
          <w:p w14:paraId="36841A67"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04F5C51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2.3</w:t>
            </w:r>
          </w:p>
        </w:tc>
        <w:tc>
          <w:tcPr>
            <w:tcW w:w="3952" w:type="dxa"/>
            <w:tcMar>
              <w:top w:w="0" w:type="dxa"/>
              <w:left w:w="108" w:type="dxa"/>
              <w:bottom w:w="0" w:type="dxa"/>
              <w:right w:w="108" w:type="dxa"/>
            </w:tcMar>
            <w:vAlign w:val="center"/>
          </w:tcPr>
          <w:p w14:paraId="639633B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烽火通信科技股份有限公司</w:t>
            </w:r>
          </w:p>
        </w:tc>
        <w:tc>
          <w:tcPr>
            <w:tcW w:w="1275" w:type="dxa"/>
            <w:tcMar>
              <w:top w:w="0" w:type="dxa"/>
              <w:left w:w="108" w:type="dxa"/>
              <w:bottom w:w="0" w:type="dxa"/>
              <w:right w:w="108" w:type="dxa"/>
            </w:tcMar>
            <w:vAlign w:val="center"/>
          </w:tcPr>
          <w:p w14:paraId="144A7D6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3.2468%</w:t>
            </w:r>
          </w:p>
        </w:tc>
        <w:tc>
          <w:tcPr>
            <w:tcW w:w="1359" w:type="dxa"/>
            <w:tcMar>
              <w:top w:w="0" w:type="dxa"/>
              <w:left w:w="108" w:type="dxa"/>
              <w:bottom w:w="0" w:type="dxa"/>
              <w:right w:w="108" w:type="dxa"/>
            </w:tcMar>
            <w:vAlign w:val="center"/>
          </w:tcPr>
          <w:p w14:paraId="08B87E7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上市公司</w:t>
            </w:r>
          </w:p>
        </w:tc>
      </w:tr>
      <w:tr w:rsidR="006416B0" w:rsidRPr="00B4515A" w14:paraId="12A34ACA" w14:textId="77777777" w:rsidTr="00031627">
        <w:trPr>
          <w:trHeight w:val="340"/>
          <w:jc w:val="center"/>
        </w:trPr>
        <w:tc>
          <w:tcPr>
            <w:tcW w:w="540" w:type="dxa"/>
            <w:vMerge/>
            <w:tcMar>
              <w:top w:w="0" w:type="dxa"/>
              <w:left w:w="108" w:type="dxa"/>
              <w:bottom w:w="0" w:type="dxa"/>
              <w:right w:w="108" w:type="dxa"/>
            </w:tcMar>
            <w:vAlign w:val="center"/>
          </w:tcPr>
          <w:p w14:paraId="7F8F05D9"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2CE045E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2.4</w:t>
            </w:r>
          </w:p>
        </w:tc>
        <w:tc>
          <w:tcPr>
            <w:tcW w:w="3952" w:type="dxa"/>
            <w:tcMar>
              <w:top w:w="0" w:type="dxa"/>
              <w:left w:w="108" w:type="dxa"/>
              <w:bottom w:w="0" w:type="dxa"/>
              <w:right w:w="108" w:type="dxa"/>
            </w:tcMar>
            <w:vAlign w:val="center"/>
          </w:tcPr>
          <w:p w14:paraId="32E764B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武汉光谷烽火科技创业投资有限公司</w:t>
            </w:r>
          </w:p>
        </w:tc>
        <w:tc>
          <w:tcPr>
            <w:tcW w:w="1275" w:type="dxa"/>
            <w:tcMar>
              <w:top w:w="0" w:type="dxa"/>
              <w:left w:w="108" w:type="dxa"/>
              <w:bottom w:w="0" w:type="dxa"/>
              <w:right w:w="108" w:type="dxa"/>
            </w:tcMar>
            <w:vAlign w:val="center"/>
          </w:tcPr>
          <w:p w14:paraId="7210D07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0.7468%</w:t>
            </w:r>
          </w:p>
        </w:tc>
        <w:tc>
          <w:tcPr>
            <w:tcW w:w="1359" w:type="dxa"/>
            <w:tcMar>
              <w:top w:w="0" w:type="dxa"/>
              <w:left w:w="108" w:type="dxa"/>
              <w:bottom w:w="0" w:type="dxa"/>
              <w:right w:w="108" w:type="dxa"/>
            </w:tcMar>
            <w:vAlign w:val="center"/>
          </w:tcPr>
          <w:p w14:paraId="0A19962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同</w:t>
            </w:r>
            <w:r w:rsidRPr="00B4515A">
              <w:rPr>
                <w:rFonts w:ascii="Times New Roman" w:hAnsi="Times New Roman" w:cs="Times New Roman"/>
                <w:sz w:val="21"/>
                <w:szCs w:val="21"/>
              </w:rPr>
              <w:t>1.1</w:t>
            </w:r>
          </w:p>
        </w:tc>
      </w:tr>
      <w:tr w:rsidR="006416B0" w:rsidRPr="00B4515A" w14:paraId="499E1F5D" w14:textId="77777777" w:rsidTr="00031627">
        <w:trPr>
          <w:trHeight w:val="340"/>
          <w:jc w:val="center"/>
        </w:trPr>
        <w:tc>
          <w:tcPr>
            <w:tcW w:w="540" w:type="dxa"/>
            <w:vMerge/>
            <w:tcMar>
              <w:top w:w="0" w:type="dxa"/>
              <w:left w:w="108" w:type="dxa"/>
              <w:bottom w:w="0" w:type="dxa"/>
              <w:right w:w="108" w:type="dxa"/>
            </w:tcMar>
            <w:vAlign w:val="center"/>
          </w:tcPr>
          <w:p w14:paraId="1D78E653"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4228C7C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2.5</w:t>
            </w:r>
          </w:p>
        </w:tc>
        <w:tc>
          <w:tcPr>
            <w:tcW w:w="3952" w:type="dxa"/>
            <w:tcMar>
              <w:top w:w="0" w:type="dxa"/>
              <w:left w:w="108" w:type="dxa"/>
              <w:bottom w:w="0" w:type="dxa"/>
              <w:right w:w="108" w:type="dxa"/>
            </w:tcMar>
            <w:vAlign w:val="center"/>
          </w:tcPr>
          <w:p w14:paraId="318618E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武汉光谷烽火投资基金管理有限公司</w:t>
            </w:r>
          </w:p>
        </w:tc>
        <w:tc>
          <w:tcPr>
            <w:tcW w:w="1275" w:type="dxa"/>
            <w:tcMar>
              <w:top w:w="0" w:type="dxa"/>
              <w:left w:w="108" w:type="dxa"/>
              <w:bottom w:w="0" w:type="dxa"/>
              <w:right w:w="108" w:type="dxa"/>
            </w:tcMar>
            <w:vAlign w:val="center"/>
          </w:tcPr>
          <w:p w14:paraId="007550E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0.1948%</w:t>
            </w:r>
          </w:p>
        </w:tc>
        <w:tc>
          <w:tcPr>
            <w:tcW w:w="1359" w:type="dxa"/>
            <w:tcMar>
              <w:top w:w="0" w:type="dxa"/>
              <w:left w:w="108" w:type="dxa"/>
              <w:bottom w:w="0" w:type="dxa"/>
              <w:right w:w="108" w:type="dxa"/>
            </w:tcMar>
            <w:vAlign w:val="center"/>
          </w:tcPr>
          <w:p w14:paraId="2FAE37C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同</w:t>
            </w:r>
            <w:r w:rsidRPr="00B4515A">
              <w:rPr>
                <w:rFonts w:ascii="Times New Roman" w:hAnsi="Times New Roman" w:cs="Times New Roman"/>
                <w:sz w:val="21"/>
                <w:szCs w:val="21"/>
              </w:rPr>
              <w:t>1</w:t>
            </w:r>
          </w:p>
        </w:tc>
      </w:tr>
      <w:tr w:rsidR="006416B0" w:rsidRPr="00B4515A" w14:paraId="67E79524" w14:textId="77777777" w:rsidTr="00031627">
        <w:trPr>
          <w:trHeight w:val="340"/>
          <w:jc w:val="center"/>
        </w:trPr>
        <w:tc>
          <w:tcPr>
            <w:tcW w:w="540" w:type="dxa"/>
            <w:vMerge w:val="restart"/>
            <w:tcMar>
              <w:top w:w="0" w:type="dxa"/>
              <w:left w:w="108" w:type="dxa"/>
              <w:bottom w:w="0" w:type="dxa"/>
              <w:right w:w="108" w:type="dxa"/>
            </w:tcMar>
            <w:vAlign w:val="center"/>
          </w:tcPr>
          <w:p w14:paraId="52260AD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1156" w:type="dxa"/>
            <w:tcMar>
              <w:top w:w="0" w:type="dxa"/>
              <w:left w:w="108" w:type="dxa"/>
              <w:bottom w:w="0" w:type="dxa"/>
              <w:right w:w="108" w:type="dxa"/>
            </w:tcMar>
            <w:vAlign w:val="center"/>
          </w:tcPr>
          <w:p w14:paraId="187B9AC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3952" w:type="dxa"/>
            <w:tcMar>
              <w:top w:w="0" w:type="dxa"/>
              <w:left w:w="108" w:type="dxa"/>
              <w:bottom w:w="0" w:type="dxa"/>
              <w:right w:w="108" w:type="dxa"/>
            </w:tcMar>
            <w:vAlign w:val="center"/>
          </w:tcPr>
          <w:p w14:paraId="58EE6E2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武汉市工业发展投资基金（有限合伙）</w:t>
            </w:r>
          </w:p>
        </w:tc>
        <w:tc>
          <w:tcPr>
            <w:tcW w:w="1275" w:type="dxa"/>
            <w:tcMar>
              <w:top w:w="0" w:type="dxa"/>
              <w:left w:w="108" w:type="dxa"/>
              <w:bottom w:w="0" w:type="dxa"/>
              <w:right w:w="108" w:type="dxa"/>
            </w:tcMar>
            <w:vAlign w:val="center"/>
          </w:tcPr>
          <w:p w14:paraId="4E03E90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20%</w:t>
            </w:r>
          </w:p>
        </w:tc>
        <w:tc>
          <w:tcPr>
            <w:tcW w:w="1359" w:type="dxa"/>
            <w:tcMar>
              <w:top w:w="0" w:type="dxa"/>
              <w:left w:w="108" w:type="dxa"/>
              <w:bottom w:w="0" w:type="dxa"/>
              <w:right w:w="108" w:type="dxa"/>
            </w:tcMar>
            <w:vAlign w:val="center"/>
          </w:tcPr>
          <w:p w14:paraId="070F100E"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7E700317" w14:textId="77777777" w:rsidTr="00031627">
        <w:trPr>
          <w:trHeight w:val="340"/>
          <w:jc w:val="center"/>
        </w:trPr>
        <w:tc>
          <w:tcPr>
            <w:tcW w:w="540" w:type="dxa"/>
            <w:vMerge/>
            <w:tcMar>
              <w:top w:w="0" w:type="dxa"/>
              <w:left w:w="108" w:type="dxa"/>
              <w:bottom w:w="0" w:type="dxa"/>
              <w:right w:w="108" w:type="dxa"/>
            </w:tcMar>
            <w:vAlign w:val="center"/>
          </w:tcPr>
          <w:p w14:paraId="3A517ECA"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6379D6C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3.1</w:t>
            </w:r>
          </w:p>
        </w:tc>
        <w:tc>
          <w:tcPr>
            <w:tcW w:w="3952" w:type="dxa"/>
            <w:tcMar>
              <w:top w:w="0" w:type="dxa"/>
              <w:left w:w="108" w:type="dxa"/>
              <w:bottom w:w="0" w:type="dxa"/>
              <w:right w:w="108" w:type="dxa"/>
            </w:tcMar>
            <w:vAlign w:val="center"/>
          </w:tcPr>
          <w:p w14:paraId="5430C65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武汉商贸集团有限公司</w:t>
            </w:r>
          </w:p>
        </w:tc>
        <w:tc>
          <w:tcPr>
            <w:tcW w:w="1275" w:type="dxa"/>
            <w:tcMar>
              <w:top w:w="0" w:type="dxa"/>
              <w:left w:w="108" w:type="dxa"/>
              <w:bottom w:w="0" w:type="dxa"/>
              <w:right w:w="108" w:type="dxa"/>
            </w:tcMar>
            <w:vAlign w:val="center"/>
          </w:tcPr>
          <w:p w14:paraId="6E35C6B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99.95%</w:t>
            </w:r>
          </w:p>
        </w:tc>
        <w:tc>
          <w:tcPr>
            <w:tcW w:w="1359" w:type="dxa"/>
            <w:tcMar>
              <w:top w:w="0" w:type="dxa"/>
              <w:left w:w="108" w:type="dxa"/>
              <w:bottom w:w="0" w:type="dxa"/>
              <w:right w:w="108" w:type="dxa"/>
            </w:tcMar>
            <w:vAlign w:val="center"/>
          </w:tcPr>
          <w:p w14:paraId="2015C695"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31AFBEEC" w14:textId="77777777" w:rsidTr="00031627">
        <w:trPr>
          <w:trHeight w:val="340"/>
          <w:jc w:val="center"/>
        </w:trPr>
        <w:tc>
          <w:tcPr>
            <w:tcW w:w="540" w:type="dxa"/>
            <w:vMerge/>
            <w:tcMar>
              <w:top w:w="0" w:type="dxa"/>
              <w:left w:w="108" w:type="dxa"/>
              <w:bottom w:w="0" w:type="dxa"/>
              <w:right w:w="108" w:type="dxa"/>
            </w:tcMar>
            <w:vAlign w:val="center"/>
          </w:tcPr>
          <w:p w14:paraId="2A3375B4"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1337470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3.1.1</w:t>
            </w:r>
          </w:p>
        </w:tc>
        <w:tc>
          <w:tcPr>
            <w:tcW w:w="3952" w:type="dxa"/>
            <w:tcMar>
              <w:top w:w="0" w:type="dxa"/>
              <w:left w:w="108" w:type="dxa"/>
              <w:bottom w:w="0" w:type="dxa"/>
              <w:right w:w="108" w:type="dxa"/>
            </w:tcMar>
            <w:vAlign w:val="center"/>
          </w:tcPr>
          <w:p w14:paraId="4AAD43D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武汉市人民政府国有资产监督管理委员会</w:t>
            </w:r>
          </w:p>
        </w:tc>
        <w:tc>
          <w:tcPr>
            <w:tcW w:w="1275" w:type="dxa"/>
            <w:tcMar>
              <w:top w:w="0" w:type="dxa"/>
              <w:left w:w="108" w:type="dxa"/>
              <w:bottom w:w="0" w:type="dxa"/>
              <w:right w:w="108" w:type="dxa"/>
            </w:tcMar>
            <w:vAlign w:val="center"/>
          </w:tcPr>
          <w:p w14:paraId="7411717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w:t>
            </w:r>
          </w:p>
        </w:tc>
        <w:tc>
          <w:tcPr>
            <w:tcW w:w="1359" w:type="dxa"/>
            <w:tcMar>
              <w:top w:w="0" w:type="dxa"/>
              <w:left w:w="108" w:type="dxa"/>
              <w:bottom w:w="0" w:type="dxa"/>
              <w:right w:w="108" w:type="dxa"/>
            </w:tcMar>
            <w:vAlign w:val="center"/>
          </w:tcPr>
          <w:p w14:paraId="5C39D51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1.1.1.2.1</w:t>
            </w:r>
          </w:p>
        </w:tc>
      </w:tr>
      <w:tr w:rsidR="006416B0" w:rsidRPr="00B4515A" w14:paraId="000686D4" w14:textId="77777777" w:rsidTr="00031627">
        <w:trPr>
          <w:trHeight w:val="340"/>
          <w:jc w:val="center"/>
        </w:trPr>
        <w:tc>
          <w:tcPr>
            <w:tcW w:w="540" w:type="dxa"/>
            <w:vMerge/>
            <w:tcMar>
              <w:top w:w="0" w:type="dxa"/>
              <w:left w:w="108" w:type="dxa"/>
              <w:bottom w:w="0" w:type="dxa"/>
              <w:right w:w="108" w:type="dxa"/>
            </w:tcMar>
            <w:vAlign w:val="center"/>
          </w:tcPr>
          <w:p w14:paraId="3E3C4418"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290D16D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3.2</w:t>
            </w:r>
          </w:p>
        </w:tc>
        <w:tc>
          <w:tcPr>
            <w:tcW w:w="3952" w:type="dxa"/>
            <w:tcMar>
              <w:top w:w="0" w:type="dxa"/>
              <w:left w:w="108" w:type="dxa"/>
              <w:bottom w:w="0" w:type="dxa"/>
              <w:right w:w="108" w:type="dxa"/>
            </w:tcMar>
            <w:vAlign w:val="center"/>
          </w:tcPr>
          <w:p w14:paraId="763168C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武汉东湖创新科技投资有限公司</w:t>
            </w:r>
          </w:p>
        </w:tc>
        <w:tc>
          <w:tcPr>
            <w:tcW w:w="1275" w:type="dxa"/>
            <w:tcMar>
              <w:top w:w="0" w:type="dxa"/>
              <w:left w:w="108" w:type="dxa"/>
              <w:bottom w:w="0" w:type="dxa"/>
              <w:right w:w="108" w:type="dxa"/>
            </w:tcMar>
            <w:vAlign w:val="center"/>
          </w:tcPr>
          <w:p w14:paraId="608D891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0.05%</w:t>
            </w:r>
          </w:p>
        </w:tc>
        <w:tc>
          <w:tcPr>
            <w:tcW w:w="1359" w:type="dxa"/>
            <w:tcMar>
              <w:top w:w="0" w:type="dxa"/>
              <w:left w:w="108" w:type="dxa"/>
              <w:bottom w:w="0" w:type="dxa"/>
              <w:right w:w="108" w:type="dxa"/>
            </w:tcMar>
            <w:vAlign w:val="center"/>
          </w:tcPr>
          <w:p w14:paraId="30D1E9E3"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4CFD009A" w14:textId="77777777" w:rsidTr="00031627">
        <w:trPr>
          <w:trHeight w:val="340"/>
          <w:jc w:val="center"/>
        </w:trPr>
        <w:tc>
          <w:tcPr>
            <w:tcW w:w="540" w:type="dxa"/>
            <w:vMerge/>
            <w:tcMar>
              <w:top w:w="0" w:type="dxa"/>
              <w:left w:w="108" w:type="dxa"/>
              <w:bottom w:w="0" w:type="dxa"/>
              <w:right w:w="108" w:type="dxa"/>
            </w:tcMar>
            <w:vAlign w:val="center"/>
          </w:tcPr>
          <w:p w14:paraId="156F32EF"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6601ABF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3.2.1</w:t>
            </w:r>
          </w:p>
        </w:tc>
        <w:tc>
          <w:tcPr>
            <w:tcW w:w="3952" w:type="dxa"/>
            <w:tcMar>
              <w:top w:w="0" w:type="dxa"/>
              <w:left w:w="108" w:type="dxa"/>
              <w:bottom w:w="0" w:type="dxa"/>
              <w:right w:w="108" w:type="dxa"/>
            </w:tcMar>
            <w:vAlign w:val="center"/>
          </w:tcPr>
          <w:p w14:paraId="692F834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武汉商贸集团有限公司</w:t>
            </w:r>
          </w:p>
        </w:tc>
        <w:tc>
          <w:tcPr>
            <w:tcW w:w="1275" w:type="dxa"/>
            <w:tcMar>
              <w:top w:w="0" w:type="dxa"/>
              <w:left w:w="108" w:type="dxa"/>
              <w:bottom w:w="0" w:type="dxa"/>
              <w:right w:w="108" w:type="dxa"/>
            </w:tcMar>
            <w:vAlign w:val="center"/>
          </w:tcPr>
          <w:p w14:paraId="5ECD4E2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w:t>
            </w:r>
          </w:p>
        </w:tc>
        <w:tc>
          <w:tcPr>
            <w:tcW w:w="1359" w:type="dxa"/>
            <w:tcMar>
              <w:top w:w="0" w:type="dxa"/>
              <w:left w:w="108" w:type="dxa"/>
              <w:bottom w:w="0" w:type="dxa"/>
              <w:right w:w="108" w:type="dxa"/>
            </w:tcMar>
            <w:vAlign w:val="center"/>
          </w:tcPr>
          <w:p w14:paraId="053B3F6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同</w:t>
            </w:r>
            <w:r w:rsidRPr="00B4515A">
              <w:rPr>
                <w:rFonts w:ascii="Times New Roman" w:hAnsi="Times New Roman" w:cs="Times New Roman"/>
                <w:sz w:val="21"/>
                <w:szCs w:val="21"/>
              </w:rPr>
              <w:t>3.1</w:t>
            </w:r>
          </w:p>
        </w:tc>
      </w:tr>
      <w:tr w:rsidR="006416B0" w:rsidRPr="00B4515A" w14:paraId="366D104B" w14:textId="77777777" w:rsidTr="00031627">
        <w:trPr>
          <w:trHeight w:val="340"/>
          <w:jc w:val="center"/>
        </w:trPr>
        <w:tc>
          <w:tcPr>
            <w:tcW w:w="540" w:type="dxa"/>
            <w:vMerge w:val="restart"/>
            <w:tcMar>
              <w:top w:w="0" w:type="dxa"/>
              <w:left w:w="108" w:type="dxa"/>
              <w:bottom w:w="0" w:type="dxa"/>
              <w:right w:w="108" w:type="dxa"/>
            </w:tcMar>
            <w:vAlign w:val="center"/>
          </w:tcPr>
          <w:p w14:paraId="210D032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4</w:t>
            </w:r>
          </w:p>
        </w:tc>
        <w:tc>
          <w:tcPr>
            <w:tcW w:w="1156" w:type="dxa"/>
            <w:tcMar>
              <w:top w:w="0" w:type="dxa"/>
              <w:left w:w="108" w:type="dxa"/>
              <w:bottom w:w="0" w:type="dxa"/>
              <w:right w:w="108" w:type="dxa"/>
            </w:tcMar>
            <w:vAlign w:val="center"/>
          </w:tcPr>
          <w:p w14:paraId="0B3E44D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4</w:t>
            </w:r>
          </w:p>
        </w:tc>
        <w:tc>
          <w:tcPr>
            <w:tcW w:w="3952" w:type="dxa"/>
            <w:tcMar>
              <w:top w:w="0" w:type="dxa"/>
              <w:left w:w="108" w:type="dxa"/>
              <w:bottom w:w="0" w:type="dxa"/>
              <w:right w:w="108" w:type="dxa"/>
            </w:tcMar>
            <w:vAlign w:val="center"/>
          </w:tcPr>
          <w:p w14:paraId="6EE3878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湖北省长江经济带产业引导基金合伙企业（有限合伙）</w:t>
            </w:r>
          </w:p>
        </w:tc>
        <w:tc>
          <w:tcPr>
            <w:tcW w:w="1275" w:type="dxa"/>
            <w:tcMar>
              <w:top w:w="0" w:type="dxa"/>
              <w:left w:w="108" w:type="dxa"/>
              <w:bottom w:w="0" w:type="dxa"/>
              <w:right w:w="108" w:type="dxa"/>
            </w:tcMar>
            <w:vAlign w:val="center"/>
          </w:tcPr>
          <w:p w14:paraId="29D3325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20%</w:t>
            </w:r>
          </w:p>
        </w:tc>
        <w:tc>
          <w:tcPr>
            <w:tcW w:w="1359" w:type="dxa"/>
            <w:tcMar>
              <w:top w:w="0" w:type="dxa"/>
              <w:left w:w="108" w:type="dxa"/>
              <w:bottom w:w="0" w:type="dxa"/>
              <w:right w:w="108" w:type="dxa"/>
            </w:tcMar>
            <w:vAlign w:val="center"/>
          </w:tcPr>
          <w:p w14:paraId="263E1309"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069F00C1" w14:textId="77777777" w:rsidTr="00031627">
        <w:trPr>
          <w:trHeight w:val="340"/>
          <w:jc w:val="center"/>
        </w:trPr>
        <w:tc>
          <w:tcPr>
            <w:tcW w:w="540" w:type="dxa"/>
            <w:vMerge/>
            <w:tcMar>
              <w:top w:w="0" w:type="dxa"/>
              <w:left w:w="108" w:type="dxa"/>
              <w:bottom w:w="0" w:type="dxa"/>
              <w:right w:w="108" w:type="dxa"/>
            </w:tcMar>
            <w:vAlign w:val="center"/>
          </w:tcPr>
          <w:p w14:paraId="1116E6CA"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36A0892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4.1</w:t>
            </w:r>
          </w:p>
        </w:tc>
        <w:tc>
          <w:tcPr>
            <w:tcW w:w="3952" w:type="dxa"/>
            <w:tcMar>
              <w:top w:w="0" w:type="dxa"/>
              <w:left w:w="108" w:type="dxa"/>
              <w:bottom w:w="0" w:type="dxa"/>
              <w:right w:w="108" w:type="dxa"/>
            </w:tcMar>
            <w:vAlign w:val="center"/>
          </w:tcPr>
          <w:p w14:paraId="47BB939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湖北省长江产业投资集团有限公司</w:t>
            </w:r>
          </w:p>
        </w:tc>
        <w:tc>
          <w:tcPr>
            <w:tcW w:w="1275" w:type="dxa"/>
            <w:tcMar>
              <w:top w:w="0" w:type="dxa"/>
              <w:left w:w="108" w:type="dxa"/>
              <w:bottom w:w="0" w:type="dxa"/>
              <w:right w:w="108" w:type="dxa"/>
            </w:tcMar>
            <w:vAlign w:val="center"/>
          </w:tcPr>
          <w:p w14:paraId="0219AE3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99.7506%</w:t>
            </w:r>
          </w:p>
        </w:tc>
        <w:tc>
          <w:tcPr>
            <w:tcW w:w="1359" w:type="dxa"/>
            <w:tcMar>
              <w:top w:w="0" w:type="dxa"/>
              <w:left w:w="108" w:type="dxa"/>
              <w:bottom w:w="0" w:type="dxa"/>
              <w:right w:w="108" w:type="dxa"/>
            </w:tcMar>
            <w:vAlign w:val="center"/>
          </w:tcPr>
          <w:p w14:paraId="2E3D742F"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0CF7728B" w14:textId="77777777" w:rsidTr="00031627">
        <w:trPr>
          <w:trHeight w:val="340"/>
          <w:jc w:val="center"/>
        </w:trPr>
        <w:tc>
          <w:tcPr>
            <w:tcW w:w="540" w:type="dxa"/>
            <w:vMerge/>
            <w:tcMar>
              <w:top w:w="0" w:type="dxa"/>
              <w:left w:w="108" w:type="dxa"/>
              <w:bottom w:w="0" w:type="dxa"/>
              <w:right w:w="108" w:type="dxa"/>
            </w:tcMar>
            <w:vAlign w:val="center"/>
          </w:tcPr>
          <w:p w14:paraId="1CEC8FC8"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3A54B0D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4.1.1</w:t>
            </w:r>
          </w:p>
        </w:tc>
        <w:tc>
          <w:tcPr>
            <w:tcW w:w="3952" w:type="dxa"/>
            <w:tcMar>
              <w:top w:w="0" w:type="dxa"/>
              <w:left w:w="108" w:type="dxa"/>
              <w:bottom w:w="0" w:type="dxa"/>
              <w:right w:w="108" w:type="dxa"/>
            </w:tcMar>
            <w:vAlign w:val="center"/>
          </w:tcPr>
          <w:p w14:paraId="5E100E8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湖北省人民政府国有资产监督管理委员会</w:t>
            </w:r>
          </w:p>
        </w:tc>
        <w:tc>
          <w:tcPr>
            <w:tcW w:w="1275" w:type="dxa"/>
            <w:tcMar>
              <w:top w:w="0" w:type="dxa"/>
              <w:left w:w="108" w:type="dxa"/>
              <w:bottom w:w="0" w:type="dxa"/>
              <w:right w:w="108" w:type="dxa"/>
            </w:tcMar>
            <w:vAlign w:val="center"/>
          </w:tcPr>
          <w:p w14:paraId="290936C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w:t>
            </w:r>
          </w:p>
        </w:tc>
        <w:tc>
          <w:tcPr>
            <w:tcW w:w="1359" w:type="dxa"/>
            <w:tcMar>
              <w:top w:w="0" w:type="dxa"/>
              <w:left w:w="108" w:type="dxa"/>
              <w:bottom w:w="0" w:type="dxa"/>
              <w:right w:w="108" w:type="dxa"/>
            </w:tcMar>
            <w:vAlign w:val="center"/>
          </w:tcPr>
          <w:p w14:paraId="6186D71E"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09EEC31B" w14:textId="77777777" w:rsidTr="00031627">
        <w:trPr>
          <w:trHeight w:val="340"/>
          <w:jc w:val="center"/>
        </w:trPr>
        <w:tc>
          <w:tcPr>
            <w:tcW w:w="540" w:type="dxa"/>
            <w:vMerge/>
            <w:tcMar>
              <w:top w:w="0" w:type="dxa"/>
              <w:left w:w="108" w:type="dxa"/>
              <w:bottom w:w="0" w:type="dxa"/>
              <w:right w:w="108" w:type="dxa"/>
            </w:tcMar>
            <w:vAlign w:val="center"/>
          </w:tcPr>
          <w:p w14:paraId="0BF1ED68"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5B2D570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4.2</w:t>
            </w:r>
          </w:p>
        </w:tc>
        <w:tc>
          <w:tcPr>
            <w:tcW w:w="3952" w:type="dxa"/>
            <w:tcMar>
              <w:top w:w="0" w:type="dxa"/>
              <w:left w:w="108" w:type="dxa"/>
              <w:bottom w:w="0" w:type="dxa"/>
              <w:right w:w="108" w:type="dxa"/>
            </w:tcMar>
            <w:vAlign w:val="center"/>
          </w:tcPr>
          <w:p w14:paraId="7570230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湖北省长江经济带产业基金管理有限公司</w:t>
            </w:r>
          </w:p>
        </w:tc>
        <w:tc>
          <w:tcPr>
            <w:tcW w:w="1275" w:type="dxa"/>
            <w:tcMar>
              <w:top w:w="0" w:type="dxa"/>
              <w:left w:w="108" w:type="dxa"/>
              <w:bottom w:w="0" w:type="dxa"/>
              <w:right w:w="108" w:type="dxa"/>
            </w:tcMar>
            <w:vAlign w:val="center"/>
          </w:tcPr>
          <w:p w14:paraId="69FD611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0.2494%</w:t>
            </w:r>
          </w:p>
        </w:tc>
        <w:tc>
          <w:tcPr>
            <w:tcW w:w="1359" w:type="dxa"/>
            <w:tcMar>
              <w:top w:w="0" w:type="dxa"/>
              <w:left w:w="108" w:type="dxa"/>
              <w:bottom w:w="0" w:type="dxa"/>
              <w:right w:w="108" w:type="dxa"/>
            </w:tcMar>
            <w:vAlign w:val="center"/>
          </w:tcPr>
          <w:p w14:paraId="3882B88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注</w:t>
            </w:r>
            <w:r w:rsidRPr="00B4515A">
              <w:rPr>
                <w:rFonts w:ascii="Times New Roman" w:hAnsi="Times New Roman" w:cs="Times New Roman"/>
                <w:sz w:val="21"/>
                <w:szCs w:val="21"/>
              </w:rPr>
              <w:t>2</w:t>
            </w:r>
          </w:p>
        </w:tc>
      </w:tr>
      <w:tr w:rsidR="006416B0" w:rsidRPr="00B4515A" w14:paraId="1CF52DCD" w14:textId="77777777" w:rsidTr="00031627">
        <w:trPr>
          <w:trHeight w:val="340"/>
          <w:jc w:val="center"/>
        </w:trPr>
        <w:tc>
          <w:tcPr>
            <w:tcW w:w="540" w:type="dxa"/>
            <w:vMerge w:val="restart"/>
            <w:tcMar>
              <w:top w:w="0" w:type="dxa"/>
              <w:left w:w="108" w:type="dxa"/>
              <w:bottom w:w="0" w:type="dxa"/>
              <w:right w:w="108" w:type="dxa"/>
            </w:tcMar>
            <w:vAlign w:val="center"/>
          </w:tcPr>
          <w:p w14:paraId="27BF9A0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w:t>
            </w:r>
          </w:p>
        </w:tc>
        <w:tc>
          <w:tcPr>
            <w:tcW w:w="1156" w:type="dxa"/>
            <w:tcMar>
              <w:top w:w="0" w:type="dxa"/>
              <w:left w:w="108" w:type="dxa"/>
              <w:bottom w:w="0" w:type="dxa"/>
              <w:right w:w="108" w:type="dxa"/>
            </w:tcMar>
            <w:vAlign w:val="center"/>
          </w:tcPr>
          <w:p w14:paraId="7C84F9B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w:t>
            </w:r>
          </w:p>
        </w:tc>
        <w:tc>
          <w:tcPr>
            <w:tcW w:w="3952" w:type="dxa"/>
            <w:tcMar>
              <w:top w:w="0" w:type="dxa"/>
              <w:left w:w="108" w:type="dxa"/>
              <w:bottom w:w="0" w:type="dxa"/>
              <w:right w:w="108" w:type="dxa"/>
            </w:tcMar>
            <w:vAlign w:val="center"/>
          </w:tcPr>
          <w:p w14:paraId="146D1FB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武汉国创创新投资有限公司</w:t>
            </w:r>
          </w:p>
        </w:tc>
        <w:tc>
          <w:tcPr>
            <w:tcW w:w="1275" w:type="dxa"/>
            <w:tcMar>
              <w:top w:w="0" w:type="dxa"/>
              <w:left w:w="108" w:type="dxa"/>
              <w:bottom w:w="0" w:type="dxa"/>
              <w:right w:w="108" w:type="dxa"/>
            </w:tcMar>
            <w:vAlign w:val="center"/>
          </w:tcPr>
          <w:p w14:paraId="3966DD3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w:t>
            </w:r>
          </w:p>
        </w:tc>
        <w:tc>
          <w:tcPr>
            <w:tcW w:w="1359" w:type="dxa"/>
            <w:tcMar>
              <w:top w:w="0" w:type="dxa"/>
              <w:left w:w="108" w:type="dxa"/>
              <w:bottom w:w="0" w:type="dxa"/>
              <w:right w:w="108" w:type="dxa"/>
            </w:tcMar>
            <w:vAlign w:val="center"/>
          </w:tcPr>
          <w:p w14:paraId="3A424F9E" w14:textId="77777777" w:rsidR="006416B0" w:rsidRPr="00B4515A" w:rsidRDefault="006416B0" w:rsidP="005860B4">
            <w:pPr>
              <w:adjustRightInd w:val="0"/>
              <w:snapToGrid w:val="0"/>
              <w:jc w:val="center"/>
              <w:rPr>
                <w:rFonts w:ascii="Times New Roman" w:hAnsi="Times New Roman" w:cs="Times New Roman"/>
                <w:sz w:val="21"/>
                <w:szCs w:val="21"/>
              </w:rPr>
            </w:pPr>
          </w:p>
        </w:tc>
      </w:tr>
      <w:tr w:rsidR="006416B0" w:rsidRPr="00B4515A" w14:paraId="4D53AE90" w14:textId="77777777" w:rsidTr="00031627">
        <w:trPr>
          <w:trHeight w:val="340"/>
          <w:jc w:val="center"/>
        </w:trPr>
        <w:tc>
          <w:tcPr>
            <w:tcW w:w="540" w:type="dxa"/>
            <w:vMerge/>
            <w:tcMar>
              <w:top w:w="0" w:type="dxa"/>
              <w:left w:w="108" w:type="dxa"/>
              <w:bottom w:w="0" w:type="dxa"/>
              <w:right w:w="108" w:type="dxa"/>
            </w:tcMar>
            <w:vAlign w:val="center"/>
          </w:tcPr>
          <w:p w14:paraId="04EADD4E"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4138A5E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5.1</w:t>
            </w:r>
          </w:p>
        </w:tc>
        <w:tc>
          <w:tcPr>
            <w:tcW w:w="3952" w:type="dxa"/>
            <w:tcMar>
              <w:top w:w="0" w:type="dxa"/>
              <w:left w:w="108" w:type="dxa"/>
              <w:bottom w:w="0" w:type="dxa"/>
              <w:right w:w="108" w:type="dxa"/>
            </w:tcMar>
            <w:vAlign w:val="center"/>
          </w:tcPr>
          <w:p w14:paraId="3542052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武汉商贸集团有限公司</w:t>
            </w:r>
          </w:p>
        </w:tc>
        <w:tc>
          <w:tcPr>
            <w:tcW w:w="1275" w:type="dxa"/>
            <w:tcMar>
              <w:top w:w="0" w:type="dxa"/>
              <w:left w:w="108" w:type="dxa"/>
              <w:bottom w:w="0" w:type="dxa"/>
              <w:right w:w="108" w:type="dxa"/>
            </w:tcMar>
            <w:vAlign w:val="center"/>
          </w:tcPr>
          <w:p w14:paraId="40CBBE3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99.95%</w:t>
            </w:r>
          </w:p>
        </w:tc>
        <w:tc>
          <w:tcPr>
            <w:tcW w:w="1359" w:type="dxa"/>
            <w:tcMar>
              <w:top w:w="0" w:type="dxa"/>
              <w:left w:w="108" w:type="dxa"/>
              <w:bottom w:w="0" w:type="dxa"/>
              <w:right w:w="108" w:type="dxa"/>
            </w:tcMar>
            <w:vAlign w:val="center"/>
          </w:tcPr>
          <w:p w14:paraId="634E490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同</w:t>
            </w:r>
            <w:r w:rsidRPr="00B4515A">
              <w:rPr>
                <w:rFonts w:ascii="Times New Roman" w:hAnsi="Times New Roman" w:cs="Times New Roman"/>
                <w:sz w:val="21"/>
                <w:szCs w:val="21"/>
              </w:rPr>
              <w:t>3.1</w:t>
            </w:r>
          </w:p>
        </w:tc>
      </w:tr>
      <w:tr w:rsidR="006416B0" w:rsidRPr="00B4515A" w14:paraId="1DFA7F75" w14:textId="77777777" w:rsidTr="00031627">
        <w:trPr>
          <w:trHeight w:val="340"/>
          <w:jc w:val="center"/>
        </w:trPr>
        <w:tc>
          <w:tcPr>
            <w:tcW w:w="540" w:type="dxa"/>
            <w:vMerge/>
            <w:tcMar>
              <w:top w:w="0" w:type="dxa"/>
              <w:left w:w="108" w:type="dxa"/>
              <w:bottom w:w="0" w:type="dxa"/>
              <w:right w:w="108" w:type="dxa"/>
            </w:tcMar>
            <w:vAlign w:val="center"/>
          </w:tcPr>
          <w:p w14:paraId="1E5CA62D"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1156" w:type="dxa"/>
            <w:tcMar>
              <w:top w:w="0" w:type="dxa"/>
              <w:left w:w="108" w:type="dxa"/>
              <w:bottom w:w="0" w:type="dxa"/>
              <w:right w:w="108" w:type="dxa"/>
            </w:tcMar>
            <w:vAlign w:val="center"/>
          </w:tcPr>
          <w:p w14:paraId="635FDA5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5.2</w:t>
            </w:r>
          </w:p>
        </w:tc>
        <w:tc>
          <w:tcPr>
            <w:tcW w:w="3952" w:type="dxa"/>
            <w:tcMar>
              <w:top w:w="0" w:type="dxa"/>
              <w:left w:w="108" w:type="dxa"/>
              <w:bottom w:w="0" w:type="dxa"/>
              <w:right w:w="108" w:type="dxa"/>
            </w:tcMar>
            <w:vAlign w:val="center"/>
          </w:tcPr>
          <w:p w14:paraId="6F48658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武汉东湖创新科技投资有限公司</w:t>
            </w:r>
          </w:p>
        </w:tc>
        <w:tc>
          <w:tcPr>
            <w:tcW w:w="1275" w:type="dxa"/>
            <w:tcMar>
              <w:top w:w="0" w:type="dxa"/>
              <w:left w:w="108" w:type="dxa"/>
              <w:bottom w:w="0" w:type="dxa"/>
              <w:right w:w="108" w:type="dxa"/>
            </w:tcMar>
            <w:vAlign w:val="center"/>
          </w:tcPr>
          <w:p w14:paraId="476C5DD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0.05%</w:t>
            </w:r>
          </w:p>
        </w:tc>
        <w:tc>
          <w:tcPr>
            <w:tcW w:w="1359" w:type="dxa"/>
            <w:tcMar>
              <w:top w:w="0" w:type="dxa"/>
              <w:left w:w="108" w:type="dxa"/>
              <w:bottom w:w="0" w:type="dxa"/>
              <w:right w:w="108" w:type="dxa"/>
            </w:tcMar>
            <w:vAlign w:val="center"/>
          </w:tcPr>
          <w:p w14:paraId="2358BA9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同</w:t>
            </w:r>
            <w:r w:rsidRPr="00B4515A">
              <w:rPr>
                <w:rFonts w:ascii="Times New Roman" w:hAnsi="Times New Roman" w:cs="Times New Roman"/>
                <w:sz w:val="21"/>
                <w:szCs w:val="21"/>
              </w:rPr>
              <w:t>3.2</w:t>
            </w:r>
          </w:p>
        </w:tc>
      </w:tr>
    </w:tbl>
    <w:p w14:paraId="2DF86E1E" w14:textId="77777777" w:rsidR="006416B0" w:rsidRPr="00B4515A" w:rsidRDefault="005E58C1" w:rsidP="005860B4">
      <w:pPr>
        <w:pStyle w:val="006"/>
        <w:ind w:firstLine="420"/>
      </w:pPr>
      <w:r w:rsidRPr="00B4515A">
        <w:t>注</w:t>
      </w:r>
      <w:r w:rsidRPr="00B4515A">
        <w:t>1</w:t>
      </w:r>
      <w:r w:rsidRPr="00B4515A">
        <w:t>：根据财政部、国务院国资委、人力资源社会保障部出具的《财政部、人力资源社会保障部、国资委关于划转中国石油天然气集团有限公司等</w:t>
      </w:r>
      <w:r w:rsidRPr="00B4515A">
        <w:t>35</w:t>
      </w:r>
      <w:r w:rsidRPr="00B4515A">
        <w:t>家中央企业部分国有资本有关问题的通知》，将中国信科集团</w:t>
      </w:r>
      <w:r w:rsidRPr="00B4515A">
        <w:t>10%</w:t>
      </w:r>
      <w:r w:rsidRPr="00B4515A">
        <w:t>的股权一次性划转给社保基金会持有。由于中国信科集团公司章程的变更尚未取得国务院国资委批复，本次划转未进行工商变更登记。</w:t>
      </w:r>
    </w:p>
    <w:p w14:paraId="2EA53ABC" w14:textId="5F536E12" w:rsidR="006416B0" w:rsidRPr="00B4515A" w:rsidRDefault="005E58C1" w:rsidP="005860B4">
      <w:pPr>
        <w:pStyle w:val="006"/>
        <w:ind w:firstLine="420"/>
      </w:pPr>
      <w:r w:rsidRPr="00B4515A">
        <w:t>注</w:t>
      </w:r>
      <w:r w:rsidRPr="00B4515A">
        <w:t>2</w:t>
      </w:r>
      <w:r w:rsidRPr="00B4515A">
        <w:t>：湖北省长江经济带产业引导基金合伙企业（有限合伙）的普通合伙人湖北省长江经济带产业基金管理有限公司持有湖北省长江经济带产业引导基金合伙企业（有限合伙）</w:t>
      </w:r>
      <w:r w:rsidRPr="00B4515A">
        <w:t>0.2494%</w:t>
      </w:r>
      <w:r w:rsidRPr="00B4515A">
        <w:t>的出资，湖北省长江经济带产业基金管理有限公司为经登记的私募基金管理人，登记编号为</w:t>
      </w:r>
      <w:r w:rsidRPr="00B4515A">
        <w:t>P1060517</w:t>
      </w:r>
      <w:r w:rsidRPr="00B4515A">
        <w:t>。该基金管理公司持有湖北省长江经济带产业引导基金合伙企业（有限合伙）的出资份额较小，通过</w:t>
      </w:r>
      <w:r w:rsidR="00252376" w:rsidRPr="00B4515A">
        <w:t>长江移动基金</w:t>
      </w:r>
      <w:r w:rsidRPr="00B4515A">
        <w:t>间接持有目标公司的股权比例为</w:t>
      </w:r>
      <w:r w:rsidRPr="00B4515A">
        <w:t>0.01%</w:t>
      </w:r>
      <w:r w:rsidRPr="00B4515A">
        <w:t>（对应</w:t>
      </w:r>
      <w:r w:rsidRPr="00B4515A">
        <w:t>24,020.95</w:t>
      </w:r>
      <w:r w:rsidRPr="00B4515A">
        <w:t>元注册资本），且主要承担基金管理人职能，故此，未对湖北省长江经济带产业基金管理有限公司的出资人进一步向上穿透核查。</w:t>
      </w:r>
    </w:p>
    <w:p w14:paraId="13CAFCDD" w14:textId="1EB28A79" w:rsidR="006416B0" w:rsidRPr="00B4515A" w:rsidRDefault="005E58C1" w:rsidP="005860B4">
      <w:pPr>
        <w:pStyle w:val="004"/>
        <w:spacing w:before="120" w:after="120"/>
        <w:ind w:firstLine="482"/>
      </w:pPr>
      <w:r w:rsidRPr="00B4515A">
        <w:rPr>
          <w:rFonts w:hint="eastAsia"/>
        </w:rPr>
        <w:t>3</w:t>
      </w:r>
      <w:r w:rsidRPr="00B4515A">
        <w:rPr>
          <w:rFonts w:hint="eastAsia"/>
        </w:rPr>
        <w:t>、按照穿透至最终出资人（含自然人、上市公司、新三板挂牌公司、国有控股或管理主体（含事业单位、国有主体控制的产业基金等）、集体所有制企业、境外政府投资基金、大学捐赠基金、养老基金、公益基金以及公募资产管理产品）的标准，</w:t>
      </w:r>
      <w:bookmarkStart w:id="149" w:name="_Hlk72937024"/>
      <w:r w:rsidRPr="00B4515A">
        <w:rPr>
          <w:rFonts w:hint="eastAsia"/>
        </w:rPr>
        <w:t>穿透的各层出资人取得权益时间、出资方式、资金来源、是否与大唐联诚其他股东（</w:t>
      </w:r>
      <w:r w:rsidR="00252376" w:rsidRPr="00B4515A">
        <w:rPr>
          <w:rFonts w:hint="eastAsia"/>
        </w:rPr>
        <w:t>长江移动基金</w:t>
      </w:r>
      <w:r w:rsidRPr="00B4515A">
        <w:rPr>
          <w:rFonts w:hint="eastAsia"/>
        </w:rPr>
        <w:t>除外）存在关联关系等情况如下</w:t>
      </w:r>
      <w:bookmarkEnd w:id="149"/>
      <w:r w:rsidRPr="00B4515A">
        <w:rPr>
          <w:rFonts w:hint="eastAsia"/>
        </w:rPr>
        <w:t>：</w:t>
      </w:r>
    </w:p>
    <w:tbl>
      <w:tblPr>
        <w:tblW w:w="513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82"/>
        <w:gridCol w:w="1264"/>
        <w:gridCol w:w="981"/>
        <w:gridCol w:w="1197"/>
        <w:gridCol w:w="827"/>
        <w:gridCol w:w="1062"/>
        <w:gridCol w:w="1393"/>
        <w:gridCol w:w="1357"/>
      </w:tblGrid>
      <w:tr w:rsidR="006416B0" w:rsidRPr="00B4515A" w14:paraId="5F393912" w14:textId="77777777" w:rsidTr="005860B4">
        <w:trPr>
          <w:trHeight w:val="340"/>
          <w:tblHeader/>
          <w:jc w:val="center"/>
        </w:trPr>
        <w:tc>
          <w:tcPr>
            <w:tcW w:w="389" w:type="pct"/>
            <w:tcMar>
              <w:top w:w="0" w:type="dxa"/>
              <w:left w:w="108" w:type="dxa"/>
              <w:bottom w:w="0" w:type="dxa"/>
              <w:right w:w="108" w:type="dxa"/>
            </w:tcMar>
            <w:vAlign w:val="center"/>
          </w:tcPr>
          <w:p w14:paraId="6D537775" w14:textId="77777777" w:rsidR="006416B0" w:rsidRPr="00B4515A" w:rsidRDefault="005E58C1" w:rsidP="005860B4">
            <w:pPr>
              <w:adjustRightInd w:val="0"/>
              <w:snapToGrid w:val="0"/>
              <w:jc w:val="center"/>
              <w:rPr>
                <w:rFonts w:ascii="Times New Roman" w:hAnsi="Times New Roman" w:cs="Times New Roman"/>
                <w:b/>
                <w:sz w:val="21"/>
                <w:szCs w:val="21"/>
              </w:rPr>
            </w:pPr>
            <w:bookmarkStart w:id="150" w:name="_Hlk72854924"/>
            <w:r w:rsidRPr="00B4515A">
              <w:rPr>
                <w:rFonts w:ascii="Times New Roman" w:hAnsi="Times New Roman" w:cs="Times New Roman"/>
                <w:b/>
                <w:sz w:val="21"/>
                <w:szCs w:val="21"/>
              </w:rPr>
              <w:t>层级</w:t>
            </w:r>
          </w:p>
        </w:tc>
        <w:tc>
          <w:tcPr>
            <w:tcW w:w="721" w:type="pct"/>
            <w:tcMar>
              <w:top w:w="0" w:type="dxa"/>
              <w:left w:w="108" w:type="dxa"/>
              <w:bottom w:w="0" w:type="dxa"/>
              <w:right w:w="108" w:type="dxa"/>
            </w:tcMar>
            <w:vAlign w:val="center"/>
          </w:tcPr>
          <w:p w14:paraId="1232BD83" w14:textId="77777777" w:rsidR="005860B4"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各层出</w:t>
            </w:r>
          </w:p>
          <w:p w14:paraId="361AC727" w14:textId="3F9D0303"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资人</w:t>
            </w:r>
          </w:p>
        </w:tc>
        <w:tc>
          <w:tcPr>
            <w:tcW w:w="560" w:type="pct"/>
            <w:tcMar>
              <w:top w:w="0" w:type="dxa"/>
              <w:left w:w="108" w:type="dxa"/>
              <w:bottom w:w="0" w:type="dxa"/>
              <w:right w:w="108" w:type="dxa"/>
            </w:tcMar>
            <w:vAlign w:val="center"/>
          </w:tcPr>
          <w:p w14:paraId="3C57028D"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类型</w:t>
            </w:r>
          </w:p>
        </w:tc>
        <w:tc>
          <w:tcPr>
            <w:tcW w:w="683" w:type="pct"/>
            <w:tcMar>
              <w:top w:w="0" w:type="dxa"/>
              <w:left w:w="108" w:type="dxa"/>
              <w:bottom w:w="0" w:type="dxa"/>
              <w:right w:w="108" w:type="dxa"/>
            </w:tcMar>
            <w:vAlign w:val="center"/>
          </w:tcPr>
          <w:p w14:paraId="7109BDD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取得权益时间</w:t>
            </w:r>
          </w:p>
        </w:tc>
        <w:tc>
          <w:tcPr>
            <w:tcW w:w="472" w:type="pct"/>
            <w:tcMar>
              <w:top w:w="0" w:type="dxa"/>
              <w:left w:w="108" w:type="dxa"/>
              <w:bottom w:w="0" w:type="dxa"/>
              <w:right w:w="108" w:type="dxa"/>
            </w:tcMar>
            <w:vAlign w:val="center"/>
          </w:tcPr>
          <w:p w14:paraId="1DC4495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出资方式</w:t>
            </w:r>
          </w:p>
        </w:tc>
        <w:tc>
          <w:tcPr>
            <w:tcW w:w="606" w:type="pct"/>
            <w:tcMar>
              <w:top w:w="0" w:type="dxa"/>
              <w:left w:w="108" w:type="dxa"/>
              <w:bottom w:w="0" w:type="dxa"/>
              <w:right w:w="108" w:type="dxa"/>
            </w:tcMar>
            <w:vAlign w:val="center"/>
          </w:tcPr>
          <w:p w14:paraId="0E3EEBB9"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资金来源</w:t>
            </w:r>
          </w:p>
        </w:tc>
        <w:tc>
          <w:tcPr>
            <w:tcW w:w="795" w:type="pct"/>
            <w:tcMar>
              <w:top w:w="0" w:type="dxa"/>
              <w:left w:w="108" w:type="dxa"/>
              <w:bottom w:w="0" w:type="dxa"/>
              <w:right w:w="108" w:type="dxa"/>
            </w:tcMar>
            <w:vAlign w:val="center"/>
          </w:tcPr>
          <w:p w14:paraId="1EE5CC8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与大唐联诚其他股东关联关系</w:t>
            </w:r>
          </w:p>
        </w:tc>
        <w:tc>
          <w:tcPr>
            <w:tcW w:w="774" w:type="pct"/>
            <w:tcMar>
              <w:top w:w="0" w:type="dxa"/>
              <w:left w:w="108" w:type="dxa"/>
              <w:bottom w:w="0" w:type="dxa"/>
              <w:right w:w="108" w:type="dxa"/>
            </w:tcMar>
            <w:vAlign w:val="center"/>
          </w:tcPr>
          <w:p w14:paraId="70E368D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该层级实际控制人</w:t>
            </w:r>
          </w:p>
        </w:tc>
      </w:tr>
      <w:tr w:rsidR="006416B0" w:rsidRPr="00B4515A" w14:paraId="0293DF57" w14:textId="77777777" w:rsidTr="005860B4">
        <w:trPr>
          <w:trHeight w:val="340"/>
          <w:jc w:val="center"/>
        </w:trPr>
        <w:tc>
          <w:tcPr>
            <w:tcW w:w="389" w:type="pct"/>
            <w:tcMar>
              <w:top w:w="0" w:type="dxa"/>
              <w:left w:w="108" w:type="dxa"/>
              <w:bottom w:w="0" w:type="dxa"/>
              <w:right w:w="108" w:type="dxa"/>
            </w:tcMar>
            <w:vAlign w:val="center"/>
          </w:tcPr>
          <w:p w14:paraId="314F604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w:t>
            </w:r>
          </w:p>
        </w:tc>
        <w:tc>
          <w:tcPr>
            <w:tcW w:w="721" w:type="pct"/>
            <w:tcMar>
              <w:top w:w="0" w:type="dxa"/>
              <w:left w:w="108" w:type="dxa"/>
              <w:bottom w:w="0" w:type="dxa"/>
              <w:right w:w="108" w:type="dxa"/>
            </w:tcMar>
            <w:vAlign w:val="center"/>
          </w:tcPr>
          <w:p w14:paraId="4D2C42A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武汉光谷烽火投资基金管理有限公司</w:t>
            </w:r>
          </w:p>
        </w:tc>
        <w:tc>
          <w:tcPr>
            <w:tcW w:w="560" w:type="pct"/>
            <w:tcMar>
              <w:top w:w="0" w:type="dxa"/>
              <w:left w:w="108" w:type="dxa"/>
              <w:bottom w:w="0" w:type="dxa"/>
              <w:right w:w="108" w:type="dxa"/>
            </w:tcMar>
            <w:vAlign w:val="center"/>
          </w:tcPr>
          <w:p w14:paraId="3604E9F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国有控股有限公司</w:t>
            </w:r>
          </w:p>
        </w:tc>
        <w:tc>
          <w:tcPr>
            <w:tcW w:w="683" w:type="pct"/>
            <w:tcMar>
              <w:top w:w="0" w:type="dxa"/>
              <w:left w:w="108" w:type="dxa"/>
              <w:bottom w:w="0" w:type="dxa"/>
              <w:right w:w="108" w:type="dxa"/>
            </w:tcMar>
            <w:vAlign w:val="center"/>
          </w:tcPr>
          <w:p w14:paraId="75915E0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2019.11.15</w:t>
            </w:r>
          </w:p>
        </w:tc>
        <w:tc>
          <w:tcPr>
            <w:tcW w:w="472" w:type="pct"/>
            <w:tcMar>
              <w:top w:w="0" w:type="dxa"/>
              <w:left w:w="108" w:type="dxa"/>
              <w:bottom w:w="0" w:type="dxa"/>
              <w:right w:w="108" w:type="dxa"/>
            </w:tcMar>
            <w:vAlign w:val="center"/>
          </w:tcPr>
          <w:p w14:paraId="64D151E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货币</w:t>
            </w:r>
          </w:p>
        </w:tc>
        <w:tc>
          <w:tcPr>
            <w:tcW w:w="606" w:type="pct"/>
            <w:tcMar>
              <w:top w:w="0" w:type="dxa"/>
              <w:left w:w="108" w:type="dxa"/>
              <w:bottom w:w="0" w:type="dxa"/>
              <w:right w:w="108" w:type="dxa"/>
            </w:tcMar>
            <w:vAlign w:val="center"/>
          </w:tcPr>
          <w:p w14:paraId="4D40655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自有</w:t>
            </w:r>
          </w:p>
        </w:tc>
        <w:tc>
          <w:tcPr>
            <w:tcW w:w="795" w:type="pct"/>
            <w:tcMar>
              <w:top w:w="0" w:type="dxa"/>
              <w:left w:w="108" w:type="dxa"/>
              <w:bottom w:w="0" w:type="dxa"/>
              <w:right w:w="108" w:type="dxa"/>
            </w:tcMar>
            <w:vAlign w:val="center"/>
          </w:tcPr>
          <w:p w14:paraId="3A7C5A3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与电信科研院、大唐控股同受中国信科集团控制</w:t>
            </w:r>
          </w:p>
        </w:tc>
        <w:tc>
          <w:tcPr>
            <w:tcW w:w="774" w:type="pct"/>
            <w:tcMar>
              <w:top w:w="0" w:type="dxa"/>
              <w:left w:w="108" w:type="dxa"/>
              <w:bottom w:w="0" w:type="dxa"/>
              <w:right w:w="108" w:type="dxa"/>
            </w:tcMar>
            <w:vAlign w:val="center"/>
          </w:tcPr>
          <w:p w14:paraId="4F9E2F9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国务院国资委</w:t>
            </w:r>
          </w:p>
        </w:tc>
      </w:tr>
      <w:tr w:rsidR="006416B0" w:rsidRPr="00B4515A" w14:paraId="71AE2434" w14:textId="77777777" w:rsidTr="005860B4">
        <w:trPr>
          <w:trHeight w:val="340"/>
          <w:jc w:val="center"/>
        </w:trPr>
        <w:tc>
          <w:tcPr>
            <w:tcW w:w="389" w:type="pct"/>
            <w:tcMar>
              <w:top w:w="0" w:type="dxa"/>
              <w:left w:w="108" w:type="dxa"/>
              <w:bottom w:w="0" w:type="dxa"/>
              <w:right w:w="108" w:type="dxa"/>
            </w:tcMar>
            <w:vAlign w:val="center"/>
          </w:tcPr>
          <w:p w14:paraId="7DEBC44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1-2</w:t>
            </w:r>
          </w:p>
        </w:tc>
        <w:tc>
          <w:tcPr>
            <w:tcW w:w="721" w:type="pct"/>
            <w:tcMar>
              <w:top w:w="0" w:type="dxa"/>
              <w:left w:w="108" w:type="dxa"/>
              <w:bottom w:w="0" w:type="dxa"/>
              <w:right w:w="108" w:type="dxa"/>
            </w:tcMar>
            <w:vAlign w:val="center"/>
          </w:tcPr>
          <w:p w14:paraId="58D5B00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武汉光谷烽火光电子信息产业投资基金合伙企业（有限合伙）</w:t>
            </w:r>
          </w:p>
        </w:tc>
        <w:tc>
          <w:tcPr>
            <w:tcW w:w="560" w:type="pct"/>
            <w:tcMar>
              <w:top w:w="0" w:type="dxa"/>
              <w:left w:w="108" w:type="dxa"/>
              <w:bottom w:w="0" w:type="dxa"/>
              <w:right w:w="108" w:type="dxa"/>
            </w:tcMar>
            <w:vAlign w:val="center"/>
          </w:tcPr>
          <w:p w14:paraId="18D01F5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国有控股私募基金</w:t>
            </w:r>
          </w:p>
        </w:tc>
        <w:tc>
          <w:tcPr>
            <w:tcW w:w="683" w:type="pct"/>
            <w:tcMar>
              <w:top w:w="0" w:type="dxa"/>
              <w:left w:w="108" w:type="dxa"/>
              <w:bottom w:w="0" w:type="dxa"/>
              <w:right w:w="108" w:type="dxa"/>
            </w:tcMar>
            <w:vAlign w:val="center"/>
          </w:tcPr>
          <w:p w14:paraId="034E478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2019.11.15</w:t>
            </w:r>
          </w:p>
        </w:tc>
        <w:tc>
          <w:tcPr>
            <w:tcW w:w="472" w:type="pct"/>
            <w:tcMar>
              <w:top w:w="0" w:type="dxa"/>
              <w:left w:w="108" w:type="dxa"/>
              <w:bottom w:w="0" w:type="dxa"/>
              <w:right w:w="108" w:type="dxa"/>
            </w:tcMar>
            <w:vAlign w:val="center"/>
          </w:tcPr>
          <w:p w14:paraId="6D1B15D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货币</w:t>
            </w:r>
          </w:p>
        </w:tc>
        <w:tc>
          <w:tcPr>
            <w:tcW w:w="606" w:type="pct"/>
            <w:tcMar>
              <w:top w:w="0" w:type="dxa"/>
              <w:left w:w="108" w:type="dxa"/>
              <w:bottom w:w="0" w:type="dxa"/>
              <w:right w:w="108" w:type="dxa"/>
            </w:tcMar>
            <w:vAlign w:val="center"/>
          </w:tcPr>
          <w:p w14:paraId="432155A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自有</w:t>
            </w:r>
          </w:p>
        </w:tc>
        <w:tc>
          <w:tcPr>
            <w:tcW w:w="795" w:type="pct"/>
            <w:tcMar>
              <w:top w:w="0" w:type="dxa"/>
              <w:left w:w="108" w:type="dxa"/>
              <w:bottom w:w="0" w:type="dxa"/>
              <w:right w:w="108" w:type="dxa"/>
            </w:tcMar>
            <w:vAlign w:val="center"/>
          </w:tcPr>
          <w:p w14:paraId="70E017A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电信科研院、大唐控股为中国信科集团控制企业，该企业为中国信科集团施加重大影响企业</w:t>
            </w:r>
          </w:p>
        </w:tc>
        <w:tc>
          <w:tcPr>
            <w:tcW w:w="774" w:type="pct"/>
            <w:tcMar>
              <w:top w:w="0" w:type="dxa"/>
              <w:left w:w="108" w:type="dxa"/>
              <w:bottom w:w="0" w:type="dxa"/>
              <w:right w:w="108" w:type="dxa"/>
            </w:tcMar>
            <w:vAlign w:val="center"/>
          </w:tcPr>
          <w:p w14:paraId="5FF9152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国务院国资委</w:t>
            </w:r>
            <w:r w:rsidRPr="00B4515A">
              <w:rPr>
                <w:rFonts w:ascii="Times New Roman" w:hAnsi="Times New Roman" w:cs="Times New Roman"/>
                <w:sz w:val="21"/>
                <w:szCs w:val="21"/>
              </w:rPr>
              <w:t>/</w:t>
            </w:r>
            <w:r w:rsidRPr="00B4515A">
              <w:rPr>
                <w:rFonts w:ascii="Times New Roman" w:hAnsi="Times New Roman" w:cs="Times New Roman"/>
                <w:sz w:val="21"/>
                <w:szCs w:val="21"/>
              </w:rPr>
              <w:t>武汉东湖新技术开发区管理委员会</w:t>
            </w:r>
          </w:p>
        </w:tc>
      </w:tr>
      <w:tr w:rsidR="006416B0" w:rsidRPr="00B4515A" w14:paraId="0F8D4D38" w14:textId="77777777" w:rsidTr="005860B4">
        <w:trPr>
          <w:trHeight w:val="340"/>
          <w:jc w:val="center"/>
        </w:trPr>
        <w:tc>
          <w:tcPr>
            <w:tcW w:w="389" w:type="pct"/>
            <w:tcMar>
              <w:top w:w="0" w:type="dxa"/>
              <w:left w:w="108" w:type="dxa"/>
              <w:bottom w:w="0" w:type="dxa"/>
              <w:right w:w="108" w:type="dxa"/>
            </w:tcMar>
            <w:vAlign w:val="center"/>
          </w:tcPr>
          <w:p w14:paraId="40AFDC5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1-3</w:t>
            </w:r>
          </w:p>
        </w:tc>
        <w:tc>
          <w:tcPr>
            <w:tcW w:w="721" w:type="pct"/>
            <w:tcMar>
              <w:top w:w="0" w:type="dxa"/>
              <w:left w:w="108" w:type="dxa"/>
              <w:bottom w:w="0" w:type="dxa"/>
              <w:right w:w="108" w:type="dxa"/>
            </w:tcMar>
            <w:vAlign w:val="center"/>
          </w:tcPr>
          <w:p w14:paraId="35A4125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湖北长江经济带产业引导基金合伙企业（有限合</w:t>
            </w:r>
            <w:r w:rsidRPr="00B4515A">
              <w:rPr>
                <w:rFonts w:ascii="Times New Roman" w:hAnsi="Times New Roman" w:cs="Times New Roman"/>
                <w:sz w:val="21"/>
                <w:szCs w:val="21"/>
              </w:rPr>
              <w:lastRenderedPageBreak/>
              <w:t>伙）</w:t>
            </w:r>
          </w:p>
        </w:tc>
        <w:tc>
          <w:tcPr>
            <w:tcW w:w="560" w:type="pct"/>
            <w:tcMar>
              <w:top w:w="0" w:type="dxa"/>
              <w:left w:w="108" w:type="dxa"/>
              <w:bottom w:w="0" w:type="dxa"/>
              <w:right w:w="108" w:type="dxa"/>
            </w:tcMar>
            <w:vAlign w:val="center"/>
          </w:tcPr>
          <w:p w14:paraId="725FE08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lastRenderedPageBreak/>
              <w:t>国有控股私募基金</w:t>
            </w:r>
          </w:p>
        </w:tc>
        <w:tc>
          <w:tcPr>
            <w:tcW w:w="683" w:type="pct"/>
            <w:tcMar>
              <w:top w:w="0" w:type="dxa"/>
              <w:left w:w="108" w:type="dxa"/>
              <w:bottom w:w="0" w:type="dxa"/>
              <w:right w:w="108" w:type="dxa"/>
            </w:tcMar>
            <w:vAlign w:val="center"/>
          </w:tcPr>
          <w:p w14:paraId="6334935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2019.11.15</w:t>
            </w:r>
          </w:p>
        </w:tc>
        <w:tc>
          <w:tcPr>
            <w:tcW w:w="472" w:type="pct"/>
            <w:tcMar>
              <w:top w:w="0" w:type="dxa"/>
              <w:left w:w="108" w:type="dxa"/>
              <w:bottom w:w="0" w:type="dxa"/>
              <w:right w:w="108" w:type="dxa"/>
            </w:tcMar>
            <w:vAlign w:val="center"/>
          </w:tcPr>
          <w:p w14:paraId="7305991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货币</w:t>
            </w:r>
          </w:p>
        </w:tc>
        <w:tc>
          <w:tcPr>
            <w:tcW w:w="606" w:type="pct"/>
            <w:tcMar>
              <w:top w:w="0" w:type="dxa"/>
              <w:left w:w="108" w:type="dxa"/>
              <w:bottom w:w="0" w:type="dxa"/>
              <w:right w:w="108" w:type="dxa"/>
            </w:tcMar>
            <w:vAlign w:val="center"/>
          </w:tcPr>
          <w:p w14:paraId="38D0014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自有</w:t>
            </w:r>
          </w:p>
        </w:tc>
        <w:tc>
          <w:tcPr>
            <w:tcW w:w="795" w:type="pct"/>
            <w:tcMar>
              <w:top w:w="0" w:type="dxa"/>
              <w:left w:w="108" w:type="dxa"/>
              <w:bottom w:w="0" w:type="dxa"/>
              <w:right w:w="108" w:type="dxa"/>
            </w:tcMar>
            <w:vAlign w:val="center"/>
          </w:tcPr>
          <w:p w14:paraId="1ECE7B9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无</w:t>
            </w:r>
          </w:p>
        </w:tc>
        <w:tc>
          <w:tcPr>
            <w:tcW w:w="774" w:type="pct"/>
            <w:tcMar>
              <w:top w:w="0" w:type="dxa"/>
              <w:left w:w="108" w:type="dxa"/>
              <w:bottom w:w="0" w:type="dxa"/>
              <w:right w:w="108" w:type="dxa"/>
            </w:tcMar>
            <w:vAlign w:val="center"/>
          </w:tcPr>
          <w:p w14:paraId="7267B4B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湖北省人民政府国有资产监督管理委员会</w:t>
            </w:r>
          </w:p>
        </w:tc>
      </w:tr>
      <w:tr w:rsidR="006416B0" w:rsidRPr="00B4515A" w14:paraId="3A9B5245" w14:textId="77777777" w:rsidTr="005860B4">
        <w:trPr>
          <w:trHeight w:val="340"/>
          <w:jc w:val="center"/>
        </w:trPr>
        <w:tc>
          <w:tcPr>
            <w:tcW w:w="389" w:type="pct"/>
            <w:tcMar>
              <w:top w:w="0" w:type="dxa"/>
              <w:left w:w="108" w:type="dxa"/>
              <w:bottom w:w="0" w:type="dxa"/>
              <w:right w:w="108" w:type="dxa"/>
            </w:tcMar>
            <w:vAlign w:val="center"/>
          </w:tcPr>
          <w:p w14:paraId="3AD8046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lastRenderedPageBreak/>
              <w:t>1-4</w:t>
            </w:r>
          </w:p>
        </w:tc>
        <w:tc>
          <w:tcPr>
            <w:tcW w:w="721" w:type="pct"/>
            <w:tcMar>
              <w:top w:w="0" w:type="dxa"/>
              <w:left w:w="108" w:type="dxa"/>
              <w:bottom w:w="0" w:type="dxa"/>
              <w:right w:w="108" w:type="dxa"/>
            </w:tcMar>
            <w:vAlign w:val="center"/>
          </w:tcPr>
          <w:p w14:paraId="0C2CEF6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武汉市工业发展投资基金（有限合伙）</w:t>
            </w:r>
          </w:p>
        </w:tc>
        <w:tc>
          <w:tcPr>
            <w:tcW w:w="560" w:type="pct"/>
            <w:tcMar>
              <w:top w:w="0" w:type="dxa"/>
              <w:left w:w="108" w:type="dxa"/>
              <w:bottom w:w="0" w:type="dxa"/>
              <w:right w:w="108" w:type="dxa"/>
            </w:tcMar>
            <w:vAlign w:val="center"/>
          </w:tcPr>
          <w:p w14:paraId="32EA21E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国有全资私募基金</w:t>
            </w:r>
          </w:p>
        </w:tc>
        <w:tc>
          <w:tcPr>
            <w:tcW w:w="683" w:type="pct"/>
            <w:tcMar>
              <w:top w:w="0" w:type="dxa"/>
              <w:left w:w="108" w:type="dxa"/>
              <w:bottom w:w="0" w:type="dxa"/>
              <w:right w:w="108" w:type="dxa"/>
            </w:tcMar>
            <w:vAlign w:val="center"/>
          </w:tcPr>
          <w:p w14:paraId="5B239E0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2019.11.15</w:t>
            </w:r>
          </w:p>
        </w:tc>
        <w:tc>
          <w:tcPr>
            <w:tcW w:w="472" w:type="pct"/>
            <w:tcMar>
              <w:top w:w="0" w:type="dxa"/>
              <w:left w:w="108" w:type="dxa"/>
              <w:bottom w:w="0" w:type="dxa"/>
              <w:right w:w="108" w:type="dxa"/>
            </w:tcMar>
            <w:vAlign w:val="center"/>
          </w:tcPr>
          <w:p w14:paraId="0072E0E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货币</w:t>
            </w:r>
          </w:p>
        </w:tc>
        <w:tc>
          <w:tcPr>
            <w:tcW w:w="606" w:type="pct"/>
            <w:tcMar>
              <w:top w:w="0" w:type="dxa"/>
              <w:left w:w="108" w:type="dxa"/>
              <w:bottom w:w="0" w:type="dxa"/>
              <w:right w:w="108" w:type="dxa"/>
            </w:tcMar>
            <w:vAlign w:val="center"/>
          </w:tcPr>
          <w:p w14:paraId="522A5CF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自有</w:t>
            </w:r>
          </w:p>
        </w:tc>
        <w:tc>
          <w:tcPr>
            <w:tcW w:w="795" w:type="pct"/>
            <w:tcMar>
              <w:top w:w="0" w:type="dxa"/>
              <w:left w:w="108" w:type="dxa"/>
              <w:bottom w:w="0" w:type="dxa"/>
              <w:right w:w="108" w:type="dxa"/>
            </w:tcMar>
            <w:vAlign w:val="center"/>
          </w:tcPr>
          <w:p w14:paraId="3E3CB31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无</w:t>
            </w:r>
          </w:p>
        </w:tc>
        <w:tc>
          <w:tcPr>
            <w:tcW w:w="774" w:type="pct"/>
            <w:tcMar>
              <w:top w:w="0" w:type="dxa"/>
              <w:left w:w="108" w:type="dxa"/>
              <w:bottom w:w="0" w:type="dxa"/>
              <w:right w:w="108" w:type="dxa"/>
            </w:tcMar>
            <w:vAlign w:val="center"/>
          </w:tcPr>
          <w:p w14:paraId="39B046D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武汉市人民政府国有资产监督管理委员会</w:t>
            </w:r>
          </w:p>
        </w:tc>
      </w:tr>
      <w:tr w:rsidR="006416B0" w:rsidRPr="00B4515A" w14:paraId="10C7D886" w14:textId="77777777" w:rsidTr="005860B4">
        <w:trPr>
          <w:trHeight w:val="340"/>
          <w:jc w:val="center"/>
        </w:trPr>
        <w:tc>
          <w:tcPr>
            <w:tcW w:w="389" w:type="pct"/>
            <w:tcMar>
              <w:top w:w="0" w:type="dxa"/>
              <w:left w:w="108" w:type="dxa"/>
              <w:bottom w:w="0" w:type="dxa"/>
              <w:right w:w="108" w:type="dxa"/>
            </w:tcMar>
            <w:vAlign w:val="center"/>
          </w:tcPr>
          <w:p w14:paraId="73AFED9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1-5</w:t>
            </w:r>
          </w:p>
        </w:tc>
        <w:tc>
          <w:tcPr>
            <w:tcW w:w="721" w:type="pct"/>
            <w:tcMar>
              <w:top w:w="0" w:type="dxa"/>
              <w:left w:w="108" w:type="dxa"/>
              <w:bottom w:w="0" w:type="dxa"/>
              <w:right w:w="108" w:type="dxa"/>
            </w:tcMar>
            <w:vAlign w:val="center"/>
          </w:tcPr>
          <w:p w14:paraId="3F39BEF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武汉国创创新投资有限公司</w:t>
            </w:r>
          </w:p>
        </w:tc>
        <w:tc>
          <w:tcPr>
            <w:tcW w:w="560" w:type="pct"/>
            <w:tcMar>
              <w:top w:w="0" w:type="dxa"/>
              <w:left w:w="108" w:type="dxa"/>
              <w:bottom w:w="0" w:type="dxa"/>
              <w:right w:w="108" w:type="dxa"/>
            </w:tcMar>
            <w:vAlign w:val="center"/>
          </w:tcPr>
          <w:p w14:paraId="2560347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国有全资公司</w:t>
            </w:r>
          </w:p>
        </w:tc>
        <w:tc>
          <w:tcPr>
            <w:tcW w:w="683" w:type="pct"/>
            <w:tcMar>
              <w:top w:w="0" w:type="dxa"/>
              <w:left w:w="108" w:type="dxa"/>
              <w:bottom w:w="0" w:type="dxa"/>
              <w:right w:w="108" w:type="dxa"/>
            </w:tcMar>
            <w:vAlign w:val="center"/>
          </w:tcPr>
          <w:p w14:paraId="76CA9E0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2019.11.15</w:t>
            </w:r>
          </w:p>
        </w:tc>
        <w:tc>
          <w:tcPr>
            <w:tcW w:w="472" w:type="pct"/>
            <w:tcMar>
              <w:top w:w="0" w:type="dxa"/>
              <w:left w:w="108" w:type="dxa"/>
              <w:bottom w:w="0" w:type="dxa"/>
              <w:right w:w="108" w:type="dxa"/>
            </w:tcMar>
            <w:vAlign w:val="center"/>
          </w:tcPr>
          <w:p w14:paraId="561DBE6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货币</w:t>
            </w:r>
          </w:p>
        </w:tc>
        <w:tc>
          <w:tcPr>
            <w:tcW w:w="606" w:type="pct"/>
            <w:tcMar>
              <w:top w:w="0" w:type="dxa"/>
              <w:left w:w="108" w:type="dxa"/>
              <w:bottom w:w="0" w:type="dxa"/>
              <w:right w:w="108" w:type="dxa"/>
            </w:tcMar>
            <w:vAlign w:val="center"/>
          </w:tcPr>
          <w:p w14:paraId="4E1F188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自有</w:t>
            </w:r>
          </w:p>
        </w:tc>
        <w:tc>
          <w:tcPr>
            <w:tcW w:w="795" w:type="pct"/>
            <w:tcMar>
              <w:top w:w="0" w:type="dxa"/>
              <w:left w:w="108" w:type="dxa"/>
              <w:bottom w:w="0" w:type="dxa"/>
              <w:right w:w="108" w:type="dxa"/>
            </w:tcMar>
            <w:vAlign w:val="center"/>
          </w:tcPr>
          <w:p w14:paraId="19FC4D4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无</w:t>
            </w:r>
          </w:p>
        </w:tc>
        <w:tc>
          <w:tcPr>
            <w:tcW w:w="774" w:type="pct"/>
            <w:tcMar>
              <w:top w:w="0" w:type="dxa"/>
              <w:left w:w="108" w:type="dxa"/>
              <w:bottom w:w="0" w:type="dxa"/>
              <w:right w:w="108" w:type="dxa"/>
            </w:tcMar>
            <w:vAlign w:val="center"/>
          </w:tcPr>
          <w:p w14:paraId="7F2D880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武汉市人民政府国有资产监督管理委员会</w:t>
            </w:r>
          </w:p>
        </w:tc>
      </w:tr>
    </w:tbl>
    <w:bookmarkEnd w:id="150"/>
    <w:p w14:paraId="5DCA42DA" w14:textId="77777777" w:rsidR="006416B0" w:rsidRPr="00B4515A" w:rsidRDefault="005E58C1" w:rsidP="005860B4">
      <w:pPr>
        <w:pStyle w:val="003"/>
        <w:spacing w:before="120"/>
        <w:ind w:firstLine="482"/>
      </w:pPr>
      <w:r w:rsidRPr="00B4515A">
        <w:rPr>
          <w:rFonts w:hint="eastAsia"/>
        </w:rPr>
        <w:t>（二）交易对方穿透后的合计人数，是否超过</w:t>
      </w:r>
      <w:r w:rsidRPr="00B4515A">
        <w:t>200</w:t>
      </w:r>
      <w:r w:rsidRPr="00B4515A">
        <w:rPr>
          <w:rFonts w:hint="eastAsia"/>
        </w:rPr>
        <w:t>人，是否符合《非上市公众公司监管指引第</w:t>
      </w:r>
      <w:r w:rsidRPr="00B4515A">
        <w:t>4</w:t>
      </w:r>
      <w:r w:rsidRPr="00B4515A">
        <w:rPr>
          <w:rFonts w:hint="eastAsia"/>
        </w:rPr>
        <w:t>号》的相关规定</w:t>
      </w:r>
    </w:p>
    <w:p w14:paraId="33738B8C" w14:textId="77777777" w:rsidR="006416B0" w:rsidRPr="00B4515A" w:rsidRDefault="005E58C1" w:rsidP="005860B4">
      <w:pPr>
        <w:pStyle w:val="005"/>
        <w:spacing w:before="120" w:after="120"/>
        <w:ind w:firstLine="480"/>
      </w:pPr>
      <w:r w:rsidRPr="00B4515A">
        <w:rPr>
          <w:rFonts w:hint="eastAsia"/>
        </w:rPr>
        <w:t>本次发行股份购买资产的全部交易对方按照穿透至最终出资人（含自然人、上市公司、新三板挂牌公司、国有控股或管理主体（含事业单位、国有主体控制的产业基金等）、集体所有制企业、境外政府投资基金、大学捐赠基金、养老基金、公益基金以及公募资产管理产品）的原则，对本次发行股份购买资产的交易对方穿透后的人数进行统计，具体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72"/>
        <w:gridCol w:w="2047"/>
        <w:gridCol w:w="1908"/>
        <w:gridCol w:w="2201"/>
        <w:gridCol w:w="1500"/>
      </w:tblGrid>
      <w:tr w:rsidR="006416B0" w:rsidRPr="00B4515A" w14:paraId="7F8819EA" w14:textId="77777777" w:rsidTr="00031627">
        <w:trPr>
          <w:trHeight w:val="340"/>
          <w:jc w:val="center"/>
        </w:trPr>
        <w:tc>
          <w:tcPr>
            <w:tcW w:w="843" w:type="dxa"/>
            <w:tcMar>
              <w:top w:w="0" w:type="dxa"/>
              <w:left w:w="108" w:type="dxa"/>
              <w:bottom w:w="0" w:type="dxa"/>
              <w:right w:w="108" w:type="dxa"/>
            </w:tcMar>
            <w:vAlign w:val="center"/>
          </w:tcPr>
          <w:p w14:paraId="72BD5857"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1977" w:type="dxa"/>
            <w:tcMar>
              <w:top w:w="0" w:type="dxa"/>
              <w:left w:w="108" w:type="dxa"/>
              <w:bottom w:w="0" w:type="dxa"/>
              <w:right w:w="108" w:type="dxa"/>
            </w:tcMar>
            <w:vAlign w:val="center"/>
          </w:tcPr>
          <w:p w14:paraId="64F303AE"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交易对方</w:t>
            </w:r>
          </w:p>
        </w:tc>
        <w:tc>
          <w:tcPr>
            <w:tcW w:w="1843" w:type="dxa"/>
            <w:tcMar>
              <w:top w:w="0" w:type="dxa"/>
              <w:left w:w="108" w:type="dxa"/>
              <w:bottom w:w="0" w:type="dxa"/>
              <w:right w:w="108" w:type="dxa"/>
            </w:tcMar>
            <w:vAlign w:val="center"/>
          </w:tcPr>
          <w:p w14:paraId="59E110A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最终出资人名称</w:t>
            </w:r>
          </w:p>
        </w:tc>
        <w:tc>
          <w:tcPr>
            <w:tcW w:w="2126" w:type="dxa"/>
            <w:tcMar>
              <w:top w:w="0" w:type="dxa"/>
              <w:left w:w="108" w:type="dxa"/>
              <w:bottom w:w="0" w:type="dxa"/>
              <w:right w:w="108" w:type="dxa"/>
            </w:tcMar>
            <w:vAlign w:val="center"/>
          </w:tcPr>
          <w:p w14:paraId="2A4822A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最终出资人性质</w:t>
            </w:r>
          </w:p>
        </w:tc>
        <w:tc>
          <w:tcPr>
            <w:tcW w:w="1449" w:type="dxa"/>
            <w:tcMar>
              <w:top w:w="0" w:type="dxa"/>
              <w:left w:w="108" w:type="dxa"/>
              <w:bottom w:w="0" w:type="dxa"/>
              <w:right w:w="108" w:type="dxa"/>
            </w:tcMar>
            <w:vAlign w:val="center"/>
          </w:tcPr>
          <w:p w14:paraId="2C66D1B7"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穿透后认定股东人数</w:t>
            </w:r>
          </w:p>
        </w:tc>
      </w:tr>
      <w:tr w:rsidR="006416B0" w:rsidRPr="00B4515A" w14:paraId="55932557" w14:textId="77777777" w:rsidTr="00031627">
        <w:trPr>
          <w:trHeight w:val="340"/>
          <w:jc w:val="center"/>
        </w:trPr>
        <w:tc>
          <w:tcPr>
            <w:tcW w:w="843" w:type="dxa"/>
            <w:tcMar>
              <w:top w:w="0" w:type="dxa"/>
              <w:left w:w="108" w:type="dxa"/>
              <w:bottom w:w="0" w:type="dxa"/>
              <w:right w:w="108" w:type="dxa"/>
            </w:tcMar>
            <w:vAlign w:val="center"/>
          </w:tcPr>
          <w:p w14:paraId="23572E4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977" w:type="dxa"/>
            <w:tcMar>
              <w:top w:w="0" w:type="dxa"/>
              <w:left w:w="108" w:type="dxa"/>
              <w:bottom w:w="0" w:type="dxa"/>
              <w:right w:w="108" w:type="dxa"/>
            </w:tcMar>
            <w:vAlign w:val="center"/>
          </w:tcPr>
          <w:p w14:paraId="6298296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电信科研院</w:t>
            </w:r>
          </w:p>
        </w:tc>
        <w:tc>
          <w:tcPr>
            <w:tcW w:w="1843" w:type="dxa"/>
            <w:tcMar>
              <w:top w:w="0" w:type="dxa"/>
              <w:left w:w="108" w:type="dxa"/>
              <w:bottom w:w="0" w:type="dxa"/>
              <w:right w:w="108" w:type="dxa"/>
            </w:tcMar>
            <w:vAlign w:val="center"/>
          </w:tcPr>
          <w:p w14:paraId="0278F75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电信科研院</w:t>
            </w:r>
          </w:p>
        </w:tc>
        <w:tc>
          <w:tcPr>
            <w:tcW w:w="2126" w:type="dxa"/>
            <w:tcMar>
              <w:top w:w="0" w:type="dxa"/>
              <w:left w:w="108" w:type="dxa"/>
              <w:bottom w:w="0" w:type="dxa"/>
              <w:right w:w="108" w:type="dxa"/>
            </w:tcMar>
            <w:vAlign w:val="center"/>
          </w:tcPr>
          <w:p w14:paraId="75B56A7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国有全资公司</w:t>
            </w:r>
          </w:p>
        </w:tc>
        <w:tc>
          <w:tcPr>
            <w:tcW w:w="1449" w:type="dxa"/>
            <w:tcMar>
              <w:top w:w="0" w:type="dxa"/>
              <w:left w:w="108" w:type="dxa"/>
              <w:bottom w:w="0" w:type="dxa"/>
              <w:right w:w="108" w:type="dxa"/>
            </w:tcMar>
            <w:vAlign w:val="center"/>
          </w:tcPr>
          <w:p w14:paraId="4BC166D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r>
      <w:tr w:rsidR="006416B0" w:rsidRPr="00B4515A" w14:paraId="1FB5D200" w14:textId="77777777" w:rsidTr="00031627">
        <w:trPr>
          <w:trHeight w:val="340"/>
          <w:jc w:val="center"/>
        </w:trPr>
        <w:tc>
          <w:tcPr>
            <w:tcW w:w="843" w:type="dxa"/>
            <w:tcMar>
              <w:top w:w="0" w:type="dxa"/>
              <w:left w:w="108" w:type="dxa"/>
              <w:bottom w:w="0" w:type="dxa"/>
              <w:right w:w="108" w:type="dxa"/>
            </w:tcMar>
            <w:vAlign w:val="center"/>
          </w:tcPr>
          <w:p w14:paraId="090C4F4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1977" w:type="dxa"/>
            <w:tcMar>
              <w:top w:w="0" w:type="dxa"/>
              <w:left w:w="108" w:type="dxa"/>
              <w:bottom w:w="0" w:type="dxa"/>
              <w:right w:w="108" w:type="dxa"/>
            </w:tcMar>
            <w:vAlign w:val="center"/>
          </w:tcPr>
          <w:p w14:paraId="384A140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大唐控股</w:t>
            </w:r>
          </w:p>
        </w:tc>
        <w:tc>
          <w:tcPr>
            <w:tcW w:w="1843" w:type="dxa"/>
            <w:tcMar>
              <w:top w:w="0" w:type="dxa"/>
              <w:left w:w="108" w:type="dxa"/>
              <w:bottom w:w="0" w:type="dxa"/>
              <w:right w:w="108" w:type="dxa"/>
            </w:tcMar>
            <w:vAlign w:val="center"/>
          </w:tcPr>
          <w:p w14:paraId="0CEE79E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大唐控股</w:t>
            </w:r>
          </w:p>
        </w:tc>
        <w:tc>
          <w:tcPr>
            <w:tcW w:w="2126" w:type="dxa"/>
            <w:tcMar>
              <w:top w:w="0" w:type="dxa"/>
              <w:left w:w="108" w:type="dxa"/>
              <w:bottom w:w="0" w:type="dxa"/>
              <w:right w:w="108" w:type="dxa"/>
            </w:tcMar>
            <w:vAlign w:val="center"/>
          </w:tcPr>
          <w:p w14:paraId="33C853D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国有全资公司</w:t>
            </w:r>
          </w:p>
        </w:tc>
        <w:tc>
          <w:tcPr>
            <w:tcW w:w="1449" w:type="dxa"/>
            <w:tcMar>
              <w:top w:w="0" w:type="dxa"/>
              <w:left w:w="108" w:type="dxa"/>
              <w:bottom w:w="0" w:type="dxa"/>
              <w:right w:w="108" w:type="dxa"/>
            </w:tcMar>
            <w:vAlign w:val="center"/>
          </w:tcPr>
          <w:p w14:paraId="2745114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r>
      <w:tr w:rsidR="006416B0" w:rsidRPr="00B4515A" w14:paraId="0ECC32F0" w14:textId="77777777" w:rsidTr="00031627">
        <w:trPr>
          <w:trHeight w:val="340"/>
          <w:jc w:val="center"/>
        </w:trPr>
        <w:tc>
          <w:tcPr>
            <w:tcW w:w="843" w:type="dxa"/>
            <w:tcMar>
              <w:top w:w="0" w:type="dxa"/>
              <w:left w:w="108" w:type="dxa"/>
              <w:bottom w:w="0" w:type="dxa"/>
              <w:right w:w="108" w:type="dxa"/>
            </w:tcMar>
            <w:vAlign w:val="center"/>
          </w:tcPr>
          <w:p w14:paraId="1D461CB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1977" w:type="dxa"/>
            <w:tcMar>
              <w:top w:w="0" w:type="dxa"/>
              <w:left w:w="108" w:type="dxa"/>
              <w:bottom w:w="0" w:type="dxa"/>
              <w:right w:w="108" w:type="dxa"/>
            </w:tcMar>
            <w:vAlign w:val="center"/>
          </w:tcPr>
          <w:p w14:paraId="25C8AD11" w14:textId="427706F1" w:rsidR="006416B0" w:rsidRPr="00B4515A" w:rsidRDefault="00252376"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长江移动基金</w:t>
            </w:r>
          </w:p>
        </w:tc>
        <w:tc>
          <w:tcPr>
            <w:tcW w:w="1843" w:type="dxa"/>
            <w:tcMar>
              <w:top w:w="0" w:type="dxa"/>
              <w:left w:w="108" w:type="dxa"/>
              <w:bottom w:w="0" w:type="dxa"/>
              <w:right w:w="108" w:type="dxa"/>
            </w:tcMar>
            <w:vAlign w:val="center"/>
          </w:tcPr>
          <w:p w14:paraId="1EA42012" w14:textId="6B523439" w:rsidR="006416B0" w:rsidRPr="00B4515A" w:rsidRDefault="00252376"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长江移动基金</w:t>
            </w:r>
          </w:p>
        </w:tc>
        <w:tc>
          <w:tcPr>
            <w:tcW w:w="2126" w:type="dxa"/>
            <w:tcMar>
              <w:top w:w="0" w:type="dxa"/>
              <w:left w:w="108" w:type="dxa"/>
              <w:bottom w:w="0" w:type="dxa"/>
              <w:right w:w="108" w:type="dxa"/>
            </w:tcMar>
            <w:vAlign w:val="center"/>
          </w:tcPr>
          <w:p w14:paraId="196F238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国有控股私募基金</w:t>
            </w:r>
          </w:p>
        </w:tc>
        <w:tc>
          <w:tcPr>
            <w:tcW w:w="1449" w:type="dxa"/>
            <w:tcMar>
              <w:top w:w="0" w:type="dxa"/>
              <w:left w:w="108" w:type="dxa"/>
              <w:bottom w:w="0" w:type="dxa"/>
              <w:right w:w="108" w:type="dxa"/>
            </w:tcMar>
            <w:vAlign w:val="center"/>
          </w:tcPr>
          <w:p w14:paraId="57B3262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r w:rsidRPr="00B4515A">
              <w:rPr>
                <w:rFonts w:ascii="Times New Roman" w:hAnsi="Times New Roman" w:cs="Times New Roman"/>
                <w:sz w:val="21"/>
                <w:szCs w:val="21"/>
              </w:rPr>
              <w:t>注</w:t>
            </w:r>
            <w:r w:rsidRPr="00B4515A">
              <w:rPr>
                <w:rFonts w:ascii="Times New Roman" w:hAnsi="Times New Roman" w:cs="Times New Roman"/>
                <w:sz w:val="21"/>
                <w:szCs w:val="21"/>
              </w:rPr>
              <w:t>1</w:t>
            </w:r>
          </w:p>
        </w:tc>
      </w:tr>
      <w:tr w:rsidR="006416B0" w:rsidRPr="00B4515A" w14:paraId="2C517928" w14:textId="77777777" w:rsidTr="00031627">
        <w:trPr>
          <w:trHeight w:val="340"/>
          <w:jc w:val="center"/>
        </w:trPr>
        <w:tc>
          <w:tcPr>
            <w:tcW w:w="843" w:type="dxa"/>
            <w:tcMar>
              <w:top w:w="0" w:type="dxa"/>
              <w:left w:w="108" w:type="dxa"/>
              <w:bottom w:w="0" w:type="dxa"/>
              <w:right w:w="108" w:type="dxa"/>
            </w:tcMar>
            <w:vAlign w:val="center"/>
          </w:tcPr>
          <w:p w14:paraId="4ACAE99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4</w:t>
            </w:r>
          </w:p>
        </w:tc>
        <w:tc>
          <w:tcPr>
            <w:tcW w:w="1977" w:type="dxa"/>
            <w:tcMar>
              <w:top w:w="0" w:type="dxa"/>
              <w:left w:w="108" w:type="dxa"/>
              <w:bottom w:w="0" w:type="dxa"/>
              <w:right w:w="108" w:type="dxa"/>
            </w:tcMar>
            <w:vAlign w:val="center"/>
          </w:tcPr>
          <w:p w14:paraId="656F4B5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结构调整基金</w:t>
            </w:r>
          </w:p>
        </w:tc>
        <w:tc>
          <w:tcPr>
            <w:tcW w:w="1843" w:type="dxa"/>
            <w:tcMar>
              <w:top w:w="0" w:type="dxa"/>
              <w:left w:w="108" w:type="dxa"/>
              <w:bottom w:w="0" w:type="dxa"/>
              <w:right w:w="108" w:type="dxa"/>
            </w:tcMar>
            <w:vAlign w:val="center"/>
          </w:tcPr>
          <w:p w14:paraId="79AA6FD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结构调整基金</w:t>
            </w:r>
          </w:p>
        </w:tc>
        <w:tc>
          <w:tcPr>
            <w:tcW w:w="2126" w:type="dxa"/>
            <w:tcMar>
              <w:top w:w="0" w:type="dxa"/>
              <w:left w:w="108" w:type="dxa"/>
              <w:bottom w:w="0" w:type="dxa"/>
              <w:right w:w="108" w:type="dxa"/>
            </w:tcMar>
            <w:vAlign w:val="center"/>
          </w:tcPr>
          <w:p w14:paraId="1A919B7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国有控股股份公司</w:t>
            </w:r>
          </w:p>
        </w:tc>
        <w:tc>
          <w:tcPr>
            <w:tcW w:w="1449" w:type="dxa"/>
            <w:tcMar>
              <w:top w:w="0" w:type="dxa"/>
              <w:left w:w="108" w:type="dxa"/>
              <w:bottom w:w="0" w:type="dxa"/>
              <w:right w:w="108" w:type="dxa"/>
            </w:tcMar>
            <w:vAlign w:val="center"/>
          </w:tcPr>
          <w:p w14:paraId="5F070B8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r>
      <w:tr w:rsidR="006416B0" w:rsidRPr="00B4515A" w14:paraId="384D0467" w14:textId="77777777" w:rsidTr="00031627">
        <w:trPr>
          <w:trHeight w:val="340"/>
          <w:jc w:val="center"/>
        </w:trPr>
        <w:tc>
          <w:tcPr>
            <w:tcW w:w="843" w:type="dxa"/>
            <w:tcMar>
              <w:top w:w="0" w:type="dxa"/>
              <w:left w:w="108" w:type="dxa"/>
              <w:bottom w:w="0" w:type="dxa"/>
              <w:right w:w="108" w:type="dxa"/>
            </w:tcMar>
            <w:vAlign w:val="center"/>
          </w:tcPr>
          <w:p w14:paraId="4CA1C1D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w:t>
            </w:r>
          </w:p>
        </w:tc>
        <w:tc>
          <w:tcPr>
            <w:tcW w:w="1977" w:type="dxa"/>
            <w:tcMar>
              <w:top w:w="0" w:type="dxa"/>
              <w:left w:w="108" w:type="dxa"/>
              <w:bottom w:w="0" w:type="dxa"/>
              <w:right w:w="108" w:type="dxa"/>
            </w:tcMar>
            <w:vAlign w:val="center"/>
          </w:tcPr>
          <w:p w14:paraId="7495DB1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金融街资本</w:t>
            </w:r>
          </w:p>
        </w:tc>
        <w:tc>
          <w:tcPr>
            <w:tcW w:w="1843" w:type="dxa"/>
            <w:tcMar>
              <w:top w:w="0" w:type="dxa"/>
              <w:left w:w="108" w:type="dxa"/>
              <w:bottom w:w="0" w:type="dxa"/>
              <w:right w:w="108" w:type="dxa"/>
            </w:tcMar>
            <w:vAlign w:val="center"/>
          </w:tcPr>
          <w:p w14:paraId="34033C4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金融街资本</w:t>
            </w:r>
          </w:p>
        </w:tc>
        <w:tc>
          <w:tcPr>
            <w:tcW w:w="2126" w:type="dxa"/>
            <w:tcMar>
              <w:top w:w="0" w:type="dxa"/>
              <w:left w:w="108" w:type="dxa"/>
              <w:bottom w:w="0" w:type="dxa"/>
              <w:right w:w="108" w:type="dxa"/>
            </w:tcMar>
            <w:vAlign w:val="center"/>
          </w:tcPr>
          <w:p w14:paraId="7B2D374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国有管理主体</w:t>
            </w:r>
          </w:p>
        </w:tc>
        <w:tc>
          <w:tcPr>
            <w:tcW w:w="1449" w:type="dxa"/>
            <w:tcMar>
              <w:top w:w="0" w:type="dxa"/>
              <w:left w:w="108" w:type="dxa"/>
              <w:bottom w:w="0" w:type="dxa"/>
              <w:right w:w="108" w:type="dxa"/>
            </w:tcMar>
            <w:vAlign w:val="center"/>
          </w:tcPr>
          <w:p w14:paraId="10AF834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r>
      <w:tr w:rsidR="006416B0" w:rsidRPr="00B4515A" w14:paraId="3338BBB1" w14:textId="77777777" w:rsidTr="00031627">
        <w:trPr>
          <w:trHeight w:val="340"/>
          <w:jc w:val="center"/>
        </w:trPr>
        <w:tc>
          <w:tcPr>
            <w:tcW w:w="6789" w:type="dxa"/>
            <w:gridSpan w:val="4"/>
            <w:tcMar>
              <w:top w:w="0" w:type="dxa"/>
              <w:left w:w="108" w:type="dxa"/>
              <w:bottom w:w="0" w:type="dxa"/>
              <w:right w:w="108" w:type="dxa"/>
            </w:tcMar>
            <w:vAlign w:val="center"/>
          </w:tcPr>
          <w:p w14:paraId="7DAEBEAD"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合计</w:t>
            </w:r>
          </w:p>
        </w:tc>
        <w:tc>
          <w:tcPr>
            <w:tcW w:w="1449" w:type="dxa"/>
            <w:tcMar>
              <w:top w:w="0" w:type="dxa"/>
              <w:left w:w="108" w:type="dxa"/>
              <w:bottom w:w="0" w:type="dxa"/>
              <w:right w:w="108" w:type="dxa"/>
            </w:tcMar>
            <w:vAlign w:val="center"/>
          </w:tcPr>
          <w:p w14:paraId="33D5FC31"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5</w:t>
            </w:r>
          </w:p>
        </w:tc>
      </w:tr>
    </w:tbl>
    <w:p w14:paraId="2285519D" w14:textId="6300A2BD" w:rsidR="006416B0" w:rsidRPr="00B4515A" w:rsidRDefault="005E58C1" w:rsidP="005860B4">
      <w:pPr>
        <w:pStyle w:val="006"/>
        <w:ind w:firstLine="420"/>
      </w:pPr>
      <w:r w:rsidRPr="00B4515A">
        <w:rPr>
          <w:rFonts w:hint="eastAsia"/>
        </w:rPr>
        <w:t>注</w:t>
      </w:r>
      <w:r w:rsidRPr="00B4515A">
        <w:t>1</w:t>
      </w:r>
      <w:r w:rsidRPr="00B4515A">
        <w:rPr>
          <w:rFonts w:hint="eastAsia"/>
        </w:rPr>
        <w:t>：经查询中国证券投资基金业协会网站（</w:t>
      </w:r>
      <w:r w:rsidRPr="00B4515A">
        <w:t>http://www.amac.org.cn/</w:t>
      </w:r>
      <w:r w:rsidRPr="00B4515A">
        <w:rPr>
          <w:rFonts w:hint="eastAsia"/>
        </w:rPr>
        <w:t>），</w:t>
      </w:r>
      <w:r w:rsidR="00252376" w:rsidRPr="00B4515A">
        <w:rPr>
          <w:rFonts w:hint="eastAsia"/>
        </w:rPr>
        <w:t>长江移动基金</w:t>
      </w:r>
      <w:r w:rsidRPr="00B4515A">
        <w:rPr>
          <w:rFonts w:hint="eastAsia"/>
        </w:rPr>
        <w:t>为经备案的私募基金（备案编号：</w:t>
      </w:r>
      <w:r w:rsidRPr="00B4515A">
        <w:t>SJM005</w:t>
      </w:r>
      <w:r w:rsidRPr="00B4515A">
        <w:rPr>
          <w:rFonts w:hint="eastAsia"/>
        </w:rPr>
        <w:t>）。</w:t>
      </w:r>
      <w:r w:rsidR="00252376" w:rsidRPr="00B4515A">
        <w:rPr>
          <w:rFonts w:hint="eastAsia"/>
        </w:rPr>
        <w:t>长江移动基金</w:t>
      </w:r>
      <w:r w:rsidRPr="00B4515A">
        <w:rPr>
          <w:rFonts w:hint="eastAsia"/>
        </w:rPr>
        <w:t>共</w:t>
      </w:r>
      <w:r w:rsidRPr="00B4515A">
        <w:t>5</w:t>
      </w:r>
      <w:r w:rsidRPr="00B4515A">
        <w:rPr>
          <w:rFonts w:hint="eastAsia"/>
        </w:rPr>
        <w:t>名合伙人，其中普通合伙人武汉光谷烽火投资基金管理有限公司为经登记（登记编号：</w:t>
      </w:r>
      <w:r w:rsidRPr="00B4515A">
        <w:t>P1065947</w:t>
      </w:r>
      <w:r w:rsidRPr="00B4515A">
        <w:rPr>
          <w:rFonts w:hint="eastAsia"/>
        </w:rPr>
        <w:t>）的基金管理人、</w:t>
      </w:r>
      <w:r w:rsidRPr="00B4515A">
        <w:t>3</w:t>
      </w:r>
      <w:r w:rsidRPr="00B4515A">
        <w:rPr>
          <w:rFonts w:hint="eastAsia"/>
        </w:rPr>
        <w:t>名有限合伙人为经备案的私募基金（其中：武汉光谷烽火光电子信息产业投资基金合伙企业（有限合伙）备案编号为</w:t>
      </w:r>
      <w:r w:rsidRPr="00B4515A">
        <w:t>SCN583</w:t>
      </w:r>
      <w:r w:rsidRPr="00B4515A">
        <w:rPr>
          <w:rFonts w:hint="eastAsia"/>
        </w:rPr>
        <w:t>、湖北省长江经济带产业引导基金合伙企业（有限合伙）备案编号为</w:t>
      </w:r>
      <w:r w:rsidRPr="00B4515A">
        <w:t>SR2459</w:t>
      </w:r>
      <w:r w:rsidRPr="00B4515A">
        <w:rPr>
          <w:rFonts w:hint="eastAsia"/>
        </w:rPr>
        <w:t>、武汉市工业发展投资基金（有限合伙）备案编号为</w:t>
      </w:r>
      <w:r w:rsidRPr="00B4515A">
        <w:t>SGC727</w:t>
      </w:r>
      <w:r w:rsidRPr="00B4515A">
        <w:rPr>
          <w:rFonts w:hint="eastAsia"/>
        </w:rPr>
        <w:t>），另</w:t>
      </w:r>
      <w:r w:rsidRPr="00B4515A">
        <w:t>1</w:t>
      </w:r>
      <w:r w:rsidRPr="00B4515A">
        <w:rPr>
          <w:rFonts w:hint="eastAsia"/>
        </w:rPr>
        <w:t>名有限合伙人武汉国创创新投资有限公司为国有全资公司。</w:t>
      </w:r>
    </w:p>
    <w:p w14:paraId="6F98C57B" w14:textId="77777777" w:rsidR="006416B0" w:rsidRPr="00B4515A" w:rsidRDefault="005E58C1" w:rsidP="005860B4">
      <w:pPr>
        <w:pStyle w:val="005"/>
        <w:spacing w:before="120" w:after="120"/>
        <w:ind w:firstLine="480"/>
      </w:pPr>
      <w:r w:rsidRPr="00B4515A">
        <w:rPr>
          <w:rFonts w:hint="eastAsia"/>
        </w:rPr>
        <w:t>综上，截至本报告书签署日，交易对方穿透披露后最终出资人合计</w:t>
      </w:r>
      <w:r w:rsidRPr="00B4515A">
        <w:t>5</w:t>
      </w:r>
      <w:r w:rsidRPr="00B4515A">
        <w:rPr>
          <w:rFonts w:hint="eastAsia"/>
        </w:rPr>
        <w:t>人（剔除重复值），未超过</w:t>
      </w:r>
      <w:r w:rsidRPr="00B4515A">
        <w:t>200</w:t>
      </w:r>
      <w:r w:rsidRPr="00B4515A">
        <w:rPr>
          <w:rFonts w:hint="eastAsia"/>
        </w:rPr>
        <w:t>人，不适用《非上市公众公司监管指引第</w:t>
      </w:r>
      <w:r w:rsidRPr="00B4515A">
        <w:t>4</w:t>
      </w:r>
      <w:r w:rsidRPr="00B4515A">
        <w:rPr>
          <w:rFonts w:hint="eastAsia"/>
        </w:rPr>
        <w:t>号》有关超过</w:t>
      </w:r>
      <w:r w:rsidRPr="00B4515A">
        <w:t>200</w:t>
      </w:r>
      <w:r w:rsidRPr="00B4515A">
        <w:rPr>
          <w:rFonts w:hint="eastAsia"/>
        </w:rPr>
        <w:t>人公司申报合规性审核的相关规定。</w:t>
      </w:r>
      <w:bookmarkEnd w:id="148"/>
    </w:p>
    <w:p w14:paraId="52DCEA88" w14:textId="77777777" w:rsidR="006416B0" w:rsidRPr="00B4515A" w:rsidRDefault="005E58C1" w:rsidP="005860B4">
      <w:pPr>
        <w:pStyle w:val="002"/>
        <w:spacing w:before="120" w:after="120"/>
        <w:ind w:firstLine="562"/>
      </w:pPr>
      <w:bookmarkStart w:id="151" w:name="_Toc80960533"/>
      <w:r w:rsidRPr="00B4515A">
        <w:rPr>
          <w:rFonts w:hint="eastAsia"/>
        </w:rPr>
        <w:lastRenderedPageBreak/>
        <w:t>十一、本次重组交易对方是否存在专为本次交易设立情况</w:t>
      </w:r>
      <w:bookmarkEnd w:id="151"/>
    </w:p>
    <w:p w14:paraId="001E3E26" w14:textId="77777777" w:rsidR="006416B0" w:rsidRPr="00B4515A" w:rsidRDefault="005E58C1" w:rsidP="005860B4">
      <w:pPr>
        <w:pStyle w:val="005"/>
        <w:spacing w:before="120" w:after="120"/>
        <w:ind w:firstLine="480"/>
      </w:pPr>
      <w:bookmarkStart w:id="152" w:name="_Hlk76925499"/>
      <w:r w:rsidRPr="00B4515A">
        <w:rPr>
          <w:rFonts w:hint="eastAsia"/>
        </w:rPr>
        <w:t>本次发行股份购买资产的交易对方的设立时间及在本次交易前除大唐联诚以外的其他对外投资情况如下表所示：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25"/>
        <w:gridCol w:w="2048"/>
        <w:gridCol w:w="1310"/>
        <w:gridCol w:w="2327"/>
        <w:gridCol w:w="2118"/>
      </w:tblGrid>
      <w:tr w:rsidR="006416B0" w:rsidRPr="00B4515A" w14:paraId="047A5C30" w14:textId="77777777" w:rsidTr="00031627">
        <w:trPr>
          <w:trHeight w:val="340"/>
          <w:jc w:val="center"/>
        </w:trPr>
        <w:tc>
          <w:tcPr>
            <w:tcW w:w="701" w:type="dxa"/>
            <w:tcMar>
              <w:top w:w="0" w:type="dxa"/>
              <w:left w:w="108" w:type="dxa"/>
              <w:bottom w:w="0" w:type="dxa"/>
              <w:right w:w="108" w:type="dxa"/>
            </w:tcMar>
            <w:vAlign w:val="center"/>
          </w:tcPr>
          <w:p w14:paraId="2342EA0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1978" w:type="dxa"/>
            <w:tcMar>
              <w:top w:w="0" w:type="dxa"/>
              <w:left w:w="108" w:type="dxa"/>
              <w:bottom w:w="0" w:type="dxa"/>
              <w:right w:w="108" w:type="dxa"/>
            </w:tcMar>
            <w:vAlign w:val="center"/>
          </w:tcPr>
          <w:p w14:paraId="59181D07"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交易对方</w:t>
            </w:r>
          </w:p>
        </w:tc>
        <w:tc>
          <w:tcPr>
            <w:tcW w:w="1265" w:type="dxa"/>
            <w:tcMar>
              <w:top w:w="0" w:type="dxa"/>
              <w:left w:w="108" w:type="dxa"/>
              <w:bottom w:w="0" w:type="dxa"/>
              <w:right w:w="108" w:type="dxa"/>
            </w:tcMar>
            <w:vAlign w:val="center"/>
          </w:tcPr>
          <w:p w14:paraId="0D1E76A7"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设立日期</w:t>
            </w:r>
          </w:p>
        </w:tc>
        <w:tc>
          <w:tcPr>
            <w:tcW w:w="2248" w:type="dxa"/>
            <w:tcMar>
              <w:top w:w="0" w:type="dxa"/>
              <w:left w:w="108" w:type="dxa"/>
              <w:bottom w:w="0" w:type="dxa"/>
              <w:right w:w="108" w:type="dxa"/>
            </w:tcMar>
            <w:vAlign w:val="center"/>
          </w:tcPr>
          <w:p w14:paraId="64BAA7BA"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企业性质</w:t>
            </w:r>
          </w:p>
        </w:tc>
        <w:tc>
          <w:tcPr>
            <w:tcW w:w="2046" w:type="dxa"/>
            <w:tcMar>
              <w:top w:w="0" w:type="dxa"/>
              <w:left w:w="108" w:type="dxa"/>
              <w:bottom w:w="0" w:type="dxa"/>
              <w:right w:w="108" w:type="dxa"/>
            </w:tcMar>
            <w:vAlign w:val="center"/>
          </w:tcPr>
          <w:p w14:paraId="67C17A3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在本次交易前是否存在其他对外投资</w:t>
            </w:r>
          </w:p>
        </w:tc>
      </w:tr>
      <w:tr w:rsidR="006416B0" w:rsidRPr="00B4515A" w14:paraId="631B61A4" w14:textId="77777777" w:rsidTr="00031627">
        <w:trPr>
          <w:trHeight w:val="340"/>
          <w:jc w:val="center"/>
        </w:trPr>
        <w:tc>
          <w:tcPr>
            <w:tcW w:w="701" w:type="dxa"/>
            <w:tcMar>
              <w:top w:w="0" w:type="dxa"/>
              <w:left w:w="108" w:type="dxa"/>
              <w:bottom w:w="0" w:type="dxa"/>
              <w:right w:w="108" w:type="dxa"/>
            </w:tcMar>
            <w:vAlign w:val="center"/>
          </w:tcPr>
          <w:p w14:paraId="652F467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978" w:type="dxa"/>
            <w:tcMar>
              <w:top w:w="0" w:type="dxa"/>
              <w:left w:w="108" w:type="dxa"/>
              <w:bottom w:w="0" w:type="dxa"/>
              <w:right w:w="108" w:type="dxa"/>
            </w:tcMar>
            <w:vAlign w:val="center"/>
          </w:tcPr>
          <w:p w14:paraId="61B064A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电信科研院</w:t>
            </w:r>
          </w:p>
        </w:tc>
        <w:tc>
          <w:tcPr>
            <w:tcW w:w="1265" w:type="dxa"/>
            <w:tcMar>
              <w:top w:w="0" w:type="dxa"/>
              <w:left w:w="108" w:type="dxa"/>
              <w:bottom w:w="0" w:type="dxa"/>
              <w:right w:w="108" w:type="dxa"/>
            </w:tcMar>
            <w:vAlign w:val="center"/>
          </w:tcPr>
          <w:p w14:paraId="471257C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2001.01.20</w:t>
            </w:r>
          </w:p>
        </w:tc>
        <w:tc>
          <w:tcPr>
            <w:tcW w:w="2248" w:type="dxa"/>
            <w:tcMar>
              <w:top w:w="0" w:type="dxa"/>
              <w:left w:w="108" w:type="dxa"/>
              <w:bottom w:w="0" w:type="dxa"/>
              <w:right w:w="108" w:type="dxa"/>
            </w:tcMar>
            <w:vAlign w:val="center"/>
          </w:tcPr>
          <w:p w14:paraId="25BF13F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有限公司</w:t>
            </w:r>
          </w:p>
        </w:tc>
        <w:tc>
          <w:tcPr>
            <w:tcW w:w="2046" w:type="dxa"/>
            <w:tcMar>
              <w:top w:w="0" w:type="dxa"/>
              <w:left w:w="108" w:type="dxa"/>
              <w:bottom w:w="0" w:type="dxa"/>
              <w:right w:w="108" w:type="dxa"/>
            </w:tcMar>
            <w:vAlign w:val="center"/>
          </w:tcPr>
          <w:p w14:paraId="2E6E937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是</w:t>
            </w:r>
          </w:p>
        </w:tc>
      </w:tr>
      <w:tr w:rsidR="006416B0" w:rsidRPr="00B4515A" w14:paraId="3FAA5C39" w14:textId="77777777" w:rsidTr="00031627">
        <w:trPr>
          <w:trHeight w:val="340"/>
          <w:jc w:val="center"/>
        </w:trPr>
        <w:tc>
          <w:tcPr>
            <w:tcW w:w="701" w:type="dxa"/>
            <w:tcMar>
              <w:top w:w="0" w:type="dxa"/>
              <w:left w:w="108" w:type="dxa"/>
              <w:bottom w:w="0" w:type="dxa"/>
              <w:right w:w="108" w:type="dxa"/>
            </w:tcMar>
            <w:vAlign w:val="center"/>
          </w:tcPr>
          <w:p w14:paraId="2C7DB9A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1978" w:type="dxa"/>
            <w:tcMar>
              <w:top w:w="0" w:type="dxa"/>
              <w:left w:w="108" w:type="dxa"/>
              <w:bottom w:w="0" w:type="dxa"/>
              <w:right w:w="108" w:type="dxa"/>
            </w:tcMar>
            <w:vAlign w:val="center"/>
          </w:tcPr>
          <w:p w14:paraId="6E47224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大唐控股</w:t>
            </w:r>
          </w:p>
        </w:tc>
        <w:tc>
          <w:tcPr>
            <w:tcW w:w="1265" w:type="dxa"/>
            <w:tcMar>
              <w:top w:w="0" w:type="dxa"/>
              <w:left w:w="108" w:type="dxa"/>
              <w:bottom w:w="0" w:type="dxa"/>
              <w:right w:w="108" w:type="dxa"/>
            </w:tcMar>
            <w:vAlign w:val="center"/>
          </w:tcPr>
          <w:p w14:paraId="39FB51B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2007.03.12</w:t>
            </w:r>
          </w:p>
        </w:tc>
        <w:tc>
          <w:tcPr>
            <w:tcW w:w="2248" w:type="dxa"/>
            <w:tcMar>
              <w:top w:w="0" w:type="dxa"/>
              <w:left w:w="108" w:type="dxa"/>
              <w:bottom w:w="0" w:type="dxa"/>
              <w:right w:w="108" w:type="dxa"/>
            </w:tcMar>
            <w:vAlign w:val="center"/>
          </w:tcPr>
          <w:p w14:paraId="7979C0D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有限公司</w:t>
            </w:r>
          </w:p>
        </w:tc>
        <w:tc>
          <w:tcPr>
            <w:tcW w:w="2046" w:type="dxa"/>
            <w:tcMar>
              <w:top w:w="0" w:type="dxa"/>
              <w:left w:w="108" w:type="dxa"/>
              <w:bottom w:w="0" w:type="dxa"/>
              <w:right w:w="108" w:type="dxa"/>
            </w:tcMar>
            <w:vAlign w:val="center"/>
          </w:tcPr>
          <w:p w14:paraId="4EE844F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是</w:t>
            </w:r>
          </w:p>
        </w:tc>
      </w:tr>
      <w:tr w:rsidR="006416B0" w:rsidRPr="00B4515A" w14:paraId="2457E9E7" w14:textId="77777777" w:rsidTr="00031627">
        <w:trPr>
          <w:trHeight w:val="340"/>
          <w:jc w:val="center"/>
        </w:trPr>
        <w:tc>
          <w:tcPr>
            <w:tcW w:w="701" w:type="dxa"/>
            <w:tcMar>
              <w:top w:w="0" w:type="dxa"/>
              <w:left w:w="108" w:type="dxa"/>
              <w:bottom w:w="0" w:type="dxa"/>
              <w:right w:w="108" w:type="dxa"/>
            </w:tcMar>
            <w:vAlign w:val="center"/>
          </w:tcPr>
          <w:p w14:paraId="05A0BBC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1978" w:type="dxa"/>
            <w:tcMar>
              <w:top w:w="0" w:type="dxa"/>
              <w:left w:w="108" w:type="dxa"/>
              <w:bottom w:w="0" w:type="dxa"/>
              <w:right w:w="108" w:type="dxa"/>
            </w:tcMar>
            <w:vAlign w:val="center"/>
          </w:tcPr>
          <w:p w14:paraId="0251205C" w14:textId="2FDE6449" w:rsidR="006416B0" w:rsidRPr="00B4515A" w:rsidRDefault="00252376"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长江移动基金</w:t>
            </w:r>
          </w:p>
        </w:tc>
        <w:tc>
          <w:tcPr>
            <w:tcW w:w="1265" w:type="dxa"/>
            <w:tcMar>
              <w:top w:w="0" w:type="dxa"/>
              <w:left w:w="108" w:type="dxa"/>
              <w:bottom w:w="0" w:type="dxa"/>
              <w:right w:w="108" w:type="dxa"/>
            </w:tcMar>
            <w:vAlign w:val="center"/>
          </w:tcPr>
          <w:p w14:paraId="7D53131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2019.11.15</w:t>
            </w:r>
          </w:p>
        </w:tc>
        <w:tc>
          <w:tcPr>
            <w:tcW w:w="2248" w:type="dxa"/>
            <w:tcMar>
              <w:top w:w="0" w:type="dxa"/>
              <w:left w:w="108" w:type="dxa"/>
              <w:bottom w:w="0" w:type="dxa"/>
              <w:right w:w="108" w:type="dxa"/>
            </w:tcMar>
            <w:vAlign w:val="center"/>
          </w:tcPr>
          <w:p w14:paraId="770FE62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有限合伙企业</w:t>
            </w:r>
          </w:p>
        </w:tc>
        <w:tc>
          <w:tcPr>
            <w:tcW w:w="2046" w:type="dxa"/>
            <w:tcMar>
              <w:top w:w="0" w:type="dxa"/>
              <w:left w:w="108" w:type="dxa"/>
              <w:bottom w:w="0" w:type="dxa"/>
              <w:right w:w="108" w:type="dxa"/>
            </w:tcMar>
            <w:vAlign w:val="center"/>
          </w:tcPr>
          <w:p w14:paraId="37FDF2C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是</w:t>
            </w:r>
          </w:p>
        </w:tc>
      </w:tr>
      <w:tr w:rsidR="006416B0" w:rsidRPr="00B4515A" w14:paraId="7EA57E3F" w14:textId="77777777" w:rsidTr="00031627">
        <w:trPr>
          <w:trHeight w:val="340"/>
          <w:jc w:val="center"/>
        </w:trPr>
        <w:tc>
          <w:tcPr>
            <w:tcW w:w="701" w:type="dxa"/>
            <w:tcMar>
              <w:top w:w="0" w:type="dxa"/>
              <w:left w:w="108" w:type="dxa"/>
              <w:bottom w:w="0" w:type="dxa"/>
              <w:right w:w="108" w:type="dxa"/>
            </w:tcMar>
            <w:vAlign w:val="center"/>
          </w:tcPr>
          <w:p w14:paraId="5BB5177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4</w:t>
            </w:r>
          </w:p>
        </w:tc>
        <w:tc>
          <w:tcPr>
            <w:tcW w:w="1978" w:type="dxa"/>
            <w:tcMar>
              <w:top w:w="0" w:type="dxa"/>
              <w:left w:w="108" w:type="dxa"/>
              <w:bottom w:w="0" w:type="dxa"/>
              <w:right w:w="108" w:type="dxa"/>
            </w:tcMar>
            <w:vAlign w:val="center"/>
          </w:tcPr>
          <w:p w14:paraId="4D50F95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结构调整基金</w:t>
            </w:r>
          </w:p>
        </w:tc>
        <w:tc>
          <w:tcPr>
            <w:tcW w:w="1265" w:type="dxa"/>
            <w:tcMar>
              <w:top w:w="0" w:type="dxa"/>
              <w:left w:w="108" w:type="dxa"/>
              <w:bottom w:w="0" w:type="dxa"/>
              <w:right w:w="108" w:type="dxa"/>
            </w:tcMar>
            <w:vAlign w:val="center"/>
          </w:tcPr>
          <w:p w14:paraId="3679FCF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2016.09.22</w:t>
            </w:r>
          </w:p>
        </w:tc>
        <w:tc>
          <w:tcPr>
            <w:tcW w:w="2248" w:type="dxa"/>
            <w:tcMar>
              <w:top w:w="0" w:type="dxa"/>
              <w:left w:w="108" w:type="dxa"/>
              <w:bottom w:w="0" w:type="dxa"/>
              <w:right w:w="108" w:type="dxa"/>
            </w:tcMar>
            <w:vAlign w:val="center"/>
          </w:tcPr>
          <w:p w14:paraId="00EA1CF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股份有限公司</w:t>
            </w:r>
          </w:p>
        </w:tc>
        <w:tc>
          <w:tcPr>
            <w:tcW w:w="2046" w:type="dxa"/>
            <w:tcMar>
              <w:top w:w="0" w:type="dxa"/>
              <w:left w:w="108" w:type="dxa"/>
              <w:bottom w:w="0" w:type="dxa"/>
              <w:right w:w="108" w:type="dxa"/>
            </w:tcMar>
            <w:vAlign w:val="center"/>
          </w:tcPr>
          <w:p w14:paraId="30671BE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是</w:t>
            </w:r>
          </w:p>
        </w:tc>
      </w:tr>
      <w:tr w:rsidR="006416B0" w:rsidRPr="00B4515A" w14:paraId="56107DD6" w14:textId="77777777" w:rsidTr="00031627">
        <w:trPr>
          <w:trHeight w:val="340"/>
          <w:jc w:val="center"/>
        </w:trPr>
        <w:tc>
          <w:tcPr>
            <w:tcW w:w="701" w:type="dxa"/>
            <w:tcMar>
              <w:top w:w="0" w:type="dxa"/>
              <w:left w:w="108" w:type="dxa"/>
              <w:bottom w:w="0" w:type="dxa"/>
              <w:right w:w="108" w:type="dxa"/>
            </w:tcMar>
            <w:vAlign w:val="center"/>
          </w:tcPr>
          <w:p w14:paraId="2DE937B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w:t>
            </w:r>
          </w:p>
        </w:tc>
        <w:tc>
          <w:tcPr>
            <w:tcW w:w="1978" w:type="dxa"/>
            <w:tcMar>
              <w:top w:w="0" w:type="dxa"/>
              <w:left w:w="108" w:type="dxa"/>
              <w:bottom w:w="0" w:type="dxa"/>
              <w:right w:w="108" w:type="dxa"/>
            </w:tcMar>
            <w:vAlign w:val="center"/>
          </w:tcPr>
          <w:p w14:paraId="670BADF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金融街资本</w:t>
            </w:r>
          </w:p>
        </w:tc>
        <w:tc>
          <w:tcPr>
            <w:tcW w:w="1265" w:type="dxa"/>
            <w:tcMar>
              <w:top w:w="0" w:type="dxa"/>
              <w:left w:w="108" w:type="dxa"/>
              <w:bottom w:w="0" w:type="dxa"/>
              <w:right w:w="108" w:type="dxa"/>
            </w:tcMar>
            <w:vAlign w:val="center"/>
          </w:tcPr>
          <w:p w14:paraId="461DBCF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1992.09.16</w:t>
            </w:r>
          </w:p>
        </w:tc>
        <w:tc>
          <w:tcPr>
            <w:tcW w:w="2248" w:type="dxa"/>
            <w:tcMar>
              <w:top w:w="0" w:type="dxa"/>
              <w:left w:w="108" w:type="dxa"/>
              <w:bottom w:w="0" w:type="dxa"/>
              <w:right w:w="108" w:type="dxa"/>
            </w:tcMar>
            <w:vAlign w:val="center"/>
          </w:tcPr>
          <w:p w14:paraId="7DE625B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全民所有制企业</w:t>
            </w:r>
          </w:p>
        </w:tc>
        <w:tc>
          <w:tcPr>
            <w:tcW w:w="2046" w:type="dxa"/>
            <w:tcMar>
              <w:top w:w="0" w:type="dxa"/>
              <w:left w:w="108" w:type="dxa"/>
              <w:bottom w:w="0" w:type="dxa"/>
              <w:right w:w="108" w:type="dxa"/>
            </w:tcMar>
            <w:vAlign w:val="center"/>
          </w:tcPr>
          <w:p w14:paraId="0141D83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是</w:t>
            </w:r>
          </w:p>
        </w:tc>
      </w:tr>
    </w:tbl>
    <w:p w14:paraId="51B85C00" w14:textId="77777777" w:rsidR="006416B0" w:rsidRPr="00B4515A" w:rsidRDefault="005E58C1" w:rsidP="005860B4">
      <w:pPr>
        <w:pStyle w:val="005"/>
        <w:spacing w:before="120" w:after="120"/>
        <w:ind w:firstLine="480"/>
      </w:pPr>
      <w:r w:rsidRPr="00B4515A">
        <w:rPr>
          <w:rFonts w:hint="eastAsia"/>
        </w:rPr>
        <w:t>上述交易对方均非为本次交易目的而设立。</w:t>
      </w:r>
      <w:bookmarkEnd w:id="152"/>
    </w:p>
    <w:p w14:paraId="411EB640" w14:textId="77777777" w:rsidR="006416B0" w:rsidRPr="00B4515A" w:rsidRDefault="005E58C1" w:rsidP="002B0582">
      <w:pPr>
        <w:pStyle w:val="001"/>
        <w:spacing w:before="360" w:after="360"/>
      </w:pPr>
      <w:bookmarkStart w:id="153" w:name="_Toc65492075"/>
      <w:bookmarkStart w:id="154" w:name="_Toc80960534"/>
      <w:r w:rsidRPr="00B4515A">
        <w:rPr>
          <w:rFonts w:hint="eastAsia"/>
        </w:rPr>
        <w:lastRenderedPageBreak/>
        <w:t>第四节</w:t>
      </w:r>
      <w:bookmarkStart w:id="155" w:name="_Hlk530005269"/>
      <w:r w:rsidRPr="00B4515A">
        <w:t xml:space="preserve"> </w:t>
      </w:r>
      <w:r w:rsidRPr="00B4515A">
        <w:rPr>
          <w:rFonts w:hint="eastAsia"/>
        </w:rPr>
        <w:t>标的公司基本情况</w:t>
      </w:r>
      <w:bookmarkEnd w:id="153"/>
      <w:bookmarkEnd w:id="154"/>
      <w:bookmarkEnd w:id="155"/>
    </w:p>
    <w:p w14:paraId="524297DB" w14:textId="77777777" w:rsidR="006416B0" w:rsidRPr="00B4515A" w:rsidRDefault="005E58C1" w:rsidP="005860B4">
      <w:pPr>
        <w:pStyle w:val="002"/>
        <w:spacing w:before="120" w:after="120"/>
        <w:ind w:firstLine="562"/>
      </w:pPr>
      <w:bookmarkStart w:id="156" w:name="_Toc531619038"/>
      <w:bookmarkStart w:id="157" w:name="_Toc65492076"/>
      <w:bookmarkStart w:id="158" w:name="_Toc80960535"/>
      <w:r w:rsidRPr="00B4515A">
        <w:rPr>
          <w:rFonts w:hint="eastAsia"/>
        </w:rPr>
        <w:t>一、</w:t>
      </w:r>
      <w:bookmarkStart w:id="159" w:name="_Hlk6364505"/>
      <w:r w:rsidRPr="00B4515A">
        <w:rPr>
          <w:rFonts w:hint="eastAsia"/>
        </w:rPr>
        <w:t>基本情况</w:t>
      </w:r>
      <w:bookmarkEnd w:id="156"/>
      <w:bookmarkEnd w:id="157"/>
      <w:bookmarkEnd w:id="158"/>
      <w:bookmarkEnd w:id="159"/>
    </w:p>
    <w:tbl>
      <w:tblPr>
        <w:tblStyle w:val="131111"/>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4"/>
        <w:gridCol w:w="6134"/>
      </w:tblGrid>
      <w:tr w:rsidR="006416B0" w:rsidRPr="00B4515A" w14:paraId="7719A6C5" w14:textId="77777777" w:rsidTr="00031627">
        <w:trPr>
          <w:trHeight w:val="340"/>
          <w:jc w:val="center"/>
        </w:trPr>
        <w:tc>
          <w:tcPr>
            <w:tcW w:w="2387" w:type="dxa"/>
            <w:shd w:val="clear" w:color="auto" w:fill="auto"/>
            <w:tcMar>
              <w:top w:w="0" w:type="dxa"/>
              <w:left w:w="108" w:type="dxa"/>
              <w:bottom w:w="0" w:type="dxa"/>
              <w:right w:w="108" w:type="dxa"/>
            </w:tcMar>
            <w:vAlign w:val="center"/>
          </w:tcPr>
          <w:p w14:paraId="5FC887E5"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公司名称</w:t>
            </w:r>
          </w:p>
        </w:tc>
        <w:tc>
          <w:tcPr>
            <w:tcW w:w="6115" w:type="dxa"/>
            <w:shd w:val="clear" w:color="auto" w:fill="auto"/>
            <w:tcMar>
              <w:top w:w="0" w:type="dxa"/>
              <w:left w:w="108" w:type="dxa"/>
              <w:bottom w:w="0" w:type="dxa"/>
              <w:right w:w="108" w:type="dxa"/>
            </w:tcMar>
            <w:vAlign w:val="center"/>
          </w:tcPr>
          <w:p w14:paraId="2B12462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大唐联诚信息系统技术有限公司</w:t>
            </w:r>
          </w:p>
        </w:tc>
      </w:tr>
      <w:tr w:rsidR="006416B0" w:rsidRPr="00B4515A" w14:paraId="34048390" w14:textId="77777777" w:rsidTr="00031627">
        <w:trPr>
          <w:trHeight w:val="340"/>
          <w:jc w:val="center"/>
        </w:trPr>
        <w:tc>
          <w:tcPr>
            <w:tcW w:w="2387" w:type="dxa"/>
            <w:shd w:val="clear" w:color="auto" w:fill="auto"/>
            <w:tcMar>
              <w:top w:w="0" w:type="dxa"/>
              <w:left w:w="108" w:type="dxa"/>
              <w:bottom w:w="0" w:type="dxa"/>
              <w:right w:w="108" w:type="dxa"/>
            </w:tcMar>
            <w:vAlign w:val="center"/>
          </w:tcPr>
          <w:p w14:paraId="2E1FCFA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企业性质</w:t>
            </w:r>
          </w:p>
        </w:tc>
        <w:tc>
          <w:tcPr>
            <w:tcW w:w="6115" w:type="dxa"/>
            <w:shd w:val="clear" w:color="auto" w:fill="auto"/>
            <w:tcMar>
              <w:top w:w="0" w:type="dxa"/>
              <w:left w:w="108" w:type="dxa"/>
              <w:bottom w:w="0" w:type="dxa"/>
              <w:right w:w="108" w:type="dxa"/>
            </w:tcMar>
            <w:vAlign w:val="center"/>
          </w:tcPr>
          <w:p w14:paraId="156DE55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其他有限责任公司</w:t>
            </w:r>
          </w:p>
        </w:tc>
      </w:tr>
      <w:tr w:rsidR="006416B0" w:rsidRPr="00B4515A" w14:paraId="57454E87" w14:textId="77777777" w:rsidTr="00031627">
        <w:trPr>
          <w:trHeight w:val="340"/>
          <w:jc w:val="center"/>
        </w:trPr>
        <w:tc>
          <w:tcPr>
            <w:tcW w:w="2387" w:type="dxa"/>
            <w:shd w:val="clear" w:color="auto" w:fill="auto"/>
            <w:tcMar>
              <w:top w:w="0" w:type="dxa"/>
              <w:left w:w="108" w:type="dxa"/>
              <w:bottom w:w="0" w:type="dxa"/>
              <w:right w:w="108" w:type="dxa"/>
            </w:tcMar>
            <w:vAlign w:val="center"/>
          </w:tcPr>
          <w:p w14:paraId="2C380B4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法定代表人</w:t>
            </w:r>
          </w:p>
        </w:tc>
        <w:tc>
          <w:tcPr>
            <w:tcW w:w="6115" w:type="dxa"/>
            <w:shd w:val="clear" w:color="auto" w:fill="auto"/>
            <w:tcMar>
              <w:top w:w="0" w:type="dxa"/>
              <w:left w:w="108" w:type="dxa"/>
              <w:bottom w:w="0" w:type="dxa"/>
              <w:right w:w="108" w:type="dxa"/>
            </w:tcMar>
            <w:vAlign w:val="center"/>
          </w:tcPr>
          <w:p w14:paraId="7D16303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刘欣</w:t>
            </w:r>
          </w:p>
        </w:tc>
      </w:tr>
      <w:tr w:rsidR="006416B0" w:rsidRPr="00B4515A" w14:paraId="778B3653" w14:textId="77777777" w:rsidTr="00031627">
        <w:trPr>
          <w:trHeight w:val="340"/>
          <w:jc w:val="center"/>
        </w:trPr>
        <w:tc>
          <w:tcPr>
            <w:tcW w:w="2387" w:type="dxa"/>
            <w:shd w:val="clear" w:color="auto" w:fill="auto"/>
            <w:tcMar>
              <w:top w:w="0" w:type="dxa"/>
              <w:left w:w="108" w:type="dxa"/>
              <w:bottom w:w="0" w:type="dxa"/>
              <w:right w:w="108" w:type="dxa"/>
            </w:tcMar>
            <w:vAlign w:val="center"/>
          </w:tcPr>
          <w:p w14:paraId="18E27E1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注册资本</w:t>
            </w:r>
          </w:p>
        </w:tc>
        <w:tc>
          <w:tcPr>
            <w:tcW w:w="6115" w:type="dxa"/>
            <w:shd w:val="clear" w:color="auto" w:fill="auto"/>
            <w:tcMar>
              <w:top w:w="0" w:type="dxa"/>
              <w:left w:w="108" w:type="dxa"/>
              <w:bottom w:w="0" w:type="dxa"/>
              <w:right w:w="108" w:type="dxa"/>
            </w:tcMar>
            <w:vAlign w:val="center"/>
          </w:tcPr>
          <w:p w14:paraId="440B10A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人民币</w:t>
            </w:r>
            <w:r w:rsidRPr="00B4515A">
              <w:rPr>
                <w:rFonts w:ascii="Times New Roman" w:hAnsi="Times New Roman" w:cs="Times New Roman"/>
                <w:sz w:val="21"/>
                <w:szCs w:val="21"/>
              </w:rPr>
              <w:t>108,382.032524</w:t>
            </w:r>
            <w:r w:rsidRPr="00B4515A">
              <w:rPr>
                <w:rFonts w:ascii="Times New Roman" w:hAnsi="Times New Roman" w:cs="Times New Roman" w:hint="eastAsia"/>
                <w:sz w:val="21"/>
                <w:szCs w:val="21"/>
              </w:rPr>
              <w:t>万元</w:t>
            </w:r>
          </w:p>
        </w:tc>
      </w:tr>
      <w:tr w:rsidR="006416B0" w:rsidRPr="00B4515A" w14:paraId="1B55C848" w14:textId="77777777" w:rsidTr="00031627">
        <w:trPr>
          <w:trHeight w:val="340"/>
          <w:jc w:val="center"/>
        </w:trPr>
        <w:tc>
          <w:tcPr>
            <w:tcW w:w="2387" w:type="dxa"/>
            <w:shd w:val="clear" w:color="auto" w:fill="auto"/>
            <w:tcMar>
              <w:top w:w="0" w:type="dxa"/>
              <w:left w:w="108" w:type="dxa"/>
              <w:bottom w:w="0" w:type="dxa"/>
              <w:right w:w="108" w:type="dxa"/>
            </w:tcMar>
            <w:vAlign w:val="center"/>
          </w:tcPr>
          <w:p w14:paraId="32B015E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统一社会信用代码</w:t>
            </w:r>
          </w:p>
        </w:tc>
        <w:tc>
          <w:tcPr>
            <w:tcW w:w="6115" w:type="dxa"/>
            <w:shd w:val="clear" w:color="auto" w:fill="auto"/>
            <w:tcMar>
              <w:top w:w="0" w:type="dxa"/>
              <w:left w:w="108" w:type="dxa"/>
              <w:bottom w:w="0" w:type="dxa"/>
              <w:right w:w="108" w:type="dxa"/>
            </w:tcMar>
            <w:vAlign w:val="center"/>
          </w:tcPr>
          <w:p w14:paraId="2845DDA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91110000710935759B</w:t>
            </w:r>
          </w:p>
        </w:tc>
      </w:tr>
      <w:tr w:rsidR="006416B0" w:rsidRPr="00B4515A" w14:paraId="021678CE" w14:textId="77777777" w:rsidTr="00031627">
        <w:trPr>
          <w:trHeight w:val="340"/>
          <w:jc w:val="center"/>
        </w:trPr>
        <w:tc>
          <w:tcPr>
            <w:tcW w:w="2387" w:type="dxa"/>
            <w:shd w:val="clear" w:color="auto" w:fill="auto"/>
            <w:tcMar>
              <w:top w:w="0" w:type="dxa"/>
              <w:left w:w="108" w:type="dxa"/>
              <w:bottom w:w="0" w:type="dxa"/>
              <w:right w:w="108" w:type="dxa"/>
            </w:tcMar>
            <w:vAlign w:val="center"/>
          </w:tcPr>
          <w:p w14:paraId="44F13FD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注册地址</w:t>
            </w:r>
          </w:p>
        </w:tc>
        <w:tc>
          <w:tcPr>
            <w:tcW w:w="6115" w:type="dxa"/>
            <w:shd w:val="clear" w:color="auto" w:fill="auto"/>
            <w:tcMar>
              <w:top w:w="0" w:type="dxa"/>
              <w:left w:w="108" w:type="dxa"/>
              <w:bottom w:w="0" w:type="dxa"/>
              <w:right w:w="108" w:type="dxa"/>
            </w:tcMar>
            <w:vAlign w:val="center"/>
          </w:tcPr>
          <w:p w14:paraId="762B9C4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北京市海淀区学院路</w:t>
            </w:r>
            <w:r w:rsidRPr="00B4515A">
              <w:rPr>
                <w:rFonts w:ascii="Times New Roman" w:hAnsi="Times New Roman" w:cs="Times New Roman"/>
                <w:sz w:val="21"/>
                <w:szCs w:val="21"/>
              </w:rPr>
              <w:t>40</w:t>
            </w:r>
            <w:r w:rsidRPr="00B4515A">
              <w:rPr>
                <w:rFonts w:ascii="Times New Roman" w:hAnsi="Times New Roman" w:cs="Times New Roman" w:hint="eastAsia"/>
                <w:sz w:val="21"/>
                <w:szCs w:val="21"/>
              </w:rPr>
              <w:t>号</w:t>
            </w:r>
          </w:p>
        </w:tc>
      </w:tr>
      <w:tr w:rsidR="006416B0" w:rsidRPr="00B4515A" w14:paraId="6870BE21" w14:textId="77777777" w:rsidTr="00031627">
        <w:trPr>
          <w:trHeight w:val="340"/>
          <w:jc w:val="center"/>
        </w:trPr>
        <w:tc>
          <w:tcPr>
            <w:tcW w:w="2387" w:type="dxa"/>
            <w:shd w:val="clear" w:color="auto" w:fill="auto"/>
            <w:tcMar>
              <w:top w:w="0" w:type="dxa"/>
              <w:left w:w="108" w:type="dxa"/>
              <w:bottom w:w="0" w:type="dxa"/>
              <w:right w:w="108" w:type="dxa"/>
            </w:tcMar>
            <w:vAlign w:val="center"/>
          </w:tcPr>
          <w:p w14:paraId="33252EC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主要办公地址</w:t>
            </w:r>
          </w:p>
        </w:tc>
        <w:tc>
          <w:tcPr>
            <w:tcW w:w="6115" w:type="dxa"/>
            <w:shd w:val="clear" w:color="auto" w:fill="auto"/>
            <w:tcMar>
              <w:top w:w="0" w:type="dxa"/>
              <w:left w:w="108" w:type="dxa"/>
              <w:bottom w:w="0" w:type="dxa"/>
              <w:right w:w="108" w:type="dxa"/>
            </w:tcMar>
            <w:vAlign w:val="center"/>
          </w:tcPr>
          <w:p w14:paraId="348188FA"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北京市海淀区学院路</w:t>
            </w:r>
            <w:r w:rsidRPr="00B4515A">
              <w:rPr>
                <w:rFonts w:ascii="Times New Roman" w:hAnsi="Times New Roman" w:cs="Times New Roman"/>
                <w:sz w:val="21"/>
                <w:szCs w:val="21"/>
              </w:rPr>
              <w:t>40</w:t>
            </w:r>
            <w:r w:rsidRPr="00B4515A">
              <w:rPr>
                <w:rFonts w:ascii="Times New Roman" w:hAnsi="Times New Roman" w:cs="Times New Roman" w:hint="eastAsia"/>
                <w:sz w:val="21"/>
                <w:szCs w:val="21"/>
              </w:rPr>
              <w:t>号</w:t>
            </w:r>
          </w:p>
        </w:tc>
      </w:tr>
      <w:tr w:rsidR="006416B0" w:rsidRPr="00B4515A" w14:paraId="00B2BDB5" w14:textId="77777777" w:rsidTr="00031627">
        <w:trPr>
          <w:trHeight w:val="340"/>
          <w:jc w:val="center"/>
        </w:trPr>
        <w:tc>
          <w:tcPr>
            <w:tcW w:w="2387" w:type="dxa"/>
            <w:shd w:val="clear" w:color="auto" w:fill="auto"/>
            <w:tcMar>
              <w:top w:w="0" w:type="dxa"/>
              <w:left w:w="108" w:type="dxa"/>
              <w:bottom w:w="0" w:type="dxa"/>
              <w:right w:w="108" w:type="dxa"/>
            </w:tcMar>
            <w:vAlign w:val="center"/>
          </w:tcPr>
          <w:p w14:paraId="483AD3A0"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经营范围</w:t>
            </w:r>
          </w:p>
        </w:tc>
        <w:tc>
          <w:tcPr>
            <w:tcW w:w="6115" w:type="dxa"/>
            <w:shd w:val="clear" w:color="auto" w:fill="auto"/>
            <w:tcMar>
              <w:top w:w="0" w:type="dxa"/>
              <w:left w:w="108" w:type="dxa"/>
              <w:bottom w:w="0" w:type="dxa"/>
              <w:right w:w="108" w:type="dxa"/>
            </w:tcMar>
            <w:vAlign w:val="center"/>
          </w:tcPr>
          <w:p w14:paraId="13D5809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微电子、集成电路技术开发；开展通信、网络、信息等相关的技术研究、产品开发及产品销售；提供自主开发及系统综合集成解决方案；从事相关的技术转让、技术咨询、技术服务和工程建设；进出口业务；生产、维修电子产品。</w:t>
            </w:r>
            <w:r w:rsidRPr="00B4515A">
              <w:rPr>
                <w:rFonts w:ascii="Times New Roman" w:hAnsi="Times New Roman" w:cs="Times New Roman"/>
                <w:sz w:val="21"/>
                <w:szCs w:val="21"/>
              </w:rPr>
              <w:t>（市场主体依法自主选择经营项目，开展经营活动；依法须经批准的项目，经相关部门批准后依批准的内容开展经营活动；不得从事国家和本市产业政策禁止和限制类项目的经营活动）</w:t>
            </w:r>
          </w:p>
        </w:tc>
      </w:tr>
      <w:tr w:rsidR="006416B0" w:rsidRPr="00B4515A" w14:paraId="2996377E" w14:textId="77777777" w:rsidTr="00031627">
        <w:trPr>
          <w:trHeight w:val="340"/>
          <w:jc w:val="center"/>
        </w:trPr>
        <w:tc>
          <w:tcPr>
            <w:tcW w:w="2387" w:type="dxa"/>
            <w:shd w:val="clear" w:color="auto" w:fill="auto"/>
            <w:tcMar>
              <w:top w:w="0" w:type="dxa"/>
              <w:left w:w="108" w:type="dxa"/>
              <w:bottom w:w="0" w:type="dxa"/>
              <w:right w:w="108" w:type="dxa"/>
            </w:tcMar>
            <w:vAlign w:val="center"/>
          </w:tcPr>
          <w:p w14:paraId="6424799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成立日期</w:t>
            </w:r>
          </w:p>
        </w:tc>
        <w:tc>
          <w:tcPr>
            <w:tcW w:w="6115" w:type="dxa"/>
            <w:shd w:val="clear" w:color="auto" w:fill="auto"/>
            <w:tcMar>
              <w:top w:w="0" w:type="dxa"/>
              <w:left w:w="108" w:type="dxa"/>
              <w:bottom w:w="0" w:type="dxa"/>
              <w:right w:w="108" w:type="dxa"/>
            </w:tcMar>
            <w:vAlign w:val="center"/>
          </w:tcPr>
          <w:p w14:paraId="665A19A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2008</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12</w:t>
            </w:r>
            <w:r w:rsidRPr="00B4515A">
              <w:rPr>
                <w:rFonts w:ascii="Times New Roman" w:hAnsi="Times New Roman" w:cs="Times New Roman" w:hint="eastAsia"/>
                <w:sz w:val="21"/>
                <w:szCs w:val="21"/>
              </w:rPr>
              <w:t>月</w:t>
            </w:r>
            <w:r w:rsidRPr="00B4515A">
              <w:rPr>
                <w:rFonts w:ascii="Times New Roman" w:hAnsi="Times New Roman" w:cs="Times New Roman"/>
                <w:sz w:val="21"/>
                <w:szCs w:val="21"/>
              </w:rPr>
              <w:t>26</w:t>
            </w:r>
            <w:r w:rsidRPr="00B4515A">
              <w:rPr>
                <w:rFonts w:ascii="Times New Roman" w:hAnsi="Times New Roman" w:cs="Times New Roman" w:hint="eastAsia"/>
                <w:sz w:val="21"/>
                <w:szCs w:val="21"/>
              </w:rPr>
              <w:t>日</w:t>
            </w:r>
          </w:p>
        </w:tc>
      </w:tr>
      <w:tr w:rsidR="006416B0" w:rsidRPr="00B4515A" w14:paraId="5C1914ED" w14:textId="77777777" w:rsidTr="00031627">
        <w:trPr>
          <w:trHeight w:val="340"/>
          <w:jc w:val="center"/>
        </w:trPr>
        <w:tc>
          <w:tcPr>
            <w:tcW w:w="2387" w:type="dxa"/>
            <w:shd w:val="clear" w:color="auto" w:fill="auto"/>
            <w:tcMar>
              <w:top w:w="0" w:type="dxa"/>
              <w:left w:w="108" w:type="dxa"/>
              <w:bottom w:w="0" w:type="dxa"/>
              <w:right w:w="108" w:type="dxa"/>
            </w:tcMar>
            <w:vAlign w:val="center"/>
          </w:tcPr>
          <w:p w14:paraId="02DB95D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营业期限</w:t>
            </w:r>
          </w:p>
        </w:tc>
        <w:tc>
          <w:tcPr>
            <w:tcW w:w="6115" w:type="dxa"/>
            <w:shd w:val="clear" w:color="auto" w:fill="auto"/>
            <w:tcMar>
              <w:top w:w="0" w:type="dxa"/>
              <w:left w:w="108" w:type="dxa"/>
              <w:bottom w:w="0" w:type="dxa"/>
              <w:right w:w="108" w:type="dxa"/>
            </w:tcMar>
            <w:vAlign w:val="center"/>
          </w:tcPr>
          <w:p w14:paraId="3D114F3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2008</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12</w:t>
            </w:r>
            <w:r w:rsidRPr="00B4515A">
              <w:rPr>
                <w:rFonts w:ascii="Times New Roman" w:hAnsi="Times New Roman" w:cs="Times New Roman" w:hint="eastAsia"/>
                <w:sz w:val="21"/>
                <w:szCs w:val="21"/>
              </w:rPr>
              <w:t>月</w:t>
            </w:r>
            <w:r w:rsidRPr="00B4515A">
              <w:rPr>
                <w:rFonts w:ascii="Times New Roman" w:hAnsi="Times New Roman" w:cs="Times New Roman"/>
                <w:sz w:val="21"/>
                <w:szCs w:val="21"/>
              </w:rPr>
              <w:t>26</w:t>
            </w:r>
            <w:r w:rsidRPr="00B4515A">
              <w:rPr>
                <w:rFonts w:ascii="Times New Roman" w:hAnsi="Times New Roman" w:cs="Times New Roman" w:hint="eastAsia"/>
                <w:sz w:val="21"/>
                <w:szCs w:val="21"/>
              </w:rPr>
              <w:t>日至</w:t>
            </w:r>
            <w:r w:rsidRPr="00B4515A">
              <w:rPr>
                <w:rFonts w:ascii="Times New Roman" w:hAnsi="Times New Roman" w:cs="Times New Roman"/>
                <w:sz w:val="21"/>
                <w:szCs w:val="21"/>
              </w:rPr>
              <w:t>2058</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12</w:t>
            </w:r>
            <w:r w:rsidRPr="00B4515A">
              <w:rPr>
                <w:rFonts w:ascii="Times New Roman" w:hAnsi="Times New Roman" w:cs="Times New Roman" w:hint="eastAsia"/>
                <w:sz w:val="21"/>
                <w:szCs w:val="21"/>
              </w:rPr>
              <w:t>月</w:t>
            </w:r>
            <w:r w:rsidRPr="00B4515A">
              <w:rPr>
                <w:rFonts w:ascii="Times New Roman" w:hAnsi="Times New Roman" w:cs="Times New Roman"/>
                <w:sz w:val="21"/>
                <w:szCs w:val="21"/>
              </w:rPr>
              <w:t>25</w:t>
            </w:r>
            <w:r w:rsidRPr="00B4515A">
              <w:rPr>
                <w:rFonts w:ascii="Times New Roman" w:hAnsi="Times New Roman" w:cs="Times New Roman" w:hint="eastAsia"/>
                <w:sz w:val="21"/>
                <w:szCs w:val="21"/>
              </w:rPr>
              <w:t>日</w:t>
            </w:r>
          </w:p>
        </w:tc>
      </w:tr>
    </w:tbl>
    <w:p w14:paraId="4944A30F" w14:textId="77777777" w:rsidR="006416B0" w:rsidRPr="00B4515A" w:rsidRDefault="005E58C1" w:rsidP="005860B4">
      <w:pPr>
        <w:pStyle w:val="002"/>
        <w:spacing w:before="120" w:after="120"/>
        <w:ind w:firstLine="562"/>
      </w:pPr>
      <w:bookmarkStart w:id="160" w:name="_Toc65492077"/>
      <w:bookmarkStart w:id="161" w:name="_Toc80960536"/>
      <w:bookmarkStart w:id="162" w:name="_Toc531619039"/>
      <w:r w:rsidRPr="00B4515A">
        <w:rPr>
          <w:rFonts w:hint="eastAsia"/>
        </w:rPr>
        <w:t>二、历史沿革</w:t>
      </w:r>
      <w:bookmarkEnd w:id="160"/>
      <w:bookmarkEnd w:id="161"/>
    </w:p>
    <w:bookmarkEnd w:id="162"/>
    <w:p w14:paraId="693063EB" w14:textId="77777777" w:rsidR="006416B0" w:rsidRPr="00B4515A" w:rsidRDefault="005E58C1" w:rsidP="005860B4">
      <w:pPr>
        <w:pStyle w:val="004"/>
        <w:spacing w:before="120" w:after="120"/>
        <w:ind w:firstLine="482"/>
      </w:pPr>
      <w:r w:rsidRPr="00B4515A">
        <w:t>1</w:t>
      </w:r>
      <w:r w:rsidRPr="00B4515A">
        <w:rPr>
          <w:rFonts w:hint="eastAsia"/>
        </w:rPr>
        <w:t>、大唐联诚设立情况</w:t>
      </w:r>
    </w:p>
    <w:p w14:paraId="007616AD" w14:textId="77777777" w:rsidR="006416B0" w:rsidRPr="00B4515A" w:rsidRDefault="005E58C1" w:rsidP="005860B4">
      <w:pPr>
        <w:pStyle w:val="005"/>
        <w:spacing w:before="120" w:after="120"/>
        <w:ind w:firstLine="480"/>
      </w:pPr>
      <w:r w:rsidRPr="00B4515A">
        <w:rPr>
          <w:rFonts w:hint="eastAsia"/>
        </w:rPr>
        <w:t>大唐联诚于</w:t>
      </w:r>
      <w:r w:rsidRPr="00B4515A">
        <w:t>2008</w:t>
      </w:r>
      <w:r w:rsidRPr="00B4515A">
        <w:rPr>
          <w:rFonts w:hint="eastAsia"/>
        </w:rPr>
        <w:t>年</w:t>
      </w:r>
      <w:r w:rsidRPr="00B4515A">
        <w:t>12</w:t>
      </w:r>
      <w:r w:rsidRPr="00B4515A">
        <w:rPr>
          <w:rFonts w:hint="eastAsia"/>
        </w:rPr>
        <w:t>月</w:t>
      </w:r>
      <w:r w:rsidRPr="00B4515A">
        <w:t>26</w:t>
      </w:r>
      <w:r w:rsidRPr="00B4515A">
        <w:rPr>
          <w:rFonts w:hint="eastAsia"/>
        </w:rPr>
        <w:t>日，经国家工商行政管理总局依法登记设立。大唐联诚设立时注册资本为人民币</w:t>
      </w:r>
      <w:r w:rsidRPr="00B4515A">
        <w:t>10,000</w:t>
      </w:r>
      <w:r w:rsidRPr="00B4515A">
        <w:rPr>
          <w:rFonts w:hint="eastAsia"/>
        </w:rPr>
        <w:t>万元，电信科学技术研究院以货币出资</w:t>
      </w:r>
      <w:r w:rsidRPr="00B4515A">
        <w:t>10,000</w:t>
      </w:r>
      <w:r w:rsidRPr="00B4515A">
        <w:rPr>
          <w:rFonts w:hint="eastAsia"/>
        </w:rPr>
        <w:t>万元。</w:t>
      </w:r>
    </w:p>
    <w:p w14:paraId="4D509854" w14:textId="77777777" w:rsidR="006416B0" w:rsidRPr="00B4515A" w:rsidRDefault="005E58C1" w:rsidP="005860B4">
      <w:pPr>
        <w:pStyle w:val="005"/>
        <w:spacing w:before="120" w:after="120"/>
        <w:ind w:firstLine="480"/>
      </w:pPr>
      <w:r w:rsidRPr="00B4515A">
        <w:t>2008</w:t>
      </w:r>
      <w:r w:rsidRPr="00B4515A">
        <w:rPr>
          <w:rFonts w:hint="eastAsia"/>
        </w:rPr>
        <w:t>年</w:t>
      </w:r>
      <w:r w:rsidRPr="00B4515A">
        <w:t>12</w:t>
      </w:r>
      <w:r w:rsidRPr="00B4515A">
        <w:rPr>
          <w:rFonts w:hint="eastAsia"/>
        </w:rPr>
        <w:t>月</w:t>
      </w:r>
      <w:r w:rsidRPr="00B4515A">
        <w:t>12</w:t>
      </w:r>
      <w:r w:rsidRPr="00B4515A">
        <w:rPr>
          <w:rFonts w:hint="eastAsia"/>
        </w:rPr>
        <w:t>日，电信科学技术研究院作出《关于成立大唐联诚信息系统技术有限公司的决定》院资［</w:t>
      </w:r>
      <w:r w:rsidRPr="00B4515A">
        <w:t>2008</w:t>
      </w:r>
      <w:r w:rsidRPr="00B4515A">
        <w:rPr>
          <w:rFonts w:hint="eastAsia"/>
        </w:rPr>
        <w:t>］</w:t>
      </w:r>
      <w:r w:rsidRPr="00B4515A">
        <w:t>423</w:t>
      </w:r>
      <w:r w:rsidRPr="00B4515A">
        <w:rPr>
          <w:rFonts w:hint="eastAsia"/>
        </w:rPr>
        <w:t>号，</w:t>
      </w:r>
      <w:r w:rsidRPr="00B4515A">
        <w:rPr>
          <w:rFonts w:hint="eastAsia"/>
          <w:color w:val="000000" w:themeColor="text1"/>
        </w:rPr>
        <w:t>决定设立大唐联诚，注册资本为</w:t>
      </w:r>
      <w:r w:rsidRPr="00B4515A">
        <w:rPr>
          <w:color w:val="000000" w:themeColor="text1"/>
        </w:rPr>
        <w:t>10,000</w:t>
      </w:r>
      <w:r w:rsidRPr="00B4515A">
        <w:rPr>
          <w:rFonts w:hint="eastAsia"/>
          <w:color w:val="000000" w:themeColor="text1"/>
        </w:rPr>
        <w:t>万元，全部由电信</w:t>
      </w:r>
      <w:r w:rsidRPr="00B4515A">
        <w:rPr>
          <w:rFonts w:hint="eastAsia"/>
        </w:rPr>
        <w:t>科学技术</w:t>
      </w:r>
      <w:r w:rsidRPr="00B4515A">
        <w:rPr>
          <w:rFonts w:hint="eastAsia"/>
          <w:color w:val="000000" w:themeColor="text1"/>
        </w:rPr>
        <w:t>研究院以货币形式出资。</w:t>
      </w:r>
    </w:p>
    <w:p w14:paraId="27F0B22C" w14:textId="77777777" w:rsidR="006416B0" w:rsidRPr="00B4515A" w:rsidRDefault="005E58C1" w:rsidP="005860B4">
      <w:pPr>
        <w:pStyle w:val="005"/>
        <w:spacing w:before="120" w:after="120"/>
        <w:ind w:firstLine="480"/>
      </w:pPr>
      <w:r w:rsidRPr="00B4515A">
        <w:t>2008</w:t>
      </w:r>
      <w:r w:rsidRPr="00B4515A">
        <w:rPr>
          <w:rFonts w:hint="eastAsia"/>
        </w:rPr>
        <w:t>年</w:t>
      </w:r>
      <w:r w:rsidRPr="00B4515A">
        <w:t>12</w:t>
      </w:r>
      <w:r w:rsidRPr="00B4515A">
        <w:rPr>
          <w:rFonts w:hint="eastAsia"/>
        </w:rPr>
        <w:t>月</w:t>
      </w:r>
      <w:r w:rsidRPr="00B4515A">
        <w:t>20</w:t>
      </w:r>
      <w:r w:rsidRPr="00B4515A">
        <w:rPr>
          <w:rFonts w:hint="eastAsia"/>
        </w:rPr>
        <w:t>日，北京中绣锦华会计师事务所有限公司出具《验资报告》（中绣锦华验字［</w:t>
      </w:r>
      <w:r w:rsidRPr="00B4515A">
        <w:t>2008</w:t>
      </w:r>
      <w:r w:rsidRPr="00B4515A">
        <w:rPr>
          <w:rFonts w:hint="eastAsia"/>
        </w:rPr>
        <w:t>］第</w:t>
      </w:r>
      <w:r w:rsidRPr="00B4515A">
        <w:t>0005</w:t>
      </w:r>
      <w:r w:rsidRPr="00B4515A">
        <w:rPr>
          <w:rFonts w:hint="eastAsia"/>
        </w:rPr>
        <w:t>号），经审验，截至</w:t>
      </w:r>
      <w:r w:rsidRPr="00B4515A">
        <w:t>2008</w:t>
      </w:r>
      <w:r w:rsidRPr="00B4515A">
        <w:rPr>
          <w:rFonts w:hint="eastAsia"/>
        </w:rPr>
        <w:t>年</w:t>
      </w:r>
      <w:r w:rsidRPr="00B4515A">
        <w:t>12</w:t>
      </w:r>
      <w:r w:rsidRPr="00B4515A">
        <w:rPr>
          <w:rFonts w:hint="eastAsia"/>
        </w:rPr>
        <w:t>月</w:t>
      </w:r>
      <w:r w:rsidRPr="00B4515A">
        <w:t>19</w:t>
      </w:r>
      <w:r w:rsidRPr="00B4515A">
        <w:rPr>
          <w:rFonts w:hint="eastAsia"/>
        </w:rPr>
        <w:t>日止，大唐联诚收到电信科学技术研究院缴纳的注册资本（实收资本），合计人民币</w:t>
      </w:r>
      <w:r w:rsidRPr="00B4515A">
        <w:t>1</w:t>
      </w:r>
      <w:r w:rsidRPr="00B4515A">
        <w:rPr>
          <w:rFonts w:hint="eastAsia"/>
        </w:rPr>
        <w:t>亿元，出资方式为货币资金。</w:t>
      </w:r>
    </w:p>
    <w:p w14:paraId="57F01740" w14:textId="77777777" w:rsidR="006416B0" w:rsidRPr="00B4515A" w:rsidRDefault="005E58C1" w:rsidP="005860B4">
      <w:pPr>
        <w:pStyle w:val="005"/>
        <w:spacing w:before="120" w:after="120"/>
        <w:ind w:firstLine="480"/>
      </w:pPr>
      <w:r w:rsidRPr="00B4515A">
        <w:t>2008</w:t>
      </w:r>
      <w:r w:rsidRPr="00B4515A">
        <w:t>年</w:t>
      </w:r>
      <w:r w:rsidRPr="00B4515A">
        <w:t>12</w:t>
      </w:r>
      <w:r w:rsidRPr="00B4515A">
        <w:t>月</w:t>
      </w:r>
      <w:r w:rsidRPr="00B4515A">
        <w:t>26</w:t>
      </w:r>
      <w:r w:rsidRPr="00B4515A">
        <w:t>日，国家工商行政管理总局向大唐联诚核发了《企业法人</w:t>
      </w:r>
      <w:r w:rsidRPr="00B4515A">
        <w:lastRenderedPageBreak/>
        <w:t>营业执照》（注册号：</w:t>
      </w:r>
      <w:r w:rsidRPr="00B4515A">
        <w:t>100000000041999</w:t>
      </w:r>
      <w:r w:rsidRPr="00B4515A">
        <w:t>）。</w:t>
      </w:r>
    </w:p>
    <w:p w14:paraId="30B8E737" w14:textId="77777777" w:rsidR="006416B0" w:rsidRPr="00B4515A" w:rsidRDefault="005E58C1" w:rsidP="005860B4">
      <w:pPr>
        <w:pStyle w:val="005"/>
        <w:spacing w:before="120" w:after="120"/>
        <w:ind w:firstLine="480"/>
      </w:pPr>
      <w:r w:rsidRPr="00B4515A">
        <w:rPr>
          <w:rFonts w:hint="eastAsia"/>
        </w:rPr>
        <w:t>大唐联诚设立时的股权结构为：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84"/>
        <w:gridCol w:w="2413"/>
        <w:gridCol w:w="2189"/>
        <w:gridCol w:w="1950"/>
        <w:gridCol w:w="1192"/>
      </w:tblGrid>
      <w:tr w:rsidR="006416B0" w:rsidRPr="00B4515A" w14:paraId="7AFC5E67" w14:textId="77777777" w:rsidTr="00031627">
        <w:trPr>
          <w:trHeight w:val="340"/>
          <w:jc w:val="center"/>
        </w:trPr>
        <w:tc>
          <w:tcPr>
            <w:tcW w:w="761" w:type="dxa"/>
            <w:tcMar>
              <w:top w:w="0" w:type="dxa"/>
              <w:left w:w="108" w:type="dxa"/>
              <w:bottom w:w="0" w:type="dxa"/>
              <w:right w:w="108" w:type="dxa"/>
            </w:tcMar>
            <w:vAlign w:val="center"/>
          </w:tcPr>
          <w:p w14:paraId="408AF13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2343" w:type="dxa"/>
            <w:tcMar>
              <w:top w:w="0" w:type="dxa"/>
              <w:left w:w="108" w:type="dxa"/>
              <w:bottom w:w="0" w:type="dxa"/>
              <w:right w:w="108" w:type="dxa"/>
            </w:tcMar>
            <w:vAlign w:val="center"/>
          </w:tcPr>
          <w:p w14:paraId="2D54825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股东名称</w:t>
            </w:r>
          </w:p>
        </w:tc>
        <w:tc>
          <w:tcPr>
            <w:tcW w:w="2126" w:type="dxa"/>
            <w:tcMar>
              <w:top w:w="0" w:type="dxa"/>
              <w:left w:w="108" w:type="dxa"/>
              <w:bottom w:w="0" w:type="dxa"/>
              <w:right w:w="108" w:type="dxa"/>
            </w:tcMar>
            <w:vAlign w:val="center"/>
          </w:tcPr>
          <w:p w14:paraId="1E19997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出资额（万元）</w:t>
            </w:r>
          </w:p>
        </w:tc>
        <w:tc>
          <w:tcPr>
            <w:tcW w:w="1894" w:type="dxa"/>
            <w:tcMar>
              <w:top w:w="0" w:type="dxa"/>
              <w:left w:w="108" w:type="dxa"/>
              <w:bottom w:w="0" w:type="dxa"/>
              <w:right w:w="108" w:type="dxa"/>
            </w:tcMar>
            <w:vAlign w:val="center"/>
          </w:tcPr>
          <w:p w14:paraId="5720BA0D"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出资比例（</w:t>
            </w:r>
            <w:r w:rsidRPr="00B4515A">
              <w:rPr>
                <w:rFonts w:ascii="Times New Roman" w:hAnsi="Times New Roman" w:cs="Times New Roman"/>
                <w:b/>
                <w:sz w:val="21"/>
                <w:szCs w:val="21"/>
              </w:rPr>
              <w:t>%</w:t>
            </w:r>
            <w:r w:rsidRPr="00B4515A">
              <w:rPr>
                <w:rFonts w:ascii="Times New Roman" w:hAnsi="Times New Roman" w:cs="Times New Roman" w:hint="eastAsia"/>
                <w:b/>
                <w:sz w:val="21"/>
                <w:szCs w:val="21"/>
              </w:rPr>
              <w:t>）</w:t>
            </w:r>
          </w:p>
        </w:tc>
        <w:tc>
          <w:tcPr>
            <w:tcW w:w="1158" w:type="dxa"/>
            <w:tcMar>
              <w:top w:w="0" w:type="dxa"/>
              <w:left w:w="108" w:type="dxa"/>
              <w:bottom w:w="0" w:type="dxa"/>
              <w:right w:w="108" w:type="dxa"/>
            </w:tcMar>
            <w:vAlign w:val="center"/>
          </w:tcPr>
          <w:p w14:paraId="1D8E666E"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出资方式</w:t>
            </w:r>
          </w:p>
        </w:tc>
      </w:tr>
      <w:tr w:rsidR="006416B0" w:rsidRPr="00B4515A" w14:paraId="647BFAE1" w14:textId="77777777" w:rsidTr="00031627">
        <w:trPr>
          <w:trHeight w:val="340"/>
          <w:jc w:val="center"/>
        </w:trPr>
        <w:tc>
          <w:tcPr>
            <w:tcW w:w="761" w:type="dxa"/>
            <w:tcMar>
              <w:top w:w="0" w:type="dxa"/>
              <w:left w:w="108" w:type="dxa"/>
              <w:bottom w:w="0" w:type="dxa"/>
              <w:right w:w="108" w:type="dxa"/>
            </w:tcMar>
            <w:vAlign w:val="center"/>
          </w:tcPr>
          <w:p w14:paraId="3EBE8A7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2343" w:type="dxa"/>
            <w:tcMar>
              <w:top w:w="0" w:type="dxa"/>
              <w:left w:w="108" w:type="dxa"/>
              <w:bottom w:w="0" w:type="dxa"/>
              <w:right w:w="108" w:type="dxa"/>
            </w:tcMar>
            <w:vAlign w:val="center"/>
          </w:tcPr>
          <w:p w14:paraId="2ED279D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电信科学技术研究院</w:t>
            </w:r>
          </w:p>
        </w:tc>
        <w:tc>
          <w:tcPr>
            <w:tcW w:w="2126" w:type="dxa"/>
            <w:tcMar>
              <w:top w:w="0" w:type="dxa"/>
              <w:left w:w="108" w:type="dxa"/>
              <w:bottom w:w="0" w:type="dxa"/>
              <w:right w:w="108" w:type="dxa"/>
            </w:tcMar>
            <w:vAlign w:val="center"/>
          </w:tcPr>
          <w:p w14:paraId="5B9987B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10,000.00</w:t>
            </w:r>
          </w:p>
        </w:tc>
        <w:tc>
          <w:tcPr>
            <w:tcW w:w="1894" w:type="dxa"/>
            <w:tcMar>
              <w:top w:w="0" w:type="dxa"/>
              <w:left w:w="108" w:type="dxa"/>
              <w:bottom w:w="0" w:type="dxa"/>
              <w:right w:w="108" w:type="dxa"/>
            </w:tcMar>
            <w:vAlign w:val="center"/>
          </w:tcPr>
          <w:p w14:paraId="2BF9854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100.00</w:t>
            </w:r>
          </w:p>
        </w:tc>
        <w:tc>
          <w:tcPr>
            <w:tcW w:w="1158" w:type="dxa"/>
            <w:tcMar>
              <w:top w:w="0" w:type="dxa"/>
              <w:left w:w="108" w:type="dxa"/>
              <w:bottom w:w="0" w:type="dxa"/>
              <w:right w:w="108" w:type="dxa"/>
            </w:tcMar>
            <w:vAlign w:val="center"/>
          </w:tcPr>
          <w:p w14:paraId="1E7AB4E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7A83D961" w14:textId="77777777" w:rsidTr="00031627">
        <w:trPr>
          <w:trHeight w:val="340"/>
          <w:jc w:val="center"/>
        </w:trPr>
        <w:tc>
          <w:tcPr>
            <w:tcW w:w="3104" w:type="dxa"/>
            <w:gridSpan w:val="2"/>
            <w:tcMar>
              <w:top w:w="0" w:type="dxa"/>
              <w:left w:w="108" w:type="dxa"/>
              <w:bottom w:w="0" w:type="dxa"/>
              <w:right w:w="108" w:type="dxa"/>
            </w:tcMar>
            <w:vAlign w:val="center"/>
          </w:tcPr>
          <w:p w14:paraId="0354839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合计</w:t>
            </w:r>
          </w:p>
        </w:tc>
        <w:tc>
          <w:tcPr>
            <w:tcW w:w="2126" w:type="dxa"/>
            <w:tcMar>
              <w:top w:w="0" w:type="dxa"/>
              <w:left w:w="108" w:type="dxa"/>
              <w:bottom w:w="0" w:type="dxa"/>
              <w:right w:w="108" w:type="dxa"/>
            </w:tcMar>
            <w:vAlign w:val="center"/>
          </w:tcPr>
          <w:p w14:paraId="5C485F37"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10,000.00</w:t>
            </w:r>
          </w:p>
        </w:tc>
        <w:tc>
          <w:tcPr>
            <w:tcW w:w="1894" w:type="dxa"/>
            <w:tcMar>
              <w:top w:w="0" w:type="dxa"/>
              <w:left w:w="108" w:type="dxa"/>
              <w:bottom w:w="0" w:type="dxa"/>
              <w:right w:w="108" w:type="dxa"/>
            </w:tcMar>
            <w:vAlign w:val="center"/>
          </w:tcPr>
          <w:p w14:paraId="5F799F64"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100.00</w:t>
            </w:r>
          </w:p>
        </w:tc>
        <w:tc>
          <w:tcPr>
            <w:tcW w:w="1158" w:type="dxa"/>
            <w:tcMar>
              <w:top w:w="0" w:type="dxa"/>
              <w:left w:w="108" w:type="dxa"/>
              <w:bottom w:w="0" w:type="dxa"/>
              <w:right w:w="108" w:type="dxa"/>
            </w:tcMar>
            <w:vAlign w:val="center"/>
          </w:tcPr>
          <w:p w14:paraId="57E4AB13" w14:textId="77777777" w:rsidR="006416B0" w:rsidRPr="00B4515A" w:rsidRDefault="006416B0" w:rsidP="005860B4">
            <w:pPr>
              <w:adjustRightInd w:val="0"/>
              <w:snapToGrid w:val="0"/>
              <w:jc w:val="center"/>
              <w:rPr>
                <w:rFonts w:ascii="Times New Roman" w:hAnsi="Times New Roman" w:cs="Times New Roman"/>
                <w:b/>
                <w:sz w:val="21"/>
                <w:szCs w:val="21"/>
              </w:rPr>
            </w:pPr>
          </w:p>
        </w:tc>
      </w:tr>
    </w:tbl>
    <w:p w14:paraId="2F376A81" w14:textId="77777777" w:rsidR="006416B0" w:rsidRPr="00B4515A" w:rsidRDefault="005E58C1" w:rsidP="005860B4">
      <w:pPr>
        <w:pStyle w:val="004"/>
        <w:spacing w:before="120" w:after="120"/>
        <w:ind w:firstLine="482"/>
      </w:pPr>
      <w:r w:rsidRPr="00B4515A">
        <w:t>2</w:t>
      </w:r>
      <w:r w:rsidRPr="00B4515A">
        <w:rPr>
          <w:rFonts w:hint="eastAsia"/>
        </w:rPr>
        <w:t>、</w:t>
      </w:r>
      <w:r w:rsidRPr="00B4515A">
        <w:t>2012</w:t>
      </w:r>
      <w:r w:rsidRPr="00B4515A">
        <w:rPr>
          <w:rFonts w:hint="eastAsia"/>
        </w:rPr>
        <w:t>年</w:t>
      </w:r>
      <w:r w:rsidRPr="00B4515A">
        <w:t>1</w:t>
      </w:r>
      <w:r w:rsidRPr="00B4515A">
        <w:rPr>
          <w:rFonts w:hint="eastAsia"/>
        </w:rPr>
        <w:t>月，注册资本增至</w:t>
      </w:r>
      <w:r w:rsidRPr="00B4515A">
        <w:t>13,326</w:t>
      </w:r>
      <w:r w:rsidRPr="00B4515A">
        <w:rPr>
          <w:rFonts w:hint="eastAsia"/>
        </w:rPr>
        <w:t>万元</w:t>
      </w:r>
    </w:p>
    <w:p w14:paraId="7BFDB1E6" w14:textId="77777777" w:rsidR="006416B0" w:rsidRPr="00B4515A" w:rsidRDefault="005E58C1" w:rsidP="005860B4">
      <w:pPr>
        <w:pStyle w:val="005"/>
        <w:spacing w:before="120" w:after="120"/>
        <w:ind w:firstLine="480"/>
      </w:pPr>
      <w:r w:rsidRPr="00B4515A">
        <w:t>2011</w:t>
      </w:r>
      <w:r w:rsidRPr="00B4515A">
        <w:t>年</w:t>
      </w:r>
      <w:r w:rsidRPr="00B4515A">
        <w:t>4</w:t>
      </w:r>
      <w:r w:rsidRPr="00B4515A">
        <w:t>月</w:t>
      </w:r>
      <w:r w:rsidRPr="00B4515A">
        <w:t>27</w:t>
      </w:r>
      <w:r w:rsidRPr="00B4515A">
        <w:t>日，电信科学技术研究院出具院财［</w:t>
      </w:r>
      <w:r w:rsidRPr="00B4515A">
        <w:t>2011</w:t>
      </w:r>
      <w:r w:rsidRPr="00B4515A">
        <w:t>］</w:t>
      </w:r>
      <w:r w:rsidRPr="00B4515A">
        <w:t>184</w:t>
      </w:r>
      <w:r w:rsidRPr="00B4515A">
        <w:t>号《关于大唐联诚申请增加注册资金的批复》，原则同意大唐联诚申请增加注册资本金。</w:t>
      </w:r>
    </w:p>
    <w:p w14:paraId="4E9EB8FE" w14:textId="77777777" w:rsidR="006416B0" w:rsidRPr="00B4515A" w:rsidRDefault="005E58C1" w:rsidP="005860B4">
      <w:pPr>
        <w:pStyle w:val="005"/>
        <w:spacing w:before="120" w:after="120"/>
        <w:ind w:firstLine="480"/>
      </w:pPr>
      <w:r w:rsidRPr="00B4515A">
        <w:t>2011</w:t>
      </w:r>
      <w:r w:rsidRPr="00B4515A">
        <w:t>年</w:t>
      </w:r>
      <w:r w:rsidRPr="00B4515A">
        <w:t>12</w:t>
      </w:r>
      <w:r w:rsidRPr="00B4515A">
        <w:t>月</w:t>
      </w:r>
      <w:r w:rsidRPr="00B4515A">
        <w:t>6</w:t>
      </w:r>
      <w:r w:rsidRPr="00B4515A">
        <w:t>日，电信科学技术研究院作出股东决定，同意大唐联诚注册资本由</w:t>
      </w:r>
      <w:r w:rsidRPr="00B4515A">
        <w:t>10,000</w:t>
      </w:r>
      <w:r w:rsidRPr="00B4515A">
        <w:t>万元增加到</w:t>
      </w:r>
      <w:r w:rsidRPr="00B4515A">
        <w:t>13,326</w:t>
      </w:r>
      <w:r w:rsidRPr="00B4515A">
        <w:t>万元，由大唐控股向大唐联诚新增货币出资</w:t>
      </w:r>
      <w:r w:rsidRPr="00B4515A">
        <w:t>10,000</w:t>
      </w:r>
      <w:r w:rsidRPr="00B4515A">
        <w:t>万元认购。</w:t>
      </w:r>
    </w:p>
    <w:p w14:paraId="3A2BCC9A" w14:textId="77777777" w:rsidR="006416B0" w:rsidRPr="00B4515A" w:rsidRDefault="005E58C1" w:rsidP="005860B4">
      <w:pPr>
        <w:pStyle w:val="005"/>
        <w:spacing w:before="120" w:after="120"/>
        <w:ind w:firstLine="480"/>
      </w:pPr>
      <w:r w:rsidRPr="00B4515A">
        <w:t>2011</w:t>
      </w:r>
      <w:r w:rsidRPr="00B4515A">
        <w:t>年</w:t>
      </w:r>
      <w:r w:rsidRPr="00B4515A">
        <w:t>12</w:t>
      </w:r>
      <w:r w:rsidRPr="00B4515A">
        <w:t>月</w:t>
      </w:r>
      <w:r w:rsidRPr="00B4515A">
        <w:t>8</w:t>
      </w:r>
      <w:r w:rsidRPr="00B4515A">
        <w:t>日，</w:t>
      </w:r>
      <w:r w:rsidRPr="00B4515A">
        <w:rPr>
          <w:lang w:eastAsia="zh-Hans"/>
        </w:rPr>
        <w:t>经</w:t>
      </w:r>
      <w:r w:rsidRPr="00B4515A">
        <w:t>北京中绣锦华会计师事务所有限公司出具《验资报告》（中绣锦华验字［</w:t>
      </w:r>
      <w:r w:rsidRPr="00B4515A">
        <w:t>2011</w:t>
      </w:r>
      <w:r w:rsidRPr="00B4515A">
        <w:t>］第</w:t>
      </w:r>
      <w:r w:rsidRPr="00B4515A">
        <w:t>11009</w:t>
      </w:r>
      <w:r w:rsidRPr="00B4515A">
        <w:t>号）审验，</w:t>
      </w:r>
      <w:r w:rsidRPr="00B4515A">
        <w:rPr>
          <w:lang w:eastAsia="zh-Hans"/>
        </w:rPr>
        <w:t>新增出资已经到位</w:t>
      </w:r>
      <w:r w:rsidRPr="00B4515A">
        <w:t>。</w:t>
      </w:r>
    </w:p>
    <w:p w14:paraId="3D55121A" w14:textId="77777777" w:rsidR="006416B0" w:rsidRPr="00B4515A" w:rsidRDefault="005E58C1" w:rsidP="005860B4">
      <w:pPr>
        <w:pStyle w:val="005"/>
        <w:spacing w:before="120" w:after="120"/>
        <w:ind w:firstLine="480"/>
      </w:pPr>
      <w:r w:rsidRPr="00B4515A">
        <w:t>2012</w:t>
      </w:r>
      <w:r w:rsidRPr="00B4515A">
        <w:t>年</w:t>
      </w:r>
      <w:r w:rsidRPr="00B4515A">
        <w:t>1</w:t>
      </w:r>
      <w:r w:rsidRPr="00B4515A">
        <w:t>月</w:t>
      </w:r>
      <w:r w:rsidRPr="00B4515A">
        <w:t>13</w:t>
      </w:r>
      <w:r w:rsidRPr="00B4515A">
        <w:t>日，大唐联诚在国家工商行政管理总局办理完毕本次增资的工商变更登记手续，并取得换发的注册号</w:t>
      </w:r>
      <w:r w:rsidRPr="00B4515A">
        <w:rPr>
          <w:color w:val="000000"/>
        </w:rPr>
        <w:t>100000000041999</w:t>
      </w:r>
      <w:r w:rsidRPr="00B4515A">
        <w:t>《营业执照》。</w:t>
      </w:r>
    </w:p>
    <w:p w14:paraId="03A44757" w14:textId="77777777" w:rsidR="006416B0" w:rsidRPr="00B4515A" w:rsidRDefault="005E58C1" w:rsidP="005860B4">
      <w:pPr>
        <w:pStyle w:val="005"/>
        <w:spacing w:before="120" w:after="120"/>
        <w:ind w:firstLine="480"/>
      </w:pPr>
      <w:r w:rsidRPr="00B4515A">
        <w:rPr>
          <w:rFonts w:hint="eastAsia"/>
        </w:rPr>
        <w:t>本次增资完成后，大唐联诚的股权结构为：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2528"/>
        <w:gridCol w:w="1895"/>
        <w:gridCol w:w="1961"/>
        <w:gridCol w:w="1327"/>
      </w:tblGrid>
      <w:tr w:rsidR="006416B0" w:rsidRPr="00B4515A" w14:paraId="413AFC5C" w14:textId="77777777" w:rsidTr="00031627">
        <w:trPr>
          <w:trHeight w:val="340"/>
          <w:jc w:val="center"/>
        </w:trPr>
        <w:tc>
          <w:tcPr>
            <w:tcW w:w="479" w:type="pct"/>
            <w:tcMar>
              <w:top w:w="0" w:type="dxa"/>
              <w:left w:w="108" w:type="dxa"/>
              <w:bottom w:w="0" w:type="dxa"/>
              <w:right w:w="108" w:type="dxa"/>
            </w:tcMar>
            <w:vAlign w:val="center"/>
          </w:tcPr>
          <w:p w14:paraId="50518A8E"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1482" w:type="pct"/>
            <w:tcMar>
              <w:top w:w="0" w:type="dxa"/>
              <w:left w:w="108" w:type="dxa"/>
              <w:bottom w:w="0" w:type="dxa"/>
              <w:right w:w="108" w:type="dxa"/>
            </w:tcMar>
            <w:vAlign w:val="center"/>
          </w:tcPr>
          <w:p w14:paraId="633D3B08"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股东名称</w:t>
            </w:r>
          </w:p>
        </w:tc>
        <w:tc>
          <w:tcPr>
            <w:tcW w:w="1111" w:type="pct"/>
            <w:tcMar>
              <w:top w:w="0" w:type="dxa"/>
              <w:left w:w="108" w:type="dxa"/>
              <w:bottom w:w="0" w:type="dxa"/>
              <w:right w:w="108" w:type="dxa"/>
            </w:tcMar>
            <w:vAlign w:val="center"/>
          </w:tcPr>
          <w:p w14:paraId="3F0E8CC1"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出资额（万元）</w:t>
            </w:r>
          </w:p>
        </w:tc>
        <w:tc>
          <w:tcPr>
            <w:tcW w:w="1150" w:type="pct"/>
            <w:tcMar>
              <w:top w:w="0" w:type="dxa"/>
              <w:left w:w="108" w:type="dxa"/>
              <w:bottom w:w="0" w:type="dxa"/>
              <w:right w:w="108" w:type="dxa"/>
            </w:tcMar>
            <w:vAlign w:val="center"/>
          </w:tcPr>
          <w:p w14:paraId="2C3AA2B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出资比例（％）</w:t>
            </w:r>
          </w:p>
        </w:tc>
        <w:tc>
          <w:tcPr>
            <w:tcW w:w="778" w:type="pct"/>
            <w:tcMar>
              <w:top w:w="0" w:type="dxa"/>
              <w:left w:w="108" w:type="dxa"/>
              <w:bottom w:w="0" w:type="dxa"/>
              <w:right w:w="108" w:type="dxa"/>
            </w:tcMar>
            <w:vAlign w:val="center"/>
          </w:tcPr>
          <w:p w14:paraId="60809E0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出资方式</w:t>
            </w:r>
          </w:p>
        </w:tc>
      </w:tr>
      <w:tr w:rsidR="006416B0" w:rsidRPr="00B4515A" w14:paraId="050578DC" w14:textId="77777777" w:rsidTr="00031627">
        <w:trPr>
          <w:trHeight w:val="340"/>
          <w:jc w:val="center"/>
        </w:trPr>
        <w:tc>
          <w:tcPr>
            <w:tcW w:w="479" w:type="pct"/>
            <w:tcMar>
              <w:top w:w="0" w:type="dxa"/>
              <w:left w:w="108" w:type="dxa"/>
              <w:bottom w:w="0" w:type="dxa"/>
              <w:right w:w="108" w:type="dxa"/>
            </w:tcMar>
            <w:vAlign w:val="center"/>
          </w:tcPr>
          <w:p w14:paraId="0EF0276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482" w:type="pct"/>
            <w:tcMar>
              <w:top w:w="0" w:type="dxa"/>
              <w:left w:w="108" w:type="dxa"/>
              <w:bottom w:w="0" w:type="dxa"/>
              <w:right w:w="108" w:type="dxa"/>
            </w:tcMar>
            <w:vAlign w:val="center"/>
          </w:tcPr>
          <w:p w14:paraId="2E241C9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电信科学技术研究院</w:t>
            </w:r>
          </w:p>
        </w:tc>
        <w:tc>
          <w:tcPr>
            <w:tcW w:w="1111" w:type="pct"/>
            <w:tcMar>
              <w:top w:w="0" w:type="dxa"/>
              <w:left w:w="108" w:type="dxa"/>
              <w:bottom w:w="0" w:type="dxa"/>
              <w:right w:w="108" w:type="dxa"/>
            </w:tcMar>
            <w:vAlign w:val="center"/>
          </w:tcPr>
          <w:p w14:paraId="3A69B0F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10,000.00</w:t>
            </w:r>
          </w:p>
        </w:tc>
        <w:tc>
          <w:tcPr>
            <w:tcW w:w="1150" w:type="pct"/>
            <w:tcMar>
              <w:top w:w="0" w:type="dxa"/>
              <w:left w:w="108" w:type="dxa"/>
              <w:bottom w:w="0" w:type="dxa"/>
              <w:right w:w="108" w:type="dxa"/>
            </w:tcMar>
            <w:vAlign w:val="center"/>
          </w:tcPr>
          <w:p w14:paraId="03B69A9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75.04</w:t>
            </w:r>
          </w:p>
        </w:tc>
        <w:tc>
          <w:tcPr>
            <w:tcW w:w="778" w:type="pct"/>
            <w:tcMar>
              <w:top w:w="0" w:type="dxa"/>
              <w:left w:w="108" w:type="dxa"/>
              <w:bottom w:w="0" w:type="dxa"/>
              <w:right w:w="108" w:type="dxa"/>
            </w:tcMar>
            <w:vAlign w:val="center"/>
          </w:tcPr>
          <w:p w14:paraId="0F5683A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7074D6B8" w14:textId="77777777" w:rsidTr="00031627">
        <w:trPr>
          <w:trHeight w:val="340"/>
          <w:jc w:val="center"/>
        </w:trPr>
        <w:tc>
          <w:tcPr>
            <w:tcW w:w="479" w:type="pct"/>
            <w:tcMar>
              <w:top w:w="0" w:type="dxa"/>
              <w:left w:w="108" w:type="dxa"/>
              <w:bottom w:w="0" w:type="dxa"/>
              <w:right w:w="108" w:type="dxa"/>
            </w:tcMar>
            <w:vAlign w:val="center"/>
          </w:tcPr>
          <w:p w14:paraId="3DFA459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1482" w:type="pct"/>
            <w:tcMar>
              <w:top w:w="0" w:type="dxa"/>
              <w:left w:w="108" w:type="dxa"/>
              <w:bottom w:w="0" w:type="dxa"/>
              <w:right w:w="108" w:type="dxa"/>
            </w:tcMar>
            <w:vAlign w:val="center"/>
          </w:tcPr>
          <w:p w14:paraId="454BCDF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大唐控股</w:t>
            </w:r>
          </w:p>
        </w:tc>
        <w:tc>
          <w:tcPr>
            <w:tcW w:w="1111" w:type="pct"/>
            <w:tcMar>
              <w:top w:w="0" w:type="dxa"/>
              <w:left w:w="108" w:type="dxa"/>
              <w:bottom w:w="0" w:type="dxa"/>
              <w:right w:w="108" w:type="dxa"/>
            </w:tcMar>
            <w:vAlign w:val="center"/>
          </w:tcPr>
          <w:p w14:paraId="0829C4C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3,326.00</w:t>
            </w:r>
          </w:p>
        </w:tc>
        <w:tc>
          <w:tcPr>
            <w:tcW w:w="1150" w:type="pct"/>
            <w:tcMar>
              <w:top w:w="0" w:type="dxa"/>
              <w:left w:w="108" w:type="dxa"/>
              <w:bottom w:w="0" w:type="dxa"/>
              <w:right w:w="108" w:type="dxa"/>
            </w:tcMar>
            <w:vAlign w:val="center"/>
          </w:tcPr>
          <w:p w14:paraId="456F527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24.96</w:t>
            </w:r>
          </w:p>
        </w:tc>
        <w:tc>
          <w:tcPr>
            <w:tcW w:w="778" w:type="pct"/>
            <w:tcMar>
              <w:top w:w="0" w:type="dxa"/>
              <w:left w:w="108" w:type="dxa"/>
              <w:bottom w:w="0" w:type="dxa"/>
              <w:right w:w="108" w:type="dxa"/>
            </w:tcMar>
            <w:vAlign w:val="center"/>
          </w:tcPr>
          <w:p w14:paraId="5ABBC4A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3C3C7742" w14:textId="77777777" w:rsidTr="00031627">
        <w:trPr>
          <w:trHeight w:val="340"/>
          <w:jc w:val="center"/>
        </w:trPr>
        <w:tc>
          <w:tcPr>
            <w:tcW w:w="1961" w:type="pct"/>
            <w:gridSpan w:val="2"/>
            <w:tcMar>
              <w:top w:w="0" w:type="dxa"/>
              <w:left w:w="108" w:type="dxa"/>
              <w:bottom w:w="0" w:type="dxa"/>
              <w:right w:w="108" w:type="dxa"/>
            </w:tcMar>
            <w:vAlign w:val="center"/>
          </w:tcPr>
          <w:p w14:paraId="4D5E41AF"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合计</w:t>
            </w:r>
          </w:p>
        </w:tc>
        <w:tc>
          <w:tcPr>
            <w:tcW w:w="1111" w:type="pct"/>
            <w:tcMar>
              <w:top w:w="0" w:type="dxa"/>
              <w:left w:w="108" w:type="dxa"/>
              <w:bottom w:w="0" w:type="dxa"/>
              <w:right w:w="108" w:type="dxa"/>
            </w:tcMar>
            <w:vAlign w:val="center"/>
          </w:tcPr>
          <w:p w14:paraId="340AC5B2"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13,326.00</w:t>
            </w:r>
          </w:p>
        </w:tc>
        <w:tc>
          <w:tcPr>
            <w:tcW w:w="1150" w:type="pct"/>
            <w:tcMar>
              <w:top w:w="0" w:type="dxa"/>
              <w:left w:w="108" w:type="dxa"/>
              <w:bottom w:w="0" w:type="dxa"/>
              <w:right w:w="108" w:type="dxa"/>
            </w:tcMar>
            <w:vAlign w:val="center"/>
          </w:tcPr>
          <w:p w14:paraId="1C4EFF74"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100.00</w:t>
            </w:r>
          </w:p>
        </w:tc>
        <w:tc>
          <w:tcPr>
            <w:tcW w:w="778" w:type="pct"/>
            <w:tcMar>
              <w:top w:w="0" w:type="dxa"/>
              <w:left w:w="108" w:type="dxa"/>
              <w:bottom w:w="0" w:type="dxa"/>
              <w:right w:w="108" w:type="dxa"/>
            </w:tcMar>
            <w:vAlign w:val="center"/>
          </w:tcPr>
          <w:p w14:paraId="1DAACB0D" w14:textId="77777777" w:rsidR="006416B0" w:rsidRPr="00B4515A" w:rsidRDefault="006416B0" w:rsidP="005860B4">
            <w:pPr>
              <w:adjustRightInd w:val="0"/>
              <w:snapToGrid w:val="0"/>
              <w:jc w:val="center"/>
              <w:rPr>
                <w:rFonts w:ascii="Times New Roman" w:hAnsi="Times New Roman" w:cs="Times New Roman"/>
                <w:b/>
                <w:sz w:val="21"/>
                <w:szCs w:val="21"/>
              </w:rPr>
            </w:pPr>
          </w:p>
        </w:tc>
      </w:tr>
    </w:tbl>
    <w:p w14:paraId="76B7E807" w14:textId="77777777" w:rsidR="006416B0" w:rsidRPr="00B4515A" w:rsidRDefault="005E58C1" w:rsidP="005860B4">
      <w:pPr>
        <w:pStyle w:val="004"/>
        <w:spacing w:before="120" w:after="120"/>
        <w:ind w:firstLine="482"/>
      </w:pPr>
      <w:r w:rsidRPr="00B4515A">
        <w:t>3</w:t>
      </w:r>
      <w:r w:rsidRPr="00B4515A">
        <w:rPr>
          <w:rFonts w:hint="eastAsia"/>
        </w:rPr>
        <w:t>、</w:t>
      </w:r>
      <w:r w:rsidRPr="00B4515A">
        <w:t>2013</w:t>
      </w:r>
      <w:r w:rsidRPr="00B4515A">
        <w:rPr>
          <w:rFonts w:hint="eastAsia"/>
        </w:rPr>
        <w:t>年</w:t>
      </w:r>
      <w:r w:rsidRPr="00B4515A">
        <w:t>2</w:t>
      </w:r>
      <w:r w:rsidRPr="00B4515A">
        <w:rPr>
          <w:rFonts w:hint="eastAsia"/>
        </w:rPr>
        <w:t>月，注册资本增至</w:t>
      </w:r>
      <w:r w:rsidRPr="00B4515A">
        <w:t>15,897.715</w:t>
      </w:r>
      <w:r w:rsidRPr="00B4515A">
        <w:rPr>
          <w:rFonts w:hint="eastAsia"/>
        </w:rPr>
        <w:t>万元</w:t>
      </w:r>
    </w:p>
    <w:p w14:paraId="084D5892" w14:textId="77777777" w:rsidR="006416B0" w:rsidRPr="00B4515A" w:rsidRDefault="005E58C1" w:rsidP="005860B4">
      <w:pPr>
        <w:pStyle w:val="005"/>
        <w:spacing w:before="120" w:after="120"/>
        <w:ind w:firstLine="480"/>
      </w:pPr>
      <w:r w:rsidRPr="00B4515A">
        <w:t>2012</w:t>
      </w:r>
      <w:r w:rsidRPr="00B4515A">
        <w:t>年</w:t>
      </w:r>
      <w:r w:rsidRPr="00B4515A">
        <w:t>12</w:t>
      </w:r>
      <w:r w:rsidRPr="00B4515A">
        <w:t>月</w:t>
      </w:r>
      <w:r w:rsidRPr="00B4515A">
        <w:t>24</w:t>
      </w:r>
      <w:r w:rsidRPr="00B4515A">
        <w:t>日，经大唐联诚</w:t>
      </w:r>
      <w:r w:rsidRPr="00B4515A">
        <w:t>2012</w:t>
      </w:r>
      <w:r w:rsidRPr="00B4515A">
        <w:t>年第一次临时股东会会议审议同意，大唐联诚注册资本由</w:t>
      </w:r>
      <w:r w:rsidRPr="00B4515A">
        <w:t>13,326</w:t>
      </w:r>
      <w:r w:rsidRPr="00B4515A">
        <w:t>万元增加到</w:t>
      </w:r>
      <w:r w:rsidRPr="00B4515A">
        <w:t>15,897.715</w:t>
      </w:r>
      <w:r w:rsidRPr="00B4515A">
        <w:t>万元，新增出资由电信科学技术研究院新增货币出资</w:t>
      </w:r>
      <w:r w:rsidRPr="00B4515A">
        <w:t>6,600</w:t>
      </w:r>
      <w:r w:rsidRPr="00B4515A">
        <w:t>万元认购。通过《关于修订大唐联诚公司章程的议案》。</w:t>
      </w:r>
    </w:p>
    <w:p w14:paraId="1A4B8E9E" w14:textId="77777777" w:rsidR="006416B0" w:rsidRPr="00B4515A" w:rsidRDefault="005E58C1" w:rsidP="005860B4">
      <w:pPr>
        <w:pStyle w:val="005"/>
        <w:spacing w:before="120" w:after="120"/>
        <w:ind w:firstLine="480"/>
      </w:pPr>
      <w:r w:rsidRPr="00B4515A">
        <w:t>2013</w:t>
      </w:r>
      <w:r w:rsidRPr="00B4515A">
        <w:t>年</w:t>
      </w:r>
      <w:r w:rsidRPr="00B4515A">
        <w:t>1</w:t>
      </w:r>
      <w:r w:rsidRPr="00B4515A">
        <w:t>月</w:t>
      </w:r>
      <w:r w:rsidRPr="00B4515A">
        <w:t>8</w:t>
      </w:r>
      <w:r w:rsidRPr="00B4515A">
        <w:t>日，经北京中绣锦华会计师事务所有限公司出具《验资报告》（中绣锦华验字</w:t>
      </w:r>
      <w:r w:rsidRPr="00B4515A">
        <w:rPr>
          <w:rFonts w:hint="eastAsia"/>
        </w:rPr>
        <w:t>［</w:t>
      </w:r>
      <w:r w:rsidRPr="00B4515A">
        <w:t>2013</w:t>
      </w:r>
      <w:r w:rsidRPr="00B4515A">
        <w:rPr>
          <w:rFonts w:hint="eastAsia"/>
        </w:rPr>
        <w:t>］</w:t>
      </w:r>
      <w:r w:rsidRPr="00B4515A">
        <w:t>第</w:t>
      </w:r>
      <w:r w:rsidRPr="00B4515A">
        <w:t>13001</w:t>
      </w:r>
      <w:r w:rsidRPr="00B4515A">
        <w:t>号）审验，新增出资已经到位。</w:t>
      </w:r>
    </w:p>
    <w:p w14:paraId="5FAAF201" w14:textId="77777777" w:rsidR="006416B0" w:rsidRPr="00B4515A" w:rsidRDefault="005E58C1" w:rsidP="005860B4">
      <w:pPr>
        <w:pStyle w:val="005"/>
        <w:spacing w:before="120" w:after="120"/>
        <w:ind w:firstLine="480"/>
      </w:pPr>
      <w:r w:rsidRPr="00B4515A">
        <w:t>2013</w:t>
      </w:r>
      <w:r w:rsidRPr="00B4515A">
        <w:t>年</w:t>
      </w:r>
      <w:r w:rsidRPr="00B4515A">
        <w:t>2</w:t>
      </w:r>
      <w:r w:rsidRPr="00B4515A">
        <w:t>月</w:t>
      </w:r>
      <w:r w:rsidRPr="00B4515A">
        <w:t>25</w:t>
      </w:r>
      <w:r w:rsidRPr="00B4515A">
        <w:t>日，大唐联诚在国家工商行政管理总局办理完毕本次增资的</w:t>
      </w:r>
      <w:r w:rsidRPr="00B4515A">
        <w:lastRenderedPageBreak/>
        <w:t>工商变更登记手续，并取得换发的注册号</w:t>
      </w:r>
      <w:r w:rsidRPr="00B4515A">
        <w:rPr>
          <w:color w:val="000000"/>
        </w:rPr>
        <w:t>100000000041999</w:t>
      </w:r>
      <w:r w:rsidRPr="00B4515A">
        <w:t>《营业执照》。</w:t>
      </w:r>
    </w:p>
    <w:p w14:paraId="3C12E974" w14:textId="77777777" w:rsidR="006416B0" w:rsidRPr="00B4515A" w:rsidRDefault="005E58C1" w:rsidP="005860B4">
      <w:pPr>
        <w:pStyle w:val="005"/>
        <w:spacing w:before="120" w:after="120"/>
        <w:ind w:firstLine="480"/>
      </w:pPr>
      <w:r w:rsidRPr="00B4515A">
        <w:rPr>
          <w:rFonts w:hint="eastAsia"/>
        </w:rPr>
        <w:t>本次增资完成后，大唐联诚的股权结构为：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8"/>
        <w:gridCol w:w="2379"/>
        <w:gridCol w:w="2043"/>
        <w:gridCol w:w="1961"/>
        <w:gridCol w:w="1327"/>
      </w:tblGrid>
      <w:tr w:rsidR="006416B0" w:rsidRPr="00B4515A" w14:paraId="362AA5C8" w14:textId="77777777" w:rsidTr="00031627">
        <w:trPr>
          <w:trHeight w:val="340"/>
          <w:jc w:val="center"/>
        </w:trPr>
        <w:tc>
          <w:tcPr>
            <w:tcW w:w="479" w:type="pct"/>
            <w:tcMar>
              <w:top w:w="0" w:type="dxa"/>
              <w:left w:w="108" w:type="dxa"/>
              <w:bottom w:w="0" w:type="dxa"/>
              <w:right w:w="108" w:type="dxa"/>
            </w:tcMar>
            <w:vAlign w:val="center"/>
          </w:tcPr>
          <w:p w14:paraId="3C92DFD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1395" w:type="pct"/>
            <w:tcMar>
              <w:top w:w="0" w:type="dxa"/>
              <w:left w:w="108" w:type="dxa"/>
              <w:bottom w:w="0" w:type="dxa"/>
              <w:right w:w="108" w:type="dxa"/>
            </w:tcMar>
            <w:vAlign w:val="center"/>
          </w:tcPr>
          <w:p w14:paraId="69A2B0C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股东名称</w:t>
            </w:r>
          </w:p>
        </w:tc>
        <w:tc>
          <w:tcPr>
            <w:tcW w:w="1198" w:type="pct"/>
            <w:tcMar>
              <w:top w:w="0" w:type="dxa"/>
              <w:left w:w="108" w:type="dxa"/>
              <w:bottom w:w="0" w:type="dxa"/>
              <w:right w:w="108" w:type="dxa"/>
            </w:tcMar>
            <w:vAlign w:val="center"/>
          </w:tcPr>
          <w:p w14:paraId="21654C97"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出资额（万元）</w:t>
            </w:r>
          </w:p>
        </w:tc>
        <w:tc>
          <w:tcPr>
            <w:tcW w:w="1150" w:type="pct"/>
            <w:tcMar>
              <w:top w:w="0" w:type="dxa"/>
              <w:left w:w="108" w:type="dxa"/>
              <w:bottom w:w="0" w:type="dxa"/>
              <w:right w:w="108" w:type="dxa"/>
            </w:tcMar>
            <w:vAlign w:val="center"/>
          </w:tcPr>
          <w:p w14:paraId="4638057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出资比例（％）</w:t>
            </w:r>
          </w:p>
        </w:tc>
        <w:tc>
          <w:tcPr>
            <w:tcW w:w="778" w:type="pct"/>
            <w:tcMar>
              <w:top w:w="0" w:type="dxa"/>
              <w:left w:w="108" w:type="dxa"/>
              <w:bottom w:w="0" w:type="dxa"/>
              <w:right w:w="108" w:type="dxa"/>
            </w:tcMar>
            <w:vAlign w:val="center"/>
          </w:tcPr>
          <w:p w14:paraId="6E365A1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出资方式</w:t>
            </w:r>
          </w:p>
        </w:tc>
      </w:tr>
      <w:tr w:rsidR="006416B0" w:rsidRPr="00B4515A" w14:paraId="2F8F71AB" w14:textId="77777777" w:rsidTr="00031627">
        <w:trPr>
          <w:trHeight w:val="340"/>
          <w:jc w:val="center"/>
        </w:trPr>
        <w:tc>
          <w:tcPr>
            <w:tcW w:w="479" w:type="pct"/>
            <w:tcMar>
              <w:top w:w="0" w:type="dxa"/>
              <w:left w:w="108" w:type="dxa"/>
              <w:bottom w:w="0" w:type="dxa"/>
              <w:right w:w="108" w:type="dxa"/>
            </w:tcMar>
            <w:vAlign w:val="center"/>
          </w:tcPr>
          <w:p w14:paraId="1D26AE8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395" w:type="pct"/>
            <w:tcMar>
              <w:top w:w="0" w:type="dxa"/>
              <w:left w:w="108" w:type="dxa"/>
              <w:bottom w:w="0" w:type="dxa"/>
              <w:right w:w="108" w:type="dxa"/>
            </w:tcMar>
            <w:vAlign w:val="center"/>
          </w:tcPr>
          <w:p w14:paraId="7001D50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电信科学技术研究院</w:t>
            </w:r>
          </w:p>
        </w:tc>
        <w:tc>
          <w:tcPr>
            <w:tcW w:w="1198" w:type="pct"/>
            <w:tcMar>
              <w:top w:w="0" w:type="dxa"/>
              <w:left w:w="108" w:type="dxa"/>
              <w:bottom w:w="0" w:type="dxa"/>
              <w:right w:w="108" w:type="dxa"/>
            </w:tcMar>
            <w:vAlign w:val="center"/>
          </w:tcPr>
          <w:p w14:paraId="1155FD3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12,571.715</w:t>
            </w:r>
          </w:p>
        </w:tc>
        <w:tc>
          <w:tcPr>
            <w:tcW w:w="1150" w:type="pct"/>
            <w:tcMar>
              <w:top w:w="0" w:type="dxa"/>
              <w:left w:w="108" w:type="dxa"/>
              <w:bottom w:w="0" w:type="dxa"/>
              <w:right w:w="108" w:type="dxa"/>
            </w:tcMar>
            <w:vAlign w:val="center"/>
          </w:tcPr>
          <w:p w14:paraId="2ADF8C6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79.08</w:t>
            </w:r>
          </w:p>
        </w:tc>
        <w:tc>
          <w:tcPr>
            <w:tcW w:w="778" w:type="pct"/>
            <w:tcMar>
              <w:top w:w="0" w:type="dxa"/>
              <w:left w:w="108" w:type="dxa"/>
              <w:bottom w:w="0" w:type="dxa"/>
              <w:right w:w="108" w:type="dxa"/>
            </w:tcMar>
            <w:vAlign w:val="center"/>
          </w:tcPr>
          <w:p w14:paraId="5D1952E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38B6669D" w14:textId="77777777" w:rsidTr="00031627">
        <w:trPr>
          <w:trHeight w:val="340"/>
          <w:jc w:val="center"/>
        </w:trPr>
        <w:tc>
          <w:tcPr>
            <w:tcW w:w="479" w:type="pct"/>
            <w:tcMar>
              <w:top w:w="0" w:type="dxa"/>
              <w:left w:w="108" w:type="dxa"/>
              <w:bottom w:w="0" w:type="dxa"/>
              <w:right w:w="108" w:type="dxa"/>
            </w:tcMar>
            <w:vAlign w:val="center"/>
          </w:tcPr>
          <w:p w14:paraId="2D08749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1395" w:type="pct"/>
            <w:tcMar>
              <w:top w:w="0" w:type="dxa"/>
              <w:left w:w="108" w:type="dxa"/>
              <w:bottom w:w="0" w:type="dxa"/>
              <w:right w:w="108" w:type="dxa"/>
            </w:tcMar>
            <w:vAlign w:val="center"/>
          </w:tcPr>
          <w:p w14:paraId="386E1CB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大唐控股</w:t>
            </w:r>
          </w:p>
        </w:tc>
        <w:tc>
          <w:tcPr>
            <w:tcW w:w="1198" w:type="pct"/>
            <w:tcMar>
              <w:top w:w="0" w:type="dxa"/>
              <w:left w:w="108" w:type="dxa"/>
              <w:bottom w:w="0" w:type="dxa"/>
              <w:right w:w="108" w:type="dxa"/>
            </w:tcMar>
            <w:vAlign w:val="center"/>
          </w:tcPr>
          <w:p w14:paraId="7350CAC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3,326.00</w:t>
            </w:r>
          </w:p>
        </w:tc>
        <w:tc>
          <w:tcPr>
            <w:tcW w:w="1150" w:type="pct"/>
            <w:tcMar>
              <w:top w:w="0" w:type="dxa"/>
              <w:left w:w="108" w:type="dxa"/>
              <w:bottom w:w="0" w:type="dxa"/>
              <w:right w:w="108" w:type="dxa"/>
            </w:tcMar>
            <w:vAlign w:val="center"/>
          </w:tcPr>
          <w:p w14:paraId="7D814CB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20.92</w:t>
            </w:r>
          </w:p>
        </w:tc>
        <w:tc>
          <w:tcPr>
            <w:tcW w:w="778" w:type="pct"/>
            <w:tcMar>
              <w:top w:w="0" w:type="dxa"/>
              <w:left w:w="108" w:type="dxa"/>
              <w:bottom w:w="0" w:type="dxa"/>
              <w:right w:w="108" w:type="dxa"/>
            </w:tcMar>
            <w:vAlign w:val="center"/>
          </w:tcPr>
          <w:p w14:paraId="64695A3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28A4FC4B" w14:textId="77777777" w:rsidTr="00031627">
        <w:trPr>
          <w:trHeight w:val="340"/>
          <w:jc w:val="center"/>
        </w:trPr>
        <w:tc>
          <w:tcPr>
            <w:tcW w:w="1874" w:type="pct"/>
            <w:gridSpan w:val="2"/>
            <w:tcMar>
              <w:top w:w="0" w:type="dxa"/>
              <w:left w:w="108" w:type="dxa"/>
              <w:bottom w:w="0" w:type="dxa"/>
              <w:right w:w="108" w:type="dxa"/>
            </w:tcMar>
            <w:vAlign w:val="center"/>
          </w:tcPr>
          <w:p w14:paraId="488B7A30"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合计</w:t>
            </w:r>
          </w:p>
        </w:tc>
        <w:tc>
          <w:tcPr>
            <w:tcW w:w="1198" w:type="pct"/>
            <w:tcMar>
              <w:top w:w="0" w:type="dxa"/>
              <w:left w:w="108" w:type="dxa"/>
              <w:bottom w:w="0" w:type="dxa"/>
              <w:right w:w="108" w:type="dxa"/>
            </w:tcMar>
            <w:vAlign w:val="center"/>
          </w:tcPr>
          <w:p w14:paraId="29DB6585"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15,897.715</w:t>
            </w:r>
          </w:p>
        </w:tc>
        <w:tc>
          <w:tcPr>
            <w:tcW w:w="1150" w:type="pct"/>
            <w:tcMar>
              <w:top w:w="0" w:type="dxa"/>
              <w:left w:w="108" w:type="dxa"/>
              <w:bottom w:w="0" w:type="dxa"/>
              <w:right w:w="108" w:type="dxa"/>
            </w:tcMar>
            <w:vAlign w:val="center"/>
          </w:tcPr>
          <w:p w14:paraId="60D2703D"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100.00</w:t>
            </w:r>
          </w:p>
        </w:tc>
        <w:tc>
          <w:tcPr>
            <w:tcW w:w="778" w:type="pct"/>
            <w:tcMar>
              <w:top w:w="0" w:type="dxa"/>
              <w:left w:w="108" w:type="dxa"/>
              <w:bottom w:w="0" w:type="dxa"/>
              <w:right w:w="108" w:type="dxa"/>
            </w:tcMar>
            <w:vAlign w:val="center"/>
          </w:tcPr>
          <w:p w14:paraId="0428B499" w14:textId="77777777" w:rsidR="006416B0" w:rsidRPr="00B4515A" w:rsidRDefault="006416B0" w:rsidP="005860B4">
            <w:pPr>
              <w:adjustRightInd w:val="0"/>
              <w:snapToGrid w:val="0"/>
              <w:jc w:val="center"/>
              <w:rPr>
                <w:rFonts w:ascii="Times New Roman" w:hAnsi="Times New Roman" w:cs="Times New Roman"/>
                <w:b/>
                <w:sz w:val="21"/>
                <w:szCs w:val="21"/>
              </w:rPr>
            </w:pPr>
          </w:p>
        </w:tc>
      </w:tr>
    </w:tbl>
    <w:p w14:paraId="5C6F9140" w14:textId="77777777" w:rsidR="006416B0" w:rsidRPr="00B4515A" w:rsidRDefault="005E58C1" w:rsidP="005860B4">
      <w:pPr>
        <w:pStyle w:val="004"/>
        <w:spacing w:before="120" w:after="120"/>
        <w:ind w:firstLine="482"/>
      </w:pPr>
      <w:r w:rsidRPr="00B4515A">
        <w:t>4</w:t>
      </w:r>
      <w:r w:rsidRPr="00B4515A">
        <w:rPr>
          <w:rFonts w:hint="eastAsia"/>
        </w:rPr>
        <w:t>、</w:t>
      </w:r>
      <w:r w:rsidRPr="00B4515A">
        <w:t>2016</w:t>
      </w:r>
      <w:r w:rsidRPr="00B4515A">
        <w:rPr>
          <w:rFonts w:hint="eastAsia"/>
        </w:rPr>
        <w:t>年</w:t>
      </w:r>
      <w:r w:rsidRPr="00B4515A">
        <w:t>12</w:t>
      </w:r>
      <w:r w:rsidRPr="00B4515A">
        <w:rPr>
          <w:rFonts w:hint="eastAsia"/>
        </w:rPr>
        <w:t>月，注册资本增至</w:t>
      </w:r>
      <w:r w:rsidRPr="00B4515A">
        <w:t>43,279.283849</w:t>
      </w:r>
      <w:r w:rsidRPr="00B4515A">
        <w:rPr>
          <w:rFonts w:hint="eastAsia"/>
        </w:rPr>
        <w:t>万元</w:t>
      </w:r>
    </w:p>
    <w:p w14:paraId="3F243372" w14:textId="77777777" w:rsidR="006416B0" w:rsidRPr="00B4515A" w:rsidRDefault="005E58C1" w:rsidP="005860B4">
      <w:pPr>
        <w:pStyle w:val="005"/>
        <w:spacing w:before="120" w:after="120"/>
        <w:ind w:firstLine="480"/>
      </w:pPr>
      <w:r w:rsidRPr="00B4515A">
        <w:t>2016</w:t>
      </w:r>
      <w:r w:rsidRPr="00B4515A">
        <w:t>年</w:t>
      </w:r>
      <w:r w:rsidRPr="00B4515A">
        <w:t>10</w:t>
      </w:r>
      <w:r w:rsidRPr="00B4515A">
        <w:t>月，经电信科学技术研究院</w:t>
      </w:r>
      <w:r w:rsidRPr="00B4515A">
        <w:rPr>
          <w:color w:val="000000"/>
        </w:rPr>
        <w:t>出具</w:t>
      </w:r>
      <w:r w:rsidRPr="00B4515A">
        <w:t>《关于大唐联诚申请增资事项的复函》（院计投简［</w:t>
      </w:r>
      <w:r w:rsidRPr="00B4515A">
        <w:t>2016</w:t>
      </w:r>
      <w:r w:rsidRPr="00B4515A">
        <w:t>］</w:t>
      </w:r>
      <w:r w:rsidRPr="00B4515A">
        <w:t>53</w:t>
      </w:r>
      <w:r w:rsidRPr="00B4515A">
        <w:t>号）批复同意、大唐联诚召开</w:t>
      </w:r>
      <w:r w:rsidRPr="00B4515A">
        <w:t>2016</w:t>
      </w:r>
      <w:r w:rsidRPr="00B4515A">
        <w:t>年第一次股东会审议通过，并经大唐联诚与电信科学技术研究院、大唐控股签订《大唐联诚信息系统技术有限公司增资协议》，大唐联诚注册资本由</w:t>
      </w:r>
      <w:r w:rsidRPr="00B4515A">
        <w:t>15,897.72</w:t>
      </w:r>
      <w:r w:rsidRPr="00B4515A">
        <w:t>万元增加至</w:t>
      </w:r>
      <w:r w:rsidRPr="00B4515A">
        <w:t>43,279.28</w:t>
      </w:r>
      <w:r w:rsidRPr="00B4515A">
        <w:t>万元，由电信科学技术研究院向大唐联诚新增</w:t>
      </w:r>
      <w:r w:rsidRPr="00B4515A">
        <w:t>60,220</w:t>
      </w:r>
      <w:r w:rsidRPr="00B4515A">
        <w:t>万元出资认购，其中</w:t>
      </w:r>
      <w:r w:rsidRPr="00B4515A">
        <w:t>55,000</w:t>
      </w:r>
      <w:r w:rsidRPr="00B4515A">
        <w:t>万元为货币资金，</w:t>
      </w:r>
      <w:r w:rsidRPr="00B4515A">
        <w:t>5,220</w:t>
      </w:r>
      <w:r w:rsidRPr="00B4515A">
        <w:t>万元为国拨专项资金转增资本。</w:t>
      </w:r>
    </w:p>
    <w:p w14:paraId="6AD6652B" w14:textId="77777777" w:rsidR="006416B0" w:rsidRPr="00B4515A" w:rsidRDefault="005E58C1" w:rsidP="005860B4">
      <w:pPr>
        <w:pStyle w:val="005"/>
        <w:spacing w:before="120" w:after="120"/>
        <w:ind w:firstLine="480"/>
      </w:pPr>
      <w:r w:rsidRPr="00B4515A">
        <w:t>2016</w:t>
      </w:r>
      <w:r w:rsidRPr="00B4515A">
        <w:t>年</w:t>
      </w:r>
      <w:r w:rsidRPr="00B4515A">
        <w:t>12</w:t>
      </w:r>
      <w:r w:rsidRPr="00B4515A">
        <w:t>月</w:t>
      </w:r>
      <w:r w:rsidRPr="00B4515A">
        <w:t>27</w:t>
      </w:r>
      <w:r w:rsidRPr="00B4515A">
        <w:t>日，大唐联诚在北京市工商行政管理局办理完毕本次增资的工商变更登记手续，并取得换发的统一</w:t>
      </w:r>
      <w:r w:rsidRPr="00B4515A">
        <w:rPr>
          <w:color w:val="000000"/>
        </w:rPr>
        <w:t>社会</w:t>
      </w:r>
      <w:r w:rsidRPr="00B4515A">
        <w:t>信用代码</w:t>
      </w:r>
      <w:r w:rsidRPr="00B4515A">
        <w:rPr>
          <w:szCs w:val="21"/>
        </w:rPr>
        <w:t>91110000710935759B</w:t>
      </w:r>
      <w:r w:rsidRPr="00B4515A">
        <w:t>《营业执照》。</w:t>
      </w:r>
    </w:p>
    <w:p w14:paraId="3DF40AC6" w14:textId="77777777" w:rsidR="006416B0" w:rsidRPr="00B4515A" w:rsidRDefault="005E58C1" w:rsidP="005860B4">
      <w:pPr>
        <w:pStyle w:val="005"/>
        <w:spacing w:before="120" w:after="120"/>
        <w:ind w:firstLine="480"/>
      </w:pPr>
      <w:r w:rsidRPr="00B4515A">
        <w:rPr>
          <w:rFonts w:hint="eastAsia"/>
        </w:rPr>
        <w:t>本次增资完成后，大唐联诚的股权结构为：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8"/>
        <w:gridCol w:w="2379"/>
        <w:gridCol w:w="2043"/>
        <w:gridCol w:w="1961"/>
        <w:gridCol w:w="1327"/>
      </w:tblGrid>
      <w:tr w:rsidR="006416B0" w:rsidRPr="00B4515A" w14:paraId="0C5C7316" w14:textId="77777777" w:rsidTr="00031627">
        <w:trPr>
          <w:trHeight w:val="340"/>
          <w:jc w:val="center"/>
        </w:trPr>
        <w:tc>
          <w:tcPr>
            <w:tcW w:w="479" w:type="pct"/>
            <w:tcMar>
              <w:top w:w="0" w:type="dxa"/>
              <w:left w:w="108" w:type="dxa"/>
              <w:bottom w:w="0" w:type="dxa"/>
              <w:right w:w="108" w:type="dxa"/>
            </w:tcMar>
            <w:vAlign w:val="center"/>
          </w:tcPr>
          <w:p w14:paraId="564E13FD"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1395" w:type="pct"/>
            <w:tcMar>
              <w:top w:w="0" w:type="dxa"/>
              <w:left w:w="108" w:type="dxa"/>
              <w:bottom w:w="0" w:type="dxa"/>
              <w:right w:w="108" w:type="dxa"/>
            </w:tcMar>
            <w:vAlign w:val="center"/>
          </w:tcPr>
          <w:p w14:paraId="0C61A46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股东名称</w:t>
            </w:r>
          </w:p>
        </w:tc>
        <w:tc>
          <w:tcPr>
            <w:tcW w:w="1198" w:type="pct"/>
            <w:tcMar>
              <w:top w:w="0" w:type="dxa"/>
              <w:left w:w="108" w:type="dxa"/>
              <w:bottom w:w="0" w:type="dxa"/>
              <w:right w:w="108" w:type="dxa"/>
            </w:tcMar>
            <w:vAlign w:val="center"/>
          </w:tcPr>
          <w:p w14:paraId="18EC046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出资额（万元）</w:t>
            </w:r>
          </w:p>
        </w:tc>
        <w:tc>
          <w:tcPr>
            <w:tcW w:w="1150" w:type="pct"/>
            <w:tcMar>
              <w:top w:w="0" w:type="dxa"/>
              <w:left w:w="108" w:type="dxa"/>
              <w:bottom w:w="0" w:type="dxa"/>
              <w:right w:w="108" w:type="dxa"/>
            </w:tcMar>
            <w:vAlign w:val="center"/>
          </w:tcPr>
          <w:p w14:paraId="317234EB"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出资比例（％）</w:t>
            </w:r>
          </w:p>
        </w:tc>
        <w:tc>
          <w:tcPr>
            <w:tcW w:w="778" w:type="pct"/>
            <w:tcMar>
              <w:top w:w="0" w:type="dxa"/>
              <w:left w:w="108" w:type="dxa"/>
              <w:bottom w:w="0" w:type="dxa"/>
              <w:right w:w="108" w:type="dxa"/>
            </w:tcMar>
            <w:vAlign w:val="center"/>
          </w:tcPr>
          <w:p w14:paraId="0564F01E"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出资方式</w:t>
            </w:r>
          </w:p>
        </w:tc>
      </w:tr>
      <w:tr w:rsidR="006416B0" w:rsidRPr="00B4515A" w14:paraId="43BA0611" w14:textId="77777777" w:rsidTr="00031627">
        <w:trPr>
          <w:trHeight w:val="340"/>
          <w:jc w:val="center"/>
        </w:trPr>
        <w:tc>
          <w:tcPr>
            <w:tcW w:w="479" w:type="pct"/>
            <w:tcMar>
              <w:top w:w="0" w:type="dxa"/>
              <w:left w:w="108" w:type="dxa"/>
              <w:bottom w:w="0" w:type="dxa"/>
              <w:right w:w="108" w:type="dxa"/>
            </w:tcMar>
            <w:vAlign w:val="center"/>
          </w:tcPr>
          <w:p w14:paraId="51B7D1B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395" w:type="pct"/>
            <w:tcMar>
              <w:top w:w="0" w:type="dxa"/>
              <w:left w:w="108" w:type="dxa"/>
              <w:bottom w:w="0" w:type="dxa"/>
              <w:right w:w="108" w:type="dxa"/>
            </w:tcMar>
            <w:vAlign w:val="center"/>
          </w:tcPr>
          <w:p w14:paraId="13F4E7D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电信科学技术研究院</w:t>
            </w:r>
          </w:p>
        </w:tc>
        <w:tc>
          <w:tcPr>
            <w:tcW w:w="1198" w:type="pct"/>
            <w:tcMar>
              <w:top w:w="0" w:type="dxa"/>
              <w:left w:w="108" w:type="dxa"/>
              <w:bottom w:w="0" w:type="dxa"/>
              <w:right w:w="108" w:type="dxa"/>
            </w:tcMar>
            <w:vAlign w:val="center"/>
          </w:tcPr>
          <w:p w14:paraId="357004B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39,953.283849</w:t>
            </w:r>
          </w:p>
        </w:tc>
        <w:tc>
          <w:tcPr>
            <w:tcW w:w="1150" w:type="pct"/>
            <w:tcMar>
              <w:top w:w="0" w:type="dxa"/>
              <w:left w:w="108" w:type="dxa"/>
              <w:bottom w:w="0" w:type="dxa"/>
              <w:right w:w="108" w:type="dxa"/>
            </w:tcMar>
            <w:vAlign w:val="center"/>
          </w:tcPr>
          <w:p w14:paraId="2570DA5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92.32</w:t>
            </w:r>
          </w:p>
        </w:tc>
        <w:tc>
          <w:tcPr>
            <w:tcW w:w="778" w:type="pct"/>
            <w:tcMar>
              <w:top w:w="0" w:type="dxa"/>
              <w:left w:w="108" w:type="dxa"/>
              <w:bottom w:w="0" w:type="dxa"/>
              <w:right w:w="108" w:type="dxa"/>
            </w:tcMar>
            <w:vAlign w:val="center"/>
          </w:tcPr>
          <w:p w14:paraId="7575D00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2FA11049" w14:textId="77777777" w:rsidTr="00031627">
        <w:trPr>
          <w:trHeight w:val="340"/>
          <w:jc w:val="center"/>
        </w:trPr>
        <w:tc>
          <w:tcPr>
            <w:tcW w:w="479" w:type="pct"/>
            <w:tcMar>
              <w:top w:w="0" w:type="dxa"/>
              <w:left w:w="108" w:type="dxa"/>
              <w:bottom w:w="0" w:type="dxa"/>
              <w:right w:w="108" w:type="dxa"/>
            </w:tcMar>
            <w:vAlign w:val="center"/>
          </w:tcPr>
          <w:p w14:paraId="5287812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1395" w:type="pct"/>
            <w:tcMar>
              <w:top w:w="0" w:type="dxa"/>
              <w:left w:w="108" w:type="dxa"/>
              <w:bottom w:w="0" w:type="dxa"/>
              <w:right w:w="108" w:type="dxa"/>
            </w:tcMar>
            <w:vAlign w:val="center"/>
          </w:tcPr>
          <w:p w14:paraId="3371CFB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大唐控股</w:t>
            </w:r>
          </w:p>
        </w:tc>
        <w:tc>
          <w:tcPr>
            <w:tcW w:w="1198" w:type="pct"/>
            <w:tcMar>
              <w:top w:w="0" w:type="dxa"/>
              <w:left w:w="108" w:type="dxa"/>
              <w:bottom w:w="0" w:type="dxa"/>
              <w:right w:w="108" w:type="dxa"/>
            </w:tcMar>
            <w:vAlign w:val="center"/>
          </w:tcPr>
          <w:p w14:paraId="303A7B9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3,326.00</w:t>
            </w:r>
          </w:p>
        </w:tc>
        <w:tc>
          <w:tcPr>
            <w:tcW w:w="1150" w:type="pct"/>
            <w:tcMar>
              <w:top w:w="0" w:type="dxa"/>
              <w:left w:w="108" w:type="dxa"/>
              <w:bottom w:w="0" w:type="dxa"/>
              <w:right w:w="108" w:type="dxa"/>
            </w:tcMar>
            <w:vAlign w:val="center"/>
          </w:tcPr>
          <w:p w14:paraId="4EA34C9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7.68</w:t>
            </w:r>
          </w:p>
        </w:tc>
        <w:tc>
          <w:tcPr>
            <w:tcW w:w="778" w:type="pct"/>
            <w:tcMar>
              <w:top w:w="0" w:type="dxa"/>
              <w:left w:w="108" w:type="dxa"/>
              <w:bottom w:w="0" w:type="dxa"/>
              <w:right w:w="108" w:type="dxa"/>
            </w:tcMar>
            <w:vAlign w:val="center"/>
          </w:tcPr>
          <w:p w14:paraId="69BDC0F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0F932EEF" w14:textId="77777777" w:rsidTr="00031627">
        <w:trPr>
          <w:trHeight w:val="340"/>
          <w:jc w:val="center"/>
        </w:trPr>
        <w:tc>
          <w:tcPr>
            <w:tcW w:w="1874" w:type="pct"/>
            <w:gridSpan w:val="2"/>
            <w:tcMar>
              <w:top w:w="0" w:type="dxa"/>
              <w:left w:w="108" w:type="dxa"/>
              <w:bottom w:w="0" w:type="dxa"/>
              <w:right w:w="108" w:type="dxa"/>
            </w:tcMar>
            <w:vAlign w:val="center"/>
          </w:tcPr>
          <w:p w14:paraId="50FA95B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合计</w:t>
            </w:r>
          </w:p>
        </w:tc>
        <w:tc>
          <w:tcPr>
            <w:tcW w:w="1198" w:type="pct"/>
            <w:tcMar>
              <w:top w:w="0" w:type="dxa"/>
              <w:left w:w="108" w:type="dxa"/>
              <w:bottom w:w="0" w:type="dxa"/>
              <w:right w:w="108" w:type="dxa"/>
            </w:tcMar>
            <w:vAlign w:val="center"/>
          </w:tcPr>
          <w:p w14:paraId="384E551D"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43,279.283849</w:t>
            </w:r>
          </w:p>
        </w:tc>
        <w:tc>
          <w:tcPr>
            <w:tcW w:w="1150" w:type="pct"/>
            <w:tcMar>
              <w:top w:w="0" w:type="dxa"/>
              <w:left w:w="108" w:type="dxa"/>
              <w:bottom w:w="0" w:type="dxa"/>
              <w:right w:w="108" w:type="dxa"/>
            </w:tcMar>
            <w:vAlign w:val="center"/>
          </w:tcPr>
          <w:p w14:paraId="302405E3"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100.00</w:t>
            </w:r>
          </w:p>
        </w:tc>
        <w:tc>
          <w:tcPr>
            <w:tcW w:w="778" w:type="pct"/>
            <w:tcMar>
              <w:top w:w="0" w:type="dxa"/>
              <w:left w:w="108" w:type="dxa"/>
              <w:bottom w:w="0" w:type="dxa"/>
              <w:right w:w="108" w:type="dxa"/>
            </w:tcMar>
            <w:vAlign w:val="center"/>
          </w:tcPr>
          <w:p w14:paraId="7102B2D3" w14:textId="77777777" w:rsidR="006416B0" w:rsidRPr="00B4515A" w:rsidRDefault="006416B0" w:rsidP="005860B4">
            <w:pPr>
              <w:adjustRightInd w:val="0"/>
              <w:snapToGrid w:val="0"/>
              <w:jc w:val="center"/>
              <w:rPr>
                <w:rFonts w:ascii="Times New Roman" w:hAnsi="Times New Roman" w:cs="Times New Roman"/>
                <w:b/>
                <w:sz w:val="21"/>
                <w:szCs w:val="21"/>
              </w:rPr>
            </w:pPr>
          </w:p>
        </w:tc>
      </w:tr>
    </w:tbl>
    <w:p w14:paraId="1C7C380E" w14:textId="77777777" w:rsidR="006416B0" w:rsidRPr="00B4515A" w:rsidRDefault="005E58C1" w:rsidP="005860B4">
      <w:pPr>
        <w:pStyle w:val="005"/>
        <w:spacing w:before="120" w:after="120"/>
        <w:ind w:firstLine="480"/>
        <w:rPr>
          <w:b/>
          <w:color w:val="000000"/>
        </w:rPr>
      </w:pPr>
      <w:r w:rsidRPr="00B4515A">
        <w:rPr>
          <w:rFonts w:hint="eastAsia"/>
          <w:lang w:eastAsia="zh-Hans"/>
        </w:rPr>
        <w:t>截至</w:t>
      </w:r>
      <w:r w:rsidRPr="00B4515A">
        <w:rPr>
          <w:lang w:eastAsia="zh-Hans"/>
        </w:rPr>
        <w:t>2020</w:t>
      </w:r>
      <w:r w:rsidRPr="00B4515A">
        <w:rPr>
          <w:rFonts w:hint="eastAsia"/>
          <w:lang w:eastAsia="zh-Hans"/>
        </w:rPr>
        <w:t>年</w:t>
      </w:r>
      <w:r w:rsidRPr="00B4515A">
        <w:rPr>
          <w:lang w:eastAsia="zh-Hans"/>
        </w:rPr>
        <w:t>12</w:t>
      </w:r>
      <w:r w:rsidRPr="00B4515A">
        <w:rPr>
          <w:rFonts w:hint="eastAsia"/>
          <w:lang w:eastAsia="zh-Hans"/>
        </w:rPr>
        <w:t>月</w:t>
      </w:r>
      <w:r w:rsidRPr="00B4515A">
        <w:rPr>
          <w:lang w:eastAsia="zh-Hans"/>
        </w:rPr>
        <w:t>，</w:t>
      </w:r>
      <w:r w:rsidRPr="00B4515A">
        <w:rPr>
          <w:rFonts w:hint="eastAsia"/>
        </w:rPr>
        <w:t>电信科学技术研究院</w:t>
      </w:r>
      <w:r w:rsidRPr="00B4515A">
        <w:rPr>
          <w:rFonts w:hint="eastAsia"/>
          <w:lang w:eastAsia="zh-Hans"/>
        </w:rPr>
        <w:t>上述新增出资已经全部实缴到位。</w:t>
      </w:r>
    </w:p>
    <w:p w14:paraId="647F3186" w14:textId="77777777" w:rsidR="006416B0" w:rsidRPr="00B4515A" w:rsidRDefault="005E58C1" w:rsidP="005860B4">
      <w:pPr>
        <w:pStyle w:val="004"/>
        <w:spacing w:before="120" w:after="120"/>
        <w:ind w:firstLine="482"/>
      </w:pPr>
      <w:r w:rsidRPr="00B4515A">
        <w:t>5</w:t>
      </w:r>
      <w:r w:rsidRPr="00B4515A">
        <w:rPr>
          <w:rFonts w:hint="eastAsia"/>
        </w:rPr>
        <w:t>、</w:t>
      </w:r>
      <w:r w:rsidRPr="00B4515A">
        <w:t>2020</w:t>
      </w:r>
      <w:r w:rsidRPr="00B4515A">
        <w:rPr>
          <w:rFonts w:hint="eastAsia"/>
        </w:rPr>
        <w:t>年</w:t>
      </w:r>
      <w:r w:rsidRPr="00B4515A">
        <w:t>12</w:t>
      </w:r>
      <w:r w:rsidRPr="00B4515A">
        <w:rPr>
          <w:rFonts w:hint="eastAsia"/>
        </w:rPr>
        <w:t>月，注册资本增至</w:t>
      </w:r>
      <w:r w:rsidRPr="00B4515A">
        <w:t>64,885.283849</w:t>
      </w:r>
      <w:r w:rsidRPr="00B4515A">
        <w:rPr>
          <w:rFonts w:hint="eastAsia"/>
        </w:rPr>
        <w:t>万元</w:t>
      </w:r>
    </w:p>
    <w:p w14:paraId="7E9BC39C" w14:textId="77777777" w:rsidR="006416B0" w:rsidRPr="00B4515A" w:rsidRDefault="005E58C1" w:rsidP="005860B4">
      <w:pPr>
        <w:pStyle w:val="005"/>
        <w:spacing w:before="120" w:after="120"/>
        <w:ind w:firstLine="480"/>
      </w:pPr>
      <w:r w:rsidRPr="00B4515A">
        <w:t>2020</w:t>
      </w:r>
      <w:r w:rsidRPr="00B4515A">
        <w:t>年</w:t>
      </w:r>
      <w:r w:rsidRPr="00B4515A">
        <w:t>12</w:t>
      </w:r>
      <w:r w:rsidRPr="00B4515A">
        <w:t>月</w:t>
      </w:r>
      <w:r w:rsidRPr="00B4515A">
        <w:t>10</w:t>
      </w:r>
      <w:r w:rsidRPr="00B4515A">
        <w:t>日，大唐联诚向中国信科集团提交了《关于大唐联诚债转股并补足出资项目方案的请示》（联诚财〔</w:t>
      </w:r>
      <w:r w:rsidRPr="00B4515A">
        <w:t>2020</w:t>
      </w:r>
      <w:r w:rsidRPr="00B4515A">
        <w:t>〕</w:t>
      </w:r>
      <w:r w:rsidRPr="00B4515A">
        <w:t>128</w:t>
      </w:r>
      <w:r w:rsidRPr="00B4515A">
        <w:t>号），截至</w:t>
      </w:r>
      <w:r w:rsidRPr="00B4515A">
        <w:t>2011</w:t>
      </w:r>
      <w:r w:rsidRPr="00B4515A">
        <w:t>年</w:t>
      </w:r>
      <w:r w:rsidRPr="00B4515A">
        <w:t>11</w:t>
      </w:r>
      <w:r w:rsidRPr="00B4515A">
        <w:t>月末，大唐联诚向电信科研院借款余额</w:t>
      </w:r>
      <w:r w:rsidRPr="00B4515A">
        <w:t>2.6606</w:t>
      </w:r>
      <w:r w:rsidRPr="00B4515A">
        <w:t>亿元、向大唐控股借款余额为</w:t>
      </w:r>
      <w:r w:rsidRPr="00B4515A">
        <w:t>5,000</w:t>
      </w:r>
      <w:r w:rsidRPr="00B4515A">
        <w:t>万元，大唐联诚申请将其中的</w:t>
      </w:r>
      <w:r w:rsidRPr="00B4515A">
        <w:t>1</w:t>
      </w:r>
      <w:r w:rsidRPr="00B4515A">
        <w:t>亿元在</w:t>
      </w:r>
      <w:r w:rsidRPr="00B4515A">
        <w:t>2020</w:t>
      </w:r>
      <w:r w:rsidRPr="00B4515A">
        <w:t>年</w:t>
      </w:r>
      <w:r w:rsidRPr="00B4515A">
        <w:t>12</w:t>
      </w:r>
      <w:r w:rsidRPr="00B4515A">
        <w:t>月以债权出资方式补足股东电信科研院未实缴出资，将其余</w:t>
      </w:r>
      <w:r w:rsidRPr="00B4515A">
        <w:t>2.1606</w:t>
      </w:r>
      <w:r w:rsidRPr="00B4515A">
        <w:t>亿元借款按评估值在</w:t>
      </w:r>
      <w:r w:rsidRPr="00B4515A">
        <w:t>2020</w:t>
      </w:r>
      <w:r w:rsidRPr="00B4515A">
        <w:t>年</w:t>
      </w:r>
      <w:r w:rsidRPr="00B4515A">
        <w:t>12</w:t>
      </w:r>
      <w:r w:rsidRPr="00B4515A">
        <w:t>月份转为股权投资。债转股部分按照</w:t>
      </w:r>
      <w:r w:rsidRPr="00B4515A">
        <w:t>1</w:t>
      </w:r>
      <w:r w:rsidRPr="00B4515A">
        <w:t>元</w:t>
      </w:r>
      <w:r w:rsidRPr="00B4515A">
        <w:t>/</w:t>
      </w:r>
      <w:r w:rsidRPr="00B4515A">
        <w:t>注册资本确定增资价格。项目实施后，大唐联</w:t>
      </w:r>
      <w:r w:rsidRPr="00B4515A">
        <w:lastRenderedPageBreak/>
        <w:t>诚的注册资本将由</w:t>
      </w:r>
      <w:r w:rsidRPr="00B4515A">
        <w:t>4.3279</w:t>
      </w:r>
      <w:r w:rsidRPr="00B4515A">
        <w:t>亿元增加到</w:t>
      </w:r>
      <w:r w:rsidRPr="00B4515A">
        <w:t>6.4885</w:t>
      </w:r>
      <w:r w:rsidRPr="00B4515A">
        <w:t>亿元。</w:t>
      </w:r>
    </w:p>
    <w:p w14:paraId="38AC2106" w14:textId="77777777" w:rsidR="006416B0" w:rsidRPr="00B4515A" w:rsidRDefault="005E58C1" w:rsidP="005860B4">
      <w:pPr>
        <w:pStyle w:val="005"/>
        <w:spacing w:before="120" w:after="120"/>
        <w:ind w:firstLine="480"/>
      </w:pPr>
      <w:r w:rsidRPr="00B4515A">
        <w:t>2020</w:t>
      </w:r>
      <w:r w:rsidRPr="00B4515A">
        <w:t>年</w:t>
      </w:r>
      <w:r w:rsidRPr="00B4515A">
        <w:t>12</w:t>
      </w:r>
      <w:r w:rsidRPr="00B4515A">
        <w:t>月</w:t>
      </w:r>
      <w:r w:rsidRPr="00B4515A">
        <w:t>15</w:t>
      </w:r>
      <w:r w:rsidRPr="00B4515A">
        <w:t>日，大唐控股与电信科研院签署《债权转让协议》，将大唐控股与大唐联诚《内部资金使用协议》中对大唐联诚</w:t>
      </w:r>
      <w:r w:rsidRPr="00B4515A">
        <w:t>5,000</w:t>
      </w:r>
      <w:r w:rsidRPr="00B4515A">
        <w:t>万元的借款转让给电信科研院。</w:t>
      </w:r>
    </w:p>
    <w:p w14:paraId="3E7BA5A4" w14:textId="77777777" w:rsidR="006416B0" w:rsidRPr="00B4515A" w:rsidRDefault="005E58C1" w:rsidP="005860B4">
      <w:pPr>
        <w:pStyle w:val="005"/>
        <w:spacing w:before="120" w:after="120"/>
        <w:ind w:firstLine="480"/>
      </w:pPr>
      <w:r w:rsidRPr="00B4515A">
        <w:t>2020</w:t>
      </w:r>
      <w:r w:rsidRPr="00B4515A">
        <w:t>年</w:t>
      </w:r>
      <w:r w:rsidRPr="00B4515A">
        <w:t>12</w:t>
      </w:r>
      <w:r w:rsidRPr="00B4515A">
        <w:t>月</w:t>
      </w:r>
      <w:r w:rsidRPr="00B4515A">
        <w:t>22</w:t>
      </w:r>
      <w:r w:rsidRPr="00B4515A">
        <w:t>日，中国信科集团出具《关于大唐联诚债转股并补足出资项目的复函》，同意实施补足出资及债转股；同意电信科研院与大唐控股通过签署债权转让协议的方式将大唐控股对大唐联诚的</w:t>
      </w:r>
      <w:r w:rsidRPr="00B4515A">
        <w:t>5,000</w:t>
      </w:r>
      <w:r w:rsidRPr="00B4515A">
        <w:t>万元债权本金转让给电信科研院。</w:t>
      </w:r>
    </w:p>
    <w:p w14:paraId="288E62D7" w14:textId="77777777" w:rsidR="006416B0" w:rsidRPr="00B4515A" w:rsidRDefault="005E58C1" w:rsidP="005860B4">
      <w:pPr>
        <w:pStyle w:val="005"/>
        <w:spacing w:before="120" w:after="120"/>
        <w:ind w:firstLine="480"/>
      </w:pPr>
      <w:r w:rsidRPr="00B4515A">
        <w:t>2020</w:t>
      </w:r>
      <w:r w:rsidRPr="00B4515A">
        <w:t>年</w:t>
      </w:r>
      <w:r w:rsidRPr="00B4515A">
        <w:t>12</w:t>
      </w:r>
      <w:r w:rsidRPr="00B4515A">
        <w:t>月</w:t>
      </w:r>
      <w:r w:rsidRPr="00B4515A">
        <w:t>24</w:t>
      </w:r>
      <w:r w:rsidRPr="00B4515A">
        <w:t>日，上海东洲资产评估有限公司出具了</w:t>
      </w:r>
      <w:r w:rsidRPr="00B4515A">
        <w:rPr>
          <w:color w:val="000000"/>
        </w:rPr>
        <w:t>《电信科学技术研究院有限公司拟对大唐联诚信息系统技术有限公司实施债转股并补足出资所涉及的债权价值评估项目资产评估报告》</w:t>
      </w:r>
      <w:r w:rsidRPr="00B4515A">
        <w:t>（东洲评报字［</w:t>
      </w:r>
      <w:r w:rsidRPr="00B4515A">
        <w:t>2020</w:t>
      </w:r>
      <w:r w:rsidRPr="00B4515A">
        <w:t>］第</w:t>
      </w:r>
      <w:r w:rsidRPr="00B4515A">
        <w:t>2011</w:t>
      </w:r>
      <w:r w:rsidRPr="00B4515A">
        <w:t>号），评估基准日为</w:t>
      </w:r>
      <w:r w:rsidRPr="00B4515A">
        <w:t>2019</w:t>
      </w:r>
      <w:r w:rsidRPr="00B4515A">
        <w:t>年</w:t>
      </w:r>
      <w:r w:rsidRPr="00B4515A">
        <w:t>12</w:t>
      </w:r>
      <w:r w:rsidRPr="00B4515A">
        <w:t>月</w:t>
      </w:r>
      <w:r w:rsidRPr="00B4515A">
        <w:t>31</w:t>
      </w:r>
      <w:r w:rsidRPr="00B4515A">
        <w:t>日，评估范围为电信科研院对大唐联诚的其他应收款本金</w:t>
      </w:r>
      <w:r w:rsidRPr="00B4515A">
        <w:t>31,606</w:t>
      </w:r>
      <w:r w:rsidRPr="00B4515A">
        <w:t>万元，估结论为：评估债权的评估值为</w:t>
      </w:r>
      <w:r w:rsidRPr="00B4515A">
        <w:t>31,606</w:t>
      </w:r>
      <w:r w:rsidRPr="00B4515A">
        <w:t>万元，与账面价值相比无增减值变动。同日，中国信科集团对电信科研院提交的《国有资产评估项目备案表》（备案编号</w:t>
      </w:r>
      <w:r w:rsidRPr="00B4515A">
        <w:t>6767ZGXT2020013</w:t>
      </w:r>
      <w:r w:rsidRPr="00B4515A">
        <w:t>）的备案结果予以备案。</w:t>
      </w:r>
    </w:p>
    <w:p w14:paraId="797298E9" w14:textId="77777777" w:rsidR="006416B0" w:rsidRPr="00B4515A" w:rsidRDefault="005E58C1" w:rsidP="005860B4">
      <w:pPr>
        <w:pStyle w:val="005"/>
        <w:spacing w:before="120" w:after="120"/>
        <w:ind w:firstLine="480"/>
      </w:pPr>
      <w:r w:rsidRPr="00B4515A">
        <w:t>2020</w:t>
      </w:r>
      <w:r w:rsidRPr="00B4515A">
        <w:t>年</w:t>
      </w:r>
      <w:r w:rsidRPr="00B4515A">
        <w:t>12</w:t>
      </w:r>
      <w:r w:rsidRPr="00B4515A">
        <w:t>月</w:t>
      </w:r>
      <w:r w:rsidRPr="00B4515A">
        <w:t>24</w:t>
      </w:r>
      <w:r w:rsidRPr="00B4515A">
        <w:t>日，电信科研院与大唐控股、大唐联诚签订《大唐联诚信息系统技术有限公司债转股并补足出资协议》，约定将</w:t>
      </w:r>
      <w:r w:rsidRPr="00B4515A">
        <w:t>2016</w:t>
      </w:r>
      <w:r w:rsidRPr="00B4515A">
        <w:t>年增资协议中约定的电信科研院第二笔增资资金出资方式由货币出资改为债权出资，合计出资人民币</w:t>
      </w:r>
      <w:r w:rsidRPr="00B4515A">
        <w:t>10,000</w:t>
      </w:r>
      <w:r w:rsidRPr="00B4515A">
        <w:t>万元，其中注册资本</w:t>
      </w:r>
      <w:r w:rsidRPr="00B4515A">
        <w:t xml:space="preserve"> 4,546.922758 </w:t>
      </w:r>
      <w:r w:rsidRPr="00B4515A">
        <w:t>万元，资本公积</w:t>
      </w:r>
      <w:r w:rsidRPr="00B4515A">
        <w:t xml:space="preserve">5,453.077242 </w:t>
      </w:r>
      <w:r w:rsidRPr="00B4515A">
        <w:t>万元，出资时间为</w:t>
      </w:r>
      <w:r w:rsidRPr="00B4515A">
        <w:t>2020</w:t>
      </w:r>
      <w:r w:rsidRPr="00B4515A">
        <w:t>年</w:t>
      </w:r>
      <w:r w:rsidRPr="00B4515A">
        <w:t>12</w:t>
      </w:r>
      <w:r w:rsidRPr="00B4515A">
        <w:t>月；电信科研院以债权方式向大唐联诚增资</w:t>
      </w:r>
      <w:r w:rsidRPr="00B4515A">
        <w:t>21,606</w:t>
      </w:r>
      <w:r w:rsidRPr="00B4515A">
        <w:t>万元，全部计入注册资本，增资后大唐联诚的注册资本增至人民币</w:t>
      </w:r>
      <w:r w:rsidRPr="00B4515A">
        <w:t>648,852,838.49</w:t>
      </w:r>
      <w:r w:rsidRPr="00B4515A">
        <w:t>元。</w:t>
      </w:r>
    </w:p>
    <w:p w14:paraId="3C61156F" w14:textId="77777777" w:rsidR="006416B0" w:rsidRPr="00B4515A" w:rsidRDefault="005E58C1" w:rsidP="005860B4">
      <w:pPr>
        <w:pStyle w:val="005"/>
        <w:spacing w:before="120" w:after="120"/>
        <w:ind w:firstLine="480"/>
      </w:pPr>
      <w:r w:rsidRPr="00B4515A">
        <w:t>2020</w:t>
      </w:r>
      <w:r w:rsidRPr="00B4515A">
        <w:t>年</w:t>
      </w:r>
      <w:r w:rsidRPr="00B4515A">
        <w:t>12</w:t>
      </w:r>
      <w:r w:rsidRPr="00B4515A">
        <w:t>月</w:t>
      </w:r>
      <w:r w:rsidRPr="00B4515A">
        <w:t>24</w:t>
      </w:r>
      <w:r w:rsidRPr="00B4515A">
        <w:t>日，大唐联诚召开股东会并形成会议决议，同意电信科研院</w:t>
      </w:r>
      <w:r w:rsidRPr="00B4515A">
        <w:t>4,546.922758</w:t>
      </w:r>
      <w:r w:rsidRPr="00B4515A">
        <w:t>万元出资额的认缴出资方式申请由货币出资调整为债权出资，同时出资时间由</w:t>
      </w:r>
      <w:r w:rsidRPr="00B4515A">
        <w:t>2017</w:t>
      </w:r>
      <w:r w:rsidRPr="00B4515A">
        <w:t>年</w:t>
      </w:r>
      <w:r w:rsidRPr="00B4515A">
        <w:t>12</w:t>
      </w:r>
      <w:r w:rsidRPr="00B4515A">
        <w:t>月前调整为</w:t>
      </w:r>
      <w:r w:rsidRPr="00B4515A">
        <w:t>2020</w:t>
      </w:r>
      <w:r w:rsidRPr="00B4515A">
        <w:t>年</w:t>
      </w:r>
      <w:r w:rsidRPr="00B4515A">
        <w:t>12</w:t>
      </w:r>
      <w:r w:rsidRPr="00B4515A">
        <w:t>月</w:t>
      </w:r>
      <w:r w:rsidRPr="00B4515A">
        <w:t>31</w:t>
      </w:r>
      <w:r w:rsidRPr="00B4515A">
        <w:t>日前；同意电信科研院以债权方式增资</w:t>
      </w:r>
      <w:r w:rsidRPr="00B4515A">
        <w:t>21,606</w:t>
      </w:r>
      <w:r w:rsidRPr="00B4515A">
        <w:t>万元；同意注册资本增至</w:t>
      </w:r>
      <w:r w:rsidRPr="00B4515A">
        <w:t>64,885.283849</w:t>
      </w:r>
      <w:r w:rsidRPr="00B4515A">
        <w:t>万元；同意修改后的公司章程。</w:t>
      </w:r>
    </w:p>
    <w:p w14:paraId="738027A6" w14:textId="77777777" w:rsidR="006416B0" w:rsidRPr="00B4515A" w:rsidRDefault="005E58C1" w:rsidP="005860B4">
      <w:pPr>
        <w:pStyle w:val="005"/>
        <w:spacing w:before="120" w:after="120"/>
        <w:ind w:firstLine="480"/>
      </w:pPr>
      <w:r w:rsidRPr="00B4515A">
        <w:t>2020</w:t>
      </w:r>
      <w:r w:rsidRPr="00B4515A">
        <w:t>年</w:t>
      </w:r>
      <w:r w:rsidRPr="00B4515A">
        <w:t>12</w:t>
      </w:r>
      <w:r w:rsidRPr="00B4515A">
        <w:t>月</w:t>
      </w:r>
      <w:r w:rsidRPr="00B4515A">
        <w:t>24</w:t>
      </w:r>
      <w:r w:rsidRPr="00B4515A">
        <w:t>日，电信科研院对大唐联诚的债权共计</w:t>
      </w:r>
      <w:r w:rsidRPr="00B4515A">
        <w:t>31,606</w:t>
      </w:r>
      <w:r w:rsidRPr="00B4515A">
        <w:t>万元以债转股出资形式入账，其中</w:t>
      </w:r>
      <w:r w:rsidRPr="00B4515A">
        <w:t>26,152.922758</w:t>
      </w:r>
      <w:r w:rsidRPr="00B4515A">
        <w:t>万元作为实缴注册资本，</w:t>
      </w:r>
      <w:r w:rsidRPr="00B4515A">
        <w:t>5,453.077243</w:t>
      </w:r>
      <w:r w:rsidRPr="00B4515A">
        <w:t>万</w:t>
      </w:r>
      <w:r w:rsidRPr="00B4515A">
        <w:lastRenderedPageBreak/>
        <w:t>元计入资本公积。</w:t>
      </w:r>
    </w:p>
    <w:p w14:paraId="167E13D4" w14:textId="77777777" w:rsidR="006416B0" w:rsidRPr="00B4515A" w:rsidRDefault="005E58C1" w:rsidP="005860B4">
      <w:pPr>
        <w:pStyle w:val="005"/>
        <w:spacing w:before="120" w:after="120"/>
        <w:ind w:firstLine="480"/>
      </w:pPr>
      <w:r w:rsidRPr="00B4515A">
        <w:t>2020</w:t>
      </w:r>
      <w:r w:rsidRPr="00B4515A">
        <w:t>年</w:t>
      </w:r>
      <w:r w:rsidRPr="00B4515A">
        <w:t>12</w:t>
      </w:r>
      <w:r w:rsidRPr="00B4515A">
        <w:t>月</w:t>
      </w:r>
      <w:r w:rsidRPr="00B4515A">
        <w:t>28</w:t>
      </w:r>
      <w:r w:rsidRPr="00B4515A">
        <w:t>日，大唐联诚在北京市市场监督管理局办理完毕本次增资的工商变更登记手续，并取得换发的统一社会信用代码</w:t>
      </w:r>
      <w:r w:rsidRPr="00B4515A">
        <w:rPr>
          <w:szCs w:val="21"/>
        </w:rPr>
        <w:t>91110000710935759B</w:t>
      </w:r>
      <w:r w:rsidRPr="00B4515A">
        <w:t>《营业执照》。</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2088"/>
        <w:gridCol w:w="2043"/>
        <w:gridCol w:w="2043"/>
        <w:gridCol w:w="1537"/>
      </w:tblGrid>
      <w:tr w:rsidR="006416B0" w:rsidRPr="00B4515A" w14:paraId="3DB0A958" w14:textId="77777777" w:rsidTr="00031627">
        <w:trPr>
          <w:trHeight w:val="340"/>
          <w:jc w:val="center"/>
        </w:trPr>
        <w:tc>
          <w:tcPr>
            <w:tcW w:w="479" w:type="pct"/>
            <w:tcMar>
              <w:top w:w="0" w:type="dxa"/>
              <w:left w:w="108" w:type="dxa"/>
              <w:bottom w:w="0" w:type="dxa"/>
              <w:right w:w="108" w:type="dxa"/>
            </w:tcMar>
            <w:vAlign w:val="center"/>
          </w:tcPr>
          <w:p w14:paraId="7DCB5DB1"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1224" w:type="pct"/>
            <w:tcMar>
              <w:top w:w="0" w:type="dxa"/>
              <w:left w:w="108" w:type="dxa"/>
              <w:bottom w:w="0" w:type="dxa"/>
              <w:right w:w="108" w:type="dxa"/>
            </w:tcMar>
            <w:vAlign w:val="center"/>
          </w:tcPr>
          <w:p w14:paraId="7DD6398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股东名称</w:t>
            </w:r>
          </w:p>
        </w:tc>
        <w:tc>
          <w:tcPr>
            <w:tcW w:w="1198" w:type="pct"/>
            <w:tcMar>
              <w:top w:w="0" w:type="dxa"/>
              <w:left w:w="108" w:type="dxa"/>
              <w:bottom w:w="0" w:type="dxa"/>
              <w:right w:w="108" w:type="dxa"/>
            </w:tcMar>
            <w:vAlign w:val="center"/>
          </w:tcPr>
          <w:p w14:paraId="1E6A9F9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出资额（万元）</w:t>
            </w:r>
          </w:p>
        </w:tc>
        <w:tc>
          <w:tcPr>
            <w:tcW w:w="1198" w:type="pct"/>
            <w:tcMar>
              <w:top w:w="0" w:type="dxa"/>
              <w:left w:w="108" w:type="dxa"/>
              <w:bottom w:w="0" w:type="dxa"/>
              <w:right w:w="108" w:type="dxa"/>
            </w:tcMar>
            <w:vAlign w:val="center"/>
          </w:tcPr>
          <w:p w14:paraId="7B78C40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出资比例（％）</w:t>
            </w:r>
          </w:p>
        </w:tc>
        <w:tc>
          <w:tcPr>
            <w:tcW w:w="901" w:type="pct"/>
            <w:tcMar>
              <w:top w:w="0" w:type="dxa"/>
              <w:left w:w="108" w:type="dxa"/>
              <w:bottom w:w="0" w:type="dxa"/>
              <w:right w:w="108" w:type="dxa"/>
            </w:tcMar>
            <w:vAlign w:val="center"/>
          </w:tcPr>
          <w:p w14:paraId="6304795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出资方式</w:t>
            </w:r>
          </w:p>
        </w:tc>
      </w:tr>
      <w:tr w:rsidR="006416B0" w:rsidRPr="00B4515A" w14:paraId="4B127A01" w14:textId="77777777" w:rsidTr="00031627">
        <w:trPr>
          <w:trHeight w:val="340"/>
          <w:jc w:val="center"/>
        </w:trPr>
        <w:tc>
          <w:tcPr>
            <w:tcW w:w="479" w:type="pct"/>
            <w:tcMar>
              <w:top w:w="0" w:type="dxa"/>
              <w:left w:w="108" w:type="dxa"/>
              <w:bottom w:w="0" w:type="dxa"/>
              <w:right w:w="108" w:type="dxa"/>
            </w:tcMar>
            <w:vAlign w:val="center"/>
          </w:tcPr>
          <w:p w14:paraId="3D5D768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224" w:type="pct"/>
            <w:tcMar>
              <w:top w:w="0" w:type="dxa"/>
              <w:left w:w="108" w:type="dxa"/>
              <w:bottom w:w="0" w:type="dxa"/>
              <w:right w:w="108" w:type="dxa"/>
            </w:tcMar>
            <w:vAlign w:val="center"/>
          </w:tcPr>
          <w:p w14:paraId="4598DF8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电信科研院</w:t>
            </w:r>
          </w:p>
        </w:tc>
        <w:tc>
          <w:tcPr>
            <w:tcW w:w="1198" w:type="pct"/>
            <w:tcMar>
              <w:top w:w="0" w:type="dxa"/>
              <w:left w:w="108" w:type="dxa"/>
              <w:bottom w:w="0" w:type="dxa"/>
              <w:right w:w="108" w:type="dxa"/>
            </w:tcMar>
            <w:vAlign w:val="center"/>
          </w:tcPr>
          <w:p w14:paraId="14C4FB2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61,559.283849</w:t>
            </w:r>
          </w:p>
        </w:tc>
        <w:tc>
          <w:tcPr>
            <w:tcW w:w="1198" w:type="pct"/>
            <w:tcMar>
              <w:top w:w="0" w:type="dxa"/>
              <w:left w:w="108" w:type="dxa"/>
              <w:bottom w:w="0" w:type="dxa"/>
              <w:right w:w="108" w:type="dxa"/>
            </w:tcMar>
            <w:vAlign w:val="center"/>
          </w:tcPr>
          <w:p w14:paraId="63E3628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94.87</w:t>
            </w:r>
          </w:p>
        </w:tc>
        <w:tc>
          <w:tcPr>
            <w:tcW w:w="901" w:type="pct"/>
            <w:tcMar>
              <w:top w:w="0" w:type="dxa"/>
              <w:left w:w="108" w:type="dxa"/>
              <w:bottom w:w="0" w:type="dxa"/>
              <w:right w:w="108" w:type="dxa"/>
            </w:tcMar>
            <w:vAlign w:val="center"/>
          </w:tcPr>
          <w:p w14:paraId="2547B5B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货币、债权</w:t>
            </w:r>
          </w:p>
        </w:tc>
      </w:tr>
      <w:tr w:rsidR="006416B0" w:rsidRPr="00B4515A" w14:paraId="35E88FBB" w14:textId="77777777" w:rsidTr="00031627">
        <w:trPr>
          <w:trHeight w:val="340"/>
          <w:jc w:val="center"/>
        </w:trPr>
        <w:tc>
          <w:tcPr>
            <w:tcW w:w="479" w:type="pct"/>
            <w:tcMar>
              <w:top w:w="0" w:type="dxa"/>
              <w:left w:w="108" w:type="dxa"/>
              <w:bottom w:w="0" w:type="dxa"/>
              <w:right w:w="108" w:type="dxa"/>
            </w:tcMar>
            <w:vAlign w:val="center"/>
          </w:tcPr>
          <w:p w14:paraId="1EDF5A5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1224" w:type="pct"/>
            <w:tcMar>
              <w:top w:w="0" w:type="dxa"/>
              <w:left w:w="108" w:type="dxa"/>
              <w:bottom w:w="0" w:type="dxa"/>
              <w:right w:w="108" w:type="dxa"/>
            </w:tcMar>
            <w:vAlign w:val="center"/>
          </w:tcPr>
          <w:p w14:paraId="799AB87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大唐控股</w:t>
            </w:r>
          </w:p>
        </w:tc>
        <w:tc>
          <w:tcPr>
            <w:tcW w:w="1198" w:type="pct"/>
            <w:tcMar>
              <w:top w:w="0" w:type="dxa"/>
              <w:left w:w="108" w:type="dxa"/>
              <w:bottom w:w="0" w:type="dxa"/>
              <w:right w:w="108" w:type="dxa"/>
            </w:tcMar>
            <w:vAlign w:val="center"/>
          </w:tcPr>
          <w:p w14:paraId="3FA391C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3,326.00</w:t>
            </w:r>
          </w:p>
        </w:tc>
        <w:tc>
          <w:tcPr>
            <w:tcW w:w="1198" w:type="pct"/>
            <w:tcMar>
              <w:top w:w="0" w:type="dxa"/>
              <w:left w:w="108" w:type="dxa"/>
              <w:bottom w:w="0" w:type="dxa"/>
              <w:right w:w="108" w:type="dxa"/>
            </w:tcMar>
            <w:vAlign w:val="center"/>
          </w:tcPr>
          <w:p w14:paraId="011C9CD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5.13</w:t>
            </w:r>
          </w:p>
        </w:tc>
        <w:tc>
          <w:tcPr>
            <w:tcW w:w="901" w:type="pct"/>
            <w:tcMar>
              <w:top w:w="0" w:type="dxa"/>
              <w:left w:w="108" w:type="dxa"/>
              <w:bottom w:w="0" w:type="dxa"/>
              <w:right w:w="108" w:type="dxa"/>
            </w:tcMar>
            <w:vAlign w:val="center"/>
          </w:tcPr>
          <w:p w14:paraId="41BACA1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3940554A" w14:textId="77777777" w:rsidTr="00031627">
        <w:trPr>
          <w:trHeight w:val="340"/>
          <w:jc w:val="center"/>
        </w:trPr>
        <w:tc>
          <w:tcPr>
            <w:tcW w:w="1703" w:type="pct"/>
            <w:gridSpan w:val="2"/>
            <w:tcMar>
              <w:top w:w="0" w:type="dxa"/>
              <w:left w:w="108" w:type="dxa"/>
              <w:bottom w:w="0" w:type="dxa"/>
              <w:right w:w="108" w:type="dxa"/>
            </w:tcMar>
            <w:vAlign w:val="center"/>
          </w:tcPr>
          <w:p w14:paraId="35DECC08"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合计</w:t>
            </w:r>
          </w:p>
        </w:tc>
        <w:tc>
          <w:tcPr>
            <w:tcW w:w="1198" w:type="pct"/>
            <w:tcMar>
              <w:top w:w="0" w:type="dxa"/>
              <w:left w:w="108" w:type="dxa"/>
              <w:bottom w:w="0" w:type="dxa"/>
              <w:right w:w="108" w:type="dxa"/>
            </w:tcMar>
            <w:vAlign w:val="center"/>
          </w:tcPr>
          <w:p w14:paraId="3F46133E"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64,885.283849</w:t>
            </w:r>
          </w:p>
        </w:tc>
        <w:tc>
          <w:tcPr>
            <w:tcW w:w="1198" w:type="pct"/>
            <w:tcMar>
              <w:top w:w="0" w:type="dxa"/>
              <w:left w:w="108" w:type="dxa"/>
              <w:bottom w:w="0" w:type="dxa"/>
              <w:right w:w="108" w:type="dxa"/>
            </w:tcMar>
            <w:vAlign w:val="center"/>
          </w:tcPr>
          <w:p w14:paraId="7E5CFE2C"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100.00</w:t>
            </w:r>
          </w:p>
        </w:tc>
        <w:tc>
          <w:tcPr>
            <w:tcW w:w="901" w:type="pct"/>
            <w:tcMar>
              <w:top w:w="0" w:type="dxa"/>
              <w:left w:w="108" w:type="dxa"/>
              <w:bottom w:w="0" w:type="dxa"/>
              <w:right w:w="108" w:type="dxa"/>
            </w:tcMar>
            <w:vAlign w:val="center"/>
          </w:tcPr>
          <w:p w14:paraId="508FD738" w14:textId="77777777" w:rsidR="006416B0" w:rsidRPr="00B4515A" w:rsidRDefault="006416B0" w:rsidP="005860B4">
            <w:pPr>
              <w:adjustRightInd w:val="0"/>
              <w:snapToGrid w:val="0"/>
              <w:jc w:val="center"/>
              <w:rPr>
                <w:rFonts w:ascii="Times New Roman" w:hAnsi="Times New Roman" w:cs="Times New Roman"/>
                <w:b/>
                <w:sz w:val="21"/>
                <w:szCs w:val="21"/>
              </w:rPr>
            </w:pPr>
          </w:p>
        </w:tc>
      </w:tr>
    </w:tbl>
    <w:p w14:paraId="501D91E0" w14:textId="41EF79B5" w:rsidR="00306D1F" w:rsidRPr="00B4515A" w:rsidRDefault="00306D1F" w:rsidP="005860B4">
      <w:pPr>
        <w:pStyle w:val="006"/>
        <w:ind w:firstLine="420"/>
      </w:pPr>
      <w:r w:rsidRPr="00B4515A">
        <w:rPr>
          <w:rFonts w:hint="eastAsia"/>
        </w:rPr>
        <w:t>注：本次增资前大唐联诚资产负债率高，对生产经营产生了不利影响，通过本次增资降低了大唐联诚的资产负债率。</w:t>
      </w:r>
    </w:p>
    <w:p w14:paraId="07FC11FE" w14:textId="01846B86" w:rsidR="004D6851" w:rsidRPr="00B4515A" w:rsidRDefault="004D6851" w:rsidP="005860B4">
      <w:pPr>
        <w:pStyle w:val="005"/>
        <w:spacing w:before="120" w:after="120"/>
        <w:ind w:firstLine="480"/>
      </w:pPr>
      <w:r w:rsidRPr="00B4515A">
        <w:rPr>
          <w:rFonts w:hint="eastAsia"/>
        </w:rPr>
        <w:t>大唐联诚本次增资的增资款均已实际缴纳，不存在明股实债、业绩对赌、回购条款等特殊约定。</w:t>
      </w:r>
    </w:p>
    <w:p w14:paraId="7414B878" w14:textId="57DB0282" w:rsidR="006416B0" w:rsidRPr="00B4515A" w:rsidRDefault="005E58C1" w:rsidP="00EE238F">
      <w:pPr>
        <w:pStyle w:val="004"/>
        <w:spacing w:before="120" w:after="120"/>
        <w:ind w:firstLine="482"/>
      </w:pPr>
      <w:r w:rsidRPr="00B4515A">
        <w:t>6</w:t>
      </w:r>
      <w:r w:rsidRPr="00B4515A">
        <w:rPr>
          <w:rFonts w:hint="eastAsia"/>
        </w:rPr>
        <w:t>、</w:t>
      </w:r>
      <w:r w:rsidRPr="00B4515A">
        <w:t>2021</w:t>
      </w:r>
      <w:r w:rsidRPr="00B4515A">
        <w:rPr>
          <w:rFonts w:hint="eastAsia"/>
        </w:rPr>
        <w:t>年</w:t>
      </w:r>
      <w:r w:rsidRPr="00B4515A">
        <w:t>4</w:t>
      </w:r>
      <w:r w:rsidRPr="00B4515A">
        <w:rPr>
          <w:rFonts w:hint="eastAsia"/>
        </w:rPr>
        <w:t>月，注册资本增至</w:t>
      </w:r>
      <w:r w:rsidRPr="00B4515A">
        <w:t>108,382.032524</w:t>
      </w:r>
      <w:r w:rsidRPr="00B4515A">
        <w:rPr>
          <w:rFonts w:hint="eastAsia"/>
        </w:rPr>
        <w:t>万元</w:t>
      </w:r>
    </w:p>
    <w:p w14:paraId="59F5C376" w14:textId="77777777" w:rsidR="006416B0" w:rsidRPr="00B4515A" w:rsidRDefault="005E58C1" w:rsidP="005860B4">
      <w:pPr>
        <w:pStyle w:val="005"/>
        <w:spacing w:before="120" w:after="120"/>
        <w:ind w:firstLine="480"/>
      </w:pPr>
      <w:r w:rsidRPr="00B4515A">
        <w:t>2021</w:t>
      </w:r>
      <w:r w:rsidRPr="00B4515A">
        <w:t>年</w:t>
      </w:r>
      <w:r w:rsidRPr="00B4515A">
        <w:t>1</w:t>
      </w:r>
      <w:r w:rsidRPr="00B4515A">
        <w:t>月</w:t>
      </w:r>
      <w:r w:rsidRPr="00B4515A">
        <w:t>27</w:t>
      </w:r>
      <w:r w:rsidRPr="00B4515A">
        <w:t>日，上海东洲资产评估有限公司出具</w:t>
      </w:r>
      <w:r w:rsidRPr="00B4515A">
        <w:rPr>
          <w:color w:val="000000"/>
        </w:rPr>
        <w:t>《大唐联诚信息系统技术有限公司拟开展员工持股和引进战略投资者所涉及的大唐联诚信息系统技术有限公司股东全部权益价值资产评估报告书》</w:t>
      </w:r>
      <w:r w:rsidRPr="00B4515A">
        <w:t>（东洲评报字</w:t>
      </w:r>
      <w:r w:rsidRPr="00B4515A">
        <w:t>[2021]</w:t>
      </w:r>
      <w:r w:rsidRPr="00B4515A">
        <w:t>第</w:t>
      </w:r>
      <w:r w:rsidRPr="00B4515A">
        <w:t>0121</w:t>
      </w:r>
      <w:r w:rsidRPr="00B4515A">
        <w:t>号）。</w:t>
      </w:r>
      <w:r w:rsidRPr="00B4515A">
        <w:t>2021</w:t>
      </w:r>
      <w:r w:rsidRPr="00B4515A">
        <w:t>年</w:t>
      </w:r>
      <w:r w:rsidRPr="00B4515A">
        <w:t>2</w:t>
      </w:r>
      <w:r w:rsidRPr="00B4515A">
        <w:t>月</w:t>
      </w:r>
      <w:r w:rsidRPr="00B4515A">
        <w:t>1</w:t>
      </w:r>
      <w:r w:rsidRPr="00B4515A">
        <w:t>日，中国信科集团对评估报告予以备案。</w:t>
      </w:r>
    </w:p>
    <w:p w14:paraId="4458670D" w14:textId="77777777" w:rsidR="006416B0" w:rsidRPr="00B4515A" w:rsidRDefault="005E58C1" w:rsidP="005860B4">
      <w:pPr>
        <w:pStyle w:val="005"/>
        <w:spacing w:before="120" w:after="120"/>
        <w:ind w:firstLine="480"/>
      </w:pPr>
      <w:r w:rsidRPr="00B4515A">
        <w:t>2021</w:t>
      </w:r>
      <w:r w:rsidRPr="00B4515A">
        <w:t>年</w:t>
      </w:r>
      <w:r w:rsidRPr="00B4515A">
        <w:t>2</w:t>
      </w:r>
      <w:r w:rsidRPr="00B4515A">
        <w:t>月</w:t>
      </w:r>
      <w:r w:rsidRPr="00B4515A">
        <w:t>9</w:t>
      </w:r>
      <w:r w:rsidRPr="00B4515A">
        <w:t>日，国务院国资委出具《关于大唐联诚信息系统技术有限公司增资方案有关事项的批复》（国资产权［</w:t>
      </w:r>
      <w:r w:rsidRPr="00B4515A">
        <w:t>2021</w:t>
      </w:r>
      <w:r w:rsidRPr="00B4515A">
        <w:t>］</w:t>
      </w:r>
      <w:r w:rsidRPr="00B4515A">
        <w:t>85</w:t>
      </w:r>
      <w:r w:rsidRPr="00B4515A">
        <w:t>号），原则同意大唐联诚增资方案。</w:t>
      </w:r>
    </w:p>
    <w:p w14:paraId="0E7627C1" w14:textId="0C128BBF" w:rsidR="006416B0" w:rsidRPr="00B4515A" w:rsidRDefault="005E58C1" w:rsidP="005860B4">
      <w:pPr>
        <w:pStyle w:val="005"/>
        <w:spacing w:before="120" w:after="120"/>
        <w:ind w:firstLine="480"/>
      </w:pPr>
      <w:r w:rsidRPr="00B4515A">
        <w:t>2021</w:t>
      </w:r>
      <w:r w:rsidRPr="00B4515A">
        <w:t>年</w:t>
      </w:r>
      <w:r w:rsidRPr="00B4515A">
        <w:t>4</w:t>
      </w:r>
      <w:r w:rsidRPr="00B4515A">
        <w:t>月</w:t>
      </w:r>
      <w:r w:rsidRPr="00B4515A">
        <w:t>22</w:t>
      </w:r>
      <w:r w:rsidRPr="00B4515A">
        <w:t>日，大唐联诚、电信科研院、大唐控股与</w:t>
      </w:r>
      <w:r w:rsidR="00252376" w:rsidRPr="00B4515A">
        <w:t>长江移动基金</w:t>
      </w:r>
      <w:r w:rsidRPr="00B4515A">
        <w:t>、结构调整基金、金融街资本签署</w:t>
      </w:r>
      <w:r w:rsidRPr="00B4515A">
        <w:rPr>
          <w:color w:val="000000"/>
        </w:rPr>
        <w:t>《大唐联诚信息系统技术有限公司增资协议》</w:t>
      </w:r>
      <w:r w:rsidRPr="00B4515A">
        <w:t>，通过在北京产权交易所公开挂牌方式，引入投资人</w:t>
      </w:r>
      <w:r w:rsidR="00252376" w:rsidRPr="00B4515A">
        <w:t>长江移动基金</w:t>
      </w:r>
      <w:r w:rsidRPr="00B4515A">
        <w:t>、结构调整基金、金融街资本，合计向大唐联诚增资</w:t>
      </w:r>
      <w:r w:rsidRPr="00B4515A">
        <w:t>38,078.218221</w:t>
      </w:r>
      <w:r w:rsidRPr="00B4515A">
        <w:t>万元。其中，</w:t>
      </w:r>
      <w:r w:rsidR="00252376" w:rsidRPr="00B4515A">
        <w:t>长江移动基金</w:t>
      </w:r>
      <w:r w:rsidRPr="00B4515A">
        <w:t>以人民币</w:t>
      </w:r>
      <w:r w:rsidRPr="00B4515A">
        <w:t>30,000</w:t>
      </w:r>
      <w:r w:rsidRPr="00B4515A">
        <w:t>万元认缴大唐联诚</w:t>
      </w:r>
      <w:r w:rsidRPr="00B4515A">
        <w:t>22,846.930933</w:t>
      </w:r>
      <w:r w:rsidRPr="00B4515A">
        <w:t>万元新增注册资本，结构调整基金以人民币</w:t>
      </w:r>
      <w:r w:rsidRPr="00B4515A">
        <w:t>10,000</w:t>
      </w:r>
      <w:r w:rsidRPr="00B4515A">
        <w:t>万元认缴大唐联诚</w:t>
      </w:r>
      <w:r w:rsidRPr="00B4515A">
        <w:t>7,615.643644</w:t>
      </w:r>
      <w:r w:rsidRPr="00B4515A">
        <w:t>万元新增注册资本，金融街资本以人民币</w:t>
      </w:r>
      <w:r w:rsidRPr="00B4515A">
        <w:t>10,000</w:t>
      </w:r>
      <w:r w:rsidRPr="00B4515A">
        <w:t>万元认缴大唐联诚</w:t>
      </w:r>
      <w:r w:rsidRPr="00B4515A">
        <w:t>7,615.643644</w:t>
      </w:r>
      <w:r w:rsidRPr="00B4515A">
        <w:t>万元新增注册资本。</w:t>
      </w:r>
    </w:p>
    <w:p w14:paraId="65DFDC45" w14:textId="77777777" w:rsidR="006416B0" w:rsidRPr="00B4515A" w:rsidRDefault="005E58C1" w:rsidP="005860B4">
      <w:pPr>
        <w:pStyle w:val="005"/>
        <w:spacing w:before="120" w:after="120"/>
        <w:ind w:firstLine="480"/>
      </w:pPr>
      <w:r w:rsidRPr="00B4515A">
        <w:t>2021</w:t>
      </w:r>
      <w:r w:rsidRPr="00B4515A">
        <w:t>年</w:t>
      </w:r>
      <w:r w:rsidRPr="00B4515A">
        <w:t>4</w:t>
      </w:r>
      <w:r w:rsidRPr="00B4515A">
        <w:t>月</w:t>
      </w:r>
      <w:r w:rsidRPr="00B4515A">
        <w:t>26</w:t>
      </w:r>
      <w:r w:rsidRPr="00B4515A">
        <w:t>日，大唐联诚、电信科研院、大唐控股与天津益诚、天津乾诚、天津首诚、天津军诚签署《大唐联诚信息系统技术有限公司员工持股平台增</w:t>
      </w:r>
      <w:r w:rsidRPr="00B4515A">
        <w:lastRenderedPageBreak/>
        <w:t>资协议》，天津益诚、天津乾诚、天津首诚、天津军诚作为大唐联诚实施股权激励的员工持股平台合计向大唐联诚增加注册资本</w:t>
      </w:r>
      <w:r w:rsidRPr="00B4515A">
        <w:t>5,418.530454</w:t>
      </w:r>
      <w:r w:rsidRPr="00B4515A">
        <w:t>万元。其中，天津益诚以</w:t>
      </w:r>
      <w:r w:rsidRPr="00B4515A">
        <w:t>1,725</w:t>
      </w:r>
      <w:r w:rsidRPr="00B4515A">
        <w:t>万元认缴大唐联诚</w:t>
      </w:r>
      <w:r w:rsidRPr="00B4515A">
        <w:t>1,313.698529</w:t>
      </w:r>
      <w:r w:rsidRPr="00B4515A">
        <w:t>万元新增注册资本，天津乾诚以人民币</w:t>
      </w:r>
      <w:r w:rsidRPr="00B4515A">
        <w:t>1,775</w:t>
      </w:r>
      <w:r w:rsidRPr="00B4515A">
        <w:t>万元认缴大唐联诚</w:t>
      </w:r>
      <w:r w:rsidRPr="00B4515A">
        <w:t>1,351.776747</w:t>
      </w:r>
      <w:r w:rsidRPr="00B4515A">
        <w:t>万元新增注册资本，天津首诚以人民币</w:t>
      </w:r>
      <w:r w:rsidRPr="00B4515A">
        <w:t>1,835</w:t>
      </w:r>
      <w:r w:rsidRPr="00B4515A">
        <w:t>万元认缴大唐联诚</w:t>
      </w:r>
      <w:r w:rsidRPr="00B4515A">
        <w:t>1,397.470609</w:t>
      </w:r>
      <w:r w:rsidRPr="00B4515A">
        <w:t>万元新增注册资本，天津军诚以人民币</w:t>
      </w:r>
      <w:r w:rsidRPr="00B4515A">
        <w:t>1,780</w:t>
      </w:r>
      <w:r w:rsidRPr="00B4515A">
        <w:t>万元认缴大唐联诚</w:t>
      </w:r>
      <w:r w:rsidRPr="00B4515A">
        <w:t>1,355.584569</w:t>
      </w:r>
      <w:r w:rsidRPr="00B4515A">
        <w:t>万元新增注册资本。</w:t>
      </w:r>
    </w:p>
    <w:p w14:paraId="58123601" w14:textId="3E87E6FE" w:rsidR="006416B0" w:rsidRPr="00B4515A" w:rsidRDefault="005E58C1" w:rsidP="005860B4">
      <w:pPr>
        <w:pStyle w:val="005"/>
        <w:spacing w:before="120" w:after="120"/>
        <w:ind w:firstLine="480"/>
      </w:pPr>
      <w:r w:rsidRPr="00B4515A">
        <w:t>2021</w:t>
      </w:r>
      <w:r w:rsidRPr="00B4515A">
        <w:t>年</w:t>
      </w:r>
      <w:r w:rsidRPr="00B4515A">
        <w:t>4</w:t>
      </w:r>
      <w:r w:rsidRPr="00B4515A">
        <w:t>月</w:t>
      </w:r>
      <w:r w:rsidRPr="00B4515A">
        <w:t>27</w:t>
      </w:r>
      <w:r w:rsidRPr="00B4515A">
        <w:t>日，大唐联诚通过</w:t>
      </w:r>
      <w:r w:rsidRPr="00B4515A">
        <w:t>2021</w:t>
      </w:r>
      <w:r w:rsidRPr="00B4515A">
        <w:t>年第三次股东会决议，同意注册资本由</w:t>
      </w:r>
      <w:r w:rsidRPr="00B4515A">
        <w:t>64,885.283849</w:t>
      </w:r>
      <w:r w:rsidRPr="00B4515A">
        <w:t>万元增至</w:t>
      </w:r>
      <w:r w:rsidRPr="00B4515A">
        <w:t>108,382.032524</w:t>
      </w:r>
      <w:r w:rsidRPr="00B4515A">
        <w:t>万元，其中：</w:t>
      </w:r>
      <w:r w:rsidR="00252376" w:rsidRPr="00B4515A">
        <w:t>长江移动基金</w:t>
      </w:r>
      <w:r w:rsidRPr="00B4515A">
        <w:t>认缴</w:t>
      </w:r>
      <w:r w:rsidRPr="00B4515A">
        <w:t>22,846.930933</w:t>
      </w:r>
      <w:r w:rsidRPr="00B4515A">
        <w:t>万元，结构调整基金认缴</w:t>
      </w:r>
      <w:r w:rsidRPr="00B4515A">
        <w:t>7,615.643644</w:t>
      </w:r>
      <w:r w:rsidRPr="00B4515A">
        <w:t>万元，金融街资本认缴</w:t>
      </w:r>
      <w:r w:rsidRPr="00B4515A">
        <w:t>7,615.643644</w:t>
      </w:r>
      <w:r w:rsidRPr="00B4515A">
        <w:t>万元，天津益诚认缴</w:t>
      </w:r>
      <w:r w:rsidRPr="00B4515A">
        <w:t>1,313.698529</w:t>
      </w:r>
      <w:r w:rsidRPr="00B4515A">
        <w:t>万元，天津乾诚认缴</w:t>
      </w:r>
      <w:r w:rsidRPr="00B4515A">
        <w:t>1,351.776747</w:t>
      </w:r>
      <w:r w:rsidRPr="00B4515A">
        <w:t>万元，天津首诚认缴</w:t>
      </w:r>
      <w:r w:rsidRPr="00B4515A">
        <w:t>1,397.470609</w:t>
      </w:r>
      <w:r w:rsidRPr="00B4515A">
        <w:t>万元，天津军诚认缴</w:t>
      </w:r>
      <w:r w:rsidRPr="00B4515A">
        <w:t>1,355.584569</w:t>
      </w:r>
      <w:r w:rsidRPr="00B4515A">
        <w:t>万元；同意修改后的大唐联诚公司章程。</w:t>
      </w:r>
    </w:p>
    <w:p w14:paraId="4DAEB6A1" w14:textId="77777777" w:rsidR="006416B0" w:rsidRPr="00B4515A" w:rsidRDefault="005E58C1" w:rsidP="005860B4">
      <w:pPr>
        <w:pStyle w:val="005"/>
        <w:spacing w:before="120" w:after="120"/>
        <w:ind w:firstLine="480"/>
      </w:pPr>
      <w:r w:rsidRPr="00B4515A">
        <w:t>2021</w:t>
      </w:r>
      <w:r w:rsidRPr="00B4515A">
        <w:t>年</w:t>
      </w:r>
      <w:r w:rsidRPr="00B4515A">
        <w:t>4</w:t>
      </w:r>
      <w:r w:rsidRPr="00B4515A">
        <w:t>月</w:t>
      </w:r>
      <w:r w:rsidRPr="00B4515A">
        <w:t>29</w:t>
      </w:r>
      <w:r w:rsidRPr="00B4515A">
        <w:t>日，大唐联诚在北京市市场监督管理局办理完毕本次增资的工商变更登记手续，并取得换发的统一</w:t>
      </w:r>
      <w:r w:rsidRPr="00B4515A">
        <w:rPr>
          <w:color w:val="000000"/>
        </w:rPr>
        <w:t>社会</w:t>
      </w:r>
      <w:r w:rsidRPr="00B4515A">
        <w:t>信用代码</w:t>
      </w:r>
      <w:r w:rsidRPr="00B4515A">
        <w:rPr>
          <w:szCs w:val="21"/>
        </w:rPr>
        <w:t>91110000710935759B</w:t>
      </w:r>
      <w:r w:rsidRPr="00B4515A">
        <w:t>《营业执照》。</w:t>
      </w:r>
    </w:p>
    <w:p w14:paraId="42A11867" w14:textId="77777777" w:rsidR="006416B0" w:rsidRPr="00B4515A" w:rsidRDefault="005E58C1" w:rsidP="005860B4">
      <w:pPr>
        <w:pStyle w:val="005"/>
        <w:spacing w:before="120" w:after="120"/>
        <w:ind w:firstLine="480"/>
        <w:rPr>
          <w:b/>
          <w:color w:val="000000"/>
        </w:rPr>
      </w:pPr>
      <w:r w:rsidRPr="00B4515A">
        <w:rPr>
          <w:rFonts w:hint="eastAsia"/>
        </w:rPr>
        <w:t>本次增资完成后，大唐联诚的股权结构为：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97"/>
        <w:gridCol w:w="2108"/>
        <w:gridCol w:w="2043"/>
        <w:gridCol w:w="2043"/>
        <w:gridCol w:w="1537"/>
      </w:tblGrid>
      <w:tr w:rsidR="006416B0" w:rsidRPr="00B4515A" w14:paraId="200B68AE" w14:textId="77777777" w:rsidTr="00031627">
        <w:trPr>
          <w:trHeight w:val="340"/>
          <w:jc w:val="center"/>
        </w:trPr>
        <w:tc>
          <w:tcPr>
            <w:tcW w:w="467" w:type="pct"/>
            <w:tcMar>
              <w:top w:w="0" w:type="dxa"/>
              <w:left w:w="108" w:type="dxa"/>
              <w:bottom w:w="0" w:type="dxa"/>
              <w:right w:w="108" w:type="dxa"/>
            </w:tcMar>
            <w:vAlign w:val="center"/>
          </w:tcPr>
          <w:p w14:paraId="3932000F"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1236" w:type="pct"/>
            <w:tcMar>
              <w:top w:w="0" w:type="dxa"/>
              <w:left w:w="108" w:type="dxa"/>
              <w:bottom w:w="0" w:type="dxa"/>
              <w:right w:w="108" w:type="dxa"/>
            </w:tcMar>
            <w:vAlign w:val="center"/>
          </w:tcPr>
          <w:p w14:paraId="4E3914B8"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股东名称</w:t>
            </w:r>
          </w:p>
        </w:tc>
        <w:tc>
          <w:tcPr>
            <w:tcW w:w="1198" w:type="pct"/>
            <w:tcMar>
              <w:top w:w="0" w:type="dxa"/>
              <w:left w:w="108" w:type="dxa"/>
              <w:bottom w:w="0" w:type="dxa"/>
              <w:right w:w="108" w:type="dxa"/>
            </w:tcMar>
            <w:vAlign w:val="center"/>
          </w:tcPr>
          <w:p w14:paraId="7EDCA571"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出资额（万元）</w:t>
            </w:r>
          </w:p>
        </w:tc>
        <w:tc>
          <w:tcPr>
            <w:tcW w:w="1198" w:type="pct"/>
            <w:tcMar>
              <w:top w:w="0" w:type="dxa"/>
              <w:left w:w="108" w:type="dxa"/>
              <w:bottom w:w="0" w:type="dxa"/>
              <w:right w:w="108" w:type="dxa"/>
            </w:tcMar>
            <w:vAlign w:val="center"/>
          </w:tcPr>
          <w:p w14:paraId="71C3CEA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出资比例（％）</w:t>
            </w:r>
          </w:p>
        </w:tc>
        <w:tc>
          <w:tcPr>
            <w:tcW w:w="901" w:type="pct"/>
            <w:tcMar>
              <w:top w:w="0" w:type="dxa"/>
              <w:left w:w="108" w:type="dxa"/>
              <w:bottom w:w="0" w:type="dxa"/>
              <w:right w:w="108" w:type="dxa"/>
            </w:tcMar>
            <w:vAlign w:val="center"/>
          </w:tcPr>
          <w:p w14:paraId="7FDB6DAC"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出资方式</w:t>
            </w:r>
          </w:p>
        </w:tc>
      </w:tr>
      <w:tr w:rsidR="006416B0" w:rsidRPr="00B4515A" w14:paraId="01DD1606" w14:textId="77777777" w:rsidTr="00031627">
        <w:trPr>
          <w:trHeight w:val="340"/>
          <w:jc w:val="center"/>
        </w:trPr>
        <w:tc>
          <w:tcPr>
            <w:tcW w:w="467" w:type="pct"/>
            <w:tcMar>
              <w:top w:w="0" w:type="dxa"/>
              <w:left w:w="108" w:type="dxa"/>
              <w:bottom w:w="0" w:type="dxa"/>
              <w:right w:w="108" w:type="dxa"/>
            </w:tcMar>
            <w:vAlign w:val="center"/>
          </w:tcPr>
          <w:p w14:paraId="70BBA52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236" w:type="pct"/>
            <w:tcMar>
              <w:top w:w="0" w:type="dxa"/>
              <w:left w:w="108" w:type="dxa"/>
              <w:bottom w:w="0" w:type="dxa"/>
              <w:right w:w="108" w:type="dxa"/>
            </w:tcMar>
            <w:vAlign w:val="center"/>
          </w:tcPr>
          <w:p w14:paraId="69BC20C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电信科研院</w:t>
            </w:r>
          </w:p>
        </w:tc>
        <w:tc>
          <w:tcPr>
            <w:tcW w:w="1198" w:type="pct"/>
            <w:tcMar>
              <w:top w:w="0" w:type="dxa"/>
              <w:left w:w="108" w:type="dxa"/>
              <w:bottom w:w="0" w:type="dxa"/>
              <w:right w:w="108" w:type="dxa"/>
            </w:tcMar>
            <w:vAlign w:val="center"/>
          </w:tcPr>
          <w:p w14:paraId="71439C6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61,559.283849</w:t>
            </w:r>
          </w:p>
        </w:tc>
        <w:tc>
          <w:tcPr>
            <w:tcW w:w="1198" w:type="pct"/>
            <w:tcMar>
              <w:top w:w="0" w:type="dxa"/>
              <w:left w:w="108" w:type="dxa"/>
              <w:bottom w:w="0" w:type="dxa"/>
              <w:right w:w="108" w:type="dxa"/>
            </w:tcMar>
            <w:vAlign w:val="center"/>
          </w:tcPr>
          <w:p w14:paraId="49D4419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56.80</w:t>
            </w:r>
          </w:p>
        </w:tc>
        <w:tc>
          <w:tcPr>
            <w:tcW w:w="901" w:type="pct"/>
            <w:tcMar>
              <w:top w:w="0" w:type="dxa"/>
              <w:left w:w="108" w:type="dxa"/>
              <w:bottom w:w="0" w:type="dxa"/>
              <w:right w:w="108" w:type="dxa"/>
            </w:tcMar>
            <w:vAlign w:val="center"/>
          </w:tcPr>
          <w:p w14:paraId="6EE5D30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货币、债权</w:t>
            </w:r>
          </w:p>
        </w:tc>
      </w:tr>
      <w:tr w:rsidR="006416B0" w:rsidRPr="00B4515A" w14:paraId="0A7354B4" w14:textId="77777777" w:rsidTr="00031627">
        <w:trPr>
          <w:trHeight w:val="340"/>
          <w:jc w:val="center"/>
        </w:trPr>
        <w:tc>
          <w:tcPr>
            <w:tcW w:w="467" w:type="pct"/>
            <w:tcMar>
              <w:top w:w="0" w:type="dxa"/>
              <w:left w:w="108" w:type="dxa"/>
              <w:bottom w:w="0" w:type="dxa"/>
              <w:right w:w="108" w:type="dxa"/>
            </w:tcMar>
            <w:vAlign w:val="center"/>
          </w:tcPr>
          <w:p w14:paraId="19A2A87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2</w:t>
            </w:r>
          </w:p>
        </w:tc>
        <w:tc>
          <w:tcPr>
            <w:tcW w:w="1236" w:type="pct"/>
            <w:tcMar>
              <w:top w:w="0" w:type="dxa"/>
              <w:left w:w="108" w:type="dxa"/>
              <w:bottom w:w="0" w:type="dxa"/>
              <w:right w:w="108" w:type="dxa"/>
            </w:tcMar>
            <w:vAlign w:val="center"/>
          </w:tcPr>
          <w:p w14:paraId="1024BCBD" w14:textId="7EB5787C" w:rsidR="006416B0" w:rsidRPr="00B4515A" w:rsidRDefault="00252376"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长江移动基金</w:t>
            </w:r>
          </w:p>
        </w:tc>
        <w:tc>
          <w:tcPr>
            <w:tcW w:w="1198" w:type="pct"/>
            <w:tcMar>
              <w:top w:w="0" w:type="dxa"/>
              <w:left w:w="108" w:type="dxa"/>
              <w:bottom w:w="0" w:type="dxa"/>
              <w:right w:w="108" w:type="dxa"/>
            </w:tcMar>
            <w:vAlign w:val="center"/>
          </w:tcPr>
          <w:p w14:paraId="6C69664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22,846.930933</w:t>
            </w:r>
          </w:p>
        </w:tc>
        <w:tc>
          <w:tcPr>
            <w:tcW w:w="1198" w:type="pct"/>
            <w:tcMar>
              <w:top w:w="0" w:type="dxa"/>
              <w:left w:w="108" w:type="dxa"/>
              <w:bottom w:w="0" w:type="dxa"/>
              <w:right w:w="108" w:type="dxa"/>
            </w:tcMar>
            <w:vAlign w:val="center"/>
          </w:tcPr>
          <w:p w14:paraId="2286179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21.08</w:t>
            </w:r>
          </w:p>
        </w:tc>
        <w:tc>
          <w:tcPr>
            <w:tcW w:w="901" w:type="pct"/>
            <w:tcMar>
              <w:top w:w="0" w:type="dxa"/>
              <w:left w:w="108" w:type="dxa"/>
              <w:bottom w:w="0" w:type="dxa"/>
              <w:right w:w="108" w:type="dxa"/>
            </w:tcMar>
            <w:vAlign w:val="center"/>
          </w:tcPr>
          <w:p w14:paraId="0D44260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0C16C094" w14:textId="77777777" w:rsidTr="00031627">
        <w:trPr>
          <w:trHeight w:val="340"/>
          <w:jc w:val="center"/>
        </w:trPr>
        <w:tc>
          <w:tcPr>
            <w:tcW w:w="467" w:type="pct"/>
            <w:tcMar>
              <w:top w:w="0" w:type="dxa"/>
              <w:left w:w="108" w:type="dxa"/>
              <w:bottom w:w="0" w:type="dxa"/>
              <w:right w:w="108" w:type="dxa"/>
            </w:tcMar>
            <w:vAlign w:val="center"/>
          </w:tcPr>
          <w:p w14:paraId="05852A6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3</w:t>
            </w:r>
          </w:p>
        </w:tc>
        <w:tc>
          <w:tcPr>
            <w:tcW w:w="1236" w:type="pct"/>
            <w:tcMar>
              <w:top w:w="0" w:type="dxa"/>
              <w:left w:w="108" w:type="dxa"/>
              <w:bottom w:w="0" w:type="dxa"/>
              <w:right w:w="108" w:type="dxa"/>
            </w:tcMar>
            <w:vAlign w:val="center"/>
          </w:tcPr>
          <w:p w14:paraId="60B9517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结构调整基金</w:t>
            </w:r>
          </w:p>
        </w:tc>
        <w:tc>
          <w:tcPr>
            <w:tcW w:w="1198" w:type="pct"/>
            <w:tcMar>
              <w:top w:w="0" w:type="dxa"/>
              <w:left w:w="108" w:type="dxa"/>
              <w:bottom w:w="0" w:type="dxa"/>
              <w:right w:w="108" w:type="dxa"/>
            </w:tcMar>
            <w:vAlign w:val="center"/>
          </w:tcPr>
          <w:p w14:paraId="40763E9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7,615.643644</w:t>
            </w:r>
          </w:p>
        </w:tc>
        <w:tc>
          <w:tcPr>
            <w:tcW w:w="1198" w:type="pct"/>
            <w:tcMar>
              <w:top w:w="0" w:type="dxa"/>
              <w:left w:w="108" w:type="dxa"/>
              <w:bottom w:w="0" w:type="dxa"/>
              <w:right w:w="108" w:type="dxa"/>
            </w:tcMar>
            <w:vAlign w:val="center"/>
          </w:tcPr>
          <w:p w14:paraId="134BAE8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7.03</w:t>
            </w:r>
          </w:p>
        </w:tc>
        <w:tc>
          <w:tcPr>
            <w:tcW w:w="901" w:type="pct"/>
            <w:tcMar>
              <w:top w:w="0" w:type="dxa"/>
              <w:left w:w="108" w:type="dxa"/>
              <w:bottom w:w="0" w:type="dxa"/>
              <w:right w:w="108" w:type="dxa"/>
            </w:tcMar>
            <w:vAlign w:val="center"/>
          </w:tcPr>
          <w:p w14:paraId="59722C3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173AAC28" w14:textId="77777777" w:rsidTr="00031627">
        <w:trPr>
          <w:trHeight w:val="340"/>
          <w:jc w:val="center"/>
        </w:trPr>
        <w:tc>
          <w:tcPr>
            <w:tcW w:w="467" w:type="pct"/>
            <w:tcMar>
              <w:top w:w="0" w:type="dxa"/>
              <w:left w:w="108" w:type="dxa"/>
              <w:bottom w:w="0" w:type="dxa"/>
              <w:right w:w="108" w:type="dxa"/>
            </w:tcMar>
            <w:vAlign w:val="center"/>
          </w:tcPr>
          <w:p w14:paraId="5FE6A0A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4</w:t>
            </w:r>
          </w:p>
        </w:tc>
        <w:tc>
          <w:tcPr>
            <w:tcW w:w="1236" w:type="pct"/>
            <w:tcMar>
              <w:top w:w="0" w:type="dxa"/>
              <w:left w:w="108" w:type="dxa"/>
              <w:bottom w:w="0" w:type="dxa"/>
              <w:right w:w="108" w:type="dxa"/>
            </w:tcMar>
            <w:vAlign w:val="center"/>
          </w:tcPr>
          <w:p w14:paraId="2DAD9A3B"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金融街资本</w:t>
            </w:r>
          </w:p>
        </w:tc>
        <w:tc>
          <w:tcPr>
            <w:tcW w:w="1198" w:type="pct"/>
            <w:tcMar>
              <w:top w:w="0" w:type="dxa"/>
              <w:left w:w="108" w:type="dxa"/>
              <w:bottom w:w="0" w:type="dxa"/>
              <w:right w:w="108" w:type="dxa"/>
            </w:tcMar>
            <w:vAlign w:val="center"/>
          </w:tcPr>
          <w:p w14:paraId="78029D6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7,615.643644</w:t>
            </w:r>
          </w:p>
        </w:tc>
        <w:tc>
          <w:tcPr>
            <w:tcW w:w="1198" w:type="pct"/>
            <w:tcMar>
              <w:top w:w="0" w:type="dxa"/>
              <w:left w:w="108" w:type="dxa"/>
              <w:bottom w:w="0" w:type="dxa"/>
              <w:right w:w="108" w:type="dxa"/>
            </w:tcMar>
            <w:vAlign w:val="center"/>
          </w:tcPr>
          <w:p w14:paraId="175E503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7.03</w:t>
            </w:r>
          </w:p>
        </w:tc>
        <w:tc>
          <w:tcPr>
            <w:tcW w:w="901" w:type="pct"/>
            <w:tcMar>
              <w:top w:w="0" w:type="dxa"/>
              <w:left w:w="108" w:type="dxa"/>
              <w:bottom w:w="0" w:type="dxa"/>
              <w:right w:w="108" w:type="dxa"/>
            </w:tcMar>
            <w:vAlign w:val="center"/>
          </w:tcPr>
          <w:p w14:paraId="1837295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79E350D8" w14:textId="77777777" w:rsidTr="00031627">
        <w:trPr>
          <w:trHeight w:val="340"/>
          <w:jc w:val="center"/>
        </w:trPr>
        <w:tc>
          <w:tcPr>
            <w:tcW w:w="467" w:type="pct"/>
            <w:tcMar>
              <w:top w:w="0" w:type="dxa"/>
              <w:left w:w="108" w:type="dxa"/>
              <w:bottom w:w="0" w:type="dxa"/>
              <w:right w:w="108" w:type="dxa"/>
            </w:tcMar>
            <w:vAlign w:val="center"/>
          </w:tcPr>
          <w:p w14:paraId="40EB261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5</w:t>
            </w:r>
          </w:p>
        </w:tc>
        <w:tc>
          <w:tcPr>
            <w:tcW w:w="1236" w:type="pct"/>
            <w:tcMar>
              <w:top w:w="0" w:type="dxa"/>
              <w:left w:w="108" w:type="dxa"/>
              <w:bottom w:w="0" w:type="dxa"/>
              <w:right w:w="108" w:type="dxa"/>
            </w:tcMar>
            <w:vAlign w:val="center"/>
          </w:tcPr>
          <w:p w14:paraId="1820221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大唐控股</w:t>
            </w:r>
          </w:p>
        </w:tc>
        <w:tc>
          <w:tcPr>
            <w:tcW w:w="1198" w:type="pct"/>
            <w:tcMar>
              <w:top w:w="0" w:type="dxa"/>
              <w:left w:w="108" w:type="dxa"/>
              <w:bottom w:w="0" w:type="dxa"/>
              <w:right w:w="108" w:type="dxa"/>
            </w:tcMar>
            <w:vAlign w:val="center"/>
          </w:tcPr>
          <w:p w14:paraId="23C94E09" w14:textId="3004DA15"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3,326.00</w:t>
            </w:r>
            <w:r w:rsidR="00816A98" w:rsidRPr="00B4515A">
              <w:rPr>
                <w:rFonts w:ascii="Times New Roman" w:hAnsi="Times New Roman" w:cs="Times New Roman"/>
                <w:sz w:val="21"/>
                <w:szCs w:val="21"/>
              </w:rPr>
              <w:t>0000</w:t>
            </w:r>
          </w:p>
        </w:tc>
        <w:tc>
          <w:tcPr>
            <w:tcW w:w="1198" w:type="pct"/>
            <w:tcMar>
              <w:top w:w="0" w:type="dxa"/>
              <w:left w:w="108" w:type="dxa"/>
              <w:bottom w:w="0" w:type="dxa"/>
              <w:right w:w="108" w:type="dxa"/>
            </w:tcMar>
            <w:vAlign w:val="center"/>
          </w:tcPr>
          <w:p w14:paraId="7CC37C2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3.07</w:t>
            </w:r>
          </w:p>
        </w:tc>
        <w:tc>
          <w:tcPr>
            <w:tcW w:w="901" w:type="pct"/>
            <w:tcMar>
              <w:top w:w="0" w:type="dxa"/>
              <w:left w:w="108" w:type="dxa"/>
              <w:bottom w:w="0" w:type="dxa"/>
              <w:right w:w="108" w:type="dxa"/>
            </w:tcMar>
            <w:vAlign w:val="center"/>
          </w:tcPr>
          <w:p w14:paraId="727E7F3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42C42E70" w14:textId="77777777" w:rsidTr="00031627">
        <w:trPr>
          <w:trHeight w:val="340"/>
          <w:jc w:val="center"/>
        </w:trPr>
        <w:tc>
          <w:tcPr>
            <w:tcW w:w="467" w:type="pct"/>
            <w:tcMar>
              <w:top w:w="0" w:type="dxa"/>
              <w:left w:w="108" w:type="dxa"/>
              <w:bottom w:w="0" w:type="dxa"/>
              <w:right w:w="108" w:type="dxa"/>
            </w:tcMar>
            <w:vAlign w:val="center"/>
          </w:tcPr>
          <w:p w14:paraId="20A1760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6</w:t>
            </w:r>
          </w:p>
        </w:tc>
        <w:tc>
          <w:tcPr>
            <w:tcW w:w="1236" w:type="pct"/>
            <w:tcMar>
              <w:top w:w="0" w:type="dxa"/>
              <w:left w:w="108" w:type="dxa"/>
              <w:bottom w:w="0" w:type="dxa"/>
              <w:right w:w="108" w:type="dxa"/>
            </w:tcMar>
            <w:vAlign w:val="center"/>
          </w:tcPr>
          <w:p w14:paraId="6D39418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天津首诚</w:t>
            </w:r>
          </w:p>
        </w:tc>
        <w:tc>
          <w:tcPr>
            <w:tcW w:w="1198" w:type="pct"/>
            <w:tcMar>
              <w:top w:w="0" w:type="dxa"/>
              <w:left w:w="108" w:type="dxa"/>
              <w:bottom w:w="0" w:type="dxa"/>
              <w:right w:w="108" w:type="dxa"/>
            </w:tcMar>
            <w:vAlign w:val="center"/>
          </w:tcPr>
          <w:p w14:paraId="4894D71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1,397.470609</w:t>
            </w:r>
          </w:p>
        </w:tc>
        <w:tc>
          <w:tcPr>
            <w:tcW w:w="1198" w:type="pct"/>
            <w:tcMar>
              <w:top w:w="0" w:type="dxa"/>
              <w:left w:w="108" w:type="dxa"/>
              <w:bottom w:w="0" w:type="dxa"/>
              <w:right w:w="108" w:type="dxa"/>
            </w:tcMar>
            <w:vAlign w:val="center"/>
          </w:tcPr>
          <w:p w14:paraId="110BE2B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.29</w:t>
            </w:r>
          </w:p>
        </w:tc>
        <w:tc>
          <w:tcPr>
            <w:tcW w:w="901" w:type="pct"/>
            <w:tcMar>
              <w:top w:w="0" w:type="dxa"/>
              <w:left w:w="108" w:type="dxa"/>
              <w:bottom w:w="0" w:type="dxa"/>
              <w:right w:w="108" w:type="dxa"/>
            </w:tcMar>
            <w:vAlign w:val="center"/>
          </w:tcPr>
          <w:p w14:paraId="10059F7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3C4B8A67" w14:textId="77777777" w:rsidTr="00031627">
        <w:trPr>
          <w:trHeight w:val="340"/>
          <w:jc w:val="center"/>
        </w:trPr>
        <w:tc>
          <w:tcPr>
            <w:tcW w:w="467" w:type="pct"/>
            <w:tcMar>
              <w:top w:w="0" w:type="dxa"/>
              <w:left w:w="108" w:type="dxa"/>
              <w:bottom w:w="0" w:type="dxa"/>
              <w:right w:w="108" w:type="dxa"/>
            </w:tcMar>
            <w:vAlign w:val="center"/>
          </w:tcPr>
          <w:p w14:paraId="7B36691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7</w:t>
            </w:r>
          </w:p>
        </w:tc>
        <w:tc>
          <w:tcPr>
            <w:tcW w:w="1236" w:type="pct"/>
            <w:tcMar>
              <w:top w:w="0" w:type="dxa"/>
              <w:left w:w="108" w:type="dxa"/>
              <w:bottom w:w="0" w:type="dxa"/>
              <w:right w:w="108" w:type="dxa"/>
            </w:tcMar>
            <w:vAlign w:val="center"/>
          </w:tcPr>
          <w:p w14:paraId="716A482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天津军诚</w:t>
            </w:r>
          </w:p>
        </w:tc>
        <w:tc>
          <w:tcPr>
            <w:tcW w:w="1198" w:type="pct"/>
            <w:tcMar>
              <w:top w:w="0" w:type="dxa"/>
              <w:left w:w="108" w:type="dxa"/>
              <w:bottom w:w="0" w:type="dxa"/>
              <w:right w:w="108" w:type="dxa"/>
            </w:tcMar>
            <w:vAlign w:val="center"/>
          </w:tcPr>
          <w:p w14:paraId="155E23C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1,355.584569</w:t>
            </w:r>
          </w:p>
        </w:tc>
        <w:tc>
          <w:tcPr>
            <w:tcW w:w="1198" w:type="pct"/>
            <w:tcMar>
              <w:top w:w="0" w:type="dxa"/>
              <w:left w:w="108" w:type="dxa"/>
              <w:bottom w:w="0" w:type="dxa"/>
              <w:right w:w="108" w:type="dxa"/>
            </w:tcMar>
            <w:vAlign w:val="center"/>
          </w:tcPr>
          <w:p w14:paraId="578F8AF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.25</w:t>
            </w:r>
          </w:p>
        </w:tc>
        <w:tc>
          <w:tcPr>
            <w:tcW w:w="901" w:type="pct"/>
            <w:tcMar>
              <w:top w:w="0" w:type="dxa"/>
              <w:left w:w="108" w:type="dxa"/>
              <w:bottom w:w="0" w:type="dxa"/>
              <w:right w:w="108" w:type="dxa"/>
            </w:tcMar>
            <w:vAlign w:val="center"/>
          </w:tcPr>
          <w:p w14:paraId="38D41C3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30BC5941" w14:textId="77777777" w:rsidTr="00031627">
        <w:trPr>
          <w:trHeight w:val="340"/>
          <w:jc w:val="center"/>
        </w:trPr>
        <w:tc>
          <w:tcPr>
            <w:tcW w:w="467" w:type="pct"/>
            <w:tcMar>
              <w:top w:w="0" w:type="dxa"/>
              <w:left w:w="108" w:type="dxa"/>
              <w:bottom w:w="0" w:type="dxa"/>
              <w:right w:w="108" w:type="dxa"/>
            </w:tcMar>
            <w:vAlign w:val="center"/>
          </w:tcPr>
          <w:p w14:paraId="3909672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8</w:t>
            </w:r>
          </w:p>
        </w:tc>
        <w:tc>
          <w:tcPr>
            <w:tcW w:w="1236" w:type="pct"/>
            <w:tcMar>
              <w:top w:w="0" w:type="dxa"/>
              <w:left w:w="108" w:type="dxa"/>
              <w:bottom w:w="0" w:type="dxa"/>
              <w:right w:w="108" w:type="dxa"/>
            </w:tcMar>
            <w:vAlign w:val="center"/>
          </w:tcPr>
          <w:p w14:paraId="38C67BC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天津乾诚</w:t>
            </w:r>
          </w:p>
        </w:tc>
        <w:tc>
          <w:tcPr>
            <w:tcW w:w="1198" w:type="pct"/>
            <w:tcMar>
              <w:top w:w="0" w:type="dxa"/>
              <w:left w:w="108" w:type="dxa"/>
              <w:bottom w:w="0" w:type="dxa"/>
              <w:right w:w="108" w:type="dxa"/>
            </w:tcMar>
            <w:vAlign w:val="center"/>
          </w:tcPr>
          <w:p w14:paraId="3186BDB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1,351.776747</w:t>
            </w:r>
          </w:p>
        </w:tc>
        <w:tc>
          <w:tcPr>
            <w:tcW w:w="1198" w:type="pct"/>
            <w:tcMar>
              <w:top w:w="0" w:type="dxa"/>
              <w:left w:w="108" w:type="dxa"/>
              <w:bottom w:w="0" w:type="dxa"/>
              <w:right w:w="108" w:type="dxa"/>
            </w:tcMar>
            <w:vAlign w:val="center"/>
          </w:tcPr>
          <w:p w14:paraId="1928A8B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.25</w:t>
            </w:r>
          </w:p>
        </w:tc>
        <w:tc>
          <w:tcPr>
            <w:tcW w:w="901" w:type="pct"/>
            <w:tcMar>
              <w:top w:w="0" w:type="dxa"/>
              <w:left w:w="108" w:type="dxa"/>
              <w:bottom w:w="0" w:type="dxa"/>
              <w:right w:w="108" w:type="dxa"/>
            </w:tcMar>
            <w:vAlign w:val="center"/>
          </w:tcPr>
          <w:p w14:paraId="47DE284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49D559BD" w14:textId="77777777" w:rsidTr="00031627">
        <w:trPr>
          <w:trHeight w:val="340"/>
          <w:jc w:val="center"/>
        </w:trPr>
        <w:tc>
          <w:tcPr>
            <w:tcW w:w="467" w:type="pct"/>
            <w:tcMar>
              <w:top w:w="0" w:type="dxa"/>
              <w:left w:w="108" w:type="dxa"/>
              <w:bottom w:w="0" w:type="dxa"/>
              <w:right w:w="108" w:type="dxa"/>
            </w:tcMar>
            <w:vAlign w:val="center"/>
          </w:tcPr>
          <w:p w14:paraId="44B8D93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9</w:t>
            </w:r>
          </w:p>
        </w:tc>
        <w:tc>
          <w:tcPr>
            <w:tcW w:w="1236" w:type="pct"/>
            <w:tcMar>
              <w:top w:w="0" w:type="dxa"/>
              <w:left w:w="108" w:type="dxa"/>
              <w:bottom w:w="0" w:type="dxa"/>
              <w:right w:w="108" w:type="dxa"/>
            </w:tcMar>
            <w:vAlign w:val="center"/>
          </w:tcPr>
          <w:p w14:paraId="0271310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天津益诚</w:t>
            </w:r>
          </w:p>
        </w:tc>
        <w:tc>
          <w:tcPr>
            <w:tcW w:w="1198" w:type="pct"/>
            <w:tcMar>
              <w:top w:w="0" w:type="dxa"/>
              <w:left w:w="108" w:type="dxa"/>
              <w:bottom w:w="0" w:type="dxa"/>
              <w:right w:w="108" w:type="dxa"/>
            </w:tcMar>
            <w:vAlign w:val="center"/>
          </w:tcPr>
          <w:p w14:paraId="4B738A0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1,313.698529</w:t>
            </w:r>
          </w:p>
        </w:tc>
        <w:tc>
          <w:tcPr>
            <w:tcW w:w="1198" w:type="pct"/>
            <w:tcMar>
              <w:top w:w="0" w:type="dxa"/>
              <w:left w:w="108" w:type="dxa"/>
              <w:bottom w:w="0" w:type="dxa"/>
              <w:right w:w="108" w:type="dxa"/>
            </w:tcMar>
            <w:vAlign w:val="center"/>
          </w:tcPr>
          <w:p w14:paraId="2A83F5C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1</w:t>
            </w:r>
            <w:r w:rsidRPr="00B4515A">
              <w:rPr>
                <w:rFonts w:ascii="Times New Roman" w:hAnsi="Times New Roman" w:cs="Times New Roman"/>
                <w:sz w:val="21"/>
                <w:szCs w:val="21"/>
              </w:rPr>
              <w:t>.21</w:t>
            </w:r>
          </w:p>
        </w:tc>
        <w:tc>
          <w:tcPr>
            <w:tcW w:w="901" w:type="pct"/>
            <w:tcMar>
              <w:top w:w="0" w:type="dxa"/>
              <w:left w:w="108" w:type="dxa"/>
              <w:bottom w:w="0" w:type="dxa"/>
              <w:right w:w="108" w:type="dxa"/>
            </w:tcMar>
            <w:vAlign w:val="center"/>
          </w:tcPr>
          <w:p w14:paraId="2377E69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货币</w:t>
            </w:r>
          </w:p>
        </w:tc>
      </w:tr>
      <w:tr w:rsidR="006416B0" w:rsidRPr="00B4515A" w14:paraId="25275734" w14:textId="77777777" w:rsidTr="00031627">
        <w:trPr>
          <w:trHeight w:val="340"/>
          <w:jc w:val="center"/>
        </w:trPr>
        <w:tc>
          <w:tcPr>
            <w:tcW w:w="1703" w:type="pct"/>
            <w:gridSpan w:val="2"/>
            <w:tcMar>
              <w:top w:w="0" w:type="dxa"/>
              <w:left w:w="108" w:type="dxa"/>
              <w:bottom w:w="0" w:type="dxa"/>
              <w:right w:w="108" w:type="dxa"/>
            </w:tcMar>
            <w:vAlign w:val="center"/>
          </w:tcPr>
          <w:p w14:paraId="18E07451"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合计</w:t>
            </w:r>
          </w:p>
        </w:tc>
        <w:tc>
          <w:tcPr>
            <w:tcW w:w="1198" w:type="pct"/>
            <w:tcMar>
              <w:top w:w="0" w:type="dxa"/>
              <w:left w:w="108" w:type="dxa"/>
              <w:bottom w:w="0" w:type="dxa"/>
              <w:right w:w="108" w:type="dxa"/>
            </w:tcMar>
            <w:vAlign w:val="center"/>
          </w:tcPr>
          <w:p w14:paraId="75DAF3EE"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108,382.032524</w:t>
            </w:r>
          </w:p>
        </w:tc>
        <w:tc>
          <w:tcPr>
            <w:tcW w:w="1198" w:type="pct"/>
            <w:tcMar>
              <w:top w:w="0" w:type="dxa"/>
              <w:left w:w="108" w:type="dxa"/>
              <w:bottom w:w="0" w:type="dxa"/>
              <w:right w:w="108" w:type="dxa"/>
            </w:tcMar>
            <w:vAlign w:val="center"/>
          </w:tcPr>
          <w:p w14:paraId="6BCCED9D"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100.00</w:t>
            </w:r>
          </w:p>
        </w:tc>
        <w:tc>
          <w:tcPr>
            <w:tcW w:w="901" w:type="pct"/>
            <w:tcMar>
              <w:top w:w="0" w:type="dxa"/>
              <w:left w:w="108" w:type="dxa"/>
              <w:bottom w:w="0" w:type="dxa"/>
              <w:right w:w="108" w:type="dxa"/>
            </w:tcMar>
            <w:vAlign w:val="center"/>
          </w:tcPr>
          <w:p w14:paraId="2FC49F7D" w14:textId="77777777" w:rsidR="006416B0" w:rsidRPr="00B4515A" w:rsidRDefault="006416B0" w:rsidP="005860B4">
            <w:pPr>
              <w:adjustRightInd w:val="0"/>
              <w:snapToGrid w:val="0"/>
              <w:jc w:val="center"/>
              <w:rPr>
                <w:rFonts w:ascii="Times New Roman" w:hAnsi="Times New Roman" w:cs="Times New Roman"/>
                <w:b/>
                <w:sz w:val="21"/>
                <w:szCs w:val="21"/>
              </w:rPr>
            </w:pPr>
          </w:p>
        </w:tc>
      </w:tr>
    </w:tbl>
    <w:p w14:paraId="56451218" w14:textId="0F3EDBAD" w:rsidR="007C59E8" w:rsidRPr="00B4515A" w:rsidRDefault="007C59E8" w:rsidP="005860B4">
      <w:pPr>
        <w:pStyle w:val="006"/>
        <w:ind w:firstLine="420"/>
      </w:pPr>
      <w:r w:rsidRPr="00B4515A">
        <w:rPr>
          <w:rFonts w:hint="eastAsia"/>
        </w:rPr>
        <w:t>注：本次增资资金大唐联诚拟用于</w:t>
      </w:r>
      <w:r w:rsidRPr="00B4515A">
        <w:t>5G</w:t>
      </w:r>
      <w:r w:rsidRPr="00B4515A">
        <w:rPr>
          <w:rFonts w:hint="eastAsia"/>
        </w:rPr>
        <w:t>特殊应用开发、下一代专用通信平台和波形研制、补充流动资金。本次增资有利于解决大唐联诚股权单一、治理结构不健全，人才队伍市场化用工机制不完善，技术人员流失和资金紧张的问题。大唐联诚通过本次增资引入外部资金、实施股权激励，充分调动了大唐联诚管理人员及技术人员的工作积极性，进一步完善了大唐联诚的治理结构，充实了大唐联诚的流动资金，有利于大唐联诚的长期发展。因此，本次增资是必要的。</w:t>
      </w:r>
    </w:p>
    <w:p w14:paraId="68F76A4E" w14:textId="3A93E1AA" w:rsidR="004D6851" w:rsidRPr="00B4515A" w:rsidRDefault="004D6851" w:rsidP="005860B4">
      <w:pPr>
        <w:pStyle w:val="005"/>
        <w:spacing w:before="120" w:after="120"/>
        <w:ind w:firstLine="480"/>
      </w:pPr>
      <w:r w:rsidRPr="00B4515A">
        <w:rPr>
          <w:rFonts w:hint="eastAsia"/>
        </w:rPr>
        <w:t>大唐联诚本次增资的增资款均已实际缴纳，不存在明股实债、业绩对赌、回</w:t>
      </w:r>
      <w:r w:rsidRPr="00B4515A">
        <w:rPr>
          <w:rFonts w:hint="eastAsia"/>
        </w:rPr>
        <w:lastRenderedPageBreak/>
        <w:t>购条款等特殊约定。</w:t>
      </w:r>
    </w:p>
    <w:p w14:paraId="714922BB" w14:textId="4E73C921" w:rsidR="006416B0" w:rsidRPr="00B4515A" w:rsidRDefault="005E58C1" w:rsidP="005860B4">
      <w:pPr>
        <w:pStyle w:val="002"/>
        <w:spacing w:before="120" w:after="120"/>
        <w:ind w:firstLine="562"/>
      </w:pPr>
      <w:bookmarkStart w:id="163" w:name="_Toc65492078"/>
      <w:bookmarkStart w:id="164" w:name="_Toc80960537"/>
      <w:r w:rsidRPr="00B4515A">
        <w:rPr>
          <w:rFonts w:hint="eastAsia"/>
        </w:rPr>
        <w:t>三、产权控制关系</w:t>
      </w:r>
      <w:bookmarkEnd w:id="163"/>
      <w:bookmarkEnd w:id="164"/>
    </w:p>
    <w:p w14:paraId="1DC64CA8" w14:textId="77777777" w:rsidR="006416B0" w:rsidRPr="00B4515A" w:rsidRDefault="005E58C1" w:rsidP="005860B4">
      <w:pPr>
        <w:pStyle w:val="003"/>
        <w:spacing w:before="120"/>
        <w:ind w:firstLine="482"/>
      </w:pPr>
      <w:r w:rsidRPr="00B4515A">
        <w:rPr>
          <w:rFonts w:hint="eastAsia"/>
        </w:rPr>
        <w:t>（一）股权结构</w:t>
      </w:r>
    </w:p>
    <w:p w14:paraId="5B779216" w14:textId="5462EB72" w:rsidR="006416B0" w:rsidRPr="00B4515A" w:rsidRDefault="005E58C1" w:rsidP="002B0582">
      <w:pPr>
        <w:pStyle w:val="005"/>
        <w:spacing w:before="120" w:after="120"/>
        <w:ind w:firstLine="480"/>
        <w:rPr>
          <w:b/>
          <w:bCs/>
        </w:rPr>
      </w:pPr>
      <w:r w:rsidRPr="00B4515A">
        <w:rPr>
          <w:rFonts w:hint="eastAsia"/>
        </w:rPr>
        <w:t>截至本报告书签署日，大唐联诚的产权控制关系如下：</w:t>
      </w:r>
      <w:r w:rsidRPr="00B4515A">
        <w:t xml:space="preserve"> </w:t>
      </w:r>
      <w:r w:rsidR="000D3ED2" w:rsidRPr="00B4515A">
        <w:rPr>
          <w:noProof/>
        </w:rPr>
        <w:drawing>
          <wp:inline distT="0" distB="0" distL="0" distR="0" wp14:anchorId="138EA7A7" wp14:editId="2D3FFC20">
            <wp:extent cx="5278120" cy="15506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8120" cy="1550670"/>
                    </a:xfrm>
                    <a:prstGeom prst="rect">
                      <a:avLst/>
                    </a:prstGeom>
                  </pic:spPr>
                </pic:pic>
              </a:graphicData>
            </a:graphic>
          </wp:inline>
        </w:drawing>
      </w:r>
    </w:p>
    <w:p w14:paraId="152C33A8" w14:textId="77777777" w:rsidR="006416B0" w:rsidRPr="00B4515A" w:rsidRDefault="005E58C1" w:rsidP="005860B4">
      <w:pPr>
        <w:pStyle w:val="003"/>
        <w:spacing w:before="120"/>
        <w:ind w:firstLine="482"/>
      </w:pPr>
      <w:r w:rsidRPr="00B4515A">
        <w:rPr>
          <w:rFonts w:hint="eastAsia"/>
        </w:rPr>
        <w:t>（二）控股股东及实际控制人</w:t>
      </w:r>
    </w:p>
    <w:p w14:paraId="5BC66974" w14:textId="77777777" w:rsidR="006416B0" w:rsidRPr="00B4515A" w:rsidRDefault="005E58C1" w:rsidP="005860B4">
      <w:pPr>
        <w:pStyle w:val="005"/>
        <w:spacing w:before="120" w:after="120"/>
        <w:ind w:firstLine="480"/>
        <w:rPr>
          <w:b/>
          <w:bCs/>
        </w:rPr>
      </w:pPr>
      <w:r w:rsidRPr="00B4515A">
        <w:rPr>
          <w:rFonts w:hint="eastAsia"/>
        </w:rPr>
        <w:t>截至本报告书签署日，电信科研院直接持有大唐联诚</w:t>
      </w:r>
      <w:r w:rsidRPr="00B4515A">
        <w:t>56.80%</w:t>
      </w:r>
      <w:r w:rsidRPr="00B4515A">
        <w:rPr>
          <w:rFonts w:hint="eastAsia"/>
        </w:rPr>
        <w:t>的股权，并通过大唐控股间接持有大唐联诚</w:t>
      </w:r>
      <w:r w:rsidRPr="00B4515A">
        <w:t>3.07%</w:t>
      </w:r>
      <w:r w:rsidRPr="00B4515A">
        <w:rPr>
          <w:rFonts w:hint="eastAsia"/>
        </w:rPr>
        <w:t>股权，为大唐联诚控股股东。大唐联诚实际控制人为国务院国资委。</w:t>
      </w:r>
    </w:p>
    <w:p w14:paraId="65C87489" w14:textId="77777777" w:rsidR="006416B0" w:rsidRPr="00B4515A" w:rsidRDefault="005E58C1" w:rsidP="005860B4">
      <w:pPr>
        <w:pStyle w:val="003"/>
        <w:spacing w:before="120"/>
        <w:ind w:firstLine="482"/>
      </w:pPr>
      <w:r w:rsidRPr="00B4515A">
        <w:rPr>
          <w:rFonts w:hint="eastAsia"/>
        </w:rPr>
        <w:t>（三）公司章程中可能对本次交易</w:t>
      </w:r>
      <w:r w:rsidRPr="00B4515A">
        <w:rPr>
          <w:rFonts w:hint="eastAsia"/>
          <w:color w:val="000000"/>
        </w:rPr>
        <w:t>产生</w:t>
      </w:r>
      <w:r w:rsidRPr="00B4515A">
        <w:rPr>
          <w:rFonts w:hint="eastAsia"/>
        </w:rPr>
        <w:t>影响的主要内容或相关投资协议</w:t>
      </w:r>
    </w:p>
    <w:p w14:paraId="562B8D1A" w14:textId="77777777" w:rsidR="006416B0" w:rsidRPr="00B4515A" w:rsidRDefault="005E58C1" w:rsidP="005860B4">
      <w:pPr>
        <w:pStyle w:val="005"/>
        <w:spacing w:before="120" w:after="120"/>
        <w:ind w:firstLine="480"/>
        <w:rPr>
          <w:b/>
          <w:bCs/>
        </w:rPr>
      </w:pPr>
      <w:r w:rsidRPr="00B4515A">
        <w:t>截至本报告书签署之日，</w:t>
      </w:r>
      <w:r w:rsidRPr="00B4515A">
        <w:rPr>
          <w:rFonts w:hint="eastAsia"/>
        </w:rPr>
        <w:t>大唐联诚</w:t>
      </w:r>
      <w:r w:rsidRPr="00B4515A">
        <w:t>的公司章程中不存在对本次交易产生影响的内容或相关投资协议。</w:t>
      </w:r>
    </w:p>
    <w:p w14:paraId="5FD0F669" w14:textId="77777777" w:rsidR="006416B0" w:rsidRPr="00B4515A" w:rsidRDefault="005E58C1" w:rsidP="005860B4">
      <w:pPr>
        <w:pStyle w:val="003"/>
        <w:spacing w:before="120"/>
        <w:ind w:firstLine="482"/>
      </w:pPr>
      <w:r w:rsidRPr="00B4515A">
        <w:rPr>
          <w:rFonts w:hint="eastAsia"/>
        </w:rPr>
        <w:t>（四）现任高级管理人员的安排</w:t>
      </w:r>
    </w:p>
    <w:p w14:paraId="6E89FD6C" w14:textId="77777777" w:rsidR="006416B0" w:rsidRPr="00B4515A" w:rsidRDefault="005E58C1" w:rsidP="005860B4">
      <w:pPr>
        <w:pStyle w:val="005"/>
        <w:spacing w:before="120" w:after="120"/>
        <w:ind w:firstLine="480"/>
      </w:pPr>
      <w:r w:rsidRPr="00B4515A">
        <w:rPr>
          <w:rFonts w:hint="eastAsia"/>
        </w:rPr>
        <w:t>本次重组后，大唐联诚原核心管理人员不存在特别安排事宜，原则上仍沿用原有的管理机构和管理人员。若实际经营需要，将在遵守相关法律法规和其公司章程的情况下进行调整。</w:t>
      </w:r>
    </w:p>
    <w:p w14:paraId="3ECC0BED" w14:textId="77777777" w:rsidR="006416B0" w:rsidRPr="00B4515A" w:rsidRDefault="005E58C1" w:rsidP="005860B4">
      <w:pPr>
        <w:pStyle w:val="003"/>
        <w:spacing w:before="120"/>
        <w:ind w:firstLine="482"/>
      </w:pPr>
      <w:r w:rsidRPr="00B4515A">
        <w:rPr>
          <w:rFonts w:hint="eastAsia"/>
        </w:rPr>
        <w:t>（五）影响资产独立性的协议或其他安排</w:t>
      </w:r>
    </w:p>
    <w:p w14:paraId="34F247F5" w14:textId="77777777" w:rsidR="006416B0" w:rsidRPr="00B4515A" w:rsidRDefault="005E58C1" w:rsidP="005860B4">
      <w:pPr>
        <w:pStyle w:val="005"/>
        <w:spacing w:before="120" w:after="120"/>
        <w:ind w:firstLine="480"/>
      </w:pPr>
      <w:r w:rsidRPr="00B4515A">
        <w:rPr>
          <w:rFonts w:hint="eastAsia"/>
        </w:rPr>
        <w:t>本次交易完成后，标的公司将在上市公司体系内作为独立子公司经营，除因本次交易所签署的相关协议外，不存在让渡经营管理权、收益权等影响独立性的协议或其他安排。</w:t>
      </w:r>
    </w:p>
    <w:p w14:paraId="4DBF5912" w14:textId="77777777" w:rsidR="006416B0" w:rsidRPr="00B4515A" w:rsidRDefault="005E58C1" w:rsidP="005860B4">
      <w:pPr>
        <w:pStyle w:val="002"/>
        <w:spacing w:before="120" w:after="120"/>
        <w:ind w:firstLine="562"/>
      </w:pPr>
      <w:bookmarkStart w:id="165" w:name="_Toc80960538"/>
      <w:r w:rsidRPr="00B4515A">
        <w:rPr>
          <w:rFonts w:hint="eastAsia"/>
        </w:rPr>
        <w:lastRenderedPageBreak/>
        <w:t>四、主要资产权属、对外担保以及主要负债情况</w:t>
      </w:r>
      <w:bookmarkEnd w:id="165"/>
    </w:p>
    <w:p w14:paraId="40C8E3ED" w14:textId="77777777" w:rsidR="006416B0" w:rsidRPr="00B4515A" w:rsidRDefault="005E58C1" w:rsidP="005860B4">
      <w:pPr>
        <w:pStyle w:val="003"/>
        <w:spacing w:before="120"/>
        <w:ind w:firstLine="482"/>
      </w:pPr>
      <w:r w:rsidRPr="00B4515A">
        <w:rPr>
          <w:rFonts w:hint="eastAsia"/>
        </w:rPr>
        <w:t>（一）主要资产权属情况</w:t>
      </w:r>
    </w:p>
    <w:p w14:paraId="75DCD383" w14:textId="77777777" w:rsidR="006416B0" w:rsidRPr="00B4515A" w:rsidRDefault="005E58C1" w:rsidP="005860B4">
      <w:pPr>
        <w:pStyle w:val="005"/>
        <w:spacing w:before="120" w:after="120"/>
        <w:ind w:firstLine="480"/>
      </w:pPr>
      <w:r w:rsidRPr="00B4515A">
        <w:rPr>
          <w:rFonts w:hint="eastAsia"/>
        </w:rPr>
        <w:t>根据立信会计师出具的《审计报告》，截至</w:t>
      </w:r>
      <w:r w:rsidRPr="00B4515A">
        <w:t>2021</w:t>
      </w:r>
      <w:r w:rsidRPr="00B4515A">
        <w:t>年</w:t>
      </w:r>
      <w:r w:rsidRPr="00B4515A">
        <w:t>4</w:t>
      </w:r>
      <w:r w:rsidRPr="00B4515A">
        <w:t>月</w:t>
      </w:r>
      <w:r w:rsidRPr="00B4515A">
        <w:t>30</w:t>
      </w:r>
      <w:r w:rsidRPr="00B4515A">
        <w:t>日，</w:t>
      </w:r>
      <w:r w:rsidRPr="00B4515A">
        <w:rPr>
          <w:rFonts w:hint="eastAsia"/>
        </w:rPr>
        <w:t>大唐联诚主</w:t>
      </w:r>
      <w:r w:rsidRPr="00B4515A">
        <w:t>要资产情况如下</w:t>
      </w:r>
      <w:r w:rsidRPr="00B4515A">
        <w:rPr>
          <w:rFonts w:hint="eastAsia"/>
        </w:rPr>
        <w:t>：</w:t>
      </w:r>
    </w:p>
    <w:p w14:paraId="33AB2F51" w14:textId="77777777" w:rsidR="006416B0" w:rsidRPr="00B4515A" w:rsidRDefault="005E58C1" w:rsidP="00EE238F">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566"/>
        <w:gridCol w:w="2624"/>
        <w:gridCol w:w="2338"/>
      </w:tblGrid>
      <w:tr w:rsidR="006416B0" w:rsidRPr="00B4515A" w14:paraId="7602B02B" w14:textId="77777777" w:rsidTr="00031627">
        <w:trPr>
          <w:trHeight w:val="340"/>
          <w:jc w:val="center"/>
        </w:trPr>
        <w:tc>
          <w:tcPr>
            <w:tcW w:w="3463" w:type="dxa"/>
            <w:tcMar>
              <w:top w:w="0" w:type="dxa"/>
              <w:left w:w="108" w:type="dxa"/>
              <w:bottom w:w="0" w:type="dxa"/>
              <w:right w:w="108" w:type="dxa"/>
            </w:tcMar>
            <w:vAlign w:val="center"/>
          </w:tcPr>
          <w:p w14:paraId="49431177" w14:textId="77777777" w:rsidR="006416B0" w:rsidRPr="00B4515A" w:rsidRDefault="005E58C1" w:rsidP="005860B4">
            <w:pPr>
              <w:adjustRightInd w:val="0"/>
              <w:snapToGrid w:val="0"/>
              <w:jc w:val="center"/>
              <w:rPr>
                <w:rFonts w:ascii="Times New Roman" w:eastAsiaTheme="minorEastAsia" w:hAnsi="Times New Roman" w:cs="Times New Roman"/>
                <w:b/>
                <w:sz w:val="21"/>
                <w:szCs w:val="21"/>
              </w:rPr>
            </w:pPr>
            <w:bookmarkStart w:id="166" w:name="_Hlk76925758"/>
            <w:r w:rsidRPr="00B4515A">
              <w:rPr>
                <w:rFonts w:ascii="Times New Roman" w:eastAsiaTheme="minorEastAsia" w:hAnsi="Times New Roman" w:cs="Times New Roman" w:hint="eastAsia"/>
                <w:b/>
                <w:sz w:val="21"/>
                <w:szCs w:val="21"/>
              </w:rPr>
              <w:t>项目</w:t>
            </w:r>
          </w:p>
        </w:tc>
        <w:tc>
          <w:tcPr>
            <w:tcW w:w="2548" w:type="dxa"/>
            <w:tcMar>
              <w:top w:w="0" w:type="dxa"/>
              <w:left w:w="108" w:type="dxa"/>
              <w:bottom w:w="0" w:type="dxa"/>
              <w:right w:w="108" w:type="dxa"/>
            </w:tcMar>
            <w:vAlign w:val="center"/>
          </w:tcPr>
          <w:p w14:paraId="2D01D04F" w14:textId="77777777" w:rsidR="006416B0" w:rsidRPr="00B4515A" w:rsidRDefault="005E58C1" w:rsidP="005860B4">
            <w:pPr>
              <w:adjustRightInd w:val="0"/>
              <w:snapToGrid w:val="0"/>
              <w:jc w:val="center"/>
              <w:rPr>
                <w:rFonts w:ascii="Times New Roman" w:eastAsiaTheme="minorEastAsia" w:hAnsi="Times New Roman" w:cs="Times New Roman"/>
                <w:b/>
                <w:sz w:val="21"/>
                <w:szCs w:val="21"/>
              </w:rPr>
            </w:pPr>
            <w:r w:rsidRPr="00B4515A">
              <w:rPr>
                <w:rFonts w:ascii="Times New Roman" w:eastAsiaTheme="minorEastAsia" w:hAnsi="Times New Roman" w:cs="Times New Roman" w:hint="eastAsia"/>
                <w:b/>
                <w:sz w:val="21"/>
                <w:szCs w:val="21"/>
              </w:rPr>
              <w:t>金额</w:t>
            </w:r>
          </w:p>
        </w:tc>
        <w:tc>
          <w:tcPr>
            <w:tcW w:w="2271" w:type="dxa"/>
            <w:tcMar>
              <w:top w:w="0" w:type="dxa"/>
              <w:left w:w="108" w:type="dxa"/>
              <w:bottom w:w="0" w:type="dxa"/>
              <w:right w:w="108" w:type="dxa"/>
            </w:tcMar>
            <w:vAlign w:val="center"/>
          </w:tcPr>
          <w:p w14:paraId="39A12484" w14:textId="77777777" w:rsidR="006416B0" w:rsidRPr="00B4515A" w:rsidRDefault="005E58C1" w:rsidP="005860B4">
            <w:pPr>
              <w:adjustRightInd w:val="0"/>
              <w:snapToGrid w:val="0"/>
              <w:jc w:val="center"/>
              <w:rPr>
                <w:rFonts w:ascii="Times New Roman" w:eastAsiaTheme="minorEastAsia" w:hAnsi="Times New Roman" w:cs="Times New Roman"/>
                <w:b/>
                <w:sz w:val="21"/>
                <w:szCs w:val="21"/>
              </w:rPr>
            </w:pPr>
            <w:r w:rsidRPr="00B4515A">
              <w:rPr>
                <w:rFonts w:ascii="Times New Roman" w:eastAsiaTheme="minorEastAsia" w:hAnsi="Times New Roman" w:cs="Times New Roman" w:hint="eastAsia"/>
                <w:b/>
                <w:sz w:val="21"/>
                <w:szCs w:val="21"/>
              </w:rPr>
              <w:t>占比（</w:t>
            </w:r>
            <w:r w:rsidRPr="00B4515A">
              <w:rPr>
                <w:rFonts w:ascii="Times New Roman" w:eastAsiaTheme="minorEastAsia" w:hAnsi="Times New Roman" w:cs="Times New Roman" w:hint="eastAsia"/>
                <w:b/>
                <w:sz w:val="21"/>
                <w:szCs w:val="21"/>
              </w:rPr>
              <w:t>%</w:t>
            </w:r>
            <w:r w:rsidRPr="00B4515A">
              <w:rPr>
                <w:rFonts w:ascii="Times New Roman" w:eastAsiaTheme="minorEastAsia" w:hAnsi="Times New Roman" w:cs="Times New Roman" w:hint="eastAsia"/>
                <w:b/>
                <w:sz w:val="21"/>
                <w:szCs w:val="21"/>
              </w:rPr>
              <w:t>）</w:t>
            </w:r>
          </w:p>
        </w:tc>
      </w:tr>
      <w:tr w:rsidR="006416B0" w:rsidRPr="00B4515A" w14:paraId="33B6B7A5" w14:textId="77777777" w:rsidTr="00031627">
        <w:trPr>
          <w:trHeight w:val="340"/>
          <w:jc w:val="center"/>
        </w:trPr>
        <w:tc>
          <w:tcPr>
            <w:tcW w:w="3463" w:type="dxa"/>
            <w:tcMar>
              <w:top w:w="0" w:type="dxa"/>
              <w:left w:w="108" w:type="dxa"/>
              <w:bottom w:w="0" w:type="dxa"/>
              <w:right w:w="108" w:type="dxa"/>
            </w:tcMar>
            <w:vAlign w:val="center"/>
          </w:tcPr>
          <w:p w14:paraId="602D681E"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货币资金</w:t>
            </w:r>
          </w:p>
        </w:tc>
        <w:tc>
          <w:tcPr>
            <w:tcW w:w="2548" w:type="dxa"/>
            <w:tcMar>
              <w:top w:w="0" w:type="dxa"/>
              <w:left w:w="108" w:type="dxa"/>
              <w:bottom w:w="0" w:type="dxa"/>
              <w:right w:w="108" w:type="dxa"/>
            </w:tcMar>
            <w:vAlign w:val="center"/>
          </w:tcPr>
          <w:p w14:paraId="49002289"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60,019</w:t>
            </w:r>
            <w:r w:rsidRPr="00B4515A">
              <w:rPr>
                <w:rFonts w:ascii="Times New Roman" w:eastAsiaTheme="minorEastAsia" w:hAnsi="Times New Roman" w:cs="Times New Roman" w:hint="eastAsia"/>
                <w:sz w:val="21"/>
                <w:szCs w:val="21"/>
              </w:rPr>
              <w:t>.</w:t>
            </w:r>
            <w:r w:rsidRPr="00B4515A">
              <w:rPr>
                <w:rFonts w:ascii="Times New Roman" w:eastAsiaTheme="minorEastAsia" w:hAnsi="Times New Roman" w:cs="Times New Roman"/>
                <w:sz w:val="21"/>
                <w:szCs w:val="21"/>
              </w:rPr>
              <w:t>28</w:t>
            </w:r>
          </w:p>
        </w:tc>
        <w:tc>
          <w:tcPr>
            <w:tcW w:w="2271" w:type="dxa"/>
            <w:tcMar>
              <w:top w:w="0" w:type="dxa"/>
              <w:left w:w="108" w:type="dxa"/>
              <w:bottom w:w="0" w:type="dxa"/>
              <w:right w:w="108" w:type="dxa"/>
            </w:tcMar>
            <w:vAlign w:val="center"/>
          </w:tcPr>
          <w:p w14:paraId="2539C13B"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3</w:t>
            </w:r>
            <w:r w:rsidRPr="00B4515A">
              <w:rPr>
                <w:rFonts w:ascii="Times New Roman" w:eastAsiaTheme="minorEastAsia" w:hAnsi="Times New Roman" w:cs="Times New Roman"/>
                <w:sz w:val="21"/>
                <w:szCs w:val="21"/>
              </w:rPr>
              <w:t>9.86</w:t>
            </w:r>
          </w:p>
        </w:tc>
      </w:tr>
      <w:tr w:rsidR="006416B0" w:rsidRPr="00B4515A" w14:paraId="0F92CE6A" w14:textId="77777777" w:rsidTr="00031627">
        <w:trPr>
          <w:trHeight w:val="340"/>
          <w:jc w:val="center"/>
        </w:trPr>
        <w:tc>
          <w:tcPr>
            <w:tcW w:w="3463" w:type="dxa"/>
            <w:tcMar>
              <w:top w:w="0" w:type="dxa"/>
              <w:left w:w="108" w:type="dxa"/>
              <w:bottom w:w="0" w:type="dxa"/>
              <w:right w:w="108" w:type="dxa"/>
            </w:tcMar>
            <w:vAlign w:val="center"/>
          </w:tcPr>
          <w:p w14:paraId="03B00C29"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应收票据</w:t>
            </w:r>
          </w:p>
        </w:tc>
        <w:tc>
          <w:tcPr>
            <w:tcW w:w="2548" w:type="dxa"/>
            <w:tcMar>
              <w:top w:w="0" w:type="dxa"/>
              <w:left w:w="108" w:type="dxa"/>
              <w:bottom w:w="0" w:type="dxa"/>
              <w:right w:w="108" w:type="dxa"/>
            </w:tcMar>
            <w:vAlign w:val="center"/>
          </w:tcPr>
          <w:p w14:paraId="13CF44DC"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2,196</w:t>
            </w:r>
            <w:r w:rsidRPr="00B4515A">
              <w:rPr>
                <w:rFonts w:ascii="Times New Roman" w:eastAsiaTheme="minorEastAsia" w:hAnsi="Times New Roman" w:cs="Times New Roman" w:hint="eastAsia"/>
                <w:sz w:val="21"/>
                <w:szCs w:val="21"/>
              </w:rPr>
              <w:t>.</w:t>
            </w:r>
            <w:r w:rsidRPr="00B4515A">
              <w:rPr>
                <w:rFonts w:ascii="Times New Roman" w:eastAsiaTheme="minorEastAsia" w:hAnsi="Times New Roman" w:cs="Times New Roman"/>
                <w:sz w:val="21"/>
                <w:szCs w:val="21"/>
              </w:rPr>
              <w:t>52</w:t>
            </w:r>
          </w:p>
        </w:tc>
        <w:tc>
          <w:tcPr>
            <w:tcW w:w="2271" w:type="dxa"/>
            <w:tcMar>
              <w:top w:w="0" w:type="dxa"/>
              <w:left w:w="108" w:type="dxa"/>
              <w:bottom w:w="0" w:type="dxa"/>
              <w:right w:w="108" w:type="dxa"/>
            </w:tcMar>
            <w:vAlign w:val="center"/>
          </w:tcPr>
          <w:p w14:paraId="119155BC"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1</w:t>
            </w:r>
            <w:r w:rsidRPr="00B4515A">
              <w:rPr>
                <w:rFonts w:ascii="Times New Roman" w:eastAsiaTheme="minorEastAsia" w:hAnsi="Times New Roman" w:cs="Times New Roman"/>
                <w:sz w:val="21"/>
                <w:szCs w:val="21"/>
              </w:rPr>
              <w:t>.46</w:t>
            </w:r>
          </w:p>
        </w:tc>
      </w:tr>
      <w:tr w:rsidR="006416B0" w:rsidRPr="00B4515A" w14:paraId="24CC7782" w14:textId="77777777" w:rsidTr="00031627">
        <w:trPr>
          <w:trHeight w:val="340"/>
          <w:jc w:val="center"/>
        </w:trPr>
        <w:tc>
          <w:tcPr>
            <w:tcW w:w="3463" w:type="dxa"/>
            <w:tcMar>
              <w:top w:w="0" w:type="dxa"/>
              <w:left w:w="108" w:type="dxa"/>
              <w:bottom w:w="0" w:type="dxa"/>
              <w:right w:w="108" w:type="dxa"/>
            </w:tcMar>
            <w:vAlign w:val="center"/>
          </w:tcPr>
          <w:p w14:paraId="0E056611"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应收账款</w:t>
            </w:r>
          </w:p>
        </w:tc>
        <w:tc>
          <w:tcPr>
            <w:tcW w:w="2548" w:type="dxa"/>
            <w:tcMar>
              <w:top w:w="0" w:type="dxa"/>
              <w:left w:w="108" w:type="dxa"/>
              <w:bottom w:w="0" w:type="dxa"/>
              <w:right w:w="108" w:type="dxa"/>
            </w:tcMar>
            <w:vAlign w:val="center"/>
          </w:tcPr>
          <w:p w14:paraId="00295E71"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33,997.25</w:t>
            </w:r>
          </w:p>
        </w:tc>
        <w:tc>
          <w:tcPr>
            <w:tcW w:w="2271" w:type="dxa"/>
            <w:tcMar>
              <w:top w:w="0" w:type="dxa"/>
              <w:left w:w="108" w:type="dxa"/>
              <w:bottom w:w="0" w:type="dxa"/>
              <w:right w:w="108" w:type="dxa"/>
            </w:tcMar>
            <w:vAlign w:val="center"/>
          </w:tcPr>
          <w:p w14:paraId="4E18B45F"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2</w:t>
            </w:r>
            <w:r w:rsidRPr="00B4515A">
              <w:rPr>
                <w:rFonts w:ascii="Times New Roman" w:eastAsiaTheme="minorEastAsia" w:hAnsi="Times New Roman" w:cs="Times New Roman"/>
                <w:sz w:val="21"/>
                <w:szCs w:val="21"/>
              </w:rPr>
              <w:t>2.58</w:t>
            </w:r>
          </w:p>
        </w:tc>
      </w:tr>
      <w:tr w:rsidR="006416B0" w:rsidRPr="00B4515A" w14:paraId="561A9715" w14:textId="77777777" w:rsidTr="00031627">
        <w:trPr>
          <w:trHeight w:val="340"/>
          <w:jc w:val="center"/>
        </w:trPr>
        <w:tc>
          <w:tcPr>
            <w:tcW w:w="3463" w:type="dxa"/>
            <w:tcMar>
              <w:top w:w="0" w:type="dxa"/>
              <w:left w:w="108" w:type="dxa"/>
              <w:bottom w:w="0" w:type="dxa"/>
              <w:right w:w="108" w:type="dxa"/>
            </w:tcMar>
            <w:vAlign w:val="center"/>
          </w:tcPr>
          <w:p w14:paraId="531173AB"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预付款项</w:t>
            </w:r>
          </w:p>
        </w:tc>
        <w:tc>
          <w:tcPr>
            <w:tcW w:w="2548" w:type="dxa"/>
            <w:tcMar>
              <w:top w:w="0" w:type="dxa"/>
              <w:left w:w="108" w:type="dxa"/>
              <w:bottom w:w="0" w:type="dxa"/>
              <w:right w:w="108" w:type="dxa"/>
            </w:tcMar>
            <w:vAlign w:val="center"/>
          </w:tcPr>
          <w:p w14:paraId="5F8F3EDC"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3,012.03</w:t>
            </w:r>
          </w:p>
        </w:tc>
        <w:tc>
          <w:tcPr>
            <w:tcW w:w="2271" w:type="dxa"/>
            <w:tcMar>
              <w:top w:w="0" w:type="dxa"/>
              <w:left w:w="108" w:type="dxa"/>
              <w:bottom w:w="0" w:type="dxa"/>
              <w:right w:w="108" w:type="dxa"/>
            </w:tcMar>
            <w:vAlign w:val="center"/>
          </w:tcPr>
          <w:p w14:paraId="156B72AA"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2.00</w:t>
            </w:r>
          </w:p>
        </w:tc>
      </w:tr>
      <w:tr w:rsidR="006416B0" w:rsidRPr="00B4515A" w14:paraId="37213BF2" w14:textId="77777777" w:rsidTr="00031627">
        <w:trPr>
          <w:trHeight w:val="340"/>
          <w:jc w:val="center"/>
        </w:trPr>
        <w:tc>
          <w:tcPr>
            <w:tcW w:w="3463" w:type="dxa"/>
            <w:tcMar>
              <w:top w:w="0" w:type="dxa"/>
              <w:left w:w="108" w:type="dxa"/>
              <w:bottom w:w="0" w:type="dxa"/>
              <w:right w:w="108" w:type="dxa"/>
            </w:tcMar>
            <w:vAlign w:val="center"/>
          </w:tcPr>
          <w:p w14:paraId="5522EABA"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其他应收款</w:t>
            </w:r>
          </w:p>
        </w:tc>
        <w:tc>
          <w:tcPr>
            <w:tcW w:w="2548" w:type="dxa"/>
            <w:tcMar>
              <w:top w:w="0" w:type="dxa"/>
              <w:left w:w="108" w:type="dxa"/>
              <w:bottom w:w="0" w:type="dxa"/>
              <w:right w:w="108" w:type="dxa"/>
            </w:tcMar>
            <w:vAlign w:val="center"/>
          </w:tcPr>
          <w:p w14:paraId="3793C334"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969.03</w:t>
            </w:r>
          </w:p>
        </w:tc>
        <w:tc>
          <w:tcPr>
            <w:tcW w:w="2271" w:type="dxa"/>
            <w:tcMar>
              <w:top w:w="0" w:type="dxa"/>
              <w:left w:w="108" w:type="dxa"/>
              <w:bottom w:w="0" w:type="dxa"/>
              <w:right w:w="108" w:type="dxa"/>
            </w:tcMar>
            <w:vAlign w:val="center"/>
          </w:tcPr>
          <w:p w14:paraId="3AB46F5E"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0</w:t>
            </w:r>
            <w:r w:rsidRPr="00B4515A">
              <w:rPr>
                <w:rFonts w:ascii="Times New Roman" w:eastAsiaTheme="minorEastAsia" w:hAnsi="Times New Roman" w:cs="Times New Roman"/>
                <w:sz w:val="21"/>
                <w:szCs w:val="21"/>
              </w:rPr>
              <w:t>.64</w:t>
            </w:r>
          </w:p>
        </w:tc>
      </w:tr>
      <w:tr w:rsidR="006416B0" w:rsidRPr="00B4515A" w14:paraId="2B80B591" w14:textId="77777777" w:rsidTr="00031627">
        <w:trPr>
          <w:trHeight w:val="340"/>
          <w:jc w:val="center"/>
        </w:trPr>
        <w:tc>
          <w:tcPr>
            <w:tcW w:w="3463" w:type="dxa"/>
            <w:tcMar>
              <w:top w:w="0" w:type="dxa"/>
              <w:left w:w="108" w:type="dxa"/>
              <w:bottom w:w="0" w:type="dxa"/>
              <w:right w:w="108" w:type="dxa"/>
            </w:tcMar>
            <w:vAlign w:val="center"/>
          </w:tcPr>
          <w:p w14:paraId="110581BE"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存货</w:t>
            </w:r>
          </w:p>
        </w:tc>
        <w:tc>
          <w:tcPr>
            <w:tcW w:w="2548" w:type="dxa"/>
            <w:tcMar>
              <w:top w:w="0" w:type="dxa"/>
              <w:left w:w="108" w:type="dxa"/>
              <w:bottom w:w="0" w:type="dxa"/>
              <w:right w:w="108" w:type="dxa"/>
            </w:tcMar>
            <w:vAlign w:val="center"/>
          </w:tcPr>
          <w:p w14:paraId="1B4F0CCC"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17,993.53</w:t>
            </w:r>
          </w:p>
        </w:tc>
        <w:tc>
          <w:tcPr>
            <w:tcW w:w="2271" w:type="dxa"/>
            <w:tcMar>
              <w:top w:w="0" w:type="dxa"/>
              <w:left w:w="108" w:type="dxa"/>
              <w:bottom w:w="0" w:type="dxa"/>
              <w:right w:w="108" w:type="dxa"/>
            </w:tcMar>
            <w:vAlign w:val="center"/>
          </w:tcPr>
          <w:p w14:paraId="42AABF7B"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1</w:t>
            </w:r>
            <w:r w:rsidRPr="00B4515A">
              <w:rPr>
                <w:rFonts w:ascii="Times New Roman" w:eastAsiaTheme="minorEastAsia" w:hAnsi="Times New Roman" w:cs="Times New Roman"/>
                <w:sz w:val="21"/>
                <w:szCs w:val="21"/>
              </w:rPr>
              <w:t>1.95</w:t>
            </w:r>
          </w:p>
        </w:tc>
      </w:tr>
      <w:tr w:rsidR="006416B0" w:rsidRPr="00B4515A" w14:paraId="2553FC8B" w14:textId="77777777" w:rsidTr="00031627">
        <w:trPr>
          <w:trHeight w:val="340"/>
          <w:jc w:val="center"/>
        </w:trPr>
        <w:tc>
          <w:tcPr>
            <w:tcW w:w="3463" w:type="dxa"/>
            <w:tcMar>
              <w:top w:w="0" w:type="dxa"/>
              <w:left w:w="108" w:type="dxa"/>
              <w:bottom w:w="0" w:type="dxa"/>
              <w:right w:w="108" w:type="dxa"/>
            </w:tcMar>
            <w:vAlign w:val="center"/>
          </w:tcPr>
          <w:p w14:paraId="03C23407"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其他流动资产</w:t>
            </w:r>
          </w:p>
        </w:tc>
        <w:tc>
          <w:tcPr>
            <w:tcW w:w="2548" w:type="dxa"/>
            <w:tcMar>
              <w:top w:w="0" w:type="dxa"/>
              <w:left w:w="108" w:type="dxa"/>
              <w:bottom w:w="0" w:type="dxa"/>
              <w:right w:w="108" w:type="dxa"/>
            </w:tcMar>
            <w:vAlign w:val="center"/>
          </w:tcPr>
          <w:p w14:paraId="4C52946F"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25.23</w:t>
            </w:r>
          </w:p>
        </w:tc>
        <w:tc>
          <w:tcPr>
            <w:tcW w:w="2271" w:type="dxa"/>
            <w:tcMar>
              <w:top w:w="0" w:type="dxa"/>
              <w:left w:w="108" w:type="dxa"/>
              <w:bottom w:w="0" w:type="dxa"/>
              <w:right w:w="108" w:type="dxa"/>
            </w:tcMar>
            <w:vAlign w:val="center"/>
          </w:tcPr>
          <w:p w14:paraId="17154064"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0</w:t>
            </w:r>
            <w:r w:rsidRPr="00B4515A">
              <w:rPr>
                <w:rFonts w:ascii="Times New Roman" w:eastAsiaTheme="minorEastAsia" w:hAnsi="Times New Roman" w:cs="Times New Roman"/>
                <w:sz w:val="21"/>
                <w:szCs w:val="21"/>
              </w:rPr>
              <w:t>.02</w:t>
            </w:r>
          </w:p>
        </w:tc>
      </w:tr>
      <w:tr w:rsidR="006416B0" w:rsidRPr="00B4515A" w14:paraId="76E5FC9B" w14:textId="77777777" w:rsidTr="00031627">
        <w:trPr>
          <w:trHeight w:val="340"/>
          <w:jc w:val="center"/>
        </w:trPr>
        <w:tc>
          <w:tcPr>
            <w:tcW w:w="3463" w:type="dxa"/>
            <w:tcMar>
              <w:top w:w="0" w:type="dxa"/>
              <w:left w:w="108" w:type="dxa"/>
              <w:bottom w:w="0" w:type="dxa"/>
              <w:right w:w="108" w:type="dxa"/>
            </w:tcMar>
            <w:vAlign w:val="center"/>
          </w:tcPr>
          <w:p w14:paraId="220C2D86"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流动资产合计</w:t>
            </w:r>
          </w:p>
        </w:tc>
        <w:tc>
          <w:tcPr>
            <w:tcW w:w="2548" w:type="dxa"/>
            <w:tcMar>
              <w:top w:w="0" w:type="dxa"/>
              <w:left w:w="108" w:type="dxa"/>
              <w:bottom w:w="0" w:type="dxa"/>
              <w:right w:w="108" w:type="dxa"/>
            </w:tcMar>
            <w:vAlign w:val="center"/>
          </w:tcPr>
          <w:p w14:paraId="483B3D07" w14:textId="77777777" w:rsidR="006416B0" w:rsidRPr="00B4515A" w:rsidRDefault="005E58C1" w:rsidP="005860B4">
            <w:pPr>
              <w:adjustRightInd w:val="0"/>
              <w:snapToGrid w:val="0"/>
              <w:jc w:val="right"/>
              <w:rPr>
                <w:rFonts w:ascii="Times New Roman" w:eastAsiaTheme="minorEastAsia" w:hAnsi="Times New Roman" w:cs="Times New Roman"/>
                <w:bCs/>
                <w:sz w:val="21"/>
                <w:szCs w:val="21"/>
              </w:rPr>
            </w:pPr>
            <w:r w:rsidRPr="00B4515A">
              <w:rPr>
                <w:rFonts w:ascii="Times New Roman" w:eastAsiaTheme="minorEastAsia" w:hAnsi="Times New Roman" w:cs="Times New Roman"/>
                <w:bCs/>
                <w:sz w:val="21"/>
                <w:szCs w:val="21"/>
              </w:rPr>
              <w:t>118,212.87</w:t>
            </w:r>
          </w:p>
        </w:tc>
        <w:tc>
          <w:tcPr>
            <w:tcW w:w="2271" w:type="dxa"/>
            <w:tcMar>
              <w:top w:w="0" w:type="dxa"/>
              <w:left w:w="108" w:type="dxa"/>
              <w:bottom w:w="0" w:type="dxa"/>
              <w:right w:w="108" w:type="dxa"/>
            </w:tcMar>
            <w:vAlign w:val="center"/>
          </w:tcPr>
          <w:p w14:paraId="23A11D19" w14:textId="77777777" w:rsidR="006416B0" w:rsidRPr="00B4515A" w:rsidRDefault="005E58C1" w:rsidP="005860B4">
            <w:pPr>
              <w:adjustRightInd w:val="0"/>
              <w:snapToGrid w:val="0"/>
              <w:jc w:val="right"/>
              <w:rPr>
                <w:rFonts w:ascii="Times New Roman" w:eastAsiaTheme="minorEastAsia" w:hAnsi="Times New Roman" w:cs="Times New Roman"/>
                <w:bCs/>
                <w:sz w:val="21"/>
                <w:szCs w:val="21"/>
              </w:rPr>
            </w:pPr>
            <w:r w:rsidRPr="00B4515A">
              <w:rPr>
                <w:rFonts w:ascii="Times New Roman" w:eastAsiaTheme="minorEastAsia" w:hAnsi="Times New Roman" w:cs="Times New Roman" w:hint="eastAsia"/>
                <w:bCs/>
                <w:sz w:val="21"/>
                <w:szCs w:val="21"/>
              </w:rPr>
              <w:t>7</w:t>
            </w:r>
            <w:r w:rsidRPr="00B4515A">
              <w:rPr>
                <w:rFonts w:ascii="Times New Roman" w:eastAsiaTheme="minorEastAsia" w:hAnsi="Times New Roman" w:cs="Times New Roman"/>
                <w:bCs/>
                <w:sz w:val="21"/>
                <w:szCs w:val="21"/>
              </w:rPr>
              <w:t>8.51</w:t>
            </w:r>
          </w:p>
        </w:tc>
      </w:tr>
      <w:tr w:rsidR="006416B0" w:rsidRPr="00B4515A" w14:paraId="387BDE8E" w14:textId="77777777" w:rsidTr="00031627">
        <w:trPr>
          <w:trHeight w:val="340"/>
          <w:jc w:val="center"/>
        </w:trPr>
        <w:tc>
          <w:tcPr>
            <w:tcW w:w="3463" w:type="dxa"/>
            <w:tcMar>
              <w:top w:w="0" w:type="dxa"/>
              <w:left w:w="108" w:type="dxa"/>
              <w:bottom w:w="0" w:type="dxa"/>
              <w:right w:w="108" w:type="dxa"/>
            </w:tcMar>
            <w:vAlign w:val="center"/>
          </w:tcPr>
          <w:p w14:paraId="7018ACCF"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其他权益工具投资</w:t>
            </w:r>
          </w:p>
        </w:tc>
        <w:tc>
          <w:tcPr>
            <w:tcW w:w="2548" w:type="dxa"/>
            <w:tcMar>
              <w:top w:w="0" w:type="dxa"/>
              <w:left w:w="108" w:type="dxa"/>
              <w:bottom w:w="0" w:type="dxa"/>
              <w:right w:w="108" w:type="dxa"/>
            </w:tcMar>
            <w:vAlign w:val="center"/>
          </w:tcPr>
          <w:p w14:paraId="7DAA6D9E" w14:textId="71EF6A59"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17</w:t>
            </w:r>
            <w:r w:rsidR="00942934" w:rsidRPr="00B4515A">
              <w:rPr>
                <w:rFonts w:ascii="Times New Roman" w:eastAsiaTheme="minorEastAsia" w:hAnsi="Times New Roman" w:cs="Times New Roman"/>
                <w:sz w:val="21"/>
                <w:szCs w:val="21"/>
              </w:rPr>
              <w:t>,</w:t>
            </w:r>
            <w:r w:rsidRPr="00B4515A">
              <w:rPr>
                <w:rFonts w:ascii="Times New Roman" w:eastAsiaTheme="minorEastAsia" w:hAnsi="Times New Roman" w:cs="Times New Roman"/>
                <w:sz w:val="21"/>
                <w:szCs w:val="21"/>
              </w:rPr>
              <w:t>931.14</w:t>
            </w:r>
          </w:p>
        </w:tc>
        <w:tc>
          <w:tcPr>
            <w:tcW w:w="2271" w:type="dxa"/>
            <w:tcMar>
              <w:top w:w="0" w:type="dxa"/>
              <w:left w:w="108" w:type="dxa"/>
              <w:bottom w:w="0" w:type="dxa"/>
              <w:right w:w="108" w:type="dxa"/>
            </w:tcMar>
            <w:vAlign w:val="center"/>
          </w:tcPr>
          <w:p w14:paraId="0E3C404F"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1</w:t>
            </w:r>
            <w:r w:rsidRPr="00B4515A">
              <w:rPr>
                <w:rFonts w:ascii="Times New Roman" w:eastAsiaTheme="minorEastAsia" w:hAnsi="Times New Roman" w:cs="Times New Roman"/>
                <w:sz w:val="21"/>
                <w:szCs w:val="21"/>
              </w:rPr>
              <w:t>1.91</w:t>
            </w:r>
          </w:p>
        </w:tc>
      </w:tr>
      <w:tr w:rsidR="006416B0" w:rsidRPr="00B4515A" w14:paraId="2AC163E2" w14:textId="77777777" w:rsidTr="00031627">
        <w:trPr>
          <w:trHeight w:val="340"/>
          <w:jc w:val="center"/>
        </w:trPr>
        <w:tc>
          <w:tcPr>
            <w:tcW w:w="3463" w:type="dxa"/>
            <w:tcMar>
              <w:top w:w="0" w:type="dxa"/>
              <w:left w:w="108" w:type="dxa"/>
              <w:bottom w:w="0" w:type="dxa"/>
              <w:right w:w="108" w:type="dxa"/>
            </w:tcMar>
            <w:vAlign w:val="center"/>
          </w:tcPr>
          <w:p w14:paraId="0315CED9"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固定资产</w:t>
            </w:r>
          </w:p>
        </w:tc>
        <w:tc>
          <w:tcPr>
            <w:tcW w:w="2548" w:type="dxa"/>
            <w:tcMar>
              <w:top w:w="0" w:type="dxa"/>
              <w:left w:w="108" w:type="dxa"/>
              <w:bottom w:w="0" w:type="dxa"/>
              <w:right w:w="108" w:type="dxa"/>
            </w:tcMar>
            <w:vAlign w:val="center"/>
          </w:tcPr>
          <w:p w14:paraId="76AD0577"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2,921.82</w:t>
            </w:r>
          </w:p>
        </w:tc>
        <w:tc>
          <w:tcPr>
            <w:tcW w:w="2271" w:type="dxa"/>
            <w:tcMar>
              <w:top w:w="0" w:type="dxa"/>
              <w:left w:w="108" w:type="dxa"/>
              <w:bottom w:w="0" w:type="dxa"/>
              <w:right w:w="108" w:type="dxa"/>
            </w:tcMar>
            <w:vAlign w:val="center"/>
          </w:tcPr>
          <w:p w14:paraId="66B78DA2"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1</w:t>
            </w:r>
            <w:r w:rsidRPr="00B4515A">
              <w:rPr>
                <w:rFonts w:ascii="Times New Roman" w:eastAsiaTheme="minorEastAsia" w:hAnsi="Times New Roman" w:cs="Times New Roman"/>
                <w:sz w:val="21"/>
                <w:szCs w:val="21"/>
              </w:rPr>
              <w:t>.94</w:t>
            </w:r>
          </w:p>
        </w:tc>
      </w:tr>
      <w:tr w:rsidR="006416B0" w:rsidRPr="00B4515A" w14:paraId="7F572962" w14:textId="77777777" w:rsidTr="00031627">
        <w:trPr>
          <w:trHeight w:val="340"/>
          <w:jc w:val="center"/>
        </w:trPr>
        <w:tc>
          <w:tcPr>
            <w:tcW w:w="3463" w:type="dxa"/>
            <w:tcMar>
              <w:top w:w="0" w:type="dxa"/>
              <w:left w:w="108" w:type="dxa"/>
              <w:bottom w:w="0" w:type="dxa"/>
              <w:right w:w="108" w:type="dxa"/>
            </w:tcMar>
            <w:vAlign w:val="center"/>
          </w:tcPr>
          <w:p w14:paraId="58219B62"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使用权资产</w:t>
            </w:r>
          </w:p>
        </w:tc>
        <w:tc>
          <w:tcPr>
            <w:tcW w:w="2548" w:type="dxa"/>
            <w:tcMar>
              <w:top w:w="0" w:type="dxa"/>
              <w:left w:w="108" w:type="dxa"/>
              <w:bottom w:w="0" w:type="dxa"/>
              <w:right w:w="108" w:type="dxa"/>
            </w:tcMar>
            <w:vAlign w:val="center"/>
          </w:tcPr>
          <w:p w14:paraId="1C52E6FB"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4,181.32</w:t>
            </w:r>
          </w:p>
        </w:tc>
        <w:tc>
          <w:tcPr>
            <w:tcW w:w="2271" w:type="dxa"/>
            <w:tcMar>
              <w:top w:w="0" w:type="dxa"/>
              <w:left w:w="108" w:type="dxa"/>
              <w:bottom w:w="0" w:type="dxa"/>
              <w:right w:w="108" w:type="dxa"/>
            </w:tcMar>
            <w:vAlign w:val="center"/>
          </w:tcPr>
          <w:p w14:paraId="3373DFA2"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2</w:t>
            </w:r>
            <w:r w:rsidRPr="00B4515A">
              <w:rPr>
                <w:rFonts w:ascii="Times New Roman" w:eastAsiaTheme="minorEastAsia" w:hAnsi="Times New Roman" w:cs="Times New Roman"/>
                <w:sz w:val="21"/>
                <w:szCs w:val="21"/>
              </w:rPr>
              <w:t>.78</w:t>
            </w:r>
          </w:p>
        </w:tc>
      </w:tr>
      <w:tr w:rsidR="006416B0" w:rsidRPr="00B4515A" w14:paraId="60C16D2D" w14:textId="77777777" w:rsidTr="00031627">
        <w:trPr>
          <w:trHeight w:val="340"/>
          <w:jc w:val="center"/>
        </w:trPr>
        <w:tc>
          <w:tcPr>
            <w:tcW w:w="3463" w:type="dxa"/>
            <w:tcMar>
              <w:top w:w="0" w:type="dxa"/>
              <w:left w:w="108" w:type="dxa"/>
              <w:bottom w:w="0" w:type="dxa"/>
              <w:right w:w="108" w:type="dxa"/>
            </w:tcMar>
            <w:vAlign w:val="center"/>
          </w:tcPr>
          <w:p w14:paraId="4DDB8525"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无形资产</w:t>
            </w:r>
          </w:p>
        </w:tc>
        <w:tc>
          <w:tcPr>
            <w:tcW w:w="2548" w:type="dxa"/>
            <w:tcMar>
              <w:top w:w="0" w:type="dxa"/>
              <w:left w:w="108" w:type="dxa"/>
              <w:bottom w:w="0" w:type="dxa"/>
              <w:right w:w="108" w:type="dxa"/>
            </w:tcMar>
            <w:vAlign w:val="center"/>
          </w:tcPr>
          <w:p w14:paraId="798FAFAF"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5,316.96</w:t>
            </w:r>
          </w:p>
        </w:tc>
        <w:tc>
          <w:tcPr>
            <w:tcW w:w="2271" w:type="dxa"/>
            <w:tcMar>
              <w:top w:w="0" w:type="dxa"/>
              <w:left w:w="108" w:type="dxa"/>
              <w:bottom w:w="0" w:type="dxa"/>
              <w:right w:w="108" w:type="dxa"/>
            </w:tcMar>
            <w:vAlign w:val="center"/>
          </w:tcPr>
          <w:p w14:paraId="1853C536"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3</w:t>
            </w:r>
            <w:r w:rsidRPr="00B4515A">
              <w:rPr>
                <w:rFonts w:ascii="Times New Roman" w:eastAsiaTheme="minorEastAsia" w:hAnsi="Times New Roman" w:cs="Times New Roman"/>
                <w:sz w:val="21"/>
                <w:szCs w:val="21"/>
              </w:rPr>
              <w:t>.53</w:t>
            </w:r>
          </w:p>
        </w:tc>
      </w:tr>
      <w:tr w:rsidR="006416B0" w:rsidRPr="00B4515A" w14:paraId="2080D65F" w14:textId="77777777" w:rsidTr="00031627">
        <w:trPr>
          <w:trHeight w:val="340"/>
          <w:jc w:val="center"/>
        </w:trPr>
        <w:tc>
          <w:tcPr>
            <w:tcW w:w="3463" w:type="dxa"/>
            <w:tcMar>
              <w:top w:w="0" w:type="dxa"/>
              <w:left w:w="108" w:type="dxa"/>
              <w:bottom w:w="0" w:type="dxa"/>
              <w:right w:w="108" w:type="dxa"/>
            </w:tcMar>
            <w:vAlign w:val="center"/>
          </w:tcPr>
          <w:p w14:paraId="778638E7"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开发支出</w:t>
            </w:r>
          </w:p>
        </w:tc>
        <w:tc>
          <w:tcPr>
            <w:tcW w:w="2548" w:type="dxa"/>
            <w:tcMar>
              <w:top w:w="0" w:type="dxa"/>
              <w:left w:w="108" w:type="dxa"/>
              <w:bottom w:w="0" w:type="dxa"/>
              <w:right w:w="108" w:type="dxa"/>
            </w:tcMar>
            <w:vAlign w:val="center"/>
          </w:tcPr>
          <w:p w14:paraId="7341E2C9"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1,944</w:t>
            </w:r>
            <w:r w:rsidRPr="00B4515A">
              <w:rPr>
                <w:rFonts w:ascii="Times New Roman" w:eastAsiaTheme="minorEastAsia" w:hAnsi="Times New Roman" w:cs="Times New Roman" w:hint="eastAsia"/>
                <w:sz w:val="21"/>
                <w:szCs w:val="21"/>
              </w:rPr>
              <w:t>.</w:t>
            </w:r>
            <w:r w:rsidRPr="00B4515A">
              <w:rPr>
                <w:rFonts w:ascii="Times New Roman" w:eastAsiaTheme="minorEastAsia" w:hAnsi="Times New Roman" w:cs="Times New Roman"/>
                <w:sz w:val="21"/>
                <w:szCs w:val="21"/>
              </w:rPr>
              <w:t>83</w:t>
            </w:r>
          </w:p>
        </w:tc>
        <w:tc>
          <w:tcPr>
            <w:tcW w:w="2271" w:type="dxa"/>
            <w:tcMar>
              <w:top w:w="0" w:type="dxa"/>
              <w:left w:w="108" w:type="dxa"/>
              <w:bottom w:w="0" w:type="dxa"/>
              <w:right w:w="108" w:type="dxa"/>
            </w:tcMar>
            <w:vAlign w:val="center"/>
          </w:tcPr>
          <w:p w14:paraId="41A63660"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1.29</w:t>
            </w:r>
          </w:p>
        </w:tc>
      </w:tr>
      <w:tr w:rsidR="006416B0" w:rsidRPr="00B4515A" w14:paraId="5B75B3B2" w14:textId="77777777" w:rsidTr="00031627">
        <w:trPr>
          <w:trHeight w:val="340"/>
          <w:jc w:val="center"/>
        </w:trPr>
        <w:tc>
          <w:tcPr>
            <w:tcW w:w="3463" w:type="dxa"/>
            <w:tcMar>
              <w:top w:w="0" w:type="dxa"/>
              <w:left w:w="108" w:type="dxa"/>
              <w:bottom w:w="0" w:type="dxa"/>
              <w:right w:w="108" w:type="dxa"/>
            </w:tcMar>
            <w:vAlign w:val="center"/>
          </w:tcPr>
          <w:p w14:paraId="09ACB7A8"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 xml:space="preserve">  </w:t>
            </w:r>
            <w:r w:rsidRPr="00B4515A">
              <w:rPr>
                <w:rFonts w:ascii="Times New Roman" w:eastAsiaTheme="minorEastAsia" w:hAnsi="Times New Roman" w:cs="Times New Roman"/>
                <w:sz w:val="21"/>
                <w:szCs w:val="21"/>
              </w:rPr>
              <w:t>长期待摊费用</w:t>
            </w:r>
          </w:p>
        </w:tc>
        <w:tc>
          <w:tcPr>
            <w:tcW w:w="2548" w:type="dxa"/>
            <w:tcMar>
              <w:top w:w="0" w:type="dxa"/>
              <w:left w:w="108" w:type="dxa"/>
              <w:bottom w:w="0" w:type="dxa"/>
              <w:right w:w="108" w:type="dxa"/>
            </w:tcMar>
            <w:vAlign w:val="center"/>
          </w:tcPr>
          <w:p w14:paraId="420E63E6"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68.93</w:t>
            </w:r>
          </w:p>
        </w:tc>
        <w:tc>
          <w:tcPr>
            <w:tcW w:w="2271" w:type="dxa"/>
            <w:tcMar>
              <w:top w:w="0" w:type="dxa"/>
              <w:left w:w="108" w:type="dxa"/>
              <w:bottom w:w="0" w:type="dxa"/>
              <w:right w:w="108" w:type="dxa"/>
            </w:tcMar>
            <w:vAlign w:val="center"/>
          </w:tcPr>
          <w:p w14:paraId="3D1B4D6A"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0</w:t>
            </w:r>
            <w:r w:rsidRPr="00B4515A">
              <w:rPr>
                <w:rFonts w:ascii="Times New Roman" w:eastAsiaTheme="minorEastAsia" w:hAnsi="Times New Roman" w:cs="Times New Roman"/>
                <w:sz w:val="21"/>
                <w:szCs w:val="21"/>
              </w:rPr>
              <w:t>.05</w:t>
            </w:r>
          </w:p>
        </w:tc>
      </w:tr>
      <w:tr w:rsidR="006416B0" w:rsidRPr="00B4515A" w14:paraId="4531A93D" w14:textId="77777777" w:rsidTr="00031627">
        <w:trPr>
          <w:trHeight w:val="340"/>
          <w:jc w:val="center"/>
        </w:trPr>
        <w:tc>
          <w:tcPr>
            <w:tcW w:w="3463" w:type="dxa"/>
            <w:tcMar>
              <w:top w:w="0" w:type="dxa"/>
              <w:left w:w="108" w:type="dxa"/>
              <w:bottom w:w="0" w:type="dxa"/>
              <w:right w:w="108" w:type="dxa"/>
            </w:tcMar>
            <w:vAlign w:val="center"/>
          </w:tcPr>
          <w:p w14:paraId="4D7BABD9"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非流动资产合计</w:t>
            </w:r>
          </w:p>
        </w:tc>
        <w:tc>
          <w:tcPr>
            <w:tcW w:w="2548" w:type="dxa"/>
            <w:tcMar>
              <w:top w:w="0" w:type="dxa"/>
              <w:left w:w="108" w:type="dxa"/>
              <w:bottom w:w="0" w:type="dxa"/>
              <w:right w:w="108" w:type="dxa"/>
            </w:tcMar>
            <w:vAlign w:val="center"/>
          </w:tcPr>
          <w:p w14:paraId="1C7C8B29" w14:textId="77777777" w:rsidR="006416B0" w:rsidRPr="00B4515A" w:rsidRDefault="005E58C1" w:rsidP="005860B4">
            <w:pPr>
              <w:adjustRightInd w:val="0"/>
              <w:snapToGrid w:val="0"/>
              <w:jc w:val="right"/>
              <w:rPr>
                <w:rFonts w:ascii="Times New Roman" w:eastAsiaTheme="minorEastAsia" w:hAnsi="Times New Roman" w:cs="Times New Roman"/>
                <w:bCs/>
                <w:sz w:val="21"/>
                <w:szCs w:val="21"/>
              </w:rPr>
            </w:pPr>
            <w:r w:rsidRPr="00B4515A">
              <w:rPr>
                <w:rFonts w:ascii="Times New Roman" w:eastAsiaTheme="minorEastAsia" w:hAnsi="Times New Roman" w:cs="Times New Roman"/>
                <w:bCs/>
                <w:sz w:val="21"/>
                <w:szCs w:val="21"/>
              </w:rPr>
              <w:t>32,365.01</w:t>
            </w:r>
          </w:p>
        </w:tc>
        <w:tc>
          <w:tcPr>
            <w:tcW w:w="2271" w:type="dxa"/>
            <w:tcMar>
              <w:top w:w="0" w:type="dxa"/>
              <w:left w:w="108" w:type="dxa"/>
              <w:bottom w:w="0" w:type="dxa"/>
              <w:right w:w="108" w:type="dxa"/>
            </w:tcMar>
            <w:vAlign w:val="center"/>
          </w:tcPr>
          <w:p w14:paraId="70F369E0" w14:textId="77777777" w:rsidR="006416B0" w:rsidRPr="00B4515A" w:rsidRDefault="005E58C1" w:rsidP="005860B4">
            <w:pPr>
              <w:adjustRightInd w:val="0"/>
              <w:snapToGrid w:val="0"/>
              <w:jc w:val="right"/>
              <w:rPr>
                <w:rFonts w:ascii="Times New Roman" w:eastAsiaTheme="minorEastAsia" w:hAnsi="Times New Roman" w:cs="Times New Roman"/>
                <w:bCs/>
                <w:sz w:val="21"/>
                <w:szCs w:val="21"/>
              </w:rPr>
            </w:pPr>
            <w:r w:rsidRPr="00B4515A">
              <w:rPr>
                <w:rFonts w:ascii="Times New Roman" w:eastAsiaTheme="minorEastAsia" w:hAnsi="Times New Roman" w:cs="Times New Roman" w:hint="eastAsia"/>
                <w:bCs/>
                <w:sz w:val="21"/>
                <w:szCs w:val="21"/>
              </w:rPr>
              <w:t>2</w:t>
            </w:r>
            <w:r w:rsidRPr="00B4515A">
              <w:rPr>
                <w:rFonts w:ascii="Times New Roman" w:eastAsiaTheme="minorEastAsia" w:hAnsi="Times New Roman" w:cs="Times New Roman"/>
                <w:bCs/>
                <w:sz w:val="21"/>
                <w:szCs w:val="21"/>
              </w:rPr>
              <w:t>1.49</w:t>
            </w:r>
          </w:p>
        </w:tc>
      </w:tr>
      <w:tr w:rsidR="006416B0" w:rsidRPr="00B4515A" w14:paraId="02567A0D" w14:textId="77777777" w:rsidTr="00031627">
        <w:trPr>
          <w:trHeight w:val="340"/>
          <w:jc w:val="center"/>
        </w:trPr>
        <w:tc>
          <w:tcPr>
            <w:tcW w:w="3463" w:type="dxa"/>
            <w:tcMar>
              <w:top w:w="0" w:type="dxa"/>
              <w:left w:w="108" w:type="dxa"/>
              <w:bottom w:w="0" w:type="dxa"/>
              <w:right w:w="108" w:type="dxa"/>
            </w:tcMar>
            <w:vAlign w:val="center"/>
          </w:tcPr>
          <w:p w14:paraId="1D367489" w14:textId="77777777" w:rsidR="006416B0" w:rsidRPr="00B4515A" w:rsidRDefault="005E58C1" w:rsidP="005860B4">
            <w:pPr>
              <w:adjustRightInd w:val="0"/>
              <w:snapToGrid w:val="0"/>
              <w:rPr>
                <w:rFonts w:ascii="Times New Roman" w:eastAsiaTheme="minorEastAsia" w:hAnsi="Times New Roman" w:cs="Times New Roman"/>
                <w:b/>
                <w:bCs/>
                <w:sz w:val="21"/>
                <w:szCs w:val="21"/>
              </w:rPr>
            </w:pPr>
            <w:r w:rsidRPr="00B4515A">
              <w:rPr>
                <w:rFonts w:ascii="Times New Roman" w:eastAsiaTheme="minorEastAsia" w:hAnsi="Times New Roman" w:cs="Times New Roman" w:hint="eastAsia"/>
                <w:b/>
                <w:bCs/>
                <w:sz w:val="21"/>
                <w:szCs w:val="21"/>
              </w:rPr>
              <w:t>资产总计</w:t>
            </w:r>
          </w:p>
        </w:tc>
        <w:tc>
          <w:tcPr>
            <w:tcW w:w="2548" w:type="dxa"/>
            <w:tcMar>
              <w:top w:w="0" w:type="dxa"/>
              <w:left w:w="108" w:type="dxa"/>
              <w:bottom w:w="0" w:type="dxa"/>
              <w:right w:w="108" w:type="dxa"/>
            </w:tcMar>
            <w:vAlign w:val="center"/>
          </w:tcPr>
          <w:p w14:paraId="4D216A69" w14:textId="77777777" w:rsidR="006416B0" w:rsidRPr="00B4515A" w:rsidRDefault="005E58C1" w:rsidP="005860B4">
            <w:pPr>
              <w:adjustRightInd w:val="0"/>
              <w:snapToGrid w:val="0"/>
              <w:jc w:val="right"/>
              <w:rPr>
                <w:rFonts w:ascii="Times New Roman" w:eastAsiaTheme="minorEastAsia" w:hAnsi="Times New Roman" w:cs="Times New Roman"/>
                <w:b/>
                <w:bCs/>
                <w:sz w:val="21"/>
                <w:szCs w:val="21"/>
              </w:rPr>
            </w:pPr>
            <w:r w:rsidRPr="00B4515A">
              <w:rPr>
                <w:rFonts w:ascii="Times New Roman" w:eastAsiaTheme="minorEastAsia" w:hAnsi="Times New Roman" w:cs="Times New Roman"/>
                <w:b/>
                <w:bCs/>
                <w:sz w:val="21"/>
                <w:szCs w:val="21"/>
              </w:rPr>
              <w:t>150,577.88</w:t>
            </w:r>
          </w:p>
        </w:tc>
        <w:tc>
          <w:tcPr>
            <w:tcW w:w="2271" w:type="dxa"/>
            <w:tcMar>
              <w:top w:w="0" w:type="dxa"/>
              <w:left w:w="108" w:type="dxa"/>
              <w:bottom w:w="0" w:type="dxa"/>
              <w:right w:w="108" w:type="dxa"/>
            </w:tcMar>
            <w:vAlign w:val="center"/>
          </w:tcPr>
          <w:p w14:paraId="15FC124B" w14:textId="77777777" w:rsidR="006416B0" w:rsidRPr="00B4515A" w:rsidRDefault="005E58C1" w:rsidP="005860B4">
            <w:pPr>
              <w:adjustRightInd w:val="0"/>
              <w:snapToGrid w:val="0"/>
              <w:jc w:val="right"/>
              <w:rPr>
                <w:rFonts w:ascii="Times New Roman" w:eastAsiaTheme="minorEastAsia" w:hAnsi="Times New Roman" w:cs="Times New Roman"/>
                <w:b/>
                <w:bCs/>
                <w:sz w:val="21"/>
                <w:szCs w:val="21"/>
              </w:rPr>
            </w:pPr>
            <w:r w:rsidRPr="00B4515A">
              <w:rPr>
                <w:rFonts w:ascii="Times New Roman" w:eastAsiaTheme="minorEastAsia" w:hAnsi="Times New Roman" w:cs="Times New Roman"/>
                <w:b/>
                <w:bCs/>
                <w:sz w:val="21"/>
                <w:szCs w:val="21"/>
              </w:rPr>
              <w:t>100.00</w:t>
            </w:r>
          </w:p>
        </w:tc>
      </w:tr>
    </w:tbl>
    <w:bookmarkEnd w:id="166"/>
    <w:p w14:paraId="4A94FE0B" w14:textId="77777777" w:rsidR="006416B0" w:rsidRPr="00B4515A" w:rsidRDefault="005E58C1" w:rsidP="005860B4">
      <w:pPr>
        <w:pStyle w:val="004"/>
        <w:spacing w:before="120" w:after="120"/>
        <w:ind w:firstLine="482"/>
      </w:pPr>
      <w:r w:rsidRPr="00B4515A">
        <w:rPr>
          <w:rFonts w:hint="eastAsia"/>
        </w:rPr>
        <w:t>1</w:t>
      </w:r>
      <w:r w:rsidRPr="00B4515A">
        <w:rPr>
          <w:rFonts w:hint="eastAsia"/>
        </w:rPr>
        <w:t>、土地使用权</w:t>
      </w:r>
    </w:p>
    <w:p w14:paraId="50E2C41D" w14:textId="4D3F6958" w:rsidR="006416B0" w:rsidRPr="00B4515A" w:rsidRDefault="005E58C1" w:rsidP="006100BC">
      <w:pPr>
        <w:pStyle w:val="005"/>
        <w:spacing w:before="120" w:after="120"/>
        <w:ind w:firstLine="480"/>
      </w:pPr>
      <w:r w:rsidRPr="00B4515A">
        <w:t>截至</w:t>
      </w:r>
      <w:r w:rsidRPr="00B4515A">
        <w:rPr>
          <w:rFonts w:hint="eastAsia"/>
        </w:rPr>
        <w:t>本报告书签署日</w:t>
      </w:r>
      <w:r w:rsidRPr="00B4515A">
        <w:t>，大唐</w:t>
      </w:r>
      <w:r w:rsidRPr="00B4515A">
        <w:rPr>
          <w:rFonts w:hint="eastAsia"/>
        </w:rPr>
        <w:t>联诚</w:t>
      </w:r>
      <w:r w:rsidRPr="00B4515A">
        <w:t>暂无</w:t>
      </w:r>
      <w:r w:rsidRPr="00B4515A">
        <w:rPr>
          <w:rFonts w:hint="eastAsia"/>
        </w:rPr>
        <w:t>自有</w:t>
      </w:r>
      <w:r w:rsidRPr="00B4515A">
        <w:t>土地使用权。</w:t>
      </w:r>
    </w:p>
    <w:p w14:paraId="268A6E65" w14:textId="77777777" w:rsidR="006416B0" w:rsidRPr="00B4515A" w:rsidRDefault="005E58C1" w:rsidP="005860B4">
      <w:pPr>
        <w:pStyle w:val="004"/>
        <w:spacing w:before="120" w:after="120"/>
        <w:ind w:firstLine="482"/>
      </w:pPr>
      <w:r w:rsidRPr="00B4515A">
        <w:rPr>
          <w:rFonts w:hint="eastAsia"/>
        </w:rPr>
        <w:t>2</w:t>
      </w:r>
      <w:r w:rsidRPr="00B4515A">
        <w:rPr>
          <w:rFonts w:hint="eastAsia"/>
        </w:rPr>
        <w:t>、房屋建筑物</w:t>
      </w:r>
    </w:p>
    <w:p w14:paraId="27B9D4B6" w14:textId="77777777" w:rsidR="006416B0" w:rsidRPr="00B4515A" w:rsidRDefault="005E58C1" w:rsidP="005860B4">
      <w:pPr>
        <w:pStyle w:val="005"/>
        <w:spacing w:before="120" w:after="120"/>
        <w:ind w:firstLine="480"/>
        <w:rPr>
          <w:b/>
        </w:rPr>
      </w:pPr>
      <w:r w:rsidRPr="00B4515A">
        <w:t>截至</w:t>
      </w:r>
      <w:r w:rsidRPr="00B4515A">
        <w:rPr>
          <w:rFonts w:hint="eastAsia"/>
        </w:rPr>
        <w:t>本报告书签署日</w:t>
      </w:r>
      <w:r w:rsidRPr="00B4515A">
        <w:t>，大唐</w:t>
      </w:r>
      <w:r w:rsidRPr="00B4515A">
        <w:rPr>
          <w:rFonts w:hint="eastAsia"/>
        </w:rPr>
        <w:t>联诚</w:t>
      </w:r>
      <w:r w:rsidRPr="00B4515A">
        <w:t>暂无</w:t>
      </w:r>
      <w:r w:rsidRPr="00B4515A">
        <w:rPr>
          <w:rFonts w:hint="eastAsia"/>
        </w:rPr>
        <w:t>自有</w:t>
      </w:r>
      <w:r w:rsidRPr="00B4515A">
        <w:t>房屋</w:t>
      </w:r>
      <w:r w:rsidRPr="00B4515A">
        <w:rPr>
          <w:rFonts w:hint="eastAsia"/>
        </w:rPr>
        <w:t>所有权，</w:t>
      </w:r>
      <w:r w:rsidRPr="00B4515A">
        <w:rPr>
          <w:rFonts w:hint="eastAsia"/>
          <w:bCs/>
          <w:color w:val="000000" w:themeColor="text1"/>
        </w:rPr>
        <w:t>办公场所均以租赁方式使用。具体情况如下：</w:t>
      </w:r>
    </w:p>
    <w:tbl>
      <w:tblPr>
        <w:tblW w:w="513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565"/>
        <w:gridCol w:w="1306"/>
        <w:gridCol w:w="1157"/>
        <w:gridCol w:w="882"/>
        <w:gridCol w:w="801"/>
        <w:gridCol w:w="1015"/>
        <w:gridCol w:w="1011"/>
        <w:gridCol w:w="1115"/>
        <w:gridCol w:w="911"/>
      </w:tblGrid>
      <w:tr w:rsidR="006416B0" w:rsidRPr="00B4515A" w14:paraId="6633FC7B" w14:textId="77777777" w:rsidTr="00EE238F">
        <w:trPr>
          <w:trHeight w:val="340"/>
          <w:tblHeader/>
          <w:jc w:val="center"/>
        </w:trPr>
        <w:tc>
          <w:tcPr>
            <w:tcW w:w="323" w:type="pct"/>
            <w:shd w:val="clear" w:color="auto" w:fill="auto"/>
            <w:tcMar>
              <w:top w:w="0" w:type="dxa"/>
              <w:left w:w="108" w:type="dxa"/>
              <w:bottom w:w="0" w:type="dxa"/>
              <w:right w:w="108" w:type="dxa"/>
            </w:tcMar>
            <w:vAlign w:val="center"/>
          </w:tcPr>
          <w:p w14:paraId="1F22108D" w14:textId="77777777" w:rsidR="006416B0" w:rsidRPr="00B4515A" w:rsidRDefault="005E58C1" w:rsidP="005860B4">
            <w:pPr>
              <w:adjustRightInd w:val="0"/>
              <w:snapToGrid w:val="0"/>
              <w:jc w:val="center"/>
              <w:textAlignment w:val="center"/>
              <w:rPr>
                <w:rFonts w:ascii="Times New Roman" w:hAnsi="Times New Roman" w:cs="Times New Roman"/>
                <w:b/>
                <w:bCs/>
                <w:color w:val="000000" w:themeColor="text1"/>
                <w:sz w:val="21"/>
                <w:szCs w:val="21"/>
                <w:lang w:bidi="ar"/>
              </w:rPr>
            </w:pPr>
            <w:bookmarkStart w:id="167" w:name="_Hlk64985912"/>
            <w:bookmarkStart w:id="168" w:name="_Hlk76925817"/>
            <w:r w:rsidRPr="00B4515A">
              <w:rPr>
                <w:rFonts w:ascii="Times New Roman" w:hAnsi="Times New Roman" w:cs="Times New Roman" w:hint="eastAsia"/>
                <w:b/>
                <w:bCs/>
                <w:color w:val="000000" w:themeColor="text1"/>
                <w:sz w:val="21"/>
                <w:szCs w:val="21"/>
                <w:lang w:bidi="ar"/>
              </w:rPr>
              <w:t>序号</w:t>
            </w:r>
          </w:p>
        </w:tc>
        <w:tc>
          <w:tcPr>
            <w:tcW w:w="745" w:type="pct"/>
            <w:shd w:val="clear" w:color="auto" w:fill="auto"/>
            <w:tcMar>
              <w:top w:w="0" w:type="dxa"/>
              <w:left w:w="108" w:type="dxa"/>
              <w:bottom w:w="0" w:type="dxa"/>
              <w:right w:w="108" w:type="dxa"/>
            </w:tcMar>
            <w:vAlign w:val="center"/>
          </w:tcPr>
          <w:p w14:paraId="78E1C12B" w14:textId="77777777" w:rsidR="006416B0" w:rsidRPr="00B4515A" w:rsidRDefault="005E58C1" w:rsidP="005860B4">
            <w:pPr>
              <w:adjustRightInd w:val="0"/>
              <w:snapToGrid w:val="0"/>
              <w:jc w:val="center"/>
              <w:textAlignment w:val="center"/>
              <w:rPr>
                <w:rFonts w:ascii="Times New Roman" w:hAnsi="Times New Roman" w:cs="Times New Roman"/>
                <w:b/>
                <w:bCs/>
                <w:color w:val="000000" w:themeColor="text1"/>
                <w:sz w:val="21"/>
                <w:szCs w:val="21"/>
                <w:lang w:bidi="ar"/>
              </w:rPr>
            </w:pPr>
            <w:r w:rsidRPr="00B4515A">
              <w:rPr>
                <w:rFonts w:ascii="Times New Roman" w:hAnsi="Times New Roman" w:cs="Times New Roman" w:hint="eastAsia"/>
                <w:b/>
                <w:bCs/>
                <w:color w:val="000000" w:themeColor="text1"/>
                <w:sz w:val="21"/>
                <w:szCs w:val="21"/>
                <w:lang w:bidi="ar"/>
              </w:rPr>
              <w:t>位置</w:t>
            </w:r>
          </w:p>
        </w:tc>
        <w:tc>
          <w:tcPr>
            <w:tcW w:w="660" w:type="pct"/>
            <w:shd w:val="clear" w:color="auto" w:fill="auto"/>
            <w:tcMar>
              <w:top w:w="0" w:type="dxa"/>
              <w:left w:w="108" w:type="dxa"/>
              <w:bottom w:w="0" w:type="dxa"/>
              <w:right w:w="108" w:type="dxa"/>
            </w:tcMar>
            <w:vAlign w:val="center"/>
          </w:tcPr>
          <w:p w14:paraId="07BC878F" w14:textId="77777777" w:rsidR="006416B0" w:rsidRPr="00B4515A" w:rsidRDefault="005E58C1" w:rsidP="005860B4">
            <w:pPr>
              <w:adjustRightInd w:val="0"/>
              <w:snapToGrid w:val="0"/>
              <w:jc w:val="center"/>
              <w:textAlignment w:val="center"/>
              <w:rPr>
                <w:rFonts w:ascii="Times New Roman" w:hAnsi="Times New Roman" w:cs="Times New Roman"/>
                <w:b/>
                <w:bCs/>
                <w:color w:val="000000" w:themeColor="text1"/>
                <w:sz w:val="21"/>
                <w:szCs w:val="21"/>
                <w:lang w:bidi="ar"/>
              </w:rPr>
            </w:pPr>
            <w:r w:rsidRPr="00B4515A">
              <w:rPr>
                <w:rFonts w:ascii="Times New Roman" w:hAnsi="Times New Roman" w:cs="Times New Roman" w:hint="eastAsia"/>
                <w:b/>
                <w:bCs/>
                <w:color w:val="000000" w:themeColor="text1"/>
                <w:sz w:val="21"/>
                <w:szCs w:val="21"/>
                <w:lang w:bidi="ar"/>
              </w:rPr>
              <w:t>承租面积（</w:t>
            </w:r>
            <w:r w:rsidRPr="00B4515A">
              <w:rPr>
                <w:rFonts w:ascii="Times New Roman" w:hAnsi="Times New Roman" w:cs="Times New Roman"/>
                <w:b/>
                <w:bCs/>
                <w:color w:val="000000" w:themeColor="text1"/>
                <w:sz w:val="21"/>
                <w:szCs w:val="21"/>
                <w:lang w:bidi="ar"/>
              </w:rPr>
              <w:t>m²</w:t>
            </w:r>
            <w:r w:rsidRPr="00B4515A">
              <w:rPr>
                <w:rFonts w:ascii="Times New Roman" w:hAnsi="Times New Roman" w:cs="Times New Roman" w:hint="eastAsia"/>
                <w:b/>
                <w:bCs/>
                <w:color w:val="000000" w:themeColor="text1"/>
                <w:sz w:val="21"/>
                <w:szCs w:val="21"/>
                <w:lang w:bidi="ar"/>
              </w:rPr>
              <w:t>）</w:t>
            </w:r>
          </w:p>
        </w:tc>
        <w:tc>
          <w:tcPr>
            <w:tcW w:w="503" w:type="pct"/>
            <w:shd w:val="clear" w:color="auto" w:fill="auto"/>
            <w:tcMar>
              <w:top w:w="0" w:type="dxa"/>
              <w:left w:w="108" w:type="dxa"/>
              <w:bottom w:w="0" w:type="dxa"/>
              <w:right w:w="108" w:type="dxa"/>
            </w:tcMar>
            <w:vAlign w:val="center"/>
          </w:tcPr>
          <w:p w14:paraId="66A93304" w14:textId="77777777" w:rsidR="006416B0" w:rsidRPr="00B4515A" w:rsidRDefault="005E58C1" w:rsidP="005860B4">
            <w:pPr>
              <w:adjustRightInd w:val="0"/>
              <w:snapToGrid w:val="0"/>
              <w:jc w:val="center"/>
              <w:textAlignment w:val="center"/>
              <w:rPr>
                <w:rFonts w:ascii="Times New Roman" w:hAnsi="Times New Roman" w:cs="Times New Roman"/>
                <w:b/>
                <w:bCs/>
                <w:color w:val="000000" w:themeColor="text1"/>
                <w:sz w:val="21"/>
                <w:szCs w:val="21"/>
                <w:lang w:bidi="ar"/>
              </w:rPr>
            </w:pPr>
            <w:r w:rsidRPr="00B4515A">
              <w:rPr>
                <w:rFonts w:ascii="Times New Roman" w:hAnsi="Times New Roman" w:cs="Times New Roman" w:hint="eastAsia"/>
                <w:b/>
                <w:bCs/>
                <w:color w:val="000000" w:themeColor="text1"/>
                <w:sz w:val="21"/>
                <w:szCs w:val="21"/>
                <w:lang w:bidi="ar"/>
              </w:rPr>
              <w:t>出租方</w:t>
            </w:r>
          </w:p>
        </w:tc>
        <w:tc>
          <w:tcPr>
            <w:tcW w:w="457" w:type="pct"/>
            <w:shd w:val="clear" w:color="auto" w:fill="auto"/>
            <w:tcMar>
              <w:top w:w="0" w:type="dxa"/>
              <w:left w:w="108" w:type="dxa"/>
              <w:bottom w:w="0" w:type="dxa"/>
              <w:right w:w="108" w:type="dxa"/>
            </w:tcMar>
            <w:vAlign w:val="center"/>
          </w:tcPr>
          <w:p w14:paraId="041717E5" w14:textId="77777777" w:rsidR="006416B0" w:rsidRPr="00B4515A" w:rsidRDefault="005E58C1" w:rsidP="005860B4">
            <w:pPr>
              <w:adjustRightInd w:val="0"/>
              <w:snapToGrid w:val="0"/>
              <w:jc w:val="center"/>
              <w:textAlignment w:val="center"/>
              <w:rPr>
                <w:rFonts w:ascii="Times New Roman" w:hAnsi="Times New Roman" w:cs="Times New Roman"/>
                <w:b/>
                <w:bCs/>
                <w:color w:val="000000" w:themeColor="text1"/>
                <w:sz w:val="21"/>
                <w:szCs w:val="21"/>
                <w:lang w:bidi="ar"/>
              </w:rPr>
            </w:pPr>
            <w:r w:rsidRPr="00B4515A">
              <w:rPr>
                <w:rFonts w:ascii="Times New Roman" w:hAnsi="Times New Roman" w:cs="Times New Roman" w:hint="eastAsia"/>
                <w:b/>
                <w:bCs/>
                <w:color w:val="000000" w:themeColor="text1"/>
                <w:sz w:val="21"/>
                <w:szCs w:val="21"/>
                <w:lang w:bidi="ar"/>
              </w:rPr>
              <w:t>承租人</w:t>
            </w:r>
          </w:p>
        </w:tc>
        <w:tc>
          <w:tcPr>
            <w:tcW w:w="579" w:type="pct"/>
            <w:tcMar>
              <w:top w:w="0" w:type="dxa"/>
              <w:left w:w="108" w:type="dxa"/>
              <w:bottom w:w="0" w:type="dxa"/>
              <w:right w:w="108" w:type="dxa"/>
            </w:tcMar>
            <w:vAlign w:val="center"/>
          </w:tcPr>
          <w:p w14:paraId="04FC4DD7" w14:textId="77777777" w:rsidR="006416B0" w:rsidRPr="00B4515A" w:rsidRDefault="005E58C1" w:rsidP="005860B4">
            <w:pPr>
              <w:adjustRightInd w:val="0"/>
              <w:snapToGrid w:val="0"/>
              <w:jc w:val="center"/>
              <w:textAlignment w:val="center"/>
              <w:rPr>
                <w:rFonts w:ascii="Times New Roman" w:hAnsi="Times New Roman" w:cs="Times New Roman"/>
                <w:b/>
                <w:bCs/>
                <w:color w:val="000000" w:themeColor="text1"/>
                <w:sz w:val="21"/>
                <w:szCs w:val="21"/>
                <w:lang w:bidi="ar"/>
              </w:rPr>
            </w:pPr>
            <w:r w:rsidRPr="00B4515A">
              <w:rPr>
                <w:rFonts w:ascii="Times New Roman" w:hAnsi="Times New Roman" w:cs="Times New Roman" w:hint="eastAsia"/>
                <w:b/>
                <w:bCs/>
                <w:color w:val="000000" w:themeColor="text1"/>
                <w:sz w:val="21"/>
                <w:szCs w:val="21"/>
                <w:lang w:bidi="ar"/>
              </w:rPr>
              <w:t>对应不动产权证号</w:t>
            </w:r>
          </w:p>
        </w:tc>
        <w:tc>
          <w:tcPr>
            <w:tcW w:w="577" w:type="pct"/>
            <w:shd w:val="clear" w:color="auto" w:fill="auto"/>
            <w:tcMar>
              <w:top w:w="0" w:type="dxa"/>
              <w:left w:w="108" w:type="dxa"/>
              <w:bottom w:w="0" w:type="dxa"/>
              <w:right w:w="108" w:type="dxa"/>
            </w:tcMar>
            <w:vAlign w:val="center"/>
          </w:tcPr>
          <w:p w14:paraId="5E42D392" w14:textId="77777777" w:rsidR="006416B0" w:rsidRPr="00B4515A" w:rsidRDefault="005E58C1" w:rsidP="005860B4">
            <w:pPr>
              <w:adjustRightInd w:val="0"/>
              <w:snapToGrid w:val="0"/>
              <w:jc w:val="center"/>
              <w:textAlignment w:val="center"/>
              <w:rPr>
                <w:rFonts w:ascii="Times New Roman" w:hAnsi="Times New Roman" w:cs="Times New Roman"/>
                <w:b/>
                <w:bCs/>
                <w:color w:val="000000" w:themeColor="text1"/>
                <w:sz w:val="21"/>
                <w:szCs w:val="21"/>
                <w:lang w:bidi="ar"/>
              </w:rPr>
            </w:pPr>
            <w:r w:rsidRPr="00B4515A">
              <w:rPr>
                <w:rFonts w:ascii="Times New Roman" w:hAnsi="Times New Roman" w:cs="Times New Roman" w:hint="eastAsia"/>
                <w:b/>
                <w:bCs/>
                <w:color w:val="000000" w:themeColor="text1"/>
                <w:sz w:val="21"/>
                <w:szCs w:val="21"/>
                <w:lang w:bidi="ar"/>
              </w:rPr>
              <w:t>租赁期限</w:t>
            </w:r>
          </w:p>
        </w:tc>
        <w:tc>
          <w:tcPr>
            <w:tcW w:w="636" w:type="pct"/>
            <w:shd w:val="clear" w:color="auto" w:fill="auto"/>
            <w:tcMar>
              <w:top w:w="0" w:type="dxa"/>
              <w:left w:w="108" w:type="dxa"/>
              <w:bottom w:w="0" w:type="dxa"/>
              <w:right w:w="108" w:type="dxa"/>
            </w:tcMar>
            <w:vAlign w:val="center"/>
          </w:tcPr>
          <w:p w14:paraId="44BB7728" w14:textId="77777777" w:rsidR="006416B0" w:rsidRPr="00B4515A" w:rsidRDefault="005E58C1" w:rsidP="005860B4">
            <w:pPr>
              <w:adjustRightInd w:val="0"/>
              <w:snapToGrid w:val="0"/>
              <w:jc w:val="center"/>
              <w:textAlignment w:val="center"/>
              <w:rPr>
                <w:rFonts w:ascii="Times New Roman" w:hAnsi="Times New Roman" w:cs="Times New Roman"/>
                <w:b/>
                <w:bCs/>
                <w:color w:val="000000" w:themeColor="text1"/>
                <w:sz w:val="21"/>
                <w:szCs w:val="21"/>
                <w:lang w:bidi="ar"/>
              </w:rPr>
            </w:pPr>
            <w:r w:rsidRPr="00B4515A">
              <w:rPr>
                <w:rFonts w:ascii="Times New Roman" w:hAnsi="Times New Roman" w:cs="Times New Roman" w:hint="eastAsia"/>
                <w:b/>
                <w:bCs/>
                <w:color w:val="000000" w:themeColor="text1"/>
                <w:sz w:val="21"/>
                <w:szCs w:val="21"/>
                <w:lang w:bidi="ar"/>
              </w:rPr>
              <w:t>租金</w:t>
            </w:r>
          </w:p>
        </w:tc>
        <w:tc>
          <w:tcPr>
            <w:tcW w:w="520" w:type="pct"/>
            <w:shd w:val="clear" w:color="auto" w:fill="auto"/>
            <w:tcMar>
              <w:top w:w="0" w:type="dxa"/>
              <w:left w:w="108" w:type="dxa"/>
              <w:bottom w:w="0" w:type="dxa"/>
              <w:right w:w="108" w:type="dxa"/>
            </w:tcMar>
            <w:vAlign w:val="center"/>
          </w:tcPr>
          <w:p w14:paraId="66D721AE" w14:textId="77777777" w:rsidR="006416B0" w:rsidRPr="00B4515A" w:rsidRDefault="005E58C1" w:rsidP="005860B4">
            <w:pPr>
              <w:adjustRightInd w:val="0"/>
              <w:snapToGrid w:val="0"/>
              <w:jc w:val="center"/>
              <w:textAlignment w:val="center"/>
              <w:rPr>
                <w:rFonts w:ascii="Times New Roman" w:hAnsi="Times New Roman" w:cs="Times New Roman"/>
                <w:b/>
                <w:bCs/>
                <w:color w:val="000000" w:themeColor="text1"/>
                <w:sz w:val="21"/>
                <w:szCs w:val="21"/>
                <w:lang w:bidi="ar"/>
              </w:rPr>
            </w:pPr>
            <w:r w:rsidRPr="00B4515A">
              <w:rPr>
                <w:rFonts w:ascii="Times New Roman" w:hAnsi="Times New Roman" w:cs="Times New Roman" w:hint="eastAsia"/>
                <w:b/>
                <w:bCs/>
                <w:color w:val="000000" w:themeColor="text1"/>
                <w:sz w:val="21"/>
                <w:szCs w:val="21"/>
                <w:lang w:bidi="ar"/>
              </w:rPr>
              <w:t>用途</w:t>
            </w:r>
          </w:p>
        </w:tc>
      </w:tr>
      <w:bookmarkEnd w:id="167"/>
      <w:tr w:rsidR="001C2353" w:rsidRPr="00B4515A" w14:paraId="4837D59A" w14:textId="77777777" w:rsidTr="005860B4">
        <w:trPr>
          <w:trHeight w:val="340"/>
          <w:jc w:val="center"/>
        </w:trPr>
        <w:tc>
          <w:tcPr>
            <w:tcW w:w="323" w:type="pct"/>
            <w:shd w:val="clear" w:color="auto" w:fill="auto"/>
            <w:tcMar>
              <w:top w:w="0" w:type="dxa"/>
              <w:left w:w="108" w:type="dxa"/>
              <w:bottom w:w="0" w:type="dxa"/>
              <w:right w:w="108" w:type="dxa"/>
            </w:tcMar>
            <w:vAlign w:val="center"/>
          </w:tcPr>
          <w:p w14:paraId="7369E694"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1</w:t>
            </w:r>
          </w:p>
        </w:tc>
        <w:tc>
          <w:tcPr>
            <w:tcW w:w="745" w:type="pct"/>
            <w:shd w:val="clear" w:color="auto" w:fill="FFFFFF"/>
            <w:tcMar>
              <w:top w:w="0" w:type="dxa"/>
              <w:left w:w="108" w:type="dxa"/>
              <w:bottom w:w="0" w:type="dxa"/>
              <w:right w:w="108" w:type="dxa"/>
            </w:tcMar>
            <w:vAlign w:val="center"/>
          </w:tcPr>
          <w:p w14:paraId="40BFAB2F"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陕西省西安市雁塔区雁塔西路</w:t>
            </w:r>
            <w:r w:rsidRPr="00B4515A">
              <w:rPr>
                <w:rFonts w:ascii="Times New Roman" w:hAnsi="Times New Roman" w:cs="Times New Roman"/>
                <w:color w:val="000000" w:themeColor="text1"/>
                <w:sz w:val="21"/>
                <w:szCs w:val="21"/>
                <w:lang w:bidi="ar"/>
              </w:rPr>
              <w:t>6</w:t>
            </w:r>
            <w:r w:rsidRPr="00B4515A">
              <w:rPr>
                <w:rFonts w:ascii="Times New Roman" w:hAnsi="Times New Roman" w:cs="Times New Roman"/>
                <w:color w:val="000000" w:themeColor="text1"/>
                <w:sz w:val="21"/>
                <w:szCs w:val="21"/>
                <w:lang w:bidi="ar"/>
              </w:rPr>
              <w:t>号电信科学技术第十研究</w:t>
            </w:r>
            <w:r w:rsidRPr="00B4515A">
              <w:rPr>
                <w:rFonts w:ascii="Times New Roman" w:hAnsi="Times New Roman" w:cs="Times New Roman"/>
                <w:color w:val="000000" w:themeColor="text1"/>
                <w:sz w:val="21"/>
                <w:szCs w:val="21"/>
                <w:lang w:bidi="ar"/>
              </w:rPr>
              <w:lastRenderedPageBreak/>
              <w:t>所有限公司研发中心楼</w:t>
            </w:r>
            <w:r w:rsidRPr="00B4515A">
              <w:rPr>
                <w:rFonts w:ascii="Times New Roman" w:hAnsi="Times New Roman" w:cs="Times New Roman"/>
                <w:color w:val="000000" w:themeColor="text1"/>
                <w:sz w:val="21"/>
                <w:szCs w:val="21"/>
                <w:lang w:bidi="ar"/>
              </w:rPr>
              <w:t>B</w:t>
            </w:r>
            <w:r w:rsidRPr="00B4515A">
              <w:rPr>
                <w:rFonts w:ascii="Times New Roman" w:hAnsi="Times New Roman" w:cs="Times New Roman"/>
                <w:color w:val="000000" w:themeColor="text1"/>
                <w:sz w:val="21"/>
                <w:szCs w:val="21"/>
                <w:lang w:bidi="ar"/>
              </w:rPr>
              <w:t>座</w:t>
            </w:r>
            <w:r w:rsidRPr="00B4515A">
              <w:rPr>
                <w:rFonts w:ascii="Times New Roman" w:hAnsi="Times New Roman" w:cs="Times New Roman"/>
                <w:color w:val="000000" w:themeColor="text1"/>
                <w:sz w:val="21"/>
                <w:szCs w:val="21"/>
                <w:lang w:bidi="ar"/>
              </w:rPr>
              <w:t>18-20</w:t>
            </w:r>
            <w:r w:rsidRPr="00B4515A">
              <w:rPr>
                <w:rFonts w:ascii="Times New Roman" w:hAnsi="Times New Roman" w:cs="Times New Roman"/>
                <w:color w:val="000000" w:themeColor="text1"/>
                <w:sz w:val="21"/>
                <w:szCs w:val="21"/>
                <w:lang w:bidi="ar"/>
              </w:rPr>
              <w:t>层</w:t>
            </w:r>
          </w:p>
        </w:tc>
        <w:tc>
          <w:tcPr>
            <w:tcW w:w="660" w:type="pct"/>
            <w:shd w:val="clear" w:color="auto" w:fill="FFFFFF"/>
            <w:tcMar>
              <w:top w:w="0" w:type="dxa"/>
              <w:left w:w="108" w:type="dxa"/>
              <w:bottom w:w="0" w:type="dxa"/>
              <w:right w:w="108" w:type="dxa"/>
            </w:tcMar>
            <w:vAlign w:val="center"/>
          </w:tcPr>
          <w:p w14:paraId="141707D0"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lastRenderedPageBreak/>
              <w:t>4,426.56</w:t>
            </w:r>
          </w:p>
        </w:tc>
        <w:tc>
          <w:tcPr>
            <w:tcW w:w="503" w:type="pct"/>
            <w:shd w:val="clear" w:color="auto" w:fill="FFFFFF"/>
            <w:tcMar>
              <w:top w:w="0" w:type="dxa"/>
              <w:left w:w="108" w:type="dxa"/>
              <w:bottom w:w="0" w:type="dxa"/>
              <w:right w:w="108" w:type="dxa"/>
            </w:tcMar>
            <w:vAlign w:val="center"/>
          </w:tcPr>
          <w:p w14:paraId="529372F4"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电信十所</w:t>
            </w:r>
          </w:p>
        </w:tc>
        <w:tc>
          <w:tcPr>
            <w:tcW w:w="457" w:type="pct"/>
            <w:shd w:val="clear" w:color="auto" w:fill="FFFFFF"/>
            <w:tcMar>
              <w:top w:w="0" w:type="dxa"/>
              <w:left w:w="108" w:type="dxa"/>
              <w:bottom w:w="0" w:type="dxa"/>
              <w:right w:w="108" w:type="dxa"/>
            </w:tcMar>
            <w:vAlign w:val="center"/>
          </w:tcPr>
          <w:p w14:paraId="7DADE3E9"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大唐联诚</w:t>
            </w:r>
          </w:p>
        </w:tc>
        <w:tc>
          <w:tcPr>
            <w:tcW w:w="579" w:type="pct"/>
            <w:shd w:val="clear" w:color="auto" w:fill="FFFFFF"/>
            <w:tcMar>
              <w:top w:w="0" w:type="dxa"/>
              <w:left w:w="108" w:type="dxa"/>
              <w:bottom w:w="0" w:type="dxa"/>
              <w:right w:w="108" w:type="dxa"/>
            </w:tcMar>
            <w:vAlign w:val="center"/>
          </w:tcPr>
          <w:p w14:paraId="130D69B8"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办理中</w:t>
            </w:r>
          </w:p>
        </w:tc>
        <w:tc>
          <w:tcPr>
            <w:tcW w:w="577" w:type="pct"/>
            <w:shd w:val="clear" w:color="auto" w:fill="FFFFFF"/>
            <w:tcMar>
              <w:top w:w="0" w:type="dxa"/>
              <w:left w:w="108" w:type="dxa"/>
              <w:bottom w:w="0" w:type="dxa"/>
              <w:right w:w="108" w:type="dxa"/>
            </w:tcMar>
            <w:vAlign w:val="center"/>
          </w:tcPr>
          <w:p w14:paraId="049D65EE"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2018.7.1-2028.6.30</w:t>
            </w:r>
          </w:p>
        </w:tc>
        <w:tc>
          <w:tcPr>
            <w:tcW w:w="636" w:type="pct"/>
            <w:shd w:val="clear" w:color="auto" w:fill="FFFFFF"/>
            <w:tcMar>
              <w:top w:w="0" w:type="dxa"/>
              <w:left w:w="108" w:type="dxa"/>
              <w:bottom w:w="0" w:type="dxa"/>
              <w:right w:w="108" w:type="dxa"/>
            </w:tcMar>
            <w:vAlign w:val="center"/>
          </w:tcPr>
          <w:p w14:paraId="255C03C6" w14:textId="2DB991D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199,195.2</w:t>
            </w:r>
            <w:r w:rsidR="008C1223" w:rsidRPr="00B4515A">
              <w:rPr>
                <w:rFonts w:ascii="Times New Roman" w:hAnsi="Times New Roman" w:cs="Times New Roman"/>
                <w:color w:val="000000" w:themeColor="text1"/>
                <w:sz w:val="21"/>
                <w:szCs w:val="21"/>
                <w:lang w:bidi="ar"/>
              </w:rPr>
              <w:t>0</w:t>
            </w:r>
            <w:r w:rsidRPr="00B4515A">
              <w:rPr>
                <w:rFonts w:ascii="Times New Roman" w:hAnsi="Times New Roman" w:cs="Times New Roman" w:hint="eastAsia"/>
                <w:color w:val="000000" w:themeColor="text1"/>
                <w:sz w:val="21"/>
                <w:szCs w:val="21"/>
                <w:lang w:bidi="ar"/>
              </w:rPr>
              <w:t>元</w:t>
            </w:r>
            <w:r w:rsidRPr="00B4515A">
              <w:rPr>
                <w:rFonts w:ascii="Times New Roman" w:hAnsi="Times New Roman" w:cs="Times New Roman"/>
                <w:color w:val="000000" w:themeColor="text1"/>
                <w:sz w:val="21"/>
                <w:szCs w:val="21"/>
                <w:lang w:bidi="ar"/>
              </w:rPr>
              <w:t>/</w:t>
            </w:r>
            <w:r w:rsidRPr="00B4515A">
              <w:rPr>
                <w:rFonts w:ascii="Times New Roman" w:hAnsi="Times New Roman" w:cs="Times New Roman" w:hint="eastAsia"/>
                <w:color w:val="000000" w:themeColor="text1"/>
                <w:sz w:val="21"/>
                <w:szCs w:val="21"/>
                <w:lang w:bidi="ar"/>
              </w:rPr>
              <w:t>月</w:t>
            </w:r>
          </w:p>
        </w:tc>
        <w:tc>
          <w:tcPr>
            <w:tcW w:w="520" w:type="pct"/>
            <w:shd w:val="clear" w:color="auto" w:fill="FFFFFF"/>
            <w:tcMar>
              <w:top w:w="0" w:type="dxa"/>
              <w:left w:w="108" w:type="dxa"/>
              <w:bottom w:w="0" w:type="dxa"/>
              <w:right w:w="108" w:type="dxa"/>
            </w:tcMar>
            <w:vAlign w:val="center"/>
          </w:tcPr>
          <w:p w14:paraId="56099221"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办公、研发、轻便型生产</w:t>
            </w:r>
          </w:p>
        </w:tc>
      </w:tr>
      <w:tr w:rsidR="001C2353" w:rsidRPr="00B4515A" w14:paraId="7AAA8D21" w14:textId="77777777" w:rsidTr="005860B4">
        <w:trPr>
          <w:trHeight w:val="340"/>
          <w:jc w:val="center"/>
        </w:trPr>
        <w:tc>
          <w:tcPr>
            <w:tcW w:w="323" w:type="pct"/>
            <w:shd w:val="clear" w:color="auto" w:fill="auto"/>
            <w:tcMar>
              <w:top w:w="0" w:type="dxa"/>
              <w:left w:w="108" w:type="dxa"/>
              <w:bottom w:w="0" w:type="dxa"/>
              <w:right w:w="108" w:type="dxa"/>
            </w:tcMar>
            <w:vAlign w:val="center"/>
          </w:tcPr>
          <w:p w14:paraId="210A5814"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lastRenderedPageBreak/>
              <w:t>2</w:t>
            </w:r>
          </w:p>
        </w:tc>
        <w:tc>
          <w:tcPr>
            <w:tcW w:w="745" w:type="pct"/>
            <w:shd w:val="clear" w:color="auto" w:fill="FFFFFF"/>
            <w:tcMar>
              <w:top w:w="0" w:type="dxa"/>
              <w:left w:w="108" w:type="dxa"/>
              <w:bottom w:w="0" w:type="dxa"/>
              <w:right w:w="108" w:type="dxa"/>
            </w:tcMar>
            <w:vAlign w:val="center"/>
          </w:tcPr>
          <w:p w14:paraId="24E1B6A8"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陕西省西安市雁塔区雁塔西路</w:t>
            </w:r>
            <w:r w:rsidRPr="00B4515A">
              <w:rPr>
                <w:rFonts w:ascii="Times New Roman" w:hAnsi="Times New Roman" w:cs="Times New Roman"/>
                <w:color w:val="000000" w:themeColor="text1"/>
                <w:sz w:val="21"/>
                <w:szCs w:val="21"/>
                <w:lang w:bidi="ar"/>
              </w:rPr>
              <w:t>6</w:t>
            </w:r>
            <w:r w:rsidRPr="00B4515A">
              <w:rPr>
                <w:rFonts w:ascii="Times New Roman" w:hAnsi="Times New Roman" w:cs="Times New Roman"/>
                <w:color w:val="000000" w:themeColor="text1"/>
                <w:sz w:val="21"/>
                <w:szCs w:val="21"/>
                <w:lang w:bidi="ar"/>
              </w:rPr>
              <w:t>号</w:t>
            </w:r>
            <w:r w:rsidRPr="00B4515A">
              <w:rPr>
                <w:rFonts w:ascii="Times New Roman" w:hAnsi="Times New Roman" w:cs="Times New Roman" w:hint="eastAsia"/>
                <w:color w:val="000000"/>
                <w:sz w:val="21"/>
                <w:szCs w:val="21"/>
                <w:lang w:bidi="ar"/>
              </w:rPr>
              <w:t>电信十所研发中心楼</w:t>
            </w:r>
            <w:r w:rsidRPr="00B4515A">
              <w:rPr>
                <w:rFonts w:ascii="Times New Roman" w:hAnsi="Times New Roman" w:cs="Times New Roman"/>
                <w:color w:val="000000"/>
                <w:sz w:val="21"/>
                <w:szCs w:val="21"/>
                <w:lang w:bidi="ar"/>
              </w:rPr>
              <w:t>B</w:t>
            </w:r>
            <w:r w:rsidRPr="00B4515A">
              <w:rPr>
                <w:rFonts w:ascii="Times New Roman" w:hAnsi="Times New Roman" w:cs="Times New Roman" w:hint="eastAsia"/>
                <w:color w:val="000000"/>
                <w:sz w:val="21"/>
                <w:szCs w:val="21"/>
                <w:lang w:bidi="ar"/>
              </w:rPr>
              <w:t>座</w:t>
            </w:r>
            <w:r w:rsidRPr="00B4515A">
              <w:rPr>
                <w:rFonts w:ascii="Times New Roman" w:hAnsi="Times New Roman" w:cs="Times New Roman"/>
                <w:color w:val="000000"/>
                <w:sz w:val="21"/>
                <w:szCs w:val="21"/>
                <w:lang w:bidi="ar"/>
              </w:rPr>
              <w:t>9</w:t>
            </w:r>
            <w:r w:rsidRPr="00B4515A">
              <w:rPr>
                <w:rFonts w:ascii="Times New Roman" w:hAnsi="Times New Roman" w:cs="Times New Roman" w:hint="eastAsia"/>
                <w:color w:val="000000"/>
                <w:sz w:val="21"/>
                <w:szCs w:val="21"/>
                <w:lang w:bidi="ar"/>
              </w:rPr>
              <w:t>层</w:t>
            </w:r>
          </w:p>
        </w:tc>
        <w:tc>
          <w:tcPr>
            <w:tcW w:w="660" w:type="pct"/>
            <w:shd w:val="clear" w:color="auto" w:fill="FFFFFF"/>
            <w:tcMar>
              <w:top w:w="0" w:type="dxa"/>
              <w:left w:w="108" w:type="dxa"/>
              <w:bottom w:w="0" w:type="dxa"/>
              <w:right w:w="108" w:type="dxa"/>
            </w:tcMar>
            <w:vAlign w:val="center"/>
          </w:tcPr>
          <w:p w14:paraId="02291823"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1,475.52</w:t>
            </w:r>
          </w:p>
        </w:tc>
        <w:tc>
          <w:tcPr>
            <w:tcW w:w="503" w:type="pct"/>
            <w:shd w:val="clear" w:color="auto" w:fill="FFFFFF"/>
            <w:tcMar>
              <w:top w:w="0" w:type="dxa"/>
              <w:left w:w="108" w:type="dxa"/>
              <w:bottom w:w="0" w:type="dxa"/>
              <w:right w:w="108" w:type="dxa"/>
            </w:tcMar>
            <w:vAlign w:val="center"/>
          </w:tcPr>
          <w:p w14:paraId="7D8FA6AA"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电信十所</w:t>
            </w:r>
          </w:p>
        </w:tc>
        <w:tc>
          <w:tcPr>
            <w:tcW w:w="457" w:type="pct"/>
            <w:shd w:val="clear" w:color="auto" w:fill="FFFFFF"/>
            <w:tcMar>
              <w:top w:w="0" w:type="dxa"/>
              <w:left w:w="108" w:type="dxa"/>
              <w:bottom w:w="0" w:type="dxa"/>
              <w:right w:w="108" w:type="dxa"/>
            </w:tcMar>
            <w:vAlign w:val="center"/>
          </w:tcPr>
          <w:p w14:paraId="0AF9D18F"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大唐联诚</w:t>
            </w:r>
          </w:p>
        </w:tc>
        <w:tc>
          <w:tcPr>
            <w:tcW w:w="579" w:type="pct"/>
            <w:shd w:val="clear" w:color="auto" w:fill="FFFFFF"/>
            <w:tcMar>
              <w:top w:w="0" w:type="dxa"/>
              <w:left w:w="108" w:type="dxa"/>
              <w:bottom w:w="0" w:type="dxa"/>
              <w:right w:w="108" w:type="dxa"/>
            </w:tcMar>
            <w:vAlign w:val="center"/>
          </w:tcPr>
          <w:p w14:paraId="2CE9007D"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办理中</w:t>
            </w:r>
          </w:p>
        </w:tc>
        <w:tc>
          <w:tcPr>
            <w:tcW w:w="577" w:type="pct"/>
            <w:shd w:val="clear" w:color="auto" w:fill="FFFFFF"/>
            <w:tcMar>
              <w:top w:w="0" w:type="dxa"/>
              <w:left w:w="108" w:type="dxa"/>
              <w:bottom w:w="0" w:type="dxa"/>
              <w:right w:w="108" w:type="dxa"/>
            </w:tcMar>
            <w:vAlign w:val="center"/>
          </w:tcPr>
          <w:p w14:paraId="01C49554"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2021.2.1-2031.1.31</w:t>
            </w:r>
          </w:p>
        </w:tc>
        <w:tc>
          <w:tcPr>
            <w:tcW w:w="636" w:type="pct"/>
            <w:shd w:val="clear" w:color="auto" w:fill="FFFFFF"/>
            <w:tcMar>
              <w:top w:w="0" w:type="dxa"/>
              <w:left w:w="108" w:type="dxa"/>
              <w:bottom w:w="0" w:type="dxa"/>
              <w:right w:w="108" w:type="dxa"/>
            </w:tcMar>
            <w:vAlign w:val="center"/>
          </w:tcPr>
          <w:p w14:paraId="6DA169CA" w14:textId="4A943AD9"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sz w:val="21"/>
                <w:szCs w:val="21"/>
                <w:lang w:bidi="ar"/>
              </w:rPr>
              <w:t>66,398.4</w:t>
            </w:r>
            <w:r w:rsidR="008C1223" w:rsidRPr="00B4515A">
              <w:rPr>
                <w:rFonts w:ascii="Times New Roman" w:hAnsi="Times New Roman" w:cs="Times New Roman"/>
                <w:color w:val="000000"/>
                <w:sz w:val="21"/>
                <w:szCs w:val="21"/>
                <w:lang w:bidi="ar"/>
              </w:rPr>
              <w:t>0</w:t>
            </w:r>
            <w:r w:rsidRPr="00B4515A">
              <w:rPr>
                <w:rFonts w:ascii="Times New Roman" w:hAnsi="Times New Roman" w:cs="Times New Roman" w:hint="eastAsia"/>
                <w:color w:val="000000"/>
                <w:sz w:val="21"/>
                <w:szCs w:val="21"/>
                <w:lang w:bidi="ar"/>
              </w:rPr>
              <w:t>元</w:t>
            </w:r>
            <w:r w:rsidRPr="00B4515A">
              <w:rPr>
                <w:rFonts w:ascii="Times New Roman" w:hAnsi="Times New Roman" w:cs="Times New Roman"/>
                <w:color w:val="000000"/>
                <w:sz w:val="21"/>
                <w:szCs w:val="21"/>
                <w:lang w:bidi="ar"/>
              </w:rPr>
              <w:t>/</w:t>
            </w:r>
            <w:r w:rsidRPr="00B4515A">
              <w:rPr>
                <w:rFonts w:ascii="Times New Roman" w:hAnsi="Times New Roman" w:cs="Times New Roman" w:hint="eastAsia"/>
                <w:color w:val="000000"/>
                <w:sz w:val="21"/>
                <w:szCs w:val="21"/>
                <w:lang w:bidi="ar"/>
              </w:rPr>
              <w:t>月</w:t>
            </w:r>
          </w:p>
        </w:tc>
        <w:tc>
          <w:tcPr>
            <w:tcW w:w="520" w:type="pct"/>
            <w:shd w:val="clear" w:color="auto" w:fill="FFFFFF"/>
            <w:tcMar>
              <w:top w:w="0" w:type="dxa"/>
              <w:left w:w="108" w:type="dxa"/>
              <w:bottom w:w="0" w:type="dxa"/>
              <w:right w:w="108" w:type="dxa"/>
            </w:tcMar>
            <w:vAlign w:val="center"/>
          </w:tcPr>
          <w:p w14:paraId="64646604"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办公、研发、轻便型生产</w:t>
            </w:r>
          </w:p>
        </w:tc>
      </w:tr>
      <w:tr w:rsidR="001C2353" w:rsidRPr="00B4515A" w14:paraId="63951F7D" w14:textId="77777777" w:rsidTr="005860B4">
        <w:trPr>
          <w:trHeight w:val="340"/>
          <w:jc w:val="center"/>
        </w:trPr>
        <w:tc>
          <w:tcPr>
            <w:tcW w:w="323" w:type="pct"/>
            <w:shd w:val="clear" w:color="auto" w:fill="auto"/>
            <w:tcMar>
              <w:top w:w="0" w:type="dxa"/>
              <w:left w:w="108" w:type="dxa"/>
              <w:bottom w:w="0" w:type="dxa"/>
              <w:right w:w="108" w:type="dxa"/>
            </w:tcMar>
            <w:vAlign w:val="center"/>
          </w:tcPr>
          <w:p w14:paraId="7BF5177B"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3</w:t>
            </w:r>
          </w:p>
        </w:tc>
        <w:tc>
          <w:tcPr>
            <w:tcW w:w="745" w:type="pct"/>
            <w:shd w:val="clear" w:color="auto" w:fill="FFFFFF"/>
            <w:tcMar>
              <w:top w:w="0" w:type="dxa"/>
              <w:left w:w="108" w:type="dxa"/>
              <w:bottom w:w="0" w:type="dxa"/>
              <w:right w:w="108" w:type="dxa"/>
            </w:tcMar>
            <w:vAlign w:val="center"/>
          </w:tcPr>
          <w:p w14:paraId="0492CA7D"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陕西省西安市雁塔区翠华南路</w:t>
            </w:r>
            <w:r w:rsidRPr="00B4515A">
              <w:rPr>
                <w:rFonts w:ascii="Times New Roman" w:hAnsi="Times New Roman" w:cs="Times New Roman"/>
                <w:color w:val="000000" w:themeColor="text1"/>
                <w:sz w:val="21"/>
                <w:szCs w:val="21"/>
                <w:lang w:bidi="ar"/>
              </w:rPr>
              <w:t>275</w:t>
            </w:r>
            <w:r w:rsidRPr="00B4515A">
              <w:rPr>
                <w:rFonts w:ascii="Times New Roman" w:hAnsi="Times New Roman" w:cs="Times New Roman"/>
                <w:color w:val="000000" w:themeColor="text1"/>
                <w:sz w:val="21"/>
                <w:szCs w:val="21"/>
                <w:lang w:bidi="ar"/>
              </w:rPr>
              <w:t>号</w:t>
            </w:r>
          </w:p>
        </w:tc>
        <w:tc>
          <w:tcPr>
            <w:tcW w:w="660" w:type="pct"/>
            <w:shd w:val="clear" w:color="auto" w:fill="FFFFFF"/>
            <w:tcMar>
              <w:top w:w="0" w:type="dxa"/>
              <w:left w:w="108" w:type="dxa"/>
              <w:bottom w:w="0" w:type="dxa"/>
              <w:right w:w="108" w:type="dxa"/>
            </w:tcMar>
            <w:vAlign w:val="center"/>
          </w:tcPr>
          <w:p w14:paraId="0E6EDA2E" w14:textId="2001D324"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235</w:t>
            </w:r>
            <w:r w:rsidR="008C1223" w:rsidRPr="00B4515A">
              <w:rPr>
                <w:rFonts w:ascii="Times New Roman" w:hAnsi="Times New Roman" w:cs="Times New Roman"/>
                <w:color w:val="000000" w:themeColor="text1"/>
                <w:sz w:val="21"/>
                <w:szCs w:val="21"/>
                <w:lang w:bidi="ar"/>
              </w:rPr>
              <w:t>.00</w:t>
            </w:r>
          </w:p>
        </w:tc>
        <w:tc>
          <w:tcPr>
            <w:tcW w:w="503" w:type="pct"/>
            <w:shd w:val="clear" w:color="auto" w:fill="FFFFFF"/>
            <w:tcMar>
              <w:top w:w="0" w:type="dxa"/>
              <w:left w:w="108" w:type="dxa"/>
              <w:bottom w:w="0" w:type="dxa"/>
              <w:right w:w="108" w:type="dxa"/>
            </w:tcMar>
            <w:vAlign w:val="center"/>
          </w:tcPr>
          <w:p w14:paraId="4DB4D61A"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电信科学技术第四研究所有限公司</w:t>
            </w:r>
          </w:p>
        </w:tc>
        <w:tc>
          <w:tcPr>
            <w:tcW w:w="457" w:type="pct"/>
            <w:shd w:val="clear" w:color="auto" w:fill="FFFFFF"/>
            <w:tcMar>
              <w:top w:w="0" w:type="dxa"/>
              <w:left w:w="108" w:type="dxa"/>
              <w:bottom w:w="0" w:type="dxa"/>
              <w:right w:w="108" w:type="dxa"/>
            </w:tcMar>
            <w:vAlign w:val="center"/>
          </w:tcPr>
          <w:p w14:paraId="2D86708C"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大唐联诚</w:t>
            </w:r>
          </w:p>
        </w:tc>
        <w:tc>
          <w:tcPr>
            <w:tcW w:w="579" w:type="pct"/>
            <w:shd w:val="clear" w:color="auto" w:fill="FFFFFF"/>
            <w:tcMar>
              <w:top w:w="0" w:type="dxa"/>
              <w:left w:w="108" w:type="dxa"/>
              <w:bottom w:w="0" w:type="dxa"/>
              <w:right w:w="108" w:type="dxa"/>
            </w:tcMar>
            <w:vAlign w:val="center"/>
          </w:tcPr>
          <w:p w14:paraId="1998812E"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西安市房权证雁塔区字第</w:t>
            </w:r>
            <w:r w:rsidRPr="00B4515A">
              <w:rPr>
                <w:rFonts w:ascii="Times New Roman" w:hAnsi="Times New Roman" w:cs="Times New Roman"/>
                <w:color w:val="000000" w:themeColor="text1"/>
                <w:sz w:val="21"/>
                <w:szCs w:val="21"/>
                <w:lang w:bidi="ar"/>
              </w:rPr>
              <w:t>1125104007-2-44</w:t>
            </w:r>
            <w:r w:rsidRPr="00B4515A">
              <w:rPr>
                <w:rFonts w:ascii="Times New Roman" w:hAnsi="Times New Roman" w:cs="Times New Roman" w:hint="eastAsia"/>
                <w:color w:val="000000" w:themeColor="text1"/>
                <w:sz w:val="21"/>
                <w:szCs w:val="21"/>
                <w:lang w:bidi="ar"/>
              </w:rPr>
              <w:t>号</w:t>
            </w:r>
          </w:p>
        </w:tc>
        <w:tc>
          <w:tcPr>
            <w:tcW w:w="577" w:type="pct"/>
            <w:shd w:val="clear" w:color="auto" w:fill="FFFFFF"/>
            <w:tcMar>
              <w:top w:w="0" w:type="dxa"/>
              <w:left w:w="108" w:type="dxa"/>
              <w:bottom w:w="0" w:type="dxa"/>
              <w:right w:w="108" w:type="dxa"/>
            </w:tcMar>
            <w:vAlign w:val="center"/>
          </w:tcPr>
          <w:p w14:paraId="0AA07EC8"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2019.2.15-2025.2.14</w:t>
            </w:r>
          </w:p>
        </w:tc>
        <w:tc>
          <w:tcPr>
            <w:tcW w:w="636" w:type="pct"/>
            <w:shd w:val="clear" w:color="auto" w:fill="FFFFFF"/>
            <w:tcMar>
              <w:top w:w="0" w:type="dxa"/>
              <w:left w:w="108" w:type="dxa"/>
              <w:bottom w:w="0" w:type="dxa"/>
              <w:right w:w="108" w:type="dxa"/>
            </w:tcMar>
            <w:vAlign w:val="center"/>
          </w:tcPr>
          <w:p w14:paraId="4A2C738E" w14:textId="56704FB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前三年</w:t>
            </w:r>
            <w:r w:rsidRPr="00B4515A">
              <w:rPr>
                <w:rFonts w:ascii="Times New Roman" w:hAnsi="Times New Roman" w:cs="Times New Roman"/>
                <w:color w:val="000000" w:themeColor="text1"/>
                <w:sz w:val="21"/>
                <w:szCs w:val="21"/>
                <w:lang w:bidi="ar"/>
              </w:rPr>
              <w:t>177</w:t>
            </w:r>
            <w:r w:rsidR="008C1223" w:rsidRPr="00B4515A">
              <w:rPr>
                <w:rFonts w:ascii="Times New Roman" w:hAnsi="Times New Roman" w:cs="Times New Roman"/>
                <w:color w:val="000000" w:themeColor="text1"/>
                <w:sz w:val="21"/>
                <w:szCs w:val="21"/>
                <w:lang w:bidi="ar"/>
              </w:rPr>
              <w:t>,</w:t>
            </w:r>
            <w:r w:rsidRPr="00B4515A">
              <w:rPr>
                <w:rFonts w:ascii="Times New Roman" w:hAnsi="Times New Roman" w:cs="Times New Roman"/>
                <w:color w:val="000000" w:themeColor="text1"/>
                <w:sz w:val="21"/>
                <w:szCs w:val="21"/>
                <w:lang w:bidi="ar"/>
              </w:rPr>
              <w:t>660</w:t>
            </w:r>
            <w:r w:rsidR="008C1223" w:rsidRPr="00B4515A">
              <w:rPr>
                <w:rFonts w:ascii="Times New Roman" w:hAnsi="Times New Roman" w:cs="Times New Roman"/>
                <w:color w:val="000000" w:themeColor="text1"/>
                <w:sz w:val="21"/>
                <w:szCs w:val="21"/>
                <w:lang w:bidi="ar"/>
              </w:rPr>
              <w:t>.00</w:t>
            </w:r>
            <w:r w:rsidRPr="00B4515A">
              <w:rPr>
                <w:rFonts w:ascii="Times New Roman" w:hAnsi="Times New Roman" w:cs="Times New Roman" w:hint="eastAsia"/>
                <w:color w:val="000000" w:themeColor="text1"/>
                <w:sz w:val="21"/>
                <w:szCs w:val="21"/>
                <w:lang w:bidi="ar"/>
              </w:rPr>
              <w:t>元</w:t>
            </w:r>
            <w:r w:rsidRPr="00B4515A">
              <w:rPr>
                <w:rFonts w:ascii="Times New Roman" w:hAnsi="Times New Roman" w:cs="Times New Roman"/>
                <w:color w:val="000000" w:themeColor="text1"/>
                <w:sz w:val="21"/>
                <w:szCs w:val="21"/>
                <w:lang w:bidi="ar"/>
              </w:rPr>
              <w:t>/</w:t>
            </w:r>
            <w:r w:rsidRPr="00B4515A">
              <w:rPr>
                <w:rFonts w:ascii="Times New Roman" w:hAnsi="Times New Roman" w:cs="Times New Roman" w:hint="eastAsia"/>
                <w:color w:val="000000" w:themeColor="text1"/>
                <w:sz w:val="21"/>
                <w:szCs w:val="21"/>
                <w:lang w:bidi="ar"/>
              </w:rPr>
              <w:t>年；后三年</w:t>
            </w:r>
            <w:r w:rsidRPr="00B4515A">
              <w:rPr>
                <w:rFonts w:ascii="Times New Roman" w:hAnsi="Times New Roman" w:cs="Times New Roman"/>
                <w:color w:val="000000" w:themeColor="text1"/>
                <w:sz w:val="21"/>
                <w:szCs w:val="21"/>
                <w:lang w:bidi="ar"/>
              </w:rPr>
              <w:t>185</w:t>
            </w:r>
            <w:r w:rsidR="008C1223" w:rsidRPr="00B4515A">
              <w:rPr>
                <w:rFonts w:ascii="Times New Roman" w:hAnsi="Times New Roman" w:cs="Times New Roman"/>
                <w:color w:val="000000" w:themeColor="text1"/>
                <w:sz w:val="21"/>
                <w:szCs w:val="21"/>
                <w:lang w:bidi="ar"/>
              </w:rPr>
              <w:t>,</w:t>
            </w:r>
            <w:r w:rsidRPr="00B4515A">
              <w:rPr>
                <w:rFonts w:ascii="Times New Roman" w:hAnsi="Times New Roman" w:cs="Times New Roman"/>
                <w:color w:val="000000" w:themeColor="text1"/>
                <w:sz w:val="21"/>
                <w:szCs w:val="21"/>
                <w:lang w:bidi="ar"/>
              </w:rPr>
              <w:t>838</w:t>
            </w:r>
            <w:r w:rsidR="008C1223" w:rsidRPr="00B4515A">
              <w:rPr>
                <w:rFonts w:ascii="Times New Roman" w:hAnsi="Times New Roman" w:cs="Times New Roman"/>
                <w:color w:val="000000" w:themeColor="text1"/>
                <w:sz w:val="21"/>
                <w:szCs w:val="21"/>
                <w:lang w:bidi="ar"/>
              </w:rPr>
              <w:t>.00</w:t>
            </w:r>
            <w:r w:rsidRPr="00B4515A">
              <w:rPr>
                <w:rFonts w:ascii="Times New Roman" w:hAnsi="Times New Roman" w:cs="Times New Roman" w:hint="eastAsia"/>
                <w:color w:val="000000" w:themeColor="text1"/>
                <w:sz w:val="21"/>
                <w:szCs w:val="21"/>
                <w:lang w:bidi="ar"/>
              </w:rPr>
              <w:t>元</w:t>
            </w:r>
            <w:r w:rsidRPr="00B4515A">
              <w:rPr>
                <w:rFonts w:ascii="Times New Roman" w:hAnsi="Times New Roman" w:cs="Times New Roman"/>
                <w:color w:val="000000" w:themeColor="text1"/>
                <w:sz w:val="21"/>
                <w:szCs w:val="21"/>
                <w:lang w:bidi="ar"/>
              </w:rPr>
              <w:t>/</w:t>
            </w:r>
            <w:r w:rsidRPr="00B4515A">
              <w:rPr>
                <w:rFonts w:ascii="Times New Roman" w:hAnsi="Times New Roman" w:cs="Times New Roman" w:hint="eastAsia"/>
                <w:color w:val="000000" w:themeColor="text1"/>
                <w:sz w:val="21"/>
                <w:szCs w:val="21"/>
                <w:lang w:bidi="ar"/>
              </w:rPr>
              <w:t>年</w:t>
            </w:r>
          </w:p>
        </w:tc>
        <w:tc>
          <w:tcPr>
            <w:tcW w:w="520" w:type="pct"/>
            <w:shd w:val="clear" w:color="auto" w:fill="FFFFFF"/>
            <w:tcMar>
              <w:top w:w="0" w:type="dxa"/>
              <w:left w:w="108" w:type="dxa"/>
              <w:bottom w:w="0" w:type="dxa"/>
              <w:right w:w="108" w:type="dxa"/>
            </w:tcMar>
            <w:vAlign w:val="center"/>
          </w:tcPr>
          <w:p w14:paraId="2659F191"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环境实验室</w:t>
            </w:r>
          </w:p>
        </w:tc>
      </w:tr>
      <w:tr w:rsidR="001C2353" w:rsidRPr="00B4515A" w14:paraId="79B34CA8" w14:textId="77777777" w:rsidTr="005860B4">
        <w:trPr>
          <w:trHeight w:val="340"/>
          <w:jc w:val="center"/>
        </w:trPr>
        <w:tc>
          <w:tcPr>
            <w:tcW w:w="323" w:type="pct"/>
            <w:shd w:val="clear" w:color="auto" w:fill="auto"/>
            <w:tcMar>
              <w:top w:w="0" w:type="dxa"/>
              <w:left w:w="108" w:type="dxa"/>
              <w:bottom w:w="0" w:type="dxa"/>
              <w:right w:w="108" w:type="dxa"/>
            </w:tcMar>
            <w:vAlign w:val="center"/>
          </w:tcPr>
          <w:p w14:paraId="6AE5FA1D"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4</w:t>
            </w:r>
          </w:p>
        </w:tc>
        <w:tc>
          <w:tcPr>
            <w:tcW w:w="745" w:type="pct"/>
            <w:shd w:val="clear" w:color="auto" w:fill="FFFFFF"/>
            <w:tcMar>
              <w:top w:w="0" w:type="dxa"/>
              <w:left w:w="108" w:type="dxa"/>
              <w:bottom w:w="0" w:type="dxa"/>
              <w:right w:w="108" w:type="dxa"/>
            </w:tcMar>
            <w:vAlign w:val="center"/>
          </w:tcPr>
          <w:p w14:paraId="13B92678"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北京市海淀区学院路</w:t>
            </w:r>
            <w:r w:rsidRPr="00B4515A">
              <w:rPr>
                <w:rFonts w:ascii="Times New Roman" w:hAnsi="Times New Roman" w:cs="Times New Roman"/>
                <w:color w:val="000000" w:themeColor="text1"/>
                <w:sz w:val="21"/>
                <w:szCs w:val="21"/>
                <w:lang w:bidi="ar"/>
              </w:rPr>
              <w:t>40</w:t>
            </w:r>
            <w:r w:rsidRPr="00B4515A">
              <w:rPr>
                <w:rFonts w:ascii="Times New Roman" w:hAnsi="Times New Roman" w:cs="Times New Roman"/>
                <w:color w:val="000000" w:themeColor="text1"/>
                <w:sz w:val="21"/>
                <w:szCs w:val="21"/>
                <w:lang w:bidi="ar"/>
              </w:rPr>
              <w:t>号</w:t>
            </w:r>
            <w:r w:rsidRPr="00B4515A">
              <w:rPr>
                <w:rFonts w:ascii="Times New Roman" w:hAnsi="Times New Roman" w:cs="Times New Roman" w:hint="eastAsia"/>
                <w:color w:val="000000" w:themeColor="text1"/>
                <w:sz w:val="21"/>
                <w:szCs w:val="21"/>
                <w:lang w:bidi="ar"/>
              </w:rPr>
              <w:t>研五楼</w:t>
            </w:r>
          </w:p>
        </w:tc>
        <w:tc>
          <w:tcPr>
            <w:tcW w:w="660" w:type="pct"/>
            <w:shd w:val="clear" w:color="auto" w:fill="FFFFFF"/>
            <w:tcMar>
              <w:top w:w="0" w:type="dxa"/>
              <w:left w:w="108" w:type="dxa"/>
              <w:bottom w:w="0" w:type="dxa"/>
              <w:right w:w="108" w:type="dxa"/>
            </w:tcMar>
            <w:vAlign w:val="center"/>
          </w:tcPr>
          <w:p w14:paraId="41058DDB" w14:textId="2F01E861"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4,132.1</w:t>
            </w:r>
            <w:r w:rsidR="008C1223" w:rsidRPr="00B4515A">
              <w:rPr>
                <w:rFonts w:ascii="Times New Roman" w:hAnsi="Times New Roman" w:cs="Times New Roman"/>
                <w:color w:val="000000" w:themeColor="text1"/>
                <w:sz w:val="21"/>
                <w:szCs w:val="21"/>
                <w:lang w:bidi="ar"/>
              </w:rPr>
              <w:t>0</w:t>
            </w:r>
          </w:p>
        </w:tc>
        <w:tc>
          <w:tcPr>
            <w:tcW w:w="503" w:type="pct"/>
            <w:shd w:val="clear" w:color="auto" w:fill="FFFFFF"/>
            <w:tcMar>
              <w:top w:w="0" w:type="dxa"/>
              <w:left w:w="108" w:type="dxa"/>
              <w:bottom w:w="0" w:type="dxa"/>
              <w:right w:w="108" w:type="dxa"/>
            </w:tcMar>
            <w:vAlign w:val="center"/>
          </w:tcPr>
          <w:p w14:paraId="0D1FD03F"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数据通信科学技术研究所</w:t>
            </w:r>
          </w:p>
        </w:tc>
        <w:tc>
          <w:tcPr>
            <w:tcW w:w="457" w:type="pct"/>
            <w:shd w:val="clear" w:color="auto" w:fill="FFFFFF"/>
            <w:tcMar>
              <w:top w:w="0" w:type="dxa"/>
              <w:left w:w="108" w:type="dxa"/>
              <w:bottom w:w="0" w:type="dxa"/>
              <w:right w:w="108" w:type="dxa"/>
            </w:tcMar>
            <w:vAlign w:val="center"/>
          </w:tcPr>
          <w:p w14:paraId="1884B185"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大唐联诚</w:t>
            </w:r>
          </w:p>
        </w:tc>
        <w:tc>
          <w:tcPr>
            <w:tcW w:w="579" w:type="pct"/>
            <w:shd w:val="clear" w:color="auto" w:fill="FFFFFF"/>
            <w:tcMar>
              <w:top w:w="0" w:type="dxa"/>
              <w:left w:w="108" w:type="dxa"/>
              <w:bottom w:w="0" w:type="dxa"/>
              <w:right w:w="108" w:type="dxa"/>
            </w:tcMar>
            <w:vAlign w:val="center"/>
          </w:tcPr>
          <w:p w14:paraId="359AEA5F"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京房权证海国移字第</w:t>
            </w:r>
            <w:r w:rsidRPr="00B4515A">
              <w:rPr>
                <w:rFonts w:ascii="Times New Roman" w:hAnsi="Times New Roman" w:cs="Times New Roman"/>
                <w:color w:val="000000" w:themeColor="text1"/>
                <w:sz w:val="21"/>
                <w:szCs w:val="21"/>
                <w:lang w:bidi="ar"/>
              </w:rPr>
              <w:t>0109913</w:t>
            </w:r>
            <w:r w:rsidRPr="00B4515A">
              <w:rPr>
                <w:rFonts w:ascii="Times New Roman" w:hAnsi="Times New Roman" w:cs="Times New Roman"/>
                <w:color w:val="000000" w:themeColor="text1"/>
                <w:sz w:val="21"/>
                <w:szCs w:val="21"/>
                <w:lang w:bidi="ar"/>
              </w:rPr>
              <w:t>号</w:t>
            </w:r>
          </w:p>
        </w:tc>
        <w:tc>
          <w:tcPr>
            <w:tcW w:w="577" w:type="pct"/>
            <w:shd w:val="clear" w:color="auto" w:fill="FFFFFF"/>
            <w:tcMar>
              <w:top w:w="0" w:type="dxa"/>
              <w:left w:w="108" w:type="dxa"/>
              <w:bottom w:w="0" w:type="dxa"/>
              <w:right w:w="108" w:type="dxa"/>
            </w:tcMar>
            <w:vAlign w:val="center"/>
          </w:tcPr>
          <w:p w14:paraId="131E1B0D"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2021.1.1-2021.12.31</w:t>
            </w:r>
          </w:p>
        </w:tc>
        <w:tc>
          <w:tcPr>
            <w:tcW w:w="636" w:type="pct"/>
            <w:shd w:val="clear" w:color="auto" w:fill="FFFFFF"/>
            <w:tcMar>
              <w:top w:w="0" w:type="dxa"/>
              <w:left w:w="108" w:type="dxa"/>
              <w:bottom w:w="0" w:type="dxa"/>
              <w:right w:w="108" w:type="dxa"/>
            </w:tcMar>
            <w:vAlign w:val="center"/>
          </w:tcPr>
          <w:p w14:paraId="050081B7"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4,600,060.33</w:t>
            </w:r>
            <w:r w:rsidRPr="00B4515A">
              <w:rPr>
                <w:rFonts w:ascii="Times New Roman" w:hAnsi="Times New Roman" w:cs="Times New Roman" w:hint="eastAsia"/>
                <w:color w:val="000000" w:themeColor="text1"/>
                <w:sz w:val="21"/>
                <w:szCs w:val="21"/>
                <w:lang w:bidi="ar"/>
              </w:rPr>
              <w:t>元</w:t>
            </w:r>
            <w:r w:rsidRPr="00B4515A">
              <w:rPr>
                <w:rFonts w:ascii="Times New Roman" w:hAnsi="Times New Roman" w:cs="Times New Roman"/>
                <w:color w:val="000000" w:themeColor="text1"/>
                <w:sz w:val="21"/>
                <w:szCs w:val="21"/>
                <w:lang w:bidi="ar"/>
              </w:rPr>
              <w:t>/</w:t>
            </w:r>
            <w:r w:rsidRPr="00B4515A">
              <w:rPr>
                <w:rFonts w:ascii="Times New Roman" w:hAnsi="Times New Roman" w:cs="Times New Roman" w:hint="eastAsia"/>
                <w:color w:val="000000" w:themeColor="text1"/>
                <w:sz w:val="21"/>
                <w:szCs w:val="21"/>
                <w:lang w:bidi="ar"/>
              </w:rPr>
              <w:t>年</w:t>
            </w:r>
          </w:p>
        </w:tc>
        <w:tc>
          <w:tcPr>
            <w:tcW w:w="520" w:type="pct"/>
            <w:shd w:val="clear" w:color="auto" w:fill="FFFFFF"/>
            <w:tcMar>
              <w:top w:w="0" w:type="dxa"/>
              <w:left w:w="108" w:type="dxa"/>
              <w:bottom w:w="0" w:type="dxa"/>
              <w:right w:w="108" w:type="dxa"/>
            </w:tcMar>
            <w:vAlign w:val="center"/>
          </w:tcPr>
          <w:p w14:paraId="7F7D0199"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科研、生产、办公</w:t>
            </w:r>
          </w:p>
        </w:tc>
      </w:tr>
      <w:tr w:rsidR="001C2353" w:rsidRPr="00B4515A" w14:paraId="44F20627" w14:textId="77777777" w:rsidTr="005860B4">
        <w:trPr>
          <w:trHeight w:val="340"/>
          <w:jc w:val="center"/>
        </w:trPr>
        <w:tc>
          <w:tcPr>
            <w:tcW w:w="323" w:type="pct"/>
            <w:shd w:val="clear" w:color="auto" w:fill="auto"/>
            <w:tcMar>
              <w:top w:w="0" w:type="dxa"/>
              <w:left w:w="108" w:type="dxa"/>
              <w:bottom w:w="0" w:type="dxa"/>
              <w:right w:w="108" w:type="dxa"/>
            </w:tcMar>
            <w:vAlign w:val="center"/>
          </w:tcPr>
          <w:p w14:paraId="6E90AF75"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bookmarkStart w:id="169" w:name="_Hlk64985902"/>
            <w:r w:rsidRPr="00B4515A">
              <w:rPr>
                <w:rFonts w:ascii="Times New Roman" w:hAnsi="Times New Roman" w:cs="Times New Roman"/>
                <w:color w:val="000000" w:themeColor="text1"/>
                <w:sz w:val="21"/>
                <w:szCs w:val="21"/>
                <w:lang w:bidi="ar"/>
              </w:rPr>
              <w:t>5</w:t>
            </w:r>
          </w:p>
        </w:tc>
        <w:tc>
          <w:tcPr>
            <w:tcW w:w="745" w:type="pct"/>
            <w:shd w:val="clear" w:color="auto" w:fill="FFFFFF"/>
            <w:tcMar>
              <w:top w:w="0" w:type="dxa"/>
              <w:left w:w="108" w:type="dxa"/>
              <w:bottom w:w="0" w:type="dxa"/>
              <w:right w:w="108" w:type="dxa"/>
            </w:tcMar>
            <w:vAlign w:val="center"/>
          </w:tcPr>
          <w:p w14:paraId="3FA80108"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上海市明月路</w:t>
            </w:r>
            <w:r w:rsidRPr="00B4515A">
              <w:rPr>
                <w:rFonts w:ascii="Times New Roman" w:hAnsi="Times New Roman" w:cs="Times New Roman"/>
                <w:color w:val="000000" w:themeColor="text1"/>
                <w:sz w:val="21"/>
                <w:szCs w:val="21"/>
                <w:lang w:bidi="ar"/>
              </w:rPr>
              <w:t>1258</w:t>
            </w:r>
            <w:r w:rsidRPr="00B4515A">
              <w:rPr>
                <w:rFonts w:ascii="Times New Roman" w:hAnsi="Times New Roman" w:cs="Times New Roman"/>
                <w:color w:val="000000" w:themeColor="text1"/>
                <w:sz w:val="21"/>
                <w:szCs w:val="21"/>
                <w:lang w:bidi="ar"/>
              </w:rPr>
              <w:t>号</w:t>
            </w:r>
          </w:p>
        </w:tc>
        <w:tc>
          <w:tcPr>
            <w:tcW w:w="660" w:type="pct"/>
            <w:shd w:val="clear" w:color="auto" w:fill="FFFFFF"/>
            <w:tcMar>
              <w:top w:w="0" w:type="dxa"/>
              <w:left w:w="108" w:type="dxa"/>
              <w:bottom w:w="0" w:type="dxa"/>
              <w:right w:w="108" w:type="dxa"/>
            </w:tcMar>
            <w:vAlign w:val="center"/>
          </w:tcPr>
          <w:p w14:paraId="2B3C6E8B" w14:textId="4CCBB6C3"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1,036</w:t>
            </w:r>
            <w:r w:rsidR="008C1223" w:rsidRPr="00B4515A">
              <w:rPr>
                <w:rFonts w:ascii="Times New Roman" w:hAnsi="Times New Roman" w:cs="Times New Roman"/>
                <w:color w:val="000000" w:themeColor="text1"/>
                <w:sz w:val="21"/>
                <w:szCs w:val="21"/>
                <w:lang w:bidi="ar"/>
              </w:rPr>
              <w:t>.00</w:t>
            </w:r>
          </w:p>
        </w:tc>
        <w:tc>
          <w:tcPr>
            <w:tcW w:w="503" w:type="pct"/>
            <w:shd w:val="clear" w:color="auto" w:fill="FFFFFF"/>
            <w:tcMar>
              <w:top w:w="0" w:type="dxa"/>
              <w:left w:w="108" w:type="dxa"/>
              <w:bottom w:w="0" w:type="dxa"/>
              <w:right w:w="108" w:type="dxa"/>
            </w:tcMar>
            <w:vAlign w:val="center"/>
          </w:tcPr>
          <w:p w14:paraId="48698DC8"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联芯科技有限公司</w:t>
            </w:r>
          </w:p>
        </w:tc>
        <w:tc>
          <w:tcPr>
            <w:tcW w:w="457" w:type="pct"/>
            <w:shd w:val="clear" w:color="auto" w:fill="FFFFFF"/>
            <w:tcMar>
              <w:top w:w="0" w:type="dxa"/>
              <w:left w:w="108" w:type="dxa"/>
              <w:bottom w:w="0" w:type="dxa"/>
              <w:right w:w="108" w:type="dxa"/>
            </w:tcMar>
            <w:vAlign w:val="center"/>
          </w:tcPr>
          <w:p w14:paraId="14710FD8"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大唐联诚</w:t>
            </w:r>
          </w:p>
        </w:tc>
        <w:tc>
          <w:tcPr>
            <w:tcW w:w="579" w:type="pct"/>
            <w:shd w:val="clear" w:color="auto" w:fill="FFFFFF"/>
            <w:tcMar>
              <w:top w:w="0" w:type="dxa"/>
              <w:left w:w="108" w:type="dxa"/>
              <w:bottom w:w="0" w:type="dxa"/>
              <w:right w:w="108" w:type="dxa"/>
            </w:tcMar>
            <w:vAlign w:val="center"/>
          </w:tcPr>
          <w:p w14:paraId="5079914F"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沪房地浦字（</w:t>
            </w:r>
            <w:r w:rsidRPr="00B4515A">
              <w:rPr>
                <w:rFonts w:ascii="Times New Roman" w:hAnsi="Times New Roman" w:cs="Times New Roman"/>
                <w:color w:val="000000" w:themeColor="text1"/>
                <w:sz w:val="21"/>
                <w:szCs w:val="21"/>
                <w:lang w:bidi="ar"/>
              </w:rPr>
              <w:t>2012</w:t>
            </w:r>
            <w:r w:rsidRPr="00B4515A">
              <w:rPr>
                <w:rFonts w:ascii="Times New Roman" w:hAnsi="Times New Roman" w:cs="Times New Roman"/>
                <w:color w:val="000000" w:themeColor="text1"/>
                <w:sz w:val="21"/>
                <w:szCs w:val="21"/>
                <w:lang w:bidi="ar"/>
              </w:rPr>
              <w:t>）第</w:t>
            </w:r>
            <w:r w:rsidRPr="00B4515A">
              <w:rPr>
                <w:rFonts w:ascii="Times New Roman" w:hAnsi="Times New Roman" w:cs="Times New Roman"/>
                <w:color w:val="000000" w:themeColor="text1"/>
                <w:sz w:val="21"/>
                <w:szCs w:val="21"/>
                <w:lang w:bidi="ar"/>
              </w:rPr>
              <w:t>021980</w:t>
            </w:r>
            <w:r w:rsidRPr="00B4515A">
              <w:rPr>
                <w:rFonts w:ascii="Times New Roman" w:hAnsi="Times New Roman" w:cs="Times New Roman"/>
                <w:color w:val="000000" w:themeColor="text1"/>
                <w:sz w:val="21"/>
                <w:szCs w:val="21"/>
                <w:lang w:bidi="ar"/>
              </w:rPr>
              <w:t>号</w:t>
            </w:r>
          </w:p>
        </w:tc>
        <w:tc>
          <w:tcPr>
            <w:tcW w:w="577" w:type="pct"/>
            <w:shd w:val="clear" w:color="auto" w:fill="FFFFFF"/>
            <w:tcMar>
              <w:top w:w="0" w:type="dxa"/>
              <w:left w:w="108" w:type="dxa"/>
              <w:bottom w:w="0" w:type="dxa"/>
              <w:right w:w="108" w:type="dxa"/>
            </w:tcMar>
            <w:vAlign w:val="center"/>
          </w:tcPr>
          <w:p w14:paraId="62C8543F"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2020.1.1-2024.12.31</w:t>
            </w:r>
          </w:p>
        </w:tc>
        <w:tc>
          <w:tcPr>
            <w:tcW w:w="636" w:type="pct"/>
            <w:shd w:val="clear" w:color="auto" w:fill="FFFFFF"/>
            <w:tcMar>
              <w:top w:w="0" w:type="dxa"/>
              <w:left w:w="108" w:type="dxa"/>
              <w:bottom w:w="0" w:type="dxa"/>
              <w:right w:w="108" w:type="dxa"/>
            </w:tcMar>
            <w:vAlign w:val="center"/>
          </w:tcPr>
          <w:p w14:paraId="3A54D8D7" w14:textId="3A1DF816"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1,512,560</w:t>
            </w:r>
            <w:r w:rsidR="008C1223" w:rsidRPr="00B4515A">
              <w:rPr>
                <w:rFonts w:ascii="Times New Roman" w:hAnsi="Times New Roman" w:cs="Times New Roman"/>
                <w:color w:val="000000" w:themeColor="text1"/>
                <w:sz w:val="21"/>
                <w:szCs w:val="21"/>
                <w:lang w:bidi="ar"/>
              </w:rPr>
              <w:t>.00</w:t>
            </w:r>
            <w:r w:rsidRPr="00B4515A">
              <w:rPr>
                <w:rFonts w:ascii="Times New Roman" w:hAnsi="Times New Roman" w:cs="Times New Roman" w:hint="eastAsia"/>
                <w:color w:val="000000" w:themeColor="text1"/>
                <w:sz w:val="21"/>
                <w:szCs w:val="21"/>
                <w:lang w:bidi="ar"/>
              </w:rPr>
              <w:t>元</w:t>
            </w:r>
            <w:r w:rsidRPr="00B4515A">
              <w:rPr>
                <w:rFonts w:ascii="Times New Roman" w:hAnsi="Times New Roman" w:cs="Times New Roman"/>
                <w:color w:val="000000" w:themeColor="text1"/>
                <w:sz w:val="21"/>
                <w:szCs w:val="21"/>
                <w:lang w:bidi="ar"/>
              </w:rPr>
              <w:t>/</w:t>
            </w:r>
            <w:r w:rsidRPr="00B4515A">
              <w:rPr>
                <w:rFonts w:ascii="Times New Roman" w:hAnsi="Times New Roman" w:cs="Times New Roman" w:hint="eastAsia"/>
                <w:color w:val="000000" w:themeColor="text1"/>
                <w:sz w:val="21"/>
                <w:szCs w:val="21"/>
                <w:lang w:bidi="ar"/>
              </w:rPr>
              <w:t>年</w:t>
            </w:r>
          </w:p>
        </w:tc>
        <w:tc>
          <w:tcPr>
            <w:tcW w:w="520" w:type="pct"/>
            <w:shd w:val="clear" w:color="auto" w:fill="FFFFFF"/>
            <w:tcMar>
              <w:top w:w="0" w:type="dxa"/>
              <w:left w:w="108" w:type="dxa"/>
              <w:bottom w:w="0" w:type="dxa"/>
              <w:right w:w="108" w:type="dxa"/>
            </w:tcMar>
            <w:vAlign w:val="center"/>
          </w:tcPr>
          <w:p w14:paraId="640F95C8"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办公、科研、仓储</w:t>
            </w:r>
          </w:p>
        </w:tc>
      </w:tr>
    </w:tbl>
    <w:bookmarkEnd w:id="168"/>
    <w:bookmarkEnd w:id="169"/>
    <w:p w14:paraId="13E2E09C" w14:textId="77777777" w:rsidR="006416B0" w:rsidRPr="00B4515A" w:rsidRDefault="005E58C1" w:rsidP="005860B4">
      <w:pPr>
        <w:pStyle w:val="006"/>
        <w:ind w:firstLine="420"/>
      </w:pPr>
      <w:r w:rsidRPr="00B4515A">
        <w:rPr>
          <w:rFonts w:hint="eastAsia"/>
        </w:rPr>
        <w:t>注：上表第</w:t>
      </w:r>
      <w:r w:rsidRPr="00B4515A">
        <w:t>3</w:t>
      </w:r>
      <w:r w:rsidRPr="00B4515A">
        <w:rPr>
          <w:rFonts w:hint="eastAsia"/>
        </w:rPr>
        <w:t>项，因行政区划信息变更，</w:t>
      </w:r>
      <w:bookmarkStart w:id="170" w:name="_Hlk73550599"/>
      <w:r w:rsidRPr="00B4515A">
        <w:rPr>
          <w:rFonts w:hint="eastAsia"/>
        </w:rPr>
        <w:t>房屋坐落地址与该房屋权属证书登记地址表述不一致，实际为同一地址</w:t>
      </w:r>
      <w:bookmarkEnd w:id="170"/>
      <w:r w:rsidRPr="00B4515A">
        <w:rPr>
          <w:rFonts w:hint="eastAsia"/>
        </w:rPr>
        <w:t>。</w:t>
      </w:r>
    </w:p>
    <w:p w14:paraId="01CF7D5E" w14:textId="77777777" w:rsidR="006416B0" w:rsidRPr="00B4515A" w:rsidRDefault="005E58C1" w:rsidP="005860B4">
      <w:pPr>
        <w:pStyle w:val="005"/>
        <w:spacing w:before="120" w:after="120"/>
        <w:ind w:firstLine="480"/>
      </w:pPr>
      <w:r w:rsidRPr="00B4515A">
        <w:rPr>
          <w:rFonts w:hint="eastAsia"/>
        </w:rPr>
        <w:t>截至本报告书出具之日，上述房屋的租赁协议已经大唐联诚与相关主体有效签署，符合有关法律、法规的规定。房屋租赁协议虽未按照相关规定向房产管理部门登记备案，但根据《中华人民共和国民法典》第七百零六条规定</w:t>
      </w:r>
      <w:r w:rsidRPr="00B4515A">
        <w:rPr>
          <w:rFonts w:ascii="宋体" w:hAnsi="宋体" w:hint="eastAsia"/>
        </w:rPr>
        <w:t>“</w:t>
      </w:r>
      <w:r w:rsidRPr="00B4515A">
        <w:rPr>
          <w:rFonts w:hint="eastAsia"/>
        </w:rPr>
        <w:t>当事人未依照法律、行政法规规定办理租赁合同登记备案手续的，不影响合同的效力</w:t>
      </w:r>
      <w:r w:rsidRPr="00B4515A">
        <w:rPr>
          <w:rFonts w:ascii="宋体" w:hAnsi="宋体" w:hint="eastAsia"/>
        </w:rPr>
        <w:t>”</w:t>
      </w:r>
      <w:r w:rsidRPr="00B4515A">
        <w:rPr>
          <w:rFonts w:hint="eastAsia"/>
        </w:rPr>
        <w:t>，且大唐联诚上述房屋租赁协议均未约定以备案为生效条件，故未办理租赁备案手续不影响租赁合同有效性。</w:t>
      </w:r>
    </w:p>
    <w:p w14:paraId="10093793" w14:textId="77777777" w:rsidR="006416B0" w:rsidRPr="00B4515A" w:rsidRDefault="005E58C1" w:rsidP="005860B4">
      <w:pPr>
        <w:pStyle w:val="004"/>
        <w:spacing w:before="120" w:after="120"/>
        <w:ind w:firstLine="482"/>
      </w:pPr>
      <w:bookmarkStart w:id="171" w:name="_Hlk76925866"/>
      <w:r w:rsidRPr="00B4515A">
        <w:t>3</w:t>
      </w:r>
      <w:r w:rsidRPr="00B4515A">
        <w:rPr>
          <w:rFonts w:hint="eastAsia"/>
        </w:rPr>
        <w:t>、主要机器设备、运输工具及电子设备</w:t>
      </w:r>
    </w:p>
    <w:p w14:paraId="4CA5AD43" w14:textId="77777777" w:rsidR="006416B0" w:rsidRPr="00B4515A" w:rsidRDefault="005E58C1" w:rsidP="005860B4">
      <w:pPr>
        <w:pStyle w:val="005"/>
        <w:spacing w:before="120" w:after="120"/>
        <w:ind w:firstLine="480"/>
      </w:pPr>
      <w:r w:rsidRPr="00B4515A">
        <w:rPr>
          <w:rFonts w:hint="eastAsia"/>
        </w:rPr>
        <w:t>截至</w:t>
      </w:r>
      <w:r w:rsidRPr="00B4515A">
        <w:rPr>
          <w:rFonts w:hint="eastAsia"/>
        </w:rPr>
        <w:t>2</w:t>
      </w:r>
      <w:r w:rsidRPr="00B4515A">
        <w:t>021</w:t>
      </w:r>
      <w:r w:rsidRPr="00B4515A">
        <w:rPr>
          <w:rFonts w:hint="eastAsia"/>
        </w:rPr>
        <w:t>年</w:t>
      </w:r>
      <w:r w:rsidRPr="00B4515A">
        <w:rPr>
          <w:rFonts w:hint="eastAsia"/>
        </w:rPr>
        <w:t>4</w:t>
      </w:r>
      <w:r w:rsidRPr="00B4515A">
        <w:rPr>
          <w:rFonts w:hint="eastAsia"/>
        </w:rPr>
        <w:t>月</w:t>
      </w:r>
      <w:r w:rsidRPr="00B4515A">
        <w:rPr>
          <w:rFonts w:hint="eastAsia"/>
        </w:rPr>
        <w:t>3</w:t>
      </w:r>
      <w:r w:rsidRPr="00B4515A">
        <w:t>0</w:t>
      </w:r>
      <w:r w:rsidRPr="00B4515A">
        <w:rPr>
          <w:rFonts w:hint="eastAsia"/>
        </w:rPr>
        <w:t>日，大唐联诚主要固定资产情况如下：</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1"/>
        <w:gridCol w:w="2131"/>
        <w:gridCol w:w="2133"/>
        <w:gridCol w:w="2133"/>
      </w:tblGrid>
      <w:tr w:rsidR="006416B0" w:rsidRPr="00B4515A" w14:paraId="3136CA5A" w14:textId="77777777" w:rsidTr="00EE238F">
        <w:trPr>
          <w:trHeight w:val="340"/>
          <w:tblHeader/>
          <w:jc w:val="center"/>
        </w:trPr>
        <w:tc>
          <w:tcPr>
            <w:tcW w:w="2064" w:type="dxa"/>
            <w:tcMar>
              <w:top w:w="0" w:type="dxa"/>
              <w:left w:w="108" w:type="dxa"/>
              <w:bottom w:w="0" w:type="dxa"/>
              <w:right w:w="108" w:type="dxa"/>
            </w:tcMar>
            <w:vAlign w:val="center"/>
          </w:tcPr>
          <w:p w14:paraId="0AF4D04A"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项目</w:t>
            </w:r>
          </w:p>
        </w:tc>
        <w:tc>
          <w:tcPr>
            <w:tcW w:w="2064" w:type="dxa"/>
            <w:tcMar>
              <w:top w:w="0" w:type="dxa"/>
              <w:left w:w="108" w:type="dxa"/>
              <w:bottom w:w="0" w:type="dxa"/>
              <w:right w:w="108" w:type="dxa"/>
            </w:tcMar>
            <w:vAlign w:val="center"/>
          </w:tcPr>
          <w:p w14:paraId="6CE75E67"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账面原值（万元）</w:t>
            </w:r>
          </w:p>
        </w:tc>
        <w:tc>
          <w:tcPr>
            <w:tcW w:w="2065" w:type="dxa"/>
            <w:tcMar>
              <w:top w:w="0" w:type="dxa"/>
              <w:left w:w="108" w:type="dxa"/>
              <w:bottom w:w="0" w:type="dxa"/>
              <w:right w:w="108" w:type="dxa"/>
            </w:tcMar>
            <w:vAlign w:val="center"/>
          </w:tcPr>
          <w:p w14:paraId="031D861D"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账面净值（万元）</w:t>
            </w:r>
          </w:p>
        </w:tc>
        <w:tc>
          <w:tcPr>
            <w:tcW w:w="2065" w:type="dxa"/>
            <w:tcMar>
              <w:top w:w="0" w:type="dxa"/>
              <w:left w:w="108" w:type="dxa"/>
              <w:bottom w:w="0" w:type="dxa"/>
              <w:right w:w="108" w:type="dxa"/>
            </w:tcMar>
            <w:vAlign w:val="center"/>
          </w:tcPr>
          <w:p w14:paraId="1EAEC135"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成新率</w:t>
            </w:r>
          </w:p>
        </w:tc>
      </w:tr>
      <w:tr w:rsidR="006416B0" w:rsidRPr="00B4515A" w14:paraId="443EF7A6" w14:textId="77777777" w:rsidTr="00031627">
        <w:trPr>
          <w:trHeight w:val="340"/>
          <w:jc w:val="center"/>
        </w:trPr>
        <w:tc>
          <w:tcPr>
            <w:tcW w:w="2064" w:type="dxa"/>
            <w:tcMar>
              <w:top w:w="0" w:type="dxa"/>
              <w:left w:w="108" w:type="dxa"/>
              <w:bottom w:w="0" w:type="dxa"/>
              <w:right w:w="108" w:type="dxa"/>
            </w:tcMar>
            <w:vAlign w:val="center"/>
          </w:tcPr>
          <w:p w14:paraId="1DFD9CB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机器设备</w:t>
            </w:r>
          </w:p>
        </w:tc>
        <w:tc>
          <w:tcPr>
            <w:tcW w:w="2064" w:type="dxa"/>
            <w:tcMar>
              <w:top w:w="0" w:type="dxa"/>
              <w:left w:w="108" w:type="dxa"/>
              <w:bottom w:w="0" w:type="dxa"/>
              <w:right w:w="108" w:type="dxa"/>
            </w:tcMar>
            <w:vAlign w:val="center"/>
          </w:tcPr>
          <w:p w14:paraId="2572C16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4,630.82 </w:t>
            </w:r>
          </w:p>
        </w:tc>
        <w:tc>
          <w:tcPr>
            <w:tcW w:w="2065" w:type="dxa"/>
            <w:tcMar>
              <w:top w:w="0" w:type="dxa"/>
              <w:left w:w="108" w:type="dxa"/>
              <w:bottom w:w="0" w:type="dxa"/>
              <w:right w:w="108" w:type="dxa"/>
            </w:tcMar>
            <w:vAlign w:val="center"/>
          </w:tcPr>
          <w:p w14:paraId="3E73200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1,797.89 </w:t>
            </w:r>
          </w:p>
        </w:tc>
        <w:tc>
          <w:tcPr>
            <w:tcW w:w="2065" w:type="dxa"/>
            <w:tcMar>
              <w:top w:w="0" w:type="dxa"/>
              <w:left w:w="108" w:type="dxa"/>
              <w:bottom w:w="0" w:type="dxa"/>
              <w:right w:w="108" w:type="dxa"/>
            </w:tcMar>
            <w:vAlign w:val="center"/>
          </w:tcPr>
          <w:p w14:paraId="619FA30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38.82%</w:t>
            </w:r>
          </w:p>
        </w:tc>
      </w:tr>
      <w:tr w:rsidR="006416B0" w:rsidRPr="00B4515A" w14:paraId="56AF5310" w14:textId="77777777" w:rsidTr="00031627">
        <w:trPr>
          <w:trHeight w:val="340"/>
          <w:jc w:val="center"/>
        </w:trPr>
        <w:tc>
          <w:tcPr>
            <w:tcW w:w="2064" w:type="dxa"/>
            <w:tcMar>
              <w:top w:w="0" w:type="dxa"/>
              <w:left w:w="108" w:type="dxa"/>
              <w:bottom w:w="0" w:type="dxa"/>
              <w:right w:w="108" w:type="dxa"/>
            </w:tcMar>
            <w:vAlign w:val="center"/>
          </w:tcPr>
          <w:p w14:paraId="3EAF718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lastRenderedPageBreak/>
              <w:t>运输工具</w:t>
            </w:r>
          </w:p>
        </w:tc>
        <w:tc>
          <w:tcPr>
            <w:tcW w:w="2064" w:type="dxa"/>
            <w:tcMar>
              <w:top w:w="0" w:type="dxa"/>
              <w:left w:w="108" w:type="dxa"/>
              <w:bottom w:w="0" w:type="dxa"/>
              <w:right w:w="108" w:type="dxa"/>
            </w:tcMar>
            <w:vAlign w:val="center"/>
          </w:tcPr>
          <w:p w14:paraId="6BA3E45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197.66 </w:t>
            </w:r>
          </w:p>
        </w:tc>
        <w:tc>
          <w:tcPr>
            <w:tcW w:w="2065" w:type="dxa"/>
            <w:tcMar>
              <w:top w:w="0" w:type="dxa"/>
              <w:left w:w="108" w:type="dxa"/>
              <w:bottom w:w="0" w:type="dxa"/>
              <w:right w:w="108" w:type="dxa"/>
            </w:tcMar>
            <w:vAlign w:val="center"/>
          </w:tcPr>
          <w:p w14:paraId="097AFD2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46.85 </w:t>
            </w:r>
          </w:p>
        </w:tc>
        <w:tc>
          <w:tcPr>
            <w:tcW w:w="2065" w:type="dxa"/>
            <w:tcMar>
              <w:top w:w="0" w:type="dxa"/>
              <w:left w:w="108" w:type="dxa"/>
              <w:bottom w:w="0" w:type="dxa"/>
              <w:right w:w="108" w:type="dxa"/>
            </w:tcMar>
            <w:vAlign w:val="center"/>
          </w:tcPr>
          <w:p w14:paraId="4E4F63A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23.70%</w:t>
            </w:r>
          </w:p>
        </w:tc>
      </w:tr>
      <w:tr w:rsidR="006416B0" w:rsidRPr="00B4515A" w14:paraId="5A8DE913" w14:textId="77777777" w:rsidTr="00031627">
        <w:trPr>
          <w:trHeight w:val="340"/>
          <w:jc w:val="center"/>
        </w:trPr>
        <w:tc>
          <w:tcPr>
            <w:tcW w:w="2064" w:type="dxa"/>
            <w:tcMar>
              <w:top w:w="0" w:type="dxa"/>
              <w:left w:w="108" w:type="dxa"/>
              <w:bottom w:w="0" w:type="dxa"/>
              <w:right w:w="108" w:type="dxa"/>
            </w:tcMar>
            <w:vAlign w:val="center"/>
          </w:tcPr>
          <w:p w14:paraId="1F1272A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电子设备</w:t>
            </w:r>
          </w:p>
        </w:tc>
        <w:tc>
          <w:tcPr>
            <w:tcW w:w="2064" w:type="dxa"/>
            <w:tcMar>
              <w:top w:w="0" w:type="dxa"/>
              <w:left w:w="108" w:type="dxa"/>
              <w:bottom w:w="0" w:type="dxa"/>
              <w:right w:w="108" w:type="dxa"/>
            </w:tcMar>
            <w:vAlign w:val="center"/>
          </w:tcPr>
          <w:p w14:paraId="21C4D1A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1,096.25 </w:t>
            </w:r>
          </w:p>
        </w:tc>
        <w:tc>
          <w:tcPr>
            <w:tcW w:w="2065" w:type="dxa"/>
            <w:tcMar>
              <w:top w:w="0" w:type="dxa"/>
              <w:left w:w="108" w:type="dxa"/>
              <w:bottom w:w="0" w:type="dxa"/>
              <w:right w:w="108" w:type="dxa"/>
            </w:tcMar>
            <w:vAlign w:val="center"/>
          </w:tcPr>
          <w:p w14:paraId="16AB9F8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493.70 </w:t>
            </w:r>
          </w:p>
        </w:tc>
        <w:tc>
          <w:tcPr>
            <w:tcW w:w="2065" w:type="dxa"/>
            <w:tcMar>
              <w:top w:w="0" w:type="dxa"/>
              <w:left w:w="108" w:type="dxa"/>
              <w:bottom w:w="0" w:type="dxa"/>
              <w:right w:w="108" w:type="dxa"/>
            </w:tcMar>
            <w:vAlign w:val="center"/>
          </w:tcPr>
          <w:p w14:paraId="5112D54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45.03%</w:t>
            </w:r>
          </w:p>
        </w:tc>
      </w:tr>
      <w:tr w:rsidR="006416B0" w:rsidRPr="00B4515A" w14:paraId="45DA6849" w14:textId="77777777" w:rsidTr="00031627">
        <w:trPr>
          <w:trHeight w:val="340"/>
          <w:jc w:val="center"/>
        </w:trPr>
        <w:tc>
          <w:tcPr>
            <w:tcW w:w="2064" w:type="dxa"/>
            <w:tcMar>
              <w:top w:w="0" w:type="dxa"/>
              <w:left w:w="108" w:type="dxa"/>
              <w:bottom w:w="0" w:type="dxa"/>
              <w:right w:w="108" w:type="dxa"/>
            </w:tcMar>
            <w:vAlign w:val="center"/>
          </w:tcPr>
          <w:p w14:paraId="113372A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办公设备</w:t>
            </w:r>
          </w:p>
        </w:tc>
        <w:tc>
          <w:tcPr>
            <w:tcW w:w="2064" w:type="dxa"/>
            <w:tcMar>
              <w:top w:w="0" w:type="dxa"/>
              <w:left w:w="108" w:type="dxa"/>
              <w:bottom w:w="0" w:type="dxa"/>
              <w:right w:w="108" w:type="dxa"/>
            </w:tcMar>
            <w:vAlign w:val="center"/>
          </w:tcPr>
          <w:p w14:paraId="7DC1D74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938.94 </w:t>
            </w:r>
          </w:p>
        </w:tc>
        <w:tc>
          <w:tcPr>
            <w:tcW w:w="2065" w:type="dxa"/>
            <w:tcMar>
              <w:top w:w="0" w:type="dxa"/>
              <w:left w:w="108" w:type="dxa"/>
              <w:bottom w:w="0" w:type="dxa"/>
              <w:right w:w="108" w:type="dxa"/>
            </w:tcMar>
            <w:vAlign w:val="center"/>
          </w:tcPr>
          <w:p w14:paraId="106C35C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557.66 </w:t>
            </w:r>
          </w:p>
        </w:tc>
        <w:tc>
          <w:tcPr>
            <w:tcW w:w="2065" w:type="dxa"/>
            <w:tcMar>
              <w:top w:w="0" w:type="dxa"/>
              <w:left w:w="108" w:type="dxa"/>
              <w:bottom w:w="0" w:type="dxa"/>
              <w:right w:w="108" w:type="dxa"/>
            </w:tcMar>
            <w:vAlign w:val="center"/>
          </w:tcPr>
          <w:p w14:paraId="2258DB1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59.39%</w:t>
            </w:r>
          </w:p>
        </w:tc>
      </w:tr>
      <w:tr w:rsidR="006416B0" w:rsidRPr="00B4515A" w14:paraId="3B2EBB1F" w14:textId="77777777" w:rsidTr="00031627">
        <w:trPr>
          <w:trHeight w:val="340"/>
          <w:jc w:val="center"/>
        </w:trPr>
        <w:tc>
          <w:tcPr>
            <w:tcW w:w="2064" w:type="dxa"/>
            <w:tcMar>
              <w:top w:w="0" w:type="dxa"/>
              <w:left w:w="108" w:type="dxa"/>
              <w:bottom w:w="0" w:type="dxa"/>
              <w:right w:w="108" w:type="dxa"/>
            </w:tcMar>
            <w:vAlign w:val="center"/>
          </w:tcPr>
          <w:p w14:paraId="66DF8B5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其他</w:t>
            </w:r>
          </w:p>
        </w:tc>
        <w:tc>
          <w:tcPr>
            <w:tcW w:w="2064" w:type="dxa"/>
            <w:tcMar>
              <w:top w:w="0" w:type="dxa"/>
              <w:left w:w="108" w:type="dxa"/>
              <w:bottom w:w="0" w:type="dxa"/>
              <w:right w:w="108" w:type="dxa"/>
            </w:tcMar>
            <w:vAlign w:val="center"/>
          </w:tcPr>
          <w:p w14:paraId="28F0714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77.03 </w:t>
            </w:r>
          </w:p>
        </w:tc>
        <w:tc>
          <w:tcPr>
            <w:tcW w:w="2065" w:type="dxa"/>
            <w:tcMar>
              <w:top w:w="0" w:type="dxa"/>
              <w:left w:w="108" w:type="dxa"/>
              <w:bottom w:w="0" w:type="dxa"/>
              <w:right w:w="108" w:type="dxa"/>
            </w:tcMar>
            <w:vAlign w:val="center"/>
          </w:tcPr>
          <w:p w14:paraId="2B35816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25.73 </w:t>
            </w:r>
          </w:p>
        </w:tc>
        <w:tc>
          <w:tcPr>
            <w:tcW w:w="2065" w:type="dxa"/>
            <w:tcMar>
              <w:top w:w="0" w:type="dxa"/>
              <w:left w:w="108" w:type="dxa"/>
              <w:bottom w:w="0" w:type="dxa"/>
              <w:right w:w="108" w:type="dxa"/>
            </w:tcMar>
            <w:vAlign w:val="center"/>
          </w:tcPr>
          <w:p w14:paraId="3EB1845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33.40%</w:t>
            </w:r>
          </w:p>
        </w:tc>
      </w:tr>
      <w:tr w:rsidR="006416B0" w:rsidRPr="00B4515A" w14:paraId="086E56EA" w14:textId="77777777" w:rsidTr="00031627">
        <w:trPr>
          <w:trHeight w:val="340"/>
          <w:jc w:val="center"/>
        </w:trPr>
        <w:tc>
          <w:tcPr>
            <w:tcW w:w="2064" w:type="dxa"/>
            <w:tcMar>
              <w:top w:w="0" w:type="dxa"/>
              <w:left w:w="108" w:type="dxa"/>
              <w:bottom w:w="0" w:type="dxa"/>
              <w:right w:w="108" w:type="dxa"/>
            </w:tcMar>
            <w:vAlign w:val="center"/>
          </w:tcPr>
          <w:p w14:paraId="0ACD72FA"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合计</w:t>
            </w:r>
          </w:p>
        </w:tc>
        <w:tc>
          <w:tcPr>
            <w:tcW w:w="2064" w:type="dxa"/>
            <w:tcMar>
              <w:top w:w="0" w:type="dxa"/>
              <w:left w:w="108" w:type="dxa"/>
              <w:bottom w:w="0" w:type="dxa"/>
              <w:right w:w="108" w:type="dxa"/>
            </w:tcMar>
            <w:vAlign w:val="center"/>
          </w:tcPr>
          <w:p w14:paraId="06C084B7"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6,940.71</w:t>
            </w:r>
          </w:p>
        </w:tc>
        <w:tc>
          <w:tcPr>
            <w:tcW w:w="2065" w:type="dxa"/>
            <w:tcMar>
              <w:top w:w="0" w:type="dxa"/>
              <w:left w:w="108" w:type="dxa"/>
              <w:bottom w:w="0" w:type="dxa"/>
              <w:right w:w="108" w:type="dxa"/>
            </w:tcMar>
            <w:vAlign w:val="center"/>
          </w:tcPr>
          <w:p w14:paraId="22B0142F"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2,921.82</w:t>
            </w:r>
          </w:p>
        </w:tc>
        <w:tc>
          <w:tcPr>
            <w:tcW w:w="2065" w:type="dxa"/>
            <w:tcMar>
              <w:top w:w="0" w:type="dxa"/>
              <w:left w:w="108" w:type="dxa"/>
              <w:bottom w:w="0" w:type="dxa"/>
              <w:right w:w="108" w:type="dxa"/>
            </w:tcMar>
            <w:vAlign w:val="center"/>
          </w:tcPr>
          <w:p w14:paraId="58030F49"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42.10%</w:t>
            </w:r>
          </w:p>
        </w:tc>
      </w:tr>
    </w:tbl>
    <w:bookmarkEnd w:id="171"/>
    <w:p w14:paraId="0C08F7FF" w14:textId="77777777" w:rsidR="006416B0" w:rsidRPr="00B4515A" w:rsidRDefault="005E58C1" w:rsidP="005860B4">
      <w:pPr>
        <w:pStyle w:val="004"/>
        <w:spacing w:before="120" w:after="120"/>
        <w:ind w:firstLine="482"/>
      </w:pPr>
      <w:r w:rsidRPr="00B4515A">
        <w:t>4</w:t>
      </w:r>
      <w:r w:rsidRPr="00B4515A">
        <w:rPr>
          <w:rFonts w:hint="eastAsia"/>
        </w:rPr>
        <w:t>、商标</w:t>
      </w:r>
    </w:p>
    <w:p w14:paraId="4F1EB2D3" w14:textId="77777777" w:rsidR="006416B0" w:rsidRPr="00B4515A" w:rsidRDefault="005E58C1" w:rsidP="005860B4">
      <w:pPr>
        <w:pStyle w:val="005"/>
        <w:spacing w:before="120" w:after="120"/>
        <w:ind w:firstLine="480"/>
        <w:rPr>
          <w:bCs/>
          <w:color w:val="000000" w:themeColor="text1"/>
        </w:rPr>
      </w:pPr>
      <w:r w:rsidRPr="00B4515A">
        <w:t>截至</w:t>
      </w:r>
      <w:r w:rsidRPr="00B4515A">
        <w:rPr>
          <w:rFonts w:hint="eastAsia"/>
        </w:rPr>
        <w:t>本报告书签署日</w:t>
      </w:r>
      <w:r w:rsidRPr="00B4515A">
        <w:t>，大唐</w:t>
      </w:r>
      <w:r w:rsidRPr="00B4515A">
        <w:rPr>
          <w:rFonts w:hint="eastAsia"/>
        </w:rPr>
        <w:t>联诚拥有</w:t>
      </w:r>
      <w:r w:rsidRPr="00B4515A">
        <w:rPr>
          <w:rFonts w:hint="eastAsia"/>
        </w:rPr>
        <w:t>3</w:t>
      </w:r>
      <w:r w:rsidRPr="00B4515A">
        <w:rPr>
          <w:rFonts w:hint="eastAsia"/>
        </w:rPr>
        <w:t>项注册商标，具体</w:t>
      </w:r>
      <w:r w:rsidRPr="00B4515A">
        <w:rPr>
          <w:rFonts w:hint="eastAsia"/>
          <w:bCs/>
          <w:color w:val="000000" w:themeColor="text1"/>
        </w:rPr>
        <w:t>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40"/>
        <w:gridCol w:w="644"/>
        <w:gridCol w:w="1330"/>
        <w:gridCol w:w="1204"/>
        <w:gridCol w:w="1372"/>
        <w:gridCol w:w="2295"/>
        <w:gridCol w:w="1043"/>
      </w:tblGrid>
      <w:tr w:rsidR="006416B0" w:rsidRPr="00B4515A" w14:paraId="601E58AA" w14:textId="77777777" w:rsidTr="005860B4">
        <w:trPr>
          <w:trHeight w:val="340"/>
          <w:jc w:val="center"/>
        </w:trPr>
        <w:tc>
          <w:tcPr>
            <w:tcW w:w="640" w:type="dxa"/>
            <w:tcMar>
              <w:top w:w="0" w:type="dxa"/>
              <w:left w:w="108" w:type="dxa"/>
              <w:bottom w:w="0" w:type="dxa"/>
              <w:right w:w="108" w:type="dxa"/>
            </w:tcMar>
            <w:vAlign w:val="center"/>
          </w:tcPr>
          <w:p w14:paraId="67BF238A" w14:textId="77777777" w:rsidR="006416B0" w:rsidRPr="00B4515A" w:rsidRDefault="005E58C1" w:rsidP="005860B4">
            <w:pPr>
              <w:adjustRightInd w:val="0"/>
              <w:snapToGrid w:val="0"/>
              <w:jc w:val="center"/>
              <w:textAlignment w:val="center"/>
              <w:rPr>
                <w:rFonts w:ascii="Times New Roman" w:hAnsi="Times New Roman" w:cs="Times New Roman"/>
                <w:b/>
                <w:color w:val="000000" w:themeColor="text1"/>
                <w:sz w:val="21"/>
                <w:szCs w:val="21"/>
                <w:lang w:bidi="ar"/>
              </w:rPr>
            </w:pPr>
            <w:r w:rsidRPr="00B4515A">
              <w:rPr>
                <w:rFonts w:ascii="Times New Roman" w:hAnsi="Times New Roman" w:cs="Times New Roman"/>
                <w:b/>
                <w:color w:val="000000" w:themeColor="text1"/>
                <w:sz w:val="21"/>
                <w:szCs w:val="21"/>
                <w:lang w:bidi="ar"/>
              </w:rPr>
              <w:t>序号</w:t>
            </w:r>
          </w:p>
        </w:tc>
        <w:tc>
          <w:tcPr>
            <w:tcW w:w="644" w:type="dxa"/>
            <w:tcMar>
              <w:top w:w="0" w:type="dxa"/>
              <w:left w:w="108" w:type="dxa"/>
              <w:bottom w:w="0" w:type="dxa"/>
              <w:right w:w="108" w:type="dxa"/>
            </w:tcMar>
            <w:vAlign w:val="center"/>
          </w:tcPr>
          <w:p w14:paraId="2AC34BA3" w14:textId="77777777" w:rsidR="006416B0" w:rsidRPr="00B4515A" w:rsidRDefault="005E58C1" w:rsidP="005860B4">
            <w:pPr>
              <w:adjustRightInd w:val="0"/>
              <w:snapToGrid w:val="0"/>
              <w:jc w:val="center"/>
              <w:textAlignment w:val="center"/>
              <w:rPr>
                <w:rFonts w:ascii="Times New Roman" w:hAnsi="Times New Roman" w:cs="Times New Roman"/>
                <w:b/>
                <w:color w:val="000000" w:themeColor="text1"/>
                <w:sz w:val="21"/>
                <w:szCs w:val="21"/>
                <w:lang w:bidi="ar"/>
              </w:rPr>
            </w:pPr>
            <w:r w:rsidRPr="00B4515A">
              <w:rPr>
                <w:rFonts w:ascii="Times New Roman" w:hAnsi="Times New Roman" w:cs="Times New Roman"/>
                <w:b/>
                <w:color w:val="000000" w:themeColor="text1"/>
                <w:sz w:val="21"/>
                <w:szCs w:val="21"/>
                <w:lang w:bidi="ar"/>
              </w:rPr>
              <w:t>类别</w:t>
            </w:r>
          </w:p>
        </w:tc>
        <w:tc>
          <w:tcPr>
            <w:tcW w:w="1330" w:type="dxa"/>
            <w:tcMar>
              <w:top w:w="0" w:type="dxa"/>
              <w:left w:w="108" w:type="dxa"/>
              <w:bottom w:w="0" w:type="dxa"/>
              <w:right w:w="108" w:type="dxa"/>
            </w:tcMar>
            <w:vAlign w:val="center"/>
          </w:tcPr>
          <w:p w14:paraId="21397246" w14:textId="77777777" w:rsidR="006416B0" w:rsidRPr="00B4515A" w:rsidRDefault="005E58C1" w:rsidP="005860B4">
            <w:pPr>
              <w:adjustRightInd w:val="0"/>
              <w:snapToGrid w:val="0"/>
              <w:jc w:val="center"/>
              <w:textAlignment w:val="center"/>
              <w:rPr>
                <w:rFonts w:ascii="Times New Roman" w:hAnsi="Times New Roman" w:cs="Times New Roman"/>
                <w:b/>
                <w:color w:val="000000" w:themeColor="text1"/>
                <w:sz w:val="21"/>
                <w:szCs w:val="21"/>
                <w:lang w:bidi="ar"/>
              </w:rPr>
            </w:pPr>
            <w:r w:rsidRPr="00B4515A">
              <w:rPr>
                <w:rFonts w:ascii="Times New Roman" w:hAnsi="Times New Roman" w:cs="Times New Roman"/>
                <w:b/>
                <w:color w:val="000000" w:themeColor="text1"/>
                <w:sz w:val="21"/>
                <w:szCs w:val="21"/>
                <w:lang w:bidi="ar"/>
              </w:rPr>
              <w:t>商标</w:t>
            </w:r>
          </w:p>
        </w:tc>
        <w:tc>
          <w:tcPr>
            <w:tcW w:w="1204" w:type="dxa"/>
            <w:tcMar>
              <w:top w:w="0" w:type="dxa"/>
              <w:left w:w="108" w:type="dxa"/>
              <w:bottom w:w="0" w:type="dxa"/>
              <w:right w:w="108" w:type="dxa"/>
            </w:tcMar>
            <w:vAlign w:val="center"/>
          </w:tcPr>
          <w:p w14:paraId="33E1BAE7" w14:textId="77777777" w:rsidR="006416B0" w:rsidRPr="00B4515A" w:rsidRDefault="005E58C1" w:rsidP="005860B4">
            <w:pPr>
              <w:adjustRightInd w:val="0"/>
              <w:snapToGrid w:val="0"/>
              <w:jc w:val="center"/>
              <w:textAlignment w:val="center"/>
              <w:rPr>
                <w:rFonts w:ascii="Times New Roman" w:hAnsi="Times New Roman" w:cs="Times New Roman"/>
                <w:b/>
                <w:color w:val="000000" w:themeColor="text1"/>
                <w:sz w:val="21"/>
                <w:szCs w:val="21"/>
                <w:lang w:bidi="ar"/>
              </w:rPr>
            </w:pPr>
            <w:r w:rsidRPr="00B4515A">
              <w:rPr>
                <w:rFonts w:ascii="Times New Roman" w:hAnsi="Times New Roman" w:cs="Times New Roman"/>
                <w:b/>
                <w:color w:val="000000" w:themeColor="text1"/>
                <w:sz w:val="21"/>
                <w:szCs w:val="21"/>
                <w:lang w:bidi="ar"/>
              </w:rPr>
              <w:t>注册号</w:t>
            </w:r>
          </w:p>
        </w:tc>
        <w:tc>
          <w:tcPr>
            <w:tcW w:w="1372" w:type="dxa"/>
            <w:tcMar>
              <w:top w:w="0" w:type="dxa"/>
              <w:left w:w="108" w:type="dxa"/>
              <w:bottom w:w="0" w:type="dxa"/>
              <w:right w:w="108" w:type="dxa"/>
            </w:tcMar>
            <w:vAlign w:val="center"/>
          </w:tcPr>
          <w:p w14:paraId="5AA491E6" w14:textId="77777777" w:rsidR="005860B4" w:rsidRPr="00B4515A" w:rsidRDefault="005E58C1" w:rsidP="005860B4">
            <w:pPr>
              <w:adjustRightInd w:val="0"/>
              <w:snapToGrid w:val="0"/>
              <w:jc w:val="center"/>
              <w:textAlignment w:val="center"/>
              <w:rPr>
                <w:rFonts w:ascii="Times New Roman" w:hAnsi="Times New Roman" w:cs="Times New Roman"/>
                <w:b/>
                <w:color w:val="000000" w:themeColor="text1"/>
                <w:sz w:val="21"/>
                <w:szCs w:val="21"/>
                <w:lang w:bidi="ar"/>
              </w:rPr>
            </w:pPr>
            <w:r w:rsidRPr="00B4515A">
              <w:rPr>
                <w:rFonts w:ascii="Times New Roman" w:hAnsi="Times New Roman" w:cs="Times New Roman"/>
                <w:b/>
                <w:color w:val="000000" w:themeColor="text1"/>
                <w:sz w:val="21"/>
                <w:szCs w:val="21"/>
                <w:lang w:bidi="ar"/>
              </w:rPr>
              <w:t>注册有效</w:t>
            </w:r>
          </w:p>
          <w:p w14:paraId="75CBF0BA" w14:textId="767E0D60" w:rsidR="006416B0" w:rsidRPr="00B4515A" w:rsidRDefault="005E58C1" w:rsidP="005860B4">
            <w:pPr>
              <w:adjustRightInd w:val="0"/>
              <w:snapToGrid w:val="0"/>
              <w:jc w:val="center"/>
              <w:textAlignment w:val="center"/>
              <w:rPr>
                <w:rFonts w:ascii="Times New Roman" w:hAnsi="Times New Roman" w:cs="Times New Roman"/>
                <w:b/>
                <w:color w:val="000000" w:themeColor="text1"/>
                <w:sz w:val="21"/>
                <w:szCs w:val="21"/>
                <w:lang w:bidi="ar"/>
              </w:rPr>
            </w:pPr>
            <w:r w:rsidRPr="00B4515A">
              <w:rPr>
                <w:rFonts w:ascii="Times New Roman" w:hAnsi="Times New Roman" w:cs="Times New Roman"/>
                <w:b/>
                <w:color w:val="000000" w:themeColor="text1"/>
                <w:sz w:val="21"/>
                <w:szCs w:val="21"/>
                <w:lang w:bidi="ar"/>
              </w:rPr>
              <w:t>期限</w:t>
            </w:r>
          </w:p>
        </w:tc>
        <w:tc>
          <w:tcPr>
            <w:tcW w:w="2295" w:type="dxa"/>
            <w:tcMar>
              <w:top w:w="0" w:type="dxa"/>
              <w:left w:w="108" w:type="dxa"/>
              <w:bottom w:w="0" w:type="dxa"/>
              <w:right w:w="108" w:type="dxa"/>
            </w:tcMar>
            <w:vAlign w:val="center"/>
          </w:tcPr>
          <w:p w14:paraId="2BDF1458" w14:textId="77777777" w:rsidR="006416B0" w:rsidRPr="00B4515A" w:rsidRDefault="005E58C1" w:rsidP="005860B4">
            <w:pPr>
              <w:adjustRightInd w:val="0"/>
              <w:snapToGrid w:val="0"/>
              <w:jc w:val="center"/>
              <w:textAlignment w:val="center"/>
              <w:rPr>
                <w:rFonts w:ascii="Times New Roman" w:hAnsi="Times New Roman" w:cs="Times New Roman"/>
                <w:b/>
                <w:color w:val="000000" w:themeColor="text1"/>
                <w:sz w:val="21"/>
                <w:szCs w:val="21"/>
                <w:lang w:bidi="ar"/>
              </w:rPr>
            </w:pPr>
            <w:r w:rsidRPr="00B4515A">
              <w:rPr>
                <w:rFonts w:ascii="Times New Roman" w:hAnsi="Times New Roman" w:cs="Times New Roman"/>
                <w:b/>
                <w:color w:val="000000" w:themeColor="text1"/>
                <w:sz w:val="21"/>
                <w:szCs w:val="21"/>
                <w:lang w:bidi="ar"/>
              </w:rPr>
              <w:t>使用商品</w:t>
            </w:r>
          </w:p>
        </w:tc>
        <w:tc>
          <w:tcPr>
            <w:tcW w:w="1043" w:type="dxa"/>
            <w:tcMar>
              <w:top w:w="0" w:type="dxa"/>
              <w:left w:w="108" w:type="dxa"/>
              <w:bottom w:w="0" w:type="dxa"/>
              <w:right w:w="108" w:type="dxa"/>
            </w:tcMar>
            <w:vAlign w:val="center"/>
          </w:tcPr>
          <w:p w14:paraId="5CD4207F" w14:textId="77777777" w:rsidR="005860B4" w:rsidRPr="00B4515A" w:rsidRDefault="005E58C1" w:rsidP="005860B4">
            <w:pPr>
              <w:adjustRightInd w:val="0"/>
              <w:snapToGrid w:val="0"/>
              <w:jc w:val="center"/>
              <w:textAlignment w:val="center"/>
              <w:rPr>
                <w:rFonts w:ascii="Times New Roman" w:hAnsi="Times New Roman" w:cs="Times New Roman"/>
                <w:b/>
                <w:color w:val="000000" w:themeColor="text1"/>
                <w:sz w:val="21"/>
                <w:szCs w:val="21"/>
                <w:lang w:bidi="ar"/>
              </w:rPr>
            </w:pPr>
            <w:r w:rsidRPr="00B4515A">
              <w:rPr>
                <w:rFonts w:ascii="Times New Roman" w:hAnsi="Times New Roman" w:cs="Times New Roman"/>
                <w:b/>
                <w:color w:val="000000" w:themeColor="text1"/>
                <w:sz w:val="21"/>
                <w:szCs w:val="21"/>
                <w:lang w:bidi="ar"/>
              </w:rPr>
              <w:t>他项</w:t>
            </w:r>
          </w:p>
          <w:p w14:paraId="281C48B7" w14:textId="50EF9575" w:rsidR="006416B0" w:rsidRPr="00B4515A" w:rsidRDefault="005E58C1" w:rsidP="005860B4">
            <w:pPr>
              <w:adjustRightInd w:val="0"/>
              <w:snapToGrid w:val="0"/>
              <w:jc w:val="center"/>
              <w:textAlignment w:val="center"/>
              <w:rPr>
                <w:rFonts w:ascii="Times New Roman" w:hAnsi="Times New Roman" w:cs="Times New Roman"/>
                <w:b/>
                <w:color w:val="000000" w:themeColor="text1"/>
                <w:sz w:val="21"/>
                <w:szCs w:val="21"/>
                <w:lang w:bidi="ar"/>
              </w:rPr>
            </w:pPr>
            <w:r w:rsidRPr="00B4515A">
              <w:rPr>
                <w:rFonts w:ascii="Times New Roman" w:hAnsi="Times New Roman" w:cs="Times New Roman"/>
                <w:b/>
                <w:color w:val="000000" w:themeColor="text1"/>
                <w:sz w:val="21"/>
                <w:szCs w:val="21"/>
                <w:lang w:bidi="ar"/>
              </w:rPr>
              <w:t>权利</w:t>
            </w:r>
          </w:p>
        </w:tc>
      </w:tr>
      <w:tr w:rsidR="006416B0" w:rsidRPr="00B4515A" w14:paraId="442C5450" w14:textId="77777777" w:rsidTr="005860B4">
        <w:trPr>
          <w:trHeight w:val="340"/>
          <w:jc w:val="center"/>
        </w:trPr>
        <w:tc>
          <w:tcPr>
            <w:tcW w:w="640" w:type="dxa"/>
            <w:tcMar>
              <w:top w:w="0" w:type="dxa"/>
              <w:left w:w="108" w:type="dxa"/>
              <w:bottom w:w="0" w:type="dxa"/>
              <w:right w:w="108" w:type="dxa"/>
            </w:tcMar>
            <w:vAlign w:val="center"/>
          </w:tcPr>
          <w:p w14:paraId="073C56D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bCs/>
                <w:color w:val="000000" w:themeColor="text1"/>
                <w:sz w:val="21"/>
                <w:szCs w:val="21"/>
              </w:rPr>
              <w:t>1</w:t>
            </w:r>
          </w:p>
        </w:tc>
        <w:tc>
          <w:tcPr>
            <w:tcW w:w="644" w:type="dxa"/>
            <w:tcMar>
              <w:top w:w="0" w:type="dxa"/>
              <w:left w:w="108" w:type="dxa"/>
              <w:bottom w:w="0" w:type="dxa"/>
              <w:right w:w="108" w:type="dxa"/>
            </w:tcMar>
            <w:vAlign w:val="center"/>
          </w:tcPr>
          <w:p w14:paraId="30DC2ADB"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bCs/>
                <w:color w:val="000000" w:themeColor="text1"/>
                <w:sz w:val="21"/>
                <w:szCs w:val="21"/>
              </w:rPr>
              <w:t>9</w:t>
            </w:r>
          </w:p>
        </w:tc>
        <w:tc>
          <w:tcPr>
            <w:tcW w:w="1330" w:type="dxa"/>
            <w:tcMar>
              <w:top w:w="0" w:type="dxa"/>
              <w:left w:w="108" w:type="dxa"/>
              <w:bottom w:w="0" w:type="dxa"/>
              <w:right w:w="108" w:type="dxa"/>
            </w:tcMar>
            <w:vAlign w:val="center"/>
          </w:tcPr>
          <w:p w14:paraId="0964E89B"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大唐联诚</w:t>
            </w:r>
            <w:r w:rsidRPr="00B4515A">
              <w:rPr>
                <w:rFonts w:ascii="Times New Roman" w:hAnsi="Times New Roman" w:cs="Times New Roman"/>
                <w:color w:val="000000" w:themeColor="text1"/>
                <w:sz w:val="21"/>
                <w:szCs w:val="21"/>
                <w:lang w:bidi="ar"/>
              </w:rPr>
              <w:t>DT-LINKTECH</w:t>
            </w:r>
          </w:p>
        </w:tc>
        <w:tc>
          <w:tcPr>
            <w:tcW w:w="1204" w:type="dxa"/>
            <w:tcMar>
              <w:top w:w="0" w:type="dxa"/>
              <w:left w:w="108" w:type="dxa"/>
              <w:bottom w:w="0" w:type="dxa"/>
              <w:right w:w="108" w:type="dxa"/>
            </w:tcMar>
            <w:vAlign w:val="center"/>
          </w:tcPr>
          <w:p w14:paraId="7F3C3C00" w14:textId="77777777" w:rsidR="006416B0" w:rsidRPr="00B4515A" w:rsidRDefault="000374A4" w:rsidP="005860B4">
            <w:pPr>
              <w:adjustRightInd w:val="0"/>
              <w:snapToGrid w:val="0"/>
              <w:jc w:val="center"/>
              <w:rPr>
                <w:rFonts w:ascii="Times New Roman" w:hAnsi="Times New Roman" w:cs="Times New Roman"/>
                <w:color w:val="000000"/>
                <w:sz w:val="21"/>
                <w:szCs w:val="21"/>
              </w:rPr>
            </w:pPr>
            <w:hyperlink r:id="rId27" w:tooltip="点击查看" w:history="1">
              <w:r w:rsidR="005E58C1" w:rsidRPr="00B4515A">
                <w:rPr>
                  <w:rFonts w:ascii="Times New Roman" w:hAnsi="Times New Roman" w:cs="Times New Roman"/>
                  <w:bCs/>
                  <w:color w:val="000000" w:themeColor="text1"/>
                  <w:sz w:val="21"/>
                  <w:szCs w:val="21"/>
                </w:rPr>
                <w:t>11614809</w:t>
              </w:r>
            </w:hyperlink>
          </w:p>
        </w:tc>
        <w:tc>
          <w:tcPr>
            <w:tcW w:w="1372" w:type="dxa"/>
            <w:tcMar>
              <w:top w:w="0" w:type="dxa"/>
              <w:left w:w="108" w:type="dxa"/>
              <w:bottom w:w="0" w:type="dxa"/>
              <w:right w:w="108" w:type="dxa"/>
            </w:tcMar>
            <w:vAlign w:val="center"/>
          </w:tcPr>
          <w:p w14:paraId="44D6C6F5"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2014.06.21-2024.06.20</w:t>
            </w:r>
          </w:p>
        </w:tc>
        <w:tc>
          <w:tcPr>
            <w:tcW w:w="2295" w:type="dxa"/>
            <w:tcMar>
              <w:top w:w="0" w:type="dxa"/>
              <w:left w:w="108" w:type="dxa"/>
              <w:bottom w:w="0" w:type="dxa"/>
              <w:right w:w="108" w:type="dxa"/>
            </w:tcMar>
            <w:vAlign w:val="center"/>
          </w:tcPr>
          <w:p w14:paraId="7E9B81B0"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无线电设备；网络通讯设备；数据处理设备；电源材料（电线、电缆）；救生器械和设备；电池；集成电路；电动调节装置；声音传送装置（截止）</w:t>
            </w:r>
          </w:p>
        </w:tc>
        <w:tc>
          <w:tcPr>
            <w:tcW w:w="1043" w:type="dxa"/>
            <w:tcMar>
              <w:top w:w="0" w:type="dxa"/>
              <w:left w:w="108" w:type="dxa"/>
              <w:bottom w:w="0" w:type="dxa"/>
              <w:right w:w="108" w:type="dxa"/>
            </w:tcMar>
            <w:vAlign w:val="center"/>
          </w:tcPr>
          <w:p w14:paraId="2ECB313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bCs/>
                <w:color w:val="000000" w:themeColor="text1"/>
                <w:sz w:val="21"/>
                <w:szCs w:val="21"/>
              </w:rPr>
              <w:t>无</w:t>
            </w:r>
          </w:p>
        </w:tc>
      </w:tr>
      <w:tr w:rsidR="006416B0" w:rsidRPr="00B4515A" w14:paraId="3616D292" w14:textId="77777777" w:rsidTr="005860B4">
        <w:trPr>
          <w:trHeight w:val="340"/>
          <w:jc w:val="center"/>
        </w:trPr>
        <w:tc>
          <w:tcPr>
            <w:tcW w:w="640" w:type="dxa"/>
            <w:tcMar>
              <w:top w:w="0" w:type="dxa"/>
              <w:left w:w="108" w:type="dxa"/>
              <w:bottom w:w="0" w:type="dxa"/>
              <w:right w:w="108" w:type="dxa"/>
            </w:tcMar>
            <w:vAlign w:val="center"/>
          </w:tcPr>
          <w:p w14:paraId="73AB5D8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bCs/>
                <w:color w:val="000000" w:themeColor="text1"/>
                <w:sz w:val="21"/>
                <w:szCs w:val="21"/>
              </w:rPr>
              <w:t>2</w:t>
            </w:r>
          </w:p>
        </w:tc>
        <w:tc>
          <w:tcPr>
            <w:tcW w:w="644" w:type="dxa"/>
            <w:tcMar>
              <w:top w:w="0" w:type="dxa"/>
              <w:left w:w="108" w:type="dxa"/>
              <w:bottom w:w="0" w:type="dxa"/>
              <w:right w:w="108" w:type="dxa"/>
            </w:tcMar>
            <w:vAlign w:val="center"/>
          </w:tcPr>
          <w:p w14:paraId="102FBD1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bCs/>
                <w:color w:val="000000" w:themeColor="text1"/>
                <w:sz w:val="21"/>
                <w:szCs w:val="21"/>
              </w:rPr>
              <w:t>9</w:t>
            </w:r>
          </w:p>
        </w:tc>
        <w:tc>
          <w:tcPr>
            <w:tcW w:w="1330" w:type="dxa"/>
            <w:tcMar>
              <w:top w:w="0" w:type="dxa"/>
              <w:left w:w="108" w:type="dxa"/>
              <w:bottom w:w="0" w:type="dxa"/>
              <w:right w:w="108" w:type="dxa"/>
            </w:tcMar>
            <w:vAlign w:val="center"/>
          </w:tcPr>
          <w:p w14:paraId="1274F17F"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大唐联诚</w:t>
            </w:r>
            <w:r w:rsidRPr="00B4515A">
              <w:rPr>
                <w:rFonts w:ascii="Times New Roman" w:hAnsi="Times New Roman" w:cs="Times New Roman"/>
                <w:color w:val="000000" w:themeColor="text1"/>
                <w:sz w:val="21"/>
                <w:szCs w:val="21"/>
                <w:lang w:bidi="ar"/>
              </w:rPr>
              <w:t>DT-600</w:t>
            </w:r>
          </w:p>
        </w:tc>
        <w:tc>
          <w:tcPr>
            <w:tcW w:w="1204" w:type="dxa"/>
            <w:tcMar>
              <w:top w:w="0" w:type="dxa"/>
              <w:left w:w="108" w:type="dxa"/>
              <w:bottom w:w="0" w:type="dxa"/>
              <w:right w:w="108" w:type="dxa"/>
            </w:tcMar>
            <w:vAlign w:val="center"/>
          </w:tcPr>
          <w:p w14:paraId="2B615115" w14:textId="77777777" w:rsidR="006416B0" w:rsidRPr="00B4515A" w:rsidRDefault="000374A4" w:rsidP="005860B4">
            <w:pPr>
              <w:adjustRightInd w:val="0"/>
              <w:snapToGrid w:val="0"/>
              <w:jc w:val="center"/>
              <w:rPr>
                <w:rFonts w:ascii="Times New Roman" w:hAnsi="Times New Roman" w:cs="Times New Roman"/>
                <w:color w:val="000000"/>
                <w:sz w:val="21"/>
                <w:szCs w:val="21"/>
              </w:rPr>
            </w:pPr>
            <w:hyperlink r:id="rId28" w:tooltip="点击查看" w:history="1">
              <w:r w:rsidR="005E58C1" w:rsidRPr="00B4515A">
                <w:rPr>
                  <w:rFonts w:ascii="Times New Roman" w:hAnsi="Times New Roman" w:cs="Times New Roman"/>
                  <w:bCs/>
                  <w:color w:val="000000" w:themeColor="text1"/>
                  <w:sz w:val="21"/>
                  <w:szCs w:val="21"/>
                </w:rPr>
                <w:t>11614692</w:t>
              </w:r>
            </w:hyperlink>
          </w:p>
        </w:tc>
        <w:tc>
          <w:tcPr>
            <w:tcW w:w="1372" w:type="dxa"/>
            <w:tcMar>
              <w:top w:w="0" w:type="dxa"/>
              <w:left w:w="108" w:type="dxa"/>
              <w:bottom w:w="0" w:type="dxa"/>
              <w:right w:w="108" w:type="dxa"/>
            </w:tcMar>
            <w:vAlign w:val="center"/>
          </w:tcPr>
          <w:p w14:paraId="4F705218"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2014.07.14-2024.07.13</w:t>
            </w:r>
          </w:p>
        </w:tc>
        <w:tc>
          <w:tcPr>
            <w:tcW w:w="2295" w:type="dxa"/>
            <w:tcMar>
              <w:top w:w="0" w:type="dxa"/>
              <w:left w:w="108" w:type="dxa"/>
              <w:bottom w:w="0" w:type="dxa"/>
              <w:right w:w="108" w:type="dxa"/>
            </w:tcMar>
            <w:vAlign w:val="center"/>
          </w:tcPr>
          <w:p w14:paraId="230A36CA"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无线电设备；网络通讯设备；电源材料（电线、电缆）；救生器械和设备；电池；集成电路；电动调节装置（截止）</w:t>
            </w:r>
          </w:p>
        </w:tc>
        <w:tc>
          <w:tcPr>
            <w:tcW w:w="1043" w:type="dxa"/>
            <w:tcMar>
              <w:top w:w="0" w:type="dxa"/>
              <w:left w:w="108" w:type="dxa"/>
              <w:bottom w:w="0" w:type="dxa"/>
              <w:right w:w="108" w:type="dxa"/>
            </w:tcMar>
            <w:vAlign w:val="center"/>
          </w:tcPr>
          <w:p w14:paraId="59E4B59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bCs/>
                <w:color w:val="000000" w:themeColor="text1"/>
                <w:sz w:val="21"/>
                <w:szCs w:val="21"/>
              </w:rPr>
              <w:t>无</w:t>
            </w:r>
          </w:p>
        </w:tc>
      </w:tr>
      <w:tr w:rsidR="006416B0" w:rsidRPr="00B4515A" w14:paraId="56CDD8C2" w14:textId="77777777" w:rsidTr="005860B4">
        <w:trPr>
          <w:trHeight w:val="340"/>
          <w:jc w:val="center"/>
        </w:trPr>
        <w:tc>
          <w:tcPr>
            <w:tcW w:w="640" w:type="dxa"/>
            <w:tcMar>
              <w:top w:w="0" w:type="dxa"/>
              <w:left w:w="108" w:type="dxa"/>
              <w:bottom w:w="0" w:type="dxa"/>
              <w:right w:w="108" w:type="dxa"/>
            </w:tcMar>
            <w:vAlign w:val="center"/>
          </w:tcPr>
          <w:p w14:paraId="249902C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bCs/>
                <w:color w:val="000000" w:themeColor="text1"/>
                <w:sz w:val="21"/>
                <w:szCs w:val="21"/>
              </w:rPr>
              <w:t>3</w:t>
            </w:r>
          </w:p>
        </w:tc>
        <w:tc>
          <w:tcPr>
            <w:tcW w:w="644" w:type="dxa"/>
            <w:tcMar>
              <w:top w:w="0" w:type="dxa"/>
              <w:left w:w="108" w:type="dxa"/>
              <w:bottom w:w="0" w:type="dxa"/>
              <w:right w:w="108" w:type="dxa"/>
            </w:tcMar>
            <w:vAlign w:val="center"/>
          </w:tcPr>
          <w:p w14:paraId="1D0C810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bCs/>
                <w:color w:val="000000" w:themeColor="text1"/>
                <w:sz w:val="21"/>
                <w:szCs w:val="21"/>
              </w:rPr>
              <w:t>9</w:t>
            </w:r>
          </w:p>
        </w:tc>
        <w:tc>
          <w:tcPr>
            <w:tcW w:w="1330" w:type="dxa"/>
            <w:tcMar>
              <w:top w:w="0" w:type="dxa"/>
              <w:left w:w="108" w:type="dxa"/>
              <w:bottom w:w="0" w:type="dxa"/>
              <w:right w:w="108" w:type="dxa"/>
            </w:tcMar>
            <w:vAlign w:val="center"/>
          </w:tcPr>
          <w:p w14:paraId="03BEE999"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大唐联诚</w:t>
            </w:r>
            <w:r w:rsidRPr="00B4515A">
              <w:rPr>
                <w:rFonts w:ascii="Times New Roman" w:hAnsi="Times New Roman" w:cs="Times New Roman"/>
                <w:color w:val="000000" w:themeColor="text1"/>
                <w:sz w:val="21"/>
                <w:szCs w:val="21"/>
                <w:lang w:bidi="ar"/>
              </w:rPr>
              <w:t>DT-155</w:t>
            </w:r>
          </w:p>
        </w:tc>
        <w:tc>
          <w:tcPr>
            <w:tcW w:w="1204" w:type="dxa"/>
            <w:tcMar>
              <w:top w:w="0" w:type="dxa"/>
              <w:left w:w="108" w:type="dxa"/>
              <w:bottom w:w="0" w:type="dxa"/>
              <w:right w:w="108" w:type="dxa"/>
            </w:tcMar>
            <w:vAlign w:val="center"/>
          </w:tcPr>
          <w:p w14:paraId="4E145651" w14:textId="77777777" w:rsidR="006416B0" w:rsidRPr="00B4515A" w:rsidRDefault="000374A4" w:rsidP="005860B4">
            <w:pPr>
              <w:adjustRightInd w:val="0"/>
              <w:snapToGrid w:val="0"/>
              <w:jc w:val="center"/>
              <w:rPr>
                <w:rFonts w:ascii="Times New Roman" w:hAnsi="Times New Roman" w:cs="Times New Roman"/>
                <w:color w:val="000000"/>
                <w:sz w:val="21"/>
                <w:szCs w:val="21"/>
              </w:rPr>
            </w:pPr>
            <w:hyperlink r:id="rId29" w:tooltip="点击查看" w:history="1">
              <w:r w:rsidR="005E58C1" w:rsidRPr="00B4515A">
                <w:rPr>
                  <w:rFonts w:ascii="Times New Roman" w:hAnsi="Times New Roman" w:cs="Times New Roman"/>
                  <w:bCs/>
                  <w:color w:val="000000" w:themeColor="text1"/>
                  <w:sz w:val="21"/>
                  <w:szCs w:val="21"/>
                </w:rPr>
                <w:t>11614636</w:t>
              </w:r>
            </w:hyperlink>
          </w:p>
        </w:tc>
        <w:tc>
          <w:tcPr>
            <w:tcW w:w="1372" w:type="dxa"/>
            <w:tcMar>
              <w:top w:w="0" w:type="dxa"/>
              <w:left w:w="108" w:type="dxa"/>
              <w:bottom w:w="0" w:type="dxa"/>
              <w:right w:w="108" w:type="dxa"/>
            </w:tcMar>
            <w:vAlign w:val="center"/>
          </w:tcPr>
          <w:p w14:paraId="7D40430E"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color w:val="000000" w:themeColor="text1"/>
                <w:sz w:val="21"/>
                <w:szCs w:val="21"/>
                <w:lang w:bidi="ar"/>
              </w:rPr>
              <w:t>2014.04.14-2024.04.13</w:t>
            </w:r>
          </w:p>
        </w:tc>
        <w:tc>
          <w:tcPr>
            <w:tcW w:w="2295" w:type="dxa"/>
            <w:tcMar>
              <w:top w:w="0" w:type="dxa"/>
              <w:left w:w="108" w:type="dxa"/>
              <w:bottom w:w="0" w:type="dxa"/>
              <w:right w:w="108" w:type="dxa"/>
            </w:tcMar>
            <w:vAlign w:val="center"/>
          </w:tcPr>
          <w:p w14:paraId="255963ED" w14:textId="77777777" w:rsidR="006416B0" w:rsidRPr="00B4515A" w:rsidRDefault="005E58C1" w:rsidP="005860B4">
            <w:pPr>
              <w:adjustRightInd w:val="0"/>
              <w:snapToGrid w:val="0"/>
              <w:jc w:val="center"/>
              <w:textAlignment w:val="center"/>
              <w:rPr>
                <w:rFonts w:ascii="Times New Roman" w:hAnsi="Times New Roman" w:cs="Times New Roman"/>
                <w:color w:val="000000" w:themeColor="text1"/>
                <w:sz w:val="21"/>
                <w:szCs w:val="21"/>
                <w:lang w:bidi="ar"/>
              </w:rPr>
            </w:pPr>
            <w:r w:rsidRPr="00B4515A">
              <w:rPr>
                <w:rFonts w:ascii="Times New Roman" w:hAnsi="Times New Roman" w:cs="Times New Roman" w:hint="eastAsia"/>
                <w:color w:val="000000" w:themeColor="text1"/>
                <w:sz w:val="21"/>
                <w:szCs w:val="21"/>
                <w:lang w:bidi="ar"/>
              </w:rPr>
              <w:t>无线电设备；网络通讯设备；数据处理设备；电源材料（电线、电缆）；救生器械和设备；电池；集成电路；电动调节装置；声音传送装置（截止）</w:t>
            </w:r>
          </w:p>
        </w:tc>
        <w:tc>
          <w:tcPr>
            <w:tcW w:w="1043" w:type="dxa"/>
            <w:tcMar>
              <w:top w:w="0" w:type="dxa"/>
              <w:left w:w="108" w:type="dxa"/>
              <w:bottom w:w="0" w:type="dxa"/>
              <w:right w:w="108" w:type="dxa"/>
            </w:tcMar>
            <w:vAlign w:val="center"/>
          </w:tcPr>
          <w:p w14:paraId="715B4E0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bCs/>
                <w:color w:val="000000" w:themeColor="text1"/>
                <w:sz w:val="21"/>
                <w:szCs w:val="21"/>
              </w:rPr>
              <w:t>无</w:t>
            </w:r>
          </w:p>
        </w:tc>
      </w:tr>
    </w:tbl>
    <w:p w14:paraId="32015F85" w14:textId="77777777" w:rsidR="006416B0" w:rsidRPr="00B4515A" w:rsidRDefault="005E58C1" w:rsidP="005860B4">
      <w:pPr>
        <w:pStyle w:val="004"/>
        <w:spacing w:before="120" w:after="120"/>
        <w:ind w:firstLine="482"/>
      </w:pPr>
      <w:bookmarkStart w:id="172" w:name="_Hlk76925949"/>
      <w:r w:rsidRPr="00B4515A">
        <w:t>5</w:t>
      </w:r>
      <w:r w:rsidRPr="00B4515A">
        <w:rPr>
          <w:rFonts w:hint="eastAsia"/>
        </w:rPr>
        <w:t>、专利</w:t>
      </w:r>
    </w:p>
    <w:p w14:paraId="79BA515F" w14:textId="08CFD4CB" w:rsidR="006416B0" w:rsidRPr="00B4515A" w:rsidRDefault="005E58C1" w:rsidP="005860B4">
      <w:pPr>
        <w:pStyle w:val="005"/>
        <w:spacing w:before="120" w:after="120"/>
        <w:ind w:firstLine="480"/>
        <w:rPr>
          <w:bCs/>
          <w:color w:val="000000" w:themeColor="text1"/>
        </w:rPr>
      </w:pPr>
      <w:r w:rsidRPr="00B4515A">
        <w:t>截至</w:t>
      </w:r>
      <w:r w:rsidRPr="00B4515A">
        <w:rPr>
          <w:rFonts w:hint="eastAsia"/>
        </w:rPr>
        <w:t>本报告书签署日</w:t>
      </w:r>
      <w:r w:rsidRPr="00B4515A">
        <w:t>，大唐</w:t>
      </w:r>
      <w:r w:rsidRPr="00B4515A">
        <w:rPr>
          <w:rFonts w:hint="eastAsia"/>
        </w:rPr>
        <w:t>联诚拥有</w:t>
      </w:r>
      <w:r w:rsidRPr="00B4515A">
        <w:rPr>
          <w:rFonts w:hint="eastAsia"/>
        </w:rPr>
        <w:t>4</w:t>
      </w:r>
      <w:r w:rsidR="000A2F97" w:rsidRPr="00B4515A">
        <w:t>4</w:t>
      </w:r>
      <w:r w:rsidRPr="00B4515A">
        <w:rPr>
          <w:rFonts w:hint="eastAsia"/>
        </w:rPr>
        <w:t>项专利，其中发明专利</w:t>
      </w:r>
      <w:r w:rsidRPr="00B4515A">
        <w:rPr>
          <w:rFonts w:hint="eastAsia"/>
        </w:rPr>
        <w:t>4</w:t>
      </w:r>
      <w:r w:rsidR="000A2F97" w:rsidRPr="00B4515A">
        <w:t>3</w:t>
      </w:r>
      <w:r w:rsidRPr="00B4515A">
        <w:rPr>
          <w:rFonts w:hint="eastAsia"/>
        </w:rPr>
        <w:t>项（含</w:t>
      </w:r>
      <w:r w:rsidRPr="00B4515A">
        <w:rPr>
          <w:rFonts w:hint="eastAsia"/>
        </w:rPr>
        <w:t>3</w:t>
      </w:r>
      <w:r w:rsidRPr="00B4515A">
        <w:rPr>
          <w:rFonts w:hint="eastAsia"/>
        </w:rPr>
        <w:t>项</w:t>
      </w:r>
      <w:r w:rsidR="00412596" w:rsidRPr="00B4515A">
        <w:rPr>
          <w:rFonts w:hint="eastAsia"/>
        </w:rPr>
        <w:t>国防</w:t>
      </w:r>
      <w:r w:rsidRPr="00B4515A">
        <w:rPr>
          <w:rFonts w:hint="eastAsia"/>
        </w:rPr>
        <w:t>专利）、外观设计专利</w:t>
      </w:r>
      <w:r w:rsidRPr="00B4515A">
        <w:t>1</w:t>
      </w:r>
      <w:r w:rsidRPr="00B4515A">
        <w:rPr>
          <w:rFonts w:hint="eastAsia"/>
        </w:rPr>
        <w:t>项，具体</w:t>
      </w:r>
      <w:r w:rsidRPr="00B4515A">
        <w:rPr>
          <w:rFonts w:hint="eastAsia"/>
          <w:bCs/>
          <w:color w:val="000000" w:themeColor="text1"/>
        </w:rPr>
        <w:t>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38"/>
        <w:gridCol w:w="1316"/>
        <w:gridCol w:w="2055"/>
        <w:gridCol w:w="2063"/>
        <w:gridCol w:w="1178"/>
        <w:gridCol w:w="1178"/>
      </w:tblGrid>
      <w:tr w:rsidR="006416B0" w:rsidRPr="00B4515A" w14:paraId="7485DA94" w14:textId="77777777" w:rsidTr="005860B4">
        <w:trPr>
          <w:trHeight w:val="340"/>
          <w:tblHeader/>
          <w:jc w:val="center"/>
        </w:trPr>
        <w:tc>
          <w:tcPr>
            <w:tcW w:w="738" w:type="dxa"/>
            <w:shd w:val="clear" w:color="auto" w:fill="auto"/>
            <w:tcMar>
              <w:top w:w="0" w:type="dxa"/>
              <w:left w:w="108" w:type="dxa"/>
              <w:bottom w:w="0" w:type="dxa"/>
              <w:right w:w="108" w:type="dxa"/>
            </w:tcMar>
            <w:vAlign w:val="center"/>
          </w:tcPr>
          <w:p w14:paraId="7BD0A477"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hint="eastAsia"/>
                <w:b/>
                <w:bCs/>
                <w:color w:val="000000" w:themeColor="text1"/>
                <w:sz w:val="21"/>
                <w:szCs w:val="21"/>
              </w:rPr>
              <w:t>序号</w:t>
            </w:r>
          </w:p>
        </w:tc>
        <w:tc>
          <w:tcPr>
            <w:tcW w:w="1316" w:type="dxa"/>
            <w:tcMar>
              <w:top w:w="0" w:type="dxa"/>
              <w:left w:w="108" w:type="dxa"/>
              <w:bottom w:w="0" w:type="dxa"/>
              <w:right w:w="108" w:type="dxa"/>
            </w:tcMar>
            <w:vAlign w:val="center"/>
          </w:tcPr>
          <w:p w14:paraId="0E426C49"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hint="eastAsia"/>
                <w:b/>
                <w:bCs/>
                <w:color w:val="000000" w:themeColor="text1"/>
                <w:sz w:val="21"/>
                <w:szCs w:val="21"/>
              </w:rPr>
              <w:t>专利种类</w:t>
            </w:r>
          </w:p>
        </w:tc>
        <w:tc>
          <w:tcPr>
            <w:tcW w:w="2055" w:type="dxa"/>
            <w:tcMar>
              <w:top w:w="0" w:type="dxa"/>
              <w:left w:w="108" w:type="dxa"/>
              <w:bottom w:w="0" w:type="dxa"/>
              <w:right w:w="108" w:type="dxa"/>
            </w:tcMar>
            <w:vAlign w:val="center"/>
          </w:tcPr>
          <w:p w14:paraId="2540D429"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hint="eastAsia"/>
                <w:b/>
                <w:bCs/>
                <w:color w:val="000000" w:themeColor="text1"/>
                <w:sz w:val="21"/>
                <w:szCs w:val="21"/>
              </w:rPr>
              <w:t>名称</w:t>
            </w:r>
          </w:p>
        </w:tc>
        <w:tc>
          <w:tcPr>
            <w:tcW w:w="2063" w:type="dxa"/>
            <w:shd w:val="clear" w:color="auto" w:fill="auto"/>
            <w:tcMar>
              <w:top w:w="0" w:type="dxa"/>
              <w:left w:w="108" w:type="dxa"/>
              <w:bottom w:w="0" w:type="dxa"/>
              <w:right w:w="108" w:type="dxa"/>
            </w:tcMar>
            <w:vAlign w:val="center"/>
          </w:tcPr>
          <w:p w14:paraId="4317DFBE"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hint="eastAsia"/>
                <w:b/>
                <w:bCs/>
                <w:color w:val="000000" w:themeColor="text1"/>
                <w:sz w:val="21"/>
                <w:szCs w:val="21"/>
              </w:rPr>
              <w:t>申请号</w:t>
            </w:r>
            <w:r w:rsidRPr="00B4515A">
              <w:rPr>
                <w:rFonts w:ascii="Times New Roman" w:hAnsi="Times New Roman" w:cs="Times New Roman"/>
                <w:b/>
                <w:bCs/>
                <w:color w:val="000000" w:themeColor="text1"/>
                <w:sz w:val="21"/>
                <w:szCs w:val="21"/>
              </w:rPr>
              <w:t>/</w:t>
            </w:r>
            <w:r w:rsidRPr="00B4515A">
              <w:rPr>
                <w:rFonts w:ascii="Times New Roman" w:hAnsi="Times New Roman" w:cs="Times New Roman" w:hint="eastAsia"/>
                <w:b/>
                <w:bCs/>
                <w:color w:val="000000" w:themeColor="text1"/>
                <w:sz w:val="21"/>
                <w:szCs w:val="21"/>
              </w:rPr>
              <w:t>专利号</w:t>
            </w:r>
          </w:p>
        </w:tc>
        <w:tc>
          <w:tcPr>
            <w:tcW w:w="1178" w:type="dxa"/>
            <w:tcMar>
              <w:top w:w="0" w:type="dxa"/>
              <w:left w:w="108" w:type="dxa"/>
              <w:bottom w:w="0" w:type="dxa"/>
              <w:right w:w="108" w:type="dxa"/>
            </w:tcMar>
            <w:vAlign w:val="center"/>
          </w:tcPr>
          <w:p w14:paraId="124583DF" w14:textId="77777777" w:rsidR="005860B4"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hint="eastAsia"/>
                <w:b/>
                <w:bCs/>
                <w:color w:val="000000" w:themeColor="text1"/>
                <w:sz w:val="21"/>
                <w:szCs w:val="21"/>
              </w:rPr>
              <w:t>授权公</w:t>
            </w:r>
          </w:p>
          <w:p w14:paraId="05EF545E" w14:textId="0FE0B7BD"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hint="eastAsia"/>
                <w:b/>
                <w:bCs/>
                <w:color w:val="000000" w:themeColor="text1"/>
                <w:sz w:val="21"/>
                <w:szCs w:val="21"/>
              </w:rPr>
              <w:t>告日</w:t>
            </w:r>
          </w:p>
        </w:tc>
        <w:tc>
          <w:tcPr>
            <w:tcW w:w="1178" w:type="dxa"/>
            <w:tcMar>
              <w:top w:w="0" w:type="dxa"/>
              <w:left w:w="108" w:type="dxa"/>
              <w:bottom w:w="0" w:type="dxa"/>
              <w:right w:w="108" w:type="dxa"/>
            </w:tcMar>
            <w:vAlign w:val="center"/>
          </w:tcPr>
          <w:p w14:paraId="4984538B"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hint="eastAsia"/>
                <w:b/>
                <w:bCs/>
                <w:color w:val="000000" w:themeColor="text1"/>
                <w:sz w:val="21"/>
                <w:szCs w:val="21"/>
              </w:rPr>
              <w:t>专利权人</w:t>
            </w:r>
          </w:p>
        </w:tc>
      </w:tr>
      <w:tr w:rsidR="006416B0" w:rsidRPr="00B4515A" w14:paraId="1B4FE9F9" w14:textId="77777777" w:rsidTr="005860B4">
        <w:trPr>
          <w:trHeight w:val="340"/>
          <w:jc w:val="center"/>
        </w:trPr>
        <w:tc>
          <w:tcPr>
            <w:tcW w:w="738" w:type="dxa"/>
            <w:shd w:val="clear" w:color="auto" w:fill="auto"/>
            <w:tcMar>
              <w:top w:w="0" w:type="dxa"/>
              <w:left w:w="108" w:type="dxa"/>
              <w:bottom w:w="0" w:type="dxa"/>
              <w:right w:w="108" w:type="dxa"/>
            </w:tcMar>
            <w:vAlign w:val="center"/>
          </w:tcPr>
          <w:p w14:paraId="4E1F4CD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w:t>
            </w:r>
          </w:p>
        </w:tc>
        <w:tc>
          <w:tcPr>
            <w:tcW w:w="1316" w:type="dxa"/>
            <w:tcMar>
              <w:top w:w="0" w:type="dxa"/>
              <w:left w:w="108" w:type="dxa"/>
              <w:bottom w:w="0" w:type="dxa"/>
              <w:right w:w="108" w:type="dxa"/>
            </w:tcMar>
            <w:vAlign w:val="center"/>
          </w:tcPr>
          <w:p w14:paraId="21D47FB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7035847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一种随机接入方法及应用该方法的基站和用户终端</w:t>
            </w:r>
          </w:p>
        </w:tc>
        <w:tc>
          <w:tcPr>
            <w:tcW w:w="2063" w:type="dxa"/>
            <w:shd w:val="clear" w:color="auto" w:fill="auto"/>
            <w:tcMar>
              <w:top w:w="0" w:type="dxa"/>
              <w:left w:w="108" w:type="dxa"/>
              <w:bottom w:w="0" w:type="dxa"/>
              <w:right w:w="108" w:type="dxa"/>
            </w:tcMar>
            <w:vAlign w:val="center"/>
          </w:tcPr>
          <w:p w14:paraId="5027F7B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ZL200610144048.5</w:t>
            </w:r>
          </w:p>
        </w:tc>
        <w:tc>
          <w:tcPr>
            <w:tcW w:w="1178" w:type="dxa"/>
            <w:tcMar>
              <w:top w:w="0" w:type="dxa"/>
              <w:left w:w="108" w:type="dxa"/>
              <w:bottom w:w="0" w:type="dxa"/>
              <w:right w:w="108" w:type="dxa"/>
            </w:tcMar>
            <w:vAlign w:val="center"/>
          </w:tcPr>
          <w:p w14:paraId="2857E92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2011.05.04</w:t>
            </w:r>
          </w:p>
        </w:tc>
        <w:tc>
          <w:tcPr>
            <w:tcW w:w="1178" w:type="dxa"/>
            <w:tcMar>
              <w:top w:w="0" w:type="dxa"/>
              <w:left w:w="108" w:type="dxa"/>
              <w:bottom w:w="0" w:type="dxa"/>
              <w:right w:w="108" w:type="dxa"/>
            </w:tcMar>
            <w:vAlign w:val="center"/>
          </w:tcPr>
          <w:p w14:paraId="4F98285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大唐联诚、大唐移动</w:t>
            </w:r>
          </w:p>
        </w:tc>
      </w:tr>
      <w:tr w:rsidR="006416B0" w:rsidRPr="00B4515A" w14:paraId="39E1F0B6" w14:textId="77777777" w:rsidTr="005860B4">
        <w:trPr>
          <w:trHeight w:val="340"/>
          <w:jc w:val="center"/>
        </w:trPr>
        <w:tc>
          <w:tcPr>
            <w:tcW w:w="738" w:type="dxa"/>
            <w:shd w:val="clear" w:color="auto" w:fill="auto"/>
            <w:tcMar>
              <w:top w:w="0" w:type="dxa"/>
              <w:left w:w="108" w:type="dxa"/>
              <w:bottom w:w="0" w:type="dxa"/>
              <w:right w:w="108" w:type="dxa"/>
            </w:tcMar>
            <w:vAlign w:val="center"/>
          </w:tcPr>
          <w:p w14:paraId="63CFA58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w:t>
            </w:r>
          </w:p>
        </w:tc>
        <w:tc>
          <w:tcPr>
            <w:tcW w:w="1316" w:type="dxa"/>
            <w:tcMar>
              <w:top w:w="0" w:type="dxa"/>
              <w:left w:w="108" w:type="dxa"/>
              <w:bottom w:w="0" w:type="dxa"/>
              <w:right w:w="108" w:type="dxa"/>
            </w:tcMar>
            <w:vAlign w:val="center"/>
          </w:tcPr>
          <w:p w14:paraId="300F505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5689067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预编码功率归一化参数的发送、接收方法及设备</w:t>
            </w:r>
          </w:p>
        </w:tc>
        <w:tc>
          <w:tcPr>
            <w:tcW w:w="2063" w:type="dxa"/>
            <w:shd w:val="clear" w:color="auto" w:fill="auto"/>
            <w:tcMar>
              <w:top w:w="0" w:type="dxa"/>
              <w:left w:w="108" w:type="dxa"/>
              <w:bottom w:w="0" w:type="dxa"/>
              <w:right w:w="108" w:type="dxa"/>
            </w:tcMar>
            <w:vAlign w:val="center"/>
          </w:tcPr>
          <w:p w14:paraId="61C9272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30" w:history="1">
              <w:r w:rsidRPr="00B4515A">
                <w:rPr>
                  <w:rFonts w:ascii="Times New Roman" w:hAnsi="Times New Roman" w:cs="Times New Roman"/>
                  <w:bCs/>
                  <w:color w:val="000000" w:themeColor="text1"/>
                  <w:sz w:val="21"/>
                  <w:szCs w:val="21"/>
                </w:rPr>
                <w:t>200810222568.2</w:t>
              </w:r>
            </w:hyperlink>
          </w:p>
        </w:tc>
        <w:tc>
          <w:tcPr>
            <w:tcW w:w="1178" w:type="dxa"/>
            <w:tcMar>
              <w:top w:w="0" w:type="dxa"/>
              <w:left w:w="108" w:type="dxa"/>
              <w:bottom w:w="0" w:type="dxa"/>
              <w:right w:w="108" w:type="dxa"/>
            </w:tcMar>
            <w:vAlign w:val="center"/>
          </w:tcPr>
          <w:p w14:paraId="7CEF873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2014.02.19</w:t>
            </w:r>
          </w:p>
        </w:tc>
        <w:tc>
          <w:tcPr>
            <w:tcW w:w="1178" w:type="dxa"/>
            <w:tcMar>
              <w:top w:w="0" w:type="dxa"/>
              <w:left w:w="108" w:type="dxa"/>
              <w:bottom w:w="0" w:type="dxa"/>
              <w:right w:w="108" w:type="dxa"/>
            </w:tcMar>
            <w:vAlign w:val="center"/>
          </w:tcPr>
          <w:p w14:paraId="0C231B7B"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大唐联诚、大唐移动</w:t>
            </w:r>
          </w:p>
        </w:tc>
      </w:tr>
      <w:tr w:rsidR="006416B0" w:rsidRPr="00B4515A" w14:paraId="36068F3C" w14:textId="77777777" w:rsidTr="005860B4">
        <w:trPr>
          <w:trHeight w:val="340"/>
          <w:jc w:val="center"/>
        </w:trPr>
        <w:tc>
          <w:tcPr>
            <w:tcW w:w="738" w:type="dxa"/>
            <w:shd w:val="clear" w:color="auto" w:fill="auto"/>
            <w:tcMar>
              <w:top w:w="0" w:type="dxa"/>
              <w:left w:w="108" w:type="dxa"/>
              <w:bottom w:w="0" w:type="dxa"/>
              <w:right w:w="108" w:type="dxa"/>
            </w:tcMar>
            <w:vAlign w:val="center"/>
          </w:tcPr>
          <w:p w14:paraId="2BDC4458" w14:textId="77777777" w:rsidR="006416B0" w:rsidRPr="00B4515A" w:rsidRDefault="005E58C1" w:rsidP="002B0582">
            <w:pPr>
              <w:keepNext/>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lastRenderedPageBreak/>
              <w:t>3</w:t>
            </w:r>
          </w:p>
        </w:tc>
        <w:tc>
          <w:tcPr>
            <w:tcW w:w="1316" w:type="dxa"/>
            <w:tcMar>
              <w:top w:w="0" w:type="dxa"/>
              <w:left w:w="108" w:type="dxa"/>
              <w:bottom w:w="0" w:type="dxa"/>
              <w:right w:w="108" w:type="dxa"/>
            </w:tcMar>
            <w:vAlign w:val="center"/>
          </w:tcPr>
          <w:p w14:paraId="3C36AFB9" w14:textId="77777777" w:rsidR="006416B0" w:rsidRPr="00B4515A" w:rsidRDefault="005E58C1" w:rsidP="002B0582">
            <w:pPr>
              <w:keepNext/>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19001830" w14:textId="77777777" w:rsidR="006416B0" w:rsidRPr="00B4515A" w:rsidRDefault="005E58C1" w:rsidP="002B0582">
            <w:pPr>
              <w:keepNext/>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TD-SCDMA</w:t>
            </w:r>
            <w:r w:rsidRPr="00B4515A">
              <w:rPr>
                <w:rFonts w:ascii="Times New Roman" w:hAnsi="Times New Roman" w:cs="Times New Roman" w:hint="eastAsia"/>
                <w:bCs/>
                <w:color w:val="000000" w:themeColor="text1"/>
                <w:sz w:val="21"/>
                <w:szCs w:val="21"/>
              </w:rPr>
              <w:t>语音信号的盲检测方法及装置</w:t>
            </w:r>
          </w:p>
        </w:tc>
        <w:tc>
          <w:tcPr>
            <w:tcW w:w="2063" w:type="dxa"/>
            <w:shd w:val="clear" w:color="auto" w:fill="auto"/>
            <w:tcMar>
              <w:top w:w="0" w:type="dxa"/>
              <w:left w:w="108" w:type="dxa"/>
              <w:bottom w:w="0" w:type="dxa"/>
              <w:right w:w="108" w:type="dxa"/>
            </w:tcMar>
            <w:vAlign w:val="center"/>
          </w:tcPr>
          <w:p w14:paraId="33ACA3F5" w14:textId="77777777" w:rsidR="006416B0" w:rsidRPr="00B4515A" w:rsidRDefault="005E58C1" w:rsidP="002B0582">
            <w:pPr>
              <w:keepNext/>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ZL201010115452.6</w:t>
            </w:r>
          </w:p>
        </w:tc>
        <w:tc>
          <w:tcPr>
            <w:tcW w:w="1178" w:type="dxa"/>
            <w:tcMar>
              <w:top w:w="0" w:type="dxa"/>
              <w:left w:w="108" w:type="dxa"/>
              <w:bottom w:w="0" w:type="dxa"/>
              <w:right w:w="108" w:type="dxa"/>
            </w:tcMar>
            <w:vAlign w:val="center"/>
          </w:tcPr>
          <w:p w14:paraId="011AC287" w14:textId="77777777" w:rsidR="006416B0" w:rsidRPr="00B4515A" w:rsidRDefault="005E58C1" w:rsidP="002B0582">
            <w:pPr>
              <w:keepNext/>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2013.01.02</w:t>
            </w:r>
          </w:p>
        </w:tc>
        <w:tc>
          <w:tcPr>
            <w:tcW w:w="1178" w:type="dxa"/>
            <w:tcMar>
              <w:top w:w="0" w:type="dxa"/>
              <w:left w:w="108" w:type="dxa"/>
              <w:bottom w:w="0" w:type="dxa"/>
              <w:right w:w="108" w:type="dxa"/>
            </w:tcMar>
            <w:vAlign w:val="center"/>
          </w:tcPr>
          <w:p w14:paraId="7AA56452" w14:textId="77777777" w:rsidR="006416B0" w:rsidRPr="00B4515A" w:rsidRDefault="005E58C1" w:rsidP="002B0582">
            <w:pPr>
              <w:keepNext/>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47A80B2D" w14:textId="77777777" w:rsidTr="005860B4">
        <w:trPr>
          <w:trHeight w:val="340"/>
          <w:jc w:val="center"/>
        </w:trPr>
        <w:tc>
          <w:tcPr>
            <w:tcW w:w="738" w:type="dxa"/>
            <w:shd w:val="clear" w:color="auto" w:fill="auto"/>
            <w:tcMar>
              <w:top w:w="0" w:type="dxa"/>
              <w:left w:w="108" w:type="dxa"/>
              <w:bottom w:w="0" w:type="dxa"/>
              <w:right w:w="108" w:type="dxa"/>
            </w:tcMar>
            <w:vAlign w:val="center"/>
          </w:tcPr>
          <w:p w14:paraId="34B1AFF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4</w:t>
            </w:r>
          </w:p>
        </w:tc>
        <w:tc>
          <w:tcPr>
            <w:tcW w:w="1316" w:type="dxa"/>
            <w:tcMar>
              <w:top w:w="0" w:type="dxa"/>
              <w:left w:w="108" w:type="dxa"/>
              <w:bottom w:w="0" w:type="dxa"/>
              <w:right w:w="108" w:type="dxa"/>
            </w:tcMar>
            <w:vAlign w:val="center"/>
          </w:tcPr>
          <w:p w14:paraId="1FB84EE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7CB8BCC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无线通信系统的同步方法及装置</w:t>
            </w:r>
          </w:p>
        </w:tc>
        <w:tc>
          <w:tcPr>
            <w:tcW w:w="2063" w:type="dxa"/>
            <w:shd w:val="clear" w:color="auto" w:fill="auto"/>
            <w:tcMar>
              <w:top w:w="0" w:type="dxa"/>
              <w:left w:w="108" w:type="dxa"/>
              <w:bottom w:w="0" w:type="dxa"/>
              <w:right w:w="108" w:type="dxa"/>
            </w:tcMar>
            <w:vAlign w:val="center"/>
          </w:tcPr>
          <w:p w14:paraId="562F009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31" w:history="1">
              <w:r w:rsidRPr="00B4515A">
                <w:rPr>
                  <w:rFonts w:ascii="Times New Roman" w:hAnsi="Times New Roman" w:cs="Times New Roman"/>
                  <w:bCs/>
                  <w:color w:val="000000" w:themeColor="text1"/>
                  <w:sz w:val="21"/>
                  <w:szCs w:val="21"/>
                </w:rPr>
                <w:t>201010116953.6</w:t>
              </w:r>
            </w:hyperlink>
          </w:p>
        </w:tc>
        <w:tc>
          <w:tcPr>
            <w:tcW w:w="1178" w:type="dxa"/>
            <w:tcMar>
              <w:top w:w="0" w:type="dxa"/>
              <w:left w:w="108" w:type="dxa"/>
              <w:bottom w:w="0" w:type="dxa"/>
              <w:right w:w="108" w:type="dxa"/>
            </w:tcMar>
            <w:vAlign w:val="center"/>
          </w:tcPr>
          <w:p w14:paraId="6436D368"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2013.01.02</w:t>
            </w:r>
          </w:p>
        </w:tc>
        <w:tc>
          <w:tcPr>
            <w:tcW w:w="1178" w:type="dxa"/>
            <w:tcMar>
              <w:top w:w="0" w:type="dxa"/>
              <w:left w:w="108" w:type="dxa"/>
              <w:bottom w:w="0" w:type="dxa"/>
              <w:right w:w="108" w:type="dxa"/>
            </w:tcMar>
            <w:vAlign w:val="center"/>
          </w:tcPr>
          <w:p w14:paraId="2659373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3B49A07A" w14:textId="77777777" w:rsidTr="005860B4">
        <w:trPr>
          <w:trHeight w:val="340"/>
          <w:jc w:val="center"/>
        </w:trPr>
        <w:tc>
          <w:tcPr>
            <w:tcW w:w="738" w:type="dxa"/>
            <w:shd w:val="clear" w:color="auto" w:fill="auto"/>
            <w:tcMar>
              <w:top w:w="0" w:type="dxa"/>
              <w:left w:w="108" w:type="dxa"/>
              <w:bottom w:w="0" w:type="dxa"/>
              <w:right w:w="108" w:type="dxa"/>
            </w:tcMar>
            <w:vAlign w:val="center"/>
          </w:tcPr>
          <w:p w14:paraId="14C1A128" w14:textId="77777777" w:rsidR="006416B0" w:rsidRPr="00B4515A" w:rsidRDefault="005E58C1" w:rsidP="005860B4">
            <w:pPr>
              <w:keepNext/>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5</w:t>
            </w:r>
          </w:p>
        </w:tc>
        <w:tc>
          <w:tcPr>
            <w:tcW w:w="1316" w:type="dxa"/>
            <w:tcMar>
              <w:top w:w="0" w:type="dxa"/>
              <w:left w:w="108" w:type="dxa"/>
              <w:bottom w:w="0" w:type="dxa"/>
              <w:right w:w="108" w:type="dxa"/>
            </w:tcMar>
            <w:vAlign w:val="center"/>
          </w:tcPr>
          <w:p w14:paraId="63502CE8" w14:textId="77777777" w:rsidR="006416B0" w:rsidRPr="00B4515A" w:rsidRDefault="005E58C1" w:rsidP="005860B4">
            <w:pPr>
              <w:keepNext/>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15D7B506" w14:textId="77777777" w:rsidR="006416B0" w:rsidRPr="00B4515A" w:rsidRDefault="005E58C1" w:rsidP="005860B4">
            <w:pPr>
              <w:keepNext/>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w:t>
            </w:r>
            <w:r w:rsidRPr="00B4515A">
              <w:rPr>
                <w:rFonts w:ascii="Times New Roman" w:hAnsi="Times New Roman" w:cs="Times New Roman"/>
                <w:bCs/>
                <w:color w:val="000000" w:themeColor="text1"/>
                <w:sz w:val="21"/>
                <w:szCs w:val="21"/>
              </w:rPr>
              <w:t>OFDM</w:t>
            </w:r>
            <w:r w:rsidRPr="00B4515A">
              <w:rPr>
                <w:rFonts w:ascii="Times New Roman" w:hAnsi="Times New Roman" w:cs="Times New Roman" w:hint="eastAsia"/>
                <w:bCs/>
                <w:color w:val="000000" w:themeColor="text1"/>
                <w:sz w:val="21"/>
                <w:szCs w:val="21"/>
              </w:rPr>
              <w:t>系统的抵抗突发干扰的同步方法和装置</w:t>
            </w:r>
          </w:p>
        </w:tc>
        <w:tc>
          <w:tcPr>
            <w:tcW w:w="2063" w:type="dxa"/>
            <w:shd w:val="clear" w:color="auto" w:fill="auto"/>
            <w:tcMar>
              <w:top w:w="0" w:type="dxa"/>
              <w:left w:w="108" w:type="dxa"/>
              <w:bottom w:w="0" w:type="dxa"/>
              <w:right w:w="108" w:type="dxa"/>
            </w:tcMar>
            <w:vAlign w:val="center"/>
          </w:tcPr>
          <w:p w14:paraId="0F485A82" w14:textId="77777777" w:rsidR="006416B0" w:rsidRPr="00B4515A" w:rsidRDefault="005E58C1" w:rsidP="005860B4">
            <w:pPr>
              <w:keepNext/>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32" w:history="1">
              <w:r w:rsidRPr="00B4515A">
                <w:rPr>
                  <w:rFonts w:ascii="Times New Roman" w:hAnsi="Times New Roman" w:cs="Times New Roman"/>
                  <w:bCs/>
                  <w:color w:val="000000" w:themeColor="text1"/>
                  <w:sz w:val="21"/>
                  <w:szCs w:val="21"/>
                </w:rPr>
                <w:t>201110211871.4</w:t>
              </w:r>
            </w:hyperlink>
          </w:p>
        </w:tc>
        <w:tc>
          <w:tcPr>
            <w:tcW w:w="1178" w:type="dxa"/>
            <w:tcMar>
              <w:top w:w="0" w:type="dxa"/>
              <w:left w:w="108" w:type="dxa"/>
              <w:bottom w:w="0" w:type="dxa"/>
              <w:right w:w="108" w:type="dxa"/>
            </w:tcMar>
            <w:vAlign w:val="center"/>
          </w:tcPr>
          <w:p w14:paraId="65C4F0F6" w14:textId="77777777" w:rsidR="006416B0" w:rsidRPr="00B4515A" w:rsidRDefault="005E58C1" w:rsidP="005860B4">
            <w:pPr>
              <w:keepNext/>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2016.06.15</w:t>
            </w:r>
          </w:p>
        </w:tc>
        <w:tc>
          <w:tcPr>
            <w:tcW w:w="1178" w:type="dxa"/>
            <w:tcMar>
              <w:top w:w="0" w:type="dxa"/>
              <w:left w:w="108" w:type="dxa"/>
              <w:bottom w:w="0" w:type="dxa"/>
              <w:right w:w="108" w:type="dxa"/>
            </w:tcMar>
            <w:vAlign w:val="center"/>
          </w:tcPr>
          <w:p w14:paraId="4F5CEF00" w14:textId="77777777" w:rsidR="006416B0" w:rsidRPr="00B4515A" w:rsidRDefault="005E58C1" w:rsidP="005860B4">
            <w:pPr>
              <w:keepNext/>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49441383" w14:textId="77777777" w:rsidTr="005860B4">
        <w:trPr>
          <w:trHeight w:val="340"/>
          <w:jc w:val="center"/>
        </w:trPr>
        <w:tc>
          <w:tcPr>
            <w:tcW w:w="738" w:type="dxa"/>
            <w:shd w:val="clear" w:color="auto" w:fill="auto"/>
            <w:tcMar>
              <w:top w:w="0" w:type="dxa"/>
              <w:left w:w="108" w:type="dxa"/>
              <w:bottom w:w="0" w:type="dxa"/>
              <w:right w:w="108" w:type="dxa"/>
            </w:tcMar>
            <w:vAlign w:val="center"/>
          </w:tcPr>
          <w:p w14:paraId="129E3B1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6</w:t>
            </w:r>
          </w:p>
        </w:tc>
        <w:tc>
          <w:tcPr>
            <w:tcW w:w="1316" w:type="dxa"/>
            <w:tcMar>
              <w:top w:w="0" w:type="dxa"/>
              <w:left w:w="108" w:type="dxa"/>
              <w:bottom w:w="0" w:type="dxa"/>
              <w:right w:w="108" w:type="dxa"/>
            </w:tcMar>
            <w:vAlign w:val="center"/>
          </w:tcPr>
          <w:p w14:paraId="5B4EBCB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76AAE25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一种航空通信网络的</w:t>
            </w:r>
            <w:r w:rsidRPr="00B4515A">
              <w:rPr>
                <w:rFonts w:ascii="Times New Roman" w:hAnsi="Times New Roman" w:cs="Times New Roman"/>
                <w:bCs/>
                <w:color w:val="000000" w:themeColor="text1"/>
                <w:sz w:val="21"/>
                <w:szCs w:val="21"/>
              </w:rPr>
              <w:t>QoS</w:t>
            </w:r>
            <w:r w:rsidRPr="00B4515A">
              <w:rPr>
                <w:rFonts w:ascii="Times New Roman" w:hAnsi="Times New Roman" w:cs="Times New Roman" w:hint="eastAsia"/>
                <w:bCs/>
                <w:color w:val="000000" w:themeColor="text1"/>
                <w:sz w:val="21"/>
                <w:szCs w:val="21"/>
              </w:rPr>
              <w:t>保障方法与装置</w:t>
            </w:r>
          </w:p>
        </w:tc>
        <w:tc>
          <w:tcPr>
            <w:tcW w:w="2063" w:type="dxa"/>
            <w:shd w:val="clear" w:color="auto" w:fill="auto"/>
            <w:tcMar>
              <w:top w:w="0" w:type="dxa"/>
              <w:left w:w="108" w:type="dxa"/>
              <w:bottom w:w="0" w:type="dxa"/>
              <w:right w:w="108" w:type="dxa"/>
            </w:tcMar>
            <w:vAlign w:val="center"/>
          </w:tcPr>
          <w:p w14:paraId="14BA1B58"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33" w:history="1">
              <w:r w:rsidRPr="00B4515A">
                <w:rPr>
                  <w:rFonts w:ascii="Times New Roman" w:hAnsi="Times New Roman" w:cs="Times New Roman"/>
                  <w:bCs/>
                  <w:color w:val="000000" w:themeColor="text1"/>
                  <w:sz w:val="21"/>
                  <w:szCs w:val="21"/>
                </w:rPr>
                <w:t>201110214347.2</w:t>
              </w:r>
            </w:hyperlink>
          </w:p>
        </w:tc>
        <w:tc>
          <w:tcPr>
            <w:tcW w:w="1178" w:type="dxa"/>
            <w:tcMar>
              <w:top w:w="0" w:type="dxa"/>
              <w:left w:w="108" w:type="dxa"/>
              <w:bottom w:w="0" w:type="dxa"/>
              <w:right w:w="108" w:type="dxa"/>
            </w:tcMar>
            <w:vAlign w:val="center"/>
          </w:tcPr>
          <w:p w14:paraId="42B7BCA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2016.02.10</w:t>
            </w:r>
          </w:p>
        </w:tc>
        <w:tc>
          <w:tcPr>
            <w:tcW w:w="1178" w:type="dxa"/>
            <w:tcMar>
              <w:top w:w="0" w:type="dxa"/>
              <w:left w:w="108" w:type="dxa"/>
              <w:bottom w:w="0" w:type="dxa"/>
              <w:right w:w="108" w:type="dxa"/>
            </w:tcMar>
            <w:vAlign w:val="center"/>
          </w:tcPr>
          <w:p w14:paraId="1DCC7F8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42EEC6FF" w14:textId="77777777" w:rsidTr="005860B4">
        <w:trPr>
          <w:trHeight w:val="340"/>
          <w:jc w:val="center"/>
        </w:trPr>
        <w:tc>
          <w:tcPr>
            <w:tcW w:w="738" w:type="dxa"/>
            <w:shd w:val="clear" w:color="auto" w:fill="auto"/>
            <w:tcMar>
              <w:top w:w="0" w:type="dxa"/>
              <w:left w:w="108" w:type="dxa"/>
              <w:bottom w:w="0" w:type="dxa"/>
              <w:right w:w="108" w:type="dxa"/>
            </w:tcMar>
            <w:vAlign w:val="center"/>
          </w:tcPr>
          <w:p w14:paraId="53AD636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7</w:t>
            </w:r>
          </w:p>
        </w:tc>
        <w:tc>
          <w:tcPr>
            <w:tcW w:w="1316" w:type="dxa"/>
            <w:tcMar>
              <w:top w:w="0" w:type="dxa"/>
              <w:left w:w="108" w:type="dxa"/>
              <w:bottom w:w="0" w:type="dxa"/>
              <w:right w:w="108" w:type="dxa"/>
            </w:tcMar>
            <w:vAlign w:val="center"/>
          </w:tcPr>
          <w:p w14:paraId="3DCB45F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3A476BD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一种单载波频域均衡高速业务的信道估计方法和装置</w:t>
            </w:r>
          </w:p>
        </w:tc>
        <w:tc>
          <w:tcPr>
            <w:tcW w:w="2063" w:type="dxa"/>
            <w:shd w:val="clear" w:color="auto" w:fill="auto"/>
            <w:tcMar>
              <w:top w:w="0" w:type="dxa"/>
              <w:left w:w="108" w:type="dxa"/>
              <w:bottom w:w="0" w:type="dxa"/>
              <w:right w:w="108" w:type="dxa"/>
            </w:tcMar>
            <w:vAlign w:val="center"/>
          </w:tcPr>
          <w:p w14:paraId="61002A6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ZL201110247973.1</w:t>
            </w:r>
          </w:p>
        </w:tc>
        <w:tc>
          <w:tcPr>
            <w:tcW w:w="1178" w:type="dxa"/>
            <w:tcMar>
              <w:top w:w="0" w:type="dxa"/>
              <w:left w:w="108" w:type="dxa"/>
              <w:bottom w:w="0" w:type="dxa"/>
              <w:right w:w="108" w:type="dxa"/>
            </w:tcMar>
            <w:vAlign w:val="center"/>
          </w:tcPr>
          <w:p w14:paraId="5E66DC4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2015.05.13</w:t>
            </w:r>
          </w:p>
        </w:tc>
        <w:tc>
          <w:tcPr>
            <w:tcW w:w="1178" w:type="dxa"/>
            <w:tcMar>
              <w:top w:w="0" w:type="dxa"/>
              <w:left w:w="108" w:type="dxa"/>
              <w:bottom w:w="0" w:type="dxa"/>
              <w:right w:w="108" w:type="dxa"/>
            </w:tcMar>
            <w:vAlign w:val="center"/>
          </w:tcPr>
          <w:p w14:paraId="2B1E42A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4EE479D1" w14:textId="77777777" w:rsidTr="005860B4">
        <w:trPr>
          <w:trHeight w:val="340"/>
          <w:jc w:val="center"/>
        </w:trPr>
        <w:tc>
          <w:tcPr>
            <w:tcW w:w="738" w:type="dxa"/>
            <w:shd w:val="clear" w:color="auto" w:fill="auto"/>
            <w:tcMar>
              <w:top w:w="0" w:type="dxa"/>
              <w:left w:w="108" w:type="dxa"/>
              <w:bottom w:w="0" w:type="dxa"/>
              <w:right w:w="108" w:type="dxa"/>
            </w:tcMar>
            <w:vAlign w:val="center"/>
          </w:tcPr>
          <w:p w14:paraId="5D54FA6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8</w:t>
            </w:r>
          </w:p>
        </w:tc>
        <w:tc>
          <w:tcPr>
            <w:tcW w:w="1316" w:type="dxa"/>
            <w:tcMar>
              <w:top w:w="0" w:type="dxa"/>
              <w:left w:w="108" w:type="dxa"/>
              <w:bottom w:w="0" w:type="dxa"/>
              <w:right w:w="108" w:type="dxa"/>
            </w:tcMar>
            <w:vAlign w:val="center"/>
          </w:tcPr>
          <w:p w14:paraId="201826F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599C169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一种单载波频域均衡高速业务的信道估计方法和装置</w:t>
            </w:r>
          </w:p>
        </w:tc>
        <w:tc>
          <w:tcPr>
            <w:tcW w:w="2063" w:type="dxa"/>
            <w:shd w:val="clear" w:color="auto" w:fill="auto"/>
            <w:tcMar>
              <w:top w:w="0" w:type="dxa"/>
              <w:left w:w="108" w:type="dxa"/>
              <w:bottom w:w="0" w:type="dxa"/>
              <w:right w:w="108" w:type="dxa"/>
            </w:tcMar>
            <w:vAlign w:val="center"/>
          </w:tcPr>
          <w:p w14:paraId="541A9908"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34" w:history="1">
              <w:r w:rsidRPr="00B4515A">
                <w:rPr>
                  <w:rFonts w:ascii="Times New Roman" w:hAnsi="Times New Roman" w:cs="Times New Roman"/>
                  <w:bCs/>
                  <w:color w:val="000000" w:themeColor="text1"/>
                  <w:sz w:val="21"/>
                  <w:szCs w:val="21"/>
                </w:rPr>
                <w:t>201110248286.1</w:t>
              </w:r>
            </w:hyperlink>
          </w:p>
        </w:tc>
        <w:tc>
          <w:tcPr>
            <w:tcW w:w="1178" w:type="dxa"/>
            <w:tcMar>
              <w:top w:w="0" w:type="dxa"/>
              <w:left w:w="108" w:type="dxa"/>
              <w:bottom w:w="0" w:type="dxa"/>
              <w:right w:w="108" w:type="dxa"/>
            </w:tcMar>
            <w:vAlign w:val="center"/>
          </w:tcPr>
          <w:p w14:paraId="1B6DB86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2015.05.13</w:t>
            </w:r>
          </w:p>
        </w:tc>
        <w:tc>
          <w:tcPr>
            <w:tcW w:w="1178" w:type="dxa"/>
            <w:tcMar>
              <w:top w:w="0" w:type="dxa"/>
              <w:left w:w="108" w:type="dxa"/>
              <w:bottom w:w="0" w:type="dxa"/>
              <w:right w:w="108" w:type="dxa"/>
            </w:tcMar>
            <w:vAlign w:val="center"/>
          </w:tcPr>
          <w:p w14:paraId="5B47070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416FEE96" w14:textId="77777777" w:rsidTr="005860B4">
        <w:trPr>
          <w:trHeight w:val="340"/>
          <w:jc w:val="center"/>
        </w:trPr>
        <w:tc>
          <w:tcPr>
            <w:tcW w:w="738" w:type="dxa"/>
            <w:shd w:val="clear" w:color="auto" w:fill="auto"/>
            <w:tcMar>
              <w:top w:w="0" w:type="dxa"/>
              <w:left w:w="108" w:type="dxa"/>
              <w:bottom w:w="0" w:type="dxa"/>
              <w:right w:w="108" w:type="dxa"/>
            </w:tcMar>
            <w:vAlign w:val="center"/>
          </w:tcPr>
          <w:p w14:paraId="2E22399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9</w:t>
            </w:r>
          </w:p>
        </w:tc>
        <w:tc>
          <w:tcPr>
            <w:tcW w:w="1316" w:type="dxa"/>
            <w:tcMar>
              <w:top w:w="0" w:type="dxa"/>
              <w:left w:w="108" w:type="dxa"/>
              <w:bottom w:w="0" w:type="dxa"/>
              <w:right w:w="108" w:type="dxa"/>
            </w:tcMar>
            <w:vAlign w:val="center"/>
          </w:tcPr>
          <w:p w14:paraId="7207461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1C17E49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一种数据的自适应重传方法和装置</w:t>
            </w:r>
          </w:p>
        </w:tc>
        <w:tc>
          <w:tcPr>
            <w:tcW w:w="2063" w:type="dxa"/>
            <w:shd w:val="clear" w:color="auto" w:fill="auto"/>
            <w:tcMar>
              <w:top w:w="0" w:type="dxa"/>
              <w:left w:w="108" w:type="dxa"/>
              <w:bottom w:w="0" w:type="dxa"/>
              <w:right w:w="108" w:type="dxa"/>
            </w:tcMar>
            <w:vAlign w:val="center"/>
          </w:tcPr>
          <w:p w14:paraId="5BA8B28B"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35" w:history="1">
              <w:r w:rsidRPr="00B4515A">
                <w:rPr>
                  <w:rFonts w:ascii="Times New Roman" w:hAnsi="Times New Roman" w:cs="Times New Roman"/>
                  <w:bCs/>
                  <w:color w:val="000000" w:themeColor="text1"/>
                  <w:sz w:val="21"/>
                  <w:szCs w:val="21"/>
                </w:rPr>
                <w:t>201110248522.X</w:t>
              </w:r>
            </w:hyperlink>
          </w:p>
        </w:tc>
        <w:tc>
          <w:tcPr>
            <w:tcW w:w="1178" w:type="dxa"/>
            <w:tcMar>
              <w:top w:w="0" w:type="dxa"/>
              <w:left w:w="108" w:type="dxa"/>
              <w:bottom w:w="0" w:type="dxa"/>
              <w:right w:w="108" w:type="dxa"/>
            </w:tcMar>
            <w:vAlign w:val="center"/>
          </w:tcPr>
          <w:p w14:paraId="71D661D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2015.06.10</w:t>
            </w:r>
          </w:p>
        </w:tc>
        <w:tc>
          <w:tcPr>
            <w:tcW w:w="1178" w:type="dxa"/>
            <w:tcMar>
              <w:top w:w="0" w:type="dxa"/>
              <w:left w:w="108" w:type="dxa"/>
              <w:bottom w:w="0" w:type="dxa"/>
              <w:right w:w="108" w:type="dxa"/>
            </w:tcMar>
            <w:vAlign w:val="center"/>
          </w:tcPr>
          <w:p w14:paraId="4874BC7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32B72EFE" w14:textId="77777777" w:rsidTr="005860B4">
        <w:trPr>
          <w:trHeight w:val="340"/>
          <w:jc w:val="center"/>
        </w:trPr>
        <w:tc>
          <w:tcPr>
            <w:tcW w:w="738" w:type="dxa"/>
            <w:shd w:val="clear" w:color="auto" w:fill="auto"/>
            <w:tcMar>
              <w:top w:w="0" w:type="dxa"/>
              <w:left w:w="108" w:type="dxa"/>
              <w:bottom w:w="0" w:type="dxa"/>
              <w:right w:w="108" w:type="dxa"/>
            </w:tcMar>
            <w:vAlign w:val="center"/>
          </w:tcPr>
          <w:p w14:paraId="7E20CEE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10</w:t>
            </w:r>
          </w:p>
        </w:tc>
        <w:tc>
          <w:tcPr>
            <w:tcW w:w="1316" w:type="dxa"/>
            <w:tcMar>
              <w:top w:w="0" w:type="dxa"/>
              <w:left w:w="108" w:type="dxa"/>
              <w:bottom w:w="0" w:type="dxa"/>
              <w:right w:w="108" w:type="dxa"/>
            </w:tcMar>
            <w:vAlign w:val="center"/>
          </w:tcPr>
          <w:p w14:paraId="4BAE48A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7826660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w:t>
            </w:r>
            <w:r w:rsidRPr="00B4515A">
              <w:rPr>
                <w:rFonts w:ascii="Times New Roman" w:hAnsi="Times New Roman" w:cs="Times New Roman"/>
                <w:bCs/>
                <w:color w:val="000000" w:themeColor="text1"/>
                <w:sz w:val="21"/>
                <w:szCs w:val="21"/>
              </w:rPr>
              <w:t>SOQPSK</w:t>
            </w:r>
            <w:r w:rsidRPr="00B4515A">
              <w:rPr>
                <w:rFonts w:ascii="Times New Roman" w:hAnsi="Times New Roman" w:cs="Times New Roman" w:hint="eastAsia"/>
                <w:bCs/>
                <w:color w:val="000000" w:themeColor="text1"/>
                <w:sz w:val="21"/>
                <w:szCs w:val="21"/>
              </w:rPr>
              <w:t>调制信号同步的方法和系统</w:t>
            </w:r>
          </w:p>
        </w:tc>
        <w:tc>
          <w:tcPr>
            <w:tcW w:w="2063" w:type="dxa"/>
            <w:shd w:val="clear" w:color="auto" w:fill="auto"/>
            <w:tcMar>
              <w:top w:w="0" w:type="dxa"/>
              <w:left w:w="108" w:type="dxa"/>
              <w:bottom w:w="0" w:type="dxa"/>
              <w:right w:w="108" w:type="dxa"/>
            </w:tcMar>
            <w:vAlign w:val="center"/>
          </w:tcPr>
          <w:p w14:paraId="7424937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ZL201110254772.4</w:t>
            </w:r>
          </w:p>
        </w:tc>
        <w:tc>
          <w:tcPr>
            <w:tcW w:w="1178" w:type="dxa"/>
            <w:tcMar>
              <w:top w:w="0" w:type="dxa"/>
              <w:left w:w="108" w:type="dxa"/>
              <w:bottom w:w="0" w:type="dxa"/>
              <w:right w:w="108" w:type="dxa"/>
            </w:tcMar>
            <w:vAlign w:val="center"/>
          </w:tcPr>
          <w:p w14:paraId="3A3B6CA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2015.07.08</w:t>
            </w:r>
          </w:p>
        </w:tc>
        <w:tc>
          <w:tcPr>
            <w:tcW w:w="1178" w:type="dxa"/>
            <w:tcMar>
              <w:top w:w="0" w:type="dxa"/>
              <w:left w:w="108" w:type="dxa"/>
              <w:bottom w:w="0" w:type="dxa"/>
              <w:right w:w="108" w:type="dxa"/>
            </w:tcMar>
            <w:vAlign w:val="center"/>
          </w:tcPr>
          <w:p w14:paraId="14C3B30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1DB07ED7" w14:textId="77777777" w:rsidTr="005860B4">
        <w:trPr>
          <w:trHeight w:val="340"/>
          <w:jc w:val="center"/>
        </w:trPr>
        <w:tc>
          <w:tcPr>
            <w:tcW w:w="738" w:type="dxa"/>
            <w:shd w:val="clear" w:color="auto" w:fill="auto"/>
            <w:tcMar>
              <w:top w:w="0" w:type="dxa"/>
              <w:left w:w="108" w:type="dxa"/>
              <w:bottom w:w="0" w:type="dxa"/>
              <w:right w:w="108" w:type="dxa"/>
            </w:tcMar>
            <w:vAlign w:val="center"/>
          </w:tcPr>
          <w:p w14:paraId="389282E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11</w:t>
            </w:r>
          </w:p>
        </w:tc>
        <w:tc>
          <w:tcPr>
            <w:tcW w:w="1316" w:type="dxa"/>
            <w:tcMar>
              <w:top w:w="0" w:type="dxa"/>
              <w:left w:w="108" w:type="dxa"/>
              <w:bottom w:w="0" w:type="dxa"/>
              <w:right w:w="108" w:type="dxa"/>
            </w:tcMar>
            <w:vAlign w:val="center"/>
          </w:tcPr>
          <w:p w14:paraId="67B43CA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08875B4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一种基于</w:t>
            </w:r>
            <w:r w:rsidRPr="00B4515A">
              <w:rPr>
                <w:rFonts w:ascii="Times New Roman" w:hAnsi="Times New Roman" w:cs="Times New Roman"/>
                <w:bCs/>
                <w:color w:val="000000" w:themeColor="text1"/>
                <w:sz w:val="21"/>
                <w:szCs w:val="21"/>
              </w:rPr>
              <w:t>7</w:t>
            </w:r>
            <w:r w:rsidRPr="00B4515A">
              <w:rPr>
                <w:rFonts w:ascii="Times New Roman" w:hAnsi="Times New Roman" w:cs="Times New Roman" w:hint="eastAsia"/>
                <w:bCs/>
                <w:color w:val="000000" w:themeColor="text1"/>
                <w:sz w:val="21"/>
                <w:szCs w:val="21"/>
              </w:rPr>
              <w:t>号信令的信息传输方法及系统</w:t>
            </w:r>
          </w:p>
        </w:tc>
        <w:tc>
          <w:tcPr>
            <w:tcW w:w="2063" w:type="dxa"/>
            <w:shd w:val="clear" w:color="auto" w:fill="auto"/>
            <w:tcMar>
              <w:top w:w="0" w:type="dxa"/>
              <w:left w:w="108" w:type="dxa"/>
              <w:bottom w:w="0" w:type="dxa"/>
              <w:right w:w="108" w:type="dxa"/>
            </w:tcMar>
            <w:vAlign w:val="center"/>
          </w:tcPr>
          <w:p w14:paraId="4BC5D51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ZL201110391349.9</w:t>
            </w:r>
          </w:p>
        </w:tc>
        <w:tc>
          <w:tcPr>
            <w:tcW w:w="1178" w:type="dxa"/>
            <w:tcMar>
              <w:top w:w="0" w:type="dxa"/>
              <w:left w:w="108" w:type="dxa"/>
              <w:bottom w:w="0" w:type="dxa"/>
              <w:right w:w="108" w:type="dxa"/>
            </w:tcMar>
            <w:vAlign w:val="center"/>
          </w:tcPr>
          <w:p w14:paraId="7F8C977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2015.06.17</w:t>
            </w:r>
          </w:p>
        </w:tc>
        <w:tc>
          <w:tcPr>
            <w:tcW w:w="1178" w:type="dxa"/>
            <w:tcMar>
              <w:top w:w="0" w:type="dxa"/>
              <w:left w:w="108" w:type="dxa"/>
              <w:bottom w:w="0" w:type="dxa"/>
              <w:right w:w="108" w:type="dxa"/>
            </w:tcMar>
            <w:vAlign w:val="center"/>
          </w:tcPr>
          <w:p w14:paraId="4F9B8E5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564CF438" w14:textId="77777777" w:rsidTr="005860B4">
        <w:trPr>
          <w:trHeight w:val="340"/>
          <w:jc w:val="center"/>
        </w:trPr>
        <w:tc>
          <w:tcPr>
            <w:tcW w:w="738" w:type="dxa"/>
            <w:shd w:val="clear" w:color="auto" w:fill="auto"/>
            <w:tcMar>
              <w:top w:w="0" w:type="dxa"/>
              <w:left w:w="108" w:type="dxa"/>
              <w:bottom w:w="0" w:type="dxa"/>
              <w:right w:w="108" w:type="dxa"/>
            </w:tcMar>
            <w:vAlign w:val="center"/>
          </w:tcPr>
          <w:p w14:paraId="16FED2C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12</w:t>
            </w:r>
          </w:p>
        </w:tc>
        <w:tc>
          <w:tcPr>
            <w:tcW w:w="1316" w:type="dxa"/>
            <w:tcMar>
              <w:top w:w="0" w:type="dxa"/>
              <w:left w:w="108" w:type="dxa"/>
              <w:bottom w:w="0" w:type="dxa"/>
              <w:right w:w="108" w:type="dxa"/>
            </w:tcMar>
            <w:vAlign w:val="center"/>
          </w:tcPr>
          <w:p w14:paraId="48E8D98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27ED396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一种无线通信方法及网络子系统</w:t>
            </w:r>
          </w:p>
        </w:tc>
        <w:tc>
          <w:tcPr>
            <w:tcW w:w="2063" w:type="dxa"/>
            <w:shd w:val="clear" w:color="auto" w:fill="auto"/>
            <w:tcMar>
              <w:top w:w="0" w:type="dxa"/>
              <w:left w:w="108" w:type="dxa"/>
              <w:bottom w:w="0" w:type="dxa"/>
              <w:right w:w="108" w:type="dxa"/>
            </w:tcMar>
            <w:vAlign w:val="center"/>
          </w:tcPr>
          <w:p w14:paraId="52C0E55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ZL201110391386.X</w:t>
            </w:r>
          </w:p>
        </w:tc>
        <w:tc>
          <w:tcPr>
            <w:tcW w:w="1178" w:type="dxa"/>
            <w:tcMar>
              <w:top w:w="0" w:type="dxa"/>
              <w:left w:w="108" w:type="dxa"/>
              <w:bottom w:w="0" w:type="dxa"/>
              <w:right w:w="108" w:type="dxa"/>
            </w:tcMar>
            <w:vAlign w:val="center"/>
          </w:tcPr>
          <w:p w14:paraId="4D2AECC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2016.05.11</w:t>
            </w:r>
          </w:p>
        </w:tc>
        <w:tc>
          <w:tcPr>
            <w:tcW w:w="1178" w:type="dxa"/>
            <w:tcMar>
              <w:top w:w="0" w:type="dxa"/>
              <w:left w:w="108" w:type="dxa"/>
              <w:bottom w:w="0" w:type="dxa"/>
              <w:right w:w="108" w:type="dxa"/>
            </w:tcMar>
            <w:vAlign w:val="center"/>
          </w:tcPr>
          <w:p w14:paraId="02CB8F8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4221B520" w14:textId="77777777" w:rsidTr="005860B4">
        <w:trPr>
          <w:trHeight w:val="340"/>
          <w:jc w:val="center"/>
        </w:trPr>
        <w:tc>
          <w:tcPr>
            <w:tcW w:w="738" w:type="dxa"/>
            <w:shd w:val="clear" w:color="auto" w:fill="auto"/>
            <w:tcMar>
              <w:top w:w="0" w:type="dxa"/>
              <w:left w:w="108" w:type="dxa"/>
              <w:bottom w:w="0" w:type="dxa"/>
              <w:right w:w="108" w:type="dxa"/>
            </w:tcMar>
            <w:vAlign w:val="center"/>
          </w:tcPr>
          <w:p w14:paraId="6141F69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13</w:t>
            </w:r>
          </w:p>
        </w:tc>
        <w:tc>
          <w:tcPr>
            <w:tcW w:w="1316" w:type="dxa"/>
            <w:tcMar>
              <w:top w:w="0" w:type="dxa"/>
              <w:left w:w="108" w:type="dxa"/>
              <w:bottom w:w="0" w:type="dxa"/>
              <w:right w:w="108" w:type="dxa"/>
            </w:tcMar>
            <w:vAlign w:val="center"/>
          </w:tcPr>
          <w:p w14:paraId="3A9CEA9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30DFD15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一种多线程管理方法及架构</w:t>
            </w:r>
          </w:p>
        </w:tc>
        <w:tc>
          <w:tcPr>
            <w:tcW w:w="2063" w:type="dxa"/>
            <w:shd w:val="clear" w:color="auto" w:fill="auto"/>
            <w:tcMar>
              <w:top w:w="0" w:type="dxa"/>
              <w:left w:w="108" w:type="dxa"/>
              <w:bottom w:w="0" w:type="dxa"/>
              <w:right w:w="108" w:type="dxa"/>
            </w:tcMar>
            <w:vAlign w:val="center"/>
          </w:tcPr>
          <w:p w14:paraId="156E921B"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36" w:history="1">
              <w:r w:rsidRPr="00B4515A">
                <w:rPr>
                  <w:rFonts w:ascii="Times New Roman" w:hAnsi="Times New Roman" w:cs="Times New Roman"/>
                  <w:bCs/>
                  <w:color w:val="000000" w:themeColor="text1"/>
                  <w:sz w:val="21"/>
                  <w:szCs w:val="21"/>
                </w:rPr>
                <w:t>201110391566.8</w:t>
              </w:r>
            </w:hyperlink>
          </w:p>
        </w:tc>
        <w:tc>
          <w:tcPr>
            <w:tcW w:w="1178" w:type="dxa"/>
            <w:tcMar>
              <w:top w:w="0" w:type="dxa"/>
              <w:left w:w="108" w:type="dxa"/>
              <w:bottom w:w="0" w:type="dxa"/>
              <w:right w:w="108" w:type="dxa"/>
            </w:tcMar>
            <w:vAlign w:val="center"/>
          </w:tcPr>
          <w:p w14:paraId="4DE7E2A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2016.08.17</w:t>
            </w:r>
          </w:p>
        </w:tc>
        <w:tc>
          <w:tcPr>
            <w:tcW w:w="1178" w:type="dxa"/>
            <w:tcMar>
              <w:top w:w="0" w:type="dxa"/>
              <w:left w:w="108" w:type="dxa"/>
              <w:bottom w:w="0" w:type="dxa"/>
              <w:right w:w="108" w:type="dxa"/>
            </w:tcMar>
            <w:vAlign w:val="center"/>
          </w:tcPr>
          <w:p w14:paraId="53F03B5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31C1BA7D" w14:textId="77777777" w:rsidTr="005860B4">
        <w:trPr>
          <w:trHeight w:val="340"/>
          <w:jc w:val="center"/>
        </w:trPr>
        <w:tc>
          <w:tcPr>
            <w:tcW w:w="738" w:type="dxa"/>
            <w:shd w:val="clear" w:color="auto" w:fill="auto"/>
            <w:tcMar>
              <w:top w:w="0" w:type="dxa"/>
              <w:left w:w="108" w:type="dxa"/>
              <w:bottom w:w="0" w:type="dxa"/>
              <w:right w:w="108" w:type="dxa"/>
            </w:tcMar>
            <w:vAlign w:val="center"/>
          </w:tcPr>
          <w:p w14:paraId="222E66C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14</w:t>
            </w:r>
          </w:p>
        </w:tc>
        <w:tc>
          <w:tcPr>
            <w:tcW w:w="1316" w:type="dxa"/>
            <w:tcMar>
              <w:top w:w="0" w:type="dxa"/>
              <w:left w:w="108" w:type="dxa"/>
              <w:bottom w:w="0" w:type="dxa"/>
              <w:right w:w="108" w:type="dxa"/>
            </w:tcMar>
            <w:vAlign w:val="center"/>
          </w:tcPr>
          <w:p w14:paraId="6929346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6CCB82D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一种核心网用户面的消息调度方法及系统</w:t>
            </w:r>
          </w:p>
        </w:tc>
        <w:tc>
          <w:tcPr>
            <w:tcW w:w="2063" w:type="dxa"/>
            <w:shd w:val="clear" w:color="auto" w:fill="auto"/>
            <w:tcMar>
              <w:top w:w="0" w:type="dxa"/>
              <w:left w:w="108" w:type="dxa"/>
              <w:bottom w:w="0" w:type="dxa"/>
              <w:right w:w="108" w:type="dxa"/>
            </w:tcMar>
            <w:vAlign w:val="center"/>
          </w:tcPr>
          <w:p w14:paraId="566874B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37" w:history="1">
              <w:r w:rsidRPr="00B4515A">
                <w:rPr>
                  <w:rFonts w:ascii="Times New Roman" w:hAnsi="Times New Roman" w:cs="Times New Roman"/>
                  <w:bCs/>
                  <w:color w:val="000000" w:themeColor="text1"/>
                  <w:sz w:val="21"/>
                  <w:szCs w:val="21"/>
                </w:rPr>
                <w:t>201110406992.4</w:t>
              </w:r>
            </w:hyperlink>
          </w:p>
        </w:tc>
        <w:tc>
          <w:tcPr>
            <w:tcW w:w="1178" w:type="dxa"/>
            <w:tcMar>
              <w:top w:w="0" w:type="dxa"/>
              <w:left w:w="108" w:type="dxa"/>
              <w:bottom w:w="0" w:type="dxa"/>
              <w:right w:w="108" w:type="dxa"/>
            </w:tcMar>
            <w:vAlign w:val="center"/>
          </w:tcPr>
          <w:p w14:paraId="0053345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2017.07.11</w:t>
            </w:r>
          </w:p>
        </w:tc>
        <w:tc>
          <w:tcPr>
            <w:tcW w:w="1178" w:type="dxa"/>
            <w:tcMar>
              <w:top w:w="0" w:type="dxa"/>
              <w:left w:w="108" w:type="dxa"/>
              <w:bottom w:w="0" w:type="dxa"/>
              <w:right w:w="108" w:type="dxa"/>
            </w:tcMar>
            <w:vAlign w:val="center"/>
          </w:tcPr>
          <w:p w14:paraId="130B40C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7F751F0A" w14:textId="77777777" w:rsidTr="005860B4">
        <w:trPr>
          <w:trHeight w:val="340"/>
          <w:jc w:val="center"/>
        </w:trPr>
        <w:tc>
          <w:tcPr>
            <w:tcW w:w="738" w:type="dxa"/>
            <w:shd w:val="clear" w:color="auto" w:fill="auto"/>
            <w:tcMar>
              <w:top w:w="0" w:type="dxa"/>
              <w:left w:w="108" w:type="dxa"/>
              <w:bottom w:w="0" w:type="dxa"/>
              <w:right w:w="108" w:type="dxa"/>
            </w:tcMar>
            <w:vAlign w:val="center"/>
          </w:tcPr>
          <w:p w14:paraId="701C103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15</w:t>
            </w:r>
          </w:p>
        </w:tc>
        <w:tc>
          <w:tcPr>
            <w:tcW w:w="1316" w:type="dxa"/>
            <w:tcMar>
              <w:top w:w="0" w:type="dxa"/>
              <w:left w:w="108" w:type="dxa"/>
              <w:bottom w:w="0" w:type="dxa"/>
              <w:right w:w="108" w:type="dxa"/>
            </w:tcMar>
            <w:vAlign w:val="center"/>
          </w:tcPr>
          <w:p w14:paraId="7FA763A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53A7BF2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一种移动通信的网元</w:t>
            </w:r>
          </w:p>
        </w:tc>
        <w:tc>
          <w:tcPr>
            <w:tcW w:w="2063" w:type="dxa"/>
            <w:shd w:val="clear" w:color="auto" w:fill="auto"/>
            <w:tcMar>
              <w:top w:w="0" w:type="dxa"/>
              <w:left w:w="108" w:type="dxa"/>
              <w:bottom w:w="0" w:type="dxa"/>
              <w:right w:w="108" w:type="dxa"/>
            </w:tcMar>
            <w:vAlign w:val="center"/>
          </w:tcPr>
          <w:p w14:paraId="655E581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38" w:history="1">
              <w:r w:rsidRPr="00B4515A">
                <w:rPr>
                  <w:rFonts w:ascii="Times New Roman" w:hAnsi="Times New Roman" w:cs="Times New Roman"/>
                  <w:bCs/>
                  <w:color w:val="000000" w:themeColor="text1"/>
                  <w:sz w:val="21"/>
                  <w:szCs w:val="21"/>
                </w:rPr>
                <w:t>201110412404.8</w:t>
              </w:r>
            </w:hyperlink>
          </w:p>
        </w:tc>
        <w:tc>
          <w:tcPr>
            <w:tcW w:w="1178" w:type="dxa"/>
            <w:tcMar>
              <w:top w:w="0" w:type="dxa"/>
              <w:left w:w="108" w:type="dxa"/>
              <w:bottom w:w="0" w:type="dxa"/>
              <w:right w:w="108" w:type="dxa"/>
            </w:tcMar>
            <w:vAlign w:val="center"/>
          </w:tcPr>
          <w:p w14:paraId="6F6691B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2015.05.13</w:t>
            </w:r>
          </w:p>
        </w:tc>
        <w:tc>
          <w:tcPr>
            <w:tcW w:w="1178" w:type="dxa"/>
            <w:tcMar>
              <w:top w:w="0" w:type="dxa"/>
              <w:left w:w="108" w:type="dxa"/>
              <w:bottom w:w="0" w:type="dxa"/>
              <w:right w:w="108" w:type="dxa"/>
            </w:tcMar>
            <w:vAlign w:val="center"/>
          </w:tcPr>
          <w:p w14:paraId="4CF21DF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45E4AE10" w14:textId="77777777" w:rsidTr="005860B4">
        <w:trPr>
          <w:trHeight w:val="340"/>
          <w:jc w:val="center"/>
        </w:trPr>
        <w:tc>
          <w:tcPr>
            <w:tcW w:w="738" w:type="dxa"/>
            <w:shd w:val="clear" w:color="auto" w:fill="auto"/>
            <w:tcMar>
              <w:top w:w="0" w:type="dxa"/>
              <w:left w:w="108" w:type="dxa"/>
              <w:bottom w:w="0" w:type="dxa"/>
              <w:right w:w="108" w:type="dxa"/>
            </w:tcMar>
            <w:vAlign w:val="center"/>
          </w:tcPr>
          <w:p w14:paraId="4B34C24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16</w:t>
            </w:r>
          </w:p>
        </w:tc>
        <w:tc>
          <w:tcPr>
            <w:tcW w:w="1316" w:type="dxa"/>
            <w:tcMar>
              <w:top w:w="0" w:type="dxa"/>
              <w:left w:w="108" w:type="dxa"/>
              <w:bottom w:w="0" w:type="dxa"/>
              <w:right w:w="108" w:type="dxa"/>
            </w:tcMar>
            <w:vAlign w:val="center"/>
          </w:tcPr>
          <w:p w14:paraId="420F3E5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5DD69FA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TD-SCDMA</w:t>
            </w:r>
            <w:r w:rsidRPr="00B4515A">
              <w:rPr>
                <w:rFonts w:ascii="Times New Roman" w:hAnsi="Times New Roman" w:cs="Times New Roman" w:hint="eastAsia"/>
                <w:bCs/>
                <w:color w:val="000000" w:themeColor="text1"/>
                <w:sz w:val="21"/>
                <w:szCs w:val="21"/>
              </w:rPr>
              <w:t>系统同频多小区中确定窗口信道冲激响应的方法和装置</w:t>
            </w:r>
          </w:p>
        </w:tc>
        <w:tc>
          <w:tcPr>
            <w:tcW w:w="2063" w:type="dxa"/>
            <w:shd w:val="clear" w:color="auto" w:fill="auto"/>
            <w:tcMar>
              <w:top w:w="0" w:type="dxa"/>
              <w:left w:w="108" w:type="dxa"/>
              <w:bottom w:w="0" w:type="dxa"/>
              <w:right w:w="108" w:type="dxa"/>
            </w:tcMar>
            <w:vAlign w:val="center"/>
          </w:tcPr>
          <w:p w14:paraId="0DB8085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ZL201210212401.4</w:t>
            </w:r>
          </w:p>
        </w:tc>
        <w:tc>
          <w:tcPr>
            <w:tcW w:w="1178" w:type="dxa"/>
            <w:tcMar>
              <w:top w:w="0" w:type="dxa"/>
              <w:left w:w="108" w:type="dxa"/>
              <w:bottom w:w="0" w:type="dxa"/>
              <w:right w:w="108" w:type="dxa"/>
            </w:tcMar>
            <w:vAlign w:val="center"/>
          </w:tcPr>
          <w:p w14:paraId="682595D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2016.08.17</w:t>
            </w:r>
          </w:p>
        </w:tc>
        <w:tc>
          <w:tcPr>
            <w:tcW w:w="1178" w:type="dxa"/>
            <w:tcMar>
              <w:top w:w="0" w:type="dxa"/>
              <w:left w:w="108" w:type="dxa"/>
              <w:bottom w:w="0" w:type="dxa"/>
              <w:right w:w="108" w:type="dxa"/>
            </w:tcMar>
            <w:vAlign w:val="center"/>
          </w:tcPr>
          <w:p w14:paraId="04F1A8C8"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6C53BB6C" w14:textId="77777777" w:rsidTr="005860B4">
        <w:trPr>
          <w:trHeight w:val="340"/>
          <w:jc w:val="center"/>
        </w:trPr>
        <w:tc>
          <w:tcPr>
            <w:tcW w:w="738" w:type="dxa"/>
            <w:shd w:val="clear" w:color="auto" w:fill="auto"/>
            <w:tcMar>
              <w:top w:w="0" w:type="dxa"/>
              <w:left w:w="108" w:type="dxa"/>
              <w:bottom w:w="0" w:type="dxa"/>
              <w:right w:w="108" w:type="dxa"/>
            </w:tcMar>
            <w:vAlign w:val="center"/>
          </w:tcPr>
          <w:p w14:paraId="70F6787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17</w:t>
            </w:r>
          </w:p>
        </w:tc>
        <w:tc>
          <w:tcPr>
            <w:tcW w:w="1316" w:type="dxa"/>
            <w:tcMar>
              <w:top w:w="0" w:type="dxa"/>
              <w:left w:w="108" w:type="dxa"/>
              <w:bottom w:w="0" w:type="dxa"/>
              <w:right w:w="108" w:type="dxa"/>
            </w:tcMar>
            <w:vAlign w:val="center"/>
          </w:tcPr>
          <w:p w14:paraId="3A79946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653FEFD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w:t>
            </w:r>
            <w:r w:rsidRPr="00B4515A">
              <w:rPr>
                <w:rFonts w:ascii="Times New Roman" w:hAnsi="Times New Roman" w:cs="Times New Roman"/>
                <w:bCs/>
                <w:color w:val="000000" w:themeColor="text1"/>
                <w:sz w:val="21"/>
                <w:szCs w:val="21"/>
              </w:rPr>
              <w:t>TD-SCDMA</w:t>
            </w:r>
            <w:r w:rsidRPr="00B4515A">
              <w:rPr>
                <w:rFonts w:ascii="Times New Roman" w:hAnsi="Times New Roman" w:cs="Times New Roman" w:hint="eastAsia"/>
                <w:bCs/>
                <w:color w:val="000000" w:themeColor="text1"/>
                <w:sz w:val="21"/>
                <w:szCs w:val="21"/>
              </w:rPr>
              <w:t>系统同频多小区的码道激活检测方法和装置</w:t>
            </w:r>
          </w:p>
        </w:tc>
        <w:tc>
          <w:tcPr>
            <w:tcW w:w="2063" w:type="dxa"/>
            <w:shd w:val="clear" w:color="auto" w:fill="auto"/>
            <w:tcMar>
              <w:top w:w="0" w:type="dxa"/>
              <w:left w:w="108" w:type="dxa"/>
              <w:bottom w:w="0" w:type="dxa"/>
              <w:right w:w="108" w:type="dxa"/>
            </w:tcMar>
            <w:vAlign w:val="center"/>
          </w:tcPr>
          <w:p w14:paraId="60E0E79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39" w:history="1">
              <w:r w:rsidRPr="00B4515A">
                <w:rPr>
                  <w:rFonts w:ascii="Times New Roman" w:hAnsi="Times New Roman" w:cs="Times New Roman"/>
                  <w:bCs/>
                  <w:color w:val="000000" w:themeColor="text1"/>
                  <w:sz w:val="21"/>
                  <w:szCs w:val="21"/>
                </w:rPr>
                <w:t>201210212652.2</w:t>
              </w:r>
            </w:hyperlink>
          </w:p>
        </w:tc>
        <w:tc>
          <w:tcPr>
            <w:tcW w:w="1178" w:type="dxa"/>
            <w:tcMar>
              <w:top w:w="0" w:type="dxa"/>
              <w:left w:w="108" w:type="dxa"/>
              <w:bottom w:w="0" w:type="dxa"/>
              <w:right w:w="108" w:type="dxa"/>
            </w:tcMar>
            <w:vAlign w:val="center"/>
          </w:tcPr>
          <w:p w14:paraId="2F20851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2015.07.15</w:t>
            </w:r>
          </w:p>
        </w:tc>
        <w:tc>
          <w:tcPr>
            <w:tcW w:w="1178" w:type="dxa"/>
            <w:tcMar>
              <w:top w:w="0" w:type="dxa"/>
              <w:left w:w="108" w:type="dxa"/>
              <w:bottom w:w="0" w:type="dxa"/>
              <w:right w:w="108" w:type="dxa"/>
            </w:tcMar>
            <w:vAlign w:val="center"/>
          </w:tcPr>
          <w:p w14:paraId="0D9D730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5AFB0303" w14:textId="77777777" w:rsidTr="005860B4">
        <w:trPr>
          <w:trHeight w:val="340"/>
          <w:jc w:val="center"/>
        </w:trPr>
        <w:tc>
          <w:tcPr>
            <w:tcW w:w="738" w:type="dxa"/>
            <w:shd w:val="clear" w:color="auto" w:fill="auto"/>
            <w:tcMar>
              <w:top w:w="0" w:type="dxa"/>
              <w:left w:w="108" w:type="dxa"/>
              <w:bottom w:w="0" w:type="dxa"/>
              <w:right w:w="108" w:type="dxa"/>
            </w:tcMar>
            <w:vAlign w:val="center"/>
          </w:tcPr>
          <w:p w14:paraId="634A082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18</w:t>
            </w:r>
          </w:p>
        </w:tc>
        <w:tc>
          <w:tcPr>
            <w:tcW w:w="1316" w:type="dxa"/>
            <w:tcMar>
              <w:top w:w="0" w:type="dxa"/>
              <w:left w:w="108" w:type="dxa"/>
              <w:bottom w:w="0" w:type="dxa"/>
              <w:right w:w="108" w:type="dxa"/>
            </w:tcMar>
            <w:vAlign w:val="center"/>
          </w:tcPr>
          <w:p w14:paraId="2A28C6E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7964090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一种提高频率同步精度方法和装置</w:t>
            </w:r>
          </w:p>
        </w:tc>
        <w:tc>
          <w:tcPr>
            <w:tcW w:w="2063" w:type="dxa"/>
            <w:shd w:val="clear" w:color="auto" w:fill="auto"/>
            <w:tcMar>
              <w:top w:w="0" w:type="dxa"/>
              <w:left w:w="108" w:type="dxa"/>
              <w:bottom w:w="0" w:type="dxa"/>
              <w:right w:w="108" w:type="dxa"/>
            </w:tcMar>
            <w:vAlign w:val="center"/>
          </w:tcPr>
          <w:p w14:paraId="0DBB1B5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40" w:history="1">
              <w:r w:rsidRPr="00B4515A">
                <w:rPr>
                  <w:rFonts w:ascii="Times New Roman" w:hAnsi="Times New Roman" w:cs="Times New Roman"/>
                  <w:bCs/>
                  <w:color w:val="000000" w:themeColor="text1"/>
                  <w:sz w:val="21"/>
                  <w:szCs w:val="21"/>
                </w:rPr>
                <w:t>201310230744.8</w:t>
              </w:r>
            </w:hyperlink>
          </w:p>
        </w:tc>
        <w:tc>
          <w:tcPr>
            <w:tcW w:w="1178" w:type="dxa"/>
            <w:tcMar>
              <w:top w:w="0" w:type="dxa"/>
              <w:left w:w="108" w:type="dxa"/>
              <w:bottom w:w="0" w:type="dxa"/>
              <w:right w:w="108" w:type="dxa"/>
            </w:tcMar>
            <w:vAlign w:val="center"/>
          </w:tcPr>
          <w:p w14:paraId="5E14FC0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2017.04.05</w:t>
            </w:r>
          </w:p>
        </w:tc>
        <w:tc>
          <w:tcPr>
            <w:tcW w:w="1178" w:type="dxa"/>
            <w:tcMar>
              <w:top w:w="0" w:type="dxa"/>
              <w:left w:w="108" w:type="dxa"/>
              <w:bottom w:w="0" w:type="dxa"/>
              <w:right w:w="108" w:type="dxa"/>
            </w:tcMar>
            <w:vAlign w:val="center"/>
          </w:tcPr>
          <w:p w14:paraId="6615521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57B58131" w14:textId="77777777" w:rsidTr="005860B4">
        <w:trPr>
          <w:trHeight w:val="340"/>
          <w:jc w:val="center"/>
        </w:trPr>
        <w:tc>
          <w:tcPr>
            <w:tcW w:w="738" w:type="dxa"/>
            <w:shd w:val="clear" w:color="auto" w:fill="auto"/>
            <w:tcMar>
              <w:top w:w="0" w:type="dxa"/>
              <w:left w:w="108" w:type="dxa"/>
              <w:bottom w:w="0" w:type="dxa"/>
              <w:right w:w="108" w:type="dxa"/>
            </w:tcMar>
            <w:vAlign w:val="center"/>
          </w:tcPr>
          <w:p w14:paraId="6AAF6EF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19</w:t>
            </w:r>
          </w:p>
        </w:tc>
        <w:tc>
          <w:tcPr>
            <w:tcW w:w="1316" w:type="dxa"/>
            <w:tcMar>
              <w:top w:w="0" w:type="dxa"/>
              <w:left w:w="108" w:type="dxa"/>
              <w:bottom w:w="0" w:type="dxa"/>
              <w:right w:w="108" w:type="dxa"/>
            </w:tcMar>
            <w:vAlign w:val="center"/>
          </w:tcPr>
          <w:p w14:paraId="6740001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1D5186A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一种多用户非同步到达场景下的干扰检测方法和装置</w:t>
            </w:r>
          </w:p>
        </w:tc>
        <w:tc>
          <w:tcPr>
            <w:tcW w:w="2063" w:type="dxa"/>
            <w:shd w:val="clear" w:color="auto" w:fill="auto"/>
            <w:tcMar>
              <w:top w:w="0" w:type="dxa"/>
              <w:left w:w="108" w:type="dxa"/>
              <w:bottom w:w="0" w:type="dxa"/>
              <w:right w:w="108" w:type="dxa"/>
            </w:tcMar>
            <w:vAlign w:val="center"/>
          </w:tcPr>
          <w:p w14:paraId="5BA82D0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41" w:history="1">
              <w:r w:rsidRPr="00B4515A">
                <w:rPr>
                  <w:rFonts w:ascii="Times New Roman" w:hAnsi="Times New Roman" w:cs="Times New Roman"/>
                  <w:bCs/>
                  <w:color w:val="000000" w:themeColor="text1"/>
                  <w:sz w:val="21"/>
                  <w:szCs w:val="21"/>
                </w:rPr>
                <w:t>201310231904.0</w:t>
              </w:r>
            </w:hyperlink>
          </w:p>
        </w:tc>
        <w:tc>
          <w:tcPr>
            <w:tcW w:w="1178" w:type="dxa"/>
            <w:tcMar>
              <w:top w:w="0" w:type="dxa"/>
              <w:left w:w="108" w:type="dxa"/>
              <w:bottom w:w="0" w:type="dxa"/>
              <w:right w:w="108" w:type="dxa"/>
            </w:tcMar>
            <w:vAlign w:val="center"/>
          </w:tcPr>
          <w:p w14:paraId="5DD5513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2017.11.24</w:t>
            </w:r>
          </w:p>
        </w:tc>
        <w:tc>
          <w:tcPr>
            <w:tcW w:w="1178" w:type="dxa"/>
            <w:tcMar>
              <w:top w:w="0" w:type="dxa"/>
              <w:left w:w="108" w:type="dxa"/>
              <w:bottom w:w="0" w:type="dxa"/>
              <w:right w:w="108" w:type="dxa"/>
            </w:tcMar>
            <w:vAlign w:val="center"/>
          </w:tcPr>
          <w:p w14:paraId="5B9AAB9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103DD528" w14:textId="77777777" w:rsidTr="005860B4">
        <w:trPr>
          <w:trHeight w:val="340"/>
          <w:jc w:val="center"/>
        </w:trPr>
        <w:tc>
          <w:tcPr>
            <w:tcW w:w="738" w:type="dxa"/>
            <w:shd w:val="clear" w:color="auto" w:fill="auto"/>
            <w:tcMar>
              <w:top w:w="0" w:type="dxa"/>
              <w:left w:w="108" w:type="dxa"/>
              <w:bottom w:w="0" w:type="dxa"/>
              <w:right w:w="108" w:type="dxa"/>
            </w:tcMar>
            <w:vAlign w:val="center"/>
          </w:tcPr>
          <w:p w14:paraId="692A1DA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w:t>
            </w:r>
          </w:p>
        </w:tc>
        <w:tc>
          <w:tcPr>
            <w:tcW w:w="1316" w:type="dxa"/>
            <w:tcMar>
              <w:top w:w="0" w:type="dxa"/>
              <w:left w:w="108" w:type="dxa"/>
              <w:bottom w:w="0" w:type="dxa"/>
              <w:right w:w="108" w:type="dxa"/>
            </w:tcMar>
            <w:vAlign w:val="center"/>
          </w:tcPr>
          <w:p w14:paraId="0FBF616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3C07D9C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一种多用户接入下</w:t>
            </w:r>
            <w:r w:rsidRPr="00B4515A">
              <w:rPr>
                <w:rFonts w:ascii="Times New Roman" w:hAnsi="Times New Roman" w:cs="Times New Roman" w:hint="eastAsia"/>
                <w:bCs/>
                <w:color w:val="000000" w:themeColor="text1"/>
                <w:sz w:val="21"/>
                <w:szCs w:val="21"/>
              </w:rPr>
              <w:lastRenderedPageBreak/>
              <w:t>的频偏估计方法和装置</w:t>
            </w:r>
          </w:p>
        </w:tc>
        <w:tc>
          <w:tcPr>
            <w:tcW w:w="2063" w:type="dxa"/>
            <w:shd w:val="clear" w:color="auto" w:fill="auto"/>
            <w:tcMar>
              <w:top w:w="0" w:type="dxa"/>
              <w:left w:w="108" w:type="dxa"/>
              <w:bottom w:w="0" w:type="dxa"/>
              <w:right w:w="108" w:type="dxa"/>
            </w:tcMar>
            <w:vAlign w:val="center"/>
          </w:tcPr>
          <w:p w14:paraId="143A4D5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lastRenderedPageBreak/>
              <w:t>ZL201310235055.6</w:t>
            </w:r>
          </w:p>
        </w:tc>
        <w:tc>
          <w:tcPr>
            <w:tcW w:w="1178" w:type="dxa"/>
            <w:tcMar>
              <w:top w:w="0" w:type="dxa"/>
              <w:left w:w="108" w:type="dxa"/>
              <w:bottom w:w="0" w:type="dxa"/>
              <w:right w:w="108" w:type="dxa"/>
            </w:tcMar>
            <w:vAlign w:val="center"/>
          </w:tcPr>
          <w:p w14:paraId="1BB6806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2018.04.20</w:t>
            </w:r>
          </w:p>
        </w:tc>
        <w:tc>
          <w:tcPr>
            <w:tcW w:w="1178" w:type="dxa"/>
            <w:tcMar>
              <w:top w:w="0" w:type="dxa"/>
              <w:left w:w="108" w:type="dxa"/>
              <w:bottom w:w="0" w:type="dxa"/>
              <w:right w:w="108" w:type="dxa"/>
            </w:tcMar>
            <w:vAlign w:val="center"/>
          </w:tcPr>
          <w:p w14:paraId="4368381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5BCC4889" w14:textId="77777777" w:rsidTr="005860B4">
        <w:trPr>
          <w:trHeight w:val="340"/>
          <w:jc w:val="center"/>
        </w:trPr>
        <w:tc>
          <w:tcPr>
            <w:tcW w:w="738" w:type="dxa"/>
            <w:shd w:val="clear" w:color="auto" w:fill="auto"/>
            <w:tcMar>
              <w:top w:w="0" w:type="dxa"/>
              <w:left w:w="108" w:type="dxa"/>
              <w:bottom w:w="0" w:type="dxa"/>
              <w:right w:w="108" w:type="dxa"/>
            </w:tcMar>
            <w:vAlign w:val="center"/>
          </w:tcPr>
          <w:p w14:paraId="2F27157B"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lastRenderedPageBreak/>
              <w:t>21</w:t>
            </w:r>
          </w:p>
        </w:tc>
        <w:tc>
          <w:tcPr>
            <w:tcW w:w="1316" w:type="dxa"/>
            <w:tcMar>
              <w:top w:w="0" w:type="dxa"/>
              <w:left w:w="108" w:type="dxa"/>
              <w:bottom w:w="0" w:type="dxa"/>
              <w:right w:w="108" w:type="dxa"/>
            </w:tcMar>
            <w:vAlign w:val="center"/>
          </w:tcPr>
          <w:p w14:paraId="096FE12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241C99D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一种窄带干扰的消除方法及其装置</w:t>
            </w:r>
          </w:p>
        </w:tc>
        <w:tc>
          <w:tcPr>
            <w:tcW w:w="2063" w:type="dxa"/>
            <w:shd w:val="clear" w:color="auto" w:fill="auto"/>
            <w:tcMar>
              <w:top w:w="0" w:type="dxa"/>
              <w:left w:w="108" w:type="dxa"/>
              <w:bottom w:w="0" w:type="dxa"/>
              <w:right w:w="108" w:type="dxa"/>
            </w:tcMar>
            <w:vAlign w:val="center"/>
          </w:tcPr>
          <w:p w14:paraId="7846815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ZL201310241851.0</w:t>
            </w:r>
          </w:p>
        </w:tc>
        <w:tc>
          <w:tcPr>
            <w:tcW w:w="1178" w:type="dxa"/>
            <w:tcMar>
              <w:top w:w="0" w:type="dxa"/>
              <w:left w:w="108" w:type="dxa"/>
              <w:bottom w:w="0" w:type="dxa"/>
              <w:right w:w="108" w:type="dxa"/>
            </w:tcMar>
            <w:vAlign w:val="center"/>
          </w:tcPr>
          <w:p w14:paraId="43DC648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2016.11.30</w:t>
            </w:r>
          </w:p>
        </w:tc>
        <w:tc>
          <w:tcPr>
            <w:tcW w:w="1178" w:type="dxa"/>
            <w:tcMar>
              <w:top w:w="0" w:type="dxa"/>
              <w:left w:w="108" w:type="dxa"/>
              <w:bottom w:w="0" w:type="dxa"/>
              <w:right w:w="108" w:type="dxa"/>
            </w:tcMar>
            <w:vAlign w:val="center"/>
          </w:tcPr>
          <w:p w14:paraId="7908A5C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773E7151" w14:textId="77777777" w:rsidTr="005860B4">
        <w:trPr>
          <w:trHeight w:val="340"/>
          <w:jc w:val="center"/>
        </w:trPr>
        <w:tc>
          <w:tcPr>
            <w:tcW w:w="738" w:type="dxa"/>
            <w:shd w:val="clear" w:color="auto" w:fill="auto"/>
            <w:tcMar>
              <w:top w:w="0" w:type="dxa"/>
              <w:left w:w="108" w:type="dxa"/>
              <w:bottom w:w="0" w:type="dxa"/>
              <w:right w:w="108" w:type="dxa"/>
            </w:tcMar>
            <w:vAlign w:val="center"/>
          </w:tcPr>
          <w:p w14:paraId="4707A52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22</w:t>
            </w:r>
          </w:p>
        </w:tc>
        <w:tc>
          <w:tcPr>
            <w:tcW w:w="1316" w:type="dxa"/>
            <w:tcMar>
              <w:top w:w="0" w:type="dxa"/>
              <w:left w:w="108" w:type="dxa"/>
              <w:bottom w:w="0" w:type="dxa"/>
              <w:right w:w="108" w:type="dxa"/>
            </w:tcMar>
            <w:vAlign w:val="center"/>
          </w:tcPr>
          <w:p w14:paraId="0B58C7C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67F3FC1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基于</w:t>
            </w:r>
            <w:r w:rsidRPr="00B4515A">
              <w:rPr>
                <w:rFonts w:ascii="Times New Roman" w:hAnsi="Times New Roman" w:cs="Times New Roman"/>
                <w:bCs/>
                <w:color w:val="000000" w:themeColor="text1"/>
                <w:sz w:val="21"/>
                <w:szCs w:val="21"/>
              </w:rPr>
              <w:t>TD-SCDMA</w:t>
            </w:r>
            <w:r w:rsidRPr="00B4515A">
              <w:rPr>
                <w:rFonts w:ascii="Times New Roman" w:hAnsi="Times New Roman" w:cs="Times New Roman" w:hint="eastAsia"/>
                <w:bCs/>
                <w:color w:val="000000" w:themeColor="text1"/>
                <w:sz w:val="21"/>
                <w:szCs w:val="21"/>
              </w:rPr>
              <w:t>系统的时隙结构的相位校准方法及装置</w:t>
            </w:r>
          </w:p>
        </w:tc>
        <w:tc>
          <w:tcPr>
            <w:tcW w:w="2063" w:type="dxa"/>
            <w:shd w:val="clear" w:color="auto" w:fill="auto"/>
            <w:tcMar>
              <w:top w:w="0" w:type="dxa"/>
              <w:left w:w="108" w:type="dxa"/>
              <w:bottom w:w="0" w:type="dxa"/>
              <w:right w:w="108" w:type="dxa"/>
            </w:tcMar>
            <w:vAlign w:val="center"/>
          </w:tcPr>
          <w:p w14:paraId="161C164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42" w:history="1">
              <w:r w:rsidRPr="00B4515A">
                <w:rPr>
                  <w:rFonts w:ascii="Times New Roman" w:hAnsi="Times New Roman" w:cs="Times New Roman"/>
                  <w:bCs/>
                  <w:color w:val="000000" w:themeColor="text1"/>
                  <w:sz w:val="21"/>
                  <w:szCs w:val="21"/>
                </w:rPr>
                <w:t>201310244590.8</w:t>
              </w:r>
            </w:hyperlink>
          </w:p>
        </w:tc>
        <w:tc>
          <w:tcPr>
            <w:tcW w:w="1178" w:type="dxa"/>
            <w:tcMar>
              <w:top w:w="0" w:type="dxa"/>
              <w:left w:w="108" w:type="dxa"/>
              <w:bottom w:w="0" w:type="dxa"/>
              <w:right w:w="108" w:type="dxa"/>
            </w:tcMar>
            <w:vAlign w:val="center"/>
          </w:tcPr>
          <w:p w14:paraId="4E8F02D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2017.09.26</w:t>
            </w:r>
          </w:p>
        </w:tc>
        <w:tc>
          <w:tcPr>
            <w:tcW w:w="1178" w:type="dxa"/>
            <w:tcMar>
              <w:top w:w="0" w:type="dxa"/>
              <w:left w:w="108" w:type="dxa"/>
              <w:bottom w:w="0" w:type="dxa"/>
              <w:right w:w="108" w:type="dxa"/>
            </w:tcMar>
            <w:vAlign w:val="center"/>
          </w:tcPr>
          <w:p w14:paraId="5F6D17F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0B00546B" w14:textId="77777777" w:rsidTr="005860B4">
        <w:trPr>
          <w:trHeight w:val="340"/>
          <w:jc w:val="center"/>
        </w:trPr>
        <w:tc>
          <w:tcPr>
            <w:tcW w:w="738" w:type="dxa"/>
            <w:shd w:val="clear" w:color="auto" w:fill="auto"/>
            <w:tcMar>
              <w:top w:w="0" w:type="dxa"/>
              <w:left w:w="108" w:type="dxa"/>
              <w:bottom w:w="0" w:type="dxa"/>
              <w:right w:w="108" w:type="dxa"/>
            </w:tcMar>
            <w:vAlign w:val="center"/>
          </w:tcPr>
          <w:p w14:paraId="318E2EE8"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23</w:t>
            </w:r>
          </w:p>
        </w:tc>
        <w:tc>
          <w:tcPr>
            <w:tcW w:w="1316" w:type="dxa"/>
            <w:tcMar>
              <w:top w:w="0" w:type="dxa"/>
              <w:left w:w="108" w:type="dxa"/>
              <w:bottom w:w="0" w:type="dxa"/>
              <w:right w:w="108" w:type="dxa"/>
            </w:tcMar>
            <w:vAlign w:val="center"/>
          </w:tcPr>
          <w:p w14:paraId="36AA452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3D2B14C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一种正交幅度调制软比特解调方法及其装置</w:t>
            </w:r>
          </w:p>
        </w:tc>
        <w:tc>
          <w:tcPr>
            <w:tcW w:w="2063" w:type="dxa"/>
            <w:shd w:val="clear" w:color="auto" w:fill="auto"/>
            <w:tcMar>
              <w:top w:w="0" w:type="dxa"/>
              <w:left w:w="108" w:type="dxa"/>
              <w:bottom w:w="0" w:type="dxa"/>
              <w:right w:w="108" w:type="dxa"/>
            </w:tcMar>
            <w:vAlign w:val="center"/>
          </w:tcPr>
          <w:p w14:paraId="38C9C21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43" w:history="1">
              <w:r w:rsidRPr="00B4515A">
                <w:rPr>
                  <w:rFonts w:ascii="Times New Roman" w:hAnsi="Times New Roman" w:cs="Times New Roman"/>
                  <w:bCs/>
                  <w:color w:val="000000" w:themeColor="text1"/>
                  <w:sz w:val="21"/>
                  <w:szCs w:val="21"/>
                </w:rPr>
                <w:t>201310274884.5</w:t>
              </w:r>
            </w:hyperlink>
          </w:p>
        </w:tc>
        <w:tc>
          <w:tcPr>
            <w:tcW w:w="1178" w:type="dxa"/>
            <w:tcMar>
              <w:top w:w="0" w:type="dxa"/>
              <w:left w:w="108" w:type="dxa"/>
              <w:bottom w:w="0" w:type="dxa"/>
              <w:right w:w="108" w:type="dxa"/>
            </w:tcMar>
            <w:vAlign w:val="center"/>
          </w:tcPr>
          <w:p w14:paraId="2F276FA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2018.05.18</w:t>
            </w:r>
          </w:p>
        </w:tc>
        <w:tc>
          <w:tcPr>
            <w:tcW w:w="1178" w:type="dxa"/>
            <w:tcMar>
              <w:top w:w="0" w:type="dxa"/>
              <w:left w:w="108" w:type="dxa"/>
              <w:bottom w:w="0" w:type="dxa"/>
              <w:right w:w="108" w:type="dxa"/>
            </w:tcMar>
            <w:vAlign w:val="center"/>
          </w:tcPr>
          <w:p w14:paraId="16F3333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31BF15EC" w14:textId="77777777" w:rsidTr="005860B4">
        <w:trPr>
          <w:trHeight w:val="340"/>
          <w:jc w:val="center"/>
        </w:trPr>
        <w:tc>
          <w:tcPr>
            <w:tcW w:w="738" w:type="dxa"/>
            <w:shd w:val="clear" w:color="auto" w:fill="auto"/>
            <w:tcMar>
              <w:top w:w="0" w:type="dxa"/>
              <w:left w:w="108" w:type="dxa"/>
              <w:bottom w:w="0" w:type="dxa"/>
              <w:right w:w="108" w:type="dxa"/>
            </w:tcMar>
            <w:vAlign w:val="center"/>
          </w:tcPr>
          <w:p w14:paraId="26B3506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24</w:t>
            </w:r>
          </w:p>
        </w:tc>
        <w:tc>
          <w:tcPr>
            <w:tcW w:w="1316" w:type="dxa"/>
            <w:tcMar>
              <w:top w:w="0" w:type="dxa"/>
              <w:left w:w="108" w:type="dxa"/>
              <w:bottom w:w="0" w:type="dxa"/>
              <w:right w:w="108" w:type="dxa"/>
            </w:tcMar>
            <w:vAlign w:val="center"/>
          </w:tcPr>
          <w:p w14:paraId="481F8C5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7D574C5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时分双工系统的变频电路</w:t>
            </w:r>
          </w:p>
        </w:tc>
        <w:tc>
          <w:tcPr>
            <w:tcW w:w="2063" w:type="dxa"/>
            <w:shd w:val="clear" w:color="auto" w:fill="auto"/>
            <w:tcMar>
              <w:top w:w="0" w:type="dxa"/>
              <w:left w:w="108" w:type="dxa"/>
              <w:bottom w:w="0" w:type="dxa"/>
              <w:right w:w="108" w:type="dxa"/>
            </w:tcMar>
            <w:vAlign w:val="center"/>
          </w:tcPr>
          <w:p w14:paraId="191910B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ZL201310737471.6</w:t>
            </w:r>
          </w:p>
        </w:tc>
        <w:tc>
          <w:tcPr>
            <w:tcW w:w="1178" w:type="dxa"/>
            <w:tcMar>
              <w:top w:w="0" w:type="dxa"/>
              <w:left w:w="108" w:type="dxa"/>
              <w:bottom w:w="0" w:type="dxa"/>
              <w:right w:w="108" w:type="dxa"/>
            </w:tcMar>
            <w:vAlign w:val="center"/>
          </w:tcPr>
          <w:p w14:paraId="71A3AF78"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2018.09.25</w:t>
            </w:r>
          </w:p>
        </w:tc>
        <w:tc>
          <w:tcPr>
            <w:tcW w:w="1178" w:type="dxa"/>
            <w:tcMar>
              <w:top w:w="0" w:type="dxa"/>
              <w:left w:w="108" w:type="dxa"/>
              <w:bottom w:w="0" w:type="dxa"/>
              <w:right w:w="108" w:type="dxa"/>
            </w:tcMar>
            <w:vAlign w:val="center"/>
          </w:tcPr>
          <w:p w14:paraId="2F8F911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5A20A00A" w14:textId="77777777" w:rsidTr="005860B4">
        <w:trPr>
          <w:trHeight w:val="340"/>
          <w:jc w:val="center"/>
        </w:trPr>
        <w:tc>
          <w:tcPr>
            <w:tcW w:w="738" w:type="dxa"/>
            <w:shd w:val="clear" w:color="auto" w:fill="auto"/>
            <w:tcMar>
              <w:top w:w="0" w:type="dxa"/>
              <w:left w:w="108" w:type="dxa"/>
              <w:bottom w:w="0" w:type="dxa"/>
              <w:right w:w="108" w:type="dxa"/>
            </w:tcMar>
            <w:vAlign w:val="center"/>
          </w:tcPr>
          <w:p w14:paraId="0AB8D96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25</w:t>
            </w:r>
          </w:p>
        </w:tc>
        <w:tc>
          <w:tcPr>
            <w:tcW w:w="1316" w:type="dxa"/>
            <w:tcMar>
              <w:top w:w="0" w:type="dxa"/>
              <w:left w:w="108" w:type="dxa"/>
              <w:bottom w:w="0" w:type="dxa"/>
              <w:right w:w="108" w:type="dxa"/>
            </w:tcMar>
            <w:vAlign w:val="center"/>
          </w:tcPr>
          <w:p w14:paraId="7078EFA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6A8EAC1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一种对加密分析终端进行可靠性评估的方法及装置</w:t>
            </w:r>
          </w:p>
        </w:tc>
        <w:tc>
          <w:tcPr>
            <w:tcW w:w="2063" w:type="dxa"/>
            <w:shd w:val="clear" w:color="auto" w:fill="auto"/>
            <w:tcMar>
              <w:top w:w="0" w:type="dxa"/>
              <w:left w:w="108" w:type="dxa"/>
              <w:bottom w:w="0" w:type="dxa"/>
              <w:right w:w="108" w:type="dxa"/>
            </w:tcMar>
            <w:vAlign w:val="center"/>
          </w:tcPr>
          <w:p w14:paraId="7E6CC0B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ZL201410588069.0</w:t>
            </w:r>
          </w:p>
        </w:tc>
        <w:tc>
          <w:tcPr>
            <w:tcW w:w="1178" w:type="dxa"/>
            <w:tcMar>
              <w:top w:w="0" w:type="dxa"/>
              <w:left w:w="108" w:type="dxa"/>
              <w:bottom w:w="0" w:type="dxa"/>
              <w:right w:w="108" w:type="dxa"/>
            </w:tcMar>
            <w:vAlign w:val="center"/>
          </w:tcPr>
          <w:p w14:paraId="2D2984C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2018.11.30</w:t>
            </w:r>
          </w:p>
        </w:tc>
        <w:tc>
          <w:tcPr>
            <w:tcW w:w="1178" w:type="dxa"/>
            <w:tcMar>
              <w:top w:w="0" w:type="dxa"/>
              <w:left w:w="108" w:type="dxa"/>
              <w:bottom w:w="0" w:type="dxa"/>
              <w:right w:w="108" w:type="dxa"/>
            </w:tcMar>
            <w:vAlign w:val="center"/>
          </w:tcPr>
          <w:p w14:paraId="2CD7493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大唐联诚、上海大唐移动通信设备有限公司、大唐移动</w:t>
            </w:r>
          </w:p>
        </w:tc>
      </w:tr>
      <w:tr w:rsidR="006416B0" w:rsidRPr="00B4515A" w14:paraId="75A3E453" w14:textId="77777777" w:rsidTr="005860B4">
        <w:trPr>
          <w:trHeight w:val="340"/>
          <w:jc w:val="center"/>
        </w:trPr>
        <w:tc>
          <w:tcPr>
            <w:tcW w:w="738" w:type="dxa"/>
            <w:shd w:val="clear" w:color="auto" w:fill="auto"/>
            <w:tcMar>
              <w:top w:w="0" w:type="dxa"/>
              <w:left w:w="108" w:type="dxa"/>
              <w:bottom w:w="0" w:type="dxa"/>
              <w:right w:w="108" w:type="dxa"/>
            </w:tcMar>
            <w:vAlign w:val="center"/>
          </w:tcPr>
          <w:p w14:paraId="30A8906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26</w:t>
            </w:r>
          </w:p>
        </w:tc>
        <w:tc>
          <w:tcPr>
            <w:tcW w:w="1316" w:type="dxa"/>
            <w:tcMar>
              <w:top w:w="0" w:type="dxa"/>
              <w:left w:w="108" w:type="dxa"/>
              <w:bottom w:w="0" w:type="dxa"/>
              <w:right w:w="108" w:type="dxa"/>
            </w:tcMar>
            <w:vAlign w:val="center"/>
          </w:tcPr>
          <w:p w14:paraId="4DB8810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3A3BD46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信号处理方法及装置</w:t>
            </w:r>
          </w:p>
        </w:tc>
        <w:tc>
          <w:tcPr>
            <w:tcW w:w="2063" w:type="dxa"/>
            <w:shd w:val="clear" w:color="auto" w:fill="auto"/>
            <w:tcMar>
              <w:top w:w="0" w:type="dxa"/>
              <w:left w:w="108" w:type="dxa"/>
              <w:bottom w:w="0" w:type="dxa"/>
              <w:right w:w="108" w:type="dxa"/>
            </w:tcMar>
            <w:vAlign w:val="center"/>
          </w:tcPr>
          <w:p w14:paraId="2451010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ZL201510166915.4</w:t>
            </w:r>
          </w:p>
        </w:tc>
        <w:tc>
          <w:tcPr>
            <w:tcW w:w="1178" w:type="dxa"/>
            <w:tcMar>
              <w:top w:w="0" w:type="dxa"/>
              <w:left w:w="108" w:type="dxa"/>
              <w:bottom w:w="0" w:type="dxa"/>
              <w:right w:w="108" w:type="dxa"/>
            </w:tcMar>
            <w:vAlign w:val="center"/>
          </w:tcPr>
          <w:p w14:paraId="52A0986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2018.12.07</w:t>
            </w:r>
          </w:p>
        </w:tc>
        <w:tc>
          <w:tcPr>
            <w:tcW w:w="1178" w:type="dxa"/>
            <w:tcMar>
              <w:top w:w="0" w:type="dxa"/>
              <w:left w:w="108" w:type="dxa"/>
              <w:bottom w:w="0" w:type="dxa"/>
              <w:right w:w="108" w:type="dxa"/>
            </w:tcMar>
            <w:vAlign w:val="center"/>
          </w:tcPr>
          <w:p w14:paraId="76033F6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25C2B9B4" w14:textId="77777777" w:rsidTr="005860B4">
        <w:trPr>
          <w:trHeight w:val="340"/>
          <w:jc w:val="center"/>
        </w:trPr>
        <w:tc>
          <w:tcPr>
            <w:tcW w:w="738" w:type="dxa"/>
            <w:shd w:val="clear" w:color="auto" w:fill="auto"/>
            <w:tcMar>
              <w:top w:w="0" w:type="dxa"/>
              <w:left w:w="108" w:type="dxa"/>
              <w:bottom w:w="0" w:type="dxa"/>
              <w:right w:w="108" w:type="dxa"/>
            </w:tcMar>
            <w:vAlign w:val="center"/>
          </w:tcPr>
          <w:p w14:paraId="2B7B2DE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27</w:t>
            </w:r>
          </w:p>
        </w:tc>
        <w:tc>
          <w:tcPr>
            <w:tcW w:w="1316" w:type="dxa"/>
            <w:tcMar>
              <w:top w:w="0" w:type="dxa"/>
              <w:left w:w="108" w:type="dxa"/>
              <w:bottom w:w="0" w:type="dxa"/>
              <w:right w:w="108" w:type="dxa"/>
            </w:tcMar>
            <w:vAlign w:val="center"/>
          </w:tcPr>
          <w:p w14:paraId="2F9BCF9B"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0778300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信号的处理方法和装置</w:t>
            </w:r>
          </w:p>
        </w:tc>
        <w:tc>
          <w:tcPr>
            <w:tcW w:w="2063" w:type="dxa"/>
            <w:shd w:val="clear" w:color="auto" w:fill="auto"/>
            <w:tcMar>
              <w:top w:w="0" w:type="dxa"/>
              <w:left w:w="108" w:type="dxa"/>
              <w:bottom w:w="0" w:type="dxa"/>
              <w:right w:w="108" w:type="dxa"/>
            </w:tcMar>
            <w:vAlign w:val="center"/>
          </w:tcPr>
          <w:p w14:paraId="28D6167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ZL201510178800.7</w:t>
            </w:r>
          </w:p>
        </w:tc>
        <w:tc>
          <w:tcPr>
            <w:tcW w:w="1178" w:type="dxa"/>
            <w:tcMar>
              <w:top w:w="0" w:type="dxa"/>
              <w:left w:w="108" w:type="dxa"/>
              <w:bottom w:w="0" w:type="dxa"/>
              <w:right w:w="108" w:type="dxa"/>
            </w:tcMar>
            <w:vAlign w:val="center"/>
          </w:tcPr>
          <w:p w14:paraId="3827A77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2019.11.12</w:t>
            </w:r>
          </w:p>
        </w:tc>
        <w:tc>
          <w:tcPr>
            <w:tcW w:w="1178" w:type="dxa"/>
            <w:tcMar>
              <w:top w:w="0" w:type="dxa"/>
              <w:left w:w="108" w:type="dxa"/>
              <w:bottom w:w="0" w:type="dxa"/>
              <w:right w:w="108" w:type="dxa"/>
            </w:tcMar>
            <w:vAlign w:val="center"/>
          </w:tcPr>
          <w:p w14:paraId="645180B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01AE26D0" w14:textId="77777777" w:rsidTr="005860B4">
        <w:trPr>
          <w:trHeight w:val="340"/>
          <w:jc w:val="center"/>
        </w:trPr>
        <w:tc>
          <w:tcPr>
            <w:tcW w:w="738" w:type="dxa"/>
            <w:shd w:val="clear" w:color="auto" w:fill="auto"/>
            <w:tcMar>
              <w:top w:w="0" w:type="dxa"/>
              <w:left w:w="108" w:type="dxa"/>
              <w:bottom w:w="0" w:type="dxa"/>
              <w:right w:w="108" w:type="dxa"/>
            </w:tcMar>
            <w:vAlign w:val="center"/>
          </w:tcPr>
          <w:p w14:paraId="3A5AF918"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28</w:t>
            </w:r>
          </w:p>
        </w:tc>
        <w:tc>
          <w:tcPr>
            <w:tcW w:w="1316" w:type="dxa"/>
            <w:tcMar>
              <w:top w:w="0" w:type="dxa"/>
              <w:left w:w="108" w:type="dxa"/>
              <w:bottom w:w="0" w:type="dxa"/>
              <w:right w:w="108" w:type="dxa"/>
            </w:tcMar>
            <w:vAlign w:val="center"/>
          </w:tcPr>
          <w:p w14:paraId="4F12EB3B"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23D7044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一种线性调频信号的调频率估计方法及装置</w:t>
            </w:r>
          </w:p>
        </w:tc>
        <w:tc>
          <w:tcPr>
            <w:tcW w:w="2063" w:type="dxa"/>
            <w:shd w:val="clear" w:color="auto" w:fill="auto"/>
            <w:tcMar>
              <w:top w:w="0" w:type="dxa"/>
              <w:left w:w="108" w:type="dxa"/>
              <w:bottom w:w="0" w:type="dxa"/>
              <w:right w:w="108" w:type="dxa"/>
            </w:tcMar>
            <w:vAlign w:val="center"/>
          </w:tcPr>
          <w:p w14:paraId="0ACC33C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44" w:history="1">
              <w:r w:rsidRPr="00B4515A">
                <w:rPr>
                  <w:rFonts w:ascii="Times New Roman" w:hAnsi="Times New Roman" w:cs="Times New Roman"/>
                  <w:bCs/>
                  <w:color w:val="000000" w:themeColor="text1"/>
                  <w:sz w:val="21"/>
                  <w:szCs w:val="21"/>
                </w:rPr>
                <w:t>201510903074.0</w:t>
              </w:r>
            </w:hyperlink>
          </w:p>
        </w:tc>
        <w:tc>
          <w:tcPr>
            <w:tcW w:w="1178" w:type="dxa"/>
            <w:tcMar>
              <w:top w:w="0" w:type="dxa"/>
              <w:left w:w="108" w:type="dxa"/>
              <w:bottom w:w="0" w:type="dxa"/>
              <w:right w:w="108" w:type="dxa"/>
            </w:tcMar>
            <w:vAlign w:val="center"/>
          </w:tcPr>
          <w:p w14:paraId="56EBD35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2018.05.18</w:t>
            </w:r>
          </w:p>
        </w:tc>
        <w:tc>
          <w:tcPr>
            <w:tcW w:w="1178" w:type="dxa"/>
            <w:tcMar>
              <w:top w:w="0" w:type="dxa"/>
              <w:left w:w="108" w:type="dxa"/>
              <w:bottom w:w="0" w:type="dxa"/>
              <w:right w:w="108" w:type="dxa"/>
            </w:tcMar>
            <w:vAlign w:val="center"/>
          </w:tcPr>
          <w:p w14:paraId="30171C8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4FD472FC" w14:textId="77777777" w:rsidTr="005860B4">
        <w:trPr>
          <w:trHeight w:val="340"/>
          <w:jc w:val="center"/>
        </w:trPr>
        <w:tc>
          <w:tcPr>
            <w:tcW w:w="738" w:type="dxa"/>
            <w:shd w:val="clear" w:color="auto" w:fill="auto"/>
            <w:tcMar>
              <w:top w:w="0" w:type="dxa"/>
              <w:left w:w="108" w:type="dxa"/>
              <w:bottom w:w="0" w:type="dxa"/>
              <w:right w:w="108" w:type="dxa"/>
            </w:tcMar>
            <w:vAlign w:val="center"/>
          </w:tcPr>
          <w:p w14:paraId="11139CC8"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29</w:t>
            </w:r>
          </w:p>
        </w:tc>
        <w:tc>
          <w:tcPr>
            <w:tcW w:w="1316" w:type="dxa"/>
            <w:tcMar>
              <w:top w:w="0" w:type="dxa"/>
              <w:left w:w="108" w:type="dxa"/>
              <w:bottom w:w="0" w:type="dxa"/>
              <w:right w:w="108" w:type="dxa"/>
            </w:tcMar>
            <w:vAlign w:val="center"/>
          </w:tcPr>
          <w:p w14:paraId="3872665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17CE207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信道质量指示选择方法、自适应调制编码方法及装置</w:t>
            </w:r>
          </w:p>
        </w:tc>
        <w:tc>
          <w:tcPr>
            <w:tcW w:w="2063" w:type="dxa"/>
            <w:shd w:val="clear" w:color="auto" w:fill="auto"/>
            <w:tcMar>
              <w:top w:w="0" w:type="dxa"/>
              <w:left w:w="108" w:type="dxa"/>
              <w:bottom w:w="0" w:type="dxa"/>
              <w:right w:w="108" w:type="dxa"/>
            </w:tcMar>
            <w:vAlign w:val="center"/>
          </w:tcPr>
          <w:p w14:paraId="59BFE91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45" w:history="1">
              <w:r w:rsidRPr="00B4515A">
                <w:rPr>
                  <w:rFonts w:ascii="Times New Roman" w:hAnsi="Times New Roman" w:cs="Times New Roman"/>
                  <w:bCs/>
                  <w:color w:val="000000" w:themeColor="text1"/>
                  <w:sz w:val="21"/>
                  <w:szCs w:val="21"/>
                </w:rPr>
                <w:t>201510959022.5</w:t>
              </w:r>
            </w:hyperlink>
          </w:p>
        </w:tc>
        <w:tc>
          <w:tcPr>
            <w:tcW w:w="1178" w:type="dxa"/>
            <w:tcMar>
              <w:top w:w="0" w:type="dxa"/>
              <w:left w:w="108" w:type="dxa"/>
              <w:bottom w:w="0" w:type="dxa"/>
              <w:right w:w="108" w:type="dxa"/>
            </w:tcMar>
            <w:vAlign w:val="center"/>
          </w:tcPr>
          <w:p w14:paraId="325E073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2019.03.29</w:t>
            </w:r>
          </w:p>
        </w:tc>
        <w:tc>
          <w:tcPr>
            <w:tcW w:w="1178" w:type="dxa"/>
            <w:tcMar>
              <w:top w:w="0" w:type="dxa"/>
              <w:left w:w="108" w:type="dxa"/>
              <w:bottom w:w="0" w:type="dxa"/>
              <w:right w:w="108" w:type="dxa"/>
            </w:tcMar>
            <w:vAlign w:val="center"/>
          </w:tcPr>
          <w:p w14:paraId="5C47F6D0" w14:textId="282317FC"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r w:rsidR="00CC154C" w:rsidRPr="00B4515A">
              <w:rPr>
                <w:rFonts w:ascii="Times New Roman" w:hAnsi="Times New Roman" w:cs="Times New Roman" w:hint="eastAsia"/>
                <w:color w:val="000000"/>
                <w:sz w:val="21"/>
                <w:szCs w:val="21"/>
              </w:rPr>
              <w:t>某特种单位</w:t>
            </w:r>
          </w:p>
        </w:tc>
      </w:tr>
      <w:tr w:rsidR="006416B0" w:rsidRPr="00B4515A" w14:paraId="204B5D9B" w14:textId="77777777" w:rsidTr="005860B4">
        <w:trPr>
          <w:trHeight w:val="340"/>
          <w:jc w:val="center"/>
        </w:trPr>
        <w:tc>
          <w:tcPr>
            <w:tcW w:w="738" w:type="dxa"/>
            <w:shd w:val="clear" w:color="auto" w:fill="auto"/>
            <w:tcMar>
              <w:top w:w="0" w:type="dxa"/>
              <w:left w:w="108" w:type="dxa"/>
              <w:bottom w:w="0" w:type="dxa"/>
              <w:right w:w="108" w:type="dxa"/>
            </w:tcMar>
            <w:vAlign w:val="center"/>
          </w:tcPr>
          <w:p w14:paraId="244C1D3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30</w:t>
            </w:r>
          </w:p>
        </w:tc>
        <w:tc>
          <w:tcPr>
            <w:tcW w:w="1316" w:type="dxa"/>
            <w:tcMar>
              <w:top w:w="0" w:type="dxa"/>
              <w:left w:w="108" w:type="dxa"/>
              <w:bottom w:w="0" w:type="dxa"/>
              <w:right w:w="108" w:type="dxa"/>
            </w:tcMar>
            <w:vAlign w:val="center"/>
          </w:tcPr>
          <w:p w14:paraId="1708AD01"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42E1CEC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一种同步方法和装置</w:t>
            </w:r>
          </w:p>
        </w:tc>
        <w:tc>
          <w:tcPr>
            <w:tcW w:w="2063" w:type="dxa"/>
            <w:shd w:val="clear" w:color="auto" w:fill="auto"/>
            <w:tcMar>
              <w:top w:w="0" w:type="dxa"/>
              <w:left w:w="108" w:type="dxa"/>
              <w:bottom w:w="0" w:type="dxa"/>
              <w:right w:w="108" w:type="dxa"/>
            </w:tcMar>
            <w:vAlign w:val="center"/>
          </w:tcPr>
          <w:p w14:paraId="6BC6E38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ZL201610161773.7</w:t>
            </w:r>
          </w:p>
        </w:tc>
        <w:tc>
          <w:tcPr>
            <w:tcW w:w="1178" w:type="dxa"/>
            <w:tcMar>
              <w:top w:w="0" w:type="dxa"/>
              <w:left w:w="108" w:type="dxa"/>
              <w:bottom w:w="0" w:type="dxa"/>
              <w:right w:w="108" w:type="dxa"/>
            </w:tcMar>
            <w:vAlign w:val="center"/>
          </w:tcPr>
          <w:p w14:paraId="4813FBE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2019.02.12</w:t>
            </w:r>
          </w:p>
        </w:tc>
        <w:tc>
          <w:tcPr>
            <w:tcW w:w="1178" w:type="dxa"/>
            <w:tcMar>
              <w:top w:w="0" w:type="dxa"/>
              <w:left w:w="108" w:type="dxa"/>
              <w:bottom w:w="0" w:type="dxa"/>
              <w:right w:w="108" w:type="dxa"/>
            </w:tcMar>
            <w:vAlign w:val="center"/>
          </w:tcPr>
          <w:p w14:paraId="41B38D9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523EB85C" w14:textId="77777777" w:rsidTr="005860B4">
        <w:trPr>
          <w:trHeight w:val="340"/>
          <w:jc w:val="center"/>
        </w:trPr>
        <w:tc>
          <w:tcPr>
            <w:tcW w:w="738" w:type="dxa"/>
            <w:shd w:val="clear" w:color="auto" w:fill="auto"/>
            <w:tcMar>
              <w:top w:w="0" w:type="dxa"/>
              <w:left w:w="108" w:type="dxa"/>
              <w:bottom w:w="0" w:type="dxa"/>
              <w:right w:w="108" w:type="dxa"/>
            </w:tcMar>
            <w:vAlign w:val="center"/>
          </w:tcPr>
          <w:p w14:paraId="0652B9EF"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31</w:t>
            </w:r>
          </w:p>
        </w:tc>
        <w:tc>
          <w:tcPr>
            <w:tcW w:w="1316" w:type="dxa"/>
            <w:tcMar>
              <w:top w:w="0" w:type="dxa"/>
              <w:left w:w="108" w:type="dxa"/>
              <w:bottom w:w="0" w:type="dxa"/>
              <w:right w:w="108" w:type="dxa"/>
            </w:tcMar>
            <w:vAlign w:val="center"/>
          </w:tcPr>
          <w:p w14:paraId="2EB3C94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423CD51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一种信号处理方法和装置</w:t>
            </w:r>
          </w:p>
        </w:tc>
        <w:tc>
          <w:tcPr>
            <w:tcW w:w="2063" w:type="dxa"/>
            <w:shd w:val="clear" w:color="auto" w:fill="auto"/>
            <w:tcMar>
              <w:top w:w="0" w:type="dxa"/>
              <w:left w:w="108" w:type="dxa"/>
              <w:bottom w:w="0" w:type="dxa"/>
              <w:right w:w="108" w:type="dxa"/>
            </w:tcMar>
            <w:vAlign w:val="center"/>
          </w:tcPr>
          <w:p w14:paraId="32C7FE0B"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ZL201610557009.1</w:t>
            </w:r>
          </w:p>
        </w:tc>
        <w:tc>
          <w:tcPr>
            <w:tcW w:w="1178" w:type="dxa"/>
            <w:tcMar>
              <w:top w:w="0" w:type="dxa"/>
              <w:left w:w="108" w:type="dxa"/>
              <w:bottom w:w="0" w:type="dxa"/>
              <w:right w:w="108" w:type="dxa"/>
            </w:tcMar>
            <w:vAlign w:val="center"/>
          </w:tcPr>
          <w:p w14:paraId="3D69BD4B"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2019.02.12</w:t>
            </w:r>
          </w:p>
        </w:tc>
        <w:tc>
          <w:tcPr>
            <w:tcW w:w="1178" w:type="dxa"/>
            <w:tcMar>
              <w:top w:w="0" w:type="dxa"/>
              <w:left w:w="108" w:type="dxa"/>
              <w:bottom w:w="0" w:type="dxa"/>
              <w:right w:w="108" w:type="dxa"/>
            </w:tcMar>
            <w:vAlign w:val="center"/>
          </w:tcPr>
          <w:p w14:paraId="1C8FC32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755259DC" w14:textId="77777777" w:rsidTr="005860B4">
        <w:trPr>
          <w:trHeight w:val="340"/>
          <w:jc w:val="center"/>
        </w:trPr>
        <w:tc>
          <w:tcPr>
            <w:tcW w:w="738" w:type="dxa"/>
            <w:shd w:val="clear" w:color="auto" w:fill="auto"/>
            <w:tcMar>
              <w:top w:w="0" w:type="dxa"/>
              <w:left w:w="108" w:type="dxa"/>
              <w:bottom w:w="0" w:type="dxa"/>
              <w:right w:w="108" w:type="dxa"/>
            </w:tcMar>
            <w:vAlign w:val="center"/>
          </w:tcPr>
          <w:p w14:paraId="4B3391A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32</w:t>
            </w:r>
          </w:p>
        </w:tc>
        <w:tc>
          <w:tcPr>
            <w:tcW w:w="1316" w:type="dxa"/>
            <w:tcMar>
              <w:top w:w="0" w:type="dxa"/>
              <w:left w:w="108" w:type="dxa"/>
              <w:bottom w:w="0" w:type="dxa"/>
              <w:right w:w="108" w:type="dxa"/>
            </w:tcMar>
            <w:vAlign w:val="center"/>
          </w:tcPr>
          <w:p w14:paraId="1468045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757B78C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短波垂直天线及其支撑装置</w:t>
            </w:r>
          </w:p>
        </w:tc>
        <w:tc>
          <w:tcPr>
            <w:tcW w:w="2063" w:type="dxa"/>
            <w:shd w:val="clear" w:color="auto" w:fill="auto"/>
            <w:tcMar>
              <w:top w:w="0" w:type="dxa"/>
              <w:left w:w="108" w:type="dxa"/>
              <w:bottom w:w="0" w:type="dxa"/>
              <w:right w:w="108" w:type="dxa"/>
            </w:tcMar>
            <w:vAlign w:val="center"/>
          </w:tcPr>
          <w:p w14:paraId="1CD5A88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46" w:history="1">
              <w:r w:rsidRPr="00B4515A">
                <w:rPr>
                  <w:rFonts w:ascii="Times New Roman" w:hAnsi="Times New Roman" w:cs="Times New Roman"/>
                  <w:bCs/>
                  <w:color w:val="000000" w:themeColor="text1"/>
                  <w:sz w:val="21"/>
                  <w:szCs w:val="21"/>
                </w:rPr>
                <w:t>201610613949.8</w:t>
              </w:r>
            </w:hyperlink>
          </w:p>
        </w:tc>
        <w:tc>
          <w:tcPr>
            <w:tcW w:w="1178" w:type="dxa"/>
            <w:tcMar>
              <w:top w:w="0" w:type="dxa"/>
              <w:left w:w="108" w:type="dxa"/>
              <w:bottom w:w="0" w:type="dxa"/>
              <w:right w:w="108" w:type="dxa"/>
            </w:tcMar>
            <w:vAlign w:val="center"/>
          </w:tcPr>
          <w:p w14:paraId="4BAF70C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2019.04.09</w:t>
            </w:r>
          </w:p>
        </w:tc>
        <w:tc>
          <w:tcPr>
            <w:tcW w:w="1178" w:type="dxa"/>
            <w:tcMar>
              <w:top w:w="0" w:type="dxa"/>
              <w:left w:w="108" w:type="dxa"/>
              <w:bottom w:w="0" w:type="dxa"/>
              <w:right w:w="108" w:type="dxa"/>
            </w:tcMar>
            <w:vAlign w:val="center"/>
          </w:tcPr>
          <w:p w14:paraId="24874AE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3D3DEABA" w14:textId="77777777" w:rsidTr="005860B4">
        <w:trPr>
          <w:trHeight w:val="340"/>
          <w:jc w:val="center"/>
        </w:trPr>
        <w:tc>
          <w:tcPr>
            <w:tcW w:w="738" w:type="dxa"/>
            <w:shd w:val="clear" w:color="auto" w:fill="auto"/>
            <w:tcMar>
              <w:top w:w="0" w:type="dxa"/>
              <w:left w:w="108" w:type="dxa"/>
              <w:bottom w:w="0" w:type="dxa"/>
              <w:right w:w="108" w:type="dxa"/>
            </w:tcMar>
            <w:vAlign w:val="center"/>
          </w:tcPr>
          <w:p w14:paraId="734E3F1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33</w:t>
            </w:r>
          </w:p>
        </w:tc>
        <w:tc>
          <w:tcPr>
            <w:tcW w:w="1316" w:type="dxa"/>
            <w:tcMar>
              <w:top w:w="0" w:type="dxa"/>
              <w:left w:w="108" w:type="dxa"/>
              <w:bottom w:w="0" w:type="dxa"/>
              <w:right w:w="108" w:type="dxa"/>
            </w:tcMar>
            <w:vAlign w:val="center"/>
          </w:tcPr>
          <w:p w14:paraId="1BD80E7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4AB0618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一种数据传输方法、装置及反馈数据帧</w:t>
            </w:r>
          </w:p>
        </w:tc>
        <w:tc>
          <w:tcPr>
            <w:tcW w:w="2063" w:type="dxa"/>
            <w:shd w:val="clear" w:color="auto" w:fill="auto"/>
            <w:tcMar>
              <w:top w:w="0" w:type="dxa"/>
              <w:left w:w="108" w:type="dxa"/>
              <w:bottom w:w="0" w:type="dxa"/>
              <w:right w:w="108" w:type="dxa"/>
            </w:tcMar>
            <w:vAlign w:val="center"/>
          </w:tcPr>
          <w:p w14:paraId="6B9A072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ZL201710202204.7</w:t>
            </w:r>
          </w:p>
        </w:tc>
        <w:tc>
          <w:tcPr>
            <w:tcW w:w="1178" w:type="dxa"/>
            <w:tcMar>
              <w:top w:w="0" w:type="dxa"/>
              <w:left w:w="108" w:type="dxa"/>
              <w:bottom w:w="0" w:type="dxa"/>
              <w:right w:w="108" w:type="dxa"/>
            </w:tcMar>
            <w:vAlign w:val="center"/>
          </w:tcPr>
          <w:p w14:paraId="0F123DB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2020.09.15</w:t>
            </w:r>
          </w:p>
        </w:tc>
        <w:tc>
          <w:tcPr>
            <w:tcW w:w="1178" w:type="dxa"/>
            <w:tcMar>
              <w:top w:w="0" w:type="dxa"/>
              <w:left w:w="108" w:type="dxa"/>
              <w:bottom w:w="0" w:type="dxa"/>
              <w:right w:w="108" w:type="dxa"/>
            </w:tcMar>
            <w:vAlign w:val="center"/>
          </w:tcPr>
          <w:p w14:paraId="49D64C6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143BA936" w14:textId="77777777" w:rsidTr="005860B4">
        <w:trPr>
          <w:trHeight w:val="340"/>
          <w:jc w:val="center"/>
        </w:trPr>
        <w:tc>
          <w:tcPr>
            <w:tcW w:w="738" w:type="dxa"/>
            <w:shd w:val="clear" w:color="auto" w:fill="auto"/>
            <w:tcMar>
              <w:top w:w="0" w:type="dxa"/>
              <w:left w:w="108" w:type="dxa"/>
              <w:bottom w:w="0" w:type="dxa"/>
              <w:right w:w="108" w:type="dxa"/>
            </w:tcMar>
            <w:vAlign w:val="center"/>
          </w:tcPr>
          <w:p w14:paraId="0B62BD3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34</w:t>
            </w:r>
          </w:p>
        </w:tc>
        <w:tc>
          <w:tcPr>
            <w:tcW w:w="1316" w:type="dxa"/>
            <w:tcMar>
              <w:top w:w="0" w:type="dxa"/>
              <w:left w:w="108" w:type="dxa"/>
              <w:bottom w:w="0" w:type="dxa"/>
              <w:right w:w="108" w:type="dxa"/>
            </w:tcMar>
            <w:vAlign w:val="center"/>
          </w:tcPr>
          <w:p w14:paraId="660179B6"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61A724B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一种同步信号的生成方法、解析方法和装置</w:t>
            </w:r>
          </w:p>
        </w:tc>
        <w:tc>
          <w:tcPr>
            <w:tcW w:w="2063" w:type="dxa"/>
            <w:shd w:val="clear" w:color="auto" w:fill="auto"/>
            <w:tcMar>
              <w:top w:w="0" w:type="dxa"/>
              <w:left w:w="108" w:type="dxa"/>
              <w:bottom w:w="0" w:type="dxa"/>
              <w:right w:w="108" w:type="dxa"/>
            </w:tcMar>
            <w:vAlign w:val="center"/>
          </w:tcPr>
          <w:p w14:paraId="6437718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ZL201710203472.0</w:t>
            </w:r>
          </w:p>
        </w:tc>
        <w:tc>
          <w:tcPr>
            <w:tcW w:w="1178" w:type="dxa"/>
            <w:tcMar>
              <w:top w:w="0" w:type="dxa"/>
              <w:left w:w="108" w:type="dxa"/>
              <w:bottom w:w="0" w:type="dxa"/>
              <w:right w:w="108" w:type="dxa"/>
            </w:tcMar>
            <w:vAlign w:val="center"/>
          </w:tcPr>
          <w:p w14:paraId="3E0ABF4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2020.06.16</w:t>
            </w:r>
          </w:p>
        </w:tc>
        <w:tc>
          <w:tcPr>
            <w:tcW w:w="1178" w:type="dxa"/>
            <w:tcMar>
              <w:top w:w="0" w:type="dxa"/>
              <w:left w:w="108" w:type="dxa"/>
              <w:bottom w:w="0" w:type="dxa"/>
              <w:right w:w="108" w:type="dxa"/>
            </w:tcMar>
            <w:vAlign w:val="center"/>
          </w:tcPr>
          <w:p w14:paraId="3D58D6F7"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6FFAEE62" w14:textId="77777777" w:rsidTr="005860B4">
        <w:trPr>
          <w:trHeight w:val="340"/>
          <w:jc w:val="center"/>
        </w:trPr>
        <w:tc>
          <w:tcPr>
            <w:tcW w:w="738" w:type="dxa"/>
            <w:shd w:val="clear" w:color="auto" w:fill="auto"/>
            <w:tcMar>
              <w:top w:w="0" w:type="dxa"/>
              <w:left w:w="108" w:type="dxa"/>
              <w:bottom w:w="0" w:type="dxa"/>
              <w:right w:w="108" w:type="dxa"/>
            </w:tcMar>
            <w:vAlign w:val="center"/>
          </w:tcPr>
          <w:p w14:paraId="4FD72A2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35</w:t>
            </w:r>
          </w:p>
        </w:tc>
        <w:tc>
          <w:tcPr>
            <w:tcW w:w="1316" w:type="dxa"/>
            <w:tcMar>
              <w:top w:w="0" w:type="dxa"/>
              <w:left w:w="108" w:type="dxa"/>
              <w:bottom w:w="0" w:type="dxa"/>
              <w:right w:w="108" w:type="dxa"/>
            </w:tcMar>
            <w:vAlign w:val="center"/>
          </w:tcPr>
          <w:p w14:paraId="0C79C49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36785A5B"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一种时频同步方法及装置</w:t>
            </w:r>
          </w:p>
        </w:tc>
        <w:tc>
          <w:tcPr>
            <w:tcW w:w="2063" w:type="dxa"/>
            <w:shd w:val="clear" w:color="auto" w:fill="auto"/>
            <w:tcMar>
              <w:top w:w="0" w:type="dxa"/>
              <w:left w:w="108" w:type="dxa"/>
              <w:bottom w:w="0" w:type="dxa"/>
              <w:right w:w="108" w:type="dxa"/>
            </w:tcMar>
            <w:vAlign w:val="center"/>
          </w:tcPr>
          <w:p w14:paraId="422F2C0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ZL201710217689.7</w:t>
            </w:r>
          </w:p>
        </w:tc>
        <w:tc>
          <w:tcPr>
            <w:tcW w:w="1178" w:type="dxa"/>
            <w:tcMar>
              <w:top w:w="0" w:type="dxa"/>
              <w:left w:w="108" w:type="dxa"/>
              <w:bottom w:w="0" w:type="dxa"/>
              <w:right w:w="108" w:type="dxa"/>
            </w:tcMar>
            <w:vAlign w:val="center"/>
          </w:tcPr>
          <w:p w14:paraId="26B9C42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2019.02.22</w:t>
            </w:r>
          </w:p>
        </w:tc>
        <w:tc>
          <w:tcPr>
            <w:tcW w:w="1178" w:type="dxa"/>
            <w:tcMar>
              <w:top w:w="0" w:type="dxa"/>
              <w:left w:w="108" w:type="dxa"/>
              <w:bottom w:w="0" w:type="dxa"/>
              <w:right w:w="108" w:type="dxa"/>
            </w:tcMar>
            <w:vAlign w:val="center"/>
          </w:tcPr>
          <w:p w14:paraId="3FA6759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04D8E5D9" w14:textId="77777777" w:rsidTr="005860B4">
        <w:trPr>
          <w:trHeight w:val="340"/>
          <w:jc w:val="center"/>
        </w:trPr>
        <w:tc>
          <w:tcPr>
            <w:tcW w:w="738" w:type="dxa"/>
            <w:shd w:val="clear" w:color="auto" w:fill="auto"/>
            <w:tcMar>
              <w:top w:w="0" w:type="dxa"/>
              <w:left w:w="108" w:type="dxa"/>
              <w:bottom w:w="0" w:type="dxa"/>
              <w:right w:w="108" w:type="dxa"/>
            </w:tcMar>
            <w:vAlign w:val="center"/>
          </w:tcPr>
          <w:p w14:paraId="08982A7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36</w:t>
            </w:r>
          </w:p>
        </w:tc>
        <w:tc>
          <w:tcPr>
            <w:tcW w:w="1316" w:type="dxa"/>
            <w:tcMar>
              <w:top w:w="0" w:type="dxa"/>
              <w:left w:w="108" w:type="dxa"/>
              <w:bottom w:w="0" w:type="dxa"/>
              <w:right w:w="108" w:type="dxa"/>
            </w:tcMar>
            <w:vAlign w:val="center"/>
          </w:tcPr>
          <w:p w14:paraId="50A1599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58F5D6B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一种信号调制模式识别方法及装置</w:t>
            </w:r>
          </w:p>
        </w:tc>
        <w:tc>
          <w:tcPr>
            <w:tcW w:w="2063" w:type="dxa"/>
            <w:shd w:val="clear" w:color="auto" w:fill="auto"/>
            <w:tcMar>
              <w:top w:w="0" w:type="dxa"/>
              <w:left w:w="108" w:type="dxa"/>
              <w:bottom w:w="0" w:type="dxa"/>
              <w:right w:w="108" w:type="dxa"/>
            </w:tcMar>
            <w:vAlign w:val="center"/>
          </w:tcPr>
          <w:p w14:paraId="6A3ABF1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w:t>
            </w:r>
            <w:hyperlink r:id="rId47" w:history="1">
              <w:r w:rsidRPr="00B4515A">
                <w:rPr>
                  <w:rFonts w:ascii="Times New Roman" w:hAnsi="Times New Roman" w:cs="Times New Roman"/>
                  <w:bCs/>
                  <w:color w:val="000000" w:themeColor="text1"/>
                  <w:sz w:val="21"/>
                  <w:szCs w:val="21"/>
                </w:rPr>
                <w:t>201810448252.9</w:t>
              </w:r>
            </w:hyperlink>
          </w:p>
        </w:tc>
        <w:tc>
          <w:tcPr>
            <w:tcW w:w="1178" w:type="dxa"/>
            <w:tcMar>
              <w:top w:w="0" w:type="dxa"/>
              <w:left w:w="108" w:type="dxa"/>
              <w:bottom w:w="0" w:type="dxa"/>
              <w:right w:w="108" w:type="dxa"/>
            </w:tcMar>
            <w:vAlign w:val="center"/>
          </w:tcPr>
          <w:p w14:paraId="6AC186F5"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2021.02.26</w:t>
            </w:r>
          </w:p>
        </w:tc>
        <w:tc>
          <w:tcPr>
            <w:tcW w:w="1178" w:type="dxa"/>
            <w:tcMar>
              <w:top w:w="0" w:type="dxa"/>
              <w:left w:w="108" w:type="dxa"/>
              <w:bottom w:w="0" w:type="dxa"/>
              <w:right w:w="108" w:type="dxa"/>
            </w:tcMar>
            <w:vAlign w:val="center"/>
          </w:tcPr>
          <w:p w14:paraId="1D63484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2898F500" w14:textId="77777777" w:rsidTr="005860B4">
        <w:trPr>
          <w:trHeight w:val="340"/>
          <w:jc w:val="center"/>
        </w:trPr>
        <w:tc>
          <w:tcPr>
            <w:tcW w:w="738" w:type="dxa"/>
            <w:shd w:val="clear" w:color="auto" w:fill="auto"/>
            <w:tcMar>
              <w:top w:w="0" w:type="dxa"/>
              <w:left w:w="108" w:type="dxa"/>
              <w:bottom w:w="0" w:type="dxa"/>
              <w:right w:w="108" w:type="dxa"/>
            </w:tcMar>
            <w:vAlign w:val="center"/>
          </w:tcPr>
          <w:p w14:paraId="0FF67AB2"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37</w:t>
            </w:r>
          </w:p>
        </w:tc>
        <w:tc>
          <w:tcPr>
            <w:tcW w:w="1316" w:type="dxa"/>
            <w:tcMar>
              <w:top w:w="0" w:type="dxa"/>
              <w:left w:w="108" w:type="dxa"/>
              <w:bottom w:w="0" w:type="dxa"/>
              <w:right w:w="108" w:type="dxa"/>
            </w:tcMar>
            <w:vAlign w:val="center"/>
          </w:tcPr>
          <w:p w14:paraId="7DCDAF5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56CD858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一种应用于航空通信网络的寻址方法与装置</w:t>
            </w:r>
          </w:p>
        </w:tc>
        <w:tc>
          <w:tcPr>
            <w:tcW w:w="2063" w:type="dxa"/>
            <w:shd w:val="clear" w:color="auto" w:fill="auto"/>
            <w:tcMar>
              <w:top w:w="0" w:type="dxa"/>
              <w:left w:w="108" w:type="dxa"/>
              <w:bottom w:w="0" w:type="dxa"/>
              <w:right w:w="108" w:type="dxa"/>
            </w:tcMar>
            <w:vAlign w:val="center"/>
          </w:tcPr>
          <w:p w14:paraId="2588B14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ZL201110214348.7</w:t>
            </w:r>
          </w:p>
        </w:tc>
        <w:tc>
          <w:tcPr>
            <w:tcW w:w="1178" w:type="dxa"/>
            <w:tcMar>
              <w:top w:w="0" w:type="dxa"/>
              <w:left w:w="108" w:type="dxa"/>
              <w:bottom w:w="0" w:type="dxa"/>
              <w:right w:w="108" w:type="dxa"/>
            </w:tcMar>
            <w:vAlign w:val="center"/>
          </w:tcPr>
          <w:p w14:paraId="08051EA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2015.08.12</w:t>
            </w:r>
          </w:p>
        </w:tc>
        <w:tc>
          <w:tcPr>
            <w:tcW w:w="1178" w:type="dxa"/>
            <w:tcMar>
              <w:top w:w="0" w:type="dxa"/>
              <w:left w:w="108" w:type="dxa"/>
              <w:bottom w:w="0" w:type="dxa"/>
              <w:right w:w="108" w:type="dxa"/>
            </w:tcMar>
            <w:vAlign w:val="center"/>
          </w:tcPr>
          <w:p w14:paraId="4776835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558EAEEA" w14:textId="77777777" w:rsidTr="005860B4">
        <w:trPr>
          <w:trHeight w:val="340"/>
          <w:jc w:val="center"/>
        </w:trPr>
        <w:tc>
          <w:tcPr>
            <w:tcW w:w="738" w:type="dxa"/>
            <w:shd w:val="clear" w:color="auto" w:fill="auto"/>
            <w:tcMar>
              <w:top w:w="0" w:type="dxa"/>
              <w:left w:w="108" w:type="dxa"/>
              <w:bottom w:w="0" w:type="dxa"/>
              <w:right w:w="108" w:type="dxa"/>
            </w:tcMar>
            <w:vAlign w:val="center"/>
          </w:tcPr>
          <w:p w14:paraId="0EFBBF6B"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38</w:t>
            </w:r>
          </w:p>
        </w:tc>
        <w:tc>
          <w:tcPr>
            <w:tcW w:w="1316" w:type="dxa"/>
            <w:tcMar>
              <w:top w:w="0" w:type="dxa"/>
              <w:left w:w="108" w:type="dxa"/>
              <w:bottom w:w="0" w:type="dxa"/>
              <w:right w:w="108" w:type="dxa"/>
            </w:tcMar>
            <w:vAlign w:val="center"/>
          </w:tcPr>
          <w:p w14:paraId="6AEB2B1C"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5AE1B6B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移动终端间模式协调的方法和装置</w:t>
            </w:r>
          </w:p>
        </w:tc>
        <w:tc>
          <w:tcPr>
            <w:tcW w:w="2063" w:type="dxa"/>
            <w:shd w:val="clear" w:color="auto" w:fill="auto"/>
            <w:tcMar>
              <w:top w:w="0" w:type="dxa"/>
              <w:left w:w="108" w:type="dxa"/>
              <w:bottom w:w="0" w:type="dxa"/>
              <w:right w:w="108" w:type="dxa"/>
            </w:tcMar>
            <w:vAlign w:val="center"/>
          </w:tcPr>
          <w:p w14:paraId="202ACFA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CN201210181018.7</w:t>
            </w:r>
          </w:p>
        </w:tc>
        <w:tc>
          <w:tcPr>
            <w:tcW w:w="1178" w:type="dxa"/>
            <w:tcMar>
              <w:top w:w="0" w:type="dxa"/>
              <w:left w:w="108" w:type="dxa"/>
              <w:bottom w:w="0" w:type="dxa"/>
              <w:right w:w="108" w:type="dxa"/>
            </w:tcMar>
            <w:vAlign w:val="center"/>
          </w:tcPr>
          <w:p w14:paraId="256D700C" w14:textId="57A5754C"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w:t>
            </w:r>
            <w:r w:rsidR="005C60E9" w:rsidRPr="00B4515A">
              <w:rPr>
                <w:rFonts w:ascii="Times New Roman" w:hAnsi="Times New Roman" w:cs="Times New Roman"/>
                <w:bCs/>
                <w:color w:val="000000" w:themeColor="text1"/>
                <w:sz w:val="21"/>
                <w:szCs w:val="21"/>
              </w:rPr>
              <w:t>6</w:t>
            </w:r>
            <w:r w:rsidRPr="00B4515A">
              <w:rPr>
                <w:rFonts w:ascii="Times New Roman" w:hAnsi="Times New Roman" w:cs="Times New Roman"/>
                <w:bCs/>
                <w:color w:val="000000" w:themeColor="text1"/>
                <w:sz w:val="21"/>
                <w:szCs w:val="21"/>
              </w:rPr>
              <w:t>.0</w:t>
            </w:r>
            <w:r w:rsidR="005C60E9" w:rsidRPr="00B4515A">
              <w:rPr>
                <w:rFonts w:ascii="Times New Roman" w:hAnsi="Times New Roman" w:cs="Times New Roman"/>
                <w:bCs/>
                <w:color w:val="000000" w:themeColor="text1"/>
                <w:sz w:val="21"/>
                <w:szCs w:val="21"/>
              </w:rPr>
              <w:t>9</w:t>
            </w:r>
            <w:r w:rsidRPr="00B4515A">
              <w:rPr>
                <w:rFonts w:ascii="Times New Roman" w:hAnsi="Times New Roman" w:cs="Times New Roman"/>
                <w:bCs/>
                <w:color w:val="000000" w:themeColor="text1"/>
                <w:sz w:val="21"/>
                <w:szCs w:val="21"/>
              </w:rPr>
              <w:t>.</w:t>
            </w:r>
            <w:r w:rsidR="005C60E9" w:rsidRPr="00B4515A">
              <w:rPr>
                <w:rFonts w:ascii="Times New Roman" w:hAnsi="Times New Roman" w:cs="Times New Roman"/>
                <w:bCs/>
                <w:color w:val="000000" w:themeColor="text1"/>
                <w:sz w:val="21"/>
                <w:szCs w:val="21"/>
              </w:rPr>
              <w:t>28</w:t>
            </w:r>
          </w:p>
        </w:tc>
        <w:tc>
          <w:tcPr>
            <w:tcW w:w="1178" w:type="dxa"/>
            <w:tcMar>
              <w:top w:w="0" w:type="dxa"/>
              <w:left w:w="108" w:type="dxa"/>
              <w:bottom w:w="0" w:type="dxa"/>
              <w:right w:w="108" w:type="dxa"/>
            </w:tcMar>
            <w:vAlign w:val="center"/>
          </w:tcPr>
          <w:p w14:paraId="7270342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22B3CA7D" w14:textId="77777777" w:rsidTr="005860B4">
        <w:trPr>
          <w:trHeight w:val="340"/>
          <w:jc w:val="center"/>
        </w:trPr>
        <w:tc>
          <w:tcPr>
            <w:tcW w:w="738" w:type="dxa"/>
            <w:shd w:val="clear" w:color="auto" w:fill="auto"/>
            <w:tcMar>
              <w:top w:w="0" w:type="dxa"/>
              <w:left w:w="108" w:type="dxa"/>
              <w:bottom w:w="0" w:type="dxa"/>
              <w:right w:w="108" w:type="dxa"/>
            </w:tcMar>
            <w:vAlign w:val="center"/>
          </w:tcPr>
          <w:p w14:paraId="5DD9178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lastRenderedPageBreak/>
              <w:t>39</w:t>
            </w:r>
          </w:p>
        </w:tc>
        <w:tc>
          <w:tcPr>
            <w:tcW w:w="1316" w:type="dxa"/>
            <w:tcMar>
              <w:top w:w="0" w:type="dxa"/>
              <w:left w:w="108" w:type="dxa"/>
              <w:bottom w:w="0" w:type="dxa"/>
              <w:right w:w="108" w:type="dxa"/>
            </w:tcMar>
            <w:vAlign w:val="center"/>
          </w:tcPr>
          <w:p w14:paraId="6C69868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275B41D0"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保密通话的通信方法及用户终端</w:t>
            </w:r>
          </w:p>
        </w:tc>
        <w:tc>
          <w:tcPr>
            <w:tcW w:w="2063" w:type="dxa"/>
            <w:shd w:val="clear" w:color="auto" w:fill="auto"/>
            <w:tcMar>
              <w:top w:w="0" w:type="dxa"/>
              <w:left w:w="108" w:type="dxa"/>
              <w:bottom w:w="0" w:type="dxa"/>
              <w:right w:w="108" w:type="dxa"/>
            </w:tcMar>
            <w:vAlign w:val="center"/>
          </w:tcPr>
          <w:p w14:paraId="72F88EC4"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CN201110270174.6</w:t>
            </w:r>
          </w:p>
        </w:tc>
        <w:tc>
          <w:tcPr>
            <w:tcW w:w="1178" w:type="dxa"/>
            <w:tcMar>
              <w:top w:w="0" w:type="dxa"/>
              <w:left w:w="108" w:type="dxa"/>
              <w:bottom w:w="0" w:type="dxa"/>
              <w:right w:w="108" w:type="dxa"/>
            </w:tcMar>
            <w:vAlign w:val="center"/>
          </w:tcPr>
          <w:p w14:paraId="4489FCF9" w14:textId="3E5431A5"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w:t>
            </w:r>
            <w:r w:rsidR="005C60E9" w:rsidRPr="00B4515A">
              <w:rPr>
                <w:rFonts w:ascii="Times New Roman" w:hAnsi="Times New Roman" w:cs="Times New Roman"/>
                <w:bCs/>
                <w:color w:val="000000" w:themeColor="text1"/>
                <w:sz w:val="21"/>
                <w:szCs w:val="21"/>
              </w:rPr>
              <w:t>5</w:t>
            </w:r>
            <w:r w:rsidRPr="00B4515A">
              <w:rPr>
                <w:rFonts w:ascii="Times New Roman" w:hAnsi="Times New Roman" w:cs="Times New Roman"/>
                <w:bCs/>
                <w:color w:val="000000" w:themeColor="text1"/>
                <w:sz w:val="21"/>
                <w:szCs w:val="21"/>
              </w:rPr>
              <w:t>.0</w:t>
            </w:r>
            <w:r w:rsidR="005C60E9" w:rsidRPr="00B4515A">
              <w:rPr>
                <w:rFonts w:ascii="Times New Roman" w:hAnsi="Times New Roman" w:cs="Times New Roman"/>
                <w:bCs/>
                <w:color w:val="000000" w:themeColor="text1"/>
                <w:sz w:val="21"/>
                <w:szCs w:val="21"/>
              </w:rPr>
              <w:t>6</w:t>
            </w:r>
            <w:r w:rsidRPr="00B4515A">
              <w:rPr>
                <w:rFonts w:ascii="Times New Roman" w:hAnsi="Times New Roman" w:cs="Times New Roman"/>
                <w:bCs/>
                <w:color w:val="000000" w:themeColor="text1"/>
                <w:sz w:val="21"/>
                <w:szCs w:val="21"/>
              </w:rPr>
              <w:t>.</w:t>
            </w:r>
            <w:r w:rsidR="005C60E9" w:rsidRPr="00B4515A">
              <w:rPr>
                <w:rFonts w:ascii="Times New Roman" w:hAnsi="Times New Roman" w:cs="Times New Roman"/>
                <w:bCs/>
                <w:color w:val="000000" w:themeColor="text1"/>
                <w:sz w:val="21"/>
                <w:szCs w:val="21"/>
              </w:rPr>
              <w:t>17</w:t>
            </w:r>
          </w:p>
        </w:tc>
        <w:tc>
          <w:tcPr>
            <w:tcW w:w="1178" w:type="dxa"/>
            <w:tcMar>
              <w:top w:w="0" w:type="dxa"/>
              <w:left w:w="108" w:type="dxa"/>
              <w:bottom w:w="0" w:type="dxa"/>
              <w:right w:w="108" w:type="dxa"/>
            </w:tcMar>
            <w:vAlign w:val="center"/>
          </w:tcPr>
          <w:p w14:paraId="7CBABB63"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0A2F97" w:rsidRPr="00B4515A" w14:paraId="4CE74128" w14:textId="77777777" w:rsidTr="005860B4">
        <w:trPr>
          <w:trHeight w:val="340"/>
          <w:jc w:val="center"/>
        </w:trPr>
        <w:tc>
          <w:tcPr>
            <w:tcW w:w="738" w:type="dxa"/>
            <w:shd w:val="clear" w:color="auto" w:fill="auto"/>
            <w:tcMar>
              <w:top w:w="0" w:type="dxa"/>
              <w:left w:w="108" w:type="dxa"/>
              <w:bottom w:w="0" w:type="dxa"/>
              <w:right w:w="108" w:type="dxa"/>
            </w:tcMar>
            <w:vAlign w:val="center"/>
          </w:tcPr>
          <w:p w14:paraId="04FD271F" w14:textId="2E115F48" w:rsidR="000A2F97" w:rsidRPr="00B4515A" w:rsidRDefault="000A2F97"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4</w:t>
            </w:r>
            <w:r w:rsidRPr="00B4515A">
              <w:rPr>
                <w:rFonts w:ascii="Times New Roman" w:hAnsi="Times New Roman" w:cs="Times New Roman"/>
                <w:bCs/>
                <w:color w:val="000000" w:themeColor="text1"/>
                <w:sz w:val="21"/>
                <w:szCs w:val="21"/>
              </w:rPr>
              <w:t>0</w:t>
            </w:r>
          </w:p>
        </w:tc>
        <w:tc>
          <w:tcPr>
            <w:tcW w:w="1316" w:type="dxa"/>
            <w:tcMar>
              <w:top w:w="0" w:type="dxa"/>
              <w:left w:w="108" w:type="dxa"/>
              <w:bottom w:w="0" w:type="dxa"/>
              <w:right w:w="108" w:type="dxa"/>
            </w:tcMar>
            <w:vAlign w:val="center"/>
          </w:tcPr>
          <w:p w14:paraId="7ED28708" w14:textId="6B8127D1" w:rsidR="000A2F97" w:rsidRPr="00B4515A" w:rsidRDefault="000A2F97"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发明专利</w:t>
            </w:r>
          </w:p>
        </w:tc>
        <w:tc>
          <w:tcPr>
            <w:tcW w:w="2055" w:type="dxa"/>
            <w:tcMar>
              <w:top w:w="0" w:type="dxa"/>
              <w:left w:w="108" w:type="dxa"/>
              <w:bottom w:w="0" w:type="dxa"/>
              <w:right w:w="108" w:type="dxa"/>
            </w:tcMar>
            <w:vAlign w:val="center"/>
          </w:tcPr>
          <w:p w14:paraId="6D9335A4" w14:textId="54E18063" w:rsidR="000A2F97" w:rsidRPr="00B4515A" w:rsidRDefault="000A2F97"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基于多中继协作的网络数据传输方法、装置及电子设备</w:t>
            </w:r>
          </w:p>
        </w:tc>
        <w:tc>
          <w:tcPr>
            <w:tcW w:w="2063" w:type="dxa"/>
            <w:shd w:val="clear" w:color="auto" w:fill="auto"/>
            <w:tcMar>
              <w:top w:w="0" w:type="dxa"/>
              <w:left w:w="108" w:type="dxa"/>
              <w:bottom w:w="0" w:type="dxa"/>
              <w:right w:w="108" w:type="dxa"/>
            </w:tcMar>
            <w:vAlign w:val="center"/>
          </w:tcPr>
          <w:p w14:paraId="437DB89C" w14:textId="6A073725" w:rsidR="000A2F97" w:rsidRPr="00B4515A" w:rsidRDefault="000A2F97"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Z</w:t>
            </w:r>
            <w:r w:rsidRPr="00B4515A">
              <w:rPr>
                <w:rFonts w:ascii="Times New Roman" w:hAnsi="Times New Roman" w:cs="Times New Roman"/>
                <w:bCs/>
                <w:color w:val="000000" w:themeColor="text1"/>
                <w:sz w:val="21"/>
                <w:szCs w:val="21"/>
              </w:rPr>
              <w:t>L202010123809.9</w:t>
            </w:r>
          </w:p>
        </w:tc>
        <w:tc>
          <w:tcPr>
            <w:tcW w:w="1178" w:type="dxa"/>
            <w:tcMar>
              <w:top w:w="0" w:type="dxa"/>
              <w:left w:w="108" w:type="dxa"/>
              <w:bottom w:w="0" w:type="dxa"/>
              <w:right w:w="108" w:type="dxa"/>
            </w:tcMar>
            <w:vAlign w:val="center"/>
          </w:tcPr>
          <w:p w14:paraId="491FFF08" w14:textId="7955A27F" w:rsidR="000A2F97" w:rsidRPr="00B4515A" w:rsidRDefault="000A2F97"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2</w:t>
            </w:r>
            <w:r w:rsidRPr="00B4515A">
              <w:rPr>
                <w:rFonts w:ascii="Times New Roman" w:hAnsi="Times New Roman" w:cs="Times New Roman"/>
                <w:bCs/>
                <w:color w:val="000000" w:themeColor="text1"/>
                <w:sz w:val="21"/>
                <w:szCs w:val="21"/>
              </w:rPr>
              <w:t>021.07.16</w:t>
            </w:r>
          </w:p>
        </w:tc>
        <w:tc>
          <w:tcPr>
            <w:tcW w:w="1178" w:type="dxa"/>
            <w:tcMar>
              <w:top w:w="0" w:type="dxa"/>
              <w:left w:w="108" w:type="dxa"/>
              <w:bottom w:w="0" w:type="dxa"/>
              <w:right w:w="108" w:type="dxa"/>
            </w:tcMar>
            <w:vAlign w:val="center"/>
          </w:tcPr>
          <w:p w14:paraId="6B879EE2" w14:textId="38870298" w:rsidR="000A2F97" w:rsidRPr="00B4515A" w:rsidRDefault="000A2F97"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r w:rsidR="006416B0" w:rsidRPr="00B4515A" w14:paraId="6C8A14C8" w14:textId="77777777" w:rsidTr="005860B4">
        <w:trPr>
          <w:trHeight w:val="340"/>
          <w:jc w:val="center"/>
        </w:trPr>
        <w:tc>
          <w:tcPr>
            <w:tcW w:w="738" w:type="dxa"/>
            <w:shd w:val="clear" w:color="auto" w:fill="auto"/>
            <w:tcMar>
              <w:top w:w="0" w:type="dxa"/>
              <w:left w:w="108" w:type="dxa"/>
              <w:bottom w:w="0" w:type="dxa"/>
              <w:right w:w="108" w:type="dxa"/>
            </w:tcMar>
            <w:vAlign w:val="center"/>
          </w:tcPr>
          <w:p w14:paraId="666BEB42" w14:textId="1FCC8F23"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4</w:t>
            </w:r>
            <w:r w:rsidR="000A2F97" w:rsidRPr="00B4515A">
              <w:rPr>
                <w:rFonts w:ascii="Times New Roman" w:hAnsi="Times New Roman" w:cs="Times New Roman"/>
                <w:bCs/>
                <w:color w:val="000000" w:themeColor="text1"/>
                <w:sz w:val="21"/>
                <w:szCs w:val="21"/>
              </w:rPr>
              <w:t>1</w:t>
            </w:r>
          </w:p>
        </w:tc>
        <w:tc>
          <w:tcPr>
            <w:tcW w:w="1316" w:type="dxa"/>
            <w:tcMar>
              <w:top w:w="0" w:type="dxa"/>
              <w:left w:w="108" w:type="dxa"/>
              <w:bottom w:w="0" w:type="dxa"/>
              <w:right w:w="108" w:type="dxa"/>
            </w:tcMar>
            <w:vAlign w:val="center"/>
          </w:tcPr>
          <w:p w14:paraId="552D389D"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外观设计</w:t>
            </w:r>
          </w:p>
        </w:tc>
        <w:tc>
          <w:tcPr>
            <w:tcW w:w="2055" w:type="dxa"/>
            <w:tcMar>
              <w:top w:w="0" w:type="dxa"/>
              <w:left w:w="108" w:type="dxa"/>
              <w:bottom w:w="0" w:type="dxa"/>
              <w:right w:w="108" w:type="dxa"/>
            </w:tcMar>
            <w:vAlign w:val="center"/>
          </w:tcPr>
          <w:p w14:paraId="42E1BF9E"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报警柱（</w:t>
            </w:r>
            <w:r w:rsidRPr="00B4515A">
              <w:rPr>
                <w:rFonts w:ascii="Times New Roman" w:hAnsi="Times New Roman" w:cs="Times New Roman"/>
                <w:bCs/>
                <w:color w:val="000000" w:themeColor="text1"/>
                <w:sz w:val="21"/>
                <w:szCs w:val="21"/>
              </w:rPr>
              <w:t>DTSR-C1</w:t>
            </w:r>
            <w:r w:rsidRPr="00B4515A">
              <w:rPr>
                <w:rFonts w:ascii="Times New Roman" w:hAnsi="Times New Roman" w:cs="Times New Roman" w:hint="eastAsia"/>
                <w:bCs/>
                <w:color w:val="000000" w:themeColor="text1"/>
                <w:sz w:val="21"/>
                <w:szCs w:val="21"/>
              </w:rPr>
              <w:t>）</w:t>
            </w:r>
          </w:p>
        </w:tc>
        <w:tc>
          <w:tcPr>
            <w:tcW w:w="2063" w:type="dxa"/>
            <w:shd w:val="clear" w:color="auto" w:fill="auto"/>
            <w:tcMar>
              <w:top w:w="0" w:type="dxa"/>
              <w:left w:w="108" w:type="dxa"/>
              <w:bottom w:w="0" w:type="dxa"/>
              <w:right w:w="108" w:type="dxa"/>
            </w:tcMar>
            <w:vAlign w:val="center"/>
          </w:tcPr>
          <w:p w14:paraId="6980EF68"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ZL201330338472.4</w:t>
            </w:r>
          </w:p>
        </w:tc>
        <w:tc>
          <w:tcPr>
            <w:tcW w:w="1178" w:type="dxa"/>
            <w:tcMar>
              <w:top w:w="0" w:type="dxa"/>
              <w:left w:w="108" w:type="dxa"/>
              <w:bottom w:w="0" w:type="dxa"/>
              <w:right w:w="108" w:type="dxa"/>
            </w:tcMar>
            <w:vAlign w:val="center"/>
          </w:tcPr>
          <w:p w14:paraId="126D4EE9"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bCs/>
                <w:color w:val="000000" w:themeColor="text1"/>
                <w:sz w:val="21"/>
                <w:szCs w:val="21"/>
              </w:rPr>
              <w:t>2014.02.05</w:t>
            </w:r>
          </w:p>
        </w:tc>
        <w:tc>
          <w:tcPr>
            <w:tcW w:w="1178" w:type="dxa"/>
            <w:tcMar>
              <w:top w:w="0" w:type="dxa"/>
              <w:left w:w="108" w:type="dxa"/>
              <w:bottom w:w="0" w:type="dxa"/>
              <w:right w:w="108" w:type="dxa"/>
            </w:tcMar>
            <w:vAlign w:val="center"/>
          </w:tcPr>
          <w:p w14:paraId="06790A3A" w14:textId="77777777" w:rsidR="006416B0" w:rsidRPr="00B4515A" w:rsidRDefault="005E58C1" w:rsidP="005860B4">
            <w:pPr>
              <w:adjustRightInd w:val="0"/>
              <w:snapToGrid w:val="0"/>
              <w:jc w:val="center"/>
              <w:rPr>
                <w:rFonts w:ascii="Times New Roman" w:hAnsi="Times New Roman" w:cs="Times New Roman"/>
                <w:bCs/>
                <w:color w:val="000000" w:themeColor="text1"/>
                <w:sz w:val="21"/>
                <w:szCs w:val="21"/>
              </w:rPr>
            </w:pPr>
            <w:r w:rsidRPr="00B4515A">
              <w:rPr>
                <w:rFonts w:ascii="Times New Roman" w:hAnsi="Times New Roman" w:cs="Times New Roman" w:hint="eastAsia"/>
                <w:bCs/>
                <w:color w:val="000000" w:themeColor="text1"/>
                <w:sz w:val="21"/>
                <w:szCs w:val="21"/>
              </w:rPr>
              <w:t>大唐联诚</w:t>
            </w:r>
          </w:p>
        </w:tc>
      </w:tr>
    </w:tbl>
    <w:p w14:paraId="084C21F7" w14:textId="77777777" w:rsidR="006416B0" w:rsidRPr="00B4515A" w:rsidRDefault="005E58C1" w:rsidP="005860B4">
      <w:pPr>
        <w:pStyle w:val="006"/>
        <w:ind w:firstLine="420"/>
      </w:pPr>
      <w:r w:rsidRPr="00B4515A">
        <w:rPr>
          <w:rFonts w:hint="eastAsia"/>
        </w:rPr>
        <w:t>注</w:t>
      </w:r>
      <w:r w:rsidRPr="00B4515A">
        <w:t>1</w:t>
      </w:r>
      <w:r w:rsidRPr="00B4515A">
        <w:rPr>
          <w:rFonts w:hint="eastAsia"/>
        </w:rPr>
        <w:t>：</w:t>
      </w:r>
      <w:r w:rsidRPr="00B4515A">
        <w:t>ZL200610144048.5</w:t>
      </w:r>
      <w:r w:rsidRPr="00B4515A">
        <w:rPr>
          <w:rFonts w:hint="eastAsia"/>
        </w:rPr>
        <w:t>、</w:t>
      </w:r>
      <w:r w:rsidRPr="00B4515A">
        <w:t>ZL</w:t>
      </w:r>
      <w:hyperlink r:id="rId48" w:history="1">
        <w:r w:rsidRPr="00B4515A">
          <w:t>200810222568.2</w:t>
        </w:r>
      </w:hyperlink>
      <w:r w:rsidRPr="00B4515A">
        <w:rPr>
          <w:rFonts w:hint="eastAsia"/>
        </w:rPr>
        <w:t>号专利大唐联诚与大唐移动于</w:t>
      </w:r>
      <w:r w:rsidRPr="00B4515A">
        <w:t>2009</w:t>
      </w:r>
      <w:r w:rsidRPr="00B4515A">
        <w:rPr>
          <w:rFonts w:hint="eastAsia"/>
        </w:rPr>
        <w:t>年</w:t>
      </w:r>
      <w:r w:rsidRPr="00B4515A">
        <w:t>12</w:t>
      </w:r>
      <w:r w:rsidRPr="00B4515A">
        <w:rPr>
          <w:rFonts w:hint="eastAsia"/>
        </w:rPr>
        <w:t>月</w:t>
      </w:r>
      <w:r w:rsidRPr="00B4515A">
        <w:t>22</w:t>
      </w:r>
      <w:r w:rsidRPr="00B4515A">
        <w:rPr>
          <w:rFonts w:hint="eastAsia"/>
        </w:rPr>
        <w:t>日签订《专利权处置协议》，大唐移动同意与大唐联诚共有该专利，该协议签订后，大唐移动仅享有非独占的、非排他的、免费的、永久的、不可转让的、无分许可权的实施该专利及后续改进技术的权利，大唐联诚拥有以下权利：许可第三方实施、质押、处理涉及专利的侵权纠纷、处分及专利的收益由大唐联诚单独享有。大唐联诚负责维持专利有效性并承担各项相关费用。</w:t>
      </w:r>
    </w:p>
    <w:p w14:paraId="6BBFA405" w14:textId="77777777" w:rsidR="006416B0" w:rsidRPr="00B4515A" w:rsidRDefault="005E58C1" w:rsidP="005860B4">
      <w:pPr>
        <w:pStyle w:val="006"/>
        <w:ind w:firstLine="420"/>
      </w:pPr>
      <w:r w:rsidRPr="00B4515A">
        <w:t>注</w:t>
      </w:r>
      <w:r w:rsidRPr="00B4515A">
        <w:t>2</w:t>
      </w:r>
      <w:r w:rsidRPr="00B4515A">
        <w:t>：</w:t>
      </w:r>
      <w:r w:rsidRPr="00B4515A">
        <w:t>ZL201410588069.0</w:t>
      </w:r>
      <w:r w:rsidRPr="00B4515A">
        <w:t>号专利为大唐联诚与大唐移动、上海大唐移动通信设备有限公司共有，就此专利，大唐联诚与大唐移动、上海大唐移动通信设备有限公司签署《协议书》，依据该协议书，各方均有权使用该专利并享有使用该专利所获得的收益，专利维护及费用由大唐移动承担，各方在该专利基础上形成的新技术成果归改进方单独享有，各方在该专利基础上进行改进、研发等形成的新的技术成果归改进和研发方单独所有。对外许可第三方使用专利的，应当经过三方一致书面同意，并应由三方共同签署许可文件，专利许可所获收益应由三方等额分配。</w:t>
      </w:r>
    </w:p>
    <w:p w14:paraId="320442DC" w14:textId="1F63A8DB" w:rsidR="006416B0" w:rsidRPr="00B4515A" w:rsidRDefault="005E58C1" w:rsidP="005860B4">
      <w:pPr>
        <w:pStyle w:val="006"/>
        <w:ind w:firstLine="420"/>
      </w:pPr>
      <w:r w:rsidRPr="00B4515A">
        <w:t>注</w:t>
      </w:r>
      <w:r w:rsidRPr="00B4515A">
        <w:t>3</w:t>
      </w:r>
      <w:r w:rsidRPr="00B4515A">
        <w:t>：</w:t>
      </w:r>
      <w:r w:rsidR="000A2F97" w:rsidRPr="00B4515A">
        <w:rPr>
          <w:rFonts w:hint="eastAsia"/>
        </w:rPr>
        <w:t>此项专利为大唐联诚与某特种单位共有。根据目标公司提供的说明，大唐联诚未与该共有人签订相关专利共有协议，此项专利不属于大唐联诚的重要技术，对大唐联诚的主营业务无重要影响，大唐联诚目前对此专利享有独立的使用权，维持此项专利有效性的相关费用由大唐联诚承担，大唐联诚就拥有和使用此项专利与该共有人之间不存在任何争议、纠纷。此外，《中华人民共和国专利法》第十四条规定：</w:t>
      </w:r>
      <w:r w:rsidR="000A2F97" w:rsidRPr="00B4515A">
        <w:rPr>
          <w:rFonts w:ascii="宋体" w:hAnsi="宋体" w:hint="eastAsia"/>
        </w:rPr>
        <w:t>“</w:t>
      </w:r>
      <w:r w:rsidR="000A2F97" w:rsidRPr="00B4515A">
        <w:rPr>
          <w:rFonts w:hint="eastAsia"/>
        </w:rPr>
        <w:t>专利申请权或者专利权的共有人对权利的行使有约定的，从其约定。没有约定的，共有人可以单独实施或者以普通许可方式许可他人实施该专利；许可他人实施该专利的，收取的使用费应当在共有人之间分配。</w:t>
      </w:r>
      <w:r w:rsidR="000A2F97" w:rsidRPr="00B4515A">
        <w:rPr>
          <w:rFonts w:ascii="宋体" w:hAnsi="宋体" w:hint="eastAsia"/>
        </w:rPr>
        <w:t>”</w:t>
      </w:r>
      <w:r w:rsidR="000A2F97" w:rsidRPr="00B4515A">
        <w:rPr>
          <w:rFonts w:hint="eastAsia"/>
        </w:rPr>
        <w:t>根据该规定，目标公司可以单独实施或者以普通许可方式许可他人实施该专利。</w:t>
      </w:r>
    </w:p>
    <w:p w14:paraId="6885D340" w14:textId="0A298982" w:rsidR="006416B0" w:rsidRPr="00B4515A" w:rsidRDefault="005E58C1" w:rsidP="005860B4">
      <w:pPr>
        <w:pStyle w:val="006"/>
        <w:ind w:firstLine="420"/>
      </w:pPr>
      <w:r w:rsidRPr="00B4515A">
        <w:rPr>
          <w:rFonts w:hint="eastAsia"/>
        </w:rPr>
        <w:t>注</w:t>
      </w:r>
      <w:r w:rsidRPr="00B4515A">
        <w:rPr>
          <w:rFonts w:hint="eastAsia"/>
        </w:rPr>
        <w:t>4</w:t>
      </w:r>
      <w:r w:rsidRPr="00B4515A">
        <w:rPr>
          <w:rFonts w:hint="eastAsia"/>
        </w:rPr>
        <w:t>：</w:t>
      </w:r>
      <w:r w:rsidR="009A1C42" w:rsidRPr="00B4515A">
        <w:rPr>
          <w:rFonts w:hint="eastAsia"/>
        </w:rPr>
        <w:t>上述表格未列示</w:t>
      </w:r>
      <w:r w:rsidR="009A1C42" w:rsidRPr="00B4515A">
        <w:t>3</w:t>
      </w:r>
      <w:r w:rsidR="009A1C42" w:rsidRPr="00B4515A">
        <w:t>项</w:t>
      </w:r>
      <w:r w:rsidR="00412596" w:rsidRPr="00B4515A">
        <w:rPr>
          <w:rFonts w:hint="eastAsia"/>
        </w:rPr>
        <w:t>国防</w:t>
      </w:r>
      <w:r w:rsidR="009A1C42" w:rsidRPr="00B4515A">
        <w:t>专利</w:t>
      </w:r>
      <w:r w:rsidR="00412596" w:rsidRPr="00B4515A">
        <w:rPr>
          <w:rFonts w:hint="eastAsia"/>
        </w:rPr>
        <w:t>。</w:t>
      </w:r>
      <w:r w:rsidR="00412596" w:rsidRPr="00B4515A" w:rsidDel="00412596">
        <w:t xml:space="preserve"> </w:t>
      </w:r>
    </w:p>
    <w:p w14:paraId="71063C94" w14:textId="77777777" w:rsidR="006416B0" w:rsidRPr="00B4515A" w:rsidRDefault="005E58C1" w:rsidP="00EE238F">
      <w:pPr>
        <w:pStyle w:val="004"/>
        <w:spacing w:before="120" w:after="120"/>
        <w:ind w:firstLine="482"/>
      </w:pPr>
      <w:bookmarkStart w:id="173" w:name="_Hlk76925997"/>
      <w:bookmarkEnd w:id="172"/>
      <w:r w:rsidRPr="00B4515A">
        <w:t>6</w:t>
      </w:r>
      <w:r w:rsidRPr="00B4515A">
        <w:rPr>
          <w:rFonts w:hint="eastAsia"/>
        </w:rPr>
        <w:t>、软件著作权</w:t>
      </w:r>
    </w:p>
    <w:p w14:paraId="174EDD0C" w14:textId="77777777" w:rsidR="006416B0" w:rsidRPr="00B4515A" w:rsidRDefault="005E58C1" w:rsidP="005860B4">
      <w:pPr>
        <w:pStyle w:val="005"/>
        <w:spacing w:before="120" w:after="120"/>
        <w:ind w:firstLine="480"/>
        <w:rPr>
          <w:bCs/>
          <w:color w:val="000000" w:themeColor="text1"/>
        </w:rPr>
      </w:pPr>
      <w:r w:rsidRPr="00B4515A">
        <w:t>截至</w:t>
      </w:r>
      <w:r w:rsidRPr="00B4515A">
        <w:rPr>
          <w:rFonts w:hint="eastAsia"/>
        </w:rPr>
        <w:t>本报告书签署日</w:t>
      </w:r>
      <w:r w:rsidRPr="00B4515A">
        <w:t>，大唐</w:t>
      </w:r>
      <w:r w:rsidRPr="00B4515A">
        <w:rPr>
          <w:rFonts w:hint="eastAsia"/>
        </w:rPr>
        <w:t>联诚拥有</w:t>
      </w:r>
      <w:r w:rsidRPr="00B4515A">
        <w:t>37</w:t>
      </w:r>
      <w:r w:rsidRPr="00B4515A">
        <w:rPr>
          <w:rFonts w:hint="eastAsia"/>
        </w:rPr>
        <w:t>项软件著作权，具体</w:t>
      </w:r>
      <w:r w:rsidRPr="00B4515A">
        <w:rPr>
          <w:rFonts w:hint="eastAsia"/>
          <w:bCs/>
          <w:color w:val="000000" w:themeColor="text1"/>
        </w:rPr>
        <w:t>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578"/>
        <w:gridCol w:w="1284"/>
        <w:gridCol w:w="2062"/>
        <w:gridCol w:w="754"/>
        <w:gridCol w:w="819"/>
        <w:gridCol w:w="1786"/>
        <w:gridCol w:w="1245"/>
      </w:tblGrid>
      <w:tr w:rsidR="006416B0" w:rsidRPr="00B4515A" w14:paraId="2C58969B" w14:textId="77777777" w:rsidTr="005860B4">
        <w:trPr>
          <w:trHeight w:val="340"/>
          <w:tblHeader/>
          <w:jc w:val="center"/>
        </w:trPr>
        <w:tc>
          <w:tcPr>
            <w:tcW w:w="339" w:type="pct"/>
            <w:shd w:val="clear" w:color="auto" w:fill="auto"/>
            <w:tcMar>
              <w:top w:w="0" w:type="dxa"/>
              <w:left w:w="108" w:type="dxa"/>
              <w:bottom w:w="0" w:type="dxa"/>
              <w:right w:w="108" w:type="dxa"/>
            </w:tcMar>
            <w:vAlign w:val="center"/>
          </w:tcPr>
          <w:p w14:paraId="4782E2C3"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序号</w:t>
            </w:r>
          </w:p>
        </w:tc>
        <w:tc>
          <w:tcPr>
            <w:tcW w:w="753" w:type="pct"/>
            <w:shd w:val="clear" w:color="auto" w:fill="auto"/>
            <w:tcMar>
              <w:top w:w="0" w:type="dxa"/>
              <w:left w:w="108" w:type="dxa"/>
              <w:bottom w:w="0" w:type="dxa"/>
              <w:right w:w="108" w:type="dxa"/>
            </w:tcMar>
            <w:vAlign w:val="center"/>
          </w:tcPr>
          <w:p w14:paraId="3AF58A34" w14:textId="77777777" w:rsidR="005860B4"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登记批准</w:t>
            </w:r>
          </w:p>
          <w:p w14:paraId="03421EAC" w14:textId="78C3BDBC"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日期</w:t>
            </w:r>
          </w:p>
        </w:tc>
        <w:tc>
          <w:tcPr>
            <w:tcW w:w="1209" w:type="pct"/>
            <w:shd w:val="clear" w:color="auto" w:fill="auto"/>
            <w:tcMar>
              <w:top w:w="0" w:type="dxa"/>
              <w:left w:w="108" w:type="dxa"/>
              <w:bottom w:w="0" w:type="dxa"/>
              <w:right w:w="108" w:type="dxa"/>
            </w:tcMar>
            <w:vAlign w:val="center"/>
          </w:tcPr>
          <w:p w14:paraId="1A9F5912"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软件全称</w:t>
            </w:r>
          </w:p>
        </w:tc>
        <w:tc>
          <w:tcPr>
            <w:tcW w:w="442" w:type="pct"/>
            <w:tcMar>
              <w:top w:w="0" w:type="dxa"/>
              <w:left w:w="108" w:type="dxa"/>
              <w:bottom w:w="0" w:type="dxa"/>
              <w:right w:w="108" w:type="dxa"/>
            </w:tcMar>
            <w:vAlign w:val="center"/>
          </w:tcPr>
          <w:p w14:paraId="6E28BDF0"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权利人</w:t>
            </w:r>
          </w:p>
        </w:tc>
        <w:tc>
          <w:tcPr>
            <w:tcW w:w="480" w:type="pct"/>
            <w:tcMar>
              <w:top w:w="0" w:type="dxa"/>
              <w:left w:w="108" w:type="dxa"/>
              <w:bottom w:w="0" w:type="dxa"/>
              <w:right w:w="108" w:type="dxa"/>
            </w:tcMar>
            <w:vAlign w:val="center"/>
          </w:tcPr>
          <w:p w14:paraId="0852D521" w14:textId="77777777" w:rsidR="005860B4"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权利</w:t>
            </w:r>
          </w:p>
          <w:p w14:paraId="2C0B8C16" w14:textId="6CC701F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范围</w:t>
            </w:r>
          </w:p>
        </w:tc>
        <w:tc>
          <w:tcPr>
            <w:tcW w:w="1047" w:type="pct"/>
            <w:shd w:val="clear" w:color="auto" w:fill="auto"/>
            <w:tcMar>
              <w:top w:w="0" w:type="dxa"/>
              <w:left w:w="108" w:type="dxa"/>
              <w:bottom w:w="0" w:type="dxa"/>
              <w:right w:w="108" w:type="dxa"/>
            </w:tcMar>
            <w:vAlign w:val="center"/>
          </w:tcPr>
          <w:p w14:paraId="5209F10C"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登记号</w:t>
            </w:r>
          </w:p>
        </w:tc>
        <w:tc>
          <w:tcPr>
            <w:tcW w:w="730" w:type="pct"/>
            <w:shd w:val="clear" w:color="auto" w:fill="auto"/>
            <w:tcMar>
              <w:top w:w="0" w:type="dxa"/>
              <w:left w:w="108" w:type="dxa"/>
              <w:bottom w:w="0" w:type="dxa"/>
              <w:right w:w="108" w:type="dxa"/>
            </w:tcMar>
            <w:vAlign w:val="center"/>
          </w:tcPr>
          <w:p w14:paraId="62713705"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首次发表日期</w:t>
            </w:r>
          </w:p>
        </w:tc>
      </w:tr>
      <w:tr w:rsidR="006416B0" w:rsidRPr="00B4515A" w14:paraId="1C470791" w14:textId="77777777" w:rsidTr="005860B4">
        <w:trPr>
          <w:trHeight w:val="340"/>
          <w:jc w:val="center"/>
        </w:trPr>
        <w:tc>
          <w:tcPr>
            <w:tcW w:w="339" w:type="pct"/>
            <w:shd w:val="clear" w:color="auto" w:fill="auto"/>
            <w:tcMar>
              <w:top w:w="0" w:type="dxa"/>
              <w:left w:w="108" w:type="dxa"/>
              <w:bottom w:w="0" w:type="dxa"/>
              <w:right w:w="108" w:type="dxa"/>
            </w:tcMar>
            <w:vAlign w:val="center"/>
          </w:tcPr>
          <w:p w14:paraId="5D967F5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w:t>
            </w:r>
          </w:p>
        </w:tc>
        <w:tc>
          <w:tcPr>
            <w:tcW w:w="753" w:type="pct"/>
            <w:shd w:val="clear" w:color="auto" w:fill="auto"/>
            <w:tcMar>
              <w:top w:w="0" w:type="dxa"/>
              <w:left w:w="108" w:type="dxa"/>
              <w:bottom w:w="0" w:type="dxa"/>
              <w:right w:w="108" w:type="dxa"/>
            </w:tcMar>
            <w:vAlign w:val="center"/>
          </w:tcPr>
          <w:p w14:paraId="71A00DE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2018.07.26</w:t>
            </w:r>
          </w:p>
        </w:tc>
        <w:tc>
          <w:tcPr>
            <w:tcW w:w="1209" w:type="pct"/>
            <w:shd w:val="clear" w:color="auto" w:fill="auto"/>
            <w:tcMar>
              <w:top w:w="0" w:type="dxa"/>
              <w:left w:w="108" w:type="dxa"/>
              <w:bottom w:w="0" w:type="dxa"/>
              <w:right w:w="108" w:type="dxa"/>
            </w:tcMar>
            <w:vAlign w:val="center"/>
          </w:tcPr>
          <w:p w14:paraId="24438828"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通信设备软件平台</w:t>
            </w:r>
            <w:r w:rsidRPr="00B4515A">
              <w:rPr>
                <w:rFonts w:ascii="Times New Roman" w:hAnsi="Times New Roman" w:cs="Times New Roman"/>
                <w:color w:val="333333"/>
                <w:sz w:val="21"/>
                <w:szCs w:val="21"/>
              </w:rPr>
              <w:t>SP</w:t>
            </w:r>
            <w:r w:rsidRPr="00B4515A">
              <w:rPr>
                <w:rFonts w:ascii="Times New Roman" w:hAnsi="Times New Roman" w:cs="Times New Roman" w:hint="eastAsia"/>
                <w:color w:val="333333"/>
                <w:sz w:val="21"/>
                <w:szCs w:val="21"/>
              </w:rPr>
              <w:t>管理软件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1.0.0</w:t>
            </w:r>
          </w:p>
        </w:tc>
        <w:tc>
          <w:tcPr>
            <w:tcW w:w="442" w:type="pct"/>
            <w:tcMar>
              <w:top w:w="0" w:type="dxa"/>
              <w:left w:w="108" w:type="dxa"/>
              <w:bottom w:w="0" w:type="dxa"/>
              <w:right w:w="108" w:type="dxa"/>
            </w:tcMar>
            <w:vAlign w:val="center"/>
          </w:tcPr>
          <w:p w14:paraId="4DCB239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05217FD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7132647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2018SR590138</w:t>
            </w:r>
          </w:p>
        </w:tc>
        <w:tc>
          <w:tcPr>
            <w:tcW w:w="730" w:type="pct"/>
            <w:shd w:val="clear" w:color="auto" w:fill="auto"/>
            <w:tcMar>
              <w:top w:w="0" w:type="dxa"/>
              <w:left w:w="108" w:type="dxa"/>
              <w:bottom w:w="0" w:type="dxa"/>
              <w:right w:w="108" w:type="dxa"/>
            </w:tcMar>
            <w:vAlign w:val="center"/>
          </w:tcPr>
          <w:p w14:paraId="35446798"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2017.11.07</w:t>
            </w:r>
          </w:p>
        </w:tc>
      </w:tr>
      <w:tr w:rsidR="006416B0" w:rsidRPr="00B4515A" w14:paraId="445E406A" w14:textId="77777777" w:rsidTr="005860B4">
        <w:trPr>
          <w:trHeight w:val="340"/>
          <w:jc w:val="center"/>
        </w:trPr>
        <w:tc>
          <w:tcPr>
            <w:tcW w:w="339" w:type="pct"/>
            <w:shd w:val="clear" w:color="auto" w:fill="auto"/>
            <w:tcMar>
              <w:top w:w="0" w:type="dxa"/>
              <w:left w:w="108" w:type="dxa"/>
              <w:bottom w:w="0" w:type="dxa"/>
              <w:right w:w="108" w:type="dxa"/>
            </w:tcMar>
            <w:vAlign w:val="center"/>
          </w:tcPr>
          <w:p w14:paraId="6BF9F4E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w:t>
            </w:r>
          </w:p>
        </w:tc>
        <w:tc>
          <w:tcPr>
            <w:tcW w:w="753" w:type="pct"/>
            <w:shd w:val="clear" w:color="auto" w:fill="auto"/>
            <w:tcMar>
              <w:top w:w="0" w:type="dxa"/>
              <w:left w:w="108" w:type="dxa"/>
              <w:bottom w:w="0" w:type="dxa"/>
              <w:right w:w="108" w:type="dxa"/>
            </w:tcMar>
            <w:vAlign w:val="center"/>
          </w:tcPr>
          <w:p w14:paraId="6F34463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2018.07.25</w:t>
            </w:r>
          </w:p>
        </w:tc>
        <w:tc>
          <w:tcPr>
            <w:tcW w:w="1209" w:type="pct"/>
            <w:shd w:val="clear" w:color="auto" w:fill="auto"/>
            <w:tcMar>
              <w:top w:w="0" w:type="dxa"/>
              <w:left w:w="108" w:type="dxa"/>
              <w:bottom w:w="0" w:type="dxa"/>
              <w:right w:w="108" w:type="dxa"/>
            </w:tcMar>
            <w:vAlign w:val="center"/>
          </w:tcPr>
          <w:p w14:paraId="437663CD"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数据解析</w:t>
            </w:r>
            <w:r w:rsidRPr="00B4515A">
              <w:rPr>
                <w:rFonts w:ascii="Times New Roman" w:hAnsi="Times New Roman" w:cs="Times New Roman"/>
                <w:color w:val="333333"/>
                <w:sz w:val="21"/>
                <w:szCs w:val="21"/>
              </w:rPr>
              <w:t>Cy</w:t>
            </w:r>
            <w:r w:rsidRPr="00B4515A">
              <w:rPr>
                <w:rFonts w:ascii="Times New Roman" w:hAnsi="Times New Roman" w:cs="Times New Roman" w:hint="eastAsia"/>
                <w:color w:val="333333"/>
                <w:sz w:val="21"/>
                <w:szCs w:val="21"/>
              </w:rPr>
              <w:t>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2FDF95C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2F80BE4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7910168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2018SR583950</w:t>
            </w:r>
          </w:p>
        </w:tc>
        <w:tc>
          <w:tcPr>
            <w:tcW w:w="730" w:type="pct"/>
            <w:shd w:val="clear" w:color="auto" w:fill="auto"/>
            <w:tcMar>
              <w:top w:w="0" w:type="dxa"/>
              <w:left w:w="108" w:type="dxa"/>
              <w:bottom w:w="0" w:type="dxa"/>
              <w:right w:w="108" w:type="dxa"/>
            </w:tcMar>
            <w:vAlign w:val="center"/>
          </w:tcPr>
          <w:p w14:paraId="793D6BD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2017.10.16</w:t>
            </w:r>
          </w:p>
        </w:tc>
      </w:tr>
      <w:tr w:rsidR="006416B0" w:rsidRPr="00B4515A" w14:paraId="2E5E3D90" w14:textId="77777777" w:rsidTr="005860B4">
        <w:trPr>
          <w:trHeight w:val="340"/>
          <w:jc w:val="center"/>
        </w:trPr>
        <w:tc>
          <w:tcPr>
            <w:tcW w:w="339" w:type="pct"/>
            <w:shd w:val="clear" w:color="auto" w:fill="auto"/>
            <w:tcMar>
              <w:top w:w="0" w:type="dxa"/>
              <w:left w:w="108" w:type="dxa"/>
              <w:bottom w:w="0" w:type="dxa"/>
              <w:right w:w="108" w:type="dxa"/>
            </w:tcMar>
            <w:vAlign w:val="center"/>
          </w:tcPr>
          <w:p w14:paraId="6ED9F65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3</w:t>
            </w:r>
          </w:p>
        </w:tc>
        <w:tc>
          <w:tcPr>
            <w:tcW w:w="753" w:type="pct"/>
            <w:shd w:val="clear" w:color="auto" w:fill="auto"/>
            <w:tcMar>
              <w:top w:w="0" w:type="dxa"/>
              <w:left w:w="108" w:type="dxa"/>
              <w:bottom w:w="0" w:type="dxa"/>
              <w:right w:w="108" w:type="dxa"/>
            </w:tcMar>
            <w:vAlign w:val="center"/>
          </w:tcPr>
          <w:p w14:paraId="3ACCBE5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2018.07.25</w:t>
            </w:r>
          </w:p>
        </w:tc>
        <w:tc>
          <w:tcPr>
            <w:tcW w:w="1209" w:type="pct"/>
            <w:shd w:val="clear" w:color="auto" w:fill="auto"/>
            <w:tcMar>
              <w:top w:w="0" w:type="dxa"/>
              <w:left w:w="108" w:type="dxa"/>
              <w:bottom w:w="0" w:type="dxa"/>
              <w:right w:w="108" w:type="dxa"/>
            </w:tcMar>
            <w:vAlign w:val="center"/>
          </w:tcPr>
          <w:p w14:paraId="5BAF4CA6"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无线通信子系统网络控制软件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1.0.0</w:t>
            </w:r>
          </w:p>
        </w:tc>
        <w:tc>
          <w:tcPr>
            <w:tcW w:w="442" w:type="pct"/>
            <w:tcMar>
              <w:top w:w="0" w:type="dxa"/>
              <w:left w:w="108" w:type="dxa"/>
              <w:bottom w:w="0" w:type="dxa"/>
              <w:right w:w="108" w:type="dxa"/>
            </w:tcMar>
            <w:vAlign w:val="center"/>
          </w:tcPr>
          <w:p w14:paraId="6F1C60D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2EBCA89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169DA75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2018SR583544</w:t>
            </w:r>
          </w:p>
        </w:tc>
        <w:tc>
          <w:tcPr>
            <w:tcW w:w="730" w:type="pct"/>
            <w:shd w:val="clear" w:color="auto" w:fill="auto"/>
            <w:tcMar>
              <w:top w:w="0" w:type="dxa"/>
              <w:left w:w="108" w:type="dxa"/>
              <w:bottom w:w="0" w:type="dxa"/>
              <w:right w:w="108" w:type="dxa"/>
            </w:tcMar>
            <w:vAlign w:val="center"/>
          </w:tcPr>
          <w:p w14:paraId="392A7F3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2017.11.18</w:t>
            </w:r>
          </w:p>
        </w:tc>
      </w:tr>
      <w:tr w:rsidR="006416B0" w:rsidRPr="00B4515A" w14:paraId="706E28D0" w14:textId="77777777" w:rsidTr="005860B4">
        <w:trPr>
          <w:trHeight w:val="340"/>
          <w:jc w:val="center"/>
        </w:trPr>
        <w:tc>
          <w:tcPr>
            <w:tcW w:w="339" w:type="pct"/>
            <w:shd w:val="clear" w:color="auto" w:fill="auto"/>
            <w:tcMar>
              <w:top w:w="0" w:type="dxa"/>
              <w:left w:w="108" w:type="dxa"/>
              <w:bottom w:w="0" w:type="dxa"/>
              <w:right w:w="108" w:type="dxa"/>
            </w:tcMar>
            <w:vAlign w:val="center"/>
          </w:tcPr>
          <w:p w14:paraId="706C911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4</w:t>
            </w:r>
          </w:p>
        </w:tc>
        <w:tc>
          <w:tcPr>
            <w:tcW w:w="753" w:type="pct"/>
            <w:shd w:val="clear" w:color="auto" w:fill="auto"/>
            <w:tcMar>
              <w:top w:w="0" w:type="dxa"/>
              <w:left w:w="108" w:type="dxa"/>
              <w:bottom w:w="0" w:type="dxa"/>
              <w:right w:w="108" w:type="dxa"/>
            </w:tcMar>
            <w:vAlign w:val="center"/>
          </w:tcPr>
          <w:p w14:paraId="1006AF5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2018.07.25</w:t>
            </w:r>
          </w:p>
        </w:tc>
        <w:tc>
          <w:tcPr>
            <w:tcW w:w="1209" w:type="pct"/>
            <w:shd w:val="clear" w:color="auto" w:fill="auto"/>
            <w:tcMar>
              <w:top w:w="0" w:type="dxa"/>
              <w:left w:w="108" w:type="dxa"/>
              <w:bottom w:w="0" w:type="dxa"/>
              <w:right w:w="108" w:type="dxa"/>
            </w:tcMar>
            <w:vAlign w:val="center"/>
          </w:tcPr>
          <w:p w14:paraId="6B80846C"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通用自动测试平台</w:t>
            </w:r>
            <w:r w:rsidRPr="00B4515A">
              <w:rPr>
                <w:rFonts w:ascii="Times New Roman" w:hAnsi="Times New Roman" w:cs="Times New Roman"/>
                <w:color w:val="333333"/>
                <w:sz w:val="21"/>
                <w:szCs w:val="21"/>
              </w:rPr>
              <w:t>EasyTest</w:t>
            </w:r>
            <w:r w:rsidRPr="00B4515A">
              <w:rPr>
                <w:rFonts w:ascii="Times New Roman" w:hAnsi="Times New Roman" w:cs="Times New Roman" w:hint="eastAsia"/>
                <w:color w:val="333333"/>
                <w:sz w:val="21"/>
                <w:szCs w:val="21"/>
              </w:rPr>
              <w:t>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1.0.0</w:t>
            </w:r>
          </w:p>
        </w:tc>
        <w:tc>
          <w:tcPr>
            <w:tcW w:w="442" w:type="pct"/>
            <w:tcMar>
              <w:top w:w="0" w:type="dxa"/>
              <w:left w:w="108" w:type="dxa"/>
              <w:bottom w:w="0" w:type="dxa"/>
              <w:right w:w="108" w:type="dxa"/>
            </w:tcMar>
            <w:vAlign w:val="center"/>
          </w:tcPr>
          <w:p w14:paraId="3C6526C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0F8EAB8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6F57ACE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2018SR583550</w:t>
            </w:r>
          </w:p>
        </w:tc>
        <w:tc>
          <w:tcPr>
            <w:tcW w:w="730" w:type="pct"/>
            <w:shd w:val="clear" w:color="auto" w:fill="auto"/>
            <w:tcMar>
              <w:top w:w="0" w:type="dxa"/>
              <w:left w:w="108" w:type="dxa"/>
              <w:bottom w:w="0" w:type="dxa"/>
              <w:right w:w="108" w:type="dxa"/>
            </w:tcMar>
            <w:vAlign w:val="center"/>
          </w:tcPr>
          <w:p w14:paraId="119085E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2017.10.28</w:t>
            </w:r>
          </w:p>
        </w:tc>
      </w:tr>
      <w:tr w:rsidR="006416B0" w:rsidRPr="00B4515A" w14:paraId="78F101EA" w14:textId="77777777" w:rsidTr="005860B4">
        <w:trPr>
          <w:trHeight w:val="340"/>
          <w:jc w:val="center"/>
        </w:trPr>
        <w:tc>
          <w:tcPr>
            <w:tcW w:w="339" w:type="pct"/>
            <w:shd w:val="clear" w:color="auto" w:fill="auto"/>
            <w:tcMar>
              <w:top w:w="0" w:type="dxa"/>
              <w:left w:w="108" w:type="dxa"/>
              <w:bottom w:w="0" w:type="dxa"/>
              <w:right w:w="108" w:type="dxa"/>
            </w:tcMar>
            <w:vAlign w:val="center"/>
          </w:tcPr>
          <w:p w14:paraId="4D20A65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5</w:t>
            </w:r>
          </w:p>
        </w:tc>
        <w:tc>
          <w:tcPr>
            <w:tcW w:w="753" w:type="pct"/>
            <w:shd w:val="clear" w:color="auto" w:fill="auto"/>
            <w:tcMar>
              <w:top w:w="0" w:type="dxa"/>
              <w:left w:w="108" w:type="dxa"/>
              <w:bottom w:w="0" w:type="dxa"/>
              <w:right w:w="108" w:type="dxa"/>
            </w:tcMar>
            <w:vAlign w:val="center"/>
          </w:tcPr>
          <w:p w14:paraId="789AAF0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2018.07.25</w:t>
            </w:r>
          </w:p>
        </w:tc>
        <w:tc>
          <w:tcPr>
            <w:tcW w:w="1209" w:type="pct"/>
            <w:shd w:val="clear" w:color="auto" w:fill="auto"/>
            <w:tcMar>
              <w:top w:w="0" w:type="dxa"/>
              <w:left w:w="108" w:type="dxa"/>
              <w:bottom w:w="0" w:type="dxa"/>
              <w:right w:w="108" w:type="dxa"/>
            </w:tcMar>
            <w:vAlign w:val="center"/>
          </w:tcPr>
          <w:p w14:paraId="61395B56"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信号模拟系统管理器</w:t>
            </w:r>
            <w:r w:rsidRPr="00B4515A">
              <w:rPr>
                <w:rFonts w:ascii="Times New Roman" w:hAnsi="Times New Roman" w:cs="Times New Roman"/>
                <w:color w:val="333333"/>
                <w:sz w:val="21"/>
                <w:szCs w:val="21"/>
              </w:rPr>
              <w:t>MCM</w:t>
            </w:r>
            <w:r w:rsidRPr="00B4515A">
              <w:rPr>
                <w:rFonts w:ascii="Times New Roman" w:hAnsi="Times New Roman" w:cs="Times New Roman" w:hint="eastAsia"/>
                <w:color w:val="333333"/>
                <w:sz w:val="21"/>
                <w:szCs w:val="21"/>
              </w:rPr>
              <w:t>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1.0.0</w:t>
            </w:r>
          </w:p>
        </w:tc>
        <w:tc>
          <w:tcPr>
            <w:tcW w:w="442" w:type="pct"/>
            <w:tcMar>
              <w:top w:w="0" w:type="dxa"/>
              <w:left w:w="108" w:type="dxa"/>
              <w:bottom w:w="0" w:type="dxa"/>
              <w:right w:w="108" w:type="dxa"/>
            </w:tcMar>
            <w:vAlign w:val="center"/>
          </w:tcPr>
          <w:p w14:paraId="7071CA48"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586A166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78EA5D2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2018SR583536</w:t>
            </w:r>
          </w:p>
        </w:tc>
        <w:tc>
          <w:tcPr>
            <w:tcW w:w="730" w:type="pct"/>
            <w:shd w:val="clear" w:color="auto" w:fill="auto"/>
            <w:tcMar>
              <w:top w:w="0" w:type="dxa"/>
              <w:left w:w="108" w:type="dxa"/>
              <w:bottom w:w="0" w:type="dxa"/>
              <w:right w:w="108" w:type="dxa"/>
            </w:tcMar>
            <w:vAlign w:val="center"/>
          </w:tcPr>
          <w:p w14:paraId="5203DAE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2017.11.01</w:t>
            </w:r>
          </w:p>
        </w:tc>
      </w:tr>
      <w:tr w:rsidR="006416B0" w:rsidRPr="00B4515A" w14:paraId="3105DC7A" w14:textId="77777777" w:rsidTr="005860B4">
        <w:trPr>
          <w:trHeight w:val="340"/>
          <w:jc w:val="center"/>
        </w:trPr>
        <w:tc>
          <w:tcPr>
            <w:tcW w:w="339" w:type="pct"/>
            <w:shd w:val="clear" w:color="auto" w:fill="auto"/>
            <w:tcMar>
              <w:top w:w="0" w:type="dxa"/>
              <w:left w:w="108" w:type="dxa"/>
              <w:bottom w:w="0" w:type="dxa"/>
              <w:right w:w="108" w:type="dxa"/>
            </w:tcMar>
            <w:vAlign w:val="center"/>
          </w:tcPr>
          <w:p w14:paraId="50E36AD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6</w:t>
            </w:r>
          </w:p>
        </w:tc>
        <w:tc>
          <w:tcPr>
            <w:tcW w:w="753" w:type="pct"/>
            <w:shd w:val="clear" w:color="auto" w:fill="auto"/>
            <w:tcMar>
              <w:top w:w="0" w:type="dxa"/>
              <w:left w:w="108" w:type="dxa"/>
              <w:bottom w:w="0" w:type="dxa"/>
              <w:right w:w="108" w:type="dxa"/>
            </w:tcMar>
            <w:vAlign w:val="center"/>
          </w:tcPr>
          <w:p w14:paraId="3F86854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2018.07.25</w:t>
            </w:r>
          </w:p>
        </w:tc>
        <w:tc>
          <w:tcPr>
            <w:tcW w:w="1209" w:type="pct"/>
            <w:shd w:val="clear" w:color="auto" w:fill="auto"/>
            <w:tcMar>
              <w:top w:w="0" w:type="dxa"/>
              <w:left w:w="108" w:type="dxa"/>
              <w:bottom w:w="0" w:type="dxa"/>
              <w:right w:w="108" w:type="dxa"/>
            </w:tcMar>
            <w:vAlign w:val="center"/>
          </w:tcPr>
          <w:p w14:paraId="26B315F0"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通信收发端机扫频软件</w:t>
            </w:r>
            <w:r w:rsidRPr="00B4515A">
              <w:rPr>
                <w:rFonts w:ascii="Times New Roman" w:hAnsi="Times New Roman" w:cs="Times New Roman" w:hint="eastAsia"/>
                <w:color w:val="333333"/>
                <w:sz w:val="21"/>
                <w:szCs w:val="21"/>
              </w:rPr>
              <w:t>V1</w:t>
            </w:r>
            <w:r w:rsidRPr="00B4515A">
              <w:rPr>
                <w:rFonts w:ascii="Times New Roman" w:hAnsi="Times New Roman" w:cs="Times New Roman"/>
                <w:color w:val="333333"/>
                <w:sz w:val="21"/>
                <w:szCs w:val="21"/>
              </w:rPr>
              <w:t>.0</w:t>
            </w:r>
          </w:p>
        </w:tc>
        <w:tc>
          <w:tcPr>
            <w:tcW w:w="442" w:type="pct"/>
            <w:tcMar>
              <w:top w:w="0" w:type="dxa"/>
              <w:left w:w="108" w:type="dxa"/>
              <w:bottom w:w="0" w:type="dxa"/>
              <w:right w:w="108" w:type="dxa"/>
            </w:tcMar>
            <w:vAlign w:val="center"/>
          </w:tcPr>
          <w:p w14:paraId="3F5D4D5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796BC79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36D490F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2018SR583539</w:t>
            </w:r>
          </w:p>
        </w:tc>
        <w:tc>
          <w:tcPr>
            <w:tcW w:w="730" w:type="pct"/>
            <w:shd w:val="clear" w:color="auto" w:fill="auto"/>
            <w:tcMar>
              <w:top w:w="0" w:type="dxa"/>
              <w:left w:w="108" w:type="dxa"/>
              <w:bottom w:w="0" w:type="dxa"/>
              <w:right w:w="108" w:type="dxa"/>
            </w:tcMar>
            <w:vAlign w:val="center"/>
          </w:tcPr>
          <w:p w14:paraId="13C96A7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2017.11.18</w:t>
            </w:r>
          </w:p>
        </w:tc>
      </w:tr>
      <w:tr w:rsidR="006416B0" w:rsidRPr="00B4515A" w14:paraId="47E75EFF" w14:textId="77777777" w:rsidTr="005860B4">
        <w:trPr>
          <w:trHeight w:val="340"/>
          <w:jc w:val="center"/>
        </w:trPr>
        <w:tc>
          <w:tcPr>
            <w:tcW w:w="339" w:type="pct"/>
            <w:shd w:val="clear" w:color="auto" w:fill="auto"/>
            <w:tcMar>
              <w:top w:w="0" w:type="dxa"/>
              <w:left w:w="108" w:type="dxa"/>
              <w:bottom w:w="0" w:type="dxa"/>
              <w:right w:w="108" w:type="dxa"/>
            </w:tcMar>
            <w:vAlign w:val="center"/>
          </w:tcPr>
          <w:p w14:paraId="48E80338"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7</w:t>
            </w:r>
          </w:p>
        </w:tc>
        <w:tc>
          <w:tcPr>
            <w:tcW w:w="753" w:type="pct"/>
            <w:shd w:val="clear" w:color="auto" w:fill="auto"/>
            <w:tcMar>
              <w:top w:w="0" w:type="dxa"/>
              <w:left w:w="108" w:type="dxa"/>
              <w:bottom w:w="0" w:type="dxa"/>
              <w:right w:w="108" w:type="dxa"/>
            </w:tcMar>
            <w:vAlign w:val="center"/>
          </w:tcPr>
          <w:p w14:paraId="07D05F7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2018.07.24</w:t>
            </w:r>
          </w:p>
        </w:tc>
        <w:tc>
          <w:tcPr>
            <w:tcW w:w="1209" w:type="pct"/>
            <w:shd w:val="clear" w:color="auto" w:fill="auto"/>
            <w:tcMar>
              <w:top w:w="0" w:type="dxa"/>
              <w:left w:w="108" w:type="dxa"/>
              <w:bottom w:w="0" w:type="dxa"/>
              <w:right w:w="108" w:type="dxa"/>
            </w:tcMar>
            <w:vAlign w:val="center"/>
          </w:tcPr>
          <w:p w14:paraId="5FEA8C07"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情报产品无线分发</w:t>
            </w:r>
            <w:r w:rsidRPr="00B4515A">
              <w:rPr>
                <w:rFonts w:ascii="Times New Roman" w:hAnsi="Times New Roman" w:cs="Times New Roman" w:hint="eastAsia"/>
                <w:color w:val="333333"/>
                <w:sz w:val="21"/>
                <w:szCs w:val="21"/>
              </w:rPr>
              <w:lastRenderedPageBreak/>
              <w:t>系统</w:t>
            </w:r>
            <w:r w:rsidRPr="00B4515A">
              <w:rPr>
                <w:rFonts w:ascii="Times New Roman" w:hAnsi="Times New Roman" w:cs="Times New Roman"/>
                <w:color w:val="333333"/>
                <w:sz w:val="21"/>
                <w:szCs w:val="21"/>
              </w:rPr>
              <w:t>InfoDistribute</w:t>
            </w:r>
            <w:r w:rsidRPr="00B4515A">
              <w:rPr>
                <w:rFonts w:ascii="Times New Roman" w:hAnsi="Times New Roman" w:cs="Times New Roman" w:hint="eastAsia"/>
                <w:color w:val="333333"/>
                <w:sz w:val="21"/>
                <w:szCs w:val="21"/>
              </w:rPr>
              <w:t>软件</w:t>
            </w:r>
            <w:r w:rsidRPr="00B4515A">
              <w:rPr>
                <w:rFonts w:ascii="Times New Roman" w:hAnsi="Times New Roman" w:cs="Times New Roman" w:hint="eastAsia"/>
                <w:color w:val="333333"/>
                <w:sz w:val="21"/>
                <w:szCs w:val="21"/>
              </w:rPr>
              <w:t>V1</w:t>
            </w:r>
            <w:r w:rsidRPr="00B4515A">
              <w:rPr>
                <w:rFonts w:ascii="Times New Roman" w:hAnsi="Times New Roman" w:cs="Times New Roman"/>
                <w:color w:val="333333"/>
                <w:sz w:val="21"/>
                <w:szCs w:val="21"/>
              </w:rPr>
              <w:t>.0</w:t>
            </w:r>
          </w:p>
        </w:tc>
        <w:tc>
          <w:tcPr>
            <w:tcW w:w="442" w:type="pct"/>
            <w:tcMar>
              <w:top w:w="0" w:type="dxa"/>
              <w:left w:w="108" w:type="dxa"/>
              <w:bottom w:w="0" w:type="dxa"/>
              <w:right w:w="108" w:type="dxa"/>
            </w:tcMar>
            <w:vAlign w:val="center"/>
          </w:tcPr>
          <w:p w14:paraId="440ACCCC"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lastRenderedPageBreak/>
              <w:t>大唐</w:t>
            </w:r>
            <w:r w:rsidRPr="00B4515A">
              <w:rPr>
                <w:rFonts w:ascii="Times New Roman" w:hAnsi="Times New Roman" w:cs="Times New Roman" w:hint="eastAsia"/>
                <w:color w:val="333333"/>
                <w:sz w:val="21"/>
                <w:szCs w:val="21"/>
              </w:rPr>
              <w:lastRenderedPageBreak/>
              <w:t>联诚</w:t>
            </w:r>
          </w:p>
        </w:tc>
        <w:tc>
          <w:tcPr>
            <w:tcW w:w="480" w:type="pct"/>
            <w:tcMar>
              <w:top w:w="0" w:type="dxa"/>
              <w:left w:w="108" w:type="dxa"/>
              <w:bottom w:w="0" w:type="dxa"/>
              <w:right w:w="108" w:type="dxa"/>
            </w:tcMar>
            <w:vAlign w:val="center"/>
          </w:tcPr>
          <w:p w14:paraId="6D5F894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lastRenderedPageBreak/>
              <w:t>全部</w:t>
            </w:r>
            <w:r w:rsidRPr="00B4515A">
              <w:rPr>
                <w:rFonts w:ascii="Times New Roman" w:hAnsi="Times New Roman" w:cs="Times New Roman" w:hint="eastAsia"/>
                <w:color w:val="333333"/>
                <w:sz w:val="21"/>
                <w:szCs w:val="21"/>
              </w:rPr>
              <w:lastRenderedPageBreak/>
              <w:t>权利</w:t>
            </w:r>
          </w:p>
        </w:tc>
        <w:tc>
          <w:tcPr>
            <w:tcW w:w="1047" w:type="pct"/>
            <w:shd w:val="clear" w:color="auto" w:fill="auto"/>
            <w:tcMar>
              <w:top w:w="0" w:type="dxa"/>
              <w:left w:w="108" w:type="dxa"/>
              <w:bottom w:w="0" w:type="dxa"/>
              <w:right w:w="108" w:type="dxa"/>
            </w:tcMar>
            <w:vAlign w:val="center"/>
          </w:tcPr>
          <w:p w14:paraId="052304A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lastRenderedPageBreak/>
              <w:t>2018SR580466</w:t>
            </w:r>
          </w:p>
        </w:tc>
        <w:tc>
          <w:tcPr>
            <w:tcW w:w="730" w:type="pct"/>
            <w:shd w:val="clear" w:color="auto" w:fill="auto"/>
            <w:tcMar>
              <w:top w:w="0" w:type="dxa"/>
              <w:left w:w="108" w:type="dxa"/>
              <w:bottom w:w="0" w:type="dxa"/>
              <w:right w:w="108" w:type="dxa"/>
            </w:tcMar>
            <w:vAlign w:val="center"/>
          </w:tcPr>
          <w:p w14:paraId="2B7523B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2017.11.08</w:t>
            </w:r>
          </w:p>
        </w:tc>
      </w:tr>
      <w:tr w:rsidR="006416B0" w:rsidRPr="00B4515A" w14:paraId="30993556" w14:textId="77777777" w:rsidTr="005860B4">
        <w:trPr>
          <w:trHeight w:val="340"/>
          <w:jc w:val="center"/>
        </w:trPr>
        <w:tc>
          <w:tcPr>
            <w:tcW w:w="339" w:type="pct"/>
            <w:shd w:val="clear" w:color="auto" w:fill="auto"/>
            <w:tcMar>
              <w:top w:w="0" w:type="dxa"/>
              <w:left w:w="108" w:type="dxa"/>
              <w:bottom w:w="0" w:type="dxa"/>
              <w:right w:w="108" w:type="dxa"/>
            </w:tcMar>
            <w:vAlign w:val="center"/>
          </w:tcPr>
          <w:p w14:paraId="123435B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lastRenderedPageBreak/>
              <w:t>8</w:t>
            </w:r>
          </w:p>
        </w:tc>
        <w:tc>
          <w:tcPr>
            <w:tcW w:w="753" w:type="pct"/>
            <w:shd w:val="clear" w:color="auto" w:fill="auto"/>
            <w:tcMar>
              <w:top w:w="0" w:type="dxa"/>
              <w:left w:w="108" w:type="dxa"/>
              <w:bottom w:w="0" w:type="dxa"/>
              <w:right w:w="108" w:type="dxa"/>
            </w:tcMar>
            <w:vAlign w:val="center"/>
          </w:tcPr>
          <w:p w14:paraId="77FDF948"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2015.02.04</w:t>
            </w:r>
          </w:p>
        </w:tc>
        <w:tc>
          <w:tcPr>
            <w:tcW w:w="1209" w:type="pct"/>
            <w:shd w:val="clear" w:color="auto" w:fill="auto"/>
            <w:tcMar>
              <w:top w:w="0" w:type="dxa"/>
              <w:left w:w="108" w:type="dxa"/>
              <w:bottom w:w="0" w:type="dxa"/>
              <w:right w:w="108" w:type="dxa"/>
            </w:tcMar>
            <w:vAlign w:val="center"/>
          </w:tcPr>
          <w:p w14:paraId="655141C1"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大唐联诚双用应急短波通信区域综合管理平台软件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79547A0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38DA547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2AE7C8E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2015SR023780</w:t>
            </w:r>
          </w:p>
        </w:tc>
        <w:tc>
          <w:tcPr>
            <w:tcW w:w="730" w:type="pct"/>
            <w:shd w:val="clear" w:color="auto" w:fill="auto"/>
            <w:tcMar>
              <w:top w:w="0" w:type="dxa"/>
              <w:left w:w="108" w:type="dxa"/>
              <w:bottom w:w="0" w:type="dxa"/>
              <w:right w:w="108" w:type="dxa"/>
            </w:tcMar>
            <w:vAlign w:val="center"/>
          </w:tcPr>
          <w:p w14:paraId="1914089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2014.10.10</w:t>
            </w:r>
          </w:p>
        </w:tc>
      </w:tr>
      <w:tr w:rsidR="006416B0" w:rsidRPr="00B4515A" w14:paraId="17DFFABF" w14:textId="77777777" w:rsidTr="005860B4">
        <w:trPr>
          <w:trHeight w:val="340"/>
          <w:jc w:val="center"/>
        </w:trPr>
        <w:tc>
          <w:tcPr>
            <w:tcW w:w="339" w:type="pct"/>
            <w:shd w:val="clear" w:color="auto" w:fill="auto"/>
            <w:tcMar>
              <w:top w:w="0" w:type="dxa"/>
              <w:left w:w="108" w:type="dxa"/>
              <w:bottom w:w="0" w:type="dxa"/>
              <w:right w:w="108" w:type="dxa"/>
            </w:tcMar>
            <w:vAlign w:val="center"/>
          </w:tcPr>
          <w:p w14:paraId="009FE07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9</w:t>
            </w:r>
          </w:p>
        </w:tc>
        <w:tc>
          <w:tcPr>
            <w:tcW w:w="753" w:type="pct"/>
            <w:shd w:val="clear" w:color="auto" w:fill="auto"/>
            <w:tcMar>
              <w:top w:w="0" w:type="dxa"/>
              <w:left w:w="108" w:type="dxa"/>
              <w:bottom w:w="0" w:type="dxa"/>
              <w:right w:w="108" w:type="dxa"/>
            </w:tcMar>
            <w:vAlign w:val="center"/>
          </w:tcPr>
          <w:p w14:paraId="1073D06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2015.02.03</w:t>
            </w:r>
          </w:p>
        </w:tc>
        <w:tc>
          <w:tcPr>
            <w:tcW w:w="1209" w:type="pct"/>
            <w:shd w:val="clear" w:color="auto" w:fill="auto"/>
            <w:tcMar>
              <w:top w:w="0" w:type="dxa"/>
              <w:left w:w="108" w:type="dxa"/>
              <w:bottom w:w="0" w:type="dxa"/>
              <w:right w:w="108" w:type="dxa"/>
            </w:tcMar>
            <w:vAlign w:val="center"/>
          </w:tcPr>
          <w:p w14:paraId="460E298D"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r w:rsidRPr="00B4515A">
              <w:rPr>
                <w:rFonts w:ascii="Times New Roman" w:hAnsi="Times New Roman" w:cs="Times New Roman"/>
                <w:color w:val="333333"/>
                <w:sz w:val="21"/>
                <w:szCs w:val="21"/>
              </w:rPr>
              <w:t>LinkView</w:t>
            </w:r>
            <w:r w:rsidRPr="00B4515A">
              <w:rPr>
                <w:rFonts w:ascii="Times New Roman" w:hAnsi="Times New Roman" w:cs="Times New Roman" w:hint="eastAsia"/>
                <w:color w:val="333333"/>
                <w:sz w:val="21"/>
                <w:szCs w:val="21"/>
              </w:rPr>
              <w:t>武警动态勤务管控平台软件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285CE56C"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0EDA1E4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60C84C8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2015SR021521</w:t>
            </w:r>
          </w:p>
        </w:tc>
        <w:tc>
          <w:tcPr>
            <w:tcW w:w="730" w:type="pct"/>
            <w:shd w:val="clear" w:color="auto" w:fill="auto"/>
            <w:tcMar>
              <w:top w:w="0" w:type="dxa"/>
              <w:left w:w="108" w:type="dxa"/>
              <w:bottom w:w="0" w:type="dxa"/>
              <w:right w:w="108" w:type="dxa"/>
            </w:tcMar>
            <w:vAlign w:val="center"/>
          </w:tcPr>
          <w:p w14:paraId="7F2DB75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2014.03.30</w:t>
            </w:r>
          </w:p>
        </w:tc>
      </w:tr>
      <w:tr w:rsidR="006416B0" w:rsidRPr="00B4515A" w14:paraId="5CDF8550" w14:textId="77777777" w:rsidTr="005860B4">
        <w:trPr>
          <w:trHeight w:val="340"/>
          <w:jc w:val="center"/>
        </w:trPr>
        <w:tc>
          <w:tcPr>
            <w:tcW w:w="339" w:type="pct"/>
            <w:shd w:val="clear" w:color="auto" w:fill="auto"/>
            <w:tcMar>
              <w:top w:w="0" w:type="dxa"/>
              <w:left w:w="108" w:type="dxa"/>
              <w:bottom w:w="0" w:type="dxa"/>
              <w:right w:w="108" w:type="dxa"/>
            </w:tcMar>
            <w:vAlign w:val="center"/>
          </w:tcPr>
          <w:p w14:paraId="06A33F6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10</w:t>
            </w:r>
          </w:p>
        </w:tc>
        <w:tc>
          <w:tcPr>
            <w:tcW w:w="753" w:type="pct"/>
            <w:shd w:val="clear" w:color="auto" w:fill="auto"/>
            <w:tcMar>
              <w:top w:w="0" w:type="dxa"/>
              <w:left w:w="108" w:type="dxa"/>
              <w:bottom w:w="0" w:type="dxa"/>
              <w:right w:w="108" w:type="dxa"/>
            </w:tcMar>
            <w:vAlign w:val="center"/>
          </w:tcPr>
          <w:p w14:paraId="3FC3962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2015.02.03</w:t>
            </w:r>
          </w:p>
        </w:tc>
        <w:tc>
          <w:tcPr>
            <w:tcW w:w="1209" w:type="pct"/>
            <w:shd w:val="clear" w:color="auto" w:fill="auto"/>
            <w:tcMar>
              <w:top w:w="0" w:type="dxa"/>
              <w:left w:w="108" w:type="dxa"/>
              <w:bottom w:w="0" w:type="dxa"/>
              <w:right w:w="108" w:type="dxa"/>
            </w:tcMar>
            <w:vAlign w:val="center"/>
          </w:tcPr>
          <w:p w14:paraId="4D6514B0"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大唐联诚双用应急短波通信短波业务控制器软件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39D783B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1BE422C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1A15E67C"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2015SR021526</w:t>
            </w:r>
          </w:p>
        </w:tc>
        <w:tc>
          <w:tcPr>
            <w:tcW w:w="730" w:type="pct"/>
            <w:shd w:val="clear" w:color="auto" w:fill="auto"/>
            <w:tcMar>
              <w:top w:w="0" w:type="dxa"/>
              <w:left w:w="108" w:type="dxa"/>
              <w:bottom w:w="0" w:type="dxa"/>
              <w:right w:w="108" w:type="dxa"/>
            </w:tcMar>
            <w:vAlign w:val="center"/>
          </w:tcPr>
          <w:p w14:paraId="5537E88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2013.10.10</w:t>
            </w:r>
          </w:p>
        </w:tc>
      </w:tr>
      <w:tr w:rsidR="006416B0" w:rsidRPr="00B4515A" w14:paraId="705C9FF6" w14:textId="77777777" w:rsidTr="005860B4">
        <w:trPr>
          <w:trHeight w:val="340"/>
          <w:jc w:val="center"/>
        </w:trPr>
        <w:tc>
          <w:tcPr>
            <w:tcW w:w="339" w:type="pct"/>
            <w:shd w:val="clear" w:color="auto" w:fill="auto"/>
            <w:tcMar>
              <w:top w:w="0" w:type="dxa"/>
              <w:left w:w="108" w:type="dxa"/>
              <w:bottom w:w="0" w:type="dxa"/>
              <w:right w:w="108" w:type="dxa"/>
            </w:tcMar>
            <w:vAlign w:val="center"/>
          </w:tcPr>
          <w:p w14:paraId="060A2FD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11</w:t>
            </w:r>
          </w:p>
        </w:tc>
        <w:tc>
          <w:tcPr>
            <w:tcW w:w="753" w:type="pct"/>
            <w:shd w:val="clear" w:color="auto" w:fill="auto"/>
            <w:tcMar>
              <w:top w:w="0" w:type="dxa"/>
              <w:left w:w="108" w:type="dxa"/>
              <w:bottom w:w="0" w:type="dxa"/>
              <w:right w:w="108" w:type="dxa"/>
            </w:tcMar>
            <w:vAlign w:val="center"/>
          </w:tcPr>
          <w:p w14:paraId="4FDA4CE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2015.02.02</w:t>
            </w:r>
          </w:p>
        </w:tc>
        <w:tc>
          <w:tcPr>
            <w:tcW w:w="1209" w:type="pct"/>
            <w:shd w:val="clear" w:color="auto" w:fill="auto"/>
            <w:tcMar>
              <w:top w:w="0" w:type="dxa"/>
              <w:left w:w="108" w:type="dxa"/>
              <w:bottom w:w="0" w:type="dxa"/>
              <w:right w:w="108" w:type="dxa"/>
            </w:tcMar>
            <w:vAlign w:val="center"/>
          </w:tcPr>
          <w:p w14:paraId="04C444A9"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r w:rsidRPr="00B4515A">
              <w:rPr>
                <w:rFonts w:ascii="Times New Roman" w:hAnsi="Times New Roman" w:cs="Times New Roman"/>
                <w:color w:val="333333"/>
                <w:sz w:val="21"/>
                <w:szCs w:val="21"/>
              </w:rPr>
              <w:t>LinkView</w:t>
            </w:r>
            <w:r w:rsidRPr="00B4515A">
              <w:rPr>
                <w:rFonts w:ascii="Times New Roman" w:hAnsi="Times New Roman" w:cs="Times New Roman" w:hint="eastAsia"/>
                <w:color w:val="333333"/>
                <w:sz w:val="21"/>
                <w:szCs w:val="21"/>
              </w:rPr>
              <w:t>接处警业务管理系统软件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788AB09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7BA6006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2A6A3E0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2015SR021143</w:t>
            </w:r>
          </w:p>
        </w:tc>
        <w:tc>
          <w:tcPr>
            <w:tcW w:w="730" w:type="pct"/>
            <w:shd w:val="clear" w:color="auto" w:fill="auto"/>
            <w:tcMar>
              <w:top w:w="0" w:type="dxa"/>
              <w:left w:w="108" w:type="dxa"/>
              <w:bottom w:w="0" w:type="dxa"/>
              <w:right w:w="108" w:type="dxa"/>
            </w:tcMar>
            <w:vAlign w:val="center"/>
          </w:tcPr>
          <w:p w14:paraId="48DA0E1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2013.07.01</w:t>
            </w:r>
          </w:p>
        </w:tc>
      </w:tr>
      <w:tr w:rsidR="006416B0" w:rsidRPr="00B4515A" w14:paraId="79CF629D" w14:textId="77777777" w:rsidTr="005860B4">
        <w:trPr>
          <w:trHeight w:val="340"/>
          <w:jc w:val="center"/>
        </w:trPr>
        <w:tc>
          <w:tcPr>
            <w:tcW w:w="339" w:type="pct"/>
            <w:shd w:val="clear" w:color="auto" w:fill="auto"/>
            <w:tcMar>
              <w:top w:w="0" w:type="dxa"/>
              <w:left w:w="108" w:type="dxa"/>
              <w:bottom w:w="0" w:type="dxa"/>
              <w:right w:w="108" w:type="dxa"/>
            </w:tcMar>
            <w:vAlign w:val="center"/>
          </w:tcPr>
          <w:p w14:paraId="2C71A55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12</w:t>
            </w:r>
          </w:p>
        </w:tc>
        <w:tc>
          <w:tcPr>
            <w:tcW w:w="753" w:type="pct"/>
            <w:shd w:val="clear" w:color="auto" w:fill="auto"/>
            <w:tcMar>
              <w:top w:w="0" w:type="dxa"/>
              <w:left w:w="108" w:type="dxa"/>
              <w:bottom w:w="0" w:type="dxa"/>
              <w:right w:w="108" w:type="dxa"/>
            </w:tcMar>
            <w:vAlign w:val="center"/>
          </w:tcPr>
          <w:p w14:paraId="1EE1CA8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2015.01.30</w:t>
            </w:r>
          </w:p>
        </w:tc>
        <w:tc>
          <w:tcPr>
            <w:tcW w:w="1209" w:type="pct"/>
            <w:shd w:val="clear" w:color="auto" w:fill="auto"/>
            <w:tcMar>
              <w:top w:w="0" w:type="dxa"/>
              <w:left w:w="108" w:type="dxa"/>
              <w:bottom w:w="0" w:type="dxa"/>
              <w:right w:w="108" w:type="dxa"/>
            </w:tcMar>
            <w:vAlign w:val="center"/>
          </w:tcPr>
          <w:p w14:paraId="5722C261"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大唐联诚嵌入式操作系统环境模拟软件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1.0.0</w:t>
            </w:r>
          </w:p>
        </w:tc>
        <w:tc>
          <w:tcPr>
            <w:tcW w:w="442" w:type="pct"/>
            <w:tcMar>
              <w:top w:w="0" w:type="dxa"/>
              <w:left w:w="108" w:type="dxa"/>
              <w:bottom w:w="0" w:type="dxa"/>
              <w:right w:w="108" w:type="dxa"/>
            </w:tcMar>
            <w:vAlign w:val="center"/>
          </w:tcPr>
          <w:p w14:paraId="6B87E55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57754BB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49E6658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2015SR018785</w:t>
            </w:r>
          </w:p>
        </w:tc>
        <w:tc>
          <w:tcPr>
            <w:tcW w:w="730" w:type="pct"/>
            <w:shd w:val="clear" w:color="auto" w:fill="auto"/>
            <w:tcMar>
              <w:top w:w="0" w:type="dxa"/>
              <w:left w:w="108" w:type="dxa"/>
              <w:bottom w:w="0" w:type="dxa"/>
              <w:right w:w="108" w:type="dxa"/>
            </w:tcMar>
            <w:vAlign w:val="center"/>
          </w:tcPr>
          <w:p w14:paraId="26D2A34C"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2014.02.01</w:t>
            </w:r>
          </w:p>
        </w:tc>
      </w:tr>
      <w:tr w:rsidR="006416B0" w:rsidRPr="00B4515A" w14:paraId="566164DD" w14:textId="77777777" w:rsidTr="005860B4">
        <w:trPr>
          <w:trHeight w:val="340"/>
          <w:jc w:val="center"/>
        </w:trPr>
        <w:tc>
          <w:tcPr>
            <w:tcW w:w="339" w:type="pct"/>
            <w:shd w:val="clear" w:color="auto" w:fill="auto"/>
            <w:tcMar>
              <w:top w:w="0" w:type="dxa"/>
              <w:left w:w="108" w:type="dxa"/>
              <w:bottom w:w="0" w:type="dxa"/>
              <w:right w:w="108" w:type="dxa"/>
            </w:tcMar>
            <w:vAlign w:val="center"/>
          </w:tcPr>
          <w:p w14:paraId="2407103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13</w:t>
            </w:r>
          </w:p>
        </w:tc>
        <w:tc>
          <w:tcPr>
            <w:tcW w:w="753" w:type="pct"/>
            <w:shd w:val="clear" w:color="auto" w:fill="auto"/>
            <w:tcMar>
              <w:top w:w="0" w:type="dxa"/>
              <w:left w:w="108" w:type="dxa"/>
              <w:bottom w:w="0" w:type="dxa"/>
              <w:right w:w="108" w:type="dxa"/>
            </w:tcMar>
            <w:vAlign w:val="center"/>
          </w:tcPr>
          <w:p w14:paraId="3E06703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2015.01.30</w:t>
            </w:r>
          </w:p>
        </w:tc>
        <w:tc>
          <w:tcPr>
            <w:tcW w:w="1209" w:type="pct"/>
            <w:shd w:val="clear" w:color="auto" w:fill="auto"/>
            <w:tcMar>
              <w:top w:w="0" w:type="dxa"/>
              <w:left w:w="108" w:type="dxa"/>
              <w:bottom w:w="0" w:type="dxa"/>
              <w:right w:w="108" w:type="dxa"/>
            </w:tcMar>
            <w:vAlign w:val="center"/>
          </w:tcPr>
          <w:p w14:paraId="180AC997"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大唐联诚系统运维信息管理软件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70E46BC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060703B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562732B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2015SR018169</w:t>
            </w:r>
          </w:p>
        </w:tc>
        <w:tc>
          <w:tcPr>
            <w:tcW w:w="730" w:type="pct"/>
            <w:shd w:val="clear" w:color="auto" w:fill="auto"/>
            <w:tcMar>
              <w:top w:w="0" w:type="dxa"/>
              <w:left w:w="108" w:type="dxa"/>
              <w:bottom w:w="0" w:type="dxa"/>
              <w:right w:w="108" w:type="dxa"/>
            </w:tcMar>
            <w:vAlign w:val="center"/>
          </w:tcPr>
          <w:p w14:paraId="38D1742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2014.03.20</w:t>
            </w:r>
          </w:p>
        </w:tc>
      </w:tr>
      <w:tr w:rsidR="006416B0" w:rsidRPr="00B4515A" w14:paraId="0DE17C47" w14:textId="77777777" w:rsidTr="005860B4">
        <w:trPr>
          <w:trHeight w:val="340"/>
          <w:jc w:val="center"/>
        </w:trPr>
        <w:tc>
          <w:tcPr>
            <w:tcW w:w="339" w:type="pct"/>
            <w:shd w:val="clear" w:color="auto" w:fill="auto"/>
            <w:tcMar>
              <w:top w:w="0" w:type="dxa"/>
              <w:left w:w="108" w:type="dxa"/>
              <w:bottom w:w="0" w:type="dxa"/>
              <w:right w:w="108" w:type="dxa"/>
            </w:tcMar>
            <w:vAlign w:val="center"/>
          </w:tcPr>
          <w:p w14:paraId="71675FA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14</w:t>
            </w:r>
          </w:p>
        </w:tc>
        <w:tc>
          <w:tcPr>
            <w:tcW w:w="753" w:type="pct"/>
            <w:shd w:val="clear" w:color="auto" w:fill="auto"/>
            <w:tcMar>
              <w:top w:w="0" w:type="dxa"/>
              <w:left w:w="108" w:type="dxa"/>
              <w:bottom w:w="0" w:type="dxa"/>
              <w:right w:w="108" w:type="dxa"/>
            </w:tcMar>
            <w:vAlign w:val="center"/>
          </w:tcPr>
          <w:p w14:paraId="25CE778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2015.01.30</w:t>
            </w:r>
          </w:p>
        </w:tc>
        <w:tc>
          <w:tcPr>
            <w:tcW w:w="1209" w:type="pct"/>
            <w:shd w:val="clear" w:color="auto" w:fill="auto"/>
            <w:tcMar>
              <w:top w:w="0" w:type="dxa"/>
              <w:left w:w="108" w:type="dxa"/>
              <w:bottom w:w="0" w:type="dxa"/>
              <w:right w:w="108" w:type="dxa"/>
            </w:tcMar>
            <w:vAlign w:val="center"/>
          </w:tcPr>
          <w:p w14:paraId="7CCCE789"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r w:rsidRPr="00B4515A">
              <w:rPr>
                <w:rFonts w:ascii="Times New Roman" w:hAnsi="Times New Roman" w:cs="Times New Roman"/>
                <w:color w:val="333333"/>
                <w:sz w:val="21"/>
                <w:szCs w:val="21"/>
              </w:rPr>
              <w:t>LinkView</w:t>
            </w:r>
            <w:r w:rsidRPr="00B4515A">
              <w:rPr>
                <w:rFonts w:ascii="Times New Roman" w:hAnsi="Times New Roman" w:cs="Times New Roman" w:hint="eastAsia"/>
                <w:color w:val="333333"/>
                <w:sz w:val="21"/>
                <w:szCs w:val="21"/>
              </w:rPr>
              <w:t>智能交通综合管控平台软件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5BDB5D0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098C522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6739352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2015SR018739</w:t>
            </w:r>
          </w:p>
        </w:tc>
        <w:tc>
          <w:tcPr>
            <w:tcW w:w="730" w:type="pct"/>
            <w:shd w:val="clear" w:color="auto" w:fill="auto"/>
            <w:tcMar>
              <w:top w:w="0" w:type="dxa"/>
              <w:left w:w="108" w:type="dxa"/>
              <w:bottom w:w="0" w:type="dxa"/>
              <w:right w:w="108" w:type="dxa"/>
            </w:tcMar>
            <w:vAlign w:val="center"/>
          </w:tcPr>
          <w:p w14:paraId="18B90AD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2014.04.01</w:t>
            </w:r>
          </w:p>
        </w:tc>
      </w:tr>
      <w:tr w:rsidR="006416B0" w:rsidRPr="00B4515A" w14:paraId="40542BD5" w14:textId="77777777" w:rsidTr="005860B4">
        <w:trPr>
          <w:trHeight w:val="340"/>
          <w:jc w:val="center"/>
        </w:trPr>
        <w:tc>
          <w:tcPr>
            <w:tcW w:w="339" w:type="pct"/>
            <w:shd w:val="clear" w:color="auto" w:fill="auto"/>
            <w:tcMar>
              <w:top w:w="0" w:type="dxa"/>
              <w:left w:w="108" w:type="dxa"/>
              <w:bottom w:w="0" w:type="dxa"/>
              <w:right w:w="108" w:type="dxa"/>
            </w:tcMar>
            <w:vAlign w:val="center"/>
          </w:tcPr>
          <w:p w14:paraId="1E695CA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15</w:t>
            </w:r>
          </w:p>
        </w:tc>
        <w:tc>
          <w:tcPr>
            <w:tcW w:w="753" w:type="pct"/>
            <w:shd w:val="clear" w:color="auto" w:fill="auto"/>
            <w:tcMar>
              <w:top w:w="0" w:type="dxa"/>
              <w:left w:w="108" w:type="dxa"/>
              <w:bottom w:w="0" w:type="dxa"/>
              <w:right w:w="108" w:type="dxa"/>
            </w:tcMar>
            <w:vAlign w:val="center"/>
          </w:tcPr>
          <w:p w14:paraId="4B152B1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2015.01.30</w:t>
            </w:r>
          </w:p>
        </w:tc>
        <w:tc>
          <w:tcPr>
            <w:tcW w:w="1209" w:type="pct"/>
            <w:shd w:val="clear" w:color="auto" w:fill="auto"/>
            <w:tcMar>
              <w:top w:w="0" w:type="dxa"/>
              <w:left w:w="108" w:type="dxa"/>
              <w:bottom w:w="0" w:type="dxa"/>
              <w:right w:w="108" w:type="dxa"/>
            </w:tcMar>
            <w:vAlign w:val="center"/>
          </w:tcPr>
          <w:p w14:paraId="062408AD"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大唐联诚通信链路模拟器终端软件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1.0.0</w:t>
            </w:r>
          </w:p>
        </w:tc>
        <w:tc>
          <w:tcPr>
            <w:tcW w:w="442" w:type="pct"/>
            <w:tcMar>
              <w:top w:w="0" w:type="dxa"/>
              <w:left w:w="108" w:type="dxa"/>
              <w:bottom w:w="0" w:type="dxa"/>
              <w:right w:w="108" w:type="dxa"/>
            </w:tcMar>
            <w:vAlign w:val="center"/>
          </w:tcPr>
          <w:p w14:paraId="2F6D821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1725149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0492881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2015SR017887</w:t>
            </w:r>
          </w:p>
        </w:tc>
        <w:tc>
          <w:tcPr>
            <w:tcW w:w="730" w:type="pct"/>
            <w:shd w:val="clear" w:color="auto" w:fill="auto"/>
            <w:tcMar>
              <w:top w:w="0" w:type="dxa"/>
              <w:left w:w="108" w:type="dxa"/>
              <w:bottom w:w="0" w:type="dxa"/>
              <w:right w:w="108" w:type="dxa"/>
            </w:tcMar>
            <w:vAlign w:val="center"/>
          </w:tcPr>
          <w:p w14:paraId="047CBC6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2014.08.11</w:t>
            </w:r>
          </w:p>
        </w:tc>
      </w:tr>
      <w:tr w:rsidR="006416B0" w:rsidRPr="00B4515A" w14:paraId="4D57DB33" w14:textId="77777777" w:rsidTr="005860B4">
        <w:trPr>
          <w:trHeight w:val="340"/>
          <w:jc w:val="center"/>
        </w:trPr>
        <w:tc>
          <w:tcPr>
            <w:tcW w:w="339" w:type="pct"/>
            <w:shd w:val="clear" w:color="auto" w:fill="auto"/>
            <w:tcMar>
              <w:top w:w="0" w:type="dxa"/>
              <w:left w:w="108" w:type="dxa"/>
              <w:bottom w:w="0" w:type="dxa"/>
              <w:right w:w="108" w:type="dxa"/>
            </w:tcMar>
            <w:vAlign w:val="center"/>
          </w:tcPr>
          <w:p w14:paraId="78226C9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16</w:t>
            </w:r>
          </w:p>
        </w:tc>
        <w:tc>
          <w:tcPr>
            <w:tcW w:w="753" w:type="pct"/>
            <w:shd w:val="clear" w:color="auto" w:fill="auto"/>
            <w:tcMar>
              <w:top w:w="0" w:type="dxa"/>
              <w:left w:w="108" w:type="dxa"/>
              <w:bottom w:w="0" w:type="dxa"/>
              <w:right w:w="108" w:type="dxa"/>
            </w:tcMar>
            <w:vAlign w:val="center"/>
          </w:tcPr>
          <w:p w14:paraId="5BAD7B88"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2015.01.30</w:t>
            </w:r>
          </w:p>
        </w:tc>
        <w:tc>
          <w:tcPr>
            <w:tcW w:w="1209" w:type="pct"/>
            <w:shd w:val="clear" w:color="auto" w:fill="auto"/>
            <w:tcMar>
              <w:top w:w="0" w:type="dxa"/>
              <w:left w:w="108" w:type="dxa"/>
              <w:bottom w:w="0" w:type="dxa"/>
              <w:right w:w="108" w:type="dxa"/>
            </w:tcMar>
            <w:vAlign w:val="center"/>
          </w:tcPr>
          <w:p w14:paraId="2968E8C0"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r w:rsidRPr="00B4515A">
              <w:rPr>
                <w:rFonts w:ascii="Times New Roman" w:hAnsi="Times New Roman" w:cs="Times New Roman"/>
                <w:color w:val="333333"/>
                <w:sz w:val="21"/>
                <w:szCs w:val="21"/>
              </w:rPr>
              <w:t>LinkView</w:t>
            </w:r>
            <w:r w:rsidRPr="00B4515A">
              <w:rPr>
                <w:rFonts w:ascii="Times New Roman" w:hAnsi="Times New Roman" w:cs="Times New Roman" w:hint="eastAsia"/>
                <w:color w:val="333333"/>
                <w:sz w:val="21"/>
                <w:szCs w:val="21"/>
              </w:rPr>
              <w:t>智能联网安防平台软件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2.0</w:t>
            </w:r>
          </w:p>
        </w:tc>
        <w:tc>
          <w:tcPr>
            <w:tcW w:w="442" w:type="pct"/>
            <w:tcMar>
              <w:top w:w="0" w:type="dxa"/>
              <w:left w:w="108" w:type="dxa"/>
              <w:bottom w:w="0" w:type="dxa"/>
              <w:right w:w="108" w:type="dxa"/>
            </w:tcMar>
            <w:vAlign w:val="center"/>
          </w:tcPr>
          <w:p w14:paraId="38B5C72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30A5B58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6031C2C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2015SR018681</w:t>
            </w:r>
          </w:p>
        </w:tc>
        <w:tc>
          <w:tcPr>
            <w:tcW w:w="730" w:type="pct"/>
            <w:shd w:val="clear" w:color="auto" w:fill="auto"/>
            <w:tcMar>
              <w:top w:w="0" w:type="dxa"/>
              <w:left w:w="108" w:type="dxa"/>
              <w:bottom w:w="0" w:type="dxa"/>
              <w:right w:w="108" w:type="dxa"/>
            </w:tcMar>
            <w:vAlign w:val="center"/>
          </w:tcPr>
          <w:p w14:paraId="700A11C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2014.04.01</w:t>
            </w:r>
          </w:p>
        </w:tc>
      </w:tr>
      <w:tr w:rsidR="006416B0" w:rsidRPr="00B4515A" w14:paraId="3BE41355" w14:textId="77777777" w:rsidTr="005860B4">
        <w:trPr>
          <w:trHeight w:val="340"/>
          <w:jc w:val="center"/>
        </w:trPr>
        <w:tc>
          <w:tcPr>
            <w:tcW w:w="339" w:type="pct"/>
            <w:shd w:val="clear" w:color="auto" w:fill="auto"/>
            <w:tcMar>
              <w:top w:w="0" w:type="dxa"/>
              <w:left w:w="108" w:type="dxa"/>
              <w:bottom w:w="0" w:type="dxa"/>
              <w:right w:w="108" w:type="dxa"/>
            </w:tcMar>
            <w:vAlign w:val="center"/>
          </w:tcPr>
          <w:p w14:paraId="3E81157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17</w:t>
            </w:r>
          </w:p>
        </w:tc>
        <w:tc>
          <w:tcPr>
            <w:tcW w:w="753" w:type="pct"/>
            <w:shd w:val="clear" w:color="auto" w:fill="auto"/>
            <w:tcMar>
              <w:top w:w="0" w:type="dxa"/>
              <w:left w:w="108" w:type="dxa"/>
              <w:bottom w:w="0" w:type="dxa"/>
              <w:right w:w="108" w:type="dxa"/>
            </w:tcMar>
            <w:vAlign w:val="center"/>
          </w:tcPr>
          <w:p w14:paraId="792112D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2015.01.30</w:t>
            </w:r>
          </w:p>
        </w:tc>
        <w:tc>
          <w:tcPr>
            <w:tcW w:w="1209" w:type="pct"/>
            <w:shd w:val="clear" w:color="auto" w:fill="auto"/>
            <w:tcMar>
              <w:top w:w="0" w:type="dxa"/>
              <w:left w:w="108" w:type="dxa"/>
              <w:bottom w:w="0" w:type="dxa"/>
              <w:right w:w="108" w:type="dxa"/>
            </w:tcMar>
            <w:vAlign w:val="center"/>
          </w:tcPr>
          <w:p w14:paraId="04DD1DE0"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大唐联诚弹载电台参数注入器软件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31CFC46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0AAEC62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6DF500D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2015SR018093</w:t>
            </w:r>
          </w:p>
        </w:tc>
        <w:tc>
          <w:tcPr>
            <w:tcW w:w="730" w:type="pct"/>
            <w:shd w:val="clear" w:color="auto" w:fill="auto"/>
            <w:tcMar>
              <w:top w:w="0" w:type="dxa"/>
              <w:left w:w="108" w:type="dxa"/>
              <w:bottom w:w="0" w:type="dxa"/>
              <w:right w:w="108" w:type="dxa"/>
            </w:tcMar>
            <w:vAlign w:val="center"/>
          </w:tcPr>
          <w:p w14:paraId="6B2D174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2014.11.12</w:t>
            </w:r>
          </w:p>
        </w:tc>
      </w:tr>
      <w:tr w:rsidR="006416B0" w:rsidRPr="00B4515A" w14:paraId="6BF97E1C" w14:textId="77777777" w:rsidTr="005860B4">
        <w:trPr>
          <w:trHeight w:val="340"/>
          <w:jc w:val="center"/>
        </w:trPr>
        <w:tc>
          <w:tcPr>
            <w:tcW w:w="339" w:type="pct"/>
            <w:shd w:val="clear" w:color="auto" w:fill="auto"/>
            <w:tcMar>
              <w:top w:w="0" w:type="dxa"/>
              <w:left w:w="108" w:type="dxa"/>
              <w:bottom w:w="0" w:type="dxa"/>
              <w:right w:w="108" w:type="dxa"/>
            </w:tcMar>
            <w:vAlign w:val="center"/>
          </w:tcPr>
          <w:p w14:paraId="37C6716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18</w:t>
            </w:r>
          </w:p>
        </w:tc>
        <w:tc>
          <w:tcPr>
            <w:tcW w:w="753" w:type="pct"/>
            <w:shd w:val="clear" w:color="auto" w:fill="auto"/>
            <w:tcMar>
              <w:top w:w="0" w:type="dxa"/>
              <w:left w:w="108" w:type="dxa"/>
              <w:bottom w:w="0" w:type="dxa"/>
              <w:right w:w="108" w:type="dxa"/>
            </w:tcMar>
            <w:vAlign w:val="center"/>
          </w:tcPr>
          <w:p w14:paraId="52FA62B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2015.01.30</w:t>
            </w:r>
          </w:p>
        </w:tc>
        <w:tc>
          <w:tcPr>
            <w:tcW w:w="1209" w:type="pct"/>
            <w:shd w:val="clear" w:color="auto" w:fill="auto"/>
            <w:tcMar>
              <w:top w:w="0" w:type="dxa"/>
              <w:left w:w="108" w:type="dxa"/>
              <w:bottom w:w="0" w:type="dxa"/>
              <w:right w:w="108" w:type="dxa"/>
            </w:tcMar>
            <w:vAlign w:val="center"/>
          </w:tcPr>
          <w:p w14:paraId="6AAA4446"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大唐联诚视频网管系统软件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210A0EF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19EC016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0DFE9BB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2015SR018629</w:t>
            </w:r>
          </w:p>
        </w:tc>
        <w:tc>
          <w:tcPr>
            <w:tcW w:w="730" w:type="pct"/>
            <w:shd w:val="clear" w:color="auto" w:fill="auto"/>
            <w:tcMar>
              <w:top w:w="0" w:type="dxa"/>
              <w:left w:w="108" w:type="dxa"/>
              <w:bottom w:w="0" w:type="dxa"/>
              <w:right w:w="108" w:type="dxa"/>
            </w:tcMar>
            <w:vAlign w:val="center"/>
          </w:tcPr>
          <w:p w14:paraId="7BA7B5E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2014.05.10</w:t>
            </w:r>
          </w:p>
        </w:tc>
      </w:tr>
      <w:tr w:rsidR="006416B0" w:rsidRPr="00B4515A" w14:paraId="28276ACE" w14:textId="77777777" w:rsidTr="005860B4">
        <w:trPr>
          <w:trHeight w:val="340"/>
          <w:jc w:val="center"/>
        </w:trPr>
        <w:tc>
          <w:tcPr>
            <w:tcW w:w="339" w:type="pct"/>
            <w:shd w:val="clear" w:color="auto" w:fill="auto"/>
            <w:tcMar>
              <w:top w:w="0" w:type="dxa"/>
              <w:left w:w="108" w:type="dxa"/>
              <w:bottom w:w="0" w:type="dxa"/>
              <w:right w:w="108" w:type="dxa"/>
            </w:tcMar>
            <w:vAlign w:val="center"/>
          </w:tcPr>
          <w:p w14:paraId="5D67DE4C"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19</w:t>
            </w:r>
          </w:p>
        </w:tc>
        <w:tc>
          <w:tcPr>
            <w:tcW w:w="753" w:type="pct"/>
            <w:shd w:val="clear" w:color="auto" w:fill="auto"/>
            <w:tcMar>
              <w:top w:w="0" w:type="dxa"/>
              <w:left w:w="108" w:type="dxa"/>
              <w:bottom w:w="0" w:type="dxa"/>
              <w:right w:w="108" w:type="dxa"/>
            </w:tcMar>
            <w:vAlign w:val="center"/>
          </w:tcPr>
          <w:p w14:paraId="74C7F9A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2015.01.30</w:t>
            </w:r>
          </w:p>
        </w:tc>
        <w:tc>
          <w:tcPr>
            <w:tcW w:w="1209" w:type="pct"/>
            <w:shd w:val="clear" w:color="auto" w:fill="auto"/>
            <w:tcMar>
              <w:top w:w="0" w:type="dxa"/>
              <w:left w:w="108" w:type="dxa"/>
              <w:bottom w:w="0" w:type="dxa"/>
              <w:right w:w="108" w:type="dxa"/>
            </w:tcMar>
            <w:vAlign w:val="center"/>
          </w:tcPr>
          <w:p w14:paraId="36C05E2B"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大唐联诚通用测试系统管理器软件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1.0.0</w:t>
            </w:r>
          </w:p>
        </w:tc>
        <w:tc>
          <w:tcPr>
            <w:tcW w:w="442" w:type="pct"/>
            <w:tcMar>
              <w:top w:w="0" w:type="dxa"/>
              <w:left w:w="108" w:type="dxa"/>
              <w:bottom w:w="0" w:type="dxa"/>
              <w:right w:w="108" w:type="dxa"/>
            </w:tcMar>
            <w:vAlign w:val="center"/>
          </w:tcPr>
          <w:p w14:paraId="0CE978F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73D2009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5A6E1D9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2015SR018622</w:t>
            </w:r>
          </w:p>
        </w:tc>
        <w:tc>
          <w:tcPr>
            <w:tcW w:w="730" w:type="pct"/>
            <w:shd w:val="clear" w:color="auto" w:fill="auto"/>
            <w:tcMar>
              <w:top w:w="0" w:type="dxa"/>
              <w:left w:w="108" w:type="dxa"/>
              <w:bottom w:w="0" w:type="dxa"/>
              <w:right w:w="108" w:type="dxa"/>
            </w:tcMar>
            <w:vAlign w:val="center"/>
          </w:tcPr>
          <w:p w14:paraId="4D71F74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2014.03.10</w:t>
            </w:r>
          </w:p>
        </w:tc>
      </w:tr>
      <w:tr w:rsidR="006416B0" w:rsidRPr="00B4515A" w14:paraId="009B3BAD" w14:textId="77777777" w:rsidTr="005860B4">
        <w:trPr>
          <w:trHeight w:val="340"/>
          <w:jc w:val="center"/>
        </w:trPr>
        <w:tc>
          <w:tcPr>
            <w:tcW w:w="339" w:type="pct"/>
            <w:shd w:val="clear" w:color="auto" w:fill="auto"/>
            <w:tcMar>
              <w:top w:w="0" w:type="dxa"/>
              <w:left w:w="108" w:type="dxa"/>
              <w:bottom w:w="0" w:type="dxa"/>
              <w:right w:w="108" w:type="dxa"/>
            </w:tcMar>
            <w:vAlign w:val="center"/>
          </w:tcPr>
          <w:p w14:paraId="0B3933C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w:t>
            </w:r>
          </w:p>
        </w:tc>
        <w:tc>
          <w:tcPr>
            <w:tcW w:w="753" w:type="pct"/>
            <w:shd w:val="clear" w:color="auto" w:fill="auto"/>
            <w:tcMar>
              <w:top w:w="0" w:type="dxa"/>
              <w:left w:w="108" w:type="dxa"/>
              <w:bottom w:w="0" w:type="dxa"/>
              <w:right w:w="108" w:type="dxa"/>
            </w:tcMar>
            <w:vAlign w:val="center"/>
          </w:tcPr>
          <w:p w14:paraId="2C845C6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2015.01.30</w:t>
            </w:r>
          </w:p>
        </w:tc>
        <w:tc>
          <w:tcPr>
            <w:tcW w:w="1209" w:type="pct"/>
            <w:shd w:val="clear" w:color="auto" w:fill="auto"/>
            <w:tcMar>
              <w:top w:w="0" w:type="dxa"/>
              <w:left w:w="108" w:type="dxa"/>
              <w:bottom w:w="0" w:type="dxa"/>
              <w:right w:w="108" w:type="dxa"/>
            </w:tcMar>
            <w:vAlign w:val="center"/>
          </w:tcPr>
          <w:p w14:paraId="6CDA49C3"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大唐联诚短波信息服务平台数据终端软件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0D4CB65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52FB6AF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124447C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2015SR017947</w:t>
            </w:r>
          </w:p>
        </w:tc>
        <w:tc>
          <w:tcPr>
            <w:tcW w:w="730" w:type="pct"/>
            <w:shd w:val="clear" w:color="auto" w:fill="auto"/>
            <w:tcMar>
              <w:top w:w="0" w:type="dxa"/>
              <w:left w:w="108" w:type="dxa"/>
              <w:bottom w:w="0" w:type="dxa"/>
              <w:right w:w="108" w:type="dxa"/>
            </w:tcMar>
            <w:vAlign w:val="center"/>
          </w:tcPr>
          <w:p w14:paraId="608244E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2014.07.10</w:t>
            </w:r>
          </w:p>
        </w:tc>
      </w:tr>
      <w:tr w:rsidR="006416B0" w:rsidRPr="00B4515A" w14:paraId="3A618670" w14:textId="77777777" w:rsidTr="005860B4">
        <w:trPr>
          <w:trHeight w:val="340"/>
          <w:jc w:val="center"/>
        </w:trPr>
        <w:tc>
          <w:tcPr>
            <w:tcW w:w="339" w:type="pct"/>
            <w:shd w:val="clear" w:color="auto" w:fill="auto"/>
            <w:tcMar>
              <w:top w:w="0" w:type="dxa"/>
              <w:left w:w="108" w:type="dxa"/>
              <w:bottom w:w="0" w:type="dxa"/>
              <w:right w:w="108" w:type="dxa"/>
            </w:tcMar>
            <w:vAlign w:val="center"/>
          </w:tcPr>
          <w:p w14:paraId="5E4D0DD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21</w:t>
            </w:r>
          </w:p>
        </w:tc>
        <w:tc>
          <w:tcPr>
            <w:tcW w:w="753" w:type="pct"/>
            <w:shd w:val="clear" w:color="auto" w:fill="auto"/>
            <w:tcMar>
              <w:top w:w="0" w:type="dxa"/>
              <w:left w:w="108" w:type="dxa"/>
              <w:bottom w:w="0" w:type="dxa"/>
              <w:right w:w="108" w:type="dxa"/>
            </w:tcMar>
            <w:vAlign w:val="center"/>
          </w:tcPr>
          <w:p w14:paraId="4D18376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2015.01.30</w:t>
            </w:r>
          </w:p>
        </w:tc>
        <w:tc>
          <w:tcPr>
            <w:tcW w:w="1209" w:type="pct"/>
            <w:shd w:val="clear" w:color="auto" w:fill="auto"/>
            <w:tcMar>
              <w:top w:w="0" w:type="dxa"/>
              <w:left w:w="108" w:type="dxa"/>
              <w:bottom w:w="0" w:type="dxa"/>
              <w:right w:w="108" w:type="dxa"/>
            </w:tcMar>
            <w:vAlign w:val="center"/>
          </w:tcPr>
          <w:p w14:paraId="3512A1B2"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大唐联诚双用应急短波通信语音网关软件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26D1E86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5DCCAC5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0FFCCDB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2015SR018776</w:t>
            </w:r>
          </w:p>
        </w:tc>
        <w:tc>
          <w:tcPr>
            <w:tcW w:w="730" w:type="pct"/>
            <w:shd w:val="clear" w:color="auto" w:fill="auto"/>
            <w:tcMar>
              <w:top w:w="0" w:type="dxa"/>
              <w:left w:w="108" w:type="dxa"/>
              <w:bottom w:w="0" w:type="dxa"/>
              <w:right w:w="108" w:type="dxa"/>
            </w:tcMar>
            <w:vAlign w:val="center"/>
          </w:tcPr>
          <w:p w14:paraId="706DABB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2013.10.10</w:t>
            </w:r>
          </w:p>
        </w:tc>
      </w:tr>
      <w:tr w:rsidR="006416B0" w:rsidRPr="00B4515A" w14:paraId="44058673" w14:textId="77777777" w:rsidTr="005860B4">
        <w:trPr>
          <w:trHeight w:val="340"/>
          <w:jc w:val="center"/>
        </w:trPr>
        <w:tc>
          <w:tcPr>
            <w:tcW w:w="339" w:type="pct"/>
            <w:shd w:val="clear" w:color="auto" w:fill="auto"/>
            <w:tcMar>
              <w:top w:w="0" w:type="dxa"/>
              <w:left w:w="108" w:type="dxa"/>
              <w:bottom w:w="0" w:type="dxa"/>
              <w:right w:w="108" w:type="dxa"/>
            </w:tcMar>
            <w:vAlign w:val="center"/>
          </w:tcPr>
          <w:p w14:paraId="4A6F536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22</w:t>
            </w:r>
          </w:p>
        </w:tc>
        <w:tc>
          <w:tcPr>
            <w:tcW w:w="753" w:type="pct"/>
            <w:shd w:val="clear" w:color="auto" w:fill="auto"/>
            <w:tcMar>
              <w:top w:w="0" w:type="dxa"/>
              <w:left w:w="108" w:type="dxa"/>
              <w:bottom w:w="0" w:type="dxa"/>
              <w:right w:w="108" w:type="dxa"/>
            </w:tcMar>
            <w:vAlign w:val="center"/>
          </w:tcPr>
          <w:p w14:paraId="2BDE57C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2015.01.30</w:t>
            </w:r>
          </w:p>
        </w:tc>
        <w:tc>
          <w:tcPr>
            <w:tcW w:w="1209" w:type="pct"/>
            <w:shd w:val="clear" w:color="auto" w:fill="auto"/>
            <w:tcMar>
              <w:top w:w="0" w:type="dxa"/>
              <w:left w:w="108" w:type="dxa"/>
              <w:bottom w:w="0" w:type="dxa"/>
              <w:right w:w="108" w:type="dxa"/>
            </w:tcMar>
            <w:vAlign w:val="center"/>
          </w:tcPr>
          <w:p w14:paraId="0BDB29B8"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大唐联诚训练评估系统网管软件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71DC2DF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26DB55F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477C948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2015SR018608</w:t>
            </w:r>
          </w:p>
        </w:tc>
        <w:tc>
          <w:tcPr>
            <w:tcW w:w="730" w:type="pct"/>
            <w:shd w:val="clear" w:color="auto" w:fill="auto"/>
            <w:tcMar>
              <w:top w:w="0" w:type="dxa"/>
              <w:left w:w="108" w:type="dxa"/>
              <w:bottom w:w="0" w:type="dxa"/>
              <w:right w:w="108" w:type="dxa"/>
            </w:tcMar>
            <w:vAlign w:val="center"/>
          </w:tcPr>
          <w:p w14:paraId="1159FB2C"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2013.05.29</w:t>
            </w:r>
          </w:p>
        </w:tc>
      </w:tr>
      <w:tr w:rsidR="006416B0" w:rsidRPr="00B4515A" w14:paraId="6F32487D" w14:textId="77777777" w:rsidTr="005860B4">
        <w:trPr>
          <w:trHeight w:val="340"/>
          <w:jc w:val="center"/>
        </w:trPr>
        <w:tc>
          <w:tcPr>
            <w:tcW w:w="339" w:type="pct"/>
            <w:shd w:val="clear" w:color="auto" w:fill="auto"/>
            <w:tcMar>
              <w:top w:w="0" w:type="dxa"/>
              <w:left w:w="108" w:type="dxa"/>
              <w:bottom w:w="0" w:type="dxa"/>
              <w:right w:w="108" w:type="dxa"/>
            </w:tcMar>
            <w:vAlign w:val="center"/>
          </w:tcPr>
          <w:p w14:paraId="2303BDD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23</w:t>
            </w:r>
          </w:p>
        </w:tc>
        <w:tc>
          <w:tcPr>
            <w:tcW w:w="753" w:type="pct"/>
            <w:shd w:val="clear" w:color="auto" w:fill="auto"/>
            <w:tcMar>
              <w:top w:w="0" w:type="dxa"/>
              <w:left w:w="108" w:type="dxa"/>
              <w:bottom w:w="0" w:type="dxa"/>
              <w:right w:w="108" w:type="dxa"/>
            </w:tcMar>
            <w:vAlign w:val="center"/>
          </w:tcPr>
          <w:p w14:paraId="6197000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2015.01.30</w:t>
            </w:r>
          </w:p>
        </w:tc>
        <w:tc>
          <w:tcPr>
            <w:tcW w:w="1209" w:type="pct"/>
            <w:shd w:val="clear" w:color="auto" w:fill="auto"/>
            <w:tcMar>
              <w:top w:w="0" w:type="dxa"/>
              <w:left w:w="108" w:type="dxa"/>
              <w:bottom w:w="0" w:type="dxa"/>
              <w:right w:w="108" w:type="dxa"/>
            </w:tcMar>
            <w:vAlign w:val="center"/>
          </w:tcPr>
          <w:p w14:paraId="78E8F058"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大唐联诚智能手机客户端软件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1B595E1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4E7ACD5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5824D65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2015SR018626</w:t>
            </w:r>
          </w:p>
        </w:tc>
        <w:tc>
          <w:tcPr>
            <w:tcW w:w="730" w:type="pct"/>
            <w:shd w:val="clear" w:color="auto" w:fill="auto"/>
            <w:tcMar>
              <w:top w:w="0" w:type="dxa"/>
              <w:left w:w="108" w:type="dxa"/>
              <w:bottom w:w="0" w:type="dxa"/>
              <w:right w:w="108" w:type="dxa"/>
            </w:tcMar>
            <w:vAlign w:val="center"/>
          </w:tcPr>
          <w:p w14:paraId="184020A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2014.11.20</w:t>
            </w:r>
          </w:p>
        </w:tc>
      </w:tr>
      <w:tr w:rsidR="006416B0" w:rsidRPr="00B4515A" w14:paraId="4FCF1BA6" w14:textId="77777777" w:rsidTr="005860B4">
        <w:trPr>
          <w:trHeight w:val="340"/>
          <w:jc w:val="center"/>
        </w:trPr>
        <w:tc>
          <w:tcPr>
            <w:tcW w:w="339" w:type="pct"/>
            <w:shd w:val="clear" w:color="auto" w:fill="auto"/>
            <w:tcMar>
              <w:top w:w="0" w:type="dxa"/>
              <w:left w:w="108" w:type="dxa"/>
              <w:bottom w:w="0" w:type="dxa"/>
              <w:right w:w="108" w:type="dxa"/>
            </w:tcMar>
            <w:vAlign w:val="center"/>
          </w:tcPr>
          <w:p w14:paraId="7713D3B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24</w:t>
            </w:r>
          </w:p>
        </w:tc>
        <w:tc>
          <w:tcPr>
            <w:tcW w:w="753" w:type="pct"/>
            <w:shd w:val="clear" w:color="auto" w:fill="auto"/>
            <w:tcMar>
              <w:top w:w="0" w:type="dxa"/>
              <w:left w:w="108" w:type="dxa"/>
              <w:bottom w:w="0" w:type="dxa"/>
              <w:right w:w="108" w:type="dxa"/>
            </w:tcMar>
            <w:vAlign w:val="center"/>
          </w:tcPr>
          <w:p w14:paraId="4EAE6B3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2015.01.29</w:t>
            </w:r>
          </w:p>
        </w:tc>
        <w:tc>
          <w:tcPr>
            <w:tcW w:w="1209" w:type="pct"/>
            <w:shd w:val="clear" w:color="auto" w:fill="auto"/>
            <w:tcMar>
              <w:top w:w="0" w:type="dxa"/>
              <w:left w:w="108" w:type="dxa"/>
              <w:bottom w:w="0" w:type="dxa"/>
              <w:right w:w="108" w:type="dxa"/>
            </w:tcMar>
            <w:vAlign w:val="center"/>
          </w:tcPr>
          <w:p w14:paraId="14535B45"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大唐联诚双用应急短波通信短波邮件</w:t>
            </w:r>
            <w:r w:rsidRPr="00B4515A">
              <w:rPr>
                <w:rFonts w:ascii="Times New Roman" w:hAnsi="Times New Roman" w:cs="Times New Roman" w:hint="eastAsia"/>
                <w:color w:val="333333"/>
                <w:sz w:val="21"/>
                <w:szCs w:val="21"/>
              </w:rPr>
              <w:lastRenderedPageBreak/>
              <w:t>网关软件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5CE1347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lastRenderedPageBreak/>
              <w:t>大唐联诚</w:t>
            </w:r>
          </w:p>
        </w:tc>
        <w:tc>
          <w:tcPr>
            <w:tcW w:w="480" w:type="pct"/>
            <w:tcMar>
              <w:top w:w="0" w:type="dxa"/>
              <w:left w:w="108" w:type="dxa"/>
              <w:bottom w:w="0" w:type="dxa"/>
              <w:right w:w="108" w:type="dxa"/>
            </w:tcMar>
            <w:vAlign w:val="center"/>
          </w:tcPr>
          <w:p w14:paraId="46A5ACB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5CE0B8C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2015SR017478</w:t>
            </w:r>
          </w:p>
        </w:tc>
        <w:tc>
          <w:tcPr>
            <w:tcW w:w="730" w:type="pct"/>
            <w:shd w:val="clear" w:color="auto" w:fill="auto"/>
            <w:tcMar>
              <w:top w:w="0" w:type="dxa"/>
              <w:left w:w="108" w:type="dxa"/>
              <w:bottom w:w="0" w:type="dxa"/>
              <w:right w:w="108" w:type="dxa"/>
            </w:tcMar>
            <w:vAlign w:val="center"/>
          </w:tcPr>
          <w:p w14:paraId="341CCC1C"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2014.10.10</w:t>
            </w:r>
          </w:p>
        </w:tc>
      </w:tr>
      <w:tr w:rsidR="006416B0" w:rsidRPr="00B4515A" w14:paraId="7B4059AA" w14:textId="77777777" w:rsidTr="005860B4">
        <w:trPr>
          <w:trHeight w:val="340"/>
          <w:jc w:val="center"/>
        </w:trPr>
        <w:tc>
          <w:tcPr>
            <w:tcW w:w="339" w:type="pct"/>
            <w:shd w:val="clear" w:color="auto" w:fill="auto"/>
            <w:tcMar>
              <w:top w:w="0" w:type="dxa"/>
              <w:left w:w="108" w:type="dxa"/>
              <w:bottom w:w="0" w:type="dxa"/>
              <w:right w:w="108" w:type="dxa"/>
            </w:tcMar>
            <w:vAlign w:val="center"/>
          </w:tcPr>
          <w:p w14:paraId="5764821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lastRenderedPageBreak/>
              <w:t>25</w:t>
            </w:r>
          </w:p>
        </w:tc>
        <w:tc>
          <w:tcPr>
            <w:tcW w:w="753" w:type="pct"/>
            <w:shd w:val="clear" w:color="auto" w:fill="auto"/>
            <w:tcMar>
              <w:top w:w="0" w:type="dxa"/>
              <w:left w:w="108" w:type="dxa"/>
              <w:bottom w:w="0" w:type="dxa"/>
              <w:right w:w="108" w:type="dxa"/>
            </w:tcMar>
            <w:vAlign w:val="center"/>
          </w:tcPr>
          <w:p w14:paraId="45DFEE4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2011.08.06</w:t>
            </w:r>
          </w:p>
        </w:tc>
        <w:tc>
          <w:tcPr>
            <w:tcW w:w="1209" w:type="pct"/>
            <w:shd w:val="clear" w:color="auto" w:fill="auto"/>
            <w:tcMar>
              <w:top w:w="0" w:type="dxa"/>
              <w:left w:w="108" w:type="dxa"/>
              <w:bottom w:w="0" w:type="dxa"/>
              <w:right w:w="108" w:type="dxa"/>
            </w:tcMar>
            <w:vAlign w:val="center"/>
          </w:tcPr>
          <w:p w14:paraId="3AC4AA34"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大唐联诚道路卡口系统软件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25C25E4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2CA7143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20BF870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2011SR055553</w:t>
            </w:r>
          </w:p>
        </w:tc>
        <w:tc>
          <w:tcPr>
            <w:tcW w:w="730" w:type="pct"/>
            <w:shd w:val="clear" w:color="auto" w:fill="auto"/>
            <w:tcMar>
              <w:top w:w="0" w:type="dxa"/>
              <w:left w:w="108" w:type="dxa"/>
              <w:bottom w:w="0" w:type="dxa"/>
              <w:right w:w="108" w:type="dxa"/>
            </w:tcMar>
            <w:vAlign w:val="center"/>
          </w:tcPr>
          <w:p w14:paraId="6EACEE5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2011.06.09</w:t>
            </w:r>
          </w:p>
        </w:tc>
      </w:tr>
      <w:tr w:rsidR="006416B0" w:rsidRPr="00B4515A" w14:paraId="4CE6E3D3" w14:textId="77777777" w:rsidTr="005860B4">
        <w:trPr>
          <w:trHeight w:val="340"/>
          <w:jc w:val="center"/>
        </w:trPr>
        <w:tc>
          <w:tcPr>
            <w:tcW w:w="339" w:type="pct"/>
            <w:shd w:val="clear" w:color="auto" w:fill="auto"/>
            <w:tcMar>
              <w:top w:w="0" w:type="dxa"/>
              <w:left w:w="108" w:type="dxa"/>
              <w:bottom w:w="0" w:type="dxa"/>
              <w:right w:w="108" w:type="dxa"/>
            </w:tcMar>
            <w:vAlign w:val="center"/>
          </w:tcPr>
          <w:p w14:paraId="6EBCDBD8"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26</w:t>
            </w:r>
          </w:p>
        </w:tc>
        <w:tc>
          <w:tcPr>
            <w:tcW w:w="753" w:type="pct"/>
            <w:shd w:val="clear" w:color="auto" w:fill="auto"/>
            <w:tcMar>
              <w:top w:w="0" w:type="dxa"/>
              <w:left w:w="108" w:type="dxa"/>
              <w:bottom w:w="0" w:type="dxa"/>
              <w:right w:w="108" w:type="dxa"/>
            </w:tcMar>
            <w:vAlign w:val="center"/>
          </w:tcPr>
          <w:p w14:paraId="5E4AEED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2011.08.06</w:t>
            </w:r>
          </w:p>
        </w:tc>
        <w:tc>
          <w:tcPr>
            <w:tcW w:w="1209" w:type="pct"/>
            <w:shd w:val="clear" w:color="auto" w:fill="auto"/>
            <w:tcMar>
              <w:top w:w="0" w:type="dxa"/>
              <w:left w:w="108" w:type="dxa"/>
              <w:bottom w:w="0" w:type="dxa"/>
              <w:right w:w="108" w:type="dxa"/>
            </w:tcMar>
            <w:vAlign w:val="center"/>
          </w:tcPr>
          <w:p w14:paraId="7BBAAF29"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大唐联诚电子警察系统软件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43DEA30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4F21AD3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5A0011F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2011SR055545</w:t>
            </w:r>
          </w:p>
        </w:tc>
        <w:tc>
          <w:tcPr>
            <w:tcW w:w="730" w:type="pct"/>
            <w:shd w:val="clear" w:color="auto" w:fill="auto"/>
            <w:tcMar>
              <w:top w:w="0" w:type="dxa"/>
              <w:left w:w="108" w:type="dxa"/>
              <w:bottom w:w="0" w:type="dxa"/>
              <w:right w:w="108" w:type="dxa"/>
            </w:tcMar>
            <w:vAlign w:val="center"/>
          </w:tcPr>
          <w:p w14:paraId="4FBE26E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2011.06.09</w:t>
            </w:r>
          </w:p>
        </w:tc>
      </w:tr>
      <w:tr w:rsidR="006416B0" w:rsidRPr="00B4515A" w14:paraId="4A87D969" w14:textId="77777777" w:rsidTr="005860B4">
        <w:trPr>
          <w:trHeight w:val="340"/>
          <w:jc w:val="center"/>
        </w:trPr>
        <w:tc>
          <w:tcPr>
            <w:tcW w:w="339" w:type="pct"/>
            <w:shd w:val="clear" w:color="auto" w:fill="auto"/>
            <w:tcMar>
              <w:top w:w="0" w:type="dxa"/>
              <w:left w:w="108" w:type="dxa"/>
              <w:bottom w:w="0" w:type="dxa"/>
              <w:right w:w="108" w:type="dxa"/>
            </w:tcMar>
            <w:vAlign w:val="center"/>
          </w:tcPr>
          <w:p w14:paraId="50BEFE2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27</w:t>
            </w:r>
          </w:p>
        </w:tc>
        <w:tc>
          <w:tcPr>
            <w:tcW w:w="753" w:type="pct"/>
            <w:shd w:val="clear" w:color="auto" w:fill="auto"/>
            <w:tcMar>
              <w:top w:w="0" w:type="dxa"/>
              <w:left w:w="108" w:type="dxa"/>
              <w:bottom w:w="0" w:type="dxa"/>
              <w:right w:w="108" w:type="dxa"/>
            </w:tcMar>
            <w:vAlign w:val="center"/>
          </w:tcPr>
          <w:p w14:paraId="4A29ED1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2011.08.06</w:t>
            </w:r>
          </w:p>
        </w:tc>
        <w:tc>
          <w:tcPr>
            <w:tcW w:w="1209" w:type="pct"/>
            <w:shd w:val="clear" w:color="auto" w:fill="auto"/>
            <w:tcMar>
              <w:top w:w="0" w:type="dxa"/>
              <w:left w:w="108" w:type="dxa"/>
              <w:bottom w:w="0" w:type="dxa"/>
              <w:right w:w="108" w:type="dxa"/>
            </w:tcMar>
            <w:vAlign w:val="center"/>
          </w:tcPr>
          <w:p w14:paraId="4579AF60"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大唐联诚专用移动通信设备模拟测试软件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1.0.0</w:t>
            </w:r>
          </w:p>
        </w:tc>
        <w:tc>
          <w:tcPr>
            <w:tcW w:w="442" w:type="pct"/>
            <w:tcMar>
              <w:top w:w="0" w:type="dxa"/>
              <w:left w:w="108" w:type="dxa"/>
              <w:bottom w:w="0" w:type="dxa"/>
              <w:right w:w="108" w:type="dxa"/>
            </w:tcMar>
            <w:vAlign w:val="center"/>
          </w:tcPr>
          <w:p w14:paraId="6849C0C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70766AE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09EF6E5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2011SR055530</w:t>
            </w:r>
          </w:p>
        </w:tc>
        <w:tc>
          <w:tcPr>
            <w:tcW w:w="730" w:type="pct"/>
            <w:shd w:val="clear" w:color="auto" w:fill="auto"/>
            <w:tcMar>
              <w:top w:w="0" w:type="dxa"/>
              <w:left w:w="108" w:type="dxa"/>
              <w:bottom w:w="0" w:type="dxa"/>
              <w:right w:w="108" w:type="dxa"/>
            </w:tcMar>
            <w:vAlign w:val="center"/>
          </w:tcPr>
          <w:p w14:paraId="4167E9F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2011.06.11</w:t>
            </w:r>
          </w:p>
        </w:tc>
      </w:tr>
      <w:tr w:rsidR="006416B0" w:rsidRPr="00B4515A" w14:paraId="0969292C" w14:textId="77777777" w:rsidTr="005860B4">
        <w:trPr>
          <w:trHeight w:val="340"/>
          <w:jc w:val="center"/>
        </w:trPr>
        <w:tc>
          <w:tcPr>
            <w:tcW w:w="339" w:type="pct"/>
            <w:shd w:val="clear" w:color="auto" w:fill="auto"/>
            <w:tcMar>
              <w:top w:w="0" w:type="dxa"/>
              <w:left w:w="108" w:type="dxa"/>
              <w:bottom w:w="0" w:type="dxa"/>
              <w:right w:w="108" w:type="dxa"/>
            </w:tcMar>
            <w:vAlign w:val="center"/>
          </w:tcPr>
          <w:p w14:paraId="58AC76D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28</w:t>
            </w:r>
          </w:p>
        </w:tc>
        <w:tc>
          <w:tcPr>
            <w:tcW w:w="753" w:type="pct"/>
            <w:shd w:val="clear" w:color="auto" w:fill="auto"/>
            <w:tcMar>
              <w:top w:w="0" w:type="dxa"/>
              <w:left w:w="108" w:type="dxa"/>
              <w:bottom w:w="0" w:type="dxa"/>
              <w:right w:w="108" w:type="dxa"/>
            </w:tcMar>
            <w:vAlign w:val="center"/>
          </w:tcPr>
          <w:p w14:paraId="6B5742C8"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2011.08.06</w:t>
            </w:r>
          </w:p>
        </w:tc>
        <w:tc>
          <w:tcPr>
            <w:tcW w:w="1209" w:type="pct"/>
            <w:shd w:val="clear" w:color="auto" w:fill="auto"/>
            <w:tcMar>
              <w:top w:w="0" w:type="dxa"/>
              <w:left w:w="108" w:type="dxa"/>
              <w:bottom w:w="0" w:type="dxa"/>
              <w:right w:w="108" w:type="dxa"/>
            </w:tcMar>
            <w:vAlign w:val="center"/>
          </w:tcPr>
          <w:p w14:paraId="0DA9F376"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大唐联诚城市治安与报警系统软件</w:t>
            </w:r>
            <w:r w:rsidRPr="00B4515A">
              <w:rPr>
                <w:rFonts w:ascii="Times New Roman" w:hAnsi="Times New Roman" w:cs="Times New Roman"/>
                <w:color w:val="333333"/>
                <w:sz w:val="21"/>
                <w:szCs w:val="21"/>
              </w:rPr>
              <w:t>V1.0</w:t>
            </w:r>
          </w:p>
        </w:tc>
        <w:tc>
          <w:tcPr>
            <w:tcW w:w="442" w:type="pct"/>
            <w:tcMar>
              <w:top w:w="0" w:type="dxa"/>
              <w:left w:w="108" w:type="dxa"/>
              <w:bottom w:w="0" w:type="dxa"/>
              <w:right w:w="108" w:type="dxa"/>
            </w:tcMar>
            <w:vAlign w:val="center"/>
          </w:tcPr>
          <w:p w14:paraId="4BEDB2A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78EAD69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6437C568"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2011SR055521</w:t>
            </w:r>
          </w:p>
        </w:tc>
        <w:tc>
          <w:tcPr>
            <w:tcW w:w="730" w:type="pct"/>
            <w:shd w:val="clear" w:color="auto" w:fill="auto"/>
            <w:tcMar>
              <w:top w:w="0" w:type="dxa"/>
              <w:left w:w="108" w:type="dxa"/>
              <w:bottom w:w="0" w:type="dxa"/>
              <w:right w:w="108" w:type="dxa"/>
            </w:tcMar>
            <w:vAlign w:val="center"/>
          </w:tcPr>
          <w:p w14:paraId="4A9D238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2011.03.08</w:t>
            </w:r>
          </w:p>
        </w:tc>
      </w:tr>
      <w:tr w:rsidR="006416B0" w:rsidRPr="00B4515A" w14:paraId="06F6173A" w14:textId="77777777" w:rsidTr="005860B4">
        <w:trPr>
          <w:trHeight w:val="340"/>
          <w:jc w:val="center"/>
        </w:trPr>
        <w:tc>
          <w:tcPr>
            <w:tcW w:w="339" w:type="pct"/>
            <w:shd w:val="clear" w:color="auto" w:fill="auto"/>
            <w:tcMar>
              <w:top w:w="0" w:type="dxa"/>
              <w:left w:w="108" w:type="dxa"/>
              <w:bottom w:w="0" w:type="dxa"/>
              <w:right w:w="108" w:type="dxa"/>
            </w:tcMar>
            <w:vAlign w:val="center"/>
          </w:tcPr>
          <w:p w14:paraId="225D2DC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29</w:t>
            </w:r>
          </w:p>
        </w:tc>
        <w:tc>
          <w:tcPr>
            <w:tcW w:w="753" w:type="pct"/>
            <w:shd w:val="clear" w:color="auto" w:fill="auto"/>
            <w:tcMar>
              <w:top w:w="0" w:type="dxa"/>
              <w:left w:w="108" w:type="dxa"/>
              <w:bottom w:w="0" w:type="dxa"/>
              <w:right w:w="108" w:type="dxa"/>
            </w:tcMar>
            <w:vAlign w:val="center"/>
          </w:tcPr>
          <w:p w14:paraId="6BB1753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2011.08.06</w:t>
            </w:r>
          </w:p>
        </w:tc>
        <w:tc>
          <w:tcPr>
            <w:tcW w:w="1209" w:type="pct"/>
            <w:shd w:val="clear" w:color="auto" w:fill="auto"/>
            <w:tcMar>
              <w:top w:w="0" w:type="dxa"/>
              <w:left w:w="108" w:type="dxa"/>
              <w:bottom w:w="0" w:type="dxa"/>
              <w:right w:w="108" w:type="dxa"/>
            </w:tcMar>
            <w:vAlign w:val="center"/>
          </w:tcPr>
          <w:p w14:paraId="11E9D376"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r w:rsidRPr="00B4515A">
              <w:rPr>
                <w:rFonts w:ascii="Times New Roman" w:hAnsi="Times New Roman" w:cs="Times New Roman"/>
                <w:color w:val="333333"/>
                <w:sz w:val="21"/>
                <w:szCs w:val="21"/>
              </w:rPr>
              <w:t>DSP</w:t>
            </w:r>
            <w:r w:rsidRPr="00B4515A">
              <w:rPr>
                <w:rFonts w:ascii="Times New Roman" w:hAnsi="Times New Roman" w:cs="Times New Roman" w:hint="eastAsia"/>
                <w:color w:val="333333"/>
                <w:sz w:val="21"/>
                <w:szCs w:val="21"/>
              </w:rPr>
              <w:t>内存分析工具软件</w:t>
            </w:r>
            <w:r w:rsidRPr="00B4515A">
              <w:rPr>
                <w:rFonts w:ascii="Times New Roman" w:hAnsi="Times New Roman" w:cs="Times New Roman"/>
                <w:color w:val="333333"/>
                <w:sz w:val="21"/>
                <w:szCs w:val="21"/>
              </w:rPr>
              <w:t>V1.0</w:t>
            </w:r>
            <w:r w:rsidRPr="00B4515A">
              <w:rPr>
                <w:rFonts w:ascii="Times New Roman" w:hAnsi="Times New Roman" w:cs="Times New Roman" w:hint="eastAsia"/>
                <w:color w:val="333333"/>
                <w:sz w:val="21"/>
                <w:szCs w:val="21"/>
              </w:rPr>
              <w:t>.</w:t>
            </w:r>
            <w:r w:rsidRPr="00B4515A">
              <w:rPr>
                <w:rFonts w:ascii="Times New Roman" w:hAnsi="Times New Roman" w:cs="Times New Roman"/>
                <w:color w:val="333333"/>
                <w:sz w:val="21"/>
                <w:szCs w:val="21"/>
              </w:rPr>
              <w:t>0</w:t>
            </w:r>
          </w:p>
        </w:tc>
        <w:tc>
          <w:tcPr>
            <w:tcW w:w="442" w:type="pct"/>
            <w:tcMar>
              <w:top w:w="0" w:type="dxa"/>
              <w:left w:w="108" w:type="dxa"/>
              <w:bottom w:w="0" w:type="dxa"/>
              <w:right w:w="108" w:type="dxa"/>
            </w:tcMar>
            <w:vAlign w:val="center"/>
          </w:tcPr>
          <w:p w14:paraId="526216A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180CEFA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43517B8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2011SR055525</w:t>
            </w:r>
          </w:p>
        </w:tc>
        <w:tc>
          <w:tcPr>
            <w:tcW w:w="730" w:type="pct"/>
            <w:shd w:val="clear" w:color="auto" w:fill="auto"/>
            <w:tcMar>
              <w:top w:w="0" w:type="dxa"/>
              <w:left w:w="108" w:type="dxa"/>
              <w:bottom w:w="0" w:type="dxa"/>
              <w:right w:w="108" w:type="dxa"/>
            </w:tcMar>
            <w:vAlign w:val="center"/>
          </w:tcPr>
          <w:p w14:paraId="27FBEE6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2011.06.06</w:t>
            </w:r>
          </w:p>
        </w:tc>
      </w:tr>
      <w:tr w:rsidR="006416B0" w:rsidRPr="00B4515A" w14:paraId="6B314252" w14:textId="77777777" w:rsidTr="005860B4">
        <w:trPr>
          <w:trHeight w:val="340"/>
          <w:jc w:val="center"/>
        </w:trPr>
        <w:tc>
          <w:tcPr>
            <w:tcW w:w="339" w:type="pct"/>
            <w:shd w:val="clear" w:color="auto" w:fill="auto"/>
            <w:tcMar>
              <w:top w:w="0" w:type="dxa"/>
              <w:left w:w="108" w:type="dxa"/>
              <w:bottom w:w="0" w:type="dxa"/>
              <w:right w:w="108" w:type="dxa"/>
            </w:tcMar>
            <w:vAlign w:val="center"/>
          </w:tcPr>
          <w:p w14:paraId="29E5C0D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30</w:t>
            </w:r>
          </w:p>
        </w:tc>
        <w:tc>
          <w:tcPr>
            <w:tcW w:w="753" w:type="pct"/>
            <w:shd w:val="clear" w:color="auto" w:fill="auto"/>
            <w:tcMar>
              <w:top w:w="0" w:type="dxa"/>
              <w:left w:w="108" w:type="dxa"/>
              <w:bottom w:w="0" w:type="dxa"/>
              <w:right w:w="108" w:type="dxa"/>
            </w:tcMar>
            <w:vAlign w:val="center"/>
          </w:tcPr>
          <w:p w14:paraId="6E230D5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2011.06.14</w:t>
            </w:r>
          </w:p>
        </w:tc>
        <w:tc>
          <w:tcPr>
            <w:tcW w:w="1209" w:type="pct"/>
            <w:shd w:val="clear" w:color="auto" w:fill="auto"/>
            <w:tcMar>
              <w:top w:w="0" w:type="dxa"/>
              <w:left w:w="108" w:type="dxa"/>
              <w:bottom w:w="0" w:type="dxa"/>
              <w:right w:w="108" w:type="dxa"/>
            </w:tcMar>
            <w:vAlign w:val="center"/>
          </w:tcPr>
          <w:p w14:paraId="51C355F0"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r w:rsidRPr="00B4515A">
              <w:rPr>
                <w:rFonts w:ascii="Times New Roman" w:hAnsi="Times New Roman" w:cs="Times New Roman"/>
                <w:color w:val="333333"/>
                <w:sz w:val="21"/>
                <w:szCs w:val="21"/>
              </w:rPr>
              <w:t>LinkView</w:t>
            </w:r>
            <w:r w:rsidRPr="00B4515A">
              <w:rPr>
                <w:rFonts w:ascii="Times New Roman" w:hAnsi="Times New Roman" w:cs="Times New Roman" w:hint="eastAsia"/>
                <w:color w:val="333333"/>
                <w:sz w:val="21"/>
                <w:szCs w:val="21"/>
              </w:rPr>
              <w:t>专用综合业务应用平台软件</w:t>
            </w:r>
            <w:r w:rsidRPr="00B4515A">
              <w:rPr>
                <w:rFonts w:ascii="Times New Roman" w:hAnsi="Times New Roman" w:cs="Times New Roman"/>
                <w:color w:val="333333"/>
                <w:sz w:val="21"/>
                <w:szCs w:val="21"/>
              </w:rPr>
              <w:t>V1.0</w:t>
            </w:r>
          </w:p>
        </w:tc>
        <w:tc>
          <w:tcPr>
            <w:tcW w:w="442" w:type="pct"/>
            <w:tcMar>
              <w:top w:w="0" w:type="dxa"/>
              <w:left w:w="108" w:type="dxa"/>
              <w:bottom w:w="0" w:type="dxa"/>
              <w:right w:w="108" w:type="dxa"/>
            </w:tcMar>
            <w:vAlign w:val="center"/>
          </w:tcPr>
          <w:p w14:paraId="4DC4ACE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0D2B110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48385EC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2011SR037361</w:t>
            </w:r>
          </w:p>
        </w:tc>
        <w:tc>
          <w:tcPr>
            <w:tcW w:w="730" w:type="pct"/>
            <w:shd w:val="clear" w:color="auto" w:fill="auto"/>
            <w:tcMar>
              <w:top w:w="0" w:type="dxa"/>
              <w:left w:w="108" w:type="dxa"/>
              <w:bottom w:w="0" w:type="dxa"/>
              <w:right w:w="108" w:type="dxa"/>
            </w:tcMar>
            <w:vAlign w:val="center"/>
          </w:tcPr>
          <w:p w14:paraId="3599DFF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2011.02.28</w:t>
            </w:r>
          </w:p>
        </w:tc>
      </w:tr>
      <w:tr w:rsidR="006416B0" w:rsidRPr="00B4515A" w14:paraId="10365E10" w14:textId="77777777" w:rsidTr="005860B4">
        <w:trPr>
          <w:trHeight w:val="340"/>
          <w:jc w:val="center"/>
        </w:trPr>
        <w:tc>
          <w:tcPr>
            <w:tcW w:w="339" w:type="pct"/>
            <w:shd w:val="clear" w:color="auto" w:fill="auto"/>
            <w:tcMar>
              <w:top w:w="0" w:type="dxa"/>
              <w:left w:w="108" w:type="dxa"/>
              <w:bottom w:w="0" w:type="dxa"/>
              <w:right w:w="108" w:type="dxa"/>
            </w:tcMar>
            <w:vAlign w:val="center"/>
          </w:tcPr>
          <w:p w14:paraId="5BCA23D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31</w:t>
            </w:r>
          </w:p>
        </w:tc>
        <w:tc>
          <w:tcPr>
            <w:tcW w:w="753" w:type="pct"/>
            <w:shd w:val="clear" w:color="auto" w:fill="auto"/>
            <w:tcMar>
              <w:top w:w="0" w:type="dxa"/>
              <w:left w:w="108" w:type="dxa"/>
              <w:bottom w:w="0" w:type="dxa"/>
              <w:right w:w="108" w:type="dxa"/>
            </w:tcMar>
            <w:vAlign w:val="center"/>
          </w:tcPr>
          <w:p w14:paraId="74CE109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2010.09.30</w:t>
            </w:r>
          </w:p>
        </w:tc>
        <w:tc>
          <w:tcPr>
            <w:tcW w:w="1209" w:type="pct"/>
            <w:shd w:val="clear" w:color="auto" w:fill="auto"/>
            <w:tcMar>
              <w:top w:w="0" w:type="dxa"/>
              <w:left w:w="108" w:type="dxa"/>
              <w:bottom w:w="0" w:type="dxa"/>
              <w:right w:w="108" w:type="dxa"/>
            </w:tcMar>
            <w:vAlign w:val="center"/>
          </w:tcPr>
          <w:p w14:paraId="205EC1F4"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专用移动通信系统高性能主控制器底层支撑软件</w:t>
            </w:r>
            <w:r w:rsidRPr="00B4515A">
              <w:rPr>
                <w:rFonts w:ascii="Times New Roman" w:hAnsi="Times New Roman" w:cs="Times New Roman"/>
                <w:color w:val="333333"/>
                <w:sz w:val="21"/>
                <w:szCs w:val="21"/>
              </w:rPr>
              <w:t>V1.0</w:t>
            </w:r>
          </w:p>
        </w:tc>
        <w:tc>
          <w:tcPr>
            <w:tcW w:w="442" w:type="pct"/>
            <w:tcMar>
              <w:top w:w="0" w:type="dxa"/>
              <w:left w:w="108" w:type="dxa"/>
              <w:bottom w:w="0" w:type="dxa"/>
              <w:right w:w="108" w:type="dxa"/>
            </w:tcMar>
            <w:vAlign w:val="center"/>
          </w:tcPr>
          <w:p w14:paraId="6E436C8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2BA679E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2C9FD2F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2010SRBJ4741</w:t>
            </w:r>
          </w:p>
        </w:tc>
        <w:tc>
          <w:tcPr>
            <w:tcW w:w="730" w:type="pct"/>
            <w:shd w:val="clear" w:color="auto" w:fill="auto"/>
            <w:tcMar>
              <w:top w:w="0" w:type="dxa"/>
              <w:left w:w="108" w:type="dxa"/>
              <w:bottom w:w="0" w:type="dxa"/>
              <w:right w:w="108" w:type="dxa"/>
            </w:tcMar>
            <w:vAlign w:val="center"/>
          </w:tcPr>
          <w:p w14:paraId="0A6CEFC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2009.04.01</w:t>
            </w:r>
          </w:p>
        </w:tc>
      </w:tr>
      <w:tr w:rsidR="006416B0" w:rsidRPr="00B4515A" w14:paraId="1D0948C9" w14:textId="77777777" w:rsidTr="005860B4">
        <w:trPr>
          <w:trHeight w:val="340"/>
          <w:jc w:val="center"/>
        </w:trPr>
        <w:tc>
          <w:tcPr>
            <w:tcW w:w="339" w:type="pct"/>
            <w:shd w:val="clear" w:color="auto" w:fill="auto"/>
            <w:tcMar>
              <w:top w:w="0" w:type="dxa"/>
              <w:left w:w="108" w:type="dxa"/>
              <w:bottom w:w="0" w:type="dxa"/>
              <w:right w:w="108" w:type="dxa"/>
            </w:tcMar>
            <w:vAlign w:val="center"/>
          </w:tcPr>
          <w:p w14:paraId="10C33FF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32</w:t>
            </w:r>
          </w:p>
        </w:tc>
        <w:tc>
          <w:tcPr>
            <w:tcW w:w="753" w:type="pct"/>
            <w:shd w:val="clear" w:color="auto" w:fill="auto"/>
            <w:tcMar>
              <w:top w:w="0" w:type="dxa"/>
              <w:left w:w="108" w:type="dxa"/>
              <w:bottom w:w="0" w:type="dxa"/>
              <w:right w:w="108" w:type="dxa"/>
            </w:tcMar>
            <w:vAlign w:val="center"/>
          </w:tcPr>
          <w:p w14:paraId="2D79AA6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2010.09.30</w:t>
            </w:r>
          </w:p>
        </w:tc>
        <w:tc>
          <w:tcPr>
            <w:tcW w:w="1209" w:type="pct"/>
            <w:shd w:val="clear" w:color="auto" w:fill="auto"/>
            <w:tcMar>
              <w:top w:w="0" w:type="dxa"/>
              <w:left w:w="108" w:type="dxa"/>
              <w:bottom w:w="0" w:type="dxa"/>
              <w:right w:w="108" w:type="dxa"/>
            </w:tcMar>
            <w:vAlign w:val="center"/>
          </w:tcPr>
          <w:p w14:paraId="2F8A98FE" w14:textId="77777777" w:rsidR="006416B0" w:rsidRPr="00B4515A" w:rsidRDefault="005E58C1" w:rsidP="005860B4">
            <w:pPr>
              <w:adjustRightInd w:val="0"/>
              <w:snapToGrid w:val="0"/>
              <w:rPr>
                <w:rFonts w:ascii="Times New Roman" w:hAnsi="Times New Roman" w:cs="Times New Roman"/>
                <w:b/>
                <w:bCs/>
                <w:color w:val="333333"/>
                <w:sz w:val="21"/>
                <w:szCs w:val="21"/>
              </w:rPr>
            </w:pPr>
            <w:r w:rsidRPr="00B4515A">
              <w:rPr>
                <w:rFonts w:ascii="Times New Roman" w:hAnsi="Times New Roman" w:cs="Times New Roman" w:hint="eastAsia"/>
                <w:color w:val="333333"/>
                <w:sz w:val="21"/>
                <w:szCs w:val="21"/>
              </w:rPr>
              <w:t>专用移动通信系统硬件测试操控平台软件</w:t>
            </w:r>
            <w:r w:rsidRPr="00B4515A">
              <w:rPr>
                <w:rFonts w:ascii="Times New Roman" w:hAnsi="Times New Roman" w:cs="Times New Roman"/>
                <w:color w:val="333333"/>
                <w:sz w:val="21"/>
                <w:szCs w:val="21"/>
              </w:rPr>
              <w:t>V1.0</w:t>
            </w:r>
          </w:p>
        </w:tc>
        <w:tc>
          <w:tcPr>
            <w:tcW w:w="442" w:type="pct"/>
            <w:tcMar>
              <w:top w:w="0" w:type="dxa"/>
              <w:left w:w="108" w:type="dxa"/>
              <w:bottom w:w="0" w:type="dxa"/>
              <w:right w:w="108" w:type="dxa"/>
            </w:tcMar>
            <w:vAlign w:val="center"/>
          </w:tcPr>
          <w:p w14:paraId="731C19D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1819527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1E7C3EAC"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2010SRBJ4790</w:t>
            </w:r>
          </w:p>
        </w:tc>
        <w:tc>
          <w:tcPr>
            <w:tcW w:w="730" w:type="pct"/>
            <w:shd w:val="clear" w:color="auto" w:fill="auto"/>
            <w:tcMar>
              <w:top w:w="0" w:type="dxa"/>
              <w:left w:w="108" w:type="dxa"/>
              <w:bottom w:w="0" w:type="dxa"/>
              <w:right w:w="108" w:type="dxa"/>
            </w:tcMar>
            <w:vAlign w:val="center"/>
          </w:tcPr>
          <w:p w14:paraId="1F7D17D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2009.04.01</w:t>
            </w:r>
          </w:p>
        </w:tc>
      </w:tr>
      <w:tr w:rsidR="006416B0" w:rsidRPr="00B4515A" w14:paraId="24A9E58B" w14:textId="77777777" w:rsidTr="005860B4">
        <w:trPr>
          <w:trHeight w:val="340"/>
          <w:jc w:val="center"/>
        </w:trPr>
        <w:tc>
          <w:tcPr>
            <w:tcW w:w="339" w:type="pct"/>
            <w:shd w:val="clear" w:color="auto" w:fill="auto"/>
            <w:tcMar>
              <w:top w:w="0" w:type="dxa"/>
              <w:left w:w="108" w:type="dxa"/>
              <w:bottom w:w="0" w:type="dxa"/>
              <w:right w:w="108" w:type="dxa"/>
            </w:tcMar>
            <w:vAlign w:val="center"/>
          </w:tcPr>
          <w:p w14:paraId="083A162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33</w:t>
            </w:r>
          </w:p>
        </w:tc>
        <w:tc>
          <w:tcPr>
            <w:tcW w:w="753" w:type="pct"/>
            <w:shd w:val="clear" w:color="auto" w:fill="auto"/>
            <w:tcMar>
              <w:top w:w="0" w:type="dxa"/>
              <w:left w:w="108" w:type="dxa"/>
              <w:bottom w:w="0" w:type="dxa"/>
              <w:right w:w="108" w:type="dxa"/>
            </w:tcMar>
            <w:vAlign w:val="center"/>
          </w:tcPr>
          <w:p w14:paraId="37705C1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2010.09.30</w:t>
            </w:r>
          </w:p>
        </w:tc>
        <w:tc>
          <w:tcPr>
            <w:tcW w:w="1209" w:type="pct"/>
            <w:shd w:val="clear" w:color="auto" w:fill="auto"/>
            <w:tcMar>
              <w:top w:w="0" w:type="dxa"/>
              <w:left w:w="108" w:type="dxa"/>
              <w:bottom w:w="0" w:type="dxa"/>
              <w:right w:w="108" w:type="dxa"/>
            </w:tcMar>
            <w:vAlign w:val="center"/>
          </w:tcPr>
          <w:p w14:paraId="6C899F3E"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专用移动通信系统高性能</w:t>
            </w:r>
            <w:r w:rsidRPr="00B4515A">
              <w:rPr>
                <w:rFonts w:ascii="Times New Roman" w:hAnsi="Times New Roman" w:cs="Times New Roman"/>
                <w:color w:val="333333"/>
                <w:sz w:val="21"/>
                <w:szCs w:val="21"/>
              </w:rPr>
              <w:t>DSP</w:t>
            </w:r>
            <w:r w:rsidRPr="00B4515A">
              <w:rPr>
                <w:rFonts w:ascii="Times New Roman" w:hAnsi="Times New Roman" w:cs="Times New Roman" w:hint="eastAsia"/>
                <w:color w:val="333333"/>
                <w:sz w:val="21"/>
                <w:szCs w:val="21"/>
              </w:rPr>
              <w:t>嵌入式平台配置软件</w:t>
            </w:r>
            <w:r w:rsidRPr="00B4515A">
              <w:rPr>
                <w:rFonts w:ascii="Times New Roman" w:hAnsi="Times New Roman" w:cs="Times New Roman"/>
                <w:color w:val="333333"/>
                <w:sz w:val="21"/>
                <w:szCs w:val="21"/>
              </w:rPr>
              <w:t>V1.0</w:t>
            </w:r>
          </w:p>
        </w:tc>
        <w:tc>
          <w:tcPr>
            <w:tcW w:w="442" w:type="pct"/>
            <w:tcMar>
              <w:top w:w="0" w:type="dxa"/>
              <w:left w:w="108" w:type="dxa"/>
              <w:bottom w:w="0" w:type="dxa"/>
              <w:right w:w="108" w:type="dxa"/>
            </w:tcMar>
            <w:vAlign w:val="center"/>
          </w:tcPr>
          <w:p w14:paraId="76AEF2E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30A9589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6BB9710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2010SRBJ4791</w:t>
            </w:r>
          </w:p>
        </w:tc>
        <w:tc>
          <w:tcPr>
            <w:tcW w:w="730" w:type="pct"/>
            <w:shd w:val="clear" w:color="auto" w:fill="auto"/>
            <w:tcMar>
              <w:top w:w="0" w:type="dxa"/>
              <w:left w:w="108" w:type="dxa"/>
              <w:bottom w:w="0" w:type="dxa"/>
              <w:right w:w="108" w:type="dxa"/>
            </w:tcMar>
            <w:vAlign w:val="center"/>
          </w:tcPr>
          <w:p w14:paraId="4430F16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2009.03.02</w:t>
            </w:r>
          </w:p>
        </w:tc>
      </w:tr>
      <w:tr w:rsidR="006416B0" w:rsidRPr="00B4515A" w14:paraId="2E9B52B1" w14:textId="77777777" w:rsidTr="005860B4">
        <w:trPr>
          <w:trHeight w:val="340"/>
          <w:jc w:val="center"/>
        </w:trPr>
        <w:tc>
          <w:tcPr>
            <w:tcW w:w="339" w:type="pct"/>
            <w:shd w:val="clear" w:color="auto" w:fill="auto"/>
            <w:tcMar>
              <w:top w:w="0" w:type="dxa"/>
              <w:left w:w="108" w:type="dxa"/>
              <w:bottom w:w="0" w:type="dxa"/>
              <w:right w:w="108" w:type="dxa"/>
            </w:tcMar>
            <w:vAlign w:val="center"/>
          </w:tcPr>
          <w:p w14:paraId="24D7D94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34</w:t>
            </w:r>
          </w:p>
        </w:tc>
        <w:tc>
          <w:tcPr>
            <w:tcW w:w="753" w:type="pct"/>
            <w:shd w:val="clear" w:color="auto" w:fill="auto"/>
            <w:tcMar>
              <w:top w:w="0" w:type="dxa"/>
              <w:left w:w="108" w:type="dxa"/>
              <w:bottom w:w="0" w:type="dxa"/>
              <w:right w:w="108" w:type="dxa"/>
            </w:tcMar>
            <w:vAlign w:val="center"/>
          </w:tcPr>
          <w:p w14:paraId="07B6E26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2010.09.30</w:t>
            </w:r>
          </w:p>
        </w:tc>
        <w:tc>
          <w:tcPr>
            <w:tcW w:w="1209" w:type="pct"/>
            <w:shd w:val="clear" w:color="auto" w:fill="auto"/>
            <w:tcMar>
              <w:top w:w="0" w:type="dxa"/>
              <w:left w:w="108" w:type="dxa"/>
              <w:bottom w:w="0" w:type="dxa"/>
              <w:right w:w="108" w:type="dxa"/>
            </w:tcMar>
            <w:vAlign w:val="center"/>
          </w:tcPr>
          <w:p w14:paraId="0E17E442"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专用移动通信系统高性能</w:t>
            </w:r>
            <w:r w:rsidRPr="00B4515A">
              <w:rPr>
                <w:rFonts w:ascii="Times New Roman" w:hAnsi="Times New Roman" w:cs="Times New Roman"/>
                <w:color w:val="333333"/>
                <w:sz w:val="21"/>
                <w:szCs w:val="21"/>
              </w:rPr>
              <w:t>DSP</w:t>
            </w:r>
            <w:r w:rsidRPr="00B4515A">
              <w:rPr>
                <w:rFonts w:ascii="Times New Roman" w:hAnsi="Times New Roman" w:cs="Times New Roman" w:hint="eastAsia"/>
                <w:color w:val="333333"/>
                <w:sz w:val="21"/>
                <w:szCs w:val="21"/>
              </w:rPr>
              <w:t>底层支撑软件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w:t>
            </w:r>
          </w:p>
        </w:tc>
        <w:tc>
          <w:tcPr>
            <w:tcW w:w="442" w:type="pct"/>
            <w:tcMar>
              <w:top w:w="0" w:type="dxa"/>
              <w:left w:w="108" w:type="dxa"/>
              <w:bottom w:w="0" w:type="dxa"/>
              <w:right w:w="108" w:type="dxa"/>
            </w:tcMar>
            <w:vAlign w:val="center"/>
          </w:tcPr>
          <w:p w14:paraId="459C67D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1C49190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3B51B43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2010SRBJ4792</w:t>
            </w:r>
          </w:p>
        </w:tc>
        <w:tc>
          <w:tcPr>
            <w:tcW w:w="730" w:type="pct"/>
            <w:shd w:val="clear" w:color="auto" w:fill="auto"/>
            <w:tcMar>
              <w:top w:w="0" w:type="dxa"/>
              <w:left w:w="108" w:type="dxa"/>
              <w:bottom w:w="0" w:type="dxa"/>
              <w:right w:w="108" w:type="dxa"/>
            </w:tcMar>
            <w:vAlign w:val="center"/>
          </w:tcPr>
          <w:p w14:paraId="487AEB2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2009.05.30</w:t>
            </w:r>
          </w:p>
        </w:tc>
      </w:tr>
      <w:tr w:rsidR="006416B0" w:rsidRPr="00B4515A" w14:paraId="5A852032" w14:textId="77777777" w:rsidTr="005860B4">
        <w:trPr>
          <w:trHeight w:val="340"/>
          <w:jc w:val="center"/>
        </w:trPr>
        <w:tc>
          <w:tcPr>
            <w:tcW w:w="339" w:type="pct"/>
            <w:shd w:val="clear" w:color="auto" w:fill="auto"/>
            <w:tcMar>
              <w:top w:w="0" w:type="dxa"/>
              <w:left w:w="108" w:type="dxa"/>
              <w:bottom w:w="0" w:type="dxa"/>
              <w:right w:w="108" w:type="dxa"/>
            </w:tcMar>
            <w:vAlign w:val="center"/>
          </w:tcPr>
          <w:p w14:paraId="17C013E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35</w:t>
            </w:r>
          </w:p>
        </w:tc>
        <w:tc>
          <w:tcPr>
            <w:tcW w:w="753" w:type="pct"/>
            <w:shd w:val="clear" w:color="auto" w:fill="auto"/>
            <w:tcMar>
              <w:top w:w="0" w:type="dxa"/>
              <w:left w:w="108" w:type="dxa"/>
              <w:bottom w:w="0" w:type="dxa"/>
              <w:right w:w="108" w:type="dxa"/>
            </w:tcMar>
            <w:vAlign w:val="center"/>
          </w:tcPr>
          <w:p w14:paraId="3EC7BF2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2009.12.17</w:t>
            </w:r>
          </w:p>
        </w:tc>
        <w:tc>
          <w:tcPr>
            <w:tcW w:w="1209" w:type="pct"/>
            <w:shd w:val="clear" w:color="auto" w:fill="auto"/>
            <w:tcMar>
              <w:top w:w="0" w:type="dxa"/>
              <w:left w:w="108" w:type="dxa"/>
              <w:bottom w:w="0" w:type="dxa"/>
              <w:right w:w="108" w:type="dxa"/>
            </w:tcMar>
            <w:vAlign w:val="center"/>
          </w:tcPr>
          <w:p w14:paraId="0FFD5D9E"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color w:val="333333"/>
                <w:sz w:val="21"/>
                <w:szCs w:val="21"/>
              </w:rPr>
              <w:t>DT-LINK</w:t>
            </w:r>
            <w:r w:rsidRPr="00B4515A">
              <w:rPr>
                <w:rFonts w:ascii="Times New Roman" w:hAnsi="Times New Roman" w:cs="Times New Roman" w:hint="eastAsia"/>
                <w:color w:val="333333"/>
                <w:sz w:val="21"/>
                <w:szCs w:val="21"/>
              </w:rPr>
              <w:t>网元操作平台维护软件</w:t>
            </w:r>
            <w:r w:rsidRPr="00B4515A">
              <w:rPr>
                <w:rFonts w:ascii="Times New Roman" w:hAnsi="Times New Roman" w:cs="Times New Roman" w:hint="eastAsia"/>
                <w:color w:val="333333"/>
                <w:sz w:val="21"/>
                <w:szCs w:val="21"/>
              </w:rPr>
              <w:t>V</w:t>
            </w:r>
            <w:r w:rsidRPr="00B4515A">
              <w:rPr>
                <w:rFonts w:ascii="Times New Roman" w:hAnsi="Times New Roman" w:cs="Times New Roman"/>
                <w:color w:val="333333"/>
                <w:sz w:val="21"/>
                <w:szCs w:val="21"/>
              </w:rPr>
              <w:t>1.0.0</w:t>
            </w:r>
          </w:p>
        </w:tc>
        <w:tc>
          <w:tcPr>
            <w:tcW w:w="442" w:type="pct"/>
            <w:tcMar>
              <w:top w:w="0" w:type="dxa"/>
              <w:left w:w="108" w:type="dxa"/>
              <w:bottom w:w="0" w:type="dxa"/>
              <w:right w:w="108" w:type="dxa"/>
            </w:tcMar>
            <w:vAlign w:val="center"/>
          </w:tcPr>
          <w:p w14:paraId="05FD221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5B11557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4309C91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2009SRBJ7412</w:t>
            </w:r>
          </w:p>
        </w:tc>
        <w:tc>
          <w:tcPr>
            <w:tcW w:w="730" w:type="pct"/>
            <w:shd w:val="clear" w:color="auto" w:fill="auto"/>
            <w:tcMar>
              <w:top w:w="0" w:type="dxa"/>
              <w:left w:w="108" w:type="dxa"/>
              <w:bottom w:w="0" w:type="dxa"/>
              <w:right w:w="108" w:type="dxa"/>
            </w:tcMar>
            <w:vAlign w:val="center"/>
          </w:tcPr>
          <w:p w14:paraId="697577E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2009.09.01</w:t>
            </w:r>
          </w:p>
        </w:tc>
      </w:tr>
      <w:tr w:rsidR="006416B0" w:rsidRPr="00B4515A" w14:paraId="289CF3C0" w14:textId="77777777" w:rsidTr="005860B4">
        <w:trPr>
          <w:trHeight w:val="340"/>
          <w:jc w:val="center"/>
        </w:trPr>
        <w:tc>
          <w:tcPr>
            <w:tcW w:w="339" w:type="pct"/>
            <w:shd w:val="clear" w:color="auto" w:fill="auto"/>
            <w:tcMar>
              <w:top w:w="0" w:type="dxa"/>
              <w:left w:w="108" w:type="dxa"/>
              <w:bottom w:w="0" w:type="dxa"/>
              <w:right w:w="108" w:type="dxa"/>
            </w:tcMar>
            <w:vAlign w:val="center"/>
          </w:tcPr>
          <w:p w14:paraId="40310B1C"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36</w:t>
            </w:r>
          </w:p>
        </w:tc>
        <w:tc>
          <w:tcPr>
            <w:tcW w:w="753" w:type="pct"/>
            <w:shd w:val="clear" w:color="auto" w:fill="auto"/>
            <w:tcMar>
              <w:top w:w="0" w:type="dxa"/>
              <w:left w:w="108" w:type="dxa"/>
              <w:bottom w:w="0" w:type="dxa"/>
              <w:right w:w="108" w:type="dxa"/>
            </w:tcMar>
            <w:vAlign w:val="center"/>
          </w:tcPr>
          <w:p w14:paraId="34840F0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2009.07.23</w:t>
            </w:r>
          </w:p>
        </w:tc>
        <w:tc>
          <w:tcPr>
            <w:tcW w:w="1209" w:type="pct"/>
            <w:shd w:val="clear" w:color="auto" w:fill="auto"/>
            <w:tcMar>
              <w:top w:w="0" w:type="dxa"/>
              <w:left w:w="108" w:type="dxa"/>
              <w:bottom w:w="0" w:type="dxa"/>
              <w:right w:w="108" w:type="dxa"/>
            </w:tcMar>
            <w:vAlign w:val="center"/>
          </w:tcPr>
          <w:p w14:paraId="49427CC7"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专用移动通信系统操作维护软件</w:t>
            </w:r>
            <w:r w:rsidRPr="00B4515A">
              <w:rPr>
                <w:rFonts w:ascii="Times New Roman" w:hAnsi="Times New Roman" w:cs="Times New Roman"/>
                <w:color w:val="333333"/>
                <w:sz w:val="21"/>
                <w:szCs w:val="21"/>
              </w:rPr>
              <w:t>V1.0</w:t>
            </w:r>
          </w:p>
        </w:tc>
        <w:tc>
          <w:tcPr>
            <w:tcW w:w="442" w:type="pct"/>
            <w:tcMar>
              <w:top w:w="0" w:type="dxa"/>
              <w:left w:w="108" w:type="dxa"/>
              <w:bottom w:w="0" w:type="dxa"/>
              <w:right w:w="108" w:type="dxa"/>
            </w:tcMar>
            <w:vAlign w:val="center"/>
          </w:tcPr>
          <w:p w14:paraId="16B9BF5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6EEDB59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305CEF1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2009SRBJ4804</w:t>
            </w:r>
          </w:p>
        </w:tc>
        <w:tc>
          <w:tcPr>
            <w:tcW w:w="730" w:type="pct"/>
            <w:shd w:val="clear" w:color="auto" w:fill="auto"/>
            <w:tcMar>
              <w:top w:w="0" w:type="dxa"/>
              <w:left w:w="108" w:type="dxa"/>
              <w:bottom w:w="0" w:type="dxa"/>
              <w:right w:w="108" w:type="dxa"/>
            </w:tcMar>
            <w:vAlign w:val="center"/>
          </w:tcPr>
          <w:p w14:paraId="784C77C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2009.05.01</w:t>
            </w:r>
          </w:p>
        </w:tc>
      </w:tr>
      <w:tr w:rsidR="006416B0" w:rsidRPr="00B4515A" w14:paraId="17224BEB" w14:textId="77777777" w:rsidTr="005860B4">
        <w:trPr>
          <w:trHeight w:val="340"/>
          <w:jc w:val="center"/>
        </w:trPr>
        <w:tc>
          <w:tcPr>
            <w:tcW w:w="339" w:type="pct"/>
            <w:shd w:val="clear" w:color="auto" w:fill="auto"/>
            <w:tcMar>
              <w:top w:w="0" w:type="dxa"/>
              <w:left w:w="108" w:type="dxa"/>
              <w:bottom w:w="0" w:type="dxa"/>
              <w:right w:w="108" w:type="dxa"/>
            </w:tcMar>
            <w:vAlign w:val="center"/>
          </w:tcPr>
          <w:p w14:paraId="283FE56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37</w:t>
            </w:r>
          </w:p>
        </w:tc>
        <w:tc>
          <w:tcPr>
            <w:tcW w:w="753" w:type="pct"/>
            <w:shd w:val="clear" w:color="auto" w:fill="auto"/>
            <w:tcMar>
              <w:top w:w="0" w:type="dxa"/>
              <w:left w:w="108" w:type="dxa"/>
              <w:bottom w:w="0" w:type="dxa"/>
              <w:right w:w="108" w:type="dxa"/>
            </w:tcMar>
            <w:vAlign w:val="center"/>
          </w:tcPr>
          <w:p w14:paraId="36500299"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2009.07.23</w:t>
            </w:r>
          </w:p>
        </w:tc>
        <w:tc>
          <w:tcPr>
            <w:tcW w:w="1209" w:type="pct"/>
            <w:shd w:val="clear" w:color="auto" w:fill="auto"/>
            <w:tcMar>
              <w:top w:w="0" w:type="dxa"/>
              <w:left w:w="108" w:type="dxa"/>
              <w:bottom w:w="0" w:type="dxa"/>
              <w:right w:w="108" w:type="dxa"/>
            </w:tcMar>
            <w:vAlign w:val="center"/>
          </w:tcPr>
          <w:p w14:paraId="3680762F" w14:textId="77777777" w:rsidR="006416B0" w:rsidRPr="00B4515A" w:rsidRDefault="005E58C1" w:rsidP="005860B4">
            <w:pPr>
              <w:adjustRightInd w:val="0"/>
              <w:snapToGrid w:val="0"/>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高速数字电台管理软件</w:t>
            </w:r>
            <w:r w:rsidRPr="00B4515A">
              <w:rPr>
                <w:rFonts w:ascii="Times New Roman" w:hAnsi="Times New Roman" w:cs="Times New Roman"/>
                <w:color w:val="333333"/>
                <w:sz w:val="21"/>
                <w:szCs w:val="21"/>
              </w:rPr>
              <w:t>V1.0</w:t>
            </w:r>
          </w:p>
        </w:tc>
        <w:tc>
          <w:tcPr>
            <w:tcW w:w="442" w:type="pct"/>
            <w:tcMar>
              <w:top w:w="0" w:type="dxa"/>
              <w:left w:w="108" w:type="dxa"/>
              <w:bottom w:w="0" w:type="dxa"/>
              <w:right w:w="108" w:type="dxa"/>
            </w:tcMar>
            <w:vAlign w:val="center"/>
          </w:tcPr>
          <w:p w14:paraId="7942B14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480" w:type="pct"/>
            <w:tcMar>
              <w:top w:w="0" w:type="dxa"/>
              <w:left w:w="108" w:type="dxa"/>
              <w:bottom w:w="0" w:type="dxa"/>
              <w:right w:w="108" w:type="dxa"/>
            </w:tcMar>
            <w:vAlign w:val="center"/>
          </w:tcPr>
          <w:p w14:paraId="0E98DB1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全部权利</w:t>
            </w:r>
          </w:p>
        </w:tc>
        <w:tc>
          <w:tcPr>
            <w:tcW w:w="1047" w:type="pct"/>
            <w:shd w:val="clear" w:color="auto" w:fill="auto"/>
            <w:tcMar>
              <w:top w:w="0" w:type="dxa"/>
              <w:left w:w="108" w:type="dxa"/>
              <w:bottom w:w="0" w:type="dxa"/>
              <w:right w:w="108" w:type="dxa"/>
            </w:tcMar>
            <w:vAlign w:val="center"/>
          </w:tcPr>
          <w:p w14:paraId="1919245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2009SRBJ4807</w:t>
            </w:r>
          </w:p>
        </w:tc>
        <w:tc>
          <w:tcPr>
            <w:tcW w:w="730" w:type="pct"/>
            <w:shd w:val="clear" w:color="auto" w:fill="auto"/>
            <w:tcMar>
              <w:top w:w="0" w:type="dxa"/>
              <w:left w:w="108" w:type="dxa"/>
              <w:bottom w:w="0" w:type="dxa"/>
              <w:right w:w="108" w:type="dxa"/>
            </w:tcMar>
            <w:vAlign w:val="center"/>
          </w:tcPr>
          <w:p w14:paraId="74951A6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2009.05.01</w:t>
            </w:r>
          </w:p>
        </w:tc>
      </w:tr>
    </w:tbl>
    <w:p w14:paraId="19C724E7" w14:textId="1948883D" w:rsidR="006416B0" w:rsidRPr="00B4515A" w:rsidRDefault="005E58C1" w:rsidP="005860B4">
      <w:pPr>
        <w:pStyle w:val="006"/>
        <w:ind w:firstLine="420"/>
        <w:rPr>
          <w:b/>
        </w:rPr>
      </w:pPr>
      <w:r w:rsidRPr="00B4515A">
        <w:rPr>
          <w:rFonts w:hint="eastAsia"/>
        </w:rPr>
        <w:t>注：</w:t>
      </w:r>
      <w:r w:rsidRPr="00B4515A">
        <w:t>根据相关规定，</w:t>
      </w:r>
      <w:r w:rsidR="000D2DDF" w:rsidRPr="00B4515A">
        <w:rPr>
          <w:rFonts w:hint="eastAsia"/>
        </w:rPr>
        <w:t>大唐联诚</w:t>
      </w:r>
      <w:r w:rsidRPr="00B4515A">
        <w:rPr>
          <w:rFonts w:hint="eastAsia"/>
        </w:rPr>
        <w:t>以代称方式</w:t>
      </w:r>
      <w:r w:rsidRPr="00B4515A">
        <w:t>披露</w:t>
      </w:r>
      <w:r w:rsidRPr="00B4515A">
        <w:rPr>
          <w:rFonts w:hint="eastAsia"/>
        </w:rPr>
        <w:t>部分软件著作权名称</w:t>
      </w:r>
      <w:r w:rsidRPr="00B4515A">
        <w:t>。</w:t>
      </w:r>
      <w:bookmarkEnd w:id="173"/>
    </w:p>
    <w:p w14:paraId="07DF840B" w14:textId="77777777" w:rsidR="006416B0" w:rsidRPr="00B4515A" w:rsidRDefault="005E58C1" w:rsidP="005860B4">
      <w:pPr>
        <w:pStyle w:val="004"/>
        <w:spacing w:before="120" w:after="120"/>
        <w:ind w:firstLine="482"/>
      </w:pPr>
      <w:bookmarkStart w:id="174" w:name="_Hlk76926082"/>
      <w:r w:rsidRPr="00B4515A">
        <w:t>7</w:t>
      </w:r>
      <w:r w:rsidRPr="00B4515A">
        <w:rPr>
          <w:rFonts w:hint="eastAsia"/>
        </w:rPr>
        <w:t>、域名</w:t>
      </w:r>
    </w:p>
    <w:p w14:paraId="24D95079" w14:textId="77777777" w:rsidR="006416B0" w:rsidRPr="00B4515A" w:rsidRDefault="005E58C1" w:rsidP="005860B4">
      <w:pPr>
        <w:pStyle w:val="005"/>
        <w:spacing w:before="120" w:after="120"/>
        <w:ind w:firstLine="480"/>
        <w:rPr>
          <w:bCs/>
          <w:color w:val="000000" w:themeColor="text1"/>
        </w:rPr>
      </w:pPr>
      <w:r w:rsidRPr="00B4515A">
        <w:t>截至</w:t>
      </w:r>
      <w:r w:rsidRPr="00B4515A">
        <w:rPr>
          <w:rFonts w:hint="eastAsia"/>
        </w:rPr>
        <w:t>本报告书签署日</w:t>
      </w:r>
      <w:r w:rsidRPr="00B4515A">
        <w:t>，大唐</w:t>
      </w:r>
      <w:r w:rsidRPr="00B4515A">
        <w:rPr>
          <w:rFonts w:hint="eastAsia"/>
        </w:rPr>
        <w:t>联诚拥有域名具体</w:t>
      </w:r>
      <w:r w:rsidRPr="00B4515A">
        <w:rPr>
          <w:rFonts w:hint="eastAsia"/>
          <w:bCs/>
          <w:color w:val="000000" w:themeColor="text1"/>
        </w:rPr>
        <w:t>情况如下：</w:t>
      </w:r>
    </w:p>
    <w:p w14:paraId="3FF0E775" w14:textId="77777777" w:rsidR="006416B0" w:rsidRPr="00B4515A" w:rsidRDefault="005E58C1" w:rsidP="005860B4">
      <w:pPr>
        <w:pStyle w:val="005"/>
        <w:spacing w:before="120" w:after="120"/>
        <w:ind w:firstLine="480"/>
      </w:pPr>
      <w:r w:rsidRPr="00B4515A">
        <w:rPr>
          <w:rFonts w:hint="eastAsia"/>
        </w:rPr>
        <w:t>（</w:t>
      </w:r>
      <w:r w:rsidRPr="00B4515A">
        <w:t>1</w:t>
      </w:r>
      <w:r w:rsidRPr="00B4515A">
        <w:rPr>
          <w:rFonts w:hint="eastAsia"/>
        </w:rPr>
        <w:t>）在工业和信息化部备案的域名</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61"/>
        <w:gridCol w:w="1494"/>
        <w:gridCol w:w="1233"/>
        <w:gridCol w:w="1660"/>
        <w:gridCol w:w="1552"/>
        <w:gridCol w:w="1828"/>
      </w:tblGrid>
      <w:tr w:rsidR="006416B0" w:rsidRPr="00B4515A" w14:paraId="35345138" w14:textId="77777777" w:rsidTr="002B0582">
        <w:trPr>
          <w:trHeight w:val="340"/>
          <w:tblHeader/>
          <w:jc w:val="center"/>
        </w:trPr>
        <w:tc>
          <w:tcPr>
            <w:tcW w:w="446" w:type="pct"/>
            <w:tcMar>
              <w:top w:w="0" w:type="dxa"/>
              <w:left w:w="108" w:type="dxa"/>
              <w:bottom w:w="0" w:type="dxa"/>
              <w:right w:w="108" w:type="dxa"/>
            </w:tcMar>
            <w:vAlign w:val="center"/>
          </w:tcPr>
          <w:p w14:paraId="17EC4182"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序号</w:t>
            </w:r>
          </w:p>
        </w:tc>
        <w:tc>
          <w:tcPr>
            <w:tcW w:w="876" w:type="pct"/>
            <w:tcMar>
              <w:top w:w="0" w:type="dxa"/>
              <w:left w:w="108" w:type="dxa"/>
              <w:bottom w:w="0" w:type="dxa"/>
              <w:right w:w="108" w:type="dxa"/>
            </w:tcMar>
            <w:vAlign w:val="center"/>
          </w:tcPr>
          <w:p w14:paraId="5D99CF13"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审核日期</w:t>
            </w:r>
          </w:p>
        </w:tc>
        <w:tc>
          <w:tcPr>
            <w:tcW w:w="723" w:type="pct"/>
            <w:tcMar>
              <w:top w:w="0" w:type="dxa"/>
              <w:left w:w="108" w:type="dxa"/>
              <w:bottom w:w="0" w:type="dxa"/>
              <w:right w:w="108" w:type="dxa"/>
            </w:tcMar>
            <w:vAlign w:val="center"/>
          </w:tcPr>
          <w:p w14:paraId="70A9E43D"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网站名称</w:t>
            </w:r>
          </w:p>
        </w:tc>
        <w:tc>
          <w:tcPr>
            <w:tcW w:w="973" w:type="pct"/>
            <w:tcMar>
              <w:top w:w="0" w:type="dxa"/>
              <w:left w:w="108" w:type="dxa"/>
              <w:bottom w:w="0" w:type="dxa"/>
              <w:right w:w="108" w:type="dxa"/>
            </w:tcMar>
            <w:vAlign w:val="center"/>
          </w:tcPr>
          <w:p w14:paraId="40A5FE48"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网站首页</w:t>
            </w:r>
          </w:p>
        </w:tc>
        <w:tc>
          <w:tcPr>
            <w:tcW w:w="910" w:type="pct"/>
            <w:tcMar>
              <w:top w:w="0" w:type="dxa"/>
              <w:left w:w="108" w:type="dxa"/>
              <w:bottom w:w="0" w:type="dxa"/>
              <w:right w:w="108" w:type="dxa"/>
            </w:tcMar>
            <w:vAlign w:val="center"/>
          </w:tcPr>
          <w:p w14:paraId="3B18EF64"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域名</w:t>
            </w:r>
          </w:p>
        </w:tc>
        <w:tc>
          <w:tcPr>
            <w:tcW w:w="1072" w:type="pct"/>
            <w:tcMar>
              <w:top w:w="0" w:type="dxa"/>
              <w:left w:w="108" w:type="dxa"/>
              <w:bottom w:w="0" w:type="dxa"/>
              <w:right w:w="108" w:type="dxa"/>
            </w:tcMar>
            <w:vAlign w:val="center"/>
          </w:tcPr>
          <w:p w14:paraId="46A4A3FF"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网站备案号</w:t>
            </w:r>
          </w:p>
        </w:tc>
      </w:tr>
      <w:tr w:rsidR="006416B0" w:rsidRPr="00B4515A" w14:paraId="3E3E806B" w14:textId="77777777" w:rsidTr="00031627">
        <w:trPr>
          <w:trHeight w:val="340"/>
          <w:jc w:val="center"/>
        </w:trPr>
        <w:tc>
          <w:tcPr>
            <w:tcW w:w="446" w:type="pct"/>
            <w:tcMar>
              <w:top w:w="0" w:type="dxa"/>
              <w:left w:w="108" w:type="dxa"/>
              <w:bottom w:w="0" w:type="dxa"/>
              <w:right w:w="108" w:type="dxa"/>
            </w:tcMar>
            <w:vAlign w:val="center"/>
          </w:tcPr>
          <w:p w14:paraId="331C942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876" w:type="pct"/>
            <w:tcMar>
              <w:top w:w="0" w:type="dxa"/>
              <w:left w:w="108" w:type="dxa"/>
              <w:bottom w:w="0" w:type="dxa"/>
              <w:right w:w="108" w:type="dxa"/>
            </w:tcMar>
            <w:vAlign w:val="center"/>
          </w:tcPr>
          <w:p w14:paraId="6A6D837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2019.10.09</w:t>
            </w:r>
          </w:p>
        </w:tc>
        <w:tc>
          <w:tcPr>
            <w:tcW w:w="723" w:type="pct"/>
            <w:tcMar>
              <w:top w:w="0" w:type="dxa"/>
              <w:left w:w="108" w:type="dxa"/>
              <w:bottom w:w="0" w:type="dxa"/>
              <w:right w:w="108" w:type="dxa"/>
            </w:tcMar>
            <w:vAlign w:val="center"/>
          </w:tcPr>
          <w:p w14:paraId="0658AB5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大唐联诚</w:t>
            </w:r>
          </w:p>
        </w:tc>
        <w:tc>
          <w:tcPr>
            <w:tcW w:w="973" w:type="pct"/>
            <w:tcMar>
              <w:top w:w="0" w:type="dxa"/>
              <w:left w:w="108" w:type="dxa"/>
              <w:bottom w:w="0" w:type="dxa"/>
              <w:right w:w="108" w:type="dxa"/>
            </w:tcMar>
            <w:vAlign w:val="center"/>
          </w:tcPr>
          <w:p w14:paraId="12B21D4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www.dtlinktech.com</w:t>
            </w:r>
          </w:p>
        </w:tc>
        <w:tc>
          <w:tcPr>
            <w:tcW w:w="910" w:type="pct"/>
            <w:tcMar>
              <w:top w:w="0" w:type="dxa"/>
              <w:left w:w="108" w:type="dxa"/>
              <w:bottom w:w="0" w:type="dxa"/>
              <w:right w:w="108" w:type="dxa"/>
            </w:tcMar>
            <w:vAlign w:val="center"/>
          </w:tcPr>
          <w:p w14:paraId="5619B2C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dtlinktech.com.cn</w:t>
            </w:r>
          </w:p>
        </w:tc>
        <w:tc>
          <w:tcPr>
            <w:tcW w:w="1072" w:type="pct"/>
            <w:tcMar>
              <w:top w:w="0" w:type="dxa"/>
              <w:left w:w="108" w:type="dxa"/>
              <w:bottom w:w="0" w:type="dxa"/>
              <w:right w:w="108" w:type="dxa"/>
            </w:tcMar>
            <w:vAlign w:val="center"/>
          </w:tcPr>
          <w:p w14:paraId="32ECB73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京</w:t>
            </w:r>
            <w:r w:rsidRPr="00B4515A">
              <w:rPr>
                <w:rFonts w:ascii="Times New Roman" w:hAnsi="Times New Roman" w:cs="Times New Roman"/>
                <w:sz w:val="21"/>
                <w:szCs w:val="21"/>
              </w:rPr>
              <w:t>ICP</w:t>
            </w:r>
            <w:r w:rsidRPr="00B4515A">
              <w:rPr>
                <w:rFonts w:ascii="Times New Roman" w:hAnsi="Times New Roman" w:cs="Times New Roman"/>
                <w:sz w:val="21"/>
                <w:szCs w:val="21"/>
              </w:rPr>
              <w:t>备</w:t>
            </w:r>
            <w:r w:rsidRPr="00B4515A">
              <w:rPr>
                <w:rFonts w:ascii="Times New Roman" w:hAnsi="Times New Roman" w:cs="Times New Roman"/>
                <w:sz w:val="21"/>
                <w:szCs w:val="21"/>
              </w:rPr>
              <w:t>10029542</w:t>
            </w:r>
            <w:r w:rsidRPr="00B4515A">
              <w:rPr>
                <w:rFonts w:ascii="Times New Roman" w:hAnsi="Times New Roman" w:cs="Times New Roman"/>
                <w:sz w:val="21"/>
                <w:szCs w:val="21"/>
              </w:rPr>
              <w:t>号</w:t>
            </w:r>
            <w:r w:rsidRPr="00B4515A">
              <w:rPr>
                <w:rFonts w:ascii="Times New Roman" w:hAnsi="Times New Roman" w:cs="Times New Roman"/>
                <w:sz w:val="21"/>
                <w:szCs w:val="21"/>
              </w:rPr>
              <w:t>-1</w:t>
            </w:r>
          </w:p>
        </w:tc>
      </w:tr>
      <w:tr w:rsidR="006416B0" w:rsidRPr="00B4515A" w14:paraId="4376F9CB" w14:textId="77777777" w:rsidTr="00031627">
        <w:trPr>
          <w:trHeight w:val="340"/>
          <w:jc w:val="center"/>
        </w:trPr>
        <w:tc>
          <w:tcPr>
            <w:tcW w:w="446" w:type="pct"/>
            <w:tcMar>
              <w:top w:w="0" w:type="dxa"/>
              <w:left w:w="108" w:type="dxa"/>
              <w:bottom w:w="0" w:type="dxa"/>
              <w:right w:w="108" w:type="dxa"/>
            </w:tcMar>
            <w:vAlign w:val="center"/>
          </w:tcPr>
          <w:p w14:paraId="7ED159D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lastRenderedPageBreak/>
              <w:t>2</w:t>
            </w:r>
          </w:p>
        </w:tc>
        <w:tc>
          <w:tcPr>
            <w:tcW w:w="876" w:type="pct"/>
            <w:tcMar>
              <w:top w:w="0" w:type="dxa"/>
              <w:left w:w="108" w:type="dxa"/>
              <w:bottom w:w="0" w:type="dxa"/>
              <w:right w:w="108" w:type="dxa"/>
            </w:tcMar>
            <w:vAlign w:val="center"/>
          </w:tcPr>
          <w:p w14:paraId="4071810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2019.10.09</w:t>
            </w:r>
          </w:p>
        </w:tc>
        <w:tc>
          <w:tcPr>
            <w:tcW w:w="723" w:type="pct"/>
            <w:tcMar>
              <w:top w:w="0" w:type="dxa"/>
              <w:left w:w="108" w:type="dxa"/>
              <w:bottom w:w="0" w:type="dxa"/>
              <w:right w:w="108" w:type="dxa"/>
            </w:tcMar>
            <w:vAlign w:val="center"/>
          </w:tcPr>
          <w:p w14:paraId="5D709CA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大唐联诚</w:t>
            </w:r>
          </w:p>
        </w:tc>
        <w:tc>
          <w:tcPr>
            <w:tcW w:w="973" w:type="pct"/>
            <w:tcMar>
              <w:top w:w="0" w:type="dxa"/>
              <w:left w:w="108" w:type="dxa"/>
              <w:bottom w:w="0" w:type="dxa"/>
              <w:right w:w="108" w:type="dxa"/>
            </w:tcMar>
            <w:vAlign w:val="center"/>
          </w:tcPr>
          <w:p w14:paraId="4437613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www.dtlinktech.com</w:t>
            </w:r>
          </w:p>
        </w:tc>
        <w:tc>
          <w:tcPr>
            <w:tcW w:w="910" w:type="pct"/>
            <w:tcMar>
              <w:top w:w="0" w:type="dxa"/>
              <w:left w:w="108" w:type="dxa"/>
              <w:bottom w:w="0" w:type="dxa"/>
              <w:right w:w="108" w:type="dxa"/>
            </w:tcMar>
            <w:vAlign w:val="center"/>
          </w:tcPr>
          <w:p w14:paraId="1B99D9B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dtlinktech.cn</w:t>
            </w:r>
          </w:p>
        </w:tc>
        <w:tc>
          <w:tcPr>
            <w:tcW w:w="1072" w:type="pct"/>
            <w:tcMar>
              <w:top w:w="0" w:type="dxa"/>
              <w:left w:w="108" w:type="dxa"/>
              <w:bottom w:w="0" w:type="dxa"/>
              <w:right w:w="108" w:type="dxa"/>
            </w:tcMar>
            <w:vAlign w:val="center"/>
          </w:tcPr>
          <w:p w14:paraId="7843288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京</w:t>
            </w:r>
            <w:r w:rsidRPr="00B4515A">
              <w:rPr>
                <w:rFonts w:ascii="Times New Roman" w:hAnsi="Times New Roman" w:cs="Times New Roman"/>
                <w:sz w:val="21"/>
                <w:szCs w:val="21"/>
              </w:rPr>
              <w:t>ICP</w:t>
            </w:r>
            <w:r w:rsidRPr="00B4515A">
              <w:rPr>
                <w:rFonts w:ascii="Times New Roman" w:hAnsi="Times New Roman" w:cs="Times New Roman"/>
                <w:sz w:val="21"/>
                <w:szCs w:val="21"/>
              </w:rPr>
              <w:t>备</w:t>
            </w:r>
            <w:r w:rsidRPr="00B4515A">
              <w:rPr>
                <w:rFonts w:ascii="Times New Roman" w:hAnsi="Times New Roman" w:cs="Times New Roman"/>
                <w:sz w:val="21"/>
                <w:szCs w:val="21"/>
              </w:rPr>
              <w:t>10029542</w:t>
            </w:r>
            <w:r w:rsidRPr="00B4515A">
              <w:rPr>
                <w:rFonts w:ascii="Times New Roman" w:hAnsi="Times New Roman" w:cs="Times New Roman"/>
                <w:sz w:val="21"/>
                <w:szCs w:val="21"/>
              </w:rPr>
              <w:t>号</w:t>
            </w:r>
            <w:r w:rsidRPr="00B4515A">
              <w:rPr>
                <w:rFonts w:ascii="Times New Roman" w:hAnsi="Times New Roman" w:cs="Times New Roman"/>
                <w:sz w:val="21"/>
                <w:szCs w:val="21"/>
              </w:rPr>
              <w:t>-1</w:t>
            </w:r>
          </w:p>
        </w:tc>
      </w:tr>
      <w:tr w:rsidR="006416B0" w:rsidRPr="00B4515A" w14:paraId="326372F4" w14:textId="77777777" w:rsidTr="00031627">
        <w:trPr>
          <w:trHeight w:val="340"/>
          <w:jc w:val="center"/>
        </w:trPr>
        <w:tc>
          <w:tcPr>
            <w:tcW w:w="446" w:type="pct"/>
            <w:tcMar>
              <w:top w:w="0" w:type="dxa"/>
              <w:left w:w="108" w:type="dxa"/>
              <w:bottom w:w="0" w:type="dxa"/>
              <w:right w:w="108" w:type="dxa"/>
            </w:tcMar>
            <w:vAlign w:val="center"/>
          </w:tcPr>
          <w:p w14:paraId="4659BB7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876" w:type="pct"/>
            <w:tcMar>
              <w:top w:w="0" w:type="dxa"/>
              <w:left w:w="108" w:type="dxa"/>
              <w:bottom w:w="0" w:type="dxa"/>
              <w:right w:w="108" w:type="dxa"/>
            </w:tcMar>
            <w:vAlign w:val="center"/>
          </w:tcPr>
          <w:p w14:paraId="7B7A5C9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2019.10.09</w:t>
            </w:r>
          </w:p>
        </w:tc>
        <w:tc>
          <w:tcPr>
            <w:tcW w:w="723" w:type="pct"/>
            <w:tcMar>
              <w:top w:w="0" w:type="dxa"/>
              <w:left w:w="108" w:type="dxa"/>
              <w:bottom w:w="0" w:type="dxa"/>
              <w:right w:w="108" w:type="dxa"/>
            </w:tcMar>
            <w:vAlign w:val="center"/>
          </w:tcPr>
          <w:p w14:paraId="203FC15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大唐联诚</w:t>
            </w:r>
          </w:p>
        </w:tc>
        <w:tc>
          <w:tcPr>
            <w:tcW w:w="973" w:type="pct"/>
            <w:tcMar>
              <w:top w:w="0" w:type="dxa"/>
              <w:left w:w="108" w:type="dxa"/>
              <w:bottom w:w="0" w:type="dxa"/>
              <w:right w:w="108" w:type="dxa"/>
            </w:tcMar>
            <w:vAlign w:val="center"/>
          </w:tcPr>
          <w:p w14:paraId="48E8D30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www.dtlinktech.com</w:t>
            </w:r>
          </w:p>
        </w:tc>
        <w:tc>
          <w:tcPr>
            <w:tcW w:w="910" w:type="pct"/>
            <w:tcMar>
              <w:top w:w="0" w:type="dxa"/>
              <w:left w:w="108" w:type="dxa"/>
              <w:bottom w:w="0" w:type="dxa"/>
              <w:right w:w="108" w:type="dxa"/>
            </w:tcMar>
            <w:vAlign w:val="center"/>
          </w:tcPr>
          <w:p w14:paraId="26F4F57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dtlinktech.com</w:t>
            </w:r>
          </w:p>
        </w:tc>
        <w:tc>
          <w:tcPr>
            <w:tcW w:w="1072" w:type="pct"/>
            <w:tcMar>
              <w:top w:w="0" w:type="dxa"/>
              <w:left w:w="108" w:type="dxa"/>
              <w:bottom w:w="0" w:type="dxa"/>
              <w:right w:w="108" w:type="dxa"/>
            </w:tcMar>
            <w:vAlign w:val="center"/>
          </w:tcPr>
          <w:p w14:paraId="1E7966A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京</w:t>
            </w:r>
            <w:r w:rsidRPr="00B4515A">
              <w:rPr>
                <w:rFonts w:ascii="Times New Roman" w:hAnsi="Times New Roman" w:cs="Times New Roman"/>
                <w:sz w:val="21"/>
                <w:szCs w:val="21"/>
              </w:rPr>
              <w:t>ICP</w:t>
            </w:r>
            <w:r w:rsidRPr="00B4515A">
              <w:rPr>
                <w:rFonts w:ascii="Times New Roman" w:hAnsi="Times New Roman" w:cs="Times New Roman" w:hint="eastAsia"/>
                <w:sz w:val="21"/>
                <w:szCs w:val="21"/>
              </w:rPr>
              <w:t>备</w:t>
            </w:r>
            <w:r w:rsidRPr="00B4515A">
              <w:rPr>
                <w:rFonts w:ascii="Times New Roman" w:hAnsi="Times New Roman" w:cs="Times New Roman"/>
                <w:sz w:val="21"/>
                <w:szCs w:val="21"/>
              </w:rPr>
              <w:t>10029542</w:t>
            </w:r>
            <w:r w:rsidRPr="00B4515A">
              <w:rPr>
                <w:rFonts w:ascii="Times New Roman" w:hAnsi="Times New Roman" w:cs="Times New Roman" w:hint="eastAsia"/>
                <w:sz w:val="21"/>
                <w:szCs w:val="21"/>
              </w:rPr>
              <w:t>号</w:t>
            </w:r>
            <w:r w:rsidRPr="00B4515A">
              <w:rPr>
                <w:rFonts w:ascii="Times New Roman" w:hAnsi="Times New Roman" w:cs="Times New Roman"/>
                <w:sz w:val="21"/>
                <w:szCs w:val="21"/>
              </w:rPr>
              <w:t>-1</w:t>
            </w:r>
          </w:p>
        </w:tc>
      </w:tr>
    </w:tbl>
    <w:p w14:paraId="2C3DB829" w14:textId="77777777" w:rsidR="006416B0" w:rsidRPr="00B4515A" w:rsidRDefault="005E58C1" w:rsidP="005860B4">
      <w:pPr>
        <w:pStyle w:val="005"/>
        <w:spacing w:before="120" w:after="120"/>
        <w:ind w:firstLine="480"/>
      </w:pPr>
      <w:r w:rsidRPr="00B4515A">
        <w:rPr>
          <w:rFonts w:hint="eastAsia"/>
        </w:rPr>
        <w:t>（</w:t>
      </w:r>
      <w:r w:rsidRPr="00B4515A">
        <w:t>2</w:t>
      </w:r>
      <w:r w:rsidRPr="00B4515A">
        <w:rPr>
          <w:rFonts w:hint="eastAsia"/>
        </w:rPr>
        <w:t>）已注册的域名</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17"/>
        <w:gridCol w:w="1750"/>
        <w:gridCol w:w="1482"/>
        <w:gridCol w:w="2935"/>
        <w:gridCol w:w="1644"/>
      </w:tblGrid>
      <w:tr w:rsidR="006416B0" w:rsidRPr="00B4515A" w14:paraId="65C3FDDF" w14:textId="77777777" w:rsidTr="00031627">
        <w:trPr>
          <w:trHeight w:val="340"/>
          <w:jc w:val="center"/>
        </w:trPr>
        <w:tc>
          <w:tcPr>
            <w:tcW w:w="420" w:type="pct"/>
            <w:tcMar>
              <w:top w:w="0" w:type="dxa"/>
              <w:left w:w="108" w:type="dxa"/>
              <w:bottom w:w="0" w:type="dxa"/>
              <w:right w:w="108" w:type="dxa"/>
            </w:tcMar>
            <w:vAlign w:val="center"/>
          </w:tcPr>
          <w:p w14:paraId="56CEB53D" w14:textId="77777777" w:rsidR="006416B0" w:rsidRPr="00B4515A" w:rsidRDefault="005E58C1" w:rsidP="005860B4">
            <w:pPr>
              <w:adjustRightInd w:val="0"/>
              <w:snapToGrid w:val="0"/>
              <w:jc w:val="center"/>
              <w:rPr>
                <w:rFonts w:ascii="Times New Roman" w:eastAsiaTheme="minorEastAsia" w:hAnsi="Times New Roman" w:cs="Times New Roman"/>
                <w:b/>
                <w:bCs/>
                <w:sz w:val="21"/>
                <w:szCs w:val="21"/>
              </w:rPr>
            </w:pPr>
            <w:r w:rsidRPr="00B4515A">
              <w:rPr>
                <w:rFonts w:ascii="Times New Roman" w:eastAsiaTheme="minorEastAsia" w:hAnsi="Times New Roman" w:cs="Times New Roman" w:hint="eastAsia"/>
                <w:b/>
                <w:bCs/>
                <w:sz w:val="21"/>
                <w:szCs w:val="21"/>
              </w:rPr>
              <w:t>序号</w:t>
            </w:r>
          </w:p>
        </w:tc>
        <w:tc>
          <w:tcPr>
            <w:tcW w:w="1026" w:type="pct"/>
            <w:tcMar>
              <w:top w:w="0" w:type="dxa"/>
              <w:left w:w="108" w:type="dxa"/>
              <w:bottom w:w="0" w:type="dxa"/>
              <w:right w:w="108" w:type="dxa"/>
            </w:tcMar>
            <w:vAlign w:val="center"/>
          </w:tcPr>
          <w:p w14:paraId="530BD5C7" w14:textId="77777777" w:rsidR="006416B0" w:rsidRPr="00B4515A" w:rsidRDefault="005E58C1" w:rsidP="005860B4">
            <w:pPr>
              <w:adjustRightInd w:val="0"/>
              <w:snapToGrid w:val="0"/>
              <w:jc w:val="center"/>
              <w:rPr>
                <w:rFonts w:ascii="Times New Roman" w:eastAsiaTheme="minorEastAsia" w:hAnsi="Times New Roman" w:cs="Times New Roman"/>
                <w:b/>
                <w:bCs/>
                <w:sz w:val="21"/>
                <w:szCs w:val="21"/>
              </w:rPr>
            </w:pPr>
            <w:r w:rsidRPr="00B4515A">
              <w:rPr>
                <w:rFonts w:ascii="Times New Roman" w:eastAsiaTheme="minorEastAsia" w:hAnsi="Times New Roman" w:cs="Times New Roman" w:hint="eastAsia"/>
                <w:b/>
                <w:bCs/>
                <w:sz w:val="21"/>
                <w:szCs w:val="21"/>
              </w:rPr>
              <w:t>域名</w:t>
            </w:r>
          </w:p>
        </w:tc>
        <w:tc>
          <w:tcPr>
            <w:tcW w:w="869" w:type="pct"/>
            <w:tcMar>
              <w:top w:w="0" w:type="dxa"/>
              <w:left w:w="108" w:type="dxa"/>
              <w:bottom w:w="0" w:type="dxa"/>
              <w:right w:w="108" w:type="dxa"/>
            </w:tcMar>
            <w:vAlign w:val="center"/>
          </w:tcPr>
          <w:p w14:paraId="08150D5C" w14:textId="77777777" w:rsidR="006416B0" w:rsidRPr="00B4515A" w:rsidRDefault="005E58C1" w:rsidP="005860B4">
            <w:pPr>
              <w:adjustRightInd w:val="0"/>
              <w:snapToGrid w:val="0"/>
              <w:jc w:val="center"/>
              <w:rPr>
                <w:rFonts w:ascii="Times New Roman" w:eastAsiaTheme="minorEastAsia" w:hAnsi="Times New Roman" w:cs="Times New Roman"/>
                <w:b/>
                <w:bCs/>
                <w:sz w:val="21"/>
                <w:szCs w:val="21"/>
              </w:rPr>
            </w:pPr>
            <w:r w:rsidRPr="00B4515A">
              <w:rPr>
                <w:rFonts w:ascii="Times New Roman" w:eastAsiaTheme="minorEastAsia" w:hAnsi="Times New Roman" w:cs="Times New Roman" w:hint="eastAsia"/>
                <w:b/>
                <w:bCs/>
                <w:sz w:val="21"/>
                <w:szCs w:val="21"/>
              </w:rPr>
              <w:t>注册所有人</w:t>
            </w:r>
          </w:p>
        </w:tc>
        <w:tc>
          <w:tcPr>
            <w:tcW w:w="1721" w:type="pct"/>
            <w:tcMar>
              <w:top w:w="0" w:type="dxa"/>
              <w:left w:w="108" w:type="dxa"/>
              <w:bottom w:w="0" w:type="dxa"/>
              <w:right w:w="108" w:type="dxa"/>
            </w:tcMar>
            <w:vAlign w:val="center"/>
          </w:tcPr>
          <w:p w14:paraId="2AAE42A3" w14:textId="77777777" w:rsidR="006416B0" w:rsidRPr="00B4515A" w:rsidRDefault="005E58C1" w:rsidP="005860B4">
            <w:pPr>
              <w:adjustRightInd w:val="0"/>
              <w:snapToGrid w:val="0"/>
              <w:jc w:val="center"/>
              <w:rPr>
                <w:rFonts w:ascii="Times New Roman" w:eastAsiaTheme="minorEastAsia" w:hAnsi="Times New Roman" w:cs="Times New Roman"/>
                <w:b/>
                <w:bCs/>
                <w:sz w:val="21"/>
                <w:szCs w:val="21"/>
              </w:rPr>
            </w:pPr>
            <w:r w:rsidRPr="00B4515A">
              <w:rPr>
                <w:rFonts w:ascii="Times New Roman" w:eastAsiaTheme="minorEastAsia" w:hAnsi="Times New Roman" w:cs="Times New Roman" w:hint="eastAsia"/>
                <w:b/>
                <w:bCs/>
                <w:sz w:val="21"/>
                <w:szCs w:val="21"/>
              </w:rPr>
              <w:t>注册机构</w:t>
            </w:r>
          </w:p>
        </w:tc>
        <w:tc>
          <w:tcPr>
            <w:tcW w:w="964" w:type="pct"/>
            <w:tcMar>
              <w:top w:w="0" w:type="dxa"/>
              <w:left w:w="108" w:type="dxa"/>
              <w:bottom w:w="0" w:type="dxa"/>
              <w:right w:w="108" w:type="dxa"/>
            </w:tcMar>
            <w:vAlign w:val="center"/>
          </w:tcPr>
          <w:p w14:paraId="7A3F343D" w14:textId="77777777" w:rsidR="006416B0" w:rsidRPr="00B4515A" w:rsidRDefault="005E58C1" w:rsidP="005860B4">
            <w:pPr>
              <w:adjustRightInd w:val="0"/>
              <w:snapToGrid w:val="0"/>
              <w:jc w:val="center"/>
              <w:rPr>
                <w:rFonts w:ascii="Times New Roman" w:eastAsiaTheme="minorEastAsia" w:hAnsi="Times New Roman" w:cs="Times New Roman"/>
                <w:b/>
                <w:bCs/>
                <w:sz w:val="21"/>
                <w:szCs w:val="21"/>
              </w:rPr>
            </w:pPr>
            <w:r w:rsidRPr="00B4515A">
              <w:rPr>
                <w:rFonts w:ascii="Times New Roman" w:eastAsiaTheme="minorEastAsia" w:hAnsi="Times New Roman" w:cs="Times New Roman" w:hint="eastAsia"/>
                <w:b/>
                <w:bCs/>
                <w:sz w:val="21"/>
                <w:szCs w:val="21"/>
              </w:rPr>
              <w:t>有效期</w:t>
            </w:r>
          </w:p>
        </w:tc>
      </w:tr>
      <w:tr w:rsidR="006416B0" w:rsidRPr="00B4515A" w14:paraId="339BBEF5" w14:textId="77777777" w:rsidTr="00031627">
        <w:trPr>
          <w:trHeight w:val="340"/>
          <w:jc w:val="center"/>
        </w:trPr>
        <w:tc>
          <w:tcPr>
            <w:tcW w:w="420" w:type="pct"/>
            <w:tcMar>
              <w:top w:w="0" w:type="dxa"/>
              <w:left w:w="108" w:type="dxa"/>
              <w:bottom w:w="0" w:type="dxa"/>
              <w:right w:w="108" w:type="dxa"/>
            </w:tcMar>
            <w:vAlign w:val="center"/>
          </w:tcPr>
          <w:p w14:paraId="2AEF3BA4"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1</w:t>
            </w:r>
          </w:p>
        </w:tc>
        <w:tc>
          <w:tcPr>
            <w:tcW w:w="1026" w:type="pct"/>
            <w:tcMar>
              <w:top w:w="0" w:type="dxa"/>
              <w:left w:w="108" w:type="dxa"/>
              <w:bottom w:w="0" w:type="dxa"/>
              <w:right w:w="108" w:type="dxa"/>
            </w:tcMar>
            <w:vAlign w:val="center"/>
          </w:tcPr>
          <w:p w14:paraId="36CFBE12"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bookmarkStart w:id="175" w:name="_Hlk62659006"/>
            <w:r w:rsidRPr="00B4515A">
              <w:rPr>
                <w:rFonts w:ascii="Times New Roman" w:eastAsiaTheme="minorEastAsia" w:hAnsi="Times New Roman" w:cs="Times New Roman" w:hint="eastAsia"/>
                <w:sz w:val="21"/>
                <w:szCs w:val="21"/>
              </w:rPr>
              <w:t>大唐联诚</w:t>
            </w:r>
            <w:r w:rsidRPr="00B4515A">
              <w:rPr>
                <w:rFonts w:ascii="Times New Roman" w:eastAsiaTheme="minorEastAsia" w:hAnsi="Times New Roman" w:cs="Times New Roman"/>
                <w:sz w:val="21"/>
                <w:szCs w:val="21"/>
              </w:rPr>
              <w:t>.cn</w:t>
            </w:r>
            <w:bookmarkEnd w:id="175"/>
          </w:p>
        </w:tc>
        <w:tc>
          <w:tcPr>
            <w:tcW w:w="869" w:type="pct"/>
            <w:tcMar>
              <w:top w:w="0" w:type="dxa"/>
              <w:left w:w="108" w:type="dxa"/>
              <w:bottom w:w="0" w:type="dxa"/>
              <w:right w:w="108" w:type="dxa"/>
            </w:tcMar>
            <w:vAlign w:val="center"/>
          </w:tcPr>
          <w:p w14:paraId="5ABB9AEB"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p>
        </w:tc>
        <w:tc>
          <w:tcPr>
            <w:tcW w:w="1721" w:type="pct"/>
            <w:tcMar>
              <w:top w:w="0" w:type="dxa"/>
              <w:left w:w="108" w:type="dxa"/>
              <w:bottom w:w="0" w:type="dxa"/>
              <w:right w:w="108" w:type="dxa"/>
            </w:tcMar>
            <w:vAlign w:val="center"/>
          </w:tcPr>
          <w:p w14:paraId="6A33162A"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中国互联网络信息中心（</w:t>
            </w:r>
            <w:r w:rsidRPr="00B4515A">
              <w:rPr>
                <w:rFonts w:ascii="Times New Roman" w:eastAsiaTheme="minorEastAsia" w:hAnsi="Times New Roman" w:cs="Times New Roman"/>
                <w:sz w:val="21"/>
                <w:szCs w:val="21"/>
              </w:rPr>
              <w:t>CNNIC</w:t>
            </w:r>
            <w:r w:rsidRPr="00B4515A">
              <w:rPr>
                <w:rFonts w:ascii="Times New Roman" w:eastAsiaTheme="minorEastAsia" w:hAnsi="Times New Roman" w:cs="Times New Roman" w:hint="eastAsia"/>
                <w:sz w:val="21"/>
                <w:szCs w:val="21"/>
              </w:rPr>
              <w:t>）</w:t>
            </w:r>
          </w:p>
        </w:tc>
        <w:tc>
          <w:tcPr>
            <w:tcW w:w="964" w:type="pct"/>
            <w:tcMar>
              <w:top w:w="0" w:type="dxa"/>
              <w:left w:w="108" w:type="dxa"/>
              <w:bottom w:w="0" w:type="dxa"/>
              <w:right w:w="108" w:type="dxa"/>
            </w:tcMar>
            <w:vAlign w:val="center"/>
          </w:tcPr>
          <w:p w14:paraId="44E63F92"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2019.01.02-</w:t>
            </w:r>
          </w:p>
          <w:p w14:paraId="5021969C"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2024.01.02</w:t>
            </w:r>
          </w:p>
        </w:tc>
      </w:tr>
      <w:tr w:rsidR="006416B0" w:rsidRPr="00B4515A" w14:paraId="1E0BABE9" w14:textId="77777777" w:rsidTr="00031627">
        <w:trPr>
          <w:trHeight w:val="340"/>
          <w:jc w:val="center"/>
        </w:trPr>
        <w:tc>
          <w:tcPr>
            <w:tcW w:w="420" w:type="pct"/>
            <w:tcMar>
              <w:top w:w="0" w:type="dxa"/>
              <w:left w:w="108" w:type="dxa"/>
              <w:bottom w:w="0" w:type="dxa"/>
              <w:right w:w="108" w:type="dxa"/>
            </w:tcMar>
            <w:vAlign w:val="center"/>
          </w:tcPr>
          <w:p w14:paraId="78F98023"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w:t>
            </w:r>
          </w:p>
        </w:tc>
        <w:tc>
          <w:tcPr>
            <w:tcW w:w="1026" w:type="pct"/>
            <w:tcMar>
              <w:top w:w="0" w:type="dxa"/>
              <w:left w:w="108" w:type="dxa"/>
              <w:bottom w:w="0" w:type="dxa"/>
              <w:right w:w="108" w:type="dxa"/>
            </w:tcMar>
            <w:vAlign w:val="center"/>
          </w:tcPr>
          <w:p w14:paraId="16B5B554"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r w:rsidRPr="00B4515A">
              <w:rPr>
                <w:rFonts w:ascii="Times New Roman" w:eastAsiaTheme="minorEastAsia" w:hAnsi="Times New Roman" w:cs="Times New Roman"/>
                <w:sz w:val="21"/>
                <w:szCs w:val="21"/>
              </w:rPr>
              <w:t>.com</w:t>
            </w:r>
          </w:p>
        </w:tc>
        <w:tc>
          <w:tcPr>
            <w:tcW w:w="869" w:type="pct"/>
            <w:tcMar>
              <w:top w:w="0" w:type="dxa"/>
              <w:left w:w="108" w:type="dxa"/>
              <w:bottom w:w="0" w:type="dxa"/>
              <w:right w:w="108" w:type="dxa"/>
            </w:tcMar>
            <w:vAlign w:val="center"/>
          </w:tcPr>
          <w:p w14:paraId="53FA1FAC"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p>
        </w:tc>
        <w:tc>
          <w:tcPr>
            <w:tcW w:w="1721" w:type="pct"/>
            <w:tcMar>
              <w:top w:w="0" w:type="dxa"/>
              <w:left w:w="108" w:type="dxa"/>
              <w:bottom w:w="0" w:type="dxa"/>
              <w:right w:w="108" w:type="dxa"/>
            </w:tcMar>
            <w:vAlign w:val="center"/>
          </w:tcPr>
          <w:p w14:paraId="3D9DE040"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厦门纳网科技股份有限公司</w:t>
            </w:r>
          </w:p>
        </w:tc>
        <w:tc>
          <w:tcPr>
            <w:tcW w:w="964" w:type="pct"/>
            <w:tcMar>
              <w:top w:w="0" w:type="dxa"/>
              <w:left w:w="108" w:type="dxa"/>
              <w:bottom w:w="0" w:type="dxa"/>
              <w:right w:w="108" w:type="dxa"/>
            </w:tcMar>
            <w:vAlign w:val="center"/>
          </w:tcPr>
          <w:p w14:paraId="6CB0DE20"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2019.01.02-</w:t>
            </w:r>
          </w:p>
          <w:p w14:paraId="58465A86"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2024.01.02</w:t>
            </w:r>
          </w:p>
        </w:tc>
      </w:tr>
      <w:tr w:rsidR="006416B0" w:rsidRPr="00B4515A" w14:paraId="09F54BC8" w14:textId="77777777" w:rsidTr="00031627">
        <w:trPr>
          <w:trHeight w:val="340"/>
          <w:jc w:val="center"/>
        </w:trPr>
        <w:tc>
          <w:tcPr>
            <w:tcW w:w="420" w:type="pct"/>
            <w:tcMar>
              <w:top w:w="0" w:type="dxa"/>
              <w:left w:w="108" w:type="dxa"/>
              <w:bottom w:w="0" w:type="dxa"/>
              <w:right w:w="108" w:type="dxa"/>
            </w:tcMar>
            <w:vAlign w:val="center"/>
          </w:tcPr>
          <w:p w14:paraId="40CECC55"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3</w:t>
            </w:r>
          </w:p>
        </w:tc>
        <w:tc>
          <w:tcPr>
            <w:tcW w:w="1026" w:type="pct"/>
            <w:tcMar>
              <w:top w:w="0" w:type="dxa"/>
              <w:left w:w="108" w:type="dxa"/>
              <w:bottom w:w="0" w:type="dxa"/>
              <w:right w:w="108" w:type="dxa"/>
            </w:tcMar>
            <w:vAlign w:val="center"/>
          </w:tcPr>
          <w:p w14:paraId="5881A5AE"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r w:rsidRPr="00B4515A">
              <w:rPr>
                <w:rFonts w:ascii="Times New Roman" w:eastAsiaTheme="minorEastAsia" w:hAnsi="Times New Roman" w:cs="Times New Roman"/>
                <w:sz w:val="21"/>
                <w:szCs w:val="21"/>
              </w:rPr>
              <w:t>.net</w:t>
            </w:r>
          </w:p>
        </w:tc>
        <w:tc>
          <w:tcPr>
            <w:tcW w:w="869" w:type="pct"/>
            <w:tcMar>
              <w:top w:w="0" w:type="dxa"/>
              <w:left w:w="108" w:type="dxa"/>
              <w:bottom w:w="0" w:type="dxa"/>
              <w:right w:w="108" w:type="dxa"/>
            </w:tcMar>
            <w:vAlign w:val="center"/>
          </w:tcPr>
          <w:p w14:paraId="00BDE506"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p>
        </w:tc>
        <w:tc>
          <w:tcPr>
            <w:tcW w:w="1721" w:type="pct"/>
            <w:tcMar>
              <w:top w:w="0" w:type="dxa"/>
              <w:left w:w="108" w:type="dxa"/>
              <w:bottom w:w="0" w:type="dxa"/>
              <w:right w:w="108" w:type="dxa"/>
            </w:tcMar>
            <w:vAlign w:val="center"/>
          </w:tcPr>
          <w:p w14:paraId="1007BE5F"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厦门纳网科技股份有限公司</w:t>
            </w:r>
          </w:p>
        </w:tc>
        <w:tc>
          <w:tcPr>
            <w:tcW w:w="964" w:type="pct"/>
            <w:tcMar>
              <w:top w:w="0" w:type="dxa"/>
              <w:left w:w="108" w:type="dxa"/>
              <w:bottom w:w="0" w:type="dxa"/>
              <w:right w:w="108" w:type="dxa"/>
            </w:tcMar>
            <w:vAlign w:val="center"/>
          </w:tcPr>
          <w:p w14:paraId="141EF5EB"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2019.01.02-</w:t>
            </w:r>
          </w:p>
          <w:p w14:paraId="02CCE838"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2024.01.02</w:t>
            </w:r>
          </w:p>
        </w:tc>
      </w:tr>
      <w:tr w:rsidR="006416B0" w:rsidRPr="00B4515A" w14:paraId="4A2B3589" w14:textId="77777777" w:rsidTr="00031627">
        <w:trPr>
          <w:trHeight w:val="340"/>
          <w:jc w:val="center"/>
        </w:trPr>
        <w:tc>
          <w:tcPr>
            <w:tcW w:w="420" w:type="pct"/>
            <w:tcMar>
              <w:top w:w="0" w:type="dxa"/>
              <w:left w:w="108" w:type="dxa"/>
              <w:bottom w:w="0" w:type="dxa"/>
              <w:right w:w="108" w:type="dxa"/>
            </w:tcMar>
            <w:vAlign w:val="center"/>
          </w:tcPr>
          <w:p w14:paraId="2268DF8F"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4</w:t>
            </w:r>
          </w:p>
        </w:tc>
        <w:tc>
          <w:tcPr>
            <w:tcW w:w="1026" w:type="pct"/>
            <w:tcMar>
              <w:top w:w="0" w:type="dxa"/>
              <w:left w:w="108" w:type="dxa"/>
              <w:bottom w:w="0" w:type="dxa"/>
              <w:right w:w="108" w:type="dxa"/>
            </w:tcMar>
            <w:vAlign w:val="center"/>
          </w:tcPr>
          <w:p w14:paraId="2C554400"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r w:rsidRPr="00B4515A">
              <w:rPr>
                <w:rFonts w:ascii="Times New Roman" w:eastAsiaTheme="minorEastAsia" w:hAnsi="Times New Roman" w:cs="Times New Roman"/>
                <w:sz w:val="21"/>
                <w:szCs w:val="21"/>
              </w:rPr>
              <w:t>.</w:t>
            </w:r>
            <w:r w:rsidRPr="00B4515A">
              <w:rPr>
                <w:rFonts w:ascii="Times New Roman" w:eastAsiaTheme="minorEastAsia" w:hAnsi="Times New Roman" w:cs="Times New Roman" w:hint="eastAsia"/>
                <w:sz w:val="21"/>
                <w:szCs w:val="21"/>
              </w:rPr>
              <w:t>公司</w:t>
            </w:r>
          </w:p>
        </w:tc>
        <w:tc>
          <w:tcPr>
            <w:tcW w:w="869" w:type="pct"/>
            <w:tcMar>
              <w:top w:w="0" w:type="dxa"/>
              <w:left w:w="108" w:type="dxa"/>
              <w:bottom w:w="0" w:type="dxa"/>
              <w:right w:w="108" w:type="dxa"/>
            </w:tcMar>
            <w:vAlign w:val="center"/>
          </w:tcPr>
          <w:p w14:paraId="5E1E78C8"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p>
        </w:tc>
        <w:tc>
          <w:tcPr>
            <w:tcW w:w="1721" w:type="pct"/>
            <w:tcMar>
              <w:top w:w="0" w:type="dxa"/>
              <w:left w:w="108" w:type="dxa"/>
              <w:bottom w:w="0" w:type="dxa"/>
              <w:right w:w="108" w:type="dxa"/>
            </w:tcMar>
            <w:vAlign w:val="center"/>
          </w:tcPr>
          <w:p w14:paraId="520C871E"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厦门纳网科技股份有限公司</w:t>
            </w:r>
          </w:p>
        </w:tc>
        <w:tc>
          <w:tcPr>
            <w:tcW w:w="964" w:type="pct"/>
            <w:tcMar>
              <w:top w:w="0" w:type="dxa"/>
              <w:left w:w="108" w:type="dxa"/>
              <w:bottom w:w="0" w:type="dxa"/>
              <w:right w:w="108" w:type="dxa"/>
            </w:tcMar>
            <w:vAlign w:val="center"/>
          </w:tcPr>
          <w:p w14:paraId="45A86A68"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2019.01.02-</w:t>
            </w:r>
          </w:p>
          <w:p w14:paraId="6906EFD2"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2024.01.02</w:t>
            </w:r>
          </w:p>
        </w:tc>
      </w:tr>
      <w:tr w:rsidR="006416B0" w:rsidRPr="00B4515A" w14:paraId="2C65410F" w14:textId="77777777" w:rsidTr="00031627">
        <w:trPr>
          <w:trHeight w:val="340"/>
          <w:jc w:val="center"/>
        </w:trPr>
        <w:tc>
          <w:tcPr>
            <w:tcW w:w="420" w:type="pct"/>
            <w:tcMar>
              <w:top w:w="0" w:type="dxa"/>
              <w:left w:w="108" w:type="dxa"/>
              <w:bottom w:w="0" w:type="dxa"/>
              <w:right w:w="108" w:type="dxa"/>
            </w:tcMar>
            <w:vAlign w:val="center"/>
          </w:tcPr>
          <w:p w14:paraId="76B1B856"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5</w:t>
            </w:r>
          </w:p>
        </w:tc>
        <w:tc>
          <w:tcPr>
            <w:tcW w:w="1026" w:type="pct"/>
            <w:tcMar>
              <w:top w:w="0" w:type="dxa"/>
              <w:left w:w="108" w:type="dxa"/>
              <w:bottom w:w="0" w:type="dxa"/>
              <w:right w:w="108" w:type="dxa"/>
            </w:tcMar>
            <w:vAlign w:val="center"/>
          </w:tcPr>
          <w:p w14:paraId="1AF9A6D8"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r w:rsidRPr="00B4515A">
              <w:rPr>
                <w:rFonts w:ascii="Times New Roman" w:eastAsiaTheme="minorEastAsia" w:hAnsi="Times New Roman" w:cs="Times New Roman"/>
                <w:sz w:val="21"/>
                <w:szCs w:val="21"/>
              </w:rPr>
              <w:t>.</w:t>
            </w:r>
            <w:r w:rsidRPr="00B4515A">
              <w:rPr>
                <w:rFonts w:ascii="Times New Roman" w:eastAsiaTheme="minorEastAsia" w:hAnsi="Times New Roman" w:cs="Times New Roman" w:hint="eastAsia"/>
                <w:sz w:val="21"/>
                <w:szCs w:val="21"/>
              </w:rPr>
              <w:t>手机</w:t>
            </w:r>
          </w:p>
        </w:tc>
        <w:tc>
          <w:tcPr>
            <w:tcW w:w="869" w:type="pct"/>
            <w:tcMar>
              <w:top w:w="0" w:type="dxa"/>
              <w:left w:w="108" w:type="dxa"/>
              <w:bottom w:w="0" w:type="dxa"/>
              <w:right w:w="108" w:type="dxa"/>
            </w:tcMar>
            <w:vAlign w:val="center"/>
          </w:tcPr>
          <w:p w14:paraId="768259A6"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p>
        </w:tc>
        <w:tc>
          <w:tcPr>
            <w:tcW w:w="1721" w:type="pct"/>
            <w:tcMar>
              <w:top w:w="0" w:type="dxa"/>
              <w:left w:w="108" w:type="dxa"/>
              <w:bottom w:w="0" w:type="dxa"/>
              <w:right w:w="108" w:type="dxa"/>
            </w:tcMar>
            <w:vAlign w:val="center"/>
          </w:tcPr>
          <w:p w14:paraId="01B62374"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Beijing RITT-Net Technology Development Co.,Ltd</w:t>
            </w:r>
          </w:p>
        </w:tc>
        <w:tc>
          <w:tcPr>
            <w:tcW w:w="964" w:type="pct"/>
            <w:tcMar>
              <w:top w:w="0" w:type="dxa"/>
              <w:left w:w="108" w:type="dxa"/>
              <w:bottom w:w="0" w:type="dxa"/>
              <w:right w:w="108" w:type="dxa"/>
            </w:tcMar>
            <w:vAlign w:val="center"/>
          </w:tcPr>
          <w:p w14:paraId="437ACD37"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2019.01.02-</w:t>
            </w:r>
          </w:p>
          <w:p w14:paraId="591F9A09"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2024.01.02</w:t>
            </w:r>
          </w:p>
        </w:tc>
      </w:tr>
      <w:tr w:rsidR="006416B0" w:rsidRPr="00B4515A" w14:paraId="1C86D106" w14:textId="77777777" w:rsidTr="00031627">
        <w:trPr>
          <w:trHeight w:val="340"/>
          <w:jc w:val="center"/>
        </w:trPr>
        <w:tc>
          <w:tcPr>
            <w:tcW w:w="420" w:type="pct"/>
            <w:tcMar>
              <w:top w:w="0" w:type="dxa"/>
              <w:left w:w="108" w:type="dxa"/>
              <w:bottom w:w="0" w:type="dxa"/>
              <w:right w:w="108" w:type="dxa"/>
            </w:tcMar>
            <w:vAlign w:val="center"/>
          </w:tcPr>
          <w:p w14:paraId="437DA49B"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6</w:t>
            </w:r>
          </w:p>
        </w:tc>
        <w:tc>
          <w:tcPr>
            <w:tcW w:w="1026" w:type="pct"/>
            <w:tcMar>
              <w:top w:w="0" w:type="dxa"/>
              <w:left w:w="108" w:type="dxa"/>
              <w:bottom w:w="0" w:type="dxa"/>
              <w:right w:w="108" w:type="dxa"/>
            </w:tcMar>
            <w:vAlign w:val="center"/>
          </w:tcPr>
          <w:p w14:paraId="4620A513"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r w:rsidRPr="00B4515A">
              <w:rPr>
                <w:rFonts w:ascii="Times New Roman" w:eastAsiaTheme="minorEastAsia" w:hAnsi="Times New Roman" w:cs="Times New Roman"/>
                <w:sz w:val="21"/>
                <w:szCs w:val="21"/>
              </w:rPr>
              <w:t>.</w:t>
            </w:r>
            <w:r w:rsidRPr="00B4515A">
              <w:rPr>
                <w:rFonts w:ascii="Times New Roman" w:eastAsiaTheme="minorEastAsia" w:hAnsi="Times New Roman" w:cs="Times New Roman" w:hint="eastAsia"/>
                <w:sz w:val="21"/>
                <w:szCs w:val="21"/>
              </w:rPr>
              <w:t>网络</w:t>
            </w:r>
          </w:p>
        </w:tc>
        <w:tc>
          <w:tcPr>
            <w:tcW w:w="869" w:type="pct"/>
            <w:tcMar>
              <w:top w:w="0" w:type="dxa"/>
              <w:left w:w="108" w:type="dxa"/>
              <w:bottom w:w="0" w:type="dxa"/>
              <w:right w:w="108" w:type="dxa"/>
            </w:tcMar>
            <w:vAlign w:val="center"/>
          </w:tcPr>
          <w:p w14:paraId="6D69B0C7"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p>
        </w:tc>
        <w:tc>
          <w:tcPr>
            <w:tcW w:w="1721" w:type="pct"/>
            <w:tcMar>
              <w:top w:w="0" w:type="dxa"/>
              <w:left w:w="108" w:type="dxa"/>
              <w:bottom w:w="0" w:type="dxa"/>
              <w:right w:w="108" w:type="dxa"/>
            </w:tcMar>
            <w:vAlign w:val="center"/>
          </w:tcPr>
          <w:p w14:paraId="0AAFAB32"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厦门纳网科技股份有限公司</w:t>
            </w:r>
          </w:p>
        </w:tc>
        <w:tc>
          <w:tcPr>
            <w:tcW w:w="964" w:type="pct"/>
            <w:tcMar>
              <w:top w:w="0" w:type="dxa"/>
              <w:left w:w="108" w:type="dxa"/>
              <w:bottom w:w="0" w:type="dxa"/>
              <w:right w:w="108" w:type="dxa"/>
            </w:tcMar>
            <w:vAlign w:val="center"/>
          </w:tcPr>
          <w:p w14:paraId="10475C08"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2019.01.02-</w:t>
            </w:r>
          </w:p>
          <w:p w14:paraId="1CA26198"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2024.01.02</w:t>
            </w:r>
          </w:p>
        </w:tc>
      </w:tr>
      <w:tr w:rsidR="006416B0" w:rsidRPr="00B4515A" w14:paraId="40005463" w14:textId="77777777" w:rsidTr="00031627">
        <w:trPr>
          <w:trHeight w:val="340"/>
          <w:jc w:val="center"/>
        </w:trPr>
        <w:tc>
          <w:tcPr>
            <w:tcW w:w="420" w:type="pct"/>
            <w:tcMar>
              <w:top w:w="0" w:type="dxa"/>
              <w:left w:w="108" w:type="dxa"/>
              <w:bottom w:w="0" w:type="dxa"/>
              <w:right w:w="108" w:type="dxa"/>
            </w:tcMar>
            <w:vAlign w:val="center"/>
          </w:tcPr>
          <w:p w14:paraId="7B0D8D9F"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7</w:t>
            </w:r>
          </w:p>
        </w:tc>
        <w:tc>
          <w:tcPr>
            <w:tcW w:w="1026" w:type="pct"/>
            <w:tcMar>
              <w:top w:w="0" w:type="dxa"/>
              <w:left w:w="108" w:type="dxa"/>
              <w:bottom w:w="0" w:type="dxa"/>
              <w:right w:w="108" w:type="dxa"/>
            </w:tcMar>
            <w:vAlign w:val="center"/>
          </w:tcPr>
          <w:p w14:paraId="51FF00AD"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r w:rsidRPr="00B4515A">
              <w:rPr>
                <w:rFonts w:ascii="Times New Roman" w:eastAsiaTheme="minorEastAsia" w:hAnsi="Times New Roman" w:cs="Times New Roman"/>
                <w:sz w:val="21"/>
                <w:szCs w:val="21"/>
              </w:rPr>
              <w:t>.</w:t>
            </w:r>
            <w:r w:rsidRPr="00B4515A">
              <w:rPr>
                <w:rFonts w:ascii="Times New Roman" w:eastAsiaTheme="minorEastAsia" w:hAnsi="Times New Roman" w:cs="Times New Roman" w:hint="eastAsia"/>
                <w:sz w:val="21"/>
                <w:szCs w:val="21"/>
              </w:rPr>
              <w:t>网址</w:t>
            </w:r>
          </w:p>
        </w:tc>
        <w:tc>
          <w:tcPr>
            <w:tcW w:w="869" w:type="pct"/>
            <w:tcMar>
              <w:top w:w="0" w:type="dxa"/>
              <w:left w:w="108" w:type="dxa"/>
              <w:bottom w:w="0" w:type="dxa"/>
              <w:right w:w="108" w:type="dxa"/>
            </w:tcMar>
            <w:vAlign w:val="center"/>
          </w:tcPr>
          <w:p w14:paraId="3EC9C6B0"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p>
        </w:tc>
        <w:tc>
          <w:tcPr>
            <w:tcW w:w="1721" w:type="pct"/>
            <w:tcMar>
              <w:top w:w="0" w:type="dxa"/>
              <w:left w:w="108" w:type="dxa"/>
              <w:bottom w:w="0" w:type="dxa"/>
              <w:right w:w="108" w:type="dxa"/>
            </w:tcMar>
            <w:vAlign w:val="center"/>
          </w:tcPr>
          <w:p w14:paraId="5DD81F9C"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北京中网（北京）科技有限责任公司</w:t>
            </w:r>
          </w:p>
        </w:tc>
        <w:tc>
          <w:tcPr>
            <w:tcW w:w="964" w:type="pct"/>
            <w:tcMar>
              <w:top w:w="0" w:type="dxa"/>
              <w:left w:w="108" w:type="dxa"/>
              <w:bottom w:w="0" w:type="dxa"/>
              <w:right w:w="108" w:type="dxa"/>
            </w:tcMar>
            <w:vAlign w:val="center"/>
          </w:tcPr>
          <w:p w14:paraId="47417D10"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2019.01.02-</w:t>
            </w:r>
          </w:p>
          <w:p w14:paraId="36679D0A"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2024.01.02</w:t>
            </w:r>
          </w:p>
        </w:tc>
      </w:tr>
      <w:tr w:rsidR="006416B0" w:rsidRPr="00B4515A" w14:paraId="36589ACA" w14:textId="77777777" w:rsidTr="00031627">
        <w:trPr>
          <w:trHeight w:val="340"/>
          <w:jc w:val="center"/>
        </w:trPr>
        <w:tc>
          <w:tcPr>
            <w:tcW w:w="420" w:type="pct"/>
            <w:tcMar>
              <w:top w:w="0" w:type="dxa"/>
              <w:left w:w="108" w:type="dxa"/>
              <w:bottom w:w="0" w:type="dxa"/>
              <w:right w:w="108" w:type="dxa"/>
            </w:tcMar>
            <w:vAlign w:val="center"/>
          </w:tcPr>
          <w:p w14:paraId="67B225F1"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8</w:t>
            </w:r>
          </w:p>
        </w:tc>
        <w:tc>
          <w:tcPr>
            <w:tcW w:w="1026" w:type="pct"/>
            <w:tcMar>
              <w:top w:w="0" w:type="dxa"/>
              <w:left w:w="108" w:type="dxa"/>
              <w:bottom w:w="0" w:type="dxa"/>
              <w:right w:w="108" w:type="dxa"/>
            </w:tcMar>
            <w:vAlign w:val="center"/>
          </w:tcPr>
          <w:p w14:paraId="38666F6F"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r w:rsidRPr="00B4515A">
              <w:rPr>
                <w:rFonts w:ascii="Times New Roman" w:eastAsiaTheme="minorEastAsia" w:hAnsi="Times New Roman" w:cs="Times New Roman"/>
                <w:sz w:val="21"/>
                <w:szCs w:val="21"/>
              </w:rPr>
              <w:t>.</w:t>
            </w:r>
            <w:r w:rsidRPr="00B4515A">
              <w:rPr>
                <w:rFonts w:ascii="Times New Roman" w:eastAsiaTheme="minorEastAsia" w:hAnsi="Times New Roman" w:cs="Times New Roman" w:hint="eastAsia"/>
                <w:sz w:val="21"/>
                <w:szCs w:val="21"/>
              </w:rPr>
              <w:t>中国</w:t>
            </w:r>
          </w:p>
        </w:tc>
        <w:tc>
          <w:tcPr>
            <w:tcW w:w="869" w:type="pct"/>
            <w:tcMar>
              <w:top w:w="0" w:type="dxa"/>
              <w:left w:w="108" w:type="dxa"/>
              <w:bottom w:w="0" w:type="dxa"/>
              <w:right w:w="108" w:type="dxa"/>
            </w:tcMar>
            <w:vAlign w:val="center"/>
          </w:tcPr>
          <w:p w14:paraId="4CCDC9D8"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p>
        </w:tc>
        <w:tc>
          <w:tcPr>
            <w:tcW w:w="1721" w:type="pct"/>
            <w:tcMar>
              <w:top w:w="0" w:type="dxa"/>
              <w:left w:w="108" w:type="dxa"/>
              <w:bottom w:w="0" w:type="dxa"/>
              <w:right w:w="108" w:type="dxa"/>
            </w:tcMar>
            <w:vAlign w:val="center"/>
          </w:tcPr>
          <w:p w14:paraId="0DC5391D"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中国互联网络信息中心（</w:t>
            </w:r>
            <w:r w:rsidRPr="00B4515A">
              <w:rPr>
                <w:rFonts w:ascii="Times New Roman" w:eastAsiaTheme="minorEastAsia" w:hAnsi="Times New Roman" w:cs="Times New Roman"/>
                <w:sz w:val="21"/>
                <w:szCs w:val="21"/>
              </w:rPr>
              <w:t>CNNIC</w:t>
            </w:r>
            <w:r w:rsidRPr="00B4515A">
              <w:rPr>
                <w:rFonts w:ascii="Times New Roman" w:eastAsiaTheme="minorEastAsia" w:hAnsi="Times New Roman" w:cs="Times New Roman" w:hint="eastAsia"/>
                <w:sz w:val="21"/>
                <w:szCs w:val="21"/>
              </w:rPr>
              <w:t>）</w:t>
            </w:r>
          </w:p>
        </w:tc>
        <w:tc>
          <w:tcPr>
            <w:tcW w:w="964" w:type="pct"/>
            <w:tcMar>
              <w:top w:w="0" w:type="dxa"/>
              <w:left w:w="108" w:type="dxa"/>
              <w:bottom w:w="0" w:type="dxa"/>
              <w:right w:w="108" w:type="dxa"/>
            </w:tcMar>
            <w:vAlign w:val="center"/>
          </w:tcPr>
          <w:p w14:paraId="622CD89D"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2019.01.02-</w:t>
            </w:r>
          </w:p>
          <w:p w14:paraId="6D7ED906"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2024.01.02</w:t>
            </w:r>
          </w:p>
        </w:tc>
      </w:tr>
      <w:tr w:rsidR="006416B0" w:rsidRPr="00B4515A" w14:paraId="01A41BD5" w14:textId="77777777" w:rsidTr="00031627">
        <w:trPr>
          <w:trHeight w:val="340"/>
          <w:jc w:val="center"/>
        </w:trPr>
        <w:tc>
          <w:tcPr>
            <w:tcW w:w="420" w:type="pct"/>
            <w:tcMar>
              <w:top w:w="0" w:type="dxa"/>
              <w:left w:w="108" w:type="dxa"/>
              <w:bottom w:w="0" w:type="dxa"/>
              <w:right w:w="108" w:type="dxa"/>
            </w:tcMar>
            <w:vAlign w:val="center"/>
          </w:tcPr>
          <w:p w14:paraId="00370889"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9</w:t>
            </w:r>
          </w:p>
        </w:tc>
        <w:tc>
          <w:tcPr>
            <w:tcW w:w="1026" w:type="pct"/>
            <w:tcMar>
              <w:top w:w="0" w:type="dxa"/>
              <w:left w:w="108" w:type="dxa"/>
              <w:bottom w:w="0" w:type="dxa"/>
              <w:right w:w="108" w:type="dxa"/>
            </w:tcMar>
            <w:vAlign w:val="center"/>
          </w:tcPr>
          <w:p w14:paraId="5A4F1861"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r w:rsidRPr="00B4515A">
              <w:rPr>
                <w:rFonts w:ascii="Times New Roman" w:eastAsiaTheme="minorEastAsia" w:hAnsi="Times New Roman" w:cs="Times New Roman"/>
                <w:sz w:val="21"/>
                <w:szCs w:val="21"/>
              </w:rPr>
              <w:t>.cc</w:t>
            </w:r>
          </w:p>
        </w:tc>
        <w:tc>
          <w:tcPr>
            <w:tcW w:w="869" w:type="pct"/>
            <w:tcMar>
              <w:top w:w="0" w:type="dxa"/>
              <w:left w:w="108" w:type="dxa"/>
              <w:bottom w:w="0" w:type="dxa"/>
              <w:right w:w="108" w:type="dxa"/>
            </w:tcMar>
            <w:vAlign w:val="center"/>
          </w:tcPr>
          <w:p w14:paraId="27672C50"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p>
        </w:tc>
        <w:tc>
          <w:tcPr>
            <w:tcW w:w="1721" w:type="pct"/>
            <w:tcMar>
              <w:top w:w="0" w:type="dxa"/>
              <w:left w:w="108" w:type="dxa"/>
              <w:bottom w:w="0" w:type="dxa"/>
              <w:right w:w="108" w:type="dxa"/>
            </w:tcMar>
            <w:vAlign w:val="center"/>
          </w:tcPr>
          <w:p w14:paraId="3C1BD094"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厦门纳网科技股份有限公司</w:t>
            </w:r>
          </w:p>
        </w:tc>
        <w:tc>
          <w:tcPr>
            <w:tcW w:w="964" w:type="pct"/>
            <w:tcMar>
              <w:top w:w="0" w:type="dxa"/>
              <w:left w:w="108" w:type="dxa"/>
              <w:bottom w:w="0" w:type="dxa"/>
              <w:right w:w="108" w:type="dxa"/>
            </w:tcMar>
            <w:vAlign w:val="center"/>
          </w:tcPr>
          <w:p w14:paraId="121D9D9A"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2019.01.02-</w:t>
            </w:r>
          </w:p>
          <w:p w14:paraId="1533DCA3"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2024.01.02</w:t>
            </w:r>
          </w:p>
        </w:tc>
      </w:tr>
    </w:tbl>
    <w:p w14:paraId="0FCC59DA" w14:textId="77777777" w:rsidR="006416B0" w:rsidRPr="00B4515A" w:rsidRDefault="005E58C1" w:rsidP="005860B4">
      <w:pPr>
        <w:pStyle w:val="004"/>
        <w:spacing w:before="120" w:after="120"/>
        <w:ind w:firstLine="482"/>
      </w:pPr>
      <w:r w:rsidRPr="00B4515A">
        <w:t>8</w:t>
      </w:r>
      <w:r w:rsidRPr="00B4515A">
        <w:rPr>
          <w:rFonts w:hint="eastAsia"/>
        </w:rPr>
        <w:t>、非专利技术</w:t>
      </w:r>
    </w:p>
    <w:p w14:paraId="11C69FF4" w14:textId="6C0F2244" w:rsidR="00635468" w:rsidRPr="00B4515A" w:rsidRDefault="00635468" w:rsidP="006100BC">
      <w:pPr>
        <w:pStyle w:val="005"/>
        <w:spacing w:before="120" w:after="120"/>
        <w:ind w:firstLine="480"/>
      </w:pPr>
      <w:r w:rsidRPr="00B4515A">
        <w:rPr>
          <w:rFonts w:hint="eastAsia"/>
        </w:rPr>
        <w:t>截至本报告书签署日，大唐联诚</w:t>
      </w:r>
      <w:r w:rsidR="00C648E2" w:rsidRPr="00B4515A">
        <w:rPr>
          <w:rFonts w:hint="eastAsia"/>
        </w:rPr>
        <w:t>拥有</w:t>
      </w:r>
      <w:r w:rsidRPr="00B4515A">
        <w:rPr>
          <w:rFonts w:hint="eastAsia"/>
        </w:rPr>
        <w:t>非专利技术具体情况如下：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33"/>
        <w:gridCol w:w="1412"/>
        <w:gridCol w:w="757"/>
        <w:gridCol w:w="834"/>
        <w:gridCol w:w="4892"/>
      </w:tblGrid>
      <w:tr w:rsidR="00635468" w:rsidRPr="00B4515A" w14:paraId="11F1FAE0" w14:textId="77777777" w:rsidTr="00EE238F">
        <w:trPr>
          <w:trHeight w:val="340"/>
          <w:tblHeader/>
          <w:jc w:val="center"/>
        </w:trPr>
        <w:tc>
          <w:tcPr>
            <w:tcW w:w="371" w:type="pct"/>
            <w:shd w:val="clear" w:color="auto" w:fill="auto"/>
            <w:tcMar>
              <w:top w:w="0" w:type="dxa"/>
              <w:left w:w="108" w:type="dxa"/>
              <w:bottom w:w="0" w:type="dxa"/>
              <w:right w:w="108" w:type="dxa"/>
            </w:tcMar>
            <w:vAlign w:val="center"/>
            <w:hideMark/>
          </w:tcPr>
          <w:p w14:paraId="10CC4BE5" w14:textId="77777777" w:rsidR="00635468" w:rsidRPr="00B4515A" w:rsidRDefault="00635468"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序号</w:t>
            </w:r>
          </w:p>
        </w:tc>
        <w:tc>
          <w:tcPr>
            <w:tcW w:w="828" w:type="pct"/>
            <w:shd w:val="clear" w:color="auto" w:fill="auto"/>
            <w:tcMar>
              <w:top w:w="0" w:type="dxa"/>
              <w:left w:w="108" w:type="dxa"/>
              <w:bottom w:w="0" w:type="dxa"/>
              <w:right w:w="108" w:type="dxa"/>
            </w:tcMar>
            <w:vAlign w:val="center"/>
            <w:hideMark/>
          </w:tcPr>
          <w:p w14:paraId="08885D39" w14:textId="77777777" w:rsidR="00635468" w:rsidRPr="00B4515A" w:rsidRDefault="00635468"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技术名称</w:t>
            </w:r>
          </w:p>
        </w:tc>
        <w:tc>
          <w:tcPr>
            <w:tcW w:w="444" w:type="pct"/>
            <w:shd w:val="clear" w:color="auto" w:fill="auto"/>
            <w:tcMar>
              <w:top w:w="0" w:type="dxa"/>
              <w:left w:w="108" w:type="dxa"/>
              <w:bottom w:w="0" w:type="dxa"/>
              <w:right w:w="108" w:type="dxa"/>
            </w:tcMar>
            <w:vAlign w:val="center"/>
            <w:hideMark/>
          </w:tcPr>
          <w:p w14:paraId="726CFCB1" w14:textId="77777777" w:rsidR="00635468" w:rsidRPr="00B4515A" w:rsidRDefault="00635468"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技术类型</w:t>
            </w:r>
          </w:p>
        </w:tc>
        <w:tc>
          <w:tcPr>
            <w:tcW w:w="489" w:type="pct"/>
            <w:shd w:val="clear" w:color="auto" w:fill="auto"/>
            <w:tcMar>
              <w:top w:w="0" w:type="dxa"/>
              <w:left w:w="108" w:type="dxa"/>
              <w:bottom w:w="0" w:type="dxa"/>
              <w:right w:w="108" w:type="dxa"/>
            </w:tcMar>
            <w:vAlign w:val="center"/>
            <w:hideMark/>
          </w:tcPr>
          <w:p w14:paraId="5A26F9DA" w14:textId="77777777" w:rsidR="00635468" w:rsidRPr="00B4515A" w:rsidRDefault="00635468"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技术来源</w:t>
            </w:r>
          </w:p>
        </w:tc>
        <w:tc>
          <w:tcPr>
            <w:tcW w:w="2868" w:type="pct"/>
            <w:shd w:val="clear" w:color="auto" w:fill="auto"/>
            <w:tcMar>
              <w:top w:w="0" w:type="dxa"/>
              <w:left w:w="108" w:type="dxa"/>
              <w:bottom w:w="0" w:type="dxa"/>
              <w:right w:w="108" w:type="dxa"/>
            </w:tcMar>
            <w:vAlign w:val="center"/>
            <w:hideMark/>
          </w:tcPr>
          <w:p w14:paraId="244BFB3C" w14:textId="77777777" w:rsidR="00635468" w:rsidRPr="00B4515A" w:rsidRDefault="00635468"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形成、发展过程</w:t>
            </w:r>
          </w:p>
        </w:tc>
      </w:tr>
      <w:tr w:rsidR="00635468" w:rsidRPr="00B4515A" w14:paraId="6CCF45E9" w14:textId="77777777" w:rsidTr="00EE238F">
        <w:trPr>
          <w:trHeight w:val="340"/>
          <w:jc w:val="center"/>
        </w:trPr>
        <w:tc>
          <w:tcPr>
            <w:tcW w:w="371" w:type="pct"/>
            <w:shd w:val="clear" w:color="auto" w:fill="auto"/>
            <w:tcMar>
              <w:top w:w="0" w:type="dxa"/>
              <w:left w:w="108" w:type="dxa"/>
              <w:bottom w:w="0" w:type="dxa"/>
              <w:right w:w="108" w:type="dxa"/>
            </w:tcMar>
            <w:vAlign w:val="center"/>
            <w:hideMark/>
          </w:tcPr>
          <w:p w14:paraId="0B322132"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p>
        </w:tc>
        <w:tc>
          <w:tcPr>
            <w:tcW w:w="828" w:type="pct"/>
            <w:shd w:val="clear" w:color="auto" w:fill="auto"/>
            <w:tcMar>
              <w:top w:w="0" w:type="dxa"/>
              <w:left w:w="108" w:type="dxa"/>
              <w:bottom w:w="0" w:type="dxa"/>
              <w:right w:w="108" w:type="dxa"/>
            </w:tcMar>
            <w:vAlign w:val="center"/>
            <w:hideMark/>
          </w:tcPr>
          <w:p w14:paraId="1D302906"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移动通信宽带传输技术</w:t>
            </w:r>
          </w:p>
        </w:tc>
        <w:tc>
          <w:tcPr>
            <w:tcW w:w="444" w:type="pct"/>
            <w:shd w:val="clear" w:color="auto" w:fill="auto"/>
            <w:tcMar>
              <w:top w:w="0" w:type="dxa"/>
              <w:left w:w="108" w:type="dxa"/>
              <w:bottom w:w="0" w:type="dxa"/>
              <w:right w:w="108" w:type="dxa"/>
            </w:tcMar>
            <w:vAlign w:val="center"/>
            <w:hideMark/>
          </w:tcPr>
          <w:p w14:paraId="5BA284F3"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专有技术</w:t>
            </w:r>
          </w:p>
        </w:tc>
        <w:tc>
          <w:tcPr>
            <w:tcW w:w="489" w:type="pct"/>
            <w:shd w:val="clear" w:color="auto" w:fill="auto"/>
            <w:tcMar>
              <w:top w:w="0" w:type="dxa"/>
              <w:left w:w="108" w:type="dxa"/>
              <w:bottom w:w="0" w:type="dxa"/>
              <w:right w:w="108" w:type="dxa"/>
            </w:tcMar>
            <w:vAlign w:val="center"/>
            <w:hideMark/>
          </w:tcPr>
          <w:p w14:paraId="04D339D8"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自主研发</w:t>
            </w:r>
          </w:p>
        </w:tc>
        <w:tc>
          <w:tcPr>
            <w:tcW w:w="2868" w:type="pct"/>
            <w:shd w:val="clear" w:color="auto" w:fill="auto"/>
            <w:tcMar>
              <w:top w:w="0" w:type="dxa"/>
              <w:left w:w="108" w:type="dxa"/>
              <w:bottom w:w="0" w:type="dxa"/>
              <w:right w:w="108" w:type="dxa"/>
            </w:tcMar>
            <w:vAlign w:val="center"/>
            <w:hideMark/>
          </w:tcPr>
          <w:p w14:paraId="365EC599"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公司针对移动通信环境下多用户多业务并发时的宽带传输应用需求，开展了超短波频段移动通信宽带传输技术的设计和研究，通过样机的开发测试验证，技术已成熟，该技术已在型号产品进行规模应用</w:t>
            </w:r>
          </w:p>
        </w:tc>
      </w:tr>
      <w:tr w:rsidR="00635468" w:rsidRPr="00B4515A" w14:paraId="09A1DC04" w14:textId="77777777" w:rsidTr="00EE238F">
        <w:trPr>
          <w:trHeight w:val="340"/>
          <w:jc w:val="center"/>
        </w:trPr>
        <w:tc>
          <w:tcPr>
            <w:tcW w:w="371" w:type="pct"/>
            <w:shd w:val="clear" w:color="auto" w:fill="auto"/>
            <w:tcMar>
              <w:top w:w="0" w:type="dxa"/>
              <w:left w:w="108" w:type="dxa"/>
              <w:bottom w:w="0" w:type="dxa"/>
              <w:right w:w="108" w:type="dxa"/>
            </w:tcMar>
            <w:vAlign w:val="center"/>
            <w:hideMark/>
          </w:tcPr>
          <w:p w14:paraId="66B9F8D9"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p>
        </w:tc>
        <w:tc>
          <w:tcPr>
            <w:tcW w:w="828" w:type="pct"/>
            <w:shd w:val="clear" w:color="auto" w:fill="auto"/>
            <w:tcMar>
              <w:top w:w="0" w:type="dxa"/>
              <w:left w:w="108" w:type="dxa"/>
              <w:bottom w:w="0" w:type="dxa"/>
              <w:right w:w="108" w:type="dxa"/>
            </w:tcMar>
            <w:vAlign w:val="center"/>
            <w:hideMark/>
          </w:tcPr>
          <w:p w14:paraId="078C8AC1"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宽带移动通信网络管理技术</w:t>
            </w:r>
          </w:p>
        </w:tc>
        <w:tc>
          <w:tcPr>
            <w:tcW w:w="444" w:type="pct"/>
            <w:shd w:val="clear" w:color="auto" w:fill="auto"/>
            <w:tcMar>
              <w:top w:w="0" w:type="dxa"/>
              <w:left w:w="108" w:type="dxa"/>
              <w:bottom w:w="0" w:type="dxa"/>
              <w:right w:w="108" w:type="dxa"/>
            </w:tcMar>
            <w:vAlign w:val="center"/>
            <w:hideMark/>
          </w:tcPr>
          <w:p w14:paraId="35B3D37F"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专有技术</w:t>
            </w:r>
          </w:p>
        </w:tc>
        <w:tc>
          <w:tcPr>
            <w:tcW w:w="489" w:type="pct"/>
            <w:shd w:val="clear" w:color="auto" w:fill="auto"/>
            <w:tcMar>
              <w:top w:w="0" w:type="dxa"/>
              <w:left w:w="108" w:type="dxa"/>
              <w:bottom w:w="0" w:type="dxa"/>
              <w:right w:w="108" w:type="dxa"/>
            </w:tcMar>
            <w:vAlign w:val="center"/>
            <w:hideMark/>
          </w:tcPr>
          <w:p w14:paraId="4EC5909E"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自主研发</w:t>
            </w:r>
          </w:p>
        </w:tc>
        <w:tc>
          <w:tcPr>
            <w:tcW w:w="2868" w:type="pct"/>
            <w:shd w:val="clear" w:color="auto" w:fill="auto"/>
            <w:tcMar>
              <w:top w:w="0" w:type="dxa"/>
              <w:left w:w="108" w:type="dxa"/>
              <w:bottom w:w="0" w:type="dxa"/>
              <w:right w:w="108" w:type="dxa"/>
            </w:tcMar>
            <w:vAlign w:val="center"/>
            <w:hideMark/>
          </w:tcPr>
          <w:p w14:paraId="0C49E34E"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面对用户移动组网、灵活编配和统一网管的要求，公司开展了宽带移动通信网络管理关键技术研究和应用测试，通过不断改进，该技术已成熟，已在公司多个产品和项目中得到应用</w:t>
            </w:r>
          </w:p>
        </w:tc>
      </w:tr>
      <w:tr w:rsidR="00635468" w:rsidRPr="00B4515A" w14:paraId="3DC66908" w14:textId="77777777" w:rsidTr="00EE238F">
        <w:trPr>
          <w:trHeight w:val="340"/>
          <w:jc w:val="center"/>
        </w:trPr>
        <w:tc>
          <w:tcPr>
            <w:tcW w:w="371" w:type="pct"/>
            <w:shd w:val="clear" w:color="auto" w:fill="auto"/>
            <w:tcMar>
              <w:top w:w="0" w:type="dxa"/>
              <w:left w:w="108" w:type="dxa"/>
              <w:bottom w:w="0" w:type="dxa"/>
              <w:right w:w="108" w:type="dxa"/>
            </w:tcMar>
            <w:vAlign w:val="center"/>
            <w:hideMark/>
          </w:tcPr>
          <w:p w14:paraId="21822D2B"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w:t>
            </w:r>
          </w:p>
        </w:tc>
        <w:tc>
          <w:tcPr>
            <w:tcW w:w="828" w:type="pct"/>
            <w:shd w:val="clear" w:color="auto" w:fill="auto"/>
            <w:tcMar>
              <w:top w:w="0" w:type="dxa"/>
              <w:left w:w="108" w:type="dxa"/>
              <w:bottom w:w="0" w:type="dxa"/>
              <w:right w:w="108" w:type="dxa"/>
            </w:tcMar>
            <w:vAlign w:val="center"/>
            <w:hideMark/>
          </w:tcPr>
          <w:p w14:paraId="1A0B8871"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空地一体化组网技术</w:t>
            </w:r>
          </w:p>
        </w:tc>
        <w:tc>
          <w:tcPr>
            <w:tcW w:w="444" w:type="pct"/>
            <w:shd w:val="clear" w:color="auto" w:fill="auto"/>
            <w:tcMar>
              <w:top w:w="0" w:type="dxa"/>
              <w:left w:w="108" w:type="dxa"/>
              <w:bottom w:w="0" w:type="dxa"/>
              <w:right w:w="108" w:type="dxa"/>
            </w:tcMar>
            <w:vAlign w:val="center"/>
            <w:hideMark/>
          </w:tcPr>
          <w:p w14:paraId="477E04E8"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专有技术</w:t>
            </w:r>
          </w:p>
        </w:tc>
        <w:tc>
          <w:tcPr>
            <w:tcW w:w="489" w:type="pct"/>
            <w:shd w:val="clear" w:color="auto" w:fill="auto"/>
            <w:tcMar>
              <w:top w:w="0" w:type="dxa"/>
              <w:left w:w="108" w:type="dxa"/>
              <w:bottom w:w="0" w:type="dxa"/>
              <w:right w:w="108" w:type="dxa"/>
            </w:tcMar>
            <w:vAlign w:val="center"/>
            <w:hideMark/>
          </w:tcPr>
          <w:p w14:paraId="488F186A"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自主研发</w:t>
            </w:r>
          </w:p>
        </w:tc>
        <w:tc>
          <w:tcPr>
            <w:tcW w:w="2868" w:type="pct"/>
            <w:shd w:val="clear" w:color="auto" w:fill="auto"/>
            <w:tcMar>
              <w:top w:w="0" w:type="dxa"/>
              <w:left w:w="108" w:type="dxa"/>
              <w:bottom w:w="0" w:type="dxa"/>
              <w:right w:w="108" w:type="dxa"/>
            </w:tcMar>
            <w:vAlign w:val="center"/>
            <w:hideMark/>
          </w:tcPr>
          <w:p w14:paraId="34A87612" w14:textId="0E9F38E5"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公司针对特种通信地面和空中客户信息交互应用需求，设计了基于地面站点实现空中和地面用户的综合组网技术，通过应用改进，该技术已经成熟，已在多个产品和建设项目中得到应用</w:t>
            </w:r>
          </w:p>
        </w:tc>
      </w:tr>
      <w:tr w:rsidR="00635468" w:rsidRPr="00B4515A" w14:paraId="56DE0924" w14:textId="77777777" w:rsidTr="00EE238F">
        <w:trPr>
          <w:trHeight w:val="340"/>
          <w:jc w:val="center"/>
        </w:trPr>
        <w:tc>
          <w:tcPr>
            <w:tcW w:w="371" w:type="pct"/>
            <w:shd w:val="clear" w:color="auto" w:fill="auto"/>
            <w:tcMar>
              <w:top w:w="0" w:type="dxa"/>
              <w:left w:w="108" w:type="dxa"/>
              <w:bottom w:w="0" w:type="dxa"/>
              <w:right w:w="108" w:type="dxa"/>
            </w:tcMar>
            <w:vAlign w:val="center"/>
            <w:hideMark/>
          </w:tcPr>
          <w:p w14:paraId="7FB81F3C"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w:t>
            </w:r>
          </w:p>
        </w:tc>
        <w:tc>
          <w:tcPr>
            <w:tcW w:w="828" w:type="pct"/>
            <w:shd w:val="clear" w:color="auto" w:fill="auto"/>
            <w:tcMar>
              <w:top w:w="0" w:type="dxa"/>
              <w:left w:w="108" w:type="dxa"/>
              <w:bottom w:w="0" w:type="dxa"/>
              <w:right w:w="108" w:type="dxa"/>
            </w:tcMar>
            <w:vAlign w:val="center"/>
            <w:hideMark/>
          </w:tcPr>
          <w:p w14:paraId="55933E00"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复杂电磁环境自适应传输技术</w:t>
            </w:r>
          </w:p>
        </w:tc>
        <w:tc>
          <w:tcPr>
            <w:tcW w:w="444" w:type="pct"/>
            <w:shd w:val="clear" w:color="auto" w:fill="auto"/>
            <w:tcMar>
              <w:top w:w="0" w:type="dxa"/>
              <w:left w:w="108" w:type="dxa"/>
              <w:bottom w:w="0" w:type="dxa"/>
              <w:right w:w="108" w:type="dxa"/>
            </w:tcMar>
            <w:vAlign w:val="center"/>
            <w:hideMark/>
          </w:tcPr>
          <w:p w14:paraId="0CBE73EC"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专有技术</w:t>
            </w:r>
          </w:p>
        </w:tc>
        <w:tc>
          <w:tcPr>
            <w:tcW w:w="489" w:type="pct"/>
            <w:shd w:val="clear" w:color="auto" w:fill="auto"/>
            <w:tcMar>
              <w:top w:w="0" w:type="dxa"/>
              <w:left w:w="108" w:type="dxa"/>
              <w:bottom w:w="0" w:type="dxa"/>
              <w:right w:w="108" w:type="dxa"/>
            </w:tcMar>
            <w:vAlign w:val="center"/>
            <w:hideMark/>
          </w:tcPr>
          <w:p w14:paraId="0171EA1F"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自主研发</w:t>
            </w:r>
          </w:p>
        </w:tc>
        <w:tc>
          <w:tcPr>
            <w:tcW w:w="2868" w:type="pct"/>
            <w:shd w:val="clear" w:color="auto" w:fill="auto"/>
            <w:tcMar>
              <w:top w:w="0" w:type="dxa"/>
              <w:left w:w="108" w:type="dxa"/>
              <w:bottom w:w="0" w:type="dxa"/>
              <w:right w:w="108" w:type="dxa"/>
            </w:tcMar>
            <w:vAlign w:val="center"/>
            <w:hideMark/>
          </w:tcPr>
          <w:p w14:paraId="0A2F6262"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针对超短波频段的复杂电磁环境，开展了业务、信道、网络等自适应传输技术设计和测试验证，技术已成熟，已在多个型号产品中得到了规模应用</w:t>
            </w:r>
          </w:p>
        </w:tc>
      </w:tr>
      <w:tr w:rsidR="00635468" w:rsidRPr="00B4515A" w14:paraId="3379CBC8" w14:textId="77777777" w:rsidTr="00EE238F">
        <w:trPr>
          <w:trHeight w:val="340"/>
          <w:jc w:val="center"/>
        </w:trPr>
        <w:tc>
          <w:tcPr>
            <w:tcW w:w="371" w:type="pct"/>
            <w:shd w:val="clear" w:color="auto" w:fill="auto"/>
            <w:tcMar>
              <w:top w:w="0" w:type="dxa"/>
              <w:left w:w="108" w:type="dxa"/>
              <w:bottom w:w="0" w:type="dxa"/>
              <w:right w:w="108" w:type="dxa"/>
            </w:tcMar>
            <w:vAlign w:val="center"/>
            <w:hideMark/>
          </w:tcPr>
          <w:p w14:paraId="1F11909F"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w:t>
            </w:r>
          </w:p>
        </w:tc>
        <w:tc>
          <w:tcPr>
            <w:tcW w:w="828" w:type="pct"/>
            <w:shd w:val="clear" w:color="auto" w:fill="auto"/>
            <w:tcMar>
              <w:top w:w="0" w:type="dxa"/>
              <w:left w:w="108" w:type="dxa"/>
              <w:bottom w:w="0" w:type="dxa"/>
              <w:right w:w="108" w:type="dxa"/>
            </w:tcMar>
            <w:vAlign w:val="center"/>
            <w:hideMark/>
          </w:tcPr>
          <w:p w14:paraId="7FE5DA28"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支持</w:t>
            </w:r>
            <w:r w:rsidRPr="00B4515A">
              <w:rPr>
                <w:rFonts w:ascii="Times New Roman" w:eastAsiaTheme="minorEastAsia" w:hAnsi="Times New Roman" w:cs="Times New Roman"/>
                <w:color w:val="000000"/>
                <w:sz w:val="21"/>
                <w:szCs w:val="21"/>
              </w:rPr>
              <w:t>QoS</w:t>
            </w:r>
            <w:r w:rsidRPr="00B4515A">
              <w:rPr>
                <w:rFonts w:ascii="Times New Roman" w:eastAsiaTheme="minorEastAsia" w:hAnsi="Times New Roman" w:cs="Times New Roman" w:hint="eastAsia"/>
                <w:color w:val="000000"/>
                <w:sz w:val="21"/>
                <w:szCs w:val="21"/>
              </w:rPr>
              <w:t>要求的资源动</w:t>
            </w:r>
            <w:r w:rsidRPr="00B4515A">
              <w:rPr>
                <w:rFonts w:ascii="Times New Roman" w:eastAsiaTheme="minorEastAsia" w:hAnsi="Times New Roman" w:cs="Times New Roman" w:hint="eastAsia"/>
                <w:color w:val="000000"/>
                <w:sz w:val="21"/>
                <w:szCs w:val="21"/>
              </w:rPr>
              <w:lastRenderedPageBreak/>
              <w:t>态分配技术</w:t>
            </w:r>
          </w:p>
        </w:tc>
        <w:tc>
          <w:tcPr>
            <w:tcW w:w="444" w:type="pct"/>
            <w:shd w:val="clear" w:color="auto" w:fill="auto"/>
            <w:tcMar>
              <w:top w:w="0" w:type="dxa"/>
              <w:left w:w="108" w:type="dxa"/>
              <w:bottom w:w="0" w:type="dxa"/>
              <w:right w:w="108" w:type="dxa"/>
            </w:tcMar>
            <w:vAlign w:val="center"/>
            <w:hideMark/>
          </w:tcPr>
          <w:p w14:paraId="2FEF2BCA"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lastRenderedPageBreak/>
              <w:t>专有技术</w:t>
            </w:r>
          </w:p>
        </w:tc>
        <w:tc>
          <w:tcPr>
            <w:tcW w:w="489" w:type="pct"/>
            <w:shd w:val="clear" w:color="auto" w:fill="auto"/>
            <w:tcMar>
              <w:top w:w="0" w:type="dxa"/>
              <w:left w:w="108" w:type="dxa"/>
              <w:bottom w:w="0" w:type="dxa"/>
              <w:right w:w="108" w:type="dxa"/>
            </w:tcMar>
            <w:vAlign w:val="center"/>
            <w:hideMark/>
          </w:tcPr>
          <w:p w14:paraId="056FB695"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自主研发</w:t>
            </w:r>
          </w:p>
        </w:tc>
        <w:tc>
          <w:tcPr>
            <w:tcW w:w="2868" w:type="pct"/>
            <w:shd w:val="clear" w:color="auto" w:fill="auto"/>
            <w:tcMar>
              <w:top w:w="0" w:type="dxa"/>
              <w:left w:w="108" w:type="dxa"/>
              <w:bottom w:w="0" w:type="dxa"/>
              <w:right w:w="108" w:type="dxa"/>
            </w:tcMar>
            <w:vAlign w:val="center"/>
            <w:hideMark/>
          </w:tcPr>
          <w:p w14:paraId="29BC2F92"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在无中心组网场景下，为保证各类用户各类业务的传输满足</w:t>
            </w:r>
            <w:r w:rsidRPr="00B4515A">
              <w:rPr>
                <w:rFonts w:ascii="Times New Roman" w:eastAsiaTheme="minorEastAsia" w:hAnsi="Times New Roman" w:cs="Times New Roman"/>
                <w:color w:val="000000"/>
                <w:sz w:val="21"/>
                <w:szCs w:val="21"/>
              </w:rPr>
              <w:t>QoS</w:t>
            </w:r>
            <w:r w:rsidRPr="00B4515A">
              <w:rPr>
                <w:rFonts w:ascii="Times New Roman" w:eastAsiaTheme="minorEastAsia" w:hAnsi="Times New Roman" w:cs="Times New Roman" w:hint="eastAsia"/>
                <w:color w:val="000000"/>
                <w:sz w:val="21"/>
                <w:szCs w:val="21"/>
              </w:rPr>
              <w:t>要求，公司开展了支持</w:t>
            </w:r>
            <w:r w:rsidRPr="00B4515A">
              <w:rPr>
                <w:rFonts w:ascii="Times New Roman" w:eastAsiaTheme="minorEastAsia" w:hAnsi="Times New Roman" w:cs="Times New Roman"/>
                <w:color w:val="000000"/>
                <w:sz w:val="21"/>
                <w:szCs w:val="21"/>
              </w:rPr>
              <w:t>QoS</w:t>
            </w:r>
            <w:r w:rsidRPr="00B4515A">
              <w:rPr>
                <w:rFonts w:ascii="Times New Roman" w:eastAsiaTheme="minorEastAsia" w:hAnsi="Times New Roman" w:cs="Times New Roman" w:hint="eastAsia"/>
                <w:color w:val="000000"/>
                <w:sz w:val="21"/>
                <w:szCs w:val="21"/>
              </w:rPr>
              <w:t>要求的资</w:t>
            </w:r>
            <w:r w:rsidRPr="00B4515A">
              <w:rPr>
                <w:rFonts w:ascii="Times New Roman" w:eastAsiaTheme="minorEastAsia" w:hAnsi="Times New Roman" w:cs="Times New Roman" w:hint="eastAsia"/>
                <w:color w:val="000000"/>
                <w:sz w:val="21"/>
                <w:szCs w:val="21"/>
              </w:rPr>
              <w:lastRenderedPageBreak/>
              <w:t>源动态分配技术研究和原理验证，通过应用改进，技术已成熟，已在型号产品中得到规模应用</w:t>
            </w:r>
          </w:p>
        </w:tc>
      </w:tr>
      <w:tr w:rsidR="00635468" w:rsidRPr="00B4515A" w14:paraId="759EEEE4" w14:textId="77777777" w:rsidTr="00EE238F">
        <w:trPr>
          <w:trHeight w:val="340"/>
          <w:jc w:val="center"/>
        </w:trPr>
        <w:tc>
          <w:tcPr>
            <w:tcW w:w="371" w:type="pct"/>
            <w:shd w:val="clear" w:color="auto" w:fill="auto"/>
            <w:tcMar>
              <w:top w:w="0" w:type="dxa"/>
              <w:left w:w="108" w:type="dxa"/>
              <w:bottom w:w="0" w:type="dxa"/>
              <w:right w:w="108" w:type="dxa"/>
            </w:tcMar>
            <w:vAlign w:val="center"/>
            <w:hideMark/>
          </w:tcPr>
          <w:p w14:paraId="628B8608"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lastRenderedPageBreak/>
              <w:t>6</w:t>
            </w:r>
          </w:p>
        </w:tc>
        <w:tc>
          <w:tcPr>
            <w:tcW w:w="828" w:type="pct"/>
            <w:shd w:val="clear" w:color="auto" w:fill="auto"/>
            <w:tcMar>
              <w:top w:w="0" w:type="dxa"/>
              <w:left w:w="108" w:type="dxa"/>
              <w:bottom w:w="0" w:type="dxa"/>
              <w:right w:w="108" w:type="dxa"/>
            </w:tcMar>
            <w:vAlign w:val="center"/>
            <w:hideMark/>
          </w:tcPr>
          <w:p w14:paraId="1DA1BA99"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大规模自组网技术</w:t>
            </w:r>
          </w:p>
        </w:tc>
        <w:tc>
          <w:tcPr>
            <w:tcW w:w="444" w:type="pct"/>
            <w:shd w:val="clear" w:color="auto" w:fill="auto"/>
            <w:tcMar>
              <w:top w:w="0" w:type="dxa"/>
              <w:left w:w="108" w:type="dxa"/>
              <w:bottom w:w="0" w:type="dxa"/>
              <w:right w:w="108" w:type="dxa"/>
            </w:tcMar>
            <w:vAlign w:val="center"/>
            <w:hideMark/>
          </w:tcPr>
          <w:p w14:paraId="60804351"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专有技术</w:t>
            </w:r>
          </w:p>
        </w:tc>
        <w:tc>
          <w:tcPr>
            <w:tcW w:w="489" w:type="pct"/>
            <w:shd w:val="clear" w:color="auto" w:fill="auto"/>
            <w:tcMar>
              <w:top w:w="0" w:type="dxa"/>
              <w:left w:w="108" w:type="dxa"/>
              <w:bottom w:w="0" w:type="dxa"/>
              <w:right w:w="108" w:type="dxa"/>
            </w:tcMar>
            <w:vAlign w:val="center"/>
            <w:hideMark/>
          </w:tcPr>
          <w:p w14:paraId="33A35C0F"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自主研发</w:t>
            </w:r>
          </w:p>
        </w:tc>
        <w:tc>
          <w:tcPr>
            <w:tcW w:w="2868" w:type="pct"/>
            <w:shd w:val="clear" w:color="auto" w:fill="auto"/>
            <w:tcMar>
              <w:top w:w="0" w:type="dxa"/>
              <w:left w:w="108" w:type="dxa"/>
              <w:bottom w:w="0" w:type="dxa"/>
              <w:right w:w="108" w:type="dxa"/>
            </w:tcMar>
            <w:vAlign w:val="center"/>
            <w:hideMark/>
          </w:tcPr>
          <w:p w14:paraId="1D0F78ED"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为满足超多用户条件下的自组网通信需求，公司开展了大规模自组网关键技术研究，通过样机开发、测试验证和试用改进，该技术已经成熟，在公司型号产品中得到了规模应用</w:t>
            </w:r>
          </w:p>
        </w:tc>
      </w:tr>
      <w:tr w:rsidR="00635468" w:rsidRPr="00B4515A" w14:paraId="2789CE5E" w14:textId="77777777" w:rsidTr="00EE238F">
        <w:trPr>
          <w:trHeight w:val="340"/>
          <w:jc w:val="center"/>
        </w:trPr>
        <w:tc>
          <w:tcPr>
            <w:tcW w:w="371" w:type="pct"/>
            <w:shd w:val="clear" w:color="auto" w:fill="auto"/>
            <w:tcMar>
              <w:top w:w="0" w:type="dxa"/>
              <w:left w:w="108" w:type="dxa"/>
              <w:bottom w:w="0" w:type="dxa"/>
              <w:right w:w="108" w:type="dxa"/>
            </w:tcMar>
            <w:vAlign w:val="center"/>
            <w:hideMark/>
          </w:tcPr>
          <w:p w14:paraId="6D3F9603"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w:t>
            </w:r>
          </w:p>
        </w:tc>
        <w:tc>
          <w:tcPr>
            <w:tcW w:w="828" w:type="pct"/>
            <w:shd w:val="clear" w:color="auto" w:fill="auto"/>
            <w:tcMar>
              <w:top w:w="0" w:type="dxa"/>
              <w:left w:w="108" w:type="dxa"/>
              <w:bottom w:w="0" w:type="dxa"/>
              <w:right w:w="108" w:type="dxa"/>
            </w:tcMar>
            <w:vAlign w:val="center"/>
            <w:hideMark/>
          </w:tcPr>
          <w:p w14:paraId="3B6AF497"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宽带移动组网安全应用技术</w:t>
            </w:r>
          </w:p>
        </w:tc>
        <w:tc>
          <w:tcPr>
            <w:tcW w:w="444" w:type="pct"/>
            <w:shd w:val="clear" w:color="auto" w:fill="auto"/>
            <w:tcMar>
              <w:top w:w="0" w:type="dxa"/>
              <w:left w:w="108" w:type="dxa"/>
              <w:bottom w:w="0" w:type="dxa"/>
              <w:right w:w="108" w:type="dxa"/>
            </w:tcMar>
            <w:vAlign w:val="center"/>
            <w:hideMark/>
          </w:tcPr>
          <w:p w14:paraId="1136164E"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专有技术</w:t>
            </w:r>
          </w:p>
        </w:tc>
        <w:tc>
          <w:tcPr>
            <w:tcW w:w="489" w:type="pct"/>
            <w:shd w:val="clear" w:color="auto" w:fill="auto"/>
            <w:tcMar>
              <w:top w:w="0" w:type="dxa"/>
              <w:left w:w="108" w:type="dxa"/>
              <w:bottom w:w="0" w:type="dxa"/>
              <w:right w:w="108" w:type="dxa"/>
            </w:tcMar>
            <w:vAlign w:val="center"/>
            <w:hideMark/>
          </w:tcPr>
          <w:p w14:paraId="630272D2"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自主研发</w:t>
            </w:r>
          </w:p>
        </w:tc>
        <w:tc>
          <w:tcPr>
            <w:tcW w:w="2868" w:type="pct"/>
            <w:shd w:val="clear" w:color="auto" w:fill="auto"/>
            <w:tcMar>
              <w:top w:w="0" w:type="dxa"/>
              <w:left w:w="108" w:type="dxa"/>
              <w:bottom w:w="0" w:type="dxa"/>
              <w:right w:w="108" w:type="dxa"/>
            </w:tcMar>
            <w:vAlign w:val="center"/>
            <w:hideMark/>
          </w:tcPr>
          <w:p w14:paraId="6FFBBCE0"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公司针对公网环境下特殊信息的加密安全传输需求，开展网络安全、信息加密和专网传输融合应用的组网安全应用技术研究和应用验证，通过多年应用改进，该技术已成熟，并在产品中得到规模应用</w:t>
            </w:r>
          </w:p>
        </w:tc>
      </w:tr>
      <w:tr w:rsidR="00635468" w:rsidRPr="00B4515A" w14:paraId="75A096C9" w14:textId="77777777" w:rsidTr="00EE238F">
        <w:trPr>
          <w:trHeight w:val="340"/>
          <w:jc w:val="center"/>
        </w:trPr>
        <w:tc>
          <w:tcPr>
            <w:tcW w:w="371" w:type="pct"/>
            <w:shd w:val="clear" w:color="auto" w:fill="auto"/>
            <w:tcMar>
              <w:top w:w="0" w:type="dxa"/>
              <w:left w:w="108" w:type="dxa"/>
              <w:bottom w:w="0" w:type="dxa"/>
              <w:right w:w="108" w:type="dxa"/>
            </w:tcMar>
            <w:vAlign w:val="center"/>
            <w:hideMark/>
          </w:tcPr>
          <w:p w14:paraId="6CBEC2B0"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w:t>
            </w:r>
          </w:p>
        </w:tc>
        <w:tc>
          <w:tcPr>
            <w:tcW w:w="828" w:type="pct"/>
            <w:shd w:val="clear" w:color="auto" w:fill="auto"/>
            <w:tcMar>
              <w:top w:w="0" w:type="dxa"/>
              <w:left w:w="108" w:type="dxa"/>
              <w:bottom w:w="0" w:type="dxa"/>
              <w:right w:w="108" w:type="dxa"/>
            </w:tcMar>
            <w:vAlign w:val="center"/>
            <w:hideMark/>
          </w:tcPr>
          <w:p w14:paraId="6D3FD245"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软件无线电技术</w:t>
            </w:r>
          </w:p>
        </w:tc>
        <w:tc>
          <w:tcPr>
            <w:tcW w:w="444" w:type="pct"/>
            <w:shd w:val="clear" w:color="auto" w:fill="auto"/>
            <w:tcMar>
              <w:top w:w="0" w:type="dxa"/>
              <w:left w:w="108" w:type="dxa"/>
              <w:bottom w:w="0" w:type="dxa"/>
              <w:right w:w="108" w:type="dxa"/>
            </w:tcMar>
            <w:vAlign w:val="center"/>
            <w:hideMark/>
          </w:tcPr>
          <w:p w14:paraId="4472967B"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专有技术</w:t>
            </w:r>
          </w:p>
        </w:tc>
        <w:tc>
          <w:tcPr>
            <w:tcW w:w="489" w:type="pct"/>
            <w:shd w:val="clear" w:color="auto" w:fill="auto"/>
            <w:tcMar>
              <w:top w:w="0" w:type="dxa"/>
              <w:left w:w="108" w:type="dxa"/>
              <w:bottom w:w="0" w:type="dxa"/>
              <w:right w:w="108" w:type="dxa"/>
            </w:tcMar>
            <w:vAlign w:val="center"/>
            <w:hideMark/>
          </w:tcPr>
          <w:p w14:paraId="7B03B86F" w14:textId="77777777" w:rsidR="00635468" w:rsidRPr="00B4515A" w:rsidRDefault="00635468"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自主研发</w:t>
            </w:r>
          </w:p>
        </w:tc>
        <w:tc>
          <w:tcPr>
            <w:tcW w:w="2868" w:type="pct"/>
            <w:shd w:val="clear" w:color="auto" w:fill="auto"/>
            <w:tcMar>
              <w:top w:w="0" w:type="dxa"/>
              <w:left w:w="108" w:type="dxa"/>
              <w:bottom w:w="0" w:type="dxa"/>
              <w:right w:w="108" w:type="dxa"/>
            </w:tcMar>
            <w:vAlign w:val="center"/>
            <w:hideMark/>
          </w:tcPr>
          <w:p w14:paraId="58C76CAA" w14:textId="77777777" w:rsidR="00635468" w:rsidRPr="00B4515A" w:rsidRDefault="00635468"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公司针对不同通信体制可通过加载实现在同一设备运行的要，开展了关键技术研究和原理验证，通过多个成熟产品的应用和改进，该技术已完全成熟</w:t>
            </w:r>
          </w:p>
        </w:tc>
      </w:tr>
    </w:tbl>
    <w:p w14:paraId="64661784" w14:textId="77777777" w:rsidR="006416B0" w:rsidRPr="00B4515A" w:rsidRDefault="005E58C1" w:rsidP="005860B4">
      <w:pPr>
        <w:pStyle w:val="003"/>
        <w:spacing w:before="120"/>
        <w:ind w:firstLine="482"/>
      </w:pPr>
      <w:r w:rsidRPr="00B4515A">
        <w:rPr>
          <w:rFonts w:hint="eastAsia"/>
        </w:rPr>
        <w:t>（二）对外担保情况</w:t>
      </w:r>
    </w:p>
    <w:p w14:paraId="3BA10EE3" w14:textId="77777777" w:rsidR="006416B0" w:rsidRPr="00B4515A" w:rsidRDefault="005E58C1" w:rsidP="005860B4">
      <w:pPr>
        <w:pStyle w:val="005"/>
        <w:spacing w:before="120" w:after="120"/>
        <w:ind w:firstLine="480"/>
        <w:rPr>
          <w:b/>
          <w:bCs/>
        </w:rPr>
      </w:pPr>
      <w:r w:rsidRPr="00B4515A">
        <w:rPr>
          <w:rFonts w:hint="eastAsia"/>
        </w:rPr>
        <w:t>截至</w:t>
      </w:r>
      <w:r w:rsidRPr="00B4515A">
        <w:t>2021</w:t>
      </w:r>
      <w:r w:rsidRPr="00B4515A">
        <w:t>年</w:t>
      </w:r>
      <w:r w:rsidRPr="00B4515A">
        <w:t>4</w:t>
      </w:r>
      <w:r w:rsidRPr="00B4515A">
        <w:t>月</w:t>
      </w:r>
      <w:r w:rsidRPr="00B4515A">
        <w:t>30</w:t>
      </w:r>
      <w:r w:rsidRPr="00B4515A">
        <w:t>日</w:t>
      </w:r>
      <w:r w:rsidRPr="00B4515A">
        <w:rPr>
          <w:rFonts w:hint="eastAsia"/>
        </w:rPr>
        <w:t>，大唐联诚</w:t>
      </w:r>
      <w:r w:rsidRPr="00B4515A">
        <w:t>不存在对外担保的情形。</w:t>
      </w:r>
    </w:p>
    <w:p w14:paraId="2CC4FA3A" w14:textId="77777777" w:rsidR="006416B0" w:rsidRPr="00B4515A" w:rsidRDefault="005E58C1" w:rsidP="005860B4">
      <w:pPr>
        <w:pStyle w:val="003"/>
        <w:spacing w:before="120"/>
        <w:ind w:firstLine="482"/>
      </w:pPr>
      <w:r w:rsidRPr="00B4515A">
        <w:rPr>
          <w:rFonts w:hint="eastAsia"/>
        </w:rPr>
        <w:t>（三）主要负债情况</w:t>
      </w:r>
    </w:p>
    <w:p w14:paraId="1BC03BCB" w14:textId="77777777" w:rsidR="006416B0" w:rsidRPr="00B4515A" w:rsidRDefault="005E58C1" w:rsidP="005860B4">
      <w:pPr>
        <w:pStyle w:val="005"/>
        <w:spacing w:before="120" w:after="120"/>
        <w:ind w:firstLine="480"/>
        <w:rPr>
          <w:b/>
          <w:bCs/>
        </w:rPr>
      </w:pPr>
      <w:r w:rsidRPr="00B4515A">
        <w:rPr>
          <w:rFonts w:hint="eastAsia"/>
        </w:rPr>
        <w:t>截至</w:t>
      </w:r>
      <w:r w:rsidRPr="00B4515A">
        <w:t>2021</w:t>
      </w:r>
      <w:r w:rsidRPr="00B4515A">
        <w:rPr>
          <w:rFonts w:hint="eastAsia"/>
        </w:rPr>
        <w:t>年</w:t>
      </w:r>
      <w:r w:rsidRPr="00B4515A">
        <w:t>4</w:t>
      </w:r>
      <w:r w:rsidRPr="00B4515A">
        <w:rPr>
          <w:rFonts w:hint="eastAsia"/>
        </w:rPr>
        <w:t>月</w:t>
      </w:r>
      <w:r w:rsidRPr="00B4515A">
        <w:t>30</w:t>
      </w:r>
      <w:r w:rsidRPr="00B4515A">
        <w:rPr>
          <w:rFonts w:hint="eastAsia"/>
        </w:rPr>
        <w:t>日，大唐联诚负债总额</w:t>
      </w:r>
      <w:r w:rsidRPr="00B4515A">
        <w:t>730,891,351.96</w:t>
      </w:r>
      <w:r w:rsidRPr="00B4515A">
        <w:rPr>
          <w:rFonts w:hint="eastAsia"/>
        </w:rPr>
        <w:t>元，其中流动负债为</w:t>
      </w:r>
      <w:r w:rsidRPr="00B4515A">
        <w:t>683,054,515.05</w:t>
      </w:r>
      <w:r w:rsidRPr="00B4515A">
        <w:rPr>
          <w:rFonts w:hint="eastAsia"/>
        </w:rPr>
        <w:t>元，非流动负债为</w:t>
      </w:r>
      <w:r w:rsidRPr="00B4515A">
        <w:t>47,836,836.91</w:t>
      </w:r>
      <w:r w:rsidRPr="00B4515A">
        <w:rPr>
          <w:rFonts w:hint="eastAsia"/>
        </w:rPr>
        <w:t>元。</w:t>
      </w:r>
      <w:bookmarkEnd w:id="174"/>
    </w:p>
    <w:p w14:paraId="38C2A17B" w14:textId="77777777" w:rsidR="006416B0" w:rsidRPr="00B4515A" w:rsidRDefault="005E58C1" w:rsidP="005860B4">
      <w:pPr>
        <w:pStyle w:val="002"/>
        <w:spacing w:before="120" w:after="120"/>
        <w:ind w:firstLine="562"/>
      </w:pPr>
      <w:bookmarkStart w:id="176" w:name="_Toc6356414"/>
      <w:bookmarkStart w:id="177" w:name="_Toc65492080"/>
      <w:bookmarkStart w:id="178" w:name="_Toc80960539"/>
      <w:r w:rsidRPr="00B4515A">
        <w:rPr>
          <w:rFonts w:hint="eastAsia"/>
        </w:rPr>
        <w:t>五</w:t>
      </w:r>
      <w:r w:rsidRPr="00B4515A">
        <w:t>、</w:t>
      </w:r>
      <w:bookmarkEnd w:id="176"/>
      <w:r w:rsidRPr="00B4515A">
        <w:rPr>
          <w:rFonts w:hint="eastAsia"/>
        </w:rPr>
        <w:t>主营业务发展情况</w:t>
      </w:r>
      <w:bookmarkEnd w:id="177"/>
      <w:bookmarkEnd w:id="178"/>
    </w:p>
    <w:p w14:paraId="1DB9B125" w14:textId="77777777" w:rsidR="006416B0" w:rsidRPr="00B4515A" w:rsidRDefault="005E58C1" w:rsidP="005860B4">
      <w:pPr>
        <w:pStyle w:val="003"/>
        <w:spacing w:before="120"/>
        <w:ind w:firstLine="482"/>
      </w:pPr>
      <w:bookmarkStart w:id="179" w:name="_Hlk76929788"/>
      <w:bookmarkStart w:id="180" w:name="_Hlk75164898"/>
      <w:r w:rsidRPr="00B4515A">
        <w:rPr>
          <w:rFonts w:hint="eastAsia"/>
        </w:rPr>
        <w:t>（一）大唐联诚主营业务概况</w:t>
      </w:r>
    </w:p>
    <w:p w14:paraId="77CD9A86" w14:textId="77777777" w:rsidR="006416B0" w:rsidRPr="00B4515A" w:rsidRDefault="005E58C1" w:rsidP="005860B4">
      <w:pPr>
        <w:pStyle w:val="005"/>
        <w:spacing w:before="120" w:after="120"/>
        <w:ind w:firstLine="480"/>
      </w:pPr>
      <w:r w:rsidRPr="00B4515A">
        <w:rPr>
          <w:rFonts w:hint="eastAsia"/>
        </w:rPr>
        <w:t>按照通信用途和服务对象分类，无线通信可分为专网无线通信和公网无线通信。专网无线通信则主要服务于特定部门或群体，主要应用于国防、公共安全、公共事业部门和部分工商业客户。公网无线通信主要服务于社会公众的个人通信。大唐联诚的产品主要应用于专网无线通信中的特通领域。</w:t>
      </w:r>
    </w:p>
    <w:p w14:paraId="25AE0ED4" w14:textId="77777777" w:rsidR="006416B0" w:rsidRPr="00B4515A" w:rsidRDefault="005E58C1" w:rsidP="005860B4">
      <w:pPr>
        <w:pStyle w:val="005"/>
        <w:spacing w:before="120" w:after="120"/>
        <w:ind w:firstLine="480"/>
      </w:pPr>
      <w:r w:rsidRPr="00B4515A">
        <w:rPr>
          <w:rFonts w:hint="eastAsia"/>
        </w:rPr>
        <w:t>大唐联诚是一家拥有完整的特种通信行业科研生产资质，立足特种通信行业，依托</w:t>
      </w:r>
      <w:r w:rsidRPr="00B4515A">
        <w:t>3G/4G/5G</w:t>
      </w:r>
      <w:r w:rsidRPr="00B4515A">
        <w:t>无线移动通信技术，通过技术创新，提供涵盖定制化无线通信设备和系统应用软件的自主可控整体解决方案的高新技术企业。</w:t>
      </w:r>
    </w:p>
    <w:p w14:paraId="217B9024" w14:textId="77777777" w:rsidR="006416B0" w:rsidRPr="00B4515A" w:rsidRDefault="005E58C1" w:rsidP="005860B4">
      <w:pPr>
        <w:pStyle w:val="003"/>
        <w:spacing w:before="120"/>
        <w:ind w:firstLine="482"/>
      </w:pPr>
      <w:r w:rsidRPr="00B4515A">
        <w:rPr>
          <w:rFonts w:hint="eastAsia"/>
        </w:rPr>
        <w:t>（二）所处行业的主管部门、监管体制、法律法规及产业政策</w:t>
      </w:r>
    </w:p>
    <w:p w14:paraId="1C55869A" w14:textId="77777777" w:rsidR="006416B0" w:rsidRPr="00B4515A" w:rsidRDefault="005E58C1" w:rsidP="005860B4">
      <w:pPr>
        <w:pStyle w:val="004"/>
        <w:spacing w:before="120" w:after="120"/>
        <w:ind w:firstLine="482"/>
      </w:pPr>
      <w:r w:rsidRPr="00B4515A">
        <w:t>1</w:t>
      </w:r>
      <w:r w:rsidRPr="00B4515A">
        <w:t>、行业主管部门、监管体制</w:t>
      </w:r>
    </w:p>
    <w:p w14:paraId="18198D67" w14:textId="77777777" w:rsidR="006416B0" w:rsidRPr="00B4515A" w:rsidRDefault="005E58C1" w:rsidP="005860B4">
      <w:pPr>
        <w:pStyle w:val="005"/>
        <w:spacing w:before="120" w:after="120"/>
        <w:ind w:firstLine="480"/>
      </w:pPr>
      <w:r w:rsidRPr="00B4515A">
        <w:rPr>
          <w:rFonts w:hint="eastAsia"/>
        </w:rPr>
        <w:t>根据中国证监会颁布的《上市公司行业分类指引》（</w:t>
      </w:r>
      <w:r w:rsidRPr="00B4515A">
        <w:rPr>
          <w:rFonts w:hint="eastAsia"/>
        </w:rPr>
        <w:t>2</w:t>
      </w:r>
      <w:r w:rsidRPr="00B4515A">
        <w:t>012</w:t>
      </w:r>
      <w:r w:rsidRPr="00B4515A">
        <w:rPr>
          <w:rFonts w:hint="eastAsia"/>
        </w:rPr>
        <w:t>年修订），大唐联诚所处的行业属于制造业</w:t>
      </w:r>
      <w:r w:rsidRPr="00B4515A">
        <w:rPr>
          <w:rFonts w:hint="eastAsia"/>
        </w:rPr>
        <w:t>-</w:t>
      </w:r>
      <w:r w:rsidRPr="00B4515A">
        <w:rPr>
          <w:rFonts w:hint="eastAsia"/>
        </w:rPr>
        <w:t>计算机、通信和其他电子设备制造业（行业代码：</w:t>
      </w:r>
      <w:r w:rsidRPr="00B4515A">
        <w:rPr>
          <w:rFonts w:hint="eastAsia"/>
        </w:rPr>
        <w:lastRenderedPageBreak/>
        <w:t>C39</w:t>
      </w:r>
      <w:r w:rsidRPr="00B4515A">
        <w:rPr>
          <w:rFonts w:hint="eastAsia"/>
        </w:rPr>
        <w:t>），细分行业领域为</w:t>
      </w:r>
      <w:r w:rsidRPr="00B4515A">
        <w:rPr>
          <w:rFonts w:ascii="宋体" w:hAnsi="宋体" w:hint="eastAsia"/>
        </w:rPr>
        <w:t>“</w:t>
      </w:r>
      <w:r w:rsidRPr="00B4515A">
        <w:rPr>
          <w:rFonts w:hint="eastAsia"/>
        </w:rPr>
        <w:t>通信设备制造</w:t>
      </w:r>
      <w:r w:rsidRPr="00B4515A">
        <w:rPr>
          <w:rFonts w:ascii="宋体" w:hAnsi="宋体" w:hint="eastAsia"/>
        </w:rPr>
        <w:t>”</w:t>
      </w:r>
      <w:r w:rsidRPr="00B4515A">
        <w:rPr>
          <w:rFonts w:hint="eastAsia"/>
        </w:rPr>
        <w:t>。</w:t>
      </w:r>
    </w:p>
    <w:p w14:paraId="27525886" w14:textId="77777777" w:rsidR="006416B0" w:rsidRPr="00B4515A" w:rsidRDefault="005E58C1" w:rsidP="005860B4">
      <w:pPr>
        <w:pStyle w:val="005"/>
        <w:spacing w:before="120" w:after="120"/>
        <w:ind w:firstLine="480"/>
      </w:pPr>
      <w:r w:rsidRPr="00B4515A">
        <w:rPr>
          <w:rFonts w:hint="eastAsia"/>
        </w:rPr>
        <w:t>大唐联诚所处行业的监管部门主要为国家国防科技工业局。</w:t>
      </w:r>
    </w:p>
    <w:p w14:paraId="1D1AD7AF" w14:textId="095C0D68" w:rsidR="006416B0" w:rsidRPr="00B4515A" w:rsidRDefault="005E58C1" w:rsidP="005860B4">
      <w:pPr>
        <w:pStyle w:val="005"/>
        <w:spacing w:before="120" w:after="120"/>
        <w:ind w:firstLine="480"/>
      </w:pPr>
      <w:r w:rsidRPr="00B4515A">
        <w:rPr>
          <w:rFonts w:hint="eastAsia"/>
        </w:rPr>
        <w:t>国家国防科技工业局的主要职责为研究拟定国防科技工业</w:t>
      </w:r>
      <w:r w:rsidR="00AD05FB" w:rsidRPr="00B4515A">
        <w:rPr>
          <w:rFonts w:hint="eastAsia"/>
        </w:rPr>
        <w:t>和军转民发展的方针、政策和法律、法规</w:t>
      </w:r>
      <w:r w:rsidRPr="00B4515A">
        <w:rPr>
          <w:rFonts w:hint="eastAsia"/>
        </w:rPr>
        <w:t>；制定国防科技工业及行业管理规章；组织研究和实施国防科技工业体制改革；组织军工企事业单位实施战略性重组；组织国防科技工业的结构、布局、能力调整、企业集团发展和企业改革工作；研究制定国防科技工业的发展规划、结构布局、总体目标；组织编制国防科技工业建设、军转民规划和行业发展规划；负责组织管理国防科技工业的对外交流与国际合作；代表中国政府参加有关国际组织及其有关活动；负责军工企事业单位的军品出口管理等。</w:t>
      </w:r>
    </w:p>
    <w:p w14:paraId="29D12799" w14:textId="77777777" w:rsidR="006416B0" w:rsidRPr="00B4515A" w:rsidRDefault="005E58C1" w:rsidP="005860B4">
      <w:pPr>
        <w:pStyle w:val="004"/>
        <w:spacing w:before="120" w:after="120"/>
        <w:ind w:firstLine="482"/>
      </w:pPr>
      <w:r w:rsidRPr="00B4515A">
        <w:rPr>
          <w:rFonts w:hint="eastAsia"/>
        </w:rPr>
        <w:t>2</w:t>
      </w:r>
      <w:r w:rsidRPr="00B4515A">
        <w:rPr>
          <w:rFonts w:hint="eastAsia"/>
        </w:rPr>
        <w:t>、行业主要法律法规及产业政策</w:t>
      </w:r>
    </w:p>
    <w:p w14:paraId="57E8D5F2" w14:textId="77777777" w:rsidR="006416B0" w:rsidRPr="00B4515A" w:rsidRDefault="005E58C1" w:rsidP="005860B4">
      <w:pPr>
        <w:pStyle w:val="005"/>
        <w:spacing w:before="120" w:after="120"/>
        <w:ind w:firstLine="480"/>
      </w:pPr>
      <w:r w:rsidRPr="00B4515A">
        <w:rPr>
          <w:rFonts w:hint="eastAsia"/>
        </w:rPr>
        <w:t>（</w:t>
      </w:r>
      <w:r w:rsidRPr="00B4515A">
        <w:rPr>
          <w:rFonts w:hint="eastAsia"/>
        </w:rPr>
        <w:t>1</w:t>
      </w:r>
      <w:r w:rsidRPr="00B4515A">
        <w:rPr>
          <w:rFonts w:hint="eastAsia"/>
        </w:rPr>
        <w:t>）主要法规及规范性文件如下：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35"/>
        <w:gridCol w:w="1473"/>
        <w:gridCol w:w="1871"/>
        <w:gridCol w:w="3849"/>
      </w:tblGrid>
      <w:tr w:rsidR="006416B0" w:rsidRPr="00B4515A" w14:paraId="0BA8628C" w14:textId="77777777" w:rsidTr="00152B01">
        <w:trPr>
          <w:trHeight w:val="340"/>
          <w:jc w:val="center"/>
        </w:trPr>
        <w:tc>
          <w:tcPr>
            <w:tcW w:w="1335" w:type="dxa"/>
            <w:shd w:val="clear" w:color="auto" w:fill="auto"/>
            <w:tcMar>
              <w:top w:w="0" w:type="dxa"/>
              <w:left w:w="108" w:type="dxa"/>
              <w:bottom w:w="0" w:type="dxa"/>
              <w:right w:w="108" w:type="dxa"/>
            </w:tcMar>
            <w:vAlign w:val="center"/>
          </w:tcPr>
          <w:p w14:paraId="1A649C0D"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hint="eastAsia"/>
                <w:b/>
                <w:color w:val="000000"/>
                <w:sz w:val="21"/>
                <w:szCs w:val="21"/>
              </w:rPr>
              <w:t>发布时间</w:t>
            </w:r>
          </w:p>
        </w:tc>
        <w:tc>
          <w:tcPr>
            <w:tcW w:w="1473" w:type="dxa"/>
            <w:shd w:val="clear" w:color="auto" w:fill="auto"/>
            <w:tcMar>
              <w:top w:w="0" w:type="dxa"/>
              <w:left w:w="108" w:type="dxa"/>
              <w:bottom w:w="0" w:type="dxa"/>
              <w:right w:w="108" w:type="dxa"/>
            </w:tcMar>
            <w:vAlign w:val="center"/>
          </w:tcPr>
          <w:p w14:paraId="20C37139" w14:textId="77777777" w:rsidR="006416B0" w:rsidRPr="00B4515A" w:rsidRDefault="005E58C1" w:rsidP="005860B4">
            <w:pPr>
              <w:widowControl w:val="0"/>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hint="eastAsia"/>
                <w:b/>
                <w:color w:val="000000"/>
                <w:sz w:val="21"/>
                <w:szCs w:val="21"/>
              </w:rPr>
              <w:t>主管部门</w:t>
            </w:r>
          </w:p>
        </w:tc>
        <w:tc>
          <w:tcPr>
            <w:tcW w:w="1871" w:type="dxa"/>
            <w:shd w:val="clear" w:color="auto" w:fill="auto"/>
            <w:tcMar>
              <w:top w:w="0" w:type="dxa"/>
              <w:left w:w="108" w:type="dxa"/>
              <w:bottom w:w="0" w:type="dxa"/>
              <w:right w:w="108" w:type="dxa"/>
            </w:tcMar>
            <w:vAlign w:val="center"/>
          </w:tcPr>
          <w:p w14:paraId="04DB4AAA" w14:textId="77777777" w:rsidR="006416B0" w:rsidRPr="00B4515A" w:rsidRDefault="005E58C1" w:rsidP="005860B4">
            <w:pPr>
              <w:widowControl w:val="0"/>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hint="eastAsia"/>
                <w:b/>
                <w:color w:val="000000"/>
                <w:sz w:val="21"/>
                <w:szCs w:val="21"/>
              </w:rPr>
              <w:t>法律法规</w:t>
            </w:r>
          </w:p>
        </w:tc>
        <w:tc>
          <w:tcPr>
            <w:tcW w:w="3849" w:type="dxa"/>
            <w:shd w:val="clear" w:color="auto" w:fill="auto"/>
            <w:tcMar>
              <w:top w:w="0" w:type="dxa"/>
              <w:left w:w="108" w:type="dxa"/>
              <w:bottom w:w="0" w:type="dxa"/>
              <w:right w:w="108" w:type="dxa"/>
            </w:tcMar>
            <w:vAlign w:val="center"/>
          </w:tcPr>
          <w:p w14:paraId="6BCBFCA6" w14:textId="77777777" w:rsidR="006416B0" w:rsidRPr="00B4515A" w:rsidRDefault="005E58C1" w:rsidP="005860B4">
            <w:pPr>
              <w:widowControl w:val="0"/>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hint="eastAsia"/>
                <w:b/>
                <w:color w:val="000000"/>
                <w:sz w:val="21"/>
                <w:szCs w:val="21"/>
              </w:rPr>
              <w:t>主要内容</w:t>
            </w:r>
          </w:p>
        </w:tc>
      </w:tr>
      <w:tr w:rsidR="0067089F" w:rsidRPr="00B4515A" w14:paraId="08AC77F4" w14:textId="77777777" w:rsidTr="00152B01">
        <w:trPr>
          <w:trHeight w:val="340"/>
          <w:jc w:val="center"/>
        </w:trPr>
        <w:tc>
          <w:tcPr>
            <w:tcW w:w="1335" w:type="dxa"/>
            <w:shd w:val="clear" w:color="auto" w:fill="auto"/>
            <w:tcMar>
              <w:top w:w="0" w:type="dxa"/>
              <w:left w:w="108" w:type="dxa"/>
              <w:bottom w:w="0" w:type="dxa"/>
              <w:right w:w="108" w:type="dxa"/>
            </w:tcMar>
            <w:vAlign w:val="center"/>
          </w:tcPr>
          <w:p w14:paraId="69490078" w14:textId="3DB935A7" w:rsidR="0067089F" w:rsidRPr="00B4515A" w:rsidRDefault="00152B01" w:rsidP="005860B4">
            <w:pPr>
              <w:adjustRightInd w:val="0"/>
              <w:snapToGrid w:val="0"/>
              <w:jc w:val="center"/>
              <w:rPr>
                <w:rFonts w:ascii="Times New Roman" w:hAnsi="Times New Roman" w:cs="Times New Roman"/>
                <w:bCs/>
                <w:color w:val="000000"/>
                <w:sz w:val="21"/>
                <w:szCs w:val="21"/>
              </w:rPr>
            </w:pPr>
            <w:r w:rsidRPr="00B4515A">
              <w:rPr>
                <w:rFonts w:ascii="Times New Roman" w:hAnsi="Times New Roman" w:cs="Times New Roman"/>
                <w:bCs/>
                <w:color w:val="000000"/>
                <w:sz w:val="21"/>
                <w:szCs w:val="21"/>
              </w:rPr>
              <w:t>2010</w:t>
            </w:r>
            <w:r w:rsidRPr="00B4515A">
              <w:rPr>
                <w:rFonts w:ascii="Times New Roman" w:hAnsi="Times New Roman" w:cs="Times New Roman" w:hint="eastAsia"/>
                <w:bCs/>
                <w:color w:val="000000"/>
                <w:sz w:val="21"/>
                <w:szCs w:val="21"/>
              </w:rPr>
              <w:t>年</w:t>
            </w:r>
          </w:p>
        </w:tc>
        <w:tc>
          <w:tcPr>
            <w:tcW w:w="1473" w:type="dxa"/>
            <w:shd w:val="clear" w:color="auto" w:fill="auto"/>
            <w:tcMar>
              <w:top w:w="0" w:type="dxa"/>
              <w:left w:w="108" w:type="dxa"/>
              <w:bottom w:w="0" w:type="dxa"/>
              <w:right w:w="108" w:type="dxa"/>
            </w:tcMar>
            <w:vAlign w:val="center"/>
          </w:tcPr>
          <w:p w14:paraId="30A3EA90" w14:textId="07BD4ABC" w:rsidR="0067089F" w:rsidRPr="00B4515A" w:rsidRDefault="00152B01" w:rsidP="005860B4">
            <w:pPr>
              <w:widowControl w:val="0"/>
              <w:adjustRightInd w:val="0"/>
              <w:snapToGrid w:val="0"/>
              <w:jc w:val="center"/>
              <w:rPr>
                <w:rFonts w:ascii="Times New Roman" w:hAnsi="Times New Roman" w:cs="Times New Roman"/>
                <w:bCs/>
                <w:color w:val="000000"/>
                <w:sz w:val="21"/>
                <w:szCs w:val="21"/>
              </w:rPr>
            </w:pPr>
            <w:r w:rsidRPr="00B4515A">
              <w:rPr>
                <w:rFonts w:ascii="Times New Roman" w:hAnsi="Times New Roman" w:cs="Times New Roman" w:hint="eastAsia"/>
                <w:bCs/>
                <w:color w:val="000000"/>
                <w:sz w:val="21"/>
                <w:szCs w:val="21"/>
              </w:rPr>
              <w:t>全国人大常委会</w:t>
            </w:r>
          </w:p>
        </w:tc>
        <w:tc>
          <w:tcPr>
            <w:tcW w:w="1871" w:type="dxa"/>
            <w:shd w:val="clear" w:color="auto" w:fill="auto"/>
            <w:tcMar>
              <w:top w:w="0" w:type="dxa"/>
              <w:left w:w="108" w:type="dxa"/>
              <w:bottom w:w="0" w:type="dxa"/>
              <w:right w:w="108" w:type="dxa"/>
            </w:tcMar>
            <w:vAlign w:val="center"/>
          </w:tcPr>
          <w:p w14:paraId="1B6A7087" w14:textId="12A4CC20" w:rsidR="0067089F" w:rsidRPr="00B4515A" w:rsidRDefault="00152B01" w:rsidP="005860B4">
            <w:pPr>
              <w:widowControl w:val="0"/>
              <w:adjustRightInd w:val="0"/>
              <w:snapToGrid w:val="0"/>
              <w:jc w:val="center"/>
              <w:rPr>
                <w:rFonts w:ascii="Times New Roman" w:hAnsi="Times New Roman" w:cs="Times New Roman"/>
                <w:bCs/>
                <w:color w:val="000000"/>
                <w:sz w:val="21"/>
                <w:szCs w:val="21"/>
              </w:rPr>
            </w:pPr>
            <w:r w:rsidRPr="00B4515A">
              <w:rPr>
                <w:rFonts w:ascii="Times New Roman" w:hAnsi="Times New Roman" w:cs="Times New Roman" w:hint="eastAsia"/>
                <w:bCs/>
                <w:color w:val="000000"/>
                <w:sz w:val="21"/>
                <w:szCs w:val="21"/>
              </w:rPr>
              <w:t>《中华人民共和国保守国家秘密法》</w:t>
            </w:r>
          </w:p>
        </w:tc>
        <w:tc>
          <w:tcPr>
            <w:tcW w:w="3849" w:type="dxa"/>
            <w:shd w:val="clear" w:color="auto" w:fill="auto"/>
            <w:tcMar>
              <w:top w:w="0" w:type="dxa"/>
              <w:left w:w="108" w:type="dxa"/>
              <w:bottom w:w="0" w:type="dxa"/>
              <w:right w:w="108" w:type="dxa"/>
            </w:tcMar>
            <w:vAlign w:val="center"/>
          </w:tcPr>
          <w:p w14:paraId="5D6BB931" w14:textId="429D1E9B" w:rsidR="0067089F" w:rsidRPr="00B4515A" w:rsidRDefault="00152B01" w:rsidP="005860B4">
            <w:pPr>
              <w:widowControl w:val="0"/>
              <w:adjustRightInd w:val="0"/>
              <w:snapToGrid w:val="0"/>
              <w:jc w:val="center"/>
              <w:rPr>
                <w:rFonts w:ascii="Times New Roman" w:hAnsi="Times New Roman" w:cs="Times New Roman"/>
                <w:bCs/>
                <w:color w:val="000000"/>
                <w:sz w:val="21"/>
                <w:szCs w:val="21"/>
              </w:rPr>
            </w:pPr>
            <w:r w:rsidRPr="00B4515A">
              <w:rPr>
                <w:rFonts w:ascii="Times New Roman" w:hAnsi="Times New Roman" w:cs="Times New Roman" w:hint="eastAsia"/>
                <w:bCs/>
                <w:color w:val="000000"/>
                <w:sz w:val="21"/>
                <w:szCs w:val="21"/>
              </w:rPr>
              <w:t>对国家秘密的范围和密级、保密义务和相关监督管理制度进行了规范</w:t>
            </w:r>
            <w:r w:rsidR="00B6507B" w:rsidRPr="00B4515A">
              <w:rPr>
                <w:rFonts w:ascii="Times New Roman" w:hAnsi="Times New Roman" w:cs="Times New Roman" w:hint="eastAsia"/>
                <w:bCs/>
                <w:color w:val="000000"/>
                <w:sz w:val="21"/>
                <w:szCs w:val="21"/>
              </w:rPr>
              <w:t>。</w:t>
            </w:r>
          </w:p>
        </w:tc>
      </w:tr>
      <w:tr w:rsidR="00152B01" w:rsidRPr="00B4515A" w14:paraId="0886DAF7" w14:textId="77777777" w:rsidTr="00152B01">
        <w:trPr>
          <w:trHeight w:val="340"/>
          <w:jc w:val="center"/>
        </w:trPr>
        <w:tc>
          <w:tcPr>
            <w:tcW w:w="1335" w:type="dxa"/>
            <w:shd w:val="clear" w:color="auto" w:fill="auto"/>
            <w:tcMar>
              <w:top w:w="0" w:type="dxa"/>
              <w:left w:w="108" w:type="dxa"/>
              <w:bottom w:w="0" w:type="dxa"/>
              <w:right w:w="108" w:type="dxa"/>
            </w:tcMar>
            <w:vAlign w:val="center"/>
          </w:tcPr>
          <w:p w14:paraId="4CA07C51" w14:textId="28B2FDAD" w:rsidR="00152B01" w:rsidRPr="00B4515A" w:rsidRDefault="00152B01" w:rsidP="00152B01">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color w:val="000000"/>
                <w:sz w:val="21"/>
                <w:szCs w:val="21"/>
              </w:rPr>
              <w:t>2015</w:t>
            </w:r>
            <w:r w:rsidRPr="00B4515A">
              <w:rPr>
                <w:rFonts w:ascii="Times New Roman" w:hAnsi="Times New Roman" w:cs="Times New Roman" w:hint="eastAsia"/>
                <w:color w:val="000000"/>
                <w:sz w:val="21"/>
                <w:szCs w:val="21"/>
              </w:rPr>
              <w:t>年</w:t>
            </w:r>
          </w:p>
        </w:tc>
        <w:tc>
          <w:tcPr>
            <w:tcW w:w="1473" w:type="dxa"/>
            <w:shd w:val="clear" w:color="auto" w:fill="auto"/>
            <w:tcMar>
              <w:top w:w="0" w:type="dxa"/>
              <w:left w:w="108" w:type="dxa"/>
              <w:bottom w:w="0" w:type="dxa"/>
              <w:right w:w="108" w:type="dxa"/>
            </w:tcMar>
            <w:vAlign w:val="center"/>
          </w:tcPr>
          <w:p w14:paraId="43CE0F8F" w14:textId="75BAA8CA" w:rsidR="00152B01" w:rsidRPr="00B4515A" w:rsidRDefault="00152B01" w:rsidP="00152B01">
            <w:pPr>
              <w:widowControl w:val="0"/>
              <w:adjustRightInd w:val="0"/>
              <w:snapToGrid w:val="0"/>
              <w:jc w:val="center"/>
              <w:rPr>
                <w:rFonts w:ascii="Times New Roman" w:hAnsi="Times New Roman" w:cs="Times New Roman"/>
                <w:bCs/>
                <w:color w:val="000000"/>
                <w:sz w:val="21"/>
                <w:szCs w:val="21"/>
              </w:rPr>
            </w:pPr>
            <w:r w:rsidRPr="00B4515A">
              <w:rPr>
                <w:rFonts w:ascii="Times New Roman" w:hAnsi="Times New Roman" w:cs="Times New Roman" w:hint="eastAsia"/>
                <w:color w:val="000000"/>
                <w:sz w:val="21"/>
                <w:szCs w:val="21"/>
              </w:rPr>
              <w:t>全国人大常委会</w:t>
            </w:r>
          </w:p>
        </w:tc>
        <w:tc>
          <w:tcPr>
            <w:tcW w:w="1871" w:type="dxa"/>
            <w:shd w:val="clear" w:color="auto" w:fill="auto"/>
            <w:tcMar>
              <w:top w:w="0" w:type="dxa"/>
              <w:left w:w="108" w:type="dxa"/>
              <w:bottom w:w="0" w:type="dxa"/>
              <w:right w:w="108" w:type="dxa"/>
            </w:tcMar>
            <w:vAlign w:val="center"/>
          </w:tcPr>
          <w:p w14:paraId="5337BC83" w14:textId="14EA5083" w:rsidR="00152B01" w:rsidRPr="00B4515A" w:rsidRDefault="00152B01" w:rsidP="00152B01">
            <w:pPr>
              <w:widowControl w:val="0"/>
              <w:adjustRightInd w:val="0"/>
              <w:snapToGrid w:val="0"/>
              <w:jc w:val="center"/>
              <w:rPr>
                <w:rFonts w:ascii="Times New Roman" w:hAnsi="Times New Roman" w:cs="Times New Roman"/>
                <w:bCs/>
                <w:color w:val="000000"/>
                <w:sz w:val="21"/>
                <w:szCs w:val="21"/>
              </w:rPr>
            </w:pPr>
            <w:r w:rsidRPr="00B4515A">
              <w:rPr>
                <w:rFonts w:ascii="Times New Roman" w:hAnsi="Times New Roman" w:cs="Times New Roman" w:hint="eastAsia"/>
                <w:color w:val="000000"/>
                <w:sz w:val="21"/>
                <w:szCs w:val="21"/>
              </w:rPr>
              <w:t>《中华人民共和国国家安全法》</w:t>
            </w:r>
          </w:p>
        </w:tc>
        <w:tc>
          <w:tcPr>
            <w:tcW w:w="3849" w:type="dxa"/>
            <w:shd w:val="clear" w:color="auto" w:fill="auto"/>
            <w:tcMar>
              <w:top w:w="0" w:type="dxa"/>
              <w:left w:w="108" w:type="dxa"/>
              <w:bottom w:w="0" w:type="dxa"/>
              <w:right w:w="108" w:type="dxa"/>
            </w:tcMar>
            <w:vAlign w:val="center"/>
          </w:tcPr>
          <w:p w14:paraId="1C47C615" w14:textId="7C1F6044" w:rsidR="00152B01" w:rsidRPr="00B4515A" w:rsidRDefault="00152B01" w:rsidP="00152B01">
            <w:pPr>
              <w:widowControl w:val="0"/>
              <w:adjustRightInd w:val="0"/>
              <w:snapToGrid w:val="0"/>
              <w:jc w:val="center"/>
              <w:rPr>
                <w:rFonts w:ascii="Times New Roman" w:hAnsi="Times New Roman" w:cs="Times New Roman"/>
                <w:bCs/>
                <w:color w:val="000000"/>
                <w:sz w:val="21"/>
                <w:szCs w:val="21"/>
              </w:rPr>
            </w:pPr>
            <w:r w:rsidRPr="00B4515A">
              <w:rPr>
                <w:rFonts w:ascii="Times New Roman" w:hAnsi="Times New Roman" w:cs="Times New Roman" w:hint="eastAsia"/>
                <w:color w:val="000000"/>
                <w:sz w:val="21"/>
                <w:szCs w:val="21"/>
              </w:rPr>
              <w:t>对维护国家安全的任务与职责，国家安全制度，国家安全保障，公民、组织的义务和权利等方面进行了规定</w:t>
            </w:r>
          </w:p>
        </w:tc>
      </w:tr>
      <w:tr w:rsidR="006416B0" w:rsidRPr="00B4515A" w14:paraId="05BA1056" w14:textId="77777777" w:rsidTr="00152B01">
        <w:trPr>
          <w:trHeight w:val="340"/>
          <w:jc w:val="center"/>
        </w:trPr>
        <w:tc>
          <w:tcPr>
            <w:tcW w:w="1335" w:type="dxa"/>
            <w:shd w:val="clear" w:color="auto" w:fill="auto"/>
            <w:tcMar>
              <w:top w:w="0" w:type="dxa"/>
              <w:left w:w="108" w:type="dxa"/>
              <w:bottom w:w="0" w:type="dxa"/>
              <w:right w:w="108" w:type="dxa"/>
            </w:tcMar>
            <w:vAlign w:val="center"/>
          </w:tcPr>
          <w:p w14:paraId="45546F9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2014</w:t>
            </w:r>
            <w:r w:rsidRPr="00B4515A">
              <w:rPr>
                <w:rFonts w:ascii="Times New Roman" w:hAnsi="Times New Roman" w:cs="Times New Roman" w:hint="eastAsia"/>
                <w:color w:val="000000"/>
                <w:sz w:val="21"/>
                <w:szCs w:val="21"/>
              </w:rPr>
              <w:t>年</w:t>
            </w:r>
          </w:p>
        </w:tc>
        <w:tc>
          <w:tcPr>
            <w:tcW w:w="1473" w:type="dxa"/>
            <w:shd w:val="clear" w:color="auto" w:fill="auto"/>
            <w:tcMar>
              <w:top w:w="0" w:type="dxa"/>
              <w:left w:w="108" w:type="dxa"/>
              <w:bottom w:w="0" w:type="dxa"/>
              <w:right w:w="108" w:type="dxa"/>
            </w:tcMar>
            <w:vAlign w:val="center"/>
          </w:tcPr>
          <w:p w14:paraId="53491C6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国务院</w:t>
            </w:r>
          </w:p>
        </w:tc>
        <w:tc>
          <w:tcPr>
            <w:tcW w:w="1871" w:type="dxa"/>
            <w:shd w:val="clear" w:color="auto" w:fill="auto"/>
            <w:tcMar>
              <w:top w:w="0" w:type="dxa"/>
              <w:left w:w="108" w:type="dxa"/>
              <w:bottom w:w="0" w:type="dxa"/>
              <w:right w:w="108" w:type="dxa"/>
            </w:tcMar>
            <w:vAlign w:val="center"/>
          </w:tcPr>
          <w:p w14:paraId="36D3E95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《中华人民共和国保守国家秘密法实施条例》</w:t>
            </w:r>
          </w:p>
        </w:tc>
        <w:tc>
          <w:tcPr>
            <w:tcW w:w="3849" w:type="dxa"/>
            <w:shd w:val="clear" w:color="auto" w:fill="auto"/>
            <w:tcMar>
              <w:top w:w="0" w:type="dxa"/>
              <w:left w:w="108" w:type="dxa"/>
              <w:bottom w:w="0" w:type="dxa"/>
              <w:right w:w="108" w:type="dxa"/>
            </w:tcMar>
            <w:vAlign w:val="center"/>
          </w:tcPr>
          <w:p w14:paraId="7AAACE52" w14:textId="2B7B0122" w:rsidR="006416B0" w:rsidRPr="00B4515A" w:rsidRDefault="00152B0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根据《中华人民共和国保守国家秘密法》，对国家秘密的范围和密级、保密义务和相关监督管理制度等进行了具体细化。</w:t>
            </w:r>
          </w:p>
        </w:tc>
      </w:tr>
    </w:tbl>
    <w:p w14:paraId="4FAEF615" w14:textId="77777777" w:rsidR="006416B0" w:rsidRPr="00B4515A" w:rsidRDefault="005E58C1" w:rsidP="005860B4">
      <w:pPr>
        <w:pStyle w:val="005"/>
        <w:spacing w:before="120" w:after="120"/>
        <w:ind w:firstLine="480"/>
      </w:pPr>
      <w:r w:rsidRPr="00B4515A">
        <w:rPr>
          <w:rFonts w:hint="eastAsia"/>
        </w:rPr>
        <w:t>（</w:t>
      </w:r>
      <w:r w:rsidRPr="00B4515A">
        <w:rPr>
          <w:rFonts w:hint="eastAsia"/>
        </w:rPr>
        <w:t>2</w:t>
      </w:r>
      <w:r w:rsidRPr="00B4515A">
        <w:rPr>
          <w:rFonts w:hint="eastAsia"/>
        </w:rPr>
        <w:t>）主要产业政策如下：</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527"/>
        <w:gridCol w:w="7001"/>
      </w:tblGrid>
      <w:tr w:rsidR="006416B0" w:rsidRPr="00B4515A" w14:paraId="3DF395FB" w14:textId="77777777" w:rsidTr="00031627">
        <w:trPr>
          <w:trHeight w:val="340"/>
          <w:jc w:val="center"/>
        </w:trPr>
        <w:tc>
          <w:tcPr>
            <w:tcW w:w="895" w:type="pct"/>
            <w:tcMar>
              <w:top w:w="0" w:type="dxa"/>
              <w:left w:w="108" w:type="dxa"/>
              <w:bottom w:w="0" w:type="dxa"/>
              <w:right w:w="108" w:type="dxa"/>
            </w:tcMar>
            <w:vAlign w:val="center"/>
          </w:tcPr>
          <w:p w14:paraId="062374D9"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发布</w:t>
            </w:r>
            <w:r w:rsidRPr="00B4515A">
              <w:rPr>
                <w:rFonts w:ascii="Times New Roman" w:hAnsi="Times New Roman" w:cs="Times New Roman" w:hint="eastAsia"/>
                <w:b/>
                <w:color w:val="000000"/>
                <w:sz w:val="21"/>
                <w:szCs w:val="21"/>
              </w:rPr>
              <w:t>时间</w:t>
            </w:r>
          </w:p>
        </w:tc>
        <w:tc>
          <w:tcPr>
            <w:tcW w:w="4105" w:type="pct"/>
            <w:tcMar>
              <w:top w:w="0" w:type="dxa"/>
              <w:left w:w="108" w:type="dxa"/>
              <w:bottom w:w="0" w:type="dxa"/>
              <w:right w:w="108" w:type="dxa"/>
            </w:tcMar>
            <w:vAlign w:val="center"/>
          </w:tcPr>
          <w:p w14:paraId="19466DEB"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hint="eastAsia"/>
                <w:b/>
                <w:color w:val="000000"/>
                <w:sz w:val="21"/>
                <w:szCs w:val="21"/>
              </w:rPr>
              <w:t>文件名称</w:t>
            </w:r>
          </w:p>
        </w:tc>
      </w:tr>
      <w:tr w:rsidR="006416B0" w:rsidRPr="00B4515A" w14:paraId="40EF27E8" w14:textId="77777777" w:rsidTr="00EE238F">
        <w:trPr>
          <w:trHeight w:val="340"/>
          <w:jc w:val="center"/>
        </w:trPr>
        <w:tc>
          <w:tcPr>
            <w:tcW w:w="895" w:type="pct"/>
            <w:tcMar>
              <w:top w:w="0" w:type="dxa"/>
              <w:left w:w="108" w:type="dxa"/>
              <w:bottom w:w="0" w:type="dxa"/>
              <w:right w:w="108" w:type="dxa"/>
            </w:tcMar>
            <w:vAlign w:val="center"/>
          </w:tcPr>
          <w:p w14:paraId="44CD8E35" w14:textId="77777777" w:rsidR="006416B0" w:rsidRPr="00B4515A" w:rsidRDefault="005E58C1" w:rsidP="005860B4">
            <w:pPr>
              <w:pStyle w:val="TableParagraph"/>
              <w:adjustRightInd w:val="0"/>
              <w:snapToGrid w:val="0"/>
              <w:jc w:val="center"/>
              <w:rPr>
                <w:rFonts w:ascii="Times New Roman" w:hAnsi="Times New Roman" w:cs="Times New Roman"/>
                <w:w w:val="103"/>
                <w:sz w:val="21"/>
                <w:szCs w:val="21"/>
                <w:lang w:eastAsia="zh-CN"/>
              </w:rPr>
            </w:pPr>
            <w:r w:rsidRPr="00B4515A">
              <w:rPr>
                <w:rFonts w:ascii="Times New Roman" w:hAnsi="Times New Roman" w:cs="Times New Roman"/>
                <w:w w:val="103"/>
                <w:sz w:val="21"/>
                <w:szCs w:val="21"/>
                <w:lang w:eastAsia="zh-CN"/>
              </w:rPr>
              <w:t>2016</w:t>
            </w:r>
          </w:p>
        </w:tc>
        <w:tc>
          <w:tcPr>
            <w:tcW w:w="4105" w:type="pct"/>
            <w:tcMar>
              <w:top w:w="0" w:type="dxa"/>
              <w:left w:w="108" w:type="dxa"/>
              <w:bottom w:w="0" w:type="dxa"/>
              <w:right w:w="108" w:type="dxa"/>
            </w:tcMar>
            <w:vAlign w:val="center"/>
          </w:tcPr>
          <w:p w14:paraId="1CD560CC" w14:textId="77777777" w:rsidR="006416B0" w:rsidRPr="00B4515A" w:rsidRDefault="005E58C1" w:rsidP="005860B4">
            <w:pPr>
              <w:pStyle w:val="TableParagraph"/>
              <w:adjustRightInd w:val="0"/>
              <w:snapToGrid w:val="0"/>
              <w:jc w:val="center"/>
              <w:rPr>
                <w:rFonts w:ascii="Times New Roman" w:hAnsi="Times New Roman" w:cs="Times New Roman"/>
                <w:w w:val="103"/>
                <w:sz w:val="21"/>
                <w:szCs w:val="21"/>
                <w:lang w:eastAsia="zh-CN"/>
              </w:rPr>
            </w:pPr>
            <w:r w:rsidRPr="00B4515A">
              <w:rPr>
                <w:rFonts w:ascii="Times New Roman" w:hAnsi="Times New Roman" w:cs="Times New Roman" w:hint="eastAsia"/>
                <w:w w:val="103"/>
                <w:sz w:val="21"/>
                <w:szCs w:val="21"/>
                <w:lang w:eastAsia="zh-CN"/>
              </w:rPr>
              <w:t>《国家信息化发展战略纲要》</w:t>
            </w:r>
          </w:p>
        </w:tc>
      </w:tr>
      <w:tr w:rsidR="006416B0" w:rsidRPr="00B4515A" w14:paraId="5915DDD0" w14:textId="77777777" w:rsidTr="00EE238F">
        <w:trPr>
          <w:trHeight w:val="340"/>
          <w:jc w:val="center"/>
        </w:trPr>
        <w:tc>
          <w:tcPr>
            <w:tcW w:w="895" w:type="pct"/>
            <w:tcMar>
              <w:top w:w="0" w:type="dxa"/>
              <w:left w:w="108" w:type="dxa"/>
              <w:bottom w:w="0" w:type="dxa"/>
              <w:right w:w="108" w:type="dxa"/>
            </w:tcMar>
            <w:vAlign w:val="center"/>
          </w:tcPr>
          <w:p w14:paraId="31DAD928" w14:textId="77777777" w:rsidR="006416B0" w:rsidRPr="00B4515A" w:rsidRDefault="005E58C1" w:rsidP="005860B4">
            <w:pPr>
              <w:pStyle w:val="TableParagraph"/>
              <w:adjustRightInd w:val="0"/>
              <w:snapToGrid w:val="0"/>
              <w:jc w:val="center"/>
              <w:rPr>
                <w:rFonts w:ascii="Times New Roman" w:hAnsi="Times New Roman" w:cs="Times New Roman"/>
                <w:w w:val="103"/>
                <w:sz w:val="21"/>
                <w:szCs w:val="21"/>
                <w:lang w:eastAsia="zh-CN"/>
              </w:rPr>
            </w:pPr>
            <w:r w:rsidRPr="00B4515A">
              <w:rPr>
                <w:rFonts w:ascii="Times New Roman" w:hAnsi="Times New Roman" w:cs="Times New Roman"/>
                <w:w w:val="103"/>
                <w:sz w:val="21"/>
                <w:szCs w:val="21"/>
                <w:lang w:eastAsia="zh-CN"/>
              </w:rPr>
              <w:t>2020</w:t>
            </w:r>
          </w:p>
        </w:tc>
        <w:tc>
          <w:tcPr>
            <w:tcW w:w="4105" w:type="pct"/>
            <w:tcMar>
              <w:top w:w="0" w:type="dxa"/>
              <w:left w:w="108" w:type="dxa"/>
              <w:bottom w:w="0" w:type="dxa"/>
              <w:right w:w="108" w:type="dxa"/>
            </w:tcMar>
            <w:vAlign w:val="center"/>
          </w:tcPr>
          <w:p w14:paraId="33C9A042" w14:textId="77777777" w:rsidR="006416B0" w:rsidRPr="00B4515A" w:rsidRDefault="005E58C1" w:rsidP="005860B4">
            <w:pPr>
              <w:pStyle w:val="TableParagraph"/>
              <w:adjustRightInd w:val="0"/>
              <w:snapToGrid w:val="0"/>
              <w:jc w:val="center"/>
              <w:rPr>
                <w:rFonts w:ascii="Times New Roman" w:hAnsi="Times New Roman" w:cs="Times New Roman"/>
                <w:w w:val="103"/>
                <w:sz w:val="21"/>
                <w:szCs w:val="21"/>
                <w:lang w:eastAsia="zh-CN"/>
              </w:rPr>
            </w:pPr>
            <w:r w:rsidRPr="00B4515A">
              <w:rPr>
                <w:rFonts w:ascii="Times New Roman" w:hAnsi="Times New Roman" w:cs="Times New Roman" w:hint="eastAsia"/>
                <w:w w:val="103"/>
                <w:sz w:val="21"/>
                <w:szCs w:val="21"/>
                <w:lang w:eastAsia="zh-CN"/>
              </w:rPr>
              <w:t>《中共中央关于制定国民经济和社会发展第十四个五年规划和二〇三五年远景目标的建议》</w:t>
            </w:r>
          </w:p>
        </w:tc>
      </w:tr>
    </w:tbl>
    <w:p w14:paraId="36EB6C99" w14:textId="77777777" w:rsidR="006416B0" w:rsidRPr="00B4515A" w:rsidRDefault="005E58C1">
      <w:pPr>
        <w:spacing w:beforeLines="50" w:before="120" w:afterLines="50" w:after="120" w:line="360" w:lineRule="auto"/>
        <w:ind w:firstLineChars="200" w:firstLine="482"/>
        <w:jc w:val="both"/>
        <w:rPr>
          <w:rFonts w:ascii="Times New Roman" w:hAnsi="Times New Roman" w:cs="Times New Roman"/>
          <w:b/>
          <w:bCs/>
        </w:rPr>
      </w:pPr>
      <w:r w:rsidRPr="00B4515A">
        <w:rPr>
          <w:rFonts w:ascii="Times New Roman" w:hAnsi="Times New Roman" w:cs="Times New Roman" w:hint="eastAsia"/>
          <w:b/>
          <w:bCs/>
        </w:rPr>
        <w:t>（三）主要产品及服务介绍</w:t>
      </w:r>
    </w:p>
    <w:p w14:paraId="00B202FA" w14:textId="77777777" w:rsidR="006416B0" w:rsidRPr="00B4515A" w:rsidRDefault="005E58C1" w:rsidP="005860B4">
      <w:pPr>
        <w:pStyle w:val="005"/>
        <w:spacing w:before="120" w:after="120"/>
        <w:ind w:firstLine="480"/>
      </w:pPr>
      <w:r w:rsidRPr="00B4515A">
        <w:rPr>
          <w:rFonts w:hint="eastAsia"/>
        </w:rPr>
        <w:t>大唐联诚持续聚焦发展专用移动通信、专用宽带电台和宽带移动安全应用三个业务方向：</w:t>
      </w:r>
    </w:p>
    <w:p w14:paraId="4828D8AF" w14:textId="77777777" w:rsidR="006416B0" w:rsidRPr="00B4515A" w:rsidRDefault="005E58C1" w:rsidP="005860B4">
      <w:pPr>
        <w:pStyle w:val="005"/>
        <w:spacing w:before="120" w:after="120"/>
        <w:ind w:firstLine="480"/>
      </w:pPr>
      <w:r w:rsidRPr="00B4515A">
        <w:rPr>
          <w:rFonts w:hint="eastAsia"/>
        </w:rPr>
        <w:t>（</w:t>
      </w:r>
      <w:r w:rsidRPr="00B4515A">
        <w:t>1</w:t>
      </w:r>
      <w:r w:rsidRPr="00B4515A">
        <w:rPr>
          <w:rFonts w:hint="eastAsia"/>
        </w:rPr>
        <w:t>）专用移动通信业务</w:t>
      </w:r>
    </w:p>
    <w:p w14:paraId="620D7D53" w14:textId="77777777" w:rsidR="006416B0" w:rsidRPr="00B4515A" w:rsidRDefault="005E58C1" w:rsidP="005860B4">
      <w:pPr>
        <w:pStyle w:val="005"/>
        <w:spacing w:before="120" w:after="120"/>
        <w:ind w:firstLine="480"/>
      </w:pPr>
      <w:r w:rsidRPr="00B4515A">
        <w:rPr>
          <w:rFonts w:hint="eastAsia"/>
        </w:rPr>
        <w:t>在该业务方向下，大唐联诚面向客户提供专用移动通信系统，该系统是公司</w:t>
      </w:r>
      <w:r w:rsidRPr="00B4515A">
        <w:rPr>
          <w:rFonts w:hint="eastAsia"/>
        </w:rPr>
        <w:lastRenderedPageBreak/>
        <w:t>基于</w:t>
      </w:r>
      <w:r w:rsidRPr="00B4515A">
        <w:t>TD-LTE</w:t>
      </w:r>
      <w:r w:rsidRPr="00B4515A">
        <w:rPr>
          <w:rFonts w:hint="eastAsia"/>
        </w:rPr>
        <w:t>（</w:t>
      </w:r>
      <w:r w:rsidRPr="00B4515A">
        <w:t>4G</w:t>
      </w:r>
      <w:r w:rsidRPr="00B4515A">
        <w:rPr>
          <w:rFonts w:hint="eastAsia"/>
        </w:rPr>
        <w:t>）通信标准，针对复杂电磁环境下抗干扰及远距覆盖等通信需求，对移动通信体制及设备性能进行升级改进，在此基础上定制化开发研制的</w:t>
      </w:r>
      <w:r w:rsidRPr="00B4515A">
        <w:t>4G</w:t>
      </w:r>
      <w:r w:rsidRPr="00B4515A">
        <w:rPr>
          <w:rFonts w:hint="eastAsia"/>
        </w:rPr>
        <w:t>专网移动通信系统及相关产品。</w:t>
      </w:r>
    </w:p>
    <w:p w14:paraId="3A8DD6F5" w14:textId="77777777" w:rsidR="006416B0" w:rsidRPr="00B4515A" w:rsidRDefault="005E58C1" w:rsidP="005860B4">
      <w:pPr>
        <w:pStyle w:val="005"/>
        <w:spacing w:before="120" w:after="120"/>
        <w:ind w:firstLine="480"/>
      </w:pPr>
      <w:r w:rsidRPr="00B4515A">
        <w:rPr>
          <w:rFonts w:hint="eastAsia"/>
        </w:rPr>
        <w:t>大唐联诚移动通信系统的组网方式为有中心组网。有中心组网为各类型终端须通过接入基站和核心网完成信息交换的一种组网方式。大唐联诚的主要产品包括</w:t>
      </w:r>
      <w:r w:rsidRPr="00B4515A">
        <w:t>4G</w:t>
      </w:r>
      <w:r w:rsidRPr="00B4515A">
        <w:rPr>
          <w:rFonts w:hint="eastAsia"/>
        </w:rPr>
        <w:t>专网产品、信号分析产品、卫星通信终端及通信控制产品。其中</w:t>
      </w:r>
      <w:r w:rsidRPr="00B4515A">
        <w:t>4G</w:t>
      </w:r>
      <w:r w:rsidRPr="00B4515A">
        <w:rPr>
          <w:rFonts w:hint="eastAsia"/>
        </w:rPr>
        <w:t>专网产品包括各种形态的基站和各类移动终端，同时大唐联诚在基站中搭载核心网及业务系统，以实现各类型终端无线接入和语音、数据及多媒体业务的调度管理。</w:t>
      </w:r>
    </w:p>
    <w:p w14:paraId="6E7C4DDE" w14:textId="77777777" w:rsidR="006416B0" w:rsidRPr="00B4515A" w:rsidRDefault="005E58C1" w:rsidP="005860B4">
      <w:pPr>
        <w:pStyle w:val="005"/>
        <w:spacing w:before="120" w:after="120"/>
        <w:ind w:firstLine="480"/>
      </w:pPr>
      <w:r w:rsidRPr="00B4515A">
        <w:rPr>
          <w:rFonts w:hint="eastAsia"/>
        </w:rPr>
        <w:t>专用移动通信业务方向下大唐联诚主营产品的具体形态和功能如下：</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23"/>
        <w:gridCol w:w="1310"/>
        <w:gridCol w:w="1600"/>
        <w:gridCol w:w="4895"/>
      </w:tblGrid>
      <w:tr w:rsidR="006416B0" w:rsidRPr="00B4515A" w14:paraId="35427D65" w14:textId="77777777" w:rsidTr="00EE238F">
        <w:trPr>
          <w:trHeight w:val="340"/>
          <w:jc w:val="center"/>
        </w:trPr>
        <w:tc>
          <w:tcPr>
            <w:tcW w:w="424" w:type="pct"/>
            <w:tcMar>
              <w:top w:w="0" w:type="dxa"/>
              <w:left w:w="108" w:type="dxa"/>
              <w:bottom w:w="0" w:type="dxa"/>
              <w:right w:w="108" w:type="dxa"/>
            </w:tcMar>
            <w:vAlign w:val="center"/>
          </w:tcPr>
          <w:p w14:paraId="31C427D3"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序号</w:t>
            </w:r>
          </w:p>
        </w:tc>
        <w:tc>
          <w:tcPr>
            <w:tcW w:w="768" w:type="pct"/>
            <w:tcMar>
              <w:top w:w="0" w:type="dxa"/>
              <w:left w:w="108" w:type="dxa"/>
              <w:bottom w:w="0" w:type="dxa"/>
              <w:right w:w="108" w:type="dxa"/>
            </w:tcMar>
            <w:vAlign w:val="center"/>
          </w:tcPr>
          <w:p w14:paraId="4D388BF7"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产品类别</w:t>
            </w:r>
          </w:p>
        </w:tc>
        <w:tc>
          <w:tcPr>
            <w:tcW w:w="938" w:type="pct"/>
            <w:tcMar>
              <w:top w:w="0" w:type="dxa"/>
              <w:left w:w="108" w:type="dxa"/>
              <w:bottom w:w="0" w:type="dxa"/>
              <w:right w:w="108" w:type="dxa"/>
            </w:tcMar>
            <w:vAlign w:val="center"/>
          </w:tcPr>
          <w:p w14:paraId="0D5E530F"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产品形态</w:t>
            </w:r>
          </w:p>
        </w:tc>
        <w:tc>
          <w:tcPr>
            <w:tcW w:w="2870" w:type="pct"/>
            <w:tcMar>
              <w:top w:w="0" w:type="dxa"/>
              <w:left w:w="108" w:type="dxa"/>
              <w:bottom w:w="0" w:type="dxa"/>
              <w:right w:w="108" w:type="dxa"/>
            </w:tcMar>
            <w:vAlign w:val="center"/>
          </w:tcPr>
          <w:p w14:paraId="76A50F22"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功能描述</w:t>
            </w:r>
          </w:p>
        </w:tc>
      </w:tr>
      <w:tr w:rsidR="006416B0" w:rsidRPr="00B4515A" w14:paraId="4BF6B1BC" w14:textId="77777777" w:rsidTr="00EE238F">
        <w:trPr>
          <w:trHeight w:val="340"/>
          <w:jc w:val="center"/>
        </w:trPr>
        <w:tc>
          <w:tcPr>
            <w:tcW w:w="424" w:type="pct"/>
            <w:vMerge w:val="restart"/>
            <w:tcMar>
              <w:top w:w="0" w:type="dxa"/>
              <w:left w:w="108" w:type="dxa"/>
              <w:bottom w:w="0" w:type="dxa"/>
              <w:right w:w="108" w:type="dxa"/>
            </w:tcMar>
            <w:vAlign w:val="center"/>
          </w:tcPr>
          <w:p w14:paraId="52D150D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768" w:type="pct"/>
            <w:vMerge w:val="restart"/>
            <w:tcMar>
              <w:top w:w="0" w:type="dxa"/>
              <w:left w:w="108" w:type="dxa"/>
              <w:bottom w:w="0" w:type="dxa"/>
              <w:right w:w="108" w:type="dxa"/>
            </w:tcMar>
            <w:vAlign w:val="center"/>
          </w:tcPr>
          <w:p w14:paraId="78C082D4" w14:textId="15554781"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4G</w:t>
            </w:r>
            <w:r w:rsidRPr="00B4515A">
              <w:rPr>
                <w:rFonts w:ascii="Times New Roman" w:hAnsi="Times New Roman" w:cs="Times New Roman" w:hint="eastAsia"/>
                <w:sz w:val="21"/>
                <w:szCs w:val="21"/>
              </w:rPr>
              <w:t>专网产品</w:t>
            </w:r>
          </w:p>
        </w:tc>
        <w:tc>
          <w:tcPr>
            <w:tcW w:w="938" w:type="pct"/>
            <w:tcMar>
              <w:top w:w="0" w:type="dxa"/>
              <w:left w:w="108" w:type="dxa"/>
              <w:bottom w:w="0" w:type="dxa"/>
              <w:right w:w="108" w:type="dxa"/>
            </w:tcMar>
            <w:vAlign w:val="center"/>
          </w:tcPr>
          <w:p w14:paraId="0C67FF4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基站类：固定基站、车载基站</w:t>
            </w:r>
          </w:p>
        </w:tc>
        <w:tc>
          <w:tcPr>
            <w:tcW w:w="2870" w:type="pct"/>
            <w:tcMar>
              <w:top w:w="0" w:type="dxa"/>
              <w:left w:w="108" w:type="dxa"/>
              <w:bottom w:w="0" w:type="dxa"/>
              <w:right w:w="108" w:type="dxa"/>
            </w:tcMar>
            <w:vAlign w:val="center"/>
          </w:tcPr>
          <w:p w14:paraId="0CB9B8E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移动通信系统的中心设备，实现移动终端与有线网络之间的无线信号传输。可为覆盖区内移动终端提供</w:t>
            </w:r>
            <w:r w:rsidRPr="00B4515A">
              <w:rPr>
                <w:rFonts w:ascii="Times New Roman" w:hAnsi="Times New Roman" w:cs="Times New Roman"/>
                <w:sz w:val="21"/>
                <w:szCs w:val="21"/>
              </w:rPr>
              <w:t>4G/5G</w:t>
            </w:r>
            <w:r w:rsidRPr="00B4515A">
              <w:rPr>
                <w:rFonts w:ascii="Times New Roman" w:hAnsi="Times New Roman" w:cs="Times New Roman" w:hint="eastAsia"/>
                <w:sz w:val="21"/>
                <w:szCs w:val="21"/>
              </w:rPr>
              <w:t>专网无线接入、无线资源管理、移动性管理等功能，为用户提供固定区域、机动区域范围内的保密语音、短信、数据、视频等业务服务。</w:t>
            </w:r>
          </w:p>
        </w:tc>
      </w:tr>
      <w:tr w:rsidR="006416B0" w:rsidRPr="00B4515A" w14:paraId="554A11EC" w14:textId="77777777" w:rsidTr="00EE238F">
        <w:trPr>
          <w:trHeight w:val="340"/>
          <w:jc w:val="center"/>
        </w:trPr>
        <w:tc>
          <w:tcPr>
            <w:tcW w:w="424" w:type="pct"/>
            <w:vMerge/>
            <w:tcMar>
              <w:top w:w="0" w:type="dxa"/>
              <w:left w:w="108" w:type="dxa"/>
              <w:bottom w:w="0" w:type="dxa"/>
              <w:right w:w="108" w:type="dxa"/>
            </w:tcMar>
            <w:vAlign w:val="center"/>
          </w:tcPr>
          <w:p w14:paraId="520D47E5"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768" w:type="pct"/>
            <w:vMerge/>
            <w:tcMar>
              <w:top w:w="0" w:type="dxa"/>
              <w:left w:w="108" w:type="dxa"/>
              <w:bottom w:w="0" w:type="dxa"/>
              <w:right w:w="108" w:type="dxa"/>
            </w:tcMar>
            <w:vAlign w:val="center"/>
          </w:tcPr>
          <w:p w14:paraId="628C0AC9" w14:textId="77777777" w:rsidR="006416B0" w:rsidRPr="00B4515A" w:rsidRDefault="006416B0" w:rsidP="005860B4">
            <w:pPr>
              <w:adjustRightInd w:val="0"/>
              <w:snapToGrid w:val="0"/>
              <w:jc w:val="center"/>
              <w:rPr>
                <w:rFonts w:ascii="Times New Roman" w:hAnsi="Times New Roman" w:cs="Times New Roman"/>
                <w:sz w:val="21"/>
                <w:szCs w:val="21"/>
              </w:rPr>
            </w:pPr>
          </w:p>
        </w:tc>
        <w:tc>
          <w:tcPr>
            <w:tcW w:w="938" w:type="pct"/>
            <w:tcMar>
              <w:top w:w="0" w:type="dxa"/>
              <w:left w:w="108" w:type="dxa"/>
              <w:bottom w:w="0" w:type="dxa"/>
              <w:right w:w="108" w:type="dxa"/>
            </w:tcMar>
            <w:vAlign w:val="center"/>
          </w:tcPr>
          <w:p w14:paraId="31869EC2"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移动终端类：车载移动终端、背负移动终端、手持移动终端</w:t>
            </w:r>
          </w:p>
        </w:tc>
        <w:tc>
          <w:tcPr>
            <w:tcW w:w="2870" w:type="pct"/>
            <w:tcMar>
              <w:top w:w="0" w:type="dxa"/>
              <w:left w:w="108" w:type="dxa"/>
              <w:bottom w:w="0" w:type="dxa"/>
              <w:right w:w="108" w:type="dxa"/>
            </w:tcMar>
            <w:vAlign w:val="center"/>
          </w:tcPr>
          <w:p w14:paraId="148534D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移动通信系统的用户设备，通过无线方式接入各类基站。在融合无线接入通信和业务功能基础上，通过人机操作界面，为通信网内用户提供多媒体应用服务。</w:t>
            </w:r>
          </w:p>
        </w:tc>
      </w:tr>
      <w:tr w:rsidR="006416B0" w:rsidRPr="00B4515A" w14:paraId="5CF9A532" w14:textId="77777777" w:rsidTr="00EE238F">
        <w:trPr>
          <w:trHeight w:val="340"/>
          <w:jc w:val="center"/>
        </w:trPr>
        <w:tc>
          <w:tcPr>
            <w:tcW w:w="424" w:type="pct"/>
            <w:tcMar>
              <w:top w:w="0" w:type="dxa"/>
              <w:left w:w="108" w:type="dxa"/>
              <w:bottom w:w="0" w:type="dxa"/>
              <w:right w:w="108" w:type="dxa"/>
            </w:tcMar>
            <w:vAlign w:val="center"/>
          </w:tcPr>
          <w:p w14:paraId="159E6C7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768" w:type="pct"/>
            <w:tcMar>
              <w:top w:w="0" w:type="dxa"/>
              <w:left w:w="108" w:type="dxa"/>
              <w:bottom w:w="0" w:type="dxa"/>
              <w:right w:w="108" w:type="dxa"/>
            </w:tcMar>
            <w:vAlign w:val="center"/>
          </w:tcPr>
          <w:p w14:paraId="79B2FF7E"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信号分析产品</w:t>
            </w:r>
          </w:p>
        </w:tc>
        <w:tc>
          <w:tcPr>
            <w:tcW w:w="938" w:type="pct"/>
            <w:tcMar>
              <w:top w:w="0" w:type="dxa"/>
              <w:left w:w="108" w:type="dxa"/>
              <w:bottom w:w="0" w:type="dxa"/>
              <w:right w:w="108" w:type="dxa"/>
            </w:tcMar>
            <w:vAlign w:val="center"/>
          </w:tcPr>
          <w:p w14:paraId="630079C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固定设备、车载设备、</w:t>
            </w:r>
          </w:p>
        </w:tc>
        <w:tc>
          <w:tcPr>
            <w:tcW w:w="2870" w:type="pct"/>
            <w:tcMar>
              <w:top w:w="0" w:type="dxa"/>
              <w:left w:w="108" w:type="dxa"/>
              <w:bottom w:w="0" w:type="dxa"/>
              <w:right w:w="108" w:type="dxa"/>
            </w:tcMar>
            <w:vAlign w:val="center"/>
          </w:tcPr>
          <w:p w14:paraId="244DEFEA"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通过对移动通信系统无线信号进行全频段接收，进行时域频域分析和参数提取，对通信网络负载和通信流量等进行分析统计。</w:t>
            </w:r>
          </w:p>
        </w:tc>
      </w:tr>
      <w:tr w:rsidR="006416B0" w:rsidRPr="00B4515A" w14:paraId="6F0E16AD" w14:textId="77777777" w:rsidTr="00EE238F">
        <w:trPr>
          <w:trHeight w:val="340"/>
          <w:jc w:val="center"/>
        </w:trPr>
        <w:tc>
          <w:tcPr>
            <w:tcW w:w="424" w:type="pct"/>
            <w:tcMar>
              <w:top w:w="0" w:type="dxa"/>
              <w:left w:w="108" w:type="dxa"/>
              <w:bottom w:w="0" w:type="dxa"/>
              <w:right w:w="108" w:type="dxa"/>
            </w:tcMar>
            <w:vAlign w:val="center"/>
          </w:tcPr>
          <w:p w14:paraId="70434A0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768" w:type="pct"/>
            <w:tcMar>
              <w:top w:w="0" w:type="dxa"/>
              <w:left w:w="108" w:type="dxa"/>
              <w:bottom w:w="0" w:type="dxa"/>
              <w:right w:w="108" w:type="dxa"/>
            </w:tcMar>
            <w:vAlign w:val="center"/>
          </w:tcPr>
          <w:p w14:paraId="607CBB3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卫星通信终端</w:t>
            </w:r>
          </w:p>
        </w:tc>
        <w:tc>
          <w:tcPr>
            <w:tcW w:w="938" w:type="pct"/>
            <w:tcMar>
              <w:top w:w="0" w:type="dxa"/>
              <w:left w:w="108" w:type="dxa"/>
              <w:bottom w:w="0" w:type="dxa"/>
              <w:right w:w="108" w:type="dxa"/>
            </w:tcMar>
            <w:vAlign w:val="center"/>
          </w:tcPr>
          <w:p w14:paraId="2C276621"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便携卫星通信终端、手持卫星终端</w:t>
            </w:r>
          </w:p>
        </w:tc>
        <w:tc>
          <w:tcPr>
            <w:tcW w:w="2870" w:type="pct"/>
            <w:tcMar>
              <w:top w:w="0" w:type="dxa"/>
              <w:left w:w="108" w:type="dxa"/>
              <w:bottom w:w="0" w:type="dxa"/>
              <w:right w:w="108" w:type="dxa"/>
            </w:tcMar>
            <w:vAlign w:val="center"/>
          </w:tcPr>
          <w:p w14:paraId="7E85D37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卫星通信系统的用户设备，通过卫星提供超视距远程通信。可实现机动及应急情况下的卫星语音、短消息、数据业务、视频、传真、北斗定位等功能。</w:t>
            </w:r>
          </w:p>
        </w:tc>
      </w:tr>
    </w:tbl>
    <w:p w14:paraId="0A88EFB3" w14:textId="77777777" w:rsidR="006416B0" w:rsidRPr="00B4515A" w:rsidRDefault="005E58C1" w:rsidP="005860B4">
      <w:pPr>
        <w:pStyle w:val="005"/>
        <w:spacing w:before="120" w:after="120"/>
        <w:ind w:firstLine="480"/>
      </w:pPr>
      <w:r w:rsidRPr="00B4515A">
        <w:rPr>
          <w:rFonts w:hint="eastAsia"/>
        </w:rPr>
        <w:t>（</w:t>
      </w:r>
      <w:r w:rsidRPr="00B4515A">
        <w:t>2</w:t>
      </w:r>
      <w:r w:rsidRPr="00B4515A">
        <w:rPr>
          <w:rFonts w:hint="eastAsia"/>
        </w:rPr>
        <w:t>）专用宽带电台业务</w:t>
      </w:r>
    </w:p>
    <w:p w14:paraId="42605B74" w14:textId="77777777" w:rsidR="006416B0" w:rsidRPr="00B4515A" w:rsidRDefault="005E58C1" w:rsidP="005860B4">
      <w:pPr>
        <w:pStyle w:val="005"/>
        <w:spacing w:before="120" w:after="120"/>
        <w:ind w:firstLine="480"/>
      </w:pPr>
      <w:r w:rsidRPr="00B4515A">
        <w:rPr>
          <w:rFonts w:hint="eastAsia"/>
        </w:rPr>
        <w:t>在该业务方向下，大唐联诚面向客户提供专用宽带自组网通信系统。自组网为无中心通信方式，各类型终端无需通过基站或其他控制设备即可完成信息交换，可有效满足客户灵活、机动的通信需求。该系统是公司基于</w:t>
      </w:r>
      <w:r w:rsidRPr="00B4515A">
        <w:t>TD-LTE</w:t>
      </w:r>
      <w:r w:rsidRPr="00B4515A">
        <w:rPr>
          <w:rFonts w:hint="eastAsia"/>
        </w:rPr>
        <w:t>（</w:t>
      </w:r>
      <w:r w:rsidRPr="00B4515A">
        <w:t>4G</w:t>
      </w:r>
      <w:r w:rsidRPr="00B4515A">
        <w:rPr>
          <w:rFonts w:hint="eastAsia"/>
        </w:rPr>
        <w:t>）、</w:t>
      </w:r>
      <w:r w:rsidRPr="00B4515A">
        <w:t>5G</w:t>
      </w:r>
      <w:r w:rsidRPr="00B4515A">
        <w:rPr>
          <w:rFonts w:hint="eastAsia"/>
        </w:rPr>
        <w:t>的宽带传输和大规模组网等核心关键技术，针对客户在各类应用场景下对自组网通信保障的需求、自主研发的宽带自组网通信系统。大唐联诚的主要产品包括专用通信终端及专用数据链产品。</w:t>
      </w:r>
    </w:p>
    <w:p w14:paraId="05A1382D" w14:textId="77777777" w:rsidR="006416B0" w:rsidRPr="00B4515A" w:rsidRDefault="005E58C1" w:rsidP="005860B4">
      <w:pPr>
        <w:pStyle w:val="005"/>
        <w:spacing w:before="120" w:after="120"/>
        <w:ind w:firstLine="480"/>
      </w:pPr>
      <w:r w:rsidRPr="00B4515A">
        <w:rPr>
          <w:rFonts w:hint="eastAsia"/>
        </w:rPr>
        <w:t>专用宽带电台业务方向下大唐联诚主营产品的具体形态和功能如下：</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61"/>
        <w:gridCol w:w="1419"/>
        <w:gridCol w:w="1605"/>
        <w:gridCol w:w="4743"/>
      </w:tblGrid>
      <w:tr w:rsidR="006416B0" w:rsidRPr="00B4515A" w14:paraId="3C1519DC" w14:textId="77777777" w:rsidTr="002B0582">
        <w:trPr>
          <w:trHeight w:val="340"/>
          <w:tblHeader/>
          <w:jc w:val="center"/>
        </w:trPr>
        <w:tc>
          <w:tcPr>
            <w:tcW w:w="446" w:type="pct"/>
            <w:tcMar>
              <w:top w:w="0" w:type="dxa"/>
              <w:left w:w="108" w:type="dxa"/>
              <w:bottom w:w="0" w:type="dxa"/>
              <w:right w:w="108" w:type="dxa"/>
            </w:tcMar>
            <w:vAlign w:val="center"/>
          </w:tcPr>
          <w:p w14:paraId="14F4D152"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序号</w:t>
            </w:r>
          </w:p>
        </w:tc>
        <w:tc>
          <w:tcPr>
            <w:tcW w:w="832" w:type="pct"/>
            <w:tcMar>
              <w:top w:w="0" w:type="dxa"/>
              <w:left w:w="108" w:type="dxa"/>
              <w:bottom w:w="0" w:type="dxa"/>
              <w:right w:w="108" w:type="dxa"/>
            </w:tcMar>
            <w:vAlign w:val="center"/>
          </w:tcPr>
          <w:p w14:paraId="0F0EE865"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产品类别</w:t>
            </w:r>
          </w:p>
        </w:tc>
        <w:tc>
          <w:tcPr>
            <w:tcW w:w="941" w:type="pct"/>
            <w:tcMar>
              <w:top w:w="0" w:type="dxa"/>
              <w:left w:w="108" w:type="dxa"/>
              <w:bottom w:w="0" w:type="dxa"/>
              <w:right w:w="108" w:type="dxa"/>
            </w:tcMar>
            <w:vAlign w:val="center"/>
          </w:tcPr>
          <w:p w14:paraId="49F6279C"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产品形态</w:t>
            </w:r>
          </w:p>
        </w:tc>
        <w:tc>
          <w:tcPr>
            <w:tcW w:w="2781" w:type="pct"/>
            <w:tcMar>
              <w:top w:w="0" w:type="dxa"/>
              <w:left w:w="108" w:type="dxa"/>
              <w:bottom w:w="0" w:type="dxa"/>
              <w:right w:w="108" w:type="dxa"/>
            </w:tcMar>
            <w:vAlign w:val="center"/>
          </w:tcPr>
          <w:p w14:paraId="035A5900"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功能描述</w:t>
            </w:r>
          </w:p>
        </w:tc>
      </w:tr>
      <w:tr w:rsidR="006416B0" w:rsidRPr="00B4515A" w14:paraId="48A7083E" w14:textId="77777777" w:rsidTr="00031627">
        <w:trPr>
          <w:trHeight w:val="340"/>
          <w:jc w:val="center"/>
        </w:trPr>
        <w:tc>
          <w:tcPr>
            <w:tcW w:w="446" w:type="pct"/>
            <w:tcMar>
              <w:top w:w="0" w:type="dxa"/>
              <w:left w:w="108" w:type="dxa"/>
              <w:bottom w:w="0" w:type="dxa"/>
              <w:right w:w="108" w:type="dxa"/>
            </w:tcMar>
            <w:vAlign w:val="center"/>
          </w:tcPr>
          <w:p w14:paraId="108DE3F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lastRenderedPageBreak/>
              <w:t>1</w:t>
            </w:r>
          </w:p>
        </w:tc>
        <w:tc>
          <w:tcPr>
            <w:tcW w:w="832" w:type="pct"/>
            <w:tcMar>
              <w:top w:w="0" w:type="dxa"/>
              <w:left w:w="108" w:type="dxa"/>
              <w:bottom w:w="0" w:type="dxa"/>
              <w:right w:w="108" w:type="dxa"/>
            </w:tcMar>
            <w:vAlign w:val="center"/>
          </w:tcPr>
          <w:p w14:paraId="2E703D4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专用通信终端</w:t>
            </w:r>
          </w:p>
        </w:tc>
        <w:tc>
          <w:tcPr>
            <w:tcW w:w="941" w:type="pct"/>
            <w:tcMar>
              <w:top w:w="0" w:type="dxa"/>
              <w:left w:w="108" w:type="dxa"/>
              <w:bottom w:w="0" w:type="dxa"/>
              <w:right w:w="108" w:type="dxa"/>
            </w:tcMar>
            <w:vAlign w:val="center"/>
          </w:tcPr>
          <w:p w14:paraId="22EC6507"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手持终端</w:t>
            </w:r>
          </w:p>
        </w:tc>
        <w:tc>
          <w:tcPr>
            <w:tcW w:w="2781" w:type="pct"/>
            <w:tcMar>
              <w:top w:w="0" w:type="dxa"/>
              <w:left w:w="108" w:type="dxa"/>
              <w:bottom w:w="0" w:type="dxa"/>
              <w:right w:w="108" w:type="dxa"/>
            </w:tcMar>
            <w:vAlign w:val="center"/>
          </w:tcPr>
          <w:p w14:paraId="61EC7DE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基于自主可控的</w:t>
            </w:r>
            <w:r w:rsidRPr="00B4515A">
              <w:rPr>
                <w:rFonts w:ascii="Times New Roman" w:hAnsi="Times New Roman" w:cs="Times New Roman"/>
                <w:sz w:val="21"/>
                <w:szCs w:val="21"/>
              </w:rPr>
              <w:t>SoC</w:t>
            </w:r>
            <w:r w:rsidRPr="00B4515A">
              <w:rPr>
                <w:rFonts w:ascii="Times New Roman" w:hAnsi="Times New Roman" w:cs="Times New Roman" w:hint="eastAsia"/>
                <w:sz w:val="21"/>
                <w:szCs w:val="21"/>
              </w:rPr>
              <w:t>芯片解决方案，实现小型化低功耗通信功能，同时可支持卫星、</w:t>
            </w:r>
            <w:r w:rsidRPr="00B4515A">
              <w:rPr>
                <w:rFonts w:ascii="Times New Roman" w:hAnsi="Times New Roman" w:cs="Times New Roman"/>
                <w:sz w:val="21"/>
                <w:szCs w:val="21"/>
              </w:rPr>
              <w:t>TD-LTE</w:t>
            </w:r>
            <w:r w:rsidRPr="00B4515A">
              <w:rPr>
                <w:rFonts w:ascii="Times New Roman" w:hAnsi="Times New Roman" w:cs="Times New Roman" w:hint="eastAsia"/>
                <w:sz w:val="21"/>
                <w:szCs w:val="21"/>
              </w:rPr>
              <w:t>（</w:t>
            </w:r>
            <w:r w:rsidRPr="00B4515A">
              <w:rPr>
                <w:rFonts w:ascii="Times New Roman" w:hAnsi="Times New Roman" w:cs="Times New Roman"/>
                <w:sz w:val="21"/>
                <w:szCs w:val="21"/>
              </w:rPr>
              <w:t>4G</w:t>
            </w:r>
            <w:r w:rsidRPr="00B4515A">
              <w:rPr>
                <w:rFonts w:ascii="Times New Roman" w:hAnsi="Times New Roman" w:cs="Times New Roman" w:hint="eastAsia"/>
                <w:sz w:val="21"/>
                <w:szCs w:val="21"/>
              </w:rPr>
              <w:t>）专网和自组网等多种通信模式，用于任务小组间语音、数据、图片、视频等综合业务传输。</w:t>
            </w:r>
          </w:p>
        </w:tc>
      </w:tr>
      <w:tr w:rsidR="006416B0" w:rsidRPr="00B4515A" w14:paraId="3D483C4D" w14:textId="77777777" w:rsidTr="00031627">
        <w:trPr>
          <w:trHeight w:val="340"/>
          <w:jc w:val="center"/>
        </w:trPr>
        <w:tc>
          <w:tcPr>
            <w:tcW w:w="446" w:type="pct"/>
            <w:tcMar>
              <w:top w:w="0" w:type="dxa"/>
              <w:left w:w="108" w:type="dxa"/>
              <w:bottom w:w="0" w:type="dxa"/>
              <w:right w:w="108" w:type="dxa"/>
            </w:tcMar>
            <w:vAlign w:val="center"/>
          </w:tcPr>
          <w:p w14:paraId="4AF41FF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832" w:type="pct"/>
            <w:tcMar>
              <w:top w:w="0" w:type="dxa"/>
              <w:left w:w="108" w:type="dxa"/>
              <w:bottom w:w="0" w:type="dxa"/>
              <w:right w:w="108" w:type="dxa"/>
            </w:tcMar>
            <w:vAlign w:val="center"/>
          </w:tcPr>
          <w:p w14:paraId="127C3B94"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专用数据链产品</w:t>
            </w:r>
          </w:p>
        </w:tc>
        <w:tc>
          <w:tcPr>
            <w:tcW w:w="941" w:type="pct"/>
            <w:tcMar>
              <w:top w:w="0" w:type="dxa"/>
              <w:left w:w="108" w:type="dxa"/>
              <w:bottom w:w="0" w:type="dxa"/>
              <w:right w:w="108" w:type="dxa"/>
            </w:tcMar>
            <w:vAlign w:val="center"/>
          </w:tcPr>
          <w:p w14:paraId="43064A3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机载电台、固定电台</w:t>
            </w:r>
          </w:p>
        </w:tc>
        <w:tc>
          <w:tcPr>
            <w:tcW w:w="2781" w:type="pct"/>
            <w:tcMar>
              <w:top w:w="0" w:type="dxa"/>
              <w:left w:w="108" w:type="dxa"/>
              <w:bottom w:w="0" w:type="dxa"/>
              <w:right w:w="108" w:type="dxa"/>
            </w:tcMar>
            <w:vAlign w:val="center"/>
          </w:tcPr>
          <w:p w14:paraId="635B368A"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为专用数据链系统提供宽带自组网电台，实现指定空域、地域的通信全覆盖，为用户提供大容量、高速、可靠的空</w:t>
            </w:r>
            <w:r w:rsidRPr="00B4515A">
              <w:rPr>
                <w:rFonts w:ascii="Times New Roman" w:hAnsi="Times New Roman" w:cs="Times New Roman"/>
                <w:sz w:val="21"/>
                <w:szCs w:val="21"/>
              </w:rPr>
              <w:t>-</w:t>
            </w:r>
            <w:r w:rsidRPr="00B4515A">
              <w:rPr>
                <w:rFonts w:ascii="Times New Roman" w:hAnsi="Times New Roman" w:cs="Times New Roman" w:hint="eastAsia"/>
                <w:sz w:val="21"/>
                <w:szCs w:val="21"/>
              </w:rPr>
              <w:t>地、空</w:t>
            </w:r>
            <w:r w:rsidRPr="00B4515A">
              <w:rPr>
                <w:rFonts w:ascii="Times New Roman" w:hAnsi="Times New Roman" w:cs="Times New Roman"/>
                <w:sz w:val="21"/>
                <w:szCs w:val="21"/>
              </w:rPr>
              <w:t>-</w:t>
            </w:r>
            <w:r w:rsidRPr="00B4515A">
              <w:rPr>
                <w:rFonts w:ascii="Times New Roman" w:hAnsi="Times New Roman" w:cs="Times New Roman" w:hint="eastAsia"/>
                <w:sz w:val="21"/>
                <w:szCs w:val="21"/>
              </w:rPr>
              <w:t>空和地</w:t>
            </w:r>
            <w:r w:rsidRPr="00B4515A">
              <w:rPr>
                <w:rFonts w:ascii="Times New Roman" w:hAnsi="Times New Roman" w:cs="Times New Roman"/>
                <w:sz w:val="21"/>
                <w:szCs w:val="21"/>
              </w:rPr>
              <w:t>-</w:t>
            </w:r>
            <w:r w:rsidRPr="00B4515A">
              <w:rPr>
                <w:rFonts w:ascii="Times New Roman" w:hAnsi="Times New Roman" w:cs="Times New Roman" w:hint="eastAsia"/>
                <w:sz w:val="21"/>
                <w:szCs w:val="21"/>
              </w:rPr>
              <w:t>空无线通信服务。</w:t>
            </w:r>
          </w:p>
        </w:tc>
      </w:tr>
    </w:tbl>
    <w:p w14:paraId="173E2C98" w14:textId="77777777" w:rsidR="006416B0" w:rsidRPr="00B4515A" w:rsidRDefault="005E58C1" w:rsidP="005860B4">
      <w:pPr>
        <w:pStyle w:val="005"/>
        <w:spacing w:before="120" w:after="120"/>
        <w:ind w:firstLine="480"/>
      </w:pPr>
      <w:r w:rsidRPr="00B4515A">
        <w:rPr>
          <w:rFonts w:hint="eastAsia"/>
        </w:rPr>
        <w:t>（</w:t>
      </w:r>
      <w:r w:rsidRPr="00B4515A">
        <w:t>3</w:t>
      </w:r>
      <w:r w:rsidRPr="00B4515A">
        <w:rPr>
          <w:rFonts w:hint="eastAsia"/>
        </w:rPr>
        <w:t>）宽带移动安全应用</w:t>
      </w:r>
    </w:p>
    <w:p w14:paraId="474175CC" w14:textId="77777777" w:rsidR="006416B0" w:rsidRPr="00B4515A" w:rsidRDefault="005E58C1" w:rsidP="005860B4">
      <w:pPr>
        <w:pStyle w:val="005"/>
        <w:spacing w:before="120" w:after="120"/>
        <w:ind w:firstLine="480"/>
      </w:pPr>
      <w:r w:rsidRPr="00B4515A">
        <w:rPr>
          <w:rFonts w:hint="eastAsia"/>
        </w:rPr>
        <w:t>在该业务方向下，大唐联诚面向客户提供基于民用移动网络的加密传输整体解决方案。该系统基于客户开展信息化移动执勤保障需求，在民用移动通信网络基础上，通过采用无线加密、多网综合等方式，构建安全、可靠的专用移动传输网。大唐联诚的产品包括执勤保障加密终端和网络安全设备、加密上网卡及勤务指控平台软件。</w:t>
      </w:r>
    </w:p>
    <w:p w14:paraId="3550DDE4" w14:textId="77777777" w:rsidR="006416B0" w:rsidRPr="00B4515A" w:rsidRDefault="005E58C1" w:rsidP="005860B4">
      <w:pPr>
        <w:pStyle w:val="005"/>
        <w:spacing w:before="120" w:after="120"/>
        <w:ind w:firstLine="480"/>
      </w:pPr>
      <w:r w:rsidRPr="00B4515A">
        <w:rPr>
          <w:rFonts w:hint="eastAsia"/>
        </w:rPr>
        <w:t>宽带移动安全应用业务方向下大唐联诚主营产品的具体形态和功能如下：</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26"/>
        <w:gridCol w:w="1313"/>
        <w:gridCol w:w="1751"/>
        <w:gridCol w:w="4738"/>
      </w:tblGrid>
      <w:tr w:rsidR="006416B0" w:rsidRPr="00B4515A" w14:paraId="0F293DC7" w14:textId="77777777" w:rsidTr="00031627">
        <w:trPr>
          <w:trHeight w:val="340"/>
          <w:jc w:val="center"/>
        </w:trPr>
        <w:tc>
          <w:tcPr>
            <w:tcW w:w="702" w:type="dxa"/>
            <w:tcMar>
              <w:top w:w="0" w:type="dxa"/>
              <w:left w:w="108" w:type="dxa"/>
              <w:bottom w:w="0" w:type="dxa"/>
              <w:right w:w="108" w:type="dxa"/>
            </w:tcMar>
            <w:vAlign w:val="center"/>
          </w:tcPr>
          <w:p w14:paraId="7A5D31F1" w14:textId="77777777" w:rsidR="006416B0" w:rsidRPr="00B4515A" w:rsidRDefault="005E58C1" w:rsidP="005860B4">
            <w:pPr>
              <w:adjustRightInd w:val="0"/>
              <w:snapToGrid w:val="0"/>
              <w:rPr>
                <w:rFonts w:ascii="Times New Roman" w:hAnsi="Times New Roman" w:cs="Times New Roman"/>
                <w:b/>
                <w:bCs/>
                <w:sz w:val="21"/>
                <w:szCs w:val="21"/>
              </w:rPr>
            </w:pPr>
            <w:r w:rsidRPr="00B4515A">
              <w:rPr>
                <w:rFonts w:ascii="Times New Roman" w:hAnsi="Times New Roman" w:cs="Times New Roman" w:hint="eastAsia"/>
                <w:b/>
                <w:bCs/>
                <w:sz w:val="21"/>
                <w:szCs w:val="21"/>
              </w:rPr>
              <w:t>序号</w:t>
            </w:r>
          </w:p>
        </w:tc>
        <w:tc>
          <w:tcPr>
            <w:tcW w:w="1268" w:type="dxa"/>
            <w:tcMar>
              <w:top w:w="0" w:type="dxa"/>
              <w:left w:w="108" w:type="dxa"/>
              <w:bottom w:w="0" w:type="dxa"/>
              <w:right w:w="108" w:type="dxa"/>
            </w:tcMar>
            <w:vAlign w:val="center"/>
          </w:tcPr>
          <w:p w14:paraId="6451DAA4" w14:textId="77777777" w:rsidR="006416B0" w:rsidRPr="00B4515A" w:rsidRDefault="005E58C1" w:rsidP="005860B4">
            <w:pPr>
              <w:adjustRightInd w:val="0"/>
              <w:snapToGrid w:val="0"/>
              <w:rPr>
                <w:rFonts w:ascii="Times New Roman" w:hAnsi="Times New Roman" w:cs="Times New Roman"/>
                <w:b/>
                <w:bCs/>
                <w:sz w:val="21"/>
                <w:szCs w:val="21"/>
              </w:rPr>
            </w:pPr>
            <w:r w:rsidRPr="00B4515A">
              <w:rPr>
                <w:rFonts w:ascii="Times New Roman" w:hAnsi="Times New Roman" w:cs="Times New Roman" w:hint="eastAsia"/>
                <w:b/>
                <w:bCs/>
                <w:sz w:val="21"/>
                <w:szCs w:val="21"/>
              </w:rPr>
              <w:t>产品类别</w:t>
            </w:r>
          </w:p>
        </w:tc>
        <w:tc>
          <w:tcPr>
            <w:tcW w:w="1691" w:type="dxa"/>
            <w:tcMar>
              <w:top w:w="0" w:type="dxa"/>
              <w:left w:w="108" w:type="dxa"/>
              <w:bottom w:w="0" w:type="dxa"/>
              <w:right w:w="108" w:type="dxa"/>
            </w:tcMar>
            <w:vAlign w:val="center"/>
          </w:tcPr>
          <w:p w14:paraId="333DBB97"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产品形态</w:t>
            </w:r>
          </w:p>
        </w:tc>
        <w:tc>
          <w:tcPr>
            <w:tcW w:w="4577" w:type="dxa"/>
            <w:tcMar>
              <w:top w:w="0" w:type="dxa"/>
              <w:left w:w="108" w:type="dxa"/>
              <w:bottom w:w="0" w:type="dxa"/>
              <w:right w:w="108" w:type="dxa"/>
            </w:tcMar>
            <w:vAlign w:val="center"/>
          </w:tcPr>
          <w:p w14:paraId="62526CEA"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功能描述</w:t>
            </w:r>
          </w:p>
        </w:tc>
      </w:tr>
      <w:tr w:rsidR="006416B0" w:rsidRPr="00B4515A" w14:paraId="29B64146" w14:textId="77777777" w:rsidTr="00031627">
        <w:trPr>
          <w:trHeight w:val="340"/>
          <w:jc w:val="center"/>
        </w:trPr>
        <w:tc>
          <w:tcPr>
            <w:tcW w:w="702" w:type="dxa"/>
            <w:vMerge w:val="restart"/>
            <w:tcMar>
              <w:top w:w="0" w:type="dxa"/>
              <w:left w:w="108" w:type="dxa"/>
              <w:bottom w:w="0" w:type="dxa"/>
              <w:right w:w="108" w:type="dxa"/>
            </w:tcMar>
            <w:vAlign w:val="center"/>
          </w:tcPr>
          <w:p w14:paraId="3C33BCE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1268" w:type="dxa"/>
            <w:vMerge w:val="restart"/>
            <w:tcMar>
              <w:top w:w="0" w:type="dxa"/>
              <w:left w:w="108" w:type="dxa"/>
              <w:bottom w:w="0" w:type="dxa"/>
              <w:right w:w="108" w:type="dxa"/>
            </w:tcMar>
            <w:vAlign w:val="center"/>
          </w:tcPr>
          <w:p w14:paraId="27E3D4C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执勤保障</w:t>
            </w:r>
            <w:r w:rsidRPr="00B4515A">
              <w:rPr>
                <w:rFonts w:ascii="Times New Roman" w:hAnsi="Times New Roman" w:cs="Times New Roman"/>
                <w:sz w:val="21"/>
                <w:szCs w:val="21"/>
              </w:rPr>
              <w:t>4G</w:t>
            </w:r>
            <w:r w:rsidRPr="00B4515A">
              <w:rPr>
                <w:rFonts w:ascii="Times New Roman" w:hAnsi="Times New Roman" w:cs="Times New Roman" w:hint="eastAsia"/>
                <w:sz w:val="21"/>
                <w:szCs w:val="21"/>
              </w:rPr>
              <w:t>产品</w:t>
            </w:r>
          </w:p>
        </w:tc>
        <w:tc>
          <w:tcPr>
            <w:tcW w:w="1691" w:type="dxa"/>
            <w:tcMar>
              <w:top w:w="0" w:type="dxa"/>
              <w:left w:w="108" w:type="dxa"/>
              <w:bottom w:w="0" w:type="dxa"/>
              <w:right w:w="108" w:type="dxa"/>
            </w:tcMar>
            <w:vAlign w:val="center"/>
          </w:tcPr>
          <w:p w14:paraId="6A6763E2"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加密终端：车载终端、背负终端、手持终端</w:t>
            </w:r>
          </w:p>
        </w:tc>
        <w:tc>
          <w:tcPr>
            <w:tcW w:w="4577" w:type="dxa"/>
            <w:tcMar>
              <w:top w:w="0" w:type="dxa"/>
              <w:left w:w="108" w:type="dxa"/>
              <w:bottom w:w="0" w:type="dxa"/>
              <w:right w:w="108" w:type="dxa"/>
            </w:tcMar>
            <w:vAlign w:val="center"/>
          </w:tcPr>
          <w:p w14:paraId="1B6FC3C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能接入民用</w:t>
            </w:r>
            <w:r w:rsidRPr="00B4515A">
              <w:rPr>
                <w:rFonts w:ascii="Times New Roman" w:hAnsi="Times New Roman" w:cs="Times New Roman"/>
                <w:sz w:val="21"/>
                <w:szCs w:val="21"/>
              </w:rPr>
              <w:t>4G</w:t>
            </w:r>
            <w:r w:rsidRPr="00B4515A">
              <w:rPr>
                <w:rFonts w:ascii="Times New Roman" w:hAnsi="Times New Roman" w:cs="Times New Roman" w:hint="eastAsia"/>
                <w:sz w:val="21"/>
                <w:szCs w:val="21"/>
              </w:rPr>
              <w:t>移动通信网络的加密应用终端。针对特殊用户执勤保障加密通信的需求，定制化开发的专用加密传输终端，实现基于民用移动通信网络的安全、可靠、保密的音视频与数据通信。</w:t>
            </w:r>
          </w:p>
        </w:tc>
      </w:tr>
      <w:tr w:rsidR="006416B0" w:rsidRPr="00B4515A" w14:paraId="2F9C98B9" w14:textId="77777777" w:rsidTr="00031627">
        <w:trPr>
          <w:trHeight w:val="340"/>
          <w:jc w:val="center"/>
        </w:trPr>
        <w:tc>
          <w:tcPr>
            <w:tcW w:w="702" w:type="dxa"/>
            <w:vMerge/>
            <w:tcMar>
              <w:top w:w="0" w:type="dxa"/>
              <w:left w:w="108" w:type="dxa"/>
              <w:bottom w:w="0" w:type="dxa"/>
              <w:right w:w="108" w:type="dxa"/>
            </w:tcMar>
            <w:vAlign w:val="center"/>
          </w:tcPr>
          <w:p w14:paraId="4FF2D2B3" w14:textId="77777777" w:rsidR="006416B0" w:rsidRPr="00B4515A" w:rsidRDefault="006416B0" w:rsidP="005860B4">
            <w:pPr>
              <w:adjustRightInd w:val="0"/>
              <w:snapToGrid w:val="0"/>
              <w:rPr>
                <w:rFonts w:ascii="Times New Roman" w:hAnsi="Times New Roman" w:cs="Times New Roman"/>
                <w:sz w:val="21"/>
                <w:szCs w:val="21"/>
              </w:rPr>
            </w:pPr>
          </w:p>
        </w:tc>
        <w:tc>
          <w:tcPr>
            <w:tcW w:w="1268" w:type="dxa"/>
            <w:vMerge/>
            <w:tcMar>
              <w:top w:w="0" w:type="dxa"/>
              <w:left w:w="108" w:type="dxa"/>
              <w:bottom w:w="0" w:type="dxa"/>
              <w:right w:w="108" w:type="dxa"/>
            </w:tcMar>
            <w:vAlign w:val="center"/>
          </w:tcPr>
          <w:p w14:paraId="318A06AD" w14:textId="77777777" w:rsidR="006416B0" w:rsidRPr="00B4515A" w:rsidRDefault="006416B0" w:rsidP="005860B4">
            <w:pPr>
              <w:adjustRightInd w:val="0"/>
              <w:snapToGrid w:val="0"/>
              <w:rPr>
                <w:rFonts w:ascii="Times New Roman" w:hAnsi="Times New Roman" w:cs="Times New Roman"/>
                <w:sz w:val="21"/>
                <w:szCs w:val="21"/>
              </w:rPr>
            </w:pPr>
          </w:p>
        </w:tc>
        <w:tc>
          <w:tcPr>
            <w:tcW w:w="1691" w:type="dxa"/>
            <w:tcMar>
              <w:top w:w="0" w:type="dxa"/>
              <w:left w:w="108" w:type="dxa"/>
              <w:bottom w:w="0" w:type="dxa"/>
              <w:right w:w="108" w:type="dxa"/>
            </w:tcMar>
            <w:vAlign w:val="center"/>
          </w:tcPr>
          <w:p w14:paraId="172EF90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网络安全设备</w:t>
            </w:r>
          </w:p>
        </w:tc>
        <w:tc>
          <w:tcPr>
            <w:tcW w:w="4577" w:type="dxa"/>
            <w:tcMar>
              <w:top w:w="0" w:type="dxa"/>
              <w:left w:w="108" w:type="dxa"/>
              <w:bottom w:w="0" w:type="dxa"/>
              <w:right w:w="108" w:type="dxa"/>
            </w:tcMar>
            <w:vAlign w:val="center"/>
          </w:tcPr>
          <w:p w14:paraId="00148E1D"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与加密终端配合使用的网络侧设备。完成接入专网终端用户的身份认证、网络安全防护、业务数据加解密等。</w:t>
            </w:r>
          </w:p>
        </w:tc>
      </w:tr>
      <w:tr w:rsidR="006416B0" w:rsidRPr="00B4515A" w14:paraId="3E6ABE7E" w14:textId="77777777" w:rsidTr="00031627">
        <w:trPr>
          <w:trHeight w:val="340"/>
          <w:jc w:val="center"/>
        </w:trPr>
        <w:tc>
          <w:tcPr>
            <w:tcW w:w="702" w:type="dxa"/>
            <w:tcMar>
              <w:top w:w="0" w:type="dxa"/>
              <w:left w:w="108" w:type="dxa"/>
              <w:bottom w:w="0" w:type="dxa"/>
              <w:right w:w="108" w:type="dxa"/>
            </w:tcMar>
            <w:vAlign w:val="center"/>
          </w:tcPr>
          <w:p w14:paraId="259BAEC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2959" w:type="dxa"/>
            <w:gridSpan w:val="2"/>
            <w:tcMar>
              <w:top w:w="0" w:type="dxa"/>
              <w:left w:w="108" w:type="dxa"/>
              <w:bottom w:w="0" w:type="dxa"/>
              <w:right w:w="108" w:type="dxa"/>
            </w:tcMar>
            <w:vAlign w:val="center"/>
          </w:tcPr>
          <w:p w14:paraId="608DBB6C"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勤务指控平台</w:t>
            </w:r>
          </w:p>
        </w:tc>
        <w:tc>
          <w:tcPr>
            <w:tcW w:w="4577" w:type="dxa"/>
            <w:tcMar>
              <w:top w:w="0" w:type="dxa"/>
              <w:left w:w="108" w:type="dxa"/>
              <w:bottom w:w="0" w:type="dxa"/>
              <w:right w:w="108" w:type="dxa"/>
            </w:tcMar>
            <w:vAlign w:val="center"/>
          </w:tcPr>
          <w:p w14:paraId="385C0CFB"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执勤保障系统的指挥调度软件。可以为用户提供所属单位和人员日常执勤保障的可视化指挥调度。</w:t>
            </w:r>
          </w:p>
        </w:tc>
      </w:tr>
    </w:tbl>
    <w:p w14:paraId="201AC24A" w14:textId="77777777" w:rsidR="006416B0" w:rsidRPr="00B4515A" w:rsidRDefault="005E58C1" w:rsidP="005860B4">
      <w:pPr>
        <w:pStyle w:val="005"/>
        <w:spacing w:before="120" w:after="120"/>
        <w:ind w:firstLine="480"/>
      </w:pPr>
      <w:r w:rsidRPr="00B4515A">
        <w:rPr>
          <w:rFonts w:hint="eastAsia"/>
        </w:rPr>
        <w:t>在聚焦上述三个业务方向的同时，大唐联诚为了扩大市场份额，进一步提升市场地位，积极把握特通信息化行业发展机遇，在现有市场、产品和技术积累的基础上，以专用</w:t>
      </w:r>
      <w:r w:rsidRPr="00B4515A">
        <w:t>5G</w:t>
      </w:r>
      <w:r w:rsidRPr="00B4515A">
        <w:rPr>
          <w:rFonts w:hint="eastAsia"/>
        </w:rPr>
        <w:t>物联网、专用可穿戴设备、船载短波通信等为重点探索方向，积极投入大量的研发资源，开展技术创新工作，在</w:t>
      </w:r>
      <w:r w:rsidRPr="00B4515A">
        <w:t>5G</w:t>
      </w:r>
      <w:r w:rsidRPr="00B4515A">
        <w:rPr>
          <w:rFonts w:hint="eastAsia"/>
        </w:rPr>
        <w:t>专网产品和</w:t>
      </w:r>
      <w:r w:rsidRPr="00B4515A">
        <w:t>5G</w:t>
      </w:r>
      <w:r w:rsidRPr="00B4515A">
        <w:rPr>
          <w:rFonts w:hint="eastAsia"/>
        </w:rPr>
        <w:t>加密终端研发方面取得初步成果，未来将构成大唐联诚新的业务增长点。</w:t>
      </w:r>
    </w:p>
    <w:p w14:paraId="3D9C548B" w14:textId="77777777" w:rsidR="006416B0" w:rsidRPr="00B4515A" w:rsidRDefault="005E58C1" w:rsidP="005860B4">
      <w:pPr>
        <w:pStyle w:val="003"/>
        <w:spacing w:before="120"/>
        <w:ind w:firstLine="482"/>
      </w:pPr>
      <w:r w:rsidRPr="00B4515A">
        <w:rPr>
          <w:rFonts w:hint="eastAsia"/>
        </w:rPr>
        <w:t>（四）主要产品生产工艺流程图</w:t>
      </w:r>
    </w:p>
    <w:p w14:paraId="31643329" w14:textId="77777777" w:rsidR="006416B0" w:rsidRPr="00B4515A" w:rsidRDefault="005E58C1" w:rsidP="005860B4">
      <w:pPr>
        <w:pStyle w:val="005"/>
        <w:spacing w:before="120" w:after="120"/>
        <w:ind w:firstLine="480"/>
      </w:pPr>
      <w:r w:rsidRPr="00B4515A">
        <w:rPr>
          <w:rFonts w:hint="eastAsia"/>
        </w:rPr>
        <w:t>大唐联诚主要产品的通用生产工艺总流程：</w:t>
      </w:r>
    </w:p>
    <w:bookmarkEnd w:id="179"/>
    <w:p w14:paraId="6C0B7D7D" w14:textId="77777777" w:rsidR="006416B0" w:rsidRPr="00B4515A" w:rsidRDefault="00E53585">
      <w:pPr>
        <w:autoSpaceDE w:val="0"/>
        <w:autoSpaceDN w:val="0"/>
        <w:adjustRightInd w:val="0"/>
        <w:spacing w:line="360" w:lineRule="auto"/>
        <w:ind w:firstLine="539"/>
        <w:jc w:val="center"/>
        <w:rPr>
          <w:rFonts w:ascii="Times New Roman" w:hAnsi="Times New Roman" w:cs="Times New Roman"/>
        </w:rPr>
      </w:pPr>
      <w:r w:rsidRPr="00B4515A">
        <w:rPr>
          <w:rFonts w:ascii="Times New Roman" w:hAnsi="Times New Roman" w:cs="Times New Roman"/>
          <w:noProof/>
        </w:rPr>
        <w:object w:dxaOrig="6687" w:dyaOrig="5389" w14:anchorId="06A88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1.85pt;height:267.35pt;mso-width-percent:0;mso-height-percent:0;mso-width-percent:0;mso-height-percent:0" o:ole="">
            <v:imagedata r:id="rId49" o:title=""/>
          </v:shape>
          <o:OLEObject Type="Embed" ProgID="Visio.Drawing.11" ShapeID="_x0000_i1025" DrawAspect="Content" ObjectID="_1691594918" r:id="rId50"/>
        </w:object>
      </w:r>
    </w:p>
    <w:p w14:paraId="0FDA1D33" w14:textId="77777777" w:rsidR="006416B0" w:rsidRPr="00B4515A" w:rsidRDefault="005E58C1" w:rsidP="005860B4">
      <w:pPr>
        <w:pStyle w:val="003"/>
        <w:spacing w:before="120"/>
        <w:ind w:firstLine="482"/>
      </w:pPr>
      <w:bookmarkStart w:id="181" w:name="_Hlk76929857"/>
      <w:r w:rsidRPr="00B4515A">
        <w:rPr>
          <w:rFonts w:hint="eastAsia"/>
        </w:rPr>
        <w:t>（五）主要经营模式</w:t>
      </w:r>
    </w:p>
    <w:p w14:paraId="3D9ED983" w14:textId="77777777" w:rsidR="006416B0" w:rsidRPr="00B4515A" w:rsidRDefault="005E58C1" w:rsidP="005860B4">
      <w:pPr>
        <w:pStyle w:val="005"/>
        <w:spacing w:before="120" w:after="120"/>
        <w:ind w:firstLine="480"/>
      </w:pPr>
      <w:r w:rsidRPr="00B4515A">
        <w:t>大唐联诚持续聚焦发展专用移动通信、专用宽带电台和宽带移动安全应用三个业务方向，在上述三个业务板块下，大唐联诚的具体业务模式、盈利模式、结算模式如下：</w:t>
      </w:r>
    </w:p>
    <w:p w14:paraId="120B41F9" w14:textId="77777777" w:rsidR="006416B0" w:rsidRPr="00B4515A" w:rsidRDefault="005E58C1" w:rsidP="005860B4">
      <w:pPr>
        <w:pStyle w:val="004"/>
        <w:spacing w:before="120" w:after="120"/>
        <w:ind w:firstLine="482"/>
      </w:pPr>
      <w:r w:rsidRPr="00B4515A">
        <w:t>1</w:t>
      </w:r>
      <w:r w:rsidRPr="00B4515A">
        <w:rPr>
          <w:rFonts w:hint="eastAsia"/>
        </w:rPr>
        <w:t>、采购模式</w:t>
      </w:r>
    </w:p>
    <w:p w14:paraId="54EE9697" w14:textId="30F37BE2" w:rsidR="006416B0" w:rsidRPr="00B4515A" w:rsidRDefault="005E58C1" w:rsidP="005860B4">
      <w:pPr>
        <w:pStyle w:val="005"/>
        <w:spacing w:before="120" w:after="120"/>
        <w:ind w:firstLine="480"/>
      </w:pPr>
      <w:r w:rsidRPr="00B4515A">
        <w:rPr>
          <w:rFonts w:hint="eastAsia"/>
        </w:rPr>
        <w:t>大唐联诚建立了与采购工作流程相关的控制程序和管理文件，包括《供应商管理规定》</w:t>
      </w:r>
      <w:r w:rsidR="000D013C" w:rsidRPr="00B4515A">
        <w:rPr>
          <w:rFonts w:hint="eastAsia"/>
        </w:rPr>
        <w:t>、</w:t>
      </w:r>
      <w:r w:rsidRPr="00B4515A">
        <w:rPr>
          <w:rFonts w:hint="eastAsia"/>
        </w:rPr>
        <w:t>《合格供方名录》等，建立了规范的采购工作、供应商管理等流程，向合格供应商采购原材料和委托加工服务。大唐联诚的原材料采购，从采购订单下达到原材料入库的周期通常为</w:t>
      </w:r>
      <w:r w:rsidRPr="00B4515A">
        <w:t>3</w:t>
      </w:r>
      <w:r w:rsidRPr="00B4515A">
        <w:rPr>
          <w:rFonts w:hint="eastAsia"/>
        </w:rPr>
        <w:t>个月。</w:t>
      </w:r>
    </w:p>
    <w:p w14:paraId="60141457" w14:textId="77777777" w:rsidR="006416B0" w:rsidRPr="00B4515A" w:rsidRDefault="005E58C1" w:rsidP="005860B4">
      <w:pPr>
        <w:pStyle w:val="005"/>
        <w:spacing w:before="120" w:after="120"/>
        <w:ind w:firstLine="480"/>
      </w:pPr>
      <w:r w:rsidRPr="00B4515A">
        <w:rPr>
          <w:rFonts w:hint="eastAsia"/>
        </w:rPr>
        <w:t>大唐联诚原材料的采购模式为</w:t>
      </w:r>
      <w:r w:rsidRPr="00B4515A">
        <w:rPr>
          <w:rFonts w:ascii="宋体" w:hAnsi="宋体"/>
        </w:rPr>
        <w:t>“</w:t>
      </w:r>
      <w:r w:rsidRPr="00B4515A">
        <w:rPr>
          <w:rFonts w:hint="eastAsia"/>
        </w:rPr>
        <w:t>按需采购、适当备货</w:t>
      </w:r>
      <w:r w:rsidRPr="00B4515A">
        <w:rPr>
          <w:rFonts w:ascii="宋体" w:hAnsi="宋体"/>
        </w:rPr>
        <w:t>”</w:t>
      </w:r>
      <w:r w:rsidRPr="00B4515A">
        <w:rPr>
          <w:rFonts w:hint="eastAsia"/>
        </w:rPr>
        <w:t>，在该模式下，市场部根据销售订单和销售预测导入需求，产品部根据销售订单和销售预测确定产品</w:t>
      </w:r>
      <w:r w:rsidRPr="00B4515A">
        <w:t>BOM</w:t>
      </w:r>
      <w:r w:rsidRPr="00B4515A">
        <w:rPr>
          <w:rFonts w:hint="eastAsia"/>
        </w:rPr>
        <w:t>表，计划供应部根据产品部的</w:t>
      </w:r>
      <w:r w:rsidRPr="00B4515A">
        <w:t>BOM</w:t>
      </w:r>
      <w:r w:rsidRPr="00B4515A">
        <w:rPr>
          <w:rFonts w:hint="eastAsia"/>
        </w:rPr>
        <w:t>表进行物料数量核对并在核减库存后组织采购。由于大唐联诚部分产品在功能、性能和应用环境方面存在不同需求，应用在这些产品中的部件在技术性能等方面的要求通常高于市场通用标准，为满足其特定需求，大唐联诚需对应用在这些产品中的特定部件进行定制化采购。在定制化采购模式下，供应商会根据大唐联诚提供的技术方案和图纸文件，为大唐联诚专门定制相关部件。</w:t>
      </w:r>
    </w:p>
    <w:p w14:paraId="7D5D469C" w14:textId="6ABE9E5F" w:rsidR="006416B0" w:rsidRPr="00B4515A" w:rsidRDefault="005E58C1" w:rsidP="005860B4">
      <w:pPr>
        <w:pStyle w:val="005"/>
        <w:spacing w:before="120" w:after="120"/>
        <w:ind w:firstLine="480"/>
      </w:pPr>
      <w:r w:rsidRPr="00B4515A">
        <w:rPr>
          <w:rFonts w:hint="eastAsia"/>
        </w:rPr>
        <w:lastRenderedPageBreak/>
        <w:t>报告期内，标的公司与供应商约定的预付款比例不完全相同，报告期内部分主要供应商的预付比例约为</w:t>
      </w:r>
      <w:r w:rsidRPr="00B4515A">
        <w:t>30%</w:t>
      </w:r>
      <w:r w:rsidRPr="00B4515A">
        <w:rPr>
          <w:rFonts w:hint="eastAsia"/>
        </w:rPr>
        <w:t>至</w:t>
      </w:r>
      <w:r w:rsidRPr="00B4515A">
        <w:t>60%</w:t>
      </w:r>
      <w:r w:rsidRPr="00B4515A">
        <w:rPr>
          <w:rFonts w:hint="eastAsia"/>
        </w:rPr>
        <w:t>，部分供应商未约定预付款比例。截至</w:t>
      </w:r>
      <w:r w:rsidRPr="00B4515A">
        <w:t>2019</w:t>
      </w:r>
      <w:r w:rsidRPr="00B4515A">
        <w:rPr>
          <w:rFonts w:hint="eastAsia"/>
        </w:rPr>
        <w:t>年</w:t>
      </w:r>
      <w:r w:rsidRPr="00B4515A">
        <w:t>12</w:t>
      </w:r>
      <w:r w:rsidRPr="00B4515A">
        <w:rPr>
          <w:rFonts w:hint="eastAsia"/>
        </w:rPr>
        <w:t>月</w:t>
      </w:r>
      <w:r w:rsidRPr="00B4515A">
        <w:t>31</w:t>
      </w:r>
      <w:r w:rsidRPr="00B4515A">
        <w:rPr>
          <w:rFonts w:hint="eastAsia"/>
        </w:rPr>
        <w:t>日、</w:t>
      </w:r>
      <w:r w:rsidRPr="00B4515A">
        <w:t>2020</w:t>
      </w:r>
      <w:r w:rsidRPr="00B4515A">
        <w:rPr>
          <w:rFonts w:hint="eastAsia"/>
        </w:rPr>
        <w:t>年</w:t>
      </w:r>
      <w:r w:rsidRPr="00B4515A">
        <w:t>12</w:t>
      </w:r>
      <w:r w:rsidRPr="00B4515A">
        <w:rPr>
          <w:rFonts w:hint="eastAsia"/>
        </w:rPr>
        <w:t>月</w:t>
      </w:r>
      <w:r w:rsidRPr="00B4515A">
        <w:t>31</w:t>
      </w:r>
      <w:r w:rsidRPr="00B4515A">
        <w:rPr>
          <w:rFonts w:hint="eastAsia"/>
        </w:rPr>
        <w:t>日、</w:t>
      </w:r>
      <w:r w:rsidRPr="00B4515A">
        <w:t>2021</w:t>
      </w:r>
      <w:r w:rsidRPr="00B4515A">
        <w:rPr>
          <w:rFonts w:hint="eastAsia"/>
        </w:rPr>
        <w:t>年</w:t>
      </w:r>
      <w:r w:rsidRPr="00B4515A">
        <w:t>4</w:t>
      </w:r>
      <w:r w:rsidRPr="00B4515A">
        <w:rPr>
          <w:rFonts w:hint="eastAsia"/>
        </w:rPr>
        <w:t>月</w:t>
      </w:r>
      <w:r w:rsidRPr="00B4515A">
        <w:t>30</w:t>
      </w:r>
      <w:r w:rsidRPr="00B4515A">
        <w:rPr>
          <w:rFonts w:hint="eastAsia"/>
        </w:rPr>
        <w:t>日，标的公司预付款账面金额分别为</w:t>
      </w:r>
      <w:r w:rsidRPr="00B4515A">
        <w:t>1,568.45</w:t>
      </w:r>
      <w:r w:rsidRPr="00B4515A">
        <w:rPr>
          <w:rFonts w:hint="eastAsia"/>
        </w:rPr>
        <w:t>万元、</w:t>
      </w:r>
      <w:r w:rsidRPr="00B4515A">
        <w:t>1,290.27</w:t>
      </w:r>
      <w:r w:rsidRPr="00B4515A">
        <w:rPr>
          <w:rFonts w:hint="eastAsia"/>
        </w:rPr>
        <w:t>万元、</w:t>
      </w:r>
      <w:r w:rsidRPr="00B4515A">
        <w:t>3,012.03</w:t>
      </w:r>
      <w:r w:rsidRPr="00B4515A">
        <w:rPr>
          <w:rFonts w:hint="eastAsia"/>
        </w:rPr>
        <w:t>万元，占各期末净资产比例约为</w:t>
      </w:r>
      <w:r w:rsidRPr="00B4515A">
        <w:t>-</w:t>
      </w:r>
      <w:r w:rsidR="00C677E3" w:rsidRPr="00B4515A">
        <w:t>9</w:t>
      </w:r>
      <w:r w:rsidRPr="00B4515A">
        <w:t>.</w:t>
      </w:r>
      <w:r w:rsidR="00C677E3" w:rsidRPr="00B4515A">
        <w:t>03</w:t>
      </w:r>
      <w:r w:rsidRPr="00B4515A">
        <w:t>%</w:t>
      </w:r>
      <w:r w:rsidRPr="00B4515A">
        <w:rPr>
          <w:rFonts w:hint="eastAsia"/>
        </w:rPr>
        <w:t>、</w:t>
      </w:r>
      <w:r w:rsidRPr="00B4515A">
        <w:t>6.</w:t>
      </w:r>
      <w:r w:rsidR="00C677E3" w:rsidRPr="00B4515A">
        <w:t>59</w:t>
      </w:r>
      <w:r w:rsidRPr="00B4515A">
        <w:t>%</w:t>
      </w:r>
      <w:r w:rsidRPr="00B4515A">
        <w:rPr>
          <w:rFonts w:hint="eastAsia"/>
        </w:rPr>
        <w:t>、</w:t>
      </w:r>
      <w:r w:rsidRPr="00B4515A">
        <w:t>3.89%</w:t>
      </w:r>
      <w:r w:rsidRPr="00B4515A">
        <w:rPr>
          <w:rFonts w:hint="eastAsia"/>
        </w:rPr>
        <w:t>，占各期原材料采购额的比例分别为</w:t>
      </w:r>
      <w:r w:rsidR="00361046" w:rsidRPr="00B4515A">
        <w:t>6.85%</w:t>
      </w:r>
      <w:r w:rsidRPr="00B4515A">
        <w:rPr>
          <w:rFonts w:hint="eastAsia"/>
        </w:rPr>
        <w:t>、</w:t>
      </w:r>
      <w:r w:rsidR="00361046" w:rsidRPr="00B4515A">
        <w:t>4.4</w:t>
      </w:r>
      <w:r w:rsidR="000629D2" w:rsidRPr="00B4515A">
        <w:t>0</w:t>
      </w:r>
      <w:r w:rsidR="00361046" w:rsidRPr="00B4515A">
        <w:t>%</w:t>
      </w:r>
      <w:r w:rsidRPr="00B4515A">
        <w:rPr>
          <w:rFonts w:hint="eastAsia"/>
        </w:rPr>
        <w:t>、</w:t>
      </w:r>
      <w:r w:rsidR="00361046" w:rsidRPr="00B4515A">
        <w:t>44.0</w:t>
      </w:r>
      <w:r w:rsidR="000629D2" w:rsidRPr="00B4515A">
        <w:t>5</w:t>
      </w:r>
      <w:r w:rsidR="00361046" w:rsidRPr="00B4515A">
        <w:t>%</w:t>
      </w:r>
      <w:r w:rsidRPr="00B4515A">
        <w:rPr>
          <w:rFonts w:hint="eastAsia"/>
        </w:rPr>
        <w:t>。</w:t>
      </w:r>
    </w:p>
    <w:p w14:paraId="7E6ADC48" w14:textId="77777777" w:rsidR="006416B0" w:rsidRPr="00B4515A" w:rsidRDefault="005E58C1" w:rsidP="005860B4">
      <w:pPr>
        <w:pStyle w:val="005"/>
        <w:spacing w:before="120" w:after="120"/>
        <w:ind w:firstLine="480"/>
        <w:rPr>
          <w:szCs w:val="21"/>
        </w:rPr>
      </w:pPr>
      <w:r w:rsidRPr="00B4515A">
        <w:rPr>
          <w:rFonts w:hint="eastAsia"/>
        </w:rPr>
        <w:t>大唐联诚产品的采购流程如下：</w:t>
      </w:r>
    </w:p>
    <w:p w14:paraId="6491C20C" w14:textId="77777777" w:rsidR="006416B0" w:rsidRPr="00B4515A" w:rsidRDefault="00E53585">
      <w:pPr>
        <w:spacing w:line="360" w:lineRule="auto"/>
        <w:jc w:val="center"/>
        <w:rPr>
          <w:rStyle w:val="fontstyle01"/>
          <w:rFonts w:ascii="Times New Roman" w:hAnsi="Times New Roman" w:cs="Times New Roman" w:hint="default"/>
          <w:szCs w:val="21"/>
        </w:rPr>
      </w:pPr>
      <w:r w:rsidRPr="00B4515A">
        <w:rPr>
          <w:rFonts w:ascii="Times New Roman" w:hAnsi="Times New Roman" w:cs="Times New Roman"/>
          <w:noProof/>
        </w:rPr>
        <w:object w:dxaOrig="2367" w:dyaOrig="5375" w14:anchorId="0AFE59C5">
          <v:shape id="_x0000_i1026" type="#_x0000_t75" alt="" style="width:116.45pt;height:266.1pt;mso-width-percent:0;mso-height-percent:0;mso-width-percent:0;mso-height-percent:0" o:ole="">
            <v:imagedata r:id="rId51" o:title=""/>
          </v:shape>
          <o:OLEObject Type="Embed" ProgID="Visio.Drawing.11" ShapeID="_x0000_i1026" DrawAspect="Content" ObjectID="_1691594919" r:id="rId52"/>
        </w:object>
      </w:r>
    </w:p>
    <w:p w14:paraId="46CE24FE" w14:textId="77777777" w:rsidR="006416B0" w:rsidRPr="00B4515A" w:rsidRDefault="005E58C1" w:rsidP="005860B4">
      <w:pPr>
        <w:pStyle w:val="004"/>
        <w:spacing w:before="120" w:after="120"/>
        <w:ind w:firstLine="482"/>
      </w:pPr>
      <w:r w:rsidRPr="00B4515A">
        <w:t>2</w:t>
      </w:r>
      <w:r w:rsidRPr="00B4515A">
        <w:rPr>
          <w:rFonts w:hint="eastAsia"/>
        </w:rPr>
        <w:t>、生产模式</w:t>
      </w:r>
    </w:p>
    <w:p w14:paraId="6D6E0DEB" w14:textId="77777777" w:rsidR="006416B0" w:rsidRPr="00B4515A" w:rsidRDefault="005E58C1" w:rsidP="005860B4">
      <w:pPr>
        <w:pStyle w:val="005"/>
        <w:spacing w:before="120" w:after="120"/>
        <w:ind w:firstLine="480"/>
      </w:pPr>
      <w:r w:rsidRPr="00B4515A">
        <w:rPr>
          <w:rFonts w:hint="eastAsia"/>
        </w:rPr>
        <w:t>大唐联诚的主要生产模式为根据客户需求进行定制化生产，生产加工按产品研制进度区分为定型前试生产和定型后批量生产。在定型前阶段，大唐联诚根据客户的需求对产品进行不断研发、调试、试验，所研发生产出的产品需要经过多次小批量试生产。在产品定型后，定型产品的技术参数、制造工艺、所需原材料等一般不会发生改变，大唐联诚生产部根据客户的订单需求组织安排批量化生产。</w:t>
      </w:r>
    </w:p>
    <w:p w14:paraId="3218F4EC" w14:textId="77777777" w:rsidR="006416B0" w:rsidRPr="00B4515A" w:rsidRDefault="005E58C1" w:rsidP="005860B4">
      <w:pPr>
        <w:pStyle w:val="005"/>
        <w:spacing w:before="120" w:after="120"/>
        <w:ind w:firstLine="480"/>
      </w:pPr>
      <w:r w:rsidRPr="00B4515A">
        <w:rPr>
          <w:rFonts w:hint="eastAsia"/>
        </w:rPr>
        <w:t>在生产工序上，大唐联诚生产过程中所涉及的核心工序如整机组装、整机常态测试、整机环筛等均由其自主完成，以确保产品质量的稳定性和可靠性。部分非核心工序如贴片加工、三防漆喷涂、线缆加工等，由于设备投入较大、工序和工艺要求明确、质量可控性高，因此，大唐联诚将其采用外协方式完成。</w:t>
      </w:r>
    </w:p>
    <w:p w14:paraId="0278C1A7" w14:textId="77777777" w:rsidR="006416B0" w:rsidRPr="00B4515A" w:rsidRDefault="005E58C1" w:rsidP="005860B4">
      <w:pPr>
        <w:pStyle w:val="005"/>
        <w:spacing w:before="120" w:after="120"/>
        <w:ind w:firstLine="480"/>
      </w:pPr>
      <w:r w:rsidRPr="00B4515A">
        <w:rPr>
          <w:rFonts w:hint="eastAsia"/>
        </w:rPr>
        <w:lastRenderedPageBreak/>
        <w:t>大唐联诚主要产品的通用生产工艺总流程：</w:t>
      </w:r>
    </w:p>
    <w:p w14:paraId="6DA9D4D2" w14:textId="77777777" w:rsidR="006416B0" w:rsidRPr="00B4515A" w:rsidRDefault="00E53585">
      <w:pPr>
        <w:autoSpaceDE w:val="0"/>
        <w:autoSpaceDN w:val="0"/>
        <w:adjustRightInd w:val="0"/>
        <w:spacing w:line="360" w:lineRule="auto"/>
        <w:ind w:firstLine="539"/>
        <w:jc w:val="center"/>
        <w:rPr>
          <w:rFonts w:ascii="Times New Roman" w:hAnsi="Times New Roman" w:cs="Times New Roman"/>
        </w:rPr>
      </w:pPr>
      <w:r w:rsidRPr="00B4515A">
        <w:rPr>
          <w:rFonts w:ascii="Times New Roman" w:hAnsi="Times New Roman" w:cs="Times New Roman"/>
          <w:noProof/>
        </w:rPr>
        <w:object w:dxaOrig="6687" w:dyaOrig="5389" w14:anchorId="5AC6A139">
          <v:shape id="_x0000_i1027" type="#_x0000_t75" alt="" style="width:331.85pt;height:267.35pt;mso-width-percent:0;mso-height-percent:0;mso-width-percent:0;mso-height-percent:0" o:ole="">
            <v:imagedata r:id="rId49" o:title=""/>
          </v:shape>
          <o:OLEObject Type="Embed" ProgID="Visio.Drawing.11" ShapeID="_x0000_i1027" DrawAspect="Content" ObjectID="_1691594920" r:id="rId53"/>
        </w:object>
      </w:r>
    </w:p>
    <w:p w14:paraId="27565C20" w14:textId="77777777" w:rsidR="006416B0" w:rsidRPr="00B4515A" w:rsidRDefault="005E58C1" w:rsidP="005860B4">
      <w:pPr>
        <w:pStyle w:val="005"/>
        <w:spacing w:before="120" w:after="120"/>
        <w:ind w:firstLine="480"/>
      </w:pPr>
      <w:r w:rsidRPr="00B4515A">
        <w:rPr>
          <w:rFonts w:hint="eastAsia"/>
        </w:rPr>
        <w:t>大唐联诚的生产周期，从</w:t>
      </w:r>
      <w:r w:rsidRPr="00B4515A">
        <w:t>SMT</w:t>
      </w:r>
      <w:r w:rsidRPr="00B4515A">
        <w:rPr>
          <w:rFonts w:hint="eastAsia"/>
        </w:rPr>
        <w:t>（贴片加工）工序到整机复测环节通常需要</w:t>
      </w:r>
      <w:r w:rsidRPr="00B4515A">
        <w:t>45-60</w:t>
      </w:r>
      <w:r w:rsidRPr="00B4515A">
        <w:rPr>
          <w:rFonts w:hint="eastAsia"/>
        </w:rPr>
        <w:t>天。</w:t>
      </w:r>
    </w:p>
    <w:p w14:paraId="37190E51" w14:textId="77777777" w:rsidR="006416B0" w:rsidRPr="00B4515A" w:rsidRDefault="005E58C1" w:rsidP="005860B4">
      <w:pPr>
        <w:pStyle w:val="005"/>
        <w:spacing w:before="120" w:after="120"/>
        <w:ind w:firstLine="480"/>
        <w:rPr>
          <w:color w:val="000000"/>
        </w:rPr>
      </w:pPr>
      <w:r w:rsidRPr="00B4515A">
        <w:rPr>
          <w:rFonts w:hint="eastAsia"/>
          <w:color w:val="000000"/>
        </w:rPr>
        <w:t>大唐联诚整个生产环节具有严格的过程质量管控流程，生产部门和质量部门参与过程控制以确保产品质量，对</w:t>
      </w:r>
      <w:r w:rsidRPr="00B4515A">
        <w:rPr>
          <w:color w:val="000000"/>
        </w:rPr>
        <w:t>SMT</w:t>
      </w:r>
      <w:r w:rsidRPr="00B4515A">
        <w:rPr>
          <w:rFonts w:hint="eastAsia"/>
          <w:color w:val="000000"/>
        </w:rPr>
        <w:t>的关键过程、组装测试等关键工序均能进行有效控制。为确保产品的稳定性和可靠性，在产品出厂前，质量部对产品的外观、安全性、性能、功能等进行检验。对于委外加工的产品，在委外加工过程中，为了控制外协厂商的生产过程质量，大唐联诚会组织工艺工程师在外协厂商进行持续的现场巡检工作，以监控生产过程质量。</w:t>
      </w:r>
    </w:p>
    <w:p w14:paraId="57471955" w14:textId="77777777" w:rsidR="006416B0" w:rsidRPr="00B4515A" w:rsidRDefault="005E58C1" w:rsidP="005860B4">
      <w:pPr>
        <w:pStyle w:val="004"/>
        <w:spacing w:before="120" w:after="120"/>
        <w:ind w:firstLine="482"/>
      </w:pPr>
      <w:r w:rsidRPr="00B4515A">
        <w:t>3</w:t>
      </w:r>
      <w:r w:rsidRPr="00B4515A">
        <w:rPr>
          <w:rFonts w:hint="eastAsia"/>
        </w:rPr>
        <w:t>、研发模式</w:t>
      </w:r>
    </w:p>
    <w:p w14:paraId="5DA3BEE6" w14:textId="77777777" w:rsidR="006416B0" w:rsidRPr="00B4515A" w:rsidRDefault="005E58C1" w:rsidP="005860B4">
      <w:pPr>
        <w:pStyle w:val="005"/>
        <w:spacing w:before="120" w:after="120"/>
        <w:ind w:firstLine="480"/>
      </w:pPr>
      <w:r w:rsidRPr="00B4515A">
        <w:rPr>
          <w:rFonts w:hint="eastAsia"/>
        </w:rPr>
        <w:t>大唐联诚以客户需求为导向，依托多年来在特种通信领域的核心技术积累，以专业、高效的研发团队为依托，为客户提供专业的产品、服务和解决方案。大唐联诚的研发任务以客户委托的预研、型研任务为主，同时辅以配套的、承载公司核心技术能力的软硬件平台的自主研发任务。</w:t>
      </w:r>
    </w:p>
    <w:p w14:paraId="6DDF6268" w14:textId="77777777" w:rsidR="006416B0" w:rsidRPr="00B4515A" w:rsidRDefault="005E58C1" w:rsidP="005860B4">
      <w:pPr>
        <w:pStyle w:val="005"/>
        <w:spacing w:before="120" w:after="120"/>
        <w:ind w:firstLine="480"/>
      </w:pPr>
      <w:r w:rsidRPr="00B4515A">
        <w:rPr>
          <w:rFonts w:hint="eastAsia"/>
        </w:rPr>
        <w:t>大唐联诚秉承产品开发应基于市场进行创新的理念，坚持以市场驱动研发、以创新驱动公司技术发展，强调产品开发的跨部门协同，缩短产品开发周期，加</w:t>
      </w:r>
      <w:r w:rsidRPr="00B4515A">
        <w:rPr>
          <w:rFonts w:hint="eastAsia"/>
        </w:rPr>
        <w:lastRenderedPageBreak/>
        <w:t>快市场响应速度，提高研发产出效能。</w:t>
      </w:r>
    </w:p>
    <w:p w14:paraId="2DCF1C5B" w14:textId="77777777" w:rsidR="006416B0" w:rsidRPr="00B4515A" w:rsidRDefault="005E58C1" w:rsidP="005860B4">
      <w:pPr>
        <w:pStyle w:val="005"/>
        <w:spacing w:before="120" w:after="120"/>
        <w:ind w:firstLine="480"/>
      </w:pPr>
      <w:r w:rsidRPr="00B4515A">
        <w:rPr>
          <w:rFonts w:hint="eastAsia"/>
        </w:rPr>
        <w:t>大唐联诚引入先进的</w:t>
      </w:r>
      <w:r w:rsidRPr="00B4515A">
        <w:t>IPD</w:t>
      </w:r>
      <w:r w:rsidRPr="00B4515A">
        <w:rPr>
          <w:rFonts w:hint="eastAsia"/>
        </w:rPr>
        <w:t>管理体系，并结合行业产品研制特点，形成了其特有的研发管理体系，该体系除了支持客户下发的预研、型研任务外，也可支持公司的自主研发任务。</w:t>
      </w:r>
    </w:p>
    <w:p w14:paraId="7D7F8A2C" w14:textId="77777777" w:rsidR="006416B0" w:rsidRPr="00B4515A" w:rsidRDefault="005E58C1" w:rsidP="005860B4">
      <w:pPr>
        <w:pStyle w:val="004"/>
        <w:spacing w:before="120" w:after="120"/>
        <w:ind w:firstLine="482"/>
      </w:pPr>
      <w:r w:rsidRPr="00B4515A">
        <w:t>4</w:t>
      </w:r>
      <w:r w:rsidRPr="00B4515A">
        <w:rPr>
          <w:rFonts w:hint="eastAsia"/>
        </w:rPr>
        <w:t>、销售模式</w:t>
      </w:r>
    </w:p>
    <w:p w14:paraId="20E4C641" w14:textId="77777777" w:rsidR="006416B0" w:rsidRPr="00B4515A" w:rsidRDefault="005E58C1" w:rsidP="005860B4">
      <w:pPr>
        <w:pStyle w:val="005"/>
        <w:spacing w:before="120" w:after="120"/>
        <w:ind w:firstLine="480"/>
      </w:pPr>
      <w:r w:rsidRPr="00B4515A">
        <w:rPr>
          <w:rFonts w:hint="eastAsia"/>
        </w:rPr>
        <w:t>大唐联诚技术研发团队与市场团队紧密协作，充分调研、了解客户的需求，与客户确定解决方案，为客户提供产品销售和技术服务。</w:t>
      </w:r>
    </w:p>
    <w:p w14:paraId="0396604B" w14:textId="77777777" w:rsidR="006416B0" w:rsidRPr="00B4515A" w:rsidRDefault="005E58C1" w:rsidP="005860B4">
      <w:pPr>
        <w:pStyle w:val="005"/>
        <w:spacing w:before="120" w:after="120"/>
        <w:ind w:firstLine="480"/>
      </w:pPr>
      <w:r w:rsidRPr="00B4515A">
        <w:rPr>
          <w:rFonts w:hint="eastAsia"/>
        </w:rPr>
        <w:t>大唐联诚的销售主要为两类：产品销售和技术服务。</w:t>
      </w:r>
    </w:p>
    <w:p w14:paraId="3AF8C4F5" w14:textId="77777777" w:rsidR="006416B0" w:rsidRPr="00B4515A" w:rsidRDefault="005E58C1" w:rsidP="005860B4">
      <w:pPr>
        <w:pStyle w:val="005"/>
        <w:spacing w:before="120" w:after="120"/>
        <w:ind w:firstLine="480"/>
      </w:pPr>
      <w:r w:rsidRPr="00B4515A">
        <w:rPr>
          <w:rFonts w:hint="eastAsia"/>
        </w:rPr>
        <w:t>（</w:t>
      </w:r>
      <w:r w:rsidRPr="00B4515A">
        <w:t>1</w:t>
      </w:r>
      <w:r w:rsidRPr="00B4515A">
        <w:rPr>
          <w:rFonts w:hint="eastAsia"/>
        </w:rPr>
        <w:t>）产品销售</w:t>
      </w:r>
    </w:p>
    <w:p w14:paraId="74A8CF2E" w14:textId="77777777" w:rsidR="006416B0" w:rsidRPr="00B4515A" w:rsidRDefault="005E58C1" w:rsidP="005860B4">
      <w:pPr>
        <w:pStyle w:val="005"/>
        <w:spacing w:before="120" w:after="120"/>
        <w:ind w:firstLine="480"/>
      </w:pPr>
      <w:r w:rsidRPr="00B4515A">
        <w:rPr>
          <w:rFonts w:hint="eastAsia"/>
        </w:rPr>
        <w:t>大唐联诚的产品类型分为定型产品、非定型产品和集成项目相关产品销售。</w:t>
      </w:r>
    </w:p>
    <w:p w14:paraId="0B21124C" w14:textId="77777777" w:rsidR="006416B0" w:rsidRPr="00B4515A" w:rsidRDefault="005E58C1" w:rsidP="005860B4">
      <w:pPr>
        <w:pStyle w:val="005"/>
        <w:spacing w:before="120" w:after="120"/>
        <w:ind w:firstLine="480"/>
      </w:pPr>
      <w:r w:rsidRPr="00B4515A">
        <w:rPr>
          <w:rFonts w:hint="eastAsia"/>
        </w:rPr>
        <w:t>对于定型产品，在研发阶段，大唐联诚充分发挥自身的技术储备优势，通过参与招标等方式获得型号产品研制资格，参与到与其技术相关的新型号产品的定型研制过程中。在产品定型后，即可纳入客户的采购体系，一旦纳入该体系，代表大唐联诚成为该型号产品的固定供应商之一。客户会根据《价格管理办法》的相关要求对定型产品的价格进行审定。对于专用型号产品，客户通常每年会组织订货会，向拥有型号产品的企业下派生产订单；对于通用型号产品，大唐联诚通过参与招标、竞争性谈判等方式获取订单。</w:t>
      </w:r>
    </w:p>
    <w:p w14:paraId="0EC7A762" w14:textId="77777777" w:rsidR="006416B0" w:rsidRPr="00B4515A" w:rsidRDefault="005E58C1" w:rsidP="005860B4">
      <w:pPr>
        <w:pStyle w:val="005"/>
        <w:spacing w:before="120" w:after="120"/>
        <w:ind w:firstLine="480"/>
      </w:pPr>
      <w:r w:rsidRPr="00B4515A">
        <w:rPr>
          <w:rFonts w:hint="eastAsia"/>
        </w:rPr>
        <w:t>此外，客户还会基于自身的个性化需求，向大唐联诚采购非定型产品，该类产品由大唐联诚自主创新研发或基于现有技术进行定制化研发生产，此类销售一般由采购方通过公开招标、竞争性谈判、单一来源采购等方式进行。</w:t>
      </w:r>
    </w:p>
    <w:p w14:paraId="1C6D0FCE" w14:textId="77777777" w:rsidR="006416B0" w:rsidRPr="00B4515A" w:rsidRDefault="005E58C1" w:rsidP="005860B4">
      <w:pPr>
        <w:pStyle w:val="005"/>
        <w:spacing w:before="120" w:after="120"/>
        <w:ind w:firstLine="480"/>
      </w:pPr>
      <w:r w:rsidRPr="00B4515A">
        <w:rPr>
          <w:rFonts w:hint="eastAsia"/>
        </w:rPr>
        <w:t>集成项目是指大唐联诚根据客户在特定场景下的通信能力建设需求，综合采用自有产品、外购产品组成的系统交付项目。大唐联诚主要通过参加招标的方式获取集成项目订单。</w:t>
      </w:r>
    </w:p>
    <w:p w14:paraId="1F0403F7" w14:textId="77777777" w:rsidR="006416B0" w:rsidRPr="00B4515A" w:rsidRDefault="005E58C1" w:rsidP="005860B4">
      <w:pPr>
        <w:pStyle w:val="005"/>
        <w:spacing w:before="120" w:after="120"/>
        <w:ind w:firstLine="480"/>
      </w:pPr>
      <w:r w:rsidRPr="00B4515A">
        <w:rPr>
          <w:rFonts w:hint="eastAsia"/>
        </w:rPr>
        <w:t>（</w:t>
      </w:r>
      <w:r w:rsidRPr="00B4515A">
        <w:t>2</w:t>
      </w:r>
      <w:r w:rsidRPr="00B4515A">
        <w:rPr>
          <w:rFonts w:hint="eastAsia"/>
        </w:rPr>
        <w:t>）技术服务</w:t>
      </w:r>
    </w:p>
    <w:p w14:paraId="7818E20F" w14:textId="77777777" w:rsidR="006416B0" w:rsidRPr="00B4515A" w:rsidRDefault="005E58C1" w:rsidP="005860B4">
      <w:pPr>
        <w:pStyle w:val="005"/>
        <w:spacing w:before="120" w:after="120"/>
        <w:ind w:firstLine="480"/>
      </w:pPr>
      <w:r w:rsidRPr="00B4515A">
        <w:rPr>
          <w:rFonts w:hint="eastAsia"/>
        </w:rPr>
        <w:t>大唐联诚提供技术服务收入的构成主要包括受托预研、受托型研收入和软件授权收入等。</w:t>
      </w:r>
    </w:p>
    <w:p w14:paraId="6DA556A7" w14:textId="77777777" w:rsidR="006416B0" w:rsidRPr="00B4515A" w:rsidRDefault="005E58C1" w:rsidP="005860B4">
      <w:pPr>
        <w:pStyle w:val="005"/>
        <w:spacing w:before="120" w:after="120"/>
        <w:ind w:firstLine="480"/>
      </w:pPr>
      <w:r w:rsidRPr="00B4515A">
        <w:rPr>
          <w:rFonts w:hint="eastAsia"/>
        </w:rPr>
        <w:t>预研一般包含应用基础研究、应用技术研究和演示验证等环节。在受托预研</w:t>
      </w:r>
      <w:r w:rsidRPr="00B4515A">
        <w:rPr>
          <w:rFonts w:hint="eastAsia"/>
        </w:rPr>
        <w:lastRenderedPageBreak/>
        <w:t>模式下，大唐联诚通过公开招标等方式获取承研资格后与客户签订研制合同，合同定价由双方综合考虑研发难度确定。</w:t>
      </w:r>
    </w:p>
    <w:p w14:paraId="7AFA3296" w14:textId="77777777" w:rsidR="006416B0" w:rsidRPr="00B4515A" w:rsidRDefault="005E58C1" w:rsidP="005860B4">
      <w:pPr>
        <w:pStyle w:val="005"/>
        <w:spacing w:before="120" w:after="120"/>
        <w:ind w:firstLine="480"/>
      </w:pPr>
      <w:r w:rsidRPr="00B4515A">
        <w:rPr>
          <w:rFonts w:hint="eastAsia"/>
        </w:rPr>
        <w:t>型号产品从研制到定型一般需经过产品需求分析与可行性论证，产品方案设计，产品初样、正样样机研制、性能试验、小批量试生产和产品试验等阶段。受托型研的产品在通过型号鉴定后获得型号，成为型号产品，该产品方可成为未来采购的标的。在受托型研模式下，大唐联诚通过公开招标等方式获取承研资格后与客户签订研制合同，合同定价由双方综合考虑研发难度确定。</w:t>
      </w:r>
    </w:p>
    <w:p w14:paraId="6B739050" w14:textId="2DCE98FA" w:rsidR="006416B0" w:rsidRPr="00B4515A" w:rsidRDefault="005E58C1" w:rsidP="005860B4">
      <w:pPr>
        <w:pStyle w:val="005"/>
        <w:spacing w:before="120" w:after="120"/>
        <w:ind w:firstLine="480"/>
      </w:pPr>
      <w:r w:rsidRPr="00B4515A">
        <w:rPr>
          <w:rFonts w:hint="eastAsia"/>
        </w:rPr>
        <w:t>软件授权收入主要是</w:t>
      </w:r>
      <w:r w:rsidR="001C1A2F" w:rsidRPr="00B4515A">
        <w:rPr>
          <w:rFonts w:hint="eastAsia"/>
        </w:rPr>
        <w:t>大唐联诚</w:t>
      </w:r>
      <w:r w:rsidRPr="00B4515A">
        <w:rPr>
          <w:rFonts w:hint="eastAsia"/>
        </w:rPr>
        <w:t>通过向客户提供通信波形软件授权使用服务而收取的费用。</w:t>
      </w:r>
    </w:p>
    <w:p w14:paraId="4B743596" w14:textId="77777777" w:rsidR="006416B0" w:rsidRPr="00B4515A" w:rsidRDefault="005E58C1" w:rsidP="005860B4">
      <w:pPr>
        <w:pStyle w:val="004"/>
        <w:spacing w:before="120" w:after="120"/>
        <w:ind w:firstLine="482"/>
      </w:pPr>
      <w:r w:rsidRPr="00B4515A">
        <w:rPr>
          <w:rFonts w:hint="eastAsia"/>
        </w:rPr>
        <w:t>5</w:t>
      </w:r>
      <w:r w:rsidRPr="00B4515A">
        <w:rPr>
          <w:rFonts w:hint="eastAsia"/>
        </w:rPr>
        <w:t>、盈利模式</w:t>
      </w:r>
    </w:p>
    <w:p w14:paraId="4438A451" w14:textId="77777777" w:rsidR="006416B0" w:rsidRPr="00B4515A" w:rsidRDefault="005E58C1" w:rsidP="005860B4">
      <w:pPr>
        <w:pStyle w:val="005"/>
        <w:spacing w:before="120" w:after="120"/>
        <w:ind w:firstLine="480"/>
      </w:pPr>
      <w:r w:rsidRPr="00B4515A">
        <w:rPr>
          <w:rFonts w:hint="eastAsia"/>
        </w:rPr>
        <w:t>大唐联诚深入落实核心技术自主可控的国家战略，紧密围绕核心业务迫切发展需求，通过原始创新、应用创新和集成创新并举的方式，研发先进特种通信核心技术和适用产品，在三大主营业务方向上取得了较好的经济效益。</w:t>
      </w:r>
    </w:p>
    <w:p w14:paraId="4C0495AF" w14:textId="77777777" w:rsidR="006416B0" w:rsidRPr="00B4515A" w:rsidRDefault="005E58C1" w:rsidP="005860B4">
      <w:pPr>
        <w:pStyle w:val="005"/>
        <w:spacing w:before="120" w:after="120"/>
        <w:ind w:firstLine="480"/>
      </w:pPr>
      <w:r w:rsidRPr="00B4515A">
        <w:rPr>
          <w:rFonts w:hint="eastAsia"/>
        </w:rPr>
        <w:t>报告期内，大唐联诚依托三大业务方向，为客户提供定型产品、</w:t>
      </w:r>
      <w:r w:rsidRPr="00B4515A">
        <w:t>非定型产品及其售后服务，承担客户委托预先研究项目、型号研制项目、其它技术开发和技术服务项目，实现经营收入和利润。报告期内，标的公司的收入主要来源于</w:t>
      </w:r>
      <w:r w:rsidRPr="00B4515A">
        <w:rPr>
          <w:rFonts w:hint="eastAsia"/>
        </w:rPr>
        <w:t>专</w:t>
      </w:r>
      <w:r w:rsidRPr="00B4515A">
        <w:t>用移动通信、</w:t>
      </w:r>
      <w:r w:rsidRPr="00B4515A">
        <w:rPr>
          <w:rFonts w:hint="eastAsia"/>
        </w:rPr>
        <w:t>专</w:t>
      </w:r>
      <w:r w:rsidRPr="00B4515A">
        <w:t>用宽带电台方向下的型号产品和非型号产品销售。</w:t>
      </w:r>
    </w:p>
    <w:p w14:paraId="66EF47BE" w14:textId="77777777" w:rsidR="006416B0" w:rsidRPr="00B4515A" w:rsidRDefault="005E58C1" w:rsidP="005860B4">
      <w:pPr>
        <w:pStyle w:val="004"/>
        <w:spacing w:before="120" w:after="120"/>
        <w:ind w:firstLine="482"/>
      </w:pPr>
      <w:r w:rsidRPr="00B4515A">
        <w:t>6</w:t>
      </w:r>
      <w:r w:rsidRPr="00B4515A">
        <w:rPr>
          <w:rFonts w:hint="eastAsia"/>
        </w:rPr>
        <w:t>、结算模式</w:t>
      </w:r>
    </w:p>
    <w:p w14:paraId="04A036D1" w14:textId="77777777" w:rsidR="006416B0" w:rsidRPr="00B4515A" w:rsidRDefault="005E58C1" w:rsidP="005860B4">
      <w:pPr>
        <w:pStyle w:val="005"/>
        <w:spacing w:before="120" w:after="120"/>
        <w:ind w:firstLine="480"/>
      </w:pPr>
      <w:r w:rsidRPr="00B4515A">
        <w:rPr>
          <w:rFonts w:hint="eastAsia"/>
        </w:rPr>
        <w:t>报告期内，大唐联诚与客户</w:t>
      </w:r>
      <w:r w:rsidRPr="00B4515A">
        <w:rPr>
          <w:rFonts w:hint="eastAsia"/>
          <w:color w:val="000000"/>
        </w:rPr>
        <w:t>签订</w:t>
      </w:r>
      <w:r w:rsidRPr="00B4515A">
        <w:rPr>
          <w:rFonts w:hint="eastAsia"/>
        </w:rPr>
        <w:t>合同时一般会收取一定比例的预收款项，在产品发出并经过验收后结算。结算方式方面客户通常采用银行转账支付货款。大唐联诚与供应商的结算方式主要为银行转账，此外，还包含少量的承兑汇票。</w:t>
      </w:r>
    </w:p>
    <w:p w14:paraId="1163ADE5" w14:textId="77777777" w:rsidR="006416B0" w:rsidRPr="00B4515A" w:rsidRDefault="005E58C1" w:rsidP="005860B4">
      <w:pPr>
        <w:pStyle w:val="005"/>
        <w:spacing w:before="120" w:after="120"/>
        <w:ind w:firstLine="480"/>
      </w:pPr>
      <w:r w:rsidRPr="00B4515A">
        <w:rPr>
          <w:rFonts w:hint="eastAsia"/>
        </w:rPr>
        <w:t>报告期内，标的公司各报告期末应收票据金额分别为</w:t>
      </w:r>
      <w:r w:rsidRPr="00B4515A">
        <w:t>1,198.14</w:t>
      </w:r>
      <w:r w:rsidRPr="00B4515A">
        <w:rPr>
          <w:rFonts w:hint="eastAsia"/>
        </w:rPr>
        <w:t>万元、</w:t>
      </w:r>
      <w:r w:rsidRPr="00B4515A">
        <w:t>2,980.39</w:t>
      </w:r>
      <w:r w:rsidRPr="00B4515A">
        <w:rPr>
          <w:rFonts w:hint="eastAsia"/>
        </w:rPr>
        <w:t>万元、</w:t>
      </w:r>
      <w:r w:rsidRPr="00B4515A">
        <w:t>2,196.52</w:t>
      </w:r>
      <w:r w:rsidRPr="00B4515A">
        <w:rPr>
          <w:rFonts w:hint="eastAsia"/>
        </w:rPr>
        <w:t>万元，占各期末净资产比例为</w:t>
      </w:r>
      <w:r w:rsidRPr="00B4515A">
        <w:rPr>
          <w:color w:val="000000"/>
          <w:sz w:val="22"/>
        </w:rPr>
        <w:t>-6.90%</w:t>
      </w:r>
      <w:r w:rsidRPr="00B4515A">
        <w:rPr>
          <w:rFonts w:hint="eastAsia"/>
        </w:rPr>
        <w:t>、</w:t>
      </w:r>
      <w:r w:rsidRPr="00B4515A">
        <w:rPr>
          <w:color w:val="000000"/>
          <w:sz w:val="22"/>
        </w:rPr>
        <w:t>15.21%</w:t>
      </w:r>
      <w:r w:rsidRPr="00B4515A">
        <w:rPr>
          <w:rFonts w:hint="eastAsia"/>
        </w:rPr>
        <w:t>、</w:t>
      </w:r>
      <w:r w:rsidRPr="00B4515A">
        <w:t>2.83%,</w:t>
      </w:r>
      <w:r w:rsidRPr="00B4515A">
        <w:rPr>
          <w:rFonts w:hint="eastAsia"/>
        </w:rPr>
        <w:t>占各期营业收入的比例</w:t>
      </w:r>
      <w:r w:rsidRPr="00B4515A">
        <w:rPr>
          <w:rFonts w:hint="eastAsia"/>
          <w:color w:val="000000"/>
        </w:rPr>
        <w:t>分别</w:t>
      </w:r>
      <w:r w:rsidRPr="00B4515A">
        <w:rPr>
          <w:rFonts w:hint="eastAsia"/>
        </w:rPr>
        <w:t>为</w:t>
      </w:r>
      <w:r w:rsidRPr="00B4515A">
        <w:t>3.27%</w:t>
      </w:r>
      <w:r w:rsidRPr="00B4515A">
        <w:rPr>
          <w:rFonts w:hint="eastAsia"/>
        </w:rPr>
        <w:t>、</w:t>
      </w:r>
      <w:r w:rsidRPr="00B4515A">
        <w:t>5.39%</w:t>
      </w:r>
      <w:r w:rsidRPr="00B4515A">
        <w:rPr>
          <w:rFonts w:hint="eastAsia"/>
        </w:rPr>
        <w:t>、</w:t>
      </w:r>
      <w:r w:rsidRPr="00B4515A">
        <w:t>17.22%</w:t>
      </w:r>
      <w:r w:rsidRPr="00B4515A">
        <w:rPr>
          <w:rFonts w:hint="eastAsia"/>
        </w:rPr>
        <w:t>。</w:t>
      </w:r>
    </w:p>
    <w:p w14:paraId="3812E5FC" w14:textId="77777777" w:rsidR="006416B0" w:rsidRPr="00B4515A" w:rsidRDefault="005E58C1" w:rsidP="005860B4">
      <w:pPr>
        <w:pStyle w:val="005"/>
        <w:spacing w:before="120" w:after="120"/>
        <w:ind w:firstLine="480"/>
      </w:pPr>
      <w:r w:rsidRPr="00B4515A">
        <w:rPr>
          <w:rFonts w:hint="eastAsia"/>
        </w:rPr>
        <w:t>报告期内，标的公司与</w:t>
      </w:r>
      <w:r w:rsidRPr="00B4515A">
        <w:rPr>
          <w:rFonts w:hint="eastAsia"/>
          <w:color w:val="000000"/>
        </w:rPr>
        <w:t>主要</w:t>
      </w:r>
      <w:r w:rsidRPr="00B4515A">
        <w:rPr>
          <w:rFonts w:hint="eastAsia"/>
        </w:rPr>
        <w:t>客户约定预收款比例不完全相同，部分客户约定预收款比例约为</w:t>
      </w:r>
      <w:r w:rsidRPr="00B4515A">
        <w:t>10%</w:t>
      </w:r>
      <w:r w:rsidRPr="00B4515A">
        <w:rPr>
          <w:rFonts w:hint="eastAsia"/>
        </w:rPr>
        <w:t>至</w:t>
      </w:r>
      <w:r w:rsidRPr="00B4515A">
        <w:t>80%</w:t>
      </w:r>
      <w:r w:rsidRPr="00B4515A">
        <w:rPr>
          <w:rFonts w:hint="eastAsia"/>
        </w:rPr>
        <w:t>。另外部分客户是收到货款后供货；部分客户约定为按照最终客户支付比例支付款项。报告期内，标的公司各报告期末预收款账面</w:t>
      </w:r>
      <w:r w:rsidRPr="00B4515A">
        <w:rPr>
          <w:rFonts w:hint="eastAsia"/>
        </w:rPr>
        <w:lastRenderedPageBreak/>
        <w:t>金额分别为</w:t>
      </w:r>
      <w:r w:rsidRPr="00B4515A">
        <w:t>4,101.36</w:t>
      </w:r>
      <w:r w:rsidRPr="00B4515A">
        <w:rPr>
          <w:rFonts w:hint="eastAsia"/>
        </w:rPr>
        <w:t>万元、</w:t>
      </w:r>
      <w:r w:rsidRPr="00B4515A">
        <w:t>4,150.78</w:t>
      </w:r>
      <w:r w:rsidRPr="00B4515A">
        <w:rPr>
          <w:rFonts w:hint="eastAsia"/>
        </w:rPr>
        <w:t>万元、</w:t>
      </w:r>
      <w:r w:rsidRPr="00B4515A">
        <w:t>8,049.83</w:t>
      </w:r>
      <w:r w:rsidRPr="00B4515A">
        <w:rPr>
          <w:rFonts w:hint="eastAsia"/>
        </w:rPr>
        <w:t>万元，占各期末净资产比例为</w:t>
      </w:r>
      <w:r w:rsidRPr="00B4515A">
        <w:t>-23.61%</w:t>
      </w:r>
      <w:r w:rsidRPr="00B4515A">
        <w:rPr>
          <w:rFonts w:hint="eastAsia"/>
        </w:rPr>
        <w:t>、</w:t>
      </w:r>
      <w:r w:rsidRPr="00B4515A">
        <w:t>21.18%</w:t>
      </w:r>
      <w:r w:rsidRPr="00B4515A">
        <w:rPr>
          <w:rFonts w:hint="eastAsia"/>
        </w:rPr>
        <w:t>、</w:t>
      </w:r>
      <w:r w:rsidRPr="00B4515A">
        <w:t>10.39%</w:t>
      </w:r>
      <w:r w:rsidRPr="00B4515A">
        <w:rPr>
          <w:rFonts w:hint="eastAsia"/>
        </w:rPr>
        <w:t>，占各期营业收入的比例分别为</w:t>
      </w:r>
      <w:r w:rsidRPr="00B4515A">
        <w:t>11.18%</w:t>
      </w:r>
      <w:r w:rsidRPr="00B4515A">
        <w:rPr>
          <w:rFonts w:hint="eastAsia"/>
        </w:rPr>
        <w:t>、</w:t>
      </w:r>
      <w:r w:rsidRPr="00B4515A">
        <w:t>7.51%</w:t>
      </w:r>
      <w:r w:rsidRPr="00B4515A">
        <w:rPr>
          <w:rFonts w:hint="eastAsia"/>
        </w:rPr>
        <w:t>、</w:t>
      </w:r>
      <w:r w:rsidRPr="00B4515A">
        <w:t>63.09%</w:t>
      </w:r>
      <w:r w:rsidRPr="00B4515A">
        <w:rPr>
          <w:rFonts w:hint="eastAsia"/>
        </w:rPr>
        <w:t>。</w:t>
      </w:r>
    </w:p>
    <w:p w14:paraId="480DCC70" w14:textId="69CF746D" w:rsidR="006416B0" w:rsidRPr="00B4515A" w:rsidRDefault="005E58C1" w:rsidP="005860B4">
      <w:pPr>
        <w:pStyle w:val="005"/>
        <w:spacing w:before="120" w:after="120"/>
        <w:ind w:firstLine="480"/>
      </w:pPr>
      <w:r w:rsidRPr="00B4515A">
        <w:rPr>
          <w:rFonts w:hint="eastAsia"/>
        </w:rPr>
        <w:t>报告期内，标的公司各报告期末应收账款账面金额分别为</w:t>
      </w:r>
      <w:r w:rsidRPr="00B4515A">
        <w:t>28,971.86</w:t>
      </w:r>
      <w:r w:rsidRPr="00B4515A">
        <w:rPr>
          <w:rFonts w:hint="eastAsia"/>
        </w:rPr>
        <w:t>万元、</w:t>
      </w:r>
      <w:r w:rsidRPr="00B4515A">
        <w:t>30,964.30</w:t>
      </w:r>
      <w:r w:rsidRPr="00B4515A">
        <w:rPr>
          <w:rFonts w:hint="eastAsia"/>
        </w:rPr>
        <w:t>万元、</w:t>
      </w:r>
      <w:r w:rsidRPr="00B4515A">
        <w:t>33,997.25</w:t>
      </w:r>
      <w:r w:rsidRPr="00B4515A">
        <w:rPr>
          <w:rFonts w:hint="eastAsia"/>
        </w:rPr>
        <w:t>万元；占各期末净资产比例分别为</w:t>
      </w:r>
      <w:r w:rsidRPr="00B4515A">
        <w:rPr>
          <w:rFonts w:hint="eastAsia"/>
        </w:rPr>
        <w:t>-166.</w:t>
      </w:r>
      <w:r w:rsidRPr="00B4515A">
        <w:t>79</w:t>
      </w:r>
      <w:r w:rsidRPr="00B4515A">
        <w:rPr>
          <w:rFonts w:hint="eastAsia"/>
        </w:rPr>
        <w:t>%</w:t>
      </w:r>
      <w:r w:rsidRPr="00B4515A">
        <w:rPr>
          <w:rFonts w:hint="eastAsia"/>
        </w:rPr>
        <w:t>、</w:t>
      </w:r>
      <w:r w:rsidRPr="00B4515A">
        <w:rPr>
          <w:rFonts w:hint="eastAsia"/>
        </w:rPr>
        <w:t>158.</w:t>
      </w:r>
      <w:r w:rsidRPr="00B4515A">
        <w:t>03</w:t>
      </w:r>
      <w:r w:rsidRPr="00B4515A">
        <w:rPr>
          <w:rFonts w:hint="eastAsia"/>
        </w:rPr>
        <w:t>%</w:t>
      </w:r>
      <w:r w:rsidRPr="00B4515A">
        <w:rPr>
          <w:rFonts w:hint="eastAsia"/>
        </w:rPr>
        <w:t>、</w:t>
      </w:r>
      <w:r w:rsidRPr="00B4515A">
        <w:rPr>
          <w:rFonts w:hint="eastAsia"/>
        </w:rPr>
        <w:t>43.8</w:t>
      </w:r>
      <w:r w:rsidRPr="00B4515A">
        <w:t>7</w:t>
      </w:r>
      <w:r w:rsidRPr="00B4515A">
        <w:rPr>
          <w:rFonts w:hint="eastAsia"/>
        </w:rPr>
        <w:t>%</w:t>
      </w:r>
      <w:r w:rsidRPr="00B4515A">
        <w:rPr>
          <w:rFonts w:hint="eastAsia"/>
        </w:rPr>
        <w:t>；占各期营业收入的比例分别为</w:t>
      </w:r>
      <w:r w:rsidRPr="00B4515A">
        <w:t>78.97%</w:t>
      </w:r>
      <w:r w:rsidRPr="00B4515A">
        <w:rPr>
          <w:rFonts w:hint="eastAsia"/>
        </w:rPr>
        <w:t>、</w:t>
      </w:r>
      <w:r w:rsidRPr="00B4515A">
        <w:t>56.01%</w:t>
      </w:r>
      <w:r w:rsidRPr="00B4515A">
        <w:rPr>
          <w:rFonts w:hint="eastAsia"/>
        </w:rPr>
        <w:t>、</w:t>
      </w:r>
      <w:r w:rsidRPr="00B4515A">
        <w:t>266.46%</w:t>
      </w:r>
      <w:r w:rsidRPr="00B4515A">
        <w:rPr>
          <w:rFonts w:hint="eastAsia"/>
        </w:rPr>
        <w:t>。</w:t>
      </w:r>
      <w:r w:rsidRPr="00B4515A">
        <w:rPr>
          <w:rFonts w:hint="eastAsia"/>
        </w:rPr>
        <w:t>2021</w:t>
      </w:r>
      <w:r w:rsidRPr="00B4515A">
        <w:rPr>
          <w:rFonts w:hint="eastAsia"/>
        </w:rPr>
        <w:t>年</w:t>
      </w:r>
      <w:r w:rsidRPr="00B4515A">
        <w:rPr>
          <w:rFonts w:hint="eastAsia"/>
        </w:rPr>
        <w:t>1-4</w:t>
      </w:r>
      <w:r w:rsidRPr="00B4515A">
        <w:rPr>
          <w:rFonts w:hint="eastAsia"/>
        </w:rPr>
        <w:t>月应收账款占营业收入的比例较高，主要原因为</w:t>
      </w:r>
      <w:r w:rsidRPr="00B4515A">
        <w:rPr>
          <w:rFonts w:hint="eastAsia"/>
        </w:rPr>
        <w:t>2021</w:t>
      </w:r>
      <w:r w:rsidRPr="00B4515A">
        <w:rPr>
          <w:rFonts w:hint="eastAsia"/>
        </w:rPr>
        <w:t>年</w:t>
      </w:r>
      <w:r w:rsidRPr="00B4515A">
        <w:rPr>
          <w:rFonts w:hint="eastAsia"/>
        </w:rPr>
        <w:t>1-4</w:t>
      </w:r>
      <w:r w:rsidRPr="00B4515A">
        <w:rPr>
          <w:rFonts w:hint="eastAsia"/>
        </w:rPr>
        <w:t>月份营业收入相对较低，且标的公司</w:t>
      </w:r>
      <w:r w:rsidR="005954DC" w:rsidRPr="00B4515A">
        <w:rPr>
          <w:rFonts w:hint="eastAsia"/>
        </w:rPr>
        <w:t>存在尚</w:t>
      </w:r>
      <w:r w:rsidRPr="00B4515A">
        <w:rPr>
          <w:rFonts w:hint="eastAsia"/>
        </w:rPr>
        <w:t>未收回</w:t>
      </w:r>
      <w:r w:rsidR="005954DC" w:rsidRPr="00B4515A">
        <w:rPr>
          <w:rFonts w:hint="eastAsia"/>
        </w:rPr>
        <w:t>以前年度</w:t>
      </w:r>
      <w:r w:rsidRPr="00B4515A">
        <w:rPr>
          <w:rFonts w:hint="eastAsia"/>
        </w:rPr>
        <w:t>应收账款致应收账款金额较大，从而导致应收账款占营业收入比例较高。由于标的公司属于特通领域行业，存在年末集中交付及集中结算的特点，使得期末应收账款余额往往较大。但客户资质较好，产生坏账损失的风险较低。</w:t>
      </w:r>
      <w:bookmarkEnd w:id="181"/>
    </w:p>
    <w:bookmarkEnd w:id="180"/>
    <w:p w14:paraId="5468C100" w14:textId="77777777" w:rsidR="006416B0" w:rsidRPr="00B4515A" w:rsidRDefault="005E58C1" w:rsidP="005860B4">
      <w:pPr>
        <w:pStyle w:val="003"/>
        <w:spacing w:before="120"/>
        <w:ind w:firstLine="482"/>
      </w:pPr>
      <w:r w:rsidRPr="00B4515A">
        <w:rPr>
          <w:rFonts w:hint="eastAsia"/>
        </w:rPr>
        <w:t>（六）主要产品及服务的生产销售情况</w:t>
      </w:r>
    </w:p>
    <w:p w14:paraId="51C0EE72" w14:textId="77777777" w:rsidR="006416B0" w:rsidRPr="00B4515A" w:rsidRDefault="005E58C1" w:rsidP="005860B4">
      <w:pPr>
        <w:pStyle w:val="004"/>
        <w:spacing w:before="120" w:after="120"/>
        <w:ind w:firstLine="482"/>
      </w:pPr>
      <w:bookmarkStart w:id="182" w:name="_Hlk76931827"/>
      <w:r w:rsidRPr="00B4515A">
        <w:t>1</w:t>
      </w:r>
      <w:r w:rsidRPr="00B4515A">
        <w:rPr>
          <w:rFonts w:hint="eastAsia"/>
        </w:rPr>
        <w:t>、报告期主要产品的销售情况</w:t>
      </w:r>
    </w:p>
    <w:p w14:paraId="71887642" w14:textId="097328DF" w:rsidR="006416B0" w:rsidRPr="00B4515A" w:rsidRDefault="005E58C1" w:rsidP="005860B4">
      <w:pPr>
        <w:pStyle w:val="005"/>
        <w:spacing w:before="120" w:after="120"/>
        <w:ind w:firstLine="480"/>
      </w:pPr>
      <w:bookmarkStart w:id="183" w:name="_Hlk78555554"/>
      <w:r w:rsidRPr="00B4515A">
        <w:rPr>
          <w:rFonts w:hint="eastAsia"/>
        </w:rPr>
        <w:t>（</w:t>
      </w:r>
      <w:r w:rsidRPr="00B4515A">
        <w:rPr>
          <w:rFonts w:hint="eastAsia"/>
        </w:rPr>
        <w:t>1</w:t>
      </w:r>
      <w:r w:rsidRPr="00B4515A">
        <w:rPr>
          <w:rFonts w:hint="eastAsia"/>
        </w:rPr>
        <w:t>）报告期内主要产品的</w:t>
      </w:r>
      <w:r w:rsidR="005E115B" w:rsidRPr="00B4515A">
        <w:rPr>
          <w:rFonts w:hint="eastAsia"/>
        </w:rPr>
        <w:t>产能、</w:t>
      </w:r>
      <w:r w:rsidRPr="00B4515A">
        <w:rPr>
          <w:rFonts w:hint="eastAsia"/>
        </w:rPr>
        <w:t>产量、销量情况</w:t>
      </w:r>
    </w:p>
    <w:p w14:paraId="1B2DC2EE" w14:textId="3730BABB" w:rsidR="006416B0" w:rsidRPr="00B4515A" w:rsidRDefault="005E58C1" w:rsidP="006100BC">
      <w:pPr>
        <w:pStyle w:val="005"/>
        <w:spacing w:before="120" w:after="120"/>
        <w:ind w:firstLine="480"/>
      </w:pPr>
      <w:r w:rsidRPr="00B4515A">
        <w:rPr>
          <w:rFonts w:hint="eastAsia"/>
        </w:rPr>
        <w:t>由于标的公司的产品具有定制化特点，产品型号类别众多，且主要是人工作业，标的公司一般根据客户订单情况灵活调配人员进行组织生产，</w:t>
      </w:r>
      <w:r w:rsidRPr="00B4515A">
        <w:t xml:space="preserve"> </w:t>
      </w:r>
      <w:r w:rsidRPr="00B4515A">
        <w:t>因此产品产能弹性较大，无法按照传统的生产型企业的标准统计产能。</w:t>
      </w:r>
      <w:bookmarkEnd w:id="183"/>
    </w:p>
    <w:p w14:paraId="637877C4" w14:textId="41294B80" w:rsidR="005E115B" w:rsidRPr="00B4515A" w:rsidRDefault="00027E3E" w:rsidP="002B0582">
      <w:pPr>
        <w:pStyle w:val="005"/>
        <w:spacing w:before="120" w:after="120"/>
        <w:ind w:firstLine="480"/>
      </w:pPr>
      <w:r w:rsidRPr="00B4515A">
        <w:rPr>
          <w:rFonts w:hint="eastAsia"/>
        </w:rPr>
        <w:t>标的公司从事特种通信产品业务，部分信息涉及国家秘密</w:t>
      </w:r>
      <w:r w:rsidR="0084404F" w:rsidRPr="00B4515A">
        <w:rPr>
          <w:rFonts w:hint="eastAsia"/>
        </w:rPr>
        <w:t>，</w:t>
      </w:r>
      <w:r w:rsidRPr="00B4515A">
        <w:rPr>
          <w:rFonts w:hint="eastAsia"/>
        </w:rPr>
        <w:t>产量、销量等需采用代称、打包或者汇总等方式脱密后披露。由于标的公司的</w:t>
      </w:r>
      <w:r w:rsidR="0084404F" w:rsidRPr="00B4515A">
        <w:rPr>
          <w:rFonts w:hint="eastAsia"/>
        </w:rPr>
        <w:t>产品具有定制化特点，各个业务方向下产品类别型号众多。因此，无法按统一单位</w:t>
      </w:r>
      <w:r w:rsidR="008B0876" w:rsidRPr="00B4515A">
        <w:rPr>
          <w:rFonts w:hint="eastAsia"/>
        </w:rPr>
        <w:t>逐一</w:t>
      </w:r>
      <w:r w:rsidR="0084404F" w:rsidRPr="00B4515A">
        <w:rPr>
          <w:rFonts w:hint="eastAsia"/>
        </w:rPr>
        <w:t>列示产量和销量。</w:t>
      </w:r>
      <w:r w:rsidR="0084404F" w:rsidRPr="00B4515A">
        <w:rPr>
          <w:rFonts w:hint="eastAsia"/>
        </w:rPr>
        <w:t xml:space="preserve"> </w:t>
      </w:r>
    </w:p>
    <w:p w14:paraId="459BEF2A" w14:textId="5C1BFF6D" w:rsidR="006416B0" w:rsidRPr="00B4515A" w:rsidRDefault="005E58C1" w:rsidP="005860B4">
      <w:pPr>
        <w:pStyle w:val="005"/>
        <w:spacing w:before="120" w:after="120"/>
        <w:ind w:firstLine="480"/>
      </w:pPr>
      <w:r w:rsidRPr="00B4515A">
        <w:rPr>
          <w:rFonts w:hint="eastAsia"/>
        </w:rPr>
        <w:t>（</w:t>
      </w:r>
      <w:r w:rsidRPr="00B4515A">
        <w:t>2</w:t>
      </w:r>
      <w:r w:rsidRPr="00B4515A">
        <w:rPr>
          <w:rFonts w:hint="eastAsia"/>
        </w:rPr>
        <w:t>）主营业务收入按业务模式</w:t>
      </w:r>
    </w:p>
    <w:p w14:paraId="0A32FBC6" w14:textId="77777777" w:rsidR="006416B0" w:rsidRPr="00B4515A" w:rsidRDefault="005E58C1" w:rsidP="005860B4">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64"/>
        <w:gridCol w:w="1864"/>
        <w:gridCol w:w="1754"/>
        <w:gridCol w:w="1754"/>
        <w:gridCol w:w="1292"/>
      </w:tblGrid>
      <w:tr w:rsidR="006416B0" w:rsidRPr="00B4515A" w14:paraId="562E57B0" w14:textId="77777777" w:rsidTr="005860B4">
        <w:trPr>
          <w:trHeight w:val="340"/>
          <w:tblHeader/>
          <w:jc w:val="center"/>
        </w:trPr>
        <w:tc>
          <w:tcPr>
            <w:tcW w:w="2000" w:type="dxa"/>
            <w:shd w:val="clear" w:color="auto" w:fill="auto"/>
            <w:tcMar>
              <w:top w:w="0" w:type="dxa"/>
              <w:left w:w="108" w:type="dxa"/>
              <w:bottom w:w="0" w:type="dxa"/>
              <w:right w:w="108" w:type="dxa"/>
            </w:tcMar>
            <w:vAlign w:val="center"/>
          </w:tcPr>
          <w:p w14:paraId="60F1826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业务方向</w:t>
            </w:r>
          </w:p>
        </w:tc>
        <w:tc>
          <w:tcPr>
            <w:tcW w:w="2000" w:type="dxa"/>
            <w:shd w:val="clear" w:color="auto" w:fill="auto"/>
            <w:tcMar>
              <w:top w:w="0" w:type="dxa"/>
              <w:left w:w="108" w:type="dxa"/>
              <w:bottom w:w="0" w:type="dxa"/>
              <w:right w:w="108" w:type="dxa"/>
            </w:tcMar>
            <w:vAlign w:val="center"/>
          </w:tcPr>
          <w:p w14:paraId="2C25122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收入类型</w:t>
            </w:r>
          </w:p>
        </w:tc>
        <w:tc>
          <w:tcPr>
            <w:tcW w:w="1880" w:type="dxa"/>
            <w:shd w:val="clear" w:color="auto" w:fill="auto"/>
            <w:tcMar>
              <w:top w:w="0" w:type="dxa"/>
              <w:left w:w="108" w:type="dxa"/>
              <w:bottom w:w="0" w:type="dxa"/>
              <w:right w:w="108" w:type="dxa"/>
            </w:tcMar>
            <w:vAlign w:val="center"/>
          </w:tcPr>
          <w:p w14:paraId="2535F60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hint="eastAsia"/>
                <w:b/>
                <w:bCs/>
                <w:color w:val="000000"/>
                <w:sz w:val="21"/>
                <w:szCs w:val="21"/>
              </w:rPr>
              <w:t>年度</w:t>
            </w:r>
          </w:p>
        </w:tc>
        <w:tc>
          <w:tcPr>
            <w:tcW w:w="1880" w:type="dxa"/>
            <w:shd w:val="clear" w:color="auto" w:fill="auto"/>
            <w:tcMar>
              <w:top w:w="0" w:type="dxa"/>
              <w:left w:w="108" w:type="dxa"/>
              <w:bottom w:w="0" w:type="dxa"/>
              <w:right w:w="108" w:type="dxa"/>
            </w:tcMar>
            <w:vAlign w:val="center"/>
          </w:tcPr>
          <w:p w14:paraId="222C233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年度</w:t>
            </w:r>
          </w:p>
        </w:tc>
        <w:tc>
          <w:tcPr>
            <w:tcW w:w="1380" w:type="dxa"/>
            <w:shd w:val="clear" w:color="auto" w:fill="auto"/>
            <w:tcMar>
              <w:top w:w="0" w:type="dxa"/>
              <w:left w:w="108" w:type="dxa"/>
              <w:bottom w:w="0" w:type="dxa"/>
              <w:right w:w="108" w:type="dxa"/>
            </w:tcMar>
            <w:vAlign w:val="center"/>
          </w:tcPr>
          <w:p w14:paraId="124ECE9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p>
          <w:p w14:paraId="74575A4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r>
      <w:tr w:rsidR="006416B0" w:rsidRPr="00B4515A" w14:paraId="6D1754D3" w14:textId="77777777" w:rsidTr="00031627">
        <w:trPr>
          <w:trHeight w:val="340"/>
          <w:jc w:val="center"/>
        </w:trPr>
        <w:tc>
          <w:tcPr>
            <w:tcW w:w="2000" w:type="dxa"/>
            <w:vMerge w:val="restart"/>
            <w:shd w:val="clear" w:color="auto" w:fill="auto"/>
            <w:tcMar>
              <w:top w:w="0" w:type="dxa"/>
              <w:left w:w="108" w:type="dxa"/>
              <w:bottom w:w="0" w:type="dxa"/>
              <w:right w:w="108" w:type="dxa"/>
            </w:tcMar>
            <w:vAlign w:val="center"/>
          </w:tcPr>
          <w:p w14:paraId="4AE6E05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专用移动通信</w:t>
            </w:r>
          </w:p>
        </w:tc>
        <w:tc>
          <w:tcPr>
            <w:tcW w:w="2000" w:type="dxa"/>
            <w:shd w:val="clear" w:color="auto" w:fill="auto"/>
            <w:tcMar>
              <w:top w:w="0" w:type="dxa"/>
              <w:left w:w="108" w:type="dxa"/>
              <w:bottom w:w="0" w:type="dxa"/>
              <w:right w:w="108" w:type="dxa"/>
            </w:tcMar>
            <w:vAlign w:val="center"/>
          </w:tcPr>
          <w:p w14:paraId="1638540D"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4G</w:t>
            </w:r>
            <w:r w:rsidRPr="00B4515A">
              <w:rPr>
                <w:rFonts w:ascii="Times New Roman" w:eastAsiaTheme="minorEastAsia" w:hAnsi="Times New Roman" w:cs="Times New Roman" w:hint="eastAsia"/>
                <w:color w:val="000000"/>
                <w:sz w:val="21"/>
                <w:szCs w:val="21"/>
              </w:rPr>
              <w:t>专用移动通信产品</w:t>
            </w:r>
          </w:p>
        </w:tc>
        <w:tc>
          <w:tcPr>
            <w:tcW w:w="1880" w:type="dxa"/>
            <w:shd w:val="clear" w:color="auto" w:fill="auto"/>
            <w:tcMar>
              <w:top w:w="0" w:type="dxa"/>
              <w:left w:w="108" w:type="dxa"/>
              <w:bottom w:w="0" w:type="dxa"/>
              <w:right w:w="108" w:type="dxa"/>
            </w:tcMar>
            <w:vAlign w:val="center"/>
          </w:tcPr>
          <w:p w14:paraId="09FD3B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11,057.37</w:t>
            </w:r>
          </w:p>
        </w:tc>
        <w:tc>
          <w:tcPr>
            <w:tcW w:w="1880" w:type="dxa"/>
            <w:shd w:val="clear" w:color="auto" w:fill="auto"/>
            <w:tcMar>
              <w:top w:w="0" w:type="dxa"/>
              <w:left w:w="108" w:type="dxa"/>
              <w:bottom w:w="0" w:type="dxa"/>
              <w:right w:w="108" w:type="dxa"/>
            </w:tcMar>
            <w:vAlign w:val="center"/>
          </w:tcPr>
          <w:p w14:paraId="52D81AB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12,809.50</w:t>
            </w:r>
          </w:p>
        </w:tc>
        <w:tc>
          <w:tcPr>
            <w:tcW w:w="1380" w:type="dxa"/>
            <w:shd w:val="clear" w:color="auto" w:fill="auto"/>
            <w:tcMar>
              <w:top w:w="0" w:type="dxa"/>
              <w:left w:w="108" w:type="dxa"/>
              <w:bottom w:w="0" w:type="dxa"/>
              <w:right w:w="108" w:type="dxa"/>
            </w:tcMar>
            <w:vAlign w:val="center"/>
          </w:tcPr>
          <w:p w14:paraId="4785A4F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5,760.41</w:t>
            </w:r>
          </w:p>
        </w:tc>
      </w:tr>
      <w:tr w:rsidR="006416B0" w:rsidRPr="00B4515A" w14:paraId="279E2B58" w14:textId="77777777" w:rsidTr="00031627">
        <w:trPr>
          <w:trHeight w:val="340"/>
          <w:jc w:val="center"/>
        </w:trPr>
        <w:tc>
          <w:tcPr>
            <w:tcW w:w="2000" w:type="dxa"/>
            <w:vMerge/>
            <w:tcMar>
              <w:top w:w="0" w:type="dxa"/>
              <w:left w:w="108" w:type="dxa"/>
              <w:bottom w:w="0" w:type="dxa"/>
              <w:right w:w="108" w:type="dxa"/>
            </w:tcMar>
            <w:vAlign w:val="center"/>
          </w:tcPr>
          <w:p w14:paraId="331E1777"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000" w:type="dxa"/>
            <w:shd w:val="clear" w:color="auto" w:fill="auto"/>
            <w:tcMar>
              <w:top w:w="0" w:type="dxa"/>
              <w:left w:w="108" w:type="dxa"/>
              <w:bottom w:w="0" w:type="dxa"/>
              <w:right w:w="108" w:type="dxa"/>
            </w:tcMar>
            <w:vAlign w:val="center"/>
          </w:tcPr>
          <w:p w14:paraId="247710F7"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技术服务收入</w:t>
            </w:r>
          </w:p>
        </w:tc>
        <w:tc>
          <w:tcPr>
            <w:tcW w:w="1880" w:type="dxa"/>
            <w:shd w:val="clear" w:color="auto" w:fill="auto"/>
            <w:tcMar>
              <w:top w:w="0" w:type="dxa"/>
              <w:left w:w="108" w:type="dxa"/>
              <w:bottom w:w="0" w:type="dxa"/>
              <w:right w:w="108" w:type="dxa"/>
            </w:tcMar>
            <w:vAlign w:val="center"/>
          </w:tcPr>
          <w:p w14:paraId="06D29A5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831.31</w:t>
            </w:r>
          </w:p>
        </w:tc>
        <w:tc>
          <w:tcPr>
            <w:tcW w:w="1880" w:type="dxa"/>
            <w:shd w:val="clear" w:color="auto" w:fill="auto"/>
            <w:tcMar>
              <w:top w:w="0" w:type="dxa"/>
              <w:left w:w="108" w:type="dxa"/>
              <w:bottom w:w="0" w:type="dxa"/>
              <w:right w:w="108" w:type="dxa"/>
            </w:tcMar>
            <w:vAlign w:val="center"/>
          </w:tcPr>
          <w:p w14:paraId="5876CC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181.37</w:t>
            </w:r>
          </w:p>
        </w:tc>
        <w:tc>
          <w:tcPr>
            <w:tcW w:w="1380" w:type="dxa"/>
            <w:shd w:val="clear" w:color="auto" w:fill="auto"/>
            <w:tcMar>
              <w:top w:w="0" w:type="dxa"/>
              <w:left w:w="108" w:type="dxa"/>
              <w:bottom w:w="0" w:type="dxa"/>
              <w:right w:w="108" w:type="dxa"/>
            </w:tcMar>
            <w:vAlign w:val="center"/>
          </w:tcPr>
          <w:p w14:paraId="60A1509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1,920.68</w:t>
            </w:r>
          </w:p>
        </w:tc>
      </w:tr>
      <w:tr w:rsidR="006416B0" w:rsidRPr="00B4515A" w14:paraId="4275CEFD" w14:textId="77777777" w:rsidTr="00031627">
        <w:trPr>
          <w:trHeight w:val="340"/>
          <w:jc w:val="center"/>
        </w:trPr>
        <w:tc>
          <w:tcPr>
            <w:tcW w:w="2000" w:type="dxa"/>
            <w:vMerge/>
            <w:tcMar>
              <w:top w:w="0" w:type="dxa"/>
              <w:left w:w="108" w:type="dxa"/>
              <w:bottom w:w="0" w:type="dxa"/>
              <w:right w:w="108" w:type="dxa"/>
            </w:tcMar>
            <w:vAlign w:val="center"/>
          </w:tcPr>
          <w:p w14:paraId="79F18B0F"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000" w:type="dxa"/>
            <w:shd w:val="clear" w:color="auto" w:fill="auto"/>
            <w:tcMar>
              <w:top w:w="0" w:type="dxa"/>
              <w:left w:w="108" w:type="dxa"/>
              <w:bottom w:w="0" w:type="dxa"/>
              <w:right w:w="108" w:type="dxa"/>
            </w:tcMar>
            <w:vAlign w:val="center"/>
          </w:tcPr>
          <w:p w14:paraId="4270B237"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卫星通信终端</w:t>
            </w:r>
          </w:p>
        </w:tc>
        <w:tc>
          <w:tcPr>
            <w:tcW w:w="1880" w:type="dxa"/>
            <w:shd w:val="clear" w:color="auto" w:fill="auto"/>
            <w:tcMar>
              <w:top w:w="0" w:type="dxa"/>
              <w:left w:w="108" w:type="dxa"/>
              <w:bottom w:w="0" w:type="dxa"/>
              <w:right w:w="108" w:type="dxa"/>
            </w:tcMar>
            <w:vAlign w:val="center"/>
          </w:tcPr>
          <w:p w14:paraId="7871B3E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844.89</w:t>
            </w:r>
          </w:p>
        </w:tc>
        <w:tc>
          <w:tcPr>
            <w:tcW w:w="1880" w:type="dxa"/>
            <w:shd w:val="clear" w:color="auto" w:fill="auto"/>
            <w:tcMar>
              <w:top w:w="0" w:type="dxa"/>
              <w:left w:w="108" w:type="dxa"/>
              <w:bottom w:w="0" w:type="dxa"/>
              <w:right w:w="108" w:type="dxa"/>
            </w:tcMar>
            <w:vAlign w:val="center"/>
          </w:tcPr>
          <w:p w14:paraId="3D0EBF0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740.98</w:t>
            </w:r>
          </w:p>
        </w:tc>
        <w:tc>
          <w:tcPr>
            <w:tcW w:w="1380" w:type="dxa"/>
            <w:shd w:val="clear" w:color="auto" w:fill="auto"/>
            <w:tcMar>
              <w:top w:w="0" w:type="dxa"/>
              <w:left w:w="108" w:type="dxa"/>
              <w:bottom w:w="0" w:type="dxa"/>
              <w:right w:w="108" w:type="dxa"/>
            </w:tcMar>
            <w:vAlign w:val="center"/>
          </w:tcPr>
          <w:p w14:paraId="79C2D51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31.13</w:t>
            </w:r>
          </w:p>
        </w:tc>
      </w:tr>
      <w:tr w:rsidR="006416B0" w:rsidRPr="00B4515A" w14:paraId="7F5E9D99" w14:textId="77777777" w:rsidTr="00031627">
        <w:trPr>
          <w:trHeight w:val="340"/>
          <w:jc w:val="center"/>
        </w:trPr>
        <w:tc>
          <w:tcPr>
            <w:tcW w:w="2000" w:type="dxa"/>
            <w:vMerge/>
            <w:tcMar>
              <w:top w:w="0" w:type="dxa"/>
              <w:left w:w="108" w:type="dxa"/>
              <w:bottom w:w="0" w:type="dxa"/>
              <w:right w:w="108" w:type="dxa"/>
            </w:tcMar>
            <w:vAlign w:val="center"/>
          </w:tcPr>
          <w:p w14:paraId="3C928EA9"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000" w:type="dxa"/>
            <w:shd w:val="clear" w:color="auto" w:fill="auto"/>
            <w:tcMar>
              <w:top w:w="0" w:type="dxa"/>
              <w:left w:w="108" w:type="dxa"/>
              <w:bottom w:w="0" w:type="dxa"/>
              <w:right w:w="108" w:type="dxa"/>
            </w:tcMar>
            <w:vAlign w:val="center"/>
          </w:tcPr>
          <w:p w14:paraId="5D77BF9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信号分析产品</w:t>
            </w:r>
          </w:p>
        </w:tc>
        <w:tc>
          <w:tcPr>
            <w:tcW w:w="1880" w:type="dxa"/>
            <w:shd w:val="clear" w:color="auto" w:fill="auto"/>
            <w:tcMar>
              <w:top w:w="0" w:type="dxa"/>
              <w:left w:w="108" w:type="dxa"/>
              <w:bottom w:w="0" w:type="dxa"/>
              <w:right w:w="108" w:type="dxa"/>
            </w:tcMar>
            <w:vAlign w:val="center"/>
          </w:tcPr>
          <w:p w14:paraId="55FCCCC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2,643.54</w:t>
            </w:r>
          </w:p>
        </w:tc>
        <w:tc>
          <w:tcPr>
            <w:tcW w:w="1880" w:type="dxa"/>
            <w:shd w:val="clear" w:color="auto" w:fill="auto"/>
            <w:tcMar>
              <w:top w:w="0" w:type="dxa"/>
              <w:left w:w="108" w:type="dxa"/>
              <w:bottom w:w="0" w:type="dxa"/>
              <w:right w:w="108" w:type="dxa"/>
            </w:tcMar>
            <w:vAlign w:val="center"/>
          </w:tcPr>
          <w:p w14:paraId="5E49DE5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4,230.20</w:t>
            </w:r>
          </w:p>
        </w:tc>
        <w:tc>
          <w:tcPr>
            <w:tcW w:w="1380" w:type="dxa"/>
            <w:shd w:val="clear" w:color="auto" w:fill="auto"/>
            <w:tcMar>
              <w:top w:w="0" w:type="dxa"/>
              <w:left w:w="108" w:type="dxa"/>
              <w:bottom w:w="0" w:type="dxa"/>
              <w:right w:w="108" w:type="dxa"/>
            </w:tcMar>
            <w:vAlign w:val="center"/>
          </w:tcPr>
          <w:p w14:paraId="52E391D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38.65</w:t>
            </w:r>
          </w:p>
        </w:tc>
      </w:tr>
      <w:tr w:rsidR="006416B0" w:rsidRPr="00B4515A" w14:paraId="39CD70B8" w14:textId="77777777" w:rsidTr="00031627">
        <w:trPr>
          <w:trHeight w:val="340"/>
          <w:jc w:val="center"/>
        </w:trPr>
        <w:tc>
          <w:tcPr>
            <w:tcW w:w="2000" w:type="dxa"/>
            <w:vMerge/>
            <w:tcMar>
              <w:top w:w="0" w:type="dxa"/>
              <w:left w:w="108" w:type="dxa"/>
              <w:bottom w:w="0" w:type="dxa"/>
              <w:right w:w="108" w:type="dxa"/>
            </w:tcMar>
            <w:vAlign w:val="center"/>
          </w:tcPr>
          <w:p w14:paraId="6BD0F522"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000" w:type="dxa"/>
            <w:shd w:val="clear" w:color="auto" w:fill="auto"/>
            <w:tcMar>
              <w:top w:w="0" w:type="dxa"/>
              <w:left w:w="108" w:type="dxa"/>
              <w:bottom w:w="0" w:type="dxa"/>
              <w:right w:w="108" w:type="dxa"/>
            </w:tcMar>
            <w:vAlign w:val="center"/>
          </w:tcPr>
          <w:p w14:paraId="4A59119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1880" w:type="dxa"/>
            <w:shd w:val="clear" w:color="auto" w:fill="auto"/>
            <w:tcMar>
              <w:top w:w="0" w:type="dxa"/>
              <w:left w:w="108" w:type="dxa"/>
              <w:bottom w:w="0" w:type="dxa"/>
              <w:right w:w="108" w:type="dxa"/>
            </w:tcMar>
            <w:vAlign w:val="center"/>
          </w:tcPr>
          <w:p w14:paraId="56057C0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15,377.11</w:t>
            </w:r>
          </w:p>
        </w:tc>
        <w:tc>
          <w:tcPr>
            <w:tcW w:w="1880" w:type="dxa"/>
            <w:shd w:val="clear" w:color="auto" w:fill="auto"/>
            <w:tcMar>
              <w:top w:w="0" w:type="dxa"/>
              <w:left w:w="108" w:type="dxa"/>
              <w:bottom w:w="0" w:type="dxa"/>
              <w:right w:w="108" w:type="dxa"/>
            </w:tcMar>
            <w:vAlign w:val="center"/>
          </w:tcPr>
          <w:p w14:paraId="2B747AD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17,962.05</w:t>
            </w:r>
          </w:p>
        </w:tc>
        <w:tc>
          <w:tcPr>
            <w:tcW w:w="1380" w:type="dxa"/>
            <w:shd w:val="clear" w:color="auto" w:fill="auto"/>
            <w:tcMar>
              <w:top w:w="0" w:type="dxa"/>
              <w:left w:w="108" w:type="dxa"/>
              <w:bottom w:w="0" w:type="dxa"/>
              <w:right w:w="108" w:type="dxa"/>
            </w:tcMar>
            <w:vAlign w:val="center"/>
          </w:tcPr>
          <w:p w14:paraId="2E98DF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7,750.86</w:t>
            </w:r>
          </w:p>
        </w:tc>
      </w:tr>
      <w:tr w:rsidR="006416B0" w:rsidRPr="00B4515A" w14:paraId="055981E8" w14:textId="77777777" w:rsidTr="00031627">
        <w:trPr>
          <w:trHeight w:val="340"/>
          <w:jc w:val="center"/>
        </w:trPr>
        <w:tc>
          <w:tcPr>
            <w:tcW w:w="2000" w:type="dxa"/>
            <w:vMerge w:val="restart"/>
            <w:shd w:val="clear" w:color="auto" w:fill="auto"/>
            <w:tcMar>
              <w:top w:w="0" w:type="dxa"/>
              <w:left w:w="108" w:type="dxa"/>
              <w:bottom w:w="0" w:type="dxa"/>
              <w:right w:w="108" w:type="dxa"/>
            </w:tcMar>
            <w:vAlign w:val="center"/>
          </w:tcPr>
          <w:p w14:paraId="196A08C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专用宽带电台</w:t>
            </w:r>
          </w:p>
        </w:tc>
        <w:tc>
          <w:tcPr>
            <w:tcW w:w="2000" w:type="dxa"/>
            <w:shd w:val="clear" w:color="auto" w:fill="auto"/>
            <w:tcMar>
              <w:top w:w="0" w:type="dxa"/>
              <w:left w:w="108" w:type="dxa"/>
              <w:bottom w:w="0" w:type="dxa"/>
              <w:right w:w="108" w:type="dxa"/>
            </w:tcMar>
            <w:vAlign w:val="center"/>
          </w:tcPr>
          <w:p w14:paraId="13DE99A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技术服务收入</w:t>
            </w:r>
          </w:p>
        </w:tc>
        <w:tc>
          <w:tcPr>
            <w:tcW w:w="1880" w:type="dxa"/>
            <w:shd w:val="clear" w:color="auto" w:fill="auto"/>
            <w:tcMar>
              <w:top w:w="0" w:type="dxa"/>
              <w:left w:w="108" w:type="dxa"/>
              <w:bottom w:w="0" w:type="dxa"/>
              <w:right w:w="108" w:type="dxa"/>
            </w:tcMar>
            <w:vAlign w:val="center"/>
          </w:tcPr>
          <w:p w14:paraId="5DB93E5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2,299.81</w:t>
            </w:r>
          </w:p>
        </w:tc>
        <w:tc>
          <w:tcPr>
            <w:tcW w:w="1880" w:type="dxa"/>
            <w:shd w:val="clear" w:color="auto" w:fill="auto"/>
            <w:tcMar>
              <w:top w:w="0" w:type="dxa"/>
              <w:left w:w="108" w:type="dxa"/>
              <w:bottom w:w="0" w:type="dxa"/>
              <w:right w:w="108" w:type="dxa"/>
            </w:tcMar>
            <w:vAlign w:val="center"/>
          </w:tcPr>
          <w:p w14:paraId="269A2D1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7,393.30</w:t>
            </w:r>
          </w:p>
        </w:tc>
        <w:tc>
          <w:tcPr>
            <w:tcW w:w="1380" w:type="dxa"/>
            <w:shd w:val="clear" w:color="auto" w:fill="auto"/>
            <w:tcMar>
              <w:top w:w="0" w:type="dxa"/>
              <w:left w:w="108" w:type="dxa"/>
              <w:bottom w:w="0" w:type="dxa"/>
              <w:right w:w="108" w:type="dxa"/>
            </w:tcMar>
            <w:vAlign w:val="center"/>
          </w:tcPr>
          <w:p w14:paraId="03C05A6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1,004.46</w:t>
            </w:r>
          </w:p>
        </w:tc>
      </w:tr>
      <w:tr w:rsidR="006416B0" w:rsidRPr="00B4515A" w14:paraId="179C0741" w14:textId="77777777" w:rsidTr="00031627">
        <w:trPr>
          <w:trHeight w:val="340"/>
          <w:jc w:val="center"/>
        </w:trPr>
        <w:tc>
          <w:tcPr>
            <w:tcW w:w="2000" w:type="dxa"/>
            <w:vMerge/>
            <w:tcMar>
              <w:top w:w="0" w:type="dxa"/>
              <w:left w:w="108" w:type="dxa"/>
              <w:bottom w:w="0" w:type="dxa"/>
              <w:right w:w="108" w:type="dxa"/>
            </w:tcMar>
            <w:vAlign w:val="center"/>
          </w:tcPr>
          <w:p w14:paraId="55D95C40"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000" w:type="dxa"/>
            <w:shd w:val="clear" w:color="auto" w:fill="auto"/>
            <w:tcMar>
              <w:top w:w="0" w:type="dxa"/>
              <w:left w:w="108" w:type="dxa"/>
              <w:bottom w:w="0" w:type="dxa"/>
              <w:right w:w="108" w:type="dxa"/>
            </w:tcMar>
            <w:vAlign w:val="center"/>
          </w:tcPr>
          <w:p w14:paraId="0EB4DB38"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专用数据链产品</w:t>
            </w:r>
          </w:p>
        </w:tc>
        <w:tc>
          <w:tcPr>
            <w:tcW w:w="1880" w:type="dxa"/>
            <w:shd w:val="clear" w:color="auto" w:fill="auto"/>
            <w:tcMar>
              <w:top w:w="0" w:type="dxa"/>
              <w:left w:w="108" w:type="dxa"/>
              <w:bottom w:w="0" w:type="dxa"/>
              <w:right w:w="108" w:type="dxa"/>
            </w:tcMar>
            <w:vAlign w:val="center"/>
          </w:tcPr>
          <w:p w14:paraId="4B4AB04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4,587.12</w:t>
            </w:r>
          </w:p>
        </w:tc>
        <w:tc>
          <w:tcPr>
            <w:tcW w:w="1880" w:type="dxa"/>
            <w:shd w:val="clear" w:color="auto" w:fill="auto"/>
            <w:tcMar>
              <w:top w:w="0" w:type="dxa"/>
              <w:left w:w="108" w:type="dxa"/>
              <w:bottom w:w="0" w:type="dxa"/>
              <w:right w:w="108" w:type="dxa"/>
            </w:tcMar>
            <w:vAlign w:val="center"/>
          </w:tcPr>
          <w:p w14:paraId="0B58C7A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1,804.75</w:t>
            </w:r>
          </w:p>
        </w:tc>
        <w:tc>
          <w:tcPr>
            <w:tcW w:w="1380" w:type="dxa"/>
            <w:shd w:val="clear" w:color="auto" w:fill="auto"/>
            <w:tcMar>
              <w:top w:w="0" w:type="dxa"/>
              <w:left w:w="108" w:type="dxa"/>
              <w:bottom w:w="0" w:type="dxa"/>
              <w:right w:w="108" w:type="dxa"/>
            </w:tcMar>
            <w:vAlign w:val="center"/>
          </w:tcPr>
          <w:p w14:paraId="67F0AFF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3,605.09</w:t>
            </w:r>
          </w:p>
        </w:tc>
      </w:tr>
      <w:tr w:rsidR="006416B0" w:rsidRPr="00B4515A" w14:paraId="75531D1D" w14:textId="77777777" w:rsidTr="00031627">
        <w:trPr>
          <w:trHeight w:val="340"/>
          <w:jc w:val="center"/>
        </w:trPr>
        <w:tc>
          <w:tcPr>
            <w:tcW w:w="2000" w:type="dxa"/>
            <w:vMerge/>
            <w:tcMar>
              <w:top w:w="0" w:type="dxa"/>
              <w:left w:w="108" w:type="dxa"/>
              <w:bottom w:w="0" w:type="dxa"/>
              <w:right w:w="108" w:type="dxa"/>
            </w:tcMar>
            <w:vAlign w:val="center"/>
          </w:tcPr>
          <w:p w14:paraId="57CEFEA3"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000" w:type="dxa"/>
            <w:shd w:val="clear" w:color="auto" w:fill="auto"/>
            <w:tcMar>
              <w:top w:w="0" w:type="dxa"/>
              <w:left w:w="108" w:type="dxa"/>
              <w:bottom w:w="0" w:type="dxa"/>
              <w:right w:w="108" w:type="dxa"/>
            </w:tcMar>
            <w:vAlign w:val="center"/>
          </w:tcPr>
          <w:p w14:paraId="3B0B8BA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专用通信终端</w:t>
            </w:r>
          </w:p>
        </w:tc>
        <w:tc>
          <w:tcPr>
            <w:tcW w:w="1880" w:type="dxa"/>
            <w:shd w:val="clear" w:color="auto" w:fill="auto"/>
            <w:tcMar>
              <w:top w:w="0" w:type="dxa"/>
              <w:left w:w="108" w:type="dxa"/>
              <w:bottom w:w="0" w:type="dxa"/>
              <w:right w:w="108" w:type="dxa"/>
            </w:tcMar>
            <w:vAlign w:val="center"/>
          </w:tcPr>
          <w:p w14:paraId="44F886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6,562.95</w:t>
            </w:r>
          </w:p>
        </w:tc>
        <w:tc>
          <w:tcPr>
            <w:tcW w:w="1880" w:type="dxa"/>
            <w:shd w:val="clear" w:color="auto" w:fill="auto"/>
            <w:tcMar>
              <w:top w:w="0" w:type="dxa"/>
              <w:left w:w="108" w:type="dxa"/>
              <w:bottom w:w="0" w:type="dxa"/>
              <w:right w:w="108" w:type="dxa"/>
            </w:tcMar>
            <w:vAlign w:val="center"/>
          </w:tcPr>
          <w:p w14:paraId="0D41C6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25,258.14</w:t>
            </w:r>
          </w:p>
        </w:tc>
        <w:tc>
          <w:tcPr>
            <w:tcW w:w="1380" w:type="dxa"/>
            <w:shd w:val="clear" w:color="auto" w:fill="auto"/>
            <w:tcMar>
              <w:top w:w="0" w:type="dxa"/>
              <w:left w:w="108" w:type="dxa"/>
              <w:bottom w:w="0" w:type="dxa"/>
              <w:right w:w="108" w:type="dxa"/>
            </w:tcMar>
            <w:vAlign w:val="center"/>
          </w:tcPr>
          <w:p w14:paraId="2F79F90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168.68</w:t>
            </w:r>
          </w:p>
        </w:tc>
      </w:tr>
      <w:tr w:rsidR="006416B0" w:rsidRPr="00B4515A" w14:paraId="6B688BB3" w14:textId="77777777" w:rsidTr="00031627">
        <w:trPr>
          <w:trHeight w:val="340"/>
          <w:jc w:val="center"/>
        </w:trPr>
        <w:tc>
          <w:tcPr>
            <w:tcW w:w="2000" w:type="dxa"/>
            <w:vMerge/>
            <w:tcMar>
              <w:top w:w="0" w:type="dxa"/>
              <w:left w:w="108" w:type="dxa"/>
              <w:bottom w:w="0" w:type="dxa"/>
              <w:right w:w="108" w:type="dxa"/>
            </w:tcMar>
            <w:vAlign w:val="center"/>
          </w:tcPr>
          <w:p w14:paraId="1090DBBF"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000" w:type="dxa"/>
            <w:shd w:val="clear" w:color="auto" w:fill="auto"/>
            <w:tcMar>
              <w:top w:w="0" w:type="dxa"/>
              <w:left w:w="108" w:type="dxa"/>
              <w:bottom w:w="0" w:type="dxa"/>
              <w:right w:w="108" w:type="dxa"/>
            </w:tcMar>
            <w:vAlign w:val="center"/>
          </w:tcPr>
          <w:p w14:paraId="204AEBC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1880" w:type="dxa"/>
            <w:shd w:val="clear" w:color="auto" w:fill="auto"/>
            <w:tcMar>
              <w:top w:w="0" w:type="dxa"/>
              <w:left w:w="108" w:type="dxa"/>
              <w:bottom w:w="0" w:type="dxa"/>
              <w:right w:w="108" w:type="dxa"/>
            </w:tcMar>
            <w:vAlign w:val="center"/>
          </w:tcPr>
          <w:p w14:paraId="75431BE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13,449.87</w:t>
            </w:r>
          </w:p>
        </w:tc>
        <w:tc>
          <w:tcPr>
            <w:tcW w:w="1880" w:type="dxa"/>
            <w:shd w:val="clear" w:color="auto" w:fill="auto"/>
            <w:tcMar>
              <w:top w:w="0" w:type="dxa"/>
              <w:left w:w="108" w:type="dxa"/>
              <w:bottom w:w="0" w:type="dxa"/>
              <w:right w:w="108" w:type="dxa"/>
            </w:tcMar>
            <w:vAlign w:val="center"/>
          </w:tcPr>
          <w:p w14:paraId="2A91A5F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34,456.19</w:t>
            </w:r>
          </w:p>
        </w:tc>
        <w:tc>
          <w:tcPr>
            <w:tcW w:w="1380" w:type="dxa"/>
            <w:shd w:val="clear" w:color="auto" w:fill="auto"/>
            <w:tcMar>
              <w:top w:w="0" w:type="dxa"/>
              <w:left w:w="108" w:type="dxa"/>
              <w:bottom w:w="0" w:type="dxa"/>
              <w:right w:w="108" w:type="dxa"/>
            </w:tcMar>
            <w:vAlign w:val="center"/>
          </w:tcPr>
          <w:p w14:paraId="3098A7C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4,778.23</w:t>
            </w:r>
          </w:p>
        </w:tc>
      </w:tr>
      <w:tr w:rsidR="006416B0" w:rsidRPr="00B4515A" w14:paraId="4E211E95" w14:textId="77777777" w:rsidTr="00031627">
        <w:trPr>
          <w:trHeight w:val="340"/>
          <w:jc w:val="center"/>
        </w:trPr>
        <w:tc>
          <w:tcPr>
            <w:tcW w:w="2000" w:type="dxa"/>
            <w:vMerge w:val="restart"/>
            <w:shd w:val="clear" w:color="auto" w:fill="auto"/>
            <w:tcMar>
              <w:top w:w="0" w:type="dxa"/>
              <w:left w:w="108" w:type="dxa"/>
              <w:bottom w:w="0" w:type="dxa"/>
              <w:right w:w="108" w:type="dxa"/>
            </w:tcMar>
            <w:vAlign w:val="center"/>
          </w:tcPr>
          <w:p w14:paraId="24C4442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宽带移动安全应用</w:t>
            </w:r>
          </w:p>
        </w:tc>
        <w:tc>
          <w:tcPr>
            <w:tcW w:w="2000" w:type="dxa"/>
            <w:shd w:val="clear" w:color="auto" w:fill="auto"/>
            <w:tcMar>
              <w:top w:w="0" w:type="dxa"/>
              <w:left w:w="108" w:type="dxa"/>
              <w:bottom w:w="0" w:type="dxa"/>
              <w:right w:w="108" w:type="dxa"/>
            </w:tcMar>
            <w:vAlign w:val="center"/>
          </w:tcPr>
          <w:p w14:paraId="18770B7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工程收入</w:t>
            </w:r>
          </w:p>
        </w:tc>
        <w:tc>
          <w:tcPr>
            <w:tcW w:w="1880" w:type="dxa"/>
            <w:shd w:val="clear" w:color="auto" w:fill="auto"/>
            <w:tcMar>
              <w:top w:w="0" w:type="dxa"/>
              <w:left w:w="108" w:type="dxa"/>
              <w:bottom w:w="0" w:type="dxa"/>
              <w:right w:w="108" w:type="dxa"/>
            </w:tcMar>
            <w:vAlign w:val="center"/>
          </w:tcPr>
          <w:p w14:paraId="2A00C8A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1,180.22</w:t>
            </w:r>
          </w:p>
        </w:tc>
        <w:tc>
          <w:tcPr>
            <w:tcW w:w="1880" w:type="dxa"/>
            <w:shd w:val="clear" w:color="auto" w:fill="auto"/>
            <w:tcMar>
              <w:top w:w="0" w:type="dxa"/>
              <w:left w:w="108" w:type="dxa"/>
              <w:bottom w:w="0" w:type="dxa"/>
              <w:right w:w="108" w:type="dxa"/>
            </w:tcMar>
            <w:vAlign w:val="center"/>
          </w:tcPr>
          <w:p w14:paraId="7B1D728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1380" w:type="dxa"/>
            <w:shd w:val="clear" w:color="auto" w:fill="auto"/>
            <w:tcMar>
              <w:top w:w="0" w:type="dxa"/>
              <w:left w:w="108" w:type="dxa"/>
              <w:bottom w:w="0" w:type="dxa"/>
              <w:right w:w="108" w:type="dxa"/>
            </w:tcMar>
            <w:vAlign w:val="center"/>
          </w:tcPr>
          <w:p w14:paraId="33BF54B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4054083D" w14:textId="77777777" w:rsidTr="00031627">
        <w:trPr>
          <w:trHeight w:val="340"/>
          <w:jc w:val="center"/>
        </w:trPr>
        <w:tc>
          <w:tcPr>
            <w:tcW w:w="2000" w:type="dxa"/>
            <w:vMerge/>
            <w:tcMar>
              <w:top w:w="0" w:type="dxa"/>
              <w:left w:w="108" w:type="dxa"/>
              <w:bottom w:w="0" w:type="dxa"/>
              <w:right w:w="108" w:type="dxa"/>
            </w:tcMar>
            <w:vAlign w:val="center"/>
          </w:tcPr>
          <w:p w14:paraId="679F25E0"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000" w:type="dxa"/>
            <w:shd w:val="clear" w:color="auto" w:fill="auto"/>
            <w:tcMar>
              <w:top w:w="0" w:type="dxa"/>
              <w:left w:w="108" w:type="dxa"/>
              <w:bottom w:w="0" w:type="dxa"/>
              <w:right w:w="108" w:type="dxa"/>
            </w:tcMar>
            <w:vAlign w:val="center"/>
          </w:tcPr>
          <w:p w14:paraId="5F7CE3D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技术服务收入</w:t>
            </w:r>
          </w:p>
        </w:tc>
        <w:tc>
          <w:tcPr>
            <w:tcW w:w="1880" w:type="dxa"/>
            <w:shd w:val="clear" w:color="auto" w:fill="auto"/>
            <w:tcMar>
              <w:top w:w="0" w:type="dxa"/>
              <w:left w:w="108" w:type="dxa"/>
              <w:bottom w:w="0" w:type="dxa"/>
              <w:right w:w="108" w:type="dxa"/>
            </w:tcMar>
            <w:vAlign w:val="center"/>
          </w:tcPr>
          <w:p w14:paraId="553E2E7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103.09</w:t>
            </w:r>
          </w:p>
        </w:tc>
        <w:tc>
          <w:tcPr>
            <w:tcW w:w="1880" w:type="dxa"/>
            <w:shd w:val="clear" w:color="auto" w:fill="auto"/>
            <w:tcMar>
              <w:top w:w="0" w:type="dxa"/>
              <w:left w:w="108" w:type="dxa"/>
              <w:bottom w:w="0" w:type="dxa"/>
              <w:right w:w="108" w:type="dxa"/>
            </w:tcMar>
            <w:vAlign w:val="center"/>
          </w:tcPr>
          <w:p w14:paraId="4D893FE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78.71</w:t>
            </w:r>
          </w:p>
        </w:tc>
        <w:tc>
          <w:tcPr>
            <w:tcW w:w="1380" w:type="dxa"/>
            <w:shd w:val="clear" w:color="auto" w:fill="auto"/>
            <w:tcMar>
              <w:top w:w="0" w:type="dxa"/>
              <w:left w:w="108" w:type="dxa"/>
              <w:bottom w:w="0" w:type="dxa"/>
              <w:right w:w="108" w:type="dxa"/>
            </w:tcMar>
            <w:vAlign w:val="center"/>
          </w:tcPr>
          <w:p w14:paraId="2565755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3F4B993A" w14:textId="77777777" w:rsidTr="00031627">
        <w:trPr>
          <w:trHeight w:val="340"/>
          <w:jc w:val="center"/>
        </w:trPr>
        <w:tc>
          <w:tcPr>
            <w:tcW w:w="2000" w:type="dxa"/>
            <w:vMerge/>
            <w:tcMar>
              <w:top w:w="0" w:type="dxa"/>
              <w:left w:w="108" w:type="dxa"/>
              <w:bottom w:w="0" w:type="dxa"/>
              <w:right w:w="108" w:type="dxa"/>
            </w:tcMar>
            <w:vAlign w:val="center"/>
          </w:tcPr>
          <w:p w14:paraId="72CCE060"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000" w:type="dxa"/>
            <w:shd w:val="clear" w:color="auto" w:fill="auto"/>
            <w:tcMar>
              <w:top w:w="0" w:type="dxa"/>
              <w:left w:w="108" w:type="dxa"/>
              <w:bottom w:w="0" w:type="dxa"/>
              <w:right w:w="108" w:type="dxa"/>
            </w:tcMar>
            <w:vAlign w:val="center"/>
          </w:tcPr>
          <w:p w14:paraId="38C8C95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执勤保障</w:t>
            </w:r>
            <w:r w:rsidRPr="00B4515A">
              <w:rPr>
                <w:rFonts w:ascii="Times New Roman" w:eastAsiaTheme="minorEastAsia" w:hAnsi="Times New Roman" w:cs="Times New Roman"/>
                <w:color w:val="000000"/>
                <w:sz w:val="21"/>
                <w:szCs w:val="21"/>
              </w:rPr>
              <w:t>4G</w:t>
            </w:r>
            <w:r w:rsidRPr="00B4515A">
              <w:rPr>
                <w:rFonts w:ascii="Times New Roman" w:eastAsiaTheme="minorEastAsia" w:hAnsi="Times New Roman" w:cs="Times New Roman" w:hint="eastAsia"/>
                <w:color w:val="000000"/>
                <w:sz w:val="21"/>
                <w:szCs w:val="21"/>
              </w:rPr>
              <w:t>产品</w:t>
            </w:r>
          </w:p>
        </w:tc>
        <w:tc>
          <w:tcPr>
            <w:tcW w:w="1880" w:type="dxa"/>
            <w:shd w:val="clear" w:color="auto" w:fill="auto"/>
            <w:tcMar>
              <w:top w:w="0" w:type="dxa"/>
              <w:left w:w="108" w:type="dxa"/>
              <w:bottom w:w="0" w:type="dxa"/>
              <w:right w:w="108" w:type="dxa"/>
            </w:tcMar>
            <w:vAlign w:val="center"/>
          </w:tcPr>
          <w:p w14:paraId="09E21D2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4,452.77</w:t>
            </w:r>
          </w:p>
        </w:tc>
        <w:tc>
          <w:tcPr>
            <w:tcW w:w="1880" w:type="dxa"/>
            <w:shd w:val="clear" w:color="auto" w:fill="auto"/>
            <w:tcMar>
              <w:top w:w="0" w:type="dxa"/>
              <w:left w:w="108" w:type="dxa"/>
              <w:bottom w:w="0" w:type="dxa"/>
              <w:right w:w="108" w:type="dxa"/>
            </w:tcMar>
            <w:vAlign w:val="center"/>
          </w:tcPr>
          <w:p w14:paraId="42851A4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2,713.53</w:t>
            </w:r>
          </w:p>
        </w:tc>
        <w:tc>
          <w:tcPr>
            <w:tcW w:w="1380" w:type="dxa"/>
            <w:shd w:val="clear" w:color="auto" w:fill="auto"/>
            <w:tcMar>
              <w:top w:w="0" w:type="dxa"/>
              <w:left w:w="108" w:type="dxa"/>
              <w:bottom w:w="0" w:type="dxa"/>
              <w:right w:w="108" w:type="dxa"/>
            </w:tcMar>
            <w:vAlign w:val="center"/>
          </w:tcPr>
          <w:p w14:paraId="074D65E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228.56</w:t>
            </w:r>
          </w:p>
        </w:tc>
      </w:tr>
      <w:tr w:rsidR="006416B0" w:rsidRPr="00B4515A" w14:paraId="58BC4B08" w14:textId="77777777" w:rsidTr="00031627">
        <w:trPr>
          <w:trHeight w:val="340"/>
          <w:jc w:val="center"/>
        </w:trPr>
        <w:tc>
          <w:tcPr>
            <w:tcW w:w="2000" w:type="dxa"/>
            <w:vMerge/>
            <w:tcMar>
              <w:top w:w="0" w:type="dxa"/>
              <w:left w:w="108" w:type="dxa"/>
              <w:bottom w:w="0" w:type="dxa"/>
              <w:right w:w="108" w:type="dxa"/>
            </w:tcMar>
            <w:vAlign w:val="center"/>
          </w:tcPr>
          <w:p w14:paraId="52420A08"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000" w:type="dxa"/>
            <w:shd w:val="clear" w:color="auto" w:fill="auto"/>
            <w:tcMar>
              <w:top w:w="0" w:type="dxa"/>
              <w:left w:w="108" w:type="dxa"/>
              <w:bottom w:w="0" w:type="dxa"/>
              <w:right w:w="108" w:type="dxa"/>
            </w:tcMar>
            <w:vAlign w:val="center"/>
          </w:tcPr>
          <w:p w14:paraId="4A87A51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1880" w:type="dxa"/>
            <w:shd w:val="clear" w:color="auto" w:fill="auto"/>
            <w:tcMar>
              <w:top w:w="0" w:type="dxa"/>
              <w:left w:w="108" w:type="dxa"/>
              <w:bottom w:w="0" w:type="dxa"/>
              <w:right w:w="108" w:type="dxa"/>
            </w:tcMar>
            <w:vAlign w:val="center"/>
          </w:tcPr>
          <w:p w14:paraId="50D4D7B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5,736.08</w:t>
            </w:r>
          </w:p>
        </w:tc>
        <w:tc>
          <w:tcPr>
            <w:tcW w:w="1880" w:type="dxa"/>
            <w:shd w:val="clear" w:color="auto" w:fill="auto"/>
            <w:tcMar>
              <w:top w:w="0" w:type="dxa"/>
              <w:left w:w="108" w:type="dxa"/>
              <w:bottom w:w="0" w:type="dxa"/>
              <w:right w:w="108" w:type="dxa"/>
            </w:tcMar>
            <w:vAlign w:val="center"/>
          </w:tcPr>
          <w:p w14:paraId="106567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2,792.23</w:t>
            </w:r>
          </w:p>
        </w:tc>
        <w:tc>
          <w:tcPr>
            <w:tcW w:w="1380" w:type="dxa"/>
            <w:shd w:val="clear" w:color="auto" w:fill="auto"/>
            <w:tcMar>
              <w:top w:w="0" w:type="dxa"/>
              <w:left w:w="108" w:type="dxa"/>
              <w:bottom w:w="0" w:type="dxa"/>
              <w:right w:w="108" w:type="dxa"/>
            </w:tcMar>
            <w:vAlign w:val="center"/>
          </w:tcPr>
          <w:p w14:paraId="1D51732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228.56</w:t>
            </w:r>
          </w:p>
        </w:tc>
      </w:tr>
      <w:tr w:rsidR="006416B0" w:rsidRPr="00B4515A" w14:paraId="28D306C3" w14:textId="77777777" w:rsidTr="00031627">
        <w:trPr>
          <w:trHeight w:val="340"/>
          <w:jc w:val="center"/>
        </w:trPr>
        <w:tc>
          <w:tcPr>
            <w:tcW w:w="4000" w:type="dxa"/>
            <w:gridSpan w:val="2"/>
            <w:shd w:val="clear" w:color="auto" w:fill="auto"/>
            <w:tcMar>
              <w:top w:w="0" w:type="dxa"/>
              <w:left w:w="108" w:type="dxa"/>
              <w:bottom w:w="0" w:type="dxa"/>
              <w:right w:w="108" w:type="dxa"/>
            </w:tcMar>
            <w:vAlign w:val="center"/>
          </w:tcPr>
          <w:p w14:paraId="4A9748E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w:t>
            </w:r>
          </w:p>
        </w:tc>
        <w:tc>
          <w:tcPr>
            <w:tcW w:w="1880" w:type="dxa"/>
            <w:shd w:val="clear" w:color="auto" w:fill="auto"/>
            <w:tcMar>
              <w:top w:w="0" w:type="dxa"/>
              <w:left w:w="108" w:type="dxa"/>
              <w:bottom w:w="0" w:type="dxa"/>
              <w:right w:w="108" w:type="dxa"/>
            </w:tcMar>
            <w:vAlign w:val="center"/>
          </w:tcPr>
          <w:p w14:paraId="28D474F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2,122.30</w:t>
            </w:r>
          </w:p>
        </w:tc>
        <w:tc>
          <w:tcPr>
            <w:tcW w:w="1880" w:type="dxa"/>
            <w:shd w:val="clear" w:color="auto" w:fill="auto"/>
            <w:tcMar>
              <w:top w:w="0" w:type="dxa"/>
              <w:left w:w="108" w:type="dxa"/>
              <w:bottom w:w="0" w:type="dxa"/>
              <w:right w:w="108" w:type="dxa"/>
            </w:tcMar>
            <w:vAlign w:val="center"/>
          </w:tcPr>
          <w:p w14:paraId="799850F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72.50</w:t>
            </w:r>
          </w:p>
        </w:tc>
        <w:tc>
          <w:tcPr>
            <w:tcW w:w="1380" w:type="dxa"/>
            <w:shd w:val="clear" w:color="auto" w:fill="auto"/>
            <w:tcMar>
              <w:top w:w="0" w:type="dxa"/>
              <w:left w:w="108" w:type="dxa"/>
              <w:bottom w:w="0" w:type="dxa"/>
              <w:right w:w="108" w:type="dxa"/>
            </w:tcMar>
            <w:vAlign w:val="center"/>
          </w:tcPr>
          <w:p w14:paraId="636806A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1.14</w:t>
            </w:r>
          </w:p>
        </w:tc>
      </w:tr>
      <w:tr w:rsidR="006416B0" w:rsidRPr="00B4515A" w14:paraId="4498E4B0" w14:textId="77777777" w:rsidTr="00031627">
        <w:trPr>
          <w:trHeight w:val="340"/>
          <w:jc w:val="center"/>
        </w:trPr>
        <w:tc>
          <w:tcPr>
            <w:tcW w:w="4000" w:type="dxa"/>
            <w:gridSpan w:val="2"/>
            <w:shd w:val="clear" w:color="auto" w:fill="auto"/>
            <w:tcMar>
              <w:top w:w="0" w:type="dxa"/>
              <w:left w:w="108" w:type="dxa"/>
              <w:bottom w:w="0" w:type="dxa"/>
              <w:right w:w="108" w:type="dxa"/>
            </w:tcMar>
            <w:vAlign w:val="center"/>
          </w:tcPr>
          <w:p w14:paraId="42B72A2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总计</w:t>
            </w:r>
          </w:p>
        </w:tc>
        <w:tc>
          <w:tcPr>
            <w:tcW w:w="1880" w:type="dxa"/>
            <w:shd w:val="clear" w:color="auto" w:fill="auto"/>
            <w:tcMar>
              <w:top w:w="0" w:type="dxa"/>
              <w:left w:w="108" w:type="dxa"/>
              <w:bottom w:w="0" w:type="dxa"/>
              <w:right w:w="108" w:type="dxa"/>
            </w:tcMar>
            <w:vAlign w:val="center"/>
          </w:tcPr>
          <w:p w14:paraId="07D7EBD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36,685.37</w:t>
            </w:r>
          </w:p>
        </w:tc>
        <w:tc>
          <w:tcPr>
            <w:tcW w:w="1880" w:type="dxa"/>
            <w:shd w:val="clear" w:color="auto" w:fill="auto"/>
            <w:tcMar>
              <w:top w:w="0" w:type="dxa"/>
              <w:left w:w="108" w:type="dxa"/>
              <w:bottom w:w="0" w:type="dxa"/>
              <w:right w:w="108" w:type="dxa"/>
            </w:tcMar>
            <w:vAlign w:val="center"/>
          </w:tcPr>
          <w:p w14:paraId="017E4A6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55,282.98</w:t>
            </w:r>
          </w:p>
        </w:tc>
        <w:tc>
          <w:tcPr>
            <w:tcW w:w="1380" w:type="dxa"/>
            <w:shd w:val="clear" w:color="auto" w:fill="auto"/>
            <w:tcMar>
              <w:top w:w="0" w:type="dxa"/>
              <w:left w:w="108" w:type="dxa"/>
              <w:bottom w:w="0" w:type="dxa"/>
              <w:right w:w="108" w:type="dxa"/>
            </w:tcMar>
            <w:vAlign w:val="center"/>
          </w:tcPr>
          <w:p w14:paraId="64F921F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12,758.79</w:t>
            </w:r>
          </w:p>
        </w:tc>
      </w:tr>
    </w:tbl>
    <w:p w14:paraId="20FD96F6" w14:textId="3922D177" w:rsidR="006416B0" w:rsidRPr="00B4515A" w:rsidRDefault="005E58C1" w:rsidP="005860B4">
      <w:pPr>
        <w:pStyle w:val="005"/>
        <w:spacing w:before="120" w:after="120"/>
        <w:ind w:firstLine="480"/>
      </w:pPr>
      <w:r w:rsidRPr="00B4515A">
        <w:rPr>
          <w:rFonts w:hint="eastAsia"/>
        </w:rPr>
        <w:t>（</w:t>
      </w:r>
      <w:r w:rsidRPr="00B4515A">
        <w:t>3</w:t>
      </w:r>
      <w:r w:rsidRPr="00B4515A">
        <w:rPr>
          <w:rFonts w:hint="eastAsia"/>
        </w:rPr>
        <w:t>）报告期内前五名客户情况</w:t>
      </w:r>
    </w:p>
    <w:p w14:paraId="3B952519" w14:textId="77777777" w:rsidR="006416B0" w:rsidRPr="00B4515A" w:rsidRDefault="005E58C1" w:rsidP="005860B4">
      <w:pPr>
        <w:pStyle w:val="005"/>
        <w:spacing w:before="120" w:after="120"/>
        <w:ind w:firstLine="480"/>
      </w:pPr>
      <w:r w:rsidRPr="00B4515A">
        <w:rPr>
          <w:rFonts w:hint="eastAsia"/>
        </w:rPr>
        <w:t>2</w:t>
      </w:r>
      <w:r w:rsidRPr="00B4515A">
        <w:t>021</w:t>
      </w:r>
      <w:r w:rsidRPr="00B4515A">
        <w:rPr>
          <w:rFonts w:hint="eastAsia"/>
        </w:rPr>
        <w:t>年</w:t>
      </w:r>
      <w:r w:rsidRPr="00B4515A">
        <w:rPr>
          <w:rFonts w:hint="eastAsia"/>
        </w:rPr>
        <w:t>1-</w:t>
      </w:r>
      <w:r w:rsidRPr="00B4515A">
        <w:t>4</w:t>
      </w:r>
      <w:r w:rsidRPr="00B4515A">
        <w:rPr>
          <w:rFonts w:hint="eastAsia"/>
        </w:rPr>
        <w:t>月前五名客户销售收入</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2615"/>
        <w:gridCol w:w="2478"/>
        <w:gridCol w:w="3435"/>
      </w:tblGrid>
      <w:tr w:rsidR="006416B0" w:rsidRPr="00B4515A" w14:paraId="759831A1" w14:textId="77777777" w:rsidTr="00031627">
        <w:trPr>
          <w:trHeight w:val="340"/>
          <w:jc w:val="center"/>
        </w:trPr>
        <w:tc>
          <w:tcPr>
            <w:tcW w:w="1533" w:type="pct"/>
            <w:shd w:val="clear" w:color="auto" w:fill="FFFFFF"/>
            <w:tcMar>
              <w:top w:w="0" w:type="dxa"/>
              <w:left w:w="108" w:type="dxa"/>
              <w:bottom w:w="0" w:type="dxa"/>
              <w:right w:w="108" w:type="dxa"/>
            </w:tcMar>
            <w:vAlign w:val="center"/>
          </w:tcPr>
          <w:p w14:paraId="63BCFFBB"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客户名称</w:t>
            </w:r>
          </w:p>
        </w:tc>
        <w:tc>
          <w:tcPr>
            <w:tcW w:w="1453" w:type="pct"/>
            <w:shd w:val="clear" w:color="auto" w:fill="FFFFFF"/>
            <w:tcMar>
              <w:top w:w="0" w:type="dxa"/>
              <w:left w:w="108" w:type="dxa"/>
              <w:bottom w:w="0" w:type="dxa"/>
              <w:right w:w="108" w:type="dxa"/>
            </w:tcMar>
            <w:vAlign w:val="center"/>
          </w:tcPr>
          <w:p w14:paraId="64AB85FE"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销售收入（万元）</w:t>
            </w:r>
          </w:p>
        </w:tc>
        <w:tc>
          <w:tcPr>
            <w:tcW w:w="2014" w:type="pct"/>
            <w:shd w:val="clear" w:color="auto" w:fill="FFFFFF"/>
            <w:tcMar>
              <w:top w:w="0" w:type="dxa"/>
              <w:left w:w="108" w:type="dxa"/>
              <w:bottom w:w="0" w:type="dxa"/>
              <w:right w:w="108" w:type="dxa"/>
            </w:tcMar>
            <w:vAlign w:val="center"/>
          </w:tcPr>
          <w:p w14:paraId="2340520B" w14:textId="56B26FFC"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占营业收入的比例</w:t>
            </w:r>
          </w:p>
        </w:tc>
      </w:tr>
      <w:tr w:rsidR="00231590" w:rsidRPr="00B4515A" w14:paraId="2E745E1D" w14:textId="77777777" w:rsidTr="00EE238F">
        <w:trPr>
          <w:trHeight w:val="340"/>
          <w:jc w:val="center"/>
        </w:trPr>
        <w:tc>
          <w:tcPr>
            <w:tcW w:w="1533" w:type="pct"/>
            <w:shd w:val="clear" w:color="auto" w:fill="FFFFFF"/>
            <w:tcMar>
              <w:top w:w="0" w:type="dxa"/>
              <w:left w:w="108" w:type="dxa"/>
              <w:bottom w:w="0" w:type="dxa"/>
              <w:right w:w="108" w:type="dxa"/>
            </w:tcMar>
            <w:vAlign w:val="center"/>
          </w:tcPr>
          <w:p w14:paraId="6AB4F22F" w14:textId="1ECD5828" w:rsidR="00231590" w:rsidRPr="00B4515A" w:rsidRDefault="00231590"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CA100128</w:t>
            </w:r>
          </w:p>
        </w:tc>
        <w:tc>
          <w:tcPr>
            <w:tcW w:w="1453" w:type="pct"/>
            <w:shd w:val="clear" w:color="auto" w:fill="FFFFFF"/>
            <w:tcMar>
              <w:top w:w="0" w:type="dxa"/>
              <w:left w:w="108" w:type="dxa"/>
              <w:bottom w:w="0" w:type="dxa"/>
              <w:right w:w="108" w:type="dxa"/>
            </w:tcMar>
            <w:vAlign w:val="center"/>
          </w:tcPr>
          <w:p w14:paraId="3ABBE94A" w14:textId="77777777" w:rsidR="00231590" w:rsidRPr="00B4515A" w:rsidRDefault="00231590"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3,525.82 </w:t>
            </w:r>
          </w:p>
        </w:tc>
        <w:tc>
          <w:tcPr>
            <w:tcW w:w="2014" w:type="pct"/>
            <w:shd w:val="clear" w:color="auto" w:fill="FFFFFF"/>
            <w:tcMar>
              <w:top w:w="0" w:type="dxa"/>
              <w:left w:w="108" w:type="dxa"/>
              <w:bottom w:w="0" w:type="dxa"/>
              <w:right w:w="108" w:type="dxa"/>
            </w:tcMar>
            <w:vAlign w:val="center"/>
          </w:tcPr>
          <w:p w14:paraId="55F18B28" w14:textId="77777777" w:rsidR="00231590" w:rsidRPr="00B4515A" w:rsidRDefault="00231590"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27.63%</w:t>
            </w:r>
          </w:p>
        </w:tc>
      </w:tr>
      <w:tr w:rsidR="00875EC9" w:rsidRPr="00B4515A" w14:paraId="34629378" w14:textId="77777777" w:rsidTr="00EE238F">
        <w:trPr>
          <w:trHeight w:val="340"/>
          <w:jc w:val="center"/>
        </w:trPr>
        <w:tc>
          <w:tcPr>
            <w:tcW w:w="1533" w:type="pct"/>
            <w:shd w:val="clear" w:color="auto" w:fill="FFFFFF"/>
            <w:tcMar>
              <w:top w:w="0" w:type="dxa"/>
              <w:left w:w="108" w:type="dxa"/>
              <w:bottom w:w="0" w:type="dxa"/>
              <w:right w:w="108" w:type="dxa"/>
            </w:tcMar>
            <w:vAlign w:val="bottom"/>
          </w:tcPr>
          <w:p w14:paraId="414B5D8B" w14:textId="2ADD04B9" w:rsidR="00875EC9" w:rsidRPr="00B4515A" w:rsidRDefault="00875EC9" w:rsidP="00875EC9">
            <w:pPr>
              <w:adjustRightInd w:val="0"/>
              <w:snapToGrid w:val="0"/>
              <w:jc w:val="center"/>
              <w:rPr>
                <w:rFonts w:asciiTheme="minorEastAsia" w:eastAsiaTheme="minorEastAsia" w:hAnsiTheme="minorEastAsia" w:cs="Times New Roman"/>
                <w:color w:val="000000"/>
                <w:sz w:val="21"/>
                <w:szCs w:val="21"/>
              </w:rPr>
            </w:pPr>
            <w:r w:rsidRPr="00B4515A">
              <w:rPr>
                <w:rFonts w:asciiTheme="minorEastAsia" w:eastAsiaTheme="minorEastAsia" w:hAnsiTheme="minorEastAsia" w:hint="eastAsia"/>
                <w:color w:val="000000"/>
                <w:sz w:val="21"/>
                <w:szCs w:val="21"/>
              </w:rPr>
              <w:t>某电子科技集团下属企业</w:t>
            </w:r>
          </w:p>
        </w:tc>
        <w:tc>
          <w:tcPr>
            <w:tcW w:w="1453" w:type="pct"/>
            <w:shd w:val="clear" w:color="auto" w:fill="FFFFFF"/>
            <w:tcMar>
              <w:top w:w="0" w:type="dxa"/>
              <w:left w:w="108" w:type="dxa"/>
              <w:bottom w:w="0" w:type="dxa"/>
              <w:right w:w="108" w:type="dxa"/>
            </w:tcMar>
            <w:vAlign w:val="center"/>
          </w:tcPr>
          <w:p w14:paraId="035083A1" w14:textId="77777777" w:rsidR="00875EC9" w:rsidRPr="00B4515A" w:rsidRDefault="00875EC9" w:rsidP="00875EC9">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2,779.11 </w:t>
            </w:r>
          </w:p>
        </w:tc>
        <w:tc>
          <w:tcPr>
            <w:tcW w:w="2014" w:type="pct"/>
            <w:shd w:val="clear" w:color="auto" w:fill="FFFFFF"/>
            <w:tcMar>
              <w:top w:w="0" w:type="dxa"/>
              <w:left w:w="108" w:type="dxa"/>
              <w:bottom w:w="0" w:type="dxa"/>
              <w:right w:w="108" w:type="dxa"/>
            </w:tcMar>
            <w:vAlign w:val="center"/>
          </w:tcPr>
          <w:p w14:paraId="42D65AB4" w14:textId="77777777" w:rsidR="00875EC9" w:rsidRPr="00B4515A" w:rsidRDefault="00875EC9" w:rsidP="00875EC9">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21.78%</w:t>
            </w:r>
          </w:p>
        </w:tc>
      </w:tr>
      <w:tr w:rsidR="00875EC9" w:rsidRPr="00B4515A" w14:paraId="3521D73A" w14:textId="77777777" w:rsidTr="00EE238F">
        <w:trPr>
          <w:trHeight w:val="340"/>
          <w:jc w:val="center"/>
        </w:trPr>
        <w:tc>
          <w:tcPr>
            <w:tcW w:w="1533" w:type="pct"/>
            <w:shd w:val="clear" w:color="auto" w:fill="FFFFFF"/>
            <w:tcMar>
              <w:top w:w="0" w:type="dxa"/>
              <w:left w:w="108" w:type="dxa"/>
              <w:bottom w:w="0" w:type="dxa"/>
              <w:right w:w="108" w:type="dxa"/>
            </w:tcMar>
            <w:vAlign w:val="bottom"/>
          </w:tcPr>
          <w:p w14:paraId="44C03889" w14:textId="4E1A2908" w:rsidR="00875EC9" w:rsidRPr="00B4515A" w:rsidRDefault="00875EC9" w:rsidP="00875EC9">
            <w:pPr>
              <w:adjustRightInd w:val="0"/>
              <w:snapToGrid w:val="0"/>
              <w:jc w:val="center"/>
              <w:rPr>
                <w:rFonts w:asciiTheme="minorEastAsia" w:eastAsiaTheme="minorEastAsia" w:hAnsiTheme="minorEastAsia" w:cs="Times New Roman"/>
                <w:color w:val="000000"/>
                <w:sz w:val="21"/>
                <w:szCs w:val="21"/>
              </w:rPr>
            </w:pPr>
            <w:r w:rsidRPr="00B4515A">
              <w:rPr>
                <w:rFonts w:asciiTheme="minorEastAsia" w:eastAsiaTheme="minorEastAsia" w:hAnsiTheme="minorEastAsia" w:hint="eastAsia"/>
                <w:color w:val="000000"/>
                <w:sz w:val="21"/>
                <w:szCs w:val="21"/>
              </w:rPr>
              <w:t>中国某工业集团下属企业</w:t>
            </w:r>
          </w:p>
        </w:tc>
        <w:tc>
          <w:tcPr>
            <w:tcW w:w="1453" w:type="pct"/>
            <w:shd w:val="clear" w:color="auto" w:fill="FFFFFF"/>
            <w:tcMar>
              <w:top w:w="0" w:type="dxa"/>
              <w:left w:w="108" w:type="dxa"/>
              <w:bottom w:w="0" w:type="dxa"/>
              <w:right w:w="108" w:type="dxa"/>
            </w:tcMar>
            <w:vAlign w:val="center"/>
          </w:tcPr>
          <w:p w14:paraId="1D45C6B9" w14:textId="77777777" w:rsidR="00875EC9" w:rsidRPr="00B4515A" w:rsidRDefault="00875EC9" w:rsidP="00875EC9">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2,015.93 </w:t>
            </w:r>
          </w:p>
        </w:tc>
        <w:tc>
          <w:tcPr>
            <w:tcW w:w="2014" w:type="pct"/>
            <w:shd w:val="clear" w:color="auto" w:fill="FFFFFF"/>
            <w:tcMar>
              <w:top w:w="0" w:type="dxa"/>
              <w:left w:w="108" w:type="dxa"/>
              <w:bottom w:w="0" w:type="dxa"/>
              <w:right w:w="108" w:type="dxa"/>
            </w:tcMar>
            <w:vAlign w:val="center"/>
          </w:tcPr>
          <w:p w14:paraId="18E570B7" w14:textId="77777777" w:rsidR="00875EC9" w:rsidRPr="00B4515A" w:rsidRDefault="00875EC9" w:rsidP="00875EC9">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15.80%</w:t>
            </w:r>
          </w:p>
        </w:tc>
      </w:tr>
      <w:tr w:rsidR="00231590" w:rsidRPr="00B4515A" w14:paraId="0FB20341" w14:textId="77777777" w:rsidTr="00EE238F">
        <w:trPr>
          <w:trHeight w:val="340"/>
          <w:jc w:val="center"/>
        </w:trPr>
        <w:tc>
          <w:tcPr>
            <w:tcW w:w="1533" w:type="pct"/>
            <w:shd w:val="clear" w:color="auto" w:fill="FFFFFF"/>
            <w:tcMar>
              <w:top w:w="0" w:type="dxa"/>
              <w:left w:w="108" w:type="dxa"/>
              <w:bottom w:w="0" w:type="dxa"/>
              <w:right w:w="108" w:type="dxa"/>
            </w:tcMar>
            <w:vAlign w:val="center"/>
          </w:tcPr>
          <w:p w14:paraId="6E4A8F21" w14:textId="5CA4F14B" w:rsidR="00231590" w:rsidRPr="00B4515A" w:rsidRDefault="008E45B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CA100373</w:t>
            </w:r>
          </w:p>
        </w:tc>
        <w:tc>
          <w:tcPr>
            <w:tcW w:w="1453" w:type="pct"/>
            <w:shd w:val="clear" w:color="auto" w:fill="FFFFFF"/>
            <w:tcMar>
              <w:top w:w="0" w:type="dxa"/>
              <w:left w:w="108" w:type="dxa"/>
              <w:bottom w:w="0" w:type="dxa"/>
              <w:right w:w="108" w:type="dxa"/>
            </w:tcMar>
            <w:vAlign w:val="center"/>
          </w:tcPr>
          <w:p w14:paraId="3D61D4A2" w14:textId="77777777" w:rsidR="00231590" w:rsidRPr="00B4515A" w:rsidRDefault="00231590"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1,853.10 </w:t>
            </w:r>
          </w:p>
        </w:tc>
        <w:tc>
          <w:tcPr>
            <w:tcW w:w="2014" w:type="pct"/>
            <w:shd w:val="clear" w:color="auto" w:fill="FFFFFF"/>
            <w:tcMar>
              <w:top w:w="0" w:type="dxa"/>
              <w:left w:w="108" w:type="dxa"/>
              <w:bottom w:w="0" w:type="dxa"/>
              <w:right w:w="108" w:type="dxa"/>
            </w:tcMar>
            <w:vAlign w:val="center"/>
          </w:tcPr>
          <w:p w14:paraId="6D271733" w14:textId="77777777" w:rsidR="00231590" w:rsidRPr="00B4515A" w:rsidRDefault="00231590"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14.52%</w:t>
            </w:r>
          </w:p>
        </w:tc>
      </w:tr>
      <w:tr w:rsidR="00231590" w:rsidRPr="00B4515A" w14:paraId="298A7E1E" w14:textId="77777777" w:rsidTr="00EE238F">
        <w:trPr>
          <w:trHeight w:val="340"/>
          <w:jc w:val="center"/>
        </w:trPr>
        <w:tc>
          <w:tcPr>
            <w:tcW w:w="1533" w:type="pct"/>
            <w:shd w:val="clear" w:color="auto" w:fill="FFFFFF"/>
            <w:tcMar>
              <w:top w:w="0" w:type="dxa"/>
              <w:left w:w="108" w:type="dxa"/>
              <w:bottom w:w="0" w:type="dxa"/>
              <w:right w:w="108" w:type="dxa"/>
            </w:tcMar>
            <w:vAlign w:val="center"/>
          </w:tcPr>
          <w:p w14:paraId="3B3394AD" w14:textId="5CAAE37E" w:rsidR="00231590" w:rsidRPr="00B4515A" w:rsidRDefault="009A066B"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客户</w:t>
            </w:r>
            <w:r w:rsidRPr="00B4515A">
              <w:rPr>
                <w:rFonts w:ascii="Times New Roman" w:eastAsiaTheme="minorEastAsia" w:hAnsi="Times New Roman" w:cs="Times New Roman"/>
                <w:color w:val="000000"/>
                <w:sz w:val="21"/>
                <w:szCs w:val="21"/>
              </w:rPr>
              <w:t>Z</w:t>
            </w:r>
          </w:p>
        </w:tc>
        <w:tc>
          <w:tcPr>
            <w:tcW w:w="1453" w:type="pct"/>
            <w:shd w:val="clear" w:color="auto" w:fill="FFFFFF"/>
            <w:tcMar>
              <w:top w:w="0" w:type="dxa"/>
              <w:left w:w="108" w:type="dxa"/>
              <w:bottom w:w="0" w:type="dxa"/>
              <w:right w:w="108" w:type="dxa"/>
            </w:tcMar>
            <w:vAlign w:val="center"/>
          </w:tcPr>
          <w:p w14:paraId="44DB964D" w14:textId="77777777" w:rsidR="00231590" w:rsidRPr="00B4515A" w:rsidRDefault="00231590"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860.61 </w:t>
            </w:r>
          </w:p>
        </w:tc>
        <w:tc>
          <w:tcPr>
            <w:tcW w:w="2014" w:type="pct"/>
            <w:shd w:val="clear" w:color="auto" w:fill="FFFFFF"/>
            <w:tcMar>
              <w:top w:w="0" w:type="dxa"/>
              <w:left w:w="108" w:type="dxa"/>
              <w:bottom w:w="0" w:type="dxa"/>
              <w:right w:w="108" w:type="dxa"/>
            </w:tcMar>
            <w:vAlign w:val="center"/>
          </w:tcPr>
          <w:p w14:paraId="3721DF91" w14:textId="77777777" w:rsidR="00231590" w:rsidRPr="00B4515A" w:rsidRDefault="00231590"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6.75%</w:t>
            </w:r>
          </w:p>
        </w:tc>
      </w:tr>
      <w:tr w:rsidR="006416B0" w:rsidRPr="00B4515A" w14:paraId="18F2EB60" w14:textId="77777777" w:rsidTr="00031627">
        <w:trPr>
          <w:trHeight w:val="340"/>
          <w:jc w:val="center"/>
        </w:trPr>
        <w:tc>
          <w:tcPr>
            <w:tcW w:w="1533" w:type="pct"/>
            <w:shd w:val="clear" w:color="auto" w:fill="FFFFFF"/>
            <w:tcMar>
              <w:top w:w="0" w:type="dxa"/>
              <w:left w:w="108" w:type="dxa"/>
              <w:bottom w:w="0" w:type="dxa"/>
              <w:right w:w="108" w:type="dxa"/>
            </w:tcMar>
            <w:vAlign w:val="center"/>
          </w:tcPr>
          <w:p w14:paraId="41150077"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合计</w:t>
            </w:r>
          </w:p>
        </w:tc>
        <w:tc>
          <w:tcPr>
            <w:tcW w:w="1453" w:type="pct"/>
            <w:shd w:val="clear" w:color="auto" w:fill="FFFFFF"/>
            <w:tcMar>
              <w:top w:w="0" w:type="dxa"/>
              <w:left w:w="108" w:type="dxa"/>
              <w:bottom w:w="0" w:type="dxa"/>
              <w:right w:w="108" w:type="dxa"/>
            </w:tcMar>
            <w:vAlign w:val="center"/>
          </w:tcPr>
          <w:p w14:paraId="5DBFBE94" w14:textId="22E64B1E" w:rsidR="006416B0" w:rsidRPr="00B4515A" w:rsidRDefault="005E58C1" w:rsidP="005860B4">
            <w:pPr>
              <w:adjustRightInd w:val="0"/>
              <w:snapToGrid w:val="0"/>
              <w:jc w:val="right"/>
              <w:rPr>
                <w:rFonts w:ascii="Times New Roman" w:hAnsi="Times New Roman" w:cs="Times New Roman"/>
                <w:b/>
                <w:bCs/>
                <w:color w:val="333333"/>
                <w:sz w:val="21"/>
                <w:szCs w:val="21"/>
              </w:rPr>
            </w:pPr>
            <w:r w:rsidRPr="00B4515A">
              <w:rPr>
                <w:rFonts w:ascii="Times New Roman" w:hAnsi="Times New Roman" w:cs="Times New Roman"/>
                <w:b/>
                <w:bCs/>
                <w:sz w:val="21"/>
                <w:szCs w:val="21"/>
              </w:rPr>
              <w:t xml:space="preserve"> 11,034.5</w:t>
            </w:r>
            <w:r w:rsidR="00875EC9" w:rsidRPr="00B4515A">
              <w:rPr>
                <w:rFonts w:ascii="Times New Roman" w:hAnsi="Times New Roman" w:cs="Times New Roman"/>
                <w:b/>
                <w:bCs/>
                <w:sz w:val="21"/>
                <w:szCs w:val="21"/>
              </w:rPr>
              <w:t>7</w:t>
            </w:r>
            <w:r w:rsidRPr="00B4515A">
              <w:rPr>
                <w:rFonts w:ascii="Times New Roman" w:hAnsi="Times New Roman" w:cs="Times New Roman"/>
                <w:b/>
                <w:bCs/>
                <w:sz w:val="21"/>
                <w:szCs w:val="21"/>
              </w:rPr>
              <w:t xml:space="preserve"> </w:t>
            </w:r>
          </w:p>
        </w:tc>
        <w:tc>
          <w:tcPr>
            <w:tcW w:w="2014" w:type="pct"/>
            <w:shd w:val="clear" w:color="auto" w:fill="FFFFFF"/>
            <w:tcMar>
              <w:top w:w="0" w:type="dxa"/>
              <w:left w:w="108" w:type="dxa"/>
              <w:bottom w:w="0" w:type="dxa"/>
              <w:right w:w="108" w:type="dxa"/>
            </w:tcMar>
            <w:vAlign w:val="center"/>
          </w:tcPr>
          <w:p w14:paraId="1FFF1C71"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86.49%</w:t>
            </w:r>
          </w:p>
        </w:tc>
      </w:tr>
    </w:tbl>
    <w:p w14:paraId="3A3C90ED" w14:textId="3A458DC9" w:rsidR="006416B0" w:rsidRPr="00B4515A" w:rsidRDefault="005E58C1" w:rsidP="005860B4">
      <w:pPr>
        <w:pStyle w:val="006"/>
        <w:ind w:firstLine="420"/>
      </w:pPr>
      <w:r w:rsidRPr="00B4515A">
        <w:rPr>
          <w:rFonts w:hint="eastAsia"/>
        </w:rPr>
        <w:t>注：（</w:t>
      </w:r>
      <w:r w:rsidRPr="00B4515A">
        <w:t>1</w:t>
      </w:r>
      <w:r w:rsidRPr="00B4515A">
        <w:rPr>
          <w:rFonts w:hint="eastAsia"/>
        </w:rPr>
        <w:t>）</w:t>
      </w:r>
      <w:r w:rsidR="00875EC9" w:rsidRPr="00B4515A">
        <w:rPr>
          <w:rFonts w:hint="eastAsia"/>
        </w:rPr>
        <w:t>某电子科技集团下属企业</w:t>
      </w:r>
      <w:r w:rsidR="009A066B" w:rsidRPr="00B4515A">
        <w:rPr>
          <w:rFonts w:hint="eastAsia"/>
        </w:rPr>
        <w:t>、</w:t>
      </w:r>
      <w:r w:rsidR="00875EC9" w:rsidRPr="00B4515A">
        <w:rPr>
          <w:rFonts w:hint="eastAsia"/>
        </w:rPr>
        <w:t>中国某工业集团下属企业</w:t>
      </w:r>
      <w:r w:rsidR="009A066B" w:rsidRPr="00B4515A">
        <w:rPr>
          <w:rFonts w:hint="eastAsia"/>
        </w:rPr>
        <w:t>、客户</w:t>
      </w:r>
      <w:r w:rsidR="009A066B" w:rsidRPr="00B4515A">
        <w:t>Z</w:t>
      </w:r>
      <w:r w:rsidRPr="00B4515A">
        <w:rPr>
          <w:rFonts w:hint="eastAsia"/>
        </w:rPr>
        <w:t>为该</w:t>
      </w:r>
      <w:r w:rsidR="00A008BA" w:rsidRPr="00B4515A">
        <w:rPr>
          <w:rFonts w:hint="eastAsia"/>
        </w:rPr>
        <w:t>同一控制下</w:t>
      </w:r>
      <w:r w:rsidR="00A008BA" w:rsidRPr="00B4515A">
        <w:t>企业</w:t>
      </w:r>
      <w:r w:rsidR="00A008BA" w:rsidRPr="00B4515A">
        <w:t>/</w:t>
      </w:r>
      <w:r w:rsidR="00A008BA" w:rsidRPr="00B4515A">
        <w:t>单位合并数据</w:t>
      </w:r>
      <w:r w:rsidRPr="00B4515A">
        <w:rPr>
          <w:rFonts w:hint="eastAsia"/>
        </w:rPr>
        <w:t>。（</w:t>
      </w:r>
      <w:r w:rsidRPr="00B4515A">
        <w:t>2</w:t>
      </w:r>
      <w:r w:rsidRPr="00B4515A">
        <w:t>）根据相关规定，公司申请豁免披露相关客户信息。</w:t>
      </w:r>
    </w:p>
    <w:p w14:paraId="40909FC7" w14:textId="77777777" w:rsidR="006416B0" w:rsidRPr="00B4515A" w:rsidRDefault="005E58C1" w:rsidP="005860B4">
      <w:pPr>
        <w:pStyle w:val="005"/>
        <w:spacing w:before="120" w:after="120"/>
        <w:ind w:firstLine="480"/>
      </w:pPr>
      <w:r w:rsidRPr="00B4515A">
        <w:rPr>
          <w:rFonts w:hint="eastAsia"/>
        </w:rPr>
        <w:t>2</w:t>
      </w:r>
      <w:r w:rsidRPr="00B4515A">
        <w:t>020</w:t>
      </w:r>
      <w:r w:rsidRPr="00B4515A">
        <w:rPr>
          <w:rFonts w:hint="eastAsia"/>
        </w:rPr>
        <w:t>年度前五名客户销售收入</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2615"/>
        <w:gridCol w:w="2478"/>
        <w:gridCol w:w="3435"/>
      </w:tblGrid>
      <w:tr w:rsidR="006416B0" w:rsidRPr="00B4515A" w14:paraId="5DAEDEE5" w14:textId="77777777" w:rsidTr="00EE238F">
        <w:trPr>
          <w:trHeight w:val="340"/>
          <w:jc w:val="center"/>
        </w:trPr>
        <w:tc>
          <w:tcPr>
            <w:tcW w:w="1533" w:type="pct"/>
            <w:shd w:val="clear" w:color="auto" w:fill="FFFFFF"/>
            <w:tcMar>
              <w:top w:w="0" w:type="dxa"/>
              <w:left w:w="108" w:type="dxa"/>
              <w:bottom w:w="0" w:type="dxa"/>
              <w:right w:w="108" w:type="dxa"/>
            </w:tcMar>
            <w:vAlign w:val="center"/>
          </w:tcPr>
          <w:p w14:paraId="074E5A4E"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客户名称</w:t>
            </w:r>
          </w:p>
        </w:tc>
        <w:tc>
          <w:tcPr>
            <w:tcW w:w="1453" w:type="pct"/>
            <w:shd w:val="clear" w:color="auto" w:fill="FFFFFF"/>
            <w:tcMar>
              <w:top w:w="0" w:type="dxa"/>
              <w:left w:w="108" w:type="dxa"/>
              <w:bottom w:w="0" w:type="dxa"/>
              <w:right w:w="108" w:type="dxa"/>
            </w:tcMar>
            <w:vAlign w:val="center"/>
          </w:tcPr>
          <w:p w14:paraId="63EB20F9"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销售收入（万元）</w:t>
            </w:r>
          </w:p>
        </w:tc>
        <w:tc>
          <w:tcPr>
            <w:tcW w:w="2014" w:type="pct"/>
            <w:shd w:val="clear" w:color="auto" w:fill="FFFFFF"/>
            <w:tcMar>
              <w:top w:w="0" w:type="dxa"/>
              <w:left w:w="108" w:type="dxa"/>
              <w:bottom w:w="0" w:type="dxa"/>
              <w:right w:w="108" w:type="dxa"/>
            </w:tcMar>
            <w:vAlign w:val="center"/>
          </w:tcPr>
          <w:p w14:paraId="4E5CEAF7" w14:textId="195D29C5"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占营业收入的比例</w:t>
            </w:r>
          </w:p>
        </w:tc>
      </w:tr>
      <w:tr w:rsidR="00231590" w:rsidRPr="00B4515A" w14:paraId="27A50093" w14:textId="77777777" w:rsidTr="00EE238F">
        <w:trPr>
          <w:trHeight w:val="340"/>
          <w:jc w:val="center"/>
        </w:trPr>
        <w:tc>
          <w:tcPr>
            <w:tcW w:w="1533" w:type="pct"/>
            <w:shd w:val="clear" w:color="auto" w:fill="FFFFFF"/>
            <w:tcMar>
              <w:top w:w="0" w:type="dxa"/>
              <w:left w:w="108" w:type="dxa"/>
              <w:bottom w:w="0" w:type="dxa"/>
              <w:right w:w="108" w:type="dxa"/>
            </w:tcMar>
            <w:vAlign w:val="center"/>
          </w:tcPr>
          <w:p w14:paraId="18A9D6E1" w14:textId="073F726C" w:rsidR="00231590" w:rsidRPr="00B4515A" w:rsidRDefault="009A066B"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客户</w:t>
            </w:r>
            <w:r w:rsidRPr="00B4515A">
              <w:rPr>
                <w:rFonts w:ascii="Times New Roman" w:eastAsiaTheme="minorEastAsia" w:hAnsi="Times New Roman" w:cs="Times New Roman"/>
                <w:color w:val="000000"/>
                <w:sz w:val="21"/>
                <w:szCs w:val="21"/>
              </w:rPr>
              <w:t>Z</w:t>
            </w:r>
          </w:p>
        </w:tc>
        <w:tc>
          <w:tcPr>
            <w:tcW w:w="1453" w:type="pct"/>
            <w:shd w:val="clear" w:color="auto" w:fill="FFFFFF"/>
            <w:tcMar>
              <w:top w:w="0" w:type="dxa"/>
              <w:left w:w="108" w:type="dxa"/>
              <w:bottom w:w="0" w:type="dxa"/>
              <w:right w:w="108" w:type="dxa"/>
            </w:tcMar>
            <w:vAlign w:val="center"/>
          </w:tcPr>
          <w:p w14:paraId="46A5277E" w14:textId="77777777" w:rsidR="00231590" w:rsidRPr="00B4515A" w:rsidRDefault="00231590"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20,875.56</w:t>
            </w:r>
          </w:p>
        </w:tc>
        <w:tc>
          <w:tcPr>
            <w:tcW w:w="2014" w:type="pct"/>
            <w:shd w:val="clear" w:color="auto" w:fill="FFFFFF"/>
            <w:tcMar>
              <w:top w:w="0" w:type="dxa"/>
              <w:left w:w="108" w:type="dxa"/>
              <w:bottom w:w="0" w:type="dxa"/>
              <w:right w:w="108" w:type="dxa"/>
            </w:tcMar>
            <w:vAlign w:val="center"/>
          </w:tcPr>
          <w:p w14:paraId="48E8D7A0" w14:textId="77777777" w:rsidR="00231590" w:rsidRPr="00B4515A" w:rsidRDefault="00231590"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37.76%</w:t>
            </w:r>
          </w:p>
        </w:tc>
      </w:tr>
      <w:tr w:rsidR="00875EC9" w:rsidRPr="00B4515A" w14:paraId="722688B8" w14:textId="77777777" w:rsidTr="00EE238F">
        <w:trPr>
          <w:trHeight w:val="340"/>
          <w:jc w:val="center"/>
        </w:trPr>
        <w:tc>
          <w:tcPr>
            <w:tcW w:w="1533" w:type="pct"/>
            <w:shd w:val="clear" w:color="auto" w:fill="FFFFFF"/>
            <w:tcMar>
              <w:top w:w="0" w:type="dxa"/>
              <w:left w:w="108" w:type="dxa"/>
              <w:bottom w:w="0" w:type="dxa"/>
              <w:right w:w="108" w:type="dxa"/>
            </w:tcMar>
            <w:vAlign w:val="center"/>
          </w:tcPr>
          <w:p w14:paraId="0013CD04" w14:textId="28153F00" w:rsidR="00875EC9" w:rsidRPr="00B4515A" w:rsidRDefault="00875EC9" w:rsidP="00875EC9">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中国信科集团及下属企业</w:t>
            </w:r>
          </w:p>
        </w:tc>
        <w:tc>
          <w:tcPr>
            <w:tcW w:w="1453" w:type="pct"/>
            <w:shd w:val="clear" w:color="auto" w:fill="FFFFFF"/>
            <w:tcMar>
              <w:top w:w="0" w:type="dxa"/>
              <w:left w:w="108" w:type="dxa"/>
              <w:bottom w:w="0" w:type="dxa"/>
              <w:right w:w="108" w:type="dxa"/>
            </w:tcMar>
            <w:vAlign w:val="center"/>
          </w:tcPr>
          <w:p w14:paraId="12ACBC1E" w14:textId="77777777" w:rsidR="00875EC9" w:rsidRPr="00B4515A" w:rsidRDefault="00875EC9" w:rsidP="00875EC9">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6,334.77</w:t>
            </w:r>
          </w:p>
        </w:tc>
        <w:tc>
          <w:tcPr>
            <w:tcW w:w="2014" w:type="pct"/>
            <w:shd w:val="clear" w:color="auto" w:fill="FFFFFF"/>
            <w:tcMar>
              <w:top w:w="0" w:type="dxa"/>
              <w:left w:w="108" w:type="dxa"/>
              <w:bottom w:w="0" w:type="dxa"/>
              <w:right w:w="108" w:type="dxa"/>
            </w:tcMar>
            <w:vAlign w:val="center"/>
          </w:tcPr>
          <w:p w14:paraId="07B97E14" w14:textId="77777777" w:rsidR="00875EC9" w:rsidRPr="00B4515A" w:rsidRDefault="00875EC9" w:rsidP="00875EC9">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11.46%</w:t>
            </w:r>
          </w:p>
        </w:tc>
      </w:tr>
      <w:tr w:rsidR="00875EC9" w:rsidRPr="00B4515A" w14:paraId="2B418AAC" w14:textId="77777777" w:rsidTr="00EE238F">
        <w:trPr>
          <w:trHeight w:val="340"/>
          <w:jc w:val="center"/>
        </w:trPr>
        <w:tc>
          <w:tcPr>
            <w:tcW w:w="1533" w:type="pct"/>
            <w:shd w:val="clear" w:color="auto" w:fill="FFFFFF"/>
            <w:tcMar>
              <w:top w:w="0" w:type="dxa"/>
              <w:left w:w="108" w:type="dxa"/>
              <w:bottom w:w="0" w:type="dxa"/>
              <w:right w:w="108" w:type="dxa"/>
            </w:tcMar>
            <w:vAlign w:val="bottom"/>
          </w:tcPr>
          <w:p w14:paraId="4B57DF1E" w14:textId="7DA473C7" w:rsidR="00875EC9" w:rsidRPr="00B4515A" w:rsidRDefault="00875EC9" w:rsidP="00875EC9">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某电子科技集团下属企业</w:t>
            </w:r>
          </w:p>
        </w:tc>
        <w:tc>
          <w:tcPr>
            <w:tcW w:w="1453" w:type="pct"/>
            <w:shd w:val="clear" w:color="auto" w:fill="FFFFFF"/>
            <w:tcMar>
              <w:top w:w="0" w:type="dxa"/>
              <w:left w:w="108" w:type="dxa"/>
              <w:bottom w:w="0" w:type="dxa"/>
              <w:right w:w="108" w:type="dxa"/>
            </w:tcMar>
            <w:vAlign w:val="center"/>
          </w:tcPr>
          <w:p w14:paraId="0517554C" w14:textId="77777777" w:rsidR="00875EC9" w:rsidRPr="00B4515A" w:rsidRDefault="00875EC9" w:rsidP="00875EC9">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5,557.06</w:t>
            </w:r>
          </w:p>
        </w:tc>
        <w:tc>
          <w:tcPr>
            <w:tcW w:w="2014" w:type="pct"/>
            <w:shd w:val="clear" w:color="auto" w:fill="FFFFFF"/>
            <w:tcMar>
              <w:top w:w="0" w:type="dxa"/>
              <w:left w:w="108" w:type="dxa"/>
              <w:bottom w:w="0" w:type="dxa"/>
              <w:right w:w="108" w:type="dxa"/>
            </w:tcMar>
            <w:vAlign w:val="center"/>
          </w:tcPr>
          <w:p w14:paraId="6B2FFE74" w14:textId="77777777" w:rsidR="00875EC9" w:rsidRPr="00B4515A" w:rsidRDefault="00875EC9" w:rsidP="00875EC9">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10.05%</w:t>
            </w:r>
          </w:p>
        </w:tc>
      </w:tr>
      <w:tr w:rsidR="00875EC9" w:rsidRPr="00B4515A" w14:paraId="152950A1" w14:textId="77777777" w:rsidTr="00EE238F">
        <w:trPr>
          <w:trHeight w:val="340"/>
          <w:jc w:val="center"/>
        </w:trPr>
        <w:tc>
          <w:tcPr>
            <w:tcW w:w="1533" w:type="pct"/>
            <w:shd w:val="clear" w:color="auto" w:fill="FFFFFF"/>
            <w:tcMar>
              <w:top w:w="0" w:type="dxa"/>
              <w:left w:w="108" w:type="dxa"/>
              <w:bottom w:w="0" w:type="dxa"/>
              <w:right w:w="108" w:type="dxa"/>
            </w:tcMar>
            <w:vAlign w:val="bottom"/>
          </w:tcPr>
          <w:p w14:paraId="0C71BCEF" w14:textId="305B34D5" w:rsidR="00875EC9" w:rsidRPr="00B4515A" w:rsidRDefault="00875EC9" w:rsidP="00875EC9">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中国某工业集团下属企业</w:t>
            </w:r>
          </w:p>
        </w:tc>
        <w:tc>
          <w:tcPr>
            <w:tcW w:w="1453" w:type="pct"/>
            <w:shd w:val="clear" w:color="auto" w:fill="FFFFFF"/>
            <w:tcMar>
              <w:top w:w="0" w:type="dxa"/>
              <w:left w:w="108" w:type="dxa"/>
              <w:bottom w:w="0" w:type="dxa"/>
              <w:right w:w="108" w:type="dxa"/>
            </w:tcMar>
            <w:vAlign w:val="center"/>
          </w:tcPr>
          <w:p w14:paraId="0269C524" w14:textId="77777777" w:rsidR="00875EC9" w:rsidRPr="00B4515A" w:rsidRDefault="00875EC9" w:rsidP="00875EC9">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5,319.71</w:t>
            </w:r>
          </w:p>
        </w:tc>
        <w:tc>
          <w:tcPr>
            <w:tcW w:w="2014" w:type="pct"/>
            <w:shd w:val="clear" w:color="auto" w:fill="FFFFFF"/>
            <w:tcMar>
              <w:top w:w="0" w:type="dxa"/>
              <w:left w:w="108" w:type="dxa"/>
              <w:bottom w:w="0" w:type="dxa"/>
              <w:right w:w="108" w:type="dxa"/>
            </w:tcMar>
            <w:vAlign w:val="center"/>
          </w:tcPr>
          <w:p w14:paraId="2EBC9EEA" w14:textId="77777777" w:rsidR="00875EC9" w:rsidRPr="00B4515A" w:rsidRDefault="00875EC9" w:rsidP="00875EC9">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9.62%</w:t>
            </w:r>
          </w:p>
        </w:tc>
      </w:tr>
      <w:tr w:rsidR="00875EC9" w:rsidRPr="00B4515A" w14:paraId="46DB26DF" w14:textId="77777777" w:rsidTr="00EE238F">
        <w:trPr>
          <w:trHeight w:val="340"/>
          <w:jc w:val="center"/>
        </w:trPr>
        <w:tc>
          <w:tcPr>
            <w:tcW w:w="1533" w:type="pct"/>
            <w:shd w:val="clear" w:color="auto" w:fill="FFFFFF"/>
            <w:tcMar>
              <w:top w:w="0" w:type="dxa"/>
              <w:left w:w="108" w:type="dxa"/>
              <w:bottom w:w="0" w:type="dxa"/>
              <w:right w:w="108" w:type="dxa"/>
            </w:tcMar>
            <w:vAlign w:val="bottom"/>
          </w:tcPr>
          <w:p w14:paraId="6D06DDE4" w14:textId="3606AD7D" w:rsidR="00875EC9" w:rsidRPr="00B4515A" w:rsidRDefault="00875EC9" w:rsidP="00875EC9">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某航天科工集团下属企业</w:t>
            </w:r>
          </w:p>
        </w:tc>
        <w:tc>
          <w:tcPr>
            <w:tcW w:w="1453" w:type="pct"/>
            <w:shd w:val="clear" w:color="auto" w:fill="FFFFFF"/>
            <w:tcMar>
              <w:top w:w="0" w:type="dxa"/>
              <w:left w:w="108" w:type="dxa"/>
              <w:bottom w:w="0" w:type="dxa"/>
              <w:right w:w="108" w:type="dxa"/>
            </w:tcMar>
            <w:vAlign w:val="center"/>
          </w:tcPr>
          <w:p w14:paraId="3B7B76E1" w14:textId="393A73A5" w:rsidR="00875EC9" w:rsidRPr="00B4515A" w:rsidRDefault="00875EC9">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2,562.30 </w:t>
            </w:r>
          </w:p>
        </w:tc>
        <w:tc>
          <w:tcPr>
            <w:tcW w:w="2014" w:type="pct"/>
            <w:shd w:val="clear" w:color="auto" w:fill="FFFFFF"/>
            <w:tcMar>
              <w:top w:w="0" w:type="dxa"/>
              <w:left w:w="108" w:type="dxa"/>
              <w:bottom w:w="0" w:type="dxa"/>
              <w:right w:w="108" w:type="dxa"/>
            </w:tcMar>
            <w:vAlign w:val="center"/>
          </w:tcPr>
          <w:p w14:paraId="0A8C63BE" w14:textId="1273559D" w:rsidR="00875EC9" w:rsidRPr="00B4515A" w:rsidRDefault="00875EC9">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4.63%</w:t>
            </w:r>
          </w:p>
        </w:tc>
      </w:tr>
      <w:tr w:rsidR="00875EC9" w:rsidRPr="00B4515A" w14:paraId="7ECAA5CD" w14:textId="77777777" w:rsidTr="00EE238F">
        <w:trPr>
          <w:trHeight w:val="340"/>
          <w:jc w:val="center"/>
        </w:trPr>
        <w:tc>
          <w:tcPr>
            <w:tcW w:w="1533" w:type="pct"/>
            <w:shd w:val="clear" w:color="auto" w:fill="FFFFFF"/>
            <w:tcMar>
              <w:top w:w="0" w:type="dxa"/>
              <w:left w:w="108" w:type="dxa"/>
              <w:bottom w:w="0" w:type="dxa"/>
              <w:right w:w="108" w:type="dxa"/>
            </w:tcMar>
            <w:vAlign w:val="center"/>
          </w:tcPr>
          <w:p w14:paraId="606F115A" w14:textId="77777777" w:rsidR="00875EC9" w:rsidRPr="00B4515A" w:rsidRDefault="00875EC9" w:rsidP="00EE238F">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合计</w:t>
            </w:r>
          </w:p>
        </w:tc>
        <w:tc>
          <w:tcPr>
            <w:tcW w:w="1453" w:type="pct"/>
            <w:shd w:val="clear" w:color="auto" w:fill="FFFFFF"/>
            <w:tcMar>
              <w:top w:w="0" w:type="dxa"/>
              <w:left w:w="108" w:type="dxa"/>
              <w:bottom w:w="0" w:type="dxa"/>
              <w:right w:w="108" w:type="dxa"/>
            </w:tcMar>
            <w:vAlign w:val="center"/>
          </w:tcPr>
          <w:p w14:paraId="1FF98975" w14:textId="6DA82540" w:rsidR="00875EC9" w:rsidRPr="00B4515A" w:rsidRDefault="00875EC9">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40,649.40</w:t>
            </w:r>
          </w:p>
        </w:tc>
        <w:tc>
          <w:tcPr>
            <w:tcW w:w="2014" w:type="pct"/>
            <w:shd w:val="clear" w:color="auto" w:fill="FFFFFF"/>
            <w:tcMar>
              <w:top w:w="0" w:type="dxa"/>
              <w:left w:w="108" w:type="dxa"/>
              <w:bottom w:w="0" w:type="dxa"/>
              <w:right w:w="108" w:type="dxa"/>
            </w:tcMar>
            <w:vAlign w:val="center"/>
          </w:tcPr>
          <w:p w14:paraId="431B063A" w14:textId="66A9F173" w:rsidR="00875EC9" w:rsidRPr="00B4515A" w:rsidRDefault="00875EC9">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73.53%</w:t>
            </w:r>
          </w:p>
        </w:tc>
      </w:tr>
    </w:tbl>
    <w:p w14:paraId="3F47954B" w14:textId="0F1A23B8" w:rsidR="006416B0" w:rsidRPr="00B4515A" w:rsidRDefault="005E58C1" w:rsidP="00EE238F">
      <w:pPr>
        <w:pStyle w:val="006"/>
        <w:ind w:firstLine="420"/>
      </w:pPr>
      <w:r w:rsidRPr="00B4515A">
        <w:rPr>
          <w:rFonts w:hint="eastAsia"/>
        </w:rPr>
        <w:t>注：（</w:t>
      </w:r>
      <w:r w:rsidRPr="00B4515A">
        <w:t>1</w:t>
      </w:r>
      <w:r w:rsidRPr="00B4515A">
        <w:rPr>
          <w:rFonts w:hint="eastAsia"/>
        </w:rPr>
        <w:t>）</w:t>
      </w:r>
      <w:r w:rsidR="009A066B" w:rsidRPr="00B4515A">
        <w:rPr>
          <w:rFonts w:hint="eastAsia"/>
        </w:rPr>
        <w:t>客户</w:t>
      </w:r>
      <w:r w:rsidR="009A066B" w:rsidRPr="00B4515A">
        <w:t>Z</w:t>
      </w:r>
      <w:r w:rsidR="009A066B" w:rsidRPr="00B4515A">
        <w:rPr>
          <w:rFonts w:hint="eastAsia"/>
        </w:rPr>
        <w:t>、</w:t>
      </w:r>
      <w:r w:rsidR="0048506C" w:rsidRPr="00B4515A">
        <w:rPr>
          <w:rFonts w:hint="eastAsia"/>
        </w:rPr>
        <w:t>中国信科集团及下属企业</w:t>
      </w:r>
      <w:r w:rsidR="009A066B" w:rsidRPr="00B4515A">
        <w:rPr>
          <w:rFonts w:hint="eastAsia"/>
        </w:rPr>
        <w:t>、</w:t>
      </w:r>
      <w:r w:rsidR="0048506C" w:rsidRPr="00B4515A">
        <w:rPr>
          <w:rFonts w:hint="eastAsia"/>
        </w:rPr>
        <w:t>某电子科技集团下属企业</w:t>
      </w:r>
      <w:r w:rsidR="009A066B" w:rsidRPr="00B4515A">
        <w:rPr>
          <w:rFonts w:hint="eastAsia"/>
        </w:rPr>
        <w:t>、</w:t>
      </w:r>
      <w:r w:rsidR="0048506C" w:rsidRPr="00B4515A">
        <w:rPr>
          <w:rFonts w:hint="eastAsia"/>
        </w:rPr>
        <w:t>中国某工业集团下属企业、某航天科工集团下属企业</w:t>
      </w:r>
      <w:r w:rsidRPr="00B4515A">
        <w:rPr>
          <w:rFonts w:hint="eastAsia"/>
        </w:rPr>
        <w:t>分别为</w:t>
      </w:r>
      <w:r w:rsidR="00A008BA" w:rsidRPr="00B4515A">
        <w:rPr>
          <w:rFonts w:hint="eastAsia"/>
        </w:rPr>
        <w:t>同一控制下</w:t>
      </w:r>
      <w:r w:rsidR="00A008BA" w:rsidRPr="00B4515A">
        <w:t>企业</w:t>
      </w:r>
      <w:r w:rsidR="00A008BA" w:rsidRPr="00B4515A">
        <w:t>/</w:t>
      </w:r>
      <w:r w:rsidR="00A008BA" w:rsidRPr="00B4515A">
        <w:t>单位合并数据</w:t>
      </w:r>
      <w:r w:rsidRPr="00B4515A">
        <w:rPr>
          <w:rFonts w:hint="eastAsia"/>
        </w:rPr>
        <w:t>。（</w:t>
      </w:r>
      <w:r w:rsidRPr="00B4515A">
        <w:t>2</w:t>
      </w:r>
      <w:r w:rsidRPr="00B4515A">
        <w:rPr>
          <w:rFonts w:hint="eastAsia"/>
        </w:rPr>
        <w:t>）根据相关规定，公司申请豁免披露相关客户信息。</w:t>
      </w:r>
    </w:p>
    <w:p w14:paraId="383746C6" w14:textId="77777777" w:rsidR="006416B0" w:rsidRPr="00B4515A" w:rsidRDefault="005E58C1" w:rsidP="005860B4">
      <w:pPr>
        <w:pStyle w:val="005"/>
        <w:spacing w:before="120" w:after="120"/>
        <w:ind w:firstLine="480"/>
      </w:pPr>
      <w:r w:rsidRPr="00B4515A">
        <w:rPr>
          <w:rFonts w:hint="eastAsia"/>
        </w:rPr>
        <w:t>2</w:t>
      </w:r>
      <w:r w:rsidRPr="00B4515A">
        <w:t>019</w:t>
      </w:r>
      <w:r w:rsidRPr="00B4515A">
        <w:rPr>
          <w:rFonts w:hint="eastAsia"/>
        </w:rPr>
        <w:t>年度前五名客户销售收入</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2615"/>
        <w:gridCol w:w="2478"/>
        <w:gridCol w:w="3435"/>
      </w:tblGrid>
      <w:tr w:rsidR="006416B0" w:rsidRPr="00B4515A" w14:paraId="6DDED6FB" w14:textId="77777777" w:rsidTr="00031627">
        <w:trPr>
          <w:trHeight w:val="340"/>
          <w:jc w:val="center"/>
        </w:trPr>
        <w:tc>
          <w:tcPr>
            <w:tcW w:w="1533" w:type="pct"/>
            <w:shd w:val="clear" w:color="auto" w:fill="FFFFFF"/>
            <w:tcMar>
              <w:top w:w="0" w:type="dxa"/>
              <w:left w:w="108" w:type="dxa"/>
              <w:bottom w:w="0" w:type="dxa"/>
              <w:right w:w="108" w:type="dxa"/>
            </w:tcMar>
            <w:vAlign w:val="center"/>
          </w:tcPr>
          <w:p w14:paraId="3BA2DC51" w14:textId="77777777" w:rsidR="006416B0" w:rsidRPr="00B4515A" w:rsidRDefault="005E58C1" w:rsidP="005860B4">
            <w:pPr>
              <w:keepNext/>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lastRenderedPageBreak/>
              <w:t>客户名称</w:t>
            </w:r>
          </w:p>
        </w:tc>
        <w:tc>
          <w:tcPr>
            <w:tcW w:w="1453" w:type="pct"/>
            <w:shd w:val="clear" w:color="auto" w:fill="FFFFFF"/>
            <w:tcMar>
              <w:top w:w="0" w:type="dxa"/>
              <w:left w:w="108" w:type="dxa"/>
              <w:bottom w:w="0" w:type="dxa"/>
              <w:right w:w="108" w:type="dxa"/>
            </w:tcMar>
            <w:vAlign w:val="center"/>
          </w:tcPr>
          <w:p w14:paraId="71EAE6B7" w14:textId="77777777" w:rsidR="006416B0" w:rsidRPr="00B4515A" w:rsidRDefault="005E58C1" w:rsidP="005860B4">
            <w:pPr>
              <w:keepNext/>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销售收入（万元）</w:t>
            </w:r>
          </w:p>
        </w:tc>
        <w:tc>
          <w:tcPr>
            <w:tcW w:w="2014" w:type="pct"/>
            <w:shd w:val="clear" w:color="auto" w:fill="FFFFFF"/>
            <w:tcMar>
              <w:top w:w="0" w:type="dxa"/>
              <w:left w:w="108" w:type="dxa"/>
              <w:bottom w:w="0" w:type="dxa"/>
              <w:right w:w="108" w:type="dxa"/>
            </w:tcMar>
            <w:vAlign w:val="center"/>
          </w:tcPr>
          <w:p w14:paraId="5BA1EBC5" w14:textId="78D8FDFE" w:rsidR="006416B0" w:rsidRPr="00B4515A" w:rsidRDefault="005E58C1" w:rsidP="005860B4">
            <w:pPr>
              <w:keepNext/>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占营业收入的比例</w:t>
            </w:r>
          </w:p>
        </w:tc>
      </w:tr>
      <w:tr w:rsidR="00231590" w:rsidRPr="00B4515A" w14:paraId="0D6A5E92" w14:textId="77777777" w:rsidTr="00EE238F">
        <w:trPr>
          <w:trHeight w:val="340"/>
          <w:jc w:val="center"/>
        </w:trPr>
        <w:tc>
          <w:tcPr>
            <w:tcW w:w="1533" w:type="pct"/>
            <w:shd w:val="clear" w:color="auto" w:fill="FFFFFF"/>
            <w:tcMar>
              <w:top w:w="0" w:type="dxa"/>
              <w:left w:w="108" w:type="dxa"/>
              <w:bottom w:w="0" w:type="dxa"/>
              <w:right w:w="108" w:type="dxa"/>
            </w:tcMar>
            <w:vAlign w:val="center"/>
          </w:tcPr>
          <w:p w14:paraId="18EA4309" w14:textId="65E0B558" w:rsidR="00231590" w:rsidRPr="00B4515A" w:rsidRDefault="009A066B"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客户</w:t>
            </w:r>
            <w:r w:rsidRPr="00B4515A">
              <w:rPr>
                <w:rFonts w:ascii="Times New Roman" w:eastAsiaTheme="minorEastAsia" w:hAnsi="Times New Roman" w:cs="Times New Roman"/>
                <w:color w:val="000000"/>
                <w:sz w:val="21"/>
                <w:szCs w:val="21"/>
              </w:rPr>
              <w:t>Z</w:t>
            </w:r>
          </w:p>
        </w:tc>
        <w:tc>
          <w:tcPr>
            <w:tcW w:w="1453" w:type="pct"/>
            <w:shd w:val="clear" w:color="auto" w:fill="FFFFFF"/>
            <w:tcMar>
              <w:top w:w="0" w:type="dxa"/>
              <w:left w:w="108" w:type="dxa"/>
              <w:bottom w:w="0" w:type="dxa"/>
              <w:right w:w="108" w:type="dxa"/>
            </w:tcMar>
            <w:vAlign w:val="center"/>
          </w:tcPr>
          <w:p w14:paraId="6E1A80D1" w14:textId="77777777" w:rsidR="00231590" w:rsidRPr="00B4515A" w:rsidRDefault="00231590"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5,475.67</w:t>
            </w:r>
          </w:p>
        </w:tc>
        <w:tc>
          <w:tcPr>
            <w:tcW w:w="2014" w:type="pct"/>
            <w:shd w:val="clear" w:color="auto" w:fill="FFFFFF"/>
            <w:tcMar>
              <w:top w:w="0" w:type="dxa"/>
              <w:left w:w="108" w:type="dxa"/>
              <w:bottom w:w="0" w:type="dxa"/>
              <w:right w:w="108" w:type="dxa"/>
            </w:tcMar>
            <w:vAlign w:val="center"/>
          </w:tcPr>
          <w:p w14:paraId="09CCB5E2" w14:textId="77777777" w:rsidR="00231590" w:rsidRPr="00B4515A" w:rsidRDefault="00231590"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14.93%</w:t>
            </w:r>
          </w:p>
        </w:tc>
      </w:tr>
      <w:tr w:rsidR="0048506C" w:rsidRPr="00B4515A" w14:paraId="7C61E090" w14:textId="77777777" w:rsidTr="00EE238F">
        <w:trPr>
          <w:trHeight w:val="340"/>
          <w:jc w:val="center"/>
        </w:trPr>
        <w:tc>
          <w:tcPr>
            <w:tcW w:w="1533" w:type="pct"/>
            <w:shd w:val="clear" w:color="auto" w:fill="FFFFFF"/>
            <w:tcMar>
              <w:top w:w="0" w:type="dxa"/>
              <w:left w:w="108" w:type="dxa"/>
              <w:bottom w:w="0" w:type="dxa"/>
              <w:right w:w="108" w:type="dxa"/>
            </w:tcMar>
            <w:vAlign w:val="bottom"/>
          </w:tcPr>
          <w:p w14:paraId="44BAB4BF" w14:textId="7899EFE5" w:rsidR="0048506C" w:rsidRPr="00B4515A" w:rsidRDefault="0048506C" w:rsidP="0048506C">
            <w:pPr>
              <w:adjustRightInd w:val="0"/>
              <w:snapToGrid w:val="0"/>
              <w:jc w:val="center"/>
              <w:rPr>
                <w:rFonts w:ascii="Times New Roman" w:eastAsiaTheme="minorEastAsia" w:hAnsi="Times New Roman" w:cs="Times New Roman"/>
                <w:color w:val="000000"/>
                <w:sz w:val="21"/>
                <w:szCs w:val="21"/>
              </w:rPr>
            </w:pPr>
            <w:r w:rsidRPr="00B4515A">
              <w:rPr>
                <w:rFonts w:ascii="等线" w:eastAsia="等线" w:hAnsi="等线" w:hint="eastAsia"/>
                <w:color w:val="000000"/>
                <w:sz w:val="22"/>
                <w:szCs w:val="22"/>
              </w:rPr>
              <w:t>某航天科工集团下属企业</w:t>
            </w:r>
          </w:p>
        </w:tc>
        <w:tc>
          <w:tcPr>
            <w:tcW w:w="1453" w:type="pct"/>
            <w:shd w:val="clear" w:color="auto" w:fill="FFFFFF"/>
            <w:tcMar>
              <w:top w:w="0" w:type="dxa"/>
              <w:left w:w="108" w:type="dxa"/>
              <w:bottom w:w="0" w:type="dxa"/>
              <w:right w:w="108" w:type="dxa"/>
            </w:tcMar>
            <w:vAlign w:val="center"/>
          </w:tcPr>
          <w:p w14:paraId="49B4D595" w14:textId="449518DB" w:rsidR="0048506C" w:rsidRPr="00B4515A" w:rsidRDefault="0048506C" w:rsidP="0048506C">
            <w:pPr>
              <w:adjustRightInd w:val="0"/>
              <w:snapToGrid w:val="0"/>
              <w:jc w:val="right"/>
              <w:rPr>
                <w:rFonts w:ascii="Times New Roman" w:hAnsi="Times New Roman" w:cs="Times New Roman"/>
                <w:color w:val="333333"/>
                <w:sz w:val="21"/>
                <w:szCs w:val="21"/>
              </w:rPr>
            </w:pPr>
            <w:r w:rsidRPr="00B4515A">
              <w:rPr>
                <w:rFonts w:ascii="Times New Roman" w:eastAsia="等线" w:hAnsi="Times New Roman" w:cs="Times New Roman"/>
                <w:color w:val="000000"/>
                <w:sz w:val="21"/>
                <w:szCs w:val="21"/>
              </w:rPr>
              <w:t>5,910.09</w:t>
            </w:r>
          </w:p>
        </w:tc>
        <w:tc>
          <w:tcPr>
            <w:tcW w:w="2014" w:type="pct"/>
            <w:shd w:val="clear" w:color="auto" w:fill="FFFFFF"/>
            <w:tcMar>
              <w:top w:w="0" w:type="dxa"/>
              <w:left w:w="108" w:type="dxa"/>
              <w:bottom w:w="0" w:type="dxa"/>
              <w:right w:w="108" w:type="dxa"/>
            </w:tcMar>
            <w:vAlign w:val="center"/>
          </w:tcPr>
          <w:p w14:paraId="397298EF" w14:textId="26E75C5B" w:rsidR="0048506C" w:rsidRPr="00B4515A" w:rsidRDefault="0048506C" w:rsidP="0048506C">
            <w:pPr>
              <w:adjustRightInd w:val="0"/>
              <w:snapToGrid w:val="0"/>
              <w:jc w:val="right"/>
              <w:rPr>
                <w:rFonts w:ascii="Times New Roman" w:hAnsi="Times New Roman" w:cs="Times New Roman"/>
                <w:sz w:val="21"/>
                <w:szCs w:val="21"/>
              </w:rPr>
            </w:pPr>
            <w:r w:rsidRPr="00B4515A">
              <w:rPr>
                <w:rFonts w:ascii="Times New Roman" w:eastAsia="等线" w:hAnsi="Times New Roman" w:cs="Times New Roman"/>
                <w:color w:val="000000"/>
                <w:sz w:val="21"/>
                <w:szCs w:val="21"/>
              </w:rPr>
              <w:t>16.11%</w:t>
            </w:r>
          </w:p>
        </w:tc>
      </w:tr>
      <w:tr w:rsidR="0048506C" w:rsidRPr="00B4515A" w14:paraId="4BA606F0" w14:textId="77777777" w:rsidTr="00EE238F">
        <w:trPr>
          <w:trHeight w:val="340"/>
          <w:jc w:val="center"/>
        </w:trPr>
        <w:tc>
          <w:tcPr>
            <w:tcW w:w="1533" w:type="pct"/>
            <w:shd w:val="clear" w:color="auto" w:fill="FFFFFF"/>
            <w:tcMar>
              <w:top w:w="0" w:type="dxa"/>
              <w:left w:w="108" w:type="dxa"/>
              <w:bottom w:w="0" w:type="dxa"/>
              <w:right w:w="108" w:type="dxa"/>
            </w:tcMar>
            <w:vAlign w:val="bottom"/>
          </w:tcPr>
          <w:p w14:paraId="51F0E90D" w14:textId="5F23043C" w:rsidR="0048506C" w:rsidRPr="00B4515A" w:rsidRDefault="0048506C" w:rsidP="0048506C">
            <w:pPr>
              <w:adjustRightInd w:val="0"/>
              <w:snapToGrid w:val="0"/>
              <w:jc w:val="center"/>
              <w:rPr>
                <w:rFonts w:ascii="Times New Roman" w:eastAsiaTheme="minorEastAsia" w:hAnsi="Times New Roman" w:cs="Times New Roman"/>
                <w:color w:val="000000"/>
                <w:sz w:val="21"/>
                <w:szCs w:val="21"/>
              </w:rPr>
            </w:pPr>
            <w:r w:rsidRPr="00B4515A">
              <w:rPr>
                <w:rFonts w:ascii="等线" w:eastAsia="等线" w:hAnsi="等线" w:hint="eastAsia"/>
                <w:color w:val="000000"/>
                <w:sz w:val="22"/>
                <w:szCs w:val="22"/>
              </w:rPr>
              <w:t>某电子科技集团下属企业</w:t>
            </w:r>
          </w:p>
        </w:tc>
        <w:tc>
          <w:tcPr>
            <w:tcW w:w="1453" w:type="pct"/>
            <w:shd w:val="clear" w:color="auto" w:fill="FFFFFF"/>
            <w:tcMar>
              <w:top w:w="0" w:type="dxa"/>
              <w:left w:w="108" w:type="dxa"/>
              <w:bottom w:w="0" w:type="dxa"/>
              <w:right w:w="108" w:type="dxa"/>
            </w:tcMar>
            <w:vAlign w:val="center"/>
          </w:tcPr>
          <w:p w14:paraId="22297190" w14:textId="77777777" w:rsidR="0048506C" w:rsidRPr="00B4515A" w:rsidRDefault="0048506C" w:rsidP="0048506C">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4,119.60</w:t>
            </w:r>
          </w:p>
        </w:tc>
        <w:tc>
          <w:tcPr>
            <w:tcW w:w="2014" w:type="pct"/>
            <w:shd w:val="clear" w:color="auto" w:fill="FFFFFF"/>
            <w:tcMar>
              <w:top w:w="0" w:type="dxa"/>
              <w:left w:w="108" w:type="dxa"/>
              <w:bottom w:w="0" w:type="dxa"/>
              <w:right w:w="108" w:type="dxa"/>
            </w:tcMar>
            <w:vAlign w:val="center"/>
          </w:tcPr>
          <w:p w14:paraId="2AF672FC" w14:textId="77777777" w:rsidR="0048506C" w:rsidRPr="00B4515A" w:rsidRDefault="0048506C" w:rsidP="0048506C">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11.23%</w:t>
            </w:r>
          </w:p>
        </w:tc>
      </w:tr>
      <w:tr w:rsidR="00231590" w:rsidRPr="00B4515A" w14:paraId="6DF41F4E" w14:textId="77777777" w:rsidTr="00EE238F">
        <w:trPr>
          <w:trHeight w:val="340"/>
          <w:jc w:val="center"/>
        </w:trPr>
        <w:tc>
          <w:tcPr>
            <w:tcW w:w="1533" w:type="pct"/>
            <w:shd w:val="clear" w:color="auto" w:fill="FFFFFF"/>
            <w:tcMar>
              <w:top w:w="0" w:type="dxa"/>
              <w:left w:w="108" w:type="dxa"/>
              <w:bottom w:w="0" w:type="dxa"/>
              <w:right w:w="108" w:type="dxa"/>
            </w:tcMar>
            <w:vAlign w:val="center"/>
          </w:tcPr>
          <w:p w14:paraId="3B64F36A" w14:textId="3CEB6A49" w:rsidR="00231590" w:rsidRPr="00B4515A" w:rsidRDefault="0023159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CA100190</w:t>
            </w:r>
          </w:p>
        </w:tc>
        <w:tc>
          <w:tcPr>
            <w:tcW w:w="1453" w:type="pct"/>
            <w:shd w:val="clear" w:color="auto" w:fill="FFFFFF"/>
            <w:tcMar>
              <w:top w:w="0" w:type="dxa"/>
              <w:left w:w="108" w:type="dxa"/>
              <w:bottom w:w="0" w:type="dxa"/>
              <w:right w:w="108" w:type="dxa"/>
            </w:tcMar>
            <w:vAlign w:val="center"/>
          </w:tcPr>
          <w:p w14:paraId="2ADAF543" w14:textId="77777777" w:rsidR="00231590" w:rsidRPr="00B4515A" w:rsidRDefault="00231590"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2,406.87</w:t>
            </w:r>
          </w:p>
        </w:tc>
        <w:tc>
          <w:tcPr>
            <w:tcW w:w="2014" w:type="pct"/>
            <w:shd w:val="clear" w:color="auto" w:fill="FFFFFF"/>
            <w:tcMar>
              <w:top w:w="0" w:type="dxa"/>
              <w:left w:w="108" w:type="dxa"/>
              <w:bottom w:w="0" w:type="dxa"/>
              <w:right w:w="108" w:type="dxa"/>
            </w:tcMar>
            <w:vAlign w:val="center"/>
          </w:tcPr>
          <w:p w14:paraId="2CFFD752" w14:textId="77777777" w:rsidR="00231590" w:rsidRPr="00B4515A" w:rsidRDefault="00231590"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6.56%</w:t>
            </w:r>
          </w:p>
        </w:tc>
      </w:tr>
      <w:tr w:rsidR="0048506C" w:rsidRPr="00B4515A" w14:paraId="13EE8EE7" w14:textId="77777777" w:rsidTr="00EE238F">
        <w:trPr>
          <w:trHeight w:val="340"/>
          <w:jc w:val="center"/>
        </w:trPr>
        <w:tc>
          <w:tcPr>
            <w:tcW w:w="1533" w:type="pct"/>
            <w:shd w:val="clear" w:color="auto" w:fill="FFFFFF"/>
            <w:tcMar>
              <w:top w:w="0" w:type="dxa"/>
              <w:left w:w="108" w:type="dxa"/>
              <w:bottom w:w="0" w:type="dxa"/>
              <w:right w:w="108" w:type="dxa"/>
            </w:tcMar>
            <w:vAlign w:val="center"/>
          </w:tcPr>
          <w:p w14:paraId="4961EE38" w14:textId="338E0EB0" w:rsidR="0048506C" w:rsidRPr="00B4515A" w:rsidRDefault="0048506C" w:rsidP="0048506C">
            <w:pPr>
              <w:adjustRightInd w:val="0"/>
              <w:snapToGrid w:val="0"/>
              <w:jc w:val="center"/>
              <w:rPr>
                <w:rFonts w:ascii="Times New Roman" w:eastAsiaTheme="minorEastAsia" w:hAnsi="Times New Roman" w:cs="Times New Roman"/>
                <w:color w:val="333333"/>
                <w:sz w:val="21"/>
                <w:szCs w:val="21"/>
              </w:rPr>
            </w:pPr>
            <w:r w:rsidRPr="00B4515A">
              <w:rPr>
                <w:rFonts w:ascii="Times New Roman" w:eastAsiaTheme="minorEastAsia" w:hAnsi="Times New Roman" w:cs="Times New Roman"/>
                <w:color w:val="000000"/>
                <w:sz w:val="21"/>
                <w:szCs w:val="21"/>
              </w:rPr>
              <w:t>CA100128</w:t>
            </w:r>
          </w:p>
        </w:tc>
        <w:tc>
          <w:tcPr>
            <w:tcW w:w="1453" w:type="pct"/>
            <w:shd w:val="clear" w:color="auto" w:fill="FFFFFF"/>
            <w:tcMar>
              <w:top w:w="0" w:type="dxa"/>
              <w:left w:w="108" w:type="dxa"/>
              <w:bottom w:w="0" w:type="dxa"/>
              <w:right w:w="108" w:type="dxa"/>
            </w:tcMar>
            <w:vAlign w:val="center"/>
          </w:tcPr>
          <w:p w14:paraId="4CFCAFFC" w14:textId="6BD65000" w:rsidR="0048506C" w:rsidRPr="00B4515A" w:rsidRDefault="0048506C">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2,292.53 </w:t>
            </w:r>
          </w:p>
        </w:tc>
        <w:tc>
          <w:tcPr>
            <w:tcW w:w="2014" w:type="pct"/>
            <w:shd w:val="clear" w:color="auto" w:fill="FFFFFF"/>
            <w:tcMar>
              <w:top w:w="0" w:type="dxa"/>
              <w:left w:w="108" w:type="dxa"/>
              <w:bottom w:w="0" w:type="dxa"/>
              <w:right w:w="108" w:type="dxa"/>
            </w:tcMar>
            <w:vAlign w:val="center"/>
          </w:tcPr>
          <w:p w14:paraId="14F847FE" w14:textId="17C7F694" w:rsidR="0048506C" w:rsidRPr="00B4515A" w:rsidRDefault="0048506C">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6.25%</w:t>
            </w:r>
          </w:p>
        </w:tc>
      </w:tr>
      <w:tr w:rsidR="0048506C" w:rsidRPr="00B4515A" w14:paraId="26C7C830" w14:textId="77777777" w:rsidTr="00031627">
        <w:trPr>
          <w:trHeight w:val="340"/>
          <w:jc w:val="center"/>
        </w:trPr>
        <w:tc>
          <w:tcPr>
            <w:tcW w:w="1533" w:type="pct"/>
            <w:shd w:val="clear" w:color="auto" w:fill="FFFFFF"/>
            <w:tcMar>
              <w:top w:w="0" w:type="dxa"/>
              <w:left w:w="108" w:type="dxa"/>
              <w:bottom w:w="0" w:type="dxa"/>
              <w:right w:w="108" w:type="dxa"/>
            </w:tcMar>
            <w:vAlign w:val="center"/>
          </w:tcPr>
          <w:p w14:paraId="41ECED2A" w14:textId="77777777" w:rsidR="0048506C" w:rsidRPr="00B4515A" w:rsidRDefault="0048506C" w:rsidP="0048506C">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合计</w:t>
            </w:r>
          </w:p>
        </w:tc>
        <w:tc>
          <w:tcPr>
            <w:tcW w:w="1453" w:type="pct"/>
            <w:shd w:val="clear" w:color="auto" w:fill="FFFFFF"/>
            <w:tcMar>
              <w:top w:w="0" w:type="dxa"/>
              <w:left w:w="108" w:type="dxa"/>
              <w:bottom w:w="0" w:type="dxa"/>
              <w:right w:w="108" w:type="dxa"/>
            </w:tcMar>
            <w:vAlign w:val="center"/>
          </w:tcPr>
          <w:p w14:paraId="39533568" w14:textId="6D4B58DD" w:rsidR="0048506C" w:rsidRPr="00B4515A" w:rsidRDefault="0048506C" w:rsidP="0048506C">
            <w:pPr>
              <w:adjustRightInd w:val="0"/>
              <w:snapToGrid w:val="0"/>
              <w:jc w:val="right"/>
              <w:rPr>
                <w:rFonts w:ascii="Times New Roman" w:hAnsi="Times New Roman" w:cs="Times New Roman"/>
                <w:b/>
                <w:bCs/>
                <w:color w:val="333333"/>
                <w:sz w:val="21"/>
                <w:szCs w:val="21"/>
              </w:rPr>
            </w:pPr>
            <w:r w:rsidRPr="00B4515A">
              <w:rPr>
                <w:rFonts w:ascii="Times New Roman" w:eastAsia="等线" w:hAnsi="Times New Roman" w:cs="Times New Roman"/>
                <w:b/>
                <w:bCs/>
                <w:color w:val="333333"/>
                <w:sz w:val="21"/>
                <w:szCs w:val="21"/>
              </w:rPr>
              <w:t>20,204.76</w:t>
            </w:r>
          </w:p>
        </w:tc>
        <w:tc>
          <w:tcPr>
            <w:tcW w:w="2014" w:type="pct"/>
            <w:shd w:val="clear" w:color="auto" w:fill="FFFFFF"/>
            <w:tcMar>
              <w:top w:w="0" w:type="dxa"/>
              <w:left w:w="108" w:type="dxa"/>
              <w:bottom w:w="0" w:type="dxa"/>
              <w:right w:w="108" w:type="dxa"/>
            </w:tcMar>
            <w:vAlign w:val="center"/>
          </w:tcPr>
          <w:p w14:paraId="4834A5C1" w14:textId="7E9D12F6" w:rsidR="0048506C" w:rsidRPr="00B4515A" w:rsidRDefault="0048506C" w:rsidP="0048506C">
            <w:pPr>
              <w:adjustRightInd w:val="0"/>
              <w:snapToGrid w:val="0"/>
              <w:jc w:val="right"/>
              <w:rPr>
                <w:rFonts w:ascii="Times New Roman" w:hAnsi="Times New Roman" w:cs="Times New Roman"/>
                <w:b/>
                <w:bCs/>
                <w:sz w:val="21"/>
                <w:szCs w:val="21"/>
              </w:rPr>
            </w:pPr>
            <w:r w:rsidRPr="00B4515A">
              <w:rPr>
                <w:rFonts w:ascii="Times New Roman" w:eastAsia="等线" w:hAnsi="Times New Roman" w:cs="Times New Roman"/>
                <w:b/>
                <w:bCs/>
                <w:color w:val="000000"/>
                <w:sz w:val="21"/>
                <w:szCs w:val="21"/>
              </w:rPr>
              <w:t>55.08%</w:t>
            </w:r>
          </w:p>
        </w:tc>
      </w:tr>
    </w:tbl>
    <w:p w14:paraId="5957A291" w14:textId="459F5AFE" w:rsidR="006416B0" w:rsidRPr="00B4515A" w:rsidRDefault="005E58C1" w:rsidP="00EE238F">
      <w:pPr>
        <w:pStyle w:val="006"/>
        <w:ind w:firstLine="420"/>
      </w:pPr>
      <w:r w:rsidRPr="00B4515A">
        <w:rPr>
          <w:rFonts w:hint="eastAsia"/>
        </w:rPr>
        <w:t>注：（</w:t>
      </w:r>
      <w:r w:rsidRPr="00B4515A">
        <w:t>1</w:t>
      </w:r>
      <w:r w:rsidRPr="00B4515A">
        <w:rPr>
          <w:rFonts w:hint="eastAsia"/>
        </w:rPr>
        <w:t>）</w:t>
      </w:r>
      <w:r w:rsidR="008A381C" w:rsidRPr="00B4515A">
        <w:rPr>
          <w:rFonts w:hint="eastAsia"/>
        </w:rPr>
        <w:t>客户</w:t>
      </w:r>
      <w:r w:rsidR="008A381C" w:rsidRPr="00B4515A">
        <w:t>Z</w:t>
      </w:r>
      <w:r w:rsidR="008A381C" w:rsidRPr="00B4515A">
        <w:rPr>
          <w:rFonts w:hint="eastAsia"/>
        </w:rPr>
        <w:t>、</w:t>
      </w:r>
      <w:r w:rsidR="0048506C" w:rsidRPr="00B4515A">
        <w:rPr>
          <w:rFonts w:hint="eastAsia"/>
        </w:rPr>
        <w:t>某航天科工集团下属企业、某电子科技集团下属企业</w:t>
      </w:r>
      <w:r w:rsidRPr="00B4515A">
        <w:rPr>
          <w:rFonts w:hint="eastAsia"/>
        </w:rPr>
        <w:t>分别为</w:t>
      </w:r>
      <w:r w:rsidR="00A008BA" w:rsidRPr="00B4515A">
        <w:rPr>
          <w:rFonts w:hint="eastAsia"/>
        </w:rPr>
        <w:t>同一控制下</w:t>
      </w:r>
      <w:r w:rsidR="00A008BA" w:rsidRPr="00B4515A">
        <w:t>企业</w:t>
      </w:r>
      <w:r w:rsidR="00A008BA" w:rsidRPr="00B4515A">
        <w:t>/</w:t>
      </w:r>
      <w:r w:rsidR="00A008BA" w:rsidRPr="00B4515A">
        <w:t>单位合并数据</w:t>
      </w:r>
      <w:r w:rsidRPr="00B4515A">
        <w:rPr>
          <w:rFonts w:hint="eastAsia"/>
        </w:rPr>
        <w:t>。（</w:t>
      </w:r>
      <w:r w:rsidRPr="00B4515A">
        <w:t>2</w:t>
      </w:r>
      <w:r w:rsidRPr="00B4515A">
        <w:rPr>
          <w:rFonts w:hint="eastAsia"/>
        </w:rPr>
        <w:t>）根据相关规定，公司申请豁免披露相关客户信息。</w:t>
      </w:r>
      <w:bookmarkEnd w:id="182"/>
    </w:p>
    <w:p w14:paraId="1204794F" w14:textId="77777777" w:rsidR="006416B0" w:rsidRPr="00B4515A" w:rsidRDefault="005E58C1" w:rsidP="005860B4">
      <w:pPr>
        <w:pStyle w:val="003"/>
        <w:spacing w:before="120"/>
        <w:ind w:firstLine="482"/>
      </w:pPr>
      <w:r w:rsidRPr="00B4515A">
        <w:rPr>
          <w:rFonts w:hint="eastAsia"/>
        </w:rPr>
        <w:t>（七）报告期内采购情况</w:t>
      </w:r>
    </w:p>
    <w:p w14:paraId="50AE7D00" w14:textId="77777777" w:rsidR="006416B0" w:rsidRPr="00B4515A" w:rsidRDefault="005E58C1" w:rsidP="005860B4">
      <w:pPr>
        <w:pStyle w:val="004"/>
        <w:spacing w:before="120" w:after="120"/>
        <w:ind w:firstLine="482"/>
      </w:pPr>
      <w:bookmarkStart w:id="184" w:name="_Hlk76931892"/>
      <w:r w:rsidRPr="00B4515A">
        <w:rPr>
          <w:rFonts w:hint="eastAsia"/>
        </w:rPr>
        <w:t>1</w:t>
      </w:r>
      <w:r w:rsidRPr="00B4515A">
        <w:rPr>
          <w:rFonts w:hint="eastAsia"/>
        </w:rPr>
        <w:t>、主要原材料及能源价格变动情况</w:t>
      </w:r>
    </w:p>
    <w:p w14:paraId="50FE56C5" w14:textId="77777777" w:rsidR="006416B0" w:rsidRPr="00B4515A" w:rsidRDefault="005E58C1" w:rsidP="005860B4">
      <w:pPr>
        <w:pStyle w:val="005"/>
        <w:spacing w:before="120" w:after="120"/>
        <w:ind w:firstLine="480"/>
      </w:pPr>
      <w:r w:rsidRPr="00B4515A">
        <w:rPr>
          <w:rFonts w:hint="eastAsia"/>
        </w:rPr>
        <w:t>报告期内，大唐联诚的原材料采购种类多，其型号、规格、类别及单价差异较大，按类别统计的采购均价会出现一定波动，可比性不强。</w:t>
      </w:r>
    </w:p>
    <w:p w14:paraId="4853A160" w14:textId="77777777" w:rsidR="006416B0" w:rsidRPr="00B4515A" w:rsidRDefault="005E58C1" w:rsidP="005860B4">
      <w:pPr>
        <w:pStyle w:val="005"/>
        <w:spacing w:before="120" w:after="120"/>
        <w:ind w:firstLine="480"/>
      </w:pPr>
      <w:r w:rsidRPr="00B4515A">
        <w:rPr>
          <w:rFonts w:hint="eastAsia"/>
        </w:rPr>
        <w:t>报告期内，大唐联诚的生产所需的主要能源为电力，主要能源价格变动情况如下：</w:t>
      </w:r>
    </w:p>
    <w:p w14:paraId="4B62C999" w14:textId="77777777" w:rsidR="006416B0" w:rsidRPr="00B4515A" w:rsidRDefault="005E58C1">
      <w:pPr>
        <w:keepNext/>
        <w:jc w:val="right"/>
        <w:rPr>
          <w:sz w:val="21"/>
          <w:szCs w:val="21"/>
        </w:rPr>
      </w:pPr>
      <w:r w:rsidRPr="00B4515A">
        <w:rPr>
          <w:rFonts w:hint="eastAsia"/>
          <w:sz w:val="21"/>
          <w:szCs w:val="21"/>
        </w:rPr>
        <w:t>单位：元/千瓦时</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4E35AF96" w14:textId="77777777" w:rsidTr="00031627">
        <w:trPr>
          <w:trHeight w:val="340"/>
          <w:jc w:val="center"/>
        </w:trPr>
        <w:tc>
          <w:tcPr>
            <w:tcW w:w="1250" w:type="pct"/>
            <w:tcMar>
              <w:top w:w="0" w:type="dxa"/>
              <w:left w:w="108" w:type="dxa"/>
              <w:bottom w:w="0" w:type="dxa"/>
              <w:right w:w="108" w:type="dxa"/>
            </w:tcMar>
            <w:vAlign w:val="center"/>
          </w:tcPr>
          <w:p w14:paraId="27DCD7BD"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地区</w:t>
            </w:r>
          </w:p>
        </w:tc>
        <w:tc>
          <w:tcPr>
            <w:tcW w:w="1250" w:type="pct"/>
            <w:tcMar>
              <w:top w:w="0" w:type="dxa"/>
              <w:left w:w="108" w:type="dxa"/>
              <w:bottom w:w="0" w:type="dxa"/>
              <w:right w:w="108" w:type="dxa"/>
            </w:tcMar>
            <w:vAlign w:val="center"/>
          </w:tcPr>
          <w:p w14:paraId="5E4D2960" w14:textId="77777777" w:rsidR="006416B0" w:rsidRPr="00B4515A" w:rsidRDefault="005E58C1" w:rsidP="005860B4">
            <w:pPr>
              <w:widowControl w:val="0"/>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hint="eastAsia"/>
                <w:b/>
                <w:bCs/>
                <w:sz w:val="21"/>
                <w:szCs w:val="21"/>
              </w:rPr>
              <w:t>年</w:t>
            </w:r>
            <w:r w:rsidRPr="00B4515A">
              <w:rPr>
                <w:rFonts w:ascii="Times New Roman" w:hAnsi="Times New Roman" w:cs="Times New Roman"/>
                <w:b/>
                <w:bCs/>
                <w:sz w:val="21"/>
                <w:szCs w:val="21"/>
              </w:rPr>
              <w:t>1-4</w:t>
            </w:r>
            <w:r w:rsidRPr="00B4515A">
              <w:rPr>
                <w:rFonts w:ascii="Times New Roman" w:hAnsi="Times New Roman" w:cs="Times New Roman" w:hint="eastAsia"/>
                <w:b/>
                <w:bCs/>
                <w:sz w:val="21"/>
                <w:szCs w:val="21"/>
              </w:rPr>
              <w:t>月</w:t>
            </w:r>
          </w:p>
        </w:tc>
        <w:tc>
          <w:tcPr>
            <w:tcW w:w="1250" w:type="pct"/>
            <w:tcMar>
              <w:top w:w="0" w:type="dxa"/>
              <w:left w:w="108" w:type="dxa"/>
              <w:bottom w:w="0" w:type="dxa"/>
              <w:right w:w="108" w:type="dxa"/>
            </w:tcMar>
            <w:vAlign w:val="center"/>
          </w:tcPr>
          <w:p w14:paraId="51393F29" w14:textId="77777777" w:rsidR="006416B0" w:rsidRPr="00B4515A" w:rsidRDefault="005E58C1" w:rsidP="005860B4">
            <w:pPr>
              <w:widowControl w:val="0"/>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2020</w:t>
            </w:r>
            <w:r w:rsidRPr="00B4515A">
              <w:rPr>
                <w:rFonts w:ascii="Times New Roman" w:hAnsi="Times New Roman" w:cs="Times New Roman" w:hint="eastAsia"/>
                <w:b/>
                <w:bCs/>
                <w:sz w:val="21"/>
                <w:szCs w:val="21"/>
              </w:rPr>
              <w:t>年度</w:t>
            </w:r>
          </w:p>
        </w:tc>
        <w:tc>
          <w:tcPr>
            <w:tcW w:w="1250" w:type="pct"/>
            <w:tcMar>
              <w:top w:w="0" w:type="dxa"/>
              <w:left w:w="108" w:type="dxa"/>
              <w:bottom w:w="0" w:type="dxa"/>
              <w:right w:w="108" w:type="dxa"/>
            </w:tcMar>
            <w:vAlign w:val="center"/>
          </w:tcPr>
          <w:p w14:paraId="1C38E854" w14:textId="77777777" w:rsidR="006416B0" w:rsidRPr="00B4515A" w:rsidRDefault="005E58C1" w:rsidP="005860B4">
            <w:pPr>
              <w:widowControl w:val="0"/>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2019</w:t>
            </w:r>
            <w:r w:rsidRPr="00B4515A">
              <w:rPr>
                <w:rFonts w:ascii="Times New Roman" w:hAnsi="Times New Roman" w:cs="Times New Roman" w:hint="eastAsia"/>
                <w:b/>
                <w:bCs/>
                <w:sz w:val="21"/>
                <w:szCs w:val="21"/>
              </w:rPr>
              <w:t>年度</w:t>
            </w:r>
          </w:p>
        </w:tc>
      </w:tr>
      <w:tr w:rsidR="006416B0" w:rsidRPr="00B4515A" w14:paraId="0A97E133" w14:textId="77777777" w:rsidTr="00031627">
        <w:trPr>
          <w:trHeight w:val="340"/>
          <w:jc w:val="center"/>
        </w:trPr>
        <w:tc>
          <w:tcPr>
            <w:tcW w:w="1250" w:type="pct"/>
            <w:tcMar>
              <w:top w:w="0" w:type="dxa"/>
              <w:left w:w="108" w:type="dxa"/>
              <w:bottom w:w="0" w:type="dxa"/>
              <w:right w:w="108" w:type="dxa"/>
            </w:tcMar>
            <w:vAlign w:val="center"/>
          </w:tcPr>
          <w:p w14:paraId="7C9DFBDC"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西安地区</w:t>
            </w:r>
          </w:p>
        </w:tc>
        <w:tc>
          <w:tcPr>
            <w:tcW w:w="1250" w:type="pct"/>
            <w:tcMar>
              <w:top w:w="0" w:type="dxa"/>
              <w:left w:w="108" w:type="dxa"/>
              <w:bottom w:w="0" w:type="dxa"/>
              <w:right w:w="108" w:type="dxa"/>
            </w:tcMar>
            <w:vAlign w:val="center"/>
          </w:tcPr>
          <w:p w14:paraId="53D4161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0.89</w:t>
            </w:r>
          </w:p>
        </w:tc>
        <w:tc>
          <w:tcPr>
            <w:tcW w:w="1250" w:type="pct"/>
            <w:tcMar>
              <w:top w:w="0" w:type="dxa"/>
              <w:left w:w="108" w:type="dxa"/>
              <w:bottom w:w="0" w:type="dxa"/>
              <w:right w:w="108" w:type="dxa"/>
            </w:tcMar>
            <w:vAlign w:val="center"/>
          </w:tcPr>
          <w:p w14:paraId="0A6145A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0.88</w:t>
            </w:r>
          </w:p>
        </w:tc>
        <w:tc>
          <w:tcPr>
            <w:tcW w:w="1250" w:type="pct"/>
            <w:tcMar>
              <w:top w:w="0" w:type="dxa"/>
              <w:left w:w="108" w:type="dxa"/>
              <w:bottom w:w="0" w:type="dxa"/>
              <w:right w:w="108" w:type="dxa"/>
            </w:tcMar>
            <w:vAlign w:val="center"/>
          </w:tcPr>
          <w:p w14:paraId="50B9FFD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0.86</w:t>
            </w:r>
          </w:p>
        </w:tc>
      </w:tr>
    </w:tbl>
    <w:p w14:paraId="7FA7270F" w14:textId="77777777" w:rsidR="006416B0" w:rsidRPr="00B4515A" w:rsidRDefault="005E58C1" w:rsidP="006100BC">
      <w:pPr>
        <w:pStyle w:val="006"/>
        <w:ind w:firstLine="420"/>
      </w:pPr>
      <w:r w:rsidRPr="00B4515A">
        <w:rPr>
          <w:rFonts w:hint="eastAsia"/>
        </w:rPr>
        <w:t>注：大唐联诚共有北京、上海和西安三处办公场所，其中西安为主要的生产地。</w:t>
      </w:r>
    </w:p>
    <w:p w14:paraId="4A9259DE" w14:textId="77777777" w:rsidR="006416B0" w:rsidRPr="00B4515A" w:rsidRDefault="005E58C1" w:rsidP="006100BC">
      <w:pPr>
        <w:pStyle w:val="004"/>
        <w:spacing w:before="120" w:after="120"/>
        <w:ind w:firstLine="482"/>
      </w:pPr>
      <w:r w:rsidRPr="00B4515A">
        <w:rPr>
          <w:rFonts w:hint="eastAsia"/>
        </w:rPr>
        <w:t>2</w:t>
      </w:r>
      <w:r w:rsidRPr="00B4515A">
        <w:rPr>
          <w:rFonts w:hint="eastAsia"/>
        </w:rPr>
        <w:t>、主要原材料占主营业务</w:t>
      </w:r>
      <w:r w:rsidRPr="00B4515A">
        <w:rPr>
          <w:rFonts w:hint="eastAsia"/>
          <w:color w:val="000000"/>
        </w:rPr>
        <w:t>成本</w:t>
      </w:r>
      <w:r w:rsidRPr="00B4515A">
        <w:rPr>
          <w:rFonts w:hint="eastAsia"/>
        </w:rPr>
        <w:t>的比重</w:t>
      </w:r>
    </w:p>
    <w:p w14:paraId="6B8E7762" w14:textId="77777777" w:rsidR="006416B0" w:rsidRPr="00B4515A" w:rsidRDefault="005E58C1" w:rsidP="005860B4">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3523"/>
        <w:gridCol w:w="1625"/>
        <w:gridCol w:w="1625"/>
        <w:gridCol w:w="1755"/>
      </w:tblGrid>
      <w:tr w:rsidR="006416B0" w:rsidRPr="00B4515A" w14:paraId="0466A317" w14:textId="77777777" w:rsidTr="00031627">
        <w:trPr>
          <w:trHeight w:val="340"/>
          <w:jc w:val="center"/>
        </w:trPr>
        <w:tc>
          <w:tcPr>
            <w:tcW w:w="2065" w:type="pct"/>
            <w:shd w:val="clear" w:color="auto" w:fill="FFFFFF"/>
            <w:tcMar>
              <w:top w:w="0" w:type="dxa"/>
              <w:left w:w="108" w:type="dxa"/>
              <w:bottom w:w="0" w:type="dxa"/>
              <w:right w:w="108" w:type="dxa"/>
            </w:tcMar>
            <w:vAlign w:val="center"/>
          </w:tcPr>
          <w:p w14:paraId="5386CD5B"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项目</w:t>
            </w:r>
          </w:p>
        </w:tc>
        <w:tc>
          <w:tcPr>
            <w:tcW w:w="953" w:type="pct"/>
            <w:shd w:val="clear" w:color="auto" w:fill="FFFFFF"/>
            <w:tcMar>
              <w:top w:w="0" w:type="dxa"/>
              <w:left w:w="108" w:type="dxa"/>
              <w:bottom w:w="0" w:type="dxa"/>
              <w:right w:w="108" w:type="dxa"/>
            </w:tcMar>
            <w:vAlign w:val="center"/>
          </w:tcPr>
          <w:p w14:paraId="7581057B"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2021</w:t>
            </w:r>
            <w:r w:rsidRPr="00B4515A">
              <w:rPr>
                <w:rFonts w:ascii="Times New Roman" w:hAnsi="Times New Roman" w:cs="Times New Roman"/>
                <w:b/>
                <w:bCs/>
                <w:color w:val="333333"/>
                <w:sz w:val="21"/>
                <w:szCs w:val="21"/>
              </w:rPr>
              <w:t>年</w:t>
            </w:r>
            <w:r w:rsidRPr="00B4515A">
              <w:rPr>
                <w:rFonts w:ascii="Times New Roman" w:hAnsi="Times New Roman" w:cs="Times New Roman"/>
                <w:b/>
                <w:bCs/>
                <w:color w:val="333333"/>
                <w:sz w:val="21"/>
                <w:szCs w:val="21"/>
              </w:rPr>
              <w:t>1-4</w:t>
            </w:r>
            <w:r w:rsidRPr="00B4515A">
              <w:rPr>
                <w:rFonts w:ascii="Times New Roman" w:hAnsi="Times New Roman" w:cs="Times New Roman"/>
                <w:b/>
                <w:bCs/>
                <w:color w:val="333333"/>
                <w:sz w:val="21"/>
                <w:szCs w:val="21"/>
              </w:rPr>
              <w:t>月</w:t>
            </w:r>
          </w:p>
        </w:tc>
        <w:tc>
          <w:tcPr>
            <w:tcW w:w="953" w:type="pct"/>
            <w:shd w:val="clear" w:color="auto" w:fill="FFFFFF"/>
            <w:tcMar>
              <w:top w:w="0" w:type="dxa"/>
              <w:left w:w="108" w:type="dxa"/>
              <w:bottom w:w="0" w:type="dxa"/>
              <w:right w:w="108" w:type="dxa"/>
            </w:tcMar>
            <w:vAlign w:val="center"/>
          </w:tcPr>
          <w:p w14:paraId="71BC2F53"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2020</w:t>
            </w:r>
            <w:r w:rsidRPr="00B4515A">
              <w:rPr>
                <w:rFonts w:ascii="Times New Roman" w:hAnsi="Times New Roman" w:cs="Times New Roman"/>
                <w:b/>
                <w:bCs/>
                <w:color w:val="333333"/>
                <w:sz w:val="21"/>
                <w:szCs w:val="21"/>
              </w:rPr>
              <w:t>年度</w:t>
            </w:r>
          </w:p>
        </w:tc>
        <w:tc>
          <w:tcPr>
            <w:tcW w:w="1029" w:type="pct"/>
            <w:shd w:val="clear" w:color="auto" w:fill="FFFFFF"/>
            <w:tcMar>
              <w:top w:w="0" w:type="dxa"/>
              <w:left w:w="108" w:type="dxa"/>
              <w:bottom w:w="0" w:type="dxa"/>
              <w:right w:w="108" w:type="dxa"/>
            </w:tcMar>
            <w:vAlign w:val="center"/>
          </w:tcPr>
          <w:p w14:paraId="5B7075DE"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2019</w:t>
            </w:r>
            <w:r w:rsidRPr="00B4515A">
              <w:rPr>
                <w:rFonts w:ascii="Times New Roman" w:hAnsi="Times New Roman" w:cs="Times New Roman"/>
                <w:b/>
                <w:bCs/>
                <w:color w:val="333333"/>
                <w:sz w:val="21"/>
                <w:szCs w:val="21"/>
              </w:rPr>
              <w:t>年度</w:t>
            </w:r>
          </w:p>
        </w:tc>
      </w:tr>
      <w:tr w:rsidR="006416B0" w:rsidRPr="00B4515A" w14:paraId="72E65D20" w14:textId="77777777" w:rsidTr="00031627">
        <w:trPr>
          <w:trHeight w:val="340"/>
          <w:jc w:val="center"/>
        </w:trPr>
        <w:tc>
          <w:tcPr>
            <w:tcW w:w="2065" w:type="pct"/>
            <w:shd w:val="clear" w:color="auto" w:fill="FFFFFF"/>
            <w:tcMar>
              <w:top w:w="0" w:type="dxa"/>
              <w:left w:w="108" w:type="dxa"/>
              <w:bottom w:w="0" w:type="dxa"/>
              <w:right w:w="108" w:type="dxa"/>
            </w:tcMar>
            <w:vAlign w:val="center"/>
          </w:tcPr>
          <w:p w14:paraId="708B49D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原材料</w:t>
            </w:r>
            <w:r w:rsidRPr="00B4515A">
              <w:rPr>
                <w:rFonts w:ascii="Times New Roman" w:hAnsi="Times New Roman" w:cs="Times New Roman" w:hint="eastAsia"/>
                <w:color w:val="333333"/>
                <w:sz w:val="21"/>
                <w:szCs w:val="21"/>
              </w:rPr>
              <w:t>成本</w:t>
            </w:r>
          </w:p>
        </w:tc>
        <w:tc>
          <w:tcPr>
            <w:tcW w:w="953" w:type="pct"/>
            <w:shd w:val="clear" w:color="auto" w:fill="FFFFFF"/>
            <w:tcMar>
              <w:top w:w="0" w:type="dxa"/>
              <w:left w:w="108" w:type="dxa"/>
              <w:bottom w:w="0" w:type="dxa"/>
              <w:right w:w="108" w:type="dxa"/>
            </w:tcMar>
            <w:vAlign w:val="center"/>
          </w:tcPr>
          <w:p w14:paraId="2A9DE9C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4,230.18 </w:t>
            </w:r>
          </w:p>
        </w:tc>
        <w:tc>
          <w:tcPr>
            <w:tcW w:w="953" w:type="pct"/>
            <w:shd w:val="clear" w:color="auto" w:fill="FFFFFF"/>
            <w:tcMar>
              <w:top w:w="0" w:type="dxa"/>
              <w:left w:w="108" w:type="dxa"/>
              <w:bottom w:w="0" w:type="dxa"/>
              <w:right w:w="108" w:type="dxa"/>
            </w:tcMar>
            <w:vAlign w:val="center"/>
          </w:tcPr>
          <w:p w14:paraId="071E0AD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25,950.23</w:t>
            </w:r>
          </w:p>
        </w:tc>
        <w:tc>
          <w:tcPr>
            <w:tcW w:w="1029" w:type="pct"/>
            <w:shd w:val="clear" w:color="auto" w:fill="FFFFFF"/>
            <w:tcMar>
              <w:top w:w="0" w:type="dxa"/>
              <w:left w:w="108" w:type="dxa"/>
              <w:bottom w:w="0" w:type="dxa"/>
              <w:right w:w="108" w:type="dxa"/>
            </w:tcMar>
            <w:vAlign w:val="center"/>
          </w:tcPr>
          <w:p w14:paraId="2693105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15,182.66 </w:t>
            </w:r>
          </w:p>
        </w:tc>
      </w:tr>
      <w:tr w:rsidR="006416B0" w:rsidRPr="00B4515A" w14:paraId="4C9F59BB" w14:textId="77777777" w:rsidTr="00031627">
        <w:trPr>
          <w:trHeight w:val="340"/>
          <w:jc w:val="center"/>
        </w:trPr>
        <w:tc>
          <w:tcPr>
            <w:tcW w:w="2065" w:type="pct"/>
            <w:shd w:val="clear" w:color="auto" w:fill="FFFFFF"/>
            <w:tcMar>
              <w:top w:w="0" w:type="dxa"/>
              <w:left w:w="108" w:type="dxa"/>
              <w:bottom w:w="0" w:type="dxa"/>
              <w:right w:w="108" w:type="dxa"/>
            </w:tcMar>
            <w:vAlign w:val="center"/>
          </w:tcPr>
          <w:p w14:paraId="0A8F8313" w14:textId="005D5BE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营业成本</w:t>
            </w:r>
          </w:p>
        </w:tc>
        <w:tc>
          <w:tcPr>
            <w:tcW w:w="953" w:type="pct"/>
            <w:shd w:val="clear" w:color="auto" w:fill="FFFFFF"/>
            <w:tcMar>
              <w:top w:w="0" w:type="dxa"/>
              <w:left w:w="108" w:type="dxa"/>
              <w:bottom w:w="0" w:type="dxa"/>
              <w:right w:w="108" w:type="dxa"/>
            </w:tcMar>
            <w:vAlign w:val="center"/>
          </w:tcPr>
          <w:p w14:paraId="3EA4197D"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5,027.65 </w:t>
            </w:r>
          </w:p>
        </w:tc>
        <w:tc>
          <w:tcPr>
            <w:tcW w:w="953" w:type="pct"/>
            <w:shd w:val="clear" w:color="auto" w:fill="FFFFFF"/>
            <w:tcMar>
              <w:top w:w="0" w:type="dxa"/>
              <w:left w:w="108" w:type="dxa"/>
              <w:bottom w:w="0" w:type="dxa"/>
              <w:right w:w="108" w:type="dxa"/>
            </w:tcMar>
            <w:vAlign w:val="center"/>
          </w:tcPr>
          <w:p w14:paraId="3872A2FB"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28,085.97</w:t>
            </w:r>
          </w:p>
        </w:tc>
        <w:tc>
          <w:tcPr>
            <w:tcW w:w="1029" w:type="pct"/>
            <w:shd w:val="clear" w:color="auto" w:fill="FFFFFF"/>
            <w:tcMar>
              <w:top w:w="0" w:type="dxa"/>
              <w:left w:w="108" w:type="dxa"/>
              <w:bottom w:w="0" w:type="dxa"/>
              <w:right w:w="108" w:type="dxa"/>
            </w:tcMar>
            <w:vAlign w:val="center"/>
          </w:tcPr>
          <w:p w14:paraId="20E35778"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17,226.00 </w:t>
            </w:r>
          </w:p>
        </w:tc>
      </w:tr>
      <w:tr w:rsidR="006416B0" w:rsidRPr="00B4515A" w14:paraId="4CF15F1D" w14:textId="77777777" w:rsidTr="00031627">
        <w:trPr>
          <w:trHeight w:val="340"/>
          <w:jc w:val="center"/>
        </w:trPr>
        <w:tc>
          <w:tcPr>
            <w:tcW w:w="2065" w:type="pct"/>
            <w:shd w:val="clear" w:color="auto" w:fill="FFFFFF"/>
            <w:tcMar>
              <w:top w:w="0" w:type="dxa"/>
              <w:left w:w="108" w:type="dxa"/>
              <w:bottom w:w="0" w:type="dxa"/>
              <w:right w:w="108" w:type="dxa"/>
            </w:tcMar>
            <w:vAlign w:val="center"/>
          </w:tcPr>
          <w:p w14:paraId="18422B2F"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占比</w:t>
            </w:r>
          </w:p>
        </w:tc>
        <w:tc>
          <w:tcPr>
            <w:tcW w:w="953" w:type="pct"/>
            <w:shd w:val="clear" w:color="auto" w:fill="FFFFFF"/>
            <w:tcMar>
              <w:top w:w="0" w:type="dxa"/>
              <w:left w:w="108" w:type="dxa"/>
              <w:bottom w:w="0" w:type="dxa"/>
              <w:right w:w="108" w:type="dxa"/>
            </w:tcMar>
            <w:vAlign w:val="center"/>
          </w:tcPr>
          <w:p w14:paraId="3D7F7228" w14:textId="77777777" w:rsidR="006416B0" w:rsidRPr="00B4515A" w:rsidRDefault="005E58C1" w:rsidP="005860B4">
            <w:pPr>
              <w:adjustRightInd w:val="0"/>
              <w:snapToGrid w:val="0"/>
              <w:jc w:val="right"/>
              <w:rPr>
                <w:rFonts w:ascii="Times New Roman" w:hAnsi="Times New Roman" w:cs="Times New Roman"/>
                <w:b/>
                <w:bCs/>
                <w:color w:val="333333"/>
                <w:sz w:val="21"/>
                <w:szCs w:val="21"/>
              </w:rPr>
            </w:pPr>
            <w:r w:rsidRPr="00B4515A">
              <w:rPr>
                <w:rFonts w:ascii="Times New Roman" w:hAnsi="Times New Roman" w:cs="Times New Roman"/>
                <w:b/>
                <w:sz w:val="21"/>
                <w:szCs w:val="21"/>
              </w:rPr>
              <w:t>84.14%</w:t>
            </w:r>
          </w:p>
        </w:tc>
        <w:tc>
          <w:tcPr>
            <w:tcW w:w="953" w:type="pct"/>
            <w:shd w:val="clear" w:color="auto" w:fill="FFFFFF"/>
            <w:tcMar>
              <w:top w:w="0" w:type="dxa"/>
              <w:left w:w="108" w:type="dxa"/>
              <w:bottom w:w="0" w:type="dxa"/>
              <w:right w:w="108" w:type="dxa"/>
            </w:tcMar>
            <w:vAlign w:val="center"/>
          </w:tcPr>
          <w:p w14:paraId="5D4B3854" w14:textId="77777777" w:rsidR="006416B0" w:rsidRPr="00B4515A" w:rsidRDefault="005E58C1" w:rsidP="005860B4">
            <w:pPr>
              <w:adjustRightInd w:val="0"/>
              <w:snapToGrid w:val="0"/>
              <w:jc w:val="right"/>
              <w:rPr>
                <w:rFonts w:ascii="Times New Roman" w:hAnsi="Times New Roman" w:cs="Times New Roman"/>
                <w:b/>
                <w:bCs/>
                <w:color w:val="333333"/>
                <w:sz w:val="21"/>
                <w:szCs w:val="21"/>
              </w:rPr>
            </w:pPr>
            <w:r w:rsidRPr="00B4515A">
              <w:rPr>
                <w:rFonts w:ascii="Times New Roman" w:hAnsi="Times New Roman" w:cs="Times New Roman"/>
                <w:b/>
                <w:sz w:val="21"/>
                <w:szCs w:val="21"/>
              </w:rPr>
              <w:t>92.40%</w:t>
            </w:r>
          </w:p>
        </w:tc>
        <w:tc>
          <w:tcPr>
            <w:tcW w:w="1029" w:type="pct"/>
            <w:shd w:val="clear" w:color="auto" w:fill="FFFFFF"/>
            <w:tcMar>
              <w:top w:w="0" w:type="dxa"/>
              <w:left w:w="108" w:type="dxa"/>
              <w:bottom w:w="0" w:type="dxa"/>
              <w:right w:w="108" w:type="dxa"/>
            </w:tcMar>
            <w:vAlign w:val="center"/>
          </w:tcPr>
          <w:p w14:paraId="29BCD984" w14:textId="77777777" w:rsidR="006416B0" w:rsidRPr="00B4515A" w:rsidRDefault="005E58C1" w:rsidP="005860B4">
            <w:pPr>
              <w:adjustRightInd w:val="0"/>
              <w:snapToGrid w:val="0"/>
              <w:jc w:val="right"/>
              <w:rPr>
                <w:rFonts w:ascii="Times New Roman" w:hAnsi="Times New Roman" w:cs="Times New Roman"/>
                <w:b/>
                <w:bCs/>
                <w:color w:val="333333"/>
                <w:sz w:val="21"/>
                <w:szCs w:val="21"/>
              </w:rPr>
            </w:pPr>
            <w:r w:rsidRPr="00B4515A">
              <w:rPr>
                <w:rFonts w:ascii="Times New Roman" w:hAnsi="Times New Roman" w:cs="Times New Roman"/>
                <w:b/>
                <w:sz w:val="21"/>
                <w:szCs w:val="21"/>
              </w:rPr>
              <w:t>88.14%</w:t>
            </w:r>
          </w:p>
        </w:tc>
      </w:tr>
    </w:tbl>
    <w:p w14:paraId="62DAC448" w14:textId="1A2A2740" w:rsidR="006416B0" w:rsidRPr="00B4515A" w:rsidRDefault="005E58C1" w:rsidP="005860B4">
      <w:pPr>
        <w:pStyle w:val="005"/>
        <w:spacing w:before="120" w:after="120"/>
        <w:ind w:firstLine="480"/>
      </w:pPr>
      <w:r w:rsidRPr="00B4515A">
        <w:rPr>
          <w:rFonts w:hint="eastAsia"/>
        </w:rPr>
        <w:t>报告期内，直接材料是大唐联诚营业成本的主要组成部分。大唐联诚主要原材料包括模块部件类、整机件、电子元器件、组装件和结构件等。</w:t>
      </w:r>
    </w:p>
    <w:p w14:paraId="7DA8FBCF" w14:textId="77777777" w:rsidR="006416B0" w:rsidRPr="00B4515A" w:rsidRDefault="005E58C1" w:rsidP="005860B4">
      <w:pPr>
        <w:pStyle w:val="004"/>
        <w:spacing w:before="120" w:after="120"/>
        <w:ind w:firstLine="482"/>
      </w:pPr>
      <w:r w:rsidRPr="00B4515A">
        <w:rPr>
          <w:rFonts w:hint="eastAsia"/>
        </w:rPr>
        <w:t>3</w:t>
      </w:r>
      <w:r w:rsidRPr="00B4515A">
        <w:rPr>
          <w:rFonts w:hint="eastAsia"/>
        </w:rPr>
        <w:t>、报告期内前五名供应商原材料采购情况</w:t>
      </w:r>
    </w:p>
    <w:p w14:paraId="56D1257D" w14:textId="77777777" w:rsidR="006416B0" w:rsidRPr="00B4515A" w:rsidRDefault="005E58C1" w:rsidP="005860B4">
      <w:pPr>
        <w:pStyle w:val="005"/>
        <w:spacing w:before="120" w:after="120"/>
        <w:ind w:firstLine="480"/>
      </w:pPr>
      <w:r w:rsidRPr="00B4515A">
        <w:rPr>
          <w:rFonts w:hint="eastAsia"/>
        </w:rPr>
        <w:t>2</w:t>
      </w:r>
      <w:r w:rsidRPr="00B4515A">
        <w:t>021</w:t>
      </w:r>
      <w:r w:rsidRPr="00B4515A">
        <w:rPr>
          <w:rFonts w:hint="eastAsia"/>
        </w:rPr>
        <w:t>年</w:t>
      </w:r>
      <w:r w:rsidRPr="00B4515A">
        <w:rPr>
          <w:rFonts w:hint="eastAsia"/>
        </w:rPr>
        <w:t>1-</w:t>
      </w:r>
      <w:r w:rsidRPr="00B4515A">
        <w:t>4</w:t>
      </w:r>
      <w:r w:rsidRPr="00B4515A">
        <w:rPr>
          <w:rFonts w:hint="eastAsia"/>
        </w:rPr>
        <w:t>月前五名供应原材料采购金额</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3832"/>
        <w:gridCol w:w="1653"/>
        <w:gridCol w:w="1653"/>
        <w:gridCol w:w="1390"/>
      </w:tblGrid>
      <w:tr w:rsidR="006416B0" w:rsidRPr="00B4515A" w14:paraId="5D0919FA" w14:textId="77777777" w:rsidTr="005860B4">
        <w:trPr>
          <w:trHeight w:val="340"/>
          <w:tblHeader/>
          <w:jc w:val="center"/>
        </w:trPr>
        <w:tc>
          <w:tcPr>
            <w:tcW w:w="2246" w:type="pct"/>
            <w:shd w:val="clear" w:color="auto" w:fill="FFFFFF"/>
            <w:tcMar>
              <w:top w:w="0" w:type="dxa"/>
              <w:left w:w="108" w:type="dxa"/>
              <w:bottom w:w="0" w:type="dxa"/>
              <w:right w:w="108" w:type="dxa"/>
            </w:tcMar>
            <w:vAlign w:val="center"/>
          </w:tcPr>
          <w:p w14:paraId="30981ED4"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bookmarkStart w:id="185" w:name="_Hlk78555645"/>
            <w:r w:rsidRPr="00B4515A">
              <w:rPr>
                <w:rFonts w:ascii="Times New Roman" w:hAnsi="Times New Roman" w:cs="Times New Roman"/>
                <w:b/>
                <w:bCs/>
                <w:color w:val="333333"/>
                <w:sz w:val="21"/>
                <w:szCs w:val="21"/>
              </w:rPr>
              <w:lastRenderedPageBreak/>
              <w:t>供应商名称</w:t>
            </w:r>
          </w:p>
        </w:tc>
        <w:tc>
          <w:tcPr>
            <w:tcW w:w="969" w:type="pct"/>
            <w:shd w:val="clear" w:color="auto" w:fill="FFFFFF"/>
            <w:tcMar>
              <w:top w:w="0" w:type="dxa"/>
              <w:left w:w="108" w:type="dxa"/>
              <w:bottom w:w="0" w:type="dxa"/>
              <w:right w:w="108" w:type="dxa"/>
            </w:tcMar>
            <w:vAlign w:val="center"/>
          </w:tcPr>
          <w:p w14:paraId="56E36C80"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采购内容</w:t>
            </w:r>
          </w:p>
        </w:tc>
        <w:tc>
          <w:tcPr>
            <w:tcW w:w="969" w:type="pct"/>
            <w:shd w:val="clear" w:color="auto" w:fill="FFFFFF"/>
            <w:tcMar>
              <w:top w:w="0" w:type="dxa"/>
              <w:left w:w="108" w:type="dxa"/>
              <w:bottom w:w="0" w:type="dxa"/>
              <w:right w:w="108" w:type="dxa"/>
            </w:tcMar>
            <w:vAlign w:val="center"/>
          </w:tcPr>
          <w:p w14:paraId="03A4D0A5" w14:textId="77777777" w:rsidR="005860B4"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采购金额</w:t>
            </w:r>
          </w:p>
          <w:p w14:paraId="6DC66142" w14:textId="64E506EE"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（万元）</w:t>
            </w:r>
          </w:p>
        </w:tc>
        <w:tc>
          <w:tcPr>
            <w:tcW w:w="815" w:type="pct"/>
            <w:shd w:val="clear" w:color="auto" w:fill="FFFFFF"/>
            <w:tcMar>
              <w:top w:w="0" w:type="dxa"/>
              <w:left w:w="108" w:type="dxa"/>
              <w:bottom w:w="0" w:type="dxa"/>
              <w:right w:w="108" w:type="dxa"/>
            </w:tcMar>
            <w:vAlign w:val="center"/>
          </w:tcPr>
          <w:p w14:paraId="6E8E1D5B"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占比</w:t>
            </w:r>
          </w:p>
        </w:tc>
      </w:tr>
      <w:tr w:rsidR="006416B0" w:rsidRPr="00B4515A" w14:paraId="590E353A"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413677A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上海瀚讯信息技术股份有限公司</w:t>
            </w:r>
          </w:p>
        </w:tc>
        <w:tc>
          <w:tcPr>
            <w:tcW w:w="969" w:type="pct"/>
            <w:shd w:val="clear" w:color="auto" w:fill="FFFFFF"/>
            <w:tcMar>
              <w:top w:w="0" w:type="dxa"/>
              <w:left w:w="108" w:type="dxa"/>
              <w:bottom w:w="0" w:type="dxa"/>
              <w:right w:w="108" w:type="dxa"/>
            </w:tcMar>
            <w:vAlign w:val="center"/>
          </w:tcPr>
          <w:p w14:paraId="6198B707"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模块部件类</w:t>
            </w:r>
          </w:p>
        </w:tc>
        <w:tc>
          <w:tcPr>
            <w:tcW w:w="969" w:type="pct"/>
            <w:shd w:val="clear" w:color="auto" w:fill="FFFFFF"/>
            <w:tcMar>
              <w:top w:w="0" w:type="dxa"/>
              <w:left w:w="108" w:type="dxa"/>
              <w:bottom w:w="0" w:type="dxa"/>
              <w:right w:w="108" w:type="dxa"/>
            </w:tcMar>
            <w:vAlign w:val="center"/>
          </w:tcPr>
          <w:p w14:paraId="3AB26953"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1,054.87</w:t>
            </w:r>
          </w:p>
        </w:tc>
        <w:tc>
          <w:tcPr>
            <w:tcW w:w="815" w:type="pct"/>
            <w:shd w:val="clear" w:color="auto" w:fill="FFFFFF"/>
            <w:tcMar>
              <w:top w:w="0" w:type="dxa"/>
              <w:left w:w="108" w:type="dxa"/>
              <w:bottom w:w="0" w:type="dxa"/>
              <w:right w:w="108" w:type="dxa"/>
            </w:tcMar>
            <w:vAlign w:val="center"/>
          </w:tcPr>
          <w:p w14:paraId="697F7090" w14:textId="2442488A"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15.43%</w:t>
            </w:r>
          </w:p>
        </w:tc>
      </w:tr>
      <w:tr w:rsidR="006416B0" w:rsidRPr="00B4515A" w14:paraId="493D7276"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29EDD9C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北京威克特科技有限公司</w:t>
            </w:r>
          </w:p>
        </w:tc>
        <w:tc>
          <w:tcPr>
            <w:tcW w:w="969" w:type="pct"/>
            <w:shd w:val="clear" w:color="auto" w:fill="FFFFFF"/>
            <w:tcMar>
              <w:top w:w="0" w:type="dxa"/>
              <w:left w:w="108" w:type="dxa"/>
              <w:bottom w:w="0" w:type="dxa"/>
              <w:right w:w="108" w:type="dxa"/>
            </w:tcMar>
            <w:vAlign w:val="center"/>
          </w:tcPr>
          <w:p w14:paraId="24C87BAA" w14:textId="77777777" w:rsidR="006416B0" w:rsidRPr="00B4515A" w:rsidRDefault="005E58C1" w:rsidP="00EE238F">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电子元器件类、模块部件类、组装件</w:t>
            </w:r>
          </w:p>
        </w:tc>
        <w:tc>
          <w:tcPr>
            <w:tcW w:w="969" w:type="pct"/>
            <w:shd w:val="clear" w:color="auto" w:fill="FFFFFF"/>
            <w:tcMar>
              <w:top w:w="0" w:type="dxa"/>
              <w:left w:w="108" w:type="dxa"/>
              <w:bottom w:w="0" w:type="dxa"/>
              <w:right w:w="108" w:type="dxa"/>
            </w:tcMar>
            <w:vAlign w:val="center"/>
          </w:tcPr>
          <w:p w14:paraId="3A3CF077"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570.84</w:t>
            </w:r>
          </w:p>
        </w:tc>
        <w:tc>
          <w:tcPr>
            <w:tcW w:w="815" w:type="pct"/>
            <w:shd w:val="clear" w:color="auto" w:fill="FFFFFF"/>
            <w:tcMar>
              <w:top w:w="0" w:type="dxa"/>
              <w:left w:w="108" w:type="dxa"/>
              <w:bottom w:w="0" w:type="dxa"/>
              <w:right w:w="108" w:type="dxa"/>
            </w:tcMar>
            <w:vAlign w:val="center"/>
          </w:tcPr>
          <w:p w14:paraId="4EE1D88D" w14:textId="0CB71680"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8.35%</w:t>
            </w:r>
          </w:p>
        </w:tc>
      </w:tr>
      <w:tr w:rsidR="006416B0" w:rsidRPr="00B4515A" w14:paraId="4D6D2391"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555CFF8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深圳市通茂电子有限公司</w:t>
            </w:r>
          </w:p>
        </w:tc>
        <w:tc>
          <w:tcPr>
            <w:tcW w:w="969" w:type="pct"/>
            <w:shd w:val="clear" w:color="auto" w:fill="FFFFFF"/>
            <w:tcMar>
              <w:top w:w="0" w:type="dxa"/>
              <w:left w:w="108" w:type="dxa"/>
              <w:bottom w:w="0" w:type="dxa"/>
              <w:right w:w="108" w:type="dxa"/>
            </w:tcMar>
            <w:vAlign w:val="center"/>
          </w:tcPr>
          <w:p w14:paraId="6BC3654F"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组装件、模块部件类</w:t>
            </w:r>
          </w:p>
        </w:tc>
        <w:tc>
          <w:tcPr>
            <w:tcW w:w="969" w:type="pct"/>
            <w:shd w:val="clear" w:color="auto" w:fill="FFFFFF"/>
            <w:tcMar>
              <w:top w:w="0" w:type="dxa"/>
              <w:left w:w="108" w:type="dxa"/>
              <w:bottom w:w="0" w:type="dxa"/>
              <w:right w:w="108" w:type="dxa"/>
            </w:tcMar>
            <w:vAlign w:val="center"/>
          </w:tcPr>
          <w:p w14:paraId="4212794A"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440.39</w:t>
            </w:r>
          </w:p>
        </w:tc>
        <w:tc>
          <w:tcPr>
            <w:tcW w:w="815" w:type="pct"/>
            <w:shd w:val="clear" w:color="auto" w:fill="FFFFFF"/>
            <w:tcMar>
              <w:top w:w="0" w:type="dxa"/>
              <w:left w:w="108" w:type="dxa"/>
              <w:bottom w:w="0" w:type="dxa"/>
              <w:right w:w="108" w:type="dxa"/>
            </w:tcMar>
            <w:vAlign w:val="center"/>
          </w:tcPr>
          <w:p w14:paraId="59C3F3CF" w14:textId="66E6D496"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6.44%</w:t>
            </w:r>
          </w:p>
        </w:tc>
      </w:tr>
      <w:tr w:rsidR="006416B0" w:rsidRPr="00B4515A" w14:paraId="42F4E45A"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6EFA439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中国信科集团下属企业</w:t>
            </w:r>
          </w:p>
        </w:tc>
        <w:tc>
          <w:tcPr>
            <w:tcW w:w="969" w:type="pct"/>
            <w:shd w:val="clear" w:color="auto" w:fill="FFFFFF"/>
            <w:tcMar>
              <w:top w:w="0" w:type="dxa"/>
              <w:left w:w="108" w:type="dxa"/>
              <w:bottom w:w="0" w:type="dxa"/>
              <w:right w:w="108" w:type="dxa"/>
            </w:tcMar>
            <w:vAlign w:val="center"/>
          </w:tcPr>
          <w:p w14:paraId="11FF2656"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模块部件类、组装件、印制板</w:t>
            </w:r>
          </w:p>
        </w:tc>
        <w:tc>
          <w:tcPr>
            <w:tcW w:w="969" w:type="pct"/>
            <w:shd w:val="clear" w:color="auto" w:fill="FFFFFF"/>
            <w:tcMar>
              <w:top w:w="0" w:type="dxa"/>
              <w:left w:w="108" w:type="dxa"/>
              <w:bottom w:w="0" w:type="dxa"/>
              <w:right w:w="108" w:type="dxa"/>
            </w:tcMar>
            <w:vAlign w:val="center"/>
          </w:tcPr>
          <w:p w14:paraId="046E731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398.63</w:t>
            </w:r>
          </w:p>
        </w:tc>
        <w:tc>
          <w:tcPr>
            <w:tcW w:w="815" w:type="pct"/>
            <w:shd w:val="clear" w:color="auto" w:fill="FFFFFF"/>
            <w:tcMar>
              <w:top w:w="0" w:type="dxa"/>
              <w:left w:w="108" w:type="dxa"/>
              <w:bottom w:w="0" w:type="dxa"/>
              <w:right w:w="108" w:type="dxa"/>
            </w:tcMar>
            <w:vAlign w:val="center"/>
          </w:tcPr>
          <w:p w14:paraId="1C429FB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5.83%</w:t>
            </w:r>
          </w:p>
        </w:tc>
      </w:tr>
      <w:tr w:rsidR="006416B0" w:rsidRPr="00B4515A" w14:paraId="67D4E9BC"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47E91A2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青县迅达机械制造有限公司</w:t>
            </w:r>
          </w:p>
        </w:tc>
        <w:tc>
          <w:tcPr>
            <w:tcW w:w="969" w:type="pct"/>
            <w:shd w:val="clear" w:color="auto" w:fill="FFFFFF"/>
            <w:tcMar>
              <w:top w:w="0" w:type="dxa"/>
              <w:left w:w="108" w:type="dxa"/>
              <w:bottom w:w="0" w:type="dxa"/>
              <w:right w:w="108" w:type="dxa"/>
            </w:tcMar>
            <w:vAlign w:val="center"/>
          </w:tcPr>
          <w:p w14:paraId="549C17C3" w14:textId="77777777" w:rsidR="006416B0" w:rsidRPr="00B4515A" w:rsidRDefault="005E58C1"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结构件</w:t>
            </w:r>
          </w:p>
        </w:tc>
        <w:tc>
          <w:tcPr>
            <w:tcW w:w="969" w:type="pct"/>
            <w:shd w:val="clear" w:color="auto" w:fill="FFFFFF"/>
            <w:tcMar>
              <w:top w:w="0" w:type="dxa"/>
              <w:left w:w="108" w:type="dxa"/>
              <w:bottom w:w="0" w:type="dxa"/>
              <w:right w:w="108" w:type="dxa"/>
            </w:tcMar>
            <w:vAlign w:val="center"/>
          </w:tcPr>
          <w:p w14:paraId="0348816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362.85</w:t>
            </w:r>
          </w:p>
        </w:tc>
        <w:tc>
          <w:tcPr>
            <w:tcW w:w="815" w:type="pct"/>
            <w:shd w:val="clear" w:color="auto" w:fill="FFFFFF"/>
            <w:tcMar>
              <w:top w:w="0" w:type="dxa"/>
              <w:left w:w="108" w:type="dxa"/>
              <w:bottom w:w="0" w:type="dxa"/>
              <w:right w:w="108" w:type="dxa"/>
            </w:tcMar>
            <w:vAlign w:val="center"/>
          </w:tcPr>
          <w:p w14:paraId="0F987BE0" w14:textId="5E307781"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w:t>
            </w:r>
            <w:r w:rsidR="006F03E3" w:rsidRPr="00B4515A">
              <w:rPr>
                <w:rFonts w:ascii="Times New Roman" w:hAnsi="Times New Roman" w:cs="Times New Roman"/>
                <w:sz w:val="21"/>
                <w:szCs w:val="21"/>
              </w:rPr>
              <w:t>31</w:t>
            </w:r>
            <w:r w:rsidRPr="00B4515A">
              <w:rPr>
                <w:rFonts w:ascii="Times New Roman" w:hAnsi="Times New Roman" w:cs="Times New Roman"/>
                <w:sz w:val="21"/>
                <w:szCs w:val="21"/>
              </w:rPr>
              <w:t>%</w:t>
            </w:r>
          </w:p>
        </w:tc>
      </w:tr>
      <w:tr w:rsidR="006416B0" w:rsidRPr="00B4515A" w14:paraId="2BFD35A1"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6E17CC54"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合计</w:t>
            </w:r>
          </w:p>
        </w:tc>
        <w:tc>
          <w:tcPr>
            <w:tcW w:w="969" w:type="pct"/>
            <w:shd w:val="clear" w:color="auto" w:fill="FFFFFF"/>
            <w:tcMar>
              <w:top w:w="0" w:type="dxa"/>
              <w:left w:w="108" w:type="dxa"/>
              <w:bottom w:w="0" w:type="dxa"/>
              <w:right w:w="108" w:type="dxa"/>
            </w:tcMar>
            <w:vAlign w:val="center"/>
          </w:tcPr>
          <w:p w14:paraId="22069619" w14:textId="77777777" w:rsidR="006416B0" w:rsidRPr="00B4515A" w:rsidRDefault="006416B0" w:rsidP="005860B4">
            <w:pPr>
              <w:adjustRightInd w:val="0"/>
              <w:snapToGrid w:val="0"/>
              <w:jc w:val="both"/>
              <w:rPr>
                <w:rFonts w:ascii="Times New Roman" w:hAnsi="Times New Roman" w:cs="Times New Roman"/>
                <w:b/>
                <w:bCs/>
                <w:sz w:val="21"/>
                <w:szCs w:val="21"/>
              </w:rPr>
            </w:pPr>
          </w:p>
        </w:tc>
        <w:tc>
          <w:tcPr>
            <w:tcW w:w="969" w:type="pct"/>
            <w:shd w:val="clear" w:color="auto" w:fill="FFFFFF"/>
            <w:tcMar>
              <w:top w:w="0" w:type="dxa"/>
              <w:left w:w="108" w:type="dxa"/>
              <w:bottom w:w="0" w:type="dxa"/>
              <w:right w:w="108" w:type="dxa"/>
            </w:tcMar>
            <w:vAlign w:val="center"/>
          </w:tcPr>
          <w:p w14:paraId="71B8FFFE" w14:textId="15694CAA" w:rsidR="006416B0" w:rsidRPr="00B4515A" w:rsidRDefault="005E58C1" w:rsidP="005860B4">
            <w:pPr>
              <w:adjustRightInd w:val="0"/>
              <w:snapToGrid w:val="0"/>
              <w:jc w:val="right"/>
              <w:rPr>
                <w:rFonts w:ascii="Times New Roman" w:hAnsi="Times New Roman" w:cs="Times New Roman"/>
                <w:b/>
                <w:bCs/>
                <w:color w:val="333333"/>
                <w:sz w:val="21"/>
                <w:szCs w:val="21"/>
              </w:rPr>
            </w:pPr>
            <w:r w:rsidRPr="00B4515A">
              <w:rPr>
                <w:rFonts w:ascii="Times New Roman" w:hAnsi="Times New Roman" w:cs="Times New Roman"/>
                <w:b/>
                <w:bCs/>
                <w:sz w:val="21"/>
                <w:szCs w:val="21"/>
              </w:rPr>
              <w:t xml:space="preserve"> 2,827.58</w:t>
            </w:r>
          </w:p>
        </w:tc>
        <w:tc>
          <w:tcPr>
            <w:tcW w:w="815" w:type="pct"/>
            <w:shd w:val="clear" w:color="auto" w:fill="FFFFFF"/>
            <w:tcMar>
              <w:top w:w="0" w:type="dxa"/>
              <w:left w:w="108" w:type="dxa"/>
              <w:bottom w:w="0" w:type="dxa"/>
              <w:right w:w="108" w:type="dxa"/>
            </w:tcMar>
            <w:vAlign w:val="center"/>
          </w:tcPr>
          <w:p w14:paraId="614194FA" w14:textId="66C92DAB" w:rsidR="006416B0" w:rsidRPr="00B4515A" w:rsidRDefault="005E58C1" w:rsidP="005860B4">
            <w:pPr>
              <w:adjustRightInd w:val="0"/>
              <w:snapToGrid w:val="0"/>
              <w:jc w:val="right"/>
              <w:rPr>
                <w:rFonts w:ascii="Times New Roman" w:hAnsi="Times New Roman" w:cs="Times New Roman"/>
                <w:b/>
                <w:bCs/>
                <w:color w:val="333333"/>
                <w:sz w:val="21"/>
                <w:szCs w:val="21"/>
              </w:rPr>
            </w:pPr>
            <w:r w:rsidRPr="00B4515A">
              <w:rPr>
                <w:rFonts w:ascii="Times New Roman" w:hAnsi="Times New Roman" w:cs="Times New Roman"/>
                <w:b/>
                <w:sz w:val="21"/>
                <w:szCs w:val="21"/>
              </w:rPr>
              <w:t>41.36%</w:t>
            </w:r>
          </w:p>
        </w:tc>
      </w:tr>
    </w:tbl>
    <w:bookmarkEnd w:id="185"/>
    <w:p w14:paraId="2BFF302A" w14:textId="77777777" w:rsidR="006416B0" w:rsidRPr="00B4515A" w:rsidRDefault="005E58C1" w:rsidP="005860B4">
      <w:pPr>
        <w:pStyle w:val="005"/>
        <w:spacing w:before="120" w:after="120"/>
        <w:ind w:firstLine="480"/>
      </w:pPr>
      <w:r w:rsidRPr="00B4515A">
        <w:rPr>
          <w:rFonts w:hint="eastAsia"/>
        </w:rPr>
        <w:t>2</w:t>
      </w:r>
      <w:r w:rsidRPr="00B4515A">
        <w:t>020</w:t>
      </w:r>
      <w:r w:rsidRPr="00B4515A">
        <w:rPr>
          <w:rFonts w:hint="eastAsia"/>
        </w:rPr>
        <w:t>年度前五名供应商原材料采购金额</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3832"/>
        <w:gridCol w:w="1653"/>
        <w:gridCol w:w="1653"/>
        <w:gridCol w:w="1390"/>
      </w:tblGrid>
      <w:tr w:rsidR="006416B0" w:rsidRPr="00B4515A" w14:paraId="0BCAA0B7"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77E78A74"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bookmarkStart w:id="186" w:name="_Hlk78555667"/>
            <w:r w:rsidRPr="00B4515A">
              <w:rPr>
                <w:rFonts w:ascii="Times New Roman" w:hAnsi="Times New Roman" w:cs="Times New Roman"/>
                <w:b/>
                <w:bCs/>
                <w:color w:val="333333"/>
                <w:sz w:val="21"/>
                <w:szCs w:val="21"/>
              </w:rPr>
              <w:t>供应商名称</w:t>
            </w:r>
          </w:p>
        </w:tc>
        <w:tc>
          <w:tcPr>
            <w:tcW w:w="969" w:type="pct"/>
            <w:shd w:val="clear" w:color="auto" w:fill="FFFFFF"/>
            <w:tcMar>
              <w:top w:w="0" w:type="dxa"/>
              <w:left w:w="108" w:type="dxa"/>
              <w:bottom w:w="0" w:type="dxa"/>
              <w:right w:w="108" w:type="dxa"/>
            </w:tcMar>
            <w:vAlign w:val="center"/>
          </w:tcPr>
          <w:p w14:paraId="08B7841F"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采购内容</w:t>
            </w:r>
          </w:p>
        </w:tc>
        <w:tc>
          <w:tcPr>
            <w:tcW w:w="969" w:type="pct"/>
            <w:shd w:val="clear" w:color="auto" w:fill="FFFFFF"/>
            <w:tcMar>
              <w:top w:w="0" w:type="dxa"/>
              <w:left w:w="108" w:type="dxa"/>
              <w:bottom w:w="0" w:type="dxa"/>
              <w:right w:w="108" w:type="dxa"/>
            </w:tcMar>
            <w:vAlign w:val="center"/>
          </w:tcPr>
          <w:p w14:paraId="4147D31E" w14:textId="77777777" w:rsidR="005860B4"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采购金额</w:t>
            </w:r>
          </w:p>
          <w:p w14:paraId="03545608" w14:textId="7B7B0CFF"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（万元）</w:t>
            </w:r>
          </w:p>
        </w:tc>
        <w:tc>
          <w:tcPr>
            <w:tcW w:w="815" w:type="pct"/>
            <w:shd w:val="clear" w:color="auto" w:fill="FFFFFF"/>
            <w:tcMar>
              <w:top w:w="0" w:type="dxa"/>
              <w:left w:w="108" w:type="dxa"/>
              <w:bottom w:w="0" w:type="dxa"/>
              <w:right w:w="108" w:type="dxa"/>
            </w:tcMar>
            <w:vAlign w:val="center"/>
          </w:tcPr>
          <w:p w14:paraId="5575304B"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占比</w:t>
            </w:r>
          </w:p>
        </w:tc>
      </w:tr>
      <w:tr w:rsidR="00C24458" w:rsidRPr="00B4515A" w14:paraId="720FA86F"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7784536F" w14:textId="77777777" w:rsidR="00C24458" w:rsidRPr="00B4515A" w:rsidRDefault="00C24458"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中国信科集团下属企业</w:t>
            </w:r>
          </w:p>
        </w:tc>
        <w:tc>
          <w:tcPr>
            <w:tcW w:w="969" w:type="pct"/>
            <w:shd w:val="clear" w:color="auto" w:fill="FFFFFF"/>
            <w:tcMar>
              <w:top w:w="0" w:type="dxa"/>
              <w:left w:w="108" w:type="dxa"/>
              <w:bottom w:w="0" w:type="dxa"/>
              <w:right w:w="108" w:type="dxa"/>
            </w:tcMar>
            <w:vAlign w:val="center"/>
          </w:tcPr>
          <w:p w14:paraId="2A81CA0D" w14:textId="77777777" w:rsidR="00C24458" w:rsidRPr="00B4515A" w:rsidRDefault="00C24458"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电子元器件类、结构件、模块部件类、软件类、印制板、组装件</w:t>
            </w:r>
          </w:p>
        </w:tc>
        <w:tc>
          <w:tcPr>
            <w:tcW w:w="969" w:type="pct"/>
            <w:shd w:val="clear" w:color="auto" w:fill="FFFFFF"/>
            <w:tcMar>
              <w:top w:w="0" w:type="dxa"/>
              <w:left w:w="108" w:type="dxa"/>
              <w:bottom w:w="0" w:type="dxa"/>
              <w:right w:w="108" w:type="dxa"/>
            </w:tcMar>
            <w:vAlign w:val="center"/>
          </w:tcPr>
          <w:p w14:paraId="503130F5" w14:textId="0465772D" w:rsidR="00C24458" w:rsidRPr="00B4515A" w:rsidRDefault="00880376"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10,982.46</w:t>
            </w:r>
          </w:p>
        </w:tc>
        <w:tc>
          <w:tcPr>
            <w:tcW w:w="815" w:type="pct"/>
            <w:shd w:val="clear" w:color="auto" w:fill="FFFFFF"/>
            <w:tcMar>
              <w:top w:w="0" w:type="dxa"/>
              <w:left w:w="108" w:type="dxa"/>
              <w:bottom w:w="0" w:type="dxa"/>
              <w:right w:w="108" w:type="dxa"/>
            </w:tcMar>
            <w:vAlign w:val="center"/>
          </w:tcPr>
          <w:p w14:paraId="0A3017D9" w14:textId="4399A0D6" w:rsidR="00C24458" w:rsidRPr="00B4515A" w:rsidRDefault="00C24458"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37.</w:t>
            </w:r>
            <w:r w:rsidR="00880376" w:rsidRPr="00B4515A">
              <w:rPr>
                <w:rFonts w:ascii="Times New Roman" w:hAnsi="Times New Roman" w:cs="Times New Roman"/>
                <w:sz w:val="21"/>
                <w:szCs w:val="21"/>
              </w:rPr>
              <w:t>45</w:t>
            </w:r>
            <w:r w:rsidRPr="00B4515A">
              <w:rPr>
                <w:rFonts w:ascii="Times New Roman" w:hAnsi="Times New Roman" w:cs="Times New Roman"/>
                <w:sz w:val="21"/>
                <w:szCs w:val="21"/>
              </w:rPr>
              <w:t>%</w:t>
            </w:r>
          </w:p>
        </w:tc>
      </w:tr>
      <w:tr w:rsidR="00C24458" w:rsidRPr="00B4515A" w14:paraId="554D0CD5"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5DBDAAE6" w14:textId="77777777" w:rsidR="00C24458" w:rsidRPr="00B4515A" w:rsidRDefault="00C24458"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杭州城芯科技有限公司</w:t>
            </w:r>
            <w:r w:rsidRPr="00B4515A">
              <w:rPr>
                <w:rFonts w:ascii="Times New Roman" w:hAnsi="Times New Roman" w:cs="Times New Roman"/>
                <w:sz w:val="21"/>
                <w:szCs w:val="21"/>
              </w:rPr>
              <w:t>/</w:t>
            </w:r>
            <w:r w:rsidRPr="00B4515A">
              <w:rPr>
                <w:rFonts w:ascii="Times New Roman" w:hAnsi="Times New Roman" w:cs="Times New Roman"/>
                <w:sz w:val="21"/>
                <w:szCs w:val="21"/>
              </w:rPr>
              <w:t>浙江臻镭科技股份有限公司</w:t>
            </w:r>
          </w:p>
        </w:tc>
        <w:tc>
          <w:tcPr>
            <w:tcW w:w="969" w:type="pct"/>
            <w:shd w:val="clear" w:color="auto" w:fill="FFFFFF"/>
            <w:tcMar>
              <w:top w:w="0" w:type="dxa"/>
              <w:left w:w="108" w:type="dxa"/>
              <w:bottom w:w="0" w:type="dxa"/>
              <w:right w:w="108" w:type="dxa"/>
            </w:tcMar>
            <w:vAlign w:val="center"/>
          </w:tcPr>
          <w:p w14:paraId="50522E11" w14:textId="77777777" w:rsidR="00C24458" w:rsidRPr="00B4515A" w:rsidRDefault="00C24458"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电子元器件类、模块部件类</w:t>
            </w:r>
          </w:p>
        </w:tc>
        <w:tc>
          <w:tcPr>
            <w:tcW w:w="969" w:type="pct"/>
            <w:shd w:val="clear" w:color="auto" w:fill="FFFFFF"/>
            <w:tcMar>
              <w:top w:w="0" w:type="dxa"/>
              <w:left w:w="108" w:type="dxa"/>
              <w:bottom w:w="0" w:type="dxa"/>
              <w:right w:w="108" w:type="dxa"/>
            </w:tcMar>
            <w:vAlign w:val="center"/>
          </w:tcPr>
          <w:p w14:paraId="7BBE2D52" w14:textId="6722F99A" w:rsidR="00C24458" w:rsidRPr="00B4515A" w:rsidRDefault="00C24458"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1,670.02</w:t>
            </w:r>
          </w:p>
        </w:tc>
        <w:tc>
          <w:tcPr>
            <w:tcW w:w="815" w:type="pct"/>
            <w:shd w:val="clear" w:color="auto" w:fill="FFFFFF"/>
            <w:tcMar>
              <w:top w:w="0" w:type="dxa"/>
              <w:left w:w="108" w:type="dxa"/>
              <w:bottom w:w="0" w:type="dxa"/>
              <w:right w:w="108" w:type="dxa"/>
            </w:tcMar>
            <w:vAlign w:val="center"/>
          </w:tcPr>
          <w:p w14:paraId="49DD9940" w14:textId="1E4DF72F" w:rsidR="00C24458" w:rsidRPr="00B4515A" w:rsidRDefault="00C24458"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5.69%</w:t>
            </w:r>
          </w:p>
        </w:tc>
      </w:tr>
      <w:tr w:rsidR="00C24458" w:rsidRPr="00B4515A" w14:paraId="54BEC1B1"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07F22664" w14:textId="77777777" w:rsidR="00C24458" w:rsidRPr="00B4515A" w:rsidRDefault="00C24458"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上海瀚讯信息技术股份有限公司</w:t>
            </w:r>
          </w:p>
        </w:tc>
        <w:tc>
          <w:tcPr>
            <w:tcW w:w="969" w:type="pct"/>
            <w:shd w:val="clear" w:color="auto" w:fill="FFFFFF"/>
            <w:tcMar>
              <w:top w:w="0" w:type="dxa"/>
              <w:left w:w="108" w:type="dxa"/>
              <w:bottom w:w="0" w:type="dxa"/>
              <w:right w:w="108" w:type="dxa"/>
            </w:tcMar>
            <w:vAlign w:val="center"/>
          </w:tcPr>
          <w:p w14:paraId="6FB78A17" w14:textId="77777777" w:rsidR="00C24458" w:rsidRPr="00B4515A" w:rsidRDefault="00C24458"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模块部件类</w:t>
            </w:r>
          </w:p>
        </w:tc>
        <w:tc>
          <w:tcPr>
            <w:tcW w:w="969" w:type="pct"/>
            <w:shd w:val="clear" w:color="auto" w:fill="FFFFFF"/>
            <w:tcMar>
              <w:top w:w="0" w:type="dxa"/>
              <w:left w:w="108" w:type="dxa"/>
              <w:bottom w:w="0" w:type="dxa"/>
              <w:right w:w="108" w:type="dxa"/>
            </w:tcMar>
            <w:vAlign w:val="center"/>
          </w:tcPr>
          <w:p w14:paraId="6F39844C" w14:textId="77777777" w:rsidR="00C24458" w:rsidRPr="00B4515A" w:rsidRDefault="00C24458"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1,138.41</w:t>
            </w:r>
          </w:p>
        </w:tc>
        <w:tc>
          <w:tcPr>
            <w:tcW w:w="815" w:type="pct"/>
            <w:shd w:val="clear" w:color="auto" w:fill="FFFFFF"/>
            <w:tcMar>
              <w:top w:w="0" w:type="dxa"/>
              <w:left w:w="108" w:type="dxa"/>
              <w:bottom w:w="0" w:type="dxa"/>
              <w:right w:w="108" w:type="dxa"/>
            </w:tcMar>
            <w:vAlign w:val="center"/>
          </w:tcPr>
          <w:p w14:paraId="0C953FD7" w14:textId="15E87BF6" w:rsidR="00C24458" w:rsidRPr="00B4515A" w:rsidRDefault="00C24458"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3.88%</w:t>
            </w:r>
          </w:p>
        </w:tc>
      </w:tr>
      <w:tr w:rsidR="00C24458" w:rsidRPr="00B4515A" w14:paraId="0B47AD0B"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3519920C" w14:textId="77777777" w:rsidR="00C24458" w:rsidRPr="00B4515A" w:rsidRDefault="00C24458"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北京长峰国正信息技术有限公司</w:t>
            </w:r>
          </w:p>
        </w:tc>
        <w:tc>
          <w:tcPr>
            <w:tcW w:w="969" w:type="pct"/>
            <w:shd w:val="clear" w:color="auto" w:fill="FFFFFF"/>
            <w:tcMar>
              <w:top w:w="0" w:type="dxa"/>
              <w:left w:w="108" w:type="dxa"/>
              <w:bottom w:w="0" w:type="dxa"/>
              <w:right w:w="108" w:type="dxa"/>
            </w:tcMar>
            <w:vAlign w:val="center"/>
          </w:tcPr>
          <w:p w14:paraId="31049BAB" w14:textId="77777777" w:rsidR="00C24458" w:rsidRPr="00B4515A" w:rsidRDefault="00C24458"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电子元器件类、模块部件类</w:t>
            </w:r>
          </w:p>
        </w:tc>
        <w:tc>
          <w:tcPr>
            <w:tcW w:w="969" w:type="pct"/>
            <w:shd w:val="clear" w:color="auto" w:fill="FFFFFF"/>
            <w:tcMar>
              <w:top w:w="0" w:type="dxa"/>
              <w:left w:w="108" w:type="dxa"/>
              <w:bottom w:w="0" w:type="dxa"/>
              <w:right w:w="108" w:type="dxa"/>
            </w:tcMar>
            <w:vAlign w:val="center"/>
          </w:tcPr>
          <w:p w14:paraId="18D4C9A3" w14:textId="77777777" w:rsidR="00C24458" w:rsidRPr="00B4515A" w:rsidRDefault="00C24458"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884.17</w:t>
            </w:r>
          </w:p>
        </w:tc>
        <w:tc>
          <w:tcPr>
            <w:tcW w:w="815" w:type="pct"/>
            <w:shd w:val="clear" w:color="auto" w:fill="FFFFFF"/>
            <w:tcMar>
              <w:top w:w="0" w:type="dxa"/>
              <w:left w:w="108" w:type="dxa"/>
              <w:bottom w:w="0" w:type="dxa"/>
              <w:right w:w="108" w:type="dxa"/>
            </w:tcMar>
            <w:vAlign w:val="center"/>
          </w:tcPr>
          <w:p w14:paraId="364835E0" w14:textId="43DD084F" w:rsidR="00C24458" w:rsidRPr="00B4515A" w:rsidRDefault="00C24458"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3.01%</w:t>
            </w:r>
          </w:p>
        </w:tc>
      </w:tr>
      <w:tr w:rsidR="00C24458" w:rsidRPr="00B4515A" w14:paraId="11F5A7E6"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57C62A3B" w14:textId="77777777" w:rsidR="00C24458" w:rsidRPr="00B4515A" w:rsidRDefault="00C24458"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北京威克特科技有限公司</w:t>
            </w:r>
          </w:p>
        </w:tc>
        <w:tc>
          <w:tcPr>
            <w:tcW w:w="969" w:type="pct"/>
            <w:shd w:val="clear" w:color="auto" w:fill="FFFFFF"/>
            <w:tcMar>
              <w:top w:w="0" w:type="dxa"/>
              <w:left w:w="108" w:type="dxa"/>
              <w:bottom w:w="0" w:type="dxa"/>
              <w:right w:w="108" w:type="dxa"/>
            </w:tcMar>
            <w:vAlign w:val="center"/>
          </w:tcPr>
          <w:p w14:paraId="684EEBDA" w14:textId="77777777" w:rsidR="00C24458" w:rsidRPr="00B4515A" w:rsidRDefault="00C24458" w:rsidP="005860B4">
            <w:pPr>
              <w:adjustRightInd w:val="0"/>
              <w:snapToGrid w:val="0"/>
              <w:jc w:val="both"/>
              <w:rPr>
                <w:rFonts w:ascii="Times New Roman" w:hAnsi="Times New Roman" w:cs="Times New Roman"/>
                <w:sz w:val="21"/>
                <w:szCs w:val="21"/>
              </w:rPr>
            </w:pPr>
            <w:r w:rsidRPr="00B4515A">
              <w:rPr>
                <w:rFonts w:ascii="Times New Roman" w:hAnsi="Times New Roman" w:cs="Times New Roman" w:hint="eastAsia"/>
                <w:sz w:val="21"/>
                <w:szCs w:val="21"/>
              </w:rPr>
              <w:t>电子元器件类、模块部件类、组装件</w:t>
            </w:r>
          </w:p>
        </w:tc>
        <w:tc>
          <w:tcPr>
            <w:tcW w:w="969" w:type="pct"/>
            <w:shd w:val="clear" w:color="auto" w:fill="FFFFFF"/>
            <w:tcMar>
              <w:top w:w="0" w:type="dxa"/>
              <w:left w:w="108" w:type="dxa"/>
              <w:bottom w:w="0" w:type="dxa"/>
              <w:right w:w="108" w:type="dxa"/>
            </w:tcMar>
            <w:vAlign w:val="center"/>
          </w:tcPr>
          <w:p w14:paraId="36BB02E8" w14:textId="77777777" w:rsidR="00C24458" w:rsidRPr="00B4515A" w:rsidRDefault="00C24458"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838.16</w:t>
            </w:r>
          </w:p>
        </w:tc>
        <w:tc>
          <w:tcPr>
            <w:tcW w:w="815" w:type="pct"/>
            <w:shd w:val="clear" w:color="auto" w:fill="FFFFFF"/>
            <w:tcMar>
              <w:top w:w="0" w:type="dxa"/>
              <w:left w:w="108" w:type="dxa"/>
              <w:bottom w:w="0" w:type="dxa"/>
              <w:right w:w="108" w:type="dxa"/>
            </w:tcMar>
            <w:vAlign w:val="center"/>
          </w:tcPr>
          <w:p w14:paraId="3F6B49A9" w14:textId="20770018" w:rsidR="00C24458" w:rsidRPr="00B4515A" w:rsidRDefault="00C24458"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2.86%</w:t>
            </w:r>
          </w:p>
        </w:tc>
      </w:tr>
      <w:tr w:rsidR="00C24458" w:rsidRPr="00B4515A" w14:paraId="465DF576" w14:textId="77777777" w:rsidTr="00031627">
        <w:trPr>
          <w:trHeight w:val="340"/>
          <w:jc w:val="center"/>
        </w:trPr>
        <w:tc>
          <w:tcPr>
            <w:tcW w:w="2246" w:type="pct"/>
            <w:shd w:val="clear" w:color="auto" w:fill="FFFFFF"/>
            <w:tcMar>
              <w:top w:w="0" w:type="dxa"/>
              <w:left w:w="108" w:type="dxa"/>
              <w:bottom w:w="0" w:type="dxa"/>
              <w:right w:w="108" w:type="dxa"/>
            </w:tcMar>
            <w:vAlign w:val="center"/>
          </w:tcPr>
          <w:p w14:paraId="1836CB52" w14:textId="77777777" w:rsidR="00C24458" w:rsidRPr="00B4515A" w:rsidRDefault="00C24458"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合计</w:t>
            </w:r>
          </w:p>
        </w:tc>
        <w:tc>
          <w:tcPr>
            <w:tcW w:w="969" w:type="pct"/>
            <w:shd w:val="clear" w:color="auto" w:fill="FFFFFF"/>
            <w:tcMar>
              <w:top w:w="0" w:type="dxa"/>
              <w:left w:w="108" w:type="dxa"/>
              <w:bottom w:w="0" w:type="dxa"/>
              <w:right w:w="108" w:type="dxa"/>
            </w:tcMar>
            <w:vAlign w:val="center"/>
          </w:tcPr>
          <w:p w14:paraId="0922B513" w14:textId="77777777" w:rsidR="00C24458" w:rsidRPr="00B4515A" w:rsidRDefault="00C24458" w:rsidP="005860B4">
            <w:pPr>
              <w:adjustRightInd w:val="0"/>
              <w:snapToGrid w:val="0"/>
              <w:jc w:val="right"/>
              <w:rPr>
                <w:rFonts w:ascii="Times New Roman" w:hAnsi="Times New Roman" w:cs="Times New Roman"/>
                <w:b/>
                <w:bCs/>
                <w:sz w:val="21"/>
                <w:szCs w:val="21"/>
              </w:rPr>
            </w:pPr>
          </w:p>
        </w:tc>
        <w:tc>
          <w:tcPr>
            <w:tcW w:w="969" w:type="pct"/>
            <w:shd w:val="clear" w:color="auto" w:fill="FFFFFF"/>
            <w:tcMar>
              <w:top w:w="0" w:type="dxa"/>
              <w:left w:w="108" w:type="dxa"/>
              <w:bottom w:w="0" w:type="dxa"/>
              <w:right w:w="108" w:type="dxa"/>
            </w:tcMar>
            <w:vAlign w:val="center"/>
          </w:tcPr>
          <w:p w14:paraId="13895ACB" w14:textId="77BC0103" w:rsidR="00C24458" w:rsidRPr="00B4515A" w:rsidRDefault="00880376" w:rsidP="005860B4">
            <w:pPr>
              <w:adjustRightInd w:val="0"/>
              <w:snapToGrid w:val="0"/>
              <w:jc w:val="right"/>
              <w:rPr>
                <w:rFonts w:ascii="Times New Roman" w:hAnsi="Times New Roman" w:cs="Times New Roman"/>
                <w:b/>
                <w:bCs/>
                <w:color w:val="333333"/>
                <w:sz w:val="21"/>
                <w:szCs w:val="21"/>
              </w:rPr>
            </w:pPr>
            <w:r w:rsidRPr="00B4515A">
              <w:rPr>
                <w:rFonts w:ascii="Times New Roman" w:hAnsi="Times New Roman" w:cs="Times New Roman"/>
                <w:b/>
                <w:bCs/>
                <w:sz w:val="21"/>
                <w:szCs w:val="21"/>
              </w:rPr>
              <w:t>15,513.22</w:t>
            </w:r>
          </w:p>
        </w:tc>
        <w:tc>
          <w:tcPr>
            <w:tcW w:w="815" w:type="pct"/>
            <w:shd w:val="clear" w:color="auto" w:fill="FFFFFF"/>
            <w:tcMar>
              <w:top w:w="0" w:type="dxa"/>
              <w:left w:w="108" w:type="dxa"/>
              <w:bottom w:w="0" w:type="dxa"/>
              <w:right w:w="108" w:type="dxa"/>
            </w:tcMar>
            <w:vAlign w:val="center"/>
          </w:tcPr>
          <w:p w14:paraId="176CDCC3" w14:textId="027FD70A" w:rsidR="00C24458" w:rsidRPr="00B4515A" w:rsidRDefault="00C24458" w:rsidP="005860B4">
            <w:pPr>
              <w:adjustRightInd w:val="0"/>
              <w:snapToGrid w:val="0"/>
              <w:jc w:val="right"/>
              <w:rPr>
                <w:rFonts w:ascii="Times New Roman" w:hAnsi="Times New Roman" w:cs="Times New Roman"/>
                <w:b/>
                <w:bCs/>
                <w:color w:val="333333"/>
                <w:sz w:val="21"/>
                <w:szCs w:val="21"/>
              </w:rPr>
            </w:pPr>
            <w:r w:rsidRPr="00B4515A">
              <w:rPr>
                <w:rFonts w:ascii="Times New Roman" w:hAnsi="Times New Roman" w:cs="Times New Roman"/>
                <w:b/>
                <w:bCs/>
                <w:sz w:val="21"/>
                <w:szCs w:val="21"/>
              </w:rPr>
              <w:t>52.4</w:t>
            </w:r>
            <w:r w:rsidR="00880376" w:rsidRPr="00B4515A">
              <w:rPr>
                <w:rFonts w:ascii="Times New Roman" w:hAnsi="Times New Roman" w:cs="Times New Roman"/>
                <w:b/>
                <w:bCs/>
                <w:sz w:val="21"/>
                <w:szCs w:val="21"/>
              </w:rPr>
              <w:t>8</w:t>
            </w:r>
            <w:r w:rsidRPr="00B4515A">
              <w:rPr>
                <w:rFonts w:ascii="Times New Roman" w:hAnsi="Times New Roman" w:cs="Times New Roman"/>
                <w:b/>
                <w:bCs/>
                <w:sz w:val="21"/>
                <w:szCs w:val="21"/>
              </w:rPr>
              <w:t>%</w:t>
            </w:r>
          </w:p>
        </w:tc>
      </w:tr>
    </w:tbl>
    <w:bookmarkEnd w:id="186"/>
    <w:p w14:paraId="1D9E9ACB" w14:textId="77777777" w:rsidR="006416B0" w:rsidRPr="00B4515A" w:rsidRDefault="005E58C1" w:rsidP="005860B4">
      <w:pPr>
        <w:pStyle w:val="006"/>
        <w:ind w:firstLine="420"/>
      </w:pPr>
      <w:r w:rsidRPr="00B4515A">
        <w:rPr>
          <w:rFonts w:hint="eastAsia"/>
        </w:rPr>
        <w:t>注：杭州城芯科技有限公司为浙江臻镭科技股份有限公司的全资子公司。</w:t>
      </w:r>
    </w:p>
    <w:p w14:paraId="68A518F0" w14:textId="77777777" w:rsidR="006416B0" w:rsidRPr="00B4515A" w:rsidRDefault="005E58C1" w:rsidP="005860B4">
      <w:pPr>
        <w:pStyle w:val="005"/>
        <w:spacing w:before="120" w:after="120"/>
        <w:ind w:firstLine="480"/>
      </w:pPr>
      <w:r w:rsidRPr="00B4515A">
        <w:rPr>
          <w:rFonts w:hint="eastAsia"/>
        </w:rPr>
        <w:t>2</w:t>
      </w:r>
      <w:r w:rsidRPr="00B4515A">
        <w:t>019</w:t>
      </w:r>
      <w:r w:rsidRPr="00B4515A">
        <w:rPr>
          <w:rFonts w:hint="eastAsia"/>
        </w:rPr>
        <w:t>年度前五名供应商原材料采购金额</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3832"/>
        <w:gridCol w:w="1653"/>
        <w:gridCol w:w="1653"/>
        <w:gridCol w:w="1390"/>
      </w:tblGrid>
      <w:tr w:rsidR="006416B0" w:rsidRPr="00B4515A" w14:paraId="45B5AE23" w14:textId="77777777" w:rsidTr="00E007D0">
        <w:trPr>
          <w:trHeight w:val="340"/>
          <w:jc w:val="center"/>
        </w:trPr>
        <w:tc>
          <w:tcPr>
            <w:tcW w:w="2247" w:type="pct"/>
            <w:shd w:val="clear" w:color="auto" w:fill="FFFFFF"/>
            <w:tcMar>
              <w:top w:w="0" w:type="dxa"/>
              <w:left w:w="108" w:type="dxa"/>
              <w:bottom w:w="0" w:type="dxa"/>
              <w:right w:w="108" w:type="dxa"/>
            </w:tcMar>
            <w:vAlign w:val="center"/>
          </w:tcPr>
          <w:p w14:paraId="20BA9C0F"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bookmarkStart w:id="187" w:name="_Hlk78555692"/>
            <w:r w:rsidRPr="00B4515A">
              <w:rPr>
                <w:rFonts w:ascii="Times New Roman" w:hAnsi="Times New Roman" w:cs="Times New Roman"/>
                <w:b/>
                <w:bCs/>
                <w:color w:val="333333"/>
                <w:sz w:val="21"/>
                <w:szCs w:val="21"/>
              </w:rPr>
              <w:t>供应商名称</w:t>
            </w:r>
          </w:p>
        </w:tc>
        <w:tc>
          <w:tcPr>
            <w:tcW w:w="969" w:type="pct"/>
            <w:shd w:val="clear" w:color="auto" w:fill="FFFFFF"/>
            <w:tcMar>
              <w:top w:w="0" w:type="dxa"/>
              <w:left w:w="108" w:type="dxa"/>
              <w:bottom w:w="0" w:type="dxa"/>
              <w:right w:w="108" w:type="dxa"/>
            </w:tcMar>
            <w:vAlign w:val="center"/>
          </w:tcPr>
          <w:p w14:paraId="3201C25E"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采购内容</w:t>
            </w:r>
          </w:p>
        </w:tc>
        <w:tc>
          <w:tcPr>
            <w:tcW w:w="969" w:type="pct"/>
            <w:shd w:val="clear" w:color="auto" w:fill="FFFFFF"/>
            <w:tcMar>
              <w:top w:w="0" w:type="dxa"/>
              <w:left w:w="108" w:type="dxa"/>
              <w:bottom w:w="0" w:type="dxa"/>
              <w:right w:w="108" w:type="dxa"/>
            </w:tcMar>
            <w:vAlign w:val="center"/>
          </w:tcPr>
          <w:p w14:paraId="3AAE9071" w14:textId="77777777" w:rsidR="005860B4"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采购金额</w:t>
            </w:r>
          </w:p>
          <w:p w14:paraId="088A5E9A" w14:textId="55E817FD"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（万元）</w:t>
            </w:r>
          </w:p>
        </w:tc>
        <w:tc>
          <w:tcPr>
            <w:tcW w:w="815" w:type="pct"/>
            <w:shd w:val="clear" w:color="auto" w:fill="FFFFFF"/>
            <w:tcMar>
              <w:top w:w="0" w:type="dxa"/>
              <w:left w:w="108" w:type="dxa"/>
              <w:bottom w:w="0" w:type="dxa"/>
              <w:right w:w="108" w:type="dxa"/>
            </w:tcMar>
            <w:vAlign w:val="center"/>
          </w:tcPr>
          <w:p w14:paraId="3F5BF43D"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占比</w:t>
            </w:r>
          </w:p>
        </w:tc>
      </w:tr>
      <w:tr w:rsidR="00F31501" w:rsidRPr="00B4515A" w14:paraId="363145D9" w14:textId="77777777" w:rsidTr="00E007D0">
        <w:trPr>
          <w:trHeight w:val="340"/>
          <w:jc w:val="center"/>
        </w:trPr>
        <w:tc>
          <w:tcPr>
            <w:tcW w:w="2247" w:type="pct"/>
            <w:shd w:val="clear" w:color="auto" w:fill="FFFFFF"/>
            <w:tcMar>
              <w:top w:w="0" w:type="dxa"/>
              <w:left w:w="108" w:type="dxa"/>
              <w:bottom w:w="0" w:type="dxa"/>
              <w:right w:w="108" w:type="dxa"/>
            </w:tcMar>
            <w:vAlign w:val="center"/>
          </w:tcPr>
          <w:p w14:paraId="65E656B8" w14:textId="77777777" w:rsidR="00F31501" w:rsidRPr="00B4515A" w:rsidRDefault="00F3150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中国信科集团下属企业</w:t>
            </w:r>
          </w:p>
        </w:tc>
        <w:tc>
          <w:tcPr>
            <w:tcW w:w="969" w:type="pct"/>
            <w:shd w:val="clear" w:color="auto" w:fill="FFFFFF"/>
            <w:tcMar>
              <w:top w:w="0" w:type="dxa"/>
              <w:left w:w="108" w:type="dxa"/>
              <w:bottom w:w="0" w:type="dxa"/>
              <w:right w:w="108" w:type="dxa"/>
            </w:tcMar>
            <w:vAlign w:val="center"/>
          </w:tcPr>
          <w:p w14:paraId="5099C129" w14:textId="77777777" w:rsidR="00F31501" w:rsidRPr="00B4515A" w:rsidRDefault="00F3150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电子元器件类、结构件、模块部件类、组装件</w:t>
            </w:r>
          </w:p>
        </w:tc>
        <w:tc>
          <w:tcPr>
            <w:tcW w:w="969" w:type="pct"/>
            <w:shd w:val="clear" w:color="auto" w:fill="FFFFFF"/>
            <w:tcMar>
              <w:top w:w="0" w:type="dxa"/>
              <w:left w:w="108" w:type="dxa"/>
              <w:bottom w:w="0" w:type="dxa"/>
              <w:right w:w="108" w:type="dxa"/>
            </w:tcMar>
            <w:vAlign w:val="center"/>
          </w:tcPr>
          <w:p w14:paraId="35942673" w14:textId="5E5DD71F" w:rsidR="00F31501" w:rsidRPr="00B4515A" w:rsidRDefault="00F3150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6,035.68 </w:t>
            </w:r>
          </w:p>
        </w:tc>
        <w:tc>
          <w:tcPr>
            <w:tcW w:w="815" w:type="pct"/>
            <w:shd w:val="clear" w:color="auto" w:fill="FFFFFF"/>
            <w:tcMar>
              <w:top w:w="0" w:type="dxa"/>
              <w:left w:w="108" w:type="dxa"/>
              <w:bottom w:w="0" w:type="dxa"/>
              <w:right w:w="108" w:type="dxa"/>
            </w:tcMar>
            <w:vAlign w:val="center"/>
          </w:tcPr>
          <w:p w14:paraId="0F93DA7A" w14:textId="56B66F2E" w:rsidR="00F31501" w:rsidRPr="00B4515A" w:rsidRDefault="00F3150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26.37%</w:t>
            </w:r>
          </w:p>
        </w:tc>
      </w:tr>
      <w:tr w:rsidR="00E007D0" w:rsidRPr="00B4515A" w14:paraId="4293CC15" w14:textId="77777777" w:rsidTr="00E007D0">
        <w:trPr>
          <w:trHeight w:val="340"/>
          <w:jc w:val="center"/>
        </w:trPr>
        <w:tc>
          <w:tcPr>
            <w:tcW w:w="2247" w:type="pct"/>
            <w:shd w:val="clear" w:color="auto" w:fill="FFFFFF"/>
            <w:tcMar>
              <w:top w:w="0" w:type="dxa"/>
              <w:left w:w="108" w:type="dxa"/>
              <w:bottom w:w="0" w:type="dxa"/>
              <w:right w:w="108" w:type="dxa"/>
            </w:tcMar>
            <w:vAlign w:val="center"/>
          </w:tcPr>
          <w:p w14:paraId="402289C3" w14:textId="10ACD5C8" w:rsidR="00E007D0" w:rsidRPr="00B4515A" w:rsidRDefault="00E007D0" w:rsidP="00E007D0">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杭州城芯科技有限公司</w:t>
            </w:r>
            <w:r w:rsidRPr="00B4515A">
              <w:rPr>
                <w:rFonts w:ascii="Times New Roman" w:hAnsi="Times New Roman" w:cs="Times New Roman" w:hint="eastAsia"/>
                <w:sz w:val="21"/>
                <w:szCs w:val="21"/>
              </w:rPr>
              <w:t>/</w:t>
            </w:r>
            <w:r w:rsidRPr="00B4515A">
              <w:rPr>
                <w:rFonts w:ascii="Times New Roman" w:hAnsi="Times New Roman" w:cs="Times New Roman" w:hint="eastAsia"/>
                <w:sz w:val="21"/>
                <w:szCs w:val="21"/>
              </w:rPr>
              <w:t>浙江臻镭科技股份有限公司</w:t>
            </w:r>
          </w:p>
        </w:tc>
        <w:tc>
          <w:tcPr>
            <w:tcW w:w="969" w:type="pct"/>
            <w:shd w:val="clear" w:color="auto" w:fill="FFFFFF"/>
            <w:tcMar>
              <w:top w:w="0" w:type="dxa"/>
              <w:left w:w="108" w:type="dxa"/>
              <w:bottom w:w="0" w:type="dxa"/>
              <w:right w:w="108" w:type="dxa"/>
            </w:tcMar>
            <w:vAlign w:val="center"/>
          </w:tcPr>
          <w:p w14:paraId="080BC9AC" w14:textId="51920DE1" w:rsidR="00E007D0" w:rsidRPr="00B4515A" w:rsidRDefault="00E007D0" w:rsidP="00E007D0">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电子元器件类</w:t>
            </w:r>
          </w:p>
        </w:tc>
        <w:tc>
          <w:tcPr>
            <w:tcW w:w="969" w:type="pct"/>
            <w:shd w:val="clear" w:color="auto" w:fill="FFFFFF"/>
            <w:tcMar>
              <w:top w:w="0" w:type="dxa"/>
              <w:left w:w="108" w:type="dxa"/>
              <w:bottom w:w="0" w:type="dxa"/>
              <w:right w:w="108" w:type="dxa"/>
            </w:tcMar>
            <w:vAlign w:val="center"/>
          </w:tcPr>
          <w:p w14:paraId="47447811" w14:textId="6B2B61BA" w:rsidR="00E007D0" w:rsidRPr="00B4515A" w:rsidRDefault="00E007D0" w:rsidP="00E007D0">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1,282.88 </w:t>
            </w:r>
          </w:p>
        </w:tc>
        <w:tc>
          <w:tcPr>
            <w:tcW w:w="815" w:type="pct"/>
            <w:shd w:val="clear" w:color="auto" w:fill="FFFFFF"/>
            <w:tcMar>
              <w:top w:w="0" w:type="dxa"/>
              <w:left w:w="108" w:type="dxa"/>
              <w:bottom w:w="0" w:type="dxa"/>
              <w:right w:w="108" w:type="dxa"/>
            </w:tcMar>
            <w:vAlign w:val="center"/>
          </w:tcPr>
          <w:p w14:paraId="28BF00F0" w14:textId="7A511979" w:rsidR="00E007D0" w:rsidRPr="00B4515A" w:rsidRDefault="00E007D0" w:rsidP="00E007D0">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5.61%</w:t>
            </w:r>
          </w:p>
        </w:tc>
      </w:tr>
      <w:tr w:rsidR="00F31501" w:rsidRPr="00B4515A" w14:paraId="5B670FD5" w14:textId="77777777" w:rsidTr="00E007D0">
        <w:trPr>
          <w:trHeight w:val="340"/>
          <w:jc w:val="center"/>
        </w:trPr>
        <w:tc>
          <w:tcPr>
            <w:tcW w:w="2247" w:type="pct"/>
            <w:shd w:val="clear" w:color="auto" w:fill="FFFFFF"/>
            <w:tcMar>
              <w:top w:w="0" w:type="dxa"/>
              <w:left w:w="108" w:type="dxa"/>
              <w:bottom w:w="0" w:type="dxa"/>
              <w:right w:w="108" w:type="dxa"/>
            </w:tcMar>
            <w:vAlign w:val="center"/>
          </w:tcPr>
          <w:p w14:paraId="1B517345" w14:textId="77777777" w:rsidR="00F31501" w:rsidRPr="00B4515A" w:rsidRDefault="00F3150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上海瀚讯信息技术股份有限公司</w:t>
            </w:r>
          </w:p>
        </w:tc>
        <w:tc>
          <w:tcPr>
            <w:tcW w:w="969" w:type="pct"/>
            <w:shd w:val="clear" w:color="auto" w:fill="FFFFFF"/>
            <w:tcMar>
              <w:top w:w="0" w:type="dxa"/>
              <w:left w:w="108" w:type="dxa"/>
              <w:bottom w:w="0" w:type="dxa"/>
              <w:right w:w="108" w:type="dxa"/>
            </w:tcMar>
            <w:vAlign w:val="center"/>
          </w:tcPr>
          <w:p w14:paraId="1EBFE4F3" w14:textId="77777777" w:rsidR="00F31501" w:rsidRPr="00B4515A" w:rsidRDefault="00F31501"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模块部件类</w:t>
            </w:r>
          </w:p>
        </w:tc>
        <w:tc>
          <w:tcPr>
            <w:tcW w:w="969" w:type="pct"/>
            <w:shd w:val="clear" w:color="auto" w:fill="FFFFFF"/>
            <w:tcMar>
              <w:top w:w="0" w:type="dxa"/>
              <w:left w:w="108" w:type="dxa"/>
              <w:bottom w:w="0" w:type="dxa"/>
              <w:right w:w="108" w:type="dxa"/>
            </w:tcMar>
            <w:vAlign w:val="center"/>
          </w:tcPr>
          <w:p w14:paraId="42BF11AC" w14:textId="77777777" w:rsidR="00F31501" w:rsidRPr="00B4515A" w:rsidRDefault="00F3150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1,152.92 </w:t>
            </w:r>
          </w:p>
        </w:tc>
        <w:tc>
          <w:tcPr>
            <w:tcW w:w="815" w:type="pct"/>
            <w:shd w:val="clear" w:color="auto" w:fill="FFFFFF"/>
            <w:tcMar>
              <w:top w:w="0" w:type="dxa"/>
              <w:left w:w="108" w:type="dxa"/>
              <w:bottom w:w="0" w:type="dxa"/>
              <w:right w:w="108" w:type="dxa"/>
            </w:tcMar>
            <w:vAlign w:val="center"/>
          </w:tcPr>
          <w:p w14:paraId="3715D3B1" w14:textId="1F60CD3D" w:rsidR="00F31501" w:rsidRPr="00B4515A" w:rsidRDefault="00F3150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5.04%</w:t>
            </w:r>
          </w:p>
        </w:tc>
      </w:tr>
      <w:tr w:rsidR="00F31501" w:rsidRPr="00B4515A" w14:paraId="71CA527A" w14:textId="77777777" w:rsidTr="00E007D0">
        <w:trPr>
          <w:trHeight w:val="340"/>
          <w:jc w:val="center"/>
        </w:trPr>
        <w:tc>
          <w:tcPr>
            <w:tcW w:w="2247" w:type="pct"/>
            <w:shd w:val="clear" w:color="auto" w:fill="FFFFFF"/>
            <w:tcMar>
              <w:top w:w="0" w:type="dxa"/>
              <w:left w:w="108" w:type="dxa"/>
              <w:bottom w:w="0" w:type="dxa"/>
              <w:right w:w="108" w:type="dxa"/>
            </w:tcMar>
            <w:vAlign w:val="center"/>
          </w:tcPr>
          <w:p w14:paraId="1BD732C0" w14:textId="77777777" w:rsidR="00F31501" w:rsidRPr="00B4515A" w:rsidRDefault="00F3150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上海鸿晔电子科技股份有限公司</w:t>
            </w:r>
          </w:p>
        </w:tc>
        <w:tc>
          <w:tcPr>
            <w:tcW w:w="969" w:type="pct"/>
            <w:shd w:val="clear" w:color="auto" w:fill="FFFFFF"/>
            <w:tcMar>
              <w:top w:w="0" w:type="dxa"/>
              <w:left w:w="108" w:type="dxa"/>
              <w:bottom w:w="0" w:type="dxa"/>
              <w:right w:w="108" w:type="dxa"/>
            </w:tcMar>
            <w:vAlign w:val="center"/>
          </w:tcPr>
          <w:p w14:paraId="29C2B775" w14:textId="77777777" w:rsidR="00F31501" w:rsidRPr="00B4515A" w:rsidRDefault="00F3150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电子元器件类</w:t>
            </w:r>
          </w:p>
        </w:tc>
        <w:tc>
          <w:tcPr>
            <w:tcW w:w="969" w:type="pct"/>
            <w:shd w:val="clear" w:color="auto" w:fill="FFFFFF"/>
            <w:tcMar>
              <w:top w:w="0" w:type="dxa"/>
              <w:left w:w="108" w:type="dxa"/>
              <w:bottom w:w="0" w:type="dxa"/>
              <w:right w:w="108" w:type="dxa"/>
            </w:tcMar>
            <w:vAlign w:val="center"/>
          </w:tcPr>
          <w:p w14:paraId="2E04D6D3" w14:textId="3EB9DEFB" w:rsidR="00F31501" w:rsidRPr="00B4515A" w:rsidRDefault="00F3150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 xml:space="preserve"> 1,131.14 </w:t>
            </w:r>
          </w:p>
        </w:tc>
        <w:tc>
          <w:tcPr>
            <w:tcW w:w="815" w:type="pct"/>
            <w:shd w:val="clear" w:color="auto" w:fill="FFFFFF"/>
            <w:tcMar>
              <w:top w:w="0" w:type="dxa"/>
              <w:left w:w="108" w:type="dxa"/>
              <w:bottom w:w="0" w:type="dxa"/>
              <w:right w:w="108" w:type="dxa"/>
            </w:tcMar>
            <w:vAlign w:val="center"/>
          </w:tcPr>
          <w:p w14:paraId="0AB235E5" w14:textId="6FE35544" w:rsidR="00F31501" w:rsidRPr="00B4515A" w:rsidRDefault="00F3150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4.94%</w:t>
            </w:r>
          </w:p>
        </w:tc>
      </w:tr>
      <w:tr w:rsidR="00E007D0" w:rsidRPr="00B4515A" w14:paraId="7F61DB47" w14:textId="77777777" w:rsidTr="00E007D0">
        <w:trPr>
          <w:trHeight w:val="340"/>
          <w:jc w:val="center"/>
        </w:trPr>
        <w:tc>
          <w:tcPr>
            <w:tcW w:w="2247" w:type="pct"/>
            <w:shd w:val="clear" w:color="auto" w:fill="FFFFFF"/>
            <w:tcMar>
              <w:top w:w="0" w:type="dxa"/>
              <w:left w:w="108" w:type="dxa"/>
              <w:bottom w:w="0" w:type="dxa"/>
              <w:right w:w="108" w:type="dxa"/>
            </w:tcMar>
            <w:vAlign w:val="center"/>
          </w:tcPr>
          <w:p w14:paraId="0BE5702B" w14:textId="7D69535A" w:rsidR="00E007D0" w:rsidRPr="00B4515A" w:rsidRDefault="00034C20" w:rsidP="00E007D0">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某电子科技集团下属企业</w:t>
            </w:r>
          </w:p>
        </w:tc>
        <w:tc>
          <w:tcPr>
            <w:tcW w:w="969" w:type="pct"/>
            <w:shd w:val="clear" w:color="auto" w:fill="FFFFFF"/>
            <w:tcMar>
              <w:top w:w="0" w:type="dxa"/>
              <w:left w:w="108" w:type="dxa"/>
              <w:bottom w:w="0" w:type="dxa"/>
              <w:right w:w="108" w:type="dxa"/>
            </w:tcMar>
            <w:vAlign w:val="center"/>
          </w:tcPr>
          <w:p w14:paraId="7C0CDA57" w14:textId="5F3C7243" w:rsidR="00E007D0" w:rsidRPr="00B4515A" w:rsidRDefault="00E007D0" w:rsidP="00E007D0">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模块部件类</w:t>
            </w:r>
          </w:p>
        </w:tc>
        <w:tc>
          <w:tcPr>
            <w:tcW w:w="969" w:type="pct"/>
            <w:shd w:val="clear" w:color="auto" w:fill="FFFFFF"/>
            <w:tcMar>
              <w:top w:w="0" w:type="dxa"/>
              <w:left w:w="108" w:type="dxa"/>
              <w:bottom w:w="0" w:type="dxa"/>
              <w:right w:w="108" w:type="dxa"/>
            </w:tcMar>
            <w:vAlign w:val="center"/>
          </w:tcPr>
          <w:p w14:paraId="142128B4" w14:textId="2CF85F90" w:rsidR="00E007D0" w:rsidRPr="00B4515A" w:rsidRDefault="00E007D0" w:rsidP="00E007D0">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1</w:t>
            </w:r>
            <w:r w:rsidRPr="00B4515A">
              <w:rPr>
                <w:rFonts w:ascii="Times New Roman" w:hAnsi="Times New Roman" w:cs="Times New Roman" w:hint="eastAsia"/>
                <w:sz w:val="21"/>
                <w:szCs w:val="21"/>
              </w:rPr>
              <w:t>,</w:t>
            </w:r>
            <w:r w:rsidRPr="00B4515A">
              <w:rPr>
                <w:rFonts w:ascii="Times New Roman" w:hAnsi="Times New Roman" w:cs="Times New Roman"/>
                <w:sz w:val="21"/>
                <w:szCs w:val="21"/>
              </w:rPr>
              <w:t xml:space="preserve">009.50 </w:t>
            </w:r>
          </w:p>
        </w:tc>
        <w:tc>
          <w:tcPr>
            <w:tcW w:w="815" w:type="pct"/>
            <w:shd w:val="clear" w:color="auto" w:fill="FFFFFF"/>
            <w:tcMar>
              <w:top w:w="0" w:type="dxa"/>
              <w:left w:w="108" w:type="dxa"/>
              <w:bottom w:w="0" w:type="dxa"/>
              <w:right w:w="108" w:type="dxa"/>
            </w:tcMar>
            <w:vAlign w:val="center"/>
          </w:tcPr>
          <w:p w14:paraId="572346D9" w14:textId="4F76EE61" w:rsidR="00E007D0" w:rsidRPr="00B4515A" w:rsidRDefault="00E007D0" w:rsidP="00E007D0">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4.41%</w:t>
            </w:r>
          </w:p>
        </w:tc>
      </w:tr>
      <w:tr w:rsidR="00F31501" w:rsidRPr="00B4515A" w14:paraId="7448E556" w14:textId="77777777" w:rsidTr="00E007D0">
        <w:trPr>
          <w:trHeight w:val="340"/>
          <w:jc w:val="center"/>
        </w:trPr>
        <w:tc>
          <w:tcPr>
            <w:tcW w:w="2247" w:type="pct"/>
            <w:shd w:val="clear" w:color="auto" w:fill="FFFFFF"/>
            <w:tcMar>
              <w:top w:w="0" w:type="dxa"/>
              <w:left w:w="108" w:type="dxa"/>
              <w:bottom w:w="0" w:type="dxa"/>
              <w:right w:w="108" w:type="dxa"/>
            </w:tcMar>
            <w:vAlign w:val="center"/>
          </w:tcPr>
          <w:p w14:paraId="72B65683" w14:textId="77777777" w:rsidR="00F31501" w:rsidRPr="00B4515A" w:rsidRDefault="00F3150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合计</w:t>
            </w:r>
          </w:p>
        </w:tc>
        <w:tc>
          <w:tcPr>
            <w:tcW w:w="969" w:type="pct"/>
            <w:shd w:val="clear" w:color="auto" w:fill="FFFFFF"/>
            <w:tcMar>
              <w:top w:w="0" w:type="dxa"/>
              <w:left w:w="108" w:type="dxa"/>
              <w:bottom w:w="0" w:type="dxa"/>
              <w:right w:w="108" w:type="dxa"/>
            </w:tcMar>
            <w:vAlign w:val="center"/>
          </w:tcPr>
          <w:p w14:paraId="5821D740" w14:textId="77777777" w:rsidR="00F31501" w:rsidRPr="00B4515A" w:rsidRDefault="00F31501" w:rsidP="005860B4">
            <w:pPr>
              <w:adjustRightInd w:val="0"/>
              <w:snapToGrid w:val="0"/>
              <w:jc w:val="right"/>
              <w:rPr>
                <w:rFonts w:ascii="Times New Roman" w:hAnsi="Times New Roman" w:cs="Times New Roman"/>
                <w:b/>
                <w:bCs/>
                <w:sz w:val="21"/>
                <w:szCs w:val="21"/>
              </w:rPr>
            </w:pPr>
          </w:p>
        </w:tc>
        <w:tc>
          <w:tcPr>
            <w:tcW w:w="969" w:type="pct"/>
            <w:shd w:val="clear" w:color="auto" w:fill="FFFFFF"/>
            <w:tcMar>
              <w:top w:w="0" w:type="dxa"/>
              <w:left w:w="108" w:type="dxa"/>
              <w:bottom w:w="0" w:type="dxa"/>
              <w:right w:w="108" w:type="dxa"/>
            </w:tcMar>
            <w:vAlign w:val="center"/>
          </w:tcPr>
          <w:p w14:paraId="254B8F3D" w14:textId="49A0047C" w:rsidR="00F31501" w:rsidRPr="00B4515A" w:rsidRDefault="00F31501" w:rsidP="005860B4">
            <w:pPr>
              <w:adjustRightInd w:val="0"/>
              <w:snapToGrid w:val="0"/>
              <w:jc w:val="right"/>
              <w:rPr>
                <w:rFonts w:ascii="Times New Roman" w:hAnsi="Times New Roman" w:cs="Times New Roman"/>
                <w:b/>
                <w:bCs/>
                <w:color w:val="333333"/>
                <w:sz w:val="21"/>
                <w:szCs w:val="21"/>
              </w:rPr>
            </w:pPr>
            <w:r w:rsidRPr="00B4515A">
              <w:rPr>
                <w:rFonts w:ascii="Times New Roman" w:hAnsi="Times New Roman" w:cs="Times New Roman"/>
                <w:b/>
                <w:bCs/>
                <w:sz w:val="21"/>
                <w:szCs w:val="21"/>
              </w:rPr>
              <w:t xml:space="preserve"> 10,612.12</w:t>
            </w:r>
          </w:p>
        </w:tc>
        <w:tc>
          <w:tcPr>
            <w:tcW w:w="815" w:type="pct"/>
            <w:shd w:val="clear" w:color="auto" w:fill="FFFFFF"/>
            <w:tcMar>
              <w:top w:w="0" w:type="dxa"/>
              <w:left w:w="108" w:type="dxa"/>
              <w:bottom w:w="0" w:type="dxa"/>
              <w:right w:w="108" w:type="dxa"/>
            </w:tcMar>
            <w:vAlign w:val="center"/>
          </w:tcPr>
          <w:p w14:paraId="5EC2DA98" w14:textId="2BEA8CA3" w:rsidR="00F31501" w:rsidRPr="00B4515A" w:rsidRDefault="00F31501" w:rsidP="005860B4">
            <w:pPr>
              <w:adjustRightInd w:val="0"/>
              <w:snapToGrid w:val="0"/>
              <w:jc w:val="right"/>
              <w:rPr>
                <w:rFonts w:ascii="Times New Roman" w:hAnsi="Times New Roman" w:cs="Times New Roman"/>
                <w:b/>
                <w:bCs/>
                <w:color w:val="333333"/>
                <w:sz w:val="21"/>
                <w:szCs w:val="21"/>
              </w:rPr>
            </w:pPr>
            <w:r w:rsidRPr="00B4515A">
              <w:rPr>
                <w:rFonts w:ascii="Times New Roman" w:hAnsi="Times New Roman" w:cs="Times New Roman"/>
                <w:b/>
                <w:bCs/>
                <w:sz w:val="21"/>
                <w:szCs w:val="21"/>
              </w:rPr>
              <w:t>46.37%</w:t>
            </w:r>
          </w:p>
        </w:tc>
      </w:tr>
    </w:tbl>
    <w:bookmarkEnd w:id="184"/>
    <w:bookmarkEnd w:id="187"/>
    <w:p w14:paraId="2B121858" w14:textId="6D8376C2" w:rsidR="00F31501" w:rsidRPr="00B4515A" w:rsidRDefault="00F31501" w:rsidP="00EE238F">
      <w:pPr>
        <w:pStyle w:val="006"/>
        <w:ind w:firstLine="420"/>
        <w:rPr>
          <w:b/>
        </w:rPr>
      </w:pPr>
      <w:r w:rsidRPr="00B4515A">
        <w:rPr>
          <w:rFonts w:hint="eastAsia"/>
        </w:rPr>
        <w:t>注：</w:t>
      </w:r>
      <w:r w:rsidR="00AC3D3C" w:rsidRPr="00B4515A">
        <w:rPr>
          <w:rFonts w:hint="eastAsia"/>
        </w:rPr>
        <w:t>（</w:t>
      </w:r>
      <w:r w:rsidR="00AC3D3C" w:rsidRPr="00B4515A">
        <w:rPr>
          <w:rFonts w:hint="eastAsia"/>
        </w:rPr>
        <w:t>1</w:t>
      </w:r>
      <w:r w:rsidR="00AC3D3C" w:rsidRPr="00B4515A">
        <w:rPr>
          <w:rFonts w:hint="eastAsia"/>
        </w:rPr>
        <w:t>）</w:t>
      </w:r>
      <w:r w:rsidRPr="00B4515A">
        <w:rPr>
          <w:rFonts w:hint="eastAsia"/>
        </w:rPr>
        <w:t>杭州城芯科技有限公司为浙江臻镭科技股份有限公司的全资子公司。</w:t>
      </w:r>
      <w:r w:rsidR="00AC3D3C" w:rsidRPr="00B4515A">
        <w:rPr>
          <w:rFonts w:eastAsiaTheme="minorEastAsia" w:hint="eastAsia"/>
        </w:rPr>
        <w:t>（</w:t>
      </w:r>
      <w:r w:rsidR="00AC3D3C" w:rsidRPr="00B4515A">
        <w:rPr>
          <w:rFonts w:eastAsiaTheme="minorEastAsia"/>
        </w:rPr>
        <w:t>2</w:t>
      </w:r>
      <w:r w:rsidR="00AC3D3C" w:rsidRPr="00B4515A">
        <w:rPr>
          <w:rFonts w:eastAsiaTheme="minorEastAsia" w:hint="eastAsia"/>
        </w:rPr>
        <w:t>）根据相关规定，公司申请豁免披露相关供应商信息。</w:t>
      </w:r>
    </w:p>
    <w:p w14:paraId="2B931891" w14:textId="4B767E8D" w:rsidR="006416B0" w:rsidRPr="00B4515A" w:rsidRDefault="005E58C1" w:rsidP="005860B4">
      <w:pPr>
        <w:pStyle w:val="003"/>
        <w:spacing w:before="120"/>
        <w:ind w:firstLine="482"/>
      </w:pPr>
      <w:r w:rsidRPr="00B4515A">
        <w:rPr>
          <w:rFonts w:hint="eastAsia"/>
        </w:rPr>
        <w:lastRenderedPageBreak/>
        <w:t>（八）报告期董事、监事、高级管理人员和核心技术人员，其他主要关联方或持有拟购买资产</w:t>
      </w:r>
      <w:r w:rsidRPr="00B4515A">
        <w:rPr>
          <w:rFonts w:hint="eastAsia"/>
        </w:rPr>
        <w:t xml:space="preserve"> 5%</w:t>
      </w:r>
      <w:r w:rsidRPr="00B4515A">
        <w:rPr>
          <w:rFonts w:hint="eastAsia"/>
        </w:rPr>
        <w:t>以上股份的股东在前五名供应商或客户中所占的权益情况</w:t>
      </w:r>
    </w:p>
    <w:p w14:paraId="4522441F" w14:textId="77777777" w:rsidR="006416B0" w:rsidRPr="00B4515A" w:rsidRDefault="005E58C1" w:rsidP="005860B4">
      <w:pPr>
        <w:pStyle w:val="005"/>
        <w:spacing w:before="120" w:after="120"/>
        <w:ind w:firstLine="480"/>
      </w:pPr>
      <w:r w:rsidRPr="00B4515A">
        <w:rPr>
          <w:rFonts w:hint="eastAsia"/>
        </w:rPr>
        <w:t>报告期内，大唐联诚前五大客户及供应商包括中国信科集团及其下属企业，除中国信科集团及其下属企业，大唐联诚不存在董事、监事、高级管理人员和核心技术人员，其他主要关联方或</w:t>
      </w:r>
      <w:r w:rsidRPr="00B4515A">
        <w:rPr>
          <w:rFonts w:hint="eastAsia"/>
          <w:color w:val="000000"/>
        </w:rPr>
        <w:t>持有</w:t>
      </w:r>
      <w:r w:rsidRPr="00B4515A">
        <w:rPr>
          <w:rFonts w:hint="eastAsia"/>
        </w:rPr>
        <w:t>大唐联诚</w:t>
      </w:r>
      <w:r w:rsidRPr="00B4515A">
        <w:rPr>
          <w:rFonts w:hint="eastAsia"/>
        </w:rPr>
        <w:t>5%</w:t>
      </w:r>
      <w:r w:rsidRPr="00B4515A">
        <w:rPr>
          <w:rFonts w:hint="eastAsia"/>
        </w:rPr>
        <w:t>以上股份的股东在前五大客户或供应商中占有权益的情况。</w:t>
      </w:r>
    </w:p>
    <w:p w14:paraId="4E9C441C" w14:textId="77777777" w:rsidR="006416B0" w:rsidRPr="00B4515A" w:rsidRDefault="005E58C1" w:rsidP="005860B4">
      <w:pPr>
        <w:pStyle w:val="003"/>
        <w:spacing w:before="120"/>
        <w:ind w:firstLine="482"/>
      </w:pPr>
      <w:bookmarkStart w:id="188" w:name="_Hlk69226070"/>
      <w:r w:rsidRPr="00B4515A">
        <w:rPr>
          <w:rFonts w:hint="eastAsia"/>
        </w:rPr>
        <w:t>（九）主要产品的质量控制情况</w:t>
      </w:r>
    </w:p>
    <w:p w14:paraId="5BEDC0C2" w14:textId="77777777" w:rsidR="006416B0" w:rsidRPr="00B4515A" w:rsidRDefault="005E58C1" w:rsidP="005860B4">
      <w:pPr>
        <w:pStyle w:val="004"/>
        <w:spacing w:before="120" w:after="120"/>
        <w:ind w:firstLine="482"/>
      </w:pPr>
      <w:bookmarkStart w:id="189" w:name="_Hlk76931970"/>
      <w:r w:rsidRPr="00B4515A">
        <w:t>1</w:t>
      </w:r>
      <w:r w:rsidRPr="00B4515A">
        <w:rPr>
          <w:rFonts w:hint="eastAsia"/>
        </w:rPr>
        <w:t>、质量控制标准</w:t>
      </w:r>
    </w:p>
    <w:p w14:paraId="4B08C378" w14:textId="4CAF90CB" w:rsidR="006416B0" w:rsidRPr="00B4515A" w:rsidRDefault="005E58C1" w:rsidP="005860B4">
      <w:pPr>
        <w:pStyle w:val="005"/>
        <w:spacing w:before="120" w:after="120"/>
        <w:ind w:firstLine="480"/>
      </w:pPr>
      <w:bookmarkStart w:id="190" w:name="_Hlk70282760"/>
      <w:r w:rsidRPr="00B4515A">
        <w:rPr>
          <w:rFonts w:hint="eastAsia"/>
        </w:rPr>
        <w:t>大唐联诚公司按照</w:t>
      </w:r>
      <w:r w:rsidRPr="00B4515A">
        <w:rPr>
          <w:rFonts w:hint="eastAsia"/>
        </w:rPr>
        <w:t>GJB 9001C-2017</w:t>
      </w:r>
      <w:r w:rsidRPr="00B4515A">
        <w:rPr>
          <w:rFonts w:hint="eastAsia"/>
          <w:color w:val="000000"/>
        </w:rPr>
        <w:t>《质量管理体系要求》</w:t>
      </w:r>
      <w:r w:rsidRPr="00B4515A">
        <w:rPr>
          <w:rFonts w:hint="eastAsia"/>
        </w:rPr>
        <w:t>标准，建立公司质量管理体系</w:t>
      </w:r>
      <w:bookmarkEnd w:id="190"/>
      <w:r w:rsidRPr="00B4515A">
        <w:rPr>
          <w:rFonts w:hint="eastAsia"/>
        </w:rPr>
        <w:t>，基于风险管理先进理念，运用过程方法和</w:t>
      </w:r>
      <w:r w:rsidRPr="00B4515A">
        <w:rPr>
          <w:rFonts w:hint="eastAsia"/>
        </w:rPr>
        <w:t>PDCA</w:t>
      </w:r>
      <w:r w:rsidRPr="00B4515A">
        <w:rPr>
          <w:rFonts w:hint="eastAsia"/>
        </w:rPr>
        <w:t>循环方法，贯彻</w:t>
      </w:r>
      <w:r w:rsidRPr="00B4515A">
        <w:rPr>
          <w:rFonts w:hint="eastAsia"/>
        </w:rPr>
        <w:t xml:space="preserve"> </w:t>
      </w:r>
      <w:r w:rsidRPr="00B4515A">
        <w:rPr>
          <w:rFonts w:ascii="宋体" w:hAnsi="宋体" w:hint="eastAsia"/>
        </w:rPr>
        <w:t>“</w:t>
      </w:r>
      <w:r w:rsidRPr="00B4515A">
        <w:rPr>
          <w:rFonts w:hint="eastAsia"/>
        </w:rPr>
        <w:t>质量第一、预防为主、系统管理、一次成功</w:t>
      </w:r>
      <w:r w:rsidRPr="00B4515A">
        <w:rPr>
          <w:rFonts w:ascii="宋体" w:hAnsi="宋体" w:hint="eastAsia"/>
        </w:rPr>
        <w:t>”</w:t>
      </w:r>
      <w:r w:rsidRPr="00B4515A">
        <w:rPr>
          <w:rFonts w:hint="eastAsia"/>
        </w:rPr>
        <w:t>的质量管理要求，为客户提供优质产品和服务，为国家信息化建设贡献力量。</w:t>
      </w:r>
    </w:p>
    <w:p w14:paraId="2A3FA923" w14:textId="77777777" w:rsidR="006416B0" w:rsidRPr="00B4515A" w:rsidRDefault="005E58C1" w:rsidP="005860B4">
      <w:pPr>
        <w:pStyle w:val="004"/>
        <w:spacing w:before="120" w:after="120"/>
        <w:ind w:firstLine="482"/>
      </w:pPr>
      <w:r w:rsidRPr="00B4515A">
        <w:rPr>
          <w:rFonts w:hint="eastAsia"/>
        </w:rPr>
        <w:t>2</w:t>
      </w:r>
      <w:r w:rsidRPr="00B4515A">
        <w:rPr>
          <w:rFonts w:hint="eastAsia"/>
        </w:rPr>
        <w:t>、质量控制措施</w:t>
      </w:r>
    </w:p>
    <w:p w14:paraId="674875AF" w14:textId="77777777" w:rsidR="006416B0" w:rsidRPr="00B4515A" w:rsidRDefault="005E58C1" w:rsidP="005860B4">
      <w:pPr>
        <w:pStyle w:val="005"/>
        <w:spacing w:before="120" w:after="120"/>
        <w:ind w:firstLine="480"/>
      </w:pPr>
      <w:r w:rsidRPr="00B4515A">
        <w:rPr>
          <w:rFonts w:hint="eastAsia"/>
        </w:rPr>
        <w:t>为了保证产品和服务质量，大唐联诚公司采取以下方面的质量控制措施：</w:t>
      </w:r>
    </w:p>
    <w:p w14:paraId="61D7AFD6" w14:textId="77777777" w:rsidR="006416B0" w:rsidRPr="00B4515A" w:rsidRDefault="005E58C1" w:rsidP="005860B4">
      <w:pPr>
        <w:pStyle w:val="005"/>
        <w:spacing w:before="120" w:after="120"/>
        <w:ind w:firstLine="480"/>
      </w:pPr>
      <w:r w:rsidRPr="00B4515A">
        <w:t>1</w:t>
      </w:r>
      <w:r w:rsidRPr="00B4515A">
        <w:rPr>
          <w:rFonts w:hint="eastAsia"/>
        </w:rPr>
        <w:t>）明确质量方针和质量目标，并建立完备的质量手册、程序文件、管理规定、检验规范等体系文件，以指导研发、生产、检验、售后等各过程的质量工作，从制度上、流程上、方法上、职责上保证质量管理和质量控制工作的有序进行；</w:t>
      </w:r>
    </w:p>
    <w:p w14:paraId="2A8188D9" w14:textId="77777777" w:rsidR="006416B0" w:rsidRPr="00B4515A" w:rsidRDefault="005E58C1" w:rsidP="005860B4">
      <w:pPr>
        <w:pStyle w:val="005"/>
        <w:spacing w:before="120" w:after="120"/>
        <w:ind w:firstLine="480"/>
      </w:pPr>
      <w:r w:rsidRPr="00B4515A">
        <w:rPr>
          <w:rFonts w:hint="eastAsia"/>
        </w:rPr>
        <w:t>2</w:t>
      </w:r>
      <w:r w:rsidRPr="00B4515A">
        <w:rPr>
          <w:rFonts w:hint="eastAsia"/>
        </w:rPr>
        <w:t>）充分利用信息化手段，将过程融合到信息化流程中，通过信息化手段固化流程，确保要求得到有效的执行；</w:t>
      </w:r>
    </w:p>
    <w:p w14:paraId="466BBA15" w14:textId="77777777" w:rsidR="006416B0" w:rsidRPr="00B4515A" w:rsidRDefault="005E58C1" w:rsidP="005860B4">
      <w:pPr>
        <w:pStyle w:val="005"/>
        <w:spacing w:before="120" w:after="120"/>
        <w:ind w:firstLine="480"/>
      </w:pPr>
      <w:r w:rsidRPr="00B4515A">
        <w:rPr>
          <w:rFonts w:hint="eastAsia"/>
        </w:rPr>
        <w:t>3</w:t>
      </w:r>
      <w:r w:rsidRPr="00B4515A">
        <w:rPr>
          <w:rFonts w:hint="eastAsia"/>
        </w:rPr>
        <w:t>）为保证新产品的开发和产品生产过程的品质，公司建立了</w:t>
      </w:r>
      <w:r w:rsidRPr="00B4515A">
        <w:rPr>
          <w:rFonts w:hint="eastAsia"/>
        </w:rPr>
        <w:t>EMC</w:t>
      </w:r>
      <w:r w:rsidRPr="00B4515A">
        <w:rPr>
          <w:rFonts w:hint="eastAsia"/>
        </w:rPr>
        <w:t>电磁兼容测试实验室、高低温实验室、振动台实验室。</w:t>
      </w:r>
    </w:p>
    <w:p w14:paraId="2DCE9BE2" w14:textId="77777777" w:rsidR="006416B0" w:rsidRPr="00B4515A" w:rsidRDefault="005E58C1" w:rsidP="005860B4">
      <w:pPr>
        <w:pStyle w:val="004"/>
        <w:spacing w:before="120" w:after="120"/>
        <w:ind w:firstLine="482"/>
      </w:pPr>
      <w:r w:rsidRPr="00B4515A">
        <w:t>3</w:t>
      </w:r>
      <w:r w:rsidRPr="00B4515A">
        <w:rPr>
          <w:rFonts w:hint="eastAsia"/>
        </w:rPr>
        <w:t>、</w:t>
      </w:r>
      <w:bookmarkStart w:id="191" w:name="_Hlk70077237"/>
      <w:r w:rsidRPr="00B4515A">
        <w:rPr>
          <w:rFonts w:hint="eastAsia"/>
        </w:rPr>
        <w:t>质量纠纷情况</w:t>
      </w:r>
      <w:bookmarkEnd w:id="191"/>
    </w:p>
    <w:p w14:paraId="6A3F0849" w14:textId="77777777" w:rsidR="006416B0" w:rsidRPr="00B4515A" w:rsidRDefault="005E58C1" w:rsidP="005860B4">
      <w:pPr>
        <w:pStyle w:val="005"/>
        <w:spacing w:before="120" w:after="120"/>
        <w:ind w:firstLine="480"/>
      </w:pPr>
      <w:bookmarkStart w:id="192" w:name="_Hlk70077243"/>
      <w:bookmarkEnd w:id="188"/>
      <w:r w:rsidRPr="00B4515A">
        <w:rPr>
          <w:rFonts w:hint="eastAsia"/>
        </w:rPr>
        <w:t>报告期内，大唐联诚未发生过因质量问题引起的重大纠纷或因质量问题受到重大行政处罚的情况。</w:t>
      </w:r>
    </w:p>
    <w:p w14:paraId="0F2DDAE6" w14:textId="77777777" w:rsidR="006416B0" w:rsidRPr="00B4515A" w:rsidRDefault="005E58C1" w:rsidP="005860B4">
      <w:pPr>
        <w:pStyle w:val="003"/>
        <w:spacing w:before="120"/>
        <w:ind w:firstLine="482"/>
      </w:pPr>
      <w:bookmarkStart w:id="193" w:name="_Hlk69226086"/>
      <w:bookmarkEnd w:id="192"/>
      <w:r w:rsidRPr="00B4515A">
        <w:rPr>
          <w:rFonts w:hint="eastAsia"/>
        </w:rPr>
        <w:lastRenderedPageBreak/>
        <w:t>（十）主要产品生产技术和核心技术人员情况</w:t>
      </w:r>
    </w:p>
    <w:p w14:paraId="6D335F20" w14:textId="77777777" w:rsidR="006416B0" w:rsidRPr="00B4515A" w:rsidRDefault="005E58C1" w:rsidP="005860B4">
      <w:pPr>
        <w:pStyle w:val="004"/>
        <w:spacing w:before="120" w:after="120"/>
        <w:ind w:firstLine="482"/>
      </w:pPr>
      <w:r w:rsidRPr="00B4515A">
        <w:t>1</w:t>
      </w:r>
      <w:r w:rsidRPr="00B4515A">
        <w:rPr>
          <w:rFonts w:hint="eastAsia"/>
        </w:rPr>
        <w:t>、主要产品生产技术情况</w:t>
      </w:r>
    </w:p>
    <w:p w14:paraId="66D549F4" w14:textId="77777777" w:rsidR="006416B0" w:rsidRPr="00B4515A" w:rsidRDefault="005E58C1" w:rsidP="005860B4">
      <w:pPr>
        <w:pStyle w:val="005"/>
        <w:spacing w:before="120" w:after="120"/>
        <w:ind w:firstLine="480"/>
      </w:pPr>
      <w:r w:rsidRPr="00B4515A">
        <w:t>在</w:t>
      </w:r>
      <w:r w:rsidRPr="00B4515A">
        <w:rPr>
          <w:rFonts w:hint="eastAsia"/>
        </w:rPr>
        <w:t>专</w:t>
      </w:r>
      <w:r w:rsidRPr="00B4515A">
        <w:t>用移动通信业务领域，大唐联诚在技术上先后突破了大范围覆盖、高移动性、复杂电磁环境适应性等关键技术，完成了交换控制类、接入类、终端类等产品研制，掌握了基于软件</w:t>
      </w:r>
      <w:r w:rsidRPr="00B4515A">
        <w:rPr>
          <w:rFonts w:hint="eastAsia"/>
        </w:rPr>
        <w:t>无线电技术</w:t>
      </w:r>
      <w:r w:rsidRPr="00B4515A">
        <w:t>的软硬件平台开发和波形软件开发技术。</w:t>
      </w:r>
    </w:p>
    <w:p w14:paraId="1F83153F" w14:textId="77777777" w:rsidR="006416B0" w:rsidRPr="00B4515A" w:rsidRDefault="005E58C1" w:rsidP="005860B4">
      <w:pPr>
        <w:pStyle w:val="005"/>
        <w:spacing w:before="120" w:after="120"/>
        <w:ind w:firstLine="480"/>
      </w:pPr>
      <w:r w:rsidRPr="00B4515A">
        <w:t>在</w:t>
      </w:r>
      <w:r w:rsidRPr="00B4515A">
        <w:rPr>
          <w:rFonts w:hint="eastAsia"/>
        </w:rPr>
        <w:t>专</w:t>
      </w:r>
      <w:r w:rsidRPr="00B4515A">
        <w:t>用宽带电台业务领域，</w:t>
      </w:r>
      <w:r w:rsidRPr="00B4515A">
        <w:rPr>
          <w:rFonts w:hint="eastAsia"/>
        </w:rPr>
        <w:t>大唐联诚掌握了宽带自组网、空地一体化动态组网和低功耗小型化硬件平台等相关技术，可有效满足客户灵活、机动的通信需求。</w:t>
      </w:r>
    </w:p>
    <w:p w14:paraId="02D2D22E" w14:textId="77777777" w:rsidR="006416B0" w:rsidRPr="00B4515A" w:rsidRDefault="005E58C1" w:rsidP="005860B4">
      <w:pPr>
        <w:pStyle w:val="005"/>
        <w:spacing w:before="120" w:after="120"/>
        <w:ind w:firstLine="480"/>
      </w:pPr>
      <w:r w:rsidRPr="00B4515A">
        <w:t>在宽带移动安全应用业务领域，</w:t>
      </w:r>
      <w:r w:rsidRPr="00B4515A">
        <w:rPr>
          <w:rFonts w:hint="eastAsia"/>
        </w:rPr>
        <w:t>大唐联诚拥有终端加密、多网融合等关键技术，</w:t>
      </w:r>
      <w:r w:rsidRPr="00B4515A">
        <w:t>依托</w:t>
      </w:r>
      <w:r w:rsidRPr="00B4515A">
        <w:t>3G/4G/5G</w:t>
      </w:r>
      <w:r w:rsidRPr="00B4515A">
        <w:t>公网，通过无线加密、多网</w:t>
      </w:r>
      <w:r w:rsidRPr="00B4515A">
        <w:rPr>
          <w:rFonts w:hint="eastAsia"/>
        </w:rPr>
        <w:t>融合</w:t>
      </w:r>
      <w:r w:rsidRPr="00B4515A">
        <w:t>的方式构建安全、可靠的专用移动传输网，并为用户提供专用加密传输方案、后台应用平台和各型终端产品。</w:t>
      </w:r>
    </w:p>
    <w:p w14:paraId="6CD5DC57" w14:textId="77777777" w:rsidR="006416B0" w:rsidRPr="00B4515A" w:rsidRDefault="005E58C1" w:rsidP="005860B4">
      <w:pPr>
        <w:pStyle w:val="004"/>
        <w:spacing w:before="120" w:after="120"/>
        <w:ind w:firstLine="482"/>
      </w:pPr>
      <w:r w:rsidRPr="00B4515A">
        <w:t>2</w:t>
      </w:r>
      <w:r w:rsidRPr="00B4515A">
        <w:rPr>
          <w:rFonts w:hint="eastAsia"/>
        </w:rPr>
        <w:t>、主要核心技术</w:t>
      </w:r>
    </w:p>
    <w:p w14:paraId="6372E733" w14:textId="77777777" w:rsidR="006416B0" w:rsidRPr="00B4515A" w:rsidRDefault="005E58C1" w:rsidP="005860B4">
      <w:pPr>
        <w:pStyle w:val="005"/>
        <w:spacing w:before="120" w:after="120"/>
        <w:ind w:firstLine="480"/>
      </w:pPr>
      <w:r w:rsidRPr="00B4515A">
        <w:rPr>
          <w:rFonts w:hint="eastAsia"/>
        </w:rPr>
        <w:t>大唐联诚主要产品的核心技术如下：</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02"/>
        <w:gridCol w:w="3404"/>
        <w:gridCol w:w="1889"/>
        <w:gridCol w:w="2133"/>
      </w:tblGrid>
      <w:tr w:rsidR="006416B0" w:rsidRPr="00B4515A" w14:paraId="509DB089" w14:textId="77777777" w:rsidTr="00031627">
        <w:trPr>
          <w:trHeight w:val="340"/>
          <w:jc w:val="center"/>
        </w:trPr>
        <w:tc>
          <w:tcPr>
            <w:tcW w:w="1101" w:type="dxa"/>
            <w:tcMar>
              <w:top w:w="0" w:type="dxa"/>
              <w:left w:w="108" w:type="dxa"/>
              <w:bottom w:w="0" w:type="dxa"/>
              <w:right w:w="108" w:type="dxa"/>
            </w:tcMar>
            <w:vAlign w:val="center"/>
          </w:tcPr>
          <w:bookmarkEnd w:id="193"/>
          <w:p w14:paraId="4A1C682B" w14:textId="77777777" w:rsidR="006416B0" w:rsidRPr="00B4515A" w:rsidRDefault="005E58C1" w:rsidP="005860B4">
            <w:pPr>
              <w:pStyle w:val="aff2"/>
              <w:adjustRightInd w:val="0"/>
              <w:snapToGrid w:val="0"/>
              <w:ind w:firstLineChars="0" w:firstLine="0"/>
              <w:jc w:val="center"/>
              <w:rPr>
                <w:rFonts w:ascii="Times New Roman" w:hAnsi="Times New Roman" w:cs="Times New Roman"/>
                <w:b/>
                <w:sz w:val="21"/>
                <w:szCs w:val="21"/>
              </w:rPr>
            </w:pPr>
            <w:r w:rsidRPr="00B4515A">
              <w:rPr>
                <w:rFonts w:ascii="Times New Roman" w:hAnsi="Times New Roman" w:cs="Times New Roman"/>
                <w:b/>
                <w:sz w:val="21"/>
                <w:szCs w:val="21"/>
              </w:rPr>
              <w:t>序号</w:t>
            </w:r>
          </w:p>
        </w:tc>
        <w:tc>
          <w:tcPr>
            <w:tcW w:w="3402" w:type="dxa"/>
            <w:tcMar>
              <w:top w:w="0" w:type="dxa"/>
              <w:left w:w="108" w:type="dxa"/>
              <w:bottom w:w="0" w:type="dxa"/>
              <w:right w:w="108" w:type="dxa"/>
            </w:tcMar>
            <w:vAlign w:val="center"/>
          </w:tcPr>
          <w:p w14:paraId="3ED50EE4" w14:textId="77777777" w:rsidR="006416B0" w:rsidRPr="00B4515A" w:rsidRDefault="005E58C1" w:rsidP="005860B4">
            <w:pPr>
              <w:pStyle w:val="aff2"/>
              <w:adjustRightInd w:val="0"/>
              <w:snapToGrid w:val="0"/>
              <w:ind w:firstLineChars="0" w:firstLine="0"/>
              <w:jc w:val="center"/>
              <w:rPr>
                <w:rFonts w:ascii="Times New Roman" w:hAnsi="Times New Roman" w:cs="Times New Roman"/>
                <w:b/>
                <w:sz w:val="21"/>
                <w:szCs w:val="21"/>
              </w:rPr>
            </w:pPr>
            <w:r w:rsidRPr="00B4515A">
              <w:rPr>
                <w:rFonts w:ascii="Times New Roman" w:hAnsi="Times New Roman" w:cs="Times New Roman"/>
                <w:b/>
                <w:sz w:val="21"/>
                <w:szCs w:val="21"/>
              </w:rPr>
              <w:t>技术名称</w:t>
            </w:r>
          </w:p>
        </w:tc>
        <w:tc>
          <w:tcPr>
            <w:tcW w:w="1888" w:type="dxa"/>
            <w:tcMar>
              <w:top w:w="0" w:type="dxa"/>
              <w:left w:w="108" w:type="dxa"/>
              <w:bottom w:w="0" w:type="dxa"/>
              <w:right w:w="108" w:type="dxa"/>
            </w:tcMar>
            <w:vAlign w:val="center"/>
          </w:tcPr>
          <w:p w14:paraId="0EA90F6E" w14:textId="77777777" w:rsidR="006416B0" w:rsidRPr="00B4515A" w:rsidRDefault="005E58C1" w:rsidP="005860B4">
            <w:pPr>
              <w:pStyle w:val="aff2"/>
              <w:adjustRightInd w:val="0"/>
              <w:snapToGrid w:val="0"/>
              <w:ind w:firstLineChars="0" w:firstLine="0"/>
              <w:rPr>
                <w:rFonts w:ascii="Times New Roman" w:hAnsi="Times New Roman" w:cs="Times New Roman"/>
                <w:b/>
                <w:sz w:val="21"/>
                <w:szCs w:val="21"/>
              </w:rPr>
            </w:pPr>
            <w:r w:rsidRPr="00B4515A">
              <w:rPr>
                <w:rFonts w:ascii="Times New Roman" w:hAnsi="Times New Roman" w:cs="Times New Roman"/>
                <w:b/>
                <w:sz w:val="21"/>
                <w:szCs w:val="21"/>
              </w:rPr>
              <w:t>取得方式</w:t>
            </w:r>
          </w:p>
        </w:tc>
        <w:tc>
          <w:tcPr>
            <w:tcW w:w="2131" w:type="dxa"/>
            <w:tcMar>
              <w:top w:w="0" w:type="dxa"/>
              <w:left w:w="108" w:type="dxa"/>
              <w:bottom w:w="0" w:type="dxa"/>
              <w:right w:w="108" w:type="dxa"/>
            </w:tcMar>
            <w:vAlign w:val="center"/>
          </w:tcPr>
          <w:p w14:paraId="06C1B732" w14:textId="77777777" w:rsidR="006416B0" w:rsidRPr="00B4515A" w:rsidRDefault="005E58C1" w:rsidP="005860B4">
            <w:pPr>
              <w:pStyle w:val="aff2"/>
              <w:adjustRightInd w:val="0"/>
              <w:snapToGrid w:val="0"/>
              <w:ind w:firstLineChars="0" w:firstLine="0"/>
              <w:rPr>
                <w:rFonts w:ascii="Times New Roman" w:hAnsi="Times New Roman" w:cs="Times New Roman"/>
                <w:b/>
                <w:sz w:val="21"/>
                <w:szCs w:val="21"/>
              </w:rPr>
            </w:pPr>
            <w:r w:rsidRPr="00B4515A">
              <w:rPr>
                <w:rFonts w:ascii="Times New Roman" w:hAnsi="Times New Roman" w:cs="Times New Roman"/>
                <w:b/>
                <w:sz w:val="21"/>
                <w:szCs w:val="21"/>
              </w:rPr>
              <w:t>所处阶段及说明</w:t>
            </w:r>
          </w:p>
        </w:tc>
      </w:tr>
      <w:tr w:rsidR="006416B0" w:rsidRPr="00B4515A" w14:paraId="7A5ACFF7" w14:textId="77777777" w:rsidTr="00031627">
        <w:trPr>
          <w:trHeight w:val="340"/>
          <w:jc w:val="center"/>
        </w:trPr>
        <w:tc>
          <w:tcPr>
            <w:tcW w:w="1101" w:type="dxa"/>
            <w:tcMar>
              <w:top w:w="0" w:type="dxa"/>
              <w:left w:w="108" w:type="dxa"/>
              <w:bottom w:w="0" w:type="dxa"/>
              <w:right w:w="108" w:type="dxa"/>
            </w:tcMar>
            <w:vAlign w:val="center"/>
          </w:tcPr>
          <w:p w14:paraId="4C8A5A86" w14:textId="77777777" w:rsidR="006416B0" w:rsidRPr="00B4515A" w:rsidRDefault="005E58C1" w:rsidP="005860B4">
            <w:pPr>
              <w:pStyle w:val="aff2"/>
              <w:adjustRightInd w:val="0"/>
              <w:snapToGrid w:val="0"/>
              <w:ind w:firstLineChars="0" w:firstLine="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3402" w:type="dxa"/>
            <w:tcMar>
              <w:top w:w="0" w:type="dxa"/>
              <w:left w:w="108" w:type="dxa"/>
              <w:bottom w:w="0" w:type="dxa"/>
              <w:right w:w="108" w:type="dxa"/>
            </w:tcMar>
            <w:vAlign w:val="center"/>
          </w:tcPr>
          <w:p w14:paraId="72BFAFF3"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超短波宽带通信技术</w:t>
            </w:r>
          </w:p>
        </w:tc>
        <w:tc>
          <w:tcPr>
            <w:tcW w:w="1888" w:type="dxa"/>
            <w:tcMar>
              <w:top w:w="0" w:type="dxa"/>
              <w:left w:w="108" w:type="dxa"/>
              <w:bottom w:w="0" w:type="dxa"/>
              <w:right w:w="108" w:type="dxa"/>
            </w:tcMar>
            <w:vAlign w:val="center"/>
          </w:tcPr>
          <w:p w14:paraId="3ECE0559"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自主研发</w:t>
            </w:r>
          </w:p>
        </w:tc>
        <w:tc>
          <w:tcPr>
            <w:tcW w:w="2131" w:type="dxa"/>
            <w:tcMar>
              <w:top w:w="0" w:type="dxa"/>
              <w:left w:w="108" w:type="dxa"/>
              <w:bottom w:w="0" w:type="dxa"/>
              <w:right w:w="108" w:type="dxa"/>
            </w:tcMar>
            <w:vAlign w:val="center"/>
          </w:tcPr>
          <w:p w14:paraId="00AFFBC8"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量产阶段</w:t>
            </w:r>
          </w:p>
        </w:tc>
      </w:tr>
      <w:tr w:rsidR="006416B0" w:rsidRPr="00B4515A" w14:paraId="4B372998" w14:textId="77777777" w:rsidTr="00031627">
        <w:trPr>
          <w:trHeight w:val="340"/>
          <w:jc w:val="center"/>
        </w:trPr>
        <w:tc>
          <w:tcPr>
            <w:tcW w:w="1101" w:type="dxa"/>
            <w:tcMar>
              <w:top w:w="0" w:type="dxa"/>
              <w:left w:w="108" w:type="dxa"/>
              <w:bottom w:w="0" w:type="dxa"/>
              <w:right w:w="108" w:type="dxa"/>
            </w:tcMar>
            <w:vAlign w:val="center"/>
          </w:tcPr>
          <w:p w14:paraId="08E92C4C" w14:textId="77777777" w:rsidR="006416B0" w:rsidRPr="00B4515A" w:rsidRDefault="005E58C1" w:rsidP="005860B4">
            <w:pPr>
              <w:pStyle w:val="aff2"/>
              <w:adjustRightInd w:val="0"/>
              <w:snapToGrid w:val="0"/>
              <w:ind w:firstLineChars="0" w:firstLine="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3402" w:type="dxa"/>
            <w:tcMar>
              <w:top w:w="0" w:type="dxa"/>
              <w:left w:w="108" w:type="dxa"/>
              <w:bottom w:w="0" w:type="dxa"/>
              <w:right w:w="108" w:type="dxa"/>
            </w:tcMar>
            <w:vAlign w:val="center"/>
          </w:tcPr>
          <w:p w14:paraId="74551E79"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大规模组网技术</w:t>
            </w:r>
          </w:p>
        </w:tc>
        <w:tc>
          <w:tcPr>
            <w:tcW w:w="1888" w:type="dxa"/>
            <w:tcMar>
              <w:top w:w="0" w:type="dxa"/>
              <w:left w:w="108" w:type="dxa"/>
              <w:bottom w:w="0" w:type="dxa"/>
              <w:right w:w="108" w:type="dxa"/>
            </w:tcMar>
            <w:vAlign w:val="center"/>
          </w:tcPr>
          <w:p w14:paraId="007EF103"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自主研发</w:t>
            </w:r>
          </w:p>
        </w:tc>
        <w:tc>
          <w:tcPr>
            <w:tcW w:w="2131" w:type="dxa"/>
            <w:tcMar>
              <w:top w:w="0" w:type="dxa"/>
              <w:left w:w="108" w:type="dxa"/>
              <w:bottom w:w="0" w:type="dxa"/>
              <w:right w:w="108" w:type="dxa"/>
            </w:tcMar>
            <w:vAlign w:val="center"/>
          </w:tcPr>
          <w:p w14:paraId="20F0A6AE"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量产阶段</w:t>
            </w:r>
          </w:p>
        </w:tc>
      </w:tr>
      <w:tr w:rsidR="006416B0" w:rsidRPr="00B4515A" w14:paraId="54B59215" w14:textId="77777777" w:rsidTr="00031627">
        <w:trPr>
          <w:trHeight w:val="340"/>
          <w:jc w:val="center"/>
        </w:trPr>
        <w:tc>
          <w:tcPr>
            <w:tcW w:w="1101" w:type="dxa"/>
            <w:tcMar>
              <w:top w:w="0" w:type="dxa"/>
              <w:left w:w="108" w:type="dxa"/>
              <w:bottom w:w="0" w:type="dxa"/>
              <w:right w:w="108" w:type="dxa"/>
            </w:tcMar>
            <w:vAlign w:val="center"/>
          </w:tcPr>
          <w:p w14:paraId="1E437D08" w14:textId="77777777" w:rsidR="006416B0" w:rsidRPr="00B4515A" w:rsidRDefault="005E58C1" w:rsidP="005860B4">
            <w:pPr>
              <w:pStyle w:val="aff2"/>
              <w:adjustRightInd w:val="0"/>
              <w:snapToGrid w:val="0"/>
              <w:ind w:firstLineChars="0" w:firstLine="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3402" w:type="dxa"/>
            <w:tcMar>
              <w:top w:w="0" w:type="dxa"/>
              <w:left w:w="108" w:type="dxa"/>
              <w:bottom w:w="0" w:type="dxa"/>
              <w:right w:w="108" w:type="dxa"/>
            </w:tcMar>
            <w:vAlign w:val="center"/>
          </w:tcPr>
          <w:p w14:paraId="1E205EBF"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宽带数据链技术</w:t>
            </w:r>
          </w:p>
        </w:tc>
        <w:tc>
          <w:tcPr>
            <w:tcW w:w="1888" w:type="dxa"/>
            <w:tcMar>
              <w:top w:w="0" w:type="dxa"/>
              <w:left w:w="108" w:type="dxa"/>
              <w:bottom w:w="0" w:type="dxa"/>
              <w:right w:w="108" w:type="dxa"/>
            </w:tcMar>
            <w:vAlign w:val="center"/>
          </w:tcPr>
          <w:p w14:paraId="5ADF79C3"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自主研发</w:t>
            </w:r>
          </w:p>
        </w:tc>
        <w:tc>
          <w:tcPr>
            <w:tcW w:w="2131" w:type="dxa"/>
            <w:tcMar>
              <w:top w:w="0" w:type="dxa"/>
              <w:left w:w="108" w:type="dxa"/>
              <w:bottom w:w="0" w:type="dxa"/>
              <w:right w:w="108" w:type="dxa"/>
            </w:tcMar>
            <w:vAlign w:val="center"/>
          </w:tcPr>
          <w:p w14:paraId="4A4F0668"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量产阶段</w:t>
            </w:r>
          </w:p>
        </w:tc>
      </w:tr>
      <w:tr w:rsidR="006416B0" w:rsidRPr="00B4515A" w14:paraId="1CCD659D" w14:textId="77777777" w:rsidTr="00031627">
        <w:trPr>
          <w:trHeight w:val="340"/>
          <w:jc w:val="center"/>
        </w:trPr>
        <w:tc>
          <w:tcPr>
            <w:tcW w:w="1101" w:type="dxa"/>
            <w:tcMar>
              <w:top w:w="0" w:type="dxa"/>
              <w:left w:w="108" w:type="dxa"/>
              <w:bottom w:w="0" w:type="dxa"/>
              <w:right w:w="108" w:type="dxa"/>
            </w:tcMar>
            <w:vAlign w:val="center"/>
          </w:tcPr>
          <w:p w14:paraId="54B20259" w14:textId="77777777" w:rsidR="006416B0" w:rsidRPr="00B4515A" w:rsidRDefault="005E58C1" w:rsidP="005860B4">
            <w:pPr>
              <w:pStyle w:val="aff2"/>
              <w:adjustRightInd w:val="0"/>
              <w:snapToGrid w:val="0"/>
              <w:ind w:firstLineChars="0" w:firstLine="0"/>
              <w:jc w:val="center"/>
              <w:rPr>
                <w:rFonts w:ascii="Times New Roman" w:hAnsi="Times New Roman" w:cs="Times New Roman"/>
                <w:sz w:val="21"/>
                <w:szCs w:val="21"/>
              </w:rPr>
            </w:pPr>
            <w:r w:rsidRPr="00B4515A">
              <w:rPr>
                <w:rFonts w:ascii="Times New Roman" w:hAnsi="Times New Roman" w:cs="Times New Roman"/>
                <w:sz w:val="21"/>
                <w:szCs w:val="21"/>
              </w:rPr>
              <w:t>4</w:t>
            </w:r>
          </w:p>
        </w:tc>
        <w:tc>
          <w:tcPr>
            <w:tcW w:w="3402" w:type="dxa"/>
            <w:tcMar>
              <w:top w:w="0" w:type="dxa"/>
              <w:left w:w="108" w:type="dxa"/>
              <w:bottom w:w="0" w:type="dxa"/>
              <w:right w:w="108" w:type="dxa"/>
            </w:tcMar>
            <w:vAlign w:val="center"/>
          </w:tcPr>
          <w:p w14:paraId="4C10FE8D"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无线自组网技术</w:t>
            </w:r>
          </w:p>
        </w:tc>
        <w:tc>
          <w:tcPr>
            <w:tcW w:w="1888" w:type="dxa"/>
            <w:tcMar>
              <w:top w:w="0" w:type="dxa"/>
              <w:left w:w="108" w:type="dxa"/>
              <w:bottom w:w="0" w:type="dxa"/>
              <w:right w:w="108" w:type="dxa"/>
            </w:tcMar>
            <w:vAlign w:val="center"/>
          </w:tcPr>
          <w:p w14:paraId="4302487B"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自主研发</w:t>
            </w:r>
          </w:p>
        </w:tc>
        <w:tc>
          <w:tcPr>
            <w:tcW w:w="2131" w:type="dxa"/>
            <w:tcMar>
              <w:top w:w="0" w:type="dxa"/>
              <w:left w:w="108" w:type="dxa"/>
              <w:bottom w:w="0" w:type="dxa"/>
              <w:right w:w="108" w:type="dxa"/>
            </w:tcMar>
            <w:vAlign w:val="center"/>
          </w:tcPr>
          <w:p w14:paraId="49A367AE"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量产阶段</w:t>
            </w:r>
          </w:p>
        </w:tc>
      </w:tr>
      <w:tr w:rsidR="006416B0" w:rsidRPr="00B4515A" w14:paraId="2A4632FA" w14:textId="77777777" w:rsidTr="00031627">
        <w:trPr>
          <w:trHeight w:val="340"/>
          <w:jc w:val="center"/>
        </w:trPr>
        <w:tc>
          <w:tcPr>
            <w:tcW w:w="1101" w:type="dxa"/>
            <w:tcMar>
              <w:top w:w="0" w:type="dxa"/>
              <w:left w:w="108" w:type="dxa"/>
              <w:bottom w:w="0" w:type="dxa"/>
              <w:right w:w="108" w:type="dxa"/>
            </w:tcMar>
            <w:vAlign w:val="center"/>
          </w:tcPr>
          <w:p w14:paraId="0EC004FD" w14:textId="77777777" w:rsidR="006416B0" w:rsidRPr="00B4515A" w:rsidRDefault="005E58C1" w:rsidP="005860B4">
            <w:pPr>
              <w:pStyle w:val="aff2"/>
              <w:adjustRightInd w:val="0"/>
              <w:snapToGrid w:val="0"/>
              <w:ind w:firstLineChars="0" w:firstLine="0"/>
              <w:jc w:val="center"/>
              <w:rPr>
                <w:rFonts w:ascii="Times New Roman" w:hAnsi="Times New Roman" w:cs="Times New Roman"/>
                <w:sz w:val="21"/>
                <w:szCs w:val="21"/>
              </w:rPr>
            </w:pPr>
            <w:r w:rsidRPr="00B4515A">
              <w:rPr>
                <w:rFonts w:ascii="Times New Roman" w:hAnsi="Times New Roman" w:cs="Times New Roman"/>
                <w:sz w:val="21"/>
                <w:szCs w:val="21"/>
              </w:rPr>
              <w:t>5</w:t>
            </w:r>
          </w:p>
        </w:tc>
        <w:tc>
          <w:tcPr>
            <w:tcW w:w="3402" w:type="dxa"/>
            <w:tcMar>
              <w:top w:w="0" w:type="dxa"/>
              <w:left w:w="108" w:type="dxa"/>
              <w:bottom w:w="0" w:type="dxa"/>
              <w:right w:w="108" w:type="dxa"/>
            </w:tcMar>
            <w:vAlign w:val="center"/>
          </w:tcPr>
          <w:p w14:paraId="778C264A"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卫星通信技术</w:t>
            </w:r>
          </w:p>
        </w:tc>
        <w:tc>
          <w:tcPr>
            <w:tcW w:w="1888" w:type="dxa"/>
            <w:tcMar>
              <w:top w:w="0" w:type="dxa"/>
              <w:left w:w="108" w:type="dxa"/>
              <w:bottom w:w="0" w:type="dxa"/>
              <w:right w:w="108" w:type="dxa"/>
            </w:tcMar>
            <w:vAlign w:val="center"/>
          </w:tcPr>
          <w:p w14:paraId="56A5D08E"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自主研发</w:t>
            </w:r>
          </w:p>
        </w:tc>
        <w:tc>
          <w:tcPr>
            <w:tcW w:w="2131" w:type="dxa"/>
            <w:tcMar>
              <w:top w:w="0" w:type="dxa"/>
              <w:left w:w="108" w:type="dxa"/>
              <w:bottom w:w="0" w:type="dxa"/>
              <w:right w:w="108" w:type="dxa"/>
            </w:tcMar>
            <w:vAlign w:val="center"/>
          </w:tcPr>
          <w:p w14:paraId="323EB22D"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量产阶段</w:t>
            </w:r>
          </w:p>
        </w:tc>
      </w:tr>
      <w:tr w:rsidR="006416B0" w:rsidRPr="00B4515A" w14:paraId="5C8B6D6F" w14:textId="77777777" w:rsidTr="00031627">
        <w:trPr>
          <w:trHeight w:val="340"/>
          <w:jc w:val="center"/>
        </w:trPr>
        <w:tc>
          <w:tcPr>
            <w:tcW w:w="1101" w:type="dxa"/>
            <w:tcMar>
              <w:top w:w="0" w:type="dxa"/>
              <w:left w:w="108" w:type="dxa"/>
              <w:bottom w:w="0" w:type="dxa"/>
              <w:right w:w="108" w:type="dxa"/>
            </w:tcMar>
            <w:vAlign w:val="center"/>
          </w:tcPr>
          <w:p w14:paraId="621E775C" w14:textId="77777777" w:rsidR="006416B0" w:rsidRPr="00B4515A" w:rsidRDefault="005E58C1" w:rsidP="005860B4">
            <w:pPr>
              <w:pStyle w:val="aff2"/>
              <w:adjustRightInd w:val="0"/>
              <w:snapToGrid w:val="0"/>
              <w:ind w:firstLineChars="0" w:firstLine="0"/>
              <w:jc w:val="center"/>
              <w:rPr>
                <w:rFonts w:ascii="Times New Roman" w:hAnsi="Times New Roman" w:cs="Times New Roman"/>
                <w:sz w:val="21"/>
                <w:szCs w:val="21"/>
              </w:rPr>
            </w:pPr>
            <w:r w:rsidRPr="00B4515A">
              <w:rPr>
                <w:rFonts w:ascii="Times New Roman" w:hAnsi="Times New Roman" w:cs="Times New Roman"/>
                <w:sz w:val="21"/>
                <w:szCs w:val="21"/>
              </w:rPr>
              <w:t>6</w:t>
            </w:r>
          </w:p>
        </w:tc>
        <w:tc>
          <w:tcPr>
            <w:tcW w:w="3402" w:type="dxa"/>
            <w:tcMar>
              <w:top w:w="0" w:type="dxa"/>
              <w:left w:w="108" w:type="dxa"/>
              <w:bottom w:w="0" w:type="dxa"/>
              <w:right w:w="108" w:type="dxa"/>
            </w:tcMar>
            <w:vAlign w:val="center"/>
          </w:tcPr>
          <w:p w14:paraId="45D5FCC2"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软件无线电技术</w:t>
            </w:r>
          </w:p>
        </w:tc>
        <w:tc>
          <w:tcPr>
            <w:tcW w:w="1888" w:type="dxa"/>
            <w:tcMar>
              <w:top w:w="0" w:type="dxa"/>
              <w:left w:w="108" w:type="dxa"/>
              <w:bottom w:w="0" w:type="dxa"/>
              <w:right w:w="108" w:type="dxa"/>
            </w:tcMar>
            <w:vAlign w:val="center"/>
          </w:tcPr>
          <w:p w14:paraId="3D4E6D60"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自主研发</w:t>
            </w:r>
          </w:p>
        </w:tc>
        <w:tc>
          <w:tcPr>
            <w:tcW w:w="2131" w:type="dxa"/>
            <w:tcMar>
              <w:top w:w="0" w:type="dxa"/>
              <w:left w:w="108" w:type="dxa"/>
              <w:bottom w:w="0" w:type="dxa"/>
              <w:right w:w="108" w:type="dxa"/>
            </w:tcMar>
            <w:vAlign w:val="center"/>
          </w:tcPr>
          <w:p w14:paraId="04C6DFFC"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量产阶段</w:t>
            </w:r>
          </w:p>
        </w:tc>
      </w:tr>
      <w:tr w:rsidR="006416B0" w:rsidRPr="00B4515A" w14:paraId="5956D62B" w14:textId="77777777" w:rsidTr="00031627">
        <w:trPr>
          <w:trHeight w:val="340"/>
          <w:jc w:val="center"/>
        </w:trPr>
        <w:tc>
          <w:tcPr>
            <w:tcW w:w="1101" w:type="dxa"/>
            <w:tcMar>
              <w:top w:w="0" w:type="dxa"/>
              <w:left w:w="108" w:type="dxa"/>
              <w:bottom w:w="0" w:type="dxa"/>
              <w:right w:w="108" w:type="dxa"/>
            </w:tcMar>
            <w:vAlign w:val="center"/>
          </w:tcPr>
          <w:p w14:paraId="6BF21F93" w14:textId="77777777" w:rsidR="006416B0" w:rsidRPr="00B4515A" w:rsidRDefault="005E58C1" w:rsidP="005860B4">
            <w:pPr>
              <w:pStyle w:val="aff2"/>
              <w:adjustRightInd w:val="0"/>
              <w:snapToGrid w:val="0"/>
              <w:ind w:firstLineChars="0" w:firstLine="0"/>
              <w:jc w:val="center"/>
              <w:rPr>
                <w:rFonts w:ascii="Times New Roman" w:hAnsi="Times New Roman" w:cs="Times New Roman"/>
                <w:sz w:val="21"/>
                <w:szCs w:val="21"/>
              </w:rPr>
            </w:pPr>
            <w:r w:rsidRPr="00B4515A">
              <w:rPr>
                <w:rFonts w:ascii="Times New Roman" w:hAnsi="Times New Roman" w:cs="Times New Roman"/>
                <w:sz w:val="21"/>
                <w:szCs w:val="21"/>
              </w:rPr>
              <w:t>7</w:t>
            </w:r>
          </w:p>
        </w:tc>
        <w:tc>
          <w:tcPr>
            <w:tcW w:w="3402" w:type="dxa"/>
            <w:tcMar>
              <w:top w:w="0" w:type="dxa"/>
              <w:left w:w="108" w:type="dxa"/>
              <w:bottom w:w="0" w:type="dxa"/>
              <w:right w:w="108" w:type="dxa"/>
            </w:tcMar>
            <w:vAlign w:val="center"/>
          </w:tcPr>
          <w:p w14:paraId="42B24BF4"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超短波抗干扰技术</w:t>
            </w:r>
          </w:p>
        </w:tc>
        <w:tc>
          <w:tcPr>
            <w:tcW w:w="1888" w:type="dxa"/>
            <w:tcMar>
              <w:top w:w="0" w:type="dxa"/>
              <w:left w:w="108" w:type="dxa"/>
              <w:bottom w:w="0" w:type="dxa"/>
              <w:right w:w="108" w:type="dxa"/>
            </w:tcMar>
            <w:vAlign w:val="center"/>
          </w:tcPr>
          <w:p w14:paraId="4D18ABBA"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自主研发</w:t>
            </w:r>
          </w:p>
        </w:tc>
        <w:tc>
          <w:tcPr>
            <w:tcW w:w="2131" w:type="dxa"/>
            <w:tcMar>
              <w:top w:w="0" w:type="dxa"/>
              <w:left w:w="108" w:type="dxa"/>
              <w:bottom w:w="0" w:type="dxa"/>
              <w:right w:w="108" w:type="dxa"/>
            </w:tcMar>
            <w:vAlign w:val="center"/>
          </w:tcPr>
          <w:p w14:paraId="4680E17A"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中试阶段</w:t>
            </w:r>
          </w:p>
        </w:tc>
      </w:tr>
      <w:tr w:rsidR="006416B0" w:rsidRPr="00B4515A" w14:paraId="73DFB714" w14:textId="77777777" w:rsidTr="00031627">
        <w:trPr>
          <w:trHeight w:val="340"/>
          <w:jc w:val="center"/>
        </w:trPr>
        <w:tc>
          <w:tcPr>
            <w:tcW w:w="1101" w:type="dxa"/>
            <w:tcMar>
              <w:top w:w="0" w:type="dxa"/>
              <w:left w:w="108" w:type="dxa"/>
              <w:bottom w:w="0" w:type="dxa"/>
              <w:right w:w="108" w:type="dxa"/>
            </w:tcMar>
            <w:vAlign w:val="center"/>
          </w:tcPr>
          <w:p w14:paraId="73630915" w14:textId="77777777" w:rsidR="006416B0" w:rsidRPr="00B4515A" w:rsidRDefault="005E58C1" w:rsidP="005860B4">
            <w:pPr>
              <w:pStyle w:val="aff2"/>
              <w:adjustRightInd w:val="0"/>
              <w:snapToGrid w:val="0"/>
              <w:ind w:firstLineChars="0" w:firstLine="0"/>
              <w:jc w:val="center"/>
              <w:rPr>
                <w:rFonts w:ascii="Times New Roman" w:hAnsi="Times New Roman" w:cs="Times New Roman"/>
                <w:sz w:val="21"/>
                <w:szCs w:val="21"/>
              </w:rPr>
            </w:pPr>
            <w:r w:rsidRPr="00B4515A">
              <w:rPr>
                <w:rFonts w:ascii="Times New Roman" w:hAnsi="Times New Roman" w:cs="Times New Roman"/>
                <w:sz w:val="21"/>
                <w:szCs w:val="21"/>
              </w:rPr>
              <w:t>8</w:t>
            </w:r>
          </w:p>
        </w:tc>
        <w:tc>
          <w:tcPr>
            <w:tcW w:w="3402" w:type="dxa"/>
            <w:tcMar>
              <w:top w:w="0" w:type="dxa"/>
              <w:left w:w="108" w:type="dxa"/>
              <w:bottom w:w="0" w:type="dxa"/>
              <w:right w:w="108" w:type="dxa"/>
            </w:tcMar>
            <w:vAlign w:val="center"/>
          </w:tcPr>
          <w:p w14:paraId="39606630"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通信系统集成技术</w:t>
            </w:r>
          </w:p>
        </w:tc>
        <w:tc>
          <w:tcPr>
            <w:tcW w:w="1888" w:type="dxa"/>
            <w:tcMar>
              <w:top w:w="0" w:type="dxa"/>
              <w:left w:w="108" w:type="dxa"/>
              <w:bottom w:w="0" w:type="dxa"/>
              <w:right w:w="108" w:type="dxa"/>
            </w:tcMar>
            <w:vAlign w:val="center"/>
          </w:tcPr>
          <w:p w14:paraId="423D0725"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自主研发</w:t>
            </w:r>
          </w:p>
        </w:tc>
        <w:tc>
          <w:tcPr>
            <w:tcW w:w="2131" w:type="dxa"/>
            <w:tcMar>
              <w:top w:w="0" w:type="dxa"/>
              <w:left w:w="108" w:type="dxa"/>
              <w:bottom w:w="0" w:type="dxa"/>
              <w:right w:w="108" w:type="dxa"/>
            </w:tcMar>
            <w:vAlign w:val="center"/>
          </w:tcPr>
          <w:p w14:paraId="3A47E9C3"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量产阶段</w:t>
            </w:r>
          </w:p>
        </w:tc>
      </w:tr>
      <w:tr w:rsidR="006416B0" w:rsidRPr="00B4515A" w14:paraId="380D11FD" w14:textId="77777777" w:rsidTr="00031627">
        <w:trPr>
          <w:trHeight w:val="340"/>
          <w:jc w:val="center"/>
        </w:trPr>
        <w:tc>
          <w:tcPr>
            <w:tcW w:w="1101" w:type="dxa"/>
            <w:tcMar>
              <w:top w:w="0" w:type="dxa"/>
              <w:left w:w="108" w:type="dxa"/>
              <w:bottom w:w="0" w:type="dxa"/>
              <w:right w:w="108" w:type="dxa"/>
            </w:tcMar>
            <w:vAlign w:val="center"/>
          </w:tcPr>
          <w:p w14:paraId="687F60EA" w14:textId="77777777" w:rsidR="006416B0" w:rsidRPr="00B4515A" w:rsidRDefault="005E58C1" w:rsidP="005860B4">
            <w:pPr>
              <w:pStyle w:val="aff2"/>
              <w:adjustRightInd w:val="0"/>
              <w:snapToGrid w:val="0"/>
              <w:ind w:firstLineChars="0" w:firstLine="0"/>
              <w:jc w:val="center"/>
              <w:rPr>
                <w:rFonts w:ascii="Times New Roman" w:hAnsi="Times New Roman" w:cs="Times New Roman"/>
                <w:sz w:val="21"/>
                <w:szCs w:val="21"/>
              </w:rPr>
            </w:pPr>
            <w:r w:rsidRPr="00B4515A">
              <w:rPr>
                <w:rFonts w:ascii="Times New Roman" w:hAnsi="Times New Roman" w:cs="Times New Roman"/>
                <w:sz w:val="21"/>
                <w:szCs w:val="21"/>
              </w:rPr>
              <w:t>9</w:t>
            </w:r>
          </w:p>
        </w:tc>
        <w:tc>
          <w:tcPr>
            <w:tcW w:w="3402" w:type="dxa"/>
            <w:tcMar>
              <w:top w:w="0" w:type="dxa"/>
              <w:left w:w="108" w:type="dxa"/>
              <w:bottom w:w="0" w:type="dxa"/>
              <w:right w:w="108" w:type="dxa"/>
            </w:tcMar>
            <w:vAlign w:val="center"/>
          </w:tcPr>
          <w:p w14:paraId="79B5EB83"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网络管理技术</w:t>
            </w:r>
          </w:p>
        </w:tc>
        <w:tc>
          <w:tcPr>
            <w:tcW w:w="1888" w:type="dxa"/>
            <w:tcMar>
              <w:top w:w="0" w:type="dxa"/>
              <w:left w:w="108" w:type="dxa"/>
              <w:bottom w:w="0" w:type="dxa"/>
              <w:right w:w="108" w:type="dxa"/>
            </w:tcMar>
            <w:vAlign w:val="center"/>
          </w:tcPr>
          <w:p w14:paraId="5319001E"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自主研发</w:t>
            </w:r>
          </w:p>
        </w:tc>
        <w:tc>
          <w:tcPr>
            <w:tcW w:w="2131" w:type="dxa"/>
            <w:tcMar>
              <w:top w:w="0" w:type="dxa"/>
              <w:left w:w="108" w:type="dxa"/>
              <w:bottom w:w="0" w:type="dxa"/>
              <w:right w:w="108" w:type="dxa"/>
            </w:tcMar>
            <w:vAlign w:val="center"/>
          </w:tcPr>
          <w:p w14:paraId="01265EBC" w14:textId="77777777" w:rsidR="006416B0" w:rsidRPr="00B4515A" w:rsidRDefault="005E58C1" w:rsidP="005860B4">
            <w:pPr>
              <w:pStyle w:val="aff2"/>
              <w:adjustRightInd w:val="0"/>
              <w:snapToGrid w:val="0"/>
              <w:ind w:firstLineChars="0" w:firstLine="0"/>
              <w:rPr>
                <w:rFonts w:ascii="Times New Roman" w:hAnsi="Times New Roman" w:cs="Times New Roman"/>
                <w:sz w:val="21"/>
                <w:szCs w:val="21"/>
              </w:rPr>
            </w:pPr>
            <w:r w:rsidRPr="00B4515A">
              <w:rPr>
                <w:rFonts w:ascii="Times New Roman" w:hAnsi="Times New Roman" w:cs="Times New Roman"/>
                <w:sz w:val="21"/>
                <w:szCs w:val="21"/>
              </w:rPr>
              <w:t>量产阶段</w:t>
            </w:r>
          </w:p>
        </w:tc>
      </w:tr>
    </w:tbl>
    <w:p w14:paraId="6877D985" w14:textId="77777777" w:rsidR="006416B0" w:rsidRPr="00B4515A" w:rsidRDefault="005E58C1" w:rsidP="005860B4">
      <w:pPr>
        <w:pStyle w:val="004"/>
        <w:spacing w:before="120" w:after="120"/>
        <w:ind w:firstLine="482"/>
      </w:pPr>
      <w:r w:rsidRPr="00B4515A">
        <w:t>3</w:t>
      </w:r>
      <w:r w:rsidRPr="00B4515A">
        <w:rPr>
          <w:rFonts w:hint="eastAsia"/>
        </w:rPr>
        <w:t>、核心技术人员基本情况</w:t>
      </w:r>
    </w:p>
    <w:p w14:paraId="58E0BAFA" w14:textId="77777777" w:rsidR="006416B0" w:rsidRPr="00B4515A" w:rsidRDefault="005E58C1" w:rsidP="005860B4">
      <w:pPr>
        <w:pStyle w:val="005"/>
        <w:spacing w:before="120" w:after="120"/>
        <w:ind w:firstLine="480"/>
      </w:pPr>
      <w:r w:rsidRPr="00B4515A">
        <w:rPr>
          <w:rFonts w:hint="eastAsia"/>
        </w:rPr>
        <w:t>（</w:t>
      </w:r>
      <w:r w:rsidRPr="00B4515A">
        <w:t>1</w:t>
      </w:r>
      <w:r w:rsidRPr="00B4515A">
        <w:rPr>
          <w:rFonts w:hint="eastAsia"/>
        </w:rPr>
        <w:t>）核心技术人员的定义及依据</w:t>
      </w:r>
    </w:p>
    <w:p w14:paraId="4071E5BB" w14:textId="77777777" w:rsidR="006416B0" w:rsidRPr="00B4515A" w:rsidRDefault="005E58C1" w:rsidP="005860B4">
      <w:pPr>
        <w:pStyle w:val="005"/>
        <w:spacing w:before="120" w:after="120"/>
        <w:ind w:firstLine="480"/>
      </w:pPr>
      <w:r w:rsidRPr="00B4515A">
        <w:rPr>
          <w:rFonts w:hint="eastAsia"/>
        </w:rPr>
        <w:t>大唐联诚制定了《干部管理办法》，大唐联诚核心技术人员为产品研发部门中层干部、公司副总工程师和产品管理干部。</w:t>
      </w:r>
    </w:p>
    <w:p w14:paraId="6C8719C3" w14:textId="77777777" w:rsidR="006416B0" w:rsidRPr="00B4515A" w:rsidRDefault="005E58C1" w:rsidP="005860B4">
      <w:pPr>
        <w:pStyle w:val="005"/>
        <w:spacing w:before="120" w:after="120"/>
        <w:ind w:firstLine="480"/>
      </w:pPr>
      <w:r w:rsidRPr="00B4515A">
        <w:rPr>
          <w:rFonts w:hint="eastAsia"/>
        </w:rPr>
        <w:t>（</w:t>
      </w:r>
      <w:r w:rsidRPr="00B4515A">
        <w:t>2</w:t>
      </w:r>
      <w:r w:rsidRPr="00B4515A">
        <w:rPr>
          <w:rFonts w:hint="eastAsia"/>
        </w:rPr>
        <w:t>）核心技术人员的构成</w:t>
      </w:r>
    </w:p>
    <w:p w14:paraId="15F43E16" w14:textId="77777777" w:rsidR="006416B0" w:rsidRPr="00B4515A" w:rsidRDefault="005E58C1" w:rsidP="005860B4">
      <w:pPr>
        <w:pStyle w:val="005"/>
        <w:spacing w:before="120" w:after="120"/>
        <w:ind w:firstLine="480"/>
      </w:pPr>
      <w:r w:rsidRPr="00B4515A">
        <w:rPr>
          <w:rFonts w:hint="eastAsia"/>
        </w:rPr>
        <w:t>截至</w:t>
      </w:r>
      <w:r w:rsidRPr="00B4515A">
        <w:t>2021</w:t>
      </w:r>
      <w:r w:rsidRPr="00B4515A">
        <w:rPr>
          <w:rFonts w:hint="eastAsia"/>
        </w:rPr>
        <w:t>年</w:t>
      </w:r>
      <w:r w:rsidRPr="00B4515A">
        <w:t>4</w:t>
      </w:r>
      <w:r w:rsidRPr="00B4515A">
        <w:rPr>
          <w:rFonts w:hint="eastAsia"/>
        </w:rPr>
        <w:t>月</w:t>
      </w:r>
      <w:r w:rsidRPr="00B4515A">
        <w:t>30</w:t>
      </w:r>
      <w:r w:rsidRPr="00B4515A">
        <w:rPr>
          <w:rFonts w:hint="eastAsia"/>
        </w:rPr>
        <w:t>日，大唐联诚根据上述认定标准认定了</w:t>
      </w:r>
      <w:r w:rsidRPr="00B4515A">
        <w:t>35</w:t>
      </w:r>
      <w:r w:rsidRPr="00B4515A">
        <w:rPr>
          <w:rFonts w:hint="eastAsia"/>
        </w:rPr>
        <w:t>名核心技术人员，核心技术人员的构成情况如下：</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000"/>
        <w:gridCol w:w="2528"/>
      </w:tblGrid>
      <w:tr w:rsidR="006416B0" w:rsidRPr="00B4515A" w14:paraId="160A7269" w14:textId="77777777" w:rsidTr="00EE238F">
        <w:trPr>
          <w:trHeight w:val="340"/>
          <w:jc w:val="center"/>
        </w:trPr>
        <w:tc>
          <w:tcPr>
            <w:tcW w:w="3518" w:type="pct"/>
            <w:tcMar>
              <w:top w:w="0" w:type="dxa"/>
              <w:left w:w="108" w:type="dxa"/>
              <w:bottom w:w="0" w:type="dxa"/>
              <w:right w:w="108" w:type="dxa"/>
            </w:tcMar>
            <w:vAlign w:val="center"/>
          </w:tcPr>
          <w:p w14:paraId="55FE895D" w14:textId="77777777" w:rsidR="006416B0" w:rsidRPr="00B4515A" w:rsidRDefault="005E58C1" w:rsidP="00EE238F">
            <w:pPr>
              <w:pStyle w:val="aff2"/>
              <w:tabs>
                <w:tab w:val="left" w:pos="1011"/>
              </w:tabs>
              <w:adjustRightInd w:val="0"/>
              <w:snapToGrid w:val="0"/>
              <w:ind w:firstLineChars="0"/>
              <w:jc w:val="center"/>
              <w:rPr>
                <w:rFonts w:ascii="Times New Roman" w:hAnsi="Times New Roman" w:cs="Times New Roman"/>
                <w:sz w:val="21"/>
                <w:szCs w:val="21"/>
              </w:rPr>
            </w:pPr>
            <w:r w:rsidRPr="00B4515A">
              <w:rPr>
                <w:rFonts w:ascii="Times New Roman" w:hAnsi="Times New Roman" w:cs="Times New Roman" w:hint="eastAsia"/>
                <w:sz w:val="21"/>
                <w:szCs w:val="21"/>
              </w:rPr>
              <w:lastRenderedPageBreak/>
              <w:t>产品研发部门中层干部</w:t>
            </w:r>
          </w:p>
        </w:tc>
        <w:tc>
          <w:tcPr>
            <w:tcW w:w="1482" w:type="pct"/>
            <w:tcMar>
              <w:top w:w="0" w:type="dxa"/>
              <w:left w:w="108" w:type="dxa"/>
              <w:bottom w:w="0" w:type="dxa"/>
              <w:right w:w="108" w:type="dxa"/>
            </w:tcMar>
            <w:vAlign w:val="center"/>
          </w:tcPr>
          <w:p w14:paraId="20E8978B" w14:textId="77777777" w:rsidR="006416B0" w:rsidRPr="00B4515A" w:rsidRDefault="005E58C1" w:rsidP="00EE238F">
            <w:pPr>
              <w:pStyle w:val="aff2"/>
              <w:tabs>
                <w:tab w:val="left" w:pos="1011"/>
              </w:tabs>
              <w:adjustRightInd w:val="0"/>
              <w:snapToGrid w:val="0"/>
              <w:ind w:firstLineChars="0"/>
              <w:jc w:val="center"/>
              <w:rPr>
                <w:rFonts w:ascii="Times New Roman" w:hAnsi="Times New Roman" w:cs="Times New Roman"/>
                <w:sz w:val="21"/>
                <w:szCs w:val="21"/>
              </w:rPr>
            </w:pPr>
            <w:r w:rsidRPr="00B4515A">
              <w:rPr>
                <w:rFonts w:ascii="Times New Roman" w:hAnsi="Times New Roman" w:cs="Times New Roman"/>
                <w:sz w:val="21"/>
                <w:szCs w:val="21"/>
              </w:rPr>
              <w:t>8</w:t>
            </w:r>
            <w:r w:rsidRPr="00B4515A">
              <w:rPr>
                <w:rFonts w:ascii="Times New Roman" w:hAnsi="Times New Roman" w:cs="Times New Roman" w:hint="eastAsia"/>
                <w:sz w:val="21"/>
                <w:szCs w:val="21"/>
              </w:rPr>
              <w:t>人</w:t>
            </w:r>
          </w:p>
        </w:tc>
      </w:tr>
      <w:tr w:rsidR="006416B0" w:rsidRPr="00B4515A" w14:paraId="48573C3C" w14:textId="77777777" w:rsidTr="00EE238F">
        <w:trPr>
          <w:trHeight w:val="340"/>
          <w:jc w:val="center"/>
        </w:trPr>
        <w:tc>
          <w:tcPr>
            <w:tcW w:w="3518" w:type="pct"/>
            <w:tcMar>
              <w:top w:w="0" w:type="dxa"/>
              <w:left w:w="108" w:type="dxa"/>
              <w:bottom w:w="0" w:type="dxa"/>
              <w:right w:w="108" w:type="dxa"/>
            </w:tcMar>
            <w:vAlign w:val="center"/>
          </w:tcPr>
          <w:p w14:paraId="29D3E17D" w14:textId="77777777" w:rsidR="006416B0" w:rsidRPr="00B4515A" w:rsidRDefault="005E58C1" w:rsidP="00EE238F">
            <w:pPr>
              <w:pStyle w:val="aff2"/>
              <w:tabs>
                <w:tab w:val="left" w:pos="1011"/>
              </w:tabs>
              <w:adjustRightInd w:val="0"/>
              <w:snapToGrid w:val="0"/>
              <w:ind w:firstLineChars="0"/>
              <w:jc w:val="center"/>
              <w:rPr>
                <w:rFonts w:ascii="Times New Roman" w:hAnsi="Times New Roman" w:cs="Times New Roman"/>
                <w:sz w:val="21"/>
                <w:szCs w:val="21"/>
              </w:rPr>
            </w:pPr>
            <w:r w:rsidRPr="00B4515A">
              <w:rPr>
                <w:rFonts w:ascii="Times New Roman" w:hAnsi="Times New Roman" w:cs="Times New Roman" w:hint="eastAsia"/>
                <w:sz w:val="21"/>
                <w:szCs w:val="21"/>
              </w:rPr>
              <w:t>公司副总工程师</w:t>
            </w:r>
          </w:p>
        </w:tc>
        <w:tc>
          <w:tcPr>
            <w:tcW w:w="1482" w:type="pct"/>
            <w:tcMar>
              <w:top w:w="0" w:type="dxa"/>
              <w:left w:w="108" w:type="dxa"/>
              <w:bottom w:w="0" w:type="dxa"/>
              <w:right w:w="108" w:type="dxa"/>
            </w:tcMar>
            <w:vAlign w:val="center"/>
          </w:tcPr>
          <w:p w14:paraId="407E4CDB" w14:textId="77777777" w:rsidR="006416B0" w:rsidRPr="00B4515A" w:rsidRDefault="005E58C1" w:rsidP="00EE238F">
            <w:pPr>
              <w:pStyle w:val="aff2"/>
              <w:tabs>
                <w:tab w:val="left" w:pos="1011"/>
              </w:tabs>
              <w:adjustRightInd w:val="0"/>
              <w:snapToGrid w:val="0"/>
              <w:ind w:firstLineChars="0"/>
              <w:jc w:val="center"/>
              <w:rPr>
                <w:rFonts w:ascii="Times New Roman" w:hAnsi="Times New Roman" w:cs="Times New Roman"/>
                <w:sz w:val="21"/>
                <w:szCs w:val="21"/>
              </w:rPr>
            </w:pPr>
            <w:r w:rsidRPr="00B4515A">
              <w:rPr>
                <w:rFonts w:ascii="Times New Roman" w:hAnsi="Times New Roman" w:cs="Times New Roman"/>
                <w:sz w:val="21"/>
                <w:szCs w:val="21"/>
              </w:rPr>
              <w:t>9</w:t>
            </w:r>
            <w:r w:rsidRPr="00B4515A">
              <w:rPr>
                <w:rFonts w:ascii="Times New Roman" w:hAnsi="Times New Roman" w:cs="Times New Roman" w:hint="eastAsia"/>
                <w:sz w:val="21"/>
                <w:szCs w:val="21"/>
              </w:rPr>
              <w:t>人</w:t>
            </w:r>
          </w:p>
        </w:tc>
      </w:tr>
      <w:tr w:rsidR="006416B0" w:rsidRPr="00B4515A" w14:paraId="2550A262" w14:textId="77777777" w:rsidTr="00EE238F">
        <w:trPr>
          <w:trHeight w:val="340"/>
          <w:jc w:val="center"/>
        </w:trPr>
        <w:tc>
          <w:tcPr>
            <w:tcW w:w="3518" w:type="pct"/>
            <w:tcMar>
              <w:top w:w="0" w:type="dxa"/>
              <w:left w:w="108" w:type="dxa"/>
              <w:bottom w:w="0" w:type="dxa"/>
              <w:right w:w="108" w:type="dxa"/>
            </w:tcMar>
            <w:vAlign w:val="center"/>
          </w:tcPr>
          <w:p w14:paraId="55AE98FF" w14:textId="77777777" w:rsidR="006416B0" w:rsidRPr="00B4515A" w:rsidRDefault="005E58C1" w:rsidP="00EE238F">
            <w:pPr>
              <w:pStyle w:val="aff2"/>
              <w:tabs>
                <w:tab w:val="left" w:pos="1011"/>
              </w:tabs>
              <w:adjustRightInd w:val="0"/>
              <w:snapToGrid w:val="0"/>
              <w:ind w:firstLineChars="0"/>
              <w:jc w:val="center"/>
              <w:rPr>
                <w:rFonts w:ascii="Times New Roman" w:hAnsi="Times New Roman" w:cs="Times New Roman"/>
                <w:sz w:val="21"/>
                <w:szCs w:val="21"/>
              </w:rPr>
            </w:pPr>
            <w:r w:rsidRPr="00B4515A">
              <w:rPr>
                <w:rFonts w:ascii="Times New Roman" w:hAnsi="Times New Roman" w:cs="Times New Roman" w:hint="eastAsia"/>
                <w:sz w:val="21"/>
                <w:szCs w:val="21"/>
              </w:rPr>
              <w:t>产品管理干部</w:t>
            </w:r>
          </w:p>
        </w:tc>
        <w:tc>
          <w:tcPr>
            <w:tcW w:w="1482" w:type="pct"/>
            <w:tcMar>
              <w:top w:w="0" w:type="dxa"/>
              <w:left w:w="108" w:type="dxa"/>
              <w:bottom w:w="0" w:type="dxa"/>
              <w:right w:w="108" w:type="dxa"/>
            </w:tcMar>
            <w:vAlign w:val="center"/>
          </w:tcPr>
          <w:p w14:paraId="26304841" w14:textId="77777777" w:rsidR="006416B0" w:rsidRPr="00B4515A" w:rsidRDefault="005E58C1" w:rsidP="00EE238F">
            <w:pPr>
              <w:pStyle w:val="aff2"/>
              <w:tabs>
                <w:tab w:val="left" w:pos="1011"/>
              </w:tabs>
              <w:adjustRightInd w:val="0"/>
              <w:snapToGrid w:val="0"/>
              <w:ind w:firstLineChars="0"/>
              <w:jc w:val="center"/>
              <w:rPr>
                <w:rFonts w:ascii="Times New Roman" w:hAnsi="Times New Roman" w:cs="Times New Roman"/>
                <w:sz w:val="21"/>
                <w:szCs w:val="21"/>
              </w:rPr>
            </w:pPr>
            <w:r w:rsidRPr="00B4515A">
              <w:rPr>
                <w:rFonts w:ascii="Times New Roman" w:hAnsi="Times New Roman" w:cs="Times New Roman"/>
                <w:sz w:val="21"/>
                <w:szCs w:val="21"/>
              </w:rPr>
              <w:t>18</w:t>
            </w:r>
            <w:r w:rsidRPr="00B4515A">
              <w:rPr>
                <w:rFonts w:ascii="Times New Roman" w:hAnsi="Times New Roman" w:cs="Times New Roman" w:hint="eastAsia"/>
                <w:sz w:val="21"/>
                <w:szCs w:val="21"/>
              </w:rPr>
              <w:t>人</w:t>
            </w:r>
          </w:p>
        </w:tc>
      </w:tr>
    </w:tbl>
    <w:p w14:paraId="217248FE" w14:textId="77777777" w:rsidR="006416B0" w:rsidRPr="00B4515A" w:rsidRDefault="005E58C1" w:rsidP="005860B4">
      <w:pPr>
        <w:pStyle w:val="005"/>
        <w:spacing w:before="120" w:after="120"/>
        <w:ind w:firstLine="480"/>
      </w:pPr>
      <w:r w:rsidRPr="00B4515A">
        <w:rPr>
          <w:rFonts w:hint="eastAsia"/>
        </w:rPr>
        <w:t>（</w:t>
      </w:r>
      <w:r w:rsidRPr="00B4515A">
        <w:t>3</w:t>
      </w:r>
      <w:r w:rsidRPr="00B4515A">
        <w:rPr>
          <w:rFonts w:hint="eastAsia"/>
        </w:rPr>
        <w:t>）竞业禁止签订情况</w:t>
      </w:r>
    </w:p>
    <w:p w14:paraId="38670560" w14:textId="77777777" w:rsidR="006416B0" w:rsidRPr="00B4515A" w:rsidRDefault="005E58C1" w:rsidP="005860B4">
      <w:pPr>
        <w:pStyle w:val="005"/>
        <w:spacing w:before="120" w:after="120"/>
        <w:ind w:firstLine="480"/>
      </w:pPr>
      <w:r w:rsidRPr="00B4515A">
        <w:rPr>
          <w:rFonts w:hint="eastAsia"/>
        </w:rPr>
        <w:t>截止到</w:t>
      </w:r>
      <w:r w:rsidRPr="00B4515A">
        <w:t>2021</w:t>
      </w:r>
      <w:r w:rsidRPr="00B4515A">
        <w:rPr>
          <w:rFonts w:hint="eastAsia"/>
        </w:rPr>
        <w:t>年</w:t>
      </w:r>
      <w:r w:rsidRPr="00B4515A">
        <w:t>4</w:t>
      </w:r>
      <w:r w:rsidRPr="00B4515A">
        <w:rPr>
          <w:rFonts w:hint="eastAsia"/>
        </w:rPr>
        <w:t>月</w:t>
      </w:r>
      <w:r w:rsidRPr="00B4515A">
        <w:t>30</w:t>
      </w:r>
      <w:r w:rsidRPr="00B4515A">
        <w:rPr>
          <w:rFonts w:hint="eastAsia"/>
        </w:rPr>
        <w:t>日，标的公司核心技术人员中已签署《竞业限制协议》的人员共计</w:t>
      </w:r>
      <w:r w:rsidRPr="00B4515A">
        <w:t>33</w:t>
      </w:r>
      <w:r w:rsidRPr="00B4515A">
        <w:rPr>
          <w:rFonts w:hint="eastAsia"/>
        </w:rPr>
        <w:t>人。劳动合同终止（解除）时经审核确认后需要继续履行《竞业限制协议》义务的人员在劳动合同终止（解除）确定之日起</w:t>
      </w:r>
      <w:r w:rsidRPr="00B4515A">
        <w:t>12</w:t>
      </w:r>
      <w:r w:rsidRPr="00B4515A">
        <w:rPr>
          <w:rFonts w:hint="eastAsia"/>
        </w:rPr>
        <w:t>个月内为竞业限制期，需要继续履行《竞业限制协议》人员在竞业限制期内须对标的公司承担竞业限制义务，不得在与标的公司生产、经营同类产品或提供同类服务的其他单位、组织或个人，也不得为标的公司竞争对手提供任何形式的服务。此外，须对标的公司承担竞业限制义务的核心技术人员亦不得自己开业生产或者经营与标的公司生产、经营同类产品或提供同类服务的业务。</w:t>
      </w:r>
    </w:p>
    <w:p w14:paraId="63460A31" w14:textId="77777777" w:rsidR="006416B0" w:rsidRPr="00B4515A" w:rsidRDefault="005E58C1" w:rsidP="005860B4">
      <w:pPr>
        <w:pStyle w:val="005"/>
        <w:spacing w:before="120" w:after="120"/>
        <w:ind w:firstLine="480"/>
      </w:pPr>
      <w:r w:rsidRPr="00B4515A">
        <w:rPr>
          <w:rFonts w:hint="eastAsia"/>
        </w:rPr>
        <w:t>（</w:t>
      </w:r>
      <w:r w:rsidRPr="00B4515A">
        <w:t>4</w:t>
      </w:r>
      <w:r w:rsidRPr="00B4515A">
        <w:rPr>
          <w:rFonts w:hint="eastAsia"/>
        </w:rPr>
        <w:t>）标的公司是否对其存在重大依赖，拟采取何种措施应对核心技术人员流失风险</w:t>
      </w:r>
    </w:p>
    <w:p w14:paraId="1101DD3C" w14:textId="77777777" w:rsidR="006416B0" w:rsidRPr="00B4515A" w:rsidRDefault="005E58C1" w:rsidP="005860B4">
      <w:pPr>
        <w:pStyle w:val="005"/>
        <w:spacing w:before="120" w:after="120"/>
        <w:ind w:firstLine="480"/>
      </w:pPr>
      <w:r w:rsidRPr="00B4515A">
        <w:rPr>
          <w:rFonts w:hint="eastAsia"/>
        </w:rPr>
        <w:t>大唐联诚积累了丰富的型号研制和服务保障能力，通过人才队伍结构的不断优化，培育了一支优质、高效的研发队伍，研发力量得以持续加强。通过不断提升对技术骨干的内部培养和外部人才引进，形成一支结构较稳定、配置合理的科研开发团队。</w:t>
      </w:r>
    </w:p>
    <w:p w14:paraId="0F90FBB3" w14:textId="77777777" w:rsidR="006416B0" w:rsidRPr="00B4515A" w:rsidRDefault="005E58C1" w:rsidP="005860B4">
      <w:pPr>
        <w:pStyle w:val="005"/>
        <w:spacing w:before="120" w:after="120"/>
        <w:ind w:firstLine="480"/>
      </w:pPr>
      <w:r w:rsidRPr="00B4515A">
        <w:rPr>
          <w:rFonts w:hint="eastAsia"/>
        </w:rPr>
        <w:t>大唐联诚非常重视稳定人才队伍和加强自身研发能力建设，通过发展留人、待遇留人和事业留人等方面多措并举，化解核心技术人员流失风险。此外，大唐联诚还将核心人员离职率纳入相关部门的绩效考核中，通过管理导向重视和关注稳定核心技术人员队伍，并通过《竞业限制协议》规定对相关人员离职后从业方向进行约束。</w:t>
      </w:r>
    </w:p>
    <w:p w14:paraId="4814BEA5" w14:textId="77777777" w:rsidR="006416B0" w:rsidRPr="00B4515A" w:rsidRDefault="005E58C1" w:rsidP="005860B4">
      <w:pPr>
        <w:pStyle w:val="003"/>
        <w:spacing w:before="120"/>
        <w:ind w:firstLine="482"/>
      </w:pPr>
      <w:r w:rsidRPr="00B4515A">
        <w:rPr>
          <w:rFonts w:hint="eastAsia"/>
        </w:rPr>
        <w:t>（十一）大唐联诚资质情况</w:t>
      </w:r>
    </w:p>
    <w:p w14:paraId="5EE297C1" w14:textId="77777777" w:rsidR="006416B0" w:rsidRPr="00B4515A" w:rsidRDefault="005E58C1" w:rsidP="005860B4">
      <w:pPr>
        <w:pStyle w:val="004"/>
        <w:spacing w:before="120" w:after="120"/>
        <w:ind w:firstLine="482"/>
      </w:pPr>
      <w:r w:rsidRPr="00B4515A">
        <w:rPr>
          <w:rFonts w:hint="eastAsia"/>
        </w:rPr>
        <w:t>1</w:t>
      </w:r>
      <w:r w:rsidRPr="00B4515A">
        <w:rPr>
          <w:rFonts w:hint="eastAsia"/>
        </w:rPr>
        <w:t>、大唐联诚从事业务所需资质情况</w:t>
      </w:r>
    </w:p>
    <w:p w14:paraId="35E4C2D2" w14:textId="77777777" w:rsidR="006416B0" w:rsidRPr="00B4515A" w:rsidRDefault="005E58C1" w:rsidP="005860B4">
      <w:pPr>
        <w:pStyle w:val="005"/>
        <w:spacing w:before="120" w:after="120"/>
        <w:ind w:firstLine="480"/>
      </w:pPr>
      <w:r w:rsidRPr="00B4515A">
        <w:rPr>
          <w:rFonts w:hint="eastAsia"/>
        </w:rPr>
        <w:t>（</w:t>
      </w:r>
      <w:r w:rsidRPr="00B4515A">
        <w:t>1</w:t>
      </w:r>
      <w:r w:rsidRPr="00B4515A">
        <w:rPr>
          <w:rFonts w:hint="eastAsia"/>
        </w:rPr>
        <w:t>）大唐联诚从事业务所需资质简要情况</w:t>
      </w:r>
    </w:p>
    <w:p w14:paraId="2412C7DC" w14:textId="06529823" w:rsidR="006416B0" w:rsidRPr="00B4515A" w:rsidRDefault="005E58C1" w:rsidP="005860B4">
      <w:pPr>
        <w:pStyle w:val="005"/>
        <w:spacing w:before="120" w:after="120"/>
        <w:ind w:firstLine="480"/>
      </w:pPr>
      <w:r w:rsidRPr="00B4515A">
        <w:rPr>
          <w:rFonts w:hint="eastAsia"/>
        </w:rPr>
        <w:t>截至本报告书签署日，大唐联诚具备开展业务所需的资质证书，包括保密资格证书、生产许可证、生产备案凭证、</w:t>
      </w:r>
      <w:r w:rsidR="00AA2176" w:rsidRPr="00B4515A">
        <w:rPr>
          <w:rFonts w:hint="eastAsia"/>
        </w:rPr>
        <w:t>承制单位资格</w:t>
      </w:r>
      <w:r w:rsidRPr="00B4515A">
        <w:rPr>
          <w:rFonts w:hint="eastAsia"/>
        </w:rPr>
        <w:t>、质量管理体系证书，登记</w:t>
      </w:r>
      <w:r w:rsidRPr="00B4515A">
        <w:rPr>
          <w:rFonts w:hint="eastAsia"/>
        </w:rPr>
        <w:lastRenderedPageBreak/>
        <w:t>主体为保密局、国防科工局等。</w:t>
      </w:r>
    </w:p>
    <w:p w14:paraId="0B4A4847" w14:textId="2D3BF3AC" w:rsidR="00BA6E71" w:rsidRPr="00B4515A" w:rsidRDefault="00BA6E71" w:rsidP="006100BC">
      <w:pPr>
        <w:pStyle w:val="005"/>
        <w:spacing w:before="120" w:after="120"/>
        <w:ind w:firstLine="480"/>
      </w:pPr>
      <w:r w:rsidRPr="00B4515A">
        <w:t>截至本</w:t>
      </w:r>
      <w:r w:rsidRPr="00B4515A">
        <w:rPr>
          <w:rFonts w:hint="eastAsia"/>
        </w:rPr>
        <w:t>报告书</w:t>
      </w:r>
      <w:r w:rsidRPr="00B4515A">
        <w:t>签署日，大唐联诚拥有的保密资格证书有效期至</w:t>
      </w:r>
      <w:r w:rsidRPr="00B4515A">
        <w:t>2025</w:t>
      </w:r>
      <w:r w:rsidRPr="00B4515A">
        <w:t>年</w:t>
      </w:r>
      <w:r w:rsidRPr="00B4515A">
        <w:t>9</w:t>
      </w:r>
      <w:r w:rsidRPr="00B4515A">
        <w:t>月</w:t>
      </w:r>
      <w:r w:rsidRPr="00B4515A">
        <w:t>3</w:t>
      </w:r>
      <w:r w:rsidRPr="00B4515A">
        <w:t>日、生产许可证有效期至</w:t>
      </w:r>
      <w:r w:rsidRPr="00B4515A">
        <w:t>2025</w:t>
      </w:r>
      <w:r w:rsidRPr="00B4515A">
        <w:t>年</w:t>
      </w:r>
      <w:r w:rsidRPr="00B4515A">
        <w:t>12</w:t>
      </w:r>
      <w:r w:rsidRPr="00B4515A">
        <w:t>月</w:t>
      </w:r>
      <w:r w:rsidRPr="00B4515A">
        <w:t>2</w:t>
      </w:r>
      <w:r w:rsidRPr="00B4515A">
        <w:t>日、生产备案凭证有效期至</w:t>
      </w:r>
      <w:r w:rsidRPr="00B4515A">
        <w:t>2025</w:t>
      </w:r>
      <w:r w:rsidRPr="00B4515A">
        <w:t>年</w:t>
      </w:r>
      <w:r w:rsidRPr="00B4515A">
        <w:t>8</w:t>
      </w:r>
      <w:r w:rsidRPr="00B4515A">
        <w:t>月</w:t>
      </w:r>
      <w:r w:rsidRPr="00B4515A">
        <w:t>16</w:t>
      </w:r>
      <w:r w:rsidRPr="00B4515A">
        <w:t>日</w:t>
      </w:r>
      <w:r w:rsidRPr="00B4515A">
        <w:rPr>
          <w:rFonts w:hint="eastAsia"/>
        </w:rPr>
        <w:t>、</w:t>
      </w:r>
      <w:r w:rsidRPr="00B4515A">
        <w:t>承制单位资格</w:t>
      </w:r>
      <w:r w:rsidRPr="00B4515A">
        <w:rPr>
          <w:rFonts w:hint="eastAsia"/>
        </w:rPr>
        <w:t>有效期至</w:t>
      </w:r>
      <w:r w:rsidRPr="00B4515A">
        <w:rPr>
          <w:rFonts w:hint="eastAsia"/>
        </w:rPr>
        <w:t>2</w:t>
      </w:r>
      <w:r w:rsidRPr="00B4515A">
        <w:t>026</w:t>
      </w:r>
      <w:r w:rsidRPr="00B4515A">
        <w:rPr>
          <w:rFonts w:hint="eastAsia"/>
        </w:rPr>
        <w:t>年</w:t>
      </w:r>
      <w:r w:rsidRPr="00B4515A">
        <w:rPr>
          <w:rFonts w:hint="eastAsia"/>
        </w:rPr>
        <w:t>8</w:t>
      </w:r>
      <w:r w:rsidRPr="00B4515A">
        <w:rPr>
          <w:rFonts w:hint="eastAsia"/>
        </w:rPr>
        <w:t>月</w:t>
      </w:r>
      <w:r w:rsidRPr="00B4515A">
        <w:t>，质量管理体系证书有效期至</w:t>
      </w:r>
      <w:r w:rsidRPr="00B4515A">
        <w:t>2020</w:t>
      </w:r>
      <w:r w:rsidRPr="00B4515A">
        <w:t>年</w:t>
      </w:r>
      <w:r w:rsidRPr="00B4515A">
        <w:t>12</w:t>
      </w:r>
      <w:r w:rsidRPr="00B4515A">
        <w:t>月</w:t>
      </w:r>
      <w:r w:rsidRPr="00B4515A">
        <w:t>31</w:t>
      </w:r>
      <w:r w:rsidRPr="00B4515A">
        <w:t>日，目前质量管理体系证书已通过审核，</w:t>
      </w:r>
      <w:r w:rsidRPr="00B4515A">
        <w:rPr>
          <w:rFonts w:hint="eastAsia"/>
        </w:rPr>
        <w:t>待</w:t>
      </w:r>
      <w:r w:rsidRPr="00B4515A">
        <w:t>下发新证。</w:t>
      </w:r>
    </w:p>
    <w:p w14:paraId="6D3C9C04" w14:textId="77777777" w:rsidR="006416B0" w:rsidRPr="00B4515A" w:rsidRDefault="005E58C1" w:rsidP="005860B4">
      <w:pPr>
        <w:pStyle w:val="005"/>
        <w:spacing w:before="120" w:after="120"/>
        <w:ind w:firstLine="480"/>
      </w:pPr>
      <w:r w:rsidRPr="00B4515A">
        <w:rPr>
          <w:rFonts w:hint="eastAsia"/>
        </w:rPr>
        <w:t>（</w:t>
      </w:r>
      <w:r w:rsidRPr="00B4515A">
        <w:t>2</w:t>
      </w:r>
      <w:r w:rsidRPr="00B4515A">
        <w:rPr>
          <w:rFonts w:hint="eastAsia"/>
        </w:rPr>
        <w:t>）大唐联诚从事业务所需资质证书续期所需程序</w:t>
      </w:r>
    </w:p>
    <w:p w14:paraId="493A24B0" w14:textId="77777777" w:rsidR="006416B0" w:rsidRPr="00B4515A" w:rsidRDefault="005E58C1" w:rsidP="005860B4">
      <w:pPr>
        <w:pStyle w:val="005"/>
        <w:spacing w:before="120" w:after="120"/>
        <w:ind w:firstLine="480"/>
      </w:pPr>
      <w:r w:rsidRPr="00B4515A">
        <w:rPr>
          <w:rFonts w:hint="eastAsia"/>
        </w:rPr>
        <w:t>根据相关法律法规的要求，大唐联诚资质应在有效期届满前按相关规定向主管机关提出延续申请并提供相关申请材料，主管机关审查后作出是否准予的决定。</w:t>
      </w:r>
    </w:p>
    <w:p w14:paraId="569E48AE" w14:textId="77777777" w:rsidR="006416B0" w:rsidRPr="00B4515A" w:rsidRDefault="005E58C1" w:rsidP="005860B4">
      <w:pPr>
        <w:pStyle w:val="005"/>
        <w:spacing w:before="120" w:after="120"/>
        <w:ind w:firstLine="480"/>
      </w:pPr>
      <w:r w:rsidRPr="00B4515A">
        <w:rPr>
          <w:rFonts w:hint="eastAsia"/>
        </w:rPr>
        <w:t>（</w:t>
      </w:r>
      <w:r w:rsidRPr="00B4515A">
        <w:t>3</w:t>
      </w:r>
      <w:r w:rsidRPr="00B4515A">
        <w:rPr>
          <w:rFonts w:hint="eastAsia"/>
        </w:rPr>
        <w:t>）大唐联诚从事业务所需资质证书续期是否存在障碍</w:t>
      </w:r>
    </w:p>
    <w:p w14:paraId="69B61EB1" w14:textId="07D224C0" w:rsidR="00BA6E71" w:rsidRPr="00B4515A" w:rsidRDefault="00BA6E71" w:rsidP="002B0582">
      <w:pPr>
        <w:pStyle w:val="005"/>
        <w:spacing w:before="120" w:after="120"/>
        <w:ind w:firstLine="480"/>
      </w:pPr>
      <w:r w:rsidRPr="00B4515A">
        <w:t>大唐联诚已严格按照质量体系、保密管理相关办法等要求进行日常生产经营，保密资格证书、生产许可证、生产备案凭证</w:t>
      </w:r>
      <w:r w:rsidRPr="00B4515A">
        <w:rPr>
          <w:rFonts w:hint="eastAsia"/>
        </w:rPr>
        <w:t>、</w:t>
      </w:r>
      <w:r w:rsidRPr="00B4515A">
        <w:t>承制单位资格的延续审核均顺利通过</w:t>
      </w:r>
      <w:r w:rsidRPr="00B4515A">
        <w:rPr>
          <w:rFonts w:hint="eastAsia"/>
        </w:rPr>
        <w:t>且在有效期内</w:t>
      </w:r>
      <w:r w:rsidRPr="00B4515A">
        <w:t>。质量管理体系证书</w:t>
      </w:r>
      <w:r w:rsidRPr="00B4515A">
        <w:rPr>
          <w:rFonts w:hint="eastAsia"/>
        </w:rPr>
        <w:t>于</w:t>
      </w:r>
      <w:r w:rsidRPr="00B4515A">
        <w:t>2020</w:t>
      </w:r>
      <w:r w:rsidRPr="00B4515A">
        <w:rPr>
          <w:rFonts w:hint="eastAsia"/>
        </w:rPr>
        <w:t>年</w:t>
      </w:r>
      <w:r w:rsidRPr="00B4515A">
        <w:t>12</w:t>
      </w:r>
      <w:r w:rsidRPr="00B4515A">
        <w:rPr>
          <w:rFonts w:hint="eastAsia"/>
        </w:rPr>
        <w:t>月</w:t>
      </w:r>
      <w:r w:rsidRPr="00B4515A">
        <w:t>31</w:t>
      </w:r>
      <w:r w:rsidRPr="00B4515A">
        <w:rPr>
          <w:rFonts w:hint="eastAsia"/>
        </w:rPr>
        <w:t>日到期，大唐联诚于证书到期前</w:t>
      </w:r>
      <w:r w:rsidRPr="00B4515A">
        <w:t>提出</w:t>
      </w:r>
      <w:r w:rsidRPr="00B4515A">
        <w:rPr>
          <w:rFonts w:hint="eastAsia"/>
        </w:rPr>
        <w:t>了</w:t>
      </w:r>
      <w:r w:rsidRPr="00B4515A">
        <w:t>延续申请并提供相关申请材料</w:t>
      </w:r>
      <w:r w:rsidRPr="00B4515A">
        <w:rPr>
          <w:rFonts w:hint="eastAsia"/>
        </w:rPr>
        <w:t>。</w:t>
      </w:r>
      <w:r w:rsidRPr="00B4515A">
        <w:t>根据主管机关</w:t>
      </w:r>
      <w:r w:rsidRPr="00B4515A">
        <w:t>2020</w:t>
      </w:r>
      <w:r w:rsidRPr="00B4515A">
        <w:t>年</w:t>
      </w:r>
      <w:r w:rsidRPr="00B4515A">
        <w:t>2</w:t>
      </w:r>
      <w:r w:rsidRPr="00B4515A">
        <w:t>月</w:t>
      </w:r>
      <w:r w:rsidRPr="00B4515A">
        <w:t>10</w:t>
      </w:r>
      <w:r w:rsidRPr="00B4515A">
        <w:t>日发出的通知，证书到期的承制单位，其证书有效期延续至疫情解除后</w:t>
      </w:r>
      <w:r w:rsidRPr="00B4515A">
        <w:t>3</w:t>
      </w:r>
      <w:r w:rsidRPr="00B4515A">
        <w:t>个月，因此，质量管理体系证书在审核期中仍然有效。目前质量管理体系证书已通过延续审核，</w:t>
      </w:r>
      <w:r w:rsidRPr="00B4515A">
        <w:rPr>
          <w:rFonts w:hint="eastAsia"/>
        </w:rPr>
        <w:t>待</w:t>
      </w:r>
      <w:r w:rsidRPr="00B4515A">
        <w:t>下发新证</w:t>
      </w:r>
      <w:r w:rsidRPr="00B4515A">
        <w:rPr>
          <w:rFonts w:hint="eastAsia"/>
        </w:rPr>
        <w:t>，预计取得新证不存在法律障碍</w:t>
      </w:r>
      <w:r w:rsidRPr="00B4515A">
        <w:t>。</w:t>
      </w:r>
    </w:p>
    <w:p w14:paraId="5750688E" w14:textId="77777777" w:rsidR="006416B0" w:rsidRPr="00B4515A" w:rsidRDefault="005E58C1" w:rsidP="005860B4">
      <w:pPr>
        <w:pStyle w:val="005"/>
        <w:spacing w:before="120" w:after="120"/>
        <w:ind w:firstLine="480"/>
      </w:pPr>
      <w:r w:rsidRPr="00B4515A">
        <w:rPr>
          <w:rFonts w:hint="eastAsia"/>
        </w:rPr>
        <w:t>（</w:t>
      </w:r>
      <w:r w:rsidRPr="00B4515A">
        <w:t>4</w:t>
      </w:r>
      <w:r w:rsidRPr="00B4515A">
        <w:rPr>
          <w:rFonts w:hint="eastAsia"/>
        </w:rPr>
        <w:t>）如未能成功续期，对大唐联诚获取订单及日常生产经营的影响</w:t>
      </w:r>
    </w:p>
    <w:p w14:paraId="42C7EAB3" w14:textId="48609CB4" w:rsidR="006416B0" w:rsidRPr="00B4515A" w:rsidRDefault="005E58C1" w:rsidP="005860B4">
      <w:pPr>
        <w:pStyle w:val="005"/>
        <w:spacing w:before="120" w:after="120"/>
        <w:ind w:firstLine="480"/>
      </w:pPr>
      <w:r w:rsidRPr="00B4515A">
        <w:rPr>
          <w:rFonts w:hint="eastAsia"/>
        </w:rPr>
        <w:t>大唐联诚所处的业务领域，需具备相应的资质才能开展研发、生产和销售。大唐联诚已严格按照质量体系、保密管理相关办法等要求进行日常生产经营，以保证持续满足资质要求，但仍可能存在资质不能续期的风险。上市公司已在本报告书</w:t>
      </w:r>
      <w:r w:rsidRPr="00B4515A">
        <w:rPr>
          <w:rFonts w:ascii="宋体" w:hAnsi="宋体" w:hint="eastAsia"/>
        </w:rPr>
        <w:t>“</w:t>
      </w:r>
      <w:r w:rsidRPr="00B4515A">
        <w:rPr>
          <w:rFonts w:hint="eastAsia"/>
        </w:rPr>
        <w:t>重大风险提示</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二、与标的公司相关的风险</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（二）经营风险</w:t>
      </w:r>
      <w:r w:rsidRPr="00B4515A">
        <w:rPr>
          <w:rFonts w:ascii="宋体" w:hAnsi="宋体" w:hint="eastAsia"/>
        </w:rPr>
        <w:t>”</w:t>
      </w:r>
      <w:r w:rsidRPr="00B4515A">
        <w:rPr>
          <w:rFonts w:hint="eastAsia"/>
        </w:rPr>
        <w:t>之</w:t>
      </w:r>
      <w:r w:rsidRPr="00B4515A">
        <w:rPr>
          <w:rFonts w:ascii="宋体" w:hAnsi="宋体" w:hint="eastAsia"/>
        </w:rPr>
        <w:t>“</w:t>
      </w:r>
      <w:r w:rsidRPr="00B4515A">
        <w:t>1</w:t>
      </w:r>
      <w:r w:rsidRPr="00B4515A">
        <w:rPr>
          <w:rFonts w:hint="eastAsia"/>
        </w:rPr>
        <w:t>、生产经营资质到期后不能续期的风险</w:t>
      </w:r>
      <w:r w:rsidRPr="00B4515A">
        <w:rPr>
          <w:rFonts w:ascii="宋体" w:hAnsi="宋体" w:hint="eastAsia"/>
        </w:rPr>
        <w:t>”</w:t>
      </w:r>
      <w:r w:rsidRPr="00B4515A">
        <w:rPr>
          <w:rFonts w:hint="eastAsia"/>
        </w:rPr>
        <w:t>及</w:t>
      </w:r>
      <w:r w:rsidRPr="00B4515A">
        <w:rPr>
          <w:rFonts w:ascii="宋体" w:hAnsi="宋体" w:hint="eastAsia"/>
        </w:rPr>
        <w:t>“</w:t>
      </w:r>
      <w:r w:rsidRPr="00B4515A">
        <w:rPr>
          <w:rFonts w:hint="eastAsia"/>
        </w:rPr>
        <w:t>第十二节</w:t>
      </w:r>
      <w:r w:rsidRPr="00B4515A">
        <w:t xml:space="preserve"> </w:t>
      </w:r>
      <w:r w:rsidRPr="00B4515A">
        <w:rPr>
          <w:rFonts w:hint="eastAsia"/>
        </w:rPr>
        <w:t>风险因素</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二、与标的公司相关的风险</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（二）经营风险</w:t>
      </w:r>
      <w:r w:rsidRPr="00B4515A">
        <w:rPr>
          <w:rFonts w:ascii="宋体" w:hAnsi="宋体" w:hint="eastAsia"/>
        </w:rPr>
        <w:t>”</w:t>
      </w:r>
      <w:r w:rsidRPr="00B4515A">
        <w:rPr>
          <w:rFonts w:hint="eastAsia"/>
        </w:rPr>
        <w:t>之</w:t>
      </w:r>
      <w:r w:rsidRPr="00B4515A">
        <w:rPr>
          <w:rFonts w:ascii="宋体" w:hAnsi="宋体" w:hint="eastAsia"/>
        </w:rPr>
        <w:t>“</w:t>
      </w:r>
      <w:r w:rsidRPr="00B4515A">
        <w:t>1</w:t>
      </w:r>
      <w:r w:rsidRPr="00B4515A">
        <w:rPr>
          <w:rFonts w:hint="eastAsia"/>
        </w:rPr>
        <w:t>、生产经营资质到期后不能续期的风险</w:t>
      </w:r>
      <w:r w:rsidRPr="00B4515A">
        <w:rPr>
          <w:rFonts w:ascii="宋体" w:hAnsi="宋体" w:hint="eastAsia"/>
        </w:rPr>
        <w:t>”</w:t>
      </w:r>
      <w:r w:rsidRPr="00B4515A">
        <w:rPr>
          <w:rFonts w:hint="eastAsia"/>
        </w:rPr>
        <w:t>中披露了风险。</w:t>
      </w:r>
    </w:p>
    <w:p w14:paraId="0A83AA13" w14:textId="77777777" w:rsidR="006416B0" w:rsidRPr="00B4515A" w:rsidRDefault="005E58C1" w:rsidP="005860B4">
      <w:pPr>
        <w:pStyle w:val="004"/>
        <w:spacing w:before="120" w:after="120"/>
        <w:ind w:firstLine="482"/>
      </w:pPr>
      <w:r w:rsidRPr="00B4515A">
        <w:rPr>
          <w:rFonts w:hint="eastAsia"/>
        </w:rPr>
        <w:t>2</w:t>
      </w:r>
      <w:r w:rsidRPr="00B4515A">
        <w:rPr>
          <w:rFonts w:hint="eastAsia"/>
        </w:rPr>
        <w:t>、高新技术企业证书基本情况</w:t>
      </w:r>
    </w:p>
    <w:p w14:paraId="78205498" w14:textId="77777777" w:rsidR="006416B0" w:rsidRPr="00B4515A" w:rsidRDefault="005E58C1" w:rsidP="005860B4">
      <w:pPr>
        <w:pStyle w:val="005"/>
        <w:spacing w:before="120" w:after="120"/>
        <w:ind w:firstLine="480"/>
      </w:pPr>
      <w:r w:rsidRPr="00B4515A">
        <w:rPr>
          <w:rFonts w:hint="eastAsia"/>
        </w:rPr>
        <w:t>大唐联诚拥有高新技术企业证书，证书编号：</w:t>
      </w:r>
      <w:r w:rsidRPr="00B4515A">
        <w:rPr>
          <w:rFonts w:hint="eastAsia"/>
        </w:rPr>
        <w:t>GR</w:t>
      </w:r>
      <w:r w:rsidRPr="00B4515A">
        <w:t>202011002848</w:t>
      </w:r>
      <w:r w:rsidRPr="00B4515A">
        <w:rPr>
          <w:rFonts w:hint="eastAsia"/>
        </w:rPr>
        <w:t>，发证时间：</w:t>
      </w:r>
      <w:r w:rsidRPr="00B4515A">
        <w:rPr>
          <w:rFonts w:hint="eastAsia"/>
        </w:rPr>
        <w:t>2</w:t>
      </w:r>
      <w:r w:rsidRPr="00B4515A">
        <w:t>020</w:t>
      </w:r>
      <w:r w:rsidRPr="00B4515A">
        <w:rPr>
          <w:rFonts w:hint="eastAsia"/>
        </w:rPr>
        <w:t>年</w:t>
      </w:r>
      <w:r w:rsidRPr="00B4515A">
        <w:rPr>
          <w:rFonts w:hint="eastAsia"/>
        </w:rPr>
        <w:t>1</w:t>
      </w:r>
      <w:r w:rsidRPr="00B4515A">
        <w:t>0</w:t>
      </w:r>
      <w:r w:rsidRPr="00B4515A">
        <w:rPr>
          <w:rFonts w:hint="eastAsia"/>
        </w:rPr>
        <w:t>月</w:t>
      </w:r>
      <w:r w:rsidRPr="00B4515A">
        <w:rPr>
          <w:rFonts w:hint="eastAsia"/>
        </w:rPr>
        <w:t>2</w:t>
      </w:r>
      <w:r w:rsidRPr="00B4515A">
        <w:t>1</w:t>
      </w:r>
      <w:r w:rsidRPr="00B4515A">
        <w:rPr>
          <w:rFonts w:hint="eastAsia"/>
        </w:rPr>
        <w:t>日，有效期：三年。</w:t>
      </w:r>
      <w:bookmarkEnd w:id="189"/>
    </w:p>
    <w:p w14:paraId="0B5A462E" w14:textId="77777777" w:rsidR="006416B0" w:rsidRPr="00B4515A" w:rsidRDefault="005E58C1" w:rsidP="005860B4">
      <w:pPr>
        <w:pStyle w:val="003"/>
        <w:spacing w:before="120"/>
        <w:ind w:firstLine="482"/>
        <w:rPr>
          <w:rFonts w:asciiTheme="minorEastAsia" w:eastAsiaTheme="minorEastAsia" w:hAnsiTheme="minorEastAsia"/>
        </w:rPr>
      </w:pPr>
      <w:r w:rsidRPr="00B4515A">
        <w:rPr>
          <w:rFonts w:hint="eastAsia"/>
        </w:rPr>
        <w:lastRenderedPageBreak/>
        <w:t>（十二）标的公司的研发投入情况</w:t>
      </w:r>
    </w:p>
    <w:p w14:paraId="21430909" w14:textId="77777777" w:rsidR="006416B0" w:rsidRPr="00B4515A" w:rsidRDefault="005E58C1" w:rsidP="005860B4">
      <w:pPr>
        <w:pStyle w:val="004"/>
        <w:spacing w:before="120" w:after="120"/>
        <w:ind w:firstLine="482"/>
      </w:pPr>
      <w:bookmarkStart w:id="194" w:name="_Hlk76932028"/>
      <w:r w:rsidRPr="00B4515A">
        <w:rPr>
          <w:rFonts w:hint="eastAsia"/>
        </w:rPr>
        <w:t>1</w:t>
      </w:r>
      <w:r w:rsidRPr="00B4515A">
        <w:rPr>
          <w:rFonts w:hint="eastAsia"/>
        </w:rPr>
        <w:t>、标的公司报告期研发投入情况</w:t>
      </w:r>
    </w:p>
    <w:p w14:paraId="23BE6C32" w14:textId="77777777" w:rsidR="006416B0" w:rsidRPr="00B4515A" w:rsidRDefault="005E58C1" w:rsidP="005860B4">
      <w:pPr>
        <w:pStyle w:val="005"/>
        <w:spacing w:before="120" w:after="120"/>
        <w:ind w:firstLine="480"/>
      </w:pPr>
      <w:r w:rsidRPr="00B4515A">
        <w:rPr>
          <w:rFonts w:hint="eastAsia"/>
        </w:rPr>
        <w:t>（</w:t>
      </w:r>
      <w:r w:rsidRPr="00B4515A">
        <w:t>1</w:t>
      </w:r>
      <w:r w:rsidRPr="00B4515A">
        <w:rPr>
          <w:rFonts w:hint="eastAsia"/>
        </w:rPr>
        <w:t>）</w:t>
      </w:r>
      <w:r w:rsidRPr="00B4515A">
        <w:t>2019</w:t>
      </w:r>
      <w:r w:rsidRPr="00B4515A">
        <w:rPr>
          <w:rFonts w:hint="eastAsia"/>
        </w:rPr>
        <w:t>年度标的公司及可比公司研发投入情况</w:t>
      </w:r>
    </w:p>
    <w:p w14:paraId="5B499068" w14:textId="77777777" w:rsidR="006416B0" w:rsidRPr="00B4515A" w:rsidRDefault="005E58C1" w:rsidP="005860B4">
      <w:pPr>
        <w:pStyle w:val="009"/>
        <w:rPr>
          <w:b/>
        </w:rPr>
      </w:pPr>
      <w:r w:rsidRPr="00B4515A">
        <w:rPr>
          <w:rFonts w:hint="eastAsia"/>
        </w:rPr>
        <w:t>单位：万元</w:t>
      </w:r>
    </w:p>
    <w:tbl>
      <w:tblPr>
        <w:tblW w:w="513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87"/>
        <w:gridCol w:w="1449"/>
        <w:gridCol w:w="1305"/>
        <w:gridCol w:w="1160"/>
        <w:gridCol w:w="1450"/>
        <w:gridCol w:w="1451"/>
        <w:gridCol w:w="1261"/>
      </w:tblGrid>
      <w:tr w:rsidR="006416B0" w:rsidRPr="00B4515A" w14:paraId="2FAC2A6C" w14:textId="77777777" w:rsidTr="005860B4">
        <w:trPr>
          <w:trHeight w:val="340"/>
          <w:jc w:val="center"/>
        </w:trPr>
        <w:tc>
          <w:tcPr>
            <w:tcW w:w="688" w:type="dxa"/>
            <w:vMerge w:val="restart"/>
            <w:shd w:val="clear" w:color="auto" w:fill="auto"/>
            <w:tcMar>
              <w:top w:w="0" w:type="dxa"/>
              <w:left w:w="108" w:type="dxa"/>
              <w:bottom w:w="0" w:type="dxa"/>
              <w:right w:w="108" w:type="dxa"/>
            </w:tcMar>
            <w:vAlign w:val="center"/>
          </w:tcPr>
          <w:p w14:paraId="3035C23E"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序号</w:t>
            </w:r>
          </w:p>
        </w:tc>
        <w:tc>
          <w:tcPr>
            <w:tcW w:w="1449" w:type="dxa"/>
            <w:vMerge w:val="restart"/>
            <w:shd w:val="clear" w:color="auto" w:fill="auto"/>
            <w:tcMar>
              <w:top w:w="0" w:type="dxa"/>
              <w:left w:w="108" w:type="dxa"/>
              <w:bottom w:w="0" w:type="dxa"/>
              <w:right w:w="108" w:type="dxa"/>
            </w:tcMar>
            <w:vAlign w:val="center"/>
          </w:tcPr>
          <w:p w14:paraId="1969A3E9"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项目</w:t>
            </w:r>
          </w:p>
        </w:tc>
        <w:tc>
          <w:tcPr>
            <w:tcW w:w="1305" w:type="dxa"/>
            <w:vMerge w:val="restart"/>
            <w:shd w:val="clear" w:color="auto" w:fill="auto"/>
            <w:tcMar>
              <w:top w:w="0" w:type="dxa"/>
              <w:left w:w="108" w:type="dxa"/>
              <w:bottom w:w="0" w:type="dxa"/>
              <w:right w:w="108" w:type="dxa"/>
            </w:tcMar>
            <w:vAlign w:val="center"/>
          </w:tcPr>
          <w:p w14:paraId="04C1DDE4"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大唐联诚</w:t>
            </w:r>
          </w:p>
        </w:tc>
        <w:tc>
          <w:tcPr>
            <w:tcW w:w="5322" w:type="dxa"/>
            <w:gridSpan w:val="4"/>
            <w:shd w:val="clear" w:color="auto" w:fill="auto"/>
            <w:tcMar>
              <w:top w:w="0" w:type="dxa"/>
              <w:left w:w="108" w:type="dxa"/>
              <w:bottom w:w="0" w:type="dxa"/>
              <w:right w:w="108" w:type="dxa"/>
            </w:tcMar>
            <w:vAlign w:val="center"/>
          </w:tcPr>
          <w:p w14:paraId="1C6A28CE"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可比公司</w:t>
            </w:r>
          </w:p>
        </w:tc>
      </w:tr>
      <w:tr w:rsidR="006416B0" w:rsidRPr="00B4515A" w14:paraId="71E86FBF" w14:textId="77777777" w:rsidTr="005860B4">
        <w:trPr>
          <w:trHeight w:val="340"/>
          <w:jc w:val="center"/>
        </w:trPr>
        <w:tc>
          <w:tcPr>
            <w:tcW w:w="688" w:type="dxa"/>
            <w:vMerge/>
            <w:tcMar>
              <w:top w:w="0" w:type="dxa"/>
              <w:left w:w="108" w:type="dxa"/>
              <w:bottom w:w="0" w:type="dxa"/>
              <w:right w:w="108" w:type="dxa"/>
            </w:tcMar>
            <w:vAlign w:val="center"/>
          </w:tcPr>
          <w:p w14:paraId="7AE444ED" w14:textId="77777777" w:rsidR="006416B0" w:rsidRPr="00B4515A" w:rsidRDefault="006416B0" w:rsidP="005860B4">
            <w:pPr>
              <w:adjustRightInd w:val="0"/>
              <w:snapToGrid w:val="0"/>
              <w:jc w:val="center"/>
              <w:rPr>
                <w:rFonts w:ascii="Times New Roman" w:eastAsiaTheme="minorEastAsia" w:hAnsi="Times New Roman" w:cs="Times New Roman"/>
                <w:b/>
                <w:color w:val="000000"/>
                <w:sz w:val="21"/>
                <w:szCs w:val="21"/>
              </w:rPr>
            </w:pPr>
          </w:p>
        </w:tc>
        <w:tc>
          <w:tcPr>
            <w:tcW w:w="1449" w:type="dxa"/>
            <w:vMerge/>
            <w:tcMar>
              <w:top w:w="0" w:type="dxa"/>
              <w:left w:w="108" w:type="dxa"/>
              <w:bottom w:w="0" w:type="dxa"/>
              <w:right w:w="108" w:type="dxa"/>
            </w:tcMar>
            <w:vAlign w:val="center"/>
          </w:tcPr>
          <w:p w14:paraId="2235342E" w14:textId="77777777" w:rsidR="006416B0" w:rsidRPr="00B4515A" w:rsidRDefault="006416B0" w:rsidP="005860B4">
            <w:pPr>
              <w:adjustRightInd w:val="0"/>
              <w:snapToGrid w:val="0"/>
              <w:jc w:val="center"/>
              <w:rPr>
                <w:rFonts w:ascii="Times New Roman" w:eastAsiaTheme="minorEastAsia" w:hAnsi="Times New Roman" w:cs="Times New Roman"/>
                <w:b/>
                <w:color w:val="000000"/>
                <w:sz w:val="21"/>
                <w:szCs w:val="21"/>
              </w:rPr>
            </w:pPr>
          </w:p>
        </w:tc>
        <w:tc>
          <w:tcPr>
            <w:tcW w:w="1305" w:type="dxa"/>
            <w:vMerge/>
            <w:tcMar>
              <w:top w:w="0" w:type="dxa"/>
              <w:left w:w="108" w:type="dxa"/>
              <w:bottom w:w="0" w:type="dxa"/>
              <w:right w:w="108" w:type="dxa"/>
            </w:tcMar>
            <w:vAlign w:val="center"/>
          </w:tcPr>
          <w:p w14:paraId="6E1F9AC1" w14:textId="77777777" w:rsidR="006416B0" w:rsidRPr="00B4515A" w:rsidRDefault="006416B0" w:rsidP="005860B4">
            <w:pPr>
              <w:adjustRightInd w:val="0"/>
              <w:snapToGrid w:val="0"/>
              <w:jc w:val="center"/>
              <w:rPr>
                <w:rFonts w:ascii="Times New Roman" w:eastAsiaTheme="minorEastAsia" w:hAnsi="Times New Roman" w:cs="Times New Roman"/>
                <w:b/>
                <w:color w:val="000000"/>
                <w:sz w:val="21"/>
                <w:szCs w:val="21"/>
              </w:rPr>
            </w:pPr>
          </w:p>
        </w:tc>
        <w:tc>
          <w:tcPr>
            <w:tcW w:w="1160" w:type="dxa"/>
            <w:shd w:val="clear" w:color="auto" w:fill="auto"/>
            <w:tcMar>
              <w:top w:w="0" w:type="dxa"/>
              <w:left w:w="108" w:type="dxa"/>
              <w:bottom w:w="0" w:type="dxa"/>
              <w:right w:w="108" w:type="dxa"/>
            </w:tcMar>
            <w:vAlign w:val="center"/>
          </w:tcPr>
          <w:p w14:paraId="4D80DA58"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上海瀚讯</w:t>
            </w:r>
          </w:p>
        </w:tc>
        <w:tc>
          <w:tcPr>
            <w:tcW w:w="1450" w:type="dxa"/>
            <w:shd w:val="clear" w:color="auto" w:fill="auto"/>
            <w:tcMar>
              <w:top w:w="0" w:type="dxa"/>
              <w:left w:w="108" w:type="dxa"/>
              <w:bottom w:w="0" w:type="dxa"/>
              <w:right w:w="108" w:type="dxa"/>
            </w:tcMar>
            <w:vAlign w:val="center"/>
          </w:tcPr>
          <w:p w14:paraId="6345421A"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海格通信</w:t>
            </w:r>
          </w:p>
        </w:tc>
        <w:tc>
          <w:tcPr>
            <w:tcW w:w="1451" w:type="dxa"/>
            <w:shd w:val="clear" w:color="auto" w:fill="auto"/>
            <w:tcMar>
              <w:top w:w="0" w:type="dxa"/>
              <w:left w:w="108" w:type="dxa"/>
              <w:bottom w:w="0" w:type="dxa"/>
              <w:right w:w="108" w:type="dxa"/>
            </w:tcMar>
            <w:vAlign w:val="center"/>
          </w:tcPr>
          <w:p w14:paraId="7305BB01"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七一二</w:t>
            </w:r>
          </w:p>
        </w:tc>
        <w:tc>
          <w:tcPr>
            <w:tcW w:w="1261" w:type="dxa"/>
            <w:shd w:val="clear" w:color="auto" w:fill="auto"/>
            <w:tcMar>
              <w:top w:w="0" w:type="dxa"/>
              <w:left w:w="108" w:type="dxa"/>
              <w:bottom w:w="0" w:type="dxa"/>
              <w:right w:w="108" w:type="dxa"/>
            </w:tcMar>
            <w:vAlign w:val="center"/>
          </w:tcPr>
          <w:p w14:paraId="3DE41438"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海能达</w:t>
            </w:r>
          </w:p>
        </w:tc>
      </w:tr>
      <w:tr w:rsidR="005C504B" w:rsidRPr="00B4515A" w14:paraId="4376BE26" w14:textId="77777777" w:rsidTr="005860B4">
        <w:trPr>
          <w:trHeight w:val="340"/>
          <w:jc w:val="center"/>
        </w:trPr>
        <w:tc>
          <w:tcPr>
            <w:tcW w:w="688" w:type="dxa"/>
            <w:shd w:val="clear" w:color="auto" w:fill="auto"/>
            <w:tcMar>
              <w:top w:w="0" w:type="dxa"/>
              <w:left w:w="108" w:type="dxa"/>
              <w:bottom w:w="0" w:type="dxa"/>
              <w:right w:w="108" w:type="dxa"/>
            </w:tcMar>
            <w:vAlign w:val="center"/>
          </w:tcPr>
          <w:p w14:paraId="7D13F68F" w14:textId="77777777" w:rsidR="005C504B" w:rsidRPr="00B4515A" w:rsidRDefault="005C504B"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w:t>
            </w:r>
          </w:p>
        </w:tc>
        <w:tc>
          <w:tcPr>
            <w:tcW w:w="1449" w:type="dxa"/>
            <w:shd w:val="clear" w:color="auto" w:fill="auto"/>
            <w:tcMar>
              <w:top w:w="0" w:type="dxa"/>
              <w:left w:w="108" w:type="dxa"/>
              <w:bottom w:w="0" w:type="dxa"/>
              <w:right w:w="108" w:type="dxa"/>
            </w:tcMar>
            <w:vAlign w:val="center"/>
          </w:tcPr>
          <w:p w14:paraId="01E6B5AD" w14:textId="77777777" w:rsidR="005C504B" w:rsidRPr="00B4515A" w:rsidRDefault="005C504B"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营业收入</w:t>
            </w:r>
          </w:p>
        </w:tc>
        <w:tc>
          <w:tcPr>
            <w:tcW w:w="1305" w:type="dxa"/>
            <w:shd w:val="clear" w:color="auto" w:fill="auto"/>
            <w:tcMar>
              <w:top w:w="0" w:type="dxa"/>
              <w:left w:w="108" w:type="dxa"/>
              <w:bottom w:w="0" w:type="dxa"/>
              <w:right w:w="108" w:type="dxa"/>
            </w:tcMar>
            <w:vAlign w:val="center"/>
          </w:tcPr>
          <w:p w14:paraId="0AD46CB7" w14:textId="3D68872C"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36,685.37</w:t>
            </w:r>
          </w:p>
        </w:tc>
        <w:tc>
          <w:tcPr>
            <w:tcW w:w="1160" w:type="dxa"/>
            <w:shd w:val="clear" w:color="auto" w:fill="auto"/>
            <w:tcMar>
              <w:top w:w="0" w:type="dxa"/>
              <w:left w:w="108" w:type="dxa"/>
              <w:bottom w:w="0" w:type="dxa"/>
              <w:right w:w="108" w:type="dxa"/>
            </w:tcMar>
            <w:vAlign w:val="center"/>
          </w:tcPr>
          <w:p w14:paraId="125B6B2C"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54,596.99</w:t>
            </w:r>
          </w:p>
        </w:tc>
        <w:tc>
          <w:tcPr>
            <w:tcW w:w="1450" w:type="dxa"/>
            <w:shd w:val="clear" w:color="auto" w:fill="auto"/>
            <w:tcMar>
              <w:top w:w="0" w:type="dxa"/>
              <w:left w:w="108" w:type="dxa"/>
              <w:bottom w:w="0" w:type="dxa"/>
              <w:right w:w="108" w:type="dxa"/>
            </w:tcMar>
            <w:vAlign w:val="center"/>
          </w:tcPr>
          <w:p w14:paraId="582B346A"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460,710.78</w:t>
            </w:r>
          </w:p>
        </w:tc>
        <w:tc>
          <w:tcPr>
            <w:tcW w:w="1451" w:type="dxa"/>
            <w:shd w:val="clear" w:color="auto" w:fill="auto"/>
            <w:tcMar>
              <w:top w:w="0" w:type="dxa"/>
              <w:left w:w="108" w:type="dxa"/>
              <w:bottom w:w="0" w:type="dxa"/>
              <w:right w:w="108" w:type="dxa"/>
            </w:tcMar>
            <w:vAlign w:val="center"/>
          </w:tcPr>
          <w:p w14:paraId="0C86B55E"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214,065.33</w:t>
            </w:r>
          </w:p>
        </w:tc>
        <w:tc>
          <w:tcPr>
            <w:tcW w:w="1261" w:type="dxa"/>
            <w:shd w:val="clear" w:color="auto" w:fill="auto"/>
            <w:tcMar>
              <w:top w:w="0" w:type="dxa"/>
              <w:left w:w="108" w:type="dxa"/>
              <w:bottom w:w="0" w:type="dxa"/>
              <w:right w:w="108" w:type="dxa"/>
            </w:tcMar>
            <w:vAlign w:val="center"/>
          </w:tcPr>
          <w:p w14:paraId="26E893B1"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 xml:space="preserve">784,353.90 </w:t>
            </w:r>
          </w:p>
        </w:tc>
      </w:tr>
      <w:tr w:rsidR="005C504B" w:rsidRPr="00B4515A" w14:paraId="3FBCAA53" w14:textId="77777777" w:rsidTr="005860B4">
        <w:trPr>
          <w:trHeight w:val="340"/>
          <w:jc w:val="center"/>
        </w:trPr>
        <w:tc>
          <w:tcPr>
            <w:tcW w:w="688" w:type="dxa"/>
            <w:shd w:val="clear" w:color="auto" w:fill="auto"/>
            <w:tcMar>
              <w:top w:w="0" w:type="dxa"/>
              <w:left w:w="108" w:type="dxa"/>
              <w:bottom w:w="0" w:type="dxa"/>
              <w:right w:w="108" w:type="dxa"/>
            </w:tcMar>
            <w:vAlign w:val="center"/>
          </w:tcPr>
          <w:p w14:paraId="3D699145" w14:textId="77777777" w:rsidR="005C504B" w:rsidRPr="00B4515A" w:rsidRDefault="005C504B"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w:t>
            </w:r>
          </w:p>
        </w:tc>
        <w:tc>
          <w:tcPr>
            <w:tcW w:w="1449" w:type="dxa"/>
            <w:shd w:val="clear" w:color="auto" w:fill="auto"/>
            <w:tcMar>
              <w:top w:w="0" w:type="dxa"/>
              <w:left w:w="108" w:type="dxa"/>
              <w:bottom w:w="0" w:type="dxa"/>
              <w:right w:w="108" w:type="dxa"/>
            </w:tcMar>
            <w:vAlign w:val="center"/>
          </w:tcPr>
          <w:p w14:paraId="15F6D943" w14:textId="77777777" w:rsidR="005C504B" w:rsidRPr="00B4515A" w:rsidRDefault="005C504B"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研发投入合计</w:t>
            </w:r>
          </w:p>
        </w:tc>
        <w:tc>
          <w:tcPr>
            <w:tcW w:w="1305" w:type="dxa"/>
            <w:shd w:val="clear" w:color="auto" w:fill="auto"/>
            <w:tcMar>
              <w:top w:w="0" w:type="dxa"/>
              <w:left w:w="108" w:type="dxa"/>
              <w:bottom w:w="0" w:type="dxa"/>
              <w:right w:w="108" w:type="dxa"/>
            </w:tcMar>
            <w:vAlign w:val="center"/>
          </w:tcPr>
          <w:p w14:paraId="39F9A6F9" w14:textId="6E167E65"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17,878.66</w:t>
            </w:r>
          </w:p>
        </w:tc>
        <w:tc>
          <w:tcPr>
            <w:tcW w:w="1160" w:type="dxa"/>
            <w:shd w:val="clear" w:color="auto" w:fill="auto"/>
            <w:tcMar>
              <w:top w:w="0" w:type="dxa"/>
              <w:left w:w="108" w:type="dxa"/>
              <w:bottom w:w="0" w:type="dxa"/>
              <w:right w:w="108" w:type="dxa"/>
            </w:tcMar>
            <w:vAlign w:val="center"/>
          </w:tcPr>
          <w:p w14:paraId="39876ACF"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13,626.87</w:t>
            </w:r>
          </w:p>
        </w:tc>
        <w:tc>
          <w:tcPr>
            <w:tcW w:w="1450" w:type="dxa"/>
            <w:shd w:val="clear" w:color="auto" w:fill="auto"/>
            <w:tcMar>
              <w:top w:w="0" w:type="dxa"/>
              <w:left w:w="108" w:type="dxa"/>
              <w:bottom w:w="0" w:type="dxa"/>
              <w:right w:w="108" w:type="dxa"/>
            </w:tcMar>
            <w:vAlign w:val="center"/>
          </w:tcPr>
          <w:p w14:paraId="1B196490"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68,140.23</w:t>
            </w:r>
          </w:p>
        </w:tc>
        <w:tc>
          <w:tcPr>
            <w:tcW w:w="1451" w:type="dxa"/>
            <w:shd w:val="clear" w:color="auto" w:fill="auto"/>
            <w:tcMar>
              <w:top w:w="0" w:type="dxa"/>
              <w:left w:w="108" w:type="dxa"/>
              <w:bottom w:w="0" w:type="dxa"/>
              <w:right w:w="108" w:type="dxa"/>
            </w:tcMar>
            <w:vAlign w:val="center"/>
          </w:tcPr>
          <w:p w14:paraId="3833A83A"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47,338.59</w:t>
            </w:r>
          </w:p>
        </w:tc>
        <w:tc>
          <w:tcPr>
            <w:tcW w:w="1261" w:type="dxa"/>
            <w:shd w:val="clear" w:color="auto" w:fill="auto"/>
            <w:tcMar>
              <w:top w:w="0" w:type="dxa"/>
              <w:left w:w="108" w:type="dxa"/>
              <w:bottom w:w="0" w:type="dxa"/>
              <w:right w:w="108" w:type="dxa"/>
            </w:tcMar>
            <w:vAlign w:val="center"/>
          </w:tcPr>
          <w:p w14:paraId="30C99096"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108,380.45</w:t>
            </w:r>
          </w:p>
        </w:tc>
      </w:tr>
      <w:tr w:rsidR="005C504B" w:rsidRPr="00B4515A" w14:paraId="3B36F5E9" w14:textId="77777777" w:rsidTr="005860B4">
        <w:trPr>
          <w:trHeight w:val="340"/>
          <w:jc w:val="center"/>
        </w:trPr>
        <w:tc>
          <w:tcPr>
            <w:tcW w:w="688" w:type="dxa"/>
            <w:shd w:val="clear" w:color="auto" w:fill="auto"/>
            <w:tcMar>
              <w:top w:w="0" w:type="dxa"/>
              <w:left w:w="108" w:type="dxa"/>
              <w:bottom w:w="0" w:type="dxa"/>
              <w:right w:w="108" w:type="dxa"/>
            </w:tcMar>
            <w:vAlign w:val="center"/>
          </w:tcPr>
          <w:p w14:paraId="43DF1834" w14:textId="77777777" w:rsidR="005C504B" w:rsidRPr="00B4515A" w:rsidRDefault="005C504B"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w:t>
            </w:r>
          </w:p>
        </w:tc>
        <w:tc>
          <w:tcPr>
            <w:tcW w:w="1449" w:type="dxa"/>
            <w:shd w:val="clear" w:color="auto" w:fill="auto"/>
            <w:tcMar>
              <w:top w:w="0" w:type="dxa"/>
              <w:left w:w="108" w:type="dxa"/>
              <w:bottom w:w="0" w:type="dxa"/>
              <w:right w:w="108" w:type="dxa"/>
            </w:tcMar>
            <w:vAlign w:val="center"/>
          </w:tcPr>
          <w:p w14:paraId="60B06BDD" w14:textId="77777777" w:rsidR="005C504B" w:rsidRPr="00B4515A" w:rsidRDefault="005C504B"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研发投入费用化金额</w:t>
            </w:r>
          </w:p>
        </w:tc>
        <w:tc>
          <w:tcPr>
            <w:tcW w:w="1305" w:type="dxa"/>
            <w:shd w:val="clear" w:color="auto" w:fill="auto"/>
            <w:tcMar>
              <w:top w:w="0" w:type="dxa"/>
              <w:left w:w="108" w:type="dxa"/>
              <w:bottom w:w="0" w:type="dxa"/>
              <w:right w:w="108" w:type="dxa"/>
            </w:tcMar>
            <w:vAlign w:val="center"/>
          </w:tcPr>
          <w:p w14:paraId="6B26E97B" w14:textId="6FFBD99B"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14,732.04</w:t>
            </w:r>
          </w:p>
        </w:tc>
        <w:tc>
          <w:tcPr>
            <w:tcW w:w="1160" w:type="dxa"/>
            <w:shd w:val="clear" w:color="auto" w:fill="auto"/>
            <w:tcMar>
              <w:top w:w="0" w:type="dxa"/>
              <w:left w:w="108" w:type="dxa"/>
              <w:bottom w:w="0" w:type="dxa"/>
              <w:right w:w="108" w:type="dxa"/>
            </w:tcMar>
            <w:vAlign w:val="center"/>
          </w:tcPr>
          <w:p w14:paraId="4ED7F89D"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13,626.87</w:t>
            </w:r>
          </w:p>
        </w:tc>
        <w:tc>
          <w:tcPr>
            <w:tcW w:w="1450" w:type="dxa"/>
            <w:shd w:val="clear" w:color="auto" w:fill="auto"/>
            <w:tcMar>
              <w:top w:w="0" w:type="dxa"/>
              <w:left w:w="108" w:type="dxa"/>
              <w:bottom w:w="0" w:type="dxa"/>
              <w:right w:w="108" w:type="dxa"/>
            </w:tcMar>
            <w:vAlign w:val="center"/>
          </w:tcPr>
          <w:p w14:paraId="4E696C49"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67,778.37</w:t>
            </w:r>
          </w:p>
        </w:tc>
        <w:tc>
          <w:tcPr>
            <w:tcW w:w="1451" w:type="dxa"/>
            <w:shd w:val="clear" w:color="auto" w:fill="auto"/>
            <w:tcMar>
              <w:top w:w="0" w:type="dxa"/>
              <w:left w:w="108" w:type="dxa"/>
              <w:bottom w:w="0" w:type="dxa"/>
              <w:right w:w="108" w:type="dxa"/>
            </w:tcMar>
            <w:vAlign w:val="center"/>
          </w:tcPr>
          <w:p w14:paraId="3D6C10C6"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47,338.59</w:t>
            </w:r>
          </w:p>
        </w:tc>
        <w:tc>
          <w:tcPr>
            <w:tcW w:w="1261" w:type="dxa"/>
            <w:shd w:val="clear" w:color="auto" w:fill="auto"/>
            <w:tcMar>
              <w:top w:w="0" w:type="dxa"/>
              <w:left w:w="108" w:type="dxa"/>
              <w:bottom w:w="0" w:type="dxa"/>
              <w:right w:w="108" w:type="dxa"/>
            </w:tcMar>
            <w:vAlign w:val="center"/>
          </w:tcPr>
          <w:p w14:paraId="75CC571D"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67,202.20</w:t>
            </w:r>
          </w:p>
        </w:tc>
      </w:tr>
      <w:tr w:rsidR="005C504B" w:rsidRPr="00B4515A" w14:paraId="721D65CA" w14:textId="77777777" w:rsidTr="005860B4">
        <w:trPr>
          <w:trHeight w:val="340"/>
          <w:jc w:val="center"/>
        </w:trPr>
        <w:tc>
          <w:tcPr>
            <w:tcW w:w="688" w:type="dxa"/>
            <w:shd w:val="clear" w:color="auto" w:fill="auto"/>
            <w:tcMar>
              <w:top w:w="0" w:type="dxa"/>
              <w:left w:w="108" w:type="dxa"/>
              <w:bottom w:w="0" w:type="dxa"/>
              <w:right w:w="108" w:type="dxa"/>
            </w:tcMar>
            <w:vAlign w:val="center"/>
          </w:tcPr>
          <w:p w14:paraId="4684C795" w14:textId="77777777" w:rsidR="005C504B" w:rsidRPr="00B4515A" w:rsidRDefault="005C504B"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w:t>
            </w:r>
          </w:p>
        </w:tc>
        <w:tc>
          <w:tcPr>
            <w:tcW w:w="1449" w:type="dxa"/>
            <w:shd w:val="clear" w:color="auto" w:fill="auto"/>
            <w:tcMar>
              <w:top w:w="0" w:type="dxa"/>
              <w:left w:w="108" w:type="dxa"/>
              <w:bottom w:w="0" w:type="dxa"/>
              <w:right w:w="108" w:type="dxa"/>
            </w:tcMar>
            <w:vAlign w:val="center"/>
          </w:tcPr>
          <w:p w14:paraId="6EE97418" w14:textId="77777777" w:rsidR="005C504B" w:rsidRPr="00B4515A" w:rsidRDefault="005C504B"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研发投入资本化金额</w:t>
            </w:r>
          </w:p>
        </w:tc>
        <w:tc>
          <w:tcPr>
            <w:tcW w:w="1305" w:type="dxa"/>
            <w:shd w:val="clear" w:color="auto" w:fill="auto"/>
            <w:tcMar>
              <w:top w:w="0" w:type="dxa"/>
              <w:left w:w="108" w:type="dxa"/>
              <w:bottom w:w="0" w:type="dxa"/>
              <w:right w:w="108" w:type="dxa"/>
            </w:tcMar>
            <w:vAlign w:val="center"/>
          </w:tcPr>
          <w:p w14:paraId="0D17BC2D" w14:textId="2BD80552"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3,146.62</w:t>
            </w:r>
          </w:p>
        </w:tc>
        <w:tc>
          <w:tcPr>
            <w:tcW w:w="1160" w:type="dxa"/>
            <w:shd w:val="clear" w:color="auto" w:fill="auto"/>
            <w:tcMar>
              <w:top w:w="0" w:type="dxa"/>
              <w:left w:w="108" w:type="dxa"/>
              <w:bottom w:w="0" w:type="dxa"/>
              <w:right w:w="108" w:type="dxa"/>
            </w:tcMar>
            <w:vAlign w:val="center"/>
          </w:tcPr>
          <w:p w14:paraId="629ABCC6"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c>
          <w:tcPr>
            <w:tcW w:w="1450" w:type="dxa"/>
            <w:shd w:val="clear" w:color="auto" w:fill="auto"/>
            <w:tcMar>
              <w:top w:w="0" w:type="dxa"/>
              <w:left w:w="108" w:type="dxa"/>
              <w:bottom w:w="0" w:type="dxa"/>
              <w:right w:w="108" w:type="dxa"/>
            </w:tcMar>
            <w:vAlign w:val="center"/>
          </w:tcPr>
          <w:p w14:paraId="6548DB22"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426.83</w:t>
            </w:r>
          </w:p>
        </w:tc>
        <w:tc>
          <w:tcPr>
            <w:tcW w:w="1451" w:type="dxa"/>
            <w:shd w:val="clear" w:color="auto" w:fill="auto"/>
            <w:tcMar>
              <w:top w:w="0" w:type="dxa"/>
              <w:left w:w="108" w:type="dxa"/>
              <w:bottom w:w="0" w:type="dxa"/>
              <w:right w:w="108" w:type="dxa"/>
            </w:tcMar>
            <w:vAlign w:val="center"/>
          </w:tcPr>
          <w:p w14:paraId="370B9413"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c>
          <w:tcPr>
            <w:tcW w:w="1261" w:type="dxa"/>
            <w:shd w:val="clear" w:color="auto" w:fill="auto"/>
            <w:tcMar>
              <w:top w:w="0" w:type="dxa"/>
              <w:left w:w="108" w:type="dxa"/>
              <w:bottom w:w="0" w:type="dxa"/>
              <w:right w:w="108" w:type="dxa"/>
            </w:tcMar>
            <w:vAlign w:val="center"/>
          </w:tcPr>
          <w:p w14:paraId="523C65E2"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41,178.25</w:t>
            </w:r>
          </w:p>
        </w:tc>
      </w:tr>
      <w:tr w:rsidR="005C504B" w:rsidRPr="00B4515A" w14:paraId="7706AB63" w14:textId="77777777" w:rsidTr="005860B4">
        <w:trPr>
          <w:trHeight w:val="340"/>
          <w:jc w:val="center"/>
        </w:trPr>
        <w:tc>
          <w:tcPr>
            <w:tcW w:w="688" w:type="dxa"/>
            <w:shd w:val="clear" w:color="auto" w:fill="auto"/>
            <w:tcMar>
              <w:top w:w="0" w:type="dxa"/>
              <w:left w:w="108" w:type="dxa"/>
              <w:bottom w:w="0" w:type="dxa"/>
              <w:right w:w="108" w:type="dxa"/>
            </w:tcMar>
            <w:vAlign w:val="center"/>
          </w:tcPr>
          <w:p w14:paraId="6CD6FCA7" w14:textId="77777777" w:rsidR="005C504B" w:rsidRPr="00B4515A" w:rsidRDefault="005C504B"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w:t>
            </w:r>
          </w:p>
        </w:tc>
        <w:tc>
          <w:tcPr>
            <w:tcW w:w="1449" w:type="dxa"/>
            <w:shd w:val="clear" w:color="auto" w:fill="auto"/>
            <w:tcMar>
              <w:top w:w="0" w:type="dxa"/>
              <w:left w:w="108" w:type="dxa"/>
              <w:bottom w:w="0" w:type="dxa"/>
              <w:right w:w="108" w:type="dxa"/>
            </w:tcMar>
            <w:vAlign w:val="center"/>
          </w:tcPr>
          <w:p w14:paraId="0EA77FB1" w14:textId="77777777" w:rsidR="005C504B" w:rsidRPr="00B4515A" w:rsidRDefault="005C504B"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研发投入占营业收入比例</w:t>
            </w:r>
          </w:p>
        </w:tc>
        <w:tc>
          <w:tcPr>
            <w:tcW w:w="1305" w:type="dxa"/>
            <w:shd w:val="clear" w:color="auto" w:fill="auto"/>
            <w:tcMar>
              <w:top w:w="0" w:type="dxa"/>
              <w:left w:w="108" w:type="dxa"/>
              <w:bottom w:w="0" w:type="dxa"/>
              <w:right w:w="108" w:type="dxa"/>
            </w:tcMar>
            <w:vAlign w:val="center"/>
          </w:tcPr>
          <w:p w14:paraId="4ADA67DE" w14:textId="1950F7ED"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48.74%</w:t>
            </w:r>
          </w:p>
        </w:tc>
        <w:tc>
          <w:tcPr>
            <w:tcW w:w="1160" w:type="dxa"/>
            <w:shd w:val="clear" w:color="auto" w:fill="auto"/>
            <w:tcMar>
              <w:top w:w="0" w:type="dxa"/>
              <w:left w:w="108" w:type="dxa"/>
              <w:bottom w:w="0" w:type="dxa"/>
              <w:right w:w="108" w:type="dxa"/>
            </w:tcMar>
            <w:vAlign w:val="center"/>
          </w:tcPr>
          <w:p w14:paraId="37CF7CD3"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24.96%</w:t>
            </w:r>
          </w:p>
        </w:tc>
        <w:tc>
          <w:tcPr>
            <w:tcW w:w="1450" w:type="dxa"/>
            <w:shd w:val="clear" w:color="auto" w:fill="auto"/>
            <w:tcMar>
              <w:top w:w="0" w:type="dxa"/>
              <w:left w:w="108" w:type="dxa"/>
              <w:bottom w:w="0" w:type="dxa"/>
              <w:right w:w="108" w:type="dxa"/>
            </w:tcMar>
            <w:vAlign w:val="center"/>
          </w:tcPr>
          <w:p w14:paraId="2DF487F1"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14.79%</w:t>
            </w:r>
          </w:p>
        </w:tc>
        <w:tc>
          <w:tcPr>
            <w:tcW w:w="1451" w:type="dxa"/>
            <w:shd w:val="clear" w:color="auto" w:fill="auto"/>
            <w:tcMar>
              <w:top w:w="0" w:type="dxa"/>
              <w:left w:w="108" w:type="dxa"/>
              <w:bottom w:w="0" w:type="dxa"/>
              <w:right w:w="108" w:type="dxa"/>
            </w:tcMar>
            <w:vAlign w:val="center"/>
          </w:tcPr>
          <w:p w14:paraId="190FE180"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22.11%</w:t>
            </w:r>
          </w:p>
        </w:tc>
        <w:tc>
          <w:tcPr>
            <w:tcW w:w="1261" w:type="dxa"/>
            <w:shd w:val="clear" w:color="auto" w:fill="auto"/>
            <w:tcMar>
              <w:top w:w="0" w:type="dxa"/>
              <w:left w:w="108" w:type="dxa"/>
              <w:bottom w:w="0" w:type="dxa"/>
              <w:right w:w="108" w:type="dxa"/>
            </w:tcMar>
            <w:vAlign w:val="center"/>
          </w:tcPr>
          <w:p w14:paraId="114AA0C7"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13.82%</w:t>
            </w:r>
          </w:p>
        </w:tc>
      </w:tr>
      <w:tr w:rsidR="005C504B" w:rsidRPr="00B4515A" w14:paraId="5C6D2417" w14:textId="77777777" w:rsidTr="005860B4">
        <w:trPr>
          <w:trHeight w:val="340"/>
          <w:jc w:val="center"/>
        </w:trPr>
        <w:tc>
          <w:tcPr>
            <w:tcW w:w="688" w:type="dxa"/>
            <w:shd w:val="clear" w:color="auto" w:fill="auto"/>
            <w:tcMar>
              <w:top w:w="0" w:type="dxa"/>
              <w:left w:w="108" w:type="dxa"/>
              <w:bottom w:w="0" w:type="dxa"/>
              <w:right w:w="108" w:type="dxa"/>
            </w:tcMar>
            <w:vAlign w:val="center"/>
          </w:tcPr>
          <w:p w14:paraId="55E9DE8A" w14:textId="77777777" w:rsidR="005C504B" w:rsidRPr="00B4515A" w:rsidRDefault="005C504B"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w:t>
            </w:r>
          </w:p>
        </w:tc>
        <w:tc>
          <w:tcPr>
            <w:tcW w:w="1449" w:type="dxa"/>
            <w:shd w:val="clear" w:color="auto" w:fill="auto"/>
            <w:tcMar>
              <w:top w:w="0" w:type="dxa"/>
              <w:left w:w="108" w:type="dxa"/>
              <w:bottom w:w="0" w:type="dxa"/>
              <w:right w:w="108" w:type="dxa"/>
            </w:tcMar>
            <w:vAlign w:val="center"/>
          </w:tcPr>
          <w:p w14:paraId="080B2B6E" w14:textId="77777777" w:rsidR="005C504B" w:rsidRPr="00B4515A" w:rsidRDefault="005C504B"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费用化金额占研发投入比例</w:t>
            </w:r>
          </w:p>
        </w:tc>
        <w:tc>
          <w:tcPr>
            <w:tcW w:w="1305" w:type="dxa"/>
            <w:shd w:val="clear" w:color="auto" w:fill="auto"/>
            <w:tcMar>
              <w:top w:w="0" w:type="dxa"/>
              <w:left w:w="108" w:type="dxa"/>
              <w:bottom w:w="0" w:type="dxa"/>
              <w:right w:w="108" w:type="dxa"/>
            </w:tcMar>
            <w:vAlign w:val="center"/>
          </w:tcPr>
          <w:p w14:paraId="2F8DBF87" w14:textId="52441078"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82.40%</w:t>
            </w:r>
          </w:p>
        </w:tc>
        <w:tc>
          <w:tcPr>
            <w:tcW w:w="1160" w:type="dxa"/>
            <w:shd w:val="clear" w:color="auto" w:fill="auto"/>
            <w:tcMar>
              <w:top w:w="0" w:type="dxa"/>
              <w:left w:w="108" w:type="dxa"/>
              <w:bottom w:w="0" w:type="dxa"/>
              <w:right w:w="108" w:type="dxa"/>
            </w:tcMar>
            <w:vAlign w:val="center"/>
          </w:tcPr>
          <w:p w14:paraId="6BF96A18"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100.00%</w:t>
            </w:r>
          </w:p>
        </w:tc>
        <w:tc>
          <w:tcPr>
            <w:tcW w:w="1450" w:type="dxa"/>
            <w:shd w:val="clear" w:color="auto" w:fill="auto"/>
            <w:tcMar>
              <w:top w:w="0" w:type="dxa"/>
              <w:left w:w="108" w:type="dxa"/>
              <w:bottom w:w="0" w:type="dxa"/>
              <w:right w:w="108" w:type="dxa"/>
            </w:tcMar>
            <w:vAlign w:val="center"/>
          </w:tcPr>
          <w:p w14:paraId="5A680291"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99.47%</w:t>
            </w:r>
          </w:p>
        </w:tc>
        <w:tc>
          <w:tcPr>
            <w:tcW w:w="1451" w:type="dxa"/>
            <w:shd w:val="clear" w:color="auto" w:fill="auto"/>
            <w:tcMar>
              <w:top w:w="0" w:type="dxa"/>
              <w:left w:w="108" w:type="dxa"/>
              <w:bottom w:w="0" w:type="dxa"/>
              <w:right w:w="108" w:type="dxa"/>
            </w:tcMar>
            <w:vAlign w:val="center"/>
          </w:tcPr>
          <w:p w14:paraId="63376B96"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100.00%</w:t>
            </w:r>
          </w:p>
        </w:tc>
        <w:tc>
          <w:tcPr>
            <w:tcW w:w="1261" w:type="dxa"/>
            <w:shd w:val="clear" w:color="auto" w:fill="auto"/>
            <w:tcMar>
              <w:top w:w="0" w:type="dxa"/>
              <w:left w:w="108" w:type="dxa"/>
              <w:bottom w:w="0" w:type="dxa"/>
              <w:right w:w="108" w:type="dxa"/>
            </w:tcMar>
            <w:vAlign w:val="center"/>
          </w:tcPr>
          <w:p w14:paraId="60273D72"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62.01%</w:t>
            </w:r>
          </w:p>
        </w:tc>
      </w:tr>
      <w:tr w:rsidR="005C504B" w:rsidRPr="00B4515A" w14:paraId="7559018F" w14:textId="77777777" w:rsidTr="005860B4">
        <w:trPr>
          <w:trHeight w:val="340"/>
          <w:jc w:val="center"/>
        </w:trPr>
        <w:tc>
          <w:tcPr>
            <w:tcW w:w="688" w:type="dxa"/>
            <w:shd w:val="clear" w:color="auto" w:fill="auto"/>
            <w:tcMar>
              <w:top w:w="0" w:type="dxa"/>
              <w:left w:w="108" w:type="dxa"/>
              <w:bottom w:w="0" w:type="dxa"/>
              <w:right w:w="108" w:type="dxa"/>
            </w:tcMar>
            <w:vAlign w:val="center"/>
          </w:tcPr>
          <w:p w14:paraId="620E72DA" w14:textId="77777777" w:rsidR="005C504B" w:rsidRPr="00B4515A" w:rsidRDefault="005C504B"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7</w:t>
            </w:r>
          </w:p>
        </w:tc>
        <w:tc>
          <w:tcPr>
            <w:tcW w:w="1449" w:type="dxa"/>
            <w:shd w:val="clear" w:color="auto" w:fill="auto"/>
            <w:tcMar>
              <w:top w:w="0" w:type="dxa"/>
              <w:left w:w="108" w:type="dxa"/>
              <w:bottom w:w="0" w:type="dxa"/>
              <w:right w:w="108" w:type="dxa"/>
            </w:tcMar>
            <w:vAlign w:val="center"/>
          </w:tcPr>
          <w:p w14:paraId="5F58EFA2" w14:textId="77777777" w:rsidR="005C504B" w:rsidRPr="00B4515A" w:rsidRDefault="005C504B"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资本化金额占研发投入比例</w:t>
            </w:r>
          </w:p>
        </w:tc>
        <w:tc>
          <w:tcPr>
            <w:tcW w:w="1305" w:type="dxa"/>
            <w:shd w:val="clear" w:color="auto" w:fill="auto"/>
            <w:tcMar>
              <w:top w:w="0" w:type="dxa"/>
              <w:left w:w="108" w:type="dxa"/>
              <w:bottom w:w="0" w:type="dxa"/>
              <w:right w:w="108" w:type="dxa"/>
            </w:tcMar>
            <w:vAlign w:val="center"/>
          </w:tcPr>
          <w:p w14:paraId="71EDFCE7" w14:textId="1838AF7A"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17.60%</w:t>
            </w:r>
          </w:p>
        </w:tc>
        <w:tc>
          <w:tcPr>
            <w:tcW w:w="1160" w:type="dxa"/>
            <w:shd w:val="clear" w:color="auto" w:fill="auto"/>
            <w:tcMar>
              <w:top w:w="0" w:type="dxa"/>
              <w:left w:w="108" w:type="dxa"/>
              <w:bottom w:w="0" w:type="dxa"/>
              <w:right w:w="108" w:type="dxa"/>
            </w:tcMar>
            <w:vAlign w:val="center"/>
          </w:tcPr>
          <w:p w14:paraId="520C2F11"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c>
          <w:tcPr>
            <w:tcW w:w="1450" w:type="dxa"/>
            <w:shd w:val="clear" w:color="auto" w:fill="auto"/>
            <w:tcMar>
              <w:top w:w="0" w:type="dxa"/>
              <w:left w:w="108" w:type="dxa"/>
              <w:bottom w:w="0" w:type="dxa"/>
              <w:right w:w="108" w:type="dxa"/>
            </w:tcMar>
            <w:vAlign w:val="center"/>
          </w:tcPr>
          <w:p w14:paraId="38767079"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0.63%</w:t>
            </w:r>
          </w:p>
        </w:tc>
        <w:tc>
          <w:tcPr>
            <w:tcW w:w="1451" w:type="dxa"/>
            <w:shd w:val="clear" w:color="auto" w:fill="auto"/>
            <w:tcMar>
              <w:top w:w="0" w:type="dxa"/>
              <w:left w:w="108" w:type="dxa"/>
              <w:bottom w:w="0" w:type="dxa"/>
              <w:right w:w="108" w:type="dxa"/>
            </w:tcMar>
            <w:vAlign w:val="center"/>
          </w:tcPr>
          <w:p w14:paraId="32C5AEDF"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c>
          <w:tcPr>
            <w:tcW w:w="1261" w:type="dxa"/>
            <w:shd w:val="clear" w:color="auto" w:fill="auto"/>
            <w:tcMar>
              <w:top w:w="0" w:type="dxa"/>
              <w:left w:w="108" w:type="dxa"/>
              <w:bottom w:w="0" w:type="dxa"/>
              <w:right w:w="108" w:type="dxa"/>
            </w:tcMar>
            <w:vAlign w:val="center"/>
          </w:tcPr>
          <w:p w14:paraId="64D25D7A" w14:textId="77777777" w:rsidR="005C504B" w:rsidRPr="00B4515A" w:rsidRDefault="005C504B"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37.99%</w:t>
            </w:r>
          </w:p>
        </w:tc>
      </w:tr>
    </w:tbl>
    <w:p w14:paraId="729DCEE5" w14:textId="77777777" w:rsidR="006416B0" w:rsidRPr="00B4515A" w:rsidRDefault="005E58C1" w:rsidP="005860B4">
      <w:pPr>
        <w:pStyle w:val="005"/>
        <w:spacing w:before="120" w:after="120"/>
        <w:ind w:firstLine="480"/>
      </w:pPr>
      <w:r w:rsidRPr="00B4515A">
        <w:rPr>
          <w:rFonts w:hint="eastAsia"/>
        </w:rPr>
        <w:t>（</w:t>
      </w:r>
      <w:r w:rsidRPr="00B4515A">
        <w:t>2</w:t>
      </w:r>
      <w:r w:rsidRPr="00B4515A">
        <w:rPr>
          <w:rFonts w:hint="eastAsia"/>
        </w:rPr>
        <w:t>）</w:t>
      </w:r>
      <w:r w:rsidRPr="00B4515A">
        <w:t>2020</w:t>
      </w:r>
      <w:r w:rsidRPr="00B4515A">
        <w:rPr>
          <w:rFonts w:hint="eastAsia"/>
        </w:rPr>
        <w:t>年度标的公司及可比公司研发投入情况</w:t>
      </w:r>
    </w:p>
    <w:p w14:paraId="2B172273" w14:textId="77777777" w:rsidR="006416B0" w:rsidRPr="00B4515A" w:rsidRDefault="005E58C1" w:rsidP="005860B4">
      <w:pPr>
        <w:pStyle w:val="009"/>
        <w:rPr>
          <w:b/>
          <w:bCs/>
        </w:rPr>
      </w:pPr>
      <w:r w:rsidRPr="00B4515A">
        <w:rPr>
          <w:rFonts w:hint="eastAsia"/>
        </w:rPr>
        <w:t>单位：万元</w:t>
      </w:r>
    </w:p>
    <w:tbl>
      <w:tblPr>
        <w:tblW w:w="513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88"/>
        <w:gridCol w:w="1595"/>
        <w:gridCol w:w="1305"/>
        <w:gridCol w:w="1304"/>
        <w:gridCol w:w="1305"/>
        <w:gridCol w:w="1305"/>
        <w:gridCol w:w="1261"/>
      </w:tblGrid>
      <w:tr w:rsidR="006416B0" w:rsidRPr="00B4515A" w14:paraId="0AA3310E" w14:textId="77777777" w:rsidTr="00EE238F">
        <w:trPr>
          <w:trHeight w:val="340"/>
          <w:jc w:val="center"/>
        </w:trPr>
        <w:tc>
          <w:tcPr>
            <w:tcW w:w="689" w:type="dxa"/>
            <w:vMerge w:val="restart"/>
            <w:shd w:val="clear" w:color="auto" w:fill="auto"/>
            <w:tcMar>
              <w:top w:w="0" w:type="dxa"/>
              <w:left w:w="108" w:type="dxa"/>
              <w:bottom w:w="0" w:type="dxa"/>
              <w:right w:w="108" w:type="dxa"/>
            </w:tcMar>
            <w:vAlign w:val="center"/>
          </w:tcPr>
          <w:p w14:paraId="319167FA"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序号</w:t>
            </w:r>
          </w:p>
        </w:tc>
        <w:tc>
          <w:tcPr>
            <w:tcW w:w="1595" w:type="dxa"/>
            <w:vMerge w:val="restart"/>
            <w:shd w:val="clear" w:color="auto" w:fill="auto"/>
            <w:tcMar>
              <w:top w:w="0" w:type="dxa"/>
              <w:left w:w="108" w:type="dxa"/>
              <w:bottom w:w="0" w:type="dxa"/>
              <w:right w:w="108" w:type="dxa"/>
            </w:tcMar>
            <w:vAlign w:val="center"/>
          </w:tcPr>
          <w:p w14:paraId="324E9F43"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项目</w:t>
            </w:r>
          </w:p>
        </w:tc>
        <w:tc>
          <w:tcPr>
            <w:tcW w:w="1305" w:type="dxa"/>
            <w:vMerge w:val="restart"/>
            <w:shd w:val="clear" w:color="auto" w:fill="auto"/>
            <w:tcMar>
              <w:top w:w="0" w:type="dxa"/>
              <w:left w:w="108" w:type="dxa"/>
              <w:bottom w:w="0" w:type="dxa"/>
              <w:right w:w="108" w:type="dxa"/>
            </w:tcMar>
            <w:vAlign w:val="center"/>
          </w:tcPr>
          <w:p w14:paraId="0D40A516"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大唐联诚</w:t>
            </w:r>
          </w:p>
        </w:tc>
        <w:tc>
          <w:tcPr>
            <w:tcW w:w="5175" w:type="dxa"/>
            <w:gridSpan w:val="4"/>
            <w:shd w:val="clear" w:color="auto" w:fill="auto"/>
            <w:tcMar>
              <w:top w:w="0" w:type="dxa"/>
              <w:left w:w="108" w:type="dxa"/>
              <w:bottom w:w="0" w:type="dxa"/>
              <w:right w:w="108" w:type="dxa"/>
            </w:tcMar>
            <w:vAlign w:val="center"/>
          </w:tcPr>
          <w:p w14:paraId="0409E502"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可比公司</w:t>
            </w:r>
          </w:p>
        </w:tc>
      </w:tr>
      <w:tr w:rsidR="006416B0" w:rsidRPr="00B4515A" w14:paraId="25C348B7" w14:textId="77777777" w:rsidTr="00EE238F">
        <w:trPr>
          <w:trHeight w:val="340"/>
          <w:jc w:val="center"/>
        </w:trPr>
        <w:tc>
          <w:tcPr>
            <w:tcW w:w="689" w:type="dxa"/>
            <w:vMerge/>
            <w:tcMar>
              <w:top w:w="0" w:type="dxa"/>
              <w:left w:w="108" w:type="dxa"/>
              <w:bottom w:w="0" w:type="dxa"/>
              <w:right w:w="108" w:type="dxa"/>
            </w:tcMar>
            <w:vAlign w:val="center"/>
          </w:tcPr>
          <w:p w14:paraId="319DA9D3" w14:textId="77777777" w:rsidR="006416B0" w:rsidRPr="00B4515A" w:rsidRDefault="006416B0" w:rsidP="005860B4">
            <w:pPr>
              <w:adjustRightInd w:val="0"/>
              <w:snapToGrid w:val="0"/>
              <w:rPr>
                <w:rFonts w:ascii="Times New Roman" w:eastAsiaTheme="minorEastAsia" w:hAnsi="Times New Roman" w:cs="Times New Roman"/>
                <w:b/>
                <w:color w:val="000000"/>
                <w:sz w:val="21"/>
                <w:szCs w:val="21"/>
              </w:rPr>
            </w:pPr>
          </w:p>
        </w:tc>
        <w:tc>
          <w:tcPr>
            <w:tcW w:w="1595" w:type="dxa"/>
            <w:vMerge/>
            <w:tcMar>
              <w:top w:w="0" w:type="dxa"/>
              <w:left w:w="108" w:type="dxa"/>
              <w:bottom w:w="0" w:type="dxa"/>
              <w:right w:w="108" w:type="dxa"/>
            </w:tcMar>
            <w:vAlign w:val="center"/>
          </w:tcPr>
          <w:p w14:paraId="0888BEED" w14:textId="77777777" w:rsidR="006416B0" w:rsidRPr="00B4515A" w:rsidRDefault="006416B0" w:rsidP="005860B4">
            <w:pPr>
              <w:adjustRightInd w:val="0"/>
              <w:snapToGrid w:val="0"/>
              <w:rPr>
                <w:rFonts w:ascii="Times New Roman" w:eastAsiaTheme="minorEastAsia" w:hAnsi="Times New Roman" w:cs="Times New Roman"/>
                <w:b/>
                <w:color w:val="000000"/>
                <w:sz w:val="21"/>
                <w:szCs w:val="21"/>
              </w:rPr>
            </w:pPr>
          </w:p>
        </w:tc>
        <w:tc>
          <w:tcPr>
            <w:tcW w:w="1305" w:type="dxa"/>
            <w:vMerge/>
            <w:tcMar>
              <w:top w:w="0" w:type="dxa"/>
              <w:left w:w="108" w:type="dxa"/>
              <w:bottom w:w="0" w:type="dxa"/>
              <w:right w:w="108" w:type="dxa"/>
            </w:tcMar>
            <w:vAlign w:val="center"/>
          </w:tcPr>
          <w:p w14:paraId="01113137" w14:textId="77777777" w:rsidR="006416B0" w:rsidRPr="00B4515A" w:rsidRDefault="006416B0" w:rsidP="005860B4">
            <w:pPr>
              <w:adjustRightInd w:val="0"/>
              <w:snapToGrid w:val="0"/>
              <w:rPr>
                <w:rFonts w:ascii="Times New Roman" w:eastAsiaTheme="minorEastAsia" w:hAnsi="Times New Roman" w:cs="Times New Roman"/>
                <w:b/>
                <w:color w:val="000000"/>
                <w:sz w:val="21"/>
                <w:szCs w:val="21"/>
              </w:rPr>
            </w:pPr>
          </w:p>
        </w:tc>
        <w:tc>
          <w:tcPr>
            <w:tcW w:w="1304" w:type="dxa"/>
            <w:shd w:val="clear" w:color="auto" w:fill="auto"/>
            <w:tcMar>
              <w:top w:w="0" w:type="dxa"/>
              <w:left w:w="108" w:type="dxa"/>
              <w:bottom w:w="0" w:type="dxa"/>
              <w:right w:w="108" w:type="dxa"/>
            </w:tcMar>
            <w:vAlign w:val="center"/>
          </w:tcPr>
          <w:p w14:paraId="0B99B76B"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上海瀚讯</w:t>
            </w:r>
          </w:p>
        </w:tc>
        <w:tc>
          <w:tcPr>
            <w:tcW w:w="1305" w:type="dxa"/>
            <w:shd w:val="clear" w:color="auto" w:fill="auto"/>
            <w:tcMar>
              <w:top w:w="0" w:type="dxa"/>
              <w:left w:w="108" w:type="dxa"/>
              <w:bottom w:w="0" w:type="dxa"/>
              <w:right w:w="108" w:type="dxa"/>
            </w:tcMar>
            <w:vAlign w:val="center"/>
          </w:tcPr>
          <w:p w14:paraId="231E2C56"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海格通信</w:t>
            </w:r>
          </w:p>
        </w:tc>
        <w:tc>
          <w:tcPr>
            <w:tcW w:w="1305" w:type="dxa"/>
            <w:shd w:val="clear" w:color="auto" w:fill="auto"/>
            <w:tcMar>
              <w:top w:w="0" w:type="dxa"/>
              <w:left w:w="108" w:type="dxa"/>
              <w:bottom w:w="0" w:type="dxa"/>
              <w:right w:w="108" w:type="dxa"/>
            </w:tcMar>
            <w:vAlign w:val="center"/>
          </w:tcPr>
          <w:p w14:paraId="5797A184"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七一二</w:t>
            </w:r>
          </w:p>
        </w:tc>
        <w:tc>
          <w:tcPr>
            <w:tcW w:w="1261" w:type="dxa"/>
            <w:shd w:val="clear" w:color="auto" w:fill="auto"/>
            <w:tcMar>
              <w:top w:w="0" w:type="dxa"/>
              <w:left w:w="108" w:type="dxa"/>
              <w:bottom w:w="0" w:type="dxa"/>
              <w:right w:w="108" w:type="dxa"/>
            </w:tcMar>
            <w:vAlign w:val="center"/>
          </w:tcPr>
          <w:p w14:paraId="6F1C24F9"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海能达</w:t>
            </w:r>
          </w:p>
        </w:tc>
      </w:tr>
      <w:tr w:rsidR="002D2C65" w:rsidRPr="00B4515A" w14:paraId="1E020956" w14:textId="77777777" w:rsidTr="005860B4">
        <w:trPr>
          <w:trHeight w:val="340"/>
          <w:jc w:val="center"/>
        </w:trPr>
        <w:tc>
          <w:tcPr>
            <w:tcW w:w="689" w:type="dxa"/>
            <w:shd w:val="clear" w:color="auto" w:fill="auto"/>
            <w:tcMar>
              <w:top w:w="0" w:type="dxa"/>
              <w:left w:w="108" w:type="dxa"/>
              <w:bottom w:w="0" w:type="dxa"/>
              <w:right w:w="108" w:type="dxa"/>
            </w:tcMar>
            <w:vAlign w:val="center"/>
          </w:tcPr>
          <w:p w14:paraId="4FC94974" w14:textId="77777777" w:rsidR="002D2C65" w:rsidRPr="00B4515A" w:rsidRDefault="002D2C65"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w:t>
            </w:r>
          </w:p>
        </w:tc>
        <w:tc>
          <w:tcPr>
            <w:tcW w:w="1595" w:type="dxa"/>
            <w:shd w:val="clear" w:color="auto" w:fill="auto"/>
            <w:tcMar>
              <w:top w:w="0" w:type="dxa"/>
              <w:left w:w="108" w:type="dxa"/>
              <w:bottom w:w="0" w:type="dxa"/>
              <w:right w:w="108" w:type="dxa"/>
            </w:tcMar>
            <w:vAlign w:val="center"/>
          </w:tcPr>
          <w:p w14:paraId="7813D116" w14:textId="77777777" w:rsidR="002D2C65" w:rsidRPr="00B4515A" w:rsidRDefault="002D2C65"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营业收入</w:t>
            </w:r>
          </w:p>
        </w:tc>
        <w:tc>
          <w:tcPr>
            <w:tcW w:w="1305" w:type="dxa"/>
            <w:shd w:val="clear" w:color="auto" w:fill="auto"/>
            <w:tcMar>
              <w:top w:w="0" w:type="dxa"/>
              <w:left w:w="108" w:type="dxa"/>
              <w:bottom w:w="0" w:type="dxa"/>
              <w:right w:w="108" w:type="dxa"/>
            </w:tcMar>
            <w:vAlign w:val="center"/>
          </w:tcPr>
          <w:p w14:paraId="2B49330D" w14:textId="51B093AA"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55,282.98</w:t>
            </w:r>
          </w:p>
        </w:tc>
        <w:tc>
          <w:tcPr>
            <w:tcW w:w="1304" w:type="dxa"/>
            <w:shd w:val="clear" w:color="auto" w:fill="auto"/>
            <w:tcMar>
              <w:top w:w="0" w:type="dxa"/>
              <w:left w:w="108" w:type="dxa"/>
              <w:bottom w:w="0" w:type="dxa"/>
              <w:right w:w="108" w:type="dxa"/>
            </w:tcMar>
            <w:vAlign w:val="center"/>
          </w:tcPr>
          <w:p w14:paraId="32384F84"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64,086.41</w:t>
            </w:r>
          </w:p>
        </w:tc>
        <w:tc>
          <w:tcPr>
            <w:tcW w:w="1305" w:type="dxa"/>
            <w:shd w:val="clear" w:color="auto" w:fill="auto"/>
            <w:tcMar>
              <w:top w:w="0" w:type="dxa"/>
              <w:left w:w="108" w:type="dxa"/>
              <w:bottom w:w="0" w:type="dxa"/>
              <w:right w:w="108" w:type="dxa"/>
            </w:tcMar>
            <w:vAlign w:val="center"/>
          </w:tcPr>
          <w:p w14:paraId="354F53F8"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512,206.48</w:t>
            </w:r>
          </w:p>
        </w:tc>
        <w:tc>
          <w:tcPr>
            <w:tcW w:w="1305" w:type="dxa"/>
            <w:shd w:val="clear" w:color="auto" w:fill="auto"/>
            <w:tcMar>
              <w:top w:w="0" w:type="dxa"/>
              <w:left w:w="108" w:type="dxa"/>
              <w:bottom w:w="0" w:type="dxa"/>
              <w:right w:w="108" w:type="dxa"/>
            </w:tcMar>
            <w:vAlign w:val="center"/>
          </w:tcPr>
          <w:p w14:paraId="3F5522D7"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269,609.54</w:t>
            </w:r>
          </w:p>
        </w:tc>
        <w:tc>
          <w:tcPr>
            <w:tcW w:w="1261" w:type="dxa"/>
            <w:shd w:val="clear" w:color="auto" w:fill="auto"/>
            <w:tcMar>
              <w:top w:w="0" w:type="dxa"/>
              <w:left w:w="108" w:type="dxa"/>
              <w:bottom w:w="0" w:type="dxa"/>
              <w:right w:w="108" w:type="dxa"/>
            </w:tcMar>
            <w:vAlign w:val="center"/>
          </w:tcPr>
          <w:p w14:paraId="40267277"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610,922.09</w:t>
            </w:r>
          </w:p>
        </w:tc>
      </w:tr>
      <w:tr w:rsidR="002D2C65" w:rsidRPr="00B4515A" w14:paraId="7B913733" w14:textId="77777777" w:rsidTr="005860B4">
        <w:trPr>
          <w:trHeight w:val="340"/>
          <w:jc w:val="center"/>
        </w:trPr>
        <w:tc>
          <w:tcPr>
            <w:tcW w:w="689" w:type="dxa"/>
            <w:shd w:val="clear" w:color="auto" w:fill="auto"/>
            <w:tcMar>
              <w:top w:w="0" w:type="dxa"/>
              <w:left w:w="108" w:type="dxa"/>
              <w:bottom w:w="0" w:type="dxa"/>
              <w:right w:w="108" w:type="dxa"/>
            </w:tcMar>
            <w:vAlign w:val="center"/>
          </w:tcPr>
          <w:p w14:paraId="4F2CF45E" w14:textId="77777777" w:rsidR="002D2C65" w:rsidRPr="00B4515A" w:rsidRDefault="002D2C65"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w:t>
            </w:r>
          </w:p>
        </w:tc>
        <w:tc>
          <w:tcPr>
            <w:tcW w:w="1595" w:type="dxa"/>
            <w:shd w:val="clear" w:color="auto" w:fill="auto"/>
            <w:tcMar>
              <w:top w:w="0" w:type="dxa"/>
              <w:left w:w="108" w:type="dxa"/>
              <w:bottom w:w="0" w:type="dxa"/>
              <w:right w:w="108" w:type="dxa"/>
            </w:tcMar>
            <w:vAlign w:val="center"/>
          </w:tcPr>
          <w:p w14:paraId="0AA7A8F9" w14:textId="77777777" w:rsidR="002D2C65" w:rsidRPr="00B4515A" w:rsidRDefault="002D2C65"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研发投入合计</w:t>
            </w:r>
          </w:p>
        </w:tc>
        <w:tc>
          <w:tcPr>
            <w:tcW w:w="1305" w:type="dxa"/>
            <w:shd w:val="clear" w:color="auto" w:fill="auto"/>
            <w:tcMar>
              <w:top w:w="0" w:type="dxa"/>
              <w:left w:w="108" w:type="dxa"/>
              <w:bottom w:w="0" w:type="dxa"/>
              <w:right w:w="108" w:type="dxa"/>
            </w:tcMar>
            <w:vAlign w:val="center"/>
          </w:tcPr>
          <w:p w14:paraId="5D09FE5F" w14:textId="7E1DD15F"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15,520.92</w:t>
            </w:r>
          </w:p>
        </w:tc>
        <w:tc>
          <w:tcPr>
            <w:tcW w:w="1304" w:type="dxa"/>
            <w:shd w:val="clear" w:color="auto" w:fill="auto"/>
            <w:tcMar>
              <w:top w:w="0" w:type="dxa"/>
              <w:left w:w="108" w:type="dxa"/>
              <w:bottom w:w="0" w:type="dxa"/>
              <w:right w:w="108" w:type="dxa"/>
            </w:tcMar>
            <w:vAlign w:val="center"/>
          </w:tcPr>
          <w:p w14:paraId="637058E7"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19,080.85</w:t>
            </w:r>
          </w:p>
        </w:tc>
        <w:tc>
          <w:tcPr>
            <w:tcW w:w="1305" w:type="dxa"/>
            <w:shd w:val="clear" w:color="auto" w:fill="auto"/>
            <w:tcMar>
              <w:top w:w="0" w:type="dxa"/>
              <w:left w:w="108" w:type="dxa"/>
              <w:bottom w:w="0" w:type="dxa"/>
              <w:right w:w="108" w:type="dxa"/>
            </w:tcMar>
            <w:vAlign w:val="center"/>
          </w:tcPr>
          <w:p w14:paraId="680F8050"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68,140.23</w:t>
            </w:r>
          </w:p>
        </w:tc>
        <w:tc>
          <w:tcPr>
            <w:tcW w:w="1305" w:type="dxa"/>
            <w:shd w:val="clear" w:color="auto" w:fill="auto"/>
            <w:tcMar>
              <w:top w:w="0" w:type="dxa"/>
              <w:left w:w="108" w:type="dxa"/>
              <w:bottom w:w="0" w:type="dxa"/>
              <w:right w:w="108" w:type="dxa"/>
            </w:tcMar>
            <w:vAlign w:val="center"/>
          </w:tcPr>
          <w:p w14:paraId="35BA7A91"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57,794.02</w:t>
            </w:r>
          </w:p>
        </w:tc>
        <w:tc>
          <w:tcPr>
            <w:tcW w:w="1261" w:type="dxa"/>
            <w:shd w:val="clear" w:color="auto" w:fill="auto"/>
            <w:tcMar>
              <w:top w:w="0" w:type="dxa"/>
              <w:left w:w="108" w:type="dxa"/>
              <w:bottom w:w="0" w:type="dxa"/>
              <w:right w:w="108" w:type="dxa"/>
            </w:tcMar>
            <w:vAlign w:val="center"/>
          </w:tcPr>
          <w:p w14:paraId="4DFCF008"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100,195.27</w:t>
            </w:r>
          </w:p>
        </w:tc>
      </w:tr>
      <w:tr w:rsidR="002D2C65" w:rsidRPr="00B4515A" w14:paraId="642FB3A7" w14:textId="77777777" w:rsidTr="005860B4">
        <w:trPr>
          <w:trHeight w:val="340"/>
          <w:jc w:val="center"/>
        </w:trPr>
        <w:tc>
          <w:tcPr>
            <w:tcW w:w="689" w:type="dxa"/>
            <w:shd w:val="clear" w:color="auto" w:fill="auto"/>
            <w:tcMar>
              <w:top w:w="0" w:type="dxa"/>
              <w:left w:w="108" w:type="dxa"/>
              <w:bottom w:w="0" w:type="dxa"/>
              <w:right w:w="108" w:type="dxa"/>
            </w:tcMar>
            <w:vAlign w:val="center"/>
          </w:tcPr>
          <w:p w14:paraId="0CFF86A2" w14:textId="77777777" w:rsidR="002D2C65" w:rsidRPr="00B4515A" w:rsidRDefault="002D2C65"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w:t>
            </w:r>
          </w:p>
        </w:tc>
        <w:tc>
          <w:tcPr>
            <w:tcW w:w="1595" w:type="dxa"/>
            <w:shd w:val="clear" w:color="auto" w:fill="auto"/>
            <w:tcMar>
              <w:top w:w="0" w:type="dxa"/>
              <w:left w:w="108" w:type="dxa"/>
              <w:bottom w:w="0" w:type="dxa"/>
              <w:right w:w="108" w:type="dxa"/>
            </w:tcMar>
            <w:vAlign w:val="center"/>
          </w:tcPr>
          <w:p w14:paraId="41DCA5EE" w14:textId="77777777" w:rsidR="002D2C65" w:rsidRPr="00B4515A" w:rsidRDefault="002D2C65"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研发投入费用化金额</w:t>
            </w:r>
          </w:p>
        </w:tc>
        <w:tc>
          <w:tcPr>
            <w:tcW w:w="1305" w:type="dxa"/>
            <w:shd w:val="clear" w:color="auto" w:fill="auto"/>
            <w:tcMar>
              <w:top w:w="0" w:type="dxa"/>
              <w:left w:w="108" w:type="dxa"/>
              <w:bottom w:w="0" w:type="dxa"/>
              <w:right w:w="108" w:type="dxa"/>
            </w:tcMar>
            <w:vAlign w:val="center"/>
          </w:tcPr>
          <w:p w14:paraId="48D67453" w14:textId="58F629F0"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13,456.57</w:t>
            </w:r>
          </w:p>
        </w:tc>
        <w:tc>
          <w:tcPr>
            <w:tcW w:w="1304" w:type="dxa"/>
            <w:shd w:val="clear" w:color="auto" w:fill="auto"/>
            <w:tcMar>
              <w:top w:w="0" w:type="dxa"/>
              <w:left w:w="108" w:type="dxa"/>
              <w:bottom w:w="0" w:type="dxa"/>
              <w:right w:w="108" w:type="dxa"/>
            </w:tcMar>
            <w:vAlign w:val="center"/>
          </w:tcPr>
          <w:p w14:paraId="66397E53"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15,989.80</w:t>
            </w:r>
          </w:p>
        </w:tc>
        <w:tc>
          <w:tcPr>
            <w:tcW w:w="1305" w:type="dxa"/>
            <w:shd w:val="clear" w:color="auto" w:fill="auto"/>
            <w:tcMar>
              <w:top w:w="0" w:type="dxa"/>
              <w:left w:w="108" w:type="dxa"/>
              <w:bottom w:w="0" w:type="dxa"/>
              <w:right w:w="108" w:type="dxa"/>
            </w:tcMar>
            <w:vAlign w:val="center"/>
          </w:tcPr>
          <w:p w14:paraId="46B01EC1"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67,778.37</w:t>
            </w:r>
          </w:p>
        </w:tc>
        <w:tc>
          <w:tcPr>
            <w:tcW w:w="1305" w:type="dxa"/>
            <w:shd w:val="clear" w:color="auto" w:fill="auto"/>
            <w:tcMar>
              <w:top w:w="0" w:type="dxa"/>
              <w:left w:w="108" w:type="dxa"/>
              <w:bottom w:w="0" w:type="dxa"/>
              <w:right w:w="108" w:type="dxa"/>
            </w:tcMar>
            <w:vAlign w:val="center"/>
          </w:tcPr>
          <w:p w14:paraId="6D989B77"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57,794.02</w:t>
            </w:r>
          </w:p>
        </w:tc>
        <w:tc>
          <w:tcPr>
            <w:tcW w:w="1261" w:type="dxa"/>
            <w:shd w:val="clear" w:color="auto" w:fill="auto"/>
            <w:tcMar>
              <w:top w:w="0" w:type="dxa"/>
              <w:left w:w="108" w:type="dxa"/>
              <w:bottom w:w="0" w:type="dxa"/>
              <w:right w:w="108" w:type="dxa"/>
            </w:tcMar>
            <w:vAlign w:val="center"/>
          </w:tcPr>
          <w:p w14:paraId="12911DC4"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68,608.01</w:t>
            </w:r>
          </w:p>
        </w:tc>
      </w:tr>
      <w:tr w:rsidR="002D2C65" w:rsidRPr="00B4515A" w14:paraId="1D808FF1" w14:textId="77777777" w:rsidTr="005860B4">
        <w:trPr>
          <w:trHeight w:val="340"/>
          <w:jc w:val="center"/>
        </w:trPr>
        <w:tc>
          <w:tcPr>
            <w:tcW w:w="689" w:type="dxa"/>
            <w:shd w:val="clear" w:color="auto" w:fill="auto"/>
            <w:tcMar>
              <w:top w:w="0" w:type="dxa"/>
              <w:left w:w="108" w:type="dxa"/>
              <w:bottom w:w="0" w:type="dxa"/>
              <w:right w:w="108" w:type="dxa"/>
            </w:tcMar>
            <w:vAlign w:val="center"/>
          </w:tcPr>
          <w:p w14:paraId="150C0A80" w14:textId="77777777" w:rsidR="002D2C65" w:rsidRPr="00B4515A" w:rsidRDefault="002D2C65"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w:t>
            </w:r>
          </w:p>
        </w:tc>
        <w:tc>
          <w:tcPr>
            <w:tcW w:w="1595" w:type="dxa"/>
            <w:shd w:val="clear" w:color="auto" w:fill="auto"/>
            <w:tcMar>
              <w:top w:w="0" w:type="dxa"/>
              <w:left w:w="108" w:type="dxa"/>
              <w:bottom w:w="0" w:type="dxa"/>
              <w:right w:w="108" w:type="dxa"/>
            </w:tcMar>
            <w:vAlign w:val="center"/>
          </w:tcPr>
          <w:p w14:paraId="09FB9B82" w14:textId="77777777" w:rsidR="002D2C65" w:rsidRPr="00B4515A" w:rsidRDefault="002D2C65"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研发投入资本化金额</w:t>
            </w:r>
          </w:p>
        </w:tc>
        <w:tc>
          <w:tcPr>
            <w:tcW w:w="1305" w:type="dxa"/>
            <w:shd w:val="clear" w:color="auto" w:fill="auto"/>
            <w:tcMar>
              <w:top w:w="0" w:type="dxa"/>
              <w:left w:w="108" w:type="dxa"/>
              <w:bottom w:w="0" w:type="dxa"/>
              <w:right w:w="108" w:type="dxa"/>
            </w:tcMar>
            <w:vAlign w:val="center"/>
          </w:tcPr>
          <w:p w14:paraId="148976E3" w14:textId="76B3C2C3"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2,064.36</w:t>
            </w:r>
          </w:p>
        </w:tc>
        <w:tc>
          <w:tcPr>
            <w:tcW w:w="1304" w:type="dxa"/>
            <w:shd w:val="clear" w:color="auto" w:fill="auto"/>
            <w:tcMar>
              <w:top w:w="0" w:type="dxa"/>
              <w:left w:w="108" w:type="dxa"/>
              <w:bottom w:w="0" w:type="dxa"/>
              <w:right w:w="108" w:type="dxa"/>
            </w:tcMar>
            <w:vAlign w:val="center"/>
          </w:tcPr>
          <w:p w14:paraId="78A29FD4"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3,091.05</w:t>
            </w:r>
          </w:p>
        </w:tc>
        <w:tc>
          <w:tcPr>
            <w:tcW w:w="1305" w:type="dxa"/>
            <w:shd w:val="clear" w:color="auto" w:fill="auto"/>
            <w:tcMar>
              <w:top w:w="0" w:type="dxa"/>
              <w:left w:w="108" w:type="dxa"/>
              <w:bottom w:w="0" w:type="dxa"/>
              <w:right w:w="108" w:type="dxa"/>
            </w:tcMar>
            <w:vAlign w:val="center"/>
          </w:tcPr>
          <w:p w14:paraId="11DA7F28"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c>
          <w:tcPr>
            <w:tcW w:w="1305" w:type="dxa"/>
            <w:shd w:val="clear" w:color="auto" w:fill="auto"/>
            <w:tcMar>
              <w:top w:w="0" w:type="dxa"/>
              <w:left w:w="108" w:type="dxa"/>
              <w:bottom w:w="0" w:type="dxa"/>
              <w:right w:w="108" w:type="dxa"/>
            </w:tcMar>
            <w:vAlign w:val="center"/>
          </w:tcPr>
          <w:p w14:paraId="064CCDD1"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c>
          <w:tcPr>
            <w:tcW w:w="1261" w:type="dxa"/>
            <w:shd w:val="clear" w:color="auto" w:fill="auto"/>
            <w:tcMar>
              <w:top w:w="0" w:type="dxa"/>
              <w:left w:w="108" w:type="dxa"/>
              <w:bottom w:w="0" w:type="dxa"/>
              <w:right w:w="108" w:type="dxa"/>
            </w:tcMar>
            <w:vAlign w:val="center"/>
          </w:tcPr>
          <w:p w14:paraId="4B808BD0"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31,587.26</w:t>
            </w:r>
          </w:p>
        </w:tc>
      </w:tr>
      <w:tr w:rsidR="002D2C65" w:rsidRPr="00B4515A" w14:paraId="14462E12" w14:textId="77777777" w:rsidTr="005860B4">
        <w:trPr>
          <w:trHeight w:val="340"/>
          <w:jc w:val="center"/>
        </w:trPr>
        <w:tc>
          <w:tcPr>
            <w:tcW w:w="689" w:type="dxa"/>
            <w:shd w:val="clear" w:color="auto" w:fill="auto"/>
            <w:tcMar>
              <w:top w:w="0" w:type="dxa"/>
              <w:left w:w="108" w:type="dxa"/>
              <w:bottom w:w="0" w:type="dxa"/>
              <w:right w:w="108" w:type="dxa"/>
            </w:tcMar>
            <w:vAlign w:val="center"/>
          </w:tcPr>
          <w:p w14:paraId="681EE12C" w14:textId="77777777" w:rsidR="002D2C65" w:rsidRPr="00B4515A" w:rsidRDefault="002D2C65"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w:t>
            </w:r>
          </w:p>
        </w:tc>
        <w:tc>
          <w:tcPr>
            <w:tcW w:w="1595" w:type="dxa"/>
            <w:shd w:val="clear" w:color="auto" w:fill="auto"/>
            <w:tcMar>
              <w:top w:w="0" w:type="dxa"/>
              <w:left w:w="108" w:type="dxa"/>
              <w:bottom w:w="0" w:type="dxa"/>
              <w:right w:w="108" w:type="dxa"/>
            </w:tcMar>
            <w:vAlign w:val="center"/>
          </w:tcPr>
          <w:p w14:paraId="03B13FE9" w14:textId="77777777" w:rsidR="002D2C65" w:rsidRPr="00B4515A" w:rsidRDefault="002D2C65"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研发投入占营业收入比例</w:t>
            </w:r>
          </w:p>
        </w:tc>
        <w:tc>
          <w:tcPr>
            <w:tcW w:w="1305" w:type="dxa"/>
            <w:shd w:val="clear" w:color="auto" w:fill="auto"/>
            <w:tcMar>
              <w:top w:w="0" w:type="dxa"/>
              <w:left w:w="108" w:type="dxa"/>
              <w:bottom w:w="0" w:type="dxa"/>
              <w:right w:w="108" w:type="dxa"/>
            </w:tcMar>
            <w:vAlign w:val="center"/>
          </w:tcPr>
          <w:p w14:paraId="41ED88D7" w14:textId="6943A63A"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28.08%</w:t>
            </w:r>
          </w:p>
        </w:tc>
        <w:tc>
          <w:tcPr>
            <w:tcW w:w="1304" w:type="dxa"/>
            <w:shd w:val="clear" w:color="auto" w:fill="auto"/>
            <w:tcMar>
              <w:top w:w="0" w:type="dxa"/>
              <w:left w:w="108" w:type="dxa"/>
              <w:bottom w:w="0" w:type="dxa"/>
              <w:right w:w="108" w:type="dxa"/>
            </w:tcMar>
            <w:vAlign w:val="center"/>
          </w:tcPr>
          <w:p w14:paraId="50A7669D"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29.77%</w:t>
            </w:r>
          </w:p>
        </w:tc>
        <w:tc>
          <w:tcPr>
            <w:tcW w:w="1305" w:type="dxa"/>
            <w:shd w:val="clear" w:color="auto" w:fill="auto"/>
            <w:tcMar>
              <w:top w:w="0" w:type="dxa"/>
              <w:left w:w="108" w:type="dxa"/>
              <w:bottom w:w="0" w:type="dxa"/>
              <w:right w:w="108" w:type="dxa"/>
            </w:tcMar>
            <w:vAlign w:val="center"/>
          </w:tcPr>
          <w:p w14:paraId="41186BF4"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13.30%</w:t>
            </w:r>
          </w:p>
        </w:tc>
        <w:tc>
          <w:tcPr>
            <w:tcW w:w="1305" w:type="dxa"/>
            <w:shd w:val="clear" w:color="auto" w:fill="auto"/>
            <w:tcMar>
              <w:top w:w="0" w:type="dxa"/>
              <w:left w:w="108" w:type="dxa"/>
              <w:bottom w:w="0" w:type="dxa"/>
              <w:right w:w="108" w:type="dxa"/>
            </w:tcMar>
            <w:vAlign w:val="center"/>
          </w:tcPr>
          <w:p w14:paraId="60F23E17"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21.44%</w:t>
            </w:r>
          </w:p>
        </w:tc>
        <w:tc>
          <w:tcPr>
            <w:tcW w:w="1261" w:type="dxa"/>
            <w:shd w:val="clear" w:color="auto" w:fill="auto"/>
            <w:tcMar>
              <w:top w:w="0" w:type="dxa"/>
              <w:left w:w="108" w:type="dxa"/>
              <w:bottom w:w="0" w:type="dxa"/>
              <w:right w:w="108" w:type="dxa"/>
            </w:tcMar>
            <w:vAlign w:val="center"/>
          </w:tcPr>
          <w:p w14:paraId="4844D903"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16.40%</w:t>
            </w:r>
          </w:p>
        </w:tc>
      </w:tr>
      <w:tr w:rsidR="002D2C65" w:rsidRPr="00B4515A" w14:paraId="63513639" w14:textId="77777777" w:rsidTr="005860B4">
        <w:trPr>
          <w:trHeight w:val="340"/>
          <w:jc w:val="center"/>
        </w:trPr>
        <w:tc>
          <w:tcPr>
            <w:tcW w:w="689" w:type="dxa"/>
            <w:shd w:val="clear" w:color="auto" w:fill="auto"/>
            <w:tcMar>
              <w:top w:w="0" w:type="dxa"/>
              <w:left w:w="108" w:type="dxa"/>
              <w:bottom w:w="0" w:type="dxa"/>
              <w:right w:w="108" w:type="dxa"/>
            </w:tcMar>
            <w:vAlign w:val="center"/>
          </w:tcPr>
          <w:p w14:paraId="6362242E" w14:textId="77777777" w:rsidR="002D2C65" w:rsidRPr="00B4515A" w:rsidRDefault="002D2C65"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w:t>
            </w:r>
          </w:p>
        </w:tc>
        <w:tc>
          <w:tcPr>
            <w:tcW w:w="1595" w:type="dxa"/>
            <w:shd w:val="clear" w:color="auto" w:fill="auto"/>
            <w:tcMar>
              <w:top w:w="0" w:type="dxa"/>
              <w:left w:w="108" w:type="dxa"/>
              <w:bottom w:w="0" w:type="dxa"/>
              <w:right w:w="108" w:type="dxa"/>
            </w:tcMar>
            <w:vAlign w:val="center"/>
          </w:tcPr>
          <w:p w14:paraId="4712E907" w14:textId="77777777" w:rsidR="002D2C65" w:rsidRPr="00B4515A" w:rsidRDefault="002D2C65"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费用化金额占研发投入比例</w:t>
            </w:r>
          </w:p>
        </w:tc>
        <w:tc>
          <w:tcPr>
            <w:tcW w:w="1305" w:type="dxa"/>
            <w:shd w:val="clear" w:color="auto" w:fill="auto"/>
            <w:tcMar>
              <w:top w:w="0" w:type="dxa"/>
              <w:left w:w="108" w:type="dxa"/>
              <w:bottom w:w="0" w:type="dxa"/>
              <w:right w:w="108" w:type="dxa"/>
            </w:tcMar>
            <w:vAlign w:val="center"/>
          </w:tcPr>
          <w:p w14:paraId="3B829619" w14:textId="634CF4C8"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86.70%</w:t>
            </w:r>
          </w:p>
        </w:tc>
        <w:tc>
          <w:tcPr>
            <w:tcW w:w="1304" w:type="dxa"/>
            <w:shd w:val="clear" w:color="auto" w:fill="auto"/>
            <w:tcMar>
              <w:top w:w="0" w:type="dxa"/>
              <w:left w:w="108" w:type="dxa"/>
              <w:bottom w:w="0" w:type="dxa"/>
              <w:right w:w="108" w:type="dxa"/>
            </w:tcMar>
            <w:vAlign w:val="center"/>
          </w:tcPr>
          <w:p w14:paraId="1BC50DC8"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83.80%</w:t>
            </w:r>
          </w:p>
        </w:tc>
        <w:tc>
          <w:tcPr>
            <w:tcW w:w="1305" w:type="dxa"/>
            <w:shd w:val="clear" w:color="auto" w:fill="auto"/>
            <w:tcMar>
              <w:top w:w="0" w:type="dxa"/>
              <w:left w:w="108" w:type="dxa"/>
              <w:bottom w:w="0" w:type="dxa"/>
              <w:right w:w="108" w:type="dxa"/>
            </w:tcMar>
            <w:vAlign w:val="center"/>
          </w:tcPr>
          <w:p w14:paraId="71AE7D2E"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99.47%</w:t>
            </w:r>
          </w:p>
        </w:tc>
        <w:tc>
          <w:tcPr>
            <w:tcW w:w="1305" w:type="dxa"/>
            <w:shd w:val="clear" w:color="auto" w:fill="auto"/>
            <w:tcMar>
              <w:top w:w="0" w:type="dxa"/>
              <w:left w:w="108" w:type="dxa"/>
              <w:bottom w:w="0" w:type="dxa"/>
              <w:right w:w="108" w:type="dxa"/>
            </w:tcMar>
            <w:vAlign w:val="center"/>
          </w:tcPr>
          <w:p w14:paraId="4E055182"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100.00%</w:t>
            </w:r>
          </w:p>
        </w:tc>
        <w:tc>
          <w:tcPr>
            <w:tcW w:w="1261" w:type="dxa"/>
            <w:shd w:val="clear" w:color="auto" w:fill="auto"/>
            <w:tcMar>
              <w:top w:w="0" w:type="dxa"/>
              <w:left w:w="108" w:type="dxa"/>
              <w:bottom w:w="0" w:type="dxa"/>
              <w:right w:w="108" w:type="dxa"/>
            </w:tcMar>
            <w:vAlign w:val="center"/>
          </w:tcPr>
          <w:p w14:paraId="3D14D58C"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68.47%</w:t>
            </w:r>
          </w:p>
        </w:tc>
      </w:tr>
      <w:tr w:rsidR="002D2C65" w:rsidRPr="00B4515A" w14:paraId="72CA7AFC" w14:textId="77777777" w:rsidTr="005860B4">
        <w:trPr>
          <w:trHeight w:val="340"/>
          <w:jc w:val="center"/>
        </w:trPr>
        <w:tc>
          <w:tcPr>
            <w:tcW w:w="689" w:type="dxa"/>
            <w:shd w:val="clear" w:color="auto" w:fill="auto"/>
            <w:tcMar>
              <w:top w:w="0" w:type="dxa"/>
              <w:left w:w="108" w:type="dxa"/>
              <w:bottom w:w="0" w:type="dxa"/>
              <w:right w:w="108" w:type="dxa"/>
            </w:tcMar>
            <w:vAlign w:val="center"/>
          </w:tcPr>
          <w:p w14:paraId="3D9A04CB" w14:textId="77777777" w:rsidR="002D2C65" w:rsidRPr="00B4515A" w:rsidRDefault="002D2C65"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7</w:t>
            </w:r>
          </w:p>
        </w:tc>
        <w:tc>
          <w:tcPr>
            <w:tcW w:w="1595" w:type="dxa"/>
            <w:shd w:val="clear" w:color="auto" w:fill="auto"/>
            <w:tcMar>
              <w:top w:w="0" w:type="dxa"/>
              <w:left w:w="108" w:type="dxa"/>
              <w:bottom w:w="0" w:type="dxa"/>
              <w:right w:w="108" w:type="dxa"/>
            </w:tcMar>
            <w:vAlign w:val="center"/>
          </w:tcPr>
          <w:p w14:paraId="58B6C2A6" w14:textId="77777777" w:rsidR="002D2C65" w:rsidRPr="00B4515A" w:rsidRDefault="002D2C65"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资本化金额占研发投入比例</w:t>
            </w:r>
          </w:p>
        </w:tc>
        <w:tc>
          <w:tcPr>
            <w:tcW w:w="1305" w:type="dxa"/>
            <w:shd w:val="clear" w:color="auto" w:fill="auto"/>
            <w:tcMar>
              <w:top w:w="0" w:type="dxa"/>
              <w:left w:w="108" w:type="dxa"/>
              <w:bottom w:w="0" w:type="dxa"/>
              <w:right w:w="108" w:type="dxa"/>
            </w:tcMar>
            <w:vAlign w:val="center"/>
          </w:tcPr>
          <w:p w14:paraId="76565183" w14:textId="1A578436"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13.30%</w:t>
            </w:r>
          </w:p>
        </w:tc>
        <w:tc>
          <w:tcPr>
            <w:tcW w:w="1304" w:type="dxa"/>
            <w:shd w:val="clear" w:color="auto" w:fill="auto"/>
            <w:tcMar>
              <w:top w:w="0" w:type="dxa"/>
              <w:left w:w="108" w:type="dxa"/>
              <w:bottom w:w="0" w:type="dxa"/>
              <w:right w:w="108" w:type="dxa"/>
            </w:tcMar>
            <w:vAlign w:val="center"/>
          </w:tcPr>
          <w:p w14:paraId="68820E6A"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16.20%</w:t>
            </w:r>
          </w:p>
        </w:tc>
        <w:tc>
          <w:tcPr>
            <w:tcW w:w="1305" w:type="dxa"/>
            <w:shd w:val="clear" w:color="auto" w:fill="auto"/>
            <w:tcMar>
              <w:top w:w="0" w:type="dxa"/>
              <w:left w:w="108" w:type="dxa"/>
              <w:bottom w:w="0" w:type="dxa"/>
              <w:right w:w="108" w:type="dxa"/>
            </w:tcMar>
            <w:vAlign w:val="center"/>
          </w:tcPr>
          <w:p w14:paraId="606FF436"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c>
          <w:tcPr>
            <w:tcW w:w="1305" w:type="dxa"/>
            <w:shd w:val="clear" w:color="auto" w:fill="auto"/>
            <w:tcMar>
              <w:top w:w="0" w:type="dxa"/>
              <w:left w:w="108" w:type="dxa"/>
              <w:bottom w:w="0" w:type="dxa"/>
              <w:right w:w="108" w:type="dxa"/>
            </w:tcMar>
            <w:vAlign w:val="center"/>
          </w:tcPr>
          <w:p w14:paraId="41F8B78C"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c>
          <w:tcPr>
            <w:tcW w:w="1261" w:type="dxa"/>
            <w:shd w:val="clear" w:color="auto" w:fill="auto"/>
            <w:tcMar>
              <w:top w:w="0" w:type="dxa"/>
              <w:left w:w="108" w:type="dxa"/>
              <w:bottom w:w="0" w:type="dxa"/>
              <w:right w:w="108" w:type="dxa"/>
            </w:tcMar>
            <w:vAlign w:val="center"/>
          </w:tcPr>
          <w:p w14:paraId="7DA66054" w14:textId="77777777" w:rsidR="002D2C65" w:rsidRPr="00B4515A" w:rsidRDefault="002D2C65"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31.53%</w:t>
            </w:r>
          </w:p>
        </w:tc>
      </w:tr>
    </w:tbl>
    <w:p w14:paraId="5CDD1B25" w14:textId="77777777" w:rsidR="006416B0" w:rsidRPr="00B4515A" w:rsidRDefault="005E58C1" w:rsidP="005860B4">
      <w:pPr>
        <w:pStyle w:val="005"/>
        <w:spacing w:before="120" w:after="120"/>
        <w:ind w:firstLine="480"/>
      </w:pPr>
      <w:r w:rsidRPr="00B4515A">
        <w:t>（</w:t>
      </w:r>
      <w:r w:rsidRPr="00B4515A">
        <w:t>3</w:t>
      </w:r>
      <w:r w:rsidRPr="00B4515A">
        <w:t>）</w:t>
      </w:r>
      <w:r w:rsidRPr="00B4515A">
        <w:t>2021</w:t>
      </w:r>
      <w:r w:rsidRPr="00B4515A">
        <w:t>年度</w:t>
      </w:r>
      <w:r w:rsidRPr="00B4515A">
        <w:t>1-4</w:t>
      </w:r>
      <w:r w:rsidRPr="00B4515A">
        <w:t>月份标的公司及可比公司研发投入情况</w:t>
      </w:r>
    </w:p>
    <w:p w14:paraId="29672F30" w14:textId="77777777" w:rsidR="006416B0" w:rsidRPr="00B4515A" w:rsidRDefault="005E58C1" w:rsidP="005860B4">
      <w:pPr>
        <w:pStyle w:val="009"/>
      </w:pPr>
      <w:r w:rsidRPr="00B4515A">
        <w:rPr>
          <w:rFonts w:hint="eastAsia"/>
        </w:rPr>
        <w:lastRenderedPageBreak/>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45"/>
        <w:gridCol w:w="1462"/>
        <w:gridCol w:w="1286"/>
        <w:gridCol w:w="1283"/>
        <w:gridCol w:w="1284"/>
        <w:gridCol w:w="1284"/>
        <w:gridCol w:w="1284"/>
      </w:tblGrid>
      <w:tr w:rsidR="006416B0" w:rsidRPr="00B4515A" w14:paraId="6C92E8F9" w14:textId="77777777" w:rsidTr="00031627">
        <w:trPr>
          <w:trHeight w:val="340"/>
          <w:jc w:val="center"/>
        </w:trPr>
        <w:tc>
          <w:tcPr>
            <w:tcW w:w="378" w:type="pct"/>
            <w:vMerge w:val="restart"/>
            <w:shd w:val="clear" w:color="auto" w:fill="auto"/>
            <w:tcMar>
              <w:top w:w="0" w:type="dxa"/>
              <w:left w:w="108" w:type="dxa"/>
              <w:bottom w:w="0" w:type="dxa"/>
              <w:right w:w="108" w:type="dxa"/>
            </w:tcMar>
            <w:vAlign w:val="center"/>
          </w:tcPr>
          <w:p w14:paraId="768A089F" w14:textId="77777777" w:rsidR="006416B0" w:rsidRPr="00B4515A" w:rsidRDefault="005E58C1" w:rsidP="005860B4">
            <w:pPr>
              <w:keepNext/>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序号</w:t>
            </w:r>
          </w:p>
        </w:tc>
        <w:tc>
          <w:tcPr>
            <w:tcW w:w="857" w:type="pct"/>
            <w:vMerge w:val="restart"/>
            <w:shd w:val="clear" w:color="auto" w:fill="auto"/>
            <w:tcMar>
              <w:top w:w="0" w:type="dxa"/>
              <w:left w:w="108" w:type="dxa"/>
              <w:bottom w:w="0" w:type="dxa"/>
              <w:right w:w="108" w:type="dxa"/>
            </w:tcMar>
            <w:vAlign w:val="center"/>
          </w:tcPr>
          <w:p w14:paraId="2879A0D7" w14:textId="77777777" w:rsidR="006416B0" w:rsidRPr="00B4515A" w:rsidRDefault="005E58C1" w:rsidP="005860B4">
            <w:pPr>
              <w:keepNext/>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项目</w:t>
            </w:r>
          </w:p>
        </w:tc>
        <w:tc>
          <w:tcPr>
            <w:tcW w:w="754" w:type="pct"/>
            <w:vMerge w:val="restart"/>
            <w:shd w:val="clear" w:color="auto" w:fill="auto"/>
            <w:tcMar>
              <w:top w:w="0" w:type="dxa"/>
              <w:left w:w="108" w:type="dxa"/>
              <w:bottom w:w="0" w:type="dxa"/>
              <w:right w:w="108" w:type="dxa"/>
            </w:tcMar>
            <w:vAlign w:val="center"/>
          </w:tcPr>
          <w:p w14:paraId="5D1C334B" w14:textId="77777777" w:rsidR="006416B0" w:rsidRPr="00B4515A" w:rsidRDefault="005E58C1" w:rsidP="005860B4">
            <w:pPr>
              <w:keepNext/>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大唐联诚</w:t>
            </w:r>
          </w:p>
          <w:p w14:paraId="1DE8A043" w14:textId="77777777" w:rsidR="006416B0" w:rsidRPr="00B4515A" w:rsidRDefault="005E58C1" w:rsidP="005860B4">
            <w:pPr>
              <w:keepNext/>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w:t>
            </w:r>
            <w:r w:rsidRPr="00B4515A">
              <w:rPr>
                <w:rFonts w:ascii="Times New Roman" w:eastAsiaTheme="minorEastAsia" w:hAnsi="Times New Roman" w:cs="Times New Roman"/>
                <w:b/>
                <w:color w:val="000000"/>
                <w:sz w:val="21"/>
                <w:szCs w:val="21"/>
              </w:rPr>
              <w:t>2021</w:t>
            </w:r>
            <w:r w:rsidRPr="00B4515A">
              <w:rPr>
                <w:rFonts w:ascii="Times New Roman" w:eastAsiaTheme="minorEastAsia" w:hAnsi="Times New Roman" w:cs="Times New Roman"/>
                <w:b/>
                <w:color w:val="000000"/>
                <w:sz w:val="21"/>
                <w:szCs w:val="21"/>
              </w:rPr>
              <w:t>年</w:t>
            </w:r>
            <w:r w:rsidRPr="00B4515A">
              <w:rPr>
                <w:rFonts w:ascii="Times New Roman" w:eastAsiaTheme="minorEastAsia" w:hAnsi="Times New Roman" w:cs="Times New Roman"/>
                <w:b/>
                <w:color w:val="000000"/>
                <w:sz w:val="21"/>
                <w:szCs w:val="21"/>
              </w:rPr>
              <w:t>1-4</w:t>
            </w:r>
            <w:r w:rsidRPr="00B4515A">
              <w:rPr>
                <w:rFonts w:ascii="Times New Roman" w:eastAsiaTheme="minorEastAsia" w:hAnsi="Times New Roman" w:cs="Times New Roman"/>
                <w:b/>
                <w:color w:val="000000"/>
                <w:sz w:val="21"/>
                <w:szCs w:val="21"/>
              </w:rPr>
              <w:t>月）</w:t>
            </w:r>
          </w:p>
        </w:tc>
        <w:tc>
          <w:tcPr>
            <w:tcW w:w="3011" w:type="pct"/>
            <w:gridSpan w:val="4"/>
            <w:shd w:val="clear" w:color="auto" w:fill="auto"/>
            <w:tcMar>
              <w:top w:w="0" w:type="dxa"/>
              <w:left w:w="108" w:type="dxa"/>
              <w:bottom w:w="0" w:type="dxa"/>
              <w:right w:w="108" w:type="dxa"/>
            </w:tcMar>
            <w:vAlign w:val="center"/>
          </w:tcPr>
          <w:p w14:paraId="0058DFEB" w14:textId="2A77C025" w:rsidR="006416B0" w:rsidRPr="00B4515A" w:rsidRDefault="005E58C1" w:rsidP="005860B4">
            <w:pPr>
              <w:keepNext/>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可比公司（</w:t>
            </w:r>
            <w:r w:rsidRPr="00B4515A">
              <w:rPr>
                <w:rFonts w:ascii="Times New Roman" w:eastAsiaTheme="minorEastAsia" w:hAnsi="Times New Roman" w:cs="Times New Roman"/>
                <w:b/>
                <w:color w:val="000000"/>
                <w:sz w:val="21"/>
                <w:szCs w:val="21"/>
              </w:rPr>
              <w:t>202</w:t>
            </w:r>
            <w:r w:rsidR="004F34FB" w:rsidRPr="00B4515A">
              <w:rPr>
                <w:rFonts w:ascii="Times New Roman" w:eastAsiaTheme="minorEastAsia" w:hAnsi="Times New Roman" w:cs="Times New Roman"/>
                <w:b/>
                <w:color w:val="000000"/>
                <w:sz w:val="21"/>
                <w:szCs w:val="21"/>
              </w:rPr>
              <w:t>1</w:t>
            </w:r>
            <w:r w:rsidRPr="00B4515A">
              <w:rPr>
                <w:rFonts w:ascii="Times New Roman" w:eastAsiaTheme="minorEastAsia" w:hAnsi="Times New Roman" w:cs="Times New Roman"/>
                <w:b/>
                <w:color w:val="000000"/>
                <w:sz w:val="21"/>
                <w:szCs w:val="21"/>
              </w:rPr>
              <w:t>年</w:t>
            </w:r>
            <w:r w:rsidRPr="00B4515A">
              <w:rPr>
                <w:rFonts w:ascii="Times New Roman" w:eastAsiaTheme="minorEastAsia" w:hAnsi="Times New Roman" w:cs="Times New Roman"/>
                <w:b/>
                <w:color w:val="000000"/>
                <w:sz w:val="21"/>
                <w:szCs w:val="21"/>
              </w:rPr>
              <w:t>1-3</w:t>
            </w:r>
            <w:r w:rsidRPr="00B4515A">
              <w:rPr>
                <w:rFonts w:ascii="Times New Roman" w:eastAsiaTheme="minorEastAsia" w:hAnsi="Times New Roman" w:cs="Times New Roman"/>
                <w:b/>
                <w:color w:val="000000"/>
                <w:sz w:val="21"/>
                <w:szCs w:val="21"/>
              </w:rPr>
              <w:t>月）</w:t>
            </w:r>
          </w:p>
        </w:tc>
      </w:tr>
      <w:tr w:rsidR="006416B0" w:rsidRPr="00B4515A" w14:paraId="41A0F6D9" w14:textId="77777777" w:rsidTr="00031627">
        <w:trPr>
          <w:trHeight w:val="340"/>
          <w:jc w:val="center"/>
        </w:trPr>
        <w:tc>
          <w:tcPr>
            <w:tcW w:w="378" w:type="pct"/>
            <w:vMerge/>
            <w:tcMar>
              <w:top w:w="0" w:type="dxa"/>
              <w:left w:w="108" w:type="dxa"/>
              <w:bottom w:w="0" w:type="dxa"/>
              <w:right w:w="108" w:type="dxa"/>
            </w:tcMar>
            <w:vAlign w:val="center"/>
          </w:tcPr>
          <w:p w14:paraId="5B0097E9" w14:textId="77777777" w:rsidR="006416B0" w:rsidRPr="00B4515A" w:rsidRDefault="006416B0" w:rsidP="005860B4">
            <w:pPr>
              <w:adjustRightInd w:val="0"/>
              <w:snapToGrid w:val="0"/>
              <w:jc w:val="center"/>
              <w:rPr>
                <w:rFonts w:ascii="Times New Roman" w:eastAsiaTheme="minorEastAsia" w:hAnsi="Times New Roman" w:cs="Times New Roman"/>
                <w:b/>
                <w:color w:val="000000"/>
                <w:sz w:val="21"/>
                <w:szCs w:val="21"/>
              </w:rPr>
            </w:pPr>
          </w:p>
        </w:tc>
        <w:tc>
          <w:tcPr>
            <w:tcW w:w="857" w:type="pct"/>
            <w:vMerge/>
            <w:tcMar>
              <w:top w:w="0" w:type="dxa"/>
              <w:left w:w="108" w:type="dxa"/>
              <w:bottom w:w="0" w:type="dxa"/>
              <w:right w:w="108" w:type="dxa"/>
            </w:tcMar>
            <w:vAlign w:val="center"/>
          </w:tcPr>
          <w:p w14:paraId="40D0ACD2" w14:textId="77777777" w:rsidR="006416B0" w:rsidRPr="00B4515A" w:rsidRDefault="006416B0" w:rsidP="005860B4">
            <w:pPr>
              <w:adjustRightInd w:val="0"/>
              <w:snapToGrid w:val="0"/>
              <w:jc w:val="center"/>
              <w:rPr>
                <w:rFonts w:ascii="Times New Roman" w:eastAsiaTheme="minorEastAsia" w:hAnsi="Times New Roman" w:cs="Times New Roman"/>
                <w:b/>
                <w:color w:val="000000"/>
                <w:sz w:val="21"/>
                <w:szCs w:val="21"/>
              </w:rPr>
            </w:pPr>
          </w:p>
        </w:tc>
        <w:tc>
          <w:tcPr>
            <w:tcW w:w="754" w:type="pct"/>
            <w:vMerge/>
            <w:tcMar>
              <w:top w:w="0" w:type="dxa"/>
              <w:left w:w="108" w:type="dxa"/>
              <w:bottom w:w="0" w:type="dxa"/>
              <w:right w:w="108" w:type="dxa"/>
            </w:tcMar>
            <w:vAlign w:val="center"/>
          </w:tcPr>
          <w:p w14:paraId="2082D2B3" w14:textId="77777777" w:rsidR="006416B0" w:rsidRPr="00B4515A" w:rsidRDefault="006416B0" w:rsidP="005860B4">
            <w:pPr>
              <w:adjustRightInd w:val="0"/>
              <w:snapToGrid w:val="0"/>
              <w:jc w:val="center"/>
              <w:rPr>
                <w:rFonts w:ascii="Times New Roman" w:eastAsiaTheme="minorEastAsia" w:hAnsi="Times New Roman" w:cs="Times New Roman"/>
                <w:b/>
                <w:color w:val="000000"/>
                <w:sz w:val="21"/>
                <w:szCs w:val="21"/>
              </w:rPr>
            </w:pPr>
          </w:p>
        </w:tc>
        <w:tc>
          <w:tcPr>
            <w:tcW w:w="752" w:type="pct"/>
            <w:shd w:val="clear" w:color="auto" w:fill="auto"/>
            <w:tcMar>
              <w:top w:w="0" w:type="dxa"/>
              <w:left w:w="108" w:type="dxa"/>
              <w:bottom w:w="0" w:type="dxa"/>
              <w:right w:w="108" w:type="dxa"/>
            </w:tcMar>
            <w:vAlign w:val="center"/>
          </w:tcPr>
          <w:p w14:paraId="55D9F1C5"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上海瀚讯</w:t>
            </w:r>
          </w:p>
        </w:tc>
        <w:tc>
          <w:tcPr>
            <w:tcW w:w="753" w:type="pct"/>
            <w:shd w:val="clear" w:color="auto" w:fill="auto"/>
            <w:tcMar>
              <w:top w:w="0" w:type="dxa"/>
              <w:left w:w="108" w:type="dxa"/>
              <w:bottom w:w="0" w:type="dxa"/>
              <w:right w:w="108" w:type="dxa"/>
            </w:tcMar>
            <w:vAlign w:val="center"/>
          </w:tcPr>
          <w:p w14:paraId="251CFD1E"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海格通信</w:t>
            </w:r>
          </w:p>
        </w:tc>
        <w:tc>
          <w:tcPr>
            <w:tcW w:w="753" w:type="pct"/>
            <w:shd w:val="clear" w:color="auto" w:fill="auto"/>
            <w:tcMar>
              <w:top w:w="0" w:type="dxa"/>
              <w:left w:w="108" w:type="dxa"/>
              <w:bottom w:w="0" w:type="dxa"/>
              <w:right w:w="108" w:type="dxa"/>
            </w:tcMar>
            <w:vAlign w:val="center"/>
          </w:tcPr>
          <w:p w14:paraId="6427269D"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七一二</w:t>
            </w:r>
          </w:p>
        </w:tc>
        <w:tc>
          <w:tcPr>
            <w:tcW w:w="753" w:type="pct"/>
            <w:shd w:val="clear" w:color="auto" w:fill="auto"/>
            <w:tcMar>
              <w:top w:w="0" w:type="dxa"/>
              <w:left w:w="108" w:type="dxa"/>
              <w:bottom w:w="0" w:type="dxa"/>
              <w:right w:w="108" w:type="dxa"/>
            </w:tcMar>
            <w:vAlign w:val="center"/>
          </w:tcPr>
          <w:p w14:paraId="4D013026"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海能达</w:t>
            </w:r>
          </w:p>
        </w:tc>
      </w:tr>
      <w:tr w:rsidR="006416B0" w:rsidRPr="00B4515A" w14:paraId="68BFCC21" w14:textId="77777777" w:rsidTr="00031627">
        <w:trPr>
          <w:trHeight w:val="340"/>
          <w:jc w:val="center"/>
        </w:trPr>
        <w:tc>
          <w:tcPr>
            <w:tcW w:w="378" w:type="pct"/>
            <w:shd w:val="clear" w:color="auto" w:fill="auto"/>
            <w:tcMar>
              <w:top w:w="0" w:type="dxa"/>
              <w:left w:w="108" w:type="dxa"/>
              <w:bottom w:w="0" w:type="dxa"/>
              <w:right w:w="108" w:type="dxa"/>
            </w:tcMar>
            <w:vAlign w:val="center"/>
          </w:tcPr>
          <w:p w14:paraId="572AC2E4"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w:t>
            </w:r>
          </w:p>
        </w:tc>
        <w:tc>
          <w:tcPr>
            <w:tcW w:w="857" w:type="pct"/>
            <w:shd w:val="clear" w:color="auto" w:fill="auto"/>
            <w:tcMar>
              <w:top w:w="0" w:type="dxa"/>
              <w:left w:w="108" w:type="dxa"/>
              <w:bottom w:w="0" w:type="dxa"/>
              <w:right w:w="108" w:type="dxa"/>
            </w:tcMar>
            <w:vAlign w:val="center"/>
          </w:tcPr>
          <w:p w14:paraId="1E83796D" w14:textId="77777777" w:rsidR="006416B0" w:rsidRPr="00B4515A" w:rsidRDefault="005E58C1"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营业收入</w:t>
            </w:r>
          </w:p>
        </w:tc>
        <w:tc>
          <w:tcPr>
            <w:tcW w:w="754" w:type="pct"/>
            <w:shd w:val="clear" w:color="auto" w:fill="auto"/>
            <w:tcMar>
              <w:top w:w="0" w:type="dxa"/>
              <w:left w:w="108" w:type="dxa"/>
              <w:bottom w:w="0" w:type="dxa"/>
              <w:right w:w="108" w:type="dxa"/>
            </w:tcMar>
            <w:vAlign w:val="center"/>
          </w:tcPr>
          <w:p w14:paraId="34D600D9"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12,758.79</w:t>
            </w:r>
          </w:p>
        </w:tc>
        <w:tc>
          <w:tcPr>
            <w:tcW w:w="752" w:type="pct"/>
            <w:shd w:val="clear" w:color="auto" w:fill="auto"/>
            <w:tcMar>
              <w:top w:w="0" w:type="dxa"/>
              <w:left w:w="108" w:type="dxa"/>
              <w:bottom w:w="0" w:type="dxa"/>
              <w:right w:w="108" w:type="dxa"/>
            </w:tcMar>
            <w:vAlign w:val="center"/>
          </w:tcPr>
          <w:p w14:paraId="10EB4BCB"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6,329.71</w:t>
            </w:r>
          </w:p>
        </w:tc>
        <w:tc>
          <w:tcPr>
            <w:tcW w:w="753" w:type="pct"/>
            <w:shd w:val="clear" w:color="auto" w:fill="auto"/>
            <w:tcMar>
              <w:top w:w="0" w:type="dxa"/>
              <w:left w:w="108" w:type="dxa"/>
              <w:bottom w:w="0" w:type="dxa"/>
              <w:right w:w="108" w:type="dxa"/>
            </w:tcMar>
            <w:vAlign w:val="center"/>
          </w:tcPr>
          <w:p w14:paraId="2DC75EBF"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87,234.88</w:t>
            </w:r>
          </w:p>
        </w:tc>
        <w:tc>
          <w:tcPr>
            <w:tcW w:w="753" w:type="pct"/>
            <w:shd w:val="clear" w:color="auto" w:fill="auto"/>
            <w:tcMar>
              <w:top w:w="0" w:type="dxa"/>
              <w:left w:w="108" w:type="dxa"/>
              <w:bottom w:w="0" w:type="dxa"/>
              <w:right w:w="108" w:type="dxa"/>
            </w:tcMar>
            <w:vAlign w:val="center"/>
          </w:tcPr>
          <w:p w14:paraId="548AA179"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34,656.66</w:t>
            </w:r>
          </w:p>
        </w:tc>
        <w:tc>
          <w:tcPr>
            <w:tcW w:w="753" w:type="pct"/>
            <w:shd w:val="clear" w:color="auto" w:fill="auto"/>
            <w:tcMar>
              <w:top w:w="0" w:type="dxa"/>
              <w:left w:w="108" w:type="dxa"/>
              <w:bottom w:w="0" w:type="dxa"/>
              <w:right w:w="108" w:type="dxa"/>
            </w:tcMar>
            <w:vAlign w:val="center"/>
          </w:tcPr>
          <w:p w14:paraId="656181DC"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87,471.54</w:t>
            </w:r>
          </w:p>
        </w:tc>
      </w:tr>
      <w:tr w:rsidR="006416B0" w:rsidRPr="00B4515A" w14:paraId="13A3E998" w14:textId="77777777" w:rsidTr="00031627">
        <w:trPr>
          <w:trHeight w:val="340"/>
          <w:jc w:val="center"/>
        </w:trPr>
        <w:tc>
          <w:tcPr>
            <w:tcW w:w="378" w:type="pct"/>
            <w:shd w:val="clear" w:color="auto" w:fill="auto"/>
            <w:tcMar>
              <w:top w:w="0" w:type="dxa"/>
              <w:left w:w="108" w:type="dxa"/>
              <w:bottom w:w="0" w:type="dxa"/>
              <w:right w:w="108" w:type="dxa"/>
            </w:tcMar>
            <w:vAlign w:val="center"/>
          </w:tcPr>
          <w:p w14:paraId="21070DD1"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w:t>
            </w:r>
          </w:p>
        </w:tc>
        <w:tc>
          <w:tcPr>
            <w:tcW w:w="857" w:type="pct"/>
            <w:shd w:val="clear" w:color="auto" w:fill="auto"/>
            <w:tcMar>
              <w:top w:w="0" w:type="dxa"/>
              <w:left w:w="108" w:type="dxa"/>
              <w:bottom w:w="0" w:type="dxa"/>
              <w:right w:w="108" w:type="dxa"/>
            </w:tcMar>
            <w:vAlign w:val="center"/>
          </w:tcPr>
          <w:p w14:paraId="26A9E01F" w14:textId="77777777" w:rsidR="006416B0" w:rsidRPr="00B4515A" w:rsidRDefault="005E58C1"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研发投入合计</w:t>
            </w:r>
          </w:p>
        </w:tc>
        <w:tc>
          <w:tcPr>
            <w:tcW w:w="754" w:type="pct"/>
            <w:shd w:val="clear" w:color="auto" w:fill="auto"/>
            <w:tcMar>
              <w:top w:w="0" w:type="dxa"/>
              <w:left w:w="108" w:type="dxa"/>
              <w:bottom w:w="0" w:type="dxa"/>
              <w:right w:w="108" w:type="dxa"/>
            </w:tcMar>
            <w:vAlign w:val="center"/>
          </w:tcPr>
          <w:p w14:paraId="5E07CCE4"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5,254.81</w:t>
            </w:r>
          </w:p>
        </w:tc>
        <w:tc>
          <w:tcPr>
            <w:tcW w:w="752" w:type="pct"/>
            <w:shd w:val="clear" w:color="auto" w:fill="auto"/>
            <w:tcMar>
              <w:top w:w="0" w:type="dxa"/>
              <w:left w:w="108" w:type="dxa"/>
              <w:bottom w:w="0" w:type="dxa"/>
              <w:right w:w="108" w:type="dxa"/>
            </w:tcMar>
            <w:vAlign w:val="center"/>
          </w:tcPr>
          <w:p w14:paraId="6C4C398A"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3,673.45</w:t>
            </w:r>
          </w:p>
        </w:tc>
        <w:tc>
          <w:tcPr>
            <w:tcW w:w="753" w:type="pct"/>
            <w:shd w:val="clear" w:color="auto" w:fill="auto"/>
            <w:tcMar>
              <w:top w:w="0" w:type="dxa"/>
              <w:left w:w="108" w:type="dxa"/>
              <w:bottom w:w="0" w:type="dxa"/>
              <w:right w:w="108" w:type="dxa"/>
            </w:tcMar>
            <w:vAlign w:val="center"/>
          </w:tcPr>
          <w:p w14:paraId="434866DB"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18,053.33</w:t>
            </w:r>
          </w:p>
        </w:tc>
        <w:tc>
          <w:tcPr>
            <w:tcW w:w="753" w:type="pct"/>
            <w:shd w:val="clear" w:color="auto" w:fill="auto"/>
            <w:tcMar>
              <w:top w:w="0" w:type="dxa"/>
              <w:left w:w="108" w:type="dxa"/>
              <w:bottom w:w="0" w:type="dxa"/>
              <w:right w:w="108" w:type="dxa"/>
            </w:tcMar>
            <w:vAlign w:val="center"/>
          </w:tcPr>
          <w:p w14:paraId="4B9EC5FC"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11,056.33</w:t>
            </w:r>
          </w:p>
        </w:tc>
        <w:tc>
          <w:tcPr>
            <w:tcW w:w="753" w:type="pct"/>
            <w:shd w:val="clear" w:color="auto" w:fill="auto"/>
            <w:tcMar>
              <w:top w:w="0" w:type="dxa"/>
              <w:left w:w="108" w:type="dxa"/>
              <w:bottom w:w="0" w:type="dxa"/>
              <w:right w:w="108" w:type="dxa"/>
            </w:tcMar>
            <w:vAlign w:val="center"/>
          </w:tcPr>
          <w:p w14:paraId="251E3A00"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24,346.59</w:t>
            </w:r>
          </w:p>
        </w:tc>
      </w:tr>
      <w:tr w:rsidR="006416B0" w:rsidRPr="00B4515A" w14:paraId="377FBEF4" w14:textId="77777777" w:rsidTr="00031627">
        <w:trPr>
          <w:trHeight w:val="340"/>
          <w:jc w:val="center"/>
        </w:trPr>
        <w:tc>
          <w:tcPr>
            <w:tcW w:w="378" w:type="pct"/>
            <w:shd w:val="clear" w:color="auto" w:fill="auto"/>
            <w:tcMar>
              <w:top w:w="0" w:type="dxa"/>
              <w:left w:w="108" w:type="dxa"/>
              <w:bottom w:w="0" w:type="dxa"/>
              <w:right w:w="108" w:type="dxa"/>
            </w:tcMar>
            <w:vAlign w:val="center"/>
          </w:tcPr>
          <w:p w14:paraId="12452CA9"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w:t>
            </w:r>
          </w:p>
        </w:tc>
        <w:tc>
          <w:tcPr>
            <w:tcW w:w="857" w:type="pct"/>
            <w:shd w:val="clear" w:color="auto" w:fill="auto"/>
            <w:tcMar>
              <w:top w:w="0" w:type="dxa"/>
              <w:left w:w="108" w:type="dxa"/>
              <w:bottom w:w="0" w:type="dxa"/>
              <w:right w:w="108" w:type="dxa"/>
            </w:tcMar>
            <w:vAlign w:val="center"/>
          </w:tcPr>
          <w:p w14:paraId="02CF0AF7" w14:textId="77777777" w:rsidR="006416B0" w:rsidRPr="00B4515A" w:rsidRDefault="005E58C1"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研发投入费用化金额</w:t>
            </w:r>
          </w:p>
        </w:tc>
        <w:tc>
          <w:tcPr>
            <w:tcW w:w="754" w:type="pct"/>
            <w:shd w:val="clear" w:color="auto" w:fill="auto"/>
            <w:tcMar>
              <w:top w:w="0" w:type="dxa"/>
              <w:left w:w="108" w:type="dxa"/>
              <w:bottom w:w="0" w:type="dxa"/>
              <w:right w:w="108" w:type="dxa"/>
            </w:tcMar>
            <w:vAlign w:val="center"/>
          </w:tcPr>
          <w:p w14:paraId="5BE468B7"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3,958.06</w:t>
            </w:r>
          </w:p>
        </w:tc>
        <w:tc>
          <w:tcPr>
            <w:tcW w:w="752" w:type="pct"/>
            <w:shd w:val="clear" w:color="auto" w:fill="auto"/>
            <w:tcMar>
              <w:top w:w="0" w:type="dxa"/>
              <w:left w:w="108" w:type="dxa"/>
              <w:bottom w:w="0" w:type="dxa"/>
              <w:right w:w="108" w:type="dxa"/>
            </w:tcMar>
            <w:vAlign w:val="center"/>
          </w:tcPr>
          <w:p w14:paraId="64921D28"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3,156.41</w:t>
            </w:r>
          </w:p>
        </w:tc>
        <w:tc>
          <w:tcPr>
            <w:tcW w:w="753" w:type="pct"/>
            <w:shd w:val="clear" w:color="auto" w:fill="auto"/>
            <w:tcMar>
              <w:top w:w="0" w:type="dxa"/>
              <w:left w:w="108" w:type="dxa"/>
              <w:bottom w:w="0" w:type="dxa"/>
              <w:right w:w="108" w:type="dxa"/>
            </w:tcMar>
            <w:vAlign w:val="center"/>
          </w:tcPr>
          <w:p w14:paraId="54756EDB"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18,053.33</w:t>
            </w:r>
          </w:p>
        </w:tc>
        <w:tc>
          <w:tcPr>
            <w:tcW w:w="753" w:type="pct"/>
            <w:shd w:val="clear" w:color="auto" w:fill="auto"/>
            <w:tcMar>
              <w:top w:w="0" w:type="dxa"/>
              <w:left w:w="108" w:type="dxa"/>
              <w:bottom w:w="0" w:type="dxa"/>
              <w:right w:w="108" w:type="dxa"/>
            </w:tcMar>
            <w:vAlign w:val="center"/>
          </w:tcPr>
          <w:p w14:paraId="382AB3E8"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11,056.33</w:t>
            </w:r>
          </w:p>
        </w:tc>
        <w:tc>
          <w:tcPr>
            <w:tcW w:w="753" w:type="pct"/>
            <w:shd w:val="clear" w:color="auto" w:fill="auto"/>
            <w:tcMar>
              <w:top w:w="0" w:type="dxa"/>
              <w:left w:w="108" w:type="dxa"/>
              <w:bottom w:w="0" w:type="dxa"/>
              <w:right w:w="108" w:type="dxa"/>
            </w:tcMar>
            <w:vAlign w:val="center"/>
          </w:tcPr>
          <w:p w14:paraId="594497C8"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24,346.59</w:t>
            </w:r>
          </w:p>
        </w:tc>
      </w:tr>
      <w:tr w:rsidR="006416B0" w:rsidRPr="00B4515A" w14:paraId="750F078E" w14:textId="77777777" w:rsidTr="00031627">
        <w:trPr>
          <w:trHeight w:val="340"/>
          <w:jc w:val="center"/>
        </w:trPr>
        <w:tc>
          <w:tcPr>
            <w:tcW w:w="378" w:type="pct"/>
            <w:shd w:val="clear" w:color="auto" w:fill="auto"/>
            <w:tcMar>
              <w:top w:w="0" w:type="dxa"/>
              <w:left w:w="108" w:type="dxa"/>
              <w:bottom w:w="0" w:type="dxa"/>
              <w:right w:w="108" w:type="dxa"/>
            </w:tcMar>
            <w:vAlign w:val="center"/>
          </w:tcPr>
          <w:p w14:paraId="3ACD74AD"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w:t>
            </w:r>
          </w:p>
        </w:tc>
        <w:tc>
          <w:tcPr>
            <w:tcW w:w="857" w:type="pct"/>
            <w:shd w:val="clear" w:color="auto" w:fill="auto"/>
            <w:tcMar>
              <w:top w:w="0" w:type="dxa"/>
              <w:left w:w="108" w:type="dxa"/>
              <w:bottom w:w="0" w:type="dxa"/>
              <w:right w:w="108" w:type="dxa"/>
            </w:tcMar>
            <w:vAlign w:val="center"/>
          </w:tcPr>
          <w:p w14:paraId="7701E91C" w14:textId="77777777" w:rsidR="006416B0" w:rsidRPr="00B4515A" w:rsidRDefault="005E58C1"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研发投入资本化金额</w:t>
            </w:r>
          </w:p>
        </w:tc>
        <w:tc>
          <w:tcPr>
            <w:tcW w:w="754" w:type="pct"/>
            <w:shd w:val="clear" w:color="auto" w:fill="auto"/>
            <w:tcMar>
              <w:top w:w="0" w:type="dxa"/>
              <w:left w:w="108" w:type="dxa"/>
              <w:bottom w:w="0" w:type="dxa"/>
              <w:right w:w="108" w:type="dxa"/>
            </w:tcMar>
            <w:vAlign w:val="center"/>
          </w:tcPr>
          <w:p w14:paraId="1F58D654"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1,296.75</w:t>
            </w:r>
          </w:p>
        </w:tc>
        <w:tc>
          <w:tcPr>
            <w:tcW w:w="752" w:type="pct"/>
            <w:shd w:val="clear" w:color="auto" w:fill="auto"/>
            <w:tcMar>
              <w:top w:w="0" w:type="dxa"/>
              <w:left w:w="108" w:type="dxa"/>
              <w:bottom w:w="0" w:type="dxa"/>
              <w:right w:w="108" w:type="dxa"/>
            </w:tcMar>
            <w:vAlign w:val="center"/>
          </w:tcPr>
          <w:p w14:paraId="2E23116F"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517.04</w:t>
            </w:r>
          </w:p>
        </w:tc>
        <w:tc>
          <w:tcPr>
            <w:tcW w:w="753" w:type="pct"/>
            <w:shd w:val="clear" w:color="auto" w:fill="auto"/>
            <w:tcMar>
              <w:top w:w="0" w:type="dxa"/>
              <w:left w:w="108" w:type="dxa"/>
              <w:bottom w:w="0" w:type="dxa"/>
              <w:right w:w="108" w:type="dxa"/>
            </w:tcMar>
            <w:vAlign w:val="center"/>
          </w:tcPr>
          <w:p w14:paraId="12609CA7"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c>
          <w:tcPr>
            <w:tcW w:w="753" w:type="pct"/>
            <w:shd w:val="clear" w:color="auto" w:fill="auto"/>
            <w:tcMar>
              <w:top w:w="0" w:type="dxa"/>
              <w:left w:w="108" w:type="dxa"/>
              <w:bottom w:w="0" w:type="dxa"/>
              <w:right w:w="108" w:type="dxa"/>
            </w:tcMar>
            <w:vAlign w:val="center"/>
          </w:tcPr>
          <w:p w14:paraId="1F667788"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c>
          <w:tcPr>
            <w:tcW w:w="753" w:type="pct"/>
            <w:shd w:val="clear" w:color="auto" w:fill="auto"/>
            <w:tcMar>
              <w:top w:w="0" w:type="dxa"/>
              <w:left w:w="108" w:type="dxa"/>
              <w:bottom w:w="0" w:type="dxa"/>
              <w:right w:w="108" w:type="dxa"/>
            </w:tcMar>
            <w:vAlign w:val="center"/>
          </w:tcPr>
          <w:p w14:paraId="39044D1C"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r>
      <w:tr w:rsidR="006416B0" w:rsidRPr="00B4515A" w14:paraId="1018F871" w14:textId="77777777" w:rsidTr="00031627">
        <w:trPr>
          <w:trHeight w:val="340"/>
          <w:jc w:val="center"/>
        </w:trPr>
        <w:tc>
          <w:tcPr>
            <w:tcW w:w="378" w:type="pct"/>
            <w:shd w:val="clear" w:color="auto" w:fill="auto"/>
            <w:tcMar>
              <w:top w:w="0" w:type="dxa"/>
              <w:left w:w="108" w:type="dxa"/>
              <w:bottom w:w="0" w:type="dxa"/>
              <w:right w:w="108" w:type="dxa"/>
            </w:tcMar>
            <w:vAlign w:val="center"/>
          </w:tcPr>
          <w:p w14:paraId="5CA1D15D"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w:t>
            </w:r>
          </w:p>
        </w:tc>
        <w:tc>
          <w:tcPr>
            <w:tcW w:w="857" w:type="pct"/>
            <w:shd w:val="clear" w:color="auto" w:fill="auto"/>
            <w:tcMar>
              <w:top w:w="0" w:type="dxa"/>
              <w:left w:w="108" w:type="dxa"/>
              <w:bottom w:w="0" w:type="dxa"/>
              <w:right w:w="108" w:type="dxa"/>
            </w:tcMar>
            <w:vAlign w:val="center"/>
          </w:tcPr>
          <w:p w14:paraId="46E9C383" w14:textId="77777777" w:rsidR="006416B0" w:rsidRPr="00B4515A" w:rsidRDefault="005E58C1"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研发投入占营业收入比例</w:t>
            </w:r>
          </w:p>
        </w:tc>
        <w:tc>
          <w:tcPr>
            <w:tcW w:w="754" w:type="pct"/>
            <w:shd w:val="clear" w:color="auto" w:fill="auto"/>
            <w:tcMar>
              <w:top w:w="0" w:type="dxa"/>
              <w:left w:w="108" w:type="dxa"/>
              <w:bottom w:w="0" w:type="dxa"/>
              <w:right w:w="108" w:type="dxa"/>
            </w:tcMar>
            <w:vAlign w:val="center"/>
          </w:tcPr>
          <w:p w14:paraId="10FE538E"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41.19%</w:t>
            </w:r>
          </w:p>
        </w:tc>
        <w:tc>
          <w:tcPr>
            <w:tcW w:w="752" w:type="pct"/>
            <w:shd w:val="clear" w:color="auto" w:fill="auto"/>
            <w:tcMar>
              <w:top w:w="0" w:type="dxa"/>
              <w:left w:w="108" w:type="dxa"/>
              <w:bottom w:w="0" w:type="dxa"/>
              <w:right w:w="108" w:type="dxa"/>
            </w:tcMar>
            <w:vAlign w:val="center"/>
          </w:tcPr>
          <w:p w14:paraId="07D835B2"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58.03%</w:t>
            </w:r>
          </w:p>
        </w:tc>
        <w:tc>
          <w:tcPr>
            <w:tcW w:w="753" w:type="pct"/>
            <w:shd w:val="clear" w:color="auto" w:fill="auto"/>
            <w:tcMar>
              <w:top w:w="0" w:type="dxa"/>
              <w:left w:w="108" w:type="dxa"/>
              <w:bottom w:w="0" w:type="dxa"/>
              <w:right w:w="108" w:type="dxa"/>
            </w:tcMar>
            <w:vAlign w:val="center"/>
          </w:tcPr>
          <w:p w14:paraId="0C90AF9B"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20.70%</w:t>
            </w:r>
          </w:p>
        </w:tc>
        <w:tc>
          <w:tcPr>
            <w:tcW w:w="753" w:type="pct"/>
            <w:shd w:val="clear" w:color="auto" w:fill="auto"/>
            <w:tcMar>
              <w:top w:w="0" w:type="dxa"/>
              <w:left w:w="108" w:type="dxa"/>
              <w:bottom w:w="0" w:type="dxa"/>
              <w:right w:w="108" w:type="dxa"/>
            </w:tcMar>
            <w:vAlign w:val="center"/>
          </w:tcPr>
          <w:p w14:paraId="25AD7ACB"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31.90%</w:t>
            </w:r>
          </w:p>
        </w:tc>
        <w:tc>
          <w:tcPr>
            <w:tcW w:w="753" w:type="pct"/>
            <w:shd w:val="clear" w:color="auto" w:fill="auto"/>
            <w:tcMar>
              <w:top w:w="0" w:type="dxa"/>
              <w:left w:w="108" w:type="dxa"/>
              <w:bottom w:w="0" w:type="dxa"/>
              <w:right w:w="108" w:type="dxa"/>
            </w:tcMar>
            <w:vAlign w:val="center"/>
          </w:tcPr>
          <w:p w14:paraId="0B4C7B0A"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27.83%</w:t>
            </w:r>
          </w:p>
        </w:tc>
      </w:tr>
      <w:tr w:rsidR="006416B0" w:rsidRPr="00B4515A" w14:paraId="52269A4E" w14:textId="77777777" w:rsidTr="00031627">
        <w:trPr>
          <w:trHeight w:val="340"/>
          <w:jc w:val="center"/>
        </w:trPr>
        <w:tc>
          <w:tcPr>
            <w:tcW w:w="378" w:type="pct"/>
            <w:shd w:val="clear" w:color="auto" w:fill="auto"/>
            <w:tcMar>
              <w:top w:w="0" w:type="dxa"/>
              <w:left w:w="108" w:type="dxa"/>
              <w:bottom w:w="0" w:type="dxa"/>
              <w:right w:w="108" w:type="dxa"/>
            </w:tcMar>
            <w:vAlign w:val="center"/>
          </w:tcPr>
          <w:p w14:paraId="28FFB74E"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6</w:t>
            </w:r>
          </w:p>
        </w:tc>
        <w:tc>
          <w:tcPr>
            <w:tcW w:w="857" w:type="pct"/>
            <w:shd w:val="clear" w:color="auto" w:fill="auto"/>
            <w:tcMar>
              <w:top w:w="0" w:type="dxa"/>
              <w:left w:w="108" w:type="dxa"/>
              <w:bottom w:w="0" w:type="dxa"/>
              <w:right w:w="108" w:type="dxa"/>
            </w:tcMar>
            <w:vAlign w:val="center"/>
          </w:tcPr>
          <w:p w14:paraId="75280446" w14:textId="77777777" w:rsidR="006416B0" w:rsidRPr="00B4515A" w:rsidRDefault="005E58C1"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费用化金额占研发投入比例</w:t>
            </w:r>
          </w:p>
        </w:tc>
        <w:tc>
          <w:tcPr>
            <w:tcW w:w="754" w:type="pct"/>
            <w:shd w:val="clear" w:color="auto" w:fill="auto"/>
            <w:tcMar>
              <w:top w:w="0" w:type="dxa"/>
              <w:left w:w="108" w:type="dxa"/>
              <w:bottom w:w="0" w:type="dxa"/>
              <w:right w:w="108" w:type="dxa"/>
            </w:tcMar>
            <w:vAlign w:val="center"/>
          </w:tcPr>
          <w:p w14:paraId="1B38E293"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75.32%</w:t>
            </w:r>
          </w:p>
        </w:tc>
        <w:tc>
          <w:tcPr>
            <w:tcW w:w="752" w:type="pct"/>
            <w:shd w:val="clear" w:color="auto" w:fill="auto"/>
            <w:tcMar>
              <w:top w:w="0" w:type="dxa"/>
              <w:left w:w="108" w:type="dxa"/>
              <w:bottom w:w="0" w:type="dxa"/>
              <w:right w:w="108" w:type="dxa"/>
            </w:tcMar>
            <w:vAlign w:val="center"/>
          </w:tcPr>
          <w:p w14:paraId="7058DFAA"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85.92%</w:t>
            </w:r>
          </w:p>
        </w:tc>
        <w:tc>
          <w:tcPr>
            <w:tcW w:w="753" w:type="pct"/>
            <w:shd w:val="clear" w:color="auto" w:fill="auto"/>
            <w:tcMar>
              <w:top w:w="0" w:type="dxa"/>
              <w:left w:w="108" w:type="dxa"/>
              <w:bottom w:w="0" w:type="dxa"/>
              <w:right w:w="108" w:type="dxa"/>
            </w:tcMar>
            <w:vAlign w:val="center"/>
          </w:tcPr>
          <w:p w14:paraId="1C897ACA"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100.00%</w:t>
            </w:r>
          </w:p>
        </w:tc>
        <w:tc>
          <w:tcPr>
            <w:tcW w:w="753" w:type="pct"/>
            <w:shd w:val="clear" w:color="auto" w:fill="auto"/>
            <w:tcMar>
              <w:top w:w="0" w:type="dxa"/>
              <w:left w:w="108" w:type="dxa"/>
              <w:bottom w:w="0" w:type="dxa"/>
              <w:right w:w="108" w:type="dxa"/>
            </w:tcMar>
            <w:vAlign w:val="center"/>
          </w:tcPr>
          <w:p w14:paraId="61385EF0"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100.00%</w:t>
            </w:r>
          </w:p>
        </w:tc>
        <w:tc>
          <w:tcPr>
            <w:tcW w:w="753" w:type="pct"/>
            <w:shd w:val="clear" w:color="auto" w:fill="auto"/>
            <w:tcMar>
              <w:top w:w="0" w:type="dxa"/>
              <w:left w:w="108" w:type="dxa"/>
              <w:bottom w:w="0" w:type="dxa"/>
              <w:right w:w="108" w:type="dxa"/>
            </w:tcMar>
            <w:vAlign w:val="center"/>
          </w:tcPr>
          <w:p w14:paraId="4A9F08EF"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100.00%</w:t>
            </w:r>
          </w:p>
        </w:tc>
      </w:tr>
      <w:tr w:rsidR="006416B0" w:rsidRPr="00B4515A" w14:paraId="55FB631B" w14:textId="77777777" w:rsidTr="00031627">
        <w:trPr>
          <w:trHeight w:val="340"/>
          <w:jc w:val="center"/>
        </w:trPr>
        <w:tc>
          <w:tcPr>
            <w:tcW w:w="378" w:type="pct"/>
            <w:shd w:val="clear" w:color="auto" w:fill="auto"/>
            <w:tcMar>
              <w:top w:w="0" w:type="dxa"/>
              <w:left w:w="108" w:type="dxa"/>
              <w:bottom w:w="0" w:type="dxa"/>
              <w:right w:w="108" w:type="dxa"/>
            </w:tcMar>
            <w:vAlign w:val="center"/>
          </w:tcPr>
          <w:p w14:paraId="2DFA883D"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7</w:t>
            </w:r>
          </w:p>
        </w:tc>
        <w:tc>
          <w:tcPr>
            <w:tcW w:w="857" w:type="pct"/>
            <w:shd w:val="clear" w:color="auto" w:fill="auto"/>
            <w:tcMar>
              <w:top w:w="0" w:type="dxa"/>
              <w:left w:w="108" w:type="dxa"/>
              <w:bottom w:w="0" w:type="dxa"/>
              <w:right w:w="108" w:type="dxa"/>
            </w:tcMar>
            <w:vAlign w:val="center"/>
          </w:tcPr>
          <w:p w14:paraId="7F496732" w14:textId="77777777" w:rsidR="006416B0" w:rsidRPr="00B4515A" w:rsidRDefault="005E58C1"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资本化金额占研发投入比例</w:t>
            </w:r>
          </w:p>
        </w:tc>
        <w:tc>
          <w:tcPr>
            <w:tcW w:w="754" w:type="pct"/>
            <w:shd w:val="clear" w:color="auto" w:fill="auto"/>
            <w:tcMar>
              <w:top w:w="0" w:type="dxa"/>
              <w:left w:w="108" w:type="dxa"/>
              <w:bottom w:w="0" w:type="dxa"/>
              <w:right w:w="108" w:type="dxa"/>
            </w:tcMar>
            <w:vAlign w:val="center"/>
          </w:tcPr>
          <w:p w14:paraId="3E08DD9A"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24.68%</w:t>
            </w:r>
          </w:p>
        </w:tc>
        <w:tc>
          <w:tcPr>
            <w:tcW w:w="752" w:type="pct"/>
            <w:shd w:val="clear" w:color="auto" w:fill="auto"/>
            <w:tcMar>
              <w:top w:w="0" w:type="dxa"/>
              <w:left w:w="108" w:type="dxa"/>
              <w:bottom w:w="0" w:type="dxa"/>
              <w:right w:w="108" w:type="dxa"/>
            </w:tcMar>
            <w:vAlign w:val="center"/>
          </w:tcPr>
          <w:p w14:paraId="752A4145"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14.08%</w:t>
            </w:r>
          </w:p>
        </w:tc>
        <w:tc>
          <w:tcPr>
            <w:tcW w:w="753" w:type="pct"/>
            <w:shd w:val="clear" w:color="auto" w:fill="auto"/>
            <w:tcMar>
              <w:top w:w="0" w:type="dxa"/>
              <w:left w:w="108" w:type="dxa"/>
              <w:bottom w:w="0" w:type="dxa"/>
              <w:right w:w="108" w:type="dxa"/>
            </w:tcMar>
            <w:vAlign w:val="center"/>
          </w:tcPr>
          <w:p w14:paraId="7116FC95"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c>
          <w:tcPr>
            <w:tcW w:w="753" w:type="pct"/>
            <w:shd w:val="clear" w:color="auto" w:fill="auto"/>
            <w:tcMar>
              <w:top w:w="0" w:type="dxa"/>
              <w:left w:w="108" w:type="dxa"/>
              <w:bottom w:w="0" w:type="dxa"/>
              <w:right w:w="108" w:type="dxa"/>
            </w:tcMar>
            <w:vAlign w:val="center"/>
          </w:tcPr>
          <w:p w14:paraId="19E4DE89"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c>
          <w:tcPr>
            <w:tcW w:w="753" w:type="pct"/>
            <w:shd w:val="clear" w:color="auto" w:fill="auto"/>
            <w:tcMar>
              <w:top w:w="0" w:type="dxa"/>
              <w:left w:w="108" w:type="dxa"/>
              <w:bottom w:w="0" w:type="dxa"/>
              <w:right w:w="108" w:type="dxa"/>
            </w:tcMar>
            <w:vAlign w:val="center"/>
          </w:tcPr>
          <w:p w14:paraId="7C39F1BA"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0.00%</w:t>
            </w:r>
          </w:p>
        </w:tc>
      </w:tr>
    </w:tbl>
    <w:p w14:paraId="2815EA70" w14:textId="77777777" w:rsidR="006416B0" w:rsidRPr="00B4515A" w:rsidRDefault="005E58C1" w:rsidP="005860B4">
      <w:pPr>
        <w:pStyle w:val="006"/>
        <w:ind w:firstLine="420"/>
      </w:pPr>
      <w:r w:rsidRPr="00B4515A">
        <w:t>注：（</w:t>
      </w:r>
      <w:r w:rsidRPr="00B4515A">
        <w:t>1</w:t>
      </w:r>
      <w:r w:rsidRPr="00B4515A">
        <w:t>）标的公司数据未审计数；可比公司来源于</w:t>
      </w:r>
      <w:r w:rsidRPr="00B4515A">
        <w:t>wind</w:t>
      </w:r>
      <w:r w:rsidRPr="00B4515A">
        <w:t>。</w:t>
      </w:r>
    </w:p>
    <w:p w14:paraId="6BCF862E" w14:textId="77777777" w:rsidR="006416B0" w:rsidRPr="00B4515A" w:rsidRDefault="005E58C1" w:rsidP="005860B4">
      <w:pPr>
        <w:pStyle w:val="006"/>
        <w:ind w:firstLine="420"/>
      </w:pPr>
      <w:r w:rsidRPr="00B4515A">
        <w:t>（</w:t>
      </w:r>
      <w:r w:rsidRPr="00B4515A">
        <w:t>2</w:t>
      </w:r>
      <w:r w:rsidRPr="00B4515A">
        <w:t>）由于可比公司没有披露</w:t>
      </w:r>
      <w:r w:rsidRPr="00B4515A">
        <w:t>2021</w:t>
      </w:r>
      <w:r w:rsidRPr="00B4515A">
        <w:t>年</w:t>
      </w:r>
      <w:r w:rsidRPr="00B4515A">
        <w:t>1-4</w:t>
      </w:r>
      <w:r w:rsidRPr="00B4515A">
        <w:t>月份数据，因此暂与可比公司</w:t>
      </w:r>
      <w:r w:rsidRPr="00B4515A">
        <w:t>2021</w:t>
      </w:r>
      <w:r w:rsidRPr="00B4515A">
        <w:t>年</w:t>
      </w:r>
      <w:r w:rsidRPr="00B4515A">
        <w:t>1-3</w:t>
      </w:r>
      <w:r w:rsidRPr="00B4515A">
        <w:t>月份对比。</w:t>
      </w:r>
    </w:p>
    <w:p w14:paraId="135B7518" w14:textId="05C5C076" w:rsidR="006416B0" w:rsidRPr="00B4515A" w:rsidRDefault="005E58C1" w:rsidP="005860B4">
      <w:pPr>
        <w:pStyle w:val="005"/>
        <w:spacing w:before="120" w:after="120"/>
        <w:ind w:firstLine="480"/>
      </w:pPr>
      <w:r w:rsidRPr="00B4515A">
        <w:t>1</w:t>
      </w:r>
      <w:r w:rsidRPr="00B4515A">
        <w:t>）标的公司报告期内</w:t>
      </w:r>
      <w:r w:rsidRPr="00B4515A">
        <w:t>2019</w:t>
      </w:r>
      <w:r w:rsidRPr="00B4515A">
        <w:t>年度、</w:t>
      </w:r>
      <w:r w:rsidRPr="00B4515A">
        <w:t>2020</w:t>
      </w:r>
      <w:r w:rsidRPr="00B4515A">
        <w:t>年度、</w:t>
      </w:r>
      <w:r w:rsidRPr="00B4515A">
        <w:t>2021</w:t>
      </w:r>
      <w:r w:rsidRPr="00B4515A">
        <w:t>年</w:t>
      </w:r>
      <w:r w:rsidRPr="00B4515A">
        <w:t>1-4</w:t>
      </w:r>
      <w:r w:rsidRPr="00B4515A">
        <w:t>月份研发投入分别为</w:t>
      </w:r>
      <w:r w:rsidR="001B46B1" w:rsidRPr="00B4515A">
        <w:t>17,878.66</w:t>
      </w:r>
      <w:r w:rsidRPr="00B4515A">
        <w:t>万元、</w:t>
      </w:r>
      <w:r w:rsidR="001B46B1" w:rsidRPr="00B4515A">
        <w:t>15,520.92</w:t>
      </w:r>
      <w:r w:rsidRPr="00B4515A">
        <w:t>万元、</w:t>
      </w:r>
      <w:r w:rsidRPr="00B4515A">
        <w:t>5,254.81</w:t>
      </w:r>
      <w:r w:rsidRPr="00B4515A">
        <w:t>万元，占营业收入比例分别为</w:t>
      </w:r>
      <w:r w:rsidR="001B46B1" w:rsidRPr="00B4515A">
        <w:t>48.74%</w:t>
      </w:r>
      <w:r w:rsidRPr="00B4515A">
        <w:t>、</w:t>
      </w:r>
      <w:r w:rsidR="001B46B1" w:rsidRPr="00B4515A">
        <w:t>28.08%</w:t>
      </w:r>
      <w:r w:rsidRPr="00B4515A">
        <w:t>、</w:t>
      </w:r>
      <w:r w:rsidRPr="00B4515A">
        <w:t>41.19%</w:t>
      </w:r>
      <w:r w:rsidRPr="00B4515A">
        <w:t>，标的公司研发投入占营业收入比例与可比公司相比较，其中</w:t>
      </w:r>
      <w:r w:rsidRPr="00B4515A">
        <w:t>2019</w:t>
      </w:r>
      <w:r w:rsidRPr="00B4515A">
        <w:t>年度较高，</w:t>
      </w:r>
      <w:r w:rsidRPr="00B4515A">
        <w:t>2020</w:t>
      </w:r>
      <w:r w:rsidRPr="00B4515A">
        <w:t>年度、</w:t>
      </w:r>
      <w:r w:rsidRPr="00B4515A">
        <w:t>2021</w:t>
      </w:r>
      <w:r w:rsidRPr="00B4515A">
        <w:t>年</w:t>
      </w:r>
      <w:r w:rsidRPr="00B4515A">
        <w:t>1-4</w:t>
      </w:r>
      <w:r w:rsidRPr="00B4515A">
        <w:t>月与可比公司相比，处于合理范围内。</w:t>
      </w:r>
    </w:p>
    <w:p w14:paraId="36A7E03A" w14:textId="77777777" w:rsidR="006416B0" w:rsidRPr="00B4515A" w:rsidRDefault="005E58C1" w:rsidP="005860B4">
      <w:pPr>
        <w:pStyle w:val="005"/>
        <w:spacing w:before="120" w:after="120"/>
        <w:ind w:firstLine="480"/>
      </w:pPr>
      <w:r w:rsidRPr="00B4515A">
        <w:t>标的公司</w:t>
      </w:r>
      <w:r w:rsidRPr="00B4515A">
        <w:t>2019</w:t>
      </w:r>
      <w:r w:rsidRPr="00B4515A">
        <w:t>年度研发投入较高的原因主要为标的公司报告期聚焦专用移动通信业务、专用宽带电台、宽带移动安全应用三大业务板块，处于该业务板块的布局期，标的公司加大了业务板块研发投入，部分战略性项目处于研发阶段，加上特通业务领域研发周期较长，收入规模较可比公司小，从而导致研发投入占比较可比公司高。</w:t>
      </w:r>
    </w:p>
    <w:p w14:paraId="6151E7FC" w14:textId="77777777" w:rsidR="006416B0" w:rsidRPr="00B4515A" w:rsidRDefault="005E58C1" w:rsidP="005860B4">
      <w:pPr>
        <w:pStyle w:val="005"/>
        <w:spacing w:before="120" w:after="120"/>
        <w:ind w:firstLine="480"/>
      </w:pPr>
      <w:r w:rsidRPr="00B4515A">
        <w:t>综上所述，报告期内标的公司研发投入占比整体上与可比公司一致，处于合理范围内。</w:t>
      </w:r>
    </w:p>
    <w:p w14:paraId="1E3DA35D" w14:textId="5A1A120D" w:rsidR="006416B0" w:rsidRPr="00B4515A" w:rsidRDefault="005E58C1" w:rsidP="005860B4">
      <w:pPr>
        <w:pStyle w:val="005"/>
        <w:spacing w:before="120" w:after="120"/>
        <w:ind w:firstLine="480"/>
      </w:pPr>
      <w:r w:rsidRPr="00B4515A">
        <w:t>2</w:t>
      </w:r>
      <w:r w:rsidRPr="00B4515A">
        <w:t>）报告期内标的公司有</w:t>
      </w:r>
      <w:r w:rsidR="00A56356" w:rsidRPr="00B4515A">
        <w:rPr>
          <w:rFonts w:hint="eastAsia"/>
        </w:rPr>
        <w:t>两</w:t>
      </w:r>
      <w:r w:rsidRPr="00B4515A">
        <w:t>个研发项目满足资本化条件，标的公司就其研发投入中符合资本化条件的支出进行了资本化核算，报告期内资本化金额分别为</w:t>
      </w:r>
      <w:r w:rsidRPr="00B4515A">
        <w:t>3,146.62</w:t>
      </w:r>
      <w:r w:rsidRPr="00B4515A">
        <w:t>万元、</w:t>
      </w:r>
      <w:r w:rsidRPr="00B4515A">
        <w:t>2,064.36</w:t>
      </w:r>
      <w:r w:rsidRPr="00B4515A">
        <w:t>万元、</w:t>
      </w:r>
      <w:r w:rsidRPr="00B4515A">
        <w:t>1,296.75</w:t>
      </w:r>
      <w:r w:rsidRPr="00B4515A">
        <w:t>万元，研发投入资本化率分别为</w:t>
      </w:r>
      <w:r w:rsidR="004F34FB" w:rsidRPr="00B4515A">
        <w:t>17.60%</w:t>
      </w:r>
      <w:r w:rsidRPr="00B4515A">
        <w:t>、</w:t>
      </w:r>
      <w:r w:rsidR="004F34FB" w:rsidRPr="00B4515A">
        <w:lastRenderedPageBreak/>
        <w:t>13.30%</w:t>
      </w:r>
      <w:r w:rsidRPr="00B4515A">
        <w:t>、</w:t>
      </w:r>
      <w:r w:rsidRPr="00B4515A">
        <w:t>24.68%</w:t>
      </w:r>
      <w:r w:rsidRPr="00B4515A">
        <w:t>。</w:t>
      </w:r>
      <w:r w:rsidRPr="00B4515A">
        <w:t>2019</w:t>
      </w:r>
      <w:r w:rsidRPr="00B4515A">
        <w:t>年、</w:t>
      </w:r>
      <w:r w:rsidRPr="00B4515A">
        <w:t>2020</w:t>
      </w:r>
      <w:r w:rsidRPr="00B4515A">
        <w:t>年度标的公司研发投入资本化率与可比公司资本化率较为一致，</w:t>
      </w:r>
      <w:r w:rsidRPr="00B4515A">
        <w:t>2021</w:t>
      </w:r>
      <w:r w:rsidRPr="00B4515A">
        <w:t>年</w:t>
      </w:r>
      <w:r w:rsidRPr="00B4515A">
        <w:rPr>
          <w:rFonts w:hint="eastAsia"/>
        </w:rPr>
        <w:t>1-</w:t>
      </w:r>
      <w:r w:rsidRPr="00B4515A">
        <w:t>4</w:t>
      </w:r>
      <w:r w:rsidRPr="00B4515A">
        <w:rPr>
          <w:rFonts w:hint="eastAsia"/>
        </w:rPr>
        <w:t>月</w:t>
      </w:r>
      <w:r w:rsidRPr="00B4515A">
        <w:t>标的公司资本化率比可比公司高。</w:t>
      </w:r>
      <w:r w:rsidRPr="00B4515A">
        <w:t>2021</w:t>
      </w:r>
      <w:r w:rsidRPr="00B4515A">
        <w:t>年</w:t>
      </w:r>
      <w:r w:rsidRPr="00B4515A">
        <w:t>1-4</w:t>
      </w:r>
      <w:r w:rsidRPr="00B4515A">
        <w:t>月份，标的公司整体研发投入占比收入比重与可比公司一致，但是由于标的公司</w:t>
      </w:r>
      <w:r w:rsidRPr="00B4515A">
        <w:t>2021</w:t>
      </w:r>
      <w:r w:rsidRPr="00B4515A">
        <w:t>年</w:t>
      </w:r>
      <w:r w:rsidRPr="00B4515A">
        <w:t>1-4</w:t>
      </w:r>
      <w:r w:rsidRPr="00B4515A">
        <w:t>月份有</w:t>
      </w:r>
      <w:r w:rsidR="00A56356" w:rsidRPr="00B4515A">
        <w:rPr>
          <w:rFonts w:hint="eastAsia"/>
        </w:rPr>
        <w:t>两</w:t>
      </w:r>
      <w:r w:rsidRPr="00B4515A">
        <w:t>个符合资本化条件的研发支出，而可比公司符合资本化条件的研发支出较小，部分可比公司没有符合资本化条件的研发支出，从而导致可比公司</w:t>
      </w:r>
      <w:r w:rsidRPr="00B4515A">
        <w:t>2021</w:t>
      </w:r>
      <w:r w:rsidRPr="00B4515A">
        <w:t>年</w:t>
      </w:r>
      <w:r w:rsidRPr="00B4515A">
        <w:t>1-4</w:t>
      </w:r>
      <w:r w:rsidRPr="00B4515A">
        <w:t>月份资本化率较可比公司高。</w:t>
      </w:r>
    </w:p>
    <w:p w14:paraId="3DB0E114" w14:textId="77777777" w:rsidR="006416B0" w:rsidRPr="00B4515A" w:rsidRDefault="005E58C1" w:rsidP="005860B4">
      <w:pPr>
        <w:pStyle w:val="005"/>
        <w:spacing w:before="120" w:after="120"/>
        <w:ind w:firstLine="480"/>
        <w:rPr>
          <w:rFonts w:asciiTheme="minorEastAsia" w:hAnsiTheme="minorEastAsia"/>
          <w:b/>
        </w:rPr>
      </w:pPr>
      <w:r w:rsidRPr="00B4515A">
        <w:rPr>
          <w:rFonts w:asciiTheme="minorEastAsia" w:hAnsiTheme="minorEastAsia" w:hint="eastAsia"/>
        </w:rPr>
        <w:t>标的公司报告期内研发投入资本化项目进展、资本化时点如下：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10"/>
        <w:gridCol w:w="2241"/>
        <w:gridCol w:w="5577"/>
      </w:tblGrid>
      <w:tr w:rsidR="006416B0" w:rsidRPr="00B4515A" w14:paraId="329402FA" w14:textId="77777777" w:rsidTr="005860B4">
        <w:trPr>
          <w:trHeight w:val="340"/>
          <w:jc w:val="center"/>
        </w:trPr>
        <w:tc>
          <w:tcPr>
            <w:tcW w:w="416" w:type="pct"/>
            <w:shd w:val="clear" w:color="auto" w:fill="auto"/>
            <w:tcMar>
              <w:top w:w="0" w:type="dxa"/>
              <w:left w:w="108" w:type="dxa"/>
              <w:bottom w:w="0" w:type="dxa"/>
              <w:right w:w="108" w:type="dxa"/>
            </w:tcMar>
            <w:vAlign w:val="center"/>
          </w:tcPr>
          <w:p w14:paraId="45B7A23E"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序号</w:t>
            </w:r>
          </w:p>
        </w:tc>
        <w:tc>
          <w:tcPr>
            <w:tcW w:w="1314" w:type="pct"/>
            <w:shd w:val="clear" w:color="auto" w:fill="auto"/>
            <w:tcMar>
              <w:top w:w="0" w:type="dxa"/>
              <w:left w:w="108" w:type="dxa"/>
              <w:bottom w:w="0" w:type="dxa"/>
              <w:right w:w="108" w:type="dxa"/>
            </w:tcMar>
            <w:vAlign w:val="center"/>
          </w:tcPr>
          <w:p w14:paraId="30D80688"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项目名称</w:t>
            </w:r>
          </w:p>
        </w:tc>
        <w:tc>
          <w:tcPr>
            <w:tcW w:w="3270" w:type="pct"/>
            <w:shd w:val="clear" w:color="auto" w:fill="auto"/>
            <w:tcMar>
              <w:top w:w="0" w:type="dxa"/>
              <w:left w:w="108" w:type="dxa"/>
              <w:bottom w:w="0" w:type="dxa"/>
              <w:right w:w="108" w:type="dxa"/>
            </w:tcMar>
            <w:vAlign w:val="center"/>
          </w:tcPr>
          <w:p w14:paraId="6A7F595C"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项目进展情况及资本化时点</w:t>
            </w:r>
          </w:p>
        </w:tc>
      </w:tr>
      <w:tr w:rsidR="006416B0" w:rsidRPr="00B4515A" w14:paraId="19BD403E" w14:textId="77777777" w:rsidTr="005860B4">
        <w:trPr>
          <w:trHeight w:val="340"/>
          <w:jc w:val="center"/>
        </w:trPr>
        <w:tc>
          <w:tcPr>
            <w:tcW w:w="416" w:type="pct"/>
            <w:shd w:val="clear" w:color="auto" w:fill="auto"/>
            <w:tcMar>
              <w:top w:w="0" w:type="dxa"/>
              <w:left w:w="108" w:type="dxa"/>
              <w:bottom w:w="0" w:type="dxa"/>
              <w:right w:w="108" w:type="dxa"/>
            </w:tcMar>
            <w:vAlign w:val="center"/>
          </w:tcPr>
          <w:p w14:paraId="7343018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p>
        </w:tc>
        <w:tc>
          <w:tcPr>
            <w:tcW w:w="1314" w:type="pct"/>
            <w:shd w:val="clear" w:color="auto" w:fill="auto"/>
            <w:tcMar>
              <w:top w:w="0" w:type="dxa"/>
              <w:left w:w="108" w:type="dxa"/>
              <w:bottom w:w="0" w:type="dxa"/>
              <w:right w:w="108" w:type="dxa"/>
            </w:tcMar>
            <w:vAlign w:val="center"/>
          </w:tcPr>
          <w:p w14:paraId="6C9E16D7"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LML-1</w:t>
            </w:r>
          </w:p>
        </w:tc>
        <w:tc>
          <w:tcPr>
            <w:tcW w:w="3270" w:type="pct"/>
            <w:shd w:val="clear" w:color="auto" w:fill="auto"/>
            <w:tcMar>
              <w:top w:w="0" w:type="dxa"/>
              <w:left w:w="108" w:type="dxa"/>
              <w:bottom w:w="0" w:type="dxa"/>
              <w:right w:w="108" w:type="dxa"/>
            </w:tcMar>
            <w:vAlign w:val="center"/>
          </w:tcPr>
          <w:p w14:paraId="02F79C27" w14:textId="77777777" w:rsidR="00A56356"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）项目进展：</w:t>
            </w:r>
            <w:r w:rsidRPr="00B4515A">
              <w:rPr>
                <w:rFonts w:ascii="Times New Roman" w:eastAsiaTheme="minorEastAsia" w:hAnsi="Times New Roman" w:cs="Times New Roman"/>
                <w:color w:val="000000"/>
                <w:sz w:val="21"/>
                <w:szCs w:val="21"/>
              </w:rPr>
              <w:t>2017</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3</w:t>
            </w:r>
            <w:r w:rsidRPr="00B4515A">
              <w:rPr>
                <w:rFonts w:ascii="Times New Roman" w:eastAsiaTheme="minorEastAsia" w:hAnsi="Times New Roman" w:cs="Times New Roman"/>
                <w:color w:val="000000"/>
                <w:sz w:val="21"/>
                <w:szCs w:val="21"/>
              </w:rPr>
              <w:t>月立项，</w:t>
            </w:r>
            <w:r w:rsidRPr="00B4515A">
              <w:rPr>
                <w:rFonts w:ascii="Times New Roman" w:eastAsiaTheme="minorEastAsia" w:hAnsi="Times New Roman" w:cs="Times New Roman"/>
                <w:color w:val="000000"/>
                <w:sz w:val="21"/>
                <w:szCs w:val="21"/>
              </w:rPr>
              <w:t>2017</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3</w:t>
            </w:r>
            <w:r w:rsidRPr="00B4515A">
              <w:rPr>
                <w:rFonts w:ascii="Times New Roman" w:eastAsiaTheme="minorEastAsia" w:hAnsi="Times New Roman" w:cs="Times New Roman"/>
                <w:color w:val="000000"/>
                <w:sz w:val="21"/>
                <w:szCs w:val="21"/>
              </w:rPr>
              <w:t>月至</w:t>
            </w:r>
            <w:r w:rsidRPr="00B4515A">
              <w:rPr>
                <w:rFonts w:ascii="Times New Roman" w:eastAsiaTheme="minorEastAsia" w:hAnsi="Times New Roman" w:cs="Times New Roman"/>
                <w:color w:val="000000"/>
                <w:sz w:val="21"/>
                <w:szCs w:val="21"/>
              </w:rPr>
              <w:t>2018</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12</w:t>
            </w:r>
            <w:r w:rsidRPr="00B4515A">
              <w:rPr>
                <w:rFonts w:ascii="Times New Roman" w:eastAsiaTheme="minorEastAsia" w:hAnsi="Times New Roman" w:cs="Times New Roman"/>
                <w:color w:val="000000"/>
                <w:sz w:val="21"/>
                <w:szCs w:val="21"/>
              </w:rPr>
              <w:t>月系研发阶段，</w:t>
            </w:r>
            <w:r w:rsidRPr="00B4515A">
              <w:rPr>
                <w:rFonts w:ascii="Times New Roman" w:eastAsiaTheme="minorEastAsia" w:hAnsi="Times New Roman" w:cs="Times New Roman"/>
                <w:color w:val="000000"/>
                <w:sz w:val="21"/>
                <w:szCs w:val="21"/>
              </w:rPr>
              <w:t>2019</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月至</w:t>
            </w:r>
            <w:r w:rsidRPr="00B4515A">
              <w:rPr>
                <w:rFonts w:ascii="Times New Roman" w:eastAsiaTheme="minorEastAsia" w:hAnsi="Times New Roman" w:cs="Times New Roman"/>
                <w:color w:val="000000"/>
                <w:sz w:val="21"/>
                <w:szCs w:val="21"/>
              </w:rPr>
              <w:t>2019</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12</w:t>
            </w:r>
            <w:r w:rsidRPr="00B4515A">
              <w:rPr>
                <w:rFonts w:ascii="Times New Roman" w:eastAsiaTheme="minorEastAsia" w:hAnsi="Times New Roman" w:cs="Times New Roman"/>
                <w:color w:val="000000"/>
                <w:sz w:val="21"/>
                <w:szCs w:val="21"/>
              </w:rPr>
              <w:t>月系开发阶段，</w:t>
            </w:r>
            <w:r w:rsidRPr="00B4515A">
              <w:rPr>
                <w:rFonts w:ascii="Times New Roman" w:eastAsiaTheme="minorEastAsia" w:hAnsi="Times New Roman" w:cs="Times New Roman"/>
                <w:color w:val="000000"/>
                <w:sz w:val="21"/>
                <w:szCs w:val="21"/>
              </w:rPr>
              <w:t>2019</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12</w:t>
            </w:r>
            <w:r w:rsidRPr="00B4515A">
              <w:rPr>
                <w:rFonts w:ascii="Times New Roman" w:eastAsiaTheme="minorEastAsia" w:hAnsi="Times New Roman" w:cs="Times New Roman"/>
                <w:color w:val="000000"/>
                <w:sz w:val="21"/>
                <w:szCs w:val="21"/>
              </w:rPr>
              <w:t>月完成结项转无形资产。</w:t>
            </w:r>
          </w:p>
          <w:p w14:paraId="07DF39E8" w14:textId="353351C4"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2</w:t>
            </w:r>
            <w:r w:rsidRPr="00B4515A">
              <w:rPr>
                <w:rFonts w:ascii="Times New Roman" w:eastAsiaTheme="minorEastAsia" w:hAnsi="Times New Roman" w:cs="Times New Roman"/>
                <w:color w:val="000000"/>
                <w:sz w:val="21"/>
                <w:szCs w:val="21"/>
              </w:rPr>
              <w:t>）内部评审通过时点作为资本化时点，相关支出开始在开发支出归集，项目目标达成，内部结项验收审批作为转无形资产的时点，内部验收通过条件之一系取得客户定型通知。</w:t>
            </w:r>
          </w:p>
        </w:tc>
      </w:tr>
      <w:tr w:rsidR="006416B0" w:rsidRPr="00B4515A" w14:paraId="2562A305" w14:textId="77777777" w:rsidTr="005860B4">
        <w:trPr>
          <w:trHeight w:val="340"/>
          <w:jc w:val="center"/>
        </w:trPr>
        <w:tc>
          <w:tcPr>
            <w:tcW w:w="416" w:type="pct"/>
            <w:shd w:val="clear" w:color="auto" w:fill="auto"/>
            <w:tcMar>
              <w:top w:w="0" w:type="dxa"/>
              <w:left w:w="108" w:type="dxa"/>
              <w:bottom w:w="0" w:type="dxa"/>
              <w:right w:w="108" w:type="dxa"/>
            </w:tcMar>
            <w:vAlign w:val="center"/>
          </w:tcPr>
          <w:p w14:paraId="0C563E87"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p>
        </w:tc>
        <w:tc>
          <w:tcPr>
            <w:tcW w:w="1314" w:type="pct"/>
            <w:shd w:val="clear" w:color="auto" w:fill="auto"/>
            <w:tcMar>
              <w:top w:w="0" w:type="dxa"/>
              <w:left w:w="108" w:type="dxa"/>
              <w:bottom w:w="0" w:type="dxa"/>
              <w:right w:w="108" w:type="dxa"/>
            </w:tcMar>
            <w:vAlign w:val="center"/>
          </w:tcPr>
          <w:p w14:paraId="63A976C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LML-2</w:t>
            </w:r>
          </w:p>
        </w:tc>
        <w:tc>
          <w:tcPr>
            <w:tcW w:w="3270" w:type="pct"/>
            <w:shd w:val="clear" w:color="auto" w:fill="auto"/>
            <w:tcMar>
              <w:top w:w="0" w:type="dxa"/>
              <w:left w:w="108" w:type="dxa"/>
              <w:bottom w:w="0" w:type="dxa"/>
              <w:right w:w="108" w:type="dxa"/>
            </w:tcMar>
            <w:vAlign w:val="center"/>
          </w:tcPr>
          <w:p w14:paraId="773E201B" w14:textId="55E15AEF"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）项目进展：</w:t>
            </w:r>
            <w:r w:rsidRPr="00B4515A">
              <w:rPr>
                <w:rFonts w:ascii="Times New Roman" w:eastAsiaTheme="minorEastAsia" w:hAnsi="Times New Roman" w:cs="Times New Roman"/>
                <w:color w:val="000000"/>
                <w:sz w:val="21"/>
                <w:szCs w:val="21"/>
              </w:rPr>
              <w:t>2017</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3</w:t>
            </w:r>
            <w:r w:rsidRPr="00B4515A">
              <w:rPr>
                <w:rFonts w:ascii="Times New Roman" w:eastAsiaTheme="minorEastAsia" w:hAnsi="Times New Roman" w:cs="Times New Roman"/>
                <w:color w:val="000000"/>
                <w:sz w:val="21"/>
                <w:szCs w:val="21"/>
              </w:rPr>
              <w:t>月立项，</w:t>
            </w:r>
            <w:r w:rsidRPr="00B4515A">
              <w:rPr>
                <w:rFonts w:ascii="Times New Roman" w:eastAsiaTheme="minorEastAsia" w:hAnsi="Times New Roman" w:cs="Times New Roman"/>
                <w:color w:val="000000"/>
                <w:sz w:val="21"/>
                <w:szCs w:val="21"/>
              </w:rPr>
              <w:t>2017</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3</w:t>
            </w:r>
            <w:r w:rsidRPr="00B4515A">
              <w:rPr>
                <w:rFonts w:ascii="Times New Roman" w:eastAsiaTheme="minorEastAsia" w:hAnsi="Times New Roman" w:cs="Times New Roman"/>
                <w:color w:val="000000"/>
                <w:sz w:val="21"/>
                <w:szCs w:val="21"/>
              </w:rPr>
              <w:t>月至</w:t>
            </w:r>
            <w:r w:rsidRPr="00B4515A">
              <w:rPr>
                <w:rFonts w:ascii="Times New Roman" w:eastAsiaTheme="minorEastAsia" w:hAnsi="Times New Roman" w:cs="Times New Roman"/>
                <w:color w:val="000000"/>
                <w:sz w:val="21"/>
                <w:szCs w:val="21"/>
              </w:rPr>
              <w:t>2019</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12</w:t>
            </w:r>
            <w:r w:rsidRPr="00B4515A">
              <w:rPr>
                <w:rFonts w:ascii="Times New Roman" w:eastAsiaTheme="minorEastAsia" w:hAnsi="Times New Roman" w:cs="Times New Roman"/>
                <w:color w:val="000000"/>
                <w:sz w:val="21"/>
                <w:szCs w:val="21"/>
              </w:rPr>
              <w:t>月系研究阶段，</w:t>
            </w:r>
            <w:r w:rsidRPr="00B4515A">
              <w:rPr>
                <w:rFonts w:ascii="Times New Roman" w:eastAsiaTheme="minorEastAsia" w:hAnsi="Times New Roman" w:cs="Times New Roman"/>
                <w:color w:val="000000"/>
                <w:sz w:val="21"/>
                <w:szCs w:val="21"/>
              </w:rPr>
              <w:t>2020</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月至</w:t>
            </w:r>
            <w:r w:rsidRPr="00B4515A">
              <w:rPr>
                <w:rFonts w:ascii="Times New Roman" w:eastAsiaTheme="minorEastAsia" w:hAnsi="Times New Roman" w:cs="Times New Roman"/>
                <w:color w:val="000000"/>
                <w:sz w:val="21"/>
                <w:szCs w:val="21"/>
              </w:rPr>
              <w:t>2021</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4</w:t>
            </w:r>
            <w:r w:rsidRPr="00B4515A">
              <w:rPr>
                <w:rFonts w:ascii="Times New Roman" w:eastAsiaTheme="minorEastAsia" w:hAnsi="Times New Roman" w:cs="Times New Roman"/>
                <w:color w:val="000000"/>
                <w:sz w:val="21"/>
                <w:szCs w:val="21"/>
              </w:rPr>
              <w:t>月尚处于开发阶段，计划</w:t>
            </w:r>
            <w:r w:rsidRPr="00B4515A">
              <w:rPr>
                <w:rFonts w:ascii="Times New Roman" w:eastAsiaTheme="minorEastAsia" w:hAnsi="Times New Roman" w:cs="Times New Roman"/>
                <w:color w:val="000000"/>
                <w:sz w:val="21"/>
                <w:szCs w:val="21"/>
              </w:rPr>
              <w:t>2021</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11</w:t>
            </w:r>
            <w:r w:rsidRPr="00B4515A">
              <w:rPr>
                <w:rFonts w:ascii="Times New Roman" w:eastAsiaTheme="minorEastAsia" w:hAnsi="Times New Roman" w:cs="Times New Roman"/>
                <w:color w:val="000000"/>
                <w:sz w:val="21"/>
                <w:szCs w:val="21"/>
              </w:rPr>
              <w:t>月结项</w:t>
            </w:r>
            <w:r w:rsidR="00A56356" w:rsidRPr="00B4515A">
              <w:rPr>
                <w:rFonts w:ascii="Times New Roman" w:eastAsiaTheme="minorEastAsia" w:hAnsi="Times New Roman" w:cs="Times New Roman" w:hint="eastAsia"/>
                <w:color w:val="000000"/>
                <w:sz w:val="21"/>
                <w:szCs w:val="21"/>
              </w:rPr>
              <w:t>。</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2</w:t>
            </w:r>
            <w:r w:rsidRPr="00B4515A">
              <w:rPr>
                <w:rFonts w:ascii="Times New Roman" w:eastAsiaTheme="minorEastAsia" w:hAnsi="Times New Roman" w:cs="Times New Roman"/>
                <w:color w:val="000000"/>
                <w:sz w:val="21"/>
                <w:szCs w:val="21"/>
              </w:rPr>
              <w:t>）内部评审通过时点作为资本化时点，相关支出开始在开发支出归集。</w:t>
            </w:r>
          </w:p>
        </w:tc>
      </w:tr>
      <w:tr w:rsidR="006416B0" w:rsidRPr="00B4515A" w14:paraId="0ADF4E13" w14:textId="77777777" w:rsidTr="005860B4">
        <w:trPr>
          <w:trHeight w:val="340"/>
          <w:jc w:val="center"/>
        </w:trPr>
        <w:tc>
          <w:tcPr>
            <w:tcW w:w="416" w:type="pct"/>
            <w:shd w:val="clear" w:color="auto" w:fill="auto"/>
            <w:tcMar>
              <w:top w:w="0" w:type="dxa"/>
              <w:left w:w="108" w:type="dxa"/>
              <w:bottom w:w="0" w:type="dxa"/>
              <w:right w:w="108" w:type="dxa"/>
            </w:tcMar>
            <w:vAlign w:val="center"/>
          </w:tcPr>
          <w:p w14:paraId="5414D05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w:t>
            </w:r>
          </w:p>
        </w:tc>
        <w:tc>
          <w:tcPr>
            <w:tcW w:w="1314" w:type="pct"/>
            <w:shd w:val="clear" w:color="auto" w:fill="auto"/>
            <w:tcMar>
              <w:top w:w="0" w:type="dxa"/>
              <w:left w:w="108" w:type="dxa"/>
              <w:bottom w:w="0" w:type="dxa"/>
              <w:right w:w="108" w:type="dxa"/>
            </w:tcMar>
            <w:vAlign w:val="center"/>
          </w:tcPr>
          <w:p w14:paraId="3D8A0F3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ZTF-1</w:t>
            </w:r>
          </w:p>
        </w:tc>
        <w:tc>
          <w:tcPr>
            <w:tcW w:w="3270" w:type="pct"/>
            <w:shd w:val="clear" w:color="auto" w:fill="auto"/>
            <w:tcMar>
              <w:top w:w="0" w:type="dxa"/>
              <w:left w:w="108" w:type="dxa"/>
              <w:bottom w:w="0" w:type="dxa"/>
              <w:right w:w="108" w:type="dxa"/>
            </w:tcMar>
            <w:vAlign w:val="center"/>
          </w:tcPr>
          <w:p w14:paraId="077F675F" w14:textId="77777777" w:rsidR="00A56356"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）项目进度：</w:t>
            </w:r>
            <w:r w:rsidRPr="00B4515A">
              <w:rPr>
                <w:rFonts w:ascii="Times New Roman" w:eastAsiaTheme="minorEastAsia" w:hAnsi="Times New Roman" w:cs="Times New Roman"/>
                <w:color w:val="000000"/>
                <w:sz w:val="21"/>
                <w:szCs w:val="21"/>
              </w:rPr>
              <w:t>2017</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月立项，</w:t>
            </w:r>
            <w:r w:rsidRPr="00B4515A">
              <w:rPr>
                <w:rFonts w:ascii="Times New Roman" w:eastAsiaTheme="minorEastAsia" w:hAnsi="Times New Roman" w:cs="Times New Roman"/>
                <w:color w:val="000000"/>
                <w:sz w:val="21"/>
                <w:szCs w:val="21"/>
              </w:rPr>
              <w:t>2017</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月至</w:t>
            </w:r>
            <w:r w:rsidRPr="00B4515A">
              <w:rPr>
                <w:rFonts w:ascii="Times New Roman" w:eastAsiaTheme="minorEastAsia" w:hAnsi="Times New Roman" w:cs="Times New Roman"/>
                <w:color w:val="000000"/>
                <w:sz w:val="21"/>
                <w:szCs w:val="21"/>
              </w:rPr>
              <w:t>2018</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12</w:t>
            </w:r>
            <w:r w:rsidRPr="00B4515A">
              <w:rPr>
                <w:rFonts w:ascii="Times New Roman" w:eastAsiaTheme="minorEastAsia" w:hAnsi="Times New Roman" w:cs="Times New Roman"/>
                <w:color w:val="000000"/>
                <w:sz w:val="21"/>
                <w:szCs w:val="21"/>
              </w:rPr>
              <w:t>月系研究阶段，</w:t>
            </w:r>
            <w:r w:rsidRPr="00B4515A">
              <w:rPr>
                <w:rFonts w:ascii="Times New Roman" w:eastAsiaTheme="minorEastAsia" w:hAnsi="Times New Roman" w:cs="Times New Roman"/>
                <w:color w:val="000000"/>
                <w:sz w:val="21"/>
                <w:szCs w:val="21"/>
              </w:rPr>
              <w:t>2019</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月至</w:t>
            </w:r>
            <w:r w:rsidRPr="00B4515A">
              <w:rPr>
                <w:rFonts w:ascii="Times New Roman" w:eastAsiaTheme="minorEastAsia" w:hAnsi="Times New Roman" w:cs="Times New Roman"/>
                <w:color w:val="000000"/>
                <w:sz w:val="21"/>
                <w:szCs w:val="21"/>
              </w:rPr>
              <w:t>2020</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12</w:t>
            </w:r>
            <w:r w:rsidRPr="00B4515A">
              <w:rPr>
                <w:rFonts w:ascii="Times New Roman" w:eastAsiaTheme="minorEastAsia" w:hAnsi="Times New Roman" w:cs="Times New Roman"/>
                <w:color w:val="000000"/>
                <w:sz w:val="21"/>
                <w:szCs w:val="21"/>
              </w:rPr>
              <w:t>月系开发阶段，</w:t>
            </w:r>
            <w:r w:rsidRPr="00B4515A">
              <w:rPr>
                <w:rFonts w:ascii="Times New Roman" w:eastAsiaTheme="minorEastAsia" w:hAnsi="Times New Roman" w:cs="Times New Roman"/>
                <w:color w:val="000000"/>
                <w:sz w:val="21"/>
                <w:szCs w:val="21"/>
              </w:rPr>
              <w:t>2020</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12</w:t>
            </w:r>
            <w:r w:rsidRPr="00B4515A">
              <w:rPr>
                <w:rFonts w:ascii="Times New Roman" w:eastAsiaTheme="minorEastAsia" w:hAnsi="Times New Roman" w:cs="Times New Roman"/>
                <w:color w:val="000000"/>
                <w:sz w:val="21"/>
                <w:szCs w:val="21"/>
              </w:rPr>
              <w:t>月完成结项转无形资产。</w:t>
            </w:r>
          </w:p>
          <w:p w14:paraId="7476C137" w14:textId="416A5F70"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2</w:t>
            </w:r>
            <w:r w:rsidRPr="00B4515A">
              <w:rPr>
                <w:rFonts w:ascii="Times New Roman" w:eastAsiaTheme="minorEastAsia" w:hAnsi="Times New Roman" w:cs="Times New Roman"/>
                <w:color w:val="000000"/>
                <w:sz w:val="21"/>
                <w:szCs w:val="21"/>
              </w:rPr>
              <w:t>）内部评审通过时点作为资本化时点，相关支出开始在开发支出归集，项目目标达成，内部结项验收审批作为转无形资产的时点，内部验收通过条件之一系取得客户定型通知。</w:t>
            </w:r>
          </w:p>
        </w:tc>
      </w:tr>
      <w:tr w:rsidR="006416B0" w:rsidRPr="00B4515A" w14:paraId="3BCA6F7F" w14:textId="77777777" w:rsidTr="005860B4">
        <w:trPr>
          <w:trHeight w:val="340"/>
          <w:jc w:val="center"/>
        </w:trPr>
        <w:tc>
          <w:tcPr>
            <w:tcW w:w="416" w:type="pct"/>
            <w:shd w:val="clear" w:color="auto" w:fill="auto"/>
            <w:tcMar>
              <w:top w:w="0" w:type="dxa"/>
              <w:left w:w="108" w:type="dxa"/>
              <w:bottom w:w="0" w:type="dxa"/>
              <w:right w:w="108" w:type="dxa"/>
            </w:tcMar>
            <w:vAlign w:val="center"/>
          </w:tcPr>
          <w:p w14:paraId="33C2E26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w:t>
            </w:r>
          </w:p>
        </w:tc>
        <w:tc>
          <w:tcPr>
            <w:tcW w:w="1314" w:type="pct"/>
            <w:shd w:val="clear" w:color="auto" w:fill="auto"/>
            <w:tcMar>
              <w:top w:w="0" w:type="dxa"/>
              <w:left w:w="108" w:type="dxa"/>
              <w:bottom w:w="0" w:type="dxa"/>
              <w:right w:w="108" w:type="dxa"/>
            </w:tcMar>
            <w:vAlign w:val="center"/>
          </w:tcPr>
          <w:p w14:paraId="567374E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ZTF-2</w:t>
            </w:r>
          </w:p>
        </w:tc>
        <w:tc>
          <w:tcPr>
            <w:tcW w:w="3270" w:type="pct"/>
            <w:shd w:val="clear" w:color="auto" w:fill="auto"/>
            <w:tcMar>
              <w:top w:w="0" w:type="dxa"/>
              <w:left w:w="108" w:type="dxa"/>
              <w:bottom w:w="0" w:type="dxa"/>
              <w:right w:w="108" w:type="dxa"/>
            </w:tcMar>
            <w:vAlign w:val="center"/>
          </w:tcPr>
          <w:p w14:paraId="3EADCBE7" w14:textId="77777777" w:rsidR="00A56356"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）项目进度：</w:t>
            </w:r>
            <w:r w:rsidRPr="00B4515A">
              <w:rPr>
                <w:rFonts w:ascii="Times New Roman" w:eastAsiaTheme="minorEastAsia" w:hAnsi="Times New Roman" w:cs="Times New Roman"/>
                <w:color w:val="000000"/>
                <w:sz w:val="21"/>
                <w:szCs w:val="21"/>
              </w:rPr>
              <w:t>2017</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月立项，</w:t>
            </w:r>
            <w:r w:rsidRPr="00B4515A">
              <w:rPr>
                <w:rFonts w:ascii="Times New Roman" w:eastAsiaTheme="minorEastAsia" w:hAnsi="Times New Roman" w:cs="Times New Roman"/>
                <w:color w:val="000000"/>
                <w:sz w:val="21"/>
                <w:szCs w:val="21"/>
              </w:rPr>
              <w:t>2017</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月至</w:t>
            </w:r>
            <w:r w:rsidRPr="00B4515A">
              <w:rPr>
                <w:rFonts w:ascii="Times New Roman" w:eastAsiaTheme="minorEastAsia" w:hAnsi="Times New Roman" w:cs="Times New Roman"/>
                <w:color w:val="000000"/>
                <w:sz w:val="21"/>
                <w:szCs w:val="21"/>
              </w:rPr>
              <w:t>2020</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12</w:t>
            </w:r>
            <w:r w:rsidRPr="00B4515A">
              <w:rPr>
                <w:rFonts w:ascii="Times New Roman" w:eastAsiaTheme="minorEastAsia" w:hAnsi="Times New Roman" w:cs="Times New Roman"/>
                <w:color w:val="000000"/>
                <w:sz w:val="21"/>
                <w:szCs w:val="21"/>
              </w:rPr>
              <w:t>月系开发阶段，</w:t>
            </w:r>
            <w:r w:rsidRPr="00B4515A">
              <w:rPr>
                <w:rFonts w:ascii="Times New Roman" w:eastAsiaTheme="minorEastAsia" w:hAnsi="Times New Roman" w:cs="Times New Roman"/>
                <w:color w:val="000000"/>
                <w:sz w:val="21"/>
                <w:szCs w:val="21"/>
              </w:rPr>
              <w:t>2021</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月至</w:t>
            </w:r>
            <w:r w:rsidRPr="00B4515A">
              <w:rPr>
                <w:rFonts w:ascii="Times New Roman" w:eastAsiaTheme="minorEastAsia" w:hAnsi="Times New Roman" w:cs="Times New Roman"/>
                <w:color w:val="000000"/>
                <w:sz w:val="21"/>
                <w:szCs w:val="21"/>
              </w:rPr>
              <w:t>2021</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4</w:t>
            </w:r>
            <w:r w:rsidRPr="00B4515A">
              <w:rPr>
                <w:rFonts w:ascii="Times New Roman" w:eastAsiaTheme="minorEastAsia" w:hAnsi="Times New Roman" w:cs="Times New Roman"/>
                <w:color w:val="000000"/>
                <w:sz w:val="21"/>
                <w:szCs w:val="21"/>
              </w:rPr>
              <w:t>月末尚处于开发阶段，计划</w:t>
            </w:r>
            <w:r w:rsidRPr="00B4515A">
              <w:rPr>
                <w:rFonts w:ascii="Times New Roman" w:eastAsiaTheme="minorEastAsia" w:hAnsi="Times New Roman" w:cs="Times New Roman"/>
                <w:color w:val="000000"/>
                <w:sz w:val="21"/>
                <w:szCs w:val="21"/>
              </w:rPr>
              <w:t>2021</w:t>
            </w:r>
            <w:r w:rsidRPr="00B4515A">
              <w:rPr>
                <w:rFonts w:ascii="Times New Roman" w:eastAsiaTheme="minorEastAsia" w:hAnsi="Times New Roman" w:cs="Times New Roman"/>
                <w:color w:val="000000"/>
                <w:sz w:val="21"/>
                <w:szCs w:val="21"/>
              </w:rPr>
              <w:t>年</w:t>
            </w:r>
            <w:r w:rsidRPr="00B4515A">
              <w:rPr>
                <w:rFonts w:ascii="Times New Roman" w:eastAsiaTheme="minorEastAsia" w:hAnsi="Times New Roman" w:cs="Times New Roman"/>
                <w:color w:val="000000"/>
                <w:sz w:val="21"/>
                <w:szCs w:val="21"/>
              </w:rPr>
              <w:t>12</w:t>
            </w:r>
            <w:r w:rsidRPr="00B4515A">
              <w:rPr>
                <w:rFonts w:ascii="Times New Roman" w:eastAsiaTheme="minorEastAsia" w:hAnsi="Times New Roman" w:cs="Times New Roman"/>
                <w:color w:val="000000"/>
                <w:sz w:val="21"/>
                <w:szCs w:val="21"/>
              </w:rPr>
              <w:t>月结项。</w:t>
            </w:r>
          </w:p>
          <w:p w14:paraId="2658E809" w14:textId="28DC12A5"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2</w:t>
            </w:r>
            <w:r w:rsidRPr="00B4515A">
              <w:rPr>
                <w:rFonts w:ascii="Times New Roman" w:eastAsiaTheme="minorEastAsia" w:hAnsi="Times New Roman" w:cs="Times New Roman"/>
                <w:color w:val="000000"/>
                <w:sz w:val="21"/>
                <w:szCs w:val="21"/>
              </w:rPr>
              <w:t>）内部评审通过时点作为资本化时点，相关支出开始在开发支出归集。</w:t>
            </w:r>
          </w:p>
        </w:tc>
      </w:tr>
    </w:tbl>
    <w:p w14:paraId="602426E3" w14:textId="77777777" w:rsidR="006416B0" w:rsidRPr="00B4515A" w:rsidRDefault="005E58C1" w:rsidP="005860B4">
      <w:pPr>
        <w:pStyle w:val="005"/>
        <w:spacing w:before="120" w:after="120"/>
        <w:ind w:firstLine="480"/>
      </w:pPr>
      <w:r w:rsidRPr="00B4515A">
        <w:rPr>
          <w:rFonts w:hint="eastAsia"/>
        </w:rPr>
        <w:t>标的公司研发投入资本化条件如下：</w:t>
      </w:r>
    </w:p>
    <w:p w14:paraId="65F4C4CE" w14:textId="77777777" w:rsidR="006416B0" w:rsidRPr="00B4515A" w:rsidRDefault="005E58C1" w:rsidP="005860B4">
      <w:pPr>
        <w:pStyle w:val="005"/>
        <w:spacing w:before="120" w:after="120"/>
        <w:ind w:firstLine="480"/>
      </w:pPr>
      <w:r w:rsidRPr="00B4515A">
        <w:rPr>
          <w:rFonts w:hint="eastAsia"/>
        </w:rPr>
        <w:t>（</w:t>
      </w:r>
      <w:r w:rsidRPr="00B4515A">
        <w:t>1</w:t>
      </w:r>
      <w:r w:rsidRPr="00B4515A">
        <w:rPr>
          <w:rFonts w:hint="eastAsia"/>
        </w:rPr>
        <w:t>）划分研究阶段和开发阶段的具体标准</w:t>
      </w:r>
    </w:p>
    <w:p w14:paraId="7A2EF3B7" w14:textId="77777777" w:rsidR="006416B0" w:rsidRPr="00B4515A" w:rsidRDefault="005E58C1" w:rsidP="005860B4">
      <w:pPr>
        <w:pStyle w:val="005"/>
        <w:spacing w:before="120" w:after="120"/>
        <w:ind w:firstLine="480"/>
      </w:pPr>
      <w:r w:rsidRPr="00B4515A">
        <w:rPr>
          <w:rFonts w:hint="eastAsia"/>
        </w:rPr>
        <w:t>公司内部研究开发项目的支出分为研究阶段支出和开发阶段支出。</w:t>
      </w:r>
    </w:p>
    <w:p w14:paraId="7648AE5C" w14:textId="77777777" w:rsidR="006416B0" w:rsidRPr="00B4515A" w:rsidRDefault="005E58C1" w:rsidP="005860B4">
      <w:pPr>
        <w:pStyle w:val="005"/>
        <w:spacing w:before="120" w:after="120"/>
        <w:ind w:firstLine="480"/>
      </w:pPr>
      <w:r w:rsidRPr="00B4515A">
        <w:rPr>
          <w:rFonts w:hint="eastAsia"/>
        </w:rPr>
        <w:t>研究阶段：为获取并理解新的科学或技术知识等而进行的独创性的有计划调查、研究活动的阶段。</w:t>
      </w:r>
    </w:p>
    <w:p w14:paraId="5D55FB6D" w14:textId="77777777" w:rsidR="006416B0" w:rsidRPr="00B4515A" w:rsidRDefault="005E58C1" w:rsidP="005860B4">
      <w:pPr>
        <w:pStyle w:val="005"/>
        <w:spacing w:before="120" w:after="120"/>
        <w:ind w:firstLine="480"/>
      </w:pPr>
      <w:r w:rsidRPr="00B4515A">
        <w:rPr>
          <w:rFonts w:hint="eastAsia"/>
        </w:rPr>
        <w:t>开发阶段：在进行商业性生产或使用前，将研究成果或其他知识应用于某项计划或设计，以生产出新的或具有实质性改进的材料、装置、产品等活动的阶段。</w:t>
      </w:r>
    </w:p>
    <w:p w14:paraId="469B761D" w14:textId="77777777" w:rsidR="006416B0" w:rsidRPr="00B4515A" w:rsidRDefault="005E58C1" w:rsidP="005860B4">
      <w:pPr>
        <w:pStyle w:val="005"/>
        <w:spacing w:before="120" w:after="120"/>
        <w:ind w:firstLine="480"/>
      </w:pPr>
      <w:r w:rsidRPr="00B4515A">
        <w:rPr>
          <w:rFonts w:hint="eastAsia"/>
        </w:rPr>
        <w:lastRenderedPageBreak/>
        <w:t>（</w:t>
      </w:r>
      <w:r w:rsidRPr="00B4515A">
        <w:t>2</w:t>
      </w:r>
      <w:r w:rsidRPr="00B4515A">
        <w:rPr>
          <w:rFonts w:hint="eastAsia"/>
        </w:rPr>
        <w:t>）开发阶段支出资本化的具体条件</w:t>
      </w:r>
    </w:p>
    <w:p w14:paraId="550F177E" w14:textId="77777777" w:rsidR="006416B0" w:rsidRPr="00B4515A" w:rsidRDefault="005E58C1" w:rsidP="005860B4">
      <w:pPr>
        <w:pStyle w:val="005"/>
        <w:spacing w:before="120" w:after="120"/>
        <w:ind w:firstLine="480"/>
      </w:pPr>
      <w:r w:rsidRPr="00B4515A">
        <w:rPr>
          <w:rFonts w:hint="eastAsia"/>
        </w:rPr>
        <w:t>研究阶段的支出，于发生时计入当期损益。开发阶段的支出同时满足下列条件的，确认为无形资产，不能满足下述条件的开发阶段的支出计入当期损益：</w:t>
      </w:r>
      <w:r w:rsidRPr="00B4515A">
        <w:t>1</w:t>
      </w:r>
      <w:r w:rsidRPr="00B4515A">
        <w:rPr>
          <w:rFonts w:hint="eastAsia"/>
        </w:rPr>
        <w:t>）完成该无形资产以使其能够使用或出售在技术上具有可行性；</w:t>
      </w:r>
      <w:r w:rsidRPr="00B4515A">
        <w:t>2</w:t>
      </w:r>
      <w:r w:rsidRPr="00B4515A">
        <w:rPr>
          <w:rFonts w:hint="eastAsia"/>
        </w:rPr>
        <w:t>）具有完成该无形资产并使用或出售的意图；</w:t>
      </w:r>
      <w:r w:rsidRPr="00B4515A">
        <w:t>3</w:t>
      </w:r>
      <w:r w:rsidRPr="00B4515A">
        <w:rPr>
          <w:rFonts w:hint="eastAsia"/>
        </w:rPr>
        <w:t>）无形资产产生经济利益的方式，包括能够证明运用该无形资产生产的产品存在市场或无形资产自身存在市场，无形资产将在内部使用的，能够证明其有用性；</w:t>
      </w:r>
      <w:r w:rsidRPr="00B4515A">
        <w:t>4</w:t>
      </w:r>
      <w:r w:rsidRPr="00B4515A">
        <w:rPr>
          <w:rFonts w:hint="eastAsia"/>
        </w:rPr>
        <w:t>）有足够的技术、财务资源和其他资源支持，以完成该无形资产的开发，并有能力使用或出售该无形资产；</w:t>
      </w:r>
      <w:r w:rsidRPr="00B4515A">
        <w:t>5</w:t>
      </w:r>
      <w:r w:rsidRPr="00B4515A">
        <w:rPr>
          <w:rFonts w:hint="eastAsia"/>
        </w:rPr>
        <w:t>）归属于该无形资产开发阶段的支出能够可靠地计量。无法区分研究阶段支出和开发阶段支出的，将发生的研发支出全部计入当期损益。</w:t>
      </w:r>
    </w:p>
    <w:p w14:paraId="3F051843" w14:textId="77777777" w:rsidR="006416B0" w:rsidRPr="00B4515A" w:rsidRDefault="005E58C1" w:rsidP="005860B4">
      <w:pPr>
        <w:pStyle w:val="005"/>
        <w:spacing w:before="120" w:after="120"/>
        <w:ind w:firstLine="480"/>
      </w:pPr>
      <w:r w:rsidRPr="00B4515A">
        <w:rPr>
          <w:rFonts w:hint="eastAsia"/>
        </w:rPr>
        <w:t>通过查询可比公司年度报告，标的公司资本化条件与可比公司披露的资本化条件基本一致。</w:t>
      </w:r>
    </w:p>
    <w:p w14:paraId="418093DD" w14:textId="77777777" w:rsidR="006416B0" w:rsidRPr="00B4515A" w:rsidRDefault="005E58C1" w:rsidP="005860B4">
      <w:pPr>
        <w:pStyle w:val="005"/>
        <w:spacing w:before="120" w:after="120"/>
        <w:ind w:firstLine="480"/>
      </w:pPr>
      <w:r w:rsidRPr="00B4515A">
        <w:rPr>
          <w:rFonts w:hint="eastAsia"/>
        </w:rPr>
        <w:t>综上所述，标的公司资本化核算符合准则要求，与可比公司相比，标的公司资本化率处于合理范围内。</w:t>
      </w:r>
    </w:p>
    <w:p w14:paraId="7CB550BC" w14:textId="77777777" w:rsidR="006416B0" w:rsidRPr="00B4515A" w:rsidRDefault="005E58C1" w:rsidP="005860B4">
      <w:pPr>
        <w:pStyle w:val="004"/>
        <w:spacing w:before="120" w:after="120"/>
        <w:ind w:firstLine="482"/>
      </w:pPr>
      <w:r w:rsidRPr="00B4515A">
        <w:rPr>
          <w:rFonts w:hint="eastAsia"/>
        </w:rPr>
        <w:t>2</w:t>
      </w:r>
      <w:r w:rsidRPr="00B4515A">
        <w:rPr>
          <w:rFonts w:hint="eastAsia"/>
        </w:rPr>
        <w:t>、研发人员人数及受教育程度</w:t>
      </w:r>
    </w:p>
    <w:p w14:paraId="52E73920" w14:textId="77777777" w:rsidR="006416B0" w:rsidRPr="00B4515A" w:rsidRDefault="005E58C1" w:rsidP="005860B4">
      <w:pPr>
        <w:pStyle w:val="005"/>
        <w:spacing w:before="120" w:after="120"/>
        <w:ind w:firstLine="480"/>
      </w:pPr>
      <w:r w:rsidRPr="00B4515A">
        <w:rPr>
          <w:rFonts w:hint="eastAsia"/>
        </w:rPr>
        <w:t>（</w:t>
      </w:r>
      <w:r w:rsidRPr="00B4515A">
        <w:rPr>
          <w:rFonts w:hint="eastAsia"/>
        </w:rPr>
        <w:t>1</w:t>
      </w:r>
      <w:r w:rsidRPr="00B4515A">
        <w:rPr>
          <w:rFonts w:hint="eastAsia"/>
        </w:rPr>
        <w:t>）标的公司研发人员及受教育程度</w:t>
      </w:r>
    </w:p>
    <w:p w14:paraId="0B877225" w14:textId="77777777" w:rsidR="006416B0" w:rsidRPr="00B4515A" w:rsidRDefault="005E58C1" w:rsidP="005860B4">
      <w:pPr>
        <w:pStyle w:val="005"/>
        <w:spacing w:before="120" w:after="120"/>
        <w:ind w:firstLine="480"/>
        <w:rPr>
          <w:b/>
        </w:rPr>
      </w:pPr>
      <w:r w:rsidRPr="00B4515A">
        <w:rPr>
          <w:rFonts w:hint="eastAsia"/>
        </w:rPr>
        <w:t>报告期内，标的公司研发人员数量及受教育程度如下表：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46"/>
        <w:gridCol w:w="1878"/>
        <w:gridCol w:w="1871"/>
        <w:gridCol w:w="1880"/>
        <w:gridCol w:w="1453"/>
      </w:tblGrid>
      <w:tr w:rsidR="006416B0" w:rsidRPr="00B4515A" w14:paraId="419824C2"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6632B00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p>
        </w:tc>
      </w:tr>
      <w:tr w:rsidR="006416B0" w:rsidRPr="00B4515A" w14:paraId="5189D05F" w14:textId="77777777" w:rsidTr="00031627">
        <w:trPr>
          <w:trHeight w:val="340"/>
          <w:jc w:val="center"/>
        </w:trPr>
        <w:tc>
          <w:tcPr>
            <w:tcW w:w="848" w:type="pct"/>
            <w:shd w:val="clear" w:color="auto" w:fill="auto"/>
            <w:tcMar>
              <w:top w:w="0" w:type="dxa"/>
              <w:left w:w="108" w:type="dxa"/>
              <w:bottom w:w="0" w:type="dxa"/>
              <w:right w:w="108" w:type="dxa"/>
            </w:tcMar>
            <w:vAlign w:val="center"/>
          </w:tcPr>
          <w:p w14:paraId="04C6F801"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学历</w:t>
            </w:r>
          </w:p>
        </w:tc>
        <w:tc>
          <w:tcPr>
            <w:tcW w:w="1101" w:type="pct"/>
            <w:shd w:val="clear" w:color="auto" w:fill="auto"/>
            <w:tcMar>
              <w:top w:w="0" w:type="dxa"/>
              <w:left w:w="108" w:type="dxa"/>
              <w:bottom w:w="0" w:type="dxa"/>
              <w:right w:w="108" w:type="dxa"/>
            </w:tcMar>
            <w:vAlign w:val="center"/>
          </w:tcPr>
          <w:p w14:paraId="6024E373"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正式员工人数</w:t>
            </w:r>
          </w:p>
        </w:tc>
        <w:tc>
          <w:tcPr>
            <w:tcW w:w="1097" w:type="pct"/>
            <w:shd w:val="clear" w:color="auto" w:fill="auto"/>
            <w:tcMar>
              <w:top w:w="0" w:type="dxa"/>
              <w:left w:w="108" w:type="dxa"/>
              <w:bottom w:w="0" w:type="dxa"/>
              <w:right w:w="108" w:type="dxa"/>
            </w:tcMar>
            <w:vAlign w:val="center"/>
          </w:tcPr>
          <w:p w14:paraId="0236AF9D"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劳务人员人数</w:t>
            </w:r>
          </w:p>
        </w:tc>
        <w:tc>
          <w:tcPr>
            <w:tcW w:w="1102" w:type="pct"/>
            <w:shd w:val="clear" w:color="auto" w:fill="auto"/>
            <w:tcMar>
              <w:top w:w="0" w:type="dxa"/>
              <w:left w:w="108" w:type="dxa"/>
              <w:bottom w:w="0" w:type="dxa"/>
              <w:right w:w="108" w:type="dxa"/>
            </w:tcMar>
            <w:vAlign w:val="center"/>
          </w:tcPr>
          <w:p w14:paraId="06FBBEAE"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总数</w:t>
            </w:r>
          </w:p>
        </w:tc>
        <w:tc>
          <w:tcPr>
            <w:tcW w:w="852" w:type="pct"/>
            <w:shd w:val="clear" w:color="auto" w:fill="auto"/>
            <w:tcMar>
              <w:top w:w="0" w:type="dxa"/>
              <w:left w:w="108" w:type="dxa"/>
              <w:bottom w:w="0" w:type="dxa"/>
              <w:right w:w="108" w:type="dxa"/>
            </w:tcMar>
            <w:vAlign w:val="center"/>
          </w:tcPr>
          <w:p w14:paraId="02CEC5E0"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占研发人员总数比例</w:t>
            </w:r>
          </w:p>
        </w:tc>
      </w:tr>
      <w:tr w:rsidR="006416B0" w:rsidRPr="00B4515A" w14:paraId="4BFB7255" w14:textId="77777777" w:rsidTr="00031627">
        <w:trPr>
          <w:trHeight w:val="340"/>
          <w:jc w:val="center"/>
        </w:trPr>
        <w:tc>
          <w:tcPr>
            <w:tcW w:w="848" w:type="pct"/>
            <w:shd w:val="clear" w:color="auto" w:fill="auto"/>
            <w:tcMar>
              <w:top w:w="0" w:type="dxa"/>
              <w:left w:w="108" w:type="dxa"/>
              <w:bottom w:w="0" w:type="dxa"/>
              <w:right w:w="108" w:type="dxa"/>
            </w:tcMar>
            <w:vAlign w:val="center"/>
          </w:tcPr>
          <w:p w14:paraId="2F0BAB54"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硕士及以上</w:t>
            </w:r>
          </w:p>
        </w:tc>
        <w:tc>
          <w:tcPr>
            <w:tcW w:w="1101" w:type="pct"/>
            <w:shd w:val="clear" w:color="auto" w:fill="auto"/>
            <w:tcMar>
              <w:top w:w="0" w:type="dxa"/>
              <w:left w:w="108" w:type="dxa"/>
              <w:bottom w:w="0" w:type="dxa"/>
              <w:right w:w="108" w:type="dxa"/>
            </w:tcMar>
            <w:vAlign w:val="center"/>
          </w:tcPr>
          <w:p w14:paraId="6DB87ECB"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165</w:t>
            </w:r>
          </w:p>
        </w:tc>
        <w:tc>
          <w:tcPr>
            <w:tcW w:w="1097" w:type="pct"/>
            <w:shd w:val="clear" w:color="auto" w:fill="auto"/>
            <w:tcMar>
              <w:top w:w="0" w:type="dxa"/>
              <w:left w:w="108" w:type="dxa"/>
              <w:bottom w:w="0" w:type="dxa"/>
              <w:right w:w="108" w:type="dxa"/>
            </w:tcMar>
            <w:vAlign w:val="center"/>
          </w:tcPr>
          <w:p w14:paraId="59E5244F"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w:t>
            </w:r>
          </w:p>
        </w:tc>
        <w:tc>
          <w:tcPr>
            <w:tcW w:w="1102" w:type="pct"/>
            <w:shd w:val="clear" w:color="auto" w:fill="auto"/>
            <w:tcMar>
              <w:top w:w="0" w:type="dxa"/>
              <w:left w:w="108" w:type="dxa"/>
              <w:bottom w:w="0" w:type="dxa"/>
              <w:right w:w="108" w:type="dxa"/>
            </w:tcMar>
            <w:vAlign w:val="center"/>
          </w:tcPr>
          <w:p w14:paraId="46AEE090"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167</w:t>
            </w:r>
          </w:p>
        </w:tc>
        <w:tc>
          <w:tcPr>
            <w:tcW w:w="852" w:type="pct"/>
            <w:shd w:val="clear" w:color="auto" w:fill="auto"/>
            <w:tcMar>
              <w:top w:w="0" w:type="dxa"/>
              <w:left w:w="108" w:type="dxa"/>
              <w:bottom w:w="0" w:type="dxa"/>
              <w:right w:w="108" w:type="dxa"/>
            </w:tcMar>
            <w:vAlign w:val="center"/>
          </w:tcPr>
          <w:p w14:paraId="3DE9C370"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44.18%</w:t>
            </w:r>
          </w:p>
        </w:tc>
      </w:tr>
      <w:tr w:rsidR="006416B0" w:rsidRPr="00B4515A" w14:paraId="797A87BF" w14:textId="77777777" w:rsidTr="00031627">
        <w:trPr>
          <w:trHeight w:val="340"/>
          <w:jc w:val="center"/>
        </w:trPr>
        <w:tc>
          <w:tcPr>
            <w:tcW w:w="848" w:type="pct"/>
            <w:shd w:val="clear" w:color="auto" w:fill="auto"/>
            <w:tcMar>
              <w:top w:w="0" w:type="dxa"/>
              <w:left w:w="108" w:type="dxa"/>
              <w:bottom w:w="0" w:type="dxa"/>
              <w:right w:w="108" w:type="dxa"/>
            </w:tcMar>
            <w:vAlign w:val="center"/>
          </w:tcPr>
          <w:p w14:paraId="085E0E22"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大学本科</w:t>
            </w:r>
          </w:p>
        </w:tc>
        <w:tc>
          <w:tcPr>
            <w:tcW w:w="1101" w:type="pct"/>
            <w:shd w:val="clear" w:color="auto" w:fill="auto"/>
            <w:tcMar>
              <w:top w:w="0" w:type="dxa"/>
              <w:left w:w="108" w:type="dxa"/>
              <w:bottom w:w="0" w:type="dxa"/>
              <w:right w:w="108" w:type="dxa"/>
            </w:tcMar>
            <w:vAlign w:val="center"/>
          </w:tcPr>
          <w:p w14:paraId="1B50ED5E"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198</w:t>
            </w:r>
          </w:p>
        </w:tc>
        <w:tc>
          <w:tcPr>
            <w:tcW w:w="1097" w:type="pct"/>
            <w:shd w:val="clear" w:color="auto" w:fill="auto"/>
            <w:tcMar>
              <w:top w:w="0" w:type="dxa"/>
              <w:left w:w="108" w:type="dxa"/>
              <w:bottom w:w="0" w:type="dxa"/>
              <w:right w:w="108" w:type="dxa"/>
            </w:tcMar>
            <w:vAlign w:val="center"/>
          </w:tcPr>
          <w:p w14:paraId="0AAEFFC6"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w:t>
            </w:r>
          </w:p>
        </w:tc>
        <w:tc>
          <w:tcPr>
            <w:tcW w:w="1102" w:type="pct"/>
            <w:shd w:val="clear" w:color="auto" w:fill="auto"/>
            <w:tcMar>
              <w:top w:w="0" w:type="dxa"/>
              <w:left w:w="108" w:type="dxa"/>
              <w:bottom w:w="0" w:type="dxa"/>
              <w:right w:w="108" w:type="dxa"/>
            </w:tcMar>
            <w:vAlign w:val="center"/>
          </w:tcPr>
          <w:p w14:paraId="7697137C"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199</w:t>
            </w:r>
          </w:p>
        </w:tc>
        <w:tc>
          <w:tcPr>
            <w:tcW w:w="852" w:type="pct"/>
            <w:shd w:val="clear" w:color="auto" w:fill="auto"/>
            <w:tcMar>
              <w:top w:w="0" w:type="dxa"/>
              <w:left w:w="108" w:type="dxa"/>
              <w:bottom w:w="0" w:type="dxa"/>
              <w:right w:w="108" w:type="dxa"/>
            </w:tcMar>
            <w:vAlign w:val="center"/>
          </w:tcPr>
          <w:p w14:paraId="1CD383F8"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52.65%</w:t>
            </w:r>
          </w:p>
        </w:tc>
      </w:tr>
      <w:tr w:rsidR="006416B0" w:rsidRPr="00B4515A" w14:paraId="14A730FD" w14:textId="77777777" w:rsidTr="00031627">
        <w:trPr>
          <w:trHeight w:val="340"/>
          <w:jc w:val="center"/>
        </w:trPr>
        <w:tc>
          <w:tcPr>
            <w:tcW w:w="848" w:type="pct"/>
            <w:shd w:val="clear" w:color="auto" w:fill="auto"/>
            <w:tcMar>
              <w:top w:w="0" w:type="dxa"/>
              <w:left w:w="108" w:type="dxa"/>
              <w:bottom w:w="0" w:type="dxa"/>
              <w:right w:w="108" w:type="dxa"/>
            </w:tcMar>
            <w:vAlign w:val="center"/>
          </w:tcPr>
          <w:p w14:paraId="6CB6B59A"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大学专科</w:t>
            </w:r>
          </w:p>
        </w:tc>
        <w:tc>
          <w:tcPr>
            <w:tcW w:w="1101" w:type="pct"/>
            <w:shd w:val="clear" w:color="auto" w:fill="auto"/>
            <w:tcMar>
              <w:top w:w="0" w:type="dxa"/>
              <w:left w:w="108" w:type="dxa"/>
              <w:bottom w:w="0" w:type="dxa"/>
              <w:right w:w="108" w:type="dxa"/>
            </w:tcMar>
            <w:vAlign w:val="center"/>
          </w:tcPr>
          <w:p w14:paraId="3861C1AB"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12</w:t>
            </w:r>
          </w:p>
        </w:tc>
        <w:tc>
          <w:tcPr>
            <w:tcW w:w="1097" w:type="pct"/>
            <w:shd w:val="clear" w:color="auto" w:fill="auto"/>
            <w:tcMar>
              <w:top w:w="0" w:type="dxa"/>
              <w:left w:w="108" w:type="dxa"/>
              <w:bottom w:w="0" w:type="dxa"/>
              <w:right w:w="108" w:type="dxa"/>
            </w:tcMar>
            <w:vAlign w:val="center"/>
          </w:tcPr>
          <w:p w14:paraId="194F862E"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w:t>
            </w:r>
          </w:p>
        </w:tc>
        <w:tc>
          <w:tcPr>
            <w:tcW w:w="1102" w:type="pct"/>
            <w:shd w:val="clear" w:color="auto" w:fill="auto"/>
            <w:tcMar>
              <w:top w:w="0" w:type="dxa"/>
              <w:left w:w="108" w:type="dxa"/>
              <w:bottom w:w="0" w:type="dxa"/>
              <w:right w:w="108" w:type="dxa"/>
            </w:tcMar>
            <w:vAlign w:val="center"/>
          </w:tcPr>
          <w:p w14:paraId="1ADB4A03"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12</w:t>
            </w:r>
          </w:p>
        </w:tc>
        <w:tc>
          <w:tcPr>
            <w:tcW w:w="852" w:type="pct"/>
            <w:shd w:val="clear" w:color="auto" w:fill="auto"/>
            <w:tcMar>
              <w:top w:w="0" w:type="dxa"/>
              <w:left w:w="108" w:type="dxa"/>
              <w:bottom w:w="0" w:type="dxa"/>
              <w:right w:w="108" w:type="dxa"/>
            </w:tcMar>
            <w:vAlign w:val="center"/>
          </w:tcPr>
          <w:p w14:paraId="69B30A83"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3.17%</w:t>
            </w:r>
          </w:p>
        </w:tc>
      </w:tr>
      <w:tr w:rsidR="006416B0" w:rsidRPr="00B4515A" w14:paraId="305BEAA1" w14:textId="77777777" w:rsidTr="00031627">
        <w:trPr>
          <w:trHeight w:val="340"/>
          <w:jc w:val="center"/>
        </w:trPr>
        <w:tc>
          <w:tcPr>
            <w:tcW w:w="848" w:type="pct"/>
            <w:shd w:val="clear" w:color="auto" w:fill="auto"/>
            <w:tcMar>
              <w:top w:w="0" w:type="dxa"/>
              <w:left w:w="108" w:type="dxa"/>
              <w:bottom w:w="0" w:type="dxa"/>
              <w:right w:w="108" w:type="dxa"/>
            </w:tcMar>
            <w:vAlign w:val="center"/>
          </w:tcPr>
          <w:p w14:paraId="6D0F14E0"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合计</w:t>
            </w:r>
          </w:p>
        </w:tc>
        <w:tc>
          <w:tcPr>
            <w:tcW w:w="3300" w:type="pct"/>
            <w:gridSpan w:val="3"/>
            <w:shd w:val="clear" w:color="auto" w:fill="auto"/>
            <w:tcMar>
              <w:top w:w="0" w:type="dxa"/>
              <w:left w:w="108" w:type="dxa"/>
              <w:bottom w:w="0" w:type="dxa"/>
              <w:right w:w="108" w:type="dxa"/>
            </w:tcMar>
            <w:vAlign w:val="center"/>
          </w:tcPr>
          <w:p w14:paraId="76A0D3B3"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378</w:t>
            </w:r>
          </w:p>
        </w:tc>
        <w:tc>
          <w:tcPr>
            <w:tcW w:w="852" w:type="pct"/>
            <w:shd w:val="clear" w:color="auto" w:fill="auto"/>
            <w:tcMar>
              <w:top w:w="0" w:type="dxa"/>
              <w:left w:w="108" w:type="dxa"/>
              <w:bottom w:w="0" w:type="dxa"/>
              <w:right w:w="108" w:type="dxa"/>
            </w:tcMar>
            <w:vAlign w:val="center"/>
          </w:tcPr>
          <w:p w14:paraId="12E683D3"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100.00%</w:t>
            </w:r>
          </w:p>
        </w:tc>
      </w:tr>
      <w:tr w:rsidR="006416B0" w:rsidRPr="00B4515A" w14:paraId="5B3B3A99"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5144E61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p>
        </w:tc>
      </w:tr>
      <w:tr w:rsidR="006416B0" w:rsidRPr="00B4515A" w14:paraId="57472E22" w14:textId="77777777" w:rsidTr="00031627">
        <w:trPr>
          <w:trHeight w:val="340"/>
          <w:jc w:val="center"/>
        </w:trPr>
        <w:tc>
          <w:tcPr>
            <w:tcW w:w="848" w:type="pct"/>
            <w:shd w:val="clear" w:color="auto" w:fill="auto"/>
            <w:tcMar>
              <w:top w:w="0" w:type="dxa"/>
              <w:left w:w="108" w:type="dxa"/>
              <w:bottom w:w="0" w:type="dxa"/>
              <w:right w:w="108" w:type="dxa"/>
            </w:tcMar>
            <w:vAlign w:val="center"/>
          </w:tcPr>
          <w:p w14:paraId="0A43D54E"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学历</w:t>
            </w:r>
          </w:p>
        </w:tc>
        <w:tc>
          <w:tcPr>
            <w:tcW w:w="1101" w:type="pct"/>
            <w:shd w:val="clear" w:color="auto" w:fill="auto"/>
            <w:tcMar>
              <w:top w:w="0" w:type="dxa"/>
              <w:left w:w="108" w:type="dxa"/>
              <w:bottom w:w="0" w:type="dxa"/>
              <w:right w:w="108" w:type="dxa"/>
            </w:tcMar>
            <w:vAlign w:val="center"/>
          </w:tcPr>
          <w:p w14:paraId="675ABD04"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正式员工人数</w:t>
            </w:r>
          </w:p>
        </w:tc>
        <w:tc>
          <w:tcPr>
            <w:tcW w:w="1097" w:type="pct"/>
            <w:shd w:val="clear" w:color="auto" w:fill="auto"/>
            <w:tcMar>
              <w:top w:w="0" w:type="dxa"/>
              <w:left w:w="108" w:type="dxa"/>
              <w:bottom w:w="0" w:type="dxa"/>
              <w:right w:w="108" w:type="dxa"/>
            </w:tcMar>
            <w:vAlign w:val="center"/>
          </w:tcPr>
          <w:p w14:paraId="1F123EB0"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劳务人员人数</w:t>
            </w:r>
          </w:p>
        </w:tc>
        <w:tc>
          <w:tcPr>
            <w:tcW w:w="1102" w:type="pct"/>
            <w:shd w:val="clear" w:color="auto" w:fill="auto"/>
            <w:tcMar>
              <w:top w:w="0" w:type="dxa"/>
              <w:left w:w="108" w:type="dxa"/>
              <w:bottom w:w="0" w:type="dxa"/>
              <w:right w:w="108" w:type="dxa"/>
            </w:tcMar>
            <w:vAlign w:val="center"/>
          </w:tcPr>
          <w:p w14:paraId="19FB9F8F"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总数</w:t>
            </w:r>
          </w:p>
        </w:tc>
        <w:tc>
          <w:tcPr>
            <w:tcW w:w="852" w:type="pct"/>
            <w:shd w:val="clear" w:color="auto" w:fill="auto"/>
            <w:tcMar>
              <w:top w:w="0" w:type="dxa"/>
              <w:left w:w="108" w:type="dxa"/>
              <w:bottom w:w="0" w:type="dxa"/>
              <w:right w:w="108" w:type="dxa"/>
            </w:tcMar>
            <w:vAlign w:val="center"/>
          </w:tcPr>
          <w:p w14:paraId="6524FE93"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占研发人员总数比例</w:t>
            </w:r>
          </w:p>
        </w:tc>
      </w:tr>
      <w:tr w:rsidR="006416B0" w:rsidRPr="00B4515A" w14:paraId="0BC5C3D0" w14:textId="77777777" w:rsidTr="00031627">
        <w:trPr>
          <w:trHeight w:val="340"/>
          <w:jc w:val="center"/>
        </w:trPr>
        <w:tc>
          <w:tcPr>
            <w:tcW w:w="848" w:type="pct"/>
            <w:shd w:val="clear" w:color="auto" w:fill="auto"/>
            <w:tcMar>
              <w:top w:w="0" w:type="dxa"/>
              <w:left w:w="108" w:type="dxa"/>
              <w:bottom w:w="0" w:type="dxa"/>
              <w:right w:w="108" w:type="dxa"/>
            </w:tcMar>
            <w:vAlign w:val="center"/>
          </w:tcPr>
          <w:p w14:paraId="60C1BB4C"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硕士及以上</w:t>
            </w:r>
          </w:p>
        </w:tc>
        <w:tc>
          <w:tcPr>
            <w:tcW w:w="1101" w:type="pct"/>
            <w:shd w:val="clear" w:color="auto" w:fill="auto"/>
            <w:tcMar>
              <w:top w:w="0" w:type="dxa"/>
              <w:left w:w="108" w:type="dxa"/>
              <w:bottom w:w="0" w:type="dxa"/>
              <w:right w:w="108" w:type="dxa"/>
            </w:tcMar>
            <w:vAlign w:val="center"/>
          </w:tcPr>
          <w:p w14:paraId="033B3080"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202</w:t>
            </w:r>
          </w:p>
        </w:tc>
        <w:tc>
          <w:tcPr>
            <w:tcW w:w="1097" w:type="pct"/>
            <w:shd w:val="clear" w:color="auto" w:fill="auto"/>
            <w:tcMar>
              <w:top w:w="0" w:type="dxa"/>
              <w:left w:w="108" w:type="dxa"/>
              <w:bottom w:w="0" w:type="dxa"/>
              <w:right w:w="108" w:type="dxa"/>
            </w:tcMar>
            <w:vAlign w:val="center"/>
          </w:tcPr>
          <w:p w14:paraId="10C04278"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w:t>
            </w:r>
          </w:p>
        </w:tc>
        <w:tc>
          <w:tcPr>
            <w:tcW w:w="1102" w:type="pct"/>
            <w:shd w:val="clear" w:color="auto" w:fill="auto"/>
            <w:tcMar>
              <w:top w:w="0" w:type="dxa"/>
              <w:left w:w="108" w:type="dxa"/>
              <w:bottom w:w="0" w:type="dxa"/>
              <w:right w:w="108" w:type="dxa"/>
            </w:tcMar>
            <w:vAlign w:val="center"/>
          </w:tcPr>
          <w:p w14:paraId="3AC2B044"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204</w:t>
            </w:r>
          </w:p>
        </w:tc>
        <w:tc>
          <w:tcPr>
            <w:tcW w:w="852" w:type="pct"/>
            <w:shd w:val="clear" w:color="auto" w:fill="auto"/>
            <w:tcMar>
              <w:top w:w="0" w:type="dxa"/>
              <w:left w:w="108" w:type="dxa"/>
              <w:bottom w:w="0" w:type="dxa"/>
              <w:right w:w="108" w:type="dxa"/>
            </w:tcMar>
            <w:vAlign w:val="center"/>
          </w:tcPr>
          <w:p w14:paraId="59F0F3CC"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51.52%</w:t>
            </w:r>
          </w:p>
        </w:tc>
      </w:tr>
      <w:tr w:rsidR="006416B0" w:rsidRPr="00B4515A" w14:paraId="3D02D4BB" w14:textId="77777777" w:rsidTr="00031627">
        <w:trPr>
          <w:trHeight w:val="340"/>
          <w:jc w:val="center"/>
        </w:trPr>
        <w:tc>
          <w:tcPr>
            <w:tcW w:w="848" w:type="pct"/>
            <w:shd w:val="clear" w:color="auto" w:fill="auto"/>
            <w:tcMar>
              <w:top w:w="0" w:type="dxa"/>
              <w:left w:w="108" w:type="dxa"/>
              <w:bottom w:w="0" w:type="dxa"/>
              <w:right w:w="108" w:type="dxa"/>
            </w:tcMar>
            <w:vAlign w:val="center"/>
          </w:tcPr>
          <w:p w14:paraId="3CF5A8DA"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大学本科</w:t>
            </w:r>
          </w:p>
        </w:tc>
        <w:tc>
          <w:tcPr>
            <w:tcW w:w="1101" w:type="pct"/>
            <w:shd w:val="clear" w:color="auto" w:fill="auto"/>
            <w:tcMar>
              <w:top w:w="0" w:type="dxa"/>
              <w:left w:w="108" w:type="dxa"/>
              <w:bottom w:w="0" w:type="dxa"/>
              <w:right w:w="108" w:type="dxa"/>
            </w:tcMar>
            <w:vAlign w:val="center"/>
          </w:tcPr>
          <w:p w14:paraId="375B8611"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177</w:t>
            </w:r>
          </w:p>
        </w:tc>
        <w:tc>
          <w:tcPr>
            <w:tcW w:w="1097" w:type="pct"/>
            <w:shd w:val="clear" w:color="auto" w:fill="auto"/>
            <w:tcMar>
              <w:top w:w="0" w:type="dxa"/>
              <w:left w:w="108" w:type="dxa"/>
              <w:bottom w:w="0" w:type="dxa"/>
              <w:right w:w="108" w:type="dxa"/>
            </w:tcMar>
            <w:vAlign w:val="center"/>
          </w:tcPr>
          <w:p w14:paraId="4D330FF8"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w:t>
            </w:r>
          </w:p>
        </w:tc>
        <w:tc>
          <w:tcPr>
            <w:tcW w:w="1102" w:type="pct"/>
            <w:shd w:val="clear" w:color="auto" w:fill="auto"/>
            <w:tcMar>
              <w:top w:w="0" w:type="dxa"/>
              <w:left w:w="108" w:type="dxa"/>
              <w:bottom w:w="0" w:type="dxa"/>
              <w:right w:w="108" w:type="dxa"/>
            </w:tcMar>
            <w:vAlign w:val="center"/>
          </w:tcPr>
          <w:p w14:paraId="3AF8761C"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178</w:t>
            </w:r>
          </w:p>
        </w:tc>
        <w:tc>
          <w:tcPr>
            <w:tcW w:w="852" w:type="pct"/>
            <w:shd w:val="clear" w:color="auto" w:fill="auto"/>
            <w:tcMar>
              <w:top w:w="0" w:type="dxa"/>
              <w:left w:w="108" w:type="dxa"/>
              <w:bottom w:w="0" w:type="dxa"/>
              <w:right w:w="108" w:type="dxa"/>
            </w:tcMar>
            <w:vAlign w:val="center"/>
          </w:tcPr>
          <w:p w14:paraId="68D7E1EB"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44.95%</w:t>
            </w:r>
          </w:p>
        </w:tc>
      </w:tr>
      <w:tr w:rsidR="006416B0" w:rsidRPr="00B4515A" w14:paraId="66C058F4" w14:textId="77777777" w:rsidTr="00031627">
        <w:trPr>
          <w:trHeight w:val="340"/>
          <w:jc w:val="center"/>
        </w:trPr>
        <w:tc>
          <w:tcPr>
            <w:tcW w:w="848" w:type="pct"/>
            <w:shd w:val="clear" w:color="auto" w:fill="auto"/>
            <w:tcMar>
              <w:top w:w="0" w:type="dxa"/>
              <w:left w:w="108" w:type="dxa"/>
              <w:bottom w:w="0" w:type="dxa"/>
              <w:right w:w="108" w:type="dxa"/>
            </w:tcMar>
            <w:vAlign w:val="center"/>
          </w:tcPr>
          <w:p w14:paraId="30A7D40A"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大学专科</w:t>
            </w:r>
          </w:p>
        </w:tc>
        <w:tc>
          <w:tcPr>
            <w:tcW w:w="1101" w:type="pct"/>
            <w:shd w:val="clear" w:color="auto" w:fill="auto"/>
            <w:tcMar>
              <w:top w:w="0" w:type="dxa"/>
              <w:left w:w="108" w:type="dxa"/>
              <w:bottom w:w="0" w:type="dxa"/>
              <w:right w:w="108" w:type="dxa"/>
            </w:tcMar>
            <w:vAlign w:val="center"/>
          </w:tcPr>
          <w:p w14:paraId="317E4FC3"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14</w:t>
            </w:r>
          </w:p>
        </w:tc>
        <w:tc>
          <w:tcPr>
            <w:tcW w:w="1097" w:type="pct"/>
            <w:shd w:val="clear" w:color="auto" w:fill="auto"/>
            <w:tcMar>
              <w:top w:w="0" w:type="dxa"/>
              <w:left w:w="108" w:type="dxa"/>
              <w:bottom w:w="0" w:type="dxa"/>
              <w:right w:w="108" w:type="dxa"/>
            </w:tcMar>
            <w:vAlign w:val="center"/>
          </w:tcPr>
          <w:p w14:paraId="55C6B44B"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w:t>
            </w:r>
          </w:p>
        </w:tc>
        <w:tc>
          <w:tcPr>
            <w:tcW w:w="1102" w:type="pct"/>
            <w:shd w:val="clear" w:color="auto" w:fill="auto"/>
            <w:tcMar>
              <w:top w:w="0" w:type="dxa"/>
              <w:left w:w="108" w:type="dxa"/>
              <w:bottom w:w="0" w:type="dxa"/>
              <w:right w:w="108" w:type="dxa"/>
            </w:tcMar>
            <w:vAlign w:val="center"/>
          </w:tcPr>
          <w:p w14:paraId="42FF93E3"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14</w:t>
            </w:r>
          </w:p>
        </w:tc>
        <w:tc>
          <w:tcPr>
            <w:tcW w:w="852" w:type="pct"/>
            <w:shd w:val="clear" w:color="auto" w:fill="auto"/>
            <w:tcMar>
              <w:top w:w="0" w:type="dxa"/>
              <w:left w:w="108" w:type="dxa"/>
              <w:bottom w:w="0" w:type="dxa"/>
              <w:right w:w="108" w:type="dxa"/>
            </w:tcMar>
            <w:vAlign w:val="center"/>
          </w:tcPr>
          <w:p w14:paraId="61D941DB"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3.54%</w:t>
            </w:r>
          </w:p>
        </w:tc>
      </w:tr>
      <w:tr w:rsidR="006416B0" w:rsidRPr="00B4515A" w14:paraId="69102042" w14:textId="77777777" w:rsidTr="00031627">
        <w:trPr>
          <w:trHeight w:val="340"/>
          <w:jc w:val="center"/>
        </w:trPr>
        <w:tc>
          <w:tcPr>
            <w:tcW w:w="848" w:type="pct"/>
            <w:shd w:val="clear" w:color="auto" w:fill="auto"/>
            <w:tcMar>
              <w:top w:w="0" w:type="dxa"/>
              <w:left w:w="108" w:type="dxa"/>
              <w:bottom w:w="0" w:type="dxa"/>
              <w:right w:w="108" w:type="dxa"/>
            </w:tcMar>
            <w:vAlign w:val="center"/>
          </w:tcPr>
          <w:p w14:paraId="7C218624"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合计</w:t>
            </w:r>
          </w:p>
        </w:tc>
        <w:tc>
          <w:tcPr>
            <w:tcW w:w="3300" w:type="pct"/>
            <w:gridSpan w:val="3"/>
            <w:shd w:val="clear" w:color="auto" w:fill="auto"/>
            <w:tcMar>
              <w:top w:w="0" w:type="dxa"/>
              <w:left w:w="108" w:type="dxa"/>
              <w:bottom w:w="0" w:type="dxa"/>
              <w:right w:w="108" w:type="dxa"/>
            </w:tcMar>
            <w:vAlign w:val="center"/>
          </w:tcPr>
          <w:p w14:paraId="2D241CCC"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396</w:t>
            </w:r>
          </w:p>
        </w:tc>
        <w:tc>
          <w:tcPr>
            <w:tcW w:w="852" w:type="pct"/>
            <w:shd w:val="clear" w:color="auto" w:fill="auto"/>
            <w:tcMar>
              <w:top w:w="0" w:type="dxa"/>
              <w:left w:w="108" w:type="dxa"/>
              <w:bottom w:w="0" w:type="dxa"/>
              <w:right w:w="108" w:type="dxa"/>
            </w:tcMar>
            <w:vAlign w:val="center"/>
          </w:tcPr>
          <w:p w14:paraId="5D71928D"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100.00%</w:t>
            </w:r>
          </w:p>
        </w:tc>
      </w:tr>
      <w:tr w:rsidR="006416B0" w:rsidRPr="00B4515A" w14:paraId="1BED7CC0"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2AB2798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4</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30</w:t>
            </w:r>
            <w:r w:rsidRPr="00B4515A">
              <w:rPr>
                <w:rFonts w:ascii="Times New Roman" w:eastAsiaTheme="minorEastAsia" w:hAnsi="Times New Roman" w:cs="Times New Roman"/>
                <w:b/>
                <w:bCs/>
                <w:color w:val="000000"/>
                <w:sz w:val="21"/>
                <w:szCs w:val="21"/>
              </w:rPr>
              <w:t>日</w:t>
            </w:r>
          </w:p>
        </w:tc>
      </w:tr>
      <w:tr w:rsidR="006416B0" w:rsidRPr="00B4515A" w14:paraId="2BC2955F" w14:textId="77777777" w:rsidTr="00031627">
        <w:trPr>
          <w:trHeight w:val="340"/>
          <w:jc w:val="center"/>
        </w:trPr>
        <w:tc>
          <w:tcPr>
            <w:tcW w:w="848" w:type="pct"/>
            <w:shd w:val="clear" w:color="auto" w:fill="auto"/>
            <w:tcMar>
              <w:top w:w="0" w:type="dxa"/>
              <w:left w:w="108" w:type="dxa"/>
              <w:bottom w:w="0" w:type="dxa"/>
              <w:right w:w="108" w:type="dxa"/>
            </w:tcMar>
            <w:vAlign w:val="center"/>
          </w:tcPr>
          <w:p w14:paraId="00D78E85"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lastRenderedPageBreak/>
              <w:t>学历</w:t>
            </w:r>
          </w:p>
        </w:tc>
        <w:tc>
          <w:tcPr>
            <w:tcW w:w="1101" w:type="pct"/>
            <w:shd w:val="clear" w:color="auto" w:fill="auto"/>
            <w:tcMar>
              <w:top w:w="0" w:type="dxa"/>
              <w:left w:w="108" w:type="dxa"/>
              <w:bottom w:w="0" w:type="dxa"/>
              <w:right w:w="108" w:type="dxa"/>
            </w:tcMar>
            <w:vAlign w:val="center"/>
          </w:tcPr>
          <w:p w14:paraId="688343B4"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正式员工人数</w:t>
            </w:r>
          </w:p>
        </w:tc>
        <w:tc>
          <w:tcPr>
            <w:tcW w:w="1097" w:type="pct"/>
            <w:shd w:val="clear" w:color="auto" w:fill="auto"/>
            <w:tcMar>
              <w:top w:w="0" w:type="dxa"/>
              <w:left w:w="108" w:type="dxa"/>
              <w:bottom w:w="0" w:type="dxa"/>
              <w:right w:w="108" w:type="dxa"/>
            </w:tcMar>
            <w:vAlign w:val="center"/>
          </w:tcPr>
          <w:p w14:paraId="0EC943DC"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劳务人员人数</w:t>
            </w:r>
          </w:p>
        </w:tc>
        <w:tc>
          <w:tcPr>
            <w:tcW w:w="1102" w:type="pct"/>
            <w:shd w:val="clear" w:color="auto" w:fill="auto"/>
            <w:tcMar>
              <w:top w:w="0" w:type="dxa"/>
              <w:left w:w="108" w:type="dxa"/>
              <w:bottom w:w="0" w:type="dxa"/>
              <w:right w:w="108" w:type="dxa"/>
            </w:tcMar>
            <w:vAlign w:val="center"/>
          </w:tcPr>
          <w:p w14:paraId="5A3D0A57"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总数</w:t>
            </w:r>
          </w:p>
        </w:tc>
        <w:tc>
          <w:tcPr>
            <w:tcW w:w="852" w:type="pct"/>
            <w:shd w:val="clear" w:color="auto" w:fill="auto"/>
            <w:tcMar>
              <w:top w:w="0" w:type="dxa"/>
              <w:left w:w="108" w:type="dxa"/>
              <w:bottom w:w="0" w:type="dxa"/>
              <w:right w:w="108" w:type="dxa"/>
            </w:tcMar>
            <w:vAlign w:val="center"/>
          </w:tcPr>
          <w:p w14:paraId="72C28704"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占研发人员总数比例</w:t>
            </w:r>
          </w:p>
        </w:tc>
      </w:tr>
      <w:tr w:rsidR="006416B0" w:rsidRPr="00B4515A" w14:paraId="36C2C00D" w14:textId="77777777" w:rsidTr="00031627">
        <w:trPr>
          <w:trHeight w:val="340"/>
          <w:jc w:val="center"/>
        </w:trPr>
        <w:tc>
          <w:tcPr>
            <w:tcW w:w="848" w:type="pct"/>
            <w:shd w:val="clear" w:color="auto" w:fill="auto"/>
            <w:tcMar>
              <w:top w:w="0" w:type="dxa"/>
              <w:left w:w="108" w:type="dxa"/>
              <w:bottom w:w="0" w:type="dxa"/>
              <w:right w:w="108" w:type="dxa"/>
            </w:tcMar>
            <w:vAlign w:val="center"/>
          </w:tcPr>
          <w:p w14:paraId="62E92D29"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硕士及以上</w:t>
            </w:r>
          </w:p>
        </w:tc>
        <w:tc>
          <w:tcPr>
            <w:tcW w:w="1101" w:type="pct"/>
            <w:shd w:val="clear" w:color="auto" w:fill="auto"/>
            <w:tcMar>
              <w:top w:w="0" w:type="dxa"/>
              <w:left w:w="108" w:type="dxa"/>
              <w:bottom w:w="0" w:type="dxa"/>
              <w:right w:w="108" w:type="dxa"/>
            </w:tcMar>
            <w:vAlign w:val="center"/>
          </w:tcPr>
          <w:p w14:paraId="26765AF5"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206</w:t>
            </w:r>
          </w:p>
        </w:tc>
        <w:tc>
          <w:tcPr>
            <w:tcW w:w="1097" w:type="pct"/>
            <w:shd w:val="clear" w:color="auto" w:fill="auto"/>
            <w:tcMar>
              <w:top w:w="0" w:type="dxa"/>
              <w:left w:w="108" w:type="dxa"/>
              <w:bottom w:w="0" w:type="dxa"/>
              <w:right w:w="108" w:type="dxa"/>
            </w:tcMar>
            <w:vAlign w:val="center"/>
          </w:tcPr>
          <w:p w14:paraId="258C3369"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w:t>
            </w:r>
          </w:p>
        </w:tc>
        <w:tc>
          <w:tcPr>
            <w:tcW w:w="1102" w:type="pct"/>
            <w:shd w:val="clear" w:color="auto" w:fill="auto"/>
            <w:tcMar>
              <w:top w:w="0" w:type="dxa"/>
              <w:left w:w="108" w:type="dxa"/>
              <w:bottom w:w="0" w:type="dxa"/>
              <w:right w:w="108" w:type="dxa"/>
            </w:tcMar>
            <w:vAlign w:val="center"/>
          </w:tcPr>
          <w:p w14:paraId="0E9D04C9"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207</w:t>
            </w:r>
          </w:p>
        </w:tc>
        <w:tc>
          <w:tcPr>
            <w:tcW w:w="852" w:type="pct"/>
            <w:shd w:val="clear" w:color="auto" w:fill="auto"/>
            <w:tcMar>
              <w:top w:w="0" w:type="dxa"/>
              <w:left w:w="108" w:type="dxa"/>
              <w:bottom w:w="0" w:type="dxa"/>
              <w:right w:w="108" w:type="dxa"/>
            </w:tcMar>
            <w:vAlign w:val="center"/>
          </w:tcPr>
          <w:p w14:paraId="38CD4AFE"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51.75%</w:t>
            </w:r>
          </w:p>
        </w:tc>
      </w:tr>
      <w:tr w:rsidR="006416B0" w:rsidRPr="00B4515A" w14:paraId="09B4AE37" w14:textId="77777777" w:rsidTr="00031627">
        <w:trPr>
          <w:trHeight w:val="340"/>
          <w:jc w:val="center"/>
        </w:trPr>
        <w:tc>
          <w:tcPr>
            <w:tcW w:w="848" w:type="pct"/>
            <w:shd w:val="clear" w:color="auto" w:fill="auto"/>
            <w:tcMar>
              <w:top w:w="0" w:type="dxa"/>
              <w:left w:w="108" w:type="dxa"/>
              <w:bottom w:w="0" w:type="dxa"/>
              <w:right w:w="108" w:type="dxa"/>
            </w:tcMar>
            <w:vAlign w:val="center"/>
          </w:tcPr>
          <w:p w14:paraId="684E7B07"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大学本科</w:t>
            </w:r>
          </w:p>
        </w:tc>
        <w:tc>
          <w:tcPr>
            <w:tcW w:w="1101" w:type="pct"/>
            <w:shd w:val="clear" w:color="auto" w:fill="auto"/>
            <w:tcMar>
              <w:top w:w="0" w:type="dxa"/>
              <w:left w:w="108" w:type="dxa"/>
              <w:bottom w:w="0" w:type="dxa"/>
              <w:right w:w="108" w:type="dxa"/>
            </w:tcMar>
            <w:vAlign w:val="center"/>
          </w:tcPr>
          <w:p w14:paraId="25D2A040"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179</w:t>
            </w:r>
          </w:p>
        </w:tc>
        <w:tc>
          <w:tcPr>
            <w:tcW w:w="1097" w:type="pct"/>
            <w:shd w:val="clear" w:color="auto" w:fill="auto"/>
            <w:tcMar>
              <w:top w:w="0" w:type="dxa"/>
              <w:left w:w="108" w:type="dxa"/>
              <w:bottom w:w="0" w:type="dxa"/>
              <w:right w:w="108" w:type="dxa"/>
            </w:tcMar>
            <w:vAlign w:val="center"/>
          </w:tcPr>
          <w:p w14:paraId="1C5A6F86"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w:t>
            </w:r>
          </w:p>
        </w:tc>
        <w:tc>
          <w:tcPr>
            <w:tcW w:w="1102" w:type="pct"/>
            <w:shd w:val="clear" w:color="auto" w:fill="auto"/>
            <w:tcMar>
              <w:top w:w="0" w:type="dxa"/>
              <w:left w:w="108" w:type="dxa"/>
              <w:bottom w:w="0" w:type="dxa"/>
              <w:right w:w="108" w:type="dxa"/>
            </w:tcMar>
            <w:vAlign w:val="center"/>
          </w:tcPr>
          <w:p w14:paraId="54752AF7"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180</w:t>
            </w:r>
          </w:p>
        </w:tc>
        <w:tc>
          <w:tcPr>
            <w:tcW w:w="852" w:type="pct"/>
            <w:shd w:val="clear" w:color="auto" w:fill="auto"/>
            <w:tcMar>
              <w:top w:w="0" w:type="dxa"/>
              <w:left w:w="108" w:type="dxa"/>
              <w:bottom w:w="0" w:type="dxa"/>
              <w:right w:w="108" w:type="dxa"/>
            </w:tcMar>
            <w:vAlign w:val="center"/>
          </w:tcPr>
          <w:p w14:paraId="2DFE23EB"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45.00%</w:t>
            </w:r>
          </w:p>
        </w:tc>
      </w:tr>
      <w:tr w:rsidR="006416B0" w:rsidRPr="00B4515A" w14:paraId="3EACA067" w14:textId="77777777" w:rsidTr="00031627">
        <w:trPr>
          <w:trHeight w:val="340"/>
          <w:jc w:val="center"/>
        </w:trPr>
        <w:tc>
          <w:tcPr>
            <w:tcW w:w="848" w:type="pct"/>
            <w:shd w:val="clear" w:color="auto" w:fill="auto"/>
            <w:tcMar>
              <w:top w:w="0" w:type="dxa"/>
              <w:left w:w="108" w:type="dxa"/>
              <w:bottom w:w="0" w:type="dxa"/>
              <w:right w:w="108" w:type="dxa"/>
            </w:tcMar>
            <w:vAlign w:val="center"/>
          </w:tcPr>
          <w:p w14:paraId="738C1E2A"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大学专科</w:t>
            </w:r>
          </w:p>
        </w:tc>
        <w:tc>
          <w:tcPr>
            <w:tcW w:w="1101" w:type="pct"/>
            <w:shd w:val="clear" w:color="auto" w:fill="auto"/>
            <w:tcMar>
              <w:top w:w="0" w:type="dxa"/>
              <w:left w:w="108" w:type="dxa"/>
              <w:bottom w:w="0" w:type="dxa"/>
              <w:right w:w="108" w:type="dxa"/>
            </w:tcMar>
            <w:vAlign w:val="center"/>
          </w:tcPr>
          <w:p w14:paraId="616E1536"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13</w:t>
            </w:r>
          </w:p>
        </w:tc>
        <w:tc>
          <w:tcPr>
            <w:tcW w:w="1097" w:type="pct"/>
            <w:shd w:val="clear" w:color="auto" w:fill="auto"/>
            <w:tcMar>
              <w:top w:w="0" w:type="dxa"/>
              <w:left w:w="108" w:type="dxa"/>
              <w:bottom w:w="0" w:type="dxa"/>
              <w:right w:w="108" w:type="dxa"/>
            </w:tcMar>
            <w:vAlign w:val="center"/>
          </w:tcPr>
          <w:p w14:paraId="57309E72"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w:t>
            </w:r>
          </w:p>
        </w:tc>
        <w:tc>
          <w:tcPr>
            <w:tcW w:w="1102" w:type="pct"/>
            <w:shd w:val="clear" w:color="auto" w:fill="auto"/>
            <w:tcMar>
              <w:top w:w="0" w:type="dxa"/>
              <w:left w:w="108" w:type="dxa"/>
              <w:bottom w:w="0" w:type="dxa"/>
              <w:right w:w="108" w:type="dxa"/>
            </w:tcMar>
            <w:vAlign w:val="center"/>
          </w:tcPr>
          <w:p w14:paraId="7F3B4F7B"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13</w:t>
            </w:r>
          </w:p>
        </w:tc>
        <w:tc>
          <w:tcPr>
            <w:tcW w:w="852" w:type="pct"/>
            <w:shd w:val="clear" w:color="auto" w:fill="auto"/>
            <w:tcMar>
              <w:top w:w="0" w:type="dxa"/>
              <w:left w:w="108" w:type="dxa"/>
              <w:bottom w:w="0" w:type="dxa"/>
              <w:right w:w="108" w:type="dxa"/>
            </w:tcMar>
            <w:vAlign w:val="center"/>
          </w:tcPr>
          <w:p w14:paraId="21651A3F"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3.25%</w:t>
            </w:r>
          </w:p>
        </w:tc>
      </w:tr>
      <w:tr w:rsidR="006416B0" w:rsidRPr="00B4515A" w14:paraId="660E16F0" w14:textId="77777777" w:rsidTr="00031627">
        <w:trPr>
          <w:trHeight w:val="340"/>
          <w:jc w:val="center"/>
        </w:trPr>
        <w:tc>
          <w:tcPr>
            <w:tcW w:w="848" w:type="pct"/>
            <w:shd w:val="clear" w:color="auto" w:fill="auto"/>
            <w:tcMar>
              <w:top w:w="0" w:type="dxa"/>
              <w:left w:w="108" w:type="dxa"/>
              <w:bottom w:w="0" w:type="dxa"/>
              <w:right w:w="108" w:type="dxa"/>
            </w:tcMar>
            <w:vAlign w:val="center"/>
          </w:tcPr>
          <w:p w14:paraId="7F926E20"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合计</w:t>
            </w:r>
          </w:p>
        </w:tc>
        <w:tc>
          <w:tcPr>
            <w:tcW w:w="3300" w:type="pct"/>
            <w:gridSpan w:val="3"/>
            <w:shd w:val="clear" w:color="auto" w:fill="auto"/>
            <w:tcMar>
              <w:top w:w="0" w:type="dxa"/>
              <w:left w:w="108" w:type="dxa"/>
              <w:bottom w:w="0" w:type="dxa"/>
              <w:right w:w="108" w:type="dxa"/>
            </w:tcMar>
            <w:vAlign w:val="center"/>
          </w:tcPr>
          <w:p w14:paraId="2F97B23E"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400</w:t>
            </w:r>
          </w:p>
        </w:tc>
        <w:tc>
          <w:tcPr>
            <w:tcW w:w="852" w:type="pct"/>
            <w:shd w:val="clear" w:color="auto" w:fill="auto"/>
            <w:tcMar>
              <w:top w:w="0" w:type="dxa"/>
              <w:left w:w="108" w:type="dxa"/>
              <w:bottom w:w="0" w:type="dxa"/>
              <w:right w:w="108" w:type="dxa"/>
            </w:tcMar>
            <w:vAlign w:val="center"/>
          </w:tcPr>
          <w:p w14:paraId="699DCEA9"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100.00%</w:t>
            </w:r>
          </w:p>
        </w:tc>
      </w:tr>
    </w:tbl>
    <w:p w14:paraId="4592E475" w14:textId="77777777" w:rsidR="006416B0" w:rsidRPr="00B4515A" w:rsidRDefault="005E58C1" w:rsidP="00EE238F">
      <w:pPr>
        <w:pStyle w:val="005"/>
        <w:spacing w:before="120" w:after="120"/>
        <w:ind w:firstLine="480"/>
      </w:pPr>
      <w:r w:rsidRPr="00B4515A">
        <w:rPr>
          <w:rFonts w:hint="eastAsia"/>
        </w:rPr>
        <w:t>（</w:t>
      </w:r>
      <w:r w:rsidRPr="00B4515A">
        <w:t>2</w:t>
      </w:r>
      <w:r w:rsidRPr="00B4515A">
        <w:rPr>
          <w:rFonts w:hint="eastAsia"/>
        </w:rPr>
        <w:t>）标的公司及可比公司研发人员对比情况</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43"/>
        <w:gridCol w:w="1237"/>
        <w:gridCol w:w="1470"/>
        <w:gridCol w:w="1122"/>
        <w:gridCol w:w="1334"/>
        <w:gridCol w:w="940"/>
        <w:gridCol w:w="1382"/>
      </w:tblGrid>
      <w:tr w:rsidR="006416B0" w:rsidRPr="00B4515A" w14:paraId="764F81B9" w14:textId="77777777" w:rsidTr="00031627">
        <w:trPr>
          <w:trHeight w:val="340"/>
          <w:jc w:val="center"/>
        </w:trPr>
        <w:tc>
          <w:tcPr>
            <w:tcW w:w="612" w:type="pct"/>
            <w:vMerge w:val="restart"/>
            <w:shd w:val="clear" w:color="auto" w:fill="auto"/>
            <w:tcMar>
              <w:top w:w="0" w:type="dxa"/>
              <w:left w:w="108" w:type="dxa"/>
              <w:bottom w:w="0" w:type="dxa"/>
              <w:right w:w="108" w:type="dxa"/>
            </w:tcMar>
            <w:vAlign w:val="center"/>
          </w:tcPr>
          <w:p w14:paraId="43ED360D" w14:textId="77777777" w:rsidR="005860B4"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公司</w:t>
            </w:r>
          </w:p>
          <w:p w14:paraId="2F532C3B" w14:textId="7E3F7533"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名称</w:t>
            </w:r>
          </w:p>
        </w:tc>
        <w:tc>
          <w:tcPr>
            <w:tcW w:w="1587" w:type="pct"/>
            <w:gridSpan w:val="2"/>
            <w:shd w:val="clear" w:color="auto" w:fill="auto"/>
            <w:tcMar>
              <w:top w:w="0" w:type="dxa"/>
              <w:left w:w="108" w:type="dxa"/>
              <w:bottom w:w="0" w:type="dxa"/>
              <w:right w:w="108" w:type="dxa"/>
            </w:tcMar>
            <w:vAlign w:val="center"/>
          </w:tcPr>
          <w:p w14:paraId="24D4911A"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2019</w:t>
            </w:r>
            <w:r w:rsidRPr="00B4515A">
              <w:rPr>
                <w:rFonts w:ascii="Times New Roman" w:eastAsiaTheme="minorEastAsia" w:hAnsi="Times New Roman" w:cs="Times New Roman"/>
                <w:b/>
                <w:color w:val="000000"/>
                <w:sz w:val="21"/>
                <w:szCs w:val="21"/>
              </w:rPr>
              <w:t>年</w:t>
            </w:r>
            <w:r w:rsidRPr="00B4515A">
              <w:rPr>
                <w:rFonts w:ascii="Times New Roman" w:eastAsiaTheme="minorEastAsia" w:hAnsi="Times New Roman" w:cs="Times New Roman"/>
                <w:b/>
                <w:color w:val="000000"/>
                <w:sz w:val="21"/>
                <w:szCs w:val="21"/>
              </w:rPr>
              <w:t>12</w:t>
            </w:r>
            <w:r w:rsidRPr="00B4515A">
              <w:rPr>
                <w:rFonts w:ascii="Times New Roman" w:eastAsiaTheme="minorEastAsia" w:hAnsi="Times New Roman" w:cs="Times New Roman"/>
                <w:b/>
                <w:color w:val="000000"/>
                <w:sz w:val="21"/>
                <w:szCs w:val="21"/>
              </w:rPr>
              <w:t>月</w:t>
            </w:r>
            <w:r w:rsidRPr="00B4515A">
              <w:rPr>
                <w:rFonts w:ascii="Times New Roman" w:eastAsiaTheme="minorEastAsia" w:hAnsi="Times New Roman" w:cs="Times New Roman"/>
                <w:b/>
                <w:color w:val="000000"/>
                <w:sz w:val="21"/>
                <w:szCs w:val="21"/>
              </w:rPr>
              <w:t>31</w:t>
            </w:r>
            <w:r w:rsidRPr="00B4515A">
              <w:rPr>
                <w:rFonts w:ascii="Times New Roman" w:eastAsiaTheme="minorEastAsia" w:hAnsi="Times New Roman" w:cs="Times New Roman"/>
                <w:b/>
                <w:color w:val="000000"/>
                <w:sz w:val="21"/>
                <w:szCs w:val="21"/>
              </w:rPr>
              <w:t>日</w:t>
            </w:r>
          </w:p>
        </w:tc>
        <w:tc>
          <w:tcPr>
            <w:tcW w:w="1440" w:type="pct"/>
            <w:gridSpan w:val="2"/>
            <w:shd w:val="clear" w:color="auto" w:fill="auto"/>
            <w:tcMar>
              <w:top w:w="0" w:type="dxa"/>
              <w:left w:w="108" w:type="dxa"/>
              <w:bottom w:w="0" w:type="dxa"/>
              <w:right w:w="108" w:type="dxa"/>
            </w:tcMar>
            <w:vAlign w:val="center"/>
          </w:tcPr>
          <w:p w14:paraId="09CF58BB"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2020</w:t>
            </w:r>
            <w:r w:rsidRPr="00B4515A">
              <w:rPr>
                <w:rFonts w:ascii="Times New Roman" w:eastAsiaTheme="minorEastAsia" w:hAnsi="Times New Roman" w:cs="Times New Roman"/>
                <w:b/>
                <w:color w:val="000000"/>
                <w:sz w:val="21"/>
                <w:szCs w:val="21"/>
              </w:rPr>
              <w:t>年</w:t>
            </w:r>
            <w:r w:rsidRPr="00B4515A">
              <w:rPr>
                <w:rFonts w:ascii="Times New Roman" w:eastAsiaTheme="minorEastAsia" w:hAnsi="Times New Roman" w:cs="Times New Roman"/>
                <w:b/>
                <w:color w:val="000000"/>
                <w:sz w:val="21"/>
                <w:szCs w:val="21"/>
              </w:rPr>
              <w:t>12</w:t>
            </w:r>
            <w:r w:rsidRPr="00B4515A">
              <w:rPr>
                <w:rFonts w:ascii="Times New Roman" w:eastAsiaTheme="minorEastAsia" w:hAnsi="Times New Roman" w:cs="Times New Roman"/>
                <w:b/>
                <w:color w:val="000000"/>
                <w:sz w:val="21"/>
                <w:szCs w:val="21"/>
              </w:rPr>
              <w:t>月</w:t>
            </w:r>
            <w:r w:rsidRPr="00B4515A">
              <w:rPr>
                <w:rFonts w:ascii="Times New Roman" w:eastAsiaTheme="minorEastAsia" w:hAnsi="Times New Roman" w:cs="Times New Roman"/>
                <w:b/>
                <w:color w:val="000000"/>
                <w:sz w:val="21"/>
                <w:szCs w:val="21"/>
              </w:rPr>
              <w:t>31</w:t>
            </w:r>
            <w:r w:rsidRPr="00B4515A">
              <w:rPr>
                <w:rFonts w:ascii="Times New Roman" w:eastAsiaTheme="minorEastAsia" w:hAnsi="Times New Roman" w:cs="Times New Roman"/>
                <w:b/>
                <w:color w:val="000000"/>
                <w:sz w:val="21"/>
                <w:szCs w:val="21"/>
              </w:rPr>
              <w:t>日</w:t>
            </w:r>
          </w:p>
        </w:tc>
        <w:tc>
          <w:tcPr>
            <w:tcW w:w="1361" w:type="pct"/>
            <w:gridSpan w:val="2"/>
            <w:shd w:val="clear" w:color="auto" w:fill="auto"/>
            <w:tcMar>
              <w:top w:w="0" w:type="dxa"/>
              <w:left w:w="108" w:type="dxa"/>
              <w:bottom w:w="0" w:type="dxa"/>
              <w:right w:w="108" w:type="dxa"/>
            </w:tcMar>
            <w:vAlign w:val="center"/>
          </w:tcPr>
          <w:p w14:paraId="728BBFF1"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2021</w:t>
            </w:r>
            <w:r w:rsidRPr="00B4515A">
              <w:rPr>
                <w:rFonts w:ascii="Times New Roman" w:eastAsiaTheme="minorEastAsia" w:hAnsi="Times New Roman" w:cs="Times New Roman"/>
                <w:b/>
                <w:color w:val="000000"/>
                <w:sz w:val="21"/>
                <w:szCs w:val="21"/>
              </w:rPr>
              <w:t>年</w:t>
            </w:r>
            <w:r w:rsidRPr="00B4515A">
              <w:rPr>
                <w:rFonts w:ascii="Times New Roman" w:eastAsiaTheme="minorEastAsia" w:hAnsi="Times New Roman" w:cs="Times New Roman"/>
                <w:b/>
                <w:color w:val="000000"/>
                <w:sz w:val="21"/>
                <w:szCs w:val="21"/>
              </w:rPr>
              <w:t>4</w:t>
            </w:r>
            <w:r w:rsidRPr="00B4515A">
              <w:rPr>
                <w:rFonts w:ascii="Times New Roman" w:eastAsiaTheme="minorEastAsia" w:hAnsi="Times New Roman" w:cs="Times New Roman"/>
                <w:b/>
                <w:color w:val="000000"/>
                <w:sz w:val="21"/>
                <w:szCs w:val="21"/>
              </w:rPr>
              <w:t>月</w:t>
            </w:r>
            <w:r w:rsidRPr="00B4515A">
              <w:rPr>
                <w:rFonts w:ascii="Times New Roman" w:eastAsiaTheme="minorEastAsia" w:hAnsi="Times New Roman" w:cs="Times New Roman"/>
                <w:b/>
                <w:color w:val="000000"/>
                <w:sz w:val="21"/>
                <w:szCs w:val="21"/>
              </w:rPr>
              <w:t>30</w:t>
            </w:r>
            <w:r w:rsidRPr="00B4515A">
              <w:rPr>
                <w:rFonts w:ascii="Times New Roman" w:eastAsiaTheme="minorEastAsia" w:hAnsi="Times New Roman" w:cs="Times New Roman"/>
                <w:b/>
                <w:color w:val="000000"/>
                <w:sz w:val="21"/>
                <w:szCs w:val="21"/>
              </w:rPr>
              <w:t>日</w:t>
            </w:r>
          </w:p>
        </w:tc>
      </w:tr>
      <w:tr w:rsidR="006416B0" w:rsidRPr="00B4515A" w14:paraId="4495E133" w14:textId="77777777" w:rsidTr="00031627">
        <w:trPr>
          <w:trHeight w:val="340"/>
          <w:jc w:val="center"/>
        </w:trPr>
        <w:tc>
          <w:tcPr>
            <w:tcW w:w="612" w:type="pct"/>
            <w:vMerge/>
            <w:tcMar>
              <w:top w:w="0" w:type="dxa"/>
              <w:left w:w="108" w:type="dxa"/>
              <w:bottom w:w="0" w:type="dxa"/>
              <w:right w:w="108" w:type="dxa"/>
            </w:tcMar>
            <w:vAlign w:val="center"/>
          </w:tcPr>
          <w:p w14:paraId="63309C1A" w14:textId="77777777" w:rsidR="006416B0" w:rsidRPr="00B4515A" w:rsidRDefault="006416B0" w:rsidP="005860B4">
            <w:pPr>
              <w:adjustRightInd w:val="0"/>
              <w:snapToGrid w:val="0"/>
              <w:jc w:val="center"/>
              <w:rPr>
                <w:rFonts w:ascii="Times New Roman" w:eastAsiaTheme="minorEastAsia" w:hAnsi="Times New Roman" w:cs="Times New Roman"/>
                <w:b/>
                <w:color w:val="000000"/>
                <w:sz w:val="21"/>
                <w:szCs w:val="21"/>
              </w:rPr>
            </w:pPr>
          </w:p>
        </w:tc>
        <w:tc>
          <w:tcPr>
            <w:tcW w:w="725" w:type="pct"/>
            <w:shd w:val="clear" w:color="auto" w:fill="auto"/>
            <w:tcMar>
              <w:top w:w="0" w:type="dxa"/>
              <w:left w:w="108" w:type="dxa"/>
              <w:bottom w:w="0" w:type="dxa"/>
              <w:right w:w="108" w:type="dxa"/>
            </w:tcMar>
            <w:vAlign w:val="center"/>
          </w:tcPr>
          <w:p w14:paraId="5AE18210"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人数</w:t>
            </w:r>
          </w:p>
        </w:tc>
        <w:tc>
          <w:tcPr>
            <w:tcW w:w="862" w:type="pct"/>
            <w:shd w:val="clear" w:color="auto" w:fill="auto"/>
            <w:tcMar>
              <w:top w:w="0" w:type="dxa"/>
              <w:left w:w="108" w:type="dxa"/>
              <w:bottom w:w="0" w:type="dxa"/>
              <w:right w:w="108" w:type="dxa"/>
            </w:tcMar>
            <w:vAlign w:val="center"/>
          </w:tcPr>
          <w:p w14:paraId="184779E1"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占比</w:t>
            </w:r>
          </w:p>
        </w:tc>
        <w:tc>
          <w:tcPr>
            <w:tcW w:w="658" w:type="pct"/>
            <w:shd w:val="clear" w:color="auto" w:fill="auto"/>
            <w:tcMar>
              <w:top w:w="0" w:type="dxa"/>
              <w:left w:w="108" w:type="dxa"/>
              <w:bottom w:w="0" w:type="dxa"/>
              <w:right w:w="108" w:type="dxa"/>
            </w:tcMar>
            <w:vAlign w:val="center"/>
          </w:tcPr>
          <w:p w14:paraId="091B6CF5"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人数</w:t>
            </w:r>
          </w:p>
        </w:tc>
        <w:tc>
          <w:tcPr>
            <w:tcW w:w="782" w:type="pct"/>
            <w:shd w:val="clear" w:color="auto" w:fill="auto"/>
            <w:tcMar>
              <w:top w:w="0" w:type="dxa"/>
              <w:left w:w="108" w:type="dxa"/>
              <w:bottom w:w="0" w:type="dxa"/>
              <w:right w:w="108" w:type="dxa"/>
            </w:tcMar>
            <w:vAlign w:val="center"/>
          </w:tcPr>
          <w:p w14:paraId="7C2F99AA"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占比</w:t>
            </w:r>
          </w:p>
        </w:tc>
        <w:tc>
          <w:tcPr>
            <w:tcW w:w="551" w:type="pct"/>
            <w:shd w:val="clear" w:color="auto" w:fill="auto"/>
            <w:tcMar>
              <w:top w:w="0" w:type="dxa"/>
              <w:left w:w="108" w:type="dxa"/>
              <w:bottom w:w="0" w:type="dxa"/>
              <w:right w:w="108" w:type="dxa"/>
            </w:tcMar>
            <w:vAlign w:val="center"/>
          </w:tcPr>
          <w:p w14:paraId="49270478"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人数</w:t>
            </w:r>
          </w:p>
        </w:tc>
        <w:tc>
          <w:tcPr>
            <w:tcW w:w="810" w:type="pct"/>
            <w:shd w:val="clear" w:color="auto" w:fill="auto"/>
            <w:tcMar>
              <w:top w:w="0" w:type="dxa"/>
              <w:left w:w="108" w:type="dxa"/>
              <w:bottom w:w="0" w:type="dxa"/>
              <w:right w:w="108" w:type="dxa"/>
            </w:tcMar>
            <w:vAlign w:val="center"/>
          </w:tcPr>
          <w:p w14:paraId="78E35737"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占比</w:t>
            </w:r>
          </w:p>
        </w:tc>
      </w:tr>
      <w:tr w:rsidR="006416B0" w:rsidRPr="00B4515A" w14:paraId="76D26945" w14:textId="77777777" w:rsidTr="00031627">
        <w:trPr>
          <w:trHeight w:val="340"/>
          <w:jc w:val="center"/>
        </w:trPr>
        <w:tc>
          <w:tcPr>
            <w:tcW w:w="612" w:type="pct"/>
            <w:shd w:val="clear" w:color="auto" w:fill="auto"/>
            <w:tcMar>
              <w:top w:w="0" w:type="dxa"/>
              <w:left w:w="108" w:type="dxa"/>
              <w:bottom w:w="0" w:type="dxa"/>
              <w:right w:w="108" w:type="dxa"/>
            </w:tcMar>
            <w:vAlign w:val="center"/>
          </w:tcPr>
          <w:p w14:paraId="6380159E" w14:textId="77777777" w:rsidR="005860B4"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大唐</w:t>
            </w:r>
          </w:p>
          <w:p w14:paraId="44ED440F" w14:textId="43CA4469"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联诚</w:t>
            </w:r>
          </w:p>
        </w:tc>
        <w:tc>
          <w:tcPr>
            <w:tcW w:w="725" w:type="pct"/>
            <w:shd w:val="clear" w:color="auto" w:fill="auto"/>
            <w:tcMar>
              <w:top w:w="0" w:type="dxa"/>
              <w:left w:w="108" w:type="dxa"/>
              <w:bottom w:w="0" w:type="dxa"/>
              <w:right w:w="108" w:type="dxa"/>
            </w:tcMar>
            <w:vAlign w:val="center"/>
          </w:tcPr>
          <w:p w14:paraId="5D58C7D1"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378</w:t>
            </w:r>
          </w:p>
        </w:tc>
        <w:tc>
          <w:tcPr>
            <w:tcW w:w="862" w:type="pct"/>
            <w:shd w:val="clear" w:color="auto" w:fill="auto"/>
            <w:tcMar>
              <w:top w:w="0" w:type="dxa"/>
              <w:left w:w="108" w:type="dxa"/>
              <w:bottom w:w="0" w:type="dxa"/>
              <w:right w:w="108" w:type="dxa"/>
            </w:tcMar>
            <w:vAlign w:val="center"/>
          </w:tcPr>
          <w:p w14:paraId="31F68AFF"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72.55%</w:t>
            </w:r>
          </w:p>
        </w:tc>
        <w:tc>
          <w:tcPr>
            <w:tcW w:w="658" w:type="pct"/>
            <w:shd w:val="clear" w:color="auto" w:fill="auto"/>
            <w:tcMar>
              <w:top w:w="0" w:type="dxa"/>
              <w:left w:w="108" w:type="dxa"/>
              <w:bottom w:w="0" w:type="dxa"/>
              <w:right w:w="108" w:type="dxa"/>
            </w:tcMar>
            <w:vAlign w:val="center"/>
          </w:tcPr>
          <w:p w14:paraId="5A3F2BF5"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396</w:t>
            </w:r>
          </w:p>
        </w:tc>
        <w:tc>
          <w:tcPr>
            <w:tcW w:w="782" w:type="pct"/>
            <w:shd w:val="clear" w:color="auto" w:fill="auto"/>
            <w:tcMar>
              <w:top w:w="0" w:type="dxa"/>
              <w:left w:w="108" w:type="dxa"/>
              <w:bottom w:w="0" w:type="dxa"/>
              <w:right w:w="108" w:type="dxa"/>
            </w:tcMar>
            <w:vAlign w:val="center"/>
          </w:tcPr>
          <w:p w14:paraId="44862F3E"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71.35%</w:t>
            </w:r>
          </w:p>
        </w:tc>
        <w:tc>
          <w:tcPr>
            <w:tcW w:w="551" w:type="pct"/>
            <w:shd w:val="clear" w:color="auto" w:fill="auto"/>
            <w:tcMar>
              <w:top w:w="0" w:type="dxa"/>
              <w:left w:w="108" w:type="dxa"/>
              <w:bottom w:w="0" w:type="dxa"/>
              <w:right w:w="108" w:type="dxa"/>
            </w:tcMar>
            <w:vAlign w:val="center"/>
          </w:tcPr>
          <w:p w14:paraId="6ACF442C"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400</w:t>
            </w:r>
          </w:p>
        </w:tc>
        <w:tc>
          <w:tcPr>
            <w:tcW w:w="810" w:type="pct"/>
            <w:shd w:val="clear" w:color="auto" w:fill="auto"/>
            <w:tcMar>
              <w:top w:w="0" w:type="dxa"/>
              <w:left w:w="108" w:type="dxa"/>
              <w:bottom w:w="0" w:type="dxa"/>
              <w:right w:w="108" w:type="dxa"/>
            </w:tcMar>
            <w:vAlign w:val="center"/>
          </w:tcPr>
          <w:p w14:paraId="2C774658"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70.42%</w:t>
            </w:r>
          </w:p>
        </w:tc>
      </w:tr>
      <w:tr w:rsidR="006416B0" w:rsidRPr="00B4515A" w14:paraId="3167C654" w14:textId="77777777" w:rsidTr="00031627">
        <w:trPr>
          <w:trHeight w:val="340"/>
          <w:jc w:val="center"/>
        </w:trPr>
        <w:tc>
          <w:tcPr>
            <w:tcW w:w="612" w:type="pct"/>
            <w:shd w:val="clear" w:color="auto" w:fill="auto"/>
            <w:tcMar>
              <w:top w:w="0" w:type="dxa"/>
              <w:left w:w="108" w:type="dxa"/>
              <w:bottom w:w="0" w:type="dxa"/>
              <w:right w:w="108" w:type="dxa"/>
            </w:tcMar>
            <w:vAlign w:val="center"/>
          </w:tcPr>
          <w:p w14:paraId="011D6AF7" w14:textId="77777777" w:rsidR="006416B0" w:rsidRPr="00B4515A" w:rsidRDefault="005E58C1"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上海瀚讯</w:t>
            </w:r>
          </w:p>
        </w:tc>
        <w:tc>
          <w:tcPr>
            <w:tcW w:w="725" w:type="pct"/>
            <w:shd w:val="clear" w:color="auto" w:fill="auto"/>
            <w:tcMar>
              <w:top w:w="0" w:type="dxa"/>
              <w:left w:w="108" w:type="dxa"/>
              <w:bottom w:w="0" w:type="dxa"/>
              <w:right w:w="108" w:type="dxa"/>
            </w:tcMar>
            <w:vAlign w:val="center"/>
          </w:tcPr>
          <w:p w14:paraId="609D329C"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156</w:t>
            </w:r>
          </w:p>
        </w:tc>
        <w:tc>
          <w:tcPr>
            <w:tcW w:w="862" w:type="pct"/>
            <w:shd w:val="clear" w:color="auto" w:fill="auto"/>
            <w:tcMar>
              <w:top w:w="0" w:type="dxa"/>
              <w:left w:w="108" w:type="dxa"/>
              <w:bottom w:w="0" w:type="dxa"/>
              <w:right w:w="108" w:type="dxa"/>
            </w:tcMar>
            <w:vAlign w:val="center"/>
          </w:tcPr>
          <w:p w14:paraId="09AB8350"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46.15%</w:t>
            </w:r>
          </w:p>
        </w:tc>
        <w:tc>
          <w:tcPr>
            <w:tcW w:w="658" w:type="pct"/>
            <w:shd w:val="clear" w:color="auto" w:fill="auto"/>
            <w:tcMar>
              <w:top w:w="0" w:type="dxa"/>
              <w:left w:w="108" w:type="dxa"/>
              <w:bottom w:w="0" w:type="dxa"/>
              <w:right w:w="108" w:type="dxa"/>
            </w:tcMar>
            <w:vAlign w:val="center"/>
          </w:tcPr>
          <w:p w14:paraId="13D93D93"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182</w:t>
            </w:r>
          </w:p>
        </w:tc>
        <w:tc>
          <w:tcPr>
            <w:tcW w:w="782" w:type="pct"/>
            <w:shd w:val="clear" w:color="auto" w:fill="auto"/>
            <w:tcMar>
              <w:top w:w="0" w:type="dxa"/>
              <w:left w:w="108" w:type="dxa"/>
              <w:bottom w:w="0" w:type="dxa"/>
              <w:right w:w="108" w:type="dxa"/>
            </w:tcMar>
            <w:vAlign w:val="center"/>
          </w:tcPr>
          <w:p w14:paraId="101BFC02"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52.15%</w:t>
            </w:r>
          </w:p>
        </w:tc>
        <w:tc>
          <w:tcPr>
            <w:tcW w:w="1361" w:type="pct"/>
            <w:gridSpan w:val="2"/>
            <w:shd w:val="clear" w:color="auto" w:fill="auto"/>
            <w:tcMar>
              <w:top w:w="0" w:type="dxa"/>
              <w:left w:w="108" w:type="dxa"/>
              <w:bottom w:w="0" w:type="dxa"/>
              <w:right w:w="108" w:type="dxa"/>
            </w:tcMar>
            <w:vAlign w:val="center"/>
          </w:tcPr>
          <w:p w14:paraId="1C9F96C5"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未披露</w:t>
            </w:r>
          </w:p>
        </w:tc>
      </w:tr>
      <w:tr w:rsidR="006416B0" w:rsidRPr="00B4515A" w14:paraId="088D39FE" w14:textId="77777777" w:rsidTr="00031627">
        <w:trPr>
          <w:trHeight w:val="340"/>
          <w:jc w:val="center"/>
        </w:trPr>
        <w:tc>
          <w:tcPr>
            <w:tcW w:w="612" w:type="pct"/>
            <w:shd w:val="clear" w:color="auto" w:fill="auto"/>
            <w:tcMar>
              <w:top w:w="0" w:type="dxa"/>
              <w:left w:w="108" w:type="dxa"/>
              <w:bottom w:w="0" w:type="dxa"/>
              <w:right w:w="108" w:type="dxa"/>
            </w:tcMar>
            <w:vAlign w:val="center"/>
          </w:tcPr>
          <w:p w14:paraId="75305848" w14:textId="77777777" w:rsidR="006416B0" w:rsidRPr="00B4515A" w:rsidRDefault="005E58C1"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海格通信</w:t>
            </w:r>
          </w:p>
        </w:tc>
        <w:tc>
          <w:tcPr>
            <w:tcW w:w="725" w:type="pct"/>
            <w:shd w:val="clear" w:color="auto" w:fill="auto"/>
            <w:tcMar>
              <w:top w:w="0" w:type="dxa"/>
              <w:left w:w="108" w:type="dxa"/>
              <w:bottom w:w="0" w:type="dxa"/>
              <w:right w:w="108" w:type="dxa"/>
            </w:tcMar>
            <w:vAlign w:val="center"/>
          </w:tcPr>
          <w:p w14:paraId="5AB7C534"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2525</w:t>
            </w:r>
          </w:p>
        </w:tc>
        <w:tc>
          <w:tcPr>
            <w:tcW w:w="862" w:type="pct"/>
            <w:shd w:val="clear" w:color="auto" w:fill="auto"/>
            <w:tcMar>
              <w:top w:w="0" w:type="dxa"/>
              <w:left w:w="108" w:type="dxa"/>
              <w:bottom w:w="0" w:type="dxa"/>
              <w:right w:w="108" w:type="dxa"/>
            </w:tcMar>
            <w:vAlign w:val="center"/>
          </w:tcPr>
          <w:p w14:paraId="57155041"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30.36%</w:t>
            </w:r>
          </w:p>
        </w:tc>
        <w:tc>
          <w:tcPr>
            <w:tcW w:w="658" w:type="pct"/>
            <w:shd w:val="clear" w:color="auto" w:fill="auto"/>
            <w:tcMar>
              <w:top w:w="0" w:type="dxa"/>
              <w:left w:w="108" w:type="dxa"/>
              <w:bottom w:w="0" w:type="dxa"/>
              <w:right w:w="108" w:type="dxa"/>
            </w:tcMar>
            <w:vAlign w:val="center"/>
          </w:tcPr>
          <w:p w14:paraId="67B4AAD2"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2111</w:t>
            </w:r>
          </w:p>
        </w:tc>
        <w:tc>
          <w:tcPr>
            <w:tcW w:w="782" w:type="pct"/>
            <w:shd w:val="clear" w:color="auto" w:fill="auto"/>
            <w:tcMar>
              <w:top w:w="0" w:type="dxa"/>
              <w:left w:w="108" w:type="dxa"/>
              <w:bottom w:w="0" w:type="dxa"/>
              <w:right w:w="108" w:type="dxa"/>
            </w:tcMar>
            <w:vAlign w:val="center"/>
          </w:tcPr>
          <w:p w14:paraId="190A38FF"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27.42%</w:t>
            </w:r>
          </w:p>
        </w:tc>
        <w:tc>
          <w:tcPr>
            <w:tcW w:w="1361" w:type="pct"/>
            <w:gridSpan w:val="2"/>
            <w:shd w:val="clear" w:color="auto" w:fill="auto"/>
            <w:tcMar>
              <w:top w:w="0" w:type="dxa"/>
              <w:left w:w="108" w:type="dxa"/>
              <w:bottom w:w="0" w:type="dxa"/>
              <w:right w:w="108" w:type="dxa"/>
            </w:tcMar>
            <w:vAlign w:val="center"/>
          </w:tcPr>
          <w:p w14:paraId="38394808"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未披露</w:t>
            </w:r>
          </w:p>
        </w:tc>
      </w:tr>
      <w:tr w:rsidR="006416B0" w:rsidRPr="00B4515A" w14:paraId="1D95BAB2" w14:textId="77777777" w:rsidTr="00031627">
        <w:trPr>
          <w:trHeight w:val="340"/>
          <w:jc w:val="center"/>
        </w:trPr>
        <w:tc>
          <w:tcPr>
            <w:tcW w:w="612" w:type="pct"/>
            <w:shd w:val="clear" w:color="auto" w:fill="auto"/>
            <w:tcMar>
              <w:top w:w="0" w:type="dxa"/>
              <w:left w:w="108" w:type="dxa"/>
              <w:bottom w:w="0" w:type="dxa"/>
              <w:right w:w="108" w:type="dxa"/>
            </w:tcMar>
            <w:vAlign w:val="center"/>
          </w:tcPr>
          <w:p w14:paraId="2CF68C02" w14:textId="77777777" w:rsidR="006416B0" w:rsidRPr="00B4515A" w:rsidRDefault="005E58C1" w:rsidP="005860B4">
            <w:pPr>
              <w:adjustRightInd w:val="0"/>
              <w:snapToGrid w:val="0"/>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七一二</w:t>
            </w:r>
          </w:p>
        </w:tc>
        <w:tc>
          <w:tcPr>
            <w:tcW w:w="725" w:type="pct"/>
            <w:shd w:val="clear" w:color="auto" w:fill="auto"/>
            <w:tcMar>
              <w:top w:w="0" w:type="dxa"/>
              <w:left w:w="108" w:type="dxa"/>
              <w:bottom w:w="0" w:type="dxa"/>
              <w:right w:w="108" w:type="dxa"/>
            </w:tcMar>
            <w:vAlign w:val="center"/>
          </w:tcPr>
          <w:p w14:paraId="0965EE30"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820</w:t>
            </w:r>
          </w:p>
        </w:tc>
        <w:tc>
          <w:tcPr>
            <w:tcW w:w="862" w:type="pct"/>
            <w:shd w:val="clear" w:color="auto" w:fill="auto"/>
            <w:tcMar>
              <w:top w:w="0" w:type="dxa"/>
              <w:left w:w="108" w:type="dxa"/>
              <w:bottom w:w="0" w:type="dxa"/>
              <w:right w:w="108" w:type="dxa"/>
            </w:tcMar>
            <w:vAlign w:val="center"/>
          </w:tcPr>
          <w:p w14:paraId="266F6987"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40.55%</w:t>
            </w:r>
          </w:p>
        </w:tc>
        <w:tc>
          <w:tcPr>
            <w:tcW w:w="658" w:type="pct"/>
            <w:shd w:val="clear" w:color="auto" w:fill="auto"/>
            <w:tcMar>
              <w:top w:w="0" w:type="dxa"/>
              <w:left w:w="108" w:type="dxa"/>
              <w:bottom w:w="0" w:type="dxa"/>
              <w:right w:w="108" w:type="dxa"/>
            </w:tcMar>
            <w:vAlign w:val="center"/>
          </w:tcPr>
          <w:p w14:paraId="1B301B77"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846</w:t>
            </w:r>
          </w:p>
        </w:tc>
        <w:tc>
          <w:tcPr>
            <w:tcW w:w="782" w:type="pct"/>
            <w:shd w:val="clear" w:color="auto" w:fill="auto"/>
            <w:tcMar>
              <w:top w:w="0" w:type="dxa"/>
              <w:left w:w="108" w:type="dxa"/>
              <w:bottom w:w="0" w:type="dxa"/>
              <w:right w:w="108" w:type="dxa"/>
            </w:tcMar>
            <w:vAlign w:val="center"/>
          </w:tcPr>
          <w:p w14:paraId="1F9A5948"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40.17%</w:t>
            </w:r>
          </w:p>
        </w:tc>
        <w:tc>
          <w:tcPr>
            <w:tcW w:w="1361" w:type="pct"/>
            <w:gridSpan w:val="2"/>
            <w:shd w:val="clear" w:color="auto" w:fill="auto"/>
            <w:tcMar>
              <w:top w:w="0" w:type="dxa"/>
              <w:left w:w="108" w:type="dxa"/>
              <w:bottom w:w="0" w:type="dxa"/>
              <w:right w:w="108" w:type="dxa"/>
            </w:tcMar>
            <w:vAlign w:val="center"/>
          </w:tcPr>
          <w:p w14:paraId="7F5FE9B5"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未披露</w:t>
            </w:r>
          </w:p>
        </w:tc>
      </w:tr>
      <w:tr w:rsidR="006416B0" w:rsidRPr="00B4515A" w14:paraId="0146E65A" w14:textId="77777777" w:rsidTr="00031627">
        <w:trPr>
          <w:trHeight w:val="340"/>
          <w:jc w:val="center"/>
        </w:trPr>
        <w:tc>
          <w:tcPr>
            <w:tcW w:w="612" w:type="pct"/>
            <w:shd w:val="clear" w:color="auto" w:fill="auto"/>
            <w:tcMar>
              <w:top w:w="0" w:type="dxa"/>
              <w:left w:w="108" w:type="dxa"/>
              <w:bottom w:w="0" w:type="dxa"/>
              <w:right w:w="108" w:type="dxa"/>
            </w:tcMar>
            <w:vAlign w:val="center"/>
          </w:tcPr>
          <w:p w14:paraId="1427EE8C"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海能达</w:t>
            </w:r>
          </w:p>
        </w:tc>
        <w:tc>
          <w:tcPr>
            <w:tcW w:w="725" w:type="pct"/>
            <w:shd w:val="clear" w:color="auto" w:fill="auto"/>
            <w:tcMar>
              <w:top w:w="0" w:type="dxa"/>
              <w:left w:w="108" w:type="dxa"/>
              <w:bottom w:w="0" w:type="dxa"/>
              <w:right w:w="108" w:type="dxa"/>
            </w:tcMar>
            <w:vAlign w:val="center"/>
          </w:tcPr>
          <w:p w14:paraId="5AF726F5"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3,274</w:t>
            </w:r>
          </w:p>
        </w:tc>
        <w:tc>
          <w:tcPr>
            <w:tcW w:w="862" w:type="pct"/>
            <w:shd w:val="clear" w:color="auto" w:fill="auto"/>
            <w:tcMar>
              <w:top w:w="0" w:type="dxa"/>
              <w:left w:w="108" w:type="dxa"/>
              <w:bottom w:w="0" w:type="dxa"/>
              <w:right w:w="108" w:type="dxa"/>
            </w:tcMar>
            <w:vAlign w:val="center"/>
          </w:tcPr>
          <w:p w14:paraId="569E6463"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40.10%</w:t>
            </w:r>
          </w:p>
        </w:tc>
        <w:tc>
          <w:tcPr>
            <w:tcW w:w="658" w:type="pct"/>
            <w:shd w:val="clear" w:color="auto" w:fill="auto"/>
            <w:tcMar>
              <w:top w:w="0" w:type="dxa"/>
              <w:left w:w="108" w:type="dxa"/>
              <w:bottom w:w="0" w:type="dxa"/>
              <w:right w:w="108" w:type="dxa"/>
            </w:tcMar>
            <w:vAlign w:val="center"/>
          </w:tcPr>
          <w:p w14:paraId="157E0C93"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2,847</w:t>
            </w:r>
          </w:p>
        </w:tc>
        <w:tc>
          <w:tcPr>
            <w:tcW w:w="782" w:type="pct"/>
            <w:shd w:val="clear" w:color="auto" w:fill="auto"/>
            <w:tcMar>
              <w:top w:w="0" w:type="dxa"/>
              <w:left w:w="108" w:type="dxa"/>
              <w:bottom w:w="0" w:type="dxa"/>
              <w:right w:w="108" w:type="dxa"/>
            </w:tcMar>
            <w:vAlign w:val="center"/>
          </w:tcPr>
          <w:p w14:paraId="1FB51861"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41.48%</w:t>
            </w:r>
          </w:p>
        </w:tc>
        <w:tc>
          <w:tcPr>
            <w:tcW w:w="1361" w:type="pct"/>
            <w:gridSpan w:val="2"/>
            <w:shd w:val="clear" w:color="auto" w:fill="auto"/>
            <w:tcMar>
              <w:top w:w="0" w:type="dxa"/>
              <w:left w:w="108" w:type="dxa"/>
              <w:bottom w:w="0" w:type="dxa"/>
              <w:right w:w="108" w:type="dxa"/>
            </w:tcMar>
            <w:vAlign w:val="center"/>
          </w:tcPr>
          <w:p w14:paraId="017504D4"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未披露</w:t>
            </w:r>
          </w:p>
        </w:tc>
      </w:tr>
    </w:tbl>
    <w:p w14:paraId="17FFBA0E" w14:textId="77777777" w:rsidR="006416B0" w:rsidRPr="00B4515A" w:rsidRDefault="005E58C1" w:rsidP="005860B4">
      <w:pPr>
        <w:pStyle w:val="006"/>
        <w:ind w:firstLine="420"/>
      </w:pPr>
      <w:r w:rsidRPr="00B4515A">
        <w:rPr>
          <w:rFonts w:hint="eastAsia"/>
        </w:rPr>
        <w:t>注：可比公司数据来源于</w:t>
      </w:r>
      <w:r w:rsidRPr="00B4515A">
        <w:t>wind</w:t>
      </w:r>
      <w:r w:rsidRPr="00B4515A">
        <w:rPr>
          <w:rFonts w:hint="eastAsia"/>
        </w:rPr>
        <w:t>数据；可比公司未披露</w:t>
      </w:r>
      <w:r w:rsidRPr="00B4515A">
        <w:t>2021</w:t>
      </w:r>
      <w:r w:rsidRPr="00B4515A">
        <w:rPr>
          <w:rFonts w:hint="eastAsia"/>
        </w:rPr>
        <w:t>年</w:t>
      </w:r>
      <w:r w:rsidRPr="00B4515A">
        <w:t>1-4</w:t>
      </w:r>
      <w:r w:rsidRPr="00B4515A">
        <w:rPr>
          <w:rFonts w:hint="eastAsia"/>
        </w:rPr>
        <w:t>月份研发人员数量。</w:t>
      </w:r>
    </w:p>
    <w:p w14:paraId="48916245" w14:textId="77777777" w:rsidR="006416B0" w:rsidRPr="00B4515A" w:rsidRDefault="005E58C1" w:rsidP="005860B4">
      <w:pPr>
        <w:pStyle w:val="005"/>
        <w:spacing w:before="120" w:after="120"/>
        <w:ind w:firstLine="480"/>
      </w:pPr>
      <w:r w:rsidRPr="00B4515A">
        <w:rPr>
          <w:rFonts w:hint="eastAsia"/>
        </w:rPr>
        <w:t>标的公司研发人员占员工总人数比例较可比公司高，综合考虑标的公司处于该业务板块的布局期及行业特点，因此标的公司研发人员占员工总人数比例与所属阶段及行业特点较为一致。</w:t>
      </w:r>
      <w:bookmarkEnd w:id="194"/>
    </w:p>
    <w:p w14:paraId="0C73BE95" w14:textId="77777777" w:rsidR="006416B0" w:rsidRPr="00B4515A" w:rsidRDefault="005E58C1" w:rsidP="005860B4">
      <w:pPr>
        <w:pStyle w:val="002"/>
        <w:spacing w:before="120" w:after="120"/>
        <w:ind w:firstLine="562"/>
      </w:pPr>
      <w:bookmarkStart w:id="195" w:name="_Toc80960540"/>
      <w:r w:rsidRPr="00B4515A">
        <w:rPr>
          <w:rFonts w:hint="eastAsia"/>
        </w:rPr>
        <w:t>六、标的公司的独立性</w:t>
      </w:r>
      <w:bookmarkEnd w:id="195"/>
    </w:p>
    <w:p w14:paraId="4F631D44" w14:textId="77777777" w:rsidR="006416B0" w:rsidRPr="00B4515A" w:rsidRDefault="005E58C1" w:rsidP="005860B4">
      <w:pPr>
        <w:pStyle w:val="004"/>
        <w:spacing w:before="120" w:after="120"/>
        <w:ind w:firstLine="482"/>
      </w:pPr>
      <w:bookmarkStart w:id="196" w:name="_Hlk76932074"/>
      <w:r w:rsidRPr="00B4515A">
        <w:t>1</w:t>
      </w:r>
      <w:r w:rsidRPr="00B4515A">
        <w:t>、业务独立性</w:t>
      </w:r>
    </w:p>
    <w:p w14:paraId="286689F4" w14:textId="77777777" w:rsidR="006416B0" w:rsidRPr="00B4515A" w:rsidRDefault="005E58C1" w:rsidP="005860B4">
      <w:pPr>
        <w:pStyle w:val="005"/>
        <w:spacing w:before="120" w:after="120"/>
        <w:ind w:firstLine="480"/>
      </w:pPr>
      <w:r w:rsidRPr="00B4515A">
        <w:t>2019</w:t>
      </w:r>
      <w:r w:rsidRPr="00B4515A">
        <w:t>年度、</w:t>
      </w:r>
      <w:r w:rsidRPr="00B4515A">
        <w:t>2020</w:t>
      </w:r>
      <w:r w:rsidRPr="00B4515A">
        <w:t>年度及</w:t>
      </w:r>
      <w:r w:rsidRPr="00B4515A">
        <w:t>2021</w:t>
      </w:r>
      <w:r w:rsidRPr="00B4515A">
        <w:t>年</w:t>
      </w:r>
      <w:r w:rsidRPr="00B4515A">
        <w:t>1-4</w:t>
      </w:r>
      <w:r w:rsidRPr="00B4515A">
        <w:t>月，标的公司虽然存在向关联方进行销售及采购的情况，但标的公司拥有所有产品生产的核心技术，在生产、研发、销售方面均完整、独立。</w:t>
      </w:r>
    </w:p>
    <w:p w14:paraId="00C71DBA" w14:textId="77777777" w:rsidR="006416B0" w:rsidRPr="00B4515A" w:rsidRDefault="005E58C1" w:rsidP="005860B4">
      <w:pPr>
        <w:pStyle w:val="005"/>
        <w:spacing w:before="120" w:after="120"/>
        <w:ind w:firstLine="480"/>
      </w:pPr>
      <w:r w:rsidRPr="00B4515A">
        <w:t>2019</w:t>
      </w:r>
      <w:r w:rsidRPr="00B4515A">
        <w:t>年度、</w:t>
      </w:r>
      <w:r w:rsidRPr="00B4515A">
        <w:t>2020</w:t>
      </w:r>
      <w:r w:rsidRPr="00B4515A">
        <w:t>年度及</w:t>
      </w:r>
      <w:r w:rsidRPr="00B4515A">
        <w:t>2021</w:t>
      </w:r>
      <w:r w:rsidRPr="00B4515A">
        <w:t>年</w:t>
      </w:r>
      <w:r w:rsidRPr="00B4515A">
        <w:t>1-4</w:t>
      </w:r>
      <w:r w:rsidRPr="00B4515A">
        <w:t>月，标的公司向控股股东及其关联方销售的总金额分别为</w:t>
      </w:r>
      <w:r w:rsidRPr="00B4515A">
        <w:t xml:space="preserve">1,992.39 </w:t>
      </w:r>
      <w:r w:rsidRPr="00B4515A">
        <w:t>万元、</w:t>
      </w:r>
      <w:r w:rsidRPr="00B4515A">
        <w:t xml:space="preserve">5,342.74 </w:t>
      </w:r>
      <w:r w:rsidRPr="00B4515A">
        <w:t>万元及</w:t>
      </w:r>
      <w:r w:rsidRPr="00B4515A">
        <w:t>532.78</w:t>
      </w:r>
      <w:r w:rsidRPr="00B4515A">
        <w:t>万元，占标的公司各期销售金额的比重为</w:t>
      </w:r>
      <w:r w:rsidRPr="00B4515A">
        <w:t>5.43%</w:t>
      </w:r>
      <w:r w:rsidRPr="00B4515A">
        <w:t>、</w:t>
      </w:r>
      <w:r w:rsidRPr="00B4515A">
        <w:t>9.96%</w:t>
      </w:r>
      <w:r w:rsidRPr="00B4515A">
        <w:t>及</w:t>
      </w:r>
      <w:r w:rsidRPr="00B4515A">
        <w:t>4.18%</w:t>
      </w:r>
      <w:r w:rsidRPr="00B4515A">
        <w:t>，占比较低。</w:t>
      </w:r>
    </w:p>
    <w:p w14:paraId="71CC1201" w14:textId="77777777" w:rsidR="006416B0" w:rsidRPr="00B4515A" w:rsidRDefault="005E58C1" w:rsidP="005860B4">
      <w:pPr>
        <w:pStyle w:val="005"/>
        <w:spacing w:before="120" w:after="120"/>
        <w:ind w:firstLine="480"/>
      </w:pPr>
      <w:r w:rsidRPr="00B4515A">
        <w:t>2019</w:t>
      </w:r>
      <w:r w:rsidRPr="00B4515A">
        <w:t>年度、</w:t>
      </w:r>
      <w:r w:rsidRPr="00B4515A">
        <w:t>2020</w:t>
      </w:r>
      <w:r w:rsidRPr="00B4515A">
        <w:t>年度及</w:t>
      </w:r>
      <w:r w:rsidRPr="00B4515A">
        <w:t>2021</w:t>
      </w:r>
      <w:r w:rsidRPr="00B4515A">
        <w:t>年</w:t>
      </w:r>
      <w:r w:rsidRPr="00B4515A">
        <w:t>1-4</w:t>
      </w:r>
      <w:r w:rsidRPr="00B4515A">
        <w:t>月，标的公司从控股股东及其关联方采购的总金额为</w:t>
      </w:r>
      <w:r w:rsidRPr="00B4515A">
        <w:t>8,051.78</w:t>
      </w:r>
      <w:r w:rsidRPr="00B4515A">
        <w:t>万元、</w:t>
      </w:r>
      <w:r w:rsidRPr="00B4515A">
        <w:t xml:space="preserve">13,450.18 </w:t>
      </w:r>
      <w:r w:rsidRPr="00B4515A">
        <w:t>万元及</w:t>
      </w:r>
      <w:r w:rsidRPr="00B4515A">
        <w:t>822.31</w:t>
      </w:r>
      <w:r w:rsidRPr="00B4515A">
        <w:t>万元，占公司各期采购金额比重为</w:t>
      </w:r>
      <w:r w:rsidRPr="00B4515A">
        <w:t>28.26%</w:t>
      </w:r>
      <w:r w:rsidRPr="00B4515A">
        <w:t>、</w:t>
      </w:r>
      <w:r w:rsidRPr="00B4515A">
        <w:t>42.46%</w:t>
      </w:r>
      <w:r w:rsidRPr="00B4515A">
        <w:t>及</w:t>
      </w:r>
      <w:r w:rsidRPr="00B4515A">
        <w:t>10.83%</w:t>
      </w:r>
      <w:r w:rsidRPr="00B4515A">
        <w:t>。由于标的公司向控股股东及关联方采购商品或服务所生产的最终产品为专用设备，采购的产品或服务均为定制产品或开发</w:t>
      </w:r>
      <w:r w:rsidRPr="00B4515A">
        <w:lastRenderedPageBreak/>
        <w:t>服务，标的公司需与供应商在技术层面深度合作，且由于所处行业的保密性要求等，标的公司优先选择集团内企业作为合作方。大唐联诚对于核心部件自主设计、生产，将非核心工序外协，合作方按照大唐联诚对</w:t>
      </w:r>
      <w:r w:rsidRPr="00B4515A">
        <w:rPr>
          <w:rFonts w:hint="eastAsia"/>
        </w:rPr>
        <w:t>产品的整体设计及参数设定等进行加工，满足了特通信息化自主可控的刚需。此外，标的公司向关联方采购的产品或服务，华为、中兴等厂商也可提供，标的公司的供应商可替代。公司对关联方在业务方面不存在重大依赖。</w:t>
      </w:r>
    </w:p>
    <w:p w14:paraId="3CDB9B5D" w14:textId="77777777" w:rsidR="006416B0" w:rsidRPr="00B4515A" w:rsidRDefault="005E58C1" w:rsidP="005860B4">
      <w:pPr>
        <w:pStyle w:val="004"/>
        <w:spacing w:before="120" w:after="120"/>
        <w:ind w:firstLine="482"/>
      </w:pPr>
      <w:r w:rsidRPr="00B4515A">
        <w:t>2</w:t>
      </w:r>
      <w:r w:rsidRPr="00B4515A">
        <w:t>、资产完整性</w:t>
      </w:r>
    </w:p>
    <w:p w14:paraId="4FE40C7C" w14:textId="77777777" w:rsidR="006416B0" w:rsidRPr="00B4515A" w:rsidRDefault="005E58C1" w:rsidP="005860B4">
      <w:pPr>
        <w:pStyle w:val="005"/>
        <w:spacing w:before="120" w:after="120"/>
        <w:ind w:firstLine="480"/>
      </w:pPr>
      <w:r w:rsidRPr="00B4515A">
        <w:rPr>
          <w:rFonts w:hint="eastAsia"/>
        </w:rPr>
        <w:t>标的公司具备与经营有关的业务体系，合法拥有与生产经营有关的房屋的使用权、商标、专利、软件著作权等主要资产，具有独立的采购和销售系统。标的公司的各项资产不存在产权权属纠纷或潜在的相关纠纷。</w:t>
      </w:r>
    </w:p>
    <w:p w14:paraId="7ABFD8BF" w14:textId="77777777" w:rsidR="006416B0" w:rsidRPr="00B4515A" w:rsidRDefault="005E58C1" w:rsidP="005860B4">
      <w:pPr>
        <w:pStyle w:val="004"/>
        <w:spacing w:before="120" w:after="120"/>
        <w:ind w:firstLine="482"/>
      </w:pPr>
      <w:r w:rsidRPr="00B4515A">
        <w:t>3</w:t>
      </w:r>
      <w:r w:rsidRPr="00B4515A">
        <w:t>、人员独立性</w:t>
      </w:r>
    </w:p>
    <w:p w14:paraId="2CEB0037" w14:textId="77777777" w:rsidR="006416B0" w:rsidRPr="00B4515A" w:rsidRDefault="005E58C1" w:rsidP="005860B4">
      <w:pPr>
        <w:pStyle w:val="005"/>
        <w:spacing w:before="120" w:after="120"/>
        <w:ind w:firstLine="480"/>
      </w:pPr>
      <w:r w:rsidRPr="00B4515A">
        <w:rPr>
          <w:rFonts w:hint="eastAsia"/>
        </w:rPr>
        <w:t>标的公司按照国家相关法律法规建立了劳动、人事和薪酬等管理制度，设立了人力资源部门，独立进行劳动、人事及薪酬管理。标的公司的总经理、副总经理等高级管理人员不存在在控股股东及其控制的其他企业中担任除董事、监事以外的其他职务，亦未在控股股东及其控制的其他企业领薪。标的公司的财务人员未在控股股东及其控制的其他企业中兼职。</w:t>
      </w:r>
    </w:p>
    <w:p w14:paraId="4E73F5F4" w14:textId="77777777" w:rsidR="006416B0" w:rsidRPr="00B4515A" w:rsidRDefault="005E58C1" w:rsidP="005860B4">
      <w:pPr>
        <w:pStyle w:val="004"/>
        <w:spacing w:before="120" w:after="120"/>
        <w:ind w:firstLine="482"/>
      </w:pPr>
      <w:r w:rsidRPr="00B4515A">
        <w:t>4</w:t>
      </w:r>
      <w:r w:rsidRPr="00B4515A">
        <w:t>、财务独立性</w:t>
      </w:r>
    </w:p>
    <w:p w14:paraId="51AF5F6A" w14:textId="77777777" w:rsidR="006416B0" w:rsidRPr="00B4515A" w:rsidRDefault="005E58C1" w:rsidP="005860B4">
      <w:pPr>
        <w:pStyle w:val="005"/>
        <w:spacing w:before="120" w:after="120"/>
        <w:ind w:firstLine="480"/>
      </w:pPr>
      <w:r w:rsidRPr="00B4515A">
        <w:rPr>
          <w:rFonts w:hint="eastAsia"/>
        </w:rPr>
        <w:t>标的公司设立了独立的财务部门，配备了专门的财务人员，建立了独立财务核算体系、财务管理制度，能够独立做出财务决策。标的公司在银行单独开立账户，不存在与控股股东及其控制的其他企业共用银行账户的情形。</w:t>
      </w:r>
    </w:p>
    <w:p w14:paraId="4FEC542D" w14:textId="77777777" w:rsidR="006416B0" w:rsidRPr="00B4515A" w:rsidRDefault="005E58C1" w:rsidP="005860B4">
      <w:pPr>
        <w:pStyle w:val="004"/>
        <w:spacing w:before="120" w:after="120"/>
        <w:ind w:firstLine="482"/>
      </w:pPr>
      <w:r w:rsidRPr="00B4515A">
        <w:t>5</w:t>
      </w:r>
      <w:r w:rsidRPr="00B4515A">
        <w:t>、机构独立性</w:t>
      </w:r>
    </w:p>
    <w:p w14:paraId="3866270D" w14:textId="77777777" w:rsidR="006416B0" w:rsidRPr="00B4515A" w:rsidRDefault="005E58C1" w:rsidP="005860B4">
      <w:pPr>
        <w:pStyle w:val="005"/>
        <w:spacing w:before="120" w:after="120"/>
        <w:ind w:firstLine="480"/>
      </w:pPr>
      <w:r w:rsidRPr="00B4515A">
        <w:rPr>
          <w:rFonts w:hint="eastAsia"/>
        </w:rPr>
        <w:t>标的公司已建立健全内部经营管理机构，独立行使经营管理职权。标的公司建立了适应自身发展需要的组织机构，各机构具有明确职能，制定了相应的内部管理与控制制度。公司各职能部门均独立履行其职能，开展生产经营活动，与控股股东及其控制的其他企业之间不存在机构混同的情形。</w:t>
      </w:r>
    </w:p>
    <w:p w14:paraId="41F4FC5B" w14:textId="77777777" w:rsidR="006416B0" w:rsidRPr="00B4515A" w:rsidRDefault="005E58C1" w:rsidP="005860B4">
      <w:pPr>
        <w:pStyle w:val="005"/>
        <w:spacing w:before="120" w:after="120"/>
        <w:ind w:firstLine="480"/>
      </w:pPr>
      <w:r w:rsidRPr="00B4515A">
        <w:rPr>
          <w:rFonts w:hint="eastAsia"/>
        </w:rPr>
        <w:t>综上，标的公司在业务、资产、财务、人员、机构等方面对电信科研院及关联方不具有重大依赖，具有独立性。</w:t>
      </w:r>
      <w:bookmarkEnd w:id="196"/>
    </w:p>
    <w:p w14:paraId="6E8218B4" w14:textId="77777777" w:rsidR="006416B0" w:rsidRPr="00B4515A" w:rsidRDefault="005E58C1" w:rsidP="005860B4">
      <w:pPr>
        <w:pStyle w:val="002"/>
        <w:spacing w:before="120" w:after="120"/>
        <w:ind w:firstLine="562"/>
      </w:pPr>
      <w:bookmarkStart w:id="197" w:name="_Toc6356415"/>
      <w:bookmarkStart w:id="198" w:name="_Toc65492081"/>
      <w:bookmarkStart w:id="199" w:name="_Toc80960541"/>
      <w:r w:rsidRPr="00B4515A">
        <w:rPr>
          <w:rFonts w:hint="eastAsia"/>
        </w:rPr>
        <w:lastRenderedPageBreak/>
        <w:t>七</w:t>
      </w:r>
      <w:r w:rsidRPr="00B4515A">
        <w:t>、</w:t>
      </w:r>
      <w:bookmarkEnd w:id="197"/>
      <w:r w:rsidRPr="00B4515A">
        <w:t>最近</w:t>
      </w:r>
      <w:r w:rsidRPr="00B4515A">
        <w:rPr>
          <w:rFonts w:hint="eastAsia"/>
        </w:rPr>
        <w:t>两</w:t>
      </w:r>
      <w:r w:rsidRPr="00B4515A">
        <w:t>年</w:t>
      </w:r>
      <w:r w:rsidRPr="00B4515A">
        <w:rPr>
          <w:rFonts w:hint="eastAsia"/>
        </w:rPr>
        <w:t>及一期</w:t>
      </w:r>
      <w:r w:rsidRPr="00B4515A">
        <w:t>的主要财务数据</w:t>
      </w:r>
      <w:bookmarkEnd w:id="198"/>
      <w:bookmarkEnd w:id="199"/>
    </w:p>
    <w:p w14:paraId="0FFAB5F1" w14:textId="77777777" w:rsidR="006416B0" w:rsidRPr="00B4515A" w:rsidRDefault="005E58C1" w:rsidP="005860B4">
      <w:pPr>
        <w:pStyle w:val="003"/>
        <w:spacing w:before="120"/>
        <w:ind w:firstLine="482"/>
        <w:rPr>
          <w:sz w:val="21"/>
          <w:szCs w:val="21"/>
        </w:rPr>
      </w:pPr>
      <w:r w:rsidRPr="00B4515A">
        <w:rPr>
          <w:rFonts w:hint="eastAsia"/>
        </w:rPr>
        <w:t>（一）主要财务数据</w:t>
      </w:r>
    </w:p>
    <w:p w14:paraId="20229E78" w14:textId="584E42E5" w:rsidR="006416B0" w:rsidRPr="00B4515A" w:rsidRDefault="00D44516" w:rsidP="00EE238F">
      <w:pPr>
        <w:keepNext/>
        <w:jc w:val="right"/>
        <w:rPr>
          <w:sz w:val="21"/>
          <w:szCs w:val="21"/>
        </w:rPr>
      </w:pPr>
      <w:r w:rsidRPr="00B4515A">
        <w:rPr>
          <w:rFonts w:hint="eastAsia"/>
          <w:sz w:val="21"/>
          <w:szCs w:val="21"/>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479"/>
        <w:gridCol w:w="1863"/>
        <w:gridCol w:w="1593"/>
        <w:gridCol w:w="1593"/>
      </w:tblGrid>
      <w:tr w:rsidR="006416B0" w:rsidRPr="00B4515A" w14:paraId="68F215D8" w14:textId="77777777" w:rsidTr="00EE238F">
        <w:trPr>
          <w:trHeight w:val="340"/>
          <w:jc w:val="center"/>
        </w:trPr>
        <w:tc>
          <w:tcPr>
            <w:tcW w:w="3320" w:type="dxa"/>
            <w:shd w:val="clear" w:color="auto" w:fill="auto"/>
            <w:tcMar>
              <w:top w:w="0" w:type="dxa"/>
              <w:left w:w="108" w:type="dxa"/>
              <w:bottom w:w="0" w:type="dxa"/>
              <w:right w:w="108" w:type="dxa"/>
            </w:tcMar>
            <w:vAlign w:val="center"/>
          </w:tcPr>
          <w:p w14:paraId="6B2612BF" w14:textId="77777777"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cs="Times New Roman" w:hint="eastAsia"/>
                <w:b/>
                <w:bCs/>
                <w:color w:val="000000"/>
                <w:sz w:val="21"/>
                <w:szCs w:val="21"/>
              </w:rPr>
              <w:t>项目</w:t>
            </w:r>
          </w:p>
        </w:tc>
        <w:tc>
          <w:tcPr>
            <w:tcW w:w="1778" w:type="dxa"/>
            <w:shd w:val="clear" w:color="auto" w:fill="auto"/>
            <w:tcMar>
              <w:top w:w="0" w:type="dxa"/>
              <w:left w:w="108" w:type="dxa"/>
              <w:bottom w:w="0" w:type="dxa"/>
              <w:right w:w="108" w:type="dxa"/>
            </w:tcMar>
            <w:vAlign w:val="center"/>
          </w:tcPr>
          <w:p w14:paraId="7B6A0711" w14:textId="77777777" w:rsidR="002C3B88"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2021-4-30/</w:t>
            </w:r>
          </w:p>
          <w:p w14:paraId="2EAA0939" w14:textId="1DC41E4F"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2021</w:t>
            </w:r>
            <w:r w:rsidRPr="00B4515A">
              <w:rPr>
                <w:rFonts w:cs="Times New Roman" w:hint="eastAsia"/>
                <w:b/>
                <w:bCs/>
                <w:color w:val="000000"/>
                <w:sz w:val="21"/>
                <w:szCs w:val="21"/>
              </w:rPr>
              <w:t>年1-4月</w:t>
            </w:r>
          </w:p>
        </w:tc>
        <w:tc>
          <w:tcPr>
            <w:tcW w:w="1520" w:type="dxa"/>
            <w:shd w:val="clear" w:color="auto" w:fill="auto"/>
            <w:tcMar>
              <w:top w:w="0" w:type="dxa"/>
              <w:left w:w="108" w:type="dxa"/>
              <w:bottom w:w="0" w:type="dxa"/>
              <w:right w:w="108" w:type="dxa"/>
            </w:tcMar>
            <w:vAlign w:val="center"/>
          </w:tcPr>
          <w:p w14:paraId="24BA3893" w14:textId="77777777" w:rsidR="002C3B88"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2020-12-31/</w:t>
            </w:r>
          </w:p>
          <w:p w14:paraId="4C308F78" w14:textId="07CB726D"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2020</w:t>
            </w:r>
            <w:r w:rsidRPr="00B4515A">
              <w:rPr>
                <w:rFonts w:cs="Times New Roman" w:hint="eastAsia"/>
                <w:b/>
                <w:bCs/>
                <w:color w:val="000000"/>
                <w:sz w:val="21"/>
                <w:szCs w:val="21"/>
              </w:rPr>
              <w:t>年度</w:t>
            </w:r>
          </w:p>
        </w:tc>
        <w:tc>
          <w:tcPr>
            <w:tcW w:w="1520" w:type="dxa"/>
            <w:shd w:val="clear" w:color="auto" w:fill="auto"/>
            <w:tcMar>
              <w:top w:w="0" w:type="dxa"/>
              <w:left w:w="108" w:type="dxa"/>
              <w:bottom w:w="0" w:type="dxa"/>
              <w:right w:w="108" w:type="dxa"/>
            </w:tcMar>
            <w:vAlign w:val="center"/>
          </w:tcPr>
          <w:p w14:paraId="39CA9E55" w14:textId="77777777" w:rsidR="002C3B88"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2019-12-31/</w:t>
            </w:r>
          </w:p>
          <w:p w14:paraId="7DFCDE88" w14:textId="22F17C24"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2019</w:t>
            </w:r>
            <w:r w:rsidRPr="00B4515A">
              <w:rPr>
                <w:rFonts w:cs="Times New Roman" w:hint="eastAsia"/>
                <w:b/>
                <w:bCs/>
                <w:color w:val="000000"/>
                <w:sz w:val="21"/>
                <w:szCs w:val="21"/>
              </w:rPr>
              <w:t>年度</w:t>
            </w:r>
          </w:p>
        </w:tc>
      </w:tr>
      <w:tr w:rsidR="006416B0" w:rsidRPr="00B4515A" w14:paraId="4D94EFF7"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2A3CE4D9"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资产总计</w:t>
            </w:r>
          </w:p>
        </w:tc>
        <w:tc>
          <w:tcPr>
            <w:tcW w:w="1778" w:type="dxa"/>
            <w:shd w:val="clear" w:color="auto" w:fill="auto"/>
            <w:tcMar>
              <w:top w:w="0" w:type="dxa"/>
              <w:left w:w="108" w:type="dxa"/>
              <w:bottom w:w="0" w:type="dxa"/>
              <w:right w:w="108" w:type="dxa"/>
            </w:tcMar>
            <w:vAlign w:val="center"/>
          </w:tcPr>
          <w:p w14:paraId="7D242974"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150,577.88</w:t>
            </w:r>
          </w:p>
        </w:tc>
        <w:tc>
          <w:tcPr>
            <w:tcW w:w="1520" w:type="dxa"/>
            <w:shd w:val="clear" w:color="auto" w:fill="auto"/>
            <w:tcMar>
              <w:top w:w="0" w:type="dxa"/>
              <w:left w:w="108" w:type="dxa"/>
              <w:bottom w:w="0" w:type="dxa"/>
              <w:right w:w="108" w:type="dxa"/>
            </w:tcMar>
            <w:vAlign w:val="center"/>
          </w:tcPr>
          <w:p w14:paraId="6F573210"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87,198.41</w:t>
            </w:r>
          </w:p>
        </w:tc>
        <w:tc>
          <w:tcPr>
            <w:tcW w:w="1520" w:type="dxa"/>
            <w:shd w:val="clear" w:color="auto" w:fill="auto"/>
            <w:tcMar>
              <w:top w:w="0" w:type="dxa"/>
              <w:left w:w="108" w:type="dxa"/>
              <w:bottom w:w="0" w:type="dxa"/>
              <w:right w:w="108" w:type="dxa"/>
            </w:tcMar>
            <w:vAlign w:val="center"/>
          </w:tcPr>
          <w:p w14:paraId="7F287171"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72,006.98</w:t>
            </w:r>
          </w:p>
        </w:tc>
      </w:tr>
      <w:tr w:rsidR="006416B0" w:rsidRPr="00B4515A" w14:paraId="33D533E5"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65C6B091"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负债合计</w:t>
            </w:r>
          </w:p>
        </w:tc>
        <w:tc>
          <w:tcPr>
            <w:tcW w:w="1778" w:type="dxa"/>
            <w:shd w:val="clear" w:color="auto" w:fill="auto"/>
            <w:tcMar>
              <w:top w:w="0" w:type="dxa"/>
              <w:left w:w="108" w:type="dxa"/>
              <w:bottom w:w="0" w:type="dxa"/>
              <w:right w:w="108" w:type="dxa"/>
            </w:tcMar>
            <w:vAlign w:val="center"/>
          </w:tcPr>
          <w:p w14:paraId="1270A2B7"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73,089.14</w:t>
            </w:r>
          </w:p>
        </w:tc>
        <w:tc>
          <w:tcPr>
            <w:tcW w:w="1520" w:type="dxa"/>
            <w:shd w:val="clear" w:color="auto" w:fill="auto"/>
            <w:tcMar>
              <w:top w:w="0" w:type="dxa"/>
              <w:left w:w="108" w:type="dxa"/>
              <w:bottom w:w="0" w:type="dxa"/>
              <w:right w:w="108" w:type="dxa"/>
            </w:tcMar>
            <w:vAlign w:val="center"/>
          </w:tcPr>
          <w:p w14:paraId="061EF983"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67,604.76</w:t>
            </w:r>
          </w:p>
        </w:tc>
        <w:tc>
          <w:tcPr>
            <w:tcW w:w="1520" w:type="dxa"/>
            <w:shd w:val="clear" w:color="auto" w:fill="auto"/>
            <w:tcMar>
              <w:top w:w="0" w:type="dxa"/>
              <w:left w:w="108" w:type="dxa"/>
              <w:bottom w:w="0" w:type="dxa"/>
              <w:right w:w="108" w:type="dxa"/>
            </w:tcMar>
            <w:vAlign w:val="center"/>
          </w:tcPr>
          <w:p w14:paraId="6D56BE73"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89,376.76</w:t>
            </w:r>
          </w:p>
        </w:tc>
      </w:tr>
      <w:tr w:rsidR="006416B0" w:rsidRPr="00B4515A" w14:paraId="65601355"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1534A43F"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归属于母公司所有者权益合计</w:t>
            </w:r>
          </w:p>
        </w:tc>
        <w:tc>
          <w:tcPr>
            <w:tcW w:w="1778" w:type="dxa"/>
            <w:shd w:val="clear" w:color="auto" w:fill="auto"/>
            <w:tcMar>
              <w:top w:w="0" w:type="dxa"/>
              <w:left w:w="108" w:type="dxa"/>
              <w:bottom w:w="0" w:type="dxa"/>
              <w:right w:w="108" w:type="dxa"/>
            </w:tcMar>
            <w:vAlign w:val="center"/>
          </w:tcPr>
          <w:p w14:paraId="1F8DC660"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77,488.74</w:t>
            </w:r>
          </w:p>
        </w:tc>
        <w:tc>
          <w:tcPr>
            <w:tcW w:w="1520" w:type="dxa"/>
            <w:shd w:val="clear" w:color="auto" w:fill="auto"/>
            <w:tcMar>
              <w:top w:w="0" w:type="dxa"/>
              <w:left w:w="108" w:type="dxa"/>
              <w:bottom w:w="0" w:type="dxa"/>
              <w:right w:w="108" w:type="dxa"/>
            </w:tcMar>
            <w:vAlign w:val="center"/>
          </w:tcPr>
          <w:p w14:paraId="1D002147"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19,593.66</w:t>
            </w:r>
          </w:p>
        </w:tc>
        <w:tc>
          <w:tcPr>
            <w:tcW w:w="1520" w:type="dxa"/>
            <w:shd w:val="clear" w:color="auto" w:fill="auto"/>
            <w:tcMar>
              <w:top w:w="0" w:type="dxa"/>
              <w:left w:w="108" w:type="dxa"/>
              <w:bottom w:w="0" w:type="dxa"/>
              <w:right w:w="108" w:type="dxa"/>
            </w:tcMar>
            <w:vAlign w:val="center"/>
          </w:tcPr>
          <w:p w14:paraId="29095073"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-17,369.78</w:t>
            </w:r>
          </w:p>
        </w:tc>
      </w:tr>
      <w:tr w:rsidR="006416B0" w:rsidRPr="00B4515A" w14:paraId="00EB0B1C"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31D28FA1"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所有者权益合计</w:t>
            </w:r>
          </w:p>
        </w:tc>
        <w:tc>
          <w:tcPr>
            <w:tcW w:w="1778" w:type="dxa"/>
            <w:shd w:val="clear" w:color="auto" w:fill="auto"/>
            <w:tcMar>
              <w:top w:w="0" w:type="dxa"/>
              <w:left w:w="108" w:type="dxa"/>
              <w:bottom w:w="0" w:type="dxa"/>
              <w:right w:w="108" w:type="dxa"/>
            </w:tcMar>
            <w:vAlign w:val="center"/>
          </w:tcPr>
          <w:p w14:paraId="75DCCE9B"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77,488.74</w:t>
            </w:r>
          </w:p>
        </w:tc>
        <w:tc>
          <w:tcPr>
            <w:tcW w:w="1520" w:type="dxa"/>
            <w:shd w:val="clear" w:color="auto" w:fill="auto"/>
            <w:tcMar>
              <w:top w:w="0" w:type="dxa"/>
              <w:left w:w="108" w:type="dxa"/>
              <w:bottom w:w="0" w:type="dxa"/>
              <w:right w:w="108" w:type="dxa"/>
            </w:tcMar>
            <w:vAlign w:val="center"/>
          </w:tcPr>
          <w:p w14:paraId="32EEF636"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19,593.66</w:t>
            </w:r>
          </w:p>
        </w:tc>
        <w:tc>
          <w:tcPr>
            <w:tcW w:w="1520" w:type="dxa"/>
            <w:shd w:val="clear" w:color="auto" w:fill="auto"/>
            <w:tcMar>
              <w:top w:w="0" w:type="dxa"/>
              <w:left w:w="108" w:type="dxa"/>
              <w:bottom w:w="0" w:type="dxa"/>
              <w:right w:w="108" w:type="dxa"/>
            </w:tcMar>
            <w:vAlign w:val="center"/>
          </w:tcPr>
          <w:p w14:paraId="146850A8"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-17,369.78</w:t>
            </w:r>
          </w:p>
        </w:tc>
      </w:tr>
      <w:tr w:rsidR="006416B0" w:rsidRPr="00B4515A" w14:paraId="07BC266B"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5415EEFD"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营业收入</w:t>
            </w:r>
          </w:p>
        </w:tc>
        <w:tc>
          <w:tcPr>
            <w:tcW w:w="1778" w:type="dxa"/>
            <w:shd w:val="clear" w:color="auto" w:fill="auto"/>
            <w:tcMar>
              <w:top w:w="0" w:type="dxa"/>
              <w:left w:w="108" w:type="dxa"/>
              <w:bottom w:w="0" w:type="dxa"/>
              <w:right w:w="108" w:type="dxa"/>
            </w:tcMar>
            <w:vAlign w:val="center"/>
          </w:tcPr>
          <w:p w14:paraId="687E3421"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12,758.79</w:t>
            </w:r>
          </w:p>
        </w:tc>
        <w:tc>
          <w:tcPr>
            <w:tcW w:w="1520" w:type="dxa"/>
            <w:shd w:val="clear" w:color="auto" w:fill="auto"/>
            <w:tcMar>
              <w:top w:w="0" w:type="dxa"/>
              <w:left w:w="108" w:type="dxa"/>
              <w:bottom w:w="0" w:type="dxa"/>
              <w:right w:w="108" w:type="dxa"/>
            </w:tcMar>
            <w:vAlign w:val="center"/>
          </w:tcPr>
          <w:p w14:paraId="4CA2C196"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55,282.98</w:t>
            </w:r>
          </w:p>
        </w:tc>
        <w:tc>
          <w:tcPr>
            <w:tcW w:w="1520" w:type="dxa"/>
            <w:shd w:val="clear" w:color="auto" w:fill="auto"/>
            <w:tcMar>
              <w:top w:w="0" w:type="dxa"/>
              <w:left w:w="108" w:type="dxa"/>
              <w:bottom w:w="0" w:type="dxa"/>
              <w:right w:w="108" w:type="dxa"/>
            </w:tcMar>
            <w:vAlign w:val="center"/>
          </w:tcPr>
          <w:p w14:paraId="1AE96B0A"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36,685.37</w:t>
            </w:r>
          </w:p>
        </w:tc>
      </w:tr>
      <w:tr w:rsidR="006416B0" w:rsidRPr="00B4515A" w14:paraId="330E1C93"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581A8ACC"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营业成本</w:t>
            </w:r>
          </w:p>
        </w:tc>
        <w:tc>
          <w:tcPr>
            <w:tcW w:w="1778" w:type="dxa"/>
            <w:shd w:val="clear" w:color="auto" w:fill="auto"/>
            <w:tcMar>
              <w:top w:w="0" w:type="dxa"/>
              <w:left w:w="108" w:type="dxa"/>
              <w:bottom w:w="0" w:type="dxa"/>
              <w:right w:w="108" w:type="dxa"/>
            </w:tcMar>
            <w:vAlign w:val="center"/>
          </w:tcPr>
          <w:p w14:paraId="0D4B893B"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5,027.65</w:t>
            </w:r>
          </w:p>
        </w:tc>
        <w:tc>
          <w:tcPr>
            <w:tcW w:w="1520" w:type="dxa"/>
            <w:shd w:val="clear" w:color="auto" w:fill="auto"/>
            <w:tcMar>
              <w:top w:w="0" w:type="dxa"/>
              <w:left w:w="108" w:type="dxa"/>
              <w:bottom w:w="0" w:type="dxa"/>
              <w:right w:w="108" w:type="dxa"/>
            </w:tcMar>
            <w:vAlign w:val="center"/>
          </w:tcPr>
          <w:p w14:paraId="25DC5D19"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28,085.97</w:t>
            </w:r>
          </w:p>
        </w:tc>
        <w:tc>
          <w:tcPr>
            <w:tcW w:w="1520" w:type="dxa"/>
            <w:shd w:val="clear" w:color="auto" w:fill="auto"/>
            <w:tcMar>
              <w:top w:w="0" w:type="dxa"/>
              <w:left w:w="108" w:type="dxa"/>
              <w:bottom w:w="0" w:type="dxa"/>
              <w:right w:w="108" w:type="dxa"/>
            </w:tcMar>
            <w:vAlign w:val="center"/>
          </w:tcPr>
          <w:p w14:paraId="11EC588F"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17,226.00</w:t>
            </w:r>
          </w:p>
        </w:tc>
      </w:tr>
      <w:tr w:rsidR="006416B0" w:rsidRPr="00B4515A" w14:paraId="51F2850F"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3F6AF6D7"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营业利润</w:t>
            </w:r>
          </w:p>
        </w:tc>
        <w:tc>
          <w:tcPr>
            <w:tcW w:w="1778" w:type="dxa"/>
            <w:shd w:val="clear" w:color="auto" w:fill="auto"/>
            <w:tcMar>
              <w:top w:w="0" w:type="dxa"/>
              <w:left w:w="108" w:type="dxa"/>
              <w:bottom w:w="0" w:type="dxa"/>
              <w:right w:w="108" w:type="dxa"/>
            </w:tcMar>
            <w:vAlign w:val="center"/>
          </w:tcPr>
          <w:p w14:paraId="058C5BDE"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793.78</w:t>
            </w:r>
          </w:p>
        </w:tc>
        <w:tc>
          <w:tcPr>
            <w:tcW w:w="1520" w:type="dxa"/>
            <w:shd w:val="clear" w:color="auto" w:fill="auto"/>
            <w:tcMar>
              <w:top w:w="0" w:type="dxa"/>
              <w:left w:w="108" w:type="dxa"/>
              <w:bottom w:w="0" w:type="dxa"/>
              <w:right w:w="108" w:type="dxa"/>
            </w:tcMar>
            <w:vAlign w:val="center"/>
          </w:tcPr>
          <w:p w14:paraId="74AD0B3E"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4,052.72</w:t>
            </w:r>
          </w:p>
        </w:tc>
        <w:tc>
          <w:tcPr>
            <w:tcW w:w="1520" w:type="dxa"/>
            <w:shd w:val="clear" w:color="auto" w:fill="auto"/>
            <w:tcMar>
              <w:top w:w="0" w:type="dxa"/>
              <w:left w:w="108" w:type="dxa"/>
              <w:bottom w:w="0" w:type="dxa"/>
              <w:right w:w="108" w:type="dxa"/>
            </w:tcMar>
            <w:vAlign w:val="center"/>
          </w:tcPr>
          <w:p w14:paraId="2D95412F"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873.53</w:t>
            </w:r>
          </w:p>
        </w:tc>
      </w:tr>
      <w:tr w:rsidR="006416B0" w:rsidRPr="00B4515A" w14:paraId="6A190CC8"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5FE77A3F"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利润总额</w:t>
            </w:r>
          </w:p>
        </w:tc>
        <w:tc>
          <w:tcPr>
            <w:tcW w:w="1778" w:type="dxa"/>
            <w:shd w:val="clear" w:color="auto" w:fill="auto"/>
            <w:tcMar>
              <w:top w:w="0" w:type="dxa"/>
              <w:left w:w="108" w:type="dxa"/>
              <w:bottom w:w="0" w:type="dxa"/>
              <w:right w:w="108" w:type="dxa"/>
            </w:tcMar>
            <w:vAlign w:val="center"/>
          </w:tcPr>
          <w:p w14:paraId="4E49AF02"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780.09</w:t>
            </w:r>
          </w:p>
        </w:tc>
        <w:tc>
          <w:tcPr>
            <w:tcW w:w="1520" w:type="dxa"/>
            <w:shd w:val="clear" w:color="auto" w:fill="auto"/>
            <w:tcMar>
              <w:top w:w="0" w:type="dxa"/>
              <w:left w:w="108" w:type="dxa"/>
              <w:bottom w:w="0" w:type="dxa"/>
              <w:right w:w="108" w:type="dxa"/>
            </w:tcMar>
            <w:vAlign w:val="center"/>
          </w:tcPr>
          <w:p w14:paraId="7BCBBDAF"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4,206.85</w:t>
            </w:r>
          </w:p>
        </w:tc>
        <w:tc>
          <w:tcPr>
            <w:tcW w:w="1520" w:type="dxa"/>
            <w:shd w:val="clear" w:color="auto" w:fill="auto"/>
            <w:tcMar>
              <w:top w:w="0" w:type="dxa"/>
              <w:left w:w="108" w:type="dxa"/>
              <w:bottom w:w="0" w:type="dxa"/>
              <w:right w:w="108" w:type="dxa"/>
            </w:tcMar>
            <w:vAlign w:val="center"/>
          </w:tcPr>
          <w:p w14:paraId="5238DA3C"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816.06</w:t>
            </w:r>
          </w:p>
        </w:tc>
      </w:tr>
      <w:tr w:rsidR="006416B0" w:rsidRPr="00B4515A" w14:paraId="4A2E8EFA"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5E0C3E74"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归属于母公司股东的净利润</w:t>
            </w:r>
          </w:p>
        </w:tc>
        <w:tc>
          <w:tcPr>
            <w:tcW w:w="1778" w:type="dxa"/>
            <w:shd w:val="clear" w:color="auto" w:fill="auto"/>
            <w:tcMar>
              <w:top w:w="0" w:type="dxa"/>
              <w:left w:w="108" w:type="dxa"/>
              <w:bottom w:w="0" w:type="dxa"/>
              <w:right w:w="108" w:type="dxa"/>
            </w:tcMar>
            <w:vAlign w:val="center"/>
          </w:tcPr>
          <w:p w14:paraId="16C4D444"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780.09</w:t>
            </w:r>
          </w:p>
        </w:tc>
        <w:tc>
          <w:tcPr>
            <w:tcW w:w="1520" w:type="dxa"/>
            <w:shd w:val="clear" w:color="auto" w:fill="auto"/>
            <w:tcMar>
              <w:top w:w="0" w:type="dxa"/>
              <w:left w:w="108" w:type="dxa"/>
              <w:bottom w:w="0" w:type="dxa"/>
              <w:right w:w="108" w:type="dxa"/>
            </w:tcMar>
            <w:vAlign w:val="center"/>
          </w:tcPr>
          <w:p w14:paraId="180FEC4D"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4,206.85</w:t>
            </w:r>
          </w:p>
        </w:tc>
        <w:tc>
          <w:tcPr>
            <w:tcW w:w="1520" w:type="dxa"/>
            <w:shd w:val="clear" w:color="auto" w:fill="auto"/>
            <w:tcMar>
              <w:top w:w="0" w:type="dxa"/>
              <w:left w:w="108" w:type="dxa"/>
              <w:bottom w:w="0" w:type="dxa"/>
              <w:right w:w="108" w:type="dxa"/>
            </w:tcMar>
            <w:vAlign w:val="center"/>
          </w:tcPr>
          <w:p w14:paraId="35E91745"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1,785.66</w:t>
            </w:r>
          </w:p>
        </w:tc>
      </w:tr>
      <w:tr w:rsidR="006416B0" w:rsidRPr="00B4515A" w14:paraId="2DCF65BC"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772FEFA6"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归属于母公司股东扣除非经常性损益后的净利润</w:t>
            </w:r>
          </w:p>
        </w:tc>
        <w:tc>
          <w:tcPr>
            <w:tcW w:w="1778" w:type="dxa"/>
            <w:shd w:val="clear" w:color="auto" w:fill="auto"/>
            <w:tcMar>
              <w:top w:w="0" w:type="dxa"/>
              <w:left w:w="108" w:type="dxa"/>
              <w:bottom w:w="0" w:type="dxa"/>
              <w:right w:w="108" w:type="dxa"/>
            </w:tcMar>
            <w:vAlign w:val="center"/>
          </w:tcPr>
          <w:p w14:paraId="0509A38D"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793.78</w:t>
            </w:r>
          </w:p>
        </w:tc>
        <w:tc>
          <w:tcPr>
            <w:tcW w:w="1520" w:type="dxa"/>
            <w:shd w:val="clear" w:color="auto" w:fill="auto"/>
            <w:tcMar>
              <w:top w:w="0" w:type="dxa"/>
              <w:left w:w="108" w:type="dxa"/>
              <w:bottom w:w="0" w:type="dxa"/>
              <w:right w:w="108" w:type="dxa"/>
            </w:tcMar>
            <w:vAlign w:val="center"/>
          </w:tcPr>
          <w:p w14:paraId="5DD40F98"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4,040.43</w:t>
            </w:r>
          </w:p>
        </w:tc>
        <w:tc>
          <w:tcPr>
            <w:tcW w:w="1520" w:type="dxa"/>
            <w:shd w:val="clear" w:color="auto" w:fill="auto"/>
            <w:tcMar>
              <w:top w:w="0" w:type="dxa"/>
              <w:left w:w="108" w:type="dxa"/>
              <w:bottom w:w="0" w:type="dxa"/>
              <w:right w:w="108" w:type="dxa"/>
            </w:tcMar>
            <w:vAlign w:val="center"/>
          </w:tcPr>
          <w:p w14:paraId="2B671CFA" w14:textId="253441ED" w:rsidR="006416B0" w:rsidRPr="00B4515A" w:rsidRDefault="007E784E"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243.27</w:t>
            </w:r>
          </w:p>
        </w:tc>
      </w:tr>
      <w:tr w:rsidR="006416B0" w:rsidRPr="00B4515A" w14:paraId="3FA63FD5"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087E98A5"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经营活动产生的现金流量净额</w:t>
            </w:r>
          </w:p>
        </w:tc>
        <w:tc>
          <w:tcPr>
            <w:tcW w:w="1778" w:type="dxa"/>
            <w:shd w:val="clear" w:color="auto" w:fill="auto"/>
            <w:tcMar>
              <w:top w:w="0" w:type="dxa"/>
              <w:left w:w="108" w:type="dxa"/>
              <w:bottom w:w="0" w:type="dxa"/>
              <w:right w:w="108" w:type="dxa"/>
            </w:tcMar>
            <w:vAlign w:val="center"/>
          </w:tcPr>
          <w:p w14:paraId="7BB2A005"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-2,116.56</w:t>
            </w:r>
          </w:p>
        </w:tc>
        <w:tc>
          <w:tcPr>
            <w:tcW w:w="1520" w:type="dxa"/>
            <w:shd w:val="clear" w:color="auto" w:fill="auto"/>
            <w:tcMar>
              <w:top w:w="0" w:type="dxa"/>
              <w:left w:w="108" w:type="dxa"/>
              <w:bottom w:w="0" w:type="dxa"/>
              <w:right w:w="108" w:type="dxa"/>
            </w:tcMar>
            <w:vAlign w:val="center"/>
          </w:tcPr>
          <w:p w14:paraId="0EB1D4DC"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1,756.91</w:t>
            </w:r>
          </w:p>
        </w:tc>
        <w:tc>
          <w:tcPr>
            <w:tcW w:w="1520" w:type="dxa"/>
            <w:shd w:val="clear" w:color="auto" w:fill="auto"/>
            <w:tcMar>
              <w:top w:w="0" w:type="dxa"/>
              <w:left w:w="108" w:type="dxa"/>
              <w:bottom w:w="0" w:type="dxa"/>
              <w:right w:w="108" w:type="dxa"/>
            </w:tcMar>
            <w:vAlign w:val="center"/>
          </w:tcPr>
          <w:p w14:paraId="573FA4E8"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-3,902.03</w:t>
            </w:r>
          </w:p>
        </w:tc>
      </w:tr>
      <w:tr w:rsidR="006416B0" w:rsidRPr="00B4515A" w14:paraId="0832F396"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67EBA944"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投资活动产生的现金流量净额</w:t>
            </w:r>
          </w:p>
        </w:tc>
        <w:tc>
          <w:tcPr>
            <w:tcW w:w="1778" w:type="dxa"/>
            <w:shd w:val="clear" w:color="auto" w:fill="auto"/>
            <w:tcMar>
              <w:top w:w="0" w:type="dxa"/>
              <w:left w:w="108" w:type="dxa"/>
              <w:bottom w:w="0" w:type="dxa"/>
              <w:right w:w="108" w:type="dxa"/>
            </w:tcMar>
            <w:vAlign w:val="center"/>
          </w:tcPr>
          <w:p w14:paraId="56C97C34" w14:textId="60D1FA8F" w:rsidR="006416B0" w:rsidRPr="00B4515A" w:rsidRDefault="007642F2"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hint="eastAsia"/>
                <w:color w:val="000000"/>
                <w:sz w:val="21"/>
                <w:szCs w:val="21"/>
              </w:rPr>
              <w:t>-</w:t>
            </w:r>
          </w:p>
        </w:tc>
        <w:tc>
          <w:tcPr>
            <w:tcW w:w="1520" w:type="dxa"/>
            <w:shd w:val="clear" w:color="auto" w:fill="auto"/>
            <w:tcMar>
              <w:top w:w="0" w:type="dxa"/>
              <w:left w:w="108" w:type="dxa"/>
              <w:bottom w:w="0" w:type="dxa"/>
              <w:right w:w="108" w:type="dxa"/>
            </w:tcMar>
            <w:vAlign w:val="center"/>
          </w:tcPr>
          <w:p w14:paraId="0AAEC351" w14:textId="72863B81"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-121.</w:t>
            </w:r>
            <w:r w:rsidR="007642F2" w:rsidRPr="00B4515A">
              <w:rPr>
                <w:rFonts w:ascii="Times New Roman" w:hAnsi="Times New Roman" w:cs="Times New Roman"/>
                <w:color w:val="000000"/>
                <w:sz w:val="21"/>
                <w:szCs w:val="21"/>
              </w:rPr>
              <w:t>90</w:t>
            </w:r>
          </w:p>
        </w:tc>
        <w:tc>
          <w:tcPr>
            <w:tcW w:w="1520" w:type="dxa"/>
            <w:shd w:val="clear" w:color="auto" w:fill="auto"/>
            <w:tcMar>
              <w:top w:w="0" w:type="dxa"/>
              <w:left w:w="108" w:type="dxa"/>
              <w:bottom w:w="0" w:type="dxa"/>
              <w:right w:w="108" w:type="dxa"/>
            </w:tcMar>
            <w:vAlign w:val="center"/>
          </w:tcPr>
          <w:p w14:paraId="6D87A788" w14:textId="22A5B1DC"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191.</w:t>
            </w:r>
            <w:r w:rsidR="007642F2" w:rsidRPr="00B4515A">
              <w:rPr>
                <w:rFonts w:ascii="Times New Roman" w:hAnsi="Times New Roman" w:cs="Times New Roman"/>
                <w:color w:val="000000"/>
                <w:sz w:val="21"/>
                <w:szCs w:val="21"/>
              </w:rPr>
              <w:t>88</w:t>
            </w:r>
          </w:p>
        </w:tc>
      </w:tr>
      <w:tr w:rsidR="006416B0" w:rsidRPr="00B4515A" w14:paraId="311EBE0C"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25B7799E" w14:textId="7777777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cs="Times New Roman" w:hint="eastAsia"/>
                <w:color w:val="000000"/>
                <w:sz w:val="21"/>
                <w:szCs w:val="21"/>
              </w:rPr>
              <w:t>筹资活动产生的现金流量净额</w:t>
            </w:r>
          </w:p>
        </w:tc>
        <w:tc>
          <w:tcPr>
            <w:tcW w:w="1778" w:type="dxa"/>
            <w:shd w:val="clear" w:color="auto" w:fill="auto"/>
            <w:tcMar>
              <w:top w:w="0" w:type="dxa"/>
              <w:left w:w="108" w:type="dxa"/>
              <w:bottom w:w="0" w:type="dxa"/>
              <w:right w:w="108" w:type="dxa"/>
            </w:tcMar>
            <w:vAlign w:val="center"/>
          </w:tcPr>
          <w:p w14:paraId="0AC157C0"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53,956.80</w:t>
            </w:r>
          </w:p>
        </w:tc>
        <w:tc>
          <w:tcPr>
            <w:tcW w:w="1520" w:type="dxa"/>
            <w:shd w:val="clear" w:color="auto" w:fill="auto"/>
            <w:tcMar>
              <w:top w:w="0" w:type="dxa"/>
              <w:left w:w="108" w:type="dxa"/>
              <w:bottom w:w="0" w:type="dxa"/>
              <w:right w:w="108" w:type="dxa"/>
            </w:tcMar>
            <w:vAlign w:val="center"/>
          </w:tcPr>
          <w:p w14:paraId="365020D1"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3,562.02</w:t>
            </w:r>
          </w:p>
        </w:tc>
        <w:tc>
          <w:tcPr>
            <w:tcW w:w="1520" w:type="dxa"/>
            <w:shd w:val="clear" w:color="auto" w:fill="auto"/>
            <w:tcMar>
              <w:top w:w="0" w:type="dxa"/>
              <w:left w:w="108" w:type="dxa"/>
              <w:bottom w:w="0" w:type="dxa"/>
              <w:right w:w="108" w:type="dxa"/>
            </w:tcMar>
            <w:vAlign w:val="center"/>
          </w:tcPr>
          <w:p w14:paraId="3B07B104"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4,019.11</w:t>
            </w:r>
          </w:p>
        </w:tc>
      </w:tr>
      <w:tr w:rsidR="006416B0" w:rsidRPr="00B4515A" w14:paraId="2E093752"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036D92CD"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现金及现金等价物净增加额</w:t>
            </w:r>
          </w:p>
        </w:tc>
        <w:tc>
          <w:tcPr>
            <w:tcW w:w="1778" w:type="dxa"/>
            <w:shd w:val="clear" w:color="auto" w:fill="auto"/>
            <w:tcMar>
              <w:top w:w="0" w:type="dxa"/>
              <w:left w:w="108" w:type="dxa"/>
              <w:bottom w:w="0" w:type="dxa"/>
              <w:right w:w="108" w:type="dxa"/>
            </w:tcMar>
            <w:vAlign w:val="center"/>
          </w:tcPr>
          <w:p w14:paraId="1DA57E0B"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51,840.23</w:t>
            </w:r>
          </w:p>
        </w:tc>
        <w:tc>
          <w:tcPr>
            <w:tcW w:w="1520" w:type="dxa"/>
            <w:shd w:val="clear" w:color="auto" w:fill="auto"/>
            <w:tcMar>
              <w:top w:w="0" w:type="dxa"/>
              <w:left w:w="108" w:type="dxa"/>
              <w:bottom w:w="0" w:type="dxa"/>
              <w:right w:w="108" w:type="dxa"/>
            </w:tcMar>
            <w:vAlign w:val="center"/>
          </w:tcPr>
          <w:p w14:paraId="70E12EFB"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5,197.03</w:t>
            </w:r>
          </w:p>
        </w:tc>
        <w:tc>
          <w:tcPr>
            <w:tcW w:w="1520" w:type="dxa"/>
            <w:shd w:val="clear" w:color="auto" w:fill="auto"/>
            <w:tcMar>
              <w:top w:w="0" w:type="dxa"/>
              <w:left w:w="108" w:type="dxa"/>
              <w:bottom w:w="0" w:type="dxa"/>
              <w:right w:w="108" w:type="dxa"/>
            </w:tcMar>
            <w:vAlign w:val="center"/>
          </w:tcPr>
          <w:p w14:paraId="09D43BDD"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308.96</w:t>
            </w:r>
          </w:p>
        </w:tc>
      </w:tr>
    </w:tbl>
    <w:p w14:paraId="329C1ACF" w14:textId="77777777" w:rsidR="006416B0" w:rsidRPr="00B4515A" w:rsidRDefault="005E58C1" w:rsidP="005860B4">
      <w:pPr>
        <w:pStyle w:val="003"/>
        <w:spacing w:before="120"/>
        <w:ind w:firstLine="482"/>
      </w:pPr>
      <w:r w:rsidRPr="00B4515A">
        <w:rPr>
          <w:rFonts w:hint="eastAsia"/>
        </w:rPr>
        <w:t>（二）主要财务比率</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479"/>
        <w:gridCol w:w="1863"/>
        <w:gridCol w:w="1593"/>
        <w:gridCol w:w="1593"/>
      </w:tblGrid>
      <w:tr w:rsidR="006416B0" w:rsidRPr="00B4515A" w14:paraId="247137D4"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29BD3EC2" w14:textId="77777777"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hAnsi="Times New Roman" w:cs="Times New Roman"/>
                <w:b/>
                <w:bCs/>
                <w:color w:val="000000"/>
                <w:sz w:val="21"/>
                <w:szCs w:val="21"/>
              </w:rPr>
              <w:t>项目</w:t>
            </w:r>
          </w:p>
        </w:tc>
        <w:tc>
          <w:tcPr>
            <w:tcW w:w="1778" w:type="dxa"/>
            <w:shd w:val="clear" w:color="auto" w:fill="auto"/>
            <w:tcMar>
              <w:top w:w="0" w:type="dxa"/>
              <w:left w:w="108" w:type="dxa"/>
              <w:bottom w:w="0" w:type="dxa"/>
              <w:right w:w="108" w:type="dxa"/>
            </w:tcMar>
            <w:vAlign w:val="center"/>
          </w:tcPr>
          <w:p w14:paraId="1574730C" w14:textId="77777777" w:rsidR="002C3B88"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2021-4-30/</w:t>
            </w:r>
          </w:p>
          <w:p w14:paraId="5C1D5DDC" w14:textId="49A51146"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2021</w:t>
            </w:r>
            <w:r w:rsidRPr="00B4515A">
              <w:rPr>
                <w:rFonts w:ascii="Times New Roman" w:hAnsi="Times New Roman" w:cs="Times New Roman"/>
                <w:b/>
                <w:bCs/>
                <w:color w:val="000000"/>
                <w:sz w:val="21"/>
                <w:szCs w:val="21"/>
              </w:rPr>
              <w:t>年</w:t>
            </w:r>
            <w:r w:rsidRPr="00B4515A">
              <w:rPr>
                <w:rFonts w:ascii="Times New Roman" w:hAnsi="Times New Roman" w:cs="Times New Roman"/>
                <w:b/>
                <w:bCs/>
                <w:color w:val="000000"/>
                <w:sz w:val="21"/>
                <w:szCs w:val="21"/>
              </w:rPr>
              <w:t>1-4</w:t>
            </w:r>
            <w:r w:rsidRPr="00B4515A">
              <w:rPr>
                <w:rFonts w:ascii="Times New Roman" w:hAnsi="Times New Roman" w:cs="Times New Roman"/>
                <w:b/>
                <w:bCs/>
                <w:color w:val="000000"/>
                <w:sz w:val="21"/>
                <w:szCs w:val="21"/>
              </w:rPr>
              <w:t>月</w:t>
            </w:r>
          </w:p>
        </w:tc>
        <w:tc>
          <w:tcPr>
            <w:tcW w:w="1520" w:type="dxa"/>
            <w:shd w:val="clear" w:color="auto" w:fill="auto"/>
            <w:tcMar>
              <w:top w:w="0" w:type="dxa"/>
              <w:left w:w="108" w:type="dxa"/>
              <w:bottom w:w="0" w:type="dxa"/>
              <w:right w:w="108" w:type="dxa"/>
            </w:tcMar>
            <w:vAlign w:val="center"/>
          </w:tcPr>
          <w:p w14:paraId="387A450E" w14:textId="77777777" w:rsidR="002C3B88"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2020-12-31/</w:t>
            </w:r>
          </w:p>
          <w:p w14:paraId="6DA6A267" w14:textId="5C9487CA"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2020</w:t>
            </w:r>
            <w:r w:rsidRPr="00B4515A">
              <w:rPr>
                <w:rFonts w:ascii="Times New Roman" w:hAnsi="Times New Roman" w:cs="Times New Roman"/>
                <w:b/>
                <w:bCs/>
                <w:color w:val="000000"/>
                <w:sz w:val="21"/>
                <w:szCs w:val="21"/>
              </w:rPr>
              <w:t>年度</w:t>
            </w:r>
          </w:p>
        </w:tc>
        <w:tc>
          <w:tcPr>
            <w:tcW w:w="1520" w:type="dxa"/>
            <w:shd w:val="clear" w:color="auto" w:fill="auto"/>
            <w:tcMar>
              <w:top w:w="0" w:type="dxa"/>
              <w:left w:w="108" w:type="dxa"/>
              <w:bottom w:w="0" w:type="dxa"/>
              <w:right w:w="108" w:type="dxa"/>
            </w:tcMar>
            <w:vAlign w:val="center"/>
          </w:tcPr>
          <w:p w14:paraId="404D4354" w14:textId="77777777" w:rsidR="002C3B88"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2019-12-31/</w:t>
            </w:r>
          </w:p>
          <w:p w14:paraId="2CB12F52" w14:textId="492A36A9"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2019</w:t>
            </w:r>
            <w:r w:rsidRPr="00B4515A">
              <w:rPr>
                <w:rFonts w:ascii="Times New Roman" w:hAnsi="Times New Roman" w:cs="Times New Roman"/>
                <w:b/>
                <w:bCs/>
                <w:color w:val="000000"/>
                <w:sz w:val="21"/>
                <w:szCs w:val="21"/>
              </w:rPr>
              <w:t>年度</w:t>
            </w:r>
          </w:p>
        </w:tc>
      </w:tr>
      <w:tr w:rsidR="006416B0" w:rsidRPr="00B4515A" w14:paraId="471BF28F"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26778E18" w14:textId="65E64F79"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资产负债率</w:t>
            </w:r>
          </w:p>
        </w:tc>
        <w:tc>
          <w:tcPr>
            <w:tcW w:w="1778" w:type="dxa"/>
            <w:shd w:val="clear" w:color="auto" w:fill="auto"/>
            <w:tcMar>
              <w:top w:w="0" w:type="dxa"/>
              <w:left w:w="108" w:type="dxa"/>
              <w:bottom w:w="0" w:type="dxa"/>
              <w:right w:w="108" w:type="dxa"/>
            </w:tcMar>
            <w:vAlign w:val="center"/>
          </w:tcPr>
          <w:p w14:paraId="5392EC89"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48.54%</w:t>
            </w:r>
          </w:p>
        </w:tc>
        <w:tc>
          <w:tcPr>
            <w:tcW w:w="1520" w:type="dxa"/>
            <w:shd w:val="clear" w:color="auto" w:fill="auto"/>
            <w:tcMar>
              <w:top w:w="0" w:type="dxa"/>
              <w:left w:w="108" w:type="dxa"/>
              <w:bottom w:w="0" w:type="dxa"/>
              <w:right w:w="108" w:type="dxa"/>
            </w:tcMar>
            <w:vAlign w:val="center"/>
          </w:tcPr>
          <w:p w14:paraId="468917FD"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77.53%</w:t>
            </w:r>
          </w:p>
        </w:tc>
        <w:tc>
          <w:tcPr>
            <w:tcW w:w="1520" w:type="dxa"/>
            <w:shd w:val="clear" w:color="auto" w:fill="auto"/>
            <w:tcMar>
              <w:top w:w="0" w:type="dxa"/>
              <w:left w:w="108" w:type="dxa"/>
              <w:bottom w:w="0" w:type="dxa"/>
              <w:right w:w="108" w:type="dxa"/>
            </w:tcMar>
            <w:vAlign w:val="center"/>
          </w:tcPr>
          <w:p w14:paraId="146A250C"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124.12%</w:t>
            </w:r>
          </w:p>
        </w:tc>
      </w:tr>
      <w:tr w:rsidR="006416B0" w:rsidRPr="00B4515A" w14:paraId="3FBB15F8"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16353071" w14:textId="42C31126"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流动比率</w:t>
            </w:r>
            <w:r w:rsidR="00070A24" w:rsidRPr="00B4515A">
              <w:rPr>
                <w:rFonts w:ascii="Times New Roman" w:hAnsi="Times New Roman" w:cs="Times New Roman"/>
                <w:color w:val="000000"/>
                <w:sz w:val="21"/>
                <w:szCs w:val="21"/>
              </w:rPr>
              <w:t>（倍）</w:t>
            </w:r>
          </w:p>
        </w:tc>
        <w:tc>
          <w:tcPr>
            <w:tcW w:w="1778" w:type="dxa"/>
            <w:shd w:val="clear" w:color="auto" w:fill="auto"/>
            <w:tcMar>
              <w:top w:w="0" w:type="dxa"/>
              <w:left w:w="108" w:type="dxa"/>
              <w:bottom w:w="0" w:type="dxa"/>
              <w:right w:w="108" w:type="dxa"/>
            </w:tcMar>
            <w:vAlign w:val="center"/>
          </w:tcPr>
          <w:p w14:paraId="11902663"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 xml:space="preserve">1.73 </w:t>
            </w:r>
          </w:p>
        </w:tc>
        <w:tc>
          <w:tcPr>
            <w:tcW w:w="1520" w:type="dxa"/>
            <w:shd w:val="clear" w:color="auto" w:fill="auto"/>
            <w:tcMar>
              <w:top w:w="0" w:type="dxa"/>
              <w:left w:w="108" w:type="dxa"/>
              <w:bottom w:w="0" w:type="dxa"/>
              <w:right w:w="108" w:type="dxa"/>
            </w:tcMar>
            <w:vAlign w:val="center"/>
          </w:tcPr>
          <w:p w14:paraId="621D5471"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 xml:space="preserve">0.89 </w:t>
            </w:r>
          </w:p>
        </w:tc>
        <w:tc>
          <w:tcPr>
            <w:tcW w:w="1520" w:type="dxa"/>
            <w:shd w:val="clear" w:color="auto" w:fill="auto"/>
            <w:tcMar>
              <w:top w:w="0" w:type="dxa"/>
              <w:left w:w="108" w:type="dxa"/>
              <w:bottom w:w="0" w:type="dxa"/>
              <w:right w:w="108" w:type="dxa"/>
            </w:tcMar>
            <w:vAlign w:val="center"/>
          </w:tcPr>
          <w:p w14:paraId="1A3D60E6"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 xml:space="preserve">0.53 </w:t>
            </w:r>
          </w:p>
        </w:tc>
      </w:tr>
      <w:tr w:rsidR="006416B0" w:rsidRPr="00B4515A" w14:paraId="0B6133C1"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0746B0B3" w14:textId="07B212D7" w:rsidR="006416B0" w:rsidRPr="00B4515A" w:rsidRDefault="005E58C1" w:rsidP="005860B4">
            <w:pPr>
              <w:adjustRightInd w:val="0"/>
              <w:snapToGrid w:val="0"/>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速动比率</w:t>
            </w:r>
            <w:r w:rsidR="00070A24" w:rsidRPr="00B4515A">
              <w:rPr>
                <w:rFonts w:ascii="Times New Roman" w:hAnsi="Times New Roman" w:cs="Times New Roman"/>
                <w:color w:val="000000"/>
                <w:sz w:val="21"/>
                <w:szCs w:val="21"/>
              </w:rPr>
              <w:t>（倍）</w:t>
            </w:r>
          </w:p>
        </w:tc>
        <w:tc>
          <w:tcPr>
            <w:tcW w:w="1778" w:type="dxa"/>
            <w:shd w:val="clear" w:color="auto" w:fill="auto"/>
            <w:tcMar>
              <w:top w:w="0" w:type="dxa"/>
              <w:left w:w="108" w:type="dxa"/>
              <w:bottom w:w="0" w:type="dxa"/>
              <w:right w:w="108" w:type="dxa"/>
            </w:tcMar>
            <w:vAlign w:val="center"/>
          </w:tcPr>
          <w:p w14:paraId="3DF58231"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 xml:space="preserve">1.42 </w:t>
            </w:r>
          </w:p>
        </w:tc>
        <w:tc>
          <w:tcPr>
            <w:tcW w:w="1520" w:type="dxa"/>
            <w:shd w:val="clear" w:color="auto" w:fill="auto"/>
            <w:tcMar>
              <w:top w:w="0" w:type="dxa"/>
              <w:left w:w="108" w:type="dxa"/>
              <w:bottom w:w="0" w:type="dxa"/>
              <w:right w:w="108" w:type="dxa"/>
            </w:tcMar>
            <w:vAlign w:val="center"/>
          </w:tcPr>
          <w:p w14:paraId="0E90705D"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 xml:space="preserve">0.64 </w:t>
            </w:r>
          </w:p>
        </w:tc>
        <w:tc>
          <w:tcPr>
            <w:tcW w:w="1520" w:type="dxa"/>
            <w:shd w:val="clear" w:color="auto" w:fill="auto"/>
            <w:tcMar>
              <w:top w:w="0" w:type="dxa"/>
              <w:left w:w="108" w:type="dxa"/>
              <w:bottom w:w="0" w:type="dxa"/>
              <w:right w:w="108" w:type="dxa"/>
            </w:tcMar>
            <w:vAlign w:val="center"/>
          </w:tcPr>
          <w:p w14:paraId="56335C1A"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 xml:space="preserve">0.37 </w:t>
            </w:r>
          </w:p>
        </w:tc>
      </w:tr>
      <w:tr w:rsidR="006416B0" w:rsidRPr="00B4515A" w14:paraId="2BDC2C04" w14:textId="77777777" w:rsidTr="00031627">
        <w:trPr>
          <w:trHeight w:val="340"/>
          <w:jc w:val="center"/>
        </w:trPr>
        <w:tc>
          <w:tcPr>
            <w:tcW w:w="3320" w:type="dxa"/>
            <w:shd w:val="clear" w:color="auto" w:fill="auto"/>
            <w:tcMar>
              <w:top w:w="0" w:type="dxa"/>
              <w:left w:w="108" w:type="dxa"/>
              <w:bottom w:w="0" w:type="dxa"/>
              <w:right w:w="108" w:type="dxa"/>
            </w:tcMar>
            <w:vAlign w:val="center"/>
          </w:tcPr>
          <w:p w14:paraId="2B0B329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毛利率</w:t>
            </w:r>
          </w:p>
        </w:tc>
        <w:tc>
          <w:tcPr>
            <w:tcW w:w="1778" w:type="dxa"/>
            <w:shd w:val="clear" w:color="auto" w:fill="auto"/>
            <w:tcMar>
              <w:top w:w="0" w:type="dxa"/>
              <w:left w:w="108" w:type="dxa"/>
              <w:bottom w:w="0" w:type="dxa"/>
              <w:right w:w="108" w:type="dxa"/>
            </w:tcMar>
            <w:vAlign w:val="center"/>
          </w:tcPr>
          <w:p w14:paraId="67A02BD5"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60.59%</w:t>
            </w:r>
          </w:p>
        </w:tc>
        <w:tc>
          <w:tcPr>
            <w:tcW w:w="1520" w:type="dxa"/>
            <w:shd w:val="clear" w:color="auto" w:fill="auto"/>
            <w:tcMar>
              <w:top w:w="0" w:type="dxa"/>
              <w:left w:w="108" w:type="dxa"/>
              <w:bottom w:w="0" w:type="dxa"/>
              <w:right w:w="108" w:type="dxa"/>
            </w:tcMar>
            <w:vAlign w:val="center"/>
          </w:tcPr>
          <w:p w14:paraId="06BE82F1"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49.20%</w:t>
            </w:r>
          </w:p>
        </w:tc>
        <w:tc>
          <w:tcPr>
            <w:tcW w:w="1520" w:type="dxa"/>
            <w:shd w:val="clear" w:color="auto" w:fill="auto"/>
            <w:tcMar>
              <w:top w:w="0" w:type="dxa"/>
              <w:left w:w="108" w:type="dxa"/>
              <w:bottom w:w="0" w:type="dxa"/>
              <w:right w:w="108" w:type="dxa"/>
            </w:tcMar>
            <w:vAlign w:val="center"/>
          </w:tcPr>
          <w:p w14:paraId="55B214FE"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hAnsi="Times New Roman" w:cs="Times New Roman"/>
                <w:color w:val="000000"/>
                <w:sz w:val="21"/>
                <w:szCs w:val="21"/>
              </w:rPr>
              <w:t>53.04%</w:t>
            </w:r>
          </w:p>
        </w:tc>
      </w:tr>
    </w:tbl>
    <w:p w14:paraId="3CAF95B5" w14:textId="77777777" w:rsidR="006416B0" w:rsidRPr="00B4515A" w:rsidRDefault="005E58C1" w:rsidP="005860B4">
      <w:pPr>
        <w:pStyle w:val="002"/>
        <w:spacing w:before="120" w:after="120"/>
        <w:ind w:firstLine="562"/>
      </w:pPr>
      <w:bookmarkStart w:id="200" w:name="_Toc80960542"/>
      <w:r w:rsidRPr="00B4515A">
        <w:rPr>
          <w:rFonts w:hint="eastAsia"/>
        </w:rPr>
        <w:t>八、交易标的为股权的相关说明</w:t>
      </w:r>
      <w:bookmarkEnd w:id="200"/>
    </w:p>
    <w:p w14:paraId="370F047D" w14:textId="19962A9E" w:rsidR="006416B0" w:rsidRPr="00B4515A" w:rsidRDefault="005E58C1" w:rsidP="005860B4">
      <w:pPr>
        <w:pStyle w:val="005"/>
        <w:spacing w:before="120" w:after="120"/>
        <w:ind w:firstLine="480"/>
      </w:pPr>
      <w:r w:rsidRPr="00B4515A">
        <w:rPr>
          <w:rFonts w:hint="eastAsia"/>
        </w:rPr>
        <w:t>本次交易标的资产为电信</w:t>
      </w:r>
      <w:r w:rsidRPr="00B4515A">
        <w:rPr>
          <w:rFonts w:hint="eastAsia"/>
          <w:color w:val="000000"/>
        </w:rPr>
        <w:t>科研院</w:t>
      </w:r>
      <w:r w:rsidRPr="00B4515A">
        <w:rPr>
          <w:rFonts w:hint="eastAsia"/>
        </w:rPr>
        <w:t>、大唐控股、</w:t>
      </w:r>
      <w:r w:rsidR="00252376" w:rsidRPr="00B4515A">
        <w:rPr>
          <w:rFonts w:hint="eastAsia"/>
        </w:rPr>
        <w:t>长江移动基金</w:t>
      </w:r>
      <w:r w:rsidRPr="00B4515A">
        <w:rPr>
          <w:rFonts w:hint="eastAsia"/>
        </w:rPr>
        <w:t>、结构调整基金、金融街资本持有的大唐联诚</w:t>
      </w:r>
      <w:r w:rsidRPr="00B4515A">
        <w:t>95.001%</w:t>
      </w:r>
      <w:r w:rsidRPr="00B4515A">
        <w:rPr>
          <w:rFonts w:hint="eastAsia"/>
        </w:rPr>
        <w:t>股权。本次交易中天津益诚、天津乾诚、天津首诚、天津军诚已放弃</w:t>
      </w:r>
      <w:r w:rsidRPr="00B4515A">
        <w:t>其依据《公司法》及目标公司章程所享有的对转让方</w:t>
      </w:r>
      <w:r w:rsidRPr="00B4515A">
        <w:rPr>
          <w:rFonts w:hint="eastAsia"/>
        </w:rPr>
        <w:t>（电信</w:t>
      </w:r>
      <w:r w:rsidRPr="00B4515A">
        <w:rPr>
          <w:rFonts w:hint="eastAsia"/>
          <w:color w:val="000000"/>
        </w:rPr>
        <w:t>科研院</w:t>
      </w:r>
      <w:r w:rsidRPr="00B4515A">
        <w:rPr>
          <w:rFonts w:hint="eastAsia"/>
        </w:rPr>
        <w:t>、大唐控股、</w:t>
      </w:r>
      <w:r w:rsidR="00252376" w:rsidRPr="00B4515A">
        <w:rPr>
          <w:rFonts w:hint="eastAsia"/>
        </w:rPr>
        <w:t>长江移动基金</w:t>
      </w:r>
      <w:r w:rsidRPr="00B4515A">
        <w:rPr>
          <w:rFonts w:hint="eastAsia"/>
        </w:rPr>
        <w:t>、结构调整基金、金融街资本）</w:t>
      </w:r>
      <w:r w:rsidRPr="00B4515A">
        <w:t>拟转让标的资产的优先购买权</w:t>
      </w:r>
      <w:r w:rsidRPr="00B4515A">
        <w:rPr>
          <w:rFonts w:hint="eastAsia"/>
        </w:rPr>
        <w:t>。截至本报告书签署日，大唐联诚为依法设立、合法存续的有限责任公司，不存在因营业期限届满、股东会决议、合并或分立等事项应予解散的情形；不存在因不能清偿到期债务依法宣告破产、严重违反法律法规被依法吊</w:t>
      </w:r>
      <w:r w:rsidRPr="00B4515A">
        <w:rPr>
          <w:rFonts w:hint="eastAsia"/>
        </w:rPr>
        <w:lastRenderedPageBreak/>
        <w:t>销营业执照、责令</w:t>
      </w:r>
      <w:r w:rsidRPr="00B4515A">
        <w:rPr>
          <w:rFonts w:hint="eastAsia"/>
          <w:color w:val="000000"/>
        </w:rPr>
        <w:t>关闭</w:t>
      </w:r>
      <w:r w:rsidRPr="00B4515A">
        <w:rPr>
          <w:rFonts w:hint="eastAsia"/>
        </w:rPr>
        <w:t>或者被撤销等应予终止的情形，不存在出资不实或影响其合法存续的情形。</w:t>
      </w:r>
    </w:p>
    <w:p w14:paraId="245642BF" w14:textId="6002A1B1" w:rsidR="00E113E8" w:rsidRPr="00B4515A" w:rsidRDefault="00E113E8" w:rsidP="005860B4">
      <w:pPr>
        <w:pStyle w:val="002"/>
        <w:spacing w:before="120" w:after="120"/>
        <w:ind w:firstLine="562"/>
      </w:pPr>
      <w:bookmarkStart w:id="201" w:name="_Toc80960543"/>
      <w:bookmarkStart w:id="202" w:name="_Hlk79399286"/>
      <w:r w:rsidRPr="00B4515A">
        <w:rPr>
          <w:rFonts w:hint="eastAsia"/>
        </w:rPr>
        <w:t>九、资产许可使用情况</w:t>
      </w:r>
      <w:bookmarkEnd w:id="201"/>
    </w:p>
    <w:p w14:paraId="38F0244C" w14:textId="4F9552EA" w:rsidR="00E113E8" w:rsidRPr="00B4515A" w:rsidRDefault="00E113E8" w:rsidP="005860B4">
      <w:pPr>
        <w:pStyle w:val="004"/>
        <w:spacing w:before="120" w:after="120"/>
        <w:ind w:firstLine="482"/>
      </w:pPr>
      <w:r w:rsidRPr="00B4515A">
        <w:t>1</w:t>
      </w:r>
      <w:r w:rsidRPr="00B4515A">
        <w:rPr>
          <w:rFonts w:hint="eastAsia"/>
        </w:rPr>
        <w:t>、大唐联诚许可他人使用资产</w:t>
      </w:r>
      <w:r w:rsidR="003B361F" w:rsidRPr="00B4515A">
        <w:rPr>
          <w:rFonts w:hint="eastAsia"/>
        </w:rPr>
        <w:t>情况</w:t>
      </w:r>
    </w:p>
    <w:p w14:paraId="5B9738E4" w14:textId="5159059F" w:rsidR="00121931" w:rsidRPr="00B4515A" w:rsidRDefault="00E113E8" w:rsidP="006100BC">
      <w:pPr>
        <w:pStyle w:val="005"/>
        <w:spacing w:before="120" w:after="120"/>
        <w:ind w:firstLine="480"/>
      </w:pPr>
      <w:r w:rsidRPr="00B4515A">
        <w:rPr>
          <w:rFonts w:hint="eastAsia"/>
        </w:rPr>
        <w:t>截至</w:t>
      </w:r>
      <w:r w:rsidRPr="00B4515A">
        <w:t>2021</w:t>
      </w:r>
      <w:r w:rsidRPr="00B4515A">
        <w:rPr>
          <w:rFonts w:hint="eastAsia"/>
        </w:rPr>
        <w:t>年</w:t>
      </w:r>
      <w:r w:rsidRPr="00B4515A">
        <w:t>4</w:t>
      </w:r>
      <w:r w:rsidRPr="00B4515A">
        <w:rPr>
          <w:rFonts w:hint="eastAsia"/>
        </w:rPr>
        <w:t>月</w:t>
      </w:r>
      <w:r w:rsidRPr="00B4515A">
        <w:t>30</w:t>
      </w:r>
      <w:r w:rsidRPr="00B4515A">
        <w:rPr>
          <w:rFonts w:hint="eastAsia"/>
        </w:rPr>
        <w:t>日，大唐联诚作为许可人，许可他人使用资产情况如下：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54"/>
        <w:gridCol w:w="1598"/>
        <w:gridCol w:w="2778"/>
        <w:gridCol w:w="1774"/>
        <w:gridCol w:w="924"/>
      </w:tblGrid>
      <w:tr w:rsidR="00121931" w:rsidRPr="00B4515A" w14:paraId="447F838C" w14:textId="77777777" w:rsidTr="00031627">
        <w:trPr>
          <w:trHeight w:val="340"/>
          <w:jc w:val="center"/>
        </w:trPr>
        <w:tc>
          <w:tcPr>
            <w:tcW w:w="852" w:type="pct"/>
            <w:tcMar>
              <w:top w:w="0" w:type="dxa"/>
              <w:left w:w="108" w:type="dxa"/>
              <w:bottom w:w="0" w:type="dxa"/>
              <w:right w:w="108" w:type="dxa"/>
            </w:tcMar>
            <w:vAlign w:val="center"/>
          </w:tcPr>
          <w:p w14:paraId="488C2669" w14:textId="77777777" w:rsidR="00121931" w:rsidRPr="00B4515A" w:rsidRDefault="00121931" w:rsidP="005860B4">
            <w:pPr>
              <w:adjustRightInd w:val="0"/>
              <w:snapToGrid w:val="0"/>
              <w:jc w:val="center"/>
              <w:rPr>
                <w:rFonts w:ascii="Times New Roman" w:hAnsi="Times New Roman"/>
                <w:b/>
                <w:bCs/>
                <w:color w:val="000000"/>
                <w:sz w:val="21"/>
                <w:szCs w:val="21"/>
              </w:rPr>
            </w:pPr>
            <w:r w:rsidRPr="00B4515A">
              <w:rPr>
                <w:rFonts w:ascii="Times New Roman" w:hAnsi="Times New Roman" w:hint="eastAsia"/>
                <w:b/>
                <w:bCs/>
                <w:color w:val="000000"/>
                <w:sz w:val="21"/>
                <w:szCs w:val="21"/>
              </w:rPr>
              <w:t>许可人</w:t>
            </w:r>
          </w:p>
        </w:tc>
        <w:tc>
          <w:tcPr>
            <w:tcW w:w="937" w:type="pct"/>
            <w:shd w:val="clear" w:color="auto" w:fill="auto"/>
            <w:tcMar>
              <w:top w:w="0" w:type="dxa"/>
              <w:left w:w="108" w:type="dxa"/>
              <w:bottom w:w="0" w:type="dxa"/>
              <w:right w:w="108" w:type="dxa"/>
            </w:tcMar>
            <w:vAlign w:val="center"/>
          </w:tcPr>
          <w:p w14:paraId="43AA579F" w14:textId="77777777" w:rsidR="00121931" w:rsidRPr="00B4515A" w:rsidRDefault="00121931" w:rsidP="005860B4">
            <w:pPr>
              <w:adjustRightInd w:val="0"/>
              <w:snapToGrid w:val="0"/>
              <w:jc w:val="center"/>
              <w:rPr>
                <w:rFonts w:ascii="Times New Roman" w:hAnsi="Times New Roman"/>
                <w:b/>
                <w:bCs/>
                <w:color w:val="000000"/>
                <w:sz w:val="21"/>
                <w:szCs w:val="21"/>
              </w:rPr>
            </w:pPr>
            <w:r w:rsidRPr="00B4515A">
              <w:rPr>
                <w:rFonts w:ascii="Times New Roman" w:hAnsi="Times New Roman" w:hint="eastAsia"/>
                <w:b/>
                <w:bCs/>
                <w:color w:val="000000"/>
                <w:sz w:val="21"/>
                <w:szCs w:val="21"/>
              </w:rPr>
              <w:t>被许可人</w:t>
            </w:r>
          </w:p>
        </w:tc>
        <w:tc>
          <w:tcPr>
            <w:tcW w:w="1629" w:type="pct"/>
            <w:shd w:val="clear" w:color="auto" w:fill="auto"/>
            <w:tcMar>
              <w:top w:w="0" w:type="dxa"/>
              <w:left w:w="108" w:type="dxa"/>
              <w:bottom w:w="0" w:type="dxa"/>
              <w:right w:w="108" w:type="dxa"/>
            </w:tcMar>
            <w:vAlign w:val="center"/>
          </w:tcPr>
          <w:p w14:paraId="78F0418E" w14:textId="77777777" w:rsidR="00121931" w:rsidRPr="00B4515A" w:rsidRDefault="00121931" w:rsidP="005860B4">
            <w:pPr>
              <w:adjustRightInd w:val="0"/>
              <w:snapToGrid w:val="0"/>
              <w:jc w:val="center"/>
              <w:rPr>
                <w:rFonts w:ascii="Times New Roman" w:hAnsi="Times New Roman"/>
                <w:b/>
                <w:bCs/>
                <w:color w:val="000000"/>
                <w:sz w:val="21"/>
                <w:szCs w:val="21"/>
              </w:rPr>
            </w:pPr>
            <w:r w:rsidRPr="00B4515A">
              <w:rPr>
                <w:rFonts w:ascii="Times New Roman" w:hAnsi="Times New Roman" w:hint="eastAsia"/>
                <w:b/>
                <w:bCs/>
                <w:color w:val="000000"/>
                <w:sz w:val="21"/>
                <w:szCs w:val="21"/>
              </w:rPr>
              <w:t>许可使用的具体资产内容</w:t>
            </w:r>
          </w:p>
        </w:tc>
        <w:tc>
          <w:tcPr>
            <w:tcW w:w="1040" w:type="pct"/>
            <w:shd w:val="clear" w:color="auto" w:fill="auto"/>
            <w:tcMar>
              <w:top w:w="0" w:type="dxa"/>
              <w:left w:w="108" w:type="dxa"/>
              <w:bottom w:w="0" w:type="dxa"/>
              <w:right w:w="108" w:type="dxa"/>
            </w:tcMar>
            <w:vAlign w:val="center"/>
          </w:tcPr>
          <w:p w14:paraId="340FD9C6" w14:textId="77777777" w:rsidR="00121931" w:rsidRPr="00B4515A" w:rsidRDefault="00121931" w:rsidP="005860B4">
            <w:pPr>
              <w:adjustRightInd w:val="0"/>
              <w:snapToGrid w:val="0"/>
              <w:jc w:val="center"/>
              <w:rPr>
                <w:rFonts w:ascii="Times New Roman" w:hAnsi="Times New Roman"/>
                <w:b/>
                <w:bCs/>
                <w:color w:val="000000"/>
                <w:sz w:val="21"/>
                <w:szCs w:val="21"/>
              </w:rPr>
            </w:pPr>
            <w:r w:rsidRPr="00B4515A">
              <w:rPr>
                <w:rFonts w:ascii="Times New Roman" w:hAnsi="Times New Roman" w:hint="eastAsia"/>
                <w:b/>
                <w:bCs/>
                <w:color w:val="000000"/>
                <w:sz w:val="21"/>
                <w:szCs w:val="21"/>
              </w:rPr>
              <w:t>许可年限</w:t>
            </w:r>
          </w:p>
        </w:tc>
        <w:tc>
          <w:tcPr>
            <w:tcW w:w="542" w:type="pct"/>
            <w:tcMar>
              <w:top w:w="0" w:type="dxa"/>
              <w:left w:w="108" w:type="dxa"/>
              <w:bottom w:w="0" w:type="dxa"/>
              <w:right w:w="108" w:type="dxa"/>
            </w:tcMar>
            <w:vAlign w:val="center"/>
          </w:tcPr>
          <w:p w14:paraId="41AF4D35" w14:textId="77777777" w:rsidR="005860B4" w:rsidRPr="00B4515A" w:rsidRDefault="00121931" w:rsidP="005860B4">
            <w:pPr>
              <w:adjustRightInd w:val="0"/>
              <w:snapToGrid w:val="0"/>
              <w:jc w:val="center"/>
              <w:rPr>
                <w:rFonts w:ascii="Times New Roman" w:hAnsi="Times New Roman"/>
                <w:b/>
                <w:bCs/>
                <w:color w:val="000000"/>
                <w:sz w:val="21"/>
                <w:szCs w:val="21"/>
              </w:rPr>
            </w:pPr>
            <w:r w:rsidRPr="00B4515A">
              <w:rPr>
                <w:rFonts w:ascii="Times New Roman" w:hAnsi="Times New Roman" w:hint="eastAsia"/>
                <w:b/>
                <w:bCs/>
                <w:color w:val="000000"/>
                <w:sz w:val="21"/>
                <w:szCs w:val="21"/>
              </w:rPr>
              <w:t>履行</w:t>
            </w:r>
          </w:p>
          <w:p w14:paraId="5F225E10" w14:textId="7D31B4A7" w:rsidR="00121931" w:rsidRPr="00B4515A" w:rsidRDefault="00121931" w:rsidP="005860B4">
            <w:pPr>
              <w:adjustRightInd w:val="0"/>
              <w:snapToGrid w:val="0"/>
              <w:jc w:val="center"/>
              <w:rPr>
                <w:rFonts w:ascii="Times New Roman" w:hAnsi="Times New Roman"/>
                <w:b/>
                <w:bCs/>
                <w:color w:val="000000"/>
                <w:sz w:val="21"/>
                <w:szCs w:val="21"/>
              </w:rPr>
            </w:pPr>
            <w:r w:rsidRPr="00B4515A">
              <w:rPr>
                <w:rFonts w:ascii="Times New Roman" w:hAnsi="Times New Roman" w:hint="eastAsia"/>
                <w:b/>
                <w:bCs/>
                <w:color w:val="000000"/>
                <w:sz w:val="21"/>
                <w:szCs w:val="21"/>
              </w:rPr>
              <w:t>状态</w:t>
            </w:r>
          </w:p>
        </w:tc>
      </w:tr>
      <w:tr w:rsidR="00BA4E33" w:rsidRPr="00B4515A" w14:paraId="17FBE2ED" w14:textId="77777777" w:rsidTr="00031627">
        <w:trPr>
          <w:trHeight w:val="340"/>
          <w:jc w:val="center"/>
        </w:trPr>
        <w:tc>
          <w:tcPr>
            <w:tcW w:w="852" w:type="pct"/>
            <w:tcMar>
              <w:top w:w="0" w:type="dxa"/>
              <w:left w:w="108" w:type="dxa"/>
              <w:bottom w:w="0" w:type="dxa"/>
              <w:right w:w="108" w:type="dxa"/>
            </w:tcMar>
            <w:vAlign w:val="center"/>
          </w:tcPr>
          <w:p w14:paraId="6AE675BD"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大唐联诚</w:t>
            </w:r>
          </w:p>
        </w:tc>
        <w:tc>
          <w:tcPr>
            <w:tcW w:w="937" w:type="pct"/>
            <w:shd w:val="clear" w:color="auto" w:fill="auto"/>
            <w:tcMar>
              <w:top w:w="0" w:type="dxa"/>
              <w:left w:w="108" w:type="dxa"/>
              <w:bottom w:w="0" w:type="dxa"/>
              <w:right w:w="108" w:type="dxa"/>
            </w:tcMar>
            <w:vAlign w:val="center"/>
          </w:tcPr>
          <w:p w14:paraId="263FB25F" w14:textId="084B727B"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客户</w:t>
            </w:r>
            <w:r w:rsidRPr="00B4515A">
              <w:rPr>
                <w:rFonts w:ascii="Times New Roman" w:hAnsi="Times New Roman" w:cs="Times New Roman"/>
                <w:color w:val="000000"/>
                <w:sz w:val="21"/>
                <w:szCs w:val="21"/>
              </w:rPr>
              <w:t>SA101052</w:t>
            </w:r>
          </w:p>
        </w:tc>
        <w:tc>
          <w:tcPr>
            <w:tcW w:w="1629" w:type="pct"/>
            <w:shd w:val="clear" w:color="auto" w:fill="auto"/>
            <w:tcMar>
              <w:top w:w="0" w:type="dxa"/>
              <w:left w:w="108" w:type="dxa"/>
              <w:bottom w:w="0" w:type="dxa"/>
              <w:right w:w="108" w:type="dxa"/>
            </w:tcMar>
            <w:vAlign w:val="center"/>
          </w:tcPr>
          <w:p w14:paraId="74AAB0C3"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自组网波形技术授权及其服务</w:t>
            </w:r>
          </w:p>
        </w:tc>
        <w:tc>
          <w:tcPr>
            <w:tcW w:w="1040" w:type="pct"/>
            <w:shd w:val="clear" w:color="auto" w:fill="auto"/>
            <w:tcMar>
              <w:top w:w="0" w:type="dxa"/>
              <w:left w:w="108" w:type="dxa"/>
              <w:bottom w:w="0" w:type="dxa"/>
              <w:right w:w="108" w:type="dxa"/>
            </w:tcMar>
            <w:vAlign w:val="center"/>
          </w:tcPr>
          <w:p w14:paraId="534C2944"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020</w:t>
            </w:r>
            <w:r w:rsidRPr="00B4515A">
              <w:rPr>
                <w:rFonts w:ascii="Times New Roman" w:hAnsi="Times New Roman" w:cs="Times New Roman" w:hint="eastAsia"/>
                <w:color w:val="000000"/>
                <w:sz w:val="21"/>
                <w:szCs w:val="21"/>
              </w:rPr>
              <w:t>年</w:t>
            </w:r>
            <w:r w:rsidRPr="00B4515A">
              <w:rPr>
                <w:rFonts w:ascii="Times New Roman" w:hAnsi="Times New Roman" w:cs="Times New Roman" w:hint="eastAsia"/>
                <w:color w:val="000000"/>
                <w:sz w:val="21"/>
                <w:szCs w:val="21"/>
              </w:rPr>
              <w:t>7</w:t>
            </w:r>
            <w:r w:rsidRPr="00B4515A">
              <w:rPr>
                <w:rFonts w:ascii="Times New Roman" w:hAnsi="Times New Roman" w:cs="Times New Roman" w:hint="eastAsia"/>
                <w:color w:val="000000"/>
                <w:sz w:val="21"/>
                <w:szCs w:val="21"/>
              </w:rPr>
              <w:t>月至</w:t>
            </w: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025</w:t>
            </w:r>
            <w:r w:rsidRPr="00B4515A">
              <w:rPr>
                <w:rFonts w:ascii="Times New Roman" w:hAnsi="Times New Roman" w:cs="Times New Roman" w:hint="eastAsia"/>
                <w:color w:val="000000"/>
                <w:sz w:val="21"/>
                <w:szCs w:val="21"/>
              </w:rPr>
              <w:t>年</w:t>
            </w:r>
            <w:r w:rsidRPr="00B4515A">
              <w:rPr>
                <w:rFonts w:ascii="Times New Roman" w:hAnsi="Times New Roman" w:cs="Times New Roman" w:hint="eastAsia"/>
                <w:color w:val="000000"/>
                <w:sz w:val="21"/>
                <w:szCs w:val="21"/>
              </w:rPr>
              <w:t>7</w:t>
            </w:r>
            <w:r w:rsidRPr="00B4515A">
              <w:rPr>
                <w:rFonts w:ascii="Times New Roman" w:hAnsi="Times New Roman" w:cs="Times New Roman" w:hint="eastAsia"/>
                <w:color w:val="000000"/>
                <w:sz w:val="21"/>
                <w:szCs w:val="21"/>
              </w:rPr>
              <w:t>月</w:t>
            </w:r>
          </w:p>
        </w:tc>
        <w:tc>
          <w:tcPr>
            <w:tcW w:w="542" w:type="pct"/>
            <w:tcMar>
              <w:top w:w="0" w:type="dxa"/>
              <w:left w:w="108" w:type="dxa"/>
              <w:bottom w:w="0" w:type="dxa"/>
              <w:right w:w="108" w:type="dxa"/>
            </w:tcMar>
            <w:vAlign w:val="center"/>
          </w:tcPr>
          <w:p w14:paraId="2BD7FC6E"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履行中</w:t>
            </w:r>
          </w:p>
        </w:tc>
      </w:tr>
      <w:tr w:rsidR="00BA4E33" w:rsidRPr="00B4515A" w14:paraId="0CA0A754" w14:textId="77777777" w:rsidTr="00031627">
        <w:trPr>
          <w:trHeight w:val="340"/>
          <w:jc w:val="center"/>
        </w:trPr>
        <w:tc>
          <w:tcPr>
            <w:tcW w:w="852" w:type="pct"/>
            <w:tcMar>
              <w:top w:w="0" w:type="dxa"/>
              <w:left w:w="108" w:type="dxa"/>
              <w:bottom w:w="0" w:type="dxa"/>
              <w:right w:w="108" w:type="dxa"/>
            </w:tcMar>
            <w:vAlign w:val="center"/>
          </w:tcPr>
          <w:p w14:paraId="353D6535"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大唐联诚</w:t>
            </w:r>
          </w:p>
        </w:tc>
        <w:tc>
          <w:tcPr>
            <w:tcW w:w="937" w:type="pct"/>
            <w:shd w:val="clear" w:color="auto" w:fill="auto"/>
            <w:tcMar>
              <w:top w:w="0" w:type="dxa"/>
              <w:left w:w="108" w:type="dxa"/>
              <w:bottom w:w="0" w:type="dxa"/>
              <w:right w:w="108" w:type="dxa"/>
            </w:tcMar>
            <w:vAlign w:val="center"/>
          </w:tcPr>
          <w:p w14:paraId="0F606432" w14:textId="5AAC3D5B"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客户</w:t>
            </w:r>
            <w:r w:rsidRPr="00B4515A">
              <w:rPr>
                <w:rFonts w:ascii="Times New Roman" w:hAnsi="Times New Roman" w:cs="Times New Roman"/>
                <w:color w:val="000000"/>
                <w:sz w:val="21"/>
                <w:szCs w:val="21"/>
              </w:rPr>
              <w:t>SA101052</w:t>
            </w:r>
          </w:p>
        </w:tc>
        <w:tc>
          <w:tcPr>
            <w:tcW w:w="1629" w:type="pct"/>
            <w:shd w:val="clear" w:color="auto" w:fill="auto"/>
            <w:tcMar>
              <w:top w:w="0" w:type="dxa"/>
              <w:left w:w="108" w:type="dxa"/>
              <w:bottom w:w="0" w:type="dxa"/>
              <w:right w:w="108" w:type="dxa"/>
            </w:tcMar>
            <w:vAlign w:val="center"/>
          </w:tcPr>
          <w:p w14:paraId="7FF07FA4"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LTE</w:t>
            </w:r>
            <w:r w:rsidRPr="00B4515A">
              <w:rPr>
                <w:rFonts w:ascii="Times New Roman" w:hAnsi="Times New Roman" w:cs="Times New Roman" w:hint="eastAsia"/>
                <w:color w:val="000000"/>
                <w:sz w:val="21"/>
                <w:szCs w:val="21"/>
              </w:rPr>
              <w:t>波形技术授权及其服务</w:t>
            </w:r>
          </w:p>
        </w:tc>
        <w:tc>
          <w:tcPr>
            <w:tcW w:w="1040" w:type="pct"/>
            <w:shd w:val="clear" w:color="auto" w:fill="auto"/>
            <w:tcMar>
              <w:top w:w="0" w:type="dxa"/>
              <w:left w:w="108" w:type="dxa"/>
              <w:bottom w:w="0" w:type="dxa"/>
              <w:right w:w="108" w:type="dxa"/>
            </w:tcMar>
            <w:vAlign w:val="center"/>
          </w:tcPr>
          <w:p w14:paraId="485DC099"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020</w:t>
            </w:r>
            <w:r w:rsidRPr="00B4515A">
              <w:rPr>
                <w:rFonts w:ascii="Times New Roman" w:hAnsi="Times New Roman" w:cs="Times New Roman" w:hint="eastAsia"/>
                <w:color w:val="000000"/>
                <w:sz w:val="21"/>
                <w:szCs w:val="21"/>
              </w:rPr>
              <w:t>年</w:t>
            </w:r>
            <w:r w:rsidRPr="00B4515A">
              <w:rPr>
                <w:rFonts w:ascii="Times New Roman" w:hAnsi="Times New Roman" w:cs="Times New Roman" w:hint="eastAsia"/>
                <w:color w:val="000000"/>
                <w:sz w:val="21"/>
                <w:szCs w:val="21"/>
              </w:rPr>
              <w:t>1</w:t>
            </w:r>
            <w:r w:rsidRPr="00B4515A">
              <w:rPr>
                <w:rFonts w:ascii="Times New Roman" w:hAnsi="Times New Roman" w:cs="Times New Roman"/>
                <w:color w:val="000000"/>
                <w:sz w:val="21"/>
                <w:szCs w:val="21"/>
              </w:rPr>
              <w:t>0</w:t>
            </w:r>
            <w:r w:rsidRPr="00B4515A">
              <w:rPr>
                <w:rFonts w:ascii="Times New Roman" w:hAnsi="Times New Roman" w:cs="Times New Roman" w:hint="eastAsia"/>
                <w:color w:val="000000"/>
                <w:sz w:val="21"/>
                <w:szCs w:val="21"/>
              </w:rPr>
              <w:t>月至</w:t>
            </w: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023</w:t>
            </w:r>
            <w:r w:rsidRPr="00B4515A">
              <w:rPr>
                <w:rFonts w:ascii="Times New Roman" w:hAnsi="Times New Roman" w:cs="Times New Roman" w:hint="eastAsia"/>
                <w:color w:val="000000"/>
                <w:sz w:val="21"/>
                <w:szCs w:val="21"/>
              </w:rPr>
              <w:t>年</w:t>
            </w:r>
            <w:r w:rsidRPr="00B4515A">
              <w:rPr>
                <w:rFonts w:ascii="Times New Roman" w:hAnsi="Times New Roman" w:cs="Times New Roman" w:hint="eastAsia"/>
                <w:color w:val="000000"/>
                <w:sz w:val="21"/>
                <w:szCs w:val="21"/>
              </w:rPr>
              <w:t>1</w:t>
            </w:r>
            <w:r w:rsidRPr="00B4515A">
              <w:rPr>
                <w:rFonts w:ascii="Times New Roman" w:hAnsi="Times New Roman" w:cs="Times New Roman"/>
                <w:color w:val="000000"/>
                <w:sz w:val="21"/>
                <w:szCs w:val="21"/>
              </w:rPr>
              <w:t>0</w:t>
            </w:r>
            <w:r w:rsidRPr="00B4515A">
              <w:rPr>
                <w:rFonts w:ascii="Times New Roman" w:hAnsi="Times New Roman" w:cs="Times New Roman" w:hint="eastAsia"/>
                <w:color w:val="000000"/>
                <w:sz w:val="21"/>
                <w:szCs w:val="21"/>
              </w:rPr>
              <w:t>月</w:t>
            </w:r>
          </w:p>
        </w:tc>
        <w:tc>
          <w:tcPr>
            <w:tcW w:w="542" w:type="pct"/>
            <w:tcMar>
              <w:top w:w="0" w:type="dxa"/>
              <w:left w:w="108" w:type="dxa"/>
              <w:bottom w:w="0" w:type="dxa"/>
              <w:right w:w="108" w:type="dxa"/>
            </w:tcMar>
            <w:vAlign w:val="center"/>
          </w:tcPr>
          <w:p w14:paraId="4FB27789"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履行中</w:t>
            </w:r>
          </w:p>
        </w:tc>
      </w:tr>
      <w:tr w:rsidR="00BA4E33" w:rsidRPr="00B4515A" w14:paraId="54646991" w14:textId="77777777" w:rsidTr="00031627">
        <w:trPr>
          <w:trHeight w:val="340"/>
          <w:jc w:val="center"/>
        </w:trPr>
        <w:tc>
          <w:tcPr>
            <w:tcW w:w="852" w:type="pct"/>
            <w:tcMar>
              <w:top w:w="0" w:type="dxa"/>
              <w:left w:w="108" w:type="dxa"/>
              <w:bottom w:w="0" w:type="dxa"/>
              <w:right w:w="108" w:type="dxa"/>
            </w:tcMar>
            <w:vAlign w:val="center"/>
          </w:tcPr>
          <w:p w14:paraId="0A3FEBDB"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大唐联诚</w:t>
            </w:r>
          </w:p>
        </w:tc>
        <w:tc>
          <w:tcPr>
            <w:tcW w:w="937" w:type="pct"/>
            <w:shd w:val="clear" w:color="auto" w:fill="auto"/>
            <w:tcMar>
              <w:top w:w="0" w:type="dxa"/>
              <w:left w:w="108" w:type="dxa"/>
              <w:bottom w:w="0" w:type="dxa"/>
              <w:right w:w="108" w:type="dxa"/>
            </w:tcMar>
            <w:vAlign w:val="center"/>
          </w:tcPr>
          <w:p w14:paraId="5147D5B9" w14:textId="419D61A8"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武汉某科技集团</w:t>
            </w:r>
          </w:p>
        </w:tc>
        <w:tc>
          <w:tcPr>
            <w:tcW w:w="1629" w:type="pct"/>
            <w:shd w:val="clear" w:color="auto" w:fill="auto"/>
            <w:tcMar>
              <w:top w:w="0" w:type="dxa"/>
              <w:left w:w="108" w:type="dxa"/>
              <w:bottom w:w="0" w:type="dxa"/>
              <w:right w:w="108" w:type="dxa"/>
            </w:tcMar>
            <w:vAlign w:val="center"/>
          </w:tcPr>
          <w:p w14:paraId="4BDEF7A4"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自组网、</w:t>
            </w:r>
            <w:r w:rsidRPr="00B4515A">
              <w:rPr>
                <w:rFonts w:ascii="Times New Roman" w:hAnsi="Times New Roman" w:cs="Times New Roman" w:hint="eastAsia"/>
                <w:color w:val="000000"/>
                <w:sz w:val="21"/>
                <w:szCs w:val="21"/>
              </w:rPr>
              <w:t>LTE</w:t>
            </w:r>
            <w:r w:rsidRPr="00B4515A">
              <w:rPr>
                <w:rFonts w:ascii="Times New Roman" w:hAnsi="Times New Roman" w:cs="Times New Roman" w:hint="eastAsia"/>
                <w:color w:val="000000"/>
                <w:sz w:val="21"/>
                <w:szCs w:val="21"/>
              </w:rPr>
              <w:t>波形技术授权及其服务</w:t>
            </w:r>
          </w:p>
        </w:tc>
        <w:tc>
          <w:tcPr>
            <w:tcW w:w="1040" w:type="pct"/>
            <w:shd w:val="clear" w:color="auto" w:fill="auto"/>
            <w:tcMar>
              <w:top w:w="0" w:type="dxa"/>
              <w:left w:w="108" w:type="dxa"/>
              <w:bottom w:w="0" w:type="dxa"/>
              <w:right w:w="108" w:type="dxa"/>
            </w:tcMar>
            <w:vAlign w:val="center"/>
          </w:tcPr>
          <w:p w14:paraId="43CF3BD3"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019</w:t>
            </w:r>
            <w:r w:rsidRPr="00B4515A">
              <w:rPr>
                <w:rFonts w:ascii="Times New Roman" w:hAnsi="Times New Roman" w:cs="Times New Roman" w:hint="eastAsia"/>
                <w:color w:val="000000"/>
                <w:sz w:val="21"/>
                <w:szCs w:val="21"/>
              </w:rPr>
              <w:t>年</w:t>
            </w:r>
            <w:r w:rsidRPr="00B4515A">
              <w:rPr>
                <w:rFonts w:ascii="Times New Roman" w:hAnsi="Times New Roman" w:cs="Times New Roman" w:hint="eastAsia"/>
                <w:color w:val="000000"/>
                <w:sz w:val="21"/>
                <w:szCs w:val="21"/>
              </w:rPr>
              <w:t>9</w:t>
            </w:r>
            <w:r w:rsidRPr="00B4515A">
              <w:rPr>
                <w:rFonts w:ascii="Times New Roman" w:hAnsi="Times New Roman" w:cs="Times New Roman" w:hint="eastAsia"/>
                <w:color w:val="000000"/>
                <w:sz w:val="21"/>
                <w:szCs w:val="21"/>
              </w:rPr>
              <w:t>月至</w:t>
            </w: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024</w:t>
            </w:r>
            <w:r w:rsidRPr="00B4515A">
              <w:rPr>
                <w:rFonts w:ascii="Times New Roman" w:hAnsi="Times New Roman" w:cs="Times New Roman" w:hint="eastAsia"/>
                <w:color w:val="000000"/>
                <w:sz w:val="21"/>
                <w:szCs w:val="21"/>
              </w:rPr>
              <w:t>年</w:t>
            </w:r>
            <w:r w:rsidRPr="00B4515A">
              <w:rPr>
                <w:rFonts w:ascii="Times New Roman" w:hAnsi="Times New Roman" w:cs="Times New Roman" w:hint="eastAsia"/>
                <w:color w:val="000000"/>
                <w:sz w:val="21"/>
                <w:szCs w:val="21"/>
              </w:rPr>
              <w:t>9</w:t>
            </w:r>
            <w:r w:rsidRPr="00B4515A">
              <w:rPr>
                <w:rFonts w:ascii="Times New Roman" w:hAnsi="Times New Roman" w:cs="Times New Roman" w:hint="eastAsia"/>
                <w:color w:val="000000"/>
                <w:sz w:val="21"/>
                <w:szCs w:val="21"/>
              </w:rPr>
              <w:t>月</w:t>
            </w:r>
          </w:p>
        </w:tc>
        <w:tc>
          <w:tcPr>
            <w:tcW w:w="542" w:type="pct"/>
            <w:tcMar>
              <w:top w:w="0" w:type="dxa"/>
              <w:left w:w="108" w:type="dxa"/>
              <w:bottom w:w="0" w:type="dxa"/>
              <w:right w:w="108" w:type="dxa"/>
            </w:tcMar>
            <w:vAlign w:val="center"/>
          </w:tcPr>
          <w:p w14:paraId="0036E10D"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履行中</w:t>
            </w:r>
          </w:p>
        </w:tc>
      </w:tr>
      <w:tr w:rsidR="00BA4E33" w:rsidRPr="00B4515A" w14:paraId="7E3E7C33" w14:textId="77777777" w:rsidTr="00031627">
        <w:trPr>
          <w:trHeight w:val="340"/>
          <w:jc w:val="center"/>
        </w:trPr>
        <w:tc>
          <w:tcPr>
            <w:tcW w:w="852" w:type="pct"/>
            <w:tcMar>
              <w:top w:w="0" w:type="dxa"/>
              <w:left w:w="108" w:type="dxa"/>
              <w:bottom w:w="0" w:type="dxa"/>
              <w:right w:w="108" w:type="dxa"/>
            </w:tcMar>
            <w:vAlign w:val="center"/>
          </w:tcPr>
          <w:p w14:paraId="2B32C236"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大唐联诚</w:t>
            </w:r>
          </w:p>
        </w:tc>
        <w:tc>
          <w:tcPr>
            <w:tcW w:w="937" w:type="pct"/>
            <w:shd w:val="clear" w:color="auto" w:fill="auto"/>
            <w:tcMar>
              <w:top w:w="0" w:type="dxa"/>
              <w:left w:w="108" w:type="dxa"/>
              <w:bottom w:w="0" w:type="dxa"/>
              <w:right w:w="108" w:type="dxa"/>
            </w:tcMar>
            <w:vAlign w:val="center"/>
          </w:tcPr>
          <w:p w14:paraId="55514E02" w14:textId="2EA3AF9F"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客户</w:t>
            </w:r>
            <w:r w:rsidRPr="00B4515A">
              <w:rPr>
                <w:rFonts w:ascii="Times New Roman" w:hAnsi="Times New Roman" w:cs="Times New Roman"/>
                <w:color w:val="000000"/>
                <w:sz w:val="21"/>
                <w:szCs w:val="21"/>
              </w:rPr>
              <w:t>SA100183</w:t>
            </w:r>
          </w:p>
        </w:tc>
        <w:tc>
          <w:tcPr>
            <w:tcW w:w="1629" w:type="pct"/>
            <w:shd w:val="clear" w:color="auto" w:fill="auto"/>
            <w:tcMar>
              <w:top w:w="0" w:type="dxa"/>
              <w:left w:w="108" w:type="dxa"/>
              <w:bottom w:w="0" w:type="dxa"/>
              <w:right w:w="108" w:type="dxa"/>
            </w:tcMar>
            <w:vAlign w:val="center"/>
          </w:tcPr>
          <w:p w14:paraId="2B2A8C01"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自组网、</w:t>
            </w:r>
            <w:r w:rsidRPr="00B4515A">
              <w:rPr>
                <w:rFonts w:ascii="Times New Roman" w:hAnsi="Times New Roman" w:cs="Times New Roman" w:hint="eastAsia"/>
                <w:color w:val="000000"/>
                <w:sz w:val="21"/>
                <w:szCs w:val="21"/>
              </w:rPr>
              <w:t>LTE</w:t>
            </w:r>
            <w:r w:rsidRPr="00B4515A">
              <w:rPr>
                <w:rFonts w:ascii="Times New Roman" w:hAnsi="Times New Roman" w:cs="Times New Roman" w:hint="eastAsia"/>
                <w:color w:val="000000"/>
                <w:sz w:val="21"/>
                <w:szCs w:val="21"/>
              </w:rPr>
              <w:t>波形技术授权及其服务</w:t>
            </w:r>
          </w:p>
        </w:tc>
        <w:tc>
          <w:tcPr>
            <w:tcW w:w="1040" w:type="pct"/>
            <w:shd w:val="clear" w:color="auto" w:fill="auto"/>
            <w:tcMar>
              <w:top w:w="0" w:type="dxa"/>
              <w:left w:w="108" w:type="dxa"/>
              <w:bottom w:w="0" w:type="dxa"/>
              <w:right w:w="108" w:type="dxa"/>
            </w:tcMar>
            <w:vAlign w:val="center"/>
          </w:tcPr>
          <w:p w14:paraId="1A49BDB6"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019</w:t>
            </w:r>
            <w:r w:rsidRPr="00B4515A">
              <w:rPr>
                <w:rFonts w:ascii="Times New Roman" w:hAnsi="Times New Roman" w:cs="Times New Roman" w:hint="eastAsia"/>
                <w:color w:val="000000"/>
                <w:sz w:val="21"/>
                <w:szCs w:val="21"/>
              </w:rPr>
              <w:t>年</w:t>
            </w:r>
            <w:r w:rsidRPr="00B4515A">
              <w:rPr>
                <w:rFonts w:ascii="Times New Roman" w:hAnsi="Times New Roman" w:cs="Times New Roman"/>
                <w:color w:val="000000"/>
                <w:sz w:val="21"/>
                <w:szCs w:val="21"/>
              </w:rPr>
              <w:t>6</w:t>
            </w:r>
            <w:r w:rsidRPr="00B4515A">
              <w:rPr>
                <w:rFonts w:ascii="Times New Roman" w:hAnsi="Times New Roman" w:cs="Times New Roman" w:hint="eastAsia"/>
                <w:color w:val="000000"/>
                <w:sz w:val="21"/>
                <w:szCs w:val="21"/>
              </w:rPr>
              <w:t>月至</w:t>
            </w: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024</w:t>
            </w:r>
            <w:r w:rsidRPr="00B4515A">
              <w:rPr>
                <w:rFonts w:ascii="Times New Roman" w:hAnsi="Times New Roman" w:cs="Times New Roman" w:hint="eastAsia"/>
                <w:color w:val="000000"/>
                <w:sz w:val="21"/>
                <w:szCs w:val="21"/>
              </w:rPr>
              <w:t>年</w:t>
            </w:r>
            <w:r w:rsidRPr="00B4515A">
              <w:rPr>
                <w:rFonts w:ascii="Times New Roman" w:hAnsi="Times New Roman" w:cs="Times New Roman"/>
                <w:color w:val="000000"/>
                <w:sz w:val="21"/>
                <w:szCs w:val="21"/>
              </w:rPr>
              <w:t>6</w:t>
            </w:r>
            <w:r w:rsidRPr="00B4515A">
              <w:rPr>
                <w:rFonts w:ascii="Times New Roman" w:hAnsi="Times New Roman" w:cs="Times New Roman" w:hint="eastAsia"/>
                <w:color w:val="000000"/>
                <w:sz w:val="21"/>
                <w:szCs w:val="21"/>
              </w:rPr>
              <w:t>月</w:t>
            </w:r>
          </w:p>
        </w:tc>
        <w:tc>
          <w:tcPr>
            <w:tcW w:w="542" w:type="pct"/>
            <w:tcMar>
              <w:top w:w="0" w:type="dxa"/>
              <w:left w:w="108" w:type="dxa"/>
              <w:bottom w:w="0" w:type="dxa"/>
              <w:right w:w="108" w:type="dxa"/>
            </w:tcMar>
            <w:vAlign w:val="center"/>
          </w:tcPr>
          <w:p w14:paraId="19FF9D33"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履行中</w:t>
            </w:r>
          </w:p>
        </w:tc>
      </w:tr>
      <w:tr w:rsidR="00BA4E33" w:rsidRPr="00B4515A" w14:paraId="6D4DA0C7" w14:textId="77777777" w:rsidTr="00031627">
        <w:trPr>
          <w:trHeight w:val="340"/>
          <w:jc w:val="center"/>
        </w:trPr>
        <w:tc>
          <w:tcPr>
            <w:tcW w:w="852" w:type="pct"/>
            <w:tcMar>
              <w:top w:w="0" w:type="dxa"/>
              <w:left w:w="108" w:type="dxa"/>
              <w:bottom w:w="0" w:type="dxa"/>
              <w:right w:w="108" w:type="dxa"/>
            </w:tcMar>
            <w:vAlign w:val="center"/>
          </w:tcPr>
          <w:p w14:paraId="3E2FA617"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大唐联诚</w:t>
            </w:r>
          </w:p>
        </w:tc>
        <w:tc>
          <w:tcPr>
            <w:tcW w:w="937" w:type="pct"/>
            <w:shd w:val="clear" w:color="auto" w:fill="auto"/>
            <w:tcMar>
              <w:top w:w="0" w:type="dxa"/>
              <w:left w:w="108" w:type="dxa"/>
              <w:bottom w:w="0" w:type="dxa"/>
              <w:right w:w="108" w:type="dxa"/>
            </w:tcMar>
            <w:vAlign w:val="center"/>
          </w:tcPr>
          <w:p w14:paraId="45039A0B" w14:textId="6C361B28"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陕西某通信集团下属企业</w:t>
            </w:r>
          </w:p>
        </w:tc>
        <w:tc>
          <w:tcPr>
            <w:tcW w:w="1629" w:type="pct"/>
            <w:shd w:val="clear" w:color="auto" w:fill="auto"/>
            <w:tcMar>
              <w:top w:w="0" w:type="dxa"/>
              <w:left w:w="108" w:type="dxa"/>
              <w:bottom w:w="0" w:type="dxa"/>
              <w:right w:w="108" w:type="dxa"/>
            </w:tcMar>
            <w:vAlign w:val="center"/>
          </w:tcPr>
          <w:p w14:paraId="36398218"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自组网、</w:t>
            </w:r>
            <w:r w:rsidRPr="00B4515A">
              <w:rPr>
                <w:rFonts w:ascii="Times New Roman" w:hAnsi="Times New Roman" w:cs="Times New Roman" w:hint="eastAsia"/>
                <w:color w:val="000000"/>
                <w:sz w:val="21"/>
                <w:szCs w:val="21"/>
              </w:rPr>
              <w:t>LTE</w:t>
            </w:r>
            <w:r w:rsidRPr="00B4515A">
              <w:rPr>
                <w:rFonts w:ascii="Times New Roman" w:hAnsi="Times New Roman" w:cs="Times New Roman" w:hint="eastAsia"/>
                <w:color w:val="000000"/>
                <w:sz w:val="21"/>
                <w:szCs w:val="21"/>
              </w:rPr>
              <w:t>波形技术授权及其服务</w:t>
            </w:r>
          </w:p>
        </w:tc>
        <w:tc>
          <w:tcPr>
            <w:tcW w:w="1040" w:type="pct"/>
            <w:shd w:val="clear" w:color="auto" w:fill="auto"/>
            <w:tcMar>
              <w:top w:w="0" w:type="dxa"/>
              <w:left w:w="108" w:type="dxa"/>
              <w:bottom w:w="0" w:type="dxa"/>
              <w:right w:w="108" w:type="dxa"/>
            </w:tcMar>
            <w:vAlign w:val="center"/>
          </w:tcPr>
          <w:p w14:paraId="5740B459"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019</w:t>
            </w:r>
            <w:r w:rsidRPr="00B4515A">
              <w:rPr>
                <w:rFonts w:ascii="Times New Roman" w:hAnsi="Times New Roman" w:cs="Times New Roman" w:hint="eastAsia"/>
                <w:color w:val="000000"/>
                <w:sz w:val="21"/>
                <w:szCs w:val="21"/>
              </w:rPr>
              <w:t>年</w:t>
            </w:r>
            <w:r w:rsidRPr="00B4515A">
              <w:rPr>
                <w:rFonts w:ascii="Times New Roman" w:hAnsi="Times New Roman" w:cs="Times New Roman"/>
                <w:color w:val="000000"/>
                <w:sz w:val="21"/>
                <w:szCs w:val="21"/>
              </w:rPr>
              <w:t>10</w:t>
            </w:r>
            <w:r w:rsidRPr="00B4515A">
              <w:rPr>
                <w:rFonts w:ascii="Times New Roman" w:hAnsi="Times New Roman" w:cs="Times New Roman" w:hint="eastAsia"/>
                <w:color w:val="000000"/>
                <w:sz w:val="21"/>
                <w:szCs w:val="21"/>
              </w:rPr>
              <w:t>月至</w:t>
            </w: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024</w:t>
            </w:r>
            <w:r w:rsidRPr="00B4515A">
              <w:rPr>
                <w:rFonts w:ascii="Times New Roman" w:hAnsi="Times New Roman" w:cs="Times New Roman" w:hint="eastAsia"/>
                <w:color w:val="000000"/>
                <w:sz w:val="21"/>
                <w:szCs w:val="21"/>
              </w:rPr>
              <w:t>年</w:t>
            </w:r>
            <w:r w:rsidRPr="00B4515A">
              <w:rPr>
                <w:rFonts w:ascii="Times New Roman" w:hAnsi="Times New Roman" w:cs="Times New Roman"/>
                <w:color w:val="000000"/>
                <w:sz w:val="21"/>
                <w:szCs w:val="21"/>
              </w:rPr>
              <w:t>10</w:t>
            </w:r>
            <w:r w:rsidRPr="00B4515A">
              <w:rPr>
                <w:rFonts w:ascii="Times New Roman" w:hAnsi="Times New Roman" w:cs="Times New Roman" w:hint="eastAsia"/>
                <w:color w:val="000000"/>
                <w:sz w:val="21"/>
                <w:szCs w:val="21"/>
              </w:rPr>
              <w:t>月</w:t>
            </w:r>
          </w:p>
        </w:tc>
        <w:tc>
          <w:tcPr>
            <w:tcW w:w="542" w:type="pct"/>
            <w:tcMar>
              <w:top w:w="0" w:type="dxa"/>
              <w:left w:w="108" w:type="dxa"/>
              <w:bottom w:w="0" w:type="dxa"/>
              <w:right w:w="108" w:type="dxa"/>
            </w:tcMar>
            <w:vAlign w:val="center"/>
          </w:tcPr>
          <w:p w14:paraId="6853AE2B"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履行中</w:t>
            </w:r>
          </w:p>
        </w:tc>
      </w:tr>
      <w:tr w:rsidR="00BA4E33" w:rsidRPr="00B4515A" w14:paraId="13C44D56" w14:textId="77777777" w:rsidTr="00EE238F">
        <w:trPr>
          <w:trHeight w:val="340"/>
          <w:jc w:val="center"/>
        </w:trPr>
        <w:tc>
          <w:tcPr>
            <w:tcW w:w="852" w:type="pct"/>
            <w:tcMar>
              <w:top w:w="0" w:type="dxa"/>
              <w:left w:w="108" w:type="dxa"/>
              <w:bottom w:w="0" w:type="dxa"/>
              <w:right w:w="108" w:type="dxa"/>
            </w:tcMar>
            <w:vAlign w:val="center"/>
          </w:tcPr>
          <w:p w14:paraId="561DE77B"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大唐联诚</w:t>
            </w:r>
          </w:p>
        </w:tc>
        <w:tc>
          <w:tcPr>
            <w:tcW w:w="937" w:type="pct"/>
            <w:shd w:val="clear" w:color="auto" w:fill="auto"/>
            <w:tcMar>
              <w:top w:w="0" w:type="dxa"/>
              <w:left w:w="108" w:type="dxa"/>
              <w:bottom w:w="0" w:type="dxa"/>
              <w:right w:w="108" w:type="dxa"/>
            </w:tcMar>
            <w:vAlign w:val="bottom"/>
          </w:tcPr>
          <w:p w14:paraId="544636D2" w14:textId="4D141ABD"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某电子科技集团下属企业</w:t>
            </w:r>
          </w:p>
        </w:tc>
        <w:tc>
          <w:tcPr>
            <w:tcW w:w="1629" w:type="pct"/>
            <w:shd w:val="clear" w:color="auto" w:fill="auto"/>
            <w:tcMar>
              <w:top w:w="0" w:type="dxa"/>
              <w:left w:w="108" w:type="dxa"/>
              <w:bottom w:w="0" w:type="dxa"/>
              <w:right w:w="108" w:type="dxa"/>
            </w:tcMar>
            <w:vAlign w:val="center"/>
          </w:tcPr>
          <w:p w14:paraId="24B1E7AA" w14:textId="1752979C"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自组网、</w:t>
            </w:r>
            <w:r w:rsidRPr="00B4515A">
              <w:rPr>
                <w:rFonts w:ascii="Times New Roman" w:hAnsi="Times New Roman" w:cs="Times New Roman" w:hint="eastAsia"/>
                <w:color w:val="000000"/>
                <w:sz w:val="21"/>
                <w:szCs w:val="21"/>
              </w:rPr>
              <w:t>LTE</w:t>
            </w:r>
            <w:r w:rsidRPr="00B4515A">
              <w:rPr>
                <w:rFonts w:ascii="Times New Roman" w:hAnsi="Times New Roman" w:cs="Times New Roman" w:hint="eastAsia"/>
                <w:color w:val="000000"/>
                <w:sz w:val="21"/>
                <w:szCs w:val="21"/>
              </w:rPr>
              <w:t>波形技术授权及其服务</w:t>
            </w:r>
          </w:p>
        </w:tc>
        <w:tc>
          <w:tcPr>
            <w:tcW w:w="1040" w:type="pct"/>
            <w:shd w:val="clear" w:color="auto" w:fill="auto"/>
            <w:tcMar>
              <w:top w:w="0" w:type="dxa"/>
              <w:left w:w="108" w:type="dxa"/>
              <w:bottom w:w="0" w:type="dxa"/>
              <w:right w:w="108" w:type="dxa"/>
            </w:tcMar>
            <w:vAlign w:val="center"/>
          </w:tcPr>
          <w:p w14:paraId="58112246"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019</w:t>
            </w:r>
            <w:r w:rsidRPr="00B4515A">
              <w:rPr>
                <w:rFonts w:ascii="Times New Roman" w:hAnsi="Times New Roman" w:cs="Times New Roman" w:hint="eastAsia"/>
                <w:color w:val="000000"/>
                <w:sz w:val="21"/>
                <w:szCs w:val="21"/>
              </w:rPr>
              <w:t>年</w:t>
            </w:r>
            <w:r w:rsidRPr="00B4515A">
              <w:rPr>
                <w:rFonts w:ascii="Times New Roman" w:hAnsi="Times New Roman" w:cs="Times New Roman" w:hint="eastAsia"/>
                <w:color w:val="000000"/>
                <w:sz w:val="21"/>
                <w:szCs w:val="21"/>
              </w:rPr>
              <w:t>9</w:t>
            </w:r>
            <w:r w:rsidRPr="00B4515A">
              <w:rPr>
                <w:rFonts w:ascii="Times New Roman" w:hAnsi="Times New Roman" w:cs="Times New Roman" w:hint="eastAsia"/>
                <w:color w:val="000000"/>
                <w:sz w:val="21"/>
                <w:szCs w:val="21"/>
              </w:rPr>
              <w:t>月至</w:t>
            </w: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024</w:t>
            </w:r>
            <w:r w:rsidRPr="00B4515A">
              <w:rPr>
                <w:rFonts w:ascii="Times New Roman" w:hAnsi="Times New Roman" w:cs="Times New Roman" w:hint="eastAsia"/>
                <w:color w:val="000000"/>
                <w:sz w:val="21"/>
                <w:szCs w:val="21"/>
              </w:rPr>
              <w:t>年</w:t>
            </w:r>
            <w:r w:rsidRPr="00B4515A">
              <w:rPr>
                <w:rFonts w:ascii="Times New Roman" w:hAnsi="Times New Roman" w:cs="Times New Roman" w:hint="eastAsia"/>
                <w:color w:val="000000"/>
                <w:sz w:val="21"/>
                <w:szCs w:val="21"/>
              </w:rPr>
              <w:t>9</w:t>
            </w:r>
            <w:r w:rsidRPr="00B4515A">
              <w:rPr>
                <w:rFonts w:ascii="Times New Roman" w:hAnsi="Times New Roman" w:cs="Times New Roman" w:hint="eastAsia"/>
                <w:color w:val="000000"/>
                <w:sz w:val="21"/>
                <w:szCs w:val="21"/>
              </w:rPr>
              <w:t>月</w:t>
            </w:r>
          </w:p>
        </w:tc>
        <w:tc>
          <w:tcPr>
            <w:tcW w:w="542" w:type="pct"/>
            <w:tcMar>
              <w:top w:w="0" w:type="dxa"/>
              <w:left w:w="108" w:type="dxa"/>
              <w:bottom w:w="0" w:type="dxa"/>
              <w:right w:w="108" w:type="dxa"/>
            </w:tcMar>
            <w:vAlign w:val="center"/>
          </w:tcPr>
          <w:p w14:paraId="245CB624"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履行中</w:t>
            </w:r>
          </w:p>
        </w:tc>
      </w:tr>
      <w:tr w:rsidR="00BA4E33" w:rsidRPr="00B4515A" w14:paraId="32063B59" w14:textId="77777777" w:rsidTr="00EE238F">
        <w:trPr>
          <w:trHeight w:val="340"/>
          <w:jc w:val="center"/>
        </w:trPr>
        <w:tc>
          <w:tcPr>
            <w:tcW w:w="852" w:type="pct"/>
            <w:tcMar>
              <w:top w:w="0" w:type="dxa"/>
              <w:left w:w="108" w:type="dxa"/>
              <w:bottom w:w="0" w:type="dxa"/>
              <w:right w:w="108" w:type="dxa"/>
            </w:tcMar>
            <w:vAlign w:val="center"/>
          </w:tcPr>
          <w:p w14:paraId="6CD78FF1"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大唐联诚</w:t>
            </w:r>
          </w:p>
        </w:tc>
        <w:tc>
          <w:tcPr>
            <w:tcW w:w="937" w:type="pct"/>
            <w:shd w:val="clear" w:color="auto" w:fill="auto"/>
            <w:tcMar>
              <w:top w:w="0" w:type="dxa"/>
              <w:left w:w="108" w:type="dxa"/>
              <w:bottom w:w="0" w:type="dxa"/>
              <w:right w:w="108" w:type="dxa"/>
            </w:tcMar>
            <w:vAlign w:val="bottom"/>
          </w:tcPr>
          <w:p w14:paraId="24B9F721" w14:textId="44E9716F"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中国某工业集团下属企业</w:t>
            </w:r>
          </w:p>
        </w:tc>
        <w:tc>
          <w:tcPr>
            <w:tcW w:w="1629" w:type="pct"/>
            <w:shd w:val="clear" w:color="auto" w:fill="auto"/>
            <w:tcMar>
              <w:top w:w="0" w:type="dxa"/>
              <w:left w:w="108" w:type="dxa"/>
              <w:bottom w:w="0" w:type="dxa"/>
              <w:right w:w="108" w:type="dxa"/>
            </w:tcMar>
            <w:vAlign w:val="center"/>
          </w:tcPr>
          <w:p w14:paraId="0D4A7A18"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自组网、</w:t>
            </w:r>
            <w:r w:rsidRPr="00B4515A">
              <w:rPr>
                <w:rFonts w:ascii="Times New Roman" w:hAnsi="Times New Roman" w:cs="Times New Roman" w:hint="eastAsia"/>
                <w:color w:val="000000"/>
                <w:sz w:val="21"/>
                <w:szCs w:val="21"/>
              </w:rPr>
              <w:t>LTE</w:t>
            </w:r>
            <w:r w:rsidRPr="00B4515A">
              <w:rPr>
                <w:rFonts w:ascii="Times New Roman" w:hAnsi="Times New Roman" w:cs="Times New Roman" w:hint="eastAsia"/>
                <w:color w:val="000000"/>
                <w:sz w:val="21"/>
                <w:szCs w:val="21"/>
              </w:rPr>
              <w:t>波形技术授权及其服务</w:t>
            </w:r>
          </w:p>
        </w:tc>
        <w:tc>
          <w:tcPr>
            <w:tcW w:w="1040" w:type="pct"/>
            <w:shd w:val="clear" w:color="auto" w:fill="auto"/>
            <w:tcMar>
              <w:top w:w="0" w:type="dxa"/>
              <w:left w:w="108" w:type="dxa"/>
              <w:bottom w:w="0" w:type="dxa"/>
              <w:right w:w="108" w:type="dxa"/>
            </w:tcMar>
            <w:vAlign w:val="center"/>
          </w:tcPr>
          <w:p w14:paraId="7D3A9AAB"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019</w:t>
            </w:r>
            <w:r w:rsidRPr="00B4515A">
              <w:rPr>
                <w:rFonts w:ascii="Times New Roman" w:hAnsi="Times New Roman" w:cs="Times New Roman" w:hint="eastAsia"/>
                <w:color w:val="000000"/>
                <w:sz w:val="21"/>
                <w:szCs w:val="21"/>
              </w:rPr>
              <w:t>年</w:t>
            </w:r>
            <w:r w:rsidRPr="00B4515A">
              <w:rPr>
                <w:rFonts w:ascii="Times New Roman" w:hAnsi="Times New Roman" w:cs="Times New Roman" w:hint="eastAsia"/>
                <w:color w:val="000000"/>
                <w:sz w:val="21"/>
                <w:szCs w:val="21"/>
              </w:rPr>
              <w:t>1</w:t>
            </w:r>
            <w:r w:rsidRPr="00B4515A">
              <w:rPr>
                <w:rFonts w:ascii="Times New Roman" w:hAnsi="Times New Roman" w:cs="Times New Roman"/>
                <w:color w:val="000000"/>
                <w:sz w:val="21"/>
                <w:szCs w:val="21"/>
              </w:rPr>
              <w:t>0</w:t>
            </w:r>
            <w:r w:rsidRPr="00B4515A">
              <w:rPr>
                <w:rFonts w:ascii="Times New Roman" w:hAnsi="Times New Roman" w:cs="Times New Roman" w:hint="eastAsia"/>
                <w:color w:val="000000"/>
                <w:sz w:val="21"/>
                <w:szCs w:val="21"/>
              </w:rPr>
              <w:t>月至</w:t>
            </w: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024</w:t>
            </w:r>
            <w:r w:rsidRPr="00B4515A">
              <w:rPr>
                <w:rFonts w:ascii="Times New Roman" w:hAnsi="Times New Roman" w:cs="Times New Roman" w:hint="eastAsia"/>
                <w:color w:val="000000"/>
                <w:sz w:val="21"/>
                <w:szCs w:val="21"/>
              </w:rPr>
              <w:t>年</w:t>
            </w:r>
            <w:r w:rsidRPr="00B4515A">
              <w:rPr>
                <w:rFonts w:ascii="Times New Roman" w:hAnsi="Times New Roman" w:cs="Times New Roman" w:hint="eastAsia"/>
                <w:color w:val="000000"/>
                <w:sz w:val="21"/>
                <w:szCs w:val="21"/>
              </w:rPr>
              <w:t>1</w:t>
            </w:r>
            <w:r w:rsidRPr="00B4515A">
              <w:rPr>
                <w:rFonts w:ascii="Times New Roman" w:hAnsi="Times New Roman" w:cs="Times New Roman"/>
                <w:color w:val="000000"/>
                <w:sz w:val="21"/>
                <w:szCs w:val="21"/>
              </w:rPr>
              <w:t>0</w:t>
            </w:r>
            <w:r w:rsidRPr="00B4515A">
              <w:rPr>
                <w:rFonts w:ascii="Times New Roman" w:hAnsi="Times New Roman" w:cs="Times New Roman" w:hint="eastAsia"/>
                <w:color w:val="000000"/>
                <w:sz w:val="21"/>
                <w:szCs w:val="21"/>
              </w:rPr>
              <w:t>月</w:t>
            </w:r>
          </w:p>
        </w:tc>
        <w:tc>
          <w:tcPr>
            <w:tcW w:w="542" w:type="pct"/>
            <w:tcMar>
              <w:top w:w="0" w:type="dxa"/>
              <w:left w:w="108" w:type="dxa"/>
              <w:bottom w:w="0" w:type="dxa"/>
              <w:right w:w="108" w:type="dxa"/>
            </w:tcMar>
            <w:vAlign w:val="center"/>
          </w:tcPr>
          <w:p w14:paraId="4C4C9BEA"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履行中</w:t>
            </w:r>
          </w:p>
        </w:tc>
      </w:tr>
      <w:tr w:rsidR="00BA4E33" w:rsidRPr="00B4515A" w14:paraId="34CB01AD" w14:textId="77777777" w:rsidTr="00031627">
        <w:trPr>
          <w:trHeight w:val="340"/>
          <w:jc w:val="center"/>
        </w:trPr>
        <w:tc>
          <w:tcPr>
            <w:tcW w:w="852" w:type="pct"/>
            <w:tcMar>
              <w:top w:w="0" w:type="dxa"/>
              <w:left w:w="108" w:type="dxa"/>
              <w:bottom w:w="0" w:type="dxa"/>
              <w:right w:w="108" w:type="dxa"/>
            </w:tcMar>
            <w:vAlign w:val="center"/>
          </w:tcPr>
          <w:p w14:paraId="341F88EB"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大唐联诚</w:t>
            </w:r>
          </w:p>
        </w:tc>
        <w:tc>
          <w:tcPr>
            <w:tcW w:w="937" w:type="pct"/>
            <w:shd w:val="clear" w:color="auto" w:fill="auto"/>
            <w:tcMar>
              <w:top w:w="0" w:type="dxa"/>
              <w:left w:w="108" w:type="dxa"/>
              <w:bottom w:w="0" w:type="dxa"/>
              <w:right w:w="108" w:type="dxa"/>
            </w:tcMar>
            <w:vAlign w:val="center"/>
          </w:tcPr>
          <w:p w14:paraId="38D47311" w14:textId="16BFCF41"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天津某通信公司</w:t>
            </w:r>
          </w:p>
        </w:tc>
        <w:tc>
          <w:tcPr>
            <w:tcW w:w="1629" w:type="pct"/>
            <w:shd w:val="clear" w:color="auto" w:fill="auto"/>
            <w:tcMar>
              <w:top w:w="0" w:type="dxa"/>
              <w:left w:w="108" w:type="dxa"/>
              <w:bottom w:w="0" w:type="dxa"/>
              <w:right w:w="108" w:type="dxa"/>
            </w:tcMar>
            <w:vAlign w:val="center"/>
          </w:tcPr>
          <w:p w14:paraId="494F28E5"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LTE</w:t>
            </w:r>
            <w:r w:rsidRPr="00B4515A">
              <w:rPr>
                <w:rFonts w:ascii="Times New Roman" w:hAnsi="Times New Roman" w:cs="Times New Roman" w:hint="eastAsia"/>
                <w:color w:val="000000"/>
                <w:sz w:val="21"/>
                <w:szCs w:val="21"/>
              </w:rPr>
              <w:t>波形技术授权及其服务</w:t>
            </w:r>
          </w:p>
        </w:tc>
        <w:tc>
          <w:tcPr>
            <w:tcW w:w="1040" w:type="pct"/>
            <w:shd w:val="clear" w:color="auto" w:fill="auto"/>
            <w:tcMar>
              <w:top w:w="0" w:type="dxa"/>
              <w:left w:w="108" w:type="dxa"/>
              <w:bottom w:w="0" w:type="dxa"/>
              <w:right w:w="108" w:type="dxa"/>
            </w:tcMar>
            <w:vAlign w:val="center"/>
          </w:tcPr>
          <w:p w14:paraId="7CE0AB3C"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020</w:t>
            </w:r>
            <w:r w:rsidRPr="00B4515A">
              <w:rPr>
                <w:rFonts w:ascii="Times New Roman" w:hAnsi="Times New Roman" w:cs="Times New Roman" w:hint="eastAsia"/>
                <w:color w:val="000000"/>
                <w:sz w:val="21"/>
                <w:szCs w:val="21"/>
              </w:rPr>
              <w:t>年</w:t>
            </w:r>
            <w:r w:rsidRPr="00B4515A">
              <w:rPr>
                <w:rFonts w:ascii="Times New Roman" w:hAnsi="Times New Roman" w:cs="Times New Roman" w:hint="eastAsia"/>
                <w:color w:val="000000"/>
                <w:sz w:val="21"/>
                <w:szCs w:val="21"/>
              </w:rPr>
              <w:t>1</w:t>
            </w:r>
            <w:r w:rsidRPr="00B4515A">
              <w:rPr>
                <w:rFonts w:ascii="Times New Roman" w:hAnsi="Times New Roman" w:cs="Times New Roman"/>
                <w:color w:val="000000"/>
                <w:sz w:val="21"/>
                <w:szCs w:val="21"/>
              </w:rPr>
              <w:t>0</w:t>
            </w:r>
            <w:r w:rsidRPr="00B4515A">
              <w:rPr>
                <w:rFonts w:ascii="Times New Roman" w:hAnsi="Times New Roman" w:cs="Times New Roman" w:hint="eastAsia"/>
                <w:color w:val="000000"/>
                <w:sz w:val="21"/>
                <w:szCs w:val="21"/>
              </w:rPr>
              <w:t>月至</w:t>
            </w:r>
            <w:r w:rsidRPr="00B4515A">
              <w:rPr>
                <w:rFonts w:ascii="Times New Roman" w:hAnsi="Times New Roman" w:cs="Times New Roman" w:hint="eastAsia"/>
                <w:color w:val="000000"/>
                <w:sz w:val="21"/>
                <w:szCs w:val="21"/>
              </w:rPr>
              <w:t>2</w:t>
            </w:r>
            <w:r w:rsidRPr="00B4515A">
              <w:rPr>
                <w:rFonts w:ascii="Times New Roman" w:hAnsi="Times New Roman" w:cs="Times New Roman"/>
                <w:color w:val="000000"/>
                <w:sz w:val="21"/>
                <w:szCs w:val="21"/>
              </w:rPr>
              <w:t>025</w:t>
            </w:r>
            <w:r w:rsidRPr="00B4515A">
              <w:rPr>
                <w:rFonts w:ascii="Times New Roman" w:hAnsi="Times New Roman" w:cs="Times New Roman" w:hint="eastAsia"/>
                <w:color w:val="000000"/>
                <w:sz w:val="21"/>
                <w:szCs w:val="21"/>
              </w:rPr>
              <w:t>年</w:t>
            </w:r>
            <w:r w:rsidRPr="00B4515A">
              <w:rPr>
                <w:rFonts w:ascii="Times New Roman" w:hAnsi="Times New Roman" w:cs="Times New Roman" w:hint="eastAsia"/>
                <w:color w:val="000000"/>
                <w:sz w:val="21"/>
                <w:szCs w:val="21"/>
              </w:rPr>
              <w:t>1</w:t>
            </w:r>
            <w:r w:rsidRPr="00B4515A">
              <w:rPr>
                <w:rFonts w:ascii="Times New Roman" w:hAnsi="Times New Roman" w:cs="Times New Roman"/>
                <w:color w:val="000000"/>
                <w:sz w:val="21"/>
                <w:szCs w:val="21"/>
              </w:rPr>
              <w:t>0</w:t>
            </w:r>
            <w:r w:rsidRPr="00B4515A">
              <w:rPr>
                <w:rFonts w:ascii="Times New Roman" w:hAnsi="Times New Roman" w:cs="Times New Roman" w:hint="eastAsia"/>
                <w:color w:val="000000"/>
                <w:sz w:val="21"/>
                <w:szCs w:val="21"/>
              </w:rPr>
              <w:t>月</w:t>
            </w:r>
          </w:p>
        </w:tc>
        <w:tc>
          <w:tcPr>
            <w:tcW w:w="542" w:type="pct"/>
            <w:tcMar>
              <w:top w:w="0" w:type="dxa"/>
              <w:left w:w="108" w:type="dxa"/>
              <w:bottom w:w="0" w:type="dxa"/>
              <w:right w:w="108" w:type="dxa"/>
            </w:tcMar>
            <w:vAlign w:val="center"/>
          </w:tcPr>
          <w:p w14:paraId="52161907" w14:textId="77777777" w:rsidR="00BA4E33" w:rsidRPr="00B4515A" w:rsidRDefault="00BA4E33" w:rsidP="00BA4E33">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履行中</w:t>
            </w:r>
          </w:p>
        </w:tc>
      </w:tr>
    </w:tbl>
    <w:p w14:paraId="5F764AF6" w14:textId="7C55C40A" w:rsidR="00E113E8" w:rsidRPr="00B4515A" w:rsidRDefault="00E113E8" w:rsidP="005860B4">
      <w:pPr>
        <w:pStyle w:val="004"/>
        <w:spacing w:before="120" w:after="120"/>
        <w:ind w:firstLine="482"/>
      </w:pPr>
      <w:r w:rsidRPr="00B4515A">
        <w:rPr>
          <w:rFonts w:hint="eastAsia"/>
        </w:rPr>
        <w:t>2</w:t>
      </w:r>
      <w:r w:rsidRPr="00B4515A">
        <w:rPr>
          <w:rFonts w:hint="eastAsia"/>
        </w:rPr>
        <w:t>、</w:t>
      </w:r>
      <w:r w:rsidR="003B361F" w:rsidRPr="00B4515A">
        <w:rPr>
          <w:rFonts w:hint="eastAsia"/>
        </w:rPr>
        <w:t>大唐联诚被许可使用他人资产情况</w:t>
      </w:r>
    </w:p>
    <w:p w14:paraId="01B3C804" w14:textId="7436B4E5" w:rsidR="003B361F" w:rsidRPr="00B4515A" w:rsidRDefault="003B361F" w:rsidP="005860B4">
      <w:pPr>
        <w:pStyle w:val="005"/>
        <w:spacing w:before="120" w:after="120"/>
        <w:ind w:firstLine="480"/>
      </w:pPr>
      <w:r w:rsidRPr="00B4515A">
        <w:rPr>
          <w:rFonts w:hint="eastAsia"/>
        </w:rPr>
        <w:t>截至</w:t>
      </w:r>
      <w:r w:rsidRPr="00B4515A">
        <w:t>2021</w:t>
      </w:r>
      <w:r w:rsidRPr="00B4515A">
        <w:rPr>
          <w:rFonts w:hint="eastAsia"/>
        </w:rPr>
        <w:t>年</w:t>
      </w:r>
      <w:r w:rsidRPr="00B4515A">
        <w:t>4</w:t>
      </w:r>
      <w:r w:rsidRPr="00B4515A">
        <w:rPr>
          <w:rFonts w:hint="eastAsia"/>
        </w:rPr>
        <w:t>月</w:t>
      </w:r>
      <w:r w:rsidRPr="00B4515A">
        <w:t>30</w:t>
      </w:r>
      <w:r w:rsidRPr="00B4515A">
        <w:rPr>
          <w:rFonts w:hint="eastAsia"/>
        </w:rPr>
        <w:t>日，大唐联诚作为被许可人，使用他人资产的情况如下：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90"/>
        <w:gridCol w:w="1217"/>
        <w:gridCol w:w="3641"/>
        <w:gridCol w:w="1213"/>
        <w:gridCol w:w="1267"/>
      </w:tblGrid>
      <w:tr w:rsidR="00BC2DA2" w:rsidRPr="00B4515A" w14:paraId="0989F6CD" w14:textId="77777777" w:rsidTr="00031627">
        <w:trPr>
          <w:trHeight w:val="340"/>
          <w:jc w:val="center"/>
        </w:trPr>
        <w:tc>
          <w:tcPr>
            <w:tcW w:w="697" w:type="pct"/>
            <w:tcMar>
              <w:top w:w="0" w:type="dxa"/>
              <w:left w:w="108" w:type="dxa"/>
              <w:bottom w:w="0" w:type="dxa"/>
              <w:right w:w="108" w:type="dxa"/>
            </w:tcMar>
            <w:vAlign w:val="center"/>
          </w:tcPr>
          <w:p w14:paraId="5E830850" w14:textId="77777777" w:rsidR="00BC2DA2" w:rsidRPr="00B4515A" w:rsidRDefault="00BC2DA2" w:rsidP="005860B4">
            <w:pPr>
              <w:adjustRightInd w:val="0"/>
              <w:snapToGrid w:val="0"/>
              <w:jc w:val="center"/>
              <w:rPr>
                <w:rFonts w:ascii="Times New Roman" w:hAnsi="Times New Roman"/>
                <w:b/>
                <w:bCs/>
                <w:color w:val="000000"/>
                <w:sz w:val="21"/>
                <w:szCs w:val="21"/>
              </w:rPr>
            </w:pPr>
            <w:r w:rsidRPr="00B4515A">
              <w:rPr>
                <w:rFonts w:ascii="Times New Roman" w:hAnsi="Times New Roman" w:hint="eastAsia"/>
                <w:b/>
                <w:bCs/>
                <w:color w:val="000000"/>
                <w:sz w:val="21"/>
                <w:szCs w:val="21"/>
              </w:rPr>
              <w:t>许可人</w:t>
            </w:r>
          </w:p>
        </w:tc>
        <w:tc>
          <w:tcPr>
            <w:tcW w:w="713" w:type="pct"/>
            <w:shd w:val="clear" w:color="auto" w:fill="auto"/>
            <w:tcMar>
              <w:top w:w="0" w:type="dxa"/>
              <w:left w:w="108" w:type="dxa"/>
              <w:bottom w:w="0" w:type="dxa"/>
              <w:right w:w="108" w:type="dxa"/>
            </w:tcMar>
            <w:vAlign w:val="center"/>
          </w:tcPr>
          <w:p w14:paraId="63E2D53A" w14:textId="77777777" w:rsidR="00BC2DA2" w:rsidRPr="00B4515A" w:rsidRDefault="00BC2DA2" w:rsidP="005860B4">
            <w:pPr>
              <w:adjustRightInd w:val="0"/>
              <w:snapToGrid w:val="0"/>
              <w:jc w:val="center"/>
              <w:rPr>
                <w:rFonts w:ascii="Times New Roman" w:hAnsi="Times New Roman"/>
                <w:b/>
                <w:bCs/>
                <w:color w:val="000000"/>
                <w:sz w:val="21"/>
                <w:szCs w:val="21"/>
              </w:rPr>
            </w:pPr>
            <w:r w:rsidRPr="00B4515A">
              <w:rPr>
                <w:rFonts w:ascii="Times New Roman" w:hAnsi="Times New Roman" w:hint="eastAsia"/>
                <w:b/>
                <w:bCs/>
                <w:color w:val="000000"/>
                <w:sz w:val="21"/>
                <w:szCs w:val="21"/>
              </w:rPr>
              <w:t>被许可人</w:t>
            </w:r>
          </w:p>
        </w:tc>
        <w:tc>
          <w:tcPr>
            <w:tcW w:w="2135" w:type="pct"/>
            <w:shd w:val="clear" w:color="auto" w:fill="auto"/>
            <w:tcMar>
              <w:top w:w="0" w:type="dxa"/>
              <w:left w:w="108" w:type="dxa"/>
              <w:bottom w:w="0" w:type="dxa"/>
              <w:right w:w="108" w:type="dxa"/>
            </w:tcMar>
            <w:vAlign w:val="center"/>
          </w:tcPr>
          <w:p w14:paraId="101B0F0E" w14:textId="77777777" w:rsidR="00BC2DA2" w:rsidRPr="00B4515A" w:rsidRDefault="00BC2DA2" w:rsidP="005860B4">
            <w:pPr>
              <w:adjustRightInd w:val="0"/>
              <w:snapToGrid w:val="0"/>
              <w:jc w:val="center"/>
              <w:rPr>
                <w:rFonts w:ascii="Times New Roman" w:hAnsi="Times New Roman"/>
                <w:b/>
                <w:bCs/>
                <w:color w:val="000000"/>
                <w:sz w:val="21"/>
                <w:szCs w:val="21"/>
              </w:rPr>
            </w:pPr>
            <w:r w:rsidRPr="00B4515A">
              <w:rPr>
                <w:rFonts w:ascii="Times New Roman" w:hAnsi="Times New Roman" w:hint="eastAsia"/>
                <w:b/>
                <w:bCs/>
                <w:color w:val="000000"/>
                <w:sz w:val="21"/>
                <w:szCs w:val="21"/>
              </w:rPr>
              <w:t>许可使用的具体资产内容</w:t>
            </w:r>
          </w:p>
        </w:tc>
        <w:tc>
          <w:tcPr>
            <w:tcW w:w="711" w:type="pct"/>
            <w:shd w:val="clear" w:color="auto" w:fill="auto"/>
            <w:tcMar>
              <w:top w:w="0" w:type="dxa"/>
              <w:left w:w="108" w:type="dxa"/>
              <w:bottom w:w="0" w:type="dxa"/>
              <w:right w:w="108" w:type="dxa"/>
            </w:tcMar>
            <w:vAlign w:val="center"/>
          </w:tcPr>
          <w:p w14:paraId="791D3EA9" w14:textId="77777777" w:rsidR="00BC2DA2" w:rsidRPr="00B4515A" w:rsidRDefault="00BC2DA2" w:rsidP="005860B4">
            <w:pPr>
              <w:adjustRightInd w:val="0"/>
              <w:snapToGrid w:val="0"/>
              <w:jc w:val="center"/>
              <w:rPr>
                <w:rFonts w:ascii="Times New Roman" w:hAnsi="Times New Roman"/>
                <w:b/>
                <w:bCs/>
                <w:color w:val="000000"/>
                <w:sz w:val="21"/>
                <w:szCs w:val="21"/>
              </w:rPr>
            </w:pPr>
            <w:r w:rsidRPr="00B4515A">
              <w:rPr>
                <w:rFonts w:ascii="Times New Roman" w:hAnsi="Times New Roman" w:hint="eastAsia"/>
                <w:b/>
                <w:bCs/>
                <w:color w:val="000000"/>
                <w:sz w:val="21"/>
                <w:szCs w:val="21"/>
              </w:rPr>
              <w:t>许可年限</w:t>
            </w:r>
          </w:p>
        </w:tc>
        <w:tc>
          <w:tcPr>
            <w:tcW w:w="743" w:type="pct"/>
            <w:tcMar>
              <w:top w:w="0" w:type="dxa"/>
              <w:left w:w="108" w:type="dxa"/>
              <w:bottom w:w="0" w:type="dxa"/>
              <w:right w:w="108" w:type="dxa"/>
            </w:tcMar>
            <w:vAlign w:val="center"/>
          </w:tcPr>
          <w:p w14:paraId="16DBCE67" w14:textId="77777777" w:rsidR="00BC2DA2" w:rsidRPr="00B4515A" w:rsidRDefault="00BC2DA2" w:rsidP="005860B4">
            <w:pPr>
              <w:adjustRightInd w:val="0"/>
              <w:snapToGrid w:val="0"/>
              <w:jc w:val="center"/>
              <w:rPr>
                <w:rFonts w:ascii="Times New Roman" w:hAnsi="Times New Roman"/>
                <w:b/>
                <w:bCs/>
                <w:color w:val="000000"/>
                <w:sz w:val="21"/>
                <w:szCs w:val="21"/>
              </w:rPr>
            </w:pPr>
            <w:r w:rsidRPr="00B4515A">
              <w:rPr>
                <w:rFonts w:ascii="Times New Roman" w:hAnsi="Times New Roman" w:hint="eastAsia"/>
                <w:b/>
                <w:bCs/>
                <w:color w:val="000000"/>
                <w:sz w:val="21"/>
                <w:szCs w:val="21"/>
              </w:rPr>
              <w:t>履行状态</w:t>
            </w:r>
          </w:p>
        </w:tc>
      </w:tr>
      <w:tr w:rsidR="00BC2DA2" w:rsidRPr="00B4515A" w14:paraId="45BA0180" w14:textId="77777777" w:rsidTr="00031627">
        <w:trPr>
          <w:trHeight w:val="340"/>
          <w:jc w:val="center"/>
        </w:trPr>
        <w:tc>
          <w:tcPr>
            <w:tcW w:w="697" w:type="pct"/>
            <w:tcMar>
              <w:top w:w="0" w:type="dxa"/>
              <w:left w:w="108" w:type="dxa"/>
              <w:bottom w:w="0" w:type="dxa"/>
              <w:right w:w="108" w:type="dxa"/>
            </w:tcMar>
            <w:vAlign w:val="center"/>
          </w:tcPr>
          <w:p w14:paraId="498D3CBF" w14:textId="35BAB9DC" w:rsidR="00BC2DA2" w:rsidRPr="00B4515A" w:rsidRDefault="004E0040"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SN10003</w:t>
            </w:r>
          </w:p>
        </w:tc>
        <w:tc>
          <w:tcPr>
            <w:tcW w:w="713" w:type="pct"/>
            <w:shd w:val="clear" w:color="auto" w:fill="auto"/>
            <w:tcMar>
              <w:top w:w="0" w:type="dxa"/>
              <w:left w:w="108" w:type="dxa"/>
              <w:bottom w:w="0" w:type="dxa"/>
              <w:right w:w="108" w:type="dxa"/>
            </w:tcMar>
            <w:vAlign w:val="center"/>
          </w:tcPr>
          <w:p w14:paraId="4A60521D" w14:textId="77777777" w:rsidR="00BC2DA2" w:rsidRPr="00B4515A" w:rsidRDefault="00BC2DA2"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大唐联诚</w:t>
            </w:r>
          </w:p>
        </w:tc>
        <w:tc>
          <w:tcPr>
            <w:tcW w:w="2135" w:type="pct"/>
            <w:shd w:val="clear" w:color="auto" w:fill="auto"/>
            <w:tcMar>
              <w:top w:w="0" w:type="dxa"/>
              <w:left w:w="108" w:type="dxa"/>
              <w:bottom w:w="0" w:type="dxa"/>
              <w:right w:w="108" w:type="dxa"/>
            </w:tcMar>
            <w:vAlign w:val="center"/>
          </w:tcPr>
          <w:p w14:paraId="6C3AFD7F" w14:textId="4120D916" w:rsidR="00BC2DA2" w:rsidRPr="00B4515A" w:rsidRDefault="00232A23" w:rsidP="00EE238F">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专用移动通信的</w:t>
            </w:r>
            <w:r w:rsidRPr="00B4515A">
              <w:rPr>
                <w:rFonts w:ascii="Times New Roman" w:hAnsi="Times New Roman" w:cs="Times New Roman"/>
                <w:color w:val="000000"/>
                <w:sz w:val="21"/>
                <w:szCs w:val="21"/>
              </w:rPr>
              <w:t>4G</w:t>
            </w:r>
            <w:r w:rsidRPr="00B4515A">
              <w:rPr>
                <w:rFonts w:ascii="Times New Roman" w:hAnsi="Times New Roman" w:cs="Times New Roman"/>
                <w:color w:val="000000"/>
                <w:sz w:val="21"/>
                <w:szCs w:val="21"/>
              </w:rPr>
              <w:t>专网产品中的相关专有技术</w:t>
            </w:r>
          </w:p>
        </w:tc>
        <w:tc>
          <w:tcPr>
            <w:tcW w:w="711" w:type="pct"/>
            <w:shd w:val="clear" w:color="auto" w:fill="auto"/>
            <w:tcMar>
              <w:top w:w="0" w:type="dxa"/>
              <w:left w:w="108" w:type="dxa"/>
              <w:bottom w:w="0" w:type="dxa"/>
              <w:right w:w="108" w:type="dxa"/>
            </w:tcMar>
            <w:vAlign w:val="center"/>
          </w:tcPr>
          <w:p w14:paraId="2E1BDE9C" w14:textId="77777777" w:rsidR="00BC2DA2" w:rsidRPr="00B4515A" w:rsidRDefault="00BC2DA2"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无期限</w:t>
            </w:r>
          </w:p>
        </w:tc>
        <w:tc>
          <w:tcPr>
            <w:tcW w:w="743" w:type="pct"/>
            <w:tcMar>
              <w:top w:w="0" w:type="dxa"/>
              <w:left w:w="108" w:type="dxa"/>
              <w:bottom w:w="0" w:type="dxa"/>
              <w:right w:w="108" w:type="dxa"/>
            </w:tcMar>
            <w:vAlign w:val="center"/>
          </w:tcPr>
          <w:p w14:paraId="3D1ABC63" w14:textId="77777777" w:rsidR="00BC2DA2" w:rsidRPr="00B4515A" w:rsidRDefault="00BC2DA2"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履行中</w:t>
            </w:r>
          </w:p>
        </w:tc>
      </w:tr>
      <w:tr w:rsidR="00BC2DA2" w:rsidRPr="00B4515A" w14:paraId="468C03C7" w14:textId="77777777" w:rsidTr="00031627">
        <w:trPr>
          <w:trHeight w:val="340"/>
          <w:jc w:val="center"/>
        </w:trPr>
        <w:tc>
          <w:tcPr>
            <w:tcW w:w="697" w:type="pct"/>
            <w:tcMar>
              <w:top w:w="0" w:type="dxa"/>
              <w:left w:w="108" w:type="dxa"/>
              <w:bottom w:w="0" w:type="dxa"/>
              <w:right w:w="108" w:type="dxa"/>
            </w:tcMar>
            <w:vAlign w:val="center"/>
          </w:tcPr>
          <w:p w14:paraId="7045621A" w14:textId="3413FCA3" w:rsidR="00BC2DA2" w:rsidRPr="00B4515A" w:rsidRDefault="004E0040"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SN10003</w:t>
            </w:r>
          </w:p>
        </w:tc>
        <w:tc>
          <w:tcPr>
            <w:tcW w:w="713" w:type="pct"/>
            <w:shd w:val="clear" w:color="auto" w:fill="auto"/>
            <w:tcMar>
              <w:top w:w="0" w:type="dxa"/>
              <w:left w:w="108" w:type="dxa"/>
              <w:bottom w:w="0" w:type="dxa"/>
              <w:right w:w="108" w:type="dxa"/>
            </w:tcMar>
            <w:vAlign w:val="center"/>
          </w:tcPr>
          <w:p w14:paraId="30D1772F" w14:textId="77777777" w:rsidR="00BC2DA2" w:rsidRPr="00B4515A" w:rsidRDefault="00BC2DA2"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大唐联诚</w:t>
            </w:r>
          </w:p>
        </w:tc>
        <w:tc>
          <w:tcPr>
            <w:tcW w:w="2135" w:type="pct"/>
            <w:shd w:val="clear" w:color="auto" w:fill="auto"/>
            <w:tcMar>
              <w:top w:w="0" w:type="dxa"/>
              <w:left w:w="108" w:type="dxa"/>
              <w:bottom w:w="0" w:type="dxa"/>
              <w:right w:w="108" w:type="dxa"/>
            </w:tcMar>
            <w:vAlign w:val="center"/>
          </w:tcPr>
          <w:p w14:paraId="6ED603BD" w14:textId="76776625" w:rsidR="00BC2DA2" w:rsidRPr="00B4515A" w:rsidRDefault="00232A23" w:rsidP="00EE238F">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color w:val="000000"/>
                <w:sz w:val="21"/>
                <w:szCs w:val="21"/>
              </w:rPr>
              <w:t>3G</w:t>
            </w:r>
            <w:r w:rsidRPr="00B4515A">
              <w:rPr>
                <w:rFonts w:ascii="Times New Roman" w:hAnsi="Times New Roman" w:cs="Times New Roman"/>
                <w:color w:val="000000"/>
                <w:sz w:val="21"/>
                <w:szCs w:val="21"/>
              </w:rPr>
              <w:t>、</w:t>
            </w:r>
            <w:r w:rsidRPr="00B4515A">
              <w:rPr>
                <w:rFonts w:ascii="Times New Roman" w:hAnsi="Times New Roman" w:cs="Times New Roman"/>
                <w:color w:val="000000"/>
                <w:sz w:val="21"/>
                <w:szCs w:val="21"/>
              </w:rPr>
              <w:t>4G</w:t>
            </w:r>
            <w:r w:rsidRPr="00B4515A">
              <w:rPr>
                <w:rFonts w:ascii="Times New Roman" w:hAnsi="Times New Roman" w:cs="Times New Roman"/>
                <w:color w:val="000000"/>
                <w:sz w:val="21"/>
                <w:szCs w:val="21"/>
              </w:rPr>
              <w:t>移动通信底层通用通信技术以及相对应的开发工具、测试工具等内容</w:t>
            </w:r>
          </w:p>
        </w:tc>
        <w:tc>
          <w:tcPr>
            <w:tcW w:w="711" w:type="pct"/>
            <w:shd w:val="clear" w:color="auto" w:fill="auto"/>
            <w:tcMar>
              <w:top w:w="0" w:type="dxa"/>
              <w:left w:w="108" w:type="dxa"/>
              <w:bottom w:w="0" w:type="dxa"/>
              <w:right w:w="108" w:type="dxa"/>
            </w:tcMar>
            <w:vAlign w:val="center"/>
          </w:tcPr>
          <w:p w14:paraId="235A564F" w14:textId="77777777" w:rsidR="00BC2DA2" w:rsidRPr="00B4515A" w:rsidRDefault="00BC2DA2"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无期限</w:t>
            </w:r>
          </w:p>
        </w:tc>
        <w:tc>
          <w:tcPr>
            <w:tcW w:w="743" w:type="pct"/>
            <w:tcMar>
              <w:top w:w="0" w:type="dxa"/>
              <w:left w:w="108" w:type="dxa"/>
              <w:bottom w:w="0" w:type="dxa"/>
              <w:right w:w="108" w:type="dxa"/>
            </w:tcMar>
            <w:vAlign w:val="center"/>
          </w:tcPr>
          <w:p w14:paraId="37189EAC" w14:textId="77777777" w:rsidR="00BC2DA2" w:rsidRPr="00B4515A" w:rsidRDefault="00BC2DA2"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履行中</w:t>
            </w:r>
          </w:p>
        </w:tc>
      </w:tr>
    </w:tbl>
    <w:p w14:paraId="562C110A" w14:textId="30EDAB7E" w:rsidR="006416B0" w:rsidRPr="00B4515A" w:rsidRDefault="002A5D8F" w:rsidP="005860B4">
      <w:pPr>
        <w:pStyle w:val="002"/>
        <w:spacing w:before="120" w:after="120"/>
        <w:ind w:firstLine="562"/>
      </w:pPr>
      <w:bookmarkStart w:id="203" w:name="_Toc80960544"/>
      <w:bookmarkEnd w:id="202"/>
      <w:r w:rsidRPr="00B4515A">
        <w:rPr>
          <w:rFonts w:hint="eastAsia"/>
        </w:rPr>
        <w:t>十</w:t>
      </w:r>
      <w:r w:rsidRPr="00B4515A">
        <w:t>、最近三年与交易、增资及改制相关评估或估值情况</w:t>
      </w:r>
      <w:bookmarkEnd w:id="203"/>
    </w:p>
    <w:p w14:paraId="7396A078" w14:textId="77777777" w:rsidR="006416B0" w:rsidRPr="00B4515A" w:rsidRDefault="005E58C1" w:rsidP="005860B4">
      <w:pPr>
        <w:pStyle w:val="004"/>
        <w:spacing w:before="120" w:after="120"/>
        <w:ind w:firstLine="482"/>
      </w:pPr>
      <w:r w:rsidRPr="00B4515A">
        <w:rPr>
          <w:rFonts w:hint="eastAsia"/>
        </w:rPr>
        <w:t>1</w:t>
      </w:r>
      <w:r w:rsidRPr="00B4515A">
        <w:rPr>
          <w:rFonts w:hint="eastAsia"/>
        </w:rPr>
        <w:t>、最近三年交易、增资情况</w:t>
      </w:r>
    </w:p>
    <w:p w14:paraId="749714C0" w14:textId="77777777" w:rsidR="006416B0" w:rsidRPr="00B4515A" w:rsidRDefault="005E58C1" w:rsidP="005860B4">
      <w:pPr>
        <w:pStyle w:val="005"/>
        <w:spacing w:before="120" w:after="120"/>
        <w:ind w:firstLine="480"/>
      </w:pPr>
      <w:r w:rsidRPr="00B4515A">
        <w:rPr>
          <w:rFonts w:hint="eastAsia"/>
        </w:rPr>
        <w:t>截至本报告书签署之日，大唐联诚最近三年未发生股权转让。</w:t>
      </w:r>
    </w:p>
    <w:p w14:paraId="6303FF03" w14:textId="77777777" w:rsidR="006416B0" w:rsidRPr="00B4515A" w:rsidRDefault="005E58C1" w:rsidP="005860B4">
      <w:pPr>
        <w:pStyle w:val="005"/>
        <w:spacing w:before="120" w:after="120"/>
        <w:ind w:firstLine="480"/>
      </w:pPr>
      <w:r w:rsidRPr="00B4515A">
        <w:rPr>
          <w:rFonts w:hint="eastAsia"/>
        </w:rPr>
        <w:t>截至本报告书签署之日，大唐联诚最近三年增资情况参见本节</w:t>
      </w:r>
      <w:r w:rsidRPr="00B4515A">
        <w:rPr>
          <w:rFonts w:ascii="宋体" w:hAnsi="宋体" w:hint="eastAsia"/>
        </w:rPr>
        <w:t>“</w:t>
      </w:r>
      <w:r w:rsidRPr="00B4515A">
        <w:rPr>
          <w:rFonts w:hint="eastAsia"/>
        </w:rPr>
        <w:t>二、历史沿革</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第四节</w:t>
      </w:r>
      <w:r w:rsidRPr="00B4515A">
        <w:rPr>
          <w:rFonts w:hint="eastAsia"/>
        </w:rPr>
        <w:t xml:space="preserve"> </w:t>
      </w:r>
      <w:r w:rsidRPr="00B4515A">
        <w:rPr>
          <w:rFonts w:hint="eastAsia"/>
        </w:rPr>
        <w:t>标的公司基本情况</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二、历史沿革</w:t>
      </w:r>
      <w:r w:rsidRPr="00B4515A">
        <w:rPr>
          <w:rFonts w:ascii="宋体" w:hAnsi="宋体" w:hint="eastAsia"/>
        </w:rPr>
        <w:t>”</w:t>
      </w:r>
      <w:r w:rsidRPr="00B4515A">
        <w:rPr>
          <w:rFonts w:hint="eastAsia"/>
        </w:rPr>
        <w:t>。</w:t>
      </w:r>
    </w:p>
    <w:p w14:paraId="2B5AFA45" w14:textId="77777777" w:rsidR="006416B0" w:rsidRPr="00B4515A" w:rsidRDefault="005E58C1" w:rsidP="005860B4">
      <w:pPr>
        <w:pStyle w:val="004"/>
        <w:spacing w:before="120" w:after="120"/>
        <w:ind w:firstLine="482"/>
      </w:pPr>
      <w:r w:rsidRPr="00B4515A">
        <w:rPr>
          <w:rFonts w:hint="eastAsia"/>
        </w:rPr>
        <w:lastRenderedPageBreak/>
        <w:t>2</w:t>
      </w:r>
      <w:r w:rsidRPr="00B4515A">
        <w:rPr>
          <w:rFonts w:hint="eastAsia"/>
        </w:rPr>
        <w:t>、最近三年股权评估情况</w:t>
      </w:r>
    </w:p>
    <w:p w14:paraId="5C3FFD49" w14:textId="77777777" w:rsidR="006416B0" w:rsidRPr="00B4515A" w:rsidRDefault="005E58C1" w:rsidP="005860B4">
      <w:pPr>
        <w:pStyle w:val="005"/>
        <w:spacing w:before="120" w:after="120"/>
        <w:ind w:firstLine="480"/>
      </w:pPr>
      <w:r w:rsidRPr="00B4515A">
        <w:t>（</w:t>
      </w:r>
      <w:r w:rsidRPr="00B4515A">
        <w:t>1</w:t>
      </w:r>
      <w:r w:rsidRPr="00B4515A">
        <w:t>）</w:t>
      </w:r>
      <w:r w:rsidRPr="00B4515A">
        <w:t>2021</w:t>
      </w:r>
      <w:r w:rsidRPr="00B4515A">
        <w:t>年</w:t>
      </w:r>
      <w:r w:rsidRPr="00B4515A">
        <w:t>4</w:t>
      </w:r>
      <w:r w:rsidRPr="00B4515A">
        <w:t>月增资的评估情况</w:t>
      </w:r>
    </w:p>
    <w:p w14:paraId="1DE4B9A8" w14:textId="77777777" w:rsidR="006416B0" w:rsidRPr="00B4515A" w:rsidRDefault="005E58C1" w:rsidP="005860B4">
      <w:pPr>
        <w:pStyle w:val="005"/>
        <w:spacing w:before="120" w:after="120"/>
        <w:ind w:firstLine="480"/>
      </w:pPr>
      <w:r w:rsidRPr="00B4515A">
        <w:t>2021</w:t>
      </w:r>
      <w:r w:rsidRPr="00B4515A">
        <w:t>年</w:t>
      </w:r>
      <w:r w:rsidRPr="00B4515A">
        <w:t>1</w:t>
      </w:r>
      <w:r w:rsidRPr="00B4515A">
        <w:t>月</w:t>
      </w:r>
      <w:r w:rsidRPr="00B4515A">
        <w:t>27</w:t>
      </w:r>
      <w:r w:rsidRPr="00B4515A">
        <w:t>日东洲评估出具</w:t>
      </w:r>
      <w:r w:rsidRPr="00B4515A">
        <w:rPr>
          <w:color w:val="000000"/>
        </w:rPr>
        <w:t>《大唐联诚信息系统技术有限公司拟开展员工持股和引进战略投资者所涉及的大唐联诚信息系统技术有限公司股东全部权益价值资产评估报告》</w:t>
      </w:r>
      <w:r w:rsidRPr="00B4515A">
        <w:t>（东洲评报字【</w:t>
      </w:r>
      <w:r w:rsidRPr="00B4515A">
        <w:t>2021</w:t>
      </w:r>
      <w:r w:rsidRPr="00B4515A">
        <w:t>】第</w:t>
      </w:r>
      <w:r w:rsidRPr="00B4515A">
        <w:t>0121</w:t>
      </w:r>
      <w:r w:rsidRPr="00B4515A">
        <w:t>号），本次评估选用的评估方法为资产基础法和收益法，评估结论采用收益法评估结果，以</w:t>
      </w:r>
      <w:r w:rsidRPr="00B4515A">
        <w:t>2020</w:t>
      </w:r>
      <w:r w:rsidRPr="00B4515A">
        <w:t>年</w:t>
      </w:r>
      <w:r w:rsidRPr="00B4515A">
        <w:t>12</w:t>
      </w:r>
      <w:r w:rsidRPr="00B4515A">
        <w:t>月</w:t>
      </w:r>
      <w:r w:rsidRPr="00B4515A">
        <w:t>31</w:t>
      </w:r>
      <w:r w:rsidRPr="00B4515A">
        <w:t>日为评估基准日，大唐联诚股东全部权益价值为</w:t>
      </w:r>
      <w:r w:rsidRPr="00B4515A">
        <w:t>85,200.00</w:t>
      </w:r>
      <w:r w:rsidRPr="00B4515A">
        <w:t>万元</w:t>
      </w:r>
      <w:r w:rsidRPr="00B4515A">
        <w:rPr>
          <w:rFonts w:hint="eastAsia"/>
        </w:rPr>
        <w:t>。</w:t>
      </w:r>
    </w:p>
    <w:p w14:paraId="6AB3173A" w14:textId="77777777" w:rsidR="006416B0" w:rsidRPr="00B4515A" w:rsidRDefault="005E58C1" w:rsidP="005860B4">
      <w:pPr>
        <w:pStyle w:val="005"/>
        <w:spacing w:before="120" w:after="120"/>
        <w:ind w:firstLine="480"/>
      </w:pPr>
      <w:r w:rsidRPr="00B4515A">
        <w:t>（</w:t>
      </w:r>
      <w:r w:rsidRPr="00B4515A">
        <w:t>2</w:t>
      </w:r>
      <w:r w:rsidRPr="00B4515A">
        <w:t>）</w:t>
      </w:r>
      <w:r w:rsidRPr="00B4515A">
        <w:t>2021</w:t>
      </w:r>
      <w:r w:rsidRPr="00B4515A">
        <w:t>年</w:t>
      </w:r>
      <w:r w:rsidRPr="00B4515A">
        <w:t>4</w:t>
      </w:r>
      <w:r w:rsidRPr="00B4515A">
        <w:t>月增资</w:t>
      </w:r>
      <w:r w:rsidRPr="00B4515A">
        <w:rPr>
          <w:rFonts w:hint="eastAsia"/>
        </w:rPr>
        <w:t>与本次交易作价之间的差异</w:t>
      </w:r>
    </w:p>
    <w:p w14:paraId="738F0AEC" w14:textId="77777777" w:rsidR="006416B0" w:rsidRPr="00B4515A" w:rsidRDefault="005E58C1" w:rsidP="005860B4">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2089"/>
        <w:gridCol w:w="3188"/>
        <w:gridCol w:w="3251"/>
      </w:tblGrid>
      <w:tr w:rsidR="006416B0" w:rsidRPr="00B4515A" w14:paraId="4A7E595B" w14:textId="77777777" w:rsidTr="00031627">
        <w:trPr>
          <w:trHeight w:val="340"/>
          <w:jc w:val="center"/>
        </w:trPr>
        <w:tc>
          <w:tcPr>
            <w:tcW w:w="1225" w:type="pct"/>
            <w:shd w:val="clear" w:color="auto" w:fill="FFFFFF"/>
            <w:tcMar>
              <w:top w:w="0" w:type="dxa"/>
              <w:left w:w="108" w:type="dxa"/>
              <w:bottom w:w="0" w:type="dxa"/>
              <w:right w:w="108" w:type="dxa"/>
            </w:tcMar>
            <w:vAlign w:val="center"/>
          </w:tcPr>
          <w:p w14:paraId="51A2ED6E" w14:textId="77777777" w:rsidR="006416B0" w:rsidRPr="00B4515A" w:rsidRDefault="005E58C1" w:rsidP="005860B4">
            <w:pPr>
              <w:adjustRightInd w:val="0"/>
              <w:snapToGrid w:val="0"/>
              <w:jc w:val="center"/>
              <w:rPr>
                <w:rFonts w:ascii="Times New Roman" w:hAnsi="Times New Roman" w:cs="Times New Roman"/>
                <w:b/>
                <w:color w:val="333333"/>
                <w:sz w:val="21"/>
                <w:szCs w:val="21"/>
              </w:rPr>
            </w:pPr>
            <w:r w:rsidRPr="00B4515A">
              <w:rPr>
                <w:rFonts w:ascii="Times New Roman" w:hAnsi="Times New Roman" w:cs="Times New Roman"/>
                <w:b/>
                <w:color w:val="333333"/>
                <w:sz w:val="21"/>
                <w:szCs w:val="21"/>
              </w:rPr>
              <w:t>项目</w:t>
            </w:r>
          </w:p>
        </w:tc>
        <w:tc>
          <w:tcPr>
            <w:tcW w:w="1869" w:type="pct"/>
            <w:shd w:val="clear" w:color="auto" w:fill="FFFFFF"/>
            <w:tcMar>
              <w:top w:w="0" w:type="dxa"/>
              <w:left w:w="108" w:type="dxa"/>
              <w:bottom w:w="0" w:type="dxa"/>
              <w:right w:w="108" w:type="dxa"/>
            </w:tcMar>
            <w:vAlign w:val="center"/>
          </w:tcPr>
          <w:p w14:paraId="727B6BCD" w14:textId="77777777" w:rsidR="006416B0" w:rsidRPr="00B4515A" w:rsidRDefault="005E58C1" w:rsidP="005860B4">
            <w:pPr>
              <w:adjustRightInd w:val="0"/>
              <w:snapToGrid w:val="0"/>
              <w:jc w:val="center"/>
              <w:rPr>
                <w:rFonts w:ascii="Times New Roman" w:hAnsi="Times New Roman" w:cs="Times New Roman"/>
                <w:b/>
                <w:color w:val="333333"/>
                <w:sz w:val="21"/>
                <w:szCs w:val="21"/>
              </w:rPr>
            </w:pPr>
            <w:r w:rsidRPr="00B4515A">
              <w:rPr>
                <w:rFonts w:ascii="Times New Roman" w:hAnsi="Times New Roman" w:cs="Times New Roman" w:hint="eastAsia"/>
                <w:b/>
                <w:color w:val="333333"/>
                <w:sz w:val="21"/>
                <w:szCs w:val="21"/>
              </w:rPr>
              <w:t>2</w:t>
            </w:r>
            <w:r w:rsidRPr="00B4515A">
              <w:rPr>
                <w:rFonts w:ascii="Times New Roman" w:hAnsi="Times New Roman" w:cs="Times New Roman"/>
                <w:b/>
                <w:color w:val="333333"/>
                <w:sz w:val="21"/>
                <w:szCs w:val="21"/>
              </w:rPr>
              <w:t>021</w:t>
            </w:r>
            <w:r w:rsidRPr="00B4515A">
              <w:rPr>
                <w:rFonts w:ascii="Times New Roman" w:hAnsi="Times New Roman" w:cs="Times New Roman" w:hint="eastAsia"/>
                <w:b/>
                <w:color w:val="333333"/>
                <w:sz w:val="21"/>
                <w:szCs w:val="21"/>
              </w:rPr>
              <w:t>年</w:t>
            </w:r>
            <w:r w:rsidRPr="00B4515A">
              <w:rPr>
                <w:rFonts w:ascii="Times New Roman" w:hAnsi="Times New Roman" w:cs="Times New Roman" w:hint="eastAsia"/>
                <w:b/>
                <w:color w:val="333333"/>
                <w:sz w:val="21"/>
                <w:szCs w:val="21"/>
              </w:rPr>
              <w:t>4</w:t>
            </w:r>
            <w:r w:rsidRPr="00B4515A">
              <w:rPr>
                <w:rFonts w:ascii="Times New Roman" w:hAnsi="Times New Roman" w:cs="Times New Roman" w:hint="eastAsia"/>
                <w:b/>
                <w:color w:val="333333"/>
                <w:sz w:val="21"/>
                <w:szCs w:val="21"/>
              </w:rPr>
              <w:t>月增资</w:t>
            </w:r>
          </w:p>
        </w:tc>
        <w:tc>
          <w:tcPr>
            <w:tcW w:w="1906" w:type="pct"/>
            <w:shd w:val="clear" w:color="auto" w:fill="FFFFFF"/>
            <w:tcMar>
              <w:top w:w="0" w:type="dxa"/>
              <w:left w:w="108" w:type="dxa"/>
              <w:bottom w:w="0" w:type="dxa"/>
              <w:right w:w="108" w:type="dxa"/>
            </w:tcMar>
            <w:vAlign w:val="center"/>
          </w:tcPr>
          <w:p w14:paraId="03E38552" w14:textId="77777777" w:rsidR="006416B0" w:rsidRPr="00B4515A" w:rsidRDefault="005E58C1" w:rsidP="005860B4">
            <w:pPr>
              <w:adjustRightInd w:val="0"/>
              <w:snapToGrid w:val="0"/>
              <w:jc w:val="center"/>
              <w:rPr>
                <w:rFonts w:ascii="Times New Roman" w:hAnsi="Times New Roman" w:cs="Times New Roman"/>
                <w:b/>
                <w:color w:val="333333"/>
                <w:sz w:val="21"/>
                <w:szCs w:val="21"/>
              </w:rPr>
            </w:pPr>
            <w:r w:rsidRPr="00B4515A">
              <w:rPr>
                <w:rFonts w:ascii="Times New Roman" w:hAnsi="Times New Roman" w:cs="Times New Roman"/>
                <w:b/>
                <w:color w:val="333333"/>
                <w:sz w:val="21"/>
                <w:szCs w:val="21"/>
              </w:rPr>
              <w:t>本次交易</w:t>
            </w:r>
          </w:p>
        </w:tc>
      </w:tr>
      <w:tr w:rsidR="006416B0" w:rsidRPr="00B4515A" w14:paraId="626EF2B2" w14:textId="77777777" w:rsidTr="00031627">
        <w:trPr>
          <w:trHeight w:val="340"/>
          <w:jc w:val="center"/>
        </w:trPr>
        <w:tc>
          <w:tcPr>
            <w:tcW w:w="1225" w:type="pct"/>
            <w:shd w:val="clear" w:color="auto" w:fill="FFFFFF"/>
            <w:tcMar>
              <w:top w:w="0" w:type="dxa"/>
              <w:left w:w="108" w:type="dxa"/>
              <w:bottom w:w="0" w:type="dxa"/>
              <w:right w:w="108" w:type="dxa"/>
            </w:tcMar>
            <w:vAlign w:val="center"/>
          </w:tcPr>
          <w:p w14:paraId="6C36C53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评估机构</w:t>
            </w:r>
          </w:p>
        </w:tc>
        <w:tc>
          <w:tcPr>
            <w:tcW w:w="1869" w:type="pct"/>
            <w:shd w:val="clear" w:color="auto" w:fill="FFFFFF"/>
            <w:tcMar>
              <w:top w:w="0" w:type="dxa"/>
              <w:left w:w="108" w:type="dxa"/>
              <w:bottom w:w="0" w:type="dxa"/>
              <w:right w:w="108" w:type="dxa"/>
            </w:tcMar>
            <w:vAlign w:val="center"/>
          </w:tcPr>
          <w:p w14:paraId="0C396C1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东洲</w:t>
            </w:r>
            <w:r w:rsidRPr="00B4515A">
              <w:rPr>
                <w:rFonts w:ascii="Times New Roman" w:hAnsi="Times New Roman" w:cs="Times New Roman"/>
                <w:color w:val="333333"/>
                <w:sz w:val="21"/>
                <w:szCs w:val="21"/>
              </w:rPr>
              <w:t>评估</w:t>
            </w:r>
          </w:p>
        </w:tc>
        <w:tc>
          <w:tcPr>
            <w:tcW w:w="1906" w:type="pct"/>
            <w:shd w:val="clear" w:color="auto" w:fill="FFFFFF"/>
            <w:tcMar>
              <w:top w:w="0" w:type="dxa"/>
              <w:left w:w="108" w:type="dxa"/>
              <w:bottom w:w="0" w:type="dxa"/>
              <w:right w:w="108" w:type="dxa"/>
            </w:tcMar>
            <w:vAlign w:val="center"/>
          </w:tcPr>
          <w:p w14:paraId="11F4410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东洲</w:t>
            </w:r>
            <w:r w:rsidRPr="00B4515A">
              <w:rPr>
                <w:rFonts w:ascii="Times New Roman" w:hAnsi="Times New Roman" w:cs="Times New Roman"/>
                <w:color w:val="333333"/>
                <w:sz w:val="21"/>
                <w:szCs w:val="21"/>
              </w:rPr>
              <w:t>评估</w:t>
            </w:r>
          </w:p>
        </w:tc>
      </w:tr>
      <w:tr w:rsidR="006416B0" w:rsidRPr="00B4515A" w14:paraId="29427A2D" w14:textId="77777777" w:rsidTr="00031627">
        <w:trPr>
          <w:trHeight w:val="340"/>
          <w:jc w:val="center"/>
        </w:trPr>
        <w:tc>
          <w:tcPr>
            <w:tcW w:w="1225" w:type="pct"/>
            <w:shd w:val="clear" w:color="auto" w:fill="FFFFFF"/>
            <w:tcMar>
              <w:top w:w="0" w:type="dxa"/>
              <w:left w:w="108" w:type="dxa"/>
              <w:bottom w:w="0" w:type="dxa"/>
              <w:right w:w="108" w:type="dxa"/>
            </w:tcMar>
            <w:vAlign w:val="center"/>
          </w:tcPr>
          <w:p w14:paraId="5561720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报告编号</w:t>
            </w:r>
          </w:p>
        </w:tc>
        <w:tc>
          <w:tcPr>
            <w:tcW w:w="1869" w:type="pct"/>
            <w:shd w:val="clear" w:color="auto" w:fill="FFFFFF"/>
            <w:tcMar>
              <w:top w:w="0" w:type="dxa"/>
              <w:left w:w="108" w:type="dxa"/>
              <w:bottom w:w="0" w:type="dxa"/>
              <w:right w:w="108" w:type="dxa"/>
            </w:tcMar>
            <w:vAlign w:val="center"/>
          </w:tcPr>
          <w:p w14:paraId="165F53F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东洲评报字【</w:t>
            </w:r>
            <w:r w:rsidRPr="00B4515A">
              <w:rPr>
                <w:rFonts w:ascii="Times New Roman" w:hAnsi="Times New Roman" w:cs="Times New Roman" w:hint="eastAsia"/>
                <w:color w:val="333333"/>
                <w:sz w:val="21"/>
                <w:szCs w:val="21"/>
              </w:rPr>
              <w:t>2021</w:t>
            </w:r>
            <w:r w:rsidRPr="00B4515A">
              <w:rPr>
                <w:rFonts w:ascii="Times New Roman" w:hAnsi="Times New Roman" w:cs="Times New Roman" w:hint="eastAsia"/>
                <w:color w:val="333333"/>
                <w:sz w:val="21"/>
                <w:szCs w:val="21"/>
              </w:rPr>
              <w:t>】第</w:t>
            </w:r>
            <w:r w:rsidRPr="00B4515A">
              <w:rPr>
                <w:rFonts w:ascii="Times New Roman" w:hAnsi="Times New Roman" w:cs="Times New Roman" w:hint="eastAsia"/>
                <w:color w:val="333333"/>
                <w:sz w:val="21"/>
                <w:szCs w:val="21"/>
              </w:rPr>
              <w:t>0121</w:t>
            </w:r>
            <w:r w:rsidRPr="00B4515A">
              <w:rPr>
                <w:rFonts w:ascii="Times New Roman" w:hAnsi="Times New Roman" w:cs="Times New Roman" w:hint="eastAsia"/>
                <w:color w:val="333333"/>
                <w:sz w:val="21"/>
                <w:szCs w:val="21"/>
              </w:rPr>
              <w:t>号</w:t>
            </w:r>
          </w:p>
        </w:tc>
        <w:tc>
          <w:tcPr>
            <w:tcW w:w="1906" w:type="pct"/>
            <w:shd w:val="clear" w:color="auto" w:fill="FFFFFF"/>
            <w:tcMar>
              <w:top w:w="0" w:type="dxa"/>
              <w:left w:w="108" w:type="dxa"/>
              <w:bottom w:w="0" w:type="dxa"/>
              <w:right w:w="108" w:type="dxa"/>
            </w:tcMar>
            <w:vAlign w:val="center"/>
          </w:tcPr>
          <w:p w14:paraId="622464F8"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东洲评报字【</w:t>
            </w:r>
            <w:r w:rsidRPr="00B4515A">
              <w:rPr>
                <w:rFonts w:ascii="Times New Roman" w:hAnsi="Times New Roman" w:cs="Times New Roman" w:hint="eastAsia"/>
                <w:color w:val="333333"/>
                <w:sz w:val="21"/>
                <w:szCs w:val="21"/>
              </w:rPr>
              <w:t>2021</w:t>
            </w:r>
            <w:r w:rsidRPr="00B4515A">
              <w:rPr>
                <w:rFonts w:ascii="Times New Roman" w:hAnsi="Times New Roman" w:cs="Times New Roman" w:hint="eastAsia"/>
                <w:color w:val="333333"/>
                <w:sz w:val="21"/>
                <w:szCs w:val="21"/>
              </w:rPr>
              <w:t>】第</w:t>
            </w:r>
            <w:r w:rsidRPr="00B4515A">
              <w:rPr>
                <w:rFonts w:ascii="Times New Roman" w:hAnsi="Times New Roman" w:cs="Times New Roman" w:hint="eastAsia"/>
                <w:color w:val="333333"/>
                <w:sz w:val="21"/>
                <w:szCs w:val="21"/>
              </w:rPr>
              <w:t>0898</w:t>
            </w:r>
            <w:r w:rsidRPr="00B4515A">
              <w:rPr>
                <w:rFonts w:ascii="Times New Roman" w:hAnsi="Times New Roman" w:cs="Times New Roman" w:hint="eastAsia"/>
                <w:color w:val="333333"/>
                <w:sz w:val="21"/>
                <w:szCs w:val="21"/>
              </w:rPr>
              <w:t>号</w:t>
            </w:r>
          </w:p>
        </w:tc>
      </w:tr>
      <w:tr w:rsidR="006416B0" w:rsidRPr="00B4515A" w14:paraId="33657931" w14:textId="77777777" w:rsidTr="00031627">
        <w:trPr>
          <w:trHeight w:val="340"/>
          <w:jc w:val="center"/>
        </w:trPr>
        <w:tc>
          <w:tcPr>
            <w:tcW w:w="1225" w:type="pct"/>
            <w:shd w:val="clear" w:color="auto" w:fill="FFFFFF"/>
            <w:tcMar>
              <w:top w:w="0" w:type="dxa"/>
              <w:left w:w="108" w:type="dxa"/>
              <w:bottom w:w="0" w:type="dxa"/>
              <w:right w:w="108" w:type="dxa"/>
            </w:tcMar>
            <w:vAlign w:val="center"/>
          </w:tcPr>
          <w:p w14:paraId="7655E264"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评估基准日</w:t>
            </w:r>
          </w:p>
        </w:tc>
        <w:tc>
          <w:tcPr>
            <w:tcW w:w="1869" w:type="pct"/>
            <w:shd w:val="clear" w:color="auto" w:fill="FFFFFF"/>
            <w:tcMar>
              <w:top w:w="0" w:type="dxa"/>
              <w:left w:w="108" w:type="dxa"/>
              <w:bottom w:w="0" w:type="dxa"/>
              <w:right w:w="108" w:type="dxa"/>
            </w:tcMar>
            <w:vAlign w:val="center"/>
          </w:tcPr>
          <w:p w14:paraId="57DB128F"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2020</w:t>
            </w:r>
            <w:r w:rsidRPr="00B4515A">
              <w:rPr>
                <w:rFonts w:ascii="Times New Roman" w:hAnsi="Times New Roman" w:cs="Times New Roman"/>
                <w:color w:val="333333"/>
                <w:sz w:val="21"/>
                <w:szCs w:val="21"/>
              </w:rPr>
              <w:t>年</w:t>
            </w:r>
            <w:r w:rsidRPr="00B4515A">
              <w:rPr>
                <w:rFonts w:ascii="Times New Roman" w:hAnsi="Times New Roman" w:cs="Times New Roman"/>
                <w:color w:val="333333"/>
                <w:sz w:val="21"/>
                <w:szCs w:val="21"/>
              </w:rPr>
              <w:t>12</w:t>
            </w:r>
            <w:r w:rsidRPr="00B4515A">
              <w:rPr>
                <w:rFonts w:ascii="Times New Roman" w:hAnsi="Times New Roman" w:cs="Times New Roman"/>
                <w:color w:val="333333"/>
                <w:sz w:val="21"/>
                <w:szCs w:val="21"/>
              </w:rPr>
              <w:t>月</w:t>
            </w:r>
            <w:r w:rsidRPr="00B4515A">
              <w:rPr>
                <w:rFonts w:ascii="Times New Roman" w:hAnsi="Times New Roman" w:cs="Times New Roman"/>
                <w:color w:val="333333"/>
                <w:sz w:val="21"/>
                <w:szCs w:val="21"/>
              </w:rPr>
              <w:t>31</w:t>
            </w:r>
            <w:r w:rsidRPr="00B4515A">
              <w:rPr>
                <w:rFonts w:ascii="Times New Roman" w:hAnsi="Times New Roman" w:cs="Times New Roman"/>
                <w:color w:val="333333"/>
                <w:sz w:val="21"/>
                <w:szCs w:val="21"/>
              </w:rPr>
              <w:t>日</w:t>
            </w:r>
          </w:p>
        </w:tc>
        <w:tc>
          <w:tcPr>
            <w:tcW w:w="1906" w:type="pct"/>
            <w:shd w:val="clear" w:color="auto" w:fill="FFFFFF"/>
            <w:tcMar>
              <w:top w:w="0" w:type="dxa"/>
              <w:left w:w="108" w:type="dxa"/>
              <w:bottom w:w="0" w:type="dxa"/>
              <w:right w:w="108" w:type="dxa"/>
            </w:tcMar>
            <w:vAlign w:val="center"/>
          </w:tcPr>
          <w:p w14:paraId="0A63D81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2021</w:t>
            </w:r>
            <w:r w:rsidRPr="00B4515A">
              <w:rPr>
                <w:rFonts w:ascii="Times New Roman" w:hAnsi="Times New Roman" w:cs="Times New Roman"/>
                <w:color w:val="333333"/>
                <w:sz w:val="21"/>
                <w:szCs w:val="21"/>
              </w:rPr>
              <w:t>年</w:t>
            </w:r>
            <w:r w:rsidRPr="00B4515A">
              <w:rPr>
                <w:rFonts w:ascii="Times New Roman" w:hAnsi="Times New Roman" w:cs="Times New Roman"/>
                <w:color w:val="333333"/>
                <w:sz w:val="21"/>
                <w:szCs w:val="21"/>
              </w:rPr>
              <w:t>4</w:t>
            </w:r>
            <w:r w:rsidRPr="00B4515A">
              <w:rPr>
                <w:rFonts w:ascii="Times New Roman" w:hAnsi="Times New Roman" w:cs="Times New Roman"/>
                <w:color w:val="333333"/>
                <w:sz w:val="21"/>
                <w:szCs w:val="21"/>
              </w:rPr>
              <w:t>月</w:t>
            </w:r>
            <w:r w:rsidRPr="00B4515A">
              <w:rPr>
                <w:rFonts w:ascii="Times New Roman" w:hAnsi="Times New Roman" w:cs="Times New Roman"/>
                <w:color w:val="333333"/>
                <w:sz w:val="21"/>
                <w:szCs w:val="21"/>
              </w:rPr>
              <w:t>30</w:t>
            </w:r>
            <w:r w:rsidRPr="00B4515A">
              <w:rPr>
                <w:rFonts w:ascii="Times New Roman" w:hAnsi="Times New Roman" w:cs="Times New Roman"/>
                <w:color w:val="333333"/>
                <w:sz w:val="21"/>
                <w:szCs w:val="21"/>
              </w:rPr>
              <w:t>日</w:t>
            </w:r>
          </w:p>
        </w:tc>
      </w:tr>
      <w:tr w:rsidR="006416B0" w:rsidRPr="00B4515A" w14:paraId="6CAF793A" w14:textId="77777777" w:rsidTr="00031627">
        <w:trPr>
          <w:trHeight w:val="340"/>
          <w:jc w:val="center"/>
        </w:trPr>
        <w:tc>
          <w:tcPr>
            <w:tcW w:w="1225" w:type="pct"/>
            <w:shd w:val="clear" w:color="auto" w:fill="FFFFFF"/>
            <w:tcMar>
              <w:top w:w="0" w:type="dxa"/>
              <w:left w:w="108" w:type="dxa"/>
              <w:bottom w:w="0" w:type="dxa"/>
              <w:right w:w="108" w:type="dxa"/>
            </w:tcMar>
            <w:vAlign w:val="center"/>
          </w:tcPr>
          <w:p w14:paraId="56E7254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评估基准日账面净资产</w:t>
            </w:r>
          </w:p>
        </w:tc>
        <w:tc>
          <w:tcPr>
            <w:tcW w:w="1869" w:type="pct"/>
            <w:shd w:val="clear" w:color="auto" w:fill="FFFFFF"/>
            <w:tcMar>
              <w:top w:w="0" w:type="dxa"/>
              <w:left w:w="108" w:type="dxa"/>
              <w:bottom w:w="0" w:type="dxa"/>
              <w:right w:w="108" w:type="dxa"/>
            </w:tcMar>
            <w:vAlign w:val="center"/>
          </w:tcPr>
          <w:p w14:paraId="7C8E759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21,965.86</w:t>
            </w:r>
          </w:p>
        </w:tc>
        <w:tc>
          <w:tcPr>
            <w:tcW w:w="1906" w:type="pct"/>
            <w:shd w:val="clear" w:color="auto" w:fill="FFFFFF"/>
            <w:tcMar>
              <w:top w:w="0" w:type="dxa"/>
              <w:left w:w="108" w:type="dxa"/>
              <w:bottom w:w="0" w:type="dxa"/>
              <w:right w:w="108" w:type="dxa"/>
            </w:tcMar>
            <w:vAlign w:val="center"/>
          </w:tcPr>
          <w:p w14:paraId="0041859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77,488.74</w:t>
            </w:r>
          </w:p>
        </w:tc>
      </w:tr>
      <w:tr w:rsidR="006416B0" w:rsidRPr="00B4515A" w14:paraId="5A290E9E" w14:textId="77777777" w:rsidTr="00031627">
        <w:trPr>
          <w:trHeight w:val="340"/>
          <w:jc w:val="center"/>
        </w:trPr>
        <w:tc>
          <w:tcPr>
            <w:tcW w:w="1225" w:type="pct"/>
            <w:shd w:val="clear" w:color="auto" w:fill="FFFFFF"/>
            <w:tcMar>
              <w:top w:w="0" w:type="dxa"/>
              <w:left w:w="108" w:type="dxa"/>
              <w:bottom w:w="0" w:type="dxa"/>
              <w:right w:w="108" w:type="dxa"/>
            </w:tcMar>
            <w:vAlign w:val="center"/>
          </w:tcPr>
          <w:p w14:paraId="22CA91D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评估结论（</w:t>
            </w:r>
            <w:r w:rsidRPr="00B4515A">
              <w:rPr>
                <w:rFonts w:ascii="Times New Roman" w:hAnsi="Times New Roman" w:cs="Times New Roman" w:hint="eastAsia"/>
                <w:color w:val="333333"/>
                <w:sz w:val="21"/>
                <w:szCs w:val="21"/>
              </w:rPr>
              <w:t>收益</w:t>
            </w:r>
            <w:r w:rsidRPr="00B4515A">
              <w:rPr>
                <w:rFonts w:ascii="Times New Roman" w:hAnsi="Times New Roman" w:cs="Times New Roman"/>
                <w:color w:val="333333"/>
                <w:sz w:val="21"/>
                <w:szCs w:val="21"/>
              </w:rPr>
              <w:t>法）</w:t>
            </w:r>
          </w:p>
        </w:tc>
        <w:tc>
          <w:tcPr>
            <w:tcW w:w="1869" w:type="pct"/>
            <w:shd w:val="clear" w:color="auto" w:fill="FFFFFF"/>
            <w:tcMar>
              <w:top w:w="0" w:type="dxa"/>
              <w:left w:w="108" w:type="dxa"/>
              <w:bottom w:w="0" w:type="dxa"/>
              <w:right w:w="108" w:type="dxa"/>
            </w:tcMar>
            <w:vAlign w:val="center"/>
          </w:tcPr>
          <w:p w14:paraId="5048EEC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85,200.00</w:t>
            </w:r>
          </w:p>
        </w:tc>
        <w:tc>
          <w:tcPr>
            <w:tcW w:w="1906" w:type="pct"/>
            <w:shd w:val="clear" w:color="auto" w:fill="FFFFFF"/>
            <w:tcMar>
              <w:top w:w="0" w:type="dxa"/>
              <w:left w:w="108" w:type="dxa"/>
              <w:bottom w:w="0" w:type="dxa"/>
              <w:right w:w="108" w:type="dxa"/>
            </w:tcMar>
            <w:vAlign w:val="center"/>
          </w:tcPr>
          <w:p w14:paraId="18FDC2D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148,256.37</w:t>
            </w:r>
          </w:p>
        </w:tc>
      </w:tr>
      <w:tr w:rsidR="006416B0" w:rsidRPr="00B4515A" w14:paraId="5ABB00BE" w14:textId="77777777" w:rsidTr="00031627">
        <w:trPr>
          <w:trHeight w:val="340"/>
          <w:jc w:val="center"/>
        </w:trPr>
        <w:tc>
          <w:tcPr>
            <w:tcW w:w="1225" w:type="pct"/>
            <w:shd w:val="clear" w:color="auto" w:fill="FFFFFF"/>
            <w:tcMar>
              <w:top w:w="0" w:type="dxa"/>
              <w:left w:w="108" w:type="dxa"/>
              <w:bottom w:w="0" w:type="dxa"/>
              <w:right w:w="108" w:type="dxa"/>
            </w:tcMar>
            <w:vAlign w:val="center"/>
          </w:tcPr>
          <w:p w14:paraId="7422B30A"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评估增值率</w:t>
            </w:r>
          </w:p>
        </w:tc>
        <w:tc>
          <w:tcPr>
            <w:tcW w:w="1869" w:type="pct"/>
            <w:shd w:val="clear" w:color="auto" w:fill="FFFFFF"/>
            <w:tcMar>
              <w:top w:w="0" w:type="dxa"/>
              <w:left w:w="108" w:type="dxa"/>
              <w:bottom w:w="0" w:type="dxa"/>
              <w:right w:w="108" w:type="dxa"/>
            </w:tcMar>
            <w:vAlign w:val="center"/>
          </w:tcPr>
          <w:p w14:paraId="723B793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287.87%</w:t>
            </w:r>
          </w:p>
        </w:tc>
        <w:tc>
          <w:tcPr>
            <w:tcW w:w="1906" w:type="pct"/>
            <w:shd w:val="clear" w:color="auto" w:fill="FFFFFF"/>
            <w:tcMar>
              <w:top w:w="0" w:type="dxa"/>
              <w:left w:w="108" w:type="dxa"/>
              <w:bottom w:w="0" w:type="dxa"/>
              <w:right w:w="108" w:type="dxa"/>
            </w:tcMar>
            <w:vAlign w:val="center"/>
          </w:tcPr>
          <w:p w14:paraId="6EA5690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91.33%</w:t>
            </w:r>
          </w:p>
        </w:tc>
      </w:tr>
    </w:tbl>
    <w:p w14:paraId="531852B6" w14:textId="701041F5" w:rsidR="006416B0" w:rsidRPr="00B4515A" w:rsidRDefault="005E58C1" w:rsidP="005860B4">
      <w:pPr>
        <w:pStyle w:val="005"/>
        <w:spacing w:before="120" w:after="120"/>
        <w:ind w:firstLine="480"/>
      </w:pPr>
      <w:r w:rsidRPr="00B4515A">
        <w:t>本次评估与前次评估存在差异，主要原因为</w:t>
      </w:r>
      <w:r w:rsidRPr="00B4515A">
        <w:t>2021</w:t>
      </w:r>
      <w:r w:rsidRPr="00B4515A">
        <w:t>年</w:t>
      </w:r>
      <w:r w:rsidRPr="00B4515A">
        <w:t>4</w:t>
      </w:r>
      <w:r w:rsidRPr="00B4515A">
        <w:t>月</w:t>
      </w:r>
      <w:r w:rsidR="00252376" w:rsidRPr="00B4515A">
        <w:t>长江移动基金</w:t>
      </w:r>
      <w:r w:rsidRPr="00B4515A">
        <w:t>、结构调整基金、金融街</w:t>
      </w:r>
      <w:r w:rsidRPr="00B4515A">
        <w:rPr>
          <w:color w:val="000000"/>
        </w:rPr>
        <w:t>资本</w:t>
      </w:r>
      <w:r w:rsidRPr="00B4515A">
        <w:t>、天津首诚、天津军诚、天津乾诚和天津益诚向大唐联诚增资</w:t>
      </w:r>
      <w:r w:rsidRPr="00B4515A">
        <w:t>57,115.00</w:t>
      </w:r>
      <w:r w:rsidRPr="00B4515A">
        <w:t>万元，导致净资产增加所致。</w:t>
      </w:r>
    </w:p>
    <w:p w14:paraId="6729FA37" w14:textId="3ABF37CF" w:rsidR="006416B0" w:rsidRPr="00B4515A" w:rsidRDefault="002A5D8F" w:rsidP="005860B4">
      <w:pPr>
        <w:pStyle w:val="002"/>
        <w:spacing w:before="120" w:after="120"/>
        <w:ind w:firstLine="562"/>
      </w:pPr>
      <w:bookmarkStart w:id="204" w:name="_Toc80960545"/>
      <w:r w:rsidRPr="00B4515A">
        <w:rPr>
          <w:rFonts w:hint="eastAsia"/>
        </w:rPr>
        <w:t>十一</w:t>
      </w:r>
      <w:r w:rsidR="005E58C1" w:rsidRPr="00B4515A">
        <w:rPr>
          <w:rFonts w:hint="eastAsia"/>
        </w:rPr>
        <w:t>、重要子公司基本情况</w:t>
      </w:r>
      <w:bookmarkEnd w:id="204"/>
    </w:p>
    <w:p w14:paraId="5070F19D" w14:textId="77777777" w:rsidR="006416B0" w:rsidRPr="00B4515A" w:rsidRDefault="005E58C1" w:rsidP="005860B4">
      <w:pPr>
        <w:pStyle w:val="005"/>
        <w:spacing w:before="120" w:after="120"/>
        <w:ind w:firstLine="480"/>
      </w:pPr>
      <w:r w:rsidRPr="00B4515A">
        <w:rPr>
          <w:rFonts w:hint="eastAsia"/>
        </w:rPr>
        <w:t>截至本报告书签署日，大唐联诚未</w:t>
      </w:r>
      <w:r w:rsidRPr="00B4515A">
        <w:rPr>
          <w:rFonts w:hint="eastAsia"/>
          <w:color w:val="000000"/>
        </w:rPr>
        <w:t>拥有</w:t>
      </w:r>
      <w:r w:rsidRPr="00B4515A">
        <w:rPr>
          <w:rFonts w:hint="eastAsia"/>
        </w:rPr>
        <w:t>控股子公司。</w:t>
      </w:r>
    </w:p>
    <w:p w14:paraId="17F1E184" w14:textId="20BDD6E2" w:rsidR="006416B0" w:rsidRPr="00B4515A" w:rsidRDefault="005E58C1" w:rsidP="005860B4">
      <w:pPr>
        <w:pStyle w:val="002"/>
        <w:spacing w:before="120" w:after="120"/>
        <w:ind w:firstLine="562"/>
      </w:pPr>
      <w:bookmarkStart w:id="205" w:name="_Toc80960546"/>
      <w:r w:rsidRPr="00B4515A">
        <w:rPr>
          <w:rFonts w:hint="eastAsia"/>
        </w:rPr>
        <w:t>十</w:t>
      </w:r>
      <w:r w:rsidR="002A5D8F" w:rsidRPr="00B4515A">
        <w:rPr>
          <w:rFonts w:hint="eastAsia"/>
        </w:rPr>
        <w:t>二</w:t>
      </w:r>
      <w:r w:rsidRPr="00B4515A">
        <w:rPr>
          <w:rFonts w:hint="eastAsia"/>
        </w:rPr>
        <w:t>、债权债务转移情况</w:t>
      </w:r>
      <w:bookmarkEnd w:id="205"/>
    </w:p>
    <w:p w14:paraId="35653163" w14:textId="04A5D9C1" w:rsidR="006416B0" w:rsidRPr="00B4515A" w:rsidRDefault="005E58C1" w:rsidP="005860B4">
      <w:pPr>
        <w:pStyle w:val="005"/>
        <w:spacing w:before="120" w:after="120"/>
        <w:ind w:firstLine="480"/>
      </w:pPr>
      <w:r w:rsidRPr="00B4515A">
        <w:rPr>
          <w:rFonts w:hint="eastAsia"/>
        </w:rPr>
        <w:t>本次交易中，电信科研院、大唐控股、</w:t>
      </w:r>
      <w:r w:rsidR="00252376" w:rsidRPr="00B4515A">
        <w:rPr>
          <w:rFonts w:hint="eastAsia"/>
        </w:rPr>
        <w:t>长江移动基金</w:t>
      </w:r>
      <w:r w:rsidRPr="00B4515A">
        <w:rPr>
          <w:rFonts w:hint="eastAsia"/>
        </w:rPr>
        <w:t>、结构调整基金、金融街资本持有的大唐联诚股权被上市公司购买，不会对大唐联诚企业法人地位造成影响，不涉及大唐联诚债权债务的转移或处置。本次交易实施完毕后，大唐联诚的债权债务仍将由其自身继续享有和承担。</w:t>
      </w:r>
    </w:p>
    <w:p w14:paraId="062471CB" w14:textId="699F6839" w:rsidR="006416B0" w:rsidRPr="00B4515A" w:rsidRDefault="005E58C1" w:rsidP="005860B4">
      <w:pPr>
        <w:pStyle w:val="002"/>
        <w:spacing w:before="120" w:after="120"/>
        <w:ind w:firstLine="562"/>
      </w:pPr>
      <w:bookmarkStart w:id="206" w:name="_Toc80960547"/>
      <w:r w:rsidRPr="00B4515A">
        <w:lastRenderedPageBreak/>
        <w:t>十</w:t>
      </w:r>
      <w:r w:rsidR="002A5D8F" w:rsidRPr="00B4515A">
        <w:rPr>
          <w:rFonts w:hint="eastAsia"/>
        </w:rPr>
        <w:t>三</w:t>
      </w:r>
      <w:r w:rsidRPr="00B4515A">
        <w:t>、报告期内主要会计政策及相关会计处理</w:t>
      </w:r>
      <w:bookmarkEnd w:id="206"/>
    </w:p>
    <w:p w14:paraId="3F2E2F85" w14:textId="77777777" w:rsidR="006416B0" w:rsidRPr="00B4515A" w:rsidRDefault="005E58C1" w:rsidP="005860B4">
      <w:pPr>
        <w:pStyle w:val="003"/>
        <w:spacing w:before="120"/>
        <w:ind w:firstLine="482"/>
      </w:pPr>
      <w:r w:rsidRPr="00B4515A">
        <w:t>（一）收入的确认原则和计量方法</w:t>
      </w:r>
    </w:p>
    <w:p w14:paraId="69E1D2B0" w14:textId="744F2F2B" w:rsidR="006416B0" w:rsidRPr="00B4515A" w:rsidRDefault="005E58C1" w:rsidP="005860B4">
      <w:pPr>
        <w:pStyle w:val="005"/>
        <w:spacing w:before="120" w:after="120"/>
        <w:ind w:firstLine="480"/>
      </w:pPr>
      <w:r w:rsidRPr="00B4515A">
        <w:t>根据财政部于</w:t>
      </w:r>
      <w:r w:rsidRPr="00B4515A">
        <w:t>2017</w:t>
      </w:r>
      <w:r w:rsidRPr="00B4515A">
        <w:t>年</w:t>
      </w:r>
      <w:r w:rsidRPr="00B4515A">
        <w:t>7</w:t>
      </w:r>
      <w:r w:rsidRPr="00B4515A">
        <w:t>月</w:t>
      </w:r>
      <w:r w:rsidRPr="00B4515A">
        <w:t>5</w:t>
      </w:r>
      <w:r w:rsidRPr="00B4515A">
        <w:t>日印发的《财政部关于修订印发</w:t>
      </w:r>
      <w:r w:rsidRPr="00B4515A">
        <w:t>&lt;</w:t>
      </w:r>
      <w:r w:rsidRPr="00B4515A">
        <w:t>企业会计准则第</w:t>
      </w:r>
      <w:r w:rsidRPr="00B4515A">
        <w:t>14</w:t>
      </w:r>
      <w:r w:rsidRPr="00B4515A">
        <w:t>号</w:t>
      </w:r>
      <w:r w:rsidRPr="00B4515A">
        <w:t>——</w:t>
      </w:r>
      <w:r w:rsidRPr="00B4515A">
        <w:t>收入</w:t>
      </w:r>
      <w:r w:rsidRPr="00B4515A">
        <w:t>&gt;</w:t>
      </w:r>
      <w:r w:rsidRPr="00B4515A">
        <w:t>的通知》（财会</w:t>
      </w:r>
      <w:r w:rsidRPr="00B4515A">
        <w:t>[2017]22</w:t>
      </w:r>
      <w:r w:rsidRPr="00B4515A">
        <w:t>号），大唐联诚于</w:t>
      </w:r>
      <w:r w:rsidRPr="00B4515A">
        <w:t>2020</w:t>
      </w:r>
      <w:r w:rsidRPr="00B4515A">
        <w:t>年</w:t>
      </w:r>
      <w:r w:rsidRPr="00B4515A">
        <w:t>1</w:t>
      </w:r>
      <w:r w:rsidRPr="00B4515A">
        <w:t>月</w:t>
      </w:r>
      <w:r w:rsidRPr="00B4515A">
        <w:t>1</w:t>
      </w:r>
      <w:r w:rsidRPr="00B4515A">
        <w:t>日开始执行该准则，</w:t>
      </w:r>
      <w:r w:rsidRPr="00B4515A">
        <w:rPr>
          <w:color w:val="000000"/>
        </w:rPr>
        <w:t>报告</w:t>
      </w:r>
      <w:r w:rsidRPr="00B4515A">
        <w:t>期内大唐联诚的收入确认原则和计量方法分别如下：</w:t>
      </w:r>
    </w:p>
    <w:p w14:paraId="175C8DD2" w14:textId="77777777" w:rsidR="006416B0" w:rsidRPr="00B4515A" w:rsidRDefault="005E58C1" w:rsidP="005860B4">
      <w:pPr>
        <w:pStyle w:val="004"/>
        <w:spacing w:before="120" w:after="120"/>
        <w:ind w:firstLine="482"/>
      </w:pPr>
      <w:r w:rsidRPr="00B4515A">
        <w:t>1</w:t>
      </w:r>
      <w:r w:rsidRPr="00B4515A">
        <w:t>、自</w:t>
      </w:r>
      <w:r w:rsidRPr="00B4515A">
        <w:t>2020</w:t>
      </w:r>
      <w:r w:rsidRPr="00B4515A">
        <w:t>年</w:t>
      </w:r>
      <w:r w:rsidRPr="00B4515A">
        <w:t>1</w:t>
      </w:r>
      <w:r w:rsidRPr="00B4515A">
        <w:t>月</w:t>
      </w:r>
      <w:r w:rsidRPr="00B4515A">
        <w:t>1</w:t>
      </w:r>
      <w:r w:rsidRPr="00B4515A">
        <w:t>日起的会计政策</w:t>
      </w:r>
    </w:p>
    <w:p w14:paraId="54B969A2" w14:textId="77777777" w:rsidR="006416B0" w:rsidRPr="00B4515A" w:rsidRDefault="005E58C1" w:rsidP="005860B4">
      <w:pPr>
        <w:pStyle w:val="005"/>
        <w:spacing w:before="120" w:after="120"/>
        <w:ind w:firstLine="480"/>
      </w:pPr>
      <w:r w:rsidRPr="00B4515A">
        <w:t>本公司在履行了合同中的履约义务，即在客户取得相关商品或服务控制权时确认收入。取得相关商品或服务控制权，是指能够主导该商品或服务的使用并从中获得几乎全部的经济利益。</w:t>
      </w:r>
    </w:p>
    <w:p w14:paraId="68165C77" w14:textId="77777777" w:rsidR="006416B0" w:rsidRPr="00B4515A" w:rsidRDefault="005E58C1" w:rsidP="005860B4">
      <w:pPr>
        <w:pStyle w:val="005"/>
        <w:spacing w:before="120" w:after="120"/>
        <w:ind w:firstLine="480"/>
      </w:pPr>
      <w:r w:rsidRPr="00B4515A">
        <w:t>合同中包含两项或多项履约义务的，本公司在合同开始日，按照各单项履约义务所承诺商品或服务的单独售价的相对比例，将交易价格分摊至各单项履约义务。本公司按照分摊至各单项履约义务的交易价格计量收入。</w:t>
      </w:r>
    </w:p>
    <w:p w14:paraId="3CE641A8" w14:textId="77777777" w:rsidR="006416B0" w:rsidRPr="00B4515A" w:rsidRDefault="005E58C1" w:rsidP="005860B4">
      <w:pPr>
        <w:pStyle w:val="005"/>
        <w:spacing w:before="120" w:after="120"/>
        <w:ind w:firstLine="480"/>
      </w:pPr>
      <w:r w:rsidRPr="00B4515A">
        <w:t>交易价格是指本公司因向客户转让商品或服务而预期有权收取的对价金额，不包括代第三方收取的款项以及预期将退还给客户的款项。本公司根据合同条款，结合其以往的习惯做法确定交易价格，并在确定交易价格时，考虑可变对价、合同中存在的重大融资成分、非现金对价、应付客户对价等因素的影响。本公司以不超过在相关不确定性消除时累计已确认收入极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满足下列条件之一的，属于在某一时段内履行履约义务，否则，属于在某一时点履行履约义务：</w:t>
      </w:r>
    </w:p>
    <w:p w14:paraId="6871B09B" w14:textId="1CD18C8B" w:rsidR="006416B0" w:rsidRPr="00B4515A" w:rsidRDefault="005E58C1" w:rsidP="002B0582">
      <w:pPr>
        <w:pStyle w:val="005"/>
        <w:spacing w:before="120" w:after="120"/>
        <w:ind w:firstLine="480"/>
      </w:pPr>
      <w:r w:rsidRPr="00B4515A">
        <w:t>客户在本公司履约的同时即取得并消耗本公司履约所带来的经济利益</w:t>
      </w:r>
      <w:r w:rsidR="007A5270" w:rsidRPr="00B4515A">
        <w:rPr>
          <w:rFonts w:hint="eastAsia"/>
        </w:rPr>
        <w:t>；</w:t>
      </w:r>
    </w:p>
    <w:p w14:paraId="6C911DB2" w14:textId="2E097701" w:rsidR="006416B0" w:rsidRPr="00B4515A" w:rsidRDefault="005E58C1" w:rsidP="002B0582">
      <w:pPr>
        <w:pStyle w:val="005"/>
        <w:spacing w:before="120" w:after="120"/>
        <w:ind w:firstLine="480"/>
      </w:pPr>
      <w:r w:rsidRPr="00B4515A">
        <w:t>客户能够控制本公司履约过程中在建的商品</w:t>
      </w:r>
      <w:r w:rsidR="007A5270" w:rsidRPr="00B4515A">
        <w:rPr>
          <w:rFonts w:hint="eastAsia"/>
        </w:rPr>
        <w:t>；</w:t>
      </w:r>
    </w:p>
    <w:p w14:paraId="162D2B61" w14:textId="77777777" w:rsidR="006416B0" w:rsidRPr="00B4515A" w:rsidRDefault="005E58C1" w:rsidP="005860B4">
      <w:pPr>
        <w:pStyle w:val="005"/>
        <w:spacing w:before="120" w:after="120"/>
        <w:ind w:firstLine="480"/>
      </w:pPr>
      <w:r w:rsidRPr="00B4515A">
        <w:t>本公司履约过程中所产出的商品具有不可替代用途，且本公司在整个合同期内有权就累计至今已完成的履约部分收取款项。</w:t>
      </w:r>
    </w:p>
    <w:p w14:paraId="5DE5E980" w14:textId="77777777" w:rsidR="006416B0" w:rsidRPr="00B4515A" w:rsidRDefault="005E58C1" w:rsidP="005860B4">
      <w:pPr>
        <w:pStyle w:val="005"/>
        <w:spacing w:before="120" w:after="120"/>
        <w:ind w:firstLine="480"/>
      </w:pPr>
      <w:r w:rsidRPr="00B4515A">
        <w:t>对于在某一时段内履行的履约义务，本公司在该段时间内按照履约进度确认收入，但是，履约进度不能合理确定的除外。本公司考虑商品或服务的性质，采</w:t>
      </w:r>
      <w:r w:rsidRPr="00B4515A">
        <w:lastRenderedPageBreak/>
        <w:t>用投入法确定履约进度。当履约进度不能合理确定时，已经发生的成本预计能够得到补偿的，本公司按照已经发生的成本金额确认收入，直到履约进度能够合理确定为止。</w:t>
      </w:r>
    </w:p>
    <w:p w14:paraId="583BB55B" w14:textId="77777777" w:rsidR="006416B0" w:rsidRPr="00B4515A" w:rsidRDefault="005E58C1" w:rsidP="005860B4">
      <w:pPr>
        <w:pStyle w:val="005"/>
        <w:spacing w:before="120" w:after="120"/>
        <w:ind w:firstLine="480"/>
      </w:pPr>
      <w:r w:rsidRPr="00B4515A">
        <w:t>对于在某一时点履行的履约义务，本公司在客户取得相关商品或服务控制权时点确认收入。在判断客户是否已取得商品或服务控制权时，本公司考虑下列迹象：</w:t>
      </w:r>
    </w:p>
    <w:p w14:paraId="05A94671" w14:textId="77777777" w:rsidR="006416B0" w:rsidRPr="00B4515A" w:rsidRDefault="005E58C1" w:rsidP="005860B4">
      <w:pPr>
        <w:pStyle w:val="005"/>
        <w:spacing w:before="120" w:after="120"/>
        <w:ind w:firstLine="480"/>
      </w:pPr>
      <w:r w:rsidRPr="00B4515A">
        <w:t>本公司就该商品或服务享有现时收款权利，即客户就该商品或服务负有现时付款义务。</w:t>
      </w:r>
    </w:p>
    <w:p w14:paraId="4A00237C" w14:textId="77777777" w:rsidR="006416B0" w:rsidRPr="00B4515A" w:rsidRDefault="005E58C1" w:rsidP="005860B4">
      <w:pPr>
        <w:pStyle w:val="005"/>
        <w:spacing w:before="120" w:after="120"/>
        <w:ind w:firstLine="480"/>
      </w:pPr>
      <w:r w:rsidRPr="00B4515A">
        <w:t>本公司已将该商品的法定所有权转移给客户，即客户已拥有该商品的法定所有权。</w:t>
      </w:r>
    </w:p>
    <w:p w14:paraId="025E1C00" w14:textId="77777777" w:rsidR="006416B0" w:rsidRPr="00B4515A" w:rsidRDefault="005E58C1" w:rsidP="005860B4">
      <w:pPr>
        <w:pStyle w:val="005"/>
        <w:spacing w:before="120" w:after="120"/>
        <w:ind w:firstLine="480"/>
      </w:pPr>
      <w:r w:rsidRPr="00B4515A">
        <w:t>本公司已将该商品实物转移给客户，即客户已实物占有该商品。</w:t>
      </w:r>
    </w:p>
    <w:p w14:paraId="6F64D835" w14:textId="77777777" w:rsidR="006416B0" w:rsidRPr="00B4515A" w:rsidRDefault="005E58C1" w:rsidP="005860B4">
      <w:pPr>
        <w:pStyle w:val="005"/>
        <w:spacing w:before="120" w:after="120"/>
        <w:ind w:firstLine="480"/>
      </w:pPr>
      <w:r w:rsidRPr="00B4515A">
        <w:t>本公司已将该商品所有权上的主要风险和报酬转移给客户，即客户已取得该商品所有权上的主要风险和报酬。</w:t>
      </w:r>
    </w:p>
    <w:p w14:paraId="0AC7498B" w14:textId="77777777" w:rsidR="006416B0" w:rsidRPr="00B4515A" w:rsidRDefault="005E58C1" w:rsidP="005860B4">
      <w:pPr>
        <w:pStyle w:val="005"/>
        <w:spacing w:before="120" w:after="120"/>
        <w:ind w:firstLine="480"/>
      </w:pPr>
      <w:r w:rsidRPr="00B4515A">
        <w:t>客户已接受该商品或服务等。</w:t>
      </w:r>
    </w:p>
    <w:p w14:paraId="1A5D0D46" w14:textId="77777777" w:rsidR="006416B0" w:rsidRPr="00B4515A" w:rsidRDefault="005E58C1" w:rsidP="005860B4">
      <w:pPr>
        <w:pStyle w:val="005"/>
        <w:spacing w:before="120" w:after="120"/>
        <w:ind w:firstLine="480"/>
      </w:pPr>
      <w:r w:rsidRPr="00B4515A">
        <w:t>本公司收入确认和计量所采用的具体会计政策如下：</w:t>
      </w:r>
    </w:p>
    <w:p w14:paraId="7ED2FD9C" w14:textId="77777777" w:rsidR="006416B0" w:rsidRPr="00B4515A" w:rsidRDefault="005E58C1" w:rsidP="005860B4">
      <w:pPr>
        <w:pStyle w:val="005"/>
        <w:spacing w:before="120" w:after="120"/>
        <w:ind w:firstLine="480"/>
      </w:pPr>
      <w:r w:rsidRPr="00B4515A">
        <w:t>（</w:t>
      </w:r>
      <w:r w:rsidRPr="00B4515A">
        <w:t>1</w:t>
      </w:r>
      <w:r w:rsidRPr="00B4515A">
        <w:t>）产品销售类</w:t>
      </w:r>
    </w:p>
    <w:p w14:paraId="7F5838F0" w14:textId="77777777" w:rsidR="006416B0" w:rsidRPr="00B4515A" w:rsidRDefault="005E58C1" w:rsidP="005860B4">
      <w:pPr>
        <w:pStyle w:val="005"/>
        <w:spacing w:before="120" w:after="120"/>
        <w:ind w:firstLine="480"/>
      </w:pPr>
      <w:r w:rsidRPr="00B4515A">
        <w:t>当公司与客户之间的合同同时满足下列条件时，公司在客户取得相关商品控制权时确认收入：</w:t>
      </w:r>
    </w:p>
    <w:p w14:paraId="768D4559" w14:textId="77777777" w:rsidR="006416B0" w:rsidRPr="00B4515A" w:rsidRDefault="005E58C1" w:rsidP="005860B4">
      <w:pPr>
        <w:pStyle w:val="005"/>
        <w:spacing w:before="120" w:after="120"/>
        <w:ind w:firstLine="480"/>
      </w:pPr>
      <w:r w:rsidRPr="00B4515A">
        <w:t>合同各方已批准该合同并承诺将履行各自义务；</w:t>
      </w:r>
    </w:p>
    <w:p w14:paraId="24AA5268" w14:textId="77777777" w:rsidR="006416B0" w:rsidRPr="00B4515A" w:rsidRDefault="005E58C1" w:rsidP="005860B4">
      <w:pPr>
        <w:pStyle w:val="005"/>
        <w:spacing w:before="120" w:after="120"/>
        <w:ind w:firstLine="480"/>
      </w:pPr>
      <w:r w:rsidRPr="00B4515A">
        <w:t>该合同明确了合同各方与所转让商品或提供劳务（以下简称</w:t>
      </w:r>
      <w:r w:rsidRPr="00B4515A">
        <w:rPr>
          <w:rFonts w:ascii="宋体" w:hAnsi="宋体"/>
        </w:rPr>
        <w:t>“</w:t>
      </w:r>
      <w:r w:rsidRPr="00B4515A">
        <w:t>转让商品</w:t>
      </w:r>
      <w:r w:rsidRPr="00B4515A">
        <w:rPr>
          <w:rFonts w:ascii="宋体" w:hAnsi="宋体"/>
        </w:rPr>
        <w:t>”</w:t>
      </w:r>
      <w:r w:rsidRPr="00B4515A">
        <w:t>）相关的权利和义务；</w:t>
      </w:r>
    </w:p>
    <w:p w14:paraId="352828FD" w14:textId="77777777" w:rsidR="006416B0" w:rsidRPr="00B4515A" w:rsidRDefault="005E58C1" w:rsidP="005860B4">
      <w:pPr>
        <w:pStyle w:val="005"/>
        <w:spacing w:before="120" w:after="120"/>
        <w:ind w:firstLine="480"/>
      </w:pPr>
      <w:r w:rsidRPr="00B4515A">
        <w:t>该合同有明确的与所转让商品相关的支付条款；</w:t>
      </w:r>
    </w:p>
    <w:p w14:paraId="60B93724" w14:textId="77777777" w:rsidR="006416B0" w:rsidRPr="00B4515A" w:rsidRDefault="005E58C1" w:rsidP="005860B4">
      <w:pPr>
        <w:pStyle w:val="005"/>
        <w:spacing w:before="120" w:after="120"/>
        <w:ind w:firstLine="480"/>
      </w:pPr>
      <w:r w:rsidRPr="00B4515A">
        <w:t>该合同具有商业实质，即履行该合同将改变公司未来现金流量的风险、时间分布或金额；</w:t>
      </w:r>
    </w:p>
    <w:p w14:paraId="3C8559FD" w14:textId="77777777" w:rsidR="006416B0" w:rsidRPr="00B4515A" w:rsidRDefault="005E58C1" w:rsidP="005860B4">
      <w:pPr>
        <w:pStyle w:val="005"/>
        <w:spacing w:before="120" w:after="120"/>
        <w:ind w:firstLine="480"/>
      </w:pPr>
      <w:r w:rsidRPr="00B4515A">
        <w:t>因向客户转让商品而有权取得的对价很可能收回。</w:t>
      </w:r>
    </w:p>
    <w:p w14:paraId="62DA06B1" w14:textId="3C273848" w:rsidR="006416B0" w:rsidRPr="00B4515A" w:rsidRDefault="005E58C1" w:rsidP="005860B4">
      <w:pPr>
        <w:pStyle w:val="005"/>
        <w:spacing w:before="120" w:after="120"/>
        <w:ind w:firstLine="480"/>
      </w:pPr>
      <w:r w:rsidRPr="00B4515A">
        <w:t>在判断客户是否已取得商品控制权时，以签收单、收货确认单等交货证明为</w:t>
      </w:r>
      <w:r w:rsidRPr="00B4515A">
        <w:lastRenderedPageBreak/>
        <w:t>依据。</w:t>
      </w:r>
    </w:p>
    <w:p w14:paraId="613F8E96" w14:textId="77777777" w:rsidR="006416B0" w:rsidRPr="00B4515A" w:rsidRDefault="005E58C1" w:rsidP="005860B4">
      <w:pPr>
        <w:pStyle w:val="005"/>
        <w:spacing w:before="120" w:after="120"/>
        <w:ind w:firstLine="480"/>
      </w:pPr>
      <w:r w:rsidRPr="00B4515A">
        <w:t>（</w:t>
      </w:r>
      <w:r w:rsidRPr="00B4515A">
        <w:t>2</w:t>
      </w:r>
      <w:r w:rsidRPr="00B4515A">
        <w:t>）技术服务类</w:t>
      </w:r>
    </w:p>
    <w:p w14:paraId="5E4E0BF9" w14:textId="77777777" w:rsidR="006416B0" w:rsidRPr="00B4515A" w:rsidRDefault="005E58C1" w:rsidP="005860B4">
      <w:pPr>
        <w:pStyle w:val="005"/>
        <w:spacing w:before="120" w:after="120"/>
        <w:ind w:firstLine="480"/>
      </w:pPr>
      <w:r w:rsidRPr="00B4515A">
        <w:t>公司按照技术开发服务合同的约定，当公司完成技术服务任务，经客户验收后一次性确认该合同项下的技术服务收入。</w:t>
      </w:r>
    </w:p>
    <w:p w14:paraId="732E367B" w14:textId="47A6F09B" w:rsidR="006416B0" w:rsidRPr="00B4515A" w:rsidRDefault="005E58C1" w:rsidP="002B0582">
      <w:pPr>
        <w:pStyle w:val="005"/>
        <w:spacing w:before="120" w:after="120"/>
        <w:ind w:firstLine="480"/>
      </w:pPr>
      <w:r w:rsidRPr="00B4515A">
        <w:rPr>
          <w:rFonts w:hint="eastAsia"/>
        </w:rPr>
        <w:t>（</w:t>
      </w:r>
      <w:r w:rsidRPr="00B4515A">
        <w:t>3</w:t>
      </w:r>
      <w:r w:rsidRPr="00B4515A">
        <w:rPr>
          <w:rFonts w:hint="eastAsia"/>
        </w:rPr>
        <w:t>）知识产权许可</w:t>
      </w:r>
    </w:p>
    <w:p w14:paraId="4EED0385" w14:textId="77777777" w:rsidR="006416B0" w:rsidRPr="00B4515A" w:rsidRDefault="005E58C1" w:rsidP="005860B4">
      <w:pPr>
        <w:pStyle w:val="005"/>
        <w:spacing w:before="120" w:after="120"/>
        <w:ind w:firstLine="480"/>
      </w:pPr>
      <w:r w:rsidRPr="00B4515A">
        <w:rPr>
          <w:rFonts w:hint="eastAsia"/>
        </w:rPr>
        <w:t>向客户授予知识产权许可，并约定按客户实际销售或使用情况收取特许权使用费的，在下列两项孰晚的时点确认收入：①客户后续销售或使用行为实际发生；②公司履行相关履约义务。</w:t>
      </w:r>
    </w:p>
    <w:p w14:paraId="75ACE273" w14:textId="77777777" w:rsidR="006416B0" w:rsidRPr="00B4515A" w:rsidRDefault="005E58C1" w:rsidP="005860B4">
      <w:pPr>
        <w:pStyle w:val="004"/>
        <w:spacing w:before="120" w:after="120"/>
        <w:ind w:firstLine="482"/>
      </w:pPr>
      <w:r w:rsidRPr="00B4515A">
        <w:t>2</w:t>
      </w:r>
      <w:r w:rsidRPr="00B4515A">
        <w:t>、</w:t>
      </w:r>
      <w:r w:rsidRPr="00B4515A">
        <w:t>2020</w:t>
      </w:r>
      <w:r w:rsidRPr="00B4515A">
        <w:t>年</w:t>
      </w:r>
      <w:r w:rsidRPr="00B4515A">
        <w:t>1</w:t>
      </w:r>
      <w:r w:rsidRPr="00B4515A">
        <w:t>月</w:t>
      </w:r>
      <w:r w:rsidRPr="00B4515A">
        <w:t>1</w:t>
      </w:r>
      <w:r w:rsidRPr="00B4515A">
        <w:t>日前的会计政策</w:t>
      </w:r>
    </w:p>
    <w:p w14:paraId="04784D84" w14:textId="77777777" w:rsidR="006416B0" w:rsidRPr="00B4515A" w:rsidRDefault="005E58C1" w:rsidP="005860B4">
      <w:pPr>
        <w:pStyle w:val="005"/>
        <w:spacing w:before="120" w:after="120"/>
        <w:ind w:firstLine="480"/>
      </w:pPr>
      <w:r w:rsidRPr="00B4515A">
        <w:t>（</w:t>
      </w:r>
      <w:r w:rsidRPr="00B4515A">
        <w:t>1</w:t>
      </w:r>
      <w:r w:rsidRPr="00B4515A">
        <w:t>）销售商品收入的确认</w:t>
      </w:r>
    </w:p>
    <w:p w14:paraId="16427E9F" w14:textId="77777777" w:rsidR="006416B0" w:rsidRPr="00B4515A" w:rsidRDefault="005E58C1" w:rsidP="005860B4">
      <w:pPr>
        <w:pStyle w:val="005"/>
        <w:spacing w:before="120" w:after="120"/>
        <w:ind w:firstLine="480"/>
      </w:pPr>
      <w:r w:rsidRPr="00B4515A">
        <w:t>公司销售商品收入，同时满足以下条件时予以确认：</w:t>
      </w:r>
    </w:p>
    <w:p w14:paraId="1000600C" w14:textId="77777777" w:rsidR="006416B0" w:rsidRPr="00B4515A" w:rsidRDefault="005E58C1" w:rsidP="005860B4">
      <w:pPr>
        <w:pStyle w:val="005"/>
        <w:spacing w:before="120" w:after="120"/>
        <w:ind w:firstLine="480"/>
      </w:pPr>
      <w:r w:rsidRPr="00B4515A">
        <w:t>第一，公司已将商品所有权上的主要风险或报酬转移给购货方；</w:t>
      </w:r>
    </w:p>
    <w:p w14:paraId="79716E5E" w14:textId="77777777" w:rsidR="006416B0" w:rsidRPr="00B4515A" w:rsidRDefault="005E58C1" w:rsidP="005860B4">
      <w:pPr>
        <w:pStyle w:val="005"/>
        <w:spacing w:before="120" w:after="120"/>
        <w:ind w:firstLine="480"/>
      </w:pPr>
      <w:r w:rsidRPr="00B4515A">
        <w:t>第二，公司既没有保留通常与所有权相联系的继续管理权，也没有对已售出的商品实施有效控制；</w:t>
      </w:r>
    </w:p>
    <w:p w14:paraId="0FA40D54" w14:textId="77777777" w:rsidR="006416B0" w:rsidRPr="00B4515A" w:rsidRDefault="005E58C1" w:rsidP="005860B4">
      <w:pPr>
        <w:pStyle w:val="005"/>
        <w:spacing w:before="120" w:after="120"/>
        <w:ind w:firstLine="480"/>
      </w:pPr>
      <w:r w:rsidRPr="00B4515A">
        <w:t>第三，收入的金额能够可靠地计量；</w:t>
      </w:r>
    </w:p>
    <w:p w14:paraId="23A008B0" w14:textId="77777777" w:rsidR="006416B0" w:rsidRPr="00B4515A" w:rsidRDefault="005E58C1" w:rsidP="005860B4">
      <w:pPr>
        <w:pStyle w:val="005"/>
        <w:spacing w:before="120" w:after="120"/>
        <w:ind w:firstLine="480"/>
        <w:rPr>
          <w:rFonts w:eastAsiaTheme="majorEastAsia"/>
          <w:color w:val="000000" w:themeColor="text1"/>
        </w:rPr>
      </w:pPr>
      <w:r w:rsidRPr="00B4515A">
        <w:rPr>
          <w:rFonts w:eastAsiaTheme="majorEastAsia"/>
          <w:color w:val="000000" w:themeColor="text1"/>
        </w:rPr>
        <w:t>第四，相关经济利益很可能流入公司；</w:t>
      </w:r>
    </w:p>
    <w:p w14:paraId="4D7A121E" w14:textId="77777777" w:rsidR="006416B0" w:rsidRPr="00B4515A" w:rsidRDefault="005E58C1" w:rsidP="005860B4">
      <w:pPr>
        <w:pStyle w:val="005"/>
        <w:spacing w:before="120" w:after="120"/>
        <w:ind w:firstLine="480"/>
        <w:rPr>
          <w:rFonts w:eastAsiaTheme="majorEastAsia"/>
          <w:color w:val="000000" w:themeColor="text1"/>
        </w:rPr>
      </w:pPr>
      <w:r w:rsidRPr="00B4515A">
        <w:rPr>
          <w:rFonts w:eastAsiaTheme="majorEastAsia"/>
          <w:color w:val="000000" w:themeColor="text1"/>
        </w:rPr>
        <w:t>第五，相关的已发生或将</w:t>
      </w:r>
      <w:r w:rsidRPr="00B4515A">
        <w:t>发生</w:t>
      </w:r>
      <w:r w:rsidRPr="00B4515A">
        <w:rPr>
          <w:rFonts w:eastAsiaTheme="majorEastAsia"/>
          <w:color w:val="000000" w:themeColor="text1"/>
        </w:rPr>
        <w:t>的成本能够可靠地计量。</w:t>
      </w:r>
    </w:p>
    <w:p w14:paraId="5F15DBFE" w14:textId="77777777" w:rsidR="006416B0" w:rsidRPr="00B4515A" w:rsidRDefault="005E58C1" w:rsidP="005860B4">
      <w:pPr>
        <w:pStyle w:val="005"/>
        <w:spacing w:before="120" w:after="120"/>
        <w:ind w:firstLine="480"/>
        <w:rPr>
          <w:rFonts w:eastAsiaTheme="majorEastAsia"/>
          <w:color w:val="000000" w:themeColor="text1"/>
        </w:rPr>
      </w:pPr>
      <w:r w:rsidRPr="00B4515A">
        <w:rPr>
          <w:rFonts w:eastAsiaTheme="majorEastAsia"/>
          <w:color w:val="000000" w:themeColor="text1"/>
        </w:rPr>
        <w:t>（</w:t>
      </w:r>
      <w:r w:rsidRPr="00B4515A">
        <w:rPr>
          <w:rFonts w:eastAsiaTheme="majorEastAsia"/>
          <w:color w:val="000000" w:themeColor="text1"/>
        </w:rPr>
        <w:t>2</w:t>
      </w:r>
      <w:r w:rsidRPr="00B4515A">
        <w:rPr>
          <w:rFonts w:eastAsiaTheme="majorEastAsia"/>
          <w:color w:val="000000" w:themeColor="text1"/>
        </w:rPr>
        <w:t>）提供劳务收入的确认</w:t>
      </w:r>
    </w:p>
    <w:p w14:paraId="64A589F8" w14:textId="77777777" w:rsidR="006416B0" w:rsidRPr="00B4515A" w:rsidRDefault="005E58C1" w:rsidP="005860B4">
      <w:pPr>
        <w:pStyle w:val="005"/>
        <w:spacing w:before="120" w:after="120"/>
        <w:ind w:firstLine="480"/>
        <w:rPr>
          <w:rFonts w:eastAsiaTheme="majorEastAsia"/>
          <w:color w:val="000000" w:themeColor="text1"/>
        </w:rPr>
      </w:pPr>
      <w:r w:rsidRPr="00B4515A">
        <w:rPr>
          <w:rFonts w:eastAsiaTheme="majorEastAsia"/>
          <w:color w:val="000000" w:themeColor="text1"/>
        </w:rPr>
        <w:t>对在提供劳务交易的结果能够可靠估计的情况下，本公司在期末按完工百分比法确认收入。</w:t>
      </w:r>
    </w:p>
    <w:p w14:paraId="3DAAE21C" w14:textId="77777777" w:rsidR="006416B0" w:rsidRPr="00B4515A" w:rsidRDefault="005E58C1" w:rsidP="005860B4">
      <w:pPr>
        <w:pStyle w:val="005"/>
        <w:spacing w:before="120" w:after="120"/>
        <w:ind w:firstLine="480"/>
        <w:rPr>
          <w:rFonts w:eastAsiaTheme="majorEastAsia"/>
          <w:color w:val="000000" w:themeColor="text1"/>
        </w:rPr>
      </w:pPr>
      <w:r w:rsidRPr="00B4515A">
        <w:rPr>
          <w:rFonts w:eastAsiaTheme="majorEastAsia"/>
          <w:color w:val="000000" w:themeColor="text1"/>
        </w:rPr>
        <w:t>（</w:t>
      </w:r>
      <w:r w:rsidRPr="00B4515A">
        <w:rPr>
          <w:rFonts w:eastAsiaTheme="majorEastAsia"/>
          <w:color w:val="000000" w:themeColor="text1"/>
        </w:rPr>
        <w:t>3</w:t>
      </w:r>
      <w:r w:rsidRPr="00B4515A">
        <w:rPr>
          <w:rFonts w:eastAsiaTheme="majorEastAsia"/>
          <w:color w:val="000000" w:themeColor="text1"/>
        </w:rPr>
        <w:t>）让渡资产使用权收入的</w:t>
      </w:r>
      <w:r w:rsidRPr="00B4515A">
        <w:t>确认</w:t>
      </w:r>
    </w:p>
    <w:p w14:paraId="5FB11F0A" w14:textId="77777777" w:rsidR="006416B0" w:rsidRPr="00B4515A" w:rsidRDefault="005E58C1" w:rsidP="005860B4">
      <w:pPr>
        <w:pStyle w:val="005"/>
        <w:spacing w:before="120" w:after="120"/>
        <w:ind w:firstLine="480"/>
        <w:rPr>
          <w:rFonts w:eastAsiaTheme="majorEastAsia"/>
          <w:color w:val="000000" w:themeColor="text1"/>
        </w:rPr>
      </w:pPr>
      <w:r w:rsidRPr="00B4515A">
        <w:rPr>
          <w:rFonts w:eastAsiaTheme="majorEastAsia"/>
          <w:color w:val="000000" w:themeColor="text1"/>
        </w:rPr>
        <w:t>与交易相关的经济利益很可能流入企业，收入的金额能够可靠地计量时。分别下列情况确定让渡资产使用权收入金额：</w:t>
      </w:r>
    </w:p>
    <w:p w14:paraId="2900BECA" w14:textId="5B15D1A3" w:rsidR="006416B0" w:rsidRPr="00B4515A" w:rsidRDefault="008C1C67" w:rsidP="005860B4">
      <w:pPr>
        <w:pStyle w:val="005"/>
        <w:spacing w:before="120" w:after="120"/>
        <w:ind w:firstLine="480"/>
        <w:rPr>
          <w:rFonts w:eastAsiaTheme="majorEastAsia"/>
          <w:color w:val="000000" w:themeColor="text1"/>
        </w:rPr>
      </w:pPr>
      <w:r w:rsidRPr="00B4515A">
        <w:rPr>
          <w:rFonts w:ascii="宋体" w:hAnsi="宋体" w:cs="宋体" w:hint="eastAsia"/>
          <w:color w:val="000000" w:themeColor="text1"/>
        </w:rPr>
        <w:t>①</w:t>
      </w:r>
      <w:r w:rsidRPr="00B4515A">
        <w:rPr>
          <w:rFonts w:eastAsiaTheme="majorEastAsia"/>
          <w:color w:val="000000" w:themeColor="text1"/>
        </w:rPr>
        <w:tab/>
      </w:r>
      <w:r w:rsidR="005E58C1" w:rsidRPr="00B4515A">
        <w:rPr>
          <w:rFonts w:eastAsiaTheme="majorEastAsia"/>
          <w:color w:val="000000" w:themeColor="text1"/>
        </w:rPr>
        <w:t>利息收入金额，按照他人使用本企业货币资金的时间和实际利率计算确定。</w:t>
      </w:r>
    </w:p>
    <w:p w14:paraId="1CA42466" w14:textId="77777777" w:rsidR="006416B0" w:rsidRPr="00B4515A" w:rsidRDefault="005E58C1" w:rsidP="005860B4">
      <w:pPr>
        <w:pStyle w:val="005"/>
        <w:spacing w:before="120" w:after="120"/>
        <w:ind w:firstLine="480"/>
        <w:rPr>
          <w:rFonts w:eastAsiaTheme="majorEastAsia"/>
          <w:color w:val="000000" w:themeColor="text1"/>
        </w:rPr>
      </w:pPr>
      <w:r w:rsidRPr="00B4515A">
        <w:rPr>
          <w:rFonts w:eastAsiaTheme="majorEastAsia"/>
          <w:color w:val="000000" w:themeColor="text1"/>
        </w:rPr>
        <w:lastRenderedPageBreak/>
        <w:t>使用费收入金额，按照有关合同或协议约定的收费时间和方法计算确定。</w:t>
      </w:r>
    </w:p>
    <w:p w14:paraId="60152ECD" w14:textId="77777777" w:rsidR="006416B0" w:rsidRPr="00B4515A" w:rsidRDefault="005E58C1" w:rsidP="005860B4">
      <w:pPr>
        <w:pStyle w:val="005"/>
        <w:spacing w:before="120" w:after="120"/>
        <w:ind w:firstLine="480"/>
        <w:rPr>
          <w:rFonts w:eastAsiaTheme="majorEastAsia"/>
          <w:color w:val="000000" w:themeColor="text1"/>
        </w:rPr>
      </w:pPr>
      <w:r w:rsidRPr="00B4515A">
        <w:rPr>
          <w:rFonts w:eastAsiaTheme="majorEastAsia"/>
          <w:color w:val="000000" w:themeColor="text1"/>
        </w:rPr>
        <w:t>（</w:t>
      </w:r>
      <w:r w:rsidRPr="00B4515A">
        <w:rPr>
          <w:rFonts w:eastAsiaTheme="majorEastAsia"/>
          <w:color w:val="000000" w:themeColor="text1"/>
        </w:rPr>
        <w:t>4</w:t>
      </w:r>
      <w:r w:rsidRPr="00B4515A">
        <w:rPr>
          <w:rFonts w:eastAsiaTheme="majorEastAsia"/>
          <w:color w:val="000000" w:themeColor="text1"/>
        </w:rPr>
        <w:t>）按完工百分比法确认提供劳务的收入和建造合同收入时，确定合同完工进度的依据和方法</w:t>
      </w:r>
    </w:p>
    <w:p w14:paraId="27B14ED5" w14:textId="77777777" w:rsidR="006416B0" w:rsidRPr="00B4515A" w:rsidRDefault="005E58C1" w:rsidP="005860B4">
      <w:pPr>
        <w:pStyle w:val="005"/>
        <w:spacing w:before="120" w:after="120"/>
        <w:ind w:firstLine="480"/>
        <w:rPr>
          <w:rFonts w:eastAsiaTheme="majorEastAsia"/>
          <w:color w:val="000000" w:themeColor="text1"/>
        </w:rPr>
      </w:pPr>
      <w:r w:rsidRPr="00B4515A">
        <w:rPr>
          <w:rFonts w:eastAsiaTheme="majorEastAsia"/>
          <w:color w:val="000000" w:themeColor="text1"/>
        </w:rPr>
        <w:t>在资产负债表日提供劳务交易的结果能够可靠估计的，采用完工百分比法确认提供劳务收入。提供劳务交易的完工进度，依据已完工作的测量确定。</w:t>
      </w:r>
    </w:p>
    <w:p w14:paraId="582A0B7B" w14:textId="77777777" w:rsidR="006416B0" w:rsidRPr="00B4515A" w:rsidRDefault="005E58C1" w:rsidP="005860B4">
      <w:pPr>
        <w:pStyle w:val="005"/>
        <w:spacing w:before="120" w:after="120"/>
        <w:ind w:firstLine="480"/>
        <w:rPr>
          <w:rFonts w:eastAsiaTheme="majorEastAsia"/>
          <w:color w:val="000000" w:themeColor="text1"/>
        </w:rPr>
      </w:pPr>
      <w:r w:rsidRPr="00B4515A">
        <w:rPr>
          <w:rFonts w:eastAsiaTheme="majorEastAsia"/>
          <w:color w:val="000000" w:themeColor="text1"/>
        </w:rPr>
        <w:t>按照已收或应收的合同或协议价款确定提供劳务收入总额，但已收或应收的合同或协议价款不公允的除外。资产负债表日按照提供劳务收入总额乘以完工进度扣除以前会计期间累计已确认提供劳务收入后的金额，确认当期提供劳务收入；同时，按照提供劳务估计总成本乘以完工进度扣除以前会计期间累计已确认劳务成本后的金额，结转当期劳务成本。</w:t>
      </w:r>
    </w:p>
    <w:p w14:paraId="6007602C" w14:textId="77777777" w:rsidR="006416B0" w:rsidRPr="00B4515A" w:rsidRDefault="005E58C1" w:rsidP="005860B4">
      <w:pPr>
        <w:pStyle w:val="005"/>
        <w:spacing w:before="120" w:after="120"/>
        <w:ind w:firstLine="480"/>
        <w:rPr>
          <w:rFonts w:eastAsiaTheme="majorEastAsia"/>
          <w:color w:val="000000" w:themeColor="text1"/>
        </w:rPr>
      </w:pPr>
      <w:r w:rsidRPr="00B4515A">
        <w:rPr>
          <w:rFonts w:eastAsiaTheme="majorEastAsia"/>
          <w:color w:val="000000" w:themeColor="text1"/>
        </w:rPr>
        <w:t>在资产负债表日提供劳务交易结果不能够可靠估计的，分别下列情况处理：</w:t>
      </w:r>
    </w:p>
    <w:p w14:paraId="160166CE" w14:textId="77777777" w:rsidR="006416B0" w:rsidRPr="00B4515A" w:rsidRDefault="005E58C1" w:rsidP="005860B4">
      <w:pPr>
        <w:pStyle w:val="005"/>
        <w:spacing w:before="120" w:after="120"/>
        <w:ind w:firstLine="480"/>
        <w:rPr>
          <w:rFonts w:eastAsiaTheme="majorEastAsia"/>
          <w:color w:val="000000" w:themeColor="text1"/>
        </w:rPr>
      </w:pPr>
      <w:r w:rsidRPr="00B4515A">
        <w:rPr>
          <w:rFonts w:hint="eastAsia"/>
          <w:color w:val="000000" w:themeColor="text1"/>
        </w:rPr>
        <w:t>①</w:t>
      </w:r>
      <w:r w:rsidRPr="00B4515A">
        <w:rPr>
          <w:rFonts w:eastAsiaTheme="majorEastAsia"/>
          <w:color w:val="000000" w:themeColor="text1"/>
        </w:rPr>
        <w:t>已经发生的劳务成本预计能够得到补偿的，按照已经发生的劳务成本金额确认提供劳务收入，并按相同金额结转劳务成本。</w:t>
      </w:r>
    </w:p>
    <w:p w14:paraId="4ED1B91D" w14:textId="77777777" w:rsidR="006416B0" w:rsidRPr="00B4515A" w:rsidRDefault="005E58C1" w:rsidP="005860B4">
      <w:pPr>
        <w:pStyle w:val="005"/>
        <w:spacing w:before="120" w:after="120"/>
        <w:ind w:firstLine="480"/>
        <w:rPr>
          <w:rFonts w:eastAsiaTheme="majorEastAsia"/>
          <w:color w:val="000000" w:themeColor="text1"/>
        </w:rPr>
      </w:pPr>
      <w:r w:rsidRPr="00B4515A">
        <w:rPr>
          <w:rFonts w:hint="eastAsia"/>
          <w:color w:val="000000" w:themeColor="text1"/>
        </w:rPr>
        <w:t>②</w:t>
      </w:r>
      <w:r w:rsidRPr="00B4515A">
        <w:rPr>
          <w:rFonts w:eastAsiaTheme="majorEastAsia"/>
          <w:color w:val="000000" w:themeColor="text1"/>
        </w:rPr>
        <w:t>已经发生的劳务成本预计不能够得到补偿的，将已经发生的劳务成本计入当期损益，不确认提供劳务收入。</w:t>
      </w:r>
    </w:p>
    <w:p w14:paraId="5EB763ED" w14:textId="77777777" w:rsidR="006416B0" w:rsidRPr="00B4515A" w:rsidRDefault="005E58C1" w:rsidP="005860B4">
      <w:pPr>
        <w:pStyle w:val="003"/>
        <w:spacing w:before="120"/>
        <w:ind w:firstLine="482"/>
      </w:pPr>
      <w:r w:rsidRPr="00B4515A">
        <w:t>（二）会计政策、会计估计与同行业的差异及对利润的影响</w:t>
      </w:r>
    </w:p>
    <w:p w14:paraId="3C81657F" w14:textId="77777777" w:rsidR="006416B0" w:rsidRPr="00B4515A" w:rsidRDefault="005E58C1" w:rsidP="005860B4">
      <w:pPr>
        <w:pStyle w:val="005"/>
        <w:spacing w:before="120" w:after="120"/>
        <w:ind w:firstLine="480"/>
      </w:pPr>
      <w:r w:rsidRPr="00B4515A">
        <w:t>大唐联诚会计政策或会计估计与同行业上市公司不存在重大差异。截至本报告书签署日，大唐联诚不存在重大会计政策或会计估计差异对其利润产生影响的情况。</w:t>
      </w:r>
    </w:p>
    <w:p w14:paraId="4B1F9047" w14:textId="77777777" w:rsidR="006416B0" w:rsidRPr="00B4515A" w:rsidRDefault="005E58C1" w:rsidP="005860B4">
      <w:pPr>
        <w:pStyle w:val="003"/>
        <w:spacing w:before="120"/>
        <w:ind w:firstLine="482"/>
      </w:pPr>
      <w:r w:rsidRPr="00B4515A">
        <w:t>（三）财务报表的编制基础、确定合并报表时的重大判断和假设、合并财务报表范围及其变化情况和原因</w:t>
      </w:r>
    </w:p>
    <w:p w14:paraId="14EED727" w14:textId="77777777" w:rsidR="006416B0" w:rsidRPr="00B4515A" w:rsidRDefault="005E58C1" w:rsidP="005860B4">
      <w:pPr>
        <w:pStyle w:val="004"/>
        <w:spacing w:before="120" w:after="120"/>
        <w:ind w:firstLine="482"/>
      </w:pPr>
      <w:r w:rsidRPr="00B4515A">
        <w:t>1</w:t>
      </w:r>
      <w:r w:rsidRPr="00B4515A">
        <w:t>、财务报表的编制基础</w:t>
      </w:r>
    </w:p>
    <w:p w14:paraId="29C0A11A" w14:textId="77777777" w:rsidR="006416B0" w:rsidRPr="00B4515A" w:rsidRDefault="005E58C1" w:rsidP="005860B4">
      <w:pPr>
        <w:pStyle w:val="005"/>
        <w:spacing w:before="120" w:after="120"/>
        <w:ind w:firstLine="480"/>
      </w:pPr>
      <w:r w:rsidRPr="00B4515A">
        <w:t>（</w:t>
      </w:r>
      <w:r w:rsidRPr="00B4515A">
        <w:t>1</w:t>
      </w:r>
      <w:r w:rsidRPr="00B4515A">
        <w:t>）编制基础</w:t>
      </w:r>
    </w:p>
    <w:p w14:paraId="5DF1232F" w14:textId="46EBC2CB" w:rsidR="006416B0" w:rsidRPr="00B4515A" w:rsidRDefault="005E58C1" w:rsidP="005860B4">
      <w:pPr>
        <w:pStyle w:val="005"/>
        <w:spacing w:before="120" w:after="120"/>
        <w:ind w:firstLine="480"/>
      </w:pPr>
      <w:r w:rsidRPr="00B4515A">
        <w:t>大唐联诚财务报表按照财政部颁布的《企业会计准则</w:t>
      </w:r>
      <w:r w:rsidRPr="00B4515A">
        <w:t>——</w:t>
      </w:r>
      <w:r w:rsidRPr="00B4515A">
        <w:t>基本准则》和各项具体会计准</w:t>
      </w:r>
      <w:r w:rsidRPr="00B4515A">
        <w:t xml:space="preserve"> </w:t>
      </w:r>
      <w:r w:rsidRPr="00B4515A">
        <w:t>则、企业会计准则应用指南、企业会计准则解释及其他相关规定（以下合称</w:t>
      </w:r>
      <w:r w:rsidRPr="00B4515A">
        <w:rPr>
          <w:rFonts w:ascii="宋体" w:hAnsi="宋体"/>
        </w:rPr>
        <w:t>“</w:t>
      </w:r>
      <w:r w:rsidRPr="00B4515A">
        <w:t>企业会计准则</w:t>
      </w:r>
      <w:r w:rsidRPr="00B4515A">
        <w:rPr>
          <w:rFonts w:ascii="宋体" w:hAnsi="宋体"/>
        </w:rPr>
        <w:t>”</w:t>
      </w:r>
      <w:r w:rsidRPr="00B4515A">
        <w:t>），以及中国证券监督管理委员会《公开发行证券的公司信息披露编报规则第</w:t>
      </w:r>
      <w:r w:rsidRPr="00B4515A">
        <w:t>15</w:t>
      </w:r>
      <w:r w:rsidRPr="00B4515A">
        <w:t>号</w:t>
      </w:r>
      <w:r w:rsidRPr="00B4515A">
        <w:t>——</w:t>
      </w:r>
      <w:r w:rsidRPr="00B4515A">
        <w:t>财务报告的一般规定》的相关规定编制。</w:t>
      </w:r>
    </w:p>
    <w:p w14:paraId="06DF9985" w14:textId="77777777" w:rsidR="006416B0" w:rsidRPr="00B4515A" w:rsidRDefault="005E58C1" w:rsidP="005860B4">
      <w:pPr>
        <w:pStyle w:val="005"/>
        <w:spacing w:before="120" w:after="120"/>
        <w:ind w:firstLine="480"/>
      </w:pPr>
      <w:r w:rsidRPr="00B4515A">
        <w:lastRenderedPageBreak/>
        <w:t>（</w:t>
      </w:r>
      <w:r w:rsidRPr="00B4515A">
        <w:t>2</w:t>
      </w:r>
      <w:r w:rsidRPr="00B4515A">
        <w:t>）持续经营</w:t>
      </w:r>
    </w:p>
    <w:p w14:paraId="4B1135D1" w14:textId="77777777" w:rsidR="006416B0" w:rsidRPr="00B4515A" w:rsidRDefault="005E58C1" w:rsidP="005860B4">
      <w:pPr>
        <w:pStyle w:val="005"/>
        <w:spacing w:before="120" w:after="120"/>
        <w:ind w:firstLine="480"/>
      </w:pPr>
      <w:r w:rsidRPr="00B4515A">
        <w:t>大唐联诚财务报表以持续经营为编制基础。</w:t>
      </w:r>
    </w:p>
    <w:p w14:paraId="6E4A7D19" w14:textId="77777777" w:rsidR="006416B0" w:rsidRPr="00B4515A" w:rsidRDefault="005E58C1" w:rsidP="005860B4">
      <w:pPr>
        <w:pStyle w:val="004"/>
        <w:spacing w:before="120" w:after="120"/>
        <w:ind w:firstLine="482"/>
      </w:pPr>
      <w:r w:rsidRPr="00B4515A">
        <w:t>2</w:t>
      </w:r>
      <w:r w:rsidRPr="00B4515A">
        <w:t>、合并财务报表的编制方法</w:t>
      </w:r>
    </w:p>
    <w:p w14:paraId="3AAE10AF" w14:textId="77777777" w:rsidR="006416B0" w:rsidRPr="00B4515A" w:rsidRDefault="005E58C1" w:rsidP="005860B4">
      <w:pPr>
        <w:pStyle w:val="005"/>
        <w:spacing w:before="120" w:after="120"/>
        <w:ind w:firstLine="480"/>
      </w:pPr>
      <w:r w:rsidRPr="00B4515A">
        <w:t>合并财务报表的合并范围以控制为基础确定，合并范围包括大唐联诚及其全部子公司。控制，是指公司拥有对被投资方的权力，通过参与被投资方的相关活动而享有可变回报，并且有能力运用对被投资方的权力影响其回报金额。</w:t>
      </w:r>
    </w:p>
    <w:p w14:paraId="42C2D2EE" w14:textId="77777777" w:rsidR="006416B0" w:rsidRPr="00B4515A" w:rsidRDefault="005E58C1" w:rsidP="005860B4">
      <w:pPr>
        <w:pStyle w:val="004"/>
        <w:spacing w:before="120" w:after="120"/>
        <w:ind w:firstLine="482"/>
      </w:pPr>
      <w:r w:rsidRPr="00B4515A">
        <w:rPr>
          <w:rFonts w:hint="eastAsia"/>
        </w:rPr>
        <w:t>3</w:t>
      </w:r>
      <w:r w:rsidRPr="00B4515A">
        <w:rPr>
          <w:rFonts w:hint="eastAsia"/>
        </w:rPr>
        <w:t>、</w:t>
      </w:r>
      <w:r w:rsidRPr="00B4515A">
        <w:t>合并范围</w:t>
      </w:r>
      <w:r w:rsidRPr="00B4515A">
        <w:rPr>
          <w:rFonts w:hint="eastAsia"/>
        </w:rPr>
        <w:t>的</w:t>
      </w:r>
      <w:r w:rsidRPr="00B4515A">
        <w:t>变化</w:t>
      </w:r>
    </w:p>
    <w:p w14:paraId="1C515D28" w14:textId="77777777" w:rsidR="006416B0" w:rsidRPr="00B4515A" w:rsidRDefault="005E58C1" w:rsidP="00EE238F">
      <w:pPr>
        <w:pStyle w:val="3"/>
        <w:numPr>
          <w:ilvl w:val="0"/>
          <w:numId w:val="0"/>
        </w:numPr>
        <w:spacing w:line="360" w:lineRule="auto"/>
        <w:ind w:left="1276" w:hanging="567"/>
        <w:jc w:val="center"/>
        <w:outlineLvl w:val="9"/>
        <w:rPr>
          <w:rFonts w:eastAsiaTheme="minorEastAsia"/>
          <w:b w:val="0"/>
          <w:bCs/>
          <w:color w:val="000000" w:themeColor="text1"/>
          <w:sz w:val="24"/>
          <w:szCs w:val="24"/>
        </w:rPr>
      </w:pPr>
      <w:r w:rsidRPr="00B4515A">
        <w:rPr>
          <w:rFonts w:eastAsiaTheme="minorEastAsia"/>
          <w:b w:val="0"/>
          <w:bCs/>
          <w:color w:val="000000" w:themeColor="text1"/>
          <w:sz w:val="24"/>
          <w:szCs w:val="24"/>
        </w:rPr>
        <w:t>单次处置对子公司投资即丧失控制权的情形</w:t>
      </w:r>
    </w:p>
    <w:p w14:paraId="786F900F" w14:textId="77777777" w:rsidR="006416B0" w:rsidRPr="00B4515A" w:rsidRDefault="005E58C1" w:rsidP="00EE238F">
      <w:pPr>
        <w:pStyle w:val="3f6"/>
        <w:spacing w:line="240" w:lineRule="auto"/>
        <w:ind w:left="0"/>
        <w:jc w:val="center"/>
        <w:rPr>
          <w:rFonts w:eastAsiaTheme="minorEastAsia"/>
          <w:bCs/>
          <w:color w:val="000000" w:themeColor="text1"/>
        </w:rPr>
      </w:pPr>
      <w:r w:rsidRPr="00B4515A">
        <w:rPr>
          <w:rFonts w:eastAsiaTheme="minorEastAsia"/>
          <w:bCs/>
          <w:color w:val="000000" w:themeColor="text1"/>
          <w:sz w:val="24"/>
          <w:szCs w:val="24"/>
        </w:rPr>
        <w:fldChar w:fldCharType="begin"/>
      </w:r>
      <w:r w:rsidRPr="00B4515A">
        <w:rPr>
          <w:rFonts w:eastAsiaTheme="minorEastAsia"/>
          <w:bCs/>
          <w:color w:val="000000" w:themeColor="text1"/>
          <w:sz w:val="24"/>
          <w:szCs w:val="24"/>
        </w:rPr>
        <w:instrText xml:space="preserve"> DOCVARIABLE  </w:instrText>
      </w:r>
      <w:r w:rsidRPr="00B4515A">
        <w:rPr>
          <w:rFonts w:eastAsiaTheme="minorEastAsia"/>
          <w:bCs/>
          <w:color w:val="000000" w:themeColor="text1"/>
          <w:sz w:val="24"/>
          <w:szCs w:val="24"/>
        </w:rPr>
        <w:instrText>基本信息</w:instrText>
      </w:r>
      <w:r w:rsidRPr="00B4515A">
        <w:rPr>
          <w:rFonts w:eastAsiaTheme="minorEastAsia"/>
          <w:bCs/>
          <w:color w:val="000000" w:themeColor="text1"/>
          <w:sz w:val="24"/>
          <w:szCs w:val="24"/>
        </w:rPr>
        <w:instrText>_20XX_2</w:instrText>
      </w:r>
      <w:r w:rsidRPr="00B4515A">
        <w:rPr>
          <w:rFonts w:eastAsiaTheme="minorEastAsia"/>
          <w:bCs/>
          <w:color w:val="000000" w:themeColor="text1"/>
          <w:sz w:val="24"/>
          <w:szCs w:val="24"/>
        </w:rPr>
        <w:instrText>年度</w:instrText>
      </w:r>
      <w:r w:rsidRPr="00B4515A">
        <w:rPr>
          <w:rFonts w:eastAsiaTheme="minorEastAsia"/>
          <w:bCs/>
          <w:color w:val="000000" w:themeColor="text1"/>
          <w:sz w:val="24"/>
          <w:szCs w:val="24"/>
        </w:rPr>
        <w:instrText xml:space="preserve">  \* MERGEFORMAT </w:instrText>
      </w:r>
      <w:r w:rsidRPr="00B4515A">
        <w:rPr>
          <w:rFonts w:eastAsiaTheme="minorEastAsia"/>
          <w:bCs/>
          <w:color w:val="000000" w:themeColor="text1"/>
          <w:sz w:val="24"/>
          <w:szCs w:val="24"/>
        </w:rPr>
        <w:fldChar w:fldCharType="separate"/>
      </w:r>
      <w:r w:rsidRPr="00B4515A">
        <w:rPr>
          <w:rFonts w:eastAsiaTheme="minorEastAsia"/>
          <w:bCs/>
          <w:color w:val="000000" w:themeColor="text1"/>
          <w:sz w:val="24"/>
          <w:szCs w:val="24"/>
        </w:rPr>
        <w:t>2019</w:t>
      </w:r>
      <w:r w:rsidRPr="00B4515A">
        <w:rPr>
          <w:rFonts w:eastAsiaTheme="minorEastAsia"/>
          <w:bCs/>
          <w:color w:val="000000" w:themeColor="text1"/>
          <w:sz w:val="24"/>
          <w:szCs w:val="24"/>
        </w:rPr>
        <w:t>年度</w:t>
      </w:r>
      <w:r w:rsidRPr="00B4515A">
        <w:rPr>
          <w:rFonts w:eastAsiaTheme="minorEastAsia"/>
          <w:bCs/>
          <w:color w:val="000000" w:themeColor="text1"/>
          <w:sz w:val="24"/>
          <w:szCs w:val="24"/>
        </w:rPr>
        <w:fldChar w:fldCharType="end"/>
      </w:r>
      <w:r w:rsidRPr="00B4515A">
        <w:rPr>
          <w:rFonts w:eastAsiaTheme="minorEastAsia"/>
          <w:bCs/>
          <w:color w:val="000000" w:themeColor="text1"/>
        </w:rPr>
        <w:fldChar w:fldCharType="begin"/>
      </w:r>
      <w:r w:rsidRPr="00B4515A">
        <w:rPr>
          <w:rFonts w:eastAsiaTheme="minorEastAsia"/>
          <w:bCs/>
          <w:color w:val="000000" w:themeColor="text1"/>
        </w:rPr>
        <w:instrText xml:space="preserve"> LINK Excel.Sheet.12 E:\\</w:instrText>
      </w:r>
      <w:r w:rsidRPr="00B4515A">
        <w:rPr>
          <w:rFonts w:eastAsiaTheme="minorEastAsia"/>
          <w:bCs/>
          <w:color w:val="000000" w:themeColor="text1"/>
        </w:rPr>
        <w:instrText>雍</w:instrText>
      </w:r>
      <w:r w:rsidRPr="00B4515A">
        <w:rPr>
          <w:rFonts w:eastAsiaTheme="minorEastAsia"/>
          <w:bCs/>
          <w:color w:val="000000" w:themeColor="text1"/>
        </w:rPr>
        <w:instrText>\\</w:instrText>
      </w:r>
      <w:r w:rsidRPr="00B4515A">
        <w:rPr>
          <w:rFonts w:eastAsiaTheme="minorEastAsia"/>
          <w:bCs/>
          <w:color w:val="000000" w:themeColor="text1"/>
        </w:rPr>
        <w:instrText>附注排版</w:instrText>
      </w:r>
      <w:r w:rsidRPr="00B4515A">
        <w:rPr>
          <w:rFonts w:eastAsiaTheme="minorEastAsia"/>
          <w:bCs/>
          <w:color w:val="000000" w:themeColor="text1"/>
        </w:rPr>
        <w:instrText>\\2014</w:instrText>
      </w:r>
      <w:r w:rsidRPr="00B4515A">
        <w:rPr>
          <w:rFonts w:eastAsiaTheme="minorEastAsia"/>
          <w:bCs/>
          <w:color w:val="000000" w:themeColor="text1"/>
        </w:rPr>
        <w:instrText>年年报格式</w:instrText>
      </w:r>
      <w:r w:rsidRPr="00B4515A">
        <w:rPr>
          <w:rFonts w:eastAsiaTheme="minorEastAsia"/>
          <w:bCs/>
          <w:color w:val="000000" w:themeColor="text1"/>
        </w:rPr>
        <w:instrText>\\</w:instrText>
      </w:r>
      <w:r w:rsidRPr="00B4515A">
        <w:rPr>
          <w:rFonts w:eastAsiaTheme="minorEastAsia"/>
          <w:bCs/>
          <w:color w:val="000000" w:themeColor="text1"/>
        </w:rPr>
        <w:instrText>附注过渡表</w:instrText>
      </w:r>
      <w:r w:rsidRPr="00B4515A">
        <w:rPr>
          <w:rFonts w:eastAsiaTheme="minorEastAsia"/>
          <w:bCs/>
          <w:color w:val="000000" w:themeColor="text1"/>
        </w:rPr>
        <w:instrText xml:space="preserve">20150130V0910.xlsx </w:instrText>
      </w:r>
      <w:r w:rsidRPr="00B4515A">
        <w:rPr>
          <w:rFonts w:eastAsiaTheme="minorEastAsia"/>
          <w:bCs/>
          <w:color w:val="000000" w:themeColor="text1"/>
        </w:rPr>
        <w:instrText>合并范围的变更</w:instrText>
      </w:r>
      <w:r w:rsidRPr="00B4515A">
        <w:rPr>
          <w:rFonts w:eastAsiaTheme="minorEastAsia"/>
          <w:bCs/>
          <w:color w:val="000000" w:themeColor="text1"/>
        </w:rPr>
        <w:instrText>!</w:instrText>
      </w:r>
      <w:r w:rsidRPr="00B4515A">
        <w:rPr>
          <w:rFonts w:eastAsiaTheme="minorEastAsia"/>
          <w:bCs/>
          <w:color w:val="000000" w:themeColor="text1"/>
        </w:rPr>
        <w:instrText>合并范围的变更</w:instrText>
      </w:r>
      <w:r w:rsidRPr="00B4515A">
        <w:rPr>
          <w:rFonts w:eastAsiaTheme="minorEastAsia"/>
          <w:bCs/>
          <w:color w:val="000000" w:themeColor="text1"/>
        </w:rPr>
        <w:instrText xml:space="preserve">7_1 \f 4 \h  \* MERGEFORMAT </w:instrText>
      </w:r>
      <w:r w:rsidRPr="00B4515A">
        <w:rPr>
          <w:rFonts w:eastAsiaTheme="minorEastAsia"/>
          <w:bCs/>
          <w:color w:val="000000" w:themeColor="text1"/>
        </w:rPr>
        <w:fldChar w:fldCharType="separate"/>
      </w:r>
    </w:p>
    <w:tbl>
      <w:tblPr>
        <w:tblStyle w:val="2fd"/>
        <w:tblW w:w="5000" w:type="pct"/>
        <w:tblBorders>
          <w:left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2"/>
        <w:gridCol w:w="1518"/>
        <w:gridCol w:w="881"/>
        <w:gridCol w:w="807"/>
        <w:gridCol w:w="1134"/>
        <w:gridCol w:w="1049"/>
        <w:gridCol w:w="1897"/>
      </w:tblGrid>
      <w:tr w:rsidR="006416B0" w:rsidRPr="00B4515A" w14:paraId="3F1610EF" w14:textId="77777777" w:rsidTr="002B0582">
        <w:trPr>
          <w:tblHeader/>
        </w:trPr>
        <w:tc>
          <w:tcPr>
            <w:tcW w:w="1242" w:type="dxa"/>
            <w:tcMar>
              <w:top w:w="0" w:type="dxa"/>
              <w:left w:w="108" w:type="dxa"/>
              <w:bottom w:w="0" w:type="dxa"/>
              <w:right w:w="108" w:type="dxa"/>
            </w:tcMar>
            <w:vAlign w:val="center"/>
          </w:tcPr>
          <w:p w14:paraId="0FD70FDD" w14:textId="77777777" w:rsidR="002B0582" w:rsidRPr="00B4515A" w:rsidRDefault="005E58C1" w:rsidP="005860B4">
            <w:pPr>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子公司</w:t>
            </w:r>
          </w:p>
          <w:p w14:paraId="6AF6890E" w14:textId="48884DD4" w:rsidR="006416B0" w:rsidRPr="00B4515A" w:rsidRDefault="005E58C1" w:rsidP="005860B4">
            <w:pPr>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名称</w:t>
            </w:r>
          </w:p>
        </w:tc>
        <w:tc>
          <w:tcPr>
            <w:tcW w:w="1518" w:type="dxa"/>
            <w:tcMar>
              <w:top w:w="0" w:type="dxa"/>
              <w:left w:w="108" w:type="dxa"/>
              <w:bottom w:w="0" w:type="dxa"/>
              <w:right w:w="108" w:type="dxa"/>
            </w:tcMar>
            <w:vAlign w:val="center"/>
          </w:tcPr>
          <w:p w14:paraId="0EF4D6CC" w14:textId="77777777" w:rsidR="006416B0" w:rsidRPr="00B4515A" w:rsidRDefault="005E58C1" w:rsidP="005860B4">
            <w:pPr>
              <w:widowControl w:val="0"/>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股权处置价款（元）</w:t>
            </w:r>
          </w:p>
        </w:tc>
        <w:tc>
          <w:tcPr>
            <w:tcW w:w="881" w:type="dxa"/>
            <w:tcMar>
              <w:top w:w="0" w:type="dxa"/>
              <w:left w:w="108" w:type="dxa"/>
              <w:bottom w:w="0" w:type="dxa"/>
              <w:right w:w="108" w:type="dxa"/>
            </w:tcMar>
            <w:vAlign w:val="center"/>
          </w:tcPr>
          <w:p w14:paraId="61E11B8F" w14:textId="77777777" w:rsidR="006416B0" w:rsidRPr="00B4515A" w:rsidRDefault="005E58C1" w:rsidP="005860B4">
            <w:pPr>
              <w:widowControl w:val="0"/>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股权处置比例（</w:t>
            </w:r>
            <w:r w:rsidRPr="00B4515A">
              <w:rPr>
                <w:rFonts w:ascii="Times New Roman" w:eastAsiaTheme="minorEastAsia" w:hAnsi="Times New Roman" w:cs="Times New Roman"/>
                <w:b/>
                <w:bCs/>
                <w:color w:val="000000" w:themeColor="text1"/>
                <w:sz w:val="21"/>
                <w:szCs w:val="21"/>
              </w:rPr>
              <w:t>%</w:t>
            </w:r>
            <w:r w:rsidRPr="00B4515A">
              <w:rPr>
                <w:rFonts w:ascii="Times New Roman" w:eastAsiaTheme="minorEastAsia" w:hAnsi="Times New Roman" w:cs="Times New Roman" w:hint="eastAsia"/>
                <w:b/>
                <w:bCs/>
                <w:color w:val="000000" w:themeColor="text1"/>
                <w:sz w:val="21"/>
                <w:szCs w:val="21"/>
              </w:rPr>
              <w:t>）</w:t>
            </w:r>
          </w:p>
        </w:tc>
        <w:tc>
          <w:tcPr>
            <w:tcW w:w="807" w:type="dxa"/>
            <w:tcMar>
              <w:top w:w="0" w:type="dxa"/>
              <w:left w:w="108" w:type="dxa"/>
              <w:bottom w:w="0" w:type="dxa"/>
              <w:right w:w="108" w:type="dxa"/>
            </w:tcMar>
            <w:vAlign w:val="center"/>
          </w:tcPr>
          <w:p w14:paraId="13EB39C8" w14:textId="77777777" w:rsidR="006416B0" w:rsidRPr="00B4515A" w:rsidRDefault="005E58C1" w:rsidP="005860B4">
            <w:pPr>
              <w:widowControl w:val="0"/>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股权处置方式</w:t>
            </w:r>
          </w:p>
        </w:tc>
        <w:tc>
          <w:tcPr>
            <w:tcW w:w="1134" w:type="dxa"/>
            <w:tcMar>
              <w:top w:w="0" w:type="dxa"/>
              <w:left w:w="108" w:type="dxa"/>
              <w:bottom w:w="0" w:type="dxa"/>
              <w:right w:w="108" w:type="dxa"/>
            </w:tcMar>
            <w:vAlign w:val="center"/>
          </w:tcPr>
          <w:p w14:paraId="421478A9" w14:textId="77777777" w:rsidR="006416B0" w:rsidRPr="00B4515A" w:rsidRDefault="005E58C1" w:rsidP="005860B4">
            <w:pPr>
              <w:widowControl w:val="0"/>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丧失控制权的时点</w:t>
            </w:r>
          </w:p>
        </w:tc>
        <w:tc>
          <w:tcPr>
            <w:tcW w:w="1049" w:type="dxa"/>
            <w:tcMar>
              <w:top w:w="0" w:type="dxa"/>
              <w:left w:w="108" w:type="dxa"/>
              <w:bottom w:w="0" w:type="dxa"/>
              <w:right w:w="108" w:type="dxa"/>
            </w:tcMar>
            <w:vAlign w:val="center"/>
          </w:tcPr>
          <w:p w14:paraId="2665BE6B" w14:textId="77777777" w:rsidR="006416B0" w:rsidRPr="00B4515A" w:rsidRDefault="005E58C1" w:rsidP="005860B4">
            <w:pPr>
              <w:widowControl w:val="0"/>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丧失控制权时点的确定依据</w:t>
            </w:r>
          </w:p>
        </w:tc>
        <w:tc>
          <w:tcPr>
            <w:tcW w:w="1897" w:type="dxa"/>
            <w:tcMar>
              <w:top w:w="0" w:type="dxa"/>
              <w:left w:w="108" w:type="dxa"/>
              <w:bottom w:w="0" w:type="dxa"/>
              <w:right w:w="108" w:type="dxa"/>
            </w:tcMar>
            <w:vAlign w:val="center"/>
          </w:tcPr>
          <w:p w14:paraId="2846CC3D" w14:textId="77777777" w:rsidR="006416B0" w:rsidRPr="00B4515A" w:rsidRDefault="005E58C1" w:rsidP="005860B4">
            <w:pPr>
              <w:widowControl w:val="0"/>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处置价款与处置投资对应的合并财务报表层面享有该子公司净资产份额的差额（元）</w:t>
            </w:r>
          </w:p>
        </w:tc>
      </w:tr>
      <w:tr w:rsidR="006416B0" w:rsidRPr="00B4515A" w14:paraId="4D9C3820" w14:textId="77777777" w:rsidTr="002B0582">
        <w:tc>
          <w:tcPr>
            <w:tcW w:w="1242" w:type="dxa"/>
            <w:tcMar>
              <w:top w:w="0" w:type="dxa"/>
              <w:left w:w="108" w:type="dxa"/>
              <w:bottom w:w="0" w:type="dxa"/>
              <w:right w:w="108" w:type="dxa"/>
            </w:tcMar>
            <w:vAlign w:val="center"/>
          </w:tcPr>
          <w:p w14:paraId="4C947352" w14:textId="77777777" w:rsidR="006416B0" w:rsidRPr="00B4515A" w:rsidRDefault="005E58C1" w:rsidP="005860B4">
            <w:pPr>
              <w:widowControl w:val="0"/>
              <w:adjustRightInd w:val="0"/>
              <w:snapToGrid w:val="0"/>
              <w:jc w:val="left"/>
              <w:rPr>
                <w:rFonts w:ascii="Times New Roman" w:eastAsiaTheme="minorEastAsia" w:hAnsi="Times New Roman" w:cs="Times New Roman"/>
                <w:bCs/>
                <w:color w:val="000000" w:themeColor="text1"/>
                <w:sz w:val="21"/>
                <w:szCs w:val="21"/>
              </w:rPr>
            </w:pPr>
            <w:r w:rsidRPr="00B4515A">
              <w:rPr>
                <w:rFonts w:ascii="Times New Roman" w:eastAsiaTheme="minorEastAsia" w:hAnsi="Times New Roman" w:cs="Times New Roman" w:hint="eastAsia"/>
                <w:bCs/>
                <w:color w:val="000000" w:themeColor="text1"/>
                <w:sz w:val="21"/>
                <w:szCs w:val="21"/>
              </w:rPr>
              <w:t>大唐奇安网络科技有限公司</w:t>
            </w:r>
          </w:p>
        </w:tc>
        <w:tc>
          <w:tcPr>
            <w:tcW w:w="1518" w:type="dxa"/>
            <w:tcMar>
              <w:top w:w="0" w:type="dxa"/>
              <w:left w:w="108" w:type="dxa"/>
              <w:bottom w:w="0" w:type="dxa"/>
              <w:right w:w="108" w:type="dxa"/>
            </w:tcMar>
            <w:vAlign w:val="center"/>
          </w:tcPr>
          <w:p w14:paraId="7618EA1A" w14:textId="77777777" w:rsidR="006416B0" w:rsidRPr="00B4515A" w:rsidRDefault="005E58C1" w:rsidP="005860B4">
            <w:pPr>
              <w:adjustRightInd w:val="0"/>
              <w:snapToGrid w:val="0"/>
              <w:jc w:val="right"/>
              <w:rPr>
                <w:rFonts w:ascii="Times New Roman" w:eastAsiaTheme="minorEastAsia" w:hAnsi="Times New Roman" w:cs="Times New Roman"/>
                <w:bCs/>
                <w:color w:val="000000" w:themeColor="text1"/>
                <w:sz w:val="21"/>
                <w:szCs w:val="21"/>
              </w:rPr>
            </w:pPr>
            <w:r w:rsidRPr="00B4515A">
              <w:rPr>
                <w:rFonts w:ascii="Times New Roman" w:eastAsiaTheme="minorEastAsia" w:hAnsi="Times New Roman" w:cs="Times New Roman"/>
                <w:bCs/>
                <w:color w:val="000000" w:themeColor="text1"/>
                <w:sz w:val="21"/>
                <w:szCs w:val="21"/>
              </w:rPr>
              <w:t>10,134,865.08</w:t>
            </w:r>
          </w:p>
        </w:tc>
        <w:tc>
          <w:tcPr>
            <w:tcW w:w="881" w:type="dxa"/>
            <w:tcMar>
              <w:top w:w="0" w:type="dxa"/>
              <w:left w:w="108" w:type="dxa"/>
              <w:bottom w:w="0" w:type="dxa"/>
              <w:right w:w="108" w:type="dxa"/>
            </w:tcMar>
            <w:vAlign w:val="center"/>
          </w:tcPr>
          <w:p w14:paraId="34D9D511" w14:textId="77777777" w:rsidR="006416B0" w:rsidRPr="00B4515A" w:rsidRDefault="005E58C1" w:rsidP="005860B4">
            <w:pPr>
              <w:adjustRightInd w:val="0"/>
              <w:snapToGrid w:val="0"/>
              <w:jc w:val="right"/>
              <w:rPr>
                <w:rFonts w:ascii="Times New Roman" w:eastAsiaTheme="minorEastAsia" w:hAnsi="Times New Roman" w:cs="Times New Roman"/>
                <w:bCs/>
                <w:color w:val="000000" w:themeColor="text1"/>
                <w:sz w:val="21"/>
                <w:szCs w:val="21"/>
              </w:rPr>
            </w:pPr>
            <w:r w:rsidRPr="00B4515A">
              <w:rPr>
                <w:rFonts w:ascii="Times New Roman" w:eastAsiaTheme="minorEastAsia" w:hAnsi="Times New Roman" w:cs="Times New Roman"/>
                <w:bCs/>
                <w:color w:val="000000" w:themeColor="text1"/>
                <w:sz w:val="21"/>
                <w:szCs w:val="21"/>
              </w:rPr>
              <w:t>51.00</w:t>
            </w:r>
          </w:p>
        </w:tc>
        <w:tc>
          <w:tcPr>
            <w:tcW w:w="807" w:type="dxa"/>
            <w:tcMar>
              <w:top w:w="0" w:type="dxa"/>
              <w:left w:w="108" w:type="dxa"/>
              <w:bottom w:w="0" w:type="dxa"/>
              <w:right w:w="108" w:type="dxa"/>
            </w:tcMar>
            <w:vAlign w:val="center"/>
          </w:tcPr>
          <w:p w14:paraId="41B84660" w14:textId="77777777" w:rsidR="005860B4" w:rsidRPr="00B4515A" w:rsidRDefault="005E58C1" w:rsidP="005860B4">
            <w:pPr>
              <w:adjustRightInd w:val="0"/>
              <w:snapToGrid w:val="0"/>
              <w:jc w:val="center"/>
              <w:rPr>
                <w:rFonts w:ascii="Times New Roman" w:eastAsiaTheme="minorEastAsia" w:hAnsi="Times New Roman" w:cs="Times New Roman"/>
                <w:bCs/>
                <w:color w:val="000000" w:themeColor="text1"/>
                <w:sz w:val="21"/>
                <w:szCs w:val="21"/>
              </w:rPr>
            </w:pPr>
            <w:r w:rsidRPr="00B4515A">
              <w:rPr>
                <w:rFonts w:ascii="Times New Roman" w:eastAsiaTheme="minorEastAsia" w:hAnsi="Times New Roman" w:cs="Times New Roman" w:hint="eastAsia"/>
                <w:bCs/>
                <w:color w:val="000000" w:themeColor="text1"/>
                <w:sz w:val="21"/>
                <w:szCs w:val="21"/>
              </w:rPr>
              <w:t>对外</w:t>
            </w:r>
          </w:p>
          <w:p w14:paraId="23CFBD20" w14:textId="5570A026" w:rsidR="006416B0" w:rsidRPr="00B4515A" w:rsidRDefault="005E58C1" w:rsidP="005860B4">
            <w:pPr>
              <w:adjustRightInd w:val="0"/>
              <w:snapToGrid w:val="0"/>
              <w:jc w:val="center"/>
              <w:rPr>
                <w:rFonts w:ascii="Times New Roman" w:eastAsiaTheme="minorEastAsia" w:hAnsi="Times New Roman" w:cs="Times New Roman"/>
                <w:bCs/>
                <w:color w:val="000000" w:themeColor="text1"/>
                <w:sz w:val="21"/>
                <w:szCs w:val="21"/>
              </w:rPr>
            </w:pPr>
            <w:r w:rsidRPr="00B4515A">
              <w:rPr>
                <w:rFonts w:ascii="Times New Roman" w:eastAsiaTheme="minorEastAsia" w:hAnsi="Times New Roman" w:cs="Times New Roman" w:hint="eastAsia"/>
                <w:bCs/>
                <w:color w:val="000000" w:themeColor="text1"/>
                <w:sz w:val="21"/>
                <w:szCs w:val="21"/>
              </w:rPr>
              <w:t>出售</w:t>
            </w:r>
          </w:p>
        </w:tc>
        <w:tc>
          <w:tcPr>
            <w:tcW w:w="1134" w:type="dxa"/>
            <w:tcMar>
              <w:top w:w="0" w:type="dxa"/>
              <w:left w:w="108" w:type="dxa"/>
              <w:bottom w:w="0" w:type="dxa"/>
              <w:right w:w="108" w:type="dxa"/>
            </w:tcMar>
            <w:vAlign w:val="center"/>
          </w:tcPr>
          <w:p w14:paraId="5CBCB263" w14:textId="77777777" w:rsidR="005860B4" w:rsidRPr="00B4515A" w:rsidRDefault="005E58C1" w:rsidP="005860B4">
            <w:pPr>
              <w:adjustRightInd w:val="0"/>
              <w:snapToGrid w:val="0"/>
              <w:jc w:val="center"/>
              <w:rPr>
                <w:rFonts w:ascii="Times New Roman" w:eastAsiaTheme="minorEastAsia" w:hAnsi="Times New Roman" w:cs="Times New Roman"/>
                <w:bCs/>
                <w:color w:val="000000" w:themeColor="text1"/>
                <w:sz w:val="21"/>
                <w:szCs w:val="21"/>
              </w:rPr>
            </w:pPr>
            <w:r w:rsidRPr="00B4515A">
              <w:rPr>
                <w:rFonts w:ascii="Times New Roman" w:eastAsiaTheme="minorEastAsia" w:hAnsi="Times New Roman" w:cs="Times New Roman"/>
                <w:bCs/>
                <w:color w:val="000000" w:themeColor="text1"/>
                <w:sz w:val="21"/>
                <w:szCs w:val="21"/>
              </w:rPr>
              <w:t>2019</w:t>
            </w:r>
            <w:r w:rsidRPr="00B4515A">
              <w:rPr>
                <w:rFonts w:ascii="Times New Roman" w:eastAsiaTheme="minorEastAsia" w:hAnsi="Times New Roman" w:cs="Times New Roman" w:hint="eastAsia"/>
                <w:bCs/>
                <w:color w:val="000000" w:themeColor="text1"/>
                <w:sz w:val="21"/>
                <w:szCs w:val="21"/>
              </w:rPr>
              <w:t>年</w:t>
            </w:r>
          </w:p>
          <w:p w14:paraId="73974731" w14:textId="4E145EF9" w:rsidR="006416B0" w:rsidRPr="00B4515A" w:rsidRDefault="005E58C1" w:rsidP="005860B4">
            <w:pPr>
              <w:adjustRightInd w:val="0"/>
              <w:snapToGrid w:val="0"/>
              <w:jc w:val="center"/>
              <w:rPr>
                <w:rFonts w:ascii="Times New Roman" w:eastAsiaTheme="minorEastAsia" w:hAnsi="Times New Roman" w:cs="Times New Roman"/>
                <w:bCs/>
                <w:color w:val="000000" w:themeColor="text1"/>
                <w:sz w:val="21"/>
                <w:szCs w:val="21"/>
              </w:rPr>
            </w:pPr>
            <w:r w:rsidRPr="00B4515A">
              <w:rPr>
                <w:rFonts w:ascii="Times New Roman" w:eastAsiaTheme="minorEastAsia" w:hAnsi="Times New Roman" w:cs="Times New Roman"/>
                <w:bCs/>
                <w:color w:val="000000" w:themeColor="text1"/>
                <w:sz w:val="21"/>
                <w:szCs w:val="21"/>
              </w:rPr>
              <w:t>12</w:t>
            </w:r>
            <w:r w:rsidRPr="00B4515A">
              <w:rPr>
                <w:rFonts w:ascii="Times New Roman" w:eastAsiaTheme="minorEastAsia" w:hAnsi="Times New Roman" w:cs="Times New Roman" w:hint="eastAsia"/>
                <w:bCs/>
                <w:color w:val="000000" w:themeColor="text1"/>
                <w:sz w:val="21"/>
                <w:szCs w:val="21"/>
              </w:rPr>
              <w:t>月</w:t>
            </w:r>
          </w:p>
        </w:tc>
        <w:tc>
          <w:tcPr>
            <w:tcW w:w="1049" w:type="dxa"/>
            <w:tcMar>
              <w:top w:w="0" w:type="dxa"/>
              <w:left w:w="108" w:type="dxa"/>
              <w:bottom w:w="0" w:type="dxa"/>
              <w:right w:w="108" w:type="dxa"/>
            </w:tcMar>
            <w:vAlign w:val="center"/>
          </w:tcPr>
          <w:p w14:paraId="0D932973" w14:textId="77777777" w:rsidR="006416B0" w:rsidRPr="00B4515A" w:rsidRDefault="005E58C1" w:rsidP="00EE238F">
            <w:pPr>
              <w:adjustRightInd w:val="0"/>
              <w:snapToGrid w:val="0"/>
              <w:jc w:val="center"/>
              <w:rPr>
                <w:rFonts w:ascii="Times New Roman" w:eastAsiaTheme="minorEastAsia" w:hAnsi="Times New Roman" w:cs="Times New Roman"/>
                <w:bCs/>
                <w:color w:val="000000" w:themeColor="text1"/>
                <w:sz w:val="21"/>
                <w:szCs w:val="21"/>
              </w:rPr>
            </w:pPr>
            <w:r w:rsidRPr="00B4515A">
              <w:rPr>
                <w:rFonts w:ascii="Times New Roman" w:eastAsiaTheme="minorEastAsia" w:hAnsi="Times New Roman" w:cs="Times New Roman" w:hint="eastAsia"/>
                <w:bCs/>
                <w:color w:val="000000" w:themeColor="text1"/>
                <w:sz w:val="21"/>
                <w:szCs w:val="21"/>
              </w:rPr>
              <w:t>签订转让协议</w:t>
            </w:r>
          </w:p>
        </w:tc>
        <w:tc>
          <w:tcPr>
            <w:tcW w:w="1897" w:type="dxa"/>
            <w:tcMar>
              <w:top w:w="0" w:type="dxa"/>
              <w:left w:w="108" w:type="dxa"/>
              <w:bottom w:w="0" w:type="dxa"/>
              <w:right w:w="108" w:type="dxa"/>
            </w:tcMar>
            <w:vAlign w:val="center"/>
          </w:tcPr>
          <w:p w14:paraId="61A9E3FC" w14:textId="6309BCAB" w:rsidR="006416B0" w:rsidRPr="00B4515A" w:rsidRDefault="00E31C18" w:rsidP="005860B4">
            <w:pPr>
              <w:adjustRightInd w:val="0"/>
              <w:snapToGrid w:val="0"/>
              <w:jc w:val="right"/>
              <w:rPr>
                <w:rFonts w:ascii="Times New Roman" w:eastAsiaTheme="minorEastAsia" w:hAnsi="Times New Roman" w:cs="Times New Roman"/>
                <w:bCs/>
                <w:color w:val="000000" w:themeColor="text1"/>
                <w:sz w:val="21"/>
                <w:szCs w:val="21"/>
              </w:rPr>
            </w:pPr>
            <w:r w:rsidRPr="00B4515A">
              <w:rPr>
                <w:rFonts w:ascii="Times New Roman" w:eastAsiaTheme="minorEastAsia" w:hAnsi="Times New Roman" w:cs="Times New Roman"/>
                <w:bCs/>
                <w:color w:val="000000" w:themeColor="text1"/>
                <w:sz w:val="21"/>
                <w:szCs w:val="21"/>
              </w:rPr>
              <w:t>15,576,036.32</w:t>
            </w:r>
          </w:p>
        </w:tc>
      </w:tr>
    </w:tbl>
    <w:p w14:paraId="7D220DF2" w14:textId="77777777" w:rsidR="006416B0" w:rsidRPr="00B4515A" w:rsidRDefault="005E58C1" w:rsidP="005860B4">
      <w:pPr>
        <w:pStyle w:val="004"/>
        <w:spacing w:before="120" w:after="120"/>
        <w:ind w:firstLine="422"/>
      </w:pPr>
      <w:r w:rsidRPr="00B4515A">
        <w:rPr>
          <w:rFonts w:eastAsiaTheme="minorEastAsia"/>
          <w:sz w:val="21"/>
          <w:szCs w:val="21"/>
        </w:rPr>
        <w:fldChar w:fldCharType="end"/>
      </w:r>
      <w:r w:rsidRPr="00B4515A">
        <w:t>4</w:t>
      </w:r>
      <w:r w:rsidRPr="00B4515A">
        <w:t>、重大会计政策或会计估计的差异或变更情况及其对利润的影响</w:t>
      </w:r>
    </w:p>
    <w:p w14:paraId="1E7DF374" w14:textId="77777777" w:rsidR="006416B0" w:rsidRPr="00B4515A" w:rsidRDefault="005E58C1" w:rsidP="005860B4">
      <w:pPr>
        <w:pStyle w:val="005"/>
        <w:spacing w:before="120" w:after="120"/>
        <w:ind w:firstLine="480"/>
      </w:pPr>
      <w:r w:rsidRPr="00B4515A">
        <w:t>（</w:t>
      </w:r>
      <w:r w:rsidRPr="00B4515A">
        <w:t>1</w:t>
      </w:r>
      <w:r w:rsidRPr="00B4515A">
        <w:t>）重大会计政策变更</w:t>
      </w:r>
    </w:p>
    <w:p w14:paraId="160B1774" w14:textId="70502EEC" w:rsidR="00FF292C" w:rsidRPr="00B4515A" w:rsidRDefault="005E58C1" w:rsidP="006100BC">
      <w:pPr>
        <w:pStyle w:val="005"/>
        <w:spacing w:before="120" w:after="120"/>
        <w:ind w:firstLine="480"/>
        <w:rPr>
          <w:rFonts w:eastAsiaTheme="majorEastAsia"/>
          <w:color w:val="000000" w:themeColor="text1"/>
        </w:rPr>
      </w:pPr>
      <w:r w:rsidRPr="00B4515A">
        <w:rPr>
          <w:rFonts w:hint="eastAsia"/>
          <w:color w:val="000000" w:themeColor="text1"/>
        </w:rPr>
        <w:t>①</w:t>
      </w:r>
      <w:r w:rsidRPr="00B4515A">
        <w:rPr>
          <w:rFonts w:eastAsiaTheme="majorEastAsia"/>
          <w:color w:val="000000" w:themeColor="text1"/>
        </w:rPr>
        <w:t>执行财政部修订后的《企业会计准则第</w:t>
      </w:r>
      <w:r w:rsidRPr="00B4515A">
        <w:rPr>
          <w:rFonts w:eastAsiaTheme="majorEastAsia"/>
          <w:color w:val="000000" w:themeColor="text1"/>
        </w:rPr>
        <w:t>14</w:t>
      </w:r>
      <w:r w:rsidRPr="00B4515A">
        <w:rPr>
          <w:rFonts w:eastAsiaTheme="majorEastAsia"/>
          <w:color w:val="000000" w:themeColor="text1"/>
        </w:rPr>
        <w:t>号</w:t>
      </w:r>
      <w:r w:rsidRPr="00B4515A">
        <w:rPr>
          <w:rFonts w:eastAsiaTheme="majorEastAsia"/>
          <w:color w:val="000000" w:themeColor="text1"/>
        </w:rPr>
        <w:t>——</w:t>
      </w:r>
      <w:r w:rsidRPr="00B4515A">
        <w:rPr>
          <w:rFonts w:eastAsiaTheme="majorEastAsia"/>
          <w:color w:val="000000" w:themeColor="text1"/>
        </w:rPr>
        <w:t>收入》（</w:t>
      </w:r>
      <w:r w:rsidRPr="00B4515A">
        <w:rPr>
          <w:rFonts w:eastAsiaTheme="majorEastAsia"/>
          <w:color w:val="000000" w:themeColor="text1"/>
        </w:rPr>
        <w:t>2017</w:t>
      </w:r>
      <w:r w:rsidRPr="00B4515A">
        <w:rPr>
          <w:rFonts w:eastAsiaTheme="majorEastAsia"/>
          <w:color w:val="000000" w:themeColor="text1"/>
        </w:rPr>
        <w:t>年修订）大唐联诚自</w:t>
      </w:r>
      <w:r w:rsidRPr="00B4515A">
        <w:rPr>
          <w:rFonts w:eastAsiaTheme="majorEastAsia"/>
          <w:color w:val="000000" w:themeColor="text1"/>
        </w:rPr>
        <w:t>2020</w:t>
      </w:r>
      <w:r w:rsidRPr="00B4515A">
        <w:rPr>
          <w:rFonts w:eastAsiaTheme="majorEastAsia"/>
          <w:color w:val="000000" w:themeColor="text1"/>
        </w:rPr>
        <w:t>年</w:t>
      </w:r>
      <w:r w:rsidRPr="00B4515A">
        <w:rPr>
          <w:rFonts w:eastAsiaTheme="majorEastAsia"/>
          <w:color w:val="000000" w:themeColor="text1"/>
        </w:rPr>
        <w:t>1</w:t>
      </w:r>
      <w:r w:rsidRPr="00B4515A">
        <w:rPr>
          <w:rFonts w:eastAsiaTheme="majorEastAsia"/>
          <w:color w:val="000000" w:themeColor="text1"/>
        </w:rPr>
        <w:t>月</w:t>
      </w:r>
      <w:r w:rsidRPr="00B4515A">
        <w:rPr>
          <w:rFonts w:eastAsiaTheme="majorEastAsia"/>
          <w:color w:val="000000" w:themeColor="text1"/>
        </w:rPr>
        <w:t>1</w:t>
      </w:r>
      <w:r w:rsidRPr="00B4515A">
        <w:rPr>
          <w:rFonts w:eastAsiaTheme="majorEastAsia"/>
          <w:color w:val="000000" w:themeColor="text1"/>
        </w:rPr>
        <w:t>日起执行财政部修订后的《企业会计准则第</w:t>
      </w:r>
      <w:r w:rsidRPr="00B4515A">
        <w:rPr>
          <w:rFonts w:eastAsiaTheme="majorEastAsia"/>
          <w:color w:val="000000" w:themeColor="text1"/>
        </w:rPr>
        <w:t>14</w:t>
      </w:r>
      <w:r w:rsidRPr="00B4515A">
        <w:rPr>
          <w:rFonts w:eastAsiaTheme="majorEastAsia"/>
          <w:color w:val="000000" w:themeColor="text1"/>
        </w:rPr>
        <w:t>号</w:t>
      </w:r>
      <w:r w:rsidRPr="00B4515A">
        <w:rPr>
          <w:rFonts w:eastAsiaTheme="majorEastAsia"/>
          <w:color w:val="000000" w:themeColor="text1"/>
        </w:rPr>
        <w:t>——</w:t>
      </w:r>
      <w:r w:rsidRPr="00B4515A">
        <w:rPr>
          <w:rFonts w:eastAsiaTheme="majorEastAsia"/>
          <w:color w:val="000000" w:themeColor="text1"/>
        </w:rPr>
        <w:t>收入》（以下简称新收入准则）。根据相关新旧准则衔接规定，对可比期间信息不予调整，首次执行日执行新准则的累积影响数追溯调整本报告期期初留存收益及财务报表其他相关项目金额。</w:t>
      </w:r>
      <w:r w:rsidR="00FF292C" w:rsidRPr="00B4515A">
        <w:rPr>
          <w:rFonts w:eastAsiaTheme="majorEastAsia" w:hint="eastAsia"/>
          <w:color w:val="000000" w:themeColor="text1"/>
        </w:rPr>
        <w:t>执行该准则的主要影响如下：</w:t>
      </w:r>
    </w:p>
    <w:tbl>
      <w:tblPr>
        <w:tblStyle w:val="2fd"/>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262"/>
        <w:gridCol w:w="1245"/>
        <w:gridCol w:w="1615"/>
        <w:gridCol w:w="1642"/>
        <w:gridCol w:w="1764"/>
      </w:tblGrid>
      <w:tr w:rsidR="00DF26D5" w:rsidRPr="00B4515A" w14:paraId="4783F064" w14:textId="77777777" w:rsidTr="00EE238F">
        <w:trPr>
          <w:trHeight w:val="340"/>
          <w:jc w:val="center"/>
        </w:trPr>
        <w:tc>
          <w:tcPr>
            <w:tcW w:w="1326" w:type="pct"/>
            <w:tcMar>
              <w:top w:w="0" w:type="dxa"/>
              <w:left w:w="108" w:type="dxa"/>
              <w:bottom w:w="0" w:type="dxa"/>
              <w:right w:w="108" w:type="dxa"/>
            </w:tcMar>
            <w:vAlign w:val="center"/>
          </w:tcPr>
          <w:p w14:paraId="19B473D6" w14:textId="7771BD24" w:rsidR="00DF26D5" w:rsidRPr="00B4515A" w:rsidRDefault="00DF26D5" w:rsidP="005860B4">
            <w:pPr>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会计政策变更的内容和原因</w:t>
            </w:r>
          </w:p>
        </w:tc>
        <w:tc>
          <w:tcPr>
            <w:tcW w:w="730" w:type="pct"/>
            <w:tcMar>
              <w:top w:w="0" w:type="dxa"/>
              <w:left w:w="108" w:type="dxa"/>
              <w:bottom w:w="0" w:type="dxa"/>
              <w:right w:w="108" w:type="dxa"/>
            </w:tcMar>
            <w:vAlign w:val="center"/>
          </w:tcPr>
          <w:p w14:paraId="3ACCA6BE" w14:textId="642C951E" w:rsidR="00DF26D5" w:rsidRPr="00B4515A" w:rsidRDefault="00DF26D5" w:rsidP="005860B4">
            <w:pPr>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审批程序</w:t>
            </w:r>
          </w:p>
        </w:tc>
        <w:tc>
          <w:tcPr>
            <w:tcW w:w="947" w:type="pct"/>
            <w:tcMar>
              <w:top w:w="0" w:type="dxa"/>
              <w:left w:w="108" w:type="dxa"/>
              <w:bottom w:w="0" w:type="dxa"/>
              <w:right w:w="108" w:type="dxa"/>
            </w:tcMar>
            <w:vAlign w:val="center"/>
          </w:tcPr>
          <w:p w14:paraId="5825A43C" w14:textId="10B320AF" w:rsidR="00DF26D5" w:rsidRPr="00B4515A" w:rsidRDefault="00DF26D5" w:rsidP="005860B4">
            <w:pPr>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受影响的报表项目</w:t>
            </w:r>
          </w:p>
        </w:tc>
        <w:tc>
          <w:tcPr>
            <w:tcW w:w="963" w:type="pct"/>
            <w:tcMar>
              <w:top w:w="0" w:type="dxa"/>
              <w:left w:w="108" w:type="dxa"/>
              <w:bottom w:w="0" w:type="dxa"/>
              <w:right w:w="108" w:type="dxa"/>
            </w:tcMar>
            <w:vAlign w:val="center"/>
          </w:tcPr>
          <w:p w14:paraId="371A6A23" w14:textId="667F07D9" w:rsidR="00DF26D5" w:rsidRPr="00B4515A" w:rsidRDefault="00DF26D5" w:rsidP="005860B4">
            <w:pPr>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对</w:t>
            </w:r>
            <w:r w:rsidRPr="00B4515A">
              <w:rPr>
                <w:rFonts w:ascii="Times New Roman" w:eastAsiaTheme="minorEastAsia" w:hAnsi="Times New Roman" w:cs="Times New Roman"/>
                <w:b/>
                <w:bCs/>
                <w:color w:val="000000" w:themeColor="text1"/>
                <w:sz w:val="21"/>
                <w:szCs w:val="21"/>
              </w:rPr>
              <w:t>2020</w:t>
            </w:r>
            <w:r w:rsidRPr="00B4515A">
              <w:rPr>
                <w:rFonts w:ascii="Times New Roman" w:eastAsiaTheme="minorEastAsia" w:hAnsi="Times New Roman" w:cs="Times New Roman" w:hint="eastAsia"/>
                <w:b/>
                <w:bCs/>
                <w:color w:val="000000" w:themeColor="text1"/>
                <w:sz w:val="21"/>
                <w:szCs w:val="21"/>
              </w:rPr>
              <w:t>年</w:t>
            </w:r>
            <w:r w:rsidRPr="00B4515A">
              <w:rPr>
                <w:rFonts w:ascii="Times New Roman" w:eastAsiaTheme="minorEastAsia" w:hAnsi="Times New Roman" w:cs="Times New Roman"/>
                <w:b/>
                <w:bCs/>
                <w:color w:val="000000" w:themeColor="text1"/>
                <w:sz w:val="21"/>
                <w:szCs w:val="21"/>
              </w:rPr>
              <w:t>1</w:t>
            </w:r>
            <w:r w:rsidRPr="00B4515A">
              <w:rPr>
                <w:rFonts w:ascii="Times New Roman" w:eastAsiaTheme="minorEastAsia" w:hAnsi="Times New Roman" w:cs="Times New Roman" w:hint="eastAsia"/>
                <w:b/>
                <w:bCs/>
                <w:color w:val="000000" w:themeColor="text1"/>
                <w:sz w:val="21"/>
                <w:szCs w:val="21"/>
              </w:rPr>
              <w:t>月</w:t>
            </w:r>
            <w:r w:rsidRPr="00B4515A">
              <w:rPr>
                <w:rFonts w:ascii="Times New Roman" w:eastAsiaTheme="minorEastAsia" w:hAnsi="Times New Roman" w:cs="Times New Roman"/>
                <w:b/>
                <w:bCs/>
                <w:color w:val="000000" w:themeColor="text1"/>
                <w:sz w:val="21"/>
                <w:szCs w:val="21"/>
              </w:rPr>
              <w:t>1</w:t>
            </w:r>
            <w:r w:rsidRPr="00B4515A">
              <w:rPr>
                <w:rFonts w:ascii="Times New Roman" w:eastAsiaTheme="minorEastAsia" w:hAnsi="Times New Roman" w:cs="Times New Roman" w:hint="eastAsia"/>
                <w:b/>
                <w:bCs/>
                <w:color w:val="000000" w:themeColor="text1"/>
                <w:sz w:val="21"/>
                <w:szCs w:val="21"/>
              </w:rPr>
              <w:t>日余额的影响金额</w:t>
            </w:r>
            <w:r w:rsidR="00615973" w:rsidRPr="00B4515A">
              <w:rPr>
                <w:rFonts w:ascii="Times New Roman" w:eastAsiaTheme="minorEastAsia" w:hAnsi="Times New Roman" w:cs="Times New Roman" w:hint="eastAsia"/>
                <w:b/>
                <w:bCs/>
                <w:color w:val="000000" w:themeColor="text1"/>
                <w:sz w:val="21"/>
                <w:szCs w:val="21"/>
              </w:rPr>
              <w:t>（元）</w:t>
            </w:r>
          </w:p>
        </w:tc>
        <w:tc>
          <w:tcPr>
            <w:tcW w:w="1034" w:type="pct"/>
            <w:tcMar>
              <w:top w:w="0" w:type="dxa"/>
              <w:left w:w="108" w:type="dxa"/>
              <w:bottom w:w="0" w:type="dxa"/>
              <w:right w:w="108" w:type="dxa"/>
            </w:tcMar>
            <w:vAlign w:val="center"/>
          </w:tcPr>
          <w:p w14:paraId="0B66A07A" w14:textId="07930E39" w:rsidR="00DF26D5" w:rsidRPr="00B4515A" w:rsidRDefault="00DF26D5" w:rsidP="005860B4">
            <w:pPr>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会计政策变更的内容和原因</w:t>
            </w:r>
          </w:p>
        </w:tc>
      </w:tr>
      <w:tr w:rsidR="001047D9" w:rsidRPr="00B4515A" w14:paraId="004AFD53" w14:textId="77777777" w:rsidTr="00EE238F">
        <w:trPr>
          <w:trHeight w:val="340"/>
          <w:jc w:val="center"/>
        </w:trPr>
        <w:tc>
          <w:tcPr>
            <w:tcW w:w="1326" w:type="pct"/>
            <w:vMerge w:val="restart"/>
            <w:tcMar>
              <w:top w:w="0" w:type="dxa"/>
              <w:left w:w="108" w:type="dxa"/>
              <w:bottom w:w="0" w:type="dxa"/>
              <w:right w:w="108" w:type="dxa"/>
            </w:tcMar>
            <w:vAlign w:val="center"/>
          </w:tcPr>
          <w:p w14:paraId="6C809058" w14:textId="36DF6A16"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hint="eastAsia"/>
                <w:color w:val="000000" w:themeColor="text1"/>
                <w:sz w:val="21"/>
                <w:szCs w:val="21"/>
              </w:rPr>
              <w:t>将与已收客户对价而</w:t>
            </w:r>
            <w:r w:rsidRPr="00B4515A">
              <w:rPr>
                <w:rFonts w:ascii="Times New Roman" w:eastAsiaTheme="minorEastAsia" w:hAnsi="Times New Roman" w:cs="Times New Roman"/>
                <w:color w:val="000000" w:themeColor="text1"/>
                <w:sz w:val="21"/>
                <w:szCs w:val="21"/>
              </w:rPr>
              <w:t xml:space="preserve"> </w:t>
            </w:r>
            <w:r w:rsidRPr="00B4515A">
              <w:rPr>
                <w:rFonts w:ascii="Times New Roman" w:eastAsiaTheme="minorEastAsia" w:hAnsi="Times New Roman" w:cs="Times New Roman" w:hint="eastAsia"/>
                <w:color w:val="000000" w:themeColor="text1"/>
                <w:sz w:val="21"/>
                <w:szCs w:val="21"/>
              </w:rPr>
              <w:t>应向客户转让商品的</w:t>
            </w:r>
            <w:r w:rsidRPr="00B4515A">
              <w:rPr>
                <w:rFonts w:ascii="Times New Roman" w:eastAsiaTheme="minorEastAsia" w:hAnsi="Times New Roman" w:cs="Times New Roman"/>
                <w:color w:val="000000" w:themeColor="text1"/>
                <w:sz w:val="21"/>
                <w:szCs w:val="21"/>
              </w:rPr>
              <w:t xml:space="preserve"> </w:t>
            </w:r>
            <w:r w:rsidRPr="00B4515A">
              <w:rPr>
                <w:rFonts w:ascii="Times New Roman" w:eastAsiaTheme="minorEastAsia" w:hAnsi="Times New Roman" w:cs="Times New Roman" w:hint="eastAsia"/>
                <w:color w:val="000000" w:themeColor="text1"/>
                <w:sz w:val="21"/>
                <w:szCs w:val="21"/>
              </w:rPr>
              <w:t>义务相关的预收款项</w:t>
            </w:r>
            <w:r w:rsidRPr="00B4515A">
              <w:rPr>
                <w:rFonts w:ascii="Times New Roman" w:eastAsiaTheme="minorEastAsia" w:hAnsi="Times New Roman" w:cs="Times New Roman"/>
                <w:color w:val="000000" w:themeColor="text1"/>
                <w:sz w:val="21"/>
                <w:szCs w:val="21"/>
              </w:rPr>
              <w:t xml:space="preserve"> </w:t>
            </w:r>
            <w:r w:rsidRPr="00B4515A">
              <w:rPr>
                <w:rFonts w:ascii="Times New Roman" w:eastAsiaTheme="minorEastAsia" w:hAnsi="Times New Roman" w:cs="Times New Roman" w:hint="eastAsia"/>
                <w:color w:val="000000" w:themeColor="text1"/>
                <w:sz w:val="21"/>
                <w:szCs w:val="21"/>
              </w:rPr>
              <w:t>重分类至合同负债。</w:t>
            </w:r>
          </w:p>
        </w:tc>
        <w:tc>
          <w:tcPr>
            <w:tcW w:w="730" w:type="pct"/>
            <w:vMerge w:val="restart"/>
            <w:tcMar>
              <w:top w:w="0" w:type="dxa"/>
              <w:left w:w="108" w:type="dxa"/>
              <w:bottom w:w="0" w:type="dxa"/>
              <w:right w:w="108" w:type="dxa"/>
            </w:tcMar>
            <w:vAlign w:val="center"/>
          </w:tcPr>
          <w:p w14:paraId="1B2E6101" w14:textId="33F59E3E"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hint="eastAsia"/>
                <w:color w:val="000000" w:themeColor="text1"/>
                <w:sz w:val="21"/>
                <w:szCs w:val="21"/>
              </w:rPr>
              <w:t>公司批准</w:t>
            </w:r>
          </w:p>
        </w:tc>
        <w:tc>
          <w:tcPr>
            <w:tcW w:w="947" w:type="pct"/>
            <w:tcMar>
              <w:top w:w="0" w:type="dxa"/>
              <w:left w:w="108" w:type="dxa"/>
              <w:bottom w:w="0" w:type="dxa"/>
              <w:right w:w="108" w:type="dxa"/>
            </w:tcMar>
            <w:vAlign w:val="center"/>
          </w:tcPr>
          <w:p w14:paraId="5D4C1F87" w14:textId="3F75064F"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hint="eastAsia"/>
                <w:color w:val="000000" w:themeColor="text1"/>
                <w:sz w:val="21"/>
                <w:szCs w:val="21"/>
              </w:rPr>
              <w:t>预收款项</w:t>
            </w:r>
          </w:p>
        </w:tc>
        <w:tc>
          <w:tcPr>
            <w:tcW w:w="963" w:type="pct"/>
            <w:tcMar>
              <w:top w:w="0" w:type="dxa"/>
              <w:left w:w="108" w:type="dxa"/>
              <w:bottom w:w="0" w:type="dxa"/>
              <w:right w:w="108" w:type="dxa"/>
            </w:tcMar>
            <w:vAlign w:val="center"/>
          </w:tcPr>
          <w:p w14:paraId="4C6278C6" w14:textId="077FDA32" w:rsidR="001047D9" w:rsidRPr="00B4515A" w:rsidRDefault="001047D9" w:rsidP="00EE238F">
            <w:pPr>
              <w:adjustRightInd w:val="0"/>
              <w:snapToGrid w:val="0"/>
              <w:jc w:val="right"/>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color w:val="000000" w:themeColor="text1"/>
                <w:sz w:val="21"/>
                <w:szCs w:val="21"/>
              </w:rPr>
              <w:t>-41,013,552.10</w:t>
            </w:r>
          </w:p>
        </w:tc>
        <w:tc>
          <w:tcPr>
            <w:tcW w:w="1034" w:type="pct"/>
            <w:tcMar>
              <w:top w:w="0" w:type="dxa"/>
              <w:left w:w="108" w:type="dxa"/>
              <w:bottom w:w="0" w:type="dxa"/>
              <w:right w:w="108" w:type="dxa"/>
            </w:tcMar>
            <w:vAlign w:val="center"/>
          </w:tcPr>
          <w:p w14:paraId="78C031FF" w14:textId="4A8CD730"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hint="eastAsia"/>
                <w:color w:val="000000" w:themeColor="text1"/>
                <w:sz w:val="21"/>
                <w:szCs w:val="21"/>
              </w:rPr>
              <w:t>预收款项</w:t>
            </w:r>
          </w:p>
        </w:tc>
      </w:tr>
      <w:tr w:rsidR="001047D9" w:rsidRPr="00B4515A" w14:paraId="69795BDA" w14:textId="77777777" w:rsidTr="00EE238F">
        <w:trPr>
          <w:trHeight w:val="340"/>
          <w:jc w:val="center"/>
        </w:trPr>
        <w:tc>
          <w:tcPr>
            <w:tcW w:w="1326" w:type="pct"/>
            <w:vMerge/>
            <w:tcMar>
              <w:top w:w="0" w:type="dxa"/>
              <w:left w:w="108" w:type="dxa"/>
              <w:bottom w:w="0" w:type="dxa"/>
              <w:right w:w="108" w:type="dxa"/>
            </w:tcMar>
            <w:vAlign w:val="center"/>
          </w:tcPr>
          <w:p w14:paraId="1F20FFCA" w14:textId="77777777"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p>
        </w:tc>
        <w:tc>
          <w:tcPr>
            <w:tcW w:w="730" w:type="pct"/>
            <w:vMerge/>
            <w:tcMar>
              <w:top w:w="0" w:type="dxa"/>
              <w:left w:w="108" w:type="dxa"/>
              <w:bottom w:w="0" w:type="dxa"/>
              <w:right w:w="108" w:type="dxa"/>
            </w:tcMar>
            <w:vAlign w:val="center"/>
          </w:tcPr>
          <w:p w14:paraId="5001AF7D" w14:textId="77777777"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p>
        </w:tc>
        <w:tc>
          <w:tcPr>
            <w:tcW w:w="947" w:type="pct"/>
            <w:tcMar>
              <w:top w:w="0" w:type="dxa"/>
              <w:left w:w="108" w:type="dxa"/>
              <w:bottom w:w="0" w:type="dxa"/>
              <w:right w:w="108" w:type="dxa"/>
            </w:tcMar>
            <w:vAlign w:val="center"/>
          </w:tcPr>
          <w:p w14:paraId="6BB636B5" w14:textId="4EE26D4E"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hint="eastAsia"/>
                <w:color w:val="000000" w:themeColor="text1"/>
                <w:sz w:val="21"/>
                <w:szCs w:val="21"/>
              </w:rPr>
              <w:t>合同负债</w:t>
            </w:r>
          </w:p>
        </w:tc>
        <w:tc>
          <w:tcPr>
            <w:tcW w:w="963" w:type="pct"/>
            <w:tcMar>
              <w:top w:w="0" w:type="dxa"/>
              <w:left w:w="108" w:type="dxa"/>
              <w:bottom w:w="0" w:type="dxa"/>
              <w:right w:w="108" w:type="dxa"/>
            </w:tcMar>
            <w:vAlign w:val="center"/>
          </w:tcPr>
          <w:p w14:paraId="485DB7F6" w14:textId="5F882B91" w:rsidR="001047D9" w:rsidRPr="00B4515A" w:rsidRDefault="001047D9" w:rsidP="00EE238F">
            <w:pPr>
              <w:adjustRightInd w:val="0"/>
              <w:snapToGrid w:val="0"/>
              <w:jc w:val="right"/>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color w:val="000000" w:themeColor="text1"/>
                <w:sz w:val="21"/>
                <w:szCs w:val="21"/>
              </w:rPr>
              <w:t>36,295,178.85</w:t>
            </w:r>
          </w:p>
        </w:tc>
        <w:tc>
          <w:tcPr>
            <w:tcW w:w="1034" w:type="pct"/>
            <w:tcMar>
              <w:top w:w="0" w:type="dxa"/>
              <w:left w:w="108" w:type="dxa"/>
              <w:bottom w:w="0" w:type="dxa"/>
              <w:right w:w="108" w:type="dxa"/>
            </w:tcMar>
            <w:vAlign w:val="center"/>
          </w:tcPr>
          <w:p w14:paraId="4E673C19" w14:textId="18281918"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hint="eastAsia"/>
                <w:color w:val="000000" w:themeColor="text1"/>
                <w:sz w:val="21"/>
                <w:szCs w:val="21"/>
              </w:rPr>
              <w:t>合同负债</w:t>
            </w:r>
          </w:p>
        </w:tc>
      </w:tr>
      <w:tr w:rsidR="001047D9" w:rsidRPr="00B4515A" w14:paraId="578F0242" w14:textId="77777777" w:rsidTr="00EE238F">
        <w:trPr>
          <w:trHeight w:val="340"/>
          <w:jc w:val="center"/>
        </w:trPr>
        <w:tc>
          <w:tcPr>
            <w:tcW w:w="1326" w:type="pct"/>
            <w:vMerge/>
            <w:tcMar>
              <w:top w:w="0" w:type="dxa"/>
              <w:left w:w="108" w:type="dxa"/>
              <w:bottom w:w="0" w:type="dxa"/>
              <w:right w:w="108" w:type="dxa"/>
            </w:tcMar>
            <w:vAlign w:val="center"/>
          </w:tcPr>
          <w:p w14:paraId="04BAC464" w14:textId="77777777"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p>
        </w:tc>
        <w:tc>
          <w:tcPr>
            <w:tcW w:w="730" w:type="pct"/>
            <w:vMerge/>
            <w:tcMar>
              <w:top w:w="0" w:type="dxa"/>
              <w:left w:w="108" w:type="dxa"/>
              <w:bottom w:w="0" w:type="dxa"/>
              <w:right w:w="108" w:type="dxa"/>
            </w:tcMar>
            <w:vAlign w:val="center"/>
          </w:tcPr>
          <w:p w14:paraId="0C0CD100" w14:textId="77777777"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p>
        </w:tc>
        <w:tc>
          <w:tcPr>
            <w:tcW w:w="947" w:type="pct"/>
            <w:tcMar>
              <w:top w:w="0" w:type="dxa"/>
              <w:left w:w="108" w:type="dxa"/>
              <w:bottom w:w="0" w:type="dxa"/>
              <w:right w:w="108" w:type="dxa"/>
            </w:tcMar>
            <w:vAlign w:val="center"/>
          </w:tcPr>
          <w:p w14:paraId="62BAA7F7" w14:textId="05FC388A"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hint="eastAsia"/>
                <w:color w:val="000000" w:themeColor="text1"/>
                <w:sz w:val="21"/>
                <w:szCs w:val="21"/>
              </w:rPr>
              <w:t>其他流动负债</w:t>
            </w:r>
          </w:p>
        </w:tc>
        <w:tc>
          <w:tcPr>
            <w:tcW w:w="963" w:type="pct"/>
            <w:tcMar>
              <w:top w:w="0" w:type="dxa"/>
              <w:left w:w="108" w:type="dxa"/>
              <w:bottom w:w="0" w:type="dxa"/>
              <w:right w:w="108" w:type="dxa"/>
            </w:tcMar>
            <w:vAlign w:val="center"/>
          </w:tcPr>
          <w:p w14:paraId="2DCAAD10" w14:textId="3811B7F6" w:rsidR="001047D9" w:rsidRPr="00B4515A" w:rsidRDefault="001047D9" w:rsidP="00EE238F">
            <w:pPr>
              <w:adjustRightInd w:val="0"/>
              <w:snapToGrid w:val="0"/>
              <w:jc w:val="right"/>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color w:val="000000" w:themeColor="text1"/>
                <w:sz w:val="21"/>
                <w:szCs w:val="21"/>
              </w:rPr>
              <w:t>4,718,373.25</w:t>
            </w:r>
          </w:p>
        </w:tc>
        <w:tc>
          <w:tcPr>
            <w:tcW w:w="1034" w:type="pct"/>
            <w:tcMar>
              <w:top w:w="0" w:type="dxa"/>
              <w:left w:w="108" w:type="dxa"/>
              <w:bottom w:w="0" w:type="dxa"/>
              <w:right w:w="108" w:type="dxa"/>
            </w:tcMar>
            <w:vAlign w:val="center"/>
          </w:tcPr>
          <w:p w14:paraId="535DFBBA" w14:textId="55575A3A"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hint="eastAsia"/>
                <w:color w:val="000000" w:themeColor="text1"/>
                <w:sz w:val="21"/>
                <w:szCs w:val="21"/>
              </w:rPr>
              <w:t>其他流动负债</w:t>
            </w:r>
          </w:p>
        </w:tc>
      </w:tr>
    </w:tbl>
    <w:p w14:paraId="4DF69A36" w14:textId="19FF97DA" w:rsidR="00FF292C" w:rsidRPr="00B4515A" w:rsidRDefault="00FF292C" w:rsidP="006100BC">
      <w:pPr>
        <w:pStyle w:val="005"/>
        <w:spacing w:before="120" w:after="120"/>
        <w:ind w:firstLine="480"/>
      </w:pPr>
      <w:r w:rsidRPr="00B4515A">
        <w:rPr>
          <w:rFonts w:hint="eastAsia"/>
        </w:rPr>
        <w:t>与原收入准则相比，执行新收入准则对</w:t>
      </w:r>
      <w:r w:rsidRPr="00B4515A">
        <w:t>2020</w:t>
      </w:r>
      <w:r w:rsidRPr="00B4515A">
        <w:rPr>
          <w:rFonts w:hint="eastAsia"/>
        </w:rPr>
        <w:t>年度财务报表相关项目的影响如下（增加</w:t>
      </w:r>
      <w:r w:rsidRPr="00B4515A">
        <w:t>/</w:t>
      </w:r>
      <w:r w:rsidRPr="00B4515A">
        <w:rPr>
          <w:rFonts w:hint="eastAsia"/>
        </w:rPr>
        <w:t>（减少））：</w:t>
      </w:r>
    </w:p>
    <w:tbl>
      <w:tblPr>
        <w:tblStyle w:val="2fd"/>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680"/>
        <w:gridCol w:w="3848"/>
      </w:tblGrid>
      <w:tr w:rsidR="001047D9" w:rsidRPr="00B4515A" w14:paraId="3F01EA3C" w14:textId="77777777" w:rsidTr="00EE238F">
        <w:trPr>
          <w:trHeight w:val="340"/>
          <w:jc w:val="center"/>
        </w:trPr>
        <w:tc>
          <w:tcPr>
            <w:tcW w:w="2744" w:type="pct"/>
            <w:tcMar>
              <w:top w:w="0" w:type="dxa"/>
              <w:left w:w="108" w:type="dxa"/>
              <w:bottom w:w="0" w:type="dxa"/>
              <w:right w:w="108" w:type="dxa"/>
            </w:tcMar>
            <w:vAlign w:val="center"/>
          </w:tcPr>
          <w:p w14:paraId="66949D0E" w14:textId="4449FE95" w:rsidR="001047D9" w:rsidRPr="00B4515A" w:rsidRDefault="001047D9" w:rsidP="005860B4">
            <w:pPr>
              <w:keepNext/>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lastRenderedPageBreak/>
              <w:t>受影响的资产负债表项目</w:t>
            </w:r>
          </w:p>
        </w:tc>
        <w:tc>
          <w:tcPr>
            <w:tcW w:w="2256" w:type="pct"/>
            <w:tcMar>
              <w:top w:w="0" w:type="dxa"/>
              <w:left w:w="108" w:type="dxa"/>
              <w:bottom w:w="0" w:type="dxa"/>
              <w:right w:w="108" w:type="dxa"/>
            </w:tcMar>
            <w:vAlign w:val="center"/>
          </w:tcPr>
          <w:p w14:paraId="6E5A1DA4" w14:textId="6619A7FF" w:rsidR="001047D9" w:rsidRPr="00B4515A" w:rsidRDefault="001047D9" w:rsidP="005860B4">
            <w:pPr>
              <w:keepNext/>
              <w:adjustRightInd w:val="0"/>
              <w:snapToGrid w:val="0"/>
              <w:jc w:val="center"/>
              <w:rPr>
                <w:rFonts w:ascii="Times New Roman" w:eastAsiaTheme="minorEastAsia" w:hAnsi="Times New Roman" w:cs="Times New Roman"/>
                <w:b/>
                <w:bCs/>
                <w:color w:val="000000" w:themeColor="text1"/>
                <w:sz w:val="21"/>
                <w:szCs w:val="21"/>
              </w:rPr>
            </w:pPr>
            <w:r w:rsidRPr="00B4515A">
              <w:rPr>
                <w:rFonts w:ascii="Times New Roman" w:eastAsiaTheme="minorEastAsia" w:hAnsi="Times New Roman" w:cs="Times New Roman" w:hint="eastAsia"/>
                <w:b/>
                <w:bCs/>
                <w:color w:val="000000" w:themeColor="text1"/>
                <w:sz w:val="21"/>
                <w:szCs w:val="21"/>
              </w:rPr>
              <w:t>对</w:t>
            </w:r>
            <w:r w:rsidRPr="00B4515A">
              <w:rPr>
                <w:rFonts w:ascii="Times New Roman" w:eastAsiaTheme="minorEastAsia" w:hAnsi="Times New Roman" w:cs="Times New Roman"/>
                <w:b/>
                <w:bCs/>
                <w:color w:val="000000" w:themeColor="text1"/>
                <w:sz w:val="21"/>
                <w:szCs w:val="21"/>
              </w:rPr>
              <w:t>2020</w:t>
            </w:r>
            <w:r w:rsidRPr="00B4515A">
              <w:rPr>
                <w:rFonts w:ascii="Times New Roman" w:eastAsiaTheme="minorEastAsia" w:hAnsi="Times New Roman" w:cs="Times New Roman" w:hint="eastAsia"/>
                <w:b/>
                <w:bCs/>
                <w:color w:val="000000" w:themeColor="text1"/>
                <w:sz w:val="21"/>
                <w:szCs w:val="21"/>
              </w:rPr>
              <w:t>年</w:t>
            </w:r>
            <w:r w:rsidRPr="00B4515A">
              <w:rPr>
                <w:rFonts w:ascii="Times New Roman" w:eastAsiaTheme="minorEastAsia" w:hAnsi="Times New Roman" w:cs="Times New Roman"/>
                <w:b/>
                <w:bCs/>
                <w:color w:val="000000" w:themeColor="text1"/>
                <w:sz w:val="21"/>
                <w:szCs w:val="21"/>
              </w:rPr>
              <w:t>12</w:t>
            </w:r>
            <w:r w:rsidRPr="00B4515A">
              <w:rPr>
                <w:rFonts w:ascii="Times New Roman" w:eastAsiaTheme="minorEastAsia" w:hAnsi="Times New Roman" w:cs="Times New Roman" w:hint="eastAsia"/>
                <w:b/>
                <w:bCs/>
                <w:color w:val="000000" w:themeColor="text1"/>
                <w:sz w:val="21"/>
                <w:szCs w:val="21"/>
              </w:rPr>
              <w:t>月</w:t>
            </w:r>
            <w:r w:rsidRPr="00B4515A">
              <w:rPr>
                <w:rFonts w:ascii="Times New Roman" w:eastAsiaTheme="minorEastAsia" w:hAnsi="Times New Roman" w:cs="Times New Roman"/>
                <w:b/>
                <w:bCs/>
                <w:color w:val="000000" w:themeColor="text1"/>
                <w:sz w:val="21"/>
                <w:szCs w:val="21"/>
              </w:rPr>
              <w:t>31</w:t>
            </w:r>
            <w:r w:rsidRPr="00B4515A">
              <w:rPr>
                <w:rFonts w:ascii="Times New Roman" w:eastAsiaTheme="minorEastAsia" w:hAnsi="Times New Roman" w:cs="Times New Roman" w:hint="eastAsia"/>
                <w:b/>
                <w:bCs/>
                <w:color w:val="000000" w:themeColor="text1"/>
                <w:sz w:val="21"/>
                <w:szCs w:val="21"/>
              </w:rPr>
              <w:t>日余额的影响金额</w:t>
            </w:r>
            <w:r w:rsidR="00615973" w:rsidRPr="00B4515A">
              <w:rPr>
                <w:rFonts w:ascii="Times New Roman" w:eastAsiaTheme="minorEastAsia" w:hAnsi="Times New Roman" w:cs="Times New Roman" w:hint="eastAsia"/>
                <w:b/>
                <w:bCs/>
                <w:color w:val="000000" w:themeColor="text1"/>
                <w:sz w:val="21"/>
                <w:szCs w:val="21"/>
              </w:rPr>
              <w:t>（元）</w:t>
            </w:r>
          </w:p>
        </w:tc>
      </w:tr>
      <w:tr w:rsidR="001047D9" w:rsidRPr="00B4515A" w14:paraId="0E05E2AC" w14:textId="77777777" w:rsidTr="00EE238F">
        <w:trPr>
          <w:trHeight w:val="340"/>
          <w:jc w:val="center"/>
        </w:trPr>
        <w:tc>
          <w:tcPr>
            <w:tcW w:w="2744" w:type="pct"/>
            <w:tcMar>
              <w:top w:w="0" w:type="dxa"/>
              <w:left w:w="108" w:type="dxa"/>
              <w:bottom w:w="0" w:type="dxa"/>
              <w:right w:w="108" w:type="dxa"/>
            </w:tcMar>
            <w:vAlign w:val="center"/>
          </w:tcPr>
          <w:p w14:paraId="41A211C2" w14:textId="4A0407C4"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hint="eastAsia"/>
                <w:color w:val="000000" w:themeColor="text1"/>
                <w:sz w:val="21"/>
                <w:szCs w:val="21"/>
              </w:rPr>
              <w:t>合同负债</w:t>
            </w:r>
          </w:p>
        </w:tc>
        <w:tc>
          <w:tcPr>
            <w:tcW w:w="2256" w:type="pct"/>
            <w:tcMar>
              <w:top w:w="0" w:type="dxa"/>
              <w:left w:w="108" w:type="dxa"/>
              <w:bottom w:w="0" w:type="dxa"/>
              <w:right w:w="108" w:type="dxa"/>
            </w:tcMar>
            <w:vAlign w:val="center"/>
          </w:tcPr>
          <w:p w14:paraId="01900B15" w14:textId="17AAC5B1" w:rsidR="001047D9" w:rsidRPr="00B4515A" w:rsidRDefault="001047D9" w:rsidP="00EE238F">
            <w:pPr>
              <w:adjustRightInd w:val="0"/>
              <w:snapToGrid w:val="0"/>
              <w:jc w:val="right"/>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color w:val="000000" w:themeColor="text1"/>
                <w:sz w:val="21"/>
                <w:szCs w:val="21"/>
              </w:rPr>
              <w:t>41,507,769.40</w:t>
            </w:r>
          </w:p>
        </w:tc>
      </w:tr>
      <w:tr w:rsidR="001047D9" w:rsidRPr="00B4515A" w14:paraId="40406CC2" w14:textId="77777777" w:rsidTr="00EE238F">
        <w:trPr>
          <w:trHeight w:val="340"/>
          <w:jc w:val="center"/>
        </w:trPr>
        <w:tc>
          <w:tcPr>
            <w:tcW w:w="2744" w:type="pct"/>
            <w:tcMar>
              <w:top w:w="0" w:type="dxa"/>
              <w:left w:w="108" w:type="dxa"/>
              <w:bottom w:w="0" w:type="dxa"/>
              <w:right w:w="108" w:type="dxa"/>
            </w:tcMar>
            <w:vAlign w:val="center"/>
          </w:tcPr>
          <w:p w14:paraId="2BD49A1D" w14:textId="0D6EE8D4"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hint="eastAsia"/>
                <w:color w:val="000000" w:themeColor="text1"/>
                <w:sz w:val="21"/>
                <w:szCs w:val="21"/>
              </w:rPr>
              <w:t>预收款项</w:t>
            </w:r>
          </w:p>
        </w:tc>
        <w:tc>
          <w:tcPr>
            <w:tcW w:w="2256" w:type="pct"/>
            <w:tcMar>
              <w:top w:w="0" w:type="dxa"/>
              <w:left w:w="108" w:type="dxa"/>
              <w:bottom w:w="0" w:type="dxa"/>
              <w:right w:w="108" w:type="dxa"/>
            </w:tcMar>
            <w:vAlign w:val="center"/>
          </w:tcPr>
          <w:p w14:paraId="16290F66" w14:textId="72E6B21A" w:rsidR="001047D9" w:rsidRPr="00B4515A" w:rsidRDefault="001047D9" w:rsidP="00EE238F">
            <w:pPr>
              <w:adjustRightInd w:val="0"/>
              <w:snapToGrid w:val="0"/>
              <w:jc w:val="right"/>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color w:val="000000" w:themeColor="text1"/>
                <w:sz w:val="21"/>
                <w:szCs w:val="21"/>
              </w:rPr>
              <w:t>-46,903,779.42</w:t>
            </w:r>
          </w:p>
        </w:tc>
      </w:tr>
      <w:tr w:rsidR="001047D9" w:rsidRPr="00B4515A" w14:paraId="0D12298B" w14:textId="77777777" w:rsidTr="00EE238F">
        <w:trPr>
          <w:trHeight w:val="340"/>
          <w:jc w:val="center"/>
        </w:trPr>
        <w:tc>
          <w:tcPr>
            <w:tcW w:w="2744" w:type="pct"/>
            <w:tcMar>
              <w:top w:w="0" w:type="dxa"/>
              <w:left w:w="108" w:type="dxa"/>
              <w:bottom w:w="0" w:type="dxa"/>
              <w:right w:w="108" w:type="dxa"/>
            </w:tcMar>
            <w:vAlign w:val="center"/>
          </w:tcPr>
          <w:p w14:paraId="564C9B91" w14:textId="174B8C47" w:rsidR="001047D9" w:rsidRPr="00B4515A" w:rsidRDefault="001047D9" w:rsidP="005860B4">
            <w:pPr>
              <w:adjustRightInd w:val="0"/>
              <w:snapToGrid w:val="0"/>
              <w:jc w:val="center"/>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hint="eastAsia"/>
                <w:color w:val="000000" w:themeColor="text1"/>
                <w:sz w:val="21"/>
                <w:szCs w:val="21"/>
              </w:rPr>
              <w:t>其他流动负债</w:t>
            </w:r>
          </w:p>
        </w:tc>
        <w:tc>
          <w:tcPr>
            <w:tcW w:w="2256" w:type="pct"/>
            <w:tcMar>
              <w:top w:w="0" w:type="dxa"/>
              <w:left w:w="108" w:type="dxa"/>
              <w:bottom w:w="0" w:type="dxa"/>
              <w:right w:w="108" w:type="dxa"/>
            </w:tcMar>
            <w:vAlign w:val="center"/>
          </w:tcPr>
          <w:p w14:paraId="53F8DBB9" w14:textId="48514AF2" w:rsidR="001047D9" w:rsidRPr="00B4515A" w:rsidRDefault="001047D9" w:rsidP="00EE238F">
            <w:pPr>
              <w:adjustRightInd w:val="0"/>
              <w:snapToGrid w:val="0"/>
              <w:jc w:val="right"/>
              <w:rPr>
                <w:rFonts w:ascii="Times New Roman" w:eastAsiaTheme="minorEastAsia" w:hAnsi="Times New Roman" w:cs="Times New Roman"/>
                <w:color w:val="000000" w:themeColor="text1"/>
                <w:sz w:val="21"/>
                <w:szCs w:val="21"/>
              </w:rPr>
            </w:pPr>
            <w:r w:rsidRPr="00B4515A">
              <w:rPr>
                <w:rFonts w:ascii="Times New Roman" w:eastAsiaTheme="minorEastAsia" w:hAnsi="Times New Roman" w:cs="Times New Roman"/>
                <w:color w:val="000000" w:themeColor="text1"/>
                <w:sz w:val="21"/>
                <w:szCs w:val="21"/>
              </w:rPr>
              <w:t>5,396,010.02</w:t>
            </w:r>
          </w:p>
        </w:tc>
      </w:tr>
    </w:tbl>
    <w:p w14:paraId="288BD347" w14:textId="77777777" w:rsidR="006416B0" w:rsidRPr="00B4515A" w:rsidRDefault="005E58C1" w:rsidP="00EE238F">
      <w:pPr>
        <w:pStyle w:val="005"/>
        <w:spacing w:before="120" w:after="120"/>
        <w:ind w:firstLine="480"/>
      </w:pPr>
      <w:r w:rsidRPr="00B4515A">
        <w:rPr>
          <w:rFonts w:hint="eastAsia"/>
        </w:rPr>
        <w:t>②</w:t>
      </w:r>
      <w:r w:rsidRPr="00B4515A">
        <w:t>执行《企业会计准则第</w:t>
      </w:r>
      <w:r w:rsidRPr="00B4515A">
        <w:t>7</w:t>
      </w:r>
      <w:r w:rsidRPr="00B4515A">
        <w:t>号</w:t>
      </w:r>
      <w:r w:rsidRPr="00B4515A">
        <w:t>——</w:t>
      </w:r>
      <w:r w:rsidRPr="00B4515A">
        <w:t>非货币性资产交换》《企业会计准则第</w:t>
      </w:r>
      <w:r w:rsidRPr="00B4515A">
        <w:t>12</w:t>
      </w:r>
      <w:r w:rsidRPr="00B4515A">
        <w:t>号</w:t>
      </w:r>
      <w:r w:rsidRPr="00B4515A">
        <w:t>——</w:t>
      </w:r>
      <w:r w:rsidRPr="00B4515A">
        <w:t>债务重组》（</w:t>
      </w:r>
      <w:r w:rsidRPr="00B4515A">
        <w:t>2019</w:t>
      </w:r>
      <w:r w:rsidRPr="00B4515A">
        <w:t>年修订）</w:t>
      </w:r>
    </w:p>
    <w:p w14:paraId="173506D0" w14:textId="77777777" w:rsidR="006416B0" w:rsidRPr="00B4515A" w:rsidRDefault="005E58C1" w:rsidP="005860B4">
      <w:pPr>
        <w:pStyle w:val="005"/>
        <w:spacing w:before="120" w:after="120"/>
        <w:ind w:firstLine="480"/>
      </w:pPr>
      <w:r w:rsidRPr="00B4515A">
        <w:t>大唐联诚自</w:t>
      </w:r>
      <w:r w:rsidRPr="00B4515A">
        <w:t>2019</w:t>
      </w:r>
      <w:r w:rsidRPr="00B4515A">
        <w:t>年</w:t>
      </w:r>
      <w:r w:rsidRPr="00B4515A">
        <w:t>6</w:t>
      </w:r>
      <w:r w:rsidRPr="00B4515A">
        <w:t>月</w:t>
      </w:r>
      <w:r w:rsidRPr="00B4515A">
        <w:t>10</w:t>
      </w:r>
      <w:r w:rsidRPr="00B4515A">
        <w:t>日起执行经修订的《企业会计准则第</w:t>
      </w:r>
      <w:r w:rsidRPr="00B4515A">
        <w:t>7</w:t>
      </w:r>
      <w:r w:rsidRPr="00B4515A">
        <w:t>号</w:t>
      </w:r>
      <w:r w:rsidRPr="00B4515A">
        <w:t>——</w:t>
      </w:r>
      <w:r w:rsidRPr="00B4515A">
        <w:t>非货币性资产交换》，自</w:t>
      </w:r>
      <w:r w:rsidRPr="00B4515A">
        <w:t>2019</w:t>
      </w:r>
      <w:r w:rsidRPr="00B4515A">
        <w:t>年</w:t>
      </w:r>
      <w:r w:rsidRPr="00B4515A">
        <w:t>6</w:t>
      </w:r>
      <w:r w:rsidRPr="00B4515A">
        <w:t>月</w:t>
      </w:r>
      <w:r w:rsidRPr="00B4515A">
        <w:t>17</w:t>
      </w:r>
      <w:r w:rsidRPr="00B4515A">
        <w:t>日起执行经修订的《企业会计准则第</w:t>
      </w:r>
      <w:r w:rsidRPr="00B4515A">
        <w:t>12</w:t>
      </w:r>
      <w:r w:rsidRPr="00B4515A">
        <w:t>号</w:t>
      </w:r>
      <w:r w:rsidRPr="00B4515A">
        <w:t>——</w:t>
      </w:r>
      <w:r w:rsidRPr="00B4515A">
        <w:t>债务重组》。该项会计政策变更采用未来适用法处理。大唐联诚执行上述准则在报告期内对大唐联诚无重大影响。</w:t>
      </w:r>
    </w:p>
    <w:p w14:paraId="68531FFE" w14:textId="77777777" w:rsidR="006416B0" w:rsidRPr="00B4515A" w:rsidRDefault="005E58C1" w:rsidP="005860B4">
      <w:pPr>
        <w:pStyle w:val="005"/>
        <w:spacing w:before="120" w:after="120"/>
        <w:ind w:firstLine="480"/>
      </w:pPr>
      <w:r w:rsidRPr="00B4515A">
        <w:rPr>
          <w:rFonts w:hint="eastAsia"/>
        </w:rPr>
        <w:t>③</w:t>
      </w:r>
      <w:r w:rsidRPr="00B4515A">
        <w:t>执行《企业会计准则解释第</w:t>
      </w:r>
      <w:r w:rsidRPr="00B4515A">
        <w:t>13</w:t>
      </w:r>
      <w:r w:rsidRPr="00B4515A">
        <w:t>号》</w:t>
      </w:r>
    </w:p>
    <w:p w14:paraId="57FF4996" w14:textId="77777777" w:rsidR="006416B0" w:rsidRPr="00B4515A" w:rsidRDefault="005E58C1" w:rsidP="005860B4">
      <w:pPr>
        <w:pStyle w:val="005"/>
        <w:spacing w:before="120" w:after="120"/>
        <w:ind w:firstLine="480"/>
      </w:pPr>
      <w:r w:rsidRPr="00B4515A">
        <w:t>大唐联诚自</w:t>
      </w:r>
      <w:r w:rsidRPr="00B4515A">
        <w:t>2020</w:t>
      </w:r>
      <w:r w:rsidRPr="00B4515A">
        <w:t>年</w:t>
      </w:r>
      <w:r w:rsidRPr="00B4515A">
        <w:t>1</w:t>
      </w:r>
      <w:r w:rsidRPr="00B4515A">
        <w:t>月</w:t>
      </w:r>
      <w:r w:rsidRPr="00B4515A">
        <w:t>1</w:t>
      </w:r>
      <w:r w:rsidRPr="00B4515A">
        <w:t>日起执行财政部于</w:t>
      </w:r>
      <w:r w:rsidRPr="00B4515A">
        <w:t>2019</w:t>
      </w:r>
      <w:r w:rsidRPr="00B4515A">
        <w:t>年度颁布的《企业会计准则解释第</w:t>
      </w:r>
      <w:r w:rsidRPr="00B4515A">
        <w:t>13</w:t>
      </w:r>
      <w:r w:rsidRPr="00B4515A">
        <w:t>号》，该项会计政策变更采用未来适用法处理。大唐联诚执行上述准则在报告期内对大唐联诚无重大影响。</w:t>
      </w:r>
    </w:p>
    <w:p w14:paraId="77B6D20F" w14:textId="77777777" w:rsidR="006416B0" w:rsidRPr="00B4515A" w:rsidRDefault="005E58C1" w:rsidP="005860B4">
      <w:pPr>
        <w:pStyle w:val="005"/>
        <w:spacing w:before="120" w:after="120"/>
        <w:ind w:firstLine="480"/>
      </w:pPr>
      <w:r w:rsidRPr="00B4515A">
        <w:t>（</w:t>
      </w:r>
      <w:r w:rsidRPr="00B4515A">
        <w:t>2</w:t>
      </w:r>
      <w:r w:rsidRPr="00B4515A">
        <w:t>）重大会计估计变更</w:t>
      </w:r>
    </w:p>
    <w:p w14:paraId="3BA59019" w14:textId="77777777" w:rsidR="006416B0" w:rsidRPr="00B4515A" w:rsidRDefault="005E58C1" w:rsidP="005860B4">
      <w:pPr>
        <w:pStyle w:val="005"/>
        <w:spacing w:before="120" w:after="120"/>
        <w:ind w:firstLine="480"/>
      </w:pPr>
      <w:r w:rsidRPr="00B4515A">
        <w:t>报告期内，大唐联诚未发生重大会计估计变更事项。</w:t>
      </w:r>
    </w:p>
    <w:p w14:paraId="5995D24B" w14:textId="77777777" w:rsidR="006416B0" w:rsidRPr="00B4515A" w:rsidRDefault="005E58C1" w:rsidP="005860B4">
      <w:pPr>
        <w:pStyle w:val="004"/>
        <w:spacing w:before="120" w:after="120"/>
        <w:ind w:firstLine="482"/>
      </w:pPr>
      <w:r w:rsidRPr="00B4515A">
        <w:t>5</w:t>
      </w:r>
      <w:r w:rsidRPr="00B4515A">
        <w:t>、行业特殊的会计处理政策</w:t>
      </w:r>
    </w:p>
    <w:p w14:paraId="63B15E76" w14:textId="77777777" w:rsidR="006416B0" w:rsidRPr="00B4515A" w:rsidRDefault="005E58C1" w:rsidP="005860B4">
      <w:pPr>
        <w:pStyle w:val="005"/>
        <w:spacing w:before="120" w:after="120"/>
        <w:ind w:firstLine="480"/>
      </w:pPr>
      <w:r w:rsidRPr="00B4515A">
        <w:t>报告期内，大唐联诚不存在行业特殊的会计处理政策。</w:t>
      </w:r>
    </w:p>
    <w:p w14:paraId="2681BF31" w14:textId="1D334182" w:rsidR="006416B0" w:rsidRPr="00B4515A" w:rsidRDefault="005E58C1" w:rsidP="005860B4">
      <w:pPr>
        <w:pStyle w:val="002"/>
        <w:spacing w:before="120" w:after="120"/>
        <w:ind w:firstLine="562"/>
      </w:pPr>
      <w:bookmarkStart w:id="207" w:name="_Toc80960548"/>
      <w:r w:rsidRPr="00B4515A">
        <w:rPr>
          <w:rFonts w:hint="eastAsia"/>
        </w:rPr>
        <w:t>十</w:t>
      </w:r>
      <w:r w:rsidR="002A5D8F" w:rsidRPr="00B4515A">
        <w:rPr>
          <w:rFonts w:hint="eastAsia"/>
        </w:rPr>
        <w:t>四</w:t>
      </w:r>
      <w:r w:rsidRPr="00B4515A">
        <w:rPr>
          <w:rFonts w:hint="eastAsia"/>
        </w:rPr>
        <w:t>、重大未决诉讼、仲裁和行政处罚</w:t>
      </w:r>
      <w:bookmarkEnd w:id="207"/>
    </w:p>
    <w:p w14:paraId="5A908AF9" w14:textId="77777777" w:rsidR="006416B0" w:rsidRPr="00B4515A" w:rsidRDefault="005E58C1" w:rsidP="005860B4">
      <w:pPr>
        <w:pStyle w:val="003"/>
        <w:spacing w:before="120"/>
        <w:ind w:firstLine="482"/>
      </w:pPr>
      <w:r w:rsidRPr="00B4515A">
        <w:rPr>
          <w:rFonts w:hint="eastAsia"/>
        </w:rPr>
        <w:t>（一）重大未决诉讼、仲裁情况</w:t>
      </w:r>
    </w:p>
    <w:p w14:paraId="763059EE" w14:textId="4F2508C6" w:rsidR="006416B0" w:rsidRPr="00B4515A" w:rsidRDefault="005E58C1" w:rsidP="005860B4">
      <w:pPr>
        <w:pStyle w:val="005"/>
        <w:spacing w:before="120" w:after="120"/>
        <w:ind w:firstLine="480"/>
      </w:pPr>
      <w:r w:rsidRPr="00B4515A">
        <w:t>截至本</w:t>
      </w:r>
      <w:r w:rsidRPr="00B4515A">
        <w:rPr>
          <w:rFonts w:hint="eastAsia"/>
        </w:rPr>
        <w:t>报告书出</w:t>
      </w:r>
      <w:r w:rsidRPr="00B4515A">
        <w:t>具之日，大唐联诚存在以下尚未完结的重大诉讼情况</w:t>
      </w:r>
      <w:r w:rsidRPr="00B4515A">
        <w:rPr>
          <w:rFonts w:hint="eastAsia"/>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51"/>
        <w:gridCol w:w="1112"/>
        <w:gridCol w:w="941"/>
        <w:gridCol w:w="1231"/>
        <w:gridCol w:w="3227"/>
        <w:gridCol w:w="766"/>
      </w:tblGrid>
      <w:tr w:rsidR="006416B0" w:rsidRPr="00B4515A" w14:paraId="2296D3A6" w14:textId="77777777" w:rsidTr="005860B4">
        <w:trPr>
          <w:trHeight w:val="340"/>
          <w:tblHeader/>
          <w:jc w:val="center"/>
        </w:trPr>
        <w:tc>
          <w:tcPr>
            <w:tcW w:w="733" w:type="pct"/>
            <w:shd w:val="clear" w:color="auto" w:fill="auto"/>
            <w:tcMar>
              <w:top w:w="0" w:type="dxa"/>
              <w:left w:w="108" w:type="dxa"/>
              <w:bottom w:w="0" w:type="dxa"/>
              <w:right w:w="108" w:type="dxa"/>
            </w:tcMar>
            <w:vAlign w:val="center"/>
          </w:tcPr>
          <w:p w14:paraId="37F6F9BF" w14:textId="3ABDC29A" w:rsidR="006416B0" w:rsidRPr="00B4515A" w:rsidRDefault="005E58C1" w:rsidP="005860B4">
            <w:pPr>
              <w:adjustRightInd w:val="0"/>
              <w:snapToGrid w:val="0"/>
              <w:jc w:val="center"/>
              <w:rPr>
                <w:rFonts w:ascii="Times New Roman" w:eastAsiaTheme="minorEastAsia" w:hAnsi="Times New Roman" w:cs="Times New Roman"/>
                <w:b/>
                <w:bCs/>
                <w:sz w:val="21"/>
                <w:szCs w:val="21"/>
              </w:rPr>
            </w:pPr>
            <w:r w:rsidRPr="00B4515A">
              <w:rPr>
                <w:rFonts w:ascii="Times New Roman" w:eastAsiaTheme="minorEastAsia" w:hAnsi="Times New Roman" w:cs="Times New Roman" w:hint="eastAsia"/>
                <w:b/>
                <w:bCs/>
                <w:sz w:val="21"/>
                <w:szCs w:val="21"/>
              </w:rPr>
              <w:t>原告</w:t>
            </w:r>
          </w:p>
        </w:tc>
        <w:tc>
          <w:tcPr>
            <w:tcW w:w="652" w:type="pct"/>
            <w:shd w:val="clear" w:color="auto" w:fill="auto"/>
            <w:tcMar>
              <w:top w:w="0" w:type="dxa"/>
              <w:left w:w="108" w:type="dxa"/>
              <w:bottom w:w="0" w:type="dxa"/>
              <w:right w:w="108" w:type="dxa"/>
            </w:tcMar>
            <w:vAlign w:val="center"/>
          </w:tcPr>
          <w:p w14:paraId="18D7D8A6" w14:textId="4301CBA8" w:rsidR="006416B0" w:rsidRPr="00B4515A" w:rsidRDefault="005E58C1" w:rsidP="005860B4">
            <w:pPr>
              <w:widowControl w:val="0"/>
              <w:adjustRightInd w:val="0"/>
              <w:snapToGrid w:val="0"/>
              <w:jc w:val="center"/>
              <w:rPr>
                <w:rFonts w:ascii="Times New Roman" w:eastAsiaTheme="minorEastAsia" w:hAnsi="Times New Roman" w:cs="Times New Roman"/>
                <w:b/>
                <w:bCs/>
                <w:sz w:val="21"/>
                <w:szCs w:val="21"/>
              </w:rPr>
            </w:pPr>
            <w:r w:rsidRPr="00B4515A">
              <w:rPr>
                <w:rFonts w:ascii="Times New Roman" w:eastAsiaTheme="minorEastAsia" w:hAnsi="Times New Roman" w:cs="Times New Roman" w:hint="eastAsia"/>
                <w:b/>
                <w:bCs/>
                <w:sz w:val="21"/>
                <w:szCs w:val="21"/>
              </w:rPr>
              <w:t>被告</w:t>
            </w:r>
          </w:p>
        </w:tc>
        <w:tc>
          <w:tcPr>
            <w:tcW w:w="552" w:type="pct"/>
            <w:shd w:val="clear" w:color="auto" w:fill="auto"/>
            <w:tcMar>
              <w:top w:w="0" w:type="dxa"/>
              <w:left w:w="108" w:type="dxa"/>
              <w:bottom w:w="0" w:type="dxa"/>
              <w:right w:w="108" w:type="dxa"/>
            </w:tcMar>
            <w:vAlign w:val="center"/>
          </w:tcPr>
          <w:p w14:paraId="2B9F1DFD" w14:textId="77777777" w:rsidR="006416B0" w:rsidRPr="00B4515A" w:rsidRDefault="005E58C1" w:rsidP="005860B4">
            <w:pPr>
              <w:widowControl w:val="0"/>
              <w:adjustRightInd w:val="0"/>
              <w:snapToGrid w:val="0"/>
              <w:jc w:val="center"/>
              <w:rPr>
                <w:rFonts w:ascii="Times New Roman" w:eastAsiaTheme="minorEastAsia" w:hAnsi="Times New Roman" w:cs="Times New Roman"/>
                <w:b/>
                <w:bCs/>
                <w:sz w:val="21"/>
                <w:szCs w:val="21"/>
              </w:rPr>
            </w:pPr>
            <w:r w:rsidRPr="00B4515A">
              <w:rPr>
                <w:rFonts w:ascii="Times New Roman" w:eastAsiaTheme="minorEastAsia" w:hAnsi="Times New Roman" w:cs="Times New Roman" w:hint="eastAsia"/>
                <w:b/>
                <w:bCs/>
                <w:sz w:val="21"/>
                <w:szCs w:val="21"/>
              </w:rPr>
              <w:t>案由</w:t>
            </w:r>
          </w:p>
        </w:tc>
        <w:tc>
          <w:tcPr>
            <w:tcW w:w="722" w:type="pct"/>
            <w:shd w:val="clear" w:color="auto" w:fill="auto"/>
            <w:tcMar>
              <w:top w:w="0" w:type="dxa"/>
              <w:left w:w="108" w:type="dxa"/>
              <w:bottom w:w="0" w:type="dxa"/>
              <w:right w:w="108" w:type="dxa"/>
            </w:tcMar>
            <w:vAlign w:val="center"/>
          </w:tcPr>
          <w:p w14:paraId="124E49E8" w14:textId="7F4123AA" w:rsidR="006416B0" w:rsidRPr="00B4515A" w:rsidRDefault="005E58C1" w:rsidP="005860B4">
            <w:pPr>
              <w:widowControl w:val="0"/>
              <w:adjustRightInd w:val="0"/>
              <w:snapToGrid w:val="0"/>
              <w:jc w:val="center"/>
              <w:rPr>
                <w:rFonts w:ascii="Times New Roman" w:eastAsiaTheme="minorEastAsia" w:hAnsi="Times New Roman" w:cs="Times New Roman"/>
                <w:b/>
                <w:bCs/>
                <w:sz w:val="21"/>
                <w:szCs w:val="21"/>
              </w:rPr>
            </w:pPr>
            <w:r w:rsidRPr="00B4515A">
              <w:rPr>
                <w:rFonts w:ascii="Times New Roman" w:eastAsiaTheme="minorEastAsia" w:hAnsi="Times New Roman" w:cs="Times New Roman" w:hint="eastAsia"/>
                <w:b/>
                <w:bCs/>
                <w:sz w:val="21"/>
                <w:szCs w:val="21"/>
              </w:rPr>
              <w:t>受理法院</w:t>
            </w:r>
          </w:p>
        </w:tc>
        <w:tc>
          <w:tcPr>
            <w:tcW w:w="1892" w:type="pct"/>
            <w:shd w:val="clear" w:color="auto" w:fill="auto"/>
            <w:tcMar>
              <w:top w:w="0" w:type="dxa"/>
              <w:left w:w="108" w:type="dxa"/>
              <w:bottom w:w="0" w:type="dxa"/>
              <w:right w:w="108" w:type="dxa"/>
            </w:tcMar>
            <w:vAlign w:val="center"/>
          </w:tcPr>
          <w:p w14:paraId="6075F856" w14:textId="77777777" w:rsidR="006416B0" w:rsidRPr="00B4515A" w:rsidRDefault="005E58C1" w:rsidP="005860B4">
            <w:pPr>
              <w:widowControl w:val="0"/>
              <w:adjustRightInd w:val="0"/>
              <w:snapToGrid w:val="0"/>
              <w:jc w:val="center"/>
              <w:rPr>
                <w:rFonts w:ascii="Times New Roman" w:eastAsiaTheme="minorEastAsia" w:hAnsi="Times New Roman" w:cs="Times New Roman"/>
                <w:b/>
                <w:bCs/>
                <w:sz w:val="21"/>
                <w:szCs w:val="21"/>
              </w:rPr>
            </w:pPr>
            <w:r w:rsidRPr="00B4515A">
              <w:rPr>
                <w:rFonts w:ascii="Times New Roman" w:eastAsiaTheme="minorEastAsia" w:hAnsi="Times New Roman" w:cs="Times New Roman" w:hint="eastAsia"/>
                <w:b/>
                <w:bCs/>
                <w:sz w:val="21"/>
                <w:szCs w:val="21"/>
              </w:rPr>
              <w:t>诉讼请求</w:t>
            </w:r>
          </w:p>
        </w:tc>
        <w:tc>
          <w:tcPr>
            <w:tcW w:w="449" w:type="pct"/>
            <w:shd w:val="clear" w:color="auto" w:fill="auto"/>
            <w:tcMar>
              <w:top w:w="0" w:type="dxa"/>
              <w:left w:w="108" w:type="dxa"/>
              <w:bottom w:w="0" w:type="dxa"/>
              <w:right w:w="108" w:type="dxa"/>
            </w:tcMar>
            <w:vAlign w:val="center"/>
          </w:tcPr>
          <w:p w14:paraId="28C4D7C8" w14:textId="77777777" w:rsidR="006416B0" w:rsidRPr="00B4515A" w:rsidRDefault="005E58C1" w:rsidP="005860B4">
            <w:pPr>
              <w:widowControl w:val="0"/>
              <w:adjustRightInd w:val="0"/>
              <w:snapToGrid w:val="0"/>
              <w:jc w:val="center"/>
              <w:rPr>
                <w:rFonts w:ascii="Times New Roman" w:eastAsiaTheme="minorEastAsia" w:hAnsi="Times New Roman" w:cs="Times New Roman"/>
                <w:b/>
                <w:bCs/>
                <w:sz w:val="21"/>
                <w:szCs w:val="21"/>
              </w:rPr>
            </w:pPr>
            <w:r w:rsidRPr="00B4515A">
              <w:rPr>
                <w:rFonts w:ascii="Times New Roman" w:eastAsiaTheme="minorEastAsia" w:hAnsi="Times New Roman" w:cs="Times New Roman" w:hint="eastAsia"/>
                <w:b/>
                <w:bCs/>
                <w:sz w:val="21"/>
                <w:szCs w:val="21"/>
              </w:rPr>
              <w:t>目前进展</w:t>
            </w:r>
          </w:p>
        </w:tc>
      </w:tr>
      <w:tr w:rsidR="006416B0" w:rsidRPr="00B4515A" w14:paraId="78216C40" w14:textId="77777777" w:rsidTr="00031627">
        <w:trPr>
          <w:trHeight w:val="340"/>
          <w:jc w:val="center"/>
        </w:trPr>
        <w:tc>
          <w:tcPr>
            <w:tcW w:w="733" w:type="pct"/>
            <w:shd w:val="clear" w:color="auto" w:fill="auto"/>
            <w:tcMar>
              <w:top w:w="0" w:type="dxa"/>
              <w:left w:w="108" w:type="dxa"/>
              <w:bottom w:w="0" w:type="dxa"/>
              <w:right w:w="108" w:type="dxa"/>
            </w:tcMar>
            <w:vAlign w:val="center"/>
          </w:tcPr>
          <w:p w14:paraId="4E6DDED6" w14:textId="77777777" w:rsidR="006416B0" w:rsidRPr="00B4515A" w:rsidRDefault="005E58C1" w:rsidP="005860B4">
            <w:pPr>
              <w:widowControl w:val="0"/>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大唐联诚</w:t>
            </w:r>
          </w:p>
        </w:tc>
        <w:tc>
          <w:tcPr>
            <w:tcW w:w="652" w:type="pct"/>
            <w:shd w:val="clear" w:color="auto" w:fill="auto"/>
            <w:tcMar>
              <w:top w:w="0" w:type="dxa"/>
              <w:left w:w="108" w:type="dxa"/>
              <w:bottom w:w="0" w:type="dxa"/>
              <w:right w:w="108" w:type="dxa"/>
            </w:tcMar>
            <w:vAlign w:val="center"/>
          </w:tcPr>
          <w:p w14:paraId="680A8A3D"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太阳驹（北京）科技发展有限公司</w:t>
            </w:r>
          </w:p>
        </w:tc>
        <w:tc>
          <w:tcPr>
            <w:tcW w:w="552" w:type="pct"/>
            <w:shd w:val="clear" w:color="auto" w:fill="auto"/>
            <w:tcMar>
              <w:top w:w="0" w:type="dxa"/>
              <w:left w:w="108" w:type="dxa"/>
              <w:bottom w:w="0" w:type="dxa"/>
              <w:right w:w="108" w:type="dxa"/>
            </w:tcMar>
            <w:vAlign w:val="center"/>
          </w:tcPr>
          <w:p w14:paraId="77662AF0"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买卖合同纠纷</w:t>
            </w:r>
          </w:p>
        </w:tc>
        <w:tc>
          <w:tcPr>
            <w:tcW w:w="722" w:type="pct"/>
            <w:shd w:val="clear" w:color="auto" w:fill="auto"/>
            <w:tcMar>
              <w:top w:w="0" w:type="dxa"/>
              <w:left w:w="108" w:type="dxa"/>
              <w:bottom w:w="0" w:type="dxa"/>
              <w:right w:w="108" w:type="dxa"/>
            </w:tcMar>
            <w:vAlign w:val="center"/>
          </w:tcPr>
          <w:p w14:paraId="258A1ECB"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北京市海淀区人民法院</w:t>
            </w:r>
          </w:p>
        </w:tc>
        <w:tc>
          <w:tcPr>
            <w:tcW w:w="1892" w:type="pct"/>
            <w:shd w:val="clear" w:color="auto" w:fill="auto"/>
            <w:tcMar>
              <w:top w:w="0" w:type="dxa"/>
              <w:left w:w="108" w:type="dxa"/>
              <w:bottom w:w="0" w:type="dxa"/>
              <w:right w:w="108" w:type="dxa"/>
            </w:tcMar>
            <w:vAlign w:val="center"/>
          </w:tcPr>
          <w:p w14:paraId="3ECC10E9"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1</w:t>
            </w:r>
            <w:r w:rsidRPr="00B4515A">
              <w:rPr>
                <w:rFonts w:ascii="Times New Roman" w:eastAsiaTheme="minorEastAsia" w:hAnsi="Times New Roman" w:cs="Times New Roman" w:hint="eastAsia"/>
                <w:sz w:val="21"/>
                <w:szCs w:val="21"/>
              </w:rPr>
              <w:t>、判令被告赔偿原告货物损失</w:t>
            </w:r>
            <w:r w:rsidRPr="00B4515A">
              <w:rPr>
                <w:rFonts w:ascii="Times New Roman" w:eastAsiaTheme="minorEastAsia" w:hAnsi="Times New Roman" w:cs="Times New Roman"/>
                <w:sz w:val="21"/>
                <w:szCs w:val="21"/>
              </w:rPr>
              <w:t>33</w:t>
            </w:r>
            <w:r w:rsidRPr="00B4515A">
              <w:rPr>
                <w:rFonts w:ascii="Times New Roman" w:eastAsiaTheme="minorEastAsia" w:hAnsi="Times New Roman" w:cs="Times New Roman" w:hint="eastAsia"/>
                <w:sz w:val="21"/>
                <w:szCs w:val="21"/>
              </w:rPr>
              <w:t>万元；</w:t>
            </w:r>
          </w:p>
          <w:p w14:paraId="35B19934"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w:t>
            </w:r>
            <w:r w:rsidRPr="00B4515A">
              <w:rPr>
                <w:rFonts w:ascii="Times New Roman" w:eastAsiaTheme="minorEastAsia" w:hAnsi="Times New Roman" w:cs="Times New Roman" w:hint="eastAsia"/>
                <w:sz w:val="21"/>
                <w:szCs w:val="21"/>
              </w:rPr>
              <w:t>、判令被告承担逾期付款违约金</w:t>
            </w:r>
            <w:r w:rsidRPr="00B4515A">
              <w:rPr>
                <w:rFonts w:ascii="Times New Roman" w:eastAsiaTheme="minorEastAsia" w:hAnsi="Times New Roman" w:cs="Times New Roman"/>
                <w:sz w:val="21"/>
                <w:szCs w:val="21"/>
              </w:rPr>
              <w:t>180,378</w:t>
            </w:r>
            <w:r w:rsidRPr="00B4515A">
              <w:rPr>
                <w:rFonts w:ascii="Times New Roman" w:eastAsiaTheme="minorEastAsia" w:hAnsi="Times New Roman" w:cs="Times New Roman" w:hint="eastAsia"/>
                <w:sz w:val="21"/>
                <w:szCs w:val="21"/>
              </w:rPr>
              <w:t>元（以</w:t>
            </w:r>
            <w:r w:rsidRPr="00B4515A">
              <w:rPr>
                <w:rFonts w:ascii="Times New Roman" w:eastAsiaTheme="minorEastAsia" w:hAnsi="Times New Roman" w:cs="Times New Roman"/>
                <w:sz w:val="21"/>
                <w:szCs w:val="21"/>
              </w:rPr>
              <w:t>33</w:t>
            </w:r>
            <w:r w:rsidRPr="00B4515A">
              <w:rPr>
                <w:rFonts w:ascii="Times New Roman" w:eastAsiaTheme="minorEastAsia" w:hAnsi="Times New Roman" w:cs="Times New Roman" w:hint="eastAsia"/>
                <w:sz w:val="21"/>
                <w:szCs w:val="21"/>
              </w:rPr>
              <w:t>万元为基数，自</w:t>
            </w:r>
            <w:r w:rsidRPr="00B4515A">
              <w:rPr>
                <w:rFonts w:ascii="Times New Roman" w:eastAsiaTheme="minorEastAsia" w:hAnsi="Times New Roman" w:cs="Times New Roman"/>
                <w:sz w:val="21"/>
                <w:szCs w:val="21"/>
              </w:rPr>
              <w:t>2016</w:t>
            </w:r>
            <w:r w:rsidRPr="00B4515A">
              <w:rPr>
                <w:rFonts w:ascii="Times New Roman" w:eastAsiaTheme="minorEastAsia" w:hAnsi="Times New Roman" w:cs="Times New Roman" w:hint="eastAsia"/>
                <w:sz w:val="21"/>
                <w:szCs w:val="21"/>
              </w:rPr>
              <w:t>年</w:t>
            </w:r>
            <w:r w:rsidRPr="00B4515A">
              <w:rPr>
                <w:rFonts w:ascii="Times New Roman" w:eastAsiaTheme="minorEastAsia" w:hAnsi="Times New Roman" w:cs="Times New Roman"/>
                <w:sz w:val="21"/>
                <w:szCs w:val="21"/>
              </w:rPr>
              <w:t>1</w:t>
            </w:r>
            <w:r w:rsidRPr="00B4515A">
              <w:rPr>
                <w:rFonts w:ascii="Times New Roman" w:eastAsiaTheme="minorEastAsia" w:hAnsi="Times New Roman" w:cs="Times New Roman" w:hint="eastAsia"/>
                <w:sz w:val="21"/>
                <w:szCs w:val="21"/>
              </w:rPr>
              <w:t>月</w:t>
            </w:r>
            <w:r w:rsidRPr="00B4515A">
              <w:rPr>
                <w:rFonts w:ascii="Times New Roman" w:eastAsiaTheme="minorEastAsia" w:hAnsi="Times New Roman" w:cs="Times New Roman"/>
                <w:sz w:val="21"/>
                <w:szCs w:val="21"/>
              </w:rPr>
              <w:t>4</w:t>
            </w:r>
            <w:r w:rsidRPr="00B4515A">
              <w:rPr>
                <w:rFonts w:ascii="Times New Roman" w:eastAsiaTheme="minorEastAsia" w:hAnsi="Times New Roman" w:cs="Times New Roman" w:hint="eastAsia"/>
                <w:sz w:val="21"/>
                <w:szCs w:val="21"/>
              </w:rPr>
              <w:t>日至实际履行之日，以日利率万分之三计算，暂计算至</w:t>
            </w:r>
            <w:r w:rsidRPr="00B4515A">
              <w:rPr>
                <w:rFonts w:ascii="Times New Roman" w:eastAsiaTheme="minorEastAsia" w:hAnsi="Times New Roman" w:cs="Times New Roman"/>
                <w:sz w:val="21"/>
                <w:szCs w:val="21"/>
              </w:rPr>
              <w:t>2020</w:t>
            </w:r>
            <w:r w:rsidRPr="00B4515A">
              <w:rPr>
                <w:rFonts w:ascii="Times New Roman" w:eastAsiaTheme="minorEastAsia" w:hAnsi="Times New Roman" w:cs="Times New Roman" w:hint="eastAsia"/>
                <w:sz w:val="21"/>
                <w:szCs w:val="21"/>
              </w:rPr>
              <w:t>年</w:t>
            </w:r>
            <w:r w:rsidRPr="00B4515A">
              <w:rPr>
                <w:rFonts w:ascii="Times New Roman" w:eastAsiaTheme="minorEastAsia" w:hAnsi="Times New Roman" w:cs="Times New Roman"/>
                <w:sz w:val="21"/>
                <w:szCs w:val="21"/>
              </w:rPr>
              <w:t>12</w:t>
            </w:r>
            <w:r w:rsidRPr="00B4515A">
              <w:rPr>
                <w:rFonts w:ascii="Times New Roman" w:eastAsiaTheme="minorEastAsia" w:hAnsi="Times New Roman" w:cs="Times New Roman" w:hint="eastAsia"/>
                <w:sz w:val="21"/>
                <w:szCs w:val="21"/>
              </w:rPr>
              <w:t>月</w:t>
            </w:r>
            <w:r w:rsidRPr="00B4515A">
              <w:rPr>
                <w:rFonts w:ascii="Times New Roman" w:eastAsiaTheme="minorEastAsia" w:hAnsi="Times New Roman" w:cs="Times New Roman"/>
                <w:sz w:val="21"/>
                <w:szCs w:val="21"/>
              </w:rPr>
              <w:t>30</w:t>
            </w:r>
            <w:r w:rsidRPr="00B4515A">
              <w:rPr>
                <w:rFonts w:ascii="Times New Roman" w:eastAsiaTheme="minorEastAsia" w:hAnsi="Times New Roman" w:cs="Times New Roman" w:hint="eastAsia"/>
                <w:sz w:val="21"/>
                <w:szCs w:val="21"/>
              </w:rPr>
              <w:t>日为</w:t>
            </w:r>
            <w:r w:rsidRPr="00B4515A">
              <w:rPr>
                <w:rFonts w:ascii="Times New Roman" w:eastAsiaTheme="minorEastAsia" w:hAnsi="Times New Roman" w:cs="Times New Roman"/>
                <w:sz w:val="21"/>
                <w:szCs w:val="21"/>
              </w:rPr>
              <w:t>180,378</w:t>
            </w:r>
            <w:r w:rsidRPr="00B4515A">
              <w:rPr>
                <w:rFonts w:ascii="Times New Roman" w:eastAsiaTheme="minorEastAsia" w:hAnsi="Times New Roman" w:cs="Times New Roman" w:hint="eastAsia"/>
                <w:sz w:val="21"/>
                <w:szCs w:val="21"/>
              </w:rPr>
              <w:t>元）；</w:t>
            </w:r>
          </w:p>
          <w:p w14:paraId="794F4291" w14:textId="243E8461"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lastRenderedPageBreak/>
              <w:t>3</w:t>
            </w:r>
            <w:r w:rsidRPr="00B4515A">
              <w:rPr>
                <w:rFonts w:ascii="Times New Roman" w:eastAsiaTheme="minorEastAsia" w:hAnsi="Times New Roman" w:cs="Times New Roman" w:hint="eastAsia"/>
                <w:sz w:val="21"/>
                <w:szCs w:val="21"/>
              </w:rPr>
              <w:t>、判令被告赔偿原告已支付的律师代理费</w:t>
            </w:r>
            <w:r w:rsidRPr="00B4515A">
              <w:rPr>
                <w:rFonts w:ascii="Times New Roman" w:eastAsiaTheme="minorEastAsia" w:hAnsi="Times New Roman" w:cs="Times New Roman"/>
                <w:sz w:val="21"/>
                <w:szCs w:val="21"/>
              </w:rPr>
              <w:t>5</w:t>
            </w:r>
            <w:r w:rsidR="008C1223" w:rsidRPr="00B4515A">
              <w:rPr>
                <w:rFonts w:ascii="Times New Roman" w:eastAsiaTheme="minorEastAsia" w:hAnsi="Times New Roman" w:cs="Times New Roman"/>
                <w:sz w:val="21"/>
                <w:szCs w:val="21"/>
              </w:rPr>
              <w:t>,</w:t>
            </w:r>
            <w:r w:rsidRPr="00B4515A">
              <w:rPr>
                <w:rFonts w:ascii="Times New Roman" w:eastAsiaTheme="minorEastAsia" w:hAnsi="Times New Roman" w:cs="Times New Roman"/>
                <w:sz w:val="21"/>
                <w:szCs w:val="21"/>
              </w:rPr>
              <w:t>000</w:t>
            </w:r>
            <w:r w:rsidRPr="00B4515A">
              <w:rPr>
                <w:rFonts w:ascii="Times New Roman" w:eastAsiaTheme="minorEastAsia" w:hAnsi="Times New Roman" w:cs="Times New Roman" w:hint="eastAsia"/>
                <w:sz w:val="21"/>
                <w:szCs w:val="21"/>
              </w:rPr>
              <w:t>元人民币；</w:t>
            </w:r>
          </w:p>
          <w:p w14:paraId="70B9BD58" w14:textId="77777777" w:rsidR="006416B0" w:rsidRPr="00B4515A" w:rsidRDefault="005E58C1"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4</w:t>
            </w:r>
            <w:r w:rsidRPr="00B4515A">
              <w:rPr>
                <w:rFonts w:ascii="Times New Roman" w:eastAsiaTheme="minorEastAsia" w:hAnsi="Times New Roman" w:cs="Times New Roman" w:hint="eastAsia"/>
                <w:sz w:val="21"/>
                <w:szCs w:val="21"/>
              </w:rPr>
              <w:t>、判决由被告承担本案诉讼费。</w:t>
            </w:r>
          </w:p>
        </w:tc>
        <w:tc>
          <w:tcPr>
            <w:tcW w:w="449" w:type="pct"/>
            <w:shd w:val="clear" w:color="auto" w:fill="auto"/>
            <w:tcMar>
              <w:top w:w="0" w:type="dxa"/>
              <w:left w:w="108" w:type="dxa"/>
              <w:bottom w:w="0" w:type="dxa"/>
              <w:right w:w="108" w:type="dxa"/>
            </w:tcMar>
            <w:vAlign w:val="center"/>
          </w:tcPr>
          <w:p w14:paraId="20A1BECC" w14:textId="01023A8E" w:rsidR="006416B0" w:rsidRPr="00B4515A" w:rsidRDefault="00846F05"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lastRenderedPageBreak/>
              <w:t>已受理</w:t>
            </w:r>
          </w:p>
        </w:tc>
      </w:tr>
      <w:tr w:rsidR="00CA564D" w:rsidRPr="00B4515A" w14:paraId="2D9178DD" w14:textId="77777777" w:rsidTr="00031627">
        <w:trPr>
          <w:trHeight w:val="340"/>
          <w:jc w:val="center"/>
        </w:trPr>
        <w:tc>
          <w:tcPr>
            <w:tcW w:w="733" w:type="pct"/>
            <w:shd w:val="clear" w:color="auto" w:fill="auto"/>
            <w:tcMar>
              <w:top w:w="0" w:type="dxa"/>
              <w:left w:w="108" w:type="dxa"/>
              <w:bottom w:w="0" w:type="dxa"/>
              <w:right w:w="108" w:type="dxa"/>
            </w:tcMar>
            <w:vAlign w:val="center"/>
          </w:tcPr>
          <w:p w14:paraId="490E2D06" w14:textId="4824DC2C" w:rsidR="00CA564D" w:rsidRPr="00B4515A" w:rsidRDefault="00CA564D"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lastRenderedPageBreak/>
              <w:t>大唐联诚</w:t>
            </w:r>
          </w:p>
        </w:tc>
        <w:tc>
          <w:tcPr>
            <w:tcW w:w="652" w:type="pct"/>
            <w:shd w:val="clear" w:color="auto" w:fill="auto"/>
            <w:tcMar>
              <w:top w:w="0" w:type="dxa"/>
              <w:left w:w="108" w:type="dxa"/>
              <w:bottom w:w="0" w:type="dxa"/>
              <w:right w:w="108" w:type="dxa"/>
            </w:tcMar>
            <w:vAlign w:val="center"/>
          </w:tcPr>
          <w:p w14:paraId="3FE2241C" w14:textId="491F501C" w:rsidR="00CA564D" w:rsidRPr="00B4515A" w:rsidRDefault="00CA564D"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上海金卓科技有限公司</w:t>
            </w:r>
          </w:p>
        </w:tc>
        <w:tc>
          <w:tcPr>
            <w:tcW w:w="552" w:type="pct"/>
            <w:shd w:val="clear" w:color="auto" w:fill="auto"/>
            <w:tcMar>
              <w:top w:w="0" w:type="dxa"/>
              <w:left w:w="108" w:type="dxa"/>
              <w:bottom w:w="0" w:type="dxa"/>
              <w:right w:w="108" w:type="dxa"/>
            </w:tcMar>
            <w:vAlign w:val="center"/>
          </w:tcPr>
          <w:p w14:paraId="61901359" w14:textId="515130FD" w:rsidR="00CA564D" w:rsidRPr="00B4515A" w:rsidRDefault="00CA564D"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合同纠纷</w:t>
            </w:r>
          </w:p>
        </w:tc>
        <w:tc>
          <w:tcPr>
            <w:tcW w:w="722" w:type="pct"/>
            <w:shd w:val="clear" w:color="auto" w:fill="auto"/>
            <w:tcMar>
              <w:top w:w="0" w:type="dxa"/>
              <w:left w:w="108" w:type="dxa"/>
              <w:bottom w:w="0" w:type="dxa"/>
              <w:right w:w="108" w:type="dxa"/>
            </w:tcMar>
            <w:vAlign w:val="center"/>
          </w:tcPr>
          <w:p w14:paraId="6F431A9D" w14:textId="32D14C8D" w:rsidR="00CA564D" w:rsidRPr="00B4515A" w:rsidRDefault="00CA564D"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上海知识产权法院</w:t>
            </w:r>
          </w:p>
        </w:tc>
        <w:tc>
          <w:tcPr>
            <w:tcW w:w="1892" w:type="pct"/>
            <w:shd w:val="clear" w:color="auto" w:fill="auto"/>
            <w:tcMar>
              <w:top w:w="0" w:type="dxa"/>
              <w:left w:w="108" w:type="dxa"/>
              <w:bottom w:w="0" w:type="dxa"/>
              <w:right w:w="108" w:type="dxa"/>
            </w:tcMar>
            <w:vAlign w:val="center"/>
          </w:tcPr>
          <w:p w14:paraId="207B424C" w14:textId="4D8D0E8F" w:rsidR="00AD5BB7" w:rsidRPr="00B4515A" w:rsidRDefault="00CA564D"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1</w:t>
            </w:r>
            <w:r w:rsidRPr="00B4515A">
              <w:rPr>
                <w:rFonts w:ascii="Times New Roman" w:eastAsiaTheme="minorEastAsia" w:hAnsi="Times New Roman" w:cs="Times New Roman"/>
                <w:sz w:val="21"/>
                <w:szCs w:val="21"/>
              </w:rPr>
              <w:t>、判令被告向原告支付技术秘密使用费人民币</w:t>
            </w:r>
            <w:r w:rsidRPr="00B4515A">
              <w:rPr>
                <w:rFonts w:ascii="Times New Roman" w:eastAsiaTheme="minorEastAsia" w:hAnsi="Times New Roman" w:cs="Times New Roman"/>
                <w:sz w:val="21"/>
                <w:szCs w:val="21"/>
              </w:rPr>
              <w:t>3,325,000</w:t>
            </w:r>
            <w:r w:rsidRPr="00B4515A">
              <w:rPr>
                <w:rFonts w:ascii="Times New Roman" w:eastAsiaTheme="minorEastAsia" w:hAnsi="Times New Roman" w:cs="Times New Roman"/>
                <w:sz w:val="21"/>
                <w:szCs w:val="21"/>
              </w:rPr>
              <w:t>元</w:t>
            </w:r>
            <w:r w:rsidR="00AD5BB7" w:rsidRPr="00B4515A">
              <w:rPr>
                <w:rFonts w:ascii="Times New Roman" w:eastAsiaTheme="minorEastAsia" w:hAnsi="Times New Roman" w:cs="Times New Roman" w:hint="eastAsia"/>
                <w:sz w:val="21"/>
                <w:szCs w:val="21"/>
              </w:rPr>
              <w:t>；</w:t>
            </w:r>
          </w:p>
          <w:p w14:paraId="127A9890" w14:textId="37746DE6" w:rsidR="00AD5BB7" w:rsidRPr="00B4515A" w:rsidRDefault="00CA564D"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w:t>
            </w:r>
            <w:r w:rsidRPr="00B4515A">
              <w:rPr>
                <w:rFonts w:ascii="Times New Roman" w:eastAsiaTheme="minorEastAsia" w:hAnsi="Times New Roman" w:cs="Times New Roman"/>
                <w:sz w:val="21"/>
                <w:szCs w:val="21"/>
              </w:rPr>
              <w:t>、判令被告赔偿原告逾期付款违约金。（以</w:t>
            </w:r>
            <w:r w:rsidRPr="00B4515A">
              <w:rPr>
                <w:rFonts w:ascii="Times New Roman" w:eastAsiaTheme="minorEastAsia" w:hAnsi="Times New Roman" w:cs="Times New Roman"/>
                <w:sz w:val="21"/>
                <w:szCs w:val="21"/>
              </w:rPr>
              <w:t>2,375,000</w:t>
            </w:r>
            <w:r w:rsidRPr="00B4515A">
              <w:rPr>
                <w:rFonts w:ascii="Times New Roman" w:eastAsiaTheme="minorEastAsia" w:hAnsi="Times New Roman" w:cs="Times New Roman"/>
                <w:sz w:val="21"/>
                <w:szCs w:val="21"/>
              </w:rPr>
              <w:t>元为基数，自</w:t>
            </w:r>
            <w:r w:rsidRPr="00B4515A">
              <w:rPr>
                <w:rFonts w:ascii="Times New Roman" w:eastAsiaTheme="minorEastAsia" w:hAnsi="Times New Roman" w:cs="Times New Roman"/>
                <w:sz w:val="21"/>
                <w:szCs w:val="21"/>
              </w:rPr>
              <w:t>2016</w:t>
            </w:r>
            <w:r w:rsidRPr="00B4515A">
              <w:rPr>
                <w:rFonts w:ascii="Times New Roman" w:eastAsiaTheme="minorEastAsia" w:hAnsi="Times New Roman" w:cs="Times New Roman"/>
                <w:sz w:val="21"/>
                <w:szCs w:val="21"/>
              </w:rPr>
              <w:t>年</w:t>
            </w:r>
            <w:r w:rsidRPr="00B4515A">
              <w:rPr>
                <w:rFonts w:ascii="Times New Roman" w:eastAsiaTheme="minorEastAsia" w:hAnsi="Times New Roman" w:cs="Times New Roman"/>
                <w:sz w:val="21"/>
                <w:szCs w:val="21"/>
              </w:rPr>
              <w:t>12</w:t>
            </w:r>
            <w:r w:rsidRPr="00B4515A">
              <w:rPr>
                <w:rFonts w:ascii="Times New Roman" w:eastAsiaTheme="minorEastAsia" w:hAnsi="Times New Roman" w:cs="Times New Roman"/>
                <w:sz w:val="21"/>
                <w:szCs w:val="21"/>
              </w:rPr>
              <w:t>月</w:t>
            </w:r>
            <w:r w:rsidRPr="00B4515A">
              <w:rPr>
                <w:rFonts w:ascii="Times New Roman" w:eastAsiaTheme="minorEastAsia" w:hAnsi="Times New Roman" w:cs="Times New Roman"/>
                <w:sz w:val="21"/>
                <w:szCs w:val="21"/>
              </w:rPr>
              <w:t>25</w:t>
            </w:r>
            <w:r w:rsidRPr="00B4515A">
              <w:rPr>
                <w:rFonts w:ascii="Times New Roman" w:eastAsiaTheme="minorEastAsia" w:hAnsi="Times New Roman" w:cs="Times New Roman"/>
                <w:sz w:val="21"/>
                <w:szCs w:val="21"/>
              </w:rPr>
              <w:t>日起按照一年期贷款市场报价利率</w:t>
            </w:r>
            <w:r w:rsidRPr="00B4515A">
              <w:rPr>
                <w:rFonts w:ascii="Times New Roman" w:eastAsiaTheme="minorEastAsia" w:hAnsi="Times New Roman" w:cs="Times New Roman"/>
                <w:sz w:val="21"/>
                <w:szCs w:val="21"/>
              </w:rPr>
              <w:t>4.35%</w:t>
            </w:r>
            <w:r w:rsidRPr="00B4515A">
              <w:rPr>
                <w:rFonts w:ascii="Times New Roman" w:eastAsiaTheme="minorEastAsia" w:hAnsi="Times New Roman" w:cs="Times New Roman"/>
                <w:sz w:val="21"/>
                <w:szCs w:val="21"/>
              </w:rPr>
              <w:t>的四倍计算至被告履行之日；以</w:t>
            </w:r>
            <w:r w:rsidRPr="00B4515A">
              <w:rPr>
                <w:rFonts w:ascii="Times New Roman" w:eastAsiaTheme="minorEastAsia" w:hAnsi="Times New Roman" w:cs="Times New Roman"/>
                <w:sz w:val="21"/>
                <w:szCs w:val="21"/>
              </w:rPr>
              <w:t>950,000</w:t>
            </w:r>
            <w:r w:rsidRPr="00B4515A">
              <w:rPr>
                <w:rFonts w:ascii="Times New Roman" w:eastAsiaTheme="minorEastAsia" w:hAnsi="Times New Roman" w:cs="Times New Roman"/>
                <w:sz w:val="21"/>
                <w:szCs w:val="21"/>
              </w:rPr>
              <w:t>元为基数，自</w:t>
            </w:r>
            <w:r w:rsidRPr="00B4515A">
              <w:rPr>
                <w:rFonts w:ascii="Times New Roman" w:eastAsiaTheme="minorEastAsia" w:hAnsi="Times New Roman" w:cs="Times New Roman"/>
                <w:sz w:val="21"/>
                <w:szCs w:val="21"/>
              </w:rPr>
              <w:t>2018</w:t>
            </w:r>
            <w:r w:rsidRPr="00B4515A">
              <w:rPr>
                <w:rFonts w:ascii="Times New Roman" w:eastAsiaTheme="minorEastAsia" w:hAnsi="Times New Roman" w:cs="Times New Roman"/>
                <w:sz w:val="21"/>
                <w:szCs w:val="21"/>
              </w:rPr>
              <w:t>年</w:t>
            </w:r>
            <w:r w:rsidRPr="00B4515A">
              <w:rPr>
                <w:rFonts w:ascii="Times New Roman" w:eastAsiaTheme="minorEastAsia" w:hAnsi="Times New Roman" w:cs="Times New Roman"/>
                <w:sz w:val="21"/>
                <w:szCs w:val="21"/>
              </w:rPr>
              <w:t>5</w:t>
            </w:r>
            <w:r w:rsidRPr="00B4515A">
              <w:rPr>
                <w:rFonts w:ascii="Times New Roman" w:eastAsiaTheme="minorEastAsia" w:hAnsi="Times New Roman" w:cs="Times New Roman"/>
                <w:sz w:val="21"/>
                <w:szCs w:val="21"/>
              </w:rPr>
              <w:t>月</w:t>
            </w:r>
            <w:r w:rsidRPr="00B4515A">
              <w:rPr>
                <w:rFonts w:ascii="Times New Roman" w:eastAsiaTheme="minorEastAsia" w:hAnsi="Times New Roman" w:cs="Times New Roman"/>
                <w:sz w:val="21"/>
                <w:szCs w:val="21"/>
              </w:rPr>
              <w:t>5</w:t>
            </w:r>
            <w:r w:rsidRPr="00B4515A">
              <w:rPr>
                <w:rFonts w:ascii="Times New Roman" w:eastAsiaTheme="minorEastAsia" w:hAnsi="Times New Roman" w:cs="Times New Roman"/>
                <w:sz w:val="21"/>
                <w:szCs w:val="21"/>
              </w:rPr>
              <w:t>日起按照一年期贷款市场报价利率</w:t>
            </w:r>
            <w:r w:rsidRPr="00B4515A">
              <w:rPr>
                <w:rFonts w:ascii="Times New Roman" w:eastAsiaTheme="minorEastAsia" w:hAnsi="Times New Roman" w:cs="Times New Roman"/>
                <w:sz w:val="21"/>
                <w:szCs w:val="21"/>
              </w:rPr>
              <w:t>4.35%</w:t>
            </w:r>
            <w:r w:rsidRPr="00B4515A">
              <w:rPr>
                <w:rFonts w:ascii="Times New Roman" w:eastAsiaTheme="minorEastAsia" w:hAnsi="Times New Roman" w:cs="Times New Roman"/>
                <w:sz w:val="21"/>
                <w:szCs w:val="21"/>
              </w:rPr>
              <w:t>的四倍计算至被告履行之日。暂计算至</w:t>
            </w:r>
            <w:r w:rsidRPr="00B4515A">
              <w:rPr>
                <w:rFonts w:ascii="Times New Roman" w:eastAsiaTheme="minorEastAsia" w:hAnsi="Times New Roman" w:cs="Times New Roman"/>
                <w:sz w:val="21"/>
                <w:szCs w:val="21"/>
              </w:rPr>
              <w:t>2021</w:t>
            </w:r>
            <w:r w:rsidRPr="00B4515A">
              <w:rPr>
                <w:rFonts w:ascii="Times New Roman" w:eastAsiaTheme="minorEastAsia" w:hAnsi="Times New Roman" w:cs="Times New Roman"/>
                <w:sz w:val="21"/>
                <w:szCs w:val="21"/>
              </w:rPr>
              <w:t>年</w:t>
            </w:r>
            <w:r w:rsidRPr="00B4515A">
              <w:rPr>
                <w:rFonts w:ascii="Times New Roman" w:eastAsiaTheme="minorEastAsia" w:hAnsi="Times New Roman" w:cs="Times New Roman"/>
                <w:sz w:val="21"/>
                <w:szCs w:val="21"/>
              </w:rPr>
              <w:t>5</w:t>
            </w:r>
            <w:r w:rsidRPr="00B4515A">
              <w:rPr>
                <w:rFonts w:ascii="Times New Roman" w:eastAsiaTheme="minorEastAsia" w:hAnsi="Times New Roman" w:cs="Times New Roman"/>
                <w:sz w:val="21"/>
                <w:szCs w:val="21"/>
              </w:rPr>
              <w:t>月</w:t>
            </w:r>
            <w:r w:rsidRPr="00B4515A">
              <w:rPr>
                <w:rFonts w:ascii="Times New Roman" w:eastAsiaTheme="minorEastAsia" w:hAnsi="Times New Roman" w:cs="Times New Roman"/>
                <w:sz w:val="21"/>
                <w:szCs w:val="21"/>
              </w:rPr>
              <w:t>31</w:t>
            </w:r>
            <w:r w:rsidRPr="00B4515A">
              <w:rPr>
                <w:rFonts w:ascii="Times New Roman" w:eastAsiaTheme="minorEastAsia" w:hAnsi="Times New Roman" w:cs="Times New Roman"/>
                <w:sz w:val="21"/>
                <w:szCs w:val="21"/>
              </w:rPr>
              <w:t>日为人民币</w:t>
            </w:r>
            <w:r w:rsidRPr="00B4515A">
              <w:rPr>
                <w:rFonts w:ascii="Times New Roman" w:eastAsiaTheme="minorEastAsia" w:hAnsi="Times New Roman" w:cs="Times New Roman"/>
                <w:sz w:val="21"/>
                <w:szCs w:val="21"/>
              </w:rPr>
              <w:t>2,340,013.97</w:t>
            </w:r>
            <w:r w:rsidRPr="00B4515A">
              <w:rPr>
                <w:rFonts w:ascii="Times New Roman" w:eastAsiaTheme="minorEastAsia" w:hAnsi="Times New Roman" w:cs="Times New Roman"/>
                <w:sz w:val="21"/>
                <w:szCs w:val="21"/>
              </w:rPr>
              <w:t>元）</w:t>
            </w:r>
            <w:r w:rsidR="00AD5BB7" w:rsidRPr="00B4515A">
              <w:rPr>
                <w:rFonts w:ascii="Times New Roman" w:eastAsiaTheme="minorEastAsia" w:hAnsi="Times New Roman" w:cs="Times New Roman" w:hint="eastAsia"/>
                <w:sz w:val="21"/>
                <w:szCs w:val="21"/>
              </w:rPr>
              <w:t>；</w:t>
            </w:r>
            <w:r w:rsidRPr="00B4515A">
              <w:rPr>
                <w:rFonts w:ascii="Times New Roman" w:eastAsiaTheme="minorEastAsia" w:hAnsi="Times New Roman" w:cs="Times New Roman"/>
                <w:sz w:val="21"/>
                <w:szCs w:val="21"/>
              </w:rPr>
              <w:t>3</w:t>
            </w:r>
            <w:r w:rsidRPr="00B4515A">
              <w:rPr>
                <w:rFonts w:ascii="Times New Roman" w:eastAsiaTheme="minorEastAsia" w:hAnsi="Times New Roman" w:cs="Times New Roman"/>
                <w:sz w:val="21"/>
                <w:szCs w:val="21"/>
              </w:rPr>
              <w:t>、判令被告承担原告已支付的律师费人民币</w:t>
            </w:r>
            <w:r w:rsidRPr="00B4515A">
              <w:rPr>
                <w:rFonts w:ascii="Times New Roman" w:eastAsiaTheme="minorEastAsia" w:hAnsi="Times New Roman" w:cs="Times New Roman"/>
                <w:sz w:val="21"/>
                <w:szCs w:val="21"/>
              </w:rPr>
              <w:t>20,000</w:t>
            </w:r>
            <w:r w:rsidRPr="00B4515A">
              <w:rPr>
                <w:rFonts w:ascii="Times New Roman" w:eastAsiaTheme="minorEastAsia" w:hAnsi="Times New Roman" w:cs="Times New Roman"/>
                <w:sz w:val="21"/>
                <w:szCs w:val="21"/>
              </w:rPr>
              <w:t>元</w:t>
            </w:r>
            <w:r w:rsidR="00AD5BB7" w:rsidRPr="00B4515A">
              <w:rPr>
                <w:rFonts w:ascii="Times New Roman" w:eastAsiaTheme="minorEastAsia" w:hAnsi="Times New Roman" w:cs="Times New Roman" w:hint="eastAsia"/>
                <w:sz w:val="21"/>
                <w:szCs w:val="21"/>
              </w:rPr>
              <w:t>；</w:t>
            </w:r>
          </w:p>
          <w:p w14:paraId="7C60FEB4" w14:textId="08A8EFB8" w:rsidR="00CA564D" w:rsidRPr="00B4515A" w:rsidRDefault="00CA564D"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4</w:t>
            </w:r>
            <w:r w:rsidRPr="00B4515A">
              <w:rPr>
                <w:rFonts w:ascii="Times New Roman" w:eastAsiaTheme="minorEastAsia" w:hAnsi="Times New Roman" w:cs="Times New Roman"/>
                <w:sz w:val="21"/>
                <w:szCs w:val="21"/>
              </w:rPr>
              <w:t>、判令被告承担本案诉讼费。</w:t>
            </w:r>
          </w:p>
        </w:tc>
        <w:tc>
          <w:tcPr>
            <w:tcW w:w="449" w:type="pct"/>
            <w:shd w:val="clear" w:color="auto" w:fill="auto"/>
            <w:tcMar>
              <w:top w:w="0" w:type="dxa"/>
              <w:left w:w="108" w:type="dxa"/>
              <w:bottom w:w="0" w:type="dxa"/>
              <w:right w:w="108" w:type="dxa"/>
            </w:tcMar>
            <w:vAlign w:val="center"/>
          </w:tcPr>
          <w:p w14:paraId="30184164" w14:textId="2095D870" w:rsidR="00CA564D" w:rsidRPr="00B4515A" w:rsidRDefault="00CA564D"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已受理</w:t>
            </w:r>
          </w:p>
        </w:tc>
      </w:tr>
      <w:tr w:rsidR="00CA564D" w:rsidRPr="00B4515A" w14:paraId="461CA56A" w14:textId="77777777" w:rsidTr="00031627">
        <w:trPr>
          <w:trHeight w:val="340"/>
          <w:jc w:val="center"/>
        </w:trPr>
        <w:tc>
          <w:tcPr>
            <w:tcW w:w="733" w:type="pct"/>
            <w:shd w:val="clear" w:color="auto" w:fill="auto"/>
            <w:tcMar>
              <w:top w:w="0" w:type="dxa"/>
              <w:left w:w="108" w:type="dxa"/>
              <w:bottom w:w="0" w:type="dxa"/>
              <w:right w:w="108" w:type="dxa"/>
            </w:tcMar>
            <w:vAlign w:val="center"/>
          </w:tcPr>
          <w:p w14:paraId="209F8331" w14:textId="2F9CF178" w:rsidR="00CA564D" w:rsidRPr="00B4515A" w:rsidRDefault="00CA564D"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大唐联诚</w:t>
            </w:r>
          </w:p>
        </w:tc>
        <w:tc>
          <w:tcPr>
            <w:tcW w:w="652" w:type="pct"/>
            <w:shd w:val="clear" w:color="auto" w:fill="auto"/>
            <w:tcMar>
              <w:top w:w="0" w:type="dxa"/>
              <w:left w:w="108" w:type="dxa"/>
              <w:bottom w:w="0" w:type="dxa"/>
              <w:right w:w="108" w:type="dxa"/>
            </w:tcMar>
            <w:vAlign w:val="center"/>
          </w:tcPr>
          <w:p w14:paraId="2278B828" w14:textId="32E84596" w:rsidR="00CA564D" w:rsidRPr="00B4515A" w:rsidRDefault="00CA564D"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上海金卓科技有限公司</w:t>
            </w:r>
          </w:p>
        </w:tc>
        <w:tc>
          <w:tcPr>
            <w:tcW w:w="552" w:type="pct"/>
            <w:shd w:val="clear" w:color="auto" w:fill="auto"/>
            <w:tcMar>
              <w:top w:w="0" w:type="dxa"/>
              <w:left w:w="108" w:type="dxa"/>
              <w:bottom w:w="0" w:type="dxa"/>
              <w:right w:w="108" w:type="dxa"/>
            </w:tcMar>
            <w:vAlign w:val="center"/>
          </w:tcPr>
          <w:p w14:paraId="0C3DA9B5" w14:textId="13C25FCA" w:rsidR="00CA564D" w:rsidRPr="00B4515A" w:rsidRDefault="00CA564D"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合同纠纷</w:t>
            </w:r>
          </w:p>
        </w:tc>
        <w:tc>
          <w:tcPr>
            <w:tcW w:w="722" w:type="pct"/>
            <w:shd w:val="clear" w:color="auto" w:fill="auto"/>
            <w:tcMar>
              <w:top w:w="0" w:type="dxa"/>
              <w:left w:w="108" w:type="dxa"/>
              <w:bottom w:w="0" w:type="dxa"/>
              <w:right w:w="108" w:type="dxa"/>
            </w:tcMar>
            <w:vAlign w:val="center"/>
          </w:tcPr>
          <w:p w14:paraId="34A429B2" w14:textId="22E1891F" w:rsidR="00CA564D" w:rsidRPr="00B4515A" w:rsidRDefault="00CA564D"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上海知识产权法院</w:t>
            </w:r>
          </w:p>
        </w:tc>
        <w:tc>
          <w:tcPr>
            <w:tcW w:w="1892" w:type="pct"/>
            <w:shd w:val="clear" w:color="auto" w:fill="auto"/>
            <w:tcMar>
              <w:top w:w="0" w:type="dxa"/>
              <w:left w:w="108" w:type="dxa"/>
              <w:bottom w:w="0" w:type="dxa"/>
              <w:right w:w="108" w:type="dxa"/>
            </w:tcMar>
            <w:vAlign w:val="center"/>
          </w:tcPr>
          <w:p w14:paraId="45CDD459" w14:textId="54010D2E" w:rsidR="00630DD2" w:rsidRPr="00B4515A" w:rsidRDefault="00CA564D"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1</w:t>
            </w:r>
            <w:r w:rsidRPr="00B4515A">
              <w:rPr>
                <w:rFonts w:ascii="Times New Roman" w:eastAsiaTheme="minorEastAsia" w:hAnsi="Times New Roman" w:cs="Times New Roman"/>
                <w:sz w:val="21"/>
                <w:szCs w:val="21"/>
              </w:rPr>
              <w:t>、判令被告向原告支付技术秘密使用费人民币</w:t>
            </w:r>
            <w:r w:rsidRPr="00B4515A">
              <w:rPr>
                <w:rFonts w:ascii="Times New Roman" w:eastAsiaTheme="minorEastAsia" w:hAnsi="Times New Roman" w:cs="Times New Roman"/>
                <w:sz w:val="21"/>
                <w:szCs w:val="21"/>
              </w:rPr>
              <w:t>1,050,000</w:t>
            </w:r>
            <w:r w:rsidRPr="00B4515A">
              <w:rPr>
                <w:rFonts w:ascii="Times New Roman" w:eastAsiaTheme="minorEastAsia" w:hAnsi="Times New Roman" w:cs="Times New Roman"/>
                <w:sz w:val="21"/>
                <w:szCs w:val="21"/>
              </w:rPr>
              <w:t>元</w:t>
            </w:r>
            <w:r w:rsidR="00630DD2" w:rsidRPr="00B4515A">
              <w:rPr>
                <w:rFonts w:ascii="Times New Roman" w:eastAsiaTheme="minorEastAsia" w:hAnsi="Times New Roman" w:cs="Times New Roman" w:hint="eastAsia"/>
                <w:sz w:val="21"/>
                <w:szCs w:val="21"/>
              </w:rPr>
              <w:t>；</w:t>
            </w:r>
          </w:p>
          <w:p w14:paraId="619E7CE7" w14:textId="47638569" w:rsidR="00630DD2" w:rsidRPr="00B4515A" w:rsidRDefault="00CA564D"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2</w:t>
            </w:r>
            <w:r w:rsidRPr="00B4515A">
              <w:rPr>
                <w:rFonts w:ascii="Times New Roman" w:eastAsiaTheme="minorEastAsia" w:hAnsi="Times New Roman" w:cs="Times New Roman"/>
                <w:sz w:val="21"/>
                <w:szCs w:val="21"/>
              </w:rPr>
              <w:t>、判令被告赔偿原告逾期付款违约金。（以</w:t>
            </w:r>
            <w:r w:rsidRPr="00B4515A">
              <w:rPr>
                <w:rFonts w:ascii="Times New Roman" w:eastAsiaTheme="minorEastAsia" w:hAnsi="Times New Roman" w:cs="Times New Roman"/>
                <w:sz w:val="21"/>
                <w:szCs w:val="21"/>
              </w:rPr>
              <w:t>750,000</w:t>
            </w:r>
            <w:r w:rsidRPr="00B4515A">
              <w:rPr>
                <w:rFonts w:ascii="Times New Roman" w:eastAsiaTheme="minorEastAsia" w:hAnsi="Times New Roman" w:cs="Times New Roman"/>
                <w:sz w:val="21"/>
                <w:szCs w:val="21"/>
              </w:rPr>
              <w:t>元为基数，自</w:t>
            </w:r>
            <w:r w:rsidRPr="00B4515A">
              <w:rPr>
                <w:rFonts w:ascii="Times New Roman" w:eastAsiaTheme="minorEastAsia" w:hAnsi="Times New Roman" w:cs="Times New Roman"/>
                <w:sz w:val="21"/>
                <w:szCs w:val="21"/>
              </w:rPr>
              <w:t>2016</w:t>
            </w:r>
            <w:r w:rsidRPr="00B4515A">
              <w:rPr>
                <w:rFonts w:ascii="Times New Roman" w:eastAsiaTheme="minorEastAsia" w:hAnsi="Times New Roman" w:cs="Times New Roman"/>
                <w:sz w:val="21"/>
                <w:szCs w:val="21"/>
              </w:rPr>
              <w:t>年</w:t>
            </w:r>
            <w:r w:rsidRPr="00B4515A">
              <w:rPr>
                <w:rFonts w:ascii="Times New Roman" w:eastAsiaTheme="minorEastAsia" w:hAnsi="Times New Roman" w:cs="Times New Roman"/>
                <w:sz w:val="21"/>
                <w:szCs w:val="21"/>
              </w:rPr>
              <w:t>9</w:t>
            </w:r>
            <w:r w:rsidRPr="00B4515A">
              <w:rPr>
                <w:rFonts w:ascii="Times New Roman" w:eastAsiaTheme="minorEastAsia" w:hAnsi="Times New Roman" w:cs="Times New Roman"/>
                <w:sz w:val="21"/>
                <w:szCs w:val="21"/>
              </w:rPr>
              <w:t>月</w:t>
            </w:r>
            <w:r w:rsidRPr="00B4515A">
              <w:rPr>
                <w:rFonts w:ascii="Times New Roman" w:eastAsiaTheme="minorEastAsia" w:hAnsi="Times New Roman" w:cs="Times New Roman"/>
                <w:sz w:val="21"/>
                <w:szCs w:val="21"/>
              </w:rPr>
              <w:t>13</w:t>
            </w:r>
            <w:r w:rsidRPr="00B4515A">
              <w:rPr>
                <w:rFonts w:ascii="Times New Roman" w:eastAsiaTheme="minorEastAsia" w:hAnsi="Times New Roman" w:cs="Times New Roman"/>
                <w:sz w:val="21"/>
                <w:szCs w:val="21"/>
              </w:rPr>
              <w:t>日起按照一年期贷款市场报价利率</w:t>
            </w:r>
            <w:r w:rsidRPr="00B4515A">
              <w:rPr>
                <w:rFonts w:ascii="Times New Roman" w:eastAsiaTheme="minorEastAsia" w:hAnsi="Times New Roman" w:cs="Times New Roman"/>
                <w:sz w:val="21"/>
                <w:szCs w:val="21"/>
              </w:rPr>
              <w:t>4.35%</w:t>
            </w:r>
            <w:r w:rsidRPr="00B4515A">
              <w:rPr>
                <w:rFonts w:ascii="Times New Roman" w:eastAsiaTheme="minorEastAsia" w:hAnsi="Times New Roman" w:cs="Times New Roman"/>
                <w:sz w:val="21"/>
                <w:szCs w:val="21"/>
              </w:rPr>
              <w:t>的四倍计算至被告履行之日；以</w:t>
            </w:r>
            <w:r w:rsidRPr="00B4515A">
              <w:rPr>
                <w:rFonts w:ascii="Times New Roman" w:eastAsiaTheme="minorEastAsia" w:hAnsi="Times New Roman" w:cs="Times New Roman"/>
                <w:sz w:val="21"/>
                <w:szCs w:val="21"/>
              </w:rPr>
              <w:t>300,000</w:t>
            </w:r>
            <w:r w:rsidRPr="00B4515A">
              <w:rPr>
                <w:rFonts w:ascii="Times New Roman" w:eastAsiaTheme="minorEastAsia" w:hAnsi="Times New Roman" w:cs="Times New Roman"/>
                <w:sz w:val="21"/>
                <w:szCs w:val="21"/>
              </w:rPr>
              <w:t>元为基数，自</w:t>
            </w:r>
            <w:r w:rsidRPr="00B4515A">
              <w:rPr>
                <w:rFonts w:ascii="Times New Roman" w:eastAsiaTheme="minorEastAsia" w:hAnsi="Times New Roman" w:cs="Times New Roman"/>
                <w:sz w:val="21"/>
                <w:szCs w:val="21"/>
              </w:rPr>
              <w:t>2017</w:t>
            </w:r>
            <w:r w:rsidRPr="00B4515A">
              <w:rPr>
                <w:rFonts w:ascii="Times New Roman" w:eastAsiaTheme="minorEastAsia" w:hAnsi="Times New Roman" w:cs="Times New Roman"/>
                <w:sz w:val="21"/>
                <w:szCs w:val="21"/>
              </w:rPr>
              <w:t>年</w:t>
            </w:r>
            <w:r w:rsidRPr="00B4515A">
              <w:rPr>
                <w:rFonts w:ascii="Times New Roman" w:eastAsiaTheme="minorEastAsia" w:hAnsi="Times New Roman" w:cs="Times New Roman"/>
                <w:sz w:val="21"/>
                <w:szCs w:val="21"/>
              </w:rPr>
              <w:t>3</w:t>
            </w:r>
            <w:r w:rsidRPr="00B4515A">
              <w:rPr>
                <w:rFonts w:ascii="Times New Roman" w:eastAsiaTheme="minorEastAsia" w:hAnsi="Times New Roman" w:cs="Times New Roman"/>
                <w:sz w:val="21"/>
                <w:szCs w:val="21"/>
              </w:rPr>
              <w:t>月</w:t>
            </w:r>
            <w:r w:rsidRPr="00B4515A">
              <w:rPr>
                <w:rFonts w:ascii="Times New Roman" w:eastAsiaTheme="minorEastAsia" w:hAnsi="Times New Roman" w:cs="Times New Roman"/>
                <w:sz w:val="21"/>
                <w:szCs w:val="21"/>
              </w:rPr>
              <w:t>31</w:t>
            </w:r>
            <w:r w:rsidRPr="00B4515A">
              <w:rPr>
                <w:rFonts w:ascii="Times New Roman" w:eastAsiaTheme="minorEastAsia" w:hAnsi="Times New Roman" w:cs="Times New Roman"/>
                <w:sz w:val="21"/>
                <w:szCs w:val="21"/>
              </w:rPr>
              <w:t>日起按照一年期贷款市场报价利率</w:t>
            </w:r>
            <w:r w:rsidRPr="00B4515A">
              <w:rPr>
                <w:rFonts w:ascii="Times New Roman" w:eastAsiaTheme="minorEastAsia" w:hAnsi="Times New Roman" w:cs="Times New Roman"/>
                <w:sz w:val="21"/>
                <w:szCs w:val="21"/>
              </w:rPr>
              <w:t>4.35%</w:t>
            </w:r>
            <w:r w:rsidRPr="00B4515A">
              <w:rPr>
                <w:rFonts w:ascii="Times New Roman" w:eastAsiaTheme="minorEastAsia" w:hAnsi="Times New Roman" w:cs="Times New Roman"/>
                <w:sz w:val="21"/>
                <w:szCs w:val="21"/>
              </w:rPr>
              <w:t>的四倍计算至被告履行之日。暂计算至</w:t>
            </w:r>
            <w:r w:rsidRPr="00B4515A">
              <w:rPr>
                <w:rFonts w:ascii="Times New Roman" w:eastAsiaTheme="minorEastAsia" w:hAnsi="Times New Roman" w:cs="Times New Roman"/>
                <w:sz w:val="21"/>
                <w:szCs w:val="21"/>
              </w:rPr>
              <w:t>2021</w:t>
            </w:r>
            <w:r w:rsidRPr="00B4515A">
              <w:rPr>
                <w:rFonts w:ascii="Times New Roman" w:eastAsiaTheme="minorEastAsia" w:hAnsi="Times New Roman" w:cs="Times New Roman"/>
                <w:sz w:val="21"/>
                <w:szCs w:val="21"/>
              </w:rPr>
              <w:t>年</w:t>
            </w:r>
            <w:r w:rsidRPr="00B4515A">
              <w:rPr>
                <w:rFonts w:ascii="Times New Roman" w:eastAsiaTheme="minorEastAsia" w:hAnsi="Times New Roman" w:cs="Times New Roman"/>
                <w:sz w:val="21"/>
                <w:szCs w:val="21"/>
              </w:rPr>
              <w:t>5</w:t>
            </w:r>
            <w:r w:rsidRPr="00B4515A">
              <w:rPr>
                <w:rFonts w:ascii="Times New Roman" w:eastAsiaTheme="minorEastAsia" w:hAnsi="Times New Roman" w:cs="Times New Roman"/>
                <w:sz w:val="21"/>
                <w:szCs w:val="21"/>
              </w:rPr>
              <w:t>月</w:t>
            </w:r>
            <w:r w:rsidRPr="00B4515A">
              <w:rPr>
                <w:rFonts w:ascii="Times New Roman" w:eastAsiaTheme="minorEastAsia" w:hAnsi="Times New Roman" w:cs="Times New Roman"/>
                <w:sz w:val="21"/>
                <w:szCs w:val="21"/>
              </w:rPr>
              <w:t>31</w:t>
            </w:r>
            <w:r w:rsidRPr="00B4515A">
              <w:rPr>
                <w:rFonts w:ascii="Times New Roman" w:eastAsiaTheme="minorEastAsia" w:hAnsi="Times New Roman" w:cs="Times New Roman"/>
                <w:sz w:val="21"/>
                <w:szCs w:val="21"/>
              </w:rPr>
              <w:t>日为人民币</w:t>
            </w:r>
            <w:r w:rsidRPr="00B4515A">
              <w:rPr>
                <w:rFonts w:ascii="Times New Roman" w:eastAsiaTheme="minorEastAsia" w:hAnsi="Times New Roman" w:cs="Times New Roman"/>
                <w:sz w:val="21"/>
                <w:szCs w:val="21"/>
              </w:rPr>
              <w:t>832,983.29</w:t>
            </w:r>
            <w:r w:rsidRPr="00B4515A">
              <w:rPr>
                <w:rFonts w:ascii="Times New Roman" w:eastAsiaTheme="minorEastAsia" w:hAnsi="Times New Roman" w:cs="Times New Roman"/>
                <w:sz w:val="21"/>
                <w:szCs w:val="21"/>
              </w:rPr>
              <w:t>元）</w:t>
            </w:r>
            <w:r w:rsidR="00630DD2" w:rsidRPr="00B4515A">
              <w:rPr>
                <w:rFonts w:ascii="Times New Roman" w:eastAsiaTheme="minorEastAsia" w:hAnsi="Times New Roman" w:cs="Times New Roman" w:hint="eastAsia"/>
                <w:sz w:val="21"/>
                <w:szCs w:val="21"/>
              </w:rPr>
              <w:t>；</w:t>
            </w:r>
          </w:p>
          <w:p w14:paraId="46DB0456" w14:textId="5001F5F8" w:rsidR="00630DD2" w:rsidRPr="00B4515A" w:rsidRDefault="00CA564D"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3</w:t>
            </w:r>
            <w:r w:rsidRPr="00B4515A">
              <w:rPr>
                <w:rFonts w:ascii="Times New Roman" w:eastAsiaTheme="minorEastAsia" w:hAnsi="Times New Roman" w:cs="Times New Roman"/>
                <w:sz w:val="21"/>
                <w:szCs w:val="21"/>
              </w:rPr>
              <w:t>、判令被告承担原告已支付的律师费人民币</w:t>
            </w:r>
            <w:r w:rsidRPr="00B4515A">
              <w:rPr>
                <w:rFonts w:ascii="Times New Roman" w:eastAsiaTheme="minorEastAsia" w:hAnsi="Times New Roman" w:cs="Times New Roman"/>
                <w:sz w:val="21"/>
                <w:szCs w:val="21"/>
              </w:rPr>
              <w:t>10,000</w:t>
            </w:r>
            <w:r w:rsidRPr="00B4515A">
              <w:rPr>
                <w:rFonts w:ascii="Times New Roman" w:eastAsiaTheme="minorEastAsia" w:hAnsi="Times New Roman" w:cs="Times New Roman"/>
                <w:sz w:val="21"/>
                <w:szCs w:val="21"/>
              </w:rPr>
              <w:t>元</w:t>
            </w:r>
            <w:r w:rsidR="00630DD2" w:rsidRPr="00B4515A">
              <w:rPr>
                <w:rFonts w:ascii="Times New Roman" w:eastAsiaTheme="minorEastAsia" w:hAnsi="Times New Roman" w:cs="Times New Roman" w:hint="eastAsia"/>
                <w:sz w:val="21"/>
                <w:szCs w:val="21"/>
              </w:rPr>
              <w:t>；</w:t>
            </w:r>
          </w:p>
          <w:p w14:paraId="18E05A33" w14:textId="4FC800FF" w:rsidR="00CA564D" w:rsidRPr="00B4515A" w:rsidRDefault="00CA564D" w:rsidP="005860B4">
            <w:pPr>
              <w:adjustRightInd w:val="0"/>
              <w:snapToGrid w:val="0"/>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4</w:t>
            </w:r>
            <w:r w:rsidRPr="00B4515A">
              <w:rPr>
                <w:rFonts w:ascii="Times New Roman" w:eastAsiaTheme="minorEastAsia" w:hAnsi="Times New Roman" w:cs="Times New Roman"/>
                <w:sz w:val="21"/>
                <w:szCs w:val="21"/>
              </w:rPr>
              <w:t>、判令被告承担本案诉讼费。</w:t>
            </w:r>
          </w:p>
        </w:tc>
        <w:tc>
          <w:tcPr>
            <w:tcW w:w="449" w:type="pct"/>
            <w:shd w:val="clear" w:color="auto" w:fill="auto"/>
            <w:tcMar>
              <w:top w:w="0" w:type="dxa"/>
              <w:left w:w="108" w:type="dxa"/>
              <w:bottom w:w="0" w:type="dxa"/>
              <w:right w:w="108" w:type="dxa"/>
            </w:tcMar>
            <w:vAlign w:val="center"/>
          </w:tcPr>
          <w:p w14:paraId="71F10368" w14:textId="25236F42" w:rsidR="00CA564D" w:rsidRPr="00B4515A" w:rsidRDefault="00CA564D"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已受理</w:t>
            </w:r>
          </w:p>
        </w:tc>
      </w:tr>
    </w:tbl>
    <w:p w14:paraId="3542D2C7" w14:textId="77777777" w:rsidR="006416B0" w:rsidRPr="00B4515A" w:rsidRDefault="005E58C1" w:rsidP="005860B4">
      <w:pPr>
        <w:pStyle w:val="003"/>
        <w:spacing w:before="120"/>
        <w:ind w:firstLine="482"/>
      </w:pPr>
      <w:r w:rsidRPr="00B4515A">
        <w:rPr>
          <w:rFonts w:hint="eastAsia"/>
        </w:rPr>
        <w:t>（二）行政处罚</w:t>
      </w:r>
    </w:p>
    <w:p w14:paraId="5F9CFC20" w14:textId="77777777" w:rsidR="006416B0" w:rsidRPr="00B4515A" w:rsidRDefault="005E58C1" w:rsidP="005860B4">
      <w:pPr>
        <w:pStyle w:val="005"/>
        <w:spacing w:before="120" w:after="120"/>
        <w:ind w:firstLine="480"/>
      </w:pPr>
      <w:r w:rsidRPr="00B4515A">
        <w:rPr>
          <w:rFonts w:hint="eastAsia"/>
        </w:rPr>
        <w:t>报告期内，大唐联诚受到的行政处罚情况如下：</w:t>
      </w:r>
    </w:p>
    <w:p w14:paraId="24813DAE" w14:textId="77777777" w:rsidR="006416B0" w:rsidRPr="00B4515A" w:rsidRDefault="005E58C1" w:rsidP="005860B4">
      <w:pPr>
        <w:pStyle w:val="005"/>
        <w:spacing w:before="120" w:after="120"/>
        <w:ind w:firstLine="480"/>
      </w:pPr>
      <w:r w:rsidRPr="00B4515A">
        <w:t>1</w:t>
      </w:r>
      <w:r w:rsidRPr="00B4515A">
        <w:rPr>
          <w:rFonts w:hint="eastAsia"/>
        </w:rPr>
        <w:t>、</w:t>
      </w:r>
      <w:r w:rsidRPr="00B4515A">
        <w:t>2018</w:t>
      </w:r>
      <w:r w:rsidRPr="00B4515A">
        <w:rPr>
          <w:rFonts w:hint="eastAsia"/>
        </w:rPr>
        <w:t>年</w:t>
      </w:r>
      <w:r w:rsidRPr="00B4515A">
        <w:t>12</w:t>
      </w:r>
      <w:r w:rsidRPr="00B4515A">
        <w:rPr>
          <w:rFonts w:hint="eastAsia"/>
        </w:rPr>
        <w:t>月</w:t>
      </w:r>
      <w:r w:rsidRPr="00B4515A">
        <w:t>26</w:t>
      </w:r>
      <w:r w:rsidRPr="00B4515A">
        <w:rPr>
          <w:rFonts w:hint="eastAsia"/>
        </w:rPr>
        <w:t>日，国家税务总局北京市海淀区税务局第一税务所出具《京海一税简罚〔</w:t>
      </w:r>
      <w:r w:rsidRPr="00B4515A">
        <w:t>2018</w:t>
      </w:r>
      <w:r w:rsidRPr="00B4515A">
        <w:rPr>
          <w:rFonts w:hint="eastAsia"/>
        </w:rPr>
        <w:t>〕</w:t>
      </w:r>
      <w:r w:rsidRPr="00B4515A">
        <w:t>5428</w:t>
      </w:r>
      <w:r w:rsidRPr="00B4515A">
        <w:rPr>
          <w:rFonts w:hint="eastAsia"/>
        </w:rPr>
        <w:t>号税务行政处罚决定书（简易）》，大唐联诚因丢失增值税普通发票</w:t>
      </w:r>
      <w:r w:rsidRPr="00B4515A">
        <w:t>1</w:t>
      </w:r>
      <w:r w:rsidRPr="00B4515A">
        <w:rPr>
          <w:rFonts w:hint="eastAsia"/>
        </w:rPr>
        <w:t>份，被处以罚款</w:t>
      </w:r>
      <w:r w:rsidRPr="00B4515A">
        <w:t>20</w:t>
      </w:r>
      <w:r w:rsidRPr="00B4515A">
        <w:rPr>
          <w:rFonts w:hint="eastAsia"/>
        </w:rPr>
        <w:t>元。</w:t>
      </w:r>
    </w:p>
    <w:p w14:paraId="0D27FED3" w14:textId="77777777" w:rsidR="006416B0" w:rsidRPr="00B4515A" w:rsidRDefault="005E58C1" w:rsidP="005860B4">
      <w:pPr>
        <w:pStyle w:val="005"/>
        <w:spacing w:before="120" w:after="120"/>
        <w:ind w:firstLine="480"/>
      </w:pPr>
      <w:r w:rsidRPr="00B4515A">
        <w:rPr>
          <w:rFonts w:hint="eastAsia"/>
        </w:rPr>
        <w:t>2</w:t>
      </w:r>
      <w:r w:rsidRPr="00B4515A">
        <w:rPr>
          <w:rFonts w:hint="eastAsia"/>
        </w:rPr>
        <w:t>、</w:t>
      </w:r>
      <w:r w:rsidRPr="00B4515A">
        <w:t>2019</w:t>
      </w:r>
      <w:r w:rsidRPr="00B4515A">
        <w:rPr>
          <w:rFonts w:hint="eastAsia"/>
        </w:rPr>
        <w:t>年</w:t>
      </w:r>
      <w:r w:rsidRPr="00B4515A">
        <w:t>1</w:t>
      </w:r>
      <w:r w:rsidRPr="00B4515A">
        <w:rPr>
          <w:rFonts w:hint="eastAsia"/>
        </w:rPr>
        <w:t>月</w:t>
      </w:r>
      <w:r w:rsidRPr="00B4515A">
        <w:t>8</w:t>
      </w:r>
      <w:r w:rsidRPr="00B4515A">
        <w:rPr>
          <w:rFonts w:hint="eastAsia"/>
        </w:rPr>
        <w:t>日，国家税务总局北京市海淀区税务局第一税务所出具《京海一税简罚〔</w:t>
      </w:r>
      <w:r w:rsidRPr="00B4515A">
        <w:t>2019</w:t>
      </w:r>
      <w:r w:rsidRPr="00B4515A">
        <w:rPr>
          <w:rFonts w:hint="eastAsia"/>
        </w:rPr>
        <w:t>〕</w:t>
      </w:r>
      <w:r w:rsidRPr="00B4515A">
        <w:t>166</w:t>
      </w:r>
      <w:r w:rsidRPr="00B4515A">
        <w:rPr>
          <w:rFonts w:hint="eastAsia"/>
        </w:rPr>
        <w:t>号税务行政处罚决定书（简易）》，大唐联诚因丢失增值税普通发票</w:t>
      </w:r>
      <w:r w:rsidRPr="00B4515A">
        <w:t>4</w:t>
      </w:r>
      <w:r w:rsidRPr="00B4515A">
        <w:rPr>
          <w:rFonts w:hint="eastAsia"/>
        </w:rPr>
        <w:t>份，被处以罚款</w:t>
      </w:r>
      <w:r w:rsidRPr="00B4515A">
        <w:t>80</w:t>
      </w:r>
      <w:r w:rsidRPr="00B4515A">
        <w:rPr>
          <w:rFonts w:hint="eastAsia"/>
        </w:rPr>
        <w:t>元。</w:t>
      </w:r>
    </w:p>
    <w:p w14:paraId="5267AA7C" w14:textId="77777777" w:rsidR="006416B0" w:rsidRPr="00B4515A" w:rsidRDefault="005E58C1" w:rsidP="005860B4">
      <w:pPr>
        <w:pStyle w:val="005"/>
        <w:spacing w:before="120" w:after="120"/>
        <w:ind w:firstLine="480"/>
      </w:pPr>
      <w:r w:rsidRPr="00B4515A">
        <w:rPr>
          <w:rFonts w:hint="eastAsia"/>
        </w:rPr>
        <w:lastRenderedPageBreak/>
        <w:t>3</w:t>
      </w:r>
      <w:r w:rsidRPr="00B4515A">
        <w:rPr>
          <w:rFonts w:hint="eastAsia"/>
        </w:rPr>
        <w:t>、</w:t>
      </w:r>
      <w:r w:rsidRPr="00B4515A">
        <w:t>2019</w:t>
      </w:r>
      <w:r w:rsidRPr="00B4515A">
        <w:rPr>
          <w:rFonts w:hint="eastAsia"/>
        </w:rPr>
        <w:t>年</w:t>
      </w:r>
      <w:r w:rsidRPr="00B4515A">
        <w:t>7</w:t>
      </w:r>
      <w:r w:rsidRPr="00B4515A">
        <w:rPr>
          <w:rFonts w:hint="eastAsia"/>
        </w:rPr>
        <w:t>月</w:t>
      </w:r>
      <w:r w:rsidRPr="00B4515A">
        <w:t>22</w:t>
      </w:r>
      <w:r w:rsidRPr="00B4515A">
        <w:rPr>
          <w:rFonts w:hint="eastAsia"/>
        </w:rPr>
        <w:t>日，国家税务总局北京市海淀区税务局第一税务所出具《京海一税简罚〔</w:t>
      </w:r>
      <w:r w:rsidRPr="00B4515A">
        <w:t>2019</w:t>
      </w:r>
      <w:r w:rsidRPr="00B4515A">
        <w:rPr>
          <w:rFonts w:hint="eastAsia"/>
        </w:rPr>
        <w:t>〕</w:t>
      </w:r>
      <w:r w:rsidRPr="00B4515A">
        <w:t>6020703</w:t>
      </w:r>
      <w:r w:rsidRPr="00B4515A">
        <w:rPr>
          <w:rFonts w:hint="eastAsia"/>
        </w:rPr>
        <w:t>号处罚决定书》，大唐联诚因丢失已开具的增值税普通发票</w:t>
      </w:r>
      <w:r w:rsidRPr="00B4515A">
        <w:t>1</w:t>
      </w:r>
      <w:r w:rsidRPr="00B4515A">
        <w:rPr>
          <w:rFonts w:hint="eastAsia"/>
        </w:rPr>
        <w:t>份，被处以罚款</w:t>
      </w:r>
      <w:r w:rsidRPr="00B4515A">
        <w:t>20</w:t>
      </w:r>
      <w:r w:rsidRPr="00B4515A">
        <w:rPr>
          <w:rFonts w:hint="eastAsia"/>
        </w:rPr>
        <w:t>元。</w:t>
      </w:r>
    </w:p>
    <w:p w14:paraId="6E043BF9" w14:textId="77777777" w:rsidR="006416B0" w:rsidRPr="00B4515A" w:rsidRDefault="005E58C1" w:rsidP="005860B4">
      <w:pPr>
        <w:pStyle w:val="005"/>
        <w:spacing w:before="120" w:after="120"/>
        <w:ind w:firstLine="480"/>
      </w:pPr>
      <w:r w:rsidRPr="00B4515A">
        <w:rPr>
          <w:rFonts w:hint="eastAsia"/>
        </w:rPr>
        <w:t>4</w:t>
      </w:r>
      <w:r w:rsidRPr="00B4515A">
        <w:rPr>
          <w:rFonts w:hint="eastAsia"/>
        </w:rPr>
        <w:t>、</w:t>
      </w:r>
      <w:r w:rsidRPr="00B4515A">
        <w:t>2019</w:t>
      </w:r>
      <w:r w:rsidRPr="00B4515A">
        <w:rPr>
          <w:rFonts w:hint="eastAsia"/>
        </w:rPr>
        <w:t>年</w:t>
      </w:r>
      <w:r w:rsidRPr="00B4515A">
        <w:t>8</w:t>
      </w:r>
      <w:r w:rsidRPr="00B4515A">
        <w:rPr>
          <w:rFonts w:hint="eastAsia"/>
        </w:rPr>
        <w:t>月</w:t>
      </w:r>
      <w:r w:rsidRPr="00B4515A">
        <w:t>22</w:t>
      </w:r>
      <w:r w:rsidRPr="00B4515A">
        <w:rPr>
          <w:rFonts w:hint="eastAsia"/>
        </w:rPr>
        <w:t>日，国家税务总局北京市海淀区税务局第一税务所出具《京海一税简罚〔</w:t>
      </w:r>
      <w:r w:rsidRPr="00B4515A">
        <w:t>2019</w:t>
      </w:r>
      <w:r w:rsidRPr="00B4515A">
        <w:rPr>
          <w:rFonts w:hint="eastAsia"/>
        </w:rPr>
        <w:t>〕</w:t>
      </w:r>
      <w:r w:rsidRPr="00B4515A">
        <w:t>6021393</w:t>
      </w:r>
      <w:r w:rsidRPr="00B4515A">
        <w:rPr>
          <w:rFonts w:hint="eastAsia"/>
        </w:rPr>
        <w:t>号处罚决定书》，大唐联诚因丢失已开具的增值税普通发票</w:t>
      </w:r>
      <w:r w:rsidRPr="00B4515A">
        <w:t>1</w:t>
      </w:r>
      <w:r w:rsidRPr="00B4515A">
        <w:rPr>
          <w:rFonts w:hint="eastAsia"/>
        </w:rPr>
        <w:t>份，被处以罚款</w:t>
      </w:r>
      <w:r w:rsidRPr="00B4515A">
        <w:t>20</w:t>
      </w:r>
      <w:r w:rsidRPr="00B4515A">
        <w:rPr>
          <w:rFonts w:hint="eastAsia"/>
        </w:rPr>
        <w:t>元。</w:t>
      </w:r>
    </w:p>
    <w:p w14:paraId="337DB2FF" w14:textId="77777777" w:rsidR="006416B0" w:rsidRPr="00B4515A" w:rsidRDefault="005E58C1" w:rsidP="005860B4">
      <w:pPr>
        <w:pStyle w:val="005"/>
        <w:spacing w:before="120" w:after="120"/>
        <w:ind w:firstLine="480"/>
      </w:pPr>
      <w:r w:rsidRPr="00B4515A">
        <w:rPr>
          <w:rFonts w:hint="eastAsia"/>
        </w:rPr>
        <w:t>大唐联诚上述罚款均已全额缴纳。</w:t>
      </w:r>
    </w:p>
    <w:p w14:paraId="7848BE12" w14:textId="77777777" w:rsidR="006416B0" w:rsidRPr="00B4515A" w:rsidRDefault="005E58C1" w:rsidP="005860B4">
      <w:pPr>
        <w:pStyle w:val="005"/>
        <w:spacing w:before="120" w:after="120"/>
        <w:ind w:firstLine="480"/>
      </w:pPr>
      <w:r w:rsidRPr="00B4515A">
        <w:rPr>
          <w:rFonts w:hint="eastAsia"/>
        </w:rPr>
        <w:t>根据《中华人民共和国发票管理办法》第三十六条</w:t>
      </w:r>
      <w:bookmarkStart w:id="208" w:name="tiao_36_kuan_1"/>
      <w:bookmarkEnd w:id="208"/>
      <w:r w:rsidRPr="00B4515A">
        <w:rPr>
          <w:rFonts w:hint="eastAsia"/>
        </w:rPr>
        <w:t>，跨规定的使用区域携带、邮寄、运输空白发票，以及携带、邮寄或者运输空白发票出入境的，由税务机关责令改正，可以处</w:t>
      </w:r>
      <w:r w:rsidRPr="00B4515A">
        <w:rPr>
          <w:rFonts w:hint="eastAsia"/>
        </w:rPr>
        <w:t>1</w:t>
      </w:r>
      <w:r w:rsidRPr="00B4515A">
        <w:rPr>
          <w:rFonts w:hint="eastAsia"/>
        </w:rPr>
        <w:t>万元以下的罚款；情节严重的，处</w:t>
      </w:r>
      <w:r w:rsidRPr="00B4515A">
        <w:rPr>
          <w:rFonts w:hint="eastAsia"/>
        </w:rPr>
        <w:t>1</w:t>
      </w:r>
      <w:r w:rsidRPr="00B4515A">
        <w:rPr>
          <w:rFonts w:hint="eastAsia"/>
        </w:rPr>
        <w:t>万元以上</w:t>
      </w:r>
      <w:r w:rsidRPr="00B4515A">
        <w:rPr>
          <w:rFonts w:hint="eastAsia"/>
        </w:rPr>
        <w:t>3</w:t>
      </w:r>
      <w:r w:rsidRPr="00B4515A">
        <w:rPr>
          <w:rFonts w:hint="eastAsia"/>
        </w:rPr>
        <w:t>万元以下的罚款；有违法所得的予以没收。</w:t>
      </w:r>
      <w:bookmarkStart w:id="209" w:name="tiao_36_kuan_2"/>
      <w:bookmarkEnd w:id="209"/>
      <w:r w:rsidRPr="00B4515A">
        <w:rPr>
          <w:rFonts w:hint="eastAsia"/>
        </w:rPr>
        <w:t>丢失发票或者擅自损毁发票的，依照前款规定处罚。大唐联诚因上述丢失增值税普通发票行为被处以</w:t>
      </w:r>
      <w:r w:rsidRPr="00B4515A">
        <w:rPr>
          <w:rFonts w:hint="eastAsia"/>
        </w:rPr>
        <w:t>2</w:t>
      </w:r>
      <w:r w:rsidRPr="00B4515A">
        <w:t>0</w:t>
      </w:r>
      <w:r w:rsidRPr="00B4515A">
        <w:rPr>
          <w:rFonts w:hint="eastAsia"/>
        </w:rPr>
        <w:t>元</w:t>
      </w:r>
      <w:r w:rsidRPr="00B4515A">
        <w:rPr>
          <w:rFonts w:hint="eastAsia"/>
        </w:rPr>
        <w:t>/</w:t>
      </w:r>
      <w:r w:rsidRPr="00B4515A">
        <w:rPr>
          <w:rFonts w:hint="eastAsia"/>
        </w:rPr>
        <w:t>张的罚款，不属于《中华人民共和国发票管理办法》三十六条中规定的情节严重的情形，不构成重大行政处罚。此外，大唐联诚于</w:t>
      </w:r>
      <w:r w:rsidRPr="00B4515A">
        <w:rPr>
          <w:rFonts w:hint="eastAsia"/>
        </w:rPr>
        <w:t>2</w:t>
      </w:r>
      <w:r w:rsidRPr="00B4515A">
        <w:t>019</w:t>
      </w:r>
      <w:r w:rsidRPr="00B4515A">
        <w:rPr>
          <w:rFonts w:hint="eastAsia"/>
        </w:rPr>
        <w:t>年</w:t>
      </w:r>
      <w:r w:rsidRPr="00B4515A">
        <w:rPr>
          <w:rFonts w:hint="eastAsia"/>
        </w:rPr>
        <w:t>1</w:t>
      </w:r>
      <w:r w:rsidRPr="00B4515A">
        <w:t>2</w:t>
      </w:r>
      <w:r w:rsidRPr="00B4515A">
        <w:rPr>
          <w:rFonts w:hint="eastAsia"/>
        </w:rPr>
        <w:t>月对《大唐联诚信息系统技术有限公司增值税发票管理办法》进行了修订完善，从制度上加强了对增值税发票的管理，上述税务处罚不会对本次交易构成实质性障碍。</w:t>
      </w:r>
    </w:p>
    <w:p w14:paraId="7E8C5C95" w14:textId="77777777" w:rsidR="005860B4" w:rsidRPr="00B4515A" w:rsidRDefault="005E58C1" w:rsidP="005860B4">
      <w:pPr>
        <w:pStyle w:val="005"/>
        <w:spacing w:before="120" w:after="120"/>
        <w:ind w:firstLine="480"/>
      </w:pPr>
      <w:r w:rsidRPr="00B4515A">
        <w:rPr>
          <w:rFonts w:hint="eastAsia"/>
        </w:rPr>
        <w:t>除以上行政处罚情形外，大唐联诚在报告期内未受到其他行政处罚。</w:t>
      </w:r>
    </w:p>
    <w:p w14:paraId="19B0A5CA" w14:textId="6F9FA33E" w:rsidR="006416B0" w:rsidRPr="00B4515A" w:rsidRDefault="006416B0" w:rsidP="005860B4">
      <w:pPr>
        <w:pStyle w:val="005"/>
        <w:spacing w:before="120" w:after="120"/>
        <w:ind w:firstLine="482"/>
        <w:rPr>
          <w:b/>
        </w:rPr>
      </w:pPr>
    </w:p>
    <w:p w14:paraId="28D4E391" w14:textId="16A96473" w:rsidR="006416B0" w:rsidRPr="00B4515A" w:rsidRDefault="008C1C67" w:rsidP="002B0582">
      <w:pPr>
        <w:pStyle w:val="001"/>
        <w:spacing w:before="360" w:after="360"/>
      </w:pPr>
      <w:bookmarkStart w:id="210" w:name="_Toc65492083"/>
      <w:bookmarkStart w:id="211" w:name="_Toc80960549"/>
      <w:r w:rsidRPr="00B4515A">
        <w:rPr>
          <w:rFonts w:hint="eastAsia"/>
        </w:rPr>
        <w:lastRenderedPageBreak/>
        <w:t>第五节</w:t>
      </w:r>
      <w:r w:rsidRPr="00B4515A">
        <w:rPr>
          <w:rFonts w:hint="eastAsia"/>
        </w:rPr>
        <w:t xml:space="preserve"> </w:t>
      </w:r>
      <w:r w:rsidR="005E58C1" w:rsidRPr="00B4515A">
        <w:rPr>
          <w:rFonts w:hint="eastAsia"/>
        </w:rPr>
        <w:t>发行股份情况</w:t>
      </w:r>
      <w:bookmarkEnd w:id="210"/>
      <w:bookmarkEnd w:id="211"/>
    </w:p>
    <w:p w14:paraId="0A2AF976" w14:textId="60174EEF" w:rsidR="006416B0" w:rsidRPr="00B4515A" w:rsidRDefault="008C1C67" w:rsidP="005860B4">
      <w:pPr>
        <w:pStyle w:val="002"/>
        <w:spacing w:before="120" w:after="120"/>
        <w:ind w:firstLine="562"/>
      </w:pPr>
      <w:bookmarkStart w:id="212" w:name="_Toc65414048"/>
      <w:bookmarkStart w:id="213" w:name="_Toc65492085"/>
      <w:bookmarkStart w:id="214" w:name="_Toc65414049"/>
      <w:bookmarkStart w:id="215" w:name="_Toc65492086"/>
      <w:bookmarkStart w:id="216" w:name="_Toc65414050"/>
      <w:bookmarkStart w:id="217" w:name="_Toc65492087"/>
      <w:bookmarkStart w:id="218" w:name="_Toc65414051"/>
      <w:bookmarkStart w:id="219" w:name="_Toc65492088"/>
      <w:bookmarkStart w:id="220" w:name="_Toc65414052"/>
      <w:bookmarkStart w:id="221" w:name="_Toc65492089"/>
      <w:bookmarkStart w:id="222" w:name="_Toc65414053"/>
      <w:bookmarkStart w:id="223" w:name="_Toc65492090"/>
      <w:bookmarkStart w:id="224" w:name="_Toc65414054"/>
      <w:bookmarkStart w:id="225" w:name="_Toc65492091"/>
      <w:bookmarkStart w:id="226" w:name="_Toc65414055"/>
      <w:bookmarkStart w:id="227" w:name="_Toc65492092"/>
      <w:bookmarkStart w:id="228" w:name="_Toc524"/>
      <w:bookmarkStart w:id="229" w:name="_Toc80960550"/>
      <w:bookmarkStart w:id="230" w:name="_Toc65492108"/>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B4515A">
        <w:rPr>
          <w:rFonts w:hint="eastAsia"/>
        </w:rPr>
        <w:t>一、</w:t>
      </w:r>
      <w:r w:rsidR="005E58C1" w:rsidRPr="00B4515A">
        <w:rPr>
          <w:rFonts w:hint="eastAsia"/>
        </w:rPr>
        <w:t>购买资产拟发行股份情况</w:t>
      </w:r>
      <w:bookmarkEnd w:id="228"/>
      <w:bookmarkEnd w:id="229"/>
    </w:p>
    <w:p w14:paraId="2DB0D7CB" w14:textId="77777777" w:rsidR="006416B0" w:rsidRPr="00B4515A" w:rsidRDefault="005E58C1" w:rsidP="005860B4">
      <w:pPr>
        <w:pStyle w:val="003"/>
        <w:spacing w:before="120"/>
        <w:ind w:firstLine="482"/>
      </w:pPr>
      <w:bookmarkStart w:id="231" w:name="_Hlk76933603"/>
      <w:bookmarkStart w:id="232" w:name="_Hlk76933491"/>
      <w:bookmarkStart w:id="233" w:name="_Hlk76933443"/>
      <w:r w:rsidRPr="00B4515A">
        <w:rPr>
          <w:rFonts w:hint="eastAsia"/>
        </w:rPr>
        <w:t>（一）发行股份的种类、面值</w:t>
      </w:r>
    </w:p>
    <w:p w14:paraId="74535BDD" w14:textId="77777777" w:rsidR="006416B0" w:rsidRPr="00B4515A" w:rsidRDefault="005E58C1" w:rsidP="005860B4">
      <w:pPr>
        <w:pStyle w:val="005"/>
        <w:spacing w:before="120" w:after="120"/>
        <w:ind w:firstLine="480"/>
      </w:pPr>
      <w:bookmarkStart w:id="234" w:name="_Hlk76933714"/>
      <w:r w:rsidRPr="00B4515A">
        <w:rPr>
          <w:rFonts w:hint="eastAsia"/>
        </w:rPr>
        <w:t>本次发行股份购买资产的股票种类为境内上市人民币普通股（</w:t>
      </w:r>
      <w:r w:rsidRPr="00B4515A">
        <w:t>A</w:t>
      </w:r>
      <w:r w:rsidRPr="00B4515A">
        <w:rPr>
          <w:rFonts w:hint="eastAsia"/>
        </w:rPr>
        <w:t>股），每股面值为人民币</w:t>
      </w:r>
      <w:r w:rsidRPr="00B4515A">
        <w:t>1.00</w:t>
      </w:r>
      <w:r w:rsidRPr="00B4515A">
        <w:rPr>
          <w:rFonts w:hint="eastAsia"/>
        </w:rPr>
        <w:t>元。</w:t>
      </w:r>
    </w:p>
    <w:bookmarkEnd w:id="234"/>
    <w:p w14:paraId="3CF81450" w14:textId="77777777" w:rsidR="006416B0" w:rsidRPr="00B4515A" w:rsidRDefault="005E58C1" w:rsidP="005860B4">
      <w:pPr>
        <w:pStyle w:val="003"/>
        <w:spacing w:before="120"/>
        <w:ind w:firstLine="482"/>
      </w:pPr>
      <w:r w:rsidRPr="00B4515A">
        <w:rPr>
          <w:rFonts w:hint="eastAsia"/>
        </w:rPr>
        <w:t>（二）定价基准日及发行价格</w:t>
      </w:r>
    </w:p>
    <w:p w14:paraId="1430119D" w14:textId="77777777" w:rsidR="006416B0" w:rsidRPr="00B4515A" w:rsidRDefault="005E58C1" w:rsidP="005860B4">
      <w:pPr>
        <w:pStyle w:val="005"/>
        <w:spacing w:before="120" w:after="120"/>
        <w:ind w:firstLine="480"/>
      </w:pPr>
      <w:bookmarkStart w:id="235" w:name="_Hlk76933735"/>
      <w:r w:rsidRPr="00B4515A">
        <w:rPr>
          <w:rFonts w:hint="eastAsia"/>
        </w:rPr>
        <w:t>本次发行股份购买资产的定价基准日为公司审议本次重组相关事项的第七届董事会第五十八次会议</w:t>
      </w:r>
      <w:r w:rsidRPr="00B4515A">
        <w:t>决议公告之日。</w:t>
      </w:r>
    </w:p>
    <w:p w14:paraId="132071A1" w14:textId="77777777" w:rsidR="006416B0" w:rsidRPr="00B4515A" w:rsidRDefault="005E58C1" w:rsidP="005860B4">
      <w:pPr>
        <w:pStyle w:val="005"/>
        <w:spacing w:before="120" w:after="120"/>
        <w:ind w:firstLine="480"/>
      </w:pPr>
      <w:r w:rsidRPr="00B4515A">
        <w:rPr>
          <w:rFonts w:hint="eastAsia"/>
        </w:rPr>
        <w:t>根据《重组管理办法》相关规定，上市公司发行股份的价格不得低于市场参考价的</w:t>
      </w:r>
      <w:r w:rsidRPr="00B4515A">
        <w:t>90%</w:t>
      </w:r>
      <w:r w:rsidRPr="00B4515A">
        <w:rPr>
          <w:rFonts w:hint="eastAsia"/>
        </w:rPr>
        <w:t>。市场参考价为定价基准日前</w:t>
      </w:r>
      <w:r w:rsidRPr="00B4515A">
        <w:t>20</w:t>
      </w:r>
      <w:r w:rsidRPr="00B4515A">
        <w:rPr>
          <w:rFonts w:hint="eastAsia"/>
        </w:rPr>
        <w:t>个交易日、</w:t>
      </w:r>
      <w:r w:rsidRPr="00B4515A">
        <w:t>60</w:t>
      </w:r>
      <w:r w:rsidRPr="00B4515A">
        <w:rPr>
          <w:rFonts w:hint="eastAsia"/>
        </w:rPr>
        <w:t>个交易日或者</w:t>
      </w:r>
      <w:r w:rsidRPr="00B4515A">
        <w:t>120</w:t>
      </w:r>
      <w:r w:rsidRPr="00B4515A">
        <w:rPr>
          <w:rFonts w:hint="eastAsia"/>
        </w:rPr>
        <w:t>个交易日的公司股票交易均价之一。定价基准日前若干个交易日公司股票交易均价＝定价基准日前若干个交易日公司股票交易总额</w:t>
      </w:r>
      <w:r w:rsidRPr="00B4515A">
        <w:t>/</w:t>
      </w:r>
      <w:r w:rsidRPr="00B4515A">
        <w:rPr>
          <w:rFonts w:hint="eastAsia"/>
        </w:rPr>
        <w:t>定价基准日前若干个交易日公司股票交易总量。</w:t>
      </w:r>
    </w:p>
    <w:p w14:paraId="5EB3ECCD" w14:textId="77777777" w:rsidR="006416B0" w:rsidRPr="00B4515A" w:rsidRDefault="005E58C1" w:rsidP="005860B4">
      <w:pPr>
        <w:pStyle w:val="005"/>
        <w:spacing w:before="120" w:after="120"/>
        <w:ind w:firstLine="480"/>
      </w:pPr>
      <w:r w:rsidRPr="00B4515A">
        <w:rPr>
          <w:rFonts w:hint="eastAsia"/>
        </w:rPr>
        <w:t>上市公司定价基准日前</w:t>
      </w:r>
      <w:r w:rsidRPr="00B4515A">
        <w:t>20</w:t>
      </w:r>
      <w:r w:rsidRPr="00B4515A">
        <w:rPr>
          <w:rFonts w:hint="eastAsia"/>
        </w:rPr>
        <w:t>个交易日、</w:t>
      </w:r>
      <w:r w:rsidRPr="00B4515A">
        <w:t>60</w:t>
      </w:r>
      <w:r w:rsidRPr="00B4515A">
        <w:rPr>
          <w:rFonts w:hint="eastAsia"/>
        </w:rPr>
        <w:t>个交易日、</w:t>
      </w:r>
      <w:r w:rsidRPr="00B4515A">
        <w:t>120</w:t>
      </w:r>
      <w:r w:rsidRPr="00B4515A">
        <w:rPr>
          <w:rFonts w:hint="eastAsia"/>
        </w:rPr>
        <w:t>个交易日</w:t>
      </w:r>
      <w:r w:rsidRPr="00B4515A">
        <w:t>A</w:t>
      </w:r>
      <w:r w:rsidRPr="00B4515A">
        <w:rPr>
          <w:rFonts w:hint="eastAsia"/>
        </w:rPr>
        <w:t>股股票交易均价具体情况如下表所示：</w:t>
      </w:r>
      <w:r w:rsidRPr="00B4515A">
        <w:t xml:space="preserve"> </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843"/>
        <w:gridCol w:w="2842"/>
        <w:gridCol w:w="2843"/>
      </w:tblGrid>
      <w:tr w:rsidR="006416B0" w:rsidRPr="00B4515A" w14:paraId="2A5745A7" w14:textId="77777777" w:rsidTr="00031627">
        <w:trPr>
          <w:trHeight w:val="340"/>
          <w:jc w:val="center"/>
        </w:trPr>
        <w:tc>
          <w:tcPr>
            <w:tcW w:w="2767" w:type="dxa"/>
            <w:tcMar>
              <w:top w:w="0" w:type="dxa"/>
              <w:left w:w="108" w:type="dxa"/>
              <w:bottom w:w="0" w:type="dxa"/>
              <w:right w:w="108" w:type="dxa"/>
            </w:tcMar>
            <w:vAlign w:val="center"/>
          </w:tcPr>
          <w:p w14:paraId="379060F8"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股票交易均价计算区间</w:t>
            </w:r>
          </w:p>
        </w:tc>
        <w:tc>
          <w:tcPr>
            <w:tcW w:w="2767" w:type="dxa"/>
            <w:tcMar>
              <w:top w:w="0" w:type="dxa"/>
              <w:left w:w="108" w:type="dxa"/>
              <w:bottom w:w="0" w:type="dxa"/>
              <w:right w:w="108" w:type="dxa"/>
            </w:tcMar>
            <w:vAlign w:val="center"/>
          </w:tcPr>
          <w:p w14:paraId="38E4E488"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交易均价（元</w:t>
            </w:r>
            <w:r w:rsidRPr="00B4515A">
              <w:rPr>
                <w:rFonts w:ascii="Times New Roman" w:hAnsi="Times New Roman" w:cs="Times New Roman"/>
                <w:b/>
                <w:bCs/>
                <w:sz w:val="21"/>
                <w:szCs w:val="21"/>
              </w:rPr>
              <w:t>/</w:t>
            </w:r>
            <w:r w:rsidRPr="00B4515A">
              <w:rPr>
                <w:rFonts w:ascii="Times New Roman" w:hAnsi="Times New Roman" w:cs="Times New Roman" w:hint="eastAsia"/>
                <w:b/>
                <w:bCs/>
                <w:sz w:val="21"/>
                <w:szCs w:val="21"/>
              </w:rPr>
              <w:t>股）</w:t>
            </w:r>
          </w:p>
        </w:tc>
        <w:tc>
          <w:tcPr>
            <w:tcW w:w="2768" w:type="dxa"/>
            <w:tcMar>
              <w:top w:w="0" w:type="dxa"/>
              <w:left w:w="108" w:type="dxa"/>
              <w:bottom w:w="0" w:type="dxa"/>
              <w:right w:w="108" w:type="dxa"/>
            </w:tcMar>
            <w:vAlign w:val="center"/>
          </w:tcPr>
          <w:p w14:paraId="40201876"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交易均价的</w:t>
            </w:r>
            <w:r w:rsidRPr="00B4515A">
              <w:rPr>
                <w:rFonts w:ascii="Times New Roman" w:hAnsi="Times New Roman" w:cs="Times New Roman"/>
                <w:b/>
                <w:bCs/>
                <w:sz w:val="21"/>
                <w:szCs w:val="21"/>
              </w:rPr>
              <w:t>90%</w:t>
            </w:r>
            <w:r w:rsidRPr="00B4515A">
              <w:rPr>
                <w:rFonts w:ascii="Times New Roman" w:hAnsi="Times New Roman" w:cs="Times New Roman" w:hint="eastAsia"/>
                <w:b/>
                <w:bCs/>
                <w:sz w:val="21"/>
                <w:szCs w:val="21"/>
              </w:rPr>
              <w:t>（元</w:t>
            </w:r>
            <w:r w:rsidRPr="00B4515A">
              <w:rPr>
                <w:rFonts w:ascii="Times New Roman" w:hAnsi="Times New Roman" w:cs="Times New Roman"/>
                <w:b/>
                <w:bCs/>
                <w:sz w:val="21"/>
                <w:szCs w:val="21"/>
              </w:rPr>
              <w:t>/</w:t>
            </w:r>
            <w:r w:rsidRPr="00B4515A">
              <w:rPr>
                <w:rFonts w:ascii="Times New Roman" w:hAnsi="Times New Roman" w:cs="Times New Roman" w:hint="eastAsia"/>
                <w:b/>
                <w:bCs/>
                <w:sz w:val="21"/>
                <w:szCs w:val="21"/>
              </w:rPr>
              <w:t>股）</w:t>
            </w:r>
          </w:p>
        </w:tc>
      </w:tr>
      <w:tr w:rsidR="006416B0" w:rsidRPr="00B4515A" w14:paraId="6B335BB0" w14:textId="77777777" w:rsidTr="00031627">
        <w:trPr>
          <w:trHeight w:val="340"/>
          <w:jc w:val="center"/>
        </w:trPr>
        <w:tc>
          <w:tcPr>
            <w:tcW w:w="2767" w:type="dxa"/>
            <w:tcMar>
              <w:top w:w="0" w:type="dxa"/>
              <w:left w:w="108" w:type="dxa"/>
              <w:bottom w:w="0" w:type="dxa"/>
              <w:right w:w="108" w:type="dxa"/>
            </w:tcMar>
            <w:vAlign w:val="center"/>
          </w:tcPr>
          <w:p w14:paraId="7117E8E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前</w:t>
            </w:r>
            <w:r w:rsidRPr="00B4515A">
              <w:rPr>
                <w:rFonts w:ascii="Times New Roman" w:hAnsi="Times New Roman" w:cs="Times New Roman"/>
                <w:sz w:val="21"/>
                <w:szCs w:val="21"/>
              </w:rPr>
              <w:t>20</w:t>
            </w:r>
            <w:r w:rsidRPr="00B4515A">
              <w:rPr>
                <w:rFonts w:ascii="Times New Roman" w:hAnsi="Times New Roman" w:cs="Times New Roman" w:hint="eastAsia"/>
                <w:sz w:val="21"/>
                <w:szCs w:val="21"/>
              </w:rPr>
              <w:t>个交易日</w:t>
            </w:r>
          </w:p>
        </w:tc>
        <w:tc>
          <w:tcPr>
            <w:tcW w:w="2767" w:type="dxa"/>
            <w:tcMar>
              <w:top w:w="0" w:type="dxa"/>
              <w:left w:w="108" w:type="dxa"/>
              <w:bottom w:w="0" w:type="dxa"/>
              <w:right w:w="108" w:type="dxa"/>
            </w:tcMar>
            <w:vAlign w:val="center"/>
          </w:tcPr>
          <w:p w14:paraId="3D4E48C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6.54</w:t>
            </w:r>
          </w:p>
        </w:tc>
        <w:tc>
          <w:tcPr>
            <w:tcW w:w="2768" w:type="dxa"/>
            <w:tcMar>
              <w:top w:w="0" w:type="dxa"/>
              <w:left w:w="108" w:type="dxa"/>
              <w:bottom w:w="0" w:type="dxa"/>
              <w:right w:w="108" w:type="dxa"/>
            </w:tcMar>
            <w:vAlign w:val="center"/>
          </w:tcPr>
          <w:p w14:paraId="7F4A949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color w:val="000000"/>
                <w:sz w:val="21"/>
                <w:szCs w:val="21"/>
              </w:rPr>
              <w:t>5.886</w:t>
            </w:r>
          </w:p>
        </w:tc>
      </w:tr>
      <w:tr w:rsidR="006416B0" w:rsidRPr="00B4515A" w14:paraId="1CA8BA1E" w14:textId="77777777" w:rsidTr="00031627">
        <w:trPr>
          <w:trHeight w:val="340"/>
          <w:jc w:val="center"/>
        </w:trPr>
        <w:tc>
          <w:tcPr>
            <w:tcW w:w="2767" w:type="dxa"/>
            <w:tcMar>
              <w:top w:w="0" w:type="dxa"/>
              <w:left w:w="108" w:type="dxa"/>
              <w:bottom w:w="0" w:type="dxa"/>
              <w:right w:w="108" w:type="dxa"/>
            </w:tcMar>
            <w:vAlign w:val="center"/>
          </w:tcPr>
          <w:p w14:paraId="2C51727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前</w:t>
            </w:r>
            <w:r w:rsidRPr="00B4515A">
              <w:rPr>
                <w:rFonts w:ascii="Times New Roman" w:hAnsi="Times New Roman" w:cs="Times New Roman"/>
                <w:sz w:val="21"/>
                <w:szCs w:val="21"/>
              </w:rPr>
              <w:t>60</w:t>
            </w:r>
            <w:r w:rsidRPr="00B4515A">
              <w:rPr>
                <w:rFonts w:ascii="Times New Roman" w:hAnsi="Times New Roman" w:cs="Times New Roman" w:hint="eastAsia"/>
                <w:sz w:val="21"/>
                <w:szCs w:val="21"/>
              </w:rPr>
              <w:t>个交易日</w:t>
            </w:r>
          </w:p>
        </w:tc>
        <w:tc>
          <w:tcPr>
            <w:tcW w:w="2767" w:type="dxa"/>
            <w:tcMar>
              <w:top w:w="0" w:type="dxa"/>
              <w:left w:w="108" w:type="dxa"/>
              <w:bottom w:w="0" w:type="dxa"/>
              <w:right w:w="108" w:type="dxa"/>
            </w:tcMar>
            <w:vAlign w:val="center"/>
          </w:tcPr>
          <w:p w14:paraId="4BA0042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6.49</w:t>
            </w:r>
          </w:p>
        </w:tc>
        <w:tc>
          <w:tcPr>
            <w:tcW w:w="2768" w:type="dxa"/>
            <w:tcMar>
              <w:top w:w="0" w:type="dxa"/>
              <w:left w:w="108" w:type="dxa"/>
              <w:bottom w:w="0" w:type="dxa"/>
              <w:right w:w="108" w:type="dxa"/>
            </w:tcMar>
            <w:vAlign w:val="center"/>
          </w:tcPr>
          <w:p w14:paraId="54CB773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color w:val="000000"/>
                <w:sz w:val="21"/>
                <w:szCs w:val="21"/>
              </w:rPr>
              <w:t>5.841</w:t>
            </w:r>
          </w:p>
        </w:tc>
      </w:tr>
      <w:tr w:rsidR="006416B0" w:rsidRPr="00B4515A" w14:paraId="55B0E021" w14:textId="77777777" w:rsidTr="00031627">
        <w:trPr>
          <w:trHeight w:val="340"/>
          <w:jc w:val="center"/>
        </w:trPr>
        <w:tc>
          <w:tcPr>
            <w:tcW w:w="2767" w:type="dxa"/>
            <w:tcMar>
              <w:top w:w="0" w:type="dxa"/>
              <w:left w:w="108" w:type="dxa"/>
              <w:bottom w:w="0" w:type="dxa"/>
              <w:right w:w="108" w:type="dxa"/>
            </w:tcMar>
            <w:vAlign w:val="center"/>
          </w:tcPr>
          <w:p w14:paraId="0FF8DB8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前</w:t>
            </w:r>
            <w:r w:rsidRPr="00B4515A">
              <w:rPr>
                <w:rFonts w:ascii="Times New Roman" w:hAnsi="Times New Roman" w:cs="Times New Roman"/>
                <w:sz w:val="21"/>
                <w:szCs w:val="21"/>
              </w:rPr>
              <w:t>120</w:t>
            </w:r>
            <w:r w:rsidRPr="00B4515A">
              <w:rPr>
                <w:rFonts w:ascii="Times New Roman" w:hAnsi="Times New Roman" w:cs="Times New Roman" w:hint="eastAsia"/>
                <w:sz w:val="21"/>
                <w:szCs w:val="21"/>
              </w:rPr>
              <w:t>个交易日</w:t>
            </w:r>
          </w:p>
        </w:tc>
        <w:tc>
          <w:tcPr>
            <w:tcW w:w="2767" w:type="dxa"/>
            <w:tcMar>
              <w:top w:w="0" w:type="dxa"/>
              <w:left w:w="108" w:type="dxa"/>
              <w:bottom w:w="0" w:type="dxa"/>
              <w:right w:w="108" w:type="dxa"/>
            </w:tcMar>
            <w:vAlign w:val="center"/>
          </w:tcPr>
          <w:p w14:paraId="590AA09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8.60</w:t>
            </w:r>
          </w:p>
        </w:tc>
        <w:tc>
          <w:tcPr>
            <w:tcW w:w="2768" w:type="dxa"/>
            <w:tcMar>
              <w:top w:w="0" w:type="dxa"/>
              <w:left w:w="108" w:type="dxa"/>
              <w:bottom w:w="0" w:type="dxa"/>
              <w:right w:w="108" w:type="dxa"/>
            </w:tcMar>
            <w:vAlign w:val="center"/>
          </w:tcPr>
          <w:p w14:paraId="07BF6C7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color w:val="000000"/>
                <w:sz w:val="21"/>
                <w:szCs w:val="21"/>
              </w:rPr>
              <w:t>7.740</w:t>
            </w:r>
          </w:p>
        </w:tc>
      </w:tr>
    </w:tbl>
    <w:p w14:paraId="7D933617" w14:textId="77777777" w:rsidR="006416B0" w:rsidRPr="00B4515A" w:rsidRDefault="005E58C1" w:rsidP="005860B4">
      <w:pPr>
        <w:pStyle w:val="005"/>
        <w:spacing w:before="120" w:after="120"/>
        <w:ind w:firstLine="480"/>
      </w:pPr>
      <w:r w:rsidRPr="00B4515A">
        <w:rPr>
          <w:rFonts w:hint="eastAsia"/>
        </w:rPr>
        <w:t>本次发行股份购买资产的发行价格为</w:t>
      </w:r>
      <w:r w:rsidRPr="00B4515A">
        <w:t>5.85</w:t>
      </w:r>
      <w:r w:rsidRPr="00B4515A">
        <w:rPr>
          <w:rFonts w:hint="eastAsia"/>
        </w:rPr>
        <w:t>元</w:t>
      </w:r>
      <w:r w:rsidRPr="00B4515A">
        <w:t>/</w:t>
      </w:r>
      <w:r w:rsidRPr="00B4515A">
        <w:rPr>
          <w:rFonts w:hint="eastAsia"/>
        </w:rPr>
        <w:t>股，不低于定价基准日前</w:t>
      </w:r>
      <w:r w:rsidRPr="00B4515A">
        <w:t>60</w:t>
      </w:r>
      <w:r w:rsidRPr="00B4515A">
        <w:rPr>
          <w:rFonts w:hint="eastAsia"/>
        </w:rPr>
        <w:t>个交易日上市公司股票交易均价的</w:t>
      </w:r>
      <w:r w:rsidRPr="00B4515A">
        <w:t>90%</w:t>
      </w:r>
      <w:r w:rsidRPr="00B4515A">
        <w:rPr>
          <w:rFonts w:hint="eastAsia"/>
        </w:rPr>
        <w:t>。</w:t>
      </w:r>
    </w:p>
    <w:p w14:paraId="138F03F9" w14:textId="77777777" w:rsidR="006416B0" w:rsidRPr="00B4515A" w:rsidRDefault="005E58C1" w:rsidP="005860B4">
      <w:pPr>
        <w:pStyle w:val="005"/>
        <w:spacing w:before="120" w:after="120"/>
        <w:ind w:firstLine="480"/>
      </w:pPr>
      <w:r w:rsidRPr="00B4515A">
        <w:rPr>
          <w:rFonts w:hint="eastAsia"/>
        </w:rPr>
        <w:t>在本次交易定价基准日至本次交易完成日期间，若上市公司发生派息、送红股、转增股本、增发新股或配股等除权、除息事项，则发行价格将按照法律法规及上交所的相关规定做相应调整。调整公式具体如下：</w:t>
      </w:r>
    </w:p>
    <w:p w14:paraId="7098256C" w14:textId="77777777" w:rsidR="006416B0" w:rsidRPr="00B4515A" w:rsidRDefault="005E58C1" w:rsidP="005860B4">
      <w:pPr>
        <w:pStyle w:val="005"/>
        <w:spacing w:before="120" w:after="120"/>
        <w:ind w:firstLine="480"/>
      </w:pPr>
      <w:r w:rsidRPr="00B4515A">
        <w:rPr>
          <w:rFonts w:hint="eastAsia"/>
        </w:rPr>
        <w:t>当送红股或转增股本时，按如下公式调整：</w:t>
      </w:r>
      <w:r w:rsidRPr="00B4515A">
        <w:t xml:space="preserve">P1=P0/(1+N) </w:t>
      </w:r>
    </w:p>
    <w:p w14:paraId="17E08265" w14:textId="77777777" w:rsidR="006416B0" w:rsidRPr="00B4515A" w:rsidRDefault="005E58C1" w:rsidP="005860B4">
      <w:pPr>
        <w:pStyle w:val="005"/>
        <w:spacing w:before="120" w:after="120"/>
        <w:ind w:firstLine="480"/>
      </w:pPr>
      <w:r w:rsidRPr="00B4515A">
        <w:rPr>
          <w:rFonts w:hint="eastAsia"/>
        </w:rPr>
        <w:t>当配股时，按如下公式调整：</w:t>
      </w:r>
      <w:r w:rsidRPr="00B4515A">
        <w:t>P1=</w:t>
      </w:r>
      <w:r w:rsidRPr="00B4515A">
        <w:rPr>
          <w:rFonts w:hint="eastAsia"/>
        </w:rPr>
        <w:t>（</w:t>
      </w:r>
      <w:r w:rsidRPr="00B4515A">
        <w:t>P0+A</w:t>
      </w:r>
      <w:r w:rsidRPr="00B4515A">
        <w:rPr>
          <w:rFonts w:hint="eastAsia"/>
        </w:rPr>
        <w:t>×</w:t>
      </w:r>
      <w:r w:rsidRPr="00B4515A">
        <w:t>K</w:t>
      </w:r>
      <w:r w:rsidRPr="00B4515A">
        <w:rPr>
          <w:rFonts w:hint="eastAsia"/>
        </w:rPr>
        <w:t>）</w:t>
      </w:r>
      <w:r w:rsidRPr="00B4515A">
        <w:t>/(1+K)</w:t>
      </w:r>
    </w:p>
    <w:p w14:paraId="1AF70E5F" w14:textId="77777777" w:rsidR="006416B0" w:rsidRPr="00B4515A" w:rsidRDefault="005E58C1" w:rsidP="005860B4">
      <w:pPr>
        <w:pStyle w:val="005"/>
        <w:spacing w:before="120" w:after="120"/>
        <w:ind w:firstLine="480"/>
      </w:pPr>
      <w:r w:rsidRPr="00B4515A">
        <w:rPr>
          <w:rFonts w:hint="eastAsia"/>
        </w:rPr>
        <w:lastRenderedPageBreak/>
        <w:t>上述两项同时进行时，按如下公式调整：</w:t>
      </w:r>
      <w:r w:rsidRPr="00B4515A">
        <w:t>P1=(P0+A</w:t>
      </w:r>
      <w:r w:rsidRPr="00B4515A">
        <w:rPr>
          <w:rFonts w:hint="eastAsia"/>
        </w:rPr>
        <w:t>×</w:t>
      </w:r>
      <w:r w:rsidRPr="00B4515A">
        <w:t>K</w:t>
      </w:r>
      <w:r w:rsidRPr="00B4515A">
        <w:rPr>
          <w:rFonts w:hint="eastAsia"/>
        </w:rPr>
        <w:t>）</w:t>
      </w:r>
      <w:r w:rsidRPr="00B4515A">
        <w:t>/(1+N+K)</w:t>
      </w:r>
    </w:p>
    <w:p w14:paraId="12EF1666" w14:textId="77777777" w:rsidR="006416B0" w:rsidRPr="00B4515A" w:rsidRDefault="005E58C1" w:rsidP="005860B4">
      <w:pPr>
        <w:pStyle w:val="005"/>
        <w:spacing w:before="120" w:after="120"/>
        <w:ind w:firstLine="480"/>
      </w:pPr>
      <w:r w:rsidRPr="00B4515A">
        <w:rPr>
          <w:rFonts w:hint="eastAsia"/>
        </w:rPr>
        <w:t>当派发现金股利时，按如下公式调整：</w:t>
      </w:r>
      <w:r w:rsidRPr="00B4515A">
        <w:t>P1=P0-D</w:t>
      </w:r>
    </w:p>
    <w:p w14:paraId="793B1042" w14:textId="77777777" w:rsidR="006416B0" w:rsidRPr="00B4515A" w:rsidRDefault="005E58C1" w:rsidP="005860B4">
      <w:pPr>
        <w:pStyle w:val="005"/>
        <w:spacing w:before="120" w:after="120"/>
        <w:ind w:firstLine="480"/>
      </w:pPr>
      <w:r w:rsidRPr="00B4515A">
        <w:rPr>
          <w:rFonts w:hint="eastAsia"/>
        </w:rPr>
        <w:t>当上述三项同时进行时，按如下公式调整：</w:t>
      </w:r>
      <w:r w:rsidRPr="00B4515A">
        <w:t>P1=(P0-D+A</w:t>
      </w:r>
      <w:r w:rsidRPr="00B4515A">
        <w:rPr>
          <w:rFonts w:hint="eastAsia"/>
        </w:rPr>
        <w:t>×</w:t>
      </w:r>
      <w:r w:rsidRPr="00B4515A">
        <w:t>K)/(1+N+K)</w:t>
      </w:r>
    </w:p>
    <w:p w14:paraId="69EB9F92" w14:textId="7646095A" w:rsidR="006416B0" w:rsidRPr="00B4515A" w:rsidRDefault="005E58C1" w:rsidP="002B0582">
      <w:pPr>
        <w:pStyle w:val="005"/>
        <w:spacing w:before="120" w:after="120"/>
        <w:ind w:firstLine="480"/>
      </w:pPr>
      <w:r w:rsidRPr="00B4515A">
        <w:rPr>
          <w:rFonts w:hint="eastAsia"/>
        </w:rPr>
        <w:t>其中</w:t>
      </w:r>
      <w:r w:rsidR="00774A19" w:rsidRPr="00B4515A">
        <w:rPr>
          <w:rFonts w:hint="eastAsia"/>
        </w:rPr>
        <w:t>：</w:t>
      </w:r>
    </w:p>
    <w:p w14:paraId="0F559DF3" w14:textId="77777777" w:rsidR="006416B0" w:rsidRPr="00B4515A" w:rsidRDefault="005E58C1" w:rsidP="005860B4">
      <w:pPr>
        <w:pStyle w:val="005"/>
        <w:spacing w:before="120" w:after="120"/>
        <w:ind w:firstLine="480"/>
      </w:pPr>
      <w:r w:rsidRPr="00B4515A">
        <w:t xml:space="preserve">P0 </w:t>
      </w:r>
      <w:r w:rsidRPr="00B4515A">
        <w:rPr>
          <w:rFonts w:hint="eastAsia"/>
        </w:rPr>
        <w:t>为调整前有效的发行价格</w:t>
      </w:r>
    </w:p>
    <w:p w14:paraId="62993B0F" w14:textId="77777777" w:rsidR="006416B0" w:rsidRPr="00B4515A" w:rsidRDefault="005E58C1" w:rsidP="005860B4">
      <w:pPr>
        <w:pStyle w:val="005"/>
        <w:spacing w:before="120" w:after="120"/>
        <w:ind w:firstLine="480"/>
      </w:pPr>
      <w:r w:rsidRPr="00B4515A">
        <w:t xml:space="preserve">P1 </w:t>
      </w:r>
      <w:r w:rsidRPr="00B4515A">
        <w:rPr>
          <w:rFonts w:hint="eastAsia"/>
        </w:rPr>
        <w:t>为调整后有效的发行价格</w:t>
      </w:r>
    </w:p>
    <w:p w14:paraId="2B7B88BD" w14:textId="77777777" w:rsidR="006416B0" w:rsidRPr="00B4515A" w:rsidRDefault="005E58C1" w:rsidP="005860B4">
      <w:pPr>
        <w:pStyle w:val="005"/>
        <w:spacing w:before="120" w:after="120"/>
        <w:ind w:firstLine="480"/>
      </w:pPr>
      <w:r w:rsidRPr="00B4515A">
        <w:t xml:space="preserve">D </w:t>
      </w:r>
      <w:r w:rsidRPr="00B4515A">
        <w:rPr>
          <w:rFonts w:hint="eastAsia"/>
        </w:rPr>
        <w:t>为该次每股派发现金股利</w:t>
      </w:r>
    </w:p>
    <w:p w14:paraId="3D398FC7" w14:textId="77E1AEDD" w:rsidR="006416B0" w:rsidRPr="00B4515A" w:rsidRDefault="005E58C1" w:rsidP="002B0582">
      <w:pPr>
        <w:pStyle w:val="005"/>
        <w:spacing w:before="120" w:after="120"/>
        <w:ind w:firstLine="480"/>
      </w:pPr>
      <w:r w:rsidRPr="00B4515A">
        <w:t xml:space="preserve">N </w:t>
      </w:r>
      <w:r w:rsidRPr="00B4515A">
        <w:rPr>
          <w:rFonts w:hint="eastAsia"/>
        </w:rPr>
        <w:t>为该次送股率或转增股本率</w:t>
      </w:r>
    </w:p>
    <w:p w14:paraId="644DAC51" w14:textId="77777777" w:rsidR="006416B0" w:rsidRPr="00B4515A" w:rsidRDefault="005E58C1" w:rsidP="005860B4">
      <w:pPr>
        <w:pStyle w:val="005"/>
        <w:spacing w:before="120" w:after="120"/>
        <w:ind w:firstLine="480"/>
      </w:pPr>
      <w:r w:rsidRPr="00B4515A">
        <w:t xml:space="preserve">K </w:t>
      </w:r>
      <w:r w:rsidRPr="00B4515A">
        <w:rPr>
          <w:rFonts w:hint="eastAsia"/>
        </w:rPr>
        <w:t>为配股率</w:t>
      </w:r>
    </w:p>
    <w:p w14:paraId="12D89644" w14:textId="77777777" w:rsidR="006416B0" w:rsidRPr="00B4515A" w:rsidRDefault="005E58C1" w:rsidP="005860B4">
      <w:pPr>
        <w:pStyle w:val="005"/>
        <w:spacing w:before="120" w:after="120"/>
        <w:ind w:firstLine="480"/>
      </w:pPr>
      <w:r w:rsidRPr="00B4515A">
        <w:t xml:space="preserve">A </w:t>
      </w:r>
      <w:r w:rsidRPr="00B4515A">
        <w:rPr>
          <w:rFonts w:hint="eastAsia"/>
        </w:rPr>
        <w:t>为配股价</w:t>
      </w:r>
    </w:p>
    <w:bookmarkEnd w:id="235"/>
    <w:p w14:paraId="1A096554" w14:textId="77777777" w:rsidR="006416B0" w:rsidRPr="00B4515A" w:rsidRDefault="005E58C1" w:rsidP="005860B4">
      <w:pPr>
        <w:pStyle w:val="003"/>
        <w:spacing w:before="120"/>
        <w:ind w:firstLine="482"/>
      </w:pPr>
      <w:r w:rsidRPr="00B4515A">
        <w:rPr>
          <w:rFonts w:hint="eastAsia"/>
        </w:rPr>
        <w:t>（三）发行对象与认购方式</w:t>
      </w:r>
    </w:p>
    <w:p w14:paraId="75810AF3" w14:textId="4F7EA6A6" w:rsidR="006416B0" w:rsidRPr="00B4515A" w:rsidRDefault="005E58C1" w:rsidP="005860B4">
      <w:pPr>
        <w:pStyle w:val="005"/>
        <w:spacing w:before="120" w:after="120"/>
        <w:ind w:firstLine="480"/>
      </w:pPr>
      <w:bookmarkStart w:id="236" w:name="_Hlk76933757"/>
      <w:r w:rsidRPr="00B4515A">
        <w:rPr>
          <w:rFonts w:hint="eastAsia"/>
        </w:rPr>
        <w:t>本次发行股份购买资产的发行对象为电信科研院、大唐控股、</w:t>
      </w:r>
      <w:r w:rsidR="00252376" w:rsidRPr="00B4515A">
        <w:rPr>
          <w:rFonts w:hint="eastAsia"/>
        </w:rPr>
        <w:t>长江移动基金</w:t>
      </w:r>
      <w:r w:rsidRPr="00B4515A">
        <w:rPr>
          <w:rFonts w:hint="eastAsia"/>
        </w:rPr>
        <w:t>、结构调整基金和金融街资本，发行对象以其分别持有的标的公司股权</w:t>
      </w:r>
      <w:r w:rsidRPr="00B4515A">
        <w:t>认购本次发行的股份。</w:t>
      </w:r>
    </w:p>
    <w:bookmarkEnd w:id="236"/>
    <w:p w14:paraId="728DF865" w14:textId="77777777" w:rsidR="006416B0" w:rsidRPr="00B4515A" w:rsidRDefault="005E58C1" w:rsidP="005860B4">
      <w:pPr>
        <w:pStyle w:val="003"/>
        <w:spacing w:before="120"/>
        <w:ind w:firstLine="482"/>
      </w:pPr>
      <w:r w:rsidRPr="00B4515A">
        <w:rPr>
          <w:rFonts w:hint="eastAsia"/>
        </w:rPr>
        <w:t>（四）发行数量</w:t>
      </w:r>
    </w:p>
    <w:p w14:paraId="4B7F3F17" w14:textId="77777777" w:rsidR="006416B0" w:rsidRPr="00B4515A" w:rsidRDefault="005E58C1" w:rsidP="005860B4">
      <w:pPr>
        <w:pStyle w:val="005"/>
        <w:spacing w:before="120" w:after="120"/>
        <w:ind w:firstLine="480"/>
      </w:pPr>
      <w:bookmarkStart w:id="237" w:name="_Hlk76933787"/>
      <w:r w:rsidRPr="00B4515A">
        <w:rPr>
          <w:rFonts w:hint="eastAsia"/>
        </w:rPr>
        <w:t>本次发行股份购买资产的发行股份数量应按照以下公式进行计算：</w:t>
      </w:r>
    </w:p>
    <w:p w14:paraId="6BA42DB2" w14:textId="77777777" w:rsidR="006416B0" w:rsidRPr="00B4515A" w:rsidRDefault="005E58C1" w:rsidP="005860B4">
      <w:pPr>
        <w:pStyle w:val="005"/>
        <w:spacing w:before="120" w:after="120"/>
        <w:ind w:firstLine="480"/>
      </w:pPr>
      <w:r w:rsidRPr="00B4515A">
        <w:rPr>
          <w:rFonts w:hint="eastAsia"/>
        </w:rPr>
        <w:t>本次发行股份购买资产向各交易对方发行的股份数量</w:t>
      </w:r>
      <w:r w:rsidRPr="00B4515A">
        <w:t>=</w:t>
      </w:r>
      <w:r w:rsidRPr="00B4515A">
        <w:rPr>
          <w:rFonts w:hint="eastAsia"/>
        </w:rPr>
        <w:t>以发行股份形式向各交易对方支付的交易对价（具体为标的标的公司评估值与各交易对方分别在本次交易前持有标的公司股权的比例乘积）</w:t>
      </w:r>
      <w:r w:rsidRPr="00B4515A">
        <w:t>/</w:t>
      </w:r>
      <w:r w:rsidRPr="00B4515A">
        <w:rPr>
          <w:rFonts w:hint="eastAsia"/>
        </w:rPr>
        <w:t>本次发行股份购买资产的发行价格；本次发行股份购买资产所发行股份的总数量</w:t>
      </w:r>
      <w:r w:rsidRPr="00B4515A">
        <w:t>=</w:t>
      </w:r>
      <w:r w:rsidRPr="00B4515A">
        <w:rPr>
          <w:rFonts w:hint="eastAsia"/>
        </w:rPr>
        <w:t>向各交易对方发行股份数量之和。</w:t>
      </w:r>
    </w:p>
    <w:p w14:paraId="1479E56D" w14:textId="77777777" w:rsidR="006416B0" w:rsidRPr="00B4515A" w:rsidRDefault="005E58C1" w:rsidP="005860B4">
      <w:pPr>
        <w:pStyle w:val="005"/>
        <w:spacing w:before="120" w:after="120"/>
        <w:ind w:firstLine="480"/>
      </w:pPr>
      <w:r w:rsidRPr="00B4515A">
        <w:rPr>
          <w:rFonts w:hint="eastAsia"/>
        </w:rPr>
        <w:t>按上述公式计算的交易对方取得新增股份数量按照向下取整精确至股，不足一股的交易对方自愿放弃。</w:t>
      </w:r>
    </w:p>
    <w:p w14:paraId="23633F78" w14:textId="77777777" w:rsidR="006416B0" w:rsidRPr="00B4515A" w:rsidRDefault="005E58C1" w:rsidP="005860B4">
      <w:pPr>
        <w:pStyle w:val="005"/>
        <w:spacing w:before="120" w:after="120"/>
        <w:ind w:firstLine="480"/>
      </w:pPr>
      <w:r w:rsidRPr="00B4515A">
        <w:rPr>
          <w:rFonts w:hint="eastAsia"/>
        </w:rPr>
        <w:t>本次重组中，标的公司</w:t>
      </w:r>
      <w:r w:rsidRPr="00B4515A">
        <w:rPr>
          <w:rFonts w:hint="eastAsia"/>
        </w:rPr>
        <w:t>9</w:t>
      </w:r>
      <w:r w:rsidRPr="00B4515A">
        <w:t>5.001%</w:t>
      </w:r>
      <w:r w:rsidRPr="00B4515A">
        <w:rPr>
          <w:rFonts w:hint="eastAsia"/>
        </w:rPr>
        <w:t>股权的交易作价为</w:t>
      </w:r>
      <w:r w:rsidRPr="00B4515A">
        <w:t>1,408,450,340.64</w:t>
      </w:r>
      <w:r w:rsidRPr="00B4515A">
        <w:t>元</w:t>
      </w:r>
      <w:r w:rsidRPr="00B4515A">
        <w:rPr>
          <w:rFonts w:hint="eastAsia"/>
        </w:rPr>
        <w:t>，发行价格为</w:t>
      </w:r>
      <w:r w:rsidRPr="00B4515A">
        <w:rPr>
          <w:rFonts w:hint="eastAsia"/>
        </w:rPr>
        <w:t>5.85</w:t>
      </w:r>
      <w:r w:rsidRPr="00B4515A">
        <w:rPr>
          <w:rFonts w:hint="eastAsia"/>
        </w:rPr>
        <w:t>元</w:t>
      </w:r>
      <w:r w:rsidRPr="00B4515A">
        <w:rPr>
          <w:rFonts w:hint="eastAsia"/>
        </w:rPr>
        <w:t>/</w:t>
      </w:r>
      <w:r w:rsidRPr="00B4515A">
        <w:rPr>
          <w:rFonts w:hint="eastAsia"/>
        </w:rPr>
        <w:t>股。按照上述公式计算，上市公司本次发行股份购买资产所涉及的发行股票数量总计为</w:t>
      </w:r>
      <w:r w:rsidRPr="00B4515A">
        <w:t>240,760,740</w:t>
      </w:r>
      <w:r w:rsidRPr="00B4515A">
        <w:rPr>
          <w:rFonts w:hint="eastAsia"/>
        </w:rPr>
        <w:t>股，具体如下：</w:t>
      </w:r>
      <w:bookmarkEnd w:id="231"/>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09"/>
        <w:gridCol w:w="2013"/>
        <w:gridCol w:w="1579"/>
        <w:gridCol w:w="1458"/>
        <w:gridCol w:w="1460"/>
        <w:gridCol w:w="1209"/>
      </w:tblGrid>
      <w:tr w:rsidR="006416B0" w:rsidRPr="00B4515A" w14:paraId="10E8706E" w14:textId="77777777" w:rsidTr="005860B4">
        <w:trPr>
          <w:trHeight w:val="340"/>
          <w:jc w:val="center"/>
        </w:trPr>
        <w:tc>
          <w:tcPr>
            <w:tcW w:w="474" w:type="pct"/>
            <w:tcMar>
              <w:top w:w="0" w:type="dxa"/>
              <w:left w:w="108" w:type="dxa"/>
              <w:bottom w:w="0" w:type="dxa"/>
              <w:right w:w="108" w:type="dxa"/>
            </w:tcMar>
            <w:vAlign w:val="center"/>
          </w:tcPr>
          <w:p w14:paraId="3186B344" w14:textId="77777777" w:rsidR="006416B0" w:rsidRPr="00B4515A" w:rsidRDefault="005E58C1" w:rsidP="005860B4">
            <w:pPr>
              <w:keepNext/>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b/>
                <w:bCs/>
                <w:color w:val="000000"/>
                <w:spacing w:val="-2"/>
                <w:sz w:val="21"/>
                <w:szCs w:val="21"/>
              </w:rPr>
              <w:lastRenderedPageBreak/>
              <w:t>序号</w:t>
            </w:r>
          </w:p>
        </w:tc>
        <w:tc>
          <w:tcPr>
            <w:tcW w:w="1180" w:type="pct"/>
            <w:tcMar>
              <w:top w:w="0" w:type="dxa"/>
              <w:left w:w="108" w:type="dxa"/>
              <w:bottom w:w="0" w:type="dxa"/>
              <w:right w:w="108" w:type="dxa"/>
            </w:tcMar>
            <w:vAlign w:val="center"/>
          </w:tcPr>
          <w:p w14:paraId="1797F4EC" w14:textId="77777777" w:rsidR="006416B0" w:rsidRPr="00B4515A" w:rsidRDefault="005E58C1" w:rsidP="005860B4">
            <w:pPr>
              <w:keepNext/>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b/>
                <w:bCs/>
                <w:color w:val="000000"/>
                <w:spacing w:val="-2"/>
                <w:sz w:val="21"/>
                <w:szCs w:val="21"/>
              </w:rPr>
              <w:t>交易对方</w:t>
            </w:r>
          </w:p>
        </w:tc>
        <w:tc>
          <w:tcPr>
            <w:tcW w:w="926" w:type="pct"/>
            <w:tcMar>
              <w:top w:w="0" w:type="dxa"/>
              <w:left w:w="108" w:type="dxa"/>
              <w:bottom w:w="0" w:type="dxa"/>
              <w:right w:w="108" w:type="dxa"/>
            </w:tcMar>
            <w:vAlign w:val="center"/>
          </w:tcPr>
          <w:p w14:paraId="3B9BC492" w14:textId="77777777" w:rsidR="006416B0" w:rsidRPr="00B4515A" w:rsidRDefault="005E58C1" w:rsidP="005860B4">
            <w:pPr>
              <w:keepNext/>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hint="eastAsia"/>
                <w:b/>
                <w:bCs/>
                <w:color w:val="000000"/>
                <w:spacing w:val="8"/>
                <w:sz w:val="21"/>
                <w:szCs w:val="21"/>
              </w:rPr>
              <w:t>拟转让</w:t>
            </w:r>
            <w:r w:rsidRPr="00B4515A">
              <w:rPr>
                <w:rFonts w:ascii="Times New Roman" w:hAnsi="Times New Roman" w:cs="Times New Roman"/>
                <w:b/>
                <w:bCs/>
                <w:color w:val="000000"/>
                <w:spacing w:val="8"/>
                <w:sz w:val="21"/>
                <w:szCs w:val="21"/>
              </w:rPr>
              <w:t>出资额（万元）</w:t>
            </w:r>
          </w:p>
        </w:tc>
        <w:tc>
          <w:tcPr>
            <w:tcW w:w="855" w:type="pct"/>
            <w:tcMar>
              <w:top w:w="0" w:type="dxa"/>
              <w:left w:w="108" w:type="dxa"/>
              <w:bottom w:w="0" w:type="dxa"/>
              <w:right w:w="108" w:type="dxa"/>
            </w:tcMar>
            <w:vAlign w:val="center"/>
          </w:tcPr>
          <w:p w14:paraId="61D0EFC7" w14:textId="77777777" w:rsidR="006416B0" w:rsidRPr="00B4515A" w:rsidRDefault="005E58C1" w:rsidP="005860B4">
            <w:pPr>
              <w:keepNext/>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hint="eastAsia"/>
                <w:b/>
                <w:bCs/>
                <w:color w:val="000000"/>
                <w:spacing w:val="8"/>
                <w:sz w:val="21"/>
                <w:szCs w:val="21"/>
              </w:rPr>
              <w:t>占标的公司</w:t>
            </w:r>
            <w:r w:rsidRPr="00B4515A">
              <w:rPr>
                <w:rFonts w:ascii="Times New Roman" w:hAnsi="Times New Roman" w:cs="Times New Roman"/>
                <w:b/>
                <w:bCs/>
                <w:color w:val="000000"/>
                <w:spacing w:val="8"/>
                <w:sz w:val="21"/>
                <w:szCs w:val="21"/>
              </w:rPr>
              <w:t>出资比例</w:t>
            </w:r>
          </w:p>
        </w:tc>
        <w:tc>
          <w:tcPr>
            <w:tcW w:w="856" w:type="pct"/>
            <w:tcMar>
              <w:top w:w="0" w:type="dxa"/>
              <w:left w:w="108" w:type="dxa"/>
              <w:bottom w:w="0" w:type="dxa"/>
              <w:right w:w="108" w:type="dxa"/>
            </w:tcMar>
            <w:vAlign w:val="center"/>
          </w:tcPr>
          <w:p w14:paraId="278B7DDC" w14:textId="77777777" w:rsidR="006416B0" w:rsidRPr="00B4515A" w:rsidRDefault="005E58C1" w:rsidP="005860B4">
            <w:pPr>
              <w:keepNext/>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b/>
                <w:bCs/>
                <w:color w:val="000000"/>
                <w:spacing w:val="8"/>
                <w:sz w:val="21"/>
                <w:szCs w:val="21"/>
              </w:rPr>
              <w:t>对价股份数额（股）</w:t>
            </w:r>
          </w:p>
        </w:tc>
        <w:tc>
          <w:tcPr>
            <w:tcW w:w="710" w:type="pct"/>
            <w:tcMar>
              <w:top w:w="0" w:type="dxa"/>
              <w:left w:w="108" w:type="dxa"/>
              <w:bottom w:w="0" w:type="dxa"/>
              <w:right w:w="108" w:type="dxa"/>
            </w:tcMar>
            <w:vAlign w:val="center"/>
          </w:tcPr>
          <w:p w14:paraId="2D682F39" w14:textId="77777777" w:rsidR="006416B0" w:rsidRPr="00B4515A" w:rsidRDefault="005E58C1" w:rsidP="005860B4">
            <w:pPr>
              <w:keepNext/>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hint="eastAsia"/>
                <w:b/>
                <w:bCs/>
                <w:color w:val="000000"/>
                <w:spacing w:val="8"/>
                <w:sz w:val="21"/>
                <w:szCs w:val="21"/>
              </w:rPr>
              <w:t>占发行后股本总额的比例</w:t>
            </w:r>
          </w:p>
        </w:tc>
      </w:tr>
      <w:tr w:rsidR="006416B0" w:rsidRPr="00B4515A" w14:paraId="51150432" w14:textId="77777777" w:rsidTr="005860B4">
        <w:trPr>
          <w:trHeight w:val="340"/>
          <w:jc w:val="center"/>
        </w:trPr>
        <w:tc>
          <w:tcPr>
            <w:tcW w:w="474" w:type="pct"/>
            <w:tcMar>
              <w:top w:w="0" w:type="dxa"/>
              <w:left w:w="108" w:type="dxa"/>
              <w:bottom w:w="0" w:type="dxa"/>
              <w:right w:w="108" w:type="dxa"/>
            </w:tcMar>
            <w:vAlign w:val="center"/>
          </w:tcPr>
          <w:p w14:paraId="402DF3D1"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1</w:t>
            </w:r>
          </w:p>
        </w:tc>
        <w:tc>
          <w:tcPr>
            <w:tcW w:w="1180" w:type="pct"/>
            <w:tcMar>
              <w:top w:w="0" w:type="dxa"/>
              <w:left w:w="108" w:type="dxa"/>
              <w:bottom w:w="0" w:type="dxa"/>
              <w:right w:w="108" w:type="dxa"/>
            </w:tcMar>
            <w:vAlign w:val="center"/>
          </w:tcPr>
          <w:p w14:paraId="3DEF7A2F" w14:textId="77777777" w:rsidR="006416B0" w:rsidRPr="00B4515A" w:rsidRDefault="005E58C1" w:rsidP="005860B4">
            <w:pPr>
              <w:adjustRightInd w:val="0"/>
              <w:snapToGrid w:val="0"/>
              <w:rPr>
                <w:rFonts w:ascii="Times New Roman" w:hAnsi="Times New Roman" w:cs="Times New Roman"/>
                <w:color w:val="000000"/>
                <w:spacing w:val="-2"/>
                <w:sz w:val="21"/>
                <w:szCs w:val="21"/>
              </w:rPr>
            </w:pPr>
            <w:r w:rsidRPr="00B4515A">
              <w:rPr>
                <w:rFonts w:ascii="Times New Roman" w:hAnsi="Times New Roman" w:cs="Times New Roman"/>
                <w:color w:val="000000"/>
                <w:spacing w:val="8"/>
                <w:sz w:val="21"/>
                <w:szCs w:val="21"/>
              </w:rPr>
              <w:t>电信科学技术研究院有限公司</w:t>
            </w:r>
          </w:p>
        </w:tc>
        <w:tc>
          <w:tcPr>
            <w:tcW w:w="926" w:type="pct"/>
            <w:tcMar>
              <w:top w:w="0" w:type="dxa"/>
              <w:left w:w="108" w:type="dxa"/>
              <w:bottom w:w="0" w:type="dxa"/>
              <w:right w:w="108" w:type="dxa"/>
            </w:tcMar>
            <w:vAlign w:val="center"/>
          </w:tcPr>
          <w:p w14:paraId="272F2E1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61,559.283849</w:t>
            </w:r>
          </w:p>
        </w:tc>
        <w:tc>
          <w:tcPr>
            <w:tcW w:w="855" w:type="pct"/>
            <w:tcMar>
              <w:top w:w="0" w:type="dxa"/>
              <w:left w:w="108" w:type="dxa"/>
              <w:bottom w:w="0" w:type="dxa"/>
              <w:right w:w="108" w:type="dxa"/>
            </w:tcMar>
            <w:vAlign w:val="center"/>
          </w:tcPr>
          <w:p w14:paraId="58074FF0"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56.798</w:t>
            </w:r>
            <w:r w:rsidRPr="00B4515A">
              <w:rPr>
                <w:rFonts w:ascii="Times New Roman" w:hAnsi="Times New Roman" w:cs="Times New Roman"/>
                <w:b/>
                <w:bCs/>
                <w:color w:val="000000"/>
                <w:spacing w:val="8"/>
                <w:sz w:val="21"/>
                <w:szCs w:val="21"/>
              </w:rPr>
              <w:t>%</w:t>
            </w:r>
          </w:p>
        </w:tc>
        <w:tc>
          <w:tcPr>
            <w:tcW w:w="856" w:type="pct"/>
            <w:shd w:val="clear" w:color="auto" w:fill="auto"/>
            <w:tcMar>
              <w:top w:w="0" w:type="dxa"/>
              <w:left w:w="108" w:type="dxa"/>
              <w:bottom w:w="0" w:type="dxa"/>
              <w:right w:w="108" w:type="dxa"/>
            </w:tcMar>
            <w:vAlign w:val="center"/>
          </w:tcPr>
          <w:p w14:paraId="2B929D8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143,942,996</w:t>
            </w:r>
          </w:p>
        </w:tc>
        <w:tc>
          <w:tcPr>
            <w:tcW w:w="710" w:type="pct"/>
            <w:tcMar>
              <w:top w:w="0" w:type="dxa"/>
              <w:left w:w="108" w:type="dxa"/>
              <w:bottom w:w="0" w:type="dxa"/>
              <w:right w:w="108" w:type="dxa"/>
            </w:tcMar>
            <w:vAlign w:val="center"/>
          </w:tcPr>
          <w:p w14:paraId="32B1263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12.82%</w:t>
            </w:r>
          </w:p>
        </w:tc>
      </w:tr>
      <w:tr w:rsidR="006416B0" w:rsidRPr="00B4515A" w14:paraId="41CBEFA0" w14:textId="77777777" w:rsidTr="005860B4">
        <w:trPr>
          <w:trHeight w:val="340"/>
          <w:jc w:val="center"/>
        </w:trPr>
        <w:tc>
          <w:tcPr>
            <w:tcW w:w="474" w:type="pct"/>
            <w:tcMar>
              <w:top w:w="0" w:type="dxa"/>
              <w:left w:w="108" w:type="dxa"/>
              <w:bottom w:w="0" w:type="dxa"/>
              <w:right w:w="108" w:type="dxa"/>
            </w:tcMar>
            <w:vAlign w:val="center"/>
          </w:tcPr>
          <w:p w14:paraId="2E4ECCAE"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2</w:t>
            </w:r>
          </w:p>
        </w:tc>
        <w:tc>
          <w:tcPr>
            <w:tcW w:w="1180" w:type="pct"/>
            <w:tcMar>
              <w:top w:w="0" w:type="dxa"/>
              <w:left w:w="108" w:type="dxa"/>
              <w:bottom w:w="0" w:type="dxa"/>
              <w:right w:w="108" w:type="dxa"/>
            </w:tcMar>
            <w:vAlign w:val="center"/>
          </w:tcPr>
          <w:p w14:paraId="200EF2E0" w14:textId="77777777" w:rsidR="006416B0" w:rsidRPr="00B4515A" w:rsidRDefault="005E58C1" w:rsidP="005860B4">
            <w:pPr>
              <w:adjustRightInd w:val="0"/>
              <w:snapToGrid w:val="0"/>
              <w:rPr>
                <w:rFonts w:ascii="Times New Roman" w:hAnsi="Times New Roman" w:cs="Times New Roman"/>
                <w:color w:val="000000"/>
                <w:spacing w:val="-2"/>
                <w:sz w:val="21"/>
                <w:szCs w:val="21"/>
              </w:rPr>
            </w:pPr>
            <w:r w:rsidRPr="00B4515A">
              <w:rPr>
                <w:rFonts w:ascii="Times New Roman" w:hAnsi="Times New Roman" w:cs="Times New Roman"/>
                <w:color w:val="000000"/>
                <w:spacing w:val="8"/>
                <w:sz w:val="21"/>
                <w:szCs w:val="21"/>
              </w:rPr>
              <w:t>大唐电信科技产业控股有限公司</w:t>
            </w:r>
          </w:p>
        </w:tc>
        <w:tc>
          <w:tcPr>
            <w:tcW w:w="926" w:type="pct"/>
            <w:tcMar>
              <w:top w:w="0" w:type="dxa"/>
              <w:left w:w="108" w:type="dxa"/>
              <w:bottom w:w="0" w:type="dxa"/>
              <w:right w:w="108" w:type="dxa"/>
            </w:tcMar>
            <w:vAlign w:val="center"/>
          </w:tcPr>
          <w:p w14:paraId="78882FAC" w14:textId="29A0F9E4"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3,326.00</w:t>
            </w:r>
            <w:r w:rsidR="00B87C01" w:rsidRPr="00B4515A">
              <w:rPr>
                <w:rFonts w:ascii="Times New Roman" w:hAnsi="Times New Roman" w:cs="Times New Roman"/>
                <w:sz w:val="21"/>
                <w:szCs w:val="21"/>
              </w:rPr>
              <w:t>0000</w:t>
            </w:r>
          </w:p>
        </w:tc>
        <w:tc>
          <w:tcPr>
            <w:tcW w:w="855" w:type="pct"/>
            <w:tcMar>
              <w:top w:w="0" w:type="dxa"/>
              <w:left w:w="108" w:type="dxa"/>
              <w:bottom w:w="0" w:type="dxa"/>
              <w:right w:w="108" w:type="dxa"/>
            </w:tcMar>
            <w:vAlign w:val="center"/>
          </w:tcPr>
          <w:p w14:paraId="1B99D172"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3.069</w:t>
            </w:r>
            <w:r w:rsidRPr="00B4515A">
              <w:rPr>
                <w:rFonts w:ascii="Times New Roman" w:hAnsi="Times New Roman" w:cs="Times New Roman"/>
                <w:b/>
                <w:bCs/>
                <w:color w:val="000000"/>
                <w:spacing w:val="8"/>
                <w:sz w:val="21"/>
                <w:szCs w:val="21"/>
              </w:rPr>
              <w:t>%</w:t>
            </w:r>
          </w:p>
        </w:tc>
        <w:tc>
          <w:tcPr>
            <w:tcW w:w="856" w:type="pct"/>
            <w:shd w:val="clear" w:color="auto" w:fill="auto"/>
            <w:tcMar>
              <w:top w:w="0" w:type="dxa"/>
              <w:left w:w="108" w:type="dxa"/>
              <w:bottom w:w="0" w:type="dxa"/>
              <w:right w:w="108" w:type="dxa"/>
            </w:tcMar>
            <w:vAlign w:val="center"/>
          </w:tcPr>
          <w:p w14:paraId="7704D4E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7,777,757</w:t>
            </w:r>
          </w:p>
        </w:tc>
        <w:tc>
          <w:tcPr>
            <w:tcW w:w="710" w:type="pct"/>
            <w:tcMar>
              <w:top w:w="0" w:type="dxa"/>
              <w:left w:w="108" w:type="dxa"/>
              <w:bottom w:w="0" w:type="dxa"/>
              <w:right w:w="108" w:type="dxa"/>
            </w:tcMar>
            <w:vAlign w:val="center"/>
          </w:tcPr>
          <w:p w14:paraId="0F68C7F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0.69%</w:t>
            </w:r>
          </w:p>
        </w:tc>
      </w:tr>
      <w:tr w:rsidR="006416B0" w:rsidRPr="00B4515A" w14:paraId="14AB31E7" w14:textId="77777777" w:rsidTr="005860B4">
        <w:trPr>
          <w:trHeight w:val="340"/>
          <w:jc w:val="center"/>
        </w:trPr>
        <w:tc>
          <w:tcPr>
            <w:tcW w:w="474" w:type="pct"/>
            <w:tcMar>
              <w:top w:w="0" w:type="dxa"/>
              <w:left w:w="108" w:type="dxa"/>
              <w:bottom w:w="0" w:type="dxa"/>
              <w:right w:w="108" w:type="dxa"/>
            </w:tcMar>
            <w:vAlign w:val="center"/>
          </w:tcPr>
          <w:p w14:paraId="47B49D00"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3</w:t>
            </w:r>
          </w:p>
        </w:tc>
        <w:tc>
          <w:tcPr>
            <w:tcW w:w="1180" w:type="pct"/>
            <w:tcMar>
              <w:top w:w="0" w:type="dxa"/>
              <w:left w:w="108" w:type="dxa"/>
              <w:bottom w:w="0" w:type="dxa"/>
              <w:right w:w="108" w:type="dxa"/>
            </w:tcMar>
            <w:vAlign w:val="center"/>
          </w:tcPr>
          <w:p w14:paraId="76F7D49A" w14:textId="77777777" w:rsidR="006416B0" w:rsidRPr="00B4515A" w:rsidRDefault="005E58C1" w:rsidP="005860B4">
            <w:pPr>
              <w:adjustRightInd w:val="0"/>
              <w:snapToGrid w:val="0"/>
              <w:rPr>
                <w:rFonts w:ascii="Times New Roman" w:hAnsi="Times New Roman" w:cs="Times New Roman"/>
                <w:color w:val="000000"/>
                <w:spacing w:val="-2"/>
                <w:sz w:val="21"/>
                <w:szCs w:val="21"/>
              </w:rPr>
            </w:pPr>
            <w:r w:rsidRPr="00B4515A">
              <w:rPr>
                <w:rFonts w:ascii="Times New Roman" w:hAnsi="Times New Roman" w:cs="Times New Roman"/>
                <w:color w:val="000000"/>
                <w:spacing w:val="8"/>
                <w:sz w:val="21"/>
                <w:szCs w:val="21"/>
              </w:rPr>
              <w:t>湖北长江中信科移动通信技术产业投资基金合伙企业（有限合伙）</w:t>
            </w:r>
          </w:p>
        </w:tc>
        <w:tc>
          <w:tcPr>
            <w:tcW w:w="926" w:type="pct"/>
            <w:tcMar>
              <w:top w:w="0" w:type="dxa"/>
              <w:left w:w="108" w:type="dxa"/>
              <w:bottom w:w="0" w:type="dxa"/>
              <w:right w:w="108" w:type="dxa"/>
            </w:tcMar>
            <w:vAlign w:val="center"/>
          </w:tcPr>
          <w:p w14:paraId="1CA3FC5A"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22,846.930933</w:t>
            </w:r>
          </w:p>
        </w:tc>
        <w:tc>
          <w:tcPr>
            <w:tcW w:w="855" w:type="pct"/>
            <w:tcMar>
              <w:top w:w="0" w:type="dxa"/>
              <w:left w:w="108" w:type="dxa"/>
              <w:bottom w:w="0" w:type="dxa"/>
              <w:right w:w="108" w:type="dxa"/>
            </w:tcMar>
            <w:vAlign w:val="center"/>
          </w:tcPr>
          <w:p w14:paraId="5A14CB75"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21.080</w:t>
            </w:r>
            <w:r w:rsidRPr="00B4515A">
              <w:rPr>
                <w:rFonts w:ascii="Times New Roman" w:hAnsi="Times New Roman" w:cs="Times New Roman"/>
                <w:b/>
                <w:bCs/>
                <w:color w:val="000000"/>
                <w:spacing w:val="8"/>
                <w:sz w:val="21"/>
                <w:szCs w:val="21"/>
              </w:rPr>
              <w:t>%</w:t>
            </w:r>
          </w:p>
        </w:tc>
        <w:tc>
          <w:tcPr>
            <w:tcW w:w="856" w:type="pct"/>
            <w:shd w:val="clear" w:color="auto" w:fill="auto"/>
            <w:tcMar>
              <w:top w:w="0" w:type="dxa"/>
              <w:left w:w="108" w:type="dxa"/>
              <w:bottom w:w="0" w:type="dxa"/>
              <w:right w:w="108" w:type="dxa"/>
            </w:tcMar>
            <w:vAlign w:val="center"/>
          </w:tcPr>
          <w:p w14:paraId="6ACE1B45"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53,422,979</w:t>
            </w:r>
          </w:p>
        </w:tc>
        <w:tc>
          <w:tcPr>
            <w:tcW w:w="710" w:type="pct"/>
            <w:tcMar>
              <w:top w:w="0" w:type="dxa"/>
              <w:left w:w="108" w:type="dxa"/>
              <w:bottom w:w="0" w:type="dxa"/>
              <w:right w:w="108" w:type="dxa"/>
            </w:tcMar>
            <w:vAlign w:val="center"/>
          </w:tcPr>
          <w:p w14:paraId="7FF9291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4.76%</w:t>
            </w:r>
          </w:p>
        </w:tc>
      </w:tr>
      <w:tr w:rsidR="006416B0" w:rsidRPr="00B4515A" w14:paraId="2EF19737" w14:textId="77777777" w:rsidTr="005860B4">
        <w:trPr>
          <w:trHeight w:val="340"/>
          <w:jc w:val="center"/>
        </w:trPr>
        <w:tc>
          <w:tcPr>
            <w:tcW w:w="474" w:type="pct"/>
            <w:tcMar>
              <w:top w:w="0" w:type="dxa"/>
              <w:left w:w="108" w:type="dxa"/>
              <w:bottom w:w="0" w:type="dxa"/>
              <w:right w:w="108" w:type="dxa"/>
            </w:tcMar>
            <w:vAlign w:val="center"/>
          </w:tcPr>
          <w:p w14:paraId="06A621D8"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4</w:t>
            </w:r>
          </w:p>
        </w:tc>
        <w:tc>
          <w:tcPr>
            <w:tcW w:w="1180" w:type="pct"/>
            <w:tcMar>
              <w:top w:w="0" w:type="dxa"/>
              <w:left w:w="108" w:type="dxa"/>
              <w:bottom w:w="0" w:type="dxa"/>
              <w:right w:w="108" w:type="dxa"/>
            </w:tcMar>
            <w:vAlign w:val="center"/>
          </w:tcPr>
          <w:p w14:paraId="2E6D146A" w14:textId="77777777" w:rsidR="006416B0" w:rsidRPr="00B4515A" w:rsidRDefault="005E58C1" w:rsidP="005860B4">
            <w:pPr>
              <w:adjustRightInd w:val="0"/>
              <w:snapToGrid w:val="0"/>
              <w:rPr>
                <w:rFonts w:ascii="Times New Roman" w:hAnsi="Times New Roman" w:cs="Times New Roman"/>
                <w:color w:val="000000"/>
                <w:spacing w:val="-2"/>
                <w:sz w:val="21"/>
                <w:szCs w:val="21"/>
              </w:rPr>
            </w:pPr>
            <w:r w:rsidRPr="00B4515A">
              <w:rPr>
                <w:rFonts w:ascii="Times New Roman" w:hAnsi="Times New Roman" w:cs="Times New Roman"/>
                <w:color w:val="000000"/>
                <w:spacing w:val="8"/>
                <w:sz w:val="21"/>
                <w:szCs w:val="21"/>
              </w:rPr>
              <w:t>中国国有企业结构调整基金股份有限公司</w:t>
            </w:r>
          </w:p>
        </w:tc>
        <w:tc>
          <w:tcPr>
            <w:tcW w:w="926" w:type="pct"/>
            <w:tcMar>
              <w:top w:w="0" w:type="dxa"/>
              <w:left w:w="108" w:type="dxa"/>
              <w:bottom w:w="0" w:type="dxa"/>
              <w:right w:w="108" w:type="dxa"/>
            </w:tcMar>
            <w:vAlign w:val="center"/>
          </w:tcPr>
          <w:p w14:paraId="29B50226"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7,615.643644</w:t>
            </w:r>
          </w:p>
        </w:tc>
        <w:tc>
          <w:tcPr>
            <w:tcW w:w="855" w:type="pct"/>
            <w:tcMar>
              <w:top w:w="0" w:type="dxa"/>
              <w:left w:w="108" w:type="dxa"/>
              <w:bottom w:w="0" w:type="dxa"/>
              <w:right w:w="108" w:type="dxa"/>
            </w:tcMar>
            <w:vAlign w:val="center"/>
          </w:tcPr>
          <w:p w14:paraId="202024E7"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7.027</w:t>
            </w:r>
            <w:r w:rsidRPr="00B4515A">
              <w:rPr>
                <w:rFonts w:ascii="Times New Roman" w:hAnsi="Times New Roman" w:cs="Times New Roman"/>
                <w:b/>
                <w:bCs/>
                <w:color w:val="000000"/>
                <w:spacing w:val="8"/>
                <w:sz w:val="21"/>
                <w:szCs w:val="21"/>
              </w:rPr>
              <w:t>%</w:t>
            </w:r>
          </w:p>
        </w:tc>
        <w:tc>
          <w:tcPr>
            <w:tcW w:w="856" w:type="pct"/>
            <w:shd w:val="clear" w:color="auto" w:fill="auto"/>
            <w:tcMar>
              <w:top w:w="0" w:type="dxa"/>
              <w:left w:w="108" w:type="dxa"/>
              <w:bottom w:w="0" w:type="dxa"/>
              <w:right w:w="108" w:type="dxa"/>
            </w:tcMar>
            <w:vAlign w:val="center"/>
          </w:tcPr>
          <w:p w14:paraId="0C34752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17,808,504</w:t>
            </w:r>
          </w:p>
        </w:tc>
        <w:tc>
          <w:tcPr>
            <w:tcW w:w="710" w:type="pct"/>
            <w:tcMar>
              <w:top w:w="0" w:type="dxa"/>
              <w:left w:w="108" w:type="dxa"/>
              <w:bottom w:w="0" w:type="dxa"/>
              <w:right w:w="108" w:type="dxa"/>
            </w:tcMar>
            <w:vAlign w:val="center"/>
          </w:tcPr>
          <w:p w14:paraId="537E4A3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1.59%</w:t>
            </w:r>
          </w:p>
        </w:tc>
      </w:tr>
      <w:tr w:rsidR="006416B0" w:rsidRPr="00B4515A" w14:paraId="0E4C8AE8" w14:textId="77777777" w:rsidTr="005860B4">
        <w:trPr>
          <w:trHeight w:val="340"/>
          <w:jc w:val="center"/>
        </w:trPr>
        <w:tc>
          <w:tcPr>
            <w:tcW w:w="474" w:type="pct"/>
            <w:tcMar>
              <w:top w:w="0" w:type="dxa"/>
              <w:left w:w="108" w:type="dxa"/>
              <w:bottom w:w="0" w:type="dxa"/>
              <w:right w:w="108" w:type="dxa"/>
            </w:tcMar>
            <w:vAlign w:val="center"/>
          </w:tcPr>
          <w:p w14:paraId="0542E928"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5</w:t>
            </w:r>
          </w:p>
        </w:tc>
        <w:tc>
          <w:tcPr>
            <w:tcW w:w="1180" w:type="pct"/>
            <w:tcMar>
              <w:top w:w="0" w:type="dxa"/>
              <w:left w:w="108" w:type="dxa"/>
              <w:bottom w:w="0" w:type="dxa"/>
              <w:right w:w="108" w:type="dxa"/>
            </w:tcMar>
            <w:vAlign w:val="center"/>
          </w:tcPr>
          <w:p w14:paraId="72F764A4" w14:textId="77777777" w:rsidR="006416B0" w:rsidRPr="00B4515A" w:rsidRDefault="005E58C1" w:rsidP="005860B4">
            <w:pPr>
              <w:adjustRightInd w:val="0"/>
              <w:snapToGrid w:val="0"/>
              <w:rPr>
                <w:rFonts w:ascii="Times New Roman" w:hAnsi="Times New Roman" w:cs="Times New Roman"/>
                <w:color w:val="000000"/>
                <w:spacing w:val="-2"/>
                <w:sz w:val="21"/>
                <w:szCs w:val="21"/>
              </w:rPr>
            </w:pPr>
            <w:r w:rsidRPr="00B4515A">
              <w:rPr>
                <w:rFonts w:ascii="Times New Roman" w:hAnsi="Times New Roman" w:cs="Times New Roman"/>
                <w:color w:val="000000"/>
                <w:spacing w:val="8"/>
                <w:sz w:val="21"/>
                <w:szCs w:val="21"/>
              </w:rPr>
              <w:t>北京金融街资本运营中心</w:t>
            </w:r>
          </w:p>
        </w:tc>
        <w:tc>
          <w:tcPr>
            <w:tcW w:w="926" w:type="pct"/>
            <w:tcMar>
              <w:top w:w="0" w:type="dxa"/>
              <w:left w:w="108" w:type="dxa"/>
              <w:bottom w:w="0" w:type="dxa"/>
              <w:right w:w="108" w:type="dxa"/>
            </w:tcMar>
            <w:vAlign w:val="center"/>
          </w:tcPr>
          <w:p w14:paraId="17DCE1DD"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7,615.643644</w:t>
            </w:r>
          </w:p>
        </w:tc>
        <w:tc>
          <w:tcPr>
            <w:tcW w:w="855" w:type="pct"/>
            <w:tcMar>
              <w:top w:w="0" w:type="dxa"/>
              <w:left w:w="108" w:type="dxa"/>
              <w:bottom w:w="0" w:type="dxa"/>
              <w:right w:w="108" w:type="dxa"/>
            </w:tcMar>
            <w:vAlign w:val="center"/>
          </w:tcPr>
          <w:p w14:paraId="0FD19F8C"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sz w:val="21"/>
                <w:szCs w:val="21"/>
              </w:rPr>
              <w:t>7.027</w:t>
            </w:r>
            <w:r w:rsidRPr="00B4515A">
              <w:rPr>
                <w:rFonts w:ascii="Times New Roman" w:hAnsi="Times New Roman" w:cs="Times New Roman"/>
                <w:b/>
                <w:bCs/>
                <w:color w:val="000000"/>
                <w:spacing w:val="8"/>
                <w:sz w:val="21"/>
                <w:szCs w:val="21"/>
              </w:rPr>
              <w:t>%</w:t>
            </w:r>
          </w:p>
        </w:tc>
        <w:tc>
          <w:tcPr>
            <w:tcW w:w="856" w:type="pct"/>
            <w:shd w:val="clear" w:color="auto" w:fill="auto"/>
            <w:tcMar>
              <w:top w:w="0" w:type="dxa"/>
              <w:left w:w="108" w:type="dxa"/>
              <w:bottom w:w="0" w:type="dxa"/>
              <w:right w:w="108" w:type="dxa"/>
            </w:tcMar>
            <w:vAlign w:val="center"/>
          </w:tcPr>
          <w:p w14:paraId="77E2838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17,808,504</w:t>
            </w:r>
          </w:p>
        </w:tc>
        <w:tc>
          <w:tcPr>
            <w:tcW w:w="710" w:type="pct"/>
            <w:tcMar>
              <w:top w:w="0" w:type="dxa"/>
              <w:left w:w="108" w:type="dxa"/>
              <w:bottom w:w="0" w:type="dxa"/>
              <w:right w:w="108" w:type="dxa"/>
            </w:tcMar>
            <w:vAlign w:val="center"/>
          </w:tcPr>
          <w:p w14:paraId="47DD427D"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1.59%</w:t>
            </w:r>
          </w:p>
        </w:tc>
      </w:tr>
      <w:tr w:rsidR="006416B0" w:rsidRPr="00B4515A" w14:paraId="4F3D7C89" w14:textId="77777777" w:rsidTr="00031627">
        <w:trPr>
          <w:trHeight w:val="340"/>
          <w:jc w:val="center"/>
        </w:trPr>
        <w:tc>
          <w:tcPr>
            <w:tcW w:w="1653" w:type="pct"/>
            <w:gridSpan w:val="2"/>
            <w:tcMar>
              <w:top w:w="0" w:type="dxa"/>
              <w:left w:w="108" w:type="dxa"/>
              <w:bottom w:w="0" w:type="dxa"/>
              <w:right w:w="108" w:type="dxa"/>
            </w:tcMar>
            <w:vAlign w:val="center"/>
          </w:tcPr>
          <w:p w14:paraId="2979A36D" w14:textId="77777777" w:rsidR="006416B0" w:rsidRPr="00B4515A" w:rsidRDefault="005E58C1" w:rsidP="005860B4">
            <w:pPr>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b/>
                <w:bCs/>
                <w:color w:val="000000"/>
                <w:spacing w:val="8"/>
                <w:sz w:val="21"/>
                <w:szCs w:val="21"/>
              </w:rPr>
              <w:t>合计</w:t>
            </w:r>
          </w:p>
        </w:tc>
        <w:tc>
          <w:tcPr>
            <w:tcW w:w="926" w:type="pct"/>
            <w:tcMar>
              <w:top w:w="0" w:type="dxa"/>
              <w:left w:w="108" w:type="dxa"/>
              <w:bottom w:w="0" w:type="dxa"/>
              <w:right w:w="108" w:type="dxa"/>
            </w:tcMar>
            <w:vAlign w:val="center"/>
          </w:tcPr>
          <w:p w14:paraId="3A7F4877" w14:textId="77777777" w:rsidR="006416B0" w:rsidRPr="00B4515A" w:rsidRDefault="005E58C1" w:rsidP="005860B4">
            <w:pPr>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b/>
                <w:bCs/>
                <w:sz w:val="21"/>
                <w:szCs w:val="21"/>
              </w:rPr>
              <w:t>102,963.50207</w:t>
            </w:r>
          </w:p>
        </w:tc>
        <w:tc>
          <w:tcPr>
            <w:tcW w:w="855" w:type="pct"/>
            <w:tcMar>
              <w:top w:w="0" w:type="dxa"/>
              <w:left w:w="108" w:type="dxa"/>
              <w:bottom w:w="0" w:type="dxa"/>
              <w:right w:w="108" w:type="dxa"/>
            </w:tcMar>
            <w:vAlign w:val="center"/>
          </w:tcPr>
          <w:p w14:paraId="400BDC17" w14:textId="77777777" w:rsidR="006416B0" w:rsidRPr="00B4515A" w:rsidRDefault="005E58C1" w:rsidP="005860B4">
            <w:pPr>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b/>
                <w:bCs/>
                <w:color w:val="000000"/>
                <w:spacing w:val="-2"/>
                <w:sz w:val="21"/>
                <w:szCs w:val="21"/>
              </w:rPr>
              <w:t>95.001</w:t>
            </w:r>
            <w:r w:rsidRPr="00B4515A">
              <w:rPr>
                <w:rFonts w:ascii="Times New Roman" w:hAnsi="Times New Roman" w:cs="Times New Roman"/>
                <w:b/>
                <w:bCs/>
                <w:color w:val="000000"/>
                <w:spacing w:val="8"/>
                <w:sz w:val="21"/>
                <w:szCs w:val="21"/>
              </w:rPr>
              <w:t>%</w:t>
            </w:r>
          </w:p>
        </w:tc>
        <w:tc>
          <w:tcPr>
            <w:tcW w:w="856" w:type="pct"/>
            <w:tcMar>
              <w:top w:w="0" w:type="dxa"/>
              <w:left w:w="108" w:type="dxa"/>
              <w:bottom w:w="0" w:type="dxa"/>
              <w:right w:w="108" w:type="dxa"/>
            </w:tcMar>
            <w:vAlign w:val="center"/>
          </w:tcPr>
          <w:p w14:paraId="2207368C"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240,760,740</w:t>
            </w:r>
          </w:p>
        </w:tc>
        <w:tc>
          <w:tcPr>
            <w:tcW w:w="710" w:type="pct"/>
            <w:tcMar>
              <w:top w:w="0" w:type="dxa"/>
              <w:left w:w="108" w:type="dxa"/>
              <w:bottom w:w="0" w:type="dxa"/>
              <w:right w:w="108" w:type="dxa"/>
            </w:tcMar>
            <w:vAlign w:val="center"/>
          </w:tcPr>
          <w:p w14:paraId="09C46AAF"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21.44%</w:t>
            </w:r>
          </w:p>
        </w:tc>
      </w:tr>
    </w:tbl>
    <w:p w14:paraId="04DF801F" w14:textId="77777777" w:rsidR="006416B0" w:rsidRPr="00B4515A" w:rsidRDefault="005E58C1" w:rsidP="005860B4">
      <w:pPr>
        <w:pStyle w:val="006"/>
        <w:ind w:firstLine="420"/>
      </w:pPr>
      <w:r w:rsidRPr="00B4515A">
        <w:rPr>
          <w:rFonts w:hint="eastAsia"/>
        </w:rPr>
        <w:t>注：在计算</w:t>
      </w:r>
      <w:r w:rsidRPr="00B4515A">
        <w:rPr>
          <w:rFonts w:ascii="宋体" w:hAnsi="宋体" w:hint="eastAsia"/>
        </w:rPr>
        <w:t>“</w:t>
      </w:r>
      <w:r w:rsidRPr="00B4515A">
        <w:rPr>
          <w:rFonts w:hint="eastAsia"/>
        </w:rPr>
        <w:t>占发行后股本总额的比例</w:t>
      </w:r>
      <w:r w:rsidRPr="00B4515A">
        <w:rPr>
          <w:rFonts w:ascii="宋体" w:hAnsi="宋体" w:hint="eastAsia"/>
        </w:rPr>
        <w:t>”</w:t>
      </w:r>
      <w:r w:rsidRPr="00B4515A">
        <w:rPr>
          <w:rFonts w:hint="eastAsia"/>
        </w:rPr>
        <w:t>时，发行后股本总额未包含配套募集资金对应的股票发行数量。</w:t>
      </w:r>
    </w:p>
    <w:p w14:paraId="0D42CB67" w14:textId="77777777" w:rsidR="006416B0" w:rsidRPr="00B4515A" w:rsidRDefault="005E58C1" w:rsidP="005860B4">
      <w:pPr>
        <w:pStyle w:val="005"/>
        <w:spacing w:before="120" w:after="120"/>
        <w:ind w:firstLine="480"/>
      </w:pPr>
      <w:r w:rsidRPr="00B4515A">
        <w:rPr>
          <w:rFonts w:hint="eastAsia"/>
        </w:rPr>
        <w:t>最终发行股份数量以经上市公司股东大会审议通过，且经中国证监会核准的结果为准。</w:t>
      </w:r>
    </w:p>
    <w:p w14:paraId="5681F35A" w14:textId="77777777" w:rsidR="006416B0" w:rsidRPr="00B4515A" w:rsidRDefault="005E58C1" w:rsidP="005860B4">
      <w:pPr>
        <w:pStyle w:val="005"/>
        <w:spacing w:before="120" w:after="120"/>
        <w:ind w:firstLine="480"/>
      </w:pPr>
      <w:r w:rsidRPr="00B4515A">
        <w:rPr>
          <w:rFonts w:hint="eastAsia"/>
        </w:rPr>
        <w:t>在定价基准日至发行日期间，上市公司如有派息、送红股、转增股本、增发新股或配股等除权、除息事项，则发行数量也将根据中国证监会和上交所的相关规则进行相应调整。</w:t>
      </w:r>
      <w:bookmarkEnd w:id="232"/>
      <w:bookmarkEnd w:id="237"/>
    </w:p>
    <w:p w14:paraId="5261A1BB" w14:textId="77777777" w:rsidR="006416B0" w:rsidRPr="00B4515A" w:rsidRDefault="005E58C1" w:rsidP="005860B4">
      <w:pPr>
        <w:pStyle w:val="003"/>
        <w:spacing w:before="120"/>
        <w:ind w:firstLine="482"/>
      </w:pPr>
      <w:r w:rsidRPr="00B4515A">
        <w:rPr>
          <w:rFonts w:hint="eastAsia"/>
        </w:rPr>
        <w:t>（五）股份锁定期安排</w:t>
      </w:r>
    </w:p>
    <w:p w14:paraId="06865B34" w14:textId="77777777" w:rsidR="006416B0" w:rsidRPr="00B4515A" w:rsidRDefault="005E58C1" w:rsidP="005860B4">
      <w:pPr>
        <w:pStyle w:val="004"/>
        <w:spacing w:before="120" w:after="120"/>
        <w:ind w:firstLine="482"/>
      </w:pPr>
      <w:bookmarkStart w:id="238" w:name="_Hlk76933859"/>
      <w:r w:rsidRPr="00B4515A">
        <w:t>1</w:t>
      </w:r>
      <w:r w:rsidRPr="00B4515A">
        <w:t>、本次发行股份购买资产的交易对方对其通过本次交易取得的上市公司股份锁定期安排如下：</w:t>
      </w:r>
    </w:p>
    <w:p w14:paraId="6B658C51" w14:textId="77777777" w:rsidR="006416B0" w:rsidRPr="00B4515A" w:rsidRDefault="005E58C1" w:rsidP="005860B4">
      <w:pPr>
        <w:pStyle w:val="005"/>
        <w:spacing w:before="120" w:after="120"/>
        <w:ind w:firstLine="480"/>
        <w:rPr>
          <w:bCs/>
        </w:rPr>
      </w:pPr>
      <w:r w:rsidRPr="00B4515A">
        <w:rPr>
          <w:rFonts w:hint="eastAsia"/>
          <w:bCs/>
        </w:rPr>
        <w:t>电信科研院、大唐控股在本次交易中以标的公司股权认购取得的对价股份，自股份发行结束之日起</w:t>
      </w:r>
      <w:r w:rsidRPr="00B4515A">
        <w:rPr>
          <w:bCs/>
        </w:rPr>
        <w:t>36</w:t>
      </w:r>
      <w:r w:rsidRPr="00B4515A">
        <w:rPr>
          <w:rFonts w:hint="eastAsia"/>
          <w:bCs/>
        </w:rPr>
        <w:t>个月内不得以任何方式转让。本次交易完成后</w:t>
      </w:r>
      <w:r w:rsidRPr="00B4515A">
        <w:rPr>
          <w:bCs/>
        </w:rPr>
        <w:t>6</w:t>
      </w:r>
      <w:r w:rsidRPr="00B4515A">
        <w:rPr>
          <w:rFonts w:hint="eastAsia"/>
          <w:bCs/>
        </w:rPr>
        <w:t>个月内如上市公司股票连续</w:t>
      </w:r>
      <w:r w:rsidRPr="00B4515A">
        <w:rPr>
          <w:bCs/>
        </w:rPr>
        <w:t>20</w:t>
      </w:r>
      <w:r w:rsidRPr="00B4515A">
        <w:rPr>
          <w:rFonts w:hint="eastAsia"/>
          <w:bCs/>
        </w:rPr>
        <w:t>个交易日的收盘价低于发行价，或者交易完成后</w:t>
      </w:r>
      <w:r w:rsidRPr="00B4515A">
        <w:rPr>
          <w:bCs/>
        </w:rPr>
        <w:t>6</w:t>
      </w:r>
      <w:r w:rsidRPr="00B4515A">
        <w:rPr>
          <w:rFonts w:hint="eastAsia"/>
          <w:bCs/>
        </w:rPr>
        <w:t>个月期末收盘价低于发行价的，其持有上市公司股票的锁定期自动延长至少</w:t>
      </w:r>
      <w:r w:rsidRPr="00B4515A">
        <w:rPr>
          <w:bCs/>
        </w:rPr>
        <w:t>6</w:t>
      </w:r>
      <w:r w:rsidRPr="00B4515A">
        <w:rPr>
          <w:rFonts w:hint="eastAsia"/>
          <w:bCs/>
        </w:rPr>
        <w:t>个月。</w:t>
      </w:r>
    </w:p>
    <w:p w14:paraId="31C4E2A2" w14:textId="48CC17F5" w:rsidR="006416B0" w:rsidRPr="00B4515A" w:rsidRDefault="00252376" w:rsidP="005860B4">
      <w:pPr>
        <w:pStyle w:val="005"/>
        <w:spacing w:before="120" w:after="120"/>
        <w:ind w:firstLine="480"/>
        <w:rPr>
          <w:bCs/>
        </w:rPr>
      </w:pPr>
      <w:r w:rsidRPr="00B4515A">
        <w:rPr>
          <w:rFonts w:hint="eastAsia"/>
          <w:bCs/>
        </w:rPr>
        <w:t>长江移动基金</w:t>
      </w:r>
      <w:r w:rsidR="005E58C1" w:rsidRPr="00B4515A">
        <w:rPr>
          <w:rFonts w:hint="eastAsia"/>
          <w:bCs/>
        </w:rPr>
        <w:t>、结构调整基金、金融街资本通过本次交易取得上市公司股份时：如持续持有标的公司股权时间不足</w:t>
      </w:r>
      <w:r w:rsidR="005E58C1" w:rsidRPr="00B4515A">
        <w:rPr>
          <w:bCs/>
        </w:rPr>
        <w:t>12</w:t>
      </w:r>
      <w:r w:rsidR="005E58C1" w:rsidRPr="00B4515A">
        <w:rPr>
          <w:rFonts w:hint="eastAsia"/>
          <w:bCs/>
        </w:rPr>
        <w:t>个月，则在本次交易中以标的公司股权认购取得的对价股份，自股份发行结束之日起</w:t>
      </w:r>
      <w:r w:rsidR="005E58C1" w:rsidRPr="00B4515A">
        <w:rPr>
          <w:bCs/>
        </w:rPr>
        <w:t>36</w:t>
      </w:r>
      <w:r w:rsidR="005E58C1" w:rsidRPr="00B4515A">
        <w:rPr>
          <w:rFonts w:hint="eastAsia"/>
          <w:bCs/>
        </w:rPr>
        <w:t>个月内不得以任何方式转让；如持续持有标的公司股权时间已满</w:t>
      </w:r>
      <w:r w:rsidR="005E58C1" w:rsidRPr="00B4515A">
        <w:rPr>
          <w:bCs/>
        </w:rPr>
        <w:t>12</w:t>
      </w:r>
      <w:r w:rsidR="005E58C1" w:rsidRPr="00B4515A">
        <w:rPr>
          <w:rFonts w:hint="eastAsia"/>
          <w:bCs/>
        </w:rPr>
        <w:t>个月，则在本次交易中以标的公司股权认购取得的对价股份，自股份发行结束之日起</w:t>
      </w:r>
      <w:r w:rsidR="005E58C1" w:rsidRPr="00B4515A">
        <w:rPr>
          <w:bCs/>
        </w:rPr>
        <w:t>12</w:t>
      </w:r>
      <w:r w:rsidR="005E58C1" w:rsidRPr="00B4515A">
        <w:rPr>
          <w:rFonts w:hint="eastAsia"/>
          <w:bCs/>
        </w:rPr>
        <w:t>个月内不得以任何方式转让。</w:t>
      </w:r>
    </w:p>
    <w:p w14:paraId="69372735" w14:textId="77777777" w:rsidR="006416B0" w:rsidRPr="00B4515A" w:rsidRDefault="005E58C1" w:rsidP="005860B4">
      <w:pPr>
        <w:pStyle w:val="005"/>
        <w:spacing w:before="120" w:after="120"/>
        <w:ind w:firstLine="480"/>
        <w:rPr>
          <w:bCs/>
        </w:rPr>
      </w:pPr>
      <w:r w:rsidRPr="00B4515A">
        <w:rPr>
          <w:rFonts w:hint="eastAsia"/>
          <w:bCs/>
        </w:rPr>
        <w:lastRenderedPageBreak/>
        <w:t>未来如果上述相关主体还将承担业绩承诺及补偿义务，其所持有股份还应遵守相关业绩承诺及补偿协议中对于锁定期的要求，具体内容相关各方将通过签署补充协议方式予以约定。</w:t>
      </w:r>
    </w:p>
    <w:p w14:paraId="03E80B9A" w14:textId="77777777" w:rsidR="006416B0" w:rsidRPr="00B4515A" w:rsidRDefault="005E58C1" w:rsidP="005860B4">
      <w:pPr>
        <w:pStyle w:val="005"/>
        <w:spacing w:before="120" w:after="120"/>
        <w:ind w:firstLine="480"/>
        <w:rPr>
          <w:bCs/>
        </w:rPr>
      </w:pPr>
      <w:r w:rsidRPr="00B4515A">
        <w:rPr>
          <w:rFonts w:hint="eastAsia"/>
          <w:bCs/>
        </w:rPr>
        <w:t>交易对方在本次交易中取得的对价股份，在上述锁定期届满后减持时，还应当遵守《公司法》《证券法》《上市规则》等法律法规和规范性文件的相关规定、中国证监会和</w:t>
      </w:r>
      <w:r w:rsidRPr="00B4515A">
        <w:rPr>
          <w:rFonts w:hint="eastAsia"/>
        </w:rPr>
        <w:t>上海</w:t>
      </w:r>
      <w:r w:rsidRPr="00B4515A">
        <w:rPr>
          <w:rFonts w:hint="eastAsia"/>
          <w:bCs/>
        </w:rPr>
        <w:t>证券交易所的相关监管规则以及上市公司公司章程的相关约定。</w:t>
      </w:r>
    </w:p>
    <w:p w14:paraId="7811C345" w14:textId="77777777" w:rsidR="006416B0" w:rsidRPr="00B4515A" w:rsidRDefault="005E58C1" w:rsidP="005860B4">
      <w:pPr>
        <w:pStyle w:val="005"/>
        <w:spacing w:before="120" w:after="120"/>
        <w:ind w:firstLine="480"/>
        <w:rPr>
          <w:bCs/>
        </w:rPr>
      </w:pPr>
      <w:r w:rsidRPr="00B4515A">
        <w:rPr>
          <w:rFonts w:hint="eastAsia"/>
          <w:bCs/>
        </w:rPr>
        <w:t>本次交易实施完成后，交易对方所持对价股份由于上市公司送红股、资本公积金转增股本等原因而增加的，亦应遵守上述锁定期的约定。</w:t>
      </w:r>
    </w:p>
    <w:p w14:paraId="5C7D3456" w14:textId="77777777" w:rsidR="006416B0" w:rsidRPr="00B4515A" w:rsidRDefault="005E58C1" w:rsidP="005860B4">
      <w:pPr>
        <w:pStyle w:val="004"/>
        <w:spacing w:before="120" w:after="120"/>
        <w:ind w:firstLine="482"/>
      </w:pPr>
      <w:r w:rsidRPr="00B4515A">
        <w:t>2</w:t>
      </w:r>
      <w:r w:rsidRPr="00B4515A">
        <w:rPr>
          <w:rFonts w:hint="eastAsia"/>
        </w:rPr>
        <w:t>、电信科研院、大唐控股所持本次交易前股份的锁定安排</w:t>
      </w:r>
    </w:p>
    <w:p w14:paraId="4A4DB443" w14:textId="77777777" w:rsidR="006416B0" w:rsidRPr="00B4515A" w:rsidRDefault="005E58C1" w:rsidP="005860B4">
      <w:pPr>
        <w:pStyle w:val="005"/>
        <w:spacing w:before="120" w:after="120"/>
        <w:ind w:firstLine="480"/>
      </w:pPr>
      <w:r w:rsidRPr="00B4515A">
        <w:rPr>
          <w:rFonts w:hint="eastAsia"/>
        </w:rPr>
        <w:t>电信科研院、大唐控股在本次交易完成前已持有的大唐电信股份，自本次交易完成后</w:t>
      </w:r>
      <w:r w:rsidRPr="00B4515A">
        <w:rPr>
          <w:rFonts w:hint="eastAsia"/>
        </w:rPr>
        <w:t>1</w:t>
      </w:r>
      <w:r w:rsidRPr="00B4515A">
        <w:t>8</w:t>
      </w:r>
      <w:r w:rsidRPr="00B4515A">
        <w:rPr>
          <w:rFonts w:hint="eastAsia"/>
        </w:rPr>
        <w:t>个月内不得转让。</w:t>
      </w:r>
    </w:p>
    <w:p w14:paraId="22095332" w14:textId="77777777" w:rsidR="006416B0" w:rsidRPr="00B4515A" w:rsidRDefault="005E58C1" w:rsidP="005860B4">
      <w:pPr>
        <w:pStyle w:val="003"/>
        <w:spacing w:before="120"/>
        <w:ind w:firstLine="482"/>
      </w:pPr>
      <w:r w:rsidRPr="00B4515A">
        <w:rPr>
          <w:rFonts w:hint="eastAsia"/>
        </w:rPr>
        <w:t>（六）过渡期间损益归属及滚存未分配利润安排</w:t>
      </w:r>
    </w:p>
    <w:p w14:paraId="5AC96B5F" w14:textId="77777777" w:rsidR="006416B0" w:rsidRPr="00B4515A" w:rsidRDefault="005E58C1" w:rsidP="005860B4">
      <w:pPr>
        <w:pStyle w:val="005"/>
        <w:spacing w:before="120" w:after="120"/>
        <w:ind w:firstLine="480"/>
      </w:pPr>
      <w:r w:rsidRPr="00B4515A">
        <w:rPr>
          <w:rFonts w:hint="eastAsia"/>
        </w:rPr>
        <w:t>过渡期间指自本次交易的评估基准日（不含基准日当日）至标的资产交割日（含交割日当日）的期间。上市公司将于交割日后</w:t>
      </w:r>
      <w:r w:rsidRPr="00B4515A">
        <w:t>30</w:t>
      </w:r>
      <w:r w:rsidRPr="00B4515A">
        <w:rPr>
          <w:rFonts w:hint="eastAsia"/>
        </w:rPr>
        <w:t>日内提出对标的公司进行专项审计，确定过渡期内标的资产的损益。该等审计由上市公司聘请的具有证券期货业务资格的会计师事务所完成，若标的资产交割日为当月</w:t>
      </w:r>
      <w:r w:rsidRPr="00B4515A">
        <w:t>15</w:t>
      </w:r>
      <w:r w:rsidRPr="00B4515A">
        <w:rPr>
          <w:rFonts w:hint="eastAsia"/>
        </w:rPr>
        <w:t>日（含</w:t>
      </w:r>
      <w:r w:rsidRPr="00B4515A">
        <w:t>15</w:t>
      </w:r>
      <w:r w:rsidRPr="00B4515A">
        <w:rPr>
          <w:rFonts w:hint="eastAsia"/>
        </w:rPr>
        <w:t>日）之前，则交割审计基准日为前一个月最后一个自然日；若标的资产交割日为当月</w:t>
      </w:r>
      <w:r w:rsidRPr="00B4515A">
        <w:t>15</w:t>
      </w:r>
      <w:r w:rsidRPr="00B4515A">
        <w:rPr>
          <w:rFonts w:hint="eastAsia"/>
        </w:rPr>
        <w:t>日之后，则交割审计基准日为当月最后一个自然日。</w:t>
      </w:r>
    </w:p>
    <w:p w14:paraId="7C28FCEA" w14:textId="77777777" w:rsidR="006416B0" w:rsidRPr="00B4515A" w:rsidRDefault="005E58C1" w:rsidP="005860B4">
      <w:pPr>
        <w:pStyle w:val="005"/>
        <w:spacing w:before="120" w:after="120"/>
        <w:ind w:firstLine="480"/>
      </w:pPr>
      <w:r w:rsidRPr="00B4515A">
        <w:rPr>
          <w:rFonts w:hint="eastAsia"/>
        </w:rPr>
        <w:t>在过渡期内，标的资产产生的收益由上市公司享有；在过渡期内所产生的亏损由电信科研院及大唐控股承担，并按其本次交易中拟转让股权占标的资产的相对比例于专项交割审计报告出具后</w:t>
      </w:r>
      <w:r w:rsidRPr="00B4515A">
        <w:t>30</w:t>
      </w:r>
      <w:r w:rsidRPr="00B4515A">
        <w:rPr>
          <w:rFonts w:hint="eastAsia"/>
        </w:rPr>
        <w:t>日内以现金方式一次性全额补偿予上市公司。</w:t>
      </w:r>
    </w:p>
    <w:p w14:paraId="4B7BA24E" w14:textId="77777777" w:rsidR="006416B0" w:rsidRPr="00B4515A" w:rsidRDefault="005E58C1" w:rsidP="005860B4">
      <w:pPr>
        <w:pStyle w:val="005"/>
        <w:spacing w:before="120" w:after="120"/>
        <w:ind w:firstLine="480"/>
      </w:pPr>
      <w:r w:rsidRPr="00B4515A">
        <w:rPr>
          <w:rFonts w:hint="eastAsia"/>
        </w:rPr>
        <w:t>本次交易完成后，标的公司评估基准日前滚存的未分配利润由本次交易完成后的标的公司新老股东按所持标的公司股权比例享有，上市公司的滚存未分配利润由上市公司新老股东按本次交易完成后的持股比例共同享有。</w:t>
      </w:r>
    </w:p>
    <w:p w14:paraId="610E6991" w14:textId="77777777" w:rsidR="006416B0" w:rsidRPr="00B4515A" w:rsidRDefault="005E58C1" w:rsidP="005860B4">
      <w:pPr>
        <w:pStyle w:val="003"/>
        <w:spacing w:before="120"/>
        <w:ind w:firstLine="482"/>
      </w:pPr>
      <w:r w:rsidRPr="00B4515A">
        <w:rPr>
          <w:rFonts w:hint="eastAsia"/>
        </w:rPr>
        <w:lastRenderedPageBreak/>
        <w:t>（七）上市公司发行股份前后主要财务数据和经济指标</w:t>
      </w:r>
    </w:p>
    <w:p w14:paraId="00F4DAB6" w14:textId="77777777" w:rsidR="006416B0" w:rsidRPr="00B4515A" w:rsidRDefault="005E58C1">
      <w:pPr>
        <w:keepNext/>
        <w:jc w:val="right"/>
        <w:rPr>
          <w:sz w:val="21"/>
          <w:szCs w:val="21"/>
        </w:rPr>
      </w:pPr>
      <w:r w:rsidRPr="00B4515A">
        <w:rPr>
          <w:rFonts w:hint="eastAsia"/>
          <w:sz w:val="21"/>
          <w:szCs w:val="21"/>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32"/>
        <w:gridCol w:w="1309"/>
        <w:gridCol w:w="1216"/>
        <w:gridCol w:w="1010"/>
        <w:gridCol w:w="1308"/>
        <w:gridCol w:w="1320"/>
        <w:gridCol w:w="1133"/>
      </w:tblGrid>
      <w:tr w:rsidR="006416B0" w:rsidRPr="00B4515A" w14:paraId="218CD996" w14:textId="77777777" w:rsidTr="00031627">
        <w:trPr>
          <w:trHeight w:val="340"/>
          <w:jc w:val="center"/>
        </w:trPr>
        <w:tc>
          <w:tcPr>
            <w:tcW w:w="722" w:type="pct"/>
            <w:vMerge w:val="restart"/>
            <w:shd w:val="clear" w:color="auto" w:fill="auto"/>
            <w:tcMar>
              <w:top w:w="0" w:type="dxa"/>
              <w:left w:w="108" w:type="dxa"/>
              <w:bottom w:w="0" w:type="dxa"/>
              <w:right w:w="108" w:type="dxa"/>
            </w:tcMar>
            <w:vAlign w:val="center"/>
          </w:tcPr>
          <w:p w14:paraId="4C77355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2072" w:type="pct"/>
            <w:gridSpan w:val="3"/>
            <w:shd w:val="clear" w:color="auto" w:fill="auto"/>
            <w:tcMar>
              <w:top w:w="0" w:type="dxa"/>
              <w:left w:w="108" w:type="dxa"/>
              <w:bottom w:w="0" w:type="dxa"/>
              <w:right w:w="108" w:type="dxa"/>
            </w:tcMar>
            <w:vAlign w:val="center"/>
          </w:tcPr>
          <w:p w14:paraId="1445E715"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4</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30</w:t>
            </w:r>
            <w:r w:rsidRPr="00B4515A">
              <w:rPr>
                <w:rFonts w:ascii="Times New Roman" w:eastAsiaTheme="minorEastAsia" w:hAnsi="Times New Roman" w:cs="Times New Roman"/>
                <w:b/>
                <w:bCs/>
                <w:color w:val="000000"/>
                <w:sz w:val="21"/>
                <w:szCs w:val="21"/>
              </w:rPr>
              <w:t>日</w:t>
            </w:r>
            <w:r w:rsidRPr="00B4515A">
              <w:rPr>
                <w:rFonts w:ascii="Times New Roman" w:eastAsiaTheme="minorEastAsia" w:hAnsi="Times New Roman" w:cs="Times New Roman"/>
                <w:b/>
                <w:bCs/>
                <w:color w:val="000000"/>
                <w:sz w:val="21"/>
                <w:szCs w:val="21"/>
              </w:rPr>
              <w:t>/</w:t>
            </w:r>
          </w:p>
          <w:p w14:paraId="58BED07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b/>
                <w:bCs/>
                <w:color w:val="000000"/>
                <w:sz w:val="21"/>
                <w:szCs w:val="21"/>
              </w:rPr>
              <w:t>月</w:t>
            </w:r>
          </w:p>
        </w:tc>
        <w:tc>
          <w:tcPr>
            <w:tcW w:w="2205" w:type="pct"/>
            <w:gridSpan w:val="3"/>
            <w:shd w:val="clear" w:color="auto" w:fill="auto"/>
            <w:tcMar>
              <w:top w:w="0" w:type="dxa"/>
              <w:left w:w="108" w:type="dxa"/>
              <w:bottom w:w="0" w:type="dxa"/>
              <w:right w:w="108" w:type="dxa"/>
            </w:tcMar>
            <w:vAlign w:val="center"/>
          </w:tcPr>
          <w:p w14:paraId="2B505C25"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r w:rsidRPr="00B4515A">
              <w:rPr>
                <w:rFonts w:ascii="Times New Roman" w:eastAsiaTheme="minorEastAsia" w:hAnsi="Times New Roman" w:cs="Times New Roman"/>
                <w:b/>
                <w:bCs/>
                <w:color w:val="000000"/>
                <w:sz w:val="21"/>
                <w:szCs w:val="21"/>
              </w:rPr>
              <w:t>/</w:t>
            </w:r>
          </w:p>
          <w:p w14:paraId="44EBB50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年度</w:t>
            </w:r>
          </w:p>
        </w:tc>
      </w:tr>
      <w:tr w:rsidR="006416B0" w:rsidRPr="00B4515A" w14:paraId="0EEAD6EF" w14:textId="77777777" w:rsidTr="00031627">
        <w:trPr>
          <w:trHeight w:val="340"/>
          <w:jc w:val="center"/>
        </w:trPr>
        <w:tc>
          <w:tcPr>
            <w:tcW w:w="722" w:type="pct"/>
            <w:vMerge/>
            <w:tcMar>
              <w:top w:w="0" w:type="dxa"/>
              <w:left w:w="108" w:type="dxa"/>
              <w:bottom w:w="0" w:type="dxa"/>
              <w:right w:w="108" w:type="dxa"/>
            </w:tcMar>
            <w:vAlign w:val="center"/>
          </w:tcPr>
          <w:p w14:paraId="338415A0"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767" w:type="pct"/>
            <w:shd w:val="clear" w:color="auto" w:fill="auto"/>
            <w:tcMar>
              <w:top w:w="0" w:type="dxa"/>
              <w:left w:w="108" w:type="dxa"/>
              <w:bottom w:w="0" w:type="dxa"/>
              <w:right w:w="108" w:type="dxa"/>
            </w:tcMar>
            <w:vAlign w:val="center"/>
          </w:tcPr>
          <w:p w14:paraId="6D3E7590"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hAnsi="Times New Roman" w:cs="Times New Roman"/>
                <w:b/>
                <w:bCs/>
                <w:color w:val="000000"/>
                <w:sz w:val="21"/>
                <w:szCs w:val="21"/>
              </w:rPr>
              <w:t>交易前</w:t>
            </w:r>
          </w:p>
          <w:p w14:paraId="1030F85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（实际数）</w:t>
            </w:r>
          </w:p>
        </w:tc>
        <w:tc>
          <w:tcPr>
            <w:tcW w:w="713" w:type="pct"/>
            <w:shd w:val="clear" w:color="auto" w:fill="auto"/>
            <w:tcMar>
              <w:top w:w="0" w:type="dxa"/>
              <w:left w:w="108" w:type="dxa"/>
              <w:bottom w:w="0" w:type="dxa"/>
              <w:right w:w="108" w:type="dxa"/>
            </w:tcMar>
            <w:vAlign w:val="center"/>
          </w:tcPr>
          <w:p w14:paraId="712D16D6" w14:textId="77777777" w:rsidR="005860B4"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交易后</w:t>
            </w:r>
          </w:p>
          <w:p w14:paraId="41B50D15" w14:textId="69D1F831"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（备考数）</w:t>
            </w:r>
          </w:p>
        </w:tc>
        <w:tc>
          <w:tcPr>
            <w:tcW w:w="592" w:type="pct"/>
            <w:shd w:val="clear" w:color="auto" w:fill="auto"/>
            <w:tcMar>
              <w:top w:w="0" w:type="dxa"/>
              <w:left w:w="108" w:type="dxa"/>
              <w:bottom w:w="0" w:type="dxa"/>
              <w:right w:w="108" w:type="dxa"/>
            </w:tcMar>
            <w:vAlign w:val="center"/>
          </w:tcPr>
          <w:p w14:paraId="7DF573FD" w14:textId="77777777" w:rsidR="005860B4"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变动</w:t>
            </w:r>
          </w:p>
          <w:p w14:paraId="59C3BDC9" w14:textId="4C6F9ED4"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幅度</w:t>
            </w:r>
          </w:p>
        </w:tc>
        <w:tc>
          <w:tcPr>
            <w:tcW w:w="767" w:type="pct"/>
            <w:shd w:val="clear" w:color="auto" w:fill="auto"/>
            <w:tcMar>
              <w:top w:w="0" w:type="dxa"/>
              <w:left w:w="108" w:type="dxa"/>
              <w:bottom w:w="0" w:type="dxa"/>
              <w:right w:w="108" w:type="dxa"/>
            </w:tcMar>
            <w:vAlign w:val="center"/>
          </w:tcPr>
          <w:p w14:paraId="4554BC15"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hAnsi="Times New Roman" w:cs="Times New Roman"/>
                <w:b/>
                <w:bCs/>
                <w:color w:val="000000"/>
                <w:sz w:val="21"/>
                <w:szCs w:val="21"/>
              </w:rPr>
              <w:t>交易前</w:t>
            </w:r>
          </w:p>
          <w:p w14:paraId="5EC0595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（实际数）</w:t>
            </w:r>
          </w:p>
        </w:tc>
        <w:tc>
          <w:tcPr>
            <w:tcW w:w="774" w:type="pct"/>
            <w:shd w:val="clear" w:color="auto" w:fill="auto"/>
            <w:tcMar>
              <w:top w:w="0" w:type="dxa"/>
              <w:left w:w="108" w:type="dxa"/>
              <w:bottom w:w="0" w:type="dxa"/>
              <w:right w:w="108" w:type="dxa"/>
            </w:tcMar>
            <w:vAlign w:val="center"/>
          </w:tcPr>
          <w:p w14:paraId="142FD458"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hAnsi="Times New Roman" w:cs="Times New Roman"/>
                <w:b/>
                <w:bCs/>
                <w:color w:val="000000"/>
                <w:sz w:val="21"/>
                <w:szCs w:val="21"/>
              </w:rPr>
              <w:t>交易后</w:t>
            </w:r>
          </w:p>
          <w:p w14:paraId="09F1EBD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（备考数）</w:t>
            </w:r>
          </w:p>
        </w:tc>
        <w:tc>
          <w:tcPr>
            <w:tcW w:w="664" w:type="pct"/>
            <w:shd w:val="clear" w:color="auto" w:fill="auto"/>
            <w:tcMar>
              <w:top w:w="0" w:type="dxa"/>
              <w:left w:w="108" w:type="dxa"/>
              <w:bottom w:w="0" w:type="dxa"/>
              <w:right w:w="108" w:type="dxa"/>
            </w:tcMar>
            <w:vAlign w:val="center"/>
          </w:tcPr>
          <w:p w14:paraId="20F26A7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变动幅度</w:t>
            </w:r>
          </w:p>
        </w:tc>
      </w:tr>
      <w:tr w:rsidR="006416B0" w:rsidRPr="00B4515A" w14:paraId="08B2C954" w14:textId="77777777" w:rsidTr="00031627">
        <w:trPr>
          <w:trHeight w:val="340"/>
          <w:jc w:val="center"/>
        </w:trPr>
        <w:tc>
          <w:tcPr>
            <w:tcW w:w="722" w:type="pct"/>
            <w:shd w:val="clear" w:color="auto" w:fill="auto"/>
            <w:tcMar>
              <w:top w:w="0" w:type="dxa"/>
              <w:left w:w="108" w:type="dxa"/>
              <w:bottom w:w="0" w:type="dxa"/>
              <w:right w:w="108" w:type="dxa"/>
            </w:tcMar>
            <w:vAlign w:val="center"/>
          </w:tcPr>
          <w:p w14:paraId="62444CCA"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资产总额</w:t>
            </w:r>
          </w:p>
        </w:tc>
        <w:tc>
          <w:tcPr>
            <w:tcW w:w="767" w:type="pct"/>
            <w:shd w:val="clear" w:color="auto" w:fill="auto"/>
            <w:tcMar>
              <w:top w:w="0" w:type="dxa"/>
              <w:left w:w="108" w:type="dxa"/>
              <w:bottom w:w="0" w:type="dxa"/>
              <w:right w:w="108" w:type="dxa"/>
            </w:tcMar>
            <w:vAlign w:val="center"/>
          </w:tcPr>
          <w:p w14:paraId="7142C38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298,000.05</w:t>
            </w:r>
          </w:p>
        </w:tc>
        <w:tc>
          <w:tcPr>
            <w:tcW w:w="713" w:type="pct"/>
            <w:shd w:val="clear" w:color="auto" w:fill="auto"/>
            <w:tcMar>
              <w:top w:w="0" w:type="dxa"/>
              <w:left w:w="108" w:type="dxa"/>
              <w:bottom w:w="0" w:type="dxa"/>
              <w:right w:w="108" w:type="dxa"/>
            </w:tcMar>
            <w:vAlign w:val="center"/>
          </w:tcPr>
          <w:p w14:paraId="29545D0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538,861.16</w:t>
            </w:r>
          </w:p>
        </w:tc>
        <w:tc>
          <w:tcPr>
            <w:tcW w:w="592" w:type="pct"/>
            <w:shd w:val="clear" w:color="auto" w:fill="auto"/>
            <w:tcMar>
              <w:top w:w="0" w:type="dxa"/>
              <w:left w:w="108" w:type="dxa"/>
              <w:bottom w:w="0" w:type="dxa"/>
              <w:right w:w="108" w:type="dxa"/>
            </w:tcMar>
            <w:vAlign w:val="center"/>
          </w:tcPr>
          <w:p w14:paraId="24818B9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80.83%</w:t>
            </w:r>
          </w:p>
        </w:tc>
        <w:tc>
          <w:tcPr>
            <w:tcW w:w="767" w:type="pct"/>
            <w:shd w:val="clear" w:color="auto" w:fill="auto"/>
            <w:tcMar>
              <w:top w:w="0" w:type="dxa"/>
              <w:left w:w="108" w:type="dxa"/>
              <w:bottom w:w="0" w:type="dxa"/>
              <w:right w:w="108" w:type="dxa"/>
            </w:tcMar>
            <w:vAlign w:val="center"/>
          </w:tcPr>
          <w:p w14:paraId="18D4121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314,041.93</w:t>
            </w:r>
          </w:p>
        </w:tc>
        <w:tc>
          <w:tcPr>
            <w:tcW w:w="774" w:type="pct"/>
            <w:shd w:val="clear" w:color="auto" w:fill="auto"/>
            <w:tcMar>
              <w:top w:w="0" w:type="dxa"/>
              <w:left w:w="108" w:type="dxa"/>
              <w:bottom w:w="0" w:type="dxa"/>
              <w:right w:w="108" w:type="dxa"/>
            </w:tcMar>
            <w:vAlign w:val="center"/>
          </w:tcPr>
          <w:p w14:paraId="1AC6E31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548,152.06</w:t>
            </w:r>
          </w:p>
        </w:tc>
        <w:tc>
          <w:tcPr>
            <w:tcW w:w="664" w:type="pct"/>
            <w:shd w:val="clear" w:color="auto" w:fill="auto"/>
            <w:tcMar>
              <w:top w:w="0" w:type="dxa"/>
              <w:left w:w="108" w:type="dxa"/>
              <w:bottom w:w="0" w:type="dxa"/>
              <w:right w:w="108" w:type="dxa"/>
            </w:tcMar>
            <w:vAlign w:val="center"/>
          </w:tcPr>
          <w:p w14:paraId="5B02779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74.55%</w:t>
            </w:r>
          </w:p>
        </w:tc>
      </w:tr>
      <w:tr w:rsidR="006416B0" w:rsidRPr="00B4515A" w14:paraId="4BAD15D4" w14:textId="77777777" w:rsidTr="00031627">
        <w:trPr>
          <w:trHeight w:val="340"/>
          <w:jc w:val="center"/>
        </w:trPr>
        <w:tc>
          <w:tcPr>
            <w:tcW w:w="722" w:type="pct"/>
            <w:shd w:val="clear" w:color="auto" w:fill="auto"/>
            <w:tcMar>
              <w:top w:w="0" w:type="dxa"/>
              <w:left w:w="108" w:type="dxa"/>
              <w:bottom w:w="0" w:type="dxa"/>
              <w:right w:w="108" w:type="dxa"/>
            </w:tcMar>
            <w:vAlign w:val="center"/>
          </w:tcPr>
          <w:p w14:paraId="4DE25D7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负债总额</w:t>
            </w:r>
          </w:p>
        </w:tc>
        <w:tc>
          <w:tcPr>
            <w:tcW w:w="767" w:type="pct"/>
            <w:shd w:val="clear" w:color="auto" w:fill="auto"/>
            <w:tcMar>
              <w:top w:w="0" w:type="dxa"/>
              <w:left w:w="108" w:type="dxa"/>
              <w:bottom w:w="0" w:type="dxa"/>
              <w:right w:w="108" w:type="dxa"/>
            </w:tcMar>
            <w:vAlign w:val="center"/>
          </w:tcPr>
          <w:p w14:paraId="0027FEF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364,511.94</w:t>
            </w:r>
          </w:p>
        </w:tc>
        <w:tc>
          <w:tcPr>
            <w:tcW w:w="713" w:type="pct"/>
            <w:shd w:val="clear" w:color="auto" w:fill="auto"/>
            <w:tcMar>
              <w:top w:w="0" w:type="dxa"/>
              <w:left w:w="108" w:type="dxa"/>
              <w:bottom w:w="0" w:type="dxa"/>
              <w:right w:w="108" w:type="dxa"/>
            </w:tcMar>
            <w:vAlign w:val="center"/>
          </w:tcPr>
          <w:p w14:paraId="196DED3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430,922.12</w:t>
            </w:r>
          </w:p>
        </w:tc>
        <w:tc>
          <w:tcPr>
            <w:tcW w:w="592" w:type="pct"/>
            <w:shd w:val="clear" w:color="auto" w:fill="auto"/>
            <w:tcMar>
              <w:top w:w="0" w:type="dxa"/>
              <w:left w:w="108" w:type="dxa"/>
              <w:bottom w:w="0" w:type="dxa"/>
              <w:right w:w="108" w:type="dxa"/>
            </w:tcMar>
            <w:vAlign w:val="center"/>
          </w:tcPr>
          <w:p w14:paraId="2931ADB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18.22%</w:t>
            </w:r>
          </w:p>
        </w:tc>
        <w:tc>
          <w:tcPr>
            <w:tcW w:w="767" w:type="pct"/>
            <w:shd w:val="clear" w:color="auto" w:fill="auto"/>
            <w:tcMar>
              <w:top w:w="0" w:type="dxa"/>
              <w:left w:w="108" w:type="dxa"/>
              <w:bottom w:w="0" w:type="dxa"/>
              <w:right w:w="108" w:type="dxa"/>
            </w:tcMar>
            <w:vAlign w:val="center"/>
          </w:tcPr>
          <w:p w14:paraId="71E16AA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365,968.92</w:t>
            </w:r>
          </w:p>
        </w:tc>
        <w:tc>
          <w:tcPr>
            <w:tcW w:w="774" w:type="pct"/>
            <w:shd w:val="clear" w:color="auto" w:fill="auto"/>
            <w:tcMar>
              <w:top w:w="0" w:type="dxa"/>
              <w:left w:w="108" w:type="dxa"/>
              <w:bottom w:w="0" w:type="dxa"/>
              <w:right w:w="108" w:type="dxa"/>
            </w:tcMar>
            <w:vAlign w:val="center"/>
          </w:tcPr>
          <w:p w14:paraId="6FC53E5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426,008.16</w:t>
            </w:r>
          </w:p>
        </w:tc>
        <w:tc>
          <w:tcPr>
            <w:tcW w:w="664" w:type="pct"/>
            <w:shd w:val="clear" w:color="auto" w:fill="auto"/>
            <w:tcMar>
              <w:top w:w="0" w:type="dxa"/>
              <w:left w:w="108" w:type="dxa"/>
              <w:bottom w:w="0" w:type="dxa"/>
              <w:right w:w="108" w:type="dxa"/>
            </w:tcMar>
            <w:vAlign w:val="center"/>
          </w:tcPr>
          <w:p w14:paraId="7CF4855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16.41%</w:t>
            </w:r>
          </w:p>
        </w:tc>
      </w:tr>
      <w:tr w:rsidR="006416B0" w:rsidRPr="00B4515A" w14:paraId="7076946D" w14:textId="77777777" w:rsidTr="00031627">
        <w:trPr>
          <w:trHeight w:val="340"/>
          <w:jc w:val="center"/>
        </w:trPr>
        <w:tc>
          <w:tcPr>
            <w:tcW w:w="722" w:type="pct"/>
            <w:shd w:val="clear" w:color="auto" w:fill="auto"/>
            <w:tcMar>
              <w:top w:w="0" w:type="dxa"/>
              <w:left w:w="108" w:type="dxa"/>
              <w:bottom w:w="0" w:type="dxa"/>
              <w:right w:w="108" w:type="dxa"/>
            </w:tcMar>
            <w:vAlign w:val="center"/>
          </w:tcPr>
          <w:p w14:paraId="4A2B462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归属于母公司所有者权益</w:t>
            </w:r>
          </w:p>
        </w:tc>
        <w:tc>
          <w:tcPr>
            <w:tcW w:w="767" w:type="pct"/>
            <w:shd w:val="clear" w:color="auto" w:fill="auto"/>
            <w:tcMar>
              <w:top w:w="0" w:type="dxa"/>
              <w:left w:w="108" w:type="dxa"/>
              <w:bottom w:w="0" w:type="dxa"/>
              <w:right w:w="108" w:type="dxa"/>
            </w:tcMar>
            <w:vAlign w:val="center"/>
          </w:tcPr>
          <w:p w14:paraId="792EFB5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-140,970.51</w:t>
            </w:r>
          </w:p>
        </w:tc>
        <w:tc>
          <w:tcPr>
            <w:tcW w:w="713" w:type="pct"/>
            <w:shd w:val="clear" w:color="auto" w:fill="auto"/>
            <w:tcMar>
              <w:top w:w="0" w:type="dxa"/>
              <w:left w:w="108" w:type="dxa"/>
              <w:bottom w:w="0" w:type="dxa"/>
              <w:right w:w="108" w:type="dxa"/>
            </w:tcMar>
            <w:vAlign w:val="center"/>
          </w:tcPr>
          <w:p w14:paraId="1A6E1DA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29,482.47</w:t>
            </w:r>
          </w:p>
        </w:tc>
        <w:tc>
          <w:tcPr>
            <w:tcW w:w="592" w:type="pct"/>
            <w:shd w:val="clear" w:color="auto" w:fill="auto"/>
            <w:tcMar>
              <w:top w:w="0" w:type="dxa"/>
              <w:left w:w="108" w:type="dxa"/>
              <w:bottom w:w="0" w:type="dxa"/>
              <w:right w:w="108" w:type="dxa"/>
            </w:tcMar>
            <w:vAlign w:val="center"/>
          </w:tcPr>
          <w:p w14:paraId="0D73E3F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120.91%</w:t>
            </w:r>
          </w:p>
        </w:tc>
        <w:tc>
          <w:tcPr>
            <w:tcW w:w="767" w:type="pct"/>
            <w:shd w:val="clear" w:color="auto" w:fill="auto"/>
            <w:tcMar>
              <w:top w:w="0" w:type="dxa"/>
              <w:left w:w="108" w:type="dxa"/>
              <w:bottom w:w="0" w:type="dxa"/>
              <w:right w:w="108" w:type="dxa"/>
            </w:tcMar>
            <w:vAlign w:val="center"/>
          </w:tcPr>
          <w:p w14:paraId="31FE185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-131,187.30</w:t>
            </w:r>
          </w:p>
        </w:tc>
        <w:tc>
          <w:tcPr>
            <w:tcW w:w="774" w:type="pct"/>
            <w:shd w:val="clear" w:color="auto" w:fill="auto"/>
            <w:tcMar>
              <w:top w:w="0" w:type="dxa"/>
              <w:left w:w="108" w:type="dxa"/>
              <w:bottom w:w="0" w:type="dxa"/>
              <w:right w:w="108" w:type="dxa"/>
            </w:tcMar>
            <w:vAlign w:val="center"/>
          </w:tcPr>
          <w:p w14:paraId="7BF944C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38,924.73</w:t>
            </w:r>
          </w:p>
        </w:tc>
        <w:tc>
          <w:tcPr>
            <w:tcW w:w="664" w:type="pct"/>
            <w:shd w:val="clear" w:color="auto" w:fill="auto"/>
            <w:tcMar>
              <w:top w:w="0" w:type="dxa"/>
              <w:left w:w="108" w:type="dxa"/>
              <w:bottom w:w="0" w:type="dxa"/>
              <w:right w:w="108" w:type="dxa"/>
            </w:tcMar>
            <w:vAlign w:val="center"/>
          </w:tcPr>
          <w:p w14:paraId="24D091D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129.67%</w:t>
            </w:r>
          </w:p>
        </w:tc>
      </w:tr>
      <w:tr w:rsidR="006416B0" w:rsidRPr="00B4515A" w14:paraId="3655A095" w14:textId="77777777" w:rsidTr="00031627">
        <w:trPr>
          <w:trHeight w:val="340"/>
          <w:jc w:val="center"/>
        </w:trPr>
        <w:tc>
          <w:tcPr>
            <w:tcW w:w="722" w:type="pct"/>
            <w:shd w:val="clear" w:color="auto" w:fill="auto"/>
            <w:tcMar>
              <w:top w:w="0" w:type="dxa"/>
              <w:left w:w="108" w:type="dxa"/>
              <w:bottom w:w="0" w:type="dxa"/>
              <w:right w:w="108" w:type="dxa"/>
            </w:tcMar>
            <w:vAlign w:val="center"/>
          </w:tcPr>
          <w:p w14:paraId="10291ED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营业收入</w:t>
            </w:r>
          </w:p>
        </w:tc>
        <w:tc>
          <w:tcPr>
            <w:tcW w:w="767" w:type="pct"/>
            <w:shd w:val="clear" w:color="auto" w:fill="auto"/>
            <w:tcMar>
              <w:top w:w="0" w:type="dxa"/>
              <w:left w:w="108" w:type="dxa"/>
              <w:bottom w:w="0" w:type="dxa"/>
              <w:right w:w="108" w:type="dxa"/>
            </w:tcMar>
            <w:vAlign w:val="center"/>
          </w:tcPr>
          <w:p w14:paraId="149036A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13,624.42</w:t>
            </w:r>
          </w:p>
        </w:tc>
        <w:tc>
          <w:tcPr>
            <w:tcW w:w="713" w:type="pct"/>
            <w:shd w:val="clear" w:color="auto" w:fill="auto"/>
            <w:tcMar>
              <w:top w:w="0" w:type="dxa"/>
              <w:left w:w="108" w:type="dxa"/>
              <w:bottom w:w="0" w:type="dxa"/>
              <w:right w:w="108" w:type="dxa"/>
            </w:tcMar>
            <w:vAlign w:val="center"/>
          </w:tcPr>
          <w:p w14:paraId="7B8C9E3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25,810.48</w:t>
            </w:r>
          </w:p>
        </w:tc>
        <w:tc>
          <w:tcPr>
            <w:tcW w:w="592" w:type="pct"/>
            <w:shd w:val="clear" w:color="auto" w:fill="auto"/>
            <w:tcMar>
              <w:top w:w="0" w:type="dxa"/>
              <w:left w:w="108" w:type="dxa"/>
              <w:bottom w:w="0" w:type="dxa"/>
              <w:right w:w="108" w:type="dxa"/>
            </w:tcMar>
            <w:vAlign w:val="center"/>
          </w:tcPr>
          <w:p w14:paraId="5C9FB5F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89.44%</w:t>
            </w:r>
          </w:p>
        </w:tc>
        <w:tc>
          <w:tcPr>
            <w:tcW w:w="767" w:type="pct"/>
            <w:shd w:val="clear" w:color="auto" w:fill="auto"/>
            <w:tcMar>
              <w:top w:w="0" w:type="dxa"/>
              <w:left w:w="108" w:type="dxa"/>
              <w:bottom w:w="0" w:type="dxa"/>
              <w:right w:w="108" w:type="dxa"/>
            </w:tcMar>
            <w:vAlign w:val="center"/>
          </w:tcPr>
          <w:p w14:paraId="7614D84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120,721.15</w:t>
            </w:r>
          </w:p>
        </w:tc>
        <w:tc>
          <w:tcPr>
            <w:tcW w:w="774" w:type="pct"/>
            <w:shd w:val="clear" w:color="auto" w:fill="auto"/>
            <w:tcMar>
              <w:top w:w="0" w:type="dxa"/>
              <w:left w:w="108" w:type="dxa"/>
              <w:bottom w:w="0" w:type="dxa"/>
              <w:right w:w="108" w:type="dxa"/>
            </w:tcMar>
            <w:vAlign w:val="center"/>
          </w:tcPr>
          <w:p w14:paraId="18B9752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162,630.87</w:t>
            </w:r>
          </w:p>
        </w:tc>
        <w:tc>
          <w:tcPr>
            <w:tcW w:w="664" w:type="pct"/>
            <w:shd w:val="clear" w:color="auto" w:fill="auto"/>
            <w:tcMar>
              <w:top w:w="0" w:type="dxa"/>
              <w:left w:w="108" w:type="dxa"/>
              <w:bottom w:w="0" w:type="dxa"/>
              <w:right w:w="108" w:type="dxa"/>
            </w:tcMar>
            <w:vAlign w:val="center"/>
          </w:tcPr>
          <w:p w14:paraId="1DCF575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34.72%</w:t>
            </w:r>
          </w:p>
        </w:tc>
      </w:tr>
      <w:tr w:rsidR="006416B0" w:rsidRPr="00B4515A" w14:paraId="14E5621F" w14:textId="77777777" w:rsidTr="00031627">
        <w:trPr>
          <w:trHeight w:val="340"/>
          <w:jc w:val="center"/>
        </w:trPr>
        <w:tc>
          <w:tcPr>
            <w:tcW w:w="722" w:type="pct"/>
            <w:shd w:val="clear" w:color="auto" w:fill="auto"/>
            <w:tcMar>
              <w:top w:w="0" w:type="dxa"/>
              <w:left w:w="108" w:type="dxa"/>
              <w:bottom w:w="0" w:type="dxa"/>
              <w:right w:w="108" w:type="dxa"/>
            </w:tcMar>
            <w:vAlign w:val="center"/>
          </w:tcPr>
          <w:p w14:paraId="0DFE4C0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营业利润</w:t>
            </w:r>
          </w:p>
        </w:tc>
        <w:tc>
          <w:tcPr>
            <w:tcW w:w="767" w:type="pct"/>
            <w:shd w:val="clear" w:color="auto" w:fill="auto"/>
            <w:tcMar>
              <w:top w:w="0" w:type="dxa"/>
              <w:left w:w="108" w:type="dxa"/>
              <w:bottom w:w="0" w:type="dxa"/>
              <w:right w:w="108" w:type="dxa"/>
            </w:tcMar>
            <w:vAlign w:val="center"/>
          </w:tcPr>
          <w:p w14:paraId="6FB7382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-15,190.48</w:t>
            </w:r>
          </w:p>
        </w:tc>
        <w:tc>
          <w:tcPr>
            <w:tcW w:w="713" w:type="pct"/>
            <w:shd w:val="clear" w:color="auto" w:fill="auto"/>
            <w:tcMar>
              <w:top w:w="0" w:type="dxa"/>
              <w:left w:w="108" w:type="dxa"/>
              <w:bottom w:w="0" w:type="dxa"/>
              <w:right w:w="108" w:type="dxa"/>
            </w:tcMar>
            <w:vAlign w:val="center"/>
          </w:tcPr>
          <w:p w14:paraId="62F11B6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-14,796.74</w:t>
            </w:r>
          </w:p>
        </w:tc>
        <w:tc>
          <w:tcPr>
            <w:tcW w:w="592" w:type="pct"/>
            <w:shd w:val="clear" w:color="auto" w:fill="auto"/>
            <w:tcMar>
              <w:top w:w="0" w:type="dxa"/>
              <w:left w:w="108" w:type="dxa"/>
              <w:bottom w:w="0" w:type="dxa"/>
              <w:right w:w="108" w:type="dxa"/>
            </w:tcMar>
            <w:vAlign w:val="center"/>
          </w:tcPr>
          <w:p w14:paraId="56B65C3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2.59%</w:t>
            </w:r>
          </w:p>
        </w:tc>
        <w:tc>
          <w:tcPr>
            <w:tcW w:w="767" w:type="pct"/>
            <w:shd w:val="clear" w:color="auto" w:fill="auto"/>
            <w:tcMar>
              <w:top w:w="0" w:type="dxa"/>
              <w:left w:w="108" w:type="dxa"/>
              <w:bottom w:w="0" w:type="dxa"/>
              <w:right w:w="108" w:type="dxa"/>
            </w:tcMar>
            <w:vAlign w:val="center"/>
          </w:tcPr>
          <w:p w14:paraId="2CFDBE7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-160,274.33</w:t>
            </w:r>
          </w:p>
        </w:tc>
        <w:tc>
          <w:tcPr>
            <w:tcW w:w="774" w:type="pct"/>
            <w:shd w:val="clear" w:color="auto" w:fill="auto"/>
            <w:tcMar>
              <w:top w:w="0" w:type="dxa"/>
              <w:left w:w="108" w:type="dxa"/>
              <w:bottom w:w="0" w:type="dxa"/>
              <w:right w:w="108" w:type="dxa"/>
            </w:tcMar>
            <w:vAlign w:val="center"/>
          </w:tcPr>
          <w:p w14:paraId="1D7FE1E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-155,847.49</w:t>
            </w:r>
          </w:p>
        </w:tc>
        <w:tc>
          <w:tcPr>
            <w:tcW w:w="664" w:type="pct"/>
            <w:shd w:val="clear" w:color="auto" w:fill="auto"/>
            <w:tcMar>
              <w:top w:w="0" w:type="dxa"/>
              <w:left w:w="108" w:type="dxa"/>
              <w:bottom w:w="0" w:type="dxa"/>
              <w:right w:w="108" w:type="dxa"/>
            </w:tcMar>
            <w:vAlign w:val="center"/>
          </w:tcPr>
          <w:p w14:paraId="4E0AF1A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2.76%</w:t>
            </w:r>
          </w:p>
        </w:tc>
      </w:tr>
      <w:tr w:rsidR="006416B0" w:rsidRPr="00B4515A" w14:paraId="7FC3E1E9" w14:textId="77777777" w:rsidTr="00031627">
        <w:trPr>
          <w:trHeight w:val="340"/>
          <w:jc w:val="center"/>
        </w:trPr>
        <w:tc>
          <w:tcPr>
            <w:tcW w:w="722" w:type="pct"/>
            <w:shd w:val="clear" w:color="auto" w:fill="auto"/>
            <w:tcMar>
              <w:top w:w="0" w:type="dxa"/>
              <w:left w:w="108" w:type="dxa"/>
              <w:bottom w:w="0" w:type="dxa"/>
              <w:right w:w="108" w:type="dxa"/>
            </w:tcMar>
            <w:vAlign w:val="center"/>
          </w:tcPr>
          <w:p w14:paraId="3EF1F98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利润总额</w:t>
            </w:r>
          </w:p>
        </w:tc>
        <w:tc>
          <w:tcPr>
            <w:tcW w:w="767" w:type="pct"/>
            <w:shd w:val="clear" w:color="auto" w:fill="auto"/>
            <w:tcMar>
              <w:top w:w="0" w:type="dxa"/>
              <w:left w:w="108" w:type="dxa"/>
              <w:bottom w:w="0" w:type="dxa"/>
              <w:right w:w="108" w:type="dxa"/>
            </w:tcMar>
            <w:vAlign w:val="center"/>
          </w:tcPr>
          <w:p w14:paraId="63FFA29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-15,164.66</w:t>
            </w:r>
          </w:p>
        </w:tc>
        <w:tc>
          <w:tcPr>
            <w:tcW w:w="713" w:type="pct"/>
            <w:shd w:val="clear" w:color="auto" w:fill="auto"/>
            <w:tcMar>
              <w:top w:w="0" w:type="dxa"/>
              <w:left w:w="108" w:type="dxa"/>
              <w:bottom w:w="0" w:type="dxa"/>
              <w:right w:w="108" w:type="dxa"/>
            </w:tcMar>
            <w:vAlign w:val="center"/>
          </w:tcPr>
          <w:p w14:paraId="610C505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-14,784.62</w:t>
            </w:r>
          </w:p>
        </w:tc>
        <w:tc>
          <w:tcPr>
            <w:tcW w:w="592" w:type="pct"/>
            <w:shd w:val="clear" w:color="auto" w:fill="auto"/>
            <w:tcMar>
              <w:top w:w="0" w:type="dxa"/>
              <w:left w:w="108" w:type="dxa"/>
              <w:bottom w:w="0" w:type="dxa"/>
              <w:right w:w="108" w:type="dxa"/>
            </w:tcMar>
            <w:vAlign w:val="center"/>
          </w:tcPr>
          <w:p w14:paraId="307223B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2.51%</w:t>
            </w:r>
          </w:p>
        </w:tc>
        <w:tc>
          <w:tcPr>
            <w:tcW w:w="767" w:type="pct"/>
            <w:shd w:val="clear" w:color="auto" w:fill="auto"/>
            <w:tcMar>
              <w:top w:w="0" w:type="dxa"/>
              <w:left w:w="108" w:type="dxa"/>
              <w:bottom w:w="0" w:type="dxa"/>
              <w:right w:w="108" w:type="dxa"/>
            </w:tcMar>
            <w:vAlign w:val="center"/>
          </w:tcPr>
          <w:p w14:paraId="25D2149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-168,793.47</w:t>
            </w:r>
          </w:p>
        </w:tc>
        <w:tc>
          <w:tcPr>
            <w:tcW w:w="774" w:type="pct"/>
            <w:shd w:val="clear" w:color="auto" w:fill="auto"/>
            <w:tcMar>
              <w:top w:w="0" w:type="dxa"/>
              <w:left w:w="108" w:type="dxa"/>
              <w:bottom w:w="0" w:type="dxa"/>
              <w:right w:w="108" w:type="dxa"/>
            </w:tcMar>
            <w:vAlign w:val="center"/>
          </w:tcPr>
          <w:p w14:paraId="076C427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-164,212.51</w:t>
            </w:r>
          </w:p>
        </w:tc>
        <w:tc>
          <w:tcPr>
            <w:tcW w:w="664" w:type="pct"/>
            <w:shd w:val="clear" w:color="auto" w:fill="auto"/>
            <w:tcMar>
              <w:top w:w="0" w:type="dxa"/>
              <w:left w:w="108" w:type="dxa"/>
              <w:bottom w:w="0" w:type="dxa"/>
              <w:right w:w="108" w:type="dxa"/>
            </w:tcMar>
            <w:vAlign w:val="center"/>
          </w:tcPr>
          <w:p w14:paraId="5F3E9AC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2.71%</w:t>
            </w:r>
          </w:p>
        </w:tc>
      </w:tr>
      <w:tr w:rsidR="006416B0" w:rsidRPr="00B4515A" w14:paraId="6AFC807A" w14:textId="77777777" w:rsidTr="00031627">
        <w:trPr>
          <w:trHeight w:val="340"/>
          <w:jc w:val="center"/>
        </w:trPr>
        <w:tc>
          <w:tcPr>
            <w:tcW w:w="722" w:type="pct"/>
            <w:shd w:val="clear" w:color="auto" w:fill="auto"/>
            <w:tcMar>
              <w:top w:w="0" w:type="dxa"/>
              <w:left w:w="108" w:type="dxa"/>
              <w:bottom w:w="0" w:type="dxa"/>
              <w:right w:w="108" w:type="dxa"/>
            </w:tcMar>
            <w:vAlign w:val="center"/>
          </w:tcPr>
          <w:p w14:paraId="47401ED5" w14:textId="77777777" w:rsidR="005860B4"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归属于母公司所有者的净</w:t>
            </w:r>
          </w:p>
          <w:p w14:paraId="18BE94E5" w14:textId="01EBA1B5"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利润</w:t>
            </w:r>
          </w:p>
        </w:tc>
        <w:tc>
          <w:tcPr>
            <w:tcW w:w="767" w:type="pct"/>
            <w:shd w:val="clear" w:color="auto" w:fill="auto"/>
            <w:tcMar>
              <w:top w:w="0" w:type="dxa"/>
              <w:left w:w="108" w:type="dxa"/>
              <w:bottom w:w="0" w:type="dxa"/>
              <w:right w:w="108" w:type="dxa"/>
            </w:tcMar>
            <w:vAlign w:val="center"/>
          </w:tcPr>
          <w:p w14:paraId="6262C25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-9,784.31</w:t>
            </w:r>
          </w:p>
        </w:tc>
        <w:tc>
          <w:tcPr>
            <w:tcW w:w="713" w:type="pct"/>
            <w:shd w:val="clear" w:color="auto" w:fill="auto"/>
            <w:tcMar>
              <w:top w:w="0" w:type="dxa"/>
              <w:left w:w="108" w:type="dxa"/>
              <w:bottom w:w="0" w:type="dxa"/>
              <w:right w:w="108" w:type="dxa"/>
            </w:tcMar>
            <w:vAlign w:val="center"/>
          </w:tcPr>
          <w:p w14:paraId="01C7A4A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-9,443.36</w:t>
            </w:r>
          </w:p>
        </w:tc>
        <w:tc>
          <w:tcPr>
            <w:tcW w:w="592" w:type="pct"/>
            <w:shd w:val="clear" w:color="auto" w:fill="auto"/>
            <w:tcMar>
              <w:top w:w="0" w:type="dxa"/>
              <w:left w:w="108" w:type="dxa"/>
              <w:bottom w:w="0" w:type="dxa"/>
              <w:right w:w="108" w:type="dxa"/>
            </w:tcMar>
            <w:vAlign w:val="center"/>
          </w:tcPr>
          <w:p w14:paraId="63049B5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3.48%</w:t>
            </w:r>
          </w:p>
        </w:tc>
        <w:tc>
          <w:tcPr>
            <w:tcW w:w="767" w:type="pct"/>
            <w:shd w:val="clear" w:color="auto" w:fill="auto"/>
            <w:tcMar>
              <w:top w:w="0" w:type="dxa"/>
              <w:left w:w="108" w:type="dxa"/>
              <w:bottom w:w="0" w:type="dxa"/>
              <w:right w:w="108" w:type="dxa"/>
            </w:tcMar>
            <w:vAlign w:val="center"/>
          </w:tcPr>
          <w:p w14:paraId="42C76DE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-136,381.11</w:t>
            </w:r>
          </w:p>
        </w:tc>
        <w:tc>
          <w:tcPr>
            <w:tcW w:w="774" w:type="pct"/>
            <w:shd w:val="clear" w:color="auto" w:fill="auto"/>
            <w:tcMar>
              <w:top w:w="0" w:type="dxa"/>
              <w:left w:w="108" w:type="dxa"/>
              <w:bottom w:w="0" w:type="dxa"/>
              <w:right w:w="108" w:type="dxa"/>
            </w:tcMar>
            <w:vAlign w:val="center"/>
          </w:tcPr>
          <w:p w14:paraId="77D05B4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-132,112.46</w:t>
            </w:r>
          </w:p>
        </w:tc>
        <w:tc>
          <w:tcPr>
            <w:tcW w:w="664" w:type="pct"/>
            <w:shd w:val="clear" w:color="auto" w:fill="auto"/>
            <w:tcMar>
              <w:top w:w="0" w:type="dxa"/>
              <w:left w:w="108" w:type="dxa"/>
              <w:bottom w:w="0" w:type="dxa"/>
              <w:right w:w="108" w:type="dxa"/>
            </w:tcMar>
            <w:vAlign w:val="center"/>
          </w:tcPr>
          <w:p w14:paraId="0F4BD37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3.13%</w:t>
            </w:r>
          </w:p>
        </w:tc>
      </w:tr>
      <w:tr w:rsidR="003E700C" w:rsidRPr="00B4515A" w14:paraId="53EC9878" w14:textId="77777777" w:rsidTr="00031627">
        <w:trPr>
          <w:trHeight w:val="340"/>
          <w:jc w:val="center"/>
        </w:trPr>
        <w:tc>
          <w:tcPr>
            <w:tcW w:w="722" w:type="pct"/>
            <w:shd w:val="clear" w:color="auto" w:fill="auto"/>
            <w:tcMar>
              <w:top w:w="0" w:type="dxa"/>
              <w:left w:w="108" w:type="dxa"/>
              <w:bottom w:w="0" w:type="dxa"/>
              <w:right w:w="108" w:type="dxa"/>
            </w:tcMar>
            <w:vAlign w:val="center"/>
          </w:tcPr>
          <w:p w14:paraId="372B51BC" w14:textId="77777777" w:rsidR="005860B4" w:rsidRPr="00B4515A" w:rsidRDefault="003E70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资产负</w:t>
            </w:r>
          </w:p>
          <w:p w14:paraId="73D9B902" w14:textId="13EB5C49" w:rsidR="003E700C" w:rsidRPr="00B4515A" w:rsidRDefault="003E70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债率</w:t>
            </w:r>
          </w:p>
        </w:tc>
        <w:tc>
          <w:tcPr>
            <w:tcW w:w="767" w:type="pct"/>
            <w:shd w:val="clear" w:color="auto" w:fill="auto"/>
            <w:tcMar>
              <w:top w:w="0" w:type="dxa"/>
              <w:left w:w="108" w:type="dxa"/>
              <w:bottom w:w="0" w:type="dxa"/>
              <w:right w:w="108" w:type="dxa"/>
            </w:tcMar>
            <w:vAlign w:val="center"/>
          </w:tcPr>
          <w:p w14:paraId="029B8920" w14:textId="77777777" w:rsidR="003E700C" w:rsidRPr="00B4515A" w:rsidRDefault="003E70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122.32</w:t>
            </w:r>
            <w:r w:rsidRPr="00B4515A">
              <w:rPr>
                <w:rFonts w:ascii="Times New Roman" w:eastAsiaTheme="minorEastAsia" w:hAnsi="Times New Roman" w:cs="Times New Roman" w:hint="eastAsia"/>
                <w:color w:val="000000"/>
                <w:sz w:val="21"/>
                <w:szCs w:val="21"/>
              </w:rPr>
              <w:t>%</w:t>
            </w:r>
          </w:p>
        </w:tc>
        <w:tc>
          <w:tcPr>
            <w:tcW w:w="713" w:type="pct"/>
            <w:shd w:val="clear" w:color="auto" w:fill="auto"/>
            <w:tcMar>
              <w:top w:w="0" w:type="dxa"/>
              <w:left w:w="108" w:type="dxa"/>
              <w:bottom w:w="0" w:type="dxa"/>
              <w:right w:w="108" w:type="dxa"/>
            </w:tcMar>
            <w:vAlign w:val="center"/>
          </w:tcPr>
          <w:p w14:paraId="23E84CCB" w14:textId="77777777"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79.97%</w:t>
            </w:r>
          </w:p>
        </w:tc>
        <w:tc>
          <w:tcPr>
            <w:tcW w:w="592" w:type="pct"/>
            <w:shd w:val="clear" w:color="auto" w:fill="auto"/>
            <w:tcMar>
              <w:top w:w="0" w:type="dxa"/>
              <w:left w:w="108" w:type="dxa"/>
              <w:bottom w:w="0" w:type="dxa"/>
              <w:right w:w="108" w:type="dxa"/>
            </w:tcMar>
            <w:vAlign w:val="center"/>
          </w:tcPr>
          <w:p w14:paraId="21D6DC1F" w14:textId="27FE4727"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-42.35%</w:t>
            </w:r>
          </w:p>
        </w:tc>
        <w:tc>
          <w:tcPr>
            <w:tcW w:w="767" w:type="pct"/>
            <w:shd w:val="clear" w:color="auto" w:fill="auto"/>
            <w:tcMar>
              <w:top w:w="0" w:type="dxa"/>
              <w:left w:w="108" w:type="dxa"/>
              <w:bottom w:w="0" w:type="dxa"/>
              <w:right w:w="108" w:type="dxa"/>
            </w:tcMar>
            <w:vAlign w:val="center"/>
          </w:tcPr>
          <w:p w14:paraId="4AC7499C" w14:textId="77777777"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116.54%</w:t>
            </w:r>
          </w:p>
        </w:tc>
        <w:tc>
          <w:tcPr>
            <w:tcW w:w="774" w:type="pct"/>
            <w:shd w:val="clear" w:color="auto" w:fill="auto"/>
            <w:tcMar>
              <w:top w:w="0" w:type="dxa"/>
              <w:left w:w="108" w:type="dxa"/>
              <w:bottom w:w="0" w:type="dxa"/>
              <w:right w:w="108" w:type="dxa"/>
            </w:tcMar>
            <w:vAlign w:val="center"/>
          </w:tcPr>
          <w:p w14:paraId="5A5FAFED" w14:textId="77777777"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77.72%</w:t>
            </w:r>
          </w:p>
        </w:tc>
        <w:tc>
          <w:tcPr>
            <w:tcW w:w="664" w:type="pct"/>
            <w:shd w:val="clear" w:color="auto" w:fill="auto"/>
            <w:tcMar>
              <w:top w:w="0" w:type="dxa"/>
              <w:left w:w="108" w:type="dxa"/>
              <w:bottom w:w="0" w:type="dxa"/>
              <w:right w:w="108" w:type="dxa"/>
            </w:tcMar>
            <w:vAlign w:val="center"/>
          </w:tcPr>
          <w:p w14:paraId="23ECF12A" w14:textId="60FC682D"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-38.82%</w:t>
            </w:r>
          </w:p>
        </w:tc>
      </w:tr>
      <w:tr w:rsidR="003E700C" w:rsidRPr="00B4515A" w14:paraId="550E2F7E" w14:textId="77777777" w:rsidTr="00031627">
        <w:trPr>
          <w:trHeight w:val="340"/>
          <w:jc w:val="center"/>
        </w:trPr>
        <w:tc>
          <w:tcPr>
            <w:tcW w:w="722" w:type="pct"/>
            <w:shd w:val="clear" w:color="auto" w:fill="auto"/>
            <w:tcMar>
              <w:top w:w="0" w:type="dxa"/>
              <w:left w:w="108" w:type="dxa"/>
              <w:bottom w:w="0" w:type="dxa"/>
              <w:right w:w="108" w:type="dxa"/>
            </w:tcMar>
            <w:vAlign w:val="center"/>
          </w:tcPr>
          <w:p w14:paraId="36A226FC" w14:textId="77777777" w:rsidR="003E700C" w:rsidRPr="00B4515A" w:rsidRDefault="003E70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毛利率</w:t>
            </w:r>
          </w:p>
        </w:tc>
        <w:tc>
          <w:tcPr>
            <w:tcW w:w="767" w:type="pct"/>
            <w:shd w:val="clear" w:color="auto" w:fill="auto"/>
            <w:tcMar>
              <w:top w:w="0" w:type="dxa"/>
              <w:left w:w="108" w:type="dxa"/>
              <w:bottom w:w="0" w:type="dxa"/>
              <w:right w:w="108" w:type="dxa"/>
            </w:tcMar>
            <w:vAlign w:val="center"/>
          </w:tcPr>
          <w:p w14:paraId="05BE60E6" w14:textId="77777777" w:rsidR="003E700C" w:rsidRPr="00B4515A" w:rsidRDefault="003E70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25.45</w:t>
            </w:r>
            <w:r w:rsidRPr="00B4515A">
              <w:rPr>
                <w:rFonts w:ascii="Times New Roman" w:eastAsiaTheme="minorEastAsia" w:hAnsi="Times New Roman" w:cs="Times New Roman" w:hint="eastAsia"/>
                <w:color w:val="000000"/>
                <w:sz w:val="21"/>
                <w:szCs w:val="21"/>
              </w:rPr>
              <w:t>%</w:t>
            </w:r>
          </w:p>
        </w:tc>
        <w:tc>
          <w:tcPr>
            <w:tcW w:w="713" w:type="pct"/>
            <w:shd w:val="clear" w:color="auto" w:fill="auto"/>
            <w:tcMar>
              <w:top w:w="0" w:type="dxa"/>
              <w:left w:w="108" w:type="dxa"/>
              <w:bottom w:w="0" w:type="dxa"/>
              <w:right w:w="108" w:type="dxa"/>
            </w:tcMar>
            <w:vAlign w:val="center"/>
          </w:tcPr>
          <w:p w14:paraId="739818BD" w14:textId="77777777"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43.30%</w:t>
            </w:r>
          </w:p>
        </w:tc>
        <w:tc>
          <w:tcPr>
            <w:tcW w:w="592" w:type="pct"/>
            <w:shd w:val="clear" w:color="auto" w:fill="auto"/>
            <w:tcMar>
              <w:top w:w="0" w:type="dxa"/>
              <w:left w:w="108" w:type="dxa"/>
              <w:bottom w:w="0" w:type="dxa"/>
              <w:right w:w="108" w:type="dxa"/>
            </w:tcMar>
            <w:vAlign w:val="center"/>
          </w:tcPr>
          <w:p w14:paraId="2CFA0BEA" w14:textId="4E356B5A"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17.85%</w:t>
            </w:r>
          </w:p>
        </w:tc>
        <w:tc>
          <w:tcPr>
            <w:tcW w:w="767" w:type="pct"/>
            <w:shd w:val="clear" w:color="auto" w:fill="auto"/>
            <w:tcMar>
              <w:top w:w="0" w:type="dxa"/>
              <w:left w:w="108" w:type="dxa"/>
              <w:bottom w:w="0" w:type="dxa"/>
              <w:right w:w="108" w:type="dxa"/>
            </w:tcMar>
            <w:vAlign w:val="center"/>
          </w:tcPr>
          <w:p w14:paraId="0FA7D03A" w14:textId="77777777"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32.04%</w:t>
            </w:r>
          </w:p>
        </w:tc>
        <w:tc>
          <w:tcPr>
            <w:tcW w:w="774" w:type="pct"/>
            <w:shd w:val="clear" w:color="auto" w:fill="auto"/>
            <w:tcMar>
              <w:top w:w="0" w:type="dxa"/>
              <w:left w:w="108" w:type="dxa"/>
              <w:bottom w:w="0" w:type="dxa"/>
              <w:right w:w="108" w:type="dxa"/>
            </w:tcMar>
            <w:vAlign w:val="center"/>
          </w:tcPr>
          <w:p w14:paraId="33EBE7BC" w14:textId="77777777"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40.46%</w:t>
            </w:r>
          </w:p>
        </w:tc>
        <w:tc>
          <w:tcPr>
            <w:tcW w:w="664" w:type="pct"/>
            <w:shd w:val="clear" w:color="auto" w:fill="auto"/>
            <w:tcMar>
              <w:top w:w="0" w:type="dxa"/>
              <w:left w:w="108" w:type="dxa"/>
              <w:bottom w:w="0" w:type="dxa"/>
              <w:right w:w="108" w:type="dxa"/>
            </w:tcMar>
            <w:vAlign w:val="center"/>
          </w:tcPr>
          <w:p w14:paraId="7C25E6A5" w14:textId="72642FD6"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8.42%</w:t>
            </w:r>
          </w:p>
        </w:tc>
      </w:tr>
      <w:tr w:rsidR="006416B0" w:rsidRPr="00B4515A" w14:paraId="596B89A0" w14:textId="77777777" w:rsidTr="00031627">
        <w:trPr>
          <w:trHeight w:val="340"/>
          <w:jc w:val="center"/>
        </w:trPr>
        <w:tc>
          <w:tcPr>
            <w:tcW w:w="722" w:type="pct"/>
            <w:shd w:val="clear" w:color="auto" w:fill="auto"/>
            <w:tcMar>
              <w:top w:w="0" w:type="dxa"/>
              <w:left w:w="108" w:type="dxa"/>
              <w:bottom w:w="0" w:type="dxa"/>
              <w:right w:w="108" w:type="dxa"/>
            </w:tcMar>
            <w:vAlign w:val="center"/>
          </w:tcPr>
          <w:p w14:paraId="47A74571" w14:textId="77777777" w:rsidR="005860B4"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基本每股收益</w:t>
            </w:r>
          </w:p>
          <w:p w14:paraId="1C40CFD0" w14:textId="771FCBBA"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股）</w:t>
            </w:r>
          </w:p>
        </w:tc>
        <w:tc>
          <w:tcPr>
            <w:tcW w:w="767" w:type="pct"/>
            <w:shd w:val="clear" w:color="auto" w:fill="auto"/>
            <w:tcMar>
              <w:top w:w="0" w:type="dxa"/>
              <w:left w:w="108" w:type="dxa"/>
              <w:bottom w:w="0" w:type="dxa"/>
              <w:right w:w="108" w:type="dxa"/>
            </w:tcMar>
            <w:vAlign w:val="center"/>
          </w:tcPr>
          <w:p w14:paraId="7D712CA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-0.11</w:t>
            </w:r>
          </w:p>
        </w:tc>
        <w:tc>
          <w:tcPr>
            <w:tcW w:w="713" w:type="pct"/>
            <w:shd w:val="clear" w:color="auto" w:fill="auto"/>
            <w:tcMar>
              <w:top w:w="0" w:type="dxa"/>
              <w:left w:w="108" w:type="dxa"/>
              <w:bottom w:w="0" w:type="dxa"/>
              <w:right w:w="108" w:type="dxa"/>
            </w:tcMar>
            <w:vAlign w:val="center"/>
          </w:tcPr>
          <w:p w14:paraId="79CA4D6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-0.07</w:t>
            </w:r>
          </w:p>
        </w:tc>
        <w:tc>
          <w:tcPr>
            <w:tcW w:w="592" w:type="pct"/>
            <w:shd w:val="clear" w:color="auto" w:fill="auto"/>
            <w:tcMar>
              <w:top w:w="0" w:type="dxa"/>
              <w:left w:w="108" w:type="dxa"/>
              <w:bottom w:w="0" w:type="dxa"/>
              <w:right w:w="108" w:type="dxa"/>
            </w:tcMar>
            <w:vAlign w:val="center"/>
          </w:tcPr>
          <w:p w14:paraId="6107EFF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35.19%</w:t>
            </w:r>
          </w:p>
        </w:tc>
        <w:tc>
          <w:tcPr>
            <w:tcW w:w="767" w:type="pct"/>
            <w:shd w:val="clear" w:color="auto" w:fill="auto"/>
            <w:tcMar>
              <w:top w:w="0" w:type="dxa"/>
              <w:left w:w="108" w:type="dxa"/>
              <w:bottom w:w="0" w:type="dxa"/>
              <w:right w:w="108" w:type="dxa"/>
            </w:tcMar>
            <w:vAlign w:val="center"/>
          </w:tcPr>
          <w:p w14:paraId="088E7DB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-1.55</w:t>
            </w:r>
          </w:p>
        </w:tc>
        <w:tc>
          <w:tcPr>
            <w:tcW w:w="774" w:type="pct"/>
            <w:shd w:val="clear" w:color="auto" w:fill="auto"/>
            <w:tcMar>
              <w:top w:w="0" w:type="dxa"/>
              <w:left w:w="108" w:type="dxa"/>
              <w:bottom w:w="0" w:type="dxa"/>
              <w:right w:w="108" w:type="dxa"/>
            </w:tcMar>
            <w:vAlign w:val="center"/>
          </w:tcPr>
          <w:p w14:paraId="5D7A009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-1.01</w:t>
            </w:r>
          </w:p>
        </w:tc>
        <w:tc>
          <w:tcPr>
            <w:tcW w:w="664" w:type="pct"/>
            <w:shd w:val="clear" w:color="auto" w:fill="auto"/>
            <w:tcMar>
              <w:top w:w="0" w:type="dxa"/>
              <w:left w:w="108" w:type="dxa"/>
              <w:bottom w:w="0" w:type="dxa"/>
              <w:right w:w="108" w:type="dxa"/>
            </w:tcMar>
            <w:vAlign w:val="center"/>
          </w:tcPr>
          <w:p w14:paraId="2C76822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34.96%</w:t>
            </w:r>
          </w:p>
        </w:tc>
      </w:tr>
      <w:tr w:rsidR="006416B0" w:rsidRPr="00B4515A" w14:paraId="10474523" w14:textId="77777777" w:rsidTr="00031627">
        <w:trPr>
          <w:trHeight w:val="340"/>
          <w:jc w:val="center"/>
        </w:trPr>
        <w:tc>
          <w:tcPr>
            <w:tcW w:w="722" w:type="pct"/>
            <w:shd w:val="clear" w:color="auto" w:fill="auto"/>
            <w:tcMar>
              <w:top w:w="0" w:type="dxa"/>
              <w:left w:w="108" w:type="dxa"/>
              <w:bottom w:w="0" w:type="dxa"/>
              <w:right w:w="108" w:type="dxa"/>
            </w:tcMar>
            <w:vAlign w:val="center"/>
          </w:tcPr>
          <w:p w14:paraId="0D8BA43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扣非后基本每股收益（元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股）</w:t>
            </w:r>
          </w:p>
        </w:tc>
        <w:tc>
          <w:tcPr>
            <w:tcW w:w="767" w:type="pct"/>
            <w:shd w:val="clear" w:color="auto" w:fill="auto"/>
            <w:tcMar>
              <w:top w:w="0" w:type="dxa"/>
              <w:left w:w="108" w:type="dxa"/>
              <w:bottom w:w="0" w:type="dxa"/>
              <w:right w:w="108" w:type="dxa"/>
            </w:tcMar>
            <w:vAlign w:val="center"/>
          </w:tcPr>
          <w:p w14:paraId="41273A0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-0.13</w:t>
            </w:r>
          </w:p>
        </w:tc>
        <w:tc>
          <w:tcPr>
            <w:tcW w:w="713" w:type="pct"/>
            <w:shd w:val="clear" w:color="auto" w:fill="auto"/>
            <w:tcMar>
              <w:top w:w="0" w:type="dxa"/>
              <w:left w:w="108" w:type="dxa"/>
              <w:bottom w:w="0" w:type="dxa"/>
              <w:right w:w="108" w:type="dxa"/>
            </w:tcMar>
            <w:vAlign w:val="center"/>
          </w:tcPr>
          <w:p w14:paraId="18E90D6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-0.08</w:t>
            </w:r>
          </w:p>
        </w:tc>
        <w:tc>
          <w:tcPr>
            <w:tcW w:w="592" w:type="pct"/>
            <w:shd w:val="clear" w:color="auto" w:fill="auto"/>
            <w:tcMar>
              <w:top w:w="0" w:type="dxa"/>
              <w:left w:w="108" w:type="dxa"/>
              <w:bottom w:w="0" w:type="dxa"/>
              <w:right w:w="108" w:type="dxa"/>
            </w:tcMar>
            <w:vAlign w:val="center"/>
          </w:tcPr>
          <w:p w14:paraId="3FB42ED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35.00%</w:t>
            </w:r>
          </w:p>
        </w:tc>
        <w:tc>
          <w:tcPr>
            <w:tcW w:w="767" w:type="pct"/>
            <w:shd w:val="clear" w:color="auto" w:fill="auto"/>
            <w:tcMar>
              <w:top w:w="0" w:type="dxa"/>
              <w:left w:w="108" w:type="dxa"/>
              <w:bottom w:w="0" w:type="dxa"/>
              <w:right w:w="108" w:type="dxa"/>
            </w:tcMar>
            <w:vAlign w:val="center"/>
          </w:tcPr>
          <w:p w14:paraId="7E75C2B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-1.59</w:t>
            </w:r>
          </w:p>
        </w:tc>
        <w:tc>
          <w:tcPr>
            <w:tcW w:w="774" w:type="pct"/>
            <w:shd w:val="clear" w:color="auto" w:fill="auto"/>
            <w:tcMar>
              <w:top w:w="0" w:type="dxa"/>
              <w:left w:w="108" w:type="dxa"/>
              <w:bottom w:w="0" w:type="dxa"/>
              <w:right w:w="108" w:type="dxa"/>
            </w:tcMar>
            <w:vAlign w:val="center"/>
          </w:tcPr>
          <w:p w14:paraId="06BB29A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-1.04</w:t>
            </w:r>
          </w:p>
        </w:tc>
        <w:tc>
          <w:tcPr>
            <w:tcW w:w="664" w:type="pct"/>
            <w:shd w:val="clear" w:color="auto" w:fill="auto"/>
            <w:tcMar>
              <w:top w:w="0" w:type="dxa"/>
              <w:left w:w="108" w:type="dxa"/>
              <w:bottom w:w="0" w:type="dxa"/>
              <w:right w:w="108" w:type="dxa"/>
            </w:tcMar>
            <w:vAlign w:val="center"/>
          </w:tcPr>
          <w:p w14:paraId="55393F8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34.82%</w:t>
            </w:r>
          </w:p>
        </w:tc>
      </w:tr>
      <w:tr w:rsidR="006416B0" w:rsidRPr="00B4515A" w14:paraId="3C2A8A6F" w14:textId="77777777" w:rsidTr="00031627">
        <w:trPr>
          <w:trHeight w:val="340"/>
          <w:jc w:val="center"/>
        </w:trPr>
        <w:tc>
          <w:tcPr>
            <w:tcW w:w="722" w:type="pct"/>
            <w:shd w:val="clear" w:color="auto" w:fill="auto"/>
            <w:tcMar>
              <w:top w:w="0" w:type="dxa"/>
              <w:left w:w="108" w:type="dxa"/>
              <w:bottom w:w="0" w:type="dxa"/>
              <w:right w:w="108" w:type="dxa"/>
            </w:tcMar>
            <w:vAlign w:val="center"/>
          </w:tcPr>
          <w:p w14:paraId="1934057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每股净资产（元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股）</w:t>
            </w:r>
          </w:p>
        </w:tc>
        <w:tc>
          <w:tcPr>
            <w:tcW w:w="767" w:type="pct"/>
            <w:shd w:val="clear" w:color="auto" w:fill="auto"/>
            <w:tcMar>
              <w:top w:w="0" w:type="dxa"/>
              <w:left w:w="108" w:type="dxa"/>
              <w:bottom w:w="0" w:type="dxa"/>
              <w:right w:w="108" w:type="dxa"/>
            </w:tcMar>
            <w:vAlign w:val="center"/>
          </w:tcPr>
          <w:p w14:paraId="7BC17C9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-1.60</w:t>
            </w:r>
          </w:p>
        </w:tc>
        <w:tc>
          <w:tcPr>
            <w:tcW w:w="713" w:type="pct"/>
            <w:shd w:val="clear" w:color="auto" w:fill="auto"/>
            <w:tcMar>
              <w:top w:w="0" w:type="dxa"/>
              <w:left w:w="108" w:type="dxa"/>
              <w:bottom w:w="0" w:type="dxa"/>
              <w:right w:w="108" w:type="dxa"/>
            </w:tcMar>
            <w:vAlign w:val="center"/>
          </w:tcPr>
          <w:p w14:paraId="48D5A41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0.22</w:t>
            </w:r>
          </w:p>
        </w:tc>
        <w:tc>
          <w:tcPr>
            <w:tcW w:w="592" w:type="pct"/>
            <w:shd w:val="clear" w:color="auto" w:fill="auto"/>
            <w:tcMar>
              <w:top w:w="0" w:type="dxa"/>
              <w:left w:w="108" w:type="dxa"/>
              <w:bottom w:w="0" w:type="dxa"/>
              <w:right w:w="108" w:type="dxa"/>
            </w:tcMar>
            <w:vAlign w:val="center"/>
          </w:tcPr>
          <w:p w14:paraId="4703F9B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114.04%</w:t>
            </w:r>
          </w:p>
        </w:tc>
        <w:tc>
          <w:tcPr>
            <w:tcW w:w="767" w:type="pct"/>
            <w:shd w:val="clear" w:color="auto" w:fill="auto"/>
            <w:tcMar>
              <w:top w:w="0" w:type="dxa"/>
              <w:left w:w="108" w:type="dxa"/>
              <w:bottom w:w="0" w:type="dxa"/>
              <w:right w:w="108" w:type="dxa"/>
            </w:tcMar>
            <w:vAlign w:val="center"/>
          </w:tcPr>
          <w:p w14:paraId="7E8FBDA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-1.49</w:t>
            </w:r>
          </w:p>
        </w:tc>
        <w:tc>
          <w:tcPr>
            <w:tcW w:w="774" w:type="pct"/>
            <w:shd w:val="clear" w:color="auto" w:fill="auto"/>
            <w:tcMar>
              <w:top w:w="0" w:type="dxa"/>
              <w:left w:w="108" w:type="dxa"/>
              <w:bottom w:w="0" w:type="dxa"/>
              <w:right w:w="108" w:type="dxa"/>
            </w:tcMar>
            <w:vAlign w:val="center"/>
          </w:tcPr>
          <w:p w14:paraId="6B6B267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0.30</w:t>
            </w:r>
          </w:p>
        </w:tc>
        <w:tc>
          <w:tcPr>
            <w:tcW w:w="664" w:type="pct"/>
            <w:shd w:val="clear" w:color="auto" w:fill="auto"/>
            <w:tcMar>
              <w:top w:w="0" w:type="dxa"/>
              <w:left w:w="108" w:type="dxa"/>
              <w:bottom w:w="0" w:type="dxa"/>
              <w:right w:w="108" w:type="dxa"/>
            </w:tcMar>
            <w:vAlign w:val="center"/>
          </w:tcPr>
          <w:p w14:paraId="08AEFC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119.92%</w:t>
            </w:r>
          </w:p>
        </w:tc>
      </w:tr>
    </w:tbl>
    <w:p w14:paraId="470D98D8" w14:textId="77777777" w:rsidR="006416B0" w:rsidRPr="00B4515A" w:rsidRDefault="005E58C1" w:rsidP="005860B4">
      <w:pPr>
        <w:pStyle w:val="005"/>
        <w:spacing w:before="120" w:after="120"/>
        <w:ind w:firstLine="480"/>
      </w:pPr>
      <w:r w:rsidRPr="00B4515A">
        <w:t>由上表可见，本次交易完成后，</w:t>
      </w:r>
      <w:r w:rsidRPr="00B4515A">
        <w:t>2020</w:t>
      </w:r>
      <w:r w:rsidRPr="00B4515A">
        <w:t>年度、</w:t>
      </w:r>
      <w:r w:rsidRPr="00B4515A">
        <w:t>2021</w:t>
      </w:r>
      <w:r w:rsidRPr="00B4515A">
        <w:t>年</w:t>
      </w:r>
      <w:r w:rsidRPr="00B4515A">
        <w:t>1-4</w:t>
      </w:r>
      <w:r w:rsidRPr="00B4515A">
        <w:t>月上市公司的总资产、营业收入、净利润、每股收益均有</w:t>
      </w:r>
      <w:r w:rsidRPr="00B4515A">
        <w:rPr>
          <w:rFonts w:hint="eastAsia"/>
        </w:rPr>
        <w:t>所</w:t>
      </w:r>
      <w:r w:rsidRPr="00B4515A">
        <w:t>提升，本次交易有利于增强上市公司财务稳健性和盈利能力</w:t>
      </w:r>
      <w:bookmarkEnd w:id="238"/>
      <w:r w:rsidRPr="00B4515A">
        <w:t>。</w:t>
      </w:r>
    </w:p>
    <w:p w14:paraId="6FAD6C1C" w14:textId="55956A2E" w:rsidR="006416B0" w:rsidRPr="00B4515A" w:rsidRDefault="008C1C67" w:rsidP="005860B4">
      <w:pPr>
        <w:pStyle w:val="002"/>
        <w:spacing w:before="120" w:after="120"/>
        <w:ind w:firstLine="562"/>
      </w:pPr>
      <w:bookmarkStart w:id="239" w:name="_Toc20177"/>
      <w:bookmarkStart w:id="240" w:name="_Toc80960551"/>
      <w:bookmarkEnd w:id="233"/>
      <w:r w:rsidRPr="00B4515A">
        <w:rPr>
          <w:rFonts w:hint="eastAsia"/>
        </w:rPr>
        <w:t>二、</w:t>
      </w:r>
      <w:r w:rsidR="005E58C1" w:rsidRPr="00B4515A">
        <w:rPr>
          <w:rFonts w:hint="eastAsia"/>
        </w:rPr>
        <w:t>募集配套资金拟发行股份的情况</w:t>
      </w:r>
      <w:bookmarkEnd w:id="239"/>
      <w:bookmarkEnd w:id="240"/>
    </w:p>
    <w:p w14:paraId="6B195F9C" w14:textId="77777777" w:rsidR="006416B0" w:rsidRPr="00B4515A" w:rsidRDefault="005E58C1" w:rsidP="005860B4">
      <w:pPr>
        <w:pStyle w:val="003"/>
        <w:spacing w:before="120"/>
        <w:ind w:firstLine="482"/>
      </w:pPr>
      <w:bookmarkStart w:id="241" w:name="_Hlk76934295"/>
      <w:bookmarkStart w:id="242" w:name="_Hlk76934273"/>
      <w:bookmarkStart w:id="243" w:name="_Hlk76934146"/>
      <w:r w:rsidRPr="00B4515A">
        <w:rPr>
          <w:rFonts w:hint="eastAsia"/>
        </w:rPr>
        <w:t>（一）募集配套资金的股份发行情况</w:t>
      </w:r>
    </w:p>
    <w:p w14:paraId="2B5D1F33" w14:textId="77777777" w:rsidR="0090486C" w:rsidRPr="00B4515A" w:rsidRDefault="0090486C" w:rsidP="005860B4">
      <w:pPr>
        <w:pStyle w:val="004"/>
        <w:spacing w:before="120" w:after="120"/>
        <w:ind w:firstLine="482"/>
      </w:pPr>
      <w:bookmarkStart w:id="244" w:name="_Hlk76934405"/>
      <w:r w:rsidRPr="00B4515A">
        <w:t>1</w:t>
      </w:r>
      <w:r w:rsidRPr="00B4515A">
        <w:rPr>
          <w:rFonts w:hint="eastAsia"/>
        </w:rPr>
        <w:t>、发行股份的种类和每股面值</w:t>
      </w:r>
    </w:p>
    <w:p w14:paraId="2E82B022" w14:textId="77777777" w:rsidR="0090486C" w:rsidRPr="00B4515A" w:rsidRDefault="0090486C" w:rsidP="005860B4">
      <w:pPr>
        <w:pStyle w:val="005"/>
        <w:spacing w:before="120" w:after="120"/>
        <w:ind w:firstLine="480"/>
      </w:pPr>
      <w:r w:rsidRPr="00B4515A">
        <w:rPr>
          <w:rFonts w:hint="eastAsia"/>
        </w:rPr>
        <w:t>本次发行的股份种类为境内上市的人民币普通股（</w:t>
      </w:r>
      <w:r w:rsidRPr="00B4515A">
        <w:t>A</w:t>
      </w:r>
      <w:r w:rsidRPr="00B4515A">
        <w:rPr>
          <w:rFonts w:hint="eastAsia"/>
        </w:rPr>
        <w:t>股），每股面值为</w:t>
      </w:r>
      <w:r w:rsidRPr="00B4515A">
        <w:t>1.00</w:t>
      </w:r>
      <w:r w:rsidRPr="00B4515A">
        <w:rPr>
          <w:rFonts w:hint="eastAsia"/>
        </w:rPr>
        <w:t>元。</w:t>
      </w:r>
    </w:p>
    <w:p w14:paraId="66ABE290" w14:textId="77777777" w:rsidR="0090486C" w:rsidRPr="00B4515A" w:rsidRDefault="0090486C" w:rsidP="005860B4">
      <w:pPr>
        <w:pStyle w:val="004"/>
        <w:spacing w:before="120" w:after="120"/>
        <w:ind w:firstLine="482"/>
      </w:pPr>
      <w:r w:rsidRPr="00B4515A">
        <w:lastRenderedPageBreak/>
        <w:t>2</w:t>
      </w:r>
      <w:r w:rsidRPr="00B4515A">
        <w:rPr>
          <w:rFonts w:hint="eastAsia"/>
        </w:rPr>
        <w:t>、发行对象和发行方式</w:t>
      </w:r>
    </w:p>
    <w:p w14:paraId="6B1FA2D3" w14:textId="77777777" w:rsidR="0090486C" w:rsidRPr="00B4515A" w:rsidRDefault="0090486C" w:rsidP="005860B4">
      <w:pPr>
        <w:pStyle w:val="005"/>
        <w:spacing w:before="120" w:after="120"/>
        <w:ind w:firstLine="480"/>
      </w:pPr>
      <w:r w:rsidRPr="00B4515A">
        <w:rPr>
          <w:rFonts w:hint="eastAsia"/>
        </w:rPr>
        <w:t>上市公司拟向中国信科集团以锁价方式非公开发行股票募集配套资金。</w:t>
      </w:r>
    </w:p>
    <w:p w14:paraId="37B663CD" w14:textId="77777777" w:rsidR="0090486C" w:rsidRPr="00B4515A" w:rsidRDefault="0090486C" w:rsidP="005860B4">
      <w:pPr>
        <w:pStyle w:val="004"/>
        <w:spacing w:before="120" w:after="120"/>
        <w:ind w:firstLine="482"/>
      </w:pPr>
      <w:r w:rsidRPr="00B4515A">
        <w:t>3</w:t>
      </w:r>
      <w:r w:rsidRPr="00B4515A">
        <w:rPr>
          <w:rFonts w:hint="eastAsia"/>
        </w:rPr>
        <w:t>、定价基准日和发行价格</w:t>
      </w:r>
    </w:p>
    <w:p w14:paraId="6B1F7FB8" w14:textId="77777777" w:rsidR="0090486C" w:rsidRPr="00B4515A" w:rsidRDefault="0090486C" w:rsidP="005860B4">
      <w:pPr>
        <w:pStyle w:val="005"/>
        <w:spacing w:before="120" w:after="120"/>
        <w:ind w:firstLine="480"/>
      </w:pPr>
      <w:r w:rsidRPr="00B4515A">
        <w:rPr>
          <w:rFonts w:hint="eastAsia"/>
        </w:rPr>
        <w:t>本次募集配套资金定价基准日为上市公司审议本次发行股份购买资产并募集配套资金的第七届董事会第五十八次董事会决议公告日，发行价格为</w:t>
      </w:r>
      <w:r w:rsidRPr="00B4515A">
        <w:t>5.24</w:t>
      </w:r>
      <w:r w:rsidRPr="00B4515A">
        <w:rPr>
          <w:rFonts w:hint="eastAsia"/>
        </w:rPr>
        <w:t>元</w:t>
      </w:r>
      <w:r w:rsidRPr="00B4515A">
        <w:t>/</w:t>
      </w:r>
      <w:r w:rsidRPr="00B4515A">
        <w:rPr>
          <w:rFonts w:hint="eastAsia"/>
        </w:rPr>
        <w:t>股，不低于定价基准日前</w:t>
      </w:r>
      <w:r w:rsidRPr="00B4515A">
        <w:t>20</w:t>
      </w:r>
      <w:r w:rsidRPr="00B4515A">
        <w:rPr>
          <w:rFonts w:hint="eastAsia"/>
        </w:rPr>
        <w:t>个交易日上市公司</w:t>
      </w:r>
      <w:r w:rsidRPr="00B4515A">
        <w:t>A</w:t>
      </w:r>
      <w:r w:rsidRPr="00B4515A">
        <w:rPr>
          <w:rFonts w:hint="eastAsia"/>
        </w:rPr>
        <w:t>股股票交易均价的</w:t>
      </w:r>
      <w:r w:rsidRPr="00B4515A">
        <w:t>80%</w:t>
      </w:r>
      <w:r w:rsidRPr="00B4515A">
        <w:rPr>
          <w:rFonts w:hint="eastAsia"/>
        </w:rPr>
        <w:t>。</w:t>
      </w:r>
    </w:p>
    <w:p w14:paraId="3273A44A" w14:textId="77777777" w:rsidR="0090486C" w:rsidRPr="00B4515A" w:rsidRDefault="0090486C" w:rsidP="005860B4">
      <w:pPr>
        <w:pStyle w:val="005"/>
        <w:spacing w:before="120" w:after="120"/>
        <w:ind w:firstLine="480"/>
      </w:pPr>
      <w:r w:rsidRPr="00B4515A">
        <w:rPr>
          <w:rFonts w:hint="eastAsia"/>
        </w:rPr>
        <w:t>在交易定价基准日至发行日期间，若上市公司股票发生派息、送红股、资本公积金转增股本等除权除息事项，则发行价格将作相应调整。调整公式具体如下：</w:t>
      </w:r>
    </w:p>
    <w:p w14:paraId="19727AD5" w14:textId="77777777" w:rsidR="0090486C" w:rsidRPr="00B4515A" w:rsidRDefault="0090486C" w:rsidP="005860B4">
      <w:pPr>
        <w:pStyle w:val="005"/>
        <w:spacing w:before="120" w:after="120"/>
        <w:ind w:firstLine="480"/>
      </w:pPr>
      <w:r w:rsidRPr="00B4515A">
        <w:rPr>
          <w:rFonts w:hint="eastAsia"/>
        </w:rPr>
        <w:t>当送红股或转增股本时，按如下公式调整：</w:t>
      </w:r>
      <w:r w:rsidRPr="00B4515A">
        <w:t xml:space="preserve">P1=P0/(1+N) </w:t>
      </w:r>
    </w:p>
    <w:p w14:paraId="57DF0FF3" w14:textId="77777777" w:rsidR="0090486C" w:rsidRPr="00B4515A" w:rsidRDefault="0090486C" w:rsidP="005860B4">
      <w:pPr>
        <w:pStyle w:val="005"/>
        <w:spacing w:before="120" w:after="120"/>
        <w:ind w:firstLine="480"/>
      </w:pPr>
      <w:r w:rsidRPr="00B4515A">
        <w:rPr>
          <w:rFonts w:hint="eastAsia"/>
        </w:rPr>
        <w:t>当配股时，按如下公式调整：</w:t>
      </w:r>
      <w:r w:rsidRPr="00B4515A">
        <w:t>P1=</w:t>
      </w:r>
      <w:r w:rsidRPr="00B4515A">
        <w:rPr>
          <w:rFonts w:hint="eastAsia"/>
        </w:rPr>
        <w:t>（</w:t>
      </w:r>
      <w:r w:rsidRPr="00B4515A">
        <w:t>P0+A</w:t>
      </w:r>
      <w:r w:rsidRPr="00B4515A">
        <w:rPr>
          <w:rFonts w:hint="eastAsia"/>
        </w:rPr>
        <w:t>×</w:t>
      </w:r>
      <w:r w:rsidRPr="00B4515A">
        <w:t>K</w:t>
      </w:r>
      <w:r w:rsidRPr="00B4515A">
        <w:rPr>
          <w:rFonts w:hint="eastAsia"/>
        </w:rPr>
        <w:t>）</w:t>
      </w:r>
      <w:r w:rsidRPr="00B4515A">
        <w:t>/(1+K)</w:t>
      </w:r>
    </w:p>
    <w:p w14:paraId="2373BD90" w14:textId="77777777" w:rsidR="0090486C" w:rsidRPr="00B4515A" w:rsidRDefault="0090486C" w:rsidP="005860B4">
      <w:pPr>
        <w:pStyle w:val="005"/>
        <w:spacing w:before="120" w:after="120"/>
        <w:ind w:firstLine="480"/>
      </w:pPr>
      <w:r w:rsidRPr="00B4515A">
        <w:rPr>
          <w:rFonts w:hint="eastAsia"/>
        </w:rPr>
        <w:t>上述两项同时进行时，按如下公式调整：</w:t>
      </w:r>
      <w:r w:rsidRPr="00B4515A">
        <w:t>P1=(P0+A</w:t>
      </w:r>
      <w:r w:rsidRPr="00B4515A">
        <w:rPr>
          <w:rFonts w:hint="eastAsia"/>
        </w:rPr>
        <w:t>×</w:t>
      </w:r>
      <w:r w:rsidRPr="00B4515A">
        <w:t>K</w:t>
      </w:r>
      <w:r w:rsidRPr="00B4515A">
        <w:rPr>
          <w:rFonts w:hint="eastAsia"/>
        </w:rPr>
        <w:t>）</w:t>
      </w:r>
      <w:r w:rsidRPr="00B4515A">
        <w:t>/(1+N+K)</w:t>
      </w:r>
    </w:p>
    <w:p w14:paraId="2A3C0073" w14:textId="77777777" w:rsidR="0090486C" w:rsidRPr="00B4515A" w:rsidRDefault="0090486C" w:rsidP="005860B4">
      <w:pPr>
        <w:pStyle w:val="005"/>
        <w:spacing w:before="120" w:after="120"/>
        <w:ind w:firstLine="480"/>
      </w:pPr>
      <w:r w:rsidRPr="00B4515A">
        <w:rPr>
          <w:rFonts w:hint="eastAsia"/>
        </w:rPr>
        <w:t>当派发现金股利时，按如下公式调整：</w:t>
      </w:r>
      <w:r w:rsidRPr="00B4515A">
        <w:t>P1=P0-D</w:t>
      </w:r>
    </w:p>
    <w:p w14:paraId="5AEA0C06" w14:textId="77777777" w:rsidR="0090486C" w:rsidRPr="00B4515A" w:rsidRDefault="0090486C" w:rsidP="005860B4">
      <w:pPr>
        <w:pStyle w:val="005"/>
        <w:spacing w:before="120" w:after="120"/>
        <w:ind w:firstLine="480"/>
      </w:pPr>
      <w:r w:rsidRPr="00B4515A">
        <w:rPr>
          <w:rFonts w:hint="eastAsia"/>
        </w:rPr>
        <w:t>当上述三项同时进行时，按如下公式调整：</w:t>
      </w:r>
      <w:r w:rsidRPr="00B4515A">
        <w:t>P1=(P0-D+A</w:t>
      </w:r>
      <w:r w:rsidRPr="00B4515A">
        <w:rPr>
          <w:rFonts w:hint="eastAsia"/>
        </w:rPr>
        <w:t>×</w:t>
      </w:r>
      <w:r w:rsidRPr="00B4515A">
        <w:t>K)/(1+N+K)</w:t>
      </w:r>
    </w:p>
    <w:p w14:paraId="5FDC309F" w14:textId="77777777" w:rsidR="0090486C" w:rsidRPr="00B4515A" w:rsidRDefault="0090486C" w:rsidP="005860B4">
      <w:pPr>
        <w:pStyle w:val="005"/>
        <w:spacing w:before="120" w:after="120"/>
        <w:ind w:firstLine="480"/>
      </w:pPr>
      <w:r w:rsidRPr="00B4515A">
        <w:rPr>
          <w:rFonts w:hint="eastAsia"/>
        </w:rPr>
        <w:t>其中：</w:t>
      </w:r>
    </w:p>
    <w:p w14:paraId="1D4239ED" w14:textId="77777777" w:rsidR="0090486C" w:rsidRPr="00B4515A" w:rsidRDefault="0090486C" w:rsidP="005860B4">
      <w:pPr>
        <w:pStyle w:val="005"/>
        <w:spacing w:before="120" w:after="120"/>
        <w:ind w:firstLine="480"/>
      </w:pPr>
      <w:r w:rsidRPr="00B4515A">
        <w:t xml:space="preserve">P0 </w:t>
      </w:r>
      <w:r w:rsidRPr="00B4515A">
        <w:rPr>
          <w:rFonts w:hint="eastAsia"/>
        </w:rPr>
        <w:t>为调整前有效的发行价格</w:t>
      </w:r>
    </w:p>
    <w:p w14:paraId="10B4FDBC" w14:textId="77777777" w:rsidR="0090486C" w:rsidRPr="00B4515A" w:rsidRDefault="0090486C" w:rsidP="005860B4">
      <w:pPr>
        <w:pStyle w:val="005"/>
        <w:spacing w:before="120" w:after="120"/>
        <w:ind w:firstLine="480"/>
      </w:pPr>
      <w:r w:rsidRPr="00B4515A">
        <w:t xml:space="preserve">P1 </w:t>
      </w:r>
      <w:r w:rsidRPr="00B4515A">
        <w:rPr>
          <w:rFonts w:hint="eastAsia"/>
        </w:rPr>
        <w:t>为调整后有效的发行价格</w:t>
      </w:r>
    </w:p>
    <w:p w14:paraId="0A76D776" w14:textId="77777777" w:rsidR="0090486C" w:rsidRPr="00B4515A" w:rsidRDefault="0090486C" w:rsidP="005860B4">
      <w:pPr>
        <w:pStyle w:val="005"/>
        <w:spacing w:before="120" w:after="120"/>
        <w:ind w:firstLine="480"/>
      </w:pPr>
      <w:r w:rsidRPr="00B4515A">
        <w:t xml:space="preserve">D </w:t>
      </w:r>
      <w:r w:rsidRPr="00B4515A">
        <w:rPr>
          <w:rFonts w:hint="eastAsia"/>
        </w:rPr>
        <w:t>为该次每股派发现金股利</w:t>
      </w:r>
    </w:p>
    <w:p w14:paraId="0C348C42" w14:textId="77777777" w:rsidR="0090486C" w:rsidRPr="00B4515A" w:rsidRDefault="0090486C" w:rsidP="005860B4">
      <w:pPr>
        <w:pStyle w:val="005"/>
        <w:spacing w:before="120" w:after="120"/>
        <w:ind w:firstLine="480"/>
      </w:pPr>
      <w:r w:rsidRPr="00B4515A">
        <w:t xml:space="preserve">N </w:t>
      </w:r>
      <w:r w:rsidRPr="00B4515A">
        <w:rPr>
          <w:rFonts w:hint="eastAsia"/>
        </w:rPr>
        <w:t>为该次送股率或转增股本率</w:t>
      </w:r>
    </w:p>
    <w:p w14:paraId="56F570E7" w14:textId="77777777" w:rsidR="0090486C" w:rsidRPr="00B4515A" w:rsidRDefault="0090486C" w:rsidP="005860B4">
      <w:pPr>
        <w:pStyle w:val="005"/>
        <w:spacing w:before="120" w:after="120"/>
        <w:ind w:firstLine="480"/>
      </w:pPr>
      <w:r w:rsidRPr="00B4515A">
        <w:t xml:space="preserve">K </w:t>
      </w:r>
      <w:r w:rsidRPr="00B4515A">
        <w:rPr>
          <w:rFonts w:hint="eastAsia"/>
        </w:rPr>
        <w:t>为配股率</w:t>
      </w:r>
    </w:p>
    <w:p w14:paraId="20F93F36" w14:textId="77777777" w:rsidR="0090486C" w:rsidRPr="00B4515A" w:rsidRDefault="0090486C" w:rsidP="005860B4">
      <w:pPr>
        <w:pStyle w:val="005"/>
        <w:spacing w:before="120" w:after="120"/>
        <w:ind w:firstLine="480"/>
      </w:pPr>
      <w:r w:rsidRPr="00B4515A">
        <w:t xml:space="preserve">A </w:t>
      </w:r>
      <w:r w:rsidRPr="00B4515A">
        <w:rPr>
          <w:rFonts w:hint="eastAsia"/>
        </w:rPr>
        <w:t>为配股价</w:t>
      </w:r>
    </w:p>
    <w:p w14:paraId="14FAC6AC" w14:textId="77777777" w:rsidR="0090486C" w:rsidRPr="00B4515A" w:rsidRDefault="0090486C" w:rsidP="005860B4">
      <w:pPr>
        <w:pStyle w:val="005"/>
        <w:spacing w:before="120" w:after="120"/>
        <w:ind w:firstLine="480"/>
      </w:pPr>
      <w:r w:rsidRPr="00B4515A">
        <w:rPr>
          <w:rFonts w:hint="eastAsia"/>
        </w:rPr>
        <w:t>在定价基准日至发行日期间，如中国证监会对发行价格进行政策调整的，则本次非公开发行</w:t>
      </w:r>
      <w:r w:rsidRPr="00B4515A">
        <w:t>A</w:t>
      </w:r>
      <w:r w:rsidRPr="00B4515A">
        <w:rPr>
          <w:rFonts w:hint="eastAsia"/>
        </w:rPr>
        <w:t>股股票的发行价格将做相应调整。</w:t>
      </w:r>
    </w:p>
    <w:p w14:paraId="73A475F8" w14:textId="77777777" w:rsidR="0090486C" w:rsidRPr="00B4515A" w:rsidRDefault="0090486C" w:rsidP="005860B4">
      <w:pPr>
        <w:pStyle w:val="004"/>
        <w:spacing w:before="120" w:after="120"/>
        <w:ind w:firstLine="482"/>
      </w:pPr>
      <w:r w:rsidRPr="00B4515A">
        <w:t>4</w:t>
      </w:r>
      <w:r w:rsidRPr="00B4515A">
        <w:rPr>
          <w:rFonts w:hint="eastAsia"/>
        </w:rPr>
        <w:t>、发行数量</w:t>
      </w:r>
    </w:p>
    <w:p w14:paraId="074EA1DC" w14:textId="77777777" w:rsidR="0090486C" w:rsidRPr="00B4515A" w:rsidRDefault="0090486C" w:rsidP="005860B4">
      <w:pPr>
        <w:pStyle w:val="005"/>
        <w:spacing w:before="120" w:after="120"/>
        <w:ind w:firstLine="480"/>
      </w:pPr>
      <w:r w:rsidRPr="00B4515A">
        <w:rPr>
          <w:rFonts w:hint="eastAsia"/>
        </w:rPr>
        <w:t>本次募集配套资金总额为</w:t>
      </w:r>
      <w:r w:rsidRPr="00B4515A">
        <w:t>99,999.999656</w:t>
      </w:r>
      <w:r w:rsidRPr="00B4515A">
        <w:rPr>
          <w:rFonts w:hint="eastAsia"/>
        </w:rPr>
        <w:t>万元。</w:t>
      </w:r>
    </w:p>
    <w:p w14:paraId="6EA424A6" w14:textId="77777777" w:rsidR="0090486C" w:rsidRPr="00B4515A" w:rsidRDefault="0090486C" w:rsidP="005860B4">
      <w:pPr>
        <w:pStyle w:val="005"/>
        <w:spacing w:before="120" w:after="120"/>
        <w:ind w:firstLine="480"/>
      </w:pPr>
      <w:r w:rsidRPr="00B4515A">
        <w:rPr>
          <w:rFonts w:hint="eastAsia"/>
        </w:rPr>
        <w:t>中国信科集团认购本次非公开发行</w:t>
      </w:r>
      <w:r w:rsidRPr="00B4515A">
        <w:t>A</w:t>
      </w:r>
      <w:r w:rsidRPr="00B4515A">
        <w:rPr>
          <w:rFonts w:hint="eastAsia"/>
        </w:rPr>
        <w:t>股股票的认购数量计算公式为：中国</w:t>
      </w:r>
      <w:r w:rsidRPr="00B4515A">
        <w:rPr>
          <w:rFonts w:hint="eastAsia"/>
        </w:rPr>
        <w:lastRenderedPageBreak/>
        <w:t>信科集团认购的本次非公开发行</w:t>
      </w:r>
      <w:r w:rsidRPr="00B4515A">
        <w:t>A</w:t>
      </w:r>
      <w:r w:rsidRPr="00B4515A">
        <w:rPr>
          <w:rFonts w:hint="eastAsia"/>
        </w:rPr>
        <w:t>股股票的股份数量</w:t>
      </w:r>
      <w:r w:rsidRPr="00B4515A">
        <w:t>=</w:t>
      </w:r>
      <w:r w:rsidRPr="00B4515A">
        <w:rPr>
          <w:rFonts w:hint="eastAsia"/>
        </w:rPr>
        <w:t>认购金额÷发行价格。</w:t>
      </w:r>
    </w:p>
    <w:p w14:paraId="2A1EE932" w14:textId="77777777" w:rsidR="0090486C" w:rsidRPr="00B4515A" w:rsidRDefault="0090486C" w:rsidP="005860B4">
      <w:pPr>
        <w:pStyle w:val="005"/>
        <w:spacing w:before="120" w:after="120"/>
        <w:ind w:firstLine="480"/>
      </w:pPr>
      <w:r w:rsidRPr="00B4515A">
        <w:rPr>
          <w:rFonts w:hint="eastAsia"/>
        </w:rPr>
        <w:t>依据上述公式计算的发行数量应精确至个位，不足一股的应当舍去取整。根据前述认购金额及发行价格计算，中国信科集团在本次非公开发行</w:t>
      </w:r>
      <w:r w:rsidRPr="00B4515A">
        <w:t>A</w:t>
      </w:r>
      <w:r w:rsidRPr="00B4515A">
        <w:rPr>
          <w:rFonts w:hint="eastAsia"/>
        </w:rPr>
        <w:t>股股票的认购数量为</w:t>
      </w:r>
      <w:r w:rsidRPr="00B4515A">
        <w:t>190,839,694</w:t>
      </w:r>
      <w:r w:rsidRPr="00B4515A">
        <w:rPr>
          <w:rFonts w:hint="eastAsia"/>
        </w:rPr>
        <w:t>股，募集配套资金总额不超过本次购买资产中以发行股份方式购买资产的交易价格的</w:t>
      </w:r>
      <w:r w:rsidRPr="00B4515A">
        <w:rPr>
          <w:rFonts w:hint="eastAsia"/>
        </w:rPr>
        <w:t>100%</w:t>
      </w:r>
      <w:r w:rsidRPr="00B4515A">
        <w:rPr>
          <w:rFonts w:hint="eastAsia"/>
        </w:rPr>
        <w:t>，不超过本次交易前上市公司总股本的</w:t>
      </w:r>
      <w:r w:rsidRPr="00B4515A">
        <w:t>30%</w:t>
      </w:r>
      <w:r w:rsidRPr="00B4515A">
        <w:rPr>
          <w:rFonts w:hint="eastAsia"/>
        </w:rPr>
        <w:t>。</w:t>
      </w:r>
    </w:p>
    <w:p w14:paraId="7EE4E46C" w14:textId="77777777" w:rsidR="0090486C" w:rsidRPr="00B4515A" w:rsidRDefault="0090486C" w:rsidP="005860B4">
      <w:pPr>
        <w:pStyle w:val="005"/>
        <w:spacing w:before="120" w:after="120"/>
        <w:ind w:firstLine="480"/>
      </w:pPr>
      <w:r w:rsidRPr="00B4515A">
        <w:rPr>
          <w:rFonts w:hint="eastAsia"/>
        </w:rPr>
        <w:t>若上市公司股票在定价基准日至发行日期间发生派息、送红股、资本公积金转增股本等除权除息事项，则本次发行的股票数量将作相应调整。</w:t>
      </w:r>
    </w:p>
    <w:p w14:paraId="2E1C0B75" w14:textId="77777777" w:rsidR="0090486C" w:rsidRPr="00B4515A" w:rsidRDefault="0090486C" w:rsidP="005860B4">
      <w:pPr>
        <w:pStyle w:val="005"/>
        <w:spacing w:before="120" w:after="120"/>
        <w:ind w:firstLine="480"/>
      </w:pPr>
      <w:r w:rsidRPr="00B4515A">
        <w:rPr>
          <w:rFonts w:hint="eastAsia"/>
        </w:rPr>
        <w:t>最终发行数量将由上市公司股东大会授权董事会或董事会授权人士根据股东大会的授权与本次发行的独立财务顾问（主承销商）根据经中国证监会核准的发行方案协商确定。</w:t>
      </w:r>
    </w:p>
    <w:p w14:paraId="04F043AD" w14:textId="77777777" w:rsidR="0090486C" w:rsidRPr="00B4515A" w:rsidRDefault="0090486C" w:rsidP="005860B4">
      <w:pPr>
        <w:pStyle w:val="005"/>
        <w:spacing w:before="120" w:after="120"/>
        <w:ind w:firstLine="480"/>
      </w:pPr>
      <w:r w:rsidRPr="00B4515A">
        <w:rPr>
          <w:rFonts w:hint="eastAsia"/>
        </w:rPr>
        <w:t>本次发行股份购买资产为募集配套资金的前提，而发行股份购买资产不以募集配套资金为前提。</w:t>
      </w:r>
    </w:p>
    <w:p w14:paraId="1060F1DB" w14:textId="77777777" w:rsidR="0090486C" w:rsidRPr="00B4515A" w:rsidRDefault="0090486C" w:rsidP="005860B4">
      <w:pPr>
        <w:pStyle w:val="004"/>
        <w:spacing w:before="120" w:after="120"/>
        <w:ind w:firstLine="482"/>
      </w:pPr>
      <w:r w:rsidRPr="00B4515A">
        <w:t>5</w:t>
      </w:r>
      <w:r w:rsidRPr="00B4515A">
        <w:rPr>
          <w:rFonts w:hint="eastAsia"/>
        </w:rPr>
        <w:t>、股份的锁定期</w:t>
      </w:r>
    </w:p>
    <w:p w14:paraId="722B2643" w14:textId="77777777" w:rsidR="0090486C" w:rsidRPr="00B4515A" w:rsidRDefault="0090486C" w:rsidP="005860B4">
      <w:pPr>
        <w:pStyle w:val="005"/>
        <w:spacing w:before="120" w:after="120"/>
        <w:ind w:firstLine="480"/>
      </w:pPr>
      <w:r w:rsidRPr="00B4515A">
        <w:rPr>
          <w:rFonts w:hint="eastAsia"/>
        </w:rPr>
        <w:t>本次募集配套资金发行对象中国信科集团参与募集配套资金股份认购所取得股份自发行结束之日起</w:t>
      </w:r>
      <w:r w:rsidRPr="00B4515A">
        <w:rPr>
          <w:rFonts w:hint="eastAsia"/>
        </w:rPr>
        <w:t>3</w:t>
      </w:r>
      <w:r w:rsidRPr="00B4515A">
        <w:rPr>
          <w:rFonts w:hint="eastAsia"/>
        </w:rPr>
        <w:t>年内不得转让。</w:t>
      </w:r>
    </w:p>
    <w:p w14:paraId="7C67D205" w14:textId="77777777" w:rsidR="0090486C" w:rsidRPr="00B4515A" w:rsidRDefault="0090486C" w:rsidP="005860B4">
      <w:pPr>
        <w:pStyle w:val="005"/>
        <w:spacing w:before="120" w:after="120"/>
        <w:ind w:firstLine="480"/>
      </w:pPr>
      <w:r w:rsidRPr="00B4515A">
        <w:rPr>
          <w:rFonts w:hint="eastAsia"/>
        </w:rPr>
        <w:t>若所认购股份的锁定期与中国证监会、上海证券交易所等监管部门的规定不相符，则锁定期将根据相关监管部门的规定进行相应调整。</w:t>
      </w:r>
    </w:p>
    <w:p w14:paraId="1B4B0BE1" w14:textId="7B033498" w:rsidR="0090486C" w:rsidRPr="00B4515A" w:rsidRDefault="0090486C" w:rsidP="00EE238F">
      <w:pPr>
        <w:pStyle w:val="005"/>
        <w:spacing w:before="120" w:after="120"/>
        <w:ind w:firstLine="480"/>
      </w:pPr>
      <w:r w:rsidRPr="00B4515A">
        <w:rPr>
          <w:rFonts w:hint="eastAsia"/>
        </w:rPr>
        <w:t>中国信科集团所认购</w:t>
      </w:r>
      <w:r w:rsidRPr="00B4515A">
        <w:t>A</w:t>
      </w:r>
      <w:r w:rsidRPr="00B4515A">
        <w:rPr>
          <w:rFonts w:hint="eastAsia"/>
        </w:rPr>
        <w:t>股股份因上市公司分配股票股利、资本公积转增等情形所衍生取得的股份亦应遵守上述股份锁定安排。上述锁定期满后，该等股份的解锁及减持将按中国证监会及上海证券交易所的规定执行。</w:t>
      </w:r>
    </w:p>
    <w:bookmarkEnd w:id="241"/>
    <w:bookmarkEnd w:id="244"/>
    <w:p w14:paraId="229959AE" w14:textId="77777777" w:rsidR="006416B0" w:rsidRPr="00B4515A" w:rsidRDefault="005E58C1" w:rsidP="00EE238F">
      <w:pPr>
        <w:pStyle w:val="003"/>
        <w:spacing w:before="120"/>
        <w:ind w:firstLine="482"/>
      </w:pPr>
      <w:r w:rsidRPr="00B4515A">
        <w:rPr>
          <w:rFonts w:hint="eastAsia"/>
        </w:rPr>
        <w:t>（二）募集配套资金的用途</w:t>
      </w:r>
    </w:p>
    <w:p w14:paraId="70122640" w14:textId="77777777" w:rsidR="006416B0" w:rsidRPr="00B4515A" w:rsidRDefault="005E58C1" w:rsidP="005860B4">
      <w:pPr>
        <w:pStyle w:val="004"/>
        <w:spacing w:before="120" w:after="120"/>
        <w:ind w:firstLine="482"/>
      </w:pPr>
      <w:bookmarkStart w:id="245" w:name="_Hlk76934424"/>
      <w:r w:rsidRPr="00B4515A">
        <w:t>1</w:t>
      </w:r>
      <w:r w:rsidRPr="00B4515A">
        <w:rPr>
          <w:rFonts w:hint="eastAsia"/>
        </w:rPr>
        <w:t>、本次募集配套资金的具体用途</w:t>
      </w:r>
    </w:p>
    <w:p w14:paraId="03524E61" w14:textId="26E77C3A" w:rsidR="006416B0" w:rsidRPr="00B4515A" w:rsidRDefault="005E58C1" w:rsidP="002B0582">
      <w:pPr>
        <w:pStyle w:val="005"/>
        <w:spacing w:before="120" w:after="120"/>
        <w:ind w:firstLine="480"/>
      </w:pPr>
      <w:r w:rsidRPr="00B4515A">
        <w:rPr>
          <w:rFonts w:hint="eastAsia"/>
        </w:rPr>
        <w:t>本次募集配套资金</w:t>
      </w:r>
      <w:r w:rsidR="005C5EC5" w:rsidRPr="00B4515A">
        <w:rPr>
          <w:rFonts w:hint="eastAsia"/>
        </w:rPr>
        <w:t>将用于以下项目：</w:t>
      </w:r>
    </w:p>
    <w:p w14:paraId="7A9DA165" w14:textId="4BA34363" w:rsidR="005C5EC5" w:rsidRPr="00B4515A" w:rsidRDefault="005C5EC5" w:rsidP="00EE238F">
      <w:pPr>
        <w:keepNext/>
        <w:ind w:left="198" w:firstLineChars="200" w:firstLine="420"/>
        <w:jc w:val="right"/>
        <w:rPr>
          <w:rFonts w:ascii="Times New Roman" w:hAnsi="Times New Roman" w:cs="Times New Roman"/>
          <w:sz w:val="21"/>
          <w:szCs w:val="21"/>
        </w:rPr>
      </w:pPr>
      <w:r w:rsidRPr="00B4515A">
        <w:rPr>
          <w:rFonts w:ascii="Times New Roman" w:hAnsi="Times New Roman" w:cs="Times New Roman" w:hint="eastAsia"/>
          <w:sz w:val="21"/>
          <w:szCs w:val="21"/>
        </w:rPr>
        <w:t>单位：万元</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644"/>
        <w:gridCol w:w="1561"/>
        <w:gridCol w:w="2323"/>
      </w:tblGrid>
      <w:tr w:rsidR="00D43376" w:rsidRPr="00B4515A" w14:paraId="23204248" w14:textId="77777777" w:rsidTr="005860B4">
        <w:trPr>
          <w:trHeight w:val="340"/>
          <w:tblHeader/>
          <w:jc w:val="center"/>
        </w:trPr>
        <w:tc>
          <w:tcPr>
            <w:tcW w:w="2723" w:type="pct"/>
            <w:tcMar>
              <w:top w:w="0" w:type="dxa"/>
              <w:left w:w="108" w:type="dxa"/>
              <w:bottom w:w="0" w:type="dxa"/>
              <w:right w:w="108" w:type="dxa"/>
            </w:tcMar>
            <w:vAlign w:val="center"/>
          </w:tcPr>
          <w:p w14:paraId="1CFE48E4" w14:textId="44CE3E8D" w:rsidR="005C5EC5" w:rsidRPr="00B4515A" w:rsidRDefault="005C5EC5" w:rsidP="00EE238F">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募集配套资金使用项目</w:t>
            </w:r>
          </w:p>
        </w:tc>
        <w:tc>
          <w:tcPr>
            <w:tcW w:w="915" w:type="pct"/>
            <w:tcMar>
              <w:top w:w="0" w:type="dxa"/>
              <w:left w:w="108" w:type="dxa"/>
              <w:bottom w:w="0" w:type="dxa"/>
              <w:right w:w="108" w:type="dxa"/>
            </w:tcMar>
            <w:vAlign w:val="center"/>
          </w:tcPr>
          <w:p w14:paraId="623F16A3" w14:textId="374287E2" w:rsidR="005C5EC5" w:rsidRPr="00B4515A" w:rsidRDefault="005C5EC5" w:rsidP="00EE238F">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项目投资总额</w:t>
            </w:r>
          </w:p>
        </w:tc>
        <w:tc>
          <w:tcPr>
            <w:tcW w:w="1363" w:type="pct"/>
            <w:tcMar>
              <w:top w:w="0" w:type="dxa"/>
              <w:left w:w="108" w:type="dxa"/>
              <w:bottom w:w="0" w:type="dxa"/>
              <w:right w:w="108" w:type="dxa"/>
            </w:tcMar>
            <w:vAlign w:val="center"/>
          </w:tcPr>
          <w:p w14:paraId="295453D1" w14:textId="0E63A8B8" w:rsidR="005C5EC5" w:rsidRPr="00B4515A" w:rsidRDefault="005C5EC5" w:rsidP="00EE238F">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拟投入募集配套资金</w:t>
            </w:r>
          </w:p>
        </w:tc>
      </w:tr>
      <w:tr w:rsidR="00D43376" w:rsidRPr="00B4515A" w14:paraId="374BA789" w14:textId="77777777" w:rsidTr="00031627">
        <w:trPr>
          <w:trHeight w:val="340"/>
          <w:jc w:val="center"/>
        </w:trPr>
        <w:tc>
          <w:tcPr>
            <w:tcW w:w="2723" w:type="pct"/>
            <w:tcMar>
              <w:top w:w="0" w:type="dxa"/>
              <w:left w:w="108" w:type="dxa"/>
              <w:bottom w:w="0" w:type="dxa"/>
              <w:right w:w="108" w:type="dxa"/>
            </w:tcMar>
            <w:vAlign w:val="center"/>
          </w:tcPr>
          <w:p w14:paraId="279B9754" w14:textId="16965BAA" w:rsidR="005C5EC5" w:rsidRPr="00B4515A" w:rsidRDefault="005C5EC5" w:rsidP="005860B4">
            <w:pPr>
              <w:widowControl w:val="0"/>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新型高性能系列安全芯片研发及产业化项目</w:t>
            </w:r>
          </w:p>
        </w:tc>
        <w:tc>
          <w:tcPr>
            <w:tcW w:w="915" w:type="pct"/>
            <w:tcMar>
              <w:top w:w="0" w:type="dxa"/>
              <w:left w:w="108" w:type="dxa"/>
              <w:bottom w:w="0" w:type="dxa"/>
              <w:right w:w="108" w:type="dxa"/>
            </w:tcMar>
            <w:vAlign w:val="center"/>
          </w:tcPr>
          <w:p w14:paraId="17093CD2" w14:textId="05E62941" w:rsidR="005C5EC5" w:rsidRPr="00B4515A" w:rsidRDefault="005C5EC5" w:rsidP="00EE238F">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71,610.00 </w:t>
            </w:r>
          </w:p>
        </w:tc>
        <w:tc>
          <w:tcPr>
            <w:tcW w:w="1363" w:type="pct"/>
            <w:tcMar>
              <w:top w:w="0" w:type="dxa"/>
              <w:left w:w="108" w:type="dxa"/>
              <w:bottom w:w="0" w:type="dxa"/>
              <w:right w:w="108" w:type="dxa"/>
            </w:tcMar>
            <w:vAlign w:val="center"/>
          </w:tcPr>
          <w:p w14:paraId="586F0CD2" w14:textId="4E855DB2" w:rsidR="005C5EC5" w:rsidRPr="00B4515A" w:rsidRDefault="005C5EC5" w:rsidP="00EE238F">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50,000.00 </w:t>
            </w:r>
          </w:p>
        </w:tc>
      </w:tr>
      <w:tr w:rsidR="00D43376" w:rsidRPr="00B4515A" w14:paraId="5D859609" w14:textId="77777777" w:rsidTr="00031627">
        <w:trPr>
          <w:trHeight w:val="340"/>
          <w:jc w:val="center"/>
        </w:trPr>
        <w:tc>
          <w:tcPr>
            <w:tcW w:w="2723" w:type="pct"/>
            <w:tcMar>
              <w:top w:w="0" w:type="dxa"/>
              <w:left w:w="108" w:type="dxa"/>
              <w:bottom w:w="0" w:type="dxa"/>
              <w:right w:w="108" w:type="dxa"/>
            </w:tcMar>
            <w:vAlign w:val="center"/>
          </w:tcPr>
          <w:p w14:paraId="6C67050A" w14:textId="1AB9FB18" w:rsidR="005C5EC5" w:rsidRPr="00B4515A" w:rsidRDefault="00D43376"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偿还债务</w:t>
            </w:r>
            <w:r w:rsidR="00CD1D0A" w:rsidRPr="00B4515A">
              <w:rPr>
                <w:rFonts w:ascii="Times New Roman" w:hAnsi="Times New Roman" w:cs="Times New Roman" w:hint="eastAsia"/>
                <w:sz w:val="21"/>
                <w:szCs w:val="21"/>
              </w:rPr>
              <w:t>及补充流动资金</w:t>
            </w:r>
          </w:p>
        </w:tc>
        <w:tc>
          <w:tcPr>
            <w:tcW w:w="915" w:type="pct"/>
            <w:tcMar>
              <w:top w:w="0" w:type="dxa"/>
              <w:left w:w="108" w:type="dxa"/>
              <w:bottom w:w="0" w:type="dxa"/>
              <w:right w:w="108" w:type="dxa"/>
            </w:tcMar>
            <w:vAlign w:val="center"/>
          </w:tcPr>
          <w:p w14:paraId="47393B68" w14:textId="69C965D3" w:rsidR="005C5EC5" w:rsidRPr="00B4515A" w:rsidRDefault="005C5EC5" w:rsidP="00EE238F">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   </w:t>
            </w:r>
          </w:p>
        </w:tc>
        <w:tc>
          <w:tcPr>
            <w:tcW w:w="1363" w:type="pct"/>
            <w:tcMar>
              <w:top w:w="0" w:type="dxa"/>
              <w:left w:w="108" w:type="dxa"/>
              <w:bottom w:w="0" w:type="dxa"/>
              <w:right w:w="108" w:type="dxa"/>
            </w:tcMar>
            <w:vAlign w:val="center"/>
          </w:tcPr>
          <w:p w14:paraId="79A8D879" w14:textId="6D684ADB" w:rsidR="005C5EC5" w:rsidRPr="00B4515A" w:rsidRDefault="005C5EC5" w:rsidP="00EE238F">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48,964.999656 </w:t>
            </w:r>
          </w:p>
        </w:tc>
      </w:tr>
      <w:tr w:rsidR="00D43376" w:rsidRPr="00B4515A" w14:paraId="007F63E1" w14:textId="77777777" w:rsidTr="00031627">
        <w:trPr>
          <w:trHeight w:val="340"/>
          <w:jc w:val="center"/>
        </w:trPr>
        <w:tc>
          <w:tcPr>
            <w:tcW w:w="2723" w:type="pct"/>
            <w:tcMar>
              <w:top w:w="0" w:type="dxa"/>
              <w:left w:w="108" w:type="dxa"/>
              <w:bottom w:w="0" w:type="dxa"/>
              <w:right w:w="108" w:type="dxa"/>
            </w:tcMar>
            <w:vAlign w:val="center"/>
          </w:tcPr>
          <w:p w14:paraId="68D9CFAD" w14:textId="46430B6F" w:rsidR="005C5EC5" w:rsidRPr="00B4515A" w:rsidRDefault="005C5EC5"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支付本次交易税费、中介机构费用等发行费用</w:t>
            </w:r>
          </w:p>
        </w:tc>
        <w:tc>
          <w:tcPr>
            <w:tcW w:w="915" w:type="pct"/>
            <w:tcMar>
              <w:top w:w="0" w:type="dxa"/>
              <w:left w:w="108" w:type="dxa"/>
              <w:bottom w:w="0" w:type="dxa"/>
              <w:right w:w="108" w:type="dxa"/>
            </w:tcMar>
            <w:vAlign w:val="center"/>
          </w:tcPr>
          <w:p w14:paraId="07011C15" w14:textId="6E543DDC" w:rsidR="005C5EC5" w:rsidRPr="00B4515A" w:rsidRDefault="005C5EC5" w:rsidP="00EE238F">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   </w:t>
            </w:r>
          </w:p>
        </w:tc>
        <w:tc>
          <w:tcPr>
            <w:tcW w:w="1363" w:type="pct"/>
            <w:tcMar>
              <w:top w:w="0" w:type="dxa"/>
              <w:left w:w="108" w:type="dxa"/>
              <w:bottom w:w="0" w:type="dxa"/>
              <w:right w:w="108" w:type="dxa"/>
            </w:tcMar>
            <w:vAlign w:val="center"/>
          </w:tcPr>
          <w:p w14:paraId="509F0B40" w14:textId="3F90C943" w:rsidR="005C5EC5" w:rsidRPr="00B4515A" w:rsidRDefault="005C5EC5" w:rsidP="00EE238F">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w:t>
            </w:r>
            <w:r w:rsidRPr="00B4515A">
              <w:rPr>
                <w:rFonts w:ascii="Times New Roman" w:hAnsi="Times New Roman" w:cs="Times New Roman"/>
                <w:sz w:val="21"/>
                <w:szCs w:val="21"/>
              </w:rPr>
              <w:t>约</w:t>
            </w:r>
            <w:r w:rsidRPr="00B4515A">
              <w:rPr>
                <w:rFonts w:ascii="Times New Roman" w:hAnsi="Times New Roman" w:cs="Times New Roman"/>
                <w:sz w:val="21"/>
                <w:szCs w:val="21"/>
              </w:rPr>
              <w:t>1,035</w:t>
            </w:r>
            <w:r w:rsidR="00776E2F" w:rsidRPr="00B4515A">
              <w:rPr>
                <w:rFonts w:ascii="Times New Roman" w:hAnsi="Times New Roman" w:cs="Times New Roman" w:hint="eastAsia"/>
                <w:sz w:val="21"/>
                <w:szCs w:val="21"/>
              </w:rPr>
              <w:t>.</w:t>
            </w:r>
            <w:r w:rsidR="00776E2F" w:rsidRPr="00B4515A">
              <w:rPr>
                <w:rFonts w:ascii="Times New Roman" w:hAnsi="Times New Roman" w:cs="Times New Roman"/>
                <w:sz w:val="21"/>
                <w:szCs w:val="21"/>
              </w:rPr>
              <w:t>00</w:t>
            </w:r>
            <w:r w:rsidRPr="00B4515A">
              <w:rPr>
                <w:rFonts w:ascii="Times New Roman" w:hAnsi="Times New Roman" w:cs="Times New Roman"/>
                <w:sz w:val="21"/>
                <w:szCs w:val="21"/>
              </w:rPr>
              <w:t xml:space="preserve"> </w:t>
            </w:r>
          </w:p>
        </w:tc>
      </w:tr>
      <w:tr w:rsidR="00D43376" w:rsidRPr="00B4515A" w14:paraId="4E282D7A" w14:textId="77777777" w:rsidTr="00031627">
        <w:trPr>
          <w:trHeight w:val="340"/>
          <w:jc w:val="center"/>
        </w:trPr>
        <w:tc>
          <w:tcPr>
            <w:tcW w:w="2723" w:type="pct"/>
            <w:tcMar>
              <w:top w:w="0" w:type="dxa"/>
              <w:left w:w="108" w:type="dxa"/>
              <w:bottom w:w="0" w:type="dxa"/>
              <w:right w:w="108" w:type="dxa"/>
            </w:tcMar>
            <w:vAlign w:val="center"/>
          </w:tcPr>
          <w:p w14:paraId="3227691C" w14:textId="151A6E6E" w:rsidR="005C5EC5" w:rsidRPr="00B4515A" w:rsidRDefault="005C5EC5"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lastRenderedPageBreak/>
              <w:t>合计</w:t>
            </w:r>
          </w:p>
        </w:tc>
        <w:tc>
          <w:tcPr>
            <w:tcW w:w="915" w:type="pct"/>
            <w:tcMar>
              <w:top w:w="0" w:type="dxa"/>
              <w:left w:w="108" w:type="dxa"/>
              <w:bottom w:w="0" w:type="dxa"/>
              <w:right w:w="108" w:type="dxa"/>
            </w:tcMar>
            <w:vAlign w:val="center"/>
          </w:tcPr>
          <w:p w14:paraId="2CF81DC2" w14:textId="30D61942" w:rsidR="005C5EC5" w:rsidRPr="00B4515A" w:rsidRDefault="005C5EC5" w:rsidP="00EE238F">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 xml:space="preserve"> 71,610.00 </w:t>
            </w:r>
          </w:p>
        </w:tc>
        <w:tc>
          <w:tcPr>
            <w:tcW w:w="1363" w:type="pct"/>
            <w:tcMar>
              <w:top w:w="0" w:type="dxa"/>
              <w:left w:w="108" w:type="dxa"/>
              <w:bottom w:w="0" w:type="dxa"/>
              <w:right w:w="108" w:type="dxa"/>
            </w:tcMar>
            <w:vAlign w:val="center"/>
          </w:tcPr>
          <w:p w14:paraId="459A5E80" w14:textId="609E90F0" w:rsidR="005C5EC5" w:rsidRPr="00B4515A" w:rsidRDefault="005C5EC5" w:rsidP="00EE238F">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99,999.999656</w:t>
            </w:r>
          </w:p>
        </w:tc>
      </w:tr>
    </w:tbl>
    <w:p w14:paraId="07958CB9" w14:textId="77777777" w:rsidR="006416B0" w:rsidRPr="00B4515A" w:rsidRDefault="005E58C1" w:rsidP="005860B4">
      <w:pPr>
        <w:pStyle w:val="004"/>
        <w:spacing w:before="120" w:after="120"/>
        <w:ind w:firstLine="482"/>
      </w:pPr>
      <w:r w:rsidRPr="00B4515A">
        <w:t>2</w:t>
      </w:r>
      <w:r w:rsidRPr="00B4515A">
        <w:rPr>
          <w:rFonts w:hint="eastAsia"/>
        </w:rPr>
        <w:t>、本次募集配套资金的投资项目的具体情况</w:t>
      </w:r>
      <w:bookmarkEnd w:id="242"/>
      <w:bookmarkEnd w:id="245"/>
    </w:p>
    <w:p w14:paraId="0F445281" w14:textId="77777777" w:rsidR="006416B0" w:rsidRPr="00B4515A" w:rsidRDefault="005E58C1" w:rsidP="005860B4">
      <w:pPr>
        <w:pStyle w:val="005"/>
        <w:spacing w:before="120" w:after="120"/>
        <w:ind w:firstLine="480"/>
      </w:pPr>
      <w:bookmarkStart w:id="246" w:name="_Hlk76934599"/>
      <w:r w:rsidRPr="00B4515A">
        <w:rPr>
          <w:rFonts w:hint="eastAsia"/>
        </w:rPr>
        <w:t>（</w:t>
      </w:r>
      <w:r w:rsidRPr="00B4515A">
        <w:rPr>
          <w:rFonts w:hint="eastAsia"/>
        </w:rPr>
        <w:t>1</w:t>
      </w:r>
      <w:r w:rsidRPr="00B4515A">
        <w:rPr>
          <w:rFonts w:hint="eastAsia"/>
        </w:rPr>
        <w:t>）项目概况</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635"/>
        <w:gridCol w:w="5893"/>
      </w:tblGrid>
      <w:tr w:rsidR="006416B0" w:rsidRPr="00B4515A" w14:paraId="783DF4B9" w14:textId="77777777" w:rsidTr="00EE238F">
        <w:trPr>
          <w:trHeight w:val="340"/>
          <w:jc w:val="center"/>
        </w:trPr>
        <w:tc>
          <w:tcPr>
            <w:tcW w:w="2524" w:type="dxa"/>
            <w:tcMar>
              <w:top w:w="0" w:type="dxa"/>
              <w:left w:w="108" w:type="dxa"/>
              <w:bottom w:w="0" w:type="dxa"/>
              <w:right w:w="108" w:type="dxa"/>
            </w:tcMar>
            <w:vAlign w:val="center"/>
          </w:tcPr>
          <w:p w14:paraId="4B1DD94C"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项目名称</w:t>
            </w:r>
          </w:p>
        </w:tc>
        <w:tc>
          <w:tcPr>
            <w:tcW w:w="5644" w:type="dxa"/>
            <w:tcMar>
              <w:top w:w="0" w:type="dxa"/>
              <w:left w:w="108" w:type="dxa"/>
              <w:bottom w:w="0" w:type="dxa"/>
              <w:right w:w="108" w:type="dxa"/>
            </w:tcMar>
            <w:vAlign w:val="center"/>
          </w:tcPr>
          <w:p w14:paraId="53261D46"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新型高性能系列安全芯片研发及产业化项目</w:t>
            </w:r>
          </w:p>
        </w:tc>
      </w:tr>
      <w:tr w:rsidR="006416B0" w:rsidRPr="00B4515A" w14:paraId="1FDBEC40" w14:textId="77777777" w:rsidTr="00031627">
        <w:trPr>
          <w:trHeight w:val="340"/>
          <w:jc w:val="center"/>
        </w:trPr>
        <w:tc>
          <w:tcPr>
            <w:tcW w:w="2524" w:type="dxa"/>
            <w:tcMar>
              <w:top w:w="0" w:type="dxa"/>
              <w:left w:w="108" w:type="dxa"/>
              <w:bottom w:w="0" w:type="dxa"/>
              <w:right w:w="108" w:type="dxa"/>
            </w:tcMar>
            <w:vAlign w:val="center"/>
          </w:tcPr>
          <w:p w14:paraId="7BE2456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项目建设周期</w:t>
            </w:r>
          </w:p>
        </w:tc>
        <w:tc>
          <w:tcPr>
            <w:tcW w:w="5644" w:type="dxa"/>
            <w:tcMar>
              <w:top w:w="0" w:type="dxa"/>
              <w:left w:w="108" w:type="dxa"/>
              <w:bottom w:w="0" w:type="dxa"/>
              <w:right w:w="108" w:type="dxa"/>
            </w:tcMar>
            <w:vAlign w:val="center"/>
          </w:tcPr>
          <w:p w14:paraId="328E804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2022</w:t>
            </w:r>
            <w:r w:rsidRPr="00B4515A">
              <w:rPr>
                <w:rFonts w:ascii="Times New Roman" w:hAnsi="Times New Roman" w:cs="Times New Roman" w:hint="eastAsia"/>
                <w:sz w:val="21"/>
                <w:szCs w:val="21"/>
              </w:rPr>
              <w:t>年</w:t>
            </w:r>
            <w:r w:rsidRPr="00B4515A">
              <w:rPr>
                <w:rFonts w:ascii="Times New Roman" w:hAnsi="Times New Roman" w:cs="Times New Roman"/>
                <w:sz w:val="21"/>
                <w:szCs w:val="21"/>
              </w:rPr>
              <w:t>~2025</w:t>
            </w:r>
            <w:r w:rsidRPr="00B4515A">
              <w:rPr>
                <w:rFonts w:ascii="Times New Roman" w:hAnsi="Times New Roman" w:cs="Times New Roman" w:hint="eastAsia"/>
                <w:sz w:val="21"/>
                <w:szCs w:val="21"/>
              </w:rPr>
              <w:t>年</w:t>
            </w:r>
          </w:p>
        </w:tc>
      </w:tr>
      <w:tr w:rsidR="006416B0" w:rsidRPr="00B4515A" w14:paraId="7AFD10B8" w14:textId="77777777" w:rsidTr="00031627">
        <w:trPr>
          <w:trHeight w:val="340"/>
          <w:jc w:val="center"/>
        </w:trPr>
        <w:tc>
          <w:tcPr>
            <w:tcW w:w="2524" w:type="dxa"/>
            <w:tcMar>
              <w:top w:w="0" w:type="dxa"/>
              <w:left w:w="108" w:type="dxa"/>
              <w:bottom w:w="0" w:type="dxa"/>
              <w:right w:w="108" w:type="dxa"/>
            </w:tcMar>
            <w:vAlign w:val="center"/>
          </w:tcPr>
          <w:p w14:paraId="53031F87"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项目执行单位</w:t>
            </w:r>
          </w:p>
        </w:tc>
        <w:tc>
          <w:tcPr>
            <w:tcW w:w="5644" w:type="dxa"/>
            <w:tcMar>
              <w:top w:w="0" w:type="dxa"/>
              <w:left w:w="108" w:type="dxa"/>
              <w:bottom w:w="0" w:type="dxa"/>
              <w:right w:w="108" w:type="dxa"/>
            </w:tcMar>
            <w:vAlign w:val="center"/>
          </w:tcPr>
          <w:p w14:paraId="39DD5470"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大唐联诚信息系统技术有限公司</w:t>
            </w:r>
          </w:p>
        </w:tc>
      </w:tr>
    </w:tbl>
    <w:p w14:paraId="59776059" w14:textId="6BE29378" w:rsidR="006416B0" w:rsidRPr="00B4515A" w:rsidRDefault="005E58C1" w:rsidP="005860B4">
      <w:pPr>
        <w:pStyle w:val="005"/>
        <w:spacing w:before="120" w:after="120"/>
        <w:ind w:firstLine="480"/>
      </w:pPr>
      <w:r w:rsidRPr="00B4515A">
        <w:rPr>
          <w:rFonts w:hint="eastAsia"/>
        </w:rPr>
        <w:t>本项目拟投资于新型高性能系列安全芯片研发及产业化。本项目资金主要用途包括购置必要的软硬件设备、研发人员费用投入、</w:t>
      </w:r>
      <w:r w:rsidRPr="00B4515A">
        <w:t>EDA</w:t>
      </w:r>
      <w:r w:rsidRPr="00B4515A">
        <w:t>设计工具和测试设备</w:t>
      </w:r>
      <w:r w:rsidRPr="00B4515A">
        <w:rPr>
          <w:rFonts w:hint="eastAsia"/>
        </w:rPr>
        <w:t>、</w:t>
      </w:r>
      <w:r w:rsidRPr="00B4515A">
        <w:t>流片费及认证费等。</w:t>
      </w:r>
      <w:r w:rsidRPr="00B4515A">
        <w:rPr>
          <w:rFonts w:hint="eastAsia"/>
        </w:rPr>
        <w:t>通过本项目的实施，以设计、研发高性能系列安全芯片为核心，持续提升</w:t>
      </w:r>
      <w:r w:rsidR="00B55E42" w:rsidRPr="00B4515A">
        <w:rPr>
          <w:rFonts w:hint="eastAsia"/>
        </w:rPr>
        <w:t>标的</w:t>
      </w:r>
      <w:r w:rsidRPr="00B4515A">
        <w:rPr>
          <w:rFonts w:hint="eastAsia"/>
        </w:rPr>
        <w:t>公司在核心芯片安全可控、先进芯片工艺、低功耗控制、芯片安全防护等方面的核心竞争力。</w:t>
      </w:r>
    </w:p>
    <w:p w14:paraId="53B819C3" w14:textId="77777777" w:rsidR="006416B0" w:rsidRPr="00B4515A" w:rsidRDefault="005E58C1" w:rsidP="005860B4">
      <w:pPr>
        <w:pStyle w:val="005"/>
        <w:spacing w:before="120" w:after="120"/>
        <w:ind w:firstLine="480"/>
      </w:pPr>
      <w:r w:rsidRPr="00B4515A">
        <w:rPr>
          <w:rFonts w:hint="eastAsia"/>
        </w:rPr>
        <w:t>（</w:t>
      </w:r>
      <w:r w:rsidRPr="00B4515A">
        <w:rPr>
          <w:rFonts w:hint="eastAsia"/>
        </w:rPr>
        <w:t>2</w:t>
      </w:r>
      <w:r w:rsidRPr="00B4515A">
        <w:rPr>
          <w:rFonts w:hint="eastAsia"/>
        </w:rPr>
        <w:t>）项目投资金额及使用计划进度安排</w:t>
      </w:r>
      <w:bookmarkEnd w:id="246"/>
    </w:p>
    <w:p w14:paraId="58C1291A" w14:textId="77777777" w:rsidR="006416B0" w:rsidRPr="00B4515A" w:rsidRDefault="005E58C1" w:rsidP="00EE238F">
      <w:pPr>
        <w:pStyle w:val="009"/>
        <w:ind w:firstLine="480"/>
      </w:pPr>
      <w:r w:rsidRPr="00B4515A">
        <w:rPr>
          <w:rFonts w:hint="eastAsia"/>
        </w:rPr>
        <w:t>单位：万元</w:t>
      </w:r>
    </w:p>
    <w:tbl>
      <w:tblPr>
        <w:tblW w:w="513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06"/>
        <w:gridCol w:w="1260"/>
        <w:gridCol w:w="794"/>
        <w:gridCol w:w="1432"/>
        <w:gridCol w:w="1004"/>
        <w:gridCol w:w="866"/>
        <w:gridCol w:w="868"/>
        <w:gridCol w:w="868"/>
        <w:gridCol w:w="865"/>
      </w:tblGrid>
      <w:tr w:rsidR="006416B0" w:rsidRPr="00B4515A" w14:paraId="664A6286" w14:textId="77777777" w:rsidTr="005860B4">
        <w:trPr>
          <w:trHeight w:val="340"/>
          <w:jc w:val="center"/>
        </w:trPr>
        <w:tc>
          <w:tcPr>
            <w:tcW w:w="463" w:type="pct"/>
            <w:shd w:val="clear" w:color="auto" w:fill="auto"/>
            <w:tcMar>
              <w:top w:w="0" w:type="dxa"/>
              <w:left w:w="108" w:type="dxa"/>
              <w:bottom w:w="0" w:type="dxa"/>
              <w:right w:w="108" w:type="dxa"/>
            </w:tcMar>
            <w:vAlign w:val="center"/>
          </w:tcPr>
          <w:p w14:paraId="0552AD6E" w14:textId="77777777" w:rsidR="006416B0" w:rsidRPr="00B4515A" w:rsidRDefault="005E58C1" w:rsidP="005860B4">
            <w:pPr>
              <w:pStyle w:val="affff3"/>
              <w:snapToGrid w:val="0"/>
              <w:rPr>
                <w:rFonts w:ascii="Times New Roman" w:eastAsia="宋体" w:hAnsi="Times New Roman" w:cs="Times New Roman"/>
                <w:b/>
                <w:bCs/>
                <w:sz w:val="21"/>
              </w:rPr>
            </w:pPr>
            <w:r w:rsidRPr="00B4515A">
              <w:rPr>
                <w:rFonts w:ascii="Times New Roman" w:eastAsia="宋体" w:hAnsi="Times New Roman" w:cs="Times New Roman"/>
                <w:b/>
                <w:bCs/>
                <w:sz w:val="21"/>
              </w:rPr>
              <w:t>序号</w:t>
            </w:r>
          </w:p>
        </w:tc>
        <w:tc>
          <w:tcPr>
            <w:tcW w:w="722" w:type="pct"/>
            <w:shd w:val="clear" w:color="auto" w:fill="auto"/>
            <w:tcMar>
              <w:top w:w="0" w:type="dxa"/>
              <w:left w:w="108" w:type="dxa"/>
              <w:bottom w:w="0" w:type="dxa"/>
              <w:right w:w="108" w:type="dxa"/>
            </w:tcMar>
            <w:vAlign w:val="center"/>
          </w:tcPr>
          <w:p w14:paraId="4FD4066A" w14:textId="77777777" w:rsidR="006416B0" w:rsidRPr="00B4515A" w:rsidRDefault="005E58C1" w:rsidP="005860B4">
            <w:pPr>
              <w:pStyle w:val="affff3"/>
              <w:snapToGrid w:val="0"/>
              <w:rPr>
                <w:rFonts w:ascii="Times New Roman" w:eastAsia="宋体" w:hAnsi="Times New Roman" w:cs="Times New Roman"/>
                <w:b/>
                <w:bCs/>
                <w:sz w:val="21"/>
              </w:rPr>
            </w:pPr>
            <w:r w:rsidRPr="00B4515A">
              <w:rPr>
                <w:rFonts w:ascii="Times New Roman" w:eastAsia="宋体" w:hAnsi="Times New Roman" w:cs="Times New Roman"/>
                <w:b/>
                <w:bCs/>
                <w:sz w:val="21"/>
              </w:rPr>
              <w:t>项目</w:t>
            </w:r>
          </w:p>
        </w:tc>
        <w:tc>
          <w:tcPr>
            <w:tcW w:w="453" w:type="pct"/>
            <w:shd w:val="clear" w:color="auto" w:fill="auto"/>
            <w:tcMar>
              <w:top w:w="0" w:type="dxa"/>
              <w:left w:w="108" w:type="dxa"/>
              <w:bottom w:w="0" w:type="dxa"/>
              <w:right w:w="108" w:type="dxa"/>
            </w:tcMar>
            <w:vAlign w:val="center"/>
          </w:tcPr>
          <w:p w14:paraId="67ACB1C3" w14:textId="6E4054EF" w:rsidR="006416B0" w:rsidRPr="00B4515A" w:rsidRDefault="005E58C1" w:rsidP="00EE238F">
            <w:pPr>
              <w:pStyle w:val="affff3"/>
              <w:snapToGrid w:val="0"/>
              <w:rPr>
                <w:rFonts w:ascii="Times New Roman" w:eastAsia="宋体" w:hAnsi="Times New Roman" w:cs="Times New Roman"/>
                <w:b/>
                <w:bCs/>
                <w:sz w:val="21"/>
              </w:rPr>
            </w:pPr>
            <w:r w:rsidRPr="00B4515A">
              <w:rPr>
                <w:rFonts w:ascii="Times New Roman" w:eastAsia="宋体" w:hAnsi="Times New Roman" w:cs="Times New Roman"/>
                <w:b/>
                <w:bCs/>
                <w:sz w:val="21"/>
              </w:rPr>
              <w:t>金额</w:t>
            </w:r>
          </w:p>
        </w:tc>
        <w:tc>
          <w:tcPr>
            <w:tcW w:w="820" w:type="pct"/>
            <w:shd w:val="clear" w:color="auto" w:fill="auto"/>
            <w:tcMar>
              <w:top w:w="0" w:type="dxa"/>
              <w:left w:w="108" w:type="dxa"/>
              <w:bottom w:w="0" w:type="dxa"/>
              <w:right w:w="108" w:type="dxa"/>
            </w:tcMar>
            <w:vAlign w:val="center"/>
          </w:tcPr>
          <w:p w14:paraId="672C7050" w14:textId="350735B5" w:rsidR="006416B0" w:rsidRPr="00B4515A" w:rsidRDefault="005E58C1" w:rsidP="005860B4">
            <w:pPr>
              <w:pStyle w:val="affff3"/>
              <w:snapToGrid w:val="0"/>
              <w:rPr>
                <w:rFonts w:ascii="Times New Roman" w:eastAsia="宋体" w:hAnsi="Times New Roman" w:cs="Times New Roman"/>
                <w:b/>
                <w:bCs/>
                <w:sz w:val="21"/>
              </w:rPr>
            </w:pPr>
            <w:r w:rsidRPr="00B4515A">
              <w:rPr>
                <w:rFonts w:ascii="Times New Roman" w:eastAsia="宋体" w:hAnsi="Times New Roman" w:cs="Times New Roman"/>
                <w:b/>
                <w:bCs/>
                <w:sz w:val="21"/>
              </w:rPr>
              <w:t>拟使用</w:t>
            </w:r>
            <w:r w:rsidR="00776E2F" w:rsidRPr="00B4515A">
              <w:rPr>
                <w:rFonts w:ascii="Times New Roman" w:eastAsia="宋体" w:hAnsi="Times New Roman" w:cs="Times New Roman" w:hint="eastAsia"/>
                <w:b/>
                <w:bCs/>
                <w:sz w:val="21"/>
              </w:rPr>
              <w:t>募集</w:t>
            </w:r>
            <w:r w:rsidRPr="00B4515A">
              <w:rPr>
                <w:rFonts w:ascii="Times New Roman" w:eastAsia="宋体" w:hAnsi="Times New Roman" w:cs="Times New Roman"/>
                <w:b/>
                <w:bCs/>
                <w:sz w:val="21"/>
              </w:rPr>
              <w:t>资金</w:t>
            </w:r>
          </w:p>
        </w:tc>
        <w:tc>
          <w:tcPr>
            <w:tcW w:w="553" w:type="pct"/>
            <w:shd w:val="clear" w:color="auto" w:fill="auto"/>
            <w:tcMar>
              <w:top w:w="0" w:type="dxa"/>
              <w:left w:w="108" w:type="dxa"/>
              <w:bottom w:w="0" w:type="dxa"/>
              <w:right w:w="108" w:type="dxa"/>
            </w:tcMar>
            <w:vAlign w:val="center"/>
          </w:tcPr>
          <w:p w14:paraId="19D7A0F3" w14:textId="77777777" w:rsidR="005860B4" w:rsidRPr="00B4515A" w:rsidRDefault="005E58C1" w:rsidP="005860B4">
            <w:pPr>
              <w:pStyle w:val="affff3"/>
              <w:snapToGrid w:val="0"/>
              <w:rPr>
                <w:rFonts w:ascii="Times New Roman" w:eastAsia="宋体" w:hAnsi="Times New Roman" w:cs="Times New Roman"/>
                <w:b/>
                <w:bCs/>
                <w:sz w:val="21"/>
              </w:rPr>
            </w:pPr>
            <w:r w:rsidRPr="00B4515A">
              <w:rPr>
                <w:rFonts w:ascii="Times New Roman" w:eastAsia="宋体" w:hAnsi="Times New Roman" w:cs="Times New Roman"/>
                <w:b/>
                <w:bCs/>
                <w:sz w:val="21"/>
              </w:rPr>
              <w:t>投资</w:t>
            </w:r>
          </w:p>
          <w:p w14:paraId="2EDD8B2C" w14:textId="00463FDB" w:rsidR="006416B0" w:rsidRPr="00B4515A" w:rsidRDefault="005E58C1" w:rsidP="005860B4">
            <w:pPr>
              <w:pStyle w:val="affff3"/>
              <w:snapToGrid w:val="0"/>
              <w:rPr>
                <w:rFonts w:ascii="Times New Roman" w:eastAsia="宋体" w:hAnsi="Times New Roman" w:cs="Times New Roman"/>
                <w:b/>
                <w:bCs/>
                <w:sz w:val="21"/>
              </w:rPr>
            </w:pPr>
            <w:r w:rsidRPr="00B4515A">
              <w:rPr>
                <w:rFonts w:ascii="Times New Roman" w:eastAsia="宋体" w:hAnsi="Times New Roman" w:cs="Times New Roman"/>
                <w:b/>
                <w:bCs/>
                <w:sz w:val="21"/>
              </w:rPr>
              <w:t>比重</w:t>
            </w:r>
          </w:p>
        </w:tc>
        <w:tc>
          <w:tcPr>
            <w:tcW w:w="497" w:type="pct"/>
            <w:shd w:val="clear" w:color="auto" w:fill="auto"/>
            <w:tcMar>
              <w:top w:w="0" w:type="dxa"/>
              <w:left w:w="108" w:type="dxa"/>
              <w:bottom w:w="0" w:type="dxa"/>
              <w:right w:w="108" w:type="dxa"/>
            </w:tcMar>
            <w:vAlign w:val="center"/>
          </w:tcPr>
          <w:p w14:paraId="0430F639" w14:textId="77777777" w:rsidR="006416B0" w:rsidRPr="00B4515A" w:rsidRDefault="005E58C1" w:rsidP="005860B4">
            <w:pPr>
              <w:pStyle w:val="affff3"/>
              <w:snapToGrid w:val="0"/>
              <w:rPr>
                <w:rFonts w:ascii="Times New Roman" w:eastAsia="宋体" w:hAnsi="Times New Roman" w:cs="Times New Roman"/>
                <w:b/>
                <w:bCs/>
                <w:sz w:val="21"/>
              </w:rPr>
            </w:pPr>
            <w:r w:rsidRPr="00B4515A">
              <w:rPr>
                <w:rFonts w:ascii="Times New Roman" w:eastAsia="宋体" w:hAnsi="Times New Roman" w:cs="Times New Roman"/>
                <w:b/>
                <w:bCs/>
                <w:sz w:val="21"/>
              </w:rPr>
              <w:t>2022</w:t>
            </w:r>
            <w:r w:rsidRPr="00B4515A">
              <w:rPr>
                <w:rFonts w:ascii="Times New Roman" w:eastAsia="宋体" w:hAnsi="Times New Roman" w:cs="Times New Roman" w:hint="eastAsia"/>
                <w:b/>
                <w:bCs/>
                <w:sz w:val="21"/>
              </w:rPr>
              <w:t>年</w:t>
            </w:r>
          </w:p>
        </w:tc>
        <w:tc>
          <w:tcPr>
            <w:tcW w:w="498" w:type="pct"/>
            <w:shd w:val="clear" w:color="auto" w:fill="auto"/>
            <w:tcMar>
              <w:top w:w="0" w:type="dxa"/>
              <w:left w:w="108" w:type="dxa"/>
              <w:bottom w:w="0" w:type="dxa"/>
              <w:right w:w="108" w:type="dxa"/>
            </w:tcMar>
            <w:vAlign w:val="center"/>
          </w:tcPr>
          <w:p w14:paraId="65629703" w14:textId="77777777" w:rsidR="006416B0" w:rsidRPr="00B4515A" w:rsidRDefault="005E58C1" w:rsidP="005860B4">
            <w:pPr>
              <w:pStyle w:val="affff3"/>
              <w:snapToGrid w:val="0"/>
              <w:rPr>
                <w:rFonts w:ascii="Times New Roman" w:eastAsia="宋体" w:hAnsi="Times New Roman" w:cs="Times New Roman"/>
                <w:b/>
                <w:bCs/>
                <w:sz w:val="21"/>
              </w:rPr>
            </w:pPr>
            <w:r w:rsidRPr="00B4515A">
              <w:rPr>
                <w:rFonts w:ascii="Times New Roman" w:eastAsia="宋体" w:hAnsi="Times New Roman" w:cs="Times New Roman"/>
                <w:b/>
                <w:bCs/>
                <w:sz w:val="21"/>
              </w:rPr>
              <w:t>2023</w:t>
            </w:r>
            <w:r w:rsidRPr="00B4515A">
              <w:rPr>
                <w:rFonts w:ascii="Times New Roman" w:eastAsia="宋体" w:hAnsi="Times New Roman" w:cs="Times New Roman" w:hint="eastAsia"/>
                <w:b/>
                <w:bCs/>
                <w:sz w:val="21"/>
              </w:rPr>
              <w:t>年</w:t>
            </w:r>
          </w:p>
        </w:tc>
        <w:tc>
          <w:tcPr>
            <w:tcW w:w="498" w:type="pct"/>
            <w:shd w:val="clear" w:color="auto" w:fill="auto"/>
            <w:tcMar>
              <w:top w:w="0" w:type="dxa"/>
              <w:left w:w="108" w:type="dxa"/>
              <w:bottom w:w="0" w:type="dxa"/>
              <w:right w:w="108" w:type="dxa"/>
            </w:tcMar>
            <w:vAlign w:val="center"/>
          </w:tcPr>
          <w:p w14:paraId="124831AC" w14:textId="77777777" w:rsidR="006416B0" w:rsidRPr="00B4515A" w:rsidRDefault="005E58C1" w:rsidP="005860B4">
            <w:pPr>
              <w:pStyle w:val="affff3"/>
              <w:snapToGrid w:val="0"/>
              <w:rPr>
                <w:rFonts w:ascii="Times New Roman" w:eastAsia="宋体" w:hAnsi="Times New Roman" w:cs="Times New Roman"/>
                <w:b/>
                <w:bCs/>
                <w:sz w:val="21"/>
              </w:rPr>
            </w:pPr>
            <w:r w:rsidRPr="00B4515A">
              <w:rPr>
                <w:rFonts w:ascii="Times New Roman" w:eastAsia="宋体" w:hAnsi="Times New Roman" w:cs="Times New Roman"/>
                <w:b/>
                <w:bCs/>
                <w:sz w:val="21"/>
              </w:rPr>
              <w:t>2024</w:t>
            </w:r>
            <w:r w:rsidRPr="00B4515A">
              <w:rPr>
                <w:rFonts w:ascii="Times New Roman" w:eastAsia="宋体" w:hAnsi="Times New Roman" w:cs="Times New Roman" w:hint="eastAsia"/>
                <w:b/>
                <w:bCs/>
                <w:sz w:val="21"/>
              </w:rPr>
              <w:t>年</w:t>
            </w:r>
          </w:p>
        </w:tc>
        <w:tc>
          <w:tcPr>
            <w:tcW w:w="496" w:type="pct"/>
            <w:shd w:val="clear" w:color="auto" w:fill="auto"/>
            <w:tcMar>
              <w:top w:w="0" w:type="dxa"/>
              <w:left w:w="108" w:type="dxa"/>
              <w:bottom w:w="0" w:type="dxa"/>
              <w:right w:w="108" w:type="dxa"/>
            </w:tcMar>
            <w:vAlign w:val="center"/>
          </w:tcPr>
          <w:p w14:paraId="76A65651" w14:textId="77777777" w:rsidR="006416B0" w:rsidRPr="00B4515A" w:rsidRDefault="005E58C1" w:rsidP="005860B4">
            <w:pPr>
              <w:pStyle w:val="affff3"/>
              <w:snapToGrid w:val="0"/>
              <w:rPr>
                <w:rFonts w:ascii="Times New Roman" w:eastAsia="宋体" w:hAnsi="Times New Roman" w:cs="Times New Roman"/>
                <w:b/>
                <w:bCs/>
                <w:sz w:val="21"/>
              </w:rPr>
            </w:pPr>
            <w:r w:rsidRPr="00B4515A">
              <w:rPr>
                <w:rFonts w:ascii="Times New Roman" w:eastAsia="宋体" w:hAnsi="Times New Roman" w:cs="Times New Roman"/>
                <w:b/>
                <w:bCs/>
                <w:sz w:val="21"/>
              </w:rPr>
              <w:t>2025</w:t>
            </w:r>
            <w:r w:rsidRPr="00B4515A">
              <w:rPr>
                <w:rFonts w:ascii="Times New Roman" w:eastAsia="宋体" w:hAnsi="Times New Roman" w:cs="Times New Roman" w:hint="eastAsia"/>
                <w:b/>
                <w:bCs/>
                <w:sz w:val="21"/>
              </w:rPr>
              <w:t>年</w:t>
            </w:r>
          </w:p>
        </w:tc>
      </w:tr>
      <w:tr w:rsidR="006416B0" w:rsidRPr="00B4515A" w14:paraId="7B4DF8C9" w14:textId="77777777" w:rsidTr="005860B4">
        <w:trPr>
          <w:trHeight w:val="340"/>
          <w:jc w:val="center"/>
        </w:trPr>
        <w:tc>
          <w:tcPr>
            <w:tcW w:w="463" w:type="pct"/>
            <w:shd w:val="clear" w:color="auto" w:fill="auto"/>
            <w:tcMar>
              <w:top w:w="0" w:type="dxa"/>
              <w:left w:w="108" w:type="dxa"/>
              <w:bottom w:w="0" w:type="dxa"/>
              <w:right w:w="108" w:type="dxa"/>
            </w:tcMar>
            <w:vAlign w:val="center"/>
          </w:tcPr>
          <w:p w14:paraId="4EB2ADAF"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1</w:t>
            </w:r>
          </w:p>
        </w:tc>
        <w:tc>
          <w:tcPr>
            <w:tcW w:w="722" w:type="pct"/>
            <w:shd w:val="clear" w:color="auto" w:fill="auto"/>
            <w:tcMar>
              <w:top w:w="0" w:type="dxa"/>
              <w:left w:w="108" w:type="dxa"/>
              <w:bottom w:w="0" w:type="dxa"/>
              <w:right w:w="108" w:type="dxa"/>
            </w:tcMar>
            <w:vAlign w:val="center"/>
          </w:tcPr>
          <w:p w14:paraId="37BDE7D8"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研发设备投入</w:t>
            </w:r>
          </w:p>
        </w:tc>
        <w:tc>
          <w:tcPr>
            <w:tcW w:w="453" w:type="pct"/>
            <w:shd w:val="clear" w:color="auto" w:fill="auto"/>
            <w:tcMar>
              <w:top w:w="0" w:type="dxa"/>
              <w:left w:w="108" w:type="dxa"/>
              <w:bottom w:w="0" w:type="dxa"/>
              <w:right w:w="108" w:type="dxa"/>
            </w:tcMar>
            <w:vAlign w:val="center"/>
          </w:tcPr>
          <w:p w14:paraId="0B741812"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10,800</w:t>
            </w:r>
          </w:p>
        </w:tc>
        <w:tc>
          <w:tcPr>
            <w:tcW w:w="820" w:type="pct"/>
            <w:shd w:val="clear" w:color="auto" w:fill="auto"/>
            <w:tcMar>
              <w:top w:w="0" w:type="dxa"/>
              <w:left w:w="108" w:type="dxa"/>
              <w:bottom w:w="0" w:type="dxa"/>
              <w:right w:w="108" w:type="dxa"/>
            </w:tcMar>
            <w:vAlign w:val="center"/>
          </w:tcPr>
          <w:p w14:paraId="7FCC32C4"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10,800</w:t>
            </w:r>
          </w:p>
        </w:tc>
        <w:tc>
          <w:tcPr>
            <w:tcW w:w="553" w:type="pct"/>
            <w:shd w:val="clear" w:color="auto" w:fill="auto"/>
            <w:tcMar>
              <w:top w:w="0" w:type="dxa"/>
              <w:left w:w="108" w:type="dxa"/>
              <w:bottom w:w="0" w:type="dxa"/>
              <w:right w:w="108" w:type="dxa"/>
            </w:tcMar>
            <w:vAlign w:val="center"/>
          </w:tcPr>
          <w:p w14:paraId="57C48D4D"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15.08%</w:t>
            </w:r>
          </w:p>
        </w:tc>
        <w:tc>
          <w:tcPr>
            <w:tcW w:w="497" w:type="pct"/>
            <w:shd w:val="clear" w:color="auto" w:fill="auto"/>
            <w:tcMar>
              <w:top w:w="0" w:type="dxa"/>
              <w:left w:w="108" w:type="dxa"/>
              <w:bottom w:w="0" w:type="dxa"/>
              <w:right w:w="108" w:type="dxa"/>
            </w:tcMar>
            <w:vAlign w:val="center"/>
          </w:tcPr>
          <w:p w14:paraId="2A6DA5CE"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3,406</w:t>
            </w:r>
          </w:p>
        </w:tc>
        <w:tc>
          <w:tcPr>
            <w:tcW w:w="498" w:type="pct"/>
            <w:shd w:val="clear" w:color="auto" w:fill="auto"/>
            <w:tcMar>
              <w:top w:w="0" w:type="dxa"/>
              <w:left w:w="108" w:type="dxa"/>
              <w:bottom w:w="0" w:type="dxa"/>
              <w:right w:w="108" w:type="dxa"/>
            </w:tcMar>
            <w:vAlign w:val="center"/>
          </w:tcPr>
          <w:p w14:paraId="4B7E99B7"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4,794</w:t>
            </w:r>
          </w:p>
        </w:tc>
        <w:tc>
          <w:tcPr>
            <w:tcW w:w="498" w:type="pct"/>
            <w:shd w:val="clear" w:color="auto" w:fill="auto"/>
            <w:tcMar>
              <w:top w:w="0" w:type="dxa"/>
              <w:left w:w="108" w:type="dxa"/>
              <w:bottom w:w="0" w:type="dxa"/>
              <w:right w:w="108" w:type="dxa"/>
            </w:tcMar>
            <w:vAlign w:val="center"/>
          </w:tcPr>
          <w:p w14:paraId="52DBDF11"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1,950</w:t>
            </w:r>
          </w:p>
        </w:tc>
        <w:tc>
          <w:tcPr>
            <w:tcW w:w="496" w:type="pct"/>
            <w:shd w:val="clear" w:color="auto" w:fill="auto"/>
            <w:tcMar>
              <w:top w:w="0" w:type="dxa"/>
              <w:left w:w="108" w:type="dxa"/>
              <w:bottom w:w="0" w:type="dxa"/>
              <w:right w:w="108" w:type="dxa"/>
            </w:tcMar>
            <w:vAlign w:val="center"/>
          </w:tcPr>
          <w:p w14:paraId="580963FE"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650</w:t>
            </w:r>
          </w:p>
        </w:tc>
      </w:tr>
      <w:tr w:rsidR="006416B0" w:rsidRPr="00B4515A" w14:paraId="1FAC3CEF" w14:textId="77777777" w:rsidTr="005860B4">
        <w:trPr>
          <w:trHeight w:val="340"/>
          <w:jc w:val="center"/>
        </w:trPr>
        <w:tc>
          <w:tcPr>
            <w:tcW w:w="463" w:type="pct"/>
            <w:shd w:val="clear" w:color="auto" w:fill="auto"/>
            <w:tcMar>
              <w:top w:w="0" w:type="dxa"/>
              <w:left w:w="108" w:type="dxa"/>
              <w:bottom w:w="0" w:type="dxa"/>
              <w:right w:w="108" w:type="dxa"/>
            </w:tcMar>
            <w:vAlign w:val="center"/>
          </w:tcPr>
          <w:p w14:paraId="794E3E56"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2</w:t>
            </w:r>
          </w:p>
        </w:tc>
        <w:tc>
          <w:tcPr>
            <w:tcW w:w="722" w:type="pct"/>
            <w:shd w:val="clear" w:color="auto" w:fill="auto"/>
            <w:tcMar>
              <w:top w:w="0" w:type="dxa"/>
              <w:left w:w="108" w:type="dxa"/>
              <w:bottom w:w="0" w:type="dxa"/>
              <w:right w:w="108" w:type="dxa"/>
            </w:tcMar>
            <w:vAlign w:val="center"/>
          </w:tcPr>
          <w:p w14:paraId="49BA6B3E"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软件及</w:t>
            </w:r>
            <w:r w:rsidRPr="00B4515A">
              <w:rPr>
                <w:rFonts w:ascii="Times New Roman" w:eastAsia="宋体" w:hAnsi="Times New Roman" w:cs="Times New Roman"/>
                <w:sz w:val="21"/>
              </w:rPr>
              <w:t>IP</w:t>
            </w:r>
            <w:r w:rsidRPr="00B4515A">
              <w:rPr>
                <w:rFonts w:ascii="Times New Roman" w:eastAsia="宋体" w:hAnsi="Times New Roman" w:cs="Times New Roman"/>
                <w:sz w:val="21"/>
              </w:rPr>
              <w:t>授权</w:t>
            </w:r>
          </w:p>
        </w:tc>
        <w:tc>
          <w:tcPr>
            <w:tcW w:w="453" w:type="pct"/>
            <w:shd w:val="clear" w:color="auto" w:fill="auto"/>
            <w:tcMar>
              <w:top w:w="0" w:type="dxa"/>
              <w:left w:w="108" w:type="dxa"/>
              <w:bottom w:w="0" w:type="dxa"/>
              <w:right w:w="108" w:type="dxa"/>
            </w:tcMar>
            <w:vAlign w:val="center"/>
          </w:tcPr>
          <w:p w14:paraId="0FB1090F"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30,544</w:t>
            </w:r>
          </w:p>
        </w:tc>
        <w:tc>
          <w:tcPr>
            <w:tcW w:w="820" w:type="pct"/>
            <w:shd w:val="clear" w:color="auto" w:fill="auto"/>
            <w:tcMar>
              <w:top w:w="0" w:type="dxa"/>
              <w:left w:w="108" w:type="dxa"/>
              <w:bottom w:w="0" w:type="dxa"/>
              <w:right w:w="108" w:type="dxa"/>
            </w:tcMar>
            <w:vAlign w:val="center"/>
          </w:tcPr>
          <w:p w14:paraId="15B54EA2"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30,544</w:t>
            </w:r>
          </w:p>
        </w:tc>
        <w:tc>
          <w:tcPr>
            <w:tcW w:w="553" w:type="pct"/>
            <w:shd w:val="clear" w:color="auto" w:fill="auto"/>
            <w:tcMar>
              <w:top w:w="0" w:type="dxa"/>
              <w:left w:w="108" w:type="dxa"/>
              <w:bottom w:w="0" w:type="dxa"/>
              <w:right w:w="108" w:type="dxa"/>
            </w:tcMar>
            <w:vAlign w:val="center"/>
          </w:tcPr>
          <w:p w14:paraId="67964995"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42.65%</w:t>
            </w:r>
          </w:p>
        </w:tc>
        <w:tc>
          <w:tcPr>
            <w:tcW w:w="497" w:type="pct"/>
            <w:shd w:val="clear" w:color="auto" w:fill="auto"/>
            <w:tcMar>
              <w:top w:w="0" w:type="dxa"/>
              <w:left w:w="108" w:type="dxa"/>
              <w:bottom w:w="0" w:type="dxa"/>
              <w:right w:w="108" w:type="dxa"/>
            </w:tcMar>
            <w:vAlign w:val="center"/>
          </w:tcPr>
          <w:p w14:paraId="0B91C3D5"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11,611</w:t>
            </w:r>
          </w:p>
        </w:tc>
        <w:tc>
          <w:tcPr>
            <w:tcW w:w="498" w:type="pct"/>
            <w:shd w:val="clear" w:color="auto" w:fill="auto"/>
            <w:tcMar>
              <w:top w:w="0" w:type="dxa"/>
              <w:left w:w="108" w:type="dxa"/>
              <w:bottom w:w="0" w:type="dxa"/>
              <w:right w:w="108" w:type="dxa"/>
            </w:tcMar>
            <w:vAlign w:val="center"/>
          </w:tcPr>
          <w:p w14:paraId="721268AA"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9,111</w:t>
            </w:r>
          </w:p>
        </w:tc>
        <w:tc>
          <w:tcPr>
            <w:tcW w:w="498" w:type="pct"/>
            <w:shd w:val="clear" w:color="auto" w:fill="auto"/>
            <w:tcMar>
              <w:top w:w="0" w:type="dxa"/>
              <w:left w:w="108" w:type="dxa"/>
              <w:bottom w:w="0" w:type="dxa"/>
              <w:right w:w="108" w:type="dxa"/>
            </w:tcMar>
            <w:vAlign w:val="center"/>
          </w:tcPr>
          <w:p w14:paraId="47463AFE"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6,861</w:t>
            </w:r>
          </w:p>
        </w:tc>
        <w:tc>
          <w:tcPr>
            <w:tcW w:w="496" w:type="pct"/>
            <w:shd w:val="clear" w:color="auto" w:fill="auto"/>
            <w:tcMar>
              <w:top w:w="0" w:type="dxa"/>
              <w:left w:w="108" w:type="dxa"/>
              <w:bottom w:w="0" w:type="dxa"/>
              <w:right w:w="108" w:type="dxa"/>
            </w:tcMar>
            <w:vAlign w:val="center"/>
          </w:tcPr>
          <w:p w14:paraId="6C51F837"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2,961</w:t>
            </w:r>
          </w:p>
        </w:tc>
      </w:tr>
      <w:tr w:rsidR="006416B0" w:rsidRPr="00B4515A" w14:paraId="33992276" w14:textId="77777777" w:rsidTr="005860B4">
        <w:trPr>
          <w:trHeight w:val="340"/>
          <w:jc w:val="center"/>
        </w:trPr>
        <w:tc>
          <w:tcPr>
            <w:tcW w:w="463" w:type="pct"/>
            <w:shd w:val="clear" w:color="auto" w:fill="auto"/>
            <w:tcMar>
              <w:top w:w="0" w:type="dxa"/>
              <w:left w:w="108" w:type="dxa"/>
              <w:bottom w:w="0" w:type="dxa"/>
              <w:right w:w="108" w:type="dxa"/>
            </w:tcMar>
            <w:vAlign w:val="center"/>
          </w:tcPr>
          <w:p w14:paraId="2DAA667B"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2.1</w:t>
            </w:r>
          </w:p>
        </w:tc>
        <w:tc>
          <w:tcPr>
            <w:tcW w:w="722" w:type="pct"/>
            <w:shd w:val="clear" w:color="auto" w:fill="auto"/>
            <w:tcMar>
              <w:top w:w="0" w:type="dxa"/>
              <w:left w:w="108" w:type="dxa"/>
              <w:bottom w:w="0" w:type="dxa"/>
              <w:right w:w="108" w:type="dxa"/>
            </w:tcMar>
            <w:vAlign w:val="center"/>
          </w:tcPr>
          <w:p w14:paraId="7D2A455C"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软件</w:t>
            </w:r>
          </w:p>
        </w:tc>
        <w:tc>
          <w:tcPr>
            <w:tcW w:w="453" w:type="pct"/>
            <w:shd w:val="clear" w:color="auto" w:fill="auto"/>
            <w:tcMar>
              <w:top w:w="0" w:type="dxa"/>
              <w:left w:w="108" w:type="dxa"/>
              <w:bottom w:w="0" w:type="dxa"/>
              <w:right w:w="108" w:type="dxa"/>
            </w:tcMar>
            <w:vAlign w:val="center"/>
          </w:tcPr>
          <w:p w14:paraId="59B3E1F7"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5,200</w:t>
            </w:r>
          </w:p>
        </w:tc>
        <w:tc>
          <w:tcPr>
            <w:tcW w:w="820" w:type="pct"/>
            <w:shd w:val="clear" w:color="auto" w:fill="auto"/>
            <w:tcMar>
              <w:top w:w="0" w:type="dxa"/>
              <w:left w:w="108" w:type="dxa"/>
              <w:bottom w:w="0" w:type="dxa"/>
              <w:right w:w="108" w:type="dxa"/>
            </w:tcMar>
            <w:vAlign w:val="center"/>
          </w:tcPr>
          <w:p w14:paraId="64F0B132"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5,200</w:t>
            </w:r>
          </w:p>
        </w:tc>
        <w:tc>
          <w:tcPr>
            <w:tcW w:w="553" w:type="pct"/>
            <w:shd w:val="clear" w:color="auto" w:fill="auto"/>
            <w:tcMar>
              <w:top w:w="0" w:type="dxa"/>
              <w:left w:w="108" w:type="dxa"/>
              <w:bottom w:w="0" w:type="dxa"/>
              <w:right w:w="108" w:type="dxa"/>
            </w:tcMar>
            <w:vAlign w:val="center"/>
          </w:tcPr>
          <w:p w14:paraId="00CABDA9"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7.26%</w:t>
            </w:r>
          </w:p>
        </w:tc>
        <w:tc>
          <w:tcPr>
            <w:tcW w:w="497" w:type="pct"/>
            <w:shd w:val="clear" w:color="auto" w:fill="auto"/>
            <w:tcMar>
              <w:top w:w="0" w:type="dxa"/>
              <w:left w:w="108" w:type="dxa"/>
              <w:bottom w:w="0" w:type="dxa"/>
              <w:right w:w="108" w:type="dxa"/>
            </w:tcMar>
            <w:vAlign w:val="center"/>
          </w:tcPr>
          <w:p w14:paraId="7CDA9E7C"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1,300</w:t>
            </w:r>
          </w:p>
        </w:tc>
        <w:tc>
          <w:tcPr>
            <w:tcW w:w="498" w:type="pct"/>
            <w:shd w:val="clear" w:color="auto" w:fill="auto"/>
            <w:tcMar>
              <w:top w:w="0" w:type="dxa"/>
              <w:left w:w="108" w:type="dxa"/>
              <w:bottom w:w="0" w:type="dxa"/>
              <w:right w:w="108" w:type="dxa"/>
            </w:tcMar>
            <w:vAlign w:val="center"/>
          </w:tcPr>
          <w:p w14:paraId="69FEEDB0"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1,300</w:t>
            </w:r>
          </w:p>
        </w:tc>
        <w:tc>
          <w:tcPr>
            <w:tcW w:w="498" w:type="pct"/>
            <w:shd w:val="clear" w:color="auto" w:fill="auto"/>
            <w:tcMar>
              <w:top w:w="0" w:type="dxa"/>
              <w:left w:w="108" w:type="dxa"/>
              <w:bottom w:w="0" w:type="dxa"/>
              <w:right w:w="108" w:type="dxa"/>
            </w:tcMar>
            <w:vAlign w:val="center"/>
          </w:tcPr>
          <w:p w14:paraId="73F15ADE"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1,300</w:t>
            </w:r>
          </w:p>
        </w:tc>
        <w:tc>
          <w:tcPr>
            <w:tcW w:w="496" w:type="pct"/>
            <w:shd w:val="clear" w:color="auto" w:fill="auto"/>
            <w:tcMar>
              <w:top w:w="0" w:type="dxa"/>
              <w:left w:w="108" w:type="dxa"/>
              <w:bottom w:w="0" w:type="dxa"/>
              <w:right w:w="108" w:type="dxa"/>
            </w:tcMar>
            <w:vAlign w:val="center"/>
          </w:tcPr>
          <w:p w14:paraId="0D37E000"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1,300</w:t>
            </w:r>
          </w:p>
        </w:tc>
      </w:tr>
      <w:tr w:rsidR="006416B0" w:rsidRPr="00B4515A" w14:paraId="3A769F1B" w14:textId="77777777" w:rsidTr="005860B4">
        <w:trPr>
          <w:trHeight w:val="340"/>
          <w:jc w:val="center"/>
        </w:trPr>
        <w:tc>
          <w:tcPr>
            <w:tcW w:w="463" w:type="pct"/>
            <w:shd w:val="clear" w:color="auto" w:fill="auto"/>
            <w:tcMar>
              <w:top w:w="0" w:type="dxa"/>
              <w:left w:w="108" w:type="dxa"/>
              <w:bottom w:w="0" w:type="dxa"/>
              <w:right w:w="108" w:type="dxa"/>
            </w:tcMar>
            <w:vAlign w:val="center"/>
          </w:tcPr>
          <w:p w14:paraId="14CBE721"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2.2</w:t>
            </w:r>
          </w:p>
        </w:tc>
        <w:tc>
          <w:tcPr>
            <w:tcW w:w="722" w:type="pct"/>
            <w:shd w:val="clear" w:color="auto" w:fill="auto"/>
            <w:tcMar>
              <w:top w:w="0" w:type="dxa"/>
              <w:left w:w="108" w:type="dxa"/>
              <w:bottom w:w="0" w:type="dxa"/>
              <w:right w:w="108" w:type="dxa"/>
            </w:tcMar>
            <w:vAlign w:val="center"/>
          </w:tcPr>
          <w:p w14:paraId="6D6EA3CB"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IP</w:t>
            </w:r>
            <w:r w:rsidRPr="00B4515A">
              <w:rPr>
                <w:rFonts w:ascii="Times New Roman" w:eastAsia="宋体" w:hAnsi="Times New Roman" w:cs="Times New Roman"/>
                <w:sz w:val="21"/>
              </w:rPr>
              <w:t>授权</w:t>
            </w:r>
          </w:p>
        </w:tc>
        <w:tc>
          <w:tcPr>
            <w:tcW w:w="453" w:type="pct"/>
            <w:shd w:val="clear" w:color="auto" w:fill="auto"/>
            <w:tcMar>
              <w:top w:w="0" w:type="dxa"/>
              <w:left w:w="108" w:type="dxa"/>
              <w:bottom w:w="0" w:type="dxa"/>
              <w:right w:w="108" w:type="dxa"/>
            </w:tcMar>
            <w:vAlign w:val="center"/>
          </w:tcPr>
          <w:p w14:paraId="488E9589"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25,344</w:t>
            </w:r>
          </w:p>
        </w:tc>
        <w:tc>
          <w:tcPr>
            <w:tcW w:w="820" w:type="pct"/>
            <w:shd w:val="clear" w:color="auto" w:fill="auto"/>
            <w:tcMar>
              <w:top w:w="0" w:type="dxa"/>
              <w:left w:w="108" w:type="dxa"/>
              <w:bottom w:w="0" w:type="dxa"/>
              <w:right w:w="108" w:type="dxa"/>
            </w:tcMar>
            <w:vAlign w:val="center"/>
          </w:tcPr>
          <w:p w14:paraId="210B8D1A"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25,344</w:t>
            </w:r>
          </w:p>
        </w:tc>
        <w:tc>
          <w:tcPr>
            <w:tcW w:w="553" w:type="pct"/>
            <w:shd w:val="clear" w:color="auto" w:fill="auto"/>
            <w:tcMar>
              <w:top w:w="0" w:type="dxa"/>
              <w:left w:w="108" w:type="dxa"/>
              <w:bottom w:w="0" w:type="dxa"/>
              <w:right w:w="108" w:type="dxa"/>
            </w:tcMar>
            <w:vAlign w:val="center"/>
          </w:tcPr>
          <w:p w14:paraId="5330DA3D"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35.39%</w:t>
            </w:r>
          </w:p>
        </w:tc>
        <w:tc>
          <w:tcPr>
            <w:tcW w:w="497" w:type="pct"/>
            <w:shd w:val="clear" w:color="auto" w:fill="auto"/>
            <w:tcMar>
              <w:top w:w="0" w:type="dxa"/>
              <w:left w:w="108" w:type="dxa"/>
              <w:bottom w:w="0" w:type="dxa"/>
              <w:right w:w="108" w:type="dxa"/>
            </w:tcMar>
            <w:vAlign w:val="center"/>
          </w:tcPr>
          <w:p w14:paraId="14312E0E"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10,311</w:t>
            </w:r>
          </w:p>
        </w:tc>
        <w:tc>
          <w:tcPr>
            <w:tcW w:w="498" w:type="pct"/>
            <w:shd w:val="clear" w:color="auto" w:fill="auto"/>
            <w:tcMar>
              <w:top w:w="0" w:type="dxa"/>
              <w:left w:w="108" w:type="dxa"/>
              <w:bottom w:w="0" w:type="dxa"/>
              <w:right w:w="108" w:type="dxa"/>
            </w:tcMar>
            <w:vAlign w:val="center"/>
          </w:tcPr>
          <w:p w14:paraId="3DC08509"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7,811</w:t>
            </w:r>
          </w:p>
        </w:tc>
        <w:tc>
          <w:tcPr>
            <w:tcW w:w="498" w:type="pct"/>
            <w:shd w:val="clear" w:color="auto" w:fill="auto"/>
            <w:tcMar>
              <w:top w:w="0" w:type="dxa"/>
              <w:left w:w="108" w:type="dxa"/>
              <w:bottom w:w="0" w:type="dxa"/>
              <w:right w:w="108" w:type="dxa"/>
            </w:tcMar>
            <w:vAlign w:val="center"/>
          </w:tcPr>
          <w:p w14:paraId="1DBC7BB8"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5,561</w:t>
            </w:r>
          </w:p>
        </w:tc>
        <w:tc>
          <w:tcPr>
            <w:tcW w:w="496" w:type="pct"/>
            <w:shd w:val="clear" w:color="auto" w:fill="auto"/>
            <w:tcMar>
              <w:top w:w="0" w:type="dxa"/>
              <w:left w:w="108" w:type="dxa"/>
              <w:bottom w:w="0" w:type="dxa"/>
              <w:right w:w="108" w:type="dxa"/>
            </w:tcMar>
            <w:vAlign w:val="center"/>
          </w:tcPr>
          <w:p w14:paraId="62E30654"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1,661</w:t>
            </w:r>
          </w:p>
        </w:tc>
      </w:tr>
      <w:tr w:rsidR="006416B0" w:rsidRPr="00B4515A" w14:paraId="55B985E3" w14:textId="77777777" w:rsidTr="005860B4">
        <w:trPr>
          <w:trHeight w:val="340"/>
          <w:jc w:val="center"/>
        </w:trPr>
        <w:tc>
          <w:tcPr>
            <w:tcW w:w="463" w:type="pct"/>
            <w:shd w:val="clear" w:color="auto" w:fill="auto"/>
            <w:tcMar>
              <w:top w:w="0" w:type="dxa"/>
              <w:left w:w="108" w:type="dxa"/>
              <w:bottom w:w="0" w:type="dxa"/>
              <w:right w:w="108" w:type="dxa"/>
            </w:tcMar>
            <w:vAlign w:val="center"/>
          </w:tcPr>
          <w:p w14:paraId="73C2996F"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3</w:t>
            </w:r>
          </w:p>
        </w:tc>
        <w:tc>
          <w:tcPr>
            <w:tcW w:w="722" w:type="pct"/>
            <w:shd w:val="clear" w:color="auto" w:fill="auto"/>
            <w:tcMar>
              <w:top w:w="0" w:type="dxa"/>
              <w:left w:w="108" w:type="dxa"/>
              <w:bottom w:w="0" w:type="dxa"/>
              <w:right w:w="108" w:type="dxa"/>
            </w:tcMar>
            <w:vAlign w:val="center"/>
          </w:tcPr>
          <w:p w14:paraId="0B85343C"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研发投入</w:t>
            </w:r>
          </w:p>
        </w:tc>
        <w:tc>
          <w:tcPr>
            <w:tcW w:w="453" w:type="pct"/>
            <w:shd w:val="clear" w:color="auto" w:fill="auto"/>
            <w:tcMar>
              <w:top w:w="0" w:type="dxa"/>
              <w:left w:w="108" w:type="dxa"/>
              <w:bottom w:w="0" w:type="dxa"/>
              <w:right w:w="108" w:type="dxa"/>
            </w:tcMar>
            <w:vAlign w:val="center"/>
          </w:tcPr>
          <w:p w14:paraId="10318D7C"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30,266</w:t>
            </w:r>
          </w:p>
        </w:tc>
        <w:tc>
          <w:tcPr>
            <w:tcW w:w="820" w:type="pct"/>
            <w:shd w:val="clear" w:color="auto" w:fill="auto"/>
            <w:tcMar>
              <w:top w:w="0" w:type="dxa"/>
              <w:left w:w="108" w:type="dxa"/>
              <w:bottom w:w="0" w:type="dxa"/>
              <w:right w:w="108" w:type="dxa"/>
            </w:tcMar>
            <w:vAlign w:val="center"/>
          </w:tcPr>
          <w:p w14:paraId="580D7D8D"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8,656</w:t>
            </w:r>
          </w:p>
        </w:tc>
        <w:tc>
          <w:tcPr>
            <w:tcW w:w="553" w:type="pct"/>
            <w:shd w:val="clear" w:color="auto" w:fill="auto"/>
            <w:tcMar>
              <w:top w:w="0" w:type="dxa"/>
              <w:left w:w="108" w:type="dxa"/>
              <w:bottom w:w="0" w:type="dxa"/>
              <w:right w:w="108" w:type="dxa"/>
            </w:tcMar>
            <w:vAlign w:val="center"/>
          </w:tcPr>
          <w:p w14:paraId="18966A35"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42.27%</w:t>
            </w:r>
          </w:p>
        </w:tc>
        <w:tc>
          <w:tcPr>
            <w:tcW w:w="497" w:type="pct"/>
            <w:shd w:val="clear" w:color="auto" w:fill="auto"/>
            <w:tcMar>
              <w:top w:w="0" w:type="dxa"/>
              <w:left w:w="108" w:type="dxa"/>
              <w:bottom w:w="0" w:type="dxa"/>
              <w:right w:w="108" w:type="dxa"/>
            </w:tcMar>
            <w:vAlign w:val="center"/>
          </w:tcPr>
          <w:p w14:paraId="5D7540E1"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5,375</w:t>
            </w:r>
          </w:p>
        </w:tc>
        <w:tc>
          <w:tcPr>
            <w:tcW w:w="498" w:type="pct"/>
            <w:shd w:val="clear" w:color="auto" w:fill="auto"/>
            <w:tcMar>
              <w:top w:w="0" w:type="dxa"/>
              <w:left w:w="108" w:type="dxa"/>
              <w:bottom w:w="0" w:type="dxa"/>
              <w:right w:w="108" w:type="dxa"/>
            </w:tcMar>
            <w:vAlign w:val="center"/>
          </w:tcPr>
          <w:p w14:paraId="7646D878"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11,226</w:t>
            </w:r>
          </w:p>
        </w:tc>
        <w:tc>
          <w:tcPr>
            <w:tcW w:w="498" w:type="pct"/>
            <w:shd w:val="clear" w:color="auto" w:fill="auto"/>
            <w:tcMar>
              <w:top w:w="0" w:type="dxa"/>
              <w:left w:w="108" w:type="dxa"/>
              <w:bottom w:w="0" w:type="dxa"/>
              <w:right w:w="108" w:type="dxa"/>
            </w:tcMar>
            <w:vAlign w:val="center"/>
          </w:tcPr>
          <w:p w14:paraId="16EB608B"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9,695</w:t>
            </w:r>
          </w:p>
        </w:tc>
        <w:tc>
          <w:tcPr>
            <w:tcW w:w="496" w:type="pct"/>
            <w:shd w:val="clear" w:color="auto" w:fill="auto"/>
            <w:tcMar>
              <w:top w:w="0" w:type="dxa"/>
              <w:left w:w="108" w:type="dxa"/>
              <w:bottom w:w="0" w:type="dxa"/>
              <w:right w:w="108" w:type="dxa"/>
            </w:tcMar>
            <w:vAlign w:val="center"/>
          </w:tcPr>
          <w:p w14:paraId="5EE36C2B"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3,970</w:t>
            </w:r>
          </w:p>
        </w:tc>
      </w:tr>
      <w:tr w:rsidR="006416B0" w:rsidRPr="00B4515A" w14:paraId="3A80FE00" w14:textId="77777777" w:rsidTr="005860B4">
        <w:trPr>
          <w:trHeight w:val="340"/>
          <w:jc w:val="center"/>
        </w:trPr>
        <w:tc>
          <w:tcPr>
            <w:tcW w:w="463" w:type="pct"/>
            <w:shd w:val="clear" w:color="auto" w:fill="auto"/>
            <w:tcMar>
              <w:top w:w="0" w:type="dxa"/>
              <w:left w:w="108" w:type="dxa"/>
              <w:bottom w:w="0" w:type="dxa"/>
              <w:right w:w="108" w:type="dxa"/>
            </w:tcMar>
            <w:vAlign w:val="center"/>
          </w:tcPr>
          <w:p w14:paraId="49522E41"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3.1</w:t>
            </w:r>
          </w:p>
        </w:tc>
        <w:tc>
          <w:tcPr>
            <w:tcW w:w="722" w:type="pct"/>
            <w:shd w:val="clear" w:color="auto" w:fill="auto"/>
            <w:tcMar>
              <w:top w:w="0" w:type="dxa"/>
              <w:left w:w="108" w:type="dxa"/>
              <w:bottom w:w="0" w:type="dxa"/>
              <w:right w:w="108" w:type="dxa"/>
            </w:tcMar>
            <w:vAlign w:val="center"/>
          </w:tcPr>
          <w:p w14:paraId="220C632B" w14:textId="77777777" w:rsidR="005860B4"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研发人</w:t>
            </w:r>
          </w:p>
          <w:p w14:paraId="70C556D1" w14:textId="50451B59"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员费</w:t>
            </w:r>
          </w:p>
        </w:tc>
        <w:tc>
          <w:tcPr>
            <w:tcW w:w="453" w:type="pct"/>
            <w:shd w:val="clear" w:color="auto" w:fill="auto"/>
            <w:tcMar>
              <w:top w:w="0" w:type="dxa"/>
              <w:left w:w="108" w:type="dxa"/>
              <w:bottom w:w="0" w:type="dxa"/>
              <w:right w:w="108" w:type="dxa"/>
            </w:tcMar>
            <w:vAlign w:val="center"/>
          </w:tcPr>
          <w:p w14:paraId="5DA07CA5"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18,670</w:t>
            </w:r>
          </w:p>
        </w:tc>
        <w:tc>
          <w:tcPr>
            <w:tcW w:w="820" w:type="pct"/>
            <w:shd w:val="clear" w:color="auto" w:fill="auto"/>
            <w:tcMar>
              <w:top w:w="0" w:type="dxa"/>
              <w:left w:w="108" w:type="dxa"/>
              <w:bottom w:w="0" w:type="dxa"/>
              <w:right w:w="108" w:type="dxa"/>
            </w:tcMar>
            <w:vAlign w:val="center"/>
          </w:tcPr>
          <w:p w14:paraId="70DAB55B"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4,035</w:t>
            </w:r>
          </w:p>
        </w:tc>
        <w:tc>
          <w:tcPr>
            <w:tcW w:w="553" w:type="pct"/>
            <w:shd w:val="clear" w:color="auto" w:fill="auto"/>
            <w:tcMar>
              <w:top w:w="0" w:type="dxa"/>
              <w:left w:w="108" w:type="dxa"/>
              <w:bottom w:w="0" w:type="dxa"/>
              <w:right w:w="108" w:type="dxa"/>
            </w:tcMar>
            <w:vAlign w:val="center"/>
          </w:tcPr>
          <w:p w14:paraId="116C6816"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26.07%</w:t>
            </w:r>
          </w:p>
        </w:tc>
        <w:tc>
          <w:tcPr>
            <w:tcW w:w="497" w:type="pct"/>
            <w:shd w:val="clear" w:color="auto" w:fill="auto"/>
            <w:tcMar>
              <w:top w:w="0" w:type="dxa"/>
              <w:left w:w="108" w:type="dxa"/>
              <w:bottom w:w="0" w:type="dxa"/>
              <w:right w:w="108" w:type="dxa"/>
            </w:tcMar>
            <w:vAlign w:val="center"/>
          </w:tcPr>
          <w:p w14:paraId="06E1C992"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4,650</w:t>
            </w:r>
          </w:p>
        </w:tc>
        <w:tc>
          <w:tcPr>
            <w:tcW w:w="498" w:type="pct"/>
            <w:shd w:val="clear" w:color="auto" w:fill="auto"/>
            <w:tcMar>
              <w:top w:w="0" w:type="dxa"/>
              <w:left w:w="108" w:type="dxa"/>
              <w:bottom w:w="0" w:type="dxa"/>
              <w:right w:w="108" w:type="dxa"/>
            </w:tcMar>
            <w:vAlign w:val="center"/>
          </w:tcPr>
          <w:p w14:paraId="1EFE94A6"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6,825</w:t>
            </w:r>
          </w:p>
        </w:tc>
        <w:tc>
          <w:tcPr>
            <w:tcW w:w="498" w:type="pct"/>
            <w:shd w:val="clear" w:color="auto" w:fill="auto"/>
            <w:tcMar>
              <w:top w:w="0" w:type="dxa"/>
              <w:left w:w="108" w:type="dxa"/>
              <w:bottom w:w="0" w:type="dxa"/>
              <w:right w:w="108" w:type="dxa"/>
            </w:tcMar>
            <w:vAlign w:val="center"/>
          </w:tcPr>
          <w:p w14:paraId="27995708"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5,680</w:t>
            </w:r>
          </w:p>
        </w:tc>
        <w:tc>
          <w:tcPr>
            <w:tcW w:w="496" w:type="pct"/>
            <w:shd w:val="clear" w:color="auto" w:fill="auto"/>
            <w:tcMar>
              <w:top w:w="0" w:type="dxa"/>
              <w:left w:w="108" w:type="dxa"/>
              <w:bottom w:w="0" w:type="dxa"/>
              <w:right w:w="108" w:type="dxa"/>
            </w:tcMar>
            <w:vAlign w:val="center"/>
          </w:tcPr>
          <w:p w14:paraId="40ACA69F"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1,515</w:t>
            </w:r>
          </w:p>
        </w:tc>
      </w:tr>
      <w:tr w:rsidR="006416B0" w:rsidRPr="00B4515A" w14:paraId="48BAF5CB" w14:textId="77777777" w:rsidTr="005860B4">
        <w:trPr>
          <w:trHeight w:val="340"/>
          <w:jc w:val="center"/>
        </w:trPr>
        <w:tc>
          <w:tcPr>
            <w:tcW w:w="463" w:type="pct"/>
            <w:shd w:val="clear" w:color="auto" w:fill="auto"/>
            <w:tcMar>
              <w:top w:w="0" w:type="dxa"/>
              <w:left w:w="108" w:type="dxa"/>
              <w:bottom w:w="0" w:type="dxa"/>
              <w:right w:w="108" w:type="dxa"/>
            </w:tcMar>
            <w:vAlign w:val="center"/>
          </w:tcPr>
          <w:p w14:paraId="019D107C"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3.2</w:t>
            </w:r>
          </w:p>
        </w:tc>
        <w:tc>
          <w:tcPr>
            <w:tcW w:w="722" w:type="pct"/>
            <w:shd w:val="clear" w:color="auto" w:fill="auto"/>
            <w:tcMar>
              <w:top w:w="0" w:type="dxa"/>
              <w:left w:w="108" w:type="dxa"/>
              <w:bottom w:w="0" w:type="dxa"/>
              <w:right w:w="108" w:type="dxa"/>
            </w:tcMar>
            <w:vAlign w:val="center"/>
          </w:tcPr>
          <w:p w14:paraId="06370C70" w14:textId="77777777" w:rsidR="005860B4"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芯片</w:t>
            </w:r>
            <w:r w:rsidRPr="00B4515A">
              <w:rPr>
                <w:rFonts w:ascii="Times New Roman" w:eastAsia="宋体" w:hAnsi="Times New Roman" w:cs="Times New Roman" w:hint="eastAsia"/>
                <w:sz w:val="21"/>
              </w:rPr>
              <w:t>流</w:t>
            </w:r>
          </w:p>
          <w:p w14:paraId="018E074B" w14:textId="08E4D5C5"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hint="eastAsia"/>
                <w:sz w:val="21"/>
              </w:rPr>
              <w:t>片</w:t>
            </w:r>
            <w:r w:rsidRPr="00B4515A">
              <w:rPr>
                <w:rFonts w:ascii="Times New Roman" w:eastAsia="宋体" w:hAnsi="Times New Roman" w:cs="Times New Roman"/>
                <w:sz w:val="21"/>
              </w:rPr>
              <w:t>费</w:t>
            </w:r>
          </w:p>
        </w:tc>
        <w:tc>
          <w:tcPr>
            <w:tcW w:w="453" w:type="pct"/>
            <w:shd w:val="clear" w:color="auto" w:fill="auto"/>
            <w:tcMar>
              <w:top w:w="0" w:type="dxa"/>
              <w:left w:w="108" w:type="dxa"/>
              <w:bottom w:w="0" w:type="dxa"/>
              <w:right w:w="108" w:type="dxa"/>
            </w:tcMar>
            <w:vAlign w:val="center"/>
          </w:tcPr>
          <w:p w14:paraId="40BA7C19"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6,516</w:t>
            </w:r>
          </w:p>
        </w:tc>
        <w:tc>
          <w:tcPr>
            <w:tcW w:w="820" w:type="pct"/>
            <w:shd w:val="clear" w:color="auto" w:fill="auto"/>
            <w:tcMar>
              <w:top w:w="0" w:type="dxa"/>
              <w:left w:w="108" w:type="dxa"/>
              <w:bottom w:w="0" w:type="dxa"/>
              <w:right w:w="108" w:type="dxa"/>
            </w:tcMar>
            <w:vAlign w:val="center"/>
          </w:tcPr>
          <w:p w14:paraId="4D37A4BB"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3,388</w:t>
            </w:r>
          </w:p>
        </w:tc>
        <w:tc>
          <w:tcPr>
            <w:tcW w:w="553" w:type="pct"/>
            <w:shd w:val="clear" w:color="auto" w:fill="auto"/>
            <w:tcMar>
              <w:top w:w="0" w:type="dxa"/>
              <w:left w:w="108" w:type="dxa"/>
              <w:bottom w:w="0" w:type="dxa"/>
              <w:right w:w="108" w:type="dxa"/>
            </w:tcMar>
            <w:vAlign w:val="center"/>
          </w:tcPr>
          <w:p w14:paraId="6AB77CC3"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9.10%</w:t>
            </w:r>
          </w:p>
        </w:tc>
        <w:tc>
          <w:tcPr>
            <w:tcW w:w="497" w:type="pct"/>
            <w:shd w:val="clear" w:color="auto" w:fill="auto"/>
            <w:tcMar>
              <w:top w:w="0" w:type="dxa"/>
              <w:left w:w="108" w:type="dxa"/>
              <w:bottom w:w="0" w:type="dxa"/>
              <w:right w:w="108" w:type="dxa"/>
            </w:tcMar>
            <w:vAlign w:val="center"/>
          </w:tcPr>
          <w:p w14:paraId="1C3A3516"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475</w:t>
            </w:r>
          </w:p>
        </w:tc>
        <w:tc>
          <w:tcPr>
            <w:tcW w:w="498" w:type="pct"/>
            <w:shd w:val="clear" w:color="auto" w:fill="auto"/>
            <w:tcMar>
              <w:top w:w="0" w:type="dxa"/>
              <w:left w:w="108" w:type="dxa"/>
              <w:bottom w:w="0" w:type="dxa"/>
              <w:right w:w="108" w:type="dxa"/>
            </w:tcMar>
            <w:vAlign w:val="center"/>
          </w:tcPr>
          <w:p w14:paraId="00134438"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2,866</w:t>
            </w:r>
          </w:p>
        </w:tc>
        <w:tc>
          <w:tcPr>
            <w:tcW w:w="498" w:type="pct"/>
            <w:shd w:val="clear" w:color="auto" w:fill="auto"/>
            <w:tcMar>
              <w:top w:w="0" w:type="dxa"/>
              <w:left w:w="108" w:type="dxa"/>
              <w:bottom w:w="0" w:type="dxa"/>
              <w:right w:w="108" w:type="dxa"/>
            </w:tcMar>
            <w:vAlign w:val="center"/>
          </w:tcPr>
          <w:p w14:paraId="7E2CC6CC"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1,885</w:t>
            </w:r>
          </w:p>
        </w:tc>
        <w:tc>
          <w:tcPr>
            <w:tcW w:w="496" w:type="pct"/>
            <w:shd w:val="clear" w:color="auto" w:fill="auto"/>
            <w:tcMar>
              <w:top w:w="0" w:type="dxa"/>
              <w:left w:w="108" w:type="dxa"/>
              <w:bottom w:w="0" w:type="dxa"/>
              <w:right w:w="108" w:type="dxa"/>
            </w:tcMar>
            <w:vAlign w:val="center"/>
          </w:tcPr>
          <w:p w14:paraId="16D371A1"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1,290</w:t>
            </w:r>
          </w:p>
        </w:tc>
      </w:tr>
      <w:tr w:rsidR="006416B0" w:rsidRPr="00B4515A" w14:paraId="26CB80C9" w14:textId="77777777" w:rsidTr="005860B4">
        <w:trPr>
          <w:trHeight w:val="340"/>
          <w:jc w:val="center"/>
        </w:trPr>
        <w:tc>
          <w:tcPr>
            <w:tcW w:w="463" w:type="pct"/>
            <w:shd w:val="clear" w:color="auto" w:fill="auto"/>
            <w:tcMar>
              <w:top w:w="0" w:type="dxa"/>
              <w:left w:w="108" w:type="dxa"/>
              <w:bottom w:w="0" w:type="dxa"/>
              <w:right w:w="108" w:type="dxa"/>
            </w:tcMar>
            <w:vAlign w:val="center"/>
          </w:tcPr>
          <w:p w14:paraId="47745173"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3.3</w:t>
            </w:r>
          </w:p>
        </w:tc>
        <w:tc>
          <w:tcPr>
            <w:tcW w:w="722" w:type="pct"/>
            <w:shd w:val="clear" w:color="auto" w:fill="auto"/>
            <w:tcMar>
              <w:top w:w="0" w:type="dxa"/>
              <w:left w:w="108" w:type="dxa"/>
              <w:bottom w:w="0" w:type="dxa"/>
              <w:right w:w="108" w:type="dxa"/>
            </w:tcMar>
            <w:vAlign w:val="center"/>
          </w:tcPr>
          <w:p w14:paraId="54658769" w14:textId="77777777" w:rsidR="006416B0" w:rsidRPr="00B4515A" w:rsidRDefault="005E58C1" w:rsidP="005860B4">
            <w:pPr>
              <w:pStyle w:val="affff3"/>
              <w:snapToGrid w:val="0"/>
              <w:rPr>
                <w:rFonts w:ascii="Times New Roman" w:eastAsia="宋体" w:hAnsi="Times New Roman" w:cs="Times New Roman"/>
                <w:sz w:val="21"/>
              </w:rPr>
            </w:pPr>
            <w:r w:rsidRPr="00B4515A">
              <w:rPr>
                <w:rFonts w:ascii="Times New Roman" w:eastAsia="宋体" w:hAnsi="Times New Roman" w:cs="Times New Roman"/>
                <w:sz w:val="21"/>
              </w:rPr>
              <w:t>测试及认证费</w:t>
            </w:r>
          </w:p>
        </w:tc>
        <w:tc>
          <w:tcPr>
            <w:tcW w:w="453" w:type="pct"/>
            <w:shd w:val="clear" w:color="auto" w:fill="auto"/>
            <w:tcMar>
              <w:top w:w="0" w:type="dxa"/>
              <w:left w:w="108" w:type="dxa"/>
              <w:bottom w:w="0" w:type="dxa"/>
              <w:right w:w="108" w:type="dxa"/>
            </w:tcMar>
            <w:vAlign w:val="center"/>
          </w:tcPr>
          <w:p w14:paraId="5608B0CB"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5,080</w:t>
            </w:r>
          </w:p>
        </w:tc>
        <w:tc>
          <w:tcPr>
            <w:tcW w:w="820" w:type="pct"/>
            <w:shd w:val="clear" w:color="auto" w:fill="auto"/>
            <w:tcMar>
              <w:top w:w="0" w:type="dxa"/>
              <w:left w:w="108" w:type="dxa"/>
              <w:bottom w:w="0" w:type="dxa"/>
              <w:right w:w="108" w:type="dxa"/>
            </w:tcMar>
            <w:vAlign w:val="center"/>
          </w:tcPr>
          <w:p w14:paraId="267339EF"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1,232</w:t>
            </w:r>
          </w:p>
        </w:tc>
        <w:tc>
          <w:tcPr>
            <w:tcW w:w="553" w:type="pct"/>
            <w:shd w:val="clear" w:color="auto" w:fill="auto"/>
            <w:tcMar>
              <w:top w:w="0" w:type="dxa"/>
              <w:left w:w="108" w:type="dxa"/>
              <w:bottom w:w="0" w:type="dxa"/>
              <w:right w:w="108" w:type="dxa"/>
            </w:tcMar>
            <w:vAlign w:val="center"/>
          </w:tcPr>
          <w:p w14:paraId="2D8245AA"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7.09%</w:t>
            </w:r>
          </w:p>
        </w:tc>
        <w:tc>
          <w:tcPr>
            <w:tcW w:w="497" w:type="pct"/>
            <w:shd w:val="clear" w:color="auto" w:fill="auto"/>
            <w:tcMar>
              <w:top w:w="0" w:type="dxa"/>
              <w:left w:w="108" w:type="dxa"/>
              <w:bottom w:w="0" w:type="dxa"/>
              <w:right w:w="108" w:type="dxa"/>
            </w:tcMar>
            <w:vAlign w:val="center"/>
          </w:tcPr>
          <w:p w14:paraId="79B75B4D"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250</w:t>
            </w:r>
          </w:p>
        </w:tc>
        <w:tc>
          <w:tcPr>
            <w:tcW w:w="498" w:type="pct"/>
            <w:shd w:val="clear" w:color="auto" w:fill="auto"/>
            <w:tcMar>
              <w:top w:w="0" w:type="dxa"/>
              <w:left w:w="108" w:type="dxa"/>
              <w:bottom w:w="0" w:type="dxa"/>
              <w:right w:w="108" w:type="dxa"/>
            </w:tcMar>
            <w:vAlign w:val="center"/>
          </w:tcPr>
          <w:p w14:paraId="0A36A34B"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1,535</w:t>
            </w:r>
          </w:p>
        </w:tc>
        <w:tc>
          <w:tcPr>
            <w:tcW w:w="498" w:type="pct"/>
            <w:shd w:val="clear" w:color="auto" w:fill="auto"/>
            <w:tcMar>
              <w:top w:w="0" w:type="dxa"/>
              <w:left w:w="108" w:type="dxa"/>
              <w:bottom w:w="0" w:type="dxa"/>
              <w:right w:w="108" w:type="dxa"/>
            </w:tcMar>
            <w:vAlign w:val="center"/>
          </w:tcPr>
          <w:p w14:paraId="6D2333B5"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2,130</w:t>
            </w:r>
          </w:p>
        </w:tc>
        <w:tc>
          <w:tcPr>
            <w:tcW w:w="496" w:type="pct"/>
            <w:shd w:val="clear" w:color="auto" w:fill="auto"/>
            <w:tcMar>
              <w:top w:w="0" w:type="dxa"/>
              <w:left w:w="108" w:type="dxa"/>
              <w:bottom w:w="0" w:type="dxa"/>
              <w:right w:w="108" w:type="dxa"/>
            </w:tcMar>
            <w:vAlign w:val="center"/>
          </w:tcPr>
          <w:p w14:paraId="7A83A12F" w14:textId="77777777" w:rsidR="006416B0" w:rsidRPr="00B4515A" w:rsidRDefault="005E58C1" w:rsidP="005860B4">
            <w:pPr>
              <w:pStyle w:val="affff3"/>
              <w:snapToGrid w:val="0"/>
              <w:jc w:val="right"/>
              <w:rPr>
                <w:rFonts w:ascii="Times New Roman" w:eastAsia="宋体" w:hAnsi="Times New Roman" w:cs="Times New Roman"/>
                <w:sz w:val="21"/>
              </w:rPr>
            </w:pPr>
            <w:r w:rsidRPr="00B4515A">
              <w:rPr>
                <w:rFonts w:ascii="Times New Roman" w:eastAsia="宋体" w:hAnsi="Times New Roman" w:cs="Times New Roman"/>
                <w:sz w:val="21"/>
              </w:rPr>
              <w:t>1,165</w:t>
            </w:r>
          </w:p>
        </w:tc>
      </w:tr>
      <w:tr w:rsidR="006416B0" w:rsidRPr="00B4515A" w14:paraId="71845DCE" w14:textId="77777777" w:rsidTr="005860B4">
        <w:trPr>
          <w:trHeight w:val="340"/>
          <w:jc w:val="center"/>
        </w:trPr>
        <w:tc>
          <w:tcPr>
            <w:tcW w:w="1185" w:type="pct"/>
            <w:gridSpan w:val="2"/>
            <w:shd w:val="clear" w:color="auto" w:fill="auto"/>
            <w:tcMar>
              <w:top w:w="0" w:type="dxa"/>
              <w:left w:w="108" w:type="dxa"/>
              <w:bottom w:w="0" w:type="dxa"/>
              <w:right w:w="108" w:type="dxa"/>
            </w:tcMar>
            <w:vAlign w:val="center"/>
          </w:tcPr>
          <w:p w14:paraId="68186A78" w14:textId="77777777" w:rsidR="006416B0" w:rsidRPr="00B4515A" w:rsidRDefault="005E58C1" w:rsidP="005860B4">
            <w:pPr>
              <w:pStyle w:val="affff3"/>
              <w:snapToGrid w:val="0"/>
              <w:rPr>
                <w:rFonts w:ascii="Times New Roman" w:eastAsia="宋体" w:hAnsi="Times New Roman" w:cs="Times New Roman"/>
                <w:b/>
                <w:sz w:val="21"/>
              </w:rPr>
            </w:pPr>
            <w:r w:rsidRPr="00B4515A">
              <w:rPr>
                <w:rFonts w:ascii="Times New Roman" w:eastAsia="宋体" w:hAnsi="Times New Roman" w:cs="Times New Roman"/>
                <w:b/>
                <w:sz w:val="21"/>
              </w:rPr>
              <w:t>合计</w:t>
            </w:r>
          </w:p>
        </w:tc>
        <w:tc>
          <w:tcPr>
            <w:tcW w:w="453" w:type="pct"/>
            <w:shd w:val="clear" w:color="auto" w:fill="auto"/>
            <w:tcMar>
              <w:top w:w="0" w:type="dxa"/>
              <w:left w:w="108" w:type="dxa"/>
              <w:bottom w:w="0" w:type="dxa"/>
              <w:right w:w="108" w:type="dxa"/>
            </w:tcMar>
            <w:vAlign w:val="center"/>
          </w:tcPr>
          <w:p w14:paraId="0BB97A6E" w14:textId="77777777" w:rsidR="006416B0" w:rsidRPr="00B4515A" w:rsidRDefault="005E58C1" w:rsidP="005860B4">
            <w:pPr>
              <w:pStyle w:val="affff3"/>
              <w:snapToGrid w:val="0"/>
              <w:jc w:val="right"/>
              <w:rPr>
                <w:rFonts w:ascii="Times New Roman" w:eastAsia="宋体" w:hAnsi="Times New Roman" w:cs="Times New Roman"/>
                <w:b/>
                <w:sz w:val="21"/>
              </w:rPr>
            </w:pPr>
            <w:r w:rsidRPr="00B4515A">
              <w:rPr>
                <w:rFonts w:ascii="Times New Roman" w:eastAsia="宋体" w:hAnsi="Times New Roman" w:cs="Times New Roman"/>
                <w:b/>
                <w:sz w:val="21"/>
              </w:rPr>
              <w:t>71,610</w:t>
            </w:r>
          </w:p>
        </w:tc>
        <w:tc>
          <w:tcPr>
            <w:tcW w:w="820" w:type="pct"/>
            <w:shd w:val="clear" w:color="auto" w:fill="auto"/>
            <w:tcMar>
              <w:top w:w="0" w:type="dxa"/>
              <w:left w:w="108" w:type="dxa"/>
              <w:bottom w:w="0" w:type="dxa"/>
              <w:right w:w="108" w:type="dxa"/>
            </w:tcMar>
            <w:vAlign w:val="center"/>
          </w:tcPr>
          <w:p w14:paraId="659A7299" w14:textId="77777777" w:rsidR="006416B0" w:rsidRPr="00B4515A" w:rsidRDefault="005E58C1" w:rsidP="005860B4">
            <w:pPr>
              <w:pStyle w:val="affff3"/>
              <w:snapToGrid w:val="0"/>
              <w:jc w:val="right"/>
              <w:rPr>
                <w:rFonts w:ascii="Times New Roman" w:eastAsia="宋体" w:hAnsi="Times New Roman" w:cs="Times New Roman"/>
                <w:b/>
                <w:sz w:val="21"/>
              </w:rPr>
            </w:pPr>
            <w:r w:rsidRPr="00B4515A">
              <w:rPr>
                <w:rFonts w:ascii="Times New Roman" w:eastAsia="宋体" w:hAnsi="Times New Roman" w:cs="Times New Roman"/>
                <w:b/>
                <w:sz w:val="21"/>
              </w:rPr>
              <w:t>50,000</w:t>
            </w:r>
          </w:p>
        </w:tc>
        <w:tc>
          <w:tcPr>
            <w:tcW w:w="553" w:type="pct"/>
            <w:shd w:val="clear" w:color="auto" w:fill="auto"/>
            <w:tcMar>
              <w:top w:w="0" w:type="dxa"/>
              <w:left w:w="108" w:type="dxa"/>
              <w:bottom w:w="0" w:type="dxa"/>
              <w:right w:w="108" w:type="dxa"/>
            </w:tcMar>
            <w:vAlign w:val="center"/>
          </w:tcPr>
          <w:p w14:paraId="712B50F7" w14:textId="77777777" w:rsidR="006416B0" w:rsidRPr="00B4515A" w:rsidRDefault="005E58C1" w:rsidP="005860B4">
            <w:pPr>
              <w:pStyle w:val="affff3"/>
              <w:snapToGrid w:val="0"/>
              <w:jc w:val="right"/>
              <w:rPr>
                <w:rFonts w:ascii="Times New Roman" w:eastAsia="宋体" w:hAnsi="Times New Roman" w:cs="Times New Roman"/>
                <w:b/>
                <w:sz w:val="21"/>
              </w:rPr>
            </w:pPr>
            <w:r w:rsidRPr="00B4515A">
              <w:rPr>
                <w:rFonts w:ascii="Times New Roman" w:eastAsia="宋体" w:hAnsi="Times New Roman" w:cs="Times New Roman"/>
                <w:b/>
                <w:sz w:val="21"/>
              </w:rPr>
              <w:t>100.00%</w:t>
            </w:r>
          </w:p>
        </w:tc>
        <w:tc>
          <w:tcPr>
            <w:tcW w:w="497" w:type="pct"/>
            <w:shd w:val="clear" w:color="auto" w:fill="auto"/>
            <w:tcMar>
              <w:top w:w="0" w:type="dxa"/>
              <w:left w:w="108" w:type="dxa"/>
              <w:bottom w:w="0" w:type="dxa"/>
              <w:right w:w="108" w:type="dxa"/>
            </w:tcMar>
            <w:vAlign w:val="center"/>
          </w:tcPr>
          <w:p w14:paraId="25CDF776" w14:textId="77777777" w:rsidR="006416B0" w:rsidRPr="00B4515A" w:rsidRDefault="005E58C1" w:rsidP="005860B4">
            <w:pPr>
              <w:pStyle w:val="affff3"/>
              <w:snapToGrid w:val="0"/>
              <w:jc w:val="right"/>
              <w:rPr>
                <w:rFonts w:ascii="Times New Roman" w:eastAsia="宋体" w:hAnsi="Times New Roman" w:cs="Times New Roman"/>
                <w:b/>
                <w:sz w:val="21"/>
              </w:rPr>
            </w:pPr>
            <w:r w:rsidRPr="00B4515A">
              <w:rPr>
                <w:rFonts w:ascii="Times New Roman" w:eastAsia="宋体" w:hAnsi="Times New Roman" w:cs="Times New Roman"/>
                <w:b/>
                <w:sz w:val="21"/>
              </w:rPr>
              <w:t>20,392</w:t>
            </w:r>
          </w:p>
        </w:tc>
        <w:tc>
          <w:tcPr>
            <w:tcW w:w="498" w:type="pct"/>
            <w:shd w:val="clear" w:color="auto" w:fill="auto"/>
            <w:tcMar>
              <w:top w:w="0" w:type="dxa"/>
              <w:left w:w="108" w:type="dxa"/>
              <w:bottom w:w="0" w:type="dxa"/>
              <w:right w:w="108" w:type="dxa"/>
            </w:tcMar>
            <w:vAlign w:val="center"/>
          </w:tcPr>
          <w:p w14:paraId="699B3AB6" w14:textId="77777777" w:rsidR="006416B0" w:rsidRPr="00B4515A" w:rsidRDefault="005E58C1" w:rsidP="005860B4">
            <w:pPr>
              <w:pStyle w:val="affff3"/>
              <w:snapToGrid w:val="0"/>
              <w:jc w:val="right"/>
              <w:rPr>
                <w:rFonts w:ascii="Times New Roman" w:eastAsia="宋体" w:hAnsi="Times New Roman" w:cs="Times New Roman"/>
                <w:b/>
                <w:sz w:val="21"/>
              </w:rPr>
            </w:pPr>
            <w:r w:rsidRPr="00B4515A">
              <w:rPr>
                <w:rFonts w:ascii="Times New Roman" w:eastAsia="宋体" w:hAnsi="Times New Roman" w:cs="Times New Roman"/>
                <w:b/>
                <w:sz w:val="21"/>
              </w:rPr>
              <w:t>25,131</w:t>
            </w:r>
          </w:p>
        </w:tc>
        <w:tc>
          <w:tcPr>
            <w:tcW w:w="498" w:type="pct"/>
            <w:shd w:val="clear" w:color="auto" w:fill="auto"/>
            <w:tcMar>
              <w:top w:w="0" w:type="dxa"/>
              <w:left w:w="108" w:type="dxa"/>
              <w:bottom w:w="0" w:type="dxa"/>
              <w:right w:w="108" w:type="dxa"/>
            </w:tcMar>
            <w:vAlign w:val="center"/>
          </w:tcPr>
          <w:p w14:paraId="032857F3" w14:textId="77777777" w:rsidR="006416B0" w:rsidRPr="00B4515A" w:rsidRDefault="005E58C1" w:rsidP="005860B4">
            <w:pPr>
              <w:pStyle w:val="affff3"/>
              <w:snapToGrid w:val="0"/>
              <w:jc w:val="right"/>
              <w:rPr>
                <w:rFonts w:ascii="Times New Roman" w:eastAsia="宋体" w:hAnsi="Times New Roman" w:cs="Times New Roman"/>
                <w:b/>
                <w:sz w:val="21"/>
              </w:rPr>
            </w:pPr>
            <w:r w:rsidRPr="00B4515A">
              <w:rPr>
                <w:rFonts w:ascii="Times New Roman" w:eastAsia="宋体" w:hAnsi="Times New Roman" w:cs="Times New Roman"/>
                <w:b/>
                <w:sz w:val="21"/>
              </w:rPr>
              <w:t>18,506</w:t>
            </w:r>
          </w:p>
        </w:tc>
        <w:tc>
          <w:tcPr>
            <w:tcW w:w="496" w:type="pct"/>
            <w:shd w:val="clear" w:color="auto" w:fill="auto"/>
            <w:tcMar>
              <w:top w:w="0" w:type="dxa"/>
              <w:left w:w="108" w:type="dxa"/>
              <w:bottom w:w="0" w:type="dxa"/>
              <w:right w:w="108" w:type="dxa"/>
            </w:tcMar>
            <w:vAlign w:val="center"/>
          </w:tcPr>
          <w:p w14:paraId="3DC2B41C" w14:textId="77777777" w:rsidR="006416B0" w:rsidRPr="00B4515A" w:rsidRDefault="005E58C1" w:rsidP="005860B4">
            <w:pPr>
              <w:pStyle w:val="affff3"/>
              <w:snapToGrid w:val="0"/>
              <w:jc w:val="right"/>
              <w:rPr>
                <w:rFonts w:ascii="Times New Roman" w:eastAsia="宋体" w:hAnsi="Times New Roman" w:cs="Times New Roman"/>
                <w:b/>
                <w:sz w:val="21"/>
              </w:rPr>
            </w:pPr>
            <w:r w:rsidRPr="00B4515A">
              <w:rPr>
                <w:rFonts w:ascii="Times New Roman" w:eastAsia="宋体" w:hAnsi="Times New Roman" w:cs="Times New Roman"/>
                <w:b/>
                <w:sz w:val="21"/>
              </w:rPr>
              <w:t>7,581</w:t>
            </w:r>
          </w:p>
        </w:tc>
      </w:tr>
    </w:tbl>
    <w:p w14:paraId="355BAB3F" w14:textId="77777777" w:rsidR="006416B0" w:rsidRPr="00B4515A" w:rsidRDefault="005E58C1" w:rsidP="005860B4">
      <w:pPr>
        <w:pStyle w:val="005"/>
        <w:spacing w:before="120" w:after="120"/>
        <w:ind w:firstLine="480"/>
      </w:pPr>
      <w:bookmarkStart w:id="247" w:name="_Hlk76934659"/>
      <w:r w:rsidRPr="00B4515A">
        <w:rPr>
          <w:rFonts w:hint="eastAsia"/>
        </w:rPr>
        <w:t>（</w:t>
      </w:r>
      <w:r w:rsidRPr="00B4515A">
        <w:rPr>
          <w:rFonts w:hint="eastAsia"/>
        </w:rPr>
        <w:t>3</w:t>
      </w:r>
      <w:r w:rsidRPr="00B4515A">
        <w:rPr>
          <w:rFonts w:hint="eastAsia"/>
        </w:rPr>
        <w:t>）项目投资收益测算</w:t>
      </w:r>
    </w:p>
    <w:p w14:paraId="18C55EA4" w14:textId="77777777" w:rsidR="006416B0" w:rsidRPr="00B4515A" w:rsidRDefault="005E58C1" w:rsidP="005860B4">
      <w:pPr>
        <w:pStyle w:val="005"/>
        <w:spacing w:before="120" w:after="120"/>
        <w:ind w:firstLine="480"/>
      </w:pPr>
      <w:r w:rsidRPr="00B4515A">
        <w:rPr>
          <w:rFonts w:hint="eastAsia"/>
        </w:rPr>
        <w:t>本项目所得税后现金流量净现值为</w:t>
      </w:r>
      <w:r w:rsidRPr="00B4515A">
        <w:t>67,514</w:t>
      </w:r>
      <w:r w:rsidRPr="00B4515A">
        <w:t>万元，项目所得税后的内部收益率为</w:t>
      </w:r>
      <w:r w:rsidRPr="00B4515A">
        <w:t>17%</w:t>
      </w:r>
      <w:r w:rsidRPr="00B4515A">
        <w:t>，项目所得税后投资回收期为</w:t>
      </w:r>
      <w:r w:rsidRPr="00B4515A">
        <w:t>6.31</w:t>
      </w:r>
      <w:r w:rsidRPr="00B4515A">
        <w:t>年。综上所述，</w:t>
      </w:r>
      <w:r w:rsidRPr="00B4515A">
        <w:rPr>
          <w:rFonts w:hint="eastAsia"/>
        </w:rPr>
        <w:t>该项目具有明确的市场前景，项目投资收益较好，切实可行。</w:t>
      </w:r>
    </w:p>
    <w:bookmarkEnd w:id="247"/>
    <w:p w14:paraId="66CC6961" w14:textId="77777777" w:rsidR="006416B0" w:rsidRPr="00B4515A" w:rsidRDefault="005E58C1" w:rsidP="005860B4">
      <w:pPr>
        <w:pStyle w:val="003"/>
        <w:spacing w:before="120"/>
        <w:ind w:firstLine="482"/>
      </w:pPr>
      <w:r w:rsidRPr="00B4515A">
        <w:rPr>
          <w:rFonts w:hint="eastAsia"/>
        </w:rPr>
        <w:lastRenderedPageBreak/>
        <w:t>（三）募集配套资金的必要性</w:t>
      </w:r>
    </w:p>
    <w:p w14:paraId="4AF3AA18" w14:textId="77777777" w:rsidR="006416B0" w:rsidRPr="00B4515A" w:rsidRDefault="005E58C1" w:rsidP="005860B4">
      <w:pPr>
        <w:pStyle w:val="004"/>
        <w:spacing w:before="120" w:after="120"/>
        <w:ind w:firstLine="482"/>
      </w:pPr>
      <w:bookmarkStart w:id="248" w:name="_Hlk76934743"/>
      <w:r w:rsidRPr="00B4515A">
        <w:t>1</w:t>
      </w:r>
      <w:r w:rsidRPr="00B4515A">
        <w:rPr>
          <w:rFonts w:hint="eastAsia"/>
        </w:rPr>
        <w:t>、募集配套资金有利于保障行业信息安全、实现产业链自主可控</w:t>
      </w:r>
    </w:p>
    <w:p w14:paraId="00D13E3A" w14:textId="77777777" w:rsidR="006416B0" w:rsidRPr="00B4515A" w:rsidRDefault="005E58C1" w:rsidP="005860B4">
      <w:pPr>
        <w:pStyle w:val="005"/>
        <w:spacing w:before="120" w:after="120"/>
        <w:ind w:firstLine="480"/>
      </w:pPr>
      <w:r w:rsidRPr="00B4515A">
        <w:rPr>
          <w:rFonts w:hint="eastAsia"/>
        </w:rPr>
        <w:t>随着行业信息化工作整体推进，</w:t>
      </w:r>
      <w:r w:rsidRPr="00B4515A">
        <w:t>5G</w:t>
      </w:r>
      <w:r w:rsidRPr="00B4515A">
        <w:t>、人工智能、车联网、物联网等新兴技术得到重视和应用。特定领域的信息节点从人将扩展到各类传感器、任务平台和物资等，进一步提升了行业信息化水平，但同时网络结构变得更加复杂、节点分布更加广泛、终端设备无人自主运行，给数据的安全性带来了更大的安全隐患</w:t>
      </w:r>
      <w:r w:rsidRPr="00B4515A">
        <w:rPr>
          <w:rFonts w:hint="eastAsia"/>
        </w:rPr>
        <w:t>。</w:t>
      </w:r>
    </w:p>
    <w:p w14:paraId="764CF2EF" w14:textId="77777777" w:rsidR="006416B0" w:rsidRPr="00B4515A" w:rsidRDefault="005E58C1" w:rsidP="005860B4">
      <w:pPr>
        <w:pStyle w:val="005"/>
        <w:spacing w:before="120" w:after="120"/>
        <w:ind w:firstLine="480"/>
      </w:pPr>
      <w:r w:rsidRPr="00B4515A">
        <w:rPr>
          <w:rFonts w:hint="eastAsia"/>
        </w:rPr>
        <w:t>各类信息节点产生的数据信息较为敏感，会对行业安全和国家安全产生影响。在节点对信息数据存储、交换和处理时，尤其是通过通信网络实现信息的传递过程中，极易受到人为的窃取、攻击和篡改，而大多数终端设备存储能力、计算能力受限，自身安全防御能力无法应对当前复杂的网络安全环境。同时受限于使用环境和供电等，节点设备对小型化和集成化提出了更高的要求。因此需要通过采用专用高性能安全芯片，提高各节点终端设备的安全防护能力。</w:t>
      </w:r>
    </w:p>
    <w:p w14:paraId="0110C00D" w14:textId="77777777" w:rsidR="006416B0" w:rsidRPr="00B4515A" w:rsidRDefault="005E58C1" w:rsidP="005860B4">
      <w:pPr>
        <w:pStyle w:val="005"/>
        <w:spacing w:before="120" w:after="120"/>
        <w:ind w:firstLine="480"/>
      </w:pPr>
      <w:r w:rsidRPr="00B4515A">
        <w:rPr>
          <w:rFonts w:hint="eastAsia"/>
        </w:rPr>
        <w:t>集成电路作为信息产业的基础与核心，对经济建设、社会发展和国家安全具有重要战略意义和核心关键作用。当前芯片产业的产业链现状使得上述领域存在供应链风险，新型高性能系列安全芯片作为产业链的重要组成部分，是保障特种通信等对信息安全要求高的领域安全可控的核心部件，保障核心芯片的自主可控是实现上述领域产业链安全的必经之路。</w:t>
      </w:r>
    </w:p>
    <w:p w14:paraId="7AA47016" w14:textId="77777777" w:rsidR="006416B0" w:rsidRPr="00B4515A" w:rsidRDefault="005E58C1" w:rsidP="005860B4">
      <w:pPr>
        <w:pStyle w:val="005"/>
        <w:spacing w:before="120" w:after="120"/>
        <w:ind w:firstLine="480"/>
      </w:pPr>
      <w:r w:rsidRPr="00B4515A">
        <w:rPr>
          <w:rFonts w:hint="eastAsia"/>
        </w:rPr>
        <w:t>通过实施本项目，可以加快我国新型高性能系列安全芯片自主可控进程，提高特种通信等对信息安全要求高的领域特种通信等对信息安全要求高的领域产业链的安全水平。</w:t>
      </w:r>
    </w:p>
    <w:p w14:paraId="116CF322" w14:textId="77777777" w:rsidR="006416B0" w:rsidRPr="00B4515A" w:rsidRDefault="005E58C1" w:rsidP="005860B4">
      <w:pPr>
        <w:pStyle w:val="004"/>
        <w:spacing w:before="120" w:after="120"/>
        <w:ind w:firstLine="482"/>
      </w:pPr>
      <w:r w:rsidRPr="00B4515A">
        <w:t>2</w:t>
      </w:r>
      <w:r w:rsidRPr="00B4515A">
        <w:rPr>
          <w:rFonts w:hint="eastAsia"/>
        </w:rPr>
        <w:t>、募集配套资金与上市公司、标的公司经营规模、财务状况相匹配</w:t>
      </w:r>
    </w:p>
    <w:p w14:paraId="1BB81707" w14:textId="77777777" w:rsidR="006416B0" w:rsidRPr="00B4515A" w:rsidRDefault="005E58C1" w:rsidP="005860B4">
      <w:pPr>
        <w:pStyle w:val="005"/>
        <w:spacing w:before="120" w:after="120"/>
        <w:ind w:firstLine="480"/>
      </w:pPr>
      <w:r w:rsidRPr="00B4515A">
        <w:rPr>
          <w:rFonts w:hint="eastAsia"/>
        </w:rPr>
        <w:t>根据立信会计师出具的《备考审阅报告》，截至</w:t>
      </w:r>
      <w:r w:rsidRPr="00B4515A">
        <w:rPr>
          <w:rFonts w:hint="eastAsia"/>
        </w:rPr>
        <w:t>2</w:t>
      </w:r>
      <w:r w:rsidRPr="00B4515A">
        <w:t>021</w:t>
      </w:r>
      <w:r w:rsidRPr="00B4515A">
        <w:rPr>
          <w:rFonts w:hint="eastAsia"/>
        </w:rPr>
        <w:t>年</w:t>
      </w:r>
      <w:r w:rsidRPr="00B4515A">
        <w:rPr>
          <w:rFonts w:hint="eastAsia"/>
        </w:rPr>
        <w:t>4</w:t>
      </w:r>
      <w:r w:rsidRPr="00B4515A">
        <w:rPr>
          <w:rFonts w:hint="eastAsia"/>
        </w:rPr>
        <w:t>月</w:t>
      </w:r>
      <w:r w:rsidRPr="00B4515A">
        <w:rPr>
          <w:rFonts w:hint="eastAsia"/>
        </w:rPr>
        <w:t>3</w:t>
      </w:r>
      <w:r w:rsidRPr="00B4515A">
        <w:t>0</w:t>
      </w:r>
      <w:r w:rsidRPr="00B4515A">
        <w:rPr>
          <w:rFonts w:hint="eastAsia"/>
        </w:rPr>
        <w:t>日，公司备考合并财务报表的资产总额为</w:t>
      </w:r>
      <w:r w:rsidRPr="00B4515A">
        <w:t>538,861.16</w:t>
      </w:r>
      <w:r w:rsidRPr="00B4515A">
        <w:rPr>
          <w:rFonts w:hint="eastAsia"/>
        </w:rPr>
        <w:t>万元，本次募集配套资金</w:t>
      </w:r>
      <w:r w:rsidRPr="00B4515A">
        <w:t>99,999.999656</w:t>
      </w:r>
      <w:r w:rsidRPr="00B4515A">
        <w:rPr>
          <w:rFonts w:hint="eastAsia"/>
        </w:rPr>
        <w:t>万元，占公司备考合并财务报表的资产总额的比例为</w:t>
      </w:r>
      <w:r w:rsidRPr="00B4515A">
        <w:rPr>
          <w:rFonts w:hint="eastAsia"/>
        </w:rPr>
        <w:t>1</w:t>
      </w:r>
      <w:r w:rsidRPr="00B4515A">
        <w:t>8.56</w:t>
      </w:r>
      <w:r w:rsidRPr="00B4515A">
        <w:rPr>
          <w:rFonts w:hint="eastAsia"/>
        </w:rPr>
        <w:t>%</w:t>
      </w:r>
      <w:r w:rsidRPr="00B4515A">
        <w:rPr>
          <w:rFonts w:hint="eastAsia"/>
        </w:rPr>
        <w:t>。</w:t>
      </w:r>
    </w:p>
    <w:p w14:paraId="00581973" w14:textId="77777777" w:rsidR="006416B0" w:rsidRPr="00B4515A" w:rsidRDefault="005E58C1" w:rsidP="005860B4">
      <w:pPr>
        <w:pStyle w:val="005"/>
        <w:spacing w:before="120" w:after="120"/>
        <w:ind w:firstLine="480"/>
      </w:pPr>
      <w:r w:rsidRPr="00B4515A">
        <w:t>截至</w:t>
      </w:r>
      <w:r w:rsidRPr="00B4515A">
        <w:t>2021</w:t>
      </w:r>
      <w:r w:rsidRPr="00B4515A">
        <w:t>年</w:t>
      </w:r>
      <w:r w:rsidRPr="00B4515A">
        <w:t xml:space="preserve"> 3</w:t>
      </w:r>
      <w:r w:rsidRPr="00B4515A">
        <w:t>月</w:t>
      </w:r>
      <w:r w:rsidRPr="00B4515A">
        <w:t>31</w:t>
      </w:r>
      <w:r w:rsidRPr="00B4515A">
        <w:t>日，上市公司资产负债率为</w:t>
      </w:r>
      <w:r w:rsidRPr="00B4515A">
        <w:t>119.84%</w:t>
      </w:r>
      <w:r w:rsidRPr="00B4515A">
        <w:t>，流动比率</w:t>
      </w:r>
      <w:r w:rsidRPr="00B4515A">
        <w:t>0.42</w:t>
      </w:r>
      <w:r w:rsidRPr="00B4515A">
        <w:t>，处于较高水平。为确保正常运营资金周转，防止流动性风险，上市公司正常业务开展及未来业务开拓均需要资金支持，本次募集配套资金用于补充流动资金及偿还债务，有利于优化公司资产负债结构，改善公司财务状况，降低资产负债率。</w:t>
      </w:r>
    </w:p>
    <w:p w14:paraId="4ED50334" w14:textId="77777777" w:rsidR="006416B0" w:rsidRPr="00B4515A" w:rsidRDefault="005E58C1" w:rsidP="005860B4">
      <w:pPr>
        <w:pStyle w:val="005"/>
        <w:spacing w:before="120" w:after="120"/>
        <w:ind w:firstLine="480"/>
      </w:pPr>
      <w:r w:rsidRPr="00B4515A">
        <w:rPr>
          <w:rFonts w:hint="eastAsia"/>
        </w:rPr>
        <w:lastRenderedPageBreak/>
        <w:t>本次新型高性能系列安全芯片的研发及产业化项目建设周期较长，资金占用量较大，需要匹配长期融资计划，本次募集配套资金用于投入新型高性能系列安全芯片的研发及产业化项目可在一定程度上避免提升公司财务杠杆。</w:t>
      </w:r>
    </w:p>
    <w:p w14:paraId="5CE8C519" w14:textId="77777777" w:rsidR="006416B0" w:rsidRPr="00B4515A" w:rsidRDefault="005E58C1" w:rsidP="005860B4">
      <w:pPr>
        <w:pStyle w:val="005"/>
        <w:spacing w:before="120" w:after="120"/>
        <w:ind w:firstLine="480"/>
      </w:pPr>
      <w:r w:rsidRPr="00B4515A">
        <w:rPr>
          <w:rFonts w:hint="eastAsia"/>
        </w:rPr>
        <w:t>综上，本次募集配套资金与上市公司、标的公司经营规模、财务状况相匹配。</w:t>
      </w:r>
    </w:p>
    <w:p w14:paraId="68DE24D3" w14:textId="77777777" w:rsidR="006416B0" w:rsidRPr="00B4515A" w:rsidRDefault="005E58C1" w:rsidP="005860B4">
      <w:pPr>
        <w:pStyle w:val="004"/>
        <w:spacing w:before="120" w:after="120"/>
        <w:ind w:firstLine="482"/>
      </w:pPr>
      <w:r w:rsidRPr="00B4515A">
        <w:t>3</w:t>
      </w:r>
      <w:r w:rsidRPr="00B4515A">
        <w:rPr>
          <w:rFonts w:hint="eastAsia"/>
        </w:rPr>
        <w:t>、募集资金数额与上市公司管理能力相匹配</w:t>
      </w:r>
    </w:p>
    <w:p w14:paraId="2D379D34" w14:textId="70A43558" w:rsidR="006416B0" w:rsidRPr="00B4515A" w:rsidRDefault="005E58C1" w:rsidP="005860B4">
      <w:pPr>
        <w:pStyle w:val="005"/>
        <w:spacing w:before="120" w:after="120"/>
        <w:ind w:firstLine="480"/>
      </w:pPr>
      <w:r w:rsidRPr="00B4515A">
        <w:rPr>
          <w:rFonts w:hint="eastAsia"/>
        </w:rPr>
        <w:t>上市公司根据《公司法》《证券法》《上市公司治理准则》《企业内部控制基本规范》《上海证券交易所主板上市公司治理指引》及其他相关法律法规的要求，制订了《股东大会议事规则》《董事会议事规则》《监事会议事规则》《独立董事工作制度》和《募集资金管理制度》等相关管理制度，形成了规范有效的内部控制体系，确保股东大会、董事会、监事会的召集、召开、决策等行为合法、合规、真实、有效。</w:t>
      </w:r>
    </w:p>
    <w:p w14:paraId="4996929B" w14:textId="77777777" w:rsidR="006416B0" w:rsidRPr="00B4515A" w:rsidRDefault="005E58C1" w:rsidP="005860B4">
      <w:pPr>
        <w:pStyle w:val="003"/>
        <w:spacing w:before="120"/>
        <w:ind w:firstLine="482"/>
      </w:pPr>
      <w:r w:rsidRPr="00B4515A">
        <w:rPr>
          <w:rFonts w:hint="eastAsia"/>
        </w:rPr>
        <w:t>（四）募集配套资金的使用及管理</w:t>
      </w:r>
    </w:p>
    <w:p w14:paraId="30831F6C" w14:textId="77777777" w:rsidR="006416B0" w:rsidRPr="00B4515A" w:rsidRDefault="005E58C1" w:rsidP="005860B4">
      <w:pPr>
        <w:pStyle w:val="005"/>
        <w:spacing w:before="120" w:after="120"/>
        <w:ind w:firstLine="480"/>
      </w:pPr>
      <w:r w:rsidRPr="00B4515A">
        <w:rPr>
          <w:rFonts w:hint="eastAsia"/>
        </w:rPr>
        <w:t>为规范大唐电信募集资金的管理和使用，提高募集资金使用效率，切实保护投资者的合法权益，根据《公司法》《证券法》《上市规则》等，结合《大唐电信科技股份有限公司章程》，大唐电信制定了《募集资金使用管理管理办法》。</w:t>
      </w:r>
    </w:p>
    <w:p w14:paraId="31594747" w14:textId="77777777" w:rsidR="006416B0" w:rsidRPr="00B4515A" w:rsidRDefault="005E58C1" w:rsidP="005860B4">
      <w:pPr>
        <w:pStyle w:val="005"/>
        <w:spacing w:before="120" w:after="120"/>
        <w:ind w:firstLine="480"/>
      </w:pPr>
      <w:r w:rsidRPr="00B4515A">
        <w:rPr>
          <w:rFonts w:hint="eastAsia"/>
        </w:rPr>
        <w:t>根据《募集资金使用管理办法》的要求，公司董事会负责建立健全上市公司募集资金管理制度，并确保该制度的有效实施。公司董事会对募集资金的使用和管理负责。公司应制定详细的资金使用计划，做到资金使用的规范、公开和透明。</w:t>
      </w:r>
    </w:p>
    <w:p w14:paraId="49104EDA" w14:textId="77777777" w:rsidR="006416B0" w:rsidRPr="00B4515A" w:rsidRDefault="005E58C1" w:rsidP="005860B4">
      <w:pPr>
        <w:pStyle w:val="003"/>
        <w:spacing w:before="120"/>
        <w:ind w:firstLine="482"/>
      </w:pPr>
      <w:r w:rsidRPr="00B4515A">
        <w:rPr>
          <w:rFonts w:hint="eastAsia"/>
        </w:rPr>
        <w:t>（五）募集配套资金失败的补救措施</w:t>
      </w:r>
    </w:p>
    <w:p w14:paraId="11ADD5CB" w14:textId="77777777" w:rsidR="006416B0" w:rsidRPr="00B4515A" w:rsidRDefault="005E58C1" w:rsidP="005860B4">
      <w:pPr>
        <w:pStyle w:val="005"/>
        <w:spacing w:before="120" w:after="120"/>
        <w:ind w:firstLine="480"/>
      </w:pPr>
      <w:r w:rsidRPr="00B4515A">
        <w:rPr>
          <w:rFonts w:hint="eastAsia"/>
        </w:rPr>
        <w:t>本次发行股份购买资产不以募集配套资金的成功实施为前提，如果募集配套资金出现未能实施或未能足额募集的情形，公司将通过自筹或其他形式予以解决，不影响本次发行股份购买资产行为的实施。</w:t>
      </w:r>
    </w:p>
    <w:p w14:paraId="54EF82FE" w14:textId="77777777" w:rsidR="006416B0" w:rsidRPr="00B4515A" w:rsidRDefault="005E58C1" w:rsidP="005860B4">
      <w:pPr>
        <w:pStyle w:val="003"/>
        <w:spacing w:before="120"/>
        <w:ind w:firstLine="482"/>
      </w:pPr>
      <w:r w:rsidRPr="00B4515A">
        <w:rPr>
          <w:rFonts w:hint="eastAsia"/>
        </w:rPr>
        <w:t>（六）对交易标的采取收益法评估时，预测现金流中未包含募集配套资金投入带来的收益</w:t>
      </w:r>
    </w:p>
    <w:p w14:paraId="03813799" w14:textId="77777777" w:rsidR="006416B0" w:rsidRPr="00B4515A" w:rsidRDefault="005E58C1" w:rsidP="005860B4">
      <w:pPr>
        <w:pStyle w:val="005"/>
        <w:spacing w:before="120" w:after="120"/>
        <w:ind w:firstLine="480"/>
      </w:pPr>
      <w:r w:rsidRPr="00B4515A">
        <w:rPr>
          <w:rFonts w:hint="eastAsia"/>
        </w:rPr>
        <w:t>本次交易评估过程中，对标的公司采取收益法评估时，预测现金流中未包含募集配套资金投入对标的公司收益价值的影响</w:t>
      </w:r>
      <w:bookmarkEnd w:id="248"/>
      <w:r w:rsidRPr="00B4515A">
        <w:rPr>
          <w:rFonts w:hint="eastAsia"/>
        </w:rPr>
        <w:t>。</w:t>
      </w:r>
      <w:bookmarkEnd w:id="243"/>
    </w:p>
    <w:p w14:paraId="0F3E9C96" w14:textId="4DE99911" w:rsidR="006416B0" w:rsidRPr="00B4515A" w:rsidRDefault="006416B0"/>
    <w:p w14:paraId="45520CE3" w14:textId="77777777" w:rsidR="006416B0" w:rsidRPr="00B4515A" w:rsidRDefault="005E58C1" w:rsidP="002B0582">
      <w:pPr>
        <w:pStyle w:val="001"/>
        <w:spacing w:before="360" w:after="360"/>
      </w:pPr>
      <w:bookmarkStart w:id="249" w:name="_Toc80960552"/>
      <w:r w:rsidRPr="00B4515A">
        <w:lastRenderedPageBreak/>
        <w:t>第</w:t>
      </w:r>
      <w:r w:rsidRPr="00B4515A">
        <w:rPr>
          <w:rFonts w:hint="eastAsia"/>
        </w:rPr>
        <w:t>六</w:t>
      </w:r>
      <w:r w:rsidRPr="00B4515A">
        <w:t>节</w:t>
      </w:r>
      <w:r w:rsidRPr="00B4515A">
        <w:t xml:space="preserve"> </w:t>
      </w:r>
      <w:bookmarkEnd w:id="230"/>
      <w:r w:rsidRPr="00B4515A">
        <w:t>标的</w:t>
      </w:r>
      <w:r w:rsidRPr="00B4515A">
        <w:rPr>
          <w:rFonts w:hint="eastAsia"/>
        </w:rPr>
        <w:t>公司</w:t>
      </w:r>
      <w:r w:rsidRPr="00B4515A">
        <w:t>评估情况</w:t>
      </w:r>
      <w:bookmarkStart w:id="250" w:name="page7"/>
      <w:bookmarkEnd w:id="249"/>
      <w:bookmarkEnd w:id="250"/>
    </w:p>
    <w:p w14:paraId="77C5314F" w14:textId="5108E52B" w:rsidR="006416B0" w:rsidRPr="00B4515A" w:rsidRDefault="008C1C67" w:rsidP="005860B4">
      <w:pPr>
        <w:pStyle w:val="002"/>
        <w:spacing w:before="120" w:after="120"/>
        <w:ind w:firstLine="562"/>
      </w:pPr>
      <w:bookmarkStart w:id="251" w:name="_Toc65677805"/>
      <w:bookmarkStart w:id="252" w:name="_Toc80960553"/>
      <w:r w:rsidRPr="00B4515A">
        <w:t>一、</w:t>
      </w:r>
      <w:r w:rsidR="005E58C1" w:rsidRPr="00B4515A">
        <w:rPr>
          <w:rFonts w:hint="eastAsia"/>
        </w:rPr>
        <w:t>标的公司评估情况</w:t>
      </w:r>
      <w:bookmarkEnd w:id="251"/>
      <w:bookmarkEnd w:id="252"/>
    </w:p>
    <w:p w14:paraId="6301A386" w14:textId="77777777" w:rsidR="006416B0" w:rsidRPr="00B4515A" w:rsidRDefault="005E58C1" w:rsidP="005860B4">
      <w:pPr>
        <w:pStyle w:val="005"/>
        <w:spacing w:before="120" w:after="120"/>
        <w:ind w:firstLine="480"/>
      </w:pPr>
      <w:bookmarkStart w:id="253" w:name="_Hlk76934945"/>
      <w:bookmarkStart w:id="254" w:name="_Hlk76934904"/>
      <w:r w:rsidRPr="00B4515A">
        <w:t>本次交易标的</w:t>
      </w:r>
      <w:r w:rsidRPr="00B4515A">
        <w:rPr>
          <w:rFonts w:hint="eastAsia"/>
        </w:rPr>
        <w:t>公司</w:t>
      </w:r>
      <w:r w:rsidRPr="00B4515A">
        <w:t>经上海东洲资产评估有限公司评估。东洲评估以</w:t>
      </w:r>
      <w:r w:rsidRPr="00B4515A">
        <w:t xml:space="preserve"> 2021</w:t>
      </w:r>
      <w:r w:rsidRPr="00B4515A">
        <w:t>年</w:t>
      </w:r>
      <w:r w:rsidRPr="00B4515A">
        <w:t>4</w:t>
      </w:r>
      <w:r w:rsidRPr="00B4515A">
        <w:t>月</w:t>
      </w:r>
      <w:r w:rsidRPr="00B4515A">
        <w:t>30</w:t>
      </w:r>
      <w:r w:rsidRPr="00B4515A">
        <w:t>日为评估基准日，对大唐联诚全部股东权益进行了评估并出具了《资产评估报告》（【</w:t>
      </w:r>
      <w:r w:rsidRPr="00B4515A">
        <w:t>2021</w:t>
      </w:r>
      <w:r w:rsidRPr="00B4515A">
        <w:t>】第</w:t>
      </w:r>
      <w:r w:rsidRPr="00B4515A">
        <w:t>0898</w:t>
      </w:r>
      <w:r w:rsidRPr="00B4515A">
        <w:t>号）。</w:t>
      </w:r>
    </w:p>
    <w:p w14:paraId="50EB4763" w14:textId="77777777" w:rsidR="006416B0" w:rsidRPr="00B4515A" w:rsidRDefault="005E58C1" w:rsidP="005860B4">
      <w:pPr>
        <w:pStyle w:val="003"/>
        <w:spacing w:before="120"/>
        <w:ind w:firstLine="482"/>
      </w:pPr>
      <w:r w:rsidRPr="00B4515A">
        <w:t>（一）评估基本情况</w:t>
      </w:r>
    </w:p>
    <w:p w14:paraId="6D1E7688" w14:textId="4384752E" w:rsidR="006416B0" w:rsidRPr="00B4515A" w:rsidRDefault="005E58C1" w:rsidP="005860B4">
      <w:pPr>
        <w:pStyle w:val="005"/>
        <w:spacing w:before="120" w:after="120"/>
        <w:ind w:firstLine="480"/>
      </w:pPr>
      <w:r w:rsidRPr="00B4515A">
        <w:t>以</w:t>
      </w:r>
      <w:r w:rsidRPr="00B4515A">
        <w:t>2021</w:t>
      </w:r>
      <w:r w:rsidRPr="00B4515A">
        <w:t>年</w:t>
      </w:r>
      <w:r w:rsidRPr="00B4515A">
        <w:t>4</w:t>
      </w:r>
      <w:r w:rsidRPr="00B4515A">
        <w:t>月</w:t>
      </w:r>
      <w:r w:rsidRPr="00B4515A">
        <w:t>30</w:t>
      </w:r>
      <w:r w:rsidRPr="00B4515A">
        <w:t>日为评估基准日，大唐联诚股东全部权益价值评估情况如下：</w:t>
      </w:r>
    </w:p>
    <w:p w14:paraId="4B904F5C" w14:textId="6BB17BCC" w:rsidR="00D81F33" w:rsidRPr="00B4515A" w:rsidRDefault="00D81F33" w:rsidP="00EE238F">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228"/>
        <w:gridCol w:w="1567"/>
        <w:gridCol w:w="1583"/>
        <w:gridCol w:w="1283"/>
        <w:gridCol w:w="1433"/>
        <w:gridCol w:w="1434"/>
      </w:tblGrid>
      <w:tr w:rsidR="00EE238F" w:rsidRPr="00B4515A" w14:paraId="1A87DE6F" w14:textId="77777777" w:rsidTr="00EE238F">
        <w:trPr>
          <w:trHeight w:val="340"/>
          <w:jc w:val="center"/>
        </w:trPr>
        <w:tc>
          <w:tcPr>
            <w:tcW w:w="720" w:type="pct"/>
            <w:shd w:val="clear" w:color="auto" w:fill="FFFFFF"/>
            <w:tcMar>
              <w:top w:w="0" w:type="dxa"/>
              <w:left w:w="108" w:type="dxa"/>
              <w:bottom w:w="0" w:type="dxa"/>
              <w:right w:w="108" w:type="dxa"/>
            </w:tcMar>
            <w:vAlign w:val="center"/>
          </w:tcPr>
          <w:p w14:paraId="44B629E1" w14:textId="77777777" w:rsidR="006416B0" w:rsidRPr="00B4515A" w:rsidRDefault="005E58C1" w:rsidP="005860B4">
            <w:pPr>
              <w:adjustRightInd w:val="0"/>
              <w:snapToGrid w:val="0"/>
              <w:jc w:val="center"/>
              <w:rPr>
                <w:rFonts w:ascii="Times New Roman" w:hAnsi="Times New Roman" w:cs="Times New Roman"/>
                <w:b/>
                <w:color w:val="333333"/>
                <w:sz w:val="21"/>
                <w:szCs w:val="21"/>
              </w:rPr>
            </w:pPr>
            <w:r w:rsidRPr="00B4515A">
              <w:rPr>
                <w:rFonts w:ascii="Times New Roman" w:hAnsi="Times New Roman" w:cs="Times New Roman" w:hint="eastAsia"/>
                <w:b/>
                <w:color w:val="333333"/>
                <w:sz w:val="21"/>
                <w:szCs w:val="21"/>
              </w:rPr>
              <w:t>标的公司</w:t>
            </w:r>
          </w:p>
        </w:tc>
        <w:tc>
          <w:tcPr>
            <w:tcW w:w="919" w:type="pct"/>
            <w:shd w:val="clear" w:color="auto" w:fill="FFFFFF"/>
            <w:tcMar>
              <w:top w:w="0" w:type="dxa"/>
              <w:left w:w="108" w:type="dxa"/>
              <w:bottom w:w="0" w:type="dxa"/>
              <w:right w:w="108" w:type="dxa"/>
            </w:tcMar>
            <w:vAlign w:val="center"/>
          </w:tcPr>
          <w:p w14:paraId="4D576D4F" w14:textId="77777777" w:rsidR="005860B4" w:rsidRPr="00B4515A" w:rsidRDefault="005E58C1" w:rsidP="005860B4">
            <w:pPr>
              <w:adjustRightInd w:val="0"/>
              <w:snapToGrid w:val="0"/>
              <w:jc w:val="center"/>
              <w:rPr>
                <w:rFonts w:ascii="Times New Roman" w:hAnsi="Times New Roman" w:cs="Times New Roman"/>
                <w:b/>
                <w:color w:val="333333"/>
                <w:sz w:val="21"/>
                <w:szCs w:val="21"/>
              </w:rPr>
            </w:pPr>
            <w:r w:rsidRPr="00B4515A">
              <w:rPr>
                <w:rFonts w:ascii="Times New Roman" w:hAnsi="Times New Roman" w:cs="Times New Roman" w:hint="eastAsia"/>
                <w:b/>
                <w:color w:val="333333"/>
                <w:sz w:val="21"/>
                <w:szCs w:val="21"/>
              </w:rPr>
              <w:t>账面值</w:t>
            </w:r>
          </w:p>
          <w:p w14:paraId="1B717AED" w14:textId="2E0941F9" w:rsidR="006416B0" w:rsidRPr="00B4515A" w:rsidRDefault="005E58C1" w:rsidP="005860B4">
            <w:pPr>
              <w:adjustRightInd w:val="0"/>
              <w:snapToGrid w:val="0"/>
              <w:jc w:val="center"/>
              <w:rPr>
                <w:rFonts w:ascii="Times New Roman" w:hAnsi="Times New Roman" w:cs="Times New Roman"/>
                <w:b/>
                <w:color w:val="333333"/>
                <w:sz w:val="21"/>
                <w:szCs w:val="21"/>
              </w:rPr>
            </w:pPr>
            <w:r w:rsidRPr="00B4515A">
              <w:rPr>
                <w:rFonts w:ascii="Times New Roman" w:hAnsi="Times New Roman" w:cs="Times New Roman" w:hint="eastAsia"/>
                <w:b/>
                <w:color w:val="333333"/>
                <w:sz w:val="21"/>
                <w:szCs w:val="21"/>
              </w:rPr>
              <w:t>（</w:t>
            </w:r>
            <w:r w:rsidRPr="00B4515A">
              <w:rPr>
                <w:rFonts w:ascii="Times New Roman" w:hAnsi="Times New Roman" w:cs="Times New Roman" w:hint="eastAsia"/>
                <w:b/>
                <w:color w:val="333333"/>
                <w:sz w:val="21"/>
                <w:szCs w:val="21"/>
              </w:rPr>
              <w:t>1</w:t>
            </w:r>
            <w:r w:rsidRPr="00B4515A">
              <w:rPr>
                <w:rFonts w:ascii="Times New Roman" w:hAnsi="Times New Roman" w:cs="Times New Roman"/>
                <w:b/>
                <w:color w:val="333333"/>
                <w:sz w:val="21"/>
                <w:szCs w:val="21"/>
              </w:rPr>
              <w:t>00</w:t>
            </w:r>
            <w:r w:rsidRPr="00B4515A">
              <w:rPr>
                <w:rFonts w:ascii="Times New Roman" w:hAnsi="Times New Roman" w:cs="Times New Roman" w:hint="eastAsia"/>
                <w:b/>
                <w:color w:val="333333"/>
                <w:sz w:val="21"/>
                <w:szCs w:val="21"/>
              </w:rPr>
              <w:t>%</w:t>
            </w:r>
            <w:r w:rsidRPr="00B4515A">
              <w:rPr>
                <w:rFonts w:ascii="Times New Roman" w:hAnsi="Times New Roman" w:cs="Times New Roman" w:hint="eastAsia"/>
                <w:b/>
                <w:color w:val="333333"/>
                <w:sz w:val="21"/>
                <w:szCs w:val="21"/>
              </w:rPr>
              <w:t>权益）</w:t>
            </w:r>
          </w:p>
        </w:tc>
        <w:tc>
          <w:tcPr>
            <w:tcW w:w="928" w:type="pct"/>
            <w:shd w:val="clear" w:color="auto" w:fill="FFFFFF"/>
            <w:tcMar>
              <w:top w:w="0" w:type="dxa"/>
              <w:left w:w="108" w:type="dxa"/>
              <w:bottom w:w="0" w:type="dxa"/>
              <w:right w:w="108" w:type="dxa"/>
            </w:tcMar>
            <w:vAlign w:val="center"/>
          </w:tcPr>
          <w:p w14:paraId="5D083F67" w14:textId="77777777" w:rsidR="005860B4" w:rsidRPr="00B4515A" w:rsidRDefault="005E58C1" w:rsidP="005860B4">
            <w:pPr>
              <w:adjustRightInd w:val="0"/>
              <w:snapToGrid w:val="0"/>
              <w:jc w:val="center"/>
              <w:rPr>
                <w:rFonts w:ascii="Times New Roman" w:hAnsi="Times New Roman" w:cs="Times New Roman"/>
                <w:b/>
                <w:color w:val="333333"/>
                <w:sz w:val="21"/>
                <w:szCs w:val="21"/>
              </w:rPr>
            </w:pPr>
            <w:r w:rsidRPr="00B4515A">
              <w:rPr>
                <w:rFonts w:ascii="Times New Roman" w:hAnsi="Times New Roman" w:cs="Times New Roman" w:hint="eastAsia"/>
                <w:b/>
                <w:color w:val="333333"/>
                <w:sz w:val="21"/>
                <w:szCs w:val="21"/>
              </w:rPr>
              <w:t>评估值</w:t>
            </w:r>
          </w:p>
          <w:p w14:paraId="6B8595EF" w14:textId="20754150" w:rsidR="006416B0" w:rsidRPr="00B4515A" w:rsidRDefault="005E58C1" w:rsidP="005860B4">
            <w:pPr>
              <w:adjustRightInd w:val="0"/>
              <w:snapToGrid w:val="0"/>
              <w:jc w:val="center"/>
              <w:rPr>
                <w:rFonts w:ascii="Times New Roman" w:hAnsi="Times New Roman" w:cs="Times New Roman"/>
                <w:b/>
                <w:color w:val="333333"/>
                <w:sz w:val="21"/>
                <w:szCs w:val="21"/>
              </w:rPr>
            </w:pPr>
            <w:r w:rsidRPr="00B4515A">
              <w:rPr>
                <w:rFonts w:ascii="Times New Roman" w:hAnsi="Times New Roman" w:cs="Times New Roman" w:hint="eastAsia"/>
                <w:b/>
                <w:color w:val="333333"/>
                <w:sz w:val="21"/>
                <w:szCs w:val="21"/>
              </w:rPr>
              <w:t>（</w:t>
            </w:r>
            <w:r w:rsidRPr="00B4515A">
              <w:rPr>
                <w:rFonts w:ascii="Times New Roman" w:hAnsi="Times New Roman" w:cs="Times New Roman" w:hint="eastAsia"/>
                <w:b/>
                <w:color w:val="333333"/>
                <w:sz w:val="21"/>
                <w:szCs w:val="21"/>
              </w:rPr>
              <w:t>1</w:t>
            </w:r>
            <w:r w:rsidRPr="00B4515A">
              <w:rPr>
                <w:rFonts w:ascii="Times New Roman" w:hAnsi="Times New Roman" w:cs="Times New Roman"/>
                <w:b/>
                <w:color w:val="333333"/>
                <w:sz w:val="21"/>
                <w:szCs w:val="21"/>
              </w:rPr>
              <w:t>00</w:t>
            </w:r>
            <w:r w:rsidRPr="00B4515A">
              <w:rPr>
                <w:rFonts w:ascii="Times New Roman" w:hAnsi="Times New Roman" w:cs="Times New Roman" w:hint="eastAsia"/>
                <w:b/>
                <w:color w:val="333333"/>
                <w:sz w:val="21"/>
                <w:szCs w:val="21"/>
              </w:rPr>
              <w:t>%</w:t>
            </w:r>
            <w:r w:rsidRPr="00B4515A">
              <w:rPr>
                <w:rFonts w:ascii="Times New Roman" w:hAnsi="Times New Roman" w:cs="Times New Roman" w:hint="eastAsia"/>
                <w:b/>
                <w:color w:val="333333"/>
                <w:sz w:val="21"/>
                <w:szCs w:val="21"/>
              </w:rPr>
              <w:t>权益）</w:t>
            </w:r>
          </w:p>
        </w:tc>
        <w:tc>
          <w:tcPr>
            <w:tcW w:w="752" w:type="pct"/>
            <w:shd w:val="clear" w:color="auto" w:fill="FFFFFF"/>
            <w:tcMar>
              <w:top w:w="0" w:type="dxa"/>
              <w:left w:w="108" w:type="dxa"/>
              <w:bottom w:w="0" w:type="dxa"/>
              <w:right w:w="108" w:type="dxa"/>
            </w:tcMar>
            <w:vAlign w:val="center"/>
          </w:tcPr>
          <w:p w14:paraId="7ED5E8BB" w14:textId="77777777" w:rsidR="006416B0" w:rsidRPr="00B4515A" w:rsidRDefault="005E58C1" w:rsidP="005860B4">
            <w:pPr>
              <w:adjustRightInd w:val="0"/>
              <w:snapToGrid w:val="0"/>
              <w:jc w:val="center"/>
              <w:rPr>
                <w:rFonts w:ascii="Times New Roman" w:hAnsi="Times New Roman" w:cs="Times New Roman"/>
                <w:b/>
                <w:color w:val="333333"/>
                <w:sz w:val="21"/>
                <w:szCs w:val="21"/>
              </w:rPr>
            </w:pPr>
            <w:r w:rsidRPr="00B4515A">
              <w:rPr>
                <w:rFonts w:ascii="Times New Roman" w:hAnsi="Times New Roman" w:cs="Times New Roman" w:hint="eastAsia"/>
                <w:b/>
                <w:color w:val="333333"/>
                <w:sz w:val="21"/>
                <w:szCs w:val="21"/>
              </w:rPr>
              <w:t>评估增值</w:t>
            </w:r>
          </w:p>
        </w:tc>
        <w:tc>
          <w:tcPr>
            <w:tcW w:w="840" w:type="pct"/>
            <w:shd w:val="clear" w:color="auto" w:fill="FFFFFF"/>
            <w:tcMar>
              <w:top w:w="0" w:type="dxa"/>
              <w:left w:w="108" w:type="dxa"/>
              <w:bottom w:w="0" w:type="dxa"/>
              <w:right w:w="108" w:type="dxa"/>
            </w:tcMar>
            <w:vAlign w:val="center"/>
          </w:tcPr>
          <w:p w14:paraId="6F4E5853" w14:textId="77777777" w:rsidR="006416B0" w:rsidRPr="00B4515A" w:rsidRDefault="005E58C1" w:rsidP="005860B4">
            <w:pPr>
              <w:adjustRightInd w:val="0"/>
              <w:snapToGrid w:val="0"/>
              <w:jc w:val="center"/>
              <w:rPr>
                <w:rFonts w:ascii="Times New Roman" w:hAnsi="Times New Roman" w:cs="Times New Roman"/>
                <w:b/>
                <w:color w:val="333333"/>
                <w:sz w:val="21"/>
                <w:szCs w:val="21"/>
              </w:rPr>
            </w:pPr>
            <w:r w:rsidRPr="00B4515A">
              <w:rPr>
                <w:rFonts w:ascii="Times New Roman" w:hAnsi="Times New Roman" w:cs="Times New Roman" w:hint="eastAsia"/>
                <w:b/>
                <w:color w:val="333333"/>
                <w:sz w:val="21"/>
                <w:szCs w:val="21"/>
              </w:rPr>
              <w:t>评估增值率</w:t>
            </w:r>
          </w:p>
        </w:tc>
        <w:tc>
          <w:tcPr>
            <w:tcW w:w="841" w:type="pct"/>
            <w:shd w:val="clear" w:color="auto" w:fill="FFFFFF"/>
            <w:tcMar>
              <w:top w:w="0" w:type="dxa"/>
              <w:left w:w="108" w:type="dxa"/>
              <w:bottom w:w="0" w:type="dxa"/>
              <w:right w:w="108" w:type="dxa"/>
            </w:tcMar>
            <w:vAlign w:val="center"/>
          </w:tcPr>
          <w:p w14:paraId="2B9F54E0" w14:textId="77777777" w:rsidR="006416B0" w:rsidRPr="00B4515A" w:rsidRDefault="005E58C1" w:rsidP="005860B4">
            <w:pPr>
              <w:adjustRightInd w:val="0"/>
              <w:snapToGrid w:val="0"/>
              <w:jc w:val="center"/>
              <w:rPr>
                <w:rFonts w:ascii="Times New Roman" w:hAnsi="Times New Roman" w:cs="Times New Roman"/>
                <w:b/>
                <w:color w:val="333333"/>
                <w:sz w:val="21"/>
                <w:szCs w:val="21"/>
              </w:rPr>
            </w:pPr>
            <w:r w:rsidRPr="00B4515A">
              <w:rPr>
                <w:rFonts w:ascii="Times New Roman" w:hAnsi="Times New Roman" w:cs="Times New Roman" w:hint="eastAsia"/>
                <w:b/>
                <w:color w:val="333333"/>
                <w:sz w:val="21"/>
                <w:szCs w:val="21"/>
              </w:rPr>
              <w:t>选取的评估方法</w:t>
            </w:r>
          </w:p>
        </w:tc>
      </w:tr>
      <w:tr w:rsidR="00EE238F" w:rsidRPr="00B4515A" w14:paraId="36B17738" w14:textId="77777777" w:rsidTr="00EE238F">
        <w:trPr>
          <w:trHeight w:val="340"/>
          <w:jc w:val="center"/>
        </w:trPr>
        <w:tc>
          <w:tcPr>
            <w:tcW w:w="720" w:type="pct"/>
            <w:shd w:val="clear" w:color="auto" w:fill="FFFFFF"/>
            <w:tcMar>
              <w:top w:w="0" w:type="dxa"/>
              <w:left w:w="108" w:type="dxa"/>
              <w:bottom w:w="0" w:type="dxa"/>
              <w:right w:w="108" w:type="dxa"/>
            </w:tcMar>
            <w:vAlign w:val="center"/>
          </w:tcPr>
          <w:p w14:paraId="696CFF9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大唐联诚</w:t>
            </w:r>
          </w:p>
        </w:tc>
        <w:tc>
          <w:tcPr>
            <w:tcW w:w="919" w:type="pct"/>
            <w:shd w:val="clear" w:color="auto" w:fill="FFFFFF"/>
            <w:tcMar>
              <w:top w:w="0" w:type="dxa"/>
              <w:left w:w="108" w:type="dxa"/>
              <w:bottom w:w="0" w:type="dxa"/>
              <w:right w:w="108" w:type="dxa"/>
            </w:tcMar>
            <w:vAlign w:val="center"/>
          </w:tcPr>
          <w:p w14:paraId="1597528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77,488.74</w:t>
            </w:r>
          </w:p>
        </w:tc>
        <w:tc>
          <w:tcPr>
            <w:tcW w:w="928" w:type="pct"/>
            <w:shd w:val="clear" w:color="auto" w:fill="FFFFFF"/>
            <w:tcMar>
              <w:top w:w="0" w:type="dxa"/>
              <w:left w:w="108" w:type="dxa"/>
              <w:bottom w:w="0" w:type="dxa"/>
              <w:right w:w="108" w:type="dxa"/>
            </w:tcMar>
            <w:vAlign w:val="center"/>
          </w:tcPr>
          <w:p w14:paraId="6946B24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148,256.37</w:t>
            </w:r>
          </w:p>
        </w:tc>
        <w:tc>
          <w:tcPr>
            <w:tcW w:w="752" w:type="pct"/>
            <w:shd w:val="clear" w:color="auto" w:fill="FFFFFF"/>
            <w:tcMar>
              <w:top w:w="0" w:type="dxa"/>
              <w:left w:w="108" w:type="dxa"/>
              <w:bottom w:w="0" w:type="dxa"/>
              <w:right w:w="108" w:type="dxa"/>
            </w:tcMar>
            <w:vAlign w:val="center"/>
          </w:tcPr>
          <w:p w14:paraId="583148F2"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70,767.63</w:t>
            </w:r>
          </w:p>
        </w:tc>
        <w:tc>
          <w:tcPr>
            <w:tcW w:w="840" w:type="pct"/>
            <w:shd w:val="clear" w:color="auto" w:fill="FFFFFF"/>
            <w:tcMar>
              <w:top w:w="0" w:type="dxa"/>
              <w:left w:w="108" w:type="dxa"/>
              <w:bottom w:w="0" w:type="dxa"/>
              <w:right w:w="108" w:type="dxa"/>
            </w:tcMar>
            <w:vAlign w:val="center"/>
          </w:tcPr>
          <w:p w14:paraId="75C843E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91.33%</w:t>
            </w:r>
          </w:p>
        </w:tc>
        <w:tc>
          <w:tcPr>
            <w:tcW w:w="841" w:type="pct"/>
            <w:shd w:val="clear" w:color="auto" w:fill="FFFFFF"/>
            <w:tcMar>
              <w:top w:w="0" w:type="dxa"/>
              <w:left w:w="108" w:type="dxa"/>
              <w:bottom w:w="0" w:type="dxa"/>
              <w:right w:w="108" w:type="dxa"/>
            </w:tcMar>
            <w:vAlign w:val="center"/>
          </w:tcPr>
          <w:p w14:paraId="1EE0F20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收益法</w:t>
            </w:r>
          </w:p>
        </w:tc>
      </w:tr>
    </w:tbl>
    <w:p w14:paraId="51376B2C" w14:textId="77777777" w:rsidR="006416B0" w:rsidRPr="00B4515A" w:rsidRDefault="005E58C1" w:rsidP="005860B4">
      <w:pPr>
        <w:pStyle w:val="003"/>
        <w:spacing w:before="120"/>
        <w:ind w:firstLine="482"/>
        <w:rPr>
          <w:rFonts w:asciiTheme="minorHAnsi" w:eastAsiaTheme="minorEastAsia" w:hAnsiTheme="minorHAnsi" w:cstheme="minorBidi"/>
          <w:sz w:val="21"/>
          <w:szCs w:val="22"/>
        </w:rPr>
      </w:pPr>
      <w:r w:rsidRPr="00B4515A">
        <w:rPr>
          <w:rFonts w:hint="eastAsia"/>
        </w:rPr>
        <w:t>（二）评估方法说明</w:t>
      </w:r>
    </w:p>
    <w:p w14:paraId="561749EE" w14:textId="77777777" w:rsidR="006416B0" w:rsidRPr="00B4515A" w:rsidRDefault="005E58C1" w:rsidP="005860B4">
      <w:pPr>
        <w:pStyle w:val="004"/>
        <w:spacing w:before="120" w:after="120"/>
        <w:ind w:firstLine="482"/>
      </w:pPr>
      <w:r w:rsidRPr="00B4515A">
        <w:t>1</w:t>
      </w:r>
      <w:r w:rsidRPr="00B4515A">
        <w:rPr>
          <w:rFonts w:hint="eastAsia"/>
        </w:rPr>
        <w:t>、评估方法的选择</w:t>
      </w:r>
    </w:p>
    <w:p w14:paraId="567C0C39" w14:textId="77777777" w:rsidR="006416B0" w:rsidRPr="00B4515A" w:rsidRDefault="005E58C1" w:rsidP="005860B4">
      <w:pPr>
        <w:pStyle w:val="005"/>
        <w:spacing w:before="120" w:after="120"/>
        <w:ind w:firstLine="480"/>
      </w:pPr>
      <w:r w:rsidRPr="00B4515A">
        <w:rPr>
          <w:rFonts w:hint="eastAsia"/>
        </w:rPr>
        <w:t>依据《资产评估执业准则</w:t>
      </w:r>
      <w:r w:rsidRPr="00B4515A">
        <w:t>-</w:t>
      </w:r>
      <w:r w:rsidRPr="00B4515A">
        <w:rPr>
          <w:rFonts w:hint="eastAsia"/>
        </w:rPr>
        <w:t>企业价值》，</w:t>
      </w:r>
      <w:r w:rsidRPr="00B4515A">
        <w:rPr>
          <w:rFonts w:ascii="宋体" w:hAnsi="宋体" w:hint="eastAsia"/>
        </w:rPr>
        <w:t>“</w:t>
      </w:r>
      <w:r w:rsidRPr="00B4515A">
        <w:rPr>
          <w:rFonts w:hint="eastAsia"/>
        </w:rPr>
        <w:t>执行企业价值评估业务，应当根据评估目的、评估对象、价值类型、资料收集等情况，分析收益法、市场法、资产基础法三种基本方法的适用性，选择评估方法。</w:t>
      </w:r>
      <w:r w:rsidRPr="00B4515A">
        <w:rPr>
          <w:rFonts w:ascii="宋体" w:hAnsi="宋体" w:hint="eastAsia"/>
        </w:rPr>
        <w:t>”</w:t>
      </w:r>
      <w:r w:rsidRPr="00B4515A">
        <w:rPr>
          <w:rFonts w:hint="eastAsia"/>
        </w:rPr>
        <w:t>，</w:t>
      </w:r>
      <w:r w:rsidRPr="00B4515A">
        <w:rPr>
          <w:rFonts w:ascii="宋体" w:hAnsi="宋体" w:hint="eastAsia"/>
        </w:rPr>
        <w:t>“</w:t>
      </w:r>
      <w:r w:rsidRPr="00B4515A">
        <w:rPr>
          <w:rFonts w:hint="eastAsia"/>
        </w:rPr>
        <w:t>对于适合采用不同评估方法进行企业价值评估的，资产评估专业人员应当采用两种以上评估方法进行评估。</w:t>
      </w:r>
      <w:r w:rsidRPr="00B4515A">
        <w:rPr>
          <w:rFonts w:ascii="宋体" w:hAnsi="宋体" w:hint="eastAsia"/>
        </w:rPr>
        <w:t>”</w:t>
      </w:r>
    </w:p>
    <w:p w14:paraId="6FEDBB99" w14:textId="77777777" w:rsidR="006416B0" w:rsidRPr="00B4515A" w:rsidRDefault="005E58C1" w:rsidP="005860B4">
      <w:pPr>
        <w:pStyle w:val="005"/>
        <w:spacing w:before="120" w:after="120"/>
        <w:ind w:firstLine="480"/>
      </w:pPr>
      <w:r w:rsidRPr="00B4515A">
        <w:rPr>
          <w:rFonts w:hint="eastAsia"/>
        </w:rPr>
        <w:t>资产基础法的基本思路是按现行条件重建或重置被评估资产，潜在的投资者在决定投资某项资产时，所愿意支付的价格不会超过购建该项资产的现行购建成本。本评估项目能满足资产基础法评估所需的条件，即被评估资产处于继续使用状态或被假定处于继续使用状态，具备可利用的历史经营资料。采用资产基础法可以满足本次评估的价值类型的要求。</w:t>
      </w:r>
    </w:p>
    <w:p w14:paraId="0E42D512" w14:textId="669F73F1" w:rsidR="006416B0" w:rsidRPr="00B4515A" w:rsidRDefault="005E58C1" w:rsidP="005860B4">
      <w:pPr>
        <w:pStyle w:val="005"/>
        <w:spacing w:before="120" w:after="120"/>
        <w:ind w:firstLine="480"/>
      </w:pPr>
      <w:r w:rsidRPr="00B4515A">
        <w:rPr>
          <w:rFonts w:hint="eastAsia"/>
        </w:rPr>
        <w:t>收益法是从资产的预期获利能力的角度评价资产，能完整体现企业的整体价值，其评估结果具有较好的可靠性和说服力。</w:t>
      </w:r>
      <w:r w:rsidR="0043334D" w:rsidRPr="00B4515A">
        <w:rPr>
          <w:rFonts w:hint="eastAsia"/>
        </w:rPr>
        <w:t>大唐联诚</w:t>
      </w:r>
      <w:r w:rsidRPr="00B4515A">
        <w:rPr>
          <w:rFonts w:hint="eastAsia"/>
        </w:rPr>
        <w:t>具备了应用收益法评估的前提条件：未来可持续经营、未来收益期限可以预计、股东权益与企业经营收益</w:t>
      </w:r>
      <w:r w:rsidRPr="00B4515A">
        <w:rPr>
          <w:rFonts w:hint="eastAsia"/>
        </w:rPr>
        <w:lastRenderedPageBreak/>
        <w:t>之间存在稳定的关系、未来经营收益可以预测量化、与企业预期收益相关的风险报酬能被估算计量。</w:t>
      </w:r>
    </w:p>
    <w:p w14:paraId="34F4CA03" w14:textId="0E2FD1E0" w:rsidR="006416B0" w:rsidRPr="00B4515A" w:rsidRDefault="005E58C1" w:rsidP="005860B4">
      <w:pPr>
        <w:pStyle w:val="005"/>
        <w:spacing w:before="120" w:after="120"/>
        <w:ind w:firstLine="480"/>
      </w:pPr>
      <w:r w:rsidRPr="00B4515A">
        <w:rPr>
          <w:rFonts w:hint="eastAsia"/>
        </w:rPr>
        <w:t>经查询与</w:t>
      </w:r>
      <w:r w:rsidR="0043334D" w:rsidRPr="00B4515A">
        <w:rPr>
          <w:rFonts w:hint="eastAsia"/>
        </w:rPr>
        <w:t>大唐联诚</w:t>
      </w:r>
      <w:r w:rsidRPr="00B4515A">
        <w:rPr>
          <w:rFonts w:hint="eastAsia"/>
        </w:rPr>
        <w:t>同一行业的国内上市公司，在产品类型、经营模式、企业规模、资产配置、未来成长性等方面具备可予比较的上市公司较少，且近期产权交易市场类似行业特征、经营模式的股权交易较少，</w:t>
      </w:r>
      <w:r w:rsidRPr="00B4515A">
        <w:t>相关交易背景、交易案例的经营财务数据等信息无法从公开渠道获得，不具备采用市场法评估的基本条件。</w:t>
      </w:r>
    </w:p>
    <w:p w14:paraId="2DF6B0F4" w14:textId="77777777" w:rsidR="006416B0" w:rsidRPr="00B4515A" w:rsidRDefault="005E58C1" w:rsidP="005860B4">
      <w:pPr>
        <w:pStyle w:val="005"/>
        <w:spacing w:before="120" w:after="120"/>
        <w:ind w:firstLine="480"/>
      </w:pPr>
      <w:r w:rsidRPr="00B4515A">
        <w:t>综上分析，本次评估确定采用资产基础法和收益法进行评估。</w:t>
      </w:r>
    </w:p>
    <w:p w14:paraId="63B05E55" w14:textId="5FC78845" w:rsidR="0043334D" w:rsidRPr="00B4515A" w:rsidRDefault="005E58C1" w:rsidP="005860B4">
      <w:pPr>
        <w:pStyle w:val="004"/>
        <w:spacing w:before="120" w:after="120"/>
        <w:ind w:firstLine="482"/>
      </w:pPr>
      <w:r w:rsidRPr="00B4515A">
        <w:t>2</w:t>
      </w:r>
      <w:r w:rsidRPr="00B4515A">
        <w:t>、评估假设</w:t>
      </w:r>
    </w:p>
    <w:p w14:paraId="23DF0BBA" w14:textId="77777777" w:rsidR="006416B0" w:rsidRPr="00B4515A" w:rsidRDefault="005E58C1" w:rsidP="005860B4">
      <w:pPr>
        <w:pStyle w:val="005"/>
        <w:spacing w:before="120" w:after="120"/>
        <w:ind w:firstLine="480"/>
      </w:pPr>
      <w:r w:rsidRPr="00B4515A">
        <w:t>（</w:t>
      </w:r>
      <w:r w:rsidRPr="00B4515A">
        <w:t>1</w:t>
      </w:r>
      <w:r w:rsidRPr="00B4515A">
        <w:t>）基本假设</w:t>
      </w:r>
    </w:p>
    <w:p w14:paraId="3ED197F7" w14:textId="77777777" w:rsidR="006416B0" w:rsidRPr="00B4515A" w:rsidRDefault="005E58C1" w:rsidP="005860B4">
      <w:pPr>
        <w:pStyle w:val="005"/>
        <w:spacing w:before="120" w:after="120"/>
        <w:ind w:firstLine="480"/>
      </w:pPr>
      <w:r w:rsidRPr="00B4515A">
        <w:t>1</w:t>
      </w:r>
      <w:r w:rsidRPr="00B4515A">
        <w:t>）交易假设</w:t>
      </w:r>
    </w:p>
    <w:p w14:paraId="09BFBDD1" w14:textId="77777777" w:rsidR="006416B0" w:rsidRPr="00B4515A" w:rsidRDefault="005E58C1" w:rsidP="005860B4">
      <w:pPr>
        <w:pStyle w:val="005"/>
        <w:spacing w:before="120" w:after="120"/>
        <w:ind w:firstLine="480"/>
      </w:pPr>
      <w:r w:rsidRPr="00B4515A">
        <w:t>交易假设是假定所有评估资产已经处在交易的过程中，资产评估师根据评估资产的交易条件等模拟市场进行价值评估。交易假设是资产评估得以进行的一个最基本的前提假设。</w:t>
      </w:r>
    </w:p>
    <w:p w14:paraId="1BE1C1A9" w14:textId="77777777" w:rsidR="006416B0" w:rsidRPr="00B4515A" w:rsidRDefault="005E58C1" w:rsidP="005860B4">
      <w:pPr>
        <w:pStyle w:val="005"/>
        <w:spacing w:before="120" w:after="120"/>
        <w:ind w:firstLine="480"/>
      </w:pPr>
      <w:r w:rsidRPr="00B4515A">
        <w:t>2</w:t>
      </w:r>
      <w:r w:rsidRPr="00B4515A">
        <w:t>）公开市场假设</w:t>
      </w:r>
    </w:p>
    <w:p w14:paraId="3ECF35DA" w14:textId="77777777" w:rsidR="006416B0" w:rsidRPr="00B4515A" w:rsidRDefault="005E58C1" w:rsidP="005860B4">
      <w:pPr>
        <w:pStyle w:val="005"/>
        <w:spacing w:before="120" w:after="120"/>
        <w:ind w:firstLine="480"/>
      </w:pPr>
      <w:r w:rsidRPr="00B4515A">
        <w:t>公开市场假设是对资产拟进入的市场条件以及资产在这样的市场条件下接受何种影响的一种假定。公开市场是指充分发达与完善的市场条件，是指一个有自愿的买方和卖方的竞争性市场，在这个市场上，买方和卖方的地位平等，都有获取足够市场信息的机会和时间，买卖双方的交易都是在自愿的、理智的、非强制性或不受限制的条件下进行。公开市场假设以资产在市场上可以公开买卖为基础。</w:t>
      </w:r>
    </w:p>
    <w:p w14:paraId="2E51D4A6" w14:textId="77777777" w:rsidR="006416B0" w:rsidRPr="00B4515A" w:rsidRDefault="005E58C1" w:rsidP="005860B4">
      <w:pPr>
        <w:pStyle w:val="005"/>
        <w:spacing w:before="120" w:after="120"/>
        <w:ind w:firstLine="480"/>
      </w:pPr>
      <w:r w:rsidRPr="00B4515A">
        <w:t>3</w:t>
      </w:r>
      <w:r w:rsidRPr="00B4515A">
        <w:t>）企业持续经营假设</w:t>
      </w:r>
    </w:p>
    <w:p w14:paraId="14579FBA" w14:textId="77777777" w:rsidR="006416B0" w:rsidRPr="00B4515A" w:rsidRDefault="005E58C1" w:rsidP="005860B4">
      <w:pPr>
        <w:pStyle w:val="005"/>
        <w:spacing w:before="120" w:after="120"/>
        <w:ind w:firstLine="480"/>
      </w:pPr>
      <w:r w:rsidRPr="00B4515A">
        <w:t>企业持续经营假设是假设被评估单位在现有的资产资源条件下，在可预见的未来经营期限内，其生产经营业务可以合法地按其现状持续经营下去，其经营状况不会发生重大不利变化。</w:t>
      </w:r>
    </w:p>
    <w:p w14:paraId="009757A0" w14:textId="77777777" w:rsidR="006416B0" w:rsidRPr="00B4515A" w:rsidRDefault="005E58C1" w:rsidP="005860B4">
      <w:pPr>
        <w:pStyle w:val="005"/>
        <w:spacing w:before="120" w:after="120"/>
        <w:ind w:firstLine="480"/>
      </w:pPr>
      <w:r w:rsidRPr="00B4515A">
        <w:t>4</w:t>
      </w:r>
      <w:r w:rsidRPr="00B4515A">
        <w:t>）资产按现有用途使用假设</w:t>
      </w:r>
    </w:p>
    <w:p w14:paraId="49093951" w14:textId="77777777" w:rsidR="006416B0" w:rsidRPr="00B4515A" w:rsidRDefault="005E58C1" w:rsidP="005860B4">
      <w:pPr>
        <w:pStyle w:val="005"/>
        <w:spacing w:before="120" w:after="120"/>
        <w:ind w:firstLine="480"/>
      </w:pPr>
      <w:r w:rsidRPr="00B4515A">
        <w:t>资产按现有用途使用假设是指假设资产将按当前的使用用途持续使用。首先假定被评估范围内资产正处于使用状态，其次假定按目前的用途和使用方式还将</w:t>
      </w:r>
      <w:r w:rsidRPr="00B4515A">
        <w:lastRenderedPageBreak/>
        <w:t>继续使用下去，没有考虑资产用途转换或者最佳利用条件。</w:t>
      </w:r>
    </w:p>
    <w:p w14:paraId="01E8A801" w14:textId="77777777" w:rsidR="006416B0" w:rsidRPr="00B4515A" w:rsidRDefault="005E58C1" w:rsidP="005860B4">
      <w:pPr>
        <w:pStyle w:val="005"/>
        <w:spacing w:before="120" w:after="120"/>
        <w:ind w:firstLine="480"/>
      </w:pPr>
      <w:r w:rsidRPr="00B4515A">
        <w:t>（</w:t>
      </w:r>
      <w:r w:rsidRPr="00B4515A">
        <w:t>2</w:t>
      </w:r>
      <w:r w:rsidRPr="00B4515A">
        <w:t>）一般假设</w:t>
      </w:r>
    </w:p>
    <w:p w14:paraId="5581E98E" w14:textId="77777777" w:rsidR="006416B0" w:rsidRPr="00B4515A" w:rsidRDefault="005E58C1" w:rsidP="005860B4">
      <w:pPr>
        <w:pStyle w:val="005"/>
        <w:spacing w:before="120" w:after="120"/>
        <w:ind w:firstLine="480"/>
      </w:pPr>
      <w:r w:rsidRPr="00B4515A">
        <w:t>1</w:t>
      </w:r>
      <w:r w:rsidRPr="00B4515A">
        <w:t>）本次评估假设评估基准日后国家现行有关法律、宏观经济、金融以及产业政策等外部经济环境不会发生不可预见的重大不利变化，亦无其他人力不可抗拒及不可预见因素造成的重大影响。</w:t>
      </w:r>
    </w:p>
    <w:p w14:paraId="73E9D975" w14:textId="77777777" w:rsidR="006416B0" w:rsidRPr="00B4515A" w:rsidRDefault="005E58C1" w:rsidP="005860B4">
      <w:pPr>
        <w:pStyle w:val="005"/>
        <w:spacing w:before="120" w:after="120"/>
        <w:ind w:firstLine="480"/>
      </w:pPr>
      <w:r w:rsidRPr="00B4515A">
        <w:t>2</w:t>
      </w:r>
      <w:r w:rsidRPr="00B4515A">
        <w:t>）本次评估没有考虑被评估单位及其资产将来可能承担的抵押、担保事宜，以及特殊的交易方式可能追加付出的价格等对其评估结论的影响。</w:t>
      </w:r>
    </w:p>
    <w:p w14:paraId="6D484B6C" w14:textId="77777777" w:rsidR="006416B0" w:rsidRPr="00B4515A" w:rsidRDefault="005E58C1" w:rsidP="005860B4">
      <w:pPr>
        <w:pStyle w:val="005"/>
        <w:spacing w:before="120" w:after="120"/>
        <w:ind w:firstLine="480"/>
      </w:pPr>
      <w:r w:rsidRPr="00B4515A">
        <w:t>3</w:t>
      </w:r>
      <w:r w:rsidRPr="00B4515A">
        <w:t>）假设被评估单位所在地所处的社会经济环境以及所执行的税赋、税率等财税政策无重大变化，信贷政策、利率、汇率等金融政策基本稳定。</w:t>
      </w:r>
    </w:p>
    <w:p w14:paraId="09825A0F" w14:textId="77777777" w:rsidR="006416B0" w:rsidRPr="00B4515A" w:rsidRDefault="005E58C1" w:rsidP="005860B4">
      <w:pPr>
        <w:pStyle w:val="005"/>
        <w:spacing w:before="120" w:after="120"/>
        <w:ind w:firstLine="480"/>
      </w:pPr>
      <w:r w:rsidRPr="00B4515A">
        <w:t>4</w:t>
      </w:r>
      <w:r w:rsidRPr="00B4515A">
        <w:t>）被评估单位现在及将来的经营业务合法合规，并且符合其营业执照、公司章程的相关约定。</w:t>
      </w:r>
    </w:p>
    <w:p w14:paraId="68C5B39C" w14:textId="77777777" w:rsidR="006416B0" w:rsidRPr="00B4515A" w:rsidRDefault="005E58C1" w:rsidP="005860B4">
      <w:pPr>
        <w:pStyle w:val="005"/>
        <w:spacing w:before="120" w:after="120"/>
        <w:ind w:firstLine="480"/>
      </w:pPr>
      <w:r w:rsidRPr="00B4515A">
        <w:t>（</w:t>
      </w:r>
      <w:r w:rsidRPr="00B4515A">
        <w:t>3</w:t>
      </w:r>
      <w:r w:rsidRPr="00B4515A">
        <w:t>）收益法评估特别假设</w:t>
      </w:r>
    </w:p>
    <w:p w14:paraId="0388506D" w14:textId="77777777" w:rsidR="006416B0" w:rsidRPr="00B4515A" w:rsidRDefault="005E58C1" w:rsidP="005860B4">
      <w:pPr>
        <w:pStyle w:val="005"/>
        <w:spacing w:before="120" w:after="120"/>
        <w:ind w:firstLine="480"/>
      </w:pPr>
      <w:r w:rsidRPr="00B4515A">
        <w:t>1</w:t>
      </w:r>
      <w:r w:rsidRPr="00B4515A">
        <w:t>）被评估单位的未来收益可以合理预期并用货币计量；预期收益所对应的风险能够度量；未来收益期限能够确定或者合理预期。</w:t>
      </w:r>
    </w:p>
    <w:p w14:paraId="1F821687" w14:textId="77777777" w:rsidR="006416B0" w:rsidRPr="00B4515A" w:rsidRDefault="005E58C1" w:rsidP="005860B4">
      <w:pPr>
        <w:pStyle w:val="005"/>
        <w:spacing w:before="120" w:after="120"/>
        <w:ind w:firstLine="480"/>
      </w:pPr>
      <w:r w:rsidRPr="00B4515A">
        <w:t>2</w:t>
      </w:r>
      <w:r w:rsidRPr="00B4515A">
        <w:t>）被评估单位目前及未来的管理层合法合规、勤勉尽职地履行其经营管理职能，本次经济行为实施后，亦不会出现严重影响企业发展或损害股东利益情形，并继续保持现有的经营管理模式和管理水平。</w:t>
      </w:r>
    </w:p>
    <w:p w14:paraId="5CA703F8" w14:textId="77777777" w:rsidR="006416B0" w:rsidRPr="00B4515A" w:rsidRDefault="005E58C1" w:rsidP="005860B4">
      <w:pPr>
        <w:pStyle w:val="005"/>
        <w:spacing w:before="120" w:after="120"/>
        <w:ind w:firstLine="480"/>
      </w:pPr>
      <w:r w:rsidRPr="00B4515A">
        <w:t>3</w:t>
      </w:r>
      <w:r w:rsidRPr="00B4515A">
        <w:rPr>
          <w:rFonts w:hint="eastAsia"/>
        </w:rPr>
        <w:t>）</w:t>
      </w:r>
      <w:r w:rsidRPr="00B4515A">
        <w:t>未来预测期内被评估单位核心管理人员和技术人员队伍相对稳定，不会出现影响企业经营发展和收益实现的重大变动事项。</w:t>
      </w:r>
    </w:p>
    <w:p w14:paraId="0E503383" w14:textId="709B01C0" w:rsidR="006416B0" w:rsidRPr="00B4515A" w:rsidRDefault="005E58C1" w:rsidP="002B0582">
      <w:pPr>
        <w:pStyle w:val="005"/>
        <w:spacing w:before="120" w:after="120"/>
        <w:ind w:firstLine="480"/>
      </w:pPr>
      <w:r w:rsidRPr="00B4515A">
        <w:t>4</w:t>
      </w:r>
      <w:r w:rsidRPr="00B4515A">
        <w:t>）被评估单位于评估基准日后采用的会计政策和编写本评估报告时所采用的会计政策在重要性方面保持一致</w:t>
      </w:r>
      <w:r w:rsidR="00755420" w:rsidRPr="00B4515A">
        <w:rPr>
          <w:rFonts w:hint="eastAsia"/>
        </w:rPr>
        <w:t>。</w:t>
      </w:r>
    </w:p>
    <w:p w14:paraId="35D4EA14" w14:textId="77777777" w:rsidR="006416B0" w:rsidRPr="00B4515A" w:rsidRDefault="005E58C1" w:rsidP="005860B4">
      <w:pPr>
        <w:pStyle w:val="005"/>
        <w:spacing w:before="120" w:after="120"/>
        <w:ind w:firstLine="480"/>
      </w:pPr>
      <w:r w:rsidRPr="00B4515A">
        <w:t>5</w:t>
      </w:r>
      <w:r w:rsidRPr="00B4515A">
        <w:t>）假设评估基准日后被评估单位的现金流均匀流入，现金流出为均匀流出。</w:t>
      </w:r>
    </w:p>
    <w:p w14:paraId="4424D1AA" w14:textId="77777777" w:rsidR="006416B0" w:rsidRPr="00B4515A" w:rsidRDefault="005E58C1" w:rsidP="005860B4">
      <w:pPr>
        <w:pStyle w:val="005"/>
        <w:spacing w:before="120" w:after="120"/>
        <w:ind w:firstLine="480"/>
      </w:pPr>
      <w:r w:rsidRPr="00B4515A">
        <w:t>6</w:t>
      </w:r>
      <w:r w:rsidRPr="00B4515A">
        <w:rPr>
          <w:rFonts w:hint="eastAsia"/>
        </w:rPr>
        <w:t>）</w:t>
      </w:r>
      <w:r w:rsidRPr="00B4515A">
        <w:t>被评估单位的高新技术企业证书取得日期为</w:t>
      </w:r>
      <w:r w:rsidRPr="00B4515A">
        <w:t>2020</w:t>
      </w:r>
      <w:r w:rsidRPr="00B4515A">
        <w:t>年</w:t>
      </w:r>
      <w:r w:rsidRPr="00B4515A">
        <w:t>10</w:t>
      </w:r>
      <w:r w:rsidRPr="00B4515A">
        <w:t>月</w:t>
      </w:r>
      <w:r w:rsidRPr="00B4515A">
        <w:t>21</w:t>
      </w:r>
      <w:r w:rsidRPr="00B4515A">
        <w:t>日，有效期</w:t>
      </w:r>
      <w:r w:rsidRPr="00B4515A">
        <w:t>3</w:t>
      </w:r>
      <w:r w:rsidRPr="00B4515A">
        <w:t>年。假设现行高新技术企业认定的相关法规政策未来无重大变化，评估师对企业目前的主营业务构成类型、研发人员构成、未来研发投入占主营收入比例等指标分析后，基于对未来的合理推断，假设被评估单位未来具备持续获得高新技术企业认定的条件，能够持续享受所得税优惠政策。</w:t>
      </w:r>
    </w:p>
    <w:p w14:paraId="538C3CC6" w14:textId="77777777" w:rsidR="006416B0" w:rsidRPr="00B4515A" w:rsidRDefault="005E58C1" w:rsidP="005860B4">
      <w:pPr>
        <w:pStyle w:val="005"/>
        <w:spacing w:before="120" w:after="120"/>
        <w:ind w:firstLine="480"/>
      </w:pPr>
      <w:r w:rsidRPr="00B4515A">
        <w:lastRenderedPageBreak/>
        <w:t>7</w:t>
      </w:r>
      <w:r w:rsidRPr="00B4515A">
        <w:t>）被评估单位目前位于经营场所均为租赁取得，本次评估假设租赁合同到期后，被评估单位能按租赁合同的约定条件获得续签继续使用，或届时能以市场租金价格水平获取类似条件和规模的经营场所。</w:t>
      </w:r>
    </w:p>
    <w:p w14:paraId="460465D9" w14:textId="77777777" w:rsidR="006416B0" w:rsidRPr="00B4515A" w:rsidRDefault="005E58C1" w:rsidP="005860B4">
      <w:pPr>
        <w:pStyle w:val="003"/>
        <w:spacing w:before="120"/>
        <w:ind w:firstLine="482"/>
      </w:pPr>
      <w:r w:rsidRPr="00B4515A">
        <w:t>（三）资产基础法评估情况</w:t>
      </w:r>
    </w:p>
    <w:p w14:paraId="31C42195" w14:textId="63349B41" w:rsidR="006416B0" w:rsidRPr="00B4515A" w:rsidRDefault="005E58C1" w:rsidP="005860B4">
      <w:pPr>
        <w:pStyle w:val="005"/>
        <w:spacing w:before="120" w:after="120"/>
        <w:ind w:firstLine="480"/>
      </w:pPr>
      <w:r w:rsidRPr="00B4515A">
        <w:t>采用资产基础法对企业股东全部权益价值进行评估，得出</w:t>
      </w:r>
      <w:r w:rsidR="00801170" w:rsidRPr="00B4515A">
        <w:rPr>
          <w:rFonts w:hint="eastAsia"/>
        </w:rPr>
        <w:t>大唐联诚</w:t>
      </w:r>
      <w:r w:rsidRPr="00B4515A">
        <w:t>在评估基准日的评估结果如下：</w:t>
      </w:r>
      <w:r w:rsidRPr="00B4515A">
        <w:t xml:space="preserve"> </w:t>
      </w:r>
    </w:p>
    <w:p w14:paraId="4C490C3F" w14:textId="04F98F15" w:rsidR="006416B0" w:rsidRPr="00B4515A" w:rsidRDefault="005E58C1" w:rsidP="005860B4">
      <w:pPr>
        <w:pStyle w:val="005"/>
        <w:spacing w:before="120" w:after="120"/>
        <w:ind w:firstLine="480"/>
      </w:pPr>
      <w:r w:rsidRPr="00B4515A">
        <w:t>评估基准日，</w:t>
      </w:r>
      <w:r w:rsidR="00801170" w:rsidRPr="00B4515A">
        <w:rPr>
          <w:rFonts w:hint="eastAsia"/>
        </w:rPr>
        <w:t>大唐联诚</w:t>
      </w:r>
      <w:r w:rsidRPr="00B4515A">
        <w:t>股东权益账面值</w:t>
      </w:r>
      <w:r w:rsidRPr="00B4515A">
        <w:t>77,488.74</w:t>
      </w:r>
      <w:r w:rsidRPr="00B4515A">
        <w:t>万元，评估值</w:t>
      </w:r>
      <w:r w:rsidR="0043334D" w:rsidRPr="00B4515A">
        <w:t>120</w:t>
      </w:r>
      <w:r w:rsidRPr="00B4515A">
        <w:t>,</w:t>
      </w:r>
      <w:r w:rsidR="0043334D" w:rsidRPr="00B4515A">
        <w:t>029</w:t>
      </w:r>
      <w:r w:rsidRPr="00B4515A">
        <w:t>.</w:t>
      </w:r>
      <w:r w:rsidR="00E65DBB" w:rsidRPr="00B4515A">
        <w:t>87</w:t>
      </w:r>
      <w:r w:rsidRPr="00B4515A">
        <w:t>万元，评估增值</w:t>
      </w:r>
      <w:r w:rsidR="0043334D" w:rsidRPr="00B4515A">
        <w:t>42</w:t>
      </w:r>
      <w:r w:rsidRPr="00B4515A">
        <w:t>,</w:t>
      </w:r>
      <w:r w:rsidR="0043334D" w:rsidRPr="00B4515A">
        <w:t>541</w:t>
      </w:r>
      <w:r w:rsidRPr="00B4515A">
        <w:t>.</w:t>
      </w:r>
      <w:r w:rsidR="00E65DBB" w:rsidRPr="00B4515A">
        <w:t>13</w:t>
      </w:r>
      <w:r w:rsidRPr="00B4515A">
        <w:t>万元，增值率</w:t>
      </w:r>
      <w:r w:rsidR="0043334D" w:rsidRPr="00B4515A">
        <w:t>54</w:t>
      </w:r>
      <w:r w:rsidRPr="00B4515A">
        <w:t>.</w:t>
      </w:r>
      <w:r w:rsidR="0043334D" w:rsidRPr="00B4515A">
        <w:t>90</w:t>
      </w:r>
      <w:r w:rsidRPr="00B4515A">
        <w:t>%</w:t>
      </w:r>
      <w:r w:rsidRPr="00B4515A">
        <w:t>。</w:t>
      </w:r>
    </w:p>
    <w:p w14:paraId="2967B2CA" w14:textId="503D176D" w:rsidR="006416B0" w:rsidRPr="00B4515A" w:rsidRDefault="005E58C1" w:rsidP="005860B4">
      <w:pPr>
        <w:pStyle w:val="005"/>
        <w:spacing w:before="120" w:after="120"/>
        <w:ind w:firstLine="480"/>
      </w:pPr>
      <w:r w:rsidRPr="00B4515A">
        <w:rPr>
          <w:rFonts w:hint="eastAsia"/>
        </w:rPr>
        <w:t>其中：总资产账面值</w:t>
      </w:r>
      <w:r w:rsidRPr="00B4515A">
        <w:t>150,577.87</w:t>
      </w:r>
      <w:r w:rsidRPr="00B4515A">
        <w:t>万元，评估值</w:t>
      </w:r>
      <w:r w:rsidR="0043334D" w:rsidRPr="00B4515A">
        <w:t>193</w:t>
      </w:r>
      <w:r w:rsidRPr="00B4515A">
        <w:t>,</w:t>
      </w:r>
      <w:r w:rsidR="0043334D" w:rsidRPr="00B4515A">
        <w:t>119</w:t>
      </w:r>
      <w:r w:rsidRPr="00B4515A">
        <w:t>.</w:t>
      </w:r>
      <w:r w:rsidR="00E65DBB" w:rsidRPr="00B4515A">
        <w:t>00</w:t>
      </w:r>
      <w:r w:rsidRPr="00B4515A">
        <w:t>万元，评估增值</w:t>
      </w:r>
      <w:r w:rsidR="0043334D" w:rsidRPr="00B4515A">
        <w:t>42</w:t>
      </w:r>
      <w:r w:rsidRPr="00B4515A">
        <w:t>,</w:t>
      </w:r>
      <w:r w:rsidR="0043334D" w:rsidRPr="00B4515A">
        <w:t>541</w:t>
      </w:r>
      <w:r w:rsidRPr="00B4515A">
        <w:t>.</w:t>
      </w:r>
      <w:r w:rsidR="0043334D" w:rsidRPr="00B4515A">
        <w:t>12</w:t>
      </w:r>
      <w:r w:rsidRPr="00B4515A">
        <w:t>万元，增值率</w:t>
      </w:r>
      <w:r w:rsidR="0043334D" w:rsidRPr="00B4515A">
        <w:t>28</w:t>
      </w:r>
      <w:r w:rsidRPr="00B4515A">
        <w:t>.</w:t>
      </w:r>
      <w:r w:rsidR="0043334D" w:rsidRPr="00B4515A">
        <w:t>25</w:t>
      </w:r>
      <w:r w:rsidRPr="00B4515A">
        <w:t>%</w:t>
      </w:r>
      <w:r w:rsidRPr="00B4515A">
        <w:t>。负债账面值</w:t>
      </w:r>
      <w:r w:rsidRPr="00B4515A">
        <w:t>73,089.13</w:t>
      </w:r>
      <w:r w:rsidRPr="00B4515A">
        <w:t>万元，评估值</w:t>
      </w:r>
      <w:r w:rsidRPr="00B4515A">
        <w:t>73,089.13</w:t>
      </w:r>
      <w:r w:rsidRPr="00B4515A">
        <w:t>万元，无增减值变动。资产基础法具体评估结果详见下列评估结果汇总表：</w:t>
      </w:r>
    </w:p>
    <w:p w14:paraId="3B75A502" w14:textId="77777777" w:rsidR="00E65DBB" w:rsidRPr="00B4515A" w:rsidRDefault="00E65DBB" w:rsidP="005860B4">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65"/>
        <w:gridCol w:w="2043"/>
        <w:gridCol w:w="1455"/>
        <w:gridCol w:w="1455"/>
        <w:gridCol w:w="1455"/>
        <w:gridCol w:w="1455"/>
      </w:tblGrid>
      <w:tr w:rsidR="0043334D" w:rsidRPr="00B4515A" w14:paraId="451FEF6F" w14:textId="77777777" w:rsidTr="005860B4">
        <w:trPr>
          <w:trHeight w:val="340"/>
          <w:tblHeader/>
          <w:jc w:val="center"/>
        </w:trPr>
        <w:tc>
          <w:tcPr>
            <w:tcW w:w="716" w:type="dxa"/>
            <w:shd w:val="clear" w:color="000000" w:fill="FFFFFF"/>
            <w:tcMar>
              <w:top w:w="0" w:type="dxa"/>
              <w:left w:w="108" w:type="dxa"/>
              <w:bottom w:w="0" w:type="dxa"/>
              <w:right w:w="108" w:type="dxa"/>
            </w:tcMar>
            <w:vAlign w:val="center"/>
          </w:tcPr>
          <w:p w14:paraId="00AE8B60" w14:textId="77777777" w:rsidR="0043334D" w:rsidRPr="00B4515A" w:rsidRDefault="0043334D"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序号</w:t>
            </w:r>
          </w:p>
        </w:tc>
        <w:tc>
          <w:tcPr>
            <w:tcW w:w="2256" w:type="dxa"/>
            <w:shd w:val="clear" w:color="000000" w:fill="FFFFFF"/>
            <w:tcMar>
              <w:top w:w="0" w:type="dxa"/>
              <w:left w:w="108" w:type="dxa"/>
              <w:bottom w:w="0" w:type="dxa"/>
              <w:right w:w="108" w:type="dxa"/>
            </w:tcMar>
            <w:vAlign w:val="center"/>
          </w:tcPr>
          <w:p w14:paraId="43258611" w14:textId="77777777" w:rsidR="0043334D" w:rsidRPr="00B4515A" w:rsidRDefault="0043334D"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项目</w:t>
            </w:r>
          </w:p>
        </w:tc>
        <w:tc>
          <w:tcPr>
            <w:tcW w:w="1598" w:type="dxa"/>
            <w:shd w:val="clear" w:color="000000" w:fill="FFFFFF"/>
            <w:tcMar>
              <w:top w:w="0" w:type="dxa"/>
              <w:left w:w="108" w:type="dxa"/>
              <w:bottom w:w="0" w:type="dxa"/>
              <w:right w:w="108" w:type="dxa"/>
            </w:tcMar>
            <w:vAlign w:val="center"/>
          </w:tcPr>
          <w:p w14:paraId="119509C1" w14:textId="77777777" w:rsidR="0043334D" w:rsidRPr="00B4515A" w:rsidRDefault="0043334D"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账面价值</w:t>
            </w:r>
          </w:p>
        </w:tc>
        <w:tc>
          <w:tcPr>
            <w:tcW w:w="1598" w:type="dxa"/>
            <w:shd w:val="clear" w:color="000000" w:fill="FFFFFF"/>
            <w:tcMar>
              <w:top w:w="0" w:type="dxa"/>
              <w:left w:w="108" w:type="dxa"/>
              <w:bottom w:w="0" w:type="dxa"/>
              <w:right w:w="108" w:type="dxa"/>
            </w:tcMar>
            <w:vAlign w:val="center"/>
          </w:tcPr>
          <w:p w14:paraId="1DA3EC4F" w14:textId="77777777" w:rsidR="0043334D" w:rsidRPr="00B4515A" w:rsidRDefault="0043334D"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评估价值</w:t>
            </w:r>
          </w:p>
        </w:tc>
        <w:tc>
          <w:tcPr>
            <w:tcW w:w="1598" w:type="dxa"/>
            <w:shd w:val="clear" w:color="000000" w:fill="FFFFFF"/>
            <w:tcMar>
              <w:top w:w="0" w:type="dxa"/>
              <w:left w:w="108" w:type="dxa"/>
              <w:bottom w:w="0" w:type="dxa"/>
              <w:right w:w="108" w:type="dxa"/>
            </w:tcMar>
            <w:vAlign w:val="center"/>
          </w:tcPr>
          <w:p w14:paraId="34AD5935" w14:textId="77777777" w:rsidR="0043334D" w:rsidRPr="00B4515A" w:rsidRDefault="0043334D"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增减值</w:t>
            </w:r>
          </w:p>
        </w:tc>
        <w:tc>
          <w:tcPr>
            <w:tcW w:w="1598" w:type="dxa"/>
            <w:shd w:val="clear" w:color="000000" w:fill="FFFFFF"/>
            <w:tcMar>
              <w:top w:w="0" w:type="dxa"/>
              <w:left w:w="108" w:type="dxa"/>
              <w:bottom w:w="0" w:type="dxa"/>
              <w:right w:w="108" w:type="dxa"/>
            </w:tcMar>
            <w:vAlign w:val="center"/>
          </w:tcPr>
          <w:p w14:paraId="79441D2B" w14:textId="77777777" w:rsidR="0043334D" w:rsidRPr="00B4515A" w:rsidRDefault="0043334D"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hint="eastAsia"/>
                <w:b/>
                <w:sz w:val="21"/>
                <w:szCs w:val="21"/>
              </w:rPr>
              <w:t>增值率</w:t>
            </w:r>
            <w:r w:rsidRPr="00B4515A">
              <w:rPr>
                <w:rFonts w:ascii="Times New Roman" w:hAnsi="Times New Roman" w:cs="Times New Roman"/>
                <w:b/>
                <w:sz w:val="21"/>
                <w:szCs w:val="21"/>
              </w:rPr>
              <w:t>%</w:t>
            </w:r>
          </w:p>
        </w:tc>
      </w:tr>
      <w:tr w:rsidR="0043334D" w:rsidRPr="00B4515A" w14:paraId="7793E990" w14:textId="77777777" w:rsidTr="00031627">
        <w:trPr>
          <w:trHeight w:val="340"/>
          <w:jc w:val="center"/>
        </w:trPr>
        <w:tc>
          <w:tcPr>
            <w:tcW w:w="716" w:type="dxa"/>
            <w:shd w:val="clear" w:color="000000" w:fill="FFFFFF"/>
            <w:tcMar>
              <w:top w:w="0" w:type="dxa"/>
              <w:left w:w="108" w:type="dxa"/>
              <w:bottom w:w="0" w:type="dxa"/>
              <w:right w:w="108" w:type="dxa"/>
            </w:tcMar>
            <w:vAlign w:val="center"/>
          </w:tcPr>
          <w:p w14:paraId="7531560E" w14:textId="77777777" w:rsidR="0043334D" w:rsidRPr="00B4515A" w:rsidRDefault="0043334D"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p>
        </w:tc>
        <w:tc>
          <w:tcPr>
            <w:tcW w:w="2256" w:type="dxa"/>
            <w:shd w:val="clear" w:color="000000" w:fill="FFFFFF"/>
            <w:tcMar>
              <w:top w:w="0" w:type="dxa"/>
              <w:left w:w="108" w:type="dxa"/>
              <w:bottom w:w="0" w:type="dxa"/>
              <w:right w:w="108" w:type="dxa"/>
            </w:tcMar>
            <w:vAlign w:val="center"/>
          </w:tcPr>
          <w:p w14:paraId="00BF4409" w14:textId="77777777" w:rsidR="0043334D" w:rsidRPr="00B4515A" w:rsidRDefault="0043334D"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流动资产</w:t>
            </w:r>
          </w:p>
        </w:tc>
        <w:tc>
          <w:tcPr>
            <w:tcW w:w="1598" w:type="dxa"/>
            <w:shd w:val="clear" w:color="000000" w:fill="FFFFFF"/>
            <w:tcMar>
              <w:top w:w="0" w:type="dxa"/>
              <w:left w:w="108" w:type="dxa"/>
              <w:bottom w:w="0" w:type="dxa"/>
              <w:right w:w="108" w:type="dxa"/>
            </w:tcMar>
            <w:vAlign w:val="center"/>
          </w:tcPr>
          <w:p w14:paraId="44A1C4F1" w14:textId="77777777" w:rsidR="0043334D" w:rsidRPr="00B4515A" w:rsidRDefault="0043334D"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color w:val="000000"/>
                <w:sz w:val="21"/>
                <w:szCs w:val="21"/>
                <w:lang w:bidi="ar"/>
              </w:rPr>
              <w:t>118,212.87</w:t>
            </w:r>
          </w:p>
        </w:tc>
        <w:tc>
          <w:tcPr>
            <w:tcW w:w="1598" w:type="dxa"/>
            <w:shd w:val="clear" w:color="000000" w:fill="FFFFFF"/>
            <w:tcMar>
              <w:top w:w="0" w:type="dxa"/>
              <w:left w:w="108" w:type="dxa"/>
              <w:bottom w:w="0" w:type="dxa"/>
              <w:right w:w="108" w:type="dxa"/>
            </w:tcMar>
            <w:vAlign w:val="center"/>
          </w:tcPr>
          <w:p w14:paraId="0D0D29D2"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124,056.34</w:t>
            </w:r>
          </w:p>
        </w:tc>
        <w:tc>
          <w:tcPr>
            <w:tcW w:w="1598" w:type="dxa"/>
            <w:shd w:val="clear" w:color="000000" w:fill="FFFFFF"/>
            <w:tcMar>
              <w:top w:w="0" w:type="dxa"/>
              <w:left w:w="108" w:type="dxa"/>
              <w:bottom w:w="0" w:type="dxa"/>
              <w:right w:w="108" w:type="dxa"/>
            </w:tcMar>
            <w:vAlign w:val="center"/>
          </w:tcPr>
          <w:p w14:paraId="4D0A1B2E"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5,843.47</w:t>
            </w:r>
          </w:p>
        </w:tc>
        <w:tc>
          <w:tcPr>
            <w:tcW w:w="1598" w:type="dxa"/>
            <w:shd w:val="clear" w:color="000000" w:fill="FFFFFF"/>
            <w:tcMar>
              <w:top w:w="0" w:type="dxa"/>
              <w:left w:w="108" w:type="dxa"/>
              <w:bottom w:w="0" w:type="dxa"/>
              <w:right w:w="108" w:type="dxa"/>
            </w:tcMar>
            <w:vAlign w:val="center"/>
          </w:tcPr>
          <w:p w14:paraId="17C18EE7"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4.94</w:t>
            </w:r>
          </w:p>
        </w:tc>
      </w:tr>
      <w:tr w:rsidR="0043334D" w:rsidRPr="00B4515A" w14:paraId="4F18E61E" w14:textId="77777777" w:rsidTr="00031627">
        <w:trPr>
          <w:trHeight w:val="340"/>
          <w:jc w:val="center"/>
        </w:trPr>
        <w:tc>
          <w:tcPr>
            <w:tcW w:w="716" w:type="dxa"/>
            <w:shd w:val="clear" w:color="000000" w:fill="FFFFFF"/>
            <w:tcMar>
              <w:top w:w="0" w:type="dxa"/>
              <w:left w:w="108" w:type="dxa"/>
              <w:bottom w:w="0" w:type="dxa"/>
              <w:right w:w="108" w:type="dxa"/>
            </w:tcMar>
            <w:vAlign w:val="center"/>
          </w:tcPr>
          <w:p w14:paraId="00743B9E" w14:textId="77777777" w:rsidR="0043334D" w:rsidRPr="00B4515A" w:rsidRDefault="0043334D"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p>
        </w:tc>
        <w:tc>
          <w:tcPr>
            <w:tcW w:w="2256" w:type="dxa"/>
            <w:shd w:val="clear" w:color="000000" w:fill="FFFFFF"/>
            <w:tcMar>
              <w:top w:w="0" w:type="dxa"/>
              <w:left w:w="108" w:type="dxa"/>
              <w:bottom w:w="0" w:type="dxa"/>
              <w:right w:w="108" w:type="dxa"/>
            </w:tcMar>
            <w:vAlign w:val="center"/>
          </w:tcPr>
          <w:p w14:paraId="061FCB15" w14:textId="77777777" w:rsidR="0043334D" w:rsidRPr="00B4515A" w:rsidRDefault="0043334D"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非流动资产</w:t>
            </w:r>
          </w:p>
        </w:tc>
        <w:tc>
          <w:tcPr>
            <w:tcW w:w="1598" w:type="dxa"/>
            <w:shd w:val="clear" w:color="000000" w:fill="FFFFFF"/>
            <w:tcMar>
              <w:top w:w="0" w:type="dxa"/>
              <w:left w:w="108" w:type="dxa"/>
              <w:bottom w:w="0" w:type="dxa"/>
              <w:right w:w="108" w:type="dxa"/>
            </w:tcMar>
            <w:vAlign w:val="center"/>
          </w:tcPr>
          <w:p w14:paraId="0CBE9E54" w14:textId="77777777" w:rsidR="0043334D" w:rsidRPr="00B4515A" w:rsidRDefault="0043334D"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color w:val="000000"/>
                <w:sz w:val="21"/>
                <w:szCs w:val="21"/>
                <w:lang w:bidi="ar"/>
              </w:rPr>
              <w:t>32,365.00</w:t>
            </w:r>
          </w:p>
        </w:tc>
        <w:tc>
          <w:tcPr>
            <w:tcW w:w="1598" w:type="dxa"/>
            <w:shd w:val="clear" w:color="000000" w:fill="FFFFFF"/>
            <w:tcMar>
              <w:top w:w="0" w:type="dxa"/>
              <w:left w:w="108" w:type="dxa"/>
              <w:bottom w:w="0" w:type="dxa"/>
              <w:right w:w="108" w:type="dxa"/>
            </w:tcMar>
            <w:vAlign w:val="center"/>
          </w:tcPr>
          <w:p w14:paraId="07CCB63F"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69,062.66</w:t>
            </w:r>
          </w:p>
        </w:tc>
        <w:tc>
          <w:tcPr>
            <w:tcW w:w="1598" w:type="dxa"/>
            <w:shd w:val="clear" w:color="000000" w:fill="FFFFFF"/>
            <w:tcMar>
              <w:top w:w="0" w:type="dxa"/>
              <w:left w:w="108" w:type="dxa"/>
              <w:bottom w:w="0" w:type="dxa"/>
              <w:right w:w="108" w:type="dxa"/>
            </w:tcMar>
            <w:vAlign w:val="center"/>
          </w:tcPr>
          <w:p w14:paraId="53784C29"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36,697.66</w:t>
            </w:r>
          </w:p>
        </w:tc>
        <w:tc>
          <w:tcPr>
            <w:tcW w:w="1598" w:type="dxa"/>
            <w:shd w:val="clear" w:color="000000" w:fill="FFFFFF"/>
            <w:tcMar>
              <w:top w:w="0" w:type="dxa"/>
              <w:left w:w="108" w:type="dxa"/>
              <w:bottom w:w="0" w:type="dxa"/>
              <w:right w:w="108" w:type="dxa"/>
            </w:tcMar>
            <w:vAlign w:val="center"/>
          </w:tcPr>
          <w:p w14:paraId="490E928C"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113.39</w:t>
            </w:r>
          </w:p>
        </w:tc>
      </w:tr>
      <w:tr w:rsidR="00486317" w:rsidRPr="00B4515A" w14:paraId="0F438E7B" w14:textId="77777777" w:rsidTr="00EE238F">
        <w:trPr>
          <w:trHeight w:val="340"/>
          <w:jc w:val="center"/>
        </w:trPr>
        <w:tc>
          <w:tcPr>
            <w:tcW w:w="716" w:type="dxa"/>
            <w:shd w:val="clear" w:color="000000" w:fill="FFFFFF"/>
            <w:tcMar>
              <w:top w:w="0" w:type="dxa"/>
              <w:left w:w="108" w:type="dxa"/>
              <w:bottom w:w="0" w:type="dxa"/>
              <w:right w:w="108" w:type="dxa"/>
            </w:tcMar>
            <w:vAlign w:val="center"/>
          </w:tcPr>
          <w:p w14:paraId="0940DDE6"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2256" w:type="dxa"/>
            <w:shd w:val="clear" w:color="000000" w:fill="FFFFFF"/>
            <w:tcMar>
              <w:top w:w="0" w:type="dxa"/>
              <w:left w:w="108" w:type="dxa"/>
              <w:bottom w:w="0" w:type="dxa"/>
              <w:right w:w="108" w:type="dxa"/>
            </w:tcMar>
            <w:vAlign w:val="center"/>
          </w:tcPr>
          <w:p w14:paraId="188D8198" w14:textId="77777777" w:rsidR="00486317" w:rsidRPr="00B4515A" w:rsidRDefault="00486317"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其中：可供出售金融资产</w:t>
            </w:r>
          </w:p>
        </w:tc>
        <w:tc>
          <w:tcPr>
            <w:tcW w:w="1598" w:type="dxa"/>
            <w:shd w:val="clear" w:color="000000" w:fill="FFFFFF"/>
            <w:tcMar>
              <w:top w:w="0" w:type="dxa"/>
              <w:left w:w="108" w:type="dxa"/>
              <w:bottom w:w="0" w:type="dxa"/>
              <w:right w:w="108" w:type="dxa"/>
            </w:tcMar>
            <w:vAlign w:val="center"/>
          </w:tcPr>
          <w:p w14:paraId="07B1712D" w14:textId="6AA9AF81"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3D4F6D5E" w14:textId="47F43693"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2B237475" w14:textId="46766FF3"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0A378705" w14:textId="6EA9543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6C2C95F2" w14:textId="77777777" w:rsidTr="00EE238F">
        <w:trPr>
          <w:trHeight w:val="340"/>
          <w:jc w:val="center"/>
        </w:trPr>
        <w:tc>
          <w:tcPr>
            <w:tcW w:w="716" w:type="dxa"/>
            <w:shd w:val="clear" w:color="auto" w:fill="auto"/>
            <w:tcMar>
              <w:top w:w="0" w:type="dxa"/>
              <w:left w:w="108" w:type="dxa"/>
              <w:bottom w:w="0" w:type="dxa"/>
              <w:right w:w="108" w:type="dxa"/>
            </w:tcMar>
            <w:vAlign w:val="center"/>
          </w:tcPr>
          <w:p w14:paraId="2DBDB8FC"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4</w:t>
            </w:r>
          </w:p>
        </w:tc>
        <w:tc>
          <w:tcPr>
            <w:tcW w:w="2256" w:type="dxa"/>
            <w:shd w:val="clear" w:color="auto" w:fill="auto"/>
            <w:tcMar>
              <w:top w:w="0" w:type="dxa"/>
              <w:left w:w="108" w:type="dxa"/>
              <w:bottom w:w="0" w:type="dxa"/>
              <w:right w:w="108" w:type="dxa"/>
            </w:tcMar>
            <w:vAlign w:val="center"/>
          </w:tcPr>
          <w:p w14:paraId="626E6D24"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持有至到期投资</w:t>
            </w:r>
          </w:p>
        </w:tc>
        <w:tc>
          <w:tcPr>
            <w:tcW w:w="1598" w:type="dxa"/>
            <w:shd w:val="clear" w:color="auto" w:fill="auto"/>
            <w:tcMar>
              <w:top w:w="0" w:type="dxa"/>
              <w:left w:w="108" w:type="dxa"/>
              <w:bottom w:w="0" w:type="dxa"/>
              <w:right w:w="108" w:type="dxa"/>
            </w:tcMar>
            <w:vAlign w:val="center"/>
          </w:tcPr>
          <w:p w14:paraId="415DF6DD" w14:textId="57F96FEF"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4CD44EA2" w14:textId="1955F2B6"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07D9683C" w14:textId="7E365E3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3A806EEF" w14:textId="4E3FABBF"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68D27C40" w14:textId="77777777" w:rsidTr="00EE238F">
        <w:trPr>
          <w:trHeight w:val="340"/>
          <w:jc w:val="center"/>
        </w:trPr>
        <w:tc>
          <w:tcPr>
            <w:tcW w:w="716" w:type="dxa"/>
            <w:shd w:val="clear" w:color="auto" w:fill="auto"/>
            <w:tcMar>
              <w:top w:w="0" w:type="dxa"/>
              <w:left w:w="108" w:type="dxa"/>
              <w:bottom w:w="0" w:type="dxa"/>
              <w:right w:w="108" w:type="dxa"/>
            </w:tcMar>
            <w:vAlign w:val="center"/>
          </w:tcPr>
          <w:p w14:paraId="05815DED"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w:t>
            </w:r>
          </w:p>
        </w:tc>
        <w:tc>
          <w:tcPr>
            <w:tcW w:w="2256" w:type="dxa"/>
            <w:shd w:val="clear" w:color="auto" w:fill="auto"/>
            <w:tcMar>
              <w:top w:w="0" w:type="dxa"/>
              <w:left w:w="108" w:type="dxa"/>
              <w:bottom w:w="0" w:type="dxa"/>
              <w:right w:w="108" w:type="dxa"/>
            </w:tcMar>
            <w:vAlign w:val="center"/>
          </w:tcPr>
          <w:p w14:paraId="4EFD0E0F"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债权投资</w:t>
            </w:r>
          </w:p>
        </w:tc>
        <w:tc>
          <w:tcPr>
            <w:tcW w:w="1598" w:type="dxa"/>
            <w:shd w:val="clear" w:color="auto" w:fill="auto"/>
            <w:tcMar>
              <w:top w:w="0" w:type="dxa"/>
              <w:left w:w="108" w:type="dxa"/>
              <w:bottom w:w="0" w:type="dxa"/>
              <w:right w:w="108" w:type="dxa"/>
            </w:tcMar>
            <w:vAlign w:val="center"/>
          </w:tcPr>
          <w:p w14:paraId="5D1141CB" w14:textId="41F79C1E"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7A15FB9C" w14:textId="114CE47F"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38627AF8" w14:textId="06C96B9B"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35145A21" w14:textId="7BAC9AC5"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1DBFBC6A" w14:textId="77777777" w:rsidTr="00EE238F">
        <w:trPr>
          <w:trHeight w:val="340"/>
          <w:jc w:val="center"/>
        </w:trPr>
        <w:tc>
          <w:tcPr>
            <w:tcW w:w="716" w:type="dxa"/>
            <w:shd w:val="clear" w:color="auto" w:fill="auto"/>
            <w:tcMar>
              <w:top w:w="0" w:type="dxa"/>
              <w:left w:w="108" w:type="dxa"/>
              <w:bottom w:w="0" w:type="dxa"/>
              <w:right w:w="108" w:type="dxa"/>
            </w:tcMar>
            <w:vAlign w:val="center"/>
          </w:tcPr>
          <w:p w14:paraId="6DF5A267"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6</w:t>
            </w:r>
          </w:p>
        </w:tc>
        <w:tc>
          <w:tcPr>
            <w:tcW w:w="2256" w:type="dxa"/>
            <w:shd w:val="clear" w:color="auto" w:fill="auto"/>
            <w:tcMar>
              <w:top w:w="0" w:type="dxa"/>
              <w:left w:w="108" w:type="dxa"/>
              <w:bottom w:w="0" w:type="dxa"/>
              <w:right w:w="108" w:type="dxa"/>
            </w:tcMar>
            <w:vAlign w:val="center"/>
          </w:tcPr>
          <w:p w14:paraId="03642CA1"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其他债权投资</w:t>
            </w:r>
          </w:p>
        </w:tc>
        <w:tc>
          <w:tcPr>
            <w:tcW w:w="1598" w:type="dxa"/>
            <w:shd w:val="clear" w:color="auto" w:fill="auto"/>
            <w:tcMar>
              <w:top w:w="0" w:type="dxa"/>
              <w:left w:w="108" w:type="dxa"/>
              <w:bottom w:w="0" w:type="dxa"/>
              <w:right w:w="108" w:type="dxa"/>
            </w:tcMar>
            <w:vAlign w:val="center"/>
          </w:tcPr>
          <w:p w14:paraId="3510BC7C" w14:textId="7FEAE609"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5E1BAA07" w14:textId="4DE68E5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6656A53C" w14:textId="7831C41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250DCEB5" w14:textId="27BA7659"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1014F04E" w14:textId="77777777" w:rsidTr="00EE238F">
        <w:trPr>
          <w:trHeight w:val="340"/>
          <w:jc w:val="center"/>
        </w:trPr>
        <w:tc>
          <w:tcPr>
            <w:tcW w:w="716" w:type="dxa"/>
            <w:shd w:val="clear" w:color="auto" w:fill="auto"/>
            <w:tcMar>
              <w:top w:w="0" w:type="dxa"/>
              <w:left w:w="108" w:type="dxa"/>
              <w:bottom w:w="0" w:type="dxa"/>
              <w:right w:w="108" w:type="dxa"/>
            </w:tcMar>
            <w:vAlign w:val="center"/>
          </w:tcPr>
          <w:p w14:paraId="5FABECFF"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7</w:t>
            </w:r>
          </w:p>
        </w:tc>
        <w:tc>
          <w:tcPr>
            <w:tcW w:w="2256" w:type="dxa"/>
            <w:shd w:val="clear" w:color="auto" w:fill="auto"/>
            <w:tcMar>
              <w:top w:w="0" w:type="dxa"/>
              <w:left w:w="108" w:type="dxa"/>
              <w:bottom w:w="0" w:type="dxa"/>
              <w:right w:w="108" w:type="dxa"/>
            </w:tcMar>
            <w:vAlign w:val="center"/>
          </w:tcPr>
          <w:p w14:paraId="61AFDF35"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长期应收款</w:t>
            </w:r>
          </w:p>
        </w:tc>
        <w:tc>
          <w:tcPr>
            <w:tcW w:w="1598" w:type="dxa"/>
            <w:shd w:val="clear" w:color="auto" w:fill="auto"/>
            <w:tcMar>
              <w:top w:w="0" w:type="dxa"/>
              <w:left w:w="108" w:type="dxa"/>
              <w:bottom w:w="0" w:type="dxa"/>
              <w:right w:w="108" w:type="dxa"/>
            </w:tcMar>
            <w:vAlign w:val="center"/>
          </w:tcPr>
          <w:p w14:paraId="3312D5A9" w14:textId="07EFC5E1"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749B9353" w14:textId="20EF6DE8"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0F6FDCAE" w14:textId="283C9BB2"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5171A6B3" w14:textId="375AF4B2"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4A710575" w14:textId="77777777" w:rsidTr="00EE238F">
        <w:trPr>
          <w:trHeight w:val="340"/>
          <w:jc w:val="center"/>
        </w:trPr>
        <w:tc>
          <w:tcPr>
            <w:tcW w:w="716" w:type="dxa"/>
            <w:shd w:val="clear" w:color="auto" w:fill="auto"/>
            <w:tcMar>
              <w:top w:w="0" w:type="dxa"/>
              <w:left w:w="108" w:type="dxa"/>
              <w:bottom w:w="0" w:type="dxa"/>
              <w:right w:w="108" w:type="dxa"/>
            </w:tcMar>
            <w:vAlign w:val="center"/>
          </w:tcPr>
          <w:p w14:paraId="0E539A8F"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8</w:t>
            </w:r>
          </w:p>
        </w:tc>
        <w:tc>
          <w:tcPr>
            <w:tcW w:w="2256" w:type="dxa"/>
            <w:shd w:val="clear" w:color="auto" w:fill="auto"/>
            <w:tcMar>
              <w:top w:w="0" w:type="dxa"/>
              <w:left w:w="108" w:type="dxa"/>
              <w:bottom w:w="0" w:type="dxa"/>
              <w:right w:w="108" w:type="dxa"/>
            </w:tcMar>
            <w:vAlign w:val="center"/>
          </w:tcPr>
          <w:p w14:paraId="385D1899"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长期股权投资</w:t>
            </w:r>
          </w:p>
        </w:tc>
        <w:tc>
          <w:tcPr>
            <w:tcW w:w="1598" w:type="dxa"/>
            <w:shd w:val="clear" w:color="auto" w:fill="auto"/>
            <w:tcMar>
              <w:top w:w="0" w:type="dxa"/>
              <w:left w:w="108" w:type="dxa"/>
              <w:bottom w:w="0" w:type="dxa"/>
              <w:right w:w="108" w:type="dxa"/>
            </w:tcMar>
            <w:vAlign w:val="center"/>
          </w:tcPr>
          <w:p w14:paraId="66856558" w14:textId="16EBB9A9"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268DD0EA" w14:textId="1C583001"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299462B9" w14:textId="382DC086"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3C9C1226" w14:textId="376A2BA1"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4BCBCEEB" w14:textId="77777777" w:rsidTr="00EE238F">
        <w:trPr>
          <w:trHeight w:val="340"/>
          <w:jc w:val="center"/>
        </w:trPr>
        <w:tc>
          <w:tcPr>
            <w:tcW w:w="716" w:type="dxa"/>
            <w:shd w:val="clear" w:color="auto" w:fill="auto"/>
            <w:tcMar>
              <w:top w:w="0" w:type="dxa"/>
              <w:left w:w="108" w:type="dxa"/>
              <w:bottom w:w="0" w:type="dxa"/>
              <w:right w:w="108" w:type="dxa"/>
            </w:tcMar>
            <w:vAlign w:val="center"/>
          </w:tcPr>
          <w:p w14:paraId="6CEB488C"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9</w:t>
            </w:r>
          </w:p>
        </w:tc>
        <w:tc>
          <w:tcPr>
            <w:tcW w:w="2256" w:type="dxa"/>
            <w:shd w:val="clear" w:color="auto" w:fill="auto"/>
            <w:tcMar>
              <w:top w:w="0" w:type="dxa"/>
              <w:left w:w="108" w:type="dxa"/>
              <w:bottom w:w="0" w:type="dxa"/>
              <w:right w:w="108" w:type="dxa"/>
            </w:tcMar>
            <w:vAlign w:val="center"/>
          </w:tcPr>
          <w:p w14:paraId="194B040B"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其他权益工具投资</w:t>
            </w:r>
          </w:p>
        </w:tc>
        <w:tc>
          <w:tcPr>
            <w:tcW w:w="1598" w:type="dxa"/>
            <w:shd w:val="clear" w:color="auto" w:fill="auto"/>
            <w:tcMar>
              <w:top w:w="0" w:type="dxa"/>
              <w:left w:w="108" w:type="dxa"/>
              <w:bottom w:w="0" w:type="dxa"/>
              <w:right w:w="108" w:type="dxa"/>
            </w:tcMar>
            <w:vAlign w:val="center"/>
          </w:tcPr>
          <w:p w14:paraId="6DE6E419" w14:textId="77777777"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color w:val="000000"/>
                <w:sz w:val="21"/>
                <w:szCs w:val="21"/>
                <w:lang w:bidi="ar"/>
              </w:rPr>
              <w:t>17,931.14</w:t>
            </w:r>
          </w:p>
        </w:tc>
        <w:tc>
          <w:tcPr>
            <w:tcW w:w="1598" w:type="dxa"/>
            <w:shd w:val="clear" w:color="auto" w:fill="auto"/>
            <w:tcMar>
              <w:top w:w="0" w:type="dxa"/>
              <w:left w:w="108" w:type="dxa"/>
              <w:bottom w:w="0" w:type="dxa"/>
              <w:right w:w="108" w:type="dxa"/>
            </w:tcMar>
            <w:vAlign w:val="center"/>
          </w:tcPr>
          <w:p w14:paraId="4DC98592" w14:textId="7777777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17,931.14</w:t>
            </w:r>
          </w:p>
        </w:tc>
        <w:tc>
          <w:tcPr>
            <w:tcW w:w="1598" w:type="dxa"/>
            <w:shd w:val="clear" w:color="auto" w:fill="auto"/>
            <w:tcMar>
              <w:top w:w="0" w:type="dxa"/>
              <w:left w:w="108" w:type="dxa"/>
              <w:bottom w:w="0" w:type="dxa"/>
              <w:right w:w="108" w:type="dxa"/>
            </w:tcMar>
            <w:vAlign w:val="center"/>
          </w:tcPr>
          <w:p w14:paraId="471620DC" w14:textId="41BD2FDA"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36F76433" w14:textId="1419FF65"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37C25EA8" w14:textId="77777777" w:rsidTr="00EE238F">
        <w:trPr>
          <w:trHeight w:val="340"/>
          <w:jc w:val="center"/>
        </w:trPr>
        <w:tc>
          <w:tcPr>
            <w:tcW w:w="716" w:type="dxa"/>
            <w:shd w:val="clear" w:color="auto" w:fill="auto"/>
            <w:tcMar>
              <w:top w:w="0" w:type="dxa"/>
              <w:left w:w="108" w:type="dxa"/>
              <w:bottom w:w="0" w:type="dxa"/>
              <w:right w:w="108" w:type="dxa"/>
            </w:tcMar>
            <w:vAlign w:val="center"/>
          </w:tcPr>
          <w:p w14:paraId="64CDF7C4"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10</w:t>
            </w:r>
          </w:p>
        </w:tc>
        <w:tc>
          <w:tcPr>
            <w:tcW w:w="2256" w:type="dxa"/>
            <w:shd w:val="clear" w:color="auto" w:fill="auto"/>
            <w:tcMar>
              <w:top w:w="0" w:type="dxa"/>
              <w:left w:w="108" w:type="dxa"/>
              <w:bottom w:w="0" w:type="dxa"/>
              <w:right w:w="108" w:type="dxa"/>
            </w:tcMar>
            <w:vAlign w:val="center"/>
          </w:tcPr>
          <w:p w14:paraId="4CA717B5"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其他非流动金融资产</w:t>
            </w:r>
          </w:p>
        </w:tc>
        <w:tc>
          <w:tcPr>
            <w:tcW w:w="1598" w:type="dxa"/>
            <w:shd w:val="clear" w:color="auto" w:fill="auto"/>
            <w:tcMar>
              <w:top w:w="0" w:type="dxa"/>
              <w:left w:w="108" w:type="dxa"/>
              <w:bottom w:w="0" w:type="dxa"/>
              <w:right w:w="108" w:type="dxa"/>
            </w:tcMar>
            <w:vAlign w:val="center"/>
          </w:tcPr>
          <w:p w14:paraId="41455E1C" w14:textId="205AAF2F"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1D382C78" w14:textId="068919C3"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0F0EB856" w14:textId="1A909A4B"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42C26C52" w14:textId="5C975725"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5ED052EF" w14:textId="77777777" w:rsidTr="00EE238F">
        <w:trPr>
          <w:trHeight w:val="340"/>
          <w:jc w:val="center"/>
        </w:trPr>
        <w:tc>
          <w:tcPr>
            <w:tcW w:w="716" w:type="dxa"/>
            <w:shd w:val="clear" w:color="auto" w:fill="auto"/>
            <w:tcMar>
              <w:top w:w="0" w:type="dxa"/>
              <w:left w:w="108" w:type="dxa"/>
              <w:bottom w:w="0" w:type="dxa"/>
              <w:right w:w="108" w:type="dxa"/>
            </w:tcMar>
            <w:vAlign w:val="center"/>
          </w:tcPr>
          <w:p w14:paraId="36B616D8"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11</w:t>
            </w:r>
          </w:p>
        </w:tc>
        <w:tc>
          <w:tcPr>
            <w:tcW w:w="2256" w:type="dxa"/>
            <w:shd w:val="clear" w:color="auto" w:fill="auto"/>
            <w:tcMar>
              <w:top w:w="0" w:type="dxa"/>
              <w:left w:w="108" w:type="dxa"/>
              <w:bottom w:w="0" w:type="dxa"/>
              <w:right w:w="108" w:type="dxa"/>
            </w:tcMar>
            <w:vAlign w:val="center"/>
          </w:tcPr>
          <w:p w14:paraId="02971EB6"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投资性房地产</w:t>
            </w:r>
          </w:p>
        </w:tc>
        <w:tc>
          <w:tcPr>
            <w:tcW w:w="1598" w:type="dxa"/>
            <w:shd w:val="clear" w:color="auto" w:fill="auto"/>
            <w:tcMar>
              <w:top w:w="0" w:type="dxa"/>
              <w:left w:w="108" w:type="dxa"/>
              <w:bottom w:w="0" w:type="dxa"/>
              <w:right w:w="108" w:type="dxa"/>
            </w:tcMar>
            <w:vAlign w:val="center"/>
          </w:tcPr>
          <w:p w14:paraId="7A81CF1B" w14:textId="4CBCEAD0"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60F33858" w14:textId="341EBEF5"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6DC56A59" w14:textId="04877B71"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498DC521" w14:textId="34F71004"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3334D" w:rsidRPr="00B4515A" w14:paraId="1E38E451" w14:textId="77777777" w:rsidTr="00031627">
        <w:trPr>
          <w:trHeight w:val="340"/>
          <w:jc w:val="center"/>
        </w:trPr>
        <w:tc>
          <w:tcPr>
            <w:tcW w:w="716" w:type="dxa"/>
            <w:shd w:val="clear" w:color="auto" w:fill="auto"/>
            <w:tcMar>
              <w:top w:w="0" w:type="dxa"/>
              <w:left w:w="108" w:type="dxa"/>
              <w:bottom w:w="0" w:type="dxa"/>
              <w:right w:w="108" w:type="dxa"/>
            </w:tcMar>
            <w:vAlign w:val="center"/>
          </w:tcPr>
          <w:p w14:paraId="790A93C1" w14:textId="77777777" w:rsidR="0043334D" w:rsidRPr="00B4515A" w:rsidRDefault="0043334D"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12</w:t>
            </w:r>
          </w:p>
        </w:tc>
        <w:tc>
          <w:tcPr>
            <w:tcW w:w="2256" w:type="dxa"/>
            <w:shd w:val="clear" w:color="auto" w:fill="auto"/>
            <w:tcMar>
              <w:top w:w="0" w:type="dxa"/>
              <w:left w:w="108" w:type="dxa"/>
              <w:bottom w:w="0" w:type="dxa"/>
              <w:right w:w="108" w:type="dxa"/>
            </w:tcMar>
            <w:vAlign w:val="center"/>
          </w:tcPr>
          <w:p w14:paraId="25D359C3" w14:textId="77777777" w:rsidR="0043334D" w:rsidRPr="00B4515A" w:rsidRDefault="0043334D"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固定资产</w:t>
            </w:r>
          </w:p>
        </w:tc>
        <w:tc>
          <w:tcPr>
            <w:tcW w:w="1598" w:type="dxa"/>
            <w:shd w:val="clear" w:color="auto" w:fill="auto"/>
            <w:tcMar>
              <w:top w:w="0" w:type="dxa"/>
              <w:left w:w="108" w:type="dxa"/>
              <w:bottom w:w="0" w:type="dxa"/>
              <w:right w:w="108" w:type="dxa"/>
            </w:tcMar>
            <w:vAlign w:val="center"/>
          </w:tcPr>
          <w:p w14:paraId="3827510D" w14:textId="77777777" w:rsidR="0043334D" w:rsidRPr="00B4515A" w:rsidRDefault="0043334D"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color w:val="000000"/>
                <w:sz w:val="21"/>
                <w:szCs w:val="21"/>
                <w:lang w:bidi="ar"/>
              </w:rPr>
              <w:t>2,921.82</w:t>
            </w:r>
          </w:p>
        </w:tc>
        <w:tc>
          <w:tcPr>
            <w:tcW w:w="1598" w:type="dxa"/>
            <w:shd w:val="clear" w:color="auto" w:fill="auto"/>
            <w:tcMar>
              <w:top w:w="0" w:type="dxa"/>
              <w:left w:w="108" w:type="dxa"/>
              <w:bottom w:w="0" w:type="dxa"/>
              <w:right w:w="108" w:type="dxa"/>
            </w:tcMar>
            <w:vAlign w:val="center"/>
          </w:tcPr>
          <w:p w14:paraId="575D36F0"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3,158.98</w:t>
            </w:r>
          </w:p>
        </w:tc>
        <w:tc>
          <w:tcPr>
            <w:tcW w:w="1598" w:type="dxa"/>
            <w:shd w:val="clear" w:color="auto" w:fill="auto"/>
            <w:tcMar>
              <w:top w:w="0" w:type="dxa"/>
              <w:left w:w="108" w:type="dxa"/>
              <w:bottom w:w="0" w:type="dxa"/>
              <w:right w:w="108" w:type="dxa"/>
            </w:tcMar>
            <w:vAlign w:val="center"/>
          </w:tcPr>
          <w:p w14:paraId="2E117F83"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237.16</w:t>
            </w:r>
          </w:p>
        </w:tc>
        <w:tc>
          <w:tcPr>
            <w:tcW w:w="1598" w:type="dxa"/>
            <w:shd w:val="clear" w:color="auto" w:fill="auto"/>
            <w:tcMar>
              <w:top w:w="0" w:type="dxa"/>
              <w:left w:w="108" w:type="dxa"/>
              <w:bottom w:w="0" w:type="dxa"/>
              <w:right w:w="108" w:type="dxa"/>
            </w:tcMar>
            <w:vAlign w:val="center"/>
          </w:tcPr>
          <w:p w14:paraId="705594C3"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8.12</w:t>
            </w:r>
          </w:p>
        </w:tc>
      </w:tr>
      <w:tr w:rsidR="00486317" w:rsidRPr="00B4515A" w14:paraId="6F5F7C0A" w14:textId="77777777" w:rsidTr="00EE238F">
        <w:trPr>
          <w:trHeight w:val="340"/>
          <w:jc w:val="center"/>
        </w:trPr>
        <w:tc>
          <w:tcPr>
            <w:tcW w:w="716" w:type="dxa"/>
            <w:shd w:val="clear" w:color="auto" w:fill="auto"/>
            <w:tcMar>
              <w:top w:w="0" w:type="dxa"/>
              <w:left w:w="108" w:type="dxa"/>
              <w:bottom w:w="0" w:type="dxa"/>
              <w:right w:w="108" w:type="dxa"/>
            </w:tcMar>
            <w:vAlign w:val="center"/>
          </w:tcPr>
          <w:p w14:paraId="079BCB6D"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13</w:t>
            </w:r>
          </w:p>
        </w:tc>
        <w:tc>
          <w:tcPr>
            <w:tcW w:w="2256" w:type="dxa"/>
            <w:shd w:val="clear" w:color="auto" w:fill="auto"/>
            <w:tcMar>
              <w:top w:w="0" w:type="dxa"/>
              <w:left w:w="108" w:type="dxa"/>
              <w:bottom w:w="0" w:type="dxa"/>
              <w:right w:w="108" w:type="dxa"/>
            </w:tcMar>
            <w:vAlign w:val="center"/>
          </w:tcPr>
          <w:p w14:paraId="7ED7B975"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在建工程</w:t>
            </w:r>
          </w:p>
        </w:tc>
        <w:tc>
          <w:tcPr>
            <w:tcW w:w="1598" w:type="dxa"/>
            <w:shd w:val="clear" w:color="auto" w:fill="auto"/>
            <w:tcMar>
              <w:top w:w="0" w:type="dxa"/>
              <w:left w:w="108" w:type="dxa"/>
              <w:bottom w:w="0" w:type="dxa"/>
              <w:right w:w="108" w:type="dxa"/>
            </w:tcMar>
            <w:vAlign w:val="center"/>
          </w:tcPr>
          <w:p w14:paraId="34F2CBCB" w14:textId="6A4D2BC2"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61810230" w14:textId="3B286998"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2D3DC44E" w14:textId="2087CEA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35A0A826" w14:textId="07608D3E"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26F3B112" w14:textId="77777777" w:rsidTr="00EE238F">
        <w:trPr>
          <w:trHeight w:val="340"/>
          <w:jc w:val="center"/>
        </w:trPr>
        <w:tc>
          <w:tcPr>
            <w:tcW w:w="716" w:type="dxa"/>
            <w:shd w:val="clear" w:color="auto" w:fill="auto"/>
            <w:tcMar>
              <w:top w:w="0" w:type="dxa"/>
              <w:left w:w="108" w:type="dxa"/>
              <w:bottom w:w="0" w:type="dxa"/>
              <w:right w:w="108" w:type="dxa"/>
            </w:tcMar>
            <w:vAlign w:val="center"/>
          </w:tcPr>
          <w:p w14:paraId="3D267B5A"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14</w:t>
            </w:r>
          </w:p>
        </w:tc>
        <w:tc>
          <w:tcPr>
            <w:tcW w:w="2256" w:type="dxa"/>
            <w:shd w:val="clear" w:color="auto" w:fill="auto"/>
            <w:tcMar>
              <w:top w:w="0" w:type="dxa"/>
              <w:left w:w="108" w:type="dxa"/>
              <w:bottom w:w="0" w:type="dxa"/>
              <w:right w:w="108" w:type="dxa"/>
            </w:tcMar>
            <w:vAlign w:val="center"/>
          </w:tcPr>
          <w:p w14:paraId="0856FEF2"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生产性生物资产</w:t>
            </w:r>
          </w:p>
        </w:tc>
        <w:tc>
          <w:tcPr>
            <w:tcW w:w="1598" w:type="dxa"/>
            <w:shd w:val="clear" w:color="auto" w:fill="auto"/>
            <w:tcMar>
              <w:top w:w="0" w:type="dxa"/>
              <w:left w:w="108" w:type="dxa"/>
              <w:bottom w:w="0" w:type="dxa"/>
              <w:right w:w="108" w:type="dxa"/>
            </w:tcMar>
            <w:vAlign w:val="center"/>
          </w:tcPr>
          <w:p w14:paraId="0C7F35D3" w14:textId="3C9F2FD0"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0740A411" w14:textId="1867C4DD"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55E2CD6E" w14:textId="150F940B"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78EFEA12" w14:textId="1E173EDE"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331FB8CF" w14:textId="77777777" w:rsidTr="00EE238F">
        <w:trPr>
          <w:trHeight w:val="340"/>
          <w:jc w:val="center"/>
        </w:trPr>
        <w:tc>
          <w:tcPr>
            <w:tcW w:w="716" w:type="dxa"/>
            <w:shd w:val="clear" w:color="auto" w:fill="auto"/>
            <w:tcMar>
              <w:top w:w="0" w:type="dxa"/>
              <w:left w:w="108" w:type="dxa"/>
              <w:bottom w:w="0" w:type="dxa"/>
              <w:right w:w="108" w:type="dxa"/>
            </w:tcMar>
            <w:vAlign w:val="center"/>
          </w:tcPr>
          <w:p w14:paraId="6DDCD52E"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15</w:t>
            </w:r>
          </w:p>
        </w:tc>
        <w:tc>
          <w:tcPr>
            <w:tcW w:w="2256" w:type="dxa"/>
            <w:shd w:val="clear" w:color="auto" w:fill="auto"/>
            <w:tcMar>
              <w:top w:w="0" w:type="dxa"/>
              <w:left w:w="108" w:type="dxa"/>
              <w:bottom w:w="0" w:type="dxa"/>
              <w:right w:w="108" w:type="dxa"/>
            </w:tcMar>
            <w:vAlign w:val="center"/>
          </w:tcPr>
          <w:p w14:paraId="4BEB3727"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油气资产</w:t>
            </w:r>
          </w:p>
        </w:tc>
        <w:tc>
          <w:tcPr>
            <w:tcW w:w="1598" w:type="dxa"/>
            <w:shd w:val="clear" w:color="auto" w:fill="auto"/>
            <w:tcMar>
              <w:top w:w="0" w:type="dxa"/>
              <w:left w:w="108" w:type="dxa"/>
              <w:bottom w:w="0" w:type="dxa"/>
              <w:right w:w="108" w:type="dxa"/>
            </w:tcMar>
            <w:vAlign w:val="center"/>
          </w:tcPr>
          <w:p w14:paraId="19AFAD4F" w14:textId="3413A73E"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039876E3" w14:textId="5FF80130"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0B158503" w14:textId="11AF2664"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auto" w:fill="auto"/>
            <w:tcMar>
              <w:top w:w="0" w:type="dxa"/>
              <w:left w:w="108" w:type="dxa"/>
              <w:bottom w:w="0" w:type="dxa"/>
              <w:right w:w="108" w:type="dxa"/>
            </w:tcMar>
            <w:vAlign w:val="center"/>
          </w:tcPr>
          <w:p w14:paraId="539C6D73" w14:textId="7CD39F1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3334D" w:rsidRPr="00B4515A" w14:paraId="4FC01FE8" w14:textId="77777777" w:rsidTr="00031627">
        <w:trPr>
          <w:trHeight w:val="340"/>
          <w:jc w:val="center"/>
        </w:trPr>
        <w:tc>
          <w:tcPr>
            <w:tcW w:w="716" w:type="dxa"/>
            <w:shd w:val="clear" w:color="auto" w:fill="auto"/>
            <w:tcMar>
              <w:top w:w="0" w:type="dxa"/>
              <w:left w:w="108" w:type="dxa"/>
              <w:bottom w:w="0" w:type="dxa"/>
              <w:right w:w="108" w:type="dxa"/>
            </w:tcMar>
            <w:vAlign w:val="center"/>
          </w:tcPr>
          <w:p w14:paraId="6301A37B" w14:textId="77777777" w:rsidR="0043334D" w:rsidRPr="00B4515A" w:rsidRDefault="0043334D"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16</w:t>
            </w:r>
          </w:p>
        </w:tc>
        <w:tc>
          <w:tcPr>
            <w:tcW w:w="2256" w:type="dxa"/>
            <w:shd w:val="clear" w:color="auto" w:fill="auto"/>
            <w:tcMar>
              <w:top w:w="0" w:type="dxa"/>
              <w:left w:w="108" w:type="dxa"/>
              <w:bottom w:w="0" w:type="dxa"/>
              <w:right w:w="108" w:type="dxa"/>
            </w:tcMar>
            <w:vAlign w:val="center"/>
          </w:tcPr>
          <w:p w14:paraId="50E98E0F" w14:textId="77777777" w:rsidR="0043334D" w:rsidRPr="00B4515A" w:rsidRDefault="0043334D"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使用权资产</w:t>
            </w:r>
          </w:p>
        </w:tc>
        <w:tc>
          <w:tcPr>
            <w:tcW w:w="1598" w:type="dxa"/>
            <w:shd w:val="clear" w:color="auto" w:fill="auto"/>
            <w:tcMar>
              <w:top w:w="0" w:type="dxa"/>
              <w:left w:w="108" w:type="dxa"/>
              <w:bottom w:w="0" w:type="dxa"/>
              <w:right w:w="108" w:type="dxa"/>
            </w:tcMar>
            <w:vAlign w:val="center"/>
          </w:tcPr>
          <w:p w14:paraId="2AFBB044" w14:textId="77777777" w:rsidR="0043334D" w:rsidRPr="00B4515A" w:rsidRDefault="0043334D"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color w:val="000000"/>
                <w:sz w:val="21"/>
                <w:szCs w:val="21"/>
                <w:lang w:bidi="ar"/>
              </w:rPr>
              <w:t>4,181.32</w:t>
            </w:r>
          </w:p>
        </w:tc>
        <w:tc>
          <w:tcPr>
            <w:tcW w:w="1598" w:type="dxa"/>
            <w:shd w:val="clear" w:color="auto" w:fill="auto"/>
            <w:tcMar>
              <w:top w:w="0" w:type="dxa"/>
              <w:left w:w="108" w:type="dxa"/>
              <w:bottom w:w="0" w:type="dxa"/>
              <w:right w:w="108" w:type="dxa"/>
            </w:tcMar>
            <w:vAlign w:val="center"/>
          </w:tcPr>
          <w:p w14:paraId="14A5D9E0"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4,181.32</w:t>
            </w:r>
          </w:p>
        </w:tc>
        <w:tc>
          <w:tcPr>
            <w:tcW w:w="1598" w:type="dxa"/>
            <w:shd w:val="clear" w:color="auto" w:fill="auto"/>
            <w:tcMar>
              <w:top w:w="0" w:type="dxa"/>
              <w:left w:w="108" w:type="dxa"/>
              <w:bottom w:w="0" w:type="dxa"/>
              <w:right w:w="108" w:type="dxa"/>
            </w:tcMar>
            <w:vAlign w:val="center"/>
          </w:tcPr>
          <w:p w14:paraId="39A4308E"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0.00</w:t>
            </w:r>
          </w:p>
        </w:tc>
        <w:tc>
          <w:tcPr>
            <w:tcW w:w="1598" w:type="dxa"/>
            <w:shd w:val="clear" w:color="auto" w:fill="auto"/>
            <w:tcMar>
              <w:top w:w="0" w:type="dxa"/>
              <w:left w:w="108" w:type="dxa"/>
              <w:bottom w:w="0" w:type="dxa"/>
              <w:right w:w="108" w:type="dxa"/>
            </w:tcMar>
            <w:vAlign w:val="center"/>
          </w:tcPr>
          <w:p w14:paraId="6AE78AAE"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0.00</w:t>
            </w:r>
          </w:p>
        </w:tc>
      </w:tr>
      <w:tr w:rsidR="0043334D" w:rsidRPr="00B4515A" w14:paraId="3DA0480B" w14:textId="77777777" w:rsidTr="00031627">
        <w:trPr>
          <w:trHeight w:val="340"/>
          <w:jc w:val="center"/>
        </w:trPr>
        <w:tc>
          <w:tcPr>
            <w:tcW w:w="716" w:type="dxa"/>
            <w:shd w:val="clear" w:color="auto" w:fill="auto"/>
            <w:tcMar>
              <w:top w:w="0" w:type="dxa"/>
              <w:left w:w="108" w:type="dxa"/>
              <w:bottom w:w="0" w:type="dxa"/>
              <w:right w:w="108" w:type="dxa"/>
            </w:tcMar>
            <w:vAlign w:val="center"/>
          </w:tcPr>
          <w:p w14:paraId="1894FA4D" w14:textId="77777777" w:rsidR="0043334D" w:rsidRPr="00B4515A" w:rsidRDefault="0043334D"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17</w:t>
            </w:r>
          </w:p>
        </w:tc>
        <w:tc>
          <w:tcPr>
            <w:tcW w:w="2256" w:type="dxa"/>
            <w:shd w:val="clear" w:color="auto" w:fill="auto"/>
            <w:tcMar>
              <w:top w:w="0" w:type="dxa"/>
              <w:left w:w="108" w:type="dxa"/>
              <w:bottom w:w="0" w:type="dxa"/>
              <w:right w:w="108" w:type="dxa"/>
            </w:tcMar>
            <w:vAlign w:val="center"/>
          </w:tcPr>
          <w:p w14:paraId="2653087B" w14:textId="77777777" w:rsidR="0043334D" w:rsidRPr="00B4515A" w:rsidRDefault="0043334D"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无形资产</w:t>
            </w:r>
          </w:p>
        </w:tc>
        <w:tc>
          <w:tcPr>
            <w:tcW w:w="1598" w:type="dxa"/>
            <w:shd w:val="clear" w:color="auto" w:fill="auto"/>
            <w:tcMar>
              <w:top w:w="0" w:type="dxa"/>
              <w:left w:w="108" w:type="dxa"/>
              <w:bottom w:w="0" w:type="dxa"/>
              <w:right w:w="108" w:type="dxa"/>
            </w:tcMar>
            <w:vAlign w:val="center"/>
          </w:tcPr>
          <w:p w14:paraId="5A792C7A" w14:textId="77777777" w:rsidR="0043334D" w:rsidRPr="00B4515A" w:rsidRDefault="0043334D"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color w:val="000000"/>
                <w:sz w:val="21"/>
                <w:szCs w:val="21"/>
                <w:lang w:bidi="ar"/>
              </w:rPr>
              <w:t>5,316.96</w:t>
            </w:r>
          </w:p>
        </w:tc>
        <w:tc>
          <w:tcPr>
            <w:tcW w:w="1598" w:type="dxa"/>
            <w:shd w:val="clear" w:color="auto" w:fill="auto"/>
            <w:tcMar>
              <w:top w:w="0" w:type="dxa"/>
              <w:left w:w="108" w:type="dxa"/>
              <w:bottom w:w="0" w:type="dxa"/>
              <w:right w:w="108" w:type="dxa"/>
            </w:tcMar>
            <w:vAlign w:val="center"/>
          </w:tcPr>
          <w:p w14:paraId="75AC1D55"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43,722.29</w:t>
            </w:r>
          </w:p>
        </w:tc>
        <w:tc>
          <w:tcPr>
            <w:tcW w:w="1598" w:type="dxa"/>
            <w:shd w:val="clear" w:color="auto" w:fill="auto"/>
            <w:tcMar>
              <w:top w:w="0" w:type="dxa"/>
              <w:left w:w="108" w:type="dxa"/>
              <w:bottom w:w="0" w:type="dxa"/>
              <w:right w:w="108" w:type="dxa"/>
            </w:tcMar>
            <w:vAlign w:val="center"/>
          </w:tcPr>
          <w:p w14:paraId="66EE3DFD"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38,405.33</w:t>
            </w:r>
          </w:p>
        </w:tc>
        <w:tc>
          <w:tcPr>
            <w:tcW w:w="1598" w:type="dxa"/>
            <w:shd w:val="clear" w:color="auto" w:fill="auto"/>
            <w:tcMar>
              <w:top w:w="0" w:type="dxa"/>
              <w:left w:w="108" w:type="dxa"/>
              <w:bottom w:w="0" w:type="dxa"/>
              <w:right w:w="108" w:type="dxa"/>
            </w:tcMar>
            <w:vAlign w:val="center"/>
          </w:tcPr>
          <w:p w14:paraId="5CCCF357"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722.32</w:t>
            </w:r>
          </w:p>
        </w:tc>
      </w:tr>
      <w:tr w:rsidR="0043334D" w:rsidRPr="00B4515A" w14:paraId="215CA763" w14:textId="77777777" w:rsidTr="00031627">
        <w:trPr>
          <w:trHeight w:val="340"/>
          <w:jc w:val="center"/>
        </w:trPr>
        <w:tc>
          <w:tcPr>
            <w:tcW w:w="716" w:type="dxa"/>
            <w:shd w:val="clear" w:color="000000" w:fill="FFFFFF"/>
            <w:tcMar>
              <w:top w:w="0" w:type="dxa"/>
              <w:left w:w="108" w:type="dxa"/>
              <w:bottom w:w="0" w:type="dxa"/>
              <w:right w:w="108" w:type="dxa"/>
            </w:tcMar>
            <w:vAlign w:val="center"/>
          </w:tcPr>
          <w:p w14:paraId="48F89601" w14:textId="77777777" w:rsidR="0043334D" w:rsidRPr="00B4515A" w:rsidRDefault="0043334D"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18</w:t>
            </w:r>
          </w:p>
        </w:tc>
        <w:tc>
          <w:tcPr>
            <w:tcW w:w="2256" w:type="dxa"/>
            <w:shd w:val="clear" w:color="000000" w:fill="FFFFFF"/>
            <w:tcMar>
              <w:top w:w="0" w:type="dxa"/>
              <w:left w:w="108" w:type="dxa"/>
              <w:bottom w:w="0" w:type="dxa"/>
              <w:right w:w="108" w:type="dxa"/>
            </w:tcMar>
            <w:vAlign w:val="center"/>
          </w:tcPr>
          <w:p w14:paraId="039F6D33" w14:textId="77777777" w:rsidR="0043334D" w:rsidRPr="00B4515A" w:rsidRDefault="0043334D"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开发支出</w:t>
            </w:r>
          </w:p>
        </w:tc>
        <w:tc>
          <w:tcPr>
            <w:tcW w:w="1598" w:type="dxa"/>
            <w:shd w:val="clear" w:color="000000" w:fill="FFFFFF"/>
            <w:tcMar>
              <w:top w:w="0" w:type="dxa"/>
              <w:left w:w="108" w:type="dxa"/>
              <w:bottom w:w="0" w:type="dxa"/>
              <w:right w:w="108" w:type="dxa"/>
            </w:tcMar>
            <w:vAlign w:val="center"/>
          </w:tcPr>
          <w:p w14:paraId="162CDFEC" w14:textId="77777777" w:rsidR="0043334D" w:rsidRPr="00B4515A" w:rsidRDefault="0043334D"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color w:val="000000"/>
                <w:sz w:val="21"/>
                <w:szCs w:val="21"/>
                <w:lang w:bidi="ar"/>
              </w:rPr>
              <w:t>1,944.83</w:t>
            </w:r>
          </w:p>
        </w:tc>
        <w:tc>
          <w:tcPr>
            <w:tcW w:w="1598" w:type="dxa"/>
            <w:shd w:val="clear" w:color="000000" w:fill="FFFFFF"/>
            <w:tcMar>
              <w:top w:w="0" w:type="dxa"/>
              <w:left w:w="108" w:type="dxa"/>
              <w:bottom w:w="0" w:type="dxa"/>
              <w:right w:w="108" w:type="dxa"/>
            </w:tcMar>
            <w:vAlign w:val="center"/>
          </w:tcPr>
          <w:p w14:paraId="52972285" w14:textId="3EE6340A" w:rsidR="0043334D"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0B143497"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-1,944.83</w:t>
            </w:r>
          </w:p>
        </w:tc>
        <w:tc>
          <w:tcPr>
            <w:tcW w:w="1598" w:type="dxa"/>
            <w:shd w:val="clear" w:color="000000" w:fill="FFFFFF"/>
            <w:tcMar>
              <w:top w:w="0" w:type="dxa"/>
              <w:left w:w="108" w:type="dxa"/>
              <w:bottom w:w="0" w:type="dxa"/>
              <w:right w:w="108" w:type="dxa"/>
            </w:tcMar>
            <w:vAlign w:val="center"/>
          </w:tcPr>
          <w:p w14:paraId="21324A64"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-100.00</w:t>
            </w:r>
          </w:p>
        </w:tc>
      </w:tr>
      <w:tr w:rsidR="00486317" w:rsidRPr="00B4515A" w14:paraId="04CA2207" w14:textId="77777777" w:rsidTr="00EE238F">
        <w:trPr>
          <w:trHeight w:val="340"/>
          <w:jc w:val="center"/>
        </w:trPr>
        <w:tc>
          <w:tcPr>
            <w:tcW w:w="716" w:type="dxa"/>
            <w:shd w:val="clear" w:color="000000" w:fill="FFFFFF"/>
            <w:tcMar>
              <w:top w:w="0" w:type="dxa"/>
              <w:left w:w="108" w:type="dxa"/>
              <w:bottom w:w="0" w:type="dxa"/>
              <w:right w:w="108" w:type="dxa"/>
            </w:tcMar>
            <w:vAlign w:val="center"/>
          </w:tcPr>
          <w:p w14:paraId="7A8E3842"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19</w:t>
            </w:r>
          </w:p>
        </w:tc>
        <w:tc>
          <w:tcPr>
            <w:tcW w:w="2256" w:type="dxa"/>
            <w:shd w:val="clear" w:color="000000" w:fill="FFFFFF"/>
            <w:tcMar>
              <w:top w:w="0" w:type="dxa"/>
              <w:left w:w="108" w:type="dxa"/>
              <w:bottom w:w="0" w:type="dxa"/>
              <w:right w:w="108" w:type="dxa"/>
            </w:tcMar>
            <w:vAlign w:val="center"/>
          </w:tcPr>
          <w:p w14:paraId="3D113E21"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商誉</w:t>
            </w:r>
          </w:p>
        </w:tc>
        <w:tc>
          <w:tcPr>
            <w:tcW w:w="1598" w:type="dxa"/>
            <w:shd w:val="clear" w:color="000000" w:fill="FFFFFF"/>
            <w:tcMar>
              <w:top w:w="0" w:type="dxa"/>
              <w:left w:w="108" w:type="dxa"/>
              <w:bottom w:w="0" w:type="dxa"/>
              <w:right w:w="108" w:type="dxa"/>
            </w:tcMar>
            <w:vAlign w:val="center"/>
          </w:tcPr>
          <w:p w14:paraId="59893F18" w14:textId="2B45FBF8"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01466406" w14:textId="36E02DC3"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0477E7AA" w14:textId="5148756B"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06FF220E" w14:textId="63CD7312"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3334D" w:rsidRPr="00B4515A" w14:paraId="16265A4F" w14:textId="77777777" w:rsidTr="00031627">
        <w:trPr>
          <w:trHeight w:val="340"/>
          <w:jc w:val="center"/>
        </w:trPr>
        <w:tc>
          <w:tcPr>
            <w:tcW w:w="716" w:type="dxa"/>
            <w:shd w:val="clear" w:color="000000" w:fill="FFFFFF"/>
            <w:tcMar>
              <w:top w:w="0" w:type="dxa"/>
              <w:left w:w="108" w:type="dxa"/>
              <w:bottom w:w="0" w:type="dxa"/>
              <w:right w:w="108" w:type="dxa"/>
            </w:tcMar>
            <w:vAlign w:val="center"/>
          </w:tcPr>
          <w:p w14:paraId="59881DD2" w14:textId="77777777" w:rsidR="0043334D" w:rsidRPr="00B4515A" w:rsidRDefault="0043334D"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lastRenderedPageBreak/>
              <w:t>20</w:t>
            </w:r>
          </w:p>
        </w:tc>
        <w:tc>
          <w:tcPr>
            <w:tcW w:w="2256" w:type="dxa"/>
            <w:shd w:val="clear" w:color="000000" w:fill="FFFFFF"/>
            <w:tcMar>
              <w:top w:w="0" w:type="dxa"/>
              <w:left w:w="108" w:type="dxa"/>
              <w:bottom w:w="0" w:type="dxa"/>
              <w:right w:w="108" w:type="dxa"/>
            </w:tcMar>
            <w:vAlign w:val="center"/>
          </w:tcPr>
          <w:p w14:paraId="55ECE4ED" w14:textId="77777777" w:rsidR="0043334D" w:rsidRPr="00B4515A" w:rsidRDefault="0043334D"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长期待摊费用</w:t>
            </w:r>
          </w:p>
        </w:tc>
        <w:tc>
          <w:tcPr>
            <w:tcW w:w="1598" w:type="dxa"/>
            <w:shd w:val="clear" w:color="000000" w:fill="FFFFFF"/>
            <w:tcMar>
              <w:top w:w="0" w:type="dxa"/>
              <w:left w:w="108" w:type="dxa"/>
              <w:bottom w:w="0" w:type="dxa"/>
              <w:right w:w="108" w:type="dxa"/>
            </w:tcMar>
            <w:vAlign w:val="center"/>
          </w:tcPr>
          <w:p w14:paraId="7C1729C4" w14:textId="77777777" w:rsidR="0043334D" w:rsidRPr="00B4515A" w:rsidRDefault="0043334D"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color w:val="000000"/>
                <w:sz w:val="21"/>
                <w:szCs w:val="21"/>
                <w:lang w:bidi="ar"/>
              </w:rPr>
              <w:t>68.93</w:t>
            </w:r>
          </w:p>
        </w:tc>
        <w:tc>
          <w:tcPr>
            <w:tcW w:w="1598" w:type="dxa"/>
            <w:shd w:val="clear" w:color="000000" w:fill="FFFFFF"/>
            <w:tcMar>
              <w:top w:w="0" w:type="dxa"/>
              <w:left w:w="108" w:type="dxa"/>
              <w:bottom w:w="0" w:type="dxa"/>
              <w:right w:w="108" w:type="dxa"/>
            </w:tcMar>
            <w:vAlign w:val="center"/>
          </w:tcPr>
          <w:p w14:paraId="1FAA43F5"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68.93</w:t>
            </w:r>
          </w:p>
        </w:tc>
        <w:tc>
          <w:tcPr>
            <w:tcW w:w="1598" w:type="dxa"/>
            <w:shd w:val="clear" w:color="000000" w:fill="FFFFFF"/>
            <w:tcMar>
              <w:top w:w="0" w:type="dxa"/>
              <w:left w:w="108" w:type="dxa"/>
              <w:bottom w:w="0" w:type="dxa"/>
              <w:right w:w="108" w:type="dxa"/>
            </w:tcMar>
            <w:vAlign w:val="center"/>
          </w:tcPr>
          <w:p w14:paraId="61FDDC4D"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0.00</w:t>
            </w:r>
          </w:p>
        </w:tc>
        <w:tc>
          <w:tcPr>
            <w:tcW w:w="1598" w:type="dxa"/>
            <w:shd w:val="clear" w:color="000000" w:fill="FFFFFF"/>
            <w:tcMar>
              <w:top w:w="0" w:type="dxa"/>
              <w:left w:w="108" w:type="dxa"/>
              <w:bottom w:w="0" w:type="dxa"/>
              <w:right w:w="108" w:type="dxa"/>
            </w:tcMar>
            <w:vAlign w:val="center"/>
          </w:tcPr>
          <w:p w14:paraId="62F96F0E"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0.00</w:t>
            </w:r>
          </w:p>
        </w:tc>
      </w:tr>
      <w:tr w:rsidR="00486317" w:rsidRPr="00B4515A" w14:paraId="151631D3" w14:textId="77777777" w:rsidTr="00EE238F">
        <w:trPr>
          <w:trHeight w:val="340"/>
          <w:jc w:val="center"/>
        </w:trPr>
        <w:tc>
          <w:tcPr>
            <w:tcW w:w="716" w:type="dxa"/>
            <w:shd w:val="clear" w:color="000000" w:fill="FFFFFF"/>
            <w:tcMar>
              <w:top w:w="0" w:type="dxa"/>
              <w:left w:w="108" w:type="dxa"/>
              <w:bottom w:w="0" w:type="dxa"/>
              <w:right w:w="108" w:type="dxa"/>
            </w:tcMar>
            <w:vAlign w:val="center"/>
          </w:tcPr>
          <w:p w14:paraId="58634397"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21</w:t>
            </w:r>
          </w:p>
        </w:tc>
        <w:tc>
          <w:tcPr>
            <w:tcW w:w="2256" w:type="dxa"/>
            <w:shd w:val="clear" w:color="000000" w:fill="FFFFFF"/>
            <w:tcMar>
              <w:top w:w="0" w:type="dxa"/>
              <w:left w:w="108" w:type="dxa"/>
              <w:bottom w:w="0" w:type="dxa"/>
              <w:right w:w="108" w:type="dxa"/>
            </w:tcMar>
            <w:vAlign w:val="center"/>
          </w:tcPr>
          <w:p w14:paraId="7324EF37"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递延所得税资产</w:t>
            </w:r>
          </w:p>
        </w:tc>
        <w:tc>
          <w:tcPr>
            <w:tcW w:w="1598" w:type="dxa"/>
            <w:shd w:val="clear" w:color="000000" w:fill="FFFFFF"/>
            <w:tcMar>
              <w:top w:w="0" w:type="dxa"/>
              <w:left w:w="108" w:type="dxa"/>
              <w:bottom w:w="0" w:type="dxa"/>
              <w:right w:w="108" w:type="dxa"/>
            </w:tcMar>
            <w:vAlign w:val="center"/>
          </w:tcPr>
          <w:p w14:paraId="6AF9F861" w14:textId="69D11B24"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12BA948E" w14:textId="15236DA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1AE1D40B" w14:textId="2824BC2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64907645" w14:textId="1DB991FB"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21E1C49B" w14:textId="77777777" w:rsidTr="00EE238F">
        <w:trPr>
          <w:trHeight w:val="340"/>
          <w:jc w:val="center"/>
        </w:trPr>
        <w:tc>
          <w:tcPr>
            <w:tcW w:w="716" w:type="dxa"/>
            <w:shd w:val="clear" w:color="000000" w:fill="FFFFFF"/>
            <w:tcMar>
              <w:top w:w="0" w:type="dxa"/>
              <w:left w:w="108" w:type="dxa"/>
              <w:bottom w:w="0" w:type="dxa"/>
              <w:right w:w="108" w:type="dxa"/>
            </w:tcMar>
            <w:vAlign w:val="center"/>
          </w:tcPr>
          <w:p w14:paraId="0F822FB1"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22</w:t>
            </w:r>
          </w:p>
        </w:tc>
        <w:tc>
          <w:tcPr>
            <w:tcW w:w="2256" w:type="dxa"/>
            <w:shd w:val="clear" w:color="000000" w:fill="FFFFFF"/>
            <w:tcMar>
              <w:top w:w="0" w:type="dxa"/>
              <w:left w:w="108" w:type="dxa"/>
              <w:bottom w:w="0" w:type="dxa"/>
              <w:right w:w="108" w:type="dxa"/>
            </w:tcMar>
            <w:vAlign w:val="center"/>
          </w:tcPr>
          <w:p w14:paraId="106C4A15" w14:textId="77777777" w:rsidR="00486317" w:rsidRPr="00B4515A" w:rsidRDefault="00486317" w:rsidP="00EE238F">
            <w:pPr>
              <w:adjustRightInd w:val="0"/>
              <w:snapToGrid w:val="0"/>
              <w:ind w:firstLine="210"/>
              <w:rPr>
                <w:rFonts w:ascii="Times New Roman" w:hAnsi="Times New Roman" w:cs="Times New Roman"/>
                <w:sz w:val="21"/>
                <w:szCs w:val="21"/>
              </w:rPr>
            </w:pPr>
            <w:r w:rsidRPr="00B4515A">
              <w:rPr>
                <w:rFonts w:ascii="Times New Roman" w:hAnsi="Times New Roman" w:cs="Times New Roman" w:hint="eastAsia"/>
                <w:sz w:val="21"/>
                <w:szCs w:val="21"/>
              </w:rPr>
              <w:t>其他非流动资产</w:t>
            </w:r>
          </w:p>
        </w:tc>
        <w:tc>
          <w:tcPr>
            <w:tcW w:w="1598" w:type="dxa"/>
            <w:shd w:val="clear" w:color="000000" w:fill="FFFFFF"/>
            <w:tcMar>
              <w:top w:w="0" w:type="dxa"/>
              <w:left w:w="108" w:type="dxa"/>
              <w:bottom w:w="0" w:type="dxa"/>
              <w:right w:w="108" w:type="dxa"/>
            </w:tcMar>
            <w:vAlign w:val="center"/>
          </w:tcPr>
          <w:p w14:paraId="2562C49F" w14:textId="459F8E50" w:rsidR="00486317" w:rsidRPr="00B4515A" w:rsidRDefault="00486317"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591DDC0E" w14:textId="0B326A4D"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698FEC2F" w14:textId="2452F624"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5164C4E1" w14:textId="732207EC"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3334D" w:rsidRPr="00B4515A" w14:paraId="7DAD6F01" w14:textId="77777777" w:rsidTr="00031627">
        <w:trPr>
          <w:trHeight w:val="340"/>
          <w:jc w:val="center"/>
        </w:trPr>
        <w:tc>
          <w:tcPr>
            <w:tcW w:w="716" w:type="dxa"/>
            <w:shd w:val="clear" w:color="000000" w:fill="FFFFFF"/>
            <w:tcMar>
              <w:top w:w="0" w:type="dxa"/>
              <w:left w:w="108" w:type="dxa"/>
              <w:bottom w:w="0" w:type="dxa"/>
              <w:right w:w="108" w:type="dxa"/>
            </w:tcMar>
            <w:vAlign w:val="center"/>
          </w:tcPr>
          <w:p w14:paraId="6D40321E" w14:textId="77777777" w:rsidR="0043334D" w:rsidRPr="00B4515A" w:rsidRDefault="0043334D"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23</w:t>
            </w:r>
          </w:p>
        </w:tc>
        <w:tc>
          <w:tcPr>
            <w:tcW w:w="2256" w:type="dxa"/>
            <w:shd w:val="clear" w:color="000000" w:fill="FFFFFF"/>
            <w:tcMar>
              <w:top w:w="0" w:type="dxa"/>
              <w:left w:w="108" w:type="dxa"/>
              <w:bottom w:w="0" w:type="dxa"/>
              <w:right w:w="108" w:type="dxa"/>
            </w:tcMar>
            <w:vAlign w:val="center"/>
          </w:tcPr>
          <w:p w14:paraId="52CF917F" w14:textId="77777777" w:rsidR="0043334D" w:rsidRPr="00B4515A" w:rsidRDefault="0043334D"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资产总计</w:t>
            </w:r>
          </w:p>
        </w:tc>
        <w:tc>
          <w:tcPr>
            <w:tcW w:w="1598" w:type="dxa"/>
            <w:shd w:val="clear" w:color="000000" w:fill="FFFFFF"/>
            <w:tcMar>
              <w:top w:w="0" w:type="dxa"/>
              <w:left w:w="108" w:type="dxa"/>
              <w:bottom w:w="0" w:type="dxa"/>
              <w:right w:w="108" w:type="dxa"/>
            </w:tcMar>
            <w:vAlign w:val="center"/>
          </w:tcPr>
          <w:p w14:paraId="000DA4DC" w14:textId="77777777" w:rsidR="0043334D" w:rsidRPr="00B4515A" w:rsidRDefault="0043334D"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color w:val="000000"/>
                <w:sz w:val="21"/>
                <w:szCs w:val="21"/>
                <w:lang w:bidi="ar"/>
              </w:rPr>
              <w:t>150,577.87</w:t>
            </w:r>
          </w:p>
        </w:tc>
        <w:tc>
          <w:tcPr>
            <w:tcW w:w="1598" w:type="dxa"/>
            <w:shd w:val="clear" w:color="000000" w:fill="FFFFFF"/>
            <w:tcMar>
              <w:top w:w="0" w:type="dxa"/>
              <w:left w:w="108" w:type="dxa"/>
              <w:bottom w:w="0" w:type="dxa"/>
              <w:right w:w="108" w:type="dxa"/>
            </w:tcMar>
            <w:vAlign w:val="center"/>
          </w:tcPr>
          <w:p w14:paraId="267A38BB"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193,119.00</w:t>
            </w:r>
          </w:p>
        </w:tc>
        <w:tc>
          <w:tcPr>
            <w:tcW w:w="1598" w:type="dxa"/>
            <w:shd w:val="clear" w:color="000000" w:fill="FFFFFF"/>
            <w:tcMar>
              <w:top w:w="0" w:type="dxa"/>
              <w:left w:w="108" w:type="dxa"/>
              <w:bottom w:w="0" w:type="dxa"/>
              <w:right w:w="108" w:type="dxa"/>
            </w:tcMar>
            <w:vAlign w:val="center"/>
          </w:tcPr>
          <w:p w14:paraId="39DF293D"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42,541.12</w:t>
            </w:r>
          </w:p>
        </w:tc>
        <w:tc>
          <w:tcPr>
            <w:tcW w:w="1598" w:type="dxa"/>
            <w:shd w:val="clear" w:color="000000" w:fill="FFFFFF"/>
            <w:tcMar>
              <w:top w:w="0" w:type="dxa"/>
              <w:left w:w="108" w:type="dxa"/>
              <w:bottom w:w="0" w:type="dxa"/>
              <w:right w:w="108" w:type="dxa"/>
            </w:tcMar>
            <w:vAlign w:val="center"/>
          </w:tcPr>
          <w:p w14:paraId="413DDF54"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28.25</w:t>
            </w:r>
          </w:p>
        </w:tc>
      </w:tr>
      <w:tr w:rsidR="00486317" w:rsidRPr="00B4515A" w14:paraId="6A9ECA8E" w14:textId="77777777" w:rsidTr="00EE238F">
        <w:trPr>
          <w:trHeight w:val="340"/>
          <w:jc w:val="center"/>
        </w:trPr>
        <w:tc>
          <w:tcPr>
            <w:tcW w:w="716" w:type="dxa"/>
            <w:shd w:val="clear" w:color="000000" w:fill="FFFFFF"/>
            <w:tcMar>
              <w:top w:w="0" w:type="dxa"/>
              <w:left w:w="108" w:type="dxa"/>
              <w:bottom w:w="0" w:type="dxa"/>
              <w:right w:w="108" w:type="dxa"/>
            </w:tcMar>
            <w:vAlign w:val="center"/>
          </w:tcPr>
          <w:p w14:paraId="0188833C"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24</w:t>
            </w:r>
          </w:p>
        </w:tc>
        <w:tc>
          <w:tcPr>
            <w:tcW w:w="2256" w:type="dxa"/>
            <w:shd w:val="clear" w:color="000000" w:fill="FFFFFF"/>
            <w:tcMar>
              <w:top w:w="0" w:type="dxa"/>
              <w:left w:w="108" w:type="dxa"/>
              <w:bottom w:w="0" w:type="dxa"/>
              <w:right w:w="108" w:type="dxa"/>
            </w:tcMar>
            <w:vAlign w:val="center"/>
          </w:tcPr>
          <w:p w14:paraId="6D1F50AA" w14:textId="77777777" w:rsidR="00486317" w:rsidRPr="00B4515A" w:rsidRDefault="00486317"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流动负债</w:t>
            </w:r>
          </w:p>
        </w:tc>
        <w:tc>
          <w:tcPr>
            <w:tcW w:w="1598" w:type="dxa"/>
            <w:shd w:val="clear" w:color="auto" w:fill="auto"/>
            <w:tcMar>
              <w:top w:w="0" w:type="dxa"/>
              <w:left w:w="108" w:type="dxa"/>
              <w:bottom w:w="0" w:type="dxa"/>
              <w:right w:w="108" w:type="dxa"/>
            </w:tcMar>
            <w:vAlign w:val="center"/>
          </w:tcPr>
          <w:p w14:paraId="6566689E" w14:textId="7777777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68,305.45</w:t>
            </w:r>
          </w:p>
        </w:tc>
        <w:tc>
          <w:tcPr>
            <w:tcW w:w="1598" w:type="dxa"/>
            <w:shd w:val="clear" w:color="000000" w:fill="FFFFFF"/>
            <w:tcMar>
              <w:top w:w="0" w:type="dxa"/>
              <w:left w:w="108" w:type="dxa"/>
              <w:bottom w:w="0" w:type="dxa"/>
              <w:right w:w="108" w:type="dxa"/>
            </w:tcMar>
            <w:vAlign w:val="center"/>
          </w:tcPr>
          <w:p w14:paraId="24C85921" w14:textId="7777777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68,305.45</w:t>
            </w:r>
          </w:p>
        </w:tc>
        <w:tc>
          <w:tcPr>
            <w:tcW w:w="1598" w:type="dxa"/>
            <w:shd w:val="clear" w:color="000000" w:fill="FFFFFF"/>
            <w:tcMar>
              <w:top w:w="0" w:type="dxa"/>
              <w:left w:w="108" w:type="dxa"/>
              <w:bottom w:w="0" w:type="dxa"/>
              <w:right w:w="108" w:type="dxa"/>
            </w:tcMar>
            <w:vAlign w:val="center"/>
          </w:tcPr>
          <w:p w14:paraId="351017C3" w14:textId="606F4172"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456C6656" w14:textId="659F74C6"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73B496AA" w14:textId="77777777" w:rsidTr="00EE238F">
        <w:trPr>
          <w:trHeight w:val="340"/>
          <w:jc w:val="center"/>
        </w:trPr>
        <w:tc>
          <w:tcPr>
            <w:tcW w:w="716" w:type="dxa"/>
            <w:shd w:val="clear" w:color="000000" w:fill="FFFFFF"/>
            <w:tcMar>
              <w:top w:w="0" w:type="dxa"/>
              <w:left w:w="108" w:type="dxa"/>
              <w:bottom w:w="0" w:type="dxa"/>
              <w:right w:w="108" w:type="dxa"/>
            </w:tcMar>
            <w:vAlign w:val="center"/>
          </w:tcPr>
          <w:p w14:paraId="68CD9734"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25</w:t>
            </w:r>
          </w:p>
        </w:tc>
        <w:tc>
          <w:tcPr>
            <w:tcW w:w="2256" w:type="dxa"/>
            <w:shd w:val="clear" w:color="000000" w:fill="FFFFFF"/>
            <w:tcMar>
              <w:top w:w="0" w:type="dxa"/>
              <w:left w:w="108" w:type="dxa"/>
              <w:bottom w:w="0" w:type="dxa"/>
              <w:right w:w="108" w:type="dxa"/>
            </w:tcMar>
            <w:vAlign w:val="center"/>
          </w:tcPr>
          <w:p w14:paraId="322E9C21" w14:textId="77777777" w:rsidR="00486317" w:rsidRPr="00B4515A" w:rsidRDefault="00486317"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非流动负债</w:t>
            </w:r>
          </w:p>
        </w:tc>
        <w:tc>
          <w:tcPr>
            <w:tcW w:w="1598" w:type="dxa"/>
            <w:shd w:val="clear" w:color="000000" w:fill="FFFFFF"/>
            <w:tcMar>
              <w:top w:w="0" w:type="dxa"/>
              <w:left w:w="108" w:type="dxa"/>
              <w:bottom w:w="0" w:type="dxa"/>
              <w:right w:w="108" w:type="dxa"/>
            </w:tcMar>
            <w:vAlign w:val="center"/>
          </w:tcPr>
          <w:p w14:paraId="41286997" w14:textId="7777777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4,783.68</w:t>
            </w:r>
          </w:p>
        </w:tc>
        <w:tc>
          <w:tcPr>
            <w:tcW w:w="1598" w:type="dxa"/>
            <w:shd w:val="clear" w:color="000000" w:fill="FFFFFF"/>
            <w:tcMar>
              <w:top w:w="0" w:type="dxa"/>
              <w:left w:w="108" w:type="dxa"/>
              <w:bottom w:w="0" w:type="dxa"/>
              <w:right w:w="108" w:type="dxa"/>
            </w:tcMar>
            <w:vAlign w:val="center"/>
          </w:tcPr>
          <w:p w14:paraId="4667AA42" w14:textId="7777777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4,783.68</w:t>
            </w:r>
          </w:p>
        </w:tc>
        <w:tc>
          <w:tcPr>
            <w:tcW w:w="1598" w:type="dxa"/>
            <w:shd w:val="clear" w:color="000000" w:fill="FFFFFF"/>
            <w:tcMar>
              <w:top w:w="0" w:type="dxa"/>
              <w:left w:w="108" w:type="dxa"/>
              <w:bottom w:w="0" w:type="dxa"/>
              <w:right w:w="108" w:type="dxa"/>
            </w:tcMar>
            <w:vAlign w:val="center"/>
          </w:tcPr>
          <w:p w14:paraId="11FB8F1B" w14:textId="3FF28958"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7AADAC36" w14:textId="5D77BF74"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86317" w:rsidRPr="00B4515A" w14:paraId="0ACDA125" w14:textId="77777777" w:rsidTr="00EE238F">
        <w:trPr>
          <w:trHeight w:val="340"/>
          <w:jc w:val="center"/>
        </w:trPr>
        <w:tc>
          <w:tcPr>
            <w:tcW w:w="716" w:type="dxa"/>
            <w:shd w:val="clear" w:color="000000" w:fill="FFFFFF"/>
            <w:tcMar>
              <w:top w:w="0" w:type="dxa"/>
              <w:left w:w="108" w:type="dxa"/>
              <w:bottom w:w="0" w:type="dxa"/>
              <w:right w:w="108" w:type="dxa"/>
            </w:tcMar>
            <w:vAlign w:val="center"/>
          </w:tcPr>
          <w:p w14:paraId="7204EC1E" w14:textId="77777777" w:rsidR="00486317" w:rsidRPr="00B4515A" w:rsidRDefault="00486317"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26</w:t>
            </w:r>
          </w:p>
        </w:tc>
        <w:tc>
          <w:tcPr>
            <w:tcW w:w="2256" w:type="dxa"/>
            <w:shd w:val="clear" w:color="000000" w:fill="FFFFFF"/>
            <w:tcMar>
              <w:top w:w="0" w:type="dxa"/>
              <w:left w:w="108" w:type="dxa"/>
              <w:bottom w:w="0" w:type="dxa"/>
              <w:right w:w="108" w:type="dxa"/>
            </w:tcMar>
            <w:vAlign w:val="center"/>
          </w:tcPr>
          <w:p w14:paraId="41E33E8C" w14:textId="77777777" w:rsidR="00486317" w:rsidRPr="00B4515A" w:rsidRDefault="00486317"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负债总计</w:t>
            </w:r>
          </w:p>
        </w:tc>
        <w:tc>
          <w:tcPr>
            <w:tcW w:w="1598" w:type="dxa"/>
            <w:shd w:val="clear" w:color="000000" w:fill="FFFFFF"/>
            <w:tcMar>
              <w:top w:w="0" w:type="dxa"/>
              <w:left w:w="108" w:type="dxa"/>
              <w:bottom w:w="0" w:type="dxa"/>
              <w:right w:w="108" w:type="dxa"/>
            </w:tcMar>
            <w:vAlign w:val="center"/>
          </w:tcPr>
          <w:p w14:paraId="45E3603E" w14:textId="7777777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73,089.13</w:t>
            </w:r>
          </w:p>
        </w:tc>
        <w:tc>
          <w:tcPr>
            <w:tcW w:w="1598" w:type="dxa"/>
            <w:shd w:val="clear" w:color="000000" w:fill="FFFFFF"/>
            <w:tcMar>
              <w:top w:w="0" w:type="dxa"/>
              <w:left w:w="108" w:type="dxa"/>
              <w:bottom w:w="0" w:type="dxa"/>
              <w:right w:w="108" w:type="dxa"/>
            </w:tcMar>
            <w:vAlign w:val="center"/>
          </w:tcPr>
          <w:p w14:paraId="3EF00D21" w14:textId="77777777"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73,089.13</w:t>
            </w:r>
          </w:p>
        </w:tc>
        <w:tc>
          <w:tcPr>
            <w:tcW w:w="1598" w:type="dxa"/>
            <w:shd w:val="clear" w:color="000000" w:fill="FFFFFF"/>
            <w:tcMar>
              <w:top w:w="0" w:type="dxa"/>
              <w:left w:w="108" w:type="dxa"/>
              <w:bottom w:w="0" w:type="dxa"/>
              <w:right w:w="108" w:type="dxa"/>
            </w:tcMar>
            <w:vAlign w:val="center"/>
          </w:tcPr>
          <w:p w14:paraId="1A348654" w14:textId="4EB473E9"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c>
          <w:tcPr>
            <w:tcW w:w="1598" w:type="dxa"/>
            <w:shd w:val="clear" w:color="000000" w:fill="FFFFFF"/>
            <w:tcMar>
              <w:top w:w="0" w:type="dxa"/>
              <w:left w:w="108" w:type="dxa"/>
              <w:bottom w:w="0" w:type="dxa"/>
              <w:right w:w="108" w:type="dxa"/>
            </w:tcMar>
            <w:vAlign w:val="center"/>
          </w:tcPr>
          <w:p w14:paraId="6C120819" w14:textId="40D7B3C0" w:rsidR="00486317" w:rsidRPr="00B4515A" w:rsidRDefault="00486317"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hint="eastAsia"/>
                <w:color w:val="000000"/>
                <w:sz w:val="21"/>
                <w:szCs w:val="21"/>
                <w:lang w:bidi="ar"/>
              </w:rPr>
              <w:t>-</w:t>
            </w:r>
          </w:p>
        </w:tc>
      </w:tr>
      <w:tr w:rsidR="0043334D" w:rsidRPr="00B4515A" w14:paraId="7900A9CC" w14:textId="77777777" w:rsidTr="00031627">
        <w:trPr>
          <w:trHeight w:val="340"/>
          <w:jc w:val="center"/>
        </w:trPr>
        <w:tc>
          <w:tcPr>
            <w:tcW w:w="716" w:type="dxa"/>
            <w:shd w:val="clear" w:color="000000" w:fill="FFFFFF"/>
            <w:tcMar>
              <w:top w:w="0" w:type="dxa"/>
              <w:left w:w="108" w:type="dxa"/>
              <w:bottom w:w="0" w:type="dxa"/>
              <w:right w:w="108" w:type="dxa"/>
            </w:tcMar>
            <w:vAlign w:val="center"/>
          </w:tcPr>
          <w:p w14:paraId="0DABB7E0" w14:textId="77777777" w:rsidR="0043334D" w:rsidRPr="00B4515A" w:rsidRDefault="0043334D"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27</w:t>
            </w:r>
          </w:p>
        </w:tc>
        <w:tc>
          <w:tcPr>
            <w:tcW w:w="2256" w:type="dxa"/>
            <w:shd w:val="clear" w:color="000000" w:fill="FFFFFF"/>
            <w:tcMar>
              <w:top w:w="0" w:type="dxa"/>
              <w:left w:w="108" w:type="dxa"/>
              <w:bottom w:w="0" w:type="dxa"/>
              <w:right w:w="108" w:type="dxa"/>
            </w:tcMar>
            <w:vAlign w:val="center"/>
          </w:tcPr>
          <w:p w14:paraId="0FB9BF08" w14:textId="77777777" w:rsidR="0043334D" w:rsidRPr="00B4515A" w:rsidRDefault="0043334D" w:rsidP="005860B4">
            <w:pPr>
              <w:adjustRightInd w:val="0"/>
              <w:snapToGrid w:val="0"/>
              <w:rPr>
                <w:rFonts w:ascii="Times New Roman" w:hAnsi="Times New Roman" w:cs="Times New Roman"/>
                <w:sz w:val="21"/>
                <w:szCs w:val="21"/>
              </w:rPr>
            </w:pPr>
            <w:r w:rsidRPr="00B4515A">
              <w:rPr>
                <w:rFonts w:ascii="Times New Roman" w:hAnsi="Times New Roman" w:cs="Times New Roman" w:hint="eastAsia"/>
                <w:sz w:val="21"/>
                <w:szCs w:val="21"/>
              </w:rPr>
              <w:t>净资产（所有者权益）</w:t>
            </w:r>
          </w:p>
        </w:tc>
        <w:tc>
          <w:tcPr>
            <w:tcW w:w="1598" w:type="dxa"/>
            <w:shd w:val="clear" w:color="000000" w:fill="FFFFFF"/>
            <w:tcMar>
              <w:top w:w="0" w:type="dxa"/>
              <w:left w:w="108" w:type="dxa"/>
              <w:bottom w:w="0" w:type="dxa"/>
              <w:right w:w="108" w:type="dxa"/>
            </w:tcMar>
            <w:vAlign w:val="center"/>
          </w:tcPr>
          <w:p w14:paraId="63E2414A"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77,488.74</w:t>
            </w:r>
          </w:p>
        </w:tc>
        <w:tc>
          <w:tcPr>
            <w:tcW w:w="1598" w:type="dxa"/>
            <w:shd w:val="clear" w:color="000000" w:fill="FFFFFF"/>
            <w:tcMar>
              <w:top w:w="0" w:type="dxa"/>
              <w:left w:w="108" w:type="dxa"/>
              <w:bottom w:w="0" w:type="dxa"/>
              <w:right w:w="108" w:type="dxa"/>
            </w:tcMar>
            <w:vAlign w:val="center"/>
          </w:tcPr>
          <w:p w14:paraId="79EF943D"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120,029.87</w:t>
            </w:r>
          </w:p>
        </w:tc>
        <w:tc>
          <w:tcPr>
            <w:tcW w:w="1598" w:type="dxa"/>
            <w:shd w:val="clear" w:color="000000" w:fill="FFFFFF"/>
            <w:tcMar>
              <w:top w:w="0" w:type="dxa"/>
              <w:left w:w="108" w:type="dxa"/>
              <w:bottom w:w="0" w:type="dxa"/>
              <w:right w:w="108" w:type="dxa"/>
            </w:tcMar>
            <w:vAlign w:val="center"/>
          </w:tcPr>
          <w:p w14:paraId="7716D8A0"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42,541.13</w:t>
            </w:r>
          </w:p>
        </w:tc>
        <w:tc>
          <w:tcPr>
            <w:tcW w:w="1598" w:type="dxa"/>
            <w:shd w:val="clear" w:color="000000" w:fill="FFFFFF"/>
            <w:tcMar>
              <w:top w:w="0" w:type="dxa"/>
              <w:left w:w="108" w:type="dxa"/>
              <w:bottom w:w="0" w:type="dxa"/>
              <w:right w:w="108" w:type="dxa"/>
            </w:tcMar>
            <w:vAlign w:val="center"/>
          </w:tcPr>
          <w:p w14:paraId="428164B1" w14:textId="77777777" w:rsidR="0043334D" w:rsidRPr="00B4515A" w:rsidRDefault="0043334D" w:rsidP="005860B4">
            <w:pPr>
              <w:adjustRightInd w:val="0"/>
              <w:snapToGrid w:val="0"/>
              <w:jc w:val="right"/>
              <w:textAlignment w:val="center"/>
              <w:rPr>
                <w:rFonts w:ascii="Times New Roman" w:hAnsi="Times New Roman" w:cs="Times New Roman"/>
                <w:color w:val="000000"/>
                <w:sz w:val="21"/>
                <w:szCs w:val="21"/>
                <w:lang w:bidi="ar"/>
              </w:rPr>
            </w:pPr>
            <w:r w:rsidRPr="00B4515A">
              <w:rPr>
                <w:rFonts w:ascii="Times New Roman" w:hAnsi="Times New Roman" w:cs="Times New Roman"/>
                <w:color w:val="000000"/>
                <w:sz w:val="21"/>
                <w:szCs w:val="21"/>
                <w:lang w:bidi="ar"/>
              </w:rPr>
              <w:t>54.90</w:t>
            </w:r>
          </w:p>
        </w:tc>
      </w:tr>
    </w:tbl>
    <w:p w14:paraId="75B8AC60" w14:textId="2248BDC8" w:rsidR="006416B0" w:rsidRPr="00B4515A" w:rsidRDefault="005E58C1" w:rsidP="005860B4">
      <w:pPr>
        <w:pStyle w:val="003"/>
        <w:spacing w:before="120"/>
        <w:ind w:firstLine="482"/>
      </w:pPr>
      <w:r w:rsidRPr="00B4515A">
        <w:rPr>
          <w:rFonts w:hint="eastAsia"/>
        </w:rPr>
        <w:t>（四）收益法评估情况</w:t>
      </w:r>
    </w:p>
    <w:p w14:paraId="48B9CFB8" w14:textId="77777777" w:rsidR="006416B0" w:rsidRPr="00B4515A" w:rsidRDefault="005E58C1" w:rsidP="005860B4">
      <w:pPr>
        <w:pStyle w:val="004"/>
        <w:spacing w:before="120" w:after="120"/>
        <w:ind w:firstLine="482"/>
      </w:pPr>
      <w:r w:rsidRPr="00B4515A">
        <w:t>1</w:t>
      </w:r>
      <w:r w:rsidRPr="00B4515A">
        <w:rPr>
          <w:rFonts w:hint="eastAsia"/>
        </w:rPr>
        <w:t>、评估思路</w:t>
      </w:r>
    </w:p>
    <w:p w14:paraId="1B628E9A" w14:textId="77777777" w:rsidR="006416B0" w:rsidRPr="00B4515A" w:rsidRDefault="005E58C1" w:rsidP="005860B4">
      <w:pPr>
        <w:pStyle w:val="005"/>
        <w:spacing w:before="120" w:after="120"/>
        <w:ind w:firstLine="480"/>
      </w:pPr>
      <w:r w:rsidRPr="00B4515A">
        <w:t>（</w:t>
      </w:r>
      <w:r w:rsidRPr="00B4515A">
        <w:t>1</w:t>
      </w:r>
      <w:r w:rsidRPr="00B4515A">
        <w:t>）对纳入报表范围的资产和主营业务，按照最近几年的历史经营状况的变化趋势和业务类型估算预期收益（净现金流量），并折现得到经营性资产的价值。</w:t>
      </w:r>
    </w:p>
    <w:p w14:paraId="2F056BBC" w14:textId="77777777" w:rsidR="006416B0" w:rsidRPr="00B4515A" w:rsidRDefault="005E58C1" w:rsidP="005860B4">
      <w:pPr>
        <w:pStyle w:val="005"/>
        <w:spacing w:before="120" w:after="120"/>
        <w:ind w:firstLine="480"/>
      </w:pPr>
      <w:r w:rsidRPr="00B4515A">
        <w:t>（</w:t>
      </w:r>
      <w:r w:rsidRPr="00B4515A">
        <w:t>2</w:t>
      </w:r>
      <w:r w:rsidRPr="00B4515A">
        <w:t>）将纳入报表范围，但在预期收益（净现金流量）估算中未予考虑的诸如基准日存在的溢余资产，以及定义为基准日存在的非经营性资产（负债），单独估算其价值。</w:t>
      </w:r>
    </w:p>
    <w:p w14:paraId="7E02D134" w14:textId="52B89DFE" w:rsidR="006416B0" w:rsidRPr="00B4515A" w:rsidRDefault="005E58C1" w:rsidP="005860B4">
      <w:pPr>
        <w:pStyle w:val="005"/>
        <w:spacing w:before="120" w:after="120"/>
        <w:ind w:firstLine="480"/>
      </w:pPr>
      <w:r w:rsidRPr="00B4515A">
        <w:t>（</w:t>
      </w:r>
      <w:r w:rsidRPr="00B4515A">
        <w:t>3</w:t>
      </w:r>
      <w:r w:rsidRPr="00B4515A">
        <w:t>）由上述</w:t>
      </w:r>
      <w:r w:rsidR="00801170" w:rsidRPr="00B4515A">
        <w:rPr>
          <w:rFonts w:hint="eastAsia"/>
        </w:rPr>
        <w:t>两</w:t>
      </w:r>
      <w:r w:rsidRPr="00B4515A">
        <w:t>项资产价值的加和，得出评估对象的企业价值，再扣减付息债务价值以后，得到评估对象的</w:t>
      </w:r>
      <w:r w:rsidRPr="00B4515A">
        <w:rPr>
          <w:rFonts w:hint="eastAsia"/>
        </w:rPr>
        <w:t>权益资本（股东全部权益）价值。</w:t>
      </w:r>
    </w:p>
    <w:p w14:paraId="4D20A3C9" w14:textId="77777777" w:rsidR="006416B0" w:rsidRPr="00B4515A" w:rsidRDefault="005E58C1" w:rsidP="005860B4">
      <w:pPr>
        <w:pStyle w:val="004"/>
        <w:spacing w:before="120" w:after="120"/>
        <w:ind w:firstLine="482"/>
      </w:pPr>
      <w:r w:rsidRPr="00B4515A">
        <w:t>2</w:t>
      </w:r>
      <w:r w:rsidRPr="00B4515A">
        <w:rPr>
          <w:rFonts w:hint="eastAsia"/>
        </w:rPr>
        <w:t>、评估模型</w:t>
      </w:r>
    </w:p>
    <w:p w14:paraId="7838456F" w14:textId="77777777" w:rsidR="006416B0" w:rsidRPr="00B4515A" w:rsidRDefault="005E58C1" w:rsidP="005860B4">
      <w:pPr>
        <w:pStyle w:val="005"/>
        <w:spacing w:before="120" w:after="120"/>
        <w:ind w:firstLine="480"/>
      </w:pPr>
      <w:r w:rsidRPr="00B4515A">
        <w:rPr>
          <w:rFonts w:hint="eastAsia"/>
        </w:rPr>
        <w:t>本次评估选择企业自由现金流模型。</w:t>
      </w:r>
    </w:p>
    <w:p w14:paraId="21CCB75A" w14:textId="77777777" w:rsidR="006416B0" w:rsidRPr="00B4515A" w:rsidRDefault="005E58C1" w:rsidP="005860B4">
      <w:pPr>
        <w:pStyle w:val="005"/>
        <w:spacing w:before="120" w:after="120"/>
        <w:ind w:firstLine="480"/>
      </w:pPr>
      <w:r w:rsidRPr="00B4515A">
        <w:rPr>
          <w:rFonts w:hint="eastAsia"/>
        </w:rPr>
        <w:t>本次评估的基本模型为：</w:t>
      </w:r>
    </w:p>
    <w:p w14:paraId="45A2AD45" w14:textId="77777777" w:rsidR="006416B0" w:rsidRPr="00B4515A" w:rsidRDefault="005E58C1" w:rsidP="005860B4">
      <w:pPr>
        <w:pStyle w:val="005"/>
        <w:spacing w:before="120" w:after="120"/>
        <w:ind w:firstLine="480"/>
      </w:pPr>
      <w:r w:rsidRPr="00B4515A">
        <w:rPr>
          <w:noProof/>
        </w:rPr>
        <w:drawing>
          <wp:inline distT="0" distB="0" distL="0" distR="0" wp14:anchorId="1123EC90" wp14:editId="2A371686">
            <wp:extent cx="688975" cy="17208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88975" cy="172085"/>
                    </a:xfrm>
                    <a:prstGeom prst="rect">
                      <a:avLst/>
                    </a:prstGeom>
                    <a:noFill/>
                    <a:ln>
                      <a:noFill/>
                    </a:ln>
                  </pic:spPr>
                </pic:pic>
              </a:graphicData>
            </a:graphic>
          </wp:inline>
        </w:drawing>
      </w:r>
    </w:p>
    <w:p w14:paraId="0CDE050A" w14:textId="77777777" w:rsidR="006416B0" w:rsidRPr="00B4515A" w:rsidRDefault="005E58C1" w:rsidP="005860B4">
      <w:pPr>
        <w:pStyle w:val="005"/>
        <w:spacing w:before="120" w:after="120"/>
        <w:ind w:firstLine="480"/>
      </w:pPr>
      <w:r w:rsidRPr="00B4515A">
        <w:rPr>
          <w:rFonts w:hint="eastAsia"/>
        </w:rPr>
        <w:t>式中：</w:t>
      </w:r>
    </w:p>
    <w:p w14:paraId="3C74035C" w14:textId="77777777" w:rsidR="006416B0" w:rsidRPr="00B4515A" w:rsidRDefault="005E58C1" w:rsidP="005860B4">
      <w:pPr>
        <w:pStyle w:val="005"/>
        <w:spacing w:before="120" w:after="120"/>
        <w:ind w:firstLine="480"/>
      </w:pPr>
      <w:r w:rsidRPr="00B4515A">
        <w:rPr>
          <w:rFonts w:hint="eastAsia"/>
        </w:rPr>
        <w:t>E</w:t>
      </w:r>
      <w:r w:rsidRPr="00B4515A">
        <w:rPr>
          <w:rFonts w:hint="eastAsia"/>
        </w:rPr>
        <w:t>：评估对象的股东全部权益价值；</w:t>
      </w:r>
    </w:p>
    <w:p w14:paraId="49B1B923" w14:textId="77777777" w:rsidR="006416B0" w:rsidRPr="00B4515A" w:rsidRDefault="005E58C1" w:rsidP="005860B4">
      <w:pPr>
        <w:pStyle w:val="005"/>
        <w:spacing w:before="120" w:after="120"/>
        <w:ind w:firstLine="480"/>
      </w:pPr>
      <w:r w:rsidRPr="00B4515A">
        <w:rPr>
          <w:rFonts w:hint="eastAsia"/>
        </w:rPr>
        <w:t>D</w:t>
      </w:r>
      <w:r w:rsidRPr="00B4515A">
        <w:rPr>
          <w:rFonts w:hint="eastAsia"/>
        </w:rPr>
        <w:t>：评估对象的付息债务价值；</w:t>
      </w:r>
    </w:p>
    <w:p w14:paraId="42184FF4" w14:textId="77777777" w:rsidR="006416B0" w:rsidRPr="00B4515A" w:rsidRDefault="005E58C1" w:rsidP="005860B4">
      <w:pPr>
        <w:pStyle w:val="005"/>
        <w:spacing w:before="120" w:after="120"/>
        <w:ind w:firstLine="480"/>
      </w:pPr>
      <w:r w:rsidRPr="00B4515A">
        <w:rPr>
          <w:rFonts w:hint="eastAsia"/>
        </w:rPr>
        <w:t>B</w:t>
      </w:r>
      <w:r w:rsidRPr="00B4515A">
        <w:rPr>
          <w:rFonts w:hint="eastAsia"/>
        </w:rPr>
        <w:t>：评估对象的企业价值；</w:t>
      </w:r>
    </w:p>
    <w:p w14:paraId="39C00E1F" w14:textId="77777777" w:rsidR="006416B0" w:rsidRPr="00B4515A" w:rsidRDefault="005E58C1" w:rsidP="005860B4">
      <w:pPr>
        <w:pStyle w:val="005"/>
        <w:spacing w:before="120" w:after="120"/>
        <w:ind w:firstLine="480"/>
      </w:pPr>
      <w:r w:rsidRPr="00B4515A">
        <w:rPr>
          <w:noProof/>
        </w:rPr>
        <w:drawing>
          <wp:inline distT="0" distB="0" distL="0" distR="0" wp14:anchorId="1E67CDBA" wp14:editId="0F4C1125">
            <wp:extent cx="887730" cy="252095"/>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887730" cy="252095"/>
                    </a:xfrm>
                    <a:prstGeom prst="rect">
                      <a:avLst/>
                    </a:prstGeom>
                    <a:noFill/>
                    <a:ln>
                      <a:noFill/>
                    </a:ln>
                  </pic:spPr>
                </pic:pic>
              </a:graphicData>
            </a:graphic>
          </wp:inline>
        </w:drawing>
      </w:r>
    </w:p>
    <w:p w14:paraId="17EA83DF" w14:textId="77777777" w:rsidR="006416B0" w:rsidRPr="00B4515A" w:rsidRDefault="005E58C1" w:rsidP="005860B4">
      <w:pPr>
        <w:pStyle w:val="005"/>
        <w:spacing w:before="120" w:after="120"/>
        <w:ind w:firstLine="480"/>
      </w:pPr>
      <w:r w:rsidRPr="00B4515A">
        <w:rPr>
          <w:rFonts w:hint="eastAsia"/>
        </w:rPr>
        <w:lastRenderedPageBreak/>
        <w:t>式中：</w:t>
      </w:r>
      <w:r w:rsidRPr="00B4515A">
        <w:rPr>
          <w:rFonts w:hint="eastAsia"/>
        </w:rPr>
        <w:t>r</w:t>
      </w:r>
      <w:r w:rsidRPr="00B4515A">
        <w:rPr>
          <w:rFonts w:hint="eastAsia"/>
        </w:rPr>
        <w:t>：所选取的折现率：</w:t>
      </w:r>
    </w:p>
    <w:p w14:paraId="1AD1B5DD" w14:textId="77777777" w:rsidR="006416B0" w:rsidRPr="00B4515A" w:rsidRDefault="005E58C1" w:rsidP="005860B4">
      <w:pPr>
        <w:pStyle w:val="005"/>
        <w:spacing w:before="120" w:after="120"/>
        <w:ind w:firstLine="480"/>
      </w:pPr>
      <w:r w:rsidRPr="00B4515A">
        <w:rPr>
          <w:rFonts w:hint="eastAsia"/>
        </w:rPr>
        <w:t>资产评估专业人员，在综合考虑评估基准日的利率水平、市场投资收益率等资本市场相关信息和所在行业、被评估单位的特定风险等相关因素确定折现率。</w:t>
      </w:r>
    </w:p>
    <w:p w14:paraId="7A3AAD6F" w14:textId="77777777" w:rsidR="006416B0" w:rsidRPr="00B4515A" w:rsidRDefault="005E58C1" w:rsidP="005860B4">
      <w:pPr>
        <w:pStyle w:val="005"/>
        <w:spacing w:before="120" w:after="120"/>
        <w:ind w:firstLine="480"/>
      </w:pPr>
      <w:r w:rsidRPr="00B4515A">
        <w:rPr>
          <w:rFonts w:hint="eastAsia"/>
        </w:rPr>
        <w:t>Fi</w:t>
      </w:r>
      <w:r w:rsidRPr="00B4515A">
        <w:rPr>
          <w:rFonts w:hint="eastAsia"/>
        </w:rPr>
        <w:t>：评估对象未来第</w:t>
      </w:r>
      <w:r w:rsidRPr="00B4515A">
        <w:rPr>
          <w:rFonts w:hint="eastAsia"/>
        </w:rPr>
        <w:t>i</w:t>
      </w:r>
      <w:r w:rsidRPr="00B4515A">
        <w:rPr>
          <w:rFonts w:hint="eastAsia"/>
        </w:rPr>
        <w:t>年的预期收益（现金流）；</w:t>
      </w:r>
    </w:p>
    <w:p w14:paraId="381C6679" w14:textId="77777777" w:rsidR="006416B0" w:rsidRPr="00B4515A" w:rsidRDefault="005E58C1" w:rsidP="005860B4">
      <w:pPr>
        <w:pStyle w:val="005"/>
        <w:spacing w:before="120" w:after="120"/>
        <w:ind w:firstLine="480"/>
      </w:pPr>
      <w:r w:rsidRPr="00B4515A">
        <w:rPr>
          <w:rFonts w:hint="eastAsia"/>
        </w:rPr>
        <w:t>n</w:t>
      </w:r>
      <w:r w:rsidRPr="00B4515A">
        <w:rPr>
          <w:rFonts w:hint="eastAsia"/>
        </w:rPr>
        <w:t>：明确的预测期期间是指从评估基准日至企业达到相对稳定经营状况的时间。</w:t>
      </w:r>
    </w:p>
    <w:p w14:paraId="34940035" w14:textId="77777777" w:rsidR="006416B0" w:rsidRPr="00B4515A" w:rsidRDefault="005E58C1" w:rsidP="005860B4">
      <w:pPr>
        <w:pStyle w:val="005"/>
        <w:spacing w:before="120" w:after="120"/>
        <w:ind w:firstLine="480"/>
      </w:pPr>
      <w:r w:rsidRPr="00B4515A">
        <w:t>评估人员在对企业收入结构、成本结构、资本结构、资本性支出、投资收益和风险水平等综合分析的基础上，结合宏观政策、行业周期及其他影响企业进入稳定期的因素，确定预测期，由于企业历史年度亏损额可弥补至</w:t>
      </w:r>
      <w:r w:rsidRPr="00B4515A">
        <w:t>2028</w:t>
      </w:r>
      <w:r w:rsidRPr="00B4515A">
        <w:t>年，企业</w:t>
      </w:r>
      <w:r w:rsidRPr="00B4515A">
        <w:t>2030</w:t>
      </w:r>
      <w:r w:rsidRPr="00B4515A">
        <w:t>年以后进入稳定期，所以本次明确的预测期至</w:t>
      </w:r>
      <w:r w:rsidRPr="00B4515A">
        <w:t>2029</w:t>
      </w:r>
      <w:r w:rsidRPr="00B4515A">
        <w:t>年，即预测期期间</w:t>
      </w:r>
      <w:r w:rsidRPr="00B4515A">
        <w:t>n</w:t>
      </w:r>
      <w:r w:rsidRPr="00B4515A">
        <w:t>选择为</w:t>
      </w:r>
      <w:r w:rsidRPr="00B4515A">
        <w:t>8.67</w:t>
      </w:r>
      <w:r w:rsidRPr="00B4515A">
        <w:t>年。</w:t>
      </w:r>
    </w:p>
    <w:p w14:paraId="2CD8B956" w14:textId="0F91FA9C" w:rsidR="006416B0" w:rsidRPr="00B4515A" w:rsidRDefault="005E58C1" w:rsidP="005860B4">
      <w:pPr>
        <w:pStyle w:val="005"/>
        <w:spacing w:before="120" w:after="120"/>
        <w:ind w:firstLine="480"/>
      </w:pPr>
      <w:r w:rsidRPr="00B4515A">
        <w:t>根据</w:t>
      </w:r>
      <w:r w:rsidR="00A56F3B" w:rsidRPr="00B4515A">
        <w:rPr>
          <w:rFonts w:hint="eastAsia"/>
        </w:rPr>
        <w:t>大唐联诚</w:t>
      </w:r>
      <w:r w:rsidRPr="00B4515A">
        <w:t>所在行业现状与发展前景、协议与章程约定、经营状况、资产特点和资源条件等，确定预测期后收益期确定为无限期。</w:t>
      </w:r>
    </w:p>
    <w:p w14:paraId="114AE80B" w14:textId="77777777" w:rsidR="006416B0" w:rsidRPr="00B4515A" w:rsidRDefault="005E58C1" w:rsidP="005860B4">
      <w:pPr>
        <w:pStyle w:val="005"/>
        <w:spacing w:before="120" w:after="120"/>
        <w:ind w:firstLine="480"/>
      </w:pPr>
      <w:r w:rsidRPr="00B4515A">
        <w:t>g—</w:t>
      </w:r>
      <w:r w:rsidRPr="00B4515A">
        <w:t>未来收益每年增长率，根据企业进入稳定期的因素分析预测期后的收益趋势，本次评估假定</w:t>
      </w:r>
      <w:r w:rsidRPr="00B4515A">
        <w:t>n</w:t>
      </w:r>
      <w:r w:rsidRPr="00B4515A">
        <w:t>年后</w:t>
      </w:r>
      <w:r w:rsidRPr="00B4515A">
        <w:t>Fi</w:t>
      </w:r>
      <w:r w:rsidRPr="00B4515A">
        <w:t>不变，</w:t>
      </w:r>
      <w:r w:rsidRPr="00B4515A">
        <w:t>G</w:t>
      </w:r>
      <w:r w:rsidRPr="00B4515A">
        <w:t>取零。</w:t>
      </w:r>
    </w:p>
    <w:p w14:paraId="01B4B2A2" w14:textId="77777777" w:rsidR="006416B0" w:rsidRPr="00B4515A" w:rsidRDefault="005E58C1" w:rsidP="005860B4">
      <w:pPr>
        <w:pStyle w:val="005"/>
        <w:spacing w:before="120" w:after="120"/>
        <w:ind w:firstLine="480"/>
      </w:pPr>
      <w:r w:rsidRPr="00B4515A">
        <w:t>ΣCi</w:t>
      </w:r>
      <w:r w:rsidRPr="00B4515A">
        <w:t>：评估对象基准日存在的溢余资产、非经营性资产或负债的价值。</w:t>
      </w:r>
    </w:p>
    <w:p w14:paraId="0C35B304" w14:textId="77777777" w:rsidR="006416B0" w:rsidRPr="00B4515A" w:rsidRDefault="005E58C1" w:rsidP="00A51DF2">
      <w:pPr>
        <w:pStyle w:val="004"/>
        <w:spacing w:before="120" w:after="120"/>
        <w:ind w:firstLine="482"/>
      </w:pPr>
      <w:r w:rsidRPr="00B4515A">
        <w:t>3</w:t>
      </w:r>
      <w:r w:rsidRPr="00B4515A">
        <w:t>、收益指标</w:t>
      </w:r>
    </w:p>
    <w:p w14:paraId="032162D9" w14:textId="77777777" w:rsidR="006416B0" w:rsidRPr="00B4515A" w:rsidRDefault="005E58C1" w:rsidP="005860B4">
      <w:pPr>
        <w:pStyle w:val="005"/>
        <w:spacing w:before="120" w:after="120"/>
        <w:ind w:firstLine="480"/>
      </w:pPr>
      <w:r w:rsidRPr="00B4515A">
        <w:t>本次评估，使用企业的自由现金流量作为评估对象的收益指标，其基本定义为：</w:t>
      </w:r>
    </w:p>
    <w:p w14:paraId="32D9C064" w14:textId="77777777" w:rsidR="006416B0" w:rsidRPr="00B4515A" w:rsidRDefault="005E58C1" w:rsidP="005860B4">
      <w:pPr>
        <w:pStyle w:val="005"/>
        <w:spacing w:before="120" w:after="120"/>
        <w:ind w:firstLine="480"/>
      </w:pPr>
      <w:r w:rsidRPr="00B4515A">
        <w:t>R</w:t>
      </w:r>
      <w:r w:rsidRPr="00B4515A">
        <w:t>＝净利润＋税后的付息债务利息＋折旧和摊销－资本性支出－营运资金增加</w:t>
      </w:r>
    </w:p>
    <w:p w14:paraId="66B6954C" w14:textId="77777777" w:rsidR="006416B0" w:rsidRPr="00B4515A" w:rsidRDefault="005E58C1" w:rsidP="005860B4">
      <w:pPr>
        <w:pStyle w:val="005"/>
        <w:spacing w:before="120" w:after="120"/>
        <w:ind w:firstLine="480"/>
      </w:pPr>
      <w:r w:rsidRPr="00B4515A">
        <w:t>根据评估对象的经营历史以及未来盈利预测，估算其未来预期的自由现金流量。将未来经营期内的自由现金流量进行折现处理并加和，测算得到企业经营性资产价值。</w:t>
      </w:r>
    </w:p>
    <w:p w14:paraId="058A6DD0" w14:textId="77777777" w:rsidR="006416B0" w:rsidRPr="00B4515A" w:rsidRDefault="005E58C1" w:rsidP="005860B4">
      <w:pPr>
        <w:pStyle w:val="004"/>
        <w:spacing w:before="120" w:after="120"/>
        <w:ind w:firstLine="482"/>
      </w:pPr>
      <w:r w:rsidRPr="00B4515A">
        <w:rPr>
          <w:rFonts w:hint="eastAsia"/>
        </w:rPr>
        <w:t>4</w:t>
      </w:r>
      <w:r w:rsidRPr="00B4515A">
        <w:rPr>
          <w:rFonts w:hint="eastAsia"/>
        </w:rPr>
        <w:t>、折现率</w:t>
      </w:r>
    </w:p>
    <w:p w14:paraId="2AA378F0" w14:textId="77777777" w:rsidR="006416B0" w:rsidRPr="00B4515A" w:rsidRDefault="005E58C1" w:rsidP="005860B4">
      <w:pPr>
        <w:pStyle w:val="005"/>
        <w:spacing w:before="120" w:after="120"/>
        <w:ind w:firstLine="480"/>
      </w:pPr>
      <w:r w:rsidRPr="00B4515A">
        <w:rPr>
          <w:rFonts w:hint="eastAsia"/>
        </w:rPr>
        <w:t>本次评估采用资本资产加权平均成本模型（</w:t>
      </w:r>
      <w:r w:rsidRPr="00B4515A">
        <w:rPr>
          <w:rFonts w:hint="eastAsia"/>
        </w:rPr>
        <w:t>WACC</w:t>
      </w:r>
      <w:r w:rsidRPr="00B4515A">
        <w:rPr>
          <w:rFonts w:hint="eastAsia"/>
        </w:rPr>
        <w:t>）确定折现率</w:t>
      </w:r>
      <w:r w:rsidRPr="00B4515A">
        <w:rPr>
          <w:rFonts w:hint="eastAsia"/>
        </w:rPr>
        <w:t>R</w:t>
      </w:r>
      <w:r w:rsidRPr="00B4515A">
        <w:rPr>
          <w:rFonts w:hint="eastAsia"/>
        </w:rPr>
        <w:t>：</w:t>
      </w:r>
    </w:p>
    <w:p w14:paraId="5C6367C0" w14:textId="77777777" w:rsidR="006416B0" w:rsidRPr="00B4515A" w:rsidRDefault="005E58C1" w:rsidP="005860B4">
      <w:pPr>
        <w:pStyle w:val="005"/>
        <w:spacing w:before="120" w:after="120"/>
        <w:ind w:firstLine="480"/>
      </w:pPr>
      <w:r w:rsidRPr="00B4515A">
        <w:rPr>
          <w:noProof/>
        </w:rPr>
        <w:lastRenderedPageBreak/>
        <w:drawing>
          <wp:inline distT="0" distB="0" distL="0" distR="0" wp14:anchorId="743A713C" wp14:editId="0116FEDD">
            <wp:extent cx="1894840" cy="238760"/>
            <wp:effectExtent l="0" t="0" r="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894840" cy="238760"/>
                    </a:xfrm>
                    <a:prstGeom prst="rect">
                      <a:avLst/>
                    </a:prstGeom>
                    <a:noFill/>
                    <a:ln>
                      <a:noFill/>
                    </a:ln>
                  </pic:spPr>
                </pic:pic>
              </a:graphicData>
            </a:graphic>
          </wp:inline>
        </w:drawing>
      </w:r>
    </w:p>
    <w:p w14:paraId="6C902569" w14:textId="77777777" w:rsidR="006416B0" w:rsidRPr="00B4515A" w:rsidRDefault="005E58C1" w:rsidP="005860B4">
      <w:pPr>
        <w:pStyle w:val="005"/>
        <w:spacing w:before="120" w:after="120"/>
        <w:ind w:firstLine="480"/>
      </w:pPr>
      <w:r w:rsidRPr="00B4515A">
        <w:rPr>
          <w:rFonts w:hint="eastAsia"/>
        </w:rPr>
        <w:t>式中：</w:t>
      </w:r>
    </w:p>
    <w:p w14:paraId="70F8263A" w14:textId="77777777" w:rsidR="006416B0" w:rsidRPr="00B4515A" w:rsidRDefault="005E58C1" w:rsidP="005860B4">
      <w:pPr>
        <w:pStyle w:val="005"/>
        <w:spacing w:before="120" w:after="120"/>
        <w:ind w:firstLine="480"/>
      </w:pPr>
      <w:r w:rsidRPr="00B4515A">
        <w:rPr>
          <w:noProof/>
        </w:rPr>
        <w:drawing>
          <wp:inline distT="0" distB="0" distL="0" distR="0" wp14:anchorId="6A3C25B2" wp14:editId="207F0D76">
            <wp:extent cx="225425" cy="238760"/>
            <wp:effectExtent l="0" t="0" r="3175"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25425" cy="238760"/>
                    </a:xfrm>
                    <a:prstGeom prst="rect">
                      <a:avLst/>
                    </a:prstGeom>
                    <a:noFill/>
                    <a:ln>
                      <a:noFill/>
                    </a:ln>
                  </pic:spPr>
                </pic:pic>
              </a:graphicData>
            </a:graphic>
          </wp:inline>
        </w:drawing>
      </w:r>
      <w:r w:rsidRPr="00B4515A">
        <w:rPr>
          <w:rFonts w:hint="eastAsia"/>
        </w:rPr>
        <w:t>：评估对象的付息债务比率；</w:t>
      </w:r>
    </w:p>
    <w:p w14:paraId="7ADF6D49" w14:textId="77777777" w:rsidR="006416B0" w:rsidRPr="00B4515A" w:rsidRDefault="005E58C1" w:rsidP="005860B4">
      <w:pPr>
        <w:pStyle w:val="005"/>
        <w:spacing w:before="120" w:after="120"/>
        <w:ind w:firstLine="480"/>
      </w:pPr>
      <w:r w:rsidRPr="00B4515A">
        <w:rPr>
          <w:noProof/>
        </w:rPr>
        <w:drawing>
          <wp:inline distT="0" distB="0" distL="0" distR="0" wp14:anchorId="4534271B" wp14:editId="7CCD1C55">
            <wp:extent cx="901065" cy="417195"/>
            <wp:effectExtent l="0" t="0" r="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901065" cy="417195"/>
                    </a:xfrm>
                    <a:prstGeom prst="rect">
                      <a:avLst/>
                    </a:prstGeom>
                    <a:noFill/>
                    <a:ln>
                      <a:noFill/>
                    </a:ln>
                  </pic:spPr>
                </pic:pic>
              </a:graphicData>
            </a:graphic>
          </wp:inline>
        </w:drawing>
      </w:r>
    </w:p>
    <w:p w14:paraId="68709136" w14:textId="77777777" w:rsidR="006416B0" w:rsidRPr="00B4515A" w:rsidRDefault="005E58C1" w:rsidP="005860B4">
      <w:pPr>
        <w:pStyle w:val="005"/>
        <w:spacing w:before="120" w:after="120"/>
        <w:ind w:firstLine="480"/>
      </w:pPr>
      <w:r w:rsidRPr="00B4515A">
        <w:rPr>
          <w:noProof/>
        </w:rPr>
        <w:drawing>
          <wp:inline distT="0" distB="0" distL="0" distR="0" wp14:anchorId="63C4EDCD" wp14:editId="14E3B44E">
            <wp:extent cx="198755" cy="238760"/>
            <wp:effectExtent l="0" t="0" r="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98755" cy="238760"/>
                    </a:xfrm>
                    <a:prstGeom prst="rect">
                      <a:avLst/>
                    </a:prstGeom>
                    <a:noFill/>
                    <a:ln>
                      <a:noFill/>
                    </a:ln>
                  </pic:spPr>
                </pic:pic>
              </a:graphicData>
            </a:graphic>
          </wp:inline>
        </w:drawing>
      </w:r>
      <w:r w:rsidRPr="00B4515A">
        <w:rPr>
          <w:rFonts w:hint="eastAsia"/>
        </w:rPr>
        <w:t>：评估对象的权益资本比率；</w:t>
      </w:r>
    </w:p>
    <w:p w14:paraId="417FC305" w14:textId="77777777" w:rsidR="006416B0" w:rsidRPr="00B4515A" w:rsidRDefault="005E58C1" w:rsidP="005860B4">
      <w:pPr>
        <w:pStyle w:val="005"/>
        <w:spacing w:before="120" w:after="120"/>
        <w:ind w:firstLine="480"/>
      </w:pPr>
      <w:r w:rsidRPr="00B4515A">
        <w:rPr>
          <w:noProof/>
        </w:rPr>
        <w:drawing>
          <wp:inline distT="0" distB="0" distL="0" distR="0" wp14:anchorId="7E88DE36" wp14:editId="63C1C190">
            <wp:extent cx="887730" cy="417195"/>
            <wp:effectExtent l="0" t="0" r="762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887730" cy="417195"/>
                    </a:xfrm>
                    <a:prstGeom prst="rect">
                      <a:avLst/>
                    </a:prstGeom>
                    <a:noFill/>
                    <a:ln>
                      <a:noFill/>
                    </a:ln>
                  </pic:spPr>
                </pic:pic>
              </a:graphicData>
            </a:graphic>
          </wp:inline>
        </w:drawing>
      </w:r>
    </w:p>
    <w:p w14:paraId="5D698110" w14:textId="77777777" w:rsidR="006416B0" w:rsidRPr="00B4515A" w:rsidRDefault="005E58C1" w:rsidP="005860B4">
      <w:pPr>
        <w:pStyle w:val="005"/>
        <w:spacing w:before="120" w:after="120"/>
        <w:ind w:firstLine="480"/>
      </w:pPr>
      <w:r w:rsidRPr="00B4515A">
        <w:rPr>
          <w:noProof/>
        </w:rPr>
        <w:drawing>
          <wp:inline distT="0" distB="0" distL="0" distR="0" wp14:anchorId="1B2BAC92" wp14:editId="75882F28">
            <wp:extent cx="172085" cy="17208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2085" cy="172085"/>
                    </a:xfrm>
                    <a:prstGeom prst="rect">
                      <a:avLst/>
                    </a:prstGeom>
                    <a:noFill/>
                    <a:ln>
                      <a:noFill/>
                    </a:ln>
                  </pic:spPr>
                </pic:pic>
              </a:graphicData>
            </a:graphic>
          </wp:inline>
        </w:drawing>
      </w:r>
      <w:r w:rsidRPr="00B4515A">
        <w:rPr>
          <w:rFonts w:hint="eastAsia"/>
        </w:rPr>
        <w:t>：所得税率；</w:t>
      </w:r>
    </w:p>
    <w:p w14:paraId="33893262" w14:textId="77777777" w:rsidR="006416B0" w:rsidRPr="00B4515A" w:rsidRDefault="005E58C1" w:rsidP="005860B4">
      <w:pPr>
        <w:pStyle w:val="005"/>
        <w:spacing w:before="120" w:after="120"/>
        <w:ind w:firstLine="480"/>
      </w:pPr>
      <w:r w:rsidRPr="00B4515A">
        <w:rPr>
          <w:noProof/>
        </w:rPr>
        <w:drawing>
          <wp:inline distT="0" distB="0" distL="0" distR="0" wp14:anchorId="048614BC" wp14:editId="26D625DF">
            <wp:extent cx="198755" cy="238760"/>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98755" cy="238760"/>
                    </a:xfrm>
                    <a:prstGeom prst="rect">
                      <a:avLst/>
                    </a:prstGeom>
                    <a:noFill/>
                    <a:ln>
                      <a:noFill/>
                    </a:ln>
                  </pic:spPr>
                </pic:pic>
              </a:graphicData>
            </a:graphic>
          </wp:inline>
        </w:drawing>
      </w:r>
      <w:r w:rsidRPr="00B4515A">
        <w:rPr>
          <w:rFonts w:hint="eastAsia"/>
        </w:rPr>
        <w:t>：付息债务利率；</w:t>
      </w:r>
    </w:p>
    <w:p w14:paraId="315E9ED6" w14:textId="77777777" w:rsidR="006416B0" w:rsidRPr="00B4515A" w:rsidRDefault="005E58C1" w:rsidP="005860B4">
      <w:pPr>
        <w:pStyle w:val="005"/>
        <w:spacing w:before="120" w:after="120"/>
        <w:ind w:firstLine="480"/>
      </w:pPr>
      <w:r w:rsidRPr="00B4515A">
        <w:rPr>
          <w:noProof/>
        </w:rPr>
        <w:drawing>
          <wp:inline distT="0" distB="0" distL="0" distR="0" wp14:anchorId="0077B0FC" wp14:editId="0ACD6647">
            <wp:extent cx="192405" cy="238760"/>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92405" cy="238760"/>
                    </a:xfrm>
                    <a:prstGeom prst="rect">
                      <a:avLst/>
                    </a:prstGeom>
                    <a:noFill/>
                    <a:ln>
                      <a:noFill/>
                    </a:ln>
                  </pic:spPr>
                </pic:pic>
              </a:graphicData>
            </a:graphic>
          </wp:inline>
        </w:drawing>
      </w:r>
      <w:r w:rsidRPr="00B4515A">
        <w:rPr>
          <w:rFonts w:hint="eastAsia"/>
        </w:rPr>
        <w:t>：权益资本成本，按资本资产定价模型（</w:t>
      </w:r>
      <w:r w:rsidRPr="00B4515A">
        <w:rPr>
          <w:rFonts w:hint="eastAsia"/>
        </w:rPr>
        <w:t>CAPM</w:t>
      </w:r>
      <w:r w:rsidRPr="00B4515A">
        <w:rPr>
          <w:rFonts w:hint="eastAsia"/>
        </w:rPr>
        <w:t>）确定权益资本成本</w:t>
      </w:r>
      <w:r w:rsidRPr="00B4515A">
        <w:rPr>
          <w:noProof/>
        </w:rPr>
        <w:drawing>
          <wp:inline distT="0" distB="0" distL="0" distR="0" wp14:anchorId="04D96426" wp14:editId="22E3C72F">
            <wp:extent cx="238760" cy="252095"/>
            <wp:effectExtent l="0" t="0" r="889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8760" cy="252095"/>
                    </a:xfrm>
                    <a:prstGeom prst="rect">
                      <a:avLst/>
                    </a:prstGeom>
                    <a:noFill/>
                    <a:ln>
                      <a:noFill/>
                    </a:ln>
                  </pic:spPr>
                </pic:pic>
              </a:graphicData>
            </a:graphic>
          </wp:inline>
        </w:drawing>
      </w:r>
      <w:r w:rsidRPr="00B4515A">
        <w:rPr>
          <w:rFonts w:hint="eastAsia"/>
        </w:rPr>
        <w:t>；</w:t>
      </w:r>
    </w:p>
    <w:p w14:paraId="16004B4A" w14:textId="77777777" w:rsidR="006416B0" w:rsidRPr="00B4515A" w:rsidRDefault="005E58C1" w:rsidP="005860B4">
      <w:pPr>
        <w:pStyle w:val="005"/>
        <w:spacing w:before="120" w:after="120"/>
        <w:ind w:firstLine="480"/>
      </w:pPr>
      <w:r w:rsidRPr="00B4515A">
        <w:rPr>
          <w:noProof/>
        </w:rPr>
        <w:drawing>
          <wp:inline distT="0" distB="0" distL="0" distR="0" wp14:anchorId="175D08D7" wp14:editId="6728E91F">
            <wp:extent cx="1530350" cy="238760"/>
            <wp:effectExtent l="0" t="0" r="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530350" cy="238760"/>
                    </a:xfrm>
                    <a:prstGeom prst="rect">
                      <a:avLst/>
                    </a:prstGeom>
                    <a:noFill/>
                    <a:ln>
                      <a:noFill/>
                    </a:ln>
                  </pic:spPr>
                </pic:pic>
              </a:graphicData>
            </a:graphic>
          </wp:inline>
        </w:drawing>
      </w:r>
    </w:p>
    <w:p w14:paraId="24551DAB" w14:textId="77777777" w:rsidR="006416B0" w:rsidRPr="00B4515A" w:rsidRDefault="005E58C1" w:rsidP="005860B4">
      <w:pPr>
        <w:pStyle w:val="005"/>
        <w:spacing w:before="120" w:after="120"/>
        <w:ind w:firstLine="480"/>
      </w:pPr>
      <w:r w:rsidRPr="00B4515A">
        <w:rPr>
          <w:rFonts w:hint="eastAsia"/>
        </w:rPr>
        <w:t>式中：</w:t>
      </w:r>
    </w:p>
    <w:p w14:paraId="705FDD0B" w14:textId="77777777" w:rsidR="006416B0" w:rsidRPr="00B4515A" w:rsidRDefault="005E58C1" w:rsidP="005860B4">
      <w:pPr>
        <w:pStyle w:val="005"/>
        <w:spacing w:before="120" w:after="120"/>
        <w:ind w:firstLine="480"/>
      </w:pPr>
      <w:r w:rsidRPr="00B4515A">
        <w:rPr>
          <w:noProof/>
        </w:rPr>
        <w:drawing>
          <wp:inline distT="0" distB="0" distL="0" distR="0" wp14:anchorId="2784379F" wp14:editId="16569965">
            <wp:extent cx="225425" cy="238760"/>
            <wp:effectExtent l="0" t="0" r="317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5425" cy="238760"/>
                    </a:xfrm>
                    <a:prstGeom prst="rect">
                      <a:avLst/>
                    </a:prstGeom>
                    <a:noFill/>
                    <a:ln>
                      <a:noFill/>
                    </a:ln>
                  </pic:spPr>
                </pic:pic>
              </a:graphicData>
            </a:graphic>
          </wp:inline>
        </w:drawing>
      </w:r>
      <w:r w:rsidRPr="00B4515A">
        <w:rPr>
          <w:rFonts w:hint="eastAsia"/>
        </w:rPr>
        <w:t>：无风险报酬率；</w:t>
      </w:r>
    </w:p>
    <w:p w14:paraId="28AFEA7B" w14:textId="77777777" w:rsidR="006416B0" w:rsidRPr="00B4515A" w:rsidRDefault="005E58C1" w:rsidP="005860B4">
      <w:pPr>
        <w:pStyle w:val="005"/>
        <w:spacing w:before="120" w:after="120"/>
        <w:ind w:firstLine="480"/>
      </w:pPr>
      <w:r w:rsidRPr="00B4515A">
        <w:rPr>
          <w:noProof/>
        </w:rPr>
        <w:drawing>
          <wp:inline distT="0" distB="0" distL="0" distR="0" wp14:anchorId="134767E0" wp14:editId="3568A7FC">
            <wp:extent cx="384175" cy="2387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84175" cy="238760"/>
                    </a:xfrm>
                    <a:prstGeom prst="rect">
                      <a:avLst/>
                    </a:prstGeom>
                    <a:noFill/>
                    <a:ln>
                      <a:noFill/>
                    </a:ln>
                  </pic:spPr>
                </pic:pic>
              </a:graphicData>
            </a:graphic>
          </wp:inline>
        </w:drawing>
      </w:r>
      <w:r w:rsidRPr="00B4515A">
        <w:rPr>
          <w:rFonts w:hint="eastAsia"/>
        </w:rPr>
        <w:t>：市场风险溢价；</w:t>
      </w:r>
    </w:p>
    <w:p w14:paraId="7FC33158" w14:textId="77777777" w:rsidR="006416B0" w:rsidRPr="00B4515A" w:rsidRDefault="005E58C1" w:rsidP="00A51DF2">
      <w:pPr>
        <w:pStyle w:val="005"/>
        <w:spacing w:before="120" w:after="120"/>
        <w:ind w:firstLine="480"/>
      </w:pPr>
      <w:r w:rsidRPr="00B4515A">
        <w:rPr>
          <w:rFonts w:hint="eastAsia"/>
        </w:rPr>
        <w:t>ε：评估对象的特定风险调整系数；</w:t>
      </w:r>
    </w:p>
    <w:p w14:paraId="7E48F3CD" w14:textId="77777777" w:rsidR="006416B0" w:rsidRPr="00B4515A" w:rsidRDefault="005E58C1" w:rsidP="005860B4">
      <w:pPr>
        <w:pStyle w:val="005"/>
        <w:spacing w:before="120" w:after="120"/>
        <w:ind w:firstLine="480"/>
      </w:pPr>
      <w:r w:rsidRPr="00B4515A">
        <w:rPr>
          <w:noProof/>
        </w:rPr>
        <w:drawing>
          <wp:inline distT="0" distB="0" distL="0" distR="0" wp14:anchorId="0B013D73" wp14:editId="499F2285">
            <wp:extent cx="192405" cy="2387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92405" cy="238760"/>
                    </a:xfrm>
                    <a:prstGeom prst="rect">
                      <a:avLst/>
                    </a:prstGeom>
                    <a:noFill/>
                    <a:ln>
                      <a:noFill/>
                    </a:ln>
                  </pic:spPr>
                </pic:pic>
              </a:graphicData>
            </a:graphic>
          </wp:inline>
        </w:drawing>
      </w:r>
      <w:r w:rsidRPr="00B4515A">
        <w:rPr>
          <w:rFonts w:hint="eastAsia"/>
        </w:rPr>
        <w:t>：评估对象权益资本的预期市场风险系数；</w:t>
      </w:r>
    </w:p>
    <w:p w14:paraId="4FBE02F9" w14:textId="77777777" w:rsidR="006416B0" w:rsidRPr="00B4515A" w:rsidRDefault="005E58C1" w:rsidP="005860B4">
      <w:pPr>
        <w:pStyle w:val="005"/>
        <w:spacing w:before="120" w:after="120"/>
        <w:ind w:firstLine="480"/>
      </w:pPr>
      <w:r w:rsidRPr="00B4515A">
        <w:rPr>
          <w:noProof/>
        </w:rPr>
        <w:drawing>
          <wp:inline distT="0" distB="0" distL="0" distR="0" wp14:anchorId="78FC1590" wp14:editId="79D43FED">
            <wp:extent cx="1557020" cy="391160"/>
            <wp:effectExtent l="0" t="0" r="508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557020" cy="391160"/>
                    </a:xfrm>
                    <a:prstGeom prst="rect">
                      <a:avLst/>
                    </a:prstGeom>
                    <a:noFill/>
                    <a:ln>
                      <a:noFill/>
                    </a:ln>
                  </pic:spPr>
                </pic:pic>
              </a:graphicData>
            </a:graphic>
          </wp:inline>
        </w:drawing>
      </w:r>
    </w:p>
    <w:p w14:paraId="4784DBE7" w14:textId="77777777" w:rsidR="006416B0" w:rsidRPr="00B4515A" w:rsidRDefault="005E58C1" w:rsidP="005860B4">
      <w:pPr>
        <w:pStyle w:val="005"/>
        <w:spacing w:before="120" w:after="120"/>
        <w:ind w:firstLine="480"/>
      </w:pPr>
      <w:r w:rsidRPr="00B4515A">
        <w:rPr>
          <w:rFonts w:hint="eastAsia"/>
        </w:rPr>
        <w:t>式中：</w:t>
      </w:r>
      <w:r w:rsidRPr="00B4515A">
        <w:rPr>
          <w:noProof/>
        </w:rPr>
        <w:drawing>
          <wp:inline distT="0" distB="0" distL="0" distR="0" wp14:anchorId="5EA568CC" wp14:editId="0AB24423">
            <wp:extent cx="192405" cy="1987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92405" cy="198755"/>
                    </a:xfrm>
                    <a:prstGeom prst="rect">
                      <a:avLst/>
                    </a:prstGeom>
                    <a:noFill/>
                    <a:ln>
                      <a:noFill/>
                    </a:ln>
                  </pic:spPr>
                </pic:pic>
              </a:graphicData>
            </a:graphic>
          </wp:inline>
        </w:drawing>
      </w:r>
      <w:r w:rsidRPr="00B4515A">
        <w:rPr>
          <w:rFonts w:hint="eastAsia"/>
        </w:rPr>
        <w:t>为可比公司的预期无杠杆市场风险系数；</w:t>
      </w:r>
    </w:p>
    <w:p w14:paraId="4EF517C4" w14:textId="77777777" w:rsidR="006416B0" w:rsidRPr="00B4515A" w:rsidRDefault="005E58C1" w:rsidP="002B0582">
      <w:pPr>
        <w:pStyle w:val="005"/>
        <w:spacing w:before="120" w:after="120"/>
        <w:ind w:firstLine="464"/>
        <w:rPr>
          <w:spacing w:val="-4"/>
        </w:rPr>
      </w:pPr>
      <w:r w:rsidRPr="00B4515A">
        <w:rPr>
          <w:rFonts w:hint="eastAsia"/>
          <w:spacing w:val="-4"/>
        </w:rPr>
        <w:t>D</w:t>
      </w:r>
      <w:r w:rsidRPr="00B4515A">
        <w:rPr>
          <w:rFonts w:hint="eastAsia"/>
          <w:spacing w:val="-4"/>
        </w:rPr>
        <w:t>根据公司预测期有息负债确定，</w:t>
      </w:r>
      <w:r w:rsidRPr="00B4515A">
        <w:rPr>
          <w:rFonts w:hint="eastAsia"/>
          <w:spacing w:val="-4"/>
        </w:rPr>
        <w:t>E</w:t>
      </w:r>
      <w:r w:rsidRPr="00B4515A">
        <w:rPr>
          <w:rFonts w:hint="eastAsia"/>
          <w:spacing w:val="-4"/>
        </w:rPr>
        <w:t>为基准日的公司股东全部权益价值评估值。</w:t>
      </w:r>
    </w:p>
    <w:p w14:paraId="2B9D94CB" w14:textId="6E47E446" w:rsidR="006416B0" w:rsidRPr="00B4515A" w:rsidRDefault="00A56F3B" w:rsidP="005860B4">
      <w:pPr>
        <w:pStyle w:val="005"/>
        <w:spacing w:before="120" w:after="120"/>
        <w:ind w:firstLine="480"/>
      </w:pPr>
      <w:r w:rsidRPr="00B4515A">
        <w:rPr>
          <w:rFonts w:hint="eastAsia"/>
        </w:rPr>
        <w:t>大唐联诚</w:t>
      </w:r>
      <w:r w:rsidR="005E58C1" w:rsidRPr="00B4515A">
        <w:rPr>
          <w:rFonts w:hint="eastAsia"/>
        </w:rPr>
        <w:t>按公历年度作为会计期间，因而本项评估中所有参数的选取均以年度会计数据为准，以保证所有参数的计算口径一致。</w:t>
      </w:r>
    </w:p>
    <w:p w14:paraId="307034B9" w14:textId="77777777" w:rsidR="005F38A1" w:rsidRPr="00B4515A" w:rsidRDefault="005F38A1">
      <w:pPr>
        <w:pStyle w:val="005"/>
        <w:spacing w:before="120" w:after="120"/>
        <w:ind w:firstLine="480"/>
        <w:sectPr w:rsidR="005F38A1" w:rsidRPr="00B4515A" w:rsidSect="00031627">
          <w:footerReference w:type="default" r:id="rId71"/>
          <w:pgSz w:w="11906" w:h="16838"/>
          <w:pgMar w:top="1440" w:right="1797" w:bottom="1440" w:left="1797" w:header="851" w:footer="992" w:gutter="0"/>
          <w:pgNumType w:start="1"/>
          <w:cols w:space="720"/>
          <w:docGrid w:linePitch="357"/>
        </w:sectPr>
      </w:pPr>
    </w:p>
    <w:p w14:paraId="5761FA60" w14:textId="570D34B5" w:rsidR="006416B0" w:rsidRPr="00B4515A" w:rsidRDefault="00942EF6" w:rsidP="00EE238F">
      <w:pPr>
        <w:pStyle w:val="004"/>
        <w:spacing w:before="120" w:after="120"/>
        <w:ind w:firstLine="482"/>
      </w:pPr>
      <w:r w:rsidRPr="00B4515A">
        <w:lastRenderedPageBreak/>
        <w:t>5</w:t>
      </w:r>
      <w:r w:rsidR="005E58C1" w:rsidRPr="00B4515A">
        <w:rPr>
          <w:rFonts w:hint="eastAsia"/>
        </w:rPr>
        <w:t>、收益法评估计算与分析过程</w:t>
      </w:r>
    </w:p>
    <w:p w14:paraId="64CF0B6A" w14:textId="77777777" w:rsidR="006416B0" w:rsidRPr="00B4515A" w:rsidRDefault="005E58C1" w:rsidP="006100BC">
      <w:pPr>
        <w:pStyle w:val="005"/>
        <w:spacing w:before="120" w:after="120"/>
        <w:ind w:firstLine="480"/>
      </w:pPr>
      <w:r w:rsidRPr="00B4515A">
        <w:rPr>
          <w:rFonts w:hint="eastAsia"/>
        </w:rPr>
        <w:t>（</w:t>
      </w:r>
      <w:r w:rsidRPr="00B4515A">
        <w:t>1</w:t>
      </w:r>
      <w:r w:rsidRPr="00B4515A">
        <w:rPr>
          <w:rFonts w:hint="eastAsia"/>
        </w:rPr>
        <w:t>）预测期收益预测与分析</w:t>
      </w:r>
      <w:bookmarkEnd w:id="253"/>
    </w:p>
    <w:p w14:paraId="75F5D9D7" w14:textId="77777777" w:rsidR="006416B0" w:rsidRPr="00B4515A" w:rsidRDefault="005E58C1" w:rsidP="006100BC">
      <w:pPr>
        <w:pStyle w:val="005"/>
        <w:spacing w:before="120" w:after="120"/>
        <w:ind w:firstLine="480"/>
      </w:pPr>
      <w:bookmarkStart w:id="255" w:name="_Hlk76935061"/>
      <w:r w:rsidRPr="00B4515A">
        <w:t>1</w:t>
      </w:r>
      <w:r w:rsidRPr="00B4515A">
        <w:rPr>
          <w:rFonts w:hint="eastAsia"/>
        </w:rPr>
        <w:t>）主营业务收入</w:t>
      </w:r>
    </w:p>
    <w:p w14:paraId="356EB454" w14:textId="6EFE85DE" w:rsidR="006416B0" w:rsidRPr="00B4515A" w:rsidRDefault="005E58C1" w:rsidP="005860B4">
      <w:pPr>
        <w:pStyle w:val="005"/>
        <w:spacing w:before="120" w:after="120"/>
        <w:ind w:firstLine="480"/>
      </w:pPr>
      <w:r w:rsidRPr="00B4515A">
        <w:rPr>
          <w:rFonts w:hint="eastAsia"/>
        </w:rPr>
        <w:t>大唐联诚在专用移动通信、专用宽带电台和宽带移动安全应用三个领域，先后承担了数十项国家技术预研、演示验证、型号研制、技术服务、工程建设和生产等任务。未来</w:t>
      </w:r>
      <w:r w:rsidR="00486317" w:rsidRPr="00B4515A">
        <w:rPr>
          <w:rFonts w:hint="eastAsia"/>
        </w:rPr>
        <w:t>将</w:t>
      </w:r>
      <w:r w:rsidRPr="00B4515A">
        <w:rPr>
          <w:rFonts w:hint="eastAsia"/>
        </w:rPr>
        <w:t>持续聚焦发展专用移动通信、专用宽带电台和宽带移动安全应用三个业务方向，同时拓展新的业务板块，基于现有市场、客户十四五规划及未来市场拓展做了如下盈利预测：</w:t>
      </w:r>
    </w:p>
    <w:p w14:paraId="7308CECF" w14:textId="77777777" w:rsidR="006416B0" w:rsidRPr="00B4515A" w:rsidRDefault="005E58C1">
      <w:pPr>
        <w:jc w:val="right"/>
        <w:rPr>
          <w:sz w:val="21"/>
          <w:szCs w:val="21"/>
        </w:rPr>
      </w:pPr>
      <w:r w:rsidRPr="00B4515A">
        <w:rPr>
          <w:rFonts w:hint="eastAsia"/>
          <w:sz w:val="21"/>
          <w:szCs w:val="21"/>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89"/>
        <w:gridCol w:w="2157"/>
        <w:gridCol w:w="1403"/>
        <w:gridCol w:w="1131"/>
        <w:gridCol w:w="1131"/>
        <w:gridCol w:w="1239"/>
        <w:gridCol w:w="1239"/>
        <w:gridCol w:w="1239"/>
        <w:gridCol w:w="1239"/>
        <w:gridCol w:w="1239"/>
        <w:gridCol w:w="1468"/>
      </w:tblGrid>
      <w:tr w:rsidR="00A117E4" w:rsidRPr="00B4515A" w14:paraId="6AB4B47F" w14:textId="77777777" w:rsidTr="00031627">
        <w:trPr>
          <w:trHeight w:val="340"/>
          <w:jc w:val="center"/>
        </w:trPr>
        <w:tc>
          <w:tcPr>
            <w:tcW w:w="243" w:type="pct"/>
            <w:tcMar>
              <w:top w:w="0" w:type="dxa"/>
              <w:left w:w="108" w:type="dxa"/>
              <w:bottom w:w="0" w:type="dxa"/>
              <w:right w:w="108" w:type="dxa"/>
            </w:tcMar>
            <w:vAlign w:val="center"/>
          </w:tcPr>
          <w:p w14:paraId="33F2C24D"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bookmarkStart w:id="256" w:name="_Hlk74672010"/>
            <w:r w:rsidRPr="00B4515A">
              <w:rPr>
                <w:rFonts w:ascii="Times New Roman" w:hAnsi="Times New Roman" w:cs="Times New Roman" w:hint="eastAsia"/>
                <w:b/>
                <w:bCs/>
                <w:sz w:val="21"/>
                <w:szCs w:val="21"/>
              </w:rPr>
              <w:t>序号</w:t>
            </w:r>
          </w:p>
        </w:tc>
        <w:tc>
          <w:tcPr>
            <w:tcW w:w="761" w:type="pct"/>
            <w:tcMar>
              <w:top w:w="0" w:type="dxa"/>
              <w:left w:w="108" w:type="dxa"/>
              <w:bottom w:w="0" w:type="dxa"/>
              <w:right w:w="108" w:type="dxa"/>
            </w:tcMar>
            <w:vAlign w:val="center"/>
          </w:tcPr>
          <w:p w14:paraId="0314DB6B" w14:textId="77777777" w:rsidR="006416B0" w:rsidRPr="00B4515A" w:rsidRDefault="005E58C1" w:rsidP="005860B4">
            <w:pPr>
              <w:widowControl w:val="0"/>
              <w:adjustRightInd w:val="0"/>
              <w:snapToGrid w:val="0"/>
              <w:jc w:val="center"/>
              <w:textAlignment w:val="center"/>
              <w:rPr>
                <w:rFonts w:ascii="Times New Roman" w:hAnsi="Times New Roman" w:cs="Times New Roman"/>
                <w:b/>
                <w:bCs/>
                <w:kern w:val="2"/>
                <w:sz w:val="21"/>
                <w:szCs w:val="21"/>
              </w:rPr>
            </w:pPr>
            <w:r w:rsidRPr="00B4515A">
              <w:rPr>
                <w:rFonts w:ascii="Times New Roman" w:hAnsi="Times New Roman" w:cs="Times New Roman" w:hint="eastAsia"/>
                <w:b/>
                <w:bCs/>
                <w:sz w:val="21"/>
                <w:szCs w:val="21"/>
              </w:rPr>
              <w:t>项目</w:t>
            </w:r>
          </w:p>
        </w:tc>
        <w:tc>
          <w:tcPr>
            <w:tcW w:w="495" w:type="pct"/>
            <w:tcMar>
              <w:top w:w="0" w:type="dxa"/>
              <w:left w:w="108" w:type="dxa"/>
              <w:bottom w:w="0" w:type="dxa"/>
              <w:right w:w="108" w:type="dxa"/>
            </w:tcMar>
            <w:vAlign w:val="center"/>
          </w:tcPr>
          <w:p w14:paraId="52324A5F"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hint="eastAsia"/>
                <w:b/>
                <w:bCs/>
                <w:sz w:val="21"/>
                <w:szCs w:val="21"/>
              </w:rPr>
              <w:t>年全年</w:t>
            </w:r>
          </w:p>
        </w:tc>
        <w:tc>
          <w:tcPr>
            <w:tcW w:w="399" w:type="pct"/>
            <w:tcMar>
              <w:top w:w="0" w:type="dxa"/>
              <w:left w:w="108" w:type="dxa"/>
              <w:bottom w:w="0" w:type="dxa"/>
              <w:right w:w="108" w:type="dxa"/>
            </w:tcMar>
            <w:vAlign w:val="center"/>
          </w:tcPr>
          <w:p w14:paraId="6E5C08AF"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2022</w:t>
            </w:r>
            <w:r w:rsidRPr="00B4515A">
              <w:rPr>
                <w:rFonts w:ascii="Times New Roman" w:hAnsi="Times New Roman" w:cs="Times New Roman" w:hint="eastAsia"/>
                <w:b/>
                <w:bCs/>
                <w:sz w:val="21"/>
                <w:szCs w:val="21"/>
              </w:rPr>
              <w:t>年</w:t>
            </w:r>
          </w:p>
        </w:tc>
        <w:tc>
          <w:tcPr>
            <w:tcW w:w="399" w:type="pct"/>
            <w:tcMar>
              <w:top w:w="0" w:type="dxa"/>
              <w:left w:w="108" w:type="dxa"/>
              <w:bottom w:w="0" w:type="dxa"/>
              <w:right w:w="108" w:type="dxa"/>
            </w:tcMar>
            <w:vAlign w:val="center"/>
          </w:tcPr>
          <w:p w14:paraId="5BC6212D"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2023</w:t>
            </w:r>
            <w:r w:rsidRPr="00B4515A">
              <w:rPr>
                <w:rFonts w:ascii="Times New Roman" w:hAnsi="Times New Roman" w:cs="Times New Roman" w:hint="eastAsia"/>
                <w:b/>
                <w:bCs/>
                <w:sz w:val="21"/>
                <w:szCs w:val="21"/>
              </w:rPr>
              <w:t>年</w:t>
            </w:r>
          </w:p>
        </w:tc>
        <w:tc>
          <w:tcPr>
            <w:tcW w:w="437" w:type="pct"/>
            <w:tcMar>
              <w:top w:w="0" w:type="dxa"/>
              <w:left w:w="108" w:type="dxa"/>
              <w:bottom w:w="0" w:type="dxa"/>
              <w:right w:w="108" w:type="dxa"/>
            </w:tcMar>
            <w:vAlign w:val="center"/>
          </w:tcPr>
          <w:p w14:paraId="5AF3A213"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2024</w:t>
            </w:r>
            <w:r w:rsidRPr="00B4515A">
              <w:rPr>
                <w:rFonts w:ascii="Times New Roman" w:hAnsi="Times New Roman" w:cs="Times New Roman" w:hint="eastAsia"/>
                <w:b/>
                <w:bCs/>
                <w:sz w:val="21"/>
                <w:szCs w:val="21"/>
              </w:rPr>
              <w:t>年</w:t>
            </w:r>
          </w:p>
        </w:tc>
        <w:tc>
          <w:tcPr>
            <w:tcW w:w="437" w:type="pct"/>
            <w:tcMar>
              <w:top w:w="0" w:type="dxa"/>
              <w:left w:w="108" w:type="dxa"/>
              <w:bottom w:w="0" w:type="dxa"/>
              <w:right w:w="108" w:type="dxa"/>
            </w:tcMar>
            <w:vAlign w:val="center"/>
          </w:tcPr>
          <w:p w14:paraId="4F9D8DDD"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2025</w:t>
            </w:r>
            <w:r w:rsidRPr="00B4515A">
              <w:rPr>
                <w:rFonts w:ascii="Times New Roman" w:hAnsi="Times New Roman" w:cs="Times New Roman" w:hint="eastAsia"/>
                <w:b/>
                <w:bCs/>
                <w:sz w:val="21"/>
                <w:szCs w:val="21"/>
              </w:rPr>
              <w:t>年</w:t>
            </w:r>
          </w:p>
        </w:tc>
        <w:tc>
          <w:tcPr>
            <w:tcW w:w="437" w:type="pct"/>
            <w:tcMar>
              <w:top w:w="0" w:type="dxa"/>
              <w:left w:w="108" w:type="dxa"/>
              <w:bottom w:w="0" w:type="dxa"/>
              <w:right w:w="108" w:type="dxa"/>
            </w:tcMar>
            <w:vAlign w:val="center"/>
          </w:tcPr>
          <w:p w14:paraId="6A5844C1"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2026</w:t>
            </w:r>
            <w:r w:rsidRPr="00B4515A">
              <w:rPr>
                <w:rFonts w:ascii="Times New Roman" w:hAnsi="Times New Roman" w:cs="Times New Roman" w:hint="eastAsia"/>
                <w:b/>
                <w:bCs/>
                <w:sz w:val="21"/>
                <w:szCs w:val="21"/>
              </w:rPr>
              <w:t>年</w:t>
            </w:r>
          </w:p>
        </w:tc>
        <w:tc>
          <w:tcPr>
            <w:tcW w:w="437" w:type="pct"/>
            <w:tcMar>
              <w:top w:w="0" w:type="dxa"/>
              <w:left w:w="108" w:type="dxa"/>
              <w:bottom w:w="0" w:type="dxa"/>
              <w:right w:w="108" w:type="dxa"/>
            </w:tcMar>
            <w:vAlign w:val="center"/>
          </w:tcPr>
          <w:p w14:paraId="5752886A"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2027</w:t>
            </w:r>
            <w:r w:rsidRPr="00B4515A">
              <w:rPr>
                <w:rFonts w:ascii="Times New Roman" w:hAnsi="Times New Roman" w:cs="Times New Roman" w:hint="eastAsia"/>
                <w:b/>
                <w:bCs/>
                <w:sz w:val="21"/>
                <w:szCs w:val="21"/>
              </w:rPr>
              <w:t>年</w:t>
            </w:r>
          </w:p>
        </w:tc>
        <w:tc>
          <w:tcPr>
            <w:tcW w:w="437" w:type="pct"/>
            <w:tcMar>
              <w:top w:w="0" w:type="dxa"/>
              <w:left w:w="108" w:type="dxa"/>
              <w:bottom w:w="0" w:type="dxa"/>
              <w:right w:w="108" w:type="dxa"/>
            </w:tcMar>
            <w:vAlign w:val="center"/>
          </w:tcPr>
          <w:p w14:paraId="14481E5B"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2028</w:t>
            </w:r>
            <w:r w:rsidRPr="00B4515A">
              <w:rPr>
                <w:rFonts w:ascii="Times New Roman" w:hAnsi="Times New Roman" w:cs="Times New Roman" w:hint="eastAsia"/>
                <w:b/>
                <w:bCs/>
                <w:sz w:val="21"/>
                <w:szCs w:val="21"/>
              </w:rPr>
              <w:t>年</w:t>
            </w:r>
          </w:p>
        </w:tc>
        <w:tc>
          <w:tcPr>
            <w:tcW w:w="521" w:type="pct"/>
            <w:tcMar>
              <w:top w:w="0" w:type="dxa"/>
              <w:left w:w="108" w:type="dxa"/>
              <w:bottom w:w="0" w:type="dxa"/>
              <w:right w:w="108" w:type="dxa"/>
            </w:tcMar>
            <w:vAlign w:val="center"/>
          </w:tcPr>
          <w:p w14:paraId="2DC1465A"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2029</w:t>
            </w:r>
            <w:r w:rsidRPr="00B4515A">
              <w:rPr>
                <w:rFonts w:ascii="Times New Roman" w:hAnsi="Times New Roman" w:cs="Times New Roman" w:hint="eastAsia"/>
                <w:b/>
                <w:bCs/>
                <w:sz w:val="21"/>
                <w:szCs w:val="21"/>
              </w:rPr>
              <w:t>年</w:t>
            </w:r>
          </w:p>
        </w:tc>
      </w:tr>
      <w:tr w:rsidR="00A117E4" w:rsidRPr="00B4515A" w14:paraId="0429F828" w14:textId="77777777" w:rsidTr="00031627">
        <w:trPr>
          <w:trHeight w:val="340"/>
          <w:jc w:val="center"/>
        </w:trPr>
        <w:tc>
          <w:tcPr>
            <w:tcW w:w="243" w:type="pct"/>
            <w:tcMar>
              <w:top w:w="0" w:type="dxa"/>
              <w:left w:w="108" w:type="dxa"/>
              <w:bottom w:w="0" w:type="dxa"/>
              <w:right w:w="108" w:type="dxa"/>
            </w:tcMar>
            <w:vAlign w:val="center"/>
          </w:tcPr>
          <w:p w14:paraId="317D691E" w14:textId="77777777" w:rsidR="006416B0" w:rsidRPr="00B4515A" w:rsidRDefault="006416B0" w:rsidP="005860B4">
            <w:pPr>
              <w:adjustRightInd w:val="0"/>
              <w:snapToGrid w:val="0"/>
              <w:jc w:val="center"/>
              <w:textAlignment w:val="bottom"/>
              <w:rPr>
                <w:rFonts w:ascii="Times New Roman" w:hAnsi="Times New Roman" w:cs="Times New Roman"/>
                <w:b/>
                <w:bCs/>
                <w:sz w:val="21"/>
                <w:szCs w:val="21"/>
              </w:rPr>
            </w:pPr>
          </w:p>
        </w:tc>
        <w:tc>
          <w:tcPr>
            <w:tcW w:w="761" w:type="pct"/>
            <w:tcMar>
              <w:top w:w="0" w:type="dxa"/>
              <w:left w:w="108" w:type="dxa"/>
              <w:bottom w:w="0" w:type="dxa"/>
              <w:right w:w="108" w:type="dxa"/>
            </w:tcMar>
            <w:vAlign w:val="center"/>
          </w:tcPr>
          <w:p w14:paraId="33367CD7" w14:textId="77777777" w:rsidR="006416B0" w:rsidRPr="00B4515A" w:rsidRDefault="005E58C1" w:rsidP="005860B4">
            <w:pPr>
              <w:adjustRightInd w:val="0"/>
              <w:snapToGrid w:val="0"/>
              <w:textAlignment w:val="bottom"/>
              <w:rPr>
                <w:rFonts w:ascii="Times New Roman" w:hAnsi="Times New Roman" w:cs="Times New Roman"/>
                <w:b/>
                <w:bCs/>
                <w:sz w:val="21"/>
                <w:szCs w:val="21"/>
              </w:rPr>
            </w:pPr>
            <w:r w:rsidRPr="00B4515A">
              <w:rPr>
                <w:rFonts w:ascii="Times New Roman" w:hAnsi="Times New Roman" w:cs="Times New Roman" w:hint="eastAsia"/>
                <w:b/>
                <w:bCs/>
                <w:sz w:val="21"/>
                <w:szCs w:val="21"/>
              </w:rPr>
              <w:t>主营收入</w:t>
            </w:r>
          </w:p>
        </w:tc>
        <w:tc>
          <w:tcPr>
            <w:tcW w:w="495" w:type="pct"/>
            <w:tcMar>
              <w:top w:w="0" w:type="dxa"/>
              <w:left w:w="108" w:type="dxa"/>
              <w:bottom w:w="0" w:type="dxa"/>
              <w:right w:w="108" w:type="dxa"/>
            </w:tcMar>
            <w:vAlign w:val="center"/>
          </w:tcPr>
          <w:p w14:paraId="4C600EE2"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61,300.00 </w:t>
            </w:r>
          </w:p>
        </w:tc>
        <w:tc>
          <w:tcPr>
            <w:tcW w:w="399" w:type="pct"/>
            <w:tcMar>
              <w:top w:w="0" w:type="dxa"/>
              <w:left w:w="108" w:type="dxa"/>
              <w:bottom w:w="0" w:type="dxa"/>
              <w:right w:w="108" w:type="dxa"/>
            </w:tcMar>
            <w:vAlign w:val="center"/>
          </w:tcPr>
          <w:p w14:paraId="1C27D895"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75,300.00 </w:t>
            </w:r>
          </w:p>
        </w:tc>
        <w:tc>
          <w:tcPr>
            <w:tcW w:w="399" w:type="pct"/>
            <w:tcMar>
              <w:top w:w="0" w:type="dxa"/>
              <w:left w:w="108" w:type="dxa"/>
              <w:bottom w:w="0" w:type="dxa"/>
              <w:right w:w="108" w:type="dxa"/>
            </w:tcMar>
            <w:vAlign w:val="center"/>
          </w:tcPr>
          <w:p w14:paraId="3FAC95DC"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90,200.00 </w:t>
            </w:r>
          </w:p>
        </w:tc>
        <w:tc>
          <w:tcPr>
            <w:tcW w:w="437" w:type="pct"/>
            <w:tcMar>
              <w:top w:w="0" w:type="dxa"/>
              <w:left w:w="108" w:type="dxa"/>
              <w:bottom w:w="0" w:type="dxa"/>
              <w:right w:w="108" w:type="dxa"/>
            </w:tcMar>
            <w:vAlign w:val="center"/>
          </w:tcPr>
          <w:p w14:paraId="5AFDE892"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107,800.00 </w:t>
            </w:r>
          </w:p>
        </w:tc>
        <w:tc>
          <w:tcPr>
            <w:tcW w:w="437" w:type="pct"/>
            <w:tcMar>
              <w:top w:w="0" w:type="dxa"/>
              <w:left w:w="108" w:type="dxa"/>
              <w:bottom w:w="0" w:type="dxa"/>
              <w:right w:w="108" w:type="dxa"/>
            </w:tcMar>
            <w:vAlign w:val="center"/>
          </w:tcPr>
          <w:p w14:paraId="59D00619"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131,300.00 </w:t>
            </w:r>
          </w:p>
        </w:tc>
        <w:tc>
          <w:tcPr>
            <w:tcW w:w="437" w:type="pct"/>
            <w:tcMar>
              <w:top w:w="0" w:type="dxa"/>
              <w:left w:w="108" w:type="dxa"/>
              <w:bottom w:w="0" w:type="dxa"/>
              <w:right w:w="108" w:type="dxa"/>
            </w:tcMar>
            <w:vAlign w:val="center"/>
          </w:tcPr>
          <w:p w14:paraId="1C86DDDA"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131,300.00 </w:t>
            </w:r>
          </w:p>
        </w:tc>
        <w:tc>
          <w:tcPr>
            <w:tcW w:w="437" w:type="pct"/>
            <w:tcMar>
              <w:top w:w="0" w:type="dxa"/>
              <w:left w:w="108" w:type="dxa"/>
              <w:bottom w:w="0" w:type="dxa"/>
              <w:right w:w="108" w:type="dxa"/>
            </w:tcMar>
            <w:vAlign w:val="center"/>
          </w:tcPr>
          <w:p w14:paraId="7CF9B5D4"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131,300.00 </w:t>
            </w:r>
          </w:p>
        </w:tc>
        <w:tc>
          <w:tcPr>
            <w:tcW w:w="437" w:type="pct"/>
            <w:tcMar>
              <w:top w:w="0" w:type="dxa"/>
              <w:left w:w="108" w:type="dxa"/>
              <w:bottom w:w="0" w:type="dxa"/>
              <w:right w:w="108" w:type="dxa"/>
            </w:tcMar>
            <w:vAlign w:val="center"/>
          </w:tcPr>
          <w:p w14:paraId="12C18AB7"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131,300.00 </w:t>
            </w:r>
          </w:p>
        </w:tc>
        <w:tc>
          <w:tcPr>
            <w:tcW w:w="521" w:type="pct"/>
            <w:tcMar>
              <w:top w:w="0" w:type="dxa"/>
              <w:left w:w="108" w:type="dxa"/>
              <w:bottom w:w="0" w:type="dxa"/>
              <w:right w:w="108" w:type="dxa"/>
            </w:tcMar>
            <w:vAlign w:val="center"/>
          </w:tcPr>
          <w:p w14:paraId="25F35C55"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131,300.00 </w:t>
            </w:r>
          </w:p>
        </w:tc>
      </w:tr>
      <w:tr w:rsidR="00A117E4" w:rsidRPr="00B4515A" w14:paraId="0A655B4E" w14:textId="77777777" w:rsidTr="00031627">
        <w:trPr>
          <w:trHeight w:val="340"/>
          <w:jc w:val="center"/>
        </w:trPr>
        <w:tc>
          <w:tcPr>
            <w:tcW w:w="243" w:type="pct"/>
            <w:tcMar>
              <w:top w:w="0" w:type="dxa"/>
              <w:left w:w="108" w:type="dxa"/>
              <w:bottom w:w="0" w:type="dxa"/>
              <w:right w:w="108" w:type="dxa"/>
            </w:tcMar>
            <w:vAlign w:val="center"/>
          </w:tcPr>
          <w:p w14:paraId="5921D0C0"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color w:val="000000"/>
                <w:sz w:val="21"/>
                <w:szCs w:val="21"/>
              </w:rPr>
              <w:t>Ⅰ</w:t>
            </w:r>
          </w:p>
        </w:tc>
        <w:tc>
          <w:tcPr>
            <w:tcW w:w="761" w:type="pct"/>
            <w:tcMar>
              <w:top w:w="0" w:type="dxa"/>
              <w:left w:w="108" w:type="dxa"/>
              <w:bottom w:w="0" w:type="dxa"/>
              <w:right w:w="108" w:type="dxa"/>
            </w:tcMar>
            <w:vAlign w:val="center"/>
          </w:tcPr>
          <w:p w14:paraId="015234C3" w14:textId="77777777" w:rsidR="006416B0" w:rsidRPr="00B4515A" w:rsidRDefault="005E58C1" w:rsidP="005860B4">
            <w:pPr>
              <w:adjustRightInd w:val="0"/>
              <w:snapToGrid w:val="0"/>
              <w:textAlignment w:val="bottom"/>
              <w:rPr>
                <w:rFonts w:ascii="Times New Roman" w:hAnsi="Times New Roman" w:cs="Times New Roman"/>
                <w:b/>
                <w:bCs/>
                <w:sz w:val="21"/>
                <w:szCs w:val="21"/>
              </w:rPr>
            </w:pPr>
            <w:r w:rsidRPr="00B4515A">
              <w:rPr>
                <w:rFonts w:ascii="Times New Roman" w:hAnsi="Times New Roman" w:cs="Times New Roman" w:hint="eastAsia"/>
                <w:b/>
                <w:bCs/>
                <w:sz w:val="21"/>
                <w:szCs w:val="21"/>
              </w:rPr>
              <w:t>产品销售</w:t>
            </w:r>
          </w:p>
        </w:tc>
        <w:tc>
          <w:tcPr>
            <w:tcW w:w="495" w:type="pct"/>
            <w:tcMar>
              <w:top w:w="0" w:type="dxa"/>
              <w:left w:w="108" w:type="dxa"/>
              <w:bottom w:w="0" w:type="dxa"/>
              <w:right w:w="108" w:type="dxa"/>
            </w:tcMar>
            <w:vAlign w:val="center"/>
          </w:tcPr>
          <w:p w14:paraId="49BEDC9B"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47,600.00 </w:t>
            </w:r>
          </w:p>
        </w:tc>
        <w:tc>
          <w:tcPr>
            <w:tcW w:w="399" w:type="pct"/>
            <w:tcMar>
              <w:top w:w="0" w:type="dxa"/>
              <w:left w:w="108" w:type="dxa"/>
              <w:bottom w:w="0" w:type="dxa"/>
              <w:right w:w="108" w:type="dxa"/>
            </w:tcMar>
            <w:vAlign w:val="center"/>
          </w:tcPr>
          <w:p w14:paraId="3A21EFE4"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59,200.00 </w:t>
            </w:r>
          </w:p>
        </w:tc>
        <w:tc>
          <w:tcPr>
            <w:tcW w:w="399" w:type="pct"/>
            <w:tcMar>
              <w:top w:w="0" w:type="dxa"/>
              <w:left w:w="108" w:type="dxa"/>
              <w:bottom w:w="0" w:type="dxa"/>
              <w:right w:w="108" w:type="dxa"/>
            </w:tcMar>
            <w:vAlign w:val="center"/>
          </w:tcPr>
          <w:p w14:paraId="42FCCB01"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71,600.00 </w:t>
            </w:r>
          </w:p>
        </w:tc>
        <w:tc>
          <w:tcPr>
            <w:tcW w:w="437" w:type="pct"/>
            <w:tcMar>
              <w:top w:w="0" w:type="dxa"/>
              <w:left w:w="108" w:type="dxa"/>
              <w:bottom w:w="0" w:type="dxa"/>
              <w:right w:w="108" w:type="dxa"/>
            </w:tcMar>
            <w:vAlign w:val="center"/>
          </w:tcPr>
          <w:p w14:paraId="7704C2A5"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87,800.00 </w:t>
            </w:r>
          </w:p>
        </w:tc>
        <w:tc>
          <w:tcPr>
            <w:tcW w:w="437" w:type="pct"/>
            <w:tcMar>
              <w:top w:w="0" w:type="dxa"/>
              <w:left w:w="108" w:type="dxa"/>
              <w:bottom w:w="0" w:type="dxa"/>
              <w:right w:w="108" w:type="dxa"/>
            </w:tcMar>
            <w:vAlign w:val="center"/>
          </w:tcPr>
          <w:p w14:paraId="0CAC399E"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104,300.00 </w:t>
            </w:r>
          </w:p>
        </w:tc>
        <w:tc>
          <w:tcPr>
            <w:tcW w:w="437" w:type="pct"/>
            <w:tcMar>
              <w:top w:w="0" w:type="dxa"/>
              <w:left w:w="108" w:type="dxa"/>
              <w:bottom w:w="0" w:type="dxa"/>
              <w:right w:w="108" w:type="dxa"/>
            </w:tcMar>
            <w:vAlign w:val="center"/>
          </w:tcPr>
          <w:p w14:paraId="462B17AC" w14:textId="77777777" w:rsidR="006416B0" w:rsidRPr="00B4515A" w:rsidRDefault="005E58C1" w:rsidP="005860B4">
            <w:pPr>
              <w:adjustRightInd w:val="0"/>
              <w:snapToGrid w:val="0"/>
              <w:jc w:val="right"/>
              <w:textAlignment w:val="center"/>
              <w:rPr>
                <w:rFonts w:ascii="Times New Roman" w:hAnsi="Times New Roman" w:cs="Times New Roman"/>
                <w:b/>
                <w:bCs/>
                <w:color w:val="000000"/>
                <w:kern w:val="2"/>
                <w:sz w:val="21"/>
                <w:szCs w:val="21"/>
              </w:rPr>
            </w:pPr>
            <w:r w:rsidRPr="00B4515A">
              <w:rPr>
                <w:rFonts w:ascii="Times New Roman" w:hAnsi="Times New Roman" w:cs="Times New Roman"/>
                <w:b/>
                <w:bCs/>
                <w:sz w:val="21"/>
                <w:szCs w:val="21"/>
              </w:rPr>
              <w:t xml:space="preserve">104,300.00 </w:t>
            </w:r>
          </w:p>
        </w:tc>
        <w:tc>
          <w:tcPr>
            <w:tcW w:w="437" w:type="pct"/>
            <w:tcMar>
              <w:top w:w="0" w:type="dxa"/>
              <w:left w:w="108" w:type="dxa"/>
              <w:bottom w:w="0" w:type="dxa"/>
              <w:right w:w="108" w:type="dxa"/>
            </w:tcMar>
            <w:vAlign w:val="center"/>
          </w:tcPr>
          <w:p w14:paraId="7E3800F1" w14:textId="77777777" w:rsidR="006416B0" w:rsidRPr="00B4515A" w:rsidRDefault="005E58C1" w:rsidP="005860B4">
            <w:pPr>
              <w:adjustRightInd w:val="0"/>
              <w:snapToGrid w:val="0"/>
              <w:jc w:val="right"/>
              <w:textAlignment w:val="center"/>
              <w:rPr>
                <w:rFonts w:ascii="Times New Roman" w:hAnsi="Times New Roman" w:cs="Times New Roman"/>
                <w:b/>
                <w:bCs/>
                <w:color w:val="000000"/>
                <w:sz w:val="21"/>
                <w:szCs w:val="21"/>
              </w:rPr>
            </w:pPr>
            <w:r w:rsidRPr="00B4515A">
              <w:rPr>
                <w:rFonts w:ascii="Times New Roman" w:hAnsi="Times New Roman" w:cs="Times New Roman"/>
                <w:b/>
                <w:bCs/>
                <w:sz w:val="21"/>
                <w:szCs w:val="21"/>
              </w:rPr>
              <w:t xml:space="preserve">104,300.00 </w:t>
            </w:r>
          </w:p>
        </w:tc>
        <w:tc>
          <w:tcPr>
            <w:tcW w:w="437" w:type="pct"/>
            <w:tcMar>
              <w:top w:w="0" w:type="dxa"/>
              <w:left w:w="108" w:type="dxa"/>
              <w:bottom w:w="0" w:type="dxa"/>
              <w:right w:w="108" w:type="dxa"/>
            </w:tcMar>
            <w:vAlign w:val="center"/>
          </w:tcPr>
          <w:p w14:paraId="45890720" w14:textId="77777777" w:rsidR="006416B0" w:rsidRPr="00B4515A" w:rsidRDefault="005E58C1" w:rsidP="005860B4">
            <w:pPr>
              <w:adjustRightInd w:val="0"/>
              <w:snapToGrid w:val="0"/>
              <w:jc w:val="right"/>
              <w:textAlignment w:val="center"/>
              <w:rPr>
                <w:rFonts w:ascii="Times New Roman" w:hAnsi="Times New Roman" w:cs="Times New Roman"/>
                <w:b/>
                <w:bCs/>
                <w:color w:val="000000"/>
                <w:sz w:val="21"/>
                <w:szCs w:val="21"/>
              </w:rPr>
            </w:pPr>
            <w:r w:rsidRPr="00B4515A">
              <w:rPr>
                <w:rFonts w:ascii="Times New Roman" w:hAnsi="Times New Roman" w:cs="Times New Roman"/>
                <w:b/>
                <w:bCs/>
                <w:sz w:val="21"/>
                <w:szCs w:val="21"/>
              </w:rPr>
              <w:t xml:space="preserve">104,300.00 </w:t>
            </w:r>
          </w:p>
        </w:tc>
        <w:tc>
          <w:tcPr>
            <w:tcW w:w="521" w:type="pct"/>
            <w:tcMar>
              <w:top w:w="0" w:type="dxa"/>
              <w:left w:w="108" w:type="dxa"/>
              <w:bottom w:w="0" w:type="dxa"/>
              <w:right w:w="108" w:type="dxa"/>
            </w:tcMar>
            <w:vAlign w:val="center"/>
          </w:tcPr>
          <w:p w14:paraId="34E32DEB" w14:textId="77777777" w:rsidR="006416B0" w:rsidRPr="00B4515A" w:rsidRDefault="005E58C1" w:rsidP="005860B4">
            <w:pPr>
              <w:adjustRightInd w:val="0"/>
              <w:snapToGrid w:val="0"/>
              <w:jc w:val="right"/>
              <w:textAlignment w:val="center"/>
              <w:rPr>
                <w:rFonts w:ascii="Times New Roman" w:hAnsi="Times New Roman" w:cs="Times New Roman"/>
                <w:b/>
                <w:bCs/>
                <w:color w:val="000000"/>
                <w:sz w:val="21"/>
                <w:szCs w:val="21"/>
              </w:rPr>
            </w:pPr>
            <w:r w:rsidRPr="00B4515A">
              <w:rPr>
                <w:rFonts w:ascii="Times New Roman" w:hAnsi="Times New Roman" w:cs="Times New Roman"/>
                <w:b/>
                <w:bCs/>
                <w:sz w:val="21"/>
                <w:szCs w:val="21"/>
              </w:rPr>
              <w:t xml:space="preserve">104,300.00 </w:t>
            </w:r>
          </w:p>
        </w:tc>
      </w:tr>
      <w:tr w:rsidR="00A117E4" w:rsidRPr="00B4515A" w14:paraId="335A2AB1" w14:textId="77777777" w:rsidTr="00031627">
        <w:trPr>
          <w:trHeight w:val="340"/>
          <w:jc w:val="center"/>
        </w:trPr>
        <w:tc>
          <w:tcPr>
            <w:tcW w:w="243" w:type="pct"/>
            <w:tcMar>
              <w:top w:w="0" w:type="dxa"/>
              <w:left w:w="108" w:type="dxa"/>
              <w:bottom w:w="0" w:type="dxa"/>
              <w:right w:w="108" w:type="dxa"/>
            </w:tcMar>
            <w:vAlign w:val="center"/>
          </w:tcPr>
          <w:p w14:paraId="6D6C6506" w14:textId="77777777" w:rsidR="006416B0" w:rsidRPr="00B4515A" w:rsidRDefault="006416B0" w:rsidP="005860B4">
            <w:pPr>
              <w:adjustRightInd w:val="0"/>
              <w:snapToGrid w:val="0"/>
              <w:jc w:val="center"/>
              <w:textAlignment w:val="bottom"/>
              <w:rPr>
                <w:rFonts w:ascii="Times New Roman" w:hAnsi="Times New Roman" w:cs="Times New Roman"/>
                <w:b/>
                <w:bCs/>
                <w:sz w:val="21"/>
                <w:szCs w:val="21"/>
              </w:rPr>
            </w:pPr>
          </w:p>
        </w:tc>
        <w:tc>
          <w:tcPr>
            <w:tcW w:w="761" w:type="pct"/>
            <w:tcMar>
              <w:top w:w="0" w:type="dxa"/>
              <w:left w:w="108" w:type="dxa"/>
              <w:bottom w:w="0" w:type="dxa"/>
              <w:right w:w="108" w:type="dxa"/>
            </w:tcMar>
            <w:vAlign w:val="center"/>
          </w:tcPr>
          <w:p w14:paraId="726C7F07" w14:textId="77777777" w:rsidR="006416B0" w:rsidRPr="00B4515A" w:rsidRDefault="005E58C1" w:rsidP="005860B4">
            <w:pPr>
              <w:adjustRightInd w:val="0"/>
              <w:snapToGrid w:val="0"/>
              <w:textAlignment w:val="bottom"/>
              <w:rPr>
                <w:rFonts w:ascii="Times New Roman" w:hAnsi="Times New Roman" w:cs="Times New Roman"/>
                <w:sz w:val="21"/>
                <w:szCs w:val="21"/>
              </w:rPr>
            </w:pPr>
            <w:r w:rsidRPr="00B4515A">
              <w:rPr>
                <w:rFonts w:ascii="Times New Roman" w:hAnsi="Times New Roman" w:cs="Times New Roman"/>
                <w:sz w:val="21"/>
                <w:szCs w:val="21"/>
              </w:rPr>
              <w:t>1.</w:t>
            </w:r>
            <w:r w:rsidRPr="00B4515A">
              <w:rPr>
                <w:rFonts w:ascii="Times New Roman" w:hAnsi="Times New Roman" w:cs="Times New Roman" w:hint="eastAsia"/>
                <w:sz w:val="21"/>
                <w:szCs w:val="21"/>
              </w:rPr>
              <w:t>专用移动通信</w:t>
            </w:r>
          </w:p>
        </w:tc>
        <w:tc>
          <w:tcPr>
            <w:tcW w:w="495" w:type="pct"/>
            <w:tcMar>
              <w:top w:w="0" w:type="dxa"/>
              <w:left w:w="108" w:type="dxa"/>
              <w:bottom w:w="0" w:type="dxa"/>
              <w:right w:w="108" w:type="dxa"/>
            </w:tcMar>
            <w:vAlign w:val="center"/>
          </w:tcPr>
          <w:p w14:paraId="47522674"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20,900.00 </w:t>
            </w:r>
          </w:p>
        </w:tc>
        <w:tc>
          <w:tcPr>
            <w:tcW w:w="399" w:type="pct"/>
            <w:tcMar>
              <w:top w:w="0" w:type="dxa"/>
              <w:left w:w="108" w:type="dxa"/>
              <w:bottom w:w="0" w:type="dxa"/>
              <w:right w:w="108" w:type="dxa"/>
            </w:tcMar>
            <w:vAlign w:val="center"/>
          </w:tcPr>
          <w:p w14:paraId="359A142C"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24,100.00 </w:t>
            </w:r>
          </w:p>
        </w:tc>
        <w:tc>
          <w:tcPr>
            <w:tcW w:w="399" w:type="pct"/>
            <w:tcMar>
              <w:top w:w="0" w:type="dxa"/>
              <w:left w:w="108" w:type="dxa"/>
              <w:bottom w:w="0" w:type="dxa"/>
              <w:right w:w="108" w:type="dxa"/>
            </w:tcMar>
            <w:vAlign w:val="center"/>
          </w:tcPr>
          <w:p w14:paraId="7304A244"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26,700.00 </w:t>
            </w:r>
          </w:p>
        </w:tc>
        <w:tc>
          <w:tcPr>
            <w:tcW w:w="437" w:type="pct"/>
            <w:tcMar>
              <w:top w:w="0" w:type="dxa"/>
              <w:left w:w="108" w:type="dxa"/>
              <w:bottom w:w="0" w:type="dxa"/>
              <w:right w:w="108" w:type="dxa"/>
            </w:tcMar>
            <w:vAlign w:val="center"/>
          </w:tcPr>
          <w:p w14:paraId="13D1F315"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28,000.00 </w:t>
            </w:r>
          </w:p>
        </w:tc>
        <w:tc>
          <w:tcPr>
            <w:tcW w:w="437" w:type="pct"/>
            <w:tcMar>
              <w:top w:w="0" w:type="dxa"/>
              <w:left w:w="108" w:type="dxa"/>
              <w:bottom w:w="0" w:type="dxa"/>
              <w:right w:w="108" w:type="dxa"/>
            </w:tcMar>
            <w:vAlign w:val="center"/>
          </w:tcPr>
          <w:p w14:paraId="78672127"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32,500.00 </w:t>
            </w:r>
          </w:p>
        </w:tc>
        <w:tc>
          <w:tcPr>
            <w:tcW w:w="437" w:type="pct"/>
            <w:tcMar>
              <w:top w:w="0" w:type="dxa"/>
              <w:left w:w="108" w:type="dxa"/>
              <w:bottom w:w="0" w:type="dxa"/>
              <w:right w:w="108" w:type="dxa"/>
            </w:tcMar>
            <w:vAlign w:val="center"/>
          </w:tcPr>
          <w:p w14:paraId="276FBBAC"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 xml:space="preserve">32,500.00 </w:t>
            </w:r>
          </w:p>
        </w:tc>
        <w:tc>
          <w:tcPr>
            <w:tcW w:w="437" w:type="pct"/>
            <w:tcMar>
              <w:top w:w="0" w:type="dxa"/>
              <w:left w:w="108" w:type="dxa"/>
              <w:bottom w:w="0" w:type="dxa"/>
              <w:right w:w="108" w:type="dxa"/>
            </w:tcMar>
            <w:vAlign w:val="center"/>
          </w:tcPr>
          <w:p w14:paraId="047F7B8C"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32,500.00 </w:t>
            </w:r>
          </w:p>
        </w:tc>
        <w:tc>
          <w:tcPr>
            <w:tcW w:w="437" w:type="pct"/>
            <w:tcMar>
              <w:top w:w="0" w:type="dxa"/>
              <w:left w:w="108" w:type="dxa"/>
              <w:bottom w:w="0" w:type="dxa"/>
              <w:right w:w="108" w:type="dxa"/>
            </w:tcMar>
            <w:vAlign w:val="center"/>
          </w:tcPr>
          <w:p w14:paraId="29B356F8"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32,500.00 </w:t>
            </w:r>
          </w:p>
        </w:tc>
        <w:tc>
          <w:tcPr>
            <w:tcW w:w="521" w:type="pct"/>
            <w:tcMar>
              <w:top w:w="0" w:type="dxa"/>
              <w:left w:w="108" w:type="dxa"/>
              <w:bottom w:w="0" w:type="dxa"/>
              <w:right w:w="108" w:type="dxa"/>
            </w:tcMar>
            <w:vAlign w:val="center"/>
          </w:tcPr>
          <w:p w14:paraId="601C28E8"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32,500.00 </w:t>
            </w:r>
          </w:p>
        </w:tc>
      </w:tr>
      <w:tr w:rsidR="00A117E4" w:rsidRPr="00B4515A" w14:paraId="35DFD4B9" w14:textId="77777777" w:rsidTr="00031627">
        <w:trPr>
          <w:trHeight w:val="340"/>
          <w:jc w:val="center"/>
        </w:trPr>
        <w:tc>
          <w:tcPr>
            <w:tcW w:w="243" w:type="pct"/>
            <w:tcMar>
              <w:top w:w="0" w:type="dxa"/>
              <w:left w:w="108" w:type="dxa"/>
              <w:bottom w:w="0" w:type="dxa"/>
              <w:right w:w="108" w:type="dxa"/>
            </w:tcMar>
            <w:vAlign w:val="center"/>
          </w:tcPr>
          <w:p w14:paraId="25249D0C" w14:textId="77777777" w:rsidR="006416B0" w:rsidRPr="00B4515A" w:rsidRDefault="006416B0" w:rsidP="005860B4">
            <w:pPr>
              <w:adjustRightInd w:val="0"/>
              <w:snapToGrid w:val="0"/>
              <w:jc w:val="center"/>
              <w:textAlignment w:val="bottom"/>
              <w:rPr>
                <w:rFonts w:ascii="Times New Roman" w:hAnsi="Times New Roman" w:cs="Times New Roman"/>
                <w:b/>
                <w:bCs/>
                <w:sz w:val="21"/>
                <w:szCs w:val="21"/>
              </w:rPr>
            </w:pPr>
          </w:p>
        </w:tc>
        <w:tc>
          <w:tcPr>
            <w:tcW w:w="761" w:type="pct"/>
            <w:tcMar>
              <w:top w:w="0" w:type="dxa"/>
              <w:left w:w="108" w:type="dxa"/>
              <w:bottom w:w="0" w:type="dxa"/>
              <w:right w:w="108" w:type="dxa"/>
            </w:tcMar>
            <w:vAlign w:val="center"/>
          </w:tcPr>
          <w:p w14:paraId="08A9998C" w14:textId="77777777" w:rsidR="006416B0" w:rsidRPr="00B4515A" w:rsidRDefault="005E58C1" w:rsidP="005860B4">
            <w:pPr>
              <w:adjustRightInd w:val="0"/>
              <w:snapToGrid w:val="0"/>
              <w:textAlignment w:val="bottom"/>
              <w:rPr>
                <w:rFonts w:ascii="Times New Roman" w:hAnsi="Times New Roman" w:cs="Times New Roman"/>
                <w:kern w:val="2"/>
                <w:sz w:val="21"/>
                <w:szCs w:val="21"/>
              </w:rPr>
            </w:pPr>
            <w:r w:rsidRPr="00B4515A">
              <w:rPr>
                <w:rFonts w:ascii="Times New Roman" w:hAnsi="Times New Roman" w:cs="Times New Roman"/>
                <w:sz w:val="21"/>
                <w:szCs w:val="21"/>
              </w:rPr>
              <w:t>2.</w:t>
            </w:r>
            <w:r w:rsidRPr="00B4515A">
              <w:rPr>
                <w:rFonts w:ascii="Times New Roman" w:hAnsi="Times New Roman" w:cs="Times New Roman" w:hint="eastAsia"/>
                <w:sz w:val="21"/>
                <w:szCs w:val="21"/>
              </w:rPr>
              <w:t>专用宽带电台</w:t>
            </w:r>
          </w:p>
        </w:tc>
        <w:tc>
          <w:tcPr>
            <w:tcW w:w="495" w:type="pct"/>
            <w:tcMar>
              <w:top w:w="0" w:type="dxa"/>
              <w:left w:w="108" w:type="dxa"/>
              <w:bottom w:w="0" w:type="dxa"/>
              <w:right w:w="108" w:type="dxa"/>
            </w:tcMar>
            <w:vAlign w:val="center"/>
          </w:tcPr>
          <w:p w14:paraId="6D744E92"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21,000.00 </w:t>
            </w:r>
          </w:p>
        </w:tc>
        <w:tc>
          <w:tcPr>
            <w:tcW w:w="399" w:type="pct"/>
            <w:tcMar>
              <w:top w:w="0" w:type="dxa"/>
              <w:left w:w="108" w:type="dxa"/>
              <w:bottom w:w="0" w:type="dxa"/>
              <w:right w:w="108" w:type="dxa"/>
            </w:tcMar>
            <w:vAlign w:val="center"/>
          </w:tcPr>
          <w:p w14:paraId="21F73884"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27,400.00 </w:t>
            </w:r>
          </w:p>
        </w:tc>
        <w:tc>
          <w:tcPr>
            <w:tcW w:w="399" w:type="pct"/>
            <w:tcMar>
              <w:top w:w="0" w:type="dxa"/>
              <w:left w:w="108" w:type="dxa"/>
              <w:bottom w:w="0" w:type="dxa"/>
              <w:right w:w="108" w:type="dxa"/>
            </w:tcMar>
            <w:vAlign w:val="center"/>
          </w:tcPr>
          <w:p w14:paraId="243FF500"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32,100.00 </w:t>
            </w:r>
          </w:p>
        </w:tc>
        <w:tc>
          <w:tcPr>
            <w:tcW w:w="437" w:type="pct"/>
            <w:tcMar>
              <w:top w:w="0" w:type="dxa"/>
              <w:left w:w="108" w:type="dxa"/>
              <w:bottom w:w="0" w:type="dxa"/>
              <w:right w:w="108" w:type="dxa"/>
            </w:tcMar>
            <w:vAlign w:val="center"/>
          </w:tcPr>
          <w:p w14:paraId="44A6BAB2"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36,800.00 </w:t>
            </w:r>
          </w:p>
        </w:tc>
        <w:tc>
          <w:tcPr>
            <w:tcW w:w="437" w:type="pct"/>
            <w:tcMar>
              <w:top w:w="0" w:type="dxa"/>
              <w:left w:w="108" w:type="dxa"/>
              <w:bottom w:w="0" w:type="dxa"/>
              <w:right w:w="108" w:type="dxa"/>
            </w:tcMar>
            <w:vAlign w:val="center"/>
          </w:tcPr>
          <w:p w14:paraId="4B551342"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40,800.00 </w:t>
            </w:r>
          </w:p>
        </w:tc>
        <w:tc>
          <w:tcPr>
            <w:tcW w:w="437" w:type="pct"/>
            <w:tcMar>
              <w:top w:w="0" w:type="dxa"/>
              <w:left w:w="108" w:type="dxa"/>
              <w:bottom w:w="0" w:type="dxa"/>
              <w:right w:w="108" w:type="dxa"/>
            </w:tcMar>
            <w:vAlign w:val="center"/>
          </w:tcPr>
          <w:p w14:paraId="19D0A797" w14:textId="77777777" w:rsidR="006416B0" w:rsidRPr="00B4515A" w:rsidRDefault="005E58C1" w:rsidP="005860B4">
            <w:pPr>
              <w:tabs>
                <w:tab w:val="center" w:pos="4153"/>
                <w:tab w:val="right" w:pos="8306"/>
              </w:tabs>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 xml:space="preserve">40,800.00 </w:t>
            </w:r>
          </w:p>
        </w:tc>
        <w:tc>
          <w:tcPr>
            <w:tcW w:w="437" w:type="pct"/>
            <w:tcMar>
              <w:top w:w="0" w:type="dxa"/>
              <w:left w:w="108" w:type="dxa"/>
              <w:bottom w:w="0" w:type="dxa"/>
              <w:right w:w="108" w:type="dxa"/>
            </w:tcMar>
            <w:vAlign w:val="center"/>
          </w:tcPr>
          <w:p w14:paraId="74BA12CF"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40,800.00 </w:t>
            </w:r>
          </w:p>
        </w:tc>
        <w:tc>
          <w:tcPr>
            <w:tcW w:w="437" w:type="pct"/>
            <w:tcMar>
              <w:top w:w="0" w:type="dxa"/>
              <w:left w:w="108" w:type="dxa"/>
              <w:bottom w:w="0" w:type="dxa"/>
              <w:right w:w="108" w:type="dxa"/>
            </w:tcMar>
            <w:vAlign w:val="center"/>
          </w:tcPr>
          <w:p w14:paraId="21708FEE"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40,800.00 </w:t>
            </w:r>
          </w:p>
        </w:tc>
        <w:tc>
          <w:tcPr>
            <w:tcW w:w="521" w:type="pct"/>
            <w:tcMar>
              <w:top w:w="0" w:type="dxa"/>
              <w:left w:w="108" w:type="dxa"/>
              <w:bottom w:w="0" w:type="dxa"/>
              <w:right w:w="108" w:type="dxa"/>
            </w:tcMar>
            <w:vAlign w:val="center"/>
          </w:tcPr>
          <w:p w14:paraId="764E5355"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40,800.00 </w:t>
            </w:r>
          </w:p>
        </w:tc>
      </w:tr>
      <w:tr w:rsidR="00A117E4" w:rsidRPr="00B4515A" w14:paraId="461FFFC6" w14:textId="77777777" w:rsidTr="00031627">
        <w:trPr>
          <w:trHeight w:val="340"/>
          <w:jc w:val="center"/>
        </w:trPr>
        <w:tc>
          <w:tcPr>
            <w:tcW w:w="243" w:type="pct"/>
            <w:tcMar>
              <w:top w:w="0" w:type="dxa"/>
              <w:left w:w="108" w:type="dxa"/>
              <w:bottom w:w="0" w:type="dxa"/>
              <w:right w:w="108" w:type="dxa"/>
            </w:tcMar>
            <w:vAlign w:val="center"/>
          </w:tcPr>
          <w:p w14:paraId="66F085F6" w14:textId="77777777" w:rsidR="006416B0" w:rsidRPr="00B4515A" w:rsidRDefault="006416B0" w:rsidP="005860B4">
            <w:pPr>
              <w:adjustRightInd w:val="0"/>
              <w:snapToGrid w:val="0"/>
              <w:jc w:val="center"/>
              <w:textAlignment w:val="bottom"/>
              <w:rPr>
                <w:rFonts w:ascii="Times New Roman" w:hAnsi="Times New Roman" w:cs="Times New Roman"/>
                <w:b/>
                <w:bCs/>
                <w:sz w:val="21"/>
                <w:szCs w:val="21"/>
              </w:rPr>
            </w:pPr>
          </w:p>
        </w:tc>
        <w:tc>
          <w:tcPr>
            <w:tcW w:w="761" w:type="pct"/>
            <w:tcMar>
              <w:top w:w="0" w:type="dxa"/>
              <w:left w:w="108" w:type="dxa"/>
              <w:bottom w:w="0" w:type="dxa"/>
              <w:right w:w="108" w:type="dxa"/>
            </w:tcMar>
            <w:vAlign w:val="center"/>
          </w:tcPr>
          <w:p w14:paraId="34501685" w14:textId="77777777" w:rsidR="006416B0" w:rsidRPr="00B4515A" w:rsidRDefault="005E58C1" w:rsidP="005860B4">
            <w:pPr>
              <w:adjustRightInd w:val="0"/>
              <w:snapToGrid w:val="0"/>
              <w:textAlignment w:val="bottom"/>
              <w:rPr>
                <w:rFonts w:ascii="Times New Roman" w:hAnsi="Times New Roman" w:cs="Times New Roman"/>
                <w:kern w:val="2"/>
                <w:sz w:val="21"/>
                <w:szCs w:val="21"/>
              </w:rPr>
            </w:pPr>
            <w:r w:rsidRPr="00B4515A">
              <w:rPr>
                <w:rFonts w:ascii="Times New Roman" w:hAnsi="Times New Roman" w:cs="Times New Roman"/>
                <w:sz w:val="21"/>
                <w:szCs w:val="21"/>
              </w:rPr>
              <w:t>3.</w:t>
            </w:r>
            <w:r w:rsidRPr="00B4515A">
              <w:rPr>
                <w:rFonts w:ascii="Times New Roman" w:hAnsi="Times New Roman" w:cs="Times New Roman" w:hint="eastAsia"/>
                <w:sz w:val="21"/>
                <w:szCs w:val="21"/>
              </w:rPr>
              <w:t>宽带移动安全应用</w:t>
            </w:r>
          </w:p>
        </w:tc>
        <w:tc>
          <w:tcPr>
            <w:tcW w:w="495" w:type="pct"/>
            <w:tcMar>
              <w:top w:w="0" w:type="dxa"/>
              <w:left w:w="108" w:type="dxa"/>
              <w:bottom w:w="0" w:type="dxa"/>
              <w:right w:w="108" w:type="dxa"/>
            </w:tcMar>
            <w:vAlign w:val="center"/>
          </w:tcPr>
          <w:p w14:paraId="7F7CB239"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5,700.00 </w:t>
            </w:r>
          </w:p>
        </w:tc>
        <w:tc>
          <w:tcPr>
            <w:tcW w:w="399" w:type="pct"/>
            <w:tcMar>
              <w:top w:w="0" w:type="dxa"/>
              <w:left w:w="108" w:type="dxa"/>
              <w:bottom w:w="0" w:type="dxa"/>
              <w:right w:w="108" w:type="dxa"/>
            </w:tcMar>
            <w:vAlign w:val="center"/>
          </w:tcPr>
          <w:p w14:paraId="6DCE209A"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7,700.00 </w:t>
            </w:r>
          </w:p>
        </w:tc>
        <w:tc>
          <w:tcPr>
            <w:tcW w:w="399" w:type="pct"/>
            <w:tcMar>
              <w:top w:w="0" w:type="dxa"/>
              <w:left w:w="108" w:type="dxa"/>
              <w:bottom w:w="0" w:type="dxa"/>
              <w:right w:w="108" w:type="dxa"/>
            </w:tcMar>
            <w:vAlign w:val="center"/>
          </w:tcPr>
          <w:p w14:paraId="17C5A35E"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9,000.00 </w:t>
            </w:r>
          </w:p>
        </w:tc>
        <w:tc>
          <w:tcPr>
            <w:tcW w:w="437" w:type="pct"/>
            <w:tcMar>
              <w:top w:w="0" w:type="dxa"/>
              <w:left w:w="108" w:type="dxa"/>
              <w:bottom w:w="0" w:type="dxa"/>
              <w:right w:w="108" w:type="dxa"/>
            </w:tcMar>
            <w:vAlign w:val="center"/>
          </w:tcPr>
          <w:p w14:paraId="14190486"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15,000.00 </w:t>
            </w:r>
          </w:p>
        </w:tc>
        <w:tc>
          <w:tcPr>
            <w:tcW w:w="437" w:type="pct"/>
            <w:tcMar>
              <w:top w:w="0" w:type="dxa"/>
              <w:left w:w="108" w:type="dxa"/>
              <w:bottom w:w="0" w:type="dxa"/>
              <w:right w:w="108" w:type="dxa"/>
            </w:tcMar>
            <w:vAlign w:val="center"/>
          </w:tcPr>
          <w:p w14:paraId="1ECF4513"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19,000.00 </w:t>
            </w:r>
          </w:p>
        </w:tc>
        <w:tc>
          <w:tcPr>
            <w:tcW w:w="437" w:type="pct"/>
            <w:tcMar>
              <w:top w:w="0" w:type="dxa"/>
              <w:left w:w="108" w:type="dxa"/>
              <w:bottom w:w="0" w:type="dxa"/>
              <w:right w:w="108" w:type="dxa"/>
            </w:tcMar>
            <w:vAlign w:val="center"/>
          </w:tcPr>
          <w:p w14:paraId="1099ACD1"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 xml:space="preserve">19,000.00 </w:t>
            </w:r>
          </w:p>
        </w:tc>
        <w:tc>
          <w:tcPr>
            <w:tcW w:w="437" w:type="pct"/>
            <w:tcMar>
              <w:top w:w="0" w:type="dxa"/>
              <w:left w:w="108" w:type="dxa"/>
              <w:bottom w:w="0" w:type="dxa"/>
              <w:right w:w="108" w:type="dxa"/>
            </w:tcMar>
            <w:vAlign w:val="center"/>
          </w:tcPr>
          <w:p w14:paraId="72878944"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19,000.00 </w:t>
            </w:r>
          </w:p>
        </w:tc>
        <w:tc>
          <w:tcPr>
            <w:tcW w:w="437" w:type="pct"/>
            <w:tcMar>
              <w:top w:w="0" w:type="dxa"/>
              <w:left w:w="108" w:type="dxa"/>
              <w:bottom w:w="0" w:type="dxa"/>
              <w:right w:w="108" w:type="dxa"/>
            </w:tcMar>
            <w:vAlign w:val="center"/>
          </w:tcPr>
          <w:p w14:paraId="54A9F082"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19,000.00 </w:t>
            </w:r>
          </w:p>
        </w:tc>
        <w:tc>
          <w:tcPr>
            <w:tcW w:w="521" w:type="pct"/>
            <w:tcMar>
              <w:top w:w="0" w:type="dxa"/>
              <w:left w:w="108" w:type="dxa"/>
              <w:bottom w:w="0" w:type="dxa"/>
              <w:right w:w="108" w:type="dxa"/>
            </w:tcMar>
            <w:vAlign w:val="center"/>
          </w:tcPr>
          <w:p w14:paraId="167CA058"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19,000.00 </w:t>
            </w:r>
          </w:p>
        </w:tc>
      </w:tr>
      <w:tr w:rsidR="00A117E4" w:rsidRPr="00B4515A" w14:paraId="74761A6B" w14:textId="77777777" w:rsidTr="00031627">
        <w:trPr>
          <w:trHeight w:val="340"/>
          <w:jc w:val="center"/>
        </w:trPr>
        <w:tc>
          <w:tcPr>
            <w:tcW w:w="243" w:type="pct"/>
            <w:tcMar>
              <w:top w:w="0" w:type="dxa"/>
              <w:left w:w="108" w:type="dxa"/>
              <w:bottom w:w="0" w:type="dxa"/>
              <w:right w:w="108" w:type="dxa"/>
            </w:tcMar>
            <w:vAlign w:val="center"/>
          </w:tcPr>
          <w:p w14:paraId="54A4246C" w14:textId="77777777" w:rsidR="006416B0" w:rsidRPr="00B4515A" w:rsidRDefault="006416B0" w:rsidP="005860B4">
            <w:pPr>
              <w:adjustRightInd w:val="0"/>
              <w:snapToGrid w:val="0"/>
              <w:jc w:val="center"/>
              <w:textAlignment w:val="bottom"/>
              <w:rPr>
                <w:rFonts w:ascii="Times New Roman" w:hAnsi="Times New Roman" w:cs="Times New Roman"/>
                <w:b/>
                <w:bCs/>
                <w:sz w:val="21"/>
                <w:szCs w:val="21"/>
              </w:rPr>
            </w:pPr>
          </w:p>
        </w:tc>
        <w:tc>
          <w:tcPr>
            <w:tcW w:w="761" w:type="pct"/>
            <w:tcMar>
              <w:top w:w="0" w:type="dxa"/>
              <w:left w:w="108" w:type="dxa"/>
              <w:bottom w:w="0" w:type="dxa"/>
              <w:right w:w="108" w:type="dxa"/>
            </w:tcMar>
            <w:vAlign w:val="center"/>
          </w:tcPr>
          <w:p w14:paraId="381626BD" w14:textId="77777777" w:rsidR="006416B0" w:rsidRPr="00B4515A" w:rsidRDefault="005E58C1" w:rsidP="005860B4">
            <w:pPr>
              <w:adjustRightInd w:val="0"/>
              <w:snapToGrid w:val="0"/>
              <w:textAlignment w:val="bottom"/>
              <w:rPr>
                <w:rFonts w:ascii="Times New Roman" w:hAnsi="Times New Roman" w:cs="Times New Roman"/>
                <w:kern w:val="2"/>
                <w:sz w:val="21"/>
                <w:szCs w:val="21"/>
              </w:rPr>
            </w:pPr>
            <w:r w:rsidRPr="00B4515A">
              <w:rPr>
                <w:rFonts w:ascii="Times New Roman" w:hAnsi="Times New Roman" w:cs="Times New Roman"/>
                <w:sz w:val="21"/>
                <w:szCs w:val="21"/>
              </w:rPr>
              <w:t>4.</w:t>
            </w:r>
            <w:r w:rsidRPr="00B4515A">
              <w:rPr>
                <w:rFonts w:ascii="Times New Roman" w:hAnsi="Times New Roman" w:cs="Times New Roman" w:hint="eastAsia"/>
                <w:sz w:val="21"/>
                <w:szCs w:val="21"/>
              </w:rPr>
              <w:t>新拓展业务</w:t>
            </w:r>
          </w:p>
        </w:tc>
        <w:tc>
          <w:tcPr>
            <w:tcW w:w="495" w:type="pct"/>
            <w:tcMar>
              <w:top w:w="0" w:type="dxa"/>
              <w:left w:w="108" w:type="dxa"/>
              <w:bottom w:w="0" w:type="dxa"/>
              <w:right w:w="108" w:type="dxa"/>
            </w:tcMar>
            <w:vAlign w:val="center"/>
          </w:tcPr>
          <w:p w14:paraId="44D902E4"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0.00 </w:t>
            </w:r>
          </w:p>
        </w:tc>
        <w:tc>
          <w:tcPr>
            <w:tcW w:w="399" w:type="pct"/>
            <w:tcMar>
              <w:top w:w="0" w:type="dxa"/>
              <w:left w:w="108" w:type="dxa"/>
              <w:bottom w:w="0" w:type="dxa"/>
              <w:right w:w="108" w:type="dxa"/>
            </w:tcMar>
            <w:vAlign w:val="center"/>
          </w:tcPr>
          <w:p w14:paraId="5450C3B0"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0.00 </w:t>
            </w:r>
          </w:p>
        </w:tc>
        <w:tc>
          <w:tcPr>
            <w:tcW w:w="399" w:type="pct"/>
            <w:tcMar>
              <w:top w:w="0" w:type="dxa"/>
              <w:left w:w="108" w:type="dxa"/>
              <w:bottom w:w="0" w:type="dxa"/>
              <w:right w:w="108" w:type="dxa"/>
            </w:tcMar>
            <w:vAlign w:val="center"/>
          </w:tcPr>
          <w:p w14:paraId="39700F21"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3,800.00 </w:t>
            </w:r>
          </w:p>
        </w:tc>
        <w:tc>
          <w:tcPr>
            <w:tcW w:w="437" w:type="pct"/>
            <w:tcMar>
              <w:top w:w="0" w:type="dxa"/>
              <w:left w:w="108" w:type="dxa"/>
              <w:bottom w:w="0" w:type="dxa"/>
              <w:right w:w="108" w:type="dxa"/>
            </w:tcMar>
            <w:vAlign w:val="center"/>
          </w:tcPr>
          <w:p w14:paraId="1B0136D0"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8,000.00 </w:t>
            </w:r>
          </w:p>
        </w:tc>
        <w:tc>
          <w:tcPr>
            <w:tcW w:w="437" w:type="pct"/>
            <w:tcMar>
              <w:top w:w="0" w:type="dxa"/>
              <w:left w:w="108" w:type="dxa"/>
              <w:bottom w:w="0" w:type="dxa"/>
              <w:right w:w="108" w:type="dxa"/>
            </w:tcMar>
            <w:vAlign w:val="center"/>
          </w:tcPr>
          <w:p w14:paraId="18A08A87"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12,000.00 </w:t>
            </w:r>
          </w:p>
        </w:tc>
        <w:tc>
          <w:tcPr>
            <w:tcW w:w="437" w:type="pct"/>
            <w:tcMar>
              <w:top w:w="0" w:type="dxa"/>
              <w:left w:w="108" w:type="dxa"/>
              <w:bottom w:w="0" w:type="dxa"/>
              <w:right w:w="108" w:type="dxa"/>
            </w:tcMar>
            <w:vAlign w:val="center"/>
          </w:tcPr>
          <w:p w14:paraId="61EF2306"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 xml:space="preserve">12,000.00 </w:t>
            </w:r>
          </w:p>
        </w:tc>
        <w:tc>
          <w:tcPr>
            <w:tcW w:w="437" w:type="pct"/>
            <w:tcMar>
              <w:top w:w="0" w:type="dxa"/>
              <w:left w:w="108" w:type="dxa"/>
              <w:bottom w:w="0" w:type="dxa"/>
              <w:right w:w="108" w:type="dxa"/>
            </w:tcMar>
            <w:vAlign w:val="center"/>
          </w:tcPr>
          <w:p w14:paraId="2E1F900C"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12,000.00 </w:t>
            </w:r>
          </w:p>
        </w:tc>
        <w:tc>
          <w:tcPr>
            <w:tcW w:w="437" w:type="pct"/>
            <w:tcMar>
              <w:top w:w="0" w:type="dxa"/>
              <w:left w:w="108" w:type="dxa"/>
              <w:bottom w:w="0" w:type="dxa"/>
              <w:right w:w="108" w:type="dxa"/>
            </w:tcMar>
            <w:vAlign w:val="center"/>
          </w:tcPr>
          <w:p w14:paraId="0BE5E14C"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12,000.00 </w:t>
            </w:r>
          </w:p>
        </w:tc>
        <w:tc>
          <w:tcPr>
            <w:tcW w:w="521" w:type="pct"/>
            <w:tcMar>
              <w:top w:w="0" w:type="dxa"/>
              <w:left w:w="108" w:type="dxa"/>
              <w:bottom w:w="0" w:type="dxa"/>
              <w:right w:w="108" w:type="dxa"/>
            </w:tcMar>
            <w:vAlign w:val="center"/>
          </w:tcPr>
          <w:p w14:paraId="0D00D849"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12,000.00 </w:t>
            </w:r>
          </w:p>
        </w:tc>
      </w:tr>
      <w:tr w:rsidR="00A117E4" w:rsidRPr="00B4515A" w14:paraId="728AC8E0" w14:textId="77777777" w:rsidTr="00031627">
        <w:trPr>
          <w:trHeight w:val="340"/>
          <w:jc w:val="center"/>
        </w:trPr>
        <w:tc>
          <w:tcPr>
            <w:tcW w:w="243" w:type="pct"/>
            <w:tcMar>
              <w:top w:w="0" w:type="dxa"/>
              <w:left w:w="108" w:type="dxa"/>
              <w:bottom w:w="0" w:type="dxa"/>
              <w:right w:w="108" w:type="dxa"/>
            </w:tcMar>
            <w:vAlign w:val="center"/>
          </w:tcPr>
          <w:p w14:paraId="71E07A06"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hint="eastAsia"/>
                <w:b/>
                <w:bCs/>
                <w:color w:val="000000"/>
                <w:sz w:val="21"/>
                <w:szCs w:val="21"/>
              </w:rPr>
              <w:t>Ⅱ</w:t>
            </w:r>
          </w:p>
        </w:tc>
        <w:tc>
          <w:tcPr>
            <w:tcW w:w="761" w:type="pct"/>
            <w:tcMar>
              <w:top w:w="0" w:type="dxa"/>
              <w:left w:w="108" w:type="dxa"/>
              <w:bottom w:w="0" w:type="dxa"/>
              <w:right w:w="108" w:type="dxa"/>
            </w:tcMar>
            <w:vAlign w:val="center"/>
          </w:tcPr>
          <w:p w14:paraId="4BB61B76" w14:textId="77777777" w:rsidR="006416B0" w:rsidRPr="00B4515A" w:rsidRDefault="005E58C1" w:rsidP="005860B4">
            <w:pPr>
              <w:adjustRightInd w:val="0"/>
              <w:snapToGrid w:val="0"/>
              <w:textAlignment w:val="center"/>
              <w:rPr>
                <w:rFonts w:ascii="Times New Roman" w:hAnsi="Times New Roman" w:cs="Times New Roman"/>
                <w:b/>
                <w:bCs/>
                <w:kern w:val="2"/>
                <w:sz w:val="21"/>
                <w:szCs w:val="21"/>
              </w:rPr>
            </w:pPr>
            <w:r w:rsidRPr="00B4515A">
              <w:rPr>
                <w:rFonts w:ascii="Times New Roman" w:hAnsi="Times New Roman" w:cs="Times New Roman" w:hint="eastAsia"/>
                <w:b/>
                <w:bCs/>
                <w:sz w:val="21"/>
                <w:szCs w:val="21"/>
              </w:rPr>
              <w:t>技术服务</w:t>
            </w:r>
          </w:p>
        </w:tc>
        <w:tc>
          <w:tcPr>
            <w:tcW w:w="495" w:type="pct"/>
            <w:tcMar>
              <w:top w:w="0" w:type="dxa"/>
              <w:left w:w="108" w:type="dxa"/>
              <w:bottom w:w="0" w:type="dxa"/>
              <w:right w:w="108" w:type="dxa"/>
            </w:tcMar>
            <w:vAlign w:val="center"/>
          </w:tcPr>
          <w:p w14:paraId="24484B45"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9,000.00 </w:t>
            </w:r>
          </w:p>
        </w:tc>
        <w:tc>
          <w:tcPr>
            <w:tcW w:w="399" w:type="pct"/>
            <w:tcMar>
              <w:top w:w="0" w:type="dxa"/>
              <w:left w:w="108" w:type="dxa"/>
              <w:bottom w:w="0" w:type="dxa"/>
              <w:right w:w="108" w:type="dxa"/>
            </w:tcMar>
            <w:vAlign w:val="center"/>
          </w:tcPr>
          <w:p w14:paraId="047C61E6"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10,000.00 </w:t>
            </w:r>
          </w:p>
        </w:tc>
        <w:tc>
          <w:tcPr>
            <w:tcW w:w="399" w:type="pct"/>
            <w:tcMar>
              <w:top w:w="0" w:type="dxa"/>
              <w:left w:w="108" w:type="dxa"/>
              <w:bottom w:w="0" w:type="dxa"/>
              <w:right w:w="108" w:type="dxa"/>
            </w:tcMar>
            <w:vAlign w:val="center"/>
          </w:tcPr>
          <w:p w14:paraId="32C46123"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10,500.00 </w:t>
            </w:r>
          </w:p>
        </w:tc>
        <w:tc>
          <w:tcPr>
            <w:tcW w:w="437" w:type="pct"/>
            <w:tcMar>
              <w:top w:w="0" w:type="dxa"/>
              <w:left w:w="108" w:type="dxa"/>
              <w:bottom w:w="0" w:type="dxa"/>
              <w:right w:w="108" w:type="dxa"/>
            </w:tcMar>
            <w:vAlign w:val="center"/>
          </w:tcPr>
          <w:p w14:paraId="32CF587A"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11,500.00 </w:t>
            </w:r>
          </w:p>
        </w:tc>
        <w:tc>
          <w:tcPr>
            <w:tcW w:w="437" w:type="pct"/>
            <w:tcMar>
              <w:top w:w="0" w:type="dxa"/>
              <w:left w:w="108" w:type="dxa"/>
              <w:bottom w:w="0" w:type="dxa"/>
              <w:right w:w="108" w:type="dxa"/>
            </w:tcMar>
            <w:vAlign w:val="center"/>
          </w:tcPr>
          <w:p w14:paraId="57821537"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15,000.00 </w:t>
            </w:r>
          </w:p>
        </w:tc>
        <w:tc>
          <w:tcPr>
            <w:tcW w:w="437" w:type="pct"/>
            <w:tcMar>
              <w:top w:w="0" w:type="dxa"/>
              <w:left w:w="108" w:type="dxa"/>
              <w:bottom w:w="0" w:type="dxa"/>
              <w:right w:w="108" w:type="dxa"/>
            </w:tcMar>
            <w:vAlign w:val="center"/>
          </w:tcPr>
          <w:p w14:paraId="3474B11A" w14:textId="77777777" w:rsidR="006416B0" w:rsidRPr="00B4515A" w:rsidRDefault="005E58C1" w:rsidP="005860B4">
            <w:pPr>
              <w:adjustRightInd w:val="0"/>
              <w:snapToGrid w:val="0"/>
              <w:jc w:val="right"/>
              <w:textAlignment w:val="center"/>
              <w:rPr>
                <w:rFonts w:ascii="Times New Roman" w:hAnsi="Times New Roman" w:cs="Times New Roman"/>
                <w:b/>
                <w:bCs/>
                <w:color w:val="000000"/>
                <w:kern w:val="2"/>
                <w:sz w:val="21"/>
                <w:szCs w:val="21"/>
              </w:rPr>
            </w:pPr>
            <w:r w:rsidRPr="00B4515A">
              <w:rPr>
                <w:rFonts w:ascii="Times New Roman" w:hAnsi="Times New Roman" w:cs="Times New Roman"/>
                <w:b/>
                <w:bCs/>
                <w:sz w:val="21"/>
                <w:szCs w:val="21"/>
              </w:rPr>
              <w:t xml:space="preserve">15,000.00 </w:t>
            </w:r>
          </w:p>
        </w:tc>
        <w:tc>
          <w:tcPr>
            <w:tcW w:w="437" w:type="pct"/>
            <w:tcMar>
              <w:top w:w="0" w:type="dxa"/>
              <w:left w:w="108" w:type="dxa"/>
              <w:bottom w:w="0" w:type="dxa"/>
              <w:right w:w="108" w:type="dxa"/>
            </w:tcMar>
            <w:vAlign w:val="center"/>
          </w:tcPr>
          <w:p w14:paraId="7BBB0F47" w14:textId="77777777" w:rsidR="006416B0" w:rsidRPr="00B4515A" w:rsidRDefault="005E58C1" w:rsidP="005860B4">
            <w:pPr>
              <w:adjustRightInd w:val="0"/>
              <w:snapToGrid w:val="0"/>
              <w:jc w:val="right"/>
              <w:textAlignment w:val="center"/>
              <w:rPr>
                <w:rFonts w:ascii="Times New Roman" w:hAnsi="Times New Roman" w:cs="Times New Roman"/>
                <w:b/>
                <w:bCs/>
                <w:color w:val="000000"/>
                <w:sz w:val="21"/>
                <w:szCs w:val="21"/>
              </w:rPr>
            </w:pPr>
            <w:r w:rsidRPr="00B4515A">
              <w:rPr>
                <w:rFonts w:ascii="Times New Roman" w:hAnsi="Times New Roman" w:cs="Times New Roman"/>
                <w:b/>
                <w:bCs/>
                <w:sz w:val="21"/>
                <w:szCs w:val="21"/>
              </w:rPr>
              <w:t xml:space="preserve">15,000.00 </w:t>
            </w:r>
          </w:p>
        </w:tc>
        <w:tc>
          <w:tcPr>
            <w:tcW w:w="437" w:type="pct"/>
            <w:tcMar>
              <w:top w:w="0" w:type="dxa"/>
              <w:left w:w="108" w:type="dxa"/>
              <w:bottom w:w="0" w:type="dxa"/>
              <w:right w:w="108" w:type="dxa"/>
            </w:tcMar>
            <w:vAlign w:val="center"/>
          </w:tcPr>
          <w:p w14:paraId="52461904" w14:textId="77777777" w:rsidR="006416B0" w:rsidRPr="00B4515A" w:rsidRDefault="005E58C1" w:rsidP="005860B4">
            <w:pPr>
              <w:adjustRightInd w:val="0"/>
              <w:snapToGrid w:val="0"/>
              <w:jc w:val="right"/>
              <w:textAlignment w:val="center"/>
              <w:rPr>
                <w:rFonts w:ascii="Times New Roman" w:hAnsi="Times New Roman" w:cs="Times New Roman"/>
                <w:b/>
                <w:bCs/>
                <w:color w:val="000000"/>
                <w:sz w:val="21"/>
                <w:szCs w:val="21"/>
              </w:rPr>
            </w:pPr>
            <w:r w:rsidRPr="00B4515A">
              <w:rPr>
                <w:rFonts w:ascii="Times New Roman" w:hAnsi="Times New Roman" w:cs="Times New Roman"/>
                <w:b/>
                <w:bCs/>
                <w:sz w:val="21"/>
                <w:szCs w:val="21"/>
              </w:rPr>
              <w:t xml:space="preserve">15,000.00 </w:t>
            </w:r>
          </w:p>
        </w:tc>
        <w:tc>
          <w:tcPr>
            <w:tcW w:w="521" w:type="pct"/>
            <w:tcMar>
              <w:top w:w="0" w:type="dxa"/>
              <w:left w:w="108" w:type="dxa"/>
              <w:bottom w:w="0" w:type="dxa"/>
              <w:right w:w="108" w:type="dxa"/>
            </w:tcMar>
            <w:vAlign w:val="center"/>
          </w:tcPr>
          <w:p w14:paraId="663AA2F7" w14:textId="77777777" w:rsidR="006416B0" w:rsidRPr="00B4515A" w:rsidRDefault="005E58C1" w:rsidP="005860B4">
            <w:pPr>
              <w:adjustRightInd w:val="0"/>
              <w:snapToGrid w:val="0"/>
              <w:jc w:val="right"/>
              <w:textAlignment w:val="center"/>
              <w:rPr>
                <w:rFonts w:ascii="Times New Roman" w:hAnsi="Times New Roman" w:cs="Times New Roman"/>
                <w:b/>
                <w:bCs/>
                <w:color w:val="000000"/>
                <w:sz w:val="21"/>
                <w:szCs w:val="21"/>
              </w:rPr>
            </w:pPr>
            <w:r w:rsidRPr="00B4515A">
              <w:rPr>
                <w:rFonts w:ascii="Times New Roman" w:hAnsi="Times New Roman" w:cs="Times New Roman"/>
                <w:b/>
                <w:bCs/>
                <w:sz w:val="21"/>
                <w:szCs w:val="21"/>
              </w:rPr>
              <w:t xml:space="preserve">15,000.00 </w:t>
            </w:r>
          </w:p>
        </w:tc>
      </w:tr>
      <w:tr w:rsidR="00A117E4" w:rsidRPr="00B4515A" w14:paraId="51011C4D" w14:textId="77777777" w:rsidTr="00031627">
        <w:trPr>
          <w:trHeight w:val="340"/>
          <w:jc w:val="center"/>
        </w:trPr>
        <w:tc>
          <w:tcPr>
            <w:tcW w:w="243" w:type="pct"/>
            <w:tcMar>
              <w:top w:w="0" w:type="dxa"/>
              <w:left w:w="108" w:type="dxa"/>
              <w:bottom w:w="0" w:type="dxa"/>
              <w:right w:w="108" w:type="dxa"/>
            </w:tcMar>
            <w:vAlign w:val="center"/>
          </w:tcPr>
          <w:p w14:paraId="51492FD6"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hint="eastAsia"/>
                <w:b/>
                <w:bCs/>
                <w:color w:val="000000"/>
                <w:sz w:val="21"/>
                <w:szCs w:val="21"/>
              </w:rPr>
              <w:t>Ⅲ</w:t>
            </w:r>
          </w:p>
        </w:tc>
        <w:tc>
          <w:tcPr>
            <w:tcW w:w="761" w:type="pct"/>
            <w:tcMar>
              <w:top w:w="0" w:type="dxa"/>
              <w:left w:w="108" w:type="dxa"/>
              <w:bottom w:w="0" w:type="dxa"/>
              <w:right w:w="108" w:type="dxa"/>
            </w:tcMar>
            <w:vAlign w:val="center"/>
          </w:tcPr>
          <w:p w14:paraId="7FBD0552" w14:textId="77777777" w:rsidR="006416B0" w:rsidRPr="00B4515A" w:rsidRDefault="005E58C1" w:rsidP="005860B4">
            <w:pPr>
              <w:adjustRightInd w:val="0"/>
              <w:snapToGrid w:val="0"/>
              <w:textAlignment w:val="center"/>
              <w:rPr>
                <w:rFonts w:ascii="Times New Roman" w:hAnsi="Times New Roman" w:cs="Times New Roman"/>
                <w:b/>
                <w:bCs/>
                <w:sz w:val="21"/>
                <w:szCs w:val="21"/>
              </w:rPr>
            </w:pPr>
            <w:r w:rsidRPr="00B4515A">
              <w:rPr>
                <w:rFonts w:ascii="Times New Roman" w:hAnsi="Times New Roman" w:cs="Times New Roman" w:hint="eastAsia"/>
                <w:b/>
                <w:bCs/>
                <w:color w:val="000000"/>
                <w:sz w:val="21"/>
                <w:szCs w:val="21"/>
              </w:rPr>
              <w:t>工程业务</w:t>
            </w:r>
          </w:p>
        </w:tc>
        <w:tc>
          <w:tcPr>
            <w:tcW w:w="495" w:type="pct"/>
            <w:tcMar>
              <w:top w:w="0" w:type="dxa"/>
              <w:left w:w="108" w:type="dxa"/>
              <w:bottom w:w="0" w:type="dxa"/>
              <w:right w:w="108" w:type="dxa"/>
            </w:tcMar>
            <w:vAlign w:val="center"/>
          </w:tcPr>
          <w:p w14:paraId="1182202A"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 4,700.00 </w:t>
            </w:r>
          </w:p>
        </w:tc>
        <w:tc>
          <w:tcPr>
            <w:tcW w:w="399" w:type="pct"/>
            <w:tcMar>
              <w:top w:w="0" w:type="dxa"/>
              <w:left w:w="108" w:type="dxa"/>
              <w:bottom w:w="0" w:type="dxa"/>
              <w:right w:w="108" w:type="dxa"/>
            </w:tcMar>
            <w:vAlign w:val="center"/>
          </w:tcPr>
          <w:p w14:paraId="4818AB06"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 6,100.00 </w:t>
            </w:r>
          </w:p>
        </w:tc>
        <w:tc>
          <w:tcPr>
            <w:tcW w:w="399" w:type="pct"/>
            <w:tcMar>
              <w:top w:w="0" w:type="dxa"/>
              <w:left w:w="108" w:type="dxa"/>
              <w:bottom w:w="0" w:type="dxa"/>
              <w:right w:w="108" w:type="dxa"/>
            </w:tcMar>
            <w:vAlign w:val="center"/>
          </w:tcPr>
          <w:p w14:paraId="7565CEC2"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 8,100.00 </w:t>
            </w:r>
          </w:p>
        </w:tc>
        <w:tc>
          <w:tcPr>
            <w:tcW w:w="437" w:type="pct"/>
            <w:tcMar>
              <w:top w:w="0" w:type="dxa"/>
              <w:left w:w="108" w:type="dxa"/>
              <w:bottom w:w="0" w:type="dxa"/>
              <w:right w:w="108" w:type="dxa"/>
            </w:tcMar>
            <w:vAlign w:val="center"/>
          </w:tcPr>
          <w:p w14:paraId="5DB9D08D"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 8,500.00 </w:t>
            </w:r>
          </w:p>
        </w:tc>
        <w:tc>
          <w:tcPr>
            <w:tcW w:w="437" w:type="pct"/>
            <w:tcMar>
              <w:top w:w="0" w:type="dxa"/>
              <w:left w:w="108" w:type="dxa"/>
              <w:bottom w:w="0" w:type="dxa"/>
              <w:right w:w="108" w:type="dxa"/>
            </w:tcMar>
            <w:vAlign w:val="center"/>
          </w:tcPr>
          <w:p w14:paraId="3C82969A"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color w:val="000000"/>
                <w:sz w:val="21"/>
                <w:szCs w:val="21"/>
              </w:rPr>
              <w:t xml:space="preserve"> 12,000.00 </w:t>
            </w:r>
          </w:p>
        </w:tc>
        <w:tc>
          <w:tcPr>
            <w:tcW w:w="437" w:type="pct"/>
            <w:tcMar>
              <w:top w:w="0" w:type="dxa"/>
              <w:left w:w="108" w:type="dxa"/>
              <w:bottom w:w="0" w:type="dxa"/>
              <w:right w:w="108" w:type="dxa"/>
            </w:tcMar>
            <w:vAlign w:val="center"/>
          </w:tcPr>
          <w:p w14:paraId="78D86291" w14:textId="77777777" w:rsidR="006416B0" w:rsidRPr="00B4515A" w:rsidRDefault="005E58C1" w:rsidP="005860B4">
            <w:pPr>
              <w:adjustRightInd w:val="0"/>
              <w:snapToGrid w:val="0"/>
              <w:jc w:val="right"/>
              <w:textAlignment w:val="center"/>
              <w:rPr>
                <w:rFonts w:ascii="Times New Roman" w:hAnsi="Times New Roman" w:cs="Times New Roman"/>
                <w:b/>
                <w:bCs/>
                <w:color w:val="000000"/>
                <w:sz w:val="21"/>
                <w:szCs w:val="21"/>
              </w:rPr>
            </w:pPr>
            <w:r w:rsidRPr="00B4515A">
              <w:rPr>
                <w:rFonts w:ascii="Times New Roman" w:hAnsi="Times New Roman" w:cs="Times New Roman"/>
                <w:b/>
                <w:bCs/>
                <w:sz w:val="21"/>
                <w:szCs w:val="21"/>
              </w:rPr>
              <w:t xml:space="preserve">12,000.00 </w:t>
            </w:r>
          </w:p>
        </w:tc>
        <w:tc>
          <w:tcPr>
            <w:tcW w:w="437" w:type="pct"/>
            <w:tcMar>
              <w:top w:w="0" w:type="dxa"/>
              <w:left w:w="108" w:type="dxa"/>
              <w:bottom w:w="0" w:type="dxa"/>
              <w:right w:w="108" w:type="dxa"/>
            </w:tcMar>
            <w:vAlign w:val="center"/>
          </w:tcPr>
          <w:p w14:paraId="204A3F9A" w14:textId="77777777" w:rsidR="006416B0" w:rsidRPr="00B4515A" w:rsidRDefault="005E58C1" w:rsidP="005860B4">
            <w:pPr>
              <w:adjustRightInd w:val="0"/>
              <w:snapToGrid w:val="0"/>
              <w:jc w:val="right"/>
              <w:textAlignment w:val="center"/>
              <w:rPr>
                <w:rFonts w:ascii="Times New Roman" w:hAnsi="Times New Roman" w:cs="Times New Roman"/>
                <w:b/>
                <w:bCs/>
                <w:color w:val="000000"/>
                <w:sz w:val="21"/>
                <w:szCs w:val="21"/>
              </w:rPr>
            </w:pPr>
            <w:r w:rsidRPr="00B4515A">
              <w:rPr>
                <w:rFonts w:ascii="Times New Roman" w:hAnsi="Times New Roman" w:cs="Times New Roman"/>
                <w:b/>
                <w:bCs/>
                <w:sz w:val="21"/>
                <w:szCs w:val="21"/>
              </w:rPr>
              <w:t xml:space="preserve">12,000.00 </w:t>
            </w:r>
          </w:p>
        </w:tc>
        <w:tc>
          <w:tcPr>
            <w:tcW w:w="437" w:type="pct"/>
            <w:tcMar>
              <w:top w:w="0" w:type="dxa"/>
              <w:left w:w="108" w:type="dxa"/>
              <w:bottom w:w="0" w:type="dxa"/>
              <w:right w:w="108" w:type="dxa"/>
            </w:tcMar>
            <w:vAlign w:val="center"/>
          </w:tcPr>
          <w:p w14:paraId="5B76B236" w14:textId="77777777" w:rsidR="006416B0" w:rsidRPr="00B4515A" w:rsidRDefault="005E58C1" w:rsidP="005860B4">
            <w:pPr>
              <w:adjustRightInd w:val="0"/>
              <w:snapToGrid w:val="0"/>
              <w:jc w:val="right"/>
              <w:textAlignment w:val="center"/>
              <w:rPr>
                <w:rFonts w:ascii="Times New Roman" w:hAnsi="Times New Roman" w:cs="Times New Roman"/>
                <w:b/>
                <w:bCs/>
                <w:color w:val="000000"/>
                <w:sz w:val="21"/>
                <w:szCs w:val="21"/>
              </w:rPr>
            </w:pPr>
            <w:r w:rsidRPr="00B4515A">
              <w:rPr>
                <w:rFonts w:ascii="Times New Roman" w:hAnsi="Times New Roman" w:cs="Times New Roman"/>
                <w:b/>
                <w:bCs/>
                <w:sz w:val="21"/>
                <w:szCs w:val="21"/>
              </w:rPr>
              <w:t xml:space="preserve">12,000.00 </w:t>
            </w:r>
          </w:p>
        </w:tc>
        <w:tc>
          <w:tcPr>
            <w:tcW w:w="521" w:type="pct"/>
            <w:tcMar>
              <w:top w:w="0" w:type="dxa"/>
              <w:left w:w="108" w:type="dxa"/>
              <w:bottom w:w="0" w:type="dxa"/>
              <w:right w:w="108" w:type="dxa"/>
            </w:tcMar>
            <w:vAlign w:val="center"/>
          </w:tcPr>
          <w:p w14:paraId="739FB574" w14:textId="77777777" w:rsidR="006416B0" w:rsidRPr="00B4515A" w:rsidRDefault="005E58C1" w:rsidP="005860B4">
            <w:pPr>
              <w:adjustRightInd w:val="0"/>
              <w:snapToGrid w:val="0"/>
              <w:jc w:val="right"/>
              <w:textAlignment w:val="center"/>
              <w:rPr>
                <w:rFonts w:ascii="Times New Roman" w:hAnsi="Times New Roman" w:cs="Times New Roman"/>
                <w:b/>
                <w:bCs/>
                <w:color w:val="000000"/>
                <w:sz w:val="21"/>
                <w:szCs w:val="21"/>
              </w:rPr>
            </w:pPr>
            <w:r w:rsidRPr="00B4515A">
              <w:rPr>
                <w:rFonts w:ascii="Times New Roman" w:hAnsi="Times New Roman" w:cs="Times New Roman"/>
                <w:b/>
                <w:bCs/>
                <w:sz w:val="21"/>
                <w:szCs w:val="21"/>
              </w:rPr>
              <w:t xml:space="preserve">12,000.00 </w:t>
            </w:r>
          </w:p>
        </w:tc>
      </w:tr>
    </w:tbl>
    <w:bookmarkEnd w:id="256"/>
    <w:p w14:paraId="32A784E0" w14:textId="77777777" w:rsidR="006416B0" w:rsidRPr="00B4515A" w:rsidRDefault="005E58C1" w:rsidP="005860B4">
      <w:pPr>
        <w:pStyle w:val="005"/>
        <w:spacing w:before="120" w:after="120"/>
        <w:ind w:firstLine="480"/>
      </w:pPr>
      <w:r w:rsidRPr="00B4515A">
        <w:t>2</w:t>
      </w:r>
      <w:r w:rsidRPr="00B4515A">
        <w:rPr>
          <w:rFonts w:hint="eastAsia"/>
        </w:rPr>
        <w:t>）主营业务成本</w:t>
      </w:r>
    </w:p>
    <w:p w14:paraId="5FA1431D" w14:textId="77777777" w:rsidR="006416B0" w:rsidRPr="00B4515A" w:rsidRDefault="005E58C1" w:rsidP="005860B4">
      <w:pPr>
        <w:pStyle w:val="009"/>
      </w:pPr>
      <w:r w:rsidRPr="00B4515A">
        <w:rPr>
          <w:rFonts w:hint="eastAsia"/>
        </w:rPr>
        <w:lastRenderedPageBreak/>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97"/>
        <w:gridCol w:w="2139"/>
        <w:gridCol w:w="1415"/>
        <w:gridCol w:w="1154"/>
        <w:gridCol w:w="1154"/>
        <w:gridCol w:w="1154"/>
        <w:gridCol w:w="1154"/>
        <w:gridCol w:w="1154"/>
        <w:gridCol w:w="1154"/>
        <w:gridCol w:w="1154"/>
        <w:gridCol w:w="1145"/>
      </w:tblGrid>
      <w:tr w:rsidR="006416B0" w:rsidRPr="00B4515A" w14:paraId="4EA9D73C" w14:textId="77777777" w:rsidTr="00EE238F">
        <w:trPr>
          <w:trHeight w:val="340"/>
          <w:jc w:val="center"/>
        </w:trPr>
        <w:tc>
          <w:tcPr>
            <w:tcW w:w="493" w:type="pct"/>
            <w:tcMar>
              <w:top w:w="0" w:type="dxa"/>
              <w:left w:w="108" w:type="dxa"/>
              <w:bottom w:w="0" w:type="dxa"/>
              <w:right w:w="108" w:type="dxa"/>
            </w:tcMar>
            <w:vAlign w:val="center"/>
          </w:tcPr>
          <w:p w14:paraId="4898A326" w14:textId="77777777" w:rsidR="006416B0" w:rsidRPr="00B4515A" w:rsidRDefault="005E58C1" w:rsidP="005860B4">
            <w:pPr>
              <w:keepNext/>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hint="eastAsia"/>
                <w:b/>
                <w:bCs/>
                <w:sz w:val="21"/>
                <w:szCs w:val="21"/>
              </w:rPr>
              <w:t>序号</w:t>
            </w:r>
          </w:p>
        </w:tc>
        <w:tc>
          <w:tcPr>
            <w:tcW w:w="755" w:type="pct"/>
            <w:tcMar>
              <w:top w:w="0" w:type="dxa"/>
              <w:left w:w="108" w:type="dxa"/>
              <w:bottom w:w="0" w:type="dxa"/>
              <w:right w:w="108" w:type="dxa"/>
            </w:tcMar>
            <w:vAlign w:val="center"/>
          </w:tcPr>
          <w:p w14:paraId="22B7CD10" w14:textId="77777777" w:rsidR="006416B0" w:rsidRPr="00B4515A" w:rsidRDefault="005E58C1" w:rsidP="005860B4">
            <w:pPr>
              <w:keepNext/>
              <w:adjustRightInd w:val="0"/>
              <w:snapToGrid w:val="0"/>
              <w:jc w:val="center"/>
              <w:textAlignment w:val="center"/>
              <w:rPr>
                <w:rFonts w:ascii="Times New Roman" w:hAnsi="Times New Roman" w:cs="Times New Roman"/>
                <w:b/>
                <w:bCs/>
                <w:kern w:val="2"/>
                <w:sz w:val="21"/>
                <w:szCs w:val="21"/>
              </w:rPr>
            </w:pPr>
            <w:r w:rsidRPr="00B4515A">
              <w:rPr>
                <w:rFonts w:ascii="Times New Roman" w:hAnsi="Times New Roman" w:cs="Times New Roman" w:hint="eastAsia"/>
                <w:b/>
                <w:bCs/>
                <w:sz w:val="21"/>
                <w:szCs w:val="21"/>
              </w:rPr>
              <w:t>项目</w:t>
            </w:r>
          </w:p>
        </w:tc>
        <w:tc>
          <w:tcPr>
            <w:tcW w:w="499" w:type="pct"/>
            <w:tcMar>
              <w:top w:w="0" w:type="dxa"/>
              <w:left w:w="108" w:type="dxa"/>
              <w:bottom w:w="0" w:type="dxa"/>
              <w:right w:w="108" w:type="dxa"/>
            </w:tcMar>
            <w:vAlign w:val="center"/>
          </w:tcPr>
          <w:p w14:paraId="004293A4" w14:textId="77777777" w:rsidR="006416B0" w:rsidRPr="00B4515A" w:rsidRDefault="005E58C1" w:rsidP="005860B4">
            <w:pPr>
              <w:keepNext/>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hint="eastAsia"/>
                <w:b/>
                <w:bCs/>
                <w:sz w:val="21"/>
                <w:szCs w:val="21"/>
              </w:rPr>
              <w:t>年全年</w:t>
            </w:r>
          </w:p>
        </w:tc>
        <w:tc>
          <w:tcPr>
            <w:tcW w:w="407" w:type="pct"/>
            <w:tcMar>
              <w:top w:w="0" w:type="dxa"/>
              <w:left w:w="108" w:type="dxa"/>
              <w:bottom w:w="0" w:type="dxa"/>
              <w:right w:w="108" w:type="dxa"/>
            </w:tcMar>
            <w:vAlign w:val="center"/>
          </w:tcPr>
          <w:p w14:paraId="1526B03B" w14:textId="77777777" w:rsidR="006416B0" w:rsidRPr="00B4515A" w:rsidRDefault="005E58C1" w:rsidP="005860B4">
            <w:pPr>
              <w:keepNext/>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2022</w:t>
            </w:r>
            <w:r w:rsidRPr="00B4515A">
              <w:rPr>
                <w:rFonts w:ascii="Times New Roman" w:hAnsi="Times New Roman" w:cs="Times New Roman" w:hint="eastAsia"/>
                <w:b/>
                <w:bCs/>
                <w:sz w:val="21"/>
                <w:szCs w:val="21"/>
              </w:rPr>
              <w:t>年</w:t>
            </w:r>
          </w:p>
        </w:tc>
        <w:tc>
          <w:tcPr>
            <w:tcW w:w="407" w:type="pct"/>
            <w:tcMar>
              <w:top w:w="0" w:type="dxa"/>
              <w:left w:w="108" w:type="dxa"/>
              <w:bottom w:w="0" w:type="dxa"/>
              <w:right w:w="108" w:type="dxa"/>
            </w:tcMar>
            <w:vAlign w:val="center"/>
          </w:tcPr>
          <w:p w14:paraId="08437D03" w14:textId="77777777" w:rsidR="006416B0" w:rsidRPr="00B4515A" w:rsidRDefault="005E58C1" w:rsidP="005860B4">
            <w:pPr>
              <w:keepNext/>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2023</w:t>
            </w:r>
            <w:r w:rsidRPr="00B4515A">
              <w:rPr>
                <w:rFonts w:ascii="Times New Roman" w:hAnsi="Times New Roman" w:cs="Times New Roman" w:hint="eastAsia"/>
                <w:b/>
                <w:bCs/>
                <w:sz w:val="21"/>
                <w:szCs w:val="21"/>
              </w:rPr>
              <w:t>年</w:t>
            </w:r>
          </w:p>
        </w:tc>
        <w:tc>
          <w:tcPr>
            <w:tcW w:w="407" w:type="pct"/>
            <w:tcMar>
              <w:top w:w="0" w:type="dxa"/>
              <w:left w:w="108" w:type="dxa"/>
              <w:bottom w:w="0" w:type="dxa"/>
              <w:right w:w="108" w:type="dxa"/>
            </w:tcMar>
            <w:vAlign w:val="center"/>
          </w:tcPr>
          <w:p w14:paraId="201F9911" w14:textId="77777777" w:rsidR="006416B0" w:rsidRPr="00B4515A" w:rsidRDefault="005E58C1" w:rsidP="005860B4">
            <w:pPr>
              <w:keepNext/>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2024</w:t>
            </w:r>
            <w:r w:rsidRPr="00B4515A">
              <w:rPr>
                <w:rFonts w:ascii="Times New Roman" w:hAnsi="Times New Roman" w:cs="Times New Roman" w:hint="eastAsia"/>
                <w:b/>
                <w:bCs/>
                <w:sz w:val="21"/>
                <w:szCs w:val="21"/>
              </w:rPr>
              <w:t>年</w:t>
            </w:r>
          </w:p>
        </w:tc>
        <w:tc>
          <w:tcPr>
            <w:tcW w:w="407" w:type="pct"/>
            <w:tcMar>
              <w:top w:w="0" w:type="dxa"/>
              <w:left w:w="108" w:type="dxa"/>
              <w:bottom w:w="0" w:type="dxa"/>
              <w:right w:w="108" w:type="dxa"/>
            </w:tcMar>
            <w:vAlign w:val="center"/>
          </w:tcPr>
          <w:p w14:paraId="773FD6F4" w14:textId="77777777" w:rsidR="006416B0" w:rsidRPr="00B4515A" w:rsidRDefault="005E58C1" w:rsidP="005860B4">
            <w:pPr>
              <w:keepNext/>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2025</w:t>
            </w:r>
            <w:r w:rsidRPr="00B4515A">
              <w:rPr>
                <w:rFonts w:ascii="Times New Roman" w:hAnsi="Times New Roman" w:cs="Times New Roman" w:hint="eastAsia"/>
                <w:b/>
                <w:bCs/>
                <w:sz w:val="21"/>
                <w:szCs w:val="21"/>
              </w:rPr>
              <w:t>年</w:t>
            </w:r>
          </w:p>
        </w:tc>
        <w:tc>
          <w:tcPr>
            <w:tcW w:w="407" w:type="pct"/>
            <w:tcMar>
              <w:top w:w="0" w:type="dxa"/>
              <w:left w:w="108" w:type="dxa"/>
              <w:bottom w:w="0" w:type="dxa"/>
              <w:right w:w="108" w:type="dxa"/>
            </w:tcMar>
            <w:vAlign w:val="center"/>
          </w:tcPr>
          <w:p w14:paraId="67264061" w14:textId="77777777" w:rsidR="006416B0" w:rsidRPr="00B4515A" w:rsidRDefault="005E58C1" w:rsidP="005860B4">
            <w:pPr>
              <w:keepNext/>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2026</w:t>
            </w:r>
            <w:r w:rsidRPr="00B4515A">
              <w:rPr>
                <w:rFonts w:ascii="Times New Roman" w:hAnsi="Times New Roman" w:cs="Times New Roman" w:hint="eastAsia"/>
                <w:b/>
                <w:bCs/>
                <w:sz w:val="21"/>
                <w:szCs w:val="21"/>
              </w:rPr>
              <w:t>年</w:t>
            </w:r>
          </w:p>
        </w:tc>
        <w:tc>
          <w:tcPr>
            <w:tcW w:w="407" w:type="pct"/>
            <w:tcMar>
              <w:top w:w="0" w:type="dxa"/>
              <w:left w:w="108" w:type="dxa"/>
              <w:bottom w:w="0" w:type="dxa"/>
              <w:right w:w="108" w:type="dxa"/>
            </w:tcMar>
            <w:vAlign w:val="center"/>
          </w:tcPr>
          <w:p w14:paraId="4180BF40" w14:textId="77777777" w:rsidR="006416B0" w:rsidRPr="00B4515A" w:rsidRDefault="005E58C1" w:rsidP="005860B4">
            <w:pPr>
              <w:keepNext/>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2027</w:t>
            </w:r>
            <w:r w:rsidRPr="00B4515A">
              <w:rPr>
                <w:rFonts w:ascii="Times New Roman" w:hAnsi="Times New Roman" w:cs="Times New Roman" w:hint="eastAsia"/>
                <w:b/>
                <w:bCs/>
                <w:sz w:val="21"/>
                <w:szCs w:val="21"/>
              </w:rPr>
              <w:t>年</w:t>
            </w:r>
          </w:p>
        </w:tc>
        <w:tc>
          <w:tcPr>
            <w:tcW w:w="407" w:type="pct"/>
            <w:tcMar>
              <w:top w:w="0" w:type="dxa"/>
              <w:left w:w="108" w:type="dxa"/>
              <w:bottom w:w="0" w:type="dxa"/>
              <w:right w:w="108" w:type="dxa"/>
            </w:tcMar>
            <w:vAlign w:val="center"/>
          </w:tcPr>
          <w:p w14:paraId="0335D751" w14:textId="77777777" w:rsidR="006416B0" w:rsidRPr="00B4515A" w:rsidRDefault="005E58C1" w:rsidP="005860B4">
            <w:pPr>
              <w:keepNext/>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2028</w:t>
            </w:r>
            <w:r w:rsidRPr="00B4515A">
              <w:rPr>
                <w:rFonts w:ascii="Times New Roman" w:hAnsi="Times New Roman" w:cs="Times New Roman" w:hint="eastAsia"/>
                <w:b/>
                <w:bCs/>
                <w:sz w:val="21"/>
                <w:szCs w:val="21"/>
              </w:rPr>
              <w:t>年</w:t>
            </w:r>
          </w:p>
        </w:tc>
        <w:tc>
          <w:tcPr>
            <w:tcW w:w="404" w:type="pct"/>
            <w:tcMar>
              <w:top w:w="0" w:type="dxa"/>
              <w:left w:w="108" w:type="dxa"/>
              <w:bottom w:w="0" w:type="dxa"/>
              <w:right w:w="108" w:type="dxa"/>
            </w:tcMar>
            <w:vAlign w:val="center"/>
          </w:tcPr>
          <w:p w14:paraId="4391E277" w14:textId="77777777" w:rsidR="006416B0" w:rsidRPr="00B4515A" w:rsidRDefault="005E58C1" w:rsidP="005860B4">
            <w:pPr>
              <w:keepNext/>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2029</w:t>
            </w:r>
            <w:r w:rsidRPr="00B4515A">
              <w:rPr>
                <w:rFonts w:ascii="Times New Roman" w:hAnsi="Times New Roman" w:cs="Times New Roman" w:hint="eastAsia"/>
                <w:b/>
                <w:bCs/>
                <w:sz w:val="21"/>
                <w:szCs w:val="21"/>
              </w:rPr>
              <w:t>年</w:t>
            </w:r>
          </w:p>
        </w:tc>
      </w:tr>
      <w:tr w:rsidR="006416B0" w:rsidRPr="00B4515A" w14:paraId="26E8C530" w14:textId="77777777" w:rsidTr="00EE238F">
        <w:trPr>
          <w:trHeight w:val="340"/>
          <w:jc w:val="center"/>
        </w:trPr>
        <w:tc>
          <w:tcPr>
            <w:tcW w:w="493" w:type="pct"/>
            <w:tcMar>
              <w:top w:w="0" w:type="dxa"/>
              <w:left w:w="108" w:type="dxa"/>
              <w:bottom w:w="0" w:type="dxa"/>
              <w:right w:w="108" w:type="dxa"/>
            </w:tcMar>
            <w:vAlign w:val="center"/>
          </w:tcPr>
          <w:p w14:paraId="64B2E7C5" w14:textId="77777777" w:rsidR="006416B0" w:rsidRPr="00B4515A" w:rsidRDefault="006416B0" w:rsidP="005860B4">
            <w:pPr>
              <w:adjustRightInd w:val="0"/>
              <w:snapToGrid w:val="0"/>
              <w:jc w:val="center"/>
              <w:textAlignment w:val="bottom"/>
              <w:rPr>
                <w:rFonts w:ascii="Times New Roman" w:hAnsi="Times New Roman" w:cs="Times New Roman"/>
                <w:b/>
                <w:bCs/>
                <w:sz w:val="21"/>
                <w:szCs w:val="21"/>
              </w:rPr>
            </w:pPr>
          </w:p>
        </w:tc>
        <w:tc>
          <w:tcPr>
            <w:tcW w:w="755" w:type="pct"/>
            <w:tcMar>
              <w:top w:w="0" w:type="dxa"/>
              <w:left w:w="108" w:type="dxa"/>
              <w:bottom w:w="0" w:type="dxa"/>
              <w:right w:w="108" w:type="dxa"/>
            </w:tcMar>
            <w:vAlign w:val="center"/>
          </w:tcPr>
          <w:p w14:paraId="3E725BA4" w14:textId="77777777" w:rsidR="006416B0" w:rsidRPr="00B4515A" w:rsidRDefault="005E58C1" w:rsidP="005860B4">
            <w:pPr>
              <w:adjustRightInd w:val="0"/>
              <w:snapToGrid w:val="0"/>
              <w:textAlignment w:val="bottom"/>
              <w:rPr>
                <w:rFonts w:ascii="Times New Roman" w:hAnsi="Times New Roman" w:cs="Times New Roman"/>
                <w:b/>
                <w:bCs/>
                <w:sz w:val="21"/>
                <w:szCs w:val="21"/>
              </w:rPr>
            </w:pPr>
            <w:r w:rsidRPr="00B4515A">
              <w:rPr>
                <w:rFonts w:ascii="Times New Roman" w:hAnsi="Times New Roman" w:cs="Times New Roman" w:hint="eastAsia"/>
                <w:b/>
                <w:bCs/>
                <w:sz w:val="21"/>
                <w:szCs w:val="21"/>
              </w:rPr>
              <w:t>主营成本</w:t>
            </w:r>
          </w:p>
        </w:tc>
        <w:tc>
          <w:tcPr>
            <w:tcW w:w="499" w:type="pct"/>
            <w:tcMar>
              <w:top w:w="0" w:type="dxa"/>
              <w:left w:w="108" w:type="dxa"/>
              <w:bottom w:w="0" w:type="dxa"/>
              <w:right w:w="108" w:type="dxa"/>
            </w:tcMar>
            <w:vAlign w:val="center"/>
          </w:tcPr>
          <w:p w14:paraId="44326BB5"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31,824.86 </w:t>
            </w:r>
          </w:p>
        </w:tc>
        <w:tc>
          <w:tcPr>
            <w:tcW w:w="407" w:type="pct"/>
            <w:tcMar>
              <w:top w:w="0" w:type="dxa"/>
              <w:left w:w="108" w:type="dxa"/>
              <w:bottom w:w="0" w:type="dxa"/>
              <w:right w:w="108" w:type="dxa"/>
            </w:tcMar>
            <w:vAlign w:val="center"/>
          </w:tcPr>
          <w:p w14:paraId="5D5AE362"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39,702.98 </w:t>
            </w:r>
          </w:p>
        </w:tc>
        <w:tc>
          <w:tcPr>
            <w:tcW w:w="407" w:type="pct"/>
            <w:tcMar>
              <w:top w:w="0" w:type="dxa"/>
              <w:left w:w="108" w:type="dxa"/>
              <w:bottom w:w="0" w:type="dxa"/>
              <w:right w:w="108" w:type="dxa"/>
            </w:tcMar>
            <w:vAlign w:val="center"/>
          </w:tcPr>
          <w:p w14:paraId="02D1FE46"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48,366.44 </w:t>
            </w:r>
          </w:p>
        </w:tc>
        <w:tc>
          <w:tcPr>
            <w:tcW w:w="407" w:type="pct"/>
            <w:tcMar>
              <w:top w:w="0" w:type="dxa"/>
              <w:left w:w="108" w:type="dxa"/>
              <w:bottom w:w="0" w:type="dxa"/>
              <w:right w:w="108" w:type="dxa"/>
            </w:tcMar>
            <w:vAlign w:val="center"/>
          </w:tcPr>
          <w:p w14:paraId="4D146479"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57,549.47 </w:t>
            </w:r>
          </w:p>
        </w:tc>
        <w:tc>
          <w:tcPr>
            <w:tcW w:w="407" w:type="pct"/>
            <w:tcMar>
              <w:top w:w="0" w:type="dxa"/>
              <w:left w:w="108" w:type="dxa"/>
              <w:bottom w:w="0" w:type="dxa"/>
              <w:right w:w="108" w:type="dxa"/>
            </w:tcMar>
            <w:vAlign w:val="center"/>
          </w:tcPr>
          <w:p w14:paraId="225F53C6"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70,054.05 </w:t>
            </w:r>
          </w:p>
        </w:tc>
        <w:tc>
          <w:tcPr>
            <w:tcW w:w="407" w:type="pct"/>
            <w:tcMar>
              <w:top w:w="0" w:type="dxa"/>
              <w:left w:w="108" w:type="dxa"/>
              <w:bottom w:w="0" w:type="dxa"/>
              <w:right w:w="108" w:type="dxa"/>
            </w:tcMar>
            <w:vAlign w:val="center"/>
          </w:tcPr>
          <w:p w14:paraId="3E1D86EE" w14:textId="77777777" w:rsidR="006416B0" w:rsidRPr="00B4515A" w:rsidRDefault="005E58C1" w:rsidP="005860B4">
            <w:pPr>
              <w:adjustRightInd w:val="0"/>
              <w:snapToGrid w:val="0"/>
              <w:jc w:val="right"/>
              <w:textAlignment w:val="center"/>
              <w:rPr>
                <w:rFonts w:ascii="Times New Roman" w:hAnsi="Times New Roman" w:cs="Times New Roman"/>
                <w:b/>
                <w:bCs/>
                <w:kern w:val="2"/>
                <w:sz w:val="21"/>
                <w:szCs w:val="21"/>
              </w:rPr>
            </w:pPr>
            <w:r w:rsidRPr="00B4515A">
              <w:rPr>
                <w:rFonts w:ascii="Times New Roman" w:hAnsi="Times New Roman" w:cs="Times New Roman"/>
                <w:b/>
                <w:bCs/>
                <w:sz w:val="21"/>
                <w:szCs w:val="21"/>
              </w:rPr>
              <w:t>70,054.05</w:t>
            </w:r>
          </w:p>
        </w:tc>
        <w:tc>
          <w:tcPr>
            <w:tcW w:w="407" w:type="pct"/>
            <w:tcMar>
              <w:top w:w="0" w:type="dxa"/>
              <w:left w:w="108" w:type="dxa"/>
              <w:bottom w:w="0" w:type="dxa"/>
              <w:right w:w="108" w:type="dxa"/>
            </w:tcMar>
            <w:vAlign w:val="center"/>
          </w:tcPr>
          <w:p w14:paraId="0DCE348D"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70,054.05</w:t>
            </w:r>
          </w:p>
        </w:tc>
        <w:tc>
          <w:tcPr>
            <w:tcW w:w="407" w:type="pct"/>
            <w:tcMar>
              <w:top w:w="0" w:type="dxa"/>
              <w:left w:w="108" w:type="dxa"/>
              <w:bottom w:w="0" w:type="dxa"/>
              <w:right w:w="108" w:type="dxa"/>
            </w:tcMar>
            <w:vAlign w:val="center"/>
          </w:tcPr>
          <w:p w14:paraId="3AC2C1C4"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70,054.05</w:t>
            </w:r>
          </w:p>
        </w:tc>
        <w:tc>
          <w:tcPr>
            <w:tcW w:w="404" w:type="pct"/>
            <w:tcMar>
              <w:top w:w="0" w:type="dxa"/>
              <w:left w:w="108" w:type="dxa"/>
              <w:bottom w:w="0" w:type="dxa"/>
              <w:right w:w="108" w:type="dxa"/>
            </w:tcMar>
            <w:vAlign w:val="center"/>
          </w:tcPr>
          <w:p w14:paraId="5C904D0D"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70,054.05</w:t>
            </w:r>
          </w:p>
        </w:tc>
      </w:tr>
      <w:tr w:rsidR="006416B0" w:rsidRPr="00B4515A" w14:paraId="7108B08C" w14:textId="77777777" w:rsidTr="00EE238F">
        <w:trPr>
          <w:trHeight w:val="340"/>
          <w:jc w:val="center"/>
        </w:trPr>
        <w:tc>
          <w:tcPr>
            <w:tcW w:w="493" w:type="pct"/>
            <w:tcMar>
              <w:top w:w="0" w:type="dxa"/>
              <w:left w:w="108" w:type="dxa"/>
              <w:bottom w:w="0" w:type="dxa"/>
              <w:right w:w="108" w:type="dxa"/>
            </w:tcMar>
            <w:vAlign w:val="center"/>
          </w:tcPr>
          <w:p w14:paraId="4AE197A1"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color w:val="000000"/>
                <w:sz w:val="21"/>
                <w:szCs w:val="21"/>
              </w:rPr>
              <w:t>Ⅰ</w:t>
            </w:r>
          </w:p>
        </w:tc>
        <w:tc>
          <w:tcPr>
            <w:tcW w:w="755" w:type="pct"/>
            <w:tcMar>
              <w:top w:w="0" w:type="dxa"/>
              <w:left w:w="108" w:type="dxa"/>
              <w:bottom w:w="0" w:type="dxa"/>
              <w:right w:w="108" w:type="dxa"/>
            </w:tcMar>
            <w:vAlign w:val="center"/>
          </w:tcPr>
          <w:p w14:paraId="4B82E97C" w14:textId="77777777" w:rsidR="006416B0" w:rsidRPr="00B4515A" w:rsidRDefault="005E58C1" w:rsidP="005860B4">
            <w:pPr>
              <w:adjustRightInd w:val="0"/>
              <w:snapToGrid w:val="0"/>
              <w:textAlignment w:val="bottom"/>
              <w:rPr>
                <w:rFonts w:ascii="Times New Roman" w:hAnsi="Times New Roman" w:cs="Times New Roman"/>
                <w:b/>
                <w:bCs/>
                <w:sz w:val="21"/>
                <w:szCs w:val="21"/>
              </w:rPr>
            </w:pPr>
            <w:r w:rsidRPr="00B4515A">
              <w:rPr>
                <w:rFonts w:ascii="Times New Roman" w:hAnsi="Times New Roman" w:cs="Times New Roman" w:hint="eastAsia"/>
                <w:b/>
                <w:bCs/>
                <w:sz w:val="21"/>
                <w:szCs w:val="21"/>
              </w:rPr>
              <w:t>产品销售</w:t>
            </w:r>
          </w:p>
        </w:tc>
        <w:tc>
          <w:tcPr>
            <w:tcW w:w="499" w:type="pct"/>
            <w:tcMar>
              <w:top w:w="0" w:type="dxa"/>
              <w:left w:w="108" w:type="dxa"/>
              <w:bottom w:w="0" w:type="dxa"/>
              <w:right w:w="108" w:type="dxa"/>
            </w:tcMar>
            <w:vAlign w:val="center"/>
          </w:tcPr>
          <w:p w14:paraId="78440665"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26,242.02 </w:t>
            </w:r>
          </w:p>
        </w:tc>
        <w:tc>
          <w:tcPr>
            <w:tcW w:w="407" w:type="pct"/>
            <w:tcMar>
              <w:top w:w="0" w:type="dxa"/>
              <w:left w:w="108" w:type="dxa"/>
              <w:bottom w:w="0" w:type="dxa"/>
              <w:right w:w="108" w:type="dxa"/>
            </w:tcMar>
            <w:vAlign w:val="center"/>
          </w:tcPr>
          <w:p w14:paraId="64B6546A"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32,709.82 </w:t>
            </w:r>
          </w:p>
        </w:tc>
        <w:tc>
          <w:tcPr>
            <w:tcW w:w="407" w:type="pct"/>
            <w:tcMar>
              <w:top w:w="0" w:type="dxa"/>
              <w:left w:w="108" w:type="dxa"/>
              <w:bottom w:w="0" w:type="dxa"/>
              <w:right w:w="108" w:type="dxa"/>
            </w:tcMar>
            <w:vAlign w:val="center"/>
          </w:tcPr>
          <w:p w14:paraId="41D14CEF"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39,498.12 </w:t>
            </w:r>
          </w:p>
        </w:tc>
        <w:tc>
          <w:tcPr>
            <w:tcW w:w="407" w:type="pct"/>
            <w:tcMar>
              <w:top w:w="0" w:type="dxa"/>
              <w:left w:w="108" w:type="dxa"/>
              <w:bottom w:w="0" w:type="dxa"/>
              <w:right w:w="108" w:type="dxa"/>
            </w:tcMar>
            <w:vAlign w:val="center"/>
          </w:tcPr>
          <w:p w14:paraId="15815248"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48,170.83 </w:t>
            </w:r>
          </w:p>
        </w:tc>
        <w:tc>
          <w:tcPr>
            <w:tcW w:w="407" w:type="pct"/>
            <w:tcMar>
              <w:top w:w="0" w:type="dxa"/>
              <w:left w:w="108" w:type="dxa"/>
              <w:bottom w:w="0" w:type="dxa"/>
              <w:right w:w="108" w:type="dxa"/>
            </w:tcMar>
            <w:vAlign w:val="center"/>
          </w:tcPr>
          <w:p w14:paraId="1D3E4563"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56,999.31 </w:t>
            </w:r>
          </w:p>
        </w:tc>
        <w:tc>
          <w:tcPr>
            <w:tcW w:w="407" w:type="pct"/>
            <w:tcMar>
              <w:top w:w="0" w:type="dxa"/>
              <w:left w:w="108" w:type="dxa"/>
              <w:bottom w:w="0" w:type="dxa"/>
              <w:right w:w="108" w:type="dxa"/>
            </w:tcMar>
            <w:vAlign w:val="center"/>
          </w:tcPr>
          <w:p w14:paraId="78F8A766" w14:textId="77777777" w:rsidR="006416B0" w:rsidRPr="00B4515A" w:rsidRDefault="005E58C1" w:rsidP="005860B4">
            <w:pPr>
              <w:adjustRightInd w:val="0"/>
              <w:snapToGrid w:val="0"/>
              <w:jc w:val="right"/>
              <w:textAlignment w:val="center"/>
              <w:rPr>
                <w:rFonts w:ascii="Times New Roman" w:hAnsi="Times New Roman" w:cs="Times New Roman"/>
                <w:b/>
                <w:bCs/>
                <w:kern w:val="2"/>
                <w:sz w:val="21"/>
                <w:szCs w:val="21"/>
              </w:rPr>
            </w:pPr>
            <w:r w:rsidRPr="00B4515A">
              <w:rPr>
                <w:rFonts w:ascii="Times New Roman" w:hAnsi="Times New Roman" w:cs="Times New Roman"/>
                <w:b/>
                <w:bCs/>
                <w:sz w:val="21"/>
                <w:szCs w:val="21"/>
              </w:rPr>
              <w:t>56,999.31</w:t>
            </w:r>
          </w:p>
        </w:tc>
        <w:tc>
          <w:tcPr>
            <w:tcW w:w="407" w:type="pct"/>
            <w:tcMar>
              <w:top w:w="0" w:type="dxa"/>
              <w:left w:w="108" w:type="dxa"/>
              <w:bottom w:w="0" w:type="dxa"/>
              <w:right w:w="108" w:type="dxa"/>
            </w:tcMar>
            <w:vAlign w:val="center"/>
          </w:tcPr>
          <w:p w14:paraId="763AFC59"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56,999.31</w:t>
            </w:r>
          </w:p>
        </w:tc>
        <w:tc>
          <w:tcPr>
            <w:tcW w:w="407" w:type="pct"/>
            <w:tcMar>
              <w:top w:w="0" w:type="dxa"/>
              <w:left w:w="108" w:type="dxa"/>
              <w:bottom w:w="0" w:type="dxa"/>
              <w:right w:w="108" w:type="dxa"/>
            </w:tcMar>
            <w:vAlign w:val="center"/>
          </w:tcPr>
          <w:p w14:paraId="4FEFCBC1"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56,999.31</w:t>
            </w:r>
          </w:p>
        </w:tc>
        <w:tc>
          <w:tcPr>
            <w:tcW w:w="404" w:type="pct"/>
            <w:tcMar>
              <w:top w:w="0" w:type="dxa"/>
              <w:left w:w="108" w:type="dxa"/>
              <w:bottom w:w="0" w:type="dxa"/>
              <w:right w:w="108" w:type="dxa"/>
            </w:tcMar>
            <w:vAlign w:val="center"/>
          </w:tcPr>
          <w:p w14:paraId="3D689AD5"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56,999.31</w:t>
            </w:r>
          </w:p>
        </w:tc>
      </w:tr>
      <w:tr w:rsidR="006416B0" w:rsidRPr="00B4515A" w14:paraId="52952B4C" w14:textId="77777777" w:rsidTr="00EE238F">
        <w:trPr>
          <w:trHeight w:val="340"/>
          <w:jc w:val="center"/>
        </w:trPr>
        <w:tc>
          <w:tcPr>
            <w:tcW w:w="493" w:type="pct"/>
            <w:tcMar>
              <w:top w:w="0" w:type="dxa"/>
              <w:left w:w="108" w:type="dxa"/>
              <w:bottom w:w="0" w:type="dxa"/>
              <w:right w:w="108" w:type="dxa"/>
            </w:tcMar>
            <w:vAlign w:val="center"/>
          </w:tcPr>
          <w:p w14:paraId="7569DC86" w14:textId="77777777" w:rsidR="006416B0" w:rsidRPr="00B4515A" w:rsidRDefault="006416B0" w:rsidP="005860B4">
            <w:pPr>
              <w:adjustRightInd w:val="0"/>
              <w:snapToGrid w:val="0"/>
              <w:jc w:val="center"/>
              <w:textAlignment w:val="bottom"/>
              <w:rPr>
                <w:rFonts w:ascii="Times New Roman" w:hAnsi="Times New Roman" w:cs="Times New Roman"/>
                <w:b/>
                <w:bCs/>
                <w:sz w:val="21"/>
                <w:szCs w:val="21"/>
              </w:rPr>
            </w:pPr>
          </w:p>
        </w:tc>
        <w:tc>
          <w:tcPr>
            <w:tcW w:w="755" w:type="pct"/>
            <w:tcMar>
              <w:top w:w="0" w:type="dxa"/>
              <w:left w:w="108" w:type="dxa"/>
              <w:bottom w:w="0" w:type="dxa"/>
              <w:right w:w="108" w:type="dxa"/>
            </w:tcMar>
            <w:vAlign w:val="center"/>
          </w:tcPr>
          <w:p w14:paraId="793DEFA5" w14:textId="77777777" w:rsidR="006416B0" w:rsidRPr="00B4515A" w:rsidRDefault="005E58C1" w:rsidP="005860B4">
            <w:pPr>
              <w:adjustRightInd w:val="0"/>
              <w:snapToGrid w:val="0"/>
              <w:textAlignment w:val="bottom"/>
              <w:rPr>
                <w:rFonts w:ascii="Times New Roman" w:hAnsi="Times New Roman" w:cs="Times New Roman"/>
                <w:sz w:val="21"/>
                <w:szCs w:val="21"/>
              </w:rPr>
            </w:pPr>
            <w:r w:rsidRPr="00B4515A">
              <w:rPr>
                <w:rFonts w:ascii="Times New Roman" w:hAnsi="Times New Roman" w:cs="Times New Roman"/>
                <w:sz w:val="21"/>
                <w:szCs w:val="21"/>
              </w:rPr>
              <w:t>1.</w:t>
            </w:r>
            <w:r w:rsidRPr="00B4515A">
              <w:rPr>
                <w:rFonts w:ascii="Times New Roman" w:hAnsi="Times New Roman" w:cs="Times New Roman" w:hint="eastAsia"/>
                <w:sz w:val="21"/>
                <w:szCs w:val="21"/>
              </w:rPr>
              <w:t>专用移动通信</w:t>
            </w:r>
          </w:p>
        </w:tc>
        <w:tc>
          <w:tcPr>
            <w:tcW w:w="499" w:type="pct"/>
            <w:tcMar>
              <w:top w:w="0" w:type="dxa"/>
              <w:left w:w="108" w:type="dxa"/>
              <w:bottom w:w="0" w:type="dxa"/>
              <w:right w:w="108" w:type="dxa"/>
            </w:tcMar>
            <w:vAlign w:val="center"/>
          </w:tcPr>
          <w:p w14:paraId="581F8D98"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10,956.30 </w:t>
            </w:r>
          </w:p>
        </w:tc>
        <w:tc>
          <w:tcPr>
            <w:tcW w:w="407" w:type="pct"/>
            <w:tcMar>
              <w:top w:w="0" w:type="dxa"/>
              <w:left w:w="108" w:type="dxa"/>
              <w:bottom w:w="0" w:type="dxa"/>
              <w:right w:w="108" w:type="dxa"/>
            </w:tcMar>
            <w:vAlign w:val="center"/>
          </w:tcPr>
          <w:p w14:paraId="4D87D569"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12,633.82 </w:t>
            </w:r>
          </w:p>
        </w:tc>
        <w:tc>
          <w:tcPr>
            <w:tcW w:w="407" w:type="pct"/>
            <w:tcMar>
              <w:top w:w="0" w:type="dxa"/>
              <w:left w:w="108" w:type="dxa"/>
              <w:bottom w:w="0" w:type="dxa"/>
              <w:right w:w="108" w:type="dxa"/>
            </w:tcMar>
            <w:vAlign w:val="center"/>
          </w:tcPr>
          <w:p w14:paraId="6F130B23"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13,996.80 </w:t>
            </w:r>
          </w:p>
        </w:tc>
        <w:tc>
          <w:tcPr>
            <w:tcW w:w="407" w:type="pct"/>
            <w:tcMar>
              <w:top w:w="0" w:type="dxa"/>
              <w:left w:w="108" w:type="dxa"/>
              <w:bottom w:w="0" w:type="dxa"/>
              <w:right w:w="108" w:type="dxa"/>
            </w:tcMar>
            <w:vAlign w:val="center"/>
          </w:tcPr>
          <w:p w14:paraId="489F306E"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14,678.30 </w:t>
            </w:r>
          </w:p>
        </w:tc>
        <w:tc>
          <w:tcPr>
            <w:tcW w:w="407" w:type="pct"/>
            <w:tcMar>
              <w:top w:w="0" w:type="dxa"/>
              <w:left w:w="108" w:type="dxa"/>
              <w:bottom w:w="0" w:type="dxa"/>
              <w:right w:w="108" w:type="dxa"/>
            </w:tcMar>
            <w:vAlign w:val="center"/>
          </w:tcPr>
          <w:p w14:paraId="1E11C966"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17,037.31 </w:t>
            </w:r>
          </w:p>
        </w:tc>
        <w:tc>
          <w:tcPr>
            <w:tcW w:w="407" w:type="pct"/>
            <w:tcMar>
              <w:top w:w="0" w:type="dxa"/>
              <w:left w:w="108" w:type="dxa"/>
              <w:bottom w:w="0" w:type="dxa"/>
              <w:right w:w="108" w:type="dxa"/>
            </w:tcMar>
            <w:vAlign w:val="center"/>
          </w:tcPr>
          <w:p w14:paraId="2B6814F0"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 xml:space="preserve">17,037.31 </w:t>
            </w:r>
          </w:p>
        </w:tc>
        <w:tc>
          <w:tcPr>
            <w:tcW w:w="407" w:type="pct"/>
            <w:tcMar>
              <w:top w:w="0" w:type="dxa"/>
              <w:left w:w="108" w:type="dxa"/>
              <w:bottom w:w="0" w:type="dxa"/>
              <w:right w:w="108" w:type="dxa"/>
            </w:tcMar>
            <w:vAlign w:val="center"/>
          </w:tcPr>
          <w:p w14:paraId="52F80E95"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17,037.31 </w:t>
            </w:r>
          </w:p>
        </w:tc>
        <w:tc>
          <w:tcPr>
            <w:tcW w:w="407" w:type="pct"/>
            <w:tcMar>
              <w:top w:w="0" w:type="dxa"/>
              <w:left w:w="108" w:type="dxa"/>
              <w:bottom w:w="0" w:type="dxa"/>
              <w:right w:w="108" w:type="dxa"/>
            </w:tcMar>
            <w:vAlign w:val="center"/>
          </w:tcPr>
          <w:p w14:paraId="11544A57"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17,037.31 </w:t>
            </w:r>
          </w:p>
        </w:tc>
        <w:tc>
          <w:tcPr>
            <w:tcW w:w="404" w:type="pct"/>
            <w:tcMar>
              <w:top w:w="0" w:type="dxa"/>
              <w:left w:w="108" w:type="dxa"/>
              <w:bottom w:w="0" w:type="dxa"/>
              <w:right w:w="108" w:type="dxa"/>
            </w:tcMar>
            <w:vAlign w:val="center"/>
          </w:tcPr>
          <w:p w14:paraId="69B4A7C5"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17,037.31 </w:t>
            </w:r>
          </w:p>
        </w:tc>
      </w:tr>
      <w:tr w:rsidR="006416B0" w:rsidRPr="00B4515A" w14:paraId="558C6639" w14:textId="77777777" w:rsidTr="00EE238F">
        <w:trPr>
          <w:trHeight w:val="340"/>
          <w:jc w:val="center"/>
        </w:trPr>
        <w:tc>
          <w:tcPr>
            <w:tcW w:w="493" w:type="pct"/>
            <w:tcMar>
              <w:top w:w="0" w:type="dxa"/>
              <w:left w:w="108" w:type="dxa"/>
              <w:bottom w:w="0" w:type="dxa"/>
              <w:right w:w="108" w:type="dxa"/>
            </w:tcMar>
            <w:vAlign w:val="center"/>
          </w:tcPr>
          <w:p w14:paraId="3FAAF0AE" w14:textId="77777777" w:rsidR="006416B0" w:rsidRPr="00B4515A" w:rsidRDefault="006416B0" w:rsidP="005860B4">
            <w:pPr>
              <w:adjustRightInd w:val="0"/>
              <w:snapToGrid w:val="0"/>
              <w:jc w:val="center"/>
              <w:textAlignment w:val="bottom"/>
              <w:rPr>
                <w:rFonts w:ascii="Times New Roman" w:hAnsi="Times New Roman" w:cs="Times New Roman"/>
                <w:b/>
                <w:bCs/>
                <w:sz w:val="21"/>
                <w:szCs w:val="21"/>
              </w:rPr>
            </w:pPr>
          </w:p>
        </w:tc>
        <w:tc>
          <w:tcPr>
            <w:tcW w:w="755" w:type="pct"/>
            <w:tcMar>
              <w:top w:w="0" w:type="dxa"/>
              <w:left w:w="108" w:type="dxa"/>
              <w:bottom w:w="0" w:type="dxa"/>
              <w:right w:w="108" w:type="dxa"/>
            </w:tcMar>
            <w:vAlign w:val="center"/>
          </w:tcPr>
          <w:p w14:paraId="1BE01689" w14:textId="77777777" w:rsidR="006416B0" w:rsidRPr="00B4515A" w:rsidRDefault="005E58C1" w:rsidP="005860B4">
            <w:pPr>
              <w:adjustRightInd w:val="0"/>
              <w:snapToGrid w:val="0"/>
              <w:textAlignment w:val="bottom"/>
              <w:rPr>
                <w:rFonts w:ascii="Times New Roman" w:hAnsi="Times New Roman" w:cs="Times New Roman"/>
                <w:kern w:val="2"/>
                <w:sz w:val="21"/>
                <w:szCs w:val="21"/>
              </w:rPr>
            </w:pPr>
            <w:r w:rsidRPr="00B4515A">
              <w:rPr>
                <w:rFonts w:ascii="Times New Roman" w:hAnsi="Times New Roman" w:cs="Times New Roman"/>
                <w:sz w:val="21"/>
                <w:szCs w:val="21"/>
              </w:rPr>
              <w:t>2.</w:t>
            </w:r>
            <w:r w:rsidRPr="00B4515A">
              <w:rPr>
                <w:rFonts w:ascii="Times New Roman" w:hAnsi="Times New Roman" w:cs="Times New Roman" w:hint="eastAsia"/>
                <w:sz w:val="21"/>
                <w:szCs w:val="21"/>
              </w:rPr>
              <w:t>专用宽带电台</w:t>
            </w:r>
          </w:p>
        </w:tc>
        <w:tc>
          <w:tcPr>
            <w:tcW w:w="499" w:type="pct"/>
            <w:tcMar>
              <w:top w:w="0" w:type="dxa"/>
              <w:left w:w="108" w:type="dxa"/>
              <w:bottom w:w="0" w:type="dxa"/>
              <w:right w:w="108" w:type="dxa"/>
            </w:tcMar>
            <w:vAlign w:val="center"/>
          </w:tcPr>
          <w:p w14:paraId="7ECD38A4"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12,428.18 </w:t>
            </w:r>
          </w:p>
        </w:tc>
        <w:tc>
          <w:tcPr>
            <w:tcW w:w="407" w:type="pct"/>
            <w:tcMar>
              <w:top w:w="0" w:type="dxa"/>
              <w:left w:w="108" w:type="dxa"/>
              <w:bottom w:w="0" w:type="dxa"/>
              <w:right w:w="108" w:type="dxa"/>
            </w:tcMar>
            <w:vAlign w:val="center"/>
          </w:tcPr>
          <w:p w14:paraId="2202F898"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16,215.82 </w:t>
            </w:r>
          </w:p>
        </w:tc>
        <w:tc>
          <w:tcPr>
            <w:tcW w:w="407" w:type="pct"/>
            <w:tcMar>
              <w:top w:w="0" w:type="dxa"/>
              <w:left w:w="108" w:type="dxa"/>
              <w:bottom w:w="0" w:type="dxa"/>
              <w:right w:w="108" w:type="dxa"/>
            </w:tcMar>
            <w:vAlign w:val="center"/>
          </w:tcPr>
          <w:p w14:paraId="6707B35C"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18,997.36 </w:t>
            </w:r>
          </w:p>
        </w:tc>
        <w:tc>
          <w:tcPr>
            <w:tcW w:w="407" w:type="pct"/>
            <w:tcMar>
              <w:top w:w="0" w:type="dxa"/>
              <w:left w:w="108" w:type="dxa"/>
              <w:bottom w:w="0" w:type="dxa"/>
              <w:right w:w="108" w:type="dxa"/>
            </w:tcMar>
            <w:vAlign w:val="center"/>
          </w:tcPr>
          <w:p w14:paraId="2D78CFF4"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21,778.91 </w:t>
            </w:r>
          </w:p>
        </w:tc>
        <w:tc>
          <w:tcPr>
            <w:tcW w:w="407" w:type="pct"/>
            <w:tcMar>
              <w:top w:w="0" w:type="dxa"/>
              <w:left w:w="108" w:type="dxa"/>
              <w:bottom w:w="0" w:type="dxa"/>
              <w:right w:w="108" w:type="dxa"/>
            </w:tcMar>
            <w:vAlign w:val="center"/>
          </w:tcPr>
          <w:p w14:paraId="0ECE7CF7"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24,146.18 </w:t>
            </w:r>
          </w:p>
        </w:tc>
        <w:tc>
          <w:tcPr>
            <w:tcW w:w="407" w:type="pct"/>
            <w:tcMar>
              <w:top w:w="0" w:type="dxa"/>
              <w:left w:w="108" w:type="dxa"/>
              <w:bottom w:w="0" w:type="dxa"/>
              <w:right w:w="108" w:type="dxa"/>
            </w:tcMar>
            <w:vAlign w:val="center"/>
          </w:tcPr>
          <w:p w14:paraId="229CC17C"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 xml:space="preserve">24,146.18 </w:t>
            </w:r>
          </w:p>
        </w:tc>
        <w:tc>
          <w:tcPr>
            <w:tcW w:w="407" w:type="pct"/>
            <w:tcMar>
              <w:top w:w="0" w:type="dxa"/>
              <w:left w:w="108" w:type="dxa"/>
              <w:bottom w:w="0" w:type="dxa"/>
              <w:right w:w="108" w:type="dxa"/>
            </w:tcMar>
            <w:vAlign w:val="center"/>
          </w:tcPr>
          <w:p w14:paraId="72B77CE6"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24,146.18 </w:t>
            </w:r>
          </w:p>
        </w:tc>
        <w:tc>
          <w:tcPr>
            <w:tcW w:w="407" w:type="pct"/>
            <w:tcMar>
              <w:top w:w="0" w:type="dxa"/>
              <w:left w:w="108" w:type="dxa"/>
              <w:bottom w:w="0" w:type="dxa"/>
              <w:right w:w="108" w:type="dxa"/>
            </w:tcMar>
            <w:vAlign w:val="center"/>
          </w:tcPr>
          <w:p w14:paraId="043F6F01"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24,146.18 </w:t>
            </w:r>
          </w:p>
        </w:tc>
        <w:tc>
          <w:tcPr>
            <w:tcW w:w="404" w:type="pct"/>
            <w:tcMar>
              <w:top w:w="0" w:type="dxa"/>
              <w:left w:w="108" w:type="dxa"/>
              <w:bottom w:w="0" w:type="dxa"/>
              <w:right w:w="108" w:type="dxa"/>
            </w:tcMar>
            <w:vAlign w:val="center"/>
          </w:tcPr>
          <w:p w14:paraId="10923F20"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24,146.18 </w:t>
            </w:r>
          </w:p>
        </w:tc>
      </w:tr>
      <w:tr w:rsidR="006416B0" w:rsidRPr="00B4515A" w14:paraId="4EDE3A94" w14:textId="77777777" w:rsidTr="00EE238F">
        <w:trPr>
          <w:trHeight w:val="340"/>
          <w:jc w:val="center"/>
        </w:trPr>
        <w:tc>
          <w:tcPr>
            <w:tcW w:w="493" w:type="pct"/>
            <w:tcMar>
              <w:top w:w="0" w:type="dxa"/>
              <w:left w:w="108" w:type="dxa"/>
              <w:bottom w:w="0" w:type="dxa"/>
              <w:right w:w="108" w:type="dxa"/>
            </w:tcMar>
            <w:vAlign w:val="center"/>
          </w:tcPr>
          <w:p w14:paraId="063A6A02" w14:textId="77777777" w:rsidR="006416B0" w:rsidRPr="00B4515A" w:rsidRDefault="006416B0" w:rsidP="005860B4">
            <w:pPr>
              <w:adjustRightInd w:val="0"/>
              <w:snapToGrid w:val="0"/>
              <w:jc w:val="center"/>
              <w:textAlignment w:val="bottom"/>
              <w:rPr>
                <w:rFonts w:ascii="Times New Roman" w:hAnsi="Times New Roman" w:cs="Times New Roman"/>
                <w:b/>
                <w:bCs/>
                <w:sz w:val="21"/>
                <w:szCs w:val="21"/>
              </w:rPr>
            </w:pPr>
          </w:p>
        </w:tc>
        <w:tc>
          <w:tcPr>
            <w:tcW w:w="755" w:type="pct"/>
            <w:tcMar>
              <w:top w:w="0" w:type="dxa"/>
              <w:left w:w="108" w:type="dxa"/>
              <w:bottom w:w="0" w:type="dxa"/>
              <w:right w:w="108" w:type="dxa"/>
            </w:tcMar>
            <w:vAlign w:val="center"/>
          </w:tcPr>
          <w:p w14:paraId="0A018547" w14:textId="77777777" w:rsidR="006416B0" w:rsidRPr="00B4515A" w:rsidRDefault="005E58C1" w:rsidP="005860B4">
            <w:pPr>
              <w:adjustRightInd w:val="0"/>
              <w:snapToGrid w:val="0"/>
              <w:textAlignment w:val="bottom"/>
              <w:rPr>
                <w:rFonts w:ascii="Times New Roman" w:hAnsi="Times New Roman" w:cs="Times New Roman"/>
                <w:kern w:val="2"/>
                <w:sz w:val="21"/>
                <w:szCs w:val="21"/>
              </w:rPr>
            </w:pPr>
            <w:r w:rsidRPr="00B4515A">
              <w:rPr>
                <w:rFonts w:ascii="Times New Roman" w:hAnsi="Times New Roman" w:cs="Times New Roman"/>
                <w:sz w:val="21"/>
                <w:szCs w:val="21"/>
              </w:rPr>
              <w:t>3.</w:t>
            </w:r>
            <w:r w:rsidRPr="00B4515A">
              <w:rPr>
                <w:rFonts w:ascii="Times New Roman" w:hAnsi="Times New Roman" w:cs="Times New Roman" w:hint="eastAsia"/>
                <w:sz w:val="21"/>
                <w:szCs w:val="21"/>
              </w:rPr>
              <w:t>宽带移动安全应用</w:t>
            </w:r>
          </w:p>
        </w:tc>
        <w:tc>
          <w:tcPr>
            <w:tcW w:w="499" w:type="pct"/>
            <w:tcMar>
              <w:top w:w="0" w:type="dxa"/>
              <w:left w:w="108" w:type="dxa"/>
              <w:bottom w:w="0" w:type="dxa"/>
              <w:right w:w="108" w:type="dxa"/>
            </w:tcMar>
            <w:vAlign w:val="center"/>
          </w:tcPr>
          <w:p w14:paraId="7762B142"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2,857.54 </w:t>
            </w:r>
          </w:p>
        </w:tc>
        <w:tc>
          <w:tcPr>
            <w:tcW w:w="407" w:type="pct"/>
            <w:tcMar>
              <w:top w:w="0" w:type="dxa"/>
              <w:left w:w="108" w:type="dxa"/>
              <w:bottom w:w="0" w:type="dxa"/>
              <w:right w:w="108" w:type="dxa"/>
            </w:tcMar>
            <w:vAlign w:val="center"/>
          </w:tcPr>
          <w:p w14:paraId="20372139"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3,860.18 </w:t>
            </w:r>
          </w:p>
        </w:tc>
        <w:tc>
          <w:tcPr>
            <w:tcW w:w="407" w:type="pct"/>
            <w:tcMar>
              <w:top w:w="0" w:type="dxa"/>
              <w:left w:w="108" w:type="dxa"/>
              <w:bottom w:w="0" w:type="dxa"/>
              <w:right w:w="108" w:type="dxa"/>
            </w:tcMar>
            <w:vAlign w:val="center"/>
          </w:tcPr>
          <w:p w14:paraId="7E023F13"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4,511.90 </w:t>
            </w:r>
          </w:p>
        </w:tc>
        <w:tc>
          <w:tcPr>
            <w:tcW w:w="407" w:type="pct"/>
            <w:tcMar>
              <w:top w:w="0" w:type="dxa"/>
              <w:left w:w="108" w:type="dxa"/>
              <w:bottom w:w="0" w:type="dxa"/>
              <w:right w:w="108" w:type="dxa"/>
            </w:tcMar>
            <w:vAlign w:val="center"/>
          </w:tcPr>
          <w:p w14:paraId="373AC506"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7,519.83 </w:t>
            </w:r>
          </w:p>
        </w:tc>
        <w:tc>
          <w:tcPr>
            <w:tcW w:w="407" w:type="pct"/>
            <w:tcMar>
              <w:top w:w="0" w:type="dxa"/>
              <w:left w:w="108" w:type="dxa"/>
              <w:bottom w:w="0" w:type="dxa"/>
              <w:right w:w="108" w:type="dxa"/>
            </w:tcMar>
            <w:vAlign w:val="center"/>
          </w:tcPr>
          <w:p w14:paraId="64A53A3D"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9,525.12 </w:t>
            </w:r>
          </w:p>
        </w:tc>
        <w:tc>
          <w:tcPr>
            <w:tcW w:w="407" w:type="pct"/>
            <w:tcMar>
              <w:top w:w="0" w:type="dxa"/>
              <w:left w:w="108" w:type="dxa"/>
              <w:bottom w:w="0" w:type="dxa"/>
              <w:right w:w="108" w:type="dxa"/>
            </w:tcMar>
            <w:vAlign w:val="center"/>
          </w:tcPr>
          <w:p w14:paraId="31B825CE"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 xml:space="preserve">9,525.12 </w:t>
            </w:r>
          </w:p>
        </w:tc>
        <w:tc>
          <w:tcPr>
            <w:tcW w:w="407" w:type="pct"/>
            <w:tcMar>
              <w:top w:w="0" w:type="dxa"/>
              <w:left w:w="108" w:type="dxa"/>
              <w:bottom w:w="0" w:type="dxa"/>
              <w:right w:w="108" w:type="dxa"/>
            </w:tcMar>
            <w:vAlign w:val="center"/>
          </w:tcPr>
          <w:p w14:paraId="008F1C0B"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9,525.12 </w:t>
            </w:r>
          </w:p>
        </w:tc>
        <w:tc>
          <w:tcPr>
            <w:tcW w:w="407" w:type="pct"/>
            <w:tcMar>
              <w:top w:w="0" w:type="dxa"/>
              <w:left w:w="108" w:type="dxa"/>
              <w:bottom w:w="0" w:type="dxa"/>
              <w:right w:w="108" w:type="dxa"/>
            </w:tcMar>
            <w:vAlign w:val="center"/>
          </w:tcPr>
          <w:p w14:paraId="0D337B0F"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9,525.12 </w:t>
            </w:r>
          </w:p>
        </w:tc>
        <w:tc>
          <w:tcPr>
            <w:tcW w:w="404" w:type="pct"/>
            <w:tcMar>
              <w:top w:w="0" w:type="dxa"/>
              <w:left w:w="108" w:type="dxa"/>
              <w:bottom w:w="0" w:type="dxa"/>
              <w:right w:w="108" w:type="dxa"/>
            </w:tcMar>
            <w:vAlign w:val="center"/>
          </w:tcPr>
          <w:p w14:paraId="0B04B69C"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9,525.12 </w:t>
            </w:r>
          </w:p>
        </w:tc>
      </w:tr>
      <w:tr w:rsidR="006416B0" w:rsidRPr="00B4515A" w14:paraId="4320D68C" w14:textId="77777777" w:rsidTr="00EE238F">
        <w:trPr>
          <w:trHeight w:val="340"/>
          <w:jc w:val="center"/>
        </w:trPr>
        <w:tc>
          <w:tcPr>
            <w:tcW w:w="493" w:type="pct"/>
            <w:tcMar>
              <w:top w:w="0" w:type="dxa"/>
              <w:left w:w="108" w:type="dxa"/>
              <w:bottom w:w="0" w:type="dxa"/>
              <w:right w:w="108" w:type="dxa"/>
            </w:tcMar>
            <w:vAlign w:val="center"/>
          </w:tcPr>
          <w:p w14:paraId="3E7A0EEE" w14:textId="77777777" w:rsidR="006416B0" w:rsidRPr="00B4515A" w:rsidRDefault="006416B0" w:rsidP="005860B4">
            <w:pPr>
              <w:adjustRightInd w:val="0"/>
              <w:snapToGrid w:val="0"/>
              <w:jc w:val="center"/>
              <w:textAlignment w:val="bottom"/>
              <w:rPr>
                <w:rFonts w:ascii="Times New Roman" w:hAnsi="Times New Roman" w:cs="Times New Roman"/>
                <w:b/>
                <w:bCs/>
                <w:sz w:val="21"/>
                <w:szCs w:val="21"/>
              </w:rPr>
            </w:pPr>
          </w:p>
        </w:tc>
        <w:tc>
          <w:tcPr>
            <w:tcW w:w="755" w:type="pct"/>
            <w:tcMar>
              <w:top w:w="0" w:type="dxa"/>
              <w:left w:w="108" w:type="dxa"/>
              <w:bottom w:w="0" w:type="dxa"/>
              <w:right w:w="108" w:type="dxa"/>
            </w:tcMar>
            <w:vAlign w:val="center"/>
          </w:tcPr>
          <w:p w14:paraId="6B9B8372" w14:textId="77777777" w:rsidR="006416B0" w:rsidRPr="00B4515A" w:rsidRDefault="005E58C1" w:rsidP="005860B4">
            <w:pPr>
              <w:adjustRightInd w:val="0"/>
              <w:snapToGrid w:val="0"/>
              <w:textAlignment w:val="bottom"/>
              <w:rPr>
                <w:rFonts w:ascii="Times New Roman" w:hAnsi="Times New Roman" w:cs="Times New Roman"/>
                <w:kern w:val="2"/>
                <w:sz w:val="21"/>
                <w:szCs w:val="21"/>
              </w:rPr>
            </w:pPr>
            <w:r w:rsidRPr="00B4515A">
              <w:rPr>
                <w:rFonts w:ascii="Times New Roman" w:hAnsi="Times New Roman" w:cs="Times New Roman"/>
                <w:sz w:val="21"/>
                <w:szCs w:val="21"/>
              </w:rPr>
              <w:t>4.</w:t>
            </w:r>
            <w:r w:rsidRPr="00B4515A">
              <w:rPr>
                <w:rFonts w:ascii="Times New Roman" w:hAnsi="Times New Roman" w:cs="Times New Roman" w:hint="eastAsia"/>
                <w:sz w:val="21"/>
                <w:szCs w:val="21"/>
              </w:rPr>
              <w:t>新拓展业务</w:t>
            </w:r>
          </w:p>
        </w:tc>
        <w:tc>
          <w:tcPr>
            <w:tcW w:w="499" w:type="pct"/>
            <w:tcMar>
              <w:top w:w="0" w:type="dxa"/>
              <w:left w:w="108" w:type="dxa"/>
              <w:bottom w:w="0" w:type="dxa"/>
              <w:right w:w="108" w:type="dxa"/>
            </w:tcMar>
            <w:vAlign w:val="center"/>
          </w:tcPr>
          <w:p w14:paraId="480E9517"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0.00 </w:t>
            </w:r>
          </w:p>
        </w:tc>
        <w:tc>
          <w:tcPr>
            <w:tcW w:w="407" w:type="pct"/>
            <w:tcMar>
              <w:top w:w="0" w:type="dxa"/>
              <w:left w:w="108" w:type="dxa"/>
              <w:bottom w:w="0" w:type="dxa"/>
              <w:right w:w="108" w:type="dxa"/>
            </w:tcMar>
            <w:vAlign w:val="center"/>
          </w:tcPr>
          <w:p w14:paraId="727A63C0"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0.00 </w:t>
            </w:r>
          </w:p>
        </w:tc>
        <w:tc>
          <w:tcPr>
            <w:tcW w:w="407" w:type="pct"/>
            <w:tcMar>
              <w:top w:w="0" w:type="dxa"/>
              <w:left w:w="108" w:type="dxa"/>
              <w:bottom w:w="0" w:type="dxa"/>
              <w:right w:w="108" w:type="dxa"/>
            </w:tcMar>
            <w:vAlign w:val="center"/>
          </w:tcPr>
          <w:p w14:paraId="5C51B921"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1,992.05 </w:t>
            </w:r>
          </w:p>
        </w:tc>
        <w:tc>
          <w:tcPr>
            <w:tcW w:w="407" w:type="pct"/>
            <w:tcMar>
              <w:top w:w="0" w:type="dxa"/>
              <w:left w:w="108" w:type="dxa"/>
              <w:bottom w:w="0" w:type="dxa"/>
              <w:right w:w="108" w:type="dxa"/>
            </w:tcMar>
            <w:vAlign w:val="center"/>
          </w:tcPr>
          <w:p w14:paraId="463814E8"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4,193.80 </w:t>
            </w:r>
          </w:p>
        </w:tc>
        <w:tc>
          <w:tcPr>
            <w:tcW w:w="407" w:type="pct"/>
            <w:tcMar>
              <w:top w:w="0" w:type="dxa"/>
              <w:left w:w="108" w:type="dxa"/>
              <w:bottom w:w="0" w:type="dxa"/>
              <w:right w:w="108" w:type="dxa"/>
            </w:tcMar>
            <w:vAlign w:val="center"/>
          </w:tcPr>
          <w:p w14:paraId="7086F407"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6,290.70 </w:t>
            </w:r>
          </w:p>
        </w:tc>
        <w:tc>
          <w:tcPr>
            <w:tcW w:w="407" w:type="pct"/>
            <w:tcMar>
              <w:top w:w="0" w:type="dxa"/>
              <w:left w:w="108" w:type="dxa"/>
              <w:bottom w:w="0" w:type="dxa"/>
              <w:right w:w="108" w:type="dxa"/>
            </w:tcMar>
            <w:vAlign w:val="center"/>
          </w:tcPr>
          <w:p w14:paraId="044C9207"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 xml:space="preserve">6,290.70 </w:t>
            </w:r>
          </w:p>
        </w:tc>
        <w:tc>
          <w:tcPr>
            <w:tcW w:w="407" w:type="pct"/>
            <w:tcMar>
              <w:top w:w="0" w:type="dxa"/>
              <w:left w:w="108" w:type="dxa"/>
              <w:bottom w:w="0" w:type="dxa"/>
              <w:right w:w="108" w:type="dxa"/>
            </w:tcMar>
            <w:vAlign w:val="center"/>
          </w:tcPr>
          <w:p w14:paraId="088AD629"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6,290.70 </w:t>
            </w:r>
          </w:p>
        </w:tc>
        <w:tc>
          <w:tcPr>
            <w:tcW w:w="407" w:type="pct"/>
            <w:tcMar>
              <w:top w:w="0" w:type="dxa"/>
              <w:left w:w="108" w:type="dxa"/>
              <w:bottom w:w="0" w:type="dxa"/>
              <w:right w:w="108" w:type="dxa"/>
            </w:tcMar>
            <w:vAlign w:val="center"/>
          </w:tcPr>
          <w:p w14:paraId="51469E89"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6,290.70 </w:t>
            </w:r>
          </w:p>
        </w:tc>
        <w:tc>
          <w:tcPr>
            <w:tcW w:w="404" w:type="pct"/>
            <w:tcMar>
              <w:top w:w="0" w:type="dxa"/>
              <w:left w:w="108" w:type="dxa"/>
              <w:bottom w:w="0" w:type="dxa"/>
              <w:right w:w="108" w:type="dxa"/>
            </w:tcMar>
            <w:vAlign w:val="center"/>
          </w:tcPr>
          <w:p w14:paraId="1D3CDE17"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6,290.70 </w:t>
            </w:r>
          </w:p>
        </w:tc>
      </w:tr>
      <w:tr w:rsidR="006416B0" w:rsidRPr="00B4515A" w14:paraId="213E7FEC" w14:textId="77777777" w:rsidTr="00EE238F">
        <w:trPr>
          <w:trHeight w:val="340"/>
          <w:jc w:val="center"/>
        </w:trPr>
        <w:tc>
          <w:tcPr>
            <w:tcW w:w="493" w:type="pct"/>
            <w:tcMar>
              <w:top w:w="0" w:type="dxa"/>
              <w:left w:w="108" w:type="dxa"/>
              <w:bottom w:w="0" w:type="dxa"/>
              <w:right w:w="108" w:type="dxa"/>
            </w:tcMar>
            <w:vAlign w:val="center"/>
          </w:tcPr>
          <w:p w14:paraId="5DD3898E"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hint="eastAsia"/>
                <w:b/>
                <w:bCs/>
                <w:color w:val="000000"/>
                <w:sz w:val="21"/>
                <w:szCs w:val="21"/>
              </w:rPr>
              <w:t>Ⅱ</w:t>
            </w:r>
          </w:p>
        </w:tc>
        <w:tc>
          <w:tcPr>
            <w:tcW w:w="755" w:type="pct"/>
            <w:tcMar>
              <w:top w:w="0" w:type="dxa"/>
              <w:left w:w="108" w:type="dxa"/>
              <w:bottom w:w="0" w:type="dxa"/>
              <w:right w:w="108" w:type="dxa"/>
            </w:tcMar>
            <w:vAlign w:val="center"/>
          </w:tcPr>
          <w:p w14:paraId="1750FE7B" w14:textId="77777777" w:rsidR="006416B0" w:rsidRPr="00B4515A" w:rsidRDefault="005E58C1" w:rsidP="005860B4">
            <w:pPr>
              <w:adjustRightInd w:val="0"/>
              <w:snapToGrid w:val="0"/>
              <w:textAlignment w:val="center"/>
              <w:rPr>
                <w:rFonts w:ascii="Times New Roman" w:hAnsi="Times New Roman" w:cs="Times New Roman"/>
                <w:b/>
                <w:bCs/>
                <w:kern w:val="2"/>
                <w:sz w:val="21"/>
                <w:szCs w:val="21"/>
              </w:rPr>
            </w:pPr>
            <w:r w:rsidRPr="00B4515A">
              <w:rPr>
                <w:rFonts w:ascii="Times New Roman" w:hAnsi="Times New Roman" w:cs="Times New Roman" w:hint="eastAsia"/>
                <w:b/>
                <w:bCs/>
                <w:sz w:val="21"/>
                <w:szCs w:val="21"/>
              </w:rPr>
              <w:t>技术服务</w:t>
            </w:r>
          </w:p>
        </w:tc>
        <w:tc>
          <w:tcPr>
            <w:tcW w:w="499" w:type="pct"/>
            <w:tcMar>
              <w:top w:w="0" w:type="dxa"/>
              <w:left w:w="108" w:type="dxa"/>
              <w:bottom w:w="0" w:type="dxa"/>
              <w:right w:w="108" w:type="dxa"/>
            </w:tcMar>
            <w:vAlign w:val="center"/>
          </w:tcPr>
          <w:p w14:paraId="193F6BC2"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1,352.85 </w:t>
            </w:r>
          </w:p>
        </w:tc>
        <w:tc>
          <w:tcPr>
            <w:tcW w:w="407" w:type="pct"/>
            <w:tcMar>
              <w:top w:w="0" w:type="dxa"/>
              <w:left w:w="108" w:type="dxa"/>
              <w:bottom w:w="0" w:type="dxa"/>
              <w:right w:w="108" w:type="dxa"/>
            </w:tcMar>
            <w:vAlign w:val="center"/>
          </w:tcPr>
          <w:p w14:paraId="3115B85C"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1,503.16 </w:t>
            </w:r>
          </w:p>
        </w:tc>
        <w:tc>
          <w:tcPr>
            <w:tcW w:w="407" w:type="pct"/>
            <w:tcMar>
              <w:top w:w="0" w:type="dxa"/>
              <w:left w:w="108" w:type="dxa"/>
              <w:bottom w:w="0" w:type="dxa"/>
              <w:right w:w="108" w:type="dxa"/>
            </w:tcMar>
            <w:vAlign w:val="center"/>
          </w:tcPr>
          <w:p w14:paraId="294E74D2"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1,578.32 </w:t>
            </w:r>
          </w:p>
        </w:tc>
        <w:tc>
          <w:tcPr>
            <w:tcW w:w="407" w:type="pct"/>
            <w:tcMar>
              <w:top w:w="0" w:type="dxa"/>
              <w:left w:w="108" w:type="dxa"/>
              <w:bottom w:w="0" w:type="dxa"/>
              <w:right w:w="108" w:type="dxa"/>
            </w:tcMar>
            <w:vAlign w:val="center"/>
          </w:tcPr>
          <w:p w14:paraId="41E45622"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1,728.64 </w:t>
            </w:r>
          </w:p>
        </w:tc>
        <w:tc>
          <w:tcPr>
            <w:tcW w:w="407" w:type="pct"/>
            <w:tcMar>
              <w:top w:w="0" w:type="dxa"/>
              <w:left w:w="108" w:type="dxa"/>
              <w:bottom w:w="0" w:type="dxa"/>
              <w:right w:w="108" w:type="dxa"/>
            </w:tcMar>
            <w:vAlign w:val="center"/>
          </w:tcPr>
          <w:p w14:paraId="6FC938E1"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2,254.74 </w:t>
            </w:r>
          </w:p>
        </w:tc>
        <w:tc>
          <w:tcPr>
            <w:tcW w:w="407" w:type="pct"/>
            <w:tcMar>
              <w:top w:w="0" w:type="dxa"/>
              <w:left w:w="108" w:type="dxa"/>
              <w:bottom w:w="0" w:type="dxa"/>
              <w:right w:w="108" w:type="dxa"/>
            </w:tcMar>
            <w:vAlign w:val="center"/>
          </w:tcPr>
          <w:p w14:paraId="15980A79" w14:textId="77777777" w:rsidR="006416B0" w:rsidRPr="00B4515A" w:rsidRDefault="005E58C1" w:rsidP="005860B4">
            <w:pPr>
              <w:adjustRightInd w:val="0"/>
              <w:snapToGrid w:val="0"/>
              <w:jc w:val="right"/>
              <w:textAlignment w:val="center"/>
              <w:rPr>
                <w:rFonts w:ascii="Times New Roman" w:hAnsi="Times New Roman" w:cs="Times New Roman"/>
                <w:b/>
                <w:bCs/>
                <w:kern w:val="2"/>
                <w:sz w:val="21"/>
                <w:szCs w:val="21"/>
              </w:rPr>
            </w:pPr>
            <w:r w:rsidRPr="00B4515A">
              <w:rPr>
                <w:rFonts w:ascii="Times New Roman" w:hAnsi="Times New Roman" w:cs="Times New Roman"/>
                <w:b/>
                <w:bCs/>
                <w:sz w:val="21"/>
                <w:szCs w:val="21"/>
              </w:rPr>
              <w:t xml:space="preserve">2,254.74 </w:t>
            </w:r>
          </w:p>
        </w:tc>
        <w:tc>
          <w:tcPr>
            <w:tcW w:w="407" w:type="pct"/>
            <w:tcMar>
              <w:top w:w="0" w:type="dxa"/>
              <w:left w:w="108" w:type="dxa"/>
              <w:bottom w:w="0" w:type="dxa"/>
              <w:right w:w="108" w:type="dxa"/>
            </w:tcMar>
            <w:vAlign w:val="center"/>
          </w:tcPr>
          <w:p w14:paraId="04D68BD1"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2,254.74 </w:t>
            </w:r>
          </w:p>
        </w:tc>
        <w:tc>
          <w:tcPr>
            <w:tcW w:w="407" w:type="pct"/>
            <w:tcMar>
              <w:top w:w="0" w:type="dxa"/>
              <w:left w:w="108" w:type="dxa"/>
              <w:bottom w:w="0" w:type="dxa"/>
              <w:right w:w="108" w:type="dxa"/>
            </w:tcMar>
            <w:vAlign w:val="center"/>
          </w:tcPr>
          <w:p w14:paraId="35BE8BD2"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2,254.74 </w:t>
            </w:r>
          </w:p>
        </w:tc>
        <w:tc>
          <w:tcPr>
            <w:tcW w:w="404" w:type="pct"/>
            <w:tcMar>
              <w:top w:w="0" w:type="dxa"/>
              <w:left w:w="108" w:type="dxa"/>
              <w:bottom w:w="0" w:type="dxa"/>
              <w:right w:w="108" w:type="dxa"/>
            </w:tcMar>
            <w:vAlign w:val="center"/>
          </w:tcPr>
          <w:p w14:paraId="6A06C849"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2,254.74 </w:t>
            </w:r>
          </w:p>
        </w:tc>
      </w:tr>
      <w:tr w:rsidR="006416B0" w:rsidRPr="00B4515A" w14:paraId="34C15138" w14:textId="77777777" w:rsidTr="00EE238F">
        <w:trPr>
          <w:trHeight w:val="340"/>
          <w:jc w:val="center"/>
        </w:trPr>
        <w:tc>
          <w:tcPr>
            <w:tcW w:w="493" w:type="pct"/>
            <w:tcMar>
              <w:top w:w="0" w:type="dxa"/>
              <w:left w:w="108" w:type="dxa"/>
              <w:bottom w:w="0" w:type="dxa"/>
              <w:right w:w="108" w:type="dxa"/>
            </w:tcMar>
            <w:vAlign w:val="center"/>
          </w:tcPr>
          <w:p w14:paraId="75BE4DAF"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hint="eastAsia"/>
                <w:b/>
                <w:bCs/>
                <w:color w:val="000000"/>
                <w:sz w:val="21"/>
                <w:szCs w:val="21"/>
              </w:rPr>
              <w:t>Ⅲ</w:t>
            </w:r>
          </w:p>
        </w:tc>
        <w:tc>
          <w:tcPr>
            <w:tcW w:w="755" w:type="pct"/>
            <w:tcMar>
              <w:top w:w="0" w:type="dxa"/>
              <w:left w:w="108" w:type="dxa"/>
              <w:bottom w:w="0" w:type="dxa"/>
              <w:right w:w="108" w:type="dxa"/>
            </w:tcMar>
            <w:vAlign w:val="center"/>
          </w:tcPr>
          <w:p w14:paraId="20B72152" w14:textId="77777777" w:rsidR="006416B0" w:rsidRPr="00B4515A" w:rsidRDefault="005E58C1" w:rsidP="005860B4">
            <w:pPr>
              <w:adjustRightInd w:val="0"/>
              <w:snapToGrid w:val="0"/>
              <w:textAlignment w:val="center"/>
              <w:rPr>
                <w:rFonts w:ascii="Times New Roman" w:hAnsi="Times New Roman" w:cs="Times New Roman"/>
                <w:b/>
                <w:bCs/>
                <w:sz w:val="21"/>
                <w:szCs w:val="21"/>
              </w:rPr>
            </w:pPr>
            <w:r w:rsidRPr="00B4515A">
              <w:rPr>
                <w:rFonts w:ascii="Times New Roman" w:hAnsi="Times New Roman" w:cs="Times New Roman" w:hint="eastAsia"/>
                <w:b/>
                <w:bCs/>
                <w:color w:val="000000"/>
                <w:sz w:val="21"/>
                <w:szCs w:val="21"/>
              </w:rPr>
              <w:t>工程业务</w:t>
            </w:r>
          </w:p>
        </w:tc>
        <w:tc>
          <w:tcPr>
            <w:tcW w:w="499" w:type="pct"/>
            <w:tcMar>
              <w:top w:w="0" w:type="dxa"/>
              <w:left w:w="108" w:type="dxa"/>
              <w:bottom w:w="0" w:type="dxa"/>
              <w:right w:w="108" w:type="dxa"/>
            </w:tcMar>
            <w:vAlign w:val="center"/>
          </w:tcPr>
          <w:p w14:paraId="2C860C40"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4,230.00 </w:t>
            </w:r>
          </w:p>
        </w:tc>
        <w:tc>
          <w:tcPr>
            <w:tcW w:w="407" w:type="pct"/>
            <w:tcMar>
              <w:top w:w="0" w:type="dxa"/>
              <w:left w:w="108" w:type="dxa"/>
              <w:bottom w:w="0" w:type="dxa"/>
              <w:right w:w="108" w:type="dxa"/>
            </w:tcMar>
            <w:vAlign w:val="center"/>
          </w:tcPr>
          <w:p w14:paraId="2D90B557"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5,490.00 </w:t>
            </w:r>
          </w:p>
        </w:tc>
        <w:tc>
          <w:tcPr>
            <w:tcW w:w="407" w:type="pct"/>
            <w:tcMar>
              <w:top w:w="0" w:type="dxa"/>
              <w:left w:w="108" w:type="dxa"/>
              <w:bottom w:w="0" w:type="dxa"/>
              <w:right w:w="108" w:type="dxa"/>
            </w:tcMar>
            <w:vAlign w:val="center"/>
          </w:tcPr>
          <w:p w14:paraId="23898607"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7,290.00 </w:t>
            </w:r>
          </w:p>
        </w:tc>
        <w:tc>
          <w:tcPr>
            <w:tcW w:w="407" w:type="pct"/>
            <w:tcMar>
              <w:top w:w="0" w:type="dxa"/>
              <w:left w:w="108" w:type="dxa"/>
              <w:bottom w:w="0" w:type="dxa"/>
              <w:right w:w="108" w:type="dxa"/>
            </w:tcMar>
            <w:vAlign w:val="center"/>
          </w:tcPr>
          <w:p w14:paraId="6DE76F97"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7,650.00 </w:t>
            </w:r>
          </w:p>
        </w:tc>
        <w:tc>
          <w:tcPr>
            <w:tcW w:w="407" w:type="pct"/>
            <w:tcMar>
              <w:top w:w="0" w:type="dxa"/>
              <w:left w:w="108" w:type="dxa"/>
              <w:bottom w:w="0" w:type="dxa"/>
              <w:right w:w="108" w:type="dxa"/>
            </w:tcMar>
            <w:vAlign w:val="center"/>
          </w:tcPr>
          <w:p w14:paraId="62B0E4C5"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10,800.00 </w:t>
            </w:r>
          </w:p>
        </w:tc>
        <w:tc>
          <w:tcPr>
            <w:tcW w:w="407" w:type="pct"/>
            <w:tcMar>
              <w:top w:w="0" w:type="dxa"/>
              <w:left w:w="108" w:type="dxa"/>
              <w:bottom w:w="0" w:type="dxa"/>
              <w:right w:w="108" w:type="dxa"/>
            </w:tcMar>
            <w:vAlign w:val="center"/>
          </w:tcPr>
          <w:p w14:paraId="37454F94" w14:textId="77777777" w:rsidR="006416B0" w:rsidRPr="00B4515A" w:rsidRDefault="005E58C1" w:rsidP="005860B4">
            <w:pPr>
              <w:adjustRightInd w:val="0"/>
              <w:snapToGrid w:val="0"/>
              <w:jc w:val="right"/>
              <w:textAlignment w:val="center"/>
              <w:rPr>
                <w:rFonts w:ascii="Times New Roman" w:hAnsi="Times New Roman" w:cs="Times New Roman"/>
                <w:b/>
                <w:bCs/>
                <w:kern w:val="2"/>
                <w:sz w:val="21"/>
                <w:szCs w:val="21"/>
              </w:rPr>
            </w:pPr>
            <w:r w:rsidRPr="00B4515A">
              <w:rPr>
                <w:rFonts w:ascii="Times New Roman" w:hAnsi="Times New Roman" w:cs="Times New Roman"/>
                <w:b/>
                <w:bCs/>
                <w:sz w:val="21"/>
                <w:szCs w:val="21"/>
              </w:rPr>
              <w:t xml:space="preserve">10,800.00 </w:t>
            </w:r>
          </w:p>
        </w:tc>
        <w:tc>
          <w:tcPr>
            <w:tcW w:w="407" w:type="pct"/>
            <w:tcMar>
              <w:top w:w="0" w:type="dxa"/>
              <w:left w:w="108" w:type="dxa"/>
              <w:bottom w:w="0" w:type="dxa"/>
              <w:right w:w="108" w:type="dxa"/>
            </w:tcMar>
            <w:vAlign w:val="center"/>
          </w:tcPr>
          <w:p w14:paraId="790ABDD3"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10,800.00 </w:t>
            </w:r>
          </w:p>
        </w:tc>
        <w:tc>
          <w:tcPr>
            <w:tcW w:w="407" w:type="pct"/>
            <w:tcMar>
              <w:top w:w="0" w:type="dxa"/>
              <w:left w:w="108" w:type="dxa"/>
              <w:bottom w:w="0" w:type="dxa"/>
              <w:right w:w="108" w:type="dxa"/>
            </w:tcMar>
            <w:vAlign w:val="center"/>
          </w:tcPr>
          <w:p w14:paraId="2C21386C"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10,800.00 </w:t>
            </w:r>
          </w:p>
        </w:tc>
        <w:tc>
          <w:tcPr>
            <w:tcW w:w="404" w:type="pct"/>
            <w:tcMar>
              <w:top w:w="0" w:type="dxa"/>
              <w:left w:w="108" w:type="dxa"/>
              <w:bottom w:w="0" w:type="dxa"/>
              <w:right w:w="108" w:type="dxa"/>
            </w:tcMar>
            <w:vAlign w:val="center"/>
          </w:tcPr>
          <w:p w14:paraId="117E48F3"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 xml:space="preserve">10,800.00 </w:t>
            </w:r>
          </w:p>
        </w:tc>
      </w:tr>
    </w:tbl>
    <w:p w14:paraId="77559AFF" w14:textId="77777777" w:rsidR="006416B0" w:rsidRPr="00B4515A" w:rsidRDefault="005E58C1" w:rsidP="005860B4">
      <w:pPr>
        <w:pStyle w:val="005"/>
        <w:spacing w:before="120" w:after="120"/>
        <w:ind w:firstLine="480"/>
      </w:pPr>
      <w:r w:rsidRPr="00B4515A">
        <w:t>3</w:t>
      </w:r>
      <w:r w:rsidRPr="00B4515A">
        <w:rPr>
          <w:rFonts w:hint="eastAsia"/>
        </w:rPr>
        <w:t>）其他业务收入与成本</w:t>
      </w:r>
    </w:p>
    <w:p w14:paraId="2A2817AF" w14:textId="30ABF785" w:rsidR="006416B0" w:rsidRPr="00B4515A" w:rsidRDefault="00FF0636" w:rsidP="005860B4">
      <w:pPr>
        <w:pStyle w:val="005"/>
        <w:spacing w:before="120" w:after="120"/>
        <w:ind w:firstLine="480"/>
      </w:pPr>
      <w:r w:rsidRPr="00B4515A">
        <w:rPr>
          <w:rFonts w:hint="eastAsia"/>
        </w:rPr>
        <w:t>大唐联诚</w:t>
      </w:r>
      <w:r w:rsidR="005E58C1" w:rsidRPr="00B4515A">
        <w:rPr>
          <w:rFonts w:hint="eastAsia"/>
        </w:rPr>
        <w:t>的其他业务收入主要是客户临时租赁检测等设备收入及标书收入，具有偶然性，未来不预测。</w:t>
      </w:r>
    </w:p>
    <w:p w14:paraId="5F214F8B" w14:textId="77777777" w:rsidR="006416B0" w:rsidRPr="00B4515A" w:rsidRDefault="005E58C1" w:rsidP="005860B4">
      <w:pPr>
        <w:pStyle w:val="005"/>
        <w:spacing w:before="120" w:after="120"/>
        <w:ind w:firstLine="480"/>
      </w:pPr>
      <w:r w:rsidRPr="00B4515A">
        <w:t>4</w:t>
      </w:r>
      <w:r w:rsidRPr="00B4515A">
        <w:rPr>
          <w:rFonts w:hint="eastAsia"/>
        </w:rPr>
        <w:t>）税金及附加</w:t>
      </w:r>
    </w:p>
    <w:p w14:paraId="1BF55F77" w14:textId="50437525" w:rsidR="006416B0" w:rsidRPr="00B4515A" w:rsidRDefault="005E58C1" w:rsidP="005860B4">
      <w:pPr>
        <w:pStyle w:val="005"/>
        <w:spacing w:before="120" w:after="120"/>
        <w:ind w:firstLine="480"/>
      </w:pPr>
      <w:r w:rsidRPr="00B4515A">
        <w:rPr>
          <w:rFonts w:hint="eastAsia"/>
        </w:rPr>
        <w:t>税金及附加主要有增值税、城建税及教育税附加等，增值税税率</w:t>
      </w:r>
      <w:r w:rsidRPr="00B4515A">
        <w:t>13%</w:t>
      </w:r>
      <w:r w:rsidRPr="00B4515A">
        <w:rPr>
          <w:rFonts w:hint="eastAsia"/>
        </w:rPr>
        <w:t>和</w:t>
      </w:r>
      <w:r w:rsidRPr="00B4515A">
        <w:t>6%</w:t>
      </w:r>
      <w:r w:rsidRPr="00B4515A">
        <w:rPr>
          <w:rFonts w:hint="eastAsia"/>
        </w:rPr>
        <w:t>，城建税按应纳流转税额的</w:t>
      </w:r>
      <w:r w:rsidRPr="00B4515A">
        <w:t>7%</w:t>
      </w:r>
      <w:r w:rsidRPr="00B4515A">
        <w:rPr>
          <w:rFonts w:hint="eastAsia"/>
        </w:rPr>
        <w:t>，教育费附加税按应纳流转税额的</w:t>
      </w:r>
      <w:r w:rsidRPr="00B4515A">
        <w:t>3%</w:t>
      </w:r>
      <w:r w:rsidRPr="00B4515A">
        <w:rPr>
          <w:rFonts w:hint="eastAsia"/>
        </w:rPr>
        <w:t>，地方教育费附加按应纳流转税额的</w:t>
      </w:r>
      <w:r w:rsidRPr="00B4515A">
        <w:t>2%</w:t>
      </w:r>
      <w:r w:rsidRPr="00B4515A">
        <w:rPr>
          <w:rFonts w:hint="eastAsia"/>
        </w:rPr>
        <w:t>，由于</w:t>
      </w:r>
      <w:r w:rsidR="00AA1F94" w:rsidRPr="00B4515A">
        <w:rPr>
          <w:rFonts w:hint="eastAsia"/>
        </w:rPr>
        <w:t>大唐联诚</w:t>
      </w:r>
      <w:r w:rsidRPr="00B4515A">
        <w:rPr>
          <w:rFonts w:hint="eastAsia"/>
        </w:rPr>
        <w:t>未来毛利率波动较小且较为接近</w:t>
      </w:r>
      <w:r w:rsidRPr="00B4515A">
        <w:t>2020</w:t>
      </w:r>
      <w:r w:rsidRPr="00B4515A">
        <w:rPr>
          <w:rFonts w:hint="eastAsia"/>
        </w:rPr>
        <w:t>年全年水平，未来按照</w:t>
      </w:r>
      <w:r w:rsidRPr="00B4515A">
        <w:t>2020</w:t>
      </w:r>
      <w:r w:rsidRPr="00B4515A">
        <w:rPr>
          <w:rFonts w:hint="eastAsia"/>
        </w:rPr>
        <w:t>年税金及附加率测算。</w:t>
      </w:r>
    </w:p>
    <w:p w14:paraId="2F5C1526" w14:textId="77777777" w:rsidR="006416B0" w:rsidRPr="00B4515A" w:rsidRDefault="005E58C1" w:rsidP="005860B4">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453"/>
        <w:gridCol w:w="1804"/>
        <w:gridCol w:w="1247"/>
        <w:gridCol w:w="1247"/>
        <w:gridCol w:w="1247"/>
        <w:gridCol w:w="1247"/>
        <w:gridCol w:w="1233"/>
        <w:gridCol w:w="1233"/>
        <w:gridCol w:w="1233"/>
        <w:gridCol w:w="1230"/>
      </w:tblGrid>
      <w:tr w:rsidR="006416B0" w:rsidRPr="00B4515A" w14:paraId="74A5DFCB" w14:textId="77777777" w:rsidTr="00EE238F">
        <w:trPr>
          <w:trHeight w:val="340"/>
          <w:jc w:val="center"/>
        </w:trPr>
        <w:tc>
          <w:tcPr>
            <w:tcW w:w="865" w:type="pct"/>
            <w:tcMar>
              <w:top w:w="0" w:type="dxa"/>
              <w:left w:w="108" w:type="dxa"/>
              <w:bottom w:w="0" w:type="dxa"/>
              <w:right w:w="108" w:type="dxa"/>
            </w:tcMar>
            <w:vAlign w:val="center"/>
          </w:tcPr>
          <w:p w14:paraId="7AA42021"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hint="eastAsia"/>
                <w:b/>
                <w:bCs/>
                <w:sz w:val="21"/>
                <w:szCs w:val="21"/>
              </w:rPr>
              <w:t>项目</w:t>
            </w:r>
          </w:p>
        </w:tc>
        <w:tc>
          <w:tcPr>
            <w:tcW w:w="636" w:type="pct"/>
            <w:tcMar>
              <w:top w:w="0" w:type="dxa"/>
              <w:left w:w="108" w:type="dxa"/>
              <w:bottom w:w="0" w:type="dxa"/>
              <w:right w:w="108" w:type="dxa"/>
            </w:tcMar>
            <w:vAlign w:val="center"/>
          </w:tcPr>
          <w:p w14:paraId="05717D37"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hint="eastAsia"/>
                <w:b/>
                <w:bCs/>
                <w:sz w:val="21"/>
                <w:szCs w:val="21"/>
              </w:rPr>
              <w:t>年全年</w:t>
            </w:r>
          </w:p>
        </w:tc>
        <w:tc>
          <w:tcPr>
            <w:tcW w:w="440" w:type="pct"/>
            <w:tcMar>
              <w:top w:w="0" w:type="dxa"/>
              <w:left w:w="108" w:type="dxa"/>
              <w:bottom w:w="0" w:type="dxa"/>
              <w:right w:w="108" w:type="dxa"/>
            </w:tcMar>
            <w:vAlign w:val="center"/>
          </w:tcPr>
          <w:p w14:paraId="6DDD57C2"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2022</w:t>
            </w:r>
            <w:r w:rsidRPr="00B4515A">
              <w:rPr>
                <w:rFonts w:ascii="Times New Roman" w:hAnsi="Times New Roman" w:cs="Times New Roman" w:hint="eastAsia"/>
                <w:b/>
                <w:bCs/>
                <w:sz w:val="21"/>
                <w:szCs w:val="21"/>
              </w:rPr>
              <w:t>年</w:t>
            </w:r>
          </w:p>
        </w:tc>
        <w:tc>
          <w:tcPr>
            <w:tcW w:w="440" w:type="pct"/>
            <w:tcMar>
              <w:top w:w="0" w:type="dxa"/>
              <w:left w:w="108" w:type="dxa"/>
              <w:bottom w:w="0" w:type="dxa"/>
              <w:right w:w="108" w:type="dxa"/>
            </w:tcMar>
            <w:vAlign w:val="center"/>
          </w:tcPr>
          <w:p w14:paraId="5F7C90D4"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2023</w:t>
            </w:r>
            <w:r w:rsidRPr="00B4515A">
              <w:rPr>
                <w:rFonts w:ascii="Times New Roman" w:hAnsi="Times New Roman" w:cs="Times New Roman" w:hint="eastAsia"/>
                <w:b/>
                <w:bCs/>
                <w:sz w:val="21"/>
                <w:szCs w:val="21"/>
              </w:rPr>
              <w:t>年</w:t>
            </w:r>
          </w:p>
        </w:tc>
        <w:tc>
          <w:tcPr>
            <w:tcW w:w="440" w:type="pct"/>
            <w:tcMar>
              <w:top w:w="0" w:type="dxa"/>
              <w:left w:w="108" w:type="dxa"/>
              <w:bottom w:w="0" w:type="dxa"/>
              <w:right w:w="108" w:type="dxa"/>
            </w:tcMar>
            <w:vAlign w:val="center"/>
          </w:tcPr>
          <w:p w14:paraId="48CD0FD3"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2024</w:t>
            </w:r>
            <w:r w:rsidRPr="00B4515A">
              <w:rPr>
                <w:rFonts w:ascii="Times New Roman" w:hAnsi="Times New Roman" w:cs="Times New Roman" w:hint="eastAsia"/>
                <w:b/>
                <w:bCs/>
                <w:sz w:val="21"/>
                <w:szCs w:val="21"/>
              </w:rPr>
              <w:t>年</w:t>
            </w:r>
          </w:p>
        </w:tc>
        <w:tc>
          <w:tcPr>
            <w:tcW w:w="440" w:type="pct"/>
            <w:tcMar>
              <w:top w:w="0" w:type="dxa"/>
              <w:left w:w="108" w:type="dxa"/>
              <w:bottom w:w="0" w:type="dxa"/>
              <w:right w:w="108" w:type="dxa"/>
            </w:tcMar>
            <w:vAlign w:val="center"/>
          </w:tcPr>
          <w:p w14:paraId="7DE4E053"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2025</w:t>
            </w:r>
            <w:r w:rsidRPr="00B4515A">
              <w:rPr>
                <w:rFonts w:ascii="Times New Roman" w:hAnsi="Times New Roman" w:cs="Times New Roman" w:hint="eastAsia"/>
                <w:b/>
                <w:bCs/>
                <w:sz w:val="21"/>
                <w:szCs w:val="21"/>
              </w:rPr>
              <w:t>年</w:t>
            </w:r>
          </w:p>
        </w:tc>
        <w:tc>
          <w:tcPr>
            <w:tcW w:w="435" w:type="pct"/>
            <w:tcMar>
              <w:top w:w="0" w:type="dxa"/>
              <w:left w:w="108" w:type="dxa"/>
              <w:bottom w:w="0" w:type="dxa"/>
              <w:right w:w="108" w:type="dxa"/>
            </w:tcMar>
            <w:vAlign w:val="center"/>
          </w:tcPr>
          <w:p w14:paraId="507EC5B7"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2026</w:t>
            </w:r>
            <w:r w:rsidRPr="00B4515A">
              <w:rPr>
                <w:rFonts w:ascii="Times New Roman" w:hAnsi="Times New Roman" w:cs="Times New Roman" w:hint="eastAsia"/>
                <w:b/>
                <w:bCs/>
                <w:sz w:val="21"/>
                <w:szCs w:val="21"/>
              </w:rPr>
              <w:t>年</w:t>
            </w:r>
          </w:p>
        </w:tc>
        <w:tc>
          <w:tcPr>
            <w:tcW w:w="435" w:type="pct"/>
            <w:tcMar>
              <w:top w:w="0" w:type="dxa"/>
              <w:left w:w="108" w:type="dxa"/>
              <w:bottom w:w="0" w:type="dxa"/>
              <w:right w:w="108" w:type="dxa"/>
            </w:tcMar>
            <w:vAlign w:val="center"/>
          </w:tcPr>
          <w:p w14:paraId="2A73D72C"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2027</w:t>
            </w:r>
            <w:r w:rsidRPr="00B4515A">
              <w:rPr>
                <w:rFonts w:ascii="Times New Roman" w:hAnsi="Times New Roman" w:cs="Times New Roman" w:hint="eastAsia"/>
                <w:b/>
                <w:bCs/>
                <w:sz w:val="21"/>
                <w:szCs w:val="21"/>
              </w:rPr>
              <w:t>年</w:t>
            </w:r>
          </w:p>
        </w:tc>
        <w:tc>
          <w:tcPr>
            <w:tcW w:w="435" w:type="pct"/>
            <w:tcMar>
              <w:top w:w="0" w:type="dxa"/>
              <w:left w:w="108" w:type="dxa"/>
              <w:bottom w:w="0" w:type="dxa"/>
              <w:right w:w="108" w:type="dxa"/>
            </w:tcMar>
            <w:vAlign w:val="center"/>
          </w:tcPr>
          <w:p w14:paraId="391276B8"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2028</w:t>
            </w:r>
            <w:r w:rsidRPr="00B4515A">
              <w:rPr>
                <w:rFonts w:ascii="Times New Roman" w:hAnsi="Times New Roman" w:cs="Times New Roman" w:hint="eastAsia"/>
                <w:b/>
                <w:bCs/>
                <w:sz w:val="21"/>
                <w:szCs w:val="21"/>
              </w:rPr>
              <w:t>年</w:t>
            </w:r>
          </w:p>
        </w:tc>
        <w:tc>
          <w:tcPr>
            <w:tcW w:w="434" w:type="pct"/>
            <w:tcMar>
              <w:top w:w="0" w:type="dxa"/>
              <w:left w:w="108" w:type="dxa"/>
              <w:bottom w:w="0" w:type="dxa"/>
              <w:right w:w="108" w:type="dxa"/>
            </w:tcMar>
            <w:vAlign w:val="center"/>
          </w:tcPr>
          <w:p w14:paraId="1461527A"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2029</w:t>
            </w:r>
            <w:r w:rsidRPr="00B4515A">
              <w:rPr>
                <w:rFonts w:ascii="Times New Roman" w:hAnsi="Times New Roman" w:cs="Times New Roman" w:hint="eastAsia"/>
                <w:b/>
                <w:bCs/>
                <w:sz w:val="21"/>
                <w:szCs w:val="21"/>
              </w:rPr>
              <w:t>年</w:t>
            </w:r>
          </w:p>
        </w:tc>
      </w:tr>
      <w:tr w:rsidR="006416B0" w:rsidRPr="00B4515A" w14:paraId="2AB6BAFA" w14:textId="77777777" w:rsidTr="00EE238F">
        <w:trPr>
          <w:trHeight w:val="340"/>
          <w:jc w:val="center"/>
        </w:trPr>
        <w:tc>
          <w:tcPr>
            <w:tcW w:w="865" w:type="pct"/>
            <w:tcMar>
              <w:top w:w="0" w:type="dxa"/>
              <w:left w:w="108" w:type="dxa"/>
              <w:bottom w:w="0" w:type="dxa"/>
              <w:right w:w="108" w:type="dxa"/>
            </w:tcMar>
            <w:vAlign w:val="center"/>
          </w:tcPr>
          <w:p w14:paraId="1A8767E8" w14:textId="77777777" w:rsidR="006416B0" w:rsidRPr="00B4515A" w:rsidRDefault="005E58C1" w:rsidP="005860B4">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hint="eastAsia"/>
                <w:sz w:val="21"/>
                <w:szCs w:val="21"/>
              </w:rPr>
              <w:t>税金及附加</w:t>
            </w:r>
          </w:p>
        </w:tc>
        <w:tc>
          <w:tcPr>
            <w:tcW w:w="636" w:type="pct"/>
            <w:tcMar>
              <w:top w:w="0" w:type="dxa"/>
              <w:left w:w="108" w:type="dxa"/>
              <w:bottom w:w="0" w:type="dxa"/>
              <w:right w:w="108" w:type="dxa"/>
            </w:tcMar>
            <w:vAlign w:val="center"/>
          </w:tcPr>
          <w:p w14:paraId="57A9FE2E" w14:textId="28276CBE"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sz w:val="21"/>
                <w:szCs w:val="21"/>
              </w:rPr>
              <w:t>367.50</w:t>
            </w:r>
          </w:p>
        </w:tc>
        <w:tc>
          <w:tcPr>
            <w:tcW w:w="440" w:type="pct"/>
            <w:tcMar>
              <w:top w:w="0" w:type="dxa"/>
              <w:left w:w="108" w:type="dxa"/>
              <w:bottom w:w="0" w:type="dxa"/>
              <w:right w:w="108" w:type="dxa"/>
            </w:tcMar>
            <w:vAlign w:val="center"/>
          </w:tcPr>
          <w:p w14:paraId="2F890ED1" w14:textId="0B836D00"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sz w:val="21"/>
                <w:szCs w:val="21"/>
              </w:rPr>
              <w:t>451.42</w:t>
            </w:r>
          </w:p>
        </w:tc>
        <w:tc>
          <w:tcPr>
            <w:tcW w:w="440" w:type="pct"/>
            <w:tcMar>
              <w:top w:w="0" w:type="dxa"/>
              <w:left w:w="108" w:type="dxa"/>
              <w:bottom w:w="0" w:type="dxa"/>
              <w:right w:w="108" w:type="dxa"/>
            </w:tcMar>
            <w:vAlign w:val="center"/>
          </w:tcPr>
          <w:p w14:paraId="380A352D" w14:textId="4BF94069"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sz w:val="21"/>
                <w:szCs w:val="21"/>
              </w:rPr>
              <w:t>540.75</w:t>
            </w:r>
          </w:p>
        </w:tc>
        <w:tc>
          <w:tcPr>
            <w:tcW w:w="440" w:type="pct"/>
            <w:tcMar>
              <w:top w:w="0" w:type="dxa"/>
              <w:left w:w="108" w:type="dxa"/>
              <w:bottom w:w="0" w:type="dxa"/>
              <w:right w:w="108" w:type="dxa"/>
            </w:tcMar>
            <w:vAlign w:val="center"/>
          </w:tcPr>
          <w:p w14:paraId="7AA6E399" w14:textId="3428EAD1"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sz w:val="21"/>
                <w:szCs w:val="21"/>
              </w:rPr>
              <w:t>646.26</w:t>
            </w:r>
          </w:p>
        </w:tc>
        <w:tc>
          <w:tcPr>
            <w:tcW w:w="440" w:type="pct"/>
            <w:tcMar>
              <w:top w:w="0" w:type="dxa"/>
              <w:left w:w="108" w:type="dxa"/>
              <w:bottom w:w="0" w:type="dxa"/>
              <w:right w:w="108" w:type="dxa"/>
            </w:tcMar>
            <w:vAlign w:val="center"/>
          </w:tcPr>
          <w:p w14:paraId="6F766621" w14:textId="20C51245"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sz w:val="21"/>
                <w:szCs w:val="21"/>
              </w:rPr>
              <w:t>787.14</w:t>
            </w:r>
          </w:p>
        </w:tc>
        <w:tc>
          <w:tcPr>
            <w:tcW w:w="435" w:type="pct"/>
            <w:tcMar>
              <w:top w:w="0" w:type="dxa"/>
              <w:left w:w="108" w:type="dxa"/>
              <w:bottom w:w="0" w:type="dxa"/>
              <w:right w:w="108" w:type="dxa"/>
            </w:tcMar>
            <w:vAlign w:val="center"/>
          </w:tcPr>
          <w:p w14:paraId="2C390271" w14:textId="435A9956" w:rsidR="006416B0" w:rsidRPr="00B4515A" w:rsidRDefault="005E58C1" w:rsidP="005860B4">
            <w:pPr>
              <w:adjustRightInd w:val="0"/>
              <w:snapToGrid w:val="0"/>
              <w:jc w:val="center"/>
              <w:textAlignment w:val="center"/>
              <w:rPr>
                <w:rFonts w:ascii="Times New Roman" w:hAnsi="Times New Roman" w:cs="Times New Roman"/>
                <w:kern w:val="2"/>
                <w:sz w:val="21"/>
                <w:szCs w:val="21"/>
              </w:rPr>
            </w:pPr>
            <w:r w:rsidRPr="00B4515A">
              <w:rPr>
                <w:rFonts w:ascii="Times New Roman" w:hAnsi="Times New Roman" w:cs="Times New Roman"/>
                <w:sz w:val="21"/>
                <w:szCs w:val="21"/>
              </w:rPr>
              <w:t>787.14</w:t>
            </w:r>
          </w:p>
        </w:tc>
        <w:tc>
          <w:tcPr>
            <w:tcW w:w="435" w:type="pct"/>
            <w:tcMar>
              <w:top w:w="0" w:type="dxa"/>
              <w:left w:w="108" w:type="dxa"/>
              <w:bottom w:w="0" w:type="dxa"/>
              <w:right w:w="108" w:type="dxa"/>
            </w:tcMar>
            <w:vAlign w:val="center"/>
          </w:tcPr>
          <w:p w14:paraId="221F65AC" w14:textId="05B961E5" w:rsidR="006416B0" w:rsidRPr="00B4515A" w:rsidRDefault="005E58C1" w:rsidP="005860B4">
            <w:pPr>
              <w:adjustRightInd w:val="0"/>
              <w:snapToGrid w:val="0"/>
              <w:jc w:val="center"/>
              <w:textAlignment w:val="center"/>
              <w:rPr>
                <w:rFonts w:ascii="Times New Roman" w:hAnsi="Times New Roman" w:cs="Times New Roman"/>
                <w:sz w:val="21"/>
                <w:szCs w:val="21"/>
              </w:rPr>
            </w:pPr>
            <w:r w:rsidRPr="00B4515A">
              <w:rPr>
                <w:rFonts w:ascii="Times New Roman" w:hAnsi="Times New Roman" w:cs="Times New Roman"/>
                <w:sz w:val="21"/>
                <w:szCs w:val="21"/>
              </w:rPr>
              <w:t>787.14</w:t>
            </w:r>
          </w:p>
        </w:tc>
        <w:tc>
          <w:tcPr>
            <w:tcW w:w="435" w:type="pct"/>
            <w:tcMar>
              <w:top w:w="0" w:type="dxa"/>
              <w:left w:w="108" w:type="dxa"/>
              <w:bottom w:w="0" w:type="dxa"/>
              <w:right w:w="108" w:type="dxa"/>
            </w:tcMar>
            <w:vAlign w:val="center"/>
          </w:tcPr>
          <w:p w14:paraId="298C28F0" w14:textId="33ED4604" w:rsidR="006416B0" w:rsidRPr="00B4515A" w:rsidRDefault="005E58C1" w:rsidP="005860B4">
            <w:pPr>
              <w:adjustRightInd w:val="0"/>
              <w:snapToGrid w:val="0"/>
              <w:jc w:val="center"/>
              <w:textAlignment w:val="center"/>
              <w:rPr>
                <w:rFonts w:ascii="Times New Roman" w:hAnsi="Times New Roman" w:cs="Times New Roman"/>
                <w:sz w:val="21"/>
                <w:szCs w:val="21"/>
              </w:rPr>
            </w:pPr>
            <w:r w:rsidRPr="00B4515A">
              <w:rPr>
                <w:rFonts w:ascii="Times New Roman" w:hAnsi="Times New Roman" w:cs="Times New Roman"/>
                <w:sz w:val="21"/>
                <w:szCs w:val="21"/>
              </w:rPr>
              <w:t>787.14</w:t>
            </w:r>
          </w:p>
        </w:tc>
        <w:tc>
          <w:tcPr>
            <w:tcW w:w="434" w:type="pct"/>
            <w:tcMar>
              <w:top w:w="0" w:type="dxa"/>
              <w:left w:w="108" w:type="dxa"/>
              <w:bottom w:w="0" w:type="dxa"/>
              <w:right w:w="108" w:type="dxa"/>
            </w:tcMar>
            <w:vAlign w:val="center"/>
          </w:tcPr>
          <w:p w14:paraId="010B5489" w14:textId="30A3C74B" w:rsidR="006416B0" w:rsidRPr="00B4515A" w:rsidRDefault="005E58C1" w:rsidP="005860B4">
            <w:pPr>
              <w:adjustRightInd w:val="0"/>
              <w:snapToGrid w:val="0"/>
              <w:jc w:val="center"/>
              <w:textAlignment w:val="center"/>
              <w:rPr>
                <w:rFonts w:ascii="Times New Roman" w:hAnsi="Times New Roman" w:cs="Times New Roman"/>
                <w:sz w:val="21"/>
                <w:szCs w:val="21"/>
              </w:rPr>
            </w:pPr>
            <w:r w:rsidRPr="00B4515A">
              <w:rPr>
                <w:rFonts w:ascii="Times New Roman" w:hAnsi="Times New Roman" w:cs="Times New Roman"/>
                <w:sz w:val="21"/>
                <w:szCs w:val="21"/>
              </w:rPr>
              <w:t>787.14</w:t>
            </w:r>
          </w:p>
        </w:tc>
      </w:tr>
    </w:tbl>
    <w:p w14:paraId="3F2FCCEF" w14:textId="77777777" w:rsidR="006416B0" w:rsidRPr="00B4515A" w:rsidRDefault="005E58C1" w:rsidP="005860B4">
      <w:pPr>
        <w:pStyle w:val="005"/>
        <w:spacing w:before="120" w:after="120"/>
        <w:ind w:firstLine="480"/>
      </w:pPr>
      <w:r w:rsidRPr="00B4515A">
        <w:lastRenderedPageBreak/>
        <w:t>5</w:t>
      </w:r>
      <w:r w:rsidRPr="00B4515A">
        <w:rPr>
          <w:rFonts w:hint="eastAsia"/>
        </w:rPr>
        <w:t>）管理费用</w:t>
      </w:r>
    </w:p>
    <w:p w14:paraId="27D5B013" w14:textId="4813B5BA" w:rsidR="006416B0" w:rsidRPr="00B4515A" w:rsidRDefault="00FF0636" w:rsidP="005860B4">
      <w:pPr>
        <w:pStyle w:val="005"/>
        <w:spacing w:before="120" w:after="120"/>
        <w:ind w:firstLine="480"/>
      </w:pPr>
      <w:r w:rsidRPr="00B4515A">
        <w:rPr>
          <w:rFonts w:hint="eastAsia"/>
        </w:rPr>
        <w:t>大唐联诚</w:t>
      </w:r>
      <w:r w:rsidR="005E58C1" w:rsidRPr="00B4515A">
        <w:rPr>
          <w:rFonts w:hint="eastAsia"/>
        </w:rPr>
        <w:t>未来管理费用主要包括职工薪酬、房屋租赁等，未来管理费用预测如下：</w:t>
      </w:r>
    </w:p>
    <w:p w14:paraId="4BD09062" w14:textId="77777777" w:rsidR="006416B0" w:rsidRPr="00B4515A" w:rsidRDefault="005E58C1" w:rsidP="005860B4">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8"/>
        <w:gridCol w:w="1418"/>
        <w:gridCol w:w="1417"/>
        <w:gridCol w:w="1417"/>
        <w:gridCol w:w="1417"/>
        <w:gridCol w:w="1417"/>
        <w:gridCol w:w="1417"/>
        <w:gridCol w:w="1417"/>
      </w:tblGrid>
      <w:tr w:rsidR="006416B0" w:rsidRPr="00B4515A" w14:paraId="1BF376C5" w14:textId="77777777" w:rsidTr="00EE238F">
        <w:trPr>
          <w:trHeight w:val="340"/>
          <w:jc w:val="center"/>
        </w:trPr>
        <w:tc>
          <w:tcPr>
            <w:tcW w:w="500" w:type="pct"/>
            <w:tcMar>
              <w:top w:w="0" w:type="dxa"/>
              <w:left w:w="108" w:type="dxa"/>
              <w:bottom w:w="0" w:type="dxa"/>
              <w:right w:w="108" w:type="dxa"/>
            </w:tcMar>
            <w:vAlign w:val="center"/>
          </w:tcPr>
          <w:p w14:paraId="1B3FE462"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hint="eastAsia"/>
                <w:b/>
                <w:bCs/>
                <w:sz w:val="21"/>
                <w:szCs w:val="21"/>
              </w:rPr>
              <w:t>项目</w:t>
            </w:r>
          </w:p>
        </w:tc>
        <w:tc>
          <w:tcPr>
            <w:tcW w:w="500" w:type="pct"/>
            <w:tcMar>
              <w:top w:w="0" w:type="dxa"/>
              <w:left w:w="108" w:type="dxa"/>
              <w:bottom w:w="0" w:type="dxa"/>
              <w:right w:w="108" w:type="dxa"/>
            </w:tcMar>
            <w:vAlign w:val="center"/>
          </w:tcPr>
          <w:p w14:paraId="7D2942D6"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hint="eastAsia"/>
                <w:b/>
                <w:bCs/>
                <w:sz w:val="21"/>
                <w:szCs w:val="21"/>
              </w:rPr>
              <w:t>年全年</w:t>
            </w:r>
          </w:p>
        </w:tc>
        <w:tc>
          <w:tcPr>
            <w:tcW w:w="500" w:type="pct"/>
            <w:tcMar>
              <w:top w:w="0" w:type="dxa"/>
              <w:left w:w="108" w:type="dxa"/>
              <w:bottom w:w="0" w:type="dxa"/>
              <w:right w:w="108" w:type="dxa"/>
            </w:tcMar>
            <w:vAlign w:val="center"/>
          </w:tcPr>
          <w:p w14:paraId="32F617A2"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2022</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25F5807D"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2023</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564EFEB2"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2024</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2F8DD0DA"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2025</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6E91FB08"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2026</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715858D1"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2027</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65542DF4"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2028</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6973D65C"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2029</w:t>
            </w:r>
            <w:r w:rsidRPr="00B4515A">
              <w:rPr>
                <w:rFonts w:ascii="Times New Roman" w:hAnsi="Times New Roman" w:cs="Times New Roman" w:hint="eastAsia"/>
                <w:b/>
                <w:bCs/>
                <w:sz w:val="21"/>
                <w:szCs w:val="21"/>
              </w:rPr>
              <w:t>年</w:t>
            </w:r>
          </w:p>
        </w:tc>
      </w:tr>
      <w:tr w:rsidR="006416B0" w:rsidRPr="00B4515A" w14:paraId="1DD74204" w14:textId="77777777" w:rsidTr="00EE238F">
        <w:trPr>
          <w:trHeight w:val="340"/>
          <w:jc w:val="center"/>
        </w:trPr>
        <w:tc>
          <w:tcPr>
            <w:tcW w:w="500" w:type="pct"/>
            <w:tcMar>
              <w:top w:w="0" w:type="dxa"/>
              <w:left w:w="108" w:type="dxa"/>
              <w:bottom w:w="0" w:type="dxa"/>
              <w:right w:w="108" w:type="dxa"/>
            </w:tcMar>
            <w:vAlign w:val="center"/>
          </w:tcPr>
          <w:p w14:paraId="662013E5" w14:textId="77777777" w:rsidR="006416B0" w:rsidRPr="00B4515A" w:rsidRDefault="005E58C1" w:rsidP="005860B4">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hint="eastAsia"/>
                <w:sz w:val="21"/>
                <w:szCs w:val="21"/>
              </w:rPr>
              <w:t>管理费用</w:t>
            </w:r>
          </w:p>
        </w:tc>
        <w:tc>
          <w:tcPr>
            <w:tcW w:w="500" w:type="pct"/>
            <w:tcMar>
              <w:top w:w="0" w:type="dxa"/>
              <w:left w:w="108" w:type="dxa"/>
              <w:bottom w:w="0" w:type="dxa"/>
              <w:right w:w="108" w:type="dxa"/>
            </w:tcMar>
            <w:vAlign w:val="center"/>
          </w:tcPr>
          <w:p w14:paraId="77A81819"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4,771.25 </w:t>
            </w:r>
          </w:p>
        </w:tc>
        <w:tc>
          <w:tcPr>
            <w:tcW w:w="500" w:type="pct"/>
            <w:tcMar>
              <w:top w:w="0" w:type="dxa"/>
              <w:left w:w="108" w:type="dxa"/>
              <w:bottom w:w="0" w:type="dxa"/>
              <w:right w:w="108" w:type="dxa"/>
            </w:tcMar>
            <w:vAlign w:val="center"/>
          </w:tcPr>
          <w:p w14:paraId="06B1641B"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5,247.60 </w:t>
            </w:r>
          </w:p>
        </w:tc>
        <w:tc>
          <w:tcPr>
            <w:tcW w:w="500" w:type="pct"/>
            <w:tcMar>
              <w:top w:w="0" w:type="dxa"/>
              <w:left w:w="108" w:type="dxa"/>
              <w:bottom w:w="0" w:type="dxa"/>
              <w:right w:w="108" w:type="dxa"/>
            </w:tcMar>
            <w:vAlign w:val="center"/>
          </w:tcPr>
          <w:p w14:paraId="5E5A1E5F"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5,710.32 </w:t>
            </w:r>
          </w:p>
        </w:tc>
        <w:tc>
          <w:tcPr>
            <w:tcW w:w="500" w:type="pct"/>
            <w:tcMar>
              <w:top w:w="0" w:type="dxa"/>
              <w:left w:w="108" w:type="dxa"/>
              <w:bottom w:w="0" w:type="dxa"/>
              <w:right w:w="108" w:type="dxa"/>
            </w:tcMar>
            <w:vAlign w:val="center"/>
          </w:tcPr>
          <w:p w14:paraId="424C160D"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6,219.55 </w:t>
            </w:r>
          </w:p>
        </w:tc>
        <w:tc>
          <w:tcPr>
            <w:tcW w:w="500" w:type="pct"/>
            <w:tcMar>
              <w:top w:w="0" w:type="dxa"/>
              <w:left w:w="108" w:type="dxa"/>
              <w:bottom w:w="0" w:type="dxa"/>
              <w:right w:w="108" w:type="dxa"/>
            </w:tcMar>
            <w:vAlign w:val="center"/>
          </w:tcPr>
          <w:p w14:paraId="7BF6CE01"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6,786.19 </w:t>
            </w:r>
          </w:p>
        </w:tc>
        <w:tc>
          <w:tcPr>
            <w:tcW w:w="500" w:type="pct"/>
            <w:tcMar>
              <w:top w:w="0" w:type="dxa"/>
              <w:left w:w="108" w:type="dxa"/>
              <w:bottom w:w="0" w:type="dxa"/>
              <w:right w:w="108" w:type="dxa"/>
            </w:tcMar>
            <w:vAlign w:val="center"/>
          </w:tcPr>
          <w:p w14:paraId="464A0209"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 xml:space="preserve">6,786.19 </w:t>
            </w:r>
          </w:p>
        </w:tc>
        <w:tc>
          <w:tcPr>
            <w:tcW w:w="500" w:type="pct"/>
            <w:tcMar>
              <w:top w:w="0" w:type="dxa"/>
              <w:left w:w="108" w:type="dxa"/>
              <w:bottom w:w="0" w:type="dxa"/>
              <w:right w:w="108" w:type="dxa"/>
            </w:tcMar>
            <w:vAlign w:val="center"/>
          </w:tcPr>
          <w:p w14:paraId="203CEEE9"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6,786.19 </w:t>
            </w:r>
          </w:p>
        </w:tc>
        <w:tc>
          <w:tcPr>
            <w:tcW w:w="500" w:type="pct"/>
            <w:tcMar>
              <w:top w:w="0" w:type="dxa"/>
              <w:left w:w="108" w:type="dxa"/>
              <w:bottom w:w="0" w:type="dxa"/>
              <w:right w:w="108" w:type="dxa"/>
            </w:tcMar>
            <w:vAlign w:val="center"/>
          </w:tcPr>
          <w:p w14:paraId="5CA619BD"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6,786.19 </w:t>
            </w:r>
          </w:p>
        </w:tc>
        <w:tc>
          <w:tcPr>
            <w:tcW w:w="500" w:type="pct"/>
            <w:tcMar>
              <w:top w:w="0" w:type="dxa"/>
              <w:left w:w="108" w:type="dxa"/>
              <w:bottom w:w="0" w:type="dxa"/>
              <w:right w:w="108" w:type="dxa"/>
            </w:tcMar>
            <w:vAlign w:val="center"/>
          </w:tcPr>
          <w:p w14:paraId="6B36513B"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6,786.19 </w:t>
            </w:r>
          </w:p>
        </w:tc>
      </w:tr>
    </w:tbl>
    <w:p w14:paraId="660C5769" w14:textId="77777777" w:rsidR="006416B0" w:rsidRPr="00B4515A" w:rsidRDefault="005E58C1" w:rsidP="005860B4">
      <w:pPr>
        <w:pStyle w:val="005"/>
        <w:spacing w:before="120" w:after="120"/>
        <w:ind w:firstLine="480"/>
      </w:pPr>
      <w:r w:rsidRPr="00B4515A">
        <w:t>6</w:t>
      </w:r>
      <w:r w:rsidRPr="00B4515A">
        <w:rPr>
          <w:rFonts w:hint="eastAsia"/>
        </w:rPr>
        <w:t>）销售费用</w:t>
      </w:r>
    </w:p>
    <w:p w14:paraId="02824DAF" w14:textId="32BA285A" w:rsidR="006416B0" w:rsidRPr="00B4515A" w:rsidRDefault="00FF0636" w:rsidP="005860B4">
      <w:pPr>
        <w:pStyle w:val="005"/>
        <w:spacing w:before="120" w:after="120"/>
        <w:ind w:firstLine="480"/>
      </w:pPr>
      <w:r w:rsidRPr="00B4515A">
        <w:rPr>
          <w:rFonts w:hint="eastAsia"/>
        </w:rPr>
        <w:t>大唐联诚</w:t>
      </w:r>
      <w:r w:rsidR="005E58C1" w:rsidRPr="00B4515A">
        <w:rPr>
          <w:rFonts w:hint="eastAsia"/>
        </w:rPr>
        <w:t>未来销售费用主要包括职工薪酬等，</w:t>
      </w:r>
      <w:r w:rsidR="00486317" w:rsidRPr="00B4515A">
        <w:rPr>
          <w:rFonts w:hint="eastAsia"/>
        </w:rPr>
        <w:t>大唐联诚</w:t>
      </w:r>
      <w:r w:rsidR="005E58C1" w:rsidRPr="00B4515A">
        <w:rPr>
          <w:rFonts w:hint="eastAsia"/>
        </w:rPr>
        <w:t>未来销售费用预测如下：</w:t>
      </w:r>
    </w:p>
    <w:p w14:paraId="5BEAF3AF" w14:textId="77777777" w:rsidR="006416B0" w:rsidRPr="00B4515A" w:rsidRDefault="005E58C1" w:rsidP="005860B4">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8"/>
        <w:gridCol w:w="1418"/>
        <w:gridCol w:w="1417"/>
        <w:gridCol w:w="1417"/>
        <w:gridCol w:w="1417"/>
        <w:gridCol w:w="1417"/>
        <w:gridCol w:w="1417"/>
        <w:gridCol w:w="1417"/>
      </w:tblGrid>
      <w:tr w:rsidR="006416B0" w:rsidRPr="00B4515A" w14:paraId="3245BFED" w14:textId="77777777" w:rsidTr="00EE238F">
        <w:trPr>
          <w:trHeight w:val="340"/>
          <w:jc w:val="center"/>
        </w:trPr>
        <w:tc>
          <w:tcPr>
            <w:tcW w:w="500" w:type="pct"/>
            <w:tcMar>
              <w:top w:w="0" w:type="dxa"/>
              <w:left w:w="108" w:type="dxa"/>
              <w:bottom w:w="0" w:type="dxa"/>
              <w:right w:w="108" w:type="dxa"/>
            </w:tcMar>
            <w:vAlign w:val="center"/>
          </w:tcPr>
          <w:p w14:paraId="5F937ADC"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hint="eastAsia"/>
                <w:b/>
                <w:bCs/>
                <w:sz w:val="21"/>
                <w:szCs w:val="21"/>
              </w:rPr>
              <w:t>项目</w:t>
            </w:r>
          </w:p>
        </w:tc>
        <w:tc>
          <w:tcPr>
            <w:tcW w:w="500" w:type="pct"/>
            <w:tcMar>
              <w:top w:w="0" w:type="dxa"/>
              <w:left w:w="108" w:type="dxa"/>
              <w:bottom w:w="0" w:type="dxa"/>
              <w:right w:w="108" w:type="dxa"/>
            </w:tcMar>
            <w:vAlign w:val="center"/>
          </w:tcPr>
          <w:p w14:paraId="37DD252F"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hint="eastAsia"/>
                <w:b/>
                <w:bCs/>
                <w:sz w:val="21"/>
                <w:szCs w:val="21"/>
              </w:rPr>
              <w:t>年全年</w:t>
            </w:r>
          </w:p>
        </w:tc>
        <w:tc>
          <w:tcPr>
            <w:tcW w:w="500" w:type="pct"/>
            <w:tcMar>
              <w:top w:w="0" w:type="dxa"/>
              <w:left w:w="108" w:type="dxa"/>
              <w:bottom w:w="0" w:type="dxa"/>
              <w:right w:w="108" w:type="dxa"/>
            </w:tcMar>
            <w:vAlign w:val="center"/>
          </w:tcPr>
          <w:p w14:paraId="39E85F0E"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2022</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229373E7"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2023</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0DD23A44"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2024</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5511F1E8"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2025</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2C7A3BC2"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2026</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68533939"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2027</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5BC71EF1"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2028</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00FAD839"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2029</w:t>
            </w:r>
            <w:r w:rsidRPr="00B4515A">
              <w:rPr>
                <w:rFonts w:ascii="Times New Roman" w:hAnsi="Times New Roman" w:cs="Times New Roman" w:hint="eastAsia"/>
                <w:b/>
                <w:bCs/>
                <w:sz w:val="21"/>
                <w:szCs w:val="21"/>
              </w:rPr>
              <w:t>年</w:t>
            </w:r>
          </w:p>
        </w:tc>
      </w:tr>
      <w:tr w:rsidR="006416B0" w:rsidRPr="00B4515A" w14:paraId="705C0E43" w14:textId="77777777" w:rsidTr="00EE238F">
        <w:trPr>
          <w:trHeight w:val="340"/>
          <w:jc w:val="center"/>
        </w:trPr>
        <w:tc>
          <w:tcPr>
            <w:tcW w:w="500" w:type="pct"/>
            <w:tcMar>
              <w:top w:w="0" w:type="dxa"/>
              <w:left w:w="108" w:type="dxa"/>
              <w:bottom w:w="0" w:type="dxa"/>
              <w:right w:w="108" w:type="dxa"/>
            </w:tcMar>
            <w:vAlign w:val="center"/>
          </w:tcPr>
          <w:p w14:paraId="38E0A9F0" w14:textId="77777777" w:rsidR="006416B0" w:rsidRPr="00B4515A" w:rsidRDefault="005E58C1" w:rsidP="005860B4">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hint="eastAsia"/>
                <w:sz w:val="21"/>
                <w:szCs w:val="21"/>
              </w:rPr>
              <w:t>销售费用</w:t>
            </w:r>
          </w:p>
        </w:tc>
        <w:tc>
          <w:tcPr>
            <w:tcW w:w="500" w:type="pct"/>
            <w:tcMar>
              <w:top w:w="0" w:type="dxa"/>
              <w:left w:w="108" w:type="dxa"/>
              <w:bottom w:w="0" w:type="dxa"/>
              <w:right w:w="108" w:type="dxa"/>
            </w:tcMar>
            <w:vAlign w:val="center"/>
          </w:tcPr>
          <w:p w14:paraId="1DE41C11"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3,636.61 </w:t>
            </w:r>
          </w:p>
        </w:tc>
        <w:tc>
          <w:tcPr>
            <w:tcW w:w="500" w:type="pct"/>
            <w:tcMar>
              <w:top w:w="0" w:type="dxa"/>
              <w:left w:w="108" w:type="dxa"/>
              <w:bottom w:w="0" w:type="dxa"/>
              <w:right w:w="108" w:type="dxa"/>
            </w:tcMar>
            <w:vAlign w:val="center"/>
          </w:tcPr>
          <w:p w14:paraId="53157910"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4,462.56 </w:t>
            </w:r>
          </w:p>
        </w:tc>
        <w:tc>
          <w:tcPr>
            <w:tcW w:w="500" w:type="pct"/>
            <w:tcMar>
              <w:top w:w="0" w:type="dxa"/>
              <w:left w:w="108" w:type="dxa"/>
              <w:bottom w:w="0" w:type="dxa"/>
              <w:right w:w="108" w:type="dxa"/>
            </w:tcMar>
            <w:vAlign w:val="center"/>
          </w:tcPr>
          <w:p w14:paraId="79D24030"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5,338.38 </w:t>
            </w:r>
          </w:p>
        </w:tc>
        <w:tc>
          <w:tcPr>
            <w:tcW w:w="500" w:type="pct"/>
            <w:tcMar>
              <w:top w:w="0" w:type="dxa"/>
              <w:left w:w="108" w:type="dxa"/>
              <w:bottom w:w="0" w:type="dxa"/>
              <w:right w:w="108" w:type="dxa"/>
            </w:tcMar>
            <w:vAlign w:val="center"/>
          </w:tcPr>
          <w:p w14:paraId="11F5686D"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6,372.73 </w:t>
            </w:r>
          </w:p>
        </w:tc>
        <w:tc>
          <w:tcPr>
            <w:tcW w:w="500" w:type="pct"/>
            <w:tcMar>
              <w:top w:w="0" w:type="dxa"/>
              <w:left w:w="108" w:type="dxa"/>
              <w:bottom w:w="0" w:type="dxa"/>
              <w:right w:w="108" w:type="dxa"/>
            </w:tcMar>
            <w:vAlign w:val="center"/>
          </w:tcPr>
          <w:p w14:paraId="0EB3E229"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7,753.42 </w:t>
            </w:r>
          </w:p>
        </w:tc>
        <w:tc>
          <w:tcPr>
            <w:tcW w:w="500" w:type="pct"/>
            <w:tcMar>
              <w:top w:w="0" w:type="dxa"/>
              <w:left w:w="108" w:type="dxa"/>
              <w:bottom w:w="0" w:type="dxa"/>
              <w:right w:w="108" w:type="dxa"/>
            </w:tcMar>
            <w:vAlign w:val="center"/>
          </w:tcPr>
          <w:p w14:paraId="25F7FA17"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 xml:space="preserve">7,753.42 </w:t>
            </w:r>
          </w:p>
        </w:tc>
        <w:tc>
          <w:tcPr>
            <w:tcW w:w="500" w:type="pct"/>
            <w:tcMar>
              <w:top w:w="0" w:type="dxa"/>
              <w:left w:w="108" w:type="dxa"/>
              <w:bottom w:w="0" w:type="dxa"/>
              <w:right w:w="108" w:type="dxa"/>
            </w:tcMar>
            <w:vAlign w:val="center"/>
          </w:tcPr>
          <w:p w14:paraId="35420ADD"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7,753.42 </w:t>
            </w:r>
          </w:p>
        </w:tc>
        <w:tc>
          <w:tcPr>
            <w:tcW w:w="500" w:type="pct"/>
            <w:tcMar>
              <w:top w:w="0" w:type="dxa"/>
              <w:left w:w="108" w:type="dxa"/>
              <w:bottom w:w="0" w:type="dxa"/>
              <w:right w:w="108" w:type="dxa"/>
            </w:tcMar>
            <w:vAlign w:val="center"/>
          </w:tcPr>
          <w:p w14:paraId="41A79734"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7,753.42 </w:t>
            </w:r>
          </w:p>
        </w:tc>
        <w:tc>
          <w:tcPr>
            <w:tcW w:w="500" w:type="pct"/>
            <w:tcMar>
              <w:top w:w="0" w:type="dxa"/>
              <w:left w:w="108" w:type="dxa"/>
              <w:bottom w:w="0" w:type="dxa"/>
              <w:right w:w="108" w:type="dxa"/>
            </w:tcMar>
            <w:vAlign w:val="center"/>
          </w:tcPr>
          <w:p w14:paraId="55607457"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7,753.42 </w:t>
            </w:r>
          </w:p>
        </w:tc>
      </w:tr>
    </w:tbl>
    <w:p w14:paraId="169C0652" w14:textId="77777777" w:rsidR="006416B0" w:rsidRPr="00B4515A" w:rsidRDefault="005E58C1" w:rsidP="005860B4">
      <w:pPr>
        <w:pStyle w:val="005"/>
        <w:spacing w:before="120" w:after="120"/>
        <w:ind w:firstLine="480"/>
      </w:pPr>
      <w:r w:rsidRPr="00B4515A">
        <w:t>7</w:t>
      </w:r>
      <w:r w:rsidRPr="00B4515A">
        <w:rPr>
          <w:rFonts w:hint="eastAsia"/>
        </w:rPr>
        <w:t>）研发费用</w:t>
      </w:r>
    </w:p>
    <w:p w14:paraId="7AAB3381" w14:textId="2AAAE188" w:rsidR="006416B0" w:rsidRPr="00B4515A" w:rsidRDefault="00FF0636" w:rsidP="005860B4">
      <w:pPr>
        <w:pStyle w:val="005"/>
        <w:spacing w:before="120" w:after="120"/>
        <w:ind w:firstLine="480"/>
      </w:pPr>
      <w:r w:rsidRPr="00B4515A">
        <w:rPr>
          <w:rFonts w:hint="eastAsia"/>
        </w:rPr>
        <w:t>大唐联诚</w:t>
      </w:r>
      <w:r w:rsidR="005E58C1" w:rsidRPr="00B4515A">
        <w:rPr>
          <w:rFonts w:hint="eastAsia"/>
        </w:rPr>
        <w:t>未来研发费用预测如下：</w:t>
      </w:r>
    </w:p>
    <w:p w14:paraId="14E3D327" w14:textId="77777777" w:rsidR="006416B0" w:rsidRPr="00B4515A" w:rsidRDefault="005E58C1" w:rsidP="005860B4">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8"/>
        <w:gridCol w:w="1418"/>
        <w:gridCol w:w="1417"/>
        <w:gridCol w:w="1417"/>
        <w:gridCol w:w="1417"/>
        <w:gridCol w:w="1417"/>
        <w:gridCol w:w="1417"/>
        <w:gridCol w:w="1417"/>
      </w:tblGrid>
      <w:tr w:rsidR="006416B0" w:rsidRPr="00B4515A" w14:paraId="529DA772" w14:textId="77777777" w:rsidTr="00EE238F">
        <w:trPr>
          <w:trHeight w:val="340"/>
          <w:jc w:val="center"/>
        </w:trPr>
        <w:tc>
          <w:tcPr>
            <w:tcW w:w="500" w:type="pct"/>
            <w:tcMar>
              <w:top w:w="0" w:type="dxa"/>
              <w:left w:w="108" w:type="dxa"/>
              <w:bottom w:w="0" w:type="dxa"/>
              <w:right w:w="108" w:type="dxa"/>
            </w:tcMar>
            <w:vAlign w:val="center"/>
          </w:tcPr>
          <w:p w14:paraId="0328393E"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hint="eastAsia"/>
                <w:b/>
                <w:bCs/>
                <w:sz w:val="21"/>
                <w:szCs w:val="21"/>
              </w:rPr>
              <w:t>项目</w:t>
            </w:r>
          </w:p>
        </w:tc>
        <w:tc>
          <w:tcPr>
            <w:tcW w:w="500" w:type="pct"/>
            <w:tcMar>
              <w:top w:w="0" w:type="dxa"/>
              <w:left w:w="108" w:type="dxa"/>
              <w:bottom w:w="0" w:type="dxa"/>
              <w:right w:w="108" w:type="dxa"/>
            </w:tcMar>
            <w:vAlign w:val="center"/>
          </w:tcPr>
          <w:p w14:paraId="3928AA3C"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hint="eastAsia"/>
                <w:b/>
                <w:bCs/>
                <w:sz w:val="21"/>
                <w:szCs w:val="21"/>
              </w:rPr>
              <w:t>年全年</w:t>
            </w:r>
          </w:p>
        </w:tc>
        <w:tc>
          <w:tcPr>
            <w:tcW w:w="500" w:type="pct"/>
            <w:tcMar>
              <w:top w:w="0" w:type="dxa"/>
              <w:left w:w="108" w:type="dxa"/>
              <w:bottom w:w="0" w:type="dxa"/>
              <w:right w:w="108" w:type="dxa"/>
            </w:tcMar>
            <w:vAlign w:val="center"/>
          </w:tcPr>
          <w:p w14:paraId="681787CE"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2022</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69C1C9AB"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2023</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4A628B2C"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2024</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4181FFF6"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2025</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33454634"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2026</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03A2F776"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2027</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1DFC10AF"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2028</w:t>
            </w:r>
            <w:r w:rsidRPr="00B4515A">
              <w:rPr>
                <w:rFonts w:ascii="Times New Roman" w:hAnsi="Times New Roman" w:cs="Times New Roman" w:hint="eastAsia"/>
                <w:b/>
                <w:bCs/>
                <w:sz w:val="21"/>
                <w:szCs w:val="21"/>
              </w:rPr>
              <w:t>年</w:t>
            </w:r>
          </w:p>
        </w:tc>
        <w:tc>
          <w:tcPr>
            <w:tcW w:w="500" w:type="pct"/>
            <w:tcMar>
              <w:top w:w="0" w:type="dxa"/>
              <w:left w:w="108" w:type="dxa"/>
              <w:bottom w:w="0" w:type="dxa"/>
              <w:right w:w="108" w:type="dxa"/>
            </w:tcMar>
            <w:vAlign w:val="center"/>
          </w:tcPr>
          <w:p w14:paraId="6A18C07F"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2029</w:t>
            </w:r>
            <w:r w:rsidRPr="00B4515A">
              <w:rPr>
                <w:rFonts w:ascii="Times New Roman" w:hAnsi="Times New Roman" w:cs="Times New Roman" w:hint="eastAsia"/>
                <w:b/>
                <w:bCs/>
                <w:sz w:val="21"/>
                <w:szCs w:val="21"/>
              </w:rPr>
              <w:t>年</w:t>
            </w:r>
          </w:p>
        </w:tc>
      </w:tr>
      <w:tr w:rsidR="006416B0" w:rsidRPr="00B4515A" w14:paraId="002E7A98" w14:textId="77777777" w:rsidTr="00EE238F">
        <w:trPr>
          <w:trHeight w:val="340"/>
          <w:jc w:val="center"/>
        </w:trPr>
        <w:tc>
          <w:tcPr>
            <w:tcW w:w="500" w:type="pct"/>
            <w:tcMar>
              <w:top w:w="0" w:type="dxa"/>
              <w:left w:w="108" w:type="dxa"/>
              <w:bottom w:w="0" w:type="dxa"/>
              <w:right w:w="108" w:type="dxa"/>
            </w:tcMar>
            <w:vAlign w:val="center"/>
          </w:tcPr>
          <w:p w14:paraId="052D9C0E" w14:textId="77777777" w:rsidR="006416B0" w:rsidRPr="00B4515A" w:rsidRDefault="005E58C1" w:rsidP="005860B4">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hint="eastAsia"/>
                <w:sz w:val="21"/>
                <w:szCs w:val="21"/>
              </w:rPr>
              <w:t>研发费用</w:t>
            </w:r>
          </w:p>
        </w:tc>
        <w:tc>
          <w:tcPr>
            <w:tcW w:w="500" w:type="pct"/>
            <w:tcMar>
              <w:top w:w="0" w:type="dxa"/>
              <w:left w:w="108" w:type="dxa"/>
              <w:bottom w:w="0" w:type="dxa"/>
              <w:right w:w="108" w:type="dxa"/>
            </w:tcMar>
            <w:vAlign w:val="center"/>
          </w:tcPr>
          <w:p w14:paraId="41C87E2E"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15,364.17 </w:t>
            </w:r>
          </w:p>
        </w:tc>
        <w:tc>
          <w:tcPr>
            <w:tcW w:w="500" w:type="pct"/>
            <w:tcMar>
              <w:top w:w="0" w:type="dxa"/>
              <w:left w:w="108" w:type="dxa"/>
              <w:bottom w:w="0" w:type="dxa"/>
              <w:right w:w="108" w:type="dxa"/>
            </w:tcMar>
            <w:vAlign w:val="center"/>
          </w:tcPr>
          <w:p w14:paraId="439D9449"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18,531.42 </w:t>
            </w:r>
          </w:p>
        </w:tc>
        <w:tc>
          <w:tcPr>
            <w:tcW w:w="500" w:type="pct"/>
            <w:tcMar>
              <w:top w:w="0" w:type="dxa"/>
              <w:left w:w="108" w:type="dxa"/>
              <w:bottom w:w="0" w:type="dxa"/>
              <w:right w:w="108" w:type="dxa"/>
            </w:tcMar>
            <w:vAlign w:val="center"/>
          </w:tcPr>
          <w:p w14:paraId="0F4E8BBD"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21,837.47 </w:t>
            </w:r>
          </w:p>
        </w:tc>
        <w:tc>
          <w:tcPr>
            <w:tcW w:w="500" w:type="pct"/>
            <w:tcMar>
              <w:top w:w="0" w:type="dxa"/>
              <w:left w:w="108" w:type="dxa"/>
              <w:bottom w:w="0" w:type="dxa"/>
              <w:right w:w="108" w:type="dxa"/>
            </w:tcMar>
            <w:vAlign w:val="center"/>
          </w:tcPr>
          <w:p w14:paraId="5353959F"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25,490.96 </w:t>
            </w:r>
          </w:p>
        </w:tc>
        <w:tc>
          <w:tcPr>
            <w:tcW w:w="500" w:type="pct"/>
            <w:tcMar>
              <w:top w:w="0" w:type="dxa"/>
              <w:left w:w="108" w:type="dxa"/>
              <w:bottom w:w="0" w:type="dxa"/>
              <w:right w:w="108" w:type="dxa"/>
            </w:tcMar>
            <w:vAlign w:val="center"/>
          </w:tcPr>
          <w:p w14:paraId="489FC4EF"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29,362.58 </w:t>
            </w:r>
          </w:p>
        </w:tc>
        <w:tc>
          <w:tcPr>
            <w:tcW w:w="500" w:type="pct"/>
            <w:tcMar>
              <w:top w:w="0" w:type="dxa"/>
              <w:left w:w="108" w:type="dxa"/>
              <w:bottom w:w="0" w:type="dxa"/>
              <w:right w:w="108" w:type="dxa"/>
            </w:tcMar>
            <w:vAlign w:val="center"/>
          </w:tcPr>
          <w:p w14:paraId="3452EC4D"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29,557.82 </w:t>
            </w:r>
          </w:p>
        </w:tc>
        <w:tc>
          <w:tcPr>
            <w:tcW w:w="500" w:type="pct"/>
            <w:tcMar>
              <w:top w:w="0" w:type="dxa"/>
              <w:left w:w="108" w:type="dxa"/>
              <w:bottom w:w="0" w:type="dxa"/>
              <w:right w:w="108" w:type="dxa"/>
            </w:tcMar>
            <w:vAlign w:val="center"/>
          </w:tcPr>
          <w:p w14:paraId="6C4019E4"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30,480.11 </w:t>
            </w:r>
          </w:p>
        </w:tc>
        <w:tc>
          <w:tcPr>
            <w:tcW w:w="500" w:type="pct"/>
            <w:tcMar>
              <w:top w:w="0" w:type="dxa"/>
              <w:left w:w="108" w:type="dxa"/>
              <w:bottom w:w="0" w:type="dxa"/>
              <w:right w:w="108" w:type="dxa"/>
            </w:tcMar>
            <w:vAlign w:val="center"/>
          </w:tcPr>
          <w:p w14:paraId="722E2A73"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30,480.11 </w:t>
            </w:r>
          </w:p>
        </w:tc>
        <w:tc>
          <w:tcPr>
            <w:tcW w:w="500" w:type="pct"/>
            <w:tcMar>
              <w:top w:w="0" w:type="dxa"/>
              <w:left w:w="108" w:type="dxa"/>
              <w:bottom w:w="0" w:type="dxa"/>
              <w:right w:w="108" w:type="dxa"/>
            </w:tcMar>
            <w:vAlign w:val="center"/>
          </w:tcPr>
          <w:p w14:paraId="701F69E5"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30,480.11 </w:t>
            </w:r>
          </w:p>
        </w:tc>
      </w:tr>
    </w:tbl>
    <w:p w14:paraId="1221CB33" w14:textId="77777777" w:rsidR="006416B0" w:rsidRPr="00B4515A" w:rsidRDefault="005E58C1" w:rsidP="005860B4">
      <w:pPr>
        <w:pStyle w:val="005"/>
        <w:spacing w:before="120" w:after="120"/>
        <w:ind w:firstLine="480"/>
      </w:pPr>
      <w:r w:rsidRPr="00B4515A">
        <w:t>8</w:t>
      </w:r>
      <w:r w:rsidRPr="00B4515A">
        <w:rPr>
          <w:rFonts w:hint="eastAsia"/>
        </w:rPr>
        <w:t>）财务费用</w:t>
      </w:r>
    </w:p>
    <w:p w14:paraId="357D1CED" w14:textId="789AFA44" w:rsidR="006416B0" w:rsidRPr="00B4515A" w:rsidRDefault="00FF0636" w:rsidP="005860B4">
      <w:pPr>
        <w:pStyle w:val="005"/>
        <w:spacing w:before="120" w:after="120"/>
        <w:ind w:firstLine="480"/>
      </w:pPr>
      <w:r w:rsidRPr="00B4515A">
        <w:rPr>
          <w:rFonts w:hint="eastAsia"/>
        </w:rPr>
        <w:t>大唐联诚</w:t>
      </w:r>
      <w:r w:rsidR="005E58C1" w:rsidRPr="00B4515A">
        <w:rPr>
          <w:rFonts w:hint="eastAsia"/>
        </w:rPr>
        <w:t>未来财务费用预测如下：</w:t>
      </w:r>
    </w:p>
    <w:p w14:paraId="1BCB7730" w14:textId="77777777" w:rsidR="006416B0" w:rsidRPr="00B4515A" w:rsidRDefault="005E58C1">
      <w:pPr>
        <w:jc w:val="right"/>
        <w:rPr>
          <w:sz w:val="21"/>
          <w:szCs w:val="21"/>
        </w:rPr>
      </w:pPr>
      <w:r w:rsidRPr="00B4515A">
        <w:rPr>
          <w:rFonts w:hint="eastAsia"/>
          <w:sz w:val="21"/>
          <w:szCs w:val="21"/>
        </w:rPr>
        <w:lastRenderedPageBreak/>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48"/>
        <w:gridCol w:w="1936"/>
        <w:gridCol w:w="1332"/>
        <w:gridCol w:w="1332"/>
        <w:gridCol w:w="1332"/>
        <w:gridCol w:w="1332"/>
        <w:gridCol w:w="1120"/>
        <w:gridCol w:w="1293"/>
        <w:gridCol w:w="1293"/>
        <w:gridCol w:w="1256"/>
      </w:tblGrid>
      <w:tr w:rsidR="00A117E4" w:rsidRPr="00B4515A" w14:paraId="51991BA4" w14:textId="77777777" w:rsidTr="00031627">
        <w:trPr>
          <w:trHeight w:val="340"/>
          <w:jc w:val="center"/>
        </w:trPr>
        <w:tc>
          <w:tcPr>
            <w:tcW w:w="687" w:type="pct"/>
            <w:tcMar>
              <w:top w:w="0" w:type="dxa"/>
              <w:left w:w="108" w:type="dxa"/>
              <w:bottom w:w="0" w:type="dxa"/>
              <w:right w:w="108" w:type="dxa"/>
            </w:tcMar>
            <w:vAlign w:val="center"/>
          </w:tcPr>
          <w:p w14:paraId="67A8363D"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hint="eastAsia"/>
                <w:b/>
                <w:bCs/>
                <w:sz w:val="21"/>
                <w:szCs w:val="21"/>
              </w:rPr>
              <w:t>项目</w:t>
            </w:r>
          </w:p>
        </w:tc>
        <w:tc>
          <w:tcPr>
            <w:tcW w:w="683" w:type="pct"/>
            <w:tcMar>
              <w:top w:w="0" w:type="dxa"/>
              <w:left w:w="108" w:type="dxa"/>
              <w:bottom w:w="0" w:type="dxa"/>
              <w:right w:w="108" w:type="dxa"/>
            </w:tcMar>
            <w:vAlign w:val="center"/>
          </w:tcPr>
          <w:p w14:paraId="3B35BF24"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hint="eastAsia"/>
                <w:b/>
                <w:bCs/>
                <w:sz w:val="21"/>
                <w:szCs w:val="21"/>
              </w:rPr>
              <w:t>年全年</w:t>
            </w:r>
          </w:p>
        </w:tc>
        <w:tc>
          <w:tcPr>
            <w:tcW w:w="470" w:type="pct"/>
            <w:tcMar>
              <w:top w:w="0" w:type="dxa"/>
              <w:left w:w="108" w:type="dxa"/>
              <w:bottom w:w="0" w:type="dxa"/>
              <w:right w:w="108" w:type="dxa"/>
            </w:tcMar>
            <w:vAlign w:val="center"/>
          </w:tcPr>
          <w:p w14:paraId="17F2A105"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2022</w:t>
            </w:r>
            <w:r w:rsidRPr="00B4515A">
              <w:rPr>
                <w:rFonts w:ascii="Times New Roman" w:hAnsi="Times New Roman" w:cs="Times New Roman" w:hint="eastAsia"/>
                <w:b/>
                <w:bCs/>
                <w:sz w:val="21"/>
                <w:szCs w:val="21"/>
              </w:rPr>
              <w:t>年</w:t>
            </w:r>
          </w:p>
        </w:tc>
        <w:tc>
          <w:tcPr>
            <w:tcW w:w="470" w:type="pct"/>
            <w:tcMar>
              <w:top w:w="0" w:type="dxa"/>
              <w:left w:w="108" w:type="dxa"/>
              <w:bottom w:w="0" w:type="dxa"/>
              <w:right w:w="108" w:type="dxa"/>
            </w:tcMar>
            <w:vAlign w:val="center"/>
          </w:tcPr>
          <w:p w14:paraId="52180798"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2023</w:t>
            </w:r>
            <w:r w:rsidRPr="00B4515A">
              <w:rPr>
                <w:rFonts w:ascii="Times New Roman" w:hAnsi="Times New Roman" w:cs="Times New Roman" w:hint="eastAsia"/>
                <w:b/>
                <w:bCs/>
                <w:sz w:val="21"/>
                <w:szCs w:val="21"/>
              </w:rPr>
              <w:t>年</w:t>
            </w:r>
          </w:p>
        </w:tc>
        <w:tc>
          <w:tcPr>
            <w:tcW w:w="470" w:type="pct"/>
            <w:tcMar>
              <w:top w:w="0" w:type="dxa"/>
              <w:left w:w="108" w:type="dxa"/>
              <w:bottom w:w="0" w:type="dxa"/>
              <w:right w:w="108" w:type="dxa"/>
            </w:tcMar>
            <w:vAlign w:val="center"/>
          </w:tcPr>
          <w:p w14:paraId="7EE836B2"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2024</w:t>
            </w:r>
            <w:r w:rsidRPr="00B4515A">
              <w:rPr>
                <w:rFonts w:ascii="Times New Roman" w:hAnsi="Times New Roman" w:cs="Times New Roman" w:hint="eastAsia"/>
                <w:b/>
                <w:bCs/>
                <w:sz w:val="21"/>
                <w:szCs w:val="21"/>
              </w:rPr>
              <w:t>年</w:t>
            </w:r>
          </w:p>
        </w:tc>
        <w:tc>
          <w:tcPr>
            <w:tcW w:w="470" w:type="pct"/>
            <w:tcMar>
              <w:top w:w="0" w:type="dxa"/>
              <w:left w:w="108" w:type="dxa"/>
              <w:bottom w:w="0" w:type="dxa"/>
              <w:right w:w="108" w:type="dxa"/>
            </w:tcMar>
            <w:vAlign w:val="center"/>
          </w:tcPr>
          <w:p w14:paraId="2D873AC2"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2025</w:t>
            </w:r>
            <w:r w:rsidRPr="00B4515A">
              <w:rPr>
                <w:rFonts w:ascii="Times New Roman" w:hAnsi="Times New Roman" w:cs="Times New Roman" w:hint="eastAsia"/>
                <w:b/>
                <w:bCs/>
                <w:sz w:val="21"/>
                <w:szCs w:val="21"/>
              </w:rPr>
              <w:t>年</w:t>
            </w:r>
          </w:p>
        </w:tc>
        <w:tc>
          <w:tcPr>
            <w:tcW w:w="395" w:type="pct"/>
            <w:tcMar>
              <w:top w:w="0" w:type="dxa"/>
              <w:left w:w="108" w:type="dxa"/>
              <w:bottom w:w="0" w:type="dxa"/>
              <w:right w:w="108" w:type="dxa"/>
            </w:tcMar>
            <w:vAlign w:val="center"/>
          </w:tcPr>
          <w:p w14:paraId="37E5F420"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2026</w:t>
            </w:r>
            <w:r w:rsidRPr="00B4515A">
              <w:rPr>
                <w:rFonts w:ascii="Times New Roman" w:hAnsi="Times New Roman" w:cs="Times New Roman" w:hint="eastAsia"/>
                <w:b/>
                <w:bCs/>
                <w:sz w:val="21"/>
                <w:szCs w:val="21"/>
              </w:rPr>
              <w:t>年</w:t>
            </w:r>
          </w:p>
        </w:tc>
        <w:tc>
          <w:tcPr>
            <w:tcW w:w="456" w:type="pct"/>
            <w:tcMar>
              <w:top w:w="0" w:type="dxa"/>
              <w:left w:w="108" w:type="dxa"/>
              <w:bottom w:w="0" w:type="dxa"/>
              <w:right w:w="108" w:type="dxa"/>
            </w:tcMar>
            <w:vAlign w:val="center"/>
          </w:tcPr>
          <w:p w14:paraId="0BD34CB0"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2027</w:t>
            </w:r>
            <w:r w:rsidRPr="00B4515A">
              <w:rPr>
                <w:rFonts w:ascii="Times New Roman" w:hAnsi="Times New Roman" w:cs="Times New Roman" w:hint="eastAsia"/>
                <w:b/>
                <w:bCs/>
                <w:sz w:val="21"/>
                <w:szCs w:val="21"/>
              </w:rPr>
              <w:t>年</w:t>
            </w:r>
          </w:p>
        </w:tc>
        <w:tc>
          <w:tcPr>
            <w:tcW w:w="456" w:type="pct"/>
            <w:tcMar>
              <w:top w:w="0" w:type="dxa"/>
              <w:left w:w="108" w:type="dxa"/>
              <w:bottom w:w="0" w:type="dxa"/>
              <w:right w:w="108" w:type="dxa"/>
            </w:tcMar>
            <w:vAlign w:val="center"/>
          </w:tcPr>
          <w:p w14:paraId="4431C657"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2028</w:t>
            </w:r>
            <w:r w:rsidRPr="00B4515A">
              <w:rPr>
                <w:rFonts w:ascii="Times New Roman" w:hAnsi="Times New Roman" w:cs="Times New Roman" w:hint="eastAsia"/>
                <w:b/>
                <w:bCs/>
                <w:sz w:val="21"/>
                <w:szCs w:val="21"/>
              </w:rPr>
              <w:t>年</w:t>
            </w:r>
          </w:p>
        </w:tc>
        <w:tc>
          <w:tcPr>
            <w:tcW w:w="443" w:type="pct"/>
            <w:tcMar>
              <w:top w:w="0" w:type="dxa"/>
              <w:left w:w="108" w:type="dxa"/>
              <w:bottom w:w="0" w:type="dxa"/>
              <w:right w:w="108" w:type="dxa"/>
            </w:tcMar>
            <w:vAlign w:val="center"/>
          </w:tcPr>
          <w:p w14:paraId="4492DF9B" w14:textId="77777777" w:rsidR="006416B0" w:rsidRPr="00B4515A" w:rsidRDefault="005E58C1" w:rsidP="005860B4">
            <w:pPr>
              <w:widowControl w:val="0"/>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2029</w:t>
            </w:r>
            <w:r w:rsidRPr="00B4515A">
              <w:rPr>
                <w:rFonts w:ascii="Times New Roman" w:hAnsi="Times New Roman" w:cs="Times New Roman" w:hint="eastAsia"/>
                <w:b/>
                <w:bCs/>
                <w:sz w:val="21"/>
                <w:szCs w:val="21"/>
              </w:rPr>
              <w:t>年</w:t>
            </w:r>
          </w:p>
        </w:tc>
      </w:tr>
      <w:tr w:rsidR="00A117E4" w:rsidRPr="00B4515A" w14:paraId="76FDD595" w14:textId="77777777" w:rsidTr="00031627">
        <w:trPr>
          <w:trHeight w:val="340"/>
          <w:jc w:val="center"/>
        </w:trPr>
        <w:tc>
          <w:tcPr>
            <w:tcW w:w="687" w:type="pct"/>
            <w:tcMar>
              <w:top w:w="0" w:type="dxa"/>
              <w:left w:w="108" w:type="dxa"/>
              <w:bottom w:w="0" w:type="dxa"/>
              <w:right w:w="108" w:type="dxa"/>
            </w:tcMar>
            <w:vAlign w:val="center"/>
          </w:tcPr>
          <w:p w14:paraId="79C656B7" w14:textId="77777777" w:rsidR="006416B0" w:rsidRPr="00B4515A" w:rsidRDefault="005E58C1" w:rsidP="005860B4">
            <w:pPr>
              <w:widowControl w:val="0"/>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hint="eastAsia"/>
                <w:sz w:val="21"/>
                <w:szCs w:val="21"/>
              </w:rPr>
              <w:t>财务费用</w:t>
            </w:r>
          </w:p>
        </w:tc>
        <w:tc>
          <w:tcPr>
            <w:tcW w:w="683" w:type="pct"/>
            <w:tcMar>
              <w:top w:w="0" w:type="dxa"/>
              <w:left w:w="108" w:type="dxa"/>
              <w:bottom w:w="0" w:type="dxa"/>
              <w:right w:w="108" w:type="dxa"/>
            </w:tcMar>
            <w:vAlign w:val="center"/>
          </w:tcPr>
          <w:p w14:paraId="48F99926"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234.60</w:t>
            </w:r>
          </w:p>
        </w:tc>
        <w:tc>
          <w:tcPr>
            <w:tcW w:w="470" w:type="pct"/>
            <w:tcMar>
              <w:top w:w="0" w:type="dxa"/>
              <w:left w:w="108" w:type="dxa"/>
              <w:bottom w:w="0" w:type="dxa"/>
              <w:right w:w="108" w:type="dxa"/>
            </w:tcMar>
            <w:vAlign w:val="center"/>
          </w:tcPr>
          <w:p w14:paraId="2A752B96"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0.00</w:t>
            </w:r>
          </w:p>
        </w:tc>
        <w:tc>
          <w:tcPr>
            <w:tcW w:w="470" w:type="pct"/>
            <w:tcMar>
              <w:top w:w="0" w:type="dxa"/>
              <w:left w:w="108" w:type="dxa"/>
              <w:bottom w:w="0" w:type="dxa"/>
              <w:right w:w="108" w:type="dxa"/>
            </w:tcMar>
            <w:vAlign w:val="center"/>
          </w:tcPr>
          <w:p w14:paraId="6C15D8BB"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0.00</w:t>
            </w:r>
          </w:p>
        </w:tc>
        <w:tc>
          <w:tcPr>
            <w:tcW w:w="470" w:type="pct"/>
            <w:tcMar>
              <w:top w:w="0" w:type="dxa"/>
              <w:left w:w="108" w:type="dxa"/>
              <w:bottom w:w="0" w:type="dxa"/>
              <w:right w:w="108" w:type="dxa"/>
            </w:tcMar>
            <w:vAlign w:val="center"/>
          </w:tcPr>
          <w:p w14:paraId="1D286377"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0.00</w:t>
            </w:r>
          </w:p>
        </w:tc>
        <w:tc>
          <w:tcPr>
            <w:tcW w:w="470" w:type="pct"/>
            <w:tcMar>
              <w:top w:w="0" w:type="dxa"/>
              <w:left w:w="108" w:type="dxa"/>
              <w:bottom w:w="0" w:type="dxa"/>
              <w:right w:w="108" w:type="dxa"/>
            </w:tcMar>
            <w:vAlign w:val="center"/>
          </w:tcPr>
          <w:p w14:paraId="317C8481"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0.00</w:t>
            </w:r>
          </w:p>
        </w:tc>
        <w:tc>
          <w:tcPr>
            <w:tcW w:w="395" w:type="pct"/>
            <w:tcMar>
              <w:top w:w="0" w:type="dxa"/>
              <w:left w:w="108" w:type="dxa"/>
              <w:bottom w:w="0" w:type="dxa"/>
              <w:right w:w="108" w:type="dxa"/>
            </w:tcMar>
            <w:vAlign w:val="center"/>
          </w:tcPr>
          <w:p w14:paraId="10F40C27"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0.00</w:t>
            </w:r>
          </w:p>
        </w:tc>
        <w:tc>
          <w:tcPr>
            <w:tcW w:w="456" w:type="pct"/>
            <w:tcMar>
              <w:top w:w="0" w:type="dxa"/>
              <w:left w:w="108" w:type="dxa"/>
              <w:bottom w:w="0" w:type="dxa"/>
              <w:right w:w="108" w:type="dxa"/>
            </w:tcMar>
            <w:vAlign w:val="center"/>
          </w:tcPr>
          <w:p w14:paraId="7D82EBFC"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0.00</w:t>
            </w:r>
          </w:p>
        </w:tc>
        <w:tc>
          <w:tcPr>
            <w:tcW w:w="456" w:type="pct"/>
            <w:tcMar>
              <w:top w:w="0" w:type="dxa"/>
              <w:left w:w="108" w:type="dxa"/>
              <w:bottom w:w="0" w:type="dxa"/>
              <w:right w:w="108" w:type="dxa"/>
            </w:tcMar>
            <w:vAlign w:val="center"/>
          </w:tcPr>
          <w:p w14:paraId="22A42F1D"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0.00</w:t>
            </w:r>
          </w:p>
        </w:tc>
        <w:tc>
          <w:tcPr>
            <w:tcW w:w="443" w:type="pct"/>
            <w:tcMar>
              <w:top w:w="0" w:type="dxa"/>
              <w:left w:w="108" w:type="dxa"/>
              <w:bottom w:w="0" w:type="dxa"/>
              <w:right w:w="108" w:type="dxa"/>
            </w:tcMar>
            <w:vAlign w:val="center"/>
          </w:tcPr>
          <w:p w14:paraId="0FB03C16"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0.00</w:t>
            </w:r>
          </w:p>
        </w:tc>
      </w:tr>
    </w:tbl>
    <w:p w14:paraId="02F79AD0" w14:textId="77777777" w:rsidR="006416B0" w:rsidRPr="00B4515A" w:rsidRDefault="005E58C1" w:rsidP="005860B4">
      <w:pPr>
        <w:pStyle w:val="005"/>
        <w:spacing w:before="120" w:after="120"/>
        <w:ind w:firstLine="480"/>
      </w:pPr>
      <w:r w:rsidRPr="00B4515A">
        <w:t>9</w:t>
      </w:r>
      <w:r w:rsidRPr="00B4515A">
        <w:rPr>
          <w:rFonts w:hint="eastAsia"/>
        </w:rPr>
        <w:t>）其他收益和非经常性损益</w:t>
      </w:r>
    </w:p>
    <w:p w14:paraId="6FFABD68" w14:textId="77777777" w:rsidR="006416B0" w:rsidRPr="00B4515A" w:rsidRDefault="005E58C1" w:rsidP="005860B4">
      <w:pPr>
        <w:pStyle w:val="005"/>
        <w:spacing w:before="120" w:after="120"/>
        <w:ind w:firstLine="480"/>
      </w:pPr>
      <w:r w:rsidRPr="00B4515A">
        <w:rPr>
          <w:rFonts w:hint="eastAsia"/>
        </w:rPr>
        <w:t>对其他收益、投资收益、信用减值损失、资产减值损失、资产处置收益等非经常性损益因其具有偶然性，本次不作预测。</w:t>
      </w:r>
    </w:p>
    <w:p w14:paraId="01412032" w14:textId="77777777" w:rsidR="006416B0" w:rsidRPr="00B4515A" w:rsidRDefault="005E58C1" w:rsidP="005860B4">
      <w:pPr>
        <w:pStyle w:val="005"/>
        <w:spacing w:before="120" w:after="120"/>
        <w:ind w:firstLine="480"/>
      </w:pPr>
      <w:r w:rsidRPr="00B4515A">
        <w:t>10</w:t>
      </w:r>
      <w:r w:rsidRPr="00B4515A">
        <w:rPr>
          <w:rFonts w:hint="eastAsia"/>
        </w:rPr>
        <w:t>）营业外收支</w:t>
      </w:r>
    </w:p>
    <w:p w14:paraId="3A7CC773" w14:textId="77777777" w:rsidR="006416B0" w:rsidRPr="00B4515A" w:rsidRDefault="005E58C1" w:rsidP="005860B4">
      <w:pPr>
        <w:pStyle w:val="005"/>
        <w:spacing w:before="120" w:after="120"/>
        <w:ind w:firstLine="480"/>
      </w:pPr>
      <w:r w:rsidRPr="00B4515A">
        <w:rPr>
          <w:rFonts w:hint="eastAsia"/>
        </w:rPr>
        <w:t>营业外收入主要为非经营性的偶然收入，未来不予考虑。营业外支出主要为非经营性的偶然支出，未来不予考虑。</w:t>
      </w:r>
    </w:p>
    <w:p w14:paraId="5FFC63D6" w14:textId="77777777" w:rsidR="006416B0" w:rsidRPr="00B4515A" w:rsidRDefault="005E58C1" w:rsidP="005860B4">
      <w:pPr>
        <w:pStyle w:val="005"/>
        <w:spacing w:before="120" w:after="120"/>
        <w:ind w:firstLine="480"/>
      </w:pPr>
      <w:r w:rsidRPr="00B4515A">
        <w:t>11</w:t>
      </w:r>
      <w:r w:rsidRPr="00B4515A">
        <w:rPr>
          <w:rFonts w:hint="eastAsia"/>
        </w:rPr>
        <w:t>）所得税</w:t>
      </w:r>
    </w:p>
    <w:p w14:paraId="708F04F8" w14:textId="6C7FF710" w:rsidR="006416B0" w:rsidRPr="00B4515A" w:rsidRDefault="00FF0636" w:rsidP="005860B4">
      <w:pPr>
        <w:pStyle w:val="005"/>
        <w:spacing w:before="120" w:after="120"/>
        <w:ind w:firstLine="480"/>
      </w:pPr>
      <w:r w:rsidRPr="00B4515A">
        <w:rPr>
          <w:rFonts w:hint="eastAsia"/>
        </w:rPr>
        <w:t>大唐联诚</w:t>
      </w:r>
      <w:r w:rsidR="005E58C1" w:rsidRPr="00B4515A">
        <w:rPr>
          <w:rFonts w:hint="eastAsia"/>
        </w:rPr>
        <w:t>为高新技术企业所得税税率为</w:t>
      </w:r>
      <w:r w:rsidR="005E58C1" w:rsidRPr="00B4515A">
        <w:t>15%</w:t>
      </w:r>
      <w:r w:rsidR="005E58C1" w:rsidRPr="00B4515A">
        <w:rPr>
          <w:rFonts w:hint="eastAsia"/>
        </w:rPr>
        <w:t>。</w:t>
      </w:r>
    </w:p>
    <w:p w14:paraId="39BEA471" w14:textId="214FD3E6" w:rsidR="006416B0" w:rsidRPr="00B4515A" w:rsidRDefault="005E58C1" w:rsidP="005860B4">
      <w:pPr>
        <w:pStyle w:val="005"/>
        <w:spacing w:before="120" w:after="120"/>
        <w:ind w:firstLine="480"/>
      </w:pPr>
      <w:r w:rsidRPr="00B4515A">
        <w:rPr>
          <w:rFonts w:hint="eastAsia"/>
        </w:rPr>
        <w:t>根据目前的所得税征收管理条例，企业研发费用加计扣除比例按照当期允许加计扣除发生额的</w:t>
      </w:r>
      <w:r w:rsidRPr="00B4515A">
        <w:t>100%</w:t>
      </w:r>
      <w:r w:rsidRPr="00B4515A">
        <w:rPr>
          <w:rFonts w:hint="eastAsia"/>
        </w:rPr>
        <w:t>准予税前抵扣，根据</w:t>
      </w:r>
      <w:r w:rsidRPr="00B4515A">
        <w:t>2020</w:t>
      </w:r>
      <w:r w:rsidRPr="00B4515A">
        <w:rPr>
          <w:rFonts w:hint="eastAsia"/>
        </w:rPr>
        <w:t>年汇算清缴报告，研发费用加计扣除金额占当期研发费用的</w:t>
      </w:r>
      <w:r w:rsidR="00FF0636" w:rsidRPr="00B4515A">
        <w:t>20</w:t>
      </w:r>
      <w:r w:rsidRPr="00B4515A">
        <w:t>%</w:t>
      </w:r>
      <w:r w:rsidRPr="00B4515A">
        <w:rPr>
          <w:rFonts w:hint="eastAsia"/>
        </w:rPr>
        <w:t>，</w:t>
      </w:r>
      <w:r w:rsidR="00815031" w:rsidRPr="00B4515A">
        <w:rPr>
          <w:rFonts w:hint="eastAsia"/>
        </w:rPr>
        <w:t>大唐联诚</w:t>
      </w:r>
      <w:r w:rsidRPr="00B4515A">
        <w:rPr>
          <w:rFonts w:hint="eastAsia"/>
        </w:rPr>
        <w:t>未来研发投入费用结构基本稳定，未来按照当期研发费用的</w:t>
      </w:r>
      <w:r w:rsidR="00FF0636" w:rsidRPr="00B4515A">
        <w:t>20</w:t>
      </w:r>
      <w:r w:rsidRPr="00B4515A">
        <w:t>%</w:t>
      </w:r>
      <w:r w:rsidRPr="00B4515A">
        <w:rPr>
          <w:rFonts w:hint="eastAsia"/>
        </w:rPr>
        <w:t>进行加计扣除；业务招待费</w:t>
      </w:r>
      <w:r w:rsidRPr="00B4515A">
        <w:t>60%</w:t>
      </w:r>
      <w:r w:rsidRPr="00B4515A">
        <w:rPr>
          <w:rFonts w:hint="eastAsia"/>
        </w:rPr>
        <w:t>的部分，营业收入的</w:t>
      </w:r>
      <w:r w:rsidRPr="00B4515A">
        <w:t>0.5%</w:t>
      </w:r>
      <w:r w:rsidRPr="00B4515A">
        <w:rPr>
          <w:rFonts w:hint="eastAsia"/>
        </w:rPr>
        <w:t>以内的部分准予税前抵扣，</w:t>
      </w:r>
      <w:r w:rsidRPr="00B4515A">
        <w:t>40%</w:t>
      </w:r>
      <w:r w:rsidRPr="00B4515A">
        <w:rPr>
          <w:rFonts w:hint="eastAsia"/>
        </w:rPr>
        <w:t>的部分和超过</w:t>
      </w:r>
      <w:r w:rsidRPr="00B4515A">
        <w:t>0.5%</w:t>
      </w:r>
      <w:r w:rsidRPr="00B4515A">
        <w:rPr>
          <w:rFonts w:hint="eastAsia"/>
        </w:rPr>
        <w:t>的要在税后列支。所得税的计算按照该条例的规定计算。</w:t>
      </w:r>
    </w:p>
    <w:p w14:paraId="61B750C0" w14:textId="77777777" w:rsidR="006416B0" w:rsidRPr="00B4515A" w:rsidRDefault="005E58C1" w:rsidP="005860B4">
      <w:pPr>
        <w:pStyle w:val="005"/>
        <w:spacing w:before="120" w:after="120"/>
        <w:ind w:firstLine="480"/>
      </w:pPr>
      <w:r w:rsidRPr="00B4515A">
        <w:rPr>
          <w:rFonts w:hint="eastAsia"/>
        </w:rPr>
        <w:t>根据财税〔</w:t>
      </w:r>
      <w:r w:rsidRPr="00B4515A">
        <w:t>2018</w:t>
      </w:r>
      <w:r w:rsidRPr="00B4515A">
        <w:rPr>
          <w:rFonts w:hint="eastAsia"/>
        </w:rPr>
        <w:t>〕</w:t>
      </w:r>
      <w:r w:rsidRPr="00B4515A">
        <w:t>76</w:t>
      </w:r>
      <w:r w:rsidRPr="00B4515A">
        <w:rPr>
          <w:rFonts w:hint="eastAsia"/>
        </w:rPr>
        <w:t>号：</w:t>
      </w:r>
      <w:r w:rsidRPr="00B4515A">
        <w:rPr>
          <w:rFonts w:ascii="宋体" w:hAnsi="宋体" w:hint="eastAsia"/>
        </w:rPr>
        <w:t>“</w:t>
      </w:r>
      <w:r w:rsidRPr="00B4515A">
        <w:rPr>
          <w:rFonts w:hint="eastAsia"/>
        </w:rPr>
        <w:t>自</w:t>
      </w:r>
      <w:r w:rsidRPr="00B4515A">
        <w:t>2018</w:t>
      </w:r>
      <w:r w:rsidRPr="00B4515A">
        <w:rPr>
          <w:rFonts w:hint="eastAsia"/>
        </w:rPr>
        <w:t>年</w:t>
      </w:r>
      <w:r w:rsidRPr="00B4515A">
        <w:t>1</w:t>
      </w:r>
      <w:r w:rsidRPr="00B4515A">
        <w:rPr>
          <w:rFonts w:hint="eastAsia"/>
        </w:rPr>
        <w:t>月</w:t>
      </w:r>
      <w:r w:rsidRPr="00B4515A">
        <w:t>1</w:t>
      </w:r>
      <w:r w:rsidRPr="00B4515A">
        <w:rPr>
          <w:rFonts w:hint="eastAsia"/>
        </w:rPr>
        <w:t>日起，当年具备高新技术企业或科技型中小企业资格（以下统称资格）的企业，其具备资格年度之前</w:t>
      </w:r>
      <w:r w:rsidRPr="00B4515A">
        <w:t>5</w:t>
      </w:r>
      <w:r w:rsidRPr="00B4515A">
        <w:rPr>
          <w:rFonts w:hint="eastAsia"/>
        </w:rPr>
        <w:t>个年度发生的尚未弥补完的亏损，准予结转以后年度弥补，最长结转年限由</w:t>
      </w:r>
      <w:r w:rsidRPr="00B4515A">
        <w:t>5</w:t>
      </w:r>
      <w:r w:rsidRPr="00B4515A">
        <w:rPr>
          <w:rFonts w:hint="eastAsia"/>
        </w:rPr>
        <w:t>年延长至</w:t>
      </w:r>
      <w:r w:rsidRPr="00B4515A">
        <w:t>10</w:t>
      </w:r>
      <w:r w:rsidRPr="00B4515A">
        <w:rPr>
          <w:rFonts w:hint="eastAsia"/>
        </w:rPr>
        <w:t>年。</w:t>
      </w:r>
      <w:r w:rsidRPr="00B4515A">
        <w:rPr>
          <w:rFonts w:ascii="宋体" w:hAnsi="宋体" w:hint="eastAsia"/>
        </w:rPr>
        <w:t>”</w:t>
      </w:r>
      <w:r w:rsidRPr="00B4515A">
        <w:rPr>
          <w:rFonts w:hint="eastAsia"/>
        </w:rPr>
        <w:t>因此本次按照</w:t>
      </w:r>
      <w:r w:rsidRPr="00B4515A">
        <w:t>10</w:t>
      </w:r>
      <w:r w:rsidRPr="00B4515A">
        <w:rPr>
          <w:rFonts w:hint="eastAsia"/>
        </w:rPr>
        <w:t>年弥补历史年度亏损，收益法计算表延长年限仅为弥补亏损计算，未来年度未考虑增长。</w:t>
      </w:r>
    </w:p>
    <w:p w14:paraId="50A1BD73" w14:textId="77777777" w:rsidR="006416B0" w:rsidRPr="00B4515A" w:rsidRDefault="005E58C1" w:rsidP="005860B4">
      <w:pPr>
        <w:pStyle w:val="009"/>
      </w:pPr>
      <w:r w:rsidRPr="00B4515A">
        <w:rPr>
          <w:rFonts w:hint="eastAsia"/>
        </w:rPr>
        <w:lastRenderedPageBreak/>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75"/>
        <w:gridCol w:w="1967"/>
        <w:gridCol w:w="1358"/>
        <w:gridCol w:w="1358"/>
        <w:gridCol w:w="1358"/>
        <w:gridCol w:w="1358"/>
        <w:gridCol w:w="1358"/>
        <w:gridCol w:w="1358"/>
        <w:gridCol w:w="1358"/>
        <w:gridCol w:w="1426"/>
      </w:tblGrid>
      <w:tr w:rsidR="00BC5CDB" w:rsidRPr="00B4515A" w14:paraId="6906DCBD" w14:textId="77777777" w:rsidTr="00EE238F">
        <w:trPr>
          <w:trHeight w:val="340"/>
          <w:jc w:val="center"/>
        </w:trPr>
        <w:tc>
          <w:tcPr>
            <w:tcW w:w="450" w:type="pct"/>
            <w:tcMar>
              <w:top w:w="0" w:type="dxa"/>
              <w:left w:w="108" w:type="dxa"/>
              <w:bottom w:w="0" w:type="dxa"/>
              <w:right w:w="108" w:type="dxa"/>
            </w:tcMar>
            <w:vAlign w:val="center"/>
          </w:tcPr>
          <w:p w14:paraId="67EDCD9A"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hint="eastAsia"/>
                <w:b/>
                <w:bCs/>
                <w:sz w:val="21"/>
                <w:szCs w:val="21"/>
              </w:rPr>
              <w:t>项目</w:t>
            </w:r>
          </w:p>
        </w:tc>
        <w:tc>
          <w:tcPr>
            <w:tcW w:w="694" w:type="pct"/>
            <w:tcMar>
              <w:top w:w="0" w:type="dxa"/>
              <w:left w:w="108" w:type="dxa"/>
              <w:bottom w:w="0" w:type="dxa"/>
              <w:right w:w="108" w:type="dxa"/>
            </w:tcMar>
            <w:vAlign w:val="center"/>
          </w:tcPr>
          <w:p w14:paraId="28F56B35"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hint="eastAsia"/>
                <w:b/>
                <w:bCs/>
                <w:sz w:val="21"/>
                <w:szCs w:val="21"/>
              </w:rPr>
              <w:t>年全年</w:t>
            </w:r>
          </w:p>
        </w:tc>
        <w:tc>
          <w:tcPr>
            <w:tcW w:w="479" w:type="pct"/>
            <w:tcMar>
              <w:top w:w="0" w:type="dxa"/>
              <w:left w:w="108" w:type="dxa"/>
              <w:bottom w:w="0" w:type="dxa"/>
              <w:right w:w="108" w:type="dxa"/>
            </w:tcMar>
            <w:vAlign w:val="center"/>
          </w:tcPr>
          <w:p w14:paraId="6A1E970F"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2022</w:t>
            </w:r>
            <w:r w:rsidRPr="00B4515A">
              <w:rPr>
                <w:rFonts w:ascii="Times New Roman" w:hAnsi="Times New Roman" w:cs="Times New Roman" w:hint="eastAsia"/>
                <w:b/>
                <w:bCs/>
                <w:sz w:val="21"/>
                <w:szCs w:val="21"/>
              </w:rPr>
              <w:t>年</w:t>
            </w:r>
          </w:p>
        </w:tc>
        <w:tc>
          <w:tcPr>
            <w:tcW w:w="479" w:type="pct"/>
            <w:tcMar>
              <w:top w:w="0" w:type="dxa"/>
              <w:left w:w="108" w:type="dxa"/>
              <w:bottom w:w="0" w:type="dxa"/>
              <w:right w:w="108" w:type="dxa"/>
            </w:tcMar>
            <w:vAlign w:val="center"/>
          </w:tcPr>
          <w:p w14:paraId="32960D3E"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2023</w:t>
            </w:r>
            <w:r w:rsidRPr="00B4515A">
              <w:rPr>
                <w:rFonts w:ascii="Times New Roman" w:hAnsi="Times New Roman" w:cs="Times New Roman" w:hint="eastAsia"/>
                <w:b/>
                <w:bCs/>
                <w:sz w:val="21"/>
                <w:szCs w:val="21"/>
              </w:rPr>
              <w:t>年</w:t>
            </w:r>
          </w:p>
        </w:tc>
        <w:tc>
          <w:tcPr>
            <w:tcW w:w="479" w:type="pct"/>
            <w:tcMar>
              <w:top w:w="0" w:type="dxa"/>
              <w:left w:w="108" w:type="dxa"/>
              <w:bottom w:w="0" w:type="dxa"/>
              <w:right w:w="108" w:type="dxa"/>
            </w:tcMar>
            <w:vAlign w:val="center"/>
          </w:tcPr>
          <w:p w14:paraId="4186C17D"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2024</w:t>
            </w:r>
            <w:r w:rsidRPr="00B4515A">
              <w:rPr>
                <w:rFonts w:ascii="Times New Roman" w:hAnsi="Times New Roman" w:cs="Times New Roman" w:hint="eastAsia"/>
                <w:b/>
                <w:bCs/>
                <w:sz w:val="21"/>
                <w:szCs w:val="21"/>
              </w:rPr>
              <w:t>年</w:t>
            </w:r>
          </w:p>
        </w:tc>
        <w:tc>
          <w:tcPr>
            <w:tcW w:w="479" w:type="pct"/>
            <w:tcMar>
              <w:top w:w="0" w:type="dxa"/>
              <w:left w:w="108" w:type="dxa"/>
              <w:bottom w:w="0" w:type="dxa"/>
              <w:right w:w="108" w:type="dxa"/>
            </w:tcMar>
            <w:vAlign w:val="center"/>
          </w:tcPr>
          <w:p w14:paraId="69B9BA90"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2025</w:t>
            </w:r>
            <w:r w:rsidRPr="00B4515A">
              <w:rPr>
                <w:rFonts w:ascii="Times New Roman" w:hAnsi="Times New Roman" w:cs="Times New Roman" w:hint="eastAsia"/>
                <w:b/>
                <w:bCs/>
                <w:sz w:val="21"/>
                <w:szCs w:val="21"/>
              </w:rPr>
              <w:t>年</w:t>
            </w:r>
          </w:p>
        </w:tc>
        <w:tc>
          <w:tcPr>
            <w:tcW w:w="479" w:type="pct"/>
            <w:tcMar>
              <w:top w:w="0" w:type="dxa"/>
              <w:left w:w="108" w:type="dxa"/>
              <w:bottom w:w="0" w:type="dxa"/>
              <w:right w:w="108" w:type="dxa"/>
            </w:tcMar>
            <w:vAlign w:val="center"/>
          </w:tcPr>
          <w:p w14:paraId="15372492"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2026</w:t>
            </w:r>
            <w:r w:rsidRPr="00B4515A">
              <w:rPr>
                <w:rFonts w:ascii="Times New Roman" w:hAnsi="Times New Roman" w:cs="Times New Roman" w:hint="eastAsia"/>
                <w:b/>
                <w:bCs/>
                <w:sz w:val="21"/>
                <w:szCs w:val="21"/>
              </w:rPr>
              <w:t>年</w:t>
            </w:r>
          </w:p>
        </w:tc>
        <w:tc>
          <w:tcPr>
            <w:tcW w:w="479" w:type="pct"/>
            <w:tcMar>
              <w:top w:w="0" w:type="dxa"/>
              <w:left w:w="108" w:type="dxa"/>
              <w:bottom w:w="0" w:type="dxa"/>
              <w:right w:w="108" w:type="dxa"/>
            </w:tcMar>
            <w:vAlign w:val="center"/>
          </w:tcPr>
          <w:p w14:paraId="7F82AAFC"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2027</w:t>
            </w:r>
            <w:r w:rsidRPr="00B4515A">
              <w:rPr>
                <w:rFonts w:ascii="Times New Roman" w:hAnsi="Times New Roman" w:cs="Times New Roman" w:hint="eastAsia"/>
                <w:b/>
                <w:bCs/>
                <w:sz w:val="21"/>
                <w:szCs w:val="21"/>
              </w:rPr>
              <w:t>年</w:t>
            </w:r>
          </w:p>
        </w:tc>
        <w:tc>
          <w:tcPr>
            <w:tcW w:w="479" w:type="pct"/>
            <w:tcMar>
              <w:top w:w="0" w:type="dxa"/>
              <w:left w:w="108" w:type="dxa"/>
              <w:bottom w:w="0" w:type="dxa"/>
              <w:right w:w="108" w:type="dxa"/>
            </w:tcMar>
            <w:vAlign w:val="center"/>
          </w:tcPr>
          <w:p w14:paraId="52E67D5B"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2028</w:t>
            </w:r>
            <w:r w:rsidRPr="00B4515A">
              <w:rPr>
                <w:rFonts w:ascii="Times New Roman" w:hAnsi="Times New Roman" w:cs="Times New Roman" w:hint="eastAsia"/>
                <w:b/>
                <w:bCs/>
                <w:sz w:val="21"/>
                <w:szCs w:val="21"/>
              </w:rPr>
              <w:t>年</w:t>
            </w:r>
          </w:p>
        </w:tc>
        <w:tc>
          <w:tcPr>
            <w:tcW w:w="505" w:type="pct"/>
            <w:tcMar>
              <w:top w:w="0" w:type="dxa"/>
              <w:left w:w="108" w:type="dxa"/>
              <w:bottom w:w="0" w:type="dxa"/>
              <w:right w:w="108" w:type="dxa"/>
            </w:tcMar>
            <w:vAlign w:val="center"/>
          </w:tcPr>
          <w:p w14:paraId="6F63F6FB"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2029</w:t>
            </w:r>
            <w:r w:rsidRPr="00B4515A">
              <w:rPr>
                <w:rFonts w:ascii="Times New Roman" w:hAnsi="Times New Roman" w:cs="Times New Roman" w:hint="eastAsia"/>
                <w:b/>
                <w:bCs/>
                <w:sz w:val="21"/>
                <w:szCs w:val="21"/>
              </w:rPr>
              <w:t>年</w:t>
            </w:r>
          </w:p>
        </w:tc>
      </w:tr>
      <w:tr w:rsidR="00BC5CDB" w:rsidRPr="00B4515A" w14:paraId="6FB1B8C7" w14:textId="77777777" w:rsidTr="00EE238F">
        <w:trPr>
          <w:trHeight w:val="340"/>
          <w:jc w:val="center"/>
        </w:trPr>
        <w:tc>
          <w:tcPr>
            <w:tcW w:w="450" w:type="pct"/>
            <w:tcMar>
              <w:top w:w="0" w:type="dxa"/>
              <w:left w:w="108" w:type="dxa"/>
              <w:bottom w:w="0" w:type="dxa"/>
              <w:right w:w="108" w:type="dxa"/>
            </w:tcMar>
            <w:vAlign w:val="center"/>
          </w:tcPr>
          <w:p w14:paraId="474F2BAE" w14:textId="77777777" w:rsidR="006416B0" w:rsidRPr="00B4515A" w:rsidRDefault="005E58C1" w:rsidP="005860B4">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hint="eastAsia"/>
                <w:sz w:val="21"/>
                <w:szCs w:val="21"/>
              </w:rPr>
              <w:t>所得税</w:t>
            </w:r>
          </w:p>
        </w:tc>
        <w:tc>
          <w:tcPr>
            <w:tcW w:w="694" w:type="pct"/>
            <w:tcMar>
              <w:top w:w="0" w:type="dxa"/>
              <w:left w:w="108" w:type="dxa"/>
              <w:bottom w:w="0" w:type="dxa"/>
              <w:right w:w="108" w:type="dxa"/>
            </w:tcMar>
            <w:vAlign w:val="center"/>
          </w:tcPr>
          <w:p w14:paraId="434B9711"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w:t>
            </w:r>
          </w:p>
        </w:tc>
        <w:tc>
          <w:tcPr>
            <w:tcW w:w="479" w:type="pct"/>
            <w:tcMar>
              <w:top w:w="0" w:type="dxa"/>
              <w:left w:w="108" w:type="dxa"/>
              <w:bottom w:w="0" w:type="dxa"/>
              <w:right w:w="108" w:type="dxa"/>
            </w:tcMar>
            <w:vAlign w:val="center"/>
          </w:tcPr>
          <w:p w14:paraId="45EF2D62"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w:t>
            </w:r>
          </w:p>
        </w:tc>
        <w:tc>
          <w:tcPr>
            <w:tcW w:w="479" w:type="pct"/>
            <w:tcMar>
              <w:top w:w="0" w:type="dxa"/>
              <w:left w:w="108" w:type="dxa"/>
              <w:bottom w:w="0" w:type="dxa"/>
              <w:right w:w="108" w:type="dxa"/>
            </w:tcMar>
            <w:vAlign w:val="center"/>
          </w:tcPr>
          <w:p w14:paraId="03ACEA03"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w:t>
            </w:r>
          </w:p>
        </w:tc>
        <w:tc>
          <w:tcPr>
            <w:tcW w:w="479" w:type="pct"/>
            <w:tcMar>
              <w:top w:w="0" w:type="dxa"/>
              <w:left w:w="108" w:type="dxa"/>
              <w:bottom w:w="0" w:type="dxa"/>
              <w:right w:w="108" w:type="dxa"/>
            </w:tcMar>
            <w:vAlign w:val="center"/>
          </w:tcPr>
          <w:p w14:paraId="1B9A2DAA"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w:t>
            </w:r>
          </w:p>
        </w:tc>
        <w:tc>
          <w:tcPr>
            <w:tcW w:w="479" w:type="pct"/>
            <w:tcMar>
              <w:top w:w="0" w:type="dxa"/>
              <w:left w:w="108" w:type="dxa"/>
              <w:bottom w:w="0" w:type="dxa"/>
              <w:right w:w="108" w:type="dxa"/>
            </w:tcMar>
            <w:vAlign w:val="center"/>
          </w:tcPr>
          <w:p w14:paraId="04D68B8F"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w:t>
            </w:r>
          </w:p>
        </w:tc>
        <w:tc>
          <w:tcPr>
            <w:tcW w:w="479" w:type="pct"/>
            <w:tcMar>
              <w:top w:w="0" w:type="dxa"/>
              <w:left w:w="108" w:type="dxa"/>
              <w:bottom w:w="0" w:type="dxa"/>
              <w:right w:w="108" w:type="dxa"/>
            </w:tcMar>
            <w:vAlign w:val="center"/>
          </w:tcPr>
          <w:p w14:paraId="35B4944A"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b/>
                <w:bCs/>
                <w:sz w:val="21"/>
                <w:szCs w:val="21"/>
              </w:rPr>
              <w:t>-</w:t>
            </w:r>
          </w:p>
        </w:tc>
        <w:tc>
          <w:tcPr>
            <w:tcW w:w="479" w:type="pct"/>
            <w:tcMar>
              <w:top w:w="0" w:type="dxa"/>
              <w:left w:w="108" w:type="dxa"/>
              <w:bottom w:w="0" w:type="dxa"/>
              <w:right w:w="108" w:type="dxa"/>
            </w:tcMar>
            <w:vAlign w:val="center"/>
          </w:tcPr>
          <w:p w14:paraId="6BA99C38"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b/>
                <w:bCs/>
                <w:sz w:val="21"/>
                <w:szCs w:val="21"/>
              </w:rPr>
              <w:t>-</w:t>
            </w:r>
          </w:p>
        </w:tc>
        <w:tc>
          <w:tcPr>
            <w:tcW w:w="479" w:type="pct"/>
            <w:tcMar>
              <w:top w:w="0" w:type="dxa"/>
              <w:left w:w="108" w:type="dxa"/>
              <w:bottom w:w="0" w:type="dxa"/>
              <w:right w:w="108" w:type="dxa"/>
            </w:tcMar>
            <w:vAlign w:val="center"/>
          </w:tcPr>
          <w:p w14:paraId="64DAF92B"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b/>
                <w:bCs/>
                <w:sz w:val="21"/>
                <w:szCs w:val="21"/>
              </w:rPr>
              <w:t>-</w:t>
            </w:r>
          </w:p>
        </w:tc>
        <w:tc>
          <w:tcPr>
            <w:tcW w:w="505" w:type="pct"/>
            <w:tcMar>
              <w:top w:w="0" w:type="dxa"/>
              <w:left w:w="108" w:type="dxa"/>
              <w:bottom w:w="0" w:type="dxa"/>
              <w:right w:w="108" w:type="dxa"/>
            </w:tcMar>
            <w:vAlign w:val="center"/>
          </w:tcPr>
          <w:p w14:paraId="3F95C4F5"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1,462.69  </w:t>
            </w:r>
          </w:p>
        </w:tc>
      </w:tr>
    </w:tbl>
    <w:p w14:paraId="100A98F7" w14:textId="77777777" w:rsidR="006416B0" w:rsidRPr="00B4515A" w:rsidRDefault="005E58C1" w:rsidP="005860B4">
      <w:pPr>
        <w:pStyle w:val="005"/>
        <w:spacing w:before="120" w:after="120"/>
        <w:ind w:firstLine="480"/>
      </w:pPr>
      <w:r w:rsidRPr="00B4515A">
        <w:t>12</w:t>
      </w:r>
      <w:r w:rsidRPr="00B4515A">
        <w:t>）折旧和摊销</w:t>
      </w:r>
    </w:p>
    <w:p w14:paraId="019AFA26" w14:textId="0E80E225" w:rsidR="006416B0" w:rsidRPr="00B4515A" w:rsidRDefault="005E58C1" w:rsidP="005860B4">
      <w:pPr>
        <w:pStyle w:val="005"/>
        <w:spacing w:before="120" w:after="120"/>
        <w:ind w:firstLine="480"/>
      </w:pPr>
      <w:r w:rsidRPr="00B4515A">
        <w:t>折旧和摊销的预测，除根据</w:t>
      </w:r>
      <w:r w:rsidR="001D3306" w:rsidRPr="00B4515A">
        <w:rPr>
          <w:rFonts w:hint="eastAsia"/>
        </w:rPr>
        <w:t>大唐联诚</w:t>
      </w:r>
      <w:r w:rsidRPr="00B4515A">
        <w:t>原有的各类固定资产和其它长期资产，并且考虑了改良和未来更新的固定资产和其它长期资产。</w:t>
      </w:r>
    </w:p>
    <w:p w14:paraId="317B430C" w14:textId="77777777" w:rsidR="006416B0" w:rsidRPr="00B4515A" w:rsidRDefault="005E58C1">
      <w:pPr>
        <w:keepNext/>
        <w:jc w:val="right"/>
        <w:rPr>
          <w:rFonts w:ascii="Times New Roman" w:hAnsi="Times New Roman" w:cs="Times New Roman"/>
          <w:sz w:val="21"/>
          <w:szCs w:val="21"/>
        </w:rPr>
      </w:pPr>
      <w:r w:rsidRPr="00B4515A">
        <w:rPr>
          <w:rFonts w:ascii="Times New Roman" w:hAnsi="Times New Roman" w:cs="Times New Roman"/>
          <w:sz w:val="21"/>
          <w:szCs w:val="21"/>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528"/>
        <w:gridCol w:w="1406"/>
        <w:gridCol w:w="1406"/>
        <w:gridCol w:w="1406"/>
        <w:gridCol w:w="1406"/>
        <w:gridCol w:w="1406"/>
        <w:gridCol w:w="1406"/>
        <w:gridCol w:w="1406"/>
        <w:gridCol w:w="1406"/>
        <w:gridCol w:w="1398"/>
      </w:tblGrid>
      <w:tr w:rsidR="006416B0" w:rsidRPr="00B4515A" w14:paraId="669F4703" w14:textId="77777777" w:rsidTr="00EE238F">
        <w:trPr>
          <w:trHeight w:val="340"/>
          <w:jc w:val="center"/>
        </w:trPr>
        <w:tc>
          <w:tcPr>
            <w:tcW w:w="539" w:type="pct"/>
            <w:tcMar>
              <w:top w:w="0" w:type="dxa"/>
              <w:left w:w="108" w:type="dxa"/>
              <w:bottom w:w="0" w:type="dxa"/>
              <w:right w:w="108" w:type="dxa"/>
            </w:tcMar>
            <w:vAlign w:val="center"/>
          </w:tcPr>
          <w:p w14:paraId="60C7E286"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hint="eastAsia"/>
                <w:b/>
                <w:bCs/>
                <w:sz w:val="21"/>
                <w:szCs w:val="21"/>
              </w:rPr>
              <w:t>项目</w:t>
            </w:r>
          </w:p>
        </w:tc>
        <w:tc>
          <w:tcPr>
            <w:tcW w:w="496" w:type="pct"/>
            <w:tcMar>
              <w:top w:w="0" w:type="dxa"/>
              <w:left w:w="108" w:type="dxa"/>
              <w:bottom w:w="0" w:type="dxa"/>
              <w:right w:w="108" w:type="dxa"/>
            </w:tcMar>
            <w:vAlign w:val="center"/>
          </w:tcPr>
          <w:p w14:paraId="6F4A18BD"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hint="eastAsia"/>
                <w:b/>
                <w:bCs/>
                <w:sz w:val="21"/>
                <w:szCs w:val="21"/>
              </w:rPr>
              <w:t>年全年</w:t>
            </w:r>
          </w:p>
        </w:tc>
        <w:tc>
          <w:tcPr>
            <w:tcW w:w="496" w:type="pct"/>
            <w:tcMar>
              <w:top w:w="0" w:type="dxa"/>
              <w:left w:w="108" w:type="dxa"/>
              <w:bottom w:w="0" w:type="dxa"/>
              <w:right w:w="108" w:type="dxa"/>
            </w:tcMar>
            <w:vAlign w:val="center"/>
          </w:tcPr>
          <w:p w14:paraId="08A3FBF5"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2022</w:t>
            </w:r>
            <w:r w:rsidRPr="00B4515A">
              <w:rPr>
                <w:rFonts w:ascii="Times New Roman" w:hAnsi="Times New Roman" w:cs="Times New Roman" w:hint="eastAsia"/>
                <w:b/>
                <w:bCs/>
                <w:sz w:val="21"/>
                <w:szCs w:val="21"/>
              </w:rPr>
              <w:t>年</w:t>
            </w:r>
          </w:p>
        </w:tc>
        <w:tc>
          <w:tcPr>
            <w:tcW w:w="496" w:type="pct"/>
            <w:tcMar>
              <w:top w:w="0" w:type="dxa"/>
              <w:left w:w="108" w:type="dxa"/>
              <w:bottom w:w="0" w:type="dxa"/>
              <w:right w:w="108" w:type="dxa"/>
            </w:tcMar>
            <w:vAlign w:val="center"/>
          </w:tcPr>
          <w:p w14:paraId="16058BB2"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2023</w:t>
            </w:r>
            <w:r w:rsidRPr="00B4515A">
              <w:rPr>
                <w:rFonts w:ascii="Times New Roman" w:hAnsi="Times New Roman" w:cs="Times New Roman" w:hint="eastAsia"/>
                <w:b/>
                <w:bCs/>
                <w:sz w:val="21"/>
                <w:szCs w:val="21"/>
              </w:rPr>
              <w:t>年</w:t>
            </w:r>
          </w:p>
        </w:tc>
        <w:tc>
          <w:tcPr>
            <w:tcW w:w="496" w:type="pct"/>
            <w:tcMar>
              <w:top w:w="0" w:type="dxa"/>
              <w:left w:w="108" w:type="dxa"/>
              <w:bottom w:w="0" w:type="dxa"/>
              <w:right w:w="108" w:type="dxa"/>
            </w:tcMar>
            <w:vAlign w:val="center"/>
          </w:tcPr>
          <w:p w14:paraId="6DCCED26"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2024</w:t>
            </w:r>
            <w:r w:rsidRPr="00B4515A">
              <w:rPr>
                <w:rFonts w:ascii="Times New Roman" w:hAnsi="Times New Roman" w:cs="Times New Roman" w:hint="eastAsia"/>
                <w:b/>
                <w:bCs/>
                <w:sz w:val="21"/>
                <w:szCs w:val="21"/>
              </w:rPr>
              <w:t>年</w:t>
            </w:r>
          </w:p>
        </w:tc>
        <w:tc>
          <w:tcPr>
            <w:tcW w:w="496" w:type="pct"/>
            <w:tcMar>
              <w:top w:w="0" w:type="dxa"/>
              <w:left w:w="108" w:type="dxa"/>
              <w:bottom w:w="0" w:type="dxa"/>
              <w:right w:w="108" w:type="dxa"/>
            </w:tcMar>
            <w:vAlign w:val="center"/>
          </w:tcPr>
          <w:p w14:paraId="69B2C190"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2025</w:t>
            </w:r>
            <w:r w:rsidRPr="00B4515A">
              <w:rPr>
                <w:rFonts w:ascii="Times New Roman" w:hAnsi="Times New Roman" w:cs="Times New Roman" w:hint="eastAsia"/>
                <w:b/>
                <w:bCs/>
                <w:sz w:val="21"/>
                <w:szCs w:val="21"/>
              </w:rPr>
              <w:t>年</w:t>
            </w:r>
          </w:p>
        </w:tc>
        <w:tc>
          <w:tcPr>
            <w:tcW w:w="496" w:type="pct"/>
            <w:tcMar>
              <w:top w:w="0" w:type="dxa"/>
              <w:left w:w="108" w:type="dxa"/>
              <w:bottom w:w="0" w:type="dxa"/>
              <w:right w:w="108" w:type="dxa"/>
            </w:tcMar>
            <w:vAlign w:val="center"/>
          </w:tcPr>
          <w:p w14:paraId="09B8ADC6"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2026</w:t>
            </w:r>
            <w:r w:rsidRPr="00B4515A">
              <w:rPr>
                <w:rFonts w:ascii="Times New Roman" w:hAnsi="Times New Roman" w:cs="Times New Roman" w:hint="eastAsia"/>
                <w:b/>
                <w:bCs/>
                <w:sz w:val="21"/>
                <w:szCs w:val="21"/>
              </w:rPr>
              <w:t>年</w:t>
            </w:r>
          </w:p>
        </w:tc>
        <w:tc>
          <w:tcPr>
            <w:tcW w:w="496" w:type="pct"/>
            <w:tcMar>
              <w:top w:w="0" w:type="dxa"/>
              <w:left w:w="108" w:type="dxa"/>
              <w:bottom w:w="0" w:type="dxa"/>
              <w:right w:w="108" w:type="dxa"/>
            </w:tcMar>
            <w:vAlign w:val="center"/>
          </w:tcPr>
          <w:p w14:paraId="0CEF2D18"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2027</w:t>
            </w:r>
            <w:r w:rsidRPr="00B4515A">
              <w:rPr>
                <w:rFonts w:ascii="Times New Roman" w:hAnsi="Times New Roman" w:cs="Times New Roman" w:hint="eastAsia"/>
                <w:b/>
                <w:bCs/>
                <w:sz w:val="21"/>
                <w:szCs w:val="21"/>
              </w:rPr>
              <w:t>年</w:t>
            </w:r>
          </w:p>
        </w:tc>
        <w:tc>
          <w:tcPr>
            <w:tcW w:w="496" w:type="pct"/>
            <w:tcMar>
              <w:top w:w="0" w:type="dxa"/>
              <w:left w:w="108" w:type="dxa"/>
              <w:bottom w:w="0" w:type="dxa"/>
              <w:right w:w="108" w:type="dxa"/>
            </w:tcMar>
            <w:vAlign w:val="center"/>
          </w:tcPr>
          <w:p w14:paraId="4EA1B2FB"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2028</w:t>
            </w:r>
            <w:r w:rsidRPr="00B4515A">
              <w:rPr>
                <w:rFonts w:ascii="Times New Roman" w:hAnsi="Times New Roman" w:cs="Times New Roman" w:hint="eastAsia"/>
                <w:b/>
                <w:bCs/>
                <w:sz w:val="21"/>
                <w:szCs w:val="21"/>
              </w:rPr>
              <w:t>年</w:t>
            </w:r>
          </w:p>
        </w:tc>
        <w:tc>
          <w:tcPr>
            <w:tcW w:w="496" w:type="pct"/>
            <w:tcMar>
              <w:top w:w="0" w:type="dxa"/>
              <w:left w:w="108" w:type="dxa"/>
              <w:bottom w:w="0" w:type="dxa"/>
              <w:right w:w="108" w:type="dxa"/>
            </w:tcMar>
            <w:vAlign w:val="center"/>
          </w:tcPr>
          <w:p w14:paraId="2C5C290B"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2029</w:t>
            </w:r>
            <w:r w:rsidRPr="00B4515A">
              <w:rPr>
                <w:rFonts w:ascii="Times New Roman" w:hAnsi="Times New Roman" w:cs="Times New Roman" w:hint="eastAsia"/>
                <w:b/>
                <w:bCs/>
                <w:sz w:val="21"/>
                <w:szCs w:val="21"/>
              </w:rPr>
              <w:t>年</w:t>
            </w:r>
          </w:p>
        </w:tc>
      </w:tr>
      <w:tr w:rsidR="006416B0" w:rsidRPr="00B4515A" w14:paraId="214D65E7" w14:textId="77777777" w:rsidTr="00EE238F">
        <w:trPr>
          <w:trHeight w:val="340"/>
          <w:jc w:val="center"/>
        </w:trPr>
        <w:tc>
          <w:tcPr>
            <w:tcW w:w="539" w:type="pct"/>
            <w:tcMar>
              <w:top w:w="0" w:type="dxa"/>
              <w:left w:w="108" w:type="dxa"/>
              <w:bottom w:w="0" w:type="dxa"/>
              <w:right w:w="108" w:type="dxa"/>
            </w:tcMar>
            <w:vAlign w:val="center"/>
          </w:tcPr>
          <w:p w14:paraId="07742AE4" w14:textId="77777777" w:rsidR="006416B0" w:rsidRPr="00B4515A" w:rsidRDefault="005E58C1" w:rsidP="005860B4">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hint="eastAsia"/>
                <w:sz w:val="21"/>
                <w:szCs w:val="21"/>
              </w:rPr>
              <w:t>折旧及摊销</w:t>
            </w:r>
          </w:p>
        </w:tc>
        <w:tc>
          <w:tcPr>
            <w:tcW w:w="496" w:type="pct"/>
            <w:tcMar>
              <w:top w:w="0" w:type="dxa"/>
              <w:left w:w="108" w:type="dxa"/>
              <w:bottom w:w="0" w:type="dxa"/>
              <w:right w:w="108" w:type="dxa"/>
            </w:tcMar>
            <w:vAlign w:val="center"/>
          </w:tcPr>
          <w:p w14:paraId="0E9E166B"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1,684.38 </w:t>
            </w:r>
          </w:p>
        </w:tc>
        <w:tc>
          <w:tcPr>
            <w:tcW w:w="496" w:type="pct"/>
            <w:tcMar>
              <w:top w:w="0" w:type="dxa"/>
              <w:left w:w="108" w:type="dxa"/>
              <w:bottom w:w="0" w:type="dxa"/>
              <w:right w:w="108" w:type="dxa"/>
            </w:tcMar>
            <w:vAlign w:val="center"/>
          </w:tcPr>
          <w:p w14:paraId="61CEB314"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2,925.58 </w:t>
            </w:r>
          </w:p>
        </w:tc>
        <w:tc>
          <w:tcPr>
            <w:tcW w:w="496" w:type="pct"/>
            <w:tcMar>
              <w:top w:w="0" w:type="dxa"/>
              <w:left w:w="108" w:type="dxa"/>
              <w:bottom w:w="0" w:type="dxa"/>
              <w:right w:w="108" w:type="dxa"/>
            </w:tcMar>
            <w:vAlign w:val="center"/>
          </w:tcPr>
          <w:p w14:paraId="51B8E68C"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3,610.88 </w:t>
            </w:r>
          </w:p>
        </w:tc>
        <w:tc>
          <w:tcPr>
            <w:tcW w:w="496" w:type="pct"/>
            <w:tcMar>
              <w:top w:w="0" w:type="dxa"/>
              <w:left w:w="108" w:type="dxa"/>
              <w:bottom w:w="0" w:type="dxa"/>
              <w:right w:w="108" w:type="dxa"/>
            </w:tcMar>
            <w:vAlign w:val="center"/>
          </w:tcPr>
          <w:p w14:paraId="3D71725C"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4,379.74 </w:t>
            </w:r>
          </w:p>
        </w:tc>
        <w:tc>
          <w:tcPr>
            <w:tcW w:w="496" w:type="pct"/>
            <w:tcMar>
              <w:top w:w="0" w:type="dxa"/>
              <w:left w:w="108" w:type="dxa"/>
              <w:bottom w:w="0" w:type="dxa"/>
              <w:right w:w="108" w:type="dxa"/>
            </w:tcMar>
            <w:vAlign w:val="center"/>
          </w:tcPr>
          <w:p w14:paraId="443D03AC"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5,061.03 </w:t>
            </w:r>
          </w:p>
        </w:tc>
        <w:tc>
          <w:tcPr>
            <w:tcW w:w="496" w:type="pct"/>
            <w:tcMar>
              <w:top w:w="0" w:type="dxa"/>
              <w:left w:w="108" w:type="dxa"/>
              <w:bottom w:w="0" w:type="dxa"/>
              <w:right w:w="108" w:type="dxa"/>
            </w:tcMar>
            <w:vAlign w:val="center"/>
          </w:tcPr>
          <w:p w14:paraId="73C2A590"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 xml:space="preserve">5,256.27 </w:t>
            </w:r>
          </w:p>
        </w:tc>
        <w:tc>
          <w:tcPr>
            <w:tcW w:w="496" w:type="pct"/>
            <w:tcMar>
              <w:top w:w="0" w:type="dxa"/>
              <w:left w:w="108" w:type="dxa"/>
              <w:bottom w:w="0" w:type="dxa"/>
              <w:right w:w="108" w:type="dxa"/>
            </w:tcMar>
            <w:vAlign w:val="center"/>
          </w:tcPr>
          <w:p w14:paraId="0D567B7A"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6,178.56 </w:t>
            </w:r>
          </w:p>
        </w:tc>
        <w:tc>
          <w:tcPr>
            <w:tcW w:w="496" w:type="pct"/>
            <w:tcMar>
              <w:top w:w="0" w:type="dxa"/>
              <w:left w:w="108" w:type="dxa"/>
              <w:bottom w:w="0" w:type="dxa"/>
              <w:right w:w="108" w:type="dxa"/>
            </w:tcMar>
            <w:vAlign w:val="center"/>
          </w:tcPr>
          <w:p w14:paraId="49CBBC07"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6,178.56 </w:t>
            </w:r>
          </w:p>
        </w:tc>
        <w:tc>
          <w:tcPr>
            <w:tcW w:w="496" w:type="pct"/>
            <w:tcMar>
              <w:top w:w="0" w:type="dxa"/>
              <w:left w:w="108" w:type="dxa"/>
              <w:bottom w:w="0" w:type="dxa"/>
              <w:right w:w="108" w:type="dxa"/>
            </w:tcMar>
            <w:vAlign w:val="center"/>
          </w:tcPr>
          <w:p w14:paraId="27F9480A"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6,178.56 </w:t>
            </w:r>
          </w:p>
        </w:tc>
      </w:tr>
    </w:tbl>
    <w:p w14:paraId="2554521E" w14:textId="77777777" w:rsidR="006416B0" w:rsidRPr="00B4515A" w:rsidRDefault="005E58C1" w:rsidP="005860B4">
      <w:pPr>
        <w:pStyle w:val="005"/>
        <w:spacing w:before="120" w:after="120"/>
        <w:ind w:firstLine="480"/>
      </w:pPr>
      <w:r w:rsidRPr="00B4515A">
        <w:t>13</w:t>
      </w:r>
      <w:r w:rsidRPr="00B4515A">
        <w:t>）资本性支出</w:t>
      </w:r>
    </w:p>
    <w:p w14:paraId="2EDF0059" w14:textId="0476F15B" w:rsidR="006416B0" w:rsidRPr="00B4515A" w:rsidRDefault="005E58C1" w:rsidP="005860B4">
      <w:pPr>
        <w:pStyle w:val="005"/>
        <w:spacing w:before="120" w:after="120"/>
        <w:ind w:firstLine="480"/>
      </w:pPr>
      <w:r w:rsidRPr="00B4515A">
        <w:rPr>
          <w:rFonts w:hint="eastAsia"/>
        </w:rPr>
        <w:t>随着业务收入的逐年增长，</w:t>
      </w:r>
      <w:r w:rsidR="001D3306" w:rsidRPr="00B4515A">
        <w:rPr>
          <w:rFonts w:hint="eastAsia"/>
        </w:rPr>
        <w:t>大唐联诚</w:t>
      </w:r>
      <w:r w:rsidRPr="00B4515A">
        <w:rPr>
          <w:rFonts w:hint="eastAsia"/>
        </w:rPr>
        <w:t>正常经营的固定资产的新增是必需的，由于</w:t>
      </w:r>
      <w:r w:rsidR="001D3306" w:rsidRPr="00B4515A">
        <w:rPr>
          <w:rFonts w:hint="eastAsia"/>
        </w:rPr>
        <w:t>大唐联诚</w:t>
      </w:r>
      <w:r w:rsidRPr="00B4515A">
        <w:rPr>
          <w:rFonts w:hint="eastAsia"/>
        </w:rPr>
        <w:t>属于高科技研发型生产企业，对固定资产需求较大的生产流程均为外包，所以固定资产新增主要为生产类仪器仪表、科研类仪器仪表及办公设备等，</w:t>
      </w:r>
      <w:r w:rsidR="001D3306" w:rsidRPr="00B4515A">
        <w:rPr>
          <w:rFonts w:hint="eastAsia"/>
        </w:rPr>
        <w:t>大唐联诚</w:t>
      </w:r>
      <w:r w:rsidRPr="00B4515A">
        <w:rPr>
          <w:rFonts w:hint="eastAsia"/>
        </w:rPr>
        <w:t>根据规划在预测中考虑了当期设备新增。</w:t>
      </w:r>
    </w:p>
    <w:p w14:paraId="3C1D19B1" w14:textId="77777777" w:rsidR="006416B0" w:rsidRPr="00B4515A" w:rsidRDefault="005E58C1" w:rsidP="005860B4">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528"/>
        <w:gridCol w:w="1406"/>
        <w:gridCol w:w="1406"/>
        <w:gridCol w:w="1406"/>
        <w:gridCol w:w="1406"/>
        <w:gridCol w:w="1406"/>
        <w:gridCol w:w="1406"/>
        <w:gridCol w:w="1406"/>
        <w:gridCol w:w="1406"/>
        <w:gridCol w:w="1398"/>
      </w:tblGrid>
      <w:tr w:rsidR="006416B0" w:rsidRPr="00B4515A" w14:paraId="287B6C6C" w14:textId="77777777" w:rsidTr="00EE238F">
        <w:trPr>
          <w:trHeight w:val="340"/>
          <w:jc w:val="center"/>
        </w:trPr>
        <w:tc>
          <w:tcPr>
            <w:tcW w:w="539" w:type="pct"/>
            <w:tcMar>
              <w:top w:w="0" w:type="dxa"/>
              <w:left w:w="108" w:type="dxa"/>
              <w:bottom w:w="0" w:type="dxa"/>
              <w:right w:w="108" w:type="dxa"/>
            </w:tcMar>
            <w:vAlign w:val="center"/>
          </w:tcPr>
          <w:p w14:paraId="436F8074"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项目</w:t>
            </w:r>
          </w:p>
        </w:tc>
        <w:tc>
          <w:tcPr>
            <w:tcW w:w="496" w:type="pct"/>
            <w:tcMar>
              <w:top w:w="0" w:type="dxa"/>
              <w:left w:w="108" w:type="dxa"/>
              <w:bottom w:w="0" w:type="dxa"/>
              <w:right w:w="108" w:type="dxa"/>
            </w:tcMar>
            <w:vAlign w:val="center"/>
          </w:tcPr>
          <w:p w14:paraId="279FC439"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b/>
                <w:bCs/>
                <w:sz w:val="21"/>
                <w:szCs w:val="21"/>
              </w:rPr>
              <w:t>年全年</w:t>
            </w:r>
          </w:p>
        </w:tc>
        <w:tc>
          <w:tcPr>
            <w:tcW w:w="496" w:type="pct"/>
            <w:tcMar>
              <w:top w:w="0" w:type="dxa"/>
              <w:left w:w="108" w:type="dxa"/>
              <w:bottom w:w="0" w:type="dxa"/>
              <w:right w:w="108" w:type="dxa"/>
            </w:tcMar>
            <w:vAlign w:val="center"/>
          </w:tcPr>
          <w:p w14:paraId="37378FA1"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2022</w:t>
            </w:r>
            <w:r w:rsidRPr="00B4515A">
              <w:rPr>
                <w:rFonts w:ascii="Times New Roman" w:hAnsi="Times New Roman" w:cs="Times New Roman"/>
                <w:b/>
                <w:bCs/>
                <w:sz w:val="21"/>
                <w:szCs w:val="21"/>
              </w:rPr>
              <w:t>年</w:t>
            </w:r>
          </w:p>
        </w:tc>
        <w:tc>
          <w:tcPr>
            <w:tcW w:w="496" w:type="pct"/>
            <w:tcMar>
              <w:top w:w="0" w:type="dxa"/>
              <w:left w:w="108" w:type="dxa"/>
              <w:bottom w:w="0" w:type="dxa"/>
              <w:right w:w="108" w:type="dxa"/>
            </w:tcMar>
            <w:vAlign w:val="center"/>
          </w:tcPr>
          <w:p w14:paraId="698DF3EB"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2023</w:t>
            </w:r>
            <w:r w:rsidRPr="00B4515A">
              <w:rPr>
                <w:rFonts w:ascii="Times New Roman" w:hAnsi="Times New Roman" w:cs="Times New Roman"/>
                <w:b/>
                <w:bCs/>
                <w:sz w:val="21"/>
                <w:szCs w:val="21"/>
              </w:rPr>
              <w:t>年</w:t>
            </w:r>
          </w:p>
        </w:tc>
        <w:tc>
          <w:tcPr>
            <w:tcW w:w="496" w:type="pct"/>
            <w:tcMar>
              <w:top w:w="0" w:type="dxa"/>
              <w:left w:w="108" w:type="dxa"/>
              <w:bottom w:w="0" w:type="dxa"/>
              <w:right w:w="108" w:type="dxa"/>
            </w:tcMar>
            <w:vAlign w:val="center"/>
          </w:tcPr>
          <w:p w14:paraId="05D375D0"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2024</w:t>
            </w:r>
            <w:r w:rsidRPr="00B4515A">
              <w:rPr>
                <w:rFonts w:ascii="Times New Roman" w:hAnsi="Times New Roman" w:cs="Times New Roman"/>
                <w:b/>
                <w:bCs/>
                <w:sz w:val="21"/>
                <w:szCs w:val="21"/>
              </w:rPr>
              <w:t>年</w:t>
            </w:r>
          </w:p>
        </w:tc>
        <w:tc>
          <w:tcPr>
            <w:tcW w:w="496" w:type="pct"/>
            <w:tcMar>
              <w:top w:w="0" w:type="dxa"/>
              <w:left w:w="108" w:type="dxa"/>
              <w:bottom w:w="0" w:type="dxa"/>
              <w:right w:w="108" w:type="dxa"/>
            </w:tcMar>
            <w:vAlign w:val="center"/>
          </w:tcPr>
          <w:p w14:paraId="1C5B4E35"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2025</w:t>
            </w:r>
            <w:r w:rsidRPr="00B4515A">
              <w:rPr>
                <w:rFonts w:ascii="Times New Roman" w:hAnsi="Times New Roman" w:cs="Times New Roman"/>
                <w:b/>
                <w:bCs/>
                <w:sz w:val="21"/>
                <w:szCs w:val="21"/>
              </w:rPr>
              <w:t>年</w:t>
            </w:r>
          </w:p>
        </w:tc>
        <w:tc>
          <w:tcPr>
            <w:tcW w:w="496" w:type="pct"/>
            <w:tcMar>
              <w:top w:w="0" w:type="dxa"/>
              <w:left w:w="108" w:type="dxa"/>
              <w:bottom w:w="0" w:type="dxa"/>
              <w:right w:w="108" w:type="dxa"/>
            </w:tcMar>
            <w:vAlign w:val="center"/>
          </w:tcPr>
          <w:p w14:paraId="75D41015"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2026</w:t>
            </w:r>
            <w:r w:rsidRPr="00B4515A">
              <w:rPr>
                <w:rFonts w:ascii="Times New Roman" w:hAnsi="Times New Roman" w:cs="Times New Roman"/>
                <w:b/>
                <w:bCs/>
                <w:sz w:val="21"/>
                <w:szCs w:val="21"/>
              </w:rPr>
              <w:t>年</w:t>
            </w:r>
          </w:p>
        </w:tc>
        <w:tc>
          <w:tcPr>
            <w:tcW w:w="496" w:type="pct"/>
            <w:tcMar>
              <w:top w:w="0" w:type="dxa"/>
              <w:left w:w="108" w:type="dxa"/>
              <w:bottom w:w="0" w:type="dxa"/>
              <w:right w:w="108" w:type="dxa"/>
            </w:tcMar>
            <w:vAlign w:val="center"/>
          </w:tcPr>
          <w:p w14:paraId="6379E4BF"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2027</w:t>
            </w:r>
            <w:r w:rsidRPr="00B4515A">
              <w:rPr>
                <w:rFonts w:ascii="Times New Roman" w:hAnsi="Times New Roman" w:cs="Times New Roman"/>
                <w:b/>
                <w:bCs/>
                <w:sz w:val="21"/>
                <w:szCs w:val="21"/>
              </w:rPr>
              <w:t>年</w:t>
            </w:r>
          </w:p>
        </w:tc>
        <w:tc>
          <w:tcPr>
            <w:tcW w:w="496" w:type="pct"/>
            <w:tcMar>
              <w:top w:w="0" w:type="dxa"/>
              <w:left w:w="108" w:type="dxa"/>
              <w:bottom w:w="0" w:type="dxa"/>
              <w:right w:w="108" w:type="dxa"/>
            </w:tcMar>
            <w:vAlign w:val="center"/>
          </w:tcPr>
          <w:p w14:paraId="56495B9C"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2028</w:t>
            </w:r>
            <w:r w:rsidRPr="00B4515A">
              <w:rPr>
                <w:rFonts w:ascii="Times New Roman" w:hAnsi="Times New Roman" w:cs="Times New Roman"/>
                <w:b/>
                <w:bCs/>
                <w:sz w:val="21"/>
                <w:szCs w:val="21"/>
              </w:rPr>
              <w:t>年</w:t>
            </w:r>
          </w:p>
        </w:tc>
        <w:tc>
          <w:tcPr>
            <w:tcW w:w="496" w:type="pct"/>
            <w:tcMar>
              <w:top w:w="0" w:type="dxa"/>
              <w:left w:w="108" w:type="dxa"/>
              <w:bottom w:w="0" w:type="dxa"/>
              <w:right w:w="108" w:type="dxa"/>
            </w:tcMar>
            <w:vAlign w:val="center"/>
          </w:tcPr>
          <w:p w14:paraId="574C62E9"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2029</w:t>
            </w:r>
            <w:r w:rsidRPr="00B4515A">
              <w:rPr>
                <w:rFonts w:ascii="Times New Roman" w:hAnsi="Times New Roman" w:cs="Times New Roman"/>
                <w:b/>
                <w:bCs/>
                <w:sz w:val="21"/>
                <w:szCs w:val="21"/>
              </w:rPr>
              <w:t>年</w:t>
            </w:r>
          </w:p>
        </w:tc>
      </w:tr>
      <w:tr w:rsidR="006416B0" w:rsidRPr="00B4515A" w14:paraId="5E9E8448" w14:textId="77777777" w:rsidTr="00EE238F">
        <w:trPr>
          <w:trHeight w:val="340"/>
          <w:jc w:val="center"/>
        </w:trPr>
        <w:tc>
          <w:tcPr>
            <w:tcW w:w="539" w:type="pct"/>
            <w:tcMar>
              <w:top w:w="0" w:type="dxa"/>
              <w:left w:w="108" w:type="dxa"/>
              <w:bottom w:w="0" w:type="dxa"/>
              <w:right w:w="108" w:type="dxa"/>
            </w:tcMar>
            <w:vAlign w:val="center"/>
          </w:tcPr>
          <w:p w14:paraId="21FB34AB" w14:textId="77777777" w:rsidR="006416B0" w:rsidRPr="00B4515A" w:rsidRDefault="005E58C1" w:rsidP="005860B4">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hint="eastAsia"/>
                <w:sz w:val="21"/>
                <w:szCs w:val="21"/>
              </w:rPr>
              <w:t>资本性支出</w:t>
            </w:r>
          </w:p>
        </w:tc>
        <w:tc>
          <w:tcPr>
            <w:tcW w:w="496" w:type="pct"/>
            <w:tcMar>
              <w:top w:w="0" w:type="dxa"/>
              <w:left w:w="108" w:type="dxa"/>
              <w:bottom w:w="0" w:type="dxa"/>
              <w:right w:w="108" w:type="dxa"/>
            </w:tcMar>
            <w:vAlign w:val="center"/>
          </w:tcPr>
          <w:p w14:paraId="3D2037E6"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4,163.33 </w:t>
            </w:r>
          </w:p>
        </w:tc>
        <w:tc>
          <w:tcPr>
            <w:tcW w:w="496" w:type="pct"/>
            <w:tcMar>
              <w:top w:w="0" w:type="dxa"/>
              <w:left w:w="108" w:type="dxa"/>
              <w:bottom w:w="0" w:type="dxa"/>
              <w:right w:w="108" w:type="dxa"/>
            </w:tcMar>
            <w:vAlign w:val="center"/>
          </w:tcPr>
          <w:p w14:paraId="180D39BD"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4,704.43 </w:t>
            </w:r>
          </w:p>
        </w:tc>
        <w:tc>
          <w:tcPr>
            <w:tcW w:w="496" w:type="pct"/>
            <w:tcMar>
              <w:top w:w="0" w:type="dxa"/>
              <w:left w:w="108" w:type="dxa"/>
              <w:bottom w:w="0" w:type="dxa"/>
              <w:right w:w="108" w:type="dxa"/>
            </w:tcMar>
            <w:vAlign w:val="center"/>
          </w:tcPr>
          <w:p w14:paraId="4E6CD091"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5,245.57 </w:t>
            </w:r>
          </w:p>
        </w:tc>
        <w:tc>
          <w:tcPr>
            <w:tcW w:w="496" w:type="pct"/>
            <w:tcMar>
              <w:top w:w="0" w:type="dxa"/>
              <w:left w:w="108" w:type="dxa"/>
              <w:bottom w:w="0" w:type="dxa"/>
              <w:right w:w="108" w:type="dxa"/>
            </w:tcMar>
            <w:vAlign w:val="center"/>
          </w:tcPr>
          <w:p w14:paraId="3F8A1A66"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5,833.29 </w:t>
            </w:r>
          </w:p>
        </w:tc>
        <w:tc>
          <w:tcPr>
            <w:tcW w:w="496" w:type="pct"/>
            <w:tcMar>
              <w:top w:w="0" w:type="dxa"/>
              <w:left w:w="108" w:type="dxa"/>
              <w:bottom w:w="0" w:type="dxa"/>
              <w:right w:w="108" w:type="dxa"/>
            </w:tcMar>
            <w:vAlign w:val="center"/>
          </w:tcPr>
          <w:p w14:paraId="30239F16"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sz w:val="21"/>
                <w:szCs w:val="21"/>
              </w:rPr>
              <w:t xml:space="preserve">6,178.56 </w:t>
            </w:r>
          </w:p>
        </w:tc>
        <w:tc>
          <w:tcPr>
            <w:tcW w:w="496" w:type="pct"/>
            <w:tcMar>
              <w:top w:w="0" w:type="dxa"/>
              <w:left w:w="108" w:type="dxa"/>
              <w:bottom w:w="0" w:type="dxa"/>
              <w:right w:w="108" w:type="dxa"/>
            </w:tcMar>
            <w:vAlign w:val="center"/>
          </w:tcPr>
          <w:p w14:paraId="619AD546" w14:textId="77777777" w:rsidR="006416B0" w:rsidRPr="00B4515A" w:rsidRDefault="005E58C1" w:rsidP="005860B4">
            <w:pPr>
              <w:adjustRightInd w:val="0"/>
              <w:snapToGrid w:val="0"/>
              <w:jc w:val="right"/>
              <w:textAlignment w:val="center"/>
              <w:rPr>
                <w:rFonts w:ascii="Times New Roman" w:hAnsi="Times New Roman" w:cs="Times New Roman"/>
                <w:kern w:val="2"/>
                <w:sz w:val="21"/>
                <w:szCs w:val="21"/>
              </w:rPr>
            </w:pPr>
            <w:r w:rsidRPr="00B4515A">
              <w:rPr>
                <w:rFonts w:ascii="Times New Roman" w:hAnsi="Times New Roman" w:cs="Times New Roman"/>
                <w:sz w:val="21"/>
                <w:szCs w:val="21"/>
              </w:rPr>
              <w:t xml:space="preserve">6,178.56 </w:t>
            </w:r>
          </w:p>
        </w:tc>
        <w:tc>
          <w:tcPr>
            <w:tcW w:w="496" w:type="pct"/>
            <w:tcMar>
              <w:top w:w="0" w:type="dxa"/>
              <w:left w:w="108" w:type="dxa"/>
              <w:bottom w:w="0" w:type="dxa"/>
              <w:right w:w="108" w:type="dxa"/>
            </w:tcMar>
            <w:vAlign w:val="center"/>
          </w:tcPr>
          <w:p w14:paraId="0BF4C6CF"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6,178.56 </w:t>
            </w:r>
          </w:p>
        </w:tc>
        <w:tc>
          <w:tcPr>
            <w:tcW w:w="496" w:type="pct"/>
            <w:tcMar>
              <w:top w:w="0" w:type="dxa"/>
              <w:left w:w="108" w:type="dxa"/>
              <w:bottom w:w="0" w:type="dxa"/>
              <w:right w:w="108" w:type="dxa"/>
            </w:tcMar>
            <w:vAlign w:val="center"/>
          </w:tcPr>
          <w:p w14:paraId="487BA7A6"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6,178.56 </w:t>
            </w:r>
          </w:p>
        </w:tc>
        <w:tc>
          <w:tcPr>
            <w:tcW w:w="496" w:type="pct"/>
            <w:tcMar>
              <w:top w:w="0" w:type="dxa"/>
              <w:left w:w="108" w:type="dxa"/>
              <w:bottom w:w="0" w:type="dxa"/>
              <w:right w:w="108" w:type="dxa"/>
            </w:tcMar>
            <w:vAlign w:val="center"/>
          </w:tcPr>
          <w:p w14:paraId="4ADB6AD7"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6,178.56 </w:t>
            </w:r>
          </w:p>
        </w:tc>
      </w:tr>
    </w:tbl>
    <w:p w14:paraId="0245B79E" w14:textId="77777777" w:rsidR="006416B0" w:rsidRPr="00B4515A" w:rsidRDefault="005E58C1" w:rsidP="005860B4">
      <w:pPr>
        <w:pStyle w:val="005"/>
        <w:spacing w:before="120" w:after="120"/>
        <w:ind w:firstLine="480"/>
      </w:pPr>
      <w:r w:rsidRPr="00B4515A">
        <w:t>14</w:t>
      </w:r>
      <w:r w:rsidRPr="00B4515A">
        <w:t>）营运资金</w:t>
      </w:r>
    </w:p>
    <w:p w14:paraId="47A1ECBC" w14:textId="77777777" w:rsidR="006416B0" w:rsidRPr="00B4515A" w:rsidRDefault="005E58C1" w:rsidP="005860B4">
      <w:pPr>
        <w:pStyle w:val="005"/>
        <w:spacing w:before="120" w:after="120"/>
        <w:ind w:firstLine="480"/>
      </w:pPr>
      <w:r w:rsidRPr="00B4515A">
        <w:t>营运资金增加额系指企业在不改变当前主营业务条件下，为保持企业持续经营能力所需的新增营运资金。营运资金的追加是指随</w:t>
      </w:r>
      <w:r w:rsidRPr="00B4515A">
        <w:lastRenderedPageBreak/>
        <w:t>着企业经营活动的变化，获取他人的商业信用而占用的现金，正常经营所需保持的现金、存货等；同时，在经济活动中，提供商业信用，相应可以减少现金的即时支付。</w:t>
      </w:r>
    </w:p>
    <w:p w14:paraId="2A03B4F4" w14:textId="77777777" w:rsidR="006416B0" w:rsidRPr="00B4515A" w:rsidRDefault="005E58C1" w:rsidP="005860B4">
      <w:pPr>
        <w:pStyle w:val="005"/>
        <w:spacing w:before="120" w:after="120"/>
        <w:ind w:firstLine="480"/>
      </w:pPr>
      <w:r w:rsidRPr="00B4515A">
        <w:t>生产性、销售型企业营运资金主要包括：正常经营所需保持的运营现金、产品存货购置、代客户垫付购货款（应收、预付账款）等所需的基本资金以及应付、合同负债等。通常上述科目的金额与收入、成本呈相对稳定的比例关系，其他应收账款和其他应付账款需具体甄别视其与所估算经营业务的相关性确定（其中与主营业务无关或暂时性的往来作为非经营性）。营运资金增加额为：</w:t>
      </w:r>
    </w:p>
    <w:p w14:paraId="6B41B826" w14:textId="77777777" w:rsidR="006416B0" w:rsidRPr="00B4515A" w:rsidRDefault="005E58C1" w:rsidP="005860B4">
      <w:pPr>
        <w:pStyle w:val="005"/>
        <w:spacing w:before="120" w:after="120"/>
        <w:ind w:firstLine="480"/>
      </w:pPr>
      <w:r w:rsidRPr="00B4515A">
        <w:t>营运资金增加额</w:t>
      </w:r>
      <w:r w:rsidRPr="00B4515A">
        <w:t>=</w:t>
      </w:r>
      <w:r w:rsidRPr="00B4515A">
        <w:t>当期营运资金</w:t>
      </w:r>
      <w:r w:rsidRPr="00B4515A">
        <w:t>-</w:t>
      </w:r>
      <w:r w:rsidRPr="00B4515A">
        <w:t>上期营运资金</w:t>
      </w:r>
    </w:p>
    <w:p w14:paraId="53427CE5" w14:textId="77777777" w:rsidR="006416B0" w:rsidRPr="00B4515A" w:rsidRDefault="005E58C1" w:rsidP="005860B4">
      <w:pPr>
        <w:pStyle w:val="009"/>
      </w:pPr>
      <w:r w:rsidRPr="00B4515A">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19"/>
        <w:gridCol w:w="1667"/>
        <w:gridCol w:w="1361"/>
        <w:gridCol w:w="1361"/>
        <w:gridCol w:w="1361"/>
        <w:gridCol w:w="1361"/>
        <w:gridCol w:w="1179"/>
        <w:gridCol w:w="1208"/>
        <w:gridCol w:w="1341"/>
        <w:gridCol w:w="1216"/>
      </w:tblGrid>
      <w:tr w:rsidR="001C2353" w:rsidRPr="00B4515A" w14:paraId="674CC285" w14:textId="77777777" w:rsidTr="00EE238F">
        <w:trPr>
          <w:trHeight w:val="340"/>
          <w:jc w:val="center"/>
        </w:trPr>
        <w:tc>
          <w:tcPr>
            <w:tcW w:w="748" w:type="pct"/>
            <w:tcMar>
              <w:top w:w="0" w:type="dxa"/>
              <w:left w:w="108" w:type="dxa"/>
              <w:bottom w:w="0" w:type="dxa"/>
              <w:right w:w="108" w:type="dxa"/>
            </w:tcMar>
            <w:vAlign w:val="center"/>
          </w:tcPr>
          <w:p w14:paraId="38BE3708"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项目</w:t>
            </w:r>
          </w:p>
        </w:tc>
        <w:tc>
          <w:tcPr>
            <w:tcW w:w="588" w:type="pct"/>
            <w:tcMar>
              <w:top w:w="0" w:type="dxa"/>
              <w:left w:w="108" w:type="dxa"/>
              <w:bottom w:w="0" w:type="dxa"/>
              <w:right w:w="108" w:type="dxa"/>
            </w:tcMar>
            <w:vAlign w:val="center"/>
          </w:tcPr>
          <w:p w14:paraId="7451FF93"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2021</w:t>
            </w:r>
            <w:r w:rsidRPr="00B4515A">
              <w:rPr>
                <w:rFonts w:ascii="Times New Roman" w:hAnsi="Times New Roman" w:cs="Times New Roman"/>
                <w:b/>
                <w:bCs/>
                <w:sz w:val="21"/>
                <w:szCs w:val="21"/>
              </w:rPr>
              <w:t>年全年</w:t>
            </w:r>
          </w:p>
        </w:tc>
        <w:tc>
          <w:tcPr>
            <w:tcW w:w="480" w:type="pct"/>
            <w:tcMar>
              <w:top w:w="0" w:type="dxa"/>
              <w:left w:w="108" w:type="dxa"/>
              <w:bottom w:w="0" w:type="dxa"/>
              <w:right w:w="108" w:type="dxa"/>
            </w:tcMar>
            <w:vAlign w:val="center"/>
          </w:tcPr>
          <w:p w14:paraId="08C6AA29"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2022</w:t>
            </w:r>
            <w:r w:rsidRPr="00B4515A">
              <w:rPr>
                <w:rFonts w:ascii="Times New Roman" w:hAnsi="Times New Roman" w:cs="Times New Roman"/>
                <w:b/>
                <w:bCs/>
                <w:sz w:val="21"/>
                <w:szCs w:val="21"/>
              </w:rPr>
              <w:t>年</w:t>
            </w:r>
          </w:p>
        </w:tc>
        <w:tc>
          <w:tcPr>
            <w:tcW w:w="480" w:type="pct"/>
            <w:tcMar>
              <w:top w:w="0" w:type="dxa"/>
              <w:left w:w="108" w:type="dxa"/>
              <w:bottom w:w="0" w:type="dxa"/>
              <w:right w:w="108" w:type="dxa"/>
            </w:tcMar>
            <w:vAlign w:val="center"/>
          </w:tcPr>
          <w:p w14:paraId="487A8ED5"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2023</w:t>
            </w:r>
            <w:r w:rsidRPr="00B4515A">
              <w:rPr>
                <w:rFonts w:ascii="Times New Roman" w:hAnsi="Times New Roman" w:cs="Times New Roman"/>
                <w:b/>
                <w:bCs/>
                <w:sz w:val="21"/>
                <w:szCs w:val="21"/>
              </w:rPr>
              <w:t>年</w:t>
            </w:r>
          </w:p>
        </w:tc>
        <w:tc>
          <w:tcPr>
            <w:tcW w:w="480" w:type="pct"/>
            <w:tcMar>
              <w:top w:w="0" w:type="dxa"/>
              <w:left w:w="108" w:type="dxa"/>
              <w:bottom w:w="0" w:type="dxa"/>
              <w:right w:w="108" w:type="dxa"/>
            </w:tcMar>
            <w:vAlign w:val="center"/>
          </w:tcPr>
          <w:p w14:paraId="20C6541A"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2024</w:t>
            </w:r>
            <w:r w:rsidRPr="00B4515A">
              <w:rPr>
                <w:rFonts w:ascii="Times New Roman" w:hAnsi="Times New Roman" w:cs="Times New Roman"/>
                <w:b/>
                <w:bCs/>
                <w:sz w:val="21"/>
                <w:szCs w:val="21"/>
              </w:rPr>
              <w:t>年</w:t>
            </w:r>
          </w:p>
        </w:tc>
        <w:tc>
          <w:tcPr>
            <w:tcW w:w="480" w:type="pct"/>
            <w:tcMar>
              <w:top w:w="0" w:type="dxa"/>
              <w:left w:w="108" w:type="dxa"/>
              <w:bottom w:w="0" w:type="dxa"/>
              <w:right w:w="108" w:type="dxa"/>
            </w:tcMar>
            <w:vAlign w:val="center"/>
          </w:tcPr>
          <w:p w14:paraId="7395314C"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2025</w:t>
            </w:r>
            <w:r w:rsidRPr="00B4515A">
              <w:rPr>
                <w:rFonts w:ascii="Times New Roman" w:hAnsi="Times New Roman" w:cs="Times New Roman"/>
                <w:b/>
                <w:bCs/>
                <w:sz w:val="21"/>
                <w:szCs w:val="21"/>
              </w:rPr>
              <w:t>年</w:t>
            </w:r>
          </w:p>
        </w:tc>
        <w:tc>
          <w:tcPr>
            <w:tcW w:w="416" w:type="pct"/>
            <w:tcMar>
              <w:top w:w="0" w:type="dxa"/>
              <w:left w:w="108" w:type="dxa"/>
              <w:bottom w:w="0" w:type="dxa"/>
              <w:right w:w="108" w:type="dxa"/>
            </w:tcMar>
            <w:vAlign w:val="center"/>
          </w:tcPr>
          <w:p w14:paraId="3D91383B"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2026</w:t>
            </w:r>
            <w:r w:rsidRPr="00B4515A">
              <w:rPr>
                <w:rFonts w:ascii="Times New Roman" w:hAnsi="Times New Roman" w:cs="Times New Roman"/>
                <w:b/>
                <w:bCs/>
                <w:sz w:val="21"/>
                <w:szCs w:val="21"/>
              </w:rPr>
              <w:t>年</w:t>
            </w:r>
          </w:p>
        </w:tc>
        <w:tc>
          <w:tcPr>
            <w:tcW w:w="426" w:type="pct"/>
            <w:tcMar>
              <w:top w:w="0" w:type="dxa"/>
              <w:left w:w="108" w:type="dxa"/>
              <w:bottom w:w="0" w:type="dxa"/>
              <w:right w:w="108" w:type="dxa"/>
            </w:tcMar>
            <w:vAlign w:val="center"/>
          </w:tcPr>
          <w:p w14:paraId="07270096"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2027</w:t>
            </w:r>
            <w:r w:rsidRPr="00B4515A">
              <w:rPr>
                <w:rFonts w:ascii="Times New Roman" w:hAnsi="Times New Roman" w:cs="Times New Roman"/>
                <w:b/>
                <w:bCs/>
                <w:sz w:val="21"/>
                <w:szCs w:val="21"/>
              </w:rPr>
              <w:t>年</w:t>
            </w:r>
          </w:p>
        </w:tc>
        <w:tc>
          <w:tcPr>
            <w:tcW w:w="473" w:type="pct"/>
            <w:tcMar>
              <w:top w:w="0" w:type="dxa"/>
              <w:left w:w="108" w:type="dxa"/>
              <w:bottom w:w="0" w:type="dxa"/>
              <w:right w:w="108" w:type="dxa"/>
            </w:tcMar>
            <w:vAlign w:val="center"/>
          </w:tcPr>
          <w:p w14:paraId="7E4E231A"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2028</w:t>
            </w:r>
            <w:r w:rsidRPr="00B4515A">
              <w:rPr>
                <w:rFonts w:ascii="Times New Roman" w:hAnsi="Times New Roman" w:cs="Times New Roman"/>
                <w:b/>
                <w:bCs/>
                <w:sz w:val="21"/>
                <w:szCs w:val="21"/>
              </w:rPr>
              <w:t>年</w:t>
            </w:r>
          </w:p>
        </w:tc>
        <w:tc>
          <w:tcPr>
            <w:tcW w:w="429" w:type="pct"/>
            <w:tcMar>
              <w:top w:w="0" w:type="dxa"/>
              <w:left w:w="108" w:type="dxa"/>
              <w:bottom w:w="0" w:type="dxa"/>
              <w:right w:w="108" w:type="dxa"/>
            </w:tcMar>
            <w:vAlign w:val="center"/>
          </w:tcPr>
          <w:p w14:paraId="16A58785" w14:textId="77777777" w:rsidR="006416B0" w:rsidRPr="00B4515A" w:rsidRDefault="005E58C1" w:rsidP="005860B4">
            <w:pPr>
              <w:adjustRightInd w:val="0"/>
              <w:snapToGrid w:val="0"/>
              <w:jc w:val="center"/>
              <w:textAlignment w:val="center"/>
              <w:rPr>
                <w:rFonts w:ascii="Times New Roman" w:hAnsi="Times New Roman" w:cs="Times New Roman"/>
                <w:b/>
                <w:bCs/>
                <w:sz w:val="21"/>
                <w:szCs w:val="21"/>
              </w:rPr>
            </w:pPr>
            <w:r w:rsidRPr="00B4515A">
              <w:rPr>
                <w:rFonts w:ascii="Times New Roman" w:hAnsi="Times New Roman" w:cs="Times New Roman"/>
                <w:b/>
                <w:bCs/>
                <w:sz w:val="21"/>
                <w:szCs w:val="21"/>
              </w:rPr>
              <w:t>2029</w:t>
            </w:r>
            <w:r w:rsidRPr="00B4515A">
              <w:rPr>
                <w:rFonts w:ascii="Times New Roman" w:hAnsi="Times New Roman" w:cs="Times New Roman"/>
                <w:b/>
                <w:bCs/>
                <w:sz w:val="21"/>
                <w:szCs w:val="21"/>
              </w:rPr>
              <w:t>年</w:t>
            </w:r>
          </w:p>
        </w:tc>
      </w:tr>
      <w:tr w:rsidR="001C2353" w:rsidRPr="00B4515A" w14:paraId="08CF8BDC" w14:textId="77777777" w:rsidTr="00EE238F">
        <w:trPr>
          <w:trHeight w:val="340"/>
          <w:jc w:val="center"/>
        </w:trPr>
        <w:tc>
          <w:tcPr>
            <w:tcW w:w="748" w:type="pct"/>
            <w:tcMar>
              <w:top w:w="0" w:type="dxa"/>
              <w:left w:w="108" w:type="dxa"/>
              <w:bottom w:w="0" w:type="dxa"/>
              <w:right w:w="108" w:type="dxa"/>
            </w:tcMar>
            <w:vAlign w:val="center"/>
          </w:tcPr>
          <w:p w14:paraId="06CF53EB" w14:textId="77777777" w:rsidR="006416B0" w:rsidRPr="00B4515A" w:rsidRDefault="005E58C1" w:rsidP="005860B4">
            <w:pPr>
              <w:adjustRightInd w:val="0"/>
              <w:snapToGrid w:val="0"/>
              <w:jc w:val="center"/>
              <w:textAlignment w:val="bottom"/>
              <w:rPr>
                <w:rFonts w:ascii="Times New Roman" w:hAnsi="Times New Roman" w:cs="Times New Roman"/>
                <w:b/>
                <w:bCs/>
                <w:sz w:val="21"/>
                <w:szCs w:val="21"/>
              </w:rPr>
            </w:pPr>
            <w:r w:rsidRPr="00B4515A">
              <w:rPr>
                <w:rFonts w:ascii="Times New Roman" w:hAnsi="Times New Roman" w:cs="Times New Roman"/>
                <w:b/>
                <w:bCs/>
                <w:sz w:val="21"/>
                <w:szCs w:val="21"/>
              </w:rPr>
              <w:t>营运资金增加额</w:t>
            </w:r>
          </w:p>
        </w:tc>
        <w:tc>
          <w:tcPr>
            <w:tcW w:w="588" w:type="pct"/>
            <w:tcMar>
              <w:top w:w="0" w:type="dxa"/>
              <w:left w:w="108" w:type="dxa"/>
              <w:bottom w:w="0" w:type="dxa"/>
              <w:right w:w="108" w:type="dxa"/>
            </w:tcMar>
            <w:vAlign w:val="center"/>
          </w:tcPr>
          <w:p w14:paraId="5AD30B8D"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sz w:val="21"/>
                <w:szCs w:val="21"/>
              </w:rPr>
              <w:t xml:space="preserve">2,212.73 </w:t>
            </w:r>
          </w:p>
        </w:tc>
        <w:tc>
          <w:tcPr>
            <w:tcW w:w="480" w:type="pct"/>
            <w:tcMar>
              <w:top w:w="0" w:type="dxa"/>
              <w:left w:w="108" w:type="dxa"/>
              <w:bottom w:w="0" w:type="dxa"/>
              <w:right w:w="108" w:type="dxa"/>
            </w:tcMar>
            <w:vAlign w:val="center"/>
          </w:tcPr>
          <w:p w14:paraId="6D6F0E5D"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sz w:val="21"/>
                <w:szCs w:val="21"/>
              </w:rPr>
              <w:t xml:space="preserve">1,818.70 </w:t>
            </w:r>
          </w:p>
        </w:tc>
        <w:tc>
          <w:tcPr>
            <w:tcW w:w="480" w:type="pct"/>
            <w:tcMar>
              <w:top w:w="0" w:type="dxa"/>
              <w:left w:w="108" w:type="dxa"/>
              <w:bottom w:w="0" w:type="dxa"/>
              <w:right w:w="108" w:type="dxa"/>
            </w:tcMar>
            <w:vAlign w:val="center"/>
          </w:tcPr>
          <w:p w14:paraId="58870670"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sz w:val="21"/>
                <w:szCs w:val="21"/>
              </w:rPr>
              <w:t xml:space="preserve">1,909.95 </w:t>
            </w:r>
          </w:p>
        </w:tc>
        <w:tc>
          <w:tcPr>
            <w:tcW w:w="480" w:type="pct"/>
            <w:tcMar>
              <w:top w:w="0" w:type="dxa"/>
              <w:left w:w="108" w:type="dxa"/>
              <w:bottom w:w="0" w:type="dxa"/>
              <w:right w:w="108" w:type="dxa"/>
            </w:tcMar>
            <w:vAlign w:val="center"/>
          </w:tcPr>
          <w:p w14:paraId="4F0ECBE1"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sz w:val="21"/>
                <w:szCs w:val="21"/>
              </w:rPr>
              <w:t xml:space="preserve">3,018.26 </w:t>
            </w:r>
          </w:p>
        </w:tc>
        <w:tc>
          <w:tcPr>
            <w:tcW w:w="480" w:type="pct"/>
            <w:tcMar>
              <w:top w:w="0" w:type="dxa"/>
              <w:left w:w="108" w:type="dxa"/>
              <w:bottom w:w="0" w:type="dxa"/>
              <w:right w:w="108" w:type="dxa"/>
            </w:tcMar>
            <w:vAlign w:val="center"/>
          </w:tcPr>
          <w:p w14:paraId="05B064BD" w14:textId="77777777" w:rsidR="006416B0" w:rsidRPr="00B4515A" w:rsidRDefault="005E58C1" w:rsidP="005860B4">
            <w:pPr>
              <w:adjustRightInd w:val="0"/>
              <w:snapToGrid w:val="0"/>
              <w:jc w:val="right"/>
              <w:textAlignment w:val="center"/>
              <w:rPr>
                <w:rFonts w:ascii="Times New Roman" w:hAnsi="Times New Roman" w:cs="Times New Roman"/>
                <w:b/>
                <w:bCs/>
                <w:sz w:val="21"/>
                <w:szCs w:val="21"/>
              </w:rPr>
            </w:pPr>
            <w:r w:rsidRPr="00B4515A">
              <w:rPr>
                <w:rFonts w:ascii="Times New Roman" w:hAnsi="Times New Roman" w:cs="Times New Roman"/>
                <w:b/>
                <w:sz w:val="21"/>
                <w:szCs w:val="21"/>
              </w:rPr>
              <w:t xml:space="preserve">3,645.50 </w:t>
            </w:r>
          </w:p>
        </w:tc>
        <w:tc>
          <w:tcPr>
            <w:tcW w:w="416" w:type="pct"/>
            <w:tcMar>
              <w:top w:w="0" w:type="dxa"/>
              <w:left w:w="108" w:type="dxa"/>
              <w:bottom w:w="0" w:type="dxa"/>
              <w:right w:w="108" w:type="dxa"/>
            </w:tcMar>
            <w:vAlign w:val="center"/>
          </w:tcPr>
          <w:p w14:paraId="5B154CA6" w14:textId="77777777" w:rsidR="006416B0" w:rsidRPr="00B4515A" w:rsidRDefault="005E58C1" w:rsidP="005860B4">
            <w:pPr>
              <w:adjustRightInd w:val="0"/>
              <w:snapToGrid w:val="0"/>
              <w:jc w:val="right"/>
              <w:textAlignment w:val="center"/>
              <w:rPr>
                <w:rFonts w:ascii="Times New Roman" w:hAnsi="Times New Roman" w:cs="Times New Roman"/>
                <w:b/>
                <w:kern w:val="2"/>
                <w:sz w:val="21"/>
                <w:szCs w:val="21"/>
              </w:rPr>
            </w:pPr>
            <w:r w:rsidRPr="00B4515A">
              <w:rPr>
                <w:rFonts w:ascii="Times New Roman" w:hAnsi="Times New Roman" w:cs="Times New Roman"/>
                <w:b/>
                <w:sz w:val="21"/>
                <w:szCs w:val="21"/>
              </w:rPr>
              <w:t xml:space="preserve">0.00 </w:t>
            </w:r>
          </w:p>
        </w:tc>
        <w:tc>
          <w:tcPr>
            <w:tcW w:w="426" w:type="pct"/>
            <w:tcMar>
              <w:top w:w="0" w:type="dxa"/>
              <w:left w:w="108" w:type="dxa"/>
              <w:bottom w:w="0" w:type="dxa"/>
              <w:right w:w="108" w:type="dxa"/>
            </w:tcMar>
            <w:vAlign w:val="center"/>
          </w:tcPr>
          <w:p w14:paraId="5B2A59AA" w14:textId="77777777" w:rsidR="006416B0" w:rsidRPr="00B4515A" w:rsidRDefault="005E58C1" w:rsidP="005860B4">
            <w:pPr>
              <w:adjustRightInd w:val="0"/>
              <w:snapToGrid w:val="0"/>
              <w:jc w:val="right"/>
              <w:textAlignment w:val="center"/>
              <w:rPr>
                <w:rFonts w:ascii="Times New Roman" w:hAnsi="Times New Roman" w:cs="Times New Roman"/>
                <w:b/>
                <w:sz w:val="21"/>
                <w:szCs w:val="21"/>
              </w:rPr>
            </w:pPr>
            <w:r w:rsidRPr="00B4515A">
              <w:rPr>
                <w:rFonts w:ascii="Times New Roman" w:hAnsi="Times New Roman" w:cs="Times New Roman"/>
                <w:b/>
                <w:sz w:val="21"/>
                <w:szCs w:val="21"/>
              </w:rPr>
              <w:t xml:space="preserve">0.00 </w:t>
            </w:r>
          </w:p>
        </w:tc>
        <w:tc>
          <w:tcPr>
            <w:tcW w:w="473" w:type="pct"/>
            <w:tcMar>
              <w:top w:w="0" w:type="dxa"/>
              <w:left w:w="108" w:type="dxa"/>
              <w:bottom w:w="0" w:type="dxa"/>
              <w:right w:w="108" w:type="dxa"/>
            </w:tcMar>
            <w:vAlign w:val="center"/>
          </w:tcPr>
          <w:p w14:paraId="02BEB50A" w14:textId="77777777" w:rsidR="006416B0" w:rsidRPr="00B4515A" w:rsidRDefault="005E58C1" w:rsidP="005860B4">
            <w:pPr>
              <w:adjustRightInd w:val="0"/>
              <w:snapToGrid w:val="0"/>
              <w:jc w:val="right"/>
              <w:textAlignment w:val="center"/>
              <w:rPr>
                <w:rFonts w:ascii="Times New Roman" w:hAnsi="Times New Roman" w:cs="Times New Roman"/>
                <w:b/>
                <w:sz w:val="21"/>
                <w:szCs w:val="21"/>
              </w:rPr>
            </w:pPr>
            <w:r w:rsidRPr="00B4515A">
              <w:rPr>
                <w:rFonts w:ascii="Times New Roman" w:hAnsi="Times New Roman" w:cs="Times New Roman"/>
                <w:b/>
                <w:sz w:val="21"/>
                <w:szCs w:val="21"/>
              </w:rPr>
              <w:t xml:space="preserve">0.00 </w:t>
            </w:r>
          </w:p>
        </w:tc>
        <w:tc>
          <w:tcPr>
            <w:tcW w:w="429" w:type="pct"/>
            <w:tcMar>
              <w:top w:w="0" w:type="dxa"/>
              <w:left w:w="108" w:type="dxa"/>
              <w:bottom w:w="0" w:type="dxa"/>
              <w:right w:w="108" w:type="dxa"/>
            </w:tcMar>
            <w:vAlign w:val="center"/>
          </w:tcPr>
          <w:p w14:paraId="6933F1C9" w14:textId="77777777" w:rsidR="006416B0" w:rsidRPr="00B4515A" w:rsidRDefault="005E58C1" w:rsidP="005860B4">
            <w:pPr>
              <w:adjustRightInd w:val="0"/>
              <w:snapToGrid w:val="0"/>
              <w:jc w:val="right"/>
              <w:textAlignment w:val="center"/>
              <w:rPr>
                <w:rFonts w:ascii="Times New Roman" w:hAnsi="Times New Roman" w:cs="Times New Roman"/>
                <w:b/>
                <w:sz w:val="21"/>
                <w:szCs w:val="21"/>
              </w:rPr>
            </w:pPr>
            <w:r w:rsidRPr="00B4515A">
              <w:rPr>
                <w:rFonts w:ascii="Times New Roman" w:hAnsi="Times New Roman" w:cs="Times New Roman"/>
                <w:b/>
                <w:sz w:val="21"/>
                <w:szCs w:val="21"/>
              </w:rPr>
              <w:t xml:space="preserve">365.67 </w:t>
            </w:r>
          </w:p>
        </w:tc>
      </w:tr>
    </w:tbl>
    <w:p w14:paraId="1D352741" w14:textId="77777777" w:rsidR="006416B0" w:rsidRPr="00B4515A" w:rsidRDefault="005E58C1" w:rsidP="005860B4">
      <w:pPr>
        <w:pStyle w:val="005"/>
        <w:spacing w:before="120" w:after="120"/>
        <w:ind w:firstLine="480"/>
      </w:pPr>
      <w:r w:rsidRPr="00B4515A">
        <w:t>15</w:t>
      </w:r>
      <w:r w:rsidRPr="00B4515A">
        <w:t>）企业自由现金流量表的编制</w:t>
      </w:r>
    </w:p>
    <w:p w14:paraId="1B2FA229" w14:textId="77777777" w:rsidR="006416B0" w:rsidRPr="00B4515A" w:rsidRDefault="005E58C1" w:rsidP="005860B4">
      <w:pPr>
        <w:pStyle w:val="005"/>
        <w:spacing w:before="120" w:after="120"/>
        <w:ind w:firstLine="480"/>
      </w:pPr>
      <w:r w:rsidRPr="00B4515A">
        <w:t>本次评估，使用企业的自由现金流量作为评估对象的收益指标，其基本定义为：</w:t>
      </w:r>
    </w:p>
    <w:p w14:paraId="0D6CC58E" w14:textId="77777777" w:rsidR="006416B0" w:rsidRPr="00B4515A" w:rsidRDefault="005E58C1" w:rsidP="005860B4">
      <w:pPr>
        <w:pStyle w:val="005"/>
        <w:spacing w:before="120" w:after="120"/>
        <w:ind w:firstLine="480"/>
      </w:pPr>
      <w:r w:rsidRPr="00B4515A">
        <w:t>R</w:t>
      </w:r>
      <w:r w:rsidRPr="00B4515A">
        <w:t>＝净利润＋税后的付息债务利息＋折旧和摊销－资本性支出－营运资金增加</w:t>
      </w:r>
    </w:p>
    <w:p w14:paraId="20E39714" w14:textId="11752FA6" w:rsidR="006416B0" w:rsidRPr="00B4515A" w:rsidRDefault="005E58C1" w:rsidP="005860B4">
      <w:pPr>
        <w:pStyle w:val="005"/>
        <w:spacing w:before="120" w:after="120"/>
        <w:ind w:firstLine="480"/>
      </w:pPr>
      <w:r w:rsidRPr="00B4515A">
        <w:t>根据评估对象的经营历史以及未来盈利预测，估算其未来预期的自由现金流量。将未来经营期内的自由现金流量进行折现处理并加和，测算得到企业经营性资产价值。</w:t>
      </w:r>
    </w:p>
    <w:p w14:paraId="5627A079" w14:textId="77777777" w:rsidR="006416B0" w:rsidRPr="00B4515A" w:rsidRDefault="005E58C1" w:rsidP="005860B4">
      <w:pPr>
        <w:pStyle w:val="009"/>
      </w:pPr>
      <w:r w:rsidRPr="00B4515A">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876"/>
        <w:gridCol w:w="1176"/>
        <w:gridCol w:w="1176"/>
        <w:gridCol w:w="1176"/>
        <w:gridCol w:w="1296"/>
        <w:gridCol w:w="1296"/>
        <w:gridCol w:w="1296"/>
        <w:gridCol w:w="1296"/>
        <w:gridCol w:w="1296"/>
        <w:gridCol w:w="1290"/>
      </w:tblGrid>
      <w:tr w:rsidR="006416B0" w:rsidRPr="00B4515A" w14:paraId="66449AB3" w14:textId="77777777" w:rsidTr="005860B4">
        <w:trPr>
          <w:trHeight w:val="340"/>
          <w:tblHeader/>
          <w:jc w:val="center"/>
        </w:trPr>
        <w:tc>
          <w:tcPr>
            <w:tcW w:w="1015" w:type="pct"/>
            <w:shd w:val="clear" w:color="auto" w:fill="auto"/>
            <w:tcMar>
              <w:top w:w="0" w:type="dxa"/>
              <w:left w:w="108" w:type="dxa"/>
              <w:bottom w:w="0" w:type="dxa"/>
              <w:right w:w="108" w:type="dxa"/>
            </w:tcMar>
            <w:vAlign w:val="center"/>
          </w:tcPr>
          <w:p w14:paraId="4944235D"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项目</w:t>
            </w:r>
            <w:r w:rsidRPr="00B4515A">
              <w:rPr>
                <w:rFonts w:ascii="Times New Roman" w:hAnsi="Times New Roman" w:cs="Times New Roman"/>
                <w:b/>
                <w:bCs/>
                <w:color w:val="000000" w:themeColor="text1"/>
                <w:sz w:val="21"/>
                <w:szCs w:val="21"/>
              </w:rPr>
              <w:t xml:space="preserve"> \ </w:t>
            </w:r>
            <w:r w:rsidRPr="00B4515A">
              <w:rPr>
                <w:rFonts w:ascii="Times New Roman" w:hAnsi="Times New Roman" w:cs="Times New Roman"/>
                <w:b/>
                <w:bCs/>
                <w:color w:val="000000" w:themeColor="text1"/>
                <w:sz w:val="21"/>
                <w:szCs w:val="21"/>
              </w:rPr>
              <w:t>年份</w:t>
            </w:r>
          </w:p>
        </w:tc>
        <w:tc>
          <w:tcPr>
            <w:tcW w:w="415" w:type="pct"/>
            <w:shd w:val="clear" w:color="auto" w:fill="auto"/>
            <w:tcMar>
              <w:top w:w="0" w:type="dxa"/>
              <w:left w:w="108" w:type="dxa"/>
              <w:bottom w:w="0" w:type="dxa"/>
              <w:right w:w="108" w:type="dxa"/>
            </w:tcMar>
            <w:vAlign w:val="center"/>
          </w:tcPr>
          <w:p w14:paraId="560D85B8"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2021</w:t>
            </w:r>
            <w:r w:rsidRPr="00B4515A">
              <w:rPr>
                <w:rFonts w:ascii="Times New Roman" w:hAnsi="Times New Roman" w:cs="Times New Roman"/>
                <w:b/>
                <w:bCs/>
                <w:color w:val="000000" w:themeColor="text1"/>
                <w:sz w:val="21"/>
                <w:szCs w:val="21"/>
              </w:rPr>
              <w:t>全年</w:t>
            </w:r>
          </w:p>
        </w:tc>
        <w:tc>
          <w:tcPr>
            <w:tcW w:w="415" w:type="pct"/>
            <w:shd w:val="clear" w:color="auto" w:fill="auto"/>
            <w:tcMar>
              <w:top w:w="0" w:type="dxa"/>
              <w:left w:w="108" w:type="dxa"/>
              <w:bottom w:w="0" w:type="dxa"/>
              <w:right w:w="108" w:type="dxa"/>
            </w:tcMar>
            <w:vAlign w:val="center"/>
          </w:tcPr>
          <w:p w14:paraId="5FCFC300"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2022</w:t>
            </w:r>
            <w:r w:rsidRPr="00B4515A">
              <w:rPr>
                <w:rFonts w:ascii="Times New Roman" w:hAnsi="Times New Roman" w:cs="Times New Roman" w:hint="eastAsia"/>
                <w:b/>
                <w:bCs/>
                <w:color w:val="000000" w:themeColor="text1"/>
                <w:sz w:val="21"/>
                <w:szCs w:val="21"/>
              </w:rPr>
              <w:t>年</w:t>
            </w:r>
          </w:p>
        </w:tc>
        <w:tc>
          <w:tcPr>
            <w:tcW w:w="415" w:type="pct"/>
            <w:shd w:val="clear" w:color="auto" w:fill="auto"/>
            <w:tcMar>
              <w:top w:w="0" w:type="dxa"/>
              <w:left w:w="108" w:type="dxa"/>
              <w:bottom w:w="0" w:type="dxa"/>
              <w:right w:w="108" w:type="dxa"/>
            </w:tcMar>
            <w:vAlign w:val="center"/>
          </w:tcPr>
          <w:p w14:paraId="4078CB10"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2023</w:t>
            </w:r>
            <w:r w:rsidRPr="00B4515A">
              <w:rPr>
                <w:rFonts w:ascii="Times New Roman" w:hAnsi="Times New Roman" w:cs="Times New Roman" w:hint="eastAsia"/>
                <w:b/>
                <w:bCs/>
                <w:color w:val="000000" w:themeColor="text1"/>
                <w:sz w:val="21"/>
                <w:szCs w:val="21"/>
              </w:rPr>
              <w:t>年</w:t>
            </w:r>
          </w:p>
        </w:tc>
        <w:tc>
          <w:tcPr>
            <w:tcW w:w="457" w:type="pct"/>
            <w:shd w:val="clear" w:color="auto" w:fill="auto"/>
            <w:tcMar>
              <w:top w:w="0" w:type="dxa"/>
              <w:left w:w="108" w:type="dxa"/>
              <w:bottom w:w="0" w:type="dxa"/>
              <w:right w:w="108" w:type="dxa"/>
            </w:tcMar>
            <w:vAlign w:val="center"/>
          </w:tcPr>
          <w:p w14:paraId="75130C83"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2024</w:t>
            </w:r>
            <w:r w:rsidRPr="00B4515A">
              <w:rPr>
                <w:rFonts w:ascii="Times New Roman" w:hAnsi="Times New Roman" w:cs="Times New Roman" w:hint="eastAsia"/>
                <w:b/>
                <w:bCs/>
                <w:color w:val="000000" w:themeColor="text1"/>
                <w:sz w:val="21"/>
                <w:szCs w:val="21"/>
              </w:rPr>
              <w:t>年</w:t>
            </w:r>
          </w:p>
        </w:tc>
        <w:tc>
          <w:tcPr>
            <w:tcW w:w="457" w:type="pct"/>
            <w:shd w:val="clear" w:color="auto" w:fill="auto"/>
            <w:tcMar>
              <w:top w:w="0" w:type="dxa"/>
              <w:left w:w="108" w:type="dxa"/>
              <w:bottom w:w="0" w:type="dxa"/>
              <w:right w:w="108" w:type="dxa"/>
            </w:tcMar>
            <w:vAlign w:val="center"/>
          </w:tcPr>
          <w:p w14:paraId="76D3E669"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2025</w:t>
            </w:r>
            <w:r w:rsidRPr="00B4515A">
              <w:rPr>
                <w:rFonts w:ascii="Times New Roman" w:hAnsi="Times New Roman" w:cs="Times New Roman" w:hint="eastAsia"/>
                <w:b/>
                <w:bCs/>
                <w:color w:val="000000" w:themeColor="text1"/>
                <w:sz w:val="21"/>
                <w:szCs w:val="21"/>
              </w:rPr>
              <w:t>年</w:t>
            </w:r>
          </w:p>
        </w:tc>
        <w:tc>
          <w:tcPr>
            <w:tcW w:w="457" w:type="pct"/>
            <w:shd w:val="clear" w:color="auto" w:fill="auto"/>
            <w:tcMar>
              <w:top w:w="0" w:type="dxa"/>
              <w:left w:w="108" w:type="dxa"/>
              <w:bottom w:w="0" w:type="dxa"/>
              <w:right w:w="108" w:type="dxa"/>
            </w:tcMar>
            <w:vAlign w:val="center"/>
          </w:tcPr>
          <w:p w14:paraId="3A3B4ED8"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2026</w:t>
            </w:r>
            <w:r w:rsidRPr="00B4515A">
              <w:rPr>
                <w:rFonts w:ascii="Times New Roman" w:hAnsi="Times New Roman" w:cs="Times New Roman" w:hint="eastAsia"/>
                <w:b/>
                <w:bCs/>
                <w:color w:val="000000" w:themeColor="text1"/>
                <w:sz w:val="21"/>
                <w:szCs w:val="21"/>
              </w:rPr>
              <w:t>年</w:t>
            </w:r>
          </w:p>
        </w:tc>
        <w:tc>
          <w:tcPr>
            <w:tcW w:w="457" w:type="pct"/>
            <w:shd w:val="clear" w:color="auto" w:fill="auto"/>
            <w:tcMar>
              <w:top w:w="0" w:type="dxa"/>
              <w:left w:w="108" w:type="dxa"/>
              <w:bottom w:w="0" w:type="dxa"/>
              <w:right w:w="108" w:type="dxa"/>
            </w:tcMar>
            <w:vAlign w:val="center"/>
          </w:tcPr>
          <w:p w14:paraId="104C8253"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2027</w:t>
            </w:r>
            <w:r w:rsidRPr="00B4515A">
              <w:rPr>
                <w:rFonts w:ascii="Times New Roman" w:hAnsi="Times New Roman" w:cs="Times New Roman" w:hint="eastAsia"/>
                <w:b/>
                <w:bCs/>
                <w:color w:val="000000" w:themeColor="text1"/>
                <w:sz w:val="21"/>
                <w:szCs w:val="21"/>
              </w:rPr>
              <w:t>年</w:t>
            </w:r>
          </w:p>
        </w:tc>
        <w:tc>
          <w:tcPr>
            <w:tcW w:w="457" w:type="pct"/>
            <w:shd w:val="clear" w:color="auto" w:fill="auto"/>
            <w:tcMar>
              <w:top w:w="0" w:type="dxa"/>
              <w:left w:w="108" w:type="dxa"/>
              <w:bottom w:w="0" w:type="dxa"/>
              <w:right w:w="108" w:type="dxa"/>
            </w:tcMar>
            <w:vAlign w:val="center"/>
          </w:tcPr>
          <w:p w14:paraId="62305310"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2028</w:t>
            </w:r>
            <w:r w:rsidRPr="00B4515A">
              <w:rPr>
                <w:rFonts w:ascii="Times New Roman" w:hAnsi="Times New Roman" w:cs="Times New Roman" w:hint="eastAsia"/>
                <w:b/>
                <w:bCs/>
                <w:color w:val="000000" w:themeColor="text1"/>
                <w:sz w:val="21"/>
                <w:szCs w:val="21"/>
              </w:rPr>
              <w:t>年</w:t>
            </w:r>
          </w:p>
        </w:tc>
        <w:tc>
          <w:tcPr>
            <w:tcW w:w="457" w:type="pct"/>
            <w:shd w:val="clear" w:color="auto" w:fill="auto"/>
            <w:tcMar>
              <w:top w:w="0" w:type="dxa"/>
              <w:left w:w="108" w:type="dxa"/>
              <w:bottom w:w="0" w:type="dxa"/>
              <w:right w:w="108" w:type="dxa"/>
            </w:tcMar>
            <w:vAlign w:val="center"/>
          </w:tcPr>
          <w:p w14:paraId="72EF6D64"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2029</w:t>
            </w:r>
            <w:r w:rsidRPr="00B4515A">
              <w:rPr>
                <w:rFonts w:ascii="Times New Roman" w:hAnsi="Times New Roman" w:cs="Times New Roman" w:hint="eastAsia"/>
                <w:b/>
                <w:bCs/>
                <w:color w:val="000000" w:themeColor="text1"/>
                <w:sz w:val="21"/>
                <w:szCs w:val="21"/>
              </w:rPr>
              <w:t>年</w:t>
            </w:r>
          </w:p>
        </w:tc>
      </w:tr>
      <w:tr w:rsidR="006416B0" w:rsidRPr="00B4515A" w14:paraId="79922D8A"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70EFAB27" w14:textId="77777777" w:rsidR="006416B0" w:rsidRPr="00B4515A" w:rsidRDefault="005E58C1" w:rsidP="005860B4">
            <w:pPr>
              <w:adjustRightInd w:val="0"/>
              <w:snapToGrid w:val="0"/>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一、营业收入</w:t>
            </w:r>
          </w:p>
        </w:tc>
        <w:tc>
          <w:tcPr>
            <w:tcW w:w="415" w:type="pct"/>
            <w:shd w:val="clear" w:color="auto" w:fill="auto"/>
            <w:tcMar>
              <w:top w:w="0" w:type="dxa"/>
              <w:left w:w="108" w:type="dxa"/>
              <w:bottom w:w="0" w:type="dxa"/>
              <w:right w:w="108" w:type="dxa"/>
            </w:tcMar>
            <w:vAlign w:val="center"/>
          </w:tcPr>
          <w:p w14:paraId="3585E71D"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 xml:space="preserve">61,301.14 </w:t>
            </w:r>
          </w:p>
        </w:tc>
        <w:tc>
          <w:tcPr>
            <w:tcW w:w="415" w:type="pct"/>
            <w:shd w:val="clear" w:color="auto" w:fill="auto"/>
            <w:tcMar>
              <w:top w:w="0" w:type="dxa"/>
              <w:left w:w="108" w:type="dxa"/>
              <w:bottom w:w="0" w:type="dxa"/>
              <w:right w:w="108" w:type="dxa"/>
            </w:tcMar>
            <w:vAlign w:val="center"/>
          </w:tcPr>
          <w:p w14:paraId="6D000565"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 xml:space="preserve">75,300.00 </w:t>
            </w:r>
          </w:p>
        </w:tc>
        <w:tc>
          <w:tcPr>
            <w:tcW w:w="415" w:type="pct"/>
            <w:shd w:val="clear" w:color="auto" w:fill="auto"/>
            <w:tcMar>
              <w:top w:w="0" w:type="dxa"/>
              <w:left w:w="108" w:type="dxa"/>
              <w:bottom w:w="0" w:type="dxa"/>
              <w:right w:w="108" w:type="dxa"/>
            </w:tcMar>
            <w:vAlign w:val="center"/>
          </w:tcPr>
          <w:p w14:paraId="34DBE6EF"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 xml:space="preserve">90,200.00 </w:t>
            </w:r>
          </w:p>
        </w:tc>
        <w:tc>
          <w:tcPr>
            <w:tcW w:w="457" w:type="pct"/>
            <w:shd w:val="clear" w:color="auto" w:fill="auto"/>
            <w:tcMar>
              <w:top w:w="0" w:type="dxa"/>
              <w:left w:w="108" w:type="dxa"/>
              <w:bottom w:w="0" w:type="dxa"/>
              <w:right w:w="108" w:type="dxa"/>
            </w:tcMar>
            <w:vAlign w:val="center"/>
          </w:tcPr>
          <w:p w14:paraId="73372062"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 xml:space="preserve">107,800.00 </w:t>
            </w:r>
          </w:p>
        </w:tc>
        <w:tc>
          <w:tcPr>
            <w:tcW w:w="457" w:type="pct"/>
            <w:shd w:val="clear" w:color="auto" w:fill="auto"/>
            <w:tcMar>
              <w:top w:w="0" w:type="dxa"/>
              <w:left w:w="108" w:type="dxa"/>
              <w:bottom w:w="0" w:type="dxa"/>
              <w:right w:w="108" w:type="dxa"/>
            </w:tcMar>
            <w:vAlign w:val="center"/>
          </w:tcPr>
          <w:p w14:paraId="24E24D55"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 xml:space="preserve">131,300.00 </w:t>
            </w:r>
          </w:p>
        </w:tc>
        <w:tc>
          <w:tcPr>
            <w:tcW w:w="457" w:type="pct"/>
            <w:shd w:val="clear" w:color="auto" w:fill="auto"/>
            <w:tcMar>
              <w:top w:w="0" w:type="dxa"/>
              <w:left w:w="108" w:type="dxa"/>
              <w:bottom w:w="0" w:type="dxa"/>
              <w:right w:w="108" w:type="dxa"/>
            </w:tcMar>
            <w:vAlign w:val="center"/>
          </w:tcPr>
          <w:p w14:paraId="18BD87EE"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 xml:space="preserve">131,300.00 </w:t>
            </w:r>
          </w:p>
        </w:tc>
        <w:tc>
          <w:tcPr>
            <w:tcW w:w="457" w:type="pct"/>
            <w:shd w:val="clear" w:color="auto" w:fill="auto"/>
            <w:tcMar>
              <w:top w:w="0" w:type="dxa"/>
              <w:left w:w="108" w:type="dxa"/>
              <w:bottom w:w="0" w:type="dxa"/>
              <w:right w:w="108" w:type="dxa"/>
            </w:tcMar>
            <w:vAlign w:val="center"/>
          </w:tcPr>
          <w:p w14:paraId="3A1464F7"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 xml:space="preserve">131,300.00 </w:t>
            </w:r>
          </w:p>
        </w:tc>
        <w:tc>
          <w:tcPr>
            <w:tcW w:w="457" w:type="pct"/>
            <w:shd w:val="clear" w:color="auto" w:fill="auto"/>
            <w:tcMar>
              <w:top w:w="0" w:type="dxa"/>
              <w:left w:w="108" w:type="dxa"/>
              <w:bottom w:w="0" w:type="dxa"/>
              <w:right w:w="108" w:type="dxa"/>
            </w:tcMar>
            <w:vAlign w:val="center"/>
          </w:tcPr>
          <w:p w14:paraId="3B7237B7"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 xml:space="preserve">131,300.00 </w:t>
            </w:r>
          </w:p>
        </w:tc>
        <w:tc>
          <w:tcPr>
            <w:tcW w:w="457" w:type="pct"/>
            <w:shd w:val="clear" w:color="auto" w:fill="auto"/>
            <w:tcMar>
              <w:top w:w="0" w:type="dxa"/>
              <w:left w:w="108" w:type="dxa"/>
              <w:bottom w:w="0" w:type="dxa"/>
              <w:right w:w="108" w:type="dxa"/>
            </w:tcMar>
            <w:vAlign w:val="center"/>
          </w:tcPr>
          <w:p w14:paraId="27D0351C"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 xml:space="preserve">131,300.00 </w:t>
            </w:r>
          </w:p>
        </w:tc>
      </w:tr>
      <w:tr w:rsidR="006416B0" w:rsidRPr="00B4515A" w14:paraId="0E7B637D"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77E9F413"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lastRenderedPageBreak/>
              <w:t>减：营业成本</w:t>
            </w:r>
          </w:p>
        </w:tc>
        <w:tc>
          <w:tcPr>
            <w:tcW w:w="415" w:type="pct"/>
            <w:shd w:val="clear" w:color="auto" w:fill="auto"/>
            <w:tcMar>
              <w:top w:w="0" w:type="dxa"/>
              <w:left w:w="108" w:type="dxa"/>
              <w:bottom w:w="0" w:type="dxa"/>
              <w:right w:w="108" w:type="dxa"/>
            </w:tcMar>
            <w:vAlign w:val="center"/>
          </w:tcPr>
          <w:p w14:paraId="6545814C"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31,824.86 </w:t>
            </w:r>
          </w:p>
        </w:tc>
        <w:tc>
          <w:tcPr>
            <w:tcW w:w="415" w:type="pct"/>
            <w:shd w:val="clear" w:color="auto" w:fill="auto"/>
            <w:tcMar>
              <w:top w:w="0" w:type="dxa"/>
              <w:left w:w="108" w:type="dxa"/>
              <w:bottom w:w="0" w:type="dxa"/>
              <w:right w:w="108" w:type="dxa"/>
            </w:tcMar>
            <w:vAlign w:val="center"/>
          </w:tcPr>
          <w:p w14:paraId="367E3F50"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39,702.98 </w:t>
            </w:r>
          </w:p>
        </w:tc>
        <w:tc>
          <w:tcPr>
            <w:tcW w:w="415" w:type="pct"/>
            <w:shd w:val="clear" w:color="auto" w:fill="auto"/>
            <w:tcMar>
              <w:top w:w="0" w:type="dxa"/>
              <w:left w:w="108" w:type="dxa"/>
              <w:bottom w:w="0" w:type="dxa"/>
              <w:right w:w="108" w:type="dxa"/>
            </w:tcMar>
            <w:vAlign w:val="center"/>
          </w:tcPr>
          <w:p w14:paraId="244FBFD3"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48,366.44 </w:t>
            </w:r>
          </w:p>
        </w:tc>
        <w:tc>
          <w:tcPr>
            <w:tcW w:w="457" w:type="pct"/>
            <w:shd w:val="clear" w:color="auto" w:fill="auto"/>
            <w:tcMar>
              <w:top w:w="0" w:type="dxa"/>
              <w:left w:w="108" w:type="dxa"/>
              <w:bottom w:w="0" w:type="dxa"/>
              <w:right w:w="108" w:type="dxa"/>
            </w:tcMar>
            <w:vAlign w:val="center"/>
          </w:tcPr>
          <w:p w14:paraId="227EBA60"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57,549.47 </w:t>
            </w:r>
          </w:p>
        </w:tc>
        <w:tc>
          <w:tcPr>
            <w:tcW w:w="457" w:type="pct"/>
            <w:shd w:val="clear" w:color="auto" w:fill="auto"/>
            <w:tcMar>
              <w:top w:w="0" w:type="dxa"/>
              <w:left w:w="108" w:type="dxa"/>
              <w:bottom w:w="0" w:type="dxa"/>
              <w:right w:w="108" w:type="dxa"/>
            </w:tcMar>
            <w:vAlign w:val="center"/>
          </w:tcPr>
          <w:p w14:paraId="72C0BB9B"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70,054.05 </w:t>
            </w:r>
          </w:p>
        </w:tc>
        <w:tc>
          <w:tcPr>
            <w:tcW w:w="457" w:type="pct"/>
            <w:shd w:val="clear" w:color="auto" w:fill="auto"/>
            <w:tcMar>
              <w:top w:w="0" w:type="dxa"/>
              <w:left w:w="108" w:type="dxa"/>
              <w:bottom w:w="0" w:type="dxa"/>
              <w:right w:w="108" w:type="dxa"/>
            </w:tcMar>
            <w:vAlign w:val="center"/>
          </w:tcPr>
          <w:p w14:paraId="66EA1521"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70,054.05 </w:t>
            </w:r>
          </w:p>
        </w:tc>
        <w:tc>
          <w:tcPr>
            <w:tcW w:w="457" w:type="pct"/>
            <w:shd w:val="clear" w:color="auto" w:fill="auto"/>
            <w:tcMar>
              <w:top w:w="0" w:type="dxa"/>
              <w:left w:w="108" w:type="dxa"/>
              <w:bottom w:w="0" w:type="dxa"/>
              <w:right w:w="108" w:type="dxa"/>
            </w:tcMar>
            <w:vAlign w:val="center"/>
          </w:tcPr>
          <w:p w14:paraId="3D397B84"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70,054.05 </w:t>
            </w:r>
          </w:p>
        </w:tc>
        <w:tc>
          <w:tcPr>
            <w:tcW w:w="457" w:type="pct"/>
            <w:shd w:val="clear" w:color="auto" w:fill="auto"/>
            <w:tcMar>
              <w:top w:w="0" w:type="dxa"/>
              <w:left w:w="108" w:type="dxa"/>
              <w:bottom w:w="0" w:type="dxa"/>
              <w:right w:w="108" w:type="dxa"/>
            </w:tcMar>
            <w:vAlign w:val="center"/>
          </w:tcPr>
          <w:p w14:paraId="61443956"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70,054.05 </w:t>
            </w:r>
          </w:p>
        </w:tc>
        <w:tc>
          <w:tcPr>
            <w:tcW w:w="457" w:type="pct"/>
            <w:shd w:val="clear" w:color="auto" w:fill="auto"/>
            <w:tcMar>
              <w:top w:w="0" w:type="dxa"/>
              <w:left w:w="108" w:type="dxa"/>
              <w:bottom w:w="0" w:type="dxa"/>
              <w:right w:w="108" w:type="dxa"/>
            </w:tcMar>
            <w:vAlign w:val="center"/>
          </w:tcPr>
          <w:p w14:paraId="115895E6"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70,054.05 </w:t>
            </w:r>
          </w:p>
        </w:tc>
      </w:tr>
      <w:tr w:rsidR="006416B0" w:rsidRPr="00B4515A" w14:paraId="6CB741BC"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2EA4581A"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税金及附加</w:t>
            </w:r>
          </w:p>
        </w:tc>
        <w:tc>
          <w:tcPr>
            <w:tcW w:w="415" w:type="pct"/>
            <w:shd w:val="clear" w:color="auto" w:fill="auto"/>
            <w:tcMar>
              <w:top w:w="0" w:type="dxa"/>
              <w:left w:w="108" w:type="dxa"/>
              <w:bottom w:w="0" w:type="dxa"/>
              <w:right w:w="108" w:type="dxa"/>
            </w:tcMar>
            <w:vAlign w:val="center"/>
          </w:tcPr>
          <w:p w14:paraId="71D49EEE"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367.50 </w:t>
            </w:r>
          </w:p>
        </w:tc>
        <w:tc>
          <w:tcPr>
            <w:tcW w:w="415" w:type="pct"/>
            <w:shd w:val="clear" w:color="auto" w:fill="auto"/>
            <w:tcMar>
              <w:top w:w="0" w:type="dxa"/>
              <w:left w:w="108" w:type="dxa"/>
              <w:bottom w:w="0" w:type="dxa"/>
              <w:right w:w="108" w:type="dxa"/>
            </w:tcMar>
            <w:vAlign w:val="center"/>
          </w:tcPr>
          <w:p w14:paraId="04E2073A"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451.42 </w:t>
            </w:r>
          </w:p>
        </w:tc>
        <w:tc>
          <w:tcPr>
            <w:tcW w:w="415" w:type="pct"/>
            <w:shd w:val="clear" w:color="auto" w:fill="auto"/>
            <w:tcMar>
              <w:top w:w="0" w:type="dxa"/>
              <w:left w:w="108" w:type="dxa"/>
              <w:bottom w:w="0" w:type="dxa"/>
              <w:right w:w="108" w:type="dxa"/>
            </w:tcMar>
            <w:vAlign w:val="center"/>
          </w:tcPr>
          <w:p w14:paraId="6E3BEBCC"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540.75 </w:t>
            </w:r>
          </w:p>
        </w:tc>
        <w:tc>
          <w:tcPr>
            <w:tcW w:w="457" w:type="pct"/>
            <w:shd w:val="clear" w:color="auto" w:fill="auto"/>
            <w:tcMar>
              <w:top w:w="0" w:type="dxa"/>
              <w:left w:w="108" w:type="dxa"/>
              <w:bottom w:w="0" w:type="dxa"/>
              <w:right w:w="108" w:type="dxa"/>
            </w:tcMar>
            <w:vAlign w:val="center"/>
          </w:tcPr>
          <w:p w14:paraId="0BD1E600"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646.26 </w:t>
            </w:r>
          </w:p>
        </w:tc>
        <w:tc>
          <w:tcPr>
            <w:tcW w:w="457" w:type="pct"/>
            <w:shd w:val="clear" w:color="auto" w:fill="auto"/>
            <w:tcMar>
              <w:top w:w="0" w:type="dxa"/>
              <w:left w:w="108" w:type="dxa"/>
              <w:bottom w:w="0" w:type="dxa"/>
              <w:right w:w="108" w:type="dxa"/>
            </w:tcMar>
            <w:vAlign w:val="center"/>
          </w:tcPr>
          <w:p w14:paraId="0E714F44"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787.14 </w:t>
            </w:r>
          </w:p>
        </w:tc>
        <w:tc>
          <w:tcPr>
            <w:tcW w:w="457" w:type="pct"/>
            <w:shd w:val="clear" w:color="auto" w:fill="auto"/>
            <w:tcMar>
              <w:top w:w="0" w:type="dxa"/>
              <w:left w:w="108" w:type="dxa"/>
              <w:bottom w:w="0" w:type="dxa"/>
              <w:right w:w="108" w:type="dxa"/>
            </w:tcMar>
            <w:vAlign w:val="center"/>
          </w:tcPr>
          <w:p w14:paraId="2BFA9F33"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787.14 </w:t>
            </w:r>
          </w:p>
        </w:tc>
        <w:tc>
          <w:tcPr>
            <w:tcW w:w="457" w:type="pct"/>
            <w:shd w:val="clear" w:color="auto" w:fill="auto"/>
            <w:tcMar>
              <w:top w:w="0" w:type="dxa"/>
              <w:left w:w="108" w:type="dxa"/>
              <w:bottom w:w="0" w:type="dxa"/>
              <w:right w:w="108" w:type="dxa"/>
            </w:tcMar>
            <w:vAlign w:val="center"/>
          </w:tcPr>
          <w:p w14:paraId="48BA238B"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787.14 </w:t>
            </w:r>
          </w:p>
        </w:tc>
        <w:tc>
          <w:tcPr>
            <w:tcW w:w="457" w:type="pct"/>
            <w:shd w:val="clear" w:color="auto" w:fill="auto"/>
            <w:tcMar>
              <w:top w:w="0" w:type="dxa"/>
              <w:left w:w="108" w:type="dxa"/>
              <w:bottom w:w="0" w:type="dxa"/>
              <w:right w:w="108" w:type="dxa"/>
            </w:tcMar>
            <w:vAlign w:val="center"/>
          </w:tcPr>
          <w:p w14:paraId="27F2784B"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787.14 </w:t>
            </w:r>
          </w:p>
        </w:tc>
        <w:tc>
          <w:tcPr>
            <w:tcW w:w="457" w:type="pct"/>
            <w:shd w:val="clear" w:color="auto" w:fill="auto"/>
            <w:tcMar>
              <w:top w:w="0" w:type="dxa"/>
              <w:left w:w="108" w:type="dxa"/>
              <w:bottom w:w="0" w:type="dxa"/>
              <w:right w:w="108" w:type="dxa"/>
            </w:tcMar>
            <w:vAlign w:val="center"/>
          </w:tcPr>
          <w:p w14:paraId="1BFDA532"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787.14 </w:t>
            </w:r>
          </w:p>
        </w:tc>
      </w:tr>
      <w:tr w:rsidR="006416B0" w:rsidRPr="00B4515A" w14:paraId="786D2031"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4D61A994"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销售费用</w:t>
            </w:r>
          </w:p>
        </w:tc>
        <w:tc>
          <w:tcPr>
            <w:tcW w:w="415" w:type="pct"/>
            <w:shd w:val="clear" w:color="auto" w:fill="auto"/>
            <w:tcMar>
              <w:top w:w="0" w:type="dxa"/>
              <w:left w:w="108" w:type="dxa"/>
              <w:bottom w:w="0" w:type="dxa"/>
              <w:right w:w="108" w:type="dxa"/>
            </w:tcMar>
            <w:vAlign w:val="center"/>
          </w:tcPr>
          <w:p w14:paraId="36B37C57"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3,636.61 </w:t>
            </w:r>
          </w:p>
        </w:tc>
        <w:tc>
          <w:tcPr>
            <w:tcW w:w="415" w:type="pct"/>
            <w:shd w:val="clear" w:color="auto" w:fill="auto"/>
            <w:tcMar>
              <w:top w:w="0" w:type="dxa"/>
              <w:left w:w="108" w:type="dxa"/>
              <w:bottom w:w="0" w:type="dxa"/>
              <w:right w:w="108" w:type="dxa"/>
            </w:tcMar>
            <w:vAlign w:val="center"/>
          </w:tcPr>
          <w:p w14:paraId="1EB5ECD3"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4,462.56 </w:t>
            </w:r>
          </w:p>
        </w:tc>
        <w:tc>
          <w:tcPr>
            <w:tcW w:w="415" w:type="pct"/>
            <w:shd w:val="clear" w:color="auto" w:fill="auto"/>
            <w:tcMar>
              <w:top w:w="0" w:type="dxa"/>
              <w:left w:w="108" w:type="dxa"/>
              <w:bottom w:w="0" w:type="dxa"/>
              <w:right w:w="108" w:type="dxa"/>
            </w:tcMar>
            <w:vAlign w:val="center"/>
          </w:tcPr>
          <w:p w14:paraId="444B1E9D"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5,338.38 </w:t>
            </w:r>
          </w:p>
        </w:tc>
        <w:tc>
          <w:tcPr>
            <w:tcW w:w="457" w:type="pct"/>
            <w:shd w:val="clear" w:color="auto" w:fill="auto"/>
            <w:tcMar>
              <w:top w:w="0" w:type="dxa"/>
              <w:left w:w="108" w:type="dxa"/>
              <w:bottom w:w="0" w:type="dxa"/>
              <w:right w:w="108" w:type="dxa"/>
            </w:tcMar>
            <w:vAlign w:val="center"/>
          </w:tcPr>
          <w:p w14:paraId="10E23D36"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6,372.73 </w:t>
            </w:r>
          </w:p>
        </w:tc>
        <w:tc>
          <w:tcPr>
            <w:tcW w:w="457" w:type="pct"/>
            <w:shd w:val="clear" w:color="auto" w:fill="auto"/>
            <w:tcMar>
              <w:top w:w="0" w:type="dxa"/>
              <w:left w:w="108" w:type="dxa"/>
              <w:bottom w:w="0" w:type="dxa"/>
              <w:right w:w="108" w:type="dxa"/>
            </w:tcMar>
            <w:vAlign w:val="center"/>
          </w:tcPr>
          <w:p w14:paraId="525301BB"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7,753.42 </w:t>
            </w:r>
          </w:p>
        </w:tc>
        <w:tc>
          <w:tcPr>
            <w:tcW w:w="457" w:type="pct"/>
            <w:shd w:val="clear" w:color="auto" w:fill="auto"/>
            <w:tcMar>
              <w:top w:w="0" w:type="dxa"/>
              <w:left w:w="108" w:type="dxa"/>
              <w:bottom w:w="0" w:type="dxa"/>
              <w:right w:w="108" w:type="dxa"/>
            </w:tcMar>
            <w:vAlign w:val="center"/>
          </w:tcPr>
          <w:p w14:paraId="557636DA"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7,753.42 </w:t>
            </w:r>
          </w:p>
        </w:tc>
        <w:tc>
          <w:tcPr>
            <w:tcW w:w="457" w:type="pct"/>
            <w:shd w:val="clear" w:color="auto" w:fill="auto"/>
            <w:tcMar>
              <w:top w:w="0" w:type="dxa"/>
              <w:left w:w="108" w:type="dxa"/>
              <w:bottom w:w="0" w:type="dxa"/>
              <w:right w:w="108" w:type="dxa"/>
            </w:tcMar>
            <w:vAlign w:val="center"/>
          </w:tcPr>
          <w:p w14:paraId="332333D2"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7,753.42 </w:t>
            </w:r>
          </w:p>
        </w:tc>
        <w:tc>
          <w:tcPr>
            <w:tcW w:w="457" w:type="pct"/>
            <w:shd w:val="clear" w:color="auto" w:fill="auto"/>
            <w:tcMar>
              <w:top w:w="0" w:type="dxa"/>
              <w:left w:w="108" w:type="dxa"/>
              <w:bottom w:w="0" w:type="dxa"/>
              <w:right w:w="108" w:type="dxa"/>
            </w:tcMar>
            <w:vAlign w:val="center"/>
          </w:tcPr>
          <w:p w14:paraId="6887C4F8"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7,753.42 </w:t>
            </w:r>
          </w:p>
        </w:tc>
        <w:tc>
          <w:tcPr>
            <w:tcW w:w="457" w:type="pct"/>
            <w:shd w:val="clear" w:color="auto" w:fill="auto"/>
            <w:tcMar>
              <w:top w:w="0" w:type="dxa"/>
              <w:left w:w="108" w:type="dxa"/>
              <w:bottom w:w="0" w:type="dxa"/>
              <w:right w:w="108" w:type="dxa"/>
            </w:tcMar>
            <w:vAlign w:val="center"/>
          </w:tcPr>
          <w:p w14:paraId="3B9C5B73"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7,753.42 </w:t>
            </w:r>
          </w:p>
        </w:tc>
      </w:tr>
      <w:tr w:rsidR="006416B0" w:rsidRPr="00B4515A" w14:paraId="7C422699"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0D78FAB4"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管理费用</w:t>
            </w:r>
          </w:p>
        </w:tc>
        <w:tc>
          <w:tcPr>
            <w:tcW w:w="415" w:type="pct"/>
            <w:shd w:val="clear" w:color="auto" w:fill="auto"/>
            <w:tcMar>
              <w:top w:w="0" w:type="dxa"/>
              <w:left w:w="108" w:type="dxa"/>
              <w:bottom w:w="0" w:type="dxa"/>
              <w:right w:w="108" w:type="dxa"/>
            </w:tcMar>
            <w:vAlign w:val="center"/>
          </w:tcPr>
          <w:p w14:paraId="75368B74"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4,771.25 </w:t>
            </w:r>
          </w:p>
        </w:tc>
        <w:tc>
          <w:tcPr>
            <w:tcW w:w="415" w:type="pct"/>
            <w:shd w:val="clear" w:color="auto" w:fill="auto"/>
            <w:tcMar>
              <w:top w:w="0" w:type="dxa"/>
              <w:left w:w="108" w:type="dxa"/>
              <w:bottom w:w="0" w:type="dxa"/>
              <w:right w:w="108" w:type="dxa"/>
            </w:tcMar>
            <w:vAlign w:val="center"/>
          </w:tcPr>
          <w:p w14:paraId="4890C698"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5,247.60 </w:t>
            </w:r>
          </w:p>
        </w:tc>
        <w:tc>
          <w:tcPr>
            <w:tcW w:w="415" w:type="pct"/>
            <w:shd w:val="clear" w:color="auto" w:fill="auto"/>
            <w:tcMar>
              <w:top w:w="0" w:type="dxa"/>
              <w:left w:w="108" w:type="dxa"/>
              <w:bottom w:w="0" w:type="dxa"/>
              <w:right w:w="108" w:type="dxa"/>
            </w:tcMar>
            <w:vAlign w:val="center"/>
          </w:tcPr>
          <w:p w14:paraId="751F8CF5"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5,710.32 </w:t>
            </w:r>
          </w:p>
        </w:tc>
        <w:tc>
          <w:tcPr>
            <w:tcW w:w="457" w:type="pct"/>
            <w:shd w:val="clear" w:color="auto" w:fill="auto"/>
            <w:tcMar>
              <w:top w:w="0" w:type="dxa"/>
              <w:left w:w="108" w:type="dxa"/>
              <w:bottom w:w="0" w:type="dxa"/>
              <w:right w:w="108" w:type="dxa"/>
            </w:tcMar>
            <w:vAlign w:val="center"/>
          </w:tcPr>
          <w:p w14:paraId="566F87BE"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6,219.55 </w:t>
            </w:r>
          </w:p>
        </w:tc>
        <w:tc>
          <w:tcPr>
            <w:tcW w:w="457" w:type="pct"/>
            <w:shd w:val="clear" w:color="auto" w:fill="auto"/>
            <w:tcMar>
              <w:top w:w="0" w:type="dxa"/>
              <w:left w:w="108" w:type="dxa"/>
              <w:bottom w:w="0" w:type="dxa"/>
              <w:right w:w="108" w:type="dxa"/>
            </w:tcMar>
            <w:vAlign w:val="center"/>
          </w:tcPr>
          <w:p w14:paraId="0FB75DDE"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6,786.19 </w:t>
            </w:r>
          </w:p>
        </w:tc>
        <w:tc>
          <w:tcPr>
            <w:tcW w:w="457" w:type="pct"/>
            <w:shd w:val="clear" w:color="auto" w:fill="auto"/>
            <w:tcMar>
              <w:top w:w="0" w:type="dxa"/>
              <w:left w:w="108" w:type="dxa"/>
              <w:bottom w:w="0" w:type="dxa"/>
              <w:right w:w="108" w:type="dxa"/>
            </w:tcMar>
            <w:vAlign w:val="center"/>
          </w:tcPr>
          <w:p w14:paraId="0898B8F6"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6,786.19 </w:t>
            </w:r>
          </w:p>
        </w:tc>
        <w:tc>
          <w:tcPr>
            <w:tcW w:w="457" w:type="pct"/>
            <w:shd w:val="clear" w:color="auto" w:fill="auto"/>
            <w:tcMar>
              <w:top w:w="0" w:type="dxa"/>
              <w:left w:w="108" w:type="dxa"/>
              <w:bottom w:w="0" w:type="dxa"/>
              <w:right w:w="108" w:type="dxa"/>
            </w:tcMar>
            <w:vAlign w:val="center"/>
          </w:tcPr>
          <w:p w14:paraId="65FC6864"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6,786.19 </w:t>
            </w:r>
          </w:p>
        </w:tc>
        <w:tc>
          <w:tcPr>
            <w:tcW w:w="457" w:type="pct"/>
            <w:shd w:val="clear" w:color="auto" w:fill="auto"/>
            <w:tcMar>
              <w:top w:w="0" w:type="dxa"/>
              <w:left w:w="108" w:type="dxa"/>
              <w:bottom w:w="0" w:type="dxa"/>
              <w:right w:w="108" w:type="dxa"/>
            </w:tcMar>
            <w:vAlign w:val="center"/>
          </w:tcPr>
          <w:p w14:paraId="1F3DB8EB"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6,786.19 </w:t>
            </w:r>
          </w:p>
        </w:tc>
        <w:tc>
          <w:tcPr>
            <w:tcW w:w="457" w:type="pct"/>
            <w:shd w:val="clear" w:color="auto" w:fill="auto"/>
            <w:tcMar>
              <w:top w:w="0" w:type="dxa"/>
              <w:left w:w="108" w:type="dxa"/>
              <w:bottom w:w="0" w:type="dxa"/>
              <w:right w:w="108" w:type="dxa"/>
            </w:tcMar>
            <w:vAlign w:val="center"/>
          </w:tcPr>
          <w:p w14:paraId="1DEBDB20"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6,786.19 </w:t>
            </w:r>
          </w:p>
        </w:tc>
      </w:tr>
      <w:tr w:rsidR="006416B0" w:rsidRPr="00B4515A" w14:paraId="233D365C"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10CFC2D5"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研发费用</w:t>
            </w:r>
          </w:p>
        </w:tc>
        <w:tc>
          <w:tcPr>
            <w:tcW w:w="415" w:type="pct"/>
            <w:shd w:val="clear" w:color="auto" w:fill="auto"/>
            <w:tcMar>
              <w:top w:w="0" w:type="dxa"/>
              <w:left w:w="108" w:type="dxa"/>
              <w:bottom w:w="0" w:type="dxa"/>
              <w:right w:w="108" w:type="dxa"/>
            </w:tcMar>
            <w:vAlign w:val="center"/>
          </w:tcPr>
          <w:p w14:paraId="0D72139D"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15,364.17 </w:t>
            </w:r>
          </w:p>
        </w:tc>
        <w:tc>
          <w:tcPr>
            <w:tcW w:w="415" w:type="pct"/>
            <w:shd w:val="clear" w:color="auto" w:fill="auto"/>
            <w:tcMar>
              <w:top w:w="0" w:type="dxa"/>
              <w:left w:w="108" w:type="dxa"/>
              <w:bottom w:w="0" w:type="dxa"/>
              <w:right w:w="108" w:type="dxa"/>
            </w:tcMar>
            <w:vAlign w:val="center"/>
          </w:tcPr>
          <w:p w14:paraId="6C672448"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18,531.42 </w:t>
            </w:r>
          </w:p>
        </w:tc>
        <w:tc>
          <w:tcPr>
            <w:tcW w:w="415" w:type="pct"/>
            <w:shd w:val="clear" w:color="auto" w:fill="auto"/>
            <w:tcMar>
              <w:top w:w="0" w:type="dxa"/>
              <w:left w:w="108" w:type="dxa"/>
              <w:bottom w:w="0" w:type="dxa"/>
              <w:right w:w="108" w:type="dxa"/>
            </w:tcMar>
            <w:vAlign w:val="center"/>
          </w:tcPr>
          <w:p w14:paraId="4BE7CB7A"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21,837.47 </w:t>
            </w:r>
          </w:p>
        </w:tc>
        <w:tc>
          <w:tcPr>
            <w:tcW w:w="457" w:type="pct"/>
            <w:shd w:val="clear" w:color="auto" w:fill="auto"/>
            <w:tcMar>
              <w:top w:w="0" w:type="dxa"/>
              <w:left w:w="108" w:type="dxa"/>
              <w:bottom w:w="0" w:type="dxa"/>
              <w:right w:w="108" w:type="dxa"/>
            </w:tcMar>
            <w:vAlign w:val="center"/>
          </w:tcPr>
          <w:p w14:paraId="1675E1C3"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25,490.96 </w:t>
            </w:r>
          </w:p>
        </w:tc>
        <w:tc>
          <w:tcPr>
            <w:tcW w:w="457" w:type="pct"/>
            <w:shd w:val="clear" w:color="auto" w:fill="auto"/>
            <w:tcMar>
              <w:top w:w="0" w:type="dxa"/>
              <w:left w:w="108" w:type="dxa"/>
              <w:bottom w:w="0" w:type="dxa"/>
              <w:right w:w="108" w:type="dxa"/>
            </w:tcMar>
            <w:vAlign w:val="center"/>
          </w:tcPr>
          <w:p w14:paraId="4362B288"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29,362.58 </w:t>
            </w:r>
          </w:p>
        </w:tc>
        <w:tc>
          <w:tcPr>
            <w:tcW w:w="457" w:type="pct"/>
            <w:shd w:val="clear" w:color="auto" w:fill="auto"/>
            <w:tcMar>
              <w:top w:w="0" w:type="dxa"/>
              <w:left w:w="108" w:type="dxa"/>
              <w:bottom w:w="0" w:type="dxa"/>
              <w:right w:w="108" w:type="dxa"/>
            </w:tcMar>
            <w:vAlign w:val="center"/>
          </w:tcPr>
          <w:p w14:paraId="3C67EA31"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29,557.82 </w:t>
            </w:r>
          </w:p>
        </w:tc>
        <w:tc>
          <w:tcPr>
            <w:tcW w:w="457" w:type="pct"/>
            <w:shd w:val="clear" w:color="auto" w:fill="auto"/>
            <w:tcMar>
              <w:top w:w="0" w:type="dxa"/>
              <w:left w:w="108" w:type="dxa"/>
              <w:bottom w:w="0" w:type="dxa"/>
              <w:right w:w="108" w:type="dxa"/>
            </w:tcMar>
            <w:vAlign w:val="center"/>
          </w:tcPr>
          <w:p w14:paraId="79902B05"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30,480.11 </w:t>
            </w:r>
          </w:p>
        </w:tc>
        <w:tc>
          <w:tcPr>
            <w:tcW w:w="457" w:type="pct"/>
            <w:shd w:val="clear" w:color="auto" w:fill="auto"/>
            <w:tcMar>
              <w:top w:w="0" w:type="dxa"/>
              <w:left w:w="108" w:type="dxa"/>
              <w:bottom w:w="0" w:type="dxa"/>
              <w:right w:w="108" w:type="dxa"/>
            </w:tcMar>
            <w:vAlign w:val="center"/>
          </w:tcPr>
          <w:p w14:paraId="2ACF5B20"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30,480.11 </w:t>
            </w:r>
          </w:p>
        </w:tc>
        <w:tc>
          <w:tcPr>
            <w:tcW w:w="457" w:type="pct"/>
            <w:shd w:val="clear" w:color="auto" w:fill="auto"/>
            <w:tcMar>
              <w:top w:w="0" w:type="dxa"/>
              <w:left w:w="108" w:type="dxa"/>
              <w:bottom w:w="0" w:type="dxa"/>
              <w:right w:w="108" w:type="dxa"/>
            </w:tcMar>
            <w:vAlign w:val="center"/>
          </w:tcPr>
          <w:p w14:paraId="6FE79B49"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sz w:val="21"/>
                <w:szCs w:val="21"/>
              </w:rPr>
              <w:t xml:space="preserve">30,480.11 </w:t>
            </w:r>
          </w:p>
        </w:tc>
      </w:tr>
      <w:tr w:rsidR="006416B0" w:rsidRPr="00B4515A" w14:paraId="315369D6"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7E5B1E31"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财务费用</w:t>
            </w:r>
          </w:p>
        </w:tc>
        <w:tc>
          <w:tcPr>
            <w:tcW w:w="415" w:type="pct"/>
            <w:shd w:val="clear" w:color="auto" w:fill="auto"/>
            <w:tcMar>
              <w:top w:w="0" w:type="dxa"/>
              <w:left w:w="108" w:type="dxa"/>
              <w:bottom w:w="0" w:type="dxa"/>
              <w:right w:w="108" w:type="dxa"/>
            </w:tcMar>
            <w:vAlign w:val="center"/>
          </w:tcPr>
          <w:p w14:paraId="08A2358A"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234.60 </w:t>
            </w:r>
          </w:p>
        </w:tc>
        <w:tc>
          <w:tcPr>
            <w:tcW w:w="415" w:type="pct"/>
            <w:shd w:val="clear" w:color="auto" w:fill="auto"/>
            <w:tcMar>
              <w:top w:w="0" w:type="dxa"/>
              <w:left w:w="108" w:type="dxa"/>
              <w:bottom w:w="0" w:type="dxa"/>
              <w:right w:w="108" w:type="dxa"/>
            </w:tcMar>
            <w:vAlign w:val="center"/>
          </w:tcPr>
          <w:p w14:paraId="51ECACCC"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15" w:type="pct"/>
            <w:shd w:val="clear" w:color="auto" w:fill="auto"/>
            <w:tcMar>
              <w:top w:w="0" w:type="dxa"/>
              <w:left w:w="108" w:type="dxa"/>
              <w:bottom w:w="0" w:type="dxa"/>
              <w:right w:w="108" w:type="dxa"/>
            </w:tcMar>
            <w:vAlign w:val="center"/>
          </w:tcPr>
          <w:p w14:paraId="7FADFAC0"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5079A67D"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65F4E44C"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7EE71E1C"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037B0499"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216C0EC4"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497F3CFC"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r>
      <w:tr w:rsidR="006416B0" w:rsidRPr="00B4515A" w14:paraId="6F130973"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68100BDC"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加：其他收益</w:t>
            </w:r>
          </w:p>
        </w:tc>
        <w:tc>
          <w:tcPr>
            <w:tcW w:w="415" w:type="pct"/>
            <w:shd w:val="clear" w:color="auto" w:fill="auto"/>
            <w:tcMar>
              <w:top w:w="0" w:type="dxa"/>
              <w:left w:w="108" w:type="dxa"/>
              <w:bottom w:w="0" w:type="dxa"/>
              <w:right w:w="108" w:type="dxa"/>
            </w:tcMar>
            <w:vAlign w:val="center"/>
          </w:tcPr>
          <w:p w14:paraId="4AA3DDF3"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12.76 </w:t>
            </w:r>
          </w:p>
        </w:tc>
        <w:tc>
          <w:tcPr>
            <w:tcW w:w="415" w:type="pct"/>
            <w:shd w:val="clear" w:color="auto" w:fill="auto"/>
            <w:tcMar>
              <w:top w:w="0" w:type="dxa"/>
              <w:left w:w="108" w:type="dxa"/>
              <w:bottom w:w="0" w:type="dxa"/>
              <w:right w:w="108" w:type="dxa"/>
            </w:tcMar>
            <w:vAlign w:val="center"/>
          </w:tcPr>
          <w:p w14:paraId="0B8683C1"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15" w:type="pct"/>
            <w:shd w:val="clear" w:color="auto" w:fill="auto"/>
            <w:tcMar>
              <w:top w:w="0" w:type="dxa"/>
              <w:left w:w="108" w:type="dxa"/>
              <w:bottom w:w="0" w:type="dxa"/>
              <w:right w:w="108" w:type="dxa"/>
            </w:tcMar>
            <w:vAlign w:val="center"/>
          </w:tcPr>
          <w:p w14:paraId="427939BC"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3FA8CB19"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498443D7"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722B6D10"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0703F67A"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3E135CF2"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07E1735A"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r>
      <w:tr w:rsidR="006416B0" w:rsidRPr="00B4515A" w14:paraId="0BBB84ED"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485E851A"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投资收益（损失以</w:t>
            </w:r>
            <w:r w:rsidRPr="00B4515A">
              <w:rPr>
                <w:rFonts w:cs="Times New Roman"/>
                <w:color w:val="000000" w:themeColor="text1"/>
                <w:sz w:val="21"/>
                <w:szCs w:val="21"/>
              </w:rPr>
              <w:t>“</w:t>
            </w:r>
            <w:r w:rsidRPr="00B4515A">
              <w:rPr>
                <w:rFonts w:ascii="Times New Roman" w:hAnsi="Times New Roman" w:cs="Times New Roman"/>
                <w:color w:val="000000" w:themeColor="text1"/>
                <w:sz w:val="21"/>
                <w:szCs w:val="21"/>
              </w:rPr>
              <w:t>-</w:t>
            </w:r>
            <w:r w:rsidRPr="00B4515A">
              <w:rPr>
                <w:rFonts w:cs="Times New Roman"/>
                <w:color w:val="000000" w:themeColor="text1"/>
                <w:sz w:val="21"/>
                <w:szCs w:val="21"/>
              </w:rPr>
              <w:t>”</w:t>
            </w:r>
            <w:r w:rsidRPr="00B4515A">
              <w:rPr>
                <w:rFonts w:ascii="Times New Roman" w:hAnsi="Times New Roman" w:cs="Times New Roman"/>
                <w:color w:val="000000" w:themeColor="text1"/>
                <w:sz w:val="21"/>
                <w:szCs w:val="21"/>
              </w:rPr>
              <w:t>号填列）</w:t>
            </w:r>
          </w:p>
        </w:tc>
        <w:tc>
          <w:tcPr>
            <w:tcW w:w="415" w:type="pct"/>
            <w:shd w:val="clear" w:color="auto" w:fill="auto"/>
            <w:tcMar>
              <w:top w:w="0" w:type="dxa"/>
              <w:left w:w="108" w:type="dxa"/>
              <w:bottom w:w="0" w:type="dxa"/>
              <w:right w:w="108" w:type="dxa"/>
            </w:tcMar>
            <w:vAlign w:val="center"/>
          </w:tcPr>
          <w:p w14:paraId="6D2507E4"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15" w:type="pct"/>
            <w:shd w:val="clear" w:color="auto" w:fill="auto"/>
            <w:tcMar>
              <w:top w:w="0" w:type="dxa"/>
              <w:left w:w="108" w:type="dxa"/>
              <w:bottom w:w="0" w:type="dxa"/>
              <w:right w:w="108" w:type="dxa"/>
            </w:tcMar>
            <w:vAlign w:val="center"/>
          </w:tcPr>
          <w:p w14:paraId="40ACA0AD"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15" w:type="pct"/>
            <w:shd w:val="clear" w:color="auto" w:fill="auto"/>
            <w:tcMar>
              <w:top w:w="0" w:type="dxa"/>
              <w:left w:w="108" w:type="dxa"/>
              <w:bottom w:w="0" w:type="dxa"/>
              <w:right w:w="108" w:type="dxa"/>
            </w:tcMar>
            <w:vAlign w:val="center"/>
          </w:tcPr>
          <w:p w14:paraId="399CE796"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536D3E0E"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20F293C0"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151AFF79"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47C78CD0"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4D71E8D2"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25FD914A"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r>
      <w:tr w:rsidR="006416B0" w:rsidRPr="00B4515A" w14:paraId="35E53647"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33E71EB0"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净敞口套期收益（损失以</w:t>
            </w:r>
            <w:r w:rsidRPr="00B4515A">
              <w:rPr>
                <w:rFonts w:cs="Times New Roman"/>
                <w:color w:val="000000" w:themeColor="text1"/>
                <w:sz w:val="21"/>
                <w:szCs w:val="21"/>
              </w:rPr>
              <w:t>“</w:t>
            </w:r>
            <w:r w:rsidRPr="00B4515A">
              <w:rPr>
                <w:rFonts w:ascii="Times New Roman" w:hAnsi="Times New Roman" w:cs="Times New Roman"/>
                <w:color w:val="000000" w:themeColor="text1"/>
                <w:sz w:val="21"/>
                <w:szCs w:val="21"/>
              </w:rPr>
              <w:t>-</w:t>
            </w:r>
            <w:r w:rsidRPr="00B4515A">
              <w:rPr>
                <w:rFonts w:cs="Times New Roman"/>
                <w:color w:val="000000" w:themeColor="text1"/>
                <w:sz w:val="21"/>
                <w:szCs w:val="21"/>
              </w:rPr>
              <w:t>”</w:t>
            </w:r>
            <w:r w:rsidRPr="00B4515A">
              <w:rPr>
                <w:rFonts w:ascii="Times New Roman" w:hAnsi="Times New Roman" w:cs="Times New Roman"/>
                <w:color w:val="000000" w:themeColor="text1"/>
                <w:sz w:val="21"/>
                <w:szCs w:val="21"/>
              </w:rPr>
              <w:t>号填列）</w:t>
            </w:r>
          </w:p>
        </w:tc>
        <w:tc>
          <w:tcPr>
            <w:tcW w:w="415" w:type="pct"/>
            <w:shd w:val="clear" w:color="auto" w:fill="auto"/>
            <w:tcMar>
              <w:top w:w="0" w:type="dxa"/>
              <w:left w:w="108" w:type="dxa"/>
              <w:bottom w:w="0" w:type="dxa"/>
              <w:right w:w="108" w:type="dxa"/>
            </w:tcMar>
            <w:vAlign w:val="center"/>
          </w:tcPr>
          <w:p w14:paraId="44910E51"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15" w:type="pct"/>
            <w:shd w:val="clear" w:color="auto" w:fill="auto"/>
            <w:tcMar>
              <w:top w:w="0" w:type="dxa"/>
              <w:left w:w="108" w:type="dxa"/>
              <w:bottom w:w="0" w:type="dxa"/>
              <w:right w:w="108" w:type="dxa"/>
            </w:tcMar>
            <w:vAlign w:val="center"/>
          </w:tcPr>
          <w:p w14:paraId="0BDF251A"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15" w:type="pct"/>
            <w:shd w:val="clear" w:color="auto" w:fill="auto"/>
            <w:tcMar>
              <w:top w:w="0" w:type="dxa"/>
              <w:left w:w="108" w:type="dxa"/>
              <w:bottom w:w="0" w:type="dxa"/>
              <w:right w:w="108" w:type="dxa"/>
            </w:tcMar>
            <w:vAlign w:val="center"/>
          </w:tcPr>
          <w:p w14:paraId="0A9F0A99"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1266533F"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7A944C2F"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263B9F09"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5850EEC4"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33E4AE85"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6707EB92"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r>
      <w:tr w:rsidR="006416B0" w:rsidRPr="00B4515A" w14:paraId="196036FD"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35600D66"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公允价值变动收益（损失以</w:t>
            </w:r>
            <w:r w:rsidRPr="00B4515A">
              <w:rPr>
                <w:rFonts w:cs="Times New Roman"/>
                <w:color w:val="000000" w:themeColor="text1"/>
                <w:sz w:val="21"/>
                <w:szCs w:val="21"/>
              </w:rPr>
              <w:t>“</w:t>
            </w:r>
            <w:r w:rsidRPr="00B4515A">
              <w:rPr>
                <w:rFonts w:ascii="Times New Roman" w:hAnsi="Times New Roman" w:cs="Times New Roman"/>
                <w:color w:val="000000" w:themeColor="text1"/>
                <w:sz w:val="21"/>
                <w:szCs w:val="21"/>
              </w:rPr>
              <w:t>-</w:t>
            </w:r>
            <w:r w:rsidRPr="00B4515A">
              <w:rPr>
                <w:rFonts w:cs="Times New Roman"/>
                <w:color w:val="000000" w:themeColor="text1"/>
                <w:sz w:val="21"/>
                <w:szCs w:val="21"/>
              </w:rPr>
              <w:t>”</w:t>
            </w:r>
            <w:r w:rsidRPr="00B4515A">
              <w:rPr>
                <w:rFonts w:ascii="Times New Roman" w:hAnsi="Times New Roman" w:cs="Times New Roman"/>
                <w:color w:val="000000" w:themeColor="text1"/>
                <w:sz w:val="21"/>
                <w:szCs w:val="21"/>
              </w:rPr>
              <w:t>号填列）</w:t>
            </w:r>
          </w:p>
        </w:tc>
        <w:tc>
          <w:tcPr>
            <w:tcW w:w="415" w:type="pct"/>
            <w:shd w:val="clear" w:color="auto" w:fill="auto"/>
            <w:tcMar>
              <w:top w:w="0" w:type="dxa"/>
              <w:left w:w="108" w:type="dxa"/>
              <w:bottom w:w="0" w:type="dxa"/>
              <w:right w:w="108" w:type="dxa"/>
            </w:tcMar>
            <w:vAlign w:val="center"/>
          </w:tcPr>
          <w:p w14:paraId="40EEC018"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15" w:type="pct"/>
            <w:shd w:val="clear" w:color="auto" w:fill="auto"/>
            <w:tcMar>
              <w:top w:w="0" w:type="dxa"/>
              <w:left w:w="108" w:type="dxa"/>
              <w:bottom w:w="0" w:type="dxa"/>
              <w:right w:w="108" w:type="dxa"/>
            </w:tcMar>
            <w:vAlign w:val="center"/>
          </w:tcPr>
          <w:p w14:paraId="224C41D8"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15" w:type="pct"/>
            <w:shd w:val="clear" w:color="auto" w:fill="auto"/>
            <w:tcMar>
              <w:top w:w="0" w:type="dxa"/>
              <w:left w:w="108" w:type="dxa"/>
              <w:bottom w:w="0" w:type="dxa"/>
              <w:right w:w="108" w:type="dxa"/>
            </w:tcMar>
            <w:vAlign w:val="center"/>
          </w:tcPr>
          <w:p w14:paraId="6286CF3D"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68C933D8"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09D6D9C3"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126CBDB9"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70B7184D"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3B2C47B8"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2CC84087"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r>
      <w:tr w:rsidR="006416B0" w:rsidRPr="00B4515A" w14:paraId="0C11F038"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1B2A4761"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信用减值损失（损失以</w:t>
            </w:r>
            <w:r w:rsidRPr="00B4515A">
              <w:rPr>
                <w:rFonts w:cs="Times New Roman"/>
                <w:color w:val="000000" w:themeColor="text1"/>
                <w:sz w:val="21"/>
                <w:szCs w:val="21"/>
              </w:rPr>
              <w:t>“</w:t>
            </w:r>
            <w:r w:rsidRPr="00B4515A">
              <w:rPr>
                <w:rFonts w:ascii="Times New Roman" w:hAnsi="Times New Roman" w:cs="Times New Roman"/>
                <w:color w:val="000000" w:themeColor="text1"/>
                <w:sz w:val="21"/>
                <w:szCs w:val="21"/>
              </w:rPr>
              <w:t>-</w:t>
            </w:r>
            <w:r w:rsidRPr="00B4515A">
              <w:rPr>
                <w:rFonts w:cs="Times New Roman"/>
                <w:color w:val="000000" w:themeColor="text1"/>
                <w:sz w:val="21"/>
                <w:szCs w:val="21"/>
              </w:rPr>
              <w:t>”</w:t>
            </w:r>
            <w:r w:rsidRPr="00B4515A">
              <w:rPr>
                <w:rFonts w:ascii="Times New Roman" w:hAnsi="Times New Roman" w:cs="Times New Roman"/>
                <w:color w:val="000000" w:themeColor="text1"/>
                <w:sz w:val="21"/>
                <w:szCs w:val="21"/>
              </w:rPr>
              <w:t>号填列）</w:t>
            </w:r>
          </w:p>
        </w:tc>
        <w:tc>
          <w:tcPr>
            <w:tcW w:w="415" w:type="pct"/>
            <w:shd w:val="clear" w:color="auto" w:fill="auto"/>
            <w:tcMar>
              <w:top w:w="0" w:type="dxa"/>
              <w:left w:w="108" w:type="dxa"/>
              <w:bottom w:w="0" w:type="dxa"/>
              <w:right w:w="108" w:type="dxa"/>
            </w:tcMar>
            <w:vAlign w:val="center"/>
          </w:tcPr>
          <w:p w14:paraId="400101F2"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-733.29 </w:t>
            </w:r>
          </w:p>
        </w:tc>
        <w:tc>
          <w:tcPr>
            <w:tcW w:w="415" w:type="pct"/>
            <w:shd w:val="clear" w:color="auto" w:fill="auto"/>
            <w:tcMar>
              <w:top w:w="0" w:type="dxa"/>
              <w:left w:w="108" w:type="dxa"/>
              <w:bottom w:w="0" w:type="dxa"/>
              <w:right w:w="108" w:type="dxa"/>
            </w:tcMar>
            <w:vAlign w:val="center"/>
          </w:tcPr>
          <w:p w14:paraId="01B4731D"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15" w:type="pct"/>
            <w:shd w:val="clear" w:color="auto" w:fill="auto"/>
            <w:tcMar>
              <w:top w:w="0" w:type="dxa"/>
              <w:left w:w="108" w:type="dxa"/>
              <w:bottom w:w="0" w:type="dxa"/>
              <w:right w:w="108" w:type="dxa"/>
            </w:tcMar>
            <w:vAlign w:val="center"/>
          </w:tcPr>
          <w:p w14:paraId="02B0DCFB"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561A3A90"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47458BB0"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520CA7EB"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4A92B910"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79D27AB8"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1ABAD1DE"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r>
      <w:tr w:rsidR="006416B0" w:rsidRPr="00B4515A" w14:paraId="225EBDD3"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27393B29"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资产减值损失（损失以</w:t>
            </w:r>
            <w:r w:rsidRPr="00B4515A">
              <w:rPr>
                <w:rFonts w:cs="Times New Roman"/>
                <w:color w:val="000000" w:themeColor="text1"/>
                <w:sz w:val="21"/>
                <w:szCs w:val="21"/>
              </w:rPr>
              <w:t>“</w:t>
            </w:r>
            <w:r w:rsidRPr="00B4515A">
              <w:rPr>
                <w:rFonts w:ascii="Times New Roman" w:hAnsi="Times New Roman" w:cs="Times New Roman"/>
                <w:color w:val="000000" w:themeColor="text1"/>
                <w:sz w:val="21"/>
                <w:szCs w:val="21"/>
              </w:rPr>
              <w:t>-</w:t>
            </w:r>
            <w:r w:rsidRPr="00B4515A">
              <w:rPr>
                <w:rFonts w:cs="Times New Roman"/>
                <w:color w:val="000000" w:themeColor="text1"/>
                <w:sz w:val="21"/>
                <w:szCs w:val="21"/>
              </w:rPr>
              <w:t>”</w:t>
            </w:r>
            <w:r w:rsidRPr="00B4515A">
              <w:rPr>
                <w:rFonts w:ascii="Times New Roman" w:hAnsi="Times New Roman" w:cs="Times New Roman"/>
                <w:color w:val="000000" w:themeColor="text1"/>
                <w:sz w:val="21"/>
                <w:szCs w:val="21"/>
              </w:rPr>
              <w:t>号填列）</w:t>
            </w:r>
          </w:p>
        </w:tc>
        <w:tc>
          <w:tcPr>
            <w:tcW w:w="415" w:type="pct"/>
            <w:shd w:val="clear" w:color="auto" w:fill="auto"/>
            <w:tcMar>
              <w:top w:w="0" w:type="dxa"/>
              <w:left w:w="108" w:type="dxa"/>
              <w:bottom w:w="0" w:type="dxa"/>
              <w:right w:w="108" w:type="dxa"/>
            </w:tcMar>
            <w:vAlign w:val="center"/>
          </w:tcPr>
          <w:p w14:paraId="599F4AD1"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-52.28 </w:t>
            </w:r>
          </w:p>
        </w:tc>
        <w:tc>
          <w:tcPr>
            <w:tcW w:w="415" w:type="pct"/>
            <w:shd w:val="clear" w:color="auto" w:fill="auto"/>
            <w:tcMar>
              <w:top w:w="0" w:type="dxa"/>
              <w:left w:w="108" w:type="dxa"/>
              <w:bottom w:w="0" w:type="dxa"/>
              <w:right w:w="108" w:type="dxa"/>
            </w:tcMar>
            <w:vAlign w:val="center"/>
          </w:tcPr>
          <w:p w14:paraId="4F06133C"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15" w:type="pct"/>
            <w:shd w:val="clear" w:color="auto" w:fill="auto"/>
            <w:tcMar>
              <w:top w:w="0" w:type="dxa"/>
              <w:left w:w="108" w:type="dxa"/>
              <w:bottom w:w="0" w:type="dxa"/>
              <w:right w:w="108" w:type="dxa"/>
            </w:tcMar>
            <w:vAlign w:val="center"/>
          </w:tcPr>
          <w:p w14:paraId="371CC06F"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650F41C8"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155B7F3C"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722CD1A6"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3C73B7A1"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3E586BBD"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6129F9BD"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r>
      <w:tr w:rsidR="006416B0" w:rsidRPr="00B4515A" w14:paraId="5F7DEF1A"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27A50C4A"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资产处置收益（损失以</w:t>
            </w:r>
            <w:r w:rsidRPr="00B4515A">
              <w:rPr>
                <w:rFonts w:cs="Times New Roman"/>
                <w:color w:val="000000" w:themeColor="text1"/>
                <w:sz w:val="21"/>
                <w:szCs w:val="21"/>
              </w:rPr>
              <w:t>“</w:t>
            </w:r>
            <w:r w:rsidRPr="00B4515A">
              <w:rPr>
                <w:rFonts w:ascii="Times New Roman" w:hAnsi="Times New Roman" w:cs="Times New Roman"/>
                <w:color w:val="000000" w:themeColor="text1"/>
                <w:sz w:val="21"/>
                <w:szCs w:val="21"/>
              </w:rPr>
              <w:t>-</w:t>
            </w:r>
            <w:r w:rsidRPr="00B4515A">
              <w:rPr>
                <w:rFonts w:cs="Times New Roman"/>
                <w:color w:val="000000" w:themeColor="text1"/>
                <w:sz w:val="21"/>
                <w:szCs w:val="21"/>
              </w:rPr>
              <w:t>”</w:t>
            </w:r>
            <w:r w:rsidRPr="00B4515A">
              <w:rPr>
                <w:rFonts w:ascii="Times New Roman" w:hAnsi="Times New Roman" w:cs="Times New Roman"/>
                <w:color w:val="000000" w:themeColor="text1"/>
                <w:sz w:val="21"/>
                <w:szCs w:val="21"/>
              </w:rPr>
              <w:t>号填列）</w:t>
            </w:r>
          </w:p>
        </w:tc>
        <w:tc>
          <w:tcPr>
            <w:tcW w:w="415" w:type="pct"/>
            <w:shd w:val="clear" w:color="auto" w:fill="auto"/>
            <w:tcMar>
              <w:top w:w="0" w:type="dxa"/>
              <w:left w:w="108" w:type="dxa"/>
              <w:bottom w:w="0" w:type="dxa"/>
              <w:right w:w="108" w:type="dxa"/>
            </w:tcMar>
            <w:vAlign w:val="center"/>
          </w:tcPr>
          <w:p w14:paraId="01D5350C"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15" w:type="pct"/>
            <w:shd w:val="clear" w:color="auto" w:fill="auto"/>
            <w:tcMar>
              <w:top w:w="0" w:type="dxa"/>
              <w:left w:w="108" w:type="dxa"/>
              <w:bottom w:w="0" w:type="dxa"/>
              <w:right w:w="108" w:type="dxa"/>
            </w:tcMar>
            <w:vAlign w:val="center"/>
          </w:tcPr>
          <w:p w14:paraId="6B60CFBE"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15" w:type="pct"/>
            <w:shd w:val="clear" w:color="auto" w:fill="auto"/>
            <w:tcMar>
              <w:top w:w="0" w:type="dxa"/>
              <w:left w:w="108" w:type="dxa"/>
              <w:bottom w:w="0" w:type="dxa"/>
              <w:right w:w="108" w:type="dxa"/>
            </w:tcMar>
            <w:vAlign w:val="center"/>
          </w:tcPr>
          <w:p w14:paraId="7C0EA9AD"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59905A24"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11DF0081"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33231E25"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65483DA4"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1F71B25E"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c>
          <w:tcPr>
            <w:tcW w:w="457" w:type="pct"/>
            <w:shd w:val="clear" w:color="auto" w:fill="auto"/>
            <w:tcMar>
              <w:top w:w="0" w:type="dxa"/>
              <w:left w:w="108" w:type="dxa"/>
              <w:bottom w:w="0" w:type="dxa"/>
              <w:right w:w="108" w:type="dxa"/>
            </w:tcMar>
            <w:vAlign w:val="center"/>
          </w:tcPr>
          <w:p w14:paraId="67D4884D" w14:textId="77777777" w:rsidR="006416B0" w:rsidRPr="00B4515A" w:rsidRDefault="005E58C1" w:rsidP="005860B4">
            <w:pPr>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0.00 </w:t>
            </w:r>
          </w:p>
        </w:tc>
      </w:tr>
      <w:tr w:rsidR="006416B0" w:rsidRPr="00B4515A" w14:paraId="3855F4B8"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7D4A9F52" w14:textId="77777777" w:rsidR="006416B0" w:rsidRPr="00B4515A" w:rsidRDefault="005E58C1" w:rsidP="005860B4">
            <w:pPr>
              <w:adjustRightInd w:val="0"/>
              <w:snapToGrid w:val="0"/>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二、营业利润</w:t>
            </w:r>
          </w:p>
        </w:tc>
        <w:tc>
          <w:tcPr>
            <w:tcW w:w="415" w:type="pct"/>
            <w:shd w:val="clear" w:color="auto" w:fill="auto"/>
            <w:tcMar>
              <w:top w:w="0" w:type="dxa"/>
              <w:left w:w="108" w:type="dxa"/>
              <w:bottom w:w="0" w:type="dxa"/>
              <w:right w:w="108" w:type="dxa"/>
            </w:tcMar>
            <w:vAlign w:val="center"/>
          </w:tcPr>
          <w:p w14:paraId="32CEF5B1"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4,329.34 </w:t>
            </w:r>
          </w:p>
        </w:tc>
        <w:tc>
          <w:tcPr>
            <w:tcW w:w="415" w:type="pct"/>
            <w:shd w:val="clear" w:color="auto" w:fill="auto"/>
            <w:tcMar>
              <w:top w:w="0" w:type="dxa"/>
              <w:left w:w="108" w:type="dxa"/>
              <w:bottom w:w="0" w:type="dxa"/>
              <w:right w:w="108" w:type="dxa"/>
            </w:tcMar>
            <w:vAlign w:val="center"/>
          </w:tcPr>
          <w:p w14:paraId="48B4462A"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6,904.02 </w:t>
            </w:r>
          </w:p>
        </w:tc>
        <w:tc>
          <w:tcPr>
            <w:tcW w:w="415" w:type="pct"/>
            <w:shd w:val="clear" w:color="auto" w:fill="auto"/>
            <w:tcMar>
              <w:top w:w="0" w:type="dxa"/>
              <w:left w:w="108" w:type="dxa"/>
              <w:bottom w:w="0" w:type="dxa"/>
              <w:right w:w="108" w:type="dxa"/>
            </w:tcMar>
            <w:vAlign w:val="center"/>
          </w:tcPr>
          <w:p w14:paraId="46F4A24F"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8,406.64 </w:t>
            </w:r>
          </w:p>
        </w:tc>
        <w:tc>
          <w:tcPr>
            <w:tcW w:w="457" w:type="pct"/>
            <w:shd w:val="clear" w:color="auto" w:fill="auto"/>
            <w:tcMar>
              <w:top w:w="0" w:type="dxa"/>
              <w:left w:w="108" w:type="dxa"/>
              <w:bottom w:w="0" w:type="dxa"/>
              <w:right w:w="108" w:type="dxa"/>
            </w:tcMar>
            <w:vAlign w:val="center"/>
          </w:tcPr>
          <w:p w14:paraId="32037D80"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11,521.03 </w:t>
            </w:r>
          </w:p>
        </w:tc>
        <w:tc>
          <w:tcPr>
            <w:tcW w:w="457" w:type="pct"/>
            <w:shd w:val="clear" w:color="auto" w:fill="auto"/>
            <w:tcMar>
              <w:top w:w="0" w:type="dxa"/>
              <w:left w:w="108" w:type="dxa"/>
              <w:bottom w:w="0" w:type="dxa"/>
              <w:right w:w="108" w:type="dxa"/>
            </w:tcMar>
            <w:vAlign w:val="center"/>
          </w:tcPr>
          <w:p w14:paraId="4AF2784F"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16,556.61 </w:t>
            </w:r>
          </w:p>
        </w:tc>
        <w:tc>
          <w:tcPr>
            <w:tcW w:w="457" w:type="pct"/>
            <w:shd w:val="clear" w:color="auto" w:fill="auto"/>
            <w:tcMar>
              <w:top w:w="0" w:type="dxa"/>
              <w:left w:w="108" w:type="dxa"/>
              <w:bottom w:w="0" w:type="dxa"/>
              <w:right w:w="108" w:type="dxa"/>
            </w:tcMar>
            <w:vAlign w:val="center"/>
          </w:tcPr>
          <w:p w14:paraId="52FE3C40"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16,361.37 </w:t>
            </w:r>
          </w:p>
        </w:tc>
        <w:tc>
          <w:tcPr>
            <w:tcW w:w="457" w:type="pct"/>
            <w:shd w:val="clear" w:color="auto" w:fill="auto"/>
            <w:tcMar>
              <w:top w:w="0" w:type="dxa"/>
              <w:left w:w="108" w:type="dxa"/>
              <w:bottom w:w="0" w:type="dxa"/>
              <w:right w:w="108" w:type="dxa"/>
            </w:tcMar>
            <w:vAlign w:val="center"/>
          </w:tcPr>
          <w:p w14:paraId="7E5A3D03"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66E38D28"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42AB151E"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r>
      <w:tr w:rsidR="006416B0" w:rsidRPr="00B4515A" w14:paraId="35109CEE"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549A01FF" w14:textId="77777777" w:rsidR="006416B0" w:rsidRPr="00B4515A" w:rsidRDefault="005E58C1" w:rsidP="005860B4">
            <w:pPr>
              <w:adjustRightInd w:val="0"/>
              <w:snapToGrid w:val="0"/>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三、利润总额</w:t>
            </w:r>
          </w:p>
        </w:tc>
        <w:tc>
          <w:tcPr>
            <w:tcW w:w="415" w:type="pct"/>
            <w:shd w:val="clear" w:color="auto" w:fill="auto"/>
            <w:tcMar>
              <w:top w:w="0" w:type="dxa"/>
              <w:left w:w="108" w:type="dxa"/>
              <w:bottom w:w="0" w:type="dxa"/>
              <w:right w:w="108" w:type="dxa"/>
            </w:tcMar>
            <w:vAlign w:val="center"/>
          </w:tcPr>
          <w:p w14:paraId="334B7498"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4,315.64 </w:t>
            </w:r>
          </w:p>
        </w:tc>
        <w:tc>
          <w:tcPr>
            <w:tcW w:w="415" w:type="pct"/>
            <w:shd w:val="clear" w:color="auto" w:fill="auto"/>
            <w:tcMar>
              <w:top w:w="0" w:type="dxa"/>
              <w:left w:w="108" w:type="dxa"/>
              <w:bottom w:w="0" w:type="dxa"/>
              <w:right w:w="108" w:type="dxa"/>
            </w:tcMar>
            <w:vAlign w:val="center"/>
          </w:tcPr>
          <w:p w14:paraId="70C4C6B4"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6,904.02 </w:t>
            </w:r>
          </w:p>
        </w:tc>
        <w:tc>
          <w:tcPr>
            <w:tcW w:w="415" w:type="pct"/>
            <w:shd w:val="clear" w:color="auto" w:fill="auto"/>
            <w:tcMar>
              <w:top w:w="0" w:type="dxa"/>
              <w:left w:w="108" w:type="dxa"/>
              <w:bottom w:w="0" w:type="dxa"/>
              <w:right w:w="108" w:type="dxa"/>
            </w:tcMar>
            <w:vAlign w:val="center"/>
          </w:tcPr>
          <w:p w14:paraId="4807DF47"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8,406.64 </w:t>
            </w:r>
          </w:p>
        </w:tc>
        <w:tc>
          <w:tcPr>
            <w:tcW w:w="457" w:type="pct"/>
            <w:shd w:val="clear" w:color="auto" w:fill="auto"/>
            <w:tcMar>
              <w:top w:w="0" w:type="dxa"/>
              <w:left w:w="108" w:type="dxa"/>
              <w:bottom w:w="0" w:type="dxa"/>
              <w:right w:w="108" w:type="dxa"/>
            </w:tcMar>
            <w:vAlign w:val="center"/>
          </w:tcPr>
          <w:p w14:paraId="710D723E"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11,521.03 </w:t>
            </w:r>
          </w:p>
        </w:tc>
        <w:tc>
          <w:tcPr>
            <w:tcW w:w="457" w:type="pct"/>
            <w:shd w:val="clear" w:color="auto" w:fill="auto"/>
            <w:tcMar>
              <w:top w:w="0" w:type="dxa"/>
              <w:left w:w="108" w:type="dxa"/>
              <w:bottom w:w="0" w:type="dxa"/>
              <w:right w:w="108" w:type="dxa"/>
            </w:tcMar>
            <w:vAlign w:val="center"/>
          </w:tcPr>
          <w:p w14:paraId="2BE4B15B"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16,556.61 </w:t>
            </w:r>
          </w:p>
        </w:tc>
        <w:tc>
          <w:tcPr>
            <w:tcW w:w="457" w:type="pct"/>
            <w:shd w:val="clear" w:color="auto" w:fill="auto"/>
            <w:tcMar>
              <w:top w:w="0" w:type="dxa"/>
              <w:left w:w="108" w:type="dxa"/>
              <w:bottom w:w="0" w:type="dxa"/>
              <w:right w:w="108" w:type="dxa"/>
            </w:tcMar>
            <w:vAlign w:val="center"/>
          </w:tcPr>
          <w:p w14:paraId="7F74BB35"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16,361.37 </w:t>
            </w:r>
          </w:p>
        </w:tc>
        <w:tc>
          <w:tcPr>
            <w:tcW w:w="457" w:type="pct"/>
            <w:shd w:val="clear" w:color="auto" w:fill="auto"/>
            <w:tcMar>
              <w:top w:w="0" w:type="dxa"/>
              <w:left w:w="108" w:type="dxa"/>
              <w:bottom w:w="0" w:type="dxa"/>
              <w:right w:w="108" w:type="dxa"/>
            </w:tcMar>
            <w:vAlign w:val="center"/>
          </w:tcPr>
          <w:p w14:paraId="3C3EE793"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5446CE0A"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3B5B3518"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r>
      <w:tr w:rsidR="006416B0" w:rsidRPr="00B4515A" w14:paraId="7934C443"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59612DAD" w14:textId="77777777" w:rsidR="006416B0" w:rsidRPr="00B4515A" w:rsidRDefault="005E58C1" w:rsidP="005860B4">
            <w:pPr>
              <w:adjustRightInd w:val="0"/>
              <w:snapToGrid w:val="0"/>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四、所得税</w:t>
            </w:r>
          </w:p>
        </w:tc>
        <w:tc>
          <w:tcPr>
            <w:tcW w:w="415" w:type="pct"/>
            <w:shd w:val="clear" w:color="auto" w:fill="auto"/>
            <w:tcMar>
              <w:top w:w="0" w:type="dxa"/>
              <w:left w:w="108" w:type="dxa"/>
              <w:bottom w:w="0" w:type="dxa"/>
              <w:right w:w="108" w:type="dxa"/>
            </w:tcMar>
            <w:vAlign w:val="center"/>
          </w:tcPr>
          <w:p w14:paraId="0022302D"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0.00 </w:t>
            </w:r>
          </w:p>
        </w:tc>
        <w:tc>
          <w:tcPr>
            <w:tcW w:w="415" w:type="pct"/>
            <w:shd w:val="clear" w:color="auto" w:fill="auto"/>
            <w:tcMar>
              <w:top w:w="0" w:type="dxa"/>
              <w:left w:w="108" w:type="dxa"/>
              <w:bottom w:w="0" w:type="dxa"/>
              <w:right w:w="108" w:type="dxa"/>
            </w:tcMar>
            <w:vAlign w:val="center"/>
          </w:tcPr>
          <w:p w14:paraId="3A9ED829"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0.00 </w:t>
            </w:r>
          </w:p>
        </w:tc>
        <w:tc>
          <w:tcPr>
            <w:tcW w:w="415" w:type="pct"/>
            <w:shd w:val="clear" w:color="auto" w:fill="auto"/>
            <w:tcMar>
              <w:top w:w="0" w:type="dxa"/>
              <w:left w:w="108" w:type="dxa"/>
              <w:bottom w:w="0" w:type="dxa"/>
              <w:right w:w="108" w:type="dxa"/>
            </w:tcMar>
            <w:vAlign w:val="center"/>
          </w:tcPr>
          <w:p w14:paraId="7AD75E01"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0.00 </w:t>
            </w:r>
          </w:p>
        </w:tc>
        <w:tc>
          <w:tcPr>
            <w:tcW w:w="457" w:type="pct"/>
            <w:shd w:val="clear" w:color="auto" w:fill="auto"/>
            <w:tcMar>
              <w:top w:w="0" w:type="dxa"/>
              <w:left w:w="108" w:type="dxa"/>
              <w:bottom w:w="0" w:type="dxa"/>
              <w:right w:w="108" w:type="dxa"/>
            </w:tcMar>
            <w:vAlign w:val="center"/>
          </w:tcPr>
          <w:p w14:paraId="333E5509"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0.00 </w:t>
            </w:r>
          </w:p>
        </w:tc>
        <w:tc>
          <w:tcPr>
            <w:tcW w:w="457" w:type="pct"/>
            <w:shd w:val="clear" w:color="auto" w:fill="auto"/>
            <w:tcMar>
              <w:top w:w="0" w:type="dxa"/>
              <w:left w:w="108" w:type="dxa"/>
              <w:bottom w:w="0" w:type="dxa"/>
              <w:right w:w="108" w:type="dxa"/>
            </w:tcMar>
            <w:vAlign w:val="center"/>
          </w:tcPr>
          <w:p w14:paraId="7950F9BB"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0.00 </w:t>
            </w:r>
          </w:p>
        </w:tc>
        <w:tc>
          <w:tcPr>
            <w:tcW w:w="457" w:type="pct"/>
            <w:shd w:val="clear" w:color="auto" w:fill="auto"/>
            <w:tcMar>
              <w:top w:w="0" w:type="dxa"/>
              <w:left w:w="108" w:type="dxa"/>
              <w:bottom w:w="0" w:type="dxa"/>
              <w:right w:w="108" w:type="dxa"/>
            </w:tcMar>
            <w:vAlign w:val="center"/>
          </w:tcPr>
          <w:p w14:paraId="3289755E"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0.00 </w:t>
            </w:r>
          </w:p>
        </w:tc>
        <w:tc>
          <w:tcPr>
            <w:tcW w:w="457" w:type="pct"/>
            <w:shd w:val="clear" w:color="auto" w:fill="auto"/>
            <w:tcMar>
              <w:top w:w="0" w:type="dxa"/>
              <w:left w:w="108" w:type="dxa"/>
              <w:bottom w:w="0" w:type="dxa"/>
              <w:right w:w="108" w:type="dxa"/>
            </w:tcMar>
            <w:vAlign w:val="center"/>
          </w:tcPr>
          <w:p w14:paraId="5E68697E"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0.00 </w:t>
            </w:r>
          </w:p>
        </w:tc>
        <w:tc>
          <w:tcPr>
            <w:tcW w:w="457" w:type="pct"/>
            <w:shd w:val="clear" w:color="auto" w:fill="auto"/>
            <w:tcMar>
              <w:top w:w="0" w:type="dxa"/>
              <w:left w:w="108" w:type="dxa"/>
              <w:bottom w:w="0" w:type="dxa"/>
              <w:right w:w="108" w:type="dxa"/>
            </w:tcMar>
            <w:vAlign w:val="center"/>
          </w:tcPr>
          <w:p w14:paraId="66A3F883"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0.00 </w:t>
            </w:r>
          </w:p>
        </w:tc>
        <w:tc>
          <w:tcPr>
            <w:tcW w:w="457" w:type="pct"/>
            <w:shd w:val="clear" w:color="auto" w:fill="auto"/>
            <w:tcMar>
              <w:top w:w="0" w:type="dxa"/>
              <w:left w:w="108" w:type="dxa"/>
              <w:bottom w:w="0" w:type="dxa"/>
              <w:right w:w="108" w:type="dxa"/>
            </w:tcMar>
            <w:vAlign w:val="center"/>
          </w:tcPr>
          <w:p w14:paraId="3B81AF74"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1,462.69 </w:t>
            </w:r>
          </w:p>
        </w:tc>
      </w:tr>
      <w:tr w:rsidR="006416B0" w:rsidRPr="00B4515A" w14:paraId="2A13F7C0"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785A3759" w14:textId="77777777" w:rsidR="006416B0" w:rsidRPr="00B4515A" w:rsidRDefault="005E58C1" w:rsidP="005860B4">
            <w:pPr>
              <w:adjustRightInd w:val="0"/>
              <w:snapToGrid w:val="0"/>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五、净利润</w:t>
            </w:r>
          </w:p>
        </w:tc>
        <w:tc>
          <w:tcPr>
            <w:tcW w:w="415" w:type="pct"/>
            <w:shd w:val="clear" w:color="auto" w:fill="auto"/>
            <w:tcMar>
              <w:top w:w="0" w:type="dxa"/>
              <w:left w:w="108" w:type="dxa"/>
              <w:bottom w:w="0" w:type="dxa"/>
              <w:right w:w="108" w:type="dxa"/>
            </w:tcMar>
            <w:vAlign w:val="center"/>
          </w:tcPr>
          <w:p w14:paraId="380A38A9"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4,315.64 </w:t>
            </w:r>
          </w:p>
        </w:tc>
        <w:tc>
          <w:tcPr>
            <w:tcW w:w="415" w:type="pct"/>
            <w:shd w:val="clear" w:color="auto" w:fill="auto"/>
            <w:tcMar>
              <w:top w:w="0" w:type="dxa"/>
              <w:left w:w="108" w:type="dxa"/>
              <w:bottom w:w="0" w:type="dxa"/>
              <w:right w:w="108" w:type="dxa"/>
            </w:tcMar>
            <w:vAlign w:val="center"/>
          </w:tcPr>
          <w:p w14:paraId="7B2C7173"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6,904.02 </w:t>
            </w:r>
          </w:p>
        </w:tc>
        <w:tc>
          <w:tcPr>
            <w:tcW w:w="415" w:type="pct"/>
            <w:shd w:val="clear" w:color="auto" w:fill="auto"/>
            <w:tcMar>
              <w:top w:w="0" w:type="dxa"/>
              <w:left w:w="108" w:type="dxa"/>
              <w:bottom w:w="0" w:type="dxa"/>
              <w:right w:w="108" w:type="dxa"/>
            </w:tcMar>
            <w:vAlign w:val="center"/>
          </w:tcPr>
          <w:p w14:paraId="7309429C"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8,406.64 </w:t>
            </w:r>
          </w:p>
        </w:tc>
        <w:tc>
          <w:tcPr>
            <w:tcW w:w="457" w:type="pct"/>
            <w:shd w:val="clear" w:color="auto" w:fill="auto"/>
            <w:tcMar>
              <w:top w:w="0" w:type="dxa"/>
              <w:left w:w="108" w:type="dxa"/>
              <w:bottom w:w="0" w:type="dxa"/>
              <w:right w:w="108" w:type="dxa"/>
            </w:tcMar>
            <w:vAlign w:val="center"/>
          </w:tcPr>
          <w:p w14:paraId="454D41FF"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11,521.03 </w:t>
            </w:r>
          </w:p>
        </w:tc>
        <w:tc>
          <w:tcPr>
            <w:tcW w:w="457" w:type="pct"/>
            <w:shd w:val="clear" w:color="auto" w:fill="auto"/>
            <w:tcMar>
              <w:top w:w="0" w:type="dxa"/>
              <w:left w:w="108" w:type="dxa"/>
              <w:bottom w:w="0" w:type="dxa"/>
              <w:right w:w="108" w:type="dxa"/>
            </w:tcMar>
            <w:vAlign w:val="center"/>
          </w:tcPr>
          <w:p w14:paraId="3FE9C00F"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16,556.61 </w:t>
            </w:r>
          </w:p>
        </w:tc>
        <w:tc>
          <w:tcPr>
            <w:tcW w:w="457" w:type="pct"/>
            <w:shd w:val="clear" w:color="auto" w:fill="auto"/>
            <w:tcMar>
              <w:top w:w="0" w:type="dxa"/>
              <w:left w:w="108" w:type="dxa"/>
              <w:bottom w:w="0" w:type="dxa"/>
              <w:right w:w="108" w:type="dxa"/>
            </w:tcMar>
            <w:vAlign w:val="center"/>
          </w:tcPr>
          <w:p w14:paraId="0579D2EC"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16,361.37 </w:t>
            </w:r>
          </w:p>
        </w:tc>
        <w:tc>
          <w:tcPr>
            <w:tcW w:w="457" w:type="pct"/>
            <w:shd w:val="clear" w:color="auto" w:fill="auto"/>
            <w:tcMar>
              <w:top w:w="0" w:type="dxa"/>
              <w:left w:w="108" w:type="dxa"/>
              <w:bottom w:w="0" w:type="dxa"/>
              <w:right w:w="108" w:type="dxa"/>
            </w:tcMar>
            <w:vAlign w:val="center"/>
          </w:tcPr>
          <w:p w14:paraId="2D9D688C"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0AC0A146"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1AF7A8D0"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13,976.40 </w:t>
            </w:r>
          </w:p>
        </w:tc>
      </w:tr>
      <w:tr w:rsidR="006416B0" w:rsidRPr="00B4515A" w14:paraId="4C324BBA"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5B143F77" w14:textId="77777777" w:rsidR="006416B0" w:rsidRPr="00B4515A" w:rsidRDefault="005E58C1" w:rsidP="005860B4">
            <w:pPr>
              <w:adjustRightInd w:val="0"/>
              <w:snapToGrid w:val="0"/>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六、归属于母公司损益</w:t>
            </w:r>
          </w:p>
        </w:tc>
        <w:tc>
          <w:tcPr>
            <w:tcW w:w="415" w:type="pct"/>
            <w:shd w:val="clear" w:color="auto" w:fill="auto"/>
            <w:tcMar>
              <w:top w:w="0" w:type="dxa"/>
              <w:left w:w="108" w:type="dxa"/>
              <w:bottom w:w="0" w:type="dxa"/>
              <w:right w:w="108" w:type="dxa"/>
            </w:tcMar>
            <w:vAlign w:val="center"/>
          </w:tcPr>
          <w:p w14:paraId="32D39358"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4,315.64 </w:t>
            </w:r>
          </w:p>
        </w:tc>
        <w:tc>
          <w:tcPr>
            <w:tcW w:w="415" w:type="pct"/>
            <w:shd w:val="clear" w:color="auto" w:fill="auto"/>
            <w:tcMar>
              <w:top w:w="0" w:type="dxa"/>
              <w:left w:w="108" w:type="dxa"/>
              <w:bottom w:w="0" w:type="dxa"/>
              <w:right w:w="108" w:type="dxa"/>
            </w:tcMar>
            <w:vAlign w:val="center"/>
          </w:tcPr>
          <w:p w14:paraId="79C86C02"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6,904.02 </w:t>
            </w:r>
          </w:p>
        </w:tc>
        <w:tc>
          <w:tcPr>
            <w:tcW w:w="415" w:type="pct"/>
            <w:shd w:val="clear" w:color="auto" w:fill="auto"/>
            <w:tcMar>
              <w:top w:w="0" w:type="dxa"/>
              <w:left w:w="108" w:type="dxa"/>
              <w:bottom w:w="0" w:type="dxa"/>
              <w:right w:w="108" w:type="dxa"/>
            </w:tcMar>
            <w:vAlign w:val="center"/>
          </w:tcPr>
          <w:p w14:paraId="18E48F27"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8,406.64 </w:t>
            </w:r>
          </w:p>
        </w:tc>
        <w:tc>
          <w:tcPr>
            <w:tcW w:w="457" w:type="pct"/>
            <w:shd w:val="clear" w:color="auto" w:fill="auto"/>
            <w:tcMar>
              <w:top w:w="0" w:type="dxa"/>
              <w:left w:w="108" w:type="dxa"/>
              <w:bottom w:w="0" w:type="dxa"/>
              <w:right w:w="108" w:type="dxa"/>
            </w:tcMar>
            <w:vAlign w:val="center"/>
          </w:tcPr>
          <w:p w14:paraId="1354798D"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11,521.03 </w:t>
            </w:r>
          </w:p>
        </w:tc>
        <w:tc>
          <w:tcPr>
            <w:tcW w:w="457" w:type="pct"/>
            <w:shd w:val="clear" w:color="auto" w:fill="auto"/>
            <w:tcMar>
              <w:top w:w="0" w:type="dxa"/>
              <w:left w:w="108" w:type="dxa"/>
              <w:bottom w:w="0" w:type="dxa"/>
              <w:right w:w="108" w:type="dxa"/>
            </w:tcMar>
            <w:vAlign w:val="center"/>
          </w:tcPr>
          <w:p w14:paraId="2AC7DA69"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16,556.61 </w:t>
            </w:r>
          </w:p>
        </w:tc>
        <w:tc>
          <w:tcPr>
            <w:tcW w:w="457" w:type="pct"/>
            <w:shd w:val="clear" w:color="auto" w:fill="auto"/>
            <w:tcMar>
              <w:top w:w="0" w:type="dxa"/>
              <w:left w:w="108" w:type="dxa"/>
              <w:bottom w:w="0" w:type="dxa"/>
              <w:right w:w="108" w:type="dxa"/>
            </w:tcMar>
            <w:vAlign w:val="center"/>
          </w:tcPr>
          <w:p w14:paraId="5012ACDC"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16,361.37 </w:t>
            </w:r>
          </w:p>
        </w:tc>
        <w:tc>
          <w:tcPr>
            <w:tcW w:w="457" w:type="pct"/>
            <w:shd w:val="clear" w:color="auto" w:fill="auto"/>
            <w:tcMar>
              <w:top w:w="0" w:type="dxa"/>
              <w:left w:w="108" w:type="dxa"/>
              <w:bottom w:w="0" w:type="dxa"/>
              <w:right w:w="108" w:type="dxa"/>
            </w:tcMar>
            <w:vAlign w:val="center"/>
          </w:tcPr>
          <w:p w14:paraId="777E4F08"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43AAE150"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0D929A33"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13,976.40 </w:t>
            </w:r>
          </w:p>
        </w:tc>
      </w:tr>
      <w:tr w:rsidR="006416B0" w:rsidRPr="00B4515A" w14:paraId="7384B430"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408FF710" w14:textId="77777777" w:rsidR="006416B0" w:rsidRPr="00B4515A" w:rsidRDefault="005E58C1" w:rsidP="002B0582">
            <w:pPr>
              <w:keepNext/>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lastRenderedPageBreak/>
              <w:t>其中：基准日已实现母公司净利润</w:t>
            </w:r>
          </w:p>
        </w:tc>
        <w:tc>
          <w:tcPr>
            <w:tcW w:w="415" w:type="pct"/>
            <w:shd w:val="clear" w:color="auto" w:fill="auto"/>
            <w:tcMar>
              <w:top w:w="0" w:type="dxa"/>
              <w:left w:w="108" w:type="dxa"/>
              <w:bottom w:w="0" w:type="dxa"/>
              <w:right w:w="108" w:type="dxa"/>
            </w:tcMar>
            <w:vAlign w:val="center"/>
          </w:tcPr>
          <w:p w14:paraId="6E05E824" w14:textId="77777777" w:rsidR="006416B0" w:rsidRPr="00B4515A" w:rsidRDefault="005E58C1" w:rsidP="002B0582">
            <w:pPr>
              <w:keepNext/>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 xml:space="preserve">780.09 </w:t>
            </w:r>
          </w:p>
        </w:tc>
        <w:tc>
          <w:tcPr>
            <w:tcW w:w="415" w:type="pct"/>
            <w:shd w:val="clear" w:color="auto" w:fill="auto"/>
            <w:tcMar>
              <w:top w:w="0" w:type="dxa"/>
              <w:left w:w="108" w:type="dxa"/>
              <w:bottom w:w="0" w:type="dxa"/>
              <w:right w:w="108" w:type="dxa"/>
            </w:tcMar>
            <w:vAlign w:val="center"/>
          </w:tcPr>
          <w:p w14:paraId="73A7AA48" w14:textId="77777777" w:rsidR="006416B0" w:rsidRPr="00B4515A" w:rsidRDefault="005E58C1" w:rsidP="002B0582">
            <w:pPr>
              <w:keepNext/>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 xml:space="preserve">　</w:t>
            </w:r>
          </w:p>
        </w:tc>
        <w:tc>
          <w:tcPr>
            <w:tcW w:w="415" w:type="pct"/>
            <w:shd w:val="clear" w:color="auto" w:fill="auto"/>
            <w:tcMar>
              <w:top w:w="0" w:type="dxa"/>
              <w:left w:w="108" w:type="dxa"/>
              <w:bottom w:w="0" w:type="dxa"/>
              <w:right w:w="108" w:type="dxa"/>
            </w:tcMar>
            <w:vAlign w:val="center"/>
          </w:tcPr>
          <w:p w14:paraId="023C7A15" w14:textId="77777777" w:rsidR="006416B0" w:rsidRPr="00B4515A" w:rsidRDefault="005E58C1" w:rsidP="002B0582">
            <w:pPr>
              <w:keepNext/>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 xml:space="preserve">　</w:t>
            </w:r>
          </w:p>
        </w:tc>
        <w:tc>
          <w:tcPr>
            <w:tcW w:w="457" w:type="pct"/>
            <w:shd w:val="clear" w:color="auto" w:fill="auto"/>
            <w:tcMar>
              <w:top w:w="0" w:type="dxa"/>
              <w:left w:w="108" w:type="dxa"/>
              <w:bottom w:w="0" w:type="dxa"/>
              <w:right w:w="108" w:type="dxa"/>
            </w:tcMar>
            <w:vAlign w:val="center"/>
          </w:tcPr>
          <w:p w14:paraId="652416B9" w14:textId="77777777" w:rsidR="006416B0" w:rsidRPr="00B4515A" w:rsidRDefault="005E58C1" w:rsidP="002B0582">
            <w:pPr>
              <w:keepNext/>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 xml:space="preserve">　</w:t>
            </w:r>
          </w:p>
        </w:tc>
        <w:tc>
          <w:tcPr>
            <w:tcW w:w="457" w:type="pct"/>
            <w:shd w:val="clear" w:color="auto" w:fill="auto"/>
            <w:tcMar>
              <w:top w:w="0" w:type="dxa"/>
              <w:left w:w="108" w:type="dxa"/>
              <w:bottom w:w="0" w:type="dxa"/>
              <w:right w:w="108" w:type="dxa"/>
            </w:tcMar>
            <w:vAlign w:val="center"/>
          </w:tcPr>
          <w:p w14:paraId="34889FA9" w14:textId="77777777" w:rsidR="006416B0" w:rsidRPr="00B4515A" w:rsidRDefault="005E58C1" w:rsidP="002B0582">
            <w:pPr>
              <w:keepNext/>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 xml:space="preserve">　</w:t>
            </w:r>
          </w:p>
        </w:tc>
        <w:tc>
          <w:tcPr>
            <w:tcW w:w="457" w:type="pct"/>
            <w:shd w:val="clear" w:color="auto" w:fill="auto"/>
            <w:tcMar>
              <w:top w:w="0" w:type="dxa"/>
              <w:left w:w="108" w:type="dxa"/>
              <w:bottom w:w="0" w:type="dxa"/>
              <w:right w:w="108" w:type="dxa"/>
            </w:tcMar>
            <w:vAlign w:val="center"/>
          </w:tcPr>
          <w:p w14:paraId="7861E8D0" w14:textId="77777777" w:rsidR="006416B0" w:rsidRPr="00B4515A" w:rsidRDefault="005E58C1" w:rsidP="002B0582">
            <w:pPr>
              <w:keepNext/>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 xml:space="preserve">　</w:t>
            </w:r>
          </w:p>
        </w:tc>
        <w:tc>
          <w:tcPr>
            <w:tcW w:w="457" w:type="pct"/>
            <w:shd w:val="clear" w:color="auto" w:fill="auto"/>
            <w:tcMar>
              <w:top w:w="0" w:type="dxa"/>
              <w:left w:w="108" w:type="dxa"/>
              <w:bottom w:w="0" w:type="dxa"/>
              <w:right w:w="108" w:type="dxa"/>
            </w:tcMar>
            <w:vAlign w:val="center"/>
          </w:tcPr>
          <w:p w14:paraId="5F2D6C45" w14:textId="77777777" w:rsidR="006416B0" w:rsidRPr="00B4515A" w:rsidRDefault="005E58C1" w:rsidP="002B0582">
            <w:pPr>
              <w:keepNext/>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 xml:space="preserve">　</w:t>
            </w:r>
          </w:p>
        </w:tc>
        <w:tc>
          <w:tcPr>
            <w:tcW w:w="457" w:type="pct"/>
            <w:shd w:val="clear" w:color="auto" w:fill="auto"/>
            <w:tcMar>
              <w:top w:w="0" w:type="dxa"/>
              <w:left w:w="108" w:type="dxa"/>
              <w:bottom w:w="0" w:type="dxa"/>
              <w:right w:w="108" w:type="dxa"/>
            </w:tcMar>
            <w:vAlign w:val="center"/>
          </w:tcPr>
          <w:p w14:paraId="6C9F84E1" w14:textId="77777777" w:rsidR="006416B0" w:rsidRPr="00B4515A" w:rsidRDefault="005E58C1" w:rsidP="002B0582">
            <w:pPr>
              <w:keepNext/>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 xml:space="preserve">　</w:t>
            </w:r>
          </w:p>
        </w:tc>
        <w:tc>
          <w:tcPr>
            <w:tcW w:w="457" w:type="pct"/>
            <w:shd w:val="clear" w:color="auto" w:fill="auto"/>
            <w:tcMar>
              <w:top w:w="0" w:type="dxa"/>
              <w:left w:w="108" w:type="dxa"/>
              <w:bottom w:w="0" w:type="dxa"/>
              <w:right w:w="108" w:type="dxa"/>
            </w:tcMar>
            <w:vAlign w:val="center"/>
          </w:tcPr>
          <w:p w14:paraId="3EB9A892" w14:textId="77777777" w:rsidR="006416B0" w:rsidRPr="00B4515A" w:rsidRDefault="005E58C1" w:rsidP="002B0582">
            <w:pPr>
              <w:keepNext/>
              <w:adjustRightInd w:val="0"/>
              <w:snapToGrid w:val="0"/>
              <w:jc w:val="right"/>
              <w:rPr>
                <w:rFonts w:ascii="Times New Roman" w:hAnsi="Times New Roman" w:cs="Times New Roman"/>
                <w:color w:val="000000" w:themeColor="text1"/>
                <w:sz w:val="21"/>
                <w:szCs w:val="21"/>
              </w:rPr>
            </w:pPr>
            <w:r w:rsidRPr="00B4515A">
              <w:rPr>
                <w:rFonts w:ascii="Times New Roman" w:hAnsi="Times New Roman" w:cs="Times New Roman" w:hint="eastAsia"/>
                <w:color w:val="000000" w:themeColor="text1"/>
                <w:sz w:val="21"/>
                <w:szCs w:val="21"/>
              </w:rPr>
              <w:t xml:space="preserve">　</w:t>
            </w:r>
          </w:p>
        </w:tc>
      </w:tr>
      <w:tr w:rsidR="006416B0" w:rsidRPr="00B4515A" w14:paraId="0F8EB7CB"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45019CC2" w14:textId="77777777" w:rsidR="006416B0" w:rsidRPr="00B4515A" w:rsidRDefault="005E58C1" w:rsidP="005860B4">
            <w:pPr>
              <w:adjustRightInd w:val="0"/>
              <w:snapToGrid w:val="0"/>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 xml:space="preserve">     </w:t>
            </w:r>
            <w:r w:rsidRPr="00B4515A">
              <w:rPr>
                <w:rFonts w:ascii="Times New Roman" w:hAnsi="Times New Roman" w:cs="Times New Roman"/>
                <w:b/>
                <w:bCs/>
                <w:color w:val="000000" w:themeColor="text1"/>
                <w:sz w:val="21"/>
                <w:szCs w:val="21"/>
              </w:rPr>
              <w:t>加：折旧和摊销</w:t>
            </w:r>
          </w:p>
        </w:tc>
        <w:tc>
          <w:tcPr>
            <w:tcW w:w="415" w:type="pct"/>
            <w:shd w:val="clear" w:color="auto" w:fill="auto"/>
            <w:tcMar>
              <w:top w:w="0" w:type="dxa"/>
              <w:left w:w="108" w:type="dxa"/>
              <w:bottom w:w="0" w:type="dxa"/>
              <w:right w:w="108" w:type="dxa"/>
            </w:tcMar>
            <w:vAlign w:val="center"/>
          </w:tcPr>
          <w:p w14:paraId="69E79A1D"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958.90 </w:t>
            </w:r>
          </w:p>
        </w:tc>
        <w:tc>
          <w:tcPr>
            <w:tcW w:w="415" w:type="pct"/>
            <w:shd w:val="clear" w:color="auto" w:fill="auto"/>
            <w:tcMar>
              <w:top w:w="0" w:type="dxa"/>
              <w:left w:w="108" w:type="dxa"/>
              <w:bottom w:w="0" w:type="dxa"/>
              <w:right w:w="108" w:type="dxa"/>
            </w:tcMar>
            <w:vAlign w:val="center"/>
          </w:tcPr>
          <w:p w14:paraId="751029FE"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2,925.58 </w:t>
            </w:r>
          </w:p>
        </w:tc>
        <w:tc>
          <w:tcPr>
            <w:tcW w:w="415" w:type="pct"/>
            <w:shd w:val="clear" w:color="auto" w:fill="auto"/>
            <w:tcMar>
              <w:top w:w="0" w:type="dxa"/>
              <w:left w:w="108" w:type="dxa"/>
              <w:bottom w:w="0" w:type="dxa"/>
              <w:right w:w="108" w:type="dxa"/>
            </w:tcMar>
            <w:vAlign w:val="center"/>
          </w:tcPr>
          <w:p w14:paraId="0827DEDA"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3,610.88 </w:t>
            </w:r>
          </w:p>
        </w:tc>
        <w:tc>
          <w:tcPr>
            <w:tcW w:w="457" w:type="pct"/>
            <w:shd w:val="clear" w:color="auto" w:fill="auto"/>
            <w:tcMar>
              <w:top w:w="0" w:type="dxa"/>
              <w:left w:w="108" w:type="dxa"/>
              <w:bottom w:w="0" w:type="dxa"/>
              <w:right w:w="108" w:type="dxa"/>
            </w:tcMar>
            <w:vAlign w:val="center"/>
          </w:tcPr>
          <w:p w14:paraId="7C9D021F"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4,379.74 </w:t>
            </w:r>
          </w:p>
        </w:tc>
        <w:tc>
          <w:tcPr>
            <w:tcW w:w="457" w:type="pct"/>
            <w:shd w:val="clear" w:color="auto" w:fill="auto"/>
            <w:tcMar>
              <w:top w:w="0" w:type="dxa"/>
              <w:left w:w="108" w:type="dxa"/>
              <w:bottom w:w="0" w:type="dxa"/>
              <w:right w:w="108" w:type="dxa"/>
            </w:tcMar>
            <w:vAlign w:val="center"/>
          </w:tcPr>
          <w:p w14:paraId="2E67508E"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5,061.03 </w:t>
            </w:r>
          </w:p>
        </w:tc>
        <w:tc>
          <w:tcPr>
            <w:tcW w:w="457" w:type="pct"/>
            <w:shd w:val="clear" w:color="auto" w:fill="auto"/>
            <w:tcMar>
              <w:top w:w="0" w:type="dxa"/>
              <w:left w:w="108" w:type="dxa"/>
              <w:bottom w:w="0" w:type="dxa"/>
              <w:right w:w="108" w:type="dxa"/>
            </w:tcMar>
            <w:vAlign w:val="center"/>
          </w:tcPr>
          <w:p w14:paraId="4C8A23A3"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5,256.27 </w:t>
            </w:r>
          </w:p>
        </w:tc>
        <w:tc>
          <w:tcPr>
            <w:tcW w:w="457" w:type="pct"/>
            <w:shd w:val="clear" w:color="auto" w:fill="auto"/>
            <w:tcMar>
              <w:top w:w="0" w:type="dxa"/>
              <w:left w:w="108" w:type="dxa"/>
              <w:bottom w:w="0" w:type="dxa"/>
              <w:right w:w="108" w:type="dxa"/>
            </w:tcMar>
            <w:vAlign w:val="center"/>
          </w:tcPr>
          <w:p w14:paraId="6A860C10"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6,178.56 </w:t>
            </w:r>
          </w:p>
        </w:tc>
        <w:tc>
          <w:tcPr>
            <w:tcW w:w="457" w:type="pct"/>
            <w:shd w:val="clear" w:color="auto" w:fill="auto"/>
            <w:tcMar>
              <w:top w:w="0" w:type="dxa"/>
              <w:left w:w="108" w:type="dxa"/>
              <w:bottom w:w="0" w:type="dxa"/>
              <w:right w:w="108" w:type="dxa"/>
            </w:tcMar>
            <w:vAlign w:val="center"/>
          </w:tcPr>
          <w:p w14:paraId="3389B893"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6,178.56 </w:t>
            </w:r>
          </w:p>
        </w:tc>
        <w:tc>
          <w:tcPr>
            <w:tcW w:w="457" w:type="pct"/>
            <w:shd w:val="clear" w:color="auto" w:fill="auto"/>
            <w:tcMar>
              <w:top w:w="0" w:type="dxa"/>
              <w:left w:w="108" w:type="dxa"/>
              <w:bottom w:w="0" w:type="dxa"/>
              <w:right w:w="108" w:type="dxa"/>
            </w:tcMar>
            <w:vAlign w:val="center"/>
          </w:tcPr>
          <w:p w14:paraId="457AB56C"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6,178.56 </w:t>
            </w:r>
          </w:p>
        </w:tc>
      </w:tr>
      <w:tr w:rsidR="006416B0" w:rsidRPr="00B4515A" w14:paraId="6370C323"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712DAC21" w14:textId="77777777" w:rsidR="006416B0" w:rsidRPr="00B4515A" w:rsidRDefault="005E58C1" w:rsidP="005860B4">
            <w:pPr>
              <w:adjustRightInd w:val="0"/>
              <w:snapToGrid w:val="0"/>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 xml:space="preserve">     </w:t>
            </w:r>
            <w:r w:rsidRPr="00B4515A">
              <w:rPr>
                <w:rFonts w:ascii="Times New Roman" w:hAnsi="Times New Roman" w:cs="Times New Roman"/>
                <w:b/>
                <w:bCs/>
                <w:color w:val="000000" w:themeColor="text1"/>
                <w:sz w:val="21"/>
                <w:szCs w:val="21"/>
              </w:rPr>
              <w:t>减：资本性支出</w:t>
            </w:r>
          </w:p>
        </w:tc>
        <w:tc>
          <w:tcPr>
            <w:tcW w:w="415" w:type="pct"/>
            <w:shd w:val="clear" w:color="auto" w:fill="auto"/>
            <w:tcMar>
              <w:top w:w="0" w:type="dxa"/>
              <w:left w:w="108" w:type="dxa"/>
              <w:bottom w:w="0" w:type="dxa"/>
              <w:right w:w="108" w:type="dxa"/>
            </w:tcMar>
            <w:vAlign w:val="center"/>
          </w:tcPr>
          <w:p w14:paraId="00314F79"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4,163.33 </w:t>
            </w:r>
          </w:p>
        </w:tc>
        <w:tc>
          <w:tcPr>
            <w:tcW w:w="415" w:type="pct"/>
            <w:shd w:val="clear" w:color="auto" w:fill="auto"/>
            <w:tcMar>
              <w:top w:w="0" w:type="dxa"/>
              <w:left w:w="108" w:type="dxa"/>
              <w:bottom w:w="0" w:type="dxa"/>
              <w:right w:w="108" w:type="dxa"/>
            </w:tcMar>
            <w:vAlign w:val="center"/>
          </w:tcPr>
          <w:p w14:paraId="7EC29491"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4,704.43 </w:t>
            </w:r>
          </w:p>
        </w:tc>
        <w:tc>
          <w:tcPr>
            <w:tcW w:w="415" w:type="pct"/>
            <w:shd w:val="clear" w:color="auto" w:fill="auto"/>
            <w:tcMar>
              <w:top w:w="0" w:type="dxa"/>
              <w:left w:w="108" w:type="dxa"/>
              <w:bottom w:w="0" w:type="dxa"/>
              <w:right w:w="108" w:type="dxa"/>
            </w:tcMar>
            <w:vAlign w:val="center"/>
          </w:tcPr>
          <w:p w14:paraId="09CA870D"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5,245.57 </w:t>
            </w:r>
          </w:p>
        </w:tc>
        <w:tc>
          <w:tcPr>
            <w:tcW w:w="457" w:type="pct"/>
            <w:shd w:val="clear" w:color="auto" w:fill="auto"/>
            <w:tcMar>
              <w:top w:w="0" w:type="dxa"/>
              <w:left w:w="108" w:type="dxa"/>
              <w:bottom w:w="0" w:type="dxa"/>
              <w:right w:w="108" w:type="dxa"/>
            </w:tcMar>
            <w:vAlign w:val="center"/>
          </w:tcPr>
          <w:p w14:paraId="39ABAFB3"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5,833.29 </w:t>
            </w:r>
          </w:p>
        </w:tc>
        <w:tc>
          <w:tcPr>
            <w:tcW w:w="457" w:type="pct"/>
            <w:shd w:val="clear" w:color="auto" w:fill="auto"/>
            <w:tcMar>
              <w:top w:w="0" w:type="dxa"/>
              <w:left w:w="108" w:type="dxa"/>
              <w:bottom w:w="0" w:type="dxa"/>
              <w:right w:w="108" w:type="dxa"/>
            </w:tcMar>
            <w:vAlign w:val="center"/>
          </w:tcPr>
          <w:p w14:paraId="0A8045CA"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6,178.56 </w:t>
            </w:r>
          </w:p>
        </w:tc>
        <w:tc>
          <w:tcPr>
            <w:tcW w:w="457" w:type="pct"/>
            <w:shd w:val="clear" w:color="auto" w:fill="auto"/>
            <w:tcMar>
              <w:top w:w="0" w:type="dxa"/>
              <w:left w:w="108" w:type="dxa"/>
              <w:bottom w:w="0" w:type="dxa"/>
              <w:right w:w="108" w:type="dxa"/>
            </w:tcMar>
            <w:vAlign w:val="center"/>
          </w:tcPr>
          <w:p w14:paraId="76020F1A"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6,178.56 </w:t>
            </w:r>
          </w:p>
        </w:tc>
        <w:tc>
          <w:tcPr>
            <w:tcW w:w="457" w:type="pct"/>
            <w:shd w:val="clear" w:color="auto" w:fill="auto"/>
            <w:tcMar>
              <w:top w:w="0" w:type="dxa"/>
              <w:left w:w="108" w:type="dxa"/>
              <w:bottom w:w="0" w:type="dxa"/>
              <w:right w:w="108" w:type="dxa"/>
            </w:tcMar>
            <w:vAlign w:val="center"/>
          </w:tcPr>
          <w:p w14:paraId="480A458A"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6,178.56 </w:t>
            </w:r>
          </w:p>
        </w:tc>
        <w:tc>
          <w:tcPr>
            <w:tcW w:w="457" w:type="pct"/>
            <w:shd w:val="clear" w:color="auto" w:fill="auto"/>
            <w:tcMar>
              <w:top w:w="0" w:type="dxa"/>
              <w:left w:w="108" w:type="dxa"/>
              <w:bottom w:w="0" w:type="dxa"/>
              <w:right w:w="108" w:type="dxa"/>
            </w:tcMar>
            <w:vAlign w:val="center"/>
          </w:tcPr>
          <w:p w14:paraId="4D1AAAF4"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6,178.56 </w:t>
            </w:r>
          </w:p>
        </w:tc>
        <w:tc>
          <w:tcPr>
            <w:tcW w:w="457" w:type="pct"/>
            <w:shd w:val="clear" w:color="auto" w:fill="auto"/>
            <w:tcMar>
              <w:top w:w="0" w:type="dxa"/>
              <w:left w:w="108" w:type="dxa"/>
              <w:bottom w:w="0" w:type="dxa"/>
              <w:right w:w="108" w:type="dxa"/>
            </w:tcMar>
            <w:vAlign w:val="center"/>
          </w:tcPr>
          <w:p w14:paraId="131D3B18"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6,178.56 </w:t>
            </w:r>
          </w:p>
        </w:tc>
      </w:tr>
      <w:tr w:rsidR="006416B0" w:rsidRPr="00B4515A" w14:paraId="1CE635EE"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77FAF120" w14:textId="77777777" w:rsidR="006416B0" w:rsidRPr="00B4515A" w:rsidRDefault="005E58C1" w:rsidP="005860B4">
            <w:pPr>
              <w:adjustRightInd w:val="0"/>
              <w:snapToGrid w:val="0"/>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 xml:space="preserve">     </w:t>
            </w:r>
            <w:r w:rsidRPr="00B4515A">
              <w:rPr>
                <w:rFonts w:ascii="Times New Roman" w:hAnsi="Times New Roman" w:cs="Times New Roman"/>
                <w:b/>
                <w:bCs/>
                <w:color w:val="000000" w:themeColor="text1"/>
                <w:sz w:val="21"/>
                <w:szCs w:val="21"/>
              </w:rPr>
              <w:t>减：营运资本增加</w:t>
            </w:r>
          </w:p>
        </w:tc>
        <w:tc>
          <w:tcPr>
            <w:tcW w:w="415" w:type="pct"/>
            <w:shd w:val="clear" w:color="auto" w:fill="auto"/>
            <w:tcMar>
              <w:top w:w="0" w:type="dxa"/>
              <w:left w:w="108" w:type="dxa"/>
              <w:bottom w:w="0" w:type="dxa"/>
              <w:right w:w="108" w:type="dxa"/>
            </w:tcMar>
            <w:vAlign w:val="center"/>
          </w:tcPr>
          <w:p w14:paraId="7101498A"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2,212.73 </w:t>
            </w:r>
          </w:p>
        </w:tc>
        <w:tc>
          <w:tcPr>
            <w:tcW w:w="415" w:type="pct"/>
            <w:shd w:val="clear" w:color="auto" w:fill="auto"/>
            <w:tcMar>
              <w:top w:w="0" w:type="dxa"/>
              <w:left w:w="108" w:type="dxa"/>
              <w:bottom w:w="0" w:type="dxa"/>
              <w:right w:w="108" w:type="dxa"/>
            </w:tcMar>
            <w:vAlign w:val="center"/>
          </w:tcPr>
          <w:p w14:paraId="596F2925"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1,818.70 </w:t>
            </w:r>
          </w:p>
        </w:tc>
        <w:tc>
          <w:tcPr>
            <w:tcW w:w="415" w:type="pct"/>
            <w:shd w:val="clear" w:color="auto" w:fill="auto"/>
            <w:tcMar>
              <w:top w:w="0" w:type="dxa"/>
              <w:left w:w="108" w:type="dxa"/>
              <w:bottom w:w="0" w:type="dxa"/>
              <w:right w:w="108" w:type="dxa"/>
            </w:tcMar>
            <w:vAlign w:val="center"/>
          </w:tcPr>
          <w:p w14:paraId="188A4D94"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1,909.95 </w:t>
            </w:r>
          </w:p>
        </w:tc>
        <w:tc>
          <w:tcPr>
            <w:tcW w:w="457" w:type="pct"/>
            <w:shd w:val="clear" w:color="auto" w:fill="auto"/>
            <w:tcMar>
              <w:top w:w="0" w:type="dxa"/>
              <w:left w:w="108" w:type="dxa"/>
              <w:bottom w:w="0" w:type="dxa"/>
              <w:right w:w="108" w:type="dxa"/>
            </w:tcMar>
            <w:vAlign w:val="center"/>
          </w:tcPr>
          <w:p w14:paraId="0CCEF824"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3,018.26 </w:t>
            </w:r>
          </w:p>
        </w:tc>
        <w:tc>
          <w:tcPr>
            <w:tcW w:w="457" w:type="pct"/>
            <w:shd w:val="clear" w:color="auto" w:fill="auto"/>
            <w:tcMar>
              <w:top w:w="0" w:type="dxa"/>
              <w:left w:w="108" w:type="dxa"/>
              <w:bottom w:w="0" w:type="dxa"/>
              <w:right w:w="108" w:type="dxa"/>
            </w:tcMar>
            <w:vAlign w:val="center"/>
          </w:tcPr>
          <w:p w14:paraId="7B123A97"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3,645.50 </w:t>
            </w:r>
          </w:p>
        </w:tc>
        <w:tc>
          <w:tcPr>
            <w:tcW w:w="457" w:type="pct"/>
            <w:shd w:val="clear" w:color="auto" w:fill="auto"/>
            <w:tcMar>
              <w:top w:w="0" w:type="dxa"/>
              <w:left w:w="108" w:type="dxa"/>
              <w:bottom w:w="0" w:type="dxa"/>
              <w:right w:w="108" w:type="dxa"/>
            </w:tcMar>
            <w:vAlign w:val="center"/>
          </w:tcPr>
          <w:p w14:paraId="055EB7EF"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0.00 </w:t>
            </w:r>
          </w:p>
        </w:tc>
        <w:tc>
          <w:tcPr>
            <w:tcW w:w="457" w:type="pct"/>
            <w:shd w:val="clear" w:color="auto" w:fill="auto"/>
            <w:tcMar>
              <w:top w:w="0" w:type="dxa"/>
              <w:left w:w="108" w:type="dxa"/>
              <w:bottom w:w="0" w:type="dxa"/>
              <w:right w:w="108" w:type="dxa"/>
            </w:tcMar>
            <w:vAlign w:val="center"/>
          </w:tcPr>
          <w:p w14:paraId="1DC2EFB8"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0.00 </w:t>
            </w:r>
          </w:p>
        </w:tc>
        <w:tc>
          <w:tcPr>
            <w:tcW w:w="457" w:type="pct"/>
            <w:shd w:val="clear" w:color="auto" w:fill="auto"/>
            <w:tcMar>
              <w:top w:w="0" w:type="dxa"/>
              <w:left w:w="108" w:type="dxa"/>
              <w:bottom w:w="0" w:type="dxa"/>
              <w:right w:w="108" w:type="dxa"/>
            </w:tcMar>
            <w:vAlign w:val="center"/>
          </w:tcPr>
          <w:p w14:paraId="5A73198B"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0.00 </w:t>
            </w:r>
          </w:p>
        </w:tc>
        <w:tc>
          <w:tcPr>
            <w:tcW w:w="457" w:type="pct"/>
            <w:shd w:val="clear" w:color="auto" w:fill="auto"/>
            <w:tcMar>
              <w:top w:w="0" w:type="dxa"/>
              <w:left w:w="108" w:type="dxa"/>
              <w:bottom w:w="0" w:type="dxa"/>
              <w:right w:w="108" w:type="dxa"/>
            </w:tcMar>
            <w:vAlign w:val="center"/>
          </w:tcPr>
          <w:p w14:paraId="0CA7D014"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365.67 </w:t>
            </w:r>
          </w:p>
        </w:tc>
      </w:tr>
      <w:tr w:rsidR="006416B0" w:rsidRPr="00B4515A" w14:paraId="41C4B585"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46AFBACF" w14:textId="77777777" w:rsidR="006416B0" w:rsidRPr="00B4515A" w:rsidRDefault="005E58C1" w:rsidP="005860B4">
            <w:pPr>
              <w:adjustRightInd w:val="0"/>
              <w:snapToGrid w:val="0"/>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七、股权自由现金流</w:t>
            </w:r>
          </w:p>
        </w:tc>
        <w:tc>
          <w:tcPr>
            <w:tcW w:w="415" w:type="pct"/>
            <w:shd w:val="clear" w:color="auto" w:fill="auto"/>
            <w:tcMar>
              <w:top w:w="0" w:type="dxa"/>
              <w:left w:w="108" w:type="dxa"/>
              <w:bottom w:w="0" w:type="dxa"/>
              <w:right w:w="108" w:type="dxa"/>
            </w:tcMar>
            <w:vAlign w:val="center"/>
          </w:tcPr>
          <w:p w14:paraId="5E9E7EC0"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-1,881.61 </w:t>
            </w:r>
          </w:p>
        </w:tc>
        <w:tc>
          <w:tcPr>
            <w:tcW w:w="415" w:type="pct"/>
            <w:shd w:val="clear" w:color="auto" w:fill="auto"/>
            <w:tcMar>
              <w:top w:w="0" w:type="dxa"/>
              <w:left w:w="108" w:type="dxa"/>
              <w:bottom w:w="0" w:type="dxa"/>
              <w:right w:w="108" w:type="dxa"/>
            </w:tcMar>
            <w:vAlign w:val="center"/>
          </w:tcPr>
          <w:p w14:paraId="017166A4"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3,306.47 </w:t>
            </w:r>
          </w:p>
        </w:tc>
        <w:tc>
          <w:tcPr>
            <w:tcW w:w="415" w:type="pct"/>
            <w:shd w:val="clear" w:color="auto" w:fill="auto"/>
            <w:tcMar>
              <w:top w:w="0" w:type="dxa"/>
              <w:left w:w="108" w:type="dxa"/>
              <w:bottom w:w="0" w:type="dxa"/>
              <w:right w:w="108" w:type="dxa"/>
            </w:tcMar>
            <w:vAlign w:val="center"/>
          </w:tcPr>
          <w:p w14:paraId="767B61B7"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4,862.00 </w:t>
            </w:r>
          </w:p>
        </w:tc>
        <w:tc>
          <w:tcPr>
            <w:tcW w:w="457" w:type="pct"/>
            <w:shd w:val="clear" w:color="auto" w:fill="auto"/>
            <w:tcMar>
              <w:top w:w="0" w:type="dxa"/>
              <w:left w:w="108" w:type="dxa"/>
              <w:bottom w:w="0" w:type="dxa"/>
              <w:right w:w="108" w:type="dxa"/>
            </w:tcMar>
            <w:vAlign w:val="center"/>
          </w:tcPr>
          <w:p w14:paraId="766095E6"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7,049.22 </w:t>
            </w:r>
          </w:p>
        </w:tc>
        <w:tc>
          <w:tcPr>
            <w:tcW w:w="457" w:type="pct"/>
            <w:shd w:val="clear" w:color="auto" w:fill="auto"/>
            <w:tcMar>
              <w:top w:w="0" w:type="dxa"/>
              <w:left w:w="108" w:type="dxa"/>
              <w:bottom w:w="0" w:type="dxa"/>
              <w:right w:w="108" w:type="dxa"/>
            </w:tcMar>
            <w:vAlign w:val="center"/>
          </w:tcPr>
          <w:p w14:paraId="72639E00"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11,793.59 </w:t>
            </w:r>
          </w:p>
        </w:tc>
        <w:tc>
          <w:tcPr>
            <w:tcW w:w="457" w:type="pct"/>
            <w:shd w:val="clear" w:color="auto" w:fill="auto"/>
            <w:tcMar>
              <w:top w:w="0" w:type="dxa"/>
              <w:left w:w="108" w:type="dxa"/>
              <w:bottom w:w="0" w:type="dxa"/>
              <w:right w:w="108" w:type="dxa"/>
            </w:tcMar>
            <w:vAlign w:val="center"/>
          </w:tcPr>
          <w:p w14:paraId="72B1532B"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17D08B7D"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3683FF6C"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00EA90E1"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13,610.73 </w:t>
            </w:r>
          </w:p>
        </w:tc>
      </w:tr>
      <w:tr w:rsidR="006416B0" w:rsidRPr="00B4515A" w14:paraId="453BE821"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3274887C" w14:textId="77777777" w:rsidR="006416B0" w:rsidRPr="00B4515A" w:rsidRDefault="005E58C1" w:rsidP="005860B4">
            <w:pPr>
              <w:adjustRightInd w:val="0"/>
              <w:snapToGrid w:val="0"/>
              <w:rPr>
                <w:rFonts w:ascii="Times New Roman" w:hAnsi="Times New Roman" w:cs="Times New Roman"/>
                <w:color w:val="000000" w:themeColor="text1"/>
                <w:sz w:val="21"/>
                <w:szCs w:val="21"/>
              </w:rPr>
            </w:pPr>
            <w:r w:rsidRPr="00B4515A">
              <w:rPr>
                <w:rFonts w:ascii="Times New Roman" w:hAnsi="Times New Roman" w:cs="Times New Roman"/>
                <w:color w:val="000000" w:themeColor="text1"/>
                <w:sz w:val="21"/>
                <w:szCs w:val="21"/>
              </w:rPr>
              <w:t>加：税后的付息债务利息</w:t>
            </w:r>
          </w:p>
        </w:tc>
        <w:tc>
          <w:tcPr>
            <w:tcW w:w="415" w:type="pct"/>
            <w:shd w:val="clear" w:color="auto" w:fill="auto"/>
            <w:tcMar>
              <w:top w:w="0" w:type="dxa"/>
              <w:left w:w="108" w:type="dxa"/>
              <w:bottom w:w="0" w:type="dxa"/>
              <w:right w:w="108" w:type="dxa"/>
            </w:tcMar>
            <w:vAlign w:val="center"/>
          </w:tcPr>
          <w:p w14:paraId="3BA4C1D5"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sz w:val="21"/>
                <w:szCs w:val="21"/>
              </w:rPr>
              <w:t xml:space="preserve">8.63 </w:t>
            </w:r>
          </w:p>
        </w:tc>
        <w:tc>
          <w:tcPr>
            <w:tcW w:w="415" w:type="pct"/>
            <w:shd w:val="clear" w:color="auto" w:fill="auto"/>
            <w:tcMar>
              <w:top w:w="0" w:type="dxa"/>
              <w:left w:w="108" w:type="dxa"/>
              <w:bottom w:w="0" w:type="dxa"/>
              <w:right w:w="108" w:type="dxa"/>
            </w:tcMar>
            <w:vAlign w:val="center"/>
          </w:tcPr>
          <w:p w14:paraId="3AACD87A"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sz w:val="21"/>
                <w:szCs w:val="21"/>
              </w:rPr>
              <w:t xml:space="preserve">0.00 </w:t>
            </w:r>
          </w:p>
        </w:tc>
        <w:tc>
          <w:tcPr>
            <w:tcW w:w="415" w:type="pct"/>
            <w:shd w:val="clear" w:color="auto" w:fill="auto"/>
            <w:tcMar>
              <w:top w:w="0" w:type="dxa"/>
              <w:left w:w="108" w:type="dxa"/>
              <w:bottom w:w="0" w:type="dxa"/>
              <w:right w:w="108" w:type="dxa"/>
            </w:tcMar>
            <w:vAlign w:val="center"/>
          </w:tcPr>
          <w:p w14:paraId="13F9A0D5"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sz w:val="21"/>
                <w:szCs w:val="21"/>
              </w:rPr>
              <w:t xml:space="preserve">0.00 </w:t>
            </w:r>
          </w:p>
        </w:tc>
        <w:tc>
          <w:tcPr>
            <w:tcW w:w="457" w:type="pct"/>
            <w:shd w:val="clear" w:color="auto" w:fill="auto"/>
            <w:tcMar>
              <w:top w:w="0" w:type="dxa"/>
              <w:left w:w="108" w:type="dxa"/>
              <w:bottom w:w="0" w:type="dxa"/>
              <w:right w:w="108" w:type="dxa"/>
            </w:tcMar>
            <w:vAlign w:val="center"/>
          </w:tcPr>
          <w:p w14:paraId="6A9BBD0E"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sz w:val="21"/>
                <w:szCs w:val="21"/>
              </w:rPr>
              <w:t xml:space="preserve">0.00 </w:t>
            </w:r>
          </w:p>
        </w:tc>
        <w:tc>
          <w:tcPr>
            <w:tcW w:w="457" w:type="pct"/>
            <w:shd w:val="clear" w:color="auto" w:fill="auto"/>
            <w:tcMar>
              <w:top w:w="0" w:type="dxa"/>
              <w:left w:w="108" w:type="dxa"/>
              <w:bottom w:w="0" w:type="dxa"/>
              <w:right w:w="108" w:type="dxa"/>
            </w:tcMar>
            <w:vAlign w:val="center"/>
          </w:tcPr>
          <w:p w14:paraId="73B0AC55"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sz w:val="21"/>
                <w:szCs w:val="21"/>
              </w:rPr>
              <w:t xml:space="preserve">0.00 </w:t>
            </w:r>
          </w:p>
        </w:tc>
        <w:tc>
          <w:tcPr>
            <w:tcW w:w="457" w:type="pct"/>
            <w:shd w:val="clear" w:color="auto" w:fill="auto"/>
            <w:tcMar>
              <w:top w:w="0" w:type="dxa"/>
              <w:left w:w="108" w:type="dxa"/>
              <w:bottom w:w="0" w:type="dxa"/>
              <w:right w:w="108" w:type="dxa"/>
            </w:tcMar>
            <w:vAlign w:val="center"/>
          </w:tcPr>
          <w:p w14:paraId="5BD02872"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sz w:val="21"/>
                <w:szCs w:val="21"/>
              </w:rPr>
              <w:t xml:space="preserve">0.00 </w:t>
            </w:r>
          </w:p>
        </w:tc>
        <w:tc>
          <w:tcPr>
            <w:tcW w:w="457" w:type="pct"/>
            <w:shd w:val="clear" w:color="auto" w:fill="auto"/>
            <w:tcMar>
              <w:top w:w="0" w:type="dxa"/>
              <w:left w:w="108" w:type="dxa"/>
              <w:bottom w:w="0" w:type="dxa"/>
              <w:right w:w="108" w:type="dxa"/>
            </w:tcMar>
            <w:vAlign w:val="center"/>
          </w:tcPr>
          <w:p w14:paraId="5BAC8916"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sz w:val="21"/>
                <w:szCs w:val="21"/>
              </w:rPr>
              <w:t xml:space="preserve">0.00 </w:t>
            </w:r>
          </w:p>
        </w:tc>
        <w:tc>
          <w:tcPr>
            <w:tcW w:w="457" w:type="pct"/>
            <w:shd w:val="clear" w:color="auto" w:fill="auto"/>
            <w:tcMar>
              <w:top w:w="0" w:type="dxa"/>
              <w:left w:w="108" w:type="dxa"/>
              <w:bottom w:w="0" w:type="dxa"/>
              <w:right w:w="108" w:type="dxa"/>
            </w:tcMar>
            <w:vAlign w:val="center"/>
          </w:tcPr>
          <w:p w14:paraId="0513EB82"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sz w:val="21"/>
                <w:szCs w:val="21"/>
              </w:rPr>
              <w:t xml:space="preserve">0.00 </w:t>
            </w:r>
          </w:p>
        </w:tc>
        <w:tc>
          <w:tcPr>
            <w:tcW w:w="457" w:type="pct"/>
            <w:shd w:val="clear" w:color="auto" w:fill="auto"/>
            <w:tcMar>
              <w:top w:w="0" w:type="dxa"/>
              <w:left w:w="108" w:type="dxa"/>
              <w:bottom w:w="0" w:type="dxa"/>
              <w:right w:w="108" w:type="dxa"/>
            </w:tcMar>
            <w:vAlign w:val="center"/>
          </w:tcPr>
          <w:p w14:paraId="683E9DE2"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sz w:val="21"/>
                <w:szCs w:val="21"/>
              </w:rPr>
              <w:t xml:space="preserve">0.00 </w:t>
            </w:r>
          </w:p>
        </w:tc>
      </w:tr>
      <w:tr w:rsidR="006416B0" w:rsidRPr="00B4515A" w14:paraId="10C6CA5F" w14:textId="77777777" w:rsidTr="00031627">
        <w:trPr>
          <w:trHeight w:val="340"/>
          <w:jc w:val="center"/>
        </w:trPr>
        <w:tc>
          <w:tcPr>
            <w:tcW w:w="1015" w:type="pct"/>
            <w:shd w:val="clear" w:color="auto" w:fill="auto"/>
            <w:tcMar>
              <w:top w:w="0" w:type="dxa"/>
              <w:left w:w="108" w:type="dxa"/>
              <w:bottom w:w="0" w:type="dxa"/>
              <w:right w:w="108" w:type="dxa"/>
            </w:tcMar>
            <w:vAlign w:val="center"/>
          </w:tcPr>
          <w:p w14:paraId="26450B96" w14:textId="77777777" w:rsidR="006416B0" w:rsidRPr="00B4515A" w:rsidRDefault="005E58C1" w:rsidP="005860B4">
            <w:pPr>
              <w:adjustRightInd w:val="0"/>
              <w:snapToGrid w:val="0"/>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八、企业自由现金流</w:t>
            </w:r>
          </w:p>
        </w:tc>
        <w:tc>
          <w:tcPr>
            <w:tcW w:w="415" w:type="pct"/>
            <w:shd w:val="clear" w:color="auto" w:fill="auto"/>
            <w:tcMar>
              <w:top w:w="0" w:type="dxa"/>
              <w:left w:w="108" w:type="dxa"/>
              <w:bottom w:w="0" w:type="dxa"/>
              <w:right w:w="108" w:type="dxa"/>
            </w:tcMar>
            <w:vAlign w:val="center"/>
          </w:tcPr>
          <w:p w14:paraId="41DA4BEA"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-1,872.98 </w:t>
            </w:r>
          </w:p>
        </w:tc>
        <w:tc>
          <w:tcPr>
            <w:tcW w:w="415" w:type="pct"/>
            <w:shd w:val="clear" w:color="auto" w:fill="auto"/>
            <w:tcMar>
              <w:top w:w="0" w:type="dxa"/>
              <w:left w:w="108" w:type="dxa"/>
              <w:bottom w:w="0" w:type="dxa"/>
              <w:right w:w="108" w:type="dxa"/>
            </w:tcMar>
            <w:vAlign w:val="center"/>
          </w:tcPr>
          <w:p w14:paraId="6E9F225A"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3,306.47 </w:t>
            </w:r>
          </w:p>
        </w:tc>
        <w:tc>
          <w:tcPr>
            <w:tcW w:w="415" w:type="pct"/>
            <w:shd w:val="clear" w:color="auto" w:fill="auto"/>
            <w:tcMar>
              <w:top w:w="0" w:type="dxa"/>
              <w:left w:w="108" w:type="dxa"/>
              <w:bottom w:w="0" w:type="dxa"/>
              <w:right w:w="108" w:type="dxa"/>
            </w:tcMar>
            <w:vAlign w:val="center"/>
          </w:tcPr>
          <w:p w14:paraId="69F5C86F"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4,862.00 </w:t>
            </w:r>
          </w:p>
        </w:tc>
        <w:tc>
          <w:tcPr>
            <w:tcW w:w="457" w:type="pct"/>
            <w:shd w:val="clear" w:color="auto" w:fill="auto"/>
            <w:tcMar>
              <w:top w:w="0" w:type="dxa"/>
              <w:left w:w="108" w:type="dxa"/>
              <w:bottom w:w="0" w:type="dxa"/>
              <w:right w:w="108" w:type="dxa"/>
            </w:tcMar>
            <w:vAlign w:val="center"/>
          </w:tcPr>
          <w:p w14:paraId="15174057"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7,049.22 </w:t>
            </w:r>
          </w:p>
        </w:tc>
        <w:tc>
          <w:tcPr>
            <w:tcW w:w="457" w:type="pct"/>
            <w:shd w:val="clear" w:color="auto" w:fill="auto"/>
            <w:tcMar>
              <w:top w:w="0" w:type="dxa"/>
              <w:left w:w="108" w:type="dxa"/>
              <w:bottom w:w="0" w:type="dxa"/>
              <w:right w:w="108" w:type="dxa"/>
            </w:tcMar>
            <w:vAlign w:val="center"/>
          </w:tcPr>
          <w:p w14:paraId="380C004E"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11,793.59 </w:t>
            </w:r>
          </w:p>
        </w:tc>
        <w:tc>
          <w:tcPr>
            <w:tcW w:w="457" w:type="pct"/>
            <w:shd w:val="clear" w:color="auto" w:fill="auto"/>
            <w:tcMar>
              <w:top w:w="0" w:type="dxa"/>
              <w:left w:w="108" w:type="dxa"/>
              <w:bottom w:w="0" w:type="dxa"/>
              <w:right w:w="108" w:type="dxa"/>
            </w:tcMar>
            <w:vAlign w:val="center"/>
          </w:tcPr>
          <w:p w14:paraId="3F747ABD"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72958CA8"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6E420DBA"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15,439.09 </w:t>
            </w:r>
          </w:p>
        </w:tc>
        <w:tc>
          <w:tcPr>
            <w:tcW w:w="457" w:type="pct"/>
            <w:shd w:val="clear" w:color="auto" w:fill="auto"/>
            <w:tcMar>
              <w:top w:w="0" w:type="dxa"/>
              <w:left w:w="108" w:type="dxa"/>
              <w:bottom w:w="0" w:type="dxa"/>
              <w:right w:w="108" w:type="dxa"/>
            </w:tcMar>
            <w:vAlign w:val="center"/>
          </w:tcPr>
          <w:p w14:paraId="77158CC8" w14:textId="77777777" w:rsidR="006416B0" w:rsidRPr="00B4515A" w:rsidRDefault="005E58C1" w:rsidP="005860B4">
            <w:pPr>
              <w:adjustRightInd w:val="0"/>
              <w:snapToGrid w:val="0"/>
              <w:jc w:val="right"/>
              <w:rPr>
                <w:rFonts w:ascii="Times New Roman" w:hAnsi="Times New Roman" w:cs="Times New Roman"/>
                <w:b/>
                <w:bCs/>
                <w:color w:val="000000" w:themeColor="text1"/>
                <w:sz w:val="21"/>
                <w:szCs w:val="21"/>
              </w:rPr>
            </w:pPr>
            <w:r w:rsidRPr="00B4515A">
              <w:rPr>
                <w:rFonts w:ascii="Times New Roman" w:hAnsi="Times New Roman" w:cs="Times New Roman"/>
                <w:b/>
                <w:bCs/>
                <w:sz w:val="21"/>
                <w:szCs w:val="21"/>
              </w:rPr>
              <w:t xml:space="preserve">13,610.73 </w:t>
            </w:r>
          </w:p>
        </w:tc>
      </w:tr>
    </w:tbl>
    <w:p w14:paraId="354E5FC6" w14:textId="77777777" w:rsidR="006416B0" w:rsidRPr="00B4515A" w:rsidRDefault="006416B0">
      <w:pPr>
        <w:pStyle w:val="005"/>
        <w:spacing w:before="120" w:after="120"/>
        <w:ind w:firstLine="480"/>
        <w:sectPr w:rsidR="006416B0" w:rsidRPr="00B4515A" w:rsidSect="00EE238F">
          <w:pgSz w:w="16838" w:h="11906" w:orient="landscape" w:code="9"/>
          <w:pgMar w:top="1797" w:right="1440" w:bottom="1797" w:left="1440" w:header="851" w:footer="992" w:gutter="0"/>
          <w:cols w:space="720"/>
          <w:docGrid w:linePitch="357"/>
        </w:sectPr>
      </w:pPr>
    </w:p>
    <w:p w14:paraId="1ABD10CA" w14:textId="77777777" w:rsidR="006416B0" w:rsidRPr="00B4515A" w:rsidRDefault="005E58C1" w:rsidP="005860B4">
      <w:pPr>
        <w:pStyle w:val="005"/>
        <w:spacing w:before="120" w:after="120"/>
        <w:ind w:firstLine="480"/>
      </w:pPr>
      <w:r w:rsidRPr="00B4515A">
        <w:rPr>
          <w:rFonts w:hint="eastAsia"/>
        </w:rPr>
        <w:lastRenderedPageBreak/>
        <w:t>（</w:t>
      </w:r>
      <w:r w:rsidRPr="00B4515A">
        <w:t>2</w:t>
      </w:r>
      <w:r w:rsidRPr="00B4515A">
        <w:rPr>
          <w:rFonts w:hint="eastAsia"/>
        </w:rPr>
        <w:t>）折现率的确定</w:t>
      </w:r>
    </w:p>
    <w:p w14:paraId="6239D166" w14:textId="77777777" w:rsidR="006416B0" w:rsidRPr="00B4515A" w:rsidRDefault="005E58C1" w:rsidP="005860B4">
      <w:pPr>
        <w:pStyle w:val="005"/>
        <w:spacing w:before="120" w:after="120"/>
        <w:ind w:firstLine="480"/>
      </w:pPr>
      <w:r w:rsidRPr="00B4515A">
        <w:rPr>
          <w:rFonts w:hint="eastAsia"/>
        </w:rPr>
        <w:t>折现率，又称期望投资回报率，是收益法确定评估企业市场价值的重要参数。由于被评估企业不是上市公司，其折现率不能直接计算获得。因此本次评估采用选取对比公司进行分析计算的方法估算被评估企业期望投资回报率。为此，第一步，首先在上市公司中选取对比公司，然后估算对比公司的系统性风险系数β；第二步，根据对比公司β以及被评估公司资本结构估算被评估企业的期望投资回报率，并以此作为折现率。</w:t>
      </w:r>
      <w:bookmarkEnd w:id="255"/>
    </w:p>
    <w:p w14:paraId="5F2322D9" w14:textId="77777777" w:rsidR="006416B0" w:rsidRPr="00B4515A" w:rsidRDefault="005E58C1" w:rsidP="005860B4">
      <w:pPr>
        <w:pStyle w:val="005"/>
        <w:spacing w:before="120" w:after="120"/>
        <w:ind w:firstLine="480"/>
      </w:pPr>
      <w:bookmarkStart w:id="257" w:name="_Hlk76935127"/>
      <w:r w:rsidRPr="00B4515A">
        <w:rPr>
          <w:rFonts w:hint="eastAsia"/>
        </w:rPr>
        <w:t>本次采用资本资产加权平均成本模型（</w:t>
      </w:r>
      <w:r w:rsidRPr="00B4515A">
        <w:rPr>
          <w:rFonts w:hint="eastAsia"/>
        </w:rPr>
        <w:t>WACC</w:t>
      </w:r>
      <w:r w:rsidRPr="00B4515A">
        <w:rPr>
          <w:rFonts w:hint="eastAsia"/>
        </w:rPr>
        <w:t>）确定折现率。</w:t>
      </w:r>
      <w:r w:rsidRPr="00B4515A">
        <w:rPr>
          <w:rFonts w:hint="eastAsia"/>
        </w:rPr>
        <w:t>WACC</w:t>
      </w:r>
      <w:r w:rsidRPr="00B4515A">
        <w:rPr>
          <w:rFonts w:hint="eastAsia"/>
        </w:rPr>
        <w:t>模型是股权期望报酬率和所得税调整后的债权期望报酬率的加权平均值，计算公式如下：</w:t>
      </w:r>
    </w:p>
    <w:bookmarkStart w:id="258" w:name="_Hlk63259302"/>
    <w:p w14:paraId="61FCD524" w14:textId="77777777" w:rsidR="006416B0" w:rsidRPr="00B4515A" w:rsidRDefault="000374A4" w:rsidP="005860B4">
      <w:pPr>
        <w:pStyle w:val="005"/>
        <w:spacing w:before="120" w:after="120"/>
        <w:ind w:firstLine="480"/>
      </w:pPr>
      <m:oMathPara>
        <m:oMathParaPr>
          <m:jc m:val="left"/>
        </m:oMathParaPr>
        <m:oMath>
          <m:sSub>
            <m:sSubPr>
              <m:ctrlPr>
                <w:rPr>
                  <w:rFonts w:ascii="Cambria Math" w:hAnsi="Cambria Math"/>
                </w:rPr>
              </m:ctrlPr>
            </m:sSubPr>
            <m:e>
              <m:r>
                <w:rPr>
                  <w:rFonts w:ascii="Cambria Math" w:hAnsi="Cambria Math"/>
                </w:rPr>
                <m:t>WACC</m:t>
              </m:r>
              <m:r>
                <m:rPr>
                  <m:sty m:val="p"/>
                </m:rPr>
                <w:rPr>
                  <w:rFonts w:ascii="Cambria Math" w:hAnsi="Cambria Math"/>
                </w:rPr>
                <m:t>=</m:t>
              </m:r>
              <m:r>
                <w:rPr>
                  <w:rFonts w:ascii="Cambria Math" w:hAnsi="Cambria Math"/>
                </w:rPr>
                <m:t>R</m:t>
              </m:r>
            </m:e>
            <m:sub>
              <m:r>
                <w:rPr>
                  <w:rFonts w:ascii="Cambria Math" w:hAnsi="Cambria Math"/>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e</m:t>
              </m:r>
            </m:sub>
          </m:sSub>
        </m:oMath>
      </m:oMathPara>
    </w:p>
    <w:bookmarkEnd w:id="258"/>
    <w:p w14:paraId="3B89BF03" w14:textId="77777777" w:rsidR="006416B0" w:rsidRPr="00B4515A" w:rsidRDefault="005E58C1" w:rsidP="005860B4">
      <w:pPr>
        <w:pStyle w:val="005"/>
        <w:spacing w:before="120" w:after="120"/>
        <w:ind w:firstLine="480"/>
      </w:pPr>
      <w:r w:rsidRPr="00B4515A">
        <w:rPr>
          <w:rFonts w:hint="eastAsia"/>
        </w:rPr>
        <w:t>其中：</w:t>
      </w:r>
    </w:p>
    <w:p w14:paraId="2E71B660" w14:textId="77777777" w:rsidR="006416B0" w:rsidRPr="00B4515A" w:rsidRDefault="000374A4" w:rsidP="005860B4">
      <w:pPr>
        <w:pStyle w:val="005"/>
        <w:spacing w:before="120" w:after="120"/>
        <w:ind w:firstLine="480"/>
      </w:pPr>
      <m:oMath>
        <m:sSub>
          <m:sSubPr>
            <m:ctrlPr>
              <w:rPr>
                <w:rFonts w:ascii="Cambria Math" w:hAnsi="Cambria Math"/>
              </w:rPr>
            </m:ctrlPr>
          </m:sSubPr>
          <m:e>
            <m:r>
              <w:rPr>
                <w:rFonts w:ascii="Cambria Math" w:hAnsi="Cambria Math"/>
              </w:rPr>
              <m:t>R</m:t>
            </m:r>
          </m:e>
          <m:sub>
            <m:r>
              <w:rPr>
                <w:rFonts w:ascii="Cambria Math" w:hAnsi="Cambria Math"/>
              </w:rPr>
              <m:t>d</m:t>
            </m:r>
          </m:sub>
        </m:sSub>
      </m:oMath>
      <w:r w:rsidR="005E58C1" w:rsidRPr="00B4515A">
        <w:rPr>
          <w:rFonts w:hint="eastAsia"/>
        </w:rPr>
        <w:t>：债权期望报酬率；</w:t>
      </w:r>
    </w:p>
    <w:p w14:paraId="5B6E4402" w14:textId="77777777" w:rsidR="006416B0" w:rsidRPr="00B4515A" w:rsidRDefault="000374A4" w:rsidP="005860B4">
      <w:pPr>
        <w:pStyle w:val="005"/>
        <w:spacing w:before="120" w:after="120"/>
        <w:ind w:firstLine="480"/>
      </w:pPr>
      <m:oMath>
        <m:sSub>
          <m:sSubPr>
            <m:ctrlPr>
              <w:rPr>
                <w:rFonts w:ascii="Cambria Math" w:hAnsi="Cambria Math"/>
              </w:rPr>
            </m:ctrlPr>
          </m:sSubPr>
          <m:e>
            <m:r>
              <w:rPr>
                <w:rFonts w:ascii="Cambria Math" w:hAnsi="Cambria Math"/>
              </w:rPr>
              <m:t>R</m:t>
            </m:r>
          </m:e>
          <m:sub>
            <m:r>
              <w:rPr>
                <w:rFonts w:ascii="Cambria Math" w:hAnsi="Cambria Math"/>
              </w:rPr>
              <m:t>e</m:t>
            </m:r>
          </m:sub>
        </m:sSub>
      </m:oMath>
      <w:r w:rsidR="005E58C1" w:rsidRPr="00B4515A">
        <w:rPr>
          <w:rFonts w:hint="eastAsia"/>
        </w:rPr>
        <w:t>：股权期望报酬率；</w:t>
      </w:r>
    </w:p>
    <w:p w14:paraId="3033F757" w14:textId="77777777" w:rsidR="006416B0" w:rsidRPr="00B4515A" w:rsidRDefault="000374A4" w:rsidP="005860B4">
      <w:pPr>
        <w:pStyle w:val="005"/>
        <w:spacing w:before="120" w:after="120"/>
        <w:ind w:firstLine="480"/>
      </w:pPr>
      <m:oMath>
        <m:sSub>
          <m:sSubPr>
            <m:ctrlPr>
              <w:rPr>
                <w:rFonts w:ascii="Cambria Math" w:hAnsi="Cambria Math"/>
              </w:rPr>
            </m:ctrlPr>
          </m:sSubPr>
          <m:e>
            <m:r>
              <w:rPr>
                <w:rFonts w:ascii="Cambria Math" w:hAnsi="Cambria Math"/>
              </w:rPr>
              <m:t>W</m:t>
            </m:r>
          </m:e>
          <m:sub>
            <m:r>
              <w:rPr>
                <w:rFonts w:ascii="Cambria Math" w:hAnsi="Cambria Math"/>
              </w:rPr>
              <m:t>d</m:t>
            </m:r>
          </m:sub>
        </m:sSub>
      </m:oMath>
      <w:r w:rsidR="005E58C1" w:rsidRPr="00B4515A">
        <w:rPr>
          <w:rFonts w:hint="eastAsia"/>
        </w:rPr>
        <w:t>：债务资本在资本结构中的百分比；</w:t>
      </w:r>
    </w:p>
    <w:p w14:paraId="54A48CB0" w14:textId="77777777" w:rsidR="006416B0" w:rsidRPr="00B4515A" w:rsidRDefault="005E58C1" w:rsidP="005860B4">
      <w:pPr>
        <w:pStyle w:val="005"/>
        <w:spacing w:before="120" w:after="120"/>
        <w:ind w:firstLine="480"/>
      </w:pPr>
      <w:r w:rsidRPr="00B4515A">
        <w:rPr>
          <w:noProof/>
        </w:rPr>
        <w:drawing>
          <wp:inline distT="0" distB="0" distL="0" distR="0" wp14:anchorId="73ECA703" wp14:editId="58D0160D">
            <wp:extent cx="908050" cy="417195"/>
            <wp:effectExtent l="0" t="0" r="635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908050" cy="417195"/>
                    </a:xfrm>
                    <a:prstGeom prst="rect">
                      <a:avLst/>
                    </a:prstGeom>
                    <a:noFill/>
                    <a:ln>
                      <a:noFill/>
                    </a:ln>
                  </pic:spPr>
                </pic:pic>
              </a:graphicData>
            </a:graphic>
          </wp:inline>
        </w:drawing>
      </w:r>
    </w:p>
    <w:p w14:paraId="47B60BBC" w14:textId="77777777" w:rsidR="006416B0" w:rsidRPr="00B4515A" w:rsidRDefault="000374A4" w:rsidP="005860B4">
      <w:pPr>
        <w:pStyle w:val="005"/>
        <w:spacing w:before="120" w:after="120"/>
        <w:ind w:firstLine="480"/>
      </w:pPr>
      <m:oMath>
        <m:sSub>
          <m:sSubPr>
            <m:ctrlPr>
              <w:rPr>
                <w:rFonts w:ascii="Cambria Math" w:hAnsi="Cambria Math"/>
              </w:rPr>
            </m:ctrlPr>
          </m:sSubPr>
          <m:e>
            <m:r>
              <w:rPr>
                <w:rFonts w:ascii="Cambria Math" w:hAnsi="Cambria Math"/>
              </w:rPr>
              <m:t>W</m:t>
            </m:r>
          </m:e>
          <m:sub>
            <m:r>
              <w:rPr>
                <w:rFonts w:ascii="Cambria Math" w:hAnsi="Cambria Math"/>
              </w:rPr>
              <m:t>e</m:t>
            </m:r>
          </m:sub>
        </m:sSub>
      </m:oMath>
      <w:r w:rsidR="005E58C1" w:rsidRPr="00B4515A">
        <w:rPr>
          <w:rFonts w:hint="eastAsia"/>
        </w:rPr>
        <w:t>：权益资本在资本结构中的百分比；</w:t>
      </w:r>
    </w:p>
    <w:p w14:paraId="2DED164C" w14:textId="77777777" w:rsidR="006416B0" w:rsidRPr="00B4515A" w:rsidRDefault="005E58C1" w:rsidP="005860B4">
      <w:pPr>
        <w:pStyle w:val="005"/>
        <w:spacing w:before="120" w:after="120"/>
        <w:ind w:firstLine="480"/>
      </w:pPr>
      <w:r w:rsidRPr="00B4515A">
        <w:rPr>
          <w:noProof/>
        </w:rPr>
        <w:drawing>
          <wp:inline distT="0" distB="0" distL="0" distR="0" wp14:anchorId="41EAC338" wp14:editId="665014A8">
            <wp:extent cx="887730" cy="417195"/>
            <wp:effectExtent l="0" t="0" r="762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887730" cy="417195"/>
                    </a:xfrm>
                    <a:prstGeom prst="rect">
                      <a:avLst/>
                    </a:prstGeom>
                    <a:noFill/>
                    <a:ln>
                      <a:noFill/>
                    </a:ln>
                  </pic:spPr>
                </pic:pic>
              </a:graphicData>
            </a:graphic>
          </wp:inline>
        </w:drawing>
      </w:r>
    </w:p>
    <w:p w14:paraId="7B7D23C5" w14:textId="77777777" w:rsidR="006416B0" w:rsidRPr="00B4515A" w:rsidRDefault="005E58C1" w:rsidP="005860B4">
      <w:pPr>
        <w:pStyle w:val="005"/>
        <w:spacing w:before="120" w:after="120"/>
        <w:ind w:firstLine="480"/>
      </w:pPr>
      <m:oMath>
        <m:r>
          <w:rPr>
            <w:rFonts w:ascii="Cambria Math" w:hAnsi="Cambria Math"/>
          </w:rPr>
          <m:t>T</m:t>
        </m:r>
      </m:oMath>
      <w:r w:rsidRPr="00B4515A">
        <w:rPr>
          <w:rFonts w:hint="eastAsia"/>
        </w:rPr>
        <w:t>：为公司有效的所得税税率。</w:t>
      </w:r>
    </w:p>
    <w:p w14:paraId="0AD22552" w14:textId="77777777" w:rsidR="006416B0" w:rsidRPr="00B4515A" w:rsidRDefault="005E58C1" w:rsidP="005860B4">
      <w:pPr>
        <w:pStyle w:val="005"/>
        <w:spacing w:before="120" w:after="120"/>
        <w:ind w:firstLine="480"/>
      </w:pPr>
      <w:r w:rsidRPr="00B4515A">
        <w:rPr>
          <w:rFonts w:hint="eastAsia"/>
        </w:rPr>
        <w:t>1</w:t>
      </w:r>
      <w:r w:rsidRPr="00B4515A">
        <w:rPr>
          <w:rFonts w:hint="eastAsia"/>
        </w:rPr>
        <w:t>）股权期望报酬率</w:t>
      </w:r>
    </w:p>
    <w:p w14:paraId="3AEE6BDE" w14:textId="77777777" w:rsidR="006416B0" w:rsidRPr="00B4515A" w:rsidRDefault="005E58C1" w:rsidP="005860B4">
      <w:pPr>
        <w:pStyle w:val="005"/>
        <w:spacing w:before="120" w:after="120"/>
        <w:ind w:firstLine="480"/>
      </w:pPr>
      <w:r w:rsidRPr="00B4515A">
        <w:rPr>
          <w:rFonts w:hint="eastAsia"/>
        </w:rPr>
        <w:t>股权期望报酬率</w:t>
      </w:r>
      <w:r w:rsidRPr="00B4515A">
        <w:rPr>
          <w:noProof/>
        </w:rPr>
        <w:drawing>
          <wp:inline distT="0" distB="0" distL="0" distR="0" wp14:anchorId="29355EA7" wp14:editId="7F7CFC8A">
            <wp:extent cx="192405" cy="23876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92405" cy="238760"/>
                    </a:xfrm>
                    <a:prstGeom prst="rect">
                      <a:avLst/>
                    </a:prstGeom>
                    <a:noFill/>
                    <a:ln>
                      <a:noFill/>
                    </a:ln>
                  </pic:spPr>
                </pic:pic>
              </a:graphicData>
            </a:graphic>
          </wp:inline>
        </w:drawing>
      </w:r>
      <w:r w:rsidRPr="00B4515A">
        <w:rPr>
          <w:rFonts w:hint="eastAsia"/>
        </w:rPr>
        <w:t>按资本资产定价模型（</w:t>
      </w:r>
      <w:r w:rsidRPr="00B4515A">
        <w:rPr>
          <w:rFonts w:hint="eastAsia"/>
        </w:rPr>
        <w:t>CAPM</w:t>
      </w:r>
      <w:r w:rsidRPr="00B4515A">
        <w:rPr>
          <w:rFonts w:hint="eastAsia"/>
        </w:rPr>
        <w:t>）确定，计算公式为：</w:t>
      </w:r>
    </w:p>
    <w:bookmarkStart w:id="259" w:name="_Hlk63450921"/>
    <w:p w14:paraId="67ACFC83" w14:textId="77777777" w:rsidR="006416B0" w:rsidRPr="00B4515A" w:rsidRDefault="000374A4" w:rsidP="005860B4">
      <w:pPr>
        <w:pStyle w:val="005"/>
        <w:spacing w:before="120" w:after="120"/>
        <w:ind w:firstLine="480"/>
      </w:pPr>
      <m:oMathPara>
        <m:oMathParaPr>
          <m:jc m:val="left"/>
        </m:oMathParaPr>
        <m:oMath>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e</m:t>
              </m:r>
            </m:sub>
          </m:sSub>
          <m:r>
            <m:rPr>
              <m:sty m:val="p"/>
            </m:rPr>
            <w:rPr>
              <w:rFonts w:ascii="Cambria Math" w:hAnsi="Cambria Math"/>
            </w:rPr>
            <m:t>×</m:t>
          </m:r>
          <w:bookmarkStart w:id="260" w:name="_Hlk63450061"/>
          <m:r>
            <w:rPr>
              <w:rFonts w:ascii="Cambria Math" w:hAnsi="Cambria Math"/>
            </w:rPr>
            <m:t>MRP</m:t>
          </m:r>
          <w:bookmarkEnd w:id="260"/>
          <m:r>
            <m:rPr>
              <m:sty m:val="p"/>
            </m:rPr>
            <w:rPr>
              <w:rFonts w:ascii="Cambria Math" w:hAnsi="Cambria Math"/>
            </w:rPr>
            <m:t>+</m:t>
          </m:r>
          <m:r>
            <w:rPr>
              <w:rFonts w:ascii="Cambria Math" w:hAnsi="Cambria Math"/>
            </w:rPr>
            <m:t>ε</m:t>
          </m:r>
        </m:oMath>
      </m:oMathPara>
    </w:p>
    <w:p w14:paraId="726017C3" w14:textId="77777777" w:rsidR="006416B0" w:rsidRPr="00B4515A" w:rsidRDefault="005E58C1" w:rsidP="005860B4">
      <w:pPr>
        <w:pStyle w:val="005"/>
        <w:spacing w:before="120" w:after="120"/>
        <w:ind w:firstLine="480"/>
      </w:pPr>
      <w:r w:rsidRPr="00B4515A">
        <w:rPr>
          <w:rFonts w:hint="eastAsia"/>
        </w:rPr>
        <w:t>式中：</w:t>
      </w:r>
    </w:p>
    <w:p w14:paraId="6B7C7C70" w14:textId="77777777" w:rsidR="006416B0" w:rsidRPr="00B4515A" w:rsidRDefault="000374A4" w:rsidP="005860B4">
      <w:pPr>
        <w:pStyle w:val="005"/>
        <w:spacing w:before="120" w:after="120"/>
        <w:ind w:firstLine="480"/>
      </w:pPr>
      <m:oMath>
        <m:sSub>
          <m:sSubPr>
            <m:ctrlPr>
              <w:rPr>
                <w:rFonts w:ascii="Cambria Math" w:hAnsi="Cambria Math"/>
              </w:rPr>
            </m:ctrlPr>
          </m:sSubPr>
          <m:e>
            <m:r>
              <w:rPr>
                <w:rFonts w:ascii="Cambria Math" w:hAnsi="Cambria Math"/>
              </w:rPr>
              <m:t>R</m:t>
            </m:r>
          </m:e>
          <m:sub>
            <m:r>
              <w:rPr>
                <w:rFonts w:ascii="Cambria Math" w:hAnsi="Cambria Math"/>
              </w:rPr>
              <m:t>f</m:t>
            </m:r>
          </m:sub>
        </m:sSub>
      </m:oMath>
      <w:r w:rsidR="005E58C1" w:rsidRPr="00B4515A">
        <w:rPr>
          <w:rFonts w:hint="eastAsia"/>
        </w:rPr>
        <w:t>：无风险利率；</w:t>
      </w:r>
    </w:p>
    <w:p w14:paraId="21BEC468" w14:textId="77777777" w:rsidR="006416B0" w:rsidRPr="00B4515A" w:rsidRDefault="005E58C1" w:rsidP="005860B4">
      <w:pPr>
        <w:pStyle w:val="005"/>
        <w:spacing w:before="120" w:after="120"/>
        <w:ind w:firstLine="480"/>
      </w:pPr>
      <m:oMath>
        <m:r>
          <w:rPr>
            <w:rFonts w:ascii="Cambria Math" w:hAnsi="Cambria Math"/>
          </w:rPr>
          <m:t>MRP</m:t>
        </m:r>
      </m:oMath>
      <w:r w:rsidRPr="00B4515A">
        <w:rPr>
          <w:rFonts w:hint="eastAsia"/>
        </w:rPr>
        <w:t>：市场风险溢价；</w:t>
      </w:r>
    </w:p>
    <w:p w14:paraId="2E819D07" w14:textId="77777777" w:rsidR="006416B0" w:rsidRPr="00B4515A" w:rsidRDefault="005E58C1" w:rsidP="005860B4">
      <w:pPr>
        <w:pStyle w:val="005"/>
        <w:spacing w:before="120" w:after="120"/>
        <w:ind w:firstLine="480"/>
      </w:pPr>
      <m:oMath>
        <m:r>
          <w:rPr>
            <w:rFonts w:ascii="Cambria Math" w:hAnsi="Cambria Math"/>
          </w:rPr>
          <w:lastRenderedPageBreak/>
          <m:t>ε</m:t>
        </m:r>
      </m:oMath>
      <w:r w:rsidRPr="00B4515A">
        <w:rPr>
          <w:rFonts w:hint="eastAsia"/>
        </w:rPr>
        <w:t>：特定风险报酬率；</w:t>
      </w:r>
    </w:p>
    <w:p w14:paraId="3D71E7D1" w14:textId="77777777" w:rsidR="006416B0" w:rsidRPr="00B4515A" w:rsidRDefault="000374A4" w:rsidP="005860B4">
      <w:pPr>
        <w:pStyle w:val="005"/>
        <w:spacing w:before="120" w:after="120"/>
        <w:ind w:firstLine="480"/>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5E58C1" w:rsidRPr="00B4515A">
        <w:rPr>
          <w:rFonts w:hint="eastAsia"/>
        </w:rPr>
        <w:t>：评估对象权益资本的预期市场风险系数；</w:t>
      </w:r>
    </w:p>
    <w:p w14:paraId="55D70156" w14:textId="77777777" w:rsidR="006416B0" w:rsidRPr="00B4515A" w:rsidRDefault="000374A4" w:rsidP="005860B4">
      <w:pPr>
        <w:pStyle w:val="005"/>
        <w:spacing w:before="120" w:after="120"/>
        <w:ind w:firstLine="480"/>
      </w:pPr>
      <m:oMathPara>
        <m:oMathParaPr>
          <m:jc m:val="left"/>
        </m:oMathParaPr>
        <m:oMath>
          <m:sSub>
            <m:sSubPr>
              <m:ctrlPr>
                <w:rPr>
                  <w:rFonts w:ascii="Cambria Math" w:hAnsi="Cambria Math"/>
                </w:rPr>
              </m:ctrlPr>
            </m:sSubPr>
            <m:e>
              <m:r>
                <w:rPr>
                  <w:rFonts w:ascii="Cambria Math" w:hAnsi="Cambria Math"/>
                </w:rPr>
                <m:t>β</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t</m:t>
              </m:r>
            </m:sub>
          </m:sSub>
          <m:r>
            <m:rPr>
              <m:sty m:val="p"/>
            </m:rPr>
            <w:rPr>
              <w:rFonts w:ascii="Cambria Math" w:hAnsi="Cambria Math"/>
            </w:rPr>
            <m:t>×</m:t>
          </m:r>
          <m:r>
            <m:rPr>
              <m:sty m:val="p"/>
            </m:rPr>
            <w:rPr>
              <w:rFonts w:ascii="Cambria Math" w:hAnsi="Cambria Math" w:hint="eastAsia"/>
            </w:rPr>
            <m:t>（</m:t>
          </m:r>
          <m:r>
            <m:rPr>
              <m:sty m:val="p"/>
            </m:rPr>
            <w:rPr>
              <w:rFonts w:ascii="Cambria Math" w:hAnsi="Cambria Math"/>
            </w:rPr>
            <m:t>1+</m:t>
          </m:r>
          <m:r>
            <m:rPr>
              <m:sty m:val="p"/>
            </m:rPr>
            <w:rPr>
              <w:rFonts w:ascii="Cambria Math" w:hAnsi="Cambria Math" w:hint="eastAsia"/>
            </w:rPr>
            <m:t>（</m:t>
          </m:r>
          <m:r>
            <m:rPr>
              <m:sty m:val="p"/>
            </m:rPr>
            <w:rPr>
              <w:rFonts w:ascii="Cambria Math" w:hAnsi="Cambria Math"/>
            </w:rPr>
            <m:t>1</m:t>
          </m:r>
          <m:r>
            <m:rPr>
              <m:sty m:val="p"/>
            </m:rPr>
            <w:rPr>
              <w:rFonts w:ascii="Cambria Math" w:eastAsia="微软雅黑" w:hAnsi="Cambria Math" w:cs="微软雅黑" w:hint="eastAsia"/>
            </w:rPr>
            <m:t>-</m:t>
          </m:r>
          <m:r>
            <w:rPr>
              <w:rFonts w:ascii="Cambria Math" w:hAnsi="Cambria Math"/>
            </w:rPr>
            <m:t>t</m:t>
          </m:r>
          <m:r>
            <m:rPr>
              <m:sty m:val="p"/>
            </m:rPr>
            <w:rPr>
              <w:rFonts w:ascii="Cambria Math" w:hAnsi="Cambria Math" w:hint="eastAsia"/>
            </w:rPr>
            <m:t>）</m:t>
          </m:r>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E</m:t>
              </m:r>
            </m:den>
          </m:f>
          <m:r>
            <m:rPr>
              <m:sty m:val="p"/>
            </m:rPr>
            <w:rPr>
              <w:rFonts w:ascii="Cambria Math" w:hAnsi="Cambria Math" w:hint="eastAsia"/>
            </w:rPr>
            <m:t>）</m:t>
          </m:r>
        </m:oMath>
      </m:oMathPara>
    </w:p>
    <w:p w14:paraId="345B13DD" w14:textId="77777777" w:rsidR="006416B0" w:rsidRPr="00B4515A" w:rsidRDefault="005E58C1" w:rsidP="005860B4">
      <w:pPr>
        <w:pStyle w:val="005"/>
        <w:spacing w:before="120" w:after="120"/>
        <w:ind w:firstLine="480"/>
      </w:pPr>
      <w:r w:rsidRPr="00B4515A">
        <w:rPr>
          <w:rFonts w:hint="eastAsia"/>
        </w:rPr>
        <w:t>式中：</w:t>
      </w:r>
      <m:oMath>
        <m:sSub>
          <m:sSubPr>
            <m:ctrlPr>
              <w:rPr>
                <w:rFonts w:ascii="Cambria Math" w:hAnsi="Cambria Math"/>
              </w:rPr>
            </m:ctrlPr>
          </m:sSubPr>
          <m:e>
            <m:r>
              <w:rPr>
                <w:rFonts w:ascii="Cambria Math" w:hAnsi="Cambria Math"/>
              </w:rPr>
              <m:t>β</m:t>
            </m:r>
          </m:e>
          <m:sub>
            <m:r>
              <w:rPr>
                <w:rFonts w:ascii="Cambria Math" w:hAnsi="Cambria Math"/>
              </w:rPr>
              <m:t>t</m:t>
            </m:r>
          </m:sub>
        </m:sSub>
      </m:oMath>
      <w:r w:rsidRPr="00B4515A">
        <w:rPr>
          <w:rFonts w:hint="eastAsia"/>
        </w:rPr>
        <w:t>为可比公司的预期无杠杆市场风险系数；</w:t>
      </w:r>
    </w:p>
    <w:p w14:paraId="2515D409" w14:textId="77777777" w:rsidR="006416B0" w:rsidRPr="00B4515A" w:rsidRDefault="005E58C1" w:rsidP="005860B4">
      <w:pPr>
        <w:pStyle w:val="005"/>
        <w:spacing w:before="120" w:after="120"/>
        <w:ind w:firstLine="480"/>
      </w:pPr>
      <w:r w:rsidRPr="00B4515A">
        <w:rPr>
          <w:rFonts w:hint="eastAsia"/>
        </w:rPr>
        <w:t>D</w:t>
      </w:r>
      <w:r w:rsidRPr="00B4515A">
        <w:rPr>
          <w:rFonts w:hint="eastAsia"/>
        </w:rPr>
        <w:t>根据公司预测期有息负债确定，</w:t>
      </w:r>
      <w:r w:rsidRPr="00B4515A">
        <w:rPr>
          <w:rFonts w:hint="eastAsia"/>
        </w:rPr>
        <w:t>E</w:t>
      </w:r>
      <w:r w:rsidRPr="00B4515A">
        <w:rPr>
          <w:rFonts w:hint="eastAsia"/>
        </w:rPr>
        <w:t>为基准日的公司股东全部权益价值评估值。</w:t>
      </w:r>
      <w:bookmarkEnd w:id="259"/>
    </w:p>
    <w:p w14:paraId="51743370" w14:textId="77777777" w:rsidR="006416B0" w:rsidRPr="00B4515A" w:rsidRDefault="005E58C1" w:rsidP="005860B4">
      <w:pPr>
        <w:pStyle w:val="005"/>
        <w:spacing w:before="120" w:after="120"/>
        <w:ind w:firstLine="480"/>
      </w:pPr>
      <w:r w:rsidRPr="00B4515A">
        <w:rPr>
          <w:rFonts w:hint="eastAsia"/>
        </w:rPr>
        <w:t>CAPM</w:t>
      </w:r>
      <w:r w:rsidRPr="00B4515A">
        <w:rPr>
          <w:rFonts w:hint="eastAsia"/>
        </w:rPr>
        <w:t>采用以下几步：</w:t>
      </w:r>
    </w:p>
    <w:p w14:paraId="71E6252E" w14:textId="77777777" w:rsidR="006416B0" w:rsidRPr="00B4515A" w:rsidRDefault="005E58C1" w:rsidP="005860B4">
      <w:pPr>
        <w:pStyle w:val="005"/>
        <w:spacing w:before="120" w:after="120"/>
        <w:ind w:firstLine="480"/>
      </w:pPr>
      <w:r w:rsidRPr="00B4515A">
        <w:sym w:font="Wingdings 2" w:char="F06A"/>
      </w:r>
      <w:r w:rsidRPr="00B4515A">
        <w:rPr>
          <w:rFonts w:hint="eastAsia"/>
        </w:rPr>
        <w:t>无风险利率</w:t>
      </w:r>
      <w:r w:rsidRPr="00B4515A">
        <w:rPr>
          <w:rFonts w:ascii="Cambria Math" w:hAnsi="Cambria Math" w:cs="Cambria Math"/>
        </w:rPr>
        <w:t>𝑅𝑓</w:t>
      </w:r>
      <w:r w:rsidRPr="00B4515A">
        <w:rPr>
          <w:rFonts w:hint="eastAsia"/>
        </w:rPr>
        <w:t>的确定</w:t>
      </w:r>
    </w:p>
    <w:p w14:paraId="252D3938" w14:textId="77777777" w:rsidR="006416B0" w:rsidRPr="00B4515A" w:rsidRDefault="005E58C1" w:rsidP="005860B4">
      <w:pPr>
        <w:pStyle w:val="005"/>
        <w:spacing w:before="120" w:after="120"/>
        <w:ind w:firstLine="480"/>
      </w:pPr>
      <w:r w:rsidRPr="00B4515A">
        <w:rPr>
          <w:rFonts w:hint="eastAsia"/>
        </w:rPr>
        <w:t>根据国内外的行业研究结果，并结合中评协发布的《资产评估专家指引第</w:t>
      </w:r>
      <w:r w:rsidRPr="00B4515A">
        <w:rPr>
          <w:rFonts w:hint="eastAsia"/>
        </w:rPr>
        <w:t>12</w:t>
      </w:r>
      <w:r w:rsidRPr="00B4515A">
        <w:rPr>
          <w:rFonts w:hint="eastAsia"/>
        </w:rPr>
        <w:t>号—收益法评估企业价值中折现率的测算》的要求，本次无风险利率选择最新的十年期中国国债收益率均值计算。数据来源为中评协网上发布的、由</w:t>
      </w:r>
      <w:r w:rsidRPr="00B4515A">
        <w:rPr>
          <w:rFonts w:ascii="宋体" w:hAnsi="宋体" w:hint="eastAsia"/>
        </w:rPr>
        <w:t>“</w:t>
      </w:r>
      <w:r w:rsidRPr="00B4515A">
        <w:rPr>
          <w:rFonts w:hint="eastAsia"/>
        </w:rPr>
        <w:t>中央国债登记结算公司</w:t>
      </w:r>
      <w:r w:rsidRPr="00B4515A">
        <w:rPr>
          <w:rFonts w:hint="eastAsia"/>
        </w:rPr>
        <w:t>(CCDC)</w:t>
      </w:r>
      <w:r w:rsidRPr="00B4515A">
        <w:rPr>
          <w:rFonts w:ascii="宋体" w:hAnsi="宋体" w:hint="eastAsia"/>
        </w:rPr>
        <w:t>”</w:t>
      </w:r>
      <w:r w:rsidRPr="00B4515A">
        <w:rPr>
          <w:rFonts w:hint="eastAsia"/>
        </w:rPr>
        <w:t>提供的《中国国债收益率曲线》。</w:t>
      </w:r>
    </w:p>
    <w:p w14:paraId="52F8D536" w14:textId="77777777" w:rsidR="006416B0" w:rsidRPr="00B4515A" w:rsidRDefault="005E58C1" w:rsidP="005860B4">
      <w:pPr>
        <w:pStyle w:val="005"/>
        <w:spacing w:before="120" w:after="120"/>
        <w:ind w:firstLine="480"/>
      </w:pPr>
      <w:r w:rsidRPr="00B4515A">
        <w:rPr>
          <w:rFonts w:hint="eastAsia"/>
        </w:rPr>
        <w:t>国债收益率曲线是用来描述各个期限国债与相应利率水平的曲线。中国国债收益率曲线是以在中国大陆发行的人民币国债市场利率为基础编制的曲线。</w:t>
      </w:r>
    </w:p>
    <w:p w14:paraId="2F18577A" w14:textId="77777777" w:rsidR="006416B0" w:rsidRPr="00B4515A" w:rsidRDefault="005E58C1" w:rsidP="005860B4">
      <w:pPr>
        <w:pStyle w:val="005"/>
        <w:spacing w:before="120" w:after="120"/>
        <w:ind w:firstLine="480"/>
      </w:pPr>
      <w:r w:rsidRPr="00B4515A">
        <w:rPr>
          <w:rFonts w:hint="eastAsia"/>
        </w:rPr>
        <w:t>考虑到十年期国债收益每个工作日都有发布，为了避免短期市场情绪波动对取值的影响，结合本公司的技术规范，按照最新一个完整季度的均值计算，每季度更新一次，本次基准日取值为</w:t>
      </w:r>
      <w:r w:rsidRPr="00B4515A">
        <w:rPr>
          <w:rFonts w:hint="eastAsia"/>
        </w:rPr>
        <w:t>3.23%</w:t>
      </w:r>
      <w:r w:rsidRPr="00B4515A">
        <w:rPr>
          <w:rFonts w:hint="eastAsia"/>
        </w:rPr>
        <w:t>。</w:t>
      </w:r>
    </w:p>
    <w:p w14:paraId="53E0BB83" w14:textId="77777777" w:rsidR="006416B0" w:rsidRPr="00B4515A" w:rsidRDefault="005E58C1" w:rsidP="005860B4">
      <w:pPr>
        <w:pStyle w:val="005"/>
        <w:spacing w:before="120" w:after="120"/>
        <w:ind w:firstLine="480"/>
      </w:pPr>
      <w:r w:rsidRPr="00B4515A">
        <w:sym w:font="Wingdings 2" w:char="F06B"/>
      </w:r>
      <w:r w:rsidRPr="00B4515A">
        <w:rPr>
          <w:rFonts w:hint="eastAsia"/>
        </w:rPr>
        <w:t>市场风险溢价</w:t>
      </w:r>
      <w:r w:rsidRPr="00B4515A">
        <w:rPr>
          <w:rFonts w:hint="eastAsia"/>
        </w:rPr>
        <w:t>(</w:t>
      </w:r>
      <w:bookmarkStart w:id="261" w:name="_Hlk63256741"/>
      <w:r w:rsidRPr="00B4515A">
        <w:t>MRP,</w:t>
      </w:r>
      <w:r w:rsidRPr="00B4515A">
        <w:rPr>
          <w:rFonts w:hint="eastAsia"/>
        </w:rPr>
        <w:t>即</w:t>
      </w:r>
      <w:r w:rsidRPr="00B4515A">
        <w:rPr>
          <w:rFonts w:ascii="Cambria Math" w:hAnsi="Cambria Math" w:cs="Cambria Math"/>
        </w:rPr>
        <w:t>𝑅𝑚</w:t>
      </w:r>
      <w:r w:rsidRPr="00B4515A">
        <w:rPr>
          <w:rFonts w:ascii="微软雅黑" w:eastAsia="微软雅黑" w:hAnsi="微软雅黑" w:cs="微软雅黑" w:hint="eastAsia"/>
        </w:rPr>
        <w:t>−</w:t>
      </w:r>
      <w:r w:rsidRPr="00B4515A">
        <w:rPr>
          <w:rFonts w:ascii="Cambria Math" w:hAnsi="Cambria Math" w:cs="Cambria Math"/>
        </w:rPr>
        <w:t>𝑅𝑓</w:t>
      </w:r>
      <w:bookmarkEnd w:id="261"/>
      <w:r w:rsidRPr="00B4515A">
        <w:rPr>
          <w:rFonts w:hint="eastAsia"/>
        </w:rPr>
        <w:t>）的计算</w:t>
      </w:r>
    </w:p>
    <w:p w14:paraId="6F866269" w14:textId="77777777" w:rsidR="006416B0" w:rsidRPr="00B4515A" w:rsidRDefault="005E58C1" w:rsidP="005860B4">
      <w:pPr>
        <w:pStyle w:val="005"/>
        <w:spacing w:before="120" w:after="120"/>
        <w:ind w:firstLine="480"/>
      </w:pPr>
      <w:r w:rsidRPr="00B4515A">
        <w:rPr>
          <w:rFonts w:hint="eastAsia"/>
        </w:rPr>
        <w:t>市场风险溢价是指投资者对与整体市场平均风险相同的股权投资所要求的预期超额收益，即超过无风险利率的风险补偿。市场风险溢价通常可以利用市场的历史风险溢价数据进行测算。我们利用中国证券市场指数的历史风险溢价数据计算得到市场风险溢价。</w:t>
      </w:r>
    </w:p>
    <w:p w14:paraId="117A3D79" w14:textId="77777777" w:rsidR="006416B0" w:rsidRPr="00B4515A" w:rsidRDefault="005E58C1" w:rsidP="005860B4">
      <w:pPr>
        <w:pStyle w:val="005"/>
        <w:spacing w:before="120" w:after="120"/>
        <w:ind w:firstLine="480"/>
      </w:pPr>
      <w:r w:rsidRPr="00B4515A">
        <w:rPr>
          <w:rFonts w:ascii="Cambria Math" w:hAnsi="Cambria Math" w:cs="Cambria Math"/>
        </w:rPr>
        <w:t>𝑅𝑚</w:t>
      </w:r>
      <w:r w:rsidRPr="00B4515A">
        <w:rPr>
          <w:rFonts w:hint="eastAsia"/>
        </w:rPr>
        <w:t>的计算：根据中国证券市场指数计算收益率。</w:t>
      </w:r>
    </w:p>
    <w:p w14:paraId="19951105" w14:textId="7DE64381" w:rsidR="006416B0" w:rsidRPr="00B4515A" w:rsidRDefault="005E58C1" w:rsidP="005860B4">
      <w:pPr>
        <w:pStyle w:val="005"/>
        <w:spacing w:before="120" w:after="120"/>
        <w:ind w:firstLine="480"/>
      </w:pPr>
      <w:r w:rsidRPr="00B4515A">
        <w:rPr>
          <w:rFonts w:hint="eastAsia"/>
        </w:rPr>
        <w:t>指数选择：根据中评协发布的《资产评估专家指引第</w:t>
      </w:r>
      <w:r w:rsidRPr="00B4515A">
        <w:rPr>
          <w:rFonts w:hint="eastAsia"/>
        </w:rPr>
        <w:t>12</w:t>
      </w:r>
      <w:r w:rsidRPr="00B4515A">
        <w:rPr>
          <w:rFonts w:hint="eastAsia"/>
        </w:rPr>
        <w:t>号—收益法评估企业价值中折现率的测算》，同时考虑到沪深</w:t>
      </w:r>
      <w:r w:rsidRPr="00B4515A">
        <w:rPr>
          <w:rFonts w:hint="eastAsia"/>
        </w:rPr>
        <w:t>300</w:t>
      </w:r>
      <w:r w:rsidRPr="00B4515A">
        <w:rPr>
          <w:rFonts w:hint="eastAsia"/>
        </w:rPr>
        <w:t>全收益指数因为修正了样本股分红派息因而比沪深</w:t>
      </w:r>
      <w:r w:rsidRPr="00B4515A">
        <w:rPr>
          <w:rFonts w:hint="eastAsia"/>
        </w:rPr>
        <w:t>300</w:t>
      </w:r>
      <w:r w:rsidRPr="00B4515A">
        <w:rPr>
          <w:rFonts w:hint="eastAsia"/>
        </w:rPr>
        <w:t>指数在计算收益率时相对更为准确，选用沪深</w:t>
      </w:r>
      <w:r w:rsidRPr="00B4515A">
        <w:rPr>
          <w:rFonts w:hint="eastAsia"/>
        </w:rPr>
        <w:t>300</w:t>
      </w:r>
      <w:r w:rsidRPr="00B4515A">
        <w:rPr>
          <w:rFonts w:hint="eastAsia"/>
        </w:rPr>
        <w:t>全收益</w:t>
      </w:r>
      <w:r w:rsidRPr="00B4515A">
        <w:rPr>
          <w:rFonts w:hint="eastAsia"/>
        </w:rPr>
        <w:lastRenderedPageBreak/>
        <w:t>指数计算收益率。基期指数为</w:t>
      </w:r>
      <w:r w:rsidRPr="00B4515A">
        <w:rPr>
          <w:rFonts w:hint="eastAsia"/>
        </w:rPr>
        <w:t>1000</w:t>
      </w:r>
      <w:r w:rsidRPr="00B4515A">
        <w:rPr>
          <w:rFonts w:hint="eastAsia"/>
        </w:rPr>
        <w:t>点，时间为</w:t>
      </w:r>
      <w:r w:rsidRPr="00B4515A">
        <w:rPr>
          <w:rFonts w:hint="eastAsia"/>
        </w:rPr>
        <w:t>2004</w:t>
      </w:r>
      <w:r w:rsidRPr="00B4515A">
        <w:rPr>
          <w:rFonts w:hint="eastAsia"/>
        </w:rPr>
        <w:t>年</w:t>
      </w:r>
      <w:r w:rsidRPr="00B4515A">
        <w:rPr>
          <w:rFonts w:hint="eastAsia"/>
        </w:rPr>
        <w:t>12</w:t>
      </w:r>
      <w:r w:rsidRPr="00B4515A">
        <w:rPr>
          <w:rFonts w:hint="eastAsia"/>
        </w:rPr>
        <w:t>月</w:t>
      </w:r>
      <w:r w:rsidRPr="00B4515A">
        <w:rPr>
          <w:rFonts w:hint="eastAsia"/>
        </w:rPr>
        <w:t>31</w:t>
      </w:r>
      <w:r w:rsidRPr="00B4515A">
        <w:rPr>
          <w:rFonts w:hint="eastAsia"/>
        </w:rPr>
        <w:t>日。</w:t>
      </w:r>
    </w:p>
    <w:p w14:paraId="06BA99ED" w14:textId="77777777" w:rsidR="006416B0" w:rsidRPr="00B4515A" w:rsidRDefault="005E58C1" w:rsidP="005860B4">
      <w:pPr>
        <w:pStyle w:val="005"/>
        <w:spacing w:before="120" w:after="120"/>
        <w:ind w:firstLine="480"/>
      </w:pPr>
      <w:r w:rsidRPr="00B4515A">
        <w:rPr>
          <w:rFonts w:hint="eastAsia"/>
        </w:rPr>
        <w:t>时间跨度：计算时间段为</w:t>
      </w:r>
      <w:r w:rsidRPr="00B4515A">
        <w:rPr>
          <w:rFonts w:hint="eastAsia"/>
        </w:rPr>
        <w:t>2005</w:t>
      </w:r>
      <w:r w:rsidRPr="00B4515A">
        <w:rPr>
          <w:rFonts w:hint="eastAsia"/>
        </w:rPr>
        <w:t>年</w:t>
      </w:r>
      <w:r w:rsidRPr="00B4515A">
        <w:rPr>
          <w:rFonts w:hint="eastAsia"/>
        </w:rPr>
        <w:t>1</w:t>
      </w:r>
      <w:r w:rsidRPr="00B4515A">
        <w:rPr>
          <w:rFonts w:hint="eastAsia"/>
        </w:rPr>
        <w:t>月截至基准日前一年年末。</w:t>
      </w:r>
    </w:p>
    <w:p w14:paraId="3FAFD9E9" w14:textId="77777777" w:rsidR="006416B0" w:rsidRPr="00B4515A" w:rsidRDefault="005E58C1" w:rsidP="005860B4">
      <w:pPr>
        <w:pStyle w:val="005"/>
        <w:spacing w:before="120" w:after="120"/>
        <w:ind w:firstLine="480"/>
      </w:pPr>
      <w:r w:rsidRPr="00B4515A">
        <w:rPr>
          <w:rFonts w:hint="eastAsia"/>
        </w:rPr>
        <w:t>数据频率：周。考虑到中国的资本市场存续至今为</w:t>
      </w:r>
      <w:r w:rsidRPr="00B4515A">
        <w:rPr>
          <w:rFonts w:hint="eastAsia"/>
        </w:rPr>
        <w:t>30</w:t>
      </w:r>
      <w:r w:rsidRPr="00B4515A">
        <w:rPr>
          <w:rFonts w:hint="eastAsia"/>
        </w:rPr>
        <w:t>年左右，指数波动较大，如果简单按照周收盘指数计算，则会导致收益率波动较大而无参考意义。我们按照周收盘价之前交易日</w:t>
      </w:r>
      <w:r w:rsidRPr="00B4515A">
        <w:rPr>
          <w:rFonts w:hint="eastAsia"/>
        </w:rPr>
        <w:t>200</w:t>
      </w:r>
      <w:r w:rsidRPr="00B4515A">
        <w:rPr>
          <w:rFonts w:hint="eastAsia"/>
        </w:rPr>
        <w:t>周均值计算（不足</w:t>
      </w:r>
      <w:r w:rsidRPr="00B4515A">
        <w:rPr>
          <w:rFonts w:hint="eastAsia"/>
        </w:rPr>
        <w:t>200</w:t>
      </w:r>
      <w:r w:rsidRPr="00B4515A">
        <w:rPr>
          <w:rFonts w:hint="eastAsia"/>
        </w:rPr>
        <w:t>周的按照自指数发布周开始计算均值）获得年化收益率。</w:t>
      </w:r>
    </w:p>
    <w:p w14:paraId="58479E0E" w14:textId="1A1809A1" w:rsidR="006416B0" w:rsidRPr="00B4515A" w:rsidRDefault="005E58C1" w:rsidP="005860B4">
      <w:pPr>
        <w:pStyle w:val="005"/>
        <w:spacing w:before="120" w:after="120"/>
        <w:ind w:firstLine="480"/>
      </w:pPr>
      <w:r w:rsidRPr="00B4515A">
        <w:rPr>
          <w:rFonts w:hint="eastAsia"/>
        </w:rPr>
        <w:t>年化收益率平均方法：</w:t>
      </w:r>
      <w:r w:rsidR="001D3306" w:rsidRPr="00B4515A">
        <w:rPr>
          <w:rFonts w:hint="eastAsia"/>
        </w:rPr>
        <w:t>通过</w:t>
      </w:r>
      <w:r w:rsidRPr="00B4515A">
        <w:rPr>
          <w:rFonts w:hint="eastAsia"/>
        </w:rPr>
        <w:t>计算分析算数和几何两种平均年化收益率，最终选取几何平均年化收益率。</w:t>
      </w:r>
    </w:p>
    <w:p w14:paraId="4E8753D4" w14:textId="77777777" w:rsidR="006416B0" w:rsidRPr="00B4515A" w:rsidRDefault="005E58C1" w:rsidP="005860B4">
      <w:pPr>
        <w:pStyle w:val="005"/>
        <w:spacing w:before="120" w:after="120"/>
        <w:ind w:firstLine="480"/>
      </w:pPr>
      <w:r w:rsidRPr="00B4515A">
        <w:rPr>
          <w:rFonts w:ascii="Cambria Math" w:hAnsi="Cambria Math" w:cs="Cambria Math"/>
        </w:rPr>
        <w:t>𝑅𝑓</w:t>
      </w:r>
      <w:r w:rsidRPr="00B4515A">
        <w:rPr>
          <w:rFonts w:hint="eastAsia"/>
        </w:rPr>
        <w:t>的计算：无风险利率采用同期的十年期国债到期收益率（数据来源同前）。和指数收益率对应，采用当年完整年度的均值计算。</w:t>
      </w:r>
    </w:p>
    <w:p w14:paraId="38A7D690" w14:textId="77777777" w:rsidR="006416B0" w:rsidRPr="00B4515A" w:rsidRDefault="005E58C1" w:rsidP="005860B4">
      <w:pPr>
        <w:pStyle w:val="005"/>
        <w:spacing w:before="120" w:after="120"/>
        <w:ind w:firstLine="480"/>
      </w:pPr>
      <w:r w:rsidRPr="00B4515A">
        <w:rPr>
          <w:rFonts w:hint="eastAsia"/>
        </w:rPr>
        <w:t>市场风险溢价（</w:t>
      </w:r>
      <w:r w:rsidRPr="00B4515A">
        <w:rPr>
          <w:rFonts w:hint="eastAsia"/>
        </w:rPr>
        <w:t>MRP,</w:t>
      </w:r>
      <w:r w:rsidRPr="00B4515A">
        <w:rPr>
          <w:rFonts w:ascii="Cambria Math" w:hAnsi="Cambria Math" w:cs="Cambria Math"/>
        </w:rPr>
        <w:t>𝑅𝑚</w:t>
      </w:r>
      <w:r w:rsidRPr="00B4515A">
        <w:rPr>
          <w:rFonts w:ascii="微软雅黑" w:eastAsia="微软雅黑" w:hAnsi="微软雅黑" w:cs="微软雅黑" w:hint="eastAsia"/>
        </w:rPr>
        <w:t>−</w:t>
      </w:r>
      <w:r w:rsidRPr="00B4515A">
        <w:rPr>
          <w:rFonts w:ascii="Cambria Math" w:hAnsi="Cambria Math" w:cs="Cambria Math"/>
        </w:rPr>
        <w:t>𝑅𝑓</w:t>
      </w:r>
      <w:r w:rsidRPr="00B4515A">
        <w:rPr>
          <w:rFonts w:hint="eastAsia"/>
        </w:rPr>
        <w:t>）的计算：</w:t>
      </w:r>
    </w:p>
    <w:p w14:paraId="19DF3765" w14:textId="77777777" w:rsidR="006416B0" w:rsidRPr="00B4515A" w:rsidRDefault="005E58C1" w:rsidP="005860B4">
      <w:pPr>
        <w:pStyle w:val="005"/>
        <w:spacing w:before="120" w:after="120"/>
        <w:ind w:firstLine="480"/>
        <w:rPr>
          <w:rFonts w:ascii="宋体" w:hAnsi="宋体"/>
        </w:rPr>
      </w:pPr>
      <w:r w:rsidRPr="00B4515A">
        <w:rPr>
          <w:rFonts w:ascii="宋体" w:hAnsi="宋体" w:hint="eastAsia"/>
        </w:rPr>
        <w:t>通过上述计算得出了各年度的中国市场风险溢价基础数据。考虑到当前我国经济正在从高速增长阶段转向高质量发展阶段，增速逐渐趋缓，因此采用最近5年均值计算MRP数值，如下：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1"/>
        <w:gridCol w:w="1999"/>
        <w:gridCol w:w="2266"/>
        <w:gridCol w:w="2132"/>
      </w:tblGrid>
      <w:tr w:rsidR="006416B0" w:rsidRPr="00B4515A" w14:paraId="0AD1AD14" w14:textId="77777777" w:rsidTr="00EE238F">
        <w:trPr>
          <w:trHeight w:val="340"/>
          <w:jc w:val="center"/>
        </w:trPr>
        <w:tc>
          <w:tcPr>
            <w:tcW w:w="2266" w:type="dxa"/>
            <w:tcMar>
              <w:top w:w="0" w:type="dxa"/>
              <w:left w:w="108" w:type="dxa"/>
              <w:bottom w:w="0" w:type="dxa"/>
              <w:right w:w="108" w:type="dxa"/>
            </w:tcMar>
            <w:vAlign w:val="center"/>
          </w:tcPr>
          <w:p w14:paraId="235CD271"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b/>
                <w:bCs/>
                <w:sz w:val="21"/>
                <w:szCs w:val="21"/>
              </w:rPr>
              <w:t>期间</w:t>
            </w:r>
          </w:p>
        </w:tc>
        <w:tc>
          <w:tcPr>
            <w:tcW w:w="2124" w:type="dxa"/>
            <w:tcMar>
              <w:top w:w="0" w:type="dxa"/>
              <w:left w:w="108" w:type="dxa"/>
              <w:bottom w:w="0" w:type="dxa"/>
              <w:right w:w="108" w:type="dxa"/>
            </w:tcMar>
            <w:vAlign w:val="center"/>
          </w:tcPr>
          <w:p w14:paraId="3B020E18" w14:textId="77777777" w:rsidR="006416B0" w:rsidRPr="00B4515A" w:rsidRDefault="005E58C1" w:rsidP="00EE238F">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社会平均收益率</w:t>
            </w:r>
          </w:p>
        </w:tc>
        <w:tc>
          <w:tcPr>
            <w:tcW w:w="2410" w:type="dxa"/>
            <w:tcMar>
              <w:top w:w="0" w:type="dxa"/>
              <w:left w:w="108" w:type="dxa"/>
              <w:bottom w:w="0" w:type="dxa"/>
              <w:right w:w="108" w:type="dxa"/>
            </w:tcMar>
            <w:vAlign w:val="center"/>
          </w:tcPr>
          <w:p w14:paraId="3434B1DE" w14:textId="77777777" w:rsidR="005860B4" w:rsidRPr="00B4515A" w:rsidRDefault="005E58C1" w:rsidP="00EE238F">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十年期国债到期收</w:t>
            </w:r>
          </w:p>
          <w:p w14:paraId="58E38EC7" w14:textId="64986544"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b/>
                <w:bCs/>
                <w:sz w:val="21"/>
                <w:szCs w:val="21"/>
              </w:rPr>
              <w:t>益率</w:t>
            </w:r>
          </w:p>
        </w:tc>
        <w:tc>
          <w:tcPr>
            <w:tcW w:w="2267" w:type="dxa"/>
            <w:tcMar>
              <w:top w:w="0" w:type="dxa"/>
              <w:left w:w="108" w:type="dxa"/>
              <w:bottom w:w="0" w:type="dxa"/>
              <w:right w:w="108" w:type="dxa"/>
            </w:tcMar>
            <w:vAlign w:val="center"/>
          </w:tcPr>
          <w:p w14:paraId="2CE93CE3"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b/>
                <w:bCs/>
                <w:sz w:val="21"/>
                <w:szCs w:val="21"/>
              </w:rPr>
              <w:t>MRP</w:t>
            </w:r>
            <w:r w:rsidRPr="00B4515A">
              <w:rPr>
                <w:rFonts w:ascii="Times New Roman" w:hAnsi="Times New Roman" w:cs="Times New Roman"/>
                <w:b/>
                <w:bCs/>
                <w:sz w:val="21"/>
                <w:szCs w:val="21"/>
              </w:rPr>
              <w:t>，</w:t>
            </w:r>
            <w:r w:rsidRPr="00B4515A">
              <w:rPr>
                <w:rFonts w:ascii="Cambria Math" w:hAnsi="Cambria Math" w:cs="Cambria Math"/>
                <w:b/>
                <w:bCs/>
                <w:sz w:val="21"/>
                <w:szCs w:val="21"/>
              </w:rPr>
              <w:t>𝑅𝑚</w:t>
            </w:r>
            <w:r w:rsidRPr="00B4515A">
              <w:rPr>
                <w:rFonts w:ascii="Times New Roman" w:eastAsia="微软雅黑" w:hAnsi="Times New Roman" w:cs="Times New Roman"/>
                <w:b/>
                <w:bCs/>
                <w:sz w:val="21"/>
                <w:szCs w:val="21"/>
              </w:rPr>
              <w:t>−</w:t>
            </w:r>
            <w:r w:rsidRPr="00B4515A">
              <w:rPr>
                <w:rFonts w:ascii="Cambria Math" w:hAnsi="Cambria Math" w:cs="Cambria Math"/>
                <w:b/>
                <w:bCs/>
                <w:sz w:val="21"/>
                <w:szCs w:val="21"/>
              </w:rPr>
              <w:t>𝑅𝑓</w:t>
            </w:r>
          </w:p>
        </w:tc>
      </w:tr>
      <w:tr w:rsidR="006416B0" w:rsidRPr="00B4515A" w14:paraId="605392C1" w14:textId="77777777" w:rsidTr="00EE238F">
        <w:trPr>
          <w:trHeight w:val="340"/>
          <w:jc w:val="center"/>
        </w:trPr>
        <w:tc>
          <w:tcPr>
            <w:tcW w:w="2266" w:type="dxa"/>
            <w:tcMar>
              <w:top w:w="0" w:type="dxa"/>
              <w:left w:w="108" w:type="dxa"/>
              <w:bottom w:w="0" w:type="dxa"/>
              <w:right w:w="108" w:type="dxa"/>
            </w:tcMar>
            <w:vAlign w:val="center"/>
          </w:tcPr>
          <w:p w14:paraId="28E99F39" w14:textId="77777777" w:rsidR="006416B0" w:rsidRPr="00B4515A" w:rsidRDefault="005E58C1" w:rsidP="00EE238F">
            <w:pPr>
              <w:adjustRightInd w:val="0"/>
              <w:snapToGrid w:val="0"/>
              <w:jc w:val="center"/>
              <w:rPr>
                <w:rFonts w:ascii="Times New Roman" w:hAnsi="Times New Roman" w:cs="Times New Roman"/>
                <w:bCs/>
                <w:sz w:val="21"/>
                <w:szCs w:val="21"/>
              </w:rPr>
            </w:pPr>
            <w:r w:rsidRPr="00B4515A">
              <w:rPr>
                <w:rFonts w:ascii="Times New Roman" w:hAnsi="Times New Roman" w:cs="Times New Roman"/>
                <w:bCs/>
                <w:sz w:val="21"/>
                <w:szCs w:val="21"/>
              </w:rPr>
              <w:t>均值</w:t>
            </w:r>
          </w:p>
        </w:tc>
        <w:tc>
          <w:tcPr>
            <w:tcW w:w="2124" w:type="dxa"/>
            <w:tcMar>
              <w:top w:w="0" w:type="dxa"/>
              <w:left w:w="108" w:type="dxa"/>
              <w:bottom w:w="0" w:type="dxa"/>
              <w:right w:w="108" w:type="dxa"/>
            </w:tcMar>
            <w:vAlign w:val="center"/>
          </w:tcPr>
          <w:p w14:paraId="258E2813" w14:textId="77777777" w:rsidR="006416B0" w:rsidRPr="00B4515A" w:rsidRDefault="006416B0" w:rsidP="005860B4">
            <w:pPr>
              <w:adjustRightInd w:val="0"/>
              <w:snapToGrid w:val="0"/>
              <w:jc w:val="right"/>
              <w:rPr>
                <w:rFonts w:ascii="Times New Roman" w:hAnsi="Times New Roman" w:cs="Times New Roman"/>
                <w:color w:val="000000"/>
                <w:sz w:val="21"/>
                <w:szCs w:val="21"/>
              </w:rPr>
            </w:pPr>
          </w:p>
        </w:tc>
        <w:tc>
          <w:tcPr>
            <w:tcW w:w="2410" w:type="dxa"/>
            <w:tcMar>
              <w:top w:w="0" w:type="dxa"/>
              <w:left w:w="108" w:type="dxa"/>
              <w:bottom w:w="0" w:type="dxa"/>
              <w:right w:w="108" w:type="dxa"/>
            </w:tcMar>
            <w:vAlign w:val="center"/>
          </w:tcPr>
          <w:p w14:paraId="59A416A0" w14:textId="77777777" w:rsidR="006416B0" w:rsidRPr="00B4515A" w:rsidRDefault="006416B0" w:rsidP="005860B4">
            <w:pPr>
              <w:adjustRightInd w:val="0"/>
              <w:snapToGrid w:val="0"/>
              <w:jc w:val="right"/>
              <w:rPr>
                <w:rFonts w:ascii="Times New Roman" w:hAnsi="Times New Roman" w:cs="Times New Roman"/>
                <w:sz w:val="21"/>
                <w:szCs w:val="21"/>
              </w:rPr>
            </w:pPr>
          </w:p>
        </w:tc>
        <w:tc>
          <w:tcPr>
            <w:tcW w:w="2267" w:type="dxa"/>
            <w:tcMar>
              <w:top w:w="0" w:type="dxa"/>
              <w:left w:w="108" w:type="dxa"/>
              <w:bottom w:w="0" w:type="dxa"/>
              <w:right w:w="108" w:type="dxa"/>
            </w:tcMar>
            <w:vAlign w:val="center"/>
          </w:tcPr>
          <w:p w14:paraId="0704DB0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7.00%</w:t>
            </w:r>
          </w:p>
        </w:tc>
      </w:tr>
      <w:tr w:rsidR="006416B0" w:rsidRPr="00B4515A" w14:paraId="5DC0B823" w14:textId="77777777" w:rsidTr="00EE238F">
        <w:trPr>
          <w:trHeight w:val="340"/>
          <w:jc w:val="center"/>
        </w:trPr>
        <w:tc>
          <w:tcPr>
            <w:tcW w:w="2266" w:type="dxa"/>
            <w:tcMar>
              <w:top w:w="0" w:type="dxa"/>
              <w:left w:w="108" w:type="dxa"/>
              <w:bottom w:w="0" w:type="dxa"/>
              <w:right w:w="108" w:type="dxa"/>
            </w:tcMar>
            <w:vAlign w:val="center"/>
          </w:tcPr>
          <w:p w14:paraId="0131CF95"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bCs/>
                <w:sz w:val="21"/>
                <w:szCs w:val="21"/>
              </w:rPr>
              <w:t>2020</w:t>
            </w:r>
            <w:r w:rsidRPr="00B4515A">
              <w:rPr>
                <w:rFonts w:ascii="Times New Roman" w:hAnsi="Times New Roman" w:cs="Times New Roman"/>
                <w:bCs/>
                <w:sz w:val="21"/>
                <w:szCs w:val="21"/>
              </w:rPr>
              <w:t>年</w:t>
            </w:r>
          </w:p>
        </w:tc>
        <w:tc>
          <w:tcPr>
            <w:tcW w:w="2124" w:type="dxa"/>
            <w:tcMar>
              <w:top w:w="0" w:type="dxa"/>
              <w:left w:w="108" w:type="dxa"/>
              <w:bottom w:w="0" w:type="dxa"/>
              <w:right w:w="108" w:type="dxa"/>
            </w:tcMar>
            <w:vAlign w:val="center"/>
          </w:tcPr>
          <w:p w14:paraId="6EF535F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9.90%</w:t>
            </w:r>
          </w:p>
        </w:tc>
        <w:tc>
          <w:tcPr>
            <w:tcW w:w="2410" w:type="dxa"/>
            <w:tcMar>
              <w:top w:w="0" w:type="dxa"/>
              <w:left w:w="108" w:type="dxa"/>
              <w:bottom w:w="0" w:type="dxa"/>
              <w:right w:w="108" w:type="dxa"/>
            </w:tcMar>
            <w:vAlign w:val="center"/>
          </w:tcPr>
          <w:p w14:paraId="5023E60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2.94%</w:t>
            </w:r>
          </w:p>
        </w:tc>
        <w:tc>
          <w:tcPr>
            <w:tcW w:w="2267" w:type="dxa"/>
            <w:tcMar>
              <w:top w:w="0" w:type="dxa"/>
              <w:left w:w="108" w:type="dxa"/>
              <w:bottom w:w="0" w:type="dxa"/>
              <w:right w:w="108" w:type="dxa"/>
            </w:tcMar>
            <w:vAlign w:val="center"/>
          </w:tcPr>
          <w:p w14:paraId="0C3B65E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6.96%</w:t>
            </w:r>
          </w:p>
        </w:tc>
      </w:tr>
      <w:tr w:rsidR="006416B0" w:rsidRPr="00B4515A" w14:paraId="68965839" w14:textId="77777777" w:rsidTr="00EE238F">
        <w:trPr>
          <w:trHeight w:val="340"/>
          <w:jc w:val="center"/>
        </w:trPr>
        <w:tc>
          <w:tcPr>
            <w:tcW w:w="2266" w:type="dxa"/>
            <w:tcMar>
              <w:top w:w="0" w:type="dxa"/>
              <w:left w:w="108" w:type="dxa"/>
              <w:bottom w:w="0" w:type="dxa"/>
              <w:right w:w="108" w:type="dxa"/>
            </w:tcMar>
            <w:vAlign w:val="center"/>
          </w:tcPr>
          <w:p w14:paraId="45650E86"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bCs/>
                <w:sz w:val="21"/>
                <w:szCs w:val="21"/>
              </w:rPr>
              <w:t>2019</w:t>
            </w:r>
            <w:r w:rsidRPr="00B4515A">
              <w:rPr>
                <w:rFonts w:ascii="Times New Roman" w:hAnsi="Times New Roman" w:cs="Times New Roman"/>
                <w:bCs/>
                <w:sz w:val="21"/>
                <w:szCs w:val="21"/>
              </w:rPr>
              <w:t>年</w:t>
            </w:r>
          </w:p>
        </w:tc>
        <w:tc>
          <w:tcPr>
            <w:tcW w:w="2124" w:type="dxa"/>
            <w:tcMar>
              <w:top w:w="0" w:type="dxa"/>
              <w:left w:w="108" w:type="dxa"/>
              <w:bottom w:w="0" w:type="dxa"/>
              <w:right w:w="108" w:type="dxa"/>
            </w:tcMar>
            <w:vAlign w:val="center"/>
          </w:tcPr>
          <w:p w14:paraId="50EB158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9.87%</w:t>
            </w:r>
          </w:p>
        </w:tc>
        <w:tc>
          <w:tcPr>
            <w:tcW w:w="2410" w:type="dxa"/>
            <w:tcMar>
              <w:top w:w="0" w:type="dxa"/>
              <w:left w:w="108" w:type="dxa"/>
              <w:bottom w:w="0" w:type="dxa"/>
              <w:right w:w="108" w:type="dxa"/>
            </w:tcMar>
            <w:vAlign w:val="center"/>
          </w:tcPr>
          <w:p w14:paraId="65A5B6A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3.18%</w:t>
            </w:r>
          </w:p>
        </w:tc>
        <w:tc>
          <w:tcPr>
            <w:tcW w:w="2267" w:type="dxa"/>
            <w:tcMar>
              <w:top w:w="0" w:type="dxa"/>
              <w:left w:w="108" w:type="dxa"/>
              <w:bottom w:w="0" w:type="dxa"/>
              <w:right w:w="108" w:type="dxa"/>
            </w:tcMar>
            <w:vAlign w:val="center"/>
          </w:tcPr>
          <w:p w14:paraId="215C2F7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6.69%</w:t>
            </w:r>
          </w:p>
        </w:tc>
      </w:tr>
      <w:tr w:rsidR="006416B0" w:rsidRPr="00B4515A" w14:paraId="65459840" w14:textId="77777777" w:rsidTr="00EE238F">
        <w:trPr>
          <w:trHeight w:val="340"/>
          <w:jc w:val="center"/>
        </w:trPr>
        <w:tc>
          <w:tcPr>
            <w:tcW w:w="2266" w:type="dxa"/>
            <w:tcMar>
              <w:top w:w="0" w:type="dxa"/>
              <w:left w:w="108" w:type="dxa"/>
              <w:bottom w:w="0" w:type="dxa"/>
              <w:right w:w="108" w:type="dxa"/>
            </w:tcMar>
            <w:vAlign w:val="center"/>
          </w:tcPr>
          <w:p w14:paraId="6AC37B0A"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bCs/>
                <w:sz w:val="21"/>
                <w:szCs w:val="21"/>
              </w:rPr>
              <w:t>2018</w:t>
            </w:r>
            <w:r w:rsidRPr="00B4515A">
              <w:rPr>
                <w:rFonts w:ascii="Times New Roman" w:hAnsi="Times New Roman" w:cs="Times New Roman"/>
                <w:bCs/>
                <w:sz w:val="21"/>
                <w:szCs w:val="21"/>
              </w:rPr>
              <w:t>年</w:t>
            </w:r>
          </w:p>
        </w:tc>
        <w:tc>
          <w:tcPr>
            <w:tcW w:w="2124" w:type="dxa"/>
            <w:tcMar>
              <w:top w:w="0" w:type="dxa"/>
              <w:left w:w="108" w:type="dxa"/>
              <w:bottom w:w="0" w:type="dxa"/>
              <w:right w:w="108" w:type="dxa"/>
            </w:tcMar>
            <w:vAlign w:val="center"/>
          </w:tcPr>
          <w:p w14:paraId="685423E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10.48%</w:t>
            </w:r>
          </w:p>
        </w:tc>
        <w:tc>
          <w:tcPr>
            <w:tcW w:w="2410" w:type="dxa"/>
            <w:tcMar>
              <w:top w:w="0" w:type="dxa"/>
              <w:left w:w="108" w:type="dxa"/>
              <w:bottom w:w="0" w:type="dxa"/>
              <w:right w:w="108" w:type="dxa"/>
            </w:tcMar>
            <w:vAlign w:val="center"/>
          </w:tcPr>
          <w:p w14:paraId="7EF1EC4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3.62%</w:t>
            </w:r>
          </w:p>
        </w:tc>
        <w:tc>
          <w:tcPr>
            <w:tcW w:w="2267" w:type="dxa"/>
            <w:tcMar>
              <w:top w:w="0" w:type="dxa"/>
              <w:left w:w="108" w:type="dxa"/>
              <w:bottom w:w="0" w:type="dxa"/>
              <w:right w:w="108" w:type="dxa"/>
            </w:tcMar>
            <w:vAlign w:val="center"/>
          </w:tcPr>
          <w:p w14:paraId="2202ECD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6.86%</w:t>
            </w:r>
          </w:p>
        </w:tc>
      </w:tr>
      <w:tr w:rsidR="006416B0" w:rsidRPr="00B4515A" w14:paraId="2851FD83" w14:textId="77777777" w:rsidTr="00EE238F">
        <w:trPr>
          <w:trHeight w:val="340"/>
          <w:jc w:val="center"/>
        </w:trPr>
        <w:tc>
          <w:tcPr>
            <w:tcW w:w="2266" w:type="dxa"/>
            <w:tcMar>
              <w:top w:w="0" w:type="dxa"/>
              <w:left w:w="108" w:type="dxa"/>
              <w:bottom w:w="0" w:type="dxa"/>
              <w:right w:w="108" w:type="dxa"/>
            </w:tcMar>
            <w:vAlign w:val="center"/>
          </w:tcPr>
          <w:p w14:paraId="39EEB168"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bCs/>
                <w:sz w:val="21"/>
                <w:szCs w:val="21"/>
              </w:rPr>
              <w:t>2017</w:t>
            </w:r>
            <w:r w:rsidRPr="00B4515A">
              <w:rPr>
                <w:rFonts w:ascii="Times New Roman" w:hAnsi="Times New Roman" w:cs="Times New Roman"/>
                <w:bCs/>
                <w:sz w:val="21"/>
                <w:szCs w:val="21"/>
              </w:rPr>
              <w:t>年</w:t>
            </w:r>
          </w:p>
        </w:tc>
        <w:tc>
          <w:tcPr>
            <w:tcW w:w="2124" w:type="dxa"/>
            <w:tcMar>
              <w:top w:w="0" w:type="dxa"/>
              <w:left w:w="108" w:type="dxa"/>
              <w:bottom w:w="0" w:type="dxa"/>
              <w:right w:w="108" w:type="dxa"/>
            </w:tcMar>
            <w:vAlign w:val="center"/>
          </w:tcPr>
          <w:p w14:paraId="1518BAA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10.53%</w:t>
            </w:r>
          </w:p>
        </w:tc>
        <w:tc>
          <w:tcPr>
            <w:tcW w:w="2410" w:type="dxa"/>
            <w:tcMar>
              <w:top w:w="0" w:type="dxa"/>
              <w:left w:w="108" w:type="dxa"/>
              <w:bottom w:w="0" w:type="dxa"/>
              <w:right w:w="108" w:type="dxa"/>
            </w:tcMar>
            <w:vAlign w:val="center"/>
          </w:tcPr>
          <w:p w14:paraId="70BE34C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3.58%</w:t>
            </w:r>
          </w:p>
        </w:tc>
        <w:tc>
          <w:tcPr>
            <w:tcW w:w="2267" w:type="dxa"/>
            <w:tcMar>
              <w:top w:w="0" w:type="dxa"/>
              <w:left w:w="108" w:type="dxa"/>
              <w:bottom w:w="0" w:type="dxa"/>
              <w:right w:w="108" w:type="dxa"/>
            </w:tcMar>
            <w:vAlign w:val="center"/>
          </w:tcPr>
          <w:p w14:paraId="4BFC478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6.95%</w:t>
            </w:r>
          </w:p>
        </w:tc>
      </w:tr>
      <w:tr w:rsidR="006416B0" w:rsidRPr="00B4515A" w14:paraId="2343E27A" w14:textId="77777777" w:rsidTr="00EE238F">
        <w:trPr>
          <w:trHeight w:val="340"/>
          <w:jc w:val="center"/>
        </w:trPr>
        <w:tc>
          <w:tcPr>
            <w:tcW w:w="2266" w:type="dxa"/>
            <w:tcMar>
              <w:top w:w="0" w:type="dxa"/>
              <w:left w:w="108" w:type="dxa"/>
              <w:bottom w:w="0" w:type="dxa"/>
              <w:right w:w="108" w:type="dxa"/>
            </w:tcMar>
            <w:vAlign w:val="center"/>
          </w:tcPr>
          <w:p w14:paraId="6C7745C8"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bCs/>
                <w:sz w:val="21"/>
                <w:szCs w:val="21"/>
              </w:rPr>
              <w:t>2016</w:t>
            </w:r>
            <w:r w:rsidRPr="00B4515A">
              <w:rPr>
                <w:rFonts w:ascii="Times New Roman" w:hAnsi="Times New Roman" w:cs="Times New Roman"/>
                <w:bCs/>
                <w:sz w:val="21"/>
                <w:szCs w:val="21"/>
              </w:rPr>
              <w:t>年</w:t>
            </w:r>
          </w:p>
        </w:tc>
        <w:tc>
          <w:tcPr>
            <w:tcW w:w="2124" w:type="dxa"/>
            <w:tcMar>
              <w:top w:w="0" w:type="dxa"/>
              <w:left w:w="108" w:type="dxa"/>
              <w:bottom w:w="0" w:type="dxa"/>
              <w:right w:w="108" w:type="dxa"/>
            </w:tcMar>
            <w:vAlign w:val="center"/>
          </w:tcPr>
          <w:p w14:paraId="36BCF68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10.38%</w:t>
            </w:r>
          </w:p>
        </w:tc>
        <w:tc>
          <w:tcPr>
            <w:tcW w:w="2410" w:type="dxa"/>
            <w:tcMar>
              <w:top w:w="0" w:type="dxa"/>
              <w:left w:w="108" w:type="dxa"/>
              <w:bottom w:w="0" w:type="dxa"/>
              <w:right w:w="108" w:type="dxa"/>
            </w:tcMar>
            <w:vAlign w:val="center"/>
          </w:tcPr>
          <w:p w14:paraId="0A4A700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2.86%</w:t>
            </w:r>
          </w:p>
        </w:tc>
        <w:tc>
          <w:tcPr>
            <w:tcW w:w="2267" w:type="dxa"/>
            <w:tcMar>
              <w:top w:w="0" w:type="dxa"/>
              <w:left w:w="108" w:type="dxa"/>
              <w:bottom w:w="0" w:type="dxa"/>
              <w:right w:w="108" w:type="dxa"/>
            </w:tcMar>
            <w:vAlign w:val="center"/>
          </w:tcPr>
          <w:p w14:paraId="64B8DEB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7.52%</w:t>
            </w:r>
          </w:p>
        </w:tc>
      </w:tr>
    </w:tbl>
    <w:p w14:paraId="7E54224E" w14:textId="77777777" w:rsidR="006416B0" w:rsidRPr="00B4515A" w:rsidRDefault="005E58C1" w:rsidP="005860B4">
      <w:pPr>
        <w:pStyle w:val="005"/>
        <w:spacing w:before="120" w:after="120"/>
        <w:ind w:firstLine="480"/>
      </w:pPr>
      <w:r w:rsidRPr="00B4515A">
        <w:t>即目前中国市场风险溢价约为</w:t>
      </w:r>
      <w:r w:rsidRPr="00B4515A">
        <w:t>7.00%</w:t>
      </w:r>
      <w:r w:rsidRPr="00B4515A">
        <w:t>。</w:t>
      </w:r>
    </w:p>
    <w:p w14:paraId="7CB50F2E" w14:textId="77777777" w:rsidR="006416B0" w:rsidRPr="00B4515A" w:rsidRDefault="005E58C1" w:rsidP="005860B4">
      <w:pPr>
        <w:pStyle w:val="005"/>
        <w:spacing w:before="120" w:after="120"/>
        <w:ind w:firstLine="480"/>
      </w:pPr>
      <w:r w:rsidRPr="00B4515A">
        <w:sym w:font="Wingdings 2" w:char="F06C"/>
      </w:r>
      <w:r w:rsidRPr="00B4515A">
        <w:t>贝塔值（</w:t>
      </w:r>
      <w:r w:rsidRPr="00B4515A">
        <w:t>β</w:t>
      </w:r>
      <w:r w:rsidRPr="00B4515A">
        <w:t>系数）</w:t>
      </w:r>
    </w:p>
    <w:p w14:paraId="491459DC" w14:textId="650EC35F" w:rsidR="006416B0" w:rsidRPr="00B4515A" w:rsidRDefault="005E58C1" w:rsidP="005860B4">
      <w:pPr>
        <w:pStyle w:val="005"/>
        <w:spacing w:before="120" w:after="120"/>
        <w:ind w:firstLine="480"/>
      </w:pPr>
      <w:r w:rsidRPr="00B4515A">
        <w:t>该系数是衡量委估企业相对于资本市场整体回报的风险溢价程度，也用来衡量个别股票受包括股市价格变动在内的整个经济环境影响程度的指标。由于</w:t>
      </w:r>
      <w:r w:rsidR="001D3306" w:rsidRPr="00B4515A">
        <w:rPr>
          <w:rFonts w:hint="eastAsia"/>
        </w:rPr>
        <w:t>大唐联诚</w:t>
      </w:r>
      <w:r w:rsidRPr="00B4515A">
        <w:t>目前为非上市公司，一般情况下难以直接对其测算出该系数指标值，故本次通过选定与</w:t>
      </w:r>
      <w:r w:rsidR="001D3306" w:rsidRPr="00B4515A">
        <w:rPr>
          <w:rFonts w:hint="eastAsia"/>
        </w:rPr>
        <w:t>大唐联诚</w:t>
      </w:r>
      <w:r w:rsidRPr="00B4515A">
        <w:t>处于同行业的可比上市公司于基准日的</w:t>
      </w:r>
      <w:r w:rsidRPr="00B4515A">
        <w:t>β</w:t>
      </w:r>
      <w:r w:rsidRPr="00B4515A">
        <w:t>系数（即</w:t>
      </w:r>
      <w:r w:rsidRPr="00B4515A">
        <w:rPr>
          <w:noProof/>
        </w:rPr>
        <w:drawing>
          <wp:inline distT="0" distB="0" distL="0" distR="0" wp14:anchorId="78F12C18" wp14:editId="57359F8F">
            <wp:extent cx="179070" cy="2051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79070" cy="205105"/>
                    </a:xfrm>
                    <a:prstGeom prst="rect">
                      <a:avLst/>
                    </a:prstGeom>
                    <a:noFill/>
                    <a:ln>
                      <a:noFill/>
                    </a:ln>
                  </pic:spPr>
                </pic:pic>
              </a:graphicData>
            </a:graphic>
          </wp:inline>
        </w:drawing>
      </w:r>
      <w:r w:rsidRPr="00B4515A">
        <w:t>）指标平均值作为参照。</w:t>
      </w:r>
    </w:p>
    <w:p w14:paraId="2CC83A65" w14:textId="35338253" w:rsidR="006416B0" w:rsidRPr="00B4515A" w:rsidRDefault="005E58C1">
      <w:pPr>
        <w:pStyle w:val="005"/>
        <w:spacing w:before="120" w:after="120"/>
        <w:ind w:firstLine="480"/>
      </w:pPr>
      <w:r w:rsidRPr="00B4515A">
        <w:lastRenderedPageBreak/>
        <w:t>综合考虑可比上市公司与</w:t>
      </w:r>
      <w:r w:rsidR="001D3306" w:rsidRPr="00B4515A">
        <w:rPr>
          <w:rFonts w:hint="eastAsia"/>
        </w:rPr>
        <w:t>大唐联诚</w:t>
      </w:r>
      <w:r w:rsidRPr="00B4515A">
        <w:t>在业务类型、企业规模、盈利能力、成长性、行业竞争力、企业发展阶段等多方面的可比性，最终选择</w:t>
      </w:r>
      <w:r w:rsidRPr="00B4515A">
        <w:t>4</w:t>
      </w:r>
      <w:r w:rsidRPr="00B4515A">
        <w:t>家可比上市公司。</w:t>
      </w:r>
      <w:r w:rsidRPr="00B4515A">
        <w:t>4</w:t>
      </w:r>
      <w:r w:rsidRPr="00B4515A">
        <w:t>家可比上市公司加权剔除财务杠杆调整平均</w:t>
      </w:r>
      <w:r w:rsidRPr="00B4515A">
        <w:rPr>
          <w:noProof/>
        </w:rPr>
        <w:drawing>
          <wp:inline distT="0" distB="0" distL="0" distR="0" wp14:anchorId="3F37211E" wp14:editId="40FE5284">
            <wp:extent cx="179070" cy="20510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79070" cy="205105"/>
                    </a:xfrm>
                    <a:prstGeom prst="rect">
                      <a:avLst/>
                    </a:prstGeom>
                    <a:noFill/>
                    <a:ln>
                      <a:noFill/>
                    </a:ln>
                  </pic:spPr>
                </pic:pic>
              </a:graphicData>
            </a:graphic>
          </wp:inline>
        </w:drawing>
      </w:r>
      <w:r w:rsidRPr="00B4515A">
        <w:t>=0.9698</w:t>
      </w:r>
      <w:r w:rsidRPr="00B4515A">
        <w:t>。具体明细如下：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33"/>
        <w:gridCol w:w="1953"/>
        <w:gridCol w:w="1774"/>
        <w:gridCol w:w="3768"/>
      </w:tblGrid>
      <w:tr w:rsidR="006416B0" w:rsidRPr="00B4515A" w14:paraId="43518505" w14:textId="77777777" w:rsidTr="00EE238F">
        <w:trPr>
          <w:trHeight w:val="340"/>
          <w:jc w:val="center"/>
        </w:trPr>
        <w:tc>
          <w:tcPr>
            <w:tcW w:w="605" w:type="pct"/>
            <w:tcMar>
              <w:top w:w="0" w:type="dxa"/>
              <w:left w:w="108" w:type="dxa"/>
              <w:bottom w:w="0" w:type="dxa"/>
              <w:right w:w="108" w:type="dxa"/>
            </w:tcMar>
            <w:vAlign w:val="center"/>
          </w:tcPr>
          <w:p w14:paraId="1874F6A2" w14:textId="77777777" w:rsidR="006416B0" w:rsidRPr="00B4515A" w:rsidRDefault="005E58C1" w:rsidP="005860B4">
            <w:pPr>
              <w:adjustRightInd w:val="0"/>
              <w:snapToGrid w:val="0"/>
              <w:textAlignment w:val="baseline"/>
              <w:rPr>
                <w:rFonts w:ascii="Times New Roman" w:hAnsi="Times New Roman" w:cs="Times New Roman"/>
                <w:sz w:val="21"/>
                <w:szCs w:val="21"/>
              </w:rPr>
            </w:pPr>
            <w:r w:rsidRPr="00B4515A">
              <w:rPr>
                <w:rFonts w:ascii="Times New Roman" w:hAnsi="Times New Roman" w:cs="Times New Roman"/>
                <w:b/>
                <w:bCs/>
                <w:sz w:val="21"/>
                <w:szCs w:val="21"/>
              </w:rPr>
              <w:t>序号</w:t>
            </w:r>
          </w:p>
        </w:tc>
        <w:tc>
          <w:tcPr>
            <w:tcW w:w="1145" w:type="pct"/>
            <w:tcMar>
              <w:top w:w="0" w:type="dxa"/>
              <w:left w:w="108" w:type="dxa"/>
              <w:bottom w:w="0" w:type="dxa"/>
              <w:right w:w="108" w:type="dxa"/>
            </w:tcMar>
            <w:vAlign w:val="center"/>
          </w:tcPr>
          <w:p w14:paraId="5A265255" w14:textId="77777777" w:rsidR="006416B0" w:rsidRPr="00B4515A" w:rsidRDefault="005E58C1" w:rsidP="00EE238F">
            <w:pPr>
              <w:adjustRightInd w:val="0"/>
              <w:snapToGrid w:val="0"/>
              <w:jc w:val="center"/>
              <w:textAlignment w:val="baseline"/>
              <w:rPr>
                <w:rFonts w:ascii="Times New Roman" w:hAnsi="Times New Roman" w:cs="Times New Roman"/>
                <w:b/>
                <w:bCs/>
                <w:sz w:val="21"/>
                <w:szCs w:val="21"/>
              </w:rPr>
            </w:pPr>
            <w:r w:rsidRPr="00B4515A">
              <w:rPr>
                <w:rFonts w:ascii="Times New Roman" w:hAnsi="Times New Roman" w:cs="Times New Roman"/>
                <w:b/>
                <w:bCs/>
                <w:sz w:val="21"/>
                <w:szCs w:val="21"/>
              </w:rPr>
              <w:t>证券代码</w:t>
            </w:r>
          </w:p>
        </w:tc>
        <w:tc>
          <w:tcPr>
            <w:tcW w:w="1040" w:type="pct"/>
            <w:tcMar>
              <w:top w:w="0" w:type="dxa"/>
              <w:left w:w="108" w:type="dxa"/>
              <w:bottom w:w="0" w:type="dxa"/>
              <w:right w:w="108" w:type="dxa"/>
            </w:tcMar>
            <w:vAlign w:val="center"/>
          </w:tcPr>
          <w:p w14:paraId="0B316A89" w14:textId="77777777" w:rsidR="006416B0" w:rsidRPr="00B4515A" w:rsidRDefault="005E58C1" w:rsidP="00EE238F">
            <w:pPr>
              <w:adjustRightInd w:val="0"/>
              <w:snapToGrid w:val="0"/>
              <w:jc w:val="center"/>
              <w:textAlignment w:val="baseline"/>
              <w:rPr>
                <w:rFonts w:ascii="Times New Roman" w:hAnsi="Times New Roman" w:cs="Times New Roman"/>
                <w:b/>
                <w:bCs/>
                <w:sz w:val="21"/>
                <w:szCs w:val="21"/>
              </w:rPr>
            </w:pPr>
            <w:r w:rsidRPr="00B4515A">
              <w:rPr>
                <w:rFonts w:ascii="Times New Roman" w:hAnsi="Times New Roman" w:cs="Times New Roman"/>
                <w:b/>
                <w:bCs/>
                <w:sz w:val="21"/>
                <w:szCs w:val="21"/>
              </w:rPr>
              <w:t>证券简称</w:t>
            </w:r>
          </w:p>
        </w:tc>
        <w:tc>
          <w:tcPr>
            <w:tcW w:w="2209" w:type="pct"/>
            <w:tcMar>
              <w:top w:w="0" w:type="dxa"/>
              <w:left w:w="108" w:type="dxa"/>
              <w:bottom w:w="0" w:type="dxa"/>
              <w:right w:w="108" w:type="dxa"/>
            </w:tcMar>
            <w:vAlign w:val="center"/>
          </w:tcPr>
          <w:p w14:paraId="01D0D394" w14:textId="77777777" w:rsidR="006416B0" w:rsidRPr="00B4515A" w:rsidRDefault="005E58C1" w:rsidP="00EE238F">
            <w:pPr>
              <w:adjustRightInd w:val="0"/>
              <w:snapToGrid w:val="0"/>
              <w:jc w:val="center"/>
              <w:textAlignment w:val="baseline"/>
              <w:rPr>
                <w:rFonts w:ascii="Times New Roman" w:hAnsi="Times New Roman" w:cs="Times New Roman"/>
                <w:b/>
                <w:bCs/>
                <w:sz w:val="21"/>
                <w:szCs w:val="21"/>
              </w:rPr>
            </w:pPr>
            <w:r w:rsidRPr="00B4515A">
              <w:rPr>
                <w:rFonts w:ascii="Times New Roman" w:hAnsi="Times New Roman" w:cs="Times New Roman"/>
                <w:b/>
                <w:bCs/>
                <w:sz w:val="21"/>
                <w:szCs w:val="21"/>
              </w:rPr>
              <w:t>剔除财务杠杆调整贝塔</w:t>
            </w:r>
          </w:p>
        </w:tc>
      </w:tr>
      <w:tr w:rsidR="006416B0" w:rsidRPr="00B4515A" w14:paraId="335F8FAE" w14:textId="77777777" w:rsidTr="00EE238F">
        <w:trPr>
          <w:trHeight w:val="340"/>
          <w:jc w:val="center"/>
        </w:trPr>
        <w:tc>
          <w:tcPr>
            <w:tcW w:w="605" w:type="pct"/>
            <w:tcMar>
              <w:top w:w="0" w:type="dxa"/>
              <w:left w:w="108" w:type="dxa"/>
              <w:bottom w:w="0" w:type="dxa"/>
              <w:right w:w="108" w:type="dxa"/>
            </w:tcMar>
            <w:vAlign w:val="center"/>
          </w:tcPr>
          <w:p w14:paraId="2968E9C3" w14:textId="77777777" w:rsidR="006416B0" w:rsidRPr="00B4515A" w:rsidRDefault="005E58C1" w:rsidP="00EE238F">
            <w:pPr>
              <w:adjustRightInd w:val="0"/>
              <w:snapToGrid w:val="0"/>
              <w:jc w:val="center"/>
              <w:textAlignment w:val="baseline"/>
              <w:rPr>
                <w:rFonts w:ascii="Times New Roman" w:hAnsi="Times New Roman" w:cs="Times New Roman"/>
                <w:bCs/>
                <w:sz w:val="21"/>
                <w:szCs w:val="21"/>
              </w:rPr>
            </w:pPr>
            <w:r w:rsidRPr="00B4515A">
              <w:rPr>
                <w:rFonts w:ascii="Times New Roman" w:hAnsi="Times New Roman" w:cs="Times New Roman"/>
                <w:bCs/>
                <w:sz w:val="21"/>
                <w:szCs w:val="21"/>
              </w:rPr>
              <w:t>1</w:t>
            </w:r>
          </w:p>
        </w:tc>
        <w:tc>
          <w:tcPr>
            <w:tcW w:w="1145" w:type="pct"/>
            <w:tcMar>
              <w:top w:w="0" w:type="dxa"/>
              <w:left w:w="108" w:type="dxa"/>
              <w:bottom w:w="0" w:type="dxa"/>
              <w:right w:w="108" w:type="dxa"/>
            </w:tcMar>
            <w:vAlign w:val="center"/>
          </w:tcPr>
          <w:p w14:paraId="38DC9942" w14:textId="77777777" w:rsidR="006416B0" w:rsidRPr="00B4515A" w:rsidRDefault="005E58C1" w:rsidP="00EE238F">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color w:val="000000"/>
                <w:sz w:val="21"/>
                <w:szCs w:val="21"/>
              </w:rPr>
              <w:t>002465.SZ</w:t>
            </w:r>
          </w:p>
        </w:tc>
        <w:tc>
          <w:tcPr>
            <w:tcW w:w="1040" w:type="pct"/>
            <w:tcMar>
              <w:top w:w="0" w:type="dxa"/>
              <w:left w:w="108" w:type="dxa"/>
              <w:bottom w:w="0" w:type="dxa"/>
              <w:right w:w="108" w:type="dxa"/>
            </w:tcMar>
            <w:vAlign w:val="center"/>
          </w:tcPr>
          <w:p w14:paraId="01F05465" w14:textId="77777777" w:rsidR="006416B0" w:rsidRPr="00B4515A" w:rsidRDefault="005E58C1" w:rsidP="00EE238F">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color w:val="000000"/>
                <w:sz w:val="21"/>
                <w:szCs w:val="21"/>
              </w:rPr>
              <w:t>海格通信</w:t>
            </w:r>
          </w:p>
        </w:tc>
        <w:tc>
          <w:tcPr>
            <w:tcW w:w="2209" w:type="pct"/>
            <w:tcMar>
              <w:top w:w="0" w:type="dxa"/>
              <w:left w:w="108" w:type="dxa"/>
              <w:bottom w:w="0" w:type="dxa"/>
              <w:right w:w="108" w:type="dxa"/>
            </w:tcMar>
            <w:vAlign w:val="center"/>
          </w:tcPr>
          <w:p w14:paraId="7BE24AE1" w14:textId="77777777" w:rsidR="006416B0" w:rsidRPr="00B4515A" w:rsidRDefault="005E58C1" w:rsidP="005860B4">
            <w:pPr>
              <w:adjustRightInd w:val="0"/>
              <w:snapToGrid w:val="0"/>
              <w:jc w:val="right"/>
              <w:textAlignment w:val="bottom"/>
              <w:rPr>
                <w:rFonts w:ascii="Times New Roman" w:hAnsi="Times New Roman" w:cs="Times New Roman"/>
                <w:sz w:val="21"/>
                <w:szCs w:val="21"/>
              </w:rPr>
            </w:pPr>
            <w:r w:rsidRPr="00B4515A">
              <w:rPr>
                <w:rFonts w:ascii="Times New Roman" w:hAnsi="Times New Roman" w:cs="Times New Roman"/>
                <w:color w:val="000000"/>
                <w:sz w:val="21"/>
                <w:szCs w:val="21"/>
              </w:rPr>
              <w:t>0.8229</w:t>
            </w:r>
          </w:p>
        </w:tc>
      </w:tr>
      <w:tr w:rsidR="006416B0" w:rsidRPr="00B4515A" w14:paraId="2F81C496" w14:textId="77777777" w:rsidTr="00EE238F">
        <w:trPr>
          <w:trHeight w:val="340"/>
          <w:jc w:val="center"/>
        </w:trPr>
        <w:tc>
          <w:tcPr>
            <w:tcW w:w="605" w:type="pct"/>
            <w:tcMar>
              <w:top w:w="0" w:type="dxa"/>
              <w:left w:w="108" w:type="dxa"/>
              <w:bottom w:w="0" w:type="dxa"/>
              <w:right w:w="108" w:type="dxa"/>
            </w:tcMar>
            <w:vAlign w:val="center"/>
          </w:tcPr>
          <w:p w14:paraId="7417CD04" w14:textId="77777777" w:rsidR="006416B0" w:rsidRPr="00B4515A" w:rsidRDefault="005E58C1" w:rsidP="00EE238F">
            <w:pPr>
              <w:adjustRightInd w:val="0"/>
              <w:snapToGrid w:val="0"/>
              <w:jc w:val="center"/>
              <w:textAlignment w:val="baseline"/>
              <w:rPr>
                <w:rFonts w:ascii="Times New Roman" w:hAnsi="Times New Roman" w:cs="Times New Roman"/>
                <w:sz w:val="21"/>
                <w:szCs w:val="21"/>
              </w:rPr>
            </w:pPr>
            <w:r w:rsidRPr="00B4515A">
              <w:rPr>
                <w:rFonts w:ascii="Times New Roman" w:hAnsi="Times New Roman" w:cs="Times New Roman"/>
                <w:bCs/>
                <w:sz w:val="21"/>
                <w:szCs w:val="21"/>
              </w:rPr>
              <w:t>2</w:t>
            </w:r>
          </w:p>
        </w:tc>
        <w:tc>
          <w:tcPr>
            <w:tcW w:w="1145" w:type="pct"/>
            <w:tcMar>
              <w:top w:w="0" w:type="dxa"/>
              <w:left w:w="108" w:type="dxa"/>
              <w:bottom w:w="0" w:type="dxa"/>
              <w:right w:w="108" w:type="dxa"/>
            </w:tcMar>
            <w:vAlign w:val="center"/>
          </w:tcPr>
          <w:p w14:paraId="5021053E" w14:textId="77777777" w:rsidR="006416B0" w:rsidRPr="00B4515A" w:rsidRDefault="005E58C1" w:rsidP="00EE238F">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color w:val="000000"/>
                <w:sz w:val="21"/>
                <w:szCs w:val="21"/>
              </w:rPr>
              <w:t>300762.SZ</w:t>
            </w:r>
          </w:p>
        </w:tc>
        <w:tc>
          <w:tcPr>
            <w:tcW w:w="1040" w:type="pct"/>
            <w:tcMar>
              <w:top w:w="0" w:type="dxa"/>
              <w:left w:w="108" w:type="dxa"/>
              <w:bottom w:w="0" w:type="dxa"/>
              <w:right w:w="108" w:type="dxa"/>
            </w:tcMar>
            <w:vAlign w:val="center"/>
          </w:tcPr>
          <w:p w14:paraId="1DD2FFDB" w14:textId="77777777" w:rsidR="006416B0" w:rsidRPr="00B4515A" w:rsidRDefault="005E58C1" w:rsidP="00EE238F">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color w:val="000000"/>
                <w:sz w:val="21"/>
                <w:szCs w:val="21"/>
              </w:rPr>
              <w:t>上海瀚讯</w:t>
            </w:r>
          </w:p>
        </w:tc>
        <w:tc>
          <w:tcPr>
            <w:tcW w:w="2209" w:type="pct"/>
            <w:tcMar>
              <w:top w:w="0" w:type="dxa"/>
              <w:left w:w="108" w:type="dxa"/>
              <w:bottom w:w="0" w:type="dxa"/>
              <w:right w:w="108" w:type="dxa"/>
            </w:tcMar>
            <w:vAlign w:val="center"/>
          </w:tcPr>
          <w:p w14:paraId="42AE305A" w14:textId="77777777" w:rsidR="006416B0" w:rsidRPr="00B4515A" w:rsidRDefault="005E58C1" w:rsidP="005860B4">
            <w:pPr>
              <w:adjustRightInd w:val="0"/>
              <w:snapToGrid w:val="0"/>
              <w:jc w:val="right"/>
              <w:textAlignment w:val="bottom"/>
              <w:rPr>
                <w:rFonts w:ascii="Times New Roman" w:hAnsi="Times New Roman" w:cs="Times New Roman"/>
                <w:sz w:val="21"/>
                <w:szCs w:val="21"/>
              </w:rPr>
            </w:pPr>
            <w:r w:rsidRPr="00B4515A">
              <w:rPr>
                <w:rFonts w:ascii="Times New Roman" w:hAnsi="Times New Roman" w:cs="Times New Roman"/>
                <w:color w:val="000000"/>
                <w:sz w:val="21"/>
                <w:szCs w:val="21"/>
              </w:rPr>
              <w:t>1.3460</w:t>
            </w:r>
          </w:p>
        </w:tc>
      </w:tr>
      <w:tr w:rsidR="006416B0" w:rsidRPr="00B4515A" w14:paraId="06089246" w14:textId="77777777" w:rsidTr="00EE238F">
        <w:trPr>
          <w:trHeight w:val="340"/>
          <w:jc w:val="center"/>
        </w:trPr>
        <w:tc>
          <w:tcPr>
            <w:tcW w:w="605" w:type="pct"/>
            <w:tcMar>
              <w:top w:w="0" w:type="dxa"/>
              <w:left w:w="108" w:type="dxa"/>
              <w:bottom w:w="0" w:type="dxa"/>
              <w:right w:w="108" w:type="dxa"/>
            </w:tcMar>
            <w:vAlign w:val="center"/>
          </w:tcPr>
          <w:p w14:paraId="205F8ACE" w14:textId="77777777" w:rsidR="006416B0" w:rsidRPr="00B4515A" w:rsidRDefault="005E58C1" w:rsidP="00EE238F">
            <w:pPr>
              <w:adjustRightInd w:val="0"/>
              <w:snapToGrid w:val="0"/>
              <w:jc w:val="center"/>
              <w:textAlignment w:val="baseline"/>
              <w:rPr>
                <w:rFonts w:ascii="Times New Roman" w:hAnsi="Times New Roman" w:cs="Times New Roman"/>
                <w:sz w:val="21"/>
                <w:szCs w:val="21"/>
              </w:rPr>
            </w:pPr>
            <w:r w:rsidRPr="00B4515A">
              <w:rPr>
                <w:rFonts w:ascii="Times New Roman" w:hAnsi="Times New Roman" w:cs="Times New Roman"/>
                <w:bCs/>
                <w:sz w:val="21"/>
                <w:szCs w:val="21"/>
              </w:rPr>
              <w:t>3</w:t>
            </w:r>
          </w:p>
        </w:tc>
        <w:tc>
          <w:tcPr>
            <w:tcW w:w="1145" w:type="pct"/>
            <w:tcMar>
              <w:top w:w="0" w:type="dxa"/>
              <w:left w:w="108" w:type="dxa"/>
              <w:bottom w:w="0" w:type="dxa"/>
              <w:right w:w="108" w:type="dxa"/>
            </w:tcMar>
            <w:vAlign w:val="center"/>
          </w:tcPr>
          <w:p w14:paraId="0C5CD249" w14:textId="77777777" w:rsidR="006416B0" w:rsidRPr="00B4515A" w:rsidRDefault="005E58C1" w:rsidP="00EE238F">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color w:val="000000"/>
                <w:sz w:val="21"/>
                <w:szCs w:val="21"/>
              </w:rPr>
              <w:t>603712.SH</w:t>
            </w:r>
          </w:p>
        </w:tc>
        <w:tc>
          <w:tcPr>
            <w:tcW w:w="1040" w:type="pct"/>
            <w:tcMar>
              <w:top w:w="0" w:type="dxa"/>
              <w:left w:w="108" w:type="dxa"/>
              <w:bottom w:w="0" w:type="dxa"/>
              <w:right w:w="108" w:type="dxa"/>
            </w:tcMar>
            <w:vAlign w:val="center"/>
          </w:tcPr>
          <w:p w14:paraId="5FFBFF01" w14:textId="77777777" w:rsidR="006416B0" w:rsidRPr="00B4515A" w:rsidRDefault="005E58C1" w:rsidP="00EE238F">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color w:val="000000"/>
                <w:sz w:val="21"/>
                <w:szCs w:val="21"/>
              </w:rPr>
              <w:t>七一二</w:t>
            </w:r>
          </w:p>
        </w:tc>
        <w:tc>
          <w:tcPr>
            <w:tcW w:w="2209" w:type="pct"/>
            <w:tcMar>
              <w:top w:w="0" w:type="dxa"/>
              <w:left w:w="108" w:type="dxa"/>
              <w:bottom w:w="0" w:type="dxa"/>
              <w:right w:w="108" w:type="dxa"/>
            </w:tcMar>
            <w:vAlign w:val="center"/>
          </w:tcPr>
          <w:p w14:paraId="6172A3F3" w14:textId="77777777" w:rsidR="006416B0" w:rsidRPr="00B4515A" w:rsidRDefault="005E58C1" w:rsidP="005860B4">
            <w:pPr>
              <w:adjustRightInd w:val="0"/>
              <w:snapToGrid w:val="0"/>
              <w:jc w:val="right"/>
              <w:textAlignment w:val="bottom"/>
              <w:rPr>
                <w:rFonts w:ascii="Times New Roman" w:hAnsi="Times New Roman" w:cs="Times New Roman"/>
                <w:sz w:val="21"/>
                <w:szCs w:val="21"/>
              </w:rPr>
            </w:pPr>
            <w:r w:rsidRPr="00B4515A">
              <w:rPr>
                <w:rFonts w:ascii="Times New Roman" w:hAnsi="Times New Roman" w:cs="Times New Roman"/>
                <w:color w:val="000000"/>
                <w:sz w:val="21"/>
                <w:szCs w:val="21"/>
              </w:rPr>
              <w:t>0.7755</w:t>
            </w:r>
          </w:p>
        </w:tc>
      </w:tr>
      <w:tr w:rsidR="006416B0" w:rsidRPr="00B4515A" w14:paraId="5D72B9DE" w14:textId="77777777" w:rsidTr="00EE238F">
        <w:trPr>
          <w:trHeight w:val="340"/>
          <w:jc w:val="center"/>
        </w:trPr>
        <w:tc>
          <w:tcPr>
            <w:tcW w:w="605" w:type="pct"/>
            <w:tcMar>
              <w:top w:w="0" w:type="dxa"/>
              <w:left w:w="108" w:type="dxa"/>
              <w:bottom w:w="0" w:type="dxa"/>
              <w:right w:w="108" w:type="dxa"/>
            </w:tcMar>
            <w:vAlign w:val="center"/>
          </w:tcPr>
          <w:p w14:paraId="11E0379D" w14:textId="77777777" w:rsidR="006416B0" w:rsidRPr="00B4515A" w:rsidRDefault="005E58C1" w:rsidP="00EE238F">
            <w:pPr>
              <w:adjustRightInd w:val="0"/>
              <w:snapToGrid w:val="0"/>
              <w:jc w:val="center"/>
              <w:textAlignment w:val="baseline"/>
              <w:rPr>
                <w:rFonts w:ascii="Times New Roman" w:hAnsi="Times New Roman" w:cs="Times New Roman"/>
                <w:sz w:val="21"/>
                <w:szCs w:val="21"/>
              </w:rPr>
            </w:pPr>
            <w:r w:rsidRPr="00B4515A">
              <w:rPr>
                <w:rFonts w:ascii="Times New Roman" w:hAnsi="Times New Roman" w:cs="Times New Roman"/>
                <w:bCs/>
                <w:sz w:val="21"/>
                <w:szCs w:val="21"/>
              </w:rPr>
              <w:t>4</w:t>
            </w:r>
          </w:p>
        </w:tc>
        <w:tc>
          <w:tcPr>
            <w:tcW w:w="1145" w:type="pct"/>
            <w:tcMar>
              <w:top w:w="0" w:type="dxa"/>
              <w:left w:w="108" w:type="dxa"/>
              <w:bottom w:w="0" w:type="dxa"/>
              <w:right w:w="108" w:type="dxa"/>
            </w:tcMar>
            <w:vAlign w:val="center"/>
          </w:tcPr>
          <w:p w14:paraId="61C22DA4" w14:textId="77777777" w:rsidR="006416B0" w:rsidRPr="00B4515A" w:rsidRDefault="005E58C1" w:rsidP="00EE238F">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color w:val="000000"/>
                <w:sz w:val="21"/>
                <w:szCs w:val="21"/>
              </w:rPr>
              <w:t>000066.SZ</w:t>
            </w:r>
          </w:p>
        </w:tc>
        <w:tc>
          <w:tcPr>
            <w:tcW w:w="1040" w:type="pct"/>
            <w:tcMar>
              <w:top w:w="0" w:type="dxa"/>
              <w:left w:w="108" w:type="dxa"/>
              <w:bottom w:w="0" w:type="dxa"/>
              <w:right w:w="108" w:type="dxa"/>
            </w:tcMar>
            <w:vAlign w:val="center"/>
          </w:tcPr>
          <w:p w14:paraId="715DE1D7" w14:textId="77777777" w:rsidR="006416B0" w:rsidRPr="00B4515A" w:rsidRDefault="005E58C1" w:rsidP="00EE238F">
            <w:pPr>
              <w:adjustRightInd w:val="0"/>
              <w:snapToGrid w:val="0"/>
              <w:jc w:val="center"/>
              <w:textAlignment w:val="bottom"/>
              <w:rPr>
                <w:rFonts w:ascii="Times New Roman" w:hAnsi="Times New Roman" w:cs="Times New Roman"/>
                <w:sz w:val="21"/>
                <w:szCs w:val="21"/>
              </w:rPr>
            </w:pPr>
            <w:r w:rsidRPr="00B4515A">
              <w:rPr>
                <w:rFonts w:ascii="Times New Roman" w:hAnsi="Times New Roman" w:cs="Times New Roman"/>
                <w:color w:val="000000"/>
                <w:sz w:val="21"/>
                <w:szCs w:val="21"/>
              </w:rPr>
              <w:t>中国长城</w:t>
            </w:r>
          </w:p>
        </w:tc>
        <w:tc>
          <w:tcPr>
            <w:tcW w:w="2209" w:type="pct"/>
            <w:tcMar>
              <w:top w:w="0" w:type="dxa"/>
              <w:left w:w="108" w:type="dxa"/>
              <w:bottom w:w="0" w:type="dxa"/>
              <w:right w:w="108" w:type="dxa"/>
            </w:tcMar>
            <w:vAlign w:val="center"/>
          </w:tcPr>
          <w:p w14:paraId="39ADD936" w14:textId="77777777" w:rsidR="006416B0" w:rsidRPr="00B4515A" w:rsidRDefault="005E58C1" w:rsidP="005860B4">
            <w:pPr>
              <w:adjustRightInd w:val="0"/>
              <w:snapToGrid w:val="0"/>
              <w:jc w:val="right"/>
              <w:textAlignment w:val="bottom"/>
              <w:rPr>
                <w:rFonts w:ascii="Times New Roman" w:hAnsi="Times New Roman" w:cs="Times New Roman"/>
                <w:sz w:val="21"/>
                <w:szCs w:val="21"/>
              </w:rPr>
            </w:pPr>
            <w:r w:rsidRPr="00B4515A">
              <w:rPr>
                <w:rFonts w:ascii="Times New Roman" w:hAnsi="Times New Roman" w:cs="Times New Roman"/>
                <w:color w:val="000000"/>
                <w:sz w:val="21"/>
                <w:szCs w:val="21"/>
              </w:rPr>
              <w:t>0.9349</w:t>
            </w:r>
          </w:p>
        </w:tc>
      </w:tr>
    </w:tbl>
    <w:p w14:paraId="15515DE8" w14:textId="77777777" w:rsidR="006416B0" w:rsidRPr="00B4515A" w:rsidRDefault="005E58C1" w:rsidP="005860B4">
      <w:pPr>
        <w:pStyle w:val="005"/>
        <w:spacing w:before="120" w:after="120"/>
        <w:ind w:firstLine="480"/>
      </w:pPr>
      <w:r w:rsidRPr="00B4515A">
        <w:t>β</w:t>
      </w:r>
      <w:r w:rsidRPr="00B4515A">
        <w:t>系数数值选择标准如下：</w:t>
      </w:r>
    </w:p>
    <w:p w14:paraId="6D8C421A" w14:textId="77777777" w:rsidR="006416B0" w:rsidRPr="00B4515A" w:rsidRDefault="005E58C1" w:rsidP="005860B4">
      <w:pPr>
        <w:pStyle w:val="005"/>
        <w:spacing w:before="120" w:after="120"/>
        <w:ind w:firstLine="480"/>
      </w:pPr>
      <w:r w:rsidRPr="00B4515A">
        <w:t>标的指数选择：沪深</w:t>
      </w:r>
      <w:r w:rsidRPr="00B4515A">
        <w:t>300</w:t>
      </w:r>
    </w:p>
    <w:p w14:paraId="38D0E1D2" w14:textId="77777777" w:rsidR="006416B0" w:rsidRPr="00B4515A" w:rsidRDefault="005E58C1" w:rsidP="005860B4">
      <w:pPr>
        <w:pStyle w:val="005"/>
        <w:spacing w:before="120" w:after="120"/>
        <w:ind w:firstLine="480"/>
      </w:pPr>
      <w:r w:rsidRPr="00B4515A">
        <w:t>计算周期：周</w:t>
      </w:r>
    </w:p>
    <w:p w14:paraId="4074113A" w14:textId="77777777" w:rsidR="006416B0" w:rsidRPr="00B4515A" w:rsidRDefault="005E58C1" w:rsidP="005860B4">
      <w:pPr>
        <w:pStyle w:val="005"/>
        <w:spacing w:before="120" w:after="120"/>
        <w:ind w:firstLine="480"/>
      </w:pPr>
      <w:r w:rsidRPr="00B4515A">
        <w:t>时间范围：</w:t>
      </w:r>
      <w:r w:rsidRPr="00B4515A">
        <w:t>2</w:t>
      </w:r>
      <w:r w:rsidRPr="00B4515A">
        <w:t>年</w:t>
      </w:r>
    </w:p>
    <w:p w14:paraId="3FC5B30A" w14:textId="77777777" w:rsidR="006416B0" w:rsidRPr="00B4515A" w:rsidRDefault="005E58C1" w:rsidP="005860B4">
      <w:pPr>
        <w:pStyle w:val="005"/>
        <w:spacing w:before="120" w:after="120"/>
        <w:ind w:firstLine="480"/>
      </w:pPr>
      <w:r w:rsidRPr="00B4515A">
        <w:t>收益率计算方法：对数收益率</w:t>
      </w:r>
    </w:p>
    <w:p w14:paraId="1E725FBA" w14:textId="77777777" w:rsidR="006416B0" w:rsidRPr="00B4515A" w:rsidRDefault="005E58C1" w:rsidP="005860B4">
      <w:pPr>
        <w:pStyle w:val="005"/>
        <w:spacing w:before="120" w:after="120"/>
        <w:ind w:firstLine="480"/>
      </w:pPr>
      <w:r w:rsidRPr="00B4515A">
        <w:t>剔除财务杠杆：按照市场价值比</w:t>
      </w:r>
    </w:p>
    <w:p w14:paraId="24CF14ED" w14:textId="77777777" w:rsidR="006416B0" w:rsidRPr="00B4515A" w:rsidRDefault="005E58C1" w:rsidP="005860B4">
      <w:pPr>
        <w:pStyle w:val="005"/>
        <w:spacing w:before="120" w:after="120"/>
        <w:ind w:firstLine="480"/>
      </w:pPr>
      <w:r w:rsidRPr="00B4515A">
        <w:t>D</w:t>
      </w:r>
      <w:r w:rsidRPr="00B4515A">
        <w:t>根据公司预测期有息负债确定，</w:t>
      </w:r>
      <w:r w:rsidRPr="00B4515A">
        <w:t>E</w:t>
      </w:r>
      <w:r w:rsidRPr="00B4515A">
        <w:t>为基准日的公司股东全部权益价值评估值。</w:t>
      </w:r>
    </w:p>
    <w:p w14:paraId="37627DF9" w14:textId="77777777" w:rsidR="006416B0" w:rsidRPr="00B4515A" w:rsidRDefault="005E58C1" w:rsidP="005860B4">
      <w:pPr>
        <w:pStyle w:val="005"/>
        <w:spacing w:before="120" w:after="120"/>
        <w:ind w:firstLine="480"/>
      </w:pPr>
      <w:r w:rsidRPr="00B4515A">
        <w:t>最后得到评估对象权益资本预期风险系数的估计值</w:t>
      </w:r>
      <w:r w:rsidRPr="00B4515A">
        <w:t>βe</w:t>
      </w:r>
      <w:r w:rsidRPr="00B4515A">
        <w:t>为</w:t>
      </w:r>
      <w:r w:rsidRPr="00B4515A">
        <w:t>0.970</w:t>
      </w:r>
      <w:r w:rsidRPr="00B4515A">
        <w:t>。</w:t>
      </w:r>
    </w:p>
    <w:p w14:paraId="588783EF" w14:textId="77777777" w:rsidR="006416B0" w:rsidRPr="00B4515A" w:rsidRDefault="005E58C1" w:rsidP="005860B4">
      <w:pPr>
        <w:pStyle w:val="005"/>
        <w:spacing w:before="120" w:after="120"/>
        <w:ind w:firstLine="480"/>
      </w:pPr>
      <w:r w:rsidRPr="00B4515A">
        <w:sym w:font="Wingdings 2" w:char="F06D"/>
      </w:r>
      <w:r w:rsidRPr="00B4515A">
        <w:t>特定风险报酬率</w:t>
      </w:r>
      <w:r w:rsidRPr="00B4515A">
        <w:t>ε</w:t>
      </w:r>
      <w:r w:rsidRPr="00B4515A">
        <w:t>的确定</w:t>
      </w:r>
    </w:p>
    <w:p w14:paraId="61DD56CB" w14:textId="77777777" w:rsidR="006416B0" w:rsidRPr="00B4515A" w:rsidRDefault="005E58C1" w:rsidP="005860B4">
      <w:pPr>
        <w:pStyle w:val="005"/>
        <w:spacing w:before="120" w:after="120"/>
        <w:ind w:firstLine="480"/>
      </w:pPr>
      <w:bookmarkStart w:id="262" w:name="_Hlk63259572"/>
      <w:r w:rsidRPr="00B4515A">
        <w:t>经分析，企业特定风险调整系数为待估企业与所选择的可比上市公司在企业规模、经营风险、管理能力、财务风险等方面所形成的优劣势方面的差异，各风险说明如下：</w:t>
      </w:r>
    </w:p>
    <w:p w14:paraId="035783F7" w14:textId="058192DE" w:rsidR="006416B0" w:rsidRPr="00B4515A" w:rsidRDefault="001D3306" w:rsidP="005860B4">
      <w:pPr>
        <w:pStyle w:val="005"/>
        <w:spacing w:before="120" w:after="120"/>
        <w:ind w:firstLine="480"/>
      </w:pPr>
      <w:r w:rsidRPr="00B4515A">
        <w:rPr>
          <w:rFonts w:hint="eastAsia"/>
        </w:rPr>
        <w:t>大唐联诚</w:t>
      </w:r>
      <w:r w:rsidR="005E58C1" w:rsidRPr="00B4515A">
        <w:t>资产规模和营业收入与可比上市公司相比较小，但是，经营业务上销售毛利率、净利润率、净资产收益率等指标已经达到甚至超过可比上市公司水平。</w:t>
      </w:r>
      <w:r w:rsidRPr="00B4515A">
        <w:rPr>
          <w:rFonts w:hint="eastAsia"/>
        </w:rPr>
        <w:t>大唐联诚</w:t>
      </w:r>
      <w:r w:rsidR="005E58C1" w:rsidRPr="00B4515A">
        <w:t>内部管理及控制机制尚好，管理人员的从业经验和资历较高。由于目前</w:t>
      </w:r>
      <w:r w:rsidRPr="00B4515A">
        <w:rPr>
          <w:rFonts w:hint="eastAsia"/>
        </w:rPr>
        <w:t>大唐联诚</w:t>
      </w:r>
      <w:r w:rsidR="005E58C1" w:rsidRPr="00B4515A">
        <w:t>处于扩张阶段，资金需求较大，融资条件不如上市公司。</w:t>
      </w:r>
    </w:p>
    <w:p w14:paraId="4F6E4284" w14:textId="77777777" w:rsidR="006416B0" w:rsidRPr="00B4515A" w:rsidRDefault="005E58C1" w:rsidP="005860B4">
      <w:pPr>
        <w:pStyle w:val="005"/>
        <w:spacing w:before="120" w:after="120"/>
        <w:ind w:firstLine="480"/>
      </w:pPr>
      <w:r w:rsidRPr="00B4515A">
        <w:t>综合以上因素，特定风险报酬率</w:t>
      </w:r>
      <w:r w:rsidRPr="00B4515A">
        <w:t>ε</w:t>
      </w:r>
      <w:r w:rsidRPr="00B4515A">
        <w:t>确定为</w:t>
      </w:r>
      <w:r w:rsidRPr="00B4515A">
        <w:t>2%</w:t>
      </w:r>
      <w:r w:rsidRPr="00B4515A">
        <w:t>。</w:t>
      </w:r>
    </w:p>
    <w:bookmarkEnd w:id="262"/>
    <w:p w14:paraId="53FAAD1A" w14:textId="77777777" w:rsidR="006416B0" w:rsidRPr="00B4515A" w:rsidRDefault="005E58C1" w:rsidP="005860B4">
      <w:pPr>
        <w:pStyle w:val="005"/>
        <w:spacing w:before="120" w:after="120"/>
        <w:ind w:firstLine="480"/>
      </w:pPr>
      <w:r w:rsidRPr="00B4515A">
        <w:sym w:font="Wingdings 2" w:char="F06E"/>
      </w:r>
      <w:r w:rsidRPr="00B4515A">
        <w:t>权益期望报酬率</w:t>
      </w:r>
      <w:r w:rsidRPr="00B4515A">
        <w:rPr>
          <w:noProof/>
        </w:rPr>
        <w:drawing>
          <wp:inline distT="0" distB="0" distL="0" distR="0" wp14:anchorId="77B06AE4" wp14:editId="46019DF8">
            <wp:extent cx="192405" cy="2387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92405" cy="238760"/>
                    </a:xfrm>
                    <a:prstGeom prst="rect">
                      <a:avLst/>
                    </a:prstGeom>
                    <a:noFill/>
                    <a:ln>
                      <a:noFill/>
                    </a:ln>
                  </pic:spPr>
                </pic:pic>
              </a:graphicData>
            </a:graphic>
          </wp:inline>
        </w:drawing>
      </w:r>
      <w:r w:rsidRPr="00B4515A">
        <w:t>的确定</w:t>
      </w:r>
    </w:p>
    <w:p w14:paraId="52CF8E8B" w14:textId="77777777" w:rsidR="006416B0" w:rsidRPr="00B4515A" w:rsidRDefault="005E58C1" w:rsidP="005860B4">
      <w:pPr>
        <w:pStyle w:val="005"/>
        <w:spacing w:before="120" w:after="120"/>
        <w:ind w:firstLine="480"/>
      </w:pPr>
      <w:r w:rsidRPr="00B4515A">
        <w:lastRenderedPageBreak/>
        <w:t>最终得到评估对象的股权期望报酬率</w:t>
      </w:r>
      <w:r w:rsidRPr="00B4515A">
        <w:t>Re=12.00%</w:t>
      </w:r>
      <w:r w:rsidRPr="00B4515A">
        <w:t>。</w:t>
      </w:r>
    </w:p>
    <w:p w14:paraId="7F9C4B00" w14:textId="77777777" w:rsidR="006416B0" w:rsidRPr="00B4515A" w:rsidRDefault="005E58C1" w:rsidP="005860B4">
      <w:pPr>
        <w:pStyle w:val="005"/>
        <w:spacing w:before="120" w:after="120"/>
        <w:ind w:firstLine="480"/>
        <w:rPr>
          <w:rFonts w:ascii="Cambria Math" w:hAnsi="Cambria Math" w:hint="eastAsia"/>
          <w:oMath/>
        </w:rPr>
      </w:pPr>
      <w:bookmarkStart w:id="263" w:name="_Toc302648628"/>
      <w:bookmarkStart w:id="264" w:name="_Toc295000501"/>
      <w:bookmarkStart w:id="265" w:name="_Toc287951108"/>
      <w:bookmarkStart w:id="266" w:name="_Toc282347668"/>
      <w:r w:rsidRPr="00B4515A">
        <w:t>2</w:t>
      </w:r>
      <w:r w:rsidRPr="00B4515A">
        <w:t>）债权期望报酬率</w:t>
      </w:r>
      <w:bookmarkEnd w:id="263"/>
      <w:bookmarkEnd w:id="264"/>
      <w:bookmarkEnd w:id="265"/>
      <w:bookmarkEnd w:id="266"/>
    </w:p>
    <w:p w14:paraId="29F63D68" w14:textId="77777777" w:rsidR="006416B0" w:rsidRPr="00B4515A" w:rsidRDefault="000374A4" w:rsidP="005860B4">
      <w:pPr>
        <w:pStyle w:val="005"/>
        <w:spacing w:before="120" w:after="120"/>
        <w:ind w:firstLine="480"/>
      </w:pPr>
      <m:oMath>
        <m:sSub>
          <m:sSubPr>
            <m:ctrlPr>
              <w:rPr>
                <w:rFonts w:ascii="Cambria Math" w:hAnsi="Cambria Math"/>
              </w:rPr>
            </m:ctrlPr>
          </m:sSubPr>
          <m:e>
            <m:r>
              <m:rPr>
                <m:sty m:val="bi"/>
              </m:rPr>
              <w:rPr>
                <w:rFonts w:ascii="Cambria Math" w:hAnsi="Cambria Math"/>
              </w:rPr>
              <m:t>R</m:t>
            </m:r>
          </m:e>
          <m:sub>
            <m:r>
              <m:rPr>
                <m:sty m:val="bi"/>
              </m:rPr>
              <w:rPr>
                <w:rFonts w:ascii="Cambria Math" w:hAnsi="Cambria Math"/>
              </w:rPr>
              <m:t>d</m:t>
            </m:r>
          </m:sub>
        </m:sSub>
      </m:oMath>
      <w:r w:rsidR="005E58C1" w:rsidRPr="00B4515A">
        <w:t>的确定</w:t>
      </w:r>
      <w:r w:rsidR="005E58C1" w:rsidRPr="00B4515A">
        <w:t xml:space="preserve"> </w:t>
      </w:r>
    </w:p>
    <w:p w14:paraId="669E82BD" w14:textId="3576AA2E" w:rsidR="006416B0" w:rsidRPr="00B4515A" w:rsidRDefault="001D3306" w:rsidP="005860B4">
      <w:pPr>
        <w:pStyle w:val="005"/>
        <w:spacing w:before="120" w:after="120"/>
        <w:ind w:firstLine="480"/>
      </w:pPr>
      <w:r w:rsidRPr="00B4515A">
        <w:rPr>
          <w:rFonts w:hint="eastAsia"/>
        </w:rPr>
        <w:t>大唐联诚</w:t>
      </w:r>
      <w:r w:rsidR="005E58C1" w:rsidRPr="00B4515A">
        <w:t>基准日借款已于</w:t>
      </w:r>
      <w:r w:rsidR="005E58C1" w:rsidRPr="00B4515A">
        <w:t>2021</w:t>
      </w:r>
      <w:r w:rsidR="005E58C1" w:rsidRPr="00B4515A">
        <w:t>年</w:t>
      </w:r>
      <w:r w:rsidR="005E58C1" w:rsidRPr="00B4515A">
        <w:t>5</w:t>
      </w:r>
      <w:r w:rsidR="005E58C1" w:rsidRPr="00B4515A">
        <w:t>月</w:t>
      </w:r>
      <w:r w:rsidR="005E58C1" w:rsidRPr="00B4515A">
        <w:t>6</w:t>
      </w:r>
      <w:r w:rsidR="005E58C1" w:rsidRPr="00B4515A">
        <w:t>日全部还清，且未来无借款计划，因此</w:t>
      </w:r>
      <w:r w:rsidRPr="00B4515A">
        <w:rPr>
          <w:rFonts w:hint="eastAsia"/>
        </w:rPr>
        <w:t>大唐联诚</w:t>
      </w:r>
      <w:r w:rsidR="005E58C1" w:rsidRPr="00B4515A">
        <w:t>预测期无付息债务。</w:t>
      </w:r>
    </w:p>
    <w:p w14:paraId="6A0A8332" w14:textId="77777777" w:rsidR="006416B0" w:rsidRPr="00B4515A" w:rsidRDefault="005E58C1" w:rsidP="005860B4">
      <w:pPr>
        <w:pStyle w:val="005"/>
        <w:spacing w:before="120" w:after="120"/>
        <w:ind w:firstLine="480"/>
      </w:pPr>
      <w:bookmarkStart w:id="267" w:name="_Toc282347669"/>
      <w:bookmarkStart w:id="268" w:name="_Toc287951109"/>
      <w:bookmarkStart w:id="269" w:name="_Toc302648629"/>
      <w:bookmarkStart w:id="270" w:name="_Toc295000502"/>
      <w:r w:rsidRPr="00B4515A">
        <w:t>3</w:t>
      </w:r>
      <w:r w:rsidRPr="00B4515A">
        <w:t>）资本结构的确定</w:t>
      </w:r>
      <w:bookmarkEnd w:id="267"/>
      <w:bookmarkEnd w:id="268"/>
      <w:bookmarkEnd w:id="269"/>
      <w:bookmarkEnd w:id="270"/>
    </w:p>
    <w:p w14:paraId="3057FCA4" w14:textId="77777777" w:rsidR="006416B0" w:rsidRPr="00B4515A" w:rsidRDefault="005E58C1" w:rsidP="005860B4">
      <w:pPr>
        <w:pStyle w:val="005"/>
        <w:spacing w:before="120" w:after="120"/>
        <w:ind w:firstLine="480"/>
      </w:pPr>
      <w:r w:rsidRPr="00B4515A">
        <w:t>结合企业未来盈利情况、管理层未来的筹资策略，本次确定采用企业自身资本结构。</w:t>
      </w:r>
    </w:p>
    <w:p w14:paraId="3A83F380" w14:textId="77777777" w:rsidR="006416B0" w:rsidRPr="00B4515A" w:rsidRDefault="005E58C1" w:rsidP="005860B4">
      <w:pPr>
        <w:pStyle w:val="005"/>
        <w:spacing w:before="120" w:after="120"/>
        <w:ind w:firstLine="480"/>
        <w:rPr>
          <w:rFonts w:ascii="宋体" w:hAnsi="宋体"/>
        </w:rPr>
      </w:pPr>
      <w:r w:rsidRPr="00B4515A">
        <w:rPr>
          <w:rFonts w:ascii="宋体" w:hAnsi="宋体"/>
          <w:noProof/>
        </w:rPr>
        <w:drawing>
          <wp:inline distT="0" distB="0" distL="0" distR="0" wp14:anchorId="471617B9" wp14:editId="3598EBE0">
            <wp:extent cx="901065" cy="41719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901065" cy="417195"/>
                    </a:xfrm>
                    <a:prstGeom prst="rect">
                      <a:avLst/>
                    </a:prstGeom>
                    <a:noFill/>
                    <a:ln>
                      <a:noFill/>
                    </a:ln>
                  </pic:spPr>
                </pic:pic>
              </a:graphicData>
            </a:graphic>
          </wp:inline>
        </w:drawing>
      </w:r>
      <w:r w:rsidRPr="00B4515A">
        <w:rPr>
          <w:rFonts w:ascii="宋体" w:hAnsi="宋体" w:hint="eastAsia"/>
        </w:rPr>
        <w:t>＝0.00</w:t>
      </w:r>
    </w:p>
    <w:p w14:paraId="5CB1B386" w14:textId="246B73F7" w:rsidR="006416B0" w:rsidRPr="00B4515A" w:rsidRDefault="005E58C1" w:rsidP="006100BC">
      <w:pPr>
        <w:pStyle w:val="005"/>
        <w:spacing w:before="120" w:after="120"/>
        <w:ind w:firstLine="480"/>
      </w:pPr>
      <w:r w:rsidRPr="00B4515A">
        <w:rPr>
          <w:rFonts w:ascii="Cambria Math" w:hAnsi="Cambria Math"/>
          <w:noProof/>
        </w:rPr>
        <w:drawing>
          <wp:inline distT="0" distB="0" distL="0" distR="0" wp14:anchorId="469DB7C8" wp14:editId="2BA05178">
            <wp:extent cx="887730" cy="417195"/>
            <wp:effectExtent l="0" t="0" r="762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887730" cy="417195"/>
                    </a:xfrm>
                    <a:prstGeom prst="rect">
                      <a:avLst/>
                    </a:prstGeom>
                    <a:noFill/>
                    <a:ln>
                      <a:noFill/>
                    </a:ln>
                  </pic:spPr>
                </pic:pic>
              </a:graphicData>
            </a:graphic>
          </wp:inline>
        </w:drawing>
      </w:r>
      <w:r w:rsidRPr="00B4515A">
        <w:rPr>
          <w:rFonts w:ascii="Cambria Math" w:hAnsi="Cambria Math" w:hint="eastAsia"/>
        </w:rPr>
        <w:t>＝</w:t>
      </w:r>
      <w:r w:rsidRPr="00B4515A">
        <w:rPr>
          <w:rFonts w:ascii="Cambria Math" w:hAnsi="Cambria Math" w:hint="eastAsia"/>
        </w:rPr>
        <w:t>100.0%</w:t>
      </w:r>
    </w:p>
    <w:p w14:paraId="2840F2D3" w14:textId="77777777" w:rsidR="006416B0" w:rsidRPr="00B4515A" w:rsidRDefault="005E58C1" w:rsidP="005860B4">
      <w:pPr>
        <w:pStyle w:val="005"/>
        <w:spacing w:before="120" w:after="120"/>
        <w:ind w:firstLine="480"/>
      </w:pPr>
      <w:bookmarkStart w:id="271" w:name="_Toc295000503"/>
      <w:bookmarkStart w:id="272" w:name="_Toc302648630"/>
      <w:bookmarkStart w:id="273" w:name="_Toc287951110"/>
      <w:bookmarkStart w:id="274" w:name="_Toc282347670"/>
      <w:r w:rsidRPr="00B4515A">
        <w:t>4</w:t>
      </w:r>
      <w:r w:rsidRPr="00B4515A">
        <w:t>）折现率计算</w:t>
      </w:r>
      <w:bookmarkEnd w:id="271"/>
      <w:bookmarkEnd w:id="272"/>
      <w:bookmarkEnd w:id="273"/>
      <w:bookmarkEnd w:id="274"/>
    </w:p>
    <w:p w14:paraId="5EB045A4" w14:textId="77777777" w:rsidR="006416B0" w:rsidRPr="00B4515A" w:rsidRDefault="000374A4" w:rsidP="005860B4">
      <w:pPr>
        <w:pStyle w:val="005"/>
        <w:spacing w:before="120" w:after="120"/>
        <w:ind w:firstLine="480"/>
      </w:pPr>
      <m:oMathPara>
        <m:oMathParaPr>
          <m:jc m:val="left"/>
        </m:oMathParaPr>
        <m:oMath>
          <m:sSub>
            <m:sSubPr>
              <m:ctrlPr>
                <w:rPr>
                  <w:rFonts w:ascii="Cambria Math" w:hAnsi="Cambria Math"/>
                </w:rPr>
              </m:ctrlPr>
            </m:sSubPr>
            <m:e>
              <m:r>
                <w:rPr>
                  <w:rFonts w:ascii="Cambria Math" w:hAnsi="Cambria Math"/>
                </w:rPr>
                <m:t>WACC</m:t>
              </m:r>
              <m:r>
                <m:rPr>
                  <m:sty m:val="p"/>
                </m:rPr>
                <w:rPr>
                  <w:rFonts w:ascii="Cambria Math" w:hAnsi="Cambria Math"/>
                </w:rPr>
                <m:t>=</m:t>
              </m:r>
              <m:r>
                <w:rPr>
                  <w:rFonts w:ascii="Cambria Math" w:hAnsi="Cambria Math"/>
                </w:rPr>
                <m:t>R</m:t>
              </m:r>
            </m:e>
            <m:sub>
              <m:r>
                <w:rPr>
                  <w:rFonts w:ascii="Cambria Math" w:hAnsi="Cambria Math"/>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e</m:t>
              </m:r>
            </m:sub>
          </m:sSub>
          <m:r>
            <m:rPr>
              <m:sty m:val="p"/>
            </m:rPr>
            <w:rPr>
              <w:rFonts w:ascii="Cambria Math" w:hAnsi="Cambria Math"/>
            </w:rPr>
            <m:t>=12.00%</m:t>
          </m:r>
        </m:oMath>
      </m:oMathPara>
    </w:p>
    <w:p w14:paraId="2B6C9F3D" w14:textId="77777777" w:rsidR="006416B0" w:rsidRPr="00B4515A" w:rsidRDefault="005E58C1" w:rsidP="005860B4">
      <w:pPr>
        <w:pStyle w:val="005"/>
        <w:spacing w:before="120" w:after="120"/>
        <w:ind w:firstLine="480"/>
      </w:pPr>
      <w:r w:rsidRPr="00B4515A">
        <w:t>（</w:t>
      </w:r>
      <w:r w:rsidRPr="00B4515A">
        <w:t>3</w:t>
      </w:r>
      <w:r w:rsidRPr="00B4515A">
        <w:t>）评估值测算过程与结果</w:t>
      </w:r>
    </w:p>
    <w:p w14:paraId="0125A7E7" w14:textId="77777777" w:rsidR="006416B0" w:rsidRPr="00B4515A" w:rsidRDefault="005E58C1" w:rsidP="005860B4">
      <w:pPr>
        <w:pStyle w:val="005"/>
        <w:spacing w:before="120" w:after="120"/>
        <w:ind w:firstLine="480"/>
      </w:pPr>
      <w:r w:rsidRPr="00B4515A">
        <w:t>1</w:t>
      </w:r>
      <w:r w:rsidRPr="00B4515A">
        <w:t>）经营性资产价值</w:t>
      </w:r>
    </w:p>
    <w:p w14:paraId="1CA6FA00" w14:textId="494C889F" w:rsidR="006416B0" w:rsidRPr="00B4515A" w:rsidRDefault="005E58C1" w:rsidP="005860B4">
      <w:pPr>
        <w:pStyle w:val="005"/>
        <w:spacing w:before="120" w:after="120"/>
        <w:ind w:firstLine="480"/>
      </w:pPr>
      <w:r w:rsidRPr="00B4515A">
        <w:t>对纳入报表范围的资产和主营业务，按照最近几年的历史经营状况的变化趋势和业务类型估算预期收益（净现金流量），并折现得到</w:t>
      </w:r>
      <w:r w:rsidR="001C2353" w:rsidRPr="00B4515A">
        <w:rPr>
          <w:rFonts w:hint="eastAsia"/>
        </w:rPr>
        <w:t>大唐联诚</w:t>
      </w:r>
      <w:r w:rsidRPr="00B4515A">
        <w:t>经营性资产的价值。标的公司经营性资产价值为</w:t>
      </w:r>
      <w:r w:rsidRPr="00B4515A">
        <w:t xml:space="preserve">91,855.47 </w:t>
      </w:r>
      <w:r w:rsidRPr="00B4515A">
        <w:t>万元。</w:t>
      </w:r>
    </w:p>
    <w:p w14:paraId="4CD18481" w14:textId="77777777" w:rsidR="006416B0" w:rsidRPr="00B4515A" w:rsidRDefault="005E58C1" w:rsidP="005860B4">
      <w:pPr>
        <w:pStyle w:val="005"/>
        <w:spacing w:before="120" w:after="120"/>
        <w:ind w:firstLine="480"/>
      </w:pPr>
      <w:r w:rsidRPr="00B4515A">
        <w:t>2</w:t>
      </w:r>
      <w:r w:rsidRPr="00B4515A">
        <w:t>）溢余资产价值</w:t>
      </w:r>
    </w:p>
    <w:p w14:paraId="1CD5182D" w14:textId="77777777" w:rsidR="006416B0" w:rsidRPr="00B4515A" w:rsidRDefault="005E58C1" w:rsidP="005860B4">
      <w:pPr>
        <w:pStyle w:val="005"/>
        <w:spacing w:before="120" w:after="120"/>
        <w:ind w:firstLine="480"/>
      </w:pPr>
      <w:r w:rsidRPr="00B4515A">
        <w:t>经测算，溢余资产为</w:t>
      </w:r>
      <w:r w:rsidRPr="00B4515A">
        <w:t xml:space="preserve">51,886.84 </w:t>
      </w:r>
      <w:r w:rsidRPr="00B4515A">
        <w:t>万元。</w:t>
      </w:r>
    </w:p>
    <w:p w14:paraId="360D4745" w14:textId="77777777" w:rsidR="006416B0" w:rsidRPr="00B4515A" w:rsidRDefault="005E58C1" w:rsidP="005860B4">
      <w:pPr>
        <w:pStyle w:val="005"/>
        <w:spacing w:before="120" w:after="120"/>
        <w:ind w:firstLine="480"/>
      </w:pPr>
      <w:r w:rsidRPr="00B4515A">
        <w:t>3</w:t>
      </w:r>
      <w:r w:rsidRPr="00B4515A">
        <w:t>）非经营性资产、负债价值</w:t>
      </w:r>
    </w:p>
    <w:p w14:paraId="36740280" w14:textId="182216F4" w:rsidR="006416B0" w:rsidRPr="00B4515A" w:rsidRDefault="005E58C1" w:rsidP="005860B4">
      <w:pPr>
        <w:pStyle w:val="005"/>
        <w:spacing w:before="120" w:after="120"/>
        <w:ind w:firstLine="480"/>
      </w:pPr>
      <w:r w:rsidRPr="00B4515A">
        <w:t>经测算，非经营性资产为</w:t>
      </w:r>
      <w:r w:rsidR="00B66564" w:rsidRPr="00B4515A">
        <w:t>22,322.70</w:t>
      </w:r>
      <w:r w:rsidRPr="00B4515A">
        <w:t>万元，非经营性负债为</w:t>
      </w:r>
      <w:r w:rsidRPr="00B4515A">
        <w:t>4,854.44</w:t>
      </w:r>
      <w:r w:rsidRPr="00B4515A">
        <w:t>万元。</w:t>
      </w:r>
    </w:p>
    <w:p w14:paraId="1B90B993" w14:textId="77777777" w:rsidR="006416B0" w:rsidRPr="00B4515A" w:rsidRDefault="005E58C1" w:rsidP="005860B4">
      <w:pPr>
        <w:pStyle w:val="005"/>
        <w:spacing w:before="120" w:after="120"/>
        <w:ind w:firstLine="480"/>
      </w:pPr>
      <w:r w:rsidRPr="00B4515A">
        <w:t>（</w:t>
      </w:r>
      <w:r w:rsidRPr="00B4515A">
        <w:t>4</w:t>
      </w:r>
      <w:r w:rsidRPr="00B4515A">
        <w:t>）收益法评估结果</w:t>
      </w:r>
    </w:p>
    <w:p w14:paraId="1A2C0469" w14:textId="77777777" w:rsidR="006416B0" w:rsidRPr="00B4515A" w:rsidRDefault="005E58C1" w:rsidP="005860B4">
      <w:pPr>
        <w:pStyle w:val="005"/>
        <w:spacing w:before="120" w:after="120"/>
        <w:ind w:firstLine="480"/>
      </w:pPr>
      <w:r w:rsidRPr="00B4515A">
        <w:t>1</w:t>
      </w:r>
      <w:r w:rsidRPr="00B4515A">
        <w:t>）企业整体价值</w:t>
      </w:r>
    </w:p>
    <w:p w14:paraId="25B1F8FA" w14:textId="77777777" w:rsidR="006416B0" w:rsidRPr="00B4515A" w:rsidRDefault="005E58C1" w:rsidP="005860B4">
      <w:pPr>
        <w:pStyle w:val="005"/>
        <w:spacing w:before="120" w:after="120"/>
        <w:ind w:firstLine="480"/>
      </w:pPr>
      <w:r w:rsidRPr="00B4515A">
        <w:lastRenderedPageBreak/>
        <w:t>企业整体价值评估值为</w:t>
      </w:r>
      <w:r w:rsidRPr="00B4515A">
        <w:t xml:space="preserve">161,210.60 </w:t>
      </w:r>
      <w:r w:rsidRPr="00B4515A">
        <w:t>万元。</w:t>
      </w:r>
    </w:p>
    <w:p w14:paraId="37A95794" w14:textId="77777777" w:rsidR="006416B0" w:rsidRPr="00B4515A" w:rsidRDefault="005E58C1" w:rsidP="005860B4">
      <w:pPr>
        <w:pStyle w:val="005"/>
        <w:spacing w:before="120" w:after="120"/>
        <w:ind w:firstLine="480"/>
      </w:pPr>
      <w:r w:rsidRPr="00B4515A">
        <w:t>2</w:t>
      </w:r>
      <w:r w:rsidRPr="00B4515A">
        <w:t>）股东全部权益价值</w:t>
      </w:r>
    </w:p>
    <w:p w14:paraId="76918A8D" w14:textId="77777777" w:rsidR="006416B0" w:rsidRPr="00B4515A" w:rsidRDefault="005E58C1" w:rsidP="005860B4">
      <w:pPr>
        <w:pStyle w:val="005"/>
        <w:spacing w:before="120" w:after="120"/>
        <w:ind w:firstLine="480"/>
      </w:pPr>
      <w:r w:rsidRPr="00B4515A">
        <w:t>股东全部权益价值评估值为</w:t>
      </w:r>
      <w:r w:rsidRPr="00B4515A">
        <w:t xml:space="preserve">148,256.37 </w:t>
      </w:r>
      <w:r w:rsidRPr="00B4515A">
        <w:t>万元。</w:t>
      </w:r>
      <w:bookmarkEnd w:id="254"/>
      <w:bookmarkEnd w:id="257"/>
    </w:p>
    <w:p w14:paraId="487D2F7E" w14:textId="77777777" w:rsidR="006416B0" w:rsidRPr="00B4515A" w:rsidRDefault="005E58C1" w:rsidP="005860B4">
      <w:pPr>
        <w:pStyle w:val="002"/>
        <w:spacing w:before="120" w:after="120"/>
        <w:ind w:firstLine="562"/>
      </w:pPr>
      <w:bookmarkStart w:id="275" w:name="_Toc28178"/>
      <w:bookmarkStart w:id="276" w:name="_Toc80960554"/>
      <w:r w:rsidRPr="00B4515A">
        <w:rPr>
          <w:rFonts w:hint="eastAsia"/>
        </w:rPr>
        <w:t>二</w:t>
      </w:r>
      <w:r w:rsidRPr="00B4515A">
        <w:t>、董事会对本次</w:t>
      </w:r>
      <w:r w:rsidRPr="00B4515A">
        <w:rPr>
          <w:rFonts w:hint="eastAsia"/>
        </w:rPr>
        <w:t>交易标的评估的合理性及定价的公允性的分析</w:t>
      </w:r>
      <w:bookmarkEnd w:id="275"/>
      <w:bookmarkEnd w:id="276"/>
    </w:p>
    <w:p w14:paraId="0593E0C0" w14:textId="77777777" w:rsidR="006416B0" w:rsidRPr="00B4515A" w:rsidRDefault="005E58C1" w:rsidP="005860B4">
      <w:pPr>
        <w:pStyle w:val="003"/>
        <w:spacing w:before="120"/>
        <w:ind w:firstLine="482"/>
      </w:pPr>
      <w:bookmarkStart w:id="277" w:name="_Hlk76935200"/>
      <w:r w:rsidRPr="00B4515A">
        <w:rPr>
          <w:rFonts w:hint="eastAsia"/>
        </w:rPr>
        <w:t>（一）资产评估机构的独立性、评估假设前提的合理性、评估方法与目的的相关性</w:t>
      </w:r>
    </w:p>
    <w:p w14:paraId="1521CF6A" w14:textId="77777777" w:rsidR="006416B0" w:rsidRPr="00B4515A" w:rsidRDefault="005E58C1" w:rsidP="005860B4">
      <w:pPr>
        <w:pStyle w:val="004"/>
        <w:spacing w:before="120" w:after="120"/>
        <w:ind w:firstLine="482"/>
      </w:pPr>
      <w:r w:rsidRPr="00B4515A">
        <w:t>1</w:t>
      </w:r>
      <w:r w:rsidRPr="00B4515A">
        <w:t>、评估机构的独立性</w:t>
      </w:r>
    </w:p>
    <w:p w14:paraId="4D1EC8AF" w14:textId="77777777" w:rsidR="006416B0" w:rsidRPr="00B4515A" w:rsidRDefault="005E58C1" w:rsidP="005860B4">
      <w:pPr>
        <w:pStyle w:val="005"/>
        <w:spacing w:before="120" w:after="120"/>
        <w:ind w:firstLine="480"/>
      </w:pPr>
      <w:r w:rsidRPr="00B4515A">
        <w:rPr>
          <w:rFonts w:hint="eastAsia"/>
        </w:rPr>
        <w:t>为公司本次交易出具评估报告的资产评估机构具有证券期货相关资产评估业务资格。该等资产评估机构的选聘程序合法、合规，资产评估机构及其经办评估师与公司、交易对方、标的公司之间，除业务关系外，无其他关联关系，亦不存在现实的利益冲突，评估机构具有独立性。</w:t>
      </w:r>
    </w:p>
    <w:p w14:paraId="3105BDBD" w14:textId="77777777" w:rsidR="006416B0" w:rsidRPr="00B4515A" w:rsidRDefault="005E58C1" w:rsidP="005860B4">
      <w:pPr>
        <w:pStyle w:val="004"/>
        <w:spacing w:before="120" w:after="120"/>
        <w:ind w:firstLine="482"/>
      </w:pPr>
      <w:r w:rsidRPr="00B4515A">
        <w:t>2</w:t>
      </w:r>
      <w:r w:rsidRPr="00B4515A">
        <w:t>、评估假设前提的合理性</w:t>
      </w:r>
    </w:p>
    <w:p w14:paraId="444CBF2C" w14:textId="77777777" w:rsidR="006416B0" w:rsidRPr="00B4515A" w:rsidRDefault="005E58C1" w:rsidP="005860B4">
      <w:pPr>
        <w:pStyle w:val="005"/>
        <w:spacing w:before="120" w:after="120"/>
        <w:ind w:firstLine="480"/>
      </w:pPr>
      <w:r w:rsidRPr="00B4515A">
        <w:rPr>
          <w:rFonts w:hint="eastAsia"/>
        </w:rPr>
        <w:t>资产评估机构及其经办评估师就标的公司所设定的评估假设前提和限制条件按照国家有关法律法规的规定执行，遵循了市场通用的行业惯例及评估准则，符合评估对象的实际情况，评估假设前提具有合理性</w:t>
      </w:r>
      <w:r w:rsidRPr="00B4515A">
        <w:t>。</w:t>
      </w:r>
    </w:p>
    <w:p w14:paraId="4F4EC7B6" w14:textId="77777777" w:rsidR="006416B0" w:rsidRPr="00B4515A" w:rsidRDefault="005E58C1" w:rsidP="005860B4">
      <w:pPr>
        <w:pStyle w:val="004"/>
        <w:spacing w:before="120" w:after="120"/>
        <w:ind w:firstLine="482"/>
      </w:pPr>
      <w:r w:rsidRPr="00B4515A">
        <w:t>3</w:t>
      </w:r>
      <w:r w:rsidRPr="00B4515A">
        <w:t>、评估方法与目的的相关性</w:t>
      </w:r>
    </w:p>
    <w:p w14:paraId="1C506AF5" w14:textId="77777777" w:rsidR="006416B0" w:rsidRPr="00B4515A" w:rsidRDefault="005E58C1" w:rsidP="005860B4">
      <w:pPr>
        <w:pStyle w:val="005"/>
        <w:spacing w:before="120" w:after="120"/>
        <w:ind w:firstLine="480"/>
      </w:pPr>
      <w:r w:rsidRPr="00B4515A">
        <w:rPr>
          <w:rFonts w:hint="eastAsia"/>
        </w:rPr>
        <w:t>本次评估的目的系为确定标的公司截至评估基准日的市场价值，为本次交易相关定价提供参考依据。本次交易的资产评估机构采取了资产基础法和收益法两种评估方法对标的公司进行了评估，实际评估的资产范围与委托评估的资产范围一致，最终评估机构选择了收益法的评估结论。资产评估机构本次评估工作按照国家有关法律法规与行业惯例及评估规则的要求，遵循独立、客观、公正、科学的原则，采用上述公认的符合标的公司实际情况的评估方法，并实施了必要的评估程序对标的公司在评估基准日的市场价值进行了评估，所选用的评估方法合理、恰当，与本次评估的评估目的具有相关性</w:t>
      </w:r>
      <w:r w:rsidRPr="00B4515A">
        <w:t>。</w:t>
      </w:r>
    </w:p>
    <w:p w14:paraId="54240AAD" w14:textId="77777777" w:rsidR="006416B0" w:rsidRPr="00B4515A" w:rsidRDefault="005E58C1" w:rsidP="005860B4">
      <w:pPr>
        <w:pStyle w:val="003"/>
        <w:spacing w:before="120"/>
        <w:ind w:firstLine="482"/>
      </w:pPr>
      <w:r w:rsidRPr="00B4515A">
        <w:t>（二）标的</w:t>
      </w:r>
      <w:r w:rsidRPr="00B4515A">
        <w:rPr>
          <w:rFonts w:hint="eastAsia"/>
        </w:rPr>
        <w:t>公司</w:t>
      </w:r>
      <w:r w:rsidRPr="00B4515A">
        <w:t>评估的合理性</w:t>
      </w:r>
    </w:p>
    <w:p w14:paraId="05BA683E" w14:textId="62B2097B" w:rsidR="006416B0" w:rsidRPr="00B4515A" w:rsidRDefault="005E58C1" w:rsidP="005860B4">
      <w:pPr>
        <w:pStyle w:val="005"/>
        <w:spacing w:before="120" w:after="120"/>
        <w:ind w:firstLine="480"/>
      </w:pPr>
      <w:r w:rsidRPr="00B4515A">
        <w:t>本次评估中</w:t>
      </w:r>
      <w:r w:rsidR="001C2353" w:rsidRPr="00B4515A">
        <w:rPr>
          <w:rFonts w:hint="eastAsia"/>
        </w:rPr>
        <w:t>，</w:t>
      </w:r>
      <w:r w:rsidRPr="00B4515A">
        <w:rPr>
          <w:rFonts w:hint="eastAsia"/>
        </w:rPr>
        <w:t>资产</w:t>
      </w:r>
      <w:r w:rsidRPr="00B4515A">
        <w:t>评估机构对预测期营业收入、毛利率、净利润等相关参数</w:t>
      </w:r>
      <w:r w:rsidRPr="00B4515A">
        <w:lastRenderedPageBreak/>
        <w:t>的估计是根据大唐联诚所处行业的发展趋势、行业竞争情况、大唐联诚的竞争优势及历史经营数据和</w:t>
      </w:r>
      <w:r w:rsidRPr="00B4515A">
        <w:rPr>
          <w:rFonts w:hint="eastAsia"/>
        </w:rPr>
        <w:t>资产</w:t>
      </w:r>
      <w:r w:rsidRPr="00B4515A">
        <w:t>评估机构对其未来成长性的判断，</w:t>
      </w:r>
      <w:r w:rsidRPr="00B4515A">
        <w:rPr>
          <w:rFonts w:hint="eastAsia"/>
        </w:rPr>
        <w:t>资产</w:t>
      </w:r>
      <w:r w:rsidRPr="00B4515A">
        <w:t>评估机构选取的预测期相关参数合理，评估测算金额符合大唐联诚的实际经营情况。</w:t>
      </w:r>
    </w:p>
    <w:p w14:paraId="5B3DBA62" w14:textId="77777777" w:rsidR="006416B0" w:rsidRPr="00B4515A" w:rsidRDefault="005E58C1" w:rsidP="005860B4">
      <w:pPr>
        <w:pStyle w:val="003"/>
        <w:spacing w:before="120"/>
        <w:ind w:firstLine="482"/>
      </w:pPr>
      <w:r w:rsidRPr="00B4515A">
        <w:t>（三）标的公司后续经营过程中政策、宏观环境、技术、行业、税收优惠等方面的变化趋势、董事会拟采取的应对措施及其对评估或估值的影响</w:t>
      </w:r>
    </w:p>
    <w:p w14:paraId="6A2433B7" w14:textId="77777777" w:rsidR="006416B0" w:rsidRPr="00B4515A" w:rsidRDefault="005E58C1" w:rsidP="005860B4">
      <w:pPr>
        <w:pStyle w:val="005"/>
        <w:spacing w:before="120" w:after="120"/>
        <w:ind w:firstLine="480"/>
      </w:pPr>
      <w:r w:rsidRPr="00B4515A">
        <w:t>标的公司在经营过程中所涉及的国家和地方的现行法律法规、行业政策、技术、税收优惠等预计不会发生重大不利变化。同时，董事会未来将会根据宏观环境、行业政策、税收政策等方面的变化采取合适的应对措施，保证标的公司经营与发展的稳定。</w:t>
      </w:r>
    </w:p>
    <w:p w14:paraId="09E0E5D3" w14:textId="77777777" w:rsidR="006416B0" w:rsidRPr="00B4515A" w:rsidRDefault="005E58C1" w:rsidP="005860B4">
      <w:pPr>
        <w:pStyle w:val="003"/>
        <w:spacing w:before="120"/>
        <w:ind w:firstLine="482"/>
      </w:pPr>
      <w:bookmarkStart w:id="278" w:name="_Hlk72500157"/>
      <w:r w:rsidRPr="00B4515A">
        <w:t>（四）评估值对营业收入、毛利率变动的敏感性分析</w:t>
      </w:r>
    </w:p>
    <w:bookmarkEnd w:id="278"/>
    <w:p w14:paraId="13DD8A2D" w14:textId="77777777" w:rsidR="006416B0" w:rsidRPr="00B4515A" w:rsidRDefault="005E58C1" w:rsidP="005860B4">
      <w:pPr>
        <w:pStyle w:val="004"/>
        <w:spacing w:before="120" w:after="120"/>
        <w:ind w:firstLine="482"/>
      </w:pPr>
      <w:r w:rsidRPr="00B4515A">
        <w:t>1</w:t>
      </w:r>
      <w:r w:rsidRPr="00B4515A">
        <w:t>、评估结果对营业收入变动的敏感性分析</w:t>
      </w:r>
    </w:p>
    <w:p w14:paraId="350A8E81" w14:textId="77777777" w:rsidR="006416B0" w:rsidRPr="00B4515A" w:rsidRDefault="005E58C1" w:rsidP="005860B4">
      <w:pPr>
        <w:pStyle w:val="009"/>
      </w:pPr>
      <w:r w:rsidRPr="00B4515A">
        <w:t>单位：万元</w:t>
      </w:r>
    </w:p>
    <w:tbl>
      <w:tblPr>
        <w:tblStyle w:val="af8"/>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6"/>
        <w:gridCol w:w="2131"/>
        <w:gridCol w:w="2130"/>
        <w:gridCol w:w="2128"/>
      </w:tblGrid>
      <w:tr w:rsidR="006416B0" w:rsidRPr="00B4515A" w14:paraId="115008EC" w14:textId="77777777" w:rsidTr="00031627">
        <w:trPr>
          <w:trHeight w:val="340"/>
          <w:jc w:val="center"/>
        </w:trPr>
        <w:tc>
          <w:tcPr>
            <w:tcW w:w="1253" w:type="pct"/>
            <w:tcMar>
              <w:top w:w="0" w:type="dxa"/>
              <w:left w:w="108" w:type="dxa"/>
              <w:bottom w:w="0" w:type="dxa"/>
              <w:right w:w="108" w:type="dxa"/>
            </w:tcMar>
            <w:vAlign w:val="center"/>
          </w:tcPr>
          <w:p w14:paraId="7109C081"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营业收入变动</w:t>
            </w:r>
          </w:p>
        </w:tc>
        <w:tc>
          <w:tcPr>
            <w:tcW w:w="1250" w:type="pct"/>
            <w:tcMar>
              <w:top w:w="0" w:type="dxa"/>
              <w:left w:w="108" w:type="dxa"/>
              <w:bottom w:w="0" w:type="dxa"/>
              <w:right w:w="108" w:type="dxa"/>
            </w:tcMar>
            <w:vAlign w:val="center"/>
          </w:tcPr>
          <w:p w14:paraId="1E2B064F"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评估值</w:t>
            </w:r>
          </w:p>
        </w:tc>
        <w:tc>
          <w:tcPr>
            <w:tcW w:w="1249" w:type="pct"/>
            <w:tcMar>
              <w:top w:w="0" w:type="dxa"/>
              <w:left w:w="108" w:type="dxa"/>
              <w:bottom w:w="0" w:type="dxa"/>
              <w:right w:w="108" w:type="dxa"/>
            </w:tcMar>
            <w:vAlign w:val="center"/>
          </w:tcPr>
          <w:p w14:paraId="739DB879"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变动金额</w:t>
            </w:r>
          </w:p>
        </w:tc>
        <w:tc>
          <w:tcPr>
            <w:tcW w:w="1249" w:type="pct"/>
            <w:tcMar>
              <w:top w:w="0" w:type="dxa"/>
              <w:left w:w="108" w:type="dxa"/>
              <w:bottom w:w="0" w:type="dxa"/>
              <w:right w:w="108" w:type="dxa"/>
            </w:tcMar>
            <w:vAlign w:val="center"/>
          </w:tcPr>
          <w:p w14:paraId="04BAE78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变动率</w:t>
            </w:r>
          </w:p>
        </w:tc>
      </w:tr>
      <w:tr w:rsidR="006416B0" w:rsidRPr="00B4515A" w14:paraId="0A4165AE" w14:textId="77777777" w:rsidTr="00031627">
        <w:trPr>
          <w:trHeight w:val="340"/>
          <w:jc w:val="center"/>
        </w:trPr>
        <w:tc>
          <w:tcPr>
            <w:tcW w:w="1253" w:type="pct"/>
            <w:tcMar>
              <w:top w:w="0" w:type="dxa"/>
              <w:left w:w="108" w:type="dxa"/>
              <w:bottom w:w="0" w:type="dxa"/>
              <w:right w:w="108" w:type="dxa"/>
            </w:tcMar>
            <w:vAlign w:val="center"/>
          </w:tcPr>
          <w:p w14:paraId="4672FD08"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w:t>
            </w:r>
          </w:p>
        </w:tc>
        <w:tc>
          <w:tcPr>
            <w:tcW w:w="1250" w:type="pct"/>
            <w:tcMar>
              <w:top w:w="0" w:type="dxa"/>
              <w:left w:w="108" w:type="dxa"/>
              <w:bottom w:w="0" w:type="dxa"/>
              <w:right w:w="108" w:type="dxa"/>
            </w:tcMar>
            <w:vAlign w:val="center"/>
          </w:tcPr>
          <w:p w14:paraId="4461F7B2"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99,529.17 </w:t>
            </w:r>
          </w:p>
        </w:tc>
        <w:tc>
          <w:tcPr>
            <w:tcW w:w="1249" w:type="pct"/>
            <w:tcMar>
              <w:top w:w="0" w:type="dxa"/>
              <w:left w:w="108" w:type="dxa"/>
              <w:bottom w:w="0" w:type="dxa"/>
              <w:right w:w="108" w:type="dxa"/>
            </w:tcMar>
            <w:vAlign w:val="center"/>
          </w:tcPr>
          <w:p w14:paraId="7D682EB1"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-48,727.20 </w:t>
            </w:r>
          </w:p>
        </w:tc>
        <w:tc>
          <w:tcPr>
            <w:tcW w:w="1249" w:type="pct"/>
            <w:tcMar>
              <w:top w:w="0" w:type="dxa"/>
              <w:left w:w="108" w:type="dxa"/>
              <w:bottom w:w="0" w:type="dxa"/>
              <w:right w:w="108" w:type="dxa"/>
            </w:tcMar>
            <w:vAlign w:val="center"/>
          </w:tcPr>
          <w:p w14:paraId="20D44400"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-32.87%</w:t>
            </w:r>
          </w:p>
        </w:tc>
      </w:tr>
      <w:tr w:rsidR="006416B0" w:rsidRPr="00B4515A" w14:paraId="693C1331" w14:textId="77777777" w:rsidTr="00031627">
        <w:trPr>
          <w:trHeight w:val="340"/>
          <w:jc w:val="center"/>
        </w:trPr>
        <w:tc>
          <w:tcPr>
            <w:tcW w:w="1253" w:type="pct"/>
            <w:tcMar>
              <w:top w:w="0" w:type="dxa"/>
              <w:left w:w="108" w:type="dxa"/>
              <w:bottom w:w="0" w:type="dxa"/>
              <w:right w:w="108" w:type="dxa"/>
            </w:tcMar>
            <w:vAlign w:val="center"/>
          </w:tcPr>
          <w:p w14:paraId="09E6881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1250" w:type="pct"/>
            <w:tcMar>
              <w:top w:w="0" w:type="dxa"/>
              <w:left w:w="108" w:type="dxa"/>
              <w:bottom w:w="0" w:type="dxa"/>
              <w:right w:w="108" w:type="dxa"/>
            </w:tcMar>
            <w:vAlign w:val="center"/>
          </w:tcPr>
          <w:p w14:paraId="6BFFF049"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119,234.37 </w:t>
            </w:r>
          </w:p>
        </w:tc>
        <w:tc>
          <w:tcPr>
            <w:tcW w:w="1249" w:type="pct"/>
            <w:tcMar>
              <w:top w:w="0" w:type="dxa"/>
              <w:left w:w="108" w:type="dxa"/>
              <w:bottom w:w="0" w:type="dxa"/>
              <w:right w:w="108" w:type="dxa"/>
            </w:tcMar>
            <w:vAlign w:val="center"/>
          </w:tcPr>
          <w:p w14:paraId="54B20C1E"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-29,022.00 </w:t>
            </w:r>
          </w:p>
        </w:tc>
        <w:tc>
          <w:tcPr>
            <w:tcW w:w="1249" w:type="pct"/>
            <w:tcMar>
              <w:top w:w="0" w:type="dxa"/>
              <w:left w:w="108" w:type="dxa"/>
              <w:bottom w:w="0" w:type="dxa"/>
              <w:right w:w="108" w:type="dxa"/>
            </w:tcMar>
            <w:vAlign w:val="center"/>
          </w:tcPr>
          <w:p w14:paraId="4D87AE71"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-19.58%</w:t>
            </w:r>
          </w:p>
        </w:tc>
      </w:tr>
      <w:tr w:rsidR="006416B0" w:rsidRPr="00B4515A" w14:paraId="204F31BB" w14:textId="77777777" w:rsidTr="00031627">
        <w:trPr>
          <w:trHeight w:val="340"/>
          <w:jc w:val="center"/>
        </w:trPr>
        <w:tc>
          <w:tcPr>
            <w:tcW w:w="1253" w:type="pct"/>
            <w:tcMar>
              <w:top w:w="0" w:type="dxa"/>
              <w:left w:w="108" w:type="dxa"/>
              <w:bottom w:w="0" w:type="dxa"/>
              <w:right w:w="108" w:type="dxa"/>
            </w:tcMar>
            <w:vAlign w:val="center"/>
          </w:tcPr>
          <w:p w14:paraId="40B93F7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0</w:t>
            </w:r>
          </w:p>
        </w:tc>
        <w:tc>
          <w:tcPr>
            <w:tcW w:w="1250" w:type="pct"/>
            <w:tcMar>
              <w:top w:w="0" w:type="dxa"/>
              <w:left w:w="108" w:type="dxa"/>
              <w:bottom w:w="0" w:type="dxa"/>
              <w:right w:w="108" w:type="dxa"/>
            </w:tcMar>
            <w:vAlign w:val="center"/>
          </w:tcPr>
          <w:p w14:paraId="1DC41A43" w14:textId="77777777" w:rsidR="006416B0" w:rsidRPr="00B4515A" w:rsidRDefault="005E58C1" w:rsidP="005860B4">
            <w:pPr>
              <w:adjustRightInd w:val="0"/>
              <w:snapToGrid w:val="0"/>
              <w:jc w:val="right"/>
              <w:textAlignment w:val="center"/>
              <w:rPr>
                <w:rFonts w:ascii="Times New Roman" w:hAnsi="Times New Roman" w:cs="Times New Roman"/>
                <w:color w:val="000000"/>
                <w:kern w:val="2"/>
                <w:sz w:val="21"/>
                <w:szCs w:val="21"/>
              </w:rPr>
            </w:pPr>
            <w:r w:rsidRPr="00B4515A">
              <w:rPr>
                <w:rFonts w:ascii="Times New Roman" w:hAnsi="Times New Roman" w:cs="Times New Roman"/>
                <w:sz w:val="21"/>
                <w:szCs w:val="21"/>
              </w:rPr>
              <w:t xml:space="preserve">148,256.37 </w:t>
            </w:r>
          </w:p>
        </w:tc>
        <w:tc>
          <w:tcPr>
            <w:tcW w:w="1249" w:type="pct"/>
            <w:tcMar>
              <w:top w:w="0" w:type="dxa"/>
              <w:left w:w="108" w:type="dxa"/>
              <w:bottom w:w="0" w:type="dxa"/>
              <w:right w:w="108" w:type="dxa"/>
            </w:tcMar>
            <w:vAlign w:val="center"/>
          </w:tcPr>
          <w:p w14:paraId="07303D02" w14:textId="77777777" w:rsidR="006416B0" w:rsidRPr="00B4515A" w:rsidRDefault="006416B0" w:rsidP="005860B4">
            <w:pPr>
              <w:adjustRightInd w:val="0"/>
              <w:snapToGrid w:val="0"/>
              <w:rPr>
                <w:rFonts w:ascii="Times New Roman" w:hAnsi="Times New Roman" w:cs="Times New Roman"/>
                <w:sz w:val="21"/>
                <w:szCs w:val="21"/>
              </w:rPr>
            </w:pPr>
          </w:p>
        </w:tc>
        <w:tc>
          <w:tcPr>
            <w:tcW w:w="1249" w:type="pct"/>
            <w:tcMar>
              <w:top w:w="0" w:type="dxa"/>
              <w:left w:w="108" w:type="dxa"/>
              <w:bottom w:w="0" w:type="dxa"/>
              <w:right w:w="108" w:type="dxa"/>
            </w:tcMar>
            <w:vAlign w:val="center"/>
          </w:tcPr>
          <w:p w14:paraId="60A11FD6" w14:textId="77777777" w:rsidR="006416B0" w:rsidRPr="00B4515A" w:rsidRDefault="006416B0" w:rsidP="005860B4">
            <w:pPr>
              <w:adjustRightInd w:val="0"/>
              <w:snapToGrid w:val="0"/>
              <w:rPr>
                <w:rFonts w:ascii="Times New Roman" w:hAnsi="Times New Roman" w:cs="Times New Roman"/>
                <w:sz w:val="21"/>
                <w:szCs w:val="21"/>
              </w:rPr>
            </w:pPr>
          </w:p>
        </w:tc>
      </w:tr>
      <w:tr w:rsidR="006416B0" w:rsidRPr="00B4515A" w14:paraId="4BF23AC2" w14:textId="77777777" w:rsidTr="00031627">
        <w:trPr>
          <w:trHeight w:val="340"/>
          <w:jc w:val="center"/>
        </w:trPr>
        <w:tc>
          <w:tcPr>
            <w:tcW w:w="1253" w:type="pct"/>
            <w:tcMar>
              <w:top w:w="0" w:type="dxa"/>
              <w:left w:w="108" w:type="dxa"/>
              <w:bottom w:w="0" w:type="dxa"/>
              <w:right w:w="108" w:type="dxa"/>
            </w:tcMar>
            <w:vAlign w:val="center"/>
          </w:tcPr>
          <w:p w14:paraId="1933965F"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1250" w:type="pct"/>
            <w:tcMar>
              <w:top w:w="0" w:type="dxa"/>
              <w:left w:w="108" w:type="dxa"/>
              <w:bottom w:w="0" w:type="dxa"/>
              <w:right w:w="108" w:type="dxa"/>
            </w:tcMar>
            <w:vAlign w:val="center"/>
          </w:tcPr>
          <w:p w14:paraId="6B1C8045"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177,129.07 </w:t>
            </w:r>
          </w:p>
        </w:tc>
        <w:tc>
          <w:tcPr>
            <w:tcW w:w="1249" w:type="pct"/>
            <w:tcMar>
              <w:top w:w="0" w:type="dxa"/>
              <w:left w:w="108" w:type="dxa"/>
              <w:bottom w:w="0" w:type="dxa"/>
              <w:right w:w="108" w:type="dxa"/>
            </w:tcMar>
            <w:vAlign w:val="center"/>
          </w:tcPr>
          <w:p w14:paraId="3F71B507"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28,872.70 </w:t>
            </w:r>
          </w:p>
        </w:tc>
        <w:tc>
          <w:tcPr>
            <w:tcW w:w="1249" w:type="pct"/>
            <w:tcMar>
              <w:top w:w="0" w:type="dxa"/>
              <w:left w:w="108" w:type="dxa"/>
              <w:bottom w:w="0" w:type="dxa"/>
              <w:right w:w="108" w:type="dxa"/>
            </w:tcMar>
            <w:vAlign w:val="center"/>
          </w:tcPr>
          <w:p w14:paraId="083A9EFE"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19.47%</w:t>
            </w:r>
          </w:p>
        </w:tc>
      </w:tr>
      <w:tr w:rsidR="006416B0" w:rsidRPr="00B4515A" w14:paraId="5665CF63" w14:textId="77777777" w:rsidTr="00031627">
        <w:trPr>
          <w:trHeight w:val="340"/>
          <w:jc w:val="center"/>
        </w:trPr>
        <w:tc>
          <w:tcPr>
            <w:tcW w:w="1253" w:type="pct"/>
            <w:tcMar>
              <w:top w:w="0" w:type="dxa"/>
              <w:left w:w="108" w:type="dxa"/>
              <w:bottom w:w="0" w:type="dxa"/>
              <w:right w:w="108" w:type="dxa"/>
            </w:tcMar>
            <w:vAlign w:val="center"/>
          </w:tcPr>
          <w:p w14:paraId="26C4FF1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w:t>
            </w:r>
          </w:p>
        </w:tc>
        <w:tc>
          <w:tcPr>
            <w:tcW w:w="1250" w:type="pct"/>
            <w:tcMar>
              <w:top w:w="0" w:type="dxa"/>
              <w:left w:w="108" w:type="dxa"/>
              <w:bottom w:w="0" w:type="dxa"/>
              <w:right w:w="108" w:type="dxa"/>
            </w:tcMar>
            <w:vAlign w:val="center"/>
          </w:tcPr>
          <w:p w14:paraId="6E79F9CD"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196,194.27 </w:t>
            </w:r>
          </w:p>
        </w:tc>
        <w:tc>
          <w:tcPr>
            <w:tcW w:w="1249" w:type="pct"/>
            <w:tcMar>
              <w:top w:w="0" w:type="dxa"/>
              <w:left w:w="108" w:type="dxa"/>
              <w:bottom w:w="0" w:type="dxa"/>
              <w:right w:w="108" w:type="dxa"/>
            </w:tcMar>
            <w:vAlign w:val="center"/>
          </w:tcPr>
          <w:p w14:paraId="58712A61"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47,937.90 </w:t>
            </w:r>
          </w:p>
        </w:tc>
        <w:tc>
          <w:tcPr>
            <w:tcW w:w="1249" w:type="pct"/>
            <w:tcMar>
              <w:top w:w="0" w:type="dxa"/>
              <w:left w:w="108" w:type="dxa"/>
              <w:bottom w:w="0" w:type="dxa"/>
              <w:right w:w="108" w:type="dxa"/>
            </w:tcMar>
            <w:vAlign w:val="center"/>
          </w:tcPr>
          <w:p w14:paraId="08739D4A"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32.33%</w:t>
            </w:r>
          </w:p>
        </w:tc>
      </w:tr>
    </w:tbl>
    <w:p w14:paraId="1AD1E8F3" w14:textId="77777777" w:rsidR="006416B0" w:rsidRPr="00B4515A" w:rsidRDefault="005E58C1" w:rsidP="005860B4">
      <w:pPr>
        <w:pStyle w:val="004"/>
        <w:spacing w:before="120" w:after="120"/>
        <w:ind w:firstLine="482"/>
      </w:pPr>
      <w:r w:rsidRPr="00B4515A">
        <w:t>2</w:t>
      </w:r>
      <w:r w:rsidRPr="00B4515A">
        <w:t>、评估结果对毛利率变动的敏感性分析</w:t>
      </w:r>
    </w:p>
    <w:p w14:paraId="01E27FE8" w14:textId="77777777" w:rsidR="006416B0" w:rsidRPr="00B4515A" w:rsidRDefault="005E58C1" w:rsidP="005860B4">
      <w:pPr>
        <w:pStyle w:val="009"/>
      </w:pPr>
      <w:r w:rsidRPr="00B4515A">
        <w:t>单位：万元</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11"/>
        <w:gridCol w:w="2146"/>
        <w:gridCol w:w="2141"/>
        <w:gridCol w:w="2130"/>
      </w:tblGrid>
      <w:tr w:rsidR="006416B0" w:rsidRPr="00B4515A" w14:paraId="7AB61775" w14:textId="77777777" w:rsidTr="00031627">
        <w:trPr>
          <w:trHeight w:val="340"/>
          <w:jc w:val="center"/>
        </w:trPr>
        <w:tc>
          <w:tcPr>
            <w:tcW w:w="2050" w:type="dxa"/>
            <w:tcMar>
              <w:top w:w="0" w:type="dxa"/>
              <w:left w:w="108" w:type="dxa"/>
              <w:bottom w:w="0" w:type="dxa"/>
              <w:right w:w="108" w:type="dxa"/>
            </w:tcMar>
            <w:vAlign w:val="center"/>
          </w:tcPr>
          <w:p w14:paraId="6951A1A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毛利率变动</w:t>
            </w:r>
          </w:p>
        </w:tc>
        <w:tc>
          <w:tcPr>
            <w:tcW w:w="2084" w:type="dxa"/>
            <w:tcMar>
              <w:top w:w="0" w:type="dxa"/>
              <w:left w:w="108" w:type="dxa"/>
              <w:bottom w:w="0" w:type="dxa"/>
              <w:right w:w="108" w:type="dxa"/>
            </w:tcMar>
            <w:vAlign w:val="center"/>
          </w:tcPr>
          <w:p w14:paraId="7BB34A40"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评估值</w:t>
            </w:r>
          </w:p>
        </w:tc>
        <w:tc>
          <w:tcPr>
            <w:tcW w:w="2079" w:type="dxa"/>
            <w:tcMar>
              <w:top w:w="0" w:type="dxa"/>
              <w:left w:w="108" w:type="dxa"/>
              <w:bottom w:w="0" w:type="dxa"/>
              <w:right w:w="108" w:type="dxa"/>
            </w:tcMar>
            <w:vAlign w:val="center"/>
          </w:tcPr>
          <w:p w14:paraId="28346E2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变动金额</w:t>
            </w:r>
          </w:p>
        </w:tc>
        <w:tc>
          <w:tcPr>
            <w:tcW w:w="2069" w:type="dxa"/>
            <w:tcMar>
              <w:top w:w="0" w:type="dxa"/>
              <w:left w:w="108" w:type="dxa"/>
              <w:bottom w:w="0" w:type="dxa"/>
              <w:right w:w="108" w:type="dxa"/>
            </w:tcMar>
            <w:vAlign w:val="center"/>
          </w:tcPr>
          <w:p w14:paraId="7E721C5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变动率</w:t>
            </w:r>
          </w:p>
        </w:tc>
      </w:tr>
      <w:tr w:rsidR="006416B0" w:rsidRPr="00B4515A" w14:paraId="700DAF36" w14:textId="77777777" w:rsidTr="00031627">
        <w:trPr>
          <w:trHeight w:val="340"/>
          <w:jc w:val="center"/>
        </w:trPr>
        <w:tc>
          <w:tcPr>
            <w:tcW w:w="2050" w:type="dxa"/>
            <w:tcMar>
              <w:top w:w="0" w:type="dxa"/>
              <w:left w:w="108" w:type="dxa"/>
              <w:bottom w:w="0" w:type="dxa"/>
              <w:right w:w="108" w:type="dxa"/>
            </w:tcMar>
            <w:vAlign w:val="center"/>
          </w:tcPr>
          <w:p w14:paraId="36AEEC66"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w:t>
            </w:r>
          </w:p>
        </w:tc>
        <w:tc>
          <w:tcPr>
            <w:tcW w:w="2084" w:type="dxa"/>
            <w:tcMar>
              <w:top w:w="0" w:type="dxa"/>
              <w:left w:w="108" w:type="dxa"/>
              <w:bottom w:w="0" w:type="dxa"/>
              <w:right w:w="108" w:type="dxa"/>
            </w:tcMar>
            <w:vAlign w:val="center"/>
          </w:tcPr>
          <w:p w14:paraId="6FAFD97F"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98,261.17 </w:t>
            </w:r>
          </w:p>
        </w:tc>
        <w:tc>
          <w:tcPr>
            <w:tcW w:w="2079" w:type="dxa"/>
            <w:tcMar>
              <w:top w:w="0" w:type="dxa"/>
              <w:left w:w="108" w:type="dxa"/>
              <w:bottom w:w="0" w:type="dxa"/>
              <w:right w:w="108" w:type="dxa"/>
            </w:tcMar>
            <w:vAlign w:val="center"/>
          </w:tcPr>
          <w:p w14:paraId="4837D22D"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-49,995.20 </w:t>
            </w:r>
          </w:p>
        </w:tc>
        <w:tc>
          <w:tcPr>
            <w:tcW w:w="2069" w:type="dxa"/>
            <w:tcMar>
              <w:top w:w="0" w:type="dxa"/>
              <w:left w:w="108" w:type="dxa"/>
              <w:bottom w:w="0" w:type="dxa"/>
              <w:right w:w="108" w:type="dxa"/>
            </w:tcMar>
            <w:vAlign w:val="center"/>
          </w:tcPr>
          <w:p w14:paraId="2086D7B3"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-33.72%</w:t>
            </w:r>
          </w:p>
        </w:tc>
      </w:tr>
      <w:tr w:rsidR="006416B0" w:rsidRPr="00B4515A" w14:paraId="67A95982" w14:textId="77777777" w:rsidTr="00031627">
        <w:trPr>
          <w:trHeight w:val="340"/>
          <w:jc w:val="center"/>
        </w:trPr>
        <w:tc>
          <w:tcPr>
            <w:tcW w:w="2050" w:type="dxa"/>
            <w:tcMar>
              <w:top w:w="0" w:type="dxa"/>
              <w:left w:w="108" w:type="dxa"/>
              <w:bottom w:w="0" w:type="dxa"/>
              <w:right w:w="108" w:type="dxa"/>
            </w:tcMar>
            <w:vAlign w:val="center"/>
          </w:tcPr>
          <w:p w14:paraId="5807ABDE"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2084" w:type="dxa"/>
            <w:tcMar>
              <w:top w:w="0" w:type="dxa"/>
              <w:left w:w="108" w:type="dxa"/>
              <w:bottom w:w="0" w:type="dxa"/>
              <w:right w:w="108" w:type="dxa"/>
            </w:tcMar>
            <w:vAlign w:val="center"/>
          </w:tcPr>
          <w:p w14:paraId="39594A3A"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118,473.57 </w:t>
            </w:r>
          </w:p>
        </w:tc>
        <w:tc>
          <w:tcPr>
            <w:tcW w:w="2079" w:type="dxa"/>
            <w:tcMar>
              <w:top w:w="0" w:type="dxa"/>
              <w:left w:w="108" w:type="dxa"/>
              <w:bottom w:w="0" w:type="dxa"/>
              <w:right w:w="108" w:type="dxa"/>
            </w:tcMar>
            <w:vAlign w:val="center"/>
          </w:tcPr>
          <w:p w14:paraId="31816019"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-29,782.80 </w:t>
            </w:r>
          </w:p>
        </w:tc>
        <w:tc>
          <w:tcPr>
            <w:tcW w:w="2069" w:type="dxa"/>
            <w:tcMar>
              <w:top w:w="0" w:type="dxa"/>
              <w:left w:w="108" w:type="dxa"/>
              <w:bottom w:w="0" w:type="dxa"/>
              <w:right w:w="108" w:type="dxa"/>
            </w:tcMar>
            <w:vAlign w:val="center"/>
          </w:tcPr>
          <w:p w14:paraId="4B506E6E"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-20.09%</w:t>
            </w:r>
          </w:p>
        </w:tc>
      </w:tr>
      <w:tr w:rsidR="006416B0" w:rsidRPr="00B4515A" w14:paraId="7C3181AA" w14:textId="77777777" w:rsidTr="00031627">
        <w:trPr>
          <w:trHeight w:val="340"/>
          <w:jc w:val="center"/>
        </w:trPr>
        <w:tc>
          <w:tcPr>
            <w:tcW w:w="2050" w:type="dxa"/>
            <w:tcMar>
              <w:top w:w="0" w:type="dxa"/>
              <w:left w:w="108" w:type="dxa"/>
              <w:bottom w:w="0" w:type="dxa"/>
              <w:right w:w="108" w:type="dxa"/>
            </w:tcMar>
            <w:vAlign w:val="center"/>
          </w:tcPr>
          <w:p w14:paraId="66DBD17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0</w:t>
            </w:r>
          </w:p>
        </w:tc>
        <w:tc>
          <w:tcPr>
            <w:tcW w:w="2084" w:type="dxa"/>
            <w:tcMar>
              <w:top w:w="0" w:type="dxa"/>
              <w:left w:w="108" w:type="dxa"/>
              <w:bottom w:w="0" w:type="dxa"/>
              <w:right w:w="108" w:type="dxa"/>
            </w:tcMar>
            <w:vAlign w:val="center"/>
          </w:tcPr>
          <w:p w14:paraId="1A001BD3"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148,256.37 </w:t>
            </w:r>
          </w:p>
        </w:tc>
        <w:tc>
          <w:tcPr>
            <w:tcW w:w="2079" w:type="dxa"/>
            <w:tcMar>
              <w:top w:w="0" w:type="dxa"/>
              <w:left w:w="108" w:type="dxa"/>
              <w:bottom w:w="0" w:type="dxa"/>
              <w:right w:w="108" w:type="dxa"/>
            </w:tcMar>
            <w:vAlign w:val="center"/>
          </w:tcPr>
          <w:p w14:paraId="113833B7" w14:textId="77777777" w:rsidR="006416B0" w:rsidRPr="00B4515A" w:rsidRDefault="006416B0" w:rsidP="005860B4">
            <w:pPr>
              <w:adjustRightInd w:val="0"/>
              <w:snapToGrid w:val="0"/>
              <w:rPr>
                <w:rFonts w:ascii="Times New Roman" w:hAnsi="Times New Roman" w:cs="Times New Roman"/>
                <w:sz w:val="21"/>
                <w:szCs w:val="21"/>
              </w:rPr>
            </w:pPr>
          </w:p>
        </w:tc>
        <w:tc>
          <w:tcPr>
            <w:tcW w:w="2069" w:type="dxa"/>
            <w:tcMar>
              <w:top w:w="0" w:type="dxa"/>
              <w:left w:w="108" w:type="dxa"/>
              <w:bottom w:w="0" w:type="dxa"/>
              <w:right w:w="108" w:type="dxa"/>
            </w:tcMar>
            <w:vAlign w:val="center"/>
          </w:tcPr>
          <w:p w14:paraId="3424A097" w14:textId="77777777" w:rsidR="006416B0" w:rsidRPr="00B4515A" w:rsidRDefault="006416B0" w:rsidP="005860B4">
            <w:pPr>
              <w:adjustRightInd w:val="0"/>
              <w:snapToGrid w:val="0"/>
              <w:rPr>
                <w:rFonts w:ascii="Times New Roman" w:hAnsi="Times New Roman" w:cs="Times New Roman"/>
                <w:sz w:val="21"/>
                <w:szCs w:val="21"/>
              </w:rPr>
            </w:pPr>
          </w:p>
        </w:tc>
      </w:tr>
      <w:tr w:rsidR="006416B0" w:rsidRPr="00B4515A" w14:paraId="267958C9" w14:textId="77777777" w:rsidTr="00031627">
        <w:trPr>
          <w:trHeight w:val="340"/>
          <w:jc w:val="center"/>
        </w:trPr>
        <w:tc>
          <w:tcPr>
            <w:tcW w:w="2050" w:type="dxa"/>
            <w:tcMar>
              <w:top w:w="0" w:type="dxa"/>
              <w:left w:w="108" w:type="dxa"/>
              <w:bottom w:w="0" w:type="dxa"/>
              <w:right w:w="108" w:type="dxa"/>
            </w:tcMar>
            <w:vAlign w:val="center"/>
          </w:tcPr>
          <w:p w14:paraId="12485B8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w:t>
            </w:r>
          </w:p>
        </w:tc>
        <w:tc>
          <w:tcPr>
            <w:tcW w:w="2084" w:type="dxa"/>
            <w:tcMar>
              <w:top w:w="0" w:type="dxa"/>
              <w:left w:w="108" w:type="dxa"/>
              <w:bottom w:w="0" w:type="dxa"/>
              <w:right w:w="108" w:type="dxa"/>
            </w:tcMar>
            <w:vAlign w:val="center"/>
          </w:tcPr>
          <w:p w14:paraId="7CEC4526"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177,889.57 </w:t>
            </w:r>
          </w:p>
        </w:tc>
        <w:tc>
          <w:tcPr>
            <w:tcW w:w="2079" w:type="dxa"/>
            <w:tcMar>
              <w:top w:w="0" w:type="dxa"/>
              <w:left w:w="108" w:type="dxa"/>
              <w:bottom w:w="0" w:type="dxa"/>
              <w:right w:w="108" w:type="dxa"/>
            </w:tcMar>
            <w:vAlign w:val="center"/>
          </w:tcPr>
          <w:p w14:paraId="0F25AD5B"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29,633.20 </w:t>
            </w:r>
          </w:p>
        </w:tc>
        <w:tc>
          <w:tcPr>
            <w:tcW w:w="2069" w:type="dxa"/>
            <w:tcMar>
              <w:top w:w="0" w:type="dxa"/>
              <w:left w:w="108" w:type="dxa"/>
              <w:bottom w:w="0" w:type="dxa"/>
              <w:right w:w="108" w:type="dxa"/>
            </w:tcMar>
            <w:vAlign w:val="center"/>
          </w:tcPr>
          <w:p w14:paraId="33783AED"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19.99%</w:t>
            </w:r>
          </w:p>
        </w:tc>
      </w:tr>
      <w:tr w:rsidR="006416B0" w:rsidRPr="00B4515A" w14:paraId="4BAE1440" w14:textId="77777777" w:rsidTr="00031627">
        <w:trPr>
          <w:trHeight w:val="340"/>
          <w:jc w:val="center"/>
        </w:trPr>
        <w:tc>
          <w:tcPr>
            <w:tcW w:w="2050" w:type="dxa"/>
            <w:tcMar>
              <w:top w:w="0" w:type="dxa"/>
              <w:left w:w="108" w:type="dxa"/>
              <w:bottom w:w="0" w:type="dxa"/>
              <w:right w:w="108" w:type="dxa"/>
            </w:tcMar>
            <w:vAlign w:val="center"/>
          </w:tcPr>
          <w:p w14:paraId="184FE3D3"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5%</w:t>
            </w:r>
          </w:p>
        </w:tc>
        <w:tc>
          <w:tcPr>
            <w:tcW w:w="2084" w:type="dxa"/>
            <w:tcMar>
              <w:top w:w="0" w:type="dxa"/>
              <w:left w:w="108" w:type="dxa"/>
              <w:bottom w:w="0" w:type="dxa"/>
              <w:right w:w="108" w:type="dxa"/>
            </w:tcMar>
            <w:vAlign w:val="center"/>
          </w:tcPr>
          <w:p w14:paraId="4BE3D019"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197,461.07 </w:t>
            </w:r>
          </w:p>
        </w:tc>
        <w:tc>
          <w:tcPr>
            <w:tcW w:w="2079" w:type="dxa"/>
            <w:tcMar>
              <w:top w:w="0" w:type="dxa"/>
              <w:left w:w="108" w:type="dxa"/>
              <w:bottom w:w="0" w:type="dxa"/>
              <w:right w:w="108" w:type="dxa"/>
            </w:tcMar>
            <w:vAlign w:val="center"/>
          </w:tcPr>
          <w:p w14:paraId="7DB31CA1"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 xml:space="preserve">49,204.70 </w:t>
            </w:r>
          </w:p>
        </w:tc>
        <w:tc>
          <w:tcPr>
            <w:tcW w:w="2069" w:type="dxa"/>
            <w:tcMar>
              <w:top w:w="0" w:type="dxa"/>
              <w:left w:w="108" w:type="dxa"/>
              <w:bottom w:w="0" w:type="dxa"/>
              <w:right w:w="108" w:type="dxa"/>
            </w:tcMar>
            <w:vAlign w:val="center"/>
          </w:tcPr>
          <w:p w14:paraId="5B5E4C9D" w14:textId="77777777" w:rsidR="006416B0" w:rsidRPr="00B4515A" w:rsidRDefault="005E58C1" w:rsidP="005860B4">
            <w:pPr>
              <w:adjustRightInd w:val="0"/>
              <w:snapToGrid w:val="0"/>
              <w:jc w:val="right"/>
              <w:textAlignment w:val="center"/>
              <w:rPr>
                <w:rFonts w:ascii="Times New Roman" w:hAnsi="Times New Roman" w:cs="Times New Roman"/>
                <w:sz w:val="21"/>
                <w:szCs w:val="21"/>
              </w:rPr>
            </w:pPr>
            <w:r w:rsidRPr="00B4515A">
              <w:rPr>
                <w:rFonts w:ascii="Times New Roman" w:hAnsi="Times New Roman" w:cs="Times New Roman"/>
                <w:sz w:val="21"/>
                <w:szCs w:val="21"/>
              </w:rPr>
              <w:t>33.19%</w:t>
            </w:r>
          </w:p>
        </w:tc>
      </w:tr>
    </w:tbl>
    <w:p w14:paraId="704BC6B2" w14:textId="77777777" w:rsidR="006416B0" w:rsidRPr="00B4515A" w:rsidRDefault="005E58C1" w:rsidP="005860B4">
      <w:pPr>
        <w:pStyle w:val="004"/>
        <w:spacing w:before="120" w:after="120"/>
        <w:ind w:firstLine="482"/>
      </w:pPr>
      <w:r w:rsidRPr="00B4515A">
        <w:t>3</w:t>
      </w:r>
      <w:r w:rsidRPr="00B4515A">
        <w:t>、评估结果对折现率变动的敏感性分析</w:t>
      </w:r>
    </w:p>
    <w:p w14:paraId="261286A3" w14:textId="77777777" w:rsidR="006416B0" w:rsidRPr="00B4515A" w:rsidRDefault="005E58C1" w:rsidP="005860B4">
      <w:pPr>
        <w:pStyle w:val="009"/>
      </w:pPr>
      <w:r w:rsidRPr="00B4515A">
        <w:t>单位：万元</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11"/>
        <w:gridCol w:w="2146"/>
        <w:gridCol w:w="2141"/>
        <w:gridCol w:w="2130"/>
      </w:tblGrid>
      <w:tr w:rsidR="006416B0" w:rsidRPr="00B4515A" w14:paraId="11FAA329" w14:textId="77777777" w:rsidTr="005860B4">
        <w:trPr>
          <w:trHeight w:val="340"/>
          <w:tblHeader/>
          <w:jc w:val="center"/>
        </w:trPr>
        <w:tc>
          <w:tcPr>
            <w:tcW w:w="2050" w:type="dxa"/>
            <w:tcMar>
              <w:top w:w="0" w:type="dxa"/>
              <w:left w:w="108" w:type="dxa"/>
              <w:bottom w:w="0" w:type="dxa"/>
              <w:right w:w="108" w:type="dxa"/>
            </w:tcMar>
            <w:vAlign w:val="center"/>
          </w:tcPr>
          <w:p w14:paraId="2FC3EB51"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折现率变动</w:t>
            </w:r>
          </w:p>
        </w:tc>
        <w:tc>
          <w:tcPr>
            <w:tcW w:w="2084" w:type="dxa"/>
            <w:tcMar>
              <w:top w:w="0" w:type="dxa"/>
              <w:left w:w="108" w:type="dxa"/>
              <w:bottom w:w="0" w:type="dxa"/>
              <w:right w:w="108" w:type="dxa"/>
            </w:tcMar>
            <w:vAlign w:val="center"/>
          </w:tcPr>
          <w:p w14:paraId="0A273C9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评估值</w:t>
            </w:r>
          </w:p>
        </w:tc>
        <w:tc>
          <w:tcPr>
            <w:tcW w:w="2079" w:type="dxa"/>
            <w:tcMar>
              <w:top w:w="0" w:type="dxa"/>
              <w:left w:w="108" w:type="dxa"/>
              <w:bottom w:w="0" w:type="dxa"/>
              <w:right w:w="108" w:type="dxa"/>
            </w:tcMar>
            <w:vAlign w:val="center"/>
          </w:tcPr>
          <w:p w14:paraId="1E4B8515"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变动金额</w:t>
            </w:r>
          </w:p>
        </w:tc>
        <w:tc>
          <w:tcPr>
            <w:tcW w:w="2069" w:type="dxa"/>
            <w:tcMar>
              <w:top w:w="0" w:type="dxa"/>
              <w:left w:w="108" w:type="dxa"/>
              <w:bottom w:w="0" w:type="dxa"/>
              <w:right w:w="108" w:type="dxa"/>
            </w:tcMar>
            <w:vAlign w:val="center"/>
          </w:tcPr>
          <w:p w14:paraId="523D3A8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变动率</w:t>
            </w:r>
          </w:p>
        </w:tc>
      </w:tr>
      <w:tr w:rsidR="006416B0" w:rsidRPr="00B4515A" w14:paraId="14C976B6" w14:textId="77777777" w:rsidTr="00031627">
        <w:trPr>
          <w:trHeight w:val="340"/>
          <w:jc w:val="center"/>
        </w:trPr>
        <w:tc>
          <w:tcPr>
            <w:tcW w:w="2050" w:type="dxa"/>
            <w:tcMar>
              <w:top w:w="0" w:type="dxa"/>
              <w:left w:w="108" w:type="dxa"/>
              <w:bottom w:w="0" w:type="dxa"/>
              <w:right w:w="108" w:type="dxa"/>
            </w:tcMar>
            <w:vAlign w:val="center"/>
          </w:tcPr>
          <w:p w14:paraId="5752212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hint="eastAsia"/>
                <w:sz w:val="21"/>
                <w:szCs w:val="21"/>
              </w:rPr>
              <w:t>%</w:t>
            </w:r>
          </w:p>
        </w:tc>
        <w:tc>
          <w:tcPr>
            <w:tcW w:w="2084" w:type="dxa"/>
            <w:tcMar>
              <w:top w:w="0" w:type="dxa"/>
              <w:left w:w="108" w:type="dxa"/>
              <w:bottom w:w="0" w:type="dxa"/>
              <w:right w:w="108" w:type="dxa"/>
            </w:tcMar>
            <w:vAlign w:val="center"/>
          </w:tcPr>
          <w:p w14:paraId="04CDC28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170,884.37 </w:t>
            </w:r>
          </w:p>
        </w:tc>
        <w:tc>
          <w:tcPr>
            <w:tcW w:w="2079" w:type="dxa"/>
            <w:tcMar>
              <w:top w:w="0" w:type="dxa"/>
              <w:left w:w="108" w:type="dxa"/>
              <w:bottom w:w="0" w:type="dxa"/>
              <w:right w:w="108" w:type="dxa"/>
            </w:tcMar>
            <w:vAlign w:val="center"/>
          </w:tcPr>
          <w:p w14:paraId="64ACC98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22,628.00 </w:t>
            </w:r>
          </w:p>
        </w:tc>
        <w:tc>
          <w:tcPr>
            <w:tcW w:w="2069" w:type="dxa"/>
            <w:tcMar>
              <w:top w:w="0" w:type="dxa"/>
              <w:left w:w="108" w:type="dxa"/>
              <w:bottom w:w="0" w:type="dxa"/>
              <w:right w:w="108" w:type="dxa"/>
            </w:tcMar>
            <w:vAlign w:val="center"/>
          </w:tcPr>
          <w:p w14:paraId="53BD008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15.26%</w:t>
            </w:r>
          </w:p>
        </w:tc>
      </w:tr>
      <w:tr w:rsidR="006416B0" w:rsidRPr="00B4515A" w14:paraId="1421A1BE" w14:textId="77777777" w:rsidTr="00031627">
        <w:trPr>
          <w:trHeight w:val="340"/>
          <w:jc w:val="center"/>
        </w:trPr>
        <w:tc>
          <w:tcPr>
            <w:tcW w:w="2050" w:type="dxa"/>
            <w:tcMar>
              <w:top w:w="0" w:type="dxa"/>
              <w:left w:w="108" w:type="dxa"/>
              <w:bottom w:w="0" w:type="dxa"/>
              <w:right w:w="108" w:type="dxa"/>
            </w:tcMar>
            <w:vAlign w:val="center"/>
          </w:tcPr>
          <w:p w14:paraId="0FDBE4C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-1</w:t>
            </w:r>
            <w:r w:rsidRPr="00B4515A">
              <w:rPr>
                <w:rFonts w:ascii="Times New Roman" w:hAnsi="Times New Roman" w:cs="Times New Roman" w:hint="eastAsia"/>
                <w:sz w:val="21"/>
                <w:szCs w:val="21"/>
              </w:rPr>
              <w:t>%</w:t>
            </w:r>
          </w:p>
        </w:tc>
        <w:tc>
          <w:tcPr>
            <w:tcW w:w="2084" w:type="dxa"/>
            <w:tcMar>
              <w:top w:w="0" w:type="dxa"/>
              <w:left w:w="108" w:type="dxa"/>
              <w:bottom w:w="0" w:type="dxa"/>
              <w:right w:w="108" w:type="dxa"/>
            </w:tcMar>
            <w:vAlign w:val="center"/>
          </w:tcPr>
          <w:p w14:paraId="01E49D2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158,503.47 </w:t>
            </w:r>
          </w:p>
        </w:tc>
        <w:tc>
          <w:tcPr>
            <w:tcW w:w="2079" w:type="dxa"/>
            <w:tcMar>
              <w:top w:w="0" w:type="dxa"/>
              <w:left w:w="108" w:type="dxa"/>
              <w:bottom w:w="0" w:type="dxa"/>
              <w:right w:w="108" w:type="dxa"/>
            </w:tcMar>
            <w:vAlign w:val="center"/>
          </w:tcPr>
          <w:p w14:paraId="3A6CD7F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10,247.10 </w:t>
            </w:r>
          </w:p>
        </w:tc>
        <w:tc>
          <w:tcPr>
            <w:tcW w:w="2069" w:type="dxa"/>
            <w:tcMar>
              <w:top w:w="0" w:type="dxa"/>
              <w:left w:w="108" w:type="dxa"/>
              <w:bottom w:w="0" w:type="dxa"/>
              <w:right w:w="108" w:type="dxa"/>
            </w:tcMar>
            <w:vAlign w:val="center"/>
          </w:tcPr>
          <w:p w14:paraId="7CA65541"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6.91%</w:t>
            </w:r>
          </w:p>
        </w:tc>
      </w:tr>
      <w:tr w:rsidR="006416B0" w:rsidRPr="00B4515A" w14:paraId="49015895" w14:textId="77777777" w:rsidTr="00031627">
        <w:trPr>
          <w:trHeight w:val="340"/>
          <w:jc w:val="center"/>
        </w:trPr>
        <w:tc>
          <w:tcPr>
            <w:tcW w:w="2050" w:type="dxa"/>
            <w:tcMar>
              <w:top w:w="0" w:type="dxa"/>
              <w:left w:w="108" w:type="dxa"/>
              <w:bottom w:w="0" w:type="dxa"/>
              <w:right w:w="108" w:type="dxa"/>
            </w:tcMar>
            <w:vAlign w:val="center"/>
          </w:tcPr>
          <w:p w14:paraId="6946A4B4"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0</w:t>
            </w:r>
          </w:p>
        </w:tc>
        <w:tc>
          <w:tcPr>
            <w:tcW w:w="2084" w:type="dxa"/>
            <w:tcMar>
              <w:top w:w="0" w:type="dxa"/>
              <w:left w:w="108" w:type="dxa"/>
              <w:bottom w:w="0" w:type="dxa"/>
              <w:right w:w="108" w:type="dxa"/>
            </w:tcMar>
            <w:vAlign w:val="center"/>
          </w:tcPr>
          <w:p w14:paraId="56296D7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148,256.37 </w:t>
            </w:r>
          </w:p>
        </w:tc>
        <w:tc>
          <w:tcPr>
            <w:tcW w:w="2079" w:type="dxa"/>
            <w:tcMar>
              <w:top w:w="0" w:type="dxa"/>
              <w:left w:w="108" w:type="dxa"/>
              <w:bottom w:w="0" w:type="dxa"/>
              <w:right w:w="108" w:type="dxa"/>
            </w:tcMar>
            <w:vAlign w:val="center"/>
          </w:tcPr>
          <w:p w14:paraId="0E58A960" w14:textId="77777777" w:rsidR="006416B0" w:rsidRPr="00B4515A" w:rsidRDefault="006416B0" w:rsidP="005860B4">
            <w:pPr>
              <w:adjustRightInd w:val="0"/>
              <w:snapToGrid w:val="0"/>
              <w:jc w:val="right"/>
              <w:rPr>
                <w:rFonts w:ascii="Times New Roman" w:hAnsi="Times New Roman" w:cs="Times New Roman"/>
                <w:sz w:val="21"/>
                <w:szCs w:val="21"/>
              </w:rPr>
            </w:pPr>
          </w:p>
        </w:tc>
        <w:tc>
          <w:tcPr>
            <w:tcW w:w="2069" w:type="dxa"/>
            <w:tcMar>
              <w:top w:w="0" w:type="dxa"/>
              <w:left w:w="108" w:type="dxa"/>
              <w:bottom w:w="0" w:type="dxa"/>
              <w:right w:w="108" w:type="dxa"/>
            </w:tcMar>
            <w:vAlign w:val="center"/>
          </w:tcPr>
          <w:p w14:paraId="7A667E1F" w14:textId="77777777" w:rsidR="006416B0" w:rsidRPr="00B4515A" w:rsidRDefault="006416B0" w:rsidP="005860B4">
            <w:pPr>
              <w:adjustRightInd w:val="0"/>
              <w:snapToGrid w:val="0"/>
              <w:jc w:val="right"/>
              <w:rPr>
                <w:rFonts w:ascii="Times New Roman" w:hAnsi="Times New Roman" w:cs="Times New Roman"/>
                <w:sz w:val="21"/>
                <w:szCs w:val="21"/>
              </w:rPr>
            </w:pPr>
          </w:p>
        </w:tc>
      </w:tr>
      <w:tr w:rsidR="006416B0" w:rsidRPr="00B4515A" w14:paraId="0270D11F" w14:textId="77777777" w:rsidTr="00031627">
        <w:trPr>
          <w:trHeight w:val="340"/>
          <w:jc w:val="center"/>
        </w:trPr>
        <w:tc>
          <w:tcPr>
            <w:tcW w:w="2050" w:type="dxa"/>
            <w:tcMar>
              <w:top w:w="0" w:type="dxa"/>
              <w:left w:w="108" w:type="dxa"/>
              <w:bottom w:w="0" w:type="dxa"/>
              <w:right w:w="108" w:type="dxa"/>
            </w:tcMar>
            <w:vAlign w:val="center"/>
          </w:tcPr>
          <w:p w14:paraId="53B02691"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lastRenderedPageBreak/>
              <w:t>1</w:t>
            </w:r>
            <w:r w:rsidRPr="00B4515A">
              <w:rPr>
                <w:rFonts w:ascii="Times New Roman" w:hAnsi="Times New Roman" w:cs="Times New Roman" w:hint="eastAsia"/>
                <w:sz w:val="21"/>
                <w:szCs w:val="21"/>
              </w:rPr>
              <w:t>%</w:t>
            </w:r>
          </w:p>
        </w:tc>
        <w:tc>
          <w:tcPr>
            <w:tcW w:w="2084" w:type="dxa"/>
            <w:tcMar>
              <w:top w:w="0" w:type="dxa"/>
              <w:left w:w="108" w:type="dxa"/>
              <w:bottom w:w="0" w:type="dxa"/>
              <w:right w:w="108" w:type="dxa"/>
            </w:tcMar>
            <w:vAlign w:val="center"/>
          </w:tcPr>
          <w:p w14:paraId="27C46BB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139,625.57 </w:t>
            </w:r>
          </w:p>
        </w:tc>
        <w:tc>
          <w:tcPr>
            <w:tcW w:w="2079" w:type="dxa"/>
            <w:tcMar>
              <w:top w:w="0" w:type="dxa"/>
              <w:left w:w="108" w:type="dxa"/>
              <w:bottom w:w="0" w:type="dxa"/>
              <w:right w:w="108" w:type="dxa"/>
            </w:tcMar>
            <w:vAlign w:val="center"/>
          </w:tcPr>
          <w:p w14:paraId="3565C3B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-8,630.80 </w:t>
            </w:r>
          </w:p>
        </w:tc>
        <w:tc>
          <w:tcPr>
            <w:tcW w:w="2069" w:type="dxa"/>
            <w:tcMar>
              <w:top w:w="0" w:type="dxa"/>
              <w:left w:w="108" w:type="dxa"/>
              <w:bottom w:w="0" w:type="dxa"/>
              <w:right w:w="108" w:type="dxa"/>
            </w:tcMar>
            <w:vAlign w:val="center"/>
          </w:tcPr>
          <w:p w14:paraId="1C123B1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-5.82%</w:t>
            </w:r>
          </w:p>
        </w:tc>
      </w:tr>
      <w:tr w:rsidR="006416B0" w:rsidRPr="00B4515A" w14:paraId="52A37F01" w14:textId="77777777" w:rsidTr="00031627">
        <w:trPr>
          <w:trHeight w:val="340"/>
          <w:jc w:val="center"/>
        </w:trPr>
        <w:tc>
          <w:tcPr>
            <w:tcW w:w="2050" w:type="dxa"/>
            <w:tcMar>
              <w:top w:w="0" w:type="dxa"/>
              <w:left w:w="108" w:type="dxa"/>
              <w:bottom w:w="0" w:type="dxa"/>
              <w:right w:w="108" w:type="dxa"/>
            </w:tcMar>
            <w:vAlign w:val="center"/>
          </w:tcPr>
          <w:p w14:paraId="3D1352DA"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2</w:t>
            </w:r>
            <w:r w:rsidRPr="00B4515A">
              <w:rPr>
                <w:rFonts w:ascii="Times New Roman" w:hAnsi="Times New Roman" w:cs="Times New Roman" w:hint="eastAsia"/>
                <w:sz w:val="21"/>
                <w:szCs w:val="21"/>
              </w:rPr>
              <w:t>%</w:t>
            </w:r>
          </w:p>
        </w:tc>
        <w:tc>
          <w:tcPr>
            <w:tcW w:w="2084" w:type="dxa"/>
            <w:tcMar>
              <w:top w:w="0" w:type="dxa"/>
              <w:left w:w="108" w:type="dxa"/>
              <w:bottom w:w="0" w:type="dxa"/>
              <w:right w:w="108" w:type="dxa"/>
            </w:tcMar>
            <w:vAlign w:val="center"/>
          </w:tcPr>
          <w:p w14:paraId="295E3EB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132,281.87 </w:t>
            </w:r>
          </w:p>
        </w:tc>
        <w:tc>
          <w:tcPr>
            <w:tcW w:w="2079" w:type="dxa"/>
            <w:tcMar>
              <w:top w:w="0" w:type="dxa"/>
              <w:left w:w="108" w:type="dxa"/>
              <w:bottom w:w="0" w:type="dxa"/>
              <w:right w:w="108" w:type="dxa"/>
            </w:tcMar>
            <w:vAlign w:val="center"/>
          </w:tcPr>
          <w:p w14:paraId="1F98512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-15,974.50 </w:t>
            </w:r>
          </w:p>
        </w:tc>
        <w:tc>
          <w:tcPr>
            <w:tcW w:w="2069" w:type="dxa"/>
            <w:tcMar>
              <w:top w:w="0" w:type="dxa"/>
              <w:left w:w="108" w:type="dxa"/>
              <w:bottom w:w="0" w:type="dxa"/>
              <w:right w:w="108" w:type="dxa"/>
            </w:tcMar>
            <w:vAlign w:val="center"/>
          </w:tcPr>
          <w:p w14:paraId="316D8C1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-10.77%</w:t>
            </w:r>
          </w:p>
        </w:tc>
      </w:tr>
    </w:tbl>
    <w:p w14:paraId="654C3BDA" w14:textId="77777777" w:rsidR="006416B0" w:rsidRPr="00B4515A" w:rsidRDefault="005E58C1" w:rsidP="005860B4">
      <w:pPr>
        <w:pStyle w:val="003"/>
        <w:spacing w:before="120"/>
        <w:ind w:firstLine="482"/>
      </w:pPr>
      <w:r w:rsidRPr="00B4515A">
        <w:t>（五）标的公司与上市公司是否存在显著可量化的协同效应</w:t>
      </w:r>
    </w:p>
    <w:p w14:paraId="38A10904" w14:textId="77777777" w:rsidR="006416B0" w:rsidRPr="00B4515A" w:rsidRDefault="005E58C1" w:rsidP="005860B4">
      <w:pPr>
        <w:pStyle w:val="005"/>
        <w:spacing w:before="120" w:after="120"/>
        <w:ind w:firstLine="480"/>
      </w:pPr>
      <w:r w:rsidRPr="00B4515A">
        <w:t>本次交易完成后上市公司和标的公司可以在提升管理水平、融资能力，降低融资成本等方面发挥协同效应，但上述协同效应对业务发展的影响难以量化分析。出于谨慎性考虑，本次交易中对大唐联诚的估值是基于本次交易前其自身经营情况进行的，并未考虑本次交易带来的协同效应。</w:t>
      </w:r>
    </w:p>
    <w:p w14:paraId="14E3AABC" w14:textId="77777777" w:rsidR="006416B0" w:rsidRPr="00B4515A" w:rsidRDefault="005E58C1" w:rsidP="005860B4">
      <w:pPr>
        <w:pStyle w:val="003"/>
        <w:spacing w:before="120"/>
        <w:ind w:firstLine="482"/>
      </w:pPr>
      <w:r w:rsidRPr="00B4515A">
        <w:t>（六）本次交易定价的公允性分析</w:t>
      </w:r>
    </w:p>
    <w:p w14:paraId="7D199E53" w14:textId="77777777" w:rsidR="006416B0" w:rsidRPr="00B4515A" w:rsidRDefault="005E58C1" w:rsidP="005860B4">
      <w:pPr>
        <w:pStyle w:val="004"/>
        <w:spacing w:before="120" w:after="120"/>
        <w:ind w:firstLine="482"/>
      </w:pPr>
      <w:bookmarkStart w:id="279" w:name="_Hlk76936313"/>
      <w:r w:rsidRPr="00B4515A">
        <w:t>1</w:t>
      </w:r>
      <w:r w:rsidRPr="00B4515A">
        <w:t>、标的</w:t>
      </w:r>
      <w:r w:rsidRPr="00B4515A">
        <w:rPr>
          <w:rFonts w:hint="eastAsia"/>
        </w:rPr>
        <w:t>公司</w:t>
      </w:r>
      <w:r w:rsidRPr="00B4515A">
        <w:t>与同行业上市公司比较</w:t>
      </w:r>
    </w:p>
    <w:p w14:paraId="5ADBC08D" w14:textId="31039B55" w:rsidR="006416B0" w:rsidRPr="00B4515A" w:rsidRDefault="005E58C1" w:rsidP="005860B4">
      <w:pPr>
        <w:pStyle w:val="005"/>
        <w:spacing w:before="120" w:after="120"/>
        <w:ind w:firstLine="480"/>
      </w:pPr>
      <w:r w:rsidRPr="00B4515A">
        <w:t>根据中国证监会颁布的《上市公司行业分类指引》（</w:t>
      </w:r>
      <w:r w:rsidRPr="00B4515A">
        <w:t>2012</w:t>
      </w:r>
      <w:r w:rsidRPr="00B4515A">
        <w:t>年修订），标的公司所处的行业属于制造业</w:t>
      </w:r>
      <w:r w:rsidRPr="00B4515A">
        <w:t>-</w:t>
      </w:r>
      <w:r w:rsidRPr="00B4515A">
        <w:t>计算机、通信和其他电子设备制造业（行业代码：</w:t>
      </w:r>
      <w:r w:rsidRPr="00B4515A">
        <w:t>C39</w:t>
      </w:r>
      <w:r w:rsidRPr="00B4515A">
        <w:t>），细分行业领域为</w:t>
      </w:r>
      <w:r w:rsidR="006D0423" w:rsidRPr="00B4515A">
        <w:rPr>
          <w:rFonts w:ascii="宋体" w:hAnsi="宋体" w:hint="eastAsia"/>
        </w:rPr>
        <w:t>“</w:t>
      </w:r>
      <w:r w:rsidRPr="00B4515A">
        <w:t>通信设备制造</w:t>
      </w:r>
      <w:r w:rsidR="006D0423" w:rsidRPr="00B4515A">
        <w:rPr>
          <w:rFonts w:ascii="宋体" w:hAnsi="宋体" w:hint="eastAsia"/>
        </w:rPr>
        <w:t>”</w:t>
      </w:r>
      <w:r w:rsidRPr="00B4515A">
        <w:t>，选取通信设备制造领域与标的公司主营业务相似的公司作为可比公司。</w:t>
      </w:r>
    </w:p>
    <w:p w14:paraId="3B76B85D" w14:textId="77777777" w:rsidR="006416B0" w:rsidRPr="00B4515A" w:rsidRDefault="005E58C1" w:rsidP="005860B4">
      <w:pPr>
        <w:pStyle w:val="005"/>
        <w:spacing w:before="120" w:after="120"/>
        <w:ind w:firstLine="480"/>
      </w:pPr>
      <w:r w:rsidRPr="00B4515A">
        <w:t>截至评估基准日，可比上市公司的市盈率情况如下表所示：</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842"/>
        <w:gridCol w:w="2843"/>
        <w:gridCol w:w="2843"/>
      </w:tblGrid>
      <w:tr w:rsidR="006416B0" w:rsidRPr="00B4515A" w14:paraId="6CE82D79" w14:textId="77777777" w:rsidTr="00EE238F">
        <w:trPr>
          <w:trHeight w:val="340"/>
          <w:jc w:val="center"/>
        </w:trPr>
        <w:tc>
          <w:tcPr>
            <w:tcW w:w="1666" w:type="pct"/>
            <w:tcMar>
              <w:top w:w="0" w:type="dxa"/>
              <w:left w:w="108" w:type="dxa"/>
              <w:bottom w:w="0" w:type="dxa"/>
              <w:right w:w="108" w:type="dxa"/>
            </w:tcMar>
            <w:vAlign w:val="center"/>
          </w:tcPr>
          <w:p w14:paraId="548BAB24"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证券代码</w:t>
            </w:r>
          </w:p>
        </w:tc>
        <w:tc>
          <w:tcPr>
            <w:tcW w:w="1667" w:type="pct"/>
            <w:tcMar>
              <w:top w:w="0" w:type="dxa"/>
              <w:left w:w="108" w:type="dxa"/>
              <w:bottom w:w="0" w:type="dxa"/>
              <w:right w:w="108" w:type="dxa"/>
            </w:tcMar>
            <w:vAlign w:val="center"/>
          </w:tcPr>
          <w:p w14:paraId="0D315860"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证券简称</w:t>
            </w:r>
          </w:p>
        </w:tc>
        <w:tc>
          <w:tcPr>
            <w:tcW w:w="1667" w:type="pct"/>
            <w:tcMar>
              <w:top w:w="0" w:type="dxa"/>
              <w:left w:w="108" w:type="dxa"/>
              <w:bottom w:w="0" w:type="dxa"/>
              <w:right w:w="108" w:type="dxa"/>
            </w:tcMar>
            <w:vAlign w:val="center"/>
          </w:tcPr>
          <w:p w14:paraId="39181B9D"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市盈率</w:t>
            </w:r>
          </w:p>
        </w:tc>
      </w:tr>
      <w:tr w:rsidR="006416B0" w:rsidRPr="00B4515A" w14:paraId="69986C8B" w14:textId="77777777" w:rsidTr="00EE238F">
        <w:trPr>
          <w:trHeight w:val="340"/>
          <w:jc w:val="center"/>
        </w:trPr>
        <w:tc>
          <w:tcPr>
            <w:tcW w:w="1666" w:type="pct"/>
            <w:tcMar>
              <w:top w:w="0" w:type="dxa"/>
              <w:left w:w="108" w:type="dxa"/>
              <w:bottom w:w="0" w:type="dxa"/>
              <w:right w:w="108" w:type="dxa"/>
            </w:tcMar>
            <w:vAlign w:val="center"/>
          </w:tcPr>
          <w:p w14:paraId="22257A30"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300762.SZ</w:t>
            </w:r>
          </w:p>
        </w:tc>
        <w:tc>
          <w:tcPr>
            <w:tcW w:w="1667" w:type="pct"/>
            <w:tcMar>
              <w:top w:w="0" w:type="dxa"/>
              <w:left w:w="108" w:type="dxa"/>
              <w:bottom w:w="0" w:type="dxa"/>
              <w:right w:w="108" w:type="dxa"/>
            </w:tcMar>
            <w:vAlign w:val="center"/>
          </w:tcPr>
          <w:p w14:paraId="12CD4767"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上海瀚讯</w:t>
            </w:r>
          </w:p>
        </w:tc>
        <w:tc>
          <w:tcPr>
            <w:tcW w:w="1667" w:type="pct"/>
            <w:tcMar>
              <w:top w:w="0" w:type="dxa"/>
              <w:left w:w="108" w:type="dxa"/>
              <w:bottom w:w="0" w:type="dxa"/>
              <w:right w:w="108" w:type="dxa"/>
            </w:tcMar>
            <w:vAlign w:val="center"/>
          </w:tcPr>
          <w:p w14:paraId="6838E43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54.24</w:t>
            </w:r>
          </w:p>
        </w:tc>
      </w:tr>
      <w:tr w:rsidR="006416B0" w:rsidRPr="00B4515A" w14:paraId="03E2A73B" w14:textId="77777777" w:rsidTr="00EE238F">
        <w:trPr>
          <w:trHeight w:val="340"/>
          <w:jc w:val="center"/>
        </w:trPr>
        <w:tc>
          <w:tcPr>
            <w:tcW w:w="1666" w:type="pct"/>
            <w:tcMar>
              <w:top w:w="0" w:type="dxa"/>
              <w:left w:w="108" w:type="dxa"/>
              <w:bottom w:w="0" w:type="dxa"/>
              <w:right w:w="108" w:type="dxa"/>
            </w:tcMar>
            <w:vAlign w:val="center"/>
          </w:tcPr>
          <w:p w14:paraId="17890AC8"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603712.SH</w:t>
            </w:r>
          </w:p>
        </w:tc>
        <w:tc>
          <w:tcPr>
            <w:tcW w:w="1667" w:type="pct"/>
            <w:tcMar>
              <w:top w:w="0" w:type="dxa"/>
              <w:left w:w="108" w:type="dxa"/>
              <w:bottom w:w="0" w:type="dxa"/>
              <w:right w:w="108" w:type="dxa"/>
            </w:tcMar>
            <w:vAlign w:val="center"/>
          </w:tcPr>
          <w:p w14:paraId="7F6F5EEA"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七一二</w:t>
            </w:r>
          </w:p>
        </w:tc>
        <w:tc>
          <w:tcPr>
            <w:tcW w:w="1667" w:type="pct"/>
            <w:tcMar>
              <w:top w:w="0" w:type="dxa"/>
              <w:left w:w="108" w:type="dxa"/>
              <w:bottom w:w="0" w:type="dxa"/>
              <w:right w:w="108" w:type="dxa"/>
            </w:tcMar>
            <w:vAlign w:val="center"/>
          </w:tcPr>
          <w:p w14:paraId="6E99230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45.55</w:t>
            </w:r>
          </w:p>
        </w:tc>
      </w:tr>
      <w:tr w:rsidR="006416B0" w:rsidRPr="00B4515A" w14:paraId="7F8D6B1A" w14:textId="77777777" w:rsidTr="00EE238F">
        <w:trPr>
          <w:trHeight w:val="340"/>
          <w:jc w:val="center"/>
        </w:trPr>
        <w:tc>
          <w:tcPr>
            <w:tcW w:w="1666" w:type="pct"/>
            <w:tcMar>
              <w:top w:w="0" w:type="dxa"/>
              <w:left w:w="108" w:type="dxa"/>
              <w:bottom w:w="0" w:type="dxa"/>
              <w:right w:w="108" w:type="dxa"/>
            </w:tcMar>
            <w:vAlign w:val="center"/>
          </w:tcPr>
          <w:p w14:paraId="29363F80"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002583.SZ</w:t>
            </w:r>
          </w:p>
        </w:tc>
        <w:tc>
          <w:tcPr>
            <w:tcW w:w="1667" w:type="pct"/>
            <w:tcMar>
              <w:top w:w="0" w:type="dxa"/>
              <w:left w:w="108" w:type="dxa"/>
              <w:bottom w:w="0" w:type="dxa"/>
              <w:right w:w="108" w:type="dxa"/>
            </w:tcMar>
            <w:vAlign w:val="center"/>
          </w:tcPr>
          <w:p w14:paraId="212EECC4" w14:textId="77777777" w:rsidR="006416B0" w:rsidRPr="00B4515A" w:rsidRDefault="005E58C1"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海能达</w:t>
            </w:r>
          </w:p>
        </w:tc>
        <w:tc>
          <w:tcPr>
            <w:tcW w:w="1667" w:type="pct"/>
            <w:tcMar>
              <w:top w:w="0" w:type="dxa"/>
              <w:left w:w="108" w:type="dxa"/>
              <w:bottom w:w="0" w:type="dxa"/>
              <w:right w:w="108" w:type="dxa"/>
            </w:tcMar>
            <w:vAlign w:val="center"/>
          </w:tcPr>
          <w:p w14:paraId="203DD7D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 96.13</w:t>
            </w:r>
          </w:p>
        </w:tc>
      </w:tr>
      <w:tr w:rsidR="00617C17" w:rsidRPr="00B4515A" w14:paraId="72E88D23" w14:textId="77777777" w:rsidTr="00EE238F">
        <w:trPr>
          <w:trHeight w:val="340"/>
          <w:jc w:val="center"/>
        </w:trPr>
        <w:tc>
          <w:tcPr>
            <w:tcW w:w="1666" w:type="pct"/>
            <w:tcMar>
              <w:top w:w="0" w:type="dxa"/>
              <w:left w:w="108" w:type="dxa"/>
              <w:bottom w:w="0" w:type="dxa"/>
              <w:right w:w="108" w:type="dxa"/>
            </w:tcMar>
            <w:vAlign w:val="center"/>
          </w:tcPr>
          <w:p w14:paraId="20B741BB" w14:textId="01687241" w:rsidR="00617C17" w:rsidRPr="00B4515A" w:rsidRDefault="00617C17"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sz w:val="21"/>
                <w:szCs w:val="21"/>
              </w:rPr>
              <w:t>002465.SZ</w:t>
            </w:r>
          </w:p>
        </w:tc>
        <w:tc>
          <w:tcPr>
            <w:tcW w:w="1667" w:type="pct"/>
            <w:tcMar>
              <w:top w:w="0" w:type="dxa"/>
              <w:left w:w="108" w:type="dxa"/>
              <w:bottom w:w="0" w:type="dxa"/>
              <w:right w:w="108" w:type="dxa"/>
            </w:tcMar>
            <w:vAlign w:val="center"/>
          </w:tcPr>
          <w:p w14:paraId="31616FE3" w14:textId="0B1A9F30" w:rsidR="00617C17" w:rsidRPr="00B4515A" w:rsidRDefault="00617C17" w:rsidP="00EE238F">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海格通信</w:t>
            </w:r>
          </w:p>
        </w:tc>
        <w:tc>
          <w:tcPr>
            <w:tcW w:w="1667" w:type="pct"/>
            <w:tcMar>
              <w:top w:w="0" w:type="dxa"/>
              <w:left w:w="108" w:type="dxa"/>
              <w:bottom w:w="0" w:type="dxa"/>
              <w:right w:w="108" w:type="dxa"/>
            </w:tcMar>
            <w:vAlign w:val="center"/>
          </w:tcPr>
          <w:p w14:paraId="020E1FDA" w14:textId="426D220D" w:rsidR="00617C17" w:rsidRPr="00B4515A" w:rsidRDefault="00617C17"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3</w:t>
            </w:r>
            <w:r w:rsidRPr="00B4515A">
              <w:rPr>
                <w:rFonts w:ascii="Times New Roman" w:hAnsi="Times New Roman" w:cs="Times New Roman"/>
                <w:sz w:val="21"/>
                <w:szCs w:val="21"/>
              </w:rPr>
              <w:t>9.07</w:t>
            </w:r>
          </w:p>
        </w:tc>
      </w:tr>
      <w:tr w:rsidR="006416B0" w:rsidRPr="00B4515A" w14:paraId="765B8FB6" w14:textId="77777777" w:rsidTr="00EE238F">
        <w:trPr>
          <w:trHeight w:val="340"/>
          <w:jc w:val="center"/>
        </w:trPr>
        <w:tc>
          <w:tcPr>
            <w:tcW w:w="3333" w:type="pct"/>
            <w:gridSpan w:val="2"/>
            <w:tcMar>
              <w:top w:w="0" w:type="dxa"/>
              <w:left w:w="108" w:type="dxa"/>
              <w:bottom w:w="0" w:type="dxa"/>
              <w:right w:w="108" w:type="dxa"/>
            </w:tcMar>
            <w:vAlign w:val="center"/>
          </w:tcPr>
          <w:p w14:paraId="6F52C026" w14:textId="77777777" w:rsidR="006416B0" w:rsidRPr="00B4515A" w:rsidRDefault="005E58C1" w:rsidP="00EE238F">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平均值</w:t>
            </w:r>
          </w:p>
        </w:tc>
        <w:tc>
          <w:tcPr>
            <w:tcW w:w="1667" w:type="pct"/>
            <w:tcMar>
              <w:top w:w="0" w:type="dxa"/>
              <w:left w:w="108" w:type="dxa"/>
              <w:bottom w:w="0" w:type="dxa"/>
              <w:right w:w="108" w:type="dxa"/>
            </w:tcMar>
            <w:vAlign w:val="center"/>
          </w:tcPr>
          <w:p w14:paraId="54A26DCF" w14:textId="60095456" w:rsidR="006416B0" w:rsidRPr="00B4515A" w:rsidRDefault="00617C17"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58.75</w:t>
            </w:r>
          </w:p>
        </w:tc>
      </w:tr>
      <w:tr w:rsidR="006416B0" w:rsidRPr="00B4515A" w14:paraId="1635239D" w14:textId="77777777" w:rsidTr="00EE238F">
        <w:trPr>
          <w:trHeight w:val="340"/>
          <w:jc w:val="center"/>
        </w:trPr>
        <w:tc>
          <w:tcPr>
            <w:tcW w:w="3333" w:type="pct"/>
            <w:gridSpan w:val="2"/>
            <w:tcMar>
              <w:top w:w="0" w:type="dxa"/>
              <w:left w:w="108" w:type="dxa"/>
              <w:bottom w:w="0" w:type="dxa"/>
              <w:right w:w="108" w:type="dxa"/>
            </w:tcMar>
            <w:vAlign w:val="center"/>
          </w:tcPr>
          <w:p w14:paraId="31A54070" w14:textId="77777777" w:rsidR="006416B0" w:rsidRPr="00B4515A" w:rsidRDefault="005E58C1" w:rsidP="00EE238F">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本次交易估值倍数</w:t>
            </w:r>
          </w:p>
        </w:tc>
        <w:tc>
          <w:tcPr>
            <w:tcW w:w="1667" w:type="pct"/>
            <w:tcMar>
              <w:top w:w="0" w:type="dxa"/>
              <w:left w:w="108" w:type="dxa"/>
              <w:bottom w:w="0" w:type="dxa"/>
              <w:right w:w="108" w:type="dxa"/>
            </w:tcMar>
            <w:vAlign w:val="center"/>
          </w:tcPr>
          <w:p w14:paraId="2BA5E454" w14:textId="77777777" w:rsidR="006416B0" w:rsidRPr="00B4515A" w:rsidRDefault="005E58C1" w:rsidP="005860B4">
            <w:pPr>
              <w:adjustRightInd w:val="0"/>
              <w:snapToGrid w:val="0"/>
              <w:jc w:val="right"/>
              <w:rPr>
                <w:rFonts w:ascii="Times New Roman" w:hAnsi="Times New Roman" w:cs="Times New Roman"/>
                <w:b/>
                <w:sz w:val="21"/>
                <w:szCs w:val="21"/>
              </w:rPr>
            </w:pPr>
            <w:r w:rsidRPr="00B4515A">
              <w:rPr>
                <w:rFonts w:ascii="Times New Roman" w:hAnsi="Times New Roman" w:cs="Times New Roman"/>
                <w:b/>
                <w:sz w:val="21"/>
                <w:szCs w:val="21"/>
              </w:rPr>
              <w:t>35.24</w:t>
            </w:r>
          </w:p>
        </w:tc>
      </w:tr>
    </w:tbl>
    <w:p w14:paraId="0FA40140" w14:textId="4BE45D91" w:rsidR="006416B0" w:rsidRPr="00B4515A" w:rsidRDefault="00617C17" w:rsidP="005860B4">
      <w:pPr>
        <w:pStyle w:val="006"/>
        <w:ind w:firstLine="420"/>
      </w:pPr>
      <w:r w:rsidRPr="00B4515A">
        <w:rPr>
          <w:rFonts w:hint="eastAsia"/>
        </w:rPr>
        <w:t>注：</w:t>
      </w:r>
      <w:r w:rsidR="005E58C1" w:rsidRPr="00B4515A">
        <w:rPr>
          <w:rFonts w:hint="eastAsia"/>
        </w:rPr>
        <w:t>可比上市公司市盈率</w:t>
      </w:r>
      <w:r w:rsidR="005E58C1" w:rsidRPr="00B4515A">
        <w:t>=2021</w:t>
      </w:r>
      <w:r w:rsidR="005E58C1" w:rsidRPr="00B4515A">
        <w:rPr>
          <w:rFonts w:hint="eastAsia"/>
        </w:rPr>
        <w:t>年</w:t>
      </w:r>
      <w:r w:rsidR="005E58C1" w:rsidRPr="00B4515A">
        <w:t>4</w:t>
      </w:r>
      <w:r w:rsidR="005E58C1" w:rsidRPr="00B4515A">
        <w:rPr>
          <w:rFonts w:hint="eastAsia"/>
        </w:rPr>
        <w:t>月</w:t>
      </w:r>
      <w:r w:rsidR="005E58C1" w:rsidRPr="00B4515A">
        <w:t>30</w:t>
      </w:r>
      <w:r w:rsidR="005E58C1" w:rsidRPr="00B4515A">
        <w:rPr>
          <w:rFonts w:hint="eastAsia"/>
        </w:rPr>
        <w:t>日收盘市值</w:t>
      </w:r>
      <w:r w:rsidR="005E58C1" w:rsidRPr="00B4515A">
        <w:t>/2020</w:t>
      </w:r>
      <w:r w:rsidR="005E58C1" w:rsidRPr="00B4515A">
        <w:rPr>
          <w:rFonts w:hint="eastAsia"/>
        </w:rPr>
        <w:t>年度归属于母公司所有者净利润。标的公司市盈率</w:t>
      </w:r>
      <w:r w:rsidR="005E58C1" w:rsidRPr="00B4515A">
        <w:t>=</w:t>
      </w:r>
      <w:r w:rsidR="005E58C1" w:rsidRPr="00B4515A">
        <w:rPr>
          <w:rFonts w:hint="eastAsia"/>
        </w:rPr>
        <w:t>标的公司</w:t>
      </w:r>
      <w:r w:rsidR="005E58C1" w:rsidRPr="00B4515A">
        <w:t>100%</w:t>
      </w:r>
      <w:r w:rsidR="005E58C1" w:rsidRPr="00B4515A">
        <w:rPr>
          <w:rFonts w:hint="eastAsia"/>
        </w:rPr>
        <w:t>股权的交易对价</w:t>
      </w:r>
      <w:r w:rsidR="005E58C1" w:rsidRPr="00B4515A">
        <w:t>/</w:t>
      </w:r>
      <w:r w:rsidR="005E58C1" w:rsidRPr="00B4515A">
        <w:rPr>
          <w:rFonts w:hint="eastAsia"/>
        </w:rPr>
        <w:t>该公司</w:t>
      </w:r>
      <w:r w:rsidR="005E58C1" w:rsidRPr="00B4515A">
        <w:t>2020</w:t>
      </w:r>
      <w:r w:rsidR="005E58C1" w:rsidRPr="00B4515A">
        <w:rPr>
          <w:rFonts w:hint="eastAsia"/>
        </w:rPr>
        <w:t>年度归属于母公司股东的净利润</w:t>
      </w:r>
    </w:p>
    <w:p w14:paraId="21D0A51B" w14:textId="3E0D7A70" w:rsidR="006416B0" w:rsidRPr="00B4515A" w:rsidRDefault="005E58C1" w:rsidP="005860B4">
      <w:pPr>
        <w:pStyle w:val="005"/>
        <w:spacing w:before="120" w:after="120"/>
        <w:ind w:firstLine="480"/>
      </w:pPr>
      <w:r w:rsidRPr="00B4515A">
        <w:t>截至</w:t>
      </w:r>
      <w:r w:rsidRPr="00B4515A">
        <w:t>2021</w:t>
      </w:r>
      <w:r w:rsidRPr="00B4515A">
        <w:t>年</w:t>
      </w:r>
      <w:r w:rsidRPr="00B4515A">
        <w:t>4</w:t>
      </w:r>
      <w:r w:rsidRPr="00B4515A">
        <w:t>月</w:t>
      </w:r>
      <w:r w:rsidRPr="00B4515A">
        <w:t>30</w:t>
      </w:r>
      <w:r w:rsidRPr="00B4515A">
        <w:t>日，可比上市公司的市盈率平均值为</w:t>
      </w:r>
      <w:r w:rsidR="00617C17" w:rsidRPr="00B4515A">
        <w:t>58</w:t>
      </w:r>
      <w:r w:rsidRPr="00B4515A">
        <w:t>.</w:t>
      </w:r>
      <w:r w:rsidR="00617C17" w:rsidRPr="00B4515A">
        <w:t>75</w:t>
      </w:r>
      <w:r w:rsidRPr="00B4515A">
        <w:t>倍，本次交易的市盈率为</w:t>
      </w:r>
      <w:r w:rsidRPr="00B4515A">
        <w:t>35.24</w:t>
      </w:r>
      <w:r w:rsidRPr="00B4515A">
        <w:t>倍，</w:t>
      </w:r>
      <w:r w:rsidR="00617C17" w:rsidRPr="00B4515A">
        <w:rPr>
          <w:rFonts w:hint="eastAsia"/>
        </w:rPr>
        <w:t>剔除</w:t>
      </w:r>
      <w:r w:rsidR="00617C17" w:rsidRPr="00B4515A">
        <w:rPr>
          <w:rFonts w:hint="eastAsia"/>
        </w:rPr>
        <w:t>2</w:t>
      </w:r>
      <w:r w:rsidR="00617C17" w:rsidRPr="00B4515A">
        <w:t>021</w:t>
      </w:r>
      <w:r w:rsidR="00617C17" w:rsidRPr="00B4515A">
        <w:rPr>
          <w:rFonts w:hint="eastAsia"/>
        </w:rPr>
        <w:t>年</w:t>
      </w:r>
      <w:r w:rsidR="00617C17" w:rsidRPr="00B4515A">
        <w:rPr>
          <w:rFonts w:hint="eastAsia"/>
        </w:rPr>
        <w:t>4</w:t>
      </w:r>
      <w:r w:rsidR="00617C17" w:rsidRPr="00B4515A">
        <w:rPr>
          <w:rFonts w:hint="eastAsia"/>
        </w:rPr>
        <w:t>月增资影响后，大唐联诚本次交易的市盈率为</w:t>
      </w:r>
      <w:r w:rsidR="00AB6736" w:rsidRPr="00B4515A">
        <w:rPr>
          <w:rFonts w:hint="eastAsia"/>
        </w:rPr>
        <w:t>2</w:t>
      </w:r>
      <w:r w:rsidR="00AB6736" w:rsidRPr="00B4515A">
        <w:t>1.67</w:t>
      </w:r>
      <w:r w:rsidR="00AB6736" w:rsidRPr="00B4515A">
        <w:rPr>
          <w:rFonts w:hint="eastAsia"/>
        </w:rPr>
        <w:t>倍，</w:t>
      </w:r>
      <w:r w:rsidRPr="00B4515A">
        <w:t>结合同行业上市公司的估值分析，同行业可比上市公司的平均市盈率高于本次交易的市盈率，大唐联诚股东权益价值评估结果客观反映了大唐联诚股权的市场价值，本次交易定价具有合理性，有利于保护上市公司全体股东，尤其是中小股东的合法权益。</w:t>
      </w:r>
    </w:p>
    <w:p w14:paraId="5C5AC0C4" w14:textId="77777777" w:rsidR="006416B0" w:rsidRPr="00B4515A" w:rsidRDefault="005E58C1" w:rsidP="005860B4">
      <w:pPr>
        <w:pStyle w:val="004"/>
        <w:spacing w:before="120" w:after="120"/>
        <w:ind w:firstLine="482"/>
      </w:pPr>
      <w:r w:rsidRPr="00B4515A">
        <w:lastRenderedPageBreak/>
        <w:t>2</w:t>
      </w:r>
      <w:r w:rsidRPr="00B4515A">
        <w:t>、本次交易与可比案例的比较</w:t>
      </w:r>
    </w:p>
    <w:p w14:paraId="20A215BE" w14:textId="1E2458E6" w:rsidR="006416B0" w:rsidRPr="00B4515A" w:rsidRDefault="005E58C1" w:rsidP="005860B4">
      <w:pPr>
        <w:pStyle w:val="005"/>
        <w:spacing w:before="120" w:after="120"/>
        <w:ind w:firstLine="480"/>
      </w:pPr>
      <w:r w:rsidRPr="00B4515A">
        <w:t>根据中国证监会颁布的《上市公司行业分类指引》（</w:t>
      </w:r>
      <w:r w:rsidRPr="00B4515A">
        <w:t>2012</w:t>
      </w:r>
      <w:r w:rsidRPr="00B4515A">
        <w:t>年修订），标的公司所处的行业属于制造业</w:t>
      </w:r>
      <w:r w:rsidRPr="00B4515A">
        <w:t>-</w:t>
      </w:r>
      <w:r w:rsidRPr="00B4515A">
        <w:t>计算机、通信和其他电子设备制造业（行业代码：</w:t>
      </w:r>
      <w:r w:rsidRPr="00B4515A">
        <w:t>C39</w:t>
      </w:r>
      <w:r w:rsidRPr="00B4515A">
        <w:t>），细分行业领域为</w:t>
      </w:r>
      <w:r w:rsidR="006D0423" w:rsidRPr="00B4515A">
        <w:rPr>
          <w:rFonts w:ascii="宋体" w:hAnsi="宋体" w:hint="eastAsia"/>
        </w:rPr>
        <w:t>“</w:t>
      </w:r>
      <w:r w:rsidRPr="00B4515A">
        <w:t>通信设备制造</w:t>
      </w:r>
      <w:r w:rsidR="006D0423" w:rsidRPr="00B4515A">
        <w:rPr>
          <w:rFonts w:ascii="宋体" w:hAnsi="宋体" w:hint="eastAsia"/>
        </w:rPr>
        <w:t>”</w:t>
      </w:r>
      <w:r w:rsidRPr="00B4515A">
        <w:t>，选取</w:t>
      </w:r>
      <w:r w:rsidRPr="00B4515A">
        <w:t>2018</w:t>
      </w:r>
      <w:r w:rsidRPr="00B4515A">
        <w:t>年以来已经完成的标的公司处于</w:t>
      </w:r>
      <w:r w:rsidR="006D0423" w:rsidRPr="00B4515A">
        <w:rPr>
          <w:rFonts w:ascii="宋体" w:hAnsi="宋体" w:hint="eastAsia"/>
        </w:rPr>
        <w:t>“</w:t>
      </w:r>
      <w:r w:rsidRPr="00B4515A">
        <w:t>Wind</w:t>
      </w:r>
      <w:r w:rsidRPr="00B4515A">
        <w:t>通信设备</w:t>
      </w:r>
      <w:r w:rsidR="006D0423" w:rsidRPr="00B4515A">
        <w:rPr>
          <w:rFonts w:ascii="宋体" w:hAnsi="宋体" w:hint="eastAsia"/>
        </w:rPr>
        <w:t>”</w:t>
      </w:r>
      <w:r w:rsidRPr="00B4515A">
        <w:t>板块的案例，标的公司的交易对价对应的交易市盈率如下：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520"/>
        <w:gridCol w:w="1097"/>
        <w:gridCol w:w="1301"/>
        <w:gridCol w:w="1912"/>
        <w:gridCol w:w="1404"/>
        <w:gridCol w:w="1404"/>
        <w:gridCol w:w="890"/>
      </w:tblGrid>
      <w:tr w:rsidR="006416B0" w:rsidRPr="00B4515A" w14:paraId="1807B5DC" w14:textId="77777777" w:rsidTr="00EE238F">
        <w:trPr>
          <w:trHeight w:val="340"/>
          <w:jc w:val="center"/>
        </w:trPr>
        <w:tc>
          <w:tcPr>
            <w:tcW w:w="305" w:type="pct"/>
            <w:vMerge w:val="restart"/>
            <w:shd w:val="clear" w:color="auto" w:fill="FFFFFF"/>
            <w:tcMar>
              <w:top w:w="0" w:type="dxa"/>
              <w:left w:w="108" w:type="dxa"/>
              <w:bottom w:w="0" w:type="dxa"/>
              <w:right w:w="108" w:type="dxa"/>
            </w:tcMar>
            <w:vAlign w:val="center"/>
          </w:tcPr>
          <w:p w14:paraId="0528DB24"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序号</w:t>
            </w:r>
          </w:p>
        </w:tc>
        <w:tc>
          <w:tcPr>
            <w:tcW w:w="1406" w:type="pct"/>
            <w:gridSpan w:val="2"/>
            <w:shd w:val="clear" w:color="auto" w:fill="FFFFFF"/>
            <w:tcMar>
              <w:top w:w="0" w:type="dxa"/>
              <w:left w:w="108" w:type="dxa"/>
              <w:bottom w:w="0" w:type="dxa"/>
              <w:right w:w="108" w:type="dxa"/>
            </w:tcMar>
            <w:vAlign w:val="center"/>
          </w:tcPr>
          <w:p w14:paraId="0B6BA1A3"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上市公司</w:t>
            </w:r>
          </w:p>
        </w:tc>
        <w:tc>
          <w:tcPr>
            <w:tcW w:w="1121" w:type="pct"/>
            <w:vMerge w:val="restart"/>
            <w:shd w:val="clear" w:color="auto" w:fill="FFFFFF"/>
            <w:tcMar>
              <w:top w:w="0" w:type="dxa"/>
              <w:left w:w="108" w:type="dxa"/>
              <w:bottom w:w="0" w:type="dxa"/>
              <w:right w:w="108" w:type="dxa"/>
            </w:tcMar>
            <w:vAlign w:val="center"/>
          </w:tcPr>
          <w:p w14:paraId="3B24AE7A" w14:textId="261EE17F"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标的</w:t>
            </w:r>
            <w:r w:rsidR="00AB6736" w:rsidRPr="00B4515A">
              <w:rPr>
                <w:rFonts w:ascii="Times New Roman" w:hAnsi="Times New Roman" w:cs="Times New Roman" w:hint="eastAsia"/>
                <w:b/>
                <w:bCs/>
                <w:color w:val="333333"/>
                <w:sz w:val="21"/>
                <w:szCs w:val="21"/>
              </w:rPr>
              <w:t>公司</w:t>
            </w:r>
          </w:p>
        </w:tc>
        <w:tc>
          <w:tcPr>
            <w:tcW w:w="823" w:type="pct"/>
            <w:vMerge w:val="restart"/>
            <w:shd w:val="clear" w:color="auto" w:fill="FFFFFF"/>
            <w:tcMar>
              <w:top w:w="0" w:type="dxa"/>
              <w:left w:w="108" w:type="dxa"/>
              <w:bottom w:w="0" w:type="dxa"/>
              <w:right w:w="108" w:type="dxa"/>
            </w:tcMar>
            <w:vAlign w:val="center"/>
          </w:tcPr>
          <w:p w14:paraId="09464402" w14:textId="77777777" w:rsidR="006416B0" w:rsidRPr="00B4515A" w:rsidRDefault="005E58C1" w:rsidP="00EE238F">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股权比例</w:t>
            </w:r>
          </w:p>
        </w:tc>
        <w:tc>
          <w:tcPr>
            <w:tcW w:w="823" w:type="pct"/>
            <w:vMerge w:val="restart"/>
            <w:shd w:val="clear" w:color="auto" w:fill="FFFFFF"/>
            <w:tcMar>
              <w:top w:w="0" w:type="dxa"/>
              <w:left w:w="108" w:type="dxa"/>
              <w:bottom w:w="0" w:type="dxa"/>
              <w:right w:w="108" w:type="dxa"/>
            </w:tcMar>
            <w:vAlign w:val="center"/>
          </w:tcPr>
          <w:p w14:paraId="67ABB15A" w14:textId="77777777" w:rsidR="006416B0" w:rsidRPr="00B4515A" w:rsidRDefault="005E58C1" w:rsidP="00EE238F">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评估基准日</w:t>
            </w:r>
          </w:p>
        </w:tc>
        <w:tc>
          <w:tcPr>
            <w:tcW w:w="522" w:type="pct"/>
            <w:vMerge w:val="restart"/>
            <w:shd w:val="clear" w:color="auto" w:fill="FFFFFF"/>
            <w:tcMar>
              <w:top w:w="0" w:type="dxa"/>
              <w:left w:w="108" w:type="dxa"/>
              <w:bottom w:w="0" w:type="dxa"/>
              <w:right w:w="108" w:type="dxa"/>
            </w:tcMar>
            <w:vAlign w:val="center"/>
          </w:tcPr>
          <w:p w14:paraId="40BFC57A" w14:textId="77777777" w:rsidR="006416B0" w:rsidRPr="00B4515A" w:rsidRDefault="005E58C1" w:rsidP="00EE238F">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动态市盈率（注</w:t>
            </w:r>
            <w:r w:rsidRPr="00B4515A">
              <w:rPr>
                <w:rFonts w:ascii="Times New Roman" w:hAnsi="Times New Roman" w:cs="Times New Roman"/>
                <w:b/>
                <w:bCs/>
                <w:color w:val="333333"/>
                <w:sz w:val="21"/>
                <w:szCs w:val="21"/>
              </w:rPr>
              <w:t>1</w:t>
            </w:r>
            <w:r w:rsidRPr="00B4515A">
              <w:rPr>
                <w:rFonts w:ascii="Times New Roman" w:hAnsi="Times New Roman" w:cs="Times New Roman" w:hint="eastAsia"/>
                <w:b/>
                <w:bCs/>
                <w:color w:val="333333"/>
                <w:sz w:val="21"/>
                <w:szCs w:val="21"/>
              </w:rPr>
              <w:t>）</w:t>
            </w:r>
          </w:p>
        </w:tc>
      </w:tr>
      <w:tr w:rsidR="006416B0" w:rsidRPr="00B4515A" w14:paraId="7FC49CD6" w14:textId="77777777" w:rsidTr="00031627">
        <w:trPr>
          <w:trHeight w:val="340"/>
          <w:jc w:val="center"/>
        </w:trPr>
        <w:tc>
          <w:tcPr>
            <w:tcW w:w="517" w:type="dxa"/>
            <w:vMerge/>
            <w:shd w:val="clear" w:color="auto" w:fill="FFFFFF"/>
            <w:tcMar>
              <w:top w:w="0" w:type="dxa"/>
              <w:left w:w="108" w:type="dxa"/>
              <w:bottom w:w="0" w:type="dxa"/>
              <w:right w:w="108" w:type="dxa"/>
            </w:tcMar>
            <w:vAlign w:val="center"/>
          </w:tcPr>
          <w:p w14:paraId="7AD878E8" w14:textId="77777777" w:rsidR="006416B0" w:rsidRPr="00B4515A" w:rsidRDefault="006416B0" w:rsidP="005860B4">
            <w:pPr>
              <w:adjustRightInd w:val="0"/>
              <w:snapToGrid w:val="0"/>
              <w:rPr>
                <w:rFonts w:ascii="Times New Roman" w:hAnsi="Times New Roman" w:cs="Times New Roman"/>
                <w:color w:val="333333"/>
                <w:sz w:val="21"/>
                <w:szCs w:val="21"/>
              </w:rPr>
            </w:pPr>
          </w:p>
        </w:tc>
        <w:tc>
          <w:tcPr>
            <w:tcW w:w="643" w:type="pct"/>
            <w:shd w:val="clear" w:color="auto" w:fill="FFFFFF"/>
            <w:tcMar>
              <w:top w:w="0" w:type="dxa"/>
              <w:left w:w="108" w:type="dxa"/>
              <w:bottom w:w="0" w:type="dxa"/>
              <w:right w:w="108" w:type="dxa"/>
            </w:tcMar>
            <w:vAlign w:val="center"/>
          </w:tcPr>
          <w:p w14:paraId="5DA36121"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证券简称</w:t>
            </w:r>
          </w:p>
        </w:tc>
        <w:tc>
          <w:tcPr>
            <w:tcW w:w="763" w:type="pct"/>
            <w:shd w:val="clear" w:color="auto" w:fill="FFFFFF"/>
            <w:tcMar>
              <w:top w:w="0" w:type="dxa"/>
              <w:left w:w="108" w:type="dxa"/>
              <w:bottom w:w="0" w:type="dxa"/>
              <w:right w:w="108" w:type="dxa"/>
            </w:tcMar>
            <w:vAlign w:val="center"/>
          </w:tcPr>
          <w:p w14:paraId="5FD20AC6"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证券代码</w:t>
            </w:r>
          </w:p>
        </w:tc>
        <w:tc>
          <w:tcPr>
            <w:tcW w:w="1897" w:type="dxa"/>
            <w:vMerge/>
            <w:shd w:val="clear" w:color="auto" w:fill="FFFFFF"/>
            <w:tcMar>
              <w:top w:w="0" w:type="dxa"/>
              <w:left w:w="108" w:type="dxa"/>
              <w:bottom w:w="0" w:type="dxa"/>
              <w:right w:w="108" w:type="dxa"/>
            </w:tcMar>
            <w:vAlign w:val="center"/>
          </w:tcPr>
          <w:p w14:paraId="17F43B54" w14:textId="77777777" w:rsidR="006416B0" w:rsidRPr="00B4515A" w:rsidRDefault="006416B0" w:rsidP="005860B4">
            <w:pPr>
              <w:adjustRightInd w:val="0"/>
              <w:snapToGrid w:val="0"/>
              <w:rPr>
                <w:rFonts w:ascii="Times New Roman" w:hAnsi="Times New Roman" w:cs="Times New Roman"/>
                <w:color w:val="333333"/>
                <w:sz w:val="21"/>
                <w:szCs w:val="21"/>
              </w:rPr>
            </w:pPr>
          </w:p>
        </w:tc>
        <w:tc>
          <w:tcPr>
            <w:tcW w:w="1393" w:type="dxa"/>
            <w:vMerge/>
            <w:shd w:val="clear" w:color="auto" w:fill="FFFFFF"/>
            <w:tcMar>
              <w:top w:w="0" w:type="dxa"/>
              <w:left w:w="108" w:type="dxa"/>
              <w:bottom w:w="0" w:type="dxa"/>
              <w:right w:w="108" w:type="dxa"/>
            </w:tcMar>
            <w:vAlign w:val="center"/>
          </w:tcPr>
          <w:p w14:paraId="0F94C07D" w14:textId="77777777" w:rsidR="006416B0" w:rsidRPr="00B4515A" w:rsidRDefault="006416B0" w:rsidP="005860B4">
            <w:pPr>
              <w:adjustRightInd w:val="0"/>
              <w:snapToGrid w:val="0"/>
              <w:rPr>
                <w:rFonts w:ascii="Times New Roman" w:hAnsi="Times New Roman" w:cs="Times New Roman"/>
                <w:color w:val="333333"/>
                <w:sz w:val="21"/>
                <w:szCs w:val="21"/>
              </w:rPr>
            </w:pPr>
          </w:p>
        </w:tc>
        <w:tc>
          <w:tcPr>
            <w:tcW w:w="1393" w:type="dxa"/>
            <w:vMerge/>
            <w:shd w:val="clear" w:color="auto" w:fill="FFFFFF"/>
            <w:tcMar>
              <w:top w:w="0" w:type="dxa"/>
              <w:left w:w="108" w:type="dxa"/>
              <w:bottom w:w="0" w:type="dxa"/>
              <w:right w:w="108" w:type="dxa"/>
            </w:tcMar>
            <w:vAlign w:val="center"/>
          </w:tcPr>
          <w:p w14:paraId="58A92D03" w14:textId="77777777" w:rsidR="006416B0" w:rsidRPr="00B4515A" w:rsidRDefault="006416B0" w:rsidP="005860B4">
            <w:pPr>
              <w:adjustRightInd w:val="0"/>
              <w:snapToGrid w:val="0"/>
              <w:rPr>
                <w:rFonts w:ascii="Times New Roman" w:hAnsi="Times New Roman" w:cs="Times New Roman"/>
                <w:color w:val="333333"/>
                <w:sz w:val="21"/>
                <w:szCs w:val="21"/>
              </w:rPr>
            </w:pPr>
          </w:p>
        </w:tc>
        <w:tc>
          <w:tcPr>
            <w:tcW w:w="883" w:type="dxa"/>
            <w:vMerge/>
            <w:shd w:val="clear" w:color="auto" w:fill="FFFFFF"/>
            <w:tcMar>
              <w:top w:w="0" w:type="dxa"/>
              <w:left w:w="108" w:type="dxa"/>
              <w:bottom w:w="0" w:type="dxa"/>
              <w:right w:w="108" w:type="dxa"/>
            </w:tcMar>
            <w:vAlign w:val="center"/>
          </w:tcPr>
          <w:p w14:paraId="6D30AF5E" w14:textId="77777777" w:rsidR="006416B0" w:rsidRPr="00B4515A" w:rsidRDefault="006416B0" w:rsidP="005860B4">
            <w:pPr>
              <w:adjustRightInd w:val="0"/>
              <w:snapToGrid w:val="0"/>
              <w:rPr>
                <w:rFonts w:ascii="Times New Roman" w:hAnsi="Times New Roman" w:cs="Times New Roman"/>
                <w:color w:val="333333"/>
                <w:sz w:val="21"/>
                <w:szCs w:val="21"/>
              </w:rPr>
            </w:pPr>
          </w:p>
        </w:tc>
      </w:tr>
      <w:tr w:rsidR="006416B0" w:rsidRPr="00B4515A" w14:paraId="14620DF2" w14:textId="77777777" w:rsidTr="00031627">
        <w:trPr>
          <w:trHeight w:val="340"/>
          <w:jc w:val="center"/>
        </w:trPr>
        <w:tc>
          <w:tcPr>
            <w:tcW w:w="305" w:type="pct"/>
            <w:vMerge w:val="restart"/>
            <w:shd w:val="clear" w:color="auto" w:fill="FFFFFF"/>
            <w:tcMar>
              <w:top w:w="0" w:type="dxa"/>
              <w:left w:w="108" w:type="dxa"/>
              <w:bottom w:w="0" w:type="dxa"/>
              <w:right w:w="108" w:type="dxa"/>
            </w:tcMar>
            <w:vAlign w:val="center"/>
          </w:tcPr>
          <w:p w14:paraId="34C1A8F7"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1</w:t>
            </w:r>
          </w:p>
        </w:tc>
        <w:tc>
          <w:tcPr>
            <w:tcW w:w="643" w:type="pct"/>
            <w:vMerge w:val="restart"/>
            <w:shd w:val="clear" w:color="auto" w:fill="FFFFFF"/>
            <w:tcMar>
              <w:top w:w="0" w:type="dxa"/>
              <w:left w:w="108" w:type="dxa"/>
              <w:bottom w:w="0" w:type="dxa"/>
              <w:right w:w="108" w:type="dxa"/>
            </w:tcMar>
            <w:vAlign w:val="center"/>
          </w:tcPr>
          <w:p w14:paraId="047BE2E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天和防务（注</w:t>
            </w:r>
            <w:r w:rsidRPr="00B4515A">
              <w:rPr>
                <w:rFonts w:ascii="Times New Roman" w:hAnsi="Times New Roman" w:cs="Times New Roman"/>
                <w:color w:val="333333"/>
                <w:sz w:val="21"/>
                <w:szCs w:val="21"/>
              </w:rPr>
              <w:t>2</w:t>
            </w:r>
            <w:r w:rsidRPr="00B4515A">
              <w:rPr>
                <w:rFonts w:ascii="Times New Roman" w:hAnsi="Times New Roman" w:cs="Times New Roman"/>
                <w:color w:val="333333"/>
                <w:sz w:val="21"/>
                <w:szCs w:val="21"/>
              </w:rPr>
              <w:t>）</w:t>
            </w:r>
          </w:p>
        </w:tc>
        <w:tc>
          <w:tcPr>
            <w:tcW w:w="763" w:type="pct"/>
            <w:vMerge w:val="restart"/>
            <w:shd w:val="clear" w:color="auto" w:fill="FFFFFF"/>
            <w:tcMar>
              <w:top w:w="0" w:type="dxa"/>
              <w:left w:w="108" w:type="dxa"/>
              <w:bottom w:w="0" w:type="dxa"/>
              <w:right w:w="108" w:type="dxa"/>
            </w:tcMar>
            <w:vAlign w:val="center"/>
          </w:tcPr>
          <w:p w14:paraId="1FBB685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3</w:t>
            </w:r>
            <w:r w:rsidRPr="00B4515A">
              <w:rPr>
                <w:rFonts w:ascii="Times New Roman" w:hAnsi="Times New Roman" w:cs="Times New Roman"/>
                <w:color w:val="333333"/>
                <w:sz w:val="21"/>
                <w:szCs w:val="21"/>
              </w:rPr>
              <w:t>00397.</w:t>
            </w:r>
            <w:r w:rsidRPr="00B4515A">
              <w:rPr>
                <w:rFonts w:ascii="Times New Roman" w:hAnsi="Times New Roman" w:cs="Times New Roman" w:hint="eastAsia"/>
                <w:color w:val="333333"/>
                <w:sz w:val="21"/>
                <w:szCs w:val="21"/>
              </w:rPr>
              <w:t>SZ</w:t>
            </w:r>
          </w:p>
        </w:tc>
        <w:tc>
          <w:tcPr>
            <w:tcW w:w="1121" w:type="pct"/>
            <w:shd w:val="clear" w:color="auto" w:fill="FFFFFF"/>
            <w:tcMar>
              <w:top w:w="0" w:type="dxa"/>
              <w:left w:w="108" w:type="dxa"/>
              <w:bottom w:w="0" w:type="dxa"/>
              <w:right w:w="108" w:type="dxa"/>
            </w:tcMar>
            <w:vAlign w:val="center"/>
          </w:tcPr>
          <w:p w14:paraId="739FB27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南京彼奥</w:t>
            </w:r>
          </w:p>
        </w:tc>
        <w:tc>
          <w:tcPr>
            <w:tcW w:w="823" w:type="pct"/>
            <w:shd w:val="clear" w:color="auto" w:fill="FFFFFF"/>
            <w:tcMar>
              <w:top w:w="0" w:type="dxa"/>
              <w:left w:w="108" w:type="dxa"/>
              <w:bottom w:w="0" w:type="dxa"/>
              <w:right w:w="108" w:type="dxa"/>
            </w:tcMar>
            <w:vAlign w:val="center"/>
          </w:tcPr>
          <w:p w14:paraId="508D8027"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color w:val="333333"/>
                <w:sz w:val="21"/>
                <w:szCs w:val="21"/>
              </w:rPr>
              <w:t>49.016%</w:t>
            </w:r>
          </w:p>
        </w:tc>
        <w:tc>
          <w:tcPr>
            <w:tcW w:w="823" w:type="pct"/>
            <w:shd w:val="clear" w:color="auto" w:fill="FFFFFF"/>
            <w:tcMar>
              <w:top w:w="0" w:type="dxa"/>
              <w:left w:w="108" w:type="dxa"/>
              <w:bottom w:w="0" w:type="dxa"/>
              <w:right w:w="108" w:type="dxa"/>
            </w:tcMar>
            <w:vAlign w:val="center"/>
          </w:tcPr>
          <w:p w14:paraId="5F7A2F9C"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 xml:space="preserve">2019 </w:t>
            </w:r>
            <w:r w:rsidRPr="00B4515A">
              <w:rPr>
                <w:rFonts w:ascii="Times New Roman" w:hAnsi="Times New Roman" w:cs="Times New Roman"/>
                <w:color w:val="333333"/>
                <w:sz w:val="21"/>
                <w:szCs w:val="21"/>
              </w:rPr>
              <w:t>年</w:t>
            </w:r>
            <w:r w:rsidRPr="00B4515A">
              <w:rPr>
                <w:rFonts w:ascii="Times New Roman" w:hAnsi="Times New Roman" w:cs="Times New Roman"/>
                <w:color w:val="333333"/>
                <w:sz w:val="21"/>
                <w:szCs w:val="21"/>
              </w:rPr>
              <w:t xml:space="preserve"> 12 </w:t>
            </w:r>
            <w:r w:rsidRPr="00B4515A">
              <w:rPr>
                <w:rFonts w:ascii="Times New Roman" w:hAnsi="Times New Roman" w:cs="Times New Roman"/>
                <w:color w:val="333333"/>
                <w:sz w:val="21"/>
                <w:szCs w:val="21"/>
              </w:rPr>
              <w:t>月</w:t>
            </w:r>
            <w:r w:rsidRPr="00B4515A">
              <w:rPr>
                <w:rFonts w:ascii="Times New Roman" w:hAnsi="Times New Roman" w:cs="Times New Roman"/>
                <w:color w:val="333333"/>
                <w:sz w:val="21"/>
                <w:szCs w:val="21"/>
              </w:rPr>
              <w:t xml:space="preserve"> 31 </w:t>
            </w:r>
            <w:r w:rsidRPr="00B4515A">
              <w:rPr>
                <w:rFonts w:ascii="Times New Roman" w:hAnsi="Times New Roman" w:cs="Times New Roman"/>
                <w:color w:val="333333"/>
                <w:sz w:val="21"/>
                <w:szCs w:val="21"/>
              </w:rPr>
              <w:t>日</w:t>
            </w:r>
          </w:p>
        </w:tc>
        <w:tc>
          <w:tcPr>
            <w:tcW w:w="522" w:type="pct"/>
            <w:shd w:val="clear" w:color="auto" w:fill="FFFFFF"/>
            <w:tcMar>
              <w:top w:w="0" w:type="dxa"/>
              <w:left w:w="108" w:type="dxa"/>
              <w:bottom w:w="0" w:type="dxa"/>
              <w:right w:w="108" w:type="dxa"/>
            </w:tcMar>
            <w:vAlign w:val="center"/>
          </w:tcPr>
          <w:p w14:paraId="6D814C89"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10.12</w:t>
            </w:r>
          </w:p>
        </w:tc>
      </w:tr>
      <w:tr w:rsidR="006416B0" w:rsidRPr="00B4515A" w14:paraId="7554AA45" w14:textId="77777777" w:rsidTr="00031627">
        <w:trPr>
          <w:trHeight w:val="340"/>
          <w:jc w:val="center"/>
        </w:trPr>
        <w:tc>
          <w:tcPr>
            <w:tcW w:w="517" w:type="dxa"/>
            <w:vMerge/>
            <w:shd w:val="clear" w:color="auto" w:fill="FFFFFF"/>
            <w:tcMar>
              <w:top w:w="0" w:type="dxa"/>
              <w:left w:w="108" w:type="dxa"/>
              <w:bottom w:w="0" w:type="dxa"/>
              <w:right w:w="108" w:type="dxa"/>
            </w:tcMar>
            <w:vAlign w:val="center"/>
          </w:tcPr>
          <w:p w14:paraId="10BDBF3B" w14:textId="77777777" w:rsidR="006416B0" w:rsidRPr="00B4515A" w:rsidRDefault="006416B0" w:rsidP="005860B4">
            <w:pPr>
              <w:adjustRightInd w:val="0"/>
              <w:snapToGrid w:val="0"/>
              <w:rPr>
                <w:rFonts w:ascii="Times New Roman" w:hAnsi="Times New Roman" w:cs="Times New Roman"/>
                <w:color w:val="333333"/>
                <w:sz w:val="21"/>
                <w:szCs w:val="21"/>
              </w:rPr>
            </w:pPr>
          </w:p>
        </w:tc>
        <w:tc>
          <w:tcPr>
            <w:tcW w:w="1088" w:type="dxa"/>
            <w:vMerge/>
            <w:shd w:val="clear" w:color="auto" w:fill="FFFFFF"/>
            <w:tcMar>
              <w:top w:w="0" w:type="dxa"/>
              <w:left w:w="108" w:type="dxa"/>
              <w:bottom w:w="0" w:type="dxa"/>
              <w:right w:w="108" w:type="dxa"/>
            </w:tcMar>
            <w:vAlign w:val="center"/>
          </w:tcPr>
          <w:p w14:paraId="5A5DE464" w14:textId="77777777" w:rsidR="006416B0" w:rsidRPr="00B4515A" w:rsidRDefault="006416B0" w:rsidP="005860B4">
            <w:pPr>
              <w:adjustRightInd w:val="0"/>
              <w:snapToGrid w:val="0"/>
              <w:rPr>
                <w:rFonts w:ascii="Times New Roman" w:hAnsi="Times New Roman" w:cs="Times New Roman"/>
                <w:color w:val="333333"/>
                <w:sz w:val="21"/>
                <w:szCs w:val="21"/>
              </w:rPr>
            </w:pPr>
          </w:p>
        </w:tc>
        <w:tc>
          <w:tcPr>
            <w:tcW w:w="1291" w:type="dxa"/>
            <w:vMerge/>
            <w:shd w:val="clear" w:color="auto" w:fill="FFFFFF"/>
            <w:tcMar>
              <w:top w:w="0" w:type="dxa"/>
              <w:left w:w="108" w:type="dxa"/>
              <w:bottom w:w="0" w:type="dxa"/>
              <w:right w:w="108" w:type="dxa"/>
            </w:tcMar>
            <w:vAlign w:val="center"/>
          </w:tcPr>
          <w:p w14:paraId="5F0FC5BD" w14:textId="77777777" w:rsidR="006416B0" w:rsidRPr="00B4515A" w:rsidRDefault="006416B0" w:rsidP="005860B4">
            <w:pPr>
              <w:adjustRightInd w:val="0"/>
              <w:snapToGrid w:val="0"/>
              <w:rPr>
                <w:rFonts w:ascii="Times New Roman" w:hAnsi="Times New Roman" w:cs="Times New Roman"/>
                <w:color w:val="333333"/>
                <w:sz w:val="21"/>
                <w:szCs w:val="21"/>
              </w:rPr>
            </w:pPr>
          </w:p>
        </w:tc>
        <w:tc>
          <w:tcPr>
            <w:tcW w:w="1121" w:type="pct"/>
            <w:shd w:val="clear" w:color="auto" w:fill="FFFFFF"/>
            <w:tcMar>
              <w:top w:w="0" w:type="dxa"/>
              <w:left w:w="108" w:type="dxa"/>
              <w:bottom w:w="0" w:type="dxa"/>
              <w:right w:w="108" w:type="dxa"/>
            </w:tcMar>
            <w:vAlign w:val="center"/>
          </w:tcPr>
          <w:p w14:paraId="7B21D5B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华扬通信</w:t>
            </w:r>
          </w:p>
        </w:tc>
        <w:tc>
          <w:tcPr>
            <w:tcW w:w="823" w:type="pct"/>
            <w:shd w:val="clear" w:color="auto" w:fill="FFFFFF"/>
            <w:tcMar>
              <w:top w:w="0" w:type="dxa"/>
              <w:left w:w="108" w:type="dxa"/>
              <w:bottom w:w="0" w:type="dxa"/>
              <w:right w:w="108" w:type="dxa"/>
            </w:tcMar>
            <w:vAlign w:val="center"/>
          </w:tcPr>
          <w:p w14:paraId="5C101F66"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color w:val="333333"/>
                <w:sz w:val="21"/>
                <w:szCs w:val="21"/>
              </w:rPr>
              <w:t>40.00%</w:t>
            </w:r>
          </w:p>
        </w:tc>
        <w:tc>
          <w:tcPr>
            <w:tcW w:w="823" w:type="pct"/>
            <w:shd w:val="clear" w:color="auto" w:fill="FFFFFF"/>
            <w:tcMar>
              <w:top w:w="0" w:type="dxa"/>
              <w:left w:w="108" w:type="dxa"/>
              <w:bottom w:w="0" w:type="dxa"/>
              <w:right w:w="108" w:type="dxa"/>
            </w:tcMar>
            <w:vAlign w:val="center"/>
          </w:tcPr>
          <w:p w14:paraId="71917121"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 xml:space="preserve">2019 </w:t>
            </w:r>
            <w:r w:rsidRPr="00B4515A">
              <w:rPr>
                <w:rFonts w:ascii="Times New Roman" w:hAnsi="Times New Roman" w:cs="Times New Roman"/>
                <w:color w:val="333333"/>
                <w:sz w:val="21"/>
                <w:szCs w:val="21"/>
              </w:rPr>
              <w:t>年</w:t>
            </w:r>
            <w:r w:rsidRPr="00B4515A">
              <w:rPr>
                <w:rFonts w:ascii="Times New Roman" w:hAnsi="Times New Roman" w:cs="Times New Roman"/>
                <w:color w:val="333333"/>
                <w:sz w:val="21"/>
                <w:szCs w:val="21"/>
              </w:rPr>
              <w:t xml:space="preserve"> 12 </w:t>
            </w:r>
            <w:r w:rsidRPr="00B4515A">
              <w:rPr>
                <w:rFonts w:ascii="Times New Roman" w:hAnsi="Times New Roman" w:cs="Times New Roman"/>
                <w:color w:val="333333"/>
                <w:sz w:val="21"/>
                <w:szCs w:val="21"/>
              </w:rPr>
              <w:t>月</w:t>
            </w:r>
            <w:r w:rsidRPr="00B4515A">
              <w:rPr>
                <w:rFonts w:ascii="Times New Roman" w:hAnsi="Times New Roman" w:cs="Times New Roman"/>
                <w:color w:val="333333"/>
                <w:sz w:val="21"/>
                <w:szCs w:val="21"/>
              </w:rPr>
              <w:t xml:space="preserve"> 31 </w:t>
            </w:r>
            <w:r w:rsidRPr="00B4515A">
              <w:rPr>
                <w:rFonts w:ascii="Times New Roman" w:hAnsi="Times New Roman" w:cs="Times New Roman"/>
                <w:color w:val="333333"/>
                <w:sz w:val="21"/>
                <w:szCs w:val="21"/>
              </w:rPr>
              <w:t>日</w:t>
            </w:r>
          </w:p>
        </w:tc>
        <w:tc>
          <w:tcPr>
            <w:tcW w:w="522" w:type="pct"/>
            <w:shd w:val="clear" w:color="auto" w:fill="FFFFFF"/>
            <w:tcMar>
              <w:top w:w="0" w:type="dxa"/>
              <w:left w:w="108" w:type="dxa"/>
              <w:bottom w:w="0" w:type="dxa"/>
              <w:right w:w="108" w:type="dxa"/>
            </w:tcMar>
            <w:vAlign w:val="center"/>
          </w:tcPr>
          <w:p w14:paraId="73AE0076"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10.56</w:t>
            </w:r>
          </w:p>
        </w:tc>
      </w:tr>
      <w:tr w:rsidR="006416B0" w:rsidRPr="00B4515A" w14:paraId="663108C2" w14:textId="77777777" w:rsidTr="00031627">
        <w:trPr>
          <w:trHeight w:val="340"/>
          <w:jc w:val="center"/>
        </w:trPr>
        <w:tc>
          <w:tcPr>
            <w:tcW w:w="305" w:type="pct"/>
            <w:vMerge w:val="restart"/>
            <w:shd w:val="clear" w:color="auto" w:fill="FFFFFF"/>
            <w:tcMar>
              <w:top w:w="0" w:type="dxa"/>
              <w:left w:w="108" w:type="dxa"/>
              <w:bottom w:w="0" w:type="dxa"/>
              <w:right w:w="108" w:type="dxa"/>
            </w:tcMar>
            <w:vAlign w:val="center"/>
          </w:tcPr>
          <w:p w14:paraId="4C151F90"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w:t>
            </w:r>
          </w:p>
        </w:tc>
        <w:tc>
          <w:tcPr>
            <w:tcW w:w="643" w:type="pct"/>
            <w:vMerge w:val="restart"/>
            <w:shd w:val="clear" w:color="auto" w:fill="FFFFFF"/>
            <w:tcMar>
              <w:top w:w="0" w:type="dxa"/>
              <w:left w:w="108" w:type="dxa"/>
              <w:bottom w:w="0" w:type="dxa"/>
              <w:right w:w="108" w:type="dxa"/>
            </w:tcMar>
            <w:vAlign w:val="center"/>
          </w:tcPr>
          <w:p w14:paraId="6168B2F3"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韦尔股份</w:t>
            </w:r>
          </w:p>
        </w:tc>
        <w:tc>
          <w:tcPr>
            <w:tcW w:w="763" w:type="pct"/>
            <w:vMerge w:val="restart"/>
            <w:shd w:val="clear" w:color="auto" w:fill="FFFFFF"/>
            <w:tcMar>
              <w:top w:w="0" w:type="dxa"/>
              <w:left w:w="108" w:type="dxa"/>
              <w:bottom w:w="0" w:type="dxa"/>
              <w:right w:w="108" w:type="dxa"/>
            </w:tcMar>
            <w:vAlign w:val="center"/>
          </w:tcPr>
          <w:p w14:paraId="08A5F3BD"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6</w:t>
            </w:r>
            <w:r w:rsidRPr="00B4515A">
              <w:rPr>
                <w:rFonts w:ascii="Times New Roman" w:hAnsi="Times New Roman" w:cs="Times New Roman"/>
                <w:color w:val="333333"/>
                <w:sz w:val="21"/>
                <w:szCs w:val="21"/>
              </w:rPr>
              <w:t>03501.</w:t>
            </w:r>
            <w:r w:rsidRPr="00B4515A">
              <w:rPr>
                <w:rFonts w:ascii="Times New Roman" w:hAnsi="Times New Roman" w:cs="Times New Roman" w:hint="eastAsia"/>
                <w:color w:val="333333"/>
                <w:sz w:val="21"/>
                <w:szCs w:val="21"/>
              </w:rPr>
              <w:t>SH</w:t>
            </w:r>
          </w:p>
        </w:tc>
        <w:tc>
          <w:tcPr>
            <w:tcW w:w="1121" w:type="pct"/>
            <w:shd w:val="clear" w:color="auto" w:fill="FFFFFF"/>
            <w:tcMar>
              <w:top w:w="0" w:type="dxa"/>
              <w:left w:w="108" w:type="dxa"/>
              <w:bottom w:w="0" w:type="dxa"/>
              <w:right w:w="108" w:type="dxa"/>
            </w:tcMar>
            <w:vAlign w:val="center"/>
          </w:tcPr>
          <w:p w14:paraId="61845CD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北京豪威</w:t>
            </w:r>
          </w:p>
        </w:tc>
        <w:tc>
          <w:tcPr>
            <w:tcW w:w="823" w:type="pct"/>
            <w:shd w:val="clear" w:color="auto" w:fill="FFFFFF"/>
            <w:tcMar>
              <w:top w:w="0" w:type="dxa"/>
              <w:left w:w="108" w:type="dxa"/>
              <w:bottom w:w="0" w:type="dxa"/>
              <w:right w:w="108" w:type="dxa"/>
            </w:tcMar>
            <w:vAlign w:val="center"/>
          </w:tcPr>
          <w:p w14:paraId="2DEBAE3B"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color w:val="333333"/>
                <w:sz w:val="21"/>
                <w:szCs w:val="21"/>
              </w:rPr>
              <w:t>85.53%</w:t>
            </w:r>
          </w:p>
        </w:tc>
        <w:tc>
          <w:tcPr>
            <w:tcW w:w="823" w:type="pct"/>
            <w:shd w:val="clear" w:color="auto" w:fill="FFFFFF"/>
            <w:tcMar>
              <w:top w:w="0" w:type="dxa"/>
              <w:left w:w="108" w:type="dxa"/>
              <w:bottom w:w="0" w:type="dxa"/>
              <w:right w:w="108" w:type="dxa"/>
            </w:tcMar>
            <w:vAlign w:val="center"/>
          </w:tcPr>
          <w:p w14:paraId="4587D165"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w:t>
            </w:r>
            <w:r w:rsidRPr="00B4515A">
              <w:rPr>
                <w:rFonts w:ascii="Times New Roman" w:hAnsi="Times New Roman" w:cs="Times New Roman"/>
                <w:color w:val="333333"/>
                <w:sz w:val="21"/>
                <w:szCs w:val="21"/>
              </w:rPr>
              <w:t>年</w:t>
            </w:r>
            <w:r w:rsidRPr="00B4515A">
              <w:rPr>
                <w:rFonts w:ascii="Times New Roman" w:hAnsi="Times New Roman" w:cs="Times New Roman"/>
                <w:color w:val="333333"/>
                <w:sz w:val="21"/>
                <w:szCs w:val="21"/>
              </w:rPr>
              <w:t>7</w:t>
            </w:r>
            <w:r w:rsidRPr="00B4515A">
              <w:rPr>
                <w:rFonts w:ascii="Times New Roman" w:hAnsi="Times New Roman" w:cs="Times New Roman"/>
                <w:color w:val="333333"/>
                <w:sz w:val="21"/>
                <w:szCs w:val="21"/>
              </w:rPr>
              <w:t>月</w:t>
            </w:r>
            <w:r w:rsidRPr="00B4515A">
              <w:rPr>
                <w:rFonts w:ascii="Times New Roman" w:hAnsi="Times New Roman" w:cs="Times New Roman"/>
                <w:color w:val="333333"/>
                <w:sz w:val="21"/>
                <w:szCs w:val="21"/>
              </w:rPr>
              <w:t>31</w:t>
            </w:r>
            <w:r w:rsidRPr="00B4515A">
              <w:rPr>
                <w:rFonts w:ascii="Times New Roman" w:hAnsi="Times New Roman" w:cs="Times New Roman"/>
                <w:color w:val="333333"/>
                <w:sz w:val="21"/>
                <w:szCs w:val="21"/>
              </w:rPr>
              <w:t>日</w:t>
            </w:r>
          </w:p>
        </w:tc>
        <w:tc>
          <w:tcPr>
            <w:tcW w:w="522" w:type="pct"/>
            <w:shd w:val="clear" w:color="auto" w:fill="FFFFFF"/>
            <w:tcMar>
              <w:top w:w="0" w:type="dxa"/>
              <w:left w:w="108" w:type="dxa"/>
              <w:bottom w:w="0" w:type="dxa"/>
              <w:right w:w="108" w:type="dxa"/>
            </w:tcMar>
            <w:vAlign w:val="center"/>
          </w:tcPr>
          <w:p w14:paraId="0678DFDE"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19.91</w:t>
            </w:r>
          </w:p>
        </w:tc>
      </w:tr>
      <w:tr w:rsidR="006416B0" w:rsidRPr="00B4515A" w14:paraId="680FC2ED" w14:textId="77777777" w:rsidTr="00031627">
        <w:trPr>
          <w:trHeight w:val="340"/>
          <w:jc w:val="center"/>
        </w:trPr>
        <w:tc>
          <w:tcPr>
            <w:tcW w:w="517" w:type="dxa"/>
            <w:vMerge/>
            <w:shd w:val="clear" w:color="auto" w:fill="FFFFFF"/>
            <w:tcMar>
              <w:top w:w="0" w:type="dxa"/>
              <w:left w:w="108" w:type="dxa"/>
              <w:bottom w:w="0" w:type="dxa"/>
              <w:right w:w="108" w:type="dxa"/>
            </w:tcMar>
            <w:vAlign w:val="center"/>
          </w:tcPr>
          <w:p w14:paraId="0229F4C3" w14:textId="77777777" w:rsidR="006416B0" w:rsidRPr="00B4515A" w:rsidRDefault="006416B0" w:rsidP="005860B4">
            <w:pPr>
              <w:adjustRightInd w:val="0"/>
              <w:snapToGrid w:val="0"/>
              <w:rPr>
                <w:rFonts w:ascii="Times New Roman" w:hAnsi="Times New Roman" w:cs="Times New Roman"/>
                <w:color w:val="333333"/>
                <w:sz w:val="21"/>
                <w:szCs w:val="21"/>
              </w:rPr>
            </w:pPr>
          </w:p>
        </w:tc>
        <w:tc>
          <w:tcPr>
            <w:tcW w:w="1088" w:type="dxa"/>
            <w:vMerge/>
            <w:shd w:val="clear" w:color="auto" w:fill="FFFFFF"/>
            <w:tcMar>
              <w:top w:w="0" w:type="dxa"/>
              <w:left w:w="108" w:type="dxa"/>
              <w:bottom w:w="0" w:type="dxa"/>
              <w:right w:w="108" w:type="dxa"/>
            </w:tcMar>
            <w:vAlign w:val="center"/>
          </w:tcPr>
          <w:p w14:paraId="1E9FA11A" w14:textId="77777777" w:rsidR="006416B0" w:rsidRPr="00B4515A" w:rsidRDefault="006416B0" w:rsidP="005860B4">
            <w:pPr>
              <w:adjustRightInd w:val="0"/>
              <w:snapToGrid w:val="0"/>
              <w:rPr>
                <w:rFonts w:ascii="Times New Roman" w:hAnsi="Times New Roman" w:cs="Times New Roman"/>
                <w:color w:val="333333"/>
                <w:sz w:val="21"/>
                <w:szCs w:val="21"/>
              </w:rPr>
            </w:pPr>
          </w:p>
        </w:tc>
        <w:tc>
          <w:tcPr>
            <w:tcW w:w="1291" w:type="dxa"/>
            <w:vMerge/>
            <w:shd w:val="clear" w:color="auto" w:fill="FFFFFF"/>
            <w:tcMar>
              <w:top w:w="0" w:type="dxa"/>
              <w:left w:w="108" w:type="dxa"/>
              <w:bottom w:w="0" w:type="dxa"/>
              <w:right w:w="108" w:type="dxa"/>
            </w:tcMar>
            <w:vAlign w:val="center"/>
          </w:tcPr>
          <w:p w14:paraId="6CF42821" w14:textId="77777777" w:rsidR="006416B0" w:rsidRPr="00B4515A" w:rsidRDefault="006416B0" w:rsidP="005860B4">
            <w:pPr>
              <w:adjustRightInd w:val="0"/>
              <w:snapToGrid w:val="0"/>
              <w:rPr>
                <w:rFonts w:ascii="Times New Roman" w:hAnsi="Times New Roman" w:cs="Times New Roman"/>
                <w:color w:val="333333"/>
                <w:sz w:val="21"/>
                <w:szCs w:val="21"/>
              </w:rPr>
            </w:pPr>
          </w:p>
        </w:tc>
        <w:tc>
          <w:tcPr>
            <w:tcW w:w="1121" w:type="pct"/>
            <w:shd w:val="clear" w:color="auto" w:fill="FFFFFF"/>
            <w:tcMar>
              <w:top w:w="0" w:type="dxa"/>
              <w:left w:w="108" w:type="dxa"/>
              <w:bottom w:w="0" w:type="dxa"/>
              <w:right w:w="108" w:type="dxa"/>
            </w:tcMar>
            <w:vAlign w:val="center"/>
          </w:tcPr>
          <w:p w14:paraId="6DB467FB"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sz w:val="21"/>
                <w:szCs w:val="21"/>
              </w:rPr>
              <w:t>思比科</w:t>
            </w:r>
          </w:p>
        </w:tc>
        <w:tc>
          <w:tcPr>
            <w:tcW w:w="823" w:type="pct"/>
            <w:shd w:val="clear" w:color="auto" w:fill="FFFFFF"/>
            <w:tcMar>
              <w:top w:w="0" w:type="dxa"/>
              <w:left w:w="108" w:type="dxa"/>
              <w:bottom w:w="0" w:type="dxa"/>
              <w:right w:w="108" w:type="dxa"/>
            </w:tcMar>
            <w:vAlign w:val="center"/>
          </w:tcPr>
          <w:p w14:paraId="3D05FAE6"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color w:val="333333"/>
                <w:sz w:val="21"/>
                <w:szCs w:val="21"/>
              </w:rPr>
              <w:t>42.270%</w:t>
            </w:r>
          </w:p>
        </w:tc>
        <w:tc>
          <w:tcPr>
            <w:tcW w:w="823" w:type="pct"/>
            <w:shd w:val="clear" w:color="auto" w:fill="FFFFFF"/>
            <w:tcMar>
              <w:top w:w="0" w:type="dxa"/>
              <w:left w:w="108" w:type="dxa"/>
              <w:bottom w:w="0" w:type="dxa"/>
              <w:right w:w="108" w:type="dxa"/>
            </w:tcMar>
            <w:vAlign w:val="center"/>
          </w:tcPr>
          <w:p w14:paraId="297726F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2018</w:t>
            </w:r>
            <w:r w:rsidRPr="00B4515A">
              <w:rPr>
                <w:rFonts w:ascii="Times New Roman" w:hAnsi="Times New Roman" w:cs="Times New Roman"/>
                <w:color w:val="333333"/>
                <w:sz w:val="21"/>
                <w:szCs w:val="21"/>
              </w:rPr>
              <w:t>年</w:t>
            </w:r>
            <w:r w:rsidRPr="00B4515A">
              <w:rPr>
                <w:rFonts w:ascii="Times New Roman" w:hAnsi="Times New Roman" w:cs="Times New Roman"/>
                <w:color w:val="333333"/>
                <w:sz w:val="21"/>
                <w:szCs w:val="21"/>
              </w:rPr>
              <w:t>7</w:t>
            </w:r>
            <w:r w:rsidRPr="00B4515A">
              <w:rPr>
                <w:rFonts w:ascii="Times New Roman" w:hAnsi="Times New Roman" w:cs="Times New Roman"/>
                <w:color w:val="333333"/>
                <w:sz w:val="21"/>
                <w:szCs w:val="21"/>
              </w:rPr>
              <w:t>月</w:t>
            </w:r>
            <w:r w:rsidRPr="00B4515A">
              <w:rPr>
                <w:rFonts w:ascii="Times New Roman" w:hAnsi="Times New Roman" w:cs="Times New Roman"/>
                <w:color w:val="333333"/>
                <w:sz w:val="21"/>
                <w:szCs w:val="21"/>
              </w:rPr>
              <w:t>31</w:t>
            </w:r>
            <w:r w:rsidRPr="00B4515A">
              <w:rPr>
                <w:rFonts w:ascii="Times New Roman" w:hAnsi="Times New Roman" w:cs="Times New Roman"/>
                <w:color w:val="333333"/>
                <w:sz w:val="21"/>
                <w:szCs w:val="21"/>
              </w:rPr>
              <w:t>日</w:t>
            </w:r>
          </w:p>
        </w:tc>
        <w:tc>
          <w:tcPr>
            <w:tcW w:w="522" w:type="pct"/>
            <w:shd w:val="clear" w:color="auto" w:fill="FFFFFF"/>
            <w:tcMar>
              <w:top w:w="0" w:type="dxa"/>
              <w:left w:w="108" w:type="dxa"/>
              <w:bottom w:w="0" w:type="dxa"/>
              <w:right w:w="108" w:type="dxa"/>
            </w:tcMar>
            <w:vAlign w:val="center"/>
          </w:tcPr>
          <w:p w14:paraId="5B1FA527"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27.88</w:t>
            </w:r>
          </w:p>
        </w:tc>
      </w:tr>
      <w:tr w:rsidR="006416B0" w:rsidRPr="00B4515A" w14:paraId="05B53E6F" w14:textId="77777777" w:rsidTr="00031627">
        <w:trPr>
          <w:trHeight w:val="340"/>
          <w:jc w:val="center"/>
        </w:trPr>
        <w:tc>
          <w:tcPr>
            <w:tcW w:w="305" w:type="pct"/>
            <w:shd w:val="clear" w:color="auto" w:fill="FFFFFF"/>
            <w:tcMar>
              <w:top w:w="0" w:type="dxa"/>
              <w:left w:w="108" w:type="dxa"/>
              <w:bottom w:w="0" w:type="dxa"/>
              <w:right w:w="108" w:type="dxa"/>
            </w:tcMar>
            <w:vAlign w:val="center"/>
          </w:tcPr>
          <w:p w14:paraId="3FB5DE4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3</w:t>
            </w:r>
          </w:p>
        </w:tc>
        <w:tc>
          <w:tcPr>
            <w:tcW w:w="643" w:type="pct"/>
            <w:shd w:val="clear" w:color="auto" w:fill="FFFFFF"/>
            <w:tcMar>
              <w:top w:w="0" w:type="dxa"/>
              <w:left w:w="108" w:type="dxa"/>
              <w:bottom w:w="0" w:type="dxa"/>
              <w:right w:w="108" w:type="dxa"/>
            </w:tcMar>
            <w:vAlign w:val="center"/>
          </w:tcPr>
          <w:p w14:paraId="3F1E38D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恒实科技</w:t>
            </w:r>
          </w:p>
        </w:tc>
        <w:tc>
          <w:tcPr>
            <w:tcW w:w="763" w:type="pct"/>
            <w:shd w:val="clear" w:color="auto" w:fill="FFFFFF"/>
            <w:tcMar>
              <w:top w:w="0" w:type="dxa"/>
              <w:left w:w="108" w:type="dxa"/>
              <w:bottom w:w="0" w:type="dxa"/>
              <w:right w:w="108" w:type="dxa"/>
            </w:tcMar>
            <w:vAlign w:val="center"/>
          </w:tcPr>
          <w:p w14:paraId="05787106"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hint="eastAsia"/>
                <w:color w:val="333333"/>
                <w:sz w:val="21"/>
                <w:szCs w:val="21"/>
              </w:rPr>
              <w:t>3</w:t>
            </w:r>
            <w:r w:rsidRPr="00B4515A">
              <w:rPr>
                <w:rFonts w:ascii="Times New Roman" w:hAnsi="Times New Roman" w:cs="Times New Roman"/>
                <w:color w:val="333333"/>
                <w:sz w:val="21"/>
                <w:szCs w:val="21"/>
              </w:rPr>
              <w:t>00513.</w:t>
            </w:r>
            <w:r w:rsidRPr="00B4515A">
              <w:rPr>
                <w:rFonts w:ascii="Times New Roman" w:hAnsi="Times New Roman" w:cs="Times New Roman" w:hint="eastAsia"/>
                <w:color w:val="333333"/>
                <w:sz w:val="21"/>
                <w:szCs w:val="21"/>
              </w:rPr>
              <w:t>SZ</w:t>
            </w:r>
          </w:p>
        </w:tc>
        <w:tc>
          <w:tcPr>
            <w:tcW w:w="1121" w:type="pct"/>
            <w:shd w:val="clear" w:color="auto" w:fill="FFFFFF"/>
            <w:tcMar>
              <w:top w:w="0" w:type="dxa"/>
              <w:left w:w="108" w:type="dxa"/>
              <w:bottom w:w="0" w:type="dxa"/>
              <w:right w:w="108" w:type="dxa"/>
            </w:tcMar>
            <w:vAlign w:val="center"/>
          </w:tcPr>
          <w:p w14:paraId="78949485" w14:textId="77777777" w:rsidR="006416B0" w:rsidRPr="00B4515A" w:rsidRDefault="005E58C1" w:rsidP="005860B4">
            <w:pPr>
              <w:adjustRightInd w:val="0"/>
              <w:snapToGrid w:val="0"/>
              <w:jc w:val="center"/>
              <w:rPr>
                <w:rFonts w:ascii="Times New Roman" w:hAnsi="Times New Roman" w:cs="Times New Roman"/>
                <w:kern w:val="2"/>
                <w:sz w:val="21"/>
                <w:szCs w:val="21"/>
              </w:rPr>
            </w:pPr>
            <w:r w:rsidRPr="00B4515A">
              <w:rPr>
                <w:rFonts w:ascii="Times New Roman" w:hAnsi="Times New Roman" w:cs="Times New Roman"/>
                <w:sz w:val="21"/>
                <w:szCs w:val="21"/>
              </w:rPr>
              <w:t>辽宁邮电</w:t>
            </w:r>
          </w:p>
        </w:tc>
        <w:tc>
          <w:tcPr>
            <w:tcW w:w="823" w:type="pct"/>
            <w:shd w:val="clear" w:color="auto" w:fill="FFFFFF"/>
            <w:tcMar>
              <w:top w:w="0" w:type="dxa"/>
              <w:left w:w="108" w:type="dxa"/>
              <w:bottom w:w="0" w:type="dxa"/>
              <w:right w:w="108" w:type="dxa"/>
            </w:tcMar>
            <w:vAlign w:val="center"/>
          </w:tcPr>
          <w:p w14:paraId="7712ABFF" w14:textId="77777777" w:rsidR="006416B0" w:rsidRPr="00B4515A" w:rsidRDefault="005E58C1"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color w:val="333333"/>
                <w:sz w:val="21"/>
                <w:szCs w:val="21"/>
              </w:rPr>
              <w:t>99.854%</w:t>
            </w:r>
          </w:p>
        </w:tc>
        <w:tc>
          <w:tcPr>
            <w:tcW w:w="823" w:type="pct"/>
            <w:shd w:val="clear" w:color="auto" w:fill="FFFFFF"/>
            <w:tcMar>
              <w:top w:w="0" w:type="dxa"/>
              <w:left w:w="108" w:type="dxa"/>
              <w:bottom w:w="0" w:type="dxa"/>
              <w:right w:w="108" w:type="dxa"/>
            </w:tcMar>
            <w:vAlign w:val="center"/>
          </w:tcPr>
          <w:p w14:paraId="225D553E" w14:textId="77777777" w:rsidR="006416B0" w:rsidRPr="00B4515A" w:rsidRDefault="005E58C1" w:rsidP="005860B4">
            <w:pPr>
              <w:adjustRightInd w:val="0"/>
              <w:snapToGrid w:val="0"/>
              <w:jc w:val="center"/>
              <w:rPr>
                <w:rFonts w:ascii="Times New Roman" w:hAnsi="Times New Roman" w:cs="Times New Roman"/>
                <w:color w:val="333333"/>
                <w:sz w:val="21"/>
                <w:szCs w:val="21"/>
              </w:rPr>
            </w:pPr>
            <w:r w:rsidRPr="00B4515A">
              <w:rPr>
                <w:rFonts w:ascii="Times New Roman" w:hAnsi="Times New Roman" w:cs="Times New Roman"/>
                <w:color w:val="333333"/>
                <w:sz w:val="21"/>
                <w:szCs w:val="21"/>
              </w:rPr>
              <w:t xml:space="preserve">2016 </w:t>
            </w:r>
            <w:r w:rsidRPr="00B4515A">
              <w:rPr>
                <w:rFonts w:ascii="Times New Roman" w:hAnsi="Times New Roman" w:cs="Times New Roman"/>
                <w:color w:val="333333"/>
                <w:sz w:val="21"/>
                <w:szCs w:val="21"/>
              </w:rPr>
              <w:t>年</w:t>
            </w:r>
            <w:r w:rsidRPr="00B4515A">
              <w:rPr>
                <w:rFonts w:ascii="Times New Roman" w:hAnsi="Times New Roman" w:cs="Times New Roman"/>
                <w:color w:val="333333"/>
                <w:sz w:val="21"/>
                <w:szCs w:val="21"/>
              </w:rPr>
              <w:t xml:space="preserve"> 9 </w:t>
            </w:r>
            <w:r w:rsidRPr="00B4515A">
              <w:rPr>
                <w:rFonts w:ascii="Times New Roman" w:hAnsi="Times New Roman" w:cs="Times New Roman"/>
                <w:color w:val="333333"/>
                <w:sz w:val="21"/>
                <w:szCs w:val="21"/>
              </w:rPr>
              <w:t>月</w:t>
            </w:r>
            <w:r w:rsidRPr="00B4515A">
              <w:rPr>
                <w:rFonts w:ascii="Times New Roman" w:hAnsi="Times New Roman" w:cs="Times New Roman"/>
                <w:color w:val="333333"/>
                <w:sz w:val="21"/>
                <w:szCs w:val="21"/>
              </w:rPr>
              <w:t xml:space="preserve"> 30 </w:t>
            </w:r>
            <w:r w:rsidRPr="00B4515A">
              <w:rPr>
                <w:rFonts w:ascii="Times New Roman" w:hAnsi="Times New Roman" w:cs="Times New Roman"/>
                <w:color w:val="333333"/>
                <w:sz w:val="21"/>
                <w:szCs w:val="21"/>
              </w:rPr>
              <w:t>日</w:t>
            </w:r>
          </w:p>
        </w:tc>
        <w:tc>
          <w:tcPr>
            <w:tcW w:w="522" w:type="pct"/>
            <w:shd w:val="clear" w:color="auto" w:fill="FFFFFF"/>
            <w:tcMar>
              <w:top w:w="0" w:type="dxa"/>
              <w:left w:w="108" w:type="dxa"/>
              <w:bottom w:w="0" w:type="dxa"/>
              <w:right w:w="108" w:type="dxa"/>
            </w:tcMar>
            <w:vAlign w:val="center"/>
          </w:tcPr>
          <w:p w14:paraId="719BEBE2" w14:textId="488625A4" w:rsidR="006416B0" w:rsidRPr="00B4515A" w:rsidRDefault="00B76B25" w:rsidP="005860B4">
            <w:pPr>
              <w:adjustRightInd w:val="0"/>
              <w:snapToGrid w:val="0"/>
              <w:jc w:val="right"/>
              <w:rPr>
                <w:rFonts w:ascii="Times New Roman" w:hAnsi="Times New Roman" w:cs="Times New Roman"/>
                <w:color w:val="333333"/>
                <w:sz w:val="21"/>
                <w:szCs w:val="21"/>
              </w:rPr>
            </w:pPr>
            <w:r w:rsidRPr="00B4515A">
              <w:rPr>
                <w:rFonts w:ascii="Times New Roman" w:hAnsi="Times New Roman" w:cs="Times New Roman"/>
                <w:sz w:val="21"/>
                <w:szCs w:val="21"/>
              </w:rPr>
              <w:t>12</w:t>
            </w:r>
            <w:r w:rsidR="005E58C1" w:rsidRPr="00B4515A">
              <w:rPr>
                <w:rFonts w:ascii="Times New Roman" w:hAnsi="Times New Roman" w:cs="Times New Roman"/>
                <w:sz w:val="21"/>
                <w:szCs w:val="21"/>
              </w:rPr>
              <w:t>.</w:t>
            </w:r>
            <w:r w:rsidRPr="00B4515A">
              <w:rPr>
                <w:rFonts w:ascii="Times New Roman" w:hAnsi="Times New Roman" w:cs="Times New Roman"/>
                <w:sz w:val="21"/>
                <w:szCs w:val="21"/>
              </w:rPr>
              <w:t>95</w:t>
            </w:r>
          </w:p>
        </w:tc>
      </w:tr>
      <w:tr w:rsidR="006416B0" w:rsidRPr="00B4515A" w14:paraId="47EBE4F2" w14:textId="77777777" w:rsidTr="00031627">
        <w:trPr>
          <w:trHeight w:val="340"/>
          <w:jc w:val="center"/>
        </w:trPr>
        <w:tc>
          <w:tcPr>
            <w:tcW w:w="4478" w:type="pct"/>
            <w:gridSpan w:val="6"/>
            <w:shd w:val="clear" w:color="auto" w:fill="FFFFFF"/>
            <w:tcMar>
              <w:top w:w="0" w:type="dxa"/>
              <w:left w:w="108" w:type="dxa"/>
              <w:bottom w:w="0" w:type="dxa"/>
              <w:right w:w="108" w:type="dxa"/>
            </w:tcMar>
            <w:vAlign w:val="center"/>
          </w:tcPr>
          <w:p w14:paraId="1528C938" w14:textId="77777777" w:rsidR="006416B0" w:rsidRPr="00B4515A" w:rsidRDefault="005E58C1" w:rsidP="005860B4">
            <w:pPr>
              <w:adjustRightInd w:val="0"/>
              <w:snapToGrid w:val="0"/>
              <w:jc w:val="center"/>
              <w:rPr>
                <w:rFonts w:ascii="Times New Roman" w:hAnsi="Times New Roman" w:cs="Times New Roman"/>
                <w:b/>
                <w:color w:val="333333"/>
                <w:sz w:val="21"/>
                <w:szCs w:val="21"/>
              </w:rPr>
            </w:pPr>
            <w:r w:rsidRPr="00B4515A">
              <w:rPr>
                <w:rFonts w:ascii="Times New Roman" w:hAnsi="Times New Roman" w:cs="Times New Roman"/>
                <w:b/>
                <w:color w:val="333333"/>
                <w:sz w:val="21"/>
                <w:szCs w:val="21"/>
              </w:rPr>
              <w:t>平均值</w:t>
            </w:r>
          </w:p>
        </w:tc>
        <w:tc>
          <w:tcPr>
            <w:tcW w:w="522" w:type="pct"/>
            <w:shd w:val="clear" w:color="auto" w:fill="FFFFFF"/>
            <w:tcMar>
              <w:top w:w="0" w:type="dxa"/>
              <w:left w:w="108" w:type="dxa"/>
              <w:bottom w:w="0" w:type="dxa"/>
              <w:right w:w="108" w:type="dxa"/>
            </w:tcMar>
            <w:vAlign w:val="center"/>
          </w:tcPr>
          <w:p w14:paraId="58BC3937" w14:textId="5D5EE6BC" w:rsidR="006416B0" w:rsidRPr="00B4515A" w:rsidRDefault="005E58C1" w:rsidP="005860B4">
            <w:pPr>
              <w:adjustRightInd w:val="0"/>
              <w:snapToGrid w:val="0"/>
              <w:jc w:val="right"/>
              <w:rPr>
                <w:rFonts w:ascii="Times New Roman" w:hAnsi="Times New Roman" w:cs="Times New Roman"/>
                <w:b/>
                <w:kern w:val="2"/>
                <w:sz w:val="21"/>
                <w:szCs w:val="21"/>
              </w:rPr>
            </w:pPr>
            <w:r w:rsidRPr="00B4515A">
              <w:rPr>
                <w:rFonts w:ascii="Times New Roman" w:hAnsi="Times New Roman" w:cs="Times New Roman"/>
                <w:b/>
                <w:sz w:val="21"/>
                <w:szCs w:val="21"/>
              </w:rPr>
              <w:t>16.</w:t>
            </w:r>
            <w:r w:rsidR="00B76B25" w:rsidRPr="00B4515A">
              <w:rPr>
                <w:rFonts w:ascii="Times New Roman" w:hAnsi="Times New Roman" w:cs="Times New Roman"/>
                <w:b/>
                <w:sz w:val="21"/>
                <w:szCs w:val="21"/>
              </w:rPr>
              <w:t>29</w:t>
            </w:r>
          </w:p>
        </w:tc>
      </w:tr>
    </w:tbl>
    <w:p w14:paraId="3FBAFC51" w14:textId="77777777" w:rsidR="006416B0" w:rsidRPr="00B4515A" w:rsidRDefault="005E58C1" w:rsidP="00EE238F">
      <w:pPr>
        <w:pStyle w:val="006"/>
        <w:ind w:firstLine="420"/>
      </w:pPr>
      <w:r w:rsidRPr="00B4515A">
        <w:rPr>
          <w:rFonts w:hint="eastAsia"/>
        </w:rPr>
        <w:t>注</w:t>
      </w:r>
      <w:r w:rsidRPr="00B4515A">
        <w:t>1</w:t>
      </w:r>
      <w:r w:rsidRPr="00B4515A">
        <w:rPr>
          <w:rFonts w:hint="eastAsia"/>
        </w:rPr>
        <w:t>、动态市盈率</w:t>
      </w:r>
      <w:r w:rsidRPr="00B4515A">
        <w:t>=</w:t>
      </w:r>
      <w:r w:rsidRPr="00B4515A">
        <w:rPr>
          <w:rFonts w:hint="eastAsia"/>
        </w:rPr>
        <w:t>（</w:t>
      </w:r>
      <w:r w:rsidRPr="00B4515A">
        <w:t>100%</w:t>
      </w:r>
      <w:r w:rsidRPr="00B4515A">
        <w:rPr>
          <w:rFonts w:hint="eastAsia"/>
        </w:rPr>
        <w:t>股权对应的评估价值</w:t>
      </w:r>
      <w:r w:rsidRPr="00B4515A">
        <w:t>-</w:t>
      </w:r>
      <w:r w:rsidRPr="00B4515A">
        <w:rPr>
          <w:rFonts w:hint="eastAsia"/>
        </w:rPr>
        <w:t>溢余资产</w:t>
      </w:r>
      <w:r w:rsidRPr="00B4515A">
        <w:t>+</w:t>
      </w:r>
      <w:r w:rsidRPr="00B4515A">
        <w:rPr>
          <w:rFonts w:hint="eastAsia"/>
        </w:rPr>
        <w:t>溢余负债</w:t>
      </w:r>
      <w:r w:rsidRPr="00B4515A">
        <w:t>-</w:t>
      </w:r>
      <w:r w:rsidRPr="00B4515A">
        <w:rPr>
          <w:rFonts w:hint="eastAsia"/>
        </w:rPr>
        <w:t>非经营性资产</w:t>
      </w:r>
      <w:r w:rsidRPr="00B4515A">
        <w:t>+</w:t>
      </w:r>
      <w:r w:rsidRPr="00B4515A">
        <w:rPr>
          <w:rFonts w:hint="eastAsia"/>
        </w:rPr>
        <w:t>非经营性负债）</w:t>
      </w:r>
      <w:r w:rsidRPr="00B4515A">
        <w:t>/</w:t>
      </w:r>
      <w:r w:rsidRPr="00B4515A">
        <w:rPr>
          <w:rFonts w:hint="eastAsia"/>
        </w:rPr>
        <w:t>承诺期平均净利润</w:t>
      </w:r>
    </w:p>
    <w:p w14:paraId="036E988E" w14:textId="77777777" w:rsidR="006416B0" w:rsidRPr="00B4515A" w:rsidRDefault="005E58C1" w:rsidP="00EE238F">
      <w:pPr>
        <w:pStyle w:val="006"/>
        <w:ind w:firstLine="420"/>
      </w:pPr>
      <w:r w:rsidRPr="00B4515A">
        <w:rPr>
          <w:rFonts w:hint="eastAsia"/>
        </w:rPr>
        <w:t>注</w:t>
      </w:r>
      <w:r w:rsidRPr="00B4515A">
        <w:t>2</w:t>
      </w:r>
      <w:r w:rsidRPr="00B4515A">
        <w:rPr>
          <w:rFonts w:hint="eastAsia"/>
        </w:rPr>
        <w:t>、由于天和防务发行股份购买南京彼奥、华扬通信的交易中未设盈利承诺，考虑上述交易于</w:t>
      </w:r>
      <w:r w:rsidRPr="00B4515A">
        <w:t>2021</w:t>
      </w:r>
      <w:r w:rsidRPr="00B4515A">
        <w:rPr>
          <w:rFonts w:hint="eastAsia"/>
        </w:rPr>
        <w:t>年</w:t>
      </w:r>
      <w:r w:rsidRPr="00B4515A">
        <w:t>2</w:t>
      </w:r>
      <w:r w:rsidRPr="00B4515A">
        <w:rPr>
          <w:rFonts w:hint="eastAsia"/>
        </w:rPr>
        <w:t>月过户完成，故使用</w:t>
      </w:r>
      <w:r w:rsidRPr="00B4515A">
        <w:t>2021</w:t>
      </w:r>
      <w:r w:rsidRPr="00B4515A">
        <w:rPr>
          <w:rFonts w:hint="eastAsia"/>
        </w:rPr>
        <w:t>年、</w:t>
      </w:r>
      <w:r w:rsidRPr="00B4515A">
        <w:t>2022</w:t>
      </w:r>
      <w:r w:rsidRPr="00B4515A">
        <w:rPr>
          <w:rFonts w:hint="eastAsia"/>
        </w:rPr>
        <w:t>年和</w:t>
      </w:r>
      <w:r w:rsidRPr="00B4515A">
        <w:t>2023</w:t>
      </w:r>
      <w:r w:rsidRPr="00B4515A">
        <w:rPr>
          <w:rFonts w:hint="eastAsia"/>
        </w:rPr>
        <w:t>年的平均预测净利润。</w:t>
      </w:r>
    </w:p>
    <w:p w14:paraId="44DF2CFE" w14:textId="77777777" w:rsidR="006416B0" w:rsidRPr="00B4515A" w:rsidRDefault="005E58C1" w:rsidP="005860B4">
      <w:pPr>
        <w:pStyle w:val="005"/>
        <w:spacing w:before="120" w:after="120"/>
        <w:ind w:firstLine="480"/>
      </w:pPr>
      <w:r w:rsidRPr="00B4515A">
        <w:t>本次交易作价对应的标的公司动态市盈率为</w:t>
      </w:r>
      <w:r w:rsidRPr="00B4515A">
        <w:t>12.06</w:t>
      </w:r>
      <w:r w:rsidRPr="00B4515A">
        <w:t>，低于上表同行业可比交易案例中的平均动态市盈率。从相对估值角度分析，本次交易的总体评估值符合行业定价规则，充分考虑了上市公司及中小股东的利益。</w:t>
      </w:r>
    </w:p>
    <w:p w14:paraId="366EF34B" w14:textId="73731F6E" w:rsidR="006416B0" w:rsidRPr="00B4515A" w:rsidRDefault="005E58C1" w:rsidP="00EE238F">
      <w:pPr>
        <w:pStyle w:val="005"/>
        <w:spacing w:before="120" w:after="120"/>
        <w:ind w:firstLine="480"/>
        <w:rPr>
          <w:sz w:val="21"/>
          <w:szCs w:val="21"/>
        </w:rPr>
      </w:pPr>
      <w:r w:rsidRPr="00B4515A">
        <w:t>综上所述，标的公司股东权益价值评估结果客观反映了标的公司股权的市场价值，本次交易定价具有合理性。</w:t>
      </w:r>
      <w:bookmarkEnd w:id="277"/>
      <w:bookmarkEnd w:id="279"/>
    </w:p>
    <w:p w14:paraId="59785A7D" w14:textId="77777777" w:rsidR="006416B0" w:rsidRPr="00B4515A" w:rsidRDefault="005E58C1" w:rsidP="005860B4">
      <w:pPr>
        <w:pStyle w:val="002"/>
        <w:spacing w:before="120" w:after="120"/>
        <w:ind w:firstLine="562"/>
      </w:pPr>
      <w:bookmarkStart w:id="280" w:name="_Toc29428"/>
      <w:bookmarkStart w:id="281" w:name="_Toc80960555"/>
      <w:r w:rsidRPr="00B4515A">
        <w:rPr>
          <w:rFonts w:hint="eastAsia"/>
        </w:rPr>
        <w:t>三</w:t>
      </w:r>
      <w:r w:rsidRPr="00B4515A">
        <w:t>、独立董事对本次交易评估事项的意见</w:t>
      </w:r>
      <w:bookmarkEnd w:id="280"/>
      <w:bookmarkEnd w:id="281"/>
    </w:p>
    <w:p w14:paraId="793449DE" w14:textId="77777777" w:rsidR="006416B0" w:rsidRPr="00B4515A" w:rsidRDefault="005E58C1" w:rsidP="005860B4">
      <w:pPr>
        <w:pStyle w:val="004"/>
        <w:spacing w:before="120" w:after="120"/>
        <w:ind w:firstLine="482"/>
      </w:pPr>
      <w:r w:rsidRPr="00B4515A">
        <w:rPr>
          <w:rFonts w:hint="eastAsia"/>
        </w:rPr>
        <w:t>1</w:t>
      </w:r>
      <w:r w:rsidRPr="00B4515A">
        <w:rPr>
          <w:rFonts w:hint="eastAsia"/>
        </w:rPr>
        <w:t>、评估</w:t>
      </w:r>
      <w:r w:rsidRPr="00B4515A">
        <w:t>机构具有独立性</w:t>
      </w:r>
    </w:p>
    <w:p w14:paraId="6602CF65" w14:textId="77777777" w:rsidR="006416B0" w:rsidRPr="00B4515A" w:rsidRDefault="005E58C1" w:rsidP="005860B4">
      <w:pPr>
        <w:pStyle w:val="005"/>
        <w:spacing w:before="120" w:after="120"/>
        <w:ind w:firstLine="480"/>
      </w:pPr>
      <w:r w:rsidRPr="00B4515A">
        <w:rPr>
          <w:rFonts w:hint="eastAsia"/>
        </w:rPr>
        <w:t>为上市公司本次交易出具评估报告的评估机构，具有证券期货相关资产评估业务资格。该等评估机构的选聘程序合法、合规，评估机构及其经办评估师与公司、交易对方、目标公司之间，除业务关系外，无其他关联关系，亦不存在现实的利益冲突，评估机构具有独立性。</w:t>
      </w:r>
    </w:p>
    <w:p w14:paraId="14DB3860" w14:textId="77777777" w:rsidR="006416B0" w:rsidRPr="00B4515A" w:rsidRDefault="005E58C1" w:rsidP="005860B4">
      <w:pPr>
        <w:pStyle w:val="004"/>
        <w:spacing w:before="120" w:after="120"/>
        <w:ind w:firstLine="482"/>
      </w:pPr>
      <w:r w:rsidRPr="00B4515A">
        <w:lastRenderedPageBreak/>
        <w:t>2</w:t>
      </w:r>
      <w:r w:rsidRPr="00B4515A">
        <w:t>、估值假设前提具有合理性</w:t>
      </w:r>
    </w:p>
    <w:p w14:paraId="390E76D2" w14:textId="77777777" w:rsidR="006416B0" w:rsidRPr="00B4515A" w:rsidRDefault="005E58C1" w:rsidP="005860B4">
      <w:pPr>
        <w:pStyle w:val="005"/>
        <w:spacing w:before="120" w:after="120"/>
        <w:ind w:firstLine="480"/>
      </w:pPr>
      <w:r w:rsidRPr="00B4515A">
        <w:rPr>
          <w:rFonts w:hint="eastAsia"/>
        </w:rPr>
        <w:t>本次交易的评估机构及其经办评估师就标的资产所设定的评估假设前提和限制条件按照国家有关法律法规的规定执行，遵循了市场通用的行业惯例及评估准则，符合评估对象的实际情况，评估假设前提具有合理性。</w:t>
      </w:r>
    </w:p>
    <w:p w14:paraId="7AF115C0" w14:textId="77777777" w:rsidR="006416B0" w:rsidRPr="00B4515A" w:rsidRDefault="005E58C1" w:rsidP="005860B4">
      <w:pPr>
        <w:pStyle w:val="004"/>
        <w:spacing w:before="120" w:after="120"/>
        <w:ind w:firstLine="482"/>
      </w:pPr>
      <w:r w:rsidRPr="00B4515A">
        <w:t>3</w:t>
      </w:r>
      <w:r w:rsidRPr="00B4515A">
        <w:t>、评估方法与评估目的的相关性</w:t>
      </w:r>
    </w:p>
    <w:p w14:paraId="0DDC6130" w14:textId="77777777" w:rsidR="006416B0" w:rsidRPr="00B4515A" w:rsidRDefault="005E58C1">
      <w:pPr>
        <w:pStyle w:val="005"/>
        <w:spacing w:before="120" w:after="120"/>
        <w:ind w:firstLine="480"/>
      </w:pPr>
      <w:r w:rsidRPr="00B4515A">
        <w:rPr>
          <w:rFonts w:hint="eastAsia"/>
        </w:rPr>
        <w:t>本次评估的目的系为确定标的资产截至评估基准日的市场价值，为本次交易相关定价提供参考依据。本次交易的评估机构采取了资产基础法和收益法两种评估方法对标的资产进行了评估，实际评估的资产范围与委托评估的资产范围一致，最终评估机构选择了收益法的评估结论。评估机构本次评估工作按照国家有关法律法规与行业惯例及评估规则的要求，遵循独立、客观、公正、科学的原则，采用上述公认的符合标的资产实际情况的评估方法，并实施了必要的评估程序对标的资产在评估基准日的市场价值进行了评估，所选用的评估方法合理、恰当，与本次评估的评估目的具有相关性。</w:t>
      </w:r>
    </w:p>
    <w:p w14:paraId="5A891A6B" w14:textId="77777777" w:rsidR="006416B0" w:rsidRPr="00B4515A" w:rsidRDefault="005E58C1" w:rsidP="005860B4">
      <w:pPr>
        <w:pStyle w:val="004"/>
        <w:spacing w:before="120" w:after="120"/>
        <w:ind w:firstLine="482"/>
      </w:pPr>
      <w:r w:rsidRPr="00B4515A">
        <w:t>4</w:t>
      </w:r>
      <w:r w:rsidRPr="00B4515A">
        <w:t>、估值定价具有公允性</w:t>
      </w:r>
    </w:p>
    <w:p w14:paraId="58C76C9C" w14:textId="77777777" w:rsidR="006416B0" w:rsidRPr="00B4515A" w:rsidRDefault="005E58C1" w:rsidP="005860B4">
      <w:pPr>
        <w:pStyle w:val="005"/>
        <w:spacing w:before="120" w:after="120"/>
        <w:ind w:firstLine="480"/>
      </w:pPr>
      <w:r w:rsidRPr="00B4515A">
        <w:rPr>
          <w:rFonts w:hint="eastAsia"/>
        </w:rPr>
        <w:t>在本次评估工作过程中，评估机构根据有关法律法规、行业惯例及评估规则，本着独立、客观、公正、科学的原则，实施了必要的评估程序，选取的评估方法恰当，评估结果客观、公正地反映了标的资产截至评估基准日的市场价值情况，由评估机构出具的资产评估报告已经国务院国有资产监督管理会备案，评估结果及定价公允。</w:t>
      </w:r>
    </w:p>
    <w:p w14:paraId="759E9288" w14:textId="77777777" w:rsidR="006416B0" w:rsidRPr="00B4515A" w:rsidRDefault="005E58C1" w:rsidP="005860B4">
      <w:pPr>
        <w:pStyle w:val="005"/>
        <w:spacing w:before="120" w:after="120"/>
        <w:ind w:firstLine="480"/>
      </w:pPr>
      <w:r w:rsidRPr="00B4515A">
        <w:rPr>
          <w:rFonts w:hint="eastAsia"/>
        </w:rPr>
        <w:t>本次交易涉及的标的资产的交易对价系以具有证券、期货业务资格的评估机构出具的标的资产截至评估基准日的评估价值为参考，标的资产的最终定价以该等已经有权机关备案的评估价值为基础、并在公司与交易对方协商的基础上确定，标的资产的交易对价具备公允性及合理性。</w:t>
      </w:r>
    </w:p>
    <w:p w14:paraId="5F6860E4" w14:textId="6241CAA2" w:rsidR="006416B0" w:rsidRPr="00B4515A" w:rsidRDefault="005E58C1" w:rsidP="005860B4">
      <w:pPr>
        <w:pStyle w:val="005"/>
        <w:spacing w:before="120" w:after="120"/>
        <w:ind w:firstLine="480"/>
        <w:rPr>
          <w:rFonts w:eastAsia="黑体"/>
          <w:b/>
          <w:bCs/>
          <w:kern w:val="44"/>
          <w:sz w:val="36"/>
          <w:szCs w:val="36"/>
        </w:rPr>
      </w:pPr>
      <w:r w:rsidRPr="00B4515A">
        <w:rPr>
          <w:rFonts w:hint="eastAsia"/>
        </w:rPr>
        <w:t>综上所述，上市公司独立董事认为，上市公司为本次重大资产重组所聘请的资产评估机构具有独立性，评估假设前提具有合理性，评估方法与评估目的具有相关性，评估定价具有公允性，不存在损害公司及其股东，尤其是中小股东利益的情形。</w:t>
      </w:r>
      <w:bookmarkStart w:id="282" w:name="_Toc65492112"/>
    </w:p>
    <w:p w14:paraId="425A03D6" w14:textId="77777777" w:rsidR="006416B0" w:rsidRPr="00B4515A" w:rsidRDefault="005E58C1" w:rsidP="002B0582">
      <w:pPr>
        <w:pStyle w:val="001"/>
        <w:spacing w:before="360" w:after="360"/>
      </w:pPr>
      <w:bookmarkStart w:id="283" w:name="_Toc80960556"/>
      <w:r w:rsidRPr="00B4515A">
        <w:rPr>
          <w:rFonts w:hint="eastAsia"/>
        </w:rPr>
        <w:lastRenderedPageBreak/>
        <w:t>第七节</w:t>
      </w:r>
      <w:r w:rsidRPr="00B4515A">
        <w:t xml:space="preserve"> </w:t>
      </w:r>
      <w:r w:rsidRPr="00B4515A">
        <w:rPr>
          <w:rFonts w:hint="eastAsia"/>
        </w:rPr>
        <w:t>本次交易主要合同</w:t>
      </w:r>
      <w:bookmarkEnd w:id="283"/>
    </w:p>
    <w:p w14:paraId="12520FFF" w14:textId="77777777" w:rsidR="006416B0" w:rsidRPr="00B4515A" w:rsidRDefault="005E58C1" w:rsidP="005860B4">
      <w:pPr>
        <w:pStyle w:val="002"/>
        <w:spacing w:before="120" w:after="120"/>
        <w:ind w:firstLine="562"/>
      </w:pPr>
      <w:bookmarkStart w:id="284" w:name="_Toc80960557"/>
      <w:r w:rsidRPr="00B4515A">
        <w:t>一、发行股份购买资产协议主要内容</w:t>
      </w:r>
      <w:bookmarkEnd w:id="284"/>
    </w:p>
    <w:p w14:paraId="713C68A6" w14:textId="77777777" w:rsidR="006416B0" w:rsidRPr="00B4515A" w:rsidRDefault="005E58C1" w:rsidP="005860B4">
      <w:pPr>
        <w:pStyle w:val="003"/>
        <w:spacing w:before="120"/>
        <w:ind w:firstLine="482"/>
      </w:pPr>
      <w:bookmarkStart w:id="285" w:name="_Hlk76935543"/>
      <w:r w:rsidRPr="00B4515A">
        <w:rPr>
          <w:rFonts w:hint="eastAsia"/>
        </w:rPr>
        <w:t>（一）合同主体、签订时间</w:t>
      </w:r>
    </w:p>
    <w:p w14:paraId="35879F4B" w14:textId="2DAA4B85" w:rsidR="006416B0" w:rsidRPr="00B4515A" w:rsidRDefault="005E58C1" w:rsidP="005860B4">
      <w:pPr>
        <w:pStyle w:val="005"/>
        <w:spacing w:before="120" w:after="120"/>
        <w:ind w:firstLine="480"/>
      </w:pPr>
      <w:r w:rsidRPr="00B4515A">
        <w:t>2021</w:t>
      </w:r>
      <w:r w:rsidRPr="00B4515A">
        <w:rPr>
          <w:rFonts w:hint="eastAsia"/>
        </w:rPr>
        <w:t>年</w:t>
      </w:r>
      <w:r w:rsidRPr="00B4515A">
        <w:t>5</w:t>
      </w:r>
      <w:r w:rsidRPr="00B4515A">
        <w:rPr>
          <w:rFonts w:hint="eastAsia"/>
        </w:rPr>
        <w:t>月</w:t>
      </w:r>
      <w:r w:rsidRPr="00B4515A">
        <w:t>9</w:t>
      </w:r>
      <w:r w:rsidRPr="00B4515A">
        <w:rPr>
          <w:rFonts w:hint="eastAsia"/>
        </w:rPr>
        <w:t>日，大唐电信与本次交易的交易对方电信科研院、大唐控股、</w:t>
      </w:r>
      <w:r w:rsidR="00252376" w:rsidRPr="00B4515A">
        <w:rPr>
          <w:rFonts w:hint="eastAsia"/>
        </w:rPr>
        <w:t>长江移动基金</w:t>
      </w:r>
      <w:r w:rsidRPr="00B4515A">
        <w:rPr>
          <w:rFonts w:hint="eastAsia"/>
        </w:rPr>
        <w:t>、结构调整基金、金融街资本、天津益诚、天津乾诚、天津首诚、天津军诚签订了《大唐电信科技股份有限公司与大唐联诚信息系统技术有限公司股东之发行股份购买资产协议》。其中上市公司为协议中的甲方，电信科研院、大唐控股、</w:t>
      </w:r>
      <w:r w:rsidR="00252376" w:rsidRPr="00B4515A">
        <w:rPr>
          <w:rFonts w:hint="eastAsia"/>
        </w:rPr>
        <w:t>长江移动基金</w:t>
      </w:r>
      <w:r w:rsidRPr="00B4515A">
        <w:rPr>
          <w:rFonts w:hint="eastAsia"/>
        </w:rPr>
        <w:t>、结构调整基金、金融街资本、天津益诚、天津乾诚、天津首诚、天津军诚为协议中的乙方。</w:t>
      </w:r>
    </w:p>
    <w:p w14:paraId="2EF6C4CF" w14:textId="77777777" w:rsidR="006416B0" w:rsidRPr="00B4515A" w:rsidRDefault="005E58C1" w:rsidP="005860B4">
      <w:pPr>
        <w:pStyle w:val="003"/>
        <w:spacing w:before="120"/>
        <w:ind w:firstLine="482"/>
      </w:pPr>
      <w:r w:rsidRPr="00B4515A">
        <w:rPr>
          <w:rFonts w:hint="eastAsia"/>
        </w:rPr>
        <w:t>（二）交易价格及支付方式</w:t>
      </w:r>
    </w:p>
    <w:p w14:paraId="4BE8F464" w14:textId="77777777" w:rsidR="006416B0" w:rsidRPr="00B4515A" w:rsidRDefault="005E58C1" w:rsidP="005860B4">
      <w:pPr>
        <w:pStyle w:val="005"/>
        <w:spacing w:before="120" w:after="120"/>
        <w:ind w:firstLine="480"/>
      </w:pPr>
      <w:r w:rsidRPr="00B4515A">
        <w:rPr>
          <w:rFonts w:hint="eastAsia"/>
        </w:rPr>
        <w:t>各方同意，标的资产的最终交易价格将以甲方委托的具有证券、期货业务资格的资产评估机构出具的、经国务院国资委备案的资产评估报告中的评估值为基础，由交易各方进行友好协商，最终在甲方就本次交易另行召开董事会审议发行股份购买资产并募集配套资金暨关联交易报告书（草案）前或当日签署补充协议正式约定。</w:t>
      </w:r>
    </w:p>
    <w:p w14:paraId="42F48D33" w14:textId="77777777" w:rsidR="006416B0" w:rsidRPr="00B4515A" w:rsidRDefault="005E58C1" w:rsidP="005860B4">
      <w:pPr>
        <w:pStyle w:val="003"/>
        <w:spacing w:before="120"/>
        <w:ind w:firstLine="482"/>
      </w:pPr>
      <w:r w:rsidRPr="00B4515A">
        <w:rPr>
          <w:rFonts w:hint="eastAsia"/>
        </w:rPr>
        <w:t>（三）对价股份的发行及认购</w:t>
      </w:r>
    </w:p>
    <w:p w14:paraId="3AD9B472" w14:textId="77777777" w:rsidR="006416B0" w:rsidRPr="00B4515A" w:rsidRDefault="005E58C1" w:rsidP="005860B4">
      <w:pPr>
        <w:pStyle w:val="004"/>
        <w:spacing w:before="120" w:after="120"/>
        <w:ind w:firstLine="482"/>
      </w:pPr>
      <w:r w:rsidRPr="00B4515A">
        <w:t>1</w:t>
      </w:r>
      <w:r w:rsidRPr="00B4515A">
        <w:rPr>
          <w:rFonts w:hint="eastAsia"/>
        </w:rPr>
        <w:t>、</w:t>
      </w:r>
      <w:r w:rsidRPr="00B4515A">
        <w:t>定价基准日及发行价格</w:t>
      </w:r>
    </w:p>
    <w:p w14:paraId="4CEC47DD" w14:textId="77777777" w:rsidR="006416B0" w:rsidRPr="00B4515A" w:rsidRDefault="005E58C1" w:rsidP="005860B4">
      <w:pPr>
        <w:pStyle w:val="005"/>
        <w:spacing w:before="120" w:after="120"/>
        <w:ind w:firstLine="480"/>
      </w:pPr>
      <w:r w:rsidRPr="00B4515A">
        <w:rPr>
          <w:rFonts w:hint="eastAsia"/>
        </w:rPr>
        <w:t>本次发行的定价基准日为甲方就本次交易召开的第七届董事会第五十八次会议决议公告日。</w:t>
      </w:r>
    </w:p>
    <w:p w14:paraId="1F8DC9F2" w14:textId="77777777" w:rsidR="006416B0" w:rsidRPr="00B4515A" w:rsidRDefault="005E58C1" w:rsidP="005860B4">
      <w:pPr>
        <w:pStyle w:val="005"/>
        <w:spacing w:before="120" w:after="120"/>
        <w:ind w:firstLine="480"/>
      </w:pPr>
      <w:r w:rsidRPr="00B4515A">
        <w:rPr>
          <w:rFonts w:hint="eastAsia"/>
        </w:rPr>
        <w:t>根据《重组办法》的规定，上市公司发行股份的价格不得低于市场参考价的</w:t>
      </w:r>
      <w:r w:rsidRPr="00B4515A">
        <w:t>90%</w:t>
      </w:r>
      <w:r w:rsidRPr="00B4515A">
        <w:t>。市场参考价为上市公司审议本次交易的首次董事会决议公告日前</w:t>
      </w:r>
      <w:r w:rsidRPr="00B4515A">
        <w:t>20</w:t>
      </w:r>
      <w:r w:rsidRPr="00B4515A">
        <w:t>个交易日、</w:t>
      </w:r>
      <w:r w:rsidRPr="00B4515A">
        <w:t>60</w:t>
      </w:r>
      <w:r w:rsidRPr="00B4515A">
        <w:t>个交易日或者</w:t>
      </w:r>
      <w:r w:rsidRPr="00B4515A">
        <w:t>120</w:t>
      </w:r>
      <w:r w:rsidRPr="00B4515A">
        <w:t>个交易日的公司股票交易均价之一。定价基准日前若干个交易日公司股票交易均价</w:t>
      </w:r>
      <w:r w:rsidRPr="00B4515A">
        <w:t>=</w:t>
      </w:r>
      <w:r w:rsidRPr="00B4515A">
        <w:t>定价基准日前若干个交易日公司股票交易总额</w:t>
      </w:r>
      <w:r w:rsidRPr="00B4515A">
        <w:t>/</w:t>
      </w:r>
      <w:r w:rsidRPr="00B4515A">
        <w:t>定价基准日前若干个交易日公司股票交易总量。</w:t>
      </w:r>
    </w:p>
    <w:p w14:paraId="1D890888" w14:textId="77777777" w:rsidR="006416B0" w:rsidRPr="00B4515A" w:rsidRDefault="005E58C1" w:rsidP="005860B4">
      <w:pPr>
        <w:pStyle w:val="005"/>
        <w:spacing w:before="120" w:after="120"/>
        <w:ind w:firstLine="480"/>
      </w:pPr>
      <w:r w:rsidRPr="00B4515A">
        <w:rPr>
          <w:rFonts w:hint="eastAsia"/>
        </w:rPr>
        <w:t>甲方定价基准日前</w:t>
      </w:r>
      <w:r w:rsidRPr="00B4515A">
        <w:t>20</w:t>
      </w:r>
      <w:r w:rsidRPr="00B4515A">
        <w:t>个交易日、</w:t>
      </w:r>
      <w:r w:rsidRPr="00B4515A">
        <w:t>60</w:t>
      </w:r>
      <w:r w:rsidRPr="00B4515A">
        <w:t>个交易日以及</w:t>
      </w:r>
      <w:r w:rsidRPr="00B4515A">
        <w:t>120</w:t>
      </w:r>
      <w:r w:rsidRPr="00B4515A">
        <w:t>个交易日股票交易均价及交易均价</w:t>
      </w:r>
      <w:r w:rsidRPr="00B4515A">
        <w:t>90%</w:t>
      </w:r>
      <w:r w:rsidRPr="00B4515A">
        <w:t>的具体情况如下表所示：</w:t>
      </w:r>
    </w:p>
    <w:p w14:paraId="2D19050D" w14:textId="1107810C" w:rsidR="006416B0" w:rsidRPr="00B4515A" w:rsidRDefault="005E58C1" w:rsidP="005860B4">
      <w:pPr>
        <w:pStyle w:val="009"/>
      </w:pPr>
      <w:r w:rsidRPr="00B4515A">
        <w:rPr>
          <w:rFonts w:hint="eastAsia"/>
        </w:rPr>
        <w:lastRenderedPageBreak/>
        <w:t>单位：元</w:t>
      </w:r>
      <w:r w:rsidRPr="00B4515A">
        <w:t>/</w:t>
      </w:r>
      <w:r w:rsidRPr="00B4515A">
        <w:rPr>
          <w:rFonts w:hint="eastAsia"/>
        </w:rPr>
        <w:t>股</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842"/>
        <w:gridCol w:w="2843"/>
        <w:gridCol w:w="2843"/>
      </w:tblGrid>
      <w:tr w:rsidR="006416B0" w:rsidRPr="00B4515A" w14:paraId="0F35646E" w14:textId="77777777" w:rsidTr="00031627">
        <w:trPr>
          <w:trHeight w:val="340"/>
          <w:jc w:val="center"/>
        </w:trPr>
        <w:tc>
          <w:tcPr>
            <w:tcW w:w="1666" w:type="pct"/>
            <w:shd w:val="clear" w:color="auto" w:fill="auto"/>
            <w:tcMar>
              <w:top w:w="0" w:type="dxa"/>
              <w:left w:w="108" w:type="dxa"/>
              <w:bottom w:w="0" w:type="dxa"/>
              <w:right w:w="108" w:type="dxa"/>
            </w:tcMar>
            <w:vAlign w:val="center"/>
          </w:tcPr>
          <w:p w14:paraId="33E38DAE" w14:textId="77777777" w:rsidR="006416B0" w:rsidRPr="00B4515A" w:rsidRDefault="005E58C1" w:rsidP="005860B4">
            <w:pPr>
              <w:adjustRightInd w:val="0"/>
              <w:snapToGrid w:val="0"/>
              <w:jc w:val="center"/>
              <w:rPr>
                <w:rFonts w:ascii="Times New Roman" w:eastAsiaTheme="minorEastAsia" w:hAnsi="Times New Roman" w:cs="Times New Roman"/>
                <w:b/>
                <w:sz w:val="21"/>
                <w:szCs w:val="21"/>
              </w:rPr>
            </w:pPr>
            <w:r w:rsidRPr="00B4515A">
              <w:rPr>
                <w:rFonts w:ascii="Times New Roman" w:eastAsiaTheme="minorEastAsia" w:hAnsi="Times New Roman" w:cs="Times New Roman" w:hint="eastAsia"/>
                <w:b/>
                <w:sz w:val="21"/>
                <w:szCs w:val="21"/>
              </w:rPr>
              <w:t>股票交易均价计算区间</w:t>
            </w:r>
          </w:p>
        </w:tc>
        <w:tc>
          <w:tcPr>
            <w:tcW w:w="1667" w:type="pct"/>
            <w:shd w:val="clear" w:color="auto" w:fill="auto"/>
            <w:tcMar>
              <w:top w:w="0" w:type="dxa"/>
              <w:left w:w="108" w:type="dxa"/>
              <w:bottom w:w="0" w:type="dxa"/>
              <w:right w:w="108" w:type="dxa"/>
            </w:tcMar>
            <w:vAlign w:val="center"/>
          </w:tcPr>
          <w:p w14:paraId="3BBF0A67" w14:textId="77777777" w:rsidR="006416B0" w:rsidRPr="00B4515A" w:rsidRDefault="005E58C1" w:rsidP="005860B4">
            <w:pPr>
              <w:adjustRightInd w:val="0"/>
              <w:snapToGrid w:val="0"/>
              <w:jc w:val="center"/>
              <w:rPr>
                <w:rFonts w:ascii="Times New Roman" w:eastAsiaTheme="minorEastAsia" w:hAnsi="Times New Roman" w:cs="Times New Roman"/>
                <w:b/>
                <w:sz w:val="21"/>
                <w:szCs w:val="21"/>
              </w:rPr>
            </w:pPr>
            <w:r w:rsidRPr="00B4515A">
              <w:rPr>
                <w:rFonts w:ascii="Times New Roman" w:eastAsiaTheme="minorEastAsia" w:hAnsi="Times New Roman" w:cs="Times New Roman" w:hint="eastAsia"/>
                <w:b/>
                <w:sz w:val="21"/>
                <w:szCs w:val="21"/>
              </w:rPr>
              <w:t>交易均价</w:t>
            </w:r>
          </w:p>
        </w:tc>
        <w:tc>
          <w:tcPr>
            <w:tcW w:w="1667" w:type="pct"/>
            <w:shd w:val="clear" w:color="auto" w:fill="auto"/>
            <w:tcMar>
              <w:top w:w="0" w:type="dxa"/>
              <w:left w:w="108" w:type="dxa"/>
              <w:bottom w:w="0" w:type="dxa"/>
              <w:right w:w="108" w:type="dxa"/>
            </w:tcMar>
            <w:vAlign w:val="center"/>
          </w:tcPr>
          <w:p w14:paraId="2AFEE21E" w14:textId="77777777" w:rsidR="006416B0" w:rsidRPr="00B4515A" w:rsidRDefault="005E58C1" w:rsidP="005860B4">
            <w:pPr>
              <w:adjustRightInd w:val="0"/>
              <w:snapToGrid w:val="0"/>
              <w:jc w:val="center"/>
              <w:rPr>
                <w:rFonts w:ascii="Times New Roman" w:eastAsiaTheme="minorEastAsia" w:hAnsi="Times New Roman" w:cs="Times New Roman"/>
                <w:b/>
                <w:sz w:val="21"/>
                <w:szCs w:val="21"/>
              </w:rPr>
            </w:pPr>
            <w:r w:rsidRPr="00B4515A">
              <w:rPr>
                <w:rFonts w:ascii="Times New Roman" w:eastAsiaTheme="minorEastAsia" w:hAnsi="Times New Roman" w:cs="Times New Roman" w:hint="eastAsia"/>
                <w:b/>
                <w:sz w:val="21"/>
                <w:szCs w:val="21"/>
              </w:rPr>
              <w:t>交易均价的</w:t>
            </w:r>
            <w:r w:rsidRPr="00B4515A">
              <w:rPr>
                <w:rFonts w:ascii="Times New Roman" w:eastAsiaTheme="minorEastAsia" w:hAnsi="Times New Roman" w:cs="Times New Roman"/>
                <w:b/>
                <w:sz w:val="21"/>
                <w:szCs w:val="21"/>
              </w:rPr>
              <w:t>90%</w:t>
            </w:r>
          </w:p>
        </w:tc>
      </w:tr>
      <w:tr w:rsidR="006416B0" w:rsidRPr="00B4515A" w14:paraId="08405686" w14:textId="77777777" w:rsidTr="00031627">
        <w:trPr>
          <w:trHeight w:val="340"/>
          <w:jc w:val="center"/>
        </w:trPr>
        <w:tc>
          <w:tcPr>
            <w:tcW w:w="1666" w:type="pct"/>
            <w:shd w:val="clear" w:color="auto" w:fill="auto"/>
            <w:tcMar>
              <w:top w:w="0" w:type="dxa"/>
              <w:left w:w="108" w:type="dxa"/>
              <w:bottom w:w="0" w:type="dxa"/>
              <w:right w:w="108" w:type="dxa"/>
            </w:tcMar>
            <w:vAlign w:val="center"/>
          </w:tcPr>
          <w:p w14:paraId="0E5A8709"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前</w:t>
            </w:r>
            <w:r w:rsidRPr="00B4515A">
              <w:rPr>
                <w:rFonts w:ascii="Times New Roman" w:eastAsiaTheme="minorEastAsia" w:hAnsi="Times New Roman" w:cs="Times New Roman"/>
                <w:sz w:val="21"/>
                <w:szCs w:val="21"/>
              </w:rPr>
              <w:t>20</w:t>
            </w:r>
            <w:r w:rsidRPr="00B4515A">
              <w:rPr>
                <w:rFonts w:ascii="Times New Roman" w:eastAsiaTheme="minorEastAsia" w:hAnsi="Times New Roman" w:cs="Times New Roman"/>
                <w:sz w:val="21"/>
                <w:szCs w:val="21"/>
              </w:rPr>
              <w:t>个交易日</w:t>
            </w:r>
          </w:p>
        </w:tc>
        <w:tc>
          <w:tcPr>
            <w:tcW w:w="1667" w:type="pct"/>
            <w:shd w:val="clear" w:color="auto" w:fill="auto"/>
            <w:tcMar>
              <w:top w:w="0" w:type="dxa"/>
              <w:left w:w="108" w:type="dxa"/>
              <w:bottom w:w="0" w:type="dxa"/>
              <w:right w:w="108" w:type="dxa"/>
            </w:tcMar>
            <w:vAlign w:val="center"/>
          </w:tcPr>
          <w:p w14:paraId="41FB2B27"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6.54</w:t>
            </w:r>
          </w:p>
        </w:tc>
        <w:tc>
          <w:tcPr>
            <w:tcW w:w="1667" w:type="pct"/>
            <w:shd w:val="clear" w:color="auto" w:fill="auto"/>
            <w:tcMar>
              <w:top w:w="0" w:type="dxa"/>
              <w:left w:w="108" w:type="dxa"/>
              <w:bottom w:w="0" w:type="dxa"/>
              <w:right w:w="108" w:type="dxa"/>
            </w:tcMar>
            <w:vAlign w:val="center"/>
          </w:tcPr>
          <w:p w14:paraId="5BB34A90"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5.886</w:t>
            </w:r>
          </w:p>
        </w:tc>
      </w:tr>
      <w:tr w:rsidR="006416B0" w:rsidRPr="00B4515A" w14:paraId="30DCF1FA" w14:textId="77777777" w:rsidTr="00031627">
        <w:trPr>
          <w:trHeight w:val="340"/>
          <w:jc w:val="center"/>
        </w:trPr>
        <w:tc>
          <w:tcPr>
            <w:tcW w:w="1666" w:type="pct"/>
            <w:shd w:val="clear" w:color="auto" w:fill="auto"/>
            <w:tcMar>
              <w:top w:w="0" w:type="dxa"/>
              <w:left w:w="108" w:type="dxa"/>
              <w:bottom w:w="0" w:type="dxa"/>
              <w:right w:w="108" w:type="dxa"/>
            </w:tcMar>
            <w:vAlign w:val="center"/>
          </w:tcPr>
          <w:p w14:paraId="27440ED9"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前</w:t>
            </w:r>
            <w:r w:rsidRPr="00B4515A">
              <w:rPr>
                <w:rFonts w:ascii="Times New Roman" w:eastAsiaTheme="minorEastAsia" w:hAnsi="Times New Roman" w:cs="Times New Roman"/>
                <w:sz w:val="21"/>
                <w:szCs w:val="21"/>
              </w:rPr>
              <w:t>60</w:t>
            </w:r>
            <w:r w:rsidRPr="00B4515A">
              <w:rPr>
                <w:rFonts w:ascii="Times New Roman" w:eastAsiaTheme="minorEastAsia" w:hAnsi="Times New Roman" w:cs="Times New Roman" w:hint="eastAsia"/>
                <w:sz w:val="21"/>
                <w:szCs w:val="21"/>
              </w:rPr>
              <w:t>个交易日</w:t>
            </w:r>
          </w:p>
        </w:tc>
        <w:tc>
          <w:tcPr>
            <w:tcW w:w="1667" w:type="pct"/>
            <w:shd w:val="clear" w:color="auto" w:fill="auto"/>
            <w:tcMar>
              <w:top w:w="0" w:type="dxa"/>
              <w:left w:w="108" w:type="dxa"/>
              <w:bottom w:w="0" w:type="dxa"/>
              <w:right w:w="108" w:type="dxa"/>
            </w:tcMar>
            <w:vAlign w:val="center"/>
          </w:tcPr>
          <w:p w14:paraId="78FA6F33"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6.49</w:t>
            </w:r>
          </w:p>
        </w:tc>
        <w:tc>
          <w:tcPr>
            <w:tcW w:w="1667" w:type="pct"/>
            <w:shd w:val="clear" w:color="auto" w:fill="auto"/>
            <w:tcMar>
              <w:top w:w="0" w:type="dxa"/>
              <w:left w:w="108" w:type="dxa"/>
              <w:bottom w:w="0" w:type="dxa"/>
              <w:right w:w="108" w:type="dxa"/>
            </w:tcMar>
            <w:vAlign w:val="center"/>
          </w:tcPr>
          <w:p w14:paraId="3A88E599"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5.841</w:t>
            </w:r>
          </w:p>
        </w:tc>
      </w:tr>
      <w:tr w:rsidR="006416B0" w:rsidRPr="00B4515A" w14:paraId="16263924" w14:textId="77777777" w:rsidTr="00031627">
        <w:trPr>
          <w:trHeight w:val="340"/>
          <w:jc w:val="center"/>
        </w:trPr>
        <w:tc>
          <w:tcPr>
            <w:tcW w:w="1666" w:type="pct"/>
            <w:shd w:val="clear" w:color="auto" w:fill="auto"/>
            <w:tcMar>
              <w:top w:w="0" w:type="dxa"/>
              <w:left w:w="108" w:type="dxa"/>
              <w:bottom w:w="0" w:type="dxa"/>
              <w:right w:w="108" w:type="dxa"/>
            </w:tcMar>
            <w:vAlign w:val="center"/>
          </w:tcPr>
          <w:p w14:paraId="273BE408" w14:textId="77777777" w:rsidR="006416B0" w:rsidRPr="00B4515A" w:rsidRDefault="005E58C1" w:rsidP="005860B4">
            <w:pPr>
              <w:adjustRightInd w:val="0"/>
              <w:snapToGrid w:val="0"/>
              <w:jc w:val="center"/>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前</w:t>
            </w:r>
            <w:r w:rsidRPr="00B4515A">
              <w:rPr>
                <w:rFonts w:ascii="Times New Roman" w:eastAsiaTheme="minorEastAsia" w:hAnsi="Times New Roman" w:cs="Times New Roman"/>
                <w:sz w:val="21"/>
                <w:szCs w:val="21"/>
              </w:rPr>
              <w:t>120</w:t>
            </w:r>
            <w:r w:rsidRPr="00B4515A">
              <w:rPr>
                <w:rFonts w:ascii="Times New Roman" w:eastAsiaTheme="minorEastAsia" w:hAnsi="Times New Roman" w:cs="Times New Roman" w:hint="eastAsia"/>
                <w:sz w:val="21"/>
                <w:szCs w:val="21"/>
              </w:rPr>
              <w:t>个交易日</w:t>
            </w:r>
          </w:p>
        </w:tc>
        <w:tc>
          <w:tcPr>
            <w:tcW w:w="1667" w:type="pct"/>
            <w:shd w:val="clear" w:color="auto" w:fill="auto"/>
            <w:tcMar>
              <w:top w:w="0" w:type="dxa"/>
              <w:left w:w="108" w:type="dxa"/>
              <w:bottom w:w="0" w:type="dxa"/>
              <w:right w:w="108" w:type="dxa"/>
            </w:tcMar>
            <w:vAlign w:val="center"/>
          </w:tcPr>
          <w:p w14:paraId="3FA7C313"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8.60</w:t>
            </w:r>
          </w:p>
        </w:tc>
        <w:tc>
          <w:tcPr>
            <w:tcW w:w="1667" w:type="pct"/>
            <w:shd w:val="clear" w:color="auto" w:fill="auto"/>
            <w:tcMar>
              <w:top w:w="0" w:type="dxa"/>
              <w:left w:w="108" w:type="dxa"/>
              <w:bottom w:w="0" w:type="dxa"/>
              <w:right w:w="108" w:type="dxa"/>
            </w:tcMar>
            <w:vAlign w:val="center"/>
          </w:tcPr>
          <w:p w14:paraId="21F38446" w14:textId="45AE9B2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sz w:val="21"/>
                <w:szCs w:val="21"/>
              </w:rPr>
              <w:t>7.74</w:t>
            </w:r>
            <w:r w:rsidR="00615973" w:rsidRPr="00B4515A">
              <w:rPr>
                <w:rFonts w:ascii="Times New Roman" w:eastAsiaTheme="minorEastAsia" w:hAnsi="Times New Roman" w:cs="Times New Roman"/>
                <w:sz w:val="21"/>
                <w:szCs w:val="21"/>
              </w:rPr>
              <w:t>0</w:t>
            </w:r>
          </w:p>
        </w:tc>
      </w:tr>
    </w:tbl>
    <w:p w14:paraId="536AC709" w14:textId="77777777" w:rsidR="006416B0" w:rsidRPr="00B4515A" w:rsidRDefault="005E58C1" w:rsidP="005860B4">
      <w:pPr>
        <w:pStyle w:val="005"/>
        <w:spacing w:before="120" w:after="120"/>
        <w:ind w:firstLine="480"/>
      </w:pPr>
      <w:bookmarkStart w:id="286" w:name="_Hlk70066337"/>
      <w:r w:rsidRPr="00B4515A">
        <w:rPr>
          <w:rFonts w:hint="eastAsia"/>
        </w:rPr>
        <w:t>经各方协商一致并确定，本次发行的发行价格为</w:t>
      </w:r>
      <w:r w:rsidRPr="00B4515A">
        <w:t>5.85</w:t>
      </w:r>
      <w:r w:rsidRPr="00B4515A">
        <w:rPr>
          <w:rFonts w:hint="eastAsia"/>
        </w:rPr>
        <w:t>元</w:t>
      </w:r>
      <w:r w:rsidRPr="00B4515A">
        <w:t>/</w:t>
      </w:r>
      <w:r w:rsidRPr="00B4515A">
        <w:t>股，不低于定价基准日前</w:t>
      </w:r>
      <w:r w:rsidRPr="00B4515A">
        <w:t>60</w:t>
      </w:r>
      <w:r w:rsidRPr="00B4515A">
        <w:rPr>
          <w:rFonts w:hint="eastAsia"/>
        </w:rPr>
        <w:t>个交易日甲方股票交易均价的</w:t>
      </w:r>
      <w:r w:rsidRPr="00B4515A">
        <w:t>90%</w:t>
      </w:r>
      <w:r w:rsidRPr="00B4515A">
        <w:t>。</w:t>
      </w:r>
      <w:bookmarkEnd w:id="286"/>
    </w:p>
    <w:p w14:paraId="42627D82" w14:textId="77777777" w:rsidR="006416B0" w:rsidRPr="00B4515A" w:rsidRDefault="005E58C1" w:rsidP="005860B4">
      <w:pPr>
        <w:pStyle w:val="005"/>
        <w:spacing w:before="120" w:after="120"/>
        <w:ind w:firstLine="480"/>
      </w:pPr>
      <w:bookmarkStart w:id="287" w:name="_Hlk70066367"/>
      <w:r w:rsidRPr="00B4515A">
        <w:rPr>
          <w:rFonts w:hint="eastAsia"/>
        </w:rPr>
        <w:t>在本次交易定价基准日至本次交易完成日期间，若甲方</w:t>
      </w:r>
      <w:bookmarkStart w:id="288" w:name="_Hlk70251543"/>
      <w:r w:rsidRPr="00B4515A">
        <w:rPr>
          <w:rFonts w:hint="eastAsia"/>
        </w:rPr>
        <w:t>发生派息、送红股、转增股本、增发新股或配股等除权、除息事项</w:t>
      </w:r>
      <w:bookmarkEnd w:id="288"/>
      <w:r w:rsidRPr="00B4515A">
        <w:rPr>
          <w:rFonts w:hint="eastAsia"/>
        </w:rPr>
        <w:t>，则发行价格将按照法律法规及上交所的相关规定做相应调整。</w:t>
      </w:r>
      <w:bookmarkEnd w:id="287"/>
      <w:r w:rsidRPr="00B4515A">
        <w:rPr>
          <w:rFonts w:hint="eastAsia"/>
        </w:rPr>
        <w:t>调整公式具体如下：</w:t>
      </w:r>
    </w:p>
    <w:p w14:paraId="5775CAE1" w14:textId="77777777" w:rsidR="006416B0" w:rsidRPr="00B4515A" w:rsidRDefault="005E58C1" w:rsidP="005860B4">
      <w:pPr>
        <w:pStyle w:val="005"/>
        <w:spacing w:before="120" w:after="120"/>
        <w:ind w:firstLine="480"/>
      </w:pPr>
      <w:r w:rsidRPr="00B4515A">
        <w:rPr>
          <w:rFonts w:hint="eastAsia"/>
        </w:rPr>
        <w:t>当送红股或转增股本时，按如下公式调整：</w:t>
      </w:r>
      <w:r w:rsidRPr="00B4515A">
        <w:t>P1=P0/</w:t>
      </w:r>
      <w:r w:rsidRPr="00B4515A">
        <w:rPr>
          <w:rFonts w:hint="eastAsia"/>
        </w:rPr>
        <w:t>（</w:t>
      </w:r>
      <w:r w:rsidRPr="00B4515A">
        <w:t>1+N</w:t>
      </w:r>
      <w:r w:rsidRPr="00B4515A">
        <w:rPr>
          <w:rFonts w:hint="eastAsia"/>
        </w:rPr>
        <w:t>）</w:t>
      </w:r>
      <w:r w:rsidRPr="00B4515A">
        <w:t xml:space="preserve"> </w:t>
      </w:r>
    </w:p>
    <w:p w14:paraId="5CF4EDBB" w14:textId="77777777" w:rsidR="006416B0" w:rsidRPr="00B4515A" w:rsidRDefault="005E58C1" w:rsidP="005860B4">
      <w:pPr>
        <w:pStyle w:val="005"/>
        <w:spacing w:before="120" w:after="120"/>
        <w:ind w:firstLine="480"/>
      </w:pPr>
      <w:r w:rsidRPr="00B4515A">
        <w:rPr>
          <w:rFonts w:hint="eastAsia"/>
        </w:rPr>
        <w:t>当配股时，按如下公式调整：</w:t>
      </w:r>
      <w:r w:rsidRPr="00B4515A">
        <w:t>P1=</w:t>
      </w:r>
      <w:r w:rsidRPr="00B4515A">
        <w:t>（</w:t>
      </w:r>
      <w:r w:rsidRPr="00B4515A">
        <w:t>P0+A×K</w:t>
      </w:r>
      <w:r w:rsidRPr="00B4515A">
        <w:t>）</w:t>
      </w:r>
      <w:r w:rsidRPr="00B4515A">
        <w:t>/</w:t>
      </w:r>
      <w:r w:rsidRPr="00B4515A">
        <w:rPr>
          <w:rFonts w:hint="eastAsia"/>
        </w:rPr>
        <w:t>（</w:t>
      </w:r>
      <w:r w:rsidRPr="00B4515A">
        <w:t>1+K</w:t>
      </w:r>
      <w:r w:rsidRPr="00B4515A">
        <w:rPr>
          <w:rFonts w:hint="eastAsia"/>
        </w:rPr>
        <w:t>）</w:t>
      </w:r>
    </w:p>
    <w:p w14:paraId="3B511087" w14:textId="77777777" w:rsidR="006416B0" w:rsidRPr="00B4515A" w:rsidRDefault="005E58C1" w:rsidP="005860B4">
      <w:pPr>
        <w:pStyle w:val="005"/>
        <w:spacing w:before="120" w:after="120"/>
        <w:ind w:firstLine="480"/>
      </w:pPr>
      <w:r w:rsidRPr="00B4515A">
        <w:rPr>
          <w:rFonts w:hint="eastAsia"/>
        </w:rPr>
        <w:t>上述两项同时进行时，按如下公式调整：</w:t>
      </w:r>
      <w:r w:rsidRPr="00B4515A">
        <w:t>P1=</w:t>
      </w:r>
      <w:r w:rsidRPr="00B4515A">
        <w:rPr>
          <w:rFonts w:hint="eastAsia"/>
        </w:rPr>
        <w:t>（</w:t>
      </w:r>
      <w:r w:rsidRPr="00B4515A">
        <w:t>P0+A×K</w:t>
      </w:r>
      <w:r w:rsidRPr="00B4515A">
        <w:rPr>
          <w:rFonts w:hint="eastAsia"/>
        </w:rPr>
        <w:t>）</w:t>
      </w:r>
      <w:r w:rsidRPr="00B4515A">
        <w:t>/</w:t>
      </w:r>
      <w:r w:rsidRPr="00B4515A">
        <w:rPr>
          <w:rFonts w:hint="eastAsia"/>
        </w:rPr>
        <w:t>（</w:t>
      </w:r>
      <w:r w:rsidRPr="00B4515A">
        <w:t>1+N+K</w:t>
      </w:r>
      <w:r w:rsidRPr="00B4515A">
        <w:rPr>
          <w:rFonts w:hint="eastAsia"/>
        </w:rPr>
        <w:t>）</w:t>
      </w:r>
    </w:p>
    <w:p w14:paraId="2FF3CC9B" w14:textId="77777777" w:rsidR="006416B0" w:rsidRPr="00B4515A" w:rsidRDefault="005E58C1" w:rsidP="005860B4">
      <w:pPr>
        <w:pStyle w:val="005"/>
        <w:spacing w:before="120" w:after="120"/>
        <w:ind w:firstLine="480"/>
      </w:pPr>
      <w:r w:rsidRPr="00B4515A">
        <w:rPr>
          <w:rFonts w:hint="eastAsia"/>
        </w:rPr>
        <w:t>当派发现金股利时，按如下公式调整：</w:t>
      </w:r>
      <w:r w:rsidRPr="00B4515A">
        <w:t>P1=P0-D</w:t>
      </w:r>
    </w:p>
    <w:p w14:paraId="36FD2DAD" w14:textId="77777777" w:rsidR="006416B0" w:rsidRPr="00B4515A" w:rsidRDefault="005E58C1" w:rsidP="005860B4">
      <w:pPr>
        <w:pStyle w:val="005"/>
        <w:spacing w:before="120" w:after="120"/>
        <w:ind w:firstLine="480"/>
      </w:pPr>
      <w:r w:rsidRPr="00B4515A">
        <w:rPr>
          <w:rFonts w:hint="eastAsia"/>
        </w:rPr>
        <w:t>当上述三项同时进行时，按如下公式调整：</w:t>
      </w:r>
      <w:r w:rsidRPr="00B4515A">
        <w:t>P1=</w:t>
      </w:r>
      <w:r w:rsidRPr="00B4515A">
        <w:rPr>
          <w:rFonts w:hint="eastAsia"/>
        </w:rPr>
        <w:t>（</w:t>
      </w:r>
      <w:r w:rsidRPr="00B4515A">
        <w:t>P0-D+A×K</w:t>
      </w:r>
      <w:r w:rsidRPr="00B4515A">
        <w:rPr>
          <w:rFonts w:hint="eastAsia"/>
        </w:rPr>
        <w:t>）</w:t>
      </w:r>
      <w:r w:rsidRPr="00B4515A">
        <w:t>/</w:t>
      </w:r>
      <w:r w:rsidRPr="00B4515A">
        <w:rPr>
          <w:rFonts w:hint="eastAsia"/>
        </w:rPr>
        <w:t>（</w:t>
      </w:r>
      <w:r w:rsidRPr="00B4515A">
        <w:t>1+N+K</w:t>
      </w:r>
      <w:r w:rsidRPr="00B4515A">
        <w:rPr>
          <w:rFonts w:hint="eastAsia"/>
        </w:rPr>
        <w:t>）</w:t>
      </w:r>
    </w:p>
    <w:p w14:paraId="29CE17BF" w14:textId="2289C1CA" w:rsidR="006416B0" w:rsidRPr="00B4515A" w:rsidRDefault="005E58C1" w:rsidP="004C5934">
      <w:pPr>
        <w:pStyle w:val="005"/>
        <w:spacing w:before="120" w:after="120"/>
        <w:ind w:firstLine="480"/>
      </w:pPr>
      <w:r w:rsidRPr="00B4515A">
        <w:rPr>
          <w:rFonts w:hint="eastAsia"/>
        </w:rPr>
        <w:t>其中</w:t>
      </w:r>
      <w:r w:rsidR="00B17B97" w:rsidRPr="00B4515A">
        <w:rPr>
          <w:rFonts w:hint="eastAsia"/>
        </w:rPr>
        <w:t>：</w:t>
      </w:r>
    </w:p>
    <w:p w14:paraId="6271C251" w14:textId="77777777" w:rsidR="006416B0" w:rsidRPr="00B4515A" w:rsidRDefault="005E58C1" w:rsidP="005860B4">
      <w:pPr>
        <w:pStyle w:val="005"/>
        <w:spacing w:before="120" w:after="120"/>
        <w:ind w:firstLine="480"/>
      </w:pPr>
      <w:r w:rsidRPr="00B4515A">
        <w:t xml:space="preserve">P0 </w:t>
      </w:r>
      <w:r w:rsidRPr="00B4515A">
        <w:rPr>
          <w:rFonts w:hint="eastAsia"/>
        </w:rPr>
        <w:t>为调整前有效的发行价格</w:t>
      </w:r>
    </w:p>
    <w:p w14:paraId="413885A7" w14:textId="77777777" w:rsidR="006416B0" w:rsidRPr="00B4515A" w:rsidRDefault="005E58C1" w:rsidP="005860B4">
      <w:pPr>
        <w:pStyle w:val="005"/>
        <w:spacing w:before="120" w:after="120"/>
        <w:ind w:firstLine="480"/>
      </w:pPr>
      <w:r w:rsidRPr="00B4515A">
        <w:t xml:space="preserve">P1 </w:t>
      </w:r>
      <w:r w:rsidRPr="00B4515A">
        <w:rPr>
          <w:rFonts w:hint="eastAsia"/>
        </w:rPr>
        <w:t>为调整后有效的发行价格</w:t>
      </w:r>
    </w:p>
    <w:p w14:paraId="306C248C" w14:textId="77777777" w:rsidR="006416B0" w:rsidRPr="00B4515A" w:rsidRDefault="005E58C1" w:rsidP="005860B4">
      <w:pPr>
        <w:pStyle w:val="005"/>
        <w:spacing w:before="120" w:after="120"/>
        <w:ind w:firstLine="480"/>
      </w:pPr>
      <w:r w:rsidRPr="00B4515A">
        <w:t xml:space="preserve">D </w:t>
      </w:r>
      <w:r w:rsidRPr="00B4515A">
        <w:rPr>
          <w:rFonts w:hint="eastAsia"/>
        </w:rPr>
        <w:t>为该次每股派发现金股利</w:t>
      </w:r>
    </w:p>
    <w:p w14:paraId="3FC2D046" w14:textId="19DC1B68" w:rsidR="006416B0" w:rsidRPr="00B4515A" w:rsidRDefault="005E58C1" w:rsidP="004C5934">
      <w:pPr>
        <w:pStyle w:val="005"/>
        <w:spacing w:before="120" w:after="120"/>
        <w:ind w:firstLine="480"/>
      </w:pPr>
      <w:r w:rsidRPr="00B4515A">
        <w:t xml:space="preserve">N </w:t>
      </w:r>
      <w:r w:rsidRPr="00B4515A">
        <w:rPr>
          <w:rFonts w:hint="eastAsia"/>
        </w:rPr>
        <w:t>为该次送股率或转增股本率</w:t>
      </w:r>
    </w:p>
    <w:p w14:paraId="2FBCD6DC" w14:textId="77777777" w:rsidR="006416B0" w:rsidRPr="00B4515A" w:rsidRDefault="005E58C1" w:rsidP="005860B4">
      <w:pPr>
        <w:pStyle w:val="005"/>
        <w:spacing w:before="120" w:after="120"/>
        <w:ind w:firstLine="480"/>
      </w:pPr>
      <w:r w:rsidRPr="00B4515A">
        <w:t xml:space="preserve">K </w:t>
      </w:r>
      <w:r w:rsidRPr="00B4515A">
        <w:rPr>
          <w:rFonts w:hint="eastAsia"/>
        </w:rPr>
        <w:t>为配股率</w:t>
      </w:r>
    </w:p>
    <w:p w14:paraId="7A8B900F" w14:textId="77777777" w:rsidR="006416B0" w:rsidRPr="00B4515A" w:rsidRDefault="005E58C1" w:rsidP="005860B4">
      <w:pPr>
        <w:pStyle w:val="005"/>
        <w:spacing w:before="120" w:after="120"/>
        <w:ind w:firstLine="480"/>
      </w:pPr>
      <w:r w:rsidRPr="00B4515A">
        <w:t xml:space="preserve">A </w:t>
      </w:r>
      <w:r w:rsidRPr="00B4515A">
        <w:rPr>
          <w:rFonts w:hint="eastAsia"/>
        </w:rPr>
        <w:t>为配股价</w:t>
      </w:r>
    </w:p>
    <w:p w14:paraId="57227CFE" w14:textId="77777777" w:rsidR="006416B0" w:rsidRPr="00B4515A" w:rsidRDefault="005E58C1" w:rsidP="005860B4">
      <w:pPr>
        <w:pStyle w:val="004"/>
        <w:spacing w:before="120" w:after="120"/>
        <w:ind w:firstLine="482"/>
      </w:pPr>
      <w:r w:rsidRPr="00B4515A">
        <w:rPr>
          <w:rFonts w:hint="eastAsia"/>
        </w:rPr>
        <w:t>2</w:t>
      </w:r>
      <w:r w:rsidRPr="00B4515A">
        <w:rPr>
          <w:rFonts w:hint="eastAsia"/>
        </w:rPr>
        <w:t>、</w:t>
      </w:r>
      <w:bookmarkStart w:id="289" w:name="_Hlk70251743"/>
      <w:r w:rsidRPr="00B4515A">
        <w:t>发行数量</w:t>
      </w:r>
    </w:p>
    <w:p w14:paraId="61220BB1" w14:textId="77777777" w:rsidR="006416B0" w:rsidRPr="00B4515A" w:rsidRDefault="005E58C1" w:rsidP="005860B4">
      <w:pPr>
        <w:pStyle w:val="005"/>
        <w:spacing w:before="120" w:after="120"/>
        <w:ind w:firstLine="480"/>
      </w:pPr>
      <w:r w:rsidRPr="00B4515A">
        <w:rPr>
          <w:rFonts w:hint="eastAsia"/>
        </w:rPr>
        <w:t>本次发行股份购买资产的发行股份数量应按照以下公式进行计算：</w:t>
      </w:r>
    </w:p>
    <w:p w14:paraId="722762F5" w14:textId="77777777" w:rsidR="006416B0" w:rsidRPr="00B4515A" w:rsidRDefault="005E58C1" w:rsidP="005860B4">
      <w:pPr>
        <w:pStyle w:val="005"/>
        <w:spacing w:before="120" w:after="120"/>
        <w:ind w:firstLine="480"/>
      </w:pPr>
      <w:r w:rsidRPr="00B4515A">
        <w:rPr>
          <w:rFonts w:hint="eastAsia"/>
        </w:rPr>
        <w:t>本次发行股份购买资产向各转让方发行的股份数量</w:t>
      </w:r>
      <w:r w:rsidRPr="00B4515A">
        <w:t>=</w:t>
      </w:r>
      <w:r w:rsidRPr="00B4515A">
        <w:t>以发行股份形式向各转让方支付的交易对价（具体为标的资产的交易价格与乙方分别在本次交易前持有目标公司股权的比例乘积）</w:t>
      </w:r>
      <w:r w:rsidRPr="00B4515A">
        <w:t>/</w:t>
      </w:r>
      <w:r w:rsidRPr="00B4515A">
        <w:t>本次发行股份购买资产的发行价格；本次发行股份</w:t>
      </w:r>
      <w:r w:rsidRPr="00B4515A">
        <w:lastRenderedPageBreak/>
        <w:t>购买资产所发行股份的总数量</w:t>
      </w:r>
      <w:r w:rsidRPr="00B4515A">
        <w:t>=</w:t>
      </w:r>
      <w:r w:rsidRPr="00B4515A">
        <w:t>向各转让</w:t>
      </w:r>
      <w:r w:rsidRPr="00B4515A">
        <w:rPr>
          <w:rFonts w:hint="eastAsia"/>
        </w:rPr>
        <w:t>方发行股份数量之和。</w:t>
      </w:r>
    </w:p>
    <w:p w14:paraId="6C0C5327" w14:textId="77777777" w:rsidR="006416B0" w:rsidRPr="00B4515A" w:rsidRDefault="005E58C1" w:rsidP="005860B4">
      <w:pPr>
        <w:pStyle w:val="005"/>
        <w:spacing w:before="120" w:after="120"/>
        <w:ind w:firstLine="480"/>
      </w:pPr>
      <w:r w:rsidRPr="00B4515A">
        <w:rPr>
          <w:rFonts w:hint="eastAsia"/>
        </w:rPr>
        <w:t>按上述公式计算的各转让方取得新增股份数量按照向下取整精确至股，不足一股的各转让方自愿放弃。</w:t>
      </w:r>
    </w:p>
    <w:p w14:paraId="2FDEECA4" w14:textId="77777777" w:rsidR="006416B0" w:rsidRPr="00B4515A" w:rsidRDefault="005E58C1" w:rsidP="005860B4">
      <w:pPr>
        <w:pStyle w:val="005"/>
        <w:spacing w:before="120" w:after="120"/>
        <w:ind w:firstLine="480"/>
      </w:pPr>
      <w:r w:rsidRPr="00B4515A">
        <w:rPr>
          <w:rFonts w:hint="eastAsia"/>
        </w:rPr>
        <w:t>最终发行股份数量</w:t>
      </w:r>
      <w:bookmarkStart w:id="290" w:name="_Hlk70249444"/>
      <w:r w:rsidRPr="00B4515A">
        <w:rPr>
          <w:rFonts w:hint="eastAsia"/>
        </w:rPr>
        <w:t>将根据标的资产的最终交易价格由各方在甲方就本次交易另行召开董事会并审议发行股份购买资产并募集配套资金暨关联交易报告书（草案）前或当日签署补充协议正式确定，并以甲方股东大会审议通过，且经中国证监会核准的结果为准</w:t>
      </w:r>
      <w:bookmarkEnd w:id="290"/>
      <w:r w:rsidRPr="00B4515A">
        <w:rPr>
          <w:rFonts w:hint="eastAsia"/>
        </w:rPr>
        <w:t>。</w:t>
      </w:r>
    </w:p>
    <w:p w14:paraId="16291198" w14:textId="77777777" w:rsidR="006416B0" w:rsidRPr="00B4515A" w:rsidRDefault="005E58C1" w:rsidP="005860B4">
      <w:pPr>
        <w:pStyle w:val="005"/>
        <w:spacing w:before="120" w:after="120"/>
        <w:ind w:firstLine="480"/>
      </w:pPr>
      <w:r w:rsidRPr="00B4515A">
        <w:rPr>
          <w:rFonts w:hint="eastAsia"/>
        </w:rPr>
        <w:t>在定价基准日至发行日期间，甲方如有派息、送红股、转增股本、增发新股或配股等除权、除息事项，则发行数量也将根据中国证监会和上交所的相关规则进行相应调整。</w:t>
      </w:r>
      <w:bookmarkEnd w:id="289"/>
    </w:p>
    <w:p w14:paraId="4094A8AB" w14:textId="77777777" w:rsidR="006416B0" w:rsidRPr="00B4515A" w:rsidRDefault="005E58C1" w:rsidP="005860B4">
      <w:pPr>
        <w:pStyle w:val="004"/>
        <w:spacing w:before="120" w:after="120"/>
        <w:ind w:firstLine="482"/>
      </w:pPr>
      <w:r w:rsidRPr="00B4515A">
        <w:rPr>
          <w:rFonts w:hint="eastAsia"/>
        </w:rPr>
        <w:t>3</w:t>
      </w:r>
      <w:r w:rsidRPr="00B4515A">
        <w:rPr>
          <w:rFonts w:hint="eastAsia"/>
        </w:rPr>
        <w:t>、</w:t>
      </w:r>
      <w:r w:rsidRPr="00B4515A">
        <w:t>锁定期安排</w:t>
      </w:r>
    </w:p>
    <w:p w14:paraId="221787A8" w14:textId="77777777" w:rsidR="006416B0" w:rsidRPr="00B4515A" w:rsidRDefault="005E58C1" w:rsidP="005860B4">
      <w:pPr>
        <w:pStyle w:val="005"/>
        <w:spacing w:before="120" w:after="120"/>
        <w:ind w:firstLine="480"/>
      </w:pPr>
      <w:r w:rsidRPr="00B4515A">
        <w:rPr>
          <w:rFonts w:hint="eastAsia"/>
        </w:rPr>
        <w:t>（</w:t>
      </w:r>
      <w:r w:rsidRPr="00B4515A">
        <w:rPr>
          <w:rFonts w:hint="eastAsia"/>
        </w:rPr>
        <w:t>1</w:t>
      </w:r>
      <w:r w:rsidRPr="00B4515A">
        <w:rPr>
          <w:rFonts w:hint="eastAsia"/>
        </w:rPr>
        <w:t>）根据《公司法》《证券法》及《重组办法》等有关规定并经各方同意并确认，乙方对本次交易项下取得的对价股份，特作出如下基本承诺：</w:t>
      </w:r>
    </w:p>
    <w:p w14:paraId="7BBC0235" w14:textId="77777777" w:rsidR="006416B0" w:rsidRPr="00B4515A" w:rsidRDefault="005E58C1" w:rsidP="005860B4">
      <w:pPr>
        <w:pStyle w:val="005"/>
        <w:spacing w:before="120" w:after="120"/>
        <w:ind w:firstLine="480"/>
      </w:pPr>
      <w:r w:rsidRPr="00B4515A">
        <w:t>乙方</w:t>
      </w:r>
      <w:r w:rsidRPr="00B4515A">
        <w:t>1</w:t>
      </w:r>
      <w:r w:rsidRPr="00B4515A">
        <w:rPr>
          <w:rFonts w:hint="eastAsia"/>
        </w:rPr>
        <w:t>（电信科研院）</w:t>
      </w:r>
      <w:r w:rsidRPr="00B4515A">
        <w:t>、乙方</w:t>
      </w:r>
      <w:r w:rsidRPr="00B4515A">
        <w:rPr>
          <w:rFonts w:hint="eastAsia"/>
        </w:rPr>
        <w:t>2</w:t>
      </w:r>
      <w:r w:rsidRPr="00B4515A">
        <w:rPr>
          <w:rFonts w:hint="eastAsia"/>
        </w:rPr>
        <w:t>（大唐控股）</w:t>
      </w:r>
      <w:r w:rsidRPr="00B4515A">
        <w:t>在本次交易中以目标公司股权认购取得的对价股份，自股份发行结束之日起</w:t>
      </w:r>
      <w:r w:rsidRPr="00B4515A">
        <w:t>36</w:t>
      </w:r>
      <w:r w:rsidRPr="00B4515A">
        <w:t>个月内不得以任何方式转让。本次交易完成后</w:t>
      </w:r>
      <w:r w:rsidRPr="00B4515A">
        <w:t>6</w:t>
      </w:r>
      <w:r w:rsidRPr="00B4515A">
        <w:t>个月内如甲方股票连续</w:t>
      </w:r>
      <w:r w:rsidRPr="00B4515A">
        <w:t>20</w:t>
      </w:r>
      <w:r w:rsidRPr="00B4515A">
        <w:t>个交易日的收盘价低于发行价，或者交易完成后</w:t>
      </w:r>
      <w:r w:rsidRPr="00B4515A">
        <w:t>6</w:t>
      </w:r>
      <w:r w:rsidRPr="00B4515A">
        <w:t>个月期末收盘价低于发行价的，其持有上市公司股票的锁定期自动延长至少</w:t>
      </w:r>
      <w:r w:rsidRPr="00B4515A">
        <w:t>6</w:t>
      </w:r>
      <w:r w:rsidRPr="00B4515A">
        <w:t>个月。</w:t>
      </w:r>
    </w:p>
    <w:p w14:paraId="76ADA4B6" w14:textId="791FFB2A" w:rsidR="006416B0" w:rsidRPr="00B4515A" w:rsidRDefault="005E58C1" w:rsidP="005860B4">
      <w:pPr>
        <w:pStyle w:val="005"/>
        <w:spacing w:before="120" w:after="120"/>
        <w:ind w:firstLine="480"/>
      </w:pPr>
      <w:r w:rsidRPr="00B4515A">
        <w:t>乙方</w:t>
      </w:r>
      <w:r w:rsidRPr="00B4515A">
        <w:t>3</w:t>
      </w:r>
      <w:r w:rsidRPr="00B4515A">
        <w:t>至乙方</w:t>
      </w:r>
      <w:r w:rsidRPr="00B4515A">
        <w:t>9</w:t>
      </w:r>
      <w:r w:rsidRPr="00B4515A">
        <w:rPr>
          <w:rFonts w:hint="eastAsia"/>
        </w:rPr>
        <w:t>（</w:t>
      </w:r>
      <w:r w:rsidR="00252376" w:rsidRPr="00B4515A">
        <w:rPr>
          <w:rFonts w:hint="eastAsia"/>
        </w:rPr>
        <w:t>长江移动基金</w:t>
      </w:r>
      <w:r w:rsidRPr="00B4515A">
        <w:rPr>
          <w:rFonts w:hint="eastAsia"/>
        </w:rPr>
        <w:t>、结构调整基金、金融街资本、天津益诚、天津乾诚、天津首诚、天津军诚）</w:t>
      </w:r>
      <w:r w:rsidRPr="00B4515A">
        <w:t>通过本次交易取得甲方股份时：如持续持有目标公司股权时间不足</w:t>
      </w:r>
      <w:r w:rsidRPr="00B4515A">
        <w:t>12</w:t>
      </w:r>
      <w:r w:rsidRPr="00B4515A">
        <w:t>个月，则在本次交易中以目标公司股权认购取得的对价股份，自股份发行结束之日起</w:t>
      </w:r>
      <w:r w:rsidRPr="00B4515A">
        <w:t>36</w:t>
      </w:r>
      <w:r w:rsidRPr="00B4515A">
        <w:t>个月内不得以任何方式转让；如持续持有目标公司股权时间已满</w:t>
      </w:r>
      <w:r w:rsidRPr="00B4515A">
        <w:t>12</w:t>
      </w:r>
      <w:r w:rsidRPr="00B4515A">
        <w:t>个月，则在本次交易中以目标公司股权认购取得的对价股份，自股份发行结束之日起</w:t>
      </w:r>
      <w:r w:rsidRPr="00B4515A">
        <w:t>12</w:t>
      </w:r>
      <w:r w:rsidRPr="00B4515A">
        <w:t>个月内不得以任何方式转让；</w:t>
      </w:r>
    </w:p>
    <w:p w14:paraId="7E94C4E3" w14:textId="77777777" w:rsidR="006416B0" w:rsidRPr="00B4515A" w:rsidRDefault="005E58C1" w:rsidP="005860B4">
      <w:pPr>
        <w:pStyle w:val="005"/>
        <w:spacing w:before="120" w:after="120"/>
        <w:ind w:firstLine="480"/>
      </w:pPr>
      <w:r w:rsidRPr="00B4515A">
        <w:t>未来如果上述相关主体还将承担业绩承诺及补偿义务，其所持有股份还应遵守相关业绩承诺及补偿协议中对于锁定期的要求，具体内容相关各方将通过签署补充协议方式予以约定。</w:t>
      </w:r>
    </w:p>
    <w:p w14:paraId="2C523286" w14:textId="77777777" w:rsidR="006416B0" w:rsidRPr="00B4515A" w:rsidRDefault="005E58C1" w:rsidP="005860B4">
      <w:pPr>
        <w:pStyle w:val="005"/>
        <w:spacing w:before="120" w:after="120"/>
        <w:ind w:firstLine="480"/>
      </w:pPr>
      <w:r w:rsidRPr="00B4515A">
        <w:rPr>
          <w:rFonts w:hint="eastAsia"/>
        </w:rPr>
        <w:lastRenderedPageBreak/>
        <w:t>（</w:t>
      </w:r>
      <w:r w:rsidRPr="00B4515A">
        <w:rPr>
          <w:rFonts w:hint="eastAsia"/>
        </w:rPr>
        <w:t>2</w:t>
      </w:r>
      <w:r w:rsidRPr="00B4515A">
        <w:rPr>
          <w:rFonts w:hint="eastAsia"/>
        </w:rPr>
        <w:t>）</w:t>
      </w:r>
      <w:r w:rsidRPr="00B4515A">
        <w:t>乙方于本次交易中取得的对价股份，在上述锁定期届满后减持时，还应当遵守《公司法》《证券法》《上市规则》等法律法规和规范性文件的相关规定、中国证监会和上交所的相关监管规则以及甲方公司章程的相关约定。</w:t>
      </w:r>
    </w:p>
    <w:p w14:paraId="68691478" w14:textId="77777777" w:rsidR="006416B0" w:rsidRPr="00B4515A" w:rsidRDefault="005E58C1" w:rsidP="005860B4">
      <w:pPr>
        <w:pStyle w:val="005"/>
        <w:spacing w:before="120" w:after="120"/>
        <w:ind w:firstLine="480"/>
      </w:pPr>
      <w:r w:rsidRPr="00B4515A">
        <w:rPr>
          <w:rFonts w:hint="eastAsia"/>
        </w:rPr>
        <w:t>（</w:t>
      </w:r>
      <w:r w:rsidRPr="00B4515A">
        <w:rPr>
          <w:rFonts w:hint="eastAsia"/>
        </w:rPr>
        <w:t>3</w:t>
      </w:r>
      <w:r w:rsidRPr="00B4515A">
        <w:rPr>
          <w:rFonts w:hint="eastAsia"/>
        </w:rPr>
        <w:t>）</w:t>
      </w:r>
      <w:r w:rsidRPr="00B4515A">
        <w:t>本次交易实施完成后，乙方所持对价股份由于甲方送红股、资本公积金转增股本等原因而增加的，亦应遵守上述锁定期的约定。</w:t>
      </w:r>
    </w:p>
    <w:p w14:paraId="22433EF9" w14:textId="77777777" w:rsidR="006416B0" w:rsidRPr="00B4515A" w:rsidRDefault="005E58C1" w:rsidP="005860B4">
      <w:pPr>
        <w:pStyle w:val="003"/>
        <w:spacing w:before="120"/>
        <w:ind w:firstLine="482"/>
      </w:pPr>
      <w:r w:rsidRPr="00B4515A">
        <w:rPr>
          <w:rFonts w:hint="eastAsia"/>
        </w:rPr>
        <w:t>（四）标的资产的交割</w:t>
      </w:r>
    </w:p>
    <w:p w14:paraId="08D3A835" w14:textId="77777777" w:rsidR="006416B0" w:rsidRPr="00B4515A" w:rsidRDefault="005E58C1" w:rsidP="005860B4">
      <w:pPr>
        <w:pStyle w:val="005"/>
        <w:spacing w:before="120" w:after="120"/>
        <w:ind w:firstLine="480"/>
      </w:pPr>
      <w:r w:rsidRPr="00B4515A">
        <w:t>1</w:t>
      </w:r>
      <w:r w:rsidRPr="00B4515A">
        <w:rPr>
          <w:rFonts w:hint="eastAsia"/>
        </w:rPr>
        <w:t>、</w:t>
      </w:r>
      <w:r w:rsidRPr="00B4515A">
        <w:t>甲方在获得本次交易实施的全部批准、许可之日起</w:t>
      </w:r>
      <w:r w:rsidRPr="00B4515A">
        <w:t>30</w:t>
      </w:r>
      <w:r w:rsidRPr="00B4515A">
        <w:t>日内，乙方同意配合并委托目标公司到目标公司所在地市场监督管理部门提交办理标的资产过户至甲方的工商变更登记手续的申请，并完成工商变更登记手续。乙方应按税务相关规定负责到相关税务主管部门完成纳税申报手续，甲方应提供必要帮助。</w:t>
      </w:r>
    </w:p>
    <w:p w14:paraId="3AE8B340" w14:textId="77777777" w:rsidR="006416B0" w:rsidRPr="00B4515A" w:rsidRDefault="005E58C1" w:rsidP="005860B4">
      <w:pPr>
        <w:pStyle w:val="005"/>
        <w:spacing w:before="120" w:after="120"/>
        <w:ind w:firstLine="480"/>
      </w:pPr>
      <w:r w:rsidRPr="00B4515A">
        <w:t>2</w:t>
      </w:r>
      <w:r w:rsidRPr="00B4515A">
        <w:rPr>
          <w:rFonts w:hint="eastAsia"/>
        </w:rPr>
        <w:t>、</w:t>
      </w:r>
      <w:r w:rsidRPr="00B4515A">
        <w:t>各方同意，乙方持有的标的资产过户至甲方名下之日，为本次交易的资产交割日。自标的资产交割日（包含当日）起，标的资产的风险、收益与负担自乙方转移至甲方。</w:t>
      </w:r>
    </w:p>
    <w:p w14:paraId="0C31685C" w14:textId="77777777" w:rsidR="006416B0" w:rsidRPr="00B4515A" w:rsidRDefault="005E58C1" w:rsidP="005860B4">
      <w:pPr>
        <w:pStyle w:val="005"/>
        <w:spacing w:before="120" w:after="120"/>
        <w:ind w:firstLine="480"/>
      </w:pPr>
      <w:r w:rsidRPr="00B4515A">
        <w:t>3</w:t>
      </w:r>
      <w:r w:rsidRPr="00B4515A">
        <w:rPr>
          <w:rFonts w:hint="eastAsia"/>
        </w:rPr>
        <w:t>、</w:t>
      </w:r>
      <w:r w:rsidRPr="00B4515A">
        <w:t>自标的资产全部完成交割之日起</w:t>
      </w:r>
      <w:r w:rsidRPr="00B4515A">
        <w:t>60</w:t>
      </w:r>
      <w:r w:rsidRPr="00B4515A">
        <w:t>个工作日内，甲方应负责办理如下事项以完成本次交易的具体发行事宜，包括但不限于办理本次交易涉及的验资手续、向上交所和证券登记结算公司办理将本次交易发行的股票登记至乙方名下的手续、向市场监督管理机关办理甲方注册资本变更登记手续、向上交所办理本次交易发行的股票挂牌上市或交易手续等。自本次交易发行的股份登记至乙方名下之日起，乙方即合法拥有所认购股份并享有相应的股东权利。</w:t>
      </w:r>
    </w:p>
    <w:p w14:paraId="5E7D372F" w14:textId="77777777" w:rsidR="006416B0" w:rsidRPr="00B4515A" w:rsidRDefault="005E58C1" w:rsidP="005860B4">
      <w:pPr>
        <w:pStyle w:val="005"/>
        <w:spacing w:before="120" w:after="120"/>
        <w:ind w:firstLine="480"/>
      </w:pPr>
      <w:r w:rsidRPr="00B4515A">
        <w:t>4</w:t>
      </w:r>
      <w:r w:rsidRPr="00B4515A">
        <w:rPr>
          <w:rFonts w:hint="eastAsia"/>
        </w:rPr>
        <w:t>、</w:t>
      </w:r>
      <w:r w:rsidRPr="00B4515A">
        <w:t>甲方应就标的资产的交割事宜向乙方提供必要的协助；乙方应就本次交易股份对价的发行、登记事宜向甲方提供必要的协助。如遇税务机关、市场监督管理部门、证券交易所、登记结算公司等相关政府部门及办公机构原因导致本条项下的手续未在上述限定期限内完成的，各方应同意给予时间上合理的延长，除非该等手续拖延系因一方故意或重大过失造成。</w:t>
      </w:r>
    </w:p>
    <w:p w14:paraId="04BAF4E6" w14:textId="77777777" w:rsidR="006416B0" w:rsidRPr="00B4515A" w:rsidRDefault="005E58C1" w:rsidP="005860B4">
      <w:pPr>
        <w:pStyle w:val="003"/>
        <w:spacing w:before="120"/>
        <w:ind w:firstLine="482"/>
      </w:pPr>
      <w:r w:rsidRPr="00B4515A">
        <w:rPr>
          <w:rFonts w:hint="eastAsia"/>
        </w:rPr>
        <w:t>（五）期间损益安排</w:t>
      </w:r>
    </w:p>
    <w:p w14:paraId="1351C179" w14:textId="77777777" w:rsidR="006416B0" w:rsidRPr="00B4515A" w:rsidRDefault="005E58C1" w:rsidP="005860B4">
      <w:pPr>
        <w:pStyle w:val="005"/>
        <w:spacing w:before="120" w:after="120"/>
        <w:ind w:firstLine="480"/>
      </w:pPr>
      <w:r w:rsidRPr="00B4515A">
        <w:t>1</w:t>
      </w:r>
      <w:r w:rsidRPr="00B4515A">
        <w:rPr>
          <w:rFonts w:hint="eastAsia"/>
        </w:rPr>
        <w:t>、各方同意并确认，标的资产交割日后，甲方将于交割日后</w:t>
      </w:r>
      <w:r w:rsidRPr="00B4515A">
        <w:t>30</w:t>
      </w:r>
      <w:r w:rsidRPr="00B4515A">
        <w:rPr>
          <w:rFonts w:hint="eastAsia"/>
        </w:rPr>
        <w:t>日内提出对目标公司进行专项审计，确定过渡期内标的资产的损益。该等审计应由甲方聘请的具有证券期货业务资格的会计师事务所完成，且若标的资产交割日为当月</w:t>
      </w:r>
      <w:r w:rsidRPr="00B4515A">
        <w:t>15</w:t>
      </w:r>
      <w:r w:rsidRPr="00B4515A">
        <w:rPr>
          <w:rFonts w:hint="eastAsia"/>
        </w:rPr>
        <w:lastRenderedPageBreak/>
        <w:t>日（含</w:t>
      </w:r>
      <w:r w:rsidRPr="00B4515A">
        <w:t>15</w:t>
      </w:r>
      <w:r w:rsidRPr="00B4515A">
        <w:rPr>
          <w:rFonts w:hint="eastAsia"/>
        </w:rPr>
        <w:t>日）之前，则交割审计基准日为前一个月最后一个自然日，若标的资产交割日为当月</w:t>
      </w:r>
      <w:r w:rsidRPr="00B4515A">
        <w:t>15</w:t>
      </w:r>
      <w:r w:rsidRPr="00B4515A">
        <w:rPr>
          <w:rFonts w:hint="eastAsia"/>
        </w:rPr>
        <w:t>日之后，则交割审计基准日为当月最后一个自然日。</w:t>
      </w:r>
    </w:p>
    <w:p w14:paraId="4277EEFC" w14:textId="77777777" w:rsidR="006416B0" w:rsidRPr="00B4515A" w:rsidRDefault="005E58C1" w:rsidP="005860B4">
      <w:pPr>
        <w:pStyle w:val="005"/>
        <w:spacing w:before="120" w:after="120"/>
        <w:ind w:firstLine="480"/>
        <w:rPr>
          <w:bCs/>
          <w:color w:val="000000" w:themeColor="text1"/>
        </w:rPr>
      </w:pPr>
      <w:r w:rsidRPr="00B4515A">
        <w:t>2</w:t>
      </w:r>
      <w:r w:rsidRPr="00B4515A">
        <w:rPr>
          <w:rFonts w:hint="eastAsia"/>
        </w:rPr>
        <w:t>、</w:t>
      </w:r>
      <w:r w:rsidRPr="00B4515A">
        <w:rPr>
          <w:rFonts w:hint="eastAsia"/>
          <w:bCs/>
          <w:color w:val="000000" w:themeColor="text1"/>
        </w:rPr>
        <w:t>各方同意，</w:t>
      </w:r>
      <w:r w:rsidRPr="00B4515A">
        <w:rPr>
          <w:bCs/>
          <w:color w:val="000000" w:themeColor="text1"/>
        </w:rPr>
        <w:t>目标公司在过渡期内因任何原因产生的盈利由甲方享有；在过渡期内所产生的亏损由乙方</w:t>
      </w:r>
      <w:r w:rsidRPr="00B4515A">
        <w:rPr>
          <w:bCs/>
          <w:color w:val="000000" w:themeColor="text1"/>
        </w:rPr>
        <w:t>1</w:t>
      </w:r>
      <w:r w:rsidRPr="00B4515A">
        <w:rPr>
          <w:rFonts w:hint="eastAsia"/>
          <w:bCs/>
          <w:color w:val="000000" w:themeColor="text1"/>
        </w:rPr>
        <w:t>（电信科研院）和</w:t>
      </w:r>
      <w:r w:rsidRPr="00B4515A">
        <w:rPr>
          <w:bCs/>
          <w:color w:val="000000" w:themeColor="text1"/>
        </w:rPr>
        <w:t>乙方</w:t>
      </w:r>
      <w:r w:rsidRPr="00B4515A">
        <w:rPr>
          <w:rFonts w:hint="eastAsia"/>
          <w:bCs/>
          <w:color w:val="000000" w:themeColor="text1"/>
        </w:rPr>
        <w:t>2</w:t>
      </w:r>
      <w:r w:rsidRPr="00B4515A">
        <w:rPr>
          <w:rFonts w:hint="eastAsia"/>
          <w:bCs/>
          <w:color w:val="000000" w:themeColor="text1"/>
        </w:rPr>
        <w:t>（大唐控股）</w:t>
      </w:r>
      <w:r w:rsidRPr="00B4515A">
        <w:rPr>
          <w:bCs/>
          <w:color w:val="000000" w:themeColor="text1"/>
        </w:rPr>
        <w:t>承担，并按其本次交易前持有目标公司股权的相对比例于专项交割审计报告出具后</w:t>
      </w:r>
      <w:r w:rsidRPr="00B4515A">
        <w:rPr>
          <w:bCs/>
          <w:color w:val="000000" w:themeColor="text1"/>
        </w:rPr>
        <w:t>30</w:t>
      </w:r>
      <w:r w:rsidRPr="00B4515A">
        <w:rPr>
          <w:bCs/>
          <w:color w:val="000000" w:themeColor="text1"/>
        </w:rPr>
        <w:t>日内以现金方式一次性全额补偿予甲方。</w:t>
      </w:r>
    </w:p>
    <w:p w14:paraId="0E1823F3" w14:textId="77777777" w:rsidR="006416B0" w:rsidRPr="00B4515A" w:rsidRDefault="005E58C1" w:rsidP="005860B4">
      <w:pPr>
        <w:pStyle w:val="003"/>
        <w:spacing w:before="120"/>
        <w:ind w:firstLine="482"/>
      </w:pPr>
      <w:r w:rsidRPr="00B4515A">
        <w:rPr>
          <w:rFonts w:hint="eastAsia"/>
        </w:rPr>
        <w:t>（六）与资产相关的人员安排</w:t>
      </w:r>
    </w:p>
    <w:p w14:paraId="4F27D20E" w14:textId="77777777" w:rsidR="006416B0" w:rsidRPr="00B4515A" w:rsidRDefault="005E58C1" w:rsidP="005860B4">
      <w:pPr>
        <w:pStyle w:val="005"/>
        <w:spacing w:before="120" w:after="120"/>
        <w:ind w:firstLine="480"/>
      </w:pPr>
      <w:r w:rsidRPr="00B4515A">
        <w:rPr>
          <w:rFonts w:hint="eastAsia"/>
        </w:rPr>
        <w:t>各方一致确认，标的资产交割后，目标公司的现有员工仍与其保持劳动关系，并不因本次交易而发生变更、解除或终止。</w:t>
      </w:r>
    </w:p>
    <w:p w14:paraId="45B24671" w14:textId="77777777" w:rsidR="006416B0" w:rsidRPr="00B4515A" w:rsidRDefault="005E58C1" w:rsidP="005860B4">
      <w:pPr>
        <w:pStyle w:val="003"/>
        <w:spacing w:before="120"/>
        <w:ind w:firstLine="482"/>
      </w:pPr>
      <w:r w:rsidRPr="00B4515A">
        <w:rPr>
          <w:rFonts w:hint="eastAsia"/>
        </w:rPr>
        <w:t>（七）协议生效</w:t>
      </w:r>
    </w:p>
    <w:p w14:paraId="63453158" w14:textId="77777777" w:rsidR="006416B0" w:rsidRPr="00B4515A" w:rsidRDefault="005E58C1" w:rsidP="005860B4">
      <w:pPr>
        <w:pStyle w:val="005"/>
        <w:spacing w:before="120" w:after="120"/>
        <w:ind w:firstLine="480"/>
      </w:pPr>
      <w:r w:rsidRPr="00B4515A">
        <w:rPr>
          <w:rFonts w:hint="eastAsia"/>
        </w:rPr>
        <w:t>本协议第十至十九条于各方签字并盖章时生效；本协议其他条款在下列先决条件全部成就时生效：</w:t>
      </w:r>
    </w:p>
    <w:p w14:paraId="7082E411" w14:textId="77777777" w:rsidR="006416B0" w:rsidRPr="00B4515A" w:rsidRDefault="005E58C1" w:rsidP="005860B4">
      <w:pPr>
        <w:pStyle w:val="005"/>
        <w:spacing w:before="120" w:after="120"/>
        <w:ind w:firstLine="480"/>
      </w:pPr>
      <w:r w:rsidRPr="00B4515A">
        <w:t>1</w:t>
      </w:r>
      <w:r w:rsidRPr="00B4515A">
        <w:rPr>
          <w:rFonts w:hint="eastAsia"/>
        </w:rPr>
        <w:t>、标的资产评估结果经相关主管部门备案；</w:t>
      </w:r>
    </w:p>
    <w:p w14:paraId="68745DFA" w14:textId="77777777" w:rsidR="006416B0" w:rsidRPr="00B4515A" w:rsidRDefault="005E58C1" w:rsidP="005860B4">
      <w:pPr>
        <w:pStyle w:val="005"/>
        <w:spacing w:before="120" w:after="120"/>
        <w:ind w:firstLine="480"/>
      </w:pPr>
      <w:r w:rsidRPr="00B4515A">
        <w:t>2</w:t>
      </w:r>
      <w:r w:rsidRPr="00B4515A">
        <w:rPr>
          <w:rFonts w:hint="eastAsia"/>
        </w:rPr>
        <w:t>、乙方内部决策机构审议通过本次交易正式方案；</w:t>
      </w:r>
    </w:p>
    <w:p w14:paraId="53463F1F" w14:textId="77777777" w:rsidR="006416B0" w:rsidRPr="00B4515A" w:rsidRDefault="005E58C1" w:rsidP="005860B4">
      <w:pPr>
        <w:pStyle w:val="005"/>
        <w:spacing w:before="120" w:after="120"/>
        <w:ind w:firstLine="480"/>
      </w:pPr>
      <w:r w:rsidRPr="00B4515A">
        <w:t>3</w:t>
      </w:r>
      <w:r w:rsidRPr="00B4515A">
        <w:rPr>
          <w:rFonts w:hint="eastAsia"/>
        </w:rPr>
        <w:t>、甲方董事会审议通过本次交易正式方案的相关议案；</w:t>
      </w:r>
    </w:p>
    <w:p w14:paraId="48F07967" w14:textId="77777777" w:rsidR="006416B0" w:rsidRPr="00B4515A" w:rsidRDefault="005E58C1" w:rsidP="005860B4">
      <w:pPr>
        <w:pStyle w:val="005"/>
        <w:spacing w:before="120" w:after="120"/>
        <w:ind w:firstLine="480"/>
      </w:pPr>
      <w:r w:rsidRPr="00B4515A">
        <w:t>4</w:t>
      </w:r>
      <w:r w:rsidRPr="00B4515A">
        <w:rPr>
          <w:rFonts w:hint="eastAsia"/>
        </w:rPr>
        <w:t>、甲方股东大会审议通过本次交易的相关议案；</w:t>
      </w:r>
    </w:p>
    <w:p w14:paraId="4C6E48E5" w14:textId="77777777" w:rsidR="006416B0" w:rsidRPr="00B4515A" w:rsidRDefault="005E58C1" w:rsidP="005860B4">
      <w:pPr>
        <w:pStyle w:val="005"/>
        <w:spacing w:before="120" w:after="120"/>
        <w:ind w:firstLine="480"/>
      </w:pPr>
      <w:r w:rsidRPr="00B4515A">
        <w:t>5</w:t>
      </w:r>
      <w:r w:rsidRPr="00B4515A">
        <w:rPr>
          <w:rFonts w:hint="eastAsia"/>
        </w:rPr>
        <w:t>、取得国防科技工业主管部门就本次交易涉及的军工事项审查的批复；</w:t>
      </w:r>
    </w:p>
    <w:p w14:paraId="3DEF6949" w14:textId="77777777" w:rsidR="006416B0" w:rsidRPr="00B4515A" w:rsidRDefault="005E58C1" w:rsidP="005860B4">
      <w:pPr>
        <w:pStyle w:val="005"/>
        <w:spacing w:before="120" w:after="120"/>
        <w:ind w:firstLine="480"/>
      </w:pPr>
      <w:r w:rsidRPr="00B4515A">
        <w:t>6</w:t>
      </w:r>
      <w:r w:rsidRPr="00B4515A">
        <w:rPr>
          <w:rFonts w:hint="eastAsia"/>
        </w:rPr>
        <w:t>、国有资产监督管理机构核准本次交易；</w:t>
      </w:r>
    </w:p>
    <w:p w14:paraId="24A6E52C" w14:textId="77777777" w:rsidR="006416B0" w:rsidRPr="00B4515A" w:rsidRDefault="005E58C1" w:rsidP="005860B4">
      <w:pPr>
        <w:pStyle w:val="005"/>
        <w:spacing w:before="120" w:after="120"/>
        <w:ind w:firstLine="480"/>
      </w:pPr>
      <w:r w:rsidRPr="00B4515A">
        <w:t>7</w:t>
      </w:r>
      <w:r w:rsidRPr="00B4515A">
        <w:rPr>
          <w:rFonts w:hint="eastAsia"/>
        </w:rPr>
        <w:t>、证监会核准本次交易。</w:t>
      </w:r>
    </w:p>
    <w:p w14:paraId="31B27FAF" w14:textId="77777777" w:rsidR="006416B0" w:rsidRPr="00B4515A" w:rsidRDefault="005E58C1" w:rsidP="005860B4">
      <w:pPr>
        <w:pStyle w:val="003"/>
        <w:spacing w:before="120"/>
        <w:ind w:firstLine="482"/>
      </w:pPr>
      <w:r w:rsidRPr="00B4515A">
        <w:rPr>
          <w:rFonts w:hint="eastAsia"/>
        </w:rPr>
        <w:t>（八）违约责任</w:t>
      </w:r>
    </w:p>
    <w:p w14:paraId="27D926FB" w14:textId="77777777" w:rsidR="006416B0" w:rsidRPr="00B4515A" w:rsidRDefault="005E58C1" w:rsidP="005860B4">
      <w:pPr>
        <w:pStyle w:val="005"/>
        <w:spacing w:before="120" w:after="120"/>
        <w:ind w:firstLine="480"/>
      </w:pPr>
      <w:r w:rsidRPr="00B4515A">
        <w:rPr>
          <w:rFonts w:hint="eastAsia"/>
        </w:rPr>
        <w:t>1</w:t>
      </w:r>
      <w:r w:rsidRPr="00B4515A">
        <w:rPr>
          <w:rFonts w:hint="eastAsia"/>
        </w:rPr>
        <w:t>、本协议签订后，除不可抗力以外，任何一方不履行或不及时、不适当履行本协议项下其应履行的任何义务，或违反其在本协议项下作出的任何陈述或保证，均构成违约，应按照法律规定承担违约责任。</w:t>
      </w:r>
    </w:p>
    <w:p w14:paraId="50B92CD2" w14:textId="77777777" w:rsidR="006416B0" w:rsidRPr="00B4515A" w:rsidRDefault="005E58C1" w:rsidP="005860B4">
      <w:pPr>
        <w:pStyle w:val="005"/>
        <w:spacing w:before="120" w:after="120"/>
        <w:ind w:firstLine="480"/>
      </w:pPr>
      <w:r w:rsidRPr="00B4515A">
        <w:t>2</w:t>
      </w:r>
      <w:r w:rsidRPr="00B4515A">
        <w:rPr>
          <w:rFonts w:hint="eastAsia"/>
        </w:rPr>
        <w:t>、</w:t>
      </w:r>
      <w:r w:rsidRPr="00B4515A">
        <w:t>各方同意，本协议第十九条所述本次交易实施的先决条件满足后，乙方中任何一方因其单方面原因违反本协议的约定，未能按照本协议约定的期限办理完毕标的资产交割，每逾期一日，导致逾期的乙方应向甲方支付逾期违约金，具</w:t>
      </w:r>
      <w:r w:rsidRPr="00B4515A">
        <w:lastRenderedPageBreak/>
        <w:t>体为：以本协议第三条确定的标的资产总对价为基数，乘以其拟转让的目标公司对应股权比例的万分之五</w:t>
      </w:r>
      <w:r w:rsidRPr="00B4515A">
        <w:t>/</w:t>
      </w:r>
      <w:r w:rsidRPr="00B4515A">
        <w:t>日。</w:t>
      </w:r>
    </w:p>
    <w:p w14:paraId="6AF9529F" w14:textId="77777777" w:rsidR="006416B0" w:rsidRPr="00B4515A" w:rsidRDefault="005E58C1" w:rsidP="005860B4">
      <w:pPr>
        <w:pStyle w:val="005"/>
        <w:spacing w:before="120" w:after="120"/>
        <w:ind w:firstLine="480"/>
      </w:pPr>
      <w:r w:rsidRPr="00B4515A">
        <w:t>3</w:t>
      </w:r>
      <w:r w:rsidRPr="00B4515A">
        <w:rPr>
          <w:rFonts w:hint="eastAsia"/>
        </w:rPr>
        <w:t>、</w:t>
      </w:r>
      <w:r w:rsidRPr="00B4515A">
        <w:t>各方同意，本协议第十九条所述本次交易实施的先决条件满足后，甲方未能按照本协议的约定办理完成相关对价股份登记至乙方任一方名下的手续，每逾期一日，甲方应分别向乙方支付逾期违约金，具体为：以本协议第三条确定的标的资产总对价为基数，分别乘以各乙方拟转让的目标公司对应股权比例的万分之五</w:t>
      </w:r>
      <w:r w:rsidRPr="00B4515A">
        <w:t>/</w:t>
      </w:r>
      <w:r w:rsidRPr="00B4515A">
        <w:t>日，分别向乙方支付。</w:t>
      </w:r>
    </w:p>
    <w:p w14:paraId="79E391E6" w14:textId="77777777" w:rsidR="006416B0" w:rsidRPr="00B4515A" w:rsidRDefault="005E58C1" w:rsidP="005860B4">
      <w:pPr>
        <w:pStyle w:val="005"/>
        <w:spacing w:before="120" w:after="120"/>
        <w:ind w:firstLine="480"/>
      </w:pPr>
      <w:bookmarkStart w:id="291" w:name="_Hlk70250475"/>
      <w:r w:rsidRPr="00B4515A">
        <w:rPr>
          <w:rFonts w:hint="eastAsia"/>
        </w:rPr>
        <w:t>4</w:t>
      </w:r>
      <w:r w:rsidRPr="00B4515A">
        <w:rPr>
          <w:rFonts w:hint="eastAsia"/>
        </w:rPr>
        <w:t>、除本协议另有约定外，协议任何一方违反本协议中约定的承诺与保证的，应当赔偿守约方直接经济损失（包括守约方因履行本协议发生的损失、费用、损害和开支）。</w:t>
      </w:r>
      <w:bookmarkEnd w:id="285"/>
      <w:bookmarkEnd w:id="291"/>
    </w:p>
    <w:p w14:paraId="2A611360" w14:textId="77777777" w:rsidR="006416B0" w:rsidRPr="00B4515A" w:rsidRDefault="005E58C1" w:rsidP="005860B4">
      <w:pPr>
        <w:pStyle w:val="002"/>
        <w:spacing w:before="120" w:after="120"/>
        <w:ind w:firstLine="562"/>
      </w:pPr>
      <w:bookmarkStart w:id="292" w:name="_Toc80960558"/>
      <w:r w:rsidRPr="00B4515A">
        <w:rPr>
          <w:rFonts w:hint="eastAsia"/>
        </w:rPr>
        <w:t>二、发行股份购买资产协议之补充协议主要内容</w:t>
      </w:r>
      <w:bookmarkEnd w:id="292"/>
    </w:p>
    <w:p w14:paraId="6931163A" w14:textId="77777777" w:rsidR="006416B0" w:rsidRPr="00B4515A" w:rsidRDefault="005E58C1" w:rsidP="005860B4">
      <w:pPr>
        <w:pStyle w:val="003"/>
        <w:spacing w:before="120"/>
        <w:ind w:firstLine="482"/>
      </w:pPr>
      <w:bookmarkStart w:id="293" w:name="_Hlk76935583"/>
      <w:r w:rsidRPr="00B4515A">
        <w:rPr>
          <w:rFonts w:hint="eastAsia"/>
        </w:rPr>
        <w:t>（一）合同主体、签订时间</w:t>
      </w:r>
    </w:p>
    <w:p w14:paraId="1B2E8C6F" w14:textId="2C142106" w:rsidR="006416B0" w:rsidRPr="00B4515A" w:rsidRDefault="005E58C1" w:rsidP="005860B4">
      <w:pPr>
        <w:pStyle w:val="005"/>
        <w:spacing w:before="120" w:after="120"/>
        <w:ind w:firstLine="480"/>
      </w:pPr>
      <w:r w:rsidRPr="00B4515A">
        <w:t>2021</w:t>
      </w:r>
      <w:r w:rsidRPr="00B4515A">
        <w:t>年</w:t>
      </w:r>
      <w:r w:rsidR="00C40D09" w:rsidRPr="00B4515A">
        <w:t>8</w:t>
      </w:r>
      <w:r w:rsidRPr="00B4515A">
        <w:t>月</w:t>
      </w:r>
      <w:r w:rsidR="009C001B" w:rsidRPr="00B4515A">
        <w:rPr>
          <w:rFonts w:hint="eastAsia"/>
        </w:rPr>
        <w:t>26</w:t>
      </w:r>
      <w:r w:rsidRPr="00B4515A">
        <w:t>日，大唐电信与电信科研院、大唐控股、</w:t>
      </w:r>
      <w:r w:rsidR="00252376" w:rsidRPr="00B4515A">
        <w:t>长江移动基金</w:t>
      </w:r>
      <w:r w:rsidRPr="00B4515A">
        <w:t>、结构调整基金</w:t>
      </w:r>
      <w:r w:rsidRPr="00B4515A">
        <w:rPr>
          <w:rFonts w:hint="eastAsia"/>
        </w:rPr>
        <w:t>、</w:t>
      </w:r>
      <w:r w:rsidRPr="00B4515A">
        <w:t>金融街资本、天津益诚、天津乾诚、天津首诚</w:t>
      </w:r>
      <w:r w:rsidRPr="00B4515A">
        <w:rPr>
          <w:rFonts w:hint="eastAsia"/>
        </w:rPr>
        <w:t>及</w:t>
      </w:r>
      <w:r w:rsidRPr="00B4515A">
        <w:t>天津军诚签订了《大唐电信科技股份有限公司与大唐联诚信息系统技术有限公司股东之发行股份购买资产协议之补充协议》。其中上市公司为协议中的甲方</w:t>
      </w:r>
      <w:r w:rsidRPr="00B4515A">
        <w:rPr>
          <w:rFonts w:hint="eastAsia"/>
        </w:rPr>
        <w:t>，</w:t>
      </w:r>
      <w:r w:rsidRPr="00B4515A">
        <w:t>电信科研院、大唐控股、</w:t>
      </w:r>
      <w:r w:rsidR="00252376" w:rsidRPr="00B4515A">
        <w:t>长江移动基金</w:t>
      </w:r>
      <w:r w:rsidRPr="00B4515A">
        <w:t>、结构调整基金、金融街资本</w:t>
      </w:r>
      <w:r w:rsidRPr="00B4515A">
        <w:rPr>
          <w:rFonts w:hint="eastAsia"/>
        </w:rPr>
        <w:t>、</w:t>
      </w:r>
      <w:r w:rsidRPr="00B4515A">
        <w:t>天津益诚、天津乾诚、天津首诚</w:t>
      </w:r>
      <w:r w:rsidRPr="00B4515A">
        <w:rPr>
          <w:rFonts w:hint="eastAsia"/>
        </w:rPr>
        <w:t>及天</w:t>
      </w:r>
      <w:r w:rsidRPr="00B4515A">
        <w:t>津军诚为协议中的乙方</w:t>
      </w:r>
      <w:r w:rsidRPr="00B4515A">
        <w:rPr>
          <w:rFonts w:hint="eastAsia"/>
        </w:rPr>
        <w:t>。</w:t>
      </w:r>
      <w:r w:rsidRPr="00B4515A">
        <w:t>电信科研院、大唐控股、</w:t>
      </w:r>
      <w:r w:rsidR="00252376" w:rsidRPr="00B4515A">
        <w:t>长江移动基金</w:t>
      </w:r>
      <w:r w:rsidRPr="00B4515A">
        <w:t>、结构调整基金、金融街资本</w:t>
      </w:r>
      <w:r w:rsidRPr="00B4515A">
        <w:rPr>
          <w:rFonts w:hint="eastAsia"/>
        </w:rPr>
        <w:t>为乙方</w:t>
      </w:r>
      <w:r w:rsidRPr="00B4515A">
        <w:rPr>
          <w:rFonts w:hint="eastAsia"/>
        </w:rPr>
        <w:t>1-</w:t>
      </w:r>
      <w:r w:rsidRPr="00B4515A">
        <w:rPr>
          <w:rFonts w:hint="eastAsia"/>
        </w:rPr>
        <w:t>乙方</w:t>
      </w:r>
      <w:r w:rsidRPr="00B4515A">
        <w:rPr>
          <w:rFonts w:hint="eastAsia"/>
        </w:rPr>
        <w:t>5</w:t>
      </w:r>
      <w:r w:rsidRPr="00B4515A">
        <w:rPr>
          <w:rFonts w:hint="eastAsia"/>
        </w:rPr>
        <w:t>（转让方），</w:t>
      </w:r>
      <w:r w:rsidRPr="00B4515A">
        <w:t>天津益诚、天津乾诚、天津首诚、天津军诚</w:t>
      </w:r>
      <w:r w:rsidRPr="00B4515A">
        <w:rPr>
          <w:rFonts w:hint="eastAsia"/>
        </w:rPr>
        <w:t>为乙方</w:t>
      </w:r>
      <w:r w:rsidRPr="00B4515A">
        <w:rPr>
          <w:rFonts w:hint="eastAsia"/>
        </w:rPr>
        <w:t>6-</w:t>
      </w:r>
      <w:r w:rsidRPr="00B4515A">
        <w:rPr>
          <w:rFonts w:hint="eastAsia"/>
        </w:rPr>
        <w:t>乙方</w:t>
      </w:r>
      <w:r w:rsidRPr="00B4515A">
        <w:rPr>
          <w:rFonts w:hint="eastAsia"/>
        </w:rPr>
        <w:t>9</w:t>
      </w:r>
      <w:r w:rsidRPr="00B4515A">
        <w:rPr>
          <w:rFonts w:hint="eastAsia"/>
        </w:rPr>
        <w:t>。</w:t>
      </w:r>
    </w:p>
    <w:p w14:paraId="63CE3E3C" w14:textId="77777777" w:rsidR="006416B0" w:rsidRPr="00B4515A" w:rsidRDefault="005E58C1" w:rsidP="005860B4">
      <w:pPr>
        <w:pStyle w:val="003"/>
        <w:spacing w:before="120"/>
        <w:ind w:firstLine="482"/>
      </w:pPr>
      <w:r w:rsidRPr="00B4515A">
        <w:rPr>
          <w:rFonts w:hint="eastAsia"/>
        </w:rPr>
        <w:t>（二）本次交易方案</w:t>
      </w:r>
    </w:p>
    <w:p w14:paraId="7A3681AC" w14:textId="77777777" w:rsidR="006416B0" w:rsidRPr="00B4515A" w:rsidRDefault="005E58C1" w:rsidP="005860B4">
      <w:pPr>
        <w:pStyle w:val="005"/>
        <w:spacing w:before="120" w:after="120"/>
        <w:ind w:firstLine="480"/>
      </w:pPr>
      <w:r w:rsidRPr="00B4515A">
        <w:t>1</w:t>
      </w:r>
      <w:r w:rsidRPr="00B4515A">
        <w:rPr>
          <w:rFonts w:hint="eastAsia"/>
        </w:rPr>
        <w:t>、</w:t>
      </w:r>
      <w:r w:rsidRPr="00B4515A">
        <w:t>各方同意，甲方以发行股份作为对价，购买转让方合计持有的目标公司</w:t>
      </w:r>
      <w:r w:rsidRPr="00B4515A">
        <w:t>95.001%</w:t>
      </w:r>
      <w:r w:rsidRPr="00B4515A">
        <w:t>的股权，即本次交易项下的标的资产由《原协议》约定的乙方合计持有的目标公司</w:t>
      </w:r>
      <w:r w:rsidRPr="00B4515A">
        <w:t>100%</w:t>
      </w:r>
      <w:r w:rsidRPr="00B4515A">
        <w:t>股权变更为乙</w:t>
      </w:r>
      <w:r w:rsidRPr="00B4515A">
        <w:rPr>
          <w:rFonts w:hint="eastAsia"/>
        </w:rPr>
        <w:t>方</w:t>
      </w:r>
      <w:r w:rsidRPr="00B4515A">
        <w:t>1-</w:t>
      </w:r>
      <w:r w:rsidRPr="00B4515A">
        <w:t>乙方</w:t>
      </w:r>
      <w:r w:rsidRPr="00B4515A">
        <w:t>5</w:t>
      </w:r>
      <w:r w:rsidRPr="00B4515A">
        <w:t>合计持有的目标公司</w:t>
      </w:r>
      <w:r w:rsidRPr="00B4515A">
        <w:t>95.001%</w:t>
      </w:r>
      <w:r w:rsidRPr="00B4515A">
        <w:t>股权（以下简称</w:t>
      </w:r>
      <w:r w:rsidRPr="00B4515A">
        <w:rPr>
          <w:rFonts w:ascii="宋体" w:hAnsi="宋体" w:hint="eastAsia"/>
        </w:rPr>
        <w:t>“</w:t>
      </w:r>
      <w:r w:rsidRPr="00B4515A">
        <w:t>标的资产</w:t>
      </w:r>
      <w:r w:rsidRPr="00B4515A">
        <w:rPr>
          <w:rFonts w:ascii="宋体" w:hAnsi="宋体" w:hint="eastAsia"/>
        </w:rPr>
        <w:t>”</w:t>
      </w:r>
      <w:r w:rsidRPr="00B4515A">
        <w:t>）；本次交易完成后，目标公司将成为甲方的控股子公司，转让方将成为甲方股东。</w:t>
      </w:r>
    </w:p>
    <w:p w14:paraId="1819A9AF" w14:textId="77777777" w:rsidR="006416B0" w:rsidRPr="00B4515A" w:rsidRDefault="005E58C1" w:rsidP="005860B4">
      <w:pPr>
        <w:pStyle w:val="005"/>
        <w:spacing w:before="120" w:after="120"/>
        <w:ind w:firstLine="480"/>
      </w:pPr>
      <w:r w:rsidRPr="00B4515A">
        <w:t>2</w:t>
      </w:r>
      <w:r w:rsidRPr="00B4515A">
        <w:rPr>
          <w:rFonts w:hint="eastAsia"/>
        </w:rPr>
        <w:t>、各方一致同意，乙方</w:t>
      </w:r>
      <w:r w:rsidRPr="00B4515A">
        <w:rPr>
          <w:rFonts w:hint="eastAsia"/>
        </w:rPr>
        <w:t>6-</w:t>
      </w:r>
      <w:r w:rsidRPr="00B4515A">
        <w:rPr>
          <w:rFonts w:hint="eastAsia"/>
        </w:rPr>
        <w:t>乙方</w:t>
      </w:r>
      <w:r w:rsidRPr="00B4515A">
        <w:rPr>
          <w:rFonts w:hint="eastAsia"/>
        </w:rPr>
        <w:t>9</w:t>
      </w:r>
      <w:r w:rsidRPr="00B4515A">
        <w:rPr>
          <w:rFonts w:hint="eastAsia"/>
        </w:rPr>
        <w:t>不再参与本次交易，不再履行《原协议》的约定，乙方</w:t>
      </w:r>
      <w:r w:rsidRPr="00B4515A">
        <w:rPr>
          <w:rFonts w:hint="eastAsia"/>
        </w:rPr>
        <w:t>6-</w:t>
      </w:r>
      <w:r w:rsidRPr="00B4515A">
        <w:rPr>
          <w:rFonts w:hint="eastAsia"/>
        </w:rPr>
        <w:t>乙方</w:t>
      </w:r>
      <w:r w:rsidRPr="00B4515A">
        <w:rPr>
          <w:rFonts w:hint="eastAsia"/>
        </w:rPr>
        <w:t>9</w:t>
      </w:r>
      <w:r w:rsidRPr="00B4515A">
        <w:rPr>
          <w:rFonts w:hint="eastAsia"/>
        </w:rPr>
        <w:t>继续作为目标公司股东按照目标公司章程行使股东权利、</w:t>
      </w:r>
      <w:r w:rsidRPr="00B4515A">
        <w:rPr>
          <w:rFonts w:hint="eastAsia"/>
        </w:rPr>
        <w:lastRenderedPageBreak/>
        <w:t>履行股东义务。《原协议》在甲方和转让方之间仍然成立，在满足《原协议》和本补充协议的生效条件后对甲方和转让方产生法律效力。</w:t>
      </w:r>
    </w:p>
    <w:p w14:paraId="2B8F5E57" w14:textId="77777777" w:rsidR="006416B0" w:rsidRPr="00B4515A" w:rsidRDefault="005E58C1" w:rsidP="005860B4">
      <w:pPr>
        <w:pStyle w:val="005"/>
        <w:spacing w:before="120" w:after="120"/>
        <w:ind w:firstLine="480"/>
      </w:pPr>
      <w:r w:rsidRPr="00B4515A">
        <w:t>3</w:t>
      </w:r>
      <w:r w:rsidRPr="00B4515A">
        <w:rPr>
          <w:rFonts w:hint="eastAsia"/>
        </w:rPr>
        <w:t>、乙方</w:t>
      </w:r>
      <w:r w:rsidRPr="00B4515A">
        <w:rPr>
          <w:rFonts w:hint="eastAsia"/>
        </w:rPr>
        <w:t>6-</w:t>
      </w:r>
      <w:r w:rsidRPr="00B4515A">
        <w:rPr>
          <w:rFonts w:hint="eastAsia"/>
        </w:rPr>
        <w:t>乙方</w:t>
      </w:r>
      <w:r w:rsidRPr="00B4515A">
        <w:rPr>
          <w:rFonts w:hint="eastAsia"/>
        </w:rPr>
        <w:t>9</w:t>
      </w:r>
      <w:r w:rsidRPr="00B4515A">
        <w:rPr>
          <w:rFonts w:hint="eastAsia"/>
        </w:rPr>
        <w:t>均同意放弃其依据《公司法》及目标公司章程所享有的对转让方拟转让的标的资产的优先购买权。</w:t>
      </w:r>
    </w:p>
    <w:p w14:paraId="3622F930" w14:textId="77777777" w:rsidR="006416B0" w:rsidRPr="00B4515A" w:rsidRDefault="005E58C1" w:rsidP="005860B4">
      <w:pPr>
        <w:pStyle w:val="003"/>
        <w:spacing w:before="120"/>
        <w:ind w:firstLine="482"/>
      </w:pPr>
      <w:r w:rsidRPr="00B4515A">
        <w:rPr>
          <w:rFonts w:hint="eastAsia"/>
        </w:rPr>
        <w:t>（三）交易价格及定价依据</w:t>
      </w:r>
    </w:p>
    <w:p w14:paraId="76BE6826" w14:textId="77777777" w:rsidR="006416B0" w:rsidRPr="00B4515A" w:rsidRDefault="005E58C1" w:rsidP="005860B4">
      <w:pPr>
        <w:pStyle w:val="005"/>
        <w:spacing w:before="120" w:after="120"/>
        <w:ind w:firstLine="480"/>
      </w:pPr>
      <w:r w:rsidRPr="00B4515A">
        <w:rPr>
          <w:rFonts w:hint="eastAsia"/>
        </w:rPr>
        <w:t>根据</w:t>
      </w:r>
      <w:bookmarkStart w:id="294" w:name="_Hlk76935997"/>
      <w:r w:rsidRPr="00B4515A">
        <w:rPr>
          <w:rFonts w:hint="eastAsia"/>
        </w:rPr>
        <w:t>上海东洲资产评估有限公司</w:t>
      </w:r>
      <w:bookmarkEnd w:id="294"/>
      <w:r w:rsidRPr="00B4515A">
        <w:rPr>
          <w:rFonts w:hint="eastAsia"/>
        </w:rPr>
        <w:t>出具的并经国务院国资委备案的《资产评估报告》，目标公司截至评估基准日的股东全部权益的评估价值为</w:t>
      </w:r>
      <w:r w:rsidRPr="00B4515A">
        <w:t>148,256.37</w:t>
      </w:r>
      <w:r w:rsidRPr="00B4515A">
        <w:rPr>
          <w:rFonts w:hint="eastAsia"/>
        </w:rPr>
        <w:t>万元（以下简称</w:t>
      </w:r>
      <w:r w:rsidRPr="00B4515A">
        <w:rPr>
          <w:rFonts w:ascii="宋体" w:hAnsi="宋体" w:hint="eastAsia"/>
        </w:rPr>
        <w:t>“</w:t>
      </w:r>
      <w:r w:rsidRPr="00B4515A">
        <w:rPr>
          <w:rFonts w:hint="eastAsia"/>
        </w:rPr>
        <w:t>目标公司评估值</w:t>
      </w:r>
      <w:r w:rsidRPr="00B4515A">
        <w:rPr>
          <w:rFonts w:ascii="宋体" w:hAnsi="宋体" w:hint="eastAsia"/>
        </w:rPr>
        <w:t>”</w:t>
      </w:r>
      <w:r w:rsidRPr="00B4515A">
        <w:rPr>
          <w:rFonts w:hint="eastAsia"/>
        </w:rPr>
        <w:t>）。基于前述评估值，经各方协商，一致同意本协议项下标的资产的交易价格为目标公司评估值与</w:t>
      </w:r>
      <w:r w:rsidRPr="00B4515A">
        <w:rPr>
          <w:rFonts w:hint="eastAsia"/>
        </w:rPr>
        <w:t>9</w:t>
      </w:r>
      <w:r w:rsidRPr="00B4515A">
        <w:t>5.001</w:t>
      </w:r>
      <w:r w:rsidRPr="00B4515A">
        <w:rPr>
          <w:rFonts w:hint="eastAsia"/>
        </w:rPr>
        <w:t>%</w:t>
      </w:r>
      <w:r w:rsidRPr="00B4515A">
        <w:rPr>
          <w:rFonts w:hint="eastAsia"/>
        </w:rPr>
        <w:t>的乘积，即</w:t>
      </w:r>
      <w:r w:rsidRPr="00B4515A">
        <w:t>1,408,450,340.64</w:t>
      </w:r>
      <w:r w:rsidRPr="00B4515A">
        <w:rPr>
          <w:rFonts w:hint="eastAsia"/>
        </w:rPr>
        <w:t>元。</w:t>
      </w:r>
    </w:p>
    <w:p w14:paraId="01AE5F1D" w14:textId="77777777" w:rsidR="006416B0" w:rsidRPr="00B4515A" w:rsidRDefault="005E58C1" w:rsidP="005860B4">
      <w:pPr>
        <w:pStyle w:val="003"/>
        <w:spacing w:before="120"/>
        <w:ind w:firstLine="482"/>
      </w:pPr>
      <w:r w:rsidRPr="00B4515A">
        <w:rPr>
          <w:rFonts w:hint="eastAsia"/>
        </w:rPr>
        <w:t>（四）</w:t>
      </w:r>
      <w:r w:rsidRPr="00B4515A">
        <w:t>对价股份的发行价格及发行数量</w:t>
      </w:r>
    </w:p>
    <w:p w14:paraId="19837ED4" w14:textId="77777777" w:rsidR="006416B0" w:rsidRPr="00B4515A" w:rsidRDefault="005E58C1" w:rsidP="005860B4">
      <w:pPr>
        <w:pStyle w:val="005"/>
        <w:spacing w:before="120" w:after="120"/>
        <w:ind w:firstLine="480"/>
      </w:pPr>
      <w:r w:rsidRPr="00B4515A">
        <w:t>1</w:t>
      </w:r>
      <w:r w:rsidRPr="00B4515A">
        <w:rPr>
          <w:rFonts w:hint="eastAsia"/>
        </w:rPr>
        <w:t>、根据《原协议》，对价股份的发行价格为</w:t>
      </w:r>
      <w:r w:rsidRPr="00B4515A">
        <w:rPr>
          <w:rFonts w:hint="eastAsia"/>
        </w:rPr>
        <w:t>5.85</w:t>
      </w:r>
      <w:r w:rsidRPr="00B4515A">
        <w:rPr>
          <w:rFonts w:hint="eastAsia"/>
        </w:rPr>
        <w:t>元</w:t>
      </w:r>
      <w:r w:rsidRPr="00B4515A">
        <w:rPr>
          <w:rFonts w:hint="eastAsia"/>
        </w:rPr>
        <w:t>/</w:t>
      </w:r>
      <w:r w:rsidRPr="00B4515A">
        <w:rPr>
          <w:rFonts w:hint="eastAsia"/>
        </w:rPr>
        <w:t>股，不低于定价基准日前</w:t>
      </w:r>
      <w:r w:rsidRPr="00B4515A">
        <w:rPr>
          <w:rFonts w:hint="eastAsia"/>
        </w:rPr>
        <w:t>60</w:t>
      </w:r>
      <w:r w:rsidRPr="00B4515A">
        <w:rPr>
          <w:rFonts w:hint="eastAsia"/>
        </w:rPr>
        <w:t>个交易日甲方股票交易均价的</w:t>
      </w:r>
      <w:r w:rsidRPr="00B4515A">
        <w:rPr>
          <w:rFonts w:hint="eastAsia"/>
        </w:rPr>
        <w:t>90%</w:t>
      </w:r>
      <w:r w:rsidRPr="00B4515A">
        <w:rPr>
          <w:rFonts w:hint="eastAsia"/>
        </w:rPr>
        <w:t>。甲方</w:t>
      </w:r>
      <w:r w:rsidRPr="00B4515A">
        <w:rPr>
          <w:rFonts w:hint="eastAsia"/>
        </w:rPr>
        <w:t>2020</w:t>
      </w:r>
      <w:r w:rsidRPr="00B4515A">
        <w:rPr>
          <w:rFonts w:hint="eastAsia"/>
        </w:rPr>
        <w:t>年度未进行利润分配或资本公积转增股本，因此</w:t>
      </w:r>
      <w:r w:rsidRPr="00B4515A">
        <w:t>本次发行股份购买资产</w:t>
      </w:r>
      <w:r w:rsidRPr="00B4515A">
        <w:rPr>
          <w:rFonts w:hint="eastAsia"/>
        </w:rPr>
        <w:t>对价股份的发行价格无需调整，仍为</w:t>
      </w:r>
      <w:r w:rsidRPr="00B4515A">
        <w:rPr>
          <w:rFonts w:hint="eastAsia"/>
        </w:rPr>
        <w:t>5</w:t>
      </w:r>
      <w:r w:rsidRPr="00B4515A">
        <w:t>.85</w:t>
      </w:r>
      <w:r w:rsidRPr="00B4515A">
        <w:rPr>
          <w:rFonts w:hint="eastAsia"/>
        </w:rPr>
        <w:t>元</w:t>
      </w:r>
      <w:r w:rsidRPr="00B4515A">
        <w:rPr>
          <w:rFonts w:hint="eastAsia"/>
        </w:rPr>
        <w:t>/</w:t>
      </w:r>
      <w:r w:rsidRPr="00B4515A">
        <w:rPr>
          <w:rFonts w:hint="eastAsia"/>
        </w:rPr>
        <w:t>股。</w:t>
      </w:r>
    </w:p>
    <w:p w14:paraId="64A553B2" w14:textId="77777777" w:rsidR="006416B0" w:rsidRPr="00B4515A" w:rsidRDefault="005E58C1" w:rsidP="005860B4">
      <w:pPr>
        <w:pStyle w:val="005"/>
        <w:spacing w:before="120" w:after="120"/>
        <w:ind w:firstLine="480"/>
      </w:pPr>
      <w:r w:rsidRPr="00B4515A">
        <w:t>2</w:t>
      </w:r>
      <w:r w:rsidRPr="00B4515A">
        <w:rPr>
          <w:rFonts w:hint="eastAsia"/>
        </w:rPr>
        <w:t>、根据各方确定的标的资产的交易价格及对价股份发行价格，本次发行股份购买资产向各转让方发行的股份数量</w:t>
      </w:r>
      <w:r w:rsidRPr="00B4515A">
        <w:rPr>
          <w:rFonts w:hint="eastAsia"/>
        </w:rPr>
        <w:t>=</w:t>
      </w:r>
      <w:r w:rsidRPr="00B4515A">
        <w:rPr>
          <w:rFonts w:hint="eastAsia"/>
        </w:rPr>
        <w:t>以发行股份形式向各转让方支付的交易对价（具体为目标公司评估值与各转让方分别在本次交易前持有目标公司股权的比例乘积）</w:t>
      </w:r>
      <w:r w:rsidRPr="00B4515A">
        <w:rPr>
          <w:rFonts w:hint="eastAsia"/>
        </w:rPr>
        <w:t>/</w:t>
      </w:r>
      <w:r w:rsidRPr="00B4515A">
        <w:rPr>
          <w:rFonts w:hint="eastAsia"/>
        </w:rPr>
        <w:t>本次发行股份购买资产的发行价格；按照前述公式，甲方在本次发行股份购买资产交易项下发行的股份数量总计为</w:t>
      </w:r>
      <w:r w:rsidRPr="00B4515A">
        <w:t>240,760,740</w:t>
      </w:r>
      <w:r w:rsidRPr="00B4515A">
        <w:rPr>
          <w:rFonts w:hint="eastAsia"/>
        </w:rPr>
        <w:t>股。</w:t>
      </w:r>
    </w:p>
    <w:p w14:paraId="3588CBDA" w14:textId="77777777" w:rsidR="006416B0" w:rsidRPr="00B4515A" w:rsidRDefault="005E58C1" w:rsidP="005860B4">
      <w:pPr>
        <w:pStyle w:val="005"/>
        <w:spacing w:before="120" w:after="120"/>
        <w:ind w:firstLine="480"/>
      </w:pPr>
      <w:r w:rsidRPr="00B4515A">
        <w:rPr>
          <w:rFonts w:hint="eastAsia"/>
        </w:rPr>
        <w:t>3</w:t>
      </w:r>
      <w:r w:rsidRPr="00B4515A">
        <w:rPr>
          <w:rFonts w:hint="eastAsia"/>
        </w:rPr>
        <w:t>、根据转让方分别持有标的资产的数额及比例，</w:t>
      </w:r>
      <w:bookmarkStart w:id="295" w:name="_Hlk75541133"/>
      <w:r w:rsidRPr="00B4515A">
        <w:rPr>
          <w:rFonts w:hint="eastAsia"/>
        </w:rPr>
        <w:t>就本次交易，每一转让方所持标的资产对应的交易对价及</w:t>
      </w:r>
      <w:bookmarkEnd w:id="295"/>
      <w:r w:rsidRPr="00B4515A">
        <w:rPr>
          <w:rFonts w:hint="eastAsia"/>
        </w:rPr>
        <w:t>甲方应就本次交易分别向转让方支付的对价股份数额如下表所示：</w:t>
      </w:r>
    </w:p>
    <w:tbl>
      <w:tblPr>
        <w:tblStyle w:val="af8"/>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567"/>
        <w:gridCol w:w="1420"/>
        <w:gridCol w:w="1476"/>
        <w:gridCol w:w="1004"/>
        <w:gridCol w:w="1109"/>
        <w:gridCol w:w="1686"/>
        <w:gridCol w:w="1266"/>
      </w:tblGrid>
      <w:tr w:rsidR="006416B0" w:rsidRPr="00B4515A" w14:paraId="01E52136" w14:textId="77777777" w:rsidTr="005860B4">
        <w:trPr>
          <w:trHeight w:val="340"/>
          <w:tblHeader/>
          <w:jc w:val="center"/>
        </w:trPr>
        <w:tc>
          <w:tcPr>
            <w:tcW w:w="395" w:type="pct"/>
            <w:tcMar>
              <w:top w:w="0" w:type="dxa"/>
              <w:left w:w="108" w:type="dxa"/>
              <w:bottom w:w="0" w:type="dxa"/>
              <w:right w:w="108" w:type="dxa"/>
            </w:tcMar>
            <w:vAlign w:val="center"/>
          </w:tcPr>
          <w:p w14:paraId="5C012B28" w14:textId="77777777" w:rsidR="006416B0" w:rsidRPr="00B4515A" w:rsidRDefault="005E58C1" w:rsidP="005860B4">
            <w:pPr>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hint="eastAsia"/>
                <w:b/>
                <w:bCs/>
                <w:color w:val="000000"/>
                <w:spacing w:val="-2"/>
                <w:sz w:val="21"/>
                <w:szCs w:val="21"/>
              </w:rPr>
              <w:t>序号</w:t>
            </w:r>
          </w:p>
        </w:tc>
        <w:tc>
          <w:tcPr>
            <w:tcW w:w="895" w:type="pct"/>
            <w:tcMar>
              <w:top w:w="0" w:type="dxa"/>
              <w:left w:w="108" w:type="dxa"/>
              <w:bottom w:w="0" w:type="dxa"/>
              <w:right w:w="108" w:type="dxa"/>
            </w:tcMar>
            <w:vAlign w:val="center"/>
          </w:tcPr>
          <w:p w14:paraId="33E189E1" w14:textId="77777777" w:rsidR="006416B0" w:rsidRPr="00B4515A" w:rsidRDefault="005E58C1" w:rsidP="005860B4">
            <w:pPr>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hint="eastAsia"/>
                <w:b/>
                <w:bCs/>
                <w:color w:val="000000"/>
                <w:spacing w:val="-2"/>
                <w:sz w:val="21"/>
                <w:szCs w:val="21"/>
              </w:rPr>
              <w:t>转让方名称</w:t>
            </w:r>
          </w:p>
        </w:tc>
        <w:tc>
          <w:tcPr>
            <w:tcW w:w="837" w:type="pct"/>
            <w:tcMar>
              <w:top w:w="0" w:type="dxa"/>
              <w:left w:w="108" w:type="dxa"/>
              <w:bottom w:w="0" w:type="dxa"/>
              <w:right w:w="108" w:type="dxa"/>
            </w:tcMar>
            <w:vAlign w:val="center"/>
          </w:tcPr>
          <w:p w14:paraId="57CD9475" w14:textId="6AD9AAA4" w:rsidR="006416B0" w:rsidRPr="00B4515A" w:rsidRDefault="005E58C1" w:rsidP="005860B4">
            <w:pPr>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hint="eastAsia"/>
                <w:b/>
                <w:bCs/>
                <w:color w:val="000000"/>
                <w:spacing w:val="8"/>
                <w:sz w:val="21"/>
                <w:szCs w:val="21"/>
              </w:rPr>
              <w:t>拟转让出资额（万元）</w:t>
            </w:r>
          </w:p>
        </w:tc>
        <w:tc>
          <w:tcPr>
            <w:tcW w:w="575" w:type="pct"/>
            <w:tcMar>
              <w:top w:w="0" w:type="dxa"/>
              <w:left w:w="108" w:type="dxa"/>
              <w:bottom w:w="0" w:type="dxa"/>
              <w:right w:w="108" w:type="dxa"/>
            </w:tcMar>
            <w:vAlign w:val="center"/>
          </w:tcPr>
          <w:p w14:paraId="04C52A8B" w14:textId="77777777" w:rsidR="006416B0" w:rsidRPr="00B4515A" w:rsidRDefault="005E58C1" w:rsidP="005860B4">
            <w:pPr>
              <w:adjustRightInd w:val="0"/>
              <w:snapToGrid w:val="0"/>
              <w:jc w:val="center"/>
              <w:rPr>
                <w:rFonts w:ascii="Times New Roman" w:hAnsi="Times New Roman" w:cs="Times New Roman"/>
                <w:b/>
                <w:bCs/>
                <w:color w:val="000000"/>
                <w:spacing w:val="-2"/>
                <w:sz w:val="21"/>
                <w:szCs w:val="21"/>
              </w:rPr>
            </w:pPr>
            <w:r w:rsidRPr="00B4515A">
              <w:rPr>
                <w:rFonts w:ascii="Times New Roman" w:hAnsi="Times New Roman" w:cs="Times New Roman" w:hint="eastAsia"/>
                <w:b/>
                <w:bCs/>
                <w:color w:val="000000"/>
                <w:spacing w:val="8"/>
                <w:sz w:val="21"/>
                <w:szCs w:val="21"/>
              </w:rPr>
              <w:t>占目标公司出资</w:t>
            </w:r>
            <w:r w:rsidRPr="00B4515A">
              <w:rPr>
                <w:rFonts w:ascii="Times New Roman" w:hAnsi="Times New Roman" w:cs="Times New Roman"/>
                <w:b/>
                <w:bCs/>
                <w:color w:val="000000"/>
                <w:spacing w:val="8"/>
                <w:sz w:val="21"/>
                <w:szCs w:val="21"/>
              </w:rPr>
              <w:t>比例</w:t>
            </w:r>
          </w:p>
        </w:tc>
        <w:tc>
          <w:tcPr>
            <w:tcW w:w="631" w:type="pct"/>
            <w:tcMar>
              <w:top w:w="0" w:type="dxa"/>
              <w:left w:w="108" w:type="dxa"/>
              <w:bottom w:w="0" w:type="dxa"/>
              <w:right w:w="108" w:type="dxa"/>
            </w:tcMar>
            <w:vAlign w:val="center"/>
          </w:tcPr>
          <w:p w14:paraId="3B74424D" w14:textId="77777777" w:rsidR="005860B4" w:rsidRPr="00B4515A" w:rsidRDefault="005E58C1" w:rsidP="005860B4">
            <w:pPr>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hint="eastAsia"/>
                <w:b/>
                <w:bCs/>
                <w:color w:val="000000"/>
                <w:spacing w:val="8"/>
                <w:sz w:val="21"/>
                <w:szCs w:val="21"/>
              </w:rPr>
              <w:t>占标的资产</w:t>
            </w:r>
          </w:p>
          <w:p w14:paraId="1AFDC867" w14:textId="76204D06" w:rsidR="006416B0" w:rsidRPr="00B4515A" w:rsidRDefault="005E58C1" w:rsidP="005860B4">
            <w:pPr>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hint="eastAsia"/>
                <w:b/>
                <w:bCs/>
                <w:color w:val="000000"/>
                <w:spacing w:val="8"/>
                <w:sz w:val="21"/>
                <w:szCs w:val="21"/>
              </w:rPr>
              <w:t>比例</w:t>
            </w:r>
          </w:p>
        </w:tc>
        <w:tc>
          <w:tcPr>
            <w:tcW w:w="956" w:type="pct"/>
            <w:tcMar>
              <w:top w:w="0" w:type="dxa"/>
              <w:left w:w="108" w:type="dxa"/>
              <w:bottom w:w="0" w:type="dxa"/>
              <w:right w:w="108" w:type="dxa"/>
            </w:tcMar>
            <w:vAlign w:val="center"/>
          </w:tcPr>
          <w:p w14:paraId="14FDC9D9" w14:textId="77777777" w:rsidR="006416B0" w:rsidRPr="00B4515A" w:rsidRDefault="005E58C1" w:rsidP="005860B4">
            <w:pPr>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hint="eastAsia"/>
                <w:b/>
                <w:bCs/>
                <w:color w:val="000000"/>
                <w:spacing w:val="8"/>
                <w:sz w:val="21"/>
                <w:szCs w:val="21"/>
              </w:rPr>
              <w:t>交易对价金额（元）</w:t>
            </w:r>
          </w:p>
        </w:tc>
        <w:tc>
          <w:tcPr>
            <w:tcW w:w="710" w:type="pct"/>
            <w:tcMar>
              <w:top w:w="0" w:type="dxa"/>
              <w:left w:w="108" w:type="dxa"/>
              <w:bottom w:w="0" w:type="dxa"/>
              <w:right w:w="108" w:type="dxa"/>
            </w:tcMar>
            <w:vAlign w:val="center"/>
          </w:tcPr>
          <w:p w14:paraId="673546AC" w14:textId="77777777" w:rsidR="006416B0" w:rsidRPr="00B4515A" w:rsidRDefault="005E58C1" w:rsidP="005860B4">
            <w:pPr>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hint="eastAsia"/>
                <w:b/>
                <w:bCs/>
                <w:color w:val="000000"/>
                <w:spacing w:val="8"/>
                <w:sz w:val="21"/>
                <w:szCs w:val="21"/>
              </w:rPr>
              <w:t>对价股份数额（股）</w:t>
            </w:r>
          </w:p>
        </w:tc>
      </w:tr>
      <w:tr w:rsidR="006416B0" w:rsidRPr="00B4515A" w14:paraId="391E3FF4" w14:textId="77777777" w:rsidTr="005860B4">
        <w:trPr>
          <w:trHeight w:val="340"/>
          <w:jc w:val="center"/>
        </w:trPr>
        <w:tc>
          <w:tcPr>
            <w:tcW w:w="395" w:type="pct"/>
            <w:tcMar>
              <w:top w:w="0" w:type="dxa"/>
              <w:left w:w="108" w:type="dxa"/>
              <w:bottom w:w="0" w:type="dxa"/>
              <w:right w:w="108" w:type="dxa"/>
            </w:tcMar>
            <w:vAlign w:val="center"/>
          </w:tcPr>
          <w:p w14:paraId="4E37B73C"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1</w:t>
            </w:r>
          </w:p>
        </w:tc>
        <w:tc>
          <w:tcPr>
            <w:tcW w:w="895" w:type="pct"/>
            <w:tcMar>
              <w:top w:w="0" w:type="dxa"/>
              <w:left w:w="108" w:type="dxa"/>
              <w:bottom w:w="0" w:type="dxa"/>
              <w:right w:w="108" w:type="dxa"/>
            </w:tcMar>
            <w:vAlign w:val="center"/>
          </w:tcPr>
          <w:p w14:paraId="4A7D4F7E"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hint="eastAsia"/>
                <w:color w:val="000000"/>
                <w:spacing w:val="8"/>
                <w:sz w:val="21"/>
                <w:szCs w:val="21"/>
              </w:rPr>
              <w:t>电信科学技术研究院有限公司</w:t>
            </w:r>
          </w:p>
        </w:tc>
        <w:tc>
          <w:tcPr>
            <w:tcW w:w="837" w:type="pct"/>
            <w:tcMar>
              <w:top w:w="0" w:type="dxa"/>
              <w:left w:w="108" w:type="dxa"/>
              <w:bottom w:w="0" w:type="dxa"/>
              <w:right w:w="108" w:type="dxa"/>
            </w:tcMar>
            <w:vAlign w:val="center"/>
          </w:tcPr>
          <w:p w14:paraId="445F655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61,559.283849</w:t>
            </w:r>
          </w:p>
        </w:tc>
        <w:tc>
          <w:tcPr>
            <w:tcW w:w="575" w:type="pct"/>
            <w:tcMar>
              <w:top w:w="0" w:type="dxa"/>
              <w:left w:w="108" w:type="dxa"/>
              <w:bottom w:w="0" w:type="dxa"/>
              <w:right w:w="108" w:type="dxa"/>
            </w:tcMar>
            <w:vAlign w:val="center"/>
          </w:tcPr>
          <w:p w14:paraId="1ABEDEB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56.798%</w:t>
            </w:r>
          </w:p>
        </w:tc>
        <w:tc>
          <w:tcPr>
            <w:tcW w:w="631" w:type="pct"/>
            <w:tcMar>
              <w:top w:w="0" w:type="dxa"/>
              <w:left w:w="108" w:type="dxa"/>
              <w:bottom w:w="0" w:type="dxa"/>
              <w:right w:w="108" w:type="dxa"/>
            </w:tcMar>
            <w:vAlign w:val="center"/>
          </w:tcPr>
          <w:p w14:paraId="277404B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59.787%</w:t>
            </w:r>
          </w:p>
        </w:tc>
        <w:tc>
          <w:tcPr>
            <w:tcW w:w="956" w:type="pct"/>
            <w:tcMar>
              <w:top w:w="0" w:type="dxa"/>
              <w:left w:w="108" w:type="dxa"/>
              <w:bottom w:w="0" w:type="dxa"/>
              <w:right w:w="108" w:type="dxa"/>
            </w:tcMar>
            <w:vAlign w:val="center"/>
          </w:tcPr>
          <w:p w14:paraId="28E5338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842,066,530.33 </w:t>
            </w:r>
          </w:p>
        </w:tc>
        <w:tc>
          <w:tcPr>
            <w:tcW w:w="710" w:type="pct"/>
            <w:shd w:val="clear" w:color="auto" w:fill="auto"/>
            <w:tcMar>
              <w:top w:w="0" w:type="dxa"/>
              <w:left w:w="108" w:type="dxa"/>
              <w:bottom w:w="0" w:type="dxa"/>
              <w:right w:w="108" w:type="dxa"/>
            </w:tcMar>
            <w:vAlign w:val="center"/>
          </w:tcPr>
          <w:p w14:paraId="7BF6761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143,942,996 </w:t>
            </w:r>
          </w:p>
        </w:tc>
      </w:tr>
      <w:tr w:rsidR="006416B0" w:rsidRPr="00B4515A" w14:paraId="0999AB7F" w14:textId="77777777" w:rsidTr="005860B4">
        <w:trPr>
          <w:trHeight w:val="340"/>
          <w:jc w:val="center"/>
        </w:trPr>
        <w:tc>
          <w:tcPr>
            <w:tcW w:w="395" w:type="pct"/>
            <w:tcMar>
              <w:top w:w="0" w:type="dxa"/>
              <w:left w:w="108" w:type="dxa"/>
              <w:bottom w:w="0" w:type="dxa"/>
              <w:right w:w="108" w:type="dxa"/>
            </w:tcMar>
            <w:vAlign w:val="center"/>
          </w:tcPr>
          <w:p w14:paraId="58885293"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2</w:t>
            </w:r>
          </w:p>
        </w:tc>
        <w:tc>
          <w:tcPr>
            <w:tcW w:w="895" w:type="pct"/>
            <w:tcMar>
              <w:top w:w="0" w:type="dxa"/>
              <w:left w:w="108" w:type="dxa"/>
              <w:bottom w:w="0" w:type="dxa"/>
              <w:right w:w="108" w:type="dxa"/>
            </w:tcMar>
            <w:vAlign w:val="center"/>
          </w:tcPr>
          <w:p w14:paraId="00D4B091"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hint="eastAsia"/>
                <w:color w:val="000000"/>
                <w:spacing w:val="8"/>
                <w:sz w:val="21"/>
                <w:szCs w:val="21"/>
              </w:rPr>
              <w:t>大唐电信科技产业控股</w:t>
            </w:r>
            <w:r w:rsidRPr="00B4515A">
              <w:rPr>
                <w:rFonts w:ascii="Times New Roman" w:hAnsi="Times New Roman" w:cs="Times New Roman" w:hint="eastAsia"/>
                <w:color w:val="000000"/>
                <w:spacing w:val="8"/>
                <w:sz w:val="21"/>
                <w:szCs w:val="21"/>
              </w:rPr>
              <w:lastRenderedPageBreak/>
              <w:t>有限公司</w:t>
            </w:r>
          </w:p>
        </w:tc>
        <w:tc>
          <w:tcPr>
            <w:tcW w:w="837" w:type="pct"/>
            <w:tcMar>
              <w:top w:w="0" w:type="dxa"/>
              <w:left w:w="108" w:type="dxa"/>
              <w:bottom w:w="0" w:type="dxa"/>
              <w:right w:w="108" w:type="dxa"/>
            </w:tcMar>
            <w:vAlign w:val="center"/>
          </w:tcPr>
          <w:p w14:paraId="7A86520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lastRenderedPageBreak/>
              <w:t>3,326.00</w:t>
            </w:r>
          </w:p>
        </w:tc>
        <w:tc>
          <w:tcPr>
            <w:tcW w:w="575" w:type="pct"/>
            <w:tcMar>
              <w:top w:w="0" w:type="dxa"/>
              <w:left w:w="108" w:type="dxa"/>
              <w:bottom w:w="0" w:type="dxa"/>
              <w:right w:w="108" w:type="dxa"/>
            </w:tcMar>
            <w:vAlign w:val="center"/>
          </w:tcPr>
          <w:p w14:paraId="0E0524C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3.069%</w:t>
            </w:r>
          </w:p>
        </w:tc>
        <w:tc>
          <w:tcPr>
            <w:tcW w:w="631" w:type="pct"/>
            <w:tcMar>
              <w:top w:w="0" w:type="dxa"/>
              <w:left w:w="108" w:type="dxa"/>
              <w:bottom w:w="0" w:type="dxa"/>
              <w:right w:w="108" w:type="dxa"/>
            </w:tcMar>
            <w:vAlign w:val="center"/>
          </w:tcPr>
          <w:p w14:paraId="76614DBE"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3.230%</w:t>
            </w:r>
          </w:p>
        </w:tc>
        <w:tc>
          <w:tcPr>
            <w:tcW w:w="956" w:type="pct"/>
            <w:tcMar>
              <w:top w:w="0" w:type="dxa"/>
              <w:left w:w="108" w:type="dxa"/>
              <w:bottom w:w="0" w:type="dxa"/>
              <w:right w:w="108" w:type="dxa"/>
            </w:tcMar>
            <w:vAlign w:val="center"/>
          </w:tcPr>
          <w:p w14:paraId="0DF0759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45,499,879.95 </w:t>
            </w:r>
          </w:p>
        </w:tc>
        <w:tc>
          <w:tcPr>
            <w:tcW w:w="710" w:type="pct"/>
            <w:shd w:val="clear" w:color="auto" w:fill="auto"/>
            <w:tcMar>
              <w:top w:w="0" w:type="dxa"/>
              <w:left w:w="108" w:type="dxa"/>
              <w:bottom w:w="0" w:type="dxa"/>
              <w:right w:w="108" w:type="dxa"/>
            </w:tcMar>
            <w:vAlign w:val="center"/>
          </w:tcPr>
          <w:p w14:paraId="5CDC46E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7,777,757 </w:t>
            </w:r>
          </w:p>
        </w:tc>
      </w:tr>
      <w:tr w:rsidR="006416B0" w:rsidRPr="00B4515A" w14:paraId="03BE7850" w14:textId="77777777" w:rsidTr="005860B4">
        <w:trPr>
          <w:trHeight w:val="340"/>
          <w:jc w:val="center"/>
        </w:trPr>
        <w:tc>
          <w:tcPr>
            <w:tcW w:w="395" w:type="pct"/>
            <w:tcMar>
              <w:top w:w="0" w:type="dxa"/>
              <w:left w:w="108" w:type="dxa"/>
              <w:bottom w:w="0" w:type="dxa"/>
              <w:right w:w="108" w:type="dxa"/>
            </w:tcMar>
            <w:vAlign w:val="center"/>
          </w:tcPr>
          <w:p w14:paraId="6754DFDB"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lastRenderedPageBreak/>
              <w:t>3</w:t>
            </w:r>
          </w:p>
        </w:tc>
        <w:tc>
          <w:tcPr>
            <w:tcW w:w="895" w:type="pct"/>
            <w:tcMar>
              <w:top w:w="0" w:type="dxa"/>
              <w:left w:w="108" w:type="dxa"/>
              <w:bottom w:w="0" w:type="dxa"/>
              <w:right w:w="108" w:type="dxa"/>
            </w:tcMar>
            <w:vAlign w:val="center"/>
          </w:tcPr>
          <w:p w14:paraId="3E1CC1A8"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hint="eastAsia"/>
                <w:color w:val="000000"/>
                <w:spacing w:val="8"/>
                <w:sz w:val="21"/>
                <w:szCs w:val="21"/>
              </w:rPr>
              <w:t>湖北长江中信科移动通信技术产业投资基金合伙企业（有限合伙）</w:t>
            </w:r>
          </w:p>
        </w:tc>
        <w:tc>
          <w:tcPr>
            <w:tcW w:w="837" w:type="pct"/>
            <w:tcMar>
              <w:top w:w="0" w:type="dxa"/>
              <w:left w:w="108" w:type="dxa"/>
              <w:bottom w:w="0" w:type="dxa"/>
              <w:right w:w="108" w:type="dxa"/>
            </w:tcMar>
            <w:vAlign w:val="center"/>
          </w:tcPr>
          <w:p w14:paraId="703E0F7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22,846.930933</w:t>
            </w:r>
          </w:p>
        </w:tc>
        <w:tc>
          <w:tcPr>
            <w:tcW w:w="575" w:type="pct"/>
            <w:tcMar>
              <w:top w:w="0" w:type="dxa"/>
              <w:left w:w="108" w:type="dxa"/>
              <w:bottom w:w="0" w:type="dxa"/>
              <w:right w:w="108" w:type="dxa"/>
            </w:tcMar>
            <w:vAlign w:val="center"/>
          </w:tcPr>
          <w:p w14:paraId="17E516D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21.080%</w:t>
            </w:r>
          </w:p>
        </w:tc>
        <w:tc>
          <w:tcPr>
            <w:tcW w:w="631" w:type="pct"/>
            <w:tcMar>
              <w:top w:w="0" w:type="dxa"/>
              <w:left w:w="108" w:type="dxa"/>
              <w:bottom w:w="0" w:type="dxa"/>
              <w:right w:w="108" w:type="dxa"/>
            </w:tcMar>
            <w:vAlign w:val="center"/>
          </w:tcPr>
          <w:p w14:paraId="4AAAD7D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22.189%</w:t>
            </w:r>
          </w:p>
        </w:tc>
        <w:tc>
          <w:tcPr>
            <w:tcW w:w="956" w:type="pct"/>
            <w:tcMar>
              <w:top w:w="0" w:type="dxa"/>
              <w:left w:w="108" w:type="dxa"/>
              <w:bottom w:w="0" w:type="dxa"/>
              <w:right w:w="108" w:type="dxa"/>
            </w:tcMar>
            <w:vAlign w:val="center"/>
          </w:tcPr>
          <w:p w14:paraId="1727AF8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312,524,427.96 </w:t>
            </w:r>
          </w:p>
        </w:tc>
        <w:tc>
          <w:tcPr>
            <w:tcW w:w="710" w:type="pct"/>
            <w:shd w:val="clear" w:color="auto" w:fill="auto"/>
            <w:tcMar>
              <w:top w:w="0" w:type="dxa"/>
              <w:left w:w="108" w:type="dxa"/>
              <w:bottom w:w="0" w:type="dxa"/>
              <w:right w:w="108" w:type="dxa"/>
            </w:tcMar>
            <w:vAlign w:val="center"/>
          </w:tcPr>
          <w:p w14:paraId="6886502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53,422,979 </w:t>
            </w:r>
          </w:p>
        </w:tc>
      </w:tr>
      <w:tr w:rsidR="006416B0" w:rsidRPr="00B4515A" w14:paraId="42BF46B3" w14:textId="77777777" w:rsidTr="005860B4">
        <w:trPr>
          <w:trHeight w:val="340"/>
          <w:jc w:val="center"/>
        </w:trPr>
        <w:tc>
          <w:tcPr>
            <w:tcW w:w="395" w:type="pct"/>
            <w:tcMar>
              <w:top w:w="0" w:type="dxa"/>
              <w:left w:w="108" w:type="dxa"/>
              <w:bottom w:w="0" w:type="dxa"/>
              <w:right w:w="108" w:type="dxa"/>
            </w:tcMar>
            <w:vAlign w:val="center"/>
          </w:tcPr>
          <w:p w14:paraId="3D1A3DC0"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4</w:t>
            </w:r>
          </w:p>
        </w:tc>
        <w:tc>
          <w:tcPr>
            <w:tcW w:w="895" w:type="pct"/>
            <w:tcMar>
              <w:top w:w="0" w:type="dxa"/>
              <w:left w:w="108" w:type="dxa"/>
              <w:bottom w:w="0" w:type="dxa"/>
              <w:right w:w="108" w:type="dxa"/>
            </w:tcMar>
            <w:vAlign w:val="center"/>
          </w:tcPr>
          <w:p w14:paraId="32BFBA6E"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hint="eastAsia"/>
                <w:color w:val="000000"/>
                <w:spacing w:val="8"/>
                <w:sz w:val="21"/>
                <w:szCs w:val="21"/>
              </w:rPr>
              <w:t>中国国有企业结构调整基金股份有限公司</w:t>
            </w:r>
          </w:p>
        </w:tc>
        <w:tc>
          <w:tcPr>
            <w:tcW w:w="837" w:type="pct"/>
            <w:tcMar>
              <w:top w:w="0" w:type="dxa"/>
              <w:left w:w="108" w:type="dxa"/>
              <w:bottom w:w="0" w:type="dxa"/>
              <w:right w:w="108" w:type="dxa"/>
            </w:tcMar>
            <w:vAlign w:val="center"/>
          </w:tcPr>
          <w:p w14:paraId="005FD2F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7,615.643644</w:t>
            </w:r>
          </w:p>
        </w:tc>
        <w:tc>
          <w:tcPr>
            <w:tcW w:w="575" w:type="pct"/>
            <w:tcMar>
              <w:top w:w="0" w:type="dxa"/>
              <w:left w:w="108" w:type="dxa"/>
              <w:bottom w:w="0" w:type="dxa"/>
              <w:right w:w="108" w:type="dxa"/>
            </w:tcMar>
            <w:vAlign w:val="center"/>
          </w:tcPr>
          <w:p w14:paraId="772D591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7.027%</w:t>
            </w:r>
          </w:p>
        </w:tc>
        <w:tc>
          <w:tcPr>
            <w:tcW w:w="631" w:type="pct"/>
            <w:tcMar>
              <w:top w:w="0" w:type="dxa"/>
              <w:left w:w="108" w:type="dxa"/>
              <w:bottom w:w="0" w:type="dxa"/>
              <w:right w:w="108" w:type="dxa"/>
            </w:tcMar>
            <w:vAlign w:val="center"/>
          </w:tcPr>
          <w:p w14:paraId="21BFE83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7.396%</w:t>
            </w:r>
          </w:p>
        </w:tc>
        <w:tc>
          <w:tcPr>
            <w:tcW w:w="956" w:type="pct"/>
            <w:tcMar>
              <w:top w:w="0" w:type="dxa"/>
              <w:left w:w="108" w:type="dxa"/>
              <w:bottom w:w="0" w:type="dxa"/>
              <w:right w:w="108" w:type="dxa"/>
            </w:tcMar>
            <w:vAlign w:val="center"/>
          </w:tcPr>
          <w:p w14:paraId="5A3CE0B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104,179,751.20 </w:t>
            </w:r>
          </w:p>
        </w:tc>
        <w:tc>
          <w:tcPr>
            <w:tcW w:w="710" w:type="pct"/>
            <w:shd w:val="clear" w:color="auto" w:fill="auto"/>
            <w:tcMar>
              <w:top w:w="0" w:type="dxa"/>
              <w:left w:w="108" w:type="dxa"/>
              <w:bottom w:w="0" w:type="dxa"/>
              <w:right w:w="108" w:type="dxa"/>
            </w:tcMar>
            <w:vAlign w:val="center"/>
          </w:tcPr>
          <w:p w14:paraId="6C84EE8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17,808,504 </w:t>
            </w:r>
          </w:p>
        </w:tc>
      </w:tr>
      <w:tr w:rsidR="006416B0" w:rsidRPr="00B4515A" w14:paraId="5D189D74" w14:textId="77777777" w:rsidTr="005860B4">
        <w:trPr>
          <w:trHeight w:val="340"/>
          <w:jc w:val="center"/>
        </w:trPr>
        <w:tc>
          <w:tcPr>
            <w:tcW w:w="395" w:type="pct"/>
            <w:tcMar>
              <w:top w:w="0" w:type="dxa"/>
              <w:left w:w="108" w:type="dxa"/>
              <w:bottom w:w="0" w:type="dxa"/>
              <w:right w:w="108" w:type="dxa"/>
            </w:tcMar>
            <w:vAlign w:val="center"/>
          </w:tcPr>
          <w:p w14:paraId="3F080789"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color w:val="000000"/>
                <w:spacing w:val="-2"/>
                <w:sz w:val="21"/>
                <w:szCs w:val="21"/>
              </w:rPr>
              <w:t>5</w:t>
            </w:r>
          </w:p>
        </w:tc>
        <w:tc>
          <w:tcPr>
            <w:tcW w:w="895" w:type="pct"/>
            <w:tcMar>
              <w:top w:w="0" w:type="dxa"/>
              <w:left w:w="108" w:type="dxa"/>
              <w:bottom w:w="0" w:type="dxa"/>
              <w:right w:w="108" w:type="dxa"/>
            </w:tcMar>
            <w:vAlign w:val="center"/>
          </w:tcPr>
          <w:p w14:paraId="3215E9B0" w14:textId="77777777" w:rsidR="006416B0" w:rsidRPr="00B4515A" w:rsidRDefault="005E58C1" w:rsidP="005860B4">
            <w:pPr>
              <w:adjustRightInd w:val="0"/>
              <w:snapToGrid w:val="0"/>
              <w:jc w:val="center"/>
              <w:rPr>
                <w:rFonts w:ascii="Times New Roman" w:hAnsi="Times New Roman" w:cs="Times New Roman"/>
                <w:color w:val="000000"/>
                <w:spacing w:val="-2"/>
                <w:sz w:val="21"/>
                <w:szCs w:val="21"/>
              </w:rPr>
            </w:pPr>
            <w:r w:rsidRPr="00B4515A">
              <w:rPr>
                <w:rFonts w:ascii="Times New Roman" w:hAnsi="Times New Roman" w:cs="Times New Roman" w:hint="eastAsia"/>
                <w:color w:val="000000"/>
                <w:spacing w:val="8"/>
                <w:sz w:val="21"/>
                <w:szCs w:val="21"/>
              </w:rPr>
              <w:t>北京金融街资本运营中心</w:t>
            </w:r>
          </w:p>
        </w:tc>
        <w:tc>
          <w:tcPr>
            <w:tcW w:w="837" w:type="pct"/>
            <w:tcMar>
              <w:top w:w="0" w:type="dxa"/>
              <w:left w:w="108" w:type="dxa"/>
              <w:bottom w:w="0" w:type="dxa"/>
              <w:right w:w="108" w:type="dxa"/>
            </w:tcMar>
            <w:vAlign w:val="center"/>
          </w:tcPr>
          <w:p w14:paraId="0DB2D36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7,615.643644</w:t>
            </w:r>
          </w:p>
        </w:tc>
        <w:tc>
          <w:tcPr>
            <w:tcW w:w="575" w:type="pct"/>
            <w:tcMar>
              <w:top w:w="0" w:type="dxa"/>
              <w:left w:w="108" w:type="dxa"/>
              <w:bottom w:w="0" w:type="dxa"/>
              <w:right w:w="108" w:type="dxa"/>
            </w:tcMar>
            <w:vAlign w:val="center"/>
          </w:tcPr>
          <w:p w14:paraId="20645DA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7.027%</w:t>
            </w:r>
          </w:p>
        </w:tc>
        <w:tc>
          <w:tcPr>
            <w:tcW w:w="631" w:type="pct"/>
            <w:tcMar>
              <w:top w:w="0" w:type="dxa"/>
              <w:left w:w="108" w:type="dxa"/>
              <w:bottom w:w="0" w:type="dxa"/>
              <w:right w:w="108" w:type="dxa"/>
            </w:tcMar>
            <w:vAlign w:val="center"/>
          </w:tcPr>
          <w:p w14:paraId="456882B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7.396%</w:t>
            </w:r>
          </w:p>
        </w:tc>
        <w:tc>
          <w:tcPr>
            <w:tcW w:w="956" w:type="pct"/>
            <w:tcMar>
              <w:top w:w="0" w:type="dxa"/>
              <w:left w:w="108" w:type="dxa"/>
              <w:bottom w:w="0" w:type="dxa"/>
              <w:right w:w="108" w:type="dxa"/>
            </w:tcMar>
            <w:vAlign w:val="center"/>
          </w:tcPr>
          <w:p w14:paraId="556C6EA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104,179,751.20 </w:t>
            </w:r>
          </w:p>
        </w:tc>
        <w:tc>
          <w:tcPr>
            <w:tcW w:w="710" w:type="pct"/>
            <w:shd w:val="clear" w:color="auto" w:fill="auto"/>
            <w:tcMar>
              <w:top w:w="0" w:type="dxa"/>
              <w:left w:w="108" w:type="dxa"/>
              <w:bottom w:w="0" w:type="dxa"/>
              <w:right w:w="108" w:type="dxa"/>
            </w:tcMar>
            <w:vAlign w:val="center"/>
          </w:tcPr>
          <w:p w14:paraId="3BDE601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 xml:space="preserve">17,808,504 </w:t>
            </w:r>
          </w:p>
        </w:tc>
      </w:tr>
      <w:tr w:rsidR="006416B0" w:rsidRPr="00B4515A" w14:paraId="4CFE70FF" w14:textId="77777777" w:rsidTr="005860B4">
        <w:trPr>
          <w:trHeight w:val="340"/>
          <w:jc w:val="center"/>
        </w:trPr>
        <w:tc>
          <w:tcPr>
            <w:tcW w:w="1290" w:type="pct"/>
            <w:gridSpan w:val="2"/>
            <w:tcMar>
              <w:top w:w="0" w:type="dxa"/>
              <w:left w:w="108" w:type="dxa"/>
              <w:bottom w:w="0" w:type="dxa"/>
              <w:right w:w="108" w:type="dxa"/>
            </w:tcMar>
            <w:vAlign w:val="center"/>
          </w:tcPr>
          <w:p w14:paraId="145D6234" w14:textId="77777777" w:rsidR="006416B0" w:rsidRPr="00B4515A" w:rsidRDefault="005E58C1" w:rsidP="005860B4">
            <w:pPr>
              <w:adjustRightInd w:val="0"/>
              <w:snapToGrid w:val="0"/>
              <w:jc w:val="center"/>
              <w:rPr>
                <w:rFonts w:ascii="Times New Roman" w:hAnsi="Times New Roman" w:cs="Times New Roman"/>
                <w:b/>
                <w:bCs/>
                <w:color w:val="000000"/>
                <w:spacing w:val="8"/>
                <w:sz w:val="21"/>
                <w:szCs w:val="21"/>
              </w:rPr>
            </w:pPr>
            <w:r w:rsidRPr="00B4515A">
              <w:rPr>
                <w:rFonts w:ascii="Times New Roman" w:hAnsi="Times New Roman" w:cs="Times New Roman" w:hint="eastAsia"/>
                <w:b/>
                <w:bCs/>
                <w:color w:val="000000"/>
                <w:spacing w:val="8"/>
                <w:sz w:val="21"/>
                <w:szCs w:val="21"/>
              </w:rPr>
              <w:t>合计</w:t>
            </w:r>
          </w:p>
        </w:tc>
        <w:tc>
          <w:tcPr>
            <w:tcW w:w="837" w:type="pct"/>
            <w:tcMar>
              <w:top w:w="0" w:type="dxa"/>
              <w:left w:w="108" w:type="dxa"/>
              <w:bottom w:w="0" w:type="dxa"/>
              <w:right w:w="108" w:type="dxa"/>
            </w:tcMar>
            <w:vAlign w:val="center"/>
          </w:tcPr>
          <w:p w14:paraId="5D8D306B"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102,963.50207</w:t>
            </w:r>
          </w:p>
        </w:tc>
        <w:tc>
          <w:tcPr>
            <w:tcW w:w="575" w:type="pct"/>
            <w:tcMar>
              <w:top w:w="0" w:type="dxa"/>
              <w:left w:w="108" w:type="dxa"/>
              <w:bottom w:w="0" w:type="dxa"/>
              <w:right w:w="108" w:type="dxa"/>
            </w:tcMar>
            <w:vAlign w:val="center"/>
          </w:tcPr>
          <w:p w14:paraId="0C87564F"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95.001%</w:t>
            </w:r>
          </w:p>
        </w:tc>
        <w:tc>
          <w:tcPr>
            <w:tcW w:w="631" w:type="pct"/>
            <w:tcMar>
              <w:top w:w="0" w:type="dxa"/>
              <w:left w:w="108" w:type="dxa"/>
              <w:bottom w:w="0" w:type="dxa"/>
              <w:right w:w="108" w:type="dxa"/>
            </w:tcMar>
            <w:vAlign w:val="center"/>
          </w:tcPr>
          <w:p w14:paraId="3F06DB95"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100.000%</w:t>
            </w:r>
          </w:p>
        </w:tc>
        <w:tc>
          <w:tcPr>
            <w:tcW w:w="956" w:type="pct"/>
            <w:tcMar>
              <w:top w:w="0" w:type="dxa"/>
              <w:left w:w="108" w:type="dxa"/>
              <w:bottom w:w="0" w:type="dxa"/>
              <w:right w:w="108" w:type="dxa"/>
            </w:tcMar>
            <w:vAlign w:val="center"/>
          </w:tcPr>
          <w:p w14:paraId="0522B687"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1,408,450,340.64</w:t>
            </w:r>
          </w:p>
        </w:tc>
        <w:tc>
          <w:tcPr>
            <w:tcW w:w="710" w:type="pct"/>
            <w:tcMar>
              <w:top w:w="0" w:type="dxa"/>
              <w:left w:w="108" w:type="dxa"/>
              <w:bottom w:w="0" w:type="dxa"/>
              <w:right w:w="108" w:type="dxa"/>
            </w:tcMar>
            <w:vAlign w:val="center"/>
          </w:tcPr>
          <w:p w14:paraId="1FC112E4" w14:textId="77777777" w:rsidR="006416B0" w:rsidRPr="00B4515A" w:rsidRDefault="005E58C1" w:rsidP="005860B4">
            <w:pPr>
              <w:adjustRightInd w:val="0"/>
              <w:snapToGrid w:val="0"/>
              <w:jc w:val="right"/>
              <w:rPr>
                <w:rFonts w:ascii="Times New Roman" w:hAnsi="Times New Roman" w:cs="Times New Roman"/>
                <w:b/>
                <w:bCs/>
                <w:sz w:val="21"/>
                <w:szCs w:val="21"/>
              </w:rPr>
            </w:pPr>
            <w:r w:rsidRPr="00B4515A">
              <w:rPr>
                <w:rFonts w:ascii="Times New Roman" w:hAnsi="Times New Roman" w:cs="Times New Roman"/>
                <w:b/>
                <w:bCs/>
                <w:sz w:val="21"/>
                <w:szCs w:val="21"/>
              </w:rPr>
              <w:t>240,760,740</w:t>
            </w:r>
          </w:p>
        </w:tc>
      </w:tr>
    </w:tbl>
    <w:p w14:paraId="5841BB01" w14:textId="77777777" w:rsidR="006416B0" w:rsidRPr="00B4515A" w:rsidRDefault="005E58C1" w:rsidP="005860B4">
      <w:pPr>
        <w:pStyle w:val="003"/>
        <w:spacing w:before="120"/>
        <w:ind w:firstLine="482"/>
      </w:pPr>
      <w:r w:rsidRPr="00B4515A">
        <w:rPr>
          <w:rFonts w:hint="eastAsia"/>
        </w:rPr>
        <w:t>（五）</w:t>
      </w:r>
      <w:r w:rsidRPr="00B4515A">
        <w:t>承诺利润及业绩补偿安排</w:t>
      </w:r>
    </w:p>
    <w:p w14:paraId="6CB0036E" w14:textId="77777777" w:rsidR="006416B0" w:rsidRPr="00B4515A" w:rsidRDefault="005E58C1" w:rsidP="005860B4">
      <w:pPr>
        <w:pStyle w:val="005"/>
        <w:spacing w:before="120" w:after="120"/>
        <w:ind w:firstLine="480"/>
      </w:pPr>
      <w:r w:rsidRPr="00B4515A">
        <w:rPr>
          <w:rFonts w:hint="eastAsia"/>
        </w:rPr>
        <w:t>1</w:t>
      </w:r>
      <w:r w:rsidRPr="00B4515A">
        <w:rPr>
          <w:rFonts w:hint="eastAsia"/>
        </w:rPr>
        <w:t>、</w:t>
      </w:r>
      <w:r w:rsidRPr="00B4515A">
        <w:t>乙方</w:t>
      </w:r>
      <w:r w:rsidRPr="00B4515A">
        <w:t>1</w:t>
      </w:r>
      <w:r w:rsidRPr="00B4515A">
        <w:rPr>
          <w:rFonts w:hint="eastAsia"/>
        </w:rPr>
        <w:t>（电信科研院）</w:t>
      </w:r>
      <w:r w:rsidRPr="00B4515A">
        <w:t>、乙方</w:t>
      </w:r>
      <w:r w:rsidRPr="00B4515A">
        <w:rPr>
          <w:rFonts w:hint="eastAsia"/>
        </w:rPr>
        <w:t>2</w:t>
      </w:r>
      <w:r w:rsidRPr="00B4515A">
        <w:rPr>
          <w:rFonts w:hint="eastAsia"/>
        </w:rPr>
        <w:t>（大唐控股）为本次交易的业绩承诺人。</w:t>
      </w:r>
    </w:p>
    <w:p w14:paraId="37808CA5" w14:textId="77777777" w:rsidR="006416B0" w:rsidRPr="00B4515A" w:rsidRDefault="005E58C1" w:rsidP="005860B4">
      <w:pPr>
        <w:pStyle w:val="005"/>
        <w:spacing w:before="120" w:after="120"/>
        <w:ind w:firstLine="480"/>
      </w:pPr>
      <w:r w:rsidRPr="00B4515A">
        <w:rPr>
          <w:rFonts w:hint="eastAsia"/>
        </w:rPr>
        <w:t>2</w:t>
      </w:r>
      <w:r w:rsidRPr="00B4515A">
        <w:rPr>
          <w:rFonts w:hint="eastAsia"/>
        </w:rPr>
        <w:t>、本次交易的业绩承诺期为</w:t>
      </w:r>
      <w:r w:rsidRPr="00B4515A">
        <w:rPr>
          <w:rFonts w:hint="eastAsia"/>
        </w:rPr>
        <w:t>202</w:t>
      </w:r>
      <w:r w:rsidRPr="00B4515A">
        <w:t>1</w:t>
      </w:r>
      <w:r w:rsidRPr="00B4515A">
        <w:rPr>
          <w:rFonts w:hint="eastAsia"/>
        </w:rPr>
        <w:t>年、</w:t>
      </w:r>
      <w:r w:rsidRPr="00B4515A">
        <w:rPr>
          <w:rFonts w:hint="eastAsia"/>
        </w:rPr>
        <w:t>202</w:t>
      </w:r>
      <w:r w:rsidRPr="00B4515A">
        <w:t>2</w:t>
      </w:r>
      <w:r w:rsidRPr="00B4515A">
        <w:rPr>
          <w:rFonts w:hint="eastAsia"/>
        </w:rPr>
        <w:t>年和</w:t>
      </w:r>
      <w:r w:rsidRPr="00B4515A">
        <w:rPr>
          <w:rFonts w:hint="eastAsia"/>
        </w:rPr>
        <w:t>202</w:t>
      </w:r>
      <w:r w:rsidRPr="00B4515A">
        <w:t>3</w:t>
      </w:r>
      <w:r w:rsidRPr="00B4515A">
        <w:rPr>
          <w:rFonts w:hint="eastAsia"/>
        </w:rPr>
        <w:t>年，若交割日</w:t>
      </w:r>
      <w:r w:rsidRPr="00B4515A">
        <w:t>推迟至</w:t>
      </w:r>
      <w:r w:rsidRPr="00B4515A">
        <w:rPr>
          <w:rFonts w:hint="eastAsia"/>
        </w:rPr>
        <w:t>202</w:t>
      </w:r>
      <w:r w:rsidRPr="00B4515A">
        <w:t>1</w:t>
      </w:r>
      <w:r w:rsidRPr="00B4515A">
        <w:rPr>
          <w:rFonts w:hint="eastAsia"/>
        </w:rPr>
        <w:t>年</w:t>
      </w:r>
      <w:r w:rsidRPr="00B4515A">
        <w:rPr>
          <w:rFonts w:hint="eastAsia"/>
        </w:rPr>
        <w:t>12</w:t>
      </w:r>
      <w:r w:rsidRPr="00B4515A">
        <w:rPr>
          <w:rFonts w:hint="eastAsia"/>
        </w:rPr>
        <w:t>月</w:t>
      </w:r>
      <w:r w:rsidRPr="00B4515A">
        <w:rPr>
          <w:rFonts w:hint="eastAsia"/>
        </w:rPr>
        <w:t>31</w:t>
      </w:r>
      <w:r w:rsidRPr="00B4515A">
        <w:rPr>
          <w:rFonts w:hint="eastAsia"/>
        </w:rPr>
        <w:t>日</w:t>
      </w:r>
      <w:r w:rsidRPr="00B4515A">
        <w:t>之后的</w:t>
      </w:r>
      <w:r w:rsidRPr="00B4515A">
        <w:rPr>
          <w:rFonts w:hint="eastAsia"/>
        </w:rPr>
        <w:t>，则前述业绩承诺期相应顺延为</w:t>
      </w:r>
      <w:r w:rsidRPr="00B4515A">
        <w:rPr>
          <w:rFonts w:hint="eastAsia"/>
        </w:rPr>
        <w:t>202</w:t>
      </w:r>
      <w:r w:rsidRPr="00B4515A">
        <w:t>2</w:t>
      </w:r>
      <w:r w:rsidRPr="00B4515A">
        <w:rPr>
          <w:rFonts w:hint="eastAsia"/>
        </w:rPr>
        <w:t>年</w:t>
      </w:r>
      <w:r w:rsidRPr="00B4515A">
        <w:t>、</w:t>
      </w:r>
      <w:r w:rsidRPr="00B4515A">
        <w:rPr>
          <w:rFonts w:hint="eastAsia"/>
        </w:rPr>
        <w:t>202</w:t>
      </w:r>
      <w:r w:rsidRPr="00B4515A">
        <w:t>3</w:t>
      </w:r>
      <w:r w:rsidRPr="00B4515A">
        <w:rPr>
          <w:rFonts w:hint="eastAsia"/>
        </w:rPr>
        <w:t>年</w:t>
      </w:r>
      <w:r w:rsidRPr="00B4515A">
        <w:t>、</w:t>
      </w:r>
      <w:r w:rsidRPr="00B4515A">
        <w:rPr>
          <w:rFonts w:hint="eastAsia"/>
        </w:rPr>
        <w:t>202</w:t>
      </w:r>
      <w:r w:rsidRPr="00B4515A">
        <w:t>4</w:t>
      </w:r>
      <w:r w:rsidRPr="00B4515A">
        <w:rPr>
          <w:rFonts w:hint="eastAsia"/>
        </w:rPr>
        <w:t>年。</w:t>
      </w:r>
    </w:p>
    <w:p w14:paraId="59A06F2E" w14:textId="77777777" w:rsidR="006416B0" w:rsidRPr="00B4515A" w:rsidRDefault="005E58C1" w:rsidP="005860B4">
      <w:pPr>
        <w:pStyle w:val="005"/>
        <w:spacing w:before="120" w:after="120"/>
        <w:ind w:firstLine="480"/>
      </w:pPr>
      <w:r w:rsidRPr="00B4515A">
        <w:rPr>
          <w:rFonts w:hint="eastAsia"/>
        </w:rPr>
        <w:t>3</w:t>
      </w:r>
      <w:r w:rsidRPr="00B4515A">
        <w:rPr>
          <w:rFonts w:hint="eastAsia"/>
        </w:rPr>
        <w:t>、乙方</w:t>
      </w:r>
      <w:r w:rsidRPr="00B4515A">
        <w:rPr>
          <w:rFonts w:hint="eastAsia"/>
        </w:rPr>
        <w:t>1</w:t>
      </w:r>
      <w:r w:rsidRPr="00B4515A">
        <w:rPr>
          <w:rFonts w:hint="eastAsia"/>
        </w:rPr>
        <w:t>、乙方</w:t>
      </w:r>
      <w:r w:rsidRPr="00B4515A">
        <w:rPr>
          <w:rFonts w:hint="eastAsia"/>
        </w:rPr>
        <w:t>2</w:t>
      </w:r>
      <w:r w:rsidRPr="00B4515A">
        <w:rPr>
          <w:rFonts w:hint="eastAsia"/>
        </w:rPr>
        <w:t>对目标公司在业绩承诺期间每年实现的承诺净利润数分别如下：</w:t>
      </w:r>
    </w:p>
    <w:p w14:paraId="7AD61E5C" w14:textId="77777777" w:rsidR="006416B0" w:rsidRPr="00B4515A" w:rsidRDefault="005E58C1" w:rsidP="005860B4">
      <w:pPr>
        <w:pStyle w:val="009"/>
      </w:pPr>
      <w:r w:rsidRPr="00B4515A">
        <w:t>单位</w:t>
      </w:r>
      <w:r w:rsidRPr="00B4515A">
        <w:rPr>
          <w:rFonts w:hint="eastAsia"/>
        </w:rPr>
        <w:t>：</w:t>
      </w:r>
      <w:r w:rsidRPr="00B4515A">
        <w:t>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44"/>
        <w:gridCol w:w="2144"/>
        <w:gridCol w:w="1943"/>
        <w:gridCol w:w="2297"/>
      </w:tblGrid>
      <w:tr w:rsidR="006416B0" w:rsidRPr="00B4515A" w14:paraId="64DEC1BE" w14:textId="77777777" w:rsidTr="00031627">
        <w:trPr>
          <w:trHeight w:val="340"/>
          <w:jc w:val="center"/>
        </w:trPr>
        <w:tc>
          <w:tcPr>
            <w:tcW w:w="1257" w:type="pct"/>
            <w:tcMar>
              <w:top w:w="0" w:type="dxa"/>
              <w:left w:w="108" w:type="dxa"/>
              <w:bottom w:w="0" w:type="dxa"/>
              <w:right w:w="108" w:type="dxa"/>
            </w:tcMar>
            <w:vAlign w:val="center"/>
          </w:tcPr>
          <w:p w14:paraId="0357A9C9"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2021</w:t>
            </w:r>
            <w:r w:rsidRPr="00B4515A">
              <w:rPr>
                <w:rFonts w:ascii="Times New Roman" w:hAnsi="Times New Roman" w:cs="Times New Roman"/>
                <w:b/>
                <w:color w:val="000000"/>
                <w:sz w:val="21"/>
                <w:szCs w:val="21"/>
              </w:rPr>
              <w:t>年</w:t>
            </w:r>
          </w:p>
        </w:tc>
        <w:tc>
          <w:tcPr>
            <w:tcW w:w="1257" w:type="pct"/>
            <w:tcMar>
              <w:top w:w="0" w:type="dxa"/>
              <w:left w:w="108" w:type="dxa"/>
              <w:bottom w:w="0" w:type="dxa"/>
              <w:right w:w="108" w:type="dxa"/>
            </w:tcMar>
            <w:vAlign w:val="center"/>
          </w:tcPr>
          <w:p w14:paraId="551928F5"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2022</w:t>
            </w:r>
            <w:r w:rsidRPr="00B4515A">
              <w:rPr>
                <w:rFonts w:ascii="Times New Roman" w:hAnsi="Times New Roman" w:cs="Times New Roman"/>
                <w:b/>
                <w:color w:val="000000"/>
                <w:sz w:val="21"/>
                <w:szCs w:val="21"/>
              </w:rPr>
              <w:t>年</w:t>
            </w:r>
          </w:p>
        </w:tc>
        <w:tc>
          <w:tcPr>
            <w:tcW w:w="1139" w:type="pct"/>
            <w:tcMar>
              <w:top w:w="0" w:type="dxa"/>
              <w:left w:w="108" w:type="dxa"/>
              <w:bottom w:w="0" w:type="dxa"/>
              <w:right w:w="108" w:type="dxa"/>
            </w:tcMar>
            <w:vAlign w:val="center"/>
          </w:tcPr>
          <w:p w14:paraId="41452DE6"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2023</w:t>
            </w:r>
            <w:r w:rsidRPr="00B4515A">
              <w:rPr>
                <w:rFonts w:ascii="Times New Roman" w:hAnsi="Times New Roman" w:cs="Times New Roman"/>
                <w:b/>
                <w:color w:val="000000"/>
                <w:sz w:val="21"/>
                <w:szCs w:val="21"/>
              </w:rPr>
              <w:t>年</w:t>
            </w:r>
          </w:p>
        </w:tc>
        <w:tc>
          <w:tcPr>
            <w:tcW w:w="1347" w:type="pct"/>
            <w:tcMar>
              <w:top w:w="0" w:type="dxa"/>
              <w:left w:w="108" w:type="dxa"/>
              <w:bottom w:w="0" w:type="dxa"/>
              <w:right w:w="108" w:type="dxa"/>
            </w:tcMar>
            <w:vAlign w:val="center"/>
          </w:tcPr>
          <w:p w14:paraId="15FEA3CE"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2024</w:t>
            </w:r>
            <w:r w:rsidRPr="00B4515A">
              <w:rPr>
                <w:rFonts w:ascii="Times New Roman" w:hAnsi="Times New Roman" w:cs="Times New Roman"/>
                <w:b/>
                <w:color w:val="000000"/>
                <w:sz w:val="21"/>
                <w:szCs w:val="21"/>
              </w:rPr>
              <w:t>年</w:t>
            </w:r>
          </w:p>
        </w:tc>
      </w:tr>
      <w:tr w:rsidR="006416B0" w:rsidRPr="00B4515A" w14:paraId="6F7AAE84" w14:textId="77777777" w:rsidTr="00031627">
        <w:trPr>
          <w:trHeight w:val="340"/>
          <w:jc w:val="center"/>
        </w:trPr>
        <w:tc>
          <w:tcPr>
            <w:tcW w:w="1257" w:type="pct"/>
            <w:tcMar>
              <w:top w:w="0" w:type="dxa"/>
              <w:left w:w="108" w:type="dxa"/>
              <w:bottom w:w="0" w:type="dxa"/>
              <w:right w:w="108" w:type="dxa"/>
            </w:tcMar>
            <w:vAlign w:val="center"/>
          </w:tcPr>
          <w:p w14:paraId="50BB80C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bCs/>
                <w:color w:val="000000"/>
                <w:sz w:val="21"/>
                <w:szCs w:val="21"/>
              </w:rPr>
              <w:t>4,315.64</w:t>
            </w:r>
          </w:p>
        </w:tc>
        <w:tc>
          <w:tcPr>
            <w:tcW w:w="1257" w:type="pct"/>
            <w:tcMar>
              <w:top w:w="0" w:type="dxa"/>
              <w:left w:w="108" w:type="dxa"/>
              <w:bottom w:w="0" w:type="dxa"/>
              <w:right w:w="108" w:type="dxa"/>
            </w:tcMar>
            <w:vAlign w:val="center"/>
          </w:tcPr>
          <w:p w14:paraId="4448E5B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bCs/>
                <w:color w:val="000000"/>
                <w:sz w:val="21"/>
                <w:szCs w:val="21"/>
              </w:rPr>
              <w:t>6,904.02</w:t>
            </w:r>
          </w:p>
        </w:tc>
        <w:tc>
          <w:tcPr>
            <w:tcW w:w="1139" w:type="pct"/>
            <w:tcMar>
              <w:top w:w="0" w:type="dxa"/>
              <w:left w:w="108" w:type="dxa"/>
              <w:bottom w:w="0" w:type="dxa"/>
              <w:right w:w="108" w:type="dxa"/>
            </w:tcMar>
            <w:vAlign w:val="center"/>
          </w:tcPr>
          <w:p w14:paraId="3BA205A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bCs/>
                <w:color w:val="000000"/>
                <w:sz w:val="21"/>
                <w:szCs w:val="21"/>
              </w:rPr>
              <w:t xml:space="preserve">8,406.64 </w:t>
            </w:r>
          </w:p>
        </w:tc>
        <w:tc>
          <w:tcPr>
            <w:tcW w:w="1347" w:type="pct"/>
            <w:tcMar>
              <w:top w:w="0" w:type="dxa"/>
              <w:left w:w="108" w:type="dxa"/>
              <w:bottom w:w="0" w:type="dxa"/>
              <w:right w:w="108" w:type="dxa"/>
            </w:tcMar>
            <w:vAlign w:val="center"/>
          </w:tcPr>
          <w:p w14:paraId="51C0E0B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bCs/>
                <w:color w:val="000000"/>
                <w:sz w:val="21"/>
                <w:szCs w:val="21"/>
              </w:rPr>
              <w:t>11,521.03</w:t>
            </w:r>
          </w:p>
        </w:tc>
      </w:tr>
    </w:tbl>
    <w:p w14:paraId="5085E175" w14:textId="77777777" w:rsidR="006416B0" w:rsidRPr="00B4515A" w:rsidRDefault="005E58C1" w:rsidP="005860B4">
      <w:pPr>
        <w:pStyle w:val="006"/>
        <w:ind w:firstLine="420"/>
      </w:pPr>
      <w:r w:rsidRPr="00B4515A">
        <w:rPr>
          <w:rFonts w:hint="eastAsia"/>
        </w:rPr>
        <w:t>注：净利润指经审计合并报表口径下扣除非经常性损益后的归属于母公司所有者净利润。</w:t>
      </w:r>
    </w:p>
    <w:p w14:paraId="3B2727BC" w14:textId="77777777" w:rsidR="006416B0" w:rsidRPr="00B4515A" w:rsidRDefault="005E58C1" w:rsidP="005860B4">
      <w:pPr>
        <w:pStyle w:val="005"/>
        <w:spacing w:before="120" w:after="120"/>
        <w:ind w:firstLine="480"/>
      </w:pPr>
      <w:r w:rsidRPr="00B4515A">
        <w:rPr>
          <w:rFonts w:hint="eastAsia"/>
        </w:rPr>
        <w:t>4</w:t>
      </w:r>
      <w:r w:rsidRPr="00B4515A">
        <w:rPr>
          <w:rFonts w:hint="eastAsia"/>
        </w:rPr>
        <w:t>、</w:t>
      </w:r>
      <w:r w:rsidRPr="00B4515A">
        <w:t>标的资产</w:t>
      </w:r>
      <w:r w:rsidRPr="00B4515A">
        <w:rPr>
          <w:rFonts w:hint="eastAsia"/>
        </w:rPr>
        <w:t>实现净利润的确定、业绩补偿金额计算、补偿方式、股份补偿的具体实施安排、减值测试补偿等事项</w:t>
      </w:r>
      <w:r w:rsidRPr="00B4515A">
        <w:t>按照</w:t>
      </w:r>
      <w:r w:rsidRPr="00B4515A">
        <w:rPr>
          <w:rFonts w:hint="eastAsia"/>
        </w:rPr>
        <w:t>甲方与乙方</w:t>
      </w:r>
      <w:r w:rsidRPr="00B4515A">
        <w:rPr>
          <w:rFonts w:hint="eastAsia"/>
        </w:rPr>
        <w:t>1</w:t>
      </w:r>
      <w:r w:rsidRPr="00B4515A">
        <w:rPr>
          <w:rFonts w:hint="eastAsia"/>
        </w:rPr>
        <w:t>、乙方</w:t>
      </w:r>
      <w:r w:rsidRPr="00B4515A">
        <w:rPr>
          <w:rFonts w:hint="eastAsia"/>
        </w:rPr>
        <w:t>2</w:t>
      </w:r>
      <w:r w:rsidRPr="00B4515A">
        <w:rPr>
          <w:rFonts w:hint="eastAsia"/>
        </w:rPr>
        <w:t>签署的《业绩承诺</w:t>
      </w:r>
      <w:r w:rsidRPr="00B4515A">
        <w:t>与</w:t>
      </w:r>
      <w:r w:rsidRPr="00B4515A">
        <w:rPr>
          <w:rFonts w:hint="eastAsia"/>
        </w:rPr>
        <w:t>补偿协议》项下相关约定执行。</w:t>
      </w:r>
    </w:p>
    <w:p w14:paraId="682C3627" w14:textId="77777777" w:rsidR="006416B0" w:rsidRPr="00B4515A" w:rsidRDefault="005E58C1" w:rsidP="005860B4">
      <w:pPr>
        <w:pStyle w:val="003"/>
        <w:spacing w:before="120"/>
        <w:ind w:firstLine="482"/>
      </w:pPr>
      <w:r w:rsidRPr="00B4515A">
        <w:rPr>
          <w:rFonts w:hint="eastAsia"/>
        </w:rPr>
        <w:t>（六）期间损益处理</w:t>
      </w:r>
    </w:p>
    <w:p w14:paraId="032674BA" w14:textId="77777777" w:rsidR="006416B0" w:rsidRPr="00B4515A" w:rsidRDefault="005E58C1" w:rsidP="005860B4">
      <w:pPr>
        <w:pStyle w:val="005"/>
        <w:spacing w:before="120" w:after="120"/>
        <w:ind w:firstLine="480"/>
      </w:pPr>
      <w:r w:rsidRPr="00B4515A">
        <w:rPr>
          <w:rFonts w:hint="eastAsia"/>
        </w:rPr>
        <w:t>在过渡期内，标的资产产生的收益由甲方享有；标的资产产生的亏损由乙方</w:t>
      </w:r>
      <w:r w:rsidRPr="00B4515A">
        <w:rPr>
          <w:rFonts w:hint="eastAsia"/>
        </w:rPr>
        <w:t>1</w:t>
      </w:r>
      <w:r w:rsidRPr="00B4515A">
        <w:rPr>
          <w:rFonts w:hint="eastAsia"/>
        </w:rPr>
        <w:t>和乙方</w:t>
      </w:r>
      <w:r w:rsidRPr="00B4515A">
        <w:rPr>
          <w:rFonts w:hint="eastAsia"/>
        </w:rPr>
        <w:t>2</w:t>
      </w:r>
      <w:r w:rsidRPr="00B4515A">
        <w:rPr>
          <w:rFonts w:hint="eastAsia"/>
        </w:rPr>
        <w:t>承担，并按其本次交易中拟转让股权占标的资产的相对比例于专项交割审计报告出具后</w:t>
      </w:r>
      <w:r w:rsidRPr="00B4515A">
        <w:rPr>
          <w:rFonts w:hint="eastAsia"/>
        </w:rPr>
        <w:t>30</w:t>
      </w:r>
      <w:r w:rsidRPr="00B4515A">
        <w:rPr>
          <w:rFonts w:hint="eastAsia"/>
        </w:rPr>
        <w:t>日内以现金方式一次性全额补偿予甲方。</w:t>
      </w:r>
    </w:p>
    <w:p w14:paraId="7558AF07" w14:textId="77777777" w:rsidR="006416B0" w:rsidRPr="00B4515A" w:rsidRDefault="005E58C1" w:rsidP="005860B4">
      <w:pPr>
        <w:pStyle w:val="003"/>
        <w:spacing w:before="120"/>
        <w:ind w:firstLine="482"/>
      </w:pPr>
      <w:r w:rsidRPr="00B4515A">
        <w:rPr>
          <w:rFonts w:hint="eastAsia"/>
        </w:rPr>
        <w:lastRenderedPageBreak/>
        <w:t>（七）滚存未分配利润安排</w:t>
      </w:r>
    </w:p>
    <w:p w14:paraId="663F86DF" w14:textId="77777777" w:rsidR="006416B0" w:rsidRPr="00B4515A" w:rsidRDefault="005E58C1" w:rsidP="005860B4">
      <w:pPr>
        <w:pStyle w:val="005"/>
        <w:spacing w:before="120" w:after="120"/>
        <w:ind w:firstLine="480"/>
      </w:pPr>
      <w:r w:rsidRPr="00B4515A">
        <w:rPr>
          <w:rFonts w:hint="eastAsia"/>
        </w:rPr>
        <w:t>本次交易完成后，目标公司评估基准日前滚存的未分配利润由本次交易完成后的目标公司新老股东，即甲方和乙方</w:t>
      </w:r>
      <w:r w:rsidRPr="00B4515A">
        <w:rPr>
          <w:rFonts w:hint="eastAsia"/>
        </w:rPr>
        <w:t>6-</w:t>
      </w:r>
      <w:r w:rsidRPr="00B4515A">
        <w:rPr>
          <w:rFonts w:hint="eastAsia"/>
        </w:rPr>
        <w:t>乙方</w:t>
      </w:r>
      <w:r w:rsidRPr="00B4515A">
        <w:rPr>
          <w:rFonts w:hint="eastAsia"/>
        </w:rPr>
        <w:t>9</w:t>
      </w:r>
      <w:r w:rsidRPr="00B4515A">
        <w:rPr>
          <w:rFonts w:hint="eastAsia"/>
        </w:rPr>
        <w:t>按所持目标公司股权比例享有。</w:t>
      </w:r>
    </w:p>
    <w:p w14:paraId="2E25F600" w14:textId="77777777" w:rsidR="006416B0" w:rsidRPr="00B4515A" w:rsidRDefault="005E58C1" w:rsidP="005860B4">
      <w:pPr>
        <w:pStyle w:val="003"/>
        <w:spacing w:before="120"/>
        <w:ind w:firstLine="482"/>
      </w:pPr>
      <w:r w:rsidRPr="00B4515A">
        <w:rPr>
          <w:rFonts w:hint="eastAsia"/>
        </w:rPr>
        <w:t>（八）协议生效</w:t>
      </w:r>
    </w:p>
    <w:p w14:paraId="015B2171" w14:textId="77777777" w:rsidR="006416B0" w:rsidRPr="00B4515A" w:rsidRDefault="005E58C1" w:rsidP="005860B4">
      <w:pPr>
        <w:pStyle w:val="005"/>
        <w:spacing w:before="120" w:after="120"/>
        <w:ind w:firstLine="480"/>
      </w:pPr>
      <w:r w:rsidRPr="00B4515A">
        <w:t>本补充协议</w:t>
      </w:r>
      <w:r w:rsidRPr="00B4515A">
        <w:rPr>
          <w:rFonts w:hint="eastAsia"/>
        </w:rPr>
        <w:t>为《原协议》不可分割的一部分，本补充协议于各方签字并盖章时成立，本补充协议及《原协议》于《原协议》第十九条约定的相关条件全部得到满足且本次交易相关事项得到乙方</w:t>
      </w:r>
      <w:r w:rsidRPr="00B4515A">
        <w:t>5</w:t>
      </w:r>
      <w:r w:rsidRPr="00B4515A">
        <w:rPr>
          <w:rFonts w:hint="eastAsia"/>
        </w:rPr>
        <w:t>（金融街资本）</w:t>
      </w:r>
      <w:r w:rsidRPr="00B4515A">
        <w:t>主管部门批准</w:t>
      </w:r>
      <w:r w:rsidRPr="00B4515A">
        <w:t>/</w:t>
      </w:r>
      <w:r w:rsidRPr="00B4515A">
        <w:t>备案</w:t>
      </w:r>
      <w:r w:rsidRPr="00B4515A">
        <w:rPr>
          <w:rFonts w:hint="eastAsia"/>
        </w:rPr>
        <w:t>时生效并与《原协议》具有同等法律效力。</w:t>
      </w:r>
    </w:p>
    <w:p w14:paraId="201E8B73" w14:textId="77777777" w:rsidR="006416B0" w:rsidRPr="00B4515A" w:rsidRDefault="005E58C1" w:rsidP="005860B4">
      <w:pPr>
        <w:pStyle w:val="005"/>
        <w:spacing w:before="120" w:after="120"/>
        <w:ind w:firstLine="480"/>
      </w:pPr>
      <w:r w:rsidRPr="00B4515A">
        <w:rPr>
          <w:rFonts w:hint="eastAsia"/>
        </w:rPr>
        <w:t>《原协议》第十九条约定的条件均满足后，以最后一个条件的满足日为《原协议》和本补充协议生效日。尽管有此约定，如乙方</w:t>
      </w:r>
      <w:r w:rsidRPr="00B4515A">
        <w:rPr>
          <w:rFonts w:hint="eastAsia"/>
        </w:rPr>
        <w:t>5</w:t>
      </w:r>
      <w:r w:rsidRPr="00B4515A">
        <w:rPr>
          <w:rFonts w:hint="eastAsia"/>
        </w:rPr>
        <w:t>在《原协议》第十九条约定的相关条件全部得到满足后七个工作日内仍未取得其主管部门的批准</w:t>
      </w:r>
      <w:r w:rsidRPr="00B4515A">
        <w:rPr>
          <w:rFonts w:hint="eastAsia"/>
        </w:rPr>
        <w:t>/</w:t>
      </w:r>
      <w:r w:rsidRPr="00B4515A">
        <w:rPr>
          <w:rFonts w:hint="eastAsia"/>
        </w:rPr>
        <w:t>备案的，上述协议在《原协议》第十九条约定的其他条件满足后仍可生效，乙方</w:t>
      </w:r>
      <w:r w:rsidRPr="00B4515A">
        <w:rPr>
          <w:rFonts w:hint="eastAsia"/>
        </w:rPr>
        <w:t>5</w:t>
      </w:r>
      <w:r w:rsidRPr="00B4515A">
        <w:rPr>
          <w:rFonts w:hint="eastAsia"/>
        </w:rPr>
        <w:t>不再参与本次交易，仍为目标公司股东。</w:t>
      </w:r>
    </w:p>
    <w:p w14:paraId="4ED87260" w14:textId="77777777" w:rsidR="006416B0" w:rsidRPr="00B4515A" w:rsidRDefault="005E58C1" w:rsidP="005860B4">
      <w:pPr>
        <w:pStyle w:val="003"/>
        <w:spacing w:before="120"/>
        <w:ind w:firstLine="482"/>
      </w:pPr>
      <w:r w:rsidRPr="00B4515A">
        <w:rPr>
          <w:rFonts w:hint="eastAsia"/>
        </w:rPr>
        <w:t>（九）违约责任</w:t>
      </w:r>
    </w:p>
    <w:p w14:paraId="60A8A9AC" w14:textId="77777777" w:rsidR="006416B0" w:rsidRPr="00B4515A" w:rsidRDefault="005E58C1" w:rsidP="005860B4">
      <w:pPr>
        <w:pStyle w:val="005"/>
        <w:spacing w:before="120" w:after="120"/>
        <w:ind w:firstLine="480"/>
      </w:pPr>
      <w:r w:rsidRPr="00B4515A">
        <w:t>1</w:t>
      </w:r>
      <w:r w:rsidRPr="00B4515A">
        <w:rPr>
          <w:rFonts w:hint="eastAsia"/>
        </w:rPr>
        <w:t>、</w:t>
      </w:r>
      <w:r w:rsidRPr="00B4515A">
        <w:t>本补充协议</w:t>
      </w:r>
      <w:r w:rsidRPr="00B4515A">
        <w:rPr>
          <w:rFonts w:hint="eastAsia"/>
        </w:rPr>
        <w:t>签订后，除不可抗力以外，任何一方不履行或不及时、不适当履行《原协议》或</w:t>
      </w:r>
      <w:r w:rsidRPr="00B4515A">
        <w:t>本补充协议</w:t>
      </w:r>
      <w:r w:rsidRPr="00B4515A">
        <w:rPr>
          <w:rFonts w:hint="eastAsia"/>
        </w:rPr>
        <w:t>项下其应履行的义务，或违反其在《原协议》或</w:t>
      </w:r>
      <w:r w:rsidRPr="00B4515A">
        <w:t>本补充协议</w:t>
      </w:r>
      <w:r w:rsidRPr="00B4515A">
        <w:rPr>
          <w:rFonts w:hint="eastAsia"/>
        </w:rPr>
        <w:t>项下作出的任何陈述或保证，均构成违约，应按照法律规定及《原协议》、本补充协议约定承担违约责任。</w:t>
      </w:r>
    </w:p>
    <w:p w14:paraId="41821715" w14:textId="77777777" w:rsidR="006416B0" w:rsidRPr="00B4515A" w:rsidRDefault="005E58C1" w:rsidP="005860B4">
      <w:pPr>
        <w:pStyle w:val="005"/>
        <w:spacing w:before="120" w:after="120"/>
        <w:ind w:firstLine="480"/>
      </w:pPr>
      <w:r w:rsidRPr="00B4515A">
        <w:t>2</w:t>
      </w:r>
      <w:r w:rsidRPr="00B4515A">
        <w:rPr>
          <w:rFonts w:hint="eastAsia"/>
        </w:rPr>
        <w:t>、《原协议》和本补充协议生效后，转让方中任何一方因其单方面原因违反《原协议》的约定，未能按照《原协议》约定的期限办理完毕标的资产交割，每逾期一日，导致逾期的转让方应向甲方支付逾期违约金，具体为：以本补充协议第二条约定的标的资产交易价格为基数，乘以其拟转让股权占标的资产的比例的万分之五</w:t>
      </w:r>
      <w:r w:rsidRPr="00B4515A">
        <w:rPr>
          <w:rFonts w:hint="eastAsia"/>
        </w:rPr>
        <w:t>/</w:t>
      </w:r>
      <w:r w:rsidRPr="00B4515A">
        <w:rPr>
          <w:rFonts w:hint="eastAsia"/>
        </w:rPr>
        <w:t>日。</w:t>
      </w:r>
    </w:p>
    <w:p w14:paraId="36BC542D" w14:textId="77777777" w:rsidR="006416B0" w:rsidRPr="00B4515A" w:rsidRDefault="005E58C1" w:rsidP="005860B4">
      <w:pPr>
        <w:pStyle w:val="005"/>
        <w:spacing w:before="120" w:after="120"/>
        <w:ind w:firstLine="480"/>
      </w:pPr>
      <w:r w:rsidRPr="00B4515A">
        <w:t>3</w:t>
      </w:r>
      <w:r w:rsidRPr="00B4515A">
        <w:rPr>
          <w:rFonts w:hint="eastAsia"/>
        </w:rPr>
        <w:t>、《原协议》和本补充协议生效后，若因甲方原因其未能按照本协议的约定办理完成相关对价股份登记至任一方转让方名下的手续，每逾期一日，甲方应分别向未获股份登记的转让方支付逾期违约金，具体为：以本补充协议第二条约定的标的资产交易价格为基数，分别乘以该转让方拟转让股权占标的资产的比例的万分之五</w:t>
      </w:r>
      <w:r w:rsidRPr="00B4515A">
        <w:rPr>
          <w:rFonts w:hint="eastAsia"/>
        </w:rPr>
        <w:t>/</w:t>
      </w:r>
      <w:r w:rsidRPr="00B4515A">
        <w:rPr>
          <w:rFonts w:hint="eastAsia"/>
        </w:rPr>
        <w:t>日，分别向未获股份登记的转让方支付。</w:t>
      </w:r>
    </w:p>
    <w:p w14:paraId="71F60A20" w14:textId="77777777" w:rsidR="006416B0" w:rsidRPr="00B4515A" w:rsidRDefault="005E58C1" w:rsidP="005860B4">
      <w:pPr>
        <w:pStyle w:val="005"/>
        <w:spacing w:before="120" w:after="120"/>
        <w:ind w:firstLine="480"/>
      </w:pPr>
      <w:r w:rsidRPr="00B4515A">
        <w:lastRenderedPageBreak/>
        <w:t>4</w:t>
      </w:r>
      <w:r w:rsidRPr="00B4515A">
        <w:rPr>
          <w:rFonts w:hint="eastAsia"/>
        </w:rPr>
        <w:t>、除本补充协议另有约定外，任何一方违约，应当赔偿守约方由此受到的直接经济损失（包括守约方因履行本协议发生的损失、费用、损害和开支）。</w:t>
      </w:r>
      <w:bookmarkEnd w:id="293"/>
    </w:p>
    <w:p w14:paraId="06EF6E48" w14:textId="77777777" w:rsidR="006416B0" w:rsidRPr="00B4515A" w:rsidRDefault="005E58C1" w:rsidP="005860B4">
      <w:pPr>
        <w:pStyle w:val="002"/>
        <w:spacing w:before="120" w:after="120"/>
        <w:ind w:firstLine="562"/>
      </w:pPr>
      <w:bookmarkStart w:id="296" w:name="_Toc80960559"/>
      <w:r w:rsidRPr="00B4515A">
        <w:rPr>
          <w:rFonts w:hint="eastAsia"/>
        </w:rPr>
        <w:t>三、业绩补偿协议主要内容</w:t>
      </w:r>
      <w:bookmarkEnd w:id="296"/>
    </w:p>
    <w:p w14:paraId="2A666EFD" w14:textId="77777777" w:rsidR="006416B0" w:rsidRPr="00B4515A" w:rsidRDefault="005E58C1" w:rsidP="005860B4">
      <w:pPr>
        <w:pStyle w:val="003"/>
        <w:spacing w:before="120"/>
        <w:ind w:firstLine="482"/>
      </w:pPr>
      <w:bookmarkStart w:id="297" w:name="_Hlk76935653"/>
      <w:r w:rsidRPr="00B4515A">
        <w:rPr>
          <w:rFonts w:hint="eastAsia"/>
        </w:rPr>
        <w:t>（一）合同主体、签订时间</w:t>
      </w:r>
    </w:p>
    <w:p w14:paraId="36BCA78B" w14:textId="1B43BE85" w:rsidR="006416B0" w:rsidRPr="00B4515A" w:rsidRDefault="005E58C1" w:rsidP="005860B4">
      <w:pPr>
        <w:pStyle w:val="005"/>
        <w:spacing w:before="120" w:after="120"/>
        <w:ind w:firstLine="480"/>
      </w:pPr>
      <w:r w:rsidRPr="00B4515A">
        <w:t>2021</w:t>
      </w:r>
      <w:r w:rsidRPr="00B4515A">
        <w:rPr>
          <w:rFonts w:hint="eastAsia"/>
        </w:rPr>
        <w:t>年</w:t>
      </w:r>
      <w:r w:rsidR="00C40D09" w:rsidRPr="00B4515A">
        <w:t>8</w:t>
      </w:r>
      <w:r w:rsidRPr="00B4515A">
        <w:rPr>
          <w:rFonts w:hint="eastAsia"/>
        </w:rPr>
        <w:t>月</w:t>
      </w:r>
      <w:r w:rsidR="009C001B" w:rsidRPr="00B4515A">
        <w:rPr>
          <w:rFonts w:hint="eastAsia"/>
        </w:rPr>
        <w:t>26</w:t>
      </w:r>
      <w:r w:rsidRPr="00B4515A">
        <w:rPr>
          <w:rFonts w:hint="eastAsia"/>
        </w:rPr>
        <w:t>日，大唐电信与电信科研院、大唐控股签订了《</w:t>
      </w:r>
      <w:r w:rsidRPr="00B4515A">
        <w:t>大唐电信科技股份有限公司与电信科学技术研究院有限公司大唐电信科技产业控股有限公司</w:t>
      </w:r>
      <w:r w:rsidRPr="00B4515A">
        <w:rPr>
          <w:rFonts w:hint="eastAsia"/>
        </w:rPr>
        <w:t>之</w:t>
      </w:r>
      <w:r w:rsidRPr="00B4515A">
        <w:t>业绩承诺与补偿协议</w:t>
      </w:r>
      <w:r w:rsidRPr="00B4515A">
        <w:rPr>
          <w:rFonts w:hint="eastAsia"/>
        </w:rPr>
        <w:t>》。其中上市公司为协议中的甲方，电信科研院、大唐控股为协议中的乙方。</w:t>
      </w:r>
    </w:p>
    <w:p w14:paraId="7E744BD8" w14:textId="77777777" w:rsidR="006416B0" w:rsidRPr="00B4515A" w:rsidRDefault="005E58C1" w:rsidP="005860B4">
      <w:pPr>
        <w:pStyle w:val="003"/>
        <w:spacing w:before="120"/>
        <w:ind w:firstLine="482"/>
      </w:pPr>
      <w:r w:rsidRPr="00B4515A">
        <w:rPr>
          <w:rFonts w:hint="eastAsia"/>
        </w:rPr>
        <w:t>（二）</w:t>
      </w:r>
      <w:r w:rsidRPr="00B4515A">
        <w:t>业绩承诺</w:t>
      </w:r>
    </w:p>
    <w:p w14:paraId="4E8EA131" w14:textId="77777777" w:rsidR="006416B0" w:rsidRPr="00B4515A" w:rsidRDefault="005E58C1" w:rsidP="005860B4">
      <w:pPr>
        <w:pStyle w:val="005"/>
        <w:spacing w:before="120" w:after="120"/>
        <w:ind w:firstLine="480"/>
      </w:pPr>
      <w:r w:rsidRPr="00B4515A">
        <w:rPr>
          <w:rFonts w:hint="eastAsia"/>
        </w:rPr>
        <w:t>1</w:t>
      </w:r>
      <w:r w:rsidRPr="00B4515A">
        <w:rPr>
          <w:rFonts w:hint="eastAsia"/>
        </w:rPr>
        <w:t>、</w:t>
      </w:r>
      <w:r w:rsidRPr="00B4515A">
        <w:t>经各方协商一致，乙方将作为本次交易的业绩承诺人。本次交易的业绩承诺期为</w:t>
      </w:r>
      <w:r w:rsidRPr="00B4515A">
        <w:rPr>
          <w:rFonts w:hint="eastAsia"/>
        </w:rPr>
        <w:t>202</w:t>
      </w:r>
      <w:r w:rsidRPr="00B4515A">
        <w:t>1</w:t>
      </w:r>
      <w:r w:rsidRPr="00B4515A">
        <w:rPr>
          <w:rFonts w:hint="eastAsia"/>
        </w:rPr>
        <w:t>年、</w:t>
      </w:r>
      <w:r w:rsidRPr="00B4515A">
        <w:rPr>
          <w:rFonts w:hint="eastAsia"/>
        </w:rPr>
        <w:t>202</w:t>
      </w:r>
      <w:r w:rsidRPr="00B4515A">
        <w:t>2</w:t>
      </w:r>
      <w:r w:rsidRPr="00B4515A">
        <w:rPr>
          <w:rFonts w:hint="eastAsia"/>
        </w:rPr>
        <w:t>年和</w:t>
      </w:r>
      <w:r w:rsidRPr="00B4515A">
        <w:rPr>
          <w:rFonts w:hint="eastAsia"/>
        </w:rPr>
        <w:t>202</w:t>
      </w:r>
      <w:r w:rsidRPr="00B4515A">
        <w:t>3</w:t>
      </w:r>
      <w:r w:rsidRPr="00B4515A">
        <w:rPr>
          <w:rFonts w:hint="eastAsia"/>
        </w:rPr>
        <w:t>年，若交割日</w:t>
      </w:r>
      <w:r w:rsidRPr="00B4515A">
        <w:t>推迟至</w:t>
      </w:r>
      <w:r w:rsidRPr="00B4515A">
        <w:rPr>
          <w:rFonts w:hint="eastAsia"/>
        </w:rPr>
        <w:t>202</w:t>
      </w:r>
      <w:r w:rsidRPr="00B4515A">
        <w:t>1</w:t>
      </w:r>
      <w:r w:rsidRPr="00B4515A">
        <w:rPr>
          <w:rFonts w:hint="eastAsia"/>
        </w:rPr>
        <w:t>年</w:t>
      </w:r>
      <w:r w:rsidRPr="00B4515A">
        <w:rPr>
          <w:rFonts w:hint="eastAsia"/>
        </w:rPr>
        <w:t>12</w:t>
      </w:r>
      <w:r w:rsidRPr="00B4515A">
        <w:rPr>
          <w:rFonts w:hint="eastAsia"/>
        </w:rPr>
        <w:t>月</w:t>
      </w:r>
      <w:r w:rsidRPr="00B4515A">
        <w:rPr>
          <w:rFonts w:hint="eastAsia"/>
        </w:rPr>
        <w:t>31</w:t>
      </w:r>
      <w:r w:rsidRPr="00B4515A">
        <w:rPr>
          <w:rFonts w:hint="eastAsia"/>
        </w:rPr>
        <w:t>日</w:t>
      </w:r>
      <w:r w:rsidRPr="00B4515A">
        <w:t>之后的</w:t>
      </w:r>
      <w:r w:rsidRPr="00B4515A">
        <w:rPr>
          <w:rFonts w:hint="eastAsia"/>
        </w:rPr>
        <w:t>，则前述业绩承诺期相应顺延为</w:t>
      </w:r>
      <w:r w:rsidRPr="00B4515A">
        <w:rPr>
          <w:rFonts w:hint="eastAsia"/>
        </w:rPr>
        <w:t>202</w:t>
      </w:r>
      <w:r w:rsidRPr="00B4515A">
        <w:t>2</w:t>
      </w:r>
      <w:r w:rsidRPr="00B4515A">
        <w:rPr>
          <w:rFonts w:hint="eastAsia"/>
        </w:rPr>
        <w:t>年</w:t>
      </w:r>
      <w:r w:rsidRPr="00B4515A">
        <w:t>、</w:t>
      </w:r>
      <w:r w:rsidRPr="00B4515A">
        <w:rPr>
          <w:rFonts w:hint="eastAsia"/>
        </w:rPr>
        <w:t>202</w:t>
      </w:r>
      <w:r w:rsidRPr="00B4515A">
        <w:t>3</w:t>
      </w:r>
      <w:r w:rsidRPr="00B4515A">
        <w:rPr>
          <w:rFonts w:hint="eastAsia"/>
        </w:rPr>
        <w:t>年</w:t>
      </w:r>
      <w:r w:rsidRPr="00B4515A">
        <w:t>、</w:t>
      </w:r>
      <w:r w:rsidRPr="00B4515A">
        <w:rPr>
          <w:rFonts w:hint="eastAsia"/>
        </w:rPr>
        <w:t>202</w:t>
      </w:r>
      <w:r w:rsidRPr="00B4515A">
        <w:t>4</w:t>
      </w:r>
      <w:r w:rsidRPr="00B4515A">
        <w:rPr>
          <w:rFonts w:hint="eastAsia"/>
        </w:rPr>
        <w:t>年。</w:t>
      </w:r>
    </w:p>
    <w:p w14:paraId="50CABB3A" w14:textId="77777777" w:rsidR="006416B0" w:rsidRPr="00B4515A" w:rsidRDefault="005E58C1" w:rsidP="005860B4">
      <w:pPr>
        <w:pStyle w:val="005"/>
        <w:spacing w:before="120" w:after="120"/>
        <w:ind w:firstLine="480"/>
      </w:pPr>
      <w:r w:rsidRPr="00B4515A">
        <w:rPr>
          <w:rFonts w:hint="eastAsia"/>
        </w:rPr>
        <w:t>2</w:t>
      </w:r>
      <w:r w:rsidRPr="00B4515A">
        <w:rPr>
          <w:rFonts w:hint="eastAsia"/>
        </w:rPr>
        <w:t>、</w:t>
      </w:r>
      <w:r w:rsidRPr="00B4515A">
        <w:t>业绩承诺金额</w:t>
      </w:r>
    </w:p>
    <w:p w14:paraId="0C7D8587" w14:textId="77777777" w:rsidR="006416B0" w:rsidRPr="00B4515A" w:rsidRDefault="005E58C1" w:rsidP="005860B4">
      <w:pPr>
        <w:pStyle w:val="005"/>
        <w:spacing w:before="120" w:after="120"/>
        <w:ind w:firstLine="480"/>
      </w:pPr>
      <w:r w:rsidRPr="00B4515A">
        <w:t>乙方对</w:t>
      </w:r>
      <w:r w:rsidRPr="00B4515A">
        <w:rPr>
          <w:rFonts w:hint="eastAsia"/>
        </w:rPr>
        <w:t>目标公司</w:t>
      </w:r>
      <w:r w:rsidRPr="00B4515A">
        <w:t>在业绩承诺期间每年实现的承诺净利润数分别如下：</w:t>
      </w:r>
    </w:p>
    <w:p w14:paraId="46783D45" w14:textId="77777777" w:rsidR="006416B0" w:rsidRPr="00B4515A" w:rsidRDefault="005E58C1" w:rsidP="005860B4">
      <w:pPr>
        <w:pStyle w:val="009"/>
      </w:pPr>
      <w:r w:rsidRPr="00B4515A">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44"/>
        <w:gridCol w:w="2144"/>
        <w:gridCol w:w="1943"/>
        <w:gridCol w:w="2297"/>
      </w:tblGrid>
      <w:tr w:rsidR="006416B0" w:rsidRPr="00B4515A" w14:paraId="5EBEAEF1" w14:textId="77777777" w:rsidTr="00031627">
        <w:trPr>
          <w:trHeight w:val="340"/>
          <w:jc w:val="center"/>
        </w:trPr>
        <w:tc>
          <w:tcPr>
            <w:tcW w:w="1257" w:type="pct"/>
            <w:tcMar>
              <w:top w:w="0" w:type="dxa"/>
              <w:left w:w="108" w:type="dxa"/>
              <w:bottom w:w="0" w:type="dxa"/>
              <w:right w:w="108" w:type="dxa"/>
            </w:tcMar>
            <w:vAlign w:val="center"/>
          </w:tcPr>
          <w:p w14:paraId="0DD366DF"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2021</w:t>
            </w:r>
            <w:r w:rsidRPr="00B4515A">
              <w:rPr>
                <w:rFonts w:ascii="Times New Roman" w:hAnsi="Times New Roman" w:cs="Times New Roman"/>
                <w:b/>
                <w:color w:val="000000"/>
                <w:sz w:val="21"/>
                <w:szCs w:val="21"/>
              </w:rPr>
              <w:t>年</w:t>
            </w:r>
          </w:p>
        </w:tc>
        <w:tc>
          <w:tcPr>
            <w:tcW w:w="1257" w:type="pct"/>
            <w:tcMar>
              <w:top w:w="0" w:type="dxa"/>
              <w:left w:w="108" w:type="dxa"/>
              <w:bottom w:w="0" w:type="dxa"/>
              <w:right w:w="108" w:type="dxa"/>
            </w:tcMar>
            <w:vAlign w:val="center"/>
          </w:tcPr>
          <w:p w14:paraId="021E3495"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2022</w:t>
            </w:r>
            <w:r w:rsidRPr="00B4515A">
              <w:rPr>
                <w:rFonts w:ascii="Times New Roman" w:hAnsi="Times New Roman" w:cs="Times New Roman"/>
                <w:b/>
                <w:color w:val="000000"/>
                <w:sz w:val="21"/>
                <w:szCs w:val="21"/>
              </w:rPr>
              <w:t>年</w:t>
            </w:r>
          </w:p>
        </w:tc>
        <w:tc>
          <w:tcPr>
            <w:tcW w:w="1139" w:type="pct"/>
            <w:tcMar>
              <w:top w:w="0" w:type="dxa"/>
              <w:left w:w="108" w:type="dxa"/>
              <w:bottom w:w="0" w:type="dxa"/>
              <w:right w:w="108" w:type="dxa"/>
            </w:tcMar>
            <w:vAlign w:val="center"/>
          </w:tcPr>
          <w:p w14:paraId="5BD3FB1D"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2023</w:t>
            </w:r>
            <w:r w:rsidRPr="00B4515A">
              <w:rPr>
                <w:rFonts w:ascii="Times New Roman" w:hAnsi="Times New Roman" w:cs="Times New Roman"/>
                <w:b/>
                <w:color w:val="000000"/>
                <w:sz w:val="21"/>
                <w:szCs w:val="21"/>
              </w:rPr>
              <w:t>年</w:t>
            </w:r>
          </w:p>
        </w:tc>
        <w:tc>
          <w:tcPr>
            <w:tcW w:w="1347" w:type="pct"/>
            <w:tcMar>
              <w:top w:w="0" w:type="dxa"/>
              <w:left w:w="108" w:type="dxa"/>
              <w:bottom w:w="0" w:type="dxa"/>
              <w:right w:w="108" w:type="dxa"/>
            </w:tcMar>
            <w:vAlign w:val="center"/>
          </w:tcPr>
          <w:p w14:paraId="6E557036"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2024</w:t>
            </w:r>
            <w:r w:rsidRPr="00B4515A">
              <w:rPr>
                <w:rFonts w:ascii="Times New Roman" w:hAnsi="Times New Roman" w:cs="Times New Roman"/>
                <w:b/>
                <w:color w:val="000000"/>
                <w:sz w:val="21"/>
                <w:szCs w:val="21"/>
              </w:rPr>
              <w:t>年</w:t>
            </w:r>
          </w:p>
        </w:tc>
      </w:tr>
      <w:tr w:rsidR="006416B0" w:rsidRPr="00B4515A" w14:paraId="73773CD9" w14:textId="77777777" w:rsidTr="00031627">
        <w:trPr>
          <w:trHeight w:val="340"/>
          <w:jc w:val="center"/>
        </w:trPr>
        <w:tc>
          <w:tcPr>
            <w:tcW w:w="1257" w:type="pct"/>
            <w:tcMar>
              <w:top w:w="0" w:type="dxa"/>
              <w:left w:w="108" w:type="dxa"/>
              <w:bottom w:w="0" w:type="dxa"/>
              <w:right w:w="108" w:type="dxa"/>
            </w:tcMar>
            <w:vAlign w:val="center"/>
          </w:tcPr>
          <w:p w14:paraId="544A3FF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bCs/>
                <w:color w:val="000000"/>
                <w:sz w:val="21"/>
                <w:szCs w:val="21"/>
              </w:rPr>
              <w:t>4,315.64</w:t>
            </w:r>
          </w:p>
        </w:tc>
        <w:tc>
          <w:tcPr>
            <w:tcW w:w="1257" w:type="pct"/>
            <w:tcMar>
              <w:top w:w="0" w:type="dxa"/>
              <w:left w:w="108" w:type="dxa"/>
              <w:bottom w:w="0" w:type="dxa"/>
              <w:right w:w="108" w:type="dxa"/>
            </w:tcMar>
            <w:vAlign w:val="center"/>
          </w:tcPr>
          <w:p w14:paraId="3F8506E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bCs/>
                <w:color w:val="000000"/>
                <w:sz w:val="21"/>
                <w:szCs w:val="21"/>
              </w:rPr>
              <w:t>6,904.02</w:t>
            </w:r>
          </w:p>
        </w:tc>
        <w:tc>
          <w:tcPr>
            <w:tcW w:w="1139" w:type="pct"/>
            <w:tcMar>
              <w:top w:w="0" w:type="dxa"/>
              <w:left w:w="108" w:type="dxa"/>
              <w:bottom w:w="0" w:type="dxa"/>
              <w:right w:w="108" w:type="dxa"/>
            </w:tcMar>
            <w:vAlign w:val="center"/>
          </w:tcPr>
          <w:p w14:paraId="6D67994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bCs/>
                <w:color w:val="000000"/>
                <w:sz w:val="21"/>
                <w:szCs w:val="21"/>
              </w:rPr>
              <w:t xml:space="preserve">8,406.64 </w:t>
            </w:r>
          </w:p>
        </w:tc>
        <w:tc>
          <w:tcPr>
            <w:tcW w:w="1347" w:type="pct"/>
            <w:tcMar>
              <w:top w:w="0" w:type="dxa"/>
              <w:left w:w="108" w:type="dxa"/>
              <w:bottom w:w="0" w:type="dxa"/>
              <w:right w:w="108" w:type="dxa"/>
            </w:tcMar>
            <w:vAlign w:val="center"/>
          </w:tcPr>
          <w:p w14:paraId="3A6FF0D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bCs/>
                <w:color w:val="000000"/>
                <w:sz w:val="21"/>
                <w:szCs w:val="21"/>
              </w:rPr>
              <w:t>11,521.03</w:t>
            </w:r>
          </w:p>
        </w:tc>
      </w:tr>
    </w:tbl>
    <w:p w14:paraId="40663B61" w14:textId="77777777" w:rsidR="006416B0" w:rsidRPr="00B4515A" w:rsidRDefault="005E58C1" w:rsidP="005860B4">
      <w:pPr>
        <w:pStyle w:val="003"/>
        <w:spacing w:before="120"/>
        <w:ind w:firstLine="482"/>
      </w:pPr>
      <w:r w:rsidRPr="00B4515A">
        <w:rPr>
          <w:rFonts w:hint="eastAsia"/>
        </w:rPr>
        <w:t>（三）</w:t>
      </w:r>
      <w:r w:rsidRPr="00B4515A">
        <w:t>业绩承诺金额的确定</w:t>
      </w:r>
    </w:p>
    <w:p w14:paraId="2D00DD78" w14:textId="77777777" w:rsidR="006416B0" w:rsidRPr="00B4515A" w:rsidRDefault="005E58C1" w:rsidP="005860B4">
      <w:pPr>
        <w:pStyle w:val="005"/>
        <w:spacing w:before="120" w:after="120"/>
        <w:ind w:firstLine="480"/>
      </w:pPr>
      <w:r w:rsidRPr="00B4515A">
        <w:rPr>
          <w:rFonts w:hint="eastAsia"/>
        </w:rPr>
        <w:t>1</w:t>
      </w:r>
      <w:r w:rsidRPr="00B4515A">
        <w:rPr>
          <w:rFonts w:hint="eastAsia"/>
        </w:rPr>
        <w:t>、</w:t>
      </w:r>
      <w:r w:rsidRPr="00B4515A">
        <w:t>在业绩承诺期间内每个会计年度，应由甲方聘请具备《证券法》等法律法规及中国证监会规定的从事证券服务业务资质的审计机构，对</w:t>
      </w:r>
      <w:r w:rsidRPr="00B4515A">
        <w:rPr>
          <w:rFonts w:hint="eastAsia"/>
        </w:rPr>
        <w:t>目标公司</w:t>
      </w:r>
      <w:r w:rsidRPr="00B4515A">
        <w:t>在业绩承诺期间的每年度实现净利润与承诺净利润数</w:t>
      </w:r>
      <w:r w:rsidRPr="00B4515A">
        <w:rPr>
          <w:rFonts w:hint="eastAsia"/>
        </w:rPr>
        <w:t>额</w:t>
      </w:r>
      <w:r w:rsidRPr="00B4515A">
        <w:t>的差异情况分别进行专项审核，并出具业绩承诺年度专项审核报告。</w:t>
      </w:r>
      <w:r w:rsidRPr="00B4515A">
        <w:rPr>
          <w:rFonts w:hint="eastAsia"/>
        </w:rPr>
        <w:t>目标公司</w:t>
      </w:r>
      <w:r w:rsidRPr="00B4515A">
        <w:t>在业绩承诺期间内实现净利润与承诺净利润的差额，将根据业绩承诺年度专项审核报告的结果确定。</w:t>
      </w:r>
    </w:p>
    <w:p w14:paraId="153D0748" w14:textId="77777777" w:rsidR="006416B0" w:rsidRPr="00B4515A" w:rsidRDefault="005E58C1" w:rsidP="005860B4">
      <w:pPr>
        <w:pStyle w:val="005"/>
        <w:spacing w:before="120" w:after="120"/>
        <w:ind w:firstLine="480"/>
      </w:pPr>
      <w:r w:rsidRPr="00B4515A">
        <w:rPr>
          <w:rFonts w:hint="eastAsia"/>
        </w:rPr>
        <w:t>2</w:t>
      </w:r>
      <w:r w:rsidRPr="00B4515A">
        <w:rPr>
          <w:rFonts w:hint="eastAsia"/>
        </w:rPr>
        <w:t>、各方同意，目标公司于业绩承诺期间内实现净利润按照如下原则计算：</w:t>
      </w:r>
    </w:p>
    <w:p w14:paraId="614D21F5" w14:textId="77777777" w:rsidR="006416B0" w:rsidRPr="00B4515A" w:rsidRDefault="005E58C1" w:rsidP="005860B4">
      <w:pPr>
        <w:pStyle w:val="005"/>
        <w:spacing w:before="120" w:after="120"/>
        <w:ind w:firstLine="480"/>
      </w:pPr>
      <w:r w:rsidRPr="00B4515A">
        <w:rPr>
          <w:rFonts w:hint="eastAsia"/>
        </w:rPr>
        <w:t>（</w:t>
      </w:r>
      <w:r w:rsidRPr="00B4515A">
        <w:rPr>
          <w:rFonts w:hint="eastAsia"/>
        </w:rPr>
        <w:t>1</w:t>
      </w:r>
      <w:r w:rsidRPr="00B4515A">
        <w:rPr>
          <w:rFonts w:hint="eastAsia"/>
        </w:rPr>
        <w:t>）目标公司的财务报表编制应符合《企业会计准则》及其他法律、法规的规定并与甲方会计政策及会计估计保持一致；</w:t>
      </w:r>
    </w:p>
    <w:p w14:paraId="671C94CF" w14:textId="77777777" w:rsidR="006416B0" w:rsidRPr="00B4515A" w:rsidRDefault="005E58C1" w:rsidP="005860B4">
      <w:pPr>
        <w:pStyle w:val="005"/>
        <w:spacing w:before="120" w:after="120"/>
        <w:ind w:firstLine="480"/>
      </w:pPr>
      <w:r w:rsidRPr="00B4515A">
        <w:rPr>
          <w:rFonts w:hint="eastAsia"/>
        </w:rPr>
        <w:t>（</w:t>
      </w:r>
      <w:r w:rsidRPr="00B4515A">
        <w:rPr>
          <w:rFonts w:hint="eastAsia"/>
        </w:rPr>
        <w:t>2</w:t>
      </w:r>
      <w:r w:rsidRPr="00B4515A">
        <w:rPr>
          <w:rFonts w:hint="eastAsia"/>
        </w:rPr>
        <w:t>）若本次交易募集配套资金成功实施，在计算目标公司于业绩承诺期间</w:t>
      </w:r>
      <w:r w:rsidRPr="00B4515A">
        <w:rPr>
          <w:rFonts w:hint="eastAsia"/>
        </w:rPr>
        <w:lastRenderedPageBreak/>
        <w:t>的实际实现净利润时应扣除募集资金投入目标公司带来的影响，包括：（</w:t>
      </w:r>
      <w:r w:rsidRPr="00B4515A">
        <w:rPr>
          <w:rFonts w:hint="eastAsia"/>
        </w:rPr>
        <w:t>i</w:t>
      </w:r>
      <w:r w:rsidRPr="00B4515A">
        <w:rPr>
          <w:rFonts w:hint="eastAsia"/>
        </w:rPr>
        <w:t>）已投入募集资金所产生的募投项目经营收益或经营亏损；（</w:t>
      </w:r>
      <w:r w:rsidRPr="00B4515A">
        <w:rPr>
          <w:rFonts w:hint="eastAsia"/>
        </w:rPr>
        <w:t>ii</w:t>
      </w:r>
      <w:r w:rsidRPr="00B4515A">
        <w:rPr>
          <w:rFonts w:hint="eastAsia"/>
        </w:rPr>
        <w:t>）暂未使用的其余应用于目标公司募投项目的募集资金产生的利息收益；及（</w:t>
      </w:r>
      <w:r w:rsidRPr="00B4515A">
        <w:rPr>
          <w:rFonts w:hint="eastAsia"/>
        </w:rPr>
        <w:t>iii</w:t>
      </w:r>
      <w:r w:rsidRPr="00B4515A">
        <w:rPr>
          <w:rFonts w:hint="eastAsia"/>
        </w:rPr>
        <w:t>）如甲方以借款方式将募集资金投入目标公司，还应扣除该等借款的相应利息。</w:t>
      </w:r>
    </w:p>
    <w:p w14:paraId="4E85BD1D" w14:textId="77777777" w:rsidR="006416B0" w:rsidRPr="00B4515A" w:rsidRDefault="005E58C1" w:rsidP="005860B4">
      <w:pPr>
        <w:pStyle w:val="003"/>
        <w:spacing w:before="120"/>
        <w:ind w:firstLine="482"/>
      </w:pPr>
      <w:r w:rsidRPr="00B4515A">
        <w:rPr>
          <w:rFonts w:hint="eastAsia"/>
        </w:rPr>
        <w:t>（四）</w:t>
      </w:r>
      <w:r w:rsidRPr="00B4515A">
        <w:t>业绩补偿方式及实施</w:t>
      </w:r>
    </w:p>
    <w:p w14:paraId="7BB4DB4C" w14:textId="77777777" w:rsidR="006416B0" w:rsidRPr="00B4515A" w:rsidRDefault="005E58C1" w:rsidP="005860B4">
      <w:pPr>
        <w:pStyle w:val="004"/>
        <w:spacing w:before="120" w:after="120"/>
        <w:ind w:firstLine="482"/>
      </w:pPr>
      <w:r w:rsidRPr="00B4515A">
        <w:t>1</w:t>
      </w:r>
      <w:r w:rsidRPr="00B4515A">
        <w:rPr>
          <w:rFonts w:hint="eastAsia"/>
        </w:rPr>
        <w:t>、</w:t>
      </w:r>
      <w:r w:rsidRPr="00B4515A">
        <w:t>补偿原则</w:t>
      </w:r>
    </w:p>
    <w:p w14:paraId="644DE3AD" w14:textId="77777777" w:rsidR="006416B0" w:rsidRPr="00B4515A" w:rsidRDefault="005E58C1" w:rsidP="005860B4">
      <w:pPr>
        <w:pStyle w:val="005"/>
        <w:spacing w:before="120" w:after="120"/>
        <w:ind w:firstLine="480"/>
      </w:pPr>
      <w:r w:rsidRPr="00B4515A">
        <w:t>若</w:t>
      </w:r>
      <w:r w:rsidRPr="00B4515A">
        <w:rPr>
          <w:rFonts w:hint="eastAsia"/>
        </w:rPr>
        <w:t>目标公司</w:t>
      </w:r>
      <w:r w:rsidRPr="00B4515A">
        <w:t>在业绩承诺</w:t>
      </w:r>
      <w:r w:rsidRPr="00B4515A">
        <w:rPr>
          <w:rFonts w:hint="eastAsia"/>
        </w:rPr>
        <w:t>期间任一会计年度当年年末累计实现净利润低于当年年末累计承诺净利润的</w:t>
      </w:r>
      <w:r w:rsidRPr="00B4515A">
        <w:t>，则乙方应按照</w:t>
      </w:r>
      <w:r w:rsidRPr="00B4515A">
        <w:rPr>
          <w:rFonts w:hint="eastAsia"/>
        </w:rPr>
        <w:t>本</w:t>
      </w:r>
      <w:r w:rsidRPr="00B4515A">
        <w:t>协议约定对</w:t>
      </w:r>
      <w:r w:rsidRPr="00B4515A">
        <w:rPr>
          <w:rFonts w:hint="eastAsia"/>
        </w:rPr>
        <w:t>甲方</w:t>
      </w:r>
      <w:r w:rsidRPr="00B4515A">
        <w:t>承担业绩补偿义务。补偿原则为：</w:t>
      </w:r>
    </w:p>
    <w:p w14:paraId="1B244170" w14:textId="77777777" w:rsidR="006416B0" w:rsidRPr="00B4515A" w:rsidRDefault="005E58C1" w:rsidP="005860B4">
      <w:pPr>
        <w:pStyle w:val="005"/>
        <w:spacing w:before="120" w:after="120"/>
        <w:ind w:firstLine="480"/>
      </w:pPr>
      <w:r w:rsidRPr="00B4515A">
        <w:rPr>
          <w:rFonts w:hint="eastAsia"/>
        </w:rPr>
        <w:t>（</w:t>
      </w:r>
      <w:r w:rsidRPr="00B4515A">
        <w:rPr>
          <w:rFonts w:hint="eastAsia"/>
        </w:rPr>
        <w:t>1</w:t>
      </w:r>
      <w:r w:rsidRPr="00B4515A">
        <w:rPr>
          <w:rFonts w:hint="eastAsia"/>
        </w:rPr>
        <w:t>）</w:t>
      </w:r>
      <w:r w:rsidRPr="00B4515A">
        <w:t>乙方</w:t>
      </w:r>
      <w:r w:rsidRPr="00B4515A">
        <w:rPr>
          <w:rFonts w:hint="eastAsia"/>
        </w:rPr>
        <w:t>应以通过本次交易而取得的对价股份对甲方进行补偿</w:t>
      </w:r>
      <w:r w:rsidRPr="00B4515A">
        <w:t>；</w:t>
      </w:r>
    </w:p>
    <w:p w14:paraId="58EF1424" w14:textId="77777777" w:rsidR="006416B0" w:rsidRPr="00B4515A" w:rsidRDefault="005E58C1" w:rsidP="005860B4">
      <w:pPr>
        <w:pStyle w:val="005"/>
        <w:spacing w:before="120" w:after="120"/>
        <w:ind w:firstLine="480"/>
      </w:pPr>
      <w:r w:rsidRPr="00B4515A">
        <w:rPr>
          <w:rFonts w:hint="eastAsia"/>
        </w:rPr>
        <w:t>（</w:t>
      </w:r>
      <w:r w:rsidRPr="00B4515A">
        <w:rPr>
          <w:rFonts w:hint="eastAsia"/>
        </w:rPr>
        <w:t>2</w:t>
      </w:r>
      <w:r w:rsidRPr="00B4515A">
        <w:rPr>
          <w:rFonts w:hint="eastAsia"/>
        </w:rPr>
        <w:t>）乙方仅按其在本协议签署日其拟转让股权占标的资产的比例承担本协议项下的补偿义务。</w:t>
      </w:r>
    </w:p>
    <w:p w14:paraId="66E49A98" w14:textId="77777777" w:rsidR="006416B0" w:rsidRPr="00B4515A" w:rsidRDefault="005E58C1" w:rsidP="005860B4">
      <w:pPr>
        <w:pStyle w:val="005"/>
        <w:spacing w:before="120" w:after="120"/>
        <w:ind w:firstLine="480"/>
      </w:pPr>
      <w:r w:rsidRPr="00B4515A">
        <w:rPr>
          <w:rFonts w:hint="eastAsia"/>
        </w:rPr>
        <w:t>（</w:t>
      </w:r>
      <w:r w:rsidRPr="00B4515A">
        <w:rPr>
          <w:rFonts w:hint="eastAsia"/>
        </w:rPr>
        <w:t>3</w:t>
      </w:r>
      <w:r w:rsidRPr="00B4515A">
        <w:rPr>
          <w:rFonts w:hint="eastAsia"/>
        </w:rPr>
        <w:t>）</w:t>
      </w:r>
      <w:r w:rsidRPr="00B4515A">
        <w:t>对于乙方补偿</w:t>
      </w:r>
      <w:r w:rsidRPr="00B4515A">
        <w:rPr>
          <w:rFonts w:hint="eastAsia"/>
        </w:rPr>
        <w:t>的</w:t>
      </w:r>
      <w:r w:rsidRPr="00B4515A">
        <w:t>股份，甲方有权</w:t>
      </w:r>
      <w:r w:rsidRPr="00B4515A">
        <w:rPr>
          <w:rFonts w:hint="eastAsia"/>
        </w:rPr>
        <w:t>分别</w:t>
      </w:r>
      <w:r w:rsidRPr="00B4515A">
        <w:t>以</w:t>
      </w:r>
      <w:r w:rsidRPr="00B4515A">
        <w:t>1</w:t>
      </w:r>
      <w:r w:rsidRPr="00B4515A">
        <w:t>元的总价格予以回购并注销。</w:t>
      </w:r>
    </w:p>
    <w:p w14:paraId="6B0B9A2C" w14:textId="77777777" w:rsidR="006416B0" w:rsidRPr="00B4515A" w:rsidRDefault="005E58C1" w:rsidP="005860B4">
      <w:pPr>
        <w:pStyle w:val="005"/>
        <w:spacing w:before="120" w:after="120"/>
        <w:ind w:firstLine="480"/>
      </w:pPr>
      <w:r w:rsidRPr="00B4515A">
        <w:rPr>
          <w:rFonts w:hint="eastAsia"/>
        </w:rPr>
        <w:t>（</w:t>
      </w:r>
      <w:r w:rsidRPr="00B4515A">
        <w:rPr>
          <w:rFonts w:hint="eastAsia"/>
        </w:rPr>
        <w:t>4</w:t>
      </w:r>
      <w:r w:rsidRPr="00B4515A">
        <w:rPr>
          <w:rFonts w:hint="eastAsia"/>
        </w:rPr>
        <w:t>）乙方因业绩补偿分别需要向甲方补偿的股份数量应不超过乙方在本次交易中分别取得的对价股份（包括送股或转增的股份）数量。</w:t>
      </w:r>
    </w:p>
    <w:p w14:paraId="37268BD6" w14:textId="77777777" w:rsidR="006416B0" w:rsidRPr="00B4515A" w:rsidRDefault="005E58C1" w:rsidP="005860B4">
      <w:pPr>
        <w:pStyle w:val="004"/>
        <w:spacing w:before="120" w:after="120"/>
        <w:ind w:firstLine="482"/>
      </w:pPr>
      <w:r w:rsidRPr="00B4515A">
        <w:t>2</w:t>
      </w:r>
      <w:r w:rsidRPr="00B4515A">
        <w:rPr>
          <w:rFonts w:hint="eastAsia"/>
        </w:rPr>
        <w:t>、</w:t>
      </w:r>
      <w:r w:rsidRPr="00B4515A">
        <w:t>补偿</w:t>
      </w:r>
      <w:r w:rsidRPr="00B4515A">
        <w:rPr>
          <w:rFonts w:hint="eastAsia"/>
        </w:rPr>
        <w:t>股份</w:t>
      </w:r>
      <w:r w:rsidRPr="00B4515A">
        <w:t>的计算</w:t>
      </w:r>
    </w:p>
    <w:p w14:paraId="5CCF6256" w14:textId="77777777" w:rsidR="006416B0" w:rsidRPr="00B4515A" w:rsidRDefault="005E58C1" w:rsidP="005860B4">
      <w:pPr>
        <w:pStyle w:val="005"/>
        <w:spacing w:before="120" w:after="120"/>
        <w:ind w:firstLine="480"/>
      </w:pPr>
      <w:r w:rsidRPr="00B4515A">
        <w:rPr>
          <w:rFonts w:hint="eastAsia"/>
        </w:rPr>
        <w:t>（</w:t>
      </w:r>
      <w:r w:rsidRPr="00B4515A">
        <w:rPr>
          <w:rFonts w:hint="eastAsia"/>
        </w:rPr>
        <w:t>1</w:t>
      </w:r>
      <w:r w:rsidRPr="00B4515A">
        <w:rPr>
          <w:rFonts w:hint="eastAsia"/>
        </w:rPr>
        <w:t>）任一乙方当期应补偿金额</w:t>
      </w:r>
      <w:r w:rsidRPr="00B4515A">
        <w:rPr>
          <w:rFonts w:hint="eastAsia"/>
        </w:rPr>
        <w:t>=</w:t>
      </w:r>
      <w:r w:rsidRPr="00B4515A">
        <w:rPr>
          <w:rFonts w:hint="eastAsia"/>
        </w:rPr>
        <w:t>（截至当期期末累计承诺净利润数</w:t>
      </w:r>
      <w:r w:rsidRPr="00B4515A">
        <w:rPr>
          <w:rFonts w:hint="eastAsia"/>
        </w:rPr>
        <w:t>-</w:t>
      </w:r>
      <w:r w:rsidRPr="00B4515A">
        <w:rPr>
          <w:rFonts w:hint="eastAsia"/>
        </w:rPr>
        <w:t>截至当期期末累计实现净利润数）÷业绩承诺期内各年的预测净利润数总和×标的资产的交易价格×在本协议签署日该业绩承诺人拟转让股权占标的资产的比例</w:t>
      </w:r>
      <w:r w:rsidRPr="00B4515A">
        <w:rPr>
          <w:rFonts w:hint="eastAsia"/>
        </w:rPr>
        <w:t>-</w:t>
      </w:r>
      <w:r w:rsidRPr="00B4515A">
        <w:rPr>
          <w:rFonts w:hint="eastAsia"/>
        </w:rPr>
        <w:t>该业绩承诺人累积已补偿金额；</w:t>
      </w:r>
    </w:p>
    <w:p w14:paraId="1AFC7607" w14:textId="77777777" w:rsidR="006416B0" w:rsidRPr="00B4515A" w:rsidRDefault="005E58C1" w:rsidP="00FA7E47">
      <w:pPr>
        <w:pStyle w:val="005"/>
        <w:spacing w:before="120" w:after="120"/>
        <w:ind w:firstLine="480"/>
      </w:pPr>
      <w:r w:rsidRPr="00B4515A">
        <w:rPr>
          <w:rFonts w:hint="eastAsia"/>
        </w:rPr>
        <w:t>任一乙方当期应补偿股份数</w:t>
      </w:r>
      <w:r w:rsidRPr="00B4515A">
        <w:rPr>
          <w:rFonts w:hint="eastAsia"/>
        </w:rPr>
        <w:t>=</w:t>
      </w:r>
      <w:r w:rsidRPr="00B4515A">
        <w:rPr>
          <w:rFonts w:hint="eastAsia"/>
        </w:rPr>
        <w:t>任一乙方当期应补偿金额÷本次发行价格。</w:t>
      </w:r>
    </w:p>
    <w:p w14:paraId="6248BCE3" w14:textId="77777777" w:rsidR="006416B0" w:rsidRPr="00B4515A" w:rsidRDefault="005E58C1" w:rsidP="00FA7E47">
      <w:pPr>
        <w:pStyle w:val="005"/>
        <w:spacing w:before="120" w:after="120"/>
        <w:ind w:firstLine="480"/>
      </w:pPr>
      <w:r w:rsidRPr="00B4515A">
        <w:rPr>
          <w:rFonts w:hint="eastAsia"/>
        </w:rPr>
        <w:t>（</w:t>
      </w:r>
      <w:r w:rsidRPr="00B4515A">
        <w:rPr>
          <w:rFonts w:hint="eastAsia"/>
        </w:rPr>
        <w:t>2</w:t>
      </w:r>
      <w:r w:rsidRPr="00B4515A">
        <w:rPr>
          <w:rFonts w:hint="eastAsia"/>
        </w:rPr>
        <w:t>）如依据前述公式计算出的当期应补偿股份数额小于</w:t>
      </w:r>
      <w:r w:rsidRPr="00B4515A">
        <w:rPr>
          <w:rFonts w:hint="eastAsia"/>
        </w:rPr>
        <w:t>0</w:t>
      </w:r>
      <w:r w:rsidRPr="00B4515A">
        <w:rPr>
          <w:rFonts w:hint="eastAsia"/>
        </w:rPr>
        <w:t>时，按</w:t>
      </w:r>
      <w:r w:rsidRPr="00B4515A">
        <w:rPr>
          <w:rFonts w:hint="eastAsia"/>
        </w:rPr>
        <w:t>0</w:t>
      </w:r>
      <w:r w:rsidRPr="00B4515A">
        <w:rPr>
          <w:rFonts w:hint="eastAsia"/>
        </w:rPr>
        <w:t>取值。</w:t>
      </w:r>
      <w:r w:rsidRPr="00B4515A">
        <w:t>按照上述公式计算的股份数量取整计算，小数点后不足一股的，</w:t>
      </w:r>
      <w:r w:rsidRPr="00B4515A">
        <w:rPr>
          <w:rFonts w:hint="eastAsia"/>
        </w:rPr>
        <w:t>按四舍五入原则确定</w:t>
      </w:r>
      <w:r w:rsidRPr="00B4515A">
        <w:t>。</w:t>
      </w:r>
    </w:p>
    <w:p w14:paraId="1B834235" w14:textId="77777777" w:rsidR="006416B0" w:rsidRPr="00B4515A" w:rsidRDefault="005E58C1" w:rsidP="00FA7E47">
      <w:pPr>
        <w:pStyle w:val="005"/>
        <w:spacing w:before="120" w:after="120"/>
        <w:ind w:firstLine="480"/>
      </w:pPr>
      <w:r w:rsidRPr="00B4515A">
        <w:rPr>
          <w:rFonts w:hint="eastAsia"/>
        </w:rPr>
        <w:t>（</w:t>
      </w:r>
      <w:r w:rsidRPr="00B4515A">
        <w:rPr>
          <w:rFonts w:hint="eastAsia"/>
        </w:rPr>
        <w:t>3</w:t>
      </w:r>
      <w:r w:rsidRPr="00B4515A">
        <w:rPr>
          <w:rFonts w:hint="eastAsia"/>
        </w:rPr>
        <w:t>）</w:t>
      </w:r>
      <w:r w:rsidRPr="00B4515A">
        <w:t>若甲方在业绩承诺期间实施转增或送股分配的，则</w:t>
      </w:r>
      <w:r w:rsidRPr="00B4515A">
        <w:rPr>
          <w:rFonts w:hint="eastAsia"/>
        </w:rPr>
        <w:t>乙方</w:t>
      </w:r>
      <w:r w:rsidRPr="00B4515A">
        <w:t>补偿股份数进行相应调整为：</w:t>
      </w:r>
      <w:r w:rsidRPr="00B4515A">
        <w:rPr>
          <w:rFonts w:hint="eastAsia"/>
        </w:rPr>
        <w:t>应补偿股份数（调整后）</w:t>
      </w:r>
      <w:r w:rsidRPr="00B4515A">
        <w:rPr>
          <w:rFonts w:hint="eastAsia"/>
        </w:rPr>
        <w:t>=</w:t>
      </w:r>
      <w:r w:rsidRPr="00B4515A">
        <w:rPr>
          <w:rFonts w:hint="eastAsia"/>
        </w:rPr>
        <w:t>应补偿股份数（调整前）×（</w:t>
      </w:r>
      <w:r w:rsidRPr="00B4515A">
        <w:rPr>
          <w:rFonts w:hint="eastAsia"/>
        </w:rPr>
        <w:t>1+</w:t>
      </w:r>
      <w:r w:rsidRPr="00B4515A">
        <w:rPr>
          <w:rFonts w:hint="eastAsia"/>
        </w:rPr>
        <w:t>转增或送股比例）</w:t>
      </w:r>
      <w:r w:rsidRPr="00B4515A">
        <w:t>。</w:t>
      </w:r>
    </w:p>
    <w:p w14:paraId="158FBAC1" w14:textId="77777777" w:rsidR="006416B0" w:rsidRPr="00B4515A" w:rsidRDefault="005E58C1" w:rsidP="00FA7E47">
      <w:pPr>
        <w:pStyle w:val="005"/>
        <w:spacing w:before="120" w:after="120"/>
        <w:ind w:firstLine="480"/>
      </w:pPr>
      <w:r w:rsidRPr="00B4515A">
        <w:rPr>
          <w:rFonts w:hint="eastAsia"/>
        </w:rPr>
        <w:lastRenderedPageBreak/>
        <w:t>（</w:t>
      </w:r>
      <w:r w:rsidRPr="00B4515A">
        <w:rPr>
          <w:rFonts w:hint="eastAsia"/>
        </w:rPr>
        <w:t>4</w:t>
      </w:r>
      <w:r w:rsidRPr="00B4515A">
        <w:rPr>
          <w:rFonts w:hint="eastAsia"/>
        </w:rPr>
        <w:t>）</w:t>
      </w:r>
      <w:r w:rsidRPr="00B4515A">
        <w:t>若</w:t>
      </w:r>
      <w:r w:rsidRPr="00B4515A">
        <w:rPr>
          <w:rFonts w:hint="eastAsia"/>
        </w:rPr>
        <w:t>甲方</w:t>
      </w:r>
      <w:r w:rsidRPr="00B4515A">
        <w:t>在承诺年度内有现金分红的，乙方应将按</w:t>
      </w:r>
      <w:r w:rsidRPr="00B4515A">
        <w:rPr>
          <w:rFonts w:hint="eastAsia"/>
        </w:rPr>
        <w:t>以下</w:t>
      </w:r>
      <w:r w:rsidRPr="00B4515A">
        <w:t>公式计算的当年度补偿股份所对应的分红收益无偿</w:t>
      </w:r>
      <w:r w:rsidRPr="00B4515A">
        <w:rPr>
          <w:rFonts w:hint="eastAsia"/>
        </w:rPr>
        <w:t>返还甲方</w:t>
      </w:r>
      <w:r w:rsidRPr="00B4515A">
        <w:t>。</w:t>
      </w:r>
      <w:r w:rsidRPr="00B4515A">
        <w:rPr>
          <w:rFonts w:hint="eastAsia"/>
        </w:rPr>
        <w:t>计算公式为：返还金额</w:t>
      </w:r>
      <w:r w:rsidRPr="00B4515A">
        <w:rPr>
          <w:rFonts w:hint="eastAsia"/>
        </w:rPr>
        <w:t>=</w:t>
      </w:r>
      <w:r w:rsidRPr="00B4515A">
        <w:rPr>
          <w:rFonts w:hint="eastAsia"/>
        </w:rPr>
        <w:t>截至补偿前每股已获得的现金股利（税后）×当年应补偿股份数。如甲方实施派息、送股、资本公积金转增股本等除权、除息事项，将按照相关规定对返还金额进行相应调整。</w:t>
      </w:r>
    </w:p>
    <w:p w14:paraId="45FC4D3D" w14:textId="77777777" w:rsidR="006416B0" w:rsidRPr="00B4515A" w:rsidRDefault="005E58C1" w:rsidP="00FA7E47">
      <w:pPr>
        <w:pStyle w:val="005"/>
        <w:spacing w:before="120" w:after="120"/>
        <w:ind w:firstLine="480"/>
      </w:pPr>
      <w:r w:rsidRPr="00B4515A">
        <w:rPr>
          <w:rFonts w:hint="eastAsia"/>
        </w:rPr>
        <w:t>（</w:t>
      </w:r>
      <w:r w:rsidRPr="00B4515A">
        <w:rPr>
          <w:rFonts w:hint="eastAsia"/>
        </w:rPr>
        <w:t>5</w:t>
      </w:r>
      <w:r w:rsidRPr="00B4515A">
        <w:rPr>
          <w:rFonts w:hint="eastAsia"/>
        </w:rPr>
        <w:t>）</w:t>
      </w:r>
      <w:r w:rsidRPr="00B4515A">
        <w:t>业绩补偿按年度进行，以前年度已经补偿的后续年度不得冲回，以前年度超出的净利润</w:t>
      </w:r>
      <w:r w:rsidRPr="00B4515A">
        <w:rPr>
          <w:rFonts w:hint="eastAsia"/>
        </w:rPr>
        <w:t>，</w:t>
      </w:r>
      <w:r w:rsidRPr="00B4515A">
        <w:t>可以往以后年度累计。</w:t>
      </w:r>
    </w:p>
    <w:p w14:paraId="7B2BEFCE" w14:textId="77777777" w:rsidR="006416B0" w:rsidRPr="00B4515A" w:rsidRDefault="005E58C1" w:rsidP="00FA7E47">
      <w:pPr>
        <w:pStyle w:val="004"/>
        <w:spacing w:before="120" w:after="120"/>
        <w:ind w:firstLine="482"/>
      </w:pPr>
      <w:r w:rsidRPr="00B4515A">
        <w:t>3</w:t>
      </w:r>
      <w:r w:rsidRPr="00B4515A">
        <w:rPr>
          <w:rFonts w:hint="eastAsia"/>
        </w:rPr>
        <w:t>、</w:t>
      </w:r>
      <w:r w:rsidRPr="00B4515A">
        <w:t>业绩补偿的实施程序</w:t>
      </w:r>
    </w:p>
    <w:p w14:paraId="5F9B9916" w14:textId="77777777" w:rsidR="006416B0" w:rsidRPr="00B4515A" w:rsidRDefault="005E58C1" w:rsidP="00FA7E47">
      <w:pPr>
        <w:pStyle w:val="005"/>
        <w:spacing w:before="120" w:after="120"/>
        <w:ind w:firstLine="480"/>
      </w:pPr>
      <w:r w:rsidRPr="00B4515A">
        <w:rPr>
          <w:rFonts w:hint="eastAsia"/>
        </w:rPr>
        <w:t>（</w:t>
      </w:r>
      <w:r w:rsidRPr="00B4515A">
        <w:rPr>
          <w:rFonts w:hint="eastAsia"/>
        </w:rPr>
        <w:t>1</w:t>
      </w:r>
      <w:r w:rsidRPr="00B4515A">
        <w:rPr>
          <w:rFonts w:hint="eastAsia"/>
        </w:rPr>
        <w:t>）</w:t>
      </w:r>
      <w:r w:rsidRPr="00B4515A">
        <w:t>在业绩承诺期各年末，甲方应在审计机构出具</w:t>
      </w:r>
      <w:r w:rsidRPr="00B4515A">
        <w:rPr>
          <w:rFonts w:hint="eastAsia"/>
        </w:rPr>
        <w:t>目标公司</w:t>
      </w:r>
      <w:r w:rsidRPr="00B4515A">
        <w:t>的专项审核报告后</w:t>
      </w:r>
      <w:r w:rsidRPr="00B4515A">
        <w:t>5</w:t>
      </w:r>
      <w:r w:rsidRPr="00B4515A">
        <w:t>个工作日内按照本协议</w:t>
      </w:r>
      <w:r w:rsidRPr="00B4515A">
        <w:rPr>
          <w:rFonts w:hint="eastAsia"/>
        </w:rPr>
        <w:t>4</w:t>
      </w:r>
      <w:r w:rsidRPr="00B4515A">
        <w:t>.2</w:t>
      </w:r>
      <w:r w:rsidRPr="00B4515A">
        <w:rPr>
          <w:rFonts w:hint="eastAsia"/>
        </w:rPr>
        <w:t>款</w:t>
      </w:r>
      <w:r w:rsidRPr="00B4515A">
        <w:t>约定的公式判断乙方是否触发业绩承诺补偿义务，并计算乙方当期应补偿股份数额。</w:t>
      </w:r>
    </w:p>
    <w:p w14:paraId="6F4CC684" w14:textId="77777777" w:rsidR="006416B0" w:rsidRPr="00B4515A" w:rsidRDefault="005E58C1" w:rsidP="00FA7E47">
      <w:pPr>
        <w:pStyle w:val="005"/>
        <w:spacing w:before="120" w:after="120"/>
        <w:ind w:firstLine="480"/>
      </w:pPr>
      <w:r w:rsidRPr="00B4515A">
        <w:rPr>
          <w:rFonts w:hint="eastAsia"/>
        </w:rPr>
        <w:t>（</w:t>
      </w:r>
      <w:r w:rsidRPr="00B4515A">
        <w:rPr>
          <w:rFonts w:hint="eastAsia"/>
        </w:rPr>
        <w:t>2</w:t>
      </w:r>
      <w:r w:rsidRPr="00B4515A">
        <w:rPr>
          <w:rFonts w:hint="eastAsia"/>
        </w:rPr>
        <w:t>）</w:t>
      </w:r>
      <w:r w:rsidRPr="00B4515A">
        <w:t>乙方同意，如乙方触发当期业绩承诺补偿义务，在专项审核报告披露之日起</w:t>
      </w:r>
      <w:r w:rsidRPr="00B4515A">
        <w:t>10</w:t>
      </w:r>
      <w:r w:rsidRPr="00B4515A">
        <w:t>个工作日内，乙方</w:t>
      </w:r>
      <w:r w:rsidRPr="00B4515A">
        <w:rPr>
          <w:rFonts w:hint="eastAsia"/>
        </w:rPr>
        <w:t>应</w:t>
      </w:r>
      <w:r w:rsidRPr="00B4515A">
        <w:t>将其持有的等额于当期应补偿股份数量的相应</w:t>
      </w:r>
      <w:r w:rsidRPr="00B4515A">
        <w:rPr>
          <w:rFonts w:hint="eastAsia"/>
        </w:rPr>
        <w:t>对价股份</w:t>
      </w:r>
      <w:r w:rsidRPr="00B4515A">
        <w:t>划转至甲方董事会设立的专门账户进行锁定，且该部分被锁定的股份</w:t>
      </w:r>
      <w:r w:rsidRPr="00B4515A">
        <w:rPr>
          <w:rFonts w:hint="eastAsia"/>
        </w:rPr>
        <w:t>无</w:t>
      </w:r>
      <w:r w:rsidRPr="00B4515A">
        <w:t>表决权且不享有股利分配的权利。</w:t>
      </w:r>
    </w:p>
    <w:p w14:paraId="6F68BAE0" w14:textId="77777777" w:rsidR="006416B0" w:rsidRPr="00B4515A" w:rsidRDefault="005E58C1" w:rsidP="00FA7E47">
      <w:pPr>
        <w:pStyle w:val="005"/>
        <w:spacing w:before="120" w:after="120"/>
        <w:ind w:firstLine="480"/>
        <w:rPr>
          <w:bCs/>
          <w:color w:val="000000" w:themeColor="text1"/>
        </w:rPr>
      </w:pPr>
      <w:r w:rsidRPr="00B4515A">
        <w:rPr>
          <w:rFonts w:hint="eastAsia"/>
        </w:rPr>
        <w:t>（</w:t>
      </w:r>
      <w:r w:rsidRPr="00B4515A">
        <w:rPr>
          <w:rFonts w:hint="eastAsia"/>
        </w:rPr>
        <w:t>3</w:t>
      </w:r>
      <w:r w:rsidRPr="00B4515A">
        <w:rPr>
          <w:rFonts w:hint="eastAsia"/>
        </w:rPr>
        <w:t>）</w:t>
      </w:r>
      <w:r w:rsidRPr="00B4515A">
        <w:t>若乙方触发本协议约定以</w:t>
      </w:r>
      <w:r w:rsidRPr="00B4515A">
        <w:rPr>
          <w:rFonts w:hint="eastAsia"/>
        </w:rPr>
        <w:t>对价股份</w:t>
      </w:r>
      <w:r w:rsidRPr="00B4515A">
        <w:t>承担补偿义务的，则甲方应在专项审核报告披露之日起</w:t>
      </w:r>
      <w:r w:rsidRPr="00B4515A">
        <w:t>30</w:t>
      </w:r>
      <w:r w:rsidRPr="00B4515A">
        <w:t>个工作日内发出召开董事会和股东大会的通知，审议以人民币</w:t>
      </w:r>
      <w:r w:rsidRPr="00B4515A">
        <w:t>1</w:t>
      </w:r>
      <w:r w:rsidRPr="00B4515A">
        <w:t>元总价</w:t>
      </w:r>
      <w:r w:rsidRPr="00B4515A">
        <w:rPr>
          <w:rFonts w:hint="eastAsia"/>
        </w:rPr>
        <w:t>分别</w:t>
      </w:r>
      <w:r w:rsidRPr="00B4515A">
        <w:t>回购并注销乙方当年应补偿股份的议案（以下简称</w:t>
      </w:r>
      <w:r w:rsidRPr="00B4515A">
        <w:rPr>
          <w:rFonts w:ascii="宋体" w:hAnsi="宋体" w:hint="eastAsia"/>
        </w:rPr>
        <w:t>“</w:t>
      </w:r>
      <w:r w:rsidRPr="00B4515A">
        <w:t>业绩补偿议案</w:t>
      </w:r>
      <w:r w:rsidRPr="00B4515A">
        <w:rPr>
          <w:rFonts w:ascii="宋体" w:hAnsi="宋体" w:hint="eastAsia"/>
        </w:rPr>
        <w:t>”</w:t>
      </w:r>
      <w:r w:rsidRPr="00B4515A">
        <w:t>）。甲方召开股东大会审议业绩补偿议案时，乙方应就该等事宜回避表决。</w:t>
      </w:r>
    </w:p>
    <w:p w14:paraId="1FD60635" w14:textId="77777777" w:rsidR="006416B0" w:rsidRPr="00B4515A" w:rsidRDefault="005E58C1" w:rsidP="00FA7E47">
      <w:pPr>
        <w:pStyle w:val="005"/>
        <w:spacing w:before="120" w:after="120"/>
        <w:ind w:firstLine="480"/>
      </w:pPr>
      <w:r w:rsidRPr="00B4515A">
        <w:rPr>
          <w:rFonts w:hint="eastAsia"/>
        </w:rPr>
        <w:t>（</w:t>
      </w:r>
      <w:r w:rsidRPr="00B4515A">
        <w:rPr>
          <w:rFonts w:hint="eastAsia"/>
        </w:rPr>
        <w:t>4</w:t>
      </w:r>
      <w:r w:rsidRPr="00B4515A">
        <w:rPr>
          <w:rFonts w:hint="eastAsia"/>
        </w:rPr>
        <w:t>）</w:t>
      </w:r>
      <w:r w:rsidRPr="00B4515A">
        <w:t>若甲方股东大会审议并通过业绩补偿议案，则甲方应在股东大会决议公告之日起</w:t>
      </w:r>
      <w:r w:rsidRPr="00B4515A">
        <w:t>30</w:t>
      </w:r>
      <w:r w:rsidRPr="00B4515A">
        <w:t>个工作日内以总价人民币</w:t>
      </w:r>
      <w:r w:rsidRPr="00B4515A">
        <w:t>1</w:t>
      </w:r>
      <w:r w:rsidRPr="00B4515A">
        <w:t>元的价格</w:t>
      </w:r>
      <w:r w:rsidRPr="00B4515A">
        <w:rPr>
          <w:rFonts w:hint="eastAsia"/>
        </w:rPr>
        <w:t>分别</w:t>
      </w:r>
      <w:r w:rsidRPr="00B4515A">
        <w:t>定向回购董事会设立的专门账户中存放的乙方的补偿股份并予以注销。</w:t>
      </w:r>
    </w:p>
    <w:p w14:paraId="70B8E935" w14:textId="77777777" w:rsidR="006416B0" w:rsidRPr="00B4515A" w:rsidRDefault="005E58C1" w:rsidP="00FA7E47">
      <w:pPr>
        <w:pStyle w:val="005"/>
        <w:spacing w:before="120" w:after="120"/>
        <w:ind w:firstLine="480"/>
      </w:pPr>
      <w:r w:rsidRPr="00B4515A">
        <w:rPr>
          <w:rFonts w:hint="eastAsia"/>
        </w:rPr>
        <w:t>（</w:t>
      </w:r>
      <w:r w:rsidRPr="00B4515A">
        <w:rPr>
          <w:rFonts w:hint="eastAsia"/>
        </w:rPr>
        <w:t>5</w:t>
      </w:r>
      <w:r w:rsidRPr="00B4515A">
        <w:rPr>
          <w:rFonts w:hint="eastAsia"/>
        </w:rPr>
        <w:t>）</w:t>
      </w:r>
      <w:r w:rsidRPr="00B4515A">
        <w:t>若回购注销事宜因业绩补偿议案未获得甲方股东大会审议通过等原因无法实施，则甲方有权终止以人民币</w:t>
      </w:r>
      <w:r w:rsidRPr="00B4515A">
        <w:t>1</w:t>
      </w:r>
      <w:r w:rsidRPr="00B4515A">
        <w:t>元总价</w:t>
      </w:r>
      <w:r w:rsidRPr="00B4515A">
        <w:rPr>
          <w:rFonts w:hint="eastAsia"/>
        </w:rPr>
        <w:t>分别</w:t>
      </w:r>
      <w:r w:rsidRPr="00B4515A">
        <w:t>回购并注销乙方当年应补偿股份的方案，并应在股东大会决议公告之日起</w:t>
      </w:r>
      <w:r w:rsidRPr="00B4515A">
        <w:t>5</w:t>
      </w:r>
      <w:r w:rsidRPr="00B4515A">
        <w:t>个工作日内书面通知乙方实施股份赠与方案。乙方应在收到甲方书面通知之日起</w:t>
      </w:r>
      <w:r w:rsidRPr="00B4515A">
        <w:t>20</w:t>
      </w:r>
      <w:r w:rsidRPr="00B4515A">
        <w:t>个工作日内，将应补偿的股份赠与给</w:t>
      </w:r>
      <w:r w:rsidRPr="00B4515A">
        <w:rPr>
          <w:rFonts w:hint="eastAsia"/>
        </w:rPr>
        <w:t>甲方</w:t>
      </w:r>
      <w:r w:rsidRPr="00B4515A">
        <w:t>截至审议业绩补偿议案股东大会股权登记日登记在册的除乙方外的</w:t>
      </w:r>
      <w:r w:rsidRPr="00B4515A">
        <w:lastRenderedPageBreak/>
        <w:t>其他股东，除乙方外的其他股东</w:t>
      </w:r>
      <w:r w:rsidRPr="00B4515A">
        <w:rPr>
          <w:rFonts w:hint="eastAsia"/>
        </w:rPr>
        <w:t>，</w:t>
      </w:r>
      <w:r w:rsidRPr="00B4515A">
        <w:t>按照其持有的</w:t>
      </w:r>
      <w:r w:rsidRPr="00B4515A">
        <w:rPr>
          <w:rFonts w:hint="eastAsia"/>
        </w:rPr>
        <w:t>甲方</w:t>
      </w:r>
      <w:r w:rsidRPr="00B4515A">
        <w:t>股份数量占审议业绩补偿议案股东大会股权登记日</w:t>
      </w:r>
      <w:r w:rsidRPr="00B4515A">
        <w:rPr>
          <w:rFonts w:hint="eastAsia"/>
        </w:rPr>
        <w:t>甲方（</w:t>
      </w:r>
      <w:r w:rsidRPr="00B4515A">
        <w:t>扣除乙方持有的股份数后</w:t>
      </w:r>
      <w:r w:rsidRPr="00B4515A">
        <w:rPr>
          <w:rFonts w:hint="eastAsia"/>
        </w:rPr>
        <w:t>）</w:t>
      </w:r>
      <w:r w:rsidRPr="00B4515A">
        <w:t>总股本的比例获赠股份。</w:t>
      </w:r>
    </w:p>
    <w:p w14:paraId="00D77AD0" w14:textId="77777777" w:rsidR="006416B0" w:rsidRPr="00B4515A" w:rsidRDefault="005E58C1" w:rsidP="00FA7E47">
      <w:pPr>
        <w:pStyle w:val="005"/>
        <w:spacing w:before="120" w:after="120"/>
        <w:ind w:firstLine="480"/>
      </w:pPr>
      <w:r w:rsidRPr="00B4515A">
        <w:rPr>
          <w:rFonts w:hint="eastAsia"/>
        </w:rPr>
        <w:t>（</w:t>
      </w:r>
      <w:r w:rsidRPr="00B4515A">
        <w:rPr>
          <w:rFonts w:hint="eastAsia"/>
        </w:rPr>
        <w:t>6</w:t>
      </w:r>
      <w:r w:rsidRPr="00B4515A">
        <w:rPr>
          <w:rFonts w:hint="eastAsia"/>
        </w:rPr>
        <w:t>）</w:t>
      </w:r>
      <w:r w:rsidRPr="00B4515A">
        <w:t>自乙方补偿股份数量确定之日起至该等股份注销前或被赠与其他股东前，乙方承诺放弃该等股份所对应的表决权。</w:t>
      </w:r>
    </w:p>
    <w:p w14:paraId="658F280B" w14:textId="77777777" w:rsidR="006416B0" w:rsidRPr="00B4515A" w:rsidRDefault="005E58C1" w:rsidP="00FA7E47">
      <w:pPr>
        <w:pStyle w:val="005"/>
        <w:spacing w:before="120" w:after="120"/>
        <w:ind w:firstLine="480"/>
      </w:pPr>
      <w:r w:rsidRPr="00B4515A">
        <w:rPr>
          <w:rFonts w:hint="eastAsia"/>
        </w:rPr>
        <w:t>（</w:t>
      </w:r>
      <w:r w:rsidRPr="00B4515A">
        <w:rPr>
          <w:rFonts w:hint="eastAsia"/>
        </w:rPr>
        <w:t>7</w:t>
      </w:r>
      <w:r w:rsidRPr="00B4515A">
        <w:rPr>
          <w:rFonts w:hint="eastAsia"/>
        </w:rPr>
        <w:t>）</w:t>
      </w:r>
      <w:r w:rsidRPr="00B4515A">
        <w:t>因业绩补偿产生的税费，由各方根据有关法律、法规和规范性文件的规定各自承担。</w:t>
      </w:r>
    </w:p>
    <w:p w14:paraId="40002DD3" w14:textId="10F0B7E8" w:rsidR="006416B0" w:rsidRPr="00B4515A" w:rsidRDefault="005E58C1" w:rsidP="00FA7E47">
      <w:pPr>
        <w:pStyle w:val="003"/>
        <w:spacing w:before="120"/>
        <w:ind w:firstLine="482"/>
      </w:pPr>
      <w:r w:rsidRPr="00B4515A">
        <w:rPr>
          <w:rFonts w:hint="eastAsia"/>
        </w:rPr>
        <w:t>（</w:t>
      </w:r>
      <w:r w:rsidR="00AB15FA" w:rsidRPr="00B4515A">
        <w:rPr>
          <w:rFonts w:hint="eastAsia"/>
        </w:rPr>
        <w:t>五</w:t>
      </w:r>
      <w:r w:rsidRPr="00B4515A">
        <w:rPr>
          <w:rFonts w:hint="eastAsia"/>
        </w:rPr>
        <w:t>）</w:t>
      </w:r>
      <w:r w:rsidRPr="00B4515A">
        <w:t>减值测试补偿</w:t>
      </w:r>
    </w:p>
    <w:p w14:paraId="61EAD84F" w14:textId="77777777" w:rsidR="006416B0" w:rsidRPr="00B4515A" w:rsidRDefault="005E58C1" w:rsidP="00FA7E47">
      <w:pPr>
        <w:pStyle w:val="005"/>
        <w:spacing w:before="120" w:after="120"/>
        <w:ind w:firstLine="480"/>
      </w:pPr>
      <w:r w:rsidRPr="00B4515A">
        <w:t>1</w:t>
      </w:r>
      <w:r w:rsidRPr="00B4515A">
        <w:rPr>
          <w:rFonts w:hint="eastAsia"/>
        </w:rPr>
        <w:t>、</w:t>
      </w:r>
      <w:r w:rsidRPr="00B4515A">
        <w:t>在业绩承诺期届满后六个月内，甲方应聘请具备《证券法》等法律法规及中国证监会规定的从事证券服务业务资质的审计机构对</w:t>
      </w:r>
      <w:r w:rsidRPr="00B4515A">
        <w:rPr>
          <w:rFonts w:hint="eastAsia"/>
        </w:rPr>
        <w:t>标的</w:t>
      </w:r>
      <w:r w:rsidRPr="00B4515A">
        <w:t>资产进行减值测试，并出具</w:t>
      </w:r>
      <w:r w:rsidRPr="00B4515A">
        <w:rPr>
          <w:rFonts w:hint="eastAsia"/>
        </w:rPr>
        <w:t>《</w:t>
      </w:r>
      <w:r w:rsidRPr="00B4515A">
        <w:t>减值测试审核报告</w:t>
      </w:r>
      <w:r w:rsidRPr="00B4515A">
        <w:rPr>
          <w:rFonts w:hint="eastAsia"/>
        </w:rPr>
        <w:t>》</w:t>
      </w:r>
      <w:r w:rsidRPr="00B4515A">
        <w:t>。</w:t>
      </w:r>
      <w:r w:rsidRPr="00B4515A">
        <w:rPr>
          <w:rFonts w:hint="eastAsia"/>
        </w:rPr>
        <w:t>除非法律、法规或规范性文件有强制性规定，否则《</w:t>
      </w:r>
      <w:r w:rsidRPr="00B4515A">
        <w:t>减值测试审核报告</w:t>
      </w:r>
      <w:r w:rsidRPr="00B4515A">
        <w:rPr>
          <w:rFonts w:hint="eastAsia"/>
        </w:rPr>
        <w:t>》采取的估值方法应与东洲评报字［</w:t>
      </w:r>
      <w:r w:rsidRPr="00B4515A">
        <w:rPr>
          <w:rFonts w:hint="eastAsia"/>
        </w:rPr>
        <w:t>2021</w:t>
      </w:r>
      <w:r w:rsidRPr="00B4515A">
        <w:rPr>
          <w:rFonts w:hint="eastAsia"/>
        </w:rPr>
        <w:t>］第</w:t>
      </w:r>
      <w:r w:rsidRPr="00B4515A">
        <w:rPr>
          <w:rFonts w:hint="eastAsia"/>
        </w:rPr>
        <w:t>0898</w:t>
      </w:r>
      <w:r w:rsidRPr="00B4515A">
        <w:rPr>
          <w:rFonts w:hint="eastAsia"/>
        </w:rPr>
        <w:t>号《资产评估报告》保持一致。</w:t>
      </w:r>
      <w:r w:rsidRPr="00B4515A">
        <w:t>甲方应当在</w:t>
      </w:r>
      <w:r w:rsidRPr="00B4515A">
        <w:rPr>
          <w:rFonts w:hint="eastAsia"/>
        </w:rPr>
        <w:t>《</w:t>
      </w:r>
      <w:r w:rsidRPr="00B4515A">
        <w:t>减值测试审核报告</w:t>
      </w:r>
      <w:r w:rsidRPr="00B4515A">
        <w:rPr>
          <w:rFonts w:hint="eastAsia"/>
        </w:rPr>
        <w:t>》</w:t>
      </w:r>
      <w:r w:rsidRPr="00B4515A">
        <w:t>出具后</w:t>
      </w:r>
      <w:r w:rsidRPr="00B4515A">
        <w:t>5</w:t>
      </w:r>
      <w:r w:rsidRPr="00B4515A">
        <w:t>个工作日内将报告结果以书面方式通知乙方。</w:t>
      </w:r>
    </w:p>
    <w:p w14:paraId="097934AE" w14:textId="77777777" w:rsidR="006416B0" w:rsidRPr="00B4515A" w:rsidRDefault="005E58C1" w:rsidP="00FA7E47">
      <w:pPr>
        <w:pStyle w:val="005"/>
        <w:spacing w:before="120" w:after="120"/>
        <w:ind w:firstLine="480"/>
      </w:pPr>
      <w:r w:rsidRPr="00B4515A">
        <w:t>2</w:t>
      </w:r>
      <w:r w:rsidRPr="00B4515A">
        <w:rPr>
          <w:rFonts w:hint="eastAsia"/>
        </w:rPr>
        <w:t>、</w:t>
      </w:r>
      <w:r w:rsidRPr="00B4515A">
        <w:t>减值测试补偿</w:t>
      </w:r>
      <w:r w:rsidRPr="00B4515A">
        <w:rPr>
          <w:rFonts w:hint="eastAsia"/>
        </w:rPr>
        <w:t>计算</w:t>
      </w:r>
    </w:p>
    <w:p w14:paraId="09E6B2DC" w14:textId="77777777" w:rsidR="006416B0" w:rsidRPr="00B4515A" w:rsidRDefault="005E58C1" w:rsidP="00FA7E47">
      <w:pPr>
        <w:pStyle w:val="005"/>
        <w:spacing w:before="120" w:after="120"/>
        <w:ind w:firstLine="480"/>
      </w:pPr>
      <w:r w:rsidRPr="00B4515A">
        <w:rPr>
          <w:rFonts w:hint="eastAsia"/>
        </w:rPr>
        <w:t>（</w:t>
      </w:r>
      <w:r w:rsidRPr="00B4515A">
        <w:rPr>
          <w:rFonts w:hint="eastAsia"/>
        </w:rPr>
        <w:t>1</w:t>
      </w:r>
      <w:r w:rsidRPr="00B4515A">
        <w:rPr>
          <w:rFonts w:hint="eastAsia"/>
        </w:rPr>
        <w:t>）</w:t>
      </w:r>
      <w:r w:rsidRPr="00B4515A">
        <w:t>标的资产期末减值额为标的资产的交易对价减去业绩承诺期末标的资产的评估值，并且应当扣除补偿期限内标的资产所对应的增资、减资、接受赠与以及利润分配的影响。</w:t>
      </w:r>
    </w:p>
    <w:p w14:paraId="72684583" w14:textId="77777777" w:rsidR="006416B0" w:rsidRPr="00B4515A" w:rsidRDefault="005E58C1" w:rsidP="00FA7E47">
      <w:pPr>
        <w:pStyle w:val="005"/>
        <w:spacing w:before="120" w:after="120"/>
        <w:ind w:firstLine="480"/>
      </w:pPr>
      <w:r w:rsidRPr="00B4515A">
        <w:rPr>
          <w:rFonts w:hint="eastAsia"/>
        </w:rPr>
        <w:t>（</w:t>
      </w:r>
      <w:r w:rsidRPr="00B4515A">
        <w:rPr>
          <w:rFonts w:hint="eastAsia"/>
        </w:rPr>
        <w:t>2</w:t>
      </w:r>
      <w:r w:rsidRPr="00B4515A">
        <w:rPr>
          <w:rFonts w:hint="eastAsia"/>
        </w:rPr>
        <w:t>）</w:t>
      </w:r>
      <w:r w:rsidRPr="00B4515A">
        <w:t>各方同意，</w:t>
      </w:r>
      <w:r w:rsidRPr="00B4515A">
        <w:rPr>
          <w:rFonts w:hint="eastAsia"/>
        </w:rPr>
        <w:t>如标的资产期末减值额÷标的资产交易价格＞乙方补偿期限内已补偿股份总数÷乙方取得的对价股份，则乙方中的每一方应按照本协议签署日拟转让股权占标的资产的比例，以取得的对价股份对甲方另行补偿。</w:t>
      </w:r>
    </w:p>
    <w:p w14:paraId="253F9725" w14:textId="77777777" w:rsidR="006416B0" w:rsidRPr="00B4515A" w:rsidRDefault="005E58C1" w:rsidP="00FA7E47">
      <w:pPr>
        <w:pStyle w:val="005"/>
        <w:spacing w:before="120" w:after="120"/>
        <w:ind w:firstLine="480"/>
      </w:pPr>
      <w:r w:rsidRPr="00B4515A">
        <w:rPr>
          <w:rFonts w:hint="eastAsia"/>
        </w:rPr>
        <w:t>（</w:t>
      </w:r>
      <w:r w:rsidRPr="00B4515A">
        <w:rPr>
          <w:rFonts w:hint="eastAsia"/>
        </w:rPr>
        <w:t>3</w:t>
      </w:r>
      <w:r w:rsidRPr="00B4515A">
        <w:rPr>
          <w:rFonts w:hint="eastAsia"/>
        </w:rPr>
        <w:t>）每一乙方减值测试股份补偿数量</w:t>
      </w:r>
      <w:r w:rsidRPr="00B4515A">
        <w:rPr>
          <w:rFonts w:hint="eastAsia"/>
        </w:rPr>
        <w:t>=</w:t>
      </w:r>
      <w:r w:rsidRPr="00B4515A">
        <w:rPr>
          <w:rFonts w:hint="eastAsia"/>
        </w:rPr>
        <w:t>标的资产期末减值额÷本次发行价格×在本协议签署日该业绩承诺人拟转让股权占标的资产的比例</w:t>
      </w:r>
      <w:r w:rsidRPr="00B4515A">
        <w:rPr>
          <w:rFonts w:hint="eastAsia"/>
        </w:rPr>
        <w:t>-</w:t>
      </w:r>
      <w:r w:rsidRPr="00B4515A">
        <w:rPr>
          <w:rFonts w:hint="eastAsia"/>
        </w:rPr>
        <w:t>该业绩承诺人已补偿股份总数。</w:t>
      </w:r>
    </w:p>
    <w:p w14:paraId="1396374B" w14:textId="77777777" w:rsidR="006416B0" w:rsidRPr="00B4515A" w:rsidRDefault="005E58C1" w:rsidP="00FA7E47">
      <w:pPr>
        <w:pStyle w:val="005"/>
        <w:spacing w:before="120" w:after="120"/>
        <w:ind w:firstLine="480"/>
      </w:pPr>
      <w:r w:rsidRPr="00B4515A">
        <w:rPr>
          <w:rFonts w:hint="eastAsia"/>
        </w:rPr>
        <w:t>（</w:t>
      </w:r>
      <w:r w:rsidRPr="00B4515A">
        <w:rPr>
          <w:rFonts w:hint="eastAsia"/>
        </w:rPr>
        <w:t>4</w:t>
      </w:r>
      <w:r w:rsidRPr="00B4515A">
        <w:rPr>
          <w:rFonts w:hint="eastAsia"/>
        </w:rPr>
        <w:t>）</w:t>
      </w:r>
      <w:r w:rsidRPr="00B4515A">
        <w:t>乙方因业绩补偿及减值测试需要向甲方支付的股份补偿数量总计不超过乙方在本次交易中</w:t>
      </w:r>
      <w:r w:rsidRPr="00B4515A">
        <w:rPr>
          <w:rFonts w:hint="eastAsia"/>
        </w:rPr>
        <w:t>取得的对价股份数量（包括送股或转增的股份）</w:t>
      </w:r>
      <w:r w:rsidRPr="00B4515A">
        <w:t>。</w:t>
      </w:r>
    </w:p>
    <w:p w14:paraId="04D3EB5A" w14:textId="77777777" w:rsidR="006416B0" w:rsidRPr="00B4515A" w:rsidRDefault="005E58C1" w:rsidP="00FA7E47">
      <w:pPr>
        <w:pStyle w:val="005"/>
        <w:spacing w:before="120" w:after="120"/>
        <w:ind w:firstLine="480"/>
      </w:pPr>
      <w:r w:rsidRPr="00B4515A">
        <w:t>3</w:t>
      </w:r>
      <w:r w:rsidRPr="00B4515A">
        <w:rPr>
          <w:rFonts w:hint="eastAsia"/>
        </w:rPr>
        <w:t>、</w:t>
      </w:r>
      <w:r w:rsidRPr="00B4515A">
        <w:t>减值测试补偿程序</w:t>
      </w:r>
    </w:p>
    <w:p w14:paraId="50F88A86" w14:textId="77777777" w:rsidR="006416B0" w:rsidRPr="00B4515A" w:rsidRDefault="005E58C1" w:rsidP="00FA7E47">
      <w:pPr>
        <w:pStyle w:val="005"/>
        <w:spacing w:before="120" w:after="120"/>
        <w:ind w:firstLine="480"/>
      </w:pPr>
      <w:r w:rsidRPr="00B4515A">
        <w:rPr>
          <w:rFonts w:hint="eastAsia"/>
        </w:rPr>
        <w:t>（</w:t>
      </w:r>
      <w:r w:rsidRPr="00B4515A">
        <w:rPr>
          <w:rFonts w:hint="eastAsia"/>
        </w:rPr>
        <w:t>1</w:t>
      </w:r>
      <w:r w:rsidRPr="00B4515A">
        <w:rPr>
          <w:rFonts w:hint="eastAsia"/>
        </w:rPr>
        <w:t>）</w:t>
      </w:r>
      <w:r w:rsidRPr="00B4515A">
        <w:t>在业绩承诺期届满时，甲方应在审计机构出具标的资产的减值测试审</w:t>
      </w:r>
      <w:r w:rsidRPr="00B4515A">
        <w:lastRenderedPageBreak/>
        <w:t>核报告后</w:t>
      </w:r>
      <w:r w:rsidRPr="00B4515A">
        <w:t>5</w:t>
      </w:r>
      <w:r w:rsidRPr="00B4515A">
        <w:t>个工作日内按照本协议第</w:t>
      </w:r>
      <w:r w:rsidRPr="00B4515A">
        <w:rPr>
          <w:rFonts w:hint="eastAsia"/>
        </w:rPr>
        <w:t>5</w:t>
      </w:r>
      <w:r w:rsidRPr="00B4515A">
        <w:t>.2</w:t>
      </w:r>
      <w:r w:rsidRPr="00B4515A">
        <w:rPr>
          <w:rFonts w:hint="eastAsia"/>
        </w:rPr>
        <w:t>款</w:t>
      </w:r>
      <w:r w:rsidRPr="00B4515A">
        <w:t>约定判断乙方是否触发减值测试补偿义务，并计算乙方减值测试应补偿股份数额。</w:t>
      </w:r>
    </w:p>
    <w:p w14:paraId="69E724AC" w14:textId="77777777" w:rsidR="006416B0" w:rsidRPr="00B4515A" w:rsidRDefault="005E58C1" w:rsidP="00FA7E47">
      <w:pPr>
        <w:pStyle w:val="005"/>
        <w:spacing w:before="120" w:after="120"/>
        <w:ind w:firstLine="480"/>
      </w:pPr>
      <w:r w:rsidRPr="00B4515A">
        <w:rPr>
          <w:rFonts w:hint="eastAsia"/>
        </w:rPr>
        <w:t>（</w:t>
      </w:r>
      <w:r w:rsidRPr="00B4515A">
        <w:rPr>
          <w:rFonts w:hint="eastAsia"/>
        </w:rPr>
        <w:t>2</w:t>
      </w:r>
      <w:r w:rsidRPr="00B4515A">
        <w:rPr>
          <w:rFonts w:hint="eastAsia"/>
        </w:rPr>
        <w:t>）</w:t>
      </w:r>
      <w:r w:rsidRPr="00B4515A">
        <w:t>乙方同意，如乙方触发减值测试补偿义务，在甲方减值测试审核报告披露之日起</w:t>
      </w:r>
      <w:r w:rsidRPr="00B4515A">
        <w:t>10</w:t>
      </w:r>
      <w:r w:rsidRPr="00B4515A">
        <w:t>个工作日内，乙方</w:t>
      </w:r>
      <w:r w:rsidRPr="00B4515A">
        <w:rPr>
          <w:rFonts w:hint="eastAsia"/>
        </w:rPr>
        <w:t>分别</w:t>
      </w:r>
      <w:r w:rsidRPr="00B4515A">
        <w:t>将其等额于减值测试应补偿股份数量的相应甲方股份划转至甲方董事会设立的专门账户进行锁定，且该部分被锁定的股份</w:t>
      </w:r>
      <w:r w:rsidRPr="00B4515A">
        <w:rPr>
          <w:rFonts w:hint="eastAsia"/>
        </w:rPr>
        <w:t>无</w:t>
      </w:r>
      <w:r w:rsidRPr="00B4515A">
        <w:t>表决权且不享有股利分配的权利。</w:t>
      </w:r>
    </w:p>
    <w:p w14:paraId="6376CD33" w14:textId="77777777" w:rsidR="006416B0" w:rsidRPr="00B4515A" w:rsidRDefault="005E58C1" w:rsidP="00FA7E47">
      <w:pPr>
        <w:pStyle w:val="005"/>
        <w:spacing w:before="120" w:after="120"/>
        <w:ind w:firstLine="480"/>
      </w:pPr>
      <w:r w:rsidRPr="00B4515A">
        <w:rPr>
          <w:rFonts w:hint="eastAsia"/>
        </w:rPr>
        <w:t>（</w:t>
      </w:r>
      <w:r w:rsidRPr="00B4515A">
        <w:rPr>
          <w:rFonts w:hint="eastAsia"/>
        </w:rPr>
        <w:t>3</w:t>
      </w:r>
      <w:r w:rsidRPr="00B4515A">
        <w:rPr>
          <w:rFonts w:hint="eastAsia"/>
        </w:rPr>
        <w:t>）</w:t>
      </w:r>
      <w:r w:rsidRPr="00B4515A">
        <w:t>若乙方</w:t>
      </w:r>
      <w:r w:rsidRPr="00B4515A">
        <w:rPr>
          <w:rFonts w:hint="eastAsia"/>
        </w:rPr>
        <w:t>触发本条相关约定应</w:t>
      </w:r>
      <w:r w:rsidRPr="00B4515A">
        <w:t>承担减值测试补偿义务的，甲方应在减值测试审核报告披露之日起</w:t>
      </w:r>
      <w:r w:rsidRPr="00B4515A">
        <w:t>30</w:t>
      </w:r>
      <w:r w:rsidRPr="00B4515A">
        <w:t>个工作日内发出召开董事会和股东大会的通知，审议以人民币</w:t>
      </w:r>
      <w:r w:rsidRPr="00B4515A">
        <w:t>1</w:t>
      </w:r>
      <w:r w:rsidRPr="00B4515A">
        <w:t>元总价</w:t>
      </w:r>
      <w:r w:rsidRPr="00B4515A">
        <w:rPr>
          <w:rFonts w:hint="eastAsia"/>
        </w:rPr>
        <w:t>分别</w:t>
      </w:r>
      <w:r w:rsidRPr="00B4515A">
        <w:t>回购并注销乙方当年应补偿股份的议案（以下简称</w:t>
      </w:r>
      <w:r w:rsidRPr="00B4515A">
        <w:rPr>
          <w:rFonts w:ascii="宋体" w:hAnsi="宋体" w:hint="eastAsia"/>
        </w:rPr>
        <w:t>“</w:t>
      </w:r>
      <w:r w:rsidRPr="00B4515A">
        <w:t>减值补偿议案</w:t>
      </w:r>
      <w:r w:rsidRPr="00B4515A">
        <w:rPr>
          <w:rFonts w:ascii="宋体" w:hAnsi="宋体" w:hint="eastAsia"/>
        </w:rPr>
        <w:t>”</w:t>
      </w:r>
      <w:r w:rsidRPr="00B4515A">
        <w:t>）。</w:t>
      </w:r>
    </w:p>
    <w:p w14:paraId="5FAAFAE3" w14:textId="77777777" w:rsidR="006416B0" w:rsidRPr="00B4515A" w:rsidRDefault="005E58C1" w:rsidP="00FA7E47">
      <w:pPr>
        <w:pStyle w:val="005"/>
        <w:spacing w:before="120" w:after="120"/>
        <w:ind w:firstLine="480"/>
      </w:pPr>
      <w:r w:rsidRPr="00B4515A">
        <w:rPr>
          <w:rFonts w:hint="eastAsia"/>
        </w:rPr>
        <w:t>（</w:t>
      </w:r>
      <w:r w:rsidRPr="00B4515A">
        <w:rPr>
          <w:rFonts w:hint="eastAsia"/>
        </w:rPr>
        <w:t>4</w:t>
      </w:r>
      <w:r w:rsidRPr="00B4515A">
        <w:rPr>
          <w:rFonts w:hint="eastAsia"/>
        </w:rPr>
        <w:t>）</w:t>
      </w:r>
      <w:r w:rsidRPr="00B4515A">
        <w:t>若甲方股东大会审议并通过减值补偿议案，则甲方应在股东大会决议公告之日起</w:t>
      </w:r>
      <w:r w:rsidRPr="00B4515A">
        <w:t>30</w:t>
      </w:r>
      <w:r w:rsidRPr="00B4515A">
        <w:t>个工作日内以总价人民币</w:t>
      </w:r>
      <w:r w:rsidRPr="00B4515A">
        <w:t>1</w:t>
      </w:r>
      <w:r w:rsidRPr="00B4515A">
        <w:t>元的价格</w:t>
      </w:r>
      <w:r w:rsidRPr="00B4515A">
        <w:rPr>
          <w:rFonts w:hint="eastAsia"/>
        </w:rPr>
        <w:t>分别</w:t>
      </w:r>
      <w:r w:rsidRPr="00B4515A">
        <w:t>定向回购董事会设立的专门账户中存放的乙方的补偿股份并予以注销。</w:t>
      </w:r>
    </w:p>
    <w:p w14:paraId="3D67BCBE" w14:textId="77777777" w:rsidR="006416B0" w:rsidRPr="00B4515A" w:rsidRDefault="005E58C1" w:rsidP="00FA7E47">
      <w:pPr>
        <w:pStyle w:val="005"/>
        <w:spacing w:before="120" w:after="120"/>
        <w:ind w:firstLine="480"/>
      </w:pPr>
      <w:r w:rsidRPr="00B4515A">
        <w:t>若回购注销事宜因减值补偿议案未获得甲方股东大会审议通过等原因无法实施，则甲方有权终止以人民币</w:t>
      </w:r>
      <w:r w:rsidRPr="00B4515A">
        <w:t>1</w:t>
      </w:r>
      <w:r w:rsidRPr="00B4515A">
        <w:t>元总价</w:t>
      </w:r>
      <w:r w:rsidRPr="00B4515A">
        <w:rPr>
          <w:rFonts w:hint="eastAsia"/>
        </w:rPr>
        <w:t>分别</w:t>
      </w:r>
      <w:r w:rsidRPr="00B4515A">
        <w:t>回购并注销乙方当年应补偿股份的方案，并应在股东大会决议公告之日起</w:t>
      </w:r>
      <w:r w:rsidRPr="00B4515A">
        <w:t>5</w:t>
      </w:r>
      <w:r w:rsidRPr="00B4515A">
        <w:t>个工作日内书面通知乙方实施股份赠与方案。乙方应在收到甲方书面通知之日起</w:t>
      </w:r>
      <w:r w:rsidRPr="00B4515A">
        <w:t>20</w:t>
      </w:r>
      <w:r w:rsidRPr="00B4515A">
        <w:t>个工作日内，将应补偿的股份赠与给上市公司截至审议减值补偿议案股东大会股权登记日登记在册的除乙方外的其他股东，除乙方外的其他股东</w:t>
      </w:r>
      <w:r w:rsidRPr="00B4515A">
        <w:rPr>
          <w:rFonts w:hint="eastAsia"/>
        </w:rPr>
        <w:t>，</w:t>
      </w:r>
      <w:r w:rsidRPr="00B4515A">
        <w:t>按照其持有的上市公司股份数量占审议减值补偿议案股东大会股权登记日上市公司</w:t>
      </w:r>
      <w:r w:rsidRPr="00B4515A">
        <w:rPr>
          <w:rFonts w:hint="eastAsia"/>
        </w:rPr>
        <w:t>（</w:t>
      </w:r>
      <w:r w:rsidRPr="00B4515A">
        <w:t>扣除乙方持有的股份数后</w:t>
      </w:r>
      <w:r w:rsidRPr="00B4515A">
        <w:rPr>
          <w:rFonts w:hint="eastAsia"/>
        </w:rPr>
        <w:t>）</w:t>
      </w:r>
      <w:r w:rsidRPr="00B4515A">
        <w:t>总股本的比例获赠股份。</w:t>
      </w:r>
    </w:p>
    <w:p w14:paraId="4FC09C8A" w14:textId="77777777" w:rsidR="006416B0" w:rsidRPr="00B4515A" w:rsidRDefault="005E58C1" w:rsidP="00FA7E47">
      <w:pPr>
        <w:pStyle w:val="005"/>
        <w:spacing w:before="120" w:after="120"/>
        <w:ind w:firstLine="480"/>
      </w:pPr>
      <w:r w:rsidRPr="00B4515A">
        <w:rPr>
          <w:rFonts w:hint="eastAsia"/>
        </w:rPr>
        <w:t>（</w:t>
      </w:r>
      <w:r w:rsidRPr="00B4515A">
        <w:rPr>
          <w:rFonts w:hint="eastAsia"/>
        </w:rPr>
        <w:t>5</w:t>
      </w:r>
      <w:r w:rsidRPr="00B4515A">
        <w:rPr>
          <w:rFonts w:hint="eastAsia"/>
        </w:rPr>
        <w:t>）</w:t>
      </w:r>
      <w:r w:rsidRPr="00B4515A">
        <w:t>因减值补偿产生的税费，由各方根据有关法律、法规和规范性文件的规定各自承担。</w:t>
      </w:r>
    </w:p>
    <w:p w14:paraId="2B4239F8" w14:textId="7DCBEC9C" w:rsidR="006416B0" w:rsidRPr="00B4515A" w:rsidRDefault="005E58C1" w:rsidP="00FA7E47">
      <w:pPr>
        <w:pStyle w:val="003"/>
        <w:spacing w:before="120"/>
        <w:ind w:firstLine="482"/>
      </w:pPr>
      <w:r w:rsidRPr="00B4515A">
        <w:rPr>
          <w:rFonts w:hint="eastAsia"/>
        </w:rPr>
        <w:t>（</w:t>
      </w:r>
      <w:r w:rsidR="00AB15FA" w:rsidRPr="00B4515A">
        <w:rPr>
          <w:rFonts w:hint="eastAsia"/>
        </w:rPr>
        <w:t>六</w:t>
      </w:r>
      <w:r w:rsidRPr="00B4515A">
        <w:rPr>
          <w:rFonts w:hint="eastAsia"/>
        </w:rPr>
        <w:t>）承诺与保证</w:t>
      </w:r>
    </w:p>
    <w:p w14:paraId="26B69EC9" w14:textId="77777777" w:rsidR="006416B0" w:rsidRPr="00B4515A" w:rsidRDefault="005E58C1" w:rsidP="00FA7E47">
      <w:pPr>
        <w:pStyle w:val="005"/>
        <w:spacing w:before="120" w:after="120"/>
        <w:ind w:firstLine="480"/>
      </w:pPr>
      <w:r w:rsidRPr="00B4515A">
        <w:rPr>
          <w:rFonts w:hint="eastAsia"/>
        </w:rPr>
        <w:t>1</w:t>
      </w:r>
      <w:r w:rsidRPr="00B4515A">
        <w:rPr>
          <w:rFonts w:hint="eastAsia"/>
        </w:rPr>
        <w:t>、乙方承诺，于本次交易项下取得的对价股份优先用于履行本协议补偿义务，不通过质押股份等方式逃废补偿义务。未来质押对价股份（如有）时，将书面告知质权人：根据本协议，前述股份具有潜在业绩承诺补偿义务情况，并在质押协议中就相关股份优先用于支付补偿事项等与质权人作出明确约定。</w:t>
      </w:r>
    </w:p>
    <w:p w14:paraId="46F647A1" w14:textId="77777777" w:rsidR="006416B0" w:rsidRPr="00B4515A" w:rsidRDefault="005E58C1" w:rsidP="00FA7E47">
      <w:pPr>
        <w:pStyle w:val="005"/>
        <w:spacing w:before="120" w:after="120"/>
        <w:ind w:firstLine="480"/>
      </w:pPr>
      <w:r w:rsidRPr="00B4515A">
        <w:rPr>
          <w:rFonts w:hint="eastAsia"/>
        </w:rPr>
        <w:lastRenderedPageBreak/>
        <w:t>2</w:t>
      </w:r>
      <w:r w:rsidRPr="00B4515A">
        <w:rPr>
          <w:rFonts w:hint="eastAsia"/>
        </w:rPr>
        <w:t>、乙方承诺，在乙方承诺的对价股份锁定期满后、本协议补偿义务履行完毕之前，不减持对价股份。</w:t>
      </w:r>
    </w:p>
    <w:p w14:paraId="7126D7AF" w14:textId="77777777" w:rsidR="006416B0" w:rsidRPr="00B4515A" w:rsidRDefault="005E58C1" w:rsidP="00FA7E47">
      <w:pPr>
        <w:pStyle w:val="005"/>
        <w:spacing w:before="120" w:after="120"/>
        <w:ind w:firstLine="480"/>
      </w:pPr>
      <w:r w:rsidRPr="00B4515A">
        <w:t>3</w:t>
      </w:r>
      <w:r w:rsidRPr="00B4515A">
        <w:rPr>
          <w:rFonts w:hint="eastAsia"/>
        </w:rPr>
        <w:t>、若因乙方违反上述承诺导致其无法通过股份补偿方式履行补偿义务，则甲方有权要求乙方以现金方式进行补偿。</w:t>
      </w:r>
    </w:p>
    <w:p w14:paraId="7A2D3980" w14:textId="134118C2" w:rsidR="006416B0" w:rsidRPr="00B4515A" w:rsidRDefault="005E58C1" w:rsidP="00FA7E47">
      <w:pPr>
        <w:pStyle w:val="003"/>
        <w:spacing w:before="120"/>
        <w:ind w:firstLine="482"/>
      </w:pPr>
      <w:r w:rsidRPr="00B4515A">
        <w:rPr>
          <w:rFonts w:hint="eastAsia"/>
        </w:rPr>
        <w:t>（</w:t>
      </w:r>
      <w:r w:rsidR="00AB15FA" w:rsidRPr="00B4515A">
        <w:rPr>
          <w:rFonts w:hint="eastAsia"/>
        </w:rPr>
        <w:t>七</w:t>
      </w:r>
      <w:r w:rsidRPr="00B4515A">
        <w:rPr>
          <w:rFonts w:hint="eastAsia"/>
        </w:rPr>
        <w:t>）</w:t>
      </w:r>
      <w:r w:rsidRPr="00B4515A">
        <w:t>违约责任</w:t>
      </w:r>
    </w:p>
    <w:p w14:paraId="3403D71E" w14:textId="77777777" w:rsidR="006416B0" w:rsidRPr="00B4515A" w:rsidRDefault="005E58C1" w:rsidP="00FA7E47">
      <w:pPr>
        <w:pStyle w:val="005"/>
        <w:spacing w:before="120" w:after="120"/>
        <w:ind w:firstLine="480"/>
      </w:pPr>
      <w:r w:rsidRPr="00B4515A">
        <w:t>本协议签订后，除不可抗力以外，任何一方不履行或不及时、不适当履行本协议项下其应履行的任何义务，或违反其在本协议项下作出的任何陈述或保证，均构成违约，</w:t>
      </w:r>
      <w:r w:rsidRPr="00B4515A">
        <w:rPr>
          <w:rFonts w:hint="eastAsia"/>
        </w:rPr>
        <w:t>违约方</w:t>
      </w:r>
      <w:r w:rsidRPr="00B4515A">
        <w:t>应赔偿</w:t>
      </w:r>
      <w:r w:rsidRPr="00B4515A">
        <w:rPr>
          <w:rFonts w:hint="eastAsia"/>
        </w:rPr>
        <w:t>守约方</w:t>
      </w:r>
      <w:r w:rsidRPr="00B4515A">
        <w:t>由此</w:t>
      </w:r>
      <w:r w:rsidRPr="00B4515A">
        <w:rPr>
          <w:rFonts w:hint="eastAsia"/>
        </w:rPr>
        <w:t>受到的直接经济损失（包括守约方因履行本协议发生的损失、费用、损害和开支）</w:t>
      </w:r>
      <w:r w:rsidRPr="00B4515A">
        <w:t>。</w:t>
      </w:r>
    </w:p>
    <w:p w14:paraId="126057DE" w14:textId="435F7629" w:rsidR="006416B0" w:rsidRPr="00B4515A" w:rsidRDefault="005E58C1" w:rsidP="00FA7E47">
      <w:pPr>
        <w:pStyle w:val="003"/>
        <w:spacing w:before="120"/>
        <w:ind w:firstLine="482"/>
      </w:pPr>
      <w:r w:rsidRPr="00B4515A">
        <w:rPr>
          <w:rFonts w:hint="eastAsia"/>
        </w:rPr>
        <w:t>（</w:t>
      </w:r>
      <w:r w:rsidR="00AB15FA" w:rsidRPr="00B4515A">
        <w:rPr>
          <w:rFonts w:hint="eastAsia"/>
        </w:rPr>
        <w:t>八</w:t>
      </w:r>
      <w:r w:rsidRPr="00B4515A">
        <w:rPr>
          <w:rFonts w:hint="eastAsia"/>
        </w:rPr>
        <w:t>）</w:t>
      </w:r>
      <w:r w:rsidRPr="00B4515A">
        <w:t>协议生效</w:t>
      </w:r>
    </w:p>
    <w:p w14:paraId="15179B72" w14:textId="77777777" w:rsidR="006416B0" w:rsidRPr="00B4515A" w:rsidRDefault="005E58C1" w:rsidP="00FA7E47">
      <w:pPr>
        <w:pStyle w:val="005"/>
        <w:spacing w:before="120" w:after="120"/>
        <w:ind w:firstLine="480"/>
      </w:pPr>
      <w:r w:rsidRPr="00B4515A">
        <w:t>1</w:t>
      </w:r>
      <w:r w:rsidRPr="00B4515A">
        <w:rPr>
          <w:rFonts w:hint="eastAsia"/>
        </w:rPr>
        <w:t>、本协议自各方签字并盖章之日起成立，自《发行股份购买资产协议》生效之日起生效。</w:t>
      </w:r>
    </w:p>
    <w:p w14:paraId="45B315F1" w14:textId="77777777" w:rsidR="006416B0" w:rsidRPr="00B4515A" w:rsidRDefault="005E58C1" w:rsidP="00FA7E47">
      <w:pPr>
        <w:pStyle w:val="005"/>
        <w:spacing w:before="120" w:after="120"/>
        <w:ind w:firstLine="480"/>
      </w:pPr>
      <w:r w:rsidRPr="00B4515A">
        <w:t>2</w:t>
      </w:r>
      <w:r w:rsidRPr="00B4515A">
        <w:rPr>
          <w:rFonts w:hint="eastAsia"/>
        </w:rPr>
        <w:t>、本协议为《发行股份购买资产协议》及《补充协议》之附属协议，本协议没有约定的，适用《发行股份购买资产协议》及《补充协议》。如《发行股份购买资产协议》及《补充协议》进行修改，本协议亦应相应进行修改。如《发行股份购买资产协议》及《补充协议》被解除或被认定为无效，本协议亦应解除或失效。</w:t>
      </w:r>
      <w:bookmarkEnd w:id="297"/>
    </w:p>
    <w:p w14:paraId="025D9ADE" w14:textId="77777777" w:rsidR="006416B0" w:rsidRPr="00B4515A" w:rsidRDefault="005E58C1" w:rsidP="00FA7E47">
      <w:pPr>
        <w:pStyle w:val="002"/>
        <w:spacing w:before="120" w:after="120"/>
        <w:ind w:firstLine="562"/>
      </w:pPr>
      <w:bookmarkStart w:id="298" w:name="_Toc80960560"/>
      <w:r w:rsidRPr="00B4515A">
        <w:rPr>
          <w:rFonts w:hint="eastAsia"/>
        </w:rPr>
        <w:t>四、</w:t>
      </w:r>
      <w:r w:rsidRPr="00B4515A">
        <w:t>募集配套资金股份认购协议主要内容</w:t>
      </w:r>
      <w:bookmarkEnd w:id="298"/>
    </w:p>
    <w:p w14:paraId="5C0AE1BB" w14:textId="77777777" w:rsidR="006416B0" w:rsidRPr="00B4515A" w:rsidRDefault="005E58C1" w:rsidP="00FA7E47">
      <w:pPr>
        <w:pStyle w:val="003"/>
        <w:spacing w:before="120"/>
        <w:ind w:firstLine="482"/>
      </w:pPr>
      <w:bookmarkStart w:id="299" w:name="_Hlk76935684"/>
      <w:r w:rsidRPr="00B4515A">
        <w:rPr>
          <w:rFonts w:hint="eastAsia"/>
        </w:rPr>
        <w:t>（一）合同主体、签订时间</w:t>
      </w:r>
    </w:p>
    <w:p w14:paraId="2882ADC9" w14:textId="77777777" w:rsidR="006416B0" w:rsidRPr="00B4515A" w:rsidRDefault="005E58C1" w:rsidP="00FA7E47">
      <w:pPr>
        <w:pStyle w:val="005"/>
        <w:spacing w:before="120" w:after="120"/>
        <w:ind w:firstLine="480"/>
        <w:rPr>
          <w:bCs/>
          <w:color w:val="000000" w:themeColor="text1"/>
        </w:rPr>
      </w:pPr>
      <w:r w:rsidRPr="00B4515A">
        <w:rPr>
          <w:bCs/>
          <w:color w:val="000000" w:themeColor="text1"/>
        </w:rPr>
        <w:t>2021</w:t>
      </w:r>
      <w:r w:rsidRPr="00B4515A">
        <w:rPr>
          <w:rFonts w:hint="eastAsia"/>
          <w:bCs/>
          <w:color w:val="000000" w:themeColor="text1"/>
        </w:rPr>
        <w:t>年</w:t>
      </w:r>
      <w:r w:rsidRPr="00B4515A">
        <w:rPr>
          <w:bCs/>
          <w:color w:val="000000" w:themeColor="text1"/>
        </w:rPr>
        <w:t>5</w:t>
      </w:r>
      <w:r w:rsidRPr="00B4515A">
        <w:rPr>
          <w:rFonts w:hint="eastAsia"/>
          <w:bCs/>
          <w:color w:val="000000" w:themeColor="text1"/>
        </w:rPr>
        <w:t>月</w:t>
      </w:r>
      <w:r w:rsidRPr="00B4515A">
        <w:rPr>
          <w:bCs/>
          <w:color w:val="000000" w:themeColor="text1"/>
        </w:rPr>
        <w:t>9</w:t>
      </w:r>
      <w:r w:rsidRPr="00B4515A">
        <w:rPr>
          <w:rFonts w:hint="eastAsia"/>
          <w:bCs/>
          <w:color w:val="000000" w:themeColor="text1"/>
        </w:rPr>
        <w:t>日，大唐电信与中国信科集团签订了</w:t>
      </w:r>
      <w:r w:rsidRPr="00B4515A">
        <w:rPr>
          <w:rFonts w:hint="eastAsia"/>
        </w:rPr>
        <w:t>《</w:t>
      </w:r>
      <w:r w:rsidRPr="00B4515A">
        <w:t>大唐电信科技股份有限公司与中国信息通信科技集团有限公司关于大唐电信科技股份有限公司非公开发行股票之附条件生效的股份认购协议</w:t>
      </w:r>
      <w:r w:rsidRPr="00B4515A">
        <w:rPr>
          <w:rFonts w:hint="eastAsia"/>
        </w:rPr>
        <w:t>》</w:t>
      </w:r>
      <w:r w:rsidRPr="00B4515A">
        <w:rPr>
          <w:rFonts w:hint="eastAsia"/>
          <w:bCs/>
          <w:color w:val="000000" w:themeColor="text1"/>
        </w:rPr>
        <w:t>。其中上市公司为协议中的甲方、中国信科集团为协议中的乙方。</w:t>
      </w:r>
    </w:p>
    <w:p w14:paraId="3851C340" w14:textId="77777777" w:rsidR="006416B0" w:rsidRPr="00B4515A" w:rsidRDefault="005E58C1" w:rsidP="00FA7E47">
      <w:pPr>
        <w:pStyle w:val="003"/>
        <w:spacing w:before="120"/>
        <w:ind w:firstLine="482"/>
      </w:pPr>
      <w:r w:rsidRPr="00B4515A">
        <w:rPr>
          <w:rFonts w:hint="eastAsia"/>
        </w:rPr>
        <w:t>（二）定价基准日及认购价格</w:t>
      </w:r>
    </w:p>
    <w:p w14:paraId="33BC2FD0" w14:textId="77777777" w:rsidR="006416B0" w:rsidRPr="00B4515A" w:rsidRDefault="005E58C1" w:rsidP="00FA7E47">
      <w:pPr>
        <w:pStyle w:val="005"/>
        <w:spacing w:before="120" w:after="120"/>
        <w:ind w:firstLine="480"/>
      </w:pPr>
      <w:r w:rsidRPr="00B4515A">
        <w:rPr>
          <w:rFonts w:hint="eastAsia"/>
        </w:rPr>
        <w:t>1</w:t>
      </w:r>
      <w:r w:rsidRPr="00B4515A">
        <w:rPr>
          <w:rFonts w:hint="eastAsia"/>
        </w:rPr>
        <w:t>、本次非公开发行</w:t>
      </w:r>
      <w:r w:rsidRPr="00B4515A">
        <w:t>A</w:t>
      </w:r>
      <w:r w:rsidRPr="00B4515A">
        <w:rPr>
          <w:rFonts w:hint="eastAsia"/>
        </w:rPr>
        <w:t>股股票的定价基准日为甲方审议本次发行股份购买资产并募集配套资金的第七届董事会第五十八次董事会决议公告日（以下简称</w:t>
      </w:r>
      <w:r w:rsidRPr="00B4515A">
        <w:rPr>
          <w:rFonts w:ascii="宋体" w:hAnsi="宋体"/>
        </w:rPr>
        <w:t>“</w:t>
      </w:r>
      <w:r w:rsidRPr="00B4515A">
        <w:rPr>
          <w:rFonts w:hint="eastAsia"/>
        </w:rPr>
        <w:t>定价基准日</w:t>
      </w:r>
      <w:r w:rsidRPr="00B4515A">
        <w:rPr>
          <w:rFonts w:ascii="宋体" w:hAnsi="宋体"/>
        </w:rPr>
        <w:t>”</w:t>
      </w:r>
      <w:r w:rsidRPr="00B4515A">
        <w:rPr>
          <w:rFonts w:hint="eastAsia"/>
        </w:rPr>
        <w:t>）。</w:t>
      </w:r>
    </w:p>
    <w:p w14:paraId="558315EE" w14:textId="77777777" w:rsidR="006416B0" w:rsidRPr="00B4515A" w:rsidRDefault="005E58C1" w:rsidP="00FA7E47">
      <w:pPr>
        <w:pStyle w:val="005"/>
        <w:spacing w:before="120" w:after="120"/>
        <w:ind w:firstLine="480"/>
      </w:pPr>
      <w:r w:rsidRPr="00B4515A">
        <w:lastRenderedPageBreak/>
        <w:t>2</w:t>
      </w:r>
      <w:r w:rsidRPr="00B4515A">
        <w:rPr>
          <w:rFonts w:hint="eastAsia"/>
        </w:rPr>
        <w:t>、本次非公开发行</w:t>
      </w:r>
      <w:r w:rsidRPr="00B4515A">
        <w:t>A</w:t>
      </w:r>
      <w:r w:rsidRPr="00B4515A">
        <w:rPr>
          <w:rFonts w:hint="eastAsia"/>
        </w:rPr>
        <w:t>股股票的发行价格为</w:t>
      </w:r>
      <w:r w:rsidRPr="00B4515A">
        <w:t>5.24</w:t>
      </w:r>
      <w:r w:rsidRPr="00B4515A">
        <w:rPr>
          <w:rFonts w:hint="eastAsia"/>
        </w:rPr>
        <w:t>元</w:t>
      </w:r>
      <w:r w:rsidRPr="00B4515A">
        <w:t>/</w:t>
      </w:r>
      <w:r w:rsidRPr="00B4515A">
        <w:rPr>
          <w:rFonts w:hint="eastAsia"/>
        </w:rPr>
        <w:t>股，不低于定价基准日前</w:t>
      </w:r>
      <w:r w:rsidRPr="00B4515A">
        <w:t>20</w:t>
      </w:r>
      <w:r w:rsidRPr="00B4515A">
        <w:rPr>
          <w:rFonts w:hint="eastAsia"/>
        </w:rPr>
        <w:t>个交易日股票交易均价的</w:t>
      </w:r>
      <w:r w:rsidRPr="00B4515A">
        <w:t xml:space="preserve"> 80%</w:t>
      </w:r>
      <w:r w:rsidRPr="00B4515A">
        <w:rPr>
          <w:rFonts w:hint="eastAsia"/>
        </w:rPr>
        <w:t>（定价基准日前</w:t>
      </w:r>
      <w:r w:rsidRPr="00B4515A">
        <w:t>20</w:t>
      </w:r>
      <w:r w:rsidRPr="00B4515A">
        <w:rPr>
          <w:rFonts w:hint="eastAsia"/>
        </w:rPr>
        <w:t>个交易日股票交易均价</w:t>
      </w:r>
      <w:r w:rsidRPr="00B4515A">
        <w:t>=</w:t>
      </w:r>
      <w:r w:rsidRPr="00B4515A">
        <w:rPr>
          <w:rFonts w:hint="eastAsia"/>
        </w:rPr>
        <w:t>定价基准日前</w:t>
      </w:r>
      <w:r w:rsidRPr="00B4515A">
        <w:t>20</w:t>
      </w:r>
      <w:r w:rsidRPr="00B4515A">
        <w:rPr>
          <w:rFonts w:hint="eastAsia"/>
        </w:rPr>
        <w:t>个交易日股票交易总额</w:t>
      </w:r>
      <w:r w:rsidRPr="00B4515A">
        <w:t>/</w:t>
      </w:r>
      <w:r w:rsidRPr="00B4515A">
        <w:rPr>
          <w:rFonts w:hint="eastAsia"/>
        </w:rPr>
        <w:t>定价基准日前</w:t>
      </w:r>
      <w:r w:rsidRPr="00B4515A">
        <w:t>20</w:t>
      </w:r>
      <w:r w:rsidRPr="00B4515A">
        <w:rPr>
          <w:rFonts w:hint="eastAsia"/>
        </w:rPr>
        <w:t>个交易日股票交易总量）。</w:t>
      </w:r>
    </w:p>
    <w:p w14:paraId="20ED1D5C" w14:textId="77777777" w:rsidR="006416B0" w:rsidRPr="00B4515A" w:rsidRDefault="005E58C1" w:rsidP="00FA7E47">
      <w:pPr>
        <w:pStyle w:val="005"/>
        <w:spacing w:before="120" w:after="120"/>
        <w:ind w:firstLine="480"/>
        <w:rPr>
          <w:bCs/>
          <w:color w:val="000000" w:themeColor="text1"/>
        </w:rPr>
      </w:pPr>
      <w:r w:rsidRPr="00B4515A">
        <w:rPr>
          <w:bCs/>
          <w:color w:val="000000" w:themeColor="text1"/>
        </w:rPr>
        <w:t>3</w:t>
      </w:r>
      <w:r w:rsidRPr="00B4515A">
        <w:rPr>
          <w:rFonts w:hint="eastAsia"/>
          <w:bCs/>
          <w:color w:val="000000" w:themeColor="text1"/>
        </w:rPr>
        <w:t>、若甲方股票在定价基准日至发行日期间发生派息、送红股、资本公积金转增股本等除权除息事项，本次发行价格作相应调整，调整方式如下：</w:t>
      </w:r>
    </w:p>
    <w:p w14:paraId="438C1A5A" w14:textId="77777777" w:rsidR="006416B0" w:rsidRPr="00B4515A" w:rsidRDefault="005E58C1" w:rsidP="00FA7E47">
      <w:pPr>
        <w:pStyle w:val="005"/>
        <w:spacing w:before="120" w:after="120"/>
        <w:ind w:firstLine="480"/>
        <w:rPr>
          <w:bCs/>
          <w:color w:val="000000" w:themeColor="text1"/>
        </w:rPr>
      </w:pPr>
      <w:r w:rsidRPr="00B4515A">
        <w:rPr>
          <w:rFonts w:hint="eastAsia"/>
          <w:bCs/>
          <w:color w:val="000000" w:themeColor="text1"/>
        </w:rPr>
        <w:t>当送红股或转增股本时，按如下公式调整：</w:t>
      </w:r>
      <w:r w:rsidRPr="00B4515A">
        <w:rPr>
          <w:bCs/>
          <w:color w:val="000000" w:themeColor="text1"/>
        </w:rPr>
        <w:t xml:space="preserve">P1=P0/(1+N) </w:t>
      </w:r>
    </w:p>
    <w:p w14:paraId="70DBD6EB" w14:textId="77777777" w:rsidR="006416B0" w:rsidRPr="00B4515A" w:rsidRDefault="005E58C1" w:rsidP="00FA7E47">
      <w:pPr>
        <w:pStyle w:val="005"/>
        <w:spacing w:before="120" w:after="120"/>
        <w:ind w:firstLine="480"/>
        <w:rPr>
          <w:bCs/>
          <w:color w:val="000000" w:themeColor="text1"/>
        </w:rPr>
      </w:pPr>
      <w:r w:rsidRPr="00B4515A">
        <w:rPr>
          <w:rFonts w:hint="eastAsia"/>
          <w:bCs/>
          <w:color w:val="000000" w:themeColor="text1"/>
        </w:rPr>
        <w:t>当配股时，按如下公式调整：</w:t>
      </w:r>
      <w:r w:rsidRPr="00B4515A">
        <w:rPr>
          <w:bCs/>
          <w:color w:val="000000" w:themeColor="text1"/>
        </w:rPr>
        <w:t>P1=</w:t>
      </w:r>
      <w:r w:rsidRPr="00B4515A">
        <w:rPr>
          <w:rFonts w:hint="eastAsia"/>
          <w:bCs/>
          <w:color w:val="000000" w:themeColor="text1"/>
        </w:rPr>
        <w:t>（</w:t>
      </w:r>
      <w:r w:rsidRPr="00B4515A">
        <w:rPr>
          <w:bCs/>
          <w:color w:val="000000" w:themeColor="text1"/>
        </w:rPr>
        <w:t>P0+A×K</w:t>
      </w:r>
      <w:r w:rsidRPr="00B4515A">
        <w:rPr>
          <w:rFonts w:hint="eastAsia"/>
          <w:bCs/>
          <w:color w:val="000000" w:themeColor="text1"/>
        </w:rPr>
        <w:t>）</w:t>
      </w:r>
      <w:r w:rsidRPr="00B4515A">
        <w:rPr>
          <w:bCs/>
          <w:color w:val="000000" w:themeColor="text1"/>
        </w:rPr>
        <w:t>/(1+K)</w:t>
      </w:r>
    </w:p>
    <w:p w14:paraId="3CD0E89D" w14:textId="77777777" w:rsidR="006416B0" w:rsidRPr="00B4515A" w:rsidRDefault="005E58C1" w:rsidP="00FA7E47">
      <w:pPr>
        <w:pStyle w:val="005"/>
        <w:spacing w:before="120" w:after="120"/>
        <w:ind w:firstLine="480"/>
        <w:rPr>
          <w:bCs/>
          <w:color w:val="000000" w:themeColor="text1"/>
        </w:rPr>
      </w:pPr>
      <w:r w:rsidRPr="00B4515A">
        <w:rPr>
          <w:rFonts w:hint="eastAsia"/>
          <w:bCs/>
          <w:color w:val="000000" w:themeColor="text1"/>
        </w:rPr>
        <w:t>上述两项同时进行时，按如下公式调整：</w:t>
      </w:r>
      <w:r w:rsidRPr="00B4515A">
        <w:rPr>
          <w:bCs/>
          <w:color w:val="000000" w:themeColor="text1"/>
        </w:rPr>
        <w:t>P1=(P0+A×K</w:t>
      </w:r>
      <w:r w:rsidRPr="00B4515A">
        <w:rPr>
          <w:rFonts w:hint="eastAsia"/>
          <w:bCs/>
          <w:color w:val="000000" w:themeColor="text1"/>
        </w:rPr>
        <w:t>）</w:t>
      </w:r>
      <w:r w:rsidRPr="00B4515A">
        <w:rPr>
          <w:bCs/>
          <w:color w:val="000000" w:themeColor="text1"/>
        </w:rPr>
        <w:t>/(1+N+K)</w:t>
      </w:r>
    </w:p>
    <w:p w14:paraId="35789099" w14:textId="77777777" w:rsidR="006416B0" w:rsidRPr="00B4515A" w:rsidRDefault="005E58C1" w:rsidP="00FA7E47">
      <w:pPr>
        <w:pStyle w:val="005"/>
        <w:spacing w:before="120" w:after="120"/>
        <w:ind w:firstLine="480"/>
        <w:rPr>
          <w:bCs/>
          <w:color w:val="000000" w:themeColor="text1"/>
        </w:rPr>
      </w:pPr>
      <w:r w:rsidRPr="00B4515A">
        <w:rPr>
          <w:rFonts w:hint="eastAsia"/>
          <w:bCs/>
          <w:color w:val="000000" w:themeColor="text1"/>
        </w:rPr>
        <w:t>当派发现金股利时，按如下公式调整：</w:t>
      </w:r>
      <w:r w:rsidRPr="00B4515A">
        <w:rPr>
          <w:bCs/>
          <w:color w:val="000000" w:themeColor="text1"/>
        </w:rPr>
        <w:t>P1=P0-D</w:t>
      </w:r>
    </w:p>
    <w:p w14:paraId="6D5014F2" w14:textId="77777777" w:rsidR="006416B0" w:rsidRPr="00B4515A" w:rsidRDefault="005E58C1" w:rsidP="00FA7E47">
      <w:pPr>
        <w:pStyle w:val="005"/>
        <w:spacing w:before="120" w:after="120"/>
        <w:ind w:firstLine="480"/>
        <w:rPr>
          <w:bCs/>
          <w:color w:val="000000" w:themeColor="text1"/>
        </w:rPr>
      </w:pPr>
      <w:r w:rsidRPr="00B4515A">
        <w:rPr>
          <w:rFonts w:hint="eastAsia"/>
          <w:bCs/>
          <w:color w:val="000000" w:themeColor="text1"/>
        </w:rPr>
        <w:t>当上述三项同时进行时，按如下公式</w:t>
      </w:r>
      <w:r w:rsidRPr="00B4515A">
        <w:rPr>
          <w:rFonts w:hint="eastAsia"/>
        </w:rPr>
        <w:t>调整</w:t>
      </w:r>
      <w:r w:rsidRPr="00B4515A">
        <w:rPr>
          <w:rFonts w:hint="eastAsia"/>
          <w:bCs/>
          <w:color w:val="000000" w:themeColor="text1"/>
        </w:rPr>
        <w:t>：</w:t>
      </w:r>
      <w:r w:rsidRPr="00B4515A">
        <w:rPr>
          <w:bCs/>
          <w:color w:val="000000" w:themeColor="text1"/>
        </w:rPr>
        <w:t>P1=(P0-D+A×K)/(1+N+K)</w:t>
      </w:r>
    </w:p>
    <w:p w14:paraId="3440802D" w14:textId="77777777" w:rsidR="006416B0" w:rsidRPr="00B4515A" w:rsidRDefault="005E58C1" w:rsidP="00FA7E47">
      <w:pPr>
        <w:pStyle w:val="005"/>
        <w:spacing w:before="120" w:after="120"/>
        <w:ind w:firstLine="480"/>
        <w:rPr>
          <w:bCs/>
          <w:color w:val="000000" w:themeColor="text1"/>
        </w:rPr>
      </w:pPr>
      <w:r w:rsidRPr="00B4515A">
        <w:rPr>
          <w:rFonts w:hint="eastAsia"/>
          <w:bCs/>
          <w:color w:val="000000" w:themeColor="text1"/>
        </w:rPr>
        <w:t>其中</w:t>
      </w:r>
      <w:r w:rsidRPr="00B4515A">
        <w:rPr>
          <w:bCs/>
          <w:color w:val="000000" w:themeColor="text1"/>
        </w:rPr>
        <w:t>:</w:t>
      </w:r>
    </w:p>
    <w:p w14:paraId="2982065B" w14:textId="77777777" w:rsidR="006416B0" w:rsidRPr="00B4515A" w:rsidRDefault="005E58C1" w:rsidP="00FA7E47">
      <w:pPr>
        <w:pStyle w:val="005"/>
        <w:spacing w:before="120" w:after="120"/>
        <w:ind w:firstLine="480"/>
      </w:pPr>
      <w:r w:rsidRPr="00B4515A">
        <w:t xml:space="preserve">P0 </w:t>
      </w:r>
      <w:r w:rsidRPr="00B4515A">
        <w:rPr>
          <w:rFonts w:hint="eastAsia"/>
        </w:rPr>
        <w:t>为调整前有效的发行价格</w:t>
      </w:r>
    </w:p>
    <w:p w14:paraId="7C3A99E3" w14:textId="77777777" w:rsidR="006416B0" w:rsidRPr="00B4515A" w:rsidRDefault="005E58C1" w:rsidP="00FA7E47">
      <w:pPr>
        <w:pStyle w:val="005"/>
        <w:spacing w:before="120" w:after="120"/>
        <w:ind w:firstLine="480"/>
      </w:pPr>
      <w:r w:rsidRPr="00B4515A">
        <w:t xml:space="preserve">P1 </w:t>
      </w:r>
      <w:r w:rsidRPr="00B4515A">
        <w:rPr>
          <w:rFonts w:hint="eastAsia"/>
        </w:rPr>
        <w:t>为调整后有效的发行价格</w:t>
      </w:r>
    </w:p>
    <w:p w14:paraId="6F2E8895" w14:textId="77777777" w:rsidR="006416B0" w:rsidRPr="00B4515A" w:rsidRDefault="005E58C1" w:rsidP="00FA7E47">
      <w:pPr>
        <w:pStyle w:val="005"/>
        <w:spacing w:before="120" w:after="120"/>
        <w:ind w:firstLine="480"/>
      </w:pPr>
      <w:r w:rsidRPr="00B4515A">
        <w:t xml:space="preserve">D </w:t>
      </w:r>
      <w:r w:rsidRPr="00B4515A">
        <w:rPr>
          <w:rFonts w:hint="eastAsia"/>
        </w:rPr>
        <w:t>为该次每股派发现金股利</w:t>
      </w:r>
    </w:p>
    <w:p w14:paraId="673AA45A" w14:textId="77777777" w:rsidR="006416B0" w:rsidRPr="00B4515A" w:rsidRDefault="005E58C1" w:rsidP="00FA7E47">
      <w:pPr>
        <w:pStyle w:val="005"/>
        <w:spacing w:before="120" w:after="120"/>
        <w:ind w:firstLine="480"/>
      </w:pPr>
      <w:r w:rsidRPr="00B4515A">
        <w:t xml:space="preserve">N </w:t>
      </w:r>
      <w:r w:rsidRPr="00B4515A">
        <w:rPr>
          <w:rFonts w:hint="eastAsia"/>
        </w:rPr>
        <w:t>为该次送股率或转增股本率。</w:t>
      </w:r>
    </w:p>
    <w:p w14:paraId="4FC00402" w14:textId="77777777" w:rsidR="006416B0" w:rsidRPr="00B4515A" w:rsidRDefault="005E58C1" w:rsidP="00FA7E47">
      <w:pPr>
        <w:pStyle w:val="005"/>
        <w:spacing w:before="120" w:after="120"/>
        <w:ind w:firstLine="480"/>
      </w:pPr>
      <w:r w:rsidRPr="00B4515A">
        <w:t xml:space="preserve">K </w:t>
      </w:r>
      <w:r w:rsidRPr="00B4515A">
        <w:rPr>
          <w:rFonts w:hint="eastAsia"/>
        </w:rPr>
        <w:t>为配股率</w:t>
      </w:r>
    </w:p>
    <w:p w14:paraId="1466AF79" w14:textId="77777777" w:rsidR="006416B0" w:rsidRPr="00B4515A" w:rsidRDefault="005E58C1" w:rsidP="00FA7E47">
      <w:pPr>
        <w:pStyle w:val="005"/>
        <w:spacing w:before="120" w:after="120"/>
        <w:ind w:firstLine="480"/>
      </w:pPr>
      <w:r w:rsidRPr="00B4515A">
        <w:t xml:space="preserve">A </w:t>
      </w:r>
      <w:r w:rsidRPr="00B4515A">
        <w:rPr>
          <w:rFonts w:hint="eastAsia"/>
        </w:rPr>
        <w:t>为配股价</w:t>
      </w:r>
    </w:p>
    <w:p w14:paraId="42667A44" w14:textId="77777777" w:rsidR="006416B0" w:rsidRPr="00B4515A" w:rsidRDefault="005E58C1" w:rsidP="00FA7E47">
      <w:pPr>
        <w:pStyle w:val="005"/>
        <w:spacing w:before="120" w:after="120"/>
        <w:ind w:firstLine="480"/>
        <w:rPr>
          <w:bCs/>
          <w:color w:val="000000" w:themeColor="text1"/>
        </w:rPr>
      </w:pPr>
      <w:r w:rsidRPr="00B4515A">
        <w:rPr>
          <w:rFonts w:hint="eastAsia"/>
          <w:bCs/>
          <w:color w:val="000000" w:themeColor="text1"/>
        </w:rPr>
        <w:t>在定价基准日至发行日期间，如中国证监会对发行价格进行政策调整的，则本次非公开发行</w:t>
      </w:r>
      <w:r w:rsidRPr="00B4515A">
        <w:rPr>
          <w:bCs/>
          <w:color w:val="000000" w:themeColor="text1"/>
        </w:rPr>
        <w:t>A</w:t>
      </w:r>
      <w:r w:rsidRPr="00B4515A">
        <w:rPr>
          <w:rFonts w:hint="eastAsia"/>
          <w:bCs/>
          <w:color w:val="000000" w:themeColor="text1"/>
        </w:rPr>
        <w:t>股股票的发行价格将做相应调整。</w:t>
      </w:r>
    </w:p>
    <w:p w14:paraId="706D5D37" w14:textId="77777777" w:rsidR="006416B0" w:rsidRPr="00B4515A" w:rsidRDefault="005E58C1" w:rsidP="00FA7E47">
      <w:pPr>
        <w:pStyle w:val="003"/>
        <w:spacing w:before="120"/>
        <w:ind w:firstLine="482"/>
      </w:pPr>
      <w:r w:rsidRPr="00B4515A">
        <w:rPr>
          <w:rFonts w:hint="eastAsia"/>
        </w:rPr>
        <w:t>（三）</w:t>
      </w:r>
      <w:r w:rsidRPr="00B4515A">
        <w:t>认购金额及认购数量</w:t>
      </w:r>
    </w:p>
    <w:p w14:paraId="2E9DF101" w14:textId="77777777" w:rsidR="006416B0" w:rsidRPr="00B4515A" w:rsidRDefault="005E58C1" w:rsidP="00FA7E47">
      <w:pPr>
        <w:pStyle w:val="005"/>
        <w:spacing w:before="120" w:after="120"/>
        <w:ind w:firstLine="480"/>
      </w:pPr>
      <w:r w:rsidRPr="00B4515A">
        <w:rPr>
          <w:rFonts w:hint="eastAsia"/>
        </w:rPr>
        <w:t>1</w:t>
      </w:r>
      <w:r w:rsidRPr="00B4515A">
        <w:rPr>
          <w:rFonts w:hint="eastAsia"/>
        </w:rPr>
        <w:t>、乙方承诺认购本次非公开发行</w:t>
      </w:r>
      <w:r w:rsidRPr="00B4515A">
        <w:t>A</w:t>
      </w:r>
      <w:r w:rsidRPr="00B4515A">
        <w:rPr>
          <w:rFonts w:hint="eastAsia"/>
        </w:rPr>
        <w:t>股股票的认购金额为人民币</w:t>
      </w:r>
      <w:r w:rsidRPr="00B4515A">
        <w:t>99,999.999656</w:t>
      </w:r>
      <w:r w:rsidRPr="00B4515A">
        <w:rPr>
          <w:rFonts w:hint="eastAsia"/>
        </w:rPr>
        <w:t>万元。</w:t>
      </w:r>
    </w:p>
    <w:p w14:paraId="7C338E19" w14:textId="77777777" w:rsidR="006416B0" w:rsidRPr="00B4515A" w:rsidRDefault="005E58C1" w:rsidP="00FA7E47">
      <w:pPr>
        <w:pStyle w:val="005"/>
        <w:spacing w:before="120" w:after="120"/>
        <w:ind w:firstLine="480"/>
      </w:pPr>
      <w:r w:rsidRPr="00B4515A">
        <w:t>2</w:t>
      </w:r>
      <w:r w:rsidRPr="00B4515A">
        <w:rPr>
          <w:rFonts w:hint="eastAsia"/>
        </w:rPr>
        <w:t>、乙方认购本次非公开发行</w:t>
      </w:r>
      <w:r w:rsidRPr="00B4515A">
        <w:t>A</w:t>
      </w:r>
      <w:r w:rsidRPr="00B4515A">
        <w:rPr>
          <w:rFonts w:hint="eastAsia"/>
        </w:rPr>
        <w:t>股股票的认购数量计算公式为：乙方认购的本次非公开发行</w:t>
      </w:r>
      <w:r w:rsidRPr="00B4515A">
        <w:t>A</w:t>
      </w:r>
      <w:r w:rsidRPr="00B4515A">
        <w:rPr>
          <w:rFonts w:hint="eastAsia"/>
        </w:rPr>
        <w:t>股股票的股份数量</w:t>
      </w:r>
      <w:r w:rsidRPr="00B4515A">
        <w:t>=</w:t>
      </w:r>
      <w:r w:rsidRPr="00B4515A">
        <w:rPr>
          <w:rFonts w:hint="eastAsia"/>
        </w:rPr>
        <w:t>认购金额</w:t>
      </w:r>
      <w:r w:rsidRPr="00B4515A">
        <w:t>÷</w:t>
      </w:r>
      <w:r w:rsidRPr="00B4515A">
        <w:rPr>
          <w:rFonts w:hint="eastAsia"/>
        </w:rPr>
        <w:t>发行价格。依据上述公式计算</w:t>
      </w:r>
      <w:r w:rsidRPr="00B4515A">
        <w:rPr>
          <w:rFonts w:hint="eastAsia"/>
        </w:rPr>
        <w:lastRenderedPageBreak/>
        <w:t>的发行数量应精确至个位，不足一股的应当舍去取整。根据前述认购金额及发行价格计算，乙方在本次非公开发行</w:t>
      </w:r>
      <w:r w:rsidRPr="00B4515A">
        <w:t>A</w:t>
      </w:r>
      <w:r w:rsidRPr="00B4515A">
        <w:rPr>
          <w:rFonts w:hint="eastAsia"/>
        </w:rPr>
        <w:t>股股票的认购数量为</w:t>
      </w:r>
      <w:r w:rsidRPr="00B4515A">
        <w:t>190,839,694</w:t>
      </w:r>
      <w:r w:rsidRPr="00B4515A">
        <w:rPr>
          <w:rFonts w:hint="eastAsia"/>
        </w:rPr>
        <w:t>股，募集配套资金总额不超过本次购买资产中以发行股份方式购买资产的交易价格的</w:t>
      </w:r>
      <w:r w:rsidRPr="00B4515A">
        <w:t>100%</w:t>
      </w:r>
      <w:r w:rsidRPr="00B4515A">
        <w:rPr>
          <w:rFonts w:hint="eastAsia"/>
        </w:rPr>
        <w:t>，不超过本次发行股份购买资产并募集配套资金前甲方总股本的</w:t>
      </w:r>
      <w:r w:rsidRPr="00B4515A">
        <w:t>30%</w:t>
      </w:r>
      <w:r w:rsidRPr="00B4515A">
        <w:rPr>
          <w:rFonts w:hint="eastAsia"/>
        </w:rPr>
        <w:t>。</w:t>
      </w:r>
    </w:p>
    <w:p w14:paraId="60DF5402" w14:textId="77777777" w:rsidR="006416B0" w:rsidRPr="00B4515A" w:rsidRDefault="005E58C1" w:rsidP="00FA7E47">
      <w:pPr>
        <w:pStyle w:val="005"/>
        <w:spacing w:before="120" w:after="120"/>
        <w:ind w:firstLine="480"/>
      </w:pPr>
      <w:r w:rsidRPr="00B4515A">
        <w:rPr>
          <w:rFonts w:hint="eastAsia"/>
        </w:rPr>
        <w:t>3</w:t>
      </w:r>
      <w:r w:rsidRPr="00B4515A">
        <w:rPr>
          <w:rFonts w:hint="eastAsia"/>
        </w:rPr>
        <w:t>、若甲方股票在定价基准日至发行日期间发生派息、送红股、资本公积金转增股本等除权除息事项，则本次发行的股票数量将作相应调整。甲乙双方确认，最终发行数量将由甲方股东大会授权董事会或董事会授权人士根据股东大会的授权与本次发行的独立财务顾问（主承销商）根据经中国证监会核准的发行方案协商确定。</w:t>
      </w:r>
    </w:p>
    <w:p w14:paraId="72A6C589" w14:textId="77777777" w:rsidR="006416B0" w:rsidRPr="00B4515A" w:rsidRDefault="005E58C1" w:rsidP="00FA7E47">
      <w:pPr>
        <w:pStyle w:val="003"/>
        <w:spacing w:before="120"/>
        <w:ind w:firstLine="482"/>
      </w:pPr>
      <w:r w:rsidRPr="00B4515A">
        <w:rPr>
          <w:rFonts w:hint="eastAsia"/>
        </w:rPr>
        <w:t>（四）对价支付</w:t>
      </w:r>
    </w:p>
    <w:p w14:paraId="02F51FCB" w14:textId="77777777" w:rsidR="006416B0" w:rsidRPr="00B4515A" w:rsidRDefault="005E58C1" w:rsidP="00FA7E47">
      <w:pPr>
        <w:pStyle w:val="005"/>
        <w:spacing w:before="120" w:after="120"/>
        <w:ind w:firstLine="480"/>
      </w:pPr>
      <w:r w:rsidRPr="00B4515A">
        <w:rPr>
          <w:rFonts w:hint="eastAsia"/>
        </w:rPr>
        <w:t>1</w:t>
      </w:r>
      <w:r w:rsidRPr="00B4515A">
        <w:rPr>
          <w:rFonts w:hint="eastAsia"/>
        </w:rPr>
        <w:t>、本次发行获得中国证监会核准，且收到甲方和本次发行的独立财务顾问（主承销商）发出的股份认购价款缴付通知书后，乙方应按缴款通知书的要求，在该通知确定的缴款日期前以现金方式将全部股份认购价款一次性划入独立财务顾问（主承销商）为本次非公开发行</w:t>
      </w:r>
      <w:r w:rsidRPr="00B4515A">
        <w:t>A</w:t>
      </w:r>
      <w:r w:rsidRPr="00B4515A">
        <w:rPr>
          <w:rFonts w:hint="eastAsia"/>
        </w:rPr>
        <w:t>股所专门开立的账户。上述认购资金在会计师事务所完成验资并扣除相关费用后，再行划入发行人的募集资金专项存储账户。</w:t>
      </w:r>
    </w:p>
    <w:p w14:paraId="10D16E83" w14:textId="77777777" w:rsidR="006416B0" w:rsidRPr="00B4515A" w:rsidRDefault="005E58C1" w:rsidP="00FA7E47">
      <w:pPr>
        <w:pStyle w:val="005"/>
        <w:spacing w:before="120" w:after="120"/>
        <w:ind w:firstLine="480"/>
      </w:pPr>
      <w:r w:rsidRPr="00B4515A">
        <w:rPr>
          <w:rFonts w:hint="eastAsia"/>
        </w:rPr>
        <w:t>2</w:t>
      </w:r>
      <w:r w:rsidRPr="00B4515A">
        <w:rPr>
          <w:rFonts w:hint="eastAsia"/>
        </w:rPr>
        <w:t>、在乙方支付认股资金后</w:t>
      </w:r>
      <w:r w:rsidRPr="00B4515A">
        <w:t>60</w:t>
      </w:r>
      <w:r w:rsidRPr="00B4515A">
        <w:rPr>
          <w:rFonts w:hint="eastAsia"/>
        </w:rPr>
        <w:t>个工作日之内，甲方应向证券登记结算机构申请办理并完成将乙方本次认购的股票登记于乙方名下的相关登记手续，以使乙方成为认购股票的合法持有人。</w:t>
      </w:r>
    </w:p>
    <w:p w14:paraId="4D89612C" w14:textId="77777777" w:rsidR="006416B0" w:rsidRPr="00B4515A" w:rsidRDefault="005E58C1" w:rsidP="00FA7E47">
      <w:pPr>
        <w:pStyle w:val="003"/>
        <w:spacing w:before="120"/>
        <w:ind w:firstLine="482"/>
      </w:pPr>
      <w:r w:rsidRPr="00B4515A">
        <w:rPr>
          <w:rFonts w:hint="eastAsia"/>
        </w:rPr>
        <w:t>（五）锁定期</w:t>
      </w:r>
    </w:p>
    <w:p w14:paraId="2A61ADB3" w14:textId="77777777" w:rsidR="006416B0" w:rsidRPr="00B4515A" w:rsidRDefault="005E58C1" w:rsidP="00FA7E47">
      <w:pPr>
        <w:pStyle w:val="005"/>
        <w:spacing w:before="120" w:after="120"/>
        <w:ind w:firstLine="480"/>
      </w:pPr>
      <w:bookmarkStart w:id="300" w:name="_Hlk70253766"/>
      <w:r w:rsidRPr="00B4515A">
        <w:rPr>
          <w:rFonts w:hint="eastAsia"/>
        </w:rPr>
        <w:t>乙方承诺，认购本次非公开发行的</w:t>
      </w:r>
      <w:r w:rsidRPr="00B4515A">
        <w:t>A</w:t>
      </w:r>
      <w:r w:rsidRPr="00B4515A">
        <w:rPr>
          <w:rFonts w:hint="eastAsia"/>
        </w:rPr>
        <w:t>股股份自本次发行结束之日起十八个月内不得转让。</w:t>
      </w:r>
    </w:p>
    <w:p w14:paraId="00518845" w14:textId="77777777" w:rsidR="006416B0" w:rsidRPr="00B4515A" w:rsidRDefault="005E58C1" w:rsidP="00FA7E47">
      <w:pPr>
        <w:pStyle w:val="005"/>
        <w:spacing w:before="120" w:after="120"/>
        <w:ind w:firstLine="480"/>
      </w:pPr>
      <w:r w:rsidRPr="00B4515A">
        <w:rPr>
          <w:rFonts w:hint="eastAsia"/>
        </w:rPr>
        <w:t>若所认购股份的锁定期与中国证监会、上海证券交易所等监管部门的规定不相符，则锁定期将根据相关监管部门的规定进行相应调整。</w:t>
      </w:r>
    </w:p>
    <w:p w14:paraId="52E5632E" w14:textId="77777777" w:rsidR="006416B0" w:rsidRPr="00B4515A" w:rsidRDefault="005E58C1" w:rsidP="00FA7E47">
      <w:pPr>
        <w:pStyle w:val="005"/>
        <w:spacing w:before="120" w:after="120"/>
        <w:ind w:firstLine="480"/>
      </w:pPr>
      <w:r w:rsidRPr="00B4515A">
        <w:rPr>
          <w:rFonts w:hint="eastAsia"/>
        </w:rPr>
        <w:t>乙方所认购</w:t>
      </w:r>
      <w:r w:rsidRPr="00B4515A">
        <w:t>A</w:t>
      </w:r>
      <w:r w:rsidRPr="00B4515A">
        <w:rPr>
          <w:rFonts w:hint="eastAsia"/>
        </w:rPr>
        <w:t>股股份因公司分配股票股利、资本公积转增等情形所衍生取得的股份亦应遵守上述股份锁定安排。上述锁定期满后，该等股份的解锁及减持将按中国证监会及上海证券交易所的规定执行。</w:t>
      </w:r>
      <w:bookmarkEnd w:id="300"/>
    </w:p>
    <w:p w14:paraId="451ACAAE" w14:textId="77777777" w:rsidR="006416B0" w:rsidRPr="00B4515A" w:rsidRDefault="005E58C1" w:rsidP="00FA7E47">
      <w:pPr>
        <w:pStyle w:val="003"/>
        <w:spacing w:before="120"/>
        <w:ind w:firstLine="482"/>
      </w:pPr>
      <w:r w:rsidRPr="00B4515A">
        <w:rPr>
          <w:rFonts w:hint="eastAsia"/>
        </w:rPr>
        <w:lastRenderedPageBreak/>
        <w:t>（六）生效条件</w:t>
      </w:r>
    </w:p>
    <w:p w14:paraId="2FDE5DD0" w14:textId="77777777" w:rsidR="006416B0" w:rsidRPr="00B4515A" w:rsidRDefault="005E58C1" w:rsidP="00FA7E47">
      <w:pPr>
        <w:pStyle w:val="005"/>
        <w:spacing w:before="120" w:after="120"/>
        <w:ind w:firstLine="480"/>
      </w:pPr>
      <w:r w:rsidRPr="00B4515A">
        <w:rPr>
          <w:rFonts w:hint="eastAsia"/>
        </w:rPr>
        <w:t>1</w:t>
      </w:r>
      <w:r w:rsidRPr="00B4515A">
        <w:rPr>
          <w:rFonts w:hint="eastAsia"/>
        </w:rPr>
        <w:t>、协议自甲乙双方法定代表人或授权代表签字并加盖公章之日起成立。除本条以及与违约责任、声明和保证、适用法律和争议的解决、保密、不可抗力等相关的条款自本协议成立之日起生效外，本协议其他条款在满足以下全部条件时生效</w:t>
      </w:r>
      <w:r w:rsidRPr="00B4515A">
        <w:t>:</w:t>
      </w:r>
    </w:p>
    <w:p w14:paraId="00C1BDEC" w14:textId="77777777" w:rsidR="006416B0" w:rsidRPr="00B4515A" w:rsidRDefault="005E58C1" w:rsidP="00FA7E47">
      <w:pPr>
        <w:pStyle w:val="005"/>
        <w:spacing w:before="120" w:after="120"/>
        <w:ind w:firstLine="480"/>
      </w:pPr>
      <w:r w:rsidRPr="00B4515A">
        <w:rPr>
          <w:rFonts w:hint="eastAsia"/>
        </w:rPr>
        <w:t>（</w:t>
      </w:r>
      <w:r w:rsidRPr="00B4515A">
        <w:rPr>
          <w:rFonts w:hint="eastAsia"/>
        </w:rPr>
        <w:t>1</w:t>
      </w:r>
      <w:r w:rsidRPr="00B4515A">
        <w:rPr>
          <w:rFonts w:hint="eastAsia"/>
        </w:rPr>
        <w:t>）根据乙方公司章程，乙方的有权权力机构已经作出相关决议，同意乙方认购本次非公开发行的</w:t>
      </w:r>
      <w:r w:rsidRPr="00B4515A">
        <w:t>A</w:t>
      </w:r>
      <w:r w:rsidRPr="00B4515A">
        <w:rPr>
          <w:rFonts w:hint="eastAsia"/>
        </w:rPr>
        <w:t>股股份及与之有关的其他事项；</w:t>
      </w:r>
    </w:p>
    <w:p w14:paraId="239FB38B" w14:textId="77777777" w:rsidR="006416B0" w:rsidRPr="00B4515A" w:rsidRDefault="005E58C1" w:rsidP="00FA7E47">
      <w:pPr>
        <w:pStyle w:val="005"/>
        <w:spacing w:before="120" w:after="120"/>
        <w:ind w:firstLine="480"/>
      </w:pPr>
      <w:r w:rsidRPr="00B4515A">
        <w:rPr>
          <w:rFonts w:hint="eastAsia"/>
        </w:rPr>
        <w:t>（</w:t>
      </w:r>
      <w:r w:rsidRPr="00B4515A">
        <w:rPr>
          <w:rFonts w:hint="eastAsia"/>
        </w:rPr>
        <w:t>2</w:t>
      </w:r>
      <w:r w:rsidRPr="00B4515A">
        <w:rPr>
          <w:rFonts w:hint="eastAsia"/>
        </w:rPr>
        <w:t>）甲方的董事会以及股东大会已经审议通过本次发行股份购买资产并募集配套资金方案及相关事项，如本次交易触发要约收购义务，甲方股东大会非关联股东批准甲方免于发出要约收购；</w:t>
      </w:r>
    </w:p>
    <w:p w14:paraId="40B7A6CD" w14:textId="77777777" w:rsidR="006416B0" w:rsidRPr="00B4515A" w:rsidRDefault="005E58C1" w:rsidP="00FA7E47">
      <w:pPr>
        <w:pStyle w:val="005"/>
        <w:spacing w:before="120" w:after="120"/>
        <w:ind w:firstLine="480"/>
      </w:pPr>
      <w:r w:rsidRPr="00B4515A">
        <w:rPr>
          <w:rFonts w:hint="eastAsia"/>
        </w:rPr>
        <w:t>（</w:t>
      </w:r>
      <w:r w:rsidRPr="00B4515A">
        <w:rPr>
          <w:rFonts w:hint="eastAsia"/>
        </w:rPr>
        <w:t>3</w:t>
      </w:r>
      <w:r w:rsidRPr="00B4515A">
        <w:rPr>
          <w:rFonts w:hint="eastAsia"/>
        </w:rPr>
        <w:t>）本次发行股份购买资产并募集配套资金按照国有资产监督管理的相关规定完成备案</w:t>
      </w:r>
      <w:r w:rsidRPr="00B4515A">
        <w:t>/</w:t>
      </w:r>
      <w:r w:rsidRPr="00B4515A">
        <w:rPr>
          <w:rFonts w:hint="eastAsia"/>
        </w:rPr>
        <w:t>核准</w:t>
      </w:r>
      <w:r w:rsidRPr="00B4515A">
        <w:t>/</w:t>
      </w:r>
      <w:r w:rsidRPr="00B4515A">
        <w:rPr>
          <w:rFonts w:hint="eastAsia"/>
        </w:rPr>
        <w:t>审批程序；</w:t>
      </w:r>
    </w:p>
    <w:p w14:paraId="6086DA81" w14:textId="77777777" w:rsidR="006416B0" w:rsidRPr="00B4515A" w:rsidRDefault="005E58C1" w:rsidP="00FA7E47">
      <w:pPr>
        <w:pStyle w:val="005"/>
        <w:spacing w:before="120" w:after="120"/>
        <w:ind w:firstLine="480"/>
      </w:pPr>
      <w:r w:rsidRPr="00B4515A">
        <w:rPr>
          <w:rFonts w:hint="eastAsia"/>
        </w:rPr>
        <w:t>（</w:t>
      </w:r>
      <w:r w:rsidRPr="00B4515A">
        <w:rPr>
          <w:rFonts w:hint="eastAsia"/>
        </w:rPr>
        <w:t>4</w:t>
      </w:r>
      <w:r w:rsidRPr="00B4515A">
        <w:rPr>
          <w:rFonts w:hint="eastAsia"/>
        </w:rPr>
        <w:t>）本次购买资产的《发行股份购买资产协议》及其补充协议已生效；</w:t>
      </w:r>
    </w:p>
    <w:p w14:paraId="307968B9" w14:textId="77777777" w:rsidR="006416B0" w:rsidRPr="00B4515A" w:rsidRDefault="005E58C1" w:rsidP="00FA7E47">
      <w:pPr>
        <w:pStyle w:val="005"/>
        <w:spacing w:before="120" w:after="120"/>
        <w:ind w:firstLine="480"/>
      </w:pPr>
      <w:r w:rsidRPr="00B4515A">
        <w:rPr>
          <w:rFonts w:hint="eastAsia"/>
        </w:rPr>
        <w:t>（</w:t>
      </w:r>
      <w:r w:rsidRPr="00B4515A">
        <w:rPr>
          <w:rFonts w:hint="eastAsia"/>
        </w:rPr>
        <w:t>5</w:t>
      </w:r>
      <w:r w:rsidRPr="00B4515A">
        <w:rPr>
          <w:rFonts w:hint="eastAsia"/>
        </w:rPr>
        <w:t>）本次发行股份购买资产并募集配套资金获得中国证监会核准。</w:t>
      </w:r>
    </w:p>
    <w:p w14:paraId="3CB33D3A" w14:textId="77777777" w:rsidR="006416B0" w:rsidRPr="00B4515A" w:rsidRDefault="005E58C1" w:rsidP="00FA7E47">
      <w:pPr>
        <w:pStyle w:val="005"/>
        <w:spacing w:before="120" w:after="120"/>
        <w:ind w:firstLine="480"/>
      </w:pPr>
      <w:r w:rsidRPr="00B4515A">
        <w:t>2</w:t>
      </w:r>
      <w:r w:rsidRPr="00B4515A">
        <w:rPr>
          <w:rFonts w:hint="eastAsia"/>
        </w:rPr>
        <w:t>、除上述条款中所列的相关协议生效条件被豁免，否则</w:t>
      </w:r>
      <w:r w:rsidRPr="00B4515A">
        <w:t>前述任何一项条件未能得到满足，本次交易自始无效。如非因一方或双方违约的原因造成前述条件未能得到满足，则双方各自承担因签署及准备履行本协议所支付之费用，且双方互不承担责任。</w:t>
      </w:r>
    </w:p>
    <w:p w14:paraId="4340A081" w14:textId="77777777" w:rsidR="006416B0" w:rsidRPr="00B4515A" w:rsidRDefault="005E58C1" w:rsidP="00FA7E47">
      <w:pPr>
        <w:pStyle w:val="003"/>
        <w:spacing w:before="120"/>
        <w:ind w:firstLine="482"/>
      </w:pPr>
      <w:r w:rsidRPr="00B4515A">
        <w:rPr>
          <w:rFonts w:hint="eastAsia"/>
        </w:rPr>
        <w:t>（七）</w:t>
      </w:r>
      <w:r w:rsidRPr="00B4515A">
        <w:t>违约责任</w:t>
      </w:r>
    </w:p>
    <w:p w14:paraId="215A44D0" w14:textId="77777777" w:rsidR="006416B0" w:rsidRPr="00B4515A" w:rsidRDefault="005E58C1" w:rsidP="00FA7E47">
      <w:pPr>
        <w:pStyle w:val="005"/>
        <w:spacing w:before="120" w:after="120"/>
        <w:ind w:firstLine="480"/>
      </w:pPr>
      <w:r w:rsidRPr="00B4515A">
        <w:rPr>
          <w:rFonts w:hint="eastAsia"/>
        </w:rPr>
        <w:t>1</w:t>
      </w:r>
      <w:r w:rsidRPr="00B4515A">
        <w:rPr>
          <w:rFonts w:hint="eastAsia"/>
        </w:rPr>
        <w:t>、若任何一方经催告后</w:t>
      </w:r>
      <w:r w:rsidRPr="00B4515A">
        <w:t>15</w:t>
      </w:r>
      <w:r w:rsidRPr="00B4515A">
        <w:rPr>
          <w:rFonts w:hint="eastAsia"/>
        </w:rPr>
        <w:t>日内未能遵守或履行本协议项下约定的义务或责任、声明或保证，或在本协议所作的声明和保证有任何虚假、不真实或对事实有隐瞒或重大遗漏，所引起的经济损失与法律责任，除双方另有约定外，违约方须承担赔偿责任，违约方应当负责赔偿其违约行为给守约方造成的实际损失。</w:t>
      </w:r>
    </w:p>
    <w:p w14:paraId="1F0EB223" w14:textId="4044D8C3" w:rsidR="006416B0" w:rsidRPr="00B4515A" w:rsidRDefault="005E58C1" w:rsidP="00FA7E47">
      <w:pPr>
        <w:pStyle w:val="005"/>
        <w:spacing w:before="120" w:after="120"/>
        <w:ind w:firstLine="480"/>
      </w:pPr>
      <w:r w:rsidRPr="00B4515A">
        <w:t>2</w:t>
      </w:r>
      <w:r w:rsidRPr="00B4515A">
        <w:rPr>
          <w:rFonts w:hint="eastAsia"/>
        </w:rPr>
        <w:t>、本协议项下约定的本次交易如未获得甲方或</w:t>
      </w:r>
      <w:r w:rsidRPr="00B4515A">
        <w:t>/</w:t>
      </w:r>
      <w:r w:rsidRPr="00B4515A">
        <w:rPr>
          <w:rFonts w:hint="eastAsia"/>
        </w:rPr>
        <w:t>和乙方的董事会或股东大会</w:t>
      </w:r>
      <w:r w:rsidRPr="00B4515A">
        <w:t xml:space="preserve"> </w:t>
      </w:r>
      <w:r w:rsidRPr="00B4515A">
        <w:rPr>
          <w:rFonts w:hint="eastAsia"/>
        </w:rPr>
        <w:t>（或其他有权机构）审议通过</w:t>
      </w:r>
      <w:r w:rsidR="006B6951" w:rsidRPr="00B4515A">
        <w:rPr>
          <w:rFonts w:hint="eastAsia"/>
        </w:rPr>
        <w:t>；</w:t>
      </w:r>
      <w:r w:rsidRPr="00B4515A">
        <w:rPr>
          <w:rFonts w:hint="eastAsia"/>
        </w:rPr>
        <w:t>或</w:t>
      </w:r>
      <w:r w:rsidRPr="00B4515A">
        <w:t>/</w:t>
      </w:r>
      <w:r w:rsidRPr="00B4515A">
        <w:rPr>
          <w:rFonts w:hint="eastAsia"/>
        </w:rPr>
        <w:t>和未获得国有资产监督管理部门核准；或</w:t>
      </w:r>
      <w:r w:rsidRPr="00B4515A">
        <w:t>/</w:t>
      </w:r>
      <w:r w:rsidRPr="00B4515A">
        <w:rPr>
          <w:rFonts w:hint="eastAsia"/>
        </w:rPr>
        <w:t>和未获得中国证监会等监管机构核准的，则不构成甲方或</w:t>
      </w:r>
      <w:r w:rsidRPr="00B4515A">
        <w:t>/</w:t>
      </w:r>
      <w:r w:rsidRPr="00B4515A">
        <w:rPr>
          <w:rFonts w:hint="eastAsia"/>
        </w:rPr>
        <w:t>和乙方违约，任何一方不需向对方承担违约责任或任何民事赔偿责任，但因任何一方的违约行为导致出</w:t>
      </w:r>
      <w:r w:rsidRPr="00B4515A">
        <w:rPr>
          <w:rFonts w:hint="eastAsia"/>
        </w:rPr>
        <w:lastRenderedPageBreak/>
        <w:t>现前述情形的除外。双方应在条件允许下采取最大努力促成本次交易相关的内外部审议、核准或许可事项。如因包括中国证监会在内的监管机构对本次交易方案进行调整而导致本协议无法实际或全部履行，则不构成双方违约事项。任何一方由于不可抗力且自身无过错造成不能履行或部分不能履行本协议的义务将不视为违约，但应在条件允许下采取一切必要的救济措施，减少因不可抗力造成的损失。</w:t>
      </w:r>
    </w:p>
    <w:p w14:paraId="11D4A2A3" w14:textId="77777777" w:rsidR="006416B0" w:rsidRPr="00B4515A" w:rsidRDefault="005E58C1" w:rsidP="00FA7E47">
      <w:pPr>
        <w:pStyle w:val="002"/>
        <w:spacing w:before="120" w:after="120"/>
        <w:ind w:firstLine="562"/>
      </w:pPr>
      <w:bookmarkStart w:id="301" w:name="_Toc80960561"/>
      <w:bookmarkEnd w:id="299"/>
      <w:r w:rsidRPr="00B4515A">
        <w:rPr>
          <w:rFonts w:hint="eastAsia"/>
        </w:rPr>
        <w:t>五、募集配套资金股份认购协议之补充协议主要内容</w:t>
      </w:r>
      <w:bookmarkEnd w:id="301"/>
    </w:p>
    <w:p w14:paraId="25700A5A" w14:textId="77777777" w:rsidR="006416B0" w:rsidRPr="00B4515A" w:rsidRDefault="005E58C1" w:rsidP="00FA7E47">
      <w:pPr>
        <w:pStyle w:val="003"/>
        <w:spacing w:before="120"/>
        <w:ind w:firstLine="482"/>
      </w:pPr>
      <w:bookmarkStart w:id="302" w:name="_Hlk76935714"/>
      <w:r w:rsidRPr="00B4515A">
        <w:rPr>
          <w:rFonts w:hint="eastAsia"/>
        </w:rPr>
        <w:t>（一）合同主体、签订时间</w:t>
      </w:r>
    </w:p>
    <w:p w14:paraId="5649EEF1" w14:textId="2C3C90D3" w:rsidR="006416B0" w:rsidRPr="00B4515A" w:rsidRDefault="005E58C1" w:rsidP="00FA7E47">
      <w:pPr>
        <w:pStyle w:val="005"/>
        <w:spacing w:before="120" w:after="120"/>
        <w:ind w:firstLine="480"/>
      </w:pPr>
      <w:r w:rsidRPr="00B4515A">
        <w:t>2021</w:t>
      </w:r>
      <w:r w:rsidRPr="00B4515A">
        <w:rPr>
          <w:rFonts w:hint="eastAsia"/>
        </w:rPr>
        <w:t>年</w:t>
      </w:r>
      <w:r w:rsidR="00C40D09" w:rsidRPr="00B4515A">
        <w:t>8</w:t>
      </w:r>
      <w:r w:rsidRPr="00B4515A">
        <w:rPr>
          <w:rFonts w:hint="eastAsia"/>
        </w:rPr>
        <w:t>月</w:t>
      </w:r>
      <w:r w:rsidR="009C001B" w:rsidRPr="00B4515A">
        <w:rPr>
          <w:rFonts w:hint="eastAsia"/>
        </w:rPr>
        <w:t>2</w:t>
      </w:r>
      <w:r w:rsidR="009C001B" w:rsidRPr="00B4515A">
        <w:t>6</w:t>
      </w:r>
      <w:r w:rsidRPr="00B4515A">
        <w:rPr>
          <w:rFonts w:hint="eastAsia"/>
        </w:rPr>
        <w:t>日，大唐电信与中国信科集团签订了《</w:t>
      </w:r>
      <w:r w:rsidRPr="00B4515A">
        <w:t>大唐电信科技股份有限公司与中国信息通信科技集团有限公司关于大唐电信科技股份有限公司非公开发行股票之</w:t>
      </w:r>
      <w:r w:rsidRPr="00B4515A">
        <w:rPr>
          <w:rFonts w:hint="eastAsia"/>
        </w:rPr>
        <w:t>附条件生效的股份认购协议之补充协议》。其中上市公司为协议中的甲方、中国信科集团为协议中的乙方。</w:t>
      </w:r>
    </w:p>
    <w:p w14:paraId="6D6081FE" w14:textId="77777777" w:rsidR="006416B0" w:rsidRPr="00B4515A" w:rsidRDefault="005E58C1" w:rsidP="00FA7E47">
      <w:pPr>
        <w:pStyle w:val="003"/>
        <w:spacing w:before="120"/>
        <w:ind w:firstLine="482"/>
      </w:pPr>
      <w:r w:rsidRPr="00B4515A">
        <w:rPr>
          <w:rFonts w:hint="eastAsia"/>
        </w:rPr>
        <w:t>（二）锁定期</w:t>
      </w:r>
    </w:p>
    <w:p w14:paraId="2A67E370" w14:textId="77777777" w:rsidR="006416B0" w:rsidRPr="00B4515A" w:rsidRDefault="005E58C1" w:rsidP="00FA7E47">
      <w:pPr>
        <w:pStyle w:val="005"/>
        <w:spacing w:before="120" w:after="120"/>
        <w:ind w:firstLine="480"/>
      </w:pPr>
      <w:r w:rsidRPr="00B4515A">
        <w:rPr>
          <w:rFonts w:hint="eastAsia"/>
        </w:rPr>
        <w:t>乙方承诺，认购本次非公开发行的</w:t>
      </w:r>
      <w:r w:rsidRPr="00B4515A">
        <w:rPr>
          <w:rFonts w:hint="eastAsia"/>
        </w:rPr>
        <w:t>A</w:t>
      </w:r>
      <w:r w:rsidRPr="00B4515A">
        <w:rPr>
          <w:rFonts w:hint="eastAsia"/>
        </w:rPr>
        <w:t>股股份自本次发行结束之日起三年内不得转让。</w:t>
      </w:r>
    </w:p>
    <w:p w14:paraId="6E8D0465" w14:textId="77777777" w:rsidR="006416B0" w:rsidRPr="00B4515A" w:rsidRDefault="005E58C1" w:rsidP="00FA7E47">
      <w:pPr>
        <w:pStyle w:val="005"/>
        <w:spacing w:before="120" w:after="120"/>
        <w:ind w:firstLine="480"/>
      </w:pPr>
      <w:r w:rsidRPr="00B4515A">
        <w:rPr>
          <w:rFonts w:hint="eastAsia"/>
        </w:rPr>
        <w:t>若所认购股份的锁定期与中国证监会、上海证券交易所等监管部门的规定不相符，则锁定期将根据相关监管部门的规定进行相应调整。</w:t>
      </w:r>
    </w:p>
    <w:p w14:paraId="32EE8630" w14:textId="77777777" w:rsidR="006416B0" w:rsidRPr="00B4515A" w:rsidRDefault="005E58C1" w:rsidP="00FA7E47">
      <w:pPr>
        <w:pStyle w:val="005"/>
        <w:spacing w:before="120" w:after="120"/>
        <w:ind w:firstLine="480"/>
      </w:pPr>
      <w:r w:rsidRPr="00B4515A">
        <w:rPr>
          <w:rFonts w:hint="eastAsia"/>
        </w:rPr>
        <w:t>乙方所认购</w:t>
      </w:r>
      <w:r w:rsidRPr="00B4515A">
        <w:rPr>
          <w:rFonts w:hint="eastAsia"/>
        </w:rPr>
        <w:t>A</w:t>
      </w:r>
      <w:r w:rsidRPr="00B4515A">
        <w:rPr>
          <w:rFonts w:hint="eastAsia"/>
        </w:rPr>
        <w:t>股股份因公司分配股票股利、资本公积转增等情形所衍生取得的股份亦应遵守上述股份锁定安排。上述锁定期满后，该等股份的解锁及减持将按中国证监会及上海证券交易所的规定执行。</w:t>
      </w:r>
    </w:p>
    <w:p w14:paraId="039E9DB5" w14:textId="77777777" w:rsidR="006416B0" w:rsidRPr="00B4515A" w:rsidRDefault="005E58C1" w:rsidP="00FA7E47">
      <w:pPr>
        <w:pStyle w:val="003"/>
        <w:spacing w:before="120"/>
        <w:ind w:firstLine="482"/>
      </w:pPr>
      <w:r w:rsidRPr="00B4515A">
        <w:rPr>
          <w:rFonts w:hint="eastAsia"/>
        </w:rPr>
        <w:t>（三）生效条件</w:t>
      </w:r>
    </w:p>
    <w:p w14:paraId="7714DA0E" w14:textId="77777777" w:rsidR="006416B0" w:rsidRPr="00B4515A" w:rsidRDefault="005E58C1" w:rsidP="00FA7E47">
      <w:pPr>
        <w:pStyle w:val="005"/>
        <w:spacing w:before="120" w:after="120"/>
        <w:ind w:firstLine="480"/>
      </w:pPr>
      <w:r w:rsidRPr="00B4515A">
        <w:rPr>
          <w:rFonts w:hint="eastAsia"/>
        </w:rPr>
        <w:t>本补充协议为《股份认购协议》不可分割的一部分，本补充协议自双方签字并盖章后成立，于《股份认购协议》第</w:t>
      </w:r>
      <w:r w:rsidRPr="00B4515A">
        <w:rPr>
          <w:rFonts w:hint="eastAsia"/>
        </w:rPr>
        <w:t>1</w:t>
      </w:r>
      <w:r w:rsidRPr="00B4515A">
        <w:t>1.1</w:t>
      </w:r>
      <w:r w:rsidRPr="00B4515A">
        <w:rPr>
          <w:rFonts w:hint="eastAsia"/>
        </w:rPr>
        <w:t>款约定的相关条件全部得到满足时生效并与《股份认购协议》具有同等法律效力。</w:t>
      </w:r>
      <w:bookmarkEnd w:id="302"/>
    </w:p>
    <w:p w14:paraId="34D80772" w14:textId="77777777" w:rsidR="006416B0" w:rsidRPr="00B4515A" w:rsidRDefault="005E58C1" w:rsidP="002B0582">
      <w:pPr>
        <w:pStyle w:val="001"/>
        <w:spacing w:before="360" w:after="360"/>
      </w:pPr>
      <w:bookmarkStart w:id="303" w:name="_Toc80960562"/>
      <w:r w:rsidRPr="00B4515A">
        <w:rPr>
          <w:rFonts w:hint="eastAsia"/>
        </w:rPr>
        <w:lastRenderedPageBreak/>
        <w:t>第八节</w:t>
      </w:r>
      <w:r w:rsidRPr="00B4515A">
        <w:t xml:space="preserve"> </w:t>
      </w:r>
      <w:r w:rsidRPr="00B4515A">
        <w:rPr>
          <w:rFonts w:hint="eastAsia"/>
        </w:rPr>
        <w:t>本次交易的合规性分析</w:t>
      </w:r>
      <w:bookmarkEnd w:id="303"/>
    </w:p>
    <w:p w14:paraId="5EA26AD1" w14:textId="77777777" w:rsidR="006416B0" w:rsidRPr="00B4515A" w:rsidRDefault="005E58C1" w:rsidP="00FA7E47">
      <w:pPr>
        <w:pStyle w:val="002"/>
        <w:spacing w:before="120" w:after="120"/>
        <w:ind w:firstLine="562"/>
      </w:pPr>
      <w:bookmarkStart w:id="304" w:name="_Toc80960563"/>
      <w:r w:rsidRPr="00B4515A">
        <w:rPr>
          <w:rFonts w:hint="eastAsia"/>
        </w:rPr>
        <w:t>一、本次交易符合《重组管理办法》第十一条的规定</w:t>
      </w:r>
      <w:bookmarkEnd w:id="304"/>
    </w:p>
    <w:p w14:paraId="17E8BBEE" w14:textId="77777777" w:rsidR="006416B0" w:rsidRPr="00B4515A" w:rsidRDefault="005E58C1" w:rsidP="00FA7E47">
      <w:pPr>
        <w:pStyle w:val="003"/>
        <w:spacing w:before="120"/>
        <w:ind w:firstLine="482"/>
      </w:pPr>
      <w:bookmarkStart w:id="305" w:name="_Hlk76935832"/>
      <w:r w:rsidRPr="00B4515A">
        <w:rPr>
          <w:rFonts w:hint="eastAsia"/>
        </w:rPr>
        <w:t>（一）</w:t>
      </w:r>
      <w:r w:rsidRPr="00B4515A">
        <w:t>符合国家相关产业政策和有关环境保护、土地管理、反垄断等法律和行政法规的规定</w:t>
      </w:r>
    </w:p>
    <w:p w14:paraId="567E516E" w14:textId="77777777" w:rsidR="006416B0" w:rsidRPr="00B4515A" w:rsidRDefault="005E58C1" w:rsidP="00FA7E47">
      <w:pPr>
        <w:pStyle w:val="004"/>
        <w:spacing w:before="120" w:after="120"/>
        <w:ind w:firstLine="482"/>
      </w:pPr>
      <w:r w:rsidRPr="00B4515A">
        <w:rPr>
          <w:rFonts w:hint="eastAsia"/>
        </w:rPr>
        <w:t>1</w:t>
      </w:r>
      <w:r w:rsidRPr="00B4515A">
        <w:rPr>
          <w:rFonts w:hint="eastAsia"/>
        </w:rPr>
        <w:t>、本次交易符合国家相关产业政策</w:t>
      </w:r>
    </w:p>
    <w:p w14:paraId="4706DD1A" w14:textId="77777777" w:rsidR="006416B0" w:rsidRPr="00B4515A" w:rsidRDefault="005E58C1" w:rsidP="00FA7E47">
      <w:pPr>
        <w:pStyle w:val="005"/>
        <w:spacing w:before="120" w:after="120"/>
        <w:ind w:firstLine="480"/>
      </w:pPr>
      <w:r w:rsidRPr="00B4515A">
        <w:rPr>
          <w:rFonts w:ascii="Arial" w:hAnsi="Arial" w:cs="Arial" w:hint="eastAsia"/>
        </w:rPr>
        <w:t>本次交易上市公司拟购买大唐联</w:t>
      </w:r>
      <w:r w:rsidRPr="00B4515A">
        <w:rPr>
          <w:rFonts w:hint="eastAsia"/>
        </w:rPr>
        <w:t>诚</w:t>
      </w:r>
      <w:r w:rsidRPr="00B4515A">
        <w:t>95.001%</w:t>
      </w:r>
      <w:r w:rsidRPr="00B4515A">
        <w:rPr>
          <w:rFonts w:ascii="Arial" w:hAnsi="Arial" w:cs="Arial" w:hint="eastAsia"/>
        </w:rPr>
        <w:t>股权。大唐联诚</w:t>
      </w:r>
      <w:r w:rsidRPr="00B4515A">
        <w:rPr>
          <w:rFonts w:hint="eastAsia"/>
        </w:rPr>
        <w:t>是一家拥有完整的特种通信行业科研生产资质，立足特种通信行业，依托</w:t>
      </w:r>
      <w:r w:rsidRPr="00B4515A">
        <w:t>3G/4G/5G</w:t>
      </w:r>
      <w:r w:rsidRPr="00B4515A">
        <w:rPr>
          <w:rFonts w:hint="eastAsia"/>
        </w:rPr>
        <w:t>无线移动通信技术，通过技术创新，提供涵盖定制化无线通信设备和系统应用软件的自主可控整体解决方案的高新技术企业。本次交易完成后大唐联诚将成上市公司的子公司。</w:t>
      </w:r>
      <w:r w:rsidRPr="00B4515A">
        <w:t>根据中国证监会颁布的《上市公司行业分类指引</w:t>
      </w:r>
      <w:r w:rsidRPr="00B4515A">
        <w:rPr>
          <w:rFonts w:hint="eastAsia"/>
        </w:rPr>
        <w:t>（</w:t>
      </w:r>
      <w:r w:rsidRPr="00B4515A">
        <w:t>2012</w:t>
      </w:r>
      <w:r w:rsidRPr="00B4515A">
        <w:rPr>
          <w:rFonts w:hint="eastAsia"/>
        </w:rPr>
        <w:t>年修订）》的规定，大唐联诚从事业务所处行业属于</w:t>
      </w:r>
      <w:r w:rsidRPr="00B4515A">
        <w:rPr>
          <w:rFonts w:ascii="宋体" w:hAnsi="宋体" w:hint="eastAsia"/>
        </w:rPr>
        <w:t>“</w:t>
      </w:r>
      <w:r w:rsidRPr="00B4515A">
        <w:t>C39</w:t>
      </w:r>
      <w:r w:rsidRPr="00B4515A">
        <w:rPr>
          <w:rFonts w:hint="eastAsia"/>
        </w:rPr>
        <w:t>计算机、通信和其他电子设备制造业</w:t>
      </w:r>
      <w:r w:rsidRPr="00B4515A">
        <w:rPr>
          <w:rFonts w:ascii="宋体" w:hAnsi="宋体" w:hint="eastAsia"/>
        </w:rPr>
        <w:t>”</w:t>
      </w:r>
      <w:r w:rsidRPr="00B4515A">
        <w:rPr>
          <w:rFonts w:hint="eastAsia"/>
        </w:rPr>
        <w:t>，不属于国家发改委颁布的《产业结构调整指导目录（</w:t>
      </w:r>
      <w:r w:rsidRPr="00B4515A">
        <w:t>2019</w:t>
      </w:r>
      <w:r w:rsidRPr="00B4515A">
        <w:rPr>
          <w:rFonts w:hint="eastAsia"/>
        </w:rPr>
        <w:t>年本）》规定的限制类、淘汰类行业。</w:t>
      </w:r>
    </w:p>
    <w:p w14:paraId="6D5CF6C0" w14:textId="77777777" w:rsidR="006416B0" w:rsidRPr="00B4515A" w:rsidRDefault="005E58C1" w:rsidP="00FA7E47">
      <w:pPr>
        <w:pStyle w:val="005"/>
        <w:spacing w:before="120" w:after="120"/>
        <w:ind w:firstLine="480"/>
      </w:pPr>
      <w:r w:rsidRPr="00B4515A">
        <w:rPr>
          <w:rFonts w:hint="eastAsia"/>
        </w:rPr>
        <w:t>本次交易符合国家相关的产业政策。</w:t>
      </w:r>
    </w:p>
    <w:p w14:paraId="22730875" w14:textId="77777777" w:rsidR="006416B0" w:rsidRPr="00B4515A" w:rsidRDefault="005E58C1" w:rsidP="00FA7E47">
      <w:pPr>
        <w:pStyle w:val="004"/>
        <w:spacing w:before="120" w:after="120"/>
        <w:ind w:firstLine="482"/>
      </w:pPr>
      <w:r w:rsidRPr="00B4515A">
        <w:rPr>
          <w:color w:val="000000"/>
        </w:rPr>
        <w:t>2</w:t>
      </w:r>
      <w:r w:rsidRPr="00B4515A">
        <w:rPr>
          <w:rFonts w:hint="eastAsia"/>
          <w:color w:val="000000"/>
        </w:rPr>
        <w:t>、</w:t>
      </w:r>
      <w:r w:rsidRPr="00B4515A">
        <w:t>本次交</w:t>
      </w:r>
      <w:r w:rsidRPr="00B4515A">
        <w:rPr>
          <w:rFonts w:hint="eastAsia"/>
        </w:rPr>
        <w:t>易符合有关环境保护的法律和行政法规的规定</w:t>
      </w:r>
    </w:p>
    <w:p w14:paraId="321828C7" w14:textId="77777777" w:rsidR="006416B0" w:rsidRPr="00B4515A" w:rsidRDefault="005E58C1" w:rsidP="00FA7E47">
      <w:pPr>
        <w:pStyle w:val="005"/>
        <w:spacing w:before="120" w:after="120"/>
        <w:ind w:firstLine="480"/>
      </w:pPr>
      <w:r w:rsidRPr="00B4515A">
        <w:rPr>
          <w:rFonts w:hint="eastAsia"/>
        </w:rPr>
        <w:t>大唐联诚是一家拥有完整的特种通信行业科研生产资质，立足特种通信行业，依托</w:t>
      </w:r>
      <w:r w:rsidRPr="00B4515A">
        <w:t>3G/4G/5G</w:t>
      </w:r>
      <w:r w:rsidRPr="00B4515A">
        <w:rPr>
          <w:rFonts w:hint="eastAsia"/>
        </w:rPr>
        <w:t>无线移动通信技术，通过技术创新，提供涵盖定制化无线通信设备和系统应用软件的自主可控整体解决方案的高新技术企业，其所</w:t>
      </w:r>
      <w:r w:rsidRPr="00B4515A">
        <w:t>从事的业务为国家大力鼓励发展的领域，不属于高能耗、高污染的行业，在报告期内不存在违反国家有关环境保护法律和行政法规的规定的情形。</w:t>
      </w:r>
    </w:p>
    <w:p w14:paraId="63E11D94" w14:textId="77777777" w:rsidR="006416B0" w:rsidRPr="00B4515A" w:rsidRDefault="005E58C1" w:rsidP="00FA7E47">
      <w:pPr>
        <w:pStyle w:val="005"/>
        <w:spacing w:before="120" w:after="120"/>
        <w:ind w:firstLine="480"/>
      </w:pPr>
      <w:r w:rsidRPr="00B4515A">
        <w:t>本次交易符合有关环境保护的法律和行政法规的规定。</w:t>
      </w:r>
    </w:p>
    <w:p w14:paraId="4E3894F3" w14:textId="77777777" w:rsidR="006416B0" w:rsidRPr="00B4515A" w:rsidRDefault="005E58C1" w:rsidP="00FA7E47">
      <w:pPr>
        <w:pStyle w:val="004"/>
        <w:spacing w:before="120" w:after="120"/>
        <w:ind w:firstLine="482"/>
      </w:pPr>
      <w:r w:rsidRPr="00B4515A">
        <w:rPr>
          <w:rFonts w:hint="eastAsia"/>
        </w:rPr>
        <w:t>3</w:t>
      </w:r>
      <w:r w:rsidRPr="00B4515A">
        <w:rPr>
          <w:rFonts w:hint="eastAsia"/>
        </w:rPr>
        <w:t>、</w:t>
      </w:r>
      <w:r w:rsidRPr="00B4515A">
        <w:t>本次交易符合土地方面的有关法律和行政法规的规定</w:t>
      </w:r>
    </w:p>
    <w:p w14:paraId="6BB7147A" w14:textId="77777777" w:rsidR="006416B0" w:rsidRPr="00B4515A" w:rsidRDefault="005E58C1" w:rsidP="00FA7E47">
      <w:pPr>
        <w:pStyle w:val="005"/>
        <w:spacing w:before="120" w:after="120"/>
        <w:ind w:firstLine="480"/>
      </w:pPr>
      <w:r w:rsidRPr="00B4515A">
        <w:rPr>
          <w:rFonts w:hint="eastAsia"/>
        </w:rPr>
        <w:t>大唐联诚</w:t>
      </w:r>
      <w:r w:rsidRPr="00B4515A">
        <w:t>目前所使用办公、厂房均为租赁。</w:t>
      </w:r>
      <w:r w:rsidRPr="00B4515A">
        <w:rPr>
          <w:rFonts w:hint="eastAsia"/>
        </w:rPr>
        <w:t>报告期内大唐联诚</w:t>
      </w:r>
      <w:r w:rsidRPr="00B4515A">
        <w:t>不存在违反国土资源管理法规的行为，也未曾受到国土管理部门的行政处罚。</w:t>
      </w:r>
    </w:p>
    <w:p w14:paraId="6999833B" w14:textId="77777777" w:rsidR="006416B0" w:rsidRPr="00B4515A" w:rsidRDefault="005E58C1" w:rsidP="00FA7E47">
      <w:pPr>
        <w:pStyle w:val="005"/>
        <w:spacing w:before="120" w:after="120"/>
        <w:ind w:firstLine="480"/>
      </w:pPr>
      <w:r w:rsidRPr="00B4515A">
        <w:t>本次交易符合土地方面的有关法律和行政法规的规定。</w:t>
      </w:r>
    </w:p>
    <w:p w14:paraId="414C5277" w14:textId="77777777" w:rsidR="006416B0" w:rsidRPr="00B4515A" w:rsidRDefault="005E58C1" w:rsidP="00FA7E47">
      <w:pPr>
        <w:pStyle w:val="004"/>
        <w:spacing w:before="120" w:after="120"/>
        <w:ind w:firstLine="482"/>
      </w:pPr>
      <w:r w:rsidRPr="00B4515A">
        <w:lastRenderedPageBreak/>
        <w:t>4</w:t>
      </w:r>
      <w:r w:rsidRPr="00B4515A">
        <w:t>、本次交易不存在违反有关反垄断法律和行政法规的规定</w:t>
      </w:r>
    </w:p>
    <w:p w14:paraId="28046584" w14:textId="77777777" w:rsidR="006416B0" w:rsidRPr="00B4515A" w:rsidRDefault="005E58C1" w:rsidP="003357B7">
      <w:pPr>
        <w:pStyle w:val="005"/>
        <w:spacing w:before="120" w:after="120"/>
        <w:ind w:firstLine="480"/>
        <w:rPr>
          <w:color w:val="000000"/>
        </w:rPr>
      </w:pPr>
      <w:r w:rsidRPr="00B4515A">
        <w:t>根据《中华人民共和国反垄断法》第三条的规定，垄断行为包括：</w:t>
      </w:r>
      <w:r w:rsidRPr="00B4515A">
        <w:t>A.</w:t>
      </w:r>
      <w:r w:rsidRPr="00B4515A">
        <w:t>经营者达成垄断协议；</w:t>
      </w:r>
      <w:r w:rsidRPr="00B4515A">
        <w:t>B.</w:t>
      </w:r>
      <w:r w:rsidRPr="00B4515A">
        <w:t>经营者滥用市场支配地位；</w:t>
      </w:r>
      <w:r w:rsidRPr="00B4515A">
        <w:t>C.</w:t>
      </w:r>
      <w:r w:rsidRPr="00B4515A">
        <w:t>具有或者可能具有排除、限制竞争效果的经营者集中。根据本次交易方案，上市公司以非公开发行股份的方式购买大唐联诚</w:t>
      </w:r>
      <w:r w:rsidRPr="00B4515A">
        <w:t>95.001%</w:t>
      </w:r>
      <w:r w:rsidRPr="00B4515A">
        <w:t>股权，不属于上述《中华人民共和国反垄断法》第三条规定的垄断行为。本次交易未达到《国务院关于经营者集中申报标准的规定》规定的经营者集中申报标准，本次发行股份购买资产完成后，未来上市公司在其业务领域的市场份额未达到《中华人民共和国反垄断法》中对于市场支配地位的认定条件，符合相关法律和行政法规的规定。</w:t>
      </w:r>
    </w:p>
    <w:p w14:paraId="4BB73AF7" w14:textId="77777777" w:rsidR="006416B0" w:rsidRPr="00B4515A" w:rsidRDefault="005E58C1" w:rsidP="003357B7">
      <w:pPr>
        <w:pStyle w:val="005"/>
        <w:spacing w:before="120" w:after="120"/>
        <w:ind w:firstLine="480"/>
      </w:pPr>
      <w:r w:rsidRPr="00B4515A">
        <w:t>综上，本次交易符合国家产业政策和有关环境保护、土地管理、反垄断等法律和行政法规的规定，符合《重组管理办法》第十一条第</w:t>
      </w:r>
      <w:r w:rsidRPr="00B4515A">
        <w:rPr>
          <w:rFonts w:hint="eastAsia"/>
        </w:rPr>
        <w:t>（一）</w:t>
      </w:r>
      <w:r w:rsidRPr="00B4515A">
        <w:t>项的规定。</w:t>
      </w:r>
    </w:p>
    <w:p w14:paraId="4F5DF08B" w14:textId="77777777" w:rsidR="006416B0" w:rsidRPr="00B4515A" w:rsidRDefault="005E58C1" w:rsidP="003357B7">
      <w:pPr>
        <w:pStyle w:val="003"/>
        <w:spacing w:before="120"/>
        <w:ind w:firstLine="482"/>
      </w:pPr>
      <w:r w:rsidRPr="00B4515A">
        <w:rPr>
          <w:rFonts w:hint="eastAsia"/>
        </w:rPr>
        <w:t>（二）</w:t>
      </w:r>
      <w:r w:rsidRPr="00B4515A">
        <w:t>本次交易不会导致上市公司不符合股票</w:t>
      </w:r>
      <w:r w:rsidRPr="00B4515A">
        <w:rPr>
          <w:rFonts w:hint="eastAsia"/>
        </w:rPr>
        <w:t>上市</w:t>
      </w:r>
      <w:r w:rsidRPr="00B4515A">
        <w:t>条件</w:t>
      </w:r>
    </w:p>
    <w:p w14:paraId="61E1E407" w14:textId="77777777" w:rsidR="006416B0" w:rsidRPr="00B4515A" w:rsidRDefault="005E58C1" w:rsidP="003357B7">
      <w:pPr>
        <w:pStyle w:val="005"/>
        <w:spacing w:before="120" w:after="120"/>
        <w:ind w:firstLine="480"/>
      </w:pPr>
      <w:r w:rsidRPr="00B4515A">
        <w:t>根据《证券法</w:t>
      </w:r>
      <w:r w:rsidRPr="00B4515A">
        <w:rPr>
          <w:rFonts w:hint="eastAsia"/>
        </w:rPr>
        <w:t>》</w:t>
      </w:r>
      <w:r w:rsidRPr="00B4515A">
        <w:t>《上市规则》等规定，上市公司股权分布发生变化不再具备上市条件是指</w:t>
      </w:r>
      <w:r w:rsidRPr="00B4515A">
        <w:rPr>
          <w:rFonts w:ascii="宋体" w:hAnsi="宋体" w:hint="eastAsia"/>
        </w:rPr>
        <w:t>“</w:t>
      </w:r>
      <w:r w:rsidRPr="00B4515A">
        <w:t>社会公众持有的股份低于公司股份总数的</w:t>
      </w:r>
      <w:r w:rsidRPr="00B4515A">
        <w:t>25%</w:t>
      </w:r>
      <w:r w:rsidRPr="00B4515A">
        <w:t>，公司股本总额超过人民币</w:t>
      </w:r>
      <w:r w:rsidRPr="00B4515A">
        <w:t>4</w:t>
      </w:r>
      <w:r w:rsidRPr="00B4515A">
        <w:t>亿元的，社会公众持股的比例低于</w:t>
      </w:r>
      <w:r w:rsidRPr="00B4515A">
        <w:t>10%</w:t>
      </w:r>
      <w:r w:rsidRPr="00B4515A">
        <w:t>。社会公众股不包括</w:t>
      </w:r>
      <w:r w:rsidRPr="00B4515A">
        <w:rPr>
          <w:rFonts w:hint="eastAsia"/>
        </w:rPr>
        <w:t>：（</w:t>
      </w:r>
      <w:r w:rsidRPr="00B4515A">
        <w:t>1</w:t>
      </w:r>
      <w:r w:rsidRPr="00B4515A">
        <w:rPr>
          <w:rFonts w:hint="eastAsia"/>
        </w:rPr>
        <w:t>）</w:t>
      </w:r>
      <w:r w:rsidRPr="00B4515A">
        <w:t>持有上市公司</w:t>
      </w:r>
      <w:r w:rsidRPr="00B4515A">
        <w:t>10%</w:t>
      </w:r>
      <w:r w:rsidRPr="00B4515A">
        <w:t>以上股份的股东及其一致行动人</w:t>
      </w:r>
      <w:r w:rsidRPr="00B4515A">
        <w:rPr>
          <w:rFonts w:hint="eastAsia"/>
        </w:rPr>
        <w:t>；（</w:t>
      </w:r>
      <w:r w:rsidRPr="00B4515A">
        <w:t>2</w:t>
      </w:r>
      <w:r w:rsidRPr="00B4515A">
        <w:rPr>
          <w:rFonts w:hint="eastAsia"/>
        </w:rPr>
        <w:t>）</w:t>
      </w:r>
      <w:r w:rsidRPr="00B4515A">
        <w:t>上市公司的董事、监事、高级管理人员及其关联人</w:t>
      </w:r>
      <w:r w:rsidRPr="00B4515A">
        <w:rPr>
          <w:rFonts w:ascii="宋体" w:hAnsi="宋体" w:hint="eastAsia"/>
        </w:rPr>
        <w:t>”</w:t>
      </w:r>
      <w:r w:rsidRPr="00B4515A">
        <w:t>。</w:t>
      </w:r>
    </w:p>
    <w:p w14:paraId="31F5D116" w14:textId="77777777" w:rsidR="006416B0" w:rsidRPr="00B4515A" w:rsidRDefault="005E58C1" w:rsidP="003357B7">
      <w:pPr>
        <w:pStyle w:val="005"/>
        <w:spacing w:before="120" w:after="120"/>
        <w:ind w:firstLine="480"/>
      </w:pPr>
      <w:r w:rsidRPr="00B4515A">
        <w:t>本次交易完成后</w:t>
      </w:r>
      <w:r w:rsidRPr="00B4515A">
        <w:rPr>
          <w:rFonts w:hint="eastAsia"/>
        </w:rPr>
        <w:t>，上市公司</w:t>
      </w:r>
      <w:r w:rsidRPr="00B4515A">
        <w:t>社会公众持有的股份比例不低于</w:t>
      </w:r>
      <w:r w:rsidRPr="00B4515A">
        <w:t>10%</w:t>
      </w:r>
      <w:r w:rsidRPr="00B4515A">
        <w:t>，仍满足《证券法》</w:t>
      </w:r>
      <w:r w:rsidRPr="00B4515A">
        <w:rPr>
          <w:rFonts w:hint="eastAsia"/>
        </w:rPr>
        <w:t>、</w:t>
      </w:r>
      <w:r w:rsidRPr="00B4515A">
        <w:t>《上市规则》等法律法规规定的股票上市条件。</w:t>
      </w:r>
    </w:p>
    <w:p w14:paraId="3E630C17" w14:textId="77777777" w:rsidR="006416B0" w:rsidRPr="00B4515A" w:rsidRDefault="005E58C1" w:rsidP="003357B7">
      <w:pPr>
        <w:pStyle w:val="003"/>
        <w:spacing w:before="120"/>
        <w:ind w:firstLine="482"/>
      </w:pPr>
      <w:r w:rsidRPr="00B4515A">
        <w:rPr>
          <w:rFonts w:hint="eastAsia"/>
        </w:rPr>
        <w:t>（三）本次交易资产定价公允，不存在损害上市公司和股东合法权益的情形</w:t>
      </w:r>
    </w:p>
    <w:p w14:paraId="78D392B0" w14:textId="77777777" w:rsidR="006416B0" w:rsidRPr="00B4515A" w:rsidRDefault="005E58C1" w:rsidP="003357B7">
      <w:pPr>
        <w:pStyle w:val="004"/>
        <w:spacing w:before="120" w:after="120"/>
        <w:ind w:firstLine="482"/>
      </w:pPr>
      <w:r w:rsidRPr="00B4515A">
        <w:rPr>
          <w:rFonts w:hint="eastAsia"/>
        </w:rPr>
        <w:t>1</w:t>
      </w:r>
      <w:r w:rsidRPr="00B4515A">
        <w:rPr>
          <w:rFonts w:hint="eastAsia"/>
        </w:rPr>
        <w:t>、本次交易涉及的资产定价</w:t>
      </w:r>
    </w:p>
    <w:p w14:paraId="67AF5CF3" w14:textId="77777777" w:rsidR="006416B0" w:rsidRPr="00B4515A" w:rsidRDefault="005E58C1" w:rsidP="003357B7">
      <w:pPr>
        <w:pStyle w:val="005"/>
        <w:spacing w:before="120" w:after="120"/>
        <w:ind w:firstLine="480"/>
      </w:pPr>
      <w:r w:rsidRPr="00B4515A">
        <w:rPr>
          <w:rFonts w:hint="eastAsia"/>
        </w:rPr>
        <w:t>本次交易中，上海东洲资产评估有限公司以</w:t>
      </w:r>
      <w:r w:rsidRPr="00B4515A">
        <w:t>2021</w:t>
      </w:r>
      <w:r w:rsidRPr="00B4515A">
        <w:rPr>
          <w:rFonts w:hint="eastAsia"/>
        </w:rPr>
        <w:t>年</w:t>
      </w:r>
      <w:r w:rsidRPr="00B4515A">
        <w:t>4</w:t>
      </w:r>
      <w:r w:rsidRPr="00B4515A">
        <w:rPr>
          <w:rFonts w:hint="eastAsia"/>
        </w:rPr>
        <w:t>月</w:t>
      </w:r>
      <w:r w:rsidRPr="00B4515A">
        <w:t>30</w:t>
      </w:r>
      <w:r w:rsidRPr="00B4515A">
        <w:rPr>
          <w:rFonts w:hint="eastAsia"/>
        </w:rPr>
        <w:t>日为评估基准日，采用收益法和资产基础法对大唐联诚</w:t>
      </w:r>
      <w:r w:rsidRPr="00B4515A">
        <w:t>100%</w:t>
      </w:r>
      <w:r w:rsidRPr="00B4515A">
        <w:rPr>
          <w:rFonts w:hint="eastAsia"/>
        </w:rPr>
        <w:t>股权进行了评估，本次选用收益法结果作为最终评估结论，即大唐联诚的股东全部权益价值评估结果</w:t>
      </w:r>
      <w:bookmarkStart w:id="306" w:name="OLE_LINK7"/>
      <w:bookmarkStart w:id="307" w:name="OLE_LINK8"/>
      <w:r w:rsidRPr="00B4515A">
        <w:t>148,256.37</w:t>
      </w:r>
      <w:bookmarkEnd w:id="306"/>
      <w:bookmarkEnd w:id="307"/>
      <w:r w:rsidRPr="00B4515A">
        <w:t>万元，增值率为</w:t>
      </w:r>
      <w:r w:rsidRPr="00B4515A">
        <w:t>91.33%</w:t>
      </w:r>
      <w:r w:rsidRPr="00B4515A">
        <w:t>。经交易双方协商，</w:t>
      </w:r>
      <w:r w:rsidRPr="00B4515A">
        <w:rPr>
          <w:rFonts w:hint="eastAsia"/>
          <w:color w:val="000000"/>
        </w:rPr>
        <w:t>本次交易涉及的标的资产作价为</w:t>
      </w:r>
      <w:r w:rsidRPr="00B4515A">
        <w:rPr>
          <w:color w:val="000000"/>
        </w:rPr>
        <w:t>1,408,450,340.64</w:t>
      </w:r>
      <w:r w:rsidRPr="00B4515A">
        <w:rPr>
          <w:color w:val="000000"/>
        </w:rPr>
        <w:t>元</w:t>
      </w:r>
      <w:r w:rsidRPr="00B4515A">
        <w:t>，本次交易作价与评估机构所出具评估报告的评估结果保持一致，并经公司与交易对方协商确定，标的资产定价公允、合理，不存在损害上</w:t>
      </w:r>
      <w:r w:rsidRPr="00B4515A">
        <w:lastRenderedPageBreak/>
        <w:t>市公司和股东合法权益的情形。</w:t>
      </w:r>
    </w:p>
    <w:p w14:paraId="4D8DCF96" w14:textId="77777777" w:rsidR="006416B0" w:rsidRPr="00B4515A" w:rsidRDefault="005E58C1" w:rsidP="003357B7">
      <w:pPr>
        <w:pStyle w:val="004"/>
        <w:spacing w:before="120" w:after="120"/>
        <w:ind w:firstLine="482"/>
      </w:pPr>
      <w:r w:rsidRPr="00B4515A">
        <w:t>2</w:t>
      </w:r>
      <w:r w:rsidRPr="00B4515A">
        <w:rPr>
          <w:rFonts w:hint="eastAsia"/>
        </w:rPr>
        <w:t>、发行股份的定价</w:t>
      </w:r>
    </w:p>
    <w:p w14:paraId="54618A41" w14:textId="77777777" w:rsidR="006416B0" w:rsidRPr="00B4515A" w:rsidRDefault="005E58C1" w:rsidP="003357B7">
      <w:pPr>
        <w:pStyle w:val="005"/>
        <w:spacing w:before="120" w:after="120"/>
        <w:ind w:firstLine="480"/>
      </w:pPr>
      <w:r w:rsidRPr="00B4515A">
        <w:rPr>
          <w:rFonts w:hint="eastAsia"/>
        </w:rPr>
        <w:t>本次发行股份购买资产的定价基准日为上市公司审议本次重组相关事项的第七届董事会第五十八次会议决议公告之日。</w:t>
      </w:r>
    </w:p>
    <w:p w14:paraId="3D01B482" w14:textId="77777777" w:rsidR="006416B0" w:rsidRPr="00B4515A" w:rsidRDefault="005E58C1" w:rsidP="003357B7">
      <w:pPr>
        <w:pStyle w:val="005"/>
        <w:spacing w:before="120" w:after="120"/>
        <w:ind w:firstLine="480"/>
      </w:pPr>
      <w:r w:rsidRPr="00B4515A">
        <w:rPr>
          <w:rFonts w:hint="eastAsia"/>
        </w:rPr>
        <w:t>根据《重组管理办法》相关规定，上市公司发行股份的价格不得低于市场参考价的</w:t>
      </w:r>
      <w:r w:rsidRPr="00B4515A">
        <w:t>90%</w:t>
      </w:r>
      <w:r w:rsidRPr="00B4515A">
        <w:rPr>
          <w:rFonts w:hint="eastAsia"/>
        </w:rPr>
        <w:t>；市场参考价为定价基准日前</w:t>
      </w:r>
      <w:r w:rsidRPr="00B4515A">
        <w:t>20</w:t>
      </w:r>
      <w:r w:rsidRPr="00B4515A">
        <w:rPr>
          <w:rFonts w:hint="eastAsia"/>
        </w:rPr>
        <w:t>个交易日、</w:t>
      </w:r>
      <w:r w:rsidRPr="00B4515A">
        <w:t>60</w:t>
      </w:r>
      <w:r w:rsidRPr="00B4515A">
        <w:rPr>
          <w:rFonts w:hint="eastAsia"/>
        </w:rPr>
        <w:t>个交易日或者</w:t>
      </w:r>
      <w:r w:rsidRPr="00B4515A">
        <w:t>120</w:t>
      </w:r>
      <w:r w:rsidRPr="00B4515A">
        <w:rPr>
          <w:rFonts w:hint="eastAsia"/>
        </w:rPr>
        <w:t>个交易日的公司股票交易均价之一。定价基准日前若干个交易日公司股票交易均价＝定价基准日前若干个交易日公司股票交易总额</w:t>
      </w:r>
      <w:r w:rsidRPr="00B4515A">
        <w:t>/</w:t>
      </w:r>
      <w:r w:rsidRPr="00B4515A">
        <w:rPr>
          <w:rFonts w:hint="eastAsia"/>
        </w:rPr>
        <w:t>定价基准日前若干个交易日公司股票交易总量。</w:t>
      </w:r>
    </w:p>
    <w:p w14:paraId="0576B15A" w14:textId="77777777" w:rsidR="006416B0" w:rsidRPr="00B4515A" w:rsidRDefault="005E58C1" w:rsidP="003357B7">
      <w:pPr>
        <w:pStyle w:val="005"/>
        <w:spacing w:before="120" w:after="120"/>
        <w:ind w:firstLine="480"/>
      </w:pPr>
      <w:r w:rsidRPr="00B4515A">
        <w:rPr>
          <w:rFonts w:hint="eastAsia"/>
        </w:rPr>
        <w:t>上市公司定价基准日前</w:t>
      </w:r>
      <w:r w:rsidRPr="00B4515A">
        <w:t>20</w:t>
      </w:r>
      <w:r w:rsidRPr="00B4515A">
        <w:rPr>
          <w:rFonts w:hint="eastAsia"/>
        </w:rPr>
        <w:t>个交易日、</w:t>
      </w:r>
      <w:r w:rsidRPr="00B4515A">
        <w:t>60</w:t>
      </w:r>
      <w:r w:rsidRPr="00B4515A">
        <w:rPr>
          <w:rFonts w:hint="eastAsia"/>
        </w:rPr>
        <w:t>个交易日、</w:t>
      </w:r>
      <w:r w:rsidRPr="00B4515A">
        <w:t>120</w:t>
      </w:r>
      <w:r w:rsidRPr="00B4515A">
        <w:rPr>
          <w:rFonts w:hint="eastAsia"/>
        </w:rPr>
        <w:t>个交易日</w:t>
      </w:r>
      <w:r w:rsidRPr="00B4515A">
        <w:t>A</w:t>
      </w:r>
      <w:r w:rsidRPr="00B4515A">
        <w:rPr>
          <w:rFonts w:hint="eastAsia"/>
        </w:rPr>
        <w:t>股股票交易均价具体情况如下表所示：</w:t>
      </w:r>
      <w:r w:rsidRPr="00B4515A">
        <w:t xml:space="preserve"> </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843"/>
        <w:gridCol w:w="2842"/>
        <w:gridCol w:w="2843"/>
      </w:tblGrid>
      <w:tr w:rsidR="006416B0" w:rsidRPr="00B4515A" w14:paraId="72A09591" w14:textId="77777777" w:rsidTr="00031627">
        <w:trPr>
          <w:trHeight w:val="340"/>
          <w:jc w:val="center"/>
        </w:trPr>
        <w:tc>
          <w:tcPr>
            <w:tcW w:w="2767" w:type="dxa"/>
            <w:tcMar>
              <w:top w:w="0" w:type="dxa"/>
              <w:left w:w="108" w:type="dxa"/>
              <w:bottom w:w="0" w:type="dxa"/>
              <w:right w:w="108" w:type="dxa"/>
            </w:tcMar>
            <w:vAlign w:val="center"/>
          </w:tcPr>
          <w:p w14:paraId="357E802B"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股票交易均价计算区间</w:t>
            </w:r>
          </w:p>
        </w:tc>
        <w:tc>
          <w:tcPr>
            <w:tcW w:w="2767" w:type="dxa"/>
            <w:tcMar>
              <w:top w:w="0" w:type="dxa"/>
              <w:left w:w="108" w:type="dxa"/>
              <w:bottom w:w="0" w:type="dxa"/>
              <w:right w:w="108" w:type="dxa"/>
            </w:tcMar>
            <w:vAlign w:val="center"/>
          </w:tcPr>
          <w:p w14:paraId="5107CD7C"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交易均价（元</w:t>
            </w:r>
            <w:r w:rsidRPr="00B4515A">
              <w:rPr>
                <w:rFonts w:ascii="Times New Roman" w:hAnsi="Times New Roman" w:cs="Times New Roman"/>
                <w:b/>
                <w:bCs/>
                <w:sz w:val="21"/>
                <w:szCs w:val="21"/>
              </w:rPr>
              <w:t>/</w:t>
            </w:r>
            <w:r w:rsidRPr="00B4515A">
              <w:rPr>
                <w:rFonts w:ascii="Times New Roman" w:hAnsi="Times New Roman" w:cs="Times New Roman" w:hint="eastAsia"/>
                <w:b/>
                <w:bCs/>
                <w:sz w:val="21"/>
                <w:szCs w:val="21"/>
              </w:rPr>
              <w:t>股）</w:t>
            </w:r>
          </w:p>
        </w:tc>
        <w:tc>
          <w:tcPr>
            <w:tcW w:w="2768" w:type="dxa"/>
            <w:tcMar>
              <w:top w:w="0" w:type="dxa"/>
              <w:left w:w="108" w:type="dxa"/>
              <w:bottom w:w="0" w:type="dxa"/>
              <w:right w:w="108" w:type="dxa"/>
            </w:tcMar>
            <w:vAlign w:val="center"/>
          </w:tcPr>
          <w:p w14:paraId="3362DC0C" w14:textId="77777777" w:rsidR="006416B0" w:rsidRPr="00B4515A" w:rsidRDefault="005E58C1" w:rsidP="005860B4">
            <w:pPr>
              <w:adjustRightInd w:val="0"/>
              <w:snapToGrid w:val="0"/>
              <w:jc w:val="center"/>
              <w:rPr>
                <w:rFonts w:ascii="Times New Roman" w:hAnsi="Times New Roman" w:cs="Times New Roman"/>
                <w:b/>
                <w:bCs/>
                <w:sz w:val="21"/>
                <w:szCs w:val="21"/>
              </w:rPr>
            </w:pPr>
            <w:r w:rsidRPr="00B4515A">
              <w:rPr>
                <w:rFonts w:ascii="Times New Roman" w:hAnsi="Times New Roman" w:cs="Times New Roman" w:hint="eastAsia"/>
                <w:b/>
                <w:bCs/>
                <w:sz w:val="21"/>
                <w:szCs w:val="21"/>
              </w:rPr>
              <w:t>交易均价的</w:t>
            </w:r>
            <w:r w:rsidRPr="00B4515A">
              <w:rPr>
                <w:rFonts w:ascii="Times New Roman" w:hAnsi="Times New Roman" w:cs="Times New Roman"/>
                <w:b/>
                <w:bCs/>
                <w:sz w:val="21"/>
                <w:szCs w:val="21"/>
              </w:rPr>
              <w:t>90%</w:t>
            </w:r>
            <w:r w:rsidRPr="00B4515A">
              <w:rPr>
                <w:rFonts w:ascii="Times New Roman" w:hAnsi="Times New Roman" w:cs="Times New Roman" w:hint="eastAsia"/>
                <w:b/>
                <w:bCs/>
                <w:sz w:val="21"/>
                <w:szCs w:val="21"/>
              </w:rPr>
              <w:t>（元</w:t>
            </w:r>
            <w:r w:rsidRPr="00B4515A">
              <w:rPr>
                <w:rFonts w:ascii="Times New Roman" w:hAnsi="Times New Roman" w:cs="Times New Roman"/>
                <w:b/>
                <w:bCs/>
                <w:sz w:val="21"/>
                <w:szCs w:val="21"/>
              </w:rPr>
              <w:t>/</w:t>
            </w:r>
            <w:r w:rsidRPr="00B4515A">
              <w:rPr>
                <w:rFonts w:ascii="Times New Roman" w:hAnsi="Times New Roman" w:cs="Times New Roman" w:hint="eastAsia"/>
                <w:b/>
                <w:bCs/>
                <w:sz w:val="21"/>
                <w:szCs w:val="21"/>
              </w:rPr>
              <w:t>股）</w:t>
            </w:r>
          </w:p>
        </w:tc>
      </w:tr>
      <w:tr w:rsidR="006416B0" w:rsidRPr="00B4515A" w14:paraId="10AA74D5" w14:textId="77777777" w:rsidTr="00031627">
        <w:trPr>
          <w:trHeight w:val="340"/>
          <w:jc w:val="center"/>
        </w:trPr>
        <w:tc>
          <w:tcPr>
            <w:tcW w:w="2767" w:type="dxa"/>
            <w:tcMar>
              <w:top w:w="0" w:type="dxa"/>
              <w:left w:w="108" w:type="dxa"/>
              <w:bottom w:w="0" w:type="dxa"/>
              <w:right w:w="108" w:type="dxa"/>
            </w:tcMar>
            <w:vAlign w:val="center"/>
          </w:tcPr>
          <w:p w14:paraId="1596DA62"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前</w:t>
            </w:r>
            <w:r w:rsidRPr="00B4515A">
              <w:rPr>
                <w:rFonts w:ascii="Times New Roman" w:hAnsi="Times New Roman" w:cs="Times New Roman"/>
                <w:sz w:val="21"/>
                <w:szCs w:val="21"/>
              </w:rPr>
              <w:t>20</w:t>
            </w:r>
            <w:r w:rsidRPr="00B4515A">
              <w:rPr>
                <w:rFonts w:ascii="Times New Roman" w:hAnsi="Times New Roman" w:cs="Times New Roman" w:hint="eastAsia"/>
                <w:sz w:val="21"/>
                <w:szCs w:val="21"/>
              </w:rPr>
              <w:t>个交易日</w:t>
            </w:r>
          </w:p>
        </w:tc>
        <w:tc>
          <w:tcPr>
            <w:tcW w:w="2767" w:type="dxa"/>
            <w:tcMar>
              <w:top w:w="0" w:type="dxa"/>
              <w:left w:w="108" w:type="dxa"/>
              <w:bottom w:w="0" w:type="dxa"/>
              <w:right w:w="108" w:type="dxa"/>
            </w:tcMar>
            <w:vAlign w:val="center"/>
          </w:tcPr>
          <w:p w14:paraId="57449B12"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6.54</w:t>
            </w:r>
          </w:p>
        </w:tc>
        <w:tc>
          <w:tcPr>
            <w:tcW w:w="2768" w:type="dxa"/>
            <w:tcMar>
              <w:top w:w="0" w:type="dxa"/>
              <w:left w:w="108" w:type="dxa"/>
              <w:bottom w:w="0" w:type="dxa"/>
              <w:right w:w="108" w:type="dxa"/>
            </w:tcMar>
            <w:vAlign w:val="center"/>
          </w:tcPr>
          <w:p w14:paraId="7DFDE79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5.886</w:t>
            </w:r>
          </w:p>
        </w:tc>
      </w:tr>
      <w:tr w:rsidR="006416B0" w:rsidRPr="00B4515A" w14:paraId="47D233C2" w14:textId="77777777" w:rsidTr="00031627">
        <w:trPr>
          <w:trHeight w:val="340"/>
          <w:jc w:val="center"/>
        </w:trPr>
        <w:tc>
          <w:tcPr>
            <w:tcW w:w="2767" w:type="dxa"/>
            <w:tcMar>
              <w:top w:w="0" w:type="dxa"/>
              <w:left w:w="108" w:type="dxa"/>
              <w:bottom w:w="0" w:type="dxa"/>
              <w:right w:w="108" w:type="dxa"/>
            </w:tcMar>
            <w:vAlign w:val="center"/>
          </w:tcPr>
          <w:p w14:paraId="7650D54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前</w:t>
            </w:r>
            <w:r w:rsidRPr="00B4515A">
              <w:rPr>
                <w:rFonts w:ascii="Times New Roman" w:hAnsi="Times New Roman" w:cs="Times New Roman"/>
                <w:sz w:val="21"/>
                <w:szCs w:val="21"/>
              </w:rPr>
              <w:t>60</w:t>
            </w:r>
            <w:r w:rsidRPr="00B4515A">
              <w:rPr>
                <w:rFonts w:ascii="Times New Roman" w:hAnsi="Times New Roman" w:cs="Times New Roman" w:hint="eastAsia"/>
                <w:sz w:val="21"/>
                <w:szCs w:val="21"/>
              </w:rPr>
              <w:t>个交易日</w:t>
            </w:r>
          </w:p>
        </w:tc>
        <w:tc>
          <w:tcPr>
            <w:tcW w:w="2767" w:type="dxa"/>
            <w:tcMar>
              <w:top w:w="0" w:type="dxa"/>
              <w:left w:w="108" w:type="dxa"/>
              <w:bottom w:w="0" w:type="dxa"/>
              <w:right w:w="108" w:type="dxa"/>
            </w:tcMar>
            <w:vAlign w:val="center"/>
          </w:tcPr>
          <w:p w14:paraId="16133D6B"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6.49</w:t>
            </w:r>
          </w:p>
        </w:tc>
        <w:tc>
          <w:tcPr>
            <w:tcW w:w="2768" w:type="dxa"/>
            <w:tcMar>
              <w:top w:w="0" w:type="dxa"/>
              <w:left w:w="108" w:type="dxa"/>
              <w:bottom w:w="0" w:type="dxa"/>
              <w:right w:w="108" w:type="dxa"/>
            </w:tcMar>
            <w:vAlign w:val="center"/>
          </w:tcPr>
          <w:p w14:paraId="7B27FAE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5.841</w:t>
            </w:r>
          </w:p>
        </w:tc>
      </w:tr>
      <w:tr w:rsidR="006416B0" w:rsidRPr="00B4515A" w14:paraId="22DA89DD" w14:textId="77777777" w:rsidTr="00031627">
        <w:trPr>
          <w:trHeight w:val="340"/>
          <w:jc w:val="center"/>
        </w:trPr>
        <w:tc>
          <w:tcPr>
            <w:tcW w:w="2767" w:type="dxa"/>
            <w:tcMar>
              <w:top w:w="0" w:type="dxa"/>
              <w:left w:w="108" w:type="dxa"/>
              <w:bottom w:w="0" w:type="dxa"/>
              <w:right w:w="108" w:type="dxa"/>
            </w:tcMar>
            <w:vAlign w:val="center"/>
          </w:tcPr>
          <w:p w14:paraId="66187569" w14:textId="77777777" w:rsidR="006416B0" w:rsidRPr="00B4515A" w:rsidRDefault="005E58C1" w:rsidP="005860B4">
            <w:pPr>
              <w:adjustRightInd w:val="0"/>
              <w:snapToGrid w:val="0"/>
              <w:jc w:val="center"/>
              <w:rPr>
                <w:rFonts w:ascii="Times New Roman" w:hAnsi="Times New Roman" w:cs="Times New Roman"/>
                <w:sz w:val="21"/>
                <w:szCs w:val="21"/>
              </w:rPr>
            </w:pPr>
            <w:r w:rsidRPr="00B4515A">
              <w:rPr>
                <w:rFonts w:ascii="Times New Roman" w:hAnsi="Times New Roman" w:cs="Times New Roman" w:hint="eastAsia"/>
                <w:sz w:val="21"/>
                <w:szCs w:val="21"/>
              </w:rPr>
              <w:t>前</w:t>
            </w:r>
            <w:r w:rsidRPr="00B4515A">
              <w:rPr>
                <w:rFonts w:ascii="Times New Roman" w:hAnsi="Times New Roman" w:cs="Times New Roman"/>
                <w:sz w:val="21"/>
                <w:szCs w:val="21"/>
              </w:rPr>
              <w:t>120</w:t>
            </w:r>
            <w:r w:rsidRPr="00B4515A">
              <w:rPr>
                <w:rFonts w:ascii="Times New Roman" w:hAnsi="Times New Roman" w:cs="Times New Roman" w:hint="eastAsia"/>
                <w:sz w:val="21"/>
                <w:szCs w:val="21"/>
              </w:rPr>
              <w:t>个交易日</w:t>
            </w:r>
          </w:p>
        </w:tc>
        <w:tc>
          <w:tcPr>
            <w:tcW w:w="2767" w:type="dxa"/>
            <w:tcMar>
              <w:top w:w="0" w:type="dxa"/>
              <w:left w:w="108" w:type="dxa"/>
              <w:bottom w:w="0" w:type="dxa"/>
              <w:right w:w="108" w:type="dxa"/>
            </w:tcMar>
            <w:vAlign w:val="center"/>
          </w:tcPr>
          <w:p w14:paraId="535D387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8.60</w:t>
            </w:r>
          </w:p>
        </w:tc>
        <w:tc>
          <w:tcPr>
            <w:tcW w:w="2768" w:type="dxa"/>
            <w:tcMar>
              <w:top w:w="0" w:type="dxa"/>
              <w:left w:w="108" w:type="dxa"/>
              <w:bottom w:w="0" w:type="dxa"/>
              <w:right w:w="108" w:type="dxa"/>
            </w:tcMar>
            <w:vAlign w:val="center"/>
          </w:tcPr>
          <w:p w14:paraId="3A4C796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7.740</w:t>
            </w:r>
          </w:p>
        </w:tc>
      </w:tr>
    </w:tbl>
    <w:p w14:paraId="34E79929" w14:textId="77777777" w:rsidR="006416B0" w:rsidRPr="00B4515A" w:rsidRDefault="005E58C1" w:rsidP="003357B7">
      <w:pPr>
        <w:pStyle w:val="005"/>
        <w:spacing w:before="120" w:after="120"/>
        <w:ind w:firstLine="480"/>
      </w:pPr>
      <w:r w:rsidRPr="00B4515A">
        <w:rPr>
          <w:rFonts w:hint="eastAsia"/>
        </w:rPr>
        <w:t>本次发行股份购买资产的发行价格为</w:t>
      </w:r>
      <w:r w:rsidRPr="00B4515A">
        <w:t>5.85</w:t>
      </w:r>
      <w:r w:rsidRPr="00B4515A">
        <w:rPr>
          <w:rFonts w:hint="eastAsia"/>
        </w:rPr>
        <w:t>元</w:t>
      </w:r>
      <w:r w:rsidRPr="00B4515A">
        <w:t>/</w:t>
      </w:r>
      <w:r w:rsidRPr="00B4515A">
        <w:rPr>
          <w:rFonts w:hint="eastAsia"/>
        </w:rPr>
        <w:t>股，不低于定价基准日前</w:t>
      </w:r>
      <w:r w:rsidRPr="00B4515A">
        <w:t>60</w:t>
      </w:r>
      <w:r w:rsidRPr="00B4515A">
        <w:rPr>
          <w:rFonts w:hint="eastAsia"/>
        </w:rPr>
        <w:t>个交易日上市公司股票交易均价的</w:t>
      </w:r>
      <w:r w:rsidRPr="00B4515A">
        <w:t>90%</w:t>
      </w:r>
      <w:r w:rsidRPr="00B4515A">
        <w:rPr>
          <w:rFonts w:hint="eastAsia"/>
        </w:rPr>
        <w:t>。</w:t>
      </w:r>
    </w:p>
    <w:p w14:paraId="33EB8460" w14:textId="77777777" w:rsidR="006416B0" w:rsidRPr="00B4515A" w:rsidRDefault="005E58C1" w:rsidP="003357B7">
      <w:pPr>
        <w:pStyle w:val="005"/>
        <w:spacing w:before="120" w:after="120"/>
        <w:ind w:firstLine="480"/>
      </w:pPr>
      <w:r w:rsidRPr="00B4515A">
        <w:rPr>
          <w:rFonts w:hint="eastAsia"/>
        </w:rPr>
        <w:t>在本次交易定价基准日至本次交易完成日期间，若上市公司发生派息、送红股、转增股本、增发新股或配股等除权、除息事项，则发行价格将按照法律法规及上交所的相关规定做相应调整。调整公式具体如下：</w:t>
      </w:r>
    </w:p>
    <w:p w14:paraId="6D421F7A" w14:textId="77777777" w:rsidR="006416B0" w:rsidRPr="00B4515A" w:rsidRDefault="005E58C1" w:rsidP="003357B7">
      <w:pPr>
        <w:pStyle w:val="005"/>
        <w:spacing w:before="120" w:after="120"/>
        <w:ind w:firstLine="480"/>
      </w:pPr>
      <w:r w:rsidRPr="00B4515A">
        <w:rPr>
          <w:rFonts w:hint="eastAsia"/>
        </w:rPr>
        <w:t>当送红股或转增股本时，按如下公式调整：</w:t>
      </w:r>
      <w:r w:rsidRPr="00B4515A">
        <w:t xml:space="preserve">P1=P0/(1+N) </w:t>
      </w:r>
    </w:p>
    <w:p w14:paraId="1CBE8BE6" w14:textId="77777777" w:rsidR="006416B0" w:rsidRPr="00B4515A" w:rsidRDefault="005E58C1" w:rsidP="003357B7">
      <w:pPr>
        <w:pStyle w:val="005"/>
        <w:spacing w:before="120" w:after="120"/>
        <w:ind w:firstLine="480"/>
      </w:pPr>
      <w:r w:rsidRPr="00B4515A">
        <w:rPr>
          <w:rFonts w:hint="eastAsia"/>
        </w:rPr>
        <w:t>当配股时，按如下公式调整：</w:t>
      </w:r>
      <w:r w:rsidRPr="00B4515A">
        <w:t>P1=</w:t>
      </w:r>
      <w:r w:rsidRPr="00B4515A">
        <w:rPr>
          <w:rFonts w:hint="eastAsia"/>
        </w:rPr>
        <w:t>（</w:t>
      </w:r>
      <w:r w:rsidRPr="00B4515A">
        <w:t>P0+A</w:t>
      </w:r>
      <w:r w:rsidRPr="00B4515A">
        <w:rPr>
          <w:rFonts w:hint="eastAsia"/>
        </w:rPr>
        <w:t>×</w:t>
      </w:r>
      <w:r w:rsidRPr="00B4515A">
        <w:t>K</w:t>
      </w:r>
      <w:r w:rsidRPr="00B4515A">
        <w:rPr>
          <w:rFonts w:hint="eastAsia"/>
        </w:rPr>
        <w:t>）</w:t>
      </w:r>
      <w:r w:rsidRPr="00B4515A">
        <w:t>/(1+K)</w:t>
      </w:r>
    </w:p>
    <w:p w14:paraId="5509C4B4" w14:textId="77777777" w:rsidR="006416B0" w:rsidRPr="00B4515A" w:rsidRDefault="005E58C1" w:rsidP="003357B7">
      <w:pPr>
        <w:pStyle w:val="005"/>
        <w:spacing w:before="120" w:after="120"/>
        <w:ind w:firstLine="480"/>
      </w:pPr>
      <w:r w:rsidRPr="00B4515A">
        <w:rPr>
          <w:rFonts w:hint="eastAsia"/>
        </w:rPr>
        <w:t>上述两项同时进行时，按如下公式调整：</w:t>
      </w:r>
      <w:r w:rsidRPr="00B4515A">
        <w:t>P1=(P0+A</w:t>
      </w:r>
      <w:r w:rsidRPr="00B4515A">
        <w:rPr>
          <w:rFonts w:hint="eastAsia"/>
        </w:rPr>
        <w:t>×</w:t>
      </w:r>
      <w:r w:rsidRPr="00B4515A">
        <w:t>K</w:t>
      </w:r>
      <w:r w:rsidRPr="00B4515A">
        <w:rPr>
          <w:rFonts w:hint="eastAsia"/>
        </w:rPr>
        <w:t>）</w:t>
      </w:r>
      <w:r w:rsidRPr="00B4515A">
        <w:t>/(1+N+K)</w:t>
      </w:r>
    </w:p>
    <w:p w14:paraId="72CC1889" w14:textId="77777777" w:rsidR="006416B0" w:rsidRPr="00B4515A" w:rsidRDefault="005E58C1" w:rsidP="003357B7">
      <w:pPr>
        <w:pStyle w:val="005"/>
        <w:spacing w:before="120" w:after="120"/>
        <w:ind w:firstLine="480"/>
      </w:pPr>
      <w:r w:rsidRPr="00B4515A">
        <w:rPr>
          <w:rFonts w:hint="eastAsia"/>
        </w:rPr>
        <w:t>当派发现金股利时，按如下公式调整：</w:t>
      </w:r>
      <w:r w:rsidRPr="00B4515A">
        <w:t>P1=P0-D</w:t>
      </w:r>
    </w:p>
    <w:p w14:paraId="1AD6363C" w14:textId="77777777" w:rsidR="006416B0" w:rsidRPr="00B4515A" w:rsidRDefault="005E58C1" w:rsidP="003357B7">
      <w:pPr>
        <w:pStyle w:val="005"/>
        <w:spacing w:before="120" w:after="120"/>
        <w:ind w:firstLine="480"/>
      </w:pPr>
      <w:r w:rsidRPr="00B4515A">
        <w:rPr>
          <w:rFonts w:hint="eastAsia"/>
        </w:rPr>
        <w:t>当上述三项同时进行时，按如下公式调整：</w:t>
      </w:r>
      <w:r w:rsidRPr="00B4515A">
        <w:t>P1=(P0-D+A</w:t>
      </w:r>
      <w:r w:rsidRPr="00B4515A">
        <w:rPr>
          <w:rFonts w:hint="eastAsia"/>
        </w:rPr>
        <w:t>×</w:t>
      </w:r>
      <w:r w:rsidRPr="00B4515A">
        <w:t>K)/(1+N+K)</w:t>
      </w:r>
    </w:p>
    <w:p w14:paraId="26EB5605" w14:textId="77777777" w:rsidR="006416B0" w:rsidRPr="00B4515A" w:rsidRDefault="005E58C1" w:rsidP="003357B7">
      <w:pPr>
        <w:pStyle w:val="005"/>
        <w:spacing w:before="120" w:after="120"/>
        <w:ind w:firstLine="480"/>
      </w:pPr>
      <w:r w:rsidRPr="00B4515A">
        <w:rPr>
          <w:rFonts w:hint="eastAsia"/>
        </w:rPr>
        <w:t>其中</w:t>
      </w:r>
      <w:r w:rsidRPr="00B4515A">
        <w:t>:</w:t>
      </w:r>
    </w:p>
    <w:p w14:paraId="2D4FB677" w14:textId="77777777" w:rsidR="006416B0" w:rsidRPr="00B4515A" w:rsidRDefault="005E58C1" w:rsidP="003357B7">
      <w:pPr>
        <w:pStyle w:val="005"/>
        <w:spacing w:before="120" w:after="120"/>
        <w:ind w:firstLine="480"/>
      </w:pPr>
      <w:r w:rsidRPr="00B4515A">
        <w:t xml:space="preserve">P0 </w:t>
      </w:r>
      <w:r w:rsidRPr="00B4515A">
        <w:rPr>
          <w:rFonts w:hint="eastAsia"/>
        </w:rPr>
        <w:t>为调整前有效的发行价格</w:t>
      </w:r>
    </w:p>
    <w:p w14:paraId="6617B2FE" w14:textId="77777777" w:rsidR="006416B0" w:rsidRPr="00B4515A" w:rsidRDefault="005E58C1" w:rsidP="003357B7">
      <w:pPr>
        <w:pStyle w:val="005"/>
        <w:spacing w:before="120" w:after="120"/>
        <w:ind w:firstLine="480"/>
      </w:pPr>
      <w:r w:rsidRPr="00B4515A">
        <w:lastRenderedPageBreak/>
        <w:t xml:space="preserve">P1 </w:t>
      </w:r>
      <w:r w:rsidRPr="00B4515A">
        <w:rPr>
          <w:rFonts w:hint="eastAsia"/>
        </w:rPr>
        <w:t>为调整后有效的发行价格</w:t>
      </w:r>
    </w:p>
    <w:p w14:paraId="363AAA38" w14:textId="77777777" w:rsidR="006416B0" w:rsidRPr="00B4515A" w:rsidRDefault="005E58C1" w:rsidP="003357B7">
      <w:pPr>
        <w:pStyle w:val="005"/>
        <w:spacing w:before="120" w:after="120"/>
        <w:ind w:firstLine="480"/>
      </w:pPr>
      <w:r w:rsidRPr="00B4515A">
        <w:t xml:space="preserve">D </w:t>
      </w:r>
      <w:r w:rsidRPr="00B4515A">
        <w:rPr>
          <w:rFonts w:hint="eastAsia"/>
        </w:rPr>
        <w:t>为该次每股派发现金股利</w:t>
      </w:r>
    </w:p>
    <w:p w14:paraId="03A0E80F" w14:textId="77777777" w:rsidR="006416B0" w:rsidRPr="00B4515A" w:rsidRDefault="005E58C1" w:rsidP="003357B7">
      <w:pPr>
        <w:pStyle w:val="005"/>
        <w:spacing w:before="120" w:after="120"/>
        <w:ind w:firstLine="480"/>
      </w:pPr>
      <w:r w:rsidRPr="00B4515A">
        <w:t xml:space="preserve">N </w:t>
      </w:r>
      <w:r w:rsidRPr="00B4515A">
        <w:rPr>
          <w:rFonts w:hint="eastAsia"/>
        </w:rPr>
        <w:t>为该次送股率或转增股本率</w:t>
      </w:r>
    </w:p>
    <w:p w14:paraId="4EF34663" w14:textId="77777777" w:rsidR="006416B0" w:rsidRPr="00B4515A" w:rsidRDefault="005E58C1" w:rsidP="003357B7">
      <w:pPr>
        <w:pStyle w:val="005"/>
        <w:spacing w:before="120" w:after="120"/>
        <w:ind w:firstLine="480"/>
      </w:pPr>
      <w:r w:rsidRPr="00B4515A">
        <w:t xml:space="preserve">K </w:t>
      </w:r>
      <w:r w:rsidRPr="00B4515A">
        <w:rPr>
          <w:rFonts w:hint="eastAsia"/>
        </w:rPr>
        <w:t>为配股率</w:t>
      </w:r>
    </w:p>
    <w:p w14:paraId="65E033FB" w14:textId="77777777" w:rsidR="006416B0" w:rsidRPr="00B4515A" w:rsidRDefault="005E58C1" w:rsidP="003357B7">
      <w:pPr>
        <w:pStyle w:val="005"/>
        <w:spacing w:before="120" w:after="120"/>
        <w:ind w:firstLine="480"/>
      </w:pPr>
      <w:r w:rsidRPr="00B4515A">
        <w:t xml:space="preserve">A </w:t>
      </w:r>
      <w:r w:rsidRPr="00B4515A">
        <w:rPr>
          <w:rFonts w:hint="eastAsia"/>
        </w:rPr>
        <w:t>为配股价</w:t>
      </w:r>
    </w:p>
    <w:p w14:paraId="6537133A" w14:textId="77777777" w:rsidR="006416B0" w:rsidRPr="00B4515A" w:rsidRDefault="005E58C1" w:rsidP="003357B7">
      <w:pPr>
        <w:pStyle w:val="004"/>
        <w:spacing w:before="120" w:after="120"/>
        <w:ind w:firstLine="482"/>
      </w:pPr>
      <w:r w:rsidRPr="00B4515A">
        <w:t>3</w:t>
      </w:r>
      <w:r w:rsidRPr="00B4515A">
        <w:rPr>
          <w:rFonts w:hint="eastAsia"/>
        </w:rPr>
        <w:t>、募集资金的定价</w:t>
      </w:r>
    </w:p>
    <w:p w14:paraId="0CE97941" w14:textId="77777777" w:rsidR="006416B0" w:rsidRPr="00B4515A" w:rsidRDefault="005E58C1" w:rsidP="003357B7">
      <w:pPr>
        <w:pStyle w:val="005"/>
        <w:spacing w:before="120" w:after="120"/>
        <w:ind w:firstLine="480"/>
      </w:pPr>
      <w:r w:rsidRPr="00B4515A">
        <w:rPr>
          <w:rFonts w:hint="eastAsia"/>
        </w:rPr>
        <w:t>本次募集配套资金定价基准日为上市公司审议本次发行股份购买资产并募集配套资金的第七届董事会第五十八次董事会决议公告日，发行价格为</w:t>
      </w:r>
      <w:r w:rsidRPr="00B4515A">
        <w:t>5.24</w:t>
      </w:r>
      <w:r w:rsidRPr="00B4515A">
        <w:rPr>
          <w:rFonts w:hint="eastAsia"/>
        </w:rPr>
        <w:t>元</w:t>
      </w:r>
      <w:r w:rsidRPr="00B4515A">
        <w:t>/</w:t>
      </w:r>
      <w:r w:rsidRPr="00B4515A">
        <w:rPr>
          <w:rFonts w:hint="eastAsia"/>
        </w:rPr>
        <w:t>股，不低于定价基准日前</w:t>
      </w:r>
      <w:r w:rsidRPr="00B4515A">
        <w:t>20</w:t>
      </w:r>
      <w:r w:rsidRPr="00B4515A">
        <w:rPr>
          <w:rFonts w:hint="eastAsia"/>
        </w:rPr>
        <w:t>个交易日上市公司</w:t>
      </w:r>
      <w:r w:rsidRPr="00B4515A">
        <w:t>A</w:t>
      </w:r>
      <w:r w:rsidRPr="00B4515A">
        <w:rPr>
          <w:rFonts w:hint="eastAsia"/>
        </w:rPr>
        <w:t>股股票交易均价的</w:t>
      </w:r>
      <w:r w:rsidRPr="00B4515A">
        <w:t>80%</w:t>
      </w:r>
      <w:r w:rsidRPr="00B4515A">
        <w:rPr>
          <w:rFonts w:hint="eastAsia"/>
        </w:rPr>
        <w:t>。</w:t>
      </w:r>
    </w:p>
    <w:p w14:paraId="73DD7CA4" w14:textId="77777777" w:rsidR="006416B0" w:rsidRPr="00B4515A" w:rsidRDefault="005E58C1" w:rsidP="003357B7">
      <w:pPr>
        <w:pStyle w:val="005"/>
        <w:spacing w:before="120" w:after="120"/>
        <w:ind w:firstLine="480"/>
      </w:pPr>
      <w:r w:rsidRPr="00B4515A">
        <w:rPr>
          <w:rFonts w:hint="eastAsia"/>
        </w:rPr>
        <w:t>在本次交易定价基准日至发行日期间，若上市公司股票发生派息、送红股、资本公积金转增股本、配股等除权除息事项，则发行价格将作相应调整。调整公式具体如下：</w:t>
      </w:r>
    </w:p>
    <w:p w14:paraId="13038B1A" w14:textId="77777777" w:rsidR="006416B0" w:rsidRPr="00B4515A" w:rsidRDefault="005E58C1" w:rsidP="003357B7">
      <w:pPr>
        <w:pStyle w:val="005"/>
        <w:spacing w:before="120" w:after="120"/>
        <w:ind w:firstLine="480"/>
      </w:pPr>
      <w:r w:rsidRPr="00B4515A">
        <w:rPr>
          <w:rFonts w:hint="eastAsia"/>
        </w:rPr>
        <w:t>当送红股或转增股本时，按如下公式调整：</w:t>
      </w:r>
      <w:r w:rsidRPr="00B4515A">
        <w:t xml:space="preserve">P1=P0/(1+N) </w:t>
      </w:r>
    </w:p>
    <w:p w14:paraId="09FC311A" w14:textId="77777777" w:rsidR="006416B0" w:rsidRPr="00B4515A" w:rsidRDefault="005E58C1" w:rsidP="003357B7">
      <w:pPr>
        <w:pStyle w:val="005"/>
        <w:spacing w:before="120" w:after="120"/>
        <w:ind w:firstLine="480"/>
      </w:pPr>
      <w:r w:rsidRPr="00B4515A">
        <w:rPr>
          <w:rFonts w:hint="eastAsia"/>
        </w:rPr>
        <w:t>当配股时，按如下公式调整：</w:t>
      </w:r>
      <w:r w:rsidRPr="00B4515A">
        <w:t>P1=</w:t>
      </w:r>
      <w:r w:rsidRPr="00B4515A">
        <w:rPr>
          <w:rFonts w:hint="eastAsia"/>
        </w:rPr>
        <w:t>（</w:t>
      </w:r>
      <w:r w:rsidRPr="00B4515A">
        <w:t>P0+A</w:t>
      </w:r>
      <w:r w:rsidRPr="00B4515A">
        <w:rPr>
          <w:rFonts w:hint="eastAsia"/>
        </w:rPr>
        <w:t>×</w:t>
      </w:r>
      <w:r w:rsidRPr="00B4515A">
        <w:t>K</w:t>
      </w:r>
      <w:r w:rsidRPr="00B4515A">
        <w:rPr>
          <w:rFonts w:hint="eastAsia"/>
        </w:rPr>
        <w:t>）</w:t>
      </w:r>
      <w:r w:rsidRPr="00B4515A">
        <w:t>/(1+K)</w:t>
      </w:r>
    </w:p>
    <w:p w14:paraId="2AF45EF4" w14:textId="77777777" w:rsidR="006416B0" w:rsidRPr="00B4515A" w:rsidRDefault="005E58C1" w:rsidP="003357B7">
      <w:pPr>
        <w:pStyle w:val="005"/>
        <w:spacing w:before="120" w:after="120"/>
        <w:ind w:firstLine="480"/>
      </w:pPr>
      <w:r w:rsidRPr="00B4515A">
        <w:rPr>
          <w:rFonts w:hint="eastAsia"/>
        </w:rPr>
        <w:t>上述两项同时进行时，按如下公式调整：</w:t>
      </w:r>
      <w:r w:rsidRPr="00B4515A">
        <w:t>P1=(P0+A</w:t>
      </w:r>
      <w:r w:rsidRPr="00B4515A">
        <w:rPr>
          <w:rFonts w:hint="eastAsia"/>
        </w:rPr>
        <w:t>×</w:t>
      </w:r>
      <w:r w:rsidRPr="00B4515A">
        <w:t>K</w:t>
      </w:r>
      <w:r w:rsidRPr="00B4515A">
        <w:rPr>
          <w:rFonts w:hint="eastAsia"/>
        </w:rPr>
        <w:t>）</w:t>
      </w:r>
      <w:r w:rsidRPr="00B4515A">
        <w:t>/(1+N+K)</w:t>
      </w:r>
    </w:p>
    <w:p w14:paraId="7BEB8C6E" w14:textId="77777777" w:rsidR="006416B0" w:rsidRPr="00B4515A" w:rsidRDefault="005E58C1" w:rsidP="003357B7">
      <w:pPr>
        <w:pStyle w:val="005"/>
        <w:spacing w:before="120" w:after="120"/>
        <w:ind w:firstLine="480"/>
      </w:pPr>
      <w:r w:rsidRPr="00B4515A">
        <w:rPr>
          <w:rFonts w:hint="eastAsia"/>
        </w:rPr>
        <w:t>当派发现金股利时，按如下公式调整：</w:t>
      </w:r>
      <w:r w:rsidRPr="00B4515A">
        <w:t>P1=P0-D</w:t>
      </w:r>
    </w:p>
    <w:p w14:paraId="16775758" w14:textId="77777777" w:rsidR="006416B0" w:rsidRPr="00B4515A" w:rsidRDefault="005E58C1" w:rsidP="003357B7">
      <w:pPr>
        <w:pStyle w:val="005"/>
        <w:spacing w:before="120" w:after="120"/>
        <w:ind w:firstLine="480"/>
      </w:pPr>
      <w:r w:rsidRPr="00B4515A">
        <w:rPr>
          <w:rFonts w:hint="eastAsia"/>
        </w:rPr>
        <w:t>当上述三项同时进行时，按如下公式调整：</w:t>
      </w:r>
      <w:r w:rsidRPr="00B4515A">
        <w:t>P1=(P0-D+A</w:t>
      </w:r>
      <w:r w:rsidRPr="00B4515A">
        <w:rPr>
          <w:rFonts w:hint="eastAsia"/>
        </w:rPr>
        <w:t>×</w:t>
      </w:r>
      <w:r w:rsidRPr="00B4515A">
        <w:t>K)/(1+N+K)</w:t>
      </w:r>
    </w:p>
    <w:p w14:paraId="7B5E7659" w14:textId="77777777" w:rsidR="006416B0" w:rsidRPr="00B4515A" w:rsidRDefault="005E58C1" w:rsidP="003357B7">
      <w:pPr>
        <w:pStyle w:val="005"/>
        <w:spacing w:before="120" w:after="120"/>
        <w:ind w:firstLine="480"/>
      </w:pPr>
      <w:r w:rsidRPr="00B4515A">
        <w:rPr>
          <w:rFonts w:hint="eastAsia"/>
        </w:rPr>
        <w:t>其中</w:t>
      </w:r>
      <w:r w:rsidRPr="00B4515A">
        <w:t>:</w:t>
      </w:r>
    </w:p>
    <w:p w14:paraId="71EF3B0D" w14:textId="77777777" w:rsidR="006416B0" w:rsidRPr="00B4515A" w:rsidRDefault="005E58C1" w:rsidP="003357B7">
      <w:pPr>
        <w:pStyle w:val="005"/>
        <w:spacing w:before="120" w:after="120"/>
        <w:ind w:firstLine="480"/>
      </w:pPr>
      <w:r w:rsidRPr="00B4515A">
        <w:t xml:space="preserve">P0 </w:t>
      </w:r>
      <w:r w:rsidRPr="00B4515A">
        <w:rPr>
          <w:rFonts w:hint="eastAsia"/>
        </w:rPr>
        <w:t>为调整前有效的发行价格</w:t>
      </w:r>
    </w:p>
    <w:p w14:paraId="01B95258" w14:textId="77777777" w:rsidR="006416B0" w:rsidRPr="00B4515A" w:rsidRDefault="005E58C1" w:rsidP="003357B7">
      <w:pPr>
        <w:pStyle w:val="005"/>
        <w:spacing w:before="120" w:after="120"/>
        <w:ind w:firstLine="480"/>
      </w:pPr>
      <w:r w:rsidRPr="00B4515A">
        <w:t xml:space="preserve">P1 </w:t>
      </w:r>
      <w:r w:rsidRPr="00B4515A">
        <w:rPr>
          <w:rFonts w:hint="eastAsia"/>
        </w:rPr>
        <w:t>为调整后有效的发行价格</w:t>
      </w:r>
    </w:p>
    <w:p w14:paraId="3D98ADBF" w14:textId="77777777" w:rsidR="006416B0" w:rsidRPr="00B4515A" w:rsidRDefault="005E58C1" w:rsidP="003357B7">
      <w:pPr>
        <w:pStyle w:val="005"/>
        <w:spacing w:before="120" w:after="120"/>
        <w:ind w:firstLine="480"/>
      </w:pPr>
      <w:r w:rsidRPr="00B4515A">
        <w:t xml:space="preserve">D </w:t>
      </w:r>
      <w:r w:rsidRPr="00B4515A">
        <w:rPr>
          <w:rFonts w:hint="eastAsia"/>
        </w:rPr>
        <w:t>为该次每股派发现金股利</w:t>
      </w:r>
    </w:p>
    <w:p w14:paraId="254E3F93" w14:textId="77777777" w:rsidR="006416B0" w:rsidRPr="00B4515A" w:rsidRDefault="005E58C1" w:rsidP="003357B7">
      <w:pPr>
        <w:pStyle w:val="005"/>
        <w:spacing w:before="120" w:after="120"/>
        <w:ind w:firstLine="480"/>
      </w:pPr>
      <w:r w:rsidRPr="00B4515A">
        <w:t xml:space="preserve">N </w:t>
      </w:r>
      <w:r w:rsidRPr="00B4515A">
        <w:rPr>
          <w:rFonts w:hint="eastAsia"/>
        </w:rPr>
        <w:t>为该次送股率或转增股本率。</w:t>
      </w:r>
    </w:p>
    <w:p w14:paraId="45E9A3F2" w14:textId="77777777" w:rsidR="006416B0" w:rsidRPr="00B4515A" w:rsidRDefault="005E58C1" w:rsidP="003357B7">
      <w:pPr>
        <w:pStyle w:val="005"/>
        <w:spacing w:before="120" w:after="120"/>
        <w:ind w:firstLine="480"/>
      </w:pPr>
      <w:r w:rsidRPr="00B4515A">
        <w:t xml:space="preserve">K </w:t>
      </w:r>
      <w:r w:rsidRPr="00B4515A">
        <w:rPr>
          <w:rFonts w:hint="eastAsia"/>
        </w:rPr>
        <w:t>为配股率</w:t>
      </w:r>
    </w:p>
    <w:p w14:paraId="2F4367F0" w14:textId="77777777" w:rsidR="006416B0" w:rsidRPr="00B4515A" w:rsidRDefault="005E58C1" w:rsidP="003357B7">
      <w:pPr>
        <w:pStyle w:val="005"/>
        <w:spacing w:before="120" w:after="120"/>
        <w:ind w:firstLine="480"/>
      </w:pPr>
      <w:r w:rsidRPr="00B4515A">
        <w:t xml:space="preserve">A </w:t>
      </w:r>
      <w:r w:rsidRPr="00B4515A">
        <w:rPr>
          <w:rFonts w:hint="eastAsia"/>
        </w:rPr>
        <w:t>为配股价</w:t>
      </w:r>
    </w:p>
    <w:p w14:paraId="47F720AD" w14:textId="77777777" w:rsidR="006416B0" w:rsidRPr="00B4515A" w:rsidRDefault="005E58C1" w:rsidP="003357B7">
      <w:pPr>
        <w:pStyle w:val="005"/>
        <w:spacing w:before="120" w:after="120"/>
        <w:ind w:firstLine="480"/>
      </w:pPr>
      <w:r w:rsidRPr="00B4515A">
        <w:rPr>
          <w:rFonts w:hint="eastAsia"/>
        </w:rPr>
        <w:t>在定价基准日至发行日期间，如中国证监会对发行价格进行政策调整的，则</w:t>
      </w:r>
      <w:r w:rsidRPr="00B4515A">
        <w:rPr>
          <w:rFonts w:hint="eastAsia"/>
        </w:rPr>
        <w:lastRenderedPageBreak/>
        <w:t>本次非公开发行</w:t>
      </w:r>
      <w:r w:rsidRPr="00B4515A">
        <w:t>A</w:t>
      </w:r>
      <w:r w:rsidRPr="00B4515A">
        <w:rPr>
          <w:rFonts w:hint="eastAsia"/>
        </w:rPr>
        <w:t>股股票的发行价格将做相应调整。</w:t>
      </w:r>
    </w:p>
    <w:p w14:paraId="6EAD796B" w14:textId="77777777" w:rsidR="006416B0" w:rsidRPr="00B4515A" w:rsidRDefault="005E58C1" w:rsidP="003357B7">
      <w:pPr>
        <w:pStyle w:val="004"/>
        <w:spacing w:before="120" w:after="120"/>
        <w:ind w:firstLine="482"/>
      </w:pPr>
      <w:r w:rsidRPr="00B4515A">
        <w:t>4</w:t>
      </w:r>
      <w:r w:rsidRPr="00B4515A">
        <w:rPr>
          <w:rFonts w:hint="eastAsia"/>
        </w:rPr>
        <w:t>、本次交易程序合法合规</w:t>
      </w:r>
    </w:p>
    <w:p w14:paraId="1017DF48" w14:textId="77777777" w:rsidR="006416B0" w:rsidRPr="00B4515A" w:rsidRDefault="005E58C1" w:rsidP="003357B7">
      <w:pPr>
        <w:pStyle w:val="005"/>
        <w:spacing w:before="120" w:after="120"/>
        <w:ind w:firstLine="480"/>
      </w:pPr>
      <w:r w:rsidRPr="00B4515A">
        <w:rPr>
          <w:rFonts w:hint="eastAsia"/>
        </w:rPr>
        <w:t>本次交易依法进行，由上市公司董事会提出方案，聘请独立财务顾问、律师和具有证券期货业务资格的审计机构、评估机构等中介机构出具相关报告；本次交易已经公司董事会审议通过，本次交易尚须上市公司股东大会的批准。本次交易过程严格履行法律程序，充分保护全体股东利益，尤其是中小股东的利益，不存在损害上市公司及全体股东权益的情形。</w:t>
      </w:r>
    </w:p>
    <w:p w14:paraId="7EDD85B9" w14:textId="77777777" w:rsidR="006416B0" w:rsidRPr="00B4515A" w:rsidRDefault="005E58C1" w:rsidP="003357B7">
      <w:pPr>
        <w:pStyle w:val="005"/>
        <w:spacing w:before="120" w:after="120"/>
        <w:ind w:firstLine="480"/>
      </w:pPr>
      <w:r w:rsidRPr="00B4515A">
        <w:rPr>
          <w:rFonts w:hint="eastAsia"/>
        </w:rPr>
        <w:t>综上，</w:t>
      </w:r>
      <w:r w:rsidRPr="00B4515A">
        <w:t>本次交易资产定价公允，不存在损害上市公司和股东合法权益的情形</w:t>
      </w:r>
      <w:r w:rsidRPr="00B4515A">
        <w:rPr>
          <w:rFonts w:hint="eastAsia"/>
        </w:rPr>
        <w:t>。</w:t>
      </w:r>
    </w:p>
    <w:p w14:paraId="13600FBB" w14:textId="77777777" w:rsidR="006416B0" w:rsidRPr="00B4515A" w:rsidRDefault="005E58C1" w:rsidP="003357B7">
      <w:pPr>
        <w:pStyle w:val="003"/>
        <w:spacing w:before="120"/>
        <w:ind w:firstLine="482"/>
      </w:pPr>
      <w:r w:rsidRPr="00B4515A">
        <w:rPr>
          <w:rFonts w:hint="eastAsia"/>
        </w:rPr>
        <w:t>（</w:t>
      </w:r>
      <w:r w:rsidRPr="00B4515A">
        <w:t>四</w:t>
      </w:r>
      <w:r w:rsidRPr="00B4515A">
        <w:rPr>
          <w:rFonts w:hint="eastAsia"/>
        </w:rPr>
        <w:t>）</w:t>
      </w:r>
      <w:r w:rsidRPr="00B4515A">
        <w:t>本次交易所涉及的资产权属清晰，资产过户或者转移不存在法律障碍，相关债权债务处理合法</w:t>
      </w:r>
    </w:p>
    <w:p w14:paraId="674846C8" w14:textId="77777777" w:rsidR="006416B0" w:rsidRPr="00B4515A" w:rsidRDefault="005E58C1" w:rsidP="003357B7">
      <w:pPr>
        <w:pStyle w:val="005"/>
        <w:spacing w:before="120" w:after="120"/>
        <w:ind w:firstLine="480"/>
      </w:pPr>
      <w:r w:rsidRPr="00B4515A">
        <w:rPr>
          <w:rFonts w:hint="eastAsia"/>
        </w:rPr>
        <w:t>本次交易</w:t>
      </w:r>
      <w:r w:rsidRPr="00B4515A">
        <w:rPr>
          <w:rFonts w:ascii="Arial" w:hAnsi="Arial" w:cs="Arial" w:hint="eastAsia"/>
        </w:rPr>
        <w:t>上市公司拟购买大唐联</w:t>
      </w:r>
      <w:r w:rsidRPr="00B4515A">
        <w:t>诚</w:t>
      </w:r>
      <w:r w:rsidRPr="00B4515A">
        <w:t>95.001%</w:t>
      </w:r>
      <w:r w:rsidRPr="00B4515A">
        <w:rPr>
          <w:rFonts w:ascii="Arial" w:hAnsi="Arial" w:cs="Arial" w:hint="eastAsia"/>
        </w:rPr>
        <w:t>股权</w:t>
      </w:r>
      <w:r w:rsidRPr="00B4515A">
        <w:rPr>
          <w:rFonts w:hint="eastAsia"/>
        </w:rPr>
        <w:t>，该等股权权属清晰，不存在质押、冻结等限制权利转让的情形。大唐联诚系依法设立和有效存续的有限公司，不存在出资不实或影响其合法存续的情形。本次发行股份购买的标的资产不涉及债权、债务的处置。</w:t>
      </w:r>
    </w:p>
    <w:p w14:paraId="5AD05C4B" w14:textId="77777777" w:rsidR="006416B0" w:rsidRPr="00B4515A" w:rsidRDefault="005E58C1" w:rsidP="003357B7">
      <w:pPr>
        <w:pStyle w:val="005"/>
        <w:spacing w:before="120" w:after="120"/>
        <w:ind w:firstLine="480"/>
      </w:pPr>
      <w:r w:rsidRPr="00B4515A">
        <w:rPr>
          <w:rFonts w:ascii="Arial" w:hAnsi="Arial" w:cs="Arial"/>
        </w:rPr>
        <w:t>截至本报告书出具日</w:t>
      </w:r>
      <w:r w:rsidRPr="00B4515A">
        <w:rPr>
          <w:rFonts w:ascii="Arial" w:hAnsi="Arial" w:cs="Arial" w:hint="eastAsia"/>
        </w:rPr>
        <w:t>，</w:t>
      </w:r>
      <w:r w:rsidRPr="00B4515A">
        <w:rPr>
          <w:rFonts w:hint="eastAsia"/>
        </w:rPr>
        <w:t>本次交易所涉及的资产权属清晰，资产过户或者转移不存在法律障碍，不涉及相关债权债务的处置。</w:t>
      </w:r>
    </w:p>
    <w:p w14:paraId="067189D5" w14:textId="77777777" w:rsidR="006416B0" w:rsidRPr="00B4515A" w:rsidRDefault="005E58C1" w:rsidP="003357B7">
      <w:pPr>
        <w:pStyle w:val="003"/>
        <w:spacing w:before="120"/>
        <w:ind w:firstLine="482"/>
      </w:pPr>
      <w:r w:rsidRPr="00B4515A">
        <w:rPr>
          <w:rFonts w:hint="eastAsia"/>
        </w:rPr>
        <w:t>（</w:t>
      </w:r>
      <w:r w:rsidRPr="00B4515A">
        <w:t>五</w:t>
      </w:r>
      <w:r w:rsidRPr="00B4515A">
        <w:rPr>
          <w:rFonts w:hint="eastAsia"/>
        </w:rPr>
        <w:t>）</w:t>
      </w:r>
      <w:r w:rsidRPr="00B4515A">
        <w:t>本次交易有利于上市公司增强持续经营能力，不存在可能导致上市公司重组后主要资产为现金或者无具体经营业务的情形</w:t>
      </w:r>
    </w:p>
    <w:p w14:paraId="4CC16906" w14:textId="77777777" w:rsidR="006416B0" w:rsidRPr="00B4515A" w:rsidRDefault="005E58C1" w:rsidP="003357B7">
      <w:pPr>
        <w:pStyle w:val="005"/>
        <w:spacing w:before="120" w:after="120"/>
        <w:ind w:firstLine="480"/>
        <w:rPr>
          <w:color w:val="000000"/>
        </w:rPr>
      </w:pPr>
      <w:r w:rsidRPr="00B4515A">
        <w:rPr>
          <w:rFonts w:hint="eastAsia"/>
          <w:color w:val="000000"/>
        </w:rPr>
        <w:t>本次交易</w:t>
      </w:r>
      <w:r w:rsidRPr="00B4515A">
        <w:rPr>
          <w:rFonts w:hint="eastAsia"/>
        </w:rPr>
        <w:t>将为上市公司开拓新的业务增长点，上市公司将向特通信息化行业布局。本次交易完成后，大唐联诚将成为上市公司的子公司，纳入上市公司合并报表范围，有利于优化上市公司的收入结构，扩大上市公司的资产规模、收入和利润规模，增长上市公司未来的盈利能力，提升上市公司价值，增加股东的投资回报。</w:t>
      </w:r>
    </w:p>
    <w:p w14:paraId="32E6F14F" w14:textId="77777777" w:rsidR="006416B0" w:rsidRPr="00B4515A" w:rsidRDefault="005E58C1" w:rsidP="003357B7">
      <w:pPr>
        <w:pStyle w:val="005"/>
        <w:spacing w:before="120" w:after="120"/>
        <w:ind w:firstLine="480"/>
        <w:rPr>
          <w:color w:val="000000"/>
        </w:rPr>
      </w:pPr>
      <w:r w:rsidRPr="00B4515A">
        <w:rPr>
          <w:color w:val="000000"/>
        </w:rPr>
        <w:t>本次交易有利于上市公司增强持续经营能力，不存在可能导致上市公司重组后主要资产为现金或者无具体经营业务的情形。</w:t>
      </w:r>
    </w:p>
    <w:p w14:paraId="60C42D47" w14:textId="77777777" w:rsidR="006416B0" w:rsidRPr="00B4515A" w:rsidRDefault="005E58C1" w:rsidP="003357B7">
      <w:pPr>
        <w:pStyle w:val="003"/>
        <w:spacing w:before="120"/>
        <w:ind w:firstLine="482"/>
      </w:pPr>
      <w:r w:rsidRPr="00B4515A">
        <w:rPr>
          <w:rFonts w:hint="eastAsia"/>
        </w:rPr>
        <w:lastRenderedPageBreak/>
        <w:t>（</w:t>
      </w:r>
      <w:r w:rsidRPr="00B4515A">
        <w:t>六</w:t>
      </w:r>
      <w:r w:rsidRPr="00B4515A">
        <w:rPr>
          <w:rFonts w:hint="eastAsia"/>
        </w:rPr>
        <w:t>）</w:t>
      </w:r>
      <w:r w:rsidRPr="00B4515A">
        <w:t>本次交易有利于上市公司在业务、资产、</w:t>
      </w:r>
      <w:r w:rsidRPr="00B4515A">
        <w:rPr>
          <w:rFonts w:hint="eastAsia"/>
        </w:rPr>
        <w:t>财务</w:t>
      </w:r>
      <w:r w:rsidRPr="00B4515A">
        <w:t>、人员、机构等方面与实际控制人及其关联方保持独立，符合中国证监会关于上市公司独立性的相关规定</w:t>
      </w:r>
    </w:p>
    <w:p w14:paraId="6109E4DE" w14:textId="77777777" w:rsidR="006416B0" w:rsidRPr="00B4515A" w:rsidRDefault="005E58C1" w:rsidP="003357B7">
      <w:pPr>
        <w:pStyle w:val="005"/>
        <w:spacing w:before="120" w:after="120"/>
        <w:ind w:firstLine="480"/>
      </w:pPr>
      <w:r w:rsidRPr="00B4515A">
        <w:t>本次交易前，上市公司在业务、资产、财务、人员、机构等方面与实际控制人及其关联方保持独立，且不存在违反证监会关于上市公司独立性相关规定的情形。</w:t>
      </w:r>
    </w:p>
    <w:p w14:paraId="539DFDF3" w14:textId="77777777" w:rsidR="006416B0" w:rsidRPr="00B4515A" w:rsidRDefault="005E58C1" w:rsidP="003357B7">
      <w:pPr>
        <w:pStyle w:val="005"/>
        <w:spacing w:before="120" w:after="120"/>
        <w:ind w:firstLine="480"/>
      </w:pPr>
      <w:r w:rsidRPr="00B4515A">
        <w:t>本次交易完成后，上市公司实际控制人不会发生变更，上市公司仍将在业务、资产、财务、人员、机构等方面与实际控制人及其关联方继续保持独立，并严格按照相关规定执行。</w:t>
      </w:r>
    </w:p>
    <w:p w14:paraId="6F24434B" w14:textId="77777777" w:rsidR="006416B0" w:rsidRPr="00B4515A" w:rsidRDefault="005E58C1" w:rsidP="003357B7">
      <w:pPr>
        <w:pStyle w:val="005"/>
        <w:spacing w:before="120" w:after="120"/>
        <w:ind w:firstLine="480"/>
      </w:pPr>
      <w:r w:rsidRPr="00B4515A">
        <w:t>因此，本次交易有利于上市公司在业务、资产、财务、人员、机构等方面与实际控制人及其关联方保持独立，符合中国证监会关于上市公司独立性的相关规定。</w:t>
      </w:r>
    </w:p>
    <w:p w14:paraId="5D36834A" w14:textId="77777777" w:rsidR="006416B0" w:rsidRPr="00B4515A" w:rsidRDefault="005E58C1" w:rsidP="003357B7">
      <w:pPr>
        <w:pStyle w:val="003"/>
        <w:spacing w:before="120"/>
        <w:ind w:firstLine="482"/>
      </w:pPr>
      <w:r w:rsidRPr="00B4515A">
        <w:rPr>
          <w:rFonts w:hint="eastAsia"/>
        </w:rPr>
        <w:t>（</w:t>
      </w:r>
      <w:r w:rsidRPr="00B4515A">
        <w:t>七</w:t>
      </w:r>
      <w:r w:rsidRPr="00B4515A">
        <w:rPr>
          <w:rFonts w:hint="eastAsia"/>
        </w:rPr>
        <w:t>）</w:t>
      </w:r>
      <w:r w:rsidRPr="00B4515A">
        <w:t>本次交易有利于上市公司形成或者保持健全有效的法人治理结构</w:t>
      </w:r>
    </w:p>
    <w:p w14:paraId="0F578F38" w14:textId="77777777" w:rsidR="006416B0" w:rsidRPr="00B4515A" w:rsidRDefault="005E58C1" w:rsidP="003357B7">
      <w:pPr>
        <w:pStyle w:val="005"/>
        <w:spacing w:before="120" w:after="120"/>
        <w:ind w:firstLine="480"/>
      </w:pPr>
      <w:r w:rsidRPr="00B4515A">
        <w:rPr>
          <w:rFonts w:hint="eastAsia"/>
        </w:rPr>
        <w:t>本次交易前，上市公司已设立股东大会、董事会、监事会等组织机构并制定相应的议事规则，从制度上保证股东大会、董事会和监事会的规范运作和依法行使职责，上市公司具有健全的组织结构和完善的法人治理结构。本次交易不会改变上市公司的法人治理结构。</w:t>
      </w:r>
    </w:p>
    <w:p w14:paraId="2D1E08F3" w14:textId="77777777" w:rsidR="006416B0" w:rsidRPr="00B4515A" w:rsidRDefault="005E58C1" w:rsidP="003357B7">
      <w:pPr>
        <w:pStyle w:val="005"/>
        <w:spacing w:before="120" w:after="120"/>
        <w:ind w:firstLine="480"/>
      </w:pPr>
      <w:r w:rsidRPr="00B4515A">
        <w:rPr>
          <w:rFonts w:hint="eastAsia"/>
        </w:rPr>
        <w:t>本次交易完成后，上市公司仍将严格按照《公司法》、《证券法》和《上市公司治理准则》等法律法规及公司章程的要求规范运作，不断完善公司法人治理结构。</w:t>
      </w:r>
    </w:p>
    <w:p w14:paraId="744A0F31" w14:textId="77777777" w:rsidR="006416B0" w:rsidRPr="00B4515A" w:rsidRDefault="005E58C1" w:rsidP="003357B7">
      <w:pPr>
        <w:pStyle w:val="005"/>
        <w:spacing w:before="120" w:after="120"/>
        <w:ind w:firstLine="480"/>
        <w:rPr>
          <w:color w:val="000000"/>
        </w:rPr>
      </w:pPr>
      <w:r w:rsidRPr="00B4515A">
        <w:rPr>
          <w:color w:val="000000"/>
        </w:rPr>
        <w:t>综上所述，本次交易符合</w:t>
      </w:r>
      <w:r w:rsidRPr="00B4515A">
        <w:t>《重组管理办法》</w:t>
      </w:r>
      <w:r w:rsidRPr="00B4515A">
        <w:rPr>
          <w:color w:val="000000"/>
        </w:rPr>
        <w:t>第十一条</w:t>
      </w:r>
      <w:r w:rsidRPr="00B4515A">
        <w:rPr>
          <w:rFonts w:hint="eastAsia"/>
          <w:color w:val="000000"/>
        </w:rPr>
        <w:t>的</w:t>
      </w:r>
      <w:r w:rsidRPr="00B4515A">
        <w:rPr>
          <w:color w:val="000000"/>
        </w:rPr>
        <w:t>规定</w:t>
      </w:r>
      <w:bookmarkEnd w:id="305"/>
      <w:r w:rsidRPr="00B4515A">
        <w:rPr>
          <w:rFonts w:hint="eastAsia"/>
          <w:color w:val="000000"/>
        </w:rPr>
        <w:t>。</w:t>
      </w:r>
    </w:p>
    <w:p w14:paraId="5835BE7D" w14:textId="77777777" w:rsidR="006416B0" w:rsidRPr="00B4515A" w:rsidRDefault="005E58C1" w:rsidP="003357B7">
      <w:pPr>
        <w:pStyle w:val="002"/>
        <w:spacing w:before="120" w:after="120"/>
        <w:ind w:firstLine="562"/>
      </w:pPr>
      <w:bookmarkStart w:id="308" w:name="_Toc80960564"/>
      <w:r w:rsidRPr="00B4515A">
        <w:rPr>
          <w:rFonts w:hint="eastAsia"/>
        </w:rPr>
        <w:t>二、</w:t>
      </w:r>
      <w:r w:rsidRPr="00B4515A">
        <w:t>本次交易不适用《重组管理办法》第十三条的说明</w:t>
      </w:r>
      <w:bookmarkEnd w:id="308"/>
    </w:p>
    <w:p w14:paraId="20D9ACA3" w14:textId="77777777" w:rsidR="006416B0" w:rsidRPr="00B4515A" w:rsidRDefault="005E58C1" w:rsidP="003357B7">
      <w:pPr>
        <w:pStyle w:val="005"/>
        <w:spacing w:before="120" w:after="120"/>
        <w:ind w:firstLine="480"/>
      </w:pPr>
      <w:r w:rsidRPr="00B4515A">
        <w:rPr>
          <w:rFonts w:hint="eastAsia"/>
        </w:rPr>
        <w:t>本次交易前三十六个月内，公司控股股东为电信科研院，中国信科集团为电信科研院的控股股东，实际控制人为国务院国资委。本次交易完成后，公司控股股东为中国信科集团，实际控制人仍为国务院国资委。本次交易未导致上市公司控制权发生变化，不属于《重组管理办法》第十三条规定的重组上市。</w:t>
      </w:r>
    </w:p>
    <w:p w14:paraId="59C099EB" w14:textId="77777777" w:rsidR="006416B0" w:rsidRPr="00B4515A" w:rsidRDefault="005E58C1" w:rsidP="003357B7">
      <w:pPr>
        <w:pStyle w:val="002"/>
        <w:spacing w:before="120" w:after="120"/>
        <w:ind w:firstLine="562"/>
      </w:pPr>
      <w:bookmarkStart w:id="309" w:name="_Toc80960565"/>
      <w:r w:rsidRPr="00B4515A">
        <w:rPr>
          <w:rFonts w:hint="eastAsia"/>
        </w:rPr>
        <w:lastRenderedPageBreak/>
        <w:t>三、本次交易符合《重组管理办法》第四十三条要求的说明</w:t>
      </w:r>
      <w:bookmarkEnd w:id="309"/>
    </w:p>
    <w:p w14:paraId="4CDDA8C2" w14:textId="77777777" w:rsidR="006416B0" w:rsidRPr="00B4515A" w:rsidRDefault="005E58C1" w:rsidP="003357B7">
      <w:pPr>
        <w:pStyle w:val="003"/>
        <w:spacing w:before="120"/>
        <w:ind w:firstLine="482"/>
      </w:pPr>
      <w:bookmarkStart w:id="310" w:name="_Hlk76935882"/>
      <w:r w:rsidRPr="00B4515A">
        <w:rPr>
          <w:rFonts w:hint="eastAsia"/>
        </w:rPr>
        <w:t>（一）本次交易有利于提高上市公司资产质量、改善公司财务状况和增强持续盈利能力</w:t>
      </w:r>
    </w:p>
    <w:p w14:paraId="6E9FF2E4" w14:textId="77777777" w:rsidR="006416B0" w:rsidRPr="00B4515A" w:rsidRDefault="005E58C1" w:rsidP="003357B7">
      <w:pPr>
        <w:pStyle w:val="005"/>
        <w:spacing w:before="120" w:after="120"/>
        <w:ind w:firstLine="480"/>
        <w:rPr>
          <w:color w:val="000000"/>
        </w:rPr>
      </w:pPr>
      <w:r w:rsidRPr="00B4515A">
        <w:rPr>
          <w:rFonts w:hint="eastAsia"/>
        </w:rPr>
        <w:t>本次交易将为上市公司开拓新的业务增长点，上市公司将向特通信息化行业布局。本次交易完成后，大唐联诚将成为上市公司的子公司，纳入上市公司合并报表范围，有利于优化上市公司的收入结构，扩大上市公司的资产规模、收入和利润规模，增强上市公司的盈利能力。</w:t>
      </w:r>
    </w:p>
    <w:p w14:paraId="0935FB8F" w14:textId="77777777" w:rsidR="006416B0" w:rsidRPr="00B4515A" w:rsidRDefault="005E58C1" w:rsidP="003357B7">
      <w:pPr>
        <w:pStyle w:val="003"/>
        <w:spacing w:before="120"/>
        <w:ind w:firstLine="482"/>
      </w:pPr>
      <w:r w:rsidRPr="00B4515A">
        <w:rPr>
          <w:rFonts w:hint="eastAsia"/>
        </w:rPr>
        <w:t>（二）本次交易有利于上市公司减少关联交易、避免同业竞争、增强独立性</w:t>
      </w:r>
    </w:p>
    <w:p w14:paraId="7700519F" w14:textId="77777777" w:rsidR="006416B0" w:rsidRPr="00B4515A" w:rsidRDefault="005E58C1" w:rsidP="003357B7">
      <w:pPr>
        <w:pStyle w:val="004"/>
        <w:spacing w:before="120" w:after="120"/>
        <w:ind w:firstLine="482"/>
        <w:rPr>
          <w:color w:val="000000"/>
        </w:rPr>
      </w:pPr>
      <w:r w:rsidRPr="00B4515A">
        <w:t>1</w:t>
      </w:r>
      <w:r w:rsidRPr="00B4515A">
        <w:rPr>
          <w:rFonts w:hint="eastAsia"/>
        </w:rPr>
        <w:t>、本次交易对上市公司关联交易的影响</w:t>
      </w:r>
    </w:p>
    <w:p w14:paraId="79574487" w14:textId="1F19F85C" w:rsidR="0043740A" w:rsidRPr="00B4515A" w:rsidRDefault="0043740A" w:rsidP="003357B7">
      <w:pPr>
        <w:pStyle w:val="005"/>
        <w:spacing w:before="120" w:after="120"/>
        <w:ind w:firstLine="480"/>
      </w:pPr>
      <w:r w:rsidRPr="00B4515A">
        <w:t>本次重组完成后，标的公司纳入大唐电信合并范围内，大唐电信及其子公司与标的公司的关联交易金额将在合并报表层面抵消，</w:t>
      </w:r>
      <w:r w:rsidRPr="00B4515A">
        <w:rPr>
          <w:rFonts w:hint="eastAsia"/>
        </w:rPr>
        <w:t>本次交易有利于减少上市公司关联交易。</w:t>
      </w:r>
    </w:p>
    <w:p w14:paraId="072DC9DC" w14:textId="77777777" w:rsidR="006416B0" w:rsidRPr="00B4515A" w:rsidRDefault="005E58C1" w:rsidP="003357B7">
      <w:pPr>
        <w:pStyle w:val="005"/>
        <w:spacing w:before="120" w:after="120"/>
        <w:ind w:firstLine="480"/>
        <w:rPr>
          <w:color w:val="000000"/>
        </w:rPr>
      </w:pPr>
      <w:r w:rsidRPr="00B4515A">
        <w:rPr>
          <w:rFonts w:hint="eastAsia"/>
          <w:color w:val="000000"/>
        </w:rPr>
        <w:t>本次交易对上市公司关联交易的影响，具体详见本报告书</w:t>
      </w:r>
      <w:r w:rsidRPr="00B4515A">
        <w:rPr>
          <w:rFonts w:ascii="宋体" w:hAnsi="宋体" w:hint="eastAsia"/>
          <w:color w:val="000000"/>
        </w:rPr>
        <w:t>“</w:t>
      </w:r>
      <w:r w:rsidRPr="00B4515A">
        <w:rPr>
          <w:rFonts w:hint="eastAsia"/>
          <w:color w:val="000000"/>
        </w:rPr>
        <w:t>第十一节</w:t>
      </w:r>
      <w:r w:rsidRPr="00B4515A">
        <w:rPr>
          <w:rFonts w:hint="eastAsia"/>
          <w:color w:val="000000"/>
        </w:rPr>
        <w:t xml:space="preserve"> </w:t>
      </w:r>
      <w:r w:rsidRPr="00B4515A">
        <w:rPr>
          <w:rFonts w:hint="eastAsia"/>
          <w:color w:val="000000"/>
        </w:rPr>
        <w:t>同业竞争与关联交易</w:t>
      </w:r>
      <w:r w:rsidRPr="00B4515A">
        <w:rPr>
          <w:rFonts w:ascii="宋体" w:hAnsi="宋体" w:hint="eastAsia"/>
          <w:color w:val="000000"/>
        </w:rPr>
        <w:t>”</w:t>
      </w:r>
      <w:r w:rsidRPr="00B4515A">
        <w:rPr>
          <w:rFonts w:hint="eastAsia"/>
          <w:color w:val="000000"/>
        </w:rPr>
        <w:t>之</w:t>
      </w:r>
      <w:r w:rsidRPr="00B4515A">
        <w:rPr>
          <w:rFonts w:ascii="宋体" w:hAnsi="宋体" w:hint="eastAsia"/>
          <w:color w:val="000000"/>
        </w:rPr>
        <w:t>“</w:t>
      </w:r>
      <w:r w:rsidRPr="00B4515A">
        <w:rPr>
          <w:rFonts w:hint="eastAsia"/>
          <w:color w:val="000000"/>
        </w:rPr>
        <w:t>三、本次交易对关联交易的影响</w:t>
      </w:r>
      <w:r w:rsidRPr="00B4515A">
        <w:rPr>
          <w:rFonts w:ascii="宋体" w:hAnsi="宋体" w:hint="eastAsia"/>
          <w:color w:val="000000"/>
        </w:rPr>
        <w:t>”</w:t>
      </w:r>
      <w:r w:rsidRPr="00B4515A">
        <w:rPr>
          <w:rFonts w:hint="eastAsia"/>
          <w:color w:val="000000"/>
        </w:rPr>
        <w:t>。</w:t>
      </w:r>
    </w:p>
    <w:p w14:paraId="02A5B8B8" w14:textId="77777777" w:rsidR="006416B0" w:rsidRPr="00B4515A" w:rsidRDefault="005E58C1" w:rsidP="003357B7">
      <w:pPr>
        <w:pStyle w:val="004"/>
        <w:spacing w:before="120" w:after="120"/>
        <w:ind w:firstLine="482"/>
      </w:pPr>
      <w:r w:rsidRPr="00B4515A">
        <w:t>2</w:t>
      </w:r>
      <w:r w:rsidRPr="00B4515A">
        <w:rPr>
          <w:rFonts w:hint="eastAsia"/>
        </w:rPr>
        <w:t>、本次交易对上市公司同业竞争的影响</w:t>
      </w:r>
    </w:p>
    <w:p w14:paraId="2AAC1C5F" w14:textId="77777777" w:rsidR="006416B0" w:rsidRPr="00B4515A" w:rsidRDefault="005E58C1" w:rsidP="003357B7">
      <w:pPr>
        <w:pStyle w:val="005"/>
        <w:spacing w:before="120" w:after="120"/>
        <w:ind w:firstLine="480"/>
      </w:pPr>
      <w:r w:rsidRPr="00B4515A">
        <w:rPr>
          <w:rFonts w:hint="eastAsia"/>
        </w:rPr>
        <w:t>本次交易完成前，上市公司与控股股东电信科研院及其控制的关联方之间不存在同业竞争情况。</w:t>
      </w:r>
    </w:p>
    <w:p w14:paraId="27C944D4" w14:textId="77777777" w:rsidR="006416B0" w:rsidRPr="00B4515A" w:rsidRDefault="005E58C1" w:rsidP="003357B7">
      <w:pPr>
        <w:pStyle w:val="005"/>
        <w:spacing w:before="120" w:after="120"/>
        <w:ind w:firstLine="480"/>
      </w:pPr>
      <w:r w:rsidRPr="00B4515A">
        <w:rPr>
          <w:rFonts w:hint="eastAsia"/>
        </w:rPr>
        <w:t>本次交易完成后，上市公司控股股东为中国信科集团，大唐联诚将成为上市公司的子公司，不会导致上市公司与控股股东控制的关联方之间产生同业竞争的情况。</w:t>
      </w:r>
    </w:p>
    <w:p w14:paraId="6F623B1A" w14:textId="77777777" w:rsidR="006416B0" w:rsidRPr="00B4515A" w:rsidRDefault="005E58C1" w:rsidP="003357B7">
      <w:pPr>
        <w:pStyle w:val="005"/>
        <w:spacing w:before="120" w:after="120"/>
        <w:ind w:firstLine="480"/>
      </w:pPr>
      <w:r w:rsidRPr="00B4515A">
        <w:rPr>
          <w:rFonts w:hint="eastAsia"/>
        </w:rPr>
        <w:t>本次交易对上市公司同业竞争的影响，具体详见本报告书</w:t>
      </w:r>
      <w:r w:rsidRPr="00B4515A">
        <w:rPr>
          <w:rFonts w:ascii="宋体" w:hAnsi="宋体" w:hint="eastAsia"/>
        </w:rPr>
        <w:t>“</w:t>
      </w:r>
      <w:r w:rsidRPr="00B4515A">
        <w:rPr>
          <w:rFonts w:hint="eastAsia"/>
        </w:rPr>
        <w:t>第十一节</w:t>
      </w:r>
      <w:r w:rsidRPr="00B4515A">
        <w:rPr>
          <w:rFonts w:hint="eastAsia"/>
        </w:rPr>
        <w:t xml:space="preserve"> </w:t>
      </w:r>
      <w:r w:rsidRPr="00B4515A">
        <w:rPr>
          <w:rFonts w:hint="eastAsia"/>
        </w:rPr>
        <w:t>同业竞争与关联交易</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一</w:t>
      </w:r>
      <w:r w:rsidRPr="00B4515A">
        <w:t>、</w:t>
      </w:r>
      <w:r w:rsidRPr="00B4515A">
        <w:rPr>
          <w:rFonts w:hint="eastAsia"/>
        </w:rPr>
        <w:t>本次交易对同业竞争的影响</w:t>
      </w:r>
      <w:r w:rsidRPr="00B4515A">
        <w:rPr>
          <w:rFonts w:ascii="宋体" w:hAnsi="宋体" w:hint="eastAsia"/>
        </w:rPr>
        <w:t>”</w:t>
      </w:r>
      <w:r w:rsidRPr="00B4515A">
        <w:rPr>
          <w:rFonts w:hint="eastAsia"/>
        </w:rPr>
        <w:t>。</w:t>
      </w:r>
    </w:p>
    <w:p w14:paraId="2682363B" w14:textId="77777777" w:rsidR="006416B0" w:rsidRPr="00B4515A" w:rsidRDefault="005E58C1" w:rsidP="003357B7">
      <w:pPr>
        <w:pStyle w:val="004"/>
        <w:spacing w:before="120" w:after="120"/>
        <w:ind w:firstLine="482"/>
      </w:pPr>
      <w:r w:rsidRPr="00B4515A">
        <w:rPr>
          <w:rFonts w:hint="eastAsia"/>
        </w:rPr>
        <w:t>3</w:t>
      </w:r>
      <w:r w:rsidRPr="00B4515A">
        <w:rPr>
          <w:rFonts w:hint="eastAsia"/>
        </w:rPr>
        <w:t>、本次交易对上市公司独立性的影响</w:t>
      </w:r>
    </w:p>
    <w:p w14:paraId="6C672A8E" w14:textId="77777777" w:rsidR="006416B0" w:rsidRPr="00B4515A" w:rsidRDefault="005E58C1" w:rsidP="003357B7">
      <w:pPr>
        <w:pStyle w:val="005"/>
        <w:spacing w:before="120" w:after="120"/>
        <w:ind w:firstLine="480"/>
      </w:pPr>
      <w:r w:rsidRPr="00B4515A">
        <w:rPr>
          <w:rFonts w:hint="eastAsia"/>
        </w:rPr>
        <w:t>本次交易前上市公司与控股股东及其关联方保持独立，符合中国证监会关于上市公司独立性的相关规定；本次交易完成后上市公司与控股股东及其关联方仍</w:t>
      </w:r>
      <w:r w:rsidRPr="00B4515A">
        <w:rPr>
          <w:rFonts w:hint="eastAsia"/>
        </w:rPr>
        <w:lastRenderedPageBreak/>
        <w:t>继续保持独立，符合中国证监会关于上市公司独立性的相关规定。本次交易不会影响上市公司独立性。</w:t>
      </w:r>
    </w:p>
    <w:p w14:paraId="4CD88179" w14:textId="77777777" w:rsidR="006416B0" w:rsidRPr="00B4515A" w:rsidRDefault="005E58C1" w:rsidP="003357B7">
      <w:pPr>
        <w:pStyle w:val="005"/>
        <w:spacing w:before="120" w:after="120"/>
        <w:ind w:firstLine="480"/>
      </w:pPr>
      <w:r w:rsidRPr="00B4515A">
        <w:rPr>
          <w:rFonts w:hint="eastAsia"/>
        </w:rPr>
        <w:t>综上所述，本次交易有利于上市公司减少关联交易和避免同业竞争，有利于上市公司继续保持独立性。</w:t>
      </w:r>
    </w:p>
    <w:p w14:paraId="28EBCA69" w14:textId="77777777" w:rsidR="006416B0" w:rsidRPr="00B4515A" w:rsidRDefault="005E58C1" w:rsidP="003357B7">
      <w:pPr>
        <w:pStyle w:val="004"/>
        <w:spacing w:before="120" w:after="120"/>
        <w:ind w:firstLine="482"/>
      </w:pPr>
      <w:r w:rsidRPr="00B4515A">
        <w:rPr>
          <w:rFonts w:hint="eastAsia"/>
        </w:rPr>
        <w:t>（三）注册会计师为上市公司最近一年财务会计报告出具了无保留意见审计报告</w:t>
      </w:r>
    </w:p>
    <w:p w14:paraId="78C0F49C" w14:textId="77777777" w:rsidR="006416B0" w:rsidRPr="00B4515A" w:rsidRDefault="005E58C1" w:rsidP="003357B7">
      <w:pPr>
        <w:pStyle w:val="005"/>
        <w:spacing w:before="120" w:after="120"/>
        <w:ind w:firstLine="480"/>
      </w:pPr>
      <w:r w:rsidRPr="00B4515A">
        <w:rPr>
          <w:rFonts w:hint="eastAsia"/>
        </w:rPr>
        <w:t>上市公司</w:t>
      </w:r>
      <w:r w:rsidRPr="00B4515A">
        <w:rPr>
          <w:rFonts w:hint="eastAsia"/>
        </w:rPr>
        <w:t>2</w:t>
      </w:r>
      <w:r w:rsidRPr="00B4515A">
        <w:t>020</w:t>
      </w:r>
      <w:r w:rsidRPr="00B4515A">
        <w:t>年度的财务报告经立信会计师事务所（特殊普通合伙）审计，并出具了</w:t>
      </w:r>
      <w:r w:rsidRPr="00B4515A">
        <w:rPr>
          <w:rFonts w:hint="eastAsia"/>
        </w:rPr>
        <w:t>非标准</w:t>
      </w:r>
      <w:r w:rsidRPr="00B4515A">
        <w:t>无保留意见的《审计报告》</w:t>
      </w:r>
      <w:r w:rsidRPr="00B4515A">
        <w:rPr>
          <w:rFonts w:hint="eastAsia"/>
        </w:rPr>
        <w:t>（</w:t>
      </w:r>
      <w:r w:rsidRPr="00B4515A">
        <w:t>信会师报字</w:t>
      </w:r>
      <w:r w:rsidRPr="00B4515A">
        <w:rPr>
          <w:rFonts w:hint="eastAsia"/>
        </w:rPr>
        <w:t>［</w:t>
      </w:r>
      <w:r w:rsidRPr="00B4515A">
        <w:t>2021</w:t>
      </w:r>
      <w:r w:rsidRPr="00B4515A">
        <w:rPr>
          <w:rFonts w:hint="eastAsia"/>
        </w:rPr>
        <w:t>］第</w:t>
      </w:r>
      <w:r w:rsidRPr="00B4515A">
        <w:rPr>
          <w:rFonts w:hint="eastAsia"/>
        </w:rPr>
        <w:t>ZG</w:t>
      </w:r>
      <w:r w:rsidRPr="00B4515A">
        <w:t>11031</w:t>
      </w:r>
      <w:r w:rsidRPr="00B4515A">
        <w:t>号</w:t>
      </w:r>
      <w:r w:rsidRPr="00B4515A">
        <w:rPr>
          <w:rFonts w:hint="eastAsia"/>
        </w:rPr>
        <w:t>）</w:t>
      </w:r>
      <w:r w:rsidRPr="00B4515A">
        <w:t>，符合《重组管理办法》第四十三条第</w:t>
      </w:r>
      <w:r w:rsidRPr="00B4515A">
        <w:rPr>
          <w:rFonts w:hint="eastAsia"/>
        </w:rPr>
        <w:t>（二）</w:t>
      </w:r>
      <w:r w:rsidRPr="00B4515A">
        <w:t>项的规定。</w:t>
      </w:r>
    </w:p>
    <w:p w14:paraId="1D74F60A" w14:textId="77777777" w:rsidR="006416B0" w:rsidRPr="00B4515A" w:rsidRDefault="005E58C1" w:rsidP="003357B7">
      <w:pPr>
        <w:pStyle w:val="003"/>
        <w:spacing w:before="120"/>
        <w:ind w:firstLine="482"/>
      </w:pPr>
      <w:r w:rsidRPr="00B4515A">
        <w:rPr>
          <w:rFonts w:hint="eastAsia"/>
        </w:rPr>
        <w:t>（</w:t>
      </w:r>
      <w:r w:rsidRPr="00B4515A">
        <w:t>四</w:t>
      </w:r>
      <w:r w:rsidRPr="00B4515A">
        <w:rPr>
          <w:rFonts w:hint="eastAsia"/>
        </w:rPr>
        <w:t>）</w:t>
      </w:r>
      <w:r w:rsidRPr="00B4515A">
        <w:t>上市公司及其现任董事、高级管理人员不存在因涉嫌犯罪正被司法机关立案侦查或涉嫌违法违规正被中国证监会立案调查的情形</w:t>
      </w:r>
    </w:p>
    <w:p w14:paraId="2B0FB0BB" w14:textId="77777777" w:rsidR="006416B0" w:rsidRPr="00B4515A" w:rsidRDefault="005E58C1" w:rsidP="003357B7">
      <w:pPr>
        <w:pStyle w:val="005"/>
        <w:spacing w:before="120" w:after="120"/>
        <w:ind w:firstLine="480"/>
      </w:pPr>
      <w:r w:rsidRPr="00B4515A">
        <w:rPr>
          <w:rFonts w:hint="eastAsia"/>
        </w:rPr>
        <w:t>截至本报告书出具日，大唐电信</w:t>
      </w:r>
      <w:r w:rsidRPr="00B4515A">
        <w:t>及其现任董事、高级管理人员不存在因涉嫌犯罪正被司法机关立案侦查或涉嫌违法违规正被中国证监会立案调查的情形</w:t>
      </w:r>
      <w:r w:rsidRPr="00B4515A">
        <w:rPr>
          <w:rFonts w:hint="eastAsia"/>
        </w:rPr>
        <w:t>。</w:t>
      </w:r>
    </w:p>
    <w:p w14:paraId="13FBBA45" w14:textId="77777777" w:rsidR="006416B0" w:rsidRPr="00B4515A" w:rsidRDefault="005E58C1" w:rsidP="003357B7">
      <w:pPr>
        <w:pStyle w:val="003"/>
        <w:spacing w:before="120"/>
        <w:ind w:firstLine="482"/>
      </w:pPr>
      <w:r w:rsidRPr="00B4515A">
        <w:rPr>
          <w:rFonts w:hint="eastAsia"/>
        </w:rPr>
        <w:t>（</w:t>
      </w:r>
      <w:r w:rsidRPr="00B4515A">
        <w:t>五</w:t>
      </w:r>
      <w:r w:rsidRPr="00B4515A">
        <w:rPr>
          <w:rFonts w:hint="eastAsia"/>
        </w:rPr>
        <w:t>）</w:t>
      </w:r>
      <w:r w:rsidRPr="00B4515A">
        <w:t>本次发行股份所购买的资产，为权属清晰的经营性资产，并能在约定期限内办理完毕权属转移手续</w:t>
      </w:r>
    </w:p>
    <w:p w14:paraId="3B25B5B8" w14:textId="77777777" w:rsidR="006416B0" w:rsidRPr="00B4515A" w:rsidRDefault="005E58C1" w:rsidP="003357B7">
      <w:pPr>
        <w:pStyle w:val="005"/>
        <w:spacing w:before="120" w:after="120"/>
        <w:ind w:firstLine="480"/>
      </w:pPr>
      <w:r w:rsidRPr="00B4515A">
        <w:t>本次交易</w:t>
      </w:r>
      <w:r w:rsidRPr="00B4515A">
        <w:rPr>
          <w:rFonts w:hint="eastAsia"/>
        </w:rPr>
        <w:t>上市公司拟购买大唐联</w:t>
      </w:r>
      <w:r w:rsidRPr="00B4515A">
        <w:t>诚</w:t>
      </w:r>
      <w:r w:rsidRPr="00B4515A">
        <w:t>95.001%</w:t>
      </w:r>
      <w:r w:rsidRPr="00B4515A">
        <w:rPr>
          <w:rFonts w:hint="eastAsia"/>
        </w:rPr>
        <w:t>股权</w:t>
      </w:r>
      <w:r w:rsidRPr="00B4515A">
        <w:t>。截至本报告书出具日</w:t>
      </w:r>
      <w:r w:rsidRPr="00B4515A">
        <w:rPr>
          <w:rFonts w:hint="eastAsia"/>
        </w:rPr>
        <w:t>，</w:t>
      </w:r>
      <w:r w:rsidRPr="00B4515A">
        <w:t>该等股权权属清晰，不存在质押、冻结等限制权利转让的情形，在相关法律程序和先决条件得到适当履行的情形下，上市公司本次发行股份所购买的标的资产办理完毕权属转移手续不存在实质法律障碍。</w:t>
      </w:r>
    </w:p>
    <w:p w14:paraId="30B926B7" w14:textId="77777777" w:rsidR="006416B0" w:rsidRPr="00B4515A" w:rsidRDefault="005E58C1" w:rsidP="003357B7">
      <w:pPr>
        <w:pStyle w:val="005"/>
        <w:spacing w:before="120" w:after="120"/>
        <w:ind w:firstLine="480"/>
        <w:rPr>
          <w:color w:val="000000"/>
        </w:rPr>
      </w:pPr>
      <w:r w:rsidRPr="00B4515A">
        <w:rPr>
          <w:rFonts w:hint="eastAsia"/>
          <w:color w:val="000000"/>
        </w:rPr>
        <w:t>综上所述，本次交易符合</w:t>
      </w:r>
      <w:r w:rsidRPr="00B4515A">
        <w:t>《重组管理办法》</w:t>
      </w:r>
      <w:r w:rsidRPr="00B4515A">
        <w:rPr>
          <w:color w:val="000000"/>
        </w:rPr>
        <w:t>第四十三条</w:t>
      </w:r>
      <w:r w:rsidRPr="00B4515A">
        <w:rPr>
          <w:rFonts w:hint="eastAsia"/>
          <w:color w:val="000000"/>
        </w:rPr>
        <w:t>的相关规定</w:t>
      </w:r>
      <w:bookmarkEnd w:id="310"/>
      <w:r w:rsidRPr="00B4515A">
        <w:rPr>
          <w:rFonts w:hint="eastAsia"/>
          <w:color w:val="000000"/>
        </w:rPr>
        <w:t>。</w:t>
      </w:r>
    </w:p>
    <w:p w14:paraId="4A0F1046" w14:textId="77777777" w:rsidR="006416B0" w:rsidRPr="00B4515A" w:rsidRDefault="005E58C1" w:rsidP="003357B7">
      <w:pPr>
        <w:pStyle w:val="002"/>
        <w:spacing w:before="120" w:after="120"/>
        <w:ind w:firstLine="562"/>
      </w:pPr>
      <w:bookmarkStart w:id="311" w:name="_Toc80960566"/>
      <w:r w:rsidRPr="00B4515A">
        <w:rPr>
          <w:rFonts w:hint="eastAsia"/>
        </w:rPr>
        <w:t>四、本次交易符合《重组管理办法》第四十四条及其适用意见要求的说明</w:t>
      </w:r>
      <w:bookmarkEnd w:id="311"/>
    </w:p>
    <w:p w14:paraId="3EF02672" w14:textId="77777777" w:rsidR="006416B0" w:rsidRPr="00B4515A" w:rsidRDefault="005E58C1" w:rsidP="003357B7">
      <w:pPr>
        <w:pStyle w:val="005"/>
        <w:spacing w:before="120" w:after="120"/>
        <w:ind w:firstLine="480"/>
      </w:pPr>
      <w:bookmarkStart w:id="312" w:name="_Hlk76935910"/>
      <w:r w:rsidRPr="00B4515A">
        <w:rPr>
          <w:rFonts w:hint="eastAsia"/>
        </w:rPr>
        <w:t>《重组管理办法》第四十四条规定：</w:t>
      </w:r>
      <w:r w:rsidRPr="00B4515A">
        <w:rPr>
          <w:rFonts w:ascii="宋体" w:hAnsi="宋体" w:hint="eastAsia"/>
        </w:rPr>
        <w:t>“</w:t>
      </w:r>
      <w:r w:rsidRPr="00B4515A">
        <w:rPr>
          <w:rFonts w:hint="eastAsia"/>
        </w:rPr>
        <w:t>上市公司发行股份购买资产的，可以同时募集部分配套资金，其定价方式按照现行相关规定办理。</w:t>
      </w:r>
      <w:r w:rsidRPr="00B4515A">
        <w:rPr>
          <w:rFonts w:ascii="宋体" w:hAnsi="宋体" w:hint="eastAsia"/>
        </w:rPr>
        <w:t>”</w:t>
      </w:r>
    </w:p>
    <w:p w14:paraId="1DFFB52A" w14:textId="77777777" w:rsidR="006416B0" w:rsidRPr="00B4515A" w:rsidRDefault="005E58C1" w:rsidP="003357B7">
      <w:pPr>
        <w:pStyle w:val="005"/>
        <w:spacing w:before="120" w:after="120"/>
        <w:ind w:firstLine="480"/>
      </w:pPr>
      <w:r w:rsidRPr="00B4515A">
        <w:rPr>
          <w:rFonts w:hint="eastAsia"/>
        </w:rPr>
        <w:t>根据中国证监会《监管规则适用指引——上市类第</w:t>
      </w:r>
      <w:r w:rsidRPr="00B4515A">
        <w:t>1</w:t>
      </w:r>
      <w:r w:rsidRPr="00B4515A">
        <w:rPr>
          <w:rFonts w:hint="eastAsia"/>
        </w:rPr>
        <w:t>号》之规定，上市公司发行股份购买资产同时募集的部分配套资金，所配套资金比例不超过拟购买资产交易价格</w:t>
      </w:r>
      <w:r w:rsidRPr="00B4515A">
        <w:t>100%</w:t>
      </w:r>
      <w:r w:rsidRPr="00B4515A">
        <w:rPr>
          <w:rFonts w:hint="eastAsia"/>
        </w:rPr>
        <w:t>的，一并由并购重组审核委员会予以审核。</w:t>
      </w:r>
    </w:p>
    <w:p w14:paraId="75D5C640" w14:textId="77777777" w:rsidR="006416B0" w:rsidRPr="00B4515A" w:rsidRDefault="005E58C1" w:rsidP="003357B7">
      <w:pPr>
        <w:pStyle w:val="005"/>
        <w:spacing w:before="120" w:after="120"/>
        <w:ind w:firstLine="480"/>
      </w:pPr>
      <w:r w:rsidRPr="00B4515A">
        <w:rPr>
          <w:rFonts w:hint="eastAsia"/>
        </w:rPr>
        <w:lastRenderedPageBreak/>
        <w:t>根据中国证监会《监管规则适用指引——上市类第</w:t>
      </w:r>
      <w:r w:rsidRPr="00B4515A">
        <w:t>1</w:t>
      </w:r>
      <w:r w:rsidRPr="00B4515A">
        <w:rPr>
          <w:rFonts w:hint="eastAsia"/>
        </w:rPr>
        <w:t>号》之规定，募集配套资金可用于支付本次并购交易中的现金对价，支付本次并购交易税费、人员安置费用等并购整合费用和投入标的资产在建项目建设，也可以用于补充上市公司和标的资产流动资金、偿还债务。募集配套资金用于补充公司流动资金、偿还债务的比例不应超过交易作价的</w:t>
      </w:r>
      <w:r w:rsidRPr="00B4515A">
        <w:t>25%</w:t>
      </w:r>
      <w:r w:rsidRPr="00B4515A">
        <w:rPr>
          <w:rFonts w:hint="eastAsia"/>
        </w:rPr>
        <w:t>，或者不超过募集配套资金总额的</w:t>
      </w:r>
      <w:r w:rsidRPr="00B4515A">
        <w:t>50%</w:t>
      </w:r>
      <w:r w:rsidRPr="00B4515A">
        <w:rPr>
          <w:rFonts w:hint="eastAsia"/>
        </w:rPr>
        <w:t>。</w:t>
      </w:r>
    </w:p>
    <w:p w14:paraId="252375B8" w14:textId="77777777" w:rsidR="006416B0" w:rsidRPr="00B4515A" w:rsidRDefault="005E58C1" w:rsidP="003357B7">
      <w:pPr>
        <w:pStyle w:val="005"/>
        <w:spacing w:before="120" w:after="120"/>
        <w:ind w:firstLine="480"/>
      </w:pPr>
      <w:r w:rsidRPr="00B4515A">
        <w:rPr>
          <w:rFonts w:hint="eastAsia"/>
        </w:rPr>
        <w:t>本次募集配套资金总额为</w:t>
      </w:r>
      <w:r w:rsidRPr="00B4515A">
        <w:t>99,999.999656</w:t>
      </w:r>
      <w:r w:rsidRPr="00B4515A">
        <w:rPr>
          <w:rFonts w:hint="eastAsia"/>
        </w:rPr>
        <w:t>万元，拟用于投入标的公司新型高性能系列安全芯片研发及产业化项目、补充上市公司流动资金及偿还债务，募集配套资金总额不超过本次交易拟购买资产交易价格的</w:t>
      </w:r>
      <w:r w:rsidRPr="00B4515A">
        <w:t>100%</w:t>
      </w:r>
      <w:r w:rsidRPr="00B4515A">
        <w:rPr>
          <w:rFonts w:hint="eastAsia"/>
        </w:rPr>
        <w:t>，用于补充上市公司流动资金、偿还债务的比例不超过本次交易作价的</w:t>
      </w:r>
      <w:r w:rsidRPr="00B4515A">
        <w:t>25%</w:t>
      </w:r>
      <w:r w:rsidRPr="00B4515A">
        <w:rPr>
          <w:rFonts w:hint="eastAsia"/>
        </w:rPr>
        <w:t>或募集配套资金总额的</w:t>
      </w:r>
      <w:r w:rsidRPr="00B4515A">
        <w:t>50%</w:t>
      </w:r>
      <w:r w:rsidRPr="00B4515A">
        <w:rPr>
          <w:rFonts w:hint="eastAsia"/>
        </w:rPr>
        <w:t>。</w:t>
      </w:r>
    </w:p>
    <w:p w14:paraId="5C67E00B" w14:textId="77777777" w:rsidR="006416B0" w:rsidRPr="00B4515A" w:rsidRDefault="005E58C1" w:rsidP="003357B7">
      <w:pPr>
        <w:pStyle w:val="005"/>
        <w:spacing w:before="120" w:after="120"/>
        <w:ind w:firstLine="480"/>
      </w:pPr>
      <w:r w:rsidRPr="00B4515A">
        <w:rPr>
          <w:rFonts w:hint="eastAsia"/>
        </w:rPr>
        <w:t>综上所述，本次交易符合《重组管理办法》第四十四条及其适用意见的相关规定。</w:t>
      </w:r>
      <w:bookmarkEnd w:id="312"/>
    </w:p>
    <w:p w14:paraId="180AFBC9" w14:textId="77777777" w:rsidR="006416B0" w:rsidRPr="00B4515A" w:rsidRDefault="005E58C1" w:rsidP="003357B7">
      <w:pPr>
        <w:pStyle w:val="002"/>
        <w:spacing w:before="120" w:after="120"/>
        <w:ind w:firstLine="562"/>
      </w:pPr>
      <w:bookmarkStart w:id="313" w:name="_Toc80960567"/>
      <w:r w:rsidRPr="00B4515A">
        <w:rPr>
          <w:rFonts w:ascii="Cambria" w:hAnsi="Cambria" w:cs="Cambria" w:hint="eastAsia"/>
        </w:rPr>
        <w:t>五</w:t>
      </w:r>
      <w:r w:rsidRPr="00B4515A">
        <w:rPr>
          <w:rFonts w:hint="eastAsia"/>
        </w:rPr>
        <w:t>、不存在《上市公司证券发行管理办法》第三十九条规定的不得非公开发行股票的情形</w:t>
      </w:r>
      <w:bookmarkEnd w:id="313"/>
    </w:p>
    <w:p w14:paraId="786A162C" w14:textId="77777777" w:rsidR="006416B0" w:rsidRPr="00B4515A" w:rsidRDefault="005E58C1" w:rsidP="003357B7">
      <w:pPr>
        <w:pStyle w:val="005"/>
        <w:spacing w:before="120" w:after="120"/>
        <w:ind w:firstLine="480"/>
      </w:pPr>
      <w:r w:rsidRPr="00B4515A">
        <w:rPr>
          <w:rFonts w:hint="eastAsia"/>
        </w:rPr>
        <w:t>上市公司不存在《上市公司证券发行管理办法》第三十九条规定的情形：</w:t>
      </w:r>
    </w:p>
    <w:p w14:paraId="18E1931E" w14:textId="77777777" w:rsidR="006416B0" w:rsidRPr="00B4515A" w:rsidRDefault="005E58C1" w:rsidP="003357B7">
      <w:pPr>
        <w:pStyle w:val="005"/>
        <w:spacing w:before="120" w:after="120"/>
        <w:ind w:firstLine="480"/>
      </w:pPr>
      <w:r w:rsidRPr="00B4515A">
        <w:t>1</w:t>
      </w:r>
      <w:r w:rsidRPr="00B4515A">
        <w:rPr>
          <w:rFonts w:hint="eastAsia"/>
        </w:rPr>
        <w:t>、本次交易申请文件不存在虚假记载、误导性陈述或重大遗漏；</w:t>
      </w:r>
    </w:p>
    <w:p w14:paraId="20D5A690" w14:textId="77777777" w:rsidR="006416B0" w:rsidRPr="00B4515A" w:rsidRDefault="005E58C1" w:rsidP="003357B7">
      <w:pPr>
        <w:pStyle w:val="005"/>
        <w:spacing w:before="120" w:after="120"/>
        <w:ind w:firstLine="480"/>
      </w:pPr>
      <w:r w:rsidRPr="00B4515A">
        <w:t>2</w:t>
      </w:r>
      <w:r w:rsidRPr="00B4515A">
        <w:rPr>
          <w:rFonts w:hint="eastAsia"/>
        </w:rPr>
        <w:t>、不存在上市公司的权益被控股股东或实际控制人严重损害且尚未消除的情形；</w:t>
      </w:r>
    </w:p>
    <w:p w14:paraId="3F63B2C9" w14:textId="77777777" w:rsidR="006416B0" w:rsidRPr="00B4515A" w:rsidRDefault="005E58C1" w:rsidP="003357B7">
      <w:pPr>
        <w:pStyle w:val="005"/>
        <w:spacing w:before="120" w:after="120"/>
        <w:ind w:firstLine="480"/>
      </w:pPr>
      <w:r w:rsidRPr="00B4515A">
        <w:t>3</w:t>
      </w:r>
      <w:r w:rsidRPr="00B4515A">
        <w:t>、不存在上市公司及其附属公司违规对外提供担保且尚未解除的情形</w:t>
      </w:r>
      <w:r w:rsidRPr="00B4515A">
        <w:rPr>
          <w:rFonts w:hint="eastAsia"/>
        </w:rPr>
        <w:t>；</w:t>
      </w:r>
    </w:p>
    <w:p w14:paraId="6ECEA601" w14:textId="77777777" w:rsidR="006416B0" w:rsidRPr="00B4515A" w:rsidRDefault="005E58C1" w:rsidP="003357B7">
      <w:pPr>
        <w:pStyle w:val="005"/>
        <w:spacing w:before="120" w:after="120"/>
        <w:ind w:firstLine="480"/>
      </w:pPr>
      <w:r w:rsidRPr="00B4515A">
        <w:t>4</w:t>
      </w:r>
      <w:r w:rsidRPr="00B4515A">
        <w:t>、不存在现任董事、高级管理人员最近三十六个月内受到过中国证监会的行政处罚，或者最近十二个月内受到过证券交易所公开谴责的情形</w:t>
      </w:r>
      <w:r w:rsidRPr="00B4515A">
        <w:rPr>
          <w:rFonts w:hint="eastAsia"/>
        </w:rPr>
        <w:t>；</w:t>
      </w:r>
    </w:p>
    <w:p w14:paraId="08C35E2A" w14:textId="77777777" w:rsidR="006416B0" w:rsidRPr="00B4515A" w:rsidRDefault="005E58C1" w:rsidP="003357B7">
      <w:pPr>
        <w:pStyle w:val="005"/>
        <w:spacing w:before="120" w:after="120"/>
        <w:ind w:firstLine="480"/>
      </w:pPr>
      <w:r w:rsidRPr="00B4515A">
        <w:t>5</w:t>
      </w:r>
      <w:r w:rsidRPr="00B4515A">
        <w:t>、不存在上市公司或其现任董事、高级管理人员因涉嫌犯罪正被司法机关立案侦查或涉嫌违法违规正被中国证监会立案调查的情形</w:t>
      </w:r>
      <w:r w:rsidRPr="00B4515A">
        <w:rPr>
          <w:rFonts w:hint="eastAsia"/>
        </w:rPr>
        <w:t>；</w:t>
      </w:r>
    </w:p>
    <w:p w14:paraId="4A003704" w14:textId="77777777" w:rsidR="006416B0" w:rsidRPr="00B4515A" w:rsidRDefault="005E58C1" w:rsidP="003357B7">
      <w:pPr>
        <w:pStyle w:val="005"/>
        <w:spacing w:before="120" w:after="120"/>
        <w:ind w:firstLine="480"/>
      </w:pPr>
      <w:r w:rsidRPr="00B4515A">
        <w:t>6</w:t>
      </w:r>
      <w:r w:rsidRPr="00B4515A">
        <w:t>、不存在最近一年及一期财务报表被注册会计师出具保留意见、否定意见或无法表示意见的审计报告情形</w:t>
      </w:r>
      <w:r w:rsidRPr="00B4515A">
        <w:rPr>
          <w:rFonts w:hint="eastAsia"/>
        </w:rPr>
        <w:t>；</w:t>
      </w:r>
    </w:p>
    <w:p w14:paraId="054B726B" w14:textId="77777777" w:rsidR="006416B0" w:rsidRPr="00B4515A" w:rsidRDefault="005E58C1" w:rsidP="003357B7">
      <w:pPr>
        <w:pStyle w:val="005"/>
        <w:spacing w:before="120" w:after="120"/>
        <w:ind w:firstLine="480"/>
      </w:pPr>
      <w:r w:rsidRPr="00B4515A">
        <w:t>7</w:t>
      </w:r>
      <w:r w:rsidRPr="00B4515A">
        <w:t>、不存在严重损害投资者合法权益和社会公共利益的其他情形。</w:t>
      </w:r>
    </w:p>
    <w:p w14:paraId="3A711DCE" w14:textId="77777777" w:rsidR="006416B0" w:rsidRPr="00B4515A" w:rsidRDefault="005E58C1" w:rsidP="003357B7">
      <w:pPr>
        <w:pStyle w:val="005"/>
        <w:spacing w:before="120" w:after="120"/>
        <w:ind w:firstLine="480"/>
      </w:pPr>
      <w:r w:rsidRPr="00B4515A">
        <w:rPr>
          <w:rFonts w:hint="eastAsia"/>
        </w:rPr>
        <w:lastRenderedPageBreak/>
        <w:t>综上所述</w:t>
      </w:r>
      <w:r w:rsidRPr="00B4515A">
        <w:t>，本次交易不存在《上市公司证券发行管理办法》第三十九条规定的</w:t>
      </w:r>
      <w:r w:rsidRPr="00B4515A">
        <w:rPr>
          <w:rFonts w:hint="eastAsia"/>
        </w:rPr>
        <w:t>不</w:t>
      </w:r>
      <w:r w:rsidRPr="00B4515A">
        <w:t>得非公开发行股票的情形。</w:t>
      </w:r>
    </w:p>
    <w:p w14:paraId="209144C0" w14:textId="77777777" w:rsidR="006416B0" w:rsidRPr="00B4515A" w:rsidRDefault="005E58C1" w:rsidP="003357B7">
      <w:pPr>
        <w:pStyle w:val="002"/>
        <w:spacing w:before="120" w:after="120"/>
        <w:ind w:firstLine="562"/>
      </w:pPr>
      <w:bookmarkStart w:id="314" w:name="_Toc80960568"/>
      <w:r w:rsidRPr="00B4515A">
        <w:rPr>
          <w:rFonts w:hint="eastAsia"/>
        </w:rPr>
        <w:t>六、本次交易的相关主体不存在《关于加强与上市公司重大资产重组相关股票异常交易监管暂行规定》第十三条规定的不得参与任何上市公司重大资产重组之情形</w:t>
      </w:r>
      <w:bookmarkEnd w:id="314"/>
    </w:p>
    <w:p w14:paraId="00073639" w14:textId="77777777" w:rsidR="006416B0" w:rsidRPr="00B4515A" w:rsidRDefault="005E58C1" w:rsidP="003357B7">
      <w:pPr>
        <w:pStyle w:val="005"/>
        <w:spacing w:before="120" w:after="120"/>
        <w:ind w:firstLine="480"/>
      </w:pPr>
      <w:r w:rsidRPr="00B4515A">
        <w:t>上市公司的董事、监事、高级管理人员，上市公司控股股东的董事、监事、高级管理人员，交易对方的董事、监事、高级管理人员，参与本次资产重组的其他主体，不存在因涉嫌本次交易相关的内幕交易被立案调查或者立案侦查的情况，最近</w:t>
      </w:r>
      <w:r w:rsidRPr="00B4515A">
        <w:t>36</w:t>
      </w:r>
      <w:r w:rsidRPr="00B4515A">
        <w:t>个月内不存在因与重大资产重组相关的内幕交易被中国证监会作出行政处罚或者司法机关依法追究刑事责任的情形。</w:t>
      </w:r>
    </w:p>
    <w:p w14:paraId="2FB7CC39" w14:textId="77777777" w:rsidR="006416B0" w:rsidRPr="00B4515A" w:rsidRDefault="005E58C1" w:rsidP="003357B7">
      <w:pPr>
        <w:pStyle w:val="005"/>
        <w:spacing w:before="120" w:after="120"/>
        <w:ind w:firstLine="480"/>
      </w:pPr>
      <w:r w:rsidRPr="00B4515A">
        <w:t>综上，本次交易的相关主体不存在《关于加强与上市公司重大资产重组相关股票异常交易监管的暂行规定》第十三条规定的不得参与上市公司重大资产重组的情形。</w:t>
      </w:r>
    </w:p>
    <w:p w14:paraId="3922844B" w14:textId="77777777" w:rsidR="006416B0" w:rsidRPr="00B4515A" w:rsidRDefault="005E58C1" w:rsidP="003357B7">
      <w:pPr>
        <w:pStyle w:val="002"/>
        <w:spacing w:before="120" w:after="120"/>
        <w:ind w:firstLine="562"/>
      </w:pPr>
      <w:bookmarkStart w:id="315" w:name="_Toc80960569"/>
      <w:r w:rsidRPr="00B4515A">
        <w:rPr>
          <w:rFonts w:hint="eastAsia"/>
        </w:rPr>
        <w:t>七、独立财务顾问和法律顾问对本次交易是否符合《重组管理办法》发表的明确意见</w:t>
      </w:r>
      <w:bookmarkEnd w:id="315"/>
    </w:p>
    <w:p w14:paraId="7C3A13B3" w14:textId="77777777" w:rsidR="006416B0" w:rsidRPr="00B4515A" w:rsidRDefault="005E58C1" w:rsidP="003357B7">
      <w:pPr>
        <w:pStyle w:val="003"/>
        <w:spacing w:before="120"/>
        <w:ind w:firstLine="482"/>
      </w:pPr>
      <w:r w:rsidRPr="00B4515A">
        <w:rPr>
          <w:rFonts w:hint="eastAsia"/>
        </w:rPr>
        <w:t>（一）</w:t>
      </w:r>
      <w:r w:rsidRPr="00B4515A">
        <w:t>独立财务顾问对本次交易的明确意见</w:t>
      </w:r>
    </w:p>
    <w:p w14:paraId="5B12ADCA" w14:textId="77777777" w:rsidR="006416B0" w:rsidRPr="00B4515A" w:rsidRDefault="005E58C1" w:rsidP="003357B7">
      <w:pPr>
        <w:pStyle w:val="005"/>
        <w:spacing w:before="120" w:after="120"/>
        <w:ind w:firstLine="480"/>
      </w:pPr>
      <w:r w:rsidRPr="00B4515A">
        <w:rPr>
          <w:rFonts w:hint="eastAsia"/>
        </w:rPr>
        <w:t>中银国际证券股份有限公司</w:t>
      </w:r>
      <w:r w:rsidRPr="00B4515A">
        <w:t>作为本次交易的独立财顾问，出具了独立财务顾问报告并发表意见</w:t>
      </w:r>
      <w:r w:rsidRPr="00B4515A">
        <w:rPr>
          <w:rFonts w:hint="eastAsia"/>
        </w:rPr>
        <w:t>：</w:t>
      </w:r>
      <w:r w:rsidRPr="00B4515A">
        <w:t>本次交易符合《公司法》《证券法》《重组管理办法》等法律、法规和规范性文件的规定。</w:t>
      </w:r>
    </w:p>
    <w:p w14:paraId="76A210A5" w14:textId="77777777" w:rsidR="006416B0" w:rsidRPr="00B4515A" w:rsidRDefault="005E58C1" w:rsidP="003357B7">
      <w:pPr>
        <w:pStyle w:val="003"/>
        <w:spacing w:before="120"/>
        <w:ind w:firstLine="482"/>
      </w:pPr>
      <w:r w:rsidRPr="00B4515A">
        <w:rPr>
          <w:rFonts w:hint="eastAsia"/>
        </w:rPr>
        <w:t>（二）</w:t>
      </w:r>
      <w:r w:rsidRPr="00B4515A">
        <w:t>法律顾问对本次交易的明确意见</w:t>
      </w:r>
    </w:p>
    <w:p w14:paraId="42658A38" w14:textId="77777777" w:rsidR="006416B0" w:rsidRPr="00B4515A" w:rsidRDefault="005E58C1" w:rsidP="003357B7">
      <w:pPr>
        <w:pStyle w:val="005"/>
        <w:spacing w:before="120" w:after="120"/>
        <w:ind w:firstLine="480"/>
        <w:rPr>
          <w:rFonts w:eastAsia="黑体"/>
          <w:b/>
          <w:bCs/>
          <w:kern w:val="44"/>
          <w:sz w:val="36"/>
          <w:szCs w:val="36"/>
        </w:rPr>
      </w:pPr>
      <w:r w:rsidRPr="00B4515A">
        <w:rPr>
          <w:rFonts w:hint="eastAsia"/>
        </w:rPr>
        <w:t>北京德恒律师事务所</w:t>
      </w:r>
      <w:r w:rsidRPr="00B4515A">
        <w:t>作为本次交易的法律顾问，出具了法律意见书并发表意见</w:t>
      </w:r>
      <w:r w:rsidRPr="00B4515A">
        <w:rPr>
          <w:rFonts w:hint="eastAsia"/>
        </w:rPr>
        <w:t>：</w:t>
      </w:r>
      <w:r w:rsidRPr="00B4515A">
        <w:t>本次交易构成重大资产重组但不构成重组上市，本次交易符合《重组管理办法》《发行管理办法》等法律法规、规范性文件规定的实质性条件。</w:t>
      </w:r>
    </w:p>
    <w:p w14:paraId="276CBED1" w14:textId="77777777" w:rsidR="006416B0" w:rsidRPr="00B4515A" w:rsidRDefault="005E58C1" w:rsidP="002B0582">
      <w:pPr>
        <w:pStyle w:val="001"/>
        <w:spacing w:before="360" w:after="360"/>
      </w:pPr>
      <w:bookmarkStart w:id="316" w:name="_Toc80960570"/>
      <w:r w:rsidRPr="00B4515A">
        <w:lastRenderedPageBreak/>
        <w:t>第九节</w:t>
      </w:r>
      <w:bookmarkStart w:id="317" w:name="_Hlk76936565"/>
      <w:r w:rsidRPr="00B4515A">
        <w:t xml:space="preserve"> </w:t>
      </w:r>
      <w:r w:rsidRPr="00B4515A">
        <w:t>管理层讨论与分析</w:t>
      </w:r>
      <w:bookmarkEnd w:id="316"/>
      <w:bookmarkEnd w:id="317"/>
    </w:p>
    <w:p w14:paraId="11E12687" w14:textId="77777777" w:rsidR="006416B0" w:rsidRPr="00B4515A" w:rsidRDefault="005E58C1" w:rsidP="003357B7">
      <w:pPr>
        <w:pStyle w:val="002"/>
        <w:spacing w:before="120" w:after="120"/>
        <w:ind w:firstLine="562"/>
      </w:pPr>
      <w:bookmarkStart w:id="318" w:name="_Toc80960571"/>
      <w:r w:rsidRPr="00B4515A">
        <w:t>一、本次交易前上市公司财务状况和经营成果的讨论与分析</w:t>
      </w:r>
      <w:bookmarkEnd w:id="318"/>
    </w:p>
    <w:p w14:paraId="058FD147" w14:textId="77777777" w:rsidR="006416B0" w:rsidRPr="00B4515A" w:rsidRDefault="005E58C1" w:rsidP="003357B7">
      <w:pPr>
        <w:pStyle w:val="005"/>
        <w:spacing w:before="120" w:after="120"/>
        <w:ind w:firstLine="480"/>
      </w:pPr>
      <w:r w:rsidRPr="00B4515A">
        <w:rPr>
          <w:rFonts w:hint="eastAsia"/>
        </w:rPr>
        <w:t>本次交易前，上市公司的主营业务主要分为集成电路设计、终端设计、网络与服务等三大业务板块。</w:t>
      </w:r>
    </w:p>
    <w:p w14:paraId="795C4829" w14:textId="77777777" w:rsidR="006416B0" w:rsidRPr="00B4515A" w:rsidRDefault="005E58C1" w:rsidP="003357B7">
      <w:pPr>
        <w:pStyle w:val="005"/>
        <w:spacing w:before="120" w:after="120"/>
        <w:ind w:firstLine="480"/>
      </w:pPr>
      <w:r w:rsidRPr="00B4515A">
        <w:rPr>
          <w:rFonts w:hint="eastAsia"/>
        </w:rPr>
        <w:t>根据立信会计师事务所（特殊普通合伙）出具的信会师报字</w:t>
      </w:r>
      <w:r w:rsidRPr="00B4515A">
        <w:t>[2019]</w:t>
      </w:r>
      <w:r w:rsidRPr="00B4515A">
        <w:rPr>
          <w:rFonts w:hint="eastAsia"/>
        </w:rPr>
        <w:t>第</w:t>
      </w:r>
      <w:r w:rsidRPr="00B4515A">
        <w:t>ZG10547</w:t>
      </w:r>
      <w:r w:rsidRPr="00B4515A">
        <w:rPr>
          <w:rFonts w:hint="eastAsia"/>
        </w:rPr>
        <w:t>号、信会师报字</w:t>
      </w:r>
      <w:r w:rsidRPr="00B4515A">
        <w:t>[2020]</w:t>
      </w:r>
      <w:r w:rsidRPr="00B4515A">
        <w:rPr>
          <w:rFonts w:hint="eastAsia"/>
        </w:rPr>
        <w:t>第</w:t>
      </w:r>
      <w:r w:rsidRPr="00B4515A">
        <w:t>ZG11082</w:t>
      </w:r>
      <w:r w:rsidRPr="00B4515A">
        <w:rPr>
          <w:rFonts w:hint="eastAsia"/>
        </w:rPr>
        <w:t>号、信会师报字</w:t>
      </w:r>
      <w:r w:rsidRPr="00B4515A">
        <w:t>[2021]</w:t>
      </w:r>
      <w:r w:rsidRPr="00B4515A">
        <w:rPr>
          <w:rFonts w:hint="eastAsia"/>
        </w:rPr>
        <w:t>第</w:t>
      </w:r>
      <w:r w:rsidRPr="00B4515A">
        <w:t>ZG11031</w:t>
      </w:r>
      <w:r w:rsidRPr="00B4515A">
        <w:rPr>
          <w:rFonts w:hint="eastAsia"/>
        </w:rPr>
        <w:t>号审计报告，上市公司</w:t>
      </w:r>
      <w:r w:rsidRPr="00B4515A">
        <w:t>2018</w:t>
      </w:r>
      <w:r w:rsidRPr="00B4515A">
        <w:rPr>
          <w:rFonts w:hint="eastAsia"/>
        </w:rPr>
        <w:t>年、</w:t>
      </w:r>
      <w:r w:rsidRPr="00B4515A">
        <w:t>2019</w:t>
      </w:r>
      <w:r w:rsidRPr="00B4515A">
        <w:rPr>
          <w:rFonts w:hint="eastAsia"/>
        </w:rPr>
        <w:t>年及</w:t>
      </w:r>
      <w:r w:rsidRPr="00B4515A">
        <w:t>2020</w:t>
      </w:r>
      <w:r w:rsidRPr="00B4515A">
        <w:rPr>
          <w:rFonts w:hint="eastAsia"/>
        </w:rPr>
        <w:t>年的财务状况和经营成果分析如下（除特别说明外，下述分析中数据为合并报表数据）：</w:t>
      </w:r>
    </w:p>
    <w:p w14:paraId="64495603" w14:textId="77777777" w:rsidR="006416B0" w:rsidRPr="00B4515A" w:rsidRDefault="005E58C1" w:rsidP="003357B7">
      <w:pPr>
        <w:pStyle w:val="003"/>
        <w:spacing w:before="120"/>
        <w:ind w:firstLine="482"/>
      </w:pPr>
      <w:r w:rsidRPr="00B4515A">
        <w:rPr>
          <w:rFonts w:hint="eastAsia"/>
        </w:rPr>
        <w:t>（一）本次交易前上市公司财务状况分析</w:t>
      </w:r>
    </w:p>
    <w:p w14:paraId="6C759A83" w14:textId="77777777" w:rsidR="006416B0" w:rsidRPr="00B4515A" w:rsidRDefault="005E58C1" w:rsidP="003357B7">
      <w:pPr>
        <w:pStyle w:val="004"/>
        <w:spacing w:before="120" w:after="120"/>
        <w:ind w:firstLine="482"/>
      </w:pPr>
      <w:r w:rsidRPr="00B4515A">
        <w:rPr>
          <w:rFonts w:hint="eastAsia"/>
        </w:rPr>
        <w:t>1</w:t>
      </w:r>
      <w:r w:rsidRPr="00B4515A">
        <w:rPr>
          <w:rFonts w:hint="eastAsia"/>
        </w:rPr>
        <w:t>、资产结构及变动分析</w:t>
      </w:r>
    </w:p>
    <w:p w14:paraId="76B5833B" w14:textId="77777777" w:rsidR="006416B0" w:rsidRPr="00B4515A" w:rsidRDefault="005E58C1" w:rsidP="003357B7">
      <w:pPr>
        <w:pStyle w:val="005"/>
        <w:spacing w:before="120" w:after="120"/>
        <w:ind w:firstLine="480"/>
      </w:pPr>
      <w:r w:rsidRPr="00B4515A">
        <w:rPr>
          <w:rFonts w:hint="eastAsia"/>
        </w:rPr>
        <w:t>报告期内，上市公司的资产结构情况如下：</w:t>
      </w:r>
    </w:p>
    <w:p w14:paraId="2C786126"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95"/>
        <w:gridCol w:w="1288"/>
        <w:gridCol w:w="955"/>
        <w:gridCol w:w="1288"/>
        <w:gridCol w:w="957"/>
        <w:gridCol w:w="1288"/>
        <w:gridCol w:w="957"/>
      </w:tblGrid>
      <w:tr w:rsidR="006416B0" w:rsidRPr="00B4515A" w14:paraId="2E9DE21E" w14:textId="77777777" w:rsidTr="00EE238F">
        <w:trPr>
          <w:trHeight w:val="340"/>
          <w:tblHeader/>
          <w:jc w:val="center"/>
        </w:trPr>
        <w:tc>
          <w:tcPr>
            <w:tcW w:w="1052" w:type="pct"/>
            <w:vMerge w:val="restart"/>
            <w:shd w:val="clear" w:color="auto" w:fill="auto"/>
            <w:tcMar>
              <w:top w:w="0" w:type="dxa"/>
              <w:left w:w="108" w:type="dxa"/>
              <w:bottom w:w="0" w:type="dxa"/>
              <w:right w:w="108" w:type="dxa"/>
            </w:tcMar>
            <w:vAlign w:val="center"/>
          </w:tcPr>
          <w:p w14:paraId="2133CC3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1315" w:type="pct"/>
            <w:gridSpan w:val="2"/>
            <w:shd w:val="clear" w:color="auto" w:fill="auto"/>
            <w:tcMar>
              <w:top w:w="0" w:type="dxa"/>
              <w:left w:w="108" w:type="dxa"/>
              <w:bottom w:w="0" w:type="dxa"/>
              <w:right w:w="108" w:type="dxa"/>
            </w:tcMar>
            <w:vAlign w:val="center"/>
          </w:tcPr>
          <w:p w14:paraId="5B2F2D6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2020-12-31</w:t>
            </w:r>
          </w:p>
        </w:tc>
        <w:tc>
          <w:tcPr>
            <w:tcW w:w="1316" w:type="pct"/>
            <w:gridSpan w:val="2"/>
            <w:shd w:val="clear" w:color="auto" w:fill="auto"/>
            <w:tcMar>
              <w:top w:w="0" w:type="dxa"/>
              <w:left w:w="108" w:type="dxa"/>
              <w:bottom w:w="0" w:type="dxa"/>
              <w:right w:w="108" w:type="dxa"/>
            </w:tcMar>
            <w:vAlign w:val="center"/>
          </w:tcPr>
          <w:p w14:paraId="3BEDC22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2019-12-31</w:t>
            </w:r>
          </w:p>
        </w:tc>
        <w:tc>
          <w:tcPr>
            <w:tcW w:w="1316" w:type="pct"/>
            <w:gridSpan w:val="2"/>
            <w:shd w:val="clear" w:color="auto" w:fill="auto"/>
            <w:tcMar>
              <w:top w:w="0" w:type="dxa"/>
              <w:left w:w="108" w:type="dxa"/>
              <w:bottom w:w="0" w:type="dxa"/>
              <w:right w:w="108" w:type="dxa"/>
            </w:tcMar>
            <w:vAlign w:val="center"/>
          </w:tcPr>
          <w:p w14:paraId="2B3F188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2018-12-31</w:t>
            </w:r>
          </w:p>
        </w:tc>
      </w:tr>
      <w:tr w:rsidR="006416B0" w:rsidRPr="00B4515A" w14:paraId="0B27DD6F" w14:textId="77777777" w:rsidTr="00EE238F">
        <w:trPr>
          <w:trHeight w:val="340"/>
          <w:tblHeader/>
          <w:jc w:val="center"/>
        </w:trPr>
        <w:tc>
          <w:tcPr>
            <w:tcW w:w="1052" w:type="pct"/>
            <w:vMerge/>
            <w:tcMar>
              <w:top w:w="0" w:type="dxa"/>
              <w:left w:w="108" w:type="dxa"/>
              <w:bottom w:w="0" w:type="dxa"/>
              <w:right w:w="108" w:type="dxa"/>
            </w:tcMar>
            <w:vAlign w:val="center"/>
          </w:tcPr>
          <w:p w14:paraId="79F86D44"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755" w:type="pct"/>
            <w:shd w:val="clear" w:color="auto" w:fill="auto"/>
            <w:tcMar>
              <w:top w:w="0" w:type="dxa"/>
              <w:left w:w="108" w:type="dxa"/>
              <w:bottom w:w="0" w:type="dxa"/>
              <w:right w:w="108" w:type="dxa"/>
            </w:tcMar>
            <w:vAlign w:val="center"/>
          </w:tcPr>
          <w:p w14:paraId="4A84B7C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560" w:type="pct"/>
            <w:shd w:val="clear" w:color="auto" w:fill="auto"/>
            <w:tcMar>
              <w:top w:w="0" w:type="dxa"/>
              <w:left w:w="108" w:type="dxa"/>
              <w:bottom w:w="0" w:type="dxa"/>
              <w:right w:w="108" w:type="dxa"/>
            </w:tcMar>
            <w:vAlign w:val="center"/>
          </w:tcPr>
          <w:p w14:paraId="608AFA5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755" w:type="pct"/>
            <w:shd w:val="clear" w:color="auto" w:fill="auto"/>
            <w:tcMar>
              <w:top w:w="0" w:type="dxa"/>
              <w:left w:w="108" w:type="dxa"/>
              <w:bottom w:w="0" w:type="dxa"/>
              <w:right w:w="108" w:type="dxa"/>
            </w:tcMar>
            <w:vAlign w:val="center"/>
          </w:tcPr>
          <w:p w14:paraId="4EB2225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561" w:type="pct"/>
            <w:shd w:val="clear" w:color="auto" w:fill="auto"/>
            <w:tcMar>
              <w:top w:w="0" w:type="dxa"/>
              <w:left w:w="108" w:type="dxa"/>
              <w:bottom w:w="0" w:type="dxa"/>
              <w:right w:w="108" w:type="dxa"/>
            </w:tcMar>
            <w:vAlign w:val="center"/>
          </w:tcPr>
          <w:p w14:paraId="22DD05F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755" w:type="pct"/>
            <w:shd w:val="clear" w:color="auto" w:fill="auto"/>
            <w:tcMar>
              <w:top w:w="0" w:type="dxa"/>
              <w:left w:w="108" w:type="dxa"/>
              <w:bottom w:w="0" w:type="dxa"/>
              <w:right w:w="108" w:type="dxa"/>
            </w:tcMar>
            <w:vAlign w:val="center"/>
          </w:tcPr>
          <w:p w14:paraId="143A360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561" w:type="pct"/>
            <w:shd w:val="clear" w:color="auto" w:fill="auto"/>
            <w:tcMar>
              <w:top w:w="0" w:type="dxa"/>
              <w:left w:w="108" w:type="dxa"/>
              <w:bottom w:w="0" w:type="dxa"/>
              <w:right w:w="108" w:type="dxa"/>
            </w:tcMar>
            <w:vAlign w:val="center"/>
          </w:tcPr>
          <w:p w14:paraId="1836D8C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r>
      <w:tr w:rsidR="006416B0" w:rsidRPr="00B4515A" w14:paraId="7F5F0FD5"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13669E3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流动资产：</w:t>
            </w:r>
          </w:p>
        </w:tc>
        <w:tc>
          <w:tcPr>
            <w:tcW w:w="755" w:type="pct"/>
            <w:shd w:val="clear" w:color="auto" w:fill="auto"/>
            <w:tcMar>
              <w:top w:w="0" w:type="dxa"/>
              <w:left w:w="108" w:type="dxa"/>
              <w:bottom w:w="0" w:type="dxa"/>
              <w:right w:w="108" w:type="dxa"/>
            </w:tcMar>
            <w:vAlign w:val="center"/>
          </w:tcPr>
          <w:p w14:paraId="62CFF12D"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560" w:type="pct"/>
            <w:shd w:val="clear" w:color="auto" w:fill="auto"/>
            <w:tcMar>
              <w:top w:w="0" w:type="dxa"/>
              <w:left w:w="108" w:type="dxa"/>
              <w:bottom w:w="0" w:type="dxa"/>
              <w:right w:w="108" w:type="dxa"/>
            </w:tcMar>
            <w:vAlign w:val="center"/>
          </w:tcPr>
          <w:p w14:paraId="5E6445B4"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755" w:type="pct"/>
            <w:shd w:val="clear" w:color="auto" w:fill="auto"/>
            <w:tcMar>
              <w:top w:w="0" w:type="dxa"/>
              <w:left w:w="108" w:type="dxa"/>
              <w:bottom w:w="0" w:type="dxa"/>
              <w:right w:w="108" w:type="dxa"/>
            </w:tcMar>
            <w:vAlign w:val="center"/>
          </w:tcPr>
          <w:p w14:paraId="47D2FBFB"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561" w:type="pct"/>
            <w:shd w:val="clear" w:color="auto" w:fill="auto"/>
            <w:tcMar>
              <w:top w:w="0" w:type="dxa"/>
              <w:left w:w="108" w:type="dxa"/>
              <w:bottom w:w="0" w:type="dxa"/>
              <w:right w:w="108" w:type="dxa"/>
            </w:tcMar>
            <w:vAlign w:val="center"/>
          </w:tcPr>
          <w:p w14:paraId="0419B41D"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755" w:type="pct"/>
            <w:shd w:val="clear" w:color="auto" w:fill="auto"/>
            <w:tcMar>
              <w:top w:w="0" w:type="dxa"/>
              <w:left w:w="108" w:type="dxa"/>
              <w:bottom w:w="0" w:type="dxa"/>
              <w:right w:w="108" w:type="dxa"/>
            </w:tcMar>
            <w:vAlign w:val="center"/>
          </w:tcPr>
          <w:p w14:paraId="691F6D89"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561" w:type="pct"/>
            <w:shd w:val="clear" w:color="auto" w:fill="auto"/>
            <w:tcMar>
              <w:top w:w="0" w:type="dxa"/>
              <w:left w:w="108" w:type="dxa"/>
              <w:bottom w:w="0" w:type="dxa"/>
              <w:right w:w="108" w:type="dxa"/>
            </w:tcMar>
            <w:vAlign w:val="center"/>
          </w:tcPr>
          <w:p w14:paraId="75BA1907"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6416B0" w:rsidRPr="00B4515A" w14:paraId="2E7F9EED"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7CEF6CF7"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货币资金</w:t>
            </w:r>
          </w:p>
        </w:tc>
        <w:tc>
          <w:tcPr>
            <w:tcW w:w="755" w:type="pct"/>
            <w:shd w:val="clear" w:color="auto" w:fill="auto"/>
            <w:tcMar>
              <w:top w:w="0" w:type="dxa"/>
              <w:left w:w="108" w:type="dxa"/>
              <w:bottom w:w="0" w:type="dxa"/>
              <w:right w:w="108" w:type="dxa"/>
            </w:tcMar>
            <w:vAlign w:val="center"/>
          </w:tcPr>
          <w:p w14:paraId="0834330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30,712.29</w:t>
            </w:r>
          </w:p>
        </w:tc>
        <w:tc>
          <w:tcPr>
            <w:tcW w:w="560" w:type="pct"/>
            <w:shd w:val="clear" w:color="auto" w:fill="auto"/>
            <w:tcMar>
              <w:top w:w="0" w:type="dxa"/>
              <w:left w:w="108" w:type="dxa"/>
              <w:bottom w:w="0" w:type="dxa"/>
              <w:right w:w="108" w:type="dxa"/>
            </w:tcMar>
            <w:vAlign w:val="center"/>
          </w:tcPr>
          <w:p w14:paraId="55971BD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9.78%</w:t>
            </w:r>
          </w:p>
        </w:tc>
        <w:tc>
          <w:tcPr>
            <w:tcW w:w="755" w:type="pct"/>
            <w:shd w:val="clear" w:color="auto" w:fill="auto"/>
            <w:tcMar>
              <w:top w:w="0" w:type="dxa"/>
              <w:left w:w="108" w:type="dxa"/>
              <w:bottom w:w="0" w:type="dxa"/>
              <w:right w:w="108" w:type="dxa"/>
            </w:tcMar>
            <w:vAlign w:val="center"/>
          </w:tcPr>
          <w:p w14:paraId="2112ED3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44,041.73</w:t>
            </w:r>
          </w:p>
        </w:tc>
        <w:tc>
          <w:tcPr>
            <w:tcW w:w="561" w:type="pct"/>
            <w:shd w:val="clear" w:color="auto" w:fill="auto"/>
            <w:tcMar>
              <w:top w:w="0" w:type="dxa"/>
              <w:left w:w="108" w:type="dxa"/>
              <w:bottom w:w="0" w:type="dxa"/>
              <w:right w:w="108" w:type="dxa"/>
            </w:tcMar>
            <w:vAlign w:val="center"/>
          </w:tcPr>
          <w:p w14:paraId="6E22BA4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7.63%</w:t>
            </w:r>
          </w:p>
        </w:tc>
        <w:tc>
          <w:tcPr>
            <w:tcW w:w="755" w:type="pct"/>
            <w:shd w:val="clear" w:color="auto" w:fill="auto"/>
            <w:tcMar>
              <w:top w:w="0" w:type="dxa"/>
              <w:left w:w="108" w:type="dxa"/>
              <w:bottom w:w="0" w:type="dxa"/>
              <w:right w:w="108" w:type="dxa"/>
            </w:tcMar>
            <w:vAlign w:val="center"/>
          </w:tcPr>
          <w:p w14:paraId="4551468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104,618.89</w:t>
            </w:r>
          </w:p>
        </w:tc>
        <w:tc>
          <w:tcPr>
            <w:tcW w:w="561" w:type="pct"/>
            <w:shd w:val="clear" w:color="auto" w:fill="auto"/>
            <w:tcMar>
              <w:top w:w="0" w:type="dxa"/>
              <w:left w:w="108" w:type="dxa"/>
              <w:bottom w:w="0" w:type="dxa"/>
              <w:right w:w="108" w:type="dxa"/>
            </w:tcMar>
            <w:vAlign w:val="center"/>
          </w:tcPr>
          <w:p w14:paraId="5A0C8CB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14.19%</w:t>
            </w:r>
          </w:p>
        </w:tc>
      </w:tr>
      <w:tr w:rsidR="006416B0" w:rsidRPr="00B4515A" w14:paraId="7F35BDAC"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7100BE6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应收票据</w:t>
            </w:r>
          </w:p>
        </w:tc>
        <w:tc>
          <w:tcPr>
            <w:tcW w:w="755" w:type="pct"/>
            <w:shd w:val="clear" w:color="auto" w:fill="auto"/>
            <w:tcMar>
              <w:top w:w="0" w:type="dxa"/>
              <w:left w:w="108" w:type="dxa"/>
              <w:bottom w:w="0" w:type="dxa"/>
              <w:right w:w="108" w:type="dxa"/>
            </w:tcMar>
            <w:vAlign w:val="center"/>
          </w:tcPr>
          <w:p w14:paraId="4494E96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1,566.50</w:t>
            </w:r>
          </w:p>
        </w:tc>
        <w:tc>
          <w:tcPr>
            <w:tcW w:w="560" w:type="pct"/>
            <w:shd w:val="clear" w:color="auto" w:fill="auto"/>
            <w:tcMar>
              <w:top w:w="0" w:type="dxa"/>
              <w:left w:w="108" w:type="dxa"/>
              <w:bottom w:w="0" w:type="dxa"/>
              <w:right w:w="108" w:type="dxa"/>
            </w:tcMar>
            <w:vAlign w:val="center"/>
          </w:tcPr>
          <w:p w14:paraId="1FCBF86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0.50%</w:t>
            </w:r>
          </w:p>
        </w:tc>
        <w:tc>
          <w:tcPr>
            <w:tcW w:w="755" w:type="pct"/>
            <w:shd w:val="clear" w:color="auto" w:fill="auto"/>
            <w:tcMar>
              <w:top w:w="0" w:type="dxa"/>
              <w:left w:w="108" w:type="dxa"/>
              <w:bottom w:w="0" w:type="dxa"/>
              <w:right w:w="108" w:type="dxa"/>
            </w:tcMar>
            <w:vAlign w:val="center"/>
          </w:tcPr>
          <w:p w14:paraId="6F05604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1,355.58</w:t>
            </w:r>
          </w:p>
        </w:tc>
        <w:tc>
          <w:tcPr>
            <w:tcW w:w="561" w:type="pct"/>
            <w:shd w:val="clear" w:color="auto" w:fill="auto"/>
            <w:tcMar>
              <w:top w:w="0" w:type="dxa"/>
              <w:left w:w="108" w:type="dxa"/>
              <w:bottom w:w="0" w:type="dxa"/>
              <w:right w:w="108" w:type="dxa"/>
            </w:tcMar>
            <w:vAlign w:val="center"/>
          </w:tcPr>
          <w:p w14:paraId="3C4B945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0.23%</w:t>
            </w:r>
          </w:p>
        </w:tc>
        <w:tc>
          <w:tcPr>
            <w:tcW w:w="755" w:type="pct"/>
            <w:shd w:val="clear" w:color="auto" w:fill="auto"/>
            <w:tcMar>
              <w:top w:w="0" w:type="dxa"/>
              <w:left w:w="108" w:type="dxa"/>
              <w:bottom w:w="0" w:type="dxa"/>
              <w:right w:w="108" w:type="dxa"/>
            </w:tcMar>
            <w:vAlign w:val="center"/>
          </w:tcPr>
          <w:p w14:paraId="3A86433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6,961.67</w:t>
            </w:r>
          </w:p>
        </w:tc>
        <w:tc>
          <w:tcPr>
            <w:tcW w:w="561" w:type="pct"/>
            <w:shd w:val="clear" w:color="auto" w:fill="auto"/>
            <w:tcMar>
              <w:top w:w="0" w:type="dxa"/>
              <w:left w:w="108" w:type="dxa"/>
              <w:bottom w:w="0" w:type="dxa"/>
              <w:right w:w="108" w:type="dxa"/>
            </w:tcMar>
            <w:vAlign w:val="center"/>
          </w:tcPr>
          <w:p w14:paraId="4BCC7F2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0.94%</w:t>
            </w:r>
          </w:p>
        </w:tc>
      </w:tr>
      <w:tr w:rsidR="006416B0" w:rsidRPr="00B4515A" w14:paraId="2C497CB0"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4BBA618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应收账款</w:t>
            </w:r>
          </w:p>
        </w:tc>
        <w:tc>
          <w:tcPr>
            <w:tcW w:w="755" w:type="pct"/>
            <w:shd w:val="clear" w:color="auto" w:fill="auto"/>
            <w:tcMar>
              <w:top w:w="0" w:type="dxa"/>
              <w:left w:w="108" w:type="dxa"/>
              <w:bottom w:w="0" w:type="dxa"/>
              <w:right w:w="108" w:type="dxa"/>
            </w:tcMar>
            <w:vAlign w:val="center"/>
          </w:tcPr>
          <w:p w14:paraId="483C3D3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46,290.67</w:t>
            </w:r>
          </w:p>
        </w:tc>
        <w:tc>
          <w:tcPr>
            <w:tcW w:w="560" w:type="pct"/>
            <w:shd w:val="clear" w:color="auto" w:fill="auto"/>
            <w:tcMar>
              <w:top w:w="0" w:type="dxa"/>
              <w:left w:w="108" w:type="dxa"/>
              <w:bottom w:w="0" w:type="dxa"/>
              <w:right w:w="108" w:type="dxa"/>
            </w:tcMar>
            <w:vAlign w:val="center"/>
          </w:tcPr>
          <w:p w14:paraId="4A04C07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14.74%</w:t>
            </w:r>
          </w:p>
        </w:tc>
        <w:tc>
          <w:tcPr>
            <w:tcW w:w="755" w:type="pct"/>
            <w:shd w:val="clear" w:color="auto" w:fill="auto"/>
            <w:tcMar>
              <w:top w:w="0" w:type="dxa"/>
              <w:left w:w="108" w:type="dxa"/>
              <w:bottom w:w="0" w:type="dxa"/>
              <w:right w:w="108" w:type="dxa"/>
            </w:tcMar>
            <w:vAlign w:val="center"/>
          </w:tcPr>
          <w:p w14:paraId="3358877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101,640.78</w:t>
            </w:r>
          </w:p>
        </w:tc>
        <w:tc>
          <w:tcPr>
            <w:tcW w:w="561" w:type="pct"/>
            <w:shd w:val="clear" w:color="auto" w:fill="auto"/>
            <w:tcMar>
              <w:top w:w="0" w:type="dxa"/>
              <w:left w:w="108" w:type="dxa"/>
              <w:bottom w:w="0" w:type="dxa"/>
              <w:right w:w="108" w:type="dxa"/>
            </w:tcMar>
            <w:vAlign w:val="center"/>
          </w:tcPr>
          <w:p w14:paraId="6652ED0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17.62%</w:t>
            </w:r>
          </w:p>
        </w:tc>
        <w:tc>
          <w:tcPr>
            <w:tcW w:w="755" w:type="pct"/>
            <w:shd w:val="clear" w:color="auto" w:fill="auto"/>
            <w:tcMar>
              <w:top w:w="0" w:type="dxa"/>
              <w:left w:w="108" w:type="dxa"/>
              <w:bottom w:w="0" w:type="dxa"/>
              <w:right w:w="108" w:type="dxa"/>
            </w:tcMar>
            <w:vAlign w:val="center"/>
          </w:tcPr>
          <w:p w14:paraId="165CE45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123,710.39</w:t>
            </w:r>
          </w:p>
        </w:tc>
        <w:tc>
          <w:tcPr>
            <w:tcW w:w="561" w:type="pct"/>
            <w:shd w:val="clear" w:color="auto" w:fill="auto"/>
            <w:tcMar>
              <w:top w:w="0" w:type="dxa"/>
              <w:left w:w="108" w:type="dxa"/>
              <w:bottom w:w="0" w:type="dxa"/>
              <w:right w:w="108" w:type="dxa"/>
            </w:tcMar>
            <w:vAlign w:val="center"/>
          </w:tcPr>
          <w:p w14:paraId="04B1990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16.78%</w:t>
            </w:r>
          </w:p>
        </w:tc>
      </w:tr>
      <w:tr w:rsidR="006416B0" w:rsidRPr="00B4515A" w14:paraId="00EF9E4E"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1A41342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预付款项</w:t>
            </w:r>
          </w:p>
        </w:tc>
        <w:tc>
          <w:tcPr>
            <w:tcW w:w="755" w:type="pct"/>
            <w:shd w:val="clear" w:color="auto" w:fill="auto"/>
            <w:tcMar>
              <w:top w:w="0" w:type="dxa"/>
              <w:left w:w="108" w:type="dxa"/>
              <w:bottom w:w="0" w:type="dxa"/>
              <w:right w:w="108" w:type="dxa"/>
            </w:tcMar>
            <w:vAlign w:val="center"/>
          </w:tcPr>
          <w:p w14:paraId="527B335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20,345.33</w:t>
            </w:r>
          </w:p>
        </w:tc>
        <w:tc>
          <w:tcPr>
            <w:tcW w:w="560" w:type="pct"/>
            <w:shd w:val="clear" w:color="auto" w:fill="auto"/>
            <w:tcMar>
              <w:top w:w="0" w:type="dxa"/>
              <w:left w:w="108" w:type="dxa"/>
              <w:bottom w:w="0" w:type="dxa"/>
              <w:right w:w="108" w:type="dxa"/>
            </w:tcMar>
            <w:vAlign w:val="center"/>
          </w:tcPr>
          <w:p w14:paraId="5B6E0CD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6.48%</w:t>
            </w:r>
          </w:p>
        </w:tc>
        <w:tc>
          <w:tcPr>
            <w:tcW w:w="755" w:type="pct"/>
            <w:shd w:val="clear" w:color="auto" w:fill="auto"/>
            <w:tcMar>
              <w:top w:w="0" w:type="dxa"/>
              <w:left w:w="108" w:type="dxa"/>
              <w:bottom w:w="0" w:type="dxa"/>
              <w:right w:w="108" w:type="dxa"/>
            </w:tcMar>
            <w:vAlign w:val="center"/>
          </w:tcPr>
          <w:p w14:paraId="27EE70D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24,665.45</w:t>
            </w:r>
          </w:p>
        </w:tc>
        <w:tc>
          <w:tcPr>
            <w:tcW w:w="561" w:type="pct"/>
            <w:shd w:val="clear" w:color="auto" w:fill="auto"/>
            <w:tcMar>
              <w:top w:w="0" w:type="dxa"/>
              <w:left w:w="108" w:type="dxa"/>
              <w:bottom w:w="0" w:type="dxa"/>
              <w:right w:w="108" w:type="dxa"/>
            </w:tcMar>
            <w:vAlign w:val="center"/>
          </w:tcPr>
          <w:p w14:paraId="016BA37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4.28%</w:t>
            </w:r>
          </w:p>
        </w:tc>
        <w:tc>
          <w:tcPr>
            <w:tcW w:w="755" w:type="pct"/>
            <w:shd w:val="clear" w:color="auto" w:fill="auto"/>
            <w:tcMar>
              <w:top w:w="0" w:type="dxa"/>
              <w:left w:w="108" w:type="dxa"/>
              <w:bottom w:w="0" w:type="dxa"/>
              <w:right w:w="108" w:type="dxa"/>
            </w:tcMar>
            <w:vAlign w:val="center"/>
          </w:tcPr>
          <w:p w14:paraId="196A473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36,448.69</w:t>
            </w:r>
          </w:p>
        </w:tc>
        <w:tc>
          <w:tcPr>
            <w:tcW w:w="561" w:type="pct"/>
            <w:shd w:val="clear" w:color="auto" w:fill="auto"/>
            <w:tcMar>
              <w:top w:w="0" w:type="dxa"/>
              <w:left w:w="108" w:type="dxa"/>
              <w:bottom w:w="0" w:type="dxa"/>
              <w:right w:w="108" w:type="dxa"/>
            </w:tcMar>
            <w:vAlign w:val="center"/>
          </w:tcPr>
          <w:p w14:paraId="1D3B246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4.95%</w:t>
            </w:r>
          </w:p>
        </w:tc>
      </w:tr>
      <w:tr w:rsidR="006416B0" w:rsidRPr="00B4515A" w14:paraId="7A3D829D"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0398D83D"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其他应收款</w:t>
            </w:r>
          </w:p>
        </w:tc>
        <w:tc>
          <w:tcPr>
            <w:tcW w:w="755" w:type="pct"/>
            <w:shd w:val="clear" w:color="auto" w:fill="auto"/>
            <w:tcMar>
              <w:top w:w="0" w:type="dxa"/>
              <w:left w:w="108" w:type="dxa"/>
              <w:bottom w:w="0" w:type="dxa"/>
              <w:right w:w="108" w:type="dxa"/>
            </w:tcMar>
            <w:vAlign w:val="center"/>
          </w:tcPr>
          <w:p w14:paraId="19AC595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6,542.07</w:t>
            </w:r>
          </w:p>
        </w:tc>
        <w:tc>
          <w:tcPr>
            <w:tcW w:w="560" w:type="pct"/>
            <w:shd w:val="clear" w:color="auto" w:fill="auto"/>
            <w:tcMar>
              <w:top w:w="0" w:type="dxa"/>
              <w:left w:w="108" w:type="dxa"/>
              <w:bottom w:w="0" w:type="dxa"/>
              <w:right w:w="108" w:type="dxa"/>
            </w:tcMar>
            <w:vAlign w:val="center"/>
          </w:tcPr>
          <w:p w14:paraId="03EC3CA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2.08%</w:t>
            </w:r>
          </w:p>
        </w:tc>
        <w:tc>
          <w:tcPr>
            <w:tcW w:w="755" w:type="pct"/>
            <w:shd w:val="clear" w:color="auto" w:fill="auto"/>
            <w:tcMar>
              <w:top w:w="0" w:type="dxa"/>
              <w:left w:w="108" w:type="dxa"/>
              <w:bottom w:w="0" w:type="dxa"/>
              <w:right w:w="108" w:type="dxa"/>
            </w:tcMar>
            <w:vAlign w:val="center"/>
          </w:tcPr>
          <w:p w14:paraId="18DF09D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49,330.53</w:t>
            </w:r>
          </w:p>
        </w:tc>
        <w:tc>
          <w:tcPr>
            <w:tcW w:w="561" w:type="pct"/>
            <w:shd w:val="clear" w:color="auto" w:fill="auto"/>
            <w:tcMar>
              <w:top w:w="0" w:type="dxa"/>
              <w:left w:w="108" w:type="dxa"/>
              <w:bottom w:w="0" w:type="dxa"/>
              <w:right w:w="108" w:type="dxa"/>
            </w:tcMar>
            <w:vAlign w:val="center"/>
          </w:tcPr>
          <w:p w14:paraId="3F89F9A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8.55%</w:t>
            </w:r>
          </w:p>
        </w:tc>
        <w:tc>
          <w:tcPr>
            <w:tcW w:w="755" w:type="pct"/>
            <w:shd w:val="clear" w:color="auto" w:fill="auto"/>
            <w:tcMar>
              <w:top w:w="0" w:type="dxa"/>
              <w:left w:w="108" w:type="dxa"/>
              <w:bottom w:w="0" w:type="dxa"/>
              <w:right w:w="108" w:type="dxa"/>
            </w:tcMar>
            <w:vAlign w:val="center"/>
          </w:tcPr>
          <w:p w14:paraId="2B3A92C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49,225.35</w:t>
            </w:r>
          </w:p>
        </w:tc>
        <w:tc>
          <w:tcPr>
            <w:tcW w:w="561" w:type="pct"/>
            <w:shd w:val="clear" w:color="auto" w:fill="auto"/>
            <w:tcMar>
              <w:top w:w="0" w:type="dxa"/>
              <w:left w:w="108" w:type="dxa"/>
              <w:bottom w:w="0" w:type="dxa"/>
              <w:right w:w="108" w:type="dxa"/>
            </w:tcMar>
            <w:vAlign w:val="center"/>
          </w:tcPr>
          <w:p w14:paraId="011E15F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6.68%</w:t>
            </w:r>
          </w:p>
        </w:tc>
      </w:tr>
      <w:tr w:rsidR="006416B0" w:rsidRPr="00B4515A" w14:paraId="18CC0BA7"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78DCF9C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存货</w:t>
            </w:r>
          </w:p>
        </w:tc>
        <w:tc>
          <w:tcPr>
            <w:tcW w:w="755" w:type="pct"/>
            <w:shd w:val="clear" w:color="auto" w:fill="auto"/>
            <w:tcMar>
              <w:top w:w="0" w:type="dxa"/>
              <w:left w:w="108" w:type="dxa"/>
              <w:bottom w:w="0" w:type="dxa"/>
              <w:right w:w="108" w:type="dxa"/>
            </w:tcMar>
            <w:vAlign w:val="center"/>
          </w:tcPr>
          <w:p w14:paraId="5067CDE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21,003.33</w:t>
            </w:r>
          </w:p>
        </w:tc>
        <w:tc>
          <w:tcPr>
            <w:tcW w:w="560" w:type="pct"/>
            <w:shd w:val="clear" w:color="auto" w:fill="auto"/>
            <w:tcMar>
              <w:top w:w="0" w:type="dxa"/>
              <w:left w:w="108" w:type="dxa"/>
              <w:bottom w:w="0" w:type="dxa"/>
              <w:right w:w="108" w:type="dxa"/>
            </w:tcMar>
            <w:vAlign w:val="center"/>
          </w:tcPr>
          <w:p w14:paraId="39537CE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6.69%</w:t>
            </w:r>
          </w:p>
        </w:tc>
        <w:tc>
          <w:tcPr>
            <w:tcW w:w="755" w:type="pct"/>
            <w:shd w:val="clear" w:color="auto" w:fill="auto"/>
            <w:tcMar>
              <w:top w:w="0" w:type="dxa"/>
              <w:left w:w="108" w:type="dxa"/>
              <w:bottom w:w="0" w:type="dxa"/>
              <w:right w:w="108" w:type="dxa"/>
            </w:tcMar>
            <w:vAlign w:val="center"/>
          </w:tcPr>
          <w:p w14:paraId="52EA624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39,091.87</w:t>
            </w:r>
          </w:p>
        </w:tc>
        <w:tc>
          <w:tcPr>
            <w:tcW w:w="561" w:type="pct"/>
            <w:shd w:val="clear" w:color="auto" w:fill="auto"/>
            <w:tcMar>
              <w:top w:w="0" w:type="dxa"/>
              <w:left w:w="108" w:type="dxa"/>
              <w:bottom w:w="0" w:type="dxa"/>
              <w:right w:w="108" w:type="dxa"/>
            </w:tcMar>
            <w:vAlign w:val="center"/>
          </w:tcPr>
          <w:p w14:paraId="04CA4E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6.78%</w:t>
            </w:r>
          </w:p>
        </w:tc>
        <w:tc>
          <w:tcPr>
            <w:tcW w:w="755" w:type="pct"/>
            <w:shd w:val="clear" w:color="auto" w:fill="auto"/>
            <w:tcMar>
              <w:top w:w="0" w:type="dxa"/>
              <w:left w:w="108" w:type="dxa"/>
              <w:bottom w:w="0" w:type="dxa"/>
              <w:right w:w="108" w:type="dxa"/>
            </w:tcMar>
            <w:vAlign w:val="center"/>
          </w:tcPr>
          <w:p w14:paraId="603B5A9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49,724.31</w:t>
            </w:r>
          </w:p>
        </w:tc>
        <w:tc>
          <w:tcPr>
            <w:tcW w:w="561" w:type="pct"/>
            <w:shd w:val="clear" w:color="auto" w:fill="auto"/>
            <w:tcMar>
              <w:top w:w="0" w:type="dxa"/>
              <w:left w:w="108" w:type="dxa"/>
              <w:bottom w:w="0" w:type="dxa"/>
              <w:right w:w="108" w:type="dxa"/>
            </w:tcMar>
            <w:vAlign w:val="center"/>
          </w:tcPr>
          <w:p w14:paraId="600E1F1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6.75%</w:t>
            </w:r>
          </w:p>
        </w:tc>
      </w:tr>
      <w:tr w:rsidR="006416B0" w:rsidRPr="00B4515A" w14:paraId="1E496AF5"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66E7CC0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合同资产</w:t>
            </w:r>
          </w:p>
        </w:tc>
        <w:tc>
          <w:tcPr>
            <w:tcW w:w="755" w:type="pct"/>
            <w:shd w:val="clear" w:color="auto" w:fill="auto"/>
            <w:tcMar>
              <w:top w:w="0" w:type="dxa"/>
              <w:left w:w="108" w:type="dxa"/>
              <w:bottom w:w="0" w:type="dxa"/>
              <w:right w:w="108" w:type="dxa"/>
            </w:tcMar>
            <w:vAlign w:val="center"/>
          </w:tcPr>
          <w:p w14:paraId="658AF18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116.50</w:t>
            </w:r>
          </w:p>
        </w:tc>
        <w:tc>
          <w:tcPr>
            <w:tcW w:w="560" w:type="pct"/>
            <w:shd w:val="clear" w:color="auto" w:fill="auto"/>
            <w:tcMar>
              <w:top w:w="0" w:type="dxa"/>
              <w:left w:w="108" w:type="dxa"/>
              <w:bottom w:w="0" w:type="dxa"/>
              <w:right w:w="108" w:type="dxa"/>
            </w:tcMar>
            <w:vAlign w:val="center"/>
          </w:tcPr>
          <w:p w14:paraId="1E60786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0.04%</w:t>
            </w:r>
          </w:p>
        </w:tc>
        <w:tc>
          <w:tcPr>
            <w:tcW w:w="755" w:type="pct"/>
            <w:shd w:val="clear" w:color="auto" w:fill="auto"/>
            <w:tcMar>
              <w:top w:w="0" w:type="dxa"/>
              <w:left w:w="108" w:type="dxa"/>
              <w:bottom w:w="0" w:type="dxa"/>
              <w:right w:w="108" w:type="dxa"/>
            </w:tcMar>
            <w:vAlign w:val="center"/>
          </w:tcPr>
          <w:p w14:paraId="75F6B46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61" w:type="pct"/>
            <w:shd w:val="clear" w:color="auto" w:fill="auto"/>
            <w:tcMar>
              <w:top w:w="0" w:type="dxa"/>
              <w:left w:w="108" w:type="dxa"/>
              <w:bottom w:w="0" w:type="dxa"/>
              <w:right w:w="108" w:type="dxa"/>
            </w:tcMar>
            <w:vAlign w:val="center"/>
          </w:tcPr>
          <w:p w14:paraId="147459E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755" w:type="pct"/>
            <w:shd w:val="clear" w:color="auto" w:fill="auto"/>
            <w:tcMar>
              <w:top w:w="0" w:type="dxa"/>
              <w:left w:w="108" w:type="dxa"/>
              <w:bottom w:w="0" w:type="dxa"/>
              <w:right w:w="108" w:type="dxa"/>
            </w:tcMar>
            <w:vAlign w:val="center"/>
          </w:tcPr>
          <w:p w14:paraId="4EA964C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61" w:type="pct"/>
            <w:shd w:val="clear" w:color="auto" w:fill="auto"/>
            <w:tcMar>
              <w:top w:w="0" w:type="dxa"/>
              <w:left w:w="108" w:type="dxa"/>
              <w:bottom w:w="0" w:type="dxa"/>
              <w:right w:w="108" w:type="dxa"/>
            </w:tcMar>
            <w:vAlign w:val="center"/>
          </w:tcPr>
          <w:p w14:paraId="538B33A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r>
      <w:tr w:rsidR="006416B0" w:rsidRPr="00B4515A" w14:paraId="68D4F93A"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0198F1F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其他流动资产</w:t>
            </w:r>
          </w:p>
        </w:tc>
        <w:tc>
          <w:tcPr>
            <w:tcW w:w="755" w:type="pct"/>
            <w:shd w:val="clear" w:color="auto" w:fill="auto"/>
            <w:tcMar>
              <w:top w:w="0" w:type="dxa"/>
              <w:left w:w="108" w:type="dxa"/>
              <w:bottom w:w="0" w:type="dxa"/>
              <w:right w:w="108" w:type="dxa"/>
            </w:tcMar>
            <w:vAlign w:val="center"/>
          </w:tcPr>
          <w:p w14:paraId="6386D2E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3,026.65</w:t>
            </w:r>
          </w:p>
        </w:tc>
        <w:tc>
          <w:tcPr>
            <w:tcW w:w="560" w:type="pct"/>
            <w:shd w:val="clear" w:color="auto" w:fill="auto"/>
            <w:tcMar>
              <w:top w:w="0" w:type="dxa"/>
              <w:left w:w="108" w:type="dxa"/>
              <w:bottom w:w="0" w:type="dxa"/>
              <w:right w:w="108" w:type="dxa"/>
            </w:tcMar>
            <w:vAlign w:val="center"/>
          </w:tcPr>
          <w:p w14:paraId="46563A7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0.96%</w:t>
            </w:r>
          </w:p>
        </w:tc>
        <w:tc>
          <w:tcPr>
            <w:tcW w:w="755" w:type="pct"/>
            <w:shd w:val="clear" w:color="auto" w:fill="auto"/>
            <w:tcMar>
              <w:top w:w="0" w:type="dxa"/>
              <w:left w:w="108" w:type="dxa"/>
              <w:bottom w:w="0" w:type="dxa"/>
              <w:right w:w="108" w:type="dxa"/>
            </w:tcMar>
            <w:vAlign w:val="center"/>
          </w:tcPr>
          <w:p w14:paraId="750DDC4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4,903.82</w:t>
            </w:r>
          </w:p>
        </w:tc>
        <w:tc>
          <w:tcPr>
            <w:tcW w:w="561" w:type="pct"/>
            <w:shd w:val="clear" w:color="auto" w:fill="auto"/>
            <w:tcMar>
              <w:top w:w="0" w:type="dxa"/>
              <w:left w:w="108" w:type="dxa"/>
              <w:bottom w:w="0" w:type="dxa"/>
              <w:right w:w="108" w:type="dxa"/>
            </w:tcMar>
            <w:vAlign w:val="center"/>
          </w:tcPr>
          <w:p w14:paraId="2FC8124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0.85%</w:t>
            </w:r>
          </w:p>
        </w:tc>
        <w:tc>
          <w:tcPr>
            <w:tcW w:w="755" w:type="pct"/>
            <w:shd w:val="clear" w:color="auto" w:fill="auto"/>
            <w:tcMar>
              <w:top w:w="0" w:type="dxa"/>
              <w:left w:w="108" w:type="dxa"/>
              <w:bottom w:w="0" w:type="dxa"/>
              <w:right w:w="108" w:type="dxa"/>
            </w:tcMar>
            <w:vAlign w:val="center"/>
          </w:tcPr>
          <w:p w14:paraId="2971946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3,593.12</w:t>
            </w:r>
          </w:p>
        </w:tc>
        <w:tc>
          <w:tcPr>
            <w:tcW w:w="561" w:type="pct"/>
            <w:shd w:val="clear" w:color="auto" w:fill="auto"/>
            <w:tcMar>
              <w:top w:w="0" w:type="dxa"/>
              <w:left w:w="108" w:type="dxa"/>
              <w:bottom w:w="0" w:type="dxa"/>
              <w:right w:w="108" w:type="dxa"/>
            </w:tcMar>
            <w:vAlign w:val="center"/>
          </w:tcPr>
          <w:p w14:paraId="0556AA6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0.49%</w:t>
            </w:r>
          </w:p>
        </w:tc>
      </w:tr>
      <w:tr w:rsidR="006416B0" w:rsidRPr="00B4515A" w14:paraId="49E74A9E"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4D6A19E9"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流动资产合计</w:t>
            </w:r>
          </w:p>
        </w:tc>
        <w:tc>
          <w:tcPr>
            <w:tcW w:w="755" w:type="pct"/>
            <w:shd w:val="clear" w:color="auto" w:fill="auto"/>
            <w:tcMar>
              <w:top w:w="0" w:type="dxa"/>
              <w:left w:w="108" w:type="dxa"/>
              <w:bottom w:w="0" w:type="dxa"/>
              <w:right w:w="108" w:type="dxa"/>
            </w:tcMar>
            <w:vAlign w:val="center"/>
          </w:tcPr>
          <w:p w14:paraId="7A70D270"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129,603.33</w:t>
            </w:r>
          </w:p>
        </w:tc>
        <w:tc>
          <w:tcPr>
            <w:tcW w:w="560" w:type="pct"/>
            <w:shd w:val="clear" w:color="auto" w:fill="auto"/>
            <w:tcMar>
              <w:top w:w="0" w:type="dxa"/>
              <w:left w:w="108" w:type="dxa"/>
              <w:bottom w:w="0" w:type="dxa"/>
              <w:right w:w="108" w:type="dxa"/>
            </w:tcMar>
            <w:vAlign w:val="center"/>
          </w:tcPr>
          <w:p w14:paraId="554607E0"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41.27%</w:t>
            </w:r>
          </w:p>
        </w:tc>
        <w:tc>
          <w:tcPr>
            <w:tcW w:w="755" w:type="pct"/>
            <w:shd w:val="clear" w:color="auto" w:fill="auto"/>
            <w:tcMar>
              <w:top w:w="0" w:type="dxa"/>
              <w:left w:w="108" w:type="dxa"/>
              <w:bottom w:w="0" w:type="dxa"/>
              <w:right w:w="108" w:type="dxa"/>
            </w:tcMar>
            <w:vAlign w:val="center"/>
          </w:tcPr>
          <w:p w14:paraId="7AA8F982"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265,029.77</w:t>
            </w:r>
          </w:p>
        </w:tc>
        <w:tc>
          <w:tcPr>
            <w:tcW w:w="561" w:type="pct"/>
            <w:shd w:val="clear" w:color="auto" w:fill="auto"/>
            <w:tcMar>
              <w:top w:w="0" w:type="dxa"/>
              <w:left w:w="108" w:type="dxa"/>
              <w:bottom w:w="0" w:type="dxa"/>
              <w:right w:w="108" w:type="dxa"/>
            </w:tcMar>
            <w:vAlign w:val="center"/>
          </w:tcPr>
          <w:p w14:paraId="3F78E7F6"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45.93%</w:t>
            </w:r>
          </w:p>
        </w:tc>
        <w:tc>
          <w:tcPr>
            <w:tcW w:w="755" w:type="pct"/>
            <w:shd w:val="clear" w:color="auto" w:fill="auto"/>
            <w:tcMar>
              <w:top w:w="0" w:type="dxa"/>
              <w:left w:w="108" w:type="dxa"/>
              <w:bottom w:w="0" w:type="dxa"/>
              <w:right w:w="108" w:type="dxa"/>
            </w:tcMar>
            <w:vAlign w:val="center"/>
          </w:tcPr>
          <w:p w14:paraId="1C67AC66"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374,282.42</w:t>
            </w:r>
          </w:p>
        </w:tc>
        <w:tc>
          <w:tcPr>
            <w:tcW w:w="561" w:type="pct"/>
            <w:shd w:val="clear" w:color="auto" w:fill="auto"/>
            <w:tcMar>
              <w:top w:w="0" w:type="dxa"/>
              <w:left w:w="108" w:type="dxa"/>
              <w:bottom w:w="0" w:type="dxa"/>
              <w:right w:w="108" w:type="dxa"/>
            </w:tcMar>
            <w:vAlign w:val="center"/>
          </w:tcPr>
          <w:p w14:paraId="504D8B56"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50.78%</w:t>
            </w:r>
          </w:p>
        </w:tc>
      </w:tr>
      <w:tr w:rsidR="006416B0" w:rsidRPr="00B4515A" w14:paraId="6B28BAAF"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49266A3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非流动资产：</w:t>
            </w:r>
          </w:p>
        </w:tc>
        <w:tc>
          <w:tcPr>
            <w:tcW w:w="755" w:type="pct"/>
            <w:shd w:val="clear" w:color="auto" w:fill="auto"/>
            <w:tcMar>
              <w:top w:w="0" w:type="dxa"/>
              <w:left w:w="108" w:type="dxa"/>
              <w:bottom w:w="0" w:type="dxa"/>
              <w:right w:w="108" w:type="dxa"/>
            </w:tcMar>
            <w:vAlign w:val="center"/>
          </w:tcPr>
          <w:p w14:paraId="61C57926"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560" w:type="pct"/>
            <w:shd w:val="clear" w:color="auto" w:fill="auto"/>
            <w:tcMar>
              <w:top w:w="0" w:type="dxa"/>
              <w:left w:w="108" w:type="dxa"/>
              <w:bottom w:w="0" w:type="dxa"/>
              <w:right w:w="108" w:type="dxa"/>
            </w:tcMar>
            <w:vAlign w:val="center"/>
          </w:tcPr>
          <w:p w14:paraId="6FC59758"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755" w:type="pct"/>
            <w:shd w:val="clear" w:color="auto" w:fill="auto"/>
            <w:tcMar>
              <w:top w:w="0" w:type="dxa"/>
              <w:left w:w="108" w:type="dxa"/>
              <w:bottom w:w="0" w:type="dxa"/>
              <w:right w:w="108" w:type="dxa"/>
            </w:tcMar>
            <w:vAlign w:val="center"/>
          </w:tcPr>
          <w:p w14:paraId="0A4C046E"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561" w:type="pct"/>
            <w:shd w:val="clear" w:color="auto" w:fill="auto"/>
            <w:tcMar>
              <w:top w:w="0" w:type="dxa"/>
              <w:left w:w="108" w:type="dxa"/>
              <w:bottom w:w="0" w:type="dxa"/>
              <w:right w:w="108" w:type="dxa"/>
            </w:tcMar>
            <w:vAlign w:val="center"/>
          </w:tcPr>
          <w:p w14:paraId="2152B45F"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755" w:type="pct"/>
            <w:shd w:val="clear" w:color="auto" w:fill="auto"/>
            <w:tcMar>
              <w:top w:w="0" w:type="dxa"/>
              <w:left w:w="108" w:type="dxa"/>
              <w:bottom w:w="0" w:type="dxa"/>
              <w:right w:w="108" w:type="dxa"/>
            </w:tcMar>
            <w:vAlign w:val="center"/>
          </w:tcPr>
          <w:p w14:paraId="7CDE7421"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561" w:type="pct"/>
            <w:shd w:val="clear" w:color="auto" w:fill="auto"/>
            <w:tcMar>
              <w:top w:w="0" w:type="dxa"/>
              <w:left w:w="108" w:type="dxa"/>
              <w:bottom w:w="0" w:type="dxa"/>
              <w:right w:w="108" w:type="dxa"/>
            </w:tcMar>
            <w:vAlign w:val="center"/>
          </w:tcPr>
          <w:p w14:paraId="7D1A0B19"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r>
      <w:tr w:rsidR="006416B0" w:rsidRPr="00B4515A" w14:paraId="66525F1E"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56D066C9"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可供出售金融</w:t>
            </w:r>
          </w:p>
          <w:p w14:paraId="148ECE7A" w14:textId="1404201D"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资产</w:t>
            </w:r>
          </w:p>
        </w:tc>
        <w:tc>
          <w:tcPr>
            <w:tcW w:w="755" w:type="pct"/>
            <w:shd w:val="clear" w:color="auto" w:fill="auto"/>
            <w:tcMar>
              <w:top w:w="0" w:type="dxa"/>
              <w:left w:w="108" w:type="dxa"/>
              <w:bottom w:w="0" w:type="dxa"/>
              <w:right w:w="108" w:type="dxa"/>
            </w:tcMar>
            <w:vAlign w:val="center"/>
          </w:tcPr>
          <w:p w14:paraId="4593DE6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60" w:type="pct"/>
            <w:shd w:val="clear" w:color="auto" w:fill="auto"/>
            <w:tcMar>
              <w:top w:w="0" w:type="dxa"/>
              <w:left w:w="108" w:type="dxa"/>
              <w:bottom w:w="0" w:type="dxa"/>
              <w:right w:w="108" w:type="dxa"/>
            </w:tcMar>
            <w:vAlign w:val="center"/>
          </w:tcPr>
          <w:p w14:paraId="54C73B0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755" w:type="pct"/>
            <w:shd w:val="clear" w:color="auto" w:fill="auto"/>
            <w:tcMar>
              <w:top w:w="0" w:type="dxa"/>
              <w:left w:w="108" w:type="dxa"/>
              <w:bottom w:w="0" w:type="dxa"/>
              <w:right w:w="108" w:type="dxa"/>
            </w:tcMar>
            <w:vAlign w:val="center"/>
          </w:tcPr>
          <w:p w14:paraId="7A315FA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61" w:type="pct"/>
            <w:shd w:val="clear" w:color="auto" w:fill="auto"/>
            <w:tcMar>
              <w:top w:w="0" w:type="dxa"/>
              <w:left w:w="108" w:type="dxa"/>
              <w:bottom w:w="0" w:type="dxa"/>
              <w:right w:w="108" w:type="dxa"/>
            </w:tcMar>
            <w:vAlign w:val="center"/>
          </w:tcPr>
          <w:p w14:paraId="533056A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755" w:type="pct"/>
            <w:shd w:val="clear" w:color="auto" w:fill="auto"/>
            <w:tcMar>
              <w:top w:w="0" w:type="dxa"/>
              <w:left w:w="108" w:type="dxa"/>
              <w:bottom w:w="0" w:type="dxa"/>
              <w:right w:w="108" w:type="dxa"/>
            </w:tcMar>
            <w:vAlign w:val="center"/>
          </w:tcPr>
          <w:p w14:paraId="0079003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4,316.79</w:t>
            </w:r>
          </w:p>
        </w:tc>
        <w:tc>
          <w:tcPr>
            <w:tcW w:w="561" w:type="pct"/>
            <w:shd w:val="clear" w:color="auto" w:fill="auto"/>
            <w:tcMar>
              <w:top w:w="0" w:type="dxa"/>
              <w:left w:w="108" w:type="dxa"/>
              <w:bottom w:w="0" w:type="dxa"/>
              <w:right w:w="108" w:type="dxa"/>
            </w:tcMar>
            <w:vAlign w:val="center"/>
          </w:tcPr>
          <w:p w14:paraId="3D0AE72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0.59%</w:t>
            </w:r>
          </w:p>
        </w:tc>
      </w:tr>
      <w:tr w:rsidR="006416B0" w:rsidRPr="00B4515A" w14:paraId="41606EFF"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7D50AC02"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其他权益工具</w:t>
            </w:r>
          </w:p>
          <w:p w14:paraId="0117DDB1" w14:textId="1AE3C0C4"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投资</w:t>
            </w:r>
          </w:p>
        </w:tc>
        <w:tc>
          <w:tcPr>
            <w:tcW w:w="755" w:type="pct"/>
            <w:shd w:val="clear" w:color="auto" w:fill="auto"/>
            <w:tcMar>
              <w:top w:w="0" w:type="dxa"/>
              <w:left w:w="108" w:type="dxa"/>
              <w:bottom w:w="0" w:type="dxa"/>
              <w:right w:w="108" w:type="dxa"/>
            </w:tcMar>
            <w:vAlign w:val="center"/>
          </w:tcPr>
          <w:p w14:paraId="0BA06FF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6,097.34</w:t>
            </w:r>
          </w:p>
        </w:tc>
        <w:tc>
          <w:tcPr>
            <w:tcW w:w="560" w:type="pct"/>
            <w:shd w:val="clear" w:color="auto" w:fill="auto"/>
            <w:tcMar>
              <w:top w:w="0" w:type="dxa"/>
              <w:left w:w="108" w:type="dxa"/>
              <w:bottom w:w="0" w:type="dxa"/>
              <w:right w:w="108" w:type="dxa"/>
            </w:tcMar>
            <w:vAlign w:val="center"/>
          </w:tcPr>
          <w:p w14:paraId="24F45E6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1.94%</w:t>
            </w:r>
          </w:p>
        </w:tc>
        <w:tc>
          <w:tcPr>
            <w:tcW w:w="755" w:type="pct"/>
            <w:shd w:val="clear" w:color="auto" w:fill="auto"/>
            <w:tcMar>
              <w:top w:w="0" w:type="dxa"/>
              <w:left w:w="108" w:type="dxa"/>
              <w:bottom w:w="0" w:type="dxa"/>
              <w:right w:w="108" w:type="dxa"/>
            </w:tcMar>
            <w:vAlign w:val="center"/>
          </w:tcPr>
          <w:p w14:paraId="4DD75F1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4,445.31</w:t>
            </w:r>
          </w:p>
        </w:tc>
        <w:tc>
          <w:tcPr>
            <w:tcW w:w="561" w:type="pct"/>
            <w:shd w:val="clear" w:color="auto" w:fill="auto"/>
            <w:tcMar>
              <w:top w:w="0" w:type="dxa"/>
              <w:left w:w="108" w:type="dxa"/>
              <w:bottom w:w="0" w:type="dxa"/>
              <w:right w:w="108" w:type="dxa"/>
            </w:tcMar>
            <w:vAlign w:val="center"/>
          </w:tcPr>
          <w:p w14:paraId="5A66DA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0.77%</w:t>
            </w:r>
          </w:p>
        </w:tc>
        <w:tc>
          <w:tcPr>
            <w:tcW w:w="755" w:type="pct"/>
            <w:shd w:val="clear" w:color="auto" w:fill="auto"/>
            <w:tcMar>
              <w:top w:w="0" w:type="dxa"/>
              <w:left w:w="108" w:type="dxa"/>
              <w:bottom w:w="0" w:type="dxa"/>
              <w:right w:w="108" w:type="dxa"/>
            </w:tcMar>
            <w:vAlign w:val="center"/>
          </w:tcPr>
          <w:p w14:paraId="36E278C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61" w:type="pct"/>
            <w:shd w:val="clear" w:color="auto" w:fill="auto"/>
            <w:tcMar>
              <w:top w:w="0" w:type="dxa"/>
              <w:left w:w="108" w:type="dxa"/>
              <w:bottom w:w="0" w:type="dxa"/>
              <w:right w:w="108" w:type="dxa"/>
            </w:tcMar>
            <w:vAlign w:val="center"/>
          </w:tcPr>
          <w:p w14:paraId="294118C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r>
      <w:tr w:rsidR="006416B0" w:rsidRPr="00B4515A" w14:paraId="1A96967F"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2B8F0B4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长期股权投资</w:t>
            </w:r>
          </w:p>
        </w:tc>
        <w:tc>
          <w:tcPr>
            <w:tcW w:w="755" w:type="pct"/>
            <w:shd w:val="clear" w:color="auto" w:fill="auto"/>
            <w:tcMar>
              <w:top w:w="0" w:type="dxa"/>
              <w:left w:w="108" w:type="dxa"/>
              <w:bottom w:w="0" w:type="dxa"/>
              <w:right w:w="108" w:type="dxa"/>
            </w:tcMar>
            <w:vAlign w:val="center"/>
          </w:tcPr>
          <w:p w14:paraId="29B03FB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110,472.11</w:t>
            </w:r>
          </w:p>
        </w:tc>
        <w:tc>
          <w:tcPr>
            <w:tcW w:w="560" w:type="pct"/>
            <w:shd w:val="clear" w:color="auto" w:fill="auto"/>
            <w:tcMar>
              <w:top w:w="0" w:type="dxa"/>
              <w:left w:w="108" w:type="dxa"/>
              <w:bottom w:w="0" w:type="dxa"/>
              <w:right w:w="108" w:type="dxa"/>
            </w:tcMar>
            <w:vAlign w:val="center"/>
          </w:tcPr>
          <w:p w14:paraId="69892DA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35.18%</w:t>
            </w:r>
          </w:p>
        </w:tc>
        <w:tc>
          <w:tcPr>
            <w:tcW w:w="755" w:type="pct"/>
            <w:shd w:val="clear" w:color="auto" w:fill="auto"/>
            <w:tcMar>
              <w:top w:w="0" w:type="dxa"/>
              <w:left w:w="108" w:type="dxa"/>
              <w:bottom w:w="0" w:type="dxa"/>
              <w:right w:w="108" w:type="dxa"/>
            </w:tcMar>
            <w:vAlign w:val="center"/>
          </w:tcPr>
          <w:p w14:paraId="4EA9B8F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120,008.81</w:t>
            </w:r>
          </w:p>
        </w:tc>
        <w:tc>
          <w:tcPr>
            <w:tcW w:w="561" w:type="pct"/>
            <w:shd w:val="clear" w:color="auto" w:fill="auto"/>
            <w:tcMar>
              <w:top w:w="0" w:type="dxa"/>
              <w:left w:w="108" w:type="dxa"/>
              <w:bottom w:w="0" w:type="dxa"/>
              <w:right w:w="108" w:type="dxa"/>
            </w:tcMar>
            <w:vAlign w:val="center"/>
          </w:tcPr>
          <w:p w14:paraId="602985E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20.80%</w:t>
            </w:r>
          </w:p>
        </w:tc>
        <w:tc>
          <w:tcPr>
            <w:tcW w:w="755" w:type="pct"/>
            <w:shd w:val="clear" w:color="auto" w:fill="auto"/>
            <w:tcMar>
              <w:top w:w="0" w:type="dxa"/>
              <w:left w:w="108" w:type="dxa"/>
              <w:bottom w:w="0" w:type="dxa"/>
              <w:right w:w="108" w:type="dxa"/>
            </w:tcMar>
            <w:vAlign w:val="center"/>
          </w:tcPr>
          <w:p w14:paraId="340345F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135,832.53</w:t>
            </w:r>
          </w:p>
        </w:tc>
        <w:tc>
          <w:tcPr>
            <w:tcW w:w="561" w:type="pct"/>
            <w:shd w:val="clear" w:color="auto" w:fill="auto"/>
            <w:tcMar>
              <w:top w:w="0" w:type="dxa"/>
              <w:left w:w="108" w:type="dxa"/>
              <w:bottom w:w="0" w:type="dxa"/>
              <w:right w:w="108" w:type="dxa"/>
            </w:tcMar>
            <w:vAlign w:val="center"/>
          </w:tcPr>
          <w:p w14:paraId="7C9FD40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18.43%</w:t>
            </w:r>
          </w:p>
        </w:tc>
      </w:tr>
      <w:tr w:rsidR="006416B0" w:rsidRPr="00B4515A" w14:paraId="17B1C1AC"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1E183A37"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固定资产</w:t>
            </w:r>
          </w:p>
        </w:tc>
        <w:tc>
          <w:tcPr>
            <w:tcW w:w="755" w:type="pct"/>
            <w:shd w:val="clear" w:color="auto" w:fill="auto"/>
            <w:tcMar>
              <w:top w:w="0" w:type="dxa"/>
              <w:left w:w="108" w:type="dxa"/>
              <w:bottom w:w="0" w:type="dxa"/>
              <w:right w:w="108" w:type="dxa"/>
            </w:tcMar>
            <w:vAlign w:val="center"/>
          </w:tcPr>
          <w:p w14:paraId="227E0CA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40,032.01</w:t>
            </w:r>
          </w:p>
        </w:tc>
        <w:tc>
          <w:tcPr>
            <w:tcW w:w="560" w:type="pct"/>
            <w:shd w:val="clear" w:color="auto" w:fill="auto"/>
            <w:tcMar>
              <w:top w:w="0" w:type="dxa"/>
              <w:left w:w="108" w:type="dxa"/>
              <w:bottom w:w="0" w:type="dxa"/>
              <w:right w:w="108" w:type="dxa"/>
            </w:tcMar>
            <w:vAlign w:val="center"/>
          </w:tcPr>
          <w:p w14:paraId="58B9014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12.75%</w:t>
            </w:r>
          </w:p>
        </w:tc>
        <w:tc>
          <w:tcPr>
            <w:tcW w:w="755" w:type="pct"/>
            <w:shd w:val="clear" w:color="auto" w:fill="auto"/>
            <w:tcMar>
              <w:top w:w="0" w:type="dxa"/>
              <w:left w:w="108" w:type="dxa"/>
              <w:bottom w:w="0" w:type="dxa"/>
              <w:right w:w="108" w:type="dxa"/>
            </w:tcMar>
            <w:vAlign w:val="center"/>
          </w:tcPr>
          <w:p w14:paraId="4C72854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49,611.00</w:t>
            </w:r>
          </w:p>
        </w:tc>
        <w:tc>
          <w:tcPr>
            <w:tcW w:w="561" w:type="pct"/>
            <w:shd w:val="clear" w:color="auto" w:fill="auto"/>
            <w:tcMar>
              <w:top w:w="0" w:type="dxa"/>
              <w:left w:w="108" w:type="dxa"/>
              <w:bottom w:w="0" w:type="dxa"/>
              <w:right w:w="108" w:type="dxa"/>
            </w:tcMar>
            <w:vAlign w:val="center"/>
          </w:tcPr>
          <w:p w14:paraId="60703DD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8.60%</w:t>
            </w:r>
          </w:p>
        </w:tc>
        <w:tc>
          <w:tcPr>
            <w:tcW w:w="755" w:type="pct"/>
            <w:shd w:val="clear" w:color="auto" w:fill="auto"/>
            <w:tcMar>
              <w:top w:w="0" w:type="dxa"/>
              <w:left w:w="108" w:type="dxa"/>
              <w:bottom w:w="0" w:type="dxa"/>
              <w:right w:w="108" w:type="dxa"/>
            </w:tcMar>
            <w:vAlign w:val="center"/>
          </w:tcPr>
          <w:p w14:paraId="4D00AE9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54,622.76</w:t>
            </w:r>
          </w:p>
        </w:tc>
        <w:tc>
          <w:tcPr>
            <w:tcW w:w="561" w:type="pct"/>
            <w:shd w:val="clear" w:color="auto" w:fill="auto"/>
            <w:tcMar>
              <w:top w:w="0" w:type="dxa"/>
              <w:left w:w="108" w:type="dxa"/>
              <w:bottom w:w="0" w:type="dxa"/>
              <w:right w:w="108" w:type="dxa"/>
            </w:tcMar>
            <w:vAlign w:val="center"/>
          </w:tcPr>
          <w:p w14:paraId="2E3739D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7.41%</w:t>
            </w:r>
          </w:p>
        </w:tc>
      </w:tr>
      <w:tr w:rsidR="006416B0" w:rsidRPr="00B4515A" w14:paraId="4C19F9AA"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195FA68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在建工程</w:t>
            </w:r>
          </w:p>
        </w:tc>
        <w:tc>
          <w:tcPr>
            <w:tcW w:w="755" w:type="pct"/>
            <w:shd w:val="clear" w:color="auto" w:fill="auto"/>
            <w:tcMar>
              <w:top w:w="0" w:type="dxa"/>
              <w:left w:w="108" w:type="dxa"/>
              <w:bottom w:w="0" w:type="dxa"/>
              <w:right w:w="108" w:type="dxa"/>
            </w:tcMar>
            <w:vAlign w:val="center"/>
          </w:tcPr>
          <w:p w14:paraId="0585122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60" w:type="pct"/>
            <w:shd w:val="clear" w:color="auto" w:fill="auto"/>
            <w:tcMar>
              <w:top w:w="0" w:type="dxa"/>
              <w:left w:w="108" w:type="dxa"/>
              <w:bottom w:w="0" w:type="dxa"/>
              <w:right w:w="108" w:type="dxa"/>
            </w:tcMar>
            <w:vAlign w:val="center"/>
          </w:tcPr>
          <w:p w14:paraId="5D15BB4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755" w:type="pct"/>
            <w:shd w:val="clear" w:color="auto" w:fill="auto"/>
            <w:tcMar>
              <w:top w:w="0" w:type="dxa"/>
              <w:left w:w="108" w:type="dxa"/>
              <w:bottom w:w="0" w:type="dxa"/>
              <w:right w:w="108" w:type="dxa"/>
            </w:tcMar>
            <w:vAlign w:val="center"/>
          </w:tcPr>
          <w:p w14:paraId="25BE889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4.83</w:t>
            </w:r>
          </w:p>
        </w:tc>
        <w:tc>
          <w:tcPr>
            <w:tcW w:w="561" w:type="pct"/>
            <w:shd w:val="clear" w:color="auto" w:fill="auto"/>
            <w:tcMar>
              <w:top w:w="0" w:type="dxa"/>
              <w:left w:w="108" w:type="dxa"/>
              <w:bottom w:w="0" w:type="dxa"/>
              <w:right w:w="108" w:type="dxa"/>
            </w:tcMar>
            <w:vAlign w:val="center"/>
          </w:tcPr>
          <w:p w14:paraId="198A844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755" w:type="pct"/>
            <w:shd w:val="clear" w:color="auto" w:fill="auto"/>
            <w:tcMar>
              <w:top w:w="0" w:type="dxa"/>
              <w:left w:w="108" w:type="dxa"/>
              <w:bottom w:w="0" w:type="dxa"/>
              <w:right w:w="108" w:type="dxa"/>
            </w:tcMar>
            <w:vAlign w:val="center"/>
          </w:tcPr>
          <w:p w14:paraId="7201BB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102.09</w:t>
            </w:r>
          </w:p>
        </w:tc>
        <w:tc>
          <w:tcPr>
            <w:tcW w:w="561" w:type="pct"/>
            <w:shd w:val="clear" w:color="auto" w:fill="auto"/>
            <w:tcMar>
              <w:top w:w="0" w:type="dxa"/>
              <w:left w:w="108" w:type="dxa"/>
              <w:bottom w:w="0" w:type="dxa"/>
              <w:right w:w="108" w:type="dxa"/>
            </w:tcMar>
            <w:vAlign w:val="center"/>
          </w:tcPr>
          <w:p w14:paraId="477AC66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0.01%</w:t>
            </w:r>
          </w:p>
        </w:tc>
      </w:tr>
      <w:tr w:rsidR="006416B0" w:rsidRPr="00B4515A" w14:paraId="62CF5744"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1B8BDAF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lastRenderedPageBreak/>
              <w:t>无形资产</w:t>
            </w:r>
          </w:p>
        </w:tc>
        <w:tc>
          <w:tcPr>
            <w:tcW w:w="755" w:type="pct"/>
            <w:shd w:val="clear" w:color="auto" w:fill="auto"/>
            <w:tcMar>
              <w:top w:w="0" w:type="dxa"/>
              <w:left w:w="108" w:type="dxa"/>
              <w:bottom w:w="0" w:type="dxa"/>
              <w:right w:w="108" w:type="dxa"/>
            </w:tcMar>
            <w:vAlign w:val="center"/>
          </w:tcPr>
          <w:p w14:paraId="5F5BA79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15,661.94</w:t>
            </w:r>
          </w:p>
        </w:tc>
        <w:tc>
          <w:tcPr>
            <w:tcW w:w="560" w:type="pct"/>
            <w:shd w:val="clear" w:color="auto" w:fill="auto"/>
            <w:tcMar>
              <w:top w:w="0" w:type="dxa"/>
              <w:left w:w="108" w:type="dxa"/>
              <w:bottom w:w="0" w:type="dxa"/>
              <w:right w:w="108" w:type="dxa"/>
            </w:tcMar>
            <w:vAlign w:val="center"/>
          </w:tcPr>
          <w:p w14:paraId="5A3859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4.99%</w:t>
            </w:r>
          </w:p>
        </w:tc>
        <w:tc>
          <w:tcPr>
            <w:tcW w:w="755" w:type="pct"/>
            <w:shd w:val="clear" w:color="auto" w:fill="auto"/>
            <w:tcMar>
              <w:top w:w="0" w:type="dxa"/>
              <w:left w:w="108" w:type="dxa"/>
              <w:bottom w:w="0" w:type="dxa"/>
              <w:right w:w="108" w:type="dxa"/>
            </w:tcMar>
            <w:vAlign w:val="center"/>
          </w:tcPr>
          <w:p w14:paraId="3EC3704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43,566.63</w:t>
            </w:r>
          </w:p>
        </w:tc>
        <w:tc>
          <w:tcPr>
            <w:tcW w:w="561" w:type="pct"/>
            <w:shd w:val="clear" w:color="auto" w:fill="auto"/>
            <w:tcMar>
              <w:top w:w="0" w:type="dxa"/>
              <w:left w:w="108" w:type="dxa"/>
              <w:bottom w:w="0" w:type="dxa"/>
              <w:right w:w="108" w:type="dxa"/>
            </w:tcMar>
            <w:vAlign w:val="center"/>
          </w:tcPr>
          <w:p w14:paraId="6AB6C00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7.55%</w:t>
            </w:r>
          </w:p>
        </w:tc>
        <w:tc>
          <w:tcPr>
            <w:tcW w:w="755" w:type="pct"/>
            <w:shd w:val="clear" w:color="auto" w:fill="auto"/>
            <w:tcMar>
              <w:top w:w="0" w:type="dxa"/>
              <w:left w:w="108" w:type="dxa"/>
              <w:bottom w:w="0" w:type="dxa"/>
              <w:right w:w="108" w:type="dxa"/>
            </w:tcMar>
            <w:vAlign w:val="center"/>
          </w:tcPr>
          <w:p w14:paraId="7FF10EB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59,501.50</w:t>
            </w:r>
          </w:p>
        </w:tc>
        <w:tc>
          <w:tcPr>
            <w:tcW w:w="561" w:type="pct"/>
            <w:shd w:val="clear" w:color="auto" w:fill="auto"/>
            <w:tcMar>
              <w:top w:w="0" w:type="dxa"/>
              <w:left w:w="108" w:type="dxa"/>
              <w:bottom w:w="0" w:type="dxa"/>
              <w:right w:w="108" w:type="dxa"/>
            </w:tcMar>
            <w:vAlign w:val="center"/>
          </w:tcPr>
          <w:p w14:paraId="5DCED50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8.07%</w:t>
            </w:r>
          </w:p>
        </w:tc>
      </w:tr>
      <w:tr w:rsidR="006416B0" w:rsidRPr="00B4515A" w14:paraId="2F3159DA"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4753B0D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开发支出</w:t>
            </w:r>
          </w:p>
        </w:tc>
        <w:tc>
          <w:tcPr>
            <w:tcW w:w="755" w:type="pct"/>
            <w:shd w:val="clear" w:color="auto" w:fill="auto"/>
            <w:tcMar>
              <w:top w:w="0" w:type="dxa"/>
              <w:left w:w="108" w:type="dxa"/>
              <w:bottom w:w="0" w:type="dxa"/>
              <w:right w:w="108" w:type="dxa"/>
            </w:tcMar>
            <w:vAlign w:val="center"/>
          </w:tcPr>
          <w:p w14:paraId="70B4A3A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9,270.65</w:t>
            </w:r>
          </w:p>
        </w:tc>
        <w:tc>
          <w:tcPr>
            <w:tcW w:w="560" w:type="pct"/>
            <w:shd w:val="clear" w:color="auto" w:fill="auto"/>
            <w:tcMar>
              <w:top w:w="0" w:type="dxa"/>
              <w:left w:w="108" w:type="dxa"/>
              <w:bottom w:w="0" w:type="dxa"/>
              <w:right w:w="108" w:type="dxa"/>
            </w:tcMar>
            <w:vAlign w:val="center"/>
          </w:tcPr>
          <w:p w14:paraId="5CF69B8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2.95%</w:t>
            </w:r>
          </w:p>
        </w:tc>
        <w:tc>
          <w:tcPr>
            <w:tcW w:w="755" w:type="pct"/>
            <w:shd w:val="clear" w:color="auto" w:fill="auto"/>
            <w:tcMar>
              <w:top w:w="0" w:type="dxa"/>
              <w:left w:w="108" w:type="dxa"/>
              <w:bottom w:w="0" w:type="dxa"/>
              <w:right w:w="108" w:type="dxa"/>
            </w:tcMar>
            <w:vAlign w:val="center"/>
          </w:tcPr>
          <w:p w14:paraId="7BB85DE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24,029.54</w:t>
            </w:r>
          </w:p>
        </w:tc>
        <w:tc>
          <w:tcPr>
            <w:tcW w:w="561" w:type="pct"/>
            <w:shd w:val="clear" w:color="auto" w:fill="auto"/>
            <w:tcMar>
              <w:top w:w="0" w:type="dxa"/>
              <w:left w:w="108" w:type="dxa"/>
              <w:bottom w:w="0" w:type="dxa"/>
              <w:right w:w="108" w:type="dxa"/>
            </w:tcMar>
            <w:vAlign w:val="center"/>
          </w:tcPr>
          <w:p w14:paraId="6AF86AE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4.16%</w:t>
            </w:r>
          </w:p>
        </w:tc>
        <w:tc>
          <w:tcPr>
            <w:tcW w:w="755" w:type="pct"/>
            <w:shd w:val="clear" w:color="auto" w:fill="auto"/>
            <w:tcMar>
              <w:top w:w="0" w:type="dxa"/>
              <w:left w:w="108" w:type="dxa"/>
              <w:bottom w:w="0" w:type="dxa"/>
              <w:right w:w="108" w:type="dxa"/>
            </w:tcMar>
            <w:vAlign w:val="center"/>
          </w:tcPr>
          <w:p w14:paraId="5729C1B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23,726.65</w:t>
            </w:r>
          </w:p>
        </w:tc>
        <w:tc>
          <w:tcPr>
            <w:tcW w:w="561" w:type="pct"/>
            <w:shd w:val="clear" w:color="auto" w:fill="auto"/>
            <w:tcMar>
              <w:top w:w="0" w:type="dxa"/>
              <w:left w:w="108" w:type="dxa"/>
              <w:bottom w:w="0" w:type="dxa"/>
              <w:right w:w="108" w:type="dxa"/>
            </w:tcMar>
            <w:vAlign w:val="center"/>
          </w:tcPr>
          <w:p w14:paraId="77F939F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3.22%</w:t>
            </w:r>
          </w:p>
        </w:tc>
      </w:tr>
      <w:tr w:rsidR="006416B0" w:rsidRPr="00B4515A" w14:paraId="1E10F723"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1350BEC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商誉</w:t>
            </w:r>
          </w:p>
        </w:tc>
        <w:tc>
          <w:tcPr>
            <w:tcW w:w="755" w:type="pct"/>
            <w:shd w:val="clear" w:color="auto" w:fill="auto"/>
            <w:tcMar>
              <w:top w:w="0" w:type="dxa"/>
              <w:left w:w="108" w:type="dxa"/>
              <w:bottom w:w="0" w:type="dxa"/>
              <w:right w:w="108" w:type="dxa"/>
            </w:tcMar>
            <w:vAlign w:val="center"/>
          </w:tcPr>
          <w:p w14:paraId="1BB30C0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154.26</w:t>
            </w:r>
          </w:p>
        </w:tc>
        <w:tc>
          <w:tcPr>
            <w:tcW w:w="560" w:type="pct"/>
            <w:shd w:val="clear" w:color="auto" w:fill="auto"/>
            <w:tcMar>
              <w:top w:w="0" w:type="dxa"/>
              <w:left w:w="108" w:type="dxa"/>
              <w:bottom w:w="0" w:type="dxa"/>
              <w:right w:w="108" w:type="dxa"/>
            </w:tcMar>
            <w:vAlign w:val="center"/>
          </w:tcPr>
          <w:p w14:paraId="3EE0D2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0.05%</w:t>
            </w:r>
          </w:p>
        </w:tc>
        <w:tc>
          <w:tcPr>
            <w:tcW w:w="755" w:type="pct"/>
            <w:shd w:val="clear" w:color="auto" w:fill="auto"/>
            <w:tcMar>
              <w:top w:w="0" w:type="dxa"/>
              <w:left w:w="108" w:type="dxa"/>
              <w:bottom w:w="0" w:type="dxa"/>
              <w:right w:w="108" w:type="dxa"/>
            </w:tcMar>
            <w:vAlign w:val="center"/>
          </w:tcPr>
          <w:p w14:paraId="52017BF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62,881.86</w:t>
            </w:r>
          </w:p>
        </w:tc>
        <w:tc>
          <w:tcPr>
            <w:tcW w:w="561" w:type="pct"/>
            <w:shd w:val="clear" w:color="auto" w:fill="auto"/>
            <w:tcMar>
              <w:top w:w="0" w:type="dxa"/>
              <w:left w:w="108" w:type="dxa"/>
              <w:bottom w:w="0" w:type="dxa"/>
              <w:right w:w="108" w:type="dxa"/>
            </w:tcMar>
            <w:vAlign w:val="center"/>
          </w:tcPr>
          <w:p w14:paraId="1DFDB4B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10.90%</w:t>
            </w:r>
          </w:p>
        </w:tc>
        <w:tc>
          <w:tcPr>
            <w:tcW w:w="755" w:type="pct"/>
            <w:shd w:val="clear" w:color="auto" w:fill="auto"/>
            <w:tcMar>
              <w:top w:w="0" w:type="dxa"/>
              <w:left w:w="108" w:type="dxa"/>
              <w:bottom w:w="0" w:type="dxa"/>
              <w:right w:w="108" w:type="dxa"/>
            </w:tcMar>
            <w:vAlign w:val="center"/>
          </w:tcPr>
          <w:p w14:paraId="290B496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75,952.76</w:t>
            </w:r>
          </w:p>
        </w:tc>
        <w:tc>
          <w:tcPr>
            <w:tcW w:w="561" w:type="pct"/>
            <w:shd w:val="clear" w:color="auto" w:fill="auto"/>
            <w:tcMar>
              <w:top w:w="0" w:type="dxa"/>
              <w:left w:w="108" w:type="dxa"/>
              <w:bottom w:w="0" w:type="dxa"/>
              <w:right w:w="108" w:type="dxa"/>
            </w:tcMar>
            <w:vAlign w:val="center"/>
          </w:tcPr>
          <w:p w14:paraId="310B6AE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10.30%</w:t>
            </w:r>
          </w:p>
        </w:tc>
      </w:tr>
      <w:tr w:rsidR="006416B0" w:rsidRPr="00B4515A" w14:paraId="27321C96"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0BE5BDA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长期待摊费用</w:t>
            </w:r>
          </w:p>
        </w:tc>
        <w:tc>
          <w:tcPr>
            <w:tcW w:w="755" w:type="pct"/>
            <w:shd w:val="clear" w:color="auto" w:fill="auto"/>
            <w:tcMar>
              <w:top w:w="0" w:type="dxa"/>
              <w:left w:w="108" w:type="dxa"/>
              <w:bottom w:w="0" w:type="dxa"/>
              <w:right w:w="108" w:type="dxa"/>
            </w:tcMar>
            <w:vAlign w:val="center"/>
          </w:tcPr>
          <w:p w14:paraId="07AA660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985.24</w:t>
            </w:r>
          </w:p>
        </w:tc>
        <w:tc>
          <w:tcPr>
            <w:tcW w:w="560" w:type="pct"/>
            <w:shd w:val="clear" w:color="auto" w:fill="auto"/>
            <w:tcMar>
              <w:top w:w="0" w:type="dxa"/>
              <w:left w:w="108" w:type="dxa"/>
              <w:bottom w:w="0" w:type="dxa"/>
              <w:right w:w="108" w:type="dxa"/>
            </w:tcMar>
            <w:vAlign w:val="center"/>
          </w:tcPr>
          <w:p w14:paraId="2F18B54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0.31%</w:t>
            </w:r>
          </w:p>
        </w:tc>
        <w:tc>
          <w:tcPr>
            <w:tcW w:w="755" w:type="pct"/>
            <w:shd w:val="clear" w:color="auto" w:fill="auto"/>
            <w:tcMar>
              <w:top w:w="0" w:type="dxa"/>
              <w:left w:w="108" w:type="dxa"/>
              <w:bottom w:w="0" w:type="dxa"/>
              <w:right w:w="108" w:type="dxa"/>
            </w:tcMar>
            <w:vAlign w:val="center"/>
          </w:tcPr>
          <w:p w14:paraId="61EFD22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583.54</w:t>
            </w:r>
          </w:p>
        </w:tc>
        <w:tc>
          <w:tcPr>
            <w:tcW w:w="561" w:type="pct"/>
            <w:shd w:val="clear" w:color="auto" w:fill="auto"/>
            <w:tcMar>
              <w:top w:w="0" w:type="dxa"/>
              <w:left w:w="108" w:type="dxa"/>
              <w:bottom w:w="0" w:type="dxa"/>
              <w:right w:w="108" w:type="dxa"/>
            </w:tcMar>
            <w:vAlign w:val="center"/>
          </w:tcPr>
          <w:p w14:paraId="485E7FE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0.10%</w:t>
            </w:r>
          </w:p>
        </w:tc>
        <w:tc>
          <w:tcPr>
            <w:tcW w:w="755" w:type="pct"/>
            <w:shd w:val="clear" w:color="auto" w:fill="auto"/>
            <w:tcMar>
              <w:top w:w="0" w:type="dxa"/>
              <w:left w:w="108" w:type="dxa"/>
              <w:bottom w:w="0" w:type="dxa"/>
              <w:right w:w="108" w:type="dxa"/>
            </w:tcMar>
            <w:vAlign w:val="center"/>
          </w:tcPr>
          <w:p w14:paraId="6C5CC6C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474.71</w:t>
            </w:r>
          </w:p>
        </w:tc>
        <w:tc>
          <w:tcPr>
            <w:tcW w:w="561" w:type="pct"/>
            <w:shd w:val="clear" w:color="auto" w:fill="auto"/>
            <w:tcMar>
              <w:top w:w="0" w:type="dxa"/>
              <w:left w:w="108" w:type="dxa"/>
              <w:bottom w:w="0" w:type="dxa"/>
              <w:right w:w="108" w:type="dxa"/>
            </w:tcMar>
            <w:vAlign w:val="center"/>
          </w:tcPr>
          <w:p w14:paraId="3E42E40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0.06%</w:t>
            </w:r>
          </w:p>
        </w:tc>
      </w:tr>
      <w:tr w:rsidR="006416B0" w:rsidRPr="00B4515A" w14:paraId="200C39D5"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487F63A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递延所得税资产</w:t>
            </w:r>
          </w:p>
        </w:tc>
        <w:tc>
          <w:tcPr>
            <w:tcW w:w="755" w:type="pct"/>
            <w:shd w:val="clear" w:color="auto" w:fill="auto"/>
            <w:tcMar>
              <w:top w:w="0" w:type="dxa"/>
              <w:left w:w="108" w:type="dxa"/>
              <w:bottom w:w="0" w:type="dxa"/>
              <w:right w:w="108" w:type="dxa"/>
            </w:tcMar>
            <w:vAlign w:val="center"/>
          </w:tcPr>
          <w:p w14:paraId="5A1E201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1,765.06</w:t>
            </w:r>
          </w:p>
        </w:tc>
        <w:tc>
          <w:tcPr>
            <w:tcW w:w="560" w:type="pct"/>
            <w:shd w:val="clear" w:color="auto" w:fill="auto"/>
            <w:tcMar>
              <w:top w:w="0" w:type="dxa"/>
              <w:left w:w="108" w:type="dxa"/>
              <w:bottom w:w="0" w:type="dxa"/>
              <w:right w:w="108" w:type="dxa"/>
            </w:tcMar>
            <w:vAlign w:val="center"/>
          </w:tcPr>
          <w:p w14:paraId="50C1A47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0.56%</w:t>
            </w:r>
          </w:p>
        </w:tc>
        <w:tc>
          <w:tcPr>
            <w:tcW w:w="755" w:type="pct"/>
            <w:shd w:val="clear" w:color="auto" w:fill="auto"/>
            <w:tcMar>
              <w:top w:w="0" w:type="dxa"/>
              <w:left w:w="108" w:type="dxa"/>
              <w:bottom w:w="0" w:type="dxa"/>
              <w:right w:w="108" w:type="dxa"/>
            </w:tcMar>
            <w:vAlign w:val="center"/>
          </w:tcPr>
          <w:p w14:paraId="2FD0279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6,806.45</w:t>
            </w:r>
          </w:p>
        </w:tc>
        <w:tc>
          <w:tcPr>
            <w:tcW w:w="561" w:type="pct"/>
            <w:shd w:val="clear" w:color="auto" w:fill="auto"/>
            <w:tcMar>
              <w:top w:w="0" w:type="dxa"/>
              <w:left w:w="108" w:type="dxa"/>
              <w:bottom w:w="0" w:type="dxa"/>
              <w:right w:w="108" w:type="dxa"/>
            </w:tcMar>
            <w:vAlign w:val="center"/>
          </w:tcPr>
          <w:p w14:paraId="5F8C10C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1.18%</w:t>
            </w:r>
          </w:p>
        </w:tc>
        <w:tc>
          <w:tcPr>
            <w:tcW w:w="755" w:type="pct"/>
            <w:shd w:val="clear" w:color="auto" w:fill="auto"/>
            <w:tcMar>
              <w:top w:w="0" w:type="dxa"/>
              <w:left w:w="108" w:type="dxa"/>
              <w:bottom w:w="0" w:type="dxa"/>
              <w:right w:w="108" w:type="dxa"/>
            </w:tcMar>
            <w:vAlign w:val="center"/>
          </w:tcPr>
          <w:p w14:paraId="1B6C168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8,257.32</w:t>
            </w:r>
          </w:p>
        </w:tc>
        <w:tc>
          <w:tcPr>
            <w:tcW w:w="561" w:type="pct"/>
            <w:shd w:val="clear" w:color="auto" w:fill="auto"/>
            <w:tcMar>
              <w:top w:w="0" w:type="dxa"/>
              <w:left w:w="108" w:type="dxa"/>
              <w:bottom w:w="0" w:type="dxa"/>
              <w:right w:w="108" w:type="dxa"/>
            </w:tcMar>
            <w:vAlign w:val="center"/>
          </w:tcPr>
          <w:p w14:paraId="1CA9256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1.12%</w:t>
            </w:r>
          </w:p>
        </w:tc>
      </w:tr>
      <w:tr w:rsidR="006416B0" w:rsidRPr="00B4515A" w14:paraId="7777651D"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10136551"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非流动资产合计</w:t>
            </w:r>
          </w:p>
        </w:tc>
        <w:tc>
          <w:tcPr>
            <w:tcW w:w="755" w:type="pct"/>
            <w:shd w:val="clear" w:color="auto" w:fill="auto"/>
            <w:tcMar>
              <w:top w:w="0" w:type="dxa"/>
              <w:left w:w="108" w:type="dxa"/>
              <w:bottom w:w="0" w:type="dxa"/>
              <w:right w:w="108" w:type="dxa"/>
            </w:tcMar>
            <w:vAlign w:val="center"/>
          </w:tcPr>
          <w:p w14:paraId="53228C19"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184,438.61</w:t>
            </w:r>
          </w:p>
        </w:tc>
        <w:tc>
          <w:tcPr>
            <w:tcW w:w="560" w:type="pct"/>
            <w:shd w:val="clear" w:color="auto" w:fill="auto"/>
            <w:tcMar>
              <w:top w:w="0" w:type="dxa"/>
              <w:left w:w="108" w:type="dxa"/>
              <w:bottom w:w="0" w:type="dxa"/>
              <w:right w:w="108" w:type="dxa"/>
            </w:tcMar>
            <w:vAlign w:val="center"/>
          </w:tcPr>
          <w:p w14:paraId="6F657358"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58.73%</w:t>
            </w:r>
          </w:p>
        </w:tc>
        <w:tc>
          <w:tcPr>
            <w:tcW w:w="755" w:type="pct"/>
            <w:shd w:val="clear" w:color="auto" w:fill="auto"/>
            <w:tcMar>
              <w:top w:w="0" w:type="dxa"/>
              <w:left w:w="108" w:type="dxa"/>
              <w:bottom w:w="0" w:type="dxa"/>
              <w:right w:w="108" w:type="dxa"/>
            </w:tcMar>
            <w:vAlign w:val="center"/>
          </w:tcPr>
          <w:p w14:paraId="2206F620"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311,937.98</w:t>
            </w:r>
          </w:p>
        </w:tc>
        <w:tc>
          <w:tcPr>
            <w:tcW w:w="561" w:type="pct"/>
            <w:shd w:val="clear" w:color="auto" w:fill="auto"/>
            <w:tcMar>
              <w:top w:w="0" w:type="dxa"/>
              <w:left w:w="108" w:type="dxa"/>
              <w:bottom w:w="0" w:type="dxa"/>
              <w:right w:w="108" w:type="dxa"/>
            </w:tcMar>
            <w:vAlign w:val="center"/>
          </w:tcPr>
          <w:p w14:paraId="001CE68C"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54.07%</w:t>
            </w:r>
          </w:p>
        </w:tc>
        <w:tc>
          <w:tcPr>
            <w:tcW w:w="755" w:type="pct"/>
            <w:shd w:val="clear" w:color="auto" w:fill="auto"/>
            <w:tcMar>
              <w:top w:w="0" w:type="dxa"/>
              <w:left w:w="108" w:type="dxa"/>
              <w:bottom w:w="0" w:type="dxa"/>
              <w:right w:w="108" w:type="dxa"/>
            </w:tcMar>
            <w:vAlign w:val="center"/>
          </w:tcPr>
          <w:p w14:paraId="6FC52FD2"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362,787.10</w:t>
            </w:r>
          </w:p>
        </w:tc>
        <w:tc>
          <w:tcPr>
            <w:tcW w:w="561" w:type="pct"/>
            <w:shd w:val="clear" w:color="auto" w:fill="auto"/>
            <w:tcMar>
              <w:top w:w="0" w:type="dxa"/>
              <w:left w:w="108" w:type="dxa"/>
              <w:bottom w:w="0" w:type="dxa"/>
              <w:right w:w="108" w:type="dxa"/>
            </w:tcMar>
            <w:vAlign w:val="center"/>
          </w:tcPr>
          <w:p w14:paraId="7AC87682"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49.22%</w:t>
            </w:r>
          </w:p>
        </w:tc>
      </w:tr>
      <w:tr w:rsidR="006416B0" w:rsidRPr="00B4515A" w14:paraId="4B902803" w14:textId="77777777" w:rsidTr="00EE238F">
        <w:trPr>
          <w:trHeight w:val="340"/>
          <w:jc w:val="center"/>
        </w:trPr>
        <w:tc>
          <w:tcPr>
            <w:tcW w:w="1052" w:type="pct"/>
            <w:shd w:val="clear" w:color="auto" w:fill="auto"/>
            <w:tcMar>
              <w:top w:w="0" w:type="dxa"/>
              <w:left w:w="108" w:type="dxa"/>
              <w:bottom w:w="0" w:type="dxa"/>
              <w:right w:w="108" w:type="dxa"/>
            </w:tcMar>
            <w:vAlign w:val="center"/>
          </w:tcPr>
          <w:p w14:paraId="3A6F0E89"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资产总计</w:t>
            </w:r>
          </w:p>
        </w:tc>
        <w:tc>
          <w:tcPr>
            <w:tcW w:w="755" w:type="pct"/>
            <w:shd w:val="clear" w:color="auto" w:fill="auto"/>
            <w:tcMar>
              <w:top w:w="0" w:type="dxa"/>
              <w:left w:w="108" w:type="dxa"/>
              <w:bottom w:w="0" w:type="dxa"/>
              <w:right w:w="108" w:type="dxa"/>
            </w:tcMar>
            <w:vAlign w:val="center"/>
          </w:tcPr>
          <w:p w14:paraId="518D6121"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314,041.93</w:t>
            </w:r>
          </w:p>
        </w:tc>
        <w:tc>
          <w:tcPr>
            <w:tcW w:w="560" w:type="pct"/>
            <w:shd w:val="clear" w:color="auto" w:fill="auto"/>
            <w:tcMar>
              <w:top w:w="0" w:type="dxa"/>
              <w:left w:w="108" w:type="dxa"/>
              <w:bottom w:w="0" w:type="dxa"/>
              <w:right w:w="108" w:type="dxa"/>
            </w:tcMar>
            <w:vAlign w:val="center"/>
          </w:tcPr>
          <w:p w14:paraId="37D41424"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100.00%</w:t>
            </w:r>
          </w:p>
        </w:tc>
        <w:tc>
          <w:tcPr>
            <w:tcW w:w="755" w:type="pct"/>
            <w:shd w:val="clear" w:color="auto" w:fill="auto"/>
            <w:tcMar>
              <w:top w:w="0" w:type="dxa"/>
              <w:left w:w="108" w:type="dxa"/>
              <w:bottom w:w="0" w:type="dxa"/>
              <w:right w:w="108" w:type="dxa"/>
            </w:tcMar>
            <w:vAlign w:val="center"/>
          </w:tcPr>
          <w:p w14:paraId="5E158B28"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576,967.76</w:t>
            </w:r>
          </w:p>
        </w:tc>
        <w:tc>
          <w:tcPr>
            <w:tcW w:w="561" w:type="pct"/>
            <w:shd w:val="clear" w:color="auto" w:fill="auto"/>
            <w:tcMar>
              <w:top w:w="0" w:type="dxa"/>
              <w:left w:w="108" w:type="dxa"/>
              <w:bottom w:w="0" w:type="dxa"/>
              <w:right w:w="108" w:type="dxa"/>
            </w:tcMar>
            <w:vAlign w:val="center"/>
          </w:tcPr>
          <w:p w14:paraId="7B8874D0"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100.00%</w:t>
            </w:r>
          </w:p>
        </w:tc>
        <w:tc>
          <w:tcPr>
            <w:tcW w:w="755" w:type="pct"/>
            <w:shd w:val="clear" w:color="auto" w:fill="auto"/>
            <w:tcMar>
              <w:top w:w="0" w:type="dxa"/>
              <w:left w:w="108" w:type="dxa"/>
              <w:bottom w:w="0" w:type="dxa"/>
              <w:right w:w="108" w:type="dxa"/>
            </w:tcMar>
            <w:vAlign w:val="center"/>
          </w:tcPr>
          <w:p w14:paraId="3CF6565C"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737,069.52</w:t>
            </w:r>
          </w:p>
        </w:tc>
        <w:tc>
          <w:tcPr>
            <w:tcW w:w="561" w:type="pct"/>
            <w:shd w:val="clear" w:color="auto" w:fill="auto"/>
            <w:tcMar>
              <w:top w:w="0" w:type="dxa"/>
              <w:left w:w="108" w:type="dxa"/>
              <w:bottom w:w="0" w:type="dxa"/>
              <w:right w:w="108" w:type="dxa"/>
            </w:tcMar>
            <w:vAlign w:val="center"/>
          </w:tcPr>
          <w:p w14:paraId="515BD892"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100.00%</w:t>
            </w:r>
          </w:p>
        </w:tc>
      </w:tr>
    </w:tbl>
    <w:p w14:paraId="745BE629" w14:textId="77777777" w:rsidR="006416B0" w:rsidRPr="00B4515A" w:rsidRDefault="005E58C1" w:rsidP="003357B7">
      <w:pPr>
        <w:pStyle w:val="005"/>
        <w:spacing w:before="120" w:after="120"/>
        <w:ind w:firstLine="480"/>
      </w:pPr>
      <w:r w:rsidRPr="00B4515A">
        <w:rPr>
          <w:rFonts w:hint="eastAsia"/>
        </w:rPr>
        <w:t>截至</w:t>
      </w:r>
      <w:r w:rsidRPr="00B4515A">
        <w:t>2018</w:t>
      </w:r>
      <w:r w:rsidRPr="00B4515A">
        <w:rPr>
          <w:rFonts w:hint="eastAsia"/>
        </w:rPr>
        <w:t>年</w:t>
      </w:r>
      <w:r w:rsidRPr="00B4515A">
        <w:t>12</w:t>
      </w:r>
      <w:r w:rsidRPr="00B4515A">
        <w:rPr>
          <w:rFonts w:hint="eastAsia"/>
        </w:rPr>
        <w:t>月</w:t>
      </w:r>
      <w:r w:rsidRPr="00B4515A">
        <w:t>31</w:t>
      </w:r>
      <w:r w:rsidRPr="00B4515A">
        <w:rPr>
          <w:rFonts w:hint="eastAsia"/>
        </w:rPr>
        <w:t>日、</w:t>
      </w:r>
      <w:r w:rsidRPr="00B4515A">
        <w:t>2019</w:t>
      </w:r>
      <w:r w:rsidRPr="00B4515A">
        <w:rPr>
          <w:rFonts w:hint="eastAsia"/>
        </w:rPr>
        <w:t>年</w:t>
      </w:r>
      <w:r w:rsidRPr="00B4515A">
        <w:t>12</w:t>
      </w:r>
      <w:r w:rsidRPr="00B4515A">
        <w:rPr>
          <w:rFonts w:hint="eastAsia"/>
        </w:rPr>
        <w:t>月</w:t>
      </w:r>
      <w:r w:rsidRPr="00B4515A">
        <w:t>31</w:t>
      </w:r>
      <w:r w:rsidRPr="00B4515A">
        <w:rPr>
          <w:rFonts w:hint="eastAsia"/>
        </w:rPr>
        <w:t>日及</w:t>
      </w:r>
      <w:r w:rsidRPr="00B4515A">
        <w:t>2020</w:t>
      </w:r>
      <w:r w:rsidRPr="00B4515A">
        <w:rPr>
          <w:rFonts w:hint="eastAsia"/>
        </w:rPr>
        <w:t>年</w:t>
      </w:r>
      <w:r w:rsidRPr="00B4515A">
        <w:t>12</w:t>
      </w:r>
      <w:r w:rsidRPr="00B4515A">
        <w:rPr>
          <w:rFonts w:hint="eastAsia"/>
        </w:rPr>
        <w:t>月</w:t>
      </w:r>
      <w:r w:rsidRPr="00B4515A">
        <w:t>31</w:t>
      </w:r>
      <w:r w:rsidRPr="00B4515A">
        <w:rPr>
          <w:rFonts w:hint="eastAsia"/>
        </w:rPr>
        <w:t>日，上市公司资产总额分别为</w:t>
      </w:r>
      <w:r w:rsidRPr="00B4515A">
        <w:rPr>
          <w:color w:val="000000"/>
        </w:rPr>
        <w:t>737,069.</w:t>
      </w:r>
      <w:r w:rsidRPr="00B4515A">
        <w:t>52</w:t>
      </w:r>
      <w:r w:rsidRPr="00B4515A">
        <w:rPr>
          <w:rFonts w:hint="eastAsia"/>
          <w:color w:val="000000"/>
        </w:rPr>
        <w:t>万元、</w:t>
      </w:r>
      <w:r w:rsidRPr="00B4515A">
        <w:rPr>
          <w:color w:val="000000"/>
        </w:rPr>
        <w:t>576,967.76</w:t>
      </w:r>
      <w:r w:rsidRPr="00B4515A">
        <w:rPr>
          <w:rFonts w:hint="eastAsia"/>
        </w:rPr>
        <w:t>万元、</w:t>
      </w:r>
      <w:r w:rsidRPr="00B4515A">
        <w:t>314,041.93</w:t>
      </w:r>
      <w:r w:rsidRPr="00B4515A">
        <w:rPr>
          <w:rFonts w:hint="eastAsia"/>
        </w:rPr>
        <w:t>万元，总体规模呈波动下降趋势。</w:t>
      </w:r>
    </w:p>
    <w:p w14:paraId="0499A264" w14:textId="77777777" w:rsidR="006416B0" w:rsidRPr="00B4515A" w:rsidRDefault="005E58C1" w:rsidP="003357B7">
      <w:pPr>
        <w:pStyle w:val="005"/>
        <w:spacing w:before="120" w:after="120"/>
        <w:ind w:firstLine="480"/>
      </w:pPr>
      <w:r w:rsidRPr="00B4515A">
        <w:rPr>
          <w:rFonts w:hint="eastAsia"/>
        </w:rPr>
        <w:t>从资产结构来看，截至</w:t>
      </w:r>
      <w:r w:rsidRPr="00B4515A">
        <w:t>2018</w:t>
      </w:r>
      <w:r w:rsidRPr="00B4515A">
        <w:rPr>
          <w:rFonts w:hint="eastAsia"/>
        </w:rPr>
        <w:t>年</w:t>
      </w:r>
      <w:r w:rsidRPr="00B4515A">
        <w:t>12</w:t>
      </w:r>
      <w:r w:rsidRPr="00B4515A">
        <w:rPr>
          <w:rFonts w:hint="eastAsia"/>
        </w:rPr>
        <w:t>月</w:t>
      </w:r>
      <w:r w:rsidRPr="00B4515A">
        <w:t>31</w:t>
      </w:r>
      <w:r w:rsidRPr="00B4515A">
        <w:rPr>
          <w:rFonts w:hint="eastAsia"/>
        </w:rPr>
        <w:t>日、</w:t>
      </w:r>
      <w:r w:rsidRPr="00B4515A">
        <w:t>2019</w:t>
      </w:r>
      <w:r w:rsidRPr="00B4515A">
        <w:rPr>
          <w:rFonts w:hint="eastAsia"/>
        </w:rPr>
        <w:t>年</w:t>
      </w:r>
      <w:r w:rsidRPr="00B4515A">
        <w:t>12</w:t>
      </w:r>
      <w:r w:rsidRPr="00B4515A">
        <w:rPr>
          <w:rFonts w:hint="eastAsia"/>
        </w:rPr>
        <w:t>月</w:t>
      </w:r>
      <w:r w:rsidRPr="00B4515A">
        <w:t>31</w:t>
      </w:r>
      <w:r w:rsidRPr="00B4515A">
        <w:rPr>
          <w:rFonts w:hint="eastAsia"/>
        </w:rPr>
        <w:t>日及</w:t>
      </w:r>
      <w:r w:rsidRPr="00B4515A">
        <w:t>2020</w:t>
      </w:r>
      <w:r w:rsidRPr="00B4515A">
        <w:rPr>
          <w:rFonts w:hint="eastAsia"/>
        </w:rPr>
        <w:t>年</w:t>
      </w:r>
      <w:r w:rsidRPr="00B4515A">
        <w:t>12</w:t>
      </w:r>
      <w:r w:rsidRPr="00B4515A">
        <w:rPr>
          <w:rFonts w:hint="eastAsia"/>
        </w:rPr>
        <w:t>月</w:t>
      </w:r>
      <w:r w:rsidRPr="00B4515A">
        <w:t>31</w:t>
      </w:r>
      <w:r w:rsidRPr="00B4515A">
        <w:rPr>
          <w:rFonts w:hint="eastAsia"/>
        </w:rPr>
        <w:t>日，上市公司流动资产占总资产比例分别为</w:t>
      </w:r>
      <w:r w:rsidRPr="00B4515A">
        <w:t>50.78%</w:t>
      </w:r>
      <w:r w:rsidRPr="00B4515A">
        <w:rPr>
          <w:rFonts w:hint="eastAsia"/>
        </w:rPr>
        <w:t>、</w:t>
      </w:r>
      <w:r w:rsidRPr="00B4515A">
        <w:t>45.93%</w:t>
      </w:r>
      <w:r w:rsidRPr="00B4515A">
        <w:rPr>
          <w:rFonts w:hint="eastAsia"/>
        </w:rPr>
        <w:t>、</w:t>
      </w:r>
      <w:r w:rsidRPr="00B4515A">
        <w:t>41.27%</w:t>
      </w:r>
      <w:r w:rsidRPr="00B4515A">
        <w:rPr>
          <w:rFonts w:hint="eastAsia"/>
        </w:rPr>
        <w:t>；非流动资产占总资产比例分别为</w:t>
      </w:r>
      <w:r w:rsidRPr="00B4515A">
        <w:t>49.22%</w:t>
      </w:r>
      <w:r w:rsidRPr="00B4515A">
        <w:rPr>
          <w:rFonts w:hint="eastAsia"/>
        </w:rPr>
        <w:t>、</w:t>
      </w:r>
      <w:r w:rsidRPr="00B4515A">
        <w:t>54.07%</w:t>
      </w:r>
      <w:r w:rsidRPr="00B4515A">
        <w:rPr>
          <w:rFonts w:hint="eastAsia"/>
        </w:rPr>
        <w:t>、</w:t>
      </w:r>
      <w:r w:rsidRPr="00B4515A">
        <w:t>58.73%</w:t>
      </w:r>
      <w:r w:rsidRPr="00B4515A">
        <w:rPr>
          <w:rFonts w:hint="eastAsia"/>
        </w:rPr>
        <w:t>。上市公司流动资产主要由货币资金、应收账款、预付款项、存货等构成；非流动资产主要由长期股权投资、固定资产、无形资产等构成。上市公司流动资产比例逐步下降，非流动资产比例逐步升高，资产结构整体较为稳定。</w:t>
      </w:r>
    </w:p>
    <w:p w14:paraId="14F79499" w14:textId="77777777" w:rsidR="006416B0" w:rsidRPr="00B4515A" w:rsidRDefault="005E58C1" w:rsidP="003357B7">
      <w:pPr>
        <w:pStyle w:val="004"/>
        <w:spacing w:before="120" w:after="120"/>
        <w:ind w:firstLine="482"/>
      </w:pPr>
      <w:r w:rsidRPr="00B4515A">
        <w:t>2</w:t>
      </w:r>
      <w:r w:rsidRPr="00B4515A">
        <w:t>、负债结构及变动分析</w:t>
      </w:r>
    </w:p>
    <w:p w14:paraId="790C62E2" w14:textId="77777777" w:rsidR="006416B0" w:rsidRPr="00B4515A" w:rsidRDefault="005E58C1" w:rsidP="003357B7">
      <w:pPr>
        <w:pStyle w:val="005"/>
        <w:spacing w:before="120" w:after="120"/>
        <w:ind w:firstLine="480"/>
      </w:pPr>
      <w:r w:rsidRPr="00B4515A">
        <w:rPr>
          <w:rFonts w:hint="eastAsia"/>
        </w:rPr>
        <w:t>报告期内，上市公司的负债结构情况如下：</w:t>
      </w:r>
    </w:p>
    <w:p w14:paraId="6B3A65DF"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47"/>
        <w:gridCol w:w="1387"/>
        <w:gridCol w:w="969"/>
        <w:gridCol w:w="1451"/>
        <w:gridCol w:w="974"/>
        <w:gridCol w:w="1382"/>
        <w:gridCol w:w="1018"/>
      </w:tblGrid>
      <w:tr w:rsidR="006416B0" w:rsidRPr="00B4515A" w14:paraId="1D8390CF" w14:textId="77777777" w:rsidTr="00EE238F">
        <w:trPr>
          <w:trHeight w:val="340"/>
          <w:tblHeader/>
          <w:jc w:val="center"/>
        </w:trPr>
        <w:tc>
          <w:tcPr>
            <w:tcW w:w="790" w:type="pct"/>
            <w:vMerge w:val="restart"/>
            <w:shd w:val="clear" w:color="auto" w:fill="auto"/>
            <w:tcMar>
              <w:top w:w="0" w:type="dxa"/>
              <w:left w:w="108" w:type="dxa"/>
              <w:bottom w:w="0" w:type="dxa"/>
              <w:right w:w="108" w:type="dxa"/>
            </w:tcMar>
            <w:vAlign w:val="center"/>
          </w:tcPr>
          <w:p w14:paraId="3A62F9E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381" w:type="pct"/>
            <w:gridSpan w:val="2"/>
            <w:shd w:val="clear" w:color="auto" w:fill="auto"/>
            <w:tcMar>
              <w:top w:w="0" w:type="dxa"/>
              <w:left w:w="108" w:type="dxa"/>
              <w:bottom w:w="0" w:type="dxa"/>
              <w:right w:w="108" w:type="dxa"/>
            </w:tcMar>
            <w:vAlign w:val="center"/>
          </w:tcPr>
          <w:p w14:paraId="0219B6F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2020-12-31</w:t>
            </w:r>
          </w:p>
        </w:tc>
        <w:tc>
          <w:tcPr>
            <w:tcW w:w="1422" w:type="pct"/>
            <w:gridSpan w:val="2"/>
            <w:shd w:val="clear" w:color="auto" w:fill="auto"/>
            <w:tcMar>
              <w:top w:w="0" w:type="dxa"/>
              <w:left w:w="108" w:type="dxa"/>
              <w:bottom w:w="0" w:type="dxa"/>
              <w:right w:w="108" w:type="dxa"/>
            </w:tcMar>
            <w:vAlign w:val="center"/>
          </w:tcPr>
          <w:p w14:paraId="2F8CBD0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2019-12-31</w:t>
            </w:r>
          </w:p>
        </w:tc>
        <w:tc>
          <w:tcPr>
            <w:tcW w:w="1407" w:type="pct"/>
            <w:gridSpan w:val="2"/>
            <w:shd w:val="clear" w:color="auto" w:fill="auto"/>
            <w:tcMar>
              <w:top w:w="0" w:type="dxa"/>
              <w:left w:w="108" w:type="dxa"/>
              <w:bottom w:w="0" w:type="dxa"/>
              <w:right w:w="108" w:type="dxa"/>
            </w:tcMar>
            <w:vAlign w:val="center"/>
          </w:tcPr>
          <w:p w14:paraId="453BADB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2018-12-31</w:t>
            </w:r>
          </w:p>
        </w:tc>
      </w:tr>
      <w:tr w:rsidR="006416B0" w:rsidRPr="00B4515A" w14:paraId="47E13365" w14:textId="77777777" w:rsidTr="00EE238F">
        <w:trPr>
          <w:trHeight w:val="340"/>
          <w:tblHeader/>
          <w:jc w:val="center"/>
        </w:trPr>
        <w:tc>
          <w:tcPr>
            <w:tcW w:w="790" w:type="pct"/>
            <w:vMerge/>
            <w:tcMar>
              <w:top w:w="0" w:type="dxa"/>
              <w:left w:w="108" w:type="dxa"/>
              <w:bottom w:w="0" w:type="dxa"/>
              <w:right w:w="108" w:type="dxa"/>
            </w:tcMar>
            <w:vAlign w:val="center"/>
          </w:tcPr>
          <w:p w14:paraId="5B571470"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813" w:type="pct"/>
            <w:shd w:val="clear" w:color="auto" w:fill="auto"/>
            <w:tcMar>
              <w:top w:w="0" w:type="dxa"/>
              <w:left w:w="108" w:type="dxa"/>
              <w:bottom w:w="0" w:type="dxa"/>
              <w:right w:w="108" w:type="dxa"/>
            </w:tcMar>
            <w:vAlign w:val="center"/>
          </w:tcPr>
          <w:p w14:paraId="36B7F23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568" w:type="pct"/>
            <w:shd w:val="clear" w:color="auto" w:fill="auto"/>
            <w:tcMar>
              <w:top w:w="0" w:type="dxa"/>
              <w:left w:w="108" w:type="dxa"/>
              <w:bottom w:w="0" w:type="dxa"/>
              <w:right w:w="108" w:type="dxa"/>
            </w:tcMar>
            <w:vAlign w:val="center"/>
          </w:tcPr>
          <w:p w14:paraId="49D4068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851" w:type="pct"/>
            <w:shd w:val="clear" w:color="auto" w:fill="auto"/>
            <w:tcMar>
              <w:top w:w="0" w:type="dxa"/>
              <w:left w:w="108" w:type="dxa"/>
              <w:bottom w:w="0" w:type="dxa"/>
              <w:right w:w="108" w:type="dxa"/>
            </w:tcMar>
            <w:vAlign w:val="center"/>
          </w:tcPr>
          <w:p w14:paraId="660BBED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571" w:type="pct"/>
            <w:shd w:val="clear" w:color="auto" w:fill="auto"/>
            <w:tcMar>
              <w:top w:w="0" w:type="dxa"/>
              <w:left w:w="108" w:type="dxa"/>
              <w:bottom w:w="0" w:type="dxa"/>
              <w:right w:w="108" w:type="dxa"/>
            </w:tcMar>
            <w:vAlign w:val="center"/>
          </w:tcPr>
          <w:p w14:paraId="6BA413D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810" w:type="pct"/>
            <w:shd w:val="clear" w:color="auto" w:fill="auto"/>
            <w:tcMar>
              <w:top w:w="0" w:type="dxa"/>
              <w:left w:w="108" w:type="dxa"/>
              <w:bottom w:w="0" w:type="dxa"/>
              <w:right w:w="108" w:type="dxa"/>
            </w:tcMar>
            <w:vAlign w:val="center"/>
          </w:tcPr>
          <w:p w14:paraId="109B117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597" w:type="pct"/>
            <w:shd w:val="clear" w:color="auto" w:fill="auto"/>
            <w:tcMar>
              <w:top w:w="0" w:type="dxa"/>
              <w:left w:w="108" w:type="dxa"/>
              <w:bottom w:w="0" w:type="dxa"/>
              <w:right w:w="108" w:type="dxa"/>
            </w:tcMar>
            <w:vAlign w:val="center"/>
          </w:tcPr>
          <w:p w14:paraId="27FA497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r>
      <w:tr w:rsidR="006416B0" w:rsidRPr="00B4515A" w14:paraId="13999F91" w14:textId="77777777" w:rsidTr="002B0582">
        <w:trPr>
          <w:trHeight w:val="340"/>
          <w:jc w:val="center"/>
        </w:trPr>
        <w:tc>
          <w:tcPr>
            <w:tcW w:w="790" w:type="pct"/>
            <w:shd w:val="clear" w:color="auto" w:fill="auto"/>
            <w:tcMar>
              <w:top w:w="0" w:type="dxa"/>
              <w:left w:w="108" w:type="dxa"/>
              <w:bottom w:w="0" w:type="dxa"/>
              <w:right w:w="108" w:type="dxa"/>
            </w:tcMar>
            <w:vAlign w:val="center"/>
          </w:tcPr>
          <w:p w14:paraId="257D896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流动负债：</w:t>
            </w:r>
          </w:p>
        </w:tc>
        <w:tc>
          <w:tcPr>
            <w:tcW w:w="813" w:type="pct"/>
            <w:shd w:val="clear" w:color="auto" w:fill="auto"/>
            <w:tcMar>
              <w:top w:w="0" w:type="dxa"/>
              <w:left w:w="108" w:type="dxa"/>
              <w:bottom w:w="0" w:type="dxa"/>
              <w:right w:w="108" w:type="dxa"/>
            </w:tcMar>
            <w:vAlign w:val="center"/>
          </w:tcPr>
          <w:p w14:paraId="5C0BFFFD"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568" w:type="pct"/>
            <w:shd w:val="clear" w:color="auto" w:fill="auto"/>
            <w:tcMar>
              <w:top w:w="0" w:type="dxa"/>
              <w:left w:w="108" w:type="dxa"/>
              <w:bottom w:w="0" w:type="dxa"/>
              <w:right w:w="108" w:type="dxa"/>
            </w:tcMar>
            <w:vAlign w:val="center"/>
          </w:tcPr>
          <w:p w14:paraId="53687E20"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851" w:type="pct"/>
            <w:shd w:val="clear" w:color="auto" w:fill="auto"/>
            <w:tcMar>
              <w:top w:w="0" w:type="dxa"/>
              <w:left w:w="108" w:type="dxa"/>
              <w:bottom w:w="0" w:type="dxa"/>
              <w:right w:w="108" w:type="dxa"/>
            </w:tcMar>
            <w:vAlign w:val="center"/>
          </w:tcPr>
          <w:p w14:paraId="6ABB7D12"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571" w:type="pct"/>
            <w:shd w:val="clear" w:color="auto" w:fill="auto"/>
            <w:tcMar>
              <w:top w:w="0" w:type="dxa"/>
              <w:left w:w="108" w:type="dxa"/>
              <w:bottom w:w="0" w:type="dxa"/>
              <w:right w:w="108" w:type="dxa"/>
            </w:tcMar>
            <w:vAlign w:val="center"/>
          </w:tcPr>
          <w:p w14:paraId="35BA0783"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810" w:type="pct"/>
            <w:shd w:val="clear" w:color="auto" w:fill="auto"/>
            <w:tcMar>
              <w:top w:w="0" w:type="dxa"/>
              <w:left w:w="108" w:type="dxa"/>
              <w:bottom w:w="0" w:type="dxa"/>
              <w:right w:w="108" w:type="dxa"/>
            </w:tcMar>
            <w:vAlign w:val="center"/>
          </w:tcPr>
          <w:p w14:paraId="3CBEFC9D"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597" w:type="pct"/>
            <w:shd w:val="clear" w:color="auto" w:fill="auto"/>
            <w:tcMar>
              <w:top w:w="0" w:type="dxa"/>
              <w:left w:w="108" w:type="dxa"/>
              <w:bottom w:w="0" w:type="dxa"/>
              <w:right w:w="108" w:type="dxa"/>
            </w:tcMar>
            <w:vAlign w:val="center"/>
          </w:tcPr>
          <w:p w14:paraId="05EDEC94"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6416B0" w:rsidRPr="00B4515A" w14:paraId="7E20CC25" w14:textId="77777777" w:rsidTr="002B0582">
        <w:trPr>
          <w:trHeight w:val="340"/>
          <w:jc w:val="center"/>
        </w:trPr>
        <w:tc>
          <w:tcPr>
            <w:tcW w:w="790" w:type="pct"/>
            <w:shd w:val="clear" w:color="auto" w:fill="auto"/>
            <w:tcMar>
              <w:top w:w="0" w:type="dxa"/>
              <w:left w:w="108" w:type="dxa"/>
              <w:bottom w:w="0" w:type="dxa"/>
              <w:right w:w="108" w:type="dxa"/>
            </w:tcMar>
            <w:vAlign w:val="center"/>
          </w:tcPr>
          <w:p w14:paraId="078B413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短期借款</w:t>
            </w:r>
          </w:p>
        </w:tc>
        <w:tc>
          <w:tcPr>
            <w:tcW w:w="813" w:type="pct"/>
            <w:shd w:val="clear" w:color="auto" w:fill="auto"/>
            <w:tcMar>
              <w:top w:w="0" w:type="dxa"/>
              <w:left w:w="108" w:type="dxa"/>
              <w:bottom w:w="0" w:type="dxa"/>
              <w:right w:w="108" w:type="dxa"/>
            </w:tcMar>
            <w:vAlign w:val="center"/>
          </w:tcPr>
          <w:p w14:paraId="04509B2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66,797.23</w:t>
            </w:r>
          </w:p>
        </w:tc>
        <w:tc>
          <w:tcPr>
            <w:tcW w:w="568" w:type="pct"/>
            <w:shd w:val="clear" w:color="auto" w:fill="auto"/>
            <w:tcMar>
              <w:top w:w="0" w:type="dxa"/>
              <w:left w:w="108" w:type="dxa"/>
              <w:bottom w:w="0" w:type="dxa"/>
              <w:right w:w="108" w:type="dxa"/>
            </w:tcMar>
            <w:vAlign w:val="center"/>
          </w:tcPr>
          <w:p w14:paraId="235D741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18.25%</w:t>
            </w:r>
          </w:p>
        </w:tc>
        <w:tc>
          <w:tcPr>
            <w:tcW w:w="851" w:type="pct"/>
            <w:shd w:val="clear" w:color="auto" w:fill="auto"/>
            <w:tcMar>
              <w:top w:w="0" w:type="dxa"/>
              <w:left w:w="108" w:type="dxa"/>
              <w:bottom w:w="0" w:type="dxa"/>
              <w:right w:w="108" w:type="dxa"/>
            </w:tcMar>
            <w:vAlign w:val="center"/>
          </w:tcPr>
          <w:p w14:paraId="533BB4C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119,424.30</w:t>
            </w:r>
          </w:p>
        </w:tc>
        <w:tc>
          <w:tcPr>
            <w:tcW w:w="571" w:type="pct"/>
            <w:shd w:val="clear" w:color="auto" w:fill="auto"/>
            <w:tcMar>
              <w:top w:w="0" w:type="dxa"/>
              <w:left w:w="108" w:type="dxa"/>
              <w:bottom w:w="0" w:type="dxa"/>
              <w:right w:w="108" w:type="dxa"/>
            </w:tcMar>
            <w:vAlign w:val="center"/>
          </w:tcPr>
          <w:p w14:paraId="3492298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27.49%</w:t>
            </w:r>
          </w:p>
        </w:tc>
        <w:tc>
          <w:tcPr>
            <w:tcW w:w="810" w:type="pct"/>
            <w:shd w:val="clear" w:color="auto" w:fill="auto"/>
            <w:tcMar>
              <w:top w:w="0" w:type="dxa"/>
              <w:left w:w="108" w:type="dxa"/>
              <w:bottom w:w="0" w:type="dxa"/>
              <w:right w:w="108" w:type="dxa"/>
            </w:tcMar>
            <w:vAlign w:val="center"/>
          </w:tcPr>
          <w:p w14:paraId="664F081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100,396.81</w:t>
            </w:r>
          </w:p>
        </w:tc>
        <w:tc>
          <w:tcPr>
            <w:tcW w:w="597" w:type="pct"/>
            <w:shd w:val="clear" w:color="auto" w:fill="auto"/>
            <w:tcMar>
              <w:top w:w="0" w:type="dxa"/>
              <w:left w:w="108" w:type="dxa"/>
              <w:bottom w:w="0" w:type="dxa"/>
              <w:right w:w="108" w:type="dxa"/>
            </w:tcMar>
            <w:vAlign w:val="center"/>
          </w:tcPr>
          <w:p w14:paraId="00F6261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14.83%</w:t>
            </w:r>
          </w:p>
        </w:tc>
      </w:tr>
      <w:tr w:rsidR="006416B0" w:rsidRPr="00B4515A" w14:paraId="0E6BFFDC" w14:textId="77777777" w:rsidTr="002B0582">
        <w:trPr>
          <w:trHeight w:val="340"/>
          <w:jc w:val="center"/>
        </w:trPr>
        <w:tc>
          <w:tcPr>
            <w:tcW w:w="790" w:type="pct"/>
            <w:shd w:val="clear" w:color="auto" w:fill="auto"/>
            <w:tcMar>
              <w:top w:w="0" w:type="dxa"/>
              <w:left w:w="108" w:type="dxa"/>
              <w:bottom w:w="0" w:type="dxa"/>
              <w:right w:w="108" w:type="dxa"/>
            </w:tcMar>
            <w:vAlign w:val="center"/>
          </w:tcPr>
          <w:p w14:paraId="4B44AEB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应付票据</w:t>
            </w:r>
          </w:p>
        </w:tc>
        <w:tc>
          <w:tcPr>
            <w:tcW w:w="813" w:type="pct"/>
            <w:shd w:val="clear" w:color="auto" w:fill="auto"/>
            <w:tcMar>
              <w:top w:w="0" w:type="dxa"/>
              <w:left w:w="108" w:type="dxa"/>
              <w:bottom w:w="0" w:type="dxa"/>
              <w:right w:w="108" w:type="dxa"/>
            </w:tcMar>
            <w:vAlign w:val="center"/>
          </w:tcPr>
          <w:p w14:paraId="24EE761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1,972.11</w:t>
            </w:r>
          </w:p>
        </w:tc>
        <w:tc>
          <w:tcPr>
            <w:tcW w:w="568" w:type="pct"/>
            <w:shd w:val="clear" w:color="auto" w:fill="auto"/>
            <w:tcMar>
              <w:top w:w="0" w:type="dxa"/>
              <w:left w:w="108" w:type="dxa"/>
              <w:bottom w:w="0" w:type="dxa"/>
              <w:right w:w="108" w:type="dxa"/>
            </w:tcMar>
            <w:vAlign w:val="center"/>
          </w:tcPr>
          <w:p w14:paraId="6B346C1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0.54%</w:t>
            </w:r>
          </w:p>
        </w:tc>
        <w:tc>
          <w:tcPr>
            <w:tcW w:w="851" w:type="pct"/>
            <w:shd w:val="clear" w:color="auto" w:fill="auto"/>
            <w:tcMar>
              <w:top w:w="0" w:type="dxa"/>
              <w:left w:w="108" w:type="dxa"/>
              <w:bottom w:w="0" w:type="dxa"/>
              <w:right w:w="108" w:type="dxa"/>
            </w:tcMar>
            <w:vAlign w:val="center"/>
          </w:tcPr>
          <w:p w14:paraId="5523F9E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2,623.92</w:t>
            </w:r>
          </w:p>
        </w:tc>
        <w:tc>
          <w:tcPr>
            <w:tcW w:w="571" w:type="pct"/>
            <w:shd w:val="clear" w:color="auto" w:fill="auto"/>
            <w:tcMar>
              <w:top w:w="0" w:type="dxa"/>
              <w:left w:w="108" w:type="dxa"/>
              <w:bottom w:w="0" w:type="dxa"/>
              <w:right w:w="108" w:type="dxa"/>
            </w:tcMar>
            <w:vAlign w:val="center"/>
          </w:tcPr>
          <w:p w14:paraId="6038339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0.60%</w:t>
            </w:r>
          </w:p>
        </w:tc>
        <w:tc>
          <w:tcPr>
            <w:tcW w:w="810" w:type="pct"/>
            <w:shd w:val="clear" w:color="auto" w:fill="auto"/>
            <w:tcMar>
              <w:top w:w="0" w:type="dxa"/>
              <w:left w:w="108" w:type="dxa"/>
              <w:bottom w:w="0" w:type="dxa"/>
              <w:right w:w="108" w:type="dxa"/>
            </w:tcMar>
            <w:vAlign w:val="center"/>
          </w:tcPr>
          <w:p w14:paraId="67202C0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5,195.91</w:t>
            </w:r>
          </w:p>
        </w:tc>
        <w:tc>
          <w:tcPr>
            <w:tcW w:w="597" w:type="pct"/>
            <w:shd w:val="clear" w:color="auto" w:fill="auto"/>
            <w:tcMar>
              <w:top w:w="0" w:type="dxa"/>
              <w:left w:w="108" w:type="dxa"/>
              <w:bottom w:w="0" w:type="dxa"/>
              <w:right w:w="108" w:type="dxa"/>
            </w:tcMar>
            <w:vAlign w:val="center"/>
          </w:tcPr>
          <w:p w14:paraId="5845F24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0.77%</w:t>
            </w:r>
          </w:p>
        </w:tc>
      </w:tr>
      <w:tr w:rsidR="006416B0" w:rsidRPr="00B4515A" w14:paraId="54FC03B8" w14:textId="77777777" w:rsidTr="002B0582">
        <w:trPr>
          <w:trHeight w:val="340"/>
          <w:jc w:val="center"/>
        </w:trPr>
        <w:tc>
          <w:tcPr>
            <w:tcW w:w="790" w:type="pct"/>
            <w:shd w:val="clear" w:color="auto" w:fill="auto"/>
            <w:tcMar>
              <w:top w:w="0" w:type="dxa"/>
              <w:left w:w="108" w:type="dxa"/>
              <w:bottom w:w="0" w:type="dxa"/>
              <w:right w:w="108" w:type="dxa"/>
            </w:tcMar>
            <w:vAlign w:val="center"/>
          </w:tcPr>
          <w:p w14:paraId="604356A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应付账款</w:t>
            </w:r>
          </w:p>
        </w:tc>
        <w:tc>
          <w:tcPr>
            <w:tcW w:w="813" w:type="pct"/>
            <w:shd w:val="clear" w:color="auto" w:fill="auto"/>
            <w:tcMar>
              <w:top w:w="0" w:type="dxa"/>
              <w:left w:w="108" w:type="dxa"/>
              <w:bottom w:w="0" w:type="dxa"/>
              <w:right w:w="108" w:type="dxa"/>
            </w:tcMar>
            <w:vAlign w:val="center"/>
          </w:tcPr>
          <w:p w14:paraId="125FA28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59,327.15</w:t>
            </w:r>
          </w:p>
        </w:tc>
        <w:tc>
          <w:tcPr>
            <w:tcW w:w="568" w:type="pct"/>
            <w:shd w:val="clear" w:color="auto" w:fill="auto"/>
            <w:tcMar>
              <w:top w:w="0" w:type="dxa"/>
              <w:left w:w="108" w:type="dxa"/>
              <w:bottom w:w="0" w:type="dxa"/>
              <w:right w:w="108" w:type="dxa"/>
            </w:tcMar>
            <w:vAlign w:val="center"/>
          </w:tcPr>
          <w:p w14:paraId="79E9E8E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16.21%</w:t>
            </w:r>
          </w:p>
        </w:tc>
        <w:tc>
          <w:tcPr>
            <w:tcW w:w="851" w:type="pct"/>
            <w:shd w:val="clear" w:color="auto" w:fill="auto"/>
            <w:tcMar>
              <w:top w:w="0" w:type="dxa"/>
              <w:left w:w="108" w:type="dxa"/>
              <w:bottom w:w="0" w:type="dxa"/>
              <w:right w:w="108" w:type="dxa"/>
            </w:tcMar>
            <w:vAlign w:val="center"/>
          </w:tcPr>
          <w:p w14:paraId="1D99E9E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89,864.64</w:t>
            </w:r>
          </w:p>
        </w:tc>
        <w:tc>
          <w:tcPr>
            <w:tcW w:w="571" w:type="pct"/>
            <w:shd w:val="clear" w:color="auto" w:fill="auto"/>
            <w:tcMar>
              <w:top w:w="0" w:type="dxa"/>
              <w:left w:w="108" w:type="dxa"/>
              <w:bottom w:w="0" w:type="dxa"/>
              <w:right w:w="108" w:type="dxa"/>
            </w:tcMar>
            <w:vAlign w:val="center"/>
          </w:tcPr>
          <w:p w14:paraId="34AEE4B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20.69%</w:t>
            </w:r>
          </w:p>
        </w:tc>
        <w:tc>
          <w:tcPr>
            <w:tcW w:w="810" w:type="pct"/>
            <w:shd w:val="clear" w:color="auto" w:fill="auto"/>
            <w:tcMar>
              <w:top w:w="0" w:type="dxa"/>
              <w:left w:w="108" w:type="dxa"/>
              <w:bottom w:w="0" w:type="dxa"/>
              <w:right w:w="108" w:type="dxa"/>
            </w:tcMar>
            <w:vAlign w:val="center"/>
          </w:tcPr>
          <w:p w14:paraId="3488F0E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99,120.02</w:t>
            </w:r>
          </w:p>
        </w:tc>
        <w:tc>
          <w:tcPr>
            <w:tcW w:w="597" w:type="pct"/>
            <w:shd w:val="clear" w:color="auto" w:fill="auto"/>
            <w:tcMar>
              <w:top w:w="0" w:type="dxa"/>
              <w:left w:w="108" w:type="dxa"/>
              <w:bottom w:w="0" w:type="dxa"/>
              <w:right w:w="108" w:type="dxa"/>
            </w:tcMar>
            <w:vAlign w:val="center"/>
          </w:tcPr>
          <w:p w14:paraId="048DF4F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14.64%</w:t>
            </w:r>
          </w:p>
        </w:tc>
      </w:tr>
      <w:tr w:rsidR="006416B0" w:rsidRPr="00B4515A" w14:paraId="0C55C8B8" w14:textId="77777777" w:rsidTr="002B0582">
        <w:trPr>
          <w:trHeight w:val="340"/>
          <w:jc w:val="center"/>
        </w:trPr>
        <w:tc>
          <w:tcPr>
            <w:tcW w:w="790" w:type="pct"/>
            <w:shd w:val="clear" w:color="auto" w:fill="auto"/>
            <w:tcMar>
              <w:top w:w="0" w:type="dxa"/>
              <w:left w:w="108" w:type="dxa"/>
              <w:bottom w:w="0" w:type="dxa"/>
              <w:right w:w="108" w:type="dxa"/>
            </w:tcMar>
            <w:vAlign w:val="center"/>
          </w:tcPr>
          <w:p w14:paraId="63278F1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预收款项</w:t>
            </w:r>
          </w:p>
        </w:tc>
        <w:tc>
          <w:tcPr>
            <w:tcW w:w="813" w:type="pct"/>
            <w:shd w:val="clear" w:color="auto" w:fill="auto"/>
            <w:tcMar>
              <w:top w:w="0" w:type="dxa"/>
              <w:left w:w="108" w:type="dxa"/>
              <w:bottom w:w="0" w:type="dxa"/>
              <w:right w:w="108" w:type="dxa"/>
            </w:tcMar>
            <w:vAlign w:val="center"/>
          </w:tcPr>
          <w:p w14:paraId="7FA88E9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68" w:type="pct"/>
            <w:shd w:val="clear" w:color="auto" w:fill="auto"/>
            <w:tcMar>
              <w:top w:w="0" w:type="dxa"/>
              <w:left w:w="108" w:type="dxa"/>
              <w:bottom w:w="0" w:type="dxa"/>
              <w:right w:w="108" w:type="dxa"/>
            </w:tcMar>
            <w:vAlign w:val="center"/>
          </w:tcPr>
          <w:p w14:paraId="007303A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851" w:type="pct"/>
            <w:shd w:val="clear" w:color="auto" w:fill="auto"/>
            <w:tcMar>
              <w:top w:w="0" w:type="dxa"/>
              <w:left w:w="108" w:type="dxa"/>
              <w:bottom w:w="0" w:type="dxa"/>
              <w:right w:w="108" w:type="dxa"/>
            </w:tcMar>
            <w:vAlign w:val="center"/>
          </w:tcPr>
          <w:p w14:paraId="576024E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14,491.46</w:t>
            </w:r>
          </w:p>
        </w:tc>
        <w:tc>
          <w:tcPr>
            <w:tcW w:w="571" w:type="pct"/>
            <w:shd w:val="clear" w:color="auto" w:fill="auto"/>
            <w:tcMar>
              <w:top w:w="0" w:type="dxa"/>
              <w:left w:w="108" w:type="dxa"/>
              <w:bottom w:w="0" w:type="dxa"/>
              <w:right w:w="108" w:type="dxa"/>
            </w:tcMar>
            <w:vAlign w:val="center"/>
          </w:tcPr>
          <w:p w14:paraId="1E74F98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3.34%</w:t>
            </w:r>
          </w:p>
        </w:tc>
        <w:tc>
          <w:tcPr>
            <w:tcW w:w="810" w:type="pct"/>
            <w:shd w:val="clear" w:color="auto" w:fill="auto"/>
            <w:tcMar>
              <w:top w:w="0" w:type="dxa"/>
              <w:left w:w="108" w:type="dxa"/>
              <w:bottom w:w="0" w:type="dxa"/>
              <w:right w:w="108" w:type="dxa"/>
            </w:tcMar>
            <w:vAlign w:val="center"/>
          </w:tcPr>
          <w:p w14:paraId="0895912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20,885.57</w:t>
            </w:r>
          </w:p>
        </w:tc>
        <w:tc>
          <w:tcPr>
            <w:tcW w:w="597" w:type="pct"/>
            <w:shd w:val="clear" w:color="auto" w:fill="auto"/>
            <w:tcMar>
              <w:top w:w="0" w:type="dxa"/>
              <w:left w:w="108" w:type="dxa"/>
              <w:bottom w:w="0" w:type="dxa"/>
              <w:right w:w="108" w:type="dxa"/>
            </w:tcMar>
            <w:vAlign w:val="center"/>
          </w:tcPr>
          <w:p w14:paraId="6CEE483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3.09%</w:t>
            </w:r>
          </w:p>
        </w:tc>
      </w:tr>
      <w:tr w:rsidR="006416B0" w:rsidRPr="00B4515A" w14:paraId="309E71FA" w14:textId="77777777" w:rsidTr="002B0582">
        <w:trPr>
          <w:trHeight w:val="340"/>
          <w:jc w:val="center"/>
        </w:trPr>
        <w:tc>
          <w:tcPr>
            <w:tcW w:w="790" w:type="pct"/>
            <w:shd w:val="clear" w:color="auto" w:fill="auto"/>
            <w:tcMar>
              <w:top w:w="0" w:type="dxa"/>
              <w:left w:w="108" w:type="dxa"/>
              <w:bottom w:w="0" w:type="dxa"/>
              <w:right w:w="108" w:type="dxa"/>
            </w:tcMar>
            <w:vAlign w:val="center"/>
          </w:tcPr>
          <w:p w14:paraId="5201E0D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合同负债</w:t>
            </w:r>
          </w:p>
        </w:tc>
        <w:tc>
          <w:tcPr>
            <w:tcW w:w="813" w:type="pct"/>
            <w:shd w:val="clear" w:color="auto" w:fill="auto"/>
            <w:tcMar>
              <w:top w:w="0" w:type="dxa"/>
              <w:left w:w="108" w:type="dxa"/>
              <w:bottom w:w="0" w:type="dxa"/>
              <w:right w:w="108" w:type="dxa"/>
            </w:tcMar>
            <w:vAlign w:val="center"/>
          </w:tcPr>
          <w:p w14:paraId="2D1B28B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13,444.53</w:t>
            </w:r>
          </w:p>
        </w:tc>
        <w:tc>
          <w:tcPr>
            <w:tcW w:w="568" w:type="pct"/>
            <w:shd w:val="clear" w:color="auto" w:fill="auto"/>
            <w:tcMar>
              <w:top w:w="0" w:type="dxa"/>
              <w:left w:w="108" w:type="dxa"/>
              <w:bottom w:w="0" w:type="dxa"/>
              <w:right w:w="108" w:type="dxa"/>
            </w:tcMar>
            <w:vAlign w:val="center"/>
          </w:tcPr>
          <w:p w14:paraId="05F6C0F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3.67%</w:t>
            </w:r>
          </w:p>
        </w:tc>
        <w:tc>
          <w:tcPr>
            <w:tcW w:w="851" w:type="pct"/>
            <w:shd w:val="clear" w:color="auto" w:fill="auto"/>
            <w:tcMar>
              <w:top w:w="0" w:type="dxa"/>
              <w:left w:w="108" w:type="dxa"/>
              <w:bottom w:w="0" w:type="dxa"/>
              <w:right w:w="108" w:type="dxa"/>
            </w:tcMar>
            <w:vAlign w:val="center"/>
          </w:tcPr>
          <w:p w14:paraId="66548E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71" w:type="pct"/>
            <w:shd w:val="clear" w:color="auto" w:fill="auto"/>
            <w:tcMar>
              <w:top w:w="0" w:type="dxa"/>
              <w:left w:w="108" w:type="dxa"/>
              <w:bottom w:w="0" w:type="dxa"/>
              <w:right w:w="108" w:type="dxa"/>
            </w:tcMar>
            <w:vAlign w:val="center"/>
          </w:tcPr>
          <w:p w14:paraId="54F36F3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810" w:type="pct"/>
            <w:shd w:val="clear" w:color="auto" w:fill="auto"/>
            <w:tcMar>
              <w:top w:w="0" w:type="dxa"/>
              <w:left w:w="108" w:type="dxa"/>
              <w:bottom w:w="0" w:type="dxa"/>
              <w:right w:w="108" w:type="dxa"/>
            </w:tcMar>
            <w:vAlign w:val="center"/>
          </w:tcPr>
          <w:p w14:paraId="19FEC3C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97" w:type="pct"/>
            <w:shd w:val="clear" w:color="auto" w:fill="auto"/>
            <w:tcMar>
              <w:top w:w="0" w:type="dxa"/>
              <w:left w:w="108" w:type="dxa"/>
              <w:bottom w:w="0" w:type="dxa"/>
              <w:right w:w="108" w:type="dxa"/>
            </w:tcMar>
            <w:vAlign w:val="center"/>
          </w:tcPr>
          <w:p w14:paraId="5DA8D27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r>
      <w:tr w:rsidR="006416B0" w:rsidRPr="00B4515A" w14:paraId="416E8D4D" w14:textId="77777777" w:rsidTr="002B0582">
        <w:trPr>
          <w:trHeight w:val="340"/>
          <w:jc w:val="center"/>
        </w:trPr>
        <w:tc>
          <w:tcPr>
            <w:tcW w:w="790" w:type="pct"/>
            <w:shd w:val="clear" w:color="auto" w:fill="auto"/>
            <w:tcMar>
              <w:top w:w="0" w:type="dxa"/>
              <w:left w:w="108" w:type="dxa"/>
              <w:bottom w:w="0" w:type="dxa"/>
              <w:right w:w="108" w:type="dxa"/>
            </w:tcMar>
            <w:vAlign w:val="center"/>
          </w:tcPr>
          <w:p w14:paraId="2E66D261"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应付职工</w:t>
            </w:r>
          </w:p>
          <w:p w14:paraId="49874263" w14:textId="39A1AF6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薪酬</w:t>
            </w:r>
          </w:p>
        </w:tc>
        <w:tc>
          <w:tcPr>
            <w:tcW w:w="813" w:type="pct"/>
            <w:shd w:val="clear" w:color="auto" w:fill="auto"/>
            <w:tcMar>
              <w:top w:w="0" w:type="dxa"/>
              <w:left w:w="108" w:type="dxa"/>
              <w:bottom w:w="0" w:type="dxa"/>
              <w:right w:w="108" w:type="dxa"/>
            </w:tcMar>
            <w:vAlign w:val="center"/>
          </w:tcPr>
          <w:p w14:paraId="650A9D2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6,419.53</w:t>
            </w:r>
          </w:p>
        </w:tc>
        <w:tc>
          <w:tcPr>
            <w:tcW w:w="568" w:type="pct"/>
            <w:shd w:val="clear" w:color="auto" w:fill="auto"/>
            <w:tcMar>
              <w:top w:w="0" w:type="dxa"/>
              <w:left w:w="108" w:type="dxa"/>
              <w:bottom w:w="0" w:type="dxa"/>
              <w:right w:w="108" w:type="dxa"/>
            </w:tcMar>
            <w:vAlign w:val="center"/>
          </w:tcPr>
          <w:p w14:paraId="633B4B5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1.75%</w:t>
            </w:r>
          </w:p>
        </w:tc>
        <w:tc>
          <w:tcPr>
            <w:tcW w:w="851" w:type="pct"/>
            <w:shd w:val="clear" w:color="auto" w:fill="auto"/>
            <w:tcMar>
              <w:top w:w="0" w:type="dxa"/>
              <w:left w:w="108" w:type="dxa"/>
              <w:bottom w:w="0" w:type="dxa"/>
              <w:right w:w="108" w:type="dxa"/>
            </w:tcMar>
            <w:vAlign w:val="center"/>
          </w:tcPr>
          <w:p w14:paraId="74C70E1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3,821.75</w:t>
            </w:r>
          </w:p>
        </w:tc>
        <w:tc>
          <w:tcPr>
            <w:tcW w:w="571" w:type="pct"/>
            <w:shd w:val="clear" w:color="auto" w:fill="auto"/>
            <w:tcMar>
              <w:top w:w="0" w:type="dxa"/>
              <w:left w:w="108" w:type="dxa"/>
              <w:bottom w:w="0" w:type="dxa"/>
              <w:right w:w="108" w:type="dxa"/>
            </w:tcMar>
            <w:vAlign w:val="center"/>
          </w:tcPr>
          <w:p w14:paraId="13748A5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0.88%</w:t>
            </w:r>
          </w:p>
        </w:tc>
        <w:tc>
          <w:tcPr>
            <w:tcW w:w="810" w:type="pct"/>
            <w:shd w:val="clear" w:color="auto" w:fill="auto"/>
            <w:tcMar>
              <w:top w:w="0" w:type="dxa"/>
              <w:left w:w="108" w:type="dxa"/>
              <w:bottom w:w="0" w:type="dxa"/>
              <w:right w:w="108" w:type="dxa"/>
            </w:tcMar>
            <w:vAlign w:val="center"/>
          </w:tcPr>
          <w:p w14:paraId="78ECA49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2,772.51</w:t>
            </w:r>
          </w:p>
        </w:tc>
        <w:tc>
          <w:tcPr>
            <w:tcW w:w="597" w:type="pct"/>
            <w:shd w:val="clear" w:color="auto" w:fill="auto"/>
            <w:tcMar>
              <w:top w:w="0" w:type="dxa"/>
              <w:left w:w="108" w:type="dxa"/>
              <w:bottom w:w="0" w:type="dxa"/>
              <w:right w:w="108" w:type="dxa"/>
            </w:tcMar>
            <w:vAlign w:val="center"/>
          </w:tcPr>
          <w:p w14:paraId="2973256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0.41%</w:t>
            </w:r>
          </w:p>
        </w:tc>
      </w:tr>
      <w:tr w:rsidR="006416B0" w:rsidRPr="00B4515A" w14:paraId="5BDF4C1D" w14:textId="77777777" w:rsidTr="002B0582">
        <w:trPr>
          <w:trHeight w:val="340"/>
          <w:jc w:val="center"/>
        </w:trPr>
        <w:tc>
          <w:tcPr>
            <w:tcW w:w="790" w:type="pct"/>
            <w:shd w:val="clear" w:color="auto" w:fill="auto"/>
            <w:tcMar>
              <w:top w:w="0" w:type="dxa"/>
              <w:left w:w="108" w:type="dxa"/>
              <w:bottom w:w="0" w:type="dxa"/>
              <w:right w:w="108" w:type="dxa"/>
            </w:tcMar>
            <w:vAlign w:val="center"/>
          </w:tcPr>
          <w:p w14:paraId="492F953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应交税费</w:t>
            </w:r>
          </w:p>
        </w:tc>
        <w:tc>
          <w:tcPr>
            <w:tcW w:w="813" w:type="pct"/>
            <w:shd w:val="clear" w:color="auto" w:fill="auto"/>
            <w:tcMar>
              <w:top w:w="0" w:type="dxa"/>
              <w:left w:w="108" w:type="dxa"/>
              <w:bottom w:w="0" w:type="dxa"/>
              <w:right w:w="108" w:type="dxa"/>
            </w:tcMar>
            <w:vAlign w:val="center"/>
          </w:tcPr>
          <w:p w14:paraId="417D564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1,226.60</w:t>
            </w:r>
          </w:p>
        </w:tc>
        <w:tc>
          <w:tcPr>
            <w:tcW w:w="568" w:type="pct"/>
            <w:shd w:val="clear" w:color="auto" w:fill="auto"/>
            <w:tcMar>
              <w:top w:w="0" w:type="dxa"/>
              <w:left w:w="108" w:type="dxa"/>
              <w:bottom w:w="0" w:type="dxa"/>
              <w:right w:w="108" w:type="dxa"/>
            </w:tcMar>
            <w:vAlign w:val="center"/>
          </w:tcPr>
          <w:p w14:paraId="0064753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0.34%</w:t>
            </w:r>
          </w:p>
        </w:tc>
        <w:tc>
          <w:tcPr>
            <w:tcW w:w="851" w:type="pct"/>
            <w:shd w:val="clear" w:color="auto" w:fill="auto"/>
            <w:tcMar>
              <w:top w:w="0" w:type="dxa"/>
              <w:left w:w="108" w:type="dxa"/>
              <w:bottom w:w="0" w:type="dxa"/>
              <w:right w:w="108" w:type="dxa"/>
            </w:tcMar>
            <w:vAlign w:val="center"/>
          </w:tcPr>
          <w:p w14:paraId="28F2272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1,142.35</w:t>
            </w:r>
          </w:p>
        </w:tc>
        <w:tc>
          <w:tcPr>
            <w:tcW w:w="571" w:type="pct"/>
            <w:shd w:val="clear" w:color="auto" w:fill="auto"/>
            <w:tcMar>
              <w:top w:w="0" w:type="dxa"/>
              <w:left w:w="108" w:type="dxa"/>
              <w:bottom w:w="0" w:type="dxa"/>
              <w:right w:w="108" w:type="dxa"/>
            </w:tcMar>
            <w:vAlign w:val="center"/>
          </w:tcPr>
          <w:p w14:paraId="6CD60C3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0.26%</w:t>
            </w:r>
          </w:p>
        </w:tc>
        <w:tc>
          <w:tcPr>
            <w:tcW w:w="810" w:type="pct"/>
            <w:shd w:val="clear" w:color="auto" w:fill="auto"/>
            <w:tcMar>
              <w:top w:w="0" w:type="dxa"/>
              <w:left w:w="108" w:type="dxa"/>
              <w:bottom w:w="0" w:type="dxa"/>
              <w:right w:w="108" w:type="dxa"/>
            </w:tcMar>
            <w:vAlign w:val="center"/>
          </w:tcPr>
          <w:p w14:paraId="6AA08A6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3,025.47</w:t>
            </w:r>
          </w:p>
        </w:tc>
        <w:tc>
          <w:tcPr>
            <w:tcW w:w="597" w:type="pct"/>
            <w:shd w:val="clear" w:color="auto" w:fill="auto"/>
            <w:tcMar>
              <w:top w:w="0" w:type="dxa"/>
              <w:left w:w="108" w:type="dxa"/>
              <w:bottom w:w="0" w:type="dxa"/>
              <w:right w:w="108" w:type="dxa"/>
            </w:tcMar>
            <w:vAlign w:val="center"/>
          </w:tcPr>
          <w:p w14:paraId="2BEA703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0.45%</w:t>
            </w:r>
          </w:p>
        </w:tc>
      </w:tr>
      <w:tr w:rsidR="006416B0" w:rsidRPr="00B4515A" w14:paraId="3B8DE50B" w14:textId="77777777" w:rsidTr="002B0582">
        <w:trPr>
          <w:trHeight w:val="340"/>
          <w:jc w:val="center"/>
        </w:trPr>
        <w:tc>
          <w:tcPr>
            <w:tcW w:w="790" w:type="pct"/>
            <w:shd w:val="clear" w:color="auto" w:fill="auto"/>
            <w:tcMar>
              <w:top w:w="0" w:type="dxa"/>
              <w:left w:w="108" w:type="dxa"/>
              <w:bottom w:w="0" w:type="dxa"/>
              <w:right w:w="108" w:type="dxa"/>
            </w:tcMar>
            <w:vAlign w:val="center"/>
          </w:tcPr>
          <w:p w14:paraId="2077CA7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其他应付款</w:t>
            </w:r>
          </w:p>
        </w:tc>
        <w:tc>
          <w:tcPr>
            <w:tcW w:w="813" w:type="pct"/>
            <w:shd w:val="clear" w:color="auto" w:fill="auto"/>
            <w:tcMar>
              <w:top w:w="0" w:type="dxa"/>
              <w:left w:w="108" w:type="dxa"/>
              <w:bottom w:w="0" w:type="dxa"/>
              <w:right w:w="108" w:type="dxa"/>
            </w:tcMar>
            <w:vAlign w:val="center"/>
          </w:tcPr>
          <w:p w14:paraId="2E9F914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113,642.29</w:t>
            </w:r>
          </w:p>
        </w:tc>
        <w:tc>
          <w:tcPr>
            <w:tcW w:w="568" w:type="pct"/>
            <w:shd w:val="clear" w:color="auto" w:fill="auto"/>
            <w:tcMar>
              <w:top w:w="0" w:type="dxa"/>
              <w:left w:w="108" w:type="dxa"/>
              <w:bottom w:w="0" w:type="dxa"/>
              <w:right w:w="108" w:type="dxa"/>
            </w:tcMar>
            <w:vAlign w:val="center"/>
          </w:tcPr>
          <w:p w14:paraId="3A94F3E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31.05%</w:t>
            </w:r>
          </w:p>
        </w:tc>
        <w:tc>
          <w:tcPr>
            <w:tcW w:w="851" w:type="pct"/>
            <w:shd w:val="clear" w:color="auto" w:fill="auto"/>
            <w:tcMar>
              <w:top w:w="0" w:type="dxa"/>
              <w:left w:w="108" w:type="dxa"/>
              <w:bottom w:w="0" w:type="dxa"/>
              <w:right w:w="108" w:type="dxa"/>
            </w:tcMar>
            <w:vAlign w:val="center"/>
          </w:tcPr>
          <w:p w14:paraId="7F5EF8E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69,912.11</w:t>
            </w:r>
          </w:p>
        </w:tc>
        <w:tc>
          <w:tcPr>
            <w:tcW w:w="571" w:type="pct"/>
            <w:shd w:val="clear" w:color="auto" w:fill="auto"/>
            <w:tcMar>
              <w:top w:w="0" w:type="dxa"/>
              <w:left w:w="108" w:type="dxa"/>
              <w:bottom w:w="0" w:type="dxa"/>
              <w:right w:w="108" w:type="dxa"/>
            </w:tcMar>
            <w:vAlign w:val="center"/>
          </w:tcPr>
          <w:p w14:paraId="7980ABE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16.09%</w:t>
            </w:r>
          </w:p>
        </w:tc>
        <w:tc>
          <w:tcPr>
            <w:tcW w:w="810" w:type="pct"/>
            <w:shd w:val="clear" w:color="auto" w:fill="auto"/>
            <w:tcMar>
              <w:top w:w="0" w:type="dxa"/>
              <w:left w:w="108" w:type="dxa"/>
              <w:bottom w:w="0" w:type="dxa"/>
              <w:right w:w="108" w:type="dxa"/>
            </w:tcMar>
            <w:vAlign w:val="center"/>
          </w:tcPr>
          <w:p w14:paraId="584EECD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67,068.64</w:t>
            </w:r>
          </w:p>
        </w:tc>
        <w:tc>
          <w:tcPr>
            <w:tcW w:w="597" w:type="pct"/>
            <w:shd w:val="clear" w:color="auto" w:fill="auto"/>
            <w:tcMar>
              <w:top w:w="0" w:type="dxa"/>
              <w:left w:w="108" w:type="dxa"/>
              <w:bottom w:w="0" w:type="dxa"/>
              <w:right w:w="108" w:type="dxa"/>
            </w:tcMar>
            <w:vAlign w:val="center"/>
          </w:tcPr>
          <w:p w14:paraId="66E0078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9.91%</w:t>
            </w:r>
          </w:p>
        </w:tc>
      </w:tr>
      <w:tr w:rsidR="006416B0" w:rsidRPr="00B4515A" w14:paraId="32266053" w14:textId="77777777" w:rsidTr="002B0582">
        <w:trPr>
          <w:trHeight w:val="340"/>
          <w:jc w:val="center"/>
        </w:trPr>
        <w:tc>
          <w:tcPr>
            <w:tcW w:w="790" w:type="pct"/>
            <w:shd w:val="clear" w:color="auto" w:fill="auto"/>
            <w:tcMar>
              <w:top w:w="0" w:type="dxa"/>
              <w:left w:w="108" w:type="dxa"/>
              <w:bottom w:w="0" w:type="dxa"/>
              <w:right w:w="108" w:type="dxa"/>
            </w:tcMar>
            <w:vAlign w:val="center"/>
          </w:tcPr>
          <w:p w14:paraId="0AD2C5EF"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一年内到期</w:t>
            </w:r>
            <w:r w:rsidRPr="00B4515A">
              <w:rPr>
                <w:rFonts w:ascii="Times New Roman" w:eastAsiaTheme="minorEastAsia" w:hAnsi="Times New Roman" w:cs="Times New Roman"/>
                <w:color w:val="000000"/>
                <w:sz w:val="21"/>
                <w:szCs w:val="21"/>
              </w:rPr>
              <w:lastRenderedPageBreak/>
              <w:t>的非流动</w:t>
            </w:r>
          </w:p>
          <w:p w14:paraId="4D989B68" w14:textId="53000830"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负债</w:t>
            </w:r>
          </w:p>
        </w:tc>
        <w:tc>
          <w:tcPr>
            <w:tcW w:w="813" w:type="pct"/>
            <w:shd w:val="clear" w:color="auto" w:fill="auto"/>
            <w:tcMar>
              <w:top w:w="0" w:type="dxa"/>
              <w:left w:w="108" w:type="dxa"/>
              <w:bottom w:w="0" w:type="dxa"/>
              <w:right w:w="108" w:type="dxa"/>
            </w:tcMar>
            <w:vAlign w:val="center"/>
          </w:tcPr>
          <w:p w14:paraId="728EB86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lastRenderedPageBreak/>
              <w:t>34,263.42</w:t>
            </w:r>
          </w:p>
        </w:tc>
        <w:tc>
          <w:tcPr>
            <w:tcW w:w="568" w:type="pct"/>
            <w:shd w:val="clear" w:color="auto" w:fill="auto"/>
            <w:tcMar>
              <w:top w:w="0" w:type="dxa"/>
              <w:left w:w="108" w:type="dxa"/>
              <w:bottom w:w="0" w:type="dxa"/>
              <w:right w:w="108" w:type="dxa"/>
            </w:tcMar>
            <w:vAlign w:val="center"/>
          </w:tcPr>
          <w:p w14:paraId="6845162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9.36%</w:t>
            </w:r>
          </w:p>
        </w:tc>
        <w:tc>
          <w:tcPr>
            <w:tcW w:w="851" w:type="pct"/>
            <w:shd w:val="clear" w:color="auto" w:fill="auto"/>
            <w:tcMar>
              <w:top w:w="0" w:type="dxa"/>
              <w:left w:w="108" w:type="dxa"/>
              <w:bottom w:w="0" w:type="dxa"/>
              <w:right w:w="108" w:type="dxa"/>
            </w:tcMar>
            <w:vAlign w:val="center"/>
          </w:tcPr>
          <w:p w14:paraId="3D7045D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90,343.30</w:t>
            </w:r>
          </w:p>
        </w:tc>
        <w:tc>
          <w:tcPr>
            <w:tcW w:w="571" w:type="pct"/>
            <w:shd w:val="clear" w:color="auto" w:fill="auto"/>
            <w:tcMar>
              <w:top w:w="0" w:type="dxa"/>
              <w:left w:w="108" w:type="dxa"/>
              <w:bottom w:w="0" w:type="dxa"/>
              <w:right w:w="108" w:type="dxa"/>
            </w:tcMar>
            <w:vAlign w:val="center"/>
          </w:tcPr>
          <w:p w14:paraId="17350BC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20.80%</w:t>
            </w:r>
          </w:p>
        </w:tc>
        <w:tc>
          <w:tcPr>
            <w:tcW w:w="810" w:type="pct"/>
            <w:shd w:val="clear" w:color="auto" w:fill="auto"/>
            <w:tcMar>
              <w:top w:w="0" w:type="dxa"/>
              <w:left w:w="108" w:type="dxa"/>
              <w:bottom w:w="0" w:type="dxa"/>
              <w:right w:w="108" w:type="dxa"/>
            </w:tcMar>
            <w:vAlign w:val="center"/>
          </w:tcPr>
          <w:p w14:paraId="69107DC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95,043.15</w:t>
            </w:r>
          </w:p>
        </w:tc>
        <w:tc>
          <w:tcPr>
            <w:tcW w:w="597" w:type="pct"/>
            <w:shd w:val="clear" w:color="auto" w:fill="auto"/>
            <w:tcMar>
              <w:top w:w="0" w:type="dxa"/>
              <w:left w:w="108" w:type="dxa"/>
              <w:bottom w:w="0" w:type="dxa"/>
              <w:right w:w="108" w:type="dxa"/>
            </w:tcMar>
            <w:vAlign w:val="center"/>
          </w:tcPr>
          <w:p w14:paraId="38B5D12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14.04%</w:t>
            </w:r>
          </w:p>
        </w:tc>
      </w:tr>
      <w:tr w:rsidR="006416B0" w:rsidRPr="00B4515A" w14:paraId="43CB6315" w14:textId="77777777" w:rsidTr="002B0582">
        <w:trPr>
          <w:trHeight w:val="340"/>
          <w:jc w:val="center"/>
        </w:trPr>
        <w:tc>
          <w:tcPr>
            <w:tcW w:w="790" w:type="pct"/>
            <w:shd w:val="clear" w:color="auto" w:fill="auto"/>
            <w:tcMar>
              <w:top w:w="0" w:type="dxa"/>
              <w:left w:w="108" w:type="dxa"/>
              <w:bottom w:w="0" w:type="dxa"/>
              <w:right w:w="108" w:type="dxa"/>
            </w:tcMar>
            <w:vAlign w:val="center"/>
          </w:tcPr>
          <w:p w14:paraId="4346F347" w14:textId="77777777" w:rsidR="003357B7" w:rsidRPr="00B4515A" w:rsidRDefault="005E58C1" w:rsidP="003357B7">
            <w:pPr>
              <w:keepNext/>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lastRenderedPageBreak/>
              <w:t>其他流动</w:t>
            </w:r>
          </w:p>
          <w:p w14:paraId="054A13BE" w14:textId="13EFBC78" w:rsidR="006416B0" w:rsidRPr="00B4515A" w:rsidRDefault="005E58C1" w:rsidP="003357B7">
            <w:pPr>
              <w:keepNext/>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负债</w:t>
            </w:r>
          </w:p>
        </w:tc>
        <w:tc>
          <w:tcPr>
            <w:tcW w:w="813" w:type="pct"/>
            <w:shd w:val="clear" w:color="auto" w:fill="auto"/>
            <w:tcMar>
              <w:top w:w="0" w:type="dxa"/>
              <w:left w:w="108" w:type="dxa"/>
              <w:bottom w:w="0" w:type="dxa"/>
              <w:right w:w="108" w:type="dxa"/>
            </w:tcMar>
            <w:vAlign w:val="center"/>
          </w:tcPr>
          <w:p w14:paraId="05E40D5C" w14:textId="77777777" w:rsidR="006416B0" w:rsidRPr="00B4515A" w:rsidRDefault="005E58C1" w:rsidP="003357B7">
            <w:pPr>
              <w:keepNext/>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622.37</w:t>
            </w:r>
          </w:p>
        </w:tc>
        <w:tc>
          <w:tcPr>
            <w:tcW w:w="568" w:type="pct"/>
            <w:shd w:val="clear" w:color="auto" w:fill="auto"/>
            <w:tcMar>
              <w:top w:w="0" w:type="dxa"/>
              <w:left w:w="108" w:type="dxa"/>
              <w:bottom w:w="0" w:type="dxa"/>
              <w:right w:w="108" w:type="dxa"/>
            </w:tcMar>
            <w:vAlign w:val="center"/>
          </w:tcPr>
          <w:p w14:paraId="18E131C7" w14:textId="77777777" w:rsidR="006416B0" w:rsidRPr="00B4515A" w:rsidRDefault="005E58C1" w:rsidP="003357B7">
            <w:pPr>
              <w:keepNext/>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0.17%</w:t>
            </w:r>
          </w:p>
        </w:tc>
        <w:tc>
          <w:tcPr>
            <w:tcW w:w="851" w:type="pct"/>
            <w:shd w:val="clear" w:color="auto" w:fill="auto"/>
            <w:tcMar>
              <w:top w:w="0" w:type="dxa"/>
              <w:left w:w="108" w:type="dxa"/>
              <w:bottom w:w="0" w:type="dxa"/>
              <w:right w:w="108" w:type="dxa"/>
            </w:tcMar>
            <w:vAlign w:val="center"/>
          </w:tcPr>
          <w:p w14:paraId="123F7158" w14:textId="77777777" w:rsidR="006416B0" w:rsidRPr="00B4515A" w:rsidRDefault="005E58C1" w:rsidP="003357B7">
            <w:pPr>
              <w:keepNext/>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71" w:type="pct"/>
            <w:shd w:val="clear" w:color="auto" w:fill="auto"/>
            <w:tcMar>
              <w:top w:w="0" w:type="dxa"/>
              <w:left w:w="108" w:type="dxa"/>
              <w:bottom w:w="0" w:type="dxa"/>
              <w:right w:w="108" w:type="dxa"/>
            </w:tcMar>
            <w:vAlign w:val="center"/>
          </w:tcPr>
          <w:p w14:paraId="26EBEC7A" w14:textId="77777777" w:rsidR="006416B0" w:rsidRPr="00B4515A" w:rsidRDefault="005E58C1" w:rsidP="003357B7">
            <w:pPr>
              <w:keepNext/>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810" w:type="pct"/>
            <w:shd w:val="clear" w:color="auto" w:fill="auto"/>
            <w:tcMar>
              <w:top w:w="0" w:type="dxa"/>
              <w:left w:w="108" w:type="dxa"/>
              <w:bottom w:w="0" w:type="dxa"/>
              <w:right w:w="108" w:type="dxa"/>
            </w:tcMar>
            <w:vAlign w:val="center"/>
          </w:tcPr>
          <w:p w14:paraId="43DBBDF1" w14:textId="77777777" w:rsidR="006416B0" w:rsidRPr="00B4515A" w:rsidRDefault="005E58C1" w:rsidP="003357B7">
            <w:pPr>
              <w:keepNext/>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97" w:type="pct"/>
            <w:shd w:val="clear" w:color="auto" w:fill="auto"/>
            <w:tcMar>
              <w:top w:w="0" w:type="dxa"/>
              <w:left w:w="108" w:type="dxa"/>
              <w:bottom w:w="0" w:type="dxa"/>
              <w:right w:w="108" w:type="dxa"/>
            </w:tcMar>
            <w:vAlign w:val="center"/>
          </w:tcPr>
          <w:p w14:paraId="6012942D" w14:textId="77777777" w:rsidR="006416B0" w:rsidRPr="00B4515A" w:rsidRDefault="005E58C1" w:rsidP="003357B7">
            <w:pPr>
              <w:keepNext/>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r>
      <w:tr w:rsidR="006416B0" w:rsidRPr="00B4515A" w14:paraId="0D3116EC" w14:textId="77777777" w:rsidTr="002B0582">
        <w:trPr>
          <w:trHeight w:val="340"/>
          <w:jc w:val="center"/>
        </w:trPr>
        <w:tc>
          <w:tcPr>
            <w:tcW w:w="790" w:type="pct"/>
            <w:shd w:val="clear" w:color="auto" w:fill="auto"/>
            <w:tcMar>
              <w:top w:w="0" w:type="dxa"/>
              <w:left w:w="108" w:type="dxa"/>
              <w:bottom w:w="0" w:type="dxa"/>
              <w:right w:w="108" w:type="dxa"/>
            </w:tcMar>
            <w:vAlign w:val="center"/>
          </w:tcPr>
          <w:p w14:paraId="6F1DFA9E" w14:textId="77777777" w:rsidR="003357B7"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流动负债</w:t>
            </w:r>
          </w:p>
          <w:p w14:paraId="6CA4E335" w14:textId="6C2473FC"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合计</w:t>
            </w:r>
          </w:p>
        </w:tc>
        <w:tc>
          <w:tcPr>
            <w:tcW w:w="813" w:type="pct"/>
            <w:shd w:val="clear" w:color="auto" w:fill="auto"/>
            <w:tcMar>
              <w:top w:w="0" w:type="dxa"/>
              <w:left w:w="108" w:type="dxa"/>
              <w:bottom w:w="0" w:type="dxa"/>
              <w:right w:w="108" w:type="dxa"/>
            </w:tcMar>
            <w:vAlign w:val="center"/>
          </w:tcPr>
          <w:p w14:paraId="0CAD6C81"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297,715.23</w:t>
            </w:r>
          </w:p>
        </w:tc>
        <w:tc>
          <w:tcPr>
            <w:tcW w:w="568" w:type="pct"/>
            <w:shd w:val="clear" w:color="auto" w:fill="auto"/>
            <w:tcMar>
              <w:top w:w="0" w:type="dxa"/>
              <w:left w:w="108" w:type="dxa"/>
              <w:bottom w:w="0" w:type="dxa"/>
              <w:right w:w="108" w:type="dxa"/>
            </w:tcMar>
            <w:vAlign w:val="center"/>
          </w:tcPr>
          <w:p w14:paraId="74285B44"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81.35%</w:t>
            </w:r>
          </w:p>
        </w:tc>
        <w:tc>
          <w:tcPr>
            <w:tcW w:w="851" w:type="pct"/>
            <w:shd w:val="clear" w:color="auto" w:fill="auto"/>
            <w:tcMar>
              <w:top w:w="0" w:type="dxa"/>
              <w:left w:w="108" w:type="dxa"/>
              <w:bottom w:w="0" w:type="dxa"/>
              <w:right w:w="108" w:type="dxa"/>
            </w:tcMar>
            <w:vAlign w:val="center"/>
          </w:tcPr>
          <w:p w14:paraId="4B4227B4"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391,623.83</w:t>
            </w:r>
          </w:p>
        </w:tc>
        <w:tc>
          <w:tcPr>
            <w:tcW w:w="571" w:type="pct"/>
            <w:shd w:val="clear" w:color="auto" w:fill="auto"/>
            <w:tcMar>
              <w:top w:w="0" w:type="dxa"/>
              <w:left w:w="108" w:type="dxa"/>
              <w:bottom w:w="0" w:type="dxa"/>
              <w:right w:w="108" w:type="dxa"/>
            </w:tcMar>
            <w:vAlign w:val="center"/>
          </w:tcPr>
          <w:p w14:paraId="43FA02BA"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90.14%</w:t>
            </w:r>
          </w:p>
        </w:tc>
        <w:tc>
          <w:tcPr>
            <w:tcW w:w="810" w:type="pct"/>
            <w:shd w:val="clear" w:color="auto" w:fill="auto"/>
            <w:tcMar>
              <w:top w:w="0" w:type="dxa"/>
              <w:left w:w="108" w:type="dxa"/>
              <w:bottom w:w="0" w:type="dxa"/>
              <w:right w:w="108" w:type="dxa"/>
            </w:tcMar>
            <w:vAlign w:val="center"/>
          </w:tcPr>
          <w:p w14:paraId="69476758"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393,508.09</w:t>
            </w:r>
          </w:p>
        </w:tc>
        <w:tc>
          <w:tcPr>
            <w:tcW w:w="597" w:type="pct"/>
            <w:shd w:val="clear" w:color="auto" w:fill="auto"/>
            <w:tcMar>
              <w:top w:w="0" w:type="dxa"/>
              <w:left w:w="108" w:type="dxa"/>
              <w:bottom w:w="0" w:type="dxa"/>
              <w:right w:w="108" w:type="dxa"/>
            </w:tcMar>
            <w:vAlign w:val="center"/>
          </w:tcPr>
          <w:p w14:paraId="735489A3"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58.13%</w:t>
            </w:r>
          </w:p>
        </w:tc>
      </w:tr>
      <w:tr w:rsidR="006416B0" w:rsidRPr="00B4515A" w14:paraId="4B8B51FD" w14:textId="77777777" w:rsidTr="002B0582">
        <w:trPr>
          <w:trHeight w:val="340"/>
          <w:jc w:val="center"/>
        </w:trPr>
        <w:tc>
          <w:tcPr>
            <w:tcW w:w="790" w:type="pct"/>
            <w:shd w:val="clear" w:color="auto" w:fill="auto"/>
            <w:tcMar>
              <w:top w:w="0" w:type="dxa"/>
              <w:left w:w="108" w:type="dxa"/>
              <w:bottom w:w="0" w:type="dxa"/>
              <w:right w:w="108" w:type="dxa"/>
            </w:tcMar>
            <w:vAlign w:val="center"/>
          </w:tcPr>
          <w:p w14:paraId="4D827CAA"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非流动</w:t>
            </w:r>
          </w:p>
          <w:p w14:paraId="2F491402" w14:textId="21F551D0"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负债：</w:t>
            </w:r>
          </w:p>
        </w:tc>
        <w:tc>
          <w:tcPr>
            <w:tcW w:w="813" w:type="pct"/>
            <w:shd w:val="clear" w:color="auto" w:fill="auto"/>
            <w:tcMar>
              <w:top w:w="0" w:type="dxa"/>
              <w:left w:w="108" w:type="dxa"/>
              <w:bottom w:w="0" w:type="dxa"/>
              <w:right w:w="108" w:type="dxa"/>
            </w:tcMar>
            <w:vAlign w:val="center"/>
          </w:tcPr>
          <w:p w14:paraId="21915404"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568" w:type="pct"/>
            <w:shd w:val="clear" w:color="auto" w:fill="auto"/>
            <w:tcMar>
              <w:top w:w="0" w:type="dxa"/>
              <w:left w:w="108" w:type="dxa"/>
              <w:bottom w:w="0" w:type="dxa"/>
              <w:right w:w="108" w:type="dxa"/>
            </w:tcMar>
            <w:vAlign w:val="center"/>
          </w:tcPr>
          <w:p w14:paraId="5F50D546"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851" w:type="pct"/>
            <w:shd w:val="clear" w:color="auto" w:fill="auto"/>
            <w:tcMar>
              <w:top w:w="0" w:type="dxa"/>
              <w:left w:w="108" w:type="dxa"/>
              <w:bottom w:w="0" w:type="dxa"/>
              <w:right w:w="108" w:type="dxa"/>
            </w:tcMar>
            <w:vAlign w:val="center"/>
          </w:tcPr>
          <w:p w14:paraId="3B12C4A2"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571" w:type="pct"/>
            <w:shd w:val="clear" w:color="auto" w:fill="auto"/>
            <w:tcMar>
              <w:top w:w="0" w:type="dxa"/>
              <w:left w:w="108" w:type="dxa"/>
              <w:bottom w:w="0" w:type="dxa"/>
              <w:right w:w="108" w:type="dxa"/>
            </w:tcMar>
            <w:vAlign w:val="center"/>
          </w:tcPr>
          <w:p w14:paraId="5A0E4B66"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810" w:type="pct"/>
            <w:shd w:val="clear" w:color="auto" w:fill="auto"/>
            <w:tcMar>
              <w:top w:w="0" w:type="dxa"/>
              <w:left w:w="108" w:type="dxa"/>
              <w:bottom w:w="0" w:type="dxa"/>
              <w:right w:w="108" w:type="dxa"/>
            </w:tcMar>
            <w:vAlign w:val="center"/>
          </w:tcPr>
          <w:p w14:paraId="716F6C02"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597" w:type="pct"/>
            <w:shd w:val="clear" w:color="auto" w:fill="auto"/>
            <w:tcMar>
              <w:top w:w="0" w:type="dxa"/>
              <w:left w:w="108" w:type="dxa"/>
              <w:bottom w:w="0" w:type="dxa"/>
              <w:right w:w="108" w:type="dxa"/>
            </w:tcMar>
            <w:vAlign w:val="center"/>
          </w:tcPr>
          <w:p w14:paraId="5A8F6E67"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r>
      <w:tr w:rsidR="006416B0" w:rsidRPr="00B4515A" w14:paraId="34A7A664" w14:textId="77777777" w:rsidTr="002B0582">
        <w:trPr>
          <w:trHeight w:val="340"/>
          <w:jc w:val="center"/>
        </w:trPr>
        <w:tc>
          <w:tcPr>
            <w:tcW w:w="790" w:type="pct"/>
            <w:shd w:val="clear" w:color="auto" w:fill="auto"/>
            <w:tcMar>
              <w:top w:w="0" w:type="dxa"/>
              <w:left w:w="108" w:type="dxa"/>
              <w:bottom w:w="0" w:type="dxa"/>
              <w:right w:w="108" w:type="dxa"/>
            </w:tcMar>
            <w:vAlign w:val="center"/>
          </w:tcPr>
          <w:p w14:paraId="3AD5385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长期借款</w:t>
            </w:r>
          </w:p>
        </w:tc>
        <w:tc>
          <w:tcPr>
            <w:tcW w:w="813" w:type="pct"/>
            <w:shd w:val="clear" w:color="auto" w:fill="auto"/>
            <w:tcMar>
              <w:top w:w="0" w:type="dxa"/>
              <w:left w:w="108" w:type="dxa"/>
              <w:bottom w:w="0" w:type="dxa"/>
              <w:right w:w="108" w:type="dxa"/>
            </w:tcMar>
            <w:vAlign w:val="center"/>
          </w:tcPr>
          <w:p w14:paraId="20DE5A5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68" w:type="pct"/>
            <w:shd w:val="clear" w:color="auto" w:fill="auto"/>
            <w:tcMar>
              <w:top w:w="0" w:type="dxa"/>
              <w:left w:w="108" w:type="dxa"/>
              <w:bottom w:w="0" w:type="dxa"/>
              <w:right w:w="108" w:type="dxa"/>
            </w:tcMar>
            <w:vAlign w:val="center"/>
          </w:tcPr>
          <w:p w14:paraId="0D3D5A9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851" w:type="pct"/>
            <w:shd w:val="clear" w:color="auto" w:fill="auto"/>
            <w:tcMar>
              <w:top w:w="0" w:type="dxa"/>
              <w:left w:w="108" w:type="dxa"/>
              <w:bottom w:w="0" w:type="dxa"/>
              <w:right w:w="108" w:type="dxa"/>
            </w:tcMar>
            <w:vAlign w:val="center"/>
          </w:tcPr>
          <w:p w14:paraId="05C8D3D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71" w:type="pct"/>
            <w:shd w:val="clear" w:color="auto" w:fill="auto"/>
            <w:tcMar>
              <w:top w:w="0" w:type="dxa"/>
              <w:left w:w="108" w:type="dxa"/>
              <w:bottom w:w="0" w:type="dxa"/>
              <w:right w:w="108" w:type="dxa"/>
            </w:tcMar>
            <w:vAlign w:val="center"/>
          </w:tcPr>
          <w:p w14:paraId="047353B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810" w:type="pct"/>
            <w:shd w:val="clear" w:color="auto" w:fill="auto"/>
            <w:tcMar>
              <w:top w:w="0" w:type="dxa"/>
              <w:left w:w="108" w:type="dxa"/>
              <w:bottom w:w="0" w:type="dxa"/>
              <w:right w:w="108" w:type="dxa"/>
            </w:tcMar>
            <w:vAlign w:val="center"/>
          </w:tcPr>
          <w:p w14:paraId="575F7C4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18,000.00</w:t>
            </w:r>
          </w:p>
        </w:tc>
        <w:tc>
          <w:tcPr>
            <w:tcW w:w="597" w:type="pct"/>
            <w:shd w:val="clear" w:color="auto" w:fill="auto"/>
            <w:tcMar>
              <w:top w:w="0" w:type="dxa"/>
              <w:left w:w="108" w:type="dxa"/>
              <w:bottom w:w="0" w:type="dxa"/>
              <w:right w:w="108" w:type="dxa"/>
            </w:tcMar>
            <w:vAlign w:val="center"/>
          </w:tcPr>
          <w:p w14:paraId="05309A9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2.66%</w:t>
            </w:r>
          </w:p>
        </w:tc>
      </w:tr>
      <w:tr w:rsidR="006416B0" w:rsidRPr="00B4515A" w14:paraId="6E5980B2" w14:textId="77777777" w:rsidTr="002B0582">
        <w:trPr>
          <w:trHeight w:val="340"/>
          <w:jc w:val="center"/>
        </w:trPr>
        <w:tc>
          <w:tcPr>
            <w:tcW w:w="790" w:type="pct"/>
            <w:shd w:val="clear" w:color="auto" w:fill="auto"/>
            <w:tcMar>
              <w:top w:w="0" w:type="dxa"/>
              <w:left w:w="108" w:type="dxa"/>
              <w:bottom w:w="0" w:type="dxa"/>
              <w:right w:w="108" w:type="dxa"/>
            </w:tcMar>
            <w:vAlign w:val="center"/>
          </w:tcPr>
          <w:p w14:paraId="1EA716C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应付债券</w:t>
            </w:r>
          </w:p>
        </w:tc>
        <w:tc>
          <w:tcPr>
            <w:tcW w:w="813" w:type="pct"/>
            <w:shd w:val="clear" w:color="auto" w:fill="auto"/>
            <w:tcMar>
              <w:top w:w="0" w:type="dxa"/>
              <w:left w:w="108" w:type="dxa"/>
              <w:bottom w:w="0" w:type="dxa"/>
              <w:right w:w="108" w:type="dxa"/>
            </w:tcMar>
            <w:vAlign w:val="center"/>
          </w:tcPr>
          <w:p w14:paraId="0B20CE7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68" w:type="pct"/>
            <w:shd w:val="clear" w:color="auto" w:fill="auto"/>
            <w:tcMar>
              <w:top w:w="0" w:type="dxa"/>
              <w:left w:w="108" w:type="dxa"/>
              <w:bottom w:w="0" w:type="dxa"/>
              <w:right w:w="108" w:type="dxa"/>
            </w:tcMar>
            <w:vAlign w:val="center"/>
          </w:tcPr>
          <w:p w14:paraId="049CA73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851" w:type="pct"/>
            <w:shd w:val="clear" w:color="auto" w:fill="auto"/>
            <w:tcMar>
              <w:top w:w="0" w:type="dxa"/>
              <w:left w:w="108" w:type="dxa"/>
              <w:bottom w:w="0" w:type="dxa"/>
              <w:right w:w="108" w:type="dxa"/>
            </w:tcMar>
            <w:vAlign w:val="center"/>
          </w:tcPr>
          <w:p w14:paraId="08C7742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71" w:type="pct"/>
            <w:shd w:val="clear" w:color="auto" w:fill="auto"/>
            <w:tcMar>
              <w:top w:w="0" w:type="dxa"/>
              <w:left w:w="108" w:type="dxa"/>
              <w:bottom w:w="0" w:type="dxa"/>
              <w:right w:w="108" w:type="dxa"/>
            </w:tcMar>
            <w:vAlign w:val="center"/>
          </w:tcPr>
          <w:p w14:paraId="66BF8BC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810" w:type="pct"/>
            <w:shd w:val="clear" w:color="auto" w:fill="auto"/>
            <w:tcMar>
              <w:top w:w="0" w:type="dxa"/>
              <w:left w:w="108" w:type="dxa"/>
              <w:bottom w:w="0" w:type="dxa"/>
              <w:right w:w="108" w:type="dxa"/>
            </w:tcMar>
            <w:vAlign w:val="center"/>
          </w:tcPr>
          <w:p w14:paraId="5D613C8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49,647.72</w:t>
            </w:r>
          </w:p>
        </w:tc>
        <w:tc>
          <w:tcPr>
            <w:tcW w:w="597" w:type="pct"/>
            <w:shd w:val="clear" w:color="auto" w:fill="auto"/>
            <w:tcMar>
              <w:top w:w="0" w:type="dxa"/>
              <w:left w:w="108" w:type="dxa"/>
              <w:bottom w:w="0" w:type="dxa"/>
              <w:right w:w="108" w:type="dxa"/>
            </w:tcMar>
            <w:vAlign w:val="center"/>
          </w:tcPr>
          <w:p w14:paraId="765D24C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7.33%</w:t>
            </w:r>
          </w:p>
        </w:tc>
      </w:tr>
      <w:tr w:rsidR="006416B0" w:rsidRPr="00B4515A" w14:paraId="42EFEE36" w14:textId="77777777" w:rsidTr="002B0582">
        <w:trPr>
          <w:trHeight w:val="340"/>
          <w:jc w:val="center"/>
        </w:trPr>
        <w:tc>
          <w:tcPr>
            <w:tcW w:w="790" w:type="pct"/>
            <w:shd w:val="clear" w:color="auto" w:fill="auto"/>
            <w:tcMar>
              <w:top w:w="0" w:type="dxa"/>
              <w:left w:w="108" w:type="dxa"/>
              <w:bottom w:w="0" w:type="dxa"/>
              <w:right w:w="108" w:type="dxa"/>
            </w:tcMar>
            <w:vAlign w:val="center"/>
          </w:tcPr>
          <w:p w14:paraId="7AAB1DBA"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长期应付款</w:t>
            </w:r>
          </w:p>
        </w:tc>
        <w:tc>
          <w:tcPr>
            <w:tcW w:w="813" w:type="pct"/>
            <w:shd w:val="clear" w:color="auto" w:fill="auto"/>
            <w:tcMar>
              <w:top w:w="0" w:type="dxa"/>
              <w:left w:w="108" w:type="dxa"/>
              <w:bottom w:w="0" w:type="dxa"/>
              <w:right w:w="108" w:type="dxa"/>
            </w:tcMar>
            <w:vAlign w:val="center"/>
          </w:tcPr>
          <w:p w14:paraId="11A06C8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47,014.42</w:t>
            </w:r>
          </w:p>
        </w:tc>
        <w:tc>
          <w:tcPr>
            <w:tcW w:w="568" w:type="pct"/>
            <w:shd w:val="clear" w:color="auto" w:fill="auto"/>
            <w:tcMar>
              <w:top w:w="0" w:type="dxa"/>
              <w:left w:w="108" w:type="dxa"/>
              <w:bottom w:w="0" w:type="dxa"/>
              <w:right w:w="108" w:type="dxa"/>
            </w:tcMar>
            <w:vAlign w:val="center"/>
          </w:tcPr>
          <w:p w14:paraId="526FFF3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12.85%</w:t>
            </w:r>
          </w:p>
        </w:tc>
        <w:tc>
          <w:tcPr>
            <w:tcW w:w="851" w:type="pct"/>
            <w:shd w:val="clear" w:color="auto" w:fill="auto"/>
            <w:tcMar>
              <w:top w:w="0" w:type="dxa"/>
              <w:left w:w="108" w:type="dxa"/>
              <w:bottom w:w="0" w:type="dxa"/>
              <w:right w:w="108" w:type="dxa"/>
            </w:tcMar>
            <w:vAlign w:val="center"/>
          </w:tcPr>
          <w:p w14:paraId="2D9E8C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21,206.12</w:t>
            </w:r>
          </w:p>
        </w:tc>
        <w:tc>
          <w:tcPr>
            <w:tcW w:w="571" w:type="pct"/>
            <w:shd w:val="clear" w:color="auto" w:fill="auto"/>
            <w:tcMar>
              <w:top w:w="0" w:type="dxa"/>
              <w:left w:w="108" w:type="dxa"/>
              <w:bottom w:w="0" w:type="dxa"/>
              <w:right w:w="108" w:type="dxa"/>
            </w:tcMar>
            <w:vAlign w:val="center"/>
          </w:tcPr>
          <w:p w14:paraId="368A0B7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4.88%</w:t>
            </w:r>
          </w:p>
        </w:tc>
        <w:tc>
          <w:tcPr>
            <w:tcW w:w="810" w:type="pct"/>
            <w:shd w:val="clear" w:color="auto" w:fill="auto"/>
            <w:tcMar>
              <w:top w:w="0" w:type="dxa"/>
              <w:left w:w="108" w:type="dxa"/>
              <w:bottom w:w="0" w:type="dxa"/>
              <w:right w:w="108" w:type="dxa"/>
            </w:tcMar>
            <w:vAlign w:val="center"/>
          </w:tcPr>
          <w:p w14:paraId="68E7E2F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198,643.21</w:t>
            </w:r>
          </w:p>
        </w:tc>
        <w:tc>
          <w:tcPr>
            <w:tcW w:w="597" w:type="pct"/>
            <w:shd w:val="clear" w:color="auto" w:fill="auto"/>
            <w:tcMar>
              <w:top w:w="0" w:type="dxa"/>
              <w:left w:w="108" w:type="dxa"/>
              <w:bottom w:w="0" w:type="dxa"/>
              <w:right w:w="108" w:type="dxa"/>
            </w:tcMar>
            <w:vAlign w:val="center"/>
          </w:tcPr>
          <w:p w14:paraId="22FC450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29.34%</w:t>
            </w:r>
          </w:p>
        </w:tc>
      </w:tr>
      <w:tr w:rsidR="006416B0" w:rsidRPr="00B4515A" w14:paraId="6B2C0248" w14:textId="77777777" w:rsidTr="002B0582">
        <w:trPr>
          <w:trHeight w:val="340"/>
          <w:jc w:val="center"/>
        </w:trPr>
        <w:tc>
          <w:tcPr>
            <w:tcW w:w="790" w:type="pct"/>
            <w:shd w:val="clear" w:color="auto" w:fill="auto"/>
            <w:tcMar>
              <w:top w:w="0" w:type="dxa"/>
              <w:left w:w="108" w:type="dxa"/>
              <w:bottom w:w="0" w:type="dxa"/>
              <w:right w:w="108" w:type="dxa"/>
            </w:tcMar>
            <w:vAlign w:val="center"/>
          </w:tcPr>
          <w:p w14:paraId="099265F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长期应付职工薪酬</w:t>
            </w:r>
          </w:p>
        </w:tc>
        <w:tc>
          <w:tcPr>
            <w:tcW w:w="813" w:type="pct"/>
            <w:shd w:val="clear" w:color="auto" w:fill="auto"/>
            <w:tcMar>
              <w:top w:w="0" w:type="dxa"/>
              <w:left w:w="108" w:type="dxa"/>
              <w:bottom w:w="0" w:type="dxa"/>
              <w:right w:w="108" w:type="dxa"/>
            </w:tcMar>
            <w:vAlign w:val="center"/>
          </w:tcPr>
          <w:p w14:paraId="505E47C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191.52</w:t>
            </w:r>
          </w:p>
        </w:tc>
        <w:tc>
          <w:tcPr>
            <w:tcW w:w="568" w:type="pct"/>
            <w:shd w:val="clear" w:color="auto" w:fill="auto"/>
            <w:tcMar>
              <w:top w:w="0" w:type="dxa"/>
              <w:left w:w="108" w:type="dxa"/>
              <w:bottom w:w="0" w:type="dxa"/>
              <w:right w:w="108" w:type="dxa"/>
            </w:tcMar>
            <w:vAlign w:val="center"/>
          </w:tcPr>
          <w:p w14:paraId="4BF3E2E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0.05%</w:t>
            </w:r>
          </w:p>
        </w:tc>
        <w:tc>
          <w:tcPr>
            <w:tcW w:w="851" w:type="pct"/>
            <w:shd w:val="clear" w:color="auto" w:fill="auto"/>
            <w:tcMar>
              <w:top w:w="0" w:type="dxa"/>
              <w:left w:w="108" w:type="dxa"/>
              <w:bottom w:w="0" w:type="dxa"/>
              <w:right w:w="108" w:type="dxa"/>
            </w:tcMar>
            <w:vAlign w:val="center"/>
          </w:tcPr>
          <w:p w14:paraId="665564D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331.19</w:t>
            </w:r>
          </w:p>
        </w:tc>
        <w:tc>
          <w:tcPr>
            <w:tcW w:w="571" w:type="pct"/>
            <w:shd w:val="clear" w:color="auto" w:fill="auto"/>
            <w:tcMar>
              <w:top w:w="0" w:type="dxa"/>
              <w:left w:w="108" w:type="dxa"/>
              <w:bottom w:w="0" w:type="dxa"/>
              <w:right w:w="108" w:type="dxa"/>
            </w:tcMar>
            <w:vAlign w:val="center"/>
          </w:tcPr>
          <w:p w14:paraId="750A04D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0.08%</w:t>
            </w:r>
          </w:p>
        </w:tc>
        <w:tc>
          <w:tcPr>
            <w:tcW w:w="810" w:type="pct"/>
            <w:shd w:val="clear" w:color="auto" w:fill="auto"/>
            <w:tcMar>
              <w:top w:w="0" w:type="dxa"/>
              <w:left w:w="108" w:type="dxa"/>
              <w:bottom w:w="0" w:type="dxa"/>
              <w:right w:w="108" w:type="dxa"/>
            </w:tcMar>
            <w:vAlign w:val="center"/>
          </w:tcPr>
          <w:p w14:paraId="1C686E3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465.52</w:t>
            </w:r>
          </w:p>
        </w:tc>
        <w:tc>
          <w:tcPr>
            <w:tcW w:w="597" w:type="pct"/>
            <w:shd w:val="clear" w:color="auto" w:fill="auto"/>
            <w:tcMar>
              <w:top w:w="0" w:type="dxa"/>
              <w:left w:w="108" w:type="dxa"/>
              <w:bottom w:w="0" w:type="dxa"/>
              <w:right w:w="108" w:type="dxa"/>
            </w:tcMar>
            <w:vAlign w:val="center"/>
          </w:tcPr>
          <w:p w14:paraId="6D582FB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0.07%</w:t>
            </w:r>
          </w:p>
        </w:tc>
      </w:tr>
      <w:tr w:rsidR="006416B0" w:rsidRPr="00B4515A" w14:paraId="0EAD6D1A" w14:textId="77777777" w:rsidTr="002B0582">
        <w:trPr>
          <w:trHeight w:val="340"/>
          <w:jc w:val="center"/>
        </w:trPr>
        <w:tc>
          <w:tcPr>
            <w:tcW w:w="790" w:type="pct"/>
            <w:shd w:val="clear" w:color="auto" w:fill="auto"/>
            <w:tcMar>
              <w:top w:w="0" w:type="dxa"/>
              <w:left w:w="108" w:type="dxa"/>
              <w:bottom w:w="0" w:type="dxa"/>
              <w:right w:w="108" w:type="dxa"/>
            </w:tcMar>
            <w:vAlign w:val="center"/>
          </w:tcPr>
          <w:p w14:paraId="12606CF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预计负债</w:t>
            </w:r>
          </w:p>
        </w:tc>
        <w:tc>
          <w:tcPr>
            <w:tcW w:w="813" w:type="pct"/>
            <w:shd w:val="clear" w:color="auto" w:fill="auto"/>
            <w:tcMar>
              <w:top w:w="0" w:type="dxa"/>
              <w:left w:w="108" w:type="dxa"/>
              <w:bottom w:w="0" w:type="dxa"/>
              <w:right w:w="108" w:type="dxa"/>
            </w:tcMar>
            <w:vAlign w:val="center"/>
          </w:tcPr>
          <w:p w14:paraId="1841B78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3,959.17</w:t>
            </w:r>
          </w:p>
        </w:tc>
        <w:tc>
          <w:tcPr>
            <w:tcW w:w="568" w:type="pct"/>
            <w:shd w:val="clear" w:color="auto" w:fill="auto"/>
            <w:tcMar>
              <w:top w:w="0" w:type="dxa"/>
              <w:left w:w="108" w:type="dxa"/>
              <w:bottom w:w="0" w:type="dxa"/>
              <w:right w:w="108" w:type="dxa"/>
            </w:tcMar>
            <w:vAlign w:val="center"/>
          </w:tcPr>
          <w:p w14:paraId="2C2A371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1.08%</w:t>
            </w:r>
          </w:p>
        </w:tc>
        <w:tc>
          <w:tcPr>
            <w:tcW w:w="851" w:type="pct"/>
            <w:shd w:val="clear" w:color="auto" w:fill="auto"/>
            <w:tcMar>
              <w:top w:w="0" w:type="dxa"/>
              <w:left w:w="108" w:type="dxa"/>
              <w:bottom w:w="0" w:type="dxa"/>
              <w:right w:w="108" w:type="dxa"/>
            </w:tcMar>
            <w:vAlign w:val="center"/>
          </w:tcPr>
          <w:p w14:paraId="6A905C0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4,375.09</w:t>
            </w:r>
          </w:p>
        </w:tc>
        <w:tc>
          <w:tcPr>
            <w:tcW w:w="571" w:type="pct"/>
            <w:shd w:val="clear" w:color="auto" w:fill="auto"/>
            <w:tcMar>
              <w:top w:w="0" w:type="dxa"/>
              <w:left w:w="108" w:type="dxa"/>
              <w:bottom w:w="0" w:type="dxa"/>
              <w:right w:w="108" w:type="dxa"/>
            </w:tcMar>
            <w:vAlign w:val="center"/>
          </w:tcPr>
          <w:p w14:paraId="3F2736E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1.01%</w:t>
            </w:r>
          </w:p>
        </w:tc>
        <w:tc>
          <w:tcPr>
            <w:tcW w:w="810" w:type="pct"/>
            <w:shd w:val="clear" w:color="auto" w:fill="auto"/>
            <w:tcMar>
              <w:top w:w="0" w:type="dxa"/>
              <w:left w:w="108" w:type="dxa"/>
              <w:bottom w:w="0" w:type="dxa"/>
              <w:right w:w="108" w:type="dxa"/>
            </w:tcMar>
            <w:vAlign w:val="center"/>
          </w:tcPr>
          <w:p w14:paraId="5E715AB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597" w:type="pct"/>
            <w:shd w:val="clear" w:color="auto" w:fill="auto"/>
            <w:tcMar>
              <w:top w:w="0" w:type="dxa"/>
              <w:left w:w="108" w:type="dxa"/>
              <w:bottom w:w="0" w:type="dxa"/>
              <w:right w:w="108" w:type="dxa"/>
            </w:tcMar>
            <w:vAlign w:val="center"/>
          </w:tcPr>
          <w:p w14:paraId="3DB2C7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r>
      <w:tr w:rsidR="006416B0" w:rsidRPr="00B4515A" w14:paraId="48A18E14" w14:textId="77777777" w:rsidTr="002B0582">
        <w:trPr>
          <w:trHeight w:val="340"/>
          <w:jc w:val="center"/>
        </w:trPr>
        <w:tc>
          <w:tcPr>
            <w:tcW w:w="790" w:type="pct"/>
            <w:shd w:val="clear" w:color="auto" w:fill="auto"/>
            <w:tcMar>
              <w:top w:w="0" w:type="dxa"/>
              <w:left w:w="108" w:type="dxa"/>
              <w:bottom w:w="0" w:type="dxa"/>
              <w:right w:w="108" w:type="dxa"/>
            </w:tcMar>
            <w:vAlign w:val="center"/>
          </w:tcPr>
          <w:p w14:paraId="2E3F3E4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递延所得税负债</w:t>
            </w:r>
          </w:p>
        </w:tc>
        <w:tc>
          <w:tcPr>
            <w:tcW w:w="813" w:type="pct"/>
            <w:shd w:val="clear" w:color="auto" w:fill="auto"/>
            <w:tcMar>
              <w:top w:w="0" w:type="dxa"/>
              <w:left w:w="108" w:type="dxa"/>
              <w:bottom w:w="0" w:type="dxa"/>
              <w:right w:w="108" w:type="dxa"/>
            </w:tcMar>
            <w:vAlign w:val="center"/>
          </w:tcPr>
          <w:p w14:paraId="4B45471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912.80</w:t>
            </w:r>
          </w:p>
        </w:tc>
        <w:tc>
          <w:tcPr>
            <w:tcW w:w="568" w:type="pct"/>
            <w:shd w:val="clear" w:color="auto" w:fill="auto"/>
            <w:tcMar>
              <w:top w:w="0" w:type="dxa"/>
              <w:left w:w="108" w:type="dxa"/>
              <w:bottom w:w="0" w:type="dxa"/>
              <w:right w:w="108" w:type="dxa"/>
            </w:tcMar>
            <w:vAlign w:val="center"/>
          </w:tcPr>
          <w:p w14:paraId="3BC43B2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0.25%</w:t>
            </w:r>
          </w:p>
        </w:tc>
        <w:tc>
          <w:tcPr>
            <w:tcW w:w="851" w:type="pct"/>
            <w:shd w:val="clear" w:color="auto" w:fill="auto"/>
            <w:tcMar>
              <w:top w:w="0" w:type="dxa"/>
              <w:left w:w="108" w:type="dxa"/>
              <w:bottom w:w="0" w:type="dxa"/>
              <w:right w:w="108" w:type="dxa"/>
            </w:tcMar>
            <w:vAlign w:val="center"/>
          </w:tcPr>
          <w:p w14:paraId="721D46A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672.94</w:t>
            </w:r>
          </w:p>
        </w:tc>
        <w:tc>
          <w:tcPr>
            <w:tcW w:w="571" w:type="pct"/>
            <w:shd w:val="clear" w:color="auto" w:fill="auto"/>
            <w:tcMar>
              <w:top w:w="0" w:type="dxa"/>
              <w:left w:w="108" w:type="dxa"/>
              <w:bottom w:w="0" w:type="dxa"/>
              <w:right w:w="108" w:type="dxa"/>
            </w:tcMar>
            <w:vAlign w:val="center"/>
          </w:tcPr>
          <w:p w14:paraId="682CD44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0.15%</w:t>
            </w:r>
          </w:p>
        </w:tc>
        <w:tc>
          <w:tcPr>
            <w:tcW w:w="810" w:type="pct"/>
            <w:shd w:val="clear" w:color="auto" w:fill="auto"/>
            <w:tcMar>
              <w:top w:w="0" w:type="dxa"/>
              <w:left w:w="108" w:type="dxa"/>
              <w:bottom w:w="0" w:type="dxa"/>
              <w:right w:w="108" w:type="dxa"/>
            </w:tcMar>
            <w:vAlign w:val="center"/>
          </w:tcPr>
          <w:p w14:paraId="1AD79C0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807.62</w:t>
            </w:r>
          </w:p>
        </w:tc>
        <w:tc>
          <w:tcPr>
            <w:tcW w:w="597" w:type="pct"/>
            <w:shd w:val="clear" w:color="auto" w:fill="auto"/>
            <w:tcMar>
              <w:top w:w="0" w:type="dxa"/>
              <w:left w:w="108" w:type="dxa"/>
              <w:bottom w:w="0" w:type="dxa"/>
              <w:right w:w="108" w:type="dxa"/>
            </w:tcMar>
            <w:vAlign w:val="center"/>
          </w:tcPr>
          <w:p w14:paraId="5C8A81C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0.12%</w:t>
            </w:r>
          </w:p>
        </w:tc>
      </w:tr>
      <w:tr w:rsidR="006416B0" w:rsidRPr="00B4515A" w14:paraId="491AD4C7" w14:textId="77777777" w:rsidTr="002B0582">
        <w:trPr>
          <w:trHeight w:val="340"/>
          <w:jc w:val="center"/>
        </w:trPr>
        <w:tc>
          <w:tcPr>
            <w:tcW w:w="790" w:type="pct"/>
            <w:shd w:val="clear" w:color="auto" w:fill="auto"/>
            <w:tcMar>
              <w:top w:w="0" w:type="dxa"/>
              <w:left w:w="108" w:type="dxa"/>
              <w:bottom w:w="0" w:type="dxa"/>
              <w:right w:w="108" w:type="dxa"/>
            </w:tcMar>
            <w:vAlign w:val="center"/>
          </w:tcPr>
          <w:p w14:paraId="78D4667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递延收益</w:t>
            </w:r>
          </w:p>
        </w:tc>
        <w:tc>
          <w:tcPr>
            <w:tcW w:w="813" w:type="pct"/>
            <w:shd w:val="clear" w:color="auto" w:fill="auto"/>
            <w:tcMar>
              <w:top w:w="0" w:type="dxa"/>
              <w:left w:w="108" w:type="dxa"/>
              <w:bottom w:w="0" w:type="dxa"/>
              <w:right w:w="108" w:type="dxa"/>
            </w:tcMar>
            <w:vAlign w:val="center"/>
          </w:tcPr>
          <w:p w14:paraId="076C9F5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16,175.79</w:t>
            </w:r>
          </w:p>
        </w:tc>
        <w:tc>
          <w:tcPr>
            <w:tcW w:w="568" w:type="pct"/>
            <w:shd w:val="clear" w:color="auto" w:fill="auto"/>
            <w:tcMar>
              <w:top w:w="0" w:type="dxa"/>
              <w:left w:w="108" w:type="dxa"/>
              <w:bottom w:w="0" w:type="dxa"/>
              <w:right w:w="108" w:type="dxa"/>
            </w:tcMar>
            <w:vAlign w:val="center"/>
          </w:tcPr>
          <w:p w14:paraId="6D2A26B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4.42%</w:t>
            </w:r>
          </w:p>
        </w:tc>
        <w:tc>
          <w:tcPr>
            <w:tcW w:w="851" w:type="pct"/>
            <w:shd w:val="clear" w:color="auto" w:fill="auto"/>
            <w:tcMar>
              <w:top w:w="0" w:type="dxa"/>
              <w:left w:w="108" w:type="dxa"/>
              <w:bottom w:w="0" w:type="dxa"/>
              <w:right w:w="108" w:type="dxa"/>
            </w:tcMar>
            <w:vAlign w:val="center"/>
          </w:tcPr>
          <w:p w14:paraId="051C57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16,233.10</w:t>
            </w:r>
          </w:p>
        </w:tc>
        <w:tc>
          <w:tcPr>
            <w:tcW w:w="571" w:type="pct"/>
            <w:shd w:val="clear" w:color="auto" w:fill="auto"/>
            <w:tcMar>
              <w:top w:w="0" w:type="dxa"/>
              <w:left w:w="108" w:type="dxa"/>
              <w:bottom w:w="0" w:type="dxa"/>
              <w:right w:w="108" w:type="dxa"/>
            </w:tcMar>
            <w:vAlign w:val="center"/>
          </w:tcPr>
          <w:p w14:paraId="2B5C8B5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3.74%</w:t>
            </w:r>
          </w:p>
        </w:tc>
        <w:tc>
          <w:tcPr>
            <w:tcW w:w="810" w:type="pct"/>
            <w:shd w:val="clear" w:color="auto" w:fill="auto"/>
            <w:tcMar>
              <w:top w:w="0" w:type="dxa"/>
              <w:left w:w="108" w:type="dxa"/>
              <w:bottom w:w="0" w:type="dxa"/>
              <w:right w:w="108" w:type="dxa"/>
            </w:tcMar>
            <w:vAlign w:val="center"/>
          </w:tcPr>
          <w:p w14:paraId="185AA6B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15,876.38</w:t>
            </w:r>
          </w:p>
        </w:tc>
        <w:tc>
          <w:tcPr>
            <w:tcW w:w="597" w:type="pct"/>
            <w:shd w:val="clear" w:color="auto" w:fill="auto"/>
            <w:tcMar>
              <w:top w:w="0" w:type="dxa"/>
              <w:left w:w="108" w:type="dxa"/>
              <w:bottom w:w="0" w:type="dxa"/>
              <w:right w:w="108" w:type="dxa"/>
            </w:tcMar>
            <w:vAlign w:val="center"/>
          </w:tcPr>
          <w:p w14:paraId="68BA2B4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2.35%</w:t>
            </w:r>
          </w:p>
        </w:tc>
      </w:tr>
      <w:tr w:rsidR="006416B0" w:rsidRPr="00B4515A" w14:paraId="04D80816" w14:textId="77777777" w:rsidTr="002B0582">
        <w:trPr>
          <w:trHeight w:val="340"/>
          <w:jc w:val="center"/>
        </w:trPr>
        <w:tc>
          <w:tcPr>
            <w:tcW w:w="790" w:type="pct"/>
            <w:shd w:val="clear" w:color="auto" w:fill="auto"/>
            <w:tcMar>
              <w:top w:w="0" w:type="dxa"/>
              <w:left w:w="108" w:type="dxa"/>
              <w:bottom w:w="0" w:type="dxa"/>
              <w:right w:w="108" w:type="dxa"/>
            </w:tcMar>
            <w:vAlign w:val="center"/>
          </w:tcPr>
          <w:p w14:paraId="2561A08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非流动负债合计</w:t>
            </w:r>
          </w:p>
        </w:tc>
        <w:tc>
          <w:tcPr>
            <w:tcW w:w="813" w:type="pct"/>
            <w:shd w:val="clear" w:color="auto" w:fill="auto"/>
            <w:tcMar>
              <w:top w:w="0" w:type="dxa"/>
              <w:left w:w="108" w:type="dxa"/>
              <w:bottom w:w="0" w:type="dxa"/>
              <w:right w:w="108" w:type="dxa"/>
            </w:tcMar>
            <w:vAlign w:val="center"/>
          </w:tcPr>
          <w:p w14:paraId="2D58F4ED"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68,253.69</w:t>
            </w:r>
          </w:p>
        </w:tc>
        <w:tc>
          <w:tcPr>
            <w:tcW w:w="568" w:type="pct"/>
            <w:shd w:val="clear" w:color="auto" w:fill="auto"/>
            <w:tcMar>
              <w:top w:w="0" w:type="dxa"/>
              <w:left w:w="108" w:type="dxa"/>
              <w:bottom w:w="0" w:type="dxa"/>
              <w:right w:w="108" w:type="dxa"/>
            </w:tcMar>
            <w:vAlign w:val="center"/>
          </w:tcPr>
          <w:p w14:paraId="48B8E85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18.65%</w:t>
            </w:r>
          </w:p>
        </w:tc>
        <w:tc>
          <w:tcPr>
            <w:tcW w:w="851" w:type="pct"/>
            <w:shd w:val="clear" w:color="auto" w:fill="auto"/>
            <w:tcMar>
              <w:top w:w="0" w:type="dxa"/>
              <w:left w:w="108" w:type="dxa"/>
              <w:bottom w:w="0" w:type="dxa"/>
              <w:right w:w="108" w:type="dxa"/>
            </w:tcMar>
            <w:vAlign w:val="center"/>
          </w:tcPr>
          <w:p w14:paraId="78B5121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42,818.42</w:t>
            </w:r>
          </w:p>
        </w:tc>
        <w:tc>
          <w:tcPr>
            <w:tcW w:w="571" w:type="pct"/>
            <w:shd w:val="clear" w:color="auto" w:fill="auto"/>
            <w:tcMar>
              <w:top w:w="0" w:type="dxa"/>
              <w:left w:w="108" w:type="dxa"/>
              <w:bottom w:w="0" w:type="dxa"/>
              <w:right w:w="108" w:type="dxa"/>
            </w:tcMar>
            <w:vAlign w:val="center"/>
          </w:tcPr>
          <w:p w14:paraId="5583CBB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9.86%</w:t>
            </w:r>
          </w:p>
        </w:tc>
        <w:tc>
          <w:tcPr>
            <w:tcW w:w="810" w:type="pct"/>
            <w:shd w:val="clear" w:color="auto" w:fill="auto"/>
            <w:tcMar>
              <w:top w:w="0" w:type="dxa"/>
              <w:left w:w="108" w:type="dxa"/>
              <w:bottom w:w="0" w:type="dxa"/>
              <w:right w:w="108" w:type="dxa"/>
            </w:tcMar>
            <w:vAlign w:val="center"/>
          </w:tcPr>
          <w:p w14:paraId="3C2AA00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283,440.45</w:t>
            </w:r>
          </w:p>
        </w:tc>
        <w:tc>
          <w:tcPr>
            <w:tcW w:w="597" w:type="pct"/>
            <w:shd w:val="clear" w:color="auto" w:fill="auto"/>
            <w:tcMar>
              <w:top w:w="0" w:type="dxa"/>
              <w:left w:w="108" w:type="dxa"/>
              <w:bottom w:w="0" w:type="dxa"/>
              <w:right w:w="108" w:type="dxa"/>
            </w:tcMar>
            <w:vAlign w:val="center"/>
          </w:tcPr>
          <w:p w14:paraId="4A499B4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41.87%</w:t>
            </w:r>
          </w:p>
        </w:tc>
      </w:tr>
      <w:tr w:rsidR="006416B0" w:rsidRPr="00B4515A" w14:paraId="683D8212" w14:textId="77777777" w:rsidTr="002B0582">
        <w:trPr>
          <w:trHeight w:val="340"/>
          <w:jc w:val="center"/>
        </w:trPr>
        <w:tc>
          <w:tcPr>
            <w:tcW w:w="790" w:type="pct"/>
            <w:shd w:val="clear" w:color="auto" w:fill="auto"/>
            <w:tcMar>
              <w:top w:w="0" w:type="dxa"/>
              <w:left w:w="108" w:type="dxa"/>
              <w:bottom w:w="0" w:type="dxa"/>
              <w:right w:w="108" w:type="dxa"/>
            </w:tcMar>
            <w:vAlign w:val="center"/>
          </w:tcPr>
          <w:p w14:paraId="6EBAD40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负债合计</w:t>
            </w:r>
          </w:p>
        </w:tc>
        <w:tc>
          <w:tcPr>
            <w:tcW w:w="813" w:type="pct"/>
            <w:shd w:val="clear" w:color="auto" w:fill="auto"/>
            <w:tcMar>
              <w:top w:w="0" w:type="dxa"/>
              <w:left w:w="108" w:type="dxa"/>
              <w:bottom w:w="0" w:type="dxa"/>
              <w:right w:w="108" w:type="dxa"/>
            </w:tcMar>
            <w:vAlign w:val="center"/>
          </w:tcPr>
          <w:p w14:paraId="106639C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365,968.92</w:t>
            </w:r>
          </w:p>
        </w:tc>
        <w:tc>
          <w:tcPr>
            <w:tcW w:w="568" w:type="pct"/>
            <w:shd w:val="clear" w:color="auto" w:fill="auto"/>
            <w:tcMar>
              <w:top w:w="0" w:type="dxa"/>
              <w:left w:w="108" w:type="dxa"/>
              <w:bottom w:w="0" w:type="dxa"/>
              <w:right w:w="108" w:type="dxa"/>
            </w:tcMar>
            <w:vAlign w:val="center"/>
          </w:tcPr>
          <w:p w14:paraId="3CC2C07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851" w:type="pct"/>
            <w:shd w:val="clear" w:color="auto" w:fill="auto"/>
            <w:tcMar>
              <w:top w:w="0" w:type="dxa"/>
              <w:left w:w="108" w:type="dxa"/>
              <w:bottom w:w="0" w:type="dxa"/>
              <w:right w:w="108" w:type="dxa"/>
            </w:tcMar>
            <w:vAlign w:val="center"/>
          </w:tcPr>
          <w:p w14:paraId="165F3C4D"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434,442.26</w:t>
            </w:r>
          </w:p>
        </w:tc>
        <w:tc>
          <w:tcPr>
            <w:tcW w:w="571" w:type="pct"/>
            <w:shd w:val="clear" w:color="auto" w:fill="auto"/>
            <w:tcMar>
              <w:top w:w="0" w:type="dxa"/>
              <w:left w:w="108" w:type="dxa"/>
              <w:bottom w:w="0" w:type="dxa"/>
              <w:right w:w="108" w:type="dxa"/>
            </w:tcMar>
            <w:vAlign w:val="center"/>
          </w:tcPr>
          <w:p w14:paraId="5E9914F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810" w:type="pct"/>
            <w:shd w:val="clear" w:color="auto" w:fill="auto"/>
            <w:tcMar>
              <w:top w:w="0" w:type="dxa"/>
              <w:left w:w="108" w:type="dxa"/>
              <w:bottom w:w="0" w:type="dxa"/>
              <w:right w:w="108" w:type="dxa"/>
            </w:tcMar>
            <w:vAlign w:val="center"/>
          </w:tcPr>
          <w:p w14:paraId="31C6FE8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676,948.54</w:t>
            </w:r>
          </w:p>
        </w:tc>
        <w:tc>
          <w:tcPr>
            <w:tcW w:w="597" w:type="pct"/>
            <w:shd w:val="clear" w:color="auto" w:fill="auto"/>
            <w:tcMar>
              <w:top w:w="0" w:type="dxa"/>
              <w:left w:w="108" w:type="dxa"/>
              <w:bottom w:w="0" w:type="dxa"/>
              <w:right w:w="108" w:type="dxa"/>
            </w:tcMar>
            <w:vAlign w:val="center"/>
          </w:tcPr>
          <w:p w14:paraId="3A1F925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r>
    </w:tbl>
    <w:p w14:paraId="1AB3D96A" w14:textId="77777777" w:rsidR="006416B0" w:rsidRPr="00B4515A" w:rsidRDefault="005E58C1" w:rsidP="003357B7">
      <w:pPr>
        <w:pStyle w:val="005"/>
        <w:spacing w:before="120" w:after="120"/>
        <w:ind w:firstLine="480"/>
      </w:pPr>
      <w:r w:rsidRPr="00B4515A">
        <w:rPr>
          <w:rFonts w:hint="eastAsia"/>
        </w:rPr>
        <w:t>截至</w:t>
      </w:r>
      <w:r w:rsidRPr="00B4515A">
        <w:t>2018</w:t>
      </w:r>
      <w:r w:rsidRPr="00B4515A">
        <w:t>年</w:t>
      </w:r>
      <w:r w:rsidRPr="00B4515A">
        <w:t>12</w:t>
      </w:r>
      <w:r w:rsidRPr="00B4515A">
        <w:t>月</w:t>
      </w:r>
      <w:r w:rsidRPr="00B4515A">
        <w:t>31</w:t>
      </w:r>
      <w:r w:rsidRPr="00B4515A">
        <w:t>日、</w:t>
      </w:r>
      <w:r w:rsidRPr="00B4515A">
        <w:t>2019</w:t>
      </w:r>
      <w:r w:rsidRPr="00B4515A">
        <w:t>年</w:t>
      </w:r>
      <w:r w:rsidRPr="00B4515A">
        <w:t>12</w:t>
      </w:r>
      <w:r w:rsidRPr="00B4515A">
        <w:t>月</w:t>
      </w:r>
      <w:r w:rsidRPr="00B4515A">
        <w:t>31</w:t>
      </w:r>
      <w:r w:rsidRPr="00B4515A">
        <w:t>日及</w:t>
      </w:r>
      <w:r w:rsidRPr="00B4515A">
        <w:t>2020</w:t>
      </w:r>
      <w:r w:rsidRPr="00B4515A">
        <w:t>年</w:t>
      </w:r>
      <w:r w:rsidRPr="00B4515A">
        <w:t>12</w:t>
      </w:r>
      <w:r w:rsidRPr="00B4515A">
        <w:t>月</w:t>
      </w:r>
      <w:r w:rsidRPr="00B4515A">
        <w:t>31</w:t>
      </w:r>
      <w:r w:rsidRPr="00B4515A">
        <w:t>日，上市公司负债总额分别为</w:t>
      </w:r>
      <w:r w:rsidRPr="00B4515A">
        <w:t>676,948.54</w:t>
      </w:r>
      <w:r w:rsidRPr="00B4515A">
        <w:t>万元、</w:t>
      </w:r>
      <w:r w:rsidRPr="00B4515A">
        <w:t>434,442.26</w:t>
      </w:r>
      <w:r w:rsidRPr="00B4515A">
        <w:t>万元、</w:t>
      </w:r>
      <w:r w:rsidRPr="00B4515A">
        <w:t>365,968.92</w:t>
      </w:r>
      <w:r w:rsidRPr="00B4515A">
        <w:t>万元，总体规模呈波动下降趋势。</w:t>
      </w:r>
    </w:p>
    <w:p w14:paraId="00A86811" w14:textId="77777777" w:rsidR="006416B0" w:rsidRPr="00B4515A" w:rsidRDefault="005E58C1" w:rsidP="003357B7">
      <w:pPr>
        <w:pStyle w:val="005"/>
        <w:spacing w:before="120" w:after="120"/>
        <w:ind w:firstLine="480"/>
      </w:pPr>
      <w:r w:rsidRPr="00B4515A">
        <w:rPr>
          <w:rFonts w:hint="eastAsia"/>
        </w:rPr>
        <w:t>从负债结构来看，截至</w:t>
      </w:r>
      <w:r w:rsidRPr="00B4515A">
        <w:t>2018</w:t>
      </w:r>
      <w:r w:rsidRPr="00B4515A">
        <w:t>年</w:t>
      </w:r>
      <w:r w:rsidRPr="00B4515A">
        <w:t>12</w:t>
      </w:r>
      <w:r w:rsidRPr="00B4515A">
        <w:t>月</w:t>
      </w:r>
      <w:r w:rsidRPr="00B4515A">
        <w:t>31</w:t>
      </w:r>
      <w:r w:rsidRPr="00B4515A">
        <w:t>日、</w:t>
      </w:r>
      <w:r w:rsidRPr="00B4515A">
        <w:t>2019</w:t>
      </w:r>
      <w:r w:rsidRPr="00B4515A">
        <w:t>年</w:t>
      </w:r>
      <w:r w:rsidRPr="00B4515A">
        <w:t>12</w:t>
      </w:r>
      <w:r w:rsidRPr="00B4515A">
        <w:t>月</w:t>
      </w:r>
      <w:r w:rsidRPr="00B4515A">
        <w:t>31</w:t>
      </w:r>
      <w:r w:rsidRPr="00B4515A">
        <w:t>日及</w:t>
      </w:r>
      <w:r w:rsidRPr="00B4515A">
        <w:t>2020</w:t>
      </w:r>
      <w:r w:rsidRPr="00B4515A">
        <w:t>年</w:t>
      </w:r>
      <w:r w:rsidRPr="00B4515A">
        <w:t>12</w:t>
      </w:r>
      <w:r w:rsidRPr="00B4515A">
        <w:t>月</w:t>
      </w:r>
      <w:r w:rsidRPr="00B4515A">
        <w:t>31</w:t>
      </w:r>
      <w:r w:rsidRPr="00B4515A">
        <w:t>日，上市公司流动负债占负债总额的比例分别为</w:t>
      </w:r>
      <w:r w:rsidRPr="00B4515A">
        <w:t>58.13%</w:t>
      </w:r>
      <w:r w:rsidRPr="00B4515A">
        <w:t>、</w:t>
      </w:r>
      <w:r w:rsidRPr="00B4515A">
        <w:t>90.14%</w:t>
      </w:r>
      <w:r w:rsidRPr="00B4515A">
        <w:t>、</w:t>
      </w:r>
      <w:r w:rsidRPr="00B4515A">
        <w:t>81.35%</w:t>
      </w:r>
      <w:r w:rsidRPr="00B4515A">
        <w:t>；非流动负债占负债总额的比例分别为</w:t>
      </w:r>
      <w:r w:rsidRPr="00B4515A">
        <w:t>41.87%</w:t>
      </w:r>
      <w:r w:rsidRPr="00B4515A">
        <w:t>、</w:t>
      </w:r>
      <w:r w:rsidRPr="00B4515A">
        <w:t>9.86%</w:t>
      </w:r>
      <w:r w:rsidRPr="00B4515A">
        <w:t>、</w:t>
      </w:r>
      <w:r w:rsidRPr="00B4515A">
        <w:t>18.65%</w:t>
      </w:r>
      <w:r w:rsidRPr="00B4515A">
        <w:t>。上市公司流动负债主要由短期借款、应付账款、其他应付款等构成。上市公司非流动负债主要由长期应付款、递延收益等构成。上市公司负债结构中有所</w:t>
      </w:r>
      <w:r w:rsidRPr="00B4515A">
        <w:rPr>
          <w:rFonts w:hint="eastAsia"/>
        </w:rPr>
        <w:t>变</w:t>
      </w:r>
      <w:r w:rsidRPr="00B4515A">
        <w:t>动，其中</w:t>
      </w:r>
      <w:r w:rsidRPr="00B4515A">
        <w:t>2019</w:t>
      </w:r>
      <w:r w:rsidRPr="00B4515A">
        <w:t>年度相对</w:t>
      </w:r>
      <w:r w:rsidRPr="00B4515A">
        <w:t>2018</w:t>
      </w:r>
      <w:r w:rsidRPr="00B4515A">
        <w:t>年度波动的主要原因为公司</w:t>
      </w:r>
      <w:r w:rsidRPr="00B4515A">
        <w:t>2019</w:t>
      </w:r>
      <w:r w:rsidRPr="00B4515A">
        <w:t>年进行债转股导致长期应付款大幅度降低，同时公司将一年内到期的长期借款</w:t>
      </w:r>
      <w:r w:rsidRPr="00B4515A">
        <w:rPr>
          <w:rFonts w:hint="eastAsia"/>
        </w:rPr>
        <w:t>、应付债券进行了重分类至一年内到期的非流动负债。</w:t>
      </w:r>
      <w:r w:rsidRPr="00B4515A">
        <w:t>2020</w:t>
      </w:r>
      <w:r w:rsidRPr="00B4515A">
        <w:t>年度相对</w:t>
      </w:r>
      <w:r w:rsidRPr="00B4515A">
        <w:t>2019</w:t>
      </w:r>
      <w:r w:rsidRPr="00B4515A">
        <w:t>年度波动的主要原因为公司偿还到期短期借款导致短期借款减少、偿还到期应付债券导致一年内到期的非流动负债降低、公司下属单位德润电子、江苏安防、大唐恩智浦不再纳入公司并表范围导致应付账款减少。</w:t>
      </w:r>
    </w:p>
    <w:p w14:paraId="57ACFC43" w14:textId="77777777" w:rsidR="006416B0" w:rsidRPr="00B4515A" w:rsidRDefault="005E58C1" w:rsidP="003357B7">
      <w:pPr>
        <w:pStyle w:val="004"/>
        <w:spacing w:before="120" w:after="120"/>
        <w:ind w:firstLine="482"/>
      </w:pPr>
      <w:r w:rsidRPr="00B4515A">
        <w:rPr>
          <w:rFonts w:hint="eastAsia"/>
        </w:rPr>
        <w:lastRenderedPageBreak/>
        <w:t>3</w:t>
      </w:r>
      <w:r w:rsidRPr="00B4515A">
        <w:rPr>
          <w:rFonts w:hint="eastAsia"/>
        </w:rPr>
        <w:t>、偿债能力分析</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37"/>
        <w:gridCol w:w="2263"/>
        <w:gridCol w:w="2263"/>
        <w:gridCol w:w="2265"/>
      </w:tblGrid>
      <w:tr w:rsidR="006416B0" w:rsidRPr="00B4515A" w14:paraId="3090E3DB" w14:textId="77777777" w:rsidTr="00031627">
        <w:trPr>
          <w:trHeight w:val="340"/>
          <w:jc w:val="center"/>
        </w:trPr>
        <w:tc>
          <w:tcPr>
            <w:tcW w:w="1018" w:type="pct"/>
            <w:shd w:val="clear" w:color="auto" w:fill="auto"/>
            <w:tcMar>
              <w:top w:w="0" w:type="dxa"/>
              <w:left w:w="108" w:type="dxa"/>
              <w:bottom w:w="0" w:type="dxa"/>
              <w:right w:w="108" w:type="dxa"/>
            </w:tcMar>
            <w:vAlign w:val="center"/>
          </w:tcPr>
          <w:p w14:paraId="2256770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1327" w:type="pct"/>
            <w:shd w:val="clear" w:color="auto" w:fill="auto"/>
            <w:tcMar>
              <w:top w:w="0" w:type="dxa"/>
              <w:left w:w="108" w:type="dxa"/>
              <w:bottom w:w="0" w:type="dxa"/>
              <w:right w:w="108" w:type="dxa"/>
            </w:tcMar>
            <w:vAlign w:val="center"/>
          </w:tcPr>
          <w:p w14:paraId="6A20061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p>
        </w:tc>
        <w:tc>
          <w:tcPr>
            <w:tcW w:w="1327" w:type="pct"/>
            <w:shd w:val="clear" w:color="auto" w:fill="auto"/>
            <w:tcMar>
              <w:top w:w="0" w:type="dxa"/>
              <w:left w:w="108" w:type="dxa"/>
              <w:bottom w:w="0" w:type="dxa"/>
              <w:right w:w="108" w:type="dxa"/>
            </w:tcMar>
            <w:vAlign w:val="center"/>
          </w:tcPr>
          <w:p w14:paraId="6996074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p>
        </w:tc>
        <w:tc>
          <w:tcPr>
            <w:tcW w:w="1328" w:type="pct"/>
            <w:shd w:val="clear" w:color="auto" w:fill="auto"/>
            <w:tcMar>
              <w:top w:w="0" w:type="dxa"/>
              <w:left w:w="108" w:type="dxa"/>
              <w:bottom w:w="0" w:type="dxa"/>
              <w:right w:w="108" w:type="dxa"/>
            </w:tcMar>
            <w:vAlign w:val="center"/>
          </w:tcPr>
          <w:p w14:paraId="3BA1283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2018</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p>
        </w:tc>
      </w:tr>
      <w:tr w:rsidR="006416B0" w:rsidRPr="00B4515A" w14:paraId="460F7178" w14:textId="77777777" w:rsidTr="00031627">
        <w:trPr>
          <w:trHeight w:val="340"/>
          <w:jc w:val="center"/>
        </w:trPr>
        <w:tc>
          <w:tcPr>
            <w:tcW w:w="1018" w:type="pct"/>
            <w:shd w:val="clear" w:color="auto" w:fill="auto"/>
            <w:tcMar>
              <w:top w:w="0" w:type="dxa"/>
              <w:left w:w="108" w:type="dxa"/>
              <w:bottom w:w="0" w:type="dxa"/>
              <w:right w:w="108" w:type="dxa"/>
            </w:tcMar>
            <w:vAlign w:val="center"/>
          </w:tcPr>
          <w:p w14:paraId="4182178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流动比率（倍）</w:t>
            </w:r>
          </w:p>
        </w:tc>
        <w:tc>
          <w:tcPr>
            <w:tcW w:w="1327" w:type="pct"/>
            <w:shd w:val="clear" w:color="auto" w:fill="auto"/>
            <w:tcMar>
              <w:top w:w="0" w:type="dxa"/>
              <w:left w:w="108" w:type="dxa"/>
              <w:bottom w:w="0" w:type="dxa"/>
              <w:right w:w="108" w:type="dxa"/>
            </w:tcMar>
            <w:vAlign w:val="center"/>
          </w:tcPr>
          <w:p w14:paraId="36CDA77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0.44</w:t>
            </w:r>
          </w:p>
        </w:tc>
        <w:tc>
          <w:tcPr>
            <w:tcW w:w="1327" w:type="pct"/>
            <w:shd w:val="clear" w:color="auto" w:fill="auto"/>
            <w:tcMar>
              <w:top w:w="0" w:type="dxa"/>
              <w:left w:w="108" w:type="dxa"/>
              <w:bottom w:w="0" w:type="dxa"/>
              <w:right w:w="108" w:type="dxa"/>
            </w:tcMar>
            <w:vAlign w:val="center"/>
          </w:tcPr>
          <w:p w14:paraId="0A9EE2D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0.68</w:t>
            </w:r>
          </w:p>
        </w:tc>
        <w:tc>
          <w:tcPr>
            <w:tcW w:w="1328" w:type="pct"/>
            <w:shd w:val="clear" w:color="auto" w:fill="auto"/>
            <w:tcMar>
              <w:top w:w="0" w:type="dxa"/>
              <w:left w:w="108" w:type="dxa"/>
              <w:bottom w:w="0" w:type="dxa"/>
              <w:right w:w="108" w:type="dxa"/>
            </w:tcMar>
            <w:vAlign w:val="center"/>
          </w:tcPr>
          <w:p w14:paraId="0C702A3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0.95</w:t>
            </w:r>
          </w:p>
        </w:tc>
      </w:tr>
      <w:tr w:rsidR="006416B0" w:rsidRPr="00B4515A" w14:paraId="1C78DF8C" w14:textId="77777777" w:rsidTr="00031627">
        <w:trPr>
          <w:trHeight w:val="340"/>
          <w:jc w:val="center"/>
        </w:trPr>
        <w:tc>
          <w:tcPr>
            <w:tcW w:w="1018" w:type="pct"/>
            <w:shd w:val="clear" w:color="auto" w:fill="auto"/>
            <w:tcMar>
              <w:top w:w="0" w:type="dxa"/>
              <w:left w:w="108" w:type="dxa"/>
              <w:bottom w:w="0" w:type="dxa"/>
              <w:right w:w="108" w:type="dxa"/>
            </w:tcMar>
            <w:vAlign w:val="center"/>
          </w:tcPr>
          <w:p w14:paraId="5980D00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速动比率（倍）</w:t>
            </w:r>
          </w:p>
        </w:tc>
        <w:tc>
          <w:tcPr>
            <w:tcW w:w="1327" w:type="pct"/>
            <w:shd w:val="clear" w:color="auto" w:fill="auto"/>
            <w:tcMar>
              <w:top w:w="0" w:type="dxa"/>
              <w:left w:w="108" w:type="dxa"/>
              <w:bottom w:w="0" w:type="dxa"/>
              <w:right w:w="108" w:type="dxa"/>
            </w:tcMar>
            <w:vAlign w:val="center"/>
          </w:tcPr>
          <w:p w14:paraId="3DB86DD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0.29</w:t>
            </w:r>
          </w:p>
        </w:tc>
        <w:tc>
          <w:tcPr>
            <w:tcW w:w="1327" w:type="pct"/>
            <w:shd w:val="clear" w:color="auto" w:fill="auto"/>
            <w:tcMar>
              <w:top w:w="0" w:type="dxa"/>
              <w:left w:w="108" w:type="dxa"/>
              <w:bottom w:w="0" w:type="dxa"/>
              <w:right w:w="108" w:type="dxa"/>
            </w:tcMar>
            <w:vAlign w:val="center"/>
          </w:tcPr>
          <w:p w14:paraId="675987E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0.50</w:t>
            </w:r>
          </w:p>
        </w:tc>
        <w:tc>
          <w:tcPr>
            <w:tcW w:w="1328" w:type="pct"/>
            <w:shd w:val="clear" w:color="auto" w:fill="auto"/>
            <w:tcMar>
              <w:top w:w="0" w:type="dxa"/>
              <w:left w:w="108" w:type="dxa"/>
              <w:bottom w:w="0" w:type="dxa"/>
              <w:right w:w="108" w:type="dxa"/>
            </w:tcMar>
            <w:vAlign w:val="center"/>
          </w:tcPr>
          <w:p w14:paraId="70C04DE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0.72</w:t>
            </w:r>
          </w:p>
        </w:tc>
      </w:tr>
      <w:tr w:rsidR="006416B0" w:rsidRPr="00B4515A" w14:paraId="3FACACA7" w14:textId="77777777" w:rsidTr="00031627">
        <w:trPr>
          <w:trHeight w:val="340"/>
          <w:jc w:val="center"/>
        </w:trPr>
        <w:tc>
          <w:tcPr>
            <w:tcW w:w="1018" w:type="pct"/>
            <w:shd w:val="clear" w:color="auto" w:fill="auto"/>
            <w:tcMar>
              <w:top w:w="0" w:type="dxa"/>
              <w:left w:w="108" w:type="dxa"/>
              <w:bottom w:w="0" w:type="dxa"/>
              <w:right w:w="108" w:type="dxa"/>
            </w:tcMar>
            <w:vAlign w:val="center"/>
          </w:tcPr>
          <w:p w14:paraId="6424CED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资产负债率</w:t>
            </w:r>
          </w:p>
          <w:p w14:paraId="73208EF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（合并）</w:t>
            </w:r>
          </w:p>
        </w:tc>
        <w:tc>
          <w:tcPr>
            <w:tcW w:w="1327" w:type="pct"/>
            <w:shd w:val="clear" w:color="auto" w:fill="auto"/>
            <w:tcMar>
              <w:top w:w="0" w:type="dxa"/>
              <w:left w:w="108" w:type="dxa"/>
              <w:bottom w:w="0" w:type="dxa"/>
              <w:right w:w="108" w:type="dxa"/>
            </w:tcMar>
            <w:vAlign w:val="center"/>
          </w:tcPr>
          <w:p w14:paraId="4319405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116.54%</w:t>
            </w:r>
          </w:p>
        </w:tc>
        <w:tc>
          <w:tcPr>
            <w:tcW w:w="1327" w:type="pct"/>
            <w:shd w:val="clear" w:color="auto" w:fill="auto"/>
            <w:tcMar>
              <w:top w:w="0" w:type="dxa"/>
              <w:left w:w="108" w:type="dxa"/>
              <w:bottom w:w="0" w:type="dxa"/>
              <w:right w:w="108" w:type="dxa"/>
            </w:tcMar>
            <w:vAlign w:val="center"/>
          </w:tcPr>
          <w:p w14:paraId="3AC5523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75.30%</w:t>
            </w:r>
          </w:p>
        </w:tc>
        <w:tc>
          <w:tcPr>
            <w:tcW w:w="1328" w:type="pct"/>
            <w:shd w:val="clear" w:color="auto" w:fill="auto"/>
            <w:tcMar>
              <w:top w:w="0" w:type="dxa"/>
              <w:left w:w="108" w:type="dxa"/>
              <w:bottom w:w="0" w:type="dxa"/>
              <w:right w:w="108" w:type="dxa"/>
            </w:tcMar>
            <w:vAlign w:val="center"/>
          </w:tcPr>
          <w:p w14:paraId="3EF1072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91.84%</w:t>
            </w:r>
          </w:p>
        </w:tc>
      </w:tr>
    </w:tbl>
    <w:p w14:paraId="5E6846B4" w14:textId="741FD086" w:rsidR="006416B0" w:rsidRPr="00B4515A" w:rsidRDefault="005E58C1" w:rsidP="003357B7">
      <w:pPr>
        <w:pStyle w:val="006"/>
        <w:ind w:firstLine="420"/>
      </w:pPr>
      <w:r w:rsidRPr="00B4515A">
        <w:rPr>
          <w:rFonts w:hint="eastAsia"/>
        </w:rPr>
        <w:t>注：</w:t>
      </w:r>
      <w:r w:rsidR="00EC14C6" w:rsidRPr="00B4515A">
        <w:rPr>
          <w:rFonts w:hint="eastAsia"/>
        </w:rPr>
        <w:t>（</w:t>
      </w:r>
      <w:r w:rsidR="00EC14C6" w:rsidRPr="00B4515A">
        <w:rPr>
          <w:rFonts w:hint="eastAsia"/>
        </w:rPr>
        <w:t>1</w:t>
      </w:r>
      <w:r w:rsidR="00EC14C6" w:rsidRPr="00B4515A">
        <w:rPr>
          <w:rFonts w:hint="eastAsia"/>
        </w:rPr>
        <w:t>）</w:t>
      </w:r>
      <w:r w:rsidRPr="00B4515A">
        <w:rPr>
          <w:rFonts w:hint="eastAsia"/>
        </w:rPr>
        <w:t>流动比率＝流动资产</w:t>
      </w:r>
      <w:r w:rsidRPr="00B4515A">
        <w:t>/</w:t>
      </w:r>
      <w:r w:rsidRPr="00B4515A">
        <w:rPr>
          <w:rFonts w:hint="eastAsia"/>
        </w:rPr>
        <w:t>流动负债；</w:t>
      </w:r>
    </w:p>
    <w:p w14:paraId="616D3E88" w14:textId="35D28503" w:rsidR="006416B0" w:rsidRPr="00B4515A" w:rsidRDefault="00EC14C6" w:rsidP="003357B7">
      <w:pPr>
        <w:pStyle w:val="006"/>
        <w:ind w:firstLine="420"/>
      </w:pPr>
      <w:r w:rsidRPr="00B4515A">
        <w:rPr>
          <w:rFonts w:hint="eastAsia"/>
        </w:rPr>
        <w:t>（</w:t>
      </w:r>
      <w:r w:rsidRPr="00B4515A">
        <w:rPr>
          <w:rFonts w:hint="eastAsia"/>
        </w:rPr>
        <w:t>2</w:t>
      </w:r>
      <w:r w:rsidRPr="00B4515A">
        <w:rPr>
          <w:rFonts w:hint="eastAsia"/>
        </w:rPr>
        <w:t>）</w:t>
      </w:r>
      <w:r w:rsidR="005E58C1" w:rsidRPr="00B4515A">
        <w:rPr>
          <w:rFonts w:hint="eastAsia"/>
        </w:rPr>
        <w:t>速动比率＝（流动资产－存货</w:t>
      </w:r>
      <w:r w:rsidR="005E58C1" w:rsidRPr="00B4515A">
        <w:t>-</w:t>
      </w:r>
      <w:r w:rsidR="005E58C1" w:rsidRPr="00B4515A">
        <w:rPr>
          <w:rFonts w:hint="eastAsia"/>
        </w:rPr>
        <w:t>预付款项</w:t>
      </w:r>
      <w:r w:rsidR="005E58C1" w:rsidRPr="00B4515A">
        <w:t>-</w:t>
      </w:r>
      <w:r w:rsidR="005E58C1" w:rsidRPr="00B4515A">
        <w:rPr>
          <w:rFonts w:hint="eastAsia"/>
        </w:rPr>
        <w:t>其他流动资产）</w:t>
      </w:r>
      <w:r w:rsidR="005E58C1" w:rsidRPr="00B4515A">
        <w:t>/</w:t>
      </w:r>
      <w:r w:rsidR="005E58C1" w:rsidRPr="00B4515A">
        <w:rPr>
          <w:rFonts w:hint="eastAsia"/>
        </w:rPr>
        <w:t>流动负债；</w:t>
      </w:r>
    </w:p>
    <w:p w14:paraId="3704CAC3" w14:textId="4F757FE7" w:rsidR="006416B0" w:rsidRPr="00B4515A" w:rsidRDefault="00EC14C6" w:rsidP="003357B7">
      <w:pPr>
        <w:pStyle w:val="006"/>
        <w:ind w:firstLine="420"/>
      </w:pPr>
      <w:r w:rsidRPr="00B4515A">
        <w:rPr>
          <w:rFonts w:hint="eastAsia"/>
        </w:rPr>
        <w:t>（</w:t>
      </w:r>
      <w:r w:rsidRPr="00B4515A">
        <w:rPr>
          <w:rFonts w:hint="eastAsia"/>
        </w:rPr>
        <w:t>3</w:t>
      </w:r>
      <w:r w:rsidRPr="00B4515A">
        <w:rPr>
          <w:rFonts w:hint="eastAsia"/>
        </w:rPr>
        <w:t>）</w:t>
      </w:r>
      <w:r w:rsidR="005E58C1" w:rsidRPr="00B4515A">
        <w:rPr>
          <w:rFonts w:hint="eastAsia"/>
        </w:rPr>
        <w:t>资产负债率＝（负债总额</w:t>
      </w:r>
      <w:r w:rsidR="005E58C1" w:rsidRPr="00B4515A">
        <w:t>/</w:t>
      </w:r>
      <w:r w:rsidR="005E58C1" w:rsidRPr="00B4515A">
        <w:rPr>
          <w:rFonts w:hint="eastAsia"/>
        </w:rPr>
        <w:t>资产总额）×</w:t>
      </w:r>
      <w:r w:rsidR="005E58C1" w:rsidRPr="00B4515A">
        <w:t>100%</w:t>
      </w:r>
      <w:r w:rsidR="005E58C1" w:rsidRPr="00B4515A">
        <w:rPr>
          <w:rFonts w:hint="eastAsia"/>
        </w:rPr>
        <w:t>。</w:t>
      </w:r>
    </w:p>
    <w:p w14:paraId="292B5274" w14:textId="77777777" w:rsidR="006416B0" w:rsidRPr="00B4515A" w:rsidRDefault="005E58C1" w:rsidP="003357B7">
      <w:pPr>
        <w:pStyle w:val="005"/>
        <w:spacing w:before="120" w:after="120"/>
        <w:ind w:firstLine="480"/>
      </w:pPr>
      <w:r w:rsidRPr="00B4515A">
        <w:rPr>
          <w:rFonts w:hint="eastAsia"/>
        </w:rPr>
        <w:t>本次交易前，最近三年上市公司的资产负债率大幅度上升，流动比率、速动比率呈下降趋势，偿债能力较弱。</w:t>
      </w:r>
    </w:p>
    <w:p w14:paraId="7E070394" w14:textId="77777777" w:rsidR="006416B0" w:rsidRPr="00B4515A" w:rsidRDefault="005E58C1" w:rsidP="003357B7">
      <w:pPr>
        <w:pStyle w:val="003"/>
        <w:spacing w:before="120"/>
        <w:ind w:firstLine="482"/>
      </w:pPr>
      <w:r w:rsidRPr="00B4515A">
        <w:rPr>
          <w:rFonts w:hint="eastAsia"/>
        </w:rPr>
        <w:t>（二）本次交易前上市公司经营成果分析</w:t>
      </w:r>
    </w:p>
    <w:p w14:paraId="6E2143FE" w14:textId="77777777" w:rsidR="006416B0" w:rsidRPr="00B4515A" w:rsidRDefault="005E58C1" w:rsidP="003357B7">
      <w:pPr>
        <w:pStyle w:val="004"/>
        <w:spacing w:before="120" w:after="120"/>
        <w:ind w:firstLine="482"/>
      </w:pPr>
      <w:r w:rsidRPr="00B4515A">
        <w:rPr>
          <w:rFonts w:hint="eastAsia"/>
        </w:rPr>
        <w:t>1</w:t>
      </w:r>
      <w:r w:rsidRPr="00B4515A">
        <w:rPr>
          <w:rFonts w:hint="eastAsia"/>
        </w:rPr>
        <w:t>、经营成果分析</w:t>
      </w:r>
    </w:p>
    <w:p w14:paraId="0D3A519A" w14:textId="423B43FF" w:rsidR="006416B0" w:rsidRPr="00B4515A" w:rsidRDefault="005E58C1" w:rsidP="004C5934">
      <w:pPr>
        <w:pStyle w:val="005"/>
        <w:spacing w:before="120" w:after="120"/>
        <w:ind w:firstLine="480"/>
      </w:pPr>
      <w:r w:rsidRPr="00B4515A">
        <w:rPr>
          <w:rFonts w:hint="eastAsia"/>
        </w:rPr>
        <w:t>报告期内，上市公司的利润构成情况如下：</w:t>
      </w:r>
    </w:p>
    <w:p w14:paraId="76AC5D48" w14:textId="36266E15" w:rsidR="00615973" w:rsidRPr="00B4515A" w:rsidRDefault="00615973" w:rsidP="00EE238F">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840"/>
        <w:gridCol w:w="1642"/>
        <w:gridCol w:w="1523"/>
        <w:gridCol w:w="1523"/>
      </w:tblGrid>
      <w:tr w:rsidR="006416B0" w:rsidRPr="00B4515A" w14:paraId="4153DFA3" w14:textId="77777777" w:rsidTr="003357B7">
        <w:trPr>
          <w:trHeight w:val="340"/>
          <w:tblHeader/>
          <w:jc w:val="center"/>
        </w:trPr>
        <w:tc>
          <w:tcPr>
            <w:tcW w:w="2251" w:type="pct"/>
            <w:shd w:val="clear" w:color="auto" w:fill="auto"/>
            <w:tcMar>
              <w:top w:w="0" w:type="dxa"/>
              <w:left w:w="108" w:type="dxa"/>
              <w:bottom w:w="0" w:type="dxa"/>
              <w:right w:w="108" w:type="dxa"/>
            </w:tcMar>
            <w:vAlign w:val="center"/>
          </w:tcPr>
          <w:p w14:paraId="11592AD5"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项目</w:t>
            </w:r>
          </w:p>
        </w:tc>
        <w:tc>
          <w:tcPr>
            <w:tcW w:w="963" w:type="pct"/>
            <w:shd w:val="clear" w:color="auto" w:fill="auto"/>
            <w:tcMar>
              <w:top w:w="0" w:type="dxa"/>
              <w:left w:w="108" w:type="dxa"/>
              <w:bottom w:w="0" w:type="dxa"/>
              <w:right w:w="108" w:type="dxa"/>
            </w:tcMar>
            <w:vAlign w:val="center"/>
          </w:tcPr>
          <w:p w14:paraId="24CCF576"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2020</w:t>
            </w:r>
            <w:r w:rsidRPr="00B4515A">
              <w:rPr>
                <w:rFonts w:ascii="Times New Roman" w:eastAsiaTheme="minorEastAsia" w:cs="Times New Roman"/>
                <w:b/>
                <w:bCs/>
                <w:color w:val="000000"/>
                <w:sz w:val="21"/>
                <w:szCs w:val="21"/>
              </w:rPr>
              <w:t>年度</w:t>
            </w:r>
          </w:p>
        </w:tc>
        <w:tc>
          <w:tcPr>
            <w:tcW w:w="893" w:type="pct"/>
            <w:shd w:val="clear" w:color="auto" w:fill="auto"/>
            <w:tcMar>
              <w:top w:w="0" w:type="dxa"/>
              <w:left w:w="108" w:type="dxa"/>
              <w:bottom w:w="0" w:type="dxa"/>
              <w:right w:w="108" w:type="dxa"/>
            </w:tcMar>
            <w:vAlign w:val="center"/>
          </w:tcPr>
          <w:p w14:paraId="65F17FAA"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2019</w:t>
            </w:r>
            <w:r w:rsidRPr="00B4515A">
              <w:rPr>
                <w:rFonts w:ascii="Times New Roman" w:eastAsiaTheme="minorEastAsia" w:cs="Times New Roman"/>
                <w:b/>
                <w:bCs/>
                <w:color w:val="000000"/>
                <w:sz w:val="21"/>
                <w:szCs w:val="21"/>
              </w:rPr>
              <w:t>年度</w:t>
            </w:r>
          </w:p>
        </w:tc>
        <w:tc>
          <w:tcPr>
            <w:tcW w:w="893" w:type="pct"/>
            <w:shd w:val="clear" w:color="auto" w:fill="auto"/>
            <w:tcMar>
              <w:top w:w="0" w:type="dxa"/>
              <w:left w:w="108" w:type="dxa"/>
              <w:bottom w:w="0" w:type="dxa"/>
              <w:right w:w="108" w:type="dxa"/>
            </w:tcMar>
            <w:vAlign w:val="center"/>
          </w:tcPr>
          <w:p w14:paraId="7CBB87C1"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2018</w:t>
            </w:r>
            <w:r w:rsidRPr="00B4515A">
              <w:rPr>
                <w:rFonts w:ascii="Times New Roman" w:eastAsiaTheme="minorEastAsia" w:cs="Times New Roman"/>
                <w:b/>
                <w:bCs/>
                <w:color w:val="000000"/>
                <w:sz w:val="21"/>
                <w:szCs w:val="21"/>
              </w:rPr>
              <w:t>年度</w:t>
            </w:r>
          </w:p>
        </w:tc>
      </w:tr>
      <w:tr w:rsidR="006416B0" w:rsidRPr="00B4515A" w14:paraId="542BA7ED"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49B7590A"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heme="minorEastAsia" w:eastAsiaTheme="minorEastAsia" w:hAnsiTheme="minorEastAsia" w:hint="eastAsia"/>
                <w:sz w:val="21"/>
                <w:szCs w:val="21"/>
              </w:rPr>
              <w:t>一、营业总收入</w:t>
            </w:r>
          </w:p>
        </w:tc>
        <w:tc>
          <w:tcPr>
            <w:tcW w:w="963" w:type="pct"/>
            <w:shd w:val="clear" w:color="auto" w:fill="auto"/>
            <w:tcMar>
              <w:top w:w="0" w:type="dxa"/>
              <w:left w:w="108" w:type="dxa"/>
              <w:bottom w:w="0" w:type="dxa"/>
              <w:right w:w="108" w:type="dxa"/>
            </w:tcMar>
            <w:vAlign w:val="center"/>
          </w:tcPr>
          <w:p w14:paraId="19DFB2E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120,721.15</w:t>
            </w:r>
          </w:p>
        </w:tc>
        <w:tc>
          <w:tcPr>
            <w:tcW w:w="893" w:type="pct"/>
            <w:shd w:val="clear" w:color="auto" w:fill="auto"/>
            <w:tcMar>
              <w:top w:w="0" w:type="dxa"/>
              <w:left w:w="108" w:type="dxa"/>
              <w:bottom w:w="0" w:type="dxa"/>
              <w:right w:w="108" w:type="dxa"/>
            </w:tcMar>
            <w:vAlign w:val="center"/>
          </w:tcPr>
          <w:p w14:paraId="35DEC20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143,064.75</w:t>
            </w:r>
          </w:p>
        </w:tc>
        <w:tc>
          <w:tcPr>
            <w:tcW w:w="893" w:type="pct"/>
            <w:shd w:val="clear" w:color="auto" w:fill="auto"/>
            <w:tcMar>
              <w:top w:w="0" w:type="dxa"/>
              <w:left w:w="108" w:type="dxa"/>
              <w:bottom w:w="0" w:type="dxa"/>
              <w:right w:w="108" w:type="dxa"/>
            </w:tcMar>
            <w:vAlign w:val="center"/>
          </w:tcPr>
          <w:p w14:paraId="3DC5466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234,384.94</w:t>
            </w:r>
          </w:p>
        </w:tc>
      </w:tr>
      <w:tr w:rsidR="006416B0" w:rsidRPr="00B4515A" w14:paraId="5B678C98"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29D61141"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其中：营业收入</w:t>
            </w:r>
          </w:p>
        </w:tc>
        <w:tc>
          <w:tcPr>
            <w:tcW w:w="963" w:type="pct"/>
            <w:shd w:val="clear" w:color="auto" w:fill="auto"/>
            <w:tcMar>
              <w:top w:w="0" w:type="dxa"/>
              <w:left w:w="108" w:type="dxa"/>
              <w:bottom w:w="0" w:type="dxa"/>
              <w:right w:w="108" w:type="dxa"/>
            </w:tcMar>
            <w:vAlign w:val="center"/>
          </w:tcPr>
          <w:p w14:paraId="1460C28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120,721.15</w:t>
            </w:r>
          </w:p>
        </w:tc>
        <w:tc>
          <w:tcPr>
            <w:tcW w:w="893" w:type="pct"/>
            <w:shd w:val="clear" w:color="auto" w:fill="auto"/>
            <w:tcMar>
              <w:top w:w="0" w:type="dxa"/>
              <w:left w:w="108" w:type="dxa"/>
              <w:bottom w:w="0" w:type="dxa"/>
              <w:right w:w="108" w:type="dxa"/>
            </w:tcMar>
            <w:vAlign w:val="center"/>
          </w:tcPr>
          <w:p w14:paraId="5F12AB2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143,064.75</w:t>
            </w:r>
          </w:p>
        </w:tc>
        <w:tc>
          <w:tcPr>
            <w:tcW w:w="893" w:type="pct"/>
            <w:shd w:val="clear" w:color="auto" w:fill="auto"/>
            <w:tcMar>
              <w:top w:w="0" w:type="dxa"/>
              <w:left w:w="108" w:type="dxa"/>
              <w:bottom w:w="0" w:type="dxa"/>
              <w:right w:w="108" w:type="dxa"/>
            </w:tcMar>
            <w:vAlign w:val="center"/>
          </w:tcPr>
          <w:p w14:paraId="6A3DAEC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234,384.94</w:t>
            </w:r>
          </w:p>
        </w:tc>
      </w:tr>
      <w:tr w:rsidR="006416B0" w:rsidRPr="00B4515A" w14:paraId="438FBA81"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2E897DCF"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二、营业总成本</w:t>
            </w:r>
          </w:p>
        </w:tc>
        <w:tc>
          <w:tcPr>
            <w:tcW w:w="963" w:type="pct"/>
            <w:shd w:val="clear" w:color="auto" w:fill="auto"/>
            <w:tcMar>
              <w:top w:w="0" w:type="dxa"/>
              <w:left w:w="108" w:type="dxa"/>
              <w:bottom w:w="0" w:type="dxa"/>
              <w:right w:w="108" w:type="dxa"/>
            </w:tcMar>
            <w:vAlign w:val="center"/>
          </w:tcPr>
          <w:p w14:paraId="6BAC38D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164,733.57</w:t>
            </w:r>
          </w:p>
        </w:tc>
        <w:tc>
          <w:tcPr>
            <w:tcW w:w="893" w:type="pct"/>
            <w:shd w:val="clear" w:color="auto" w:fill="auto"/>
            <w:tcMar>
              <w:top w:w="0" w:type="dxa"/>
              <w:left w:w="108" w:type="dxa"/>
              <w:bottom w:w="0" w:type="dxa"/>
              <w:right w:w="108" w:type="dxa"/>
            </w:tcMar>
            <w:vAlign w:val="center"/>
          </w:tcPr>
          <w:p w14:paraId="490CF38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202,691.21</w:t>
            </w:r>
          </w:p>
        </w:tc>
        <w:tc>
          <w:tcPr>
            <w:tcW w:w="893" w:type="pct"/>
            <w:shd w:val="clear" w:color="auto" w:fill="auto"/>
            <w:tcMar>
              <w:top w:w="0" w:type="dxa"/>
              <w:left w:w="108" w:type="dxa"/>
              <w:bottom w:w="0" w:type="dxa"/>
              <w:right w:w="108" w:type="dxa"/>
            </w:tcMar>
            <w:vAlign w:val="center"/>
          </w:tcPr>
          <w:p w14:paraId="10E8870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337,183.86</w:t>
            </w:r>
          </w:p>
        </w:tc>
      </w:tr>
      <w:tr w:rsidR="006416B0" w:rsidRPr="00B4515A" w14:paraId="6D110A0E"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7BF2C6D8"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其中：营业成本</w:t>
            </w:r>
          </w:p>
        </w:tc>
        <w:tc>
          <w:tcPr>
            <w:tcW w:w="963" w:type="pct"/>
            <w:shd w:val="clear" w:color="auto" w:fill="auto"/>
            <w:tcMar>
              <w:top w:w="0" w:type="dxa"/>
              <w:left w:w="108" w:type="dxa"/>
              <w:bottom w:w="0" w:type="dxa"/>
              <w:right w:w="108" w:type="dxa"/>
            </w:tcMar>
            <w:vAlign w:val="center"/>
          </w:tcPr>
          <w:p w14:paraId="2BC3407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82,040.26</w:t>
            </w:r>
          </w:p>
        </w:tc>
        <w:tc>
          <w:tcPr>
            <w:tcW w:w="893" w:type="pct"/>
            <w:shd w:val="clear" w:color="auto" w:fill="auto"/>
            <w:tcMar>
              <w:top w:w="0" w:type="dxa"/>
              <w:left w:w="108" w:type="dxa"/>
              <w:bottom w:w="0" w:type="dxa"/>
              <w:right w:w="108" w:type="dxa"/>
            </w:tcMar>
            <w:vAlign w:val="center"/>
          </w:tcPr>
          <w:p w14:paraId="7C8CA93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103,109.17</w:t>
            </w:r>
          </w:p>
        </w:tc>
        <w:tc>
          <w:tcPr>
            <w:tcW w:w="893" w:type="pct"/>
            <w:shd w:val="clear" w:color="auto" w:fill="auto"/>
            <w:tcMar>
              <w:top w:w="0" w:type="dxa"/>
              <w:left w:w="108" w:type="dxa"/>
              <w:bottom w:w="0" w:type="dxa"/>
              <w:right w:w="108" w:type="dxa"/>
            </w:tcMar>
            <w:vAlign w:val="center"/>
          </w:tcPr>
          <w:p w14:paraId="3B454FB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175,203.70</w:t>
            </w:r>
          </w:p>
        </w:tc>
      </w:tr>
      <w:tr w:rsidR="006416B0" w:rsidRPr="00B4515A" w14:paraId="4C99F1C5"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41BBB9B7"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税金及附加</w:t>
            </w:r>
          </w:p>
        </w:tc>
        <w:tc>
          <w:tcPr>
            <w:tcW w:w="963" w:type="pct"/>
            <w:shd w:val="clear" w:color="auto" w:fill="auto"/>
            <w:tcMar>
              <w:top w:w="0" w:type="dxa"/>
              <w:left w:w="108" w:type="dxa"/>
              <w:bottom w:w="0" w:type="dxa"/>
              <w:right w:w="108" w:type="dxa"/>
            </w:tcMar>
            <w:vAlign w:val="center"/>
          </w:tcPr>
          <w:p w14:paraId="59D07A6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1,198.87</w:t>
            </w:r>
          </w:p>
        </w:tc>
        <w:tc>
          <w:tcPr>
            <w:tcW w:w="893" w:type="pct"/>
            <w:shd w:val="clear" w:color="auto" w:fill="auto"/>
            <w:tcMar>
              <w:top w:w="0" w:type="dxa"/>
              <w:left w:w="108" w:type="dxa"/>
              <w:bottom w:w="0" w:type="dxa"/>
              <w:right w:w="108" w:type="dxa"/>
            </w:tcMar>
            <w:vAlign w:val="center"/>
          </w:tcPr>
          <w:p w14:paraId="2DF54C0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1,407.64</w:t>
            </w:r>
          </w:p>
        </w:tc>
        <w:tc>
          <w:tcPr>
            <w:tcW w:w="893" w:type="pct"/>
            <w:shd w:val="clear" w:color="auto" w:fill="auto"/>
            <w:tcMar>
              <w:top w:w="0" w:type="dxa"/>
              <w:left w:w="108" w:type="dxa"/>
              <w:bottom w:w="0" w:type="dxa"/>
              <w:right w:w="108" w:type="dxa"/>
            </w:tcMar>
            <w:vAlign w:val="center"/>
          </w:tcPr>
          <w:p w14:paraId="3671F39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2,267.35</w:t>
            </w:r>
          </w:p>
        </w:tc>
      </w:tr>
      <w:tr w:rsidR="006416B0" w:rsidRPr="00B4515A" w14:paraId="7B5CBD6B"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48DCE237"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销售费用</w:t>
            </w:r>
          </w:p>
        </w:tc>
        <w:tc>
          <w:tcPr>
            <w:tcW w:w="963" w:type="pct"/>
            <w:shd w:val="clear" w:color="auto" w:fill="auto"/>
            <w:tcMar>
              <w:top w:w="0" w:type="dxa"/>
              <w:left w:w="108" w:type="dxa"/>
              <w:bottom w:w="0" w:type="dxa"/>
              <w:right w:w="108" w:type="dxa"/>
            </w:tcMar>
            <w:vAlign w:val="center"/>
          </w:tcPr>
          <w:p w14:paraId="5CDF350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10,477.49</w:t>
            </w:r>
          </w:p>
        </w:tc>
        <w:tc>
          <w:tcPr>
            <w:tcW w:w="893" w:type="pct"/>
            <w:shd w:val="clear" w:color="auto" w:fill="auto"/>
            <w:tcMar>
              <w:top w:w="0" w:type="dxa"/>
              <w:left w:w="108" w:type="dxa"/>
              <w:bottom w:w="0" w:type="dxa"/>
              <w:right w:w="108" w:type="dxa"/>
            </w:tcMar>
            <w:vAlign w:val="center"/>
          </w:tcPr>
          <w:p w14:paraId="7A02B16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13,629.30</w:t>
            </w:r>
          </w:p>
        </w:tc>
        <w:tc>
          <w:tcPr>
            <w:tcW w:w="893" w:type="pct"/>
            <w:shd w:val="clear" w:color="auto" w:fill="auto"/>
            <w:tcMar>
              <w:top w:w="0" w:type="dxa"/>
              <w:left w:w="108" w:type="dxa"/>
              <w:bottom w:w="0" w:type="dxa"/>
              <w:right w:w="108" w:type="dxa"/>
            </w:tcMar>
            <w:vAlign w:val="center"/>
          </w:tcPr>
          <w:p w14:paraId="545C7E0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20,315.44</w:t>
            </w:r>
          </w:p>
        </w:tc>
      </w:tr>
      <w:tr w:rsidR="006416B0" w:rsidRPr="00B4515A" w14:paraId="06A78349"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2FDBA603"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管理费用</w:t>
            </w:r>
          </w:p>
        </w:tc>
        <w:tc>
          <w:tcPr>
            <w:tcW w:w="963" w:type="pct"/>
            <w:shd w:val="clear" w:color="auto" w:fill="auto"/>
            <w:tcMar>
              <w:top w:w="0" w:type="dxa"/>
              <w:left w:w="108" w:type="dxa"/>
              <w:bottom w:w="0" w:type="dxa"/>
              <w:right w:w="108" w:type="dxa"/>
            </w:tcMar>
            <w:vAlign w:val="center"/>
          </w:tcPr>
          <w:p w14:paraId="187C898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29,866.90</w:t>
            </w:r>
          </w:p>
        </w:tc>
        <w:tc>
          <w:tcPr>
            <w:tcW w:w="893" w:type="pct"/>
            <w:shd w:val="clear" w:color="auto" w:fill="auto"/>
            <w:tcMar>
              <w:top w:w="0" w:type="dxa"/>
              <w:left w:w="108" w:type="dxa"/>
              <w:bottom w:w="0" w:type="dxa"/>
              <w:right w:w="108" w:type="dxa"/>
            </w:tcMar>
            <w:vAlign w:val="center"/>
          </w:tcPr>
          <w:p w14:paraId="7CB58C2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33,719.86</w:t>
            </w:r>
          </w:p>
        </w:tc>
        <w:tc>
          <w:tcPr>
            <w:tcW w:w="893" w:type="pct"/>
            <w:shd w:val="clear" w:color="auto" w:fill="auto"/>
            <w:tcMar>
              <w:top w:w="0" w:type="dxa"/>
              <w:left w:w="108" w:type="dxa"/>
              <w:bottom w:w="0" w:type="dxa"/>
              <w:right w:w="108" w:type="dxa"/>
            </w:tcMar>
            <w:vAlign w:val="center"/>
          </w:tcPr>
          <w:p w14:paraId="5BCDF11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68,844.05</w:t>
            </w:r>
          </w:p>
        </w:tc>
      </w:tr>
      <w:tr w:rsidR="006416B0" w:rsidRPr="00B4515A" w14:paraId="5A1505FD"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63643F44"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研发费用</w:t>
            </w:r>
          </w:p>
        </w:tc>
        <w:tc>
          <w:tcPr>
            <w:tcW w:w="963" w:type="pct"/>
            <w:shd w:val="clear" w:color="auto" w:fill="auto"/>
            <w:tcMar>
              <w:top w:w="0" w:type="dxa"/>
              <w:left w:w="108" w:type="dxa"/>
              <w:bottom w:w="0" w:type="dxa"/>
              <w:right w:w="108" w:type="dxa"/>
            </w:tcMar>
            <w:vAlign w:val="center"/>
          </w:tcPr>
          <w:p w14:paraId="17DBF2F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29,357.61</w:t>
            </w:r>
          </w:p>
        </w:tc>
        <w:tc>
          <w:tcPr>
            <w:tcW w:w="893" w:type="pct"/>
            <w:shd w:val="clear" w:color="auto" w:fill="auto"/>
            <w:tcMar>
              <w:top w:w="0" w:type="dxa"/>
              <w:left w:w="108" w:type="dxa"/>
              <w:bottom w:w="0" w:type="dxa"/>
              <w:right w:w="108" w:type="dxa"/>
            </w:tcMar>
            <w:vAlign w:val="center"/>
          </w:tcPr>
          <w:p w14:paraId="6C03B5D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27,458.76</w:t>
            </w:r>
          </w:p>
        </w:tc>
        <w:tc>
          <w:tcPr>
            <w:tcW w:w="893" w:type="pct"/>
            <w:shd w:val="clear" w:color="auto" w:fill="auto"/>
            <w:tcMar>
              <w:top w:w="0" w:type="dxa"/>
              <w:left w:w="108" w:type="dxa"/>
              <w:bottom w:w="0" w:type="dxa"/>
              <w:right w:w="108" w:type="dxa"/>
            </w:tcMar>
            <w:vAlign w:val="center"/>
          </w:tcPr>
          <w:p w14:paraId="6564762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14,507.76</w:t>
            </w:r>
          </w:p>
        </w:tc>
      </w:tr>
      <w:tr w:rsidR="006416B0" w:rsidRPr="00B4515A" w14:paraId="7AE8CA9E"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73939C9D"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财务费用</w:t>
            </w:r>
          </w:p>
        </w:tc>
        <w:tc>
          <w:tcPr>
            <w:tcW w:w="963" w:type="pct"/>
            <w:shd w:val="clear" w:color="auto" w:fill="auto"/>
            <w:tcMar>
              <w:top w:w="0" w:type="dxa"/>
              <w:left w:w="108" w:type="dxa"/>
              <w:bottom w:w="0" w:type="dxa"/>
              <w:right w:w="108" w:type="dxa"/>
            </w:tcMar>
            <w:vAlign w:val="center"/>
          </w:tcPr>
          <w:p w14:paraId="00EC2DD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11,792.45</w:t>
            </w:r>
          </w:p>
        </w:tc>
        <w:tc>
          <w:tcPr>
            <w:tcW w:w="893" w:type="pct"/>
            <w:shd w:val="clear" w:color="auto" w:fill="auto"/>
            <w:tcMar>
              <w:top w:w="0" w:type="dxa"/>
              <w:left w:w="108" w:type="dxa"/>
              <w:bottom w:w="0" w:type="dxa"/>
              <w:right w:w="108" w:type="dxa"/>
            </w:tcMar>
            <w:vAlign w:val="center"/>
          </w:tcPr>
          <w:p w14:paraId="7FA7863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23,366.48</w:t>
            </w:r>
          </w:p>
        </w:tc>
        <w:tc>
          <w:tcPr>
            <w:tcW w:w="893" w:type="pct"/>
            <w:shd w:val="clear" w:color="auto" w:fill="auto"/>
            <w:tcMar>
              <w:top w:w="0" w:type="dxa"/>
              <w:left w:w="108" w:type="dxa"/>
              <w:bottom w:w="0" w:type="dxa"/>
              <w:right w:w="108" w:type="dxa"/>
            </w:tcMar>
            <w:vAlign w:val="center"/>
          </w:tcPr>
          <w:p w14:paraId="58D4E88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27,044.93</w:t>
            </w:r>
          </w:p>
        </w:tc>
      </w:tr>
      <w:tr w:rsidR="006416B0" w:rsidRPr="00B4515A" w14:paraId="06192102"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4FB21838"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其中：利息费用</w:t>
            </w:r>
          </w:p>
        </w:tc>
        <w:tc>
          <w:tcPr>
            <w:tcW w:w="963" w:type="pct"/>
            <w:shd w:val="clear" w:color="auto" w:fill="auto"/>
            <w:tcMar>
              <w:top w:w="0" w:type="dxa"/>
              <w:left w:w="108" w:type="dxa"/>
              <w:bottom w:w="0" w:type="dxa"/>
              <w:right w:w="108" w:type="dxa"/>
            </w:tcMar>
            <w:vAlign w:val="center"/>
          </w:tcPr>
          <w:p w14:paraId="7E57E9E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11,197.32</w:t>
            </w:r>
          </w:p>
        </w:tc>
        <w:tc>
          <w:tcPr>
            <w:tcW w:w="893" w:type="pct"/>
            <w:shd w:val="clear" w:color="auto" w:fill="auto"/>
            <w:tcMar>
              <w:top w:w="0" w:type="dxa"/>
              <w:left w:w="108" w:type="dxa"/>
              <w:bottom w:w="0" w:type="dxa"/>
              <w:right w:w="108" w:type="dxa"/>
            </w:tcMar>
            <w:vAlign w:val="center"/>
          </w:tcPr>
          <w:p w14:paraId="0DB4CFF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23,054.16</w:t>
            </w:r>
          </w:p>
        </w:tc>
        <w:tc>
          <w:tcPr>
            <w:tcW w:w="893" w:type="pct"/>
            <w:shd w:val="clear" w:color="auto" w:fill="auto"/>
            <w:tcMar>
              <w:top w:w="0" w:type="dxa"/>
              <w:left w:w="108" w:type="dxa"/>
              <w:bottom w:w="0" w:type="dxa"/>
              <w:right w:w="108" w:type="dxa"/>
            </w:tcMar>
            <w:vAlign w:val="center"/>
          </w:tcPr>
          <w:p w14:paraId="6C9AB4D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25,554.62</w:t>
            </w:r>
          </w:p>
        </w:tc>
      </w:tr>
      <w:tr w:rsidR="006416B0" w:rsidRPr="00B4515A" w14:paraId="4A533830"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0D140F7D"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减：利息收入</w:t>
            </w:r>
          </w:p>
        </w:tc>
        <w:tc>
          <w:tcPr>
            <w:tcW w:w="963" w:type="pct"/>
            <w:shd w:val="clear" w:color="auto" w:fill="auto"/>
            <w:tcMar>
              <w:top w:w="0" w:type="dxa"/>
              <w:left w:w="108" w:type="dxa"/>
              <w:bottom w:w="0" w:type="dxa"/>
              <w:right w:w="108" w:type="dxa"/>
            </w:tcMar>
            <w:vAlign w:val="center"/>
          </w:tcPr>
          <w:p w14:paraId="55A2E60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276.66</w:t>
            </w:r>
          </w:p>
        </w:tc>
        <w:tc>
          <w:tcPr>
            <w:tcW w:w="893" w:type="pct"/>
            <w:shd w:val="clear" w:color="auto" w:fill="auto"/>
            <w:tcMar>
              <w:top w:w="0" w:type="dxa"/>
              <w:left w:w="108" w:type="dxa"/>
              <w:bottom w:w="0" w:type="dxa"/>
              <w:right w:w="108" w:type="dxa"/>
            </w:tcMar>
            <w:vAlign w:val="center"/>
          </w:tcPr>
          <w:p w14:paraId="655EAC0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278.06</w:t>
            </w:r>
          </w:p>
        </w:tc>
        <w:tc>
          <w:tcPr>
            <w:tcW w:w="893" w:type="pct"/>
            <w:shd w:val="clear" w:color="auto" w:fill="auto"/>
            <w:tcMar>
              <w:top w:w="0" w:type="dxa"/>
              <w:left w:w="108" w:type="dxa"/>
              <w:bottom w:w="0" w:type="dxa"/>
              <w:right w:w="108" w:type="dxa"/>
            </w:tcMar>
            <w:vAlign w:val="center"/>
          </w:tcPr>
          <w:p w14:paraId="7BFA3F1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745.01</w:t>
            </w:r>
          </w:p>
        </w:tc>
      </w:tr>
      <w:tr w:rsidR="006416B0" w:rsidRPr="00B4515A" w14:paraId="5C234629"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759F5364"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加：其他收益</w:t>
            </w:r>
          </w:p>
        </w:tc>
        <w:tc>
          <w:tcPr>
            <w:tcW w:w="963" w:type="pct"/>
            <w:shd w:val="clear" w:color="auto" w:fill="auto"/>
            <w:tcMar>
              <w:top w:w="0" w:type="dxa"/>
              <w:left w:w="108" w:type="dxa"/>
              <w:bottom w:w="0" w:type="dxa"/>
              <w:right w:w="108" w:type="dxa"/>
            </w:tcMar>
            <w:vAlign w:val="center"/>
          </w:tcPr>
          <w:p w14:paraId="7C4F07E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1,691.09</w:t>
            </w:r>
          </w:p>
        </w:tc>
        <w:tc>
          <w:tcPr>
            <w:tcW w:w="893" w:type="pct"/>
            <w:shd w:val="clear" w:color="auto" w:fill="auto"/>
            <w:tcMar>
              <w:top w:w="0" w:type="dxa"/>
              <w:left w:w="108" w:type="dxa"/>
              <w:bottom w:w="0" w:type="dxa"/>
              <w:right w:w="108" w:type="dxa"/>
            </w:tcMar>
            <w:vAlign w:val="center"/>
          </w:tcPr>
          <w:p w14:paraId="7EEE39F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9,691.07</w:t>
            </w:r>
          </w:p>
        </w:tc>
        <w:tc>
          <w:tcPr>
            <w:tcW w:w="893" w:type="pct"/>
            <w:shd w:val="clear" w:color="auto" w:fill="auto"/>
            <w:tcMar>
              <w:top w:w="0" w:type="dxa"/>
              <w:left w:w="108" w:type="dxa"/>
              <w:bottom w:w="0" w:type="dxa"/>
              <w:right w:w="108" w:type="dxa"/>
            </w:tcMar>
            <w:vAlign w:val="center"/>
          </w:tcPr>
          <w:p w14:paraId="1431F8D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5,585.50</w:t>
            </w:r>
          </w:p>
        </w:tc>
      </w:tr>
      <w:tr w:rsidR="006416B0" w:rsidRPr="00B4515A" w14:paraId="6FC5FE76"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504783BC"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投资收益</w:t>
            </w:r>
            <w:r w:rsidRPr="00B4515A">
              <w:rPr>
                <w:rFonts w:ascii="Times New Roman" w:eastAsiaTheme="minorEastAsia" w:cs="Times New Roman" w:hint="eastAsia"/>
                <w:color w:val="000000"/>
                <w:sz w:val="21"/>
                <w:szCs w:val="21"/>
              </w:rPr>
              <w:t>（损失以</w:t>
            </w:r>
            <w:r w:rsidRPr="00B4515A">
              <w:rPr>
                <w:rFonts w:cs="Times New Roman" w:hint="eastAsia"/>
                <w:color w:val="000000"/>
                <w:sz w:val="21"/>
                <w:szCs w:val="21"/>
              </w:rPr>
              <w:t>“</w:t>
            </w:r>
            <w:r w:rsidRPr="00B4515A">
              <w:rPr>
                <w:rFonts w:ascii="Times New Roman" w:eastAsiaTheme="minorEastAsia" w:cs="Times New Roman" w:hint="eastAsia"/>
                <w:color w:val="000000"/>
                <w:sz w:val="21"/>
                <w:szCs w:val="21"/>
              </w:rPr>
              <w:t>－</w:t>
            </w:r>
            <w:r w:rsidRPr="00B4515A">
              <w:rPr>
                <w:rFonts w:cs="Times New Roman" w:hint="eastAsia"/>
                <w:color w:val="000000"/>
                <w:sz w:val="21"/>
                <w:szCs w:val="21"/>
              </w:rPr>
              <w:t>”</w:t>
            </w:r>
            <w:r w:rsidRPr="00B4515A">
              <w:rPr>
                <w:rFonts w:ascii="Times New Roman" w:eastAsiaTheme="minorEastAsia" w:cs="Times New Roman" w:hint="eastAsia"/>
                <w:color w:val="000000"/>
                <w:sz w:val="21"/>
                <w:szCs w:val="21"/>
              </w:rPr>
              <w:t>号填列）</w:t>
            </w:r>
          </w:p>
        </w:tc>
        <w:tc>
          <w:tcPr>
            <w:tcW w:w="963" w:type="pct"/>
            <w:shd w:val="clear" w:color="auto" w:fill="auto"/>
            <w:tcMar>
              <w:top w:w="0" w:type="dxa"/>
              <w:left w:w="108" w:type="dxa"/>
              <w:bottom w:w="0" w:type="dxa"/>
              <w:right w:w="108" w:type="dxa"/>
            </w:tcMar>
            <w:vAlign w:val="center"/>
          </w:tcPr>
          <w:p w14:paraId="6295B24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3,017.13</w:t>
            </w:r>
          </w:p>
        </w:tc>
        <w:tc>
          <w:tcPr>
            <w:tcW w:w="893" w:type="pct"/>
            <w:shd w:val="clear" w:color="auto" w:fill="auto"/>
            <w:tcMar>
              <w:top w:w="0" w:type="dxa"/>
              <w:left w:w="108" w:type="dxa"/>
              <w:bottom w:w="0" w:type="dxa"/>
              <w:right w:w="108" w:type="dxa"/>
            </w:tcMar>
            <w:vAlign w:val="center"/>
          </w:tcPr>
          <w:p w14:paraId="23E4B4E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-18,874.77</w:t>
            </w:r>
          </w:p>
        </w:tc>
        <w:tc>
          <w:tcPr>
            <w:tcW w:w="893" w:type="pct"/>
            <w:shd w:val="clear" w:color="auto" w:fill="auto"/>
            <w:tcMar>
              <w:top w:w="0" w:type="dxa"/>
              <w:left w:w="108" w:type="dxa"/>
              <w:bottom w:w="0" w:type="dxa"/>
              <w:right w:w="108" w:type="dxa"/>
            </w:tcMar>
            <w:vAlign w:val="center"/>
          </w:tcPr>
          <w:p w14:paraId="17FD698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86,454.81</w:t>
            </w:r>
          </w:p>
        </w:tc>
      </w:tr>
      <w:tr w:rsidR="006416B0" w:rsidRPr="00B4515A" w14:paraId="628492B3"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19BFEB55"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其中：对联营企业和合营企业的投资收益</w:t>
            </w:r>
          </w:p>
        </w:tc>
        <w:tc>
          <w:tcPr>
            <w:tcW w:w="963" w:type="pct"/>
            <w:shd w:val="clear" w:color="auto" w:fill="auto"/>
            <w:tcMar>
              <w:top w:w="0" w:type="dxa"/>
              <w:left w:w="108" w:type="dxa"/>
              <w:bottom w:w="0" w:type="dxa"/>
              <w:right w:w="108" w:type="dxa"/>
            </w:tcMar>
            <w:vAlign w:val="center"/>
          </w:tcPr>
          <w:p w14:paraId="72B3D61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-12,491.40</w:t>
            </w:r>
          </w:p>
        </w:tc>
        <w:tc>
          <w:tcPr>
            <w:tcW w:w="893" w:type="pct"/>
            <w:shd w:val="clear" w:color="auto" w:fill="auto"/>
            <w:tcMar>
              <w:top w:w="0" w:type="dxa"/>
              <w:left w:w="108" w:type="dxa"/>
              <w:bottom w:w="0" w:type="dxa"/>
              <w:right w:w="108" w:type="dxa"/>
            </w:tcMar>
            <w:vAlign w:val="center"/>
          </w:tcPr>
          <w:p w14:paraId="78295C1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-18,885.33</w:t>
            </w:r>
          </w:p>
        </w:tc>
        <w:tc>
          <w:tcPr>
            <w:tcW w:w="893" w:type="pct"/>
            <w:shd w:val="clear" w:color="auto" w:fill="auto"/>
            <w:tcMar>
              <w:top w:w="0" w:type="dxa"/>
              <w:left w:w="108" w:type="dxa"/>
              <w:bottom w:w="0" w:type="dxa"/>
              <w:right w:w="108" w:type="dxa"/>
            </w:tcMar>
            <w:vAlign w:val="center"/>
          </w:tcPr>
          <w:p w14:paraId="65BEC47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-8,999.37</w:t>
            </w:r>
          </w:p>
        </w:tc>
      </w:tr>
      <w:tr w:rsidR="006416B0" w:rsidRPr="00B4515A" w14:paraId="3CC70171"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12FCCC13"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资产减值损失</w:t>
            </w:r>
            <w:r w:rsidRPr="00B4515A">
              <w:rPr>
                <w:rFonts w:asciiTheme="minorEastAsia" w:eastAsiaTheme="minorEastAsia" w:hAnsiTheme="minorEastAsia" w:hint="eastAsia"/>
                <w:sz w:val="21"/>
                <w:szCs w:val="21"/>
              </w:rPr>
              <w:t>（损失以</w:t>
            </w:r>
            <w:r w:rsidRPr="00B4515A">
              <w:rPr>
                <w:rFonts w:hint="eastAsia"/>
                <w:sz w:val="21"/>
                <w:szCs w:val="21"/>
              </w:rPr>
              <w:t>“</w:t>
            </w:r>
            <w:r w:rsidRPr="00B4515A">
              <w:rPr>
                <w:rFonts w:asciiTheme="minorEastAsia" w:eastAsiaTheme="minorEastAsia" w:hAnsiTheme="minorEastAsia"/>
                <w:sz w:val="21"/>
                <w:szCs w:val="21"/>
              </w:rPr>
              <w:t>-</w:t>
            </w:r>
            <w:r w:rsidRPr="00B4515A">
              <w:rPr>
                <w:sz w:val="21"/>
                <w:szCs w:val="21"/>
              </w:rPr>
              <w:t>”</w:t>
            </w:r>
            <w:r w:rsidRPr="00B4515A">
              <w:rPr>
                <w:rFonts w:asciiTheme="minorEastAsia" w:eastAsiaTheme="minorEastAsia" w:hAnsiTheme="minorEastAsia"/>
                <w:sz w:val="21"/>
                <w:szCs w:val="21"/>
              </w:rPr>
              <w:t>号填列）</w:t>
            </w:r>
          </w:p>
        </w:tc>
        <w:tc>
          <w:tcPr>
            <w:tcW w:w="963" w:type="pct"/>
            <w:shd w:val="clear" w:color="auto" w:fill="auto"/>
            <w:tcMar>
              <w:top w:w="0" w:type="dxa"/>
              <w:left w:w="108" w:type="dxa"/>
              <w:bottom w:w="0" w:type="dxa"/>
              <w:right w:w="108" w:type="dxa"/>
            </w:tcMar>
            <w:vAlign w:val="center"/>
          </w:tcPr>
          <w:p w14:paraId="072DAFB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-84,011.89</w:t>
            </w:r>
          </w:p>
        </w:tc>
        <w:tc>
          <w:tcPr>
            <w:tcW w:w="893" w:type="pct"/>
            <w:shd w:val="clear" w:color="auto" w:fill="auto"/>
            <w:tcMar>
              <w:top w:w="0" w:type="dxa"/>
              <w:left w:w="108" w:type="dxa"/>
              <w:bottom w:w="0" w:type="dxa"/>
              <w:right w:w="108" w:type="dxa"/>
            </w:tcMar>
            <w:vAlign w:val="center"/>
          </w:tcPr>
          <w:p w14:paraId="7EBB163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-19,934.88</w:t>
            </w:r>
          </w:p>
        </w:tc>
        <w:tc>
          <w:tcPr>
            <w:tcW w:w="893" w:type="pct"/>
            <w:shd w:val="clear" w:color="auto" w:fill="auto"/>
            <w:tcMar>
              <w:top w:w="0" w:type="dxa"/>
              <w:left w:w="108" w:type="dxa"/>
              <w:bottom w:w="0" w:type="dxa"/>
              <w:right w:w="108" w:type="dxa"/>
            </w:tcMar>
            <w:vAlign w:val="center"/>
          </w:tcPr>
          <w:p w14:paraId="6A50E75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29,000.63</w:t>
            </w:r>
          </w:p>
        </w:tc>
      </w:tr>
      <w:tr w:rsidR="006416B0" w:rsidRPr="00B4515A" w14:paraId="5C82BC85"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398F1EEC"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信用减值损失</w:t>
            </w:r>
            <w:r w:rsidRPr="00B4515A">
              <w:rPr>
                <w:rFonts w:asciiTheme="minorEastAsia" w:eastAsiaTheme="minorEastAsia" w:hAnsiTheme="minorEastAsia" w:hint="eastAsia"/>
                <w:sz w:val="21"/>
                <w:szCs w:val="21"/>
              </w:rPr>
              <w:t>（损失以</w:t>
            </w:r>
            <w:r w:rsidRPr="00B4515A">
              <w:rPr>
                <w:rFonts w:hint="eastAsia"/>
                <w:sz w:val="21"/>
                <w:szCs w:val="21"/>
              </w:rPr>
              <w:t>“</w:t>
            </w:r>
            <w:r w:rsidRPr="00B4515A">
              <w:rPr>
                <w:rFonts w:asciiTheme="minorEastAsia" w:eastAsiaTheme="minorEastAsia" w:hAnsiTheme="minorEastAsia"/>
                <w:sz w:val="21"/>
                <w:szCs w:val="21"/>
              </w:rPr>
              <w:t>-</w:t>
            </w:r>
            <w:r w:rsidRPr="00B4515A">
              <w:rPr>
                <w:sz w:val="21"/>
                <w:szCs w:val="21"/>
              </w:rPr>
              <w:t>”</w:t>
            </w:r>
            <w:r w:rsidRPr="00B4515A">
              <w:rPr>
                <w:rFonts w:asciiTheme="minorEastAsia" w:eastAsiaTheme="minorEastAsia" w:hAnsiTheme="minorEastAsia"/>
                <w:sz w:val="21"/>
                <w:szCs w:val="21"/>
              </w:rPr>
              <w:t>号填列）</w:t>
            </w:r>
          </w:p>
        </w:tc>
        <w:tc>
          <w:tcPr>
            <w:tcW w:w="963" w:type="pct"/>
            <w:shd w:val="clear" w:color="auto" w:fill="auto"/>
            <w:tcMar>
              <w:top w:w="0" w:type="dxa"/>
              <w:left w:w="108" w:type="dxa"/>
              <w:bottom w:w="0" w:type="dxa"/>
              <w:right w:w="108" w:type="dxa"/>
            </w:tcMar>
            <w:vAlign w:val="center"/>
          </w:tcPr>
          <w:p w14:paraId="42A2198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-37,007.47</w:t>
            </w:r>
          </w:p>
        </w:tc>
        <w:tc>
          <w:tcPr>
            <w:tcW w:w="893" w:type="pct"/>
            <w:shd w:val="clear" w:color="auto" w:fill="auto"/>
            <w:tcMar>
              <w:top w:w="0" w:type="dxa"/>
              <w:left w:w="108" w:type="dxa"/>
              <w:bottom w:w="0" w:type="dxa"/>
              <w:right w:w="108" w:type="dxa"/>
            </w:tcMar>
            <w:vAlign w:val="center"/>
          </w:tcPr>
          <w:p w14:paraId="5FBA290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-5,168.25</w:t>
            </w:r>
          </w:p>
        </w:tc>
        <w:tc>
          <w:tcPr>
            <w:tcW w:w="893" w:type="pct"/>
            <w:shd w:val="clear" w:color="auto" w:fill="auto"/>
            <w:tcMar>
              <w:top w:w="0" w:type="dxa"/>
              <w:left w:w="108" w:type="dxa"/>
              <w:bottom w:w="0" w:type="dxa"/>
              <w:right w:w="108" w:type="dxa"/>
            </w:tcMar>
            <w:vAlign w:val="center"/>
          </w:tcPr>
          <w:p w14:paraId="03C5F633" w14:textId="73FFC0CA" w:rsidR="006416B0" w:rsidRPr="00B4515A" w:rsidRDefault="004570C2"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w:t>
            </w:r>
          </w:p>
        </w:tc>
      </w:tr>
      <w:tr w:rsidR="006416B0" w:rsidRPr="00B4515A" w14:paraId="1075ECF2"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1E872AC9"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资产处置收益</w:t>
            </w:r>
            <w:r w:rsidRPr="00B4515A">
              <w:rPr>
                <w:rFonts w:asciiTheme="minorEastAsia" w:eastAsiaTheme="minorEastAsia" w:hAnsiTheme="minorEastAsia" w:hint="eastAsia"/>
                <w:sz w:val="21"/>
                <w:szCs w:val="21"/>
              </w:rPr>
              <w:t>（损失以</w:t>
            </w:r>
            <w:r w:rsidRPr="00B4515A">
              <w:rPr>
                <w:rFonts w:hint="eastAsia"/>
                <w:sz w:val="21"/>
                <w:szCs w:val="21"/>
              </w:rPr>
              <w:t>“</w:t>
            </w:r>
            <w:r w:rsidRPr="00B4515A">
              <w:rPr>
                <w:rFonts w:asciiTheme="minorEastAsia" w:eastAsiaTheme="minorEastAsia" w:hAnsiTheme="minorEastAsia" w:hint="eastAsia"/>
                <w:sz w:val="21"/>
                <w:szCs w:val="21"/>
              </w:rPr>
              <w:t>－</w:t>
            </w:r>
            <w:r w:rsidRPr="00B4515A">
              <w:rPr>
                <w:rFonts w:hint="eastAsia"/>
                <w:sz w:val="21"/>
                <w:szCs w:val="21"/>
              </w:rPr>
              <w:t>”</w:t>
            </w:r>
            <w:r w:rsidRPr="00B4515A">
              <w:rPr>
                <w:rFonts w:asciiTheme="minorEastAsia" w:eastAsiaTheme="minorEastAsia" w:hAnsiTheme="minorEastAsia" w:hint="eastAsia"/>
                <w:sz w:val="21"/>
                <w:szCs w:val="21"/>
              </w:rPr>
              <w:t>号填列）</w:t>
            </w:r>
          </w:p>
        </w:tc>
        <w:tc>
          <w:tcPr>
            <w:tcW w:w="963" w:type="pct"/>
            <w:shd w:val="clear" w:color="auto" w:fill="auto"/>
            <w:tcMar>
              <w:top w:w="0" w:type="dxa"/>
              <w:left w:w="108" w:type="dxa"/>
              <w:bottom w:w="0" w:type="dxa"/>
              <w:right w:w="108" w:type="dxa"/>
            </w:tcMar>
            <w:vAlign w:val="center"/>
          </w:tcPr>
          <w:p w14:paraId="42812D2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49.24</w:t>
            </w:r>
          </w:p>
        </w:tc>
        <w:tc>
          <w:tcPr>
            <w:tcW w:w="893" w:type="pct"/>
            <w:shd w:val="clear" w:color="auto" w:fill="auto"/>
            <w:tcMar>
              <w:top w:w="0" w:type="dxa"/>
              <w:left w:w="108" w:type="dxa"/>
              <w:bottom w:w="0" w:type="dxa"/>
              <w:right w:w="108" w:type="dxa"/>
            </w:tcMar>
            <w:vAlign w:val="center"/>
          </w:tcPr>
          <w:p w14:paraId="70ADD34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-28.92</w:t>
            </w:r>
          </w:p>
        </w:tc>
        <w:tc>
          <w:tcPr>
            <w:tcW w:w="893" w:type="pct"/>
            <w:shd w:val="clear" w:color="auto" w:fill="auto"/>
            <w:tcMar>
              <w:top w:w="0" w:type="dxa"/>
              <w:left w:w="108" w:type="dxa"/>
              <w:bottom w:w="0" w:type="dxa"/>
              <w:right w:w="108" w:type="dxa"/>
            </w:tcMar>
            <w:vAlign w:val="center"/>
          </w:tcPr>
          <w:p w14:paraId="578E7D9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67,909.27</w:t>
            </w:r>
          </w:p>
        </w:tc>
      </w:tr>
      <w:tr w:rsidR="006416B0" w:rsidRPr="00B4515A" w14:paraId="0BDAA999"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170FAB86"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三、营业利润（亏损以</w:t>
            </w:r>
            <w:r w:rsidRPr="00B4515A">
              <w:rPr>
                <w:rFonts w:cs="Times New Roman" w:hint="eastAsia"/>
                <w:color w:val="000000"/>
                <w:sz w:val="21"/>
                <w:szCs w:val="21"/>
              </w:rPr>
              <w:t>“</w:t>
            </w:r>
            <w:r w:rsidRPr="00B4515A">
              <w:rPr>
                <w:rFonts w:ascii="Times New Roman" w:eastAsiaTheme="minorEastAsia" w:cs="Times New Roman" w:hint="eastAsia"/>
                <w:color w:val="000000"/>
                <w:sz w:val="21"/>
                <w:szCs w:val="21"/>
              </w:rPr>
              <w:t>－</w:t>
            </w:r>
            <w:r w:rsidRPr="00B4515A">
              <w:rPr>
                <w:rFonts w:cs="Times New Roman" w:hint="eastAsia"/>
                <w:color w:val="000000"/>
                <w:sz w:val="21"/>
                <w:szCs w:val="21"/>
              </w:rPr>
              <w:t>”</w:t>
            </w:r>
            <w:r w:rsidRPr="00B4515A">
              <w:rPr>
                <w:rFonts w:ascii="Times New Roman" w:eastAsiaTheme="minorEastAsia" w:cs="Times New Roman" w:hint="eastAsia"/>
                <w:color w:val="000000"/>
                <w:sz w:val="21"/>
                <w:szCs w:val="21"/>
              </w:rPr>
              <w:t>号填列）</w:t>
            </w:r>
          </w:p>
        </w:tc>
        <w:tc>
          <w:tcPr>
            <w:tcW w:w="963" w:type="pct"/>
            <w:shd w:val="clear" w:color="auto" w:fill="auto"/>
            <w:tcMar>
              <w:top w:w="0" w:type="dxa"/>
              <w:left w:w="108" w:type="dxa"/>
              <w:bottom w:w="0" w:type="dxa"/>
              <w:right w:w="108" w:type="dxa"/>
            </w:tcMar>
            <w:vAlign w:val="center"/>
          </w:tcPr>
          <w:p w14:paraId="4F34029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-160,274.33</w:t>
            </w:r>
          </w:p>
        </w:tc>
        <w:tc>
          <w:tcPr>
            <w:tcW w:w="893" w:type="pct"/>
            <w:shd w:val="clear" w:color="auto" w:fill="auto"/>
            <w:tcMar>
              <w:top w:w="0" w:type="dxa"/>
              <w:left w:w="108" w:type="dxa"/>
              <w:bottom w:w="0" w:type="dxa"/>
              <w:right w:w="108" w:type="dxa"/>
            </w:tcMar>
            <w:vAlign w:val="center"/>
          </w:tcPr>
          <w:p w14:paraId="1953CBD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-93,942.21</w:t>
            </w:r>
          </w:p>
        </w:tc>
        <w:tc>
          <w:tcPr>
            <w:tcW w:w="893" w:type="pct"/>
            <w:shd w:val="clear" w:color="auto" w:fill="auto"/>
            <w:tcMar>
              <w:top w:w="0" w:type="dxa"/>
              <w:left w:w="108" w:type="dxa"/>
              <w:bottom w:w="0" w:type="dxa"/>
              <w:right w:w="108" w:type="dxa"/>
            </w:tcMar>
            <w:vAlign w:val="center"/>
          </w:tcPr>
          <w:p w14:paraId="3EC0F74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57,150.66</w:t>
            </w:r>
          </w:p>
        </w:tc>
      </w:tr>
      <w:tr w:rsidR="006416B0" w:rsidRPr="00B4515A" w14:paraId="12716E97"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5EA90768"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加：营业外收入</w:t>
            </w:r>
          </w:p>
        </w:tc>
        <w:tc>
          <w:tcPr>
            <w:tcW w:w="963" w:type="pct"/>
            <w:shd w:val="clear" w:color="auto" w:fill="auto"/>
            <w:tcMar>
              <w:top w:w="0" w:type="dxa"/>
              <w:left w:w="108" w:type="dxa"/>
              <w:bottom w:w="0" w:type="dxa"/>
              <w:right w:w="108" w:type="dxa"/>
            </w:tcMar>
            <w:vAlign w:val="center"/>
          </w:tcPr>
          <w:p w14:paraId="158DFCC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607.75</w:t>
            </w:r>
          </w:p>
        </w:tc>
        <w:tc>
          <w:tcPr>
            <w:tcW w:w="893" w:type="pct"/>
            <w:shd w:val="clear" w:color="auto" w:fill="auto"/>
            <w:tcMar>
              <w:top w:w="0" w:type="dxa"/>
              <w:left w:w="108" w:type="dxa"/>
              <w:bottom w:w="0" w:type="dxa"/>
              <w:right w:w="108" w:type="dxa"/>
            </w:tcMar>
            <w:vAlign w:val="center"/>
          </w:tcPr>
          <w:p w14:paraId="0327D3B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1,899.69</w:t>
            </w:r>
          </w:p>
        </w:tc>
        <w:tc>
          <w:tcPr>
            <w:tcW w:w="893" w:type="pct"/>
            <w:shd w:val="clear" w:color="auto" w:fill="auto"/>
            <w:tcMar>
              <w:top w:w="0" w:type="dxa"/>
              <w:left w:w="108" w:type="dxa"/>
              <w:bottom w:w="0" w:type="dxa"/>
              <w:right w:w="108" w:type="dxa"/>
            </w:tcMar>
            <w:vAlign w:val="center"/>
          </w:tcPr>
          <w:p w14:paraId="29F0B58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358.69</w:t>
            </w:r>
          </w:p>
        </w:tc>
      </w:tr>
      <w:tr w:rsidR="006416B0" w:rsidRPr="00B4515A" w14:paraId="5F7AD8D6"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24AC6036"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减：营业外支出</w:t>
            </w:r>
          </w:p>
        </w:tc>
        <w:tc>
          <w:tcPr>
            <w:tcW w:w="963" w:type="pct"/>
            <w:shd w:val="clear" w:color="auto" w:fill="auto"/>
            <w:tcMar>
              <w:top w:w="0" w:type="dxa"/>
              <w:left w:w="108" w:type="dxa"/>
              <w:bottom w:w="0" w:type="dxa"/>
              <w:right w:w="108" w:type="dxa"/>
            </w:tcMar>
            <w:vAlign w:val="center"/>
          </w:tcPr>
          <w:p w14:paraId="03F3CAC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9,126.89</w:t>
            </w:r>
          </w:p>
        </w:tc>
        <w:tc>
          <w:tcPr>
            <w:tcW w:w="893" w:type="pct"/>
            <w:shd w:val="clear" w:color="auto" w:fill="auto"/>
            <w:tcMar>
              <w:top w:w="0" w:type="dxa"/>
              <w:left w:w="108" w:type="dxa"/>
              <w:bottom w:w="0" w:type="dxa"/>
              <w:right w:w="108" w:type="dxa"/>
            </w:tcMar>
            <w:vAlign w:val="center"/>
          </w:tcPr>
          <w:p w14:paraId="3AB772B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5,609.35</w:t>
            </w:r>
          </w:p>
        </w:tc>
        <w:tc>
          <w:tcPr>
            <w:tcW w:w="893" w:type="pct"/>
            <w:shd w:val="clear" w:color="auto" w:fill="auto"/>
            <w:tcMar>
              <w:top w:w="0" w:type="dxa"/>
              <w:left w:w="108" w:type="dxa"/>
              <w:bottom w:w="0" w:type="dxa"/>
              <w:right w:w="108" w:type="dxa"/>
            </w:tcMar>
            <w:vAlign w:val="center"/>
          </w:tcPr>
          <w:p w14:paraId="2AB7927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106.72</w:t>
            </w:r>
          </w:p>
        </w:tc>
      </w:tr>
      <w:tr w:rsidR="006416B0" w:rsidRPr="00B4515A" w14:paraId="277D5314"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06DD8261"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lastRenderedPageBreak/>
              <w:t>四、利润总额（亏损总额以</w:t>
            </w:r>
            <w:r w:rsidRPr="00B4515A">
              <w:rPr>
                <w:rFonts w:cs="Times New Roman" w:hint="eastAsia"/>
                <w:color w:val="000000"/>
                <w:sz w:val="21"/>
                <w:szCs w:val="21"/>
              </w:rPr>
              <w:t>“</w:t>
            </w:r>
            <w:r w:rsidRPr="00B4515A">
              <w:rPr>
                <w:rFonts w:ascii="Times New Roman" w:eastAsiaTheme="minorEastAsia" w:cs="Times New Roman" w:hint="eastAsia"/>
                <w:color w:val="000000"/>
                <w:sz w:val="21"/>
                <w:szCs w:val="21"/>
              </w:rPr>
              <w:t>－</w:t>
            </w:r>
            <w:r w:rsidRPr="00B4515A">
              <w:rPr>
                <w:rFonts w:cs="Times New Roman" w:hint="eastAsia"/>
                <w:color w:val="000000"/>
                <w:sz w:val="21"/>
                <w:szCs w:val="21"/>
              </w:rPr>
              <w:t>”</w:t>
            </w:r>
            <w:r w:rsidRPr="00B4515A">
              <w:rPr>
                <w:rFonts w:ascii="Times New Roman" w:eastAsiaTheme="minorEastAsia" w:cs="Times New Roman" w:hint="eastAsia"/>
                <w:color w:val="000000"/>
                <w:sz w:val="21"/>
                <w:szCs w:val="21"/>
              </w:rPr>
              <w:t>号填列）</w:t>
            </w:r>
          </w:p>
        </w:tc>
        <w:tc>
          <w:tcPr>
            <w:tcW w:w="963" w:type="pct"/>
            <w:shd w:val="clear" w:color="auto" w:fill="auto"/>
            <w:tcMar>
              <w:top w:w="0" w:type="dxa"/>
              <w:left w:w="108" w:type="dxa"/>
              <w:bottom w:w="0" w:type="dxa"/>
              <w:right w:w="108" w:type="dxa"/>
            </w:tcMar>
            <w:vAlign w:val="center"/>
          </w:tcPr>
          <w:p w14:paraId="7ADF87A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-168,793.47</w:t>
            </w:r>
          </w:p>
        </w:tc>
        <w:tc>
          <w:tcPr>
            <w:tcW w:w="893" w:type="pct"/>
            <w:shd w:val="clear" w:color="auto" w:fill="auto"/>
            <w:tcMar>
              <w:top w:w="0" w:type="dxa"/>
              <w:left w:w="108" w:type="dxa"/>
              <w:bottom w:w="0" w:type="dxa"/>
              <w:right w:w="108" w:type="dxa"/>
            </w:tcMar>
            <w:vAlign w:val="center"/>
          </w:tcPr>
          <w:p w14:paraId="6C63BEE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-97,651.87</w:t>
            </w:r>
          </w:p>
        </w:tc>
        <w:tc>
          <w:tcPr>
            <w:tcW w:w="893" w:type="pct"/>
            <w:shd w:val="clear" w:color="auto" w:fill="auto"/>
            <w:tcMar>
              <w:top w:w="0" w:type="dxa"/>
              <w:left w:w="108" w:type="dxa"/>
              <w:bottom w:w="0" w:type="dxa"/>
              <w:right w:w="108" w:type="dxa"/>
            </w:tcMar>
            <w:vAlign w:val="center"/>
          </w:tcPr>
          <w:p w14:paraId="49A058D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57,402.63</w:t>
            </w:r>
          </w:p>
        </w:tc>
      </w:tr>
      <w:tr w:rsidR="006416B0" w:rsidRPr="00B4515A" w14:paraId="79C6F6BA"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0DE8DC5E"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减：所得税</w:t>
            </w:r>
          </w:p>
        </w:tc>
        <w:tc>
          <w:tcPr>
            <w:tcW w:w="963" w:type="pct"/>
            <w:shd w:val="clear" w:color="auto" w:fill="auto"/>
            <w:tcMar>
              <w:top w:w="0" w:type="dxa"/>
              <w:left w:w="108" w:type="dxa"/>
              <w:bottom w:w="0" w:type="dxa"/>
              <w:right w:w="108" w:type="dxa"/>
            </w:tcMar>
            <w:vAlign w:val="center"/>
          </w:tcPr>
          <w:p w14:paraId="395ABB2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4,969.93</w:t>
            </w:r>
          </w:p>
        </w:tc>
        <w:tc>
          <w:tcPr>
            <w:tcW w:w="893" w:type="pct"/>
            <w:shd w:val="clear" w:color="auto" w:fill="auto"/>
            <w:tcMar>
              <w:top w:w="0" w:type="dxa"/>
              <w:left w:w="108" w:type="dxa"/>
              <w:bottom w:w="0" w:type="dxa"/>
              <w:right w:w="108" w:type="dxa"/>
            </w:tcMar>
            <w:vAlign w:val="center"/>
          </w:tcPr>
          <w:p w14:paraId="68CB433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1,803.55</w:t>
            </w:r>
          </w:p>
        </w:tc>
        <w:tc>
          <w:tcPr>
            <w:tcW w:w="893" w:type="pct"/>
            <w:shd w:val="clear" w:color="auto" w:fill="auto"/>
            <w:tcMar>
              <w:top w:w="0" w:type="dxa"/>
              <w:left w:w="108" w:type="dxa"/>
              <w:bottom w:w="0" w:type="dxa"/>
              <w:right w:w="108" w:type="dxa"/>
            </w:tcMar>
            <w:vAlign w:val="center"/>
          </w:tcPr>
          <w:p w14:paraId="58DEE36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1,869.99</w:t>
            </w:r>
          </w:p>
        </w:tc>
      </w:tr>
      <w:tr w:rsidR="006416B0" w:rsidRPr="00B4515A" w14:paraId="1C1CBB4B"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60F437A0"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五、净利润（净亏损以</w:t>
            </w:r>
            <w:r w:rsidRPr="00B4515A">
              <w:rPr>
                <w:rFonts w:cs="Times New Roman" w:hint="eastAsia"/>
                <w:color w:val="000000"/>
                <w:sz w:val="21"/>
                <w:szCs w:val="21"/>
              </w:rPr>
              <w:t>“</w:t>
            </w:r>
            <w:r w:rsidRPr="00B4515A">
              <w:rPr>
                <w:rFonts w:ascii="Times New Roman" w:eastAsiaTheme="minorEastAsia" w:cs="Times New Roman" w:hint="eastAsia"/>
                <w:color w:val="000000"/>
                <w:sz w:val="21"/>
                <w:szCs w:val="21"/>
              </w:rPr>
              <w:t>－</w:t>
            </w:r>
            <w:r w:rsidRPr="00B4515A">
              <w:rPr>
                <w:rFonts w:cs="Times New Roman" w:hint="eastAsia"/>
                <w:color w:val="000000"/>
                <w:sz w:val="21"/>
                <w:szCs w:val="21"/>
              </w:rPr>
              <w:t>”</w:t>
            </w:r>
            <w:r w:rsidRPr="00B4515A">
              <w:rPr>
                <w:rFonts w:ascii="Times New Roman" w:eastAsiaTheme="minorEastAsia" w:cs="Times New Roman" w:hint="eastAsia"/>
                <w:color w:val="000000"/>
                <w:sz w:val="21"/>
                <w:szCs w:val="21"/>
              </w:rPr>
              <w:t>号填列）</w:t>
            </w:r>
          </w:p>
        </w:tc>
        <w:tc>
          <w:tcPr>
            <w:tcW w:w="963" w:type="pct"/>
            <w:shd w:val="clear" w:color="auto" w:fill="auto"/>
            <w:tcMar>
              <w:top w:w="0" w:type="dxa"/>
              <w:left w:w="108" w:type="dxa"/>
              <w:bottom w:w="0" w:type="dxa"/>
              <w:right w:w="108" w:type="dxa"/>
            </w:tcMar>
            <w:vAlign w:val="center"/>
          </w:tcPr>
          <w:p w14:paraId="1406F14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-173,763.40</w:t>
            </w:r>
          </w:p>
        </w:tc>
        <w:tc>
          <w:tcPr>
            <w:tcW w:w="893" w:type="pct"/>
            <w:shd w:val="clear" w:color="auto" w:fill="auto"/>
            <w:tcMar>
              <w:top w:w="0" w:type="dxa"/>
              <w:left w:w="108" w:type="dxa"/>
              <w:bottom w:w="0" w:type="dxa"/>
              <w:right w:w="108" w:type="dxa"/>
            </w:tcMar>
            <w:vAlign w:val="center"/>
          </w:tcPr>
          <w:p w14:paraId="6963302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-99,455.42</w:t>
            </w:r>
          </w:p>
        </w:tc>
        <w:tc>
          <w:tcPr>
            <w:tcW w:w="893" w:type="pct"/>
            <w:shd w:val="clear" w:color="auto" w:fill="auto"/>
            <w:tcMar>
              <w:top w:w="0" w:type="dxa"/>
              <w:left w:w="108" w:type="dxa"/>
              <w:bottom w:w="0" w:type="dxa"/>
              <w:right w:w="108" w:type="dxa"/>
            </w:tcMar>
            <w:vAlign w:val="center"/>
          </w:tcPr>
          <w:p w14:paraId="1D3BD9B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55,532.64</w:t>
            </w:r>
          </w:p>
        </w:tc>
      </w:tr>
      <w:tr w:rsidR="006416B0" w:rsidRPr="00B4515A" w14:paraId="3805752C"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1549F65A"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（一）按经营持续性分类</w:t>
            </w:r>
          </w:p>
        </w:tc>
        <w:tc>
          <w:tcPr>
            <w:tcW w:w="963" w:type="pct"/>
            <w:shd w:val="clear" w:color="auto" w:fill="auto"/>
            <w:tcMar>
              <w:top w:w="0" w:type="dxa"/>
              <w:left w:w="108" w:type="dxa"/>
              <w:bottom w:w="0" w:type="dxa"/>
              <w:right w:w="108" w:type="dxa"/>
            </w:tcMar>
            <w:vAlign w:val="center"/>
          </w:tcPr>
          <w:p w14:paraId="517CA6D2"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893" w:type="pct"/>
            <w:shd w:val="clear" w:color="auto" w:fill="auto"/>
            <w:tcMar>
              <w:top w:w="0" w:type="dxa"/>
              <w:left w:w="108" w:type="dxa"/>
              <w:bottom w:w="0" w:type="dxa"/>
              <w:right w:w="108" w:type="dxa"/>
            </w:tcMar>
            <w:vAlign w:val="center"/>
          </w:tcPr>
          <w:p w14:paraId="3618B51C"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893" w:type="pct"/>
            <w:shd w:val="clear" w:color="auto" w:fill="auto"/>
            <w:tcMar>
              <w:top w:w="0" w:type="dxa"/>
              <w:left w:w="108" w:type="dxa"/>
              <w:bottom w:w="0" w:type="dxa"/>
              <w:right w:w="108" w:type="dxa"/>
            </w:tcMar>
            <w:vAlign w:val="center"/>
          </w:tcPr>
          <w:p w14:paraId="6CE8BF72"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r>
      <w:tr w:rsidR="006416B0" w:rsidRPr="00B4515A" w14:paraId="5CA578F3"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446CDD18"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持续经营净利润</w:t>
            </w:r>
          </w:p>
        </w:tc>
        <w:tc>
          <w:tcPr>
            <w:tcW w:w="963" w:type="pct"/>
            <w:shd w:val="clear" w:color="auto" w:fill="auto"/>
            <w:tcMar>
              <w:top w:w="0" w:type="dxa"/>
              <w:left w:w="108" w:type="dxa"/>
              <w:bottom w:w="0" w:type="dxa"/>
              <w:right w:w="108" w:type="dxa"/>
            </w:tcMar>
            <w:vAlign w:val="center"/>
          </w:tcPr>
          <w:p w14:paraId="1F6ABFD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-173,763.40</w:t>
            </w:r>
          </w:p>
        </w:tc>
        <w:tc>
          <w:tcPr>
            <w:tcW w:w="893" w:type="pct"/>
            <w:shd w:val="clear" w:color="auto" w:fill="auto"/>
            <w:tcMar>
              <w:top w:w="0" w:type="dxa"/>
              <w:left w:w="108" w:type="dxa"/>
              <w:bottom w:w="0" w:type="dxa"/>
              <w:right w:w="108" w:type="dxa"/>
            </w:tcMar>
            <w:vAlign w:val="center"/>
          </w:tcPr>
          <w:p w14:paraId="5D4E073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-99,455.42</w:t>
            </w:r>
          </w:p>
        </w:tc>
        <w:tc>
          <w:tcPr>
            <w:tcW w:w="893" w:type="pct"/>
            <w:shd w:val="clear" w:color="auto" w:fill="auto"/>
            <w:tcMar>
              <w:top w:w="0" w:type="dxa"/>
              <w:left w:w="108" w:type="dxa"/>
              <w:bottom w:w="0" w:type="dxa"/>
              <w:right w:w="108" w:type="dxa"/>
            </w:tcMar>
            <w:vAlign w:val="center"/>
          </w:tcPr>
          <w:p w14:paraId="1578F6E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55,532.64</w:t>
            </w:r>
          </w:p>
        </w:tc>
      </w:tr>
      <w:tr w:rsidR="006416B0" w:rsidRPr="00B4515A" w14:paraId="30D18BD6"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531DEB7A"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终止经营净利润</w:t>
            </w:r>
          </w:p>
        </w:tc>
        <w:tc>
          <w:tcPr>
            <w:tcW w:w="963" w:type="pct"/>
            <w:shd w:val="clear" w:color="auto" w:fill="auto"/>
            <w:tcMar>
              <w:top w:w="0" w:type="dxa"/>
              <w:left w:w="108" w:type="dxa"/>
              <w:bottom w:w="0" w:type="dxa"/>
              <w:right w:w="108" w:type="dxa"/>
            </w:tcMar>
            <w:vAlign w:val="center"/>
          </w:tcPr>
          <w:p w14:paraId="3DDF820F"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893" w:type="pct"/>
            <w:shd w:val="clear" w:color="auto" w:fill="auto"/>
            <w:tcMar>
              <w:top w:w="0" w:type="dxa"/>
              <w:left w:w="108" w:type="dxa"/>
              <w:bottom w:w="0" w:type="dxa"/>
              <w:right w:w="108" w:type="dxa"/>
            </w:tcMar>
            <w:vAlign w:val="center"/>
          </w:tcPr>
          <w:p w14:paraId="428D5204"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893" w:type="pct"/>
            <w:shd w:val="clear" w:color="auto" w:fill="auto"/>
            <w:tcMar>
              <w:top w:w="0" w:type="dxa"/>
              <w:left w:w="108" w:type="dxa"/>
              <w:bottom w:w="0" w:type="dxa"/>
              <w:right w:w="108" w:type="dxa"/>
            </w:tcMar>
            <w:vAlign w:val="center"/>
          </w:tcPr>
          <w:p w14:paraId="429031C1"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r>
      <w:tr w:rsidR="006416B0" w:rsidRPr="00B4515A" w14:paraId="4BBE3090"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71EE5898"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（二）按所有权归属分类</w:t>
            </w:r>
          </w:p>
        </w:tc>
        <w:tc>
          <w:tcPr>
            <w:tcW w:w="963" w:type="pct"/>
            <w:shd w:val="clear" w:color="auto" w:fill="auto"/>
            <w:tcMar>
              <w:top w:w="0" w:type="dxa"/>
              <w:left w:w="108" w:type="dxa"/>
              <w:bottom w:w="0" w:type="dxa"/>
              <w:right w:w="108" w:type="dxa"/>
            </w:tcMar>
            <w:vAlign w:val="center"/>
          </w:tcPr>
          <w:p w14:paraId="5FC9C6D6"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893" w:type="pct"/>
            <w:shd w:val="clear" w:color="auto" w:fill="auto"/>
            <w:tcMar>
              <w:top w:w="0" w:type="dxa"/>
              <w:left w:w="108" w:type="dxa"/>
              <w:bottom w:w="0" w:type="dxa"/>
              <w:right w:w="108" w:type="dxa"/>
            </w:tcMar>
            <w:vAlign w:val="center"/>
          </w:tcPr>
          <w:p w14:paraId="5ADDF740"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893" w:type="pct"/>
            <w:shd w:val="clear" w:color="auto" w:fill="auto"/>
            <w:tcMar>
              <w:top w:w="0" w:type="dxa"/>
              <w:left w:w="108" w:type="dxa"/>
              <w:bottom w:w="0" w:type="dxa"/>
              <w:right w:w="108" w:type="dxa"/>
            </w:tcMar>
            <w:vAlign w:val="center"/>
          </w:tcPr>
          <w:p w14:paraId="10634797"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r>
      <w:tr w:rsidR="006416B0" w:rsidRPr="00B4515A" w14:paraId="08077F2E"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5A59F3CE"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少数股东损益</w:t>
            </w:r>
          </w:p>
        </w:tc>
        <w:tc>
          <w:tcPr>
            <w:tcW w:w="963" w:type="pct"/>
            <w:shd w:val="clear" w:color="auto" w:fill="auto"/>
            <w:tcMar>
              <w:top w:w="0" w:type="dxa"/>
              <w:left w:w="108" w:type="dxa"/>
              <w:bottom w:w="0" w:type="dxa"/>
              <w:right w:w="108" w:type="dxa"/>
            </w:tcMar>
            <w:vAlign w:val="center"/>
          </w:tcPr>
          <w:p w14:paraId="47EB0A7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-37,382.29</w:t>
            </w:r>
          </w:p>
        </w:tc>
        <w:tc>
          <w:tcPr>
            <w:tcW w:w="893" w:type="pct"/>
            <w:shd w:val="clear" w:color="auto" w:fill="auto"/>
            <w:tcMar>
              <w:top w:w="0" w:type="dxa"/>
              <w:left w:w="108" w:type="dxa"/>
              <w:bottom w:w="0" w:type="dxa"/>
              <w:right w:w="108" w:type="dxa"/>
            </w:tcMar>
            <w:vAlign w:val="center"/>
          </w:tcPr>
          <w:p w14:paraId="1EFD4EE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-9,523.10</w:t>
            </w:r>
          </w:p>
        </w:tc>
        <w:tc>
          <w:tcPr>
            <w:tcW w:w="893" w:type="pct"/>
            <w:shd w:val="clear" w:color="auto" w:fill="auto"/>
            <w:tcMar>
              <w:top w:w="0" w:type="dxa"/>
              <w:left w:w="108" w:type="dxa"/>
              <w:bottom w:w="0" w:type="dxa"/>
              <w:right w:w="108" w:type="dxa"/>
            </w:tcMar>
            <w:vAlign w:val="center"/>
          </w:tcPr>
          <w:p w14:paraId="76C894F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-837.94</w:t>
            </w:r>
          </w:p>
        </w:tc>
      </w:tr>
      <w:tr w:rsidR="006416B0" w:rsidRPr="00B4515A" w14:paraId="7AF8AAFB" w14:textId="77777777" w:rsidTr="00031627">
        <w:trPr>
          <w:trHeight w:val="340"/>
          <w:jc w:val="center"/>
        </w:trPr>
        <w:tc>
          <w:tcPr>
            <w:tcW w:w="2251" w:type="pct"/>
            <w:shd w:val="clear" w:color="auto" w:fill="auto"/>
            <w:tcMar>
              <w:top w:w="0" w:type="dxa"/>
              <w:left w:w="108" w:type="dxa"/>
              <w:bottom w:w="0" w:type="dxa"/>
              <w:right w:w="108" w:type="dxa"/>
            </w:tcMar>
            <w:vAlign w:val="center"/>
          </w:tcPr>
          <w:p w14:paraId="22A6CB13"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归属于母公司所有者的净利润</w:t>
            </w:r>
          </w:p>
        </w:tc>
        <w:tc>
          <w:tcPr>
            <w:tcW w:w="963" w:type="pct"/>
            <w:shd w:val="clear" w:color="auto" w:fill="auto"/>
            <w:tcMar>
              <w:top w:w="0" w:type="dxa"/>
              <w:left w:w="108" w:type="dxa"/>
              <w:bottom w:w="0" w:type="dxa"/>
              <w:right w:w="108" w:type="dxa"/>
            </w:tcMar>
            <w:vAlign w:val="center"/>
          </w:tcPr>
          <w:p w14:paraId="73C956B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-136,381.11</w:t>
            </w:r>
          </w:p>
        </w:tc>
        <w:tc>
          <w:tcPr>
            <w:tcW w:w="893" w:type="pct"/>
            <w:shd w:val="clear" w:color="auto" w:fill="auto"/>
            <w:tcMar>
              <w:top w:w="0" w:type="dxa"/>
              <w:left w:w="108" w:type="dxa"/>
              <w:bottom w:w="0" w:type="dxa"/>
              <w:right w:w="108" w:type="dxa"/>
            </w:tcMar>
            <w:vAlign w:val="center"/>
          </w:tcPr>
          <w:p w14:paraId="0E0FA66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-89,932.32</w:t>
            </w:r>
          </w:p>
        </w:tc>
        <w:tc>
          <w:tcPr>
            <w:tcW w:w="893" w:type="pct"/>
            <w:shd w:val="clear" w:color="auto" w:fill="auto"/>
            <w:tcMar>
              <w:top w:w="0" w:type="dxa"/>
              <w:left w:w="108" w:type="dxa"/>
              <w:bottom w:w="0" w:type="dxa"/>
              <w:right w:w="108" w:type="dxa"/>
            </w:tcMar>
            <w:vAlign w:val="center"/>
          </w:tcPr>
          <w:p w14:paraId="096ECE9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56,370.58</w:t>
            </w:r>
          </w:p>
        </w:tc>
      </w:tr>
    </w:tbl>
    <w:p w14:paraId="30C45280" w14:textId="77777777" w:rsidR="006416B0" w:rsidRPr="00B4515A" w:rsidRDefault="005E58C1" w:rsidP="003357B7">
      <w:pPr>
        <w:pStyle w:val="005"/>
        <w:spacing w:before="120" w:after="120"/>
        <w:ind w:firstLine="480"/>
      </w:pPr>
      <w:r w:rsidRPr="00B4515A">
        <w:t>2018</w:t>
      </w:r>
      <w:r w:rsidRPr="00B4515A">
        <w:rPr>
          <w:rFonts w:hint="eastAsia"/>
        </w:rPr>
        <w:t>年度、</w:t>
      </w:r>
      <w:r w:rsidRPr="00B4515A">
        <w:t>2019</w:t>
      </w:r>
      <w:r w:rsidRPr="00B4515A">
        <w:rPr>
          <w:rFonts w:hint="eastAsia"/>
        </w:rPr>
        <w:t>年度及</w:t>
      </w:r>
      <w:r w:rsidRPr="00B4515A">
        <w:t>2020</w:t>
      </w:r>
      <w:r w:rsidRPr="00B4515A">
        <w:rPr>
          <w:rFonts w:hint="eastAsia"/>
        </w:rPr>
        <w:t>年度，上市公司营业收入分别为</w:t>
      </w:r>
      <w:r w:rsidRPr="00B4515A">
        <w:t>234,384.94</w:t>
      </w:r>
      <w:r w:rsidRPr="00B4515A">
        <w:t>万元</w:t>
      </w:r>
      <w:r w:rsidRPr="00B4515A">
        <w:rPr>
          <w:rFonts w:hint="eastAsia"/>
        </w:rPr>
        <w:t>、</w:t>
      </w:r>
      <w:r w:rsidRPr="00B4515A">
        <w:t>143,064.75</w:t>
      </w:r>
      <w:r w:rsidRPr="00B4515A">
        <w:t>万元</w:t>
      </w:r>
      <w:r w:rsidRPr="00B4515A">
        <w:rPr>
          <w:rFonts w:hint="eastAsia"/>
        </w:rPr>
        <w:t>、</w:t>
      </w:r>
      <w:r w:rsidRPr="00B4515A">
        <w:t>120,721.15</w:t>
      </w:r>
      <w:r w:rsidRPr="00B4515A">
        <w:rPr>
          <w:rFonts w:hint="eastAsia"/>
        </w:rPr>
        <w:t>万元，营业利润分别为</w:t>
      </w:r>
      <w:r w:rsidRPr="00B4515A">
        <w:t>57,150.66</w:t>
      </w:r>
      <w:r w:rsidRPr="00B4515A">
        <w:rPr>
          <w:rFonts w:hint="eastAsia"/>
        </w:rPr>
        <w:t>万元、</w:t>
      </w:r>
      <w:r w:rsidRPr="00B4515A">
        <w:t>-93,942.21</w:t>
      </w:r>
      <w:r w:rsidRPr="00B4515A">
        <w:t>万元、</w:t>
      </w:r>
      <w:r w:rsidRPr="00B4515A">
        <w:t>-160,274.33</w:t>
      </w:r>
      <w:r w:rsidRPr="00B4515A">
        <w:t>万元</w:t>
      </w:r>
      <w:r w:rsidRPr="00B4515A">
        <w:rPr>
          <w:rFonts w:hint="eastAsia"/>
        </w:rPr>
        <w:t>，归属于母公司股东的净利润分别为</w:t>
      </w:r>
      <w:r w:rsidRPr="00B4515A">
        <w:rPr>
          <w:color w:val="000000"/>
        </w:rPr>
        <w:t>56,370.58</w:t>
      </w:r>
      <w:r w:rsidRPr="00B4515A">
        <w:rPr>
          <w:color w:val="000000"/>
        </w:rPr>
        <w:t>万元、</w:t>
      </w:r>
      <w:r w:rsidRPr="00B4515A">
        <w:rPr>
          <w:color w:val="000000"/>
        </w:rPr>
        <w:t>-89,932.32</w:t>
      </w:r>
      <w:r w:rsidRPr="00B4515A">
        <w:rPr>
          <w:color w:val="000000"/>
        </w:rPr>
        <w:t>万元、</w:t>
      </w:r>
      <w:r w:rsidRPr="00B4515A">
        <w:rPr>
          <w:color w:val="000000"/>
        </w:rPr>
        <w:t>-136,381.11</w:t>
      </w:r>
      <w:r w:rsidRPr="00B4515A">
        <w:rPr>
          <w:color w:val="000000"/>
        </w:rPr>
        <w:t>万元</w:t>
      </w:r>
      <w:r w:rsidRPr="00B4515A">
        <w:rPr>
          <w:rFonts w:hint="eastAsia"/>
        </w:rPr>
        <w:t>。</w:t>
      </w:r>
    </w:p>
    <w:p w14:paraId="769DC0F4" w14:textId="77777777" w:rsidR="006416B0" w:rsidRPr="00B4515A" w:rsidRDefault="005E58C1" w:rsidP="003357B7">
      <w:pPr>
        <w:pStyle w:val="005"/>
        <w:spacing w:before="120" w:after="120"/>
        <w:ind w:firstLine="480"/>
      </w:pPr>
      <w:r w:rsidRPr="00B4515A">
        <w:t>2019</w:t>
      </w:r>
      <w:r w:rsidRPr="00B4515A">
        <w:rPr>
          <w:rFonts w:hint="eastAsia"/>
        </w:rPr>
        <w:t>年度、</w:t>
      </w:r>
      <w:r w:rsidRPr="00B4515A">
        <w:t>2020</w:t>
      </w:r>
      <w:r w:rsidRPr="00B4515A">
        <w:rPr>
          <w:rFonts w:hint="eastAsia"/>
        </w:rPr>
        <w:t>年度上市公司营业利润、净利润和归属于母公司股东的净利润波动较大，主要受到以下因素的影响：（</w:t>
      </w:r>
      <w:r w:rsidRPr="00B4515A">
        <w:t>1</w:t>
      </w:r>
      <w:r w:rsidRPr="00B4515A">
        <w:rPr>
          <w:rFonts w:hint="eastAsia"/>
        </w:rPr>
        <w:t>）公司最近两年继续坚持由规模向效益增长转型、由数量向质量提升转型、由短期业绩向持续发展转型的经营方针，继续积极调整业务结构，导致收入规模下降。（</w:t>
      </w:r>
      <w:r w:rsidRPr="00B4515A">
        <w:t>2</w:t>
      </w:r>
      <w:r w:rsidRPr="00B4515A">
        <w:rPr>
          <w:rFonts w:hint="eastAsia"/>
        </w:rPr>
        <w:t>）受疫情影响，且受到经济下行影响，导致业务下滑。（</w:t>
      </w:r>
      <w:r w:rsidRPr="00B4515A">
        <w:t>3</w:t>
      </w:r>
      <w:r w:rsidRPr="00B4515A">
        <w:rPr>
          <w:rFonts w:hint="eastAsia"/>
        </w:rPr>
        <w:t>）</w:t>
      </w:r>
      <w:r w:rsidRPr="00B4515A">
        <w:t>2020</w:t>
      </w:r>
      <w:r w:rsidRPr="00B4515A">
        <w:rPr>
          <w:rFonts w:hint="eastAsia"/>
        </w:rPr>
        <w:t>年度，公司存在大额应收款项坏账计提、大额商誉减值等。（</w:t>
      </w:r>
      <w:r w:rsidRPr="00B4515A">
        <w:t>4</w:t>
      </w:r>
      <w:r w:rsidRPr="00B4515A">
        <w:rPr>
          <w:rFonts w:hint="eastAsia"/>
        </w:rPr>
        <w:t>）</w:t>
      </w:r>
      <w:r w:rsidRPr="00B4515A">
        <w:t>2018</w:t>
      </w:r>
      <w:r w:rsidRPr="00B4515A">
        <w:rPr>
          <w:rFonts w:hint="eastAsia"/>
        </w:rPr>
        <w:t>年度公司完成了以上海立可芯半导体科技有限公司全部股权向瓴盛科技有限公司出资、转让成都大唐线缆有限公司</w:t>
      </w:r>
      <w:r w:rsidRPr="00B4515A">
        <w:t>46.478%</w:t>
      </w:r>
      <w:r w:rsidRPr="00B4515A">
        <w:rPr>
          <w:rFonts w:hint="eastAsia"/>
        </w:rPr>
        <w:t>股权、转让西安大唐监控技术有限公司</w:t>
      </w:r>
      <w:r w:rsidRPr="00B4515A">
        <w:t>25%</w:t>
      </w:r>
      <w:r w:rsidRPr="00B4515A">
        <w:rPr>
          <w:rFonts w:hint="eastAsia"/>
        </w:rPr>
        <w:t>股权等项目，确认投资收益；（</w:t>
      </w:r>
      <w:r w:rsidRPr="00B4515A">
        <w:t>5</w:t>
      </w:r>
      <w:r w:rsidRPr="00B4515A">
        <w:rPr>
          <w:rFonts w:hint="eastAsia"/>
        </w:rPr>
        <w:t>）</w:t>
      </w:r>
      <w:r w:rsidRPr="00B4515A">
        <w:t>2018</w:t>
      </w:r>
      <w:r w:rsidRPr="00B4515A">
        <w:rPr>
          <w:rFonts w:hint="eastAsia"/>
        </w:rPr>
        <w:t>年度主要原因为完成了北京科研中心资产处置、联芯科技有限公司以资产增资辰芯科技有限公司等项目，确认资产处置收益。</w:t>
      </w:r>
    </w:p>
    <w:p w14:paraId="1D004349" w14:textId="77777777" w:rsidR="006416B0" w:rsidRPr="00B4515A" w:rsidRDefault="005E58C1" w:rsidP="003357B7">
      <w:pPr>
        <w:pStyle w:val="004"/>
        <w:spacing w:before="120" w:after="120"/>
        <w:ind w:firstLine="482"/>
      </w:pPr>
      <w:r w:rsidRPr="00B4515A">
        <w:rPr>
          <w:rFonts w:hint="eastAsia"/>
        </w:rPr>
        <w:t>2</w:t>
      </w:r>
      <w:r w:rsidRPr="00B4515A">
        <w:rPr>
          <w:rFonts w:hint="eastAsia"/>
        </w:rPr>
        <w:t>、盈利能力分析</w:t>
      </w:r>
    </w:p>
    <w:p w14:paraId="2E21F7B3" w14:textId="77777777" w:rsidR="006416B0" w:rsidRPr="00B4515A" w:rsidRDefault="005E58C1" w:rsidP="003357B7">
      <w:pPr>
        <w:pStyle w:val="005"/>
        <w:spacing w:before="120" w:after="120"/>
        <w:ind w:firstLine="480"/>
      </w:pPr>
      <w:r w:rsidRPr="00B4515A">
        <w:rPr>
          <w:rFonts w:hint="eastAsia"/>
        </w:rPr>
        <w:t>报告期内，上市公司盈利能力指标情况如下：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544"/>
        <w:gridCol w:w="2065"/>
        <w:gridCol w:w="2065"/>
        <w:gridCol w:w="1854"/>
      </w:tblGrid>
      <w:tr w:rsidR="006416B0" w:rsidRPr="00B4515A" w14:paraId="6DE31731" w14:textId="77777777" w:rsidTr="00031627">
        <w:trPr>
          <w:trHeight w:val="340"/>
          <w:jc w:val="center"/>
        </w:trPr>
        <w:tc>
          <w:tcPr>
            <w:tcW w:w="1491" w:type="pct"/>
            <w:shd w:val="clear" w:color="auto" w:fill="auto"/>
            <w:tcMar>
              <w:top w:w="0" w:type="dxa"/>
              <w:left w:w="108" w:type="dxa"/>
              <w:bottom w:w="0" w:type="dxa"/>
              <w:right w:w="108" w:type="dxa"/>
            </w:tcMar>
            <w:vAlign w:val="center"/>
          </w:tcPr>
          <w:p w14:paraId="68285FFF"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项目</w:t>
            </w:r>
          </w:p>
        </w:tc>
        <w:tc>
          <w:tcPr>
            <w:tcW w:w="1211" w:type="pct"/>
            <w:shd w:val="clear" w:color="auto" w:fill="auto"/>
            <w:tcMar>
              <w:top w:w="0" w:type="dxa"/>
              <w:left w:w="108" w:type="dxa"/>
              <w:bottom w:w="0" w:type="dxa"/>
              <w:right w:w="108" w:type="dxa"/>
            </w:tcMar>
            <w:vAlign w:val="center"/>
          </w:tcPr>
          <w:p w14:paraId="6FF7AEE6"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2020</w:t>
            </w:r>
            <w:r w:rsidRPr="00B4515A">
              <w:rPr>
                <w:rFonts w:ascii="Times New Roman" w:eastAsiaTheme="minorEastAsia" w:cs="Times New Roman"/>
                <w:b/>
                <w:bCs/>
                <w:color w:val="000000"/>
                <w:sz w:val="21"/>
                <w:szCs w:val="21"/>
              </w:rPr>
              <w:t>年度</w:t>
            </w:r>
          </w:p>
        </w:tc>
        <w:tc>
          <w:tcPr>
            <w:tcW w:w="1211" w:type="pct"/>
            <w:shd w:val="clear" w:color="auto" w:fill="auto"/>
            <w:tcMar>
              <w:top w:w="0" w:type="dxa"/>
              <w:left w:w="108" w:type="dxa"/>
              <w:bottom w:w="0" w:type="dxa"/>
              <w:right w:w="108" w:type="dxa"/>
            </w:tcMar>
            <w:vAlign w:val="center"/>
          </w:tcPr>
          <w:p w14:paraId="0BFD91AA"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2019</w:t>
            </w:r>
            <w:r w:rsidRPr="00B4515A">
              <w:rPr>
                <w:rFonts w:ascii="Times New Roman" w:eastAsiaTheme="minorEastAsia" w:cs="Times New Roman"/>
                <w:b/>
                <w:bCs/>
                <w:color w:val="000000"/>
                <w:sz w:val="21"/>
                <w:szCs w:val="21"/>
              </w:rPr>
              <w:t>年度</w:t>
            </w:r>
          </w:p>
        </w:tc>
        <w:tc>
          <w:tcPr>
            <w:tcW w:w="1088" w:type="pct"/>
            <w:shd w:val="clear" w:color="auto" w:fill="auto"/>
            <w:tcMar>
              <w:top w:w="0" w:type="dxa"/>
              <w:left w:w="108" w:type="dxa"/>
              <w:bottom w:w="0" w:type="dxa"/>
              <w:right w:w="108" w:type="dxa"/>
            </w:tcMar>
            <w:vAlign w:val="center"/>
          </w:tcPr>
          <w:p w14:paraId="19C9CDA6"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2018</w:t>
            </w:r>
            <w:r w:rsidRPr="00B4515A">
              <w:rPr>
                <w:rFonts w:ascii="Times New Roman" w:eastAsiaTheme="minorEastAsia" w:cs="Times New Roman"/>
                <w:b/>
                <w:bCs/>
                <w:color w:val="000000"/>
                <w:sz w:val="21"/>
                <w:szCs w:val="21"/>
              </w:rPr>
              <w:t>年度</w:t>
            </w:r>
          </w:p>
        </w:tc>
      </w:tr>
      <w:tr w:rsidR="006416B0" w:rsidRPr="00B4515A" w14:paraId="20B44E5C" w14:textId="77777777" w:rsidTr="00031627">
        <w:trPr>
          <w:trHeight w:val="340"/>
          <w:jc w:val="center"/>
        </w:trPr>
        <w:tc>
          <w:tcPr>
            <w:tcW w:w="1491" w:type="pct"/>
            <w:shd w:val="clear" w:color="auto" w:fill="auto"/>
            <w:tcMar>
              <w:top w:w="0" w:type="dxa"/>
              <w:left w:w="108" w:type="dxa"/>
              <w:bottom w:w="0" w:type="dxa"/>
              <w:right w:w="108" w:type="dxa"/>
            </w:tcMar>
            <w:vAlign w:val="center"/>
          </w:tcPr>
          <w:p w14:paraId="3BFDB45A"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毛利率</w:t>
            </w:r>
          </w:p>
        </w:tc>
        <w:tc>
          <w:tcPr>
            <w:tcW w:w="1211" w:type="pct"/>
            <w:shd w:val="clear" w:color="auto" w:fill="auto"/>
            <w:tcMar>
              <w:top w:w="0" w:type="dxa"/>
              <w:left w:w="108" w:type="dxa"/>
              <w:bottom w:w="0" w:type="dxa"/>
              <w:right w:w="108" w:type="dxa"/>
            </w:tcMar>
            <w:vAlign w:val="center"/>
          </w:tcPr>
          <w:p w14:paraId="0EFCBCC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32.04%</w:t>
            </w:r>
          </w:p>
        </w:tc>
        <w:tc>
          <w:tcPr>
            <w:tcW w:w="1211" w:type="pct"/>
            <w:shd w:val="clear" w:color="auto" w:fill="auto"/>
            <w:tcMar>
              <w:top w:w="0" w:type="dxa"/>
              <w:left w:w="108" w:type="dxa"/>
              <w:bottom w:w="0" w:type="dxa"/>
              <w:right w:w="108" w:type="dxa"/>
            </w:tcMar>
            <w:vAlign w:val="center"/>
          </w:tcPr>
          <w:p w14:paraId="10E3279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27.93%</w:t>
            </w:r>
          </w:p>
        </w:tc>
        <w:tc>
          <w:tcPr>
            <w:tcW w:w="1088" w:type="pct"/>
            <w:shd w:val="clear" w:color="auto" w:fill="auto"/>
            <w:tcMar>
              <w:top w:w="0" w:type="dxa"/>
              <w:left w:w="108" w:type="dxa"/>
              <w:bottom w:w="0" w:type="dxa"/>
              <w:right w:w="108" w:type="dxa"/>
            </w:tcMar>
            <w:vAlign w:val="center"/>
          </w:tcPr>
          <w:p w14:paraId="7571902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25.25%</w:t>
            </w:r>
          </w:p>
        </w:tc>
      </w:tr>
      <w:tr w:rsidR="006416B0" w:rsidRPr="00B4515A" w14:paraId="71254941" w14:textId="77777777" w:rsidTr="00031627">
        <w:trPr>
          <w:trHeight w:val="340"/>
          <w:jc w:val="center"/>
        </w:trPr>
        <w:tc>
          <w:tcPr>
            <w:tcW w:w="1491" w:type="pct"/>
            <w:shd w:val="clear" w:color="auto" w:fill="auto"/>
            <w:tcMar>
              <w:top w:w="0" w:type="dxa"/>
              <w:left w:w="108" w:type="dxa"/>
              <w:bottom w:w="0" w:type="dxa"/>
              <w:right w:w="108" w:type="dxa"/>
            </w:tcMar>
            <w:vAlign w:val="center"/>
          </w:tcPr>
          <w:p w14:paraId="402EF4C4"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净利率</w:t>
            </w:r>
          </w:p>
        </w:tc>
        <w:tc>
          <w:tcPr>
            <w:tcW w:w="1211" w:type="pct"/>
            <w:shd w:val="clear" w:color="auto" w:fill="auto"/>
            <w:tcMar>
              <w:top w:w="0" w:type="dxa"/>
              <w:left w:w="108" w:type="dxa"/>
              <w:bottom w:w="0" w:type="dxa"/>
              <w:right w:w="108" w:type="dxa"/>
            </w:tcMar>
            <w:vAlign w:val="center"/>
          </w:tcPr>
          <w:p w14:paraId="6470D8C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-112.97%</w:t>
            </w:r>
          </w:p>
        </w:tc>
        <w:tc>
          <w:tcPr>
            <w:tcW w:w="1211" w:type="pct"/>
            <w:shd w:val="clear" w:color="auto" w:fill="auto"/>
            <w:tcMar>
              <w:top w:w="0" w:type="dxa"/>
              <w:left w:w="108" w:type="dxa"/>
              <w:bottom w:w="0" w:type="dxa"/>
              <w:right w:w="108" w:type="dxa"/>
            </w:tcMar>
            <w:vAlign w:val="center"/>
          </w:tcPr>
          <w:p w14:paraId="5838E80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-62.86%</w:t>
            </w:r>
          </w:p>
        </w:tc>
        <w:tc>
          <w:tcPr>
            <w:tcW w:w="1088" w:type="pct"/>
            <w:shd w:val="clear" w:color="auto" w:fill="auto"/>
            <w:tcMar>
              <w:top w:w="0" w:type="dxa"/>
              <w:left w:w="108" w:type="dxa"/>
              <w:bottom w:w="0" w:type="dxa"/>
              <w:right w:w="108" w:type="dxa"/>
            </w:tcMar>
            <w:vAlign w:val="center"/>
          </w:tcPr>
          <w:p w14:paraId="1A2AA5B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24.05%</w:t>
            </w:r>
          </w:p>
        </w:tc>
      </w:tr>
      <w:tr w:rsidR="006416B0" w:rsidRPr="00B4515A" w14:paraId="1B438646" w14:textId="77777777" w:rsidTr="00031627">
        <w:trPr>
          <w:trHeight w:val="340"/>
          <w:jc w:val="center"/>
        </w:trPr>
        <w:tc>
          <w:tcPr>
            <w:tcW w:w="1491" w:type="pct"/>
            <w:shd w:val="clear" w:color="auto" w:fill="auto"/>
            <w:tcMar>
              <w:top w:w="0" w:type="dxa"/>
              <w:left w:w="108" w:type="dxa"/>
              <w:bottom w:w="0" w:type="dxa"/>
              <w:right w:w="108" w:type="dxa"/>
            </w:tcMar>
            <w:vAlign w:val="center"/>
          </w:tcPr>
          <w:p w14:paraId="3E783DA5"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基本每股收益（元</w:t>
            </w:r>
            <w:r w:rsidRPr="00B4515A">
              <w:rPr>
                <w:rFonts w:ascii="Times New Roman" w:eastAsiaTheme="minorEastAsia" w:cs="Times New Roman"/>
                <w:color w:val="000000"/>
                <w:sz w:val="21"/>
                <w:szCs w:val="21"/>
              </w:rPr>
              <w:t>/</w:t>
            </w:r>
            <w:r w:rsidRPr="00B4515A">
              <w:rPr>
                <w:rFonts w:ascii="Times New Roman" w:eastAsiaTheme="minorEastAsia" w:cs="Times New Roman"/>
                <w:color w:val="000000"/>
                <w:sz w:val="21"/>
                <w:szCs w:val="21"/>
              </w:rPr>
              <w:t>股）</w:t>
            </w:r>
          </w:p>
        </w:tc>
        <w:tc>
          <w:tcPr>
            <w:tcW w:w="1211" w:type="pct"/>
            <w:shd w:val="clear" w:color="auto" w:fill="auto"/>
            <w:tcMar>
              <w:top w:w="0" w:type="dxa"/>
              <w:left w:w="108" w:type="dxa"/>
              <w:bottom w:w="0" w:type="dxa"/>
              <w:right w:w="108" w:type="dxa"/>
            </w:tcMar>
            <w:vAlign w:val="center"/>
          </w:tcPr>
          <w:p w14:paraId="25E1C6A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-1.55</w:t>
            </w:r>
          </w:p>
        </w:tc>
        <w:tc>
          <w:tcPr>
            <w:tcW w:w="1211" w:type="pct"/>
            <w:shd w:val="clear" w:color="auto" w:fill="auto"/>
            <w:tcMar>
              <w:top w:w="0" w:type="dxa"/>
              <w:left w:w="108" w:type="dxa"/>
              <w:bottom w:w="0" w:type="dxa"/>
              <w:right w:w="108" w:type="dxa"/>
            </w:tcMar>
            <w:vAlign w:val="center"/>
          </w:tcPr>
          <w:p w14:paraId="618F854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-1.02</w:t>
            </w:r>
          </w:p>
        </w:tc>
        <w:tc>
          <w:tcPr>
            <w:tcW w:w="1088" w:type="pct"/>
            <w:shd w:val="clear" w:color="auto" w:fill="auto"/>
            <w:tcMar>
              <w:top w:w="0" w:type="dxa"/>
              <w:left w:w="108" w:type="dxa"/>
              <w:bottom w:w="0" w:type="dxa"/>
              <w:right w:w="108" w:type="dxa"/>
            </w:tcMar>
            <w:vAlign w:val="center"/>
          </w:tcPr>
          <w:p w14:paraId="59F8077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0.64</w:t>
            </w:r>
          </w:p>
        </w:tc>
      </w:tr>
    </w:tbl>
    <w:p w14:paraId="0882F2B1" w14:textId="6C66DA9E" w:rsidR="006416B0" w:rsidRPr="00B4515A" w:rsidRDefault="005E58C1" w:rsidP="003357B7">
      <w:pPr>
        <w:pStyle w:val="006"/>
        <w:ind w:firstLine="420"/>
      </w:pPr>
      <w:r w:rsidRPr="00B4515A">
        <w:rPr>
          <w:rFonts w:hint="eastAsia"/>
        </w:rPr>
        <w:t>注：</w:t>
      </w:r>
      <w:r w:rsidR="00EC14C6" w:rsidRPr="00B4515A">
        <w:rPr>
          <w:rFonts w:hint="eastAsia"/>
        </w:rPr>
        <w:t>（</w:t>
      </w:r>
      <w:r w:rsidR="00EC14C6" w:rsidRPr="00B4515A">
        <w:rPr>
          <w:rFonts w:hint="eastAsia"/>
        </w:rPr>
        <w:t>1</w:t>
      </w:r>
      <w:r w:rsidR="00EC14C6" w:rsidRPr="00B4515A">
        <w:rPr>
          <w:rFonts w:hint="eastAsia"/>
        </w:rPr>
        <w:t>）</w:t>
      </w:r>
      <w:r w:rsidRPr="00B4515A">
        <w:rPr>
          <w:rFonts w:hint="eastAsia"/>
        </w:rPr>
        <w:t>毛利率</w:t>
      </w:r>
      <w:r w:rsidRPr="00B4515A">
        <w:t>=</w:t>
      </w:r>
      <w:r w:rsidRPr="00B4515A">
        <w:rPr>
          <w:rFonts w:hint="eastAsia"/>
        </w:rPr>
        <w:t>（营业收入</w:t>
      </w:r>
      <w:r w:rsidRPr="00B4515A">
        <w:t>-</w:t>
      </w:r>
      <w:r w:rsidRPr="00B4515A">
        <w:rPr>
          <w:rFonts w:hint="eastAsia"/>
        </w:rPr>
        <w:t>营业成本）</w:t>
      </w:r>
      <w:r w:rsidRPr="00B4515A">
        <w:t>/</w:t>
      </w:r>
      <w:r w:rsidRPr="00B4515A">
        <w:rPr>
          <w:rFonts w:hint="eastAsia"/>
        </w:rPr>
        <w:t>营业收入</w:t>
      </w:r>
      <w:r w:rsidRPr="00B4515A">
        <w:t>*100%</w:t>
      </w:r>
      <w:r w:rsidRPr="00B4515A">
        <w:rPr>
          <w:rFonts w:hint="eastAsia"/>
        </w:rPr>
        <w:t>；</w:t>
      </w:r>
    </w:p>
    <w:p w14:paraId="22A519D0" w14:textId="19CF7498" w:rsidR="006416B0" w:rsidRPr="00B4515A" w:rsidRDefault="00EC14C6" w:rsidP="003357B7">
      <w:pPr>
        <w:pStyle w:val="006"/>
        <w:ind w:firstLine="420"/>
      </w:pPr>
      <w:r w:rsidRPr="00B4515A">
        <w:rPr>
          <w:rFonts w:hint="eastAsia"/>
        </w:rPr>
        <w:t>（</w:t>
      </w:r>
      <w:r w:rsidRPr="00B4515A">
        <w:rPr>
          <w:rFonts w:hint="eastAsia"/>
        </w:rPr>
        <w:t>2</w:t>
      </w:r>
      <w:r w:rsidRPr="00B4515A">
        <w:rPr>
          <w:rFonts w:hint="eastAsia"/>
        </w:rPr>
        <w:t>）</w:t>
      </w:r>
      <w:r w:rsidR="005E58C1" w:rsidRPr="00B4515A">
        <w:rPr>
          <w:rFonts w:hint="eastAsia"/>
        </w:rPr>
        <w:t>净利率</w:t>
      </w:r>
      <w:r w:rsidR="005E58C1" w:rsidRPr="00B4515A">
        <w:t>=</w:t>
      </w:r>
      <w:r w:rsidR="005E58C1" w:rsidRPr="00B4515A">
        <w:rPr>
          <w:rFonts w:hint="eastAsia"/>
        </w:rPr>
        <w:t>归属于母公司股东的净利润</w:t>
      </w:r>
      <w:r w:rsidR="005E58C1" w:rsidRPr="00B4515A">
        <w:t>/</w:t>
      </w:r>
      <w:r w:rsidR="005E58C1" w:rsidRPr="00B4515A">
        <w:rPr>
          <w:rFonts w:hint="eastAsia"/>
        </w:rPr>
        <w:t>营业收入</w:t>
      </w:r>
      <w:r w:rsidR="005E58C1" w:rsidRPr="00B4515A">
        <w:t>*100%</w:t>
      </w:r>
      <w:r w:rsidR="005E58C1" w:rsidRPr="00B4515A">
        <w:rPr>
          <w:rFonts w:hint="eastAsia"/>
        </w:rPr>
        <w:t>；</w:t>
      </w:r>
    </w:p>
    <w:p w14:paraId="32DC0C2B" w14:textId="33FA80D8" w:rsidR="006416B0" w:rsidRPr="00B4515A" w:rsidRDefault="00EC14C6" w:rsidP="003357B7">
      <w:pPr>
        <w:pStyle w:val="006"/>
        <w:ind w:firstLine="420"/>
        <w:rPr>
          <w:szCs w:val="21"/>
        </w:rPr>
      </w:pPr>
      <w:r w:rsidRPr="00B4515A">
        <w:rPr>
          <w:rFonts w:hint="eastAsia"/>
        </w:rPr>
        <w:lastRenderedPageBreak/>
        <w:t>（</w:t>
      </w:r>
      <w:r w:rsidRPr="00B4515A">
        <w:rPr>
          <w:rFonts w:hint="eastAsia"/>
        </w:rPr>
        <w:t>3</w:t>
      </w:r>
      <w:r w:rsidRPr="00B4515A">
        <w:rPr>
          <w:rFonts w:hint="eastAsia"/>
        </w:rPr>
        <w:t>）</w:t>
      </w:r>
      <w:r w:rsidR="005E58C1" w:rsidRPr="00B4515A">
        <w:rPr>
          <w:rFonts w:hint="eastAsia"/>
        </w:rPr>
        <w:t>基本每股收益</w:t>
      </w:r>
      <w:r w:rsidR="005E58C1" w:rsidRPr="00B4515A">
        <w:t>=</w:t>
      </w:r>
      <w:r w:rsidR="005E58C1" w:rsidRPr="00B4515A">
        <w:rPr>
          <w:rFonts w:hint="eastAsia"/>
        </w:rPr>
        <w:t>归属于普通股股东的当期净利润÷当期发行在外普通股的加权平均数。</w:t>
      </w:r>
    </w:p>
    <w:p w14:paraId="3ECB8BAA" w14:textId="77777777" w:rsidR="006416B0" w:rsidRPr="00B4515A" w:rsidRDefault="005E58C1" w:rsidP="003357B7">
      <w:pPr>
        <w:pStyle w:val="005"/>
        <w:spacing w:before="120" w:after="120"/>
        <w:ind w:firstLine="480"/>
      </w:pPr>
      <w:r w:rsidRPr="00B4515A">
        <w:t>2018</w:t>
      </w:r>
      <w:r w:rsidRPr="00B4515A">
        <w:rPr>
          <w:rFonts w:hint="eastAsia"/>
        </w:rPr>
        <w:t>年度、</w:t>
      </w:r>
      <w:r w:rsidRPr="00B4515A">
        <w:t>2019</w:t>
      </w:r>
      <w:r w:rsidRPr="00B4515A">
        <w:rPr>
          <w:rFonts w:hint="eastAsia"/>
        </w:rPr>
        <w:t>年度、</w:t>
      </w:r>
      <w:r w:rsidRPr="00B4515A">
        <w:t>2020</w:t>
      </w:r>
      <w:r w:rsidRPr="00B4515A">
        <w:rPr>
          <w:rFonts w:hint="eastAsia"/>
        </w:rPr>
        <w:t>年度，上市公司毛利率分别为</w:t>
      </w:r>
      <w:r w:rsidRPr="00B4515A">
        <w:t>25.25%</w:t>
      </w:r>
      <w:r w:rsidRPr="00B4515A">
        <w:rPr>
          <w:rFonts w:hint="eastAsia"/>
        </w:rPr>
        <w:t>、</w:t>
      </w:r>
      <w:r w:rsidRPr="00B4515A">
        <w:t>27.93%</w:t>
      </w:r>
      <w:r w:rsidRPr="00B4515A">
        <w:rPr>
          <w:rFonts w:hint="eastAsia"/>
        </w:rPr>
        <w:t>、</w:t>
      </w:r>
      <w:r w:rsidRPr="00B4515A">
        <w:t>32.04%</w:t>
      </w:r>
      <w:r w:rsidRPr="00B4515A">
        <w:rPr>
          <w:rFonts w:hint="eastAsia"/>
        </w:rPr>
        <w:t>；净利率分别为</w:t>
      </w:r>
      <w:r w:rsidRPr="00B4515A">
        <w:t>24.05%</w:t>
      </w:r>
      <w:r w:rsidRPr="00B4515A">
        <w:rPr>
          <w:rFonts w:hint="eastAsia"/>
        </w:rPr>
        <w:t>、</w:t>
      </w:r>
      <w:r w:rsidRPr="00B4515A">
        <w:t>-62.86%</w:t>
      </w:r>
      <w:r w:rsidRPr="00B4515A">
        <w:rPr>
          <w:rFonts w:hint="eastAsia"/>
        </w:rPr>
        <w:t>、</w:t>
      </w:r>
      <w:r w:rsidRPr="00B4515A">
        <w:t>-112.97%</w:t>
      </w:r>
      <w:r w:rsidRPr="00B4515A">
        <w:rPr>
          <w:rFonts w:hint="eastAsia"/>
        </w:rPr>
        <w:t>。</w:t>
      </w:r>
    </w:p>
    <w:p w14:paraId="21B9BB85" w14:textId="77777777" w:rsidR="006416B0" w:rsidRPr="00B4515A" w:rsidRDefault="005E58C1" w:rsidP="003357B7">
      <w:pPr>
        <w:pStyle w:val="005"/>
        <w:spacing w:before="120" w:after="120"/>
        <w:ind w:firstLine="480"/>
      </w:pPr>
      <w:r w:rsidRPr="00B4515A">
        <w:rPr>
          <w:rFonts w:hint="eastAsia"/>
        </w:rPr>
        <w:t>由于公司产品结构调整，剥离低毛利率业务，导致公司</w:t>
      </w:r>
      <w:r w:rsidRPr="00B4515A">
        <w:t>2019</w:t>
      </w:r>
      <w:r w:rsidRPr="00B4515A">
        <w:rPr>
          <w:rFonts w:hint="eastAsia"/>
        </w:rPr>
        <w:t>年度、</w:t>
      </w:r>
      <w:r w:rsidRPr="00B4515A">
        <w:t>2020</w:t>
      </w:r>
      <w:r w:rsidRPr="00B4515A">
        <w:rPr>
          <w:rFonts w:hint="eastAsia"/>
        </w:rPr>
        <w:t>年度毛利率逐步提高。但是受新型冠状病毒肺炎疫情影响及经济下行影响，公司业务规模降低，同时公司存在大额应收款项坏账计提、大额商誉减值且没有较大的投资收益或资产处置收益等导致净利率下降。</w:t>
      </w:r>
    </w:p>
    <w:p w14:paraId="6D5BB115" w14:textId="77777777" w:rsidR="006416B0" w:rsidRPr="00B4515A" w:rsidRDefault="005E58C1" w:rsidP="003357B7">
      <w:pPr>
        <w:pStyle w:val="002"/>
        <w:spacing w:before="120" w:after="120"/>
        <w:ind w:firstLine="562"/>
      </w:pPr>
      <w:bookmarkStart w:id="319" w:name="_Toc80960572"/>
      <w:r w:rsidRPr="00B4515A">
        <w:t>二、标的公司</w:t>
      </w:r>
      <w:r w:rsidRPr="00B4515A">
        <w:rPr>
          <w:rFonts w:hint="eastAsia"/>
        </w:rPr>
        <w:t>所在行业情况分析</w:t>
      </w:r>
      <w:bookmarkEnd w:id="319"/>
    </w:p>
    <w:p w14:paraId="71A575AD" w14:textId="77777777" w:rsidR="006416B0" w:rsidRPr="00B4515A" w:rsidRDefault="005E58C1" w:rsidP="003357B7">
      <w:pPr>
        <w:pStyle w:val="003"/>
        <w:spacing w:before="120"/>
        <w:ind w:firstLine="482"/>
      </w:pPr>
      <w:r w:rsidRPr="00B4515A">
        <w:rPr>
          <w:rFonts w:hint="eastAsia"/>
        </w:rPr>
        <w:t>（一）行业市场规模、竞争格局及主要企业</w:t>
      </w:r>
    </w:p>
    <w:p w14:paraId="73A06235" w14:textId="77777777" w:rsidR="006416B0" w:rsidRPr="00B4515A" w:rsidRDefault="005E58C1" w:rsidP="003357B7">
      <w:pPr>
        <w:pStyle w:val="004"/>
        <w:spacing w:before="120" w:after="120"/>
        <w:ind w:firstLine="482"/>
      </w:pPr>
      <w:r w:rsidRPr="00B4515A">
        <w:t>1</w:t>
      </w:r>
      <w:r w:rsidRPr="00B4515A">
        <w:t>、市场规模</w:t>
      </w:r>
    </w:p>
    <w:p w14:paraId="6AE48EE7" w14:textId="77777777" w:rsidR="006416B0" w:rsidRPr="00B4515A" w:rsidRDefault="005E58C1" w:rsidP="003357B7">
      <w:pPr>
        <w:pStyle w:val="005"/>
        <w:spacing w:before="120" w:after="120"/>
        <w:ind w:firstLine="480"/>
      </w:pPr>
      <w:r w:rsidRPr="00B4515A">
        <w:t>近年来，在新一轮科技革命和产业变革推动下，特种通信领域取得重大进展，但信息化水平亟待提高。特通通信行业内有众多领域，在大唐联诚所处的领域内，</w:t>
      </w:r>
      <w:r w:rsidRPr="00B4515A">
        <w:t>2009</w:t>
      </w:r>
      <w:r w:rsidRPr="00B4515A">
        <w:t>年至</w:t>
      </w:r>
      <w:r w:rsidRPr="00B4515A">
        <w:t>2020</w:t>
      </w:r>
      <w:r w:rsidRPr="00B4515A">
        <w:t>年国家投入从</w:t>
      </w:r>
      <w:r w:rsidRPr="00B4515A">
        <w:t>4,829.85</w:t>
      </w:r>
      <w:r w:rsidRPr="00B4515A">
        <w:t>亿元增加至</w:t>
      </w:r>
      <w:r w:rsidRPr="00B4515A">
        <w:t>12,691.68</w:t>
      </w:r>
      <w:r w:rsidRPr="00B4515A">
        <w:t>亿元，年复合增长率为</w:t>
      </w:r>
      <w:r w:rsidRPr="00B4515A">
        <w:t>9.18%</w:t>
      </w:r>
      <w:r w:rsidRPr="00B4515A">
        <w:t>，并将保持适当增长。</w:t>
      </w:r>
    </w:p>
    <w:p w14:paraId="5D4B134D" w14:textId="77777777" w:rsidR="006416B0" w:rsidRPr="00B4515A" w:rsidRDefault="005E58C1" w:rsidP="003357B7">
      <w:pPr>
        <w:pStyle w:val="005"/>
        <w:spacing w:before="120" w:after="120"/>
        <w:ind w:firstLine="480"/>
      </w:pPr>
      <w:r w:rsidRPr="00B4515A">
        <w:t>未来，标的公司所处的行业将迎来较大发展。</w:t>
      </w:r>
    </w:p>
    <w:p w14:paraId="243053A8" w14:textId="77777777" w:rsidR="006416B0" w:rsidRPr="00B4515A" w:rsidRDefault="005E58C1" w:rsidP="003357B7">
      <w:pPr>
        <w:pStyle w:val="004"/>
        <w:spacing w:before="120" w:after="120"/>
        <w:ind w:firstLine="482"/>
      </w:pPr>
      <w:r w:rsidRPr="00B4515A">
        <w:t>2</w:t>
      </w:r>
      <w:r w:rsidRPr="00B4515A">
        <w:t>、行业竞争格局</w:t>
      </w:r>
    </w:p>
    <w:p w14:paraId="6D060FF9" w14:textId="77777777" w:rsidR="006416B0" w:rsidRPr="00B4515A" w:rsidRDefault="005E58C1" w:rsidP="003357B7">
      <w:pPr>
        <w:pStyle w:val="005"/>
        <w:spacing w:before="120" w:after="120"/>
        <w:ind w:firstLine="480"/>
      </w:pPr>
      <w:r w:rsidRPr="00B4515A">
        <w:t>特种通信行业具有较高的行业准入壁垒，参与特种通信产品生产的企业必须获得相应的资质。由于资质壁垒的存在，导致潜在竞争对手较难进入，加之特种通信产品前期研发周期长，研发投入大，企业需要根据客户的需求进行不断研发、调试、试验，具有较长的研发周期和测试周期，特种通信行业长周期合作的特点决定了行业内企业下游明确，企业与其下游客户通常具有较为稳定的合作关系。以上因素导致特种通信行业的市场化程度相对较低，行业内有竞争力的企业数量不多，行业竞争格局平稳。</w:t>
      </w:r>
    </w:p>
    <w:p w14:paraId="1C9FA949" w14:textId="77777777" w:rsidR="006416B0" w:rsidRPr="00B4515A" w:rsidRDefault="005E58C1" w:rsidP="003357B7">
      <w:pPr>
        <w:pStyle w:val="004"/>
        <w:spacing w:before="120" w:after="120"/>
        <w:ind w:firstLine="482"/>
      </w:pPr>
      <w:r w:rsidRPr="00B4515A">
        <w:t>3</w:t>
      </w:r>
      <w:r w:rsidRPr="00B4515A">
        <w:t>、发展趋势</w:t>
      </w:r>
    </w:p>
    <w:p w14:paraId="342E29AA" w14:textId="77777777" w:rsidR="006416B0" w:rsidRPr="00B4515A" w:rsidRDefault="005E58C1" w:rsidP="003357B7">
      <w:pPr>
        <w:pStyle w:val="005"/>
        <w:spacing w:before="120" w:after="120"/>
        <w:ind w:firstLine="480"/>
      </w:pPr>
      <w:r w:rsidRPr="00B4515A">
        <w:t>随着我国无线通信技术的发展，特种通信领域无线通信已基本实现通信技术体制由模拟向数字转变，通信终端由单一功能向多功能转变，通信网路由单项业务向综合业务转变，通信管理向智能化转变。</w:t>
      </w:r>
    </w:p>
    <w:p w14:paraId="6A0137EC" w14:textId="77777777" w:rsidR="006416B0" w:rsidRPr="00B4515A" w:rsidRDefault="005E58C1" w:rsidP="003357B7">
      <w:pPr>
        <w:pStyle w:val="005"/>
        <w:spacing w:before="120" w:after="120"/>
        <w:ind w:firstLine="480"/>
      </w:pPr>
      <w:r w:rsidRPr="00B4515A">
        <w:lastRenderedPageBreak/>
        <w:t>特种通信与民用通信在需求方面都呈现出宽带化、移动化的发展趋势，专用宽带移动通信已经成为未来专用无线通信技术重要的发展方向。</w:t>
      </w:r>
    </w:p>
    <w:p w14:paraId="4BCB386B" w14:textId="77777777" w:rsidR="006416B0" w:rsidRPr="00B4515A" w:rsidRDefault="005E58C1" w:rsidP="003357B7">
      <w:pPr>
        <w:pStyle w:val="004"/>
        <w:spacing w:before="120" w:after="120"/>
        <w:ind w:firstLine="482"/>
      </w:pPr>
      <w:r w:rsidRPr="00B4515A">
        <w:t>4</w:t>
      </w:r>
      <w:r w:rsidRPr="00B4515A">
        <w:t>、行业内主要企业</w:t>
      </w:r>
    </w:p>
    <w:p w14:paraId="4E4038FC" w14:textId="77777777" w:rsidR="006416B0" w:rsidRPr="00B4515A" w:rsidRDefault="005E58C1" w:rsidP="003357B7">
      <w:pPr>
        <w:pStyle w:val="005"/>
        <w:spacing w:before="120" w:after="120"/>
        <w:ind w:firstLine="480"/>
      </w:pPr>
      <w:r w:rsidRPr="00B4515A">
        <w:t>（</w:t>
      </w:r>
      <w:r w:rsidRPr="00B4515A">
        <w:t>1</w:t>
      </w:r>
      <w:r w:rsidRPr="00B4515A">
        <w:t>）广州海格通信集团股份有限公司</w:t>
      </w:r>
    </w:p>
    <w:p w14:paraId="10D70CC4" w14:textId="77777777" w:rsidR="006416B0" w:rsidRPr="00B4515A" w:rsidRDefault="005E58C1" w:rsidP="003357B7">
      <w:pPr>
        <w:pStyle w:val="005"/>
        <w:spacing w:before="120" w:after="120"/>
        <w:ind w:firstLine="480"/>
      </w:pPr>
      <w:r w:rsidRPr="00B4515A">
        <w:t>广州海格通信集团股份有限公司（以下简称海格通信）成立于</w:t>
      </w:r>
      <w:r w:rsidRPr="00B4515A">
        <w:t>2007</w:t>
      </w:r>
      <w:r w:rsidRPr="00B4515A">
        <w:t>年</w:t>
      </w:r>
      <w:r w:rsidRPr="00B4515A">
        <w:t>7</w:t>
      </w:r>
      <w:r w:rsidRPr="00B4515A">
        <w:t>月</w:t>
      </w:r>
      <w:r w:rsidRPr="00B4515A">
        <w:t>20</w:t>
      </w:r>
      <w:r w:rsidRPr="00B4515A">
        <w:t>日，海格通信于</w:t>
      </w:r>
      <w:r w:rsidRPr="00B4515A">
        <w:t>2010</w:t>
      </w:r>
      <w:r w:rsidRPr="00B4515A">
        <w:t>年在深圳证券交易所上市。海格通信的主要业务覆盖</w:t>
      </w:r>
      <w:r w:rsidRPr="00B4515A">
        <w:rPr>
          <w:rFonts w:ascii="宋体" w:hAnsi="宋体"/>
        </w:rPr>
        <w:t>“</w:t>
      </w:r>
      <w:r w:rsidRPr="00B4515A">
        <w:t>无线通信、北斗导航、航空航天、软件与信息服务</w:t>
      </w:r>
      <w:r w:rsidRPr="00B4515A">
        <w:rPr>
          <w:rFonts w:ascii="宋体" w:hAnsi="宋体"/>
        </w:rPr>
        <w:t>”</w:t>
      </w:r>
      <w:r w:rsidRPr="00B4515A">
        <w:t>四大领域。</w:t>
      </w:r>
    </w:p>
    <w:p w14:paraId="2511804A" w14:textId="77777777" w:rsidR="006416B0" w:rsidRPr="00B4515A" w:rsidRDefault="005E58C1" w:rsidP="003357B7">
      <w:pPr>
        <w:pStyle w:val="005"/>
        <w:spacing w:before="120" w:after="120"/>
        <w:ind w:firstLine="480"/>
      </w:pPr>
      <w:r w:rsidRPr="00B4515A">
        <w:t>（</w:t>
      </w:r>
      <w:r w:rsidRPr="00B4515A">
        <w:t>2</w:t>
      </w:r>
      <w:r w:rsidRPr="00B4515A">
        <w:t>）天津七一二通信广播股份有限公司</w:t>
      </w:r>
    </w:p>
    <w:p w14:paraId="2B735C7E" w14:textId="77777777" w:rsidR="006416B0" w:rsidRPr="00B4515A" w:rsidRDefault="005E58C1" w:rsidP="003357B7">
      <w:pPr>
        <w:pStyle w:val="005"/>
        <w:spacing w:before="120" w:after="120"/>
        <w:ind w:firstLine="480"/>
      </w:pPr>
      <w:r w:rsidRPr="00B4515A">
        <w:t>天津七一二通信广播股份有限公司（以下简称七一二）成立于</w:t>
      </w:r>
      <w:r w:rsidRPr="00B4515A">
        <w:t>2004</w:t>
      </w:r>
      <w:r w:rsidRPr="00B4515A">
        <w:t>年</w:t>
      </w:r>
      <w:r w:rsidRPr="00B4515A">
        <w:t>10</w:t>
      </w:r>
      <w:r w:rsidRPr="00B4515A">
        <w:t>月</w:t>
      </w:r>
      <w:r w:rsidRPr="00B4515A">
        <w:t>28</w:t>
      </w:r>
      <w:r w:rsidRPr="00B4515A">
        <w:t>日，七一二于</w:t>
      </w:r>
      <w:r w:rsidRPr="00B4515A">
        <w:t>2018</w:t>
      </w:r>
      <w:r w:rsidRPr="00B4515A">
        <w:t>年在上海证券交易所上市。七一二自成立以来始终服务于国家战略，专注推进我国专网无线通信行业发展。</w:t>
      </w:r>
    </w:p>
    <w:p w14:paraId="03B01DCD" w14:textId="77777777" w:rsidR="006416B0" w:rsidRPr="00B4515A" w:rsidRDefault="005E58C1" w:rsidP="003357B7">
      <w:pPr>
        <w:pStyle w:val="005"/>
        <w:spacing w:before="120" w:after="120"/>
        <w:ind w:firstLine="480"/>
      </w:pPr>
      <w:r w:rsidRPr="00B4515A">
        <w:t>（</w:t>
      </w:r>
      <w:r w:rsidRPr="00B4515A">
        <w:t>3</w:t>
      </w:r>
      <w:r w:rsidRPr="00B4515A">
        <w:t>）上海瀚讯信息技术股份有限公司</w:t>
      </w:r>
    </w:p>
    <w:p w14:paraId="1673F4A7" w14:textId="77777777" w:rsidR="006416B0" w:rsidRPr="00B4515A" w:rsidRDefault="005E58C1" w:rsidP="003357B7">
      <w:pPr>
        <w:pStyle w:val="005"/>
        <w:spacing w:before="120" w:after="120"/>
        <w:ind w:firstLine="480"/>
      </w:pPr>
      <w:r w:rsidRPr="00B4515A">
        <w:t>上海瀚讯信息技术股份有限公司（以下简称上海瀚讯）成立于</w:t>
      </w:r>
      <w:r w:rsidRPr="00B4515A">
        <w:t>2006</w:t>
      </w:r>
      <w:r w:rsidRPr="00B4515A">
        <w:t>年</w:t>
      </w:r>
      <w:r w:rsidRPr="00B4515A">
        <w:t>3</w:t>
      </w:r>
      <w:r w:rsidRPr="00B4515A">
        <w:t>月</w:t>
      </w:r>
      <w:r w:rsidRPr="00B4515A">
        <w:t>20</w:t>
      </w:r>
      <w:r w:rsidRPr="00B4515A">
        <w:t>日，上海瀚讯于</w:t>
      </w:r>
      <w:r w:rsidRPr="00B4515A">
        <w:t>2019</w:t>
      </w:r>
      <w:r w:rsidRPr="00B4515A">
        <w:t>年在深圳证券交易所上市，上海瀚讯主要从事专网宽带移动通信设备的研发、制造、销售及工程实施，结合业务应用软件、指挥调度软件等配套产品，向客户提供专网宽带移动通信系统的整体解决方案。上海瀚讯定位为专网宽带移动通信系统的设备供应商及整体解决方案供应商。</w:t>
      </w:r>
    </w:p>
    <w:p w14:paraId="797D6077" w14:textId="77777777" w:rsidR="006416B0" w:rsidRPr="00B4515A" w:rsidRDefault="005E58C1" w:rsidP="003357B7">
      <w:pPr>
        <w:pStyle w:val="005"/>
        <w:spacing w:before="120" w:after="120"/>
        <w:ind w:firstLine="480"/>
      </w:pPr>
      <w:r w:rsidRPr="00B4515A">
        <w:t>（</w:t>
      </w:r>
      <w:r w:rsidRPr="00B4515A">
        <w:t>4</w:t>
      </w:r>
      <w:r w:rsidRPr="00B4515A">
        <w:t>）武汉中原电子集团有限公司</w:t>
      </w:r>
    </w:p>
    <w:p w14:paraId="59EA9F1A" w14:textId="77777777" w:rsidR="006416B0" w:rsidRPr="00B4515A" w:rsidRDefault="005E58C1" w:rsidP="003357B7">
      <w:pPr>
        <w:pStyle w:val="005"/>
        <w:spacing w:before="120" w:after="120"/>
        <w:ind w:firstLine="480"/>
      </w:pPr>
      <w:r w:rsidRPr="00B4515A">
        <w:t>武汉中原电子集团有限公司（以下简称</w:t>
      </w:r>
      <w:r w:rsidRPr="00B4515A">
        <w:rPr>
          <w:rFonts w:ascii="宋体" w:hAnsi="宋体"/>
        </w:rPr>
        <w:t>“</w:t>
      </w:r>
      <w:r w:rsidRPr="00B4515A">
        <w:t>中原电子</w:t>
      </w:r>
      <w:r w:rsidRPr="00B4515A">
        <w:rPr>
          <w:rFonts w:ascii="宋体" w:hAnsi="宋体"/>
        </w:rPr>
        <w:t>”</w:t>
      </w:r>
      <w:r w:rsidRPr="00B4515A">
        <w:t>）成立于</w:t>
      </w:r>
      <w:r w:rsidRPr="00B4515A">
        <w:t>1999</w:t>
      </w:r>
      <w:r w:rsidRPr="00B4515A">
        <w:t>年</w:t>
      </w:r>
      <w:r w:rsidRPr="00B4515A">
        <w:t>1</w:t>
      </w:r>
      <w:r w:rsidRPr="00B4515A">
        <w:t>月</w:t>
      </w:r>
      <w:r w:rsidRPr="00B4515A">
        <w:t>27</w:t>
      </w:r>
      <w:r w:rsidRPr="00B4515A">
        <w:t>日，注册资本为</w:t>
      </w:r>
      <w:r w:rsidRPr="00B4515A">
        <w:t>63789.1</w:t>
      </w:r>
      <w:r w:rsidRPr="00B4515A">
        <w:t>万元人民币。中原电子的主营业务为通信终端设备及系统的研发及生产，其产品的主要应用领域为超短波通信领域。</w:t>
      </w:r>
    </w:p>
    <w:p w14:paraId="18E69B9D" w14:textId="77777777" w:rsidR="006416B0" w:rsidRPr="00B4515A" w:rsidRDefault="005E58C1" w:rsidP="003357B7">
      <w:pPr>
        <w:pStyle w:val="003"/>
        <w:spacing w:before="120"/>
        <w:ind w:firstLine="482"/>
      </w:pPr>
      <w:r w:rsidRPr="00B4515A">
        <w:t>（二）市场供求状况</w:t>
      </w:r>
    </w:p>
    <w:p w14:paraId="61EC907A" w14:textId="77777777" w:rsidR="006416B0" w:rsidRPr="00B4515A" w:rsidRDefault="005E58C1" w:rsidP="003357B7">
      <w:pPr>
        <w:pStyle w:val="004"/>
        <w:spacing w:before="120" w:after="120"/>
        <w:ind w:firstLine="482"/>
      </w:pPr>
      <w:r w:rsidRPr="00B4515A">
        <w:t>1</w:t>
      </w:r>
      <w:r w:rsidRPr="00B4515A">
        <w:t>、市场需求情况</w:t>
      </w:r>
    </w:p>
    <w:p w14:paraId="4B6F8C3C" w14:textId="77777777" w:rsidR="006416B0" w:rsidRPr="00B4515A" w:rsidRDefault="005E58C1" w:rsidP="003357B7">
      <w:pPr>
        <w:pStyle w:val="005"/>
        <w:spacing w:before="120" w:after="120"/>
        <w:ind w:firstLine="480"/>
      </w:pPr>
      <w:r w:rsidRPr="00B4515A">
        <w:t>大唐联诚提供的产品和技术服务属于特种通信行业范畴近年来，在新一轮科技革命和产业变革推动下，特种通信领域取得重大进展，但信息化水平亟待提高。特通通信行业内有众多领域，在大唐联诚所处的领域内，</w:t>
      </w:r>
      <w:r w:rsidRPr="00B4515A">
        <w:t>2009</w:t>
      </w:r>
      <w:r w:rsidRPr="00B4515A">
        <w:t>年至</w:t>
      </w:r>
      <w:r w:rsidRPr="00B4515A">
        <w:t>2020</w:t>
      </w:r>
      <w:r w:rsidRPr="00B4515A">
        <w:t>年国家投入从</w:t>
      </w:r>
      <w:r w:rsidRPr="00B4515A">
        <w:t>4,829.85</w:t>
      </w:r>
      <w:r w:rsidRPr="00B4515A">
        <w:t>亿元增加至</w:t>
      </w:r>
      <w:r w:rsidRPr="00B4515A">
        <w:t>12,691.68</w:t>
      </w:r>
      <w:r w:rsidRPr="00B4515A">
        <w:t>亿元，年复合增长率为</w:t>
      </w:r>
      <w:r w:rsidRPr="00B4515A">
        <w:t>9.18%</w:t>
      </w:r>
      <w:r w:rsidRPr="00B4515A">
        <w:t>，并将保持</w:t>
      </w:r>
      <w:r w:rsidRPr="00B4515A">
        <w:lastRenderedPageBreak/>
        <w:t>适当增长。</w:t>
      </w:r>
    </w:p>
    <w:p w14:paraId="1163B390" w14:textId="77777777" w:rsidR="006416B0" w:rsidRPr="00B4515A" w:rsidRDefault="005E58C1" w:rsidP="003357B7">
      <w:pPr>
        <w:pStyle w:val="004"/>
        <w:spacing w:before="120" w:after="120"/>
        <w:ind w:firstLine="482"/>
      </w:pPr>
      <w:r w:rsidRPr="00B4515A">
        <w:t>2</w:t>
      </w:r>
      <w:r w:rsidRPr="00B4515A">
        <w:t>、市场供给情况</w:t>
      </w:r>
    </w:p>
    <w:p w14:paraId="38EC6604" w14:textId="77777777" w:rsidR="006416B0" w:rsidRPr="00B4515A" w:rsidRDefault="005E58C1" w:rsidP="003357B7">
      <w:pPr>
        <w:pStyle w:val="005"/>
        <w:spacing w:before="120" w:after="120"/>
        <w:ind w:firstLine="480"/>
      </w:pPr>
      <w:r w:rsidRPr="00B4515A">
        <w:t>近年来，国家先后颁布一系列鼓励性政策，支持优势企业进入特通信息化相关产业链条</w:t>
      </w:r>
      <w:r w:rsidRPr="00B4515A">
        <w:rPr>
          <w:rFonts w:hint="eastAsia"/>
        </w:rPr>
        <w:t>。</w:t>
      </w:r>
      <w:r w:rsidRPr="00B4515A">
        <w:t>随着特种通信领域市场需求的可预计增长，行业整体供给预计将呈现平稳增长的态势。</w:t>
      </w:r>
    </w:p>
    <w:p w14:paraId="601284F6" w14:textId="77777777" w:rsidR="006416B0" w:rsidRPr="00B4515A" w:rsidRDefault="005E58C1" w:rsidP="003357B7">
      <w:pPr>
        <w:pStyle w:val="003"/>
        <w:spacing w:before="120"/>
        <w:ind w:firstLine="482"/>
      </w:pPr>
      <w:r w:rsidRPr="00B4515A">
        <w:t>（三）行业利润水平的变动趋势及变动原因</w:t>
      </w:r>
    </w:p>
    <w:p w14:paraId="4183C595" w14:textId="77777777" w:rsidR="006416B0" w:rsidRPr="00B4515A" w:rsidRDefault="005E58C1" w:rsidP="003357B7">
      <w:pPr>
        <w:pStyle w:val="005"/>
        <w:spacing w:before="120" w:after="120"/>
        <w:ind w:firstLine="480"/>
      </w:pPr>
      <w:r w:rsidRPr="00B4515A">
        <w:t>一方面，标的公司所处的特种通信行业具有较高的准入门槛，竞争对手相对较少，行业市场化程度较低。另一方面，在维护国家整体利益的前提下，特种通信产品定价通常兼顾生产方和使用方的相互利益，充分考虑企业前期研发周期长，研发投入大，</w:t>
      </w:r>
      <w:r w:rsidRPr="00B4515A">
        <w:t xml:space="preserve"> </w:t>
      </w:r>
      <w:r w:rsidRPr="00B4515A">
        <w:t>生产过程必要的补偿以及合作单位合理的利益。因此，特种通信行业利润水平相对稳定。</w:t>
      </w:r>
    </w:p>
    <w:p w14:paraId="773FB466" w14:textId="77777777" w:rsidR="006416B0" w:rsidRPr="00B4515A" w:rsidRDefault="005E58C1" w:rsidP="003357B7">
      <w:pPr>
        <w:pStyle w:val="003"/>
        <w:spacing w:before="120"/>
        <w:ind w:firstLine="482"/>
      </w:pPr>
      <w:r w:rsidRPr="00B4515A">
        <w:t>（四）影响行业发展的有利和不利因素</w:t>
      </w:r>
    </w:p>
    <w:p w14:paraId="61F8B400" w14:textId="77777777" w:rsidR="006416B0" w:rsidRPr="00B4515A" w:rsidRDefault="005E58C1" w:rsidP="003357B7">
      <w:pPr>
        <w:pStyle w:val="004"/>
        <w:spacing w:before="120" w:after="120"/>
        <w:ind w:firstLine="482"/>
      </w:pPr>
      <w:r w:rsidRPr="00B4515A">
        <w:t>1</w:t>
      </w:r>
      <w:r w:rsidRPr="00B4515A">
        <w:t>、有利因素</w:t>
      </w:r>
    </w:p>
    <w:p w14:paraId="1D1E4316" w14:textId="77777777" w:rsidR="006416B0" w:rsidRPr="00B4515A" w:rsidRDefault="005E58C1" w:rsidP="003357B7">
      <w:pPr>
        <w:pStyle w:val="005"/>
        <w:spacing w:before="120" w:after="120"/>
        <w:ind w:firstLine="480"/>
      </w:pPr>
      <w:r w:rsidRPr="00B4515A">
        <w:t>（</w:t>
      </w:r>
      <w:r w:rsidRPr="00B4515A">
        <w:t>1</w:t>
      </w:r>
      <w:r w:rsidRPr="00B4515A">
        <w:t>）特通信息化需求的拉动</w:t>
      </w:r>
    </w:p>
    <w:p w14:paraId="2D0069BA" w14:textId="77777777" w:rsidR="006416B0" w:rsidRPr="00B4515A" w:rsidRDefault="005E58C1" w:rsidP="003357B7">
      <w:pPr>
        <w:pStyle w:val="005"/>
        <w:spacing w:before="120" w:after="120"/>
        <w:ind w:firstLine="480"/>
      </w:pPr>
      <w:r w:rsidRPr="00B4515A">
        <w:t>近年来，在新一轮科技革命和产业变革推动下，特种通信领域取得重大进展，但信息化水平亟待提高。特通通信行业内有众多领域，在大唐联诚所处的领域内，</w:t>
      </w:r>
      <w:r w:rsidRPr="00B4515A">
        <w:t>2009</w:t>
      </w:r>
      <w:r w:rsidRPr="00B4515A">
        <w:t>年至</w:t>
      </w:r>
      <w:r w:rsidRPr="00B4515A">
        <w:t>2020</w:t>
      </w:r>
      <w:r w:rsidRPr="00B4515A">
        <w:t>年国家投入从</w:t>
      </w:r>
      <w:r w:rsidRPr="00B4515A">
        <w:t>4,829.85</w:t>
      </w:r>
      <w:r w:rsidRPr="00B4515A">
        <w:t>亿元增加至</w:t>
      </w:r>
      <w:r w:rsidRPr="00B4515A">
        <w:t>12,691.68</w:t>
      </w:r>
      <w:r w:rsidRPr="00B4515A">
        <w:t>亿元，年复合增长率为</w:t>
      </w:r>
      <w:r w:rsidRPr="00B4515A">
        <w:t>9.18%</w:t>
      </w:r>
      <w:r w:rsidRPr="00B4515A">
        <w:t>，并将保持适当增长。</w:t>
      </w:r>
    </w:p>
    <w:p w14:paraId="03E4CA08" w14:textId="77777777" w:rsidR="006416B0" w:rsidRPr="00B4515A" w:rsidRDefault="005E58C1" w:rsidP="003357B7">
      <w:pPr>
        <w:pStyle w:val="005"/>
        <w:spacing w:before="120" w:after="120"/>
        <w:ind w:firstLine="480"/>
      </w:pPr>
      <w:r w:rsidRPr="00B4515A">
        <w:t>未来，标的公司所处的行业将迎来较大发展。</w:t>
      </w:r>
    </w:p>
    <w:p w14:paraId="7B2756FD" w14:textId="77777777" w:rsidR="006416B0" w:rsidRPr="00B4515A" w:rsidRDefault="005E58C1" w:rsidP="003357B7">
      <w:pPr>
        <w:pStyle w:val="005"/>
        <w:spacing w:before="120" w:after="120"/>
        <w:ind w:firstLine="480"/>
      </w:pPr>
      <w:r w:rsidRPr="00B4515A">
        <w:t>（</w:t>
      </w:r>
      <w:r w:rsidRPr="00B4515A">
        <w:t>2</w:t>
      </w:r>
      <w:r w:rsidRPr="00B4515A">
        <w:t>）特通信息化战略地位提升</w:t>
      </w:r>
    </w:p>
    <w:p w14:paraId="2F41300E" w14:textId="77777777" w:rsidR="006416B0" w:rsidRPr="00B4515A" w:rsidRDefault="005E58C1" w:rsidP="003357B7">
      <w:pPr>
        <w:pStyle w:val="005"/>
        <w:spacing w:before="120" w:after="120"/>
        <w:ind w:firstLine="480"/>
      </w:pPr>
      <w:r w:rsidRPr="00B4515A">
        <w:t>在新一轮科技革命和产业变革推动下，战争形态加速向信息化战争演变，中国特色军事变革取得重大进展，但信息化水平亟待提高。随着我国特通信息化建设全面开启，行业将迎来新的发展机遇。</w:t>
      </w:r>
    </w:p>
    <w:p w14:paraId="72DD6492" w14:textId="77777777" w:rsidR="006416B0" w:rsidRPr="00B4515A" w:rsidRDefault="005E58C1" w:rsidP="003357B7">
      <w:pPr>
        <w:pStyle w:val="005"/>
        <w:spacing w:before="120" w:after="120"/>
        <w:ind w:firstLine="480"/>
      </w:pPr>
      <w:r w:rsidRPr="00B4515A">
        <w:t>（</w:t>
      </w:r>
      <w:r w:rsidRPr="00B4515A">
        <w:t>3</w:t>
      </w:r>
      <w:r w:rsidRPr="00B4515A">
        <w:t>）国家注重科技创新，特种通信行业自主可控需求迫切</w:t>
      </w:r>
    </w:p>
    <w:p w14:paraId="32682CED" w14:textId="77777777" w:rsidR="006416B0" w:rsidRPr="00B4515A" w:rsidRDefault="005E58C1" w:rsidP="003357B7">
      <w:pPr>
        <w:pStyle w:val="005"/>
        <w:spacing w:before="120" w:after="120"/>
        <w:ind w:firstLine="480"/>
      </w:pPr>
      <w:r w:rsidRPr="00B4515A">
        <w:t>当前，全球局势复杂性不断增加，世界各国在国防科技领域的竞争加剧，为了避免关键技术环节受制于人，国家高度重视特通信息化领域的自主可控，在研</w:t>
      </w:r>
      <w:r w:rsidRPr="00B4515A">
        <w:lastRenderedPageBreak/>
        <w:t>发投入等方面提供有力支持。随着我国特通信息化建设的不断深入，特种通信系统必将步入快速建设阶段。</w:t>
      </w:r>
    </w:p>
    <w:p w14:paraId="61904B8C" w14:textId="77777777" w:rsidR="006416B0" w:rsidRPr="00B4515A" w:rsidRDefault="005E58C1" w:rsidP="003357B7">
      <w:pPr>
        <w:pStyle w:val="004"/>
        <w:spacing w:before="120" w:after="120"/>
        <w:ind w:firstLine="482"/>
      </w:pPr>
      <w:r w:rsidRPr="00B4515A">
        <w:t>2</w:t>
      </w:r>
      <w:r w:rsidRPr="00B4515A">
        <w:t>、不利因素</w:t>
      </w:r>
    </w:p>
    <w:p w14:paraId="77AF36B0" w14:textId="77777777" w:rsidR="006416B0" w:rsidRPr="00B4515A" w:rsidRDefault="005E58C1" w:rsidP="003357B7">
      <w:pPr>
        <w:pStyle w:val="005"/>
        <w:spacing w:before="120" w:after="120"/>
        <w:ind w:firstLine="480"/>
      </w:pPr>
      <w:r w:rsidRPr="00B4515A">
        <w:t>（</w:t>
      </w:r>
      <w:r w:rsidRPr="00B4515A">
        <w:t>1</w:t>
      </w:r>
      <w:r w:rsidRPr="00B4515A">
        <w:t>）贸易摩擦对行业产生不利影响</w:t>
      </w:r>
    </w:p>
    <w:p w14:paraId="17D1EF4F" w14:textId="77777777" w:rsidR="006416B0" w:rsidRPr="00B4515A" w:rsidRDefault="005E58C1" w:rsidP="003357B7">
      <w:pPr>
        <w:pStyle w:val="005"/>
        <w:spacing w:before="120" w:after="120"/>
        <w:ind w:firstLine="480"/>
      </w:pPr>
      <w:r w:rsidRPr="00B4515A">
        <w:t>中美贸易摩擦的不确定性仍然存在，各国的关税等进出口政策受政治环境影响较大，由于政治因素，西方等发达国家在先进技术方面对我国进行严格封锁，导致我国一些重点和关键的技术上形成技术壁垒，导致我国部分关键产业和企业经营发展较为困难。</w:t>
      </w:r>
    </w:p>
    <w:p w14:paraId="6BD6566E" w14:textId="77777777" w:rsidR="006416B0" w:rsidRPr="00B4515A" w:rsidRDefault="005E58C1" w:rsidP="003357B7">
      <w:pPr>
        <w:pStyle w:val="005"/>
        <w:spacing w:before="120" w:after="120"/>
        <w:ind w:firstLine="480"/>
      </w:pPr>
      <w:r w:rsidRPr="00B4515A">
        <w:t>（</w:t>
      </w:r>
      <w:r w:rsidRPr="00B4515A">
        <w:t>2</w:t>
      </w:r>
      <w:r w:rsidRPr="00B4515A">
        <w:t>）研发需要配置较多的资源</w:t>
      </w:r>
    </w:p>
    <w:p w14:paraId="18BEA4A9" w14:textId="77777777" w:rsidR="006416B0" w:rsidRPr="00B4515A" w:rsidRDefault="005E58C1" w:rsidP="003357B7">
      <w:pPr>
        <w:pStyle w:val="005"/>
        <w:spacing w:before="120" w:after="120"/>
        <w:ind w:firstLine="480"/>
      </w:pPr>
      <w:r w:rsidRPr="00B4515A">
        <w:t>特种通信型号产品的技术水平要求较高，具有研发周期长、研发投入大和研发风险高等特点，而通过产品列装销售带来的收入相对滞后，企业需先行投入大量的研发资源以保证研发的顺利推进和正常运转。</w:t>
      </w:r>
    </w:p>
    <w:p w14:paraId="64BFB40B" w14:textId="77777777" w:rsidR="006416B0" w:rsidRPr="00B4515A" w:rsidRDefault="005E58C1" w:rsidP="003357B7">
      <w:pPr>
        <w:pStyle w:val="003"/>
        <w:spacing w:before="120"/>
        <w:ind w:firstLine="482"/>
      </w:pPr>
      <w:r w:rsidRPr="00B4515A">
        <w:t>（五）进入行业的主要壁垒</w:t>
      </w:r>
    </w:p>
    <w:p w14:paraId="296B033B" w14:textId="77777777" w:rsidR="006416B0" w:rsidRPr="00B4515A" w:rsidRDefault="005E58C1" w:rsidP="003357B7">
      <w:pPr>
        <w:pStyle w:val="005"/>
        <w:spacing w:before="120" w:after="120"/>
        <w:ind w:firstLine="480"/>
      </w:pPr>
      <w:r w:rsidRPr="00B4515A">
        <w:t>（</w:t>
      </w:r>
      <w:r w:rsidRPr="00B4515A">
        <w:t>1</w:t>
      </w:r>
      <w:r w:rsidRPr="00B4515A">
        <w:t>）资质壁垒</w:t>
      </w:r>
    </w:p>
    <w:p w14:paraId="0967C43B" w14:textId="77777777" w:rsidR="006416B0" w:rsidRPr="00B4515A" w:rsidRDefault="005E58C1" w:rsidP="003357B7">
      <w:pPr>
        <w:pStyle w:val="005"/>
        <w:spacing w:before="120" w:after="120"/>
        <w:ind w:firstLine="480"/>
      </w:pPr>
      <w:r w:rsidRPr="00B4515A">
        <w:t>我国对从事特种通信产品研发、生产和销售的企业有着严格的资质认证管理，企业需同时拥有多种相关资质条件才能进行相应科研生产活动，新进入行业内的企业难以在短时间内获得监管部门的资质认可，因此，对于新进入者而言，具有较高的资质壁垒。</w:t>
      </w:r>
    </w:p>
    <w:p w14:paraId="6CDFBE15" w14:textId="77777777" w:rsidR="006416B0" w:rsidRPr="00B4515A" w:rsidRDefault="005E58C1" w:rsidP="003357B7">
      <w:pPr>
        <w:pStyle w:val="005"/>
        <w:spacing w:before="120" w:after="120"/>
        <w:ind w:firstLine="480"/>
      </w:pPr>
      <w:r w:rsidRPr="00B4515A">
        <w:t>（</w:t>
      </w:r>
      <w:r w:rsidRPr="00B4515A">
        <w:t>2</w:t>
      </w:r>
      <w:r w:rsidRPr="00B4515A">
        <w:t>）技术壁垒</w:t>
      </w:r>
    </w:p>
    <w:p w14:paraId="5E8C23BD" w14:textId="77777777" w:rsidR="006416B0" w:rsidRPr="00B4515A" w:rsidRDefault="005E58C1" w:rsidP="003357B7">
      <w:pPr>
        <w:pStyle w:val="005"/>
        <w:spacing w:before="120" w:after="120"/>
        <w:ind w:firstLine="480"/>
      </w:pPr>
      <w:r w:rsidRPr="00B4515A">
        <w:t>在技术层面，虽然特种通信产品和民品的部分基础技术相同，但是由于二者的市场需求不同，导致特种通信产品和民品在技术应用上有差异。特种通信产品生产具有特殊的标准和规范，客户对产品的质量水平、技术含量要求较高，并且特种通信产品和民品在技术指标、产品性能等方面具有较大差异，若非特种通信产品行业的企业想要进入该行业，需耗费较高的资金和时间成本在技术水平、产品质量和研发能力等方面进行改进和提升。对于新进入行业内的企业，由于其无法在短时间内积累丰富的技术知识，缺乏特种通信产品生产经验和工艺的积累，因此也无法研发出高质量且符合客户需求的产品。</w:t>
      </w:r>
    </w:p>
    <w:p w14:paraId="4143EA18" w14:textId="77777777" w:rsidR="006416B0" w:rsidRPr="00B4515A" w:rsidRDefault="005E58C1" w:rsidP="003357B7">
      <w:pPr>
        <w:pStyle w:val="005"/>
        <w:spacing w:before="120" w:after="120"/>
        <w:ind w:firstLine="480"/>
      </w:pPr>
      <w:r w:rsidRPr="00B4515A">
        <w:lastRenderedPageBreak/>
        <w:t>（</w:t>
      </w:r>
      <w:r w:rsidRPr="00B4515A">
        <w:t>3</w:t>
      </w:r>
      <w:r w:rsidRPr="00B4515A">
        <w:t>）资金壁垒</w:t>
      </w:r>
    </w:p>
    <w:p w14:paraId="65786BCA" w14:textId="77777777" w:rsidR="006416B0" w:rsidRPr="00B4515A" w:rsidRDefault="005E58C1" w:rsidP="003357B7">
      <w:pPr>
        <w:pStyle w:val="005"/>
        <w:spacing w:before="120" w:after="120"/>
        <w:ind w:firstLine="480"/>
      </w:pPr>
      <w:r w:rsidRPr="00B4515A">
        <w:t>特种通信型号产品的技术水平要求较高，具有研发周期长、研发投入大和研发风险高等特点，而通过产品列装销售带来的收入相对滞后，企业需先行投入大量的研发资源以保证研发的顺利推进和正常运转。此外，特种通信客户在产品的安全性、可靠性和技术先进性等方面均具有较高要求，相关产品的承研承制单位需要不断投入大量的资金进行研发升级并对现有产品性能进行不断改进。以上因素导致进入特种无线通信领域需要一定的资金规模。</w:t>
      </w:r>
    </w:p>
    <w:p w14:paraId="57CC12C0" w14:textId="77777777" w:rsidR="006416B0" w:rsidRPr="00B4515A" w:rsidRDefault="005E58C1" w:rsidP="003357B7">
      <w:pPr>
        <w:pStyle w:val="005"/>
        <w:spacing w:before="120" w:after="120"/>
        <w:ind w:firstLine="480"/>
      </w:pPr>
      <w:r w:rsidRPr="00B4515A">
        <w:t>（</w:t>
      </w:r>
      <w:r w:rsidRPr="00B4515A">
        <w:t>4</w:t>
      </w:r>
      <w:r w:rsidRPr="00B4515A">
        <w:t>）型号壁垒</w:t>
      </w:r>
    </w:p>
    <w:p w14:paraId="4AF83EF1" w14:textId="77777777" w:rsidR="006416B0" w:rsidRPr="00B4515A" w:rsidRDefault="005E58C1" w:rsidP="003357B7">
      <w:pPr>
        <w:pStyle w:val="005"/>
        <w:spacing w:before="120" w:after="120"/>
        <w:ind w:firstLine="480"/>
      </w:pPr>
      <w:r w:rsidRPr="00B4515A">
        <w:t>特种通信产品市场的计划性较强，拟正式列编和列装的新型产品，应当按照规定进行产品定型。只有参与了型号产品研制并通过型号鉴定的企业才能成为型号产品的承制单位才能获取客户的列装采购订单。型号研制是产品定型的必经阶段，一般包含方案证、初样研制、产品试用、正样研制、产品试验、型号鉴定等环节，企业需要根据客户的需求进行不断研发、调试、试验，具有较长的研发周期和测试周期，非特种通信领域内企业一般难以参与到整个流程。</w:t>
      </w:r>
    </w:p>
    <w:p w14:paraId="309392AC" w14:textId="77777777" w:rsidR="006416B0" w:rsidRPr="00B4515A" w:rsidRDefault="005E58C1" w:rsidP="003357B7">
      <w:pPr>
        <w:pStyle w:val="003"/>
        <w:spacing w:before="120"/>
        <w:ind w:firstLine="482"/>
      </w:pPr>
      <w:r w:rsidRPr="00B4515A">
        <w:t>（六）行业的技术水平及技术特点、经营模式、周期性、季节性及区域性</w:t>
      </w:r>
    </w:p>
    <w:p w14:paraId="286E9246" w14:textId="77777777" w:rsidR="006416B0" w:rsidRPr="00B4515A" w:rsidRDefault="005E58C1" w:rsidP="003357B7">
      <w:pPr>
        <w:pStyle w:val="004"/>
        <w:spacing w:before="120" w:after="120"/>
        <w:ind w:firstLine="482"/>
      </w:pPr>
      <w:r w:rsidRPr="00B4515A">
        <w:t>1</w:t>
      </w:r>
      <w:r w:rsidRPr="00B4515A">
        <w:t>、行业技术水平及技术特点</w:t>
      </w:r>
    </w:p>
    <w:p w14:paraId="34EE4D57" w14:textId="77777777" w:rsidR="006416B0" w:rsidRPr="00B4515A" w:rsidRDefault="005E58C1" w:rsidP="003357B7">
      <w:pPr>
        <w:pStyle w:val="005"/>
        <w:spacing w:before="120" w:after="120"/>
        <w:ind w:firstLine="480"/>
      </w:pPr>
      <w:r w:rsidRPr="00B4515A">
        <w:t>（</w:t>
      </w:r>
      <w:r w:rsidRPr="00B4515A">
        <w:t>1</w:t>
      </w:r>
      <w:r w:rsidRPr="00B4515A">
        <w:t>）行业技术水平</w:t>
      </w:r>
    </w:p>
    <w:p w14:paraId="3519C824" w14:textId="77777777" w:rsidR="006416B0" w:rsidRPr="00B4515A" w:rsidRDefault="005E58C1" w:rsidP="003357B7">
      <w:pPr>
        <w:pStyle w:val="005"/>
        <w:spacing w:before="120" w:after="120"/>
        <w:ind w:firstLine="480"/>
      </w:pPr>
      <w:r w:rsidRPr="00B4515A">
        <w:t>特种通信的使用环境多为野外场景，对通信保障的移动能力要求高，无线通信是特种通信的主要手段。随着民用无线通信技术的发展和特种行业信息化建设的稳步推进，特种通信行业无线通信手段实现了从模拟到数字、从单一话音业务到多媒体业务、从国外引进为主到自主设计生产的发展和演进。</w:t>
      </w:r>
    </w:p>
    <w:p w14:paraId="391FD622" w14:textId="77777777" w:rsidR="006416B0" w:rsidRPr="00B4515A" w:rsidRDefault="005E58C1" w:rsidP="003357B7">
      <w:pPr>
        <w:pStyle w:val="005"/>
        <w:spacing w:before="120" w:after="120"/>
        <w:ind w:firstLine="480"/>
      </w:pPr>
      <w:r w:rsidRPr="00B4515A">
        <w:t>随着我国特种通信技术的发展，我国特种通信已基本实现通信技术体制由模拟向数字转变，通信终端由单一功能向多功能转变，通信网路由单项业务向综合业务转变，通信管理由人工向智能转变。</w:t>
      </w:r>
    </w:p>
    <w:p w14:paraId="1566B404" w14:textId="77777777" w:rsidR="006416B0" w:rsidRPr="00B4515A" w:rsidRDefault="005E58C1" w:rsidP="003357B7">
      <w:pPr>
        <w:pStyle w:val="005"/>
        <w:spacing w:before="120" w:after="120"/>
        <w:ind w:firstLine="480"/>
      </w:pPr>
      <w:r w:rsidRPr="00B4515A">
        <w:t>（</w:t>
      </w:r>
      <w:r w:rsidRPr="00B4515A">
        <w:t>2</w:t>
      </w:r>
      <w:r w:rsidRPr="00B4515A">
        <w:t>）行业技术特点</w:t>
      </w:r>
    </w:p>
    <w:p w14:paraId="2014B2E1" w14:textId="77777777" w:rsidR="006416B0" w:rsidRPr="00B4515A" w:rsidRDefault="005E58C1" w:rsidP="003357B7">
      <w:pPr>
        <w:pStyle w:val="005"/>
        <w:spacing w:before="120" w:after="120"/>
        <w:ind w:firstLine="480"/>
      </w:pPr>
      <w:r w:rsidRPr="00B4515A">
        <w:t>特种通信与民用无线通信在需求方面都呈现出宽带化、移动化的发展趋势，宽带移动通信已经成为未来特种通信技术重要的发展方向。相较于民用无线通信，</w:t>
      </w:r>
      <w:r w:rsidRPr="00B4515A">
        <w:lastRenderedPageBreak/>
        <w:t>特种通信设备环境适应性、抗干扰、安全保密等方面的要求较高，并呈现出高定制化的特性，且需要根据新需求进行持续升级更新，对行业内企业的技术持续演进和全寿命保障提出要求。</w:t>
      </w:r>
    </w:p>
    <w:p w14:paraId="551F28C5" w14:textId="77777777" w:rsidR="006416B0" w:rsidRPr="00B4515A" w:rsidRDefault="005E58C1" w:rsidP="003357B7">
      <w:pPr>
        <w:pStyle w:val="004"/>
        <w:spacing w:before="120" w:after="120"/>
        <w:ind w:firstLine="482"/>
      </w:pPr>
      <w:r w:rsidRPr="00B4515A">
        <w:t>2</w:t>
      </w:r>
      <w:r w:rsidRPr="00B4515A">
        <w:t>、行业经营模式</w:t>
      </w:r>
    </w:p>
    <w:p w14:paraId="276BEEE6" w14:textId="77777777" w:rsidR="006416B0" w:rsidRPr="00B4515A" w:rsidRDefault="005E58C1" w:rsidP="003357B7">
      <w:pPr>
        <w:pStyle w:val="005"/>
        <w:spacing w:before="120" w:after="120"/>
        <w:ind w:firstLine="480"/>
      </w:pPr>
      <w:r w:rsidRPr="00B4515A">
        <w:t>（</w:t>
      </w:r>
      <w:r w:rsidRPr="00B4515A">
        <w:t>1</w:t>
      </w:r>
      <w:r w:rsidRPr="00B4515A">
        <w:t>）生产模式</w:t>
      </w:r>
    </w:p>
    <w:p w14:paraId="72B8C585" w14:textId="371E32FB" w:rsidR="006416B0" w:rsidRPr="00B4515A" w:rsidRDefault="005E58C1" w:rsidP="003357B7">
      <w:pPr>
        <w:pStyle w:val="005"/>
        <w:spacing w:before="120" w:after="120"/>
        <w:ind w:firstLine="480"/>
      </w:pPr>
      <w:r w:rsidRPr="00B4515A">
        <w:t>我国对从事特种通信产品研发、生产和销售的企业有着严格的资质认证管理，企业需同时拥有多种相关资质条件才能进行产品的科研生产活动。</w:t>
      </w:r>
    </w:p>
    <w:p w14:paraId="357E6299" w14:textId="77777777" w:rsidR="006416B0" w:rsidRPr="00B4515A" w:rsidRDefault="005E58C1" w:rsidP="003357B7">
      <w:pPr>
        <w:pStyle w:val="005"/>
        <w:spacing w:before="120" w:after="120"/>
        <w:ind w:firstLine="480"/>
      </w:pPr>
      <w:r w:rsidRPr="00B4515A">
        <w:t>（</w:t>
      </w:r>
      <w:r w:rsidRPr="00B4515A">
        <w:t>2</w:t>
      </w:r>
      <w:r w:rsidRPr="00B4515A">
        <w:t>）销售模式</w:t>
      </w:r>
    </w:p>
    <w:p w14:paraId="4C9954FC" w14:textId="5A756BCC" w:rsidR="006416B0" w:rsidRPr="00B4515A" w:rsidRDefault="005E58C1" w:rsidP="003357B7">
      <w:pPr>
        <w:pStyle w:val="005"/>
        <w:spacing w:before="120" w:after="120"/>
        <w:ind w:firstLine="480"/>
      </w:pPr>
      <w:r w:rsidRPr="00B4515A">
        <w:t>根据特</w:t>
      </w:r>
      <w:r w:rsidR="00B17B97" w:rsidRPr="00B4515A">
        <w:rPr>
          <w:rFonts w:hint="eastAsia"/>
        </w:rPr>
        <w:t>种</w:t>
      </w:r>
      <w:r w:rsidRPr="00B4515A">
        <w:t>通信客户的现行采购制度，拟正式列编和列装的新型产品，应当按照规定进行产品定型。特</w:t>
      </w:r>
      <w:r w:rsidR="00B17B97" w:rsidRPr="00B4515A">
        <w:rPr>
          <w:rFonts w:hint="eastAsia"/>
        </w:rPr>
        <w:t>种</w:t>
      </w:r>
      <w:r w:rsidRPr="00B4515A">
        <w:t>通信产品通常由研发企业作为定型后保障生产的供应商，在新型号产品研制阶段，企业即通过参与招标等方式获得研制资格，参与型号产品的研制全过程，从而能够成为该型号</w:t>
      </w:r>
      <w:r w:rsidRPr="00B4515A">
        <w:rPr>
          <w:rFonts w:eastAsiaTheme="minorEastAsia"/>
        </w:rPr>
        <w:t>产品</w:t>
      </w:r>
      <w:r w:rsidRPr="00B4515A">
        <w:t>的供应商之一，进而才能获取型号产品定型后批量生产的订单，形成了以产品研发驱动的销售模式。</w:t>
      </w:r>
    </w:p>
    <w:p w14:paraId="315E1360" w14:textId="77777777" w:rsidR="006416B0" w:rsidRPr="00B4515A" w:rsidRDefault="005E58C1" w:rsidP="003357B7">
      <w:pPr>
        <w:pStyle w:val="005"/>
        <w:spacing w:before="120" w:after="120"/>
        <w:ind w:firstLine="480"/>
      </w:pPr>
      <w:r w:rsidRPr="00B4515A">
        <w:t>（</w:t>
      </w:r>
      <w:r w:rsidRPr="00B4515A">
        <w:t>3</w:t>
      </w:r>
      <w:r w:rsidRPr="00B4515A">
        <w:t>）采购模式</w:t>
      </w:r>
    </w:p>
    <w:p w14:paraId="011A1CD3" w14:textId="77777777" w:rsidR="006416B0" w:rsidRPr="00B4515A" w:rsidRDefault="005E58C1" w:rsidP="003357B7">
      <w:pPr>
        <w:pStyle w:val="005"/>
        <w:spacing w:before="120" w:after="120"/>
        <w:ind w:firstLine="480"/>
      </w:pPr>
      <w:r w:rsidRPr="00B4515A">
        <w:t>根据国家有关规定关于外购器材的质量管理要求，各外购器材单位的资质一般经由公司质量部门组织进行供应商认证审核流程，通过后备案合格供应商，列入《合格供应商名录》，名录经客户代表审核。涉及采购相关供应商必须纳入到公司《合格供应商名录》后方可实施采购活动。</w:t>
      </w:r>
    </w:p>
    <w:p w14:paraId="61D0810C" w14:textId="77777777" w:rsidR="006416B0" w:rsidRPr="00B4515A" w:rsidRDefault="005E58C1" w:rsidP="003357B7">
      <w:pPr>
        <w:pStyle w:val="004"/>
        <w:spacing w:before="120" w:after="120"/>
        <w:ind w:firstLine="482"/>
      </w:pPr>
      <w:r w:rsidRPr="00B4515A">
        <w:t>3</w:t>
      </w:r>
      <w:r w:rsidRPr="00B4515A">
        <w:t>、行业的周期性、季节性及区域性特征</w:t>
      </w:r>
    </w:p>
    <w:p w14:paraId="16F3A49F" w14:textId="77777777" w:rsidR="006416B0" w:rsidRPr="00B4515A" w:rsidRDefault="005E58C1" w:rsidP="003357B7">
      <w:pPr>
        <w:pStyle w:val="005"/>
        <w:spacing w:before="120" w:after="120"/>
        <w:ind w:firstLine="480"/>
      </w:pPr>
      <w:r w:rsidRPr="00B4515A">
        <w:t>标的公司所处的特种通信行业的发展与国际环境、国家安全形势、地缘政治等因素息息相关，整体不存在明显的周期性。</w:t>
      </w:r>
    </w:p>
    <w:p w14:paraId="1BFF1EFD" w14:textId="65B55CEE" w:rsidR="006416B0" w:rsidRPr="00B4515A" w:rsidRDefault="005E58C1" w:rsidP="003357B7">
      <w:pPr>
        <w:pStyle w:val="005"/>
        <w:spacing w:before="120" w:after="120"/>
        <w:ind w:firstLine="480"/>
      </w:pPr>
      <w:r w:rsidRPr="00B4515A">
        <w:t>标的公司处于特种通信领域，产品生产及使用本身不受季节性因素影响，但特</w:t>
      </w:r>
      <w:r w:rsidR="00B17B97" w:rsidRPr="00B4515A">
        <w:rPr>
          <w:rFonts w:hint="eastAsia"/>
        </w:rPr>
        <w:t>种</w:t>
      </w:r>
      <w:r w:rsidRPr="00B4515A">
        <w:t>通信产品业务受下游单位实行预算管理、采购审批决策和管理流程计划性较强、配套商响应等因素影响，下游单位大多在下半年进入验收、结算高峰期，该等情形主要系业务流程所致，行业本身不存在明显的季节性。</w:t>
      </w:r>
    </w:p>
    <w:p w14:paraId="25547E5E" w14:textId="77777777" w:rsidR="006416B0" w:rsidRPr="00B4515A" w:rsidRDefault="005E58C1" w:rsidP="003357B7">
      <w:pPr>
        <w:pStyle w:val="005"/>
        <w:spacing w:before="120" w:after="120"/>
        <w:ind w:firstLine="480"/>
        <w:rPr>
          <w:rFonts w:eastAsiaTheme="minorEastAsia"/>
        </w:rPr>
      </w:pPr>
      <w:r w:rsidRPr="00B4515A">
        <w:rPr>
          <w:rFonts w:eastAsiaTheme="minorEastAsia"/>
        </w:rPr>
        <w:t>特种通信行业的市场分布不存在明显的区域性特征。</w:t>
      </w:r>
    </w:p>
    <w:p w14:paraId="3580A74D" w14:textId="77777777" w:rsidR="006416B0" w:rsidRPr="00B4515A" w:rsidRDefault="005E58C1" w:rsidP="003357B7">
      <w:pPr>
        <w:pStyle w:val="003"/>
        <w:spacing w:before="120"/>
        <w:ind w:firstLine="482"/>
      </w:pPr>
      <w:r w:rsidRPr="00B4515A">
        <w:lastRenderedPageBreak/>
        <w:t>（七）行业上下游的关联性及上下游行业发展对本行业的影响</w:t>
      </w:r>
    </w:p>
    <w:p w14:paraId="239F15EF" w14:textId="77777777" w:rsidR="006416B0" w:rsidRPr="00B4515A" w:rsidRDefault="005E58C1" w:rsidP="003357B7">
      <w:pPr>
        <w:pStyle w:val="005"/>
        <w:spacing w:before="120" w:after="120"/>
        <w:ind w:firstLine="480"/>
      </w:pPr>
      <w:r w:rsidRPr="00B4515A">
        <w:t>专网无线通信产业链如下：</w:t>
      </w:r>
    </w:p>
    <w:p w14:paraId="291926F3" w14:textId="77777777" w:rsidR="006416B0" w:rsidRPr="00B4515A" w:rsidRDefault="006416B0">
      <w:pPr>
        <w:spacing w:beforeLines="50" w:before="120" w:afterLines="50" w:after="120" w:line="360" w:lineRule="auto"/>
        <w:ind w:firstLineChars="100" w:firstLine="240"/>
        <w:jc w:val="both"/>
        <w:rPr>
          <w:rFonts w:ascii="Times New Roman" w:hAnsi="Times New Roman" w:cs="Times New Roman"/>
        </w:rPr>
      </w:pPr>
    </w:p>
    <w:p w14:paraId="44F809CD" w14:textId="77777777" w:rsidR="006416B0" w:rsidRPr="00B4515A" w:rsidRDefault="005E58C1">
      <w:pPr>
        <w:spacing w:beforeLines="50" w:before="120" w:afterLines="50" w:after="120" w:line="360" w:lineRule="auto"/>
        <w:ind w:firstLineChars="100" w:firstLine="240"/>
        <w:jc w:val="center"/>
        <w:rPr>
          <w:rFonts w:ascii="Times New Roman" w:hAnsi="Times New Roman" w:cs="Times New Roman"/>
        </w:rPr>
      </w:pPr>
      <w:r w:rsidRPr="00B4515A">
        <w:rPr>
          <w:rFonts w:ascii="Times New Roman" w:hAnsi="Times New Roman" w:cs="Times New Roman"/>
          <w:noProof/>
        </w:rPr>
        <w:drawing>
          <wp:inline distT="0" distB="0" distL="0" distR="0" wp14:anchorId="40622BF4" wp14:editId="113D14CC">
            <wp:extent cx="3883025" cy="225933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883025" cy="2259330"/>
                    </a:xfrm>
                    <a:prstGeom prst="rect">
                      <a:avLst/>
                    </a:prstGeom>
                    <a:noFill/>
                    <a:ln>
                      <a:noFill/>
                    </a:ln>
                  </pic:spPr>
                </pic:pic>
              </a:graphicData>
            </a:graphic>
          </wp:inline>
        </w:drawing>
      </w:r>
    </w:p>
    <w:p w14:paraId="7A9CC8EC" w14:textId="77777777" w:rsidR="006416B0" w:rsidRPr="00B4515A" w:rsidRDefault="005E58C1" w:rsidP="003357B7">
      <w:pPr>
        <w:pStyle w:val="005"/>
        <w:spacing w:before="120" w:after="120"/>
        <w:ind w:firstLine="480"/>
      </w:pPr>
      <w:r w:rsidRPr="00B4515A">
        <w:t>专网无线通信产业链的上游主要为电子元器件制造业和塑胶与五金结构件制造业，行业的市场化程度高，行业竞争较大</w:t>
      </w:r>
      <w:r w:rsidRPr="00B4515A">
        <w:rPr>
          <w:rFonts w:hint="eastAsia"/>
        </w:rPr>
        <w:t>。</w:t>
      </w:r>
      <w:r w:rsidRPr="00B4515A">
        <w:t>未来，随着行业内竞争的加剧，关键元器件国产化的实现，专网无线通信行业相关的原材料部件采购成本将呈现下降趋势。</w:t>
      </w:r>
    </w:p>
    <w:p w14:paraId="6BD50290" w14:textId="77777777" w:rsidR="006416B0" w:rsidRPr="00B4515A" w:rsidRDefault="005E58C1" w:rsidP="003357B7">
      <w:pPr>
        <w:pStyle w:val="005"/>
        <w:spacing w:before="120" w:after="120"/>
        <w:ind w:firstLine="480"/>
      </w:pPr>
      <w:r w:rsidRPr="00B4515A">
        <w:t>专网无线通信产业链的下游为特定部门或群体，包括包括警用、军用、商用和民用市场，专网无线通信主要服务于特定行业的客户，由于不同行业客户的需求差异较大，行业标准有所不同，因此企业需要深入理解不同行业客户的独特需求，以针对性地开发差异化的产品，行业内具有较高的资质壁垒和技术壁垒。专网无线通信行业受国家政策和投资预算的影响较大，下游市场的政策变化会直接影响到该行业的发展，由于各国保障公共安全的需求不断增加，专网无线通信行业具有良好的发展空间和市场前景。</w:t>
      </w:r>
    </w:p>
    <w:p w14:paraId="65D03FD4" w14:textId="77777777" w:rsidR="006416B0" w:rsidRPr="00B4515A" w:rsidRDefault="005E58C1" w:rsidP="003357B7">
      <w:pPr>
        <w:pStyle w:val="002"/>
        <w:spacing w:before="120" w:after="120"/>
        <w:ind w:firstLine="562"/>
      </w:pPr>
      <w:bookmarkStart w:id="320" w:name="_Toc80960573"/>
      <w:r w:rsidRPr="00B4515A">
        <w:rPr>
          <w:rFonts w:hint="eastAsia"/>
        </w:rPr>
        <w:t>三、标的公司核心竞争力及行业地位分析</w:t>
      </w:r>
      <w:bookmarkEnd w:id="320"/>
    </w:p>
    <w:p w14:paraId="012D890D" w14:textId="77777777" w:rsidR="006416B0" w:rsidRPr="00B4515A" w:rsidRDefault="005E58C1" w:rsidP="003357B7">
      <w:pPr>
        <w:pStyle w:val="003"/>
        <w:spacing w:before="120"/>
        <w:ind w:firstLine="482"/>
      </w:pPr>
      <w:r w:rsidRPr="00B4515A">
        <w:rPr>
          <w:rFonts w:hint="eastAsia"/>
        </w:rPr>
        <w:t>（一）标的公司的行业地位</w:t>
      </w:r>
    </w:p>
    <w:p w14:paraId="4AEF73D1" w14:textId="77777777" w:rsidR="006416B0" w:rsidRPr="00B4515A" w:rsidRDefault="005E58C1" w:rsidP="003357B7">
      <w:pPr>
        <w:pStyle w:val="005"/>
        <w:spacing w:before="120" w:after="120"/>
        <w:ind w:firstLine="480"/>
      </w:pPr>
      <w:r w:rsidRPr="00B4515A">
        <w:t>报告期内，大唐联诚持续聚焦发展专用移动通信、专用宽带电台和宽带移动安全应用三个业务方向。在各业务方向下，大唐联诚所处行业地位、市场份额和主要竞争对手情况如下：</w:t>
      </w:r>
    </w:p>
    <w:p w14:paraId="5F3AE654" w14:textId="77777777" w:rsidR="006416B0" w:rsidRPr="00B4515A" w:rsidRDefault="005E58C1" w:rsidP="003357B7">
      <w:pPr>
        <w:pStyle w:val="004"/>
        <w:spacing w:before="120" w:after="120"/>
        <w:ind w:firstLine="482"/>
      </w:pPr>
      <w:r w:rsidRPr="00B4515A">
        <w:lastRenderedPageBreak/>
        <w:t>1</w:t>
      </w:r>
      <w:r w:rsidRPr="00B4515A">
        <w:t>、专用移动通信</w:t>
      </w:r>
    </w:p>
    <w:p w14:paraId="71A2FBCE" w14:textId="77777777" w:rsidR="006416B0" w:rsidRPr="00B4515A" w:rsidRDefault="005E58C1" w:rsidP="003357B7">
      <w:pPr>
        <w:pStyle w:val="005"/>
        <w:spacing w:before="120" w:after="120"/>
        <w:ind w:firstLine="480"/>
      </w:pPr>
      <w:r w:rsidRPr="00B4515A">
        <w:t>（</w:t>
      </w:r>
      <w:r w:rsidRPr="00B4515A">
        <w:t>1</w:t>
      </w:r>
      <w:r w:rsidRPr="00B4515A">
        <w:t>）行业地位</w:t>
      </w:r>
    </w:p>
    <w:p w14:paraId="14A2FF21" w14:textId="77777777" w:rsidR="006416B0" w:rsidRPr="00B4515A" w:rsidRDefault="005E58C1" w:rsidP="003357B7">
      <w:pPr>
        <w:pStyle w:val="005"/>
        <w:spacing w:before="120" w:after="120"/>
        <w:ind w:firstLine="480"/>
      </w:pPr>
      <w:r w:rsidRPr="00B4515A">
        <w:t>大唐联诚基于对专用移动通信技术的长期研究积累，在专用移动网络大范围覆盖、高移动性、适应复杂电磁环境等方面形成了技术优势，是掌握专用无线通信行业</w:t>
      </w:r>
      <w:r w:rsidRPr="00B4515A">
        <w:t>4G</w:t>
      </w:r>
      <w:r w:rsidRPr="00B4515A">
        <w:t>专用移动通信系统标准和核心知识产权的厂所之一，可为客户提供产品的定制化开发，已成为专用移动通信系统解决方案和核心产品的主要提供商。</w:t>
      </w:r>
    </w:p>
    <w:p w14:paraId="4C22610A" w14:textId="77777777" w:rsidR="006416B0" w:rsidRPr="00B4515A" w:rsidRDefault="005E58C1" w:rsidP="003357B7">
      <w:pPr>
        <w:pStyle w:val="005"/>
        <w:spacing w:before="120" w:after="120"/>
        <w:ind w:firstLine="480"/>
      </w:pPr>
      <w:r w:rsidRPr="00B4515A">
        <w:t>（</w:t>
      </w:r>
      <w:r w:rsidRPr="00B4515A">
        <w:t>2</w:t>
      </w:r>
      <w:r w:rsidRPr="00B4515A">
        <w:t>）市场份额</w:t>
      </w:r>
    </w:p>
    <w:p w14:paraId="5DF1A47B" w14:textId="77777777" w:rsidR="006416B0" w:rsidRPr="00B4515A" w:rsidRDefault="005E58C1" w:rsidP="003357B7">
      <w:pPr>
        <w:pStyle w:val="005"/>
        <w:spacing w:before="120" w:after="120"/>
        <w:ind w:firstLine="480"/>
      </w:pPr>
      <w:r w:rsidRPr="00B4515A">
        <w:t>大唐联诚专用移动通信业务方向已定型产品有十余个，包括各类专用移动通信</w:t>
      </w:r>
      <w:r w:rsidRPr="00B4515A">
        <w:t>4G</w:t>
      </w:r>
      <w:r w:rsidRPr="00B4515A">
        <w:t>产品、信号分析产品和卫星通信终端，已在市场形成了批量销售。新争取入围两款型号装备研制工作，同时还承担了专用移动通信</w:t>
      </w:r>
      <w:r w:rsidRPr="00B4515A">
        <w:t>4G/5G</w:t>
      </w:r>
      <w:r w:rsidRPr="00B4515A">
        <w:t>网络多项预先研究任务。</w:t>
      </w:r>
    </w:p>
    <w:p w14:paraId="1A3FF973" w14:textId="77777777" w:rsidR="006416B0" w:rsidRPr="00B4515A" w:rsidRDefault="005E58C1" w:rsidP="003357B7">
      <w:pPr>
        <w:pStyle w:val="005"/>
        <w:spacing w:before="120" w:after="120"/>
        <w:ind w:firstLine="480"/>
      </w:pPr>
      <w:r w:rsidRPr="00B4515A">
        <w:t>（</w:t>
      </w:r>
      <w:r w:rsidRPr="00B4515A">
        <w:t>3</w:t>
      </w:r>
      <w:r w:rsidRPr="00B4515A">
        <w:t>）主要竞争对手</w:t>
      </w:r>
    </w:p>
    <w:p w14:paraId="2351606F" w14:textId="77777777" w:rsidR="006416B0" w:rsidRPr="00B4515A" w:rsidRDefault="005E58C1" w:rsidP="003357B7">
      <w:pPr>
        <w:pStyle w:val="005"/>
        <w:spacing w:before="120" w:after="120"/>
        <w:ind w:firstLine="480"/>
      </w:pPr>
      <w:r w:rsidRPr="00B4515A">
        <w:t>1</w:t>
      </w:r>
      <w:r w:rsidRPr="00B4515A">
        <w:t>）上海瀚讯信息技术股份有限公司</w:t>
      </w:r>
    </w:p>
    <w:p w14:paraId="03ED49E2" w14:textId="77777777" w:rsidR="006416B0" w:rsidRPr="00B4515A" w:rsidRDefault="005E58C1" w:rsidP="003357B7">
      <w:pPr>
        <w:pStyle w:val="005"/>
        <w:spacing w:before="120" w:after="120"/>
        <w:ind w:firstLine="480"/>
      </w:pPr>
      <w:r w:rsidRPr="00B4515A">
        <w:t>上海瀚讯信息技术股份有限公司（以下简称上海瀚讯）成立于</w:t>
      </w:r>
      <w:r w:rsidRPr="00B4515A">
        <w:t>2006</w:t>
      </w:r>
      <w:r w:rsidRPr="00B4515A">
        <w:t>年</w:t>
      </w:r>
      <w:r w:rsidRPr="00B4515A">
        <w:t>3</w:t>
      </w:r>
      <w:r w:rsidRPr="00B4515A">
        <w:t>月</w:t>
      </w:r>
      <w:r w:rsidRPr="00B4515A">
        <w:t>20</w:t>
      </w:r>
      <w:r w:rsidRPr="00B4515A">
        <w:t>日，上海瀚讯于</w:t>
      </w:r>
      <w:r w:rsidRPr="00B4515A">
        <w:t>2019</w:t>
      </w:r>
      <w:r w:rsidRPr="00B4515A">
        <w:t>年在深圳证券交易所上市，上海瀚讯主要从事专网宽带移动通信设备的研发、制造、销售及工程实施，结合业务应用软件、指挥调度软件等配套产品，向客户提供专网宽带移动通信系统的整体解决方案。上海瀚讯定位为专网宽带移动通信系统的设备供应商及整体解决方案供应商。</w:t>
      </w:r>
    </w:p>
    <w:p w14:paraId="4138287C" w14:textId="77777777" w:rsidR="006416B0" w:rsidRPr="00B4515A" w:rsidRDefault="005E58C1" w:rsidP="003357B7">
      <w:pPr>
        <w:pStyle w:val="005"/>
        <w:spacing w:before="120" w:after="120"/>
        <w:ind w:firstLine="480"/>
      </w:pPr>
      <w:r w:rsidRPr="00B4515A">
        <w:t>2</w:t>
      </w:r>
      <w:r w:rsidRPr="00B4515A">
        <w:t>）天津七一二通信广播股份有限公司</w:t>
      </w:r>
    </w:p>
    <w:p w14:paraId="2275FE88" w14:textId="77777777" w:rsidR="006416B0" w:rsidRPr="00B4515A" w:rsidRDefault="005E58C1" w:rsidP="003357B7">
      <w:pPr>
        <w:pStyle w:val="005"/>
        <w:spacing w:before="120" w:after="120"/>
        <w:ind w:firstLine="480"/>
      </w:pPr>
      <w:r w:rsidRPr="00B4515A">
        <w:t>天津七一二通信广播股份有限公司（以下简称七一二）成立于</w:t>
      </w:r>
      <w:r w:rsidRPr="00B4515A">
        <w:t>2004</w:t>
      </w:r>
      <w:r w:rsidRPr="00B4515A">
        <w:t>年</w:t>
      </w:r>
      <w:r w:rsidRPr="00B4515A">
        <w:t>10</w:t>
      </w:r>
      <w:r w:rsidRPr="00B4515A">
        <w:t>月</w:t>
      </w:r>
      <w:r w:rsidRPr="00B4515A">
        <w:t>28</w:t>
      </w:r>
      <w:r w:rsidRPr="00B4515A">
        <w:t>日，七一二于</w:t>
      </w:r>
      <w:r w:rsidRPr="00B4515A">
        <w:t>2018</w:t>
      </w:r>
      <w:r w:rsidRPr="00B4515A">
        <w:t>年在上海证券交易所上市。七一二自成立以来始终服务于国家战略，专注推进我国专网无线通信行业发展。</w:t>
      </w:r>
    </w:p>
    <w:p w14:paraId="23B266F3" w14:textId="77777777" w:rsidR="006416B0" w:rsidRPr="00B4515A" w:rsidRDefault="005E58C1" w:rsidP="003357B7">
      <w:pPr>
        <w:pStyle w:val="004"/>
        <w:spacing w:before="120" w:after="120"/>
        <w:ind w:firstLine="482"/>
      </w:pPr>
      <w:r w:rsidRPr="00B4515A">
        <w:t>2</w:t>
      </w:r>
      <w:r w:rsidRPr="00B4515A">
        <w:t>、专用宽带电台</w:t>
      </w:r>
    </w:p>
    <w:p w14:paraId="0E242CF5" w14:textId="77777777" w:rsidR="006416B0" w:rsidRPr="00B4515A" w:rsidRDefault="005E58C1" w:rsidP="003357B7">
      <w:pPr>
        <w:pStyle w:val="005"/>
        <w:spacing w:before="120" w:after="120"/>
        <w:ind w:firstLine="480"/>
      </w:pPr>
      <w:r w:rsidRPr="00B4515A">
        <w:t>（</w:t>
      </w:r>
      <w:r w:rsidRPr="00B4515A">
        <w:t>1</w:t>
      </w:r>
      <w:r w:rsidRPr="00B4515A">
        <w:t>）行业地位</w:t>
      </w:r>
    </w:p>
    <w:p w14:paraId="1CDD5AB8" w14:textId="77777777" w:rsidR="006416B0" w:rsidRPr="00B4515A" w:rsidRDefault="005E58C1" w:rsidP="003357B7">
      <w:pPr>
        <w:pStyle w:val="005"/>
        <w:spacing w:before="120" w:after="120"/>
        <w:ind w:firstLine="480"/>
      </w:pPr>
      <w:r w:rsidRPr="00B4515A">
        <w:t>专用宽带电台业务立足自主可控的硬件平台解决方案，着力推进具有自主知识产权的波形体制创新应用，在宽带传输、无中心自组网、动态资源分配等技术的创新应用方面处于领先地位，已成为专用通信终端领域的核心厂家，是推进波</w:t>
      </w:r>
      <w:r w:rsidRPr="00B4515A">
        <w:lastRenderedPageBreak/>
        <w:t>形自主创新和平台自主可控的生力军。</w:t>
      </w:r>
    </w:p>
    <w:p w14:paraId="72EE02A8" w14:textId="77777777" w:rsidR="006416B0" w:rsidRPr="00B4515A" w:rsidRDefault="005E58C1" w:rsidP="003357B7">
      <w:pPr>
        <w:pStyle w:val="005"/>
        <w:spacing w:before="120" w:after="120"/>
        <w:ind w:firstLine="480"/>
      </w:pPr>
      <w:r w:rsidRPr="00B4515A">
        <w:t>（</w:t>
      </w:r>
      <w:r w:rsidRPr="00B4515A">
        <w:t>2</w:t>
      </w:r>
      <w:r w:rsidRPr="00B4515A">
        <w:t>）市场份额</w:t>
      </w:r>
    </w:p>
    <w:p w14:paraId="2FE8E19E" w14:textId="77777777" w:rsidR="006416B0" w:rsidRPr="00B4515A" w:rsidRDefault="005E58C1" w:rsidP="003357B7">
      <w:pPr>
        <w:pStyle w:val="005"/>
        <w:spacing w:before="120" w:after="120"/>
        <w:ind w:firstLine="480"/>
      </w:pPr>
      <w:r w:rsidRPr="00B4515A">
        <w:t>大唐联诚专用宽带电台业务方向已有多个产品完成定型，在陆地、航空、航海等市场形成批量销售，正在开展两款型号产品的研制以及新产品研制任务的争取工作，已入围下一代自组网波形和平台样机预研项目。</w:t>
      </w:r>
    </w:p>
    <w:p w14:paraId="1424242C" w14:textId="77777777" w:rsidR="006416B0" w:rsidRPr="00B4515A" w:rsidRDefault="005E58C1" w:rsidP="003357B7">
      <w:pPr>
        <w:pStyle w:val="005"/>
        <w:spacing w:before="120" w:after="120"/>
        <w:ind w:firstLine="480"/>
      </w:pPr>
      <w:r w:rsidRPr="00B4515A">
        <w:t>（</w:t>
      </w:r>
      <w:r w:rsidRPr="00B4515A">
        <w:t>3</w:t>
      </w:r>
      <w:r w:rsidRPr="00B4515A">
        <w:t>）主要竞争对手</w:t>
      </w:r>
    </w:p>
    <w:p w14:paraId="498C612F" w14:textId="77777777" w:rsidR="006416B0" w:rsidRPr="00B4515A" w:rsidRDefault="005E58C1" w:rsidP="003357B7">
      <w:pPr>
        <w:pStyle w:val="005"/>
        <w:spacing w:before="120" w:after="120"/>
        <w:ind w:firstLine="480"/>
      </w:pPr>
      <w:r w:rsidRPr="00B4515A">
        <w:t>1</w:t>
      </w:r>
      <w:r w:rsidRPr="00B4515A">
        <w:t>）广州海格通信集团股份有限公司</w:t>
      </w:r>
    </w:p>
    <w:p w14:paraId="29792091" w14:textId="77777777" w:rsidR="006416B0" w:rsidRPr="00B4515A" w:rsidRDefault="005E58C1" w:rsidP="003357B7">
      <w:pPr>
        <w:pStyle w:val="005"/>
        <w:spacing w:before="120" w:after="120"/>
        <w:ind w:firstLine="480"/>
      </w:pPr>
      <w:r w:rsidRPr="00B4515A">
        <w:t>广州海格通信集团股份有限公司（以下简称海格通信）成立于</w:t>
      </w:r>
      <w:r w:rsidRPr="00B4515A">
        <w:t>2007</w:t>
      </w:r>
      <w:r w:rsidRPr="00B4515A">
        <w:t>年</w:t>
      </w:r>
      <w:r w:rsidRPr="00B4515A">
        <w:t>7</w:t>
      </w:r>
      <w:r w:rsidRPr="00B4515A">
        <w:t>月</w:t>
      </w:r>
      <w:r w:rsidRPr="00B4515A">
        <w:t>20</w:t>
      </w:r>
      <w:r w:rsidRPr="00B4515A">
        <w:t>日，海格通信于</w:t>
      </w:r>
      <w:r w:rsidRPr="00B4515A">
        <w:t>2010</w:t>
      </w:r>
      <w:r w:rsidRPr="00B4515A">
        <w:t>年在深圳证券交易所上市。海格通信的主要业务覆盖</w:t>
      </w:r>
      <w:r w:rsidRPr="00B4515A">
        <w:rPr>
          <w:rFonts w:ascii="宋体" w:hAnsi="宋体"/>
        </w:rPr>
        <w:t>“</w:t>
      </w:r>
      <w:r w:rsidRPr="00B4515A">
        <w:t>无线通信、北斗导航、航空航天、软件与信息服务</w:t>
      </w:r>
      <w:r w:rsidRPr="00B4515A">
        <w:rPr>
          <w:rFonts w:ascii="宋体" w:hAnsi="宋体"/>
        </w:rPr>
        <w:t>”</w:t>
      </w:r>
      <w:r w:rsidRPr="00B4515A">
        <w:t>四大领域。</w:t>
      </w:r>
    </w:p>
    <w:p w14:paraId="26E32202" w14:textId="77777777" w:rsidR="006416B0" w:rsidRPr="00B4515A" w:rsidRDefault="005E58C1" w:rsidP="003357B7">
      <w:pPr>
        <w:pStyle w:val="005"/>
        <w:spacing w:before="120" w:after="120"/>
        <w:ind w:firstLine="480"/>
      </w:pPr>
      <w:r w:rsidRPr="00B4515A">
        <w:t>2</w:t>
      </w:r>
      <w:r w:rsidRPr="00B4515A">
        <w:t>）天津七一二通信广播股份有限公司</w:t>
      </w:r>
    </w:p>
    <w:p w14:paraId="729C7D91" w14:textId="77777777" w:rsidR="006416B0" w:rsidRPr="00B4515A" w:rsidRDefault="005E58C1" w:rsidP="003357B7">
      <w:pPr>
        <w:pStyle w:val="005"/>
        <w:spacing w:before="120" w:after="120"/>
        <w:ind w:firstLine="480"/>
      </w:pPr>
      <w:r w:rsidRPr="00B4515A">
        <w:t>天津七一二通信广播股份有限公司（以下简称七一二）成立于</w:t>
      </w:r>
      <w:r w:rsidRPr="00B4515A">
        <w:t>2004</w:t>
      </w:r>
      <w:r w:rsidRPr="00B4515A">
        <w:t>年</w:t>
      </w:r>
      <w:r w:rsidRPr="00B4515A">
        <w:t>10</w:t>
      </w:r>
      <w:r w:rsidRPr="00B4515A">
        <w:t>月</w:t>
      </w:r>
      <w:r w:rsidRPr="00B4515A">
        <w:t>28</w:t>
      </w:r>
      <w:r w:rsidRPr="00B4515A">
        <w:t>日，七一二于</w:t>
      </w:r>
      <w:r w:rsidRPr="00B4515A">
        <w:t>2018</w:t>
      </w:r>
      <w:r w:rsidRPr="00B4515A">
        <w:t>年在上海证券交易所上市。七一二自成立以来始终服务于国家战略，专注推进我国专网无线通信行业发展。</w:t>
      </w:r>
    </w:p>
    <w:p w14:paraId="788A1184" w14:textId="77777777" w:rsidR="006416B0" w:rsidRPr="00B4515A" w:rsidRDefault="005E58C1" w:rsidP="003357B7">
      <w:pPr>
        <w:pStyle w:val="005"/>
        <w:spacing w:before="120" w:after="120"/>
        <w:ind w:firstLine="480"/>
      </w:pPr>
      <w:r w:rsidRPr="00B4515A">
        <w:t>3</w:t>
      </w:r>
      <w:r w:rsidRPr="00B4515A">
        <w:t>）武汉中原电子集团有限公司</w:t>
      </w:r>
    </w:p>
    <w:p w14:paraId="63CF003E" w14:textId="77777777" w:rsidR="006416B0" w:rsidRPr="00B4515A" w:rsidRDefault="005E58C1" w:rsidP="003357B7">
      <w:pPr>
        <w:pStyle w:val="005"/>
        <w:spacing w:before="120" w:after="120"/>
        <w:ind w:firstLine="480"/>
      </w:pPr>
      <w:r w:rsidRPr="00B4515A">
        <w:t>武汉中原电子集团有限公司（以下简称</w:t>
      </w:r>
      <w:r w:rsidRPr="00B4515A">
        <w:rPr>
          <w:rFonts w:ascii="宋体" w:hAnsi="宋体"/>
        </w:rPr>
        <w:t>“</w:t>
      </w:r>
      <w:r w:rsidRPr="00B4515A">
        <w:t>中原电子</w:t>
      </w:r>
      <w:r w:rsidRPr="00B4515A">
        <w:rPr>
          <w:rFonts w:ascii="宋体" w:hAnsi="宋体"/>
        </w:rPr>
        <w:t>”</w:t>
      </w:r>
      <w:r w:rsidRPr="00B4515A">
        <w:t>）成立于</w:t>
      </w:r>
      <w:r w:rsidRPr="00B4515A">
        <w:t>1999</w:t>
      </w:r>
      <w:r w:rsidRPr="00B4515A">
        <w:t>年</w:t>
      </w:r>
      <w:r w:rsidRPr="00B4515A">
        <w:t>1</w:t>
      </w:r>
      <w:r w:rsidRPr="00B4515A">
        <w:t>月</w:t>
      </w:r>
      <w:r w:rsidRPr="00B4515A">
        <w:t>27</w:t>
      </w:r>
      <w:r w:rsidRPr="00B4515A">
        <w:t>日，注册资本为</w:t>
      </w:r>
      <w:r w:rsidRPr="00B4515A">
        <w:t>63789.1</w:t>
      </w:r>
      <w:r w:rsidRPr="00B4515A">
        <w:t>万元人民币。中原电子的主营业务为通信终端设备及系统的研发及生产，其产品的主要应用领域为超短波通信领域。</w:t>
      </w:r>
    </w:p>
    <w:p w14:paraId="17493E24" w14:textId="77777777" w:rsidR="006416B0" w:rsidRPr="00B4515A" w:rsidRDefault="005E58C1" w:rsidP="003357B7">
      <w:pPr>
        <w:pStyle w:val="004"/>
        <w:spacing w:before="120" w:after="120"/>
        <w:ind w:firstLine="482"/>
      </w:pPr>
      <w:r w:rsidRPr="00B4515A">
        <w:t>3</w:t>
      </w:r>
      <w:r w:rsidRPr="00B4515A">
        <w:t>、宽带移动安全应用</w:t>
      </w:r>
    </w:p>
    <w:p w14:paraId="6FE1A8F7" w14:textId="77777777" w:rsidR="006416B0" w:rsidRPr="00B4515A" w:rsidRDefault="005E58C1" w:rsidP="003357B7">
      <w:pPr>
        <w:pStyle w:val="005"/>
        <w:spacing w:before="120" w:after="120"/>
        <w:ind w:firstLine="480"/>
      </w:pPr>
      <w:r w:rsidRPr="00B4515A">
        <w:t>（</w:t>
      </w:r>
      <w:r w:rsidRPr="00B4515A">
        <w:t>1</w:t>
      </w:r>
      <w:r w:rsidRPr="00B4515A">
        <w:t>）行业地位</w:t>
      </w:r>
    </w:p>
    <w:p w14:paraId="3F1C0D48" w14:textId="77777777" w:rsidR="006416B0" w:rsidRPr="00B4515A" w:rsidRDefault="005E58C1" w:rsidP="003357B7">
      <w:pPr>
        <w:pStyle w:val="005"/>
        <w:spacing w:before="120" w:after="120"/>
        <w:ind w:firstLine="480"/>
      </w:pPr>
      <w:r w:rsidRPr="00B4515A">
        <w:t>宽带移动安全应用业务方向是利用民用移动通信网络建设经验和技术应用优势，用户提供基于公网的宽带移动安全应用全系统解决方案和重点产品。大唐联诚是特种通信行业市场执勤保障系统的主导供应商，对特种通信行业客户执勤保障需求及演进趋势有深入了解，是宽带移动安全应用领域的系统解决方案及重点产品提供者。</w:t>
      </w:r>
    </w:p>
    <w:p w14:paraId="32365F3F" w14:textId="77777777" w:rsidR="006416B0" w:rsidRPr="00B4515A" w:rsidRDefault="005E58C1" w:rsidP="003357B7">
      <w:pPr>
        <w:pStyle w:val="005"/>
        <w:spacing w:before="120" w:after="120"/>
        <w:ind w:firstLine="480"/>
      </w:pPr>
      <w:r w:rsidRPr="00B4515A">
        <w:t>（</w:t>
      </w:r>
      <w:r w:rsidRPr="00B4515A">
        <w:t>2</w:t>
      </w:r>
      <w:r w:rsidRPr="00B4515A">
        <w:t>）市场份额</w:t>
      </w:r>
    </w:p>
    <w:p w14:paraId="6AF0B06D" w14:textId="77777777" w:rsidR="006416B0" w:rsidRPr="00B4515A" w:rsidRDefault="005E58C1" w:rsidP="003357B7">
      <w:pPr>
        <w:pStyle w:val="005"/>
        <w:spacing w:before="120" w:after="120"/>
        <w:ind w:firstLine="480"/>
      </w:pPr>
      <w:r w:rsidRPr="00B4515A">
        <w:lastRenderedPageBreak/>
        <w:t>勤务指控平台和执勤保障</w:t>
      </w:r>
      <w:r w:rsidRPr="00B4515A">
        <w:t>4G</w:t>
      </w:r>
      <w:r w:rsidRPr="00B4515A">
        <w:t>产品已批量装备特种通信用户，在历次国庆阅兵、全国两会、各类峰会等大型活动安保中均发挥了重要支撑作用。大唐联诚承担了特种通信行业</w:t>
      </w:r>
      <w:r w:rsidRPr="00B4515A">
        <w:t>5G</w:t>
      </w:r>
      <w:r w:rsidRPr="00B4515A">
        <w:t>安全应用总体工作，中标了两款特种通信</w:t>
      </w:r>
      <w:r w:rsidRPr="00B4515A">
        <w:t>5G</w:t>
      </w:r>
      <w:r w:rsidRPr="00B4515A">
        <w:t>安全应用相关产品的研制项目。</w:t>
      </w:r>
    </w:p>
    <w:p w14:paraId="2EAD3CCF" w14:textId="77777777" w:rsidR="006416B0" w:rsidRPr="00B4515A" w:rsidRDefault="005E58C1" w:rsidP="003357B7">
      <w:pPr>
        <w:pStyle w:val="005"/>
        <w:spacing w:before="120" w:after="120"/>
        <w:ind w:firstLine="480"/>
      </w:pPr>
      <w:r w:rsidRPr="00B4515A">
        <w:t>（</w:t>
      </w:r>
      <w:r w:rsidRPr="00B4515A">
        <w:t>3</w:t>
      </w:r>
      <w:r w:rsidRPr="00B4515A">
        <w:t>）主要竞争对手</w:t>
      </w:r>
    </w:p>
    <w:p w14:paraId="4702AABD" w14:textId="77777777" w:rsidR="006416B0" w:rsidRPr="00B4515A" w:rsidRDefault="005E58C1" w:rsidP="003357B7">
      <w:pPr>
        <w:pStyle w:val="005"/>
        <w:spacing w:before="120" w:after="120"/>
        <w:ind w:firstLine="480"/>
      </w:pPr>
      <w:r w:rsidRPr="00B4515A">
        <w:t>1</w:t>
      </w:r>
      <w:r w:rsidRPr="00B4515A">
        <w:t>）海能达通信股份有限公司</w:t>
      </w:r>
    </w:p>
    <w:p w14:paraId="4C5CF0D2" w14:textId="77777777" w:rsidR="006416B0" w:rsidRPr="00B4515A" w:rsidRDefault="005E58C1" w:rsidP="003357B7">
      <w:pPr>
        <w:pStyle w:val="005"/>
        <w:spacing w:before="120" w:after="120"/>
        <w:ind w:firstLine="480"/>
      </w:pPr>
      <w:r w:rsidRPr="00B4515A">
        <w:t>海能达通信股份有限公司（以下简称</w:t>
      </w:r>
      <w:r w:rsidRPr="00B4515A">
        <w:rPr>
          <w:rFonts w:ascii="宋体" w:hAnsi="宋体"/>
        </w:rPr>
        <w:t>“</w:t>
      </w:r>
      <w:r w:rsidRPr="00B4515A">
        <w:t>海能达</w:t>
      </w:r>
      <w:r w:rsidRPr="00B4515A">
        <w:rPr>
          <w:rFonts w:ascii="宋体" w:hAnsi="宋体"/>
        </w:rPr>
        <w:t>”</w:t>
      </w:r>
      <w:r w:rsidRPr="00B4515A">
        <w:t>）成立于</w:t>
      </w:r>
      <w:r w:rsidRPr="00B4515A">
        <w:t xml:space="preserve">1993 </w:t>
      </w:r>
      <w:r w:rsidRPr="00B4515A">
        <w:t>年</w:t>
      </w:r>
      <w:r w:rsidRPr="00B4515A">
        <w:t xml:space="preserve"> 5 </w:t>
      </w:r>
      <w:r w:rsidRPr="00B4515A">
        <w:t>月</w:t>
      </w:r>
      <w:r w:rsidRPr="00B4515A">
        <w:t xml:space="preserve"> 11 </w:t>
      </w:r>
      <w:r w:rsidRPr="00B4515A">
        <w:t>日，海能达于</w:t>
      </w:r>
      <w:r w:rsidRPr="00B4515A">
        <w:t>2011</w:t>
      </w:r>
      <w:r w:rsidRPr="00B4515A">
        <w:t>年</w:t>
      </w:r>
      <w:r w:rsidRPr="00B4515A">
        <w:t>5</w:t>
      </w:r>
      <w:r w:rsidRPr="00B4515A">
        <w:t>月</w:t>
      </w:r>
      <w:r w:rsidRPr="00B4515A">
        <w:t>27</w:t>
      </w:r>
      <w:r w:rsidRPr="00B4515A">
        <w:t>日在深圳证券交易所上市，</w:t>
      </w:r>
      <w:r w:rsidRPr="00B4515A">
        <w:t xml:space="preserve"> </w:t>
      </w:r>
      <w:r w:rsidRPr="00B4515A">
        <w:t>公司处于专用通信领域，主要业务包括面向客户提供窄带专网产品及解决方案、</w:t>
      </w:r>
      <w:r w:rsidRPr="00B4515A">
        <w:t>4G/5G</w:t>
      </w:r>
      <w:r w:rsidRPr="00B4515A">
        <w:t>宽带专网产品及解决方案、公专融合产品及解决方案、指挥调度智能集成与应急通信解决方案、卫星通信产品及解决方案和</w:t>
      </w:r>
      <w:r w:rsidRPr="00B4515A">
        <w:t>AI</w:t>
      </w:r>
      <w:r w:rsidRPr="00B4515A">
        <w:t>产品及解决方案等核心产品及解决方案及覆盖全球公共安全、政务应急、大交通、能源、工商业等行业的行业解决方案。</w:t>
      </w:r>
    </w:p>
    <w:p w14:paraId="248F922A" w14:textId="77777777" w:rsidR="006416B0" w:rsidRPr="00B4515A" w:rsidRDefault="005E58C1" w:rsidP="003357B7">
      <w:pPr>
        <w:pStyle w:val="005"/>
        <w:spacing w:before="120" w:after="120"/>
        <w:ind w:firstLine="480"/>
      </w:pPr>
      <w:r w:rsidRPr="00B4515A">
        <w:t>2</w:t>
      </w:r>
      <w:r w:rsidRPr="00B4515A">
        <w:t>）广州海格通信集团股份有限公司</w:t>
      </w:r>
    </w:p>
    <w:p w14:paraId="32E721FC" w14:textId="77777777" w:rsidR="006416B0" w:rsidRPr="00B4515A" w:rsidRDefault="005E58C1" w:rsidP="003357B7">
      <w:pPr>
        <w:pStyle w:val="005"/>
        <w:spacing w:before="120" w:after="120"/>
        <w:ind w:firstLine="480"/>
      </w:pPr>
      <w:r w:rsidRPr="00B4515A">
        <w:t>广州海格通信集团股份有限公司（以下简称海格通信）成立于</w:t>
      </w:r>
      <w:r w:rsidRPr="00B4515A">
        <w:t>2007</w:t>
      </w:r>
      <w:r w:rsidRPr="00B4515A">
        <w:t>年</w:t>
      </w:r>
      <w:r w:rsidRPr="00B4515A">
        <w:t>7</w:t>
      </w:r>
      <w:r w:rsidRPr="00B4515A">
        <w:t>月</w:t>
      </w:r>
      <w:r w:rsidRPr="00B4515A">
        <w:t>20</w:t>
      </w:r>
      <w:r w:rsidRPr="00B4515A">
        <w:t>日，海格通信于</w:t>
      </w:r>
      <w:r w:rsidRPr="00B4515A">
        <w:t>2010</w:t>
      </w:r>
      <w:r w:rsidRPr="00B4515A">
        <w:t>年在深圳证券交易所上市。海格通信的主要业务覆盖</w:t>
      </w:r>
      <w:r w:rsidRPr="00B4515A">
        <w:rPr>
          <w:rFonts w:ascii="宋体" w:hAnsi="宋体"/>
        </w:rPr>
        <w:t>“</w:t>
      </w:r>
      <w:r w:rsidRPr="00B4515A">
        <w:t>无线通信、北斗导航、航空航天、软件与信息服务</w:t>
      </w:r>
      <w:r w:rsidRPr="00B4515A">
        <w:rPr>
          <w:rFonts w:ascii="宋体" w:hAnsi="宋体"/>
        </w:rPr>
        <w:t>”</w:t>
      </w:r>
      <w:r w:rsidRPr="00B4515A">
        <w:t>四大领域。</w:t>
      </w:r>
    </w:p>
    <w:p w14:paraId="680F9A62" w14:textId="77777777" w:rsidR="006416B0" w:rsidRPr="00B4515A" w:rsidRDefault="005E58C1" w:rsidP="003357B7">
      <w:pPr>
        <w:pStyle w:val="003"/>
        <w:spacing w:before="120"/>
        <w:ind w:firstLine="482"/>
      </w:pPr>
      <w:r w:rsidRPr="00B4515A">
        <w:t>（二）标的公司的核心竞争力</w:t>
      </w:r>
    </w:p>
    <w:p w14:paraId="39A299A3" w14:textId="77777777" w:rsidR="006416B0" w:rsidRPr="00B4515A" w:rsidRDefault="005E58C1" w:rsidP="003357B7">
      <w:pPr>
        <w:pStyle w:val="005"/>
        <w:spacing w:before="120" w:after="120"/>
        <w:ind w:firstLine="480"/>
      </w:pPr>
      <w:r w:rsidRPr="00B4515A">
        <w:t>大唐联诚成立以来，深入落实核心技术自主可控的国家战略，紧密围绕核心业务迫切发展需求，通过原始创新、应用创新和集成创新并举的方式，研发先进特种通信核心技术和适用装备，在三大主营业务方向上取得了较好的经济效益。</w:t>
      </w:r>
    </w:p>
    <w:p w14:paraId="2DECDB9B" w14:textId="77777777" w:rsidR="006416B0" w:rsidRPr="00B4515A" w:rsidRDefault="005E58C1" w:rsidP="003357B7">
      <w:pPr>
        <w:pStyle w:val="004"/>
        <w:spacing w:before="120" w:after="120"/>
        <w:ind w:firstLine="482"/>
      </w:pPr>
      <w:r w:rsidRPr="00B4515A">
        <w:t>1</w:t>
      </w:r>
      <w:r w:rsidRPr="00B4515A">
        <w:t>、核心技术优势</w:t>
      </w:r>
    </w:p>
    <w:p w14:paraId="72B19788" w14:textId="77777777" w:rsidR="006416B0" w:rsidRPr="00B4515A" w:rsidRDefault="005E58C1" w:rsidP="003357B7">
      <w:pPr>
        <w:pStyle w:val="005"/>
        <w:spacing w:before="120" w:after="120"/>
        <w:ind w:firstLine="480"/>
      </w:pPr>
      <w:r w:rsidRPr="00B4515A">
        <w:t>大唐联诚在通信波形方面，突破多项关键技术研究，完成多种接入网波形和自组网核心波形积累，入围主流标准波形库，为进入新领域、实现可持续发展奠定了波形基础。</w:t>
      </w:r>
    </w:p>
    <w:p w14:paraId="220F2E86" w14:textId="77777777" w:rsidR="006416B0" w:rsidRPr="00B4515A" w:rsidRDefault="005E58C1" w:rsidP="003357B7">
      <w:pPr>
        <w:pStyle w:val="005"/>
        <w:spacing w:before="120" w:after="120"/>
        <w:ind w:firstLine="480"/>
      </w:pPr>
      <w:r w:rsidRPr="00B4515A">
        <w:t>大唐联诚基于国产</w:t>
      </w:r>
      <w:r w:rsidRPr="00B4515A">
        <w:t>SoC</w:t>
      </w:r>
      <w:r w:rsidRPr="00B4515A">
        <w:t>芯片，形成自主可控的高集成硬件平台，入围多款通用型号。作为自主可控全国产化平台，具有领先性和可持续演进性，为手持类终端和低功耗电台产品持续发展奠定了平台基础。</w:t>
      </w:r>
    </w:p>
    <w:p w14:paraId="3B7896BC" w14:textId="77777777" w:rsidR="006416B0" w:rsidRPr="00B4515A" w:rsidRDefault="005E58C1" w:rsidP="003357B7">
      <w:pPr>
        <w:pStyle w:val="005"/>
        <w:spacing w:before="120" w:after="120"/>
        <w:ind w:firstLine="480"/>
      </w:pPr>
      <w:r w:rsidRPr="00B4515A">
        <w:lastRenderedPageBreak/>
        <w:t>大唐联诚积极参与</w:t>
      </w:r>
      <w:r w:rsidRPr="00B4515A">
        <w:t>5G</w:t>
      </w:r>
      <w:r w:rsidRPr="00B4515A">
        <w:t>在特种通信场景的应用研究、系统方案论证和关键技术研究，基于</w:t>
      </w:r>
      <w:r w:rsidRPr="00B4515A">
        <w:t>5G</w:t>
      </w:r>
      <w:r w:rsidRPr="00B4515A">
        <w:t>关键技术，开展各项技术研究，测试效果良好，有望在</w:t>
      </w:r>
      <w:r w:rsidRPr="00B4515A">
        <w:rPr>
          <w:rFonts w:ascii="宋体" w:hAnsi="宋体"/>
        </w:rPr>
        <w:t>“</w:t>
      </w:r>
      <w:r w:rsidRPr="00B4515A">
        <w:t>十四五</w:t>
      </w:r>
      <w:r w:rsidRPr="00B4515A">
        <w:rPr>
          <w:rFonts w:ascii="宋体" w:hAnsi="宋体"/>
        </w:rPr>
        <w:t>”</w:t>
      </w:r>
      <w:r w:rsidRPr="00B4515A">
        <w:t>开展演示验证并进入型号。</w:t>
      </w:r>
    </w:p>
    <w:p w14:paraId="1C3B6BC9" w14:textId="77777777" w:rsidR="006416B0" w:rsidRPr="00B4515A" w:rsidRDefault="005E58C1" w:rsidP="003357B7">
      <w:pPr>
        <w:pStyle w:val="005"/>
        <w:spacing w:before="120" w:after="120"/>
        <w:ind w:firstLine="480"/>
      </w:pPr>
      <w:r w:rsidRPr="00B4515A">
        <w:t>经过多年高强度研发投入以及持续不断的技术积累，大唐联诚在自主创新和自主可控方面已经走在行业前列。</w:t>
      </w:r>
    </w:p>
    <w:p w14:paraId="2EA2CE6B" w14:textId="77777777" w:rsidR="006416B0" w:rsidRPr="00B4515A" w:rsidRDefault="005E58C1" w:rsidP="003357B7">
      <w:pPr>
        <w:pStyle w:val="004"/>
        <w:spacing w:before="120" w:after="120"/>
        <w:ind w:firstLine="482"/>
      </w:pPr>
      <w:r w:rsidRPr="00B4515A">
        <w:t>2</w:t>
      </w:r>
      <w:r w:rsidRPr="00B4515A">
        <w:t>、产品优势</w:t>
      </w:r>
    </w:p>
    <w:p w14:paraId="36D5B4E4" w14:textId="77777777" w:rsidR="006416B0" w:rsidRPr="00B4515A" w:rsidRDefault="005E58C1" w:rsidP="003357B7">
      <w:pPr>
        <w:pStyle w:val="005"/>
        <w:spacing w:before="120" w:after="120"/>
        <w:ind w:firstLine="480"/>
      </w:pPr>
      <w:r w:rsidRPr="00B4515A">
        <w:t>大唐联诚专注于专用移动通信、专用宽带电台、宽带移动安全应用三大市场，产品种类齐全，涵盖了核心网、基站、终端、电台和应用软件等多个产品，并已形成批量销售。在专用移动通信领域，已经拥有超过十型产品完成定型、列装，在专用宽带电台领域，自组网波形和整机成为专用通信终端的主要方案，获得波形体制身份，在宽带移动安全应用领域，形成终端、网络、应用平台的全系列产品，在多项国家重大任务保障中发挥了重要作用。</w:t>
      </w:r>
    </w:p>
    <w:p w14:paraId="3F895663" w14:textId="77777777" w:rsidR="006416B0" w:rsidRPr="00B4515A" w:rsidRDefault="005E58C1" w:rsidP="003357B7">
      <w:pPr>
        <w:pStyle w:val="004"/>
        <w:spacing w:before="120" w:after="120"/>
        <w:ind w:firstLine="482"/>
      </w:pPr>
      <w:r w:rsidRPr="00B4515A">
        <w:t>3</w:t>
      </w:r>
      <w:r w:rsidRPr="00B4515A">
        <w:t>、人才队伍优势</w:t>
      </w:r>
    </w:p>
    <w:p w14:paraId="12C3D95A" w14:textId="77777777" w:rsidR="006416B0" w:rsidRPr="00B4515A" w:rsidRDefault="005E58C1" w:rsidP="003357B7">
      <w:pPr>
        <w:pStyle w:val="005"/>
        <w:spacing w:before="120" w:after="120"/>
        <w:ind w:firstLine="480"/>
      </w:pPr>
      <w:r w:rsidRPr="00B4515A">
        <w:t>大唐联诚积累了丰富的型号研制和服务保障能力，通过人才队伍结构的不断优化，培育了一支优质、高效的研发队伍，研发力量得以持续加强。</w:t>
      </w:r>
    </w:p>
    <w:p w14:paraId="7E760CCF" w14:textId="77777777" w:rsidR="006416B0" w:rsidRPr="00B4515A" w:rsidRDefault="005E58C1" w:rsidP="003357B7">
      <w:pPr>
        <w:pStyle w:val="005"/>
        <w:spacing w:before="120" w:after="120"/>
        <w:ind w:firstLine="480"/>
      </w:pPr>
      <w:r w:rsidRPr="00B4515A">
        <w:t>在</w:t>
      </w:r>
      <w:r w:rsidRPr="00B4515A">
        <w:t>3G/4G</w:t>
      </w:r>
      <w:r w:rsidRPr="00B4515A">
        <w:t>专网无线通信领域，大唐联诚拥有专业的无线通信波形算法设计团队，该团队大部分人员具有</w:t>
      </w:r>
      <w:r w:rsidRPr="00B4515A">
        <w:t>3G/4G</w:t>
      </w:r>
      <w:r w:rsidRPr="00B4515A">
        <w:t>专网移动通信标准算法设计的成功经验，经过十多年的持续研发，团队已积累了典型应用环境数据库和适用的通信波形算法库并形成了相对应的发明专利。</w:t>
      </w:r>
    </w:p>
    <w:p w14:paraId="11D66D78" w14:textId="77777777" w:rsidR="006416B0" w:rsidRPr="00B4515A" w:rsidRDefault="005E58C1" w:rsidP="003357B7">
      <w:pPr>
        <w:pStyle w:val="005"/>
        <w:spacing w:before="120" w:after="120"/>
        <w:ind w:firstLine="480"/>
      </w:pPr>
      <w:r w:rsidRPr="00B4515A">
        <w:t>在</w:t>
      </w:r>
      <w:r w:rsidRPr="00B4515A">
        <w:t>5G</w:t>
      </w:r>
      <w:r w:rsidRPr="00B4515A">
        <w:t>成为国家战略的背景下，</w:t>
      </w:r>
      <w:r w:rsidRPr="00B4515A">
        <w:t>5G</w:t>
      </w:r>
      <w:r w:rsidRPr="00B4515A">
        <w:t>在专网无线通信行业将迎来较大增长，大唐联诚为了确立市场领先地位，在专用</w:t>
      </w:r>
      <w:r w:rsidRPr="00B4515A">
        <w:t>5G</w:t>
      </w:r>
      <w:r w:rsidRPr="00B4515A">
        <w:t>领域投入大量的研发资源，组建了专用</w:t>
      </w:r>
      <w:r w:rsidRPr="00B4515A">
        <w:t>5G</w:t>
      </w:r>
      <w:r w:rsidRPr="00B4515A">
        <w:t>通信波形设计、研发团队，该团队具备丰富的民用</w:t>
      </w:r>
      <w:r w:rsidRPr="00B4515A">
        <w:t>5G</w:t>
      </w:r>
      <w:r w:rsidRPr="00B4515A">
        <w:t>通信标准设计和研发经验，大唐联诚由此具备</w:t>
      </w:r>
      <w:r w:rsidRPr="00B4515A">
        <w:t>5G</w:t>
      </w:r>
      <w:r w:rsidRPr="00B4515A">
        <w:t>通信波形定制化设计开发能力，能更好地将</w:t>
      </w:r>
      <w:r w:rsidRPr="00B4515A">
        <w:t>5G</w:t>
      </w:r>
      <w:r w:rsidRPr="00B4515A">
        <w:t>技术服务于下一代专用通信市场。</w:t>
      </w:r>
    </w:p>
    <w:p w14:paraId="6A324944" w14:textId="77777777" w:rsidR="006416B0" w:rsidRPr="00B4515A" w:rsidRDefault="005E58C1" w:rsidP="003357B7">
      <w:pPr>
        <w:pStyle w:val="004"/>
        <w:spacing w:before="120" w:after="120"/>
        <w:ind w:firstLine="482"/>
      </w:pPr>
      <w:r w:rsidRPr="00B4515A">
        <w:t>4</w:t>
      </w:r>
      <w:r w:rsidRPr="00B4515A">
        <w:t>、客户资源优势</w:t>
      </w:r>
    </w:p>
    <w:p w14:paraId="2631AA25" w14:textId="77777777" w:rsidR="006416B0" w:rsidRPr="00B4515A" w:rsidRDefault="005E58C1" w:rsidP="003357B7">
      <w:pPr>
        <w:pStyle w:val="005"/>
        <w:spacing w:before="120" w:after="120"/>
        <w:ind w:firstLine="480"/>
      </w:pPr>
      <w:r w:rsidRPr="00B4515A">
        <w:t>特种通信领域具有较高的准入门槛，我国对从事特种通信产品研发、生产和销售的企业有着严格的资质认证管理，企业需同时拥有多种相关资质条件才能进</w:t>
      </w:r>
      <w:r w:rsidRPr="00B4515A">
        <w:lastRenderedPageBreak/>
        <w:t>行相应科研生产活动，对新进入者构成较高的资质壁垒。同时，由于该领域对产品的技术先进性、稳定性和可靠性要求较高，供应商通常需具备较强的研发能力、产品质量保证能力。大唐联诚凭借其在特种通信领域丰富的型号研制经验和优质的服务保障能力，面向客户提供优质的产品和服务，获得了客户的广泛认可并与客户建立了较为稳定的合作关系。</w:t>
      </w:r>
    </w:p>
    <w:p w14:paraId="5A590B42" w14:textId="77777777" w:rsidR="006416B0" w:rsidRPr="00B4515A" w:rsidRDefault="005E58C1" w:rsidP="003357B7">
      <w:pPr>
        <w:pStyle w:val="004"/>
        <w:spacing w:before="120" w:after="120"/>
        <w:ind w:firstLine="482"/>
      </w:pPr>
      <w:r w:rsidRPr="00B4515A">
        <w:t>5</w:t>
      </w:r>
      <w:r w:rsidRPr="00B4515A">
        <w:t>、完善的质量管理体系</w:t>
      </w:r>
    </w:p>
    <w:p w14:paraId="2511B733" w14:textId="77777777" w:rsidR="006416B0" w:rsidRPr="00B4515A" w:rsidRDefault="005E58C1" w:rsidP="003357B7">
      <w:pPr>
        <w:pStyle w:val="005"/>
        <w:spacing w:before="120" w:after="120"/>
        <w:ind w:firstLine="480"/>
      </w:pPr>
      <w:r w:rsidRPr="00B4515A">
        <w:t>大唐联诚拥有</w:t>
      </w:r>
      <w:r w:rsidRPr="00B4515A">
        <w:t>GJB9001</w:t>
      </w:r>
      <w:r w:rsidRPr="00B4515A">
        <w:rPr>
          <w:rFonts w:hint="eastAsia"/>
        </w:rPr>
        <w:t>C</w:t>
      </w:r>
      <w:r w:rsidRPr="00B4515A">
        <w:t>、</w:t>
      </w:r>
      <w:r w:rsidRPr="00B4515A">
        <w:t>GJB5000A-2008</w:t>
      </w:r>
      <w:r w:rsidRPr="00B4515A">
        <w:t>认证证书，按照</w:t>
      </w:r>
      <w:r w:rsidRPr="00B4515A">
        <w:t>GJB 9001C-2017</w:t>
      </w:r>
      <w:r w:rsidRPr="00B4515A">
        <w:t>《质量管理体系要求》标准，建立公司的质量管理体系。大唐联诚的质量管理体系，涵盖了从客户需求导入、产品策划、产品开发、生产到测试和交付的产品全生命周期管理过程，秉</w:t>
      </w:r>
      <w:r w:rsidRPr="00B4515A">
        <w:rPr>
          <w:rFonts w:asciiTheme="majorEastAsia" w:eastAsiaTheme="majorEastAsia" w:hAnsiTheme="majorEastAsia" w:hint="eastAsia"/>
        </w:rPr>
        <w:t>承</w:t>
      </w:r>
      <w:r w:rsidRPr="00B4515A">
        <w:rPr>
          <w:rFonts w:ascii="宋体" w:hAnsi="宋体"/>
        </w:rPr>
        <w:t>“</w:t>
      </w:r>
      <w:r w:rsidRPr="00B4515A">
        <w:rPr>
          <w:rFonts w:asciiTheme="majorEastAsia" w:eastAsiaTheme="majorEastAsia" w:hAnsiTheme="majorEastAsia" w:hint="eastAsia"/>
        </w:rPr>
        <w:t>以用户满意为目标，以产品质量为核心，以技术创新为根本，以规范管理为手段</w:t>
      </w:r>
      <w:r w:rsidRPr="00B4515A">
        <w:rPr>
          <w:rFonts w:ascii="宋体" w:hAnsi="宋体"/>
        </w:rPr>
        <w:t>”</w:t>
      </w:r>
      <w:r w:rsidRPr="00B4515A">
        <w:rPr>
          <w:rFonts w:asciiTheme="majorEastAsia" w:eastAsiaTheme="majorEastAsia" w:hAnsiTheme="majorEastAsia" w:hint="eastAsia"/>
        </w:rPr>
        <w:t>的质</w:t>
      </w:r>
      <w:r w:rsidRPr="00B4515A">
        <w:t>量方针，确保产品质量和可靠性达到客户的严格要求。</w:t>
      </w:r>
    </w:p>
    <w:p w14:paraId="33ADD94C" w14:textId="77777777" w:rsidR="006416B0" w:rsidRPr="00B4515A" w:rsidRDefault="005E58C1" w:rsidP="003357B7">
      <w:pPr>
        <w:pStyle w:val="002"/>
        <w:spacing w:before="120" w:after="120"/>
        <w:ind w:firstLine="562"/>
      </w:pPr>
      <w:bookmarkStart w:id="321" w:name="_Toc80960574"/>
      <w:r w:rsidRPr="00B4515A">
        <w:rPr>
          <w:rFonts w:hint="eastAsia"/>
        </w:rPr>
        <w:t>四、标的公司财务状况和盈利能力的分析</w:t>
      </w:r>
      <w:bookmarkEnd w:id="321"/>
    </w:p>
    <w:p w14:paraId="2F76142C" w14:textId="77777777" w:rsidR="006416B0" w:rsidRPr="00B4515A" w:rsidRDefault="005E58C1" w:rsidP="003357B7">
      <w:pPr>
        <w:pStyle w:val="003"/>
        <w:spacing w:before="120"/>
        <w:ind w:firstLine="482"/>
      </w:pPr>
      <w:r w:rsidRPr="00B4515A">
        <w:rPr>
          <w:rFonts w:hint="eastAsia"/>
        </w:rPr>
        <w:t>（一）财务状况分析</w:t>
      </w:r>
    </w:p>
    <w:p w14:paraId="5FF0B479" w14:textId="77777777" w:rsidR="006416B0" w:rsidRPr="00B4515A" w:rsidRDefault="005E58C1" w:rsidP="003357B7">
      <w:pPr>
        <w:pStyle w:val="004"/>
        <w:spacing w:before="120" w:after="120"/>
        <w:ind w:firstLine="482"/>
      </w:pPr>
      <w:r w:rsidRPr="00B4515A">
        <w:rPr>
          <w:rFonts w:hint="eastAsia"/>
        </w:rPr>
        <w:t>1</w:t>
      </w:r>
      <w:r w:rsidRPr="00B4515A">
        <w:rPr>
          <w:rFonts w:hint="eastAsia"/>
        </w:rPr>
        <w:t>、资产结构分析</w:t>
      </w:r>
    </w:p>
    <w:p w14:paraId="304873A7" w14:textId="1B8BEF69" w:rsidR="006416B0" w:rsidRPr="00B4515A" w:rsidRDefault="005E58C1" w:rsidP="003357B7">
      <w:pPr>
        <w:pStyle w:val="005"/>
        <w:spacing w:before="120" w:after="120"/>
        <w:ind w:firstLine="480"/>
      </w:pPr>
      <w:r w:rsidRPr="00B4515A">
        <w:rPr>
          <w:rFonts w:asciiTheme="minorEastAsia" w:eastAsiaTheme="minorEastAsia" w:hAnsiTheme="minorEastAsia" w:hint="eastAsia"/>
        </w:rPr>
        <w:t>根据</w:t>
      </w:r>
      <w:r w:rsidRPr="00B4515A">
        <w:rPr>
          <w:rFonts w:hint="eastAsia"/>
        </w:rPr>
        <w:t>立信会计师事务所（特殊普通合伙）出具的</w:t>
      </w:r>
      <w:r w:rsidR="00124C84" w:rsidRPr="00B4515A">
        <w:rPr>
          <w:rFonts w:hint="eastAsia"/>
        </w:rPr>
        <w:t>信会师报字［</w:t>
      </w:r>
      <w:r w:rsidR="00124C84" w:rsidRPr="00B4515A">
        <w:rPr>
          <w:rFonts w:hint="eastAsia"/>
        </w:rPr>
        <w:t>2021</w:t>
      </w:r>
      <w:r w:rsidR="00124C84" w:rsidRPr="00B4515A">
        <w:rPr>
          <w:rFonts w:hint="eastAsia"/>
        </w:rPr>
        <w:t>］第</w:t>
      </w:r>
      <w:r w:rsidR="00124C84" w:rsidRPr="00B4515A">
        <w:rPr>
          <w:rFonts w:hint="eastAsia"/>
        </w:rPr>
        <w:t>ZE21651</w:t>
      </w:r>
      <w:r w:rsidR="00124C84" w:rsidRPr="00B4515A">
        <w:rPr>
          <w:rFonts w:hint="eastAsia"/>
        </w:rPr>
        <w:t>号</w:t>
      </w:r>
      <w:r w:rsidRPr="00B4515A">
        <w:rPr>
          <w:rFonts w:hint="eastAsia"/>
        </w:rPr>
        <w:t>审计报告，大唐联诚报告期各期末的资产结构明细如下：</w:t>
      </w:r>
    </w:p>
    <w:p w14:paraId="6689A482"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24"/>
        <w:gridCol w:w="1347"/>
        <w:gridCol w:w="1349"/>
        <w:gridCol w:w="1199"/>
        <w:gridCol w:w="1201"/>
        <w:gridCol w:w="1199"/>
        <w:gridCol w:w="1109"/>
      </w:tblGrid>
      <w:tr w:rsidR="006416B0" w:rsidRPr="00B4515A" w14:paraId="6E310C19" w14:textId="77777777" w:rsidTr="003357B7">
        <w:trPr>
          <w:trHeight w:val="340"/>
          <w:tblHeader/>
          <w:jc w:val="center"/>
        </w:trPr>
        <w:tc>
          <w:tcPr>
            <w:tcW w:w="659" w:type="pct"/>
            <w:vMerge w:val="restart"/>
            <w:shd w:val="clear" w:color="auto" w:fill="auto"/>
            <w:tcMar>
              <w:top w:w="0" w:type="dxa"/>
              <w:left w:w="108" w:type="dxa"/>
              <w:bottom w:w="0" w:type="dxa"/>
              <w:right w:w="108" w:type="dxa"/>
            </w:tcMar>
            <w:vAlign w:val="center"/>
          </w:tcPr>
          <w:p w14:paraId="4978FD12" w14:textId="77777777" w:rsidR="006416B0" w:rsidRPr="00B4515A" w:rsidRDefault="005E58C1" w:rsidP="005860B4">
            <w:pPr>
              <w:adjustRightInd w:val="0"/>
              <w:snapToGrid w:val="0"/>
              <w:jc w:val="center"/>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项目</w:t>
            </w:r>
          </w:p>
        </w:tc>
        <w:tc>
          <w:tcPr>
            <w:tcW w:w="1581" w:type="pct"/>
            <w:gridSpan w:val="2"/>
            <w:shd w:val="clear" w:color="auto" w:fill="auto"/>
            <w:tcMar>
              <w:top w:w="0" w:type="dxa"/>
              <w:left w:w="108" w:type="dxa"/>
              <w:bottom w:w="0" w:type="dxa"/>
              <w:right w:w="108" w:type="dxa"/>
            </w:tcMar>
            <w:vAlign w:val="center"/>
          </w:tcPr>
          <w:p w14:paraId="41918051" w14:textId="77777777" w:rsidR="006416B0" w:rsidRPr="00B4515A" w:rsidRDefault="005E58C1" w:rsidP="005860B4">
            <w:pPr>
              <w:adjustRightInd w:val="0"/>
              <w:snapToGrid w:val="0"/>
              <w:jc w:val="center"/>
              <w:rPr>
                <w:rFonts w:asciiTheme="minorEastAsia" w:eastAsiaTheme="minorEastAsia" w:hAnsiTheme="minorEastAsia"/>
                <w:b/>
                <w:bCs/>
                <w:color w:val="000000"/>
                <w:sz w:val="21"/>
                <w:szCs w:val="21"/>
              </w:rPr>
            </w:pPr>
            <w:r w:rsidRPr="00B4515A">
              <w:rPr>
                <w:rFonts w:ascii="Times New Roman" w:eastAsiaTheme="minorEastAsia" w:cs="Times New Roman"/>
                <w:b/>
                <w:bCs/>
                <w:color w:val="000000"/>
                <w:sz w:val="21"/>
                <w:szCs w:val="21"/>
              </w:rPr>
              <w:t>2021.4.30</w:t>
            </w:r>
          </w:p>
        </w:tc>
        <w:tc>
          <w:tcPr>
            <w:tcW w:w="1407" w:type="pct"/>
            <w:gridSpan w:val="2"/>
            <w:shd w:val="clear" w:color="auto" w:fill="auto"/>
            <w:tcMar>
              <w:top w:w="0" w:type="dxa"/>
              <w:left w:w="108" w:type="dxa"/>
              <w:bottom w:w="0" w:type="dxa"/>
              <w:right w:w="108" w:type="dxa"/>
            </w:tcMar>
            <w:vAlign w:val="center"/>
          </w:tcPr>
          <w:p w14:paraId="05F48908" w14:textId="77777777" w:rsidR="006416B0" w:rsidRPr="00B4515A" w:rsidRDefault="005E58C1" w:rsidP="005860B4">
            <w:pPr>
              <w:adjustRightInd w:val="0"/>
              <w:snapToGrid w:val="0"/>
              <w:jc w:val="center"/>
              <w:rPr>
                <w:rFonts w:asciiTheme="minorEastAsia" w:eastAsiaTheme="minorEastAsia" w:hAnsiTheme="minorEastAsia"/>
                <w:b/>
                <w:bCs/>
                <w:color w:val="000000"/>
                <w:sz w:val="21"/>
                <w:szCs w:val="21"/>
              </w:rPr>
            </w:pPr>
            <w:r w:rsidRPr="00B4515A">
              <w:rPr>
                <w:rFonts w:ascii="Times New Roman" w:eastAsiaTheme="minorEastAsia" w:cs="Times New Roman"/>
                <w:b/>
                <w:bCs/>
                <w:color w:val="000000"/>
                <w:sz w:val="21"/>
                <w:szCs w:val="21"/>
              </w:rPr>
              <w:t>2020.12.31</w:t>
            </w:r>
          </w:p>
        </w:tc>
        <w:tc>
          <w:tcPr>
            <w:tcW w:w="1353" w:type="pct"/>
            <w:gridSpan w:val="2"/>
            <w:shd w:val="clear" w:color="auto" w:fill="auto"/>
            <w:tcMar>
              <w:top w:w="0" w:type="dxa"/>
              <w:left w:w="108" w:type="dxa"/>
              <w:bottom w:w="0" w:type="dxa"/>
              <w:right w:w="108" w:type="dxa"/>
            </w:tcMar>
            <w:vAlign w:val="center"/>
          </w:tcPr>
          <w:p w14:paraId="1139B713" w14:textId="77777777" w:rsidR="006416B0" w:rsidRPr="00B4515A" w:rsidRDefault="005E58C1" w:rsidP="005860B4">
            <w:pPr>
              <w:adjustRightInd w:val="0"/>
              <w:snapToGrid w:val="0"/>
              <w:jc w:val="center"/>
              <w:rPr>
                <w:rFonts w:asciiTheme="minorEastAsia" w:eastAsiaTheme="minorEastAsia" w:hAnsiTheme="minorEastAsia"/>
                <w:b/>
                <w:bCs/>
                <w:color w:val="000000"/>
                <w:sz w:val="21"/>
                <w:szCs w:val="21"/>
              </w:rPr>
            </w:pPr>
            <w:r w:rsidRPr="00B4515A">
              <w:rPr>
                <w:rFonts w:ascii="Times New Roman" w:eastAsiaTheme="minorEastAsia" w:cs="Times New Roman"/>
                <w:b/>
                <w:bCs/>
                <w:color w:val="000000"/>
                <w:sz w:val="21"/>
                <w:szCs w:val="21"/>
              </w:rPr>
              <w:t>2019.12.31</w:t>
            </w:r>
          </w:p>
        </w:tc>
      </w:tr>
      <w:tr w:rsidR="006416B0" w:rsidRPr="00B4515A" w14:paraId="62C48DD8" w14:textId="77777777" w:rsidTr="003357B7">
        <w:trPr>
          <w:trHeight w:val="340"/>
          <w:tblHeader/>
          <w:jc w:val="center"/>
        </w:trPr>
        <w:tc>
          <w:tcPr>
            <w:tcW w:w="659" w:type="pct"/>
            <w:vMerge/>
            <w:tcMar>
              <w:top w:w="0" w:type="dxa"/>
              <w:left w:w="108" w:type="dxa"/>
              <w:bottom w:w="0" w:type="dxa"/>
              <w:right w:w="108" w:type="dxa"/>
            </w:tcMar>
            <w:vAlign w:val="center"/>
          </w:tcPr>
          <w:p w14:paraId="6AA9FDC3" w14:textId="77777777" w:rsidR="006416B0" w:rsidRPr="00B4515A" w:rsidRDefault="006416B0" w:rsidP="005860B4">
            <w:pPr>
              <w:adjustRightInd w:val="0"/>
              <w:snapToGrid w:val="0"/>
              <w:jc w:val="center"/>
              <w:rPr>
                <w:rFonts w:ascii="Times New Roman" w:eastAsiaTheme="minorEastAsia" w:cs="Times New Roman"/>
                <w:b/>
                <w:color w:val="000000"/>
                <w:sz w:val="21"/>
                <w:szCs w:val="21"/>
              </w:rPr>
            </w:pPr>
          </w:p>
        </w:tc>
        <w:tc>
          <w:tcPr>
            <w:tcW w:w="790" w:type="pct"/>
            <w:shd w:val="clear" w:color="auto" w:fill="auto"/>
            <w:tcMar>
              <w:top w:w="0" w:type="dxa"/>
              <w:left w:w="108" w:type="dxa"/>
              <w:bottom w:w="0" w:type="dxa"/>
              <w:right w:w="108" w:type="dxa"/>
            </w:tcMar>
            <w:vAlign w:val="center"/>
          </w:tcPr>
          <w:p w14:paraId="16790439" w14:textId="77777777" w:rsidR="006416B0" w:rsidRPr="00B4515A" w:rsidRDefault="005E58C1" w:rsidP="005860B4">
            <w:pPr>
              <w:adjustRightInd w:val="0"/>
              <w:snapToGrid w:val="0"/>
              <w:jc w:val="center"/>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金额</w:t>
            </w:r>
          </w:p>
        </w:tc>
        <w:tc>
          <w:tcPr>
            <w:tcW w:w="791" w:type="pct"/>
            <w:shd w:val="clear" w:color="auto" w:fill="auto"/>
            <w:tcMar>
              <w:top w:w="0" w:type="dxa"/>
              <w:left w:w="108" w:type="dxa"/>
              <w:bottom w:w="0" w:type="dxa"/>
              <w:right w:w="108" w:type="dxa"/>
            </w:tcMar>
            <w:vAlign w:val="center"/>
          </w:tcPr>
          <w:p w14:paraId="3BA3C524" w14:textId="77777777" w:rsidR="006416B0" w:rsidRPr="00B4515A" w:rsidRDefault="005E58C1" w:rsidP="005860B4">
            <w:pPr>
              <w:adjustRightInd w:val="0"/>
              <w:snapToGrid w:val="0"/>
              <w:jc w:val="center"/>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占比</w:t>
            </w:r>
          </w:p>
        </w:tc>
        <w:tc>
          <w:tcPr>
            <w:tcW w:w="703" w:type="pct"/>
            <w:shd w:val="clear" w:color="auto" w:fill="auto"/>
            <w:tcMar>
              <w:top w:w="0" w:type="dxa"/>
              <w:left w:w="108" w:type="dxa"/>
              <w:bottom w:w="0" w:type="dxa"/>
              <w:right w:w="108" w:type="dxa"/>
            </w:tcMar>
            <w:vAlign w:val="center"/>
          </w:tcPr>
          <w:p w14:paraId="14CEC608" w14:textId="77777777" w:rsidR="006416B0" w:rsidRPr="00B4515A" w:rsidRDefault="005E58C1" w:rsidP="005860B4">
            <w:pPr>
              <w:adjustRightInd w:val="0"/>
              <w:snapToGrid w:val="0"/>
              <w:jc w:val="center"/>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金额</w:t>
            </w:r>
          </w:p>
        </w:tc>
        <w:tc>
          <w:tcPr>
            <w:tcW w:w="704" w:type="pct"/>
            <w:shd w:val="clear" w:color="auto" w:fill="auto"/>
            <w:tcMar>
              <w:top w:w="0" w:type="dxa"/>
              <w:left w:w="108" w:type="dxa"/>
              <w:bottom w:w="0" w:type="dxa"/>
              <w:right w:w="108" w:type="dxa"/>
            </w:tcMar>
            <w:vAlign w:val="center"/>
          </w:tcPr>
          <w:p w14:paraId="5B8FCD1D" w14:textId="77777777" w:rsidR="006416B0" w:rsidRPr="00B4515A" w:rsidRDefault="005E58C1" w:rsidP="005860B4">
            <w:pPr>
              <w:adjustRightInd w:val="0"/>
              <w:snapToGrid w:val="0"/>
              <w:jc w:val="center"/>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占比</w:t>
            </w:r>
          </w:p>
        </w:tc>
        <w:tc>
          <w:tcPr>
            <w:tcW w:w="703" w:type="pct"/>
            <w:shd w:val="clear" w:color="auto" w:fill="auto"/>
            <w:tcMar>
              <w:top w:w="0" w:type="dxa"/>
              <w:left w:w="108" w:type="dxa"/>
              <w:bottom w:w="0" w:type="dxa"/>
              <w:right w:w="108" w:type="dxa"/>
            </w:tcMar>
            <w:vAlign w:val="center"/>
          </w:tcPr>
          <w:p w14:paraId="36BCB1D2" w14:textId="77777777" w:rsidR="006416B0" w:rsidRPr="00B4515A" w:rsidRDefault="005E58C1" w:rsidP="005860B4">
            <w:pPr>
              <w:adjustRightInd w:val="0"/>
              <w:snapToGrid w:val="0"/>
              <w:jc w:val="center"/>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金额</w:t>
            </w:r>
          </w:p>
        </w:tc>
        <w:tc>
          <w:tcPr>
            <w:tcW w:w="650" w:type="pct"/>
            <w:shd w:val="clear" w:color="auto" w:fill="auto"/>
            <w:tcMar>
              <w:top w:w="0" w:type="dxa"/>
              <w:left w:w="108" w:type="dxa"/>
              <w:bottom w:w="0" w:type="dxa"/>
              <w:right w:w="108" w:type="dxa"/>
            </w:tcMar>
            <w:vAlign w:val="center"/>
          </w:tcPr>
          <w:p w14:paraId="7FFE886C" w14:textId="77777777" w:rsidR="006416B0" w:rsidRPr="00B4515A" w:rsidRDefault="005E58C1" w:rsidP="005860B4">
            <w:pPr>
              <w:adjustRightInd w:val="0"/>
              <w:snapToGrid w:val="0"/>
              <w:jc w:val="center"/>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占比</w:t>
            </w:r>
          </w:p>
        </w:tc>
      </w:tr>
      <w:tr w:rsidR="006416B0" w:rsidRPr="00B4515A" w14:paraId="3E0148AA" w14:textId="77777777" w:rsidTr="00031627">
        <w:trPr>
          <w:trHeight w:val="340"/>
          <w:jc w:val="center"/>
        </w:trPr>
        <w:tc>
          <w:tcPr>
            <w:tcW w:w="659" w:type="pct"/>
            <w:shd w:val="clear" w:color="auto" w:fill="auto"/>
            <w:tcMar>
              <w:top w:w="0" w:type="dxa"/>
              <w:left w:w="108" w:type="dxa"/>
              <w:bottom w:w="0" w:type="dxa"/>
              <w:right w:w="108" w:type="dxa"/>
            </w:tcMar>
            <w:vAlign w:val="center"/>
          </w:tcPr>
          <w:p w14:paraId="298285FD"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流动资产：</w:t>
            </w:r>
          </w:p>
        </w:tc>
        <w:tc>
          <w:tcPr>
            <w:tcW w:w="790" w:type="pct"/>
            <w:shd w:val="clear" w:color="auto" w:fill="auto"/>
            <w:tcMar>
              <w:top w:w="0" w:type="dxa"/>
              <w:left w:w="108" w:type="dxa"/>
              <w:bottom w:w="0" w:type="dxa"/>
              <w:right w:w="108" w:type="dxa"/>
            </w:tcMar>
            <w:vAlign w:val="center"/>
          </w:tcPr>
          <w:p w14:paraId="0F5B11AE"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791" w:type="pct"/>
            <w:shd w:val="clear" w:color="auto" w:fill="auto"/>
            <w:tcMar>
              <w:top w:w="0" w:type="dxa"/>
              <w:left w:w="108" w:type="dxa"/>
              <w:bottom w:w="0" w:type="dxa"/>
              <w:right w:w="108" w:type="dxa"/>
            </w:tcMar>
            <w:vAlign w:val="center"/>
          </w:tcPr>
          <w:p w14:paraId="33C200BA"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703" w:type="pct"/>
            <w:shd w:val="clear" w:color="auto" w:fill="auto"/>
            <w:tcMar>
              <w:top w:w="0" w:type="dxa"/>
              <w:left w:w="108" w:type="dxa"/>
              <w:bottom w:w="0" w:type="dxa"/>
              <w:right w:w="108" w:type="dxa"/>
            </w:tcMar>
            <w:vAlign w:val="center"/>
          </w:tcPr>
          <w:p w14:paraId="34A2A21C"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704" w:type="pct"/>
            <w:shd w:val="clear" w:color="auto" w:fill="auto"/>
            <w:tcMar>
              <w:top w:w="0" w:type="dxa"/>
              <w:left w:w="108" w:type="dxa"/>
              <w:bottom w:w="0" w:type="dxa"/>
              <w:right w:w="108" w:type="dxa"/>
            </w:tcMar>
            <w:vAlign w:val="center"/>
          </w:tcPr>
          <w:p w14:paraId="5E31CB09"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703" w:type="pct"/>
            <w:shd w:val="clear" w:color="auto" w:fill="auto"/>
            <w:tcMar>
              <w:top w:w="0" w:type="dxa"/>
              <w:left w:w="108" w:type="dxa"/>
              <w:bottom w:w="0" w:type="dxa"/>
              <w:right w:w="108" w:type="dxa"/>
            </w:tcMar>
            <w:vAlign w:val="center"/>
          </w:tcPr>
          <w:p w14:paraId="37470152"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650" w:type="pct"/>
            <w:shd w:val="clear" w:color="auto" w:fill="auto"/>
            <w:tcMar>
              <w:top w:w="0" w:type="dxa"/>
              <w:left w:w="108" w:type="dxa"/>
              <w:bottom w:w="0" w:type="dxa"/>
              <w:right w:w="108" w:type="dxa"/>
            </w:tcMar>
            <w:vAlign w:val="center"/>
          </w:tcPr>
          <w:p w14:paraId="3A0A7397"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r>
      <w:tr w:rsidR="006416B0" w:rsidRPr="00B4515A" w14:paraId="418597F0" w14:textId="77777777" w:rsidTr="00031627">
        <w:trPr>
          <w:trHeight w:val="340"/>
          <w:jc w:val="center"/>
        </w:trPr>
        <w:tc>
          <w:tcPr>
            <w:tcW w:w="659" w:type="pct"/>
            <w:shd w:val="clear" w:color="auto" w:fill="auto"/>
            <w:tcMar>
              <w:top w:w="0" w:type="dxa"/>
              <w:left w:w="108" w:type="dxa"/>
              <w:bottom w:w="0" w:type="dxa"/>
              <w:right w:w="108" w:type="dxa"/>
            </w:tcMar>
            <w:vAlign w:val="center"/>
          </w:tcPr>
          <w:p w14:paraId="524D6F4F"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货币资金</w:t>
            </w:r>
          </w:p>
        </w:tc>
        <w:tc>
          <w:tcPr>
            <w:tcW w:w="790" w:type="pct"/>
            <w:shd w:val="clear" w:color="auto" w:fill="auto"/>
            <w:tcMar>
              <w:top w:w="0" w:type="dxa"/>
              <w:left w:w="108" w:type="dxa"/>
              <w:bottom w:w="0" w:type="dxa"/>
              <w:right w:w="108" w:type="dxa"/>
            </w:tcMar>
            <w:vAlign w:val="center"/>
          </w:tcPr>
          <w:p w14:paraId="7FB4037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60,019.28</w:t>
            </w:r>
          </w:p>
        </w:tc>
        <w:tc>
          <w:tcPr>
            <w:tcW w:w="791" w:type="pct"/>
            <w:shd w:val="clear" w:color="auto" w:fill="auto"/>
            <w:tcMar>
              <w:top w:w="0" w:type="dxa"/>
              <w:left w:w="108" w:type="dxa"/>
              <w:bottom w:w="0" w:type="dxa"/>
              <w:right w:w="108" w:type="dxa"/>
            </w:tcMar>
            <w:vAlign w:val="center"/>
          </w:tcPr>
          <w:p w14:paraId="37F5B6E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39.86%</w:t>
            </w:r>
          </w:p>
        </w:tc>
        <w:tc>
          <w:tcPr>
            <w:tcW w:w="703" w:type="pct"/>
            <w:shd w:val="clear" w:color="auto" w:fill="auto"/>
            <w:tcMar>
              <w:top w:w="0" w:type="dxa"/>
              <w:left w:w="108" w:type="dxa"/>
              <w:bottom w:w="0" w:type="dxa"/>
              <w:right w:w="108" w:type="dxa"/>
            </w:tcMar>
            <w:vAlign w:val="center"/>
          </w:tcPr>
          <w:p w14:paraId="6877CC6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8,179.05</w:t>
            </w:r>
          </w:p>
        </w:tc>
        <w:tc>
          <w:tcPr>
            <w:tcW w:w="704" w:type="pct"/>
            <w:shd w:val="clear" w:color="auto" w:fill="auto"/>
            <w:tcMar>
              <w:top w:w="0" w:type="dxa"/>
              <w:left w:w="108" w:type="dxa"/>
              <w:bottom w:w="0" w:type="dxa"/>
              <w:right w:w="108" w:type="dxa"/>
            </w:tcMar>
            <w:vAlign w:val="center"/>
          </w:tcPr>
          <w:p w14:paraId="56E9ACF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9.38%</w:t>
            </w:r>
          </w:p>
        </w:tc>
        <w:tc>
          <w:tcPr>
            <w:tcW w:w="703" w:type="pct"/>
            <w:shd w:val="clear" w:color="auto" w:fill="auto"/>
            <w:tcMar>
              <w:top w:w="0" w:type="dxa"/>
              <w:left w:w="108" w:type="dxa"/>
              <w:bottom w:w="0" w:type="dxa"/>
              <w:right w:w="108" w:type="dxa"/>
            </w:tcMar>
            <w:vAlign w:val="center"/>
          </w:tcPr>
          <w:p w14:paraId="5D9D4AE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2,702.23</w:t>
            </w:r>
          </w:p>
        </w:tc>
        <w:tc>
          <w:tcPr>
            <w:tcW w:w="650" w:type="pct"/>
            <w:shd w:val="clear" w:color="auto" w:fill="auto"/>
            <w:tcMar>
              <w:top w:w="0" w:type="dxa"/>
              <w:left w:w="108" w:type="dxa"/>
              <w:bottom w:w="0" w:type="dxa"/>
              <w:right w:w="108" w:type="dxa"/>
            </w:tcMar>
            <w:vAlign w:val="center"/>
          </w:tcPr>
          <w:p w14:paraId="764EA10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3.75%</w:t>
            </w:r>
          </w:p>
        </w:tc>
      </w:tr>
      <w:tr w:rsidR="006416B0" w:rsidRPr="00B4515A" w14:paraId="7942FCCE" w14:textId="77777777" w:rsidTr="00031627">
        <w:trPr>
          <w:trHeight w:val="340"/>
          <w:jc w:val="center"/>
        </w:trPr>
        <w:tc>
          <w:tcPr>
            <w:tcW w:w="659" w:type="pct"/>
            <w:shd w:val="clear" w:color="auto" w:fill="auto"/>
            <w:tcMar>
              <w:top w:w="0" w:type="dxa"/>
              <w:left w:w="108" w:type="dxa"/>
              <w:bottom w:w="0" w:type="dxa"/>
              <w:right w:w="108" w:type="dxa"/>
            </w:tcMar>
            <w:vAlign w:val="center"/>
          </w:tcPr>
          <w:p w14:paraId="3D22A3C9"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应收票据</w:t>
            </w:r>
          </w:p>
        </w:tc>
        <w:tc>
          <w:tcPr>
            <w:tcW w:w="790" w:type="pct"/>
            <w:shd w:val="clear" w:color="auto" w:fill="auto"/>
            <w:tcMar>
              <w:top w:w="0" w:type="dxa"/>
              <w:left w:w="108" w:type="dxa"/>
              <w:bottom w:w="0" w:type="dxa"/>
              <w:right w:w="108" w:type="dxa"/>
            </w:tcMar>
            <w:vAlign w:val="center"/>
          </w:tcPr>
          <w:p w14:paraId="74F2287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2,196.52</w:t>
            </w:r>
          </w:p>
        </w:tc>
        <w:tc>
          <w:tcPr>
            <w:tcW w:w="791" w:type="pct"/>
            <w:shd w:val="clear" w:color="auto" w:fill="auto"/>
            <w:tcMar>
              <w:top w:w="0" w:type="dxa"/>
              <w:left w:w="108" w:type="dxa"/>
              <w:bottom w:w="0" w:type="dxa"/>
              <w:right w:w="108" w:type="dxa"/>
            </w:tcMar>
            <w:vAlign w:val="center"/>
          </w:tcPr>
          <w:p w14:paraId="0906496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1.46%</w:t>
            </w:r>
          </w:p>
        </w:tc>
        <w:tc>
          <w:tcPr>
            <w:tcW w:w="703" w:type="pct"/>
            <w:shd w:val="clear" w:color="auto" w:fill="auto"/>
            <w:tcMar>
              <w:top w:w="0" w:type="dxa"/>
              <w:left w:w="108" w:type="dxa"/>
              <w:bottom w:w="0" w:type="dxa"/>
              <w:right w:w="108" w:type="dxa"/>
            </w:tcMar>
            <w:vAlign w:val="center"/>
          </w:tcPr>
          <w:p w14:paraId="513A998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2,980.39</w:t>
            </w:r>
          </w:p>
        </w:tc>
        <w:tc>
          <w:tcPr>
            <w:tcW w:w="704" w:type="pct"/>
            <w:shd w:val="clear" w:color="auto" w:fill="auto"/>
            <w:tcMar>
              <w:top w:w="0" w:type="dxa"/>
              <w:left w:w="108" w:type="dxa"/>
              <w:bottom w:w="0" w:type="dxa"/>
              <w:right w:w="108" w:type="dxa"/>
            </w:tcMar>
            <w:vAlign w:val="center"/>
          </w:tcPr>
          <w:p w14:paraId="501FE6B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3.42%</w:t>
            </w:r>
          </w:p>
        </w:tc>
        <w:tc>
          <w:tcPr>
            <w:tcW w:w="703" w:type="pct"/>
            <w:shd w:val="clear" w:color="auto" w:fill="auto"/>
            <w:tcMar>
              <w:top w:w="0" w:type="dxa"/>
              <w:left w:w="108" w:type="dxa"/>
              <w:bottom w:w="0" w:type="dxa"/>
              <w:right w:w="108" w:type="dxa"/>
            </w:tcMar>
            <w:vAlign w:val="center"/>
          </w:tcPr>
          <w:p w14:paraId="72E205A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1,198.14</w:t>
            </w:r>
          </w:p>
        </w:tc>
        <w:tc>
          <w:tcPr>
            <w:tcW w:w="650" w:type="pct"/>
            <w:shd w:val="clear" w:color="auto" w:fill="auto"/>
            <w:tcMar>
              <w:top w:w="0" w:type="dxa"/>
              <w:left w:w="108" w:type="dxa"/>
              <w:bottom w:w="0" w:type="dxa"/>
              <w:right w:w="108" w:type="dxa"/>
            </w:tcMar>
            <w:vAlign w:val="center"/>
          </w:tcPr>
          <w:p w14:paraId="6400442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1.66%</w:t>
            </w:r>
          </w:p>
        </w:tc>
      </w:tr>
      <w:tr w:rsidR="006416B0" w:rsidRPr="00B4515A" w14:paraId="202B200B" w14:textId="77777777" w:rsidTr="00031627">
        <w:trPr>
          <w:trHeight w:val="340"/>
          <w:jc w:val="center"/>
        </w:trPr>
        <w:tc>
          <w:tcPr>
            <w:tcW w:w="659" w:type="pct"/>
            <w:shd w:val="clear" w:color="auto" w:fill="auto"/>
            <w:tcMar>
              <w:top w:w="0" w:type="dxa"/>
              <w:left w:w="108" w:type="dxa"/>
              <w:bottom w:w="0" w:type="dxa"/>
              <w:right w:w="108" w:type="dxa"/>
            </w:tcMar>
            <w:vAlign w:val="center"/>
          </w:tcPr>
          <w:p w14:paraId="19E961F9"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应收账款</w:t>
            </w:r>
          </w:p>
        </w:tc>
        <w:tc>
          <w:tcPr>
            <w:tcW w:w="790" w:type="pct"/>
            <w:shd w:val="clear" w:color="auto" w:fill="auto"/>
            <w:tcMar>
              <w:top w:w="0" w:type="dxa"/>
              <w:left w:w="108" w:type="dxa"/>
              <w:bottom w:w="0" w:type="dxa"/>
              <w:right w:w="108" w:type="dxa"/>
            </w:tcMar>
            <w:vAlign w:val="center"/>
          </w:tcPr>
          <w:p w14:paraId="2960601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33,997.25</w:t>
            </w:r>
          </w:p>
        </w:tc>
        <w:tc>
          <w:tcPr>
            <w:tcW w:w="791" w:type="pct"/>
            <w:shd w:val="clear" w:color="auto" w:fill="auto"/>
            <w:tcMar>
              <w:top w:w="0" w:type="dxa"/>
              <w:left w:w="108" w:type="dxa"/>
              <w:bottom w:w="0" w:type="dxa"/>
              <w:right w:w="108" w:type="dxa"/>
            </w:tcMar>
            <w:vAlign w:val="center"/>
          </w:tcPr>
          <w:p w14:paraId="7153ACB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22.58%</w:t>
            </w:r>
          </w:p>
        </w:tc>
        <w:tc>
          <w:tcPr>
            <w:tcW w:w="703" w:type="pct"/>
            <w:shd w:val="clear" w:color="auto" w:fill="auto"/>
            <w:tcMar>
              <w:top w:w="0" w:type="dxa"/>
              <w:left w:w="108" w:type="dxa"/>
              <w:bottom w:w="0" w:type="dxa"/>
              <w:right w:w="108" w:type="dxa"/>
            </w:tcMar>
            <w:vAlign w:val="center"/>
          </w:tcPr>
          <w:p w14:paraId="32150E0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30,964.30</w:t>
            </w:r>
          </w:p>
        </w:tc>
        <w:tc>
          <w:tcPr>
            <w:tcW w:w="704" w:type="pct"/>
            <w:shd w:val="clear" w:color="auto" w:fill="auto"/>
            <w:tcMar>
              <w:top w:w="0" w:type="dxa"/>
              <w:left w:w="108" w:type="dxa"/>
              <w:bottom w:w="0" w:type="dxa"/>
              <w:right w:w="108" w:type="dxa"/>
            </w:tcMar>
            <w:vAlign w:val="center"/>
          </w:tcPr>
          <w:p w14:paraId="6CC88CB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35.51%</w:t>
            </w:r>
          </w:p>
        </w:tc>
        <w:tc>
          <w:tcPr>
            <w:tcW w:w="703" w:type="pct"/>
            <w:shd w:val="clear" w:color="auto" w:fill="auto"/>
            <w:tcMar>
              <w:top w:w="0" w:type="dxa"/>
              <w:left w:w="108" w:type="dxa"/>
              <w:bottom w:w="0" w:type="dxa"/>
              <w:right w:w="108" w:type="dxa"/>
            </w:tcMar>
            <w:vAlign w:val="center"/>
          </w:tcPr>
          <w:p w14:paraId="64CA543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28,971.86</w:t>
            </w:r>
          </w:p>
        </w:tc>
        <w:tc>
          <w:tcPr>
            <w:tcW w:w="650" w:type="pct"/>
            <w:shd w:val="clear" w:color="auto" w:fill="auto"/>
            <w:tcMar>
              <w:top w:w="0" w:type="dxa"/>
              <w:left w:w="108" w:type="dxa"/>
              <w:bottom w:w="0" w:type="dxa"/>
              <w:right w:w="108" w:type="dxa"/>
            </w:tcMar>
            <w:vAlign w:val="center"/>
          </w:tcPr>
          <w:p w14:paraId="410CB93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40.23%</w:t>
            </w:r>
          </w:p>
        </w:tc>
      </w:tr>
      <w:tr w:rsidR="006416B0" w:rsidRPr="00B4515A" w14:paraId="4A0D1CB8" w14:textId="77777777" w:rsidTr="00031627">
        <w:trPr>
          <w:trHeight w:val="340"/>
          <w:jc w:val="center"/>
        </w:trPr>
        <w:tc>
          <w:tcPr>
            <w:tcW w:w="659" w:type="pct"/>
            <w:shd w:val="clear" w:color="auto" w:fill="auto"/>
            <w:tcMar>
              <w:top w:w="0" w:type="dxa"/>
              <w:left w:w="108" w:type="dxa"/>
              <w:bottom w:w="0" w:type="dxa"/>
              <w:right w:w="108" w:type="dxa"/>
            </w:tcMar>
            <w:vAlign w:val="center"/>
          </w:tcPr>
          <w:p w14:paraId="31791964"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预付款项</w:t>
            </w:r>
          </w:p>
        </w:tc>
        <w:tc>
          <w:tcPr>
            <w:tcW w:w="790" w:type="pct"/>
            <w:shd w:val="clear" w:color="auto" w:fill="auto"/>
            <w:tcMar>
              <w:top w:w="0" w:type="dxa"/>
              <w:left w:w="108" w:type="dxa"/>
              <w:bottom w:w="0" w:type="dxa"/>
              <w:right w:w="108" w:type="dxa"/>
            </w:tcMar>
            <w:vAlign w:val="center"/>
          </w:tcPr>
          <w:p w14:paraId="0DCFF18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3,012.03</w:t>
            </w:r>
          </w:p>
        </w:tc>
        <w:tc>
          <w:tcPr>
            <w:tcW w:w="791" w:type="pct"/>
            <w:shd w:val="clear" w:color="auto" w:fill="auto"/>
            <w:tcMar>
              <w:top w:w="0" w:type="dxa"/>
              <w:left w:w="108" w:type="dxa"/>
              <w:bottom w:w="0" w:type="dxa"/>
              <w:right w:w="108" w:type="dxa"/>
            </w:tcMar>
            <w:vAlign w:val="center"/>
          </w:tcPr>
          <w:p w14:paraId="7D71F74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2.00%</w:t>
            </w:r>
          </w:p>
        </w:tc>
        <w:tc>
          <w:tcPr>
            <w:tcW w:w="703" w:type="pct"/>
            <w:shd w:val="clear" w:color="auto" w:fill="auto"/>
            <w:tcMar>
              <w:top w:w="0" w:type="dxa"/>
              <w:left w:w="108" w:type="dxa"/>
              <w:bottom w:w="0" w:type="dxa"/>
              <w:right w:w="108" w:type="dxa"/>
            </w:tcMar>
            <w:vAlign w:val="center"/>
          </w:tcPr>
          <w:p w14:paraId="1829195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1,290.27</w:t>
            </w:r>
          </w:p>
        </w:tc>
        <w:tc>
          <w:tcPr>
            <w:tcW w:w="704" w:type="pct"/>
            <w:shd w:val="clear" w:color="auto" w:fill="auto"/>
            <w:tcMar>
              <w:top w:w="0" w:type="dxa"/>
              <w:left w:w="108" w:type="dxa"/>
              <w:bottom w:w="0" w:type="dxa"/>
              <w:right w:w="108" w:type="dxa"/>
            </w:tcMar>
            <w:vAlign w:val="center"/>
          </w:tcPr>
          <w:p w14:paraId="7BBE0CD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1.48%</w:t>
            </w:r>
          </w:p>
        </w:tc>
        <w:tc>
          <w:tcPr>
            <w:tcW w:w="703" w:type="pct"/>
            <w:shd w:val="clear" w:color="auto" w:fill="auto"/>
            <w:tcMar>
              <w:top w:w="0" w:type="dxa"/>
              <w:left w:w="108" w:type="dxa"/>
              <w:bottom w:w="0" w:type="dxa"/>
              <w:right w:w="108" w:type="dxa"/>
            </w:tcMar>
            <w:vAlign w:val="center"/>
          </w:tcPr>
          <w:p w14:paraId="44FEDBE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1,568.45</w:t>
            </w:r>
          </w:p>
        </w:tc>
        <w:tc>
          <w:tcPr>
            <w:tcW w:w="650" w:type="pct"/>
            <w:shd w:val="clear" w:color="auto" w:fill="auto"/>
            <w:tcMar>
              <w:top w:w="0" w:type="dxa"/>
              <w:left w:w="108" w:type="dxa"/>
              <w:bottom w:w="0" w:type="dxa"/>
              <w:right w:w="108" w:type="dxa"/>
            </w:tcMar>
            <w:vAlign w:val="center"/>
          </w:tcPr>
          <w:p w14:paraId="00474AC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2.18%</w:t>
            </w:r>
          </w:p>
        </w:tc>
      </w:tr>
      <w:tr w:rsidR="006416B0" w:rsidRPr="00B4515A" w14:paraId="09CF2ECF" w14:textId="77777777" w:rsidTr="00031627">
        <w:trPr>
          <w:trHeight w:val="340"/>
          <w:jc w:val="center"/>
        </w:trPr>
        <w:tc>
          <w:tcPr>
            <w:tcW w:w="659" w:type="pct"/>
            <w:shd w:val="clear" w:color="auto" w:fill="auto"/>
            <w:tcMar>
              <w:top w:w="0" w:type="dxa"/>
              <w:left w:w="108" w:type="dxa"/>
              <w:bottom w:w="0" w:type="dxa"/>
              <w:right w:w="108" w:type="dxa"/>
            </w:tcMar>
            <w:vAlign w:val="center"/>
          </w:tcPr>
          <w:p w14:paraId="7413A9EA"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其他应收款</w:t>
            </w:r>
          </w:p>
        </w:tc>
        <w:tc>
          <w:tcPr>
            <w:tcW w:w="790" w:type="pct"/>
            <w:shd w:val="clear" w:color="auto" w:fill="auto"/>
            <w:tcMar>
              <w:top w:w="0" w:type="dxa"/>
              <w:left w:w="108" w:type="dxa"/>
              <w:bottom w:w="0" w:type="dxa"/>
              <w:right w:w="108" w:type="dxa"/>
            </w:tcMar>
            <w:vAlign w:val="center"/>
          </w:tcPr>
          <w:p w14:paraId="316A73E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969.03</w:t>
            </w:r>
          </w:p>
        </w:tc>
        <w:tc>
          <w:tcPr>
            <w:tcW w:w="791" w:type="pct"/>
            <w:shd w:val="clear" w:color="auto" w:fill="auto"/>
            <w:tcMar>
              <w:top w:w="0" w:type="dxa"/>
              <w:left w:w="108" w:type="dxa"/>
              <w:bottom w:w="0" w:type="dxa"/>
              <w:right w:w="108" w:type="dxa"/>
            </w:tcMar>
            <w:vAlign w:val="center"/>
          </w:tcPr>
          <w:p w14:paraId="5BECAB4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0.64%</w:t>
            </w:r>
          </w:p>
        </w:tc>
        <w:tc>
          <w:tcPr>
            <w:tcW w:w="703" w:type="pct"/>
            <w:shd w:val="clear" w:color="auto" w:fill="auto"/>
            <w:tcMar>
              <w:top w:w="0" w:type="dxa"/>
              <w:left w:w="108" w:type="dxa"/>
              <w:bottom w:w="0" w:type="dxa"/>
              <w:right w:w="108" w:type="dxa"/>
            </w:tcMar>
            <w:vAlign w:val="center"/>
          </w:tcPr>
          <w:p w14:paraId="217468A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972.36</w:t>
            </w:r>
          </w:p>
        </w:tc>
        <w:tc>
          <w:tcPr>
            <w:tcW w:w="704" w:type="pct"/>
            <w:shd w:val="clear" w:color="auto" w:fill="auto"/>
            <w:tcMar>
              <w:top w:w="0" w:type="dxa"/>
              <w:left w:w="108" w:type="dxa"/>
              <w:bottom w:w="0" w:type="dxa"/>
              <w:right w:w="108" w:type="dxa"/>
            </w:tcMar>
            <w:vAlign w:val="center"/>
          </w:tcPr>
          <w:p w14:paraId="09E0045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1.12%</w:t>
            </w:r>
          </w:p>
        </w:tc>
        <w:tc>
          <w:tcPr>
            <w:tcW w:w="703" w:type="pct"/>
            <w:shd w:val="clear" w:color="auto" w:fill="auto"/>
            <w:tcMar>
              <w:top w:w="0" w:type="dxa"/>
              <w:left w:w="108" w:type="dxa"/>
              <w:bottom w:w="0" w:type="dxa"/>
              <w:right w:w="108" w:type="dxa"/>
            </w:tcMar>
            <w:vAlign w:val="center"/>
          </w:tcPr>
          <w:p w14:paraId="7214765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484.18</w:t>
            </w:r>
          </w:p>
        </w:tc>
        <w:tc>
          <w:tcPr>
            <w:tcW w:w="650" w:type="pct"/>
            <w:shd w:val="clear" w:color="auto" w:fill="auto"/>
            <w:tcMar>
              <w:top w:w="0" w:type="dxa"/>
              <w:left w:w="108" w:type="dxa"/>
              <w:bottom w:w="0" w:type="dxa"/>
              <w:right w:w="108" w:type="dxa"/>
            </w:tcMar>
            <w:vAlign w:val="center"/>
          </w:tcPr>
          <w:p w14:paraId="160CF2E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0.67%</w:t>
            </w:r>
          </w:p>
        </w:tc>
      </w:tr>
      <w:tr w:rsidR="006416B0" w:rsidRPr="00B4515A" w14:paraId="29F5F363" w14:textId="77777777" w:rsidTr="00031627">
        <w:trPr>
          <w:trHeight w:val="340"/>
          <w:jc w:val="center"/>
        </w:trPr>
        <w:tc>
          <w:tcPr>
            <w:tcW w:w="659" w:type="pct"/>
            <w:shd w:val="clear" w:color="auto" w:fill="auto"/>
            <w:tcMar>
              <w:top w:w="0" w:type="dxa"/>
              <w:left w:w="108" w:type="dxa"/>
              <w:bottom w:w="0" w:type="dxa"/>
              <w:right w:w="108" w:type="dxa"/>
            </w:tcMar>
            <w:vAlign w:val="center"/>
          </w:tcPr>
          <w:p w14:paraId="6C437916"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存货</w:t>
            </w:r>
          </w:p>
        </w:tc>
        <w:tc>
          <w:tcPr>
            <w:tcW w:w="790" w:type="pct"/>
            <w:shd w:val="clear" w:color="auto" w:fill="auto"/>
            <w:tcMar>
              <w:top w:w="0" w:type="dxa"/>
              <w:left w:w="108" w:type="dxa"/>
              <w:bottom w:w="0" w:type="dxa"/>
              <w:right w:w="108" w:type="dxa"/>
            </w:tcMar>
            <w:vAlign w:val="center"/>
          </w:tcPr>
          <w:p w14:paraId="7389428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17,993.53</w:t>
            </w:r>
          </w:p>
        </w:tc>
        <w:tc>
          <w:tcPr>
            <w:tcW w:w="791" w:type="pct"/>
            <w:shd w:val="clear" w:color="auto" w:fill="auto"/>
            <w:tcMar>
              <w:top w:w="0" w:type="dxa"/>
              <w:left w:w="108" w:type="dxa"/>
              <w:bottom w:w="0" w:type="dxa"/>
              <w:right w:w="108" w:type="dxa"/>
            </w:tcMar>
            <w:vAlign w:val="center"/>
          </w:tcPr>
          <w:p w14:paraId="73CAAA9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11.95%</w:t>
            </w:r>
          </w:p>
        </w:tc>
        <w:tc>
          <w:tcPr>
            <w:tcW w:w="703" w:type="pct"/>
            <w:shd w:val="clear" w:color="auto" w:fill="auto"/>
            <w:tcMar>
              <w:top w:w="0" w:type="dxa"/>
              <w:left w:w="108" w:type="dxa"/>
              <w:bottom w:w="0" w:type="dxa"/>
              <w:right w:w="108" w:type="dxa"/>
            </w:tcMar>
            <w:vAlign w:val="center"/>
          </w:tcPr>
          <w:p w14:paraId="40FEF91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15,250.81</w:t>
            </w:r>
          </w:p>
        </w:tc>
        <w:tc>
          <w:tcPr>
            <w:tcW w:w="704" w:type="pct"/>
            <w:shd w:val="clear" w:color="auto" w:fill="auto"/>
            <w:tcMar>
              <w:top w:w="0" w:type="dxa"/>
              <w:left w:w="108" w:type="dxa"/>
              <w:bottom w:w="0" w:type="dxa"/>
              <w:right w:w="108" w:type="dxa"/>
            </w:tcMar>
            <w:vAlign w:val="center"/>
          </w:tcPr>
          <w:p w14:paraId="10A77F1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17.49%</w:t>
            </w:r>
          </w:p>
        </w:tc>
        <w:tc>
          <w:tcPr>
            <w:tcW w:w="703" w:type="pct"/>
            <w:shd w:val="clear" w:color="auto" w:fill="auto"/>
            <w:tcMar>
              <w:top w:w="0" w:type="dxa"/>
              <w:left w:w="108" w:type="dxa"/>
              <w:bottom w:w="0" w:type="dxa"/>
              <w:right w:w="108" w:type="dxa"/>
            </w:tcMar>
            <w:vAlign w:val="center"/>
          </w:tcPr>
          <w:p w14:paraId="04C2652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12,597.71</w:t>
            </w:r>
          </w:p>
        </w:tc>
        <w:tc>
          <w:tcPr>
            <w:tcW w:w="650" w:type="pct"/>
            <w:shd w:val="clear" w:color="auto" w:fill="auto"/>
            <w:tcMar>
              <w:top w:w="0" w:type="dxa"/>
              <w:left w:w="108" w:type="dxa"/>
              <w:bottom w:w="0" w:type="dxa"/>
              <w:right w:w="108" w:type="dxa"/>
            </w:tcMar>
            <w:vAlign w:val="center"/>
          </w:tcPr>
          <w:p w14:paraId="30AE4E1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17.50%</w:t>
            </w:r>
          </w:p>
        </w:tc>
      </w:tr>
      <w:tr w:rsidR="006416B0" w:rsidRPr="00B4515A" w14:paraId="55C8BF89" w14:textId="77777777" w:rsidTr="00031627">
        <w:trPr>
          <w:trHeight w:val="340"/>
          <w:jc w:val="center"/>
        </w:trPr>
        <w:tc>
          <w:tcPr>
            <w:tcW w:w="659" w:type="pct"/>
            <w:shd w:val="clear" w:color="auto" w:fill="auto"/>
            <w:tcMar>
              <w:top w:w="0" w:type="dxa"/>
              <w:left w:w="108" w:type="dxa"/>
              <w:bottom w:w="0" w:type="dxa"/>
              <w:right w:w="108" w:type="dxa"/>
            </w:tcMar>
            <w:vAlign w:val="center"/>
          </w:tcPr>
          <w:p w14:paraId="5B86F78D"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其他流动资产</w:t>
            </w:r>
          </w:p>
        </w:tc>
        <w:tc>
          <w:tcPr>
            <w:tcW w:w="790" w:type="pct"/>
            <w:shd w:val="clear" w:color="auto" w:fill="auto"/>
            <w:tcMar>
              <w:top w:w="0" w:type="dxa"/>
              <w:left w:w="108" w:type="dxa"/>
              <w:bottom w:w="0" w:type="dxa"/>
              <w:right w:w="108" w:type="dxa"/>
            </w:tcMar>
            <w:vAlign w:val="center"/>
          </w:tcPr>
          <w:p w14:paraId="63D3CD3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25.23</w:t>
            </w:r>
          </w:p>
        </w:tc>
        <w:tc>
          <w:tcPr>
            <w:tcW w:w="791" w:type="pct"/>
            <w:shd w:val="clear" w:color="auto" w:fill="auto"/>
            <w:tcMar>
              <w:top w:w="0" w:type="dxa"/>
              <w:left w:w="108" w:type="dxa"/>
              <w:bottom w:w="0" w:type="dxa"/>
              <w:right w:w="108" w:type="dxa"/>
            </w:tcMar>
            <w:vAlign w:val="center"/>
          </w:tcPr>
          <w:p w14:paraId="4F748D8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0.02%</w:t>
            </w:r>
          </w:p>
        </w:tc>
        <w:tc>
          <w:tcPr>
            <w:tcW w:w="703" w:type="pct"/>
            <w:shd w:val="clear" w:color="auto" w:fill="auto"/>
            <w:tcMar>
              <w:top w:w="0" w:type="dxa"/>
              <w:left w:w="108" w:type="dxa"/>
              <w:bottom w:w="0" w:type="dxa"/>
              <w:right w:w="108" w:type="dxa"/>
            </w:tcMar>
            <w:vAlign w:val="center"/>
          </w:tcPr>
          <w:p w14:paraId="45661FA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93.73</w:t>
            </w:r>
          </w:p>
        </w:tc>
        <w:tc>
          <w:tcPr>
            <w:tcW w:w="704" w:type="pct"/>
            <w:shd w:val="clear" w:color="auto" w:fill="auto"/>
            <w:tcMar>
              <w:top w:w="0" w:type="dxa"/>
              <w:left w:w="108" w:type="dxa"/>
              <w:bottom w:w="0" w:type="dxa"/>
              <w:right w:w="108" w:type="dxa"/>
            </w:tcMar>
            <w:vAlign w:val="center"/>
          </w:tcPr>
          <w:p w14:paraId="79D9189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0.11%</w:t>
            </w:r>
          </w:p>
        </w:tc>
        <w:tc>
          <w:tcPr>
            <w:tcW w:w="703" w:type="pct"/>
            <w:shd w:val="clear" w:color="auto" w:fill="auto"/>
            <w:tcMar>
              <w:top w:w="0" w:type="dxa"/>
              <w:left w:w="108" w:type="dxa"/>
              <w:bottom w:w="0" w:type="dxa"/>
              <w:right w:w="108" w:type="dxa"/>
            </w:tcMar>
            <w:vAlign w:val="center"/>
          </w:tcPr>
          <w:p w14:paraId="189056C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650" w:type="pct"/>
            <w:shd w:val="clear" w:color="auto" w:fill="auto"/>
            <w:tcMar>
              <w:top w:w="0" w:type="dxa"/>
              <w:left w:w="108" w:type="dxa"/>
              <w:bottom w:w="0" w:type="dxa"/>
              <w:right w:w="108" w:type="dxa"/>
            </w:tcMar>
            <w:vAlign w:val="center"/>
          </w:tcPr>
          <w:p w14:paraId="745E03E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4A0ECC09" w14:textId="77777777" w:rsidTr="00031627">
        <w:trPr>
          <w:trHeight w:val="340"/>
          <w:jc w:val="center"/>
        </w:trPr>
        <w:tc>
          <w:tcPr>
            <w:tcW w:w="659" w:type="pct"/>
            <w:shd w:val="clear" w:color="auto" w:fill="auto"/>
            <w:tcMar>
              <w:top w:w="0" w:type="dxa"/>
              <w:left w:w="108" w:type="dxa"/>
              <w:bottom w:w="0" w:type="dxa"/>
              <w:right w:w="108" w:type="dxa"/>
            </w:tcMar>
            <w:vAlign w:val="center"/>
          </w:tcPr>
          <w:p w14:paraId="1168C61C" w14:textId="77777777" w:rsidR="006416B0" w:rsidRPr="00B4515A" w:rsidRDefault="005E58C1" w:rsidP="005860B4">
            <w:pPr>
              <w:adjustRightInd w:val="0"/>
              <w:snapToGrid w:val="0"/>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流动资产合计</w:t>
            </w:r>
          </w:p>
        </w:tc>
        <w:tc>
          <w:tcPr>
            <w:tcW w:w="790" w:type="pct"/>
            <w:shd w:val="clear" w:color="auto" w:fill="auto"/>
            <w:tcMar>
              <w:top w:w="0" w:type="dxa"/>
              <w:left w:w="108" w:type="dxa"/>
              <w:bottom w:w="0" w:type="dxa"/>
              <w:right w:w="108" w:type="dxa"/>
            </w:tcMar>
            <w:vAlign w:val="center"/>
          </w:tcPr>
          <w:p w14:paraId="7B84E3C1"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118,212.87</w:t>
            </w:r>
          </w:p>
        </w:tc>
        <w:tc>
          <w:tcPr>
            <w:tcW w:w="791" w:type="pct"/>
            <w:shd w:val="clear" w:color="auto" w:fill="auto"/>
            <w:tcMar>
              <w:top w:w="0" w:type="dxa"/>
              <w:left w:w="108" w:type="dxa"/>
              <w:bottom w:w="0" w:type="dxa"/>
              <w:right w:w="108" w:type="dxa"/>
            </w:tcMar>
            <w:vAlign w:val="center"/>
          </w:tcPr>
          <w:p w14:paraId="34225D2C"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78.51%</w:t>
            </w:r>
          </w:p>
        </w:tc>
        <w:tc>
          <w:tcPr>
            <w:tcW w:w="703" w:type="pct"/>
            <w:shd w:val="clear" w:color="auto" w:fill="auto"/>
            <w:tcMar>
              <w:top w:w="0" w:type="dxa"/>
              <w:left w:w="108" w:type="dxa"/>
              <w:bottom w:w="0" w:type="dxa"/>
              <w:right w:w="108" w:type="dxa"/>
            </w:tcMar>
            <w:vAlign w:val="center"/>
          </w:tcPr>
          <w:p w14:paraId="255D36C7"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59,730.91</w:t>
            </w:r>
          </w:p>
        </w:tc>
        <w:tc>
          <w:tcPr>
            <w:tcW w:w="704" w:type="pct"/>
            <w:shd w:val="clear" w:color="auto" w:fill="auto"/>
            <w:tcMar>
              <w:top w:w="0" w:type="dxa"/>
              <w:left w:w="108" w:type="dxa"/>
              <w:bottom w:w="0" w:type="dxa"/>
              <w:right w:w="108" w:type="dxa"/>
            </w:tcMar>
            <w:vAlign w:val="center"/>
          </w:tcPr>
          <w:p w14:paraId="040B4950"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68.50%</w:t>
            </w:r>
          </w:p>
        </w:tc>
        <w:tc>
          <w:tcPr>
            <w:tcW w:w="703" w:type="pct"/>
            <w:shd w:val="clear" w:color="auto" w:fill="auto"/>
            <w:tcMar>
              <w:top w:w="0" w:type="dxa"/>
              <w:left w:w="108" w:type="dxa"/>
              <w:bottom w:w="0" w:type="dxa"/>
              <w:right w:w="108" w:type="dxa"/>
            </w:tcMar>
            <w:vAlign w:val="center"/>
          </w:tcPr>
          <w:p w14:paraId="40082D72"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47,522.57</w:t>
            </w:r>
          </w:p>
        </w:tc>
        <w:tc>
          <w:tcPr>
            <w:tcW w:w="650" w:type="pct"/>
            <w:shd w:val="clear" w:color="auto" w:fill="auto"/>
            <w:tcMar>
              <w:top w:w="0" w:type="dxa"/>
              <w:left w:w="108" w:type="dxa"/>
              <w:bottom w:w="0" w:type="dxa"/>
              <w:right w:w="108" w:type="dxa"/>
            </w:tcMar>
            <w:vAlign w:val="center"/>
          </w:tcPr>
          <w:p w14:paraId="14C44EC6"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66.00%</w:t>
            </w:r>
          </w:p>
        </w:tc>
      </w:tr>
      <w:tr w:rsidR="006416B0" w:rsidRPr="00B4515A" w14:paraId="5119B1C6" w14:textId="77777777" w:rsidTr="00031627">
        <w:trPr>
          <w:trHeight w:val="340"/>
          <w:jc w:val="center"/>
        </w:trPr>
        <w:tc>
          <w:tcPr>
            <w:tcW w:w="659" w:type="pct"/>
            <w:shd w:val="clear" w:color="auto" w:fill="auto"/>
            <w:tcMar>
              <w:top w:w="0" w:type="dxa"/>
              <w:left w:w="108" w:type="dxa"/>
              <w:bottom w:w="0" w:type="dxa"/>
              <w:right w:w="108" w:type="dxa"/>
            </w:tcMar>
            <w:vAlign w:val="center"/>
          </w:tcPr>
          <w:p w14:paraId="34B64166"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lastRenderedPageBreak/>
              <w:t>非流动资产：</w:t>
            </w:r>
          </w:p>
        </w:tc>
        <w:tc>
          <w:tcPr>
            <w:tcW w:w="790" w:type="pct"/>
            <w:shd w:val="clear" w:color="auto" w:fill="auto"/>
            <w:tcMar>
              <w:top w:w="0" w:type="dxa"/>
              <w:left w:w="108" w:type="dxa"/>
              <w:bottom w:w="0" w:type="dxa"/>
              <w:right w:w="108" w:type="dxa"/>
            </w:tcMar>
            <w:vAlign w:val="center"/>
          </w:tcPr>
          <w:p w14:paraId="4EF7AE82"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791" w:type="pct"/>
            <w:shd w:val="clear" w:color="auto" w:fill="auto"/>
            <w:tcMar>
              <w:top w:w="0" w:type="dxa"/>
              <w:left w:w="108" w:type="dxa"/>
              <w:bottom w:w="0" w:type="dxa"/>
              <w:right w:w="108" w:type="dxa"/>
            </w:tcMar>
            <w:vAlign w:val="center"/>
          </w:tcPr>
          <w:p w14:paraId="0EEEA3DF"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703" w:type="pct"/>
            <w:shd w:val="clear" w:color="auto" w:fill="auto"/>
            <w:tcMar>
              <w:top w:w="0" w:type="dxa"/>
              <w:left w:w="108" w:type="dxa"/>
              <w:bottom w:w="0" w:type="dxa"/>
              <w:right w:w="108" w:type="dxa"/>
            </w:tcMar>
            <w:vAlign w:val="center"/>
          </w:tcPr>
          <w:p w14:paraId="7411520A"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704" w:type="pct"/>
            <w:shd w:val="clear" w:color="auto" w:fill="auto"/>
            <w:tcMar>
              <w:top w:w="0" w:type="dxa"/>
              <w:left w:w="108" w:type="dxa"/>
              <w:bottom w:w="0" w:type="dxa"/>
              <w:right w:w="108" w:type="dxa"/>
            </w:tcMar>
            <w:vAlign w:val="center"/>
          </w:tcPr>
          <w:p w14:paraId="57853408"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703" w:type="pct"/>
            <w:shd w:val="clear" w:color="auto" w:fill="auto"/>
            <w:tcMar>
              <w:top w:w="0" w:type="dxa"/>
              <w:left w:w="108" w:type="dxa"/>
              <w:bottom w:w="0" w:type="dxa"/>
              <w:right w:w="108" w:type="dxa"/>
            </w:tcMar>
            <w:vAlign w:val="center"/>
          </w:tcPr>
          <w:p w14:paraId="2C29EE0D"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650" w:type="pct"/>
            <w:shd w:val="clear" w:color="auto" w:fill="auto"/>
            <w:tcMar>
              <w:top w:w="0" w:type="dxa"/>
              <w:left w:w="108" w:type="dxa"/>
              <w:bottom w:w="0" w:type="dxa"/>
              <w:right w:w="108" w:type="dxa"/>
            </w:tcMar>
            <w:vAlign w:val="center"/>
          </w:tcPr>
          <w:p w14:paraId="5F9E25B6"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r>
      <w:tr w:rsidR="006416B0" w:rsidRPr="00B4515A" w14:paraId="5119D0E5" w14:textId="77777777" w:rsidTr="00031627">
        <w:trPr>
          <w:trHeight w:val="340"/>
          <w:jc w:val="center"/>
        </w:trPr>
        <w:tc>
          <w:tcPr>
            <w:tcW w:w="659" w:type="pct"/>
            <w:shd w:val="clear" w:color="auto" w:fill="auto"/>
            <w:tcMar>
              <w:top w:w="0" w:type="dxa"/>
              <w:left w:w="108" w:type="dxa"/>
              <w:bottom w:w="0" w:type="dxa"/>
              <w:right w:w="108" w:type="dxa"/>
            </w:tcMar>
            <w:vAlign w:val="center"/>
          </w:tcPr>
          <w:p w14:paraId="61C5E007"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其他权益工具投资</w:t>
            </w:r>
          </w:p>
        </w:tc>
        <w:tc>
          <w:tcPr>
            <w:tcW w:w="790" w:type="pct"/>
            <w:shd w:val="clear" w:color="auto" w:fill="auto"/>
            <w:tcMar>
              <w:top w:w="0" w:type="dxa"/>
              <w:left w:w="108" w:type="dxa"/>
              <w:bottom w:w="0" w:type="dxa"/>
              <w:right w:w="108" w:type="dxa"/>
            </w:tcMar>
            <w:vAlign w:val="center"/>
          </w:tcPr>
          <w:p w14:paraId="7F306A5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17,931.14</w:t>
            </w:r>
          </w:p>
        </w:tc>
        <w:tc>
          <w:tcPr>
            <w:tcW w:w="791" w:type="pct"/>
            <w:shd w:val="clear" w:color="auto" w:fill="auto"/>
            <w:tcMar>
              <w:top w:w="0" w:type="dxa"/>
              <w:left w:w="108" w:type="dxa"/>
              <w:bottom w:w="0" w:type="dxa"/>
              <w:right w:w="108" w:type="dxa"/>
            </w:tcMar>
            <w:vAlign w:val="center"/>
          </w:tcPr>
          <w:p w14:paraId="7F6CB13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11.91%</w:t>
            </w:r>
          </w:p>
        </w:tc>
        <w:tc>
          <w:tcPr>
            <w:tcW w:w="703" w:type="pct"/>
            <w:shd w:val="clear" w:color="auto" w:fill="auto"/>
            <w:tcMar>
              <w:top w:w="0" w:type="dxa"/>
              <w:left w:w="108" w:type="dxa"/>
              <w:bottom w:w="0" w:type="dxa"/>
              <w:right w:w="108" w:type="dxa"/>
            </w:tcMar>
            <w:vAlign w:val="center"/>
          </w:tcPr>
          <w:p w14:paraId="07D6B57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17,931.14</w:t>
            </w:r>
          </w:p>
        </w:tc>
        <w:tc>
          <w:tcPr>
            <w:tcW w:w="704" w:type="pct"/>
            <w:shd w:val="clear" w:color="auto" w:fill="auto"/>
            <w:tcMar>
              <w:top w:w="0" w:type="dxa"/>
              <w:left w:w="108" w:type="dxa"/>
              <w:bottom w:w="0" w:type="dxa"/>
              <w:right w:w="108" w:type="dxa"/>
            </w:tcMar>
            <w:vAlign w:val="center"/>
          </w:tcPr>
          <w:p w14:paraId="52FD4CA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20.56%</w:t>
            </w:r>
          </w:p>
        </w:tc>
        <w:tc>
          <w:tcPr>
            <w:tcW w:w="703" w:type="pct"/>
            <w:shd w:val="clear" w:color="auto" w:fill="auto"/>
            <w:tcMar>
              <w:top w:w="0" w:type="dxa"/>
              <w:left w:w="108" w:type="dxa"/>
              <w:bottom w:w="0" w:type="dxa"/>
              <w:right w:w="108" w:type="dxa"/>
            </w:tcMar>
            <w:vAlign w:val="center"/>
          </w:tcPr>
          <w:p w14:paraId="5A72B77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16,577.50</w:t>
            </w:r>
          </w:p>
        </w:tc>
        <w:tc>
          <w:tcPr>
            <w:tcW w:w="650" w:type="pct"/>
            <w:shd w:val="clear" w:color="auto" w:fill="auto"/>
            <w:tcMar>
              <w:top w:w="0" w:type="dxa"/>
              <w:left w:w="108" w:type="dxa"/>
              <w:bottom w:w="0" w:type="dxa"/>
              <w:right w:w="108" w:type="dxa"/>
            </w:tcMar>
            <w:vAlign w:val="center"/>
          </w:tcPr>
          <w:p w14:paraId="7DF5931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23.02%</w:t>
            </w:r>
          </w:p>
        </w:tc>
      </w:tr>
      <w:tr w:rsidR="006416B0" w:rsidRPr="00B4515A" w14:paraId="7FD821BA" w14:textId="77777777" w:rsidTr="00031627">
        <w:trPr>
          <w:trHeight w:val="340"/>
          <w:jc w:val="center"/>
        </w:trPr>
        <w:tc>
          <w:tcPr>
            <w:tcW w:w="659" w:type="pct"/>
            <w:shd w:val="clear" w:color="auto" w:fill="auto"/>
            <w:tcMar>
              <w:top w:w="0" w:type="dxa"/>
              <w:left w:w="108" w:type="dxa"/>
              <w:bottom w:w="0" w:type="dxa"/>
              <w:right w:w="108" w:type="dxa"/>
            </w:tcMar>
            <w:vAlign w:val="center"/>
          </w:tcPr>
          <w:p w14:paraId="666FC9B7"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固定资产</w:t>
            </w:r>
          </w:p>
        </w:tc>
        <w:tc>
          <w:tcPr>
            <w:tcW w:w="790" w:type="pct"/>
            <w:shd w:val="clear" w:color="auto" w:fill="auto"/>
            <w:tcMar>
              <w:top w:w="0" w:type="dxa"/>
              <w:left w:w="108" w:type="dxa"/>
              <w:bottom w:w="0" w:type="dxa"/>
              <w:right w:w="108" w:type="dxa"/>
            </w:tcMar>
            <w:vAlign w:val="center"/>
          </w:tcPr>
          <w:p w14:paraId="699A5A3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2,921.82</w:t>
            </w:r>
          </w:p>
        </w:tc>
        <w:tc>
          <w:tcPr>
            <w:tcW w:w="791" w:type="pct"/>
            <w:shd w:val="clear" w:color="auto" w:fill="auto"/>
            <w:tcMar>
              <w:top w:w="0" w:type="dxa"/>
              <w:left w:w="108" w:type="dxa"/>
              <w:bottom w:w="0" w:type="dxa"/>
              <w:right w:w="108" w:type="dxa"/>
            </w:tcMar>
            <w:vAlign w:val="center"/>
          </w:tcPr>
          <w:p w14:paraId="618460B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1.94%</w:t>
            </w:r>
          </w:p>
        </w:tc>
        <w:tc>
          <w:tcPr>
            <w:tcW w:w="703" w:type="pct"/>
            <w:shd w:val="clear" w:color="auto" w:fill="auto"/>
            <w:tcMar>
              <w:top w:w="0" w:type="dxa"/>
              <w:left w:w="108" w:type="dxa"/>
              <w:bottom w:w="0" w:type="dxa"/>
              <w:right w:w="108" w:type="dxa"/>
            </w:tcMar>
            <w:vAlign w:val="center"/>
          </w:tcPr>
          <w:p w14:paraId="2E7F8A8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3,113.01</w:t>
            </w:r>
          </w:p>
        </w:tc>
        <w:tc>
          <w:tcPr>
            <w:tcW w:w="704" w:type="pct"/>
            <w:shd w:val="clear" w:color="auto" w:fill="auto"/>
            <w:tcMar>
              <w:top w:w="0" w:type="dxa"/>
              <w:left w:w="108" w:type="dxa"/>
              <w:bottom w:w="0" w:type="dxa"/>
              <w:right w:w="108" w:type="dxa"/>
            </w:tcMar>
            <w:vAlign w:val="center"/>
          </w:tcPr>
          <w:p w14:paraId="6DF11C8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3.57%</w:t>
            </w:r>
          </w:p>
        </w:tc>
        <w:tc>
          <w:tcPr>
            <w:tcW w:w="703" w:type="pct"/>
            <w:shd w:val="clear" w:color="auto" w:fill="auto"/>
            <w:tcMar>
              <w:top w:w="0" w:type="dxa"/>
              <w:left w:w="108" w:type="dxa"/>
              <w:bottom w:w="0" w:type="dxa"/>
              <w:right w:w="108" w:type="dxa"/>
            </w:tcMar>
            <w:vAlign w:val="center"/>
          </w:tcPr>
          <w:p w14:paraId="55E1351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3,266.19</w:t>
            </w:r>
          </w:p>
        </w:tc>
        <w:tc>
          <w:tcPr>
            <w:tcW w:w="650" w:type="pct"/>
            <w:shd w:val="clear" w:color="auto" w:fill="auto"/>
            <w:tcMar>
              <w:top w:w="0" w:type="dxa"/>
              <w:left w:w="108" w:type="dxa"/>
              <w:bottom w:w="0" w:type="dxa"/>
              <w:right w:w="108" w:type="dxa"/>
            </w:tcMar>
            <w:vAlign w:val="center"/>
          </w:tcPr>
          <w:p w14:paraId="3BBDEA7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4.54%</w:t>
            </w:r>
          </w:p>
        </w:tc>
      </w:tr>
      <w:tr w:rsidR="006416B0" w:rsidRPr="00B4515A" w14:paraId="316BB16F" w14:textId="77777777" w:rsidTr="00031627">
        <w:trPr>
          <w:trHeight w:val="340"/>
          <w:jc w:val="center"/>
        </w:trPr>
        <w:tc>
          <w:tcPr>
            <w:tcW w:w="659" w:type="pct"/>
            <w:shd w:val="clear" w:color="auto" w:fill="auto"/>
            <w:tcMar>
              <w:top w:w="0" w:type="dxa"/>
              <w:left w:w="108" w:type="dxa"/>
              <w:bottom w:w="0" w:type="dxa"/>
              <w:right w:w="108" w:type="dxa"/>
            </w:tcMar>
            <w:vAlign w:val="center"/>
          </w:tcPr>
          <w:p w14:paraId="2192E89D"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在建工程</w:t>
            </w:r>
          </w:p>
        </w:tc>
        <w:tc>
          <w:tcPr>
            <w:tcW w:w="790" w:type="pct"/>
            <w:shd w:val="clear" w:color="auto" w:fill="auto"/>
            <w:tcMar>
              <w:top w:w="0" w:type="dxa"/>
              <w:left w:w="108" w:type="dxa"/>
              <w:bottom w:w="0" w:type="dxa"/>
              <w:right w:w="108" w:type="dxa"/>
            </w:tcMar>
            <w:vAlign w:val="center"/>
          </w:tcPr>
          <w:p w14:paraId="1BF2953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0.00</w:t>
            </w:r>
          </w:p>
        </w:tc>
        <w:tc>
          <w:tcPr>
            <w:tcW w:w="791" w:type="pct"/>
            <w:shd w:val="clear" w:color="auto" w:fill="auto"/>
            <w:tcMar>
              <w:top w:w="0" w:type="dxa"/>
              <w:left w:w="108" w:type="dxa"/>
              <w:bottom w:w="0" w:type="dxa"/>
              <w:right w:w="108" w:type="dxa"/>
            </w:tcMar>
            <w:vAlign w:val="center"/>
          </w:tcPr>
          <w:p w14:paraId="44544CE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0.00%</w:t>
            </w:r>
          </w:p>
        </w:tc>
        <w:tc>
          <w:tcPr>
            <w:tcW w:w="703" w:type="pct"/>
            <w:shd w:val="clear" w:color="auto" w:fill="auto"/>
            <w:tcMar>
              <w:top w:w="0" w:type="dxa"/>
              <w:left w:w="108" w:type="dxa"/>
              <w:bottom w:w="0" w:type="dxa"/>
              <w:right w:w="108" w:type="dxa"/>
            </w:tcMar>
            <w:vAlign w:val="center"/>
          </w:tcPr>
          <w:p w14:paraId="7118256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204.50</w:t>
            </w:r>
          </w:p>
        </w:tc>
        <w:tc>
          <w:tcPr>
            <w:tcW w:w="704" w:type="pct"/>
            <w:shd w:val="clear" w:color="auto" w:fill="auto"/>
            <w:tcMar>
              <w:top w:w="0" w:type="dxa"/>
              <w:left w:w="108" w:type="dxa"/>
              <w:bottom w:w="0" w:type="dxa"/>
              <w:right w:w="108" w:type="dxa"/>
            </w:tcMar>
            <w:vAlign w:val="center"/>
          </w:tcPr>
          <w:p w14:paraId="465F72D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0.23%</w:t>
            </w:r>
          </w:p>
        </w:tc>
        <w:tc>
          <w:tcPr>
            <w:tcW w:w="703" w:type="pct"/>
            <w:shd w:val="clear" w:color="auto" w:fill="auto"/>
            <w:tcMar>
              <w:top w:w="0" w:type="dxa"/>
              <w:left w:w="108" w:type="dxa"/>
              <w:bottom w:w="0" w:type="dxa"/>
              <w:right w:w="108" w:type="dxa"/>
            </w:tcMar>
            <w:vAlign w:val="center"/>
          </w:tcPr>
          <w:p w14:paraId="56C5E30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137.84</w:t>
            </w:r>
          </w:p>
        </w:tc>
        <w:tc>
          <w:tcPr>
            <w:tcW w:w="650" w:type="pct"/>
            <w:shd w:val="clear" w:color="auto" w:fill="auto"/>
            <w:tcMar>
              <w:top w:w="0" w:type="dxa"/>
              <w:left w:w="108" w:type="dxa"/>
              <w:bottom w:w="0" w:type="dxa"/>
              <w:right w:w="108" w:type="dxa"/>
            </w:tcMar>
            <w:vAlign w:val="center"/>
          </w:tcPr>
          <w:p w14:paraId="00A412A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0.19%</w:t>
            </w:r>
          </w:p>
        </w:tc>
      </w:tr>
      <w:tr w:rsidR="006416B0" w:rsidRPr="00B4515A" w14:paraId="7EEAE756" w14:textId="77777777" w:rsidTr="00031627">
        <w:trPr>
          <w:trHeight w:val="340"/>
          <w:jc w:val="center"/>
        </w:trPr>
        <w:tc>
          <w:tcPr>
            <w:tcW w:w="659" w:type="pct"/>
            <w:shd w:val="clear" w:color="auto" w:fill="auto"/>
            <w:tcMar>
              <w:top w:w="0" w:type="dxa"/>
              <w:left w:w="108" w:type="dxa"/>
              <w:bottom w:w="0" w:type="dxa"/>
              <w:right w:w="108" w:type="dxa"/>
            </w:tcMar>
            <w:vAlign w:val="center"/>
          </w:tcPr>
          <w:p w14:paraId="0B82CE57"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使用权资产</w:t>
            </w:r>
          </w:p>
        </w:tc>
        <w:tc>
          <w:tcPr>
            <w:tcW w:w="790" w:type="pct"/>
            <w:shd w:val="clear" w:color="auto" w:fill="auto"/>
            <w:tcMar>
              <w:top w:w="0" w:type="dxa"/>
              <w:left w:w="108" w:type="dxa"/>
              <w:bottom w:w="0" w:type="dxa"/>
              <w:right w:w="108" w:type="dxa"/>
            </w:tcMar>
            <w:vAlign w:val="center"/>
          </w:tcPr>
          <w:p w14:paraId="3432848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4,181.32</w:t>
            </w:r>
          </w:p>
        </w:tc>
        <w:tc>
          <w:tcPr>
            <w:tcW w:w="791" w:type="pct"/>
            <w:shd w:val="clear" w:color="auto" w:fill="auto"/>
            <w:tcMar>
              <w:top w:w="0" w:type="dxa"/>
              <w:left w:w="108" w:type="dxa"/>
              <w:bottom w:w="0" w:type="dxa"/>
              <w:right w:w="108" w:type="dxa"/>
            </w:tcMar>
            <w:vAlign w:val="center"/>
          </w:tcPr>
          <w:p w14:paraId="1112477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2.78%</w:t>
            </w:r>
          </w:p>
        </w:tc>
        <w:tc>
          <w:tcPr>
            <w:tcW w:w="703" w:type="pct"/>
            <w:shd w:val="clear" w:color="auto" w:fill="auto"/>
            <w:tcMar>
              <w:top w:w="0" w:type="dxa"/>
              <w:left w:w="108" w:type="dxa"/>
              <w:bottom w:w="0" w:type="dxa"/>
              <w:right w:w="108" w:type="dxa"/>
            </w:tcMar>
            <w:vAlign w:val="center"/>
          </w:tcPr>
          <w:p w14:paraId="054C15A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704" w:type="pct"/>
            <w:shd w:val="clear" w:color="auto" w:fill="auto"/>
            <w:tcMar>
              <w:top w:w="0" w:type="dxa"/>
              <w:left w:w="108" w:type="dxa"/>
              <w:bottom w:w="0" w:type="dxa"/>
              <w:right w:w="108" w:type="dxa"/>
            </w:tcMar>
            <w:vAlign w:val="center"/>
          </w:tcPr>
          <w:p w14:paraId="52E6939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703" w:type="pct"/>
            <w:shd w:val="clear" w:color="auto" w:fill="auto"/>
            <w:tcMar>
              <w:top w:w="0" w:type="dxa"/>
              <w:left w:w="108" w:type="dxa"/>
              <w:bottom w:w="0" w:type="dxa"/>
              <w:right w:w="108" w:type="dxa"/>
            </w:tcMar>
            <w:vAlign w:val="center"/>
          </w:tcPr>
          <w:p w14:paraId="72B8349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650" w:type="pct"/>
            <w:shd w:val="clear" w:color="auto" w:fill="auto"/>
            <w:tcMar>
              <w:top w:w="0" w:type="dxa"/>
              <w:left w:w="108" w:type="dxa"/>
              <w:bottom w:w="0" w:type="dxa"/>
              <w:right w:w="108" w:type="dxa"/>
            </w:tcMar>
            <w:vAlign w:val="center"/>
          </w:tcPr>
          <w:p w14:paraId="1FC5B62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5446344C" w14:textId="77777777" w:rsidTr="00031627">
        <w:trPr>
          <w:trHeight w:val="340"/>
          <w:jc w:val="center"/>
        </w:trPr>
        <w:tc>
          <w:tcPr>
            <w:tcW w:w="659" w:type="pct"/>
            <w:shd w:val="clear" w:color="auto" w:fill="auto"/>
            <w:tcMar>
              <w:top w:w="0" w:type="dxa"/>
              <w:left w:w="108" w:type="dxa"/>
              <w:bottom w:w="0" w:type="dxa"/>
              <w:right w:w="108" w:type="dxa"/>
            </w:tcMar>
            <w:vAlign w:val="center"/>
          </w:tcPr>
          <w:p w14:paraId="14B9CC46"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无形资产</w:t>
            </w:r>
          </w:p>
        </w:tc>
        <w:tc>
          <w:tcPr>
            <w:tcW w:w="790" w:type="pct"/>
            <w:shd w:val="clear" w:color="auto" w:fill="auto"/>
            <w:tcMar>
              <w:top w:w="0" w:type="dxa"/>
              <w:left w:w="108" w:type="dxa"/>
              <w:bottom w:w="0" w:type="dxa"/>
              <w:right w:w="108" w:type="dxa"/>
            </w:tcMar>
            <w:vAlign w:val="center"/>
          </w:tcPr>
          <w:p w14:paraId="36DE60F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5,316.96</w:t>
            </w:r>
          </w:p>
        </w:tc>
        <w:tc>
          <w:tcPr>
            <w:tcW w:w="791" w:type="pct"/>
            <w:shd w:val="clear" w:color="auto" w:fill="auto"/>
            <w:tcMar>
              <w:top w:w="0" w:type="dxa"/>
              <w:left w:w="108" w:type="dxa"/>
              <w:bottom w:w="0" w:type="dxa"/>
              <w:right w:w="108" w:type="dxa"/>
            </w:tcMar>
            <w:vAlign w:val="center"/>
          </w:tcPr>
          <w:p w14:paraId="0C3B8F4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3.53%</w:t>
            </w:r>
          </w:p>
        </w:tc>
        <w:tc>
          <w:tcPr>
            <w:tcW w:w="703" w:type="pct"/>
            <w:shd w:val="clear" w:color="auto" w:fill="auto"/>
            <w:tcMar>
              <w:top w:w="0" w:type="dxa"/>
              <w:left w:w="108" w:type="dxa"/>
              <w:bottom w:w="0" w:type="dxa"/>
              <w:right w:w="108" w:type="dxa"/>
            </w:tcMar>
            <w:vAlign w:val="center"/>
          </w:tcPr>
          <w:p w14:paraId="63F511B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5,470.80</w:t>
            </w:r>
          </w:p>
        </w:tc>
        <w:tc>
          <w:tcPr>
            <w:tcW w:w="704" w:type="pct"/>
            <w:shd w:val="clear" w:color="auto" w:fill="auto"/>
            <w:tcMar>
              <w:top w:w="0" w:type="dxa"/>
              <w:left w:w="108" w:type="dxa"/>
              <w:bottom w:w="0" w:type="dxa"/>
              <w:right w:w="108" w:type="dxa"/>
            </w:tcMar>
            <w:vAlign w:val="center"/>
          </w:tcPr>
          <w:p w14:paraId="4BB5F27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6.27%</w:t>
            </w:r>
          </w:p>
        </w:tc>
        <w:tc>
          <w:tcPr>
            <w:tcW w:w="703" w:type="pct"/>
            <w:shd w:val="clear" w:color="auto" w:fill="auto"/>
            <w:tcMar>
              <w:top w:w="0" w:type="dxa"/>
              <w:left w:w="108" w:type="dxa"/>
              <w:bottom w:w="0" w:type="dxa"/>
              <w:right w:w="108" w:type="dxa"/>
            </w:tcMar>
            <w:vAlign w:val="center"/>
          </w:tcPr>
          <w:p w14:paraId="1E23E6F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2,006.23</w:t>
            </w:r>
          </w:p>
        </w:tc>
        <w:tc>
          <w:tcPr>
            <w:tcW w:w="650" w:type="pct"/>
            <w:shd w:val="clear" w:color="auto" w:fill="auto"/>
            <w:tcMar>
              <w:top w:w="0" w:type="dxa"/>
              <w:left w:w="108" w:type="dxa"/>
              <w:bottom w:w="0" w:type="dxa"/>
              <w:right w:w="108" w:type="dxa"/>
            </w:tcMar>
            <w:vAlign w:val="center"/>
          </w:tcPr>
          <w:p w14:paraId="626192B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2.79%</w:t>
            </w:r>
          </w:p>
        </w:tc>
      </w:tr>
      <w:tr w:rsidR="006416B0" w:rsidRPr="00B4515A" w14:paraId="04D2BF9C" w14:textId="77777777" w:rsidTr="00031627">
        <w:trPr>
          <w:trHeight w:val="340"/>
          <w:jc w:val="center"/>
        </w:trPr>
        <w:tc>
          <w:tcPr>
            <w:tcW w:w="659" w:type="pct"/>
            <w:shd w:val="clear" w:color="auto" w:fill="auto"/>
            <w:tcMar>
              <w:top w:w="0" w:type="dxa"/>
              <w:left w:w="108" w:type="dxa"/>
              <w:bottom w:w="0" w:type="dxa"/>
              <w:right w:w="108" w:type="dxa"/>
            </w:tcMar>
            <w:vAlign w:val="center"/>
          </w:tcPr>
          <w:p w14:paraId="24511BD5"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开发支出</w:t>
            </w:r>
          </w:p>
        </w:tc>
        <w:tc>
          <w:tcPr>
            <w:tcW w:w="790" w:type="pct"/>
            <w:shd w:val="clear" w:color="auto" w:fill="auto"/>
            <w:tcMar>
              <w:top w:w="0" w:type="dxa"/>
              <w:left w:w="108" w:type="dxa"/>
              <w:bottom w:w="0" w:type="dxa"/>
              <w:right w:w="108" w:type="dxa"/>
            </w:tcMar>
            <w:vAlign w:val="center"/>
          </w:tcPr>
          <w:p w14:paraId="56A5742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1,944.83</w:t>
            </w:r>
          </w:p>
        </w:tc>
        <w:tc>
          <w:tcPr>
            <w:tcW w:w="791" w:type="pct"/>
            <w:shd w:val="clear" w:color="auto" w:fill="auto"/>
            <w:tcMar>
              <w:top w:w="0" w:type="dxa"/>
              <w:left w:w="108" w:type="dxa"/>
              <w:bottom w:w="0" w:type="dxa"/>
              <w:right w:w="108" w:type="dxa"/>
            </w:tcMar>
            <w:vAlign w:val="center"/>
          </w:tcPr>
          <w:p w14:paraId="2465B15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1.29%</w:t>
            </w:r>
          </w:p>
        </w:tc>
        <w:tc>
          <w:tcPr>
            <w:tcW w:w="703" w:type="pct"/>
            <w:shd w:val="clear" w:color="auto" w:fill="auto"/>
            <w:tcMar>
              <w:top w:w="0" w:type="dxa"/>
              <w:left w:w="108" w:type="dxa"/>
              <w:bottom w:w="0" w:type="dxa"/>
              <w:right w:w="108" w:type="dxa"/>
            </w:tcMar>
            <w:vAlign w:val="center"/>
          </w:tcPr>
          <w:p w14:paraId="6C523BA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648.09</w:t>
            </w:r>
          </w:p>
        </w:tc>
        <w:tc>
          <w:tcPr>
            <w:tcW w:w="704" w:type="pct"/>
            <w:shd w:val="clear" w:color="auto" w:fill="auto"/>
            <w:tcMar>
              <w:top w:w="0" w:type="dxa"/>
              <w:left w:w="108" w:type="dxa"/>
              <w:bottom w:w="0" w:type="dxa"/>
              <w:right w:w="108" w:type="dxa"/>
            </w:tcMar>
            <w:vAlign w:val="center"/>
          </w:tcPr>
          <w:p w14:paraId="29C6C9E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0.74%</w:t>
            </w:r>
          </w:p>
        </w:tc>
        <w:tc>
          <w:tcPr>
            <w:tcW w:w="703" w:type="pct"/>
            <w:shd w:val="clear" w:color="auto" w:fill="auto"/>
            <w:tcMar>
              <w:top w:w="0" w:type="dxa"/>
              <w:left w:w="108" w:type="dxa"/>
              <w:bottom w:w="0" w:type="dxa"/>
              <w:right w:w="108" w:type="dxa"/>
            </w:tcMar>
            <w:vAlign w:val="center"/>
          </w:tcPr>
          <w:p w14:paraId="4A3CC67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2,363.75</w:t>
            </w:r>
          </w:p>
        </w:tc>
        <w:tc>
          <w:tcPr>
            <w:tcW w:w="650" w:type="pct"/>
            <w:shd w:val="clear" w:color="auto" w:fill="auto"/>
            <w:tcMar>
              <w:top w:w="0" w:type="dxa"/>
              <w:left w:w="108" w:type="dxa"/>
              <w:bottom w:w="0" w:type="dxa"/>
              <w:right w:w="108" w:type="dxa"/>
            </w:tcMar>
            <w:vAlign w:val="center"/>
          </w:tcPr>
          <w:p w14:paraId="189770E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3.28%</w:t>
            </w:r>
          </w:p>
        </w:tc>
      </w:tr>
      <w:tr w:rsidR="006416B0" w:rsidRPr="00B4515A" w14:paraId="286CBA74" w14:textId="77777777" w:rsidTr="00031627">
        <w:trPr>
          <w:trHeight w:val="340"/>
          <w:jc w:val="center"/>
        </w:trPr>
        <w:tc>
          <w:tcPr>
            <w:tcW w:w="659" w:type="pct"/>
            <w:shd w:val="clear" w:color="auto" w:fill="auto"/>
            <w:tcMar>
              <w:top w:w="0" w:type="dxa"/>
              <w:left w:w="108" w:type="dxa"/>
              <w:bottom w:w="0" w:type="dxa"/>
              <w:right w:w="108" w:type="dxa"/>
            </w:tcMar>
            <w:vAlign w:val="center"/>
          </w:tcPr>
          <w:p w14:paraId="240D82EA"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长期待摊费用</w:t>
            </w:r>
          </w:p>
        </w:tc>
        <w:tc>
          <w:tcPr>
            <w:tcW w:w="790" w:type="pct"/>
            <w:shd w:val="clear" w:color="auto" w:fill="auto"/>
            <w:tcMar>
              <w:top w:w="0" w:type="dxa"/>
              <w:left w:w="108" w:type="dxa"/>
              <w:bottom w:w="0" w:type="dxa"/>
              <w:right w:w="108" w:type="dxa"/>
            </w:tcMar>
            <w:vAlign w:val="center"/>
          </w:tcPr>
          <w:p w14:paraId="35640A2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68.93</w:t>
            </w:r>
          </w:p>
        </w:tc>
        <w:tc>
          <w:tcPr>
            <w:tcW w:w="791" w:type="pct"/>
            <w:shd w:val="clear" w:color="auto" w:fill="auto"/>
            <w:tcMar>
              <w:top w:w="0" w:type="dxa"/>
              <w:left w:w="108" w:type="dxa"/>
              <w:bottom w:w="0" w:type="dxa"/>
              <w:right w:w="108" w:type="dxa"/>
            </w:tcMar>
            <w:vAlign w:val="center"/>
          </w:tcPr>
          <w:p w14:paraId="59E7188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0.05%</w:t>
            </w:r>
          </w:p>
        </w:tc>
        <w:tc>
          <w:tcPr>
            <w:tcW w:w="703" w:type="pct"/>
            <w:shd w:val="clear" w:color="auto" w:fill="auto"/>
            <w:tcMar>
              <w:top w:w="0" w:type="dxa"/>
              <w:left w:w="108" w:type="dxa"/>
              <w:bottom w:w="0" w:type="dxa"/>
              <w:right w:w="108" w:type="dxa"/>
            </w:tcMar>
            <w:vAlign w:val="center"/>
          </w:tcPr>
          <w:p w14:paraId="11A56F2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99.97</w:t>
            </w:r>
          </w:p>
        </w:tc>
        <w:tc>
          <w:tcPr>
            <w:tcW w:w="704" w:type="pct"/>
            <w:shd w:val="clear" w:color="auto" w:fill="auto"/>
            <w:tcMar>
              <w:top w:w="0" w:type="dxa"/>
              <w:left w:w="108" w:type="dxa"/>
              <w:bottom w:w="0" w:type="dxa"/>
              <w:right w:w="108" w:type="dxa"/>
            </w:tcMar>
            <w:vAlign w:val="center"/>
          </w:tcPr>
          <w:p w14:paraId="12A6F3A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0.11%</w:t>
            </w:r>
          </w:p>
        </w:tc>
        <w:tc>
          <w:tcPr>
            <w:tcW w:w="703" w:type="pct"/>
            <w:shd w:val="clear" w:color="auto" w:fill="auto"/>
            <w:tcMar>
              <w:top w:w="0" w:type="dxa"/>
              <w:left w:w="108" w:type="dxa"/>
              <w:bottom w:w="0" w:type="dxa"/>
              <w:right w:w="108" w:type="dxa"/>
            </w:tcMar>
            <w:vAlign w:val="center"/>
          </w:tcPr>
          <w:p w14:paraId="29DE337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132.89</w:t>
            </w:r>
          </w:p>
        </w:tc>
        <w:tc>
          <w:tcPr>
            <w:tcW w:w="650" w:type="pct"/>
            <w:shd w:val="clear" w:color="auto" w:fill="auto"/>
            <w:tcMar>
              <w:top w:w="0" w:type="dxa"/>
              <w:left w:w="108" w:type="dxa"/>
              <w:bottom w:w="0" w:type="dxa"/>
              <w:right w:w="108" w:type="dxa"/>
            </w:tcMar>
            <w:vAlign w:val="center"/>
          </w:tcPr>
          <w:p w14:paraId="4C6A633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0.18%</w:t>
            </w:r>
          </w:p>
        </w:tc>
      </w:tr>
      <w:tr w:rsidR="006416B0" w:rsidRPr="00B4515A" w14:paraId="13EFC920" w14:textId="77777777" w:rsidTr="00031627">
        <w:trPr>
          <w:trHeight w:val="340"/>
          <w:jc w:val="center"/>
        </w:trPr>
        <w:tc>
          <w:tcPr>
            <w:tcW w:w="659" w:type="pct"/>
            <w:shd w:val="clear" w:color="auto" w:fill="auto"/>
            <w:tcMar>
              <w:top w:w="0" w:type="dxa"/>
              <w:left w:w="108" w:type="dxa"/>
              <w:bottom w:w="0" w:type="dxa"/>
              <w:right w:w="108" w:type="dxa"/>
            </w:tcMar>
            <w:vAlign w:val="center"/>
          </w:tcPr>
          <w:p w14:paraId="6E39B194" w14:textId="77777777" w:rsidR="006416B0" w:rsidRPr="00B4515A" w:rsidRDefault="005E58C1" w:rsidP="005860B4">
            <w:pPr>
              <w:adjustRightInd w:val="0"/>
              <w:snapToGrid w:val="0"/>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非流动资产合计</w:t>
            </w:r>
          </w:p>
        </w:tc>
        <w:tc>
          <w:tcPr>
            <w:tcW w:w="790" w:type="pct"/>
            <w:shd w:val="clear" w:color="auto" w:fill="auto"/>
            <w:tcMar>
              <w:top w:w="0" w:type="dxa"/>
              <w:left w:w="108" w:type="dxa"/>
              <w:bottom w:w="0" w:type="dxa"/>
              <w:right w:w="108" w:type="dxa"/>
            </w:tcMar>
            <w:vAlign w:val="center"/>
          </w:tcPr>
          <w:p w14:paraId="365E78DF"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32,365.01</w:t>
            </w:r>
          </w:p>
        </w:tc>
        <w:tc>
          <w:tcPr>
            <w:tcW w:w="791" w:type="pct"/>
            <w:shd w:val="clear" w:color="auto" w:fill="auto"/>
            <w:tcMar>
              <w:top w:w="0" w:type="dxa"/>
              <w:left w:w="108" w:type="dxa"/>
              <w:bottom w:w="0" w:type="dxa"/>
              <w:right w:w="108" w:type="dxa"/>
            </w:tcMar>
            <w:vAlign w:val="center"/>
          </w:tcPr>
          <w:p w14:paraId="614FD176"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21.49%</w:t>
            </w:r>
          </w:p>
        </w:tc>
        <w:tc>
          <w:tcPr>
            <w:tcW w:w="703" w:type="pct"/>
            <w:shd w:val="clear" w:color="auto" w:fill="auto"/>
            <w:tcMar>
              <w:top w:w="0" w:type="dxa"/>
              <w:left w:w="108" w:type="dxa"/>
              <w:bottom w:w="0" w:type="dxa"/>
              <w:right w:w="108" w:type="dxa"/>
            </w:tcMar>
            <w:vAlign w:val="center"/>
          </w:tcPr>
          <w:p w14:paraId="4E237C86"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27,467.50</w:t>
            </w:r>
          </w:p>
        </w:tc>
        <w:tc>
          <w:tcPr>
            <w:tcW w:w="704" w:type="pct"/>
            <w:shd w:val="clear" w:color="auto" w:fill="auto"/>
            <w:tcMar>
              <w:top w:w="0" w:type="dxa"/>
              <w:left w:w="108" w:type="dxa"/>
              <w:bottom w:w="0" w:type="dxa"/>
              <w:right w:w="108" w:type="dxa"/>
            </w:tcMar>
            <w:vAlign w:val="center"/>
          </w:tcPr>
          <w:p w14:paraId="426D06A8"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31.50%</w:t>
            </w:r>
          </w:p>
        </w:tc>
        <w:tc>
          <w:tcPr>
            <w:tcW w:w="703" w:type="pct"/>
            <w:shd w:val="clear" w:color="auto" w:fill="auto"/>
            <w:tcMar>
              <w:top w:w="0" w:type="dxa"/>
              <w:left w:w="108" w:type="dxa"/>
              <w:bottom w:w="0" w:type="dxa"/>
              <w:right w:w="108" w:type="dxa"/>
            </w:tcMar>
            <w:vAlign w:val="center"/>
          </w:tcPr>
          <w:p w14:paraId="6BA53D09"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24,484.41</w:t>
            </w:r>
          </w:p>
        </w:tc>
        <w:tc>
          <w:tcPr>
            <w:tcW w:w="650" w:type="pct"/>
            <w:shd w:val="clear" w:color="auto" w:fill="auto"/>
            <w:tcMar>
              <w:top w:w="0" w:type="dxa"/>
              <w:left w:w="108" w:type="dxa"/>
              <w:bottom w:w="0" w:type="dxa"/>
              <w:right w:w="108" w:type="dxa"/>
            </w:tcMar>
            <w:vAlign w:val="center"/>
          </w:tcPr>
          <w:p w14:paraId="3D237296"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34.00%</w:t>
            </w:r>
          </w:p>
        </w:tc>
      </w:tr>
      <w:tr w:rsidR="006416B0" w:rsidRPr="00B4515A" w14:paraId="33A3756B" w14:textId="77777777" w:rsidTr="00031627">
        <w:trPr>
          <w:trHeight w:val="340"/>
          <w:jc w:val="center"/>
        </w:trPr>
        <w:tc>
          <w:tcPr>
            <w:tcW w:w="659" w:type="pct"/>
            <w:shd w:val="clear" w:color="auto" w:fill="auto"/>
            <w:tcMar>
              <w:top w:w="0" w:type="dxa"/>
              <w:left w:w="108" w:type="dxa"/>
              <w:bottom w:w="0" w:type="dxa"/>
              <w:right w:w="108" w:type="dxa"/>
            </w:tcMar>
            <w:vAlign w:val="center"/>
          </w:tcPr>
          <w:p w14:paraId="710381ED" w14:textId="77777777" w:rsidR="006416B0" w:rsidRPr="00B4515A" w:rsidRDefault="005E58C1" w:rsidP="005860B4">
            <w:pPr>
              <w:adjustRightInd w:val="0"/>
              <w:snapToGrid w:val="0"/>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资产总计</w:t>
            </w:r>
          </w:p>
        </w:tc>
        <w:tc>
          <w:tcPr>
            <w:tcW w:w="790" w:type="pct"/>
            <w:shd w:val="clear" w:color="auto" w:fill="auto"/>
            <w:tcMar>
              <w:top w:w="0" w:type="dxa"/>
              <w:left w:w="108" w:type="dxa"/>
              <w:bottom w:w="0" w:type="dxa"/>
              <w:right w:w="108" w:type="dxa"/>
            </w:tcMar>
            <w:vAlign w:val="center"/>
          </w:tcPr>
          <w:p w14:paraId="2E9C4EDE"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150,577.88</w:t>
            </w:r>
          </w:p>
        </w:tc>
        <w:tc>
          <w:tcPr>
            <w:tcW w:w="791" w:type="pct"/>
            <w:shd w:val="clear" w:color="auto" w:fill="auto"/>
            <w:tcMar>
              <w:top w:w="0" w:type="dxa"/>
              <w:left w:w="108" w:type="dxa"/>
              <w:bottom w:w="0" w:type="dxa"/>
              <w:right w:w="108" w:type="dxa"/>
            </w:tcMar>
            <w:vAlign w:val="center"/>
          </w:tcPr>
          <w:p w14:paraId="3D8A7889"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100.00%</w:t>
            </w:r>
          </w:p>
        </w:tc>
        <w:tc>
          <w:tcPr>
            <w:tcW w:w="703" w:type="pct"/>
            <w:shd w:val="clear" w:color="auto" w:fill="auto"/>
            <w:tcMar>
              <w:top w:w="0" w:type="dxa"/>
              <w:left w:w="108" w:type="dxa"/>
              <w:bottom w:w="0" w:type="dxa"/>
              <w:right w:w="108" w:type="dxa"/>
            </w:tcMar>
            <w:vAlign w:val="center"/>
          </w:tcPr>
          <w:p w14:paraId="043EEA1A"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87,198.41</w:t>
            </w:r>
          </w:p>
        </w:tc>
        <w:tc>
          <w:tcPr>
            <w:tcW w:w="704" w:type="pct"/>
            <w:shd w:val="clear" w:color="auto" w:fill="auto"/>
            <w:tcMar>
              <w:top w:w="0" w:type="dxa"/>
              <w:left w:w="108" w:type="dxa"/>
              <w:bottom w:w="0" w:type="dxa"/>
              <w:right w:w="108" w:type="dxa"/>
            </w:tcMar>
            <w:vAlign w:val="center"/>
          </w:tcPr>
          <w:p w14:paraId="7CA7A21C"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100.00%</w:t>
            </w:r>
          </w:p>
        </w:tc>
        <w:tc>
          <w:tcPr>
            <w:tcW w:w="703" w:type="pct"/>
            <w:shd w:val="clear" w:color="auto" w:fill="auto"/>
            <w:tcMar>
              <w:top w:w="0" w:type="dxa"/>
              <w:left w:w="108" w:type="dxa"/>
              <w:bottom w:w="0" w:type="dxa"/>
              <w:right w:w="108" w:type="dxa"/>
            </w:tcMar>
            <w:vAlign w:val="center"/>
          </w:tcPr>
          <w:p w14:paraId="460314FE"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72,006.98</w:t>
            </w:r>
          </w:p>
        </w:tc>
        <w:tc>
          <w:tcPr>
            <w:tcW w:w="650" w:type="pct"/>
            <w:shd w:val="clear" w:color="auto" w:fill="auto"/>
            <w:tcMar>
              <w:top w:w="0" w:type="dxa"/>
              <w:left w:w="108" w:type="dxa"/>
              <w:bottom w:w="0" w:type="dxa"/>
              <w:right w:w="108" w:type="dxa"/>
            </w:tcMar>
            <w:vAlign w:val="center"/>
          </w:tcPr>
          <w:p w14:paraId="7F4921D2"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100.00%</w:t>
            </w:r>
          </w:p>
        </w:tc>
      </w:tr>
    </w:tbl>
    <w:p w14:paraId="20DC54BA" w14:textId="77777777" w:rsidR="006416B0" w:rsidRPr="00B4515A" w:rsidRDefault="005E58C1" w:rsidP="003357B7">
      <w:pPr>
        <w:pStyle w:val="005"/>
        <w:spacing w:before="120" w:after="120"/>
        <w:ind w:firstLine="480"/>
      </w:pPr>
      <w:r w:rsidRPr="00B4515A">
        <w:rPr>
          <w:rFonts w:hint="eastAsia"/>
        </w:rPr>
        <w:t>报告期各期末，大唐联诚资产总额分别为</w:t>
      </w:r>
      <w:r w:rsidRPr="00B4515A">
        <w:t>72,006.98</w:t>
      </w:r>
      <w:r w:rsidRPr="00B4515A">
        <w:rPr>
          <w:rFonts w:hint="eastAsia"/>
        </w:rPr>
        <w:t>万元、</w:t>
      </w:r>
      <w:r w:rsidRPr="00B4515A">
        <w:t>87,198.41</w:t>
      </w:r>
      <w:r w:rsidRPr="00B4515A">
        <w:t>万元</w:t>
      </w:r>
      <w:r w:rsidRPr="00B4515A">
        <w:rPr>
          <w:rFonts w:hint="eastAsia"/>
        </w:rPr>
        <w:t>、</w:t>
      </w:r>
      <w:r w:rsidRPr="00B4515A">
        <w:t>150,577.88</w:t>
      </w:r>
      <w:r w:rsidRPr="00B4515A">
        <w:t>万元</w:t>
      </w:r>
      <w:r w:rsidRPr="00B4515A">
        <w:rPr>
          <w:rFonts w:hint="eastAsia"/>
        </w:rPr>
        <w:t>，资产总额中以流动资产为主，整体呈上升趋势。在报告期内，大唐联诚流动资产主要以货币资金、应收账款、存货等为主；非流动资产主要由其他权益工具投资、固定资产、使用权资产、无形资产等为主。</w:t>
      </w:r>
    </w:p>
    <w:p w14:paraId="3FAB28A8" w14:textId="77777777" w:rsidR="006416B0" w:rsidRPr="00B4515A" w:rsidRDefault="005E58C1" w:rsidP="003357B7">
      <w:pPr>
        <w:pStyle w:val="005"/>
        <w:spacing w:before="120" w:after="120"/>
        <w:ind w:firstLine="480"/>
      </w:pPr>
      <w:r w:rsidRPr="00B4515A">
        <w:rPr>
          <w:rFonts w:hint="eastAsia"/>
        </w:rPr>
        <w:t>大唐联诚</w:t>
      </w:r>
      <w:r w:rsidRPr="00B4515A">
        <w:t>2020</w:t>
      </w:r>
      <w:r w:rsidRPr="00B4515A">
        <w:rPr>
          <w:rFonts w:hint="eastAsia"/>
        </w:rPr>
        <w:t>年末较</w:t>
      </w:r>
      <w:r w:rsidRPr="00B4515A">
        <w:t>2019</w:t>
      </w:r>
      <w:r w:rsidRPr="00B4515A">
        <w:rPr>
          <w:rFonts w:hint="eastAsia"/>
        </w:rPr>
        <w:t>年末资产总额增长</w:t>
      </w:r>
      <w:r w:rsidRPr="00B4515A">
        <w:t>15,191.43</w:t>
      </w:r>
      <w:r w:rsidRPr="00B4515A">
        <w:rPr>
          <w:rFonts w:hint="eastAsia"/>
        </w:rPr>
        <w:t>万元，增长幅度达到</w:t>
      </w:r>
      <w:r w:rsidRPr="00B4515A">
        <w:t>21.10%</w:t>
      </w:r>
      <w:r w:rsidRPr="00B4515A">
        <w:rPr>
          <w:rFonts w:hint="eastAsia"/>
        </w:rPr>
        <w:t>，主要系大唐联诚</w:t>
      </w:r>
      <w:r w:rsidRPr="00B4515A">
        <w:t>2020</w:t>
      </w:r>
      <w:r w:rsidRPr="00B4515A">
        <w:rPr>
          <w:rFonts w:hint="eastAsia"/>
        </w:rPr>
        <w:t>年经营活动现金流量情况较</w:t>
      </w:r>
      <w:r w:rsidRPr="00B4515A">
        <w:t>2019</w:t>
      </w:r>
      <w:r w:rsidRPr="00B4515A">
        <w:rPr>
          <w:rFonts w:hint="eastAsia"/>
        </w:rPr>
        <w:t>年好转，收回的货币资金增加；同时由于公司业务增加，收入规模最大，导致应收账款和存货增加。同时研发投入加大，内部研发形成无形资产增加。</w:t>
      </w:r>
      <w:r w:rsidRPr="00B4515A">
        <w:t>2021</w:t>
      </w:r>
      <w:r w:rsidRPr="00B4515A">
        <w:rPr>
          <w:rFonts w:hint="eastAsia"/>
        </w:rPr>
        <w:t>年</w:t>
      </w:r>
      <w:r w:rsidRPr="00B4515A">
        <w:t>4</w:t>
      </w:r>
      <w:r w:rsidRPr="00B4515A">
        <w:rPr>
          <w:rFonts w:hint="eastAsia"/>
        </w:rPr>
        <w:t>月末较</w:t>
      </w:r>
      <w:r w:rsidRPr="00B4515A">
        <w:t>2020</w:t>
      </w:r>
      <w:r w:rsidRPr="00B4515A">
        <w:rPr>
          <w:rFonts w:hint="eastAsia"/>
        </w:rPr>
        <w:t>年末资产总额增加</w:t>
      </w:r>
      <w:r w:rsidRPr="00B4515A">
        <w:t>63,379.47</w:t>
      </w:r>
      <w:r w:rsidRPr="00B4515A">
        <w:rPr>
          <w:rFonts w:hint="eastAsia"/>
        </w:rPr>
        <w:t>万元，增长幅度达</w:t>
      </w:r>
      <w:r w:rsidRPr="00B4515A">
        <w:t>72.68%</w:t>
      </w:r>
      <w:r w:rsidRPr="00B4515A">
        <w:rPr>
          <w:rFonts w:hint="eastAsia"/>
        </w:rPr>
        <w:t>，增长原因主要系大唐联诚</w:t>
      </w:r>
      <w:r w:rsidRPr="00B4515A">
        <w:t>2021</w:t>
      </w:r>
      <w:r w:rsidRPr="00B4515A">
        <w:rPr>
          <w:rFonts w:hint="eastAsia"/>
        </w:rPr>
        <w:t>年引入投资者及员工持股平台，收到了增资款，导致货币资金大幅增长；同时由于业务规模扩大相应的存货及预付款增加，流动资产增加。另外，由于准则变化，导致使用权资产增加。</w:t>
      </w:r>
    </w:p>
    <w:p w14:paraId="24437AA4" w14:textId="77777777" w:rsidR="006416B0" w:rsidRPr="00B4515A" w:rsidRDefault="005E58C1" w:rsidP="003357B7">
      <w:pPr>
        <w:pStyle w:val="005"/>
        <w:spacing w:before="120" w:after="120"/>
        <w:ind w:firstLine="480"/>
      </w:pPr>
      <w:r w:rsidRPr="00B4515A">
        <w:rPr>
          <w:rFonts w:hint="eastAsia"/>
        </w:rPr>
        <w:t>报告期内，大唐联诚主要资产类项目的具体变动情况如下：</w:t>
      </w:r>
    </w:p>
    <w:p w14:paraId="4BC4B59A" w14:textId="77777777" w:rsidR="006416B0" w:rsidRPr="00B4515A" w:rsidRDefault="005E58C1" w:rsidP="003357B7">
      <w:pPr>
        <w:pStyle w:val="005"/>
        <w:spacing w:before="120" w:after="120"/>
        <w:ind w:firstLine="480"/>
      </w:pPr>
      <w:r w:rsidRPr="00B4515A">
        <w:rPr>
          <w:rFonts w:hint="eastAsia"/>
        </w:rPr>
        <w:t>（</w:t>
      </w:r>
      <w:r w:rsidRPr="00B4515A">
        <w:rPr>
          <w:rFonts w:hint="eastAsia"/>
        </w:rPr>
        <w:t>1</w:t>
      </w:r>
      <w:r w:rsidRPr="00B4515A">
        <w:rPr>
          <w:rFonts w:hint="eastAsia"/>
        </w:rPr>
        <w:t>）货币资金</w:t>
      </w:r>
    </w:p>
    <w:p w14:paraId="5477AE7C"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22"/>
        <w:gridCol w:w="2388"/>
        <w:gridCol w:w="2159"/>
        <w:gridCol w:w="2159"/>
      </w:tblGrid>
      <w:tr w:rsidR="006416B0" w:rsidRPr="00B4515A" w14:paraId="2889558A" w14:textId="77777777" w:rsidTr="003357B7">
        <w:trPr>
          <w:trHeight w:val="340"/>
          <w:tblHeader/>
          <w:jc w:val="center"/>
        </w:trPr>
        <w:tc>
          <w:tcPr>
            <w:tcW w:w="1068" w:type="pct"/>
            <w:shd w:val="clear" w:color="auto" w:fill="auto"/>
            <w:tcMar>
              <w:top w:w="0" w:type="dxa"/>
              <w:left w:w="108" w:type="dxa"/>
              <w:bottom w:w="0" w:type="dxa"/>
              <w:right w:w="108" w:type="dxa"/>
            </w:tcMar>
            <w:vAlign w:val="center"/>
          </w:tcPr>
          <w:p w14:paraId="0E6DA736"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项目</w:t>
            </w:r>
          </w:p>
        </w:tc>
        <w:tc>
          <w:tcPr>
            <w:tcW w:w="1400" w:type="pct"/>
            <w:shd w:val="clear" w:color="auto" w:fill="auto"/>
            <w:tcMar>
              <w:top w:w="0" w:type="dxa"/>
              <w:left w:w="108" w:type="dxa"/>
              <w:bottom w:w="0" w:type="dxa"/>
              <w:right w:w="108" w:type="dxa"/>
            </w:tcMar>
            <w:vAlign w:val="center"/>
          </w:tcPr>
          <w:p w14:paraId="1FB48621" w14:textId="77777777" w:rsidR="006416B0" w:rsidRPr="00B4515A" w:rsidRDefault="005E58C1" w:rsidP="005860B4">
            <w:pPr>
              <w:adjustRightInd w:val="0"/>
              <w:snapToGrid w:val="0"/>
              <w:jc w:val="center"/>
              <w:rPr>
                <w:rFonts w:asciiTheme="minorEastAsia" w:eastAsiaTheme="minorEastAsia" w:hAnsiTheme="minorEastAsia"/>
                <w:b/>
                <w:bCs/>
                <w:color w:val="000000"/>
                <w:sz w:val="21"/>
                <w:szCs w:val="21"/>
              </w:rPr>
            </w:pPr>
            <w:r w:rsidRPr="00B4515A">
              <w:rPr>
                <w:rFonts w:ascii="Times New Roman" w:eastAsiaTheme="minorEastAsia" w:cs="Times New Roman"/>
                <w:b/>
                <w:bCs/>
                <w:color w:val="000000"/>
                <w:sz w:val="21"/>
                <w:szCs w:val="21"/>
              </w:rPr>
              <w:t>2021.4.30</w:t>
            </w:r>
          </w:p>
        </w:tc>
        <w:tc>
          <w:tcPr>
            <w:tcW w:w="1266" w:type="pct"/>
            <w:shd w:val="clear" w:color="auto" w:fill="auto"/>
            <w:tcMar>
              <w:top w:w="0" w:type="dxa"/>
              <w:left w:w="108" w:type="dxa"/>
              <w:bottom w:w="0" w:type="dxa"/>
              <w:right w:w="108" w:type="dxa"/>
            </w:tcMar>
            <w:vAlign w:val="center"/>
          </w:tcPr>
          <w:p w14:paraId="6B8A6CB6" w14:textId="77777777" w:rsidR="006416B0" w:rsidRPr="00B4515A" w:rsidRDefault="005E58C1" w:rsidP="005860B4">
            <w:pPr>
              <w:adjustRightInd w:val="0"/>
              <w:snapToGrid w:val="0"/>
              <w:jc w:val="center"/>
              <w:rPr>
                <w:rFonts w:asciiTheme="minorEastAsia" w:eastAsiaTheme="minorEastAsia" w:hAnsiTheme="minorEastAsia"/>
                <w:b/>
                <w:bCs/>
                <w:color w:val="000000"/>
                <w:sz w:val="21"/>
                <w:szCs w:val="21"/>
              </w:rPr>
            </w:pPr>
            <w:r w:rsidRPr="00B4515A">
              <w:rPr>
                <w:rFonts w:ascii="Times New Roman" w:eastAsiaTheme="minorEastAsia" w:cs="Times New Roman"/>
                <w:b/>
                <w:bCs/>
                <w:color w:val="000000"/>
                <w:sz w:val="21"/>
                <w:szCs w:val="21"/>
              </w:rPr>
              <w:t>2020.12.31</w:t>
            </w:r>
          </w:p>
        </w:tc>
        <w:tc>
          <w:tcPr>
            <w:tcW w:w="1266" w:type="pct"/>
            <w:shd w:val="clear" w:color="auto" w:fill="auto"/>
            <w:tcMar>
              <w:top w:w="0" w:type="dxa"/>
              <w:left w:w="108" w:type="dxa"/>
              <w:bottom w:w="0" w:type="dxa"/>
              <w:right w:w="108" w:type="dxa"/>
            </w:tcMar>
            <w:vAlign w:val="center"/>
          </w:tcPr>
          <w:p w14:paraId="38798252" w14:textId="77777777" w:rsidR="006416B0" w:rsidRPr="00B4515A" w:rsidRDefault="005E58C1" w:rsidP="005860B4">
            <w:pPr>
              <w:adjustRightInd w:val="0"/>
              <w:snapToGrid w:val="0"/>
              <w:jc w:val="center"/>
              <w:rPr>
                <w:rFonts w:asciiTheme="minorEastAsia" w:eastAsiaTheme="minorEastAsia" w:hAnsiTheme="minorEastAsia"/>
                <w:b/>
                <w:bCs/>
                <w:color w:val="000000"/>
                <w:sz w:val="21"/>
                <w:szCs w:val="21"/>
              </w:rPr>
            </w:pPr>
            <w:r w:rsidRPr="00B4515A">
              <w:rPr>
                <w:rFonts w:ascii="Times New Roman" w:eastAsiaTheme="minorEastAsia" w:cs="Times New Roman"/>
                <w:b/>
                <w:bCs/>
                <w:color w:val="000000"/>
                <w:sz w:val="21"/>
                <w:szCs w:val="21"/>
              </w:rPr>
              <w:t>2019.12.31</w:t>
            </w:r>
          </w:p>
        </w:tc>
      </w:tr>
      <w:tr w:rsidR="006416B0" w:rsidRPr="00B4515A" w14:paraId="3E93A529" w14:textId="77777777" w:rsidTr="00031627">
        <w:trPr>
          <w:trHeight w:val="340"/>
          <w:jc w:val="center"/>
        </w:trPr>
        <w:tc>
          <w:tcPr>
            <w:tcW w:w="1068" w:type="pct"/>
            <w:shd w:val="clear" w:color="auto" w:fill="auto"/>
            <w:tcMar>
              <w:top w:w="0" w:type="dxa"/>
              <w:left w:w="108" w:type="dxa"/>
              <w:bottom w:w="0" w:type="dxa"/>
              <w:right w:w="108" w:type="dxa"/>
            </w:tcMar>
            <w:vAlign w:val="center"/>
          </w:tcPr>
          <w:p w14:paraId="37A34921"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库存现金</w:t>
            </w:r>
          </w:p>
        </w:tc>
        <w:tc>
          <w:tcPr>
            <w:tcW w:w="1400" w:type="pct"/>
            <w:shd w:val="clear" w:color="auto" w:fill="auto"/>
            <w:tcMar>
              <w:top w:w="0" w:type="dxa"/>
              <w:left w:w="108" w:type="dxa"/>
              <w:bottom w:w="0" w:type="dxa"/>
              <w:right w:w="108" w:type="dxa"/>
            </w:tcMar>
            <w:vAlign w:val="center"/>
          </w:tcPr>
          <w:p w14:paraId="0E39411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0.29</w:t>
            </w:r>
          </w:p>
        </w:tc>
        <w:tc>
          <w:tcPr>
            <w:tcW w:w="1266" w:type="pct"/>
            <w:shd w:val="clear" w:color="auto" w:fill="auto"/>
            <w:tcMar>
              <w:top w:w="0" w:type="dxa"/>
              <w:left w:w="108" w:type="dxa"/>
              <w:bottom w:w="0" w:type="dxa"/>
              <w:right w:w="108" w:type="dxa"/>
            </w:tcMar>
            <w:vAlign w:val="center"/>
          </w:tcPr>
          <w:p w14:paraId="458301D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0.64</w:t>
            </w:r>
          </w:p>
        </w:tc>
        <w:tc>
          <w:tcPr>
            <w:tcW w:w="1266" w:type="pct"/>
            <w:shd w:val="clear" w:color="auto" w:fill="auto"/>
            <w:tcMar>
              <w:top w:w="0" w:type="dxa"/>
              <w:left w:w="108" w:type="dxa"/>
              <w:bottom w:w="0" w:type="dxa"/>
              <w:right w:w="108" w:type="dxa"/>
            </w:tcMar>
            <w:vAlign w:val="center"/>
          </w:tcPr>
          <w:p w14:paraId="4DEAAA4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1.18</w:t>
            </w:r>
          </w:p>
        </w:tc>
      </w:tr>
      <w:tr w:rsidR="006416B0" w:rsidRPr="00B4515A" w14:paraId="05CBD815" w14:textId="77777777" w:rsidTr="00031627">
        <w:trPr>
          <w:trHeight w:val="340"/>
          <w:jc w:val="center"/>
        </w:trPr>
        <w:tc>
          <w:tcPr>
            <w:tcW w:w="1068" w:type="pct"/>
            <w:shd w:val="clear" w:color="auto" w:fill="auto"/>
            <w:tcMar>
              <w:top w:w="0" w:type="dxa"/>
              <w:left w:w="108" w:type="dxa"/>
              <w:bottom w:w="0" w:type="dxa"/>
              <w:right w:w="108" w:type="dxa"/>
            </w:tcMar>
            <w:vAlign w:val="center"/>
          </w:tcPr>
          <w:p w14:paraId="4133EC49"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银行存款</w:t>
            </w:r>
          </w:p>
        </w:tc>
        <w:tc>
          <w:tcPr>
            <w:tcW w:w="1400" w:type="pct"/>
            <w:shd w:val="clear" w:color="auto" w:fill="auto"/>
            <w:tcMar>
              <w:top w:w="0" w:type="dxa"/>
              <w:left w:w="108" w:type="dxa"/>
              <w:bottom w:w="0" w:type="dxa"/>
              <w:right w:w="108" w:type="dxa"/>
            </w:tcMar>
            <w:vAlign w:val="center"/>
          </w:tcPr>
          <w:p w14:paraId="7FFC96E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59,736.60</w:t>
            </w:r>
          </w:p>
        </w:tc>
        <w:tc>
          <w:tcPr>
            <w:tcW w:w="1266" w:type="pct"/>
            <w:shd w:val="clear" w:color="auto" w:fill="auto"/>
            <w:tcMar>
              <w:top w:w="0" w:type="dxa"/>
              <w:left w:w="108" w:type="dxa"/>
              <w:bottom w:w="0" w:type="dxa"/>
              <w:right w:w="108" w:type="dxa"/>
            </w:tcMar>
            <w:vAlign w:val="center"/>
          </w:tcPr>
          <w:p w14:paraId="18368C8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7,896.08</w:t>
            </w:r>
          </w:p>
        </w:tc>
        <w:tc>
          <w:tcPr>
            <w:tcW w:w="1266" w:type="pct"/>
            <w:shd w:val="clear" w:color="auto" w:fill="auto"/>
            <w:tcMar>
              <w:top w:w="0" w:type="dxa"/>
              <w:left w:w="108" w:type="dxa"/>
              <w:bottom w:w="0" w:type="dxa"/>
              <w:right w:w="108" w:type="dxa"/>
            </w:tcMar>
            <w:vAlign w:val="center"/>
          </w:tcPr>
          <w:p w14:paraId="7FB9610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2,698.52</w:t>
            </w:r>
          </w:p>
        </w:tc>
      </w:tr>
      <w:tr w:rsidR="006416B0" w:rsidRPr="00B4515A" w14:paraId="444D6826" w14:textId="77777777" w:rsidTr="00031627">
        <w:trPr>
          <w:trHeight w:val="340"/>
          <w:jc w:val="center"/>
        </w:trPr>
        <w:tc>
          <w:tcPr>
            <w:tcW w:w="1068" w:type="pct"/>
            <w:shd w:val="clear" w:color="auto" w:fill="auto"/>
            <w:tcMar>
              <w:top w:w="0" w:type="dxa"/>
              <w:left w:w="108" w:type="dxa"/>
              <w:bottom w:w="0" w:type="dxa"/>
              <w:right w:w="108" w:type="dxa"/>
            </w:tcMar>
            <w:vAlign w:val="center"/>
          </w:tcPr>
          <w:p w14:paraId="782D5A65"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lastRenderedPageBreak/>
              <w:t>其他货币资金</w:t>
            </w:r>
          </w:p>
        </w:tc>
        <w:tc>
          <w:tcPr>
            <w:tcW w:w="1400" w:type="pct"/>
            <w:shd w:val="clear" w:color="auto" w:fill="auto"/>
            <w:tcMar>
              <w:top w:w="0" w:type="dxa"/>
              <w:left w:w="108" w:type="dxa"/>
              <w:bottom w:w="0" w:type="dxa"/>
              <w:right w:w="108" w:type="dxa"/>
            </w:tcMar>
            <w:vAlign w:val="center"/>
          </w:tcPr>
          <w:p w14:paraId="7EF1BA7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282.40</w:t>
            </w:r>
          </w:p>
        </w:tc>
        <w:tc>
          <w:tcPr>
            <w:tcW w:w="1266" w:type="pct"/>
            <w:shd w:val="clear" w:color="auto" w:fill="auto"/>
            <w:tcMar>
              <w:top w:w="0" w:type="dxa"/>
              <w:left w:w="108" w:type="dxa"/>
              <w:bottom w:w="0" w:type="dxa"/>
              <w:right w:w="108" w:type="dxa"/>
            </w:tcMar>
            <w:vAlign w:val="center"/>
          </w:tcPr>
          <w:p w14:paraId="1A8A74A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282.33</w:t>
            </w:r>
          </w:p>
        </w:tc>
        <w:tc>
          <w:tcPr>
            <w:tcW w:w="1266" w:type="pct"/>
            <w:shd w:val="clear" w:color="auto" w:fill="auto"/>
            <w:tcMar>
              <w:top w:w="0" w:type="dxa"/>
              <w:left w:w="108" w:type="dxa"/>
              <w:bottom w:w="0" w:type="dxa"/>
              <w:right w:w="108" w:type="dxa"/>
            </w:tcMar>
            <w:vAlign w:val="center"/>
          </w:tcPr>
          <w:p w14:paraId="4CAA821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2.53</w:t>
            </w:r>
          </w:p>
        </w:tc>
      </w:tr>
      <w:tr w:rsidR="006416B0" w:rsidRPr="00B4515A" w14:paraId="077B1BD1" w14:textId="77777777" w:rsidTr="00031627">
        <w:trPr>
          <w:trHeight w:val="340"/>
          <w:jc w:val="center"/>
        </w:trPr>
        <w:tc>
          <w:tcPr>
            <w:tcW w:w="1068" w:type="pct"/>
            <w:shd w:val="clear" w:color="auto" w:fill="auto"/>
            <w:tcMar>
              <w:top w:w="0" w:type="dxa"/>
              <w:left w:w="108" w:type="dxa"/>
              <w:bottom w:w="0" w:type="dxa"/>
              <w:right w:w="108" w:type="dxa"/>
            </w:tcMar>
            <w:vAlign w:val="center"/>
          </w:tcPr>
          <w:p w14:paraId="68A151B2" w14:textId="77777777" w:rsidR="006416B0" w:rsidRPr="00B4515A" w:rsidRDefault="005E58C1" w:rsidP="005860B4">
            <w:pPr>
              <w:adjustRightInd w:val="0"/>
              <w:snapToGrid w:val="0"/>
              <w:jc w:val="center"/>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合计</w:t>
            </w:r>
          </w:p>
        </w:tc>
        <w:tc>
          <w:tcPr>
            <w:tcW w:w="1400" w:type="pct"/>
            <w:shd w:val="clear" w:color="auto" w:fill="auto"/>
            <w:tcMar>
              <w:top w:w="0" w:type="dxa"/>
              <w:left w:w="108" w:type="dxa"/>
              <w:bottom w:w="0" w:type="dxa"/>
              <w:right w:w="108" w:type="dxa"/>
            </w:tcMar>
            <w:vAlign w:val="center"/>
          </w:tcPr>
          <w:p w14:paraId="0FC7F5FB" w14:textId="77777777" w:rsidR="006416B0" w:rsidRPr="00B4515A" w:rsidRDefault="005E58C1" w:rsidP="005860B4">
            <w:pPr>
              <w:adjustRightInd w:val="0"/>
              <w:snapToGrid w:val="0"/>
              <w:jc w:val="right"/>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60,019.28</w:t>
            </w:r>
          </w:p>
        </w:tc>
        <w:tc>
          <w:tcPr>
            <w:tcW w:w="1266" w:type="pct"/>
            <w:shd w:val="clear" w:color="auto" w:fill="auto"/>
            <w:tcMar>
              <w:top w:w="0" w:type="dxa"/>
              <w:left w:w="108" w:type="dxa"/>
              <w:bottom w:w="0" w:type="dxa"/>
              <w:right w:w="108" w:type="dxa"/>
            </w:tcMar>
            <w:vAlign w:val="center"/>
          </w:tcPr>
          <w:p w14:paraId="05344945" w14:textId="77777777" w:rsidR="006416B0" w:rsidRPr="00B4515A" w:rsidRDefault="005E58C1" w:rsidP="005860B4">
            <w:pPr>
              <w:adjustRightInd w:val="0"/>
              <w:snapToGrid w:val="0"/>
              <w:jc w:val="right"/>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8,179.05</w:t>
            </w:r>
          </w:p>
        </w:tc>
        <w:tc>
          <w:tcPr>
            <w:tcW w:w="1266" w:type="pct"/>
            <w:shd w:val="clear" w:color="auto" w:fill="auto"/>
            <w:tcMar>
              <w:top w:w="0" w:type="dxa"/>
              <w:left w:w="108" w:type="dxa"/>
              <w:bottom w:w="0" w:type="dxa"/>
              <w:right w:w="108" w:type="dxa"/>
            </w:tcMar>
            <w:vAlign w:val="center"/>
          </w:tcPr>
          <w:p w14:paraId="41EBA08D" w14:textId="77777777" w:rsidR="006416B0" w:rsidRPr="00B4515A" w:rsidRDefault="005E58C1" w:rsidP="005860B4">
            <w:pPr>
              <w:adjustRightInd w:val="0"/>
              <w:snapToGrid w:val="0"/>
              <w:jc w:val="right"/>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2,702.23</w:t>
            </w:r>
          </w:p>
        </w:tc>
      </w:tr>
    </w:tbl>
    <w:p w14:paraId="18E6C532" w14:textId="77777777" w:rsidR="006416B0" w:rsidRPr="00B4515A" w:rsidRDefault="005E58C1" w:rsidP="003357B7">
      <w:pPr>
        <w:pStyle w:val="005"/>
        <w:spacing w:before="120" w:after="120"/>
        <w:ind w:firstLine="480"/>
      </w:pPr>
      <w:r w:rsidRPr="00B4515A">
        <w:rPr>
          <w:rFonts w:hint="eastAsia"/>
        </w:rPr>
        <w:t>其中因抵押、质押或冻结等对使用有限制，以及放在境外且资金汇回受到限制的货币资金明细如下：</w:t>
      </w:r>
    </w:p>
    <w:p w14:paraId="6827BF57" w14:textId="77777777" w:rsidR="006416B0" w:rsidRPr="00B4515A" w:rsidRDefault="005E58C1" w:rsidP="003357B7">
      <w:pPr>
        <w:pStyle w:val="009"/>
      </w:pPr>
      <w:r w:rsidRPr="00B4515A">
        <w:t>单位</w:t>
      </w:r>
      <w:r w:rsidRPr="00B4515A">
        <w:rPr>
          <w:rFonts w:hint="eastAsia"/>
        </w:rPr>
        <w:t>：</w:t>
      </w:r>
      <w:r w:rsidRPr="00B4515A">
        <w:t>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42"/>
        <w:gridCol w:w="2388"/>
        <w:gridCol w:w="2149"/>
        <w:gridCol w:w="2149"/>
      </w:tblGrid>
      <w:tr w:rsidR="006416B0" w:rsidRPr="00B4515A" w14:paraId="7B001705" w14:textId="77777777" w:rsidTr="00031627">
        <w:trPr>
          <w:trHeight w:val="340"/>
          <w:jc w:val="center"/>
        </w:trPr>
        <w:tc>
          <w:tcPr>
            <w:tcW w:w="1080" w:type="pct"/>
            <w:shd w:val="clear" w:color="auto" w:fill="auto"/>
            <w:tcMar>
              <w:top w:w="0" w:type="dxa"/>
              <w:left w:w="108" w:type="dxa"/>
              <w:bottom w:w="0" w:type="dxa"/>
              <w:right w:w="108" w:type="dxa"/>
            </w:tcMar>
            <w:vAlign w:val="center"/>
          </w:tcPr>
          <w:p w14:paraId="57E464F0"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项目</w:t>
            </w:r>
          </w:p>
        </w:tc>
        <w:tc>
          <w:tcPr>
            <w:tcW w:w="1400" w:type="pct"/>
            <w:shd w:val="clear" w:color="auto" w:fill="auto"/>
            <w:tcMar>
              <w:top w:w="0" w:type="dxa"/>
              <w:left w:w="108" w:type="dxa"/>
              <w:bottom w:w="0" w:type="dxa"/>
              <w:right w:w="108" w:type="dxa"/>
            </w:tcMar>
            <w:vAlign w:val="center"/>
          </w:tcPr>
          <w:p w14:paraId="70014073"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2021.4.30</w:t>
            </w:r>
          </w:p>
        </w:tc>
        <w:tc>
          <w:tcPr>
            <w:tcW w:w="1260" w:type="pct"/>
            <w:shd w:val="clear" w:color="auto" w:fill="auto"/>
            <w:tcMar>
              <w:top w:w="0" w:type="dxa"/>
              <w:left w:w="108" w:type="dxa"/>
              <w:bottom w:w="0" w:type="dxa"/>
              <w:right w:w="108" w:type="dxa"/>
            </w:tcMar>
            <w:vAlign w:val="center"/>
          </w:tcPr>
          <w:p w14:paraId="7B125FE1"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2020.12.31</w:t>
            </w:r>
          </w:p>
        </w:tc>
        <w:tc>
          <w:tcPr>
            <w:tcW w:w="1260" w:type="pct"/>
            <w:shd w:val="clear" w:color="auto" w:fill="auto"/>
            <w:tcMar>
              <w:top w:w="0" w:type="dxa"/>
              <w:left w:w="108" w:type="dxa"/>
              <w:bottom w:w="0" w:type="dxa"/>
              <w:right w:w="108" w:type="dxa"/>
            </w:tcMar>
            <w:vAlign w:val="center"/>
          </w:tcPr>
          <w:p w14:paraId="0AF52E5B"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2019.12.31</w:t>
            </w:r>
          </w:p>
        </w:tc>
      </w:tr>
      <w:tr w:rsidR="006416B0" w:rsidRPr="00B4515A" w14:paraId="323F6325" w14:textId="77777777" w:rsidTr="00031627">
        <w:trPr>
          <w:trHeight w:val="340"/>
          <w:jc w:val="center"/>
        </w:trPr>
        <w:tc>
          <w:tcPr>
            <w:tcW w:w="1080" w:type="pct"/>
            <w:shd w:val="clear" w:color="auto" w:fill="auto"/>
            <w:tcMar>
              <w:top w:w="0" w:type="dxa"/>
              <w:left w:w="108" w:type="dxa"/>
              <w:bottom w:w="0" w:type="dxa"/>
              <w:right w:w="108" w:type="dxa"/>
            </w:tcMar>
            <w:vAlign w:val="center"/>
          </w:tcPr>
          <w:p w14:paraId="4D802356"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保函保证金</w:t>
            </w:r>
          </w:p>
        </w:tc>
        <w:tc>
          <w:tcPr>
            <w:tcW w:w="1400" w:type="pct"/>
            <w:shd w:val="clear" w:color="auto" w:fill="auto"/>
            <w:tcMar>
              <w:top w:w="0" w:type="dxa"/>
              <w:left w:w="108" w:type="dxa"/>
              <w:bottom w:w="0" w:type="dxa"/>
              <w:right w:w="108" w:type="dxa"/>
            </w:tcMar>
            <w:vAlign w:val="center"/>
          </w:tcPr>
          <w:p w14:paraId="47D8724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282.31</w:t>
            </w:r>
          </w:p>
        </w:tc>
        <w:tc>
          <w:tcPr>
            <w:tcW w:w="1260" w:type="pct"/>
            <w:shd w:val="clear" w:color="auto" w:fill="auto"/>
            <w:tcMar>
              <w:top w:w="0" w:type="dxa"/>
              <w:left w:w="108" w:type="dxa"/>
              <w:bottom w:w="0" w:type="dxa"/>
              <w:right w:w="108" w:type="dxa"/>
            </w:tcMar>
            <w:vAlign w:val="center"/>
          </w:tcPr>
          <w:p w14:paraId="55A51E6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282.31</w:t>
            </w:r>
          </w:p>
        </w:tc>
        <w:tc>
          <w:tcPr>
            <w:tcW w:w="1260" w:type="pct"/>
            <w:shd w:val="clear" w:color="auto" w:fill="auto"/>
            <w:tcMar>
              <w:top w:w="0" w:type="dxa"/>
              <w:left w:w="108" w:type="dxa"/>
              <w:bottom w:w="0" w:type="dxa"/>
              <w:right w:w="108" w:type="dxa"/>
            </w:tcMar>
            <w:vAlign w:val="center"/>
          </w:tcPr>
          <w:p w14:paraId="3A8C44F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2.53</w:t>
            </w:r>
          </w:p>
        </w:tc>
      </w:tr>
      <w:tr w:rsidR="006416B0" w:rsidRPr="00B4515A" w14:paraId="5CB4F27B" w14:textId="77777777" w:rsidTr="00031627">
        <w:trPr>
          <w:trHeight w:val="340"/>
          <w:jc w:val="center"/>
        </w:trPr>
        <w:tc>
          <w:tcPr>
            <w:tcW w:w="1080" w:type="pct"/>
            <w:shd w:val="clear" w:color="auto" w:fill="auto"/>
            <w:tcMar>
              <w:top w:w="0" w:type="dxa"/>
              <w:left w:w="108" w:type="dxa"/>
              <w:bottom w:w="0" w:type="dxa"/>
              <w:right w:w="108" w:type="dxa"/>
            </w:tcMar>
            <w:vAlign w:val="center"/>
          </w:tcPr>
          <w:p w14:paraId="44CB55FD" w14:textId="77777777" w:rsidR="006416B0" w:rsidRPr="00B4515A" w:rsidRDefault="005E58C1" w:rsidP="005860B4">
            <w:pPr>
              <w:adjustRightInd w:val="0"/>
              <w:snapToGrid w:val="0"/>
              <w:jc w:val="center"/>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合计</w:t>
            </w:r>
          </w:p>
        </w:tc>
        <w:tc>
          <w:tcPr>
            <w:tcW w:w="1400" w:type="pct"/>
            <w:shd w:val="clear" w:color="auto" w:fill="auto"/>
            <w:tcMar>
              <w:top w:w="0" w:type="dxa"/>
              <w:left w:w="108" w:type="dxa"/>
              <w:bottom w:w="0" w:type="dxa"/>
              <w:right w:w="108" w:type="dxa"/>
            </w:tcMar>
            <w:vAlign w:val="center"/>
          </w:tcPr>
          <w:p w14:paraId="47AE92B1" w14:textId="77777777" w:rsidR="006416B0" w:rsidRPr="00B4515A" w:rsidRDefault="005E58C1" w:rsidP="005860B4">
            <w:pPr>
              <w:adjustRightInd w:val="0"/>
              <w:snapToGrid w:val="0"/>
              <w:jc w:val="right"/>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282.31</w:t>
            </w:r>
          </w:p>
        </w:tc>
        <w:tc>
          <w:tcPr>
            <w:tcW w:w="1260" w:type="pct"/>
            <w:shd w:val="clear" w:color="auto" w:fill="auto"/>
            <w:tcMar>
              <w:top w:w="0" w:type="dxa"/>
              <w:left w:w="108" w:type="dxa"/>
              <w:bottom w:w="0" w:type="dxa"/>
              <w:right w:w="108" w:type="dxa"/>
            </w:tcMar>
            <w:vAlign w:val="center"/>
          </w:tcPr>
          <w:p w14:paraId="0F3E6A98" w14:textId="77777777" w:rsidR="006416B0" w:rsidRPr="00B4515A" w:rsidRDefault="005E58C1" w:rsidP="005860B4">
            <w:pPr>
              <w:adjustRightInd w:val="0"/>
              <w:snapToGrid w:val="0"/>
              <w:jc w:val="right"/>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282.31</w:t>
            </w:r>
          </w:p>
        </w:tc>
        <w:tc>
          <w:tcPr>
            <w:tcW w:w="1260" w:type="pct"/>
            <w:shd w:val="clear" w:color="auto" w:fill="auto"/>
            <w:tcMar>
              <w:top w:w="0" w:type="dxa"/>
              <w:left w:w="108" w:type="dxa"/>
              <w:bottom w:w="0" w:type="dxa"/>
              <w:right w:w="108" w:type="dxa"/>
            </w:tcMar>
            <w:vAlign w:val="center"/>
          </w:tcPr>
          <w:p w14:paraId="688BF7F9" w14:textId="77777777" w:rsidR="006416B0" w:rsidRPr="00B4515A" w:rsidRDefault="005E58C1" w:rsidP="005860B4">
            <w:pPr>
              <w:adjustRightInd w:val="0"/>
              <w:snapToGrid w:val="0"/>
              <w:jc w:val="right"/>
              <w:rPr>
                <w:rFonts w:ascii="Times New Roman" w:eastAsiaTheme="minorEastAsia" w:cs="Times New Roman"/>
                <w:b/>
                <w:color w:val="000000"/>
                <w:sz w:val="21"/>
                <w:szCs w:val="21"/>
              </w:rPr>
            </w:pPr>
            <w:r w:rsidRPr="00B4515A">
              <w:rPr>
                <w:rFonts w:ascii="Times New Roman" w:eastAsiaTheme="minorEastAsia" w:cs="Times New Roman"/>
                <w:b/>
                <w:color w:val="000000"/>
                <w:sz w:val="21"/>
                <w:szCs w:val="21"/>
              </w:rPr>
              <w:t>2.53</w:t>
            </w:r>
          </w:p>
        </w:tc>
      </w:tr>
    </w:tbl>
    <w:p w14:paraId="24C74F86" w14:textId="77777777" w:rsidR="006416B0" w:rsidRPr="00B4515A" w:rsidRDefault="005E58C1" w:rsidP="003357B7">
      <w:pPr>
        <w:pStyle w:val="005"/>
        <w:spacing w:before="120" w:after="120"/>
        <w:ind w:firstLine="480"/>
      </w:pPr>
      <w:r w:rsidRPr="00B4515A">
        <w:rPr>
          <w:rFonts w:hint="eastAsia"/>
        </w:rPr>
        <w:t>报告期各期末，大唐联诚货币资金余额分别为</w:t>
      </w:r>
      <w:r w:rsidRPr="00B4515A">
        <w:t>2,702.23</w:t>
      </w:r>
      <w:r w:rsidRPr="00B4515A">
        <w:rPr>
          <w:rFonts w:hint="eastAsia"/>
        </w:rPr>
        <w:t>万元、</w:t>
      </w:r>
      <w:r w:rsidRPr="00B4515A">
        <w:t>8,179.05</w:t>
      </w:r>
      <w:r w:rsidRPr="00B4515A">
        <w:rPr>
          <w:rFonts w:hint="eastAsia"/>
        </w:rPr>
        <w:t>万元、</w:t>
      </w:r>
      <w:r w:rsidRPr="00B4515A">
        <w:t>60,019.28</w:t>
      </w:r>
      <w:r w:rsidRPr="00B4515A">
        <w:t>万元</w:t>
      </w:r>
      <w:r w:rsidRPr="00B4515A">
        <w:rPr>
          <w:rFonts w:hint="eastAsia"/>
        </w:rPr>
        <w:t>，占总资产的比例分别为</w:t>
      </w:r>
      <w:r w:rsidRPr="00B4515A">
        <w:t>3.75%</w:t>
      </w:r>
      <w:r w:rsidRPr="00B4515A">
        <w:rPr>
          <w:rFonts w:hint="eastAsia"/>
        </w:rPr>
        <w:t>、</w:t>
      </w:r>
      <w:r w:rsidRPr="00B4515A">
        <w:t>9.38%</w:t>
      </w:r>
      <w:r w:rsidRPr="00B4515A">
        <w:rPr>
          <w:rFonts w:hint="eastAsia"/>
        </w:rPr>
        <w:t>、</w:t>
      </w:r>
      <w:r w:rsidRPr="00B4515A">
        <w:t>39.86%</w:t>
      </w:r>
      <w:r w:rsidRPr="00B4515A">
        <w:rPr>
          <w:rFonts w:hint="eastAsia"/>
        </w:rPr>
        <w:t>。货币资金余额主要由银行存款及其他货币资金构成。大唐联诚各期末其他货币资金主要由银行存款构成。</w:t>
      </w:r>
    </w:p>
    <w:p w14:paraId="0D427E4E" w14:textId="626C3F52" w:rsidR="006416B0" w:rsidRPr="00B4515A" w:rsidRDefault="005E58C1" w:rsidP="003357B7">
      <w:pPr>
        <w:pStyle w:val="005"/>
        <w:spacing w:before="120" w:after="120"/>
        <w:ind w:firstLine="480"/>
      </w:pPr>
      <w:r w:rsidRPr="00B4515A">
        <w:rPr>
          <w:rFonts w:hint="eastAsia"/>
        </w:rPr>
        <w:t>大唐联诚</w:t>
      </w:r>
      <w:r w:rsidRPr="00B4515A">
        <w:t>2020</w:t>
      </w:r>
      <w:r w:rsidRPr="00B4515A">
        <w:rPr>
          <w:rFonts w:hint="eastAsia"/>
        </w:rPr>
        <w:t>年末货币资金余额较</w:t>
      </w:r>
      <w:r w:rsidRPr="00B4515A">
        <w:t>2019</w:t>
      </w:r>
      <w:r w:rsidRPr="00B4515A">
        <w:rPr>
          <w:rFonts w:hint="eastAsia"/>
        </w:rPr>
        <w:t>年末增加</w:t>
      </w:r>
      <w:r w:rsidRPr="00B4515A">
        <w:t>5,476.82</w:t>
      </w:r>
      <w:r w:rsidRPr="00B4515A">
        <w:rPr>
          <w:rFonts w:hint="eastAsia"/>
        </w:rPr>
        <w:t>万元，主要系</w:t>
      </w:r>
      <w:r w:rsidRPr="00B4515A">
        <w:t>2020</w:t>
      </w:r>
      <w:r w:rsidRPr="00B4515A">
        <w:rPr>
          <w:rFonts w:hint="eastAsia"/>
        </w:rPr>
        <w:t>年大唐联诚经营活动现金</w:t>
      </w:r>
      <w:r w:rsidRPr="00B4515A">
        <w:rPr>
          <w:rFonts w:asciiTheme="minorEastAsia" w:hAnsiTheme="minorEastAsia" w:hint="eastAsia"/>
        </w:rPr>
        <w:t>流量</w:t>
      </w:r>
      <w:r w:rsidRPr="00B4515A">
        <w:rPr>
          <w:rFonts w:hint="eastAsia"/>
        </w:rPr>
        <w:t>情况较</w:t>
      </w:r>
      <w:r w:rsidRPr="00B4515A">
        <w:t>2019</w:t>
      </w:r>
      <w:r w:rsidRPr="00B4515A">
        <w:rPr>
          <w:rFonts w:hint="eastAsia"/>
        </w:rPr>
        <w:t>年好转，收回的货币资金增加。</w:t>
      </w:r>
      <w:r w:rsidRPr="00B4515A">
        <w:t>2021</w:t>
      </w:r>
      <w:r w:rsidRPr="00B4515A">
        <w:rPr>
          <w:rFonts w:hint="eastAsia"/>
        </w:rPr>
        <w:t>年</w:t>
      </w:r>
      <w:r w:rsidRPr="00B4515A">
        <w:t>4</w:t>
      </w:r>
      <w:r w:rsidRPr="00B4515A">
        <w:rPr>
          <w:rFonts w:hint="eastAsia"/>
        </w:rPr>
        <w:t>月末货币资金较</w:t>
      </w:r>
      <w:r w:rsidRPr="00B4515A">
        <w:t>2020</w:t>
      </w:r>
      <w:r w:rsidRPr="00B4515A">
        <w:rPr>
          <w:rFonts w:hint="eastAsia"/>
        </w:rPr>
        <w:t>年末增加</w:t>
      </w:r>
      <w:r w:rsidRPr="00B4515A">
        <w:t>51,840.23</w:t>
      </w:r>
      <w:r w:rsidRPr="00B4515A">
        <w:rPr>
          <w:rFonts w:hint="eastAsia"/>
        </w:rPr>
        <w:t>万元，主要系大唐联诚</w:t>
      </w:r>
      <w:r w:rsidRPr="00B4515A">
        <w:t>2021</w:t>
      </w:r>
      <w:r w:rsidRPr="00B4515A">
        <w:rPr>
          <w:rFonts w:hint="eastAsia"/>
        </w:rPr>
        <w:t>年引入投资者及员工持股平台，收到了增资款，导致货币资金大幅增长。</w:t>
      </w:r>
    </w:p>
    <w:p w14:paraId="4AF439C5" w14:textId="77777777" w:rsidR="006416B0" w:rsidRPr="00B4515A" w:rsidRDefault="005E58C1" w:rsidP="003357B7">
      <w:pPr>
        <w:pStyle w:val="005"/>
        <w:spacing w:before="120" w:after="120"/>
        <w:ind w:firstLine="480"/>
      </w:pPr>
      <w:r w:rsidRPr="00B4515A">
        <w:rPr>
          <w:rFonts w:hint="eastAsia"/>
        </w:rPr>
        <w:t>报告期各期末，大唐联诚受到限制的货币资金主要系公司将部分资金存于保函保证金所致。</w:t>
      </w:r>
    </w:p>
    <w:p w14:paraId="165926B1" w14:textId="77777777" w:rsidR="006416B0" w:rsidRPr="00B4515A" w:rsidRDefault="005E58C1" w:rsidP="003357B7">
      <w:pPr>
        <w:pStyle w:val="005"/>
        <w:spacing w:before="120" w:after="120"/>
        <w:ind w:firstLine="480"/>
      </w:pPr>
      <w:r w:rsidRPr="00B4515A">
        <w:rPr>
          <w:rFonts w:hint="eastAsia"/>
        </w:rPr>
        <w:t>（</w:t>
      </w:r>
      <w:r w:rsidRPr="00B4515A">
        <w:rPr>
          <w:rFonts w:hint="eastAsia"/>
        </w:rPr>
        <w:t>2</w:t>
      </w:r>
      <w:r w:rsidRPr="00B4515A">
        <w:rPr>
          <w:rFonts w:hint="eastAsia"/>
        </w:rPr>
        <w:t>）应收账款</w:t>
      </w:r>
    </w:p>
    <w:p w14:paraId="752E0BE5" w14:textId="77777777" w:rsidR="006416B0" w:rsidRPr="00B4515A" w:rsidRDefault="005E58C1" w:rsidP="003357B7">
      <w:pPr>
        <w:pStyle w:val="005"/>
        <w:spacing w:before="120" w:after="120"/>
        <w:ind w:firstLine="480"/>
      </w:pPr>
      <w:r w:rsidRPr="00B4515A">
        <w:rPr>
          <w:rFonts w:hint="eastAsia"/>
        </w:rPr>
        <w:t>1</w:t>
      </w:r>
      <w:r w:rsidRPr="00B4515A">
        <w:rPr>
          <w:rFonts w:hint="eastAsia"/>
        </w:rPr>
        <w:t>）应收账款余额情况</w:t>
      </w:r>
    </w:p>
    <w:p w14:paraId="028B47DB" w14:textId="77777777" w:rsidR="006416B0" w:rsidRPr="00B4515A" w:rsidRDefault="005E58C1" w:rsidP="003357B7">
      <w:pPr>
        <w:pStyle w:val="005"/>
        <w:spacing w:before="120" w:after="120"/>
        <w:ind w:firstLine="480"/>
      </w:pPr>
      <w:r w:rsidRPr="00B4515A">
        <w:rPr>
          <w:rFonts w:hint="eastAsia"/>
        </w:rPr>
        <w:t>报告期各期末，大唐联诚应收账款账面余额及明细如下：</w:t>
      </w:r>
    </w:p>
    <w:p w14:paraId="3450532F"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18"/>
        <w:gridCol w:w="2059"/>
        <w:gridCol w:w="2176"/>
        <w:gridCol w:w="2175"/>
      </w:tblGrid>
      <w:tr w:rsidR="006416B0" w:rsidRPr="00B4515A" w14:paraId="4AE5D1A8" w14:textId="77777777" w:rsidTr="00031627">
        <w:trPr>
          <w:trHeight w:val="340"/>
          <w:jc w:val="center"/>
        </w:trPr>
        <w:tc>
          <w:tcPr>
            <w:tcW w:w="1242" w:type="pct"/>
            <w:shd w:val="clear" w:color="auto" w:fill="auto"/>
            <w:tcMar>
              <w:top w:w="0" w:type="dxa"/>
              <w:left w:w="108" w:type="dxa"/>
              <w:bottom w:w="0" w:type="dxa"/>
              <w:right w:w="108" w:type="dxa"/>
            </w:tcMar>
            <w:vAlign w:val="center"/>
          </w:tcPr>
          <w:p w14:paraId="0893F584"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项目</w:t>
            </w:r>
          </w:p>
        </w:tc>
        <w:tc>
          <w:tcPr>
            <w:tcW w:w="1207" w:type="pct"/>
            <w:shd w:val="clear" w:color="auto" w:fill="auto"/>
            <w:tcMar>
              <w:top w:w="0" w:type="dxa"/>
              <w:left w:w="108" w:type="dxa"/>
              <w:bottom w:w="0" w:type="dxa"/>
              <w:right w:w="108" w:type="dxa"/>
            </w:tcMar>
            <w:vAlign w:val="center"/>
          </w:tcPr>
          <w:p w14:paraId="2F3E7F5A"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2021.4.30</w:t>
            </w:r>
          </w:p>
        </w:tc>
        <w:tc>
          <w:tcPr>
            <w:tcW w:w="1276" w:type="pct"/>
            <w:shd w:val="clear" w:color="auto" w:fill="auto"/>
            <w:tcMar>
              <w:top w:w="0" w:type="dxa"/>
              <w:left w:w="108" w:type="dxa"/>
              <w:bottom w:w="0" w:type="dxa"/>
              <w:right w:w="108" w:type="dxa"/>
            </w:tcMar>
            <w:vAlign w:val="center"/>
          </w:tcPr>
          <w:p w14:paraId="0BA87498"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2020.12.31</w:t>
            </w:r>
          </w:p>
        </w:tc>
        <w:tc>
          <w:tcPr>
            <w:tcW w:w="1276" w:type="pct"/>
            <w:shd w:val="clear" w:color="auto" w:fill="auto"/>
            <w:tcMar>
              <w:top w:w="0" w:type="dxa"/>
              <w:left w:w="108" w:type="dxa"/>
              <w:bottom w:w="0" w:type="dxa"/>
              <w:right w:w="108" w:type="dxa"/>
            </w:tcMar>
            <w:vAlign w:val="center"/>
          </w:tcPr>
          <w:p w14:paraId="588D96FA"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2019.12.31</w:t>
            </w:r>
          </w:p>
        </w:tc>
      </w:tr>
      <w:tr w:rsidR="006416B0" w:rsidRPr="00B4515A" w14:paraId="15FF419D" w14:textId="77777777" w:rsidTr="00031627">
        <w:trPr>
          <w:trHeight w:val="340"/>
          <w:jc w:val="center"/>
        </w:trPr>
        <w:tc>
          <w:tcPr>
            <w:tcW w:w="1242" w:type="pct"/>
            <w:shd w:val="clear" w:color="auto" w:fill="auto"/>
            <w:tcMar>
              <w:top w:w="0" w:type="dxa"/>
              <w:left w:w="108" w:type="dxa"/>
              <w:bottom w:w="0" w:type="dxa"/>
              <w:right w:w="108" w:type="dxa"/>
            </w:tcMar>
            <w:vAlign w:val="center"/>
          </w:tcPr>
          <w:p w14:paraId="6DA8F5E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应收账款账面余额</w:t>
            </w:r>
          </w:p>
        </w:tc>
        <w:tc>
          <w:tcPr>
            <w:tcW w:w="1207" w:type="pct"/>
            <w:shd w:val="clear" w:color="auto" w:fill="auto"/>
            <w:tcMar>
              <w:top w:w="0" w:type="dxa"/>
              <w:left w:w="108" w:type="dxa"/>
              <w:bottom w:w="0" w:type="dxa"/>
              <w:right w:w="108" w:type="dxa"/>
            </w:tcMar>
            <w:vAlign w:val="center"/>
          </w:tcPr>
          <w:p w14:paraId="05EE203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40,024.69</w:t>
            </w:r>
          </w:p>
        </w:tc>
        <w:tc>
          <w:tcPr>
            <w:tcW w:w="1276" w:type="pct"/>
            <w:shd w:val="clear" w:color="auto" w:fill="auto"/>
            <w:tcMar>
              <w:top w:w="0" w:type="dxa"/>
              <w:left w:w="108" w:type="dxa"/>
              <w:bottom w:w="0" w:type="dxa"/>
              <w:right w:w="108" w:type="dxa"/>
            </w:tcMar>
            <w:vAlign w:val="center"/>
          </w:tcPr>
          <w:p w14:paraId="1B55D51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37,288.67</w:t>
            </w:r>
          </w:p>
        </w:tc>
        <w:tc>
          <w:tcPr>
            <w:tcW w:w="1276" w:type="pct"/>
            <w:shd w:val="clear" w:color="auto" w:fill="auto"/>
            <w:tcMar>
              <w:top w:w="0" w:type="dxa"/>
              <w:left w:w="108" w:type="dxa"/>
              <w:bottom w:w="0" w:type="dxa"/>
              <w:right w:w="108" w:type="dxa"/>
            </w:tcMar>
            <w:vAlign w:val="center"/>
          </w:tcPr>
          <w:p w14:paraId="46DC8C4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34,403.07</w:t>
            </w:r>
          </w:p>
        </w:tc>
      </w:tr>
      <w:tr w:rsidR="006416B0" w:rsidRPr="00B4515A" w14:paraId="14C37837" w14:textId="77777777" w:rsidTr="00031627">
        <w:trPr>
          <w:trHeight w:val="340"/>
          <w:jc w:val="center"/>
        </w:trPr>
        <w:tc>
          <w:tcPr>
            <w:tcW w:w="1242" w:type="pct"/>
            <w:shd w:val="clear" w:color="auto" w:fill="auto"/>
            <w:tcMar>
              <w:top w:w="0" w:type="dxa"/>
              <w:left w:w="108" w:type="dxa"/>
              <w:bottom w:w="0" w:type="dxa"/>
              <w:right w:w="108" w:type="dxa"/>
            </w:tcMar>
            <w:vAlign w:val="center"/>
          </w:tcPr>
          <w:p w14:paraId="7C84DD2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应收账款坏账准备</w:t>
            </w:r>
          </w:p>
        </w:tc>
        <w:tc>
          <w:tcPr>
            <w:tcW w:w="1207" w:type="pct"/>
            <w:shd w:val="clear" w:color="auto" w:fill="auto"/>
            <w:tcMar>
              <w:top w:w="0" w:type="dxa"/>
              <w:left w:w="108" w:type="dxa"/>
              <w:bottom w:w="0" w:type="dxa"/>
              <w:right w:w="108" w:type="dxa"/>
            </w:tcMar>
            <w:vAlign w:val="center"/>
          </w:tcPr>
          <w:p w14:paraId="1024249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6,027.45</w:t>
            </w:r>
          </w:p>
        </w:tc>
        <w:tc>
          <w:tcPr>
            <w:tcW w:w="1276" w:type="pct"/>
            <w:shd w:val="clear" w:color="auto" w:fill="auto"/>
            <w:tcMar>
              <w:top w:w="0" w:type="dxa"/>
              <w:left w:w="108" w:type="dxa"/>
              <w:bottom w:w="0" w:type="dxa"/>
              <w:right w:w="108" w:type="dxa"/>
            </w:tcMar>
            <w:vAlign w:val="center"/>
          </w:tcPr>
          <w:p w14:paraId="559B7F9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6,324.36</w:t>
            </w:r>
          </w:p>
        </w:tc>
        <w:tc>
          <w:tcPr>
            <w:tcW w:w="1276" w:type="pct"/>
            <w:shd w:val="clear" w:color="auto" w:fill="auto"/>
            <w:tcMar>
              <w:top w:w="0" w:type="dxa"/>
              <w:left w:w="108" w:type="dxa"/>
              <w:bottom w:w="0" w:type="dxa"/>
              <w:right w:w="108" w:type="dxa"/>
            </w:tcMar>
            <w:vAlign w:val="center"/>
          </w:tcPr>
          <w:p w14:paraId="497B283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5,431.21</w:t>
            </w:r>
          </w:p>
        </w:tc>
      </w:tr>
      <w:tr w:rsidR="006416B0" w:rsidRPr="00B4515A" w14:paraId="3746EC38" w14:textId="77777777" w:rsidTr="00031627">
        <w:trPr>
          <w:trHeight w:val="340"/>
          <w:jc w:val="center"/>
        </w:trPr>
        <w:tc>
          <w:tcPr>
            <w:tcW w:w="1242" w:type="pct"/>
            <w:shd w:val="clear" w:color="auto" w:fill="auto"/>
            <w:tcMar>
              <w:top w:w="0" w:type="dxa"/>
              <w:left w:w="108" w:type="dxa"/>
              <w:bottom w:w="0" w:type="dxa"/>
              <w:right w:w="108" w:type="dxa"/>
            </w:tcMar>
            <w:vAlign w:val="center"/>
          </w:tcPr>
          <w:p w14:paraId="29E7977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应收账款账面价值</w:t>
            </w:r>
          </w:p>
        </w:tc>
        <w:tc>
          <w:tcPr>
            <w:tcW w:w="1207" w:type="pct"/>
            <w:shd w:val="clear" w:color="auto" w:fill="auto"/>
            <w:tcMar>
              <w:top w:w="0" w:type="dxa"/>
              <w:left w:w="108" w:type="dxa"/>
              <w:bottom w:w="0" w:type="dxa"/>
              <w:right w:w="108" w:type="dxa"/>
            </w:tcMar>
            <w:vAlign w:val="center"/>
          </w:tcPr>
          <w:p w14:paraId="34AAA6F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33,997.25</w:t>
            </w:r>
          </w:p>
        </w:tc>
        <w:tc>
          <w:tcPr>
            <w:tcW w:w="1276" w:type="pct"/>
            <w:shd w:val="clear" w:color="auto" w:fill="auto"/>
            <w:tcMar>
              <w:top w:w="0" w:type="dxa"/>
              <w:left w:w="108" w:type="dxa"/>
              <w:bottom w:w="0" w:type="dxa"/>
              <w:right w:w="108" w:type="dxa"/>
            </w:tcMar>
            <w:vAlign w:val="center"/>
          </w:tcPr>
          <w:p w14:paraId="11D5344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30,964.30</w:t>
            </w:r>
          </w:p>
        </w:tc>
        <w:tc>
          <w:tcPr>
            <w:tcW w:w="1276" w:type="pct"/>
            <w:shd w:val="clear" w:color="auto" w:fill="auto"/>
            <w:tcMar>
              <w:top w:w="0" w:type="dxa"/>
              <w:left w:w="108" w:type="dxa"/>
              <w:bottom w:w="0" w:type="dxa"/>
              <w:right w:w="108" w:type="dxa"/>
            </w:tcMar>
            <w:vAlign w:val="center"/>
          </w:tcPr>
          <w:p w14:paraId="3B43E8C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28,971.86</w:t>
            </w:r>
          </w:p>
        </w:tc>
      </w:tr>
    </w:tbl>
    <w:p w14:paraId="36E101D4" w14:textId="77777777" w:rsidR="006416B0" w:rsidRPr="00B4515A" w:rsidRDefault="005E58C1" w:rsidP="003357B7">
      <w:pPr>
        <w:pStyle w:val="005"/>
        <w:spacing w:before="120" w:after="120"/>
        <w:ind w:firstLine="480"/>
      </w:pPr>
      <w:r w:rsidRPr="00B4515A">
        <w:rPr>
          <w:rFonts w:hint="eastAsia"/>
        </w:rPr>
        <w:t>报告期各期末，大唐联诚应收账款分别为</w:t>
      </w:r>
      <w:r w:rsidRPr="00B4515A">
        <w:rPr>
          <w:color w:val="000000"/>
        </w:rPr>
        <w:t>28,971.86</w:t>
      </w:r>
      <w:r w:rsidRPr="00B4515A">
        <w:rPr>
          <w:rFonts w:hint="eastAsia"/>
        </w:rPr>
        <w:t>万元、</w:t>
      </w:r>
      <w:r w:rsidRPr="00B4515A">
        <w:rPr>
          <w:color w:val="000000"/>
        </w:rPr>
        <w:t>30,964.30</w:t>
      </w:r>
      <w:r w:rsidRPr="00B4515A">
        <w:rPr>
          <w:color w:val="000000"/>
        </w:rPr>
        <w:t>万元</w:t>
      </w:r>
      <w:r w:rsidRPr="00B4515A">
        <w:rPr>
          <w:rFonts w:hint="eastAsia"/>
          <w:color w:val="000000"/>
        </w:rPr>
        <w:t>、</w:t>
      </w:r>
      <w:r w:rsidRPr="00B4515A">
        <w:rPr>
          <w:color w:val="000000"/>
        </w:rPr>
        <w:t>33,997.25</w:t>
      </w:r>
      <w:r w:rsidRPr="00B4515A">
        <w:rPr>
          <w:color w:val="000000"/>
        </w:rPr>
        <w:t>万元</w:t>
      </w:r>
      <w:r w:rsidRPr="00B4515A">
        <w:rPr>
          <w:rFonts w:hint="eastAsia"/>
        </w:rPr>
        <w:t>，占资产总额的比例分别为</w:t>
      </w:r>
      <w:r w:rsidRPr="00B4515A">
        <w:t>40.23%</w:t>
      </w:r>
      <w:r w:rsidRPr="00B4515A">
        <w:rPr>
          <w:rFonts w:hint="eastAsia"/>
        </w:rPr>
        <w:t>、</w:t>
      </w:r>
      <w:r w:rsidRPr="00B4515A">
        <w:t>35.51%</w:t>
      </w:r>
      <w:r w:rsidRPr="00B4515A">
        <w:rPr>
          <w:rFonts w:hint="eastAsia"/>
        </w:rPr>
        <w:t>、</w:t>
      </w:r>
      <w:r w:rsidRPr="00B4515A">
        <w:t>22.58%</w:t>
      </w:r>
      <w:r w:rsidRPr="00B4515A">
        <w:rPr>
          <w:rFonts w:hint="eastAsia"/>
        </w:rPr>
        <w:t>。</w:t>
      </w:r>
      <w:r w:rsidRPr="00B4515A">
        <w:t>2020</w:t>
      </w:r>
      <w:r w:rsidRPr="00B4515A">
        <w:rPr>
          <w:rFonts w:hint="eastAsia"/>
        </w:rPr>
        <w:t>年末的应收账款较</w:t>
      </w:r>
      <w:r w:rsidRPr="00B4515A">
        <w:t>2019</w:t>
      </w:r>
      <w:r w:rsidRPr="00B4515A">
        <w:rPr>
          <w:rFonts w:hint="eastAsia"/>
        </w:rPr>
        <w:t>年末增加</w:t>
      </w:r>
      <w:r w:rsidRPr="00B4515A">
        <w:t>6.88%</w:t>
      </w:r>
      <w:r w:rsidRPr="00B4515A">
        <w:rPr>
          <w:rFonts w:hint="eastAsia"/>
        </w:rPr>
        <w:t>，</w:t>
      </w:r>
      <w:r w:rsidRPr="00B4515A">
        <w:t>2021</w:t>
      </w:r>
      <w:r w:rsidRPr="00B4515A">
        <w:rPr>
          <w:rFonts w:hint="eastAsia"/>
        </w:rPr>
        <w:t>年</w:t>
      </w:r>
      <w:r w:rsidRPr="00B4515A">
        <w:t>4</w:t>
      </w:r>
      <w:r w:rsidRPr="00B4515A">
        <w:rPr>
          <w:rFonts w:hint="eastAsia"/>
        </w:rPr>
        <w:t>月</w:t>
      </w:r>
      <w:r w:rsidRPr="00B4515A">
        <w:t>30</w:t>
      </w:r>
      <w:r w:rsidRPr="00B4515A">
        <w:rPr>
          <w:rFonts w:hint="eastAsia"/>
        </w:rPr>
        <w:t>日的应收账较</w:t>
      </w:r>
      <w:r w:rsidRPr="00B4515A">
        <w:t>2020</w:t>
      </w:r>
      <w:r w:rsidRPr="00B4515A">
        <w:rPr>
          <w:rFonts w:hint="eastAsia"/>
        </w:rPr>
        <w:t>年末增</w:t>
      </w:r>
      <w:r w:rsidRPr="00B4515A">
        <w:rPr>
          <w:rFonts w:hint="eastAsia"/>
        </w:rPr>
        <w:lastRenderedPageBreak/>
        <w:t>加</w:t>
      </w:r>
      <w:r w:rsidRPr="00B4515A">
        <w:t>9.79%</w:t>
      </w:r>
      <w:r w:rsidRPr="00B4515A">
        <w:rPr>
          <w:rFonts w:hint="eastAsia"/>
        </w:rPr>
        <w:t>，主要系随着公司</w:t>
      </w:r>
      <w:r w:rsidRPr="00B4515A">
        <w:t>2020</w:t>
      </w:r>
      <w:r w:rsidRPr="00B4515A">
        <w:rPr>
          <w:rFonts w:hint="eastAsia"/>
        </w:rPr>
        <w:t>年收入增长，导致</w:t>
      </w:r>
      <w:r w:rsidRPr="00B4515A">
        <w:t>2020</w:t>
      </w:r>
      <w:r w:rsidRPr="00B4515A">
        <w:rPr>
          <w:rFonts w:hint="eastAsia"/>
        </w:rPr>
        <w:t>年度应收账款增长，同时由于</w:t>
      </w:r>
      <w:r w:rsidRPr="00B4515A">
        <w:t>2021</w:t>
      </w:r>
      <w:r w:rsidRPr="00B4515A">
        <w:rPr>
          <w:rFonts w:hint="eastAsia"/>
        </w:rPr>
        <w:t>年</w:t>
      </w:r>
      <w:r w:rsidRPr="00B4515A">
        <w:t>1-4</w:t>
      </w:r>
      <w:r w:rsidRPr="00B4515A">
        <w:rPr>
          <w:rFonts w:hint="eastAsia"/>
        </w:rPr>
        <w:t>月份收回上期的应收账款较少，导致</w:t>
      </w:r>
      <w:r w:rsidRPr="00B4515A">
        <w:t>2021</w:t>
      </w:r>
      <w:r w:rsidRPr="00B4515A">
        <w:rPr>
          <w:rFonts w:hint="eastAsia"/>
        </w:rPr>
        <w:t>年</w:t>
      </w:r>
      <w:r w:rsidRPr="00B4515A">
        <w:t>4</w:t>
      </w:r>
      <w:r w:rsidRPr="00B4515A">
        <w:rPr>
          <w:rFonts w:hint="eastAsia"/>
        </w:rPr>
        <w:t>月末的应收账款增长。</w:t>
      </w:r>
    </w:p>
    <w:p w14:paraId="710FE18D" w14:textId="77777777" w:rsidR="006416B0" w:rsidRPr="00B4515A" w:rsidRDefault="005E58C1" w:rsidP="003357B7">
      <w:pPr>
        <w:pStyle w:val="005"/>
        <w:spacing w:before="120" w:after="120"/>
        <w:ind w:firstLine="480"/>
      </w:pPr>
      <w:r w:rsidRPr="00B4515A">
        <w:rPr>
          <w:rFonts w:hint="eastAsia"/>
        </w:rPr>
        <w:t>报告期各期末，大唐联诚应收账款账龄分析如下：</w:t>
      </w:r>
    </w:p>
    <w:p w14:paraId="094CDFA1"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902"/>
        <w:gridCol w:w="1184"/>
        <w:gridCol w:w="1721"/>
        <w:gridCol w:w="1721"/>
      </w:tblGrid>
      <w:tr w:rsidR="006416B0" w:rsidRPr="00B4515A" w14:paraId="54F8F1C9" w14:textId="77777777" w:rsidTr="00031627">
        <w:trPr>
          <w:trHeight w:val="340"/>
          <w:jc w:val="center"/>
        </w:trPr>
        <w:tc>
          <w:tcPr>
            <w:tcW w:w="2287" w:type="pct"/>
            <w:shd w:val="clear" w:color="auto" w:fill="auto"/>
            <w:tcMar>
              <w:top w:w="0" w:type="dxa"/>
              <w:left w:w="108" w:type="dxa"/>
              <w:bottom w:w="0" w:type="dxa"/>
              <w:right w:w="108" w:type="dxa"/>
            </w:tcMar>
            <w:vAlign w:val="center"/>
          </w:tcPr>
          <w:p w14:paraId="652BCB4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账龄</w:t>
            </w:r>
          </w:p>
        </w:tc>
        <w:tc>
          <w:tcPr>
            <w:tcW w:w="694" w:type="pct"/>
            <w:shd w:val="clear" w:color="auto" w:fill="auto"/>
            <w:tcMar>
              <w:top w:w="0" w:type="dxa"/>
              <w:left w:w="108" w:type="dxa"/>
              <w:bottom w:w="0" w:type="dxa"/>
              <w:right w:w="108" w:type="dxa"/>
            </w:tcMar>
            <w:vAlign w:val="center"/>
          </w:tcPr>
          <w:p w14:paraId="5C22279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2021.4.30</w:t>
            </w:r>
          </w:p>
        </w:tc>
        <w:tc>
          <w:tcPr>
            <w:tcW w:w="1009" w:type="pct"/>
            <w:shd w:val="clear" w:color="auto" w:fill="auto"/>
            <w:tcMar>
              <w:top w:w="0" w:type="dxa"/>
              <w:left w:w="108" w:type="dxa"/>
              <w:bottom w:w="0" w:type="dxa"/>
              <w:right w:w="108" w:type="dxa"/>
            </w:tcMar>
            <w:vAlign w:val="center"/>
          </w:tcPr>
          <w:p w14:paraId="255528D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2020.12.31</w:t>
            </w:r>
          </w:p>
        </w:tc>
        <w:tc>
          <w:tcPr>
            <w:tcW w:w="1009" w:type="pct"/>
            <w:shd w:val="clear" w:color="auto" w:fill="auto"/>
            <w:tcMar>
              <w:top w:w="0" w:type="dxa"/>
              <w:left w:w="108" w:type="dxa"/>
              <w:bottom w:w="0" w:type="dxa"/>
              <w:right w:w="108" w:type="dxa"/>
            </w:tcMar>
            <w:vAlign w:val="center"/>
          </w:tcPr>
          <w:p w14:paraId="4F0D86C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2019.12.31</w:t>
            </w:r>
          </w:p>
        </w:tc>
      </w:tr>
      <w:tr w:rsidR="006416B0" w:rsidRPr="00B4515A" w14:paraId="255BC303" w14:textId="77777777" w:rsidTr="00031627">
        <w:trPr>
          <w:trHeight w:val="340"/>
          <w:jc w:val="center"/>
        </w:trPr>
        <w:tc>
          <w:tcPr>
            <w:tcW w:w="2287" w:type="pct"/>
            <w:shd w:val="clear" w:color="auto" w:fill="auto"/>
            <w:tcMar>
              <w:top w:w="0" w:type="dxa"/>
              <w:left w:w="108" w:type="dxa"/>
              <w:bottom w:w="0" w:type="dxa"/>
              <w:right w:w="108" w:type="dxa"/>
            </w:tcMar>
            <w:vAlign w:val="center"/>
          </w:tcPr>
          <w:p w14:paraId="6D60964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年以内</w:t>
            </w:r>
          </w:p>
        </w:tc>
        <w:tc>
          <w:tcPr>
            <w:tcW w:w="694" w:type="pct"/>
            <w:shd w:val="clear" w:color="auto" w:fill="auto"/>
            <w:tcMar>
              <w:top w:w="0" w:type="dxa"/>
              <w:left w:w="108" w:type="dxa"/>
              <w:bottom w:w="0" w:type="dxa"/>
              <w:right w:w="108" w:type="dxa"/>
            </w:tcMar>
            <w:vAlign w:val="center"/>
          </w:tcPr>
          <w:p w14:paraId="2D719E4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23,404.09</w:t>
            </w:r>
          </w:p>
        </w:tc>
        <w:tc>
          <w:tcPr>
            <w:tcW w:w="1009" w:type="pct"/>
            <w:shd w:val="clear" w:color="auto" w:fill="auto"/>
            <w:tcMar>
              <w:top w:w="0" w:type="dxa"/>
              <w:left w:w="108" w:type="dxa"/>
              <w:bottom w:w="0" w:type="dxa"/>
              <w:right w:w="108" w:type="dxa"/>
            </w:tcMar>
            <w:vAlign w:val="center"/>
          </w:tcPr>
          <w:p w14:paraId="7AD1A8B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19,474.21</w:t>
            </w:r>
          </w:p>
        </w:tc>
        <w:tc>
          <w:tcPr>
            <w:tcW w:w="1009" w:type="pct"/>
            <w:shd w:val="clear" w:color="auto" w:fill="auto"/>
            <w:tcMar>
              <w:top w:w="0" w:type="dxa"/>
              <w:left w:w="108" w:type="dxa"/>
              <w:bottom w:w="0" w:type="dxa"/>
              <w:right w:w="108" w:type="dxa"/>
            </w:tcMar>
            <w:vAlign w:val="center"/>
          </w:tcPr>
          <w:p w14:paraId="5843352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23,935.73</w:t>
            </w:r>
          </w:p>
        </w:tc>
      </w:tr>
      <w:tr w:rsidR="006416B0" w:rsidRPr="00B4515A" w14:paraId="7F45EA22" w14:textId="77777777" w:rsidTr="00031627">
        <w:trPr>
          <w:trHeight w:val="340"/>
          <w:jc w:val="center"/>
        </w:trPr>
        <w:tc>
          <w:tcPr>
            <w:tcW w:w="2287" w:type="pct"/>
            <w:shd w:val="clear" w:color="auto" w:fill="auto"/>
            <w:tcMar>
              <w:top w:w="0" w:type="dxa"/>
              <w:left w:w="108" w:type="dxa"/>
              <w:bottom w:w="0" w:type="dxa"/>
              <w:right w:w="108" w:type="dxa"/>
            </w:tcMar>
            <w:vAlign w:val="center"/>
          </w:tcPr>
          <w:p w14:paraId="4C54FE6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color w:val="000000"/>
                <w:sz w:val="21"/>
                <w:szCs w:val="21"/>
              </w:rPr>
              <w:t>至</w:t>
            </w:r>
            <w:r w:rsidRPr="00B4515A">
              <w:rPr>
                <w:rFonts w:ascii="Times New Roman" w:eastAsiaTheme="minorEastAsia" w:hAnsi="Times New Roman" w:cs="Times New Roman"/>
                <w:color w:val="000000"/>
                <w:sz w:val="21"/>
                <w:szCs w:val="21"/>
              </w:rPr>
              <w:t>2</w:t>
            </w:r>
            <w:r w:rsidRPr="00B4515A">
              <w:rPr>
                <w:rFonts w:ascii="Times New Roman" w:eastAsiaTheme="minorEastAsia" w:hAnsi="Times New Roman" w:cs="Times New Roman"/>
                <w:color w:val="000000"/>
                <w:sz w:val="21"/>
                <w:szCs w:val="21"/>
              </w:rPr>
              <w:t>年</w:t>
            </w:r>
          </w:p>
        </w:tc>
        <w:tc>
          <w:tcPr>
            <w:tcW w:w="694" w:type="pct"/>
            <w:shd w:val="clear" w:color="auto" w:fill="auto"/>
            <w:tcMar>
              <w:top w:w="0" w:type="dxa"/>
              <w:left w:w="108" w:type="dxa"/>
              <w:bottom w:w="0" w:type="dxa"/>
              <w:right w:w="108" w:type="dxa"/>
            </w:tcMar>
            <w:vAlign w:val="center"/>
          </w:tcPr>
          <w:p w14:paraId="73B013E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7,345.24</w:t>
            </w:r>
          </w:p>
        </w:tc>
        <w:tc>
          <w:tcPr>
            <w:tcW w:w="1009" w:type="pct"/>
            <w:shd w:val="clear" w:color="auto" w:fill="auto"/>
            <w:tcMar>
              <w:top w:w="0" w:type="dxa"/>
              <w:left w:w="108" w:type="dxa"/>
              <w:bottom w:w="0" w:type="dxa"/>
              <w:right w:w="108" w:type="dxa"/>
            </w:tcMar>
            <w:vAlign w:val="center"/>
          </w:tcPr>
          <w:p w14:paraId="44F93D8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9,258.92</w:t>
            </w:r>
          </w:p>
        </w:tc>
        <w:tc>
          <w:tcPr>
            <w:tcW w:w="1009" w:type="pct"/>
            <w:shd w:val="clear" w:color="auto" w:fill="auto"/>
            <w:tcMar>
              <w:top w:w="0" w:type="dxa"/>
              <w:left w:w="108" w:type="dxa"/>
              <w:bottom w:w="0" w:type="dxa"/>
              <w:right w:w="108" w:type="dxa"/>
            </w:tcMar>
            <w:vAlign w:val="center"/>
          </w:tcPr>
          <w:p w14:paraId="28B9E9A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2,783.64</w:t>
            </w:r>
          </w:p>
        </w:tc>
      </w:tr>
      <w:tr w:rsidR="006416B0" w:rsidRPr="00B4515A" w14:paraId="52E555E8" w14:textId="77777777" w:rsidTr="00031627">
        <w:trPr>
          <w:trHeight w:val="340"/>
          <w:jc w:val="center"/>
        </w:trPr>
        <w:tc>
          <w:tcPr>
            <w:tcW w:w="2287" w:type="pct"/>
            <w:shd w:val="clear" w:color="auto" w:fill="auto"/>
            <w:tcMar>
              <w:top w:w="0" w:type="dxa"/>
              <w:left w:w="108" w:type="dxa"/>
              <w:bottom w:w="0" w:type="dxa"/>
              <w:right w:w="108" w:type="dxa"/>
            </w:tcMar>
            <w:vAlign w:val="center"/>
          </w:tcPr>
          <w:p w14:paraId="38341037"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r w:rsidRPr="00B4515A">
              <w:rPr>
                <w:rFonts w:ascii="Times New Roman" w:eastAsiaTheme="minorEastAsia" w:hAnsi="Times New Roman" w:cs="Times New Roman"/>
                <w:color w:val="000000"/>
                <w:sz w:val="21"/>
                <w:szCs w:val="21"/>
              </w:rPr>
              <w:t>至</w:t>
            </w:r>
            <w:r w:rsidRPr="00B4515A">
              <w:rPr>
                <w:rFonts w:ascii="Times New Roman" w:eastAsiaTheme="minorEastAsia" w:hAnsi="Times New Roman" w:cs="Times New Roman"/>
                <w:color w:val="000000"/>
                <w:sz w:val="21"/>
                <w:szCs w:val="21"/>
              </w:rPr>
              <w:t>3</w:t>
            </w:r>
            <w:r w:rsidRPr="00B4515A">
              <w:rPr>
                <w:rFonts w:ascii="Times New Roman" w:eastAsiaTheme="minorEastAsia" w:hAnsi="Times New Roman" w:cs="Times New Roman"/>
                <w:color w:val="000000"/>
                <w:sz w:val="21"/>
                <w:szCs w:val="21"/>
              </w:rPr>
              <w:t>年</w:t>
            </w:r>
          </w:p>
        </w:tc>
        <w:tc>
          <w:tcPr>
            <w:tcW w:w="694" w:type="pct"/>
            <w:shd w:val="clear" w:color="auto" w:fill="auto"/>
            <w:tcMar>
              <w:top w:w="0" w:type="dxa"/>
              <w:left w:w="108" w:type="dxa"/>
              <w:bottom w:w="0" w:type="dxa"/>
              <w:right w:w="108" w:type="dxa"/>
            </w:tcMar>
            <w:vAlign w:val="center"/>
          </w:tcPr>
          <w:p w14:paraId="405EDD2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3,845.06</w:t>
            </w:r>
          </w:p>
        </w:tc>
        <w:tc>
          <w:tcPr>
            <w:tcW w:w="1009" w:type="pct"/>
            <w:shd w:val="clear" w:color="auto" w:fill="auto"/>
            <w:tcMar>
              <w:top w:w="0" w:type="dxa"/>
              <w:left w:w="108" w:type="dxa"/>
              <w:bottom w:w="0" w:type="dxa"/>
              <w:right w:w="108" w:type="dxa"/>
            </w:tcMar>
            <w:vAlign w:val="center"/>
          </w:tcPr>
          <w:p w14:paraId="1258075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1,985.38</w:t>
            </w:r>
          </w:p>
        </w:tc>
        <w:tc>
          <w:tcPr>
            <w:tcW w:w="1009" w:type="pct"/>
            <w:shd w:val="clear" w:color="auto" w:fill="auto"/>
            <w:tcMar>
              <w:top w:w="0" w:type="dxa"/>
              <w:left w:w="108" w:type="dxa"/>
              <w:bottom w:w="0" w:type="dxa"/>
              <w:right w:w="108" w:type="dxa"/>
            </w:tcMar>
            <w:vAlign w:val="center"/>
          </w:tcPr>
          <w:p w14:paraId="561DDE4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608.37</w:t>
            </w:r>
          </w:p>
        </w:tc>
      </w:tr>
      <w:tr w:rsidR="006416B0" w:rsidRPr="00B4515A" w14:paraId="7FCE4833" w14:textId="77777777" w:rsidTr="00031627">
        <w:trPr>
          <w:trHeight w:val="340"/>
          <w:jc w:val="center"/>
        </w:trPr>
        <w:tc>
          <w:tcPr>
            <w:tcW w:w="2287" w:type="pct"/>
            <w:shd w:val="clear" w:color="auto" w:fill="auto"/>
            <w:tcMar>
              <w:top w:w="0" w:type="dxa"/>
              <w:left w:w="108" w:type="dxa"/>
              <w:bottom w:w="0" w:type="dxa"/>
              <w:right w:w="108" w:type="dxa"/>
            </w:tcMar>
            <w:vAlign w:val="center"/>
          </w:tcPr>
          <w:p w14:paraId="431D98B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w:t>
            </w:r>
            <w:r w:rsidRPr="00B4515A">
              <w:rPr>
                <w:rFonts w:ascii="Times New Roman" w:eastAsiaTheme="minorEastAsia" w:hAnsi="Times New Roman" w:cs="Times New Roman"/>
                <w:color w:val="000000"/>
                <w:sz w:val="21"/>
                <w:szCs w:val="21"/>
              </w:rPr>
              <w:t>至</w:t>
            </w:r>
            <w:r w:rsidRPr="00B4515A">
              <w:rPr>
                <w:rFonts w:ascii="Times New Roman" w:eastAsiaTheme="minorEastAsia" w:hAnsi="Times New Roman" w:cs="Times New Roman"/>
                <w:color w:val="000000"/>
                <w:sz w:val="21"/>
                <w:szCs w:val="21"/>
              </w:rPr>
              <w:t>4</w:t>
            </w:r>
            <w:r w:rsidRPr="00B4515A">
              <w:rPr>
                <w:rFonts w:ascii="Times New Roman" w:eastAsiaTheme="minorEastAsia" w:hAnsi="Times New Roman" w:cs="Times New Roman"/>
                <w:color w:val="000000"/>
                <w:sz w:val="21"/>
                <w:szCs w:val="21"/>
              </w:rPr>
              <w:t>年</w:t>
            </w:r>
          </w:p>
        </w:tc>
        <w:tc>
          <w:tcPr>
            <w:tcW w:w="694" w:type="pct"/>
            <w:shd w:val="clear" w:color="auto" w:fill="auto"/>
            <w:tcMar>
              <w:top w:w="0" w:type="dxa"/>
              <w:left w:w="108" w:type="dxa"/>
              <w:bottom w:w="0" w:type="dxa"/>
              <w:right w:w="108" w:type="dxa"/>
            </w:tcMar>
            <w:vAlign w:val="center"/>
          </w:tcPr>
          <w:p w14:paraId="6179AD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510.51</w:t>
            </w:r>
          </w:p>
        </w:tc>
        <w:tc>
          <w:tcPr>
            <w:tcW w:w="1009" w:type="pct"/>
            <w:shd w:val="clear" w:color="auto" w:fill="auto"/>
            <w:tcMar>
              <w:top w:w="0" w:type="dxa"/>
              <w:left w:w="108" w:type="dxa"/>
              <w:bottom w:w="0" w:type="dxa"/>
              <w:right w:w="108" w:type="dxa"/>
            </w:tcMar>
            <w:vAlign w:val="center"/>
          </w:tcPr>
          <w:p w14:paraId="1409B5D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492.69</w:t>
            </w:r>
          </w:p>
        </w:tc>
        <w:tc>
          <w:tcPr>
            <w:tcW w:w="1009" w:type="pct"/>
            <w:shd w:val="clear" w:color="auto" w:fill="auto"/>
            <w:tcMar>
              <w:top w:w="0" w:type="dxa"/>
              <w:left w:w="108" w:type="dxa"/>
              <w:bottom w:w="0" w:type="dxa"/>
              <w:right w:w="108" w:type="dxa"/>
            </w:tcMar>
            <w:vAlign w:val="center"/>
          </w:tcPr>
          <w:p w14:paraId="5391148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5,195.75</w:t>
            </w:r>
          </w:p>
        </w:tc>
      </w:tr>
      <w:tr w:rsidR="006416B0" w:rsidRPr="00B4515A" w14:paraId="1337F968" w14:textId="77777777" w:rsidTr="00031627">
        <w:trPr>
          <w:trHeight w:val="340"/>
          <w:jc w:val="center"/>
        </w:trPr>
        <w:tc>
          <w:tcPr>
            <w:tcW w:w="2287" w:type="pct"/>
            <w:shd w:val="clear" w:color="auto" w:fill="auto"/>
            <w:tcMar>
              <w:top w:w="0" w:type="dxa"/>
              <w:left w:w="108" w:type="dxa"/>
              <w:bottom w:w="0" w:type="dxa"/>
              <w:right w:w="108" w:type="dxa"/>
            </w:tcMar>
            <w:vAlign w:val="center"/>
          </w:tcPr>
          <w:p w14:paraId="27B4CAB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w:t>
            </w:r>
            <w:r w:rsidRPr="00B4515A">
              <w:rPr>
                <w:rFonts w:ascii="Times New Roman" w:eastAsiaTheme="minorEastAsia" w:hAnsi="Times New Roman" w:cs="Times New Roman"/>
                <w:color w:val="000000"/>
                <w:sz w:val="21"/>
                <w:szCs w:val="21"/>
              </w:rPr>
              <w:t>至</w:t>
            </w:r>
            <w:r w:rsidRPr="00B4515A">
              <w:rPr>
                <w:rFonts w:ascii="Times New Roman" w:eastAsiaTheme="minorEastAsia" w:hAnsi="Times New Roman" w:cs="Times New Roman"/>
                <w:color w:val="000000"/>
                <w:sz w:val="21"/>
                <w:szCs w:val="21"/>
              </w:rPr>
              <w:t>5</w:t>
            </w:r>
            <w:r w:rsidRPr="00B4515A">
              <w:rPr>
                <w:rFonts w:ascii="Times New Roman" w:eastAsiaTheme="minorEastAsia" w:hAnsi="Times New Roman" w:cs="Times New Roman"/>
                <w:color w:val="000000"/>
                <w:sz w:val="21"/>
                <w:szCs w:val="21"/>
              </w:rPr>
              <w:t>年</w:t>
            </w:r>
          </w:p>
        </w:tc>
        <w:tc>
          <w:tcPr>
            <w:tcW w:w="694" w:type="pct"/>
            <w:shd w:val="clear" w:color="auto" w:fill="auto"/>
            <w:tcMar>
              <w:top w:w="0" w:type="dxa"/>
              <w:left w:w="108" w:type="dxa"/>
              <w:bottom w:w="0" w:type="dxa"/>
              <w:right w:w="108" w:type="dxa"/>
            </w:tcMar>
            <w:vAlign w:val="center"/>
          </w:tcPr>
          <w:p w14:paraId="5DD1571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3,204.77</w:t>
            </w:r>
          </w:p>
        </w:tc>
        <w:tc>
          <w:tcPr>
            <w:tcW w:w="1009" w:type="pct"/>
            <w:shd w:val="clear" w:color="auto" w:fill="auto"/>
            <w:tcMar>
              <w:top w:w="0" w:type="dxa"/>
              <w:left w:w="108" w:type="dxa"/>
              <w:bottom w:w="0" w:type="dxa"/>
              <w:right w:w="108" w:type="dxa"/>
            </w:tcMar>
            <w:vAlign w:val="center"/>
          </w:tcPr>
          <w:p w14:paraId="43072FA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4,294.22</w:t>
            </w:r>
          </w:p>
        </w:tc>
        <w:tc>
          <w:tcPr>
            <w:tcW w:w="1009" w:type="pct"/>
            <w:shd w:val="clear" w:color="auto" w:fill="auto"/>
            <w:tcMar>
              <w:top w:w="0" w:type="dxa"/>
              <w:left w:w="108" w:type="dxa"/>
              <w:bottom w:w="0" w:type="dxa"/>
              <w:right w:w="108" w:type="dxa"/>
            </w:tcMar>
            <w:vAlign w:val="center"/>
          </w:tcPr>
          <w:p w14:paraId="05BBDDC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1,676.44</w:t>
            </w:r>
          </w:p>
        </w:tc>
      </w:tr>
      <w:tr w:rsidR="006416B0" w:rsidRPr="00B4515A" w14:paraId="1E0FC327" w14:textId="77777777" w:rsidTr="00031627">
        <w:trPr>
          <w:trHeight w:val="340"/>
          <w:jc w:val="center"/>
        </w:trPr>
        <w:tc>
          <w:tcPr>
            <w:tcW w:w="2287" w:type="pct"/>
            <w:shd w:val="clear" w:color="auto" w:fill="auto"/>
            <w:tcMar>
              <w:top w:w="0" w:type="dxa"/>
              <w:left w:w="108" w:type="dxa"/>
              <w:bottom w:w="0" w:type="dxa"/>
              <w:right w:w="108" w:type="dxa"/>
            </w:tcMar>
            <w:vAlign w:val="center"/>
          </w:tcPr>
          <w:p w14:paraId="6567C3A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w:t>
            </w:r>
            <w:r w:rsidRPr="00B4515A">
              <w:rPr>
                <w:rFonts w:ascii="Times New Roman" w:eastAsiaTheme="minorEastAsia" w:hAnsi="Times New Roman" w:cs="Times New Roman"/>
                <w:color w:val="000000"/>
                <w:sz w:val="21"/>
                <w:szCs w:val="21"/>
              </w:rPr>
              <w:t>年以上</w:t>
            </w:r>
          </w:p>
        </w:tc>
        <w:tc>
          <w:tcPr>
            <w:tcW w:w="694" w:type="pct"/>
            <w:shd w:val="clear" w:color="auto" w:fill="auto"/>
            <w:tcMar>
              <w:top w:w="0" w:type="dxa"/>
              <w:left w:w="108" w:type="dxa"/>
              <w:bottom w:w="0" w:type="dxa"/>
              <w:right w:w="108" w:type="dxa"/>
            </w:tcMar>
            <w:vAlign w:val="center"/>
          </w:tcPr>
          <w:p w14:paraId="58C9B25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1,715.03</w:t>
            </w:r>
          </w:p>
        </w:tc>
        <w:tc>
          <w:tcPr>
            <w:tcW w:w="1009" w:type="pct"/>
            <w:shd w:val="clear" w:color="auto" w:fill="auto"/>
            <w:tcMar>
              <w:top w:w="0" w:type="dxa"/>
              <w:left w:w="108" w:type="dxa"/>
              <w:bottom w:w="0" w:type="dxa"/>
              <w:right w:w="108" w:type="dxa"/>
            </w:tcMar>
            <w:vAlign w:val="center"/>
          </w:tcPr>
          <w:p w14:paraId="4CCB70D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1,783.25</w:t>
            </w:r>
          </w:p>
        </w:tc>
        <w:tc>
          <w:tcPr>
            <w:tcW w:w="1009" w:type="pct"/>
            <w:shd w:val="clear" w:color="auto" w:fill="auto"/>
            <w:tcMar>
              <w:top w:w="0" w:type="dxa"/>
              <w:left w:w="108" w:type="dxa"/>
              <w:bottom w:w="0" w:type="dxa"/>
              <w:right w:w="108" w:type="dxa"/>
            </w:tcMar>
            <w:vAlign w:val="center"/>
          </w:tcPr>
          <w:p w14:paraId="33B4117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203.13</w:t>
            </w:r>
          </w:p>
        </w:tc>
      </w:tr>
      <w:tr w:rsidR="006416B0" w:rsidRPr="00B4515A" w14:paraId="70E4ED34" w14:textId="77777777" w:rsidTr="00031627">
        <w:trPr>
          <w:trHeight w:val="340"/>
          <w:jc w:val="center"/>
        </w:trPr>
        <w:tc>
          <w:tcPr>
            <w:tcW w:w="2287" w:type="pct"/>
            <w:shd w:val="clear" w:color="auto" w:fill="auto"/>
            <w:tcMar>
              <w:top w:w="0" w:type="dxa"/>
              <w:left w:w="108" w:type="dxa"/>
              <w:bottom w:w="0" w:type="dxa"/>
              <w:right w:w="108" w:type="dxa"/>
            </w:tcMar>
            <w:vAlign w:val="center"/>
          </w:tcPr>
          <w:p w14:paraId="5DBE615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小计</w:t>
            </w:r>
          </w:p>
        </w:tc>
        <w:tc>
          <w:tcPr>
            <w:tcW w:w="694" w:type="pct"/>
            <w:shd w:val="clear" w:color="auto" w:fill="auto"/>
            <w:tcMar>
              <w:top w:w="0" w:type="dxa"/>
              <w:left w:w="108" w:type="dxa"/>
              <w:bottom w:w="0" w:type="dxa"/>
              <w:right w:w="108" w:type="dxa"/>
            </w:tcMar>
            <w:vAlign w:val="center"/>
          </w:tcPr>
          <w:p w14:paraId="6BAA47C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40,024.69</w:t>
            </w:r>
          </w:p>
        </w:tc>
        <w:tc>
          <w:tcPr>
            <w:tcW w:w="1009" w:type="pct"/>
            <w:shd w:val="clear" w:color="auto" w:fill="auto"/>
            <w:tcMar>
              <w:top w:w="0" w:type="dxa"/>
              <w:left w:w="108" w:type="dxa"/>
              <w:bottom w:w="0" w:type="dxa"/>
              <w:right w:w="108" w:type="dxa"/>
            </w:tcMar>
            <w:vAlign w:val="center"/>
          </w:tcPr>
          <w:p w14:paraId="7E91C94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37,288.67</w:t>
            </w:r>
          </w:p>
        </w:tc>
        <w:tc>
          <w:tcPr>
            <w:tcW w:w="1009" w:type="pct"/>
            <w:shd w:val="clear" w:color="auto" w:fill="auto"/>
            <w:tcMar>
              <w:top w:w="0" w:type="dxa"/>
              <w:left w:w="108" w:type="dxa"/>
              <w:bottom w:w="0" w:type="dxa"/>
              <w:right w:w="108" w:type="dxa"/>
            </w:tcMar>
            <w:vAlign w:val="center"/>
          </w:tcPr>
          <w:p w14:paraId="39E3BD6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34,403.07</w:t>
            </w:r>
          </w:p>
        </w:tc>
      </w:tr>
    </w:tbl>
    <w:p w14:paraId="196CE239" w14:textId="77777777" w:rsidR="006416B0" w:rsidRPr="00B4515A" w:rsidRDefault="005E58C1" w:rsidP="003357B7">
      <w:pPr>
        <w:pStyle w:val="005"/>
        <w:spacing w:before="120" w:after="120"/>
        <w:ind w:firstLine="480"/>
      </w:pPr>
      <w:r w:rsidRPr="00B4515A">
        <w:rPr>
          <w:rFonts w:hint="eastAsia"/>
        </w:rPr>
        <w:t>报告期各期末，大唐联诚应收账款分类情况如下：</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40"/>
        <w:gridCol w:w="1421"/>
        <w:gridCol w:w="1049"/>
        <w:gridCol w:w="1421"/>
        <w:gridCol w:w="1259"/>
        <w:gridCol w:w="1538"/>
      </w:tblGrid>
      <w:tr w:rsidR="006416B0" w:rsidRPr="00B4515A" w14:paraId="11616EC9" w14:textId="77777777" w:rsidTr="00031627">
        <w:trPr>
          <w:trHeight w:val="340"/>
          <w:jc w:val="center"/>
        </w:trPr>
        <w:tc>
          <w:tcPr>
            <w:tcW w:w="5000" w:type="pct"/>
            <w:gridSpan w:val="6"/>
            <w:shd w:val="clear" w:color="auto" w:fill="auto"/>
            <w:tcMar>
              <w:top w:w="0" w:type="dxa"/>
              <w:left w:w="108" w:type="dxa"/>
              <w:bottom w:w="0" w:type="dxa"/>
              <w:right w:w="108" w:type="dxa"/>
            </w:tcMar>
            <w:vAlign w:val="center"/>
          </w:tcPr>
          <w:p w14:paraId="012F61C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4</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30</w:t>
            </w:r>
            <w:r w:rsidRPr="00B4515A">
              <w:rPr>
                <w:rFonts w:ascii="Times New Roman" w:eastAsiaTheme="minorEastAsia" w:hAnsi="Times New Roman" w:cs="Times New Roman"/>
                <w:b/>
                <w:bCs/>
                <w:color w:val="000000"/>
                <w:sz w:val="21"/>
                <w:szCs w:val="21"/>
              </w:rPr>
              <w:t>日</w:t>
            </w:r>
          </w:p>
          <w:p w14:paraId="11C6C43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单位：万元</w:t>
            </w:r>
          </w:p>
        </w:tc>
      </w:tr>
      <w:tr w:rsidR="006416B0" w:rsidRPr="00B4515A" w14:paraId="65F3B894" w14:textId="77777777" w:rsidTr="00031627">
        <w:trPr>
          <w:trHeight w:val="340"/>
          <w:jc w:val="center"/>
        </w:trPr>
        <w:tc>
          <w:tcPr>
            <w:tcW w:w="1079" w:type="pct"/>
            <w:vMerge w:val="restart"/>
            <w:shd w:val="clear" w:color="auto" w:fill="auto"/>
            <w:tcMar>
              <w:top w:w="0" w:type="dxa"/>
              <w:left w:w="108" w:type="dxa"/>
              <w:bottom w:w="0" w:type="dxa"/>
              <w:right w:w="108" w:type="dxa"/>
            </w:tcMar>
            <w:vAlign w:val="center"/>
          </w:tcPr>
          <w:p w14:paraId="61E3D1F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类别</w:t>
            </w:r>
          </w:p>
        </w:tc>
        <w:tc>
          <w:tcPr>
            <w:tcW w:w="1448" w:type="pct"/>
            <w:gridSpan w:val="2"/>
            <w:shd w:val="clear" w:color="auto" w:fill="auto"/>
            <w:tcMar>
              <w:top w:w="0" w:type="dxa"/>
              <w:left w:w="108" w:type="dxa"/>
              <w:bottom w:w="0" w:type="dxa"/>
              <w:right w:w="108" w:type="dxa"/>
            </w:tcMar>
            <w:vAlign w:val="center"/>
          </w:tcPr>
          <w:p w14:paraId="7BFB217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账面余额</w:t>
            </w:r>
          </w:p>
        </w:tc>
        <w:tc>
          <w:tcPr>
            <w:tcW w:w="1571" w:type="pct"/>
            <w:gridSpan w:val="2"/>
            <w:shd w:val="clear" w:color="auto" w:fill="auto"/>
            <w:tcMar>
              <w:top w:w="0" w:type="dxa"/>
              <w:left w:w="108" w:type="dxa"/>
              <w:bottom w:w="0" w:type="dxa"/>
              <w:right w:w="108" w:type="dxa"/>
            </w:tcMar>
            <w:vAlign w:val="center"/>
          </w:tcPr>
          <w:p w14:paraId="6C3F0EC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坏账准备</w:t>
            </w:r>
          </w:p>
        </w:tc>
        <w:tc>
          <w:tcPr>
            <w:tcW w:w="902" w:type="pct"/>
            <w:vMerge w:val="restart"/>
            <w:shd w:val="clear" w:color="auto" w:fill="auto"/>
            <w:tcMar>
              <w:top w:w="0" w:type="dxa"/>
              <w:left w:w="108" w:type="dxa"/>
              <w:bottom w:w="0" w:type="dxa"/>
              <w:right w:w="108" w:type="dxa"/>
            </w:tcMar>
            <w:vAlign w:val="center"/>
          </w:tcPr>
          <w:p w14:paraId="4A276FA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账面价值</w:t>
            </w:r>
          </w:p>
        </w:tc>
      </w:tr>
      <w:tr w:rsidR="006416B0" w:rsidRPr="00B4515A" w14:paraId="13882C81" w14:textId="77777777" w:rsidTr="00031627">
        <w:trPr>
          <w:trHeight w:val="340"/>
          <w:jc w:val="center"/>
        </w:trPr>
        <w:tc>
          <w:tcPr>
            <w:tcW w:w="1079" w:type="pct"/>
            <w:vMerge/>
            <w:tcMar>
              <w:top w:w="0" w:type="dxa"/>
              <w:left w:w="108" w:type="dxa"/>
              <w:bottom w:w="0" w:type="dxa"/>
              <w:right w:w="108" w:type="dxa"/>
            </w:tcMar>
            <w:vAlign w:val="center"/>
          </w:tcPr>
          <w:p w14:paraId="51FCEE37"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833" w:type="pct"/>
            <w:shd w:val="clear" w:color="auto" w:fill="auto"/>
            <w:tcMar>
              <w:top w:w="0" w:type="dxa"/>
              <w:left w:w="108" w:type="dxa"/>
              <w:bottom w:w="0" w:type="dxa"/>
              <w:right w:w="108" w:type="dxa"/>
            </w:tcMar>
            <w:vAlign w:val="center"/>
          </w:tcPr>
          <w:p w14:paraId="6F4B95C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金额</w:t>
            </w:r>
          </w:p>
        </w:tc>
        <w:tc>
          <w:tcPr>
            <w:tcW w:w="615" w:type="pct"/>
            <w:shd w:val="clear" w:color="auto" w:fill="auto"/>
            <w:tcMar>
              <w:top w:w="0" w:type="dxa"/>
              <w:left w:w="108" w:type="dxa"/>
              <w:bottom w:w="0" w:type="dxa"/>
              <w:right w:w="108" w:type="dxa"/>
            </w:tcMar>
            <w:vAlign w:val="center"/>
          </w:tcPr>
          <w:p w14:paraId="41BD354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比例（</w:t>
            </w:r>
            <w:r w:rsidRPr="00B4515A">
              <w:rPr>
                <w:rFonts w:ascii="Times New Roman" w:eastAsiaTheme="minorEastAsia" w:hAnsi="Times New Roman" w:cs="Times New Roman"/>
                <w:b/>
                <w:bCs/>
                <w:color w:val="000000"/>
                <w:sz w:val="21"/>
                <w:szCs w:val="21"/>
              </w:rPr>
              <w:t>%</w:t>
            </w:r>
            <w:r w:rsidRPr="00B4515A">
              <w:rPr>
                <w:rFonts w:ascii="Times New Roman" w:eastAsiaTheme="minorEastAsia" w:hAnsi="Times New Roman" w:cs="Times New Roman"/>
                <w:b/>
                <w:bCs/>
                <w:color w:val="000000"/>
                <w:sz w:val="21"/>
                <w:szCs w:val="21"/>
              </w:rPr>
              <w:t>）</w:t>
            </w:r>
          </w:p>
        </w:tc>
        <w:tc>
          <w:tcPr>
            <w:tcW w:w="833" w:type="pct"/>
            <w:shd w:val="clear" w:color="auto" w:fill="auto"/>
            <w:tcMar>
              <w:top w:w="0" w:type="dxa"/>
              <w:left w:w="108" w:type="dxa"/>
              <w:bottom w:w="0" w:type="dxa"/>
              <w:right w:w="108" w:type="dxa"/>
            </w:tcMar>
            <w:vAlign w:val="center"/>
          </w:tcPr>
          <w:p w14:paraId="12B0C92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金额</w:t>
            </w:r>
          </w:p>
        </w:tc>
        <w:tc>
          <w:tcPr>
            <w:tcW w:w="738" w:type="pct"/>
            <w:shd w:val="clear" w:color="auto" w:fill="auto"/>
            <w:tcMar>
              <w:top w:w="0" w:type="dxa"/>
              <w:left w:w="108" w:type="dxa"/>
              <w:bottom w:w="0" w:type="dxa"/>
              <w:right w:w="108" w:type="dxa"/>
            </w:tcMar>
            <w:vAlign w:val="center"/>
          </w:tcPr>
          <w:p w14:paraId="2322463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计提比例（</w:t>
            </w:r>
            <w:r w:rsidRPr="00B4515A">
              <w:rPr>
                <w:rFonts w:ascii="Times New Roman" w:eastAsiaTheme="minorEastAsia" w:hAnsi="Times New Roman" w:cs="Times New Roman"/>
                <w:b/>
                <w:bCs/>
                <w:color w:val="000000"/>
                <w:sz w:val="21"/>
                <w:szCs w:val="21"/>
              </w:rPr>
              <w:t>%</w:t>
            </w:r>
            <w:r w:rsidRPr="00B4515A">
              <w:rPr>
                <w:rFonts w:ascii="Times New Roman" w:eastAsiaTheme="minorEastAsia" w:hAnsi="Times New Roman" w:cs="Times New Roman"/>
                <w:b/>
                <w:bCs/>
                <w:color w:val="000000"/>
                <w:sz w:val="21"/>
                <w:szCs w:val="21"/>
              </w:rPr>
              <w:t>）</w:t>
            </w:r>
          </w:p>
        </w:tc>
        <w:tc>
          <w:tcPr>
            <w:tcW w:w="902" w:type="pct"/>
            <w:vMerge/>
            <w:tcMar>
              <w:top w:w="0" w:type="dxa"/>
              <w:left w:w="108" w:type="dxa"/>
              <w:bottom w:w="0" w:type="dxa"/>
              <w:right w:w="108" w:type="dxa"/>
            </w:tcMar>
            <w:vAlign w:val="center"/>
          </w:tcPr>
          <w:p w14:paraId="74EBC241"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6416B0" w:rsidRPr="00B4515A" w14:paraId="0A2CDB21"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6A20122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按单项计提坏账准备</w:t>
            </w:r>
          </w:p>
        </w:tc>
        <w:tc>
          <w:tcPr>
            <w:tcW w:w="833" w:type="pct"/>
            <w:shd w:val="clear" w:color="auto" w:fill="auto"/>
            <w:tcMar>
              <w:top w:w="0" w:type="dxa"/>
              <w:left w:w="108" w:type="dxa"/>
              <w:bottom w:w="0" w:type="dxa"/>
              <w:right w:w="108" w:type="dxa"/>
            </w:tcMar>
            <w:vAlign w:val="center"/>
          </w:tcPr>
          <w:p w14:paraId="6B64377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1,396.48</w:t>
            </w:r>
          </w:p>
        </w:tc>
        <w:tc>
          <w:tcPr>
            <w:tcW w:w="615" w:type="pct"/>
            <w:shd w:val="clear" w:color="auto" w:fill="auto"/>
            <w:tcMar>
              <w:top w:w="0" w:type="dxa"/>
              <w:left w:w="108" w:type="dxa"/>
              <w:bottom w:w="0" w:type="dxa"/>
              <w:right w:w="108" w:type="dxa"/>
            </w:tcMar>
            <w:vAlign w:val="center"/>
          </w:tcPr>
          <w:p w14:paraId="7EB14C1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3.49</w:t>
            </w:r>
          </w:p>
        </w:tc>
        <w:tc>
          <w:tcPr>
            <w:tcW w:w="833" w:type="pct"/>
            <w:shd w:val="clear" w:color="auto" w:fill="auto"/>
            <w:tcMar>
              <w:top w:w="0" w:type="dxa"/>
              <w:left w:w="108" w:type="dxa"/>
              <w:bottom w:w="0" w:type="dxa"/>
              <w:right w:w="108" w:type="dxa"/>
            </w:tcMar>
            <w:vAlign w:val="center"/>
          </w:tcPr>
          <w:p w14:paraId="72BFEEA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1,396.48</w:t>
            </w:r>
          </w:p>
        </w:tc>
        <w:tc>
          <w:tcPr>
            <w:tcW w:w="738" w:type="pct"/>
            <w:shd w:val="clear" w:color="auto" w:fill="auto"/>
            <w:tcMar>
              <w:top w:w="0" w:type="dxa"/>
              <w:left w:w="108" w:type="dxa"/>
              <w:bottom w:w="0" w:type="dxa"/>
              <w:right w:w="108" w:type="dxa"/>
            </w:tcMar>
            <w:vAlign w:val="center"/>
          </w:tcPr>
          <w:p w14:paraId="4834869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c>
          <w:tcPr>
            <w:tcW w:w="902" w:type="pct"/>
            <w:shd w:val="clear" w:color="auto" w:fill="auto"/>
            <w:tcMar>
              <w:top w:w="0" w:type="dxa"/>
              <w:left w:w="108" w:type="dxa"/>
              <w:bottom w:w="0" w:type="dxa"/>
              <w:right w:w="108" w:type="dxa"/>
            </w:tcMar>
            <w:vAlign w:val="center"/>
          </w:tcPr>
          <w:p w14:paraId="221B3E2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056897E8"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75DF3CDA"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其中：</w:t>
            </w:r>
          </w:p>
        </w:tc>
        <w:tc>
          <w:tcPr>
            <w:tcW w:w="833" w:type="pct"/>
            <w:shd w:val="clear" w:color="auto" w:fill="auto"/>
            <w:tcMar>
              <w:top w:w="0" w:type="dxa"/>
              <w:left w:w="108" w:type="dxa"/>
              <w:bottom w:w="0" w:type="dxa"/>
              <w:right w:w="108" w:type="dxa"/>
            </w:tcMar>
            <w:vAlign w:val="center"/>
          </w:tcPr>
          <w:p w14:paraId="102E7C6C"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15" w:type="pct"/>
            <w:shd w:val="clear" w:color="auto" w:fill="auto"/>
            <w:tcMar>
              <w:top w:w="0" w:type="dxa"/>
              <w:left w:w="108" w:type="dxa"/>
              <w:bottom w:w="0" w:type="dxa"/>
              <w:right w:w="108" w:type="dxa"/>
            </w:tcMar>
            <w:vAlign w:val="center"/>
          </w:tcPr>
          <w:p w14:paraId="6267ED36"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833" w:type="pct"/>
            <w:shd w:val="clear" w:color="auto" w:fill="auto"/>
            <w:tcMar>
              <w:top w:w="0" w:type="dxa"/>
              <w:left w:w="108" w:type="dxa"/>
              <w:bottom w:w="0" w:type="dxa"/>
              <w:right w:w="108" w:type="dxa"/>
            </w:tcMar>
            <w:vAlign w:val="center"/>
          </w:tcPr>
          <w:p w14:paraId="48041060"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738" w:type="pct"/>
            <w:shd w:val="clear" w:color="auto" w:fill="auto"/>
            <w:tcMar>
              <w:top w:w="0" w:type="dxa"/>
              <w:left w:w="108" w:type="dxa"/>
              <w:bottom w:w="0" w:type="dxa"/>
              <w:right w:w="108" w:type="dxa"/>
            </w:tcMar>
            <w:vAlign w:val="center"/>
          </w:tcPr>
          <w:p w14:paraId="5EF511F5"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902" w:type="pct"/>
            <w:shd w:val="clear" w:color="auto" w:fill="auto"/>
            <w:tcMar>
              <w:top w:w="0" w:type="dxa"/>
              <w:left w:w="108" w:type="dxa"/>
              <w:bottom w:w="0" w:type="dxa"/>
              <w:right w:w="108" w:type="dxa"/>
            </w:tcMar>
            <w:vAlign w:val="center"/>
          </w:tcPr>
          <w:p w14:paraId="7ABED11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p>
        </w:tc>
      </w:tr>
      <w:tr w:rsidR="006416B0" w:rsidRPr="00B4515A" w14:paraId="289DDB9E"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5B505A0C"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单项金额重大并单独计提坏账</w:t>
            </w:r>
          </w:p>
          <w:p w14:paraId="18986172" w14:textId="349B751F"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准备</w:t>
            </w:r>
          </w:p>
        </w:tc>
        <w:tc>
          <w:tcPr>
            <w:tcW w:w="833" w:type="pct"/>
            <w:shd w:val="clear" w:color="auto" w:fill="auto"/>
            <w:tcMar>
              <w:top w:w="0" w:type="dxa"/>
              <w:left w:w="108" w:type="dxa"/>
              <w:bottom w:w="0" w:type="dxa"/>
              <w:right w:w="108" w:type="dxa"/>
            </w:tcMar>
            <w:vAlign w:val="center"/>
          </w:tcPr>
          <w:p w14:paraId="28DF14C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1,342.21</w:t>
            </w:r>
          </w:p>
        </w:tc>
        <w:tc>
          <w:tcPr>
            <w:tcW w:w="615" w:type="pct"/>
            <w:shd w:val="clear" w:color="auto" w:fill="auto"/>
            <w:tcMar>
              <w:top w:w="0" w:type="dxa"/>
              <w:left w:w="108" w:type="dxa"/>
              <w:bottom w:w="0" w:type="dxa"/>
              <w:right w:w="108" w:type="dxa"/>
            </w:tcMar>
            <w:vAlign w:val="center"/>
          </w:tcPr>
          <w:p w14:paraId="112DD3C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3.35</w:t>
            </w:r>
          </w:p>
        </w:tc>
        <w:tc>
          <w:tcPr>
            <w:tcW w:w="833" w:type="pct"/>
            <w:shd w:val="clear" w:color="auto" w:fill="auto"/>
            <w:tcMar>
              <w:top w:w="0" w:type="dxa"/>
              <w:left w:w="108" w:type="dxa"/>
              <w:bottom w:w="0" w:type="dxa"/>
              <w:right w:w="108" w:type="dxa"/>
            </w:tcMar>
            <w:vAlign w:val="center"/>
          </w:tcPr>
          <w:p w14:paraId="2621D12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1,342.21</w:t>
            </w:r>
          </w:p>
        </w:tc>
        <w:tc>
          <w:tcPr>
            <w:tcW w:w="738" w:type="pct"/>
            <w:shd w:val="clear" w:color="auto" w:fill="auto"/>
            <w:tcMar>
              <w:top w:w="0" w:type="dxa"/>
              <w:left w:w="108" w:type="dxa"/>
              <w:bottom w:w="0" w:type="dxa"/>
              <w:right w:w="108" w:type="dxa"/>
            </w:tcMar>
            <w:vAlign w:val="center"/>
          </w:tcPr>
          <w:p w14:paraId="7A60D16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c>
          <w:tcPr>
            <w:tcW w:w="902" w:type="pct"/>
            <w:shd w:val="clear" w:color="auto" w:fill="auto"/>
            <w:tcMar>
              <w:top w:w="0" w:type="dxa"/>
              <w:left w:w="108" w:type="dxa"/>
              <w:bottom w:w="0" w:type="dxa"/>
              <w:right w:w="108" w:type="dxa"/>
            </w:tcMar>
            <w:vAlign w:val="center"/>
          </w:tcPr>
          <w:p w14:paraId="6F4E444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24076A00"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4AFEFA1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单项金额不重大但单独计提坏账准备</w:t>
            </w:r>
          </w:p>
        </w:tc>
        <w:tc>
          <w:tcPr>
            <w:tcW w:w="833" w:type="pct"/>
            <w:shd w:val="clear" w:color="auto" w:fill="auto"/>
            <w:tcMar>
              <w:top w:w="0" w:type="dxa"/>
              <w:left w:w="108" w:type="dxa"/>
              <w:bottom w:w="0" w:type="dxa"/>
              <w:right w:w="108" w:type="dxa"/>
            </w:tcMar>
            <w:vAlign w:val="center"/>
          </w:tcPr>
          <w:p w14:paraId="32CC247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54.27</w:t>
            </w:r>
          </w:p>
        </w:tc>
        <w:tc>
          <w:tcPr>
            <w:tcW w:w="615" w:type="pct"/>
            <w:shd w:val="clear" w:color="auto" w:fill="auto"/>
            <w:tcMar>
              <w:top w:w="0" w:type="dxa"/>
              <w:left w:w="108" w:type="dxa"/>
              <w:bottom w:w="0" w:type="dxa"/>
              <w:right w:w="108" w:type="dxa"/>
            </w:tcMar>
            <w:vAlign w:val="center"/>
          </w:tcPr>
          <w:p w14:paraId="5C9F84E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0.14</w:t>
            </w:r>
          </w:p>
        </w:tc>
        <w:tc>
          <w:tcPr>
            <w:tcW w:w="833" w:type="pct"/>
            <w:shd w:val="clear" w:color="auto" w:fill="auto"/>
            <w:tcMar>
              <w:top w:w="0" w:type="dxa"/>
              <w:left w:w="108" w:type="dxa"/>
              <w:bottom w:w="0" w:type="dxa"/>
              <w:right w:w="108" w:type="dxa"/>
            </w:tcMar>
            <w:vAlign w:val="center"/>
          </w:tcPr>
          <w:p w14:paraId="6EB9868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54.27</w:t>
            </w:r>
          </w:p>
        </w:tc>
        <w:tc>
          <w:tcPr>
            <w:tcW w:w="738" w:type="pct"/>
            <w:shd w:val="clear" w:color="auto" w:fill="auto"/>
            <w:tcMar>
              <w:top w:w="0" w:type="dxa"/>
              <w:left w:w="108" w:type="dxa"/>
              <w:bottom w:w="0" w:type="dxa"/>
              <w:right w:w="108" w:type="dxa"/>
            </w:tcMar>
            <w:vAlign w:val="center"/>
          </w:tcPr>
          <w:p w14:paraId="5E6BAEC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c>
          <w:tcPr>
            <w:tcW w:w="902" w:type="pct"/>
            <w:shd w:val="clear" w:color="auto" w:fill="auto"/>
            <w:tcMar>
              <w:top w:w="0" w:type="dxa"/>
              <w:left w:w="108" w:type="dxa"/>
              <w:bottom w:w="0" w:type="dxa"/>
              <w:right w:w="108" w:type="dxa"/>
            </w:tcMar>
            <w:vAlign w:val="center"/>
          </w:tcPr>
          <w:p w14:paraId="641C12B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125EFB6C"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4B7A4237"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按组合计提坏账准备</w:t>
            </w:r>
          </w:p>
        </w:tc>
        <w:tc>
          <w:tcPr>
            <w:tcW w:w="833" w:type="pct"/>
            <w:shd w:val="clear" w:color="auto" w:fill="auto"/>
            <w:tcMar>
              <w:top w:w="0" w:type="dxa"/>
              <w:left w:w="108" w:type="dxa"/>
              <w:bottom w:w="0" w:type="dxa"/>
              <w:right w:w="108" w:type="dxa"/>
            </w:tcMar>
            <w:vAlign w:val="center"/>
          </w:tcPr>
          <w:p w14:paraId="2C4B050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38,628.21</w:t>
            </w:r>
          </w:p>
        </w:tc>
        <w:tc>
          <w:tcPr>
            <w:tcW w:w="615" w:type="pct"/>
            <w:shd w:val="clear" w:color="auto" w:fill="auto"/>
            <w:tcMar>
              <w:top w:w="0" w:type="dxa"/>
              <w:left w:w="108" w:type="dxa"/>
              <w:bottom w:w="0" w:type="dxa"/>
              <w:right w:w="108" w:type="dxa"/>
            </w:tcMar>
            <w:vAlign w:val="center"/>
          </w:tcPr>
          <w:p w14:paraId="550BED1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96.51</w:t>
            </w:r>
          </w:p>
        </w:tc>
        <w:tc>
          <w:tcPr>
            <w:tcW w:w="833" w:type="pct"/>
            <w:shd w:val="clear" w:color="auto" w:fill="auto"/>
            <w:tcMar>
              <w:top w:w="0" w:type="dxa"/>
              <w:left w:w="108" w:type="dxa"/>
              <w:bottom w:w="0" w:type="dxa"/>
              <w:right w:w="108" w:type="dxa"/>
            </w:tcMar>
            <w:vAlign w:val="center"/>
          </w:tcPr>
          <w:p w14:paraId="4592D97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4,630.97</w:t>
            </w:r>
          </w:p>
        </w:tc>
        <w:tc>
          <w:tcPr>
            <w:tcW w:w="738" w:type="pct"/>
            <w:shd w:val="clear" w:color="auto" w:fill="auto"/>
            <w:tcMar>
              <w:top w:w="0" w:type="dxa"/>
              <w:left w:w="108" w:type="dxa"/>
              <w:bottom w:w="0" w:type="dxa"/>
              <w:right w:w="108" w:type="dxa"/>
            </w:tcMar>
            <w:vAlign w:val="center"/>
          </w:tcPr>
          <w:p w14:paraId="2DAD12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11.99</w:t>
            </w:r>
          </w:p>
        </w:tc>
        <w:tc>
          <w:tcPr>
            <w:tcW w:w="902" w:type="pct"/>
            <w:shd w:val="clear" w:color="auto" w:fill="auto"/>
            <w:tcMar>
              <w:top w:w="0" w:type="dxa"/>
              <w:left w:w="108" w:type="dxa"/>
              <w:bottom w:w="0" w:type="dxa"/>
              <w:right w:w="108" w:type="dxa"/>
            </w:tcMar>
            <w:vAlign w:val="center"/>
          </w:tcPr>
          <w:p w14:paraId="63997D0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33,997.25</w:t>
            </w:r>
          </w:p>
        </w:tc>
      </w:tr>
      <w:tr w:rsidR="006416B0" w:rsidRPr="00B4515A" w14:paraId="7C093FC7"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60E00B57"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其中：</w:t>
            </w:r>
          </w:p>
        </w:tc>
        <w:tc>
          <w:tcPr>
            <w:tcW w:w="833" w:type="pct"/>
            <w:shd w:val="clear" w:color="auto" w:fill="auto"/>
            <w:tcMar>
              <w:top w:w="0" w:type="dxa"/>
              <w:left w:w="108" w:type="dxa"/>
              <w:bottom w:w="0" w:type="dxa"/>
              <w:right w:w="108" w:type="dxa"/>
            </w:tcMar>
            <w:vAlign w:val="center"/>
          </w:tcPr>
          <w:p w14:paraId="0E1FEFC9"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15" w:type="pct"/>
            <w:shd w:val="clear" w:color="auto" w:fill="auto"/>
            <w:tcMar>
              <w:top w:w="0" w:type="dxa"/>
              <w:left w:w="108" w:type="dxa"/>
              <w:bottom w:w="0" w:type="dxa"/>
              <w:right w:w="108" w:type="dxa"/>
            </w:tcMar>
            <w:vAlign w:val="center"/>
          </w:tcPr>
          <w:p w14:paraId="7A3EAA10"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833" w:type="pct"/>
            <w:shd w:val="clear" w:color="auto" w:fill="auto"/>
            <w:tcMar>
              <w:top w:w="0" w:type="dxa"/>
              <w:left w:w="108" w:type="dxa"/>
              <w:bottom w:w="0" w:type="dxa"/>
              <w:right w:w="108" w:type="dxa"/>
            </w:tcMar>
            <w:vAlign w:val="center"/>
          </w:tcPr>
          <w:p w14:paraId="510F22EB"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738" w:type="pct"/>
            <w:shd w:val="clear" w:color="auto" w:fill="auto"/>
            <w:tcMar>
              <w:top w:w="0" w:type="dxa"/>
              <w:left w:w="108" w:type="dxa"/>
              <w:bottom w:w="0" w:type="dxa"/>
              <w:right w:w="108" w:type="dxa"/>
            </w:tcMar>
            <w:vAlign w:val="center"/>
          </w:tcPr>
          <w:p w14:paraId="4CBB7BFE"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902" w:type="pct"/>
            <w:shd w:val="clear" w:color="auto" w:fill="auto"/>
            <w:tcMar>
              <w:top w:w="0" w:type="dxa"/>
              <w:left w:w="108" w:type="dxa"/>
              <w:bottom w:w="0" w:type="dxa"/>
              <w:right w:w="108" w:type="dxa"/>
            </w:tcMar>
            <w:vAlign w:val="center"/>
          </w:tcPr>
          <w:p w14:paraId="4F90AB52"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r>
      <w:tr w:rsidR="006416B0" w:rsidRPr="00B4515A" w14:paraId="45B5126D"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09E0B11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信用风险组合</w:t>
            </w:r>
          </w:p>
        </w:tc>
        <w:tc>
          <w:tcPr>
            <w:tcW w:w="833" w:type="pct"/>
            <w:shd w:val="clear" w:color="auto" w:fill="auto"/>
            <w:tcMar>
              <w:top w:w="0" w:type="dxa"/>
              <w:left w:w="108" w:type="dxa"/>
              <w:bottom w:w="0" w:type="dxa"/>
              <w:right w:w="108" w:type="dxa"/>
            </w:tcMar>
            <w:vAlign w:val="center"/>
          </w:tcPr>
          <w:p w14:paraId="0BF6027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38,628.21</w:t>
            </w:r>
          </w:p>
        </w:tc>
        <w:tc>
          <w:tcPr>
            <w:tcW w:w="615" w:type="pct"/>
            <w:shd w:val="clear" w:color="auto" w:fill="auto"/>
            <w:tcMar>
              <w:top w:w="0" w:type="dxa"/>
              <w:left w:w="108" w:type="dxa"/>
              <w:bottom w:w="0" w:type="dxa"/>
              <w:right w:w="108" w:type="dxa"/>
            </w:tcMar>
            <w:vAlign w:val="center"/>
          </w:tcPr>
          <w:p w14:paraId="77C8690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96.51</w:t>
            </w:r>
          </w:p>
        </w:tc>
        <w:tc>
          <w:tcPr>
            <w:tcW w:w="833" w:type="pct"/>
            <w:shd w:val="clear" w:color="auto" w:fill="auto"/>
            <w:tcMar>
              <w:top w:w="0" w:type="dxa"/>
              <w:left w:w="108" w:type="dxa"/>
              <w:bottom w:w="0" w:type="dxa"/>
              <w:right w:w="108" w:type="dxa"/>
            </w:tcMar>
            <w:vAlign w:val="center"/>
          </w:tcPr>
          <w:p w14:paraId="5E72831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4,630.97</w:t>
            </w:r>
          </w:p>
        </w:tc>
        <w:tc>
          <w:tcPr>
            <w:tcW w:w="738" w:type="pct"/>
            <w:shd w:val="clear" w:color="auto" w:fill="auto"/>
            <w:tcMar>
              <w:top w:w="0" w:type="dxa"/>
              <w:left w:w="108" w:type="dxa"/>
              <w:bottom w:w="0" w:type="dxa"/>
              <w:right w:w="108" w:type="dxa"/>
            </w:tcMar>
            <w:vAlign w:val="center"/>
          </w:tcPr>
          <w:p w14:paraId="6A1CF1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11.99</w:t>
            </w:r>
          </w:p>
        </w:tc>
        <w:tc>
          <w:tcPr>
            <w:tcW w:w="902" w:type="pct"/>
            <w:shd w:val="clear" w:color="auto" w:fill="auto"/>
            <w:tcMar>
              <w:top w:w="0" w:type="dxa"/>
              <w:left w:w="108" w:type="dxa"/>
              <w:bottom w:w="0" w:type="dxa"/>
              <w:right w:w="108" w:type="dxa"/>
            </w:tcMar>
            <w:vAlign w:val="center"/>
          </w:tcPr>
          <w:p w14:paraId="7370B3F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33,997.25</w:t>
            </w:r>
          </w:p>
        </w:tc>
      </w:tr>
      <w:tr w:rsidR="006416B0" w:rsidRPr="00B4515A" w14:paraId="7BDE2079"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4E90B7A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合计</w:t>
            </w:r>
          </w:p>
        </w:tc>
        <w:tc>
          <w:tcPr>
            <w:tcW w:w="833" w:type="pct"/>
            <w:shd w:val="clear" w:color="auto" w:fill="auto"/>
            <w:tcMar>
              <w:top w:w="0" w:type="dxa"/>
              <w:left w:w="108" w:type="dxa"/>
              <w:bottom w:w="0" w:type="dxa"/>
              <w:right w:w="108" w:type="dxa"/>
            </w:tcMar>
            <w:vAlign w:val="center"/>
          </w:tcPr>
          <w:p w14:paraId="20E1D27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40,024.69</w:t>
            </w:r>
          </w:p>
        </w:tc>
        <w:tc>
          <w:tcPr>
            <w:tcW w:w="615" w:type="pct"/>
            <w:shd w:val="clear" w:color="auto" w:fill="auto"/>
            <w:tcMar>
              <w:top w:w="0" w:type="dxa"/>
              <w:left w:w="108" w:type="dxa"/>
              <w:bottom w:w="0" w:type="dxa"/>
              <w:right w:w="108" w:type="dxa"/>
            </w:tcMar>
            <w:vAlign w:val="center"/>
          </w:tcPr>
          <w:p w14:paraId="1253E87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833" w:type="pct"/>
            <w:shd w:val="clear" w:color="auto" w:fill="auto"/>
            <w:tcMar>
              <w:top w:w="0" w:type="dxa"/>
              <w:left w:w="108" w:type="dxa"/>
              <w:bottom w:w="0" w:type="dxa"/>
              <w:right w:w="108" w:type="dxa"/>
            </w:tcMar>
            <w:vAlign w:val="center"/>
          </w:tcPr>
          <w:p w14:paraId="3808D5E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6,027.45</w:t>
            </w:r>
          </w:p>
        </w:tc>
        <w:tc>
          <w:tcPr>
            <w:tcW w:w="738" w:type="pct"/>
            <w:shd w:val="clear" w:color="auto" w:fill="auto"/>
            <w:tcMar>
              <w:top w:w="0" w:type="dxa"/>
              <w:left w:w="108" w:type="dxa"/>
              <w:bottom w:w="0" w:type="dxa"/>
              <w:right w:w="108" w:type="dxa"/>
            </w:tcMar>
            <w:vAlign w:val="center"/>
          </w:tcPr>
          <w:p w14:paraId="46039248" w14:textId="77777777" w:rsidR="006416B0" w:rsidRPr="00B4515A" w:rsidRDefault="006416B0" w:rsidP="005860B4">
            <w:pPr>
              <w:adjustRightInd w:val="0"/>
              <w:snapToGrid w:val="0"/>
              <w:jc w:val="right"/>
              <w:rPr>
                <w:rFonts w:ascii="Times New Roman" w:eastAsiaTheme="minorEastAsia" w:hAnsi="Times New Roman" w:cs="Times New Roman"/>
                <w:b/>
                <w:bCs/>
                <w:color w:val="000000"/>
                <w:sz w:val="21"/>
                <w:szCs w:val="21"/>
              </w:rPr>
            </w:pPr>
          </w:p>
        </w:tc>
        <w:tc>
          <w:tcPr>
            <w:tcW w:w="902" w:type="pct"/>
            <w:shd w:val="clear" w:color="auto" w:fill="auto"/>
            <w:tcMar>
              <w:top w:w="0" w:type="dxa"/>
              <w:left w:w="108" w:type="dxa"/>
              <w:bottom w:w="0" w:type="dxa"/>
              <w:right w:w="108" w:type="dxa"/>
            </w:tcMar>
            <w:vAlign w:val="center"/>
          </w:tcPr>
          <w:p w14:paraId="120F9BF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33,997.25</w:t>
            </w:r>
          </w:p>
        </w:tc>
      </w:tr>
      <w:tr w:rsidR="006416B0" w:rsidRPr="00B4515A" w14:paraId="181834F5" w14:textId="77777777" w:rsidTr="00031627">
        <w:trPr>
          <w:trHeight w:val="340"/>
          <w:jc w:val="center"/>
        </w:trPr>
        <w:tc>
          <w:tcPr>
            <w:tcW w:w="5000" w:type="pct"/>
            <w:gridSpan w:val="6"/>
            <w:shd w:val="clear" w:color="auto" w:fill="auto"/>
            <w:tcMar>
              <w:top w:w="0" w:type="dxa"/>
              <w:left w:w="108" w:type="dxa"/>
              <w:bottom w:w="0" w:type="dxa"/>
              <w:right w:w="108" w:type="dxa"/>
            </w:tcMar>
            <w:vAlign w:val="center"/>
          </w:tcPr>
          <w:p w14:paraId="1390BD7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p>
          <w:p w14:paraId="32C058B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单位：万元</w:t>
            </w:r>
          </w:p>
        </w:tc>
      </w:tr>
      <w:tr w:rsidR="006416B0" w:rsidRPr="00B4515A" w14:paraId="4D5F339D" w14:textId="77777777" w:rsidTr="00031627">
        <w:trPr>
          <w:trHeight w:val="340"/>
          <w:jc w:val="center"/>
        </w:trPr>
        <w:tc>
          <w:tcPr>
            <w:tcW w:w="1079" w:type="pct"/>
            <w:vMerge w:val="restart"/>
            <w:shd w:val="clear" w:color="auto" w:fill="auto"/>
            <w:tcMar>
              <w:top w:w="0" w:type="dxa"/>
              <w:left w:w="108" w:type="dxa"/>
              <w:bottom w:w="0" w:type="dxa"/>
              <w:right w:w="108" w:type="dxa"/>
            </w:tcMar>
            <w:vAlign w:val="center"/>
          </w:tcPr>
          <w:p w14:paraId="73B451A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类别</w:t>
            </w:r>
          </w:p>
        </w:tc>
        <w:tc>
          <w:tcPr>
            <w:tcW w:w="1448" w:type="pct"/>
            <w:gridSpan w:val="2"/>
            <w:shd w:val="clear" w:color="auto" w:fill="auto"/>
            <w:tcMar>
              <w:top w:w="0" w:type="dxa"/>
              <w:left w:w="108" w:type="dxa"/>
              <w:bottom w:w="0" w:type="dxa"/>
              <w:right w:w="108" w:type="dxa"/>
            </w:tcMar>
            <w:vAlign w:val="center"/>
          </w:tcPr>
          <w:p w14:paraId="67AC50E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账面余额</w:t>
            </w:r>
          </w:p>
        </w:tc>
        <w:tc>
          <w:tcPr>
            <w:tcW w:w="1571" w:type="pct"/>
            <w:gridSpan w:val="2"/>
            <w:shd w:val="clear" w:color="auto" w:fill="auto"/>
            <w:tcMar>
              <w:top w:w="0" w:type="dxa"/>
              <w:left w:w="108" w:type="dxa"/>
              <w:bottom w:w="0" w:type="dxa"/>
              <w:right w:w="108" w:type="dxa"/>
            </w:tcMar>
            <w:vAlign w:val="center"/>
          </w:tcPr>
          <w:p w14:paraId="58A959D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坏账准备</w:t>
            </w:r>
          </w:p>
        </w:tc>
        <w:tc>
          <w:tcPr>
            <w:tcW w:w="902" w:type="pct"/>
            <w:vMerge w:val="restart"/>
            <w:shd w:val="clear" w:color="auto" w:fill="auto"/>
            <w:tcMar>
              <w:top w:w="0" w:type="dxa"/>
              <w:left w:w="108" w:type="dxa"/>
              <w:bottom w:w="0" w:type="dxa"/>
              <w:right w:w="108" w:type="dxa"/>
            </w:tcMar>
            <w:vAlign w:val="center"/>
          </w:tcPr>
          <w:p w14:paraId="73E9048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账面价值</w:t>
            </w:r>
          </w:p>
        </w:tc>
      </w:tr>
      <w:tr w:rsidR="006416B0" w:rsidRPr="00B4515A" w14:paraId="23B683D0" w14:textId="77777777" w:rsidTr="00031627">
        <w:trPr>
          <w:trHeight w:val="340"/>
          <w:jc w:val="center"/>
        </w:trPr>
        <w:tc>
          <w:tcPr>
            <w:tcW w:w="1079" w:type="pct"/>
            <w:vMerge/>
            <w:tcMar>
              <w:top w:w="0" w:type="dxa"/>
              <w:left w:w="108" w:type="dxa"/>
              <w:bottom w:w="0" w:type="dxa"/>
              <w:right w:w="108" w:type="dxa"/>
            </w:tcMar>
            <w:vAlign w:val="center"/>
          </w:tcPr>
          <w:p w14:paraId="584BEB05"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833" w:type="pct"/>
            <w:shd w:val="clear" w:color="auto" w:fill="auto"/>
            <w:tcMar>
              <w:top w:w="0" w:type="dxa"/>
              <w:left w:w="108" w:type="dxa"/>
              <w:bottom w:w="0" w:type="dxa"/>
              <w:right w:w="108" w:type="dxa"/>
            </w:tcMar>
            <w:vAlign w:val="center"/>
          </w:tcPr>
          <w:p w14:paraId="7384089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金额</w:t>
            </w:r>
          </w:p>
        </w:tc>
        <w:tc>
          <w:tcPr>
            <w:tcW w:w="615" w:type="pct"/>
            <w:shd w:val="clear" w:color="auto" w:fill="auto"/>
            <w:tcMar>
              <w:top w:w="0" w:type="dxa"/>
              <w:left w:w="108" w:type="dxa"/>
              <w:bottom w:w="0" w:type="dxa"/>
              <w:right w:w="108" w:type="dxa"/>
            </w:tcMar>
            <w:vAlign w:val="center"/>
          </w:tcPr>
          <w:p w14:paraId="2B4B5B2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比例（</w:t>
            </w:r>
            <w:r w:rsidRPr="00B4515A">
              <w:rPr>
                <w:rFonts w:ascii="Times New Roman" w:eastAsiaTheme="minorEastAsia" w:hAnsi="Times New Roman" w:cs="Times New Roman"/>
                <w:b/>
                <w:bCs/>
                <w:color w:val="000000"/>
                <w:sz w:val="21"/>
                <w:szCs w:val="21"/>
              </w:rPr>
              <w:t>%</w:t>
            </w:r>
            <w:r w:rsidRPr="00B4515A">
              <w:rPr>
                <w:rFonts w:ascii="Times New Roman" w:eastAsiaTheme="minorEastAsia" w:hAnsi="Times New Roman" w:cs="Times New Roman"/>
                <w:b/>
                <w:bCs/>
                <w:color w:val="000000"/>
                <w:sz w:val="21"/>
                <w:szCs w:val="21"/>
              </w:rPr>
              <w:t>）</w:t>
            </w:r>
          </w:p>
        </w:tc>
        <w:tc>
          <w:tcPr>
            <w:tcW w:w="833" w:type="pct"/>
            <w:shd w:val="clear" w:color="auto" w:fill="auto"/>
            <w:tcMar>
              <w:top w:w="0" w:type="dxa"/>
              <w:left w:w="108" w:type="dxa"/>
              <w:bottom w:w="0" w:type="dxa"/>
              <w:right w:w="108" w:type="dxa"/>
            </w:tcMar>
            <w:vAlign w:val="center"/>
          </w:tcPr>
          <w:p w14:paraId="04F4EB9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金额</w:t>
            </w:r>
          </w:p>
        </w:tc>
        <w:tc>
          <w:tcPr>
            <w:tcW w:w="738" w:type="pct"/>
            <w:shd w:val="clear" w:color="auto" w:fill="auto"/>
            <w:tcMar>
              <w:top w:w="0" w:type="dxa"/>
              <w:left w:w="108" w:type="dxa"/>
              <w:bottom w:w="0" w:type="dxa"/>
              <w:right w:w="108" w:type="dxa"/>
            </w:tcMar>
            <w:vAlign w:val="center"/>
          </w:tcPr>
          <w:p w14:paraId="42FDF1F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计提比例（</w:t>
            </w:r>
            <w:r w:rsidRPr="00B4515A">
              <w:rPr>
                <w:rFonts w:ascii="Times New Roman" w:eastAsiaTheme="minorEastAsia" w:hAnsi="Times New Roman" w:cs="Times New Roman"/>
                <w:b/>
                <w:bCs/>
                <w:color w:val="000000"/>
                <w:sz w:val="21"/>
                <w:szCs w:val="21"/>
              </w:rPr>
              <w:t>%</w:t>
            </w:r>
            <w:r w:rsidRPr="00B4515A">
              <w:rPr>
                <w:rFonts w:ascii="Times New Roman" w:eastAsiaTheme="minorEastAsia" w:hAnsi="Times New Roman" w:cs="Times New Roman"/>
                <w:b/>
                <w:bCs/>
                <w:color w:val="000000"/>
                <w:sz w:val="21"/>
                <w:szCs w:val="21"/>
              </w:rPr>
              <w:t>）</w:t>
            </w:r>
          </w:p>
        </w:tc>
        <w:tc>
          <w:tcPr>
            <w:tcW w:w="902" w:type="pct"/>
            <w:vMerge/>
            <w:tcMar>
              <w:top w:w="0" w:type="dxa"/>
              <w:left w:w="108" w:type="dxa"/>
              <w:bottom w:w="0" w:type="dxa"/>
              <w:right w:w="108" w:type="dxa"/>
            </w:tcMar>
            <w:vAlign w:val="center"/>
          </w:tcPr>
          <w:p w14:paraId="23378358"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6416B0" w:rsidRPr="00B4515A" w14:paraId="3958D64C"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2BEB88E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按单项计提坏账准备</w:t>
            </w:r>
          </w:p>
        </w:tc>
        <w:tc>
          <w:tcPr>
            <w:tcW w:w="833" w:type="pct"/>
            <w:shd w:val="clear" w:color="auto" w:fill="auto"/>
            <w:tcMar>
              <w:top w:w="0" w:type="dxa"/>
              <w:left w:w="108" w:type="dxa"/>
              <w:bottom w:w="0" w:type="dxa"/>
              <w:right w:w="108" w:type="dxa"/>
            </w:tcMar>
            <w:vAlign w:val="center"/>
          </w:tcPr>
          <w:p w14:paraId="05F08EB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2,540.48</w:t>
            </w:r>
          </w:p>
        </w:tc>
        <w:tc>
          <w:tcPr>
            <w:tcW w:w="615" w:type="pct"/>
            <w:shd w:val="clear" w:color="auto" w:fill="auto"/>
            <w:tcMar>
              <w:top w:w="0" w:type="dxa"/>
              <w:left w:w="108" w:type="dxa"/>
              <w:bottom w:w="0" w:type="dxa"/>
              <w:right w:w="108" w:type="dxa"/>
            </w:tcMar>
            <w:vAlign w:val="center"/>
          </w:tcPr>
          <w:p w14:paraId="789FD92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6.81</w:t>
            </w:r>
          </w:p>
        </w:tc>
        <w:tc>
          <w:tcPr>
            <w:tcW w:w="833" w:type="pct"/>
            <w:shd w:val="clear" w:color="auto" w:fill="auto"/>
            <w:tcMar>
              <w:top w:w="0" w:type="dxa"/>
              <w:left w:w="108" w:type="dxa"/>
              <w:bottom w:w="0" w:type="dxa"/>
              <w:right w:w="108" w:type="dxa"/>
            </w:tcMar>
            <w:vAlign w:val="center"/>
          </w:tcPr>
          <w:p w14:paraId="275B4CE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2,540.48</w:t>
            </w:r>
          </w:p>
        </w:tc>
        <w:tc>
          <w:tcPr>
            <w:tcW w:w="738" w:type="pct"/>
            <w:shd w:val="clear" w:color="auto" w:fill="auto"/>
            <w:tcMar>
              <w:top w:w="0" w:type="dxa"/>
              <w:left w:w="108" w:type="dxa"/>
              <w:bottom w:w="0" w:type="dxa"/>
              <w:right w:w="108" w:type="dxa"/>
            </w:tcMar>
            <w:vAlign w:val="center"/>
          </w:tcPr>
          <w:p w14:paraId="74A1B3D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c>
          <w:tcPr>
            <w:tcW w:w="902" w:type="pct"/>
            <w:shd w:val="clear" w:color="auto" w:fill="auto"/>
            <w:tcMar>
              <w:top w:w="0" w:type="dxa"/>
              <w:left w:w="108" w:type="dxa"/>
              <w:bottom w:w="0" w:type="dxa"/>
              <w:right w:w="108" w:type="dxa"/>
            </w:tcMar>
            <w:vAlign w:val="center"/>
          </w:tcPr>
          <w:p w14:paraId="7A7D70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0008E3E2"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2021EAA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lastRenderedPageBreak/>
              <w:t>其中：</w:t>
            </w:r>
          </w:p>
        </w:tc>
        <w:tc>
          <w:tcPr>
            <w:tcW w:w="833" w:type="pct"/>
            <w:shd w:val="clear" w:color="auto" w:fill="auto"/>
            <w:tcMar>
              <w:top w:w="0" w:type="dxa"/>
              <w:left w:w="108" w:type="dxa"/>
              <w:bottom w:w="0" w:type="dxa"/>
              <w:right w:w="108" w:type="dxa"/>
            </w:tcMar>
            <w:vAlign w:val="center"/>
          </w:tcPr>
          <w:p w14:paraId="5034596B"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15" w:type="pct"/>
            <w:shd w:val="clear" w:color="auto" w:fill="auto"/>
            <w:tcMar>
              <w:top w:w="0" w:type="dxa"/>
              <w:left w:w="108" w:type="dxa"/>
              <w:bottom w:w="0" w:type="dxa"/>
              <w:right w:w="108" w:type="dxa"/>
            </w:tcMar>
            <w:vAlign w:val="center"/>
          </w:tcPr>
          <w:p w14:paraId="035739AA"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833" w:type="pct"/>
            <w:shd w:val="clear" w:color="auto" w:fill="auto"/>
            <w:tcMar>
              <w:top w:w="0" w:type="dxa"/>
              <w:left w:w="108" w:type="dxa"/>
              <w:bottom w:w="0" w:type="dxa"/>
              <w:right w:w="108" w:type="dxa"/>
            </w:tcMar>
            <w:vAlign w:val="center"/>
          </w:tcPr>
          <w:p w14:paraId="444BCF6D"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738" w:type="pct"/>
            <w:shd w:val="clear" w:color="auto" w:fill="auto"/>
            <w:tcMar>
              <w:top w:w="0" w:type="dxa"/>
              <w:left w:w="108" w:type="dxa"/>
              <w:bottom w:w="0" w:type="dxa"/>
              <w:right w:w="108" w:type="dxa"/>
            </w:tcMar>
            <w:vAlign w:val="center"/>
          </w:tcPr>
          <w:p w14:paraId="2B6169EE"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902" w:type="pct"/>
            <w:shd w:val="clear" w:color="auto" w:fill="auto"/>
            <w:tcMar>
              <w:top w:w="0" w:type="dxa"/>
              <w:left w:w="108" w:type="dxa"/>
              <w:bottom w:w="0" w:type="dxa"/>
              <w:right w:w="108" w:type="dxa"/>
            </w:tcMar>
            <w:vAlign w:val="center"/>
          </w:tcPr>
          <w:p w14:paraId="5329A76D"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r>
      <w:tr w:rsidR="006416B0" w:rsidRPr="00B4515A" w14:paraId="6CC3D06E"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39D06DF2"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单项金额重大并单独计提坏账</w:t>
            </w:r>
          </w:p>
          <w:p w14:paraId="701AFC10" w14:textId="0C16A214"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准备</w:t>
            </w:r>
          </w:p>
        </w:tc>
        <w:tc>
          <w:tcPr>
            <w:tcW w:w="833" w:type="pct"/>
            <w:shd w:val="clear" w:color="auto" w:fill="auto"/>
            <w:tcMar>
              <w:top w:w="0" w:type="dxa"/>
              <w:left w:w="108" w:type="dxa"/>
              <w:bottom w:w="0" w:type="dxa"/>
              <w:right w:w="108" w:type="dxa"/>
            </w:tcMar>
            <w:vAlign w:val="center"/>
          </w:tcPr>
          <w:p w14:paraId="5644DD0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2,337.03</w:t>
            </w:r>
          </w:p>
        </w:tc>
        <w:tc>
          <w:tcPr>
            <w:tcW w:w="615" w:type="pct"/>
            <w:shd w:val="clear" w:color="auto" w:fill="auto"/>
            <w:tcMar>
              <w:top w:w="0" w:type="dxa"/>
              <w:left w:w="108" w:type="dxa"/>
              <w:bottom w:w="0" w:type="dxa"/>
              <w:right w:w="108" w:type="dxa"/>
            </w:tcMar>
            <w:vAlign w:val="center"/>
          </w:tcPr>
          <w:p w14:paraId="2AE0870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6.27</w:t>
            </w:r>
          </w:p>
        </w:tc>
        <w:tc>
          <w:tcPr>
            <w:tcW w:w="833" w:type="pct"/>
            <w:shd w:val="clear" w:color="auto" w:fill="auto"/>
            <w:tcMar>
              <w:top w:w="0" w:type="dxa"/>
              <w:left w:w="108" w:type="dxa"/>
              <w:bottom w:w="0" w:type="dxa"/>
              <w:right w:w="108" w:type="dxa"/>
            </w:tcMar>
            <w:vAlign w:val="center"/>
          </w:tcPr>
          <w:p w14:paraId="02A9BCF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2,337.03</w:t>
            </w:r>
          </w:p>
        </w:tc>
        <w:tc>
          <w:tcPr>
            <w:tcW w:w="738" w:type="pct"/>
            <w:shd w:val="clear" w:color="auto" w:fill="auto"/>
            <w:tcMar>
              <w:top w:w="0" w:type="dxa"/>
              <w:left w:w="108" w:type="dxa"/>
              <w:bottom w:w="0" w:type="dxa"/>
              <w:right w:w="108" w:type="dxa"/>
            </w:tcMar>
            <w:vAlign w:val="center"/>
          </w:tcPr>
          <w:p w14:paraId="44C30EE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c>
          <w:tcPr>
            <w:tcW w:w="902" w:type="pct"/>
            <w:shd w:val="clear" w:color="auto" w:fill="auto"/>
            <w:tcMar>
              <w:top w:w="0" w:type="dxa"/>
              <w:left w:w="108" w:type="dxa"/>
              <w:bottom w:w="0" w:type="dxa"/>
              <w:right w:w="108" w:type="dxa"/>
            </w:tcMar>
            <w:vAlign w:val="center"/>
          </w:tcPr>
          <w:p w14:paraId="0A1F45C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7E47A450"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2F200B9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单项金额不重大但单独计提坏账准备</w:t>
            </w:r>
          </w:p>
        </w:tc>
        <w:tc>
          <w:tcPr>
            <w:tcW w:w="833" w:type="pct"/>
            <w:shd w:val="clear" w:color="auto" w:fill="auto"/>
            <w:tcMar>
              <w:top w:w="0" w:type="dxa"/>
              <w:left w:w="108" w:type="dxa"/>
              <w:bottom w:w="0" w:type="dxa"/>
              <w:right w:w="108" w:type="dxa"/>
            </w:tcMar>
            <w:vAlign w:val="center"/>
          </w:tcPr>
          <w:p w14:paraId="7B687A0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203.45</w:t>
            </w:r>
          </w:p>
        </w:tc>
        <w:tc>
          <w:tcPr>
            <w:tcW w:w="615" w:type="pct"/>
            <w:shd w:val="clear" w:color="auto" w:fill="auto"/>
            <w:tcMar>
              <w:top w:w="0" w:type="dxa"/>
              <w:left w:w="108" w:type="dxa"/>
              <w:bottom w:w="0" w:type="dxa"/>
              <w:right w:w="108" w:type="dxa"/>
            </w:tcMar>
            <w:vAlign w:val="center"/>
          </w:tcPr>
          <w:p w14:paraId="721EAC9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0.55</w:t>
            </w:r>
          </w:p>
        </w:tc>
        <w:tc>
          <w:tcPr>
            <w:tcW w:w="833" w:type="pct"/>
            <w:shd w:val="clear" w:color="auto" w:fill="auto"/>
            <w:tcMar>
              <w:top w:w="0" w:type="dxa"/>
              <w:left w:w="108" w:type="dxa"/>
              <w:bottom w:w="0" w:type="dxa"/>
              <w:right w:w="108" w:type="dxa"/>
            </w:tcMar>
            <w:vAlign w:val="center"/>
          </w:tcPr>
          <w:p w14:paraId="1DD030D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203.45</w:t>
            </w:r>
          </w:p>
        </w:tc>
        <w:tc>
          <w:tcPr>
            <w:tcW w:w="738" w:type="pct"/>
            <w:shd w:val="clear" w:color="auto" w:fill="auto"/>
            <w:tcMar>
              <w:top w:w="0" w:type="dxa"/>
              <w:left w:w="108" w:type="dxa"/>
              <w:bottom w:w="0" w:type="dxa"/>
              <w:right w:w="108" w:type="dxa"/>
            </w:tcMar>
            <w:vAlign w:val="center"/>
          </w:tcPr>
          <w:p w14:paraId="56EE780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c>
          <w:tcPr>
            <w:tcW w:w="902" w:type="pct"/>
            <w:shd w:val="clear" w:color="auto" w:fill="auto"/>
            <w:tcMar>
              <w:top w:w="0" w:type="dxa"/>
              <w:left w:w="108" w:type="dxa"/>
              <w:bottom w:w="0" w:type="dxa"/>
              <w:right w:w="108" w:type="dxa"/>
            </w:tcMar>
            <w:vAlign w:val="center"/>
          </w:tcPr>
          <w:p w14:paraId="158083A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1B9272FB"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1D777A9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按组合计提坏账准备</w:t>
            </w:r>
          </w:p>
        </w:tc>
        <w:tc>
          <w:tcPr>
            <w:tcW w:w="833" w:type="pct"/>
            <w:shd w:val="clear" w:color="auto" w:fill="auto"/>
            <w:tcMar>
              <w:top w:w="0" w:type="dxa"/>
              <w:left w:w="108" w:type="dxa"/>
              <w:bottom w:w="0" w:type="dxa"/>
              <w:right w:w="108" w:type="dxa"/>
            </w:tcMar>
            <w:vAlign w:val="center"/>
          </w:tcPr>
          <w:p w14:paraId="0BA5B69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34,748.19</w:t>
            </w:r>
          </w:p>
        </w:tc>
        <w:tc>
          <w:tcPr>
            <w:tcW w:w="615" w:type="pct"/>
            <w:shd w:val="clear" w:color="auto" w:fill="auto"/>
            <w:tcMar>
              <w:top w:w="0" w:type="dxa"/>
              <w:left w:w="108" w:type="dxa"/>
              <w:bottom w:w="0" w:type="dxa"/>
              <w:right w:w="108" w:type="dxa"/>
            </w:tcMar>
            <w:vAlign w:val="center"/>
          </w:tcPr>
          <w:p w14:paraId="6F597A6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93.19</w:t>
            </w:r>
          </w:p>
        </w:tc>
        <w:tc>
          <w:tcPr>
            <w:tcW w:w="833" w:type="pct"/>
            <w:shd w:val="clear" w:color="auto" w:fill="auto"/>
            <w:tcMar>
              <w:top w:w="0" w:type="dxa"/>
              <w:left w:w="108" w:type="dxa"/>
              <w:bottom w:w="0" w:type="dxa"/>
              <w:right w:w="108" w:type="dxa"/>
            </w:tcMar>
            <w:vAlign w:val="center"/>
          </w:tcPr>
          <w:p w14:paraId="56B9447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3,783.88</w:t>
            </w:r>
          </w:p>
        </w:tc>
        <w:tc>
          <w:tcPr>
            <w:tcW w:w="738" w:type="pct"/>
            <w:shd w:val="clear" w:color="auto" w:fill="auto"/>
            <w:tcMar>
              <w:top w:w="0" w:type="dxa"/>
              <w:left w:w="108" w:type="dxa"/>
              <w:bottom w:w="0" w:type="dxa"/>
              <w:right w:w="108" w:type="dxa"/>
            </w:tcMar>
            <w:vAlign w:val="center"/>
          </w:tcPr>
          <w:p w14:paraId="1C855A7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10.89</w:t>
            </w:r>
          </w:p>
        </w:tc>
        <w:tc>
          <w:tcPr>
            <w:tcW w:w="902" w:type="pct"/>
            <w:shd w:val="clear" w:color="auto" w:fill="auto"/>
            <w:tcMar>
              <w:top w:w="0" w:type="dxa"/>
              <w:left w:w="108" w:type="dxa"/>
              <w:bottom w:w="0" w:type="dxa"/>
              <w:right w:w="108" w:type="dxa"/>
            </w:tcMar>
            <w:vAlign w:val="center"/>
          </w:tcPr>
          <w:p w14:paraId="42ED102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30,964.30</w:t>
            </w:r>
          </w:p>
        </w:tc>
      </w:tr>
      <w:tr w:rsidR="006416B0" w:rsidRPr="00B4515A" w14:paraId="4BEACE45"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5C51B87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其中：</w:t>
            </w:r>
          </w:p>
        </w:tc>
        <w:tc>
          <w:tcPr>
            <w:tcW w:w="833" w:type="pct"/>
            <w:shd w:val="clear" w:color="auto" w:fill="auto"/>
            <w:tcMar>
              <w:top w:w="0" w:type="dxa"/>
              <w:left w:w="108" w:type="dxa"/>
              <w:bottom w:w="0" w:type="dxa"/>
              <w:right w:w="108" w:type="dxa"/>
            </w:tcMar>
            <w:vAlign w:val="center"/>
          </w:tcPr>
          <w:p w14:paraId="461F5AD1"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15" w:type="pct"/>
            <w:shd w:val="clear" w:color="auto" w:fill="auto"/>
            <w:tcMar>
              <w:top w:w="0" w:type="dxa"/>
              <w:left w:w="108" w:type="dxa"/>
              <w:bottom w:w="0" w:type="dxa"/>
              <w:right w:w="108" w:type="dxa"/>
            </w:tcMar>
            <w:vAlign w:val="center"/>
          </w:tcPr>
          <w:p w14:paraId="3BEBE1BD"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833" w:type="pct"/>
            <w:shd w:val="clear" w:color="auto" w:fill="auto"/>
            <w:tcMar>
              <w:top w:w="0" w:type="dxa"/>
              <w:left w:w="108" w:type="dxa"/>
              <w:bottom w:w="0" w:type="dxa"/>
              <w:right w:w="108" w:type="dxa"/>
            </w:tcMar>
            <w:vAlign w:val="center"/>
          </w:tcPr>
          <w:p w14:paraId="633FD305"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738" w:type="pct"/>
            <w:shd w:val="clear" w:color="auto" w:fill="auto"/>
            <w:tcMar>
              <w:top w:w="0" w:type="dxa"/>
              <w:left w:w="108" w:type="dxa"/>
              <w:bottom w:w="0" w:type="dxa"/>
              <w:right w:w="108" w:type="dxa"/>
            </w:tcMar>
            <w:vAlign w:val="center"/>
          </w:tcPr>
          <w:p w14:paraId="228F4BF9"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902" w:type="pct"/>
            <w:shd w:val="clear" w:color="auto" w:fill="auto"/>
            <w:tcMar>
              <w:top w:w="0" w:type="dxa"/>
              <w:left w:w="108" w:type="dxa"/>
              <w:bottom w:w="0" w:type="dxa"/>
              <w:right w:w="108" w:type="dxa"/>
            </w:tcMar>
            <w:vAlign w:val="center"/>
          </w:tcPr>
          <w:p w14:paraId="6E624B2C"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r>
      <w:tr w:rsidR="006416B0" w:rsidRPr="00B4515A" w14:paraId="70524DF5"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09F80D8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信用风险组合</w:t>
            </w:r>
          </w:p>
        </w:tc>
        <w:tc>
          <w:tcPr>
            <w:tcW w:w="833" w:type="pct"/>
            <w:shd w:val="clear" w:color="auto" w:fill="auto"/>
            <w:tcMar>
              <w:top w:w="0" w:type="dxa"/>
              <w:left w:w="108" w:type="dxa"/>
              <w:bottom w:w="0" w:type="dxa"/>
              <w:right w:w="108" w:type="dxa"/>
            </w:tcMar>
            <w:vAlign w:val="center"/>
          </w:tcPr>
          <w:p w14:paraId="0C2AB89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34,748.19</w:t>
            </w:r>
          </w:p>
        </w:tc>
        <w:tc>
          <w:tcPr>
            <w:tcW w:w="615" w:type="pct"/>
            <w:shd w:val="clear" w:color="auto" w:fill="auto"/>
            <w:tcMar>
              <w:top w:w="0" w:type="dxa"/>
              <w:left w:w="108" w:type="dxa"/>
              <w:bottom w:w="0" w:type="dxa"/>
              <w:right w:w="108" w:type="dxa"/>
            </w:tcMar>
            <w:vAlign w:val="center"/>
          </w:tcPr>
          <w:p w14:paraId="5DF7A76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93.19</w:t>
            </w:r>
          </w:p>
        </w:tc>
        <w:tc>
          <w:tcPr>
            <w:tcW w:w="833" w:type="pct"/>
            <w:shd w:val="clear" w:color="auto" w:fill="auto"/>
            <w:tcMar>
              <w:top w:w="0" w:type="dxa"/>
              <w:left w:w="108" w:type="dxa"/>
              <w:bottom w:w="0" w:type="dxa"/>
              <w:right w:w="108" w:type="dxa"/>
            </w:tcMar>
            <w:vAlign w:val="center"/>
          </w:tcPr>
          <w:p w14:paraId="00DE2FF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3,783.88</w:t>
            </w:r>
          </w:p>
        </w:tc>
        <w:tc>
          <w:tcPr>
            <w:tcW w:w="738" w:type="pct"/>
            <w:shd w:val="clear" w:color="auto" w:fill="auto"/>
            <w:tcMar>
              <w:top w:w="0" w:type="dxa"/>
              <w:left w:w="108" w:type="dxa"/>
              <w:bottom w:w="0" w:type="dxa"/>
              <w:right w:w="108" w:type="dxa"/>
            </w:tcMar>
            <w:vAlign w:val="center"/>
          </w:tcPr>
          <w:p w14:paraId="66E3529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10.89</w:t>
            </w:r>
          </w:p>
        </w:tc>
        <w:tc>
          <w:tcPr>
            <w:tcW w:w="902" w:type="pct"/>
            <w:shd w:val="clear" w:color="auto" w:fill="auto"/>
            <w:tcMar>
              <w:top w:w="0" w:type="dxa"/>
              <w:left w:w="108" w:type="dxa"/>
              <w:bottom w:w="0" w:type="dxa"/>
              <w:right w:w="108" w:type="dxa"/>
            </w:tcMar>
            <w:vAlign w:val="center"/>
          </w:tcPr>
          <w:p w14:paraId="39E3B98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30,964.30</w:t>
            </w:r>
          </w:p>
        </w:tc>
      </w:tr>
      <w:tr w:rsidR="006416B0" w:rsidRPr="00B4515A" w14:paraId="4B57D5F1"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208593E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合计</w:t>
            </w:r>
          </w:p>
        </w:tc>
        <w:tc>
          <w:tcPr>
            <w:tcW w:w="833" w:type="pct"/>
            <w:shd w:val="clear" w:color="auto" w:fill="auto"/>
            <w:tcMar>
              <w:top w:w="0" w:type="dxa"/>
              <w:left w:w="108" w:type="dxa"/>
              <w:bottom w:w="0" w:type="dxa"/>
              <w:right w:w="108" w:type="dxa"/>
            </w:tcMar>
            <w:vAlign w:val="center"/>
          </w:tcPr>
          <w:p w14:paraId="3F8723E3"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37,288.67</w:t>
            </w:r>
          </w:p>
        </w:tc>
        <w:tc>
          <w:tcPr>
            <w:tcW w:w="615" w:type="pct"/>
            <w:shd w:val="clear" w:color="auto" w:fill="auto"/>
            <w:tcMar>
              <w:top w:w="0" w:type="dxa"/>
              <w:left w:w="108" w:type="dxa"/>
              <w:bottom w:w="0" w:type="dxa"/>
              <w:right w:w="108" w:type="dxa"/>
            </w:tcMar>
            <w:vAlign w:val="center"/>
          </w:tcPr>
          <w:p w14:paraId="3E788CB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833" w:type="pct"/>
            <w:shd w:val="clear" w:color="auto" w:fill="auto"/>
            <w:tcMar>
              <w:top w:w="0" w:type="dxa"/>
              <w:left w:w="108" w:type="dxa"/>
              <w:bottom w:w="0" w:type="dxa"/>
              <w:right w:w="108" w:type="dxa"/>
            </w:tcMar>
            <w:vAlign w:val="center"/>
          </w:tcPr>
          <w:p w14:paraId="31BA11E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6,324.36</w:t>
            </w:r>
          </w:p>
        </w:tc>
        <w:tc>
          <w:tcPr>
            <w:tcW w:w="738" w:type="pct"/>
            <w:shd w:val="clear" w:color="auto" w:fill="auto"/>
            <w:tcMar>
              <w:top w:w="0" w:type="dxa"/>
              <w:left w:w="108" w:type="dxa"/>
              <w:bottom w:w="0" w:type="dxa"/>
              <w:right w:w="108" w:type="dxa"/>
            </w:tcMar>
            <w:vAlign w:val="center"/>
          </w:tcPr>
          <w:p w14:paraId="4A4CCBB0" w14:textId="77777777" w:rsidR="006416B0" w:rsidRPr="00B4515A" w:rsidRDefault="006416B0" w:rsidP="005860B4">
            <w:pPr>
              <w:adjustRightInd w:val="0"/>
              <w:snapToGrid w:val="0"/>
              <w:jc w:val="right"/>
              <w:rPr>
                <w:rFonts w:ascii="Times New Roman" w:eastAsiaTheme="minorEastAsia" w:hAnsi="Times New Roman" w:cs="Times New Roman"/>
                <w:b/>
                <w:bCs/>
                <w:color w:val="000000"/>
                <w:sz w:val="21"/>
                <w:szCs w:val="21"/>
              </w:rPr>
            </w:pPr>
          </w:p>
        </w:tc>
        <w:tc>
          <w:tcPr>
            <w:tcW w:w="902" w:type="pct"/>
            <w:shd w:val="clear" w:color="auto" w:fill="auto"/>
            <w:tcMar>
              <w:top w:w="0" w:type="dxa"/>
              <w:left w:w="108" w:type="dxa"/>
              <w:bottom w:w="0" w:type="dxa"/>
              <w:right w:w="108" w:type="dxa"/>
            </w:tcMar>
            <w:vAlign w:val="center"/>
          </w:tcPr>
          <w:p w14:paraId="7F2F0ECD"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30,964.30</w:t>
            </w:r>
          </w:p>
        </w:tc>
      </w:tr>
      <w:tr w:rsidR="006416B0" w:rsidRPr="00B4515A" w14:paraId="1CDCD0A6" w14:textId="77777777" w:rsidTr="00031627">
        <w:trPr>
          <w:trHeight w:val="340"/>
          <w:jc w:val="center"/>
        </w:trPr>
        <w:tc>
          <w:tcPr>
            <w:tcW w:w="5000" w:type="pct"/>
            <w:gridSpan w:val="6"/>
            <w:shd w:val="clear" w:color="auto" w:fill="auto"/>
            <w:tcMar>
              <w:top w:w="0" w:type="dxa"/>
              <w:left w:w="108" w:type="dxa"/>
              <w:bottom w:w="0" w:type="dxa"/>
              <w:right w:w="108" w:type="dxa"/>
            </w:tcMar>
            <w:vAlign w:val="center"/>
          </w:tcPr>
          <w:p w14:paraId="03B767FB"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2019</w:t>
            </w:r>
            <w:r w:rsidRPr="00B4515A">
              <w:rPr>
                <w:rFonts w:ascii="Times New Roman" w:eastAsiaTheme="minorEastAsia" w:cs="Times New Roman"/>
                <w:b/>
                <w:bCs/>
                <w:color w:val="000000"/>
                <w:sz w:val="21"/>
                <w:szCs w:val="21"/>
              </w:rPr>
              <w:t>年</w:t>
            </w:r>
            <w:r w:rsidRPr="00B4515A">
              <w:rPr>
                <w:rFonts w:ascii="Times New Roman" w:eastAsiaTheme="minorEastAsia" w:cs="Times New Roman"/>
                <w:b/>
                <w:bCs/>
                <w:color w:val="000000"/>
                <w:sz w:val="21"/>
                <w:szCs w:val="21"/>
              </w:rPr>
              <w:t>12</w:t>
            </w:r>
            <w:r w:rsidRPr="00B4515A">
              <w:rPr>
                <w:rFonts w:ascii="Times New Roman" w:eastAsiaTheme="minorEastAsia" w:cs="Times New Roman"/>
                <w:b/>
                <w:bCs/>
                <w:color w:val="000000"/>
                <w:sz w:val="21"/>
                <w:szCs w:val="21"/>
              </w:rPr>
              <w:t>月</w:t>
            </w:r>
            <w:r w:rsidRPr="00B4515A">
              <w:rPr>
                <w:rFonts w:ascii="Times New Roman" w:eastAsiaTheme="minorEastAsia" w:cs="Times New Roman"/>
                <w:b/>
                <w:bCs/>
                <w:color w:val="000000"/>
                <w:sz w:val="21"/>
                <w:szCs w:val="21"/>
              </w:rPr>
              <w:t>31</w:t>
            </w:r>
            <w:r w:rsidRPr="00B4515A">
              <w:rPr>
                <w:rFonts w:ascii="Times New Roman" w:eastAsiaTheme="minorEastAsia" w:cs="Times New Roman"/>
                <w:b/>
                <w:bCs/>
                <w:color w:val="000000"/>
                <w:sz w:val="21"/>
                <w:szCs w:val="21"/>
              </w:rPr>
              <w:t>日</w:t>
            </w:r>
          </w:p>
          <w:p w14:paraId="2E1CAB1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单位：万元</w:t>
            </w:r>
          </w:p>
        </w:tc>
      </w:tr>
      <w:tr w:rsidR="006416B0" w:rsidRPr="00B4515A" w14:paraId="6F03895A" w14:textId="77777777" w:rsidTr="00031627">
        <w:trPr>
          <w:trHeight w:val="340"/>
          <w:jc w:val="center"/>
        </w:trPr>
        <w:tc>
          <w:tcPr>
            <w:tcW w:w="1079" w:type="pct"/>
            <w:vMerge w:val="restart"/>
            <w:shd w:val="clear" w:color="auto" w:fill="auto"/>
            <w:tcMar>
              <w:top w:w="0" w:type="dxa"/>
              <w:left w:w="108" w:type="dxa"/>
              <w:bottom w:w="0" w:type="dxa"/>
              <w:right w:w="108" w:type="dxa"/>
            </w:tcMar>
            <w:vAlign w:val="center"/>
          </w:tcPr>
          <w:p w14:paraId="5E3D3FBA"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类别</w:t>
            </w:r>
          </w:p>
        </w:tc>
        <w:tc>
          <w:tcPr>
            <w:tcW w:w="1448" w:type="pct"/>
            <w:gridSpan w:val="2"/>
            <w:shd w:val="clear" w:color="auto" w:fill="auto"/>
            <w:tcMar>
              <w:top w:w="0" w:type="dxa"/>
              <w:left w:w="108" w:type="dxa"/>
              <w:bottom w:w="0" w:type="dxa"/>
              <w:right w:w="108" w:type="dxa"/>
            </w:tcMar>
            <w:vAlign w:val="center"/>
          </w:tcPr>
          <w:p w14:paraId="6EC2B116"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账面余额</w:t>
            </w:r>
          </w:p>
        </w:tc>
        <w:tc>
          <w:tcPr>
            <w:tcW w:w="1571" w:type="pct"/>
            <w:gridSpan w:val="2"/>
            <w:shd w:val="clear" w:color="auto" w:fill="auto"/>
            <w:tcMar>
              <w:top w:w="0" w:type="dxa"/>
              <w:left w:w="108" w:type="dxa"/>
              <w:bottom w:w="0" w:type="dxa"/>
              <w:right w:w="108" w:type="dxa"/>
            </w:tcMar>
            <w:vAlign w:val="center"/>
          </w:tcPr>
          <w:p w14:paraId="3E10961F"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坏账准备</w:t>
            </w:r>
          </w:p>
        </w:tc>
        <w:tc>
          <w:tcPr>
            <w:tcW w:w="902" w:type="pct"/>
            <w:vMerge w:val="restart"/>
            <w:shd w:val="clear" w:color="auto" w:fill="auto"/>
            <w:tcMar>
              <w:top w:w="0" w:type="dxa"/>
              <w:left w:w="108" w:type="dxa"/>
              <w:bottom w:w="0" w:type="dxa"/>
              <w:right w:w="108" w:type="dxa"/>
            </w:tcMar>
            <w:vAlign w:val="center"/>
          </w:tcPr>
          <w:p w14:paraId="1D5C0A4A"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账面价值</w:t>
            </w:r>
          </w:p>
        </w:tc>
      </w:tr>
      <w:tr w:rsidR="006416B0" w:rsidRPr="00B4515A" w14:paraId="3564D857" w14:textId="77777777" w:rsidTr="00031627">
        <w:trPr>
          <w:trHeight w:val="340"/>
          <w:jc w:val="center"/>
        </w:trPr>
        <w:tc>
          <w:tcPr>
            <w:tcW w:w="1079" w:type="pct"/>
            <w:vMerge/>
            <w:tcMar>
              <w:top w:w="0" w:type="dxa"/>
              <w:left w:w="108" w:type="dxa"/>
              <w:bottom w:w="0" w:type="dxa"/>
              <w:right w:w="108" w:type="dxa"/>
            </w:tcMar>
            <w:vAlign w:val="center"/>
          </w:tcPr>
          <w:p w14:paraId="75B9450B" w14:textId="77777777" w:rsidR="006416B0" w:rsidRPr="00B4515A" w:rsidRDefault="006416B0" w:rsidP="005860B4">
            <w:pPr>
              <w:adjustRightInd w:val="0"/>
              <w:snapToGrid w:val="0"/>
              <w:jc w:val="center"/>
              <w:rPr>
                <w:rFonts w:ascii="Times New Roman" w:eastAsiaTheme="minorEastAsia" w:cs="Times New Roman"/>
                <w:b/>
                <w:bCs/>
                <w:color w:val="000000"/>
                <w:sz w:val="21"/>
                <w:szCs w:val="21"/>
              </w:rPr>
            </w:pPr>
          </w:p>
        </w:tc>
        <w:tc>
          <w:tcPr>
            <w:tcW w:w="833" w:type="pct"/>
            <w:shd w:val="clear" w:color="auto" w:fill="auto"/>
            <w:tcMar>
              <w:top w:w="0" w:type="dxa"/>
              <w:left w:w="108" w:type="dxa"/>
              <w:bottom w:w="0" w:type="dxa"/>
              <w:right w:w="108" w:type="dxa"/>
            </w:tcMar>
            <w:vAlign w:val="center"/>
          </w:tcPr>
          <w:p w14:paraId="5F9AA0DE"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金额</w:t>
            </w:r>
          </w:p>
        </w:tc>
        <w:tc>
          <w:tcPr>
            <w:tcW w:w="615" w:type="pct"/>
            <w:shd w:val="clear" w:color="auto" w:fill="auto"/>
            <w:tcMar>
              <w:top w:w="0" w:type="dxa"/>
              <w:left w:w="108" w:type="dxa"/>
              <w:bottom w:w="0" w:type="dxa"/>
              <w:right w:w="108" w:type="dxa"/>
            </w:tcMar>
            <w:vAlign w:val="center"/>
          </w:tcPr>
          <w:p w14:paraId="4A1A57D0"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比例（</w:t>
            </w:r>
            <w:r w:rsidRPr="00B4515A">
              <w:rPr>
                <w:rFonts w:ascii="Times New Roman" w:eastAsiaTheme="minorEastAsia" w:cs="Times New Roman"/>
                <w:b/>
                <w:bCs/>
                <w:color w:val="000000"/>
                <w:sz w:val="21"/>
                <w:szCs w:val="21"/>
              </w:rPr>
              <w:t>%</w:t>
            </w:r>
            <w:r w:rsidRPr="00B4515A">
              <w:rPr>
                <w:rFonts w:ascii="Times New Roman" w:eastAsiaTheme="minorEastAsia" w:cs="Times New Roman"/>
                <w:b/>
                <w:bCs/>
                <w:color w:val="000000"/>
                <w:sz w:val="21"/>
                <w:szCs w:val="21"/>
              </w:rPr>
              <w:t>）</w:t>
            </w:r>
          </w:p>
        </w:tc>
        <w:tc>
          <w:tcPr>
            <w:tcW w:w="833" w:type="pct"/>
            <w:shd w:val="clear" w:color="auto" w:fill="auto"/>
            <w:tcMar>
              <w:top w:w="0" w:type="dxa"/>
              <w:left w:w="108" w:type="dxa"/>
              <w:bottom w:w="0" w:type="dxa"/>
              <w:right w:w="108" w:type="dxa"/>
            </w:tcMar>
            <w:vAlign w:val="center"/>
          </w:tcPr>
          <w:p w14:paraId="6FA7A75E"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金额</w:t>
            </w:r>
          </w:p>
        </w:tc>
        <w:tc>
          <w:tcPr>
            <w:tcW w:w="738" w:type="pct"/>
            <w:shd w:val="clear" w:color="auto" w:fill="auto"/>
            <w:tcMar>
              <w:top w:w="0" w:type="dxa"/>
              <w:left w:w="108" w:type="dxa"/>
              <w:bottom w:w="0" w:type="dxa"/>
              <w:right w:w="108" w:type="dxa"/>
            </w:tcMar>
            <w:vAlign w:val="center"/>
          </w:tcPr>
          <w:p w14:paraId="0DCCB511"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计提比例（</w:t>
            </w:r>
            <w:r w:rsidRPr="00B4515A">
              <w:rPr>
                <w:rFonts w:ascii="Times New Roman" w:eastAsiaTheme="minorEastAsia" w:cs="Times New Roman"/>
                <w:b/>
                <w:bCs/>
                <w:color w:val="000000"/>
                <w:sz w:val="21"/>
                <w:szCs w:val="21"/>
              </w:rPr>
              <w:t>%</w:t>
            </w:r>
            <w:r w:rsidRPr="00B4515A">
              <w:rPr>
                <w:rFonts w:ascii="Times New Roman" w:eastAsiaTheme="minorEastAsia" w:cs="Times New Roman"/>
                <w:b/>
                <w:bCs/>
                <w:color w:val="000000"/>
                <w:sz w:val="21"/>
                <w:szCs w:val="21"/>
              </w:rPr>
              <w:t>）</w:t>
            </w:r>
          </w:p>
        </w:tc>
        <w:tc>
          <w:tcPr>
            <w:tcW w:w="902" w:type="pct"/>
            <w:vMerge/>
            <w:tcMar>
              <w:top w:w="0" w:type="dxa"/>
              <w:left w:w="108" w:type="dxa"/>
              <w:bottom w:w="0" w:type="dxa"/>
              <w:right w:w="108" w:type="dxa"/>
            </w:tcMar>
            <w:vAlign w:val="center"/>
          </w:tcPr>
          <w:p w14:paraId="014B00A8" w14:textId="77777777" w:rsidR="006416B0" w:rsidRPr="00B4515A" w:rsidRDefault="006416B0" w:rsidP="005860B4">
            <w:pPr>
              <w:adjustRightInd w:val="0"/>
              <w:snapToGrid w:val="0"/>
              <w:jc w:val="center"/>
              <w:rPr>
                <w:rFonts w:ascii="Times New Roman" w:eastAsiaTheme="minorEastAsia" w:cs="Times New Roman"/>
                <w:color w:val="000000"/>
                <w:sz w:val="21"/>
                <w:szCs w:val="21"/>
              </w:rPr>
            </w:pPr>
          </w:p>
        </w:tc>
      </w:tr>
      <w:tr w:rsidR="006416B0" w:rsidRPr="00B4515A" w14:paraId="4590E982"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78CC5AFE"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按单项计提坏账准备</w:t>
            </w:r>
          </w:p>
        </w:tc>
        <w:tc>
          <w:tcPr>
            <w:tcW w:w="833" w:type="pct"/>
            <w:shd w:val="clear" w:color="auto" w:fill="auto"/>
            <w:tcMar>
              <w:top w:w="0" w:type="dxa"/>
              <w:left w:w="108" w:type="dxa"/>
              <w:bottom w:w="0" w:type="dxa"/>
              <w:right w:w="108" w:type="dxa"/>
            </w:tcMar>
            <w:vAlign w:val="center"/>
          </w:tcPr>
          <w:p w14:paraId="52CBC25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2,484.60</w:t>
            </w:r>
          </w:p>
        </w:tc>
        <w:tc>
          <w:tcPr>
            <w:tcW w:w="615" w:type="pct"/>
            <w:shd w:val="clear" w:color="auto" w:fill="auto"/>
            <w:tcMar>
              <w:top w:w="0" w:type="dxa"/>
              <w:left w:w="108" w:type="dxa"/>
              <w:bottom w:w="0" w:type="dxa"/>
              <w:right w:w="108" w:type="dxa"/>
            </w:tcMar>
            <w:vAlign w:val="center"/>
          </w:tcPr>
          <w:p w14:paraId="6DEAD45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7.22</w:t>
            </w:r>
          </w:p>
        </w:tc>
        <w:tc>
          <w:tcPr>
            <w:tcW w:w="833" w:type="pct"/>
            <w:shd w:val="clear" w:color="auto" w:fill="auto"/>
            <w:tcMar>
              <w:top w:w="0" w:type="dxa"/>
              <w:left w:w="108" w:type="dxa"/>
              <w:bottom w:w="0" w:type="dxa"/>
              <w:right w:w="108" w:type="dxa"/>
            </w:tcMar>
            <w:vAlign w:val="center"/>
          </w:tcPr>
          <w:p w14:paraId="64E05CC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2,484.60</w:t>
            </w:r>
          </w:p>
        </w:tc>
        <w:tc>
          <w:tcPr>
            <w:tcW w:w="738" w:type="pct"/>
            <w:shd w:val="clear" w:color="auto" w:fill="auto"/>
            <w:tcMar>
              <w:top w:w="0" w:type="dxa"/>
              <w:left w:w="108" w:type="dxa"/>
              <w:bottom w:w="0" w:type="dxa"/>
              <w:right w:w="108" w:type="dxa"/>
            </w:tcMar>
            <w:vAlign w:val="center"/>
          </w:tcPr>
          <w:p w14:paraId="0E53217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100.00</w:t>
            </w:r>
          </w:p>
        </w:tc>
        <w:tc>
          <w:tcPr>
            <w:tcW w:w="902" w:type="pct"/>
            <w:shd w:val="clear" w:color="auto" w:fill="auto"/>
            <w:tcMar>
              <w:top w:w="0" w:type="dxa"/>
              <w:left w:w="108" w:type="dxa"/>
              <w:bottom w:w="0" w:type="dxa"/>
              <w:right w:w="108" w:type="dxa"/>
            </w:tcMar>
            <w:vAlign w:val="center"/>
          </w:tcPr>
          <w:p w14:paraId="2637CBC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31FEE03A"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635AE8C1"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其中：</w:t>
            </w:r>
          </w:p>
        </w:tc>
        <w:tc>
          <w:tcPr>
            <w:tcW w:w="833" w:type="pct"/>
            <w:shd w:val="clear" w:color="auto" w:fill="auto"/>
            <w:tcMar>
              <w:top w:w="0" w:type="dxa"/>
              <w:left w:w="108" w:type="dxa"/>
              <w:bottom w:w="0" w:type="dxa"/>
              <w:right w:w="108" w:type="dxa"/>
            </w:tcMar>
            <w:vAlign w:val="center"/>
          </w:tcPr>
          <w:p w14:paraId="31A02DB9"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615" w:type="pct"/>
            <w:shd w:val="clear" w:color="auto" w:fill="auto"/>
            <w:tcMar>
              <w:top w:w="0" w:type="dxa"/>
              <w:left w:w="108" w:type="dxa"/>
              <w:bottom w:w="0" w:type="dxa"/>
              <w:right w:w="108" w:type="dxa"/>
            </w:tcMar>
            <w:vAlign w:val="center"/>
          </w:tcPr>
          <w:p w14:paraId="6906E47A"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833" w:type="pct"/>
            <w:shd w:val="clear" w:color="auto" w:fill="auto"/>
            <w:tcMar>
              <w:top w:w="0" w:type="dxa"/>
              <w:left w:w="108" w:type="dxa"/>
              <w:bottom w:w="0" w:type="dxa"/>
              <w:right w:w="108" w:type="dxa"/>
            </w:tcMar>
            <w:vAlign w:val="center"/>
          </w:tcPr>
          <w:p w14:paraId="48780718"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738" w:type="pct"/>
            <w:shd w:val="clear" w:color="auto" w:fill="auto"/>
            <w:tcMar>
              <w:top w:w="0" w:type="dxa"/>
              <w:left w:w="108" w:type="dxa"/>
              <w:bottom w:w="0" w:type="dxa"/>
              <w:right w:w="108" w:type="dxa"/>
            </w:tcMar>
            <w:vAlign w:val="center"/>
          </w:tcPr>
          <w:p w14:paraId="3FB4F757"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902" w:type="pct"/>
            <w:shd w:val="clear" w:color="auto" w:fill="auto"/>
            <w:tcMar>
              <w:top w:w="0" w:type="dxa"/>
              <w:left w:w="108" w:type="dxa"/>
              <w:bottom w:w="0" w:type="dxa"/>
              <w:right w:w="108" w:type="dxa"/>
            </w:tcMar>
            <w:vAlign w:val="center"/>
          </w:tcPr>
          <w:p w14:paraId="1C81935C"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r>
      <w:tr w:rsidR="006416B0" w:rsidRPr="00B4515A" w14:paraId="63B993D2"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5B547F7A" w14:textId="77777777" w:rsidR="003357B7"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单项金额重大并单独计提坏账</w:t>
            </w:r>
          </w:p>
          <w:p w14:paraId="19ECE691" w14:textId="53AB5D96"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准备</w:t>
            </w:r>
          </w:p>
        </w:tc>
        <w:tc>
          <w:tcPr>
            <w:tcW w:w="833" w:type="pct"/>
            <w:shd w:val="clear" w:color="auto" w:fill="auto"/>
            <w:tcMar>
              <w:top w:w="0" w:type="dxa"/>
              <w:left w:w="108" w:type="dxa"/>
              <w:bottom w:w="0" w:type="dxa"/>
              <w:right w:w="108" w:type="dxa"/>
            </w:tcMar>
            <w:vAlign w:val="center"/>
          </w:tcPr>
          <w:p w14:paraId="305605D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2,135.50</w:t>
            </w:r>
          </w:p>
        </w:tc>
        <w:tc>
          <w:tcPr>
            <w:tcW w:w="615" w:type="pct"/>
            <w:shd w:val="clear" w:color="auto" w:fill="auto"/>
            <w:tcMar>
              <w:top w:w="0" w:type="dxa"/>
              <w:left w:w="108" w:type="dxa"/>
              <w:bottom w:w="0" w:type="dxa"/>
              <w:right w:w="108" w:type="dxa"/>
            </w:tcMar>
            <w:vAlign w:val="center"/>
          </w:tcPr>
          <w:p w14:paraId="6F2A052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6.21</w:t>
            </w:r>
          </w:p>
        </w:tc>
        <w:tc>
          <w:tcPr>
            <w:tcW w:w="833" w:type="pct"/>
            <w:shd w:val="clear" w:color="auto" w:fill="auto"/>
            <w:tcMar>
              <w:top w:w="0" w:type="dxa"/>
              <w:left w:w="108" w:type="dxa"/>
              <w:bottom w:w="0" w:type="dxa"/>
              <w:right w:w="108" w:type="dxa"/>
            </w:tcMar>
            <w:vAlign w:val="center"/>
          </w:tcPr>
          <w:p w14:paraId="3A14AE6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2,135.50</w:t>
            </w:r>
          </w:p>
        </w:tc>
        <w:tc>
          <w:tcPr>
            <w:tcW w:w="738" w:type="pct"/>
            <w:shd w:val="clear" w:color="auto" w:fill="auto"/>
            <w:tcMar>
              <w:top w:w="0" w:type="dxa"/>
              <w:left w:w="108" w:type="dxa"/>
              <w:bottom w:w="0" w:type="dxa"/>
              <w:right w:w="108" w:type="dxa"/>
            </w:tcMar>
            <w:vAlign w:val="center"/>
          </w:tcPr>
          <w:p w14:paraId="46730AA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100.00</w:t>
            </w:r>
          </w:p>
        </w:tc>
        <w:tc>
          <w:tcPr>
            <w:tcW w:w="902" w:type="pct"/>
            <w:shd w:val="clear" w:color="auto" w:fill="auto"/>
            <w:tcMar>
              <w:top w:w="0" w:type="dxa"/>
              <w:left w:w="108" w:type="dxa"/>
              <w:bottom w:w="0" w:type="dxa"/>
              <w:right w:w="108" w:type="dxa"/>
            </w:tcMar>
            <w:vAlign w:val="center"/>
          </w:tcPr>
          <w:p w14:paraId="466D21E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4F71D42A"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6168CC62"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单项金额不重大但单独计提坏账准备</w:t>
            </w:r>
          </w:p>
        </w:tc>
        <w:tc>
          <w:tcPr>
            <w:tcW w:w="833" w:type="pct"/>
            <w:shd w:val="clear" w:color="auto" w:fill="auto"/>
            <w:tcMar>
              <w:top w:w="0" w:type="dxa"/>
              <w:left w:w="108" w:type="dxa"/>
              <w:bottom w:w="0" w:type="dxa"/>
              <w:right w:w="108" w:type="dxa"/>
            </w:tcMar>
            <w:vAlign w:val="center"/>
          </w:tcPr>
          <w:p w14:paraId="0C75B76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349.10</w:t>
            </w:r>
          </w:p>
        </w:tc>
        <w:tc>
          <w:tcPr>
            <w:tcW w:w="615" w:type="pct"/>
            <w:shd w:val="clear" w:color="auto" w:fill="auto"/>
            <w:tcMar>
              <w:top w:w="0" w:type="dxa"/>
              <w:left w:w="108" w:type="dxa"/>
              <w:bottom w:w="0" w:type="dxa"/>
              <w:right w:w="108" w:type="dxa"/>
            </w:tcMar>
            <w:vAlign w:val="center"/>
          </w:tcPr>
          <w:p w14:paraId="1B0A92B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1.01</w:t>
            </w:r>
          </w:p>
        </w:tc>
        <w:tc>
          <w:tcPr>
            <w:tcW w:w="833" w:type="pct"/>
            <w:shd w:val="clear" w:color="auto" w:fill="auto"/>
            <w:tcMar>
              <w:top w:w="0" w:type="dxa"/>
              <w:left w:w="108" w:type="dxa"/>
              <w:bottom w:w="0" w:type="dxa"/>
              <w:right w:w="108" w:type="dxa"/>
            </w:tcMar>
            <w:vAlign w:val="center"/>
          </w:tcPr>
          <w:p w14:paraId="7FAA255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349.10</w:t>
            </w:r>
          </w:p>
        </w:tc>
        <w:tc>
          <w:tcPr>
            <w:tcW w:w="738" w:type="pct"/>
            <w:shd w:val="clear" w:color="auto" w:fill="auto"/>
            <w:tcMar>
              <w:top w:w="0" w:type="dxa"/>
              <w:left w:w="108" w:type="dxa"/>
              <w:bottom w:w="0" w:type="dxa"/>
              <w:right w:w="108" w:type="dxa"/>
            </w:tcMar>
            <w:vAlign w:val="center"/>
          </w:tcPr>
          <w:p w14:paraId="3D67EF7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100.00</w:t>
            </w:r>
          </w:p>
        </w:tc>
        <w:tc>
          <w:tcPr>
            <w:tcW w:w="902" w:type="pct"/>
            <w:shd w:val="clear" w:color="auto" w:fill="auto"/>
            <w:tcMar>
              <w:top w:w="0" w:type="dxa"/>
              <w:left w:w="108" w:type="dxa"/>
              <w:bottom w:w="0" w:type="dxa"/>
              <w:right w:w="108" w:type="dxa"/>
            </w:tcMar>
            <w:vAlign w:val="center"/>
          </w:tcPr>
          <w:p w14:paraId="575ABF8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2B87D3F7"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5CE52559"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按组合计提坏账准备</w:t>
            </w:r>
          </w:p>
        </w:tc>
        <w:tc>
          <w:tcPr>
            <w:tcW w:w="833" w:type="pct"/>
            <w:shd w:val="clear" w:color="auto" w:fill="auto"/>
            <w:tcMar>
              <w:top w:w="0" w:type="dxa"/>
              <w:left w:w="108" w:type="dxa"/>
              <w:bottom w:w="0" w:type="dxa"/>
              <w:right w:w="108" w:type="dxa"/>
            </w:tcMar>
            <w:vAlign w:val="center"/>
          </w:tcPr>
          <w:p w14:paraId="5DD6BC3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31,918.47</w:t>
            </w:r>
          </w:p>
        </w:tc>
        <w:tc>
          <w:tcPr>
            <w:tcW w:w="615" w:type="pct"/>
            <w:shd w:val="clear" w:color="auto" w:fill="auto"/>
            <w:tcMar>
              <w:top w:w="0" w:type="dxa"/>
              <w:left w:w="108" w:type="dxa"/>
              <w:bottom w:w="0" w:type="dxa"/>
              <w:right w:w="108" w:type="dxa"/>
            </w:tcMar>
            <w:vAlign w:val="center"/>
          </w:tcPr>
          <w:p w14:paraId="11FF97F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92.78</w:t>
            </w:r>
          </w:p>
        </w:tc>
        <w:tc>
          <w:tcPr>
            <w:tcW w:w="833" w:type="pct"/>
            <w:shd w:val="clear" w:color="auto" w:fill="auto"/>
            <w:tcMar>
              <w:top w:w="0" w:type="dxa"/>
              <w:left w:w="108" w:type="dxa"/>
              <w:bottom w:w="0" w:type="dxa"/>
              <w:right w:w="108" w:type="dxa"/>
            </w:tcMar>
            <w:vAlign w:val="center"/>
          </w:tcPr>
          <w:p w14:paraId="1575E6F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2,946.61</w:t>
            </w:r>
          </w:p>
        </w:tc>
        <w:tc>
          <w:tcPr>
            <w:tcW w:w="738" w:type="pct"/>
            <w:shd w:val="clear" w:color="auto" w:fill="auto"/>
            <w:tcMar>
              <w:top w:w="0" w:type="dxa"/>
              <w:left w:w="108" w:type="dxa"/>
              <w:bottom w:w="0" w:type="dxa"/>
              <w:right w:w="108" w:type="dxa"/>
            </w:tcMar>
            <w:vAlign w:val="center"/>
          </w:tcPr>
          <w:p w14:paraId="6729DAA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9.23</w:t>
            </w:r>
          </w:p>
        </w:tc>
        <w:tc>
          <w:tcPr>
            <w:tcW w:w="902" w:type="pct"/>
            <w:shd w:val="clear" w:color="auto" w:fill="auto"/>
            <w:tcMar>
              <w:top w:w="0" w:type="dxa"/>
              <w:left w:w="108" w:type="dxa"/>
              <w:bottom w:w="0" w:type="dxa"/>
              <w:right w:w="108" w:type="dxa"/>
            </w:tcMar>
            <w:vAlign w:val="center"/>
          </w:tcPr>
          <w:p w14:paraId="4BB64BD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28,971.86</w:t>
            </w:r>
          </w:p>
        </w:tc>
      </w:tr>
      <w:tr w:rsidR="006416B0" w:rsidRPr="00B4515A" w14:paraId="25F6CB86"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14DB7D4E"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其中：</w:t>
            </w:r>
          </w:p>
        </w:tc>
        <w:tc>
          <w:tcPr>
            <w:tcW w:w="833" w:type="pct"/>
            <w:shd w:val="clear" w:color="auto" w:fill="auto"/>
            <w:tcMar>
              <w:top w:w="0" w:type="dxa"/>
              <w:left w:w="108" w:type="dxa"/>
              <w:bottom w:w="0" w:type="dxa"/>
              <w:right w:w="108" w:type="dxa"/>
            </w:tcMar>
            <w:vAlign w:val="center"/>
          </w:tcPr>
          <w:p w14:paraId="4362D34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0.00</w:t>
            </w:r>
          </w:p>
        </w:tc>
        <w:tc>
          <w:tcPr>
            <w:tcW w:w="615" w:type="pct"/>
            <w:shd w:val="clear" w:color="auto" w:fill="auto"/>
            <w:tcMar>
              <w:top w:w="0" w:type="dxa"/>
              <w:left w:w="108" w:type="dxa"/>
              <w:bottom w:w="0" w:type="dxa"/>
              <w:right w:w="108" w:type="dxa"/>
            </w:tcMar>
            <w:vAlign w:val="center"/>
          </w:tcPr>
          <w:p w14:paraId="414F4E1D"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833" w:type="pct"/>
            <w:shd w:val="clear" w:color="auto" w:fill="auto"/>
            <w:tcMar>
              <w:top w:w="0" w:type="dxa"/>
              <w:left w:w="108" w:type="dxa"/>
              <w:bottom w:w="0" w:type="dxa"/>
              <w:right w:w="108" w:type="dxa"/>
            </w:tcMar>
            <w:vAlign w:val="center"/>
          </w:tcPr>
          <w:p w14:paraId="1A747EC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0.00</w:t>
            </w:r>
          </w:p>
        </w:tc>
        <w:tc>
          <w:tcPr>
            <w:tcW w:w="738" w:type="pct"/>
            <w:shd w:val="clear" w:color="auto" w:fill="auto"/>
            <w:tcMar>
              <w:top w:w="0" w:type="dxa"/>
              <w:left w:w="108" w:type="dxa"/>
              <w:bottom w:w="0" w:type="dxa"/>
              <w:right w:w="108" w:type="dxa"/>
            </w:tcMar>
            <w:vAlign w:val="center"/>
          </w:tcPr>
          <w:p w14:paraId="0230AD1B" w14:textId="77777777" w:rsidR="006416B0" w:rsidRPr="00B4515A" w:rsidRDefault="006416B0" w:rsidP="005860B4">
            <w:pPr>
              <w:adjustRightInd w:val="0"/>
              <w:snapToGrid w:val="0"/>
              <w:jc w:val="right"/>
              <w:rPr>
                <w:rFonts w:ascii="Times New Roman" w:eastAsiaTheme="minorEastAsia" w:cs="Times New Roman"/>
                <w:color w:val="000000"/>
                <w:sz w:val="21"/>
                <w:szCs w:val="21"/>
              </w:rPr>
            </w:pPr>
          </w:p>
        </w:tc>
        <w:tc>
          <w:tcPr>
            <w:tcW w:w="902" w:type="pct"/>
            <w:shd w:val="clear" w:color="auto" w:fill="auto"/>
            <w:tcMar>
              <w:top w:w="0" w:type="dxa"/>
              <w:left w:w="108" w:type="dxa"/>
              <w:bottom w:w="0" w:type="dxa"/>
              <w:right w:w="108" w:type="dxa"/>
            </w:tcMar>
            <w:vAlign w:val="center"/>
          </w:tcPr>
          <w:p w14:paraId="206D8E3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0.00</w:t>
            </w:r>
          </w:p>
        </w:tc>
      </w:tr>
      <w:tr w:rsidR="006416B0" w:rsidRPr="00B4515A" w14:paraId="5B61929B"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07EAACD9"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信用风险组合</w:t>
            </w:r>
          </w:p>
        </w:tc>
        <w:tc>
          <w:tcPr>
            <w:tcW w:w="833" w:type="pct"/>
            <w:shd w:val="clear" w:color="auto" w:fill="auto"/>
            <w:tcMar>
              <w:top w:w="0" w:type="dxa"/>
              <w:left w:w="108" w:type="dxa"/>
              <w:bottom w:w="0" w:type="dxa"/>
              <w:right w:w="108" w:type="dxa"/>
            </w:tcMar>
            <w:vAlign w:val="center"/>
          </w:tcPr>
          <w:p w14:paraId="50F5BA2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31,918.47</w:t>
            </w:r>
          </w:p>
        </w:tc>
        <w:tc>
          <w:tcPr>
            <w:tcW w:w="615" w:type="pct"/>
            <w:shd w:val="clear" w:color="auto" w:fill="auto"/>
            <w:tcMar>
              <w:top w:w="0" w:type="dxa"/>
              <w:left w:w="108" w:type="dxa"/>
              <w:bottom w:w="0" w:type="dxa"/>
              <w:right w:w="108" w:type="dxa"/>
            </w:tcMar>
            <w:vAlign w:val="center"/>
          </w:tcPr>
          <w:p w14:paraId="7DF3424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92.78</w:t>
            </w:r>
          </w:p>
        </w:tc>
        <w:tc>
          <w:tcPr>
            <w:tcW w:w="833" w:type="pct"/>
            <w:shd w:val="clear" w:color="auto" w:fill="auto"/>
            <w:tcMar>
              <w:top w:w="0" w:type="dxa"/>
              <w:left w:w="108" w:type="dxa"/>
              <w:bottom w:w="0" w:type="dxa"/>
              <w:right w:w="108" w:type="dxa"/>
            </w:tcMar>
            <w:vAlign w:val="center"/>
          </w:tcPr>
          <w:p w14:paraId="7842B55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2,946.61</w:t>
            </w:r>
          </w:p>
        </w:tc>
        <w:tc>
          <w:tcPr>
            <w:tcW w:w="738" w:type="pct"/>
            <w:shd w:val="clear" w:color="auto" w:fill="auto"/>
            <w:tcMar>
              <w:top w:w="0" w:type="dxa"/>
              <w:left w:w="108" w:type="dxa"/>
              <w:bottom w:w="0" w:type="dxa"/>
              <w:right w:w="108" w:type="dxa"/>
            </w:tcMar>
            <w:vAlign w:val="center"/>
          </w:tcPr>
          <w:p w14:paraId="3234E90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9.23</w:t>
            </w:r>
          </w:p>
        </w:tc>
        <w:tc>
          <w:tcPr>
            <w:tcW w:w="902" w:type="pct"/>
            <w:shd w:val="clear" w:color="auto" w:fill="auto"/>
            <w:tcMar>
              <w:top w:w="0" w:type="dxa"/>
              <w:left w:w="108" w:type="dxa"/>
              <w:bottom w:w="0" w:type="dxa"/>
              <w:right w:w="108" w:type="dxa"/>
            </w:tcMar>
            <w:vAlign w:val="center"/>
          </w:tcPr>
          <w:p w14:paraId="32DCCAE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28,971.86</w:t>
            </w:r>
          </w:p>
        </w:tc>
      </w:tr>
      <w:tr w:rsidR="006416B0" w:rsidRPr="00B4515A" w14:paraId="0724519F" w14:textId="77777777" w:rsidTr="00031627">
        <w:trPr>
          <w:trHeight w:val="340"/>
          <w:jc w:val="center"/>
        </w:trPr>
        <w:tc>
          <w:tcPr>
            <w:tcW w:w="1079" w:type="pct"/>
            <w:shd w:val="clear" w:color="auto" w:fill="auto"/>
            <w:tcMar>
              <w:top w:w="0" w:type="dxa"/>
              <w:left w:w="108" w:type="dxa"/>
              <w:bottom w:w="0" w:type="dxa"/>
              <w:right w:w="108" w:type="dxa"/>
            </w:tcMar>
            <w:vAlign w:val="center"/>
          </w:tcPr>
          <w:p w14:paraId="49421A1A"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合计</w:t>
            </w:r>
          </w:p>
        </w:tc>
        <w:tc>
          <w:tcPr>
            <w:tcW w:w="833" w:type="pct"/>
            <w:shd w:val="clear" w:color="auto" w:fill="auto"/>
            <w:tcMar>
              <w:top w:w="0" w:type="dxa"/>
              <w:left w:w="108" w:type="dxa"/>
              <w:bottom w:w="0" w:type="dxa"/>
              <w:right w:w="108" w:type="dxa"/>
            </w:tcMar>
            <w:vAlign w:val="center"/>
          </w:tcPr>
          <w:p w14:paraId="07F03077"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34,403.07</w:t>
            </w:r>
          </w:p>
        </w:tc>
        <w:tc>
          <w:tcPr>
            <w:tcW w:w="615" w:type="pct"/>
            <w:shd w:val="clear" w:color="auto" w:fill="auto"/>
            <w:tcMar>
              <w:top w:w="0" w:type="dxa"/>
              <w:left w:w="108" w:type="dxa"/>
              <w:bottom w:w="0" w:type="dxa"/>
              <w:right w:w="108" w:type="dxa"/>
            </w:tcMar>
            <w:vAlign w:val="center"/>
          </w:tcPr>
          <w:p w14:paraId="247FF09E"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100.00</w:t>
            </w:r>
          </w:p>
        </w:tc>
        <w:tc>
          <w:tcPr>
            <w:tcW w:w="833" w:type="pct"/>
            <w:shd w:val="clear" w:color="auto" w:fill="auto"/>
            <w:tcMar>
              <w:top w:w="0" w:type="dxa"/>
              <w:left w:w="108" w:type="dxa"/>
              <w:bottom w:w="0" w:type="dxa"/>
              <w:right w:w="108" w:type="dxa"/>
            </w:tcMar>
            <w:vAlign w:val="center"/>
          </w:tcPr>
          <w:p w14:paraId="5B3E9764"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5,431.21</w:t>
            </w:r>
          </w:p>
        </w:tc>
        <w:tc>
          <w:tcPr>
            <w:tcW w:w="738" w:type="pct"/>
            <w:shd w:val="clear" w:color="auto" w:fill="auto"/>
            <w:tcMar>
              <w:top w:w="0" w:type="dxa"/>
              <w:left w:w="108" w:type="dxa"/>
              <w:bottom w:w="0" w:type="dxa"/>
              <w:right w:w="108" w:type="dxa"/>
            </w:tcMar>
            <w:vAlign w:val="center"/>
          </w:tcPr>
          <w:p w14:paraId="0B42C7CD" w14:textId="77777777" w:rsidR="006416B0" w:rsidRPr="00B4515A" w:rsidRDefault="006416B0" w:rsidP="005860B4">
            <w:pPr>
              <w:adjustRightInd w:val="0"/>
              <w:snapToGrid w:val="0"/>
              <w:jc w:val="right"/>
              <w:rPr>
                <w:rFonts w:ascii="Times New Roman" w:eastAsiaTheme="minorEastAsia" w:cs="Times New Roman"/>
                <w:b/>
                <w:bCs/>
                <w:color w:val="000000"/>
                <w:sz w:val="21"/>
                <w:szCs w:val="21"/>
              </w:rPr>
            </w:pPr>
          </w:p>
        </w:tc>
        <w:tc>
          <w:tcPr>
            <w:tcW w:w="902" w:type="pct"/>
            <w:shd w:val="clear" w:color="auto" w:fill="auto"/>
            <w:tcMar>
              <w:top w:w="0" w:type="dxa"/>
              <w:left w:w="108" w:type="dxa"/>
              <w:bottom w:w="0" w:type="dxa"/>
              <w:right w:w="108" w:type="dxa"/>
            </w:tcMar>
            <w:vAlign w:val="center"/>
          </w:tcPr>
          <w:p w14:paraId="1BF7A93D"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28,971.86</w:t>
            </w:r>
          </w:p>
        </w:tc>
      </w:tr>
    </w:tbl>
    <w:p w14:paraId="175BE6AE" w14:textId="77777777" w:rsidR="006416B0" w:rsidRPr="00B4515A" w:rsidRDefault="005E58C1" w:rsidP="003357B7">
      <w:pPr>
        <w:pStyle w:val="005"/>
        <w:spacing w:before="120" w:after="120"/>
        <w:ind w:firstLine="480"/>
      </w:pPr>
      <w:r w:rsidRPr="00B4515A">
        <w:rPr>
          <w:rFonts w:hint="eastAsia"/>
        </w:rPr>
        <w:t>报告期各期末，大唐联诚应收账款前五名情况如下：</w:t>
      </w:r>
    </w:p>
    <w:p w14:paraId="3BAD513E"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47"/>
        <w:gridCol w:w="2108"/>
        <w:gridCol w:w="2523"/>
        <w:gridCol w:w="1950"/>
      </w:tblGrid>
      <w:tr w:rsidR="006416B0" w:rsidRPr="00B4515A" w14:paraId="6012F9B6" w14:textId="77777777" w:rsidTr="00EE238F">
        <w:trPr>
          <w:trHeight w:val="340"/>
          <w:jc w:val="center"/>
        </w:trPr>
        <w:tc>
          <w:tcPr>
            <w:tcW w:w="1142" w:type="pct"/>
            <w:vMerge w:val="restart"/>
            <w:shd w:val="clear" w:color="auto" w:fill="auto"/>
            <w:tcMar>
              <w:top w:w="0" w:type="dxa"/>
              <w:left w:w="108" w:type="dxa"/>
              <w:bottom w:w="0" w:type="dxa"/>
              <w:right w:w="108" w:type="dxa"/>
            </w:tcMar>
            <w:vAlign w:val="center"/>
          </w:tcPr>
          <w:p w14:paraId="03127B90"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单位名称</w:t>
            </w:r>
          </w:p>
        </w:tc>
        <w:tc>
          <w:tcPr>
            <w:tcW w:w="3858" w:type="pct"/>
            <w:gridSpan w:val="3"/>
            <w:shd w:val="clear" w:color="auto" w:fill="auto"/>
            <w:tcMar>
              <w:top w:w="0" w:type="dxa"/>
              <w:left w:w="108" w:type="dxa"/>
              <w:bottom w:w="0" w:type="dxa"/>
              <w:right w:w="108" w:type="dxa"/>
            </w:tcMar>
            <w:vAlign w:val="center"/>
          </w:tcPr>
          <w:p w14:paraId="771AF416"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hint="eastAsia"/>
                <w:b/>
                <w:bCs/>
                <w:color w:val="000000"/>
                <w:sz w:val="21"/>
                <w:szCs w:val="21"/>
              </w:rPr>
              <w:t>2021</w:t>
            </w:r>
            <w:r w:rsidRPr="00B4515A">
              <w:rPr>
                <w:rFonts w:ascii="Times New Roman" w:eastAsiaTheme="minorEastAsia" w:cs="Times New Roman" w:hint="eastAsia"/>
                <w:b/>
                <w:bCs/>
                <w:color w:val="000000"/>
                <w:sz w:val="21"/>
                <w:szCs w:val="21"/>
              </w:rPr>
              <w:t>年</w:t>
            </w:r>
            <w:r w:rsidRPr="00B4515A">
              <w:rPr>
                <w:rFonts w:ascii="Times New Roman" w:eastAsiaTheme="minorEastAsia" w:cs="Times New Roman" w:hint="eastAsia"/>
                <w:b/>
                <w:bCs/>
                <w:color w:val="000000"/>
                <w:sz w:val="21"/>
                <w:szCs w:val="21"/>
              </w:rPr>
              <w:t>4</w:t>
            </w:r>
            <w:r w:rsidRPr="00B4515A">
              <w:rPr>
                <w:rFonts w:ascii="Times New Roman" w:eastAsiaTheme="minorEastAsia" w:cs="Times New Roman" w:hint="eastAsia"/>
                <w:b/>
                <w:bCs/>
                <w:color w:val="000000"/>
                <w:sz w:val="21"/>
                <w:szCs w:val="21"/>
              </w:rPr>
              <w:t>月</w:t>
            </w:r>
            <w:r w:rsidRPr="00B4515A">
              <w:rPr>
                <w:rFonts w:ascii="Times New Roman" w:eastAsiaTheme="minorEastAsia" w:cs="Times New Roman" w:hint="eastAsia"/>
                <w:b/>
                <w:bCs/>
                <w:color w:val="000000"/>
                <w:sz w:val="21"/>
                <w:szCs w:val="21"/>
              </w:rPr>
              <w:t>30</w:t>
            </w:r>
            <w:r w:rsidRPr="00B4515A">
              <w:rPr>
                <w:rFonts w:ascii="Times New Roman" w:eastAsiaTheme="minorEastAsia" w:cs="Times New Roman" w:hint="eastAsia"/>
                <w:b/>
                <w:bCs/>
                <w:color w:val="000000"/>
                <w:sz w:val="21"/>
                <w:szCs w:val="21"/>
              </w:rPr>
              <w:t>日</w:t>
            </w:r>
          </w:p>
        </w:tc>
      </w:tr>
      <w:tr w:rsidR="006416B0" w:rsidRPr="00B4515A" w14:paraId="0F835A11" w14:textId="77777777" w:rsidTr="00EE238F">
        <w:trPr>
          <w:trHeight w:val="340"/>
          <w:jc w:val="center"/>
        </w:trPr>
        <w:tc>
          <w:tcPr>
            <w:tcW w:w="1142" w:type="pct"/>
            <w:vMerge/>
            <w:tcMar>
              <w:top w:w="0" w:type="dxa"/>
              <w:left w:w="108" w:type="dxa"/>
              <w:bottom w:w="0" w:type="dxa"/>
              <w:right w:w="108" w:type="dxa"/>
            </w:tcMar>
            <w:vAlign w:val="center"/>
          </w:tcPr>
          <w:p w14:paraId="5302A67D" w14:textId="77777777" w:rsidR="006416B0" w:rsidRPr="00B4515A" w:rsidRDefault="006416B0" w:rsidP="005860B4">
            <w:pPr>
              <w:adjustRightInd w:val="0"/>
              <w:snapToGrid w:val="0"/>
              <w:jc w:val="center"/>
              <w:rPr>
                <w:rFonts w:ascii="Times New Roman" w:eastAsiaTheme="minorEastAsia" w:cs="Times New Roman"/>
                <w:b/>
                <w:bCs/>
                <w:color w:val="000000"/>
                <w:sz w:val="21"/>
                <w:szCs w:val="21"/>
              </w:rPr>
            </w:pPr>
          </w:p>
        </w:tc>
        <w:tc>
          <w:tcPr>
            <w:tcW w:w="1236" w:type="pct"/>
            <w:shd w:val="clear" w:color="auto" w:fill="auto"/>
            <w:tcMar>
              <w:top w:w="0" w:type="dxa"/>
              <w:left w:w="108" w:type="dxa"/>
              <w:bottom w:w="0" w:type="dxa"/>
              <w:right w:w="108" w:type="dxa"/>
            </w:tcMar>
            <w:vAlign w:val="center"/>
          </w:tcPr>
          <w:p w14:paraId="27B9EE6A"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应收账款</w:t>
            </w:r>
          </w:p>
        </w:tc>
        <w:tc>
          <w:tcPr>
            <w:tcW w:w="1479" w:type="pct"/>
            <w:shd w:val="clear" w:color="auto" w:fill="auto"/>
            <w:tcMar>
              <w:top w:w="0" w:type="dxa"/>
              <w:left w:w="108" w:type="dxa"/>
              <w:bottom w:w="0" w:type="dxa"/>
              <w:right w:w="108" w:type="dxa"/>
            </w:tcMar>
            <w:vAlign w:val="center"/>
          </w:tcPr>
          <w:p w14:paraId="22FC2CA8"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占应收账款合计数的比例</w:t>
            </w:r>
            <w:r w:rsidRPr="00B4515A">
              <w:rPr>
                <w:rFonts w:ascii="Times New Roman" w:eastAsiaTheme="minorEastAsia" w:cs="Times New Roman"/>
                <w:b/>
                <w:bCs/>
                <w:color w:val="000000"/>
                <w:sz w:val="21"/>
                <w:szCs w:val="21"/>
              </w:rPr>
              <w:t>(%)</w:t>
            </w:r>
          </w:p>
        </w:tc>
        <w:tc>
          <w:tcPr>
            <w:tcW w:w="1142" w:type="pct"/>
            <w:shd w:val="clear" w:color="auto" w:fill="auto"/>
            <w:tcMar>
              <w:top w:w="0" w:type="dxa"/>
              <w:left w:w="108" w:type="dxa"/>
              <w:bottom w:w="0" w:type="dxa"/>
              <w:right w:w="108" w:type="dxa"/>
            </w:tcMar>
            <w:vAlign w:val="center"/>
          </w:tcPr>
          <w:p w14:paraId="3F49DBD5"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坏账准备</w:t>
            </w:r>
          </w:p>
        </w:tc>
      </w:tr>
      <w:tr w:rsidR="006416B0" w:rsidRPr="00B4515A" w14:paraId="31027DF0"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3D22EFEE"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CA100128</w:t>
            </w:r>
          </w:p>
        </w:tc>
        <w:tc>
          <w:tcPr>
            <w:tcW w:w="1236" w:type="pct"/>
            <w:shd w:val="clear" w:color="auto" w:fill="auto"/>
            <w:tcMar>
              <w:top w:w="0" w:type="dxa"/>
              <w:left w:w="108" w:type="dxa"/>
              <w:bottom w:w="0" w:type="dxa"/>
              <w:right w:w="108" w:type="dxa"/>
            </w:tcMar>
            <w:vAlign w:val="center"/>
          </w:tcPr>
          <w:p w14:paraId="005B485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4,578.27</w:t>
            </w:r>
          </w:p>
        </w:tc>
        <w:tc>
          <w:tcPr>
            <w:tcW w:w="1479" w:type="pct"/>
            <w:shd w:val="clear" w:color="auto" w:fill="auto"/>
            <w:tcMar>
              <w:top w:w="0" w:type="dxa"/>
              <w:left w:w="108" w:type="dxa"/>
              <w:bottom w:w="0" w:type="dxa"/>
              <w:right w:w="108" w:type="dxa"/>
            </w:tcMar>
            <w:vAlign w:val="center"/>
          </w:tcPr>
          <w:p w14:paraId="48F2108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11.44</w:t>
            </w:r>
          </w:p>
        </w:tc>
        <w:tc>
          <w:tcPr>
            <w:tcW w:w="1142" w:type="pct"/>
            <w:shd w:val="clear" w:color="auto" w:fill="auto"/>
            <w:tcMar>
              <w:top w:w="0" w:type="dxa"/>
              <w:left w:w="108" w:type="dxa"/>
              <w:bottom w:w="0" w:type="dxa"/>
              <w:right w:w="108" w:type="dxa"/>
            </w:tcMar>
            <w:vAlign w:val="center"/>
          </w:tcPr>
          <w:p w14:paraId="0970373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56.82</w:t>
            </w:r>
          </w:p>
        </w:tc>
      </w:tr>
      <w:tr w:rsidR="006416B0" w:rsidRPr="00B4515A" w14:paraId="2A094A53"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47A634EE"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CA100159</w:t>
            </w:r>
          </w:p>
        </w:tc>
        <w:tc>
          <w:tcPr>
            <w:tcW w:w="1236" w:type="pct"/>
            <w:shd w:val="clear" w:color="auto" w:fill="auto"/>
            <w:tcMar>
              <w:top w:w="0" w:type="dxa"/>
              <w:left w:w="108" w:type="dxa"/>
              <w:bottom w:w="0" w:type="dxa"/>
              <w:right w:w="108" w:type="dxa"/>
            </w:tcMar>
            <w:vAlign w:val="center"/>
          </w:tcPr>
          <w:p w14:paraId="4E49790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3,372.29</w:t>
            </w:r>
          </w:p>
        </w:tc>
        <w:tc>
          <w:tcPr>
            <w:tcW w:w="1479" w:type="pct"/>
            <w:shd w:val="clear" w:color="auto" w:fill="auto"/>
            <w:tcMar>
              <w:top w:w="0" w:type="dxa"/>
              <w:left w:w="108" w:type="dxa"/>
              <w:bottom w:w="0" w:type="dxa"/>
              <w:right w:w="108" w:type="dxa"/>
            </w:tcMar>
            <w:vAlign w:val="center"/>
          </w:tcPr>
          <w:p w14:paraId="73B426C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8.43</w:t>
            </w:r>
          </w:p>
        </w:tc>
        <w:tc>
          <w:tcPr>
            <w:tcW w:w="1142" w:type="pct"/>
            <w:shd w:val="clear" w:color="auto" w:fill="auto"/>
            <w:tcMar>
              <w:top w:w="0" w:type="dxa"/>
              <w:left w:w="108" w:type="dxa"/>
              <w:bottom w:w="0" w:type="dxa"/>
              <w:right w:w="108" w:type="dxa"/>
            </w:tcMar>
            <w:vAlign w:val="center"/>
          </w:tcPr>
          <w:p w14:paraId="614187F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148.47</w:t>
            </w:r>
          </w:p>
        </w:tc>
      </w:tr>
      <w:tr w:rsidR="006416B0" w:rsidRPr="00B4515A" w14:paraId="68E781C4"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41750BD9"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CA100097</w:t>
            </w:r>
          </w:p>
        </w:tc>
        <w:tc>
          <w:tcPr>
            <w:tcW w:w="1236" w:type="pct"/>
            <w:shd w:val="clear" w:color="auto" w:fill="auto"/>
            <w:tcMar>
              <w:top w:w="0" w:type="dxa"/>
              <w:left w:w="108" w:type="dxa"/>
              <w:bottom w:w="0" w:type="dxa"/>
              <w:right w:w="108" w:type="dxa"/>
            </w:tcMar>
            <w:vAlign w:val="center"/>
          </w:tcPr>
          <w:p w14:paraId="4254586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3,084.84</w:t>
            </w:r>
          </w:p>
        </w:tc>
        <w:tc>
          <w:tcPr>
            <w:tcW w:w="1479" w:type="pct"/>
            <w:shd w:val="clear" w:color="auto" w:fill="auto"/>
            <w:tcMar>
              <w:top w:w="0" w:type="dxa"/>
              <w:left w:w="108" w:type="dxa"/>
              <w:bottom w:w="0" w:type="dxa"/>
              <w:right w:w="108" w:type="dxa"/>
            </w:tcMar>
            <w:vAlign w:val="center"/>
          </w:tcPr>
          <w:p w14:paraId="38D12A3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7.71</w:t>
            </w:r>
          </w:p>
        </w:tc>
        <w:tc>
          <w:tcPr>
            <w:tcW w:w="1142" w:type="pct"/>
            <w:shd w:val="clear" w:color="auto" w:fill="auto"/>
            <w:tcMar>
              <w:top w:w="0" w:type="dxa"/>
              <w:left w:w="108" w:type="dxa"/>
              <w:bottom w:w="0" w:type="dxa"/>
              <w:right w:w="108" w:type="dxa"/>
            </w:tcMar>
            <w:vAlign w:val="center"/>
          </w:tcPr>
          <w:p w14:paraId="4B4D209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81.07</w:t>
            </w:r>
          </w:p>
        </w:tc>
      </w:tr>
      <w:tr w:rsidR="006416B0" w:rsidRPr="00B4515A" w14:paraId="0F87F7C0"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146A184B" w14:textId="6DC6251F" w:rsidR="006416B0" w:rsidRPr="00B4515A" w:rsidRDefault="0004492C"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北京航天长峰科技工业集团有限公司</w:t>
            </w:r>
          </w:p>
        </w:tc>
        <w:tc>
          <w:tcPr>
            <w:tcW w:w="1236" w:type="pct"/>
            <w:shd w:val="clear" w:color="auto" w:fill="auto"/>
            <w:tcMar>
              <w:top w:w="0" w:type="dxa"/>
              <w:left w:w="108" w:type="dxa"/>
              <w:bottom w:w="0" w:type="dxa"/>
              <w:right w:w="108" w:type="dxa"/>
            </w:tcMar>
            <w:vAlign w:val="center"/>
          </w:tcPr>
          <w:p w14:paraId="4532B1C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2,875.25</w:t>
            </w:r>
          </w:p>
        </w:tc>
        <w:tc>
          <w:tcPr>
            <w:tcW w:w="1479" w:type="pct"/>
            <w:shd w:val="clear" w:color="auto" w:fill="auto"/>
            <w:tcMar>
              <w:top w:w="0" w:type="dxa"/>
              <w:left w:w="108" w:type="dxa"/>
              <w:bottom w:w="0" w:type="dxa"/>
              <w:right w:w="108" w:type="dxa"/>
            </w:tcMar>
            <w:vAlign w:val="center"/>
          </w:tcPr>
          <w:p w14:paraId="44DB633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7.18</w:t>
            </w:r>
          </w:p>
        </w:tc>
        <w:tc>
          <w:tcPr>
            <w:tcW w:w="1142" w:type="pct"/>
            <w:shd w:val="clear" w:color="auto" w:fill="auto"/>
            <w:tcMar>
              <w:top w:w="0" w:type="dxa"/>
              <w:left w:w="108" w:type="dxa"/>
              <w:bottom w:w="0" w:type="dxa"/>
              <w:right w:w="108" w:type="dxa"/>
            </w:tcMar>
            <w:vAlign w:val="center"/>
          </w:tcPr>
          <w:p w14:paraId="2F7AA7E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1,255.67</w:t>
            </w:r>
          </w:p>
        </w:tc>
      </w:tr>
      <w:tr w:rsidR="006416B0" w:rsidRPr="00B4515A" w14:paraId="32C30E96"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6E384861"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CA100373</w:t>
            </w:r>
          </w:p>
        </w:tc>
        <w:tc>
          <w:tcPr>
            <w:tcW w:w="1236" w:type="pct"/>
            <w:shd w:val="clear" w:color="auto" w:fill="auto"/>
            <w:tcMar>
              <w:top w:w="0" w:type="dxa"/>
              <w:left w:w="108" w:type="dxa"/>
              <w:bottom w:w="0" w:type="dxa"/>
              <w:right w:w="108" w:type="dxa"/>
            </w:tcMar>
            <w:vAlign w:val="center"/>
          </w:tcPr>
          <w:p w14:paraId="003DA3F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2,373.20</w:t>
            </w:r>
          </w:p>
        </w:tc>
        <w:tc>
          <w:tcPr>
            <w:tcW w:w="1479" w:type="pct"/>
            <w:shd w:val="clear" w:color="auto" w:fill="auto"/>
            <w:tcMar>
              <w:top w:w="0" w:type="dxa"/>
              <w:left w:w="108" w:type="dxa"/>
              <w:bottom w:w="0" w:type="dxa"/>
              <w:right w:w="108" w:type="dxa"/>
            </w:tcMar>
            <w:vAlign w:val="center"/>
          </w:tcPr>
          <w:p w14:paraId="57C7A51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5.93</w:t>
            </w:r>
          </w:p>
        </w:tc>
        <w:tc>
          <w:tcPr>
            <w:tcW w:w="1142" w:type="pct"/>
            <w:shd w:val="clear" w:color="auto" w:fill="auto"/>
            <w:tcMar>
              <w:top w:w="0" w:type="dxa"/>
              <w:left w:w="108" w:type="dxa"/>
              <w:bottom w:w="0" w:type="dxa"/>
              <w:right w:w="108" w:type="dxa"/>
            </w:tcMar>
            <w:vAlign w:val="center"/>
          </w:tcPr>
          <w:p w14:paraId="2114B72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23.73</w:t>
            </w:r>
          </w:p>
        </w:tc>
      </w:tr>
      <w:tr w:rsidR="006416B0" w:rsidRPr="00B4515A" w14:paraId="7A53DC40"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00136BE9"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合计</w:t>
            </w:r>
          </w:p>
        </w:tc>
        <w:tc>
          <w:tcPr>
            <w:tcW w:w="1236" w:type="pct"/>
            <w:shd w:val="clear" w:color="auto" w:fill="auto"/>
            <w:tcMar>
              <w:top w:w="0" w:type="dxa"/>
              <w:left w:w="108" w:type="dxa"/>
              <w:bottom w:w="0" w:type="dxa"/>
              <w:right w:w="108" w:type="dxa"/>
            </w:tcMar>
            <w:vAlign w:val="center"/>
          </w:tcPr>
          <w:p w14:paraId="041F6DD7"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16,283.84</w:t>
            </w:r>
          </w:p>
        </w:tc>
        <w:tc>
          <w:tcPr>
            <w:tcW w:w="1479" w:type="pct"/>
            <w:shd w:val="clear" w:color="auto" w:fill="auto"/>
            <w:tcMar>
              <w:top w:w="0" w:type="dxa"/>
              <w:left w:w="108" w:type="dxa"/>
              <w:bottom w:w="0" w:type="dxa"/>
              <w:right w:w="108" w:type="dxa"/>
            </w:tcMar>
            <w:vAlign w:val="center"/>
          </w:tcPr>
          <w:p w14:paraId="44C57A51"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40.69</w:t>
            </w:r>
          </w:p>
        </w:tc>
        <w:tc>
          <w:tcPr>
            <w:tcW w:w="1142" w:type="pct"/>
            <w:shd w:val="clear" w:color="auto" w:fill="auto"/>
            <w:tcMar>
              <w:top w:w="0" w:type="dxa"/>
              <w:left w:w="108" w:type="dxa"/>
              <w:bottom w:w="0" w:type="dxa"/>
              <w:right w:w="108" w:type="dxa"/>
            </w:tcMar>
            <w:vAlign w:val="center"/>
          </w:tcPr>
          <w:p w14:paraId="66F2592C"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1,565.77</w:t>
            </w:r>
          </w:p>
        </w:tc>
      </w:tr>
      <w:tr w:rsidR="006416B0" w:rsidRPr="00B4515A" w14:paraId="204F8FCA" w14:textId="77777777" w:rsidTr="00031627">
        <w:trPr>
          <w:trHeight w:val="340"/>
          <w:jc w:val="center"/>
        </w:trPr>
        <w:tc>
          <w:tcPr>
            <w:tcW w:w="1142" w:type="pct"/>
            <w:vMerge w:val="restart"/>
            <w:shd w:val="clear" w:color="auto" w:fill="auto"/>
            <w:tcMar>
              <w:top w:w="0" w:type="dxa"/>
              <w:left w:w="108" w:type="dxa"/>
              <w:bottom w:w="0" w:type="dxa"/>
              <w:right w:w="108" w:type="dxa"/>
            </w:tcMar>
            <w:vAlign w:val="center"/>
          </w:tcPr>
          <w:p w14:paraId="7E357955" w14:textId="77777777" w:rsidR="006416B0" w:rsidRPr="00B4515A" w:rsidRDefault="005E58C1" w:rsidP="003357B7">
            <w:pPr>
              <w:keepNext/>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lastRenderedPageBreak/>
              <w:t>单位名称</w:t>
            </w:r>
          </w:p>
        </w:tc>
        <w:tc>
          <w:tcPr>
            <w:tcW w:w="3858" w:type="pct"/>
            <w:gridSpan w:val="3"/>
            <w:shd w:val="clear" w:color="auto" w:fill="auto"/>
            <w:tcMar>
              <w:top w:w="0" w:type="dxa"/>
              <w:left w:w="108" w:type="dxa"/>
              <w:bottom w:w="0" w:type="dxa"/>
              <w:right w:w="108" w:type="dxa"/>
            </w:tcMar>
            <w:vAlign w:val="center"/>
          </w:tcPr>
          <w:p w14:paraId="647CBC45" w14:textId="77777777" w:rsidR="006416B0" w:rsidRPr="00B4515A" w:rsidRDefault="005E58C1" w:rsidP="003357B7">
            <w:pPr>
              <w:keepNext/>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hint="eastAsia"/>
                <w:b/>
                <w:bCs/>
                <w:color w:val="000000"/>
                <w:sz w:val="21"/>
                <w:szCs w:val="21"/>
              </w:rPr>
              <w:t>2020</w:t>
            </w:r>
            <w:r w:rsidRPr="00B4515A">
              <w:rPr>
                <w:rFonts w:ascii="Times New Roman" w:eastAsiaTheme="minorEastAsia" w:cs="Times New Roman" w:hint="eastAsia"/>
                <w:b/>
                <w:bCs/>
                <w:color w:val="000000"/>
                <w:sz w:val="21"/>
                <w:szCs w:val="21"/>
              </w:rPr>
              <w:t>年</w:t>
            </w:r>
            <w:r w:rsidRPr="00B4515A">
              <w:rPr>
                <w:rFonts w:ascii="Times New Roman" w:eastAsiaTheme="minorEastAsia" w:cs="Times New Roman" w:hint="eastAsia"/>
                <w:b/>
                <w:bCs/>
                <w:color w:val="000000"/>
                <w:sz w:val="21"/>
                <w:szCs w:val="21"/>
              </w:rPr>
              <w:t>12</w:t>
            </w:r>
            <w:r w:rsidRPr="00B4515A">
              <w:rPr>
                <w:rFonts w:ascii="Times New Roman" w:eastAsiaTheme="minorEastAsia" w:cs="Times New Roman" w:hint="eastAsia"/>
                <w:b/>
                <w:bCs/>
                <w:color w:val="000000"/>
                <w:sz w:val="21"/>
                <w:szCs w:val="21"/>
              </w:rPr>
              <w:t>月</w:t>
            </w:r>
            <w:r w:rsidRPr="00B4515A">
              <w:rPr>
                <w:rFonts w:ascii="Times New Roman" w:eastAsiaTheme="minorEastAsia" w:cs="Times New Roman" w:hint="eastAsia"/>
                <w:b/>
                <w:bCs/>
                <w:color w:val="000000"/>
                <w:sz w:val="21"/>
                <w:szCs w:val="21"/>
              </w:rPr>
              <w:t>31</w:t>
            </w:r>
            <w:r w:rsidRPr="00B4515A">
              <w:rPr>
                <w:rFonts w:ascii="Times New Roman" w:eastAsiaTheme="minorEastAsia" w:cs="Times New Roman" w:hint="eastAsia"/>
                <w:b/>
                <w:bCs/>
                <w:color w:val="000000"/>
                <w:sz w:val="21"/>
                <w:szCs w:val="21"/>
              </w:rPr>
              <w:t>日</w:t>
            </w:r>
          </w:p>
        </w:tc>
      </w:tr>
      <w:tr w:rsidR="006416B0" w:rsidRPr="00B4515A" w14:paraId="3906D436" w14:textId="77777777" w:rsidTr="00031627">
        <w:trPr>
          <w:trHeight w:val="340"/>
          <w:jc w:val="center"/>
        </w:trPr>
        <w:tc>
          <w:tcPr>
            <w:tcW w:w="1142" w:type="pct"/>
            <w:vMerge/>
            <w:tcMar>
              <w:top w:w="0" w:type="dxa"/>
              <w:left w:w="108" w:type="dxa"/>
              <w:bottom w:w="0" w:type="dxa"/>
              <w:right w:w="108" w:type="dxa"/>
            </w:tcMar>
            <w:vAlign w:val="center"/>
          </w:tcPr>
          <w:p w14:paraId="274C015D" w14:textId="77777777" w:rsidR="006416B0" w:rsidRPr="00B4515A" w:rsidRDefault="006416B0" w:rsidP="005860B4">
            <w:pPr>
              <w:adjustRightInd w:val="0"/>
              <w:snapToGrid w:val="0"/>
              <w:jc w:val="center"/>
              <w:rPr>
                <w:rFonts w:ascii="Times New Roman" w:eastAsiaTheme="minorEastAsia" w:cs="Times New Roman"/>
                <w:b/>
                <w:bCs/>
                <w:color w:val="000000"/>
                <w:sz w:val="21"/>
                <w:szCs w:val="21"/>
              </w:rPr>
            </w:pPr>
          </w:p>
        </w:tc>
        <w:tc>
          <w:tcPr>
            <w:tcW w:w="1236" w:type="pct"/>
            <w:shd w:val="clear" w:color="auto" w:fill="auto"/>
            <w:tcMar>
              <w:top w:w="0" w:type="dxa"/>
              <w:left w:w="108" w:type="dxa"/>
              <w:bottom w:w="0" w:type="dxa"/>
              <w:right w:w="108" w:type="dxa"/>
            </w:tcMar>
            <w:vAlign w:val="center"/>
          </w:tcPr>
          <w:p w14:paraId="29DD237B"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应收账款</w:t>
            </w:r>
          </w:p>
        </w:tc>
        <w:tc>
          <w:tcPr>
            <w:tcW w:w="1479" w:type="pct"/>
            <w:shd w:val="clear" w:color="auto" w:fill="auto"/>
            <w:tcMar>
              <w:top w:w="0" w:type="dxa"/>
              <w:left w:w="108" w:type="dxa"/>
              <w:bottom w:w="0" w:type="dxa"/>
              <w:right w:w="108" w:type="dxa"/>
            </w:tcMar>
            <w:vAlign w:val="center"/>
          </w:tcPr>
          <w:p w14:paraId="23A6DF3B"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占应收账款合计数的比例</w:t>
            </w:r>
            <w:r w:rsidRPr="00B4515A">
              <w:rPr>
                <w:rFonts w:ascii="Times New Roman" w:eastAsiaTheme="minorEastAsia" w:cs="Times New Roman"/>
                <w:b/>
                <w:bCs/>
                <w:color w:val="000000"/>
                <w:sz w:val="21"/>
                <w:szCs w:val="21"/>
              </w:rPr>
              <w:t>(%)</w:t>
            </w:r>
          </w:p>
        </w:tc>
        <w:tc>
          <w:tcPr>
            <w:tcW w:w="1142" w:type="pct"/>
            <w:shd w:val="clear" w:color="auto" w:fill="auto"/>
            <w:tcMar>
              <w:top w:w="0" w:type="dxa"/>
              <w:left w:w="108" w:type="dxa"/>
              <w:bottom w:w="0" w:type="dxa"/>
              <w:right w:w="108" w:type="dxa"/>
            </w:tcMar>
            <w:vAlign w:val="center"/>
          </w:tcPr>
          <w:p w14:paraId="53CEA117"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坏账准备</w:t>
            </w:r>
          </w:p>
        </w:tc>
      </w:tr>
      <w:tr w:rsidR="006416B0" w:rsidRPr="00B4515A" w14:paraId="29195B8B"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5607E1D3" w14:textId="658B0B86" w:rsidR="006416B0" w:rsidRPr="00B4515A" w:rsidRDefault="0004492C"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北京航天长峰科技工业集团有限公司</w:t>
            </w:r>
          </w:p>
        </w:tc>
        <w:tc>
          <w:tcPr>
            <w:tcW w:w="1236" w:type="pct"/>
            <w:shd w:val="clear" w:color="auto" w:fill="auto"/>
            <w:tcMar>
              <w:top w:w="0" w:type="dxa"/>
              <w:left w:w="108" w:type="dxa"/>
              <w:bottom w:w="0" w:type="dxa"/>
              <w:right w:w="108" w:type="dxa"/>
            </w:tcMar>
            <w:vAlign w:val="center"/>
          </w:tcPr>
          <w:p w14:paraId="076F3D1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2,875.25</w:t>
            </w:r>
          </w:p>
        </w:tc>
        <w:tc>
          <w:tcPr>
            <w:tcW w:w="1479" w:type="pct"/>
            <w:shd w:val="clear" w:color="auto" w:fill="auto"/>
            <w:tcMar>
              <w:top w:w="0" w:type="dxa"/>
              <w:left w:w="108" w:type="dxa"/>
              <w:bottom w:w="0" w:type="dxa"/>
              <w:right w:w="108" w:type="dxa"/>
            </w:tcMar>
            <w:vAlign w:val="center"/>
          </w:tcPr>
          <w:p w14:paraId="5186476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7.71</w:t>
            </w:r>
          </w:p>
        </w:tc>
        <w:tc>
          <w:tcPr>
            <w:tcW w:w="1142" w:type="pct"/>
            <w:shd w:val="clear" w:color="auto" w:fill="auto"/>
            <w:tcMar>
              <w:top w:w="0" w:type="dxa"/>
              <w:left w:w="108" w:type="dxa"/>
              <w:bottom w:w="0" w:type="dxa"/>
              <w:right w:w="108" w:type="dxa"/>
            </w:tcMar>
            <w:vAlign w:val="center"/>
          </w:tcPr>
          <w:p w14:paraId="276D59C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962.26</w:t>
            </w:r>
          </w:p>
        </w:tc>
      </w:tr>
      <w:tr w:rsidR="006416B0" w:rsidRPr="00B4515A" w14:paraId="6792623F"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4CD9A4D5" w14:textId="2245F7DC" w:rsidR="006416B0" w:rsidRPr="00B4515A" w:rsidRDefault="00BA4E33"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某航天科工集团下属企业</w:t>
            </w:r>
          </w:p>
        </w:tc>
        <w:tc>
          <w:tcPr>
            <w:tcW w:w="1236" w:type="pct"/>
            <w:shd w:val="clear" w:color="auto" w:fill="auto"/>
            <w:tcMar>
              <w:top w:w="0" w:type="dxa"/>
              <w:left w:w="108" w:type="dxa"/>
              <w:bottom w:w="0" w:type="dxa"/>
              <w:right w:w="108" w:type="dxa"/>
            </w:tcMar>
            <w:vAlign w:val="center"/>
          </w:tcPr>
          <w:p w14:paraId="5495683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2,792.08</w:t>
            </w:r>
          </w:p>
        </w:tc>
        <w:tc>
          <w:tcPr>
            <w:tcW w:w="1479" w:type="pct"/>
            <w:shd w:val="clear" w:color="auto" w:fill="auto"/>
            <w:tcMar>
              <w:top w:w="0" w:type="dxa"/>
              <w:left w:w="108" w:type="dxa"/>
              <w:bottom w:w="0" w:type="dxa"/>
              <w:right w:w="108" w:type="dxa"/>
            </w:tcMar>
            <w:vAlign w:val="center"/>
          </w:tcPr>
          <w:p w14:paraId="02CB712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7.49</w:t>
            </w:r>
          </w:p>
        </w:tc>
        <w:tc>
          <w:tcPr>
            <w:tcW w:w="1142" w:type="pct"/>
            <w:shd w:val="clear" w:color="auto" w:fill="auto"/>
            <w:tcMar>
              <w:top w:w="0" w:type="dxa"/>
              <w:left w:w="108" w:type="dxa"/>
              <w:bottom w:w="0" w:type="dxa"/>
              <w:right w:w="108" w:type="dxa"/>
            </w:tcMar>
            <w:vAlign w:val="center"/>
          </w:tcPr>
          <w:p w14:paraId="51C0ABF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124.67</w:t>
            </w:r>
          </w:p>
        </w:tc>
      </w:tr>
      <w:tr w:rsidR="006416B0" w:rsidRPr="00B4515A" w14:paraId="59735861"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75D00637"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CA100259</w:t>
            </w:r>
          </w:p>
        </w:tc>
        <w:tc>
          <w:tcPr>
            <w:tcW w:w="1236" w:type="pct"/>
            <w:shd w:val="clear" w:color="auto" w:fill="auto"/>
            <w:tcMar>
              <w:top w:w="0" w:type="dxa"/>
              <w:left w:w="108" w:type="dxa"/>
              <w:bottom w:w="0" w:type="dxa"/>
              <w:right w:w="108" w:type="dxa"/>
            </w:tcMar>
            <w:vAlign w:val="center"/>
          </w:tcPr>
          <w:p w14:paraId="488B6B6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2,483.25</w:t>
            </w:r>
          </w:p>
        </w:tc>
        <w:tc>
          <w:tcPr>
            <w:tcW w:w="1479" w:type="pct"/>
            <w:shd w:val="clear" w:color="auto" w:fill="auto"/>
            <w:tcMar>
              <w:top w:w="0" w:type="dxa"/>
              <w:left w:w="108" w:type="dxa"/>
              <w:bottom w:w="0" w:type="dxa"/>
              <w:right w:w="108" w:type="dxa"/>
            </w:tcMar>
            <w:vAlign w:val="center"/>
          </w:tcPr>
          <w:p w14:paraId="27A55A1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6.66</w:t>
            </w:r>
          </w:p>
        </w:tc>
        <w:tc>
          <w:tcPr>
            <w:tcW w:w="1142" w:type="pct"/>
            <w:shd w:val="clear" w:color="auto" w:fill="auto"/>
            <w:tcMar>
              <w:top w:w="0" w:type="dxa"/>
              <w:left w:w="108" w:type="dxa"/>
              <w:bottom w:w="0" w:type="dxa"/>
              <w:right w:w="108" w:type="dxa"/>
            </w:tcMar>
            <w:vAlign w:val="center"/>
          </w:tcPr>
          <w:p w14:paraId="0D7EEDB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24.83</w:t>
            </w:r>
          </w:p>
        </w:tc>
      </w:tr>
      <w:tr w:rsidR="006416B0" w:rsidRPr="00B4515A" w14:paraId="55C728ED"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39127095"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CA100096</w:t>
            </w:r>
          </w:p>
        </w:tc>
        <w:tc>
          <w:tcPr>
            <w:tcW w:w="1236" w:type="pct"/>
            <w:shd w:val="clear" w:color="auto" w:fill="auto"/>
            <w:tcMar>
              <w:top w:w="0" w:type="dxa"/>
              <w:left w:w="108" w:type="dxa"/>
              <w:bottom w:w="0" w:type="dxa"/>
              <w:right w:w="108" w:type="dxa"/>
            </w:tcMar>
            <w:vAlign w:val="center"/>
          </w:tcPr>
          <w:p w14:paraId="1375DAD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2,315.45</w:t>
            </w:r>
          </w:p>
        </w:tc>
        <w:tc>
          <w:tcPr>
            <w:tcW w:w="1479" w:type="pct"/>
            <w:shd w:val="clear" w:color="auto" w:fill="auto"/>
            <w:tcMar>
              <w:top w:w="0" w:type="dxa"/>
              <w:left w:w="108" w:type="dxa"/>
              <w:bottom w:w="0" w:type="dxa"/>
              <w:right w:w="108" w:type="dxa"/>
            </w:tcMar>
            <w:vAlign w:val="center"/>
          </w:tcPr>
          <w:p w14:paraId="2B588A3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6.21</w:t>
            </w:r>
          </w:p>
        </w:tc>
        <w:tc>
          <w:tcPr>
            <w:tcW w:w="1142" w:type="pct"/>
            <w:shd w:val="clear" w:color="auto" w:fill="auto"/>
            <w:tcMar>
              <w:top w:w="0" w:type="dxa"/>
              <w:left w:w="108" w:type="dxa"/>
              <w:bottom w:w="0" w:type="dxa"/>
              <w:right w:w="108" w:type="dxa"/>
            </w:tcMar>
            <w:vAlign w:val="center"/>
          </w:tcPr>
          <w:p w14:paraId="7EBA8D2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23.15</w:t>
            </w:r>
          </w:p>
        </w:tc>
      </w:tr>
      <w:tr w:rsidR="006416B0" w:rsidRPr="00B4515A" w14:paraId="5FB0989F"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5479F8D1" w14:textId="71428723" w:rsidR="006416B0" w:rsidRPr="00B4515A" w:rsidRDefault="0004492C"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大唐终端设备有限公司</w:t>
            </w:r>
          </w:p>
        </w:tc>
        <w:tc>
          <w:tcPr>
            <w:tcW w:w="1236" w:type="pct"/>
            <w:shd w:val="clear" w:color="auto" w:fill="auto"/>
            <w:tcMar>
              <w:top w:w="0" w:type="dxa"/>
              <w:left w:w="108" w:type="dxa"/>
              <w:bottom w:w="0" w:type="dxa"/>
              <w:right w:w="108" w:type="dxa"/>
            </w:tcMar>
            <w:vAlign w:val="center"/>
          </w:tcPr>
          <w:p w14:paraId="664B594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2,243.85</w:t>
            </w:r>
          </w:p>
        </w:tc>
        <w:tc>
          <w:tcPr>
            <w:tcW w:w="1479" w:type="pct"/>
            <w:shd w:val="clear" w:color="auto" w:fill="auto"/>
            <w:tcMar>
              <w:top w:w="0" w:type="dxa"/>
              <w:left w:w="108" w:type="dxa"/>
              <w:bottom w:w="0" w:type="dxa"/>
              <w:right w:w="108" w:type="dxa"/>
            </w:tcMar>
            <w:vAlign w:val="center"/>
          </w:tcPr>
          <w:p w14:paraId="73AC82C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6.02</w:t>
            </w:r>
          </w:p>
        </w:tc>
        <w:tc>
          <w:tcPr>
            <w:tcW w:w="1142" w:type="pct"/>
            <w:shd w:val="clear" w:color="auto" w:fill="auto"/>
            <w:tcMar>
              <w:top w:w="0" w:type="dxa"/>
              <w:left w:w="108" w:type="dxa"/>
              <w:bottom w:w="0" w:type="dxa"/>
              <w:right w:w="108" w:type="dxa"/>
            </w:tcMar>
            <w:vAlign w:val="center"/>
          </w:tcPr>
          <w:p w14:paraId="3C212C6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41.83</w:t>
            </w:r>
          </w:p>
        </w:tc>
      </w:tr>
      <w:tr w:rsidR="006416B0" w:rsidRPr="00B4515A" w14:paraId="5FD762AA"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14DBF09E"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hint="eastAsia"/>
                <w:b/>
                <w:bCs/>
                <w:color w:val="000000"/>
                <w:sz w:val="21"/>
                <w:szCs w:val="21"/>
              </w:rPr>
              <w:t>合计</w:t>
            </w:r>
          </w:p>
        </w:tc>
        <w:tc>
          <w:tcPr>
            <w:tcW w:w="1236" w:type="pct"/>
            <w:shd w:val="clear" w:color="auto" w:fill="auto"/>
            <w:tcMar>
              <w:top w:w="0" w:type="dxa"/>
              <w:left w:w="108" w:type="dxa"/>
              <w:bottom w:w="0" w:type="dxa"/>
              <w:right w:w="108" w:type="dxa"/>
            </w:tcMar>
            <w:vAlign w:val="center"/>
          </w:tcPr>
          <w:p w14:paraId="54AAA39B"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12,709.88</w:t>
            </w:r>
          </w:p>
        </w:tc>
        <w:tc>
          <w:tcPr>
            <w:tcW w:w="1479" w:type="pct"/>
            <w:shd w:val="clear" w:color="auto" w:fill="auto"/>
            <w:tcMar>
              <w:top w:w="0" w:type="dxa"/>
              <w:left w:w="108" w:type="dxa"/>
              <w:bottom w:w="0" w:type="dxa"/>
              <w:right w:w="108" w:type="dxa"/>
            </w:tcMar>
            <w:vAlign w:val="center"/>
          </w:tcPr>
          <w:p w14:paraId="315352B7"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34.09</w:t>
            </w:r>
          </w:p>
        </w:tc>
        <w:tc>
          <w:tcPr>
            <w:tcW w:w="1142" w:type="pct"/>
            <w:shd w:val="clear" w:color="auto" w:fill="auto"/>
            <w:tcMar>
              <w:top w:w="0" w:type="dxa"/>
              <w:left w:w="108" w:type="dxa"/>
              <w:bottom w:w="0" w:type="dxa"/>
              <w:right w:w="108" w:type="dxa"/>
            </w:tcMar>
            <w:vAlign w:val="center"/>
          </w:tcPr>
          <w:p w14:paraId="6499156A"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1,176.74</w:t>
            </w:r>
          </w:p>
        </w:tc>
      </w:tr>
      <w:tr w:rsidR="006416B0" w:rsidRPr="00B4515A" w14:paraId="7CD4D4BB" w14:textId="77777777" w:rsidTr="00031627">
        <w:trPr>
          <w:trHeight w:val="340"/>
          <w:jc w:val="center"/>
        </w:trPr>
        <w:tc>
          <w:tcPr>
            <w:tcW w:w="1142" w:type="pct"/>
            <w:vMerge w:val="restart"/>
            <w:shd w:val="clear" w:color="auto" w:fill="auto"/>
            <w:tcMar>
              <w:top w:w="0" w:type="dxa"/>
              <w:left w:w="108" w:type="dxa"/>
              <w:bottom w:w="0" w:type="dxa"/>
              <w:right w:w="108" w:type="dxa"/>
            </w:tcMar>
            <w:vAlign w:val="center"/>
          </w:tcPr>
          <w:p w14:paraId="64F107D2"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单位名称</w:t>
            </w:r>
          </w:p>
        </w:tc>
        <w:tc>
          <w:tcPr>
            <w:tcW w:w="3858" w:type="pct"/>
            <w:gridSpan w:val="3"/>
            <w:shd w:val="clear" w:color="auto" w:fill="auto"/>
            <w:tcMar>
              <w:top w:w="0" w:type="dxa"/>
              <w:left w:w="108" w:type="dxa"/>
              <w:bottom w:w="0" w:type="dxa"/>
              <w:right w:w="108" w:type="dxa"/>
            </w:tcMar>
            <w:vAlign w:val="center"/>
          </w:tcPr>
          <w:p w14:paraId="0DC5EAFE"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hint="eastAsia"/>
                <w:b/>
                <w:bCs/>
                <w:color w:val="000000"/>
                <w:sz w:val="21"/>
                <w:szCs w:val="21"/>
              </w:rPr>
              <w:t>2019</w:t>
            </w:r>
            <w:r w:rsidRPr="00B4515A">
              <w:rPr>
                <w:rFonts w:ascii="Times New Roman" w:eastAsiaTheme="minorEastAsia" w:cs="Times New Roman" w:hint="eastAsia"/>
                <w:b/>
                <w:bCs/>
                <w:color w:val="000000"/>
                <w:sz w:val="21"/>
                <w:szCs w:val="21"/>
              </w:rPr>
              <w:t>年</w:t>
            </w:r>
            <w:r w:rsidRPr="00B4515A">
              <w:rPr>
                <w:rFonts w:ascii="Times New Roman" w:eastAsiaTheme="minorEastAsia" w:cs="Times New Roman" w:hint="eastAsia"/>
                <w:b/>
                <w:bCs/>
                <w:color w:val="000000"/>
                <w:sz w:val="21"/>
                <w:szCs w:val="21"/>
              </w:rPr>
              <w:t>12</w:t>
            </w:r>
            <w:r w:rsidRPr="00B4515A">
              <w:rPr>
                <w:rFonts w:ascii="Times New Roman" w:eastAsiaTheme="minorEastAsia" w:cs="Times New Roman" w:hint="eastAsia"/>
                <w:b/>
                <w:bCs/>
                <w:color w:val="000000"/>
                <w:sz w:val="21"/>
                <w:szCs w:val="21"/>
              </w:rPr>
              <w:t>月</w:t>
            </w:r>
            <w:r w:rsidRPr="00B4515A">
              <w:rPr>
                <w:rFonts w:ascii="Times New Roman" w:eastAsiaTheme="minorEastAsia" w:cs="Times New Roman" w:hint="eastAsia"/>
                <w:b/>
                <w:bCs/>
                <w:color w:val="000000"/>
                <w:sz w:val="21"/>
                <w:szCs w:val="21"/>
              </w:rPr>
              <w:t>31</w:t>
            </w:r>
            <w:r w:rsidRPr="00B4515A">
              <w:rPr>
                <w:rFonts w:ascii="Times New Roman" w:eastAsiaTheme="minorEastAsia" w:cs="Times New Roman" w:hint="eastAsia"/>
                <w:b/>
                <w:bCs/>
                <w:color w:val="000000"/>
                <w:sz w:val="21"/>
                <w:szCs w:val="21"/>
              </w:rPr>
              <w:t>日</w:t>
            </w:r>
          </w:p>
        </w:tc>
      </w:tr>
      <w:tr w:rsidR="006416B0" w:rsidRPr="00B4515A" w14:paraId="6E8CED72" w14:textId="77777777" w:rsidTr="00031627">
        <w:trPr>
          <w:trHeight w:val="340"/>
          <w:jc w:val="center"/>
        </w:trPr>
        <w:tc>
          <w:tcPr>
            <w:tcW w:w="1142" w:type="pct"/>
            <w:vMerge/>
            <w:tcMar>
              <w:top w:w="0" w:type="dxa"/>
              <w:left w:w="108" w:type="dxa"/>
              <w:bottom w:w="0" w:type="dxa"/>
              <w:right w:w="108" w:type="dxa"/>
            </w:tcMar>
            <w:vAlign w:val="center"/>
          </w:tcPr>
          <w:p w14:paraId="0BF20E8F" w14:textId="77777777" w:rsidR="006416B0" w:rsidRPr="00B4515A" w:rsidRDefault="006416B0" w:rsidP="005860B4">
            <w:pPr>
              <w:adjustRightInd w:val="0"/>
              <w:snapToGrid w:val="0"/>
              <w:jc w:val="center"/>
              <w:rPr>
                <w:rFonts w:ascii="Times New Roman" w:eastAsiaTheme="minorEastAsia" w:cs="Times New Roman"/>
                <w:b/>
                <w:bCs/>
                <w:color w:val="000000"/>
                <w:sz w:val="21"/>
                <w:szCs w:val="21"/>
              </w:rPr>
            </w:pPr>
          </w:p>
        </w:tc>
        <w:tc>
          <w:tcPr>
            <w:tcW w:w="1236" w:type="pct"/>
            <w:shd w:val="clear" w:color="auto" w:fill="auto"/>
            <w:tcMar>
              <w:top w:w="0" w:type="dxa"/>
              <w:left w:w="108" w:type="dxa"/>
              <w:bottom w:w="0" w:type="dxa"/>
              <w:right w:w="108" w:type="dxa"/>
            </w:tcMar>
            <w:vAlign w:val="center"/>
          </w:tcPr>
          <w:p w14:paraId="60254AE8"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应收账款</w:t>
            </w:r>
          </w:p>
        </w:tc>
        <w:tc>
          <w:tcPr>
            <w:tcW w:w="1479" w:type="pct"/>
            <w:shd w:val="clear" w:color="auto" w:fill="auto"/>
            <w:tcMar>
              <w:top w:w="0" w:type="dxa"/>
              <w:left w:w="108" w:type="dxa"/>
              <w:bottom w:w="0" w:type="dxa"/>
              <w:right w:w="108" w:type="dxa"/>
            </w:tcMar>
            <w:vAlign w:val="center"/>
          </w:tcPr>
          <w:p w14:paraId="11B780A6"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占应收账款合计数的比例</w:t>
            </w:r>
            <w:r w:rsidRPr="00B4515A">
              <w:rPr>
                <w:rFonts w:ascii="Times New Roman" w:eastAsiaTheme="minorEastAsia" w:cs="Times New Roman"/>
                <w:b/>
                <w:bCs/>
                <w:color w:val="000000"/>
                <w:sz w:val="21"/>
                <w:szCs w:val="21"/>
              </w:rPr>
              <w:t>(%)</w:t>
            </w:r>
          </w:p>
        </w:tc>
        <w:tc>
          <w:tcPr>
            <w:tcW w:w="1142" w:type="pct"/>
            <w:shd w:val="clear" w:color="auto" w:fill="auto"/>
            <w:tcMar>
              <w:top w:w="0" w:type="dxa"/>
              <w:left w:w="108" w:type="dxa"/>
              <w:bottom w:w="0" w:type="dxa"/>
              <w:right w:w="108" w:type="dxa"/>
            </w:tcMar>
            <w:vAlign w:val="center"/>
          </w:tcPr>
          <w:p w14:paraId="47CF1607"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坏账准备</w:t>
            </w:r>
          </w:p>
        </w:tc>
      </w:tr>
      <w:tr w:rsidR="006416B0" w:rsidRPr="00B4515A" w14:paraId="05C14BB1"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11E0BA03" w14:textId="77777777" w:rsidR="00BA4E33" w:rsidRPr="00B4515A" w:rsidRDefault="00BA4E33" w:rsidP="00BA4E33">
            <w:pPr>
              <w:jc w:val="center"/>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某航天科工集团下属企业</w:t>
            </w:r>
          </w:p>
          <w:p w14:paraId="2F7E25A0" w14:textId="20475037" w:rsidR="006416B0" w:rsidRPr="00B4515A" w:rsidRDefault="006416B0" w:rsidP="005860B4">
            <w:pPr>
              <w:adjustRightInd w:val="0"/>
              <w:snapToGrid w:val="0"/>
              <w:jc w:val="center"/>
              <w:rPr>
                <w:rFonts w:ascii="Times New Roman" w:eastAsiaTheme="minorEastAsia" w:cs="Times New Roman"/>
                <w:color w:val="000000"/>
                <w:sz w:val="21"/>
                <w:szCs w:val="21"/>
              </w:rPr>
            </w:pPr>
          </w:p>
        </w:tc>
        <w:tc>
          <w:tcPr>
            <w:tcW w:w="1236" w:type="pct"/>
            <w:shd w:val="clear" w:color="auto" w:fill="auto"/>
            <w:tcMar>
              <w:top w:w="0" w:type="dxa"/>
              <w:left w:w="108" w:type="dxa"/>
              <w:bottom w:w="0" w:type="dxa"/>
              <w:right w:w="108" w:type="dxa"/>
            </w:tcMar>
            <w:vAlign w:val="center"/>
          </w:tcPr>
          <w:p w14:paraId="157644A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5,374.60</w:t>
            </w:r>
          </w:p>
        </w:tc>
        <w:tc>
          <w:tcPr>
            <w:tcW w:w="1479" w:type="pct"/>
            <w:shd w:val="clear" w:color="auto" w:fill="auto"/>
            <w:tcMar>
              <w:top w:w="0" w:type="dxa"/>
              <w:left w:w="108" w:type="dxa"/>
              <w:bottom w:w="0" w:type="dxa"/>
              <w:right w:w="108" w:type="dxa"/>
            </w:tcMar>
            <w:vAlign w:val="center"/>
          </w:tcPr>
          <w:p w14:paraId="753509E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15.62</w:t>
            </w:r>
          </w:p>
        </w:tc>
        <w:tc>
          <w:tcPr>
            <w:tcW w:w="1142" w:type="pct"/>
            <w:shd w:val="clear" w:color="auto" w:fill="auto"/>
            <w:tcMar>
              <w:top w:w="0" w:type="dxa"/>
              <w:left w:w="108" w:type="dxa"/>
              <w:bottom w:w="0" w:type="dxa"/>
              <w:right w:w="108" w:type="dxa"/>
            </w:tcMar>
            <w:vAlign w:val="center"/>
          </w:tcPr>
          <w:p w14:paraId="0ECA664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53.75</w:t>
            </w:r>
          </w:p>
        </w:tc>
      </w:tr>
      <w:tr w:rsidR="006416B0" w:rsidRPr="00B4515A" w14:paraId="0173F73A"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63817FBE" w14:textId="6ADD0341" w:rsidR="006416B0" w:rsidRPr="00B4515A" w:rsidRDefault="0004492C"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北京航天长峰科技工业集团有限公司</w:t>
            </w:r>
          </w:p>
        </w:tc>
        <w:tc>
          <w:tcPr>
            <w:tcW w:w="1236" w:type="pct"/>
            <w:shd w:val="clear" w:color="auto" w:fill="auto"/>
            <w:tcMar>
              <w:top w:w="0" w:type="dxa"/>
              <w:left w:w="108" w:type="dxa"/>
              <w:bottom w:w="0" w:type="dxa"/>
              <w:right w:w="108" w:type="dxa"/>
            </w:tcMar>
            <w:vAlign w:val="center"/>
          </w:tcPr>
          <w:p w14:paraId="7A0E8FE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2,875.25</w:t>
            </w:r>
          </w:p>
        </w:tc>
        <w:tc>
          <w:tcPr>
            <w:tcW w:w="1479" w:type="pct"/>
            <w:shd w:val="clear" w:color="auto" w:fill="auto"/>
            <w:tcMar>
              <w:top w:w="0" w:type="dxa"/>
              <w:left w:w="108" w:type="dxa"/>
              <w:bottom w:w="0" w:type="dxa"/>
              <w:right w:w="108" w:type="dxa"/>
            </w:tcMar>
            <w:vAlign w:val="center"/>
          </w:tcPr>
          <w:p w14:paraId="1BB4C3F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8.36</w:t>
            </w:r>
          </w:p>
        </w:tc>
        <w:tc>
          <w:tcPr>
            <w:tcW w:w="1142" w:type="pct"/>
            <w:shd w:val="clear" w:color="auto" w:fill="auto"/>
            <w:tcMar>
              <w:top w:w="0" w:type="dxa"/>
              <w:left w:w="108" w:type="dxa"/>
              <w:bottom w:w="0" w:type="dxa"/>
              <w:right w:w="108" w:type="dxa"/>
            </w:tcMar>
            <w:vAlign w:val="center"/>
          </w:tcPr>
          <w:p w14:paraId="00CE328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855.30</w:t>
            </w:r>
          </w:p>
        </w:tc>
      </w:tr>
      <w:tr w:rsidR="006416B0" w:rsidRPr="00B4515A" w14:paraId="68D08E00"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58E00B51"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CA100159</w:t>
            </w:r>
          </w:p>
        </w:tc>
        <w:tc>
          <w:tcPr>
            <w:tcW w:w="1236" w:type="pct"/>
            <w:shd w:val="clear" w:color="auto" w:fill="auto"/>
            <w:tcMar>
              <w:top w:w="0" w:type="dxa"/>
              <w:left w:w="108" w:type="dxa"/>
              <w:bottom w:w="0" w:type="dxa"/>
              <w:right w:w="108" w:type="dxa"/>
            </w:tcMar>
            <w:vAlign w:val="center"/>
          </w:tcPr>
          <w:p w14:paraId="261EFDF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2,265.35</w:t>
            </w:r>
          </w:p>
        </w:tc>
        <w:tc>
          <w:tcPr>
            <w:tcW w:w="1479" w:type="pct"/>
            <w:shd w:val="clear" w:color="auto" w:fill="auto"/>
            <w:tcMar>
              <w:top w:w="0" w:type="dxa"/>
              <w:left w:w="108" w:type="dxa"/>
              <w:bottom w:w="0" w:type="dxa"/>
              <w:right w:w="108" w:type="dxa"/>
            </w:tcMar>
            <w:vAlign w:val="center"/>
          </w:tcPr>
          <w:p w14:paraId="0E01248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6.58</w:t>
            </w:r>
          </w:p>
        </w:tc>
        <w:tc>
          <w:tcPr>
            <w:tcW w:w="1142" w:type="pct"/>
            <w:shd w:val="clear" w:color="auto" w:fill="auto"/>
            <w:tcMar>
              <w:top w:w="0" w:type="dxa"/>
              <w:left w:w="108" w:type="dxa"/>
              <w:bottom w:w="0" w:type="dxa"/>
              <w:right w:w="108" w:type="dxa"/>
            </w:tcMar>
            <w:vAlign w:val="center"/>
          </w:tcPr>
          <w:p w14:paraId="5CE2187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22.65</w:t>
            </w:r>
          </w:p>
        </w:tc>
      </w:tr>
      <w:tr w:rsidR="006416B0" w:rsidRPr="00B4515A" w14:paraId="01EA74DD"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23E485DF"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CN100001</w:t>
            </w:r>
          </w:p>
        </w:tc>
        <w:tc>
          <w:tcPr>
            <w:tcW w:w="1236" w:type="pct"/>
            <w:shd w:val="clear" w:color="auto" w:fill="auto"/>
            <w:tcMar>
              <w:top w:w="0" w:type="dxa"/>
              <w:left w:w="108" w:type="dxa"/>
              <w:bottom w:w="0" w:type="dxa"/>
              <w:right w:w="108" w:type="dxa"/>
            </w:tcMar>
            <w:vAlign w:val="center"/>
          </w:tcPr>
          <w:p w14:paraId="10F076C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2,232.00</w:t>
            </w:r>
          </w:p>
        </w:tc>
        <w:tc>
          <w:tcPr>
            <w:tcW w:w="1479" w:type="pct"/>
            <w:shd w:val="clear" w:color="auto" w:fill="auto"/>
            <w:tcMar>
              <w:top w:w="0" w:type="dxa"/>
              <w:left w:w="108" w:type="dxa"/>
              <w:bottom w:w="0" w:type="dxa"/>
              <w:right w:w="108" w:type="dxa"/>
            </w:tcMar>
            <w:vAlign w:val="center"/>
          </w:tcPr>
          <w:p w14:paraId="7408B38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6.49</w:t>
            </w:r>
          </w:p>
        </w:tc>
        <w:tc>
          <w:tcPr>
            <w:tcW w:w="1142" w:type="pct"/>
            <w:shd w:val="clear" w:color="auto" w:fill="auto"/>
            <w:tcMar>
              <w:top w:w="0" w:type="dxa"/>
              <w:left w:w="108" w:type="dxa"/>
              <w:bottom w:w="0" w:type="dxa"/>
              <w:right w:w="108" w:type="dxa"/>
            </w:tcMar>
            <w:vAlign w:val="center"/>
          </w:tcPr>
          <w:p w14:paraId="0CDC7E6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137.14</w:t>
            </w:r>
          </w:p>
        </w:tc>
      </w:tr>
      <w:tr w:rsidR="006416B0" w:rsidRPr="00B4515A" w14:paraId="633ACE8B"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1A91F949"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CA100128</w:t>
            </w:r>
          </w:p>
        </w:tc>
        <w:tc>
          <w:tcPr>
            <w:tcW w:w="1236" w:type="pct"/>
            <w:shd w:val="clear" w:color="auto" w:fill="auto"/>
            <w:tcMar>
              <w:top w:w="0" w:type="dxa"/>
              <w:left w:w="108" w:type="dxa"/>
              <w:bottom w:w="0" w:type="dxa"/>
              <w:right w:w="108" w:type="dxa"/>
            </w:tcMar>
            <w:vAlign w:val="center"/>
          </w:tcPr>
          <w:p w14:paraId="6D15256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2,206.62</w:t>
            </w:r>
          </w:p>
        </w:tc>
        <w:tc>
          <w:tcPr>
            <w:tcW w:w="1479" w:type="pct"/>
            <w:shd w:val="clear" w:color="auto" w:fill="auto"/>
            <w:tcMar>
              <w:top w:w="0" w:type="dxa"/>
              <w:left w:w="108" w:type="dxa"/>
              <w:bottom w:w="0" w:type="dxa"/>
              <w:right w:w="108" w:type="dxa"/>
            </w:tcMar>
            <w:vAlign w:val="center"/>
          </w:tcPr>
          <w:p w14:paraId="5F4A01D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6.41</w:t>
            </w:r>
          </w:p>
        </w:tc>
        <w:tc>
          <w:tcPr>
            <w:tcW w:w="1142" w:type="pct"/>
            <w:shd w:val="clear" w:color="auto" w:fill="auto"/>
            <w:tcMar>
              <w:top w:w="0" w:type="dxa"/>
              <w:left w:w="108" w:type="dxa"/>
              <w:bottom w:w="0" w:type="dxa"/>
              <w:right w:w="108" w:type="dxa"/>
            </w:tcMar>
            <w:vAlign w:val="center"/>
          </w:tcPr>
          <w:p w14:paraId="3535925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22.07</w:t>
            </w:r>
          </w:p>
        </w:tc>
      </w:tr>
      <w:tr w:rsidR="006416B0" w:rsidRPr="00B4515A" w14:paraId="322EA6A7" w14:textId="77777777" w:rsidTr="00031627">
        <w:trPr>
          <w:trHeight w:val="340"/>
          <w:jc w:val="center"/>
        </w:trPr>
        <w:tc>
          <w:tcPr>
            <w:tcW w:w="1142" w:type="pct"/>
            <w:shd w:val="clear" w:color="auto" w:fill="auto"/>
            <w:tcMar>
              <w:top w:w="0" w:type="dxa"/>
              <w:left w:w="108" w:type="dxa"/>
              <w:bottom w:w="0" w:type="dxa"/>
              <w:right w:w="108" w:type="dxa"/>
            </w:tcMar>
            <w:vAlign w:val="center"/>
          </w:tcPr>
          <w:p w14:paraId="62128F46"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合计</w:t>
            </w:r>
          </w:p>
        </w:tc>
        <w:tc>
          <w:tcPr>
            <w:tcW w:w="1236" w:type="pct"/>
            <w:shd w:val="clear" w:color="auto" w:fill="auto"/>
            <w:tcMar>
              <w:top w:w="0" w:type="dxa"/>
              <w:left w:w="108" w:type="dxa"/>
              <w:bottom w:w="0" w:type="dxa"/>
              <w:right w:w="108" w:type="dxa"/>
            </w:tcMar>
            <w:vAlign w:val="center"/>
          </w:tcPr>
          <w:p w14:paraId="7D0F5607"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14,953.82</w:t>
            </w:r>
          </w:p>
        </w:tc>
        <w:tc>
          <w:tcPr>
            <w:tcW w:w="1479" w:type="pct"/>
            <w:shd w:val="clear" w:color="auto" w:fill="auto"/>
            <w:tcMar>
              <w:top w:w="0" w:type="dxa"/>
              <w:left w:w="108" w:type="dxa"/>
              <w:bottom w:w="0" w:type="dxa"/>
              <w:right w:w="108" w:type="dxa"/>
            </w:tcMar>
            <w:vAlign w:val="center"/>
          </w:tcPr>
          <w:p w14:paraId="5064566F"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43.46</w:t>
            </w:r>
          </w:p>
        </w:tc>
        <w:tc>
          <w:tcPr>
            <w:tcW w:w="1142" w:type="pct"/>
            <w:shd w:val="clear" w:color="auto" w:fill="auto"/>
            <w:tcMar>
              <w:top w:w="0" w:type="dxa"/>
              <w:left w:w="108" w:type="dxa"/>
              <w:bottom w:w="0" w:type="dxa"/>
              <w:right w:w="108" w:type="dxa"/>
            </w:tcMar>
            <w:vAlign w:val="center"/>
          </w:tcPr>
          <w:p w14:paraId="3454BEF6"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1,090.91</w:t>
            </w:r>
          </w:p>
        </w:tc>
      </w:tr>
    </w:tbl>
    <w:p w14:paraId="42BC32DA" w14:textId="38325479" w:rsidR="006416B0" w:rsidRPr="00B4515A" w:rsidRDefault="005E58C1" w:rsidP="003357B7">
      <w:pPr>
        <w:pStyle w:val="006"/>
        <w:ind w:firstLine="420"/>
      </w:pPr>
      <w:r w:rsidRPr="00B4515A">
        <w:t>注</w:t>
      </w:r>
      <w:r w:rsidRPr="00B4515A">
        <w:rPr>
          <w:rFonts w:hint="eastAsia"/>
        </w:rPr>
        <w:t>：根据监管要求，公司申请豁免披露</w:t>
      </w:r>
      <w:r w:rsidR="00C53C06" w:rsidRPr="00B4515A">
        <w:rPr>
          <w:rFonts w:hint="eastAsia"/>
        </w:rPr>
        <w:t>部分</w:t>
      </w:r>
      <w:r w:rsidRPr="00B4515A">
        <w:rPr>
          <w:rFonts w:hint="eastAsia"/>
        </w:rPr>
        <w:t>客户名称。</w:t>
      </w:r>
    </w:p>
    <w:p w14:paraId="48F7BB66" w14:textId="77777777" w:rsidR="006416B0" w:rsidRPr="00B4515A" w:rsidRDefault="005E58C1" w:rsidP="003357B7">
      <w:pPr>
        <w:pStyle w:val="005"/>
        <w:spacing w:before="120" w:after="120"/>
        <w:ind w:firstLine="480"/>
      </w:pPr>
      <w:r w:rsidRPr="00B4515A">
        <w:rPr>
          <w:rFonts w:hint="eastAsia"/>
        </w:rPr>
        <w:t>（</w:t>
      </w:r>
      <w:r w:rsidRPr="00B4515A">
        <w:rPr>
          <w:rFonts w:hint="eastAsia"/>
        </w:rPr>
        <w:t>3</w:t>
      </w:r>
      <w:r w:rsidRPr="00B4515A">
        <w:rPr>
          <w:rFonts w:hint="eastAsia"/>
        </w:rPr>
        <w:t>）存货</w:t>
      </w:r>
    </w:p>
    <w:p w14:paraId="62DD089A" w14:textId="77777777" w:rsidR="006416B0" w:rsidRPr="00B4515A" w:rsidRDefault="005E58C1" w:rsidP="003357B7">
      <w:pPr>
        <w:pStyle w:val="005"/>
        <w:spacing w:before="120" w:after="120"/>
        <w:ind w:firstLine="480"/>
      </w:pPr>
      <w:r w:rsidRPr="00B4515A">
        <w:rPr>
          <w:rFonts w:hint="eastAsia"/>
        </w:rPr>
        <w:t>报告期各期末，大唐联诚存货分类情况如下：</w:t>
      </w:r>
    </w:p>
    <w:p w14:paraId="549FDFE6"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3A3ABBE6" w14:textId="77777777" w:rsidTr="00EE238F">
        <w:trPr>
          <w:trHeight w:val="340"/>
          <w:jc w:val="center"/>
        </w:trPr>
        <w:tc>
          <w:tcPr>
            <w:tcW w:w="1250" w:type="pct"/>
            <w:vMerge w:val="restart"/>
            <w:shd w:val="clear" w:color="auto" w:fill="auto"/>
            <w:tcMar>
              <w:top w:w="0" w:type="dxa"/>
              <w:left w:w="108" w:type="dxa"/>
              <w:bottom w:w="0" w:type="dxa"/>
              <w:right w:w="108" w:type="dxa"/>
            </w:tcMar>
            <w:vAlign w:val="center"/>
          </w:tcPr>
          <w:p w14:paraId="145D603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3750" w:type="pct"/>
            <w:gridSpan w:val="3"/>
            <w:shd w:val="clear" w:color="auto" w:fill="auto"/>
            <w:tcMar>
              <w:top w:w="0" w:type="dxa"/>
              <w:left w:w="108" w:type="dxa"/>
              <w:bottom w:w="0" w:type="dxa"/>
              <w:right w:w="108" w:type="dxa"/>
            </w:tcMar>
            <w:vAlign w:val="center"/>
          </w:tcPr>
          <w:p w14:paraId="5D41A3E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4</w:t>
            </w:r>
            <w:r w:rsidRPr="00B4515A">
              <w:rPr>
                <w:rFonts w:ascii="Times New Roman" w:eastAsiaTheme="minorEastAsia" w:hAnsi="Times New Roman" w:cs="Times New Roman" w:hint="eastAsia"/>
                <w:b/>
                <w:bCs/>
                <w:color w:val="000000"/>
                <w:sz w:val="21"/>
                <w:szCs w:val="21"/>
              </w:rPr>
              <w:t>月</w:t>
            </w:r>
            <w:r w:rsidRPr="00B4515A">
              <w:rPr>
                <w:rFonts w:ascii="Times New Roman" w:eastAsiaTheme="minorEastAsia" w:hAnsi="Times New Roman" w:cs="Times New Roman"/>
                <w:b/>
                <w:bCs/>
                <w:color w:val="000000"/>
                <w:sz w:val="21"/>
                <w:szCs w:val="21"/>
              </w:rPr>
              <w:t>30</w:t>
            </w:r>
            <w:r w:rsidRPr="00B4515A">
              <w:rPr>
                <w:rFonts w:ascii="Times New Roman" w:eastAsiaTheme="minorEastAsia" w:hAnsi="Times New Roman" w:cs="Times New Roman" w:hint="eastAsia"/>
                <w:b/>
                <w:bCs/>
                <w:color w:val="000000"/>
                <w:sz w:val="21"/>
                <w:szCs w:val="21"/>
              </w:rPr>
              <w:t>日</w:t>
            </w:r>
          </w:p>
        </w:tc>
      </w:tr>
      <w:tr w:rsidR="006416B0" w:rsidRPr="00B4515A" w14:paraId="7416686E" w14:textId="77777777" w:rsidTr="00EE238F">
        <w:trPr>
          <w:trHeight w:val="340"/>
          <w:jc w:val="center"/>
        </w:trPr>
        <w:tc>
          <w:tcPr>
            <w:tcW w:w="1250" w:type="pct"/>
            <w:vMerge/>
            <w:tcMar>
              <w:top w:w="0" w:type="dxa"/>
              <w:left w:w="108" w:type="dxa"/>
              <w:bottom w:w="0" w:type="dxa"/>
              <w:right w:w="108" w:type="dxa"/>
            </w:tcMar>
            <w:vAlign w:val="center"/>
          </w:tcPr>
          <w:p w14:paraId="7A47499B" w14:textId="77777777" w:rsidR="006416B0" w:rsidRPr="00B4515A" w:rsidRDefault="006416B0" w:rsidP="005860B4">
            <w:pPr>
              <w:adjustRightInd w:val="0"/>
              <w:snapToGrid w:val="0"/>
              <w:rPr>
                <w:rFonts w:ascii="Times New Roman" w:eastAsiaTheme="minorEastAsia" w:hAnsi="Times New Roman" w:cs="Times New Roman"/>
                <w:b/>
                <w:bCs/>
                <w:color w:val="000000"/>
                <w:sz w:val="21"/>
                <w:szCs w:val="21"/>
              </w:rPr>
            </w:pPr>
          </w:p>
        </w:tc>
        <w:tc>
          <w:tcPr>
            <w:tcW w:w="1250" w:type="pct"/>
            <w:shd w:val="clear" w:color="auto" w:fill="auto"/>
            <w:tcMar>
              <w:top w:w="0" w:type="dxa"/>
              <w:left w:w="108" w:type="dxa"/>
              <w:bottom w:w="0" w:type="dxa"/>
              <w:right w:w="108" w:type="dxa"/>
            </w:tcMar>
            <w:vAlign w:val="center"/>
          </w:tcPr>
          <w:p w14:paraId="1BDFC47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账面余额</w:t>
            </w:r>
          </w:p>
        </w:tc>
        <w:tc>
          <w:tcPr>
            <w:tcW w:w="1250" w:type="pct"/>
            <w:shd w:val="clear" w:color="auto" w:fill="auto"/>
            <w:tcMar>
              <w:top w:w="0" w:type="dxa"/>
              <w:left w:w="108" w:type="dxa"/>
              <w:bottom w:w="0" w:type="dxa"/>
              <w:right w:w="108" w:type="dxa"/>
            </w:tcMar>
            <w:vAlign w:val="center"/>
          </w:tcPr>
          <w:p w14:paraId="72808DC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存货跌价准备</w:t>
            </w:r>
          </w:p>
        </w:tc>
        <w:tc>
          <w:tcPr>
            <w:tcW w:w="1250" w:type="pct"/>
            <w:shd w:val="clear" w:color="auto" w:fill="auto"/>
            <w:tcMar>
              <w:top w:w="0" w:type="dxa"/>
              <w:left w:w="108" w:type="dxa"/>
              <w:bottom w:w="0" w:type="dxa"/>
              <w:right w:w="108" w:type="dxa"/>
            </w:tcMar>
            <w:vAlign w:val="center"/>
          </w:tcPr>
          <w:p w14:paraId="48CCCE6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账面价值</w:t>
            </w:r>
          </w:p>
        </w:tc>
      </w:tr>
      <w:tr w:rsidR="006416B0" w:rsidRPr="00B4515A" w14:paraId="4A7F49CC"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1AB13435"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原材料</w:t>
            </w:r>
          </w:p>
        </w:tc>
        <w:tc>
          <w:tcPr>
            <w:tcW w:w="1250" w:type="pct"/>
            <w:shd w:val="clear" w:color="auto" w:fill="auto"/>
            <w:tcMar>
              <w:top w:w="0" w:type="dxa"/>
              <w:left w:w="108" w:type="dxa"/>
              <w:bottom w:w="0" w:type="dxa"/>
              <w:right w:w="108" w:type="dxa"/>
            </w:tcMar>
            <w:vAlign w:val="center"/>
          </w:tcPr>
          <w:p w14:paraId="1B2C8CA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7,854.70</w:t>
            </w:r>
          </w:p>
        </w:tc>
        <w:tc>
          <w:tcPr>
            <w:tcW w:w="1250" w:type="pct"/>
            <w:shd w:val="clear" w:color="auto" w:fill="auto"/>
            <w:tcMar>
              <w:top w:w="0" w:type="dxa"/>
              <w:left w:w="108" w:type="dxa"/>
              <w:bottom w:w="0" w:type="dxa"/>
              <w:right w:w="108" w:type="dxa"/>
            </w:tcMar>
            <w:vAlign w:val="center"/>
          </w:tcPr>
          <w:p w14:paraId="171BB8E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659.16</w:t>
            </w:r>
          </w:p>
        </w:tc>
        <w:tc>
          <w:tcPr>
            <w:tcW w:w="1250" w:type="pct"/>
            <w:shd w:val="clear" w:color="auto" w:fill="auto"/>
            <w:tcMar>
              <w:top w:w="0" w:type="dxa"/>
              <w:left w:w="108" w:type="dxa"/>
              <w:bottom w:w="0" w:type="dxa"/>
              <w:right w:w="108" w:type="dxa"/>
            </w:tcMar>
            <w:vAlign w:val="center"/>
          </w:tcPr>
          <w:p w14:paraId="1D90790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7,195.54</w:t>
            </w:r>
          </w:p>
        </w:tc>
      </w:tr>
      <w:tr w:rsidR="006416B0" w:rsidRPr="00B4515A" w14:paraId="394C3785"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103EEB8F"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发出商品</w:t>
            </w:r>
          </w:p>
        </w:tc>
        <w:tc>
          <w:tcPr>
            <w:tcW w:w="1250" w:type="pct"/>
            <w:shd w:val="clear" w:color="auto" w:fill="auto"/>
            <w:tcMar>
              <w:top w:w="0" w:type="dxa"/>
              <w:left w:w="108" w:type="dxa"/>
              <w:bottom w:w="0" w:type="dxa"/>
              <w:right w:w="108" w:type="dxa"/>
            </w:tcMar>
            <w:vAlign w:val="center"/>
          </w:tcPr>
          <w:p w14:paraId="58DF754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1,046.38</w:t>
            </w:r>
          </w:p>
        </w:tc>
        <w:tc>
          <w:tcPr>
            <w:tcW w:w="1250" w:type="pct"/>
            <w:shd w:val="clear" w:color="auto" w:fill="auto"/>
            <w:tcMar>
              <w:top w:w="0" w:type="dxa"/>
              <w:left w:w="108" w:type="dxa"/>
              <w:bottom w:w="0" w:type="dxa"/>
              <w:right w:w="108" w:type="dxa"/>
            </w:tcMar>
            <w:vAlign w:val="center"/>
          </w:tcPr>
          <w:p w14:paraId="0FA25A8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1250" w:type="pct"/>
            <w:shd w:val="clear" w:color="auto" w:fill="auto"/>
            <w:tcMar>
              <w:top w:w="0" w:type="dxa"/>
              <w:left w:w="108" w:type="dxa"/>
              <w:bottom w:w="0" w:type="dxa"/>
              <w:right w:w="108" w:type="dxa"/>
            </w:tcMar>
            <w:vAlign w:val="center"/>
          </w:tcPr>
          <w:p w14:paraId="627839B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1,046.38</w:t>
            </w:r>
          </w:p>
        </w:tc>
      </w:tr>
      <w:tr w:rsidR="006416B0" w:rsidRPr="00B4515A" w14:paraId="11C9C11A"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3BFAA8B5"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在产品</w:t>
            </w:r>
          </w:p>
        </w:tc>
        <w:tc>
          <w:tcPr>
            <w:tcW w:w="1250" w:type="pct"/>
            <w:shd w:val="clear" w:color="auto" w:fill="auto"/>
            <w:tcMar>
              <w:top w:w="0" w:type="dxa"/>
              <w:left w:w="108" w:type="dxa"/>
              <w:bottom w:w="0" w:type="dxa"/>
              <w:right w:w="108" w:type="dxa"/>
            </w:tcMar>
            <w:vAlign w:val="center"/>
          </w:tcPr>
          <w:p w14:paraId="1A26F4D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7,435.87</w:t>
            </w:r>
          </w:p>
        </w:tc>
        <w:tc>
          <w:tcPr>
            <w:tcW w:w="1250" w:type="pct"/>
            <w:shd w:val="clear" w:color="auto" w:fill="auto"/>
            <w:tcMar>
              <w:top w:w="0" w:type="dxa"/>
              <w:left w:w="108" w:type="dxa"/>
              <w:bottom w:w="0" w:type="dxa"/>
              <w:right w:w="108" w:type="dxa"/>
            </w:tcMar>
            <w:vAlign w:val="center"/>
          </w:tcPr>
          <w:p w14:paraId="638C4BE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180.94</w:t>
            </w:r>
          </w:p>
        </w:tc>
        <w:tc>
          <w:tcPr>
            <w:tcW w:w="1250" w:type="pct"/>
            <w:shd w:val="clear" w:color="auto" w:fill="auto"/>
            <w:tcMar>
              <w:top w:w="0" w:type="dxa"/>
              <w:left w:w="108" w:type="dxa"/>
              <w:bottom w:w="0" w:type="dxa"/>
              <w:right w:w="108" w:type="dxa"/>
            </w:tcMar>
            <w:vAlign w:val="center"/>
          </w:tcPr>
          <w:p w14:paraId="1847B3C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7,254.93</w:t>
            </w:r>
          </w:p>
        </w:tc>
      </w:tr>
      <w:tr w:rsidR="006416B0" w:rsidRPr="00B4515A" w14:paraId="12126B64"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0401BF11"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库存商品</w:t>
            </w:r>
          </w:p>
        </w:tc>
        <w:tc>
          <w:tcPr>
            <w:tcW w:w="1250" w:type="pct"/>
            <w:shd w:val="clear" w:color="auto" w:fill="auto"/>
            <w:tcMar>
              <w:top w:w="0" w:type="dxa"/>
              <w:left w:w="108" w:type="dxa"/>
              <w:bottom w:w="0" w:type="dxa"/>
              <w:right w:w="108" w:type="dxa"/>
            </w:tcMar>
            <w:vAlign w:val="center"/>
          </w:tcPr>
          <w:p w14:paraId="520BA0A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2,580.11</w:t>
            </w:r>
          </w:p>
        </w:tc>
        <w:tc>
          <w:tcPr>
            <w:tcW w:w="1250" w:type="pct"/>
            <w:shd w:val="clear" w:color="auto" w:fill="auto"/>
            <w:tcMar>
              <w:top w:w="0" w:type="dxa"/>
              <w:left w:w="108" w:type="dxa"/>
              <w:bottom w:w="0" w:type="dxa"/>
              <w:right w:w="108" w:type="dxa"/>
            </w:tcMar>
            <w:vAlign w:val="center"/>
          </w:tcPr>
          <w:p w14:paraId="231E15D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83.43</w:t>
            </w:r>
          </w:p>
        </w:tc>
        <w:tc>
          <w:tcPr>
            <w:tcW w:w="1250" w:type="pct"/>
            <w:shd w:val="clear" w:color="auto" w:fill="auto"/>
            <w:tcMar>
              <w:top w:w="0" w:type="dxa"/>
              <w:left w:w="108" w:type="dxa"/>
              <w:bottom w:w="0" w:type="dxa"/>
              <w:right w:w="108" w:type="dxa"/>
            </w:tcMar>
            <w:vAlign w:val="center"/>
          </w:tcPr>
          <w:p w14:paraId="543861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2,496.68</w:t>
            </w:r>
          </w:p>
        </w:tc>
      </w:tr>
      <w:tr w:rsidR="006416B0" w:rsidRPr="00B4515A" w14:paraId="0A6EE65D"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079E576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合计</w:t>
            </w:r>
          </w:p>
        </w:tc>
        <w:tc>
          <w:tcPr>
            <w:tcW w:w="1250" w:type="pct"/>
            <w:shd w:val="clear" w:color="auto" w:fill="auto"/>
            <w:tcMar>
              <w:top w:w="0" w:type="dxa"/>
              <w:left w:w="108" w:type="dxa"/>
              <w:bottom w:w="0" w:type="dxa"/>
              <w:right w:w="108" w:type="dxa"/>
            </w:tcMar>
            <w:vAlign w:val="center"/>
          </w:tcPr>
          <w:p w14:paraId="608B232A"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18,917.06</w:t>
            </w:r>
          </w:p>
        </w:tc>
        <w:tc>
          <w:tcPr>
            <w:tcW w:w="1250" w:type="pct"/>
            <w:shd w:val="clear" w:color="auto" w:fill="auto"/>
            <w:tcMar>
              <w:top w:w="0" w:type="dxa"/>
              <w:left w:w="108" w:type="dxa"/>
              <w:bottom w:w="0" w:type="dxa"/>
              <w:right w:w="108" w:type="dxa"/>
            </w:tcMar>
            <w:vAlign w:val="center"/>
          </w:tcPr>
          <w:p w14:paraId="54D0F6E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923.53</w:t>
            </w:r>
          </w:p>
        </w:tc>
        <w:tc>
          <w:tcPr>
            <w:tcW w:w="1250" w:type="pct"/>
            <w:shd w:val="clear" w:color="auto" w:fill="auto"/>
            <w:tcMar>
              <w:top w:w="0" w:type="dxa"/>
              <w:left w:w="108" w:type="dxa"/>
              <w:bottom w:w="0" w:type="dxa"/>
              <w:right w:w="108" w:type="dxa"/>
            </w:tcMar>
            <w:vAlign w:val="center"/>
          </w:tcPr>
          <w:p w14:paraId="6F9D8E7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17,993.53</w:t>
            </w:r>
          </w:p>
        </w:tc>
      </w:tr>
      <w:tr w:rsidR="006416B0" w:rsidRPr="00B4515A" w14:paraId="63A00E8B" w14:textId="77777777" w:rsidTr="00031627">
        <w:trPr>
          <w:trHeight w:val="340"/>
          <w:jc w:val="center"/>
        </w:trPr>
        <w:tc>
          <w:tcPr>
            <w:tcW w:w="1250" w:type="pct"/>
            <w:vMerge w:val="restart"/>
            <w:shd w:val="clear" w:color="auto" w:fill="auto"/>
            <w:tcMar>
              <w:top w:w="0" w:type="dxa"/>
              <w:left w:w="108" w:type="dxa"/>
              <w:bottom w:w="0" w:type="dxa"/>
              <w:right w:w="108" w:type="dxa"/>
            </w:tcMar>
            <w:vAlign w:val="center"/>
          </w:tcPr>
          <w:p w14:paraId="5B8838C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3750" w:type="pct"/>
            <w:gridSpan w:val="3"/>
            <w:shd w:val="clear" w:color="auto" w:fill="auto"/>
            <w:tcMar>
              <w:top w:w="0" w:type="dxa"/>
              <w:left w:w="108" w:type="dxa"/>
              <w:bottom w:w="0" w:type="dxa"/>
              <w:right w:w="108" w:type="dxa"/>
            </w:tcMar>
            <w:vAlign w:val="center"/>
          </w:tcPr>
          <w:p w14:paraId="13F61C1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hint="eastAsia"/>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hint="eastAsia"/>
                <w:b/>
                <w:bCs/>
                <w:color w:val="000000"/>
                <w:sz w:val="21"/>
                <w:szCs w:val="21"/>
              </w:rPr>
              <w:t>日</w:t>
            </w:r>
          </w:p>
        </w:tc>
      </w:tr>
      <w:tr w:rsidR="006416B0" w:rsidRPr="00B4515A" w14:paraId="11EF7137" w14:textId="77777777" w:rsidTr="00031627">
        <w:trPr>
          <w:trHeight w:val="340"/>
          <w:jc w:val="center"/>
        </w:trPr>
        <w:tc>
          <w:tcPr>
            <w:tcW w:w="1250" w:type="pct"/>
            <w:vMerge/>
            <w:tcMar>
              <w:top w:w="0" w:type="dxa"/>
              <w:left w:w="108" w:type="dxa"/>
              <w:bottom w:w="0" w:type="dxa"/>
              <w:right w:w="108" w:type="dxa"/>
            </w:tcMar>
            <w:vAlign w:val="center"/>
          </w:tcPr>
          <w:p w14:paraId="0E5ADE30" w14:textId="77777777" w:rsidR="006416B0" w:rsidRPr="00B4515A" w:rsidRDefault="006416B0" w:rsidP="005860B4">
            <w:pPr>
              <w:adjustRightInd w:val="0"/>
              <w:snapToGrid w:val="0"/>
              <w:rPr>
                <w:rFonts w:ascii="Times New Roman" w:eastAsiaTheme="minorEastAsia" w:hAnsi="Times New Roman" w:cs="Times New Roman"/>
                <w:b/>
                <w:bCs/>
                <w:color w:val="000000"/>
                <w:sz w:val="21"/>
                <w:szCs w:val="21"/>
              </w:rPr>
            </w:pPr>
          </w:p>
        </w:tc>
        <w:tc>
          <w:tcPr>
            <w:tcW w:w="1250" w:type="pct"/>
            <w:shd w:val="clear" w:color="auto" w:fill="auto"/>
            <w:tcMar>
              <w:top w:w="0" w:type="dxa"/>
              <w:left w:w="108" w:type="dxa"/>
              <w:bottom w:w="0" w:type="dxa"/>
              <w:right w:w="108" w:type="dxa"/>
            </w:tcMar>
            <w:vAlign w:val="center"/>
          </w:tcPr>
          <w:p w14:paraId="4F0A9C4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账面余额</w:t>
            </w:r>
          </w:p>
        </w:tc>
        <w:tc>
          <w:tcPr>
            <w:tcW w:w="1250" w:type="pct"/>
            <w:shd w:val="clear" w:color="auto" w:fill="auto"/>
            <w:tcMar>
              <w:top w:w="0" w:type="dxa"/>
              <w:left w:w="108" w:type="dxa"/>
              <w:bottom w:w="0" w:type="dxa"/>
              <w:right w:w="108" w:type="dxa"/>
            </w:tcMar>
            <w:vAlign w:val="center"/>
          </w:tcPr>
          <w:p w14:paraId="651AE6A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存货跌价准备</w:t>
            </w:r>
          </w:p>
        </w:tc>
        <w:tc>
          <w:tcPr>
            <w:tcW w:w="1250" w:type="pct"/>
            <w:shd w:val="clear" w:color="auto" w:fill="auto"/>
            <w:tcMar>
              <w:top w:w="0" w:type="dxa"/>
              <w:left w:w="108" w:type="dxa"/>
              <w:bottom w:w="0" w:type="dxa"/>
              <w:right w:w="108" w:type="dxa"/>
            </w:tcMar>
            <w:vAlign w:val="center"/>
          </w:tcPr>
          <w:p w14:paraId="5410573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账面价值</w:t>
            </w:r>
          </w:p>
        </w:tc>
      </w:tr>
      <w:tr w:rsidR="006416B0" w:rsidRPr="00B4515A" w14:paraId="3E6BD2AF"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29D70B58"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原材料</w:t>
            </w:r>
          </w:p>
        </w:tc>
        <w:tc>
          <w:tcPr>
            <w:tcW w:w="1250" w:type="pct"/>
            <w:shd w:val="clear" w:color="auto" w:fill="auto"/>
            <w:tcMar>
              <w:top w:w="0" w:type="dxa"/>
              <w:left w:w="108" w:type="dxa"/>
              <w:bottom w:w="0" w:type="dxa"/>
              <w:right w:w="108" w:type="dxa"/>
            </w:tcMar>
            <w:vAlign w:val="center"/>
          </w:tcPr>
          <w:p w14:paraId="39DB09E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6,813.91</w:t>
            </w:r>
          </w:p>
        </w:tc>
        <w:tc>
          <w:tcPr>
            <w:tcW w:w="1250" w:type="pct"/>
            <w:shd w:val="clear" w:color="auto" w:fill="auto"/>
            <w:tcMar>
              <w:top w:w="0" w:type="dxa"/>
              <w:left w:w="108" w:type="dxa"/>
              <w:bottom w:w="0" w:type="dxa"/>
              <w:right w:w="108" w:type="dxa"/>
            </w:tcMar>
            <w:vAlign w:val="center"/>
          </w:tcPr>
          <w:p w14:paraId="2318DCE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673.29</w:t>
            </w:r>
          </w:p>
        </w:tc>
        <w:tc>
          <w:tcPr>
            <w:tcW w:w="1250" w:type="pct"/>
            <w:shd w:val="clear" w:color="auto" w:fill="auto"/>
            <w:tcMar>
              <w:top w:w="0" w:type="dxa"/>
              <w:left w:w="108" w:type="dxa"/>
              <w:bottom w:w="0" w:type="dxa"/>
              <w:right w:w="108" w:type="dxa"/>
            </w:tcMar>
            <w:vAlign w:val="center"/>
          </w:tcPr>
          <w:p w14:paraId="0BE07EC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6,140.62</w:t>
            </w:r>
          </w:p>
        </w:tc>
      </w:tr>
      <w:tr w:rsidR="006416B0" w:rsidRPr="00B4515A" w14:paraId="2EA26D94"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497E673B"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发出商品</w:t>
            </w:r>
          </w:p>
        </w:tc>
        <w:tc>
          <w:tcPr>
            <w:tcW w:w="1250" w:type="pct"/>
            <w:shd w:val="clear" w:color="auto" w:fill="auto"/>
            <w:tcMar>
              <w:top w:w="0" w:type="dxa"/>
              <w:left w:w="108" w:type="dxa"/>
              <w:bottom w:w="0" w:type="dxa"/>
              <w:right w:w="108" w:type="dxa"/>
            </w:tcMar>
            <w:vAlign w:val="center"/>
          </w:tcPr>
          <w:p w14:paraId="114B0C3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930.54</w:t>
            </w:r>
          </w:p>
        </w:tc>
        <w:tc>
          <w:tcPr>
            <w:tcW w:w="1250" w:type="pct"/>
            <w:shd w:val="clear" w:color="auto" w:fill="auto"/>
            <w:tcMar>
              <w:top w:w="0" w:type="dxa"/>
              <w:left w:w="108" w:type="dxa"/>
              <w:bottom w:w="0" w:type="dxa"/>
              <w:right w:w="108" w:type="dxa"/>
            </w:tcMar>
            <w:vAlign w:val="center"/>
          </w:tcPr>
          <w:p w14:paraId="072156C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1250" w:type="pct"/>
            <w:shd w:val="clear" w:color="auto" w:fill="auto"/>
            <w:tcMar>
              <w:top w:w="0" w:type="dxa"/>
              <w:left w:w="108" w:type="dxa"/>
              <w:bottom w:w="0" w:type="dxa"/>
              <w:right w:w="108" w:type="dxa"/>
            </w:tcMar>
            <w:vAlign w:val="center"/>
          </w:tcPr>
          <w:p w14:paraId="250AE93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930.54</w:t>
            </w:r>
          </w:p>
        </w:tc>
      </w:tr>
      <w:tr w:rsidR="006416B0" w:rsidRPr="00B4515A" w14:paraId="1ED08F41"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285284E2"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在产品</w:t>
            </w:r>
          </w:p>
        </w:tc>
        <w:tc>
          <w:tcPr>
            <w:tcW w:w="1250" w:type="pct"/>
            <w:shd w:val="clear" w:color="auto" w:fill="auto"/>
            <w:tcMar>
              <w:top w:w="0" w:type="dxa"/>
              <w:left w:w="108" w:type="dxa"/>
              <w:bottom w:w="0" w:type="dxa"/>
              <w:right w:w="108" w:type="dxa"/>
            </w:tcMar>
            <w:vAlign w:val="center"/>
          </w:tcPr>
          <w:p w14:paraId="00C09BD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6,330.77</w:t>
            </w:r>
          </w:p>
        </w:tc>
        <w:tc>
          <w:tcPr>
            <w:tcW w:w="1250" w:type="pct"/>
            <w:shd w:val="clear" w:color="auto" w:fill="auto"/>
            <w:tcMar>
              <w:top w:w="0" w:type="dxa"/>
              <w:left w:w="108" w:type="dxa"/>
              <w:bottom w:w="0" w:type="dxa"/>
              <w:right w:w="108" w:type="dxa"/>
            </w:tcMar>
            <w:vAlign w:val="center"/>
          </w:tcPr>
          <w:p w14:paraId="78270A0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183.08</w:t>
            </w:r>
          </w:p>
        </w:tc>
        <w:tc>
          <w:tcPr>
            <w:tcW w:w="1250" w:type="pct"/>
            <w:shd w:val="clear" w:color="auto" w:fill="auto"/>
            <w:tcMar>
              <w:top w:w="0" w:type="dxa"/>
              <w:left w:w="108" w:type="dxa"/>
              <w:bottom w:w="0" w:type="dxa"/>
              <w:right w:w="108" w:type="dxa"/>
            </w:tcMar>
            <w:vAlign w:val="center"/>
          </w:tcPr>
          <w:p w14:paraId="0CB88B9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6,147.70</w:t>
            </w:r>
          </w:p>
        </w:tc>
      </w:tr>
      <w:tr w:rsidR="006416B0" w:rsidRPr="00B4515A" w14:paraId="0592800E"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42147134"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库存商品</w:t>
            </w:r>
          </w:p>
        </w:tc>
        <w:tc>
          <w:tcPr>
            <w:tcW w:w="1250" w:type="pct"/>
            <w:shd w:val="clear" w:color="auto" w:fill="auto"/>
            <w:tcMar>
              <w:top w:w="0" w:type="dxa"/>
              <w:left w:w="108" w:type="dxa"/>
              <w:bottom w:w="0" w:type="dxa"/>
              <w:right w:w="108" w:type="dxa"/>
            </w:tcMar>
            <w:vAlign w:val="center"/>
          </w:tcPr>
          <w:p w14:paraId="2547A16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2,115.38</w:t>
            </w:r>
          </w:p>
        </w:tc>
        <w:tc>
          <w:tcPr>
            <w:tcW w:w="1250" w:type="pct"/>
            <w:shd w:val="clear" w:color="auto" w:fill="auto"/>
            <w:tcMar>
              <w:top w:w="0" w:type="dxa"/>
              <w:left w:w="108" w:type="dxa"/>
              <w:bottom w:w="0" w:type="dxa"/>
              <w:right w:w="108" w:type="dxa"/>
            </w:tcMar>
            <w:vAlign w:val="center"/>
          </w:tcPr>
          <w:p w14:paraId="480780C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83.43</w:t>
            </w:r>
          </w:p>
        </w:tc>
        <w:tc>
          <w:tcPr>
            <w:tcW w:w="1250" w:type="pct"/>
            <w:shd w:val="clear" w:color="auto" w:fill="auto"/>
            <w:tcMar>
              <w:top w:w="0" w:type="dxa"/>
              <w:left w:w="108" w:type="dxa"/>
              <w:bottom w:w="0" w:type="dxa"/>
              <w:right w:w="108" w:type="dxa"/>
            </w:tcMar>
            <w:vAlign w:val="center"/>
          </w:tcPr>
          <w:p w14:paraId="62E4FB8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2,031.95</w:t>
            </w:r>
          </w:p>
        </w:tc>
      </w:tr>
      <w:tr w:rsidR="006416B0" w:rsidRPr="00B4515A" w14:paraId="54F1AFD5"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7CC4056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lastRenderedPageBreak/>
              <w:t>合计</w:t>
            </w:r>
          </w:p>
        </w:tc>
        <w:tc>
          <w:tcPr>
            <w:tcW w:w="1250" w:type="pct"/>
            <w:shd w:val="clear" w:color="auto" w:fill="auto"/>
            <w:tcMar>
              <w:top w:w="0" w:type="dxa"/>
              <w:left w:w="108" w:type="dxa"/>
              <w:bottom w:w="0" w:type="dxa"/>
              <w:right w:w="108" w:type="dxa"/>
            </w:tcMar>
            <w:vAlign w:val="center"/>
          </w:tcPr>
          <w:p w14:paraId="0710C61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16,190.60</w:t>
            </w:r>
          </w:p>
        </w:tc>
        <w:tc>
          <w:tcPr>
            <w:tcW w:w="1250" w:type="pct"/>
            <w:shd w:val="clear" w:color="auto" w:fill="auto"/>
            <w:tcMar>
              <w:top w:w="0" w:type="dxa"/>
              <w:left w:w="108" w:type="dxa"/>
              <w:bottom w:w="0" w:type="dxa"/>
              <w:right w:w="108" w:type="dxa"/>
            </w:tcMar>
            <w:vAlign w:val="center"/>
          </w:tcPr>
          <w:p w14:paraId="298B5F1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939.80</w:t>
            </w:r>
          </w:p>
        </w:tc>
        <w:tc>
          <w:tcPr>
            <w:tcW w:w="1250" w:type="pct"/>
            <w:shd w:val="clear" w:color="auto" w:fill="auto"/>
            <w:tcMar>
              <w:top w:w="0" w:type="dxa"/>
              <w:left w:w="108" w:type="dxa"/>
              <w:bottom w:w="0" w:type="dxa"/>
              <w:right w:w="108" w:type="dxa"/>
            </w:tcMar>
            <w:vAlign w:val="center"/>
          </w:tcPr>
          <w:p w14:paraId="62CC5BF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15,250.81</w:t>
            </w:r>
          </w:p>
        </w:tc>
      </w:tr>
      <w:tr w:rsidR="006416B0" w:rsidRPr="00B4515A" w14:paraId="1EE25ADD" w14:textId="77777777" w:rsidTr="00031627">
        <w:trPr>
          <w:trHeight w:val="340"/>
          <w:jc w:val="center"/>
        </w:trPr>
        <w:tc>
          <w:tcPr>
            <w:tcW w:w="1250" w:type="pct"/>
            <w:vMerge w:val="restart"/>
            <w:shd w:val="clear" w:color="auto" w:fill="auto"/>
            <w:tcMar>
              <w:top w:w="0" w:type="dxa"/>
              <w:left w:w="108" w:type="dxa"/>
              <w:bottom w:w="0" w:type="dxa"/>
              <w:right w:w="108" w:type="dxa"/>
            </w:tcMar>
            <w:vAlign w:val="center"/>
          </w:tcPr>
          <w:p w14:paraId="56F35DB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3750" w:type="pct"/>
            <w:gridSpan w:val="3"/>
            <w:shd w:val="clear" w:color="auto" w:fill="auto"/>
            <w:tcMar>
              <w:top w:w="0" w:type="dxa"/>
              <w:left w:w="108" w:type="dxa"/>
              <w:bottom w:w="0" w:type="dxa"/>
              <w:right w:w="108" w:type="dxa"/>
            </w:tcMar>
            <w:vAlign w:val="center"/>
          </w:tcPr>
          <w:p w14:paraId="515E049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hint="eastAsia"/>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hint="eastAsia"/>
                <w:b/>
                <w:bCs/>
                <w:color w:val="000000"/>
                <w:sz w:val="21"/>
                <w:szCs w:val="21"/>
              </w:rPr>
              <w:t>日</w:t>
            </w:r>
          </w:p>
        </w:tc>
      </w:tr>
      <w:tr w:rsidR="006416B0" w:rsidRPr="00B4515A" w14:paraId="0F980164" w14:textId="77777777" w:rsidTr="00031627">
        <w:trPr>
          <w:trHeight w:val="340"/>
          <w:jc w:val="center"/>
        </w:trPr>
        <w:tc>
          <w:tcPr>
            <w:tcW w:w="1250" w:type="pct"/>
            <w:vMerge/>
            <w:tcMar>
              <w:top w:w="0" w:type="dxa"/>
              <w:left w:w="108" w:type="dxa"/>
              <w:bottom w:w="0" w:type="dxa"/>
              <w:right w:w="108" w:type="dxa"/>
            </w:tcMar>
            <w:vAlign w:val="center"/>
          </w:tcPr>
          <w:p w14:paraId="6CC4937E" w14:textId="77777777" w:rsidR="006416B0" w:rsidRPr="00B4515A" w:rsidRDefault="006416B0" w:rsidP="005860B4">
            <w:pPr>
              <w:adjustRightInd w:val="0"/>
              <w:snapToGrid w:val="0"/>
              <w:rPr>
                <w:rFonts w:ascii="Times New Roman" w:eastAsiaTheme="minorEastAsia" w:hAnsi="Times New Roman" w:cs="Times New Roman"/>
                <w:b/>
                <w:bCs/>
                <w:color w:val="000000"/>
                <w:sz w:val="21"/>
                <w:szCs w:val="21"/>
              </w:rPr>
            </w:pPr>
          </w:p>
        </w:tc>
        <w:tc>
          <w:tcPr>
            <w:tcW w:w="1250" w:type="pct"/>
            <w:shd w:val="clear" w:color="auto" w:fill="auto"/>
            <w:tcMar>
              <w:top w:w="0" w:type="dxa"/>
              <w:left w:w="108" w:type="dxa"/>
              <w:bottom w:w="0" w:type="dxa"/>
              <w:right w:w="108" w:type="dxa"/>
            </w:tcMar>
            <w:vAlign w:val="center"/>
          </w:tcPr>
          <w:p w14:paraId="4C5B465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账面余额</w:t>
            </w:r>
          </w:p>
        </w:tc>
        <w:tc>
          <w:tcPr>
            <w:tcW w:w="1250" w:type="pct"/>
            <w:shd w:val="clear" w:color="auto" w:fill="auto"/>
            <w:tcMar>
              <w:top w:w="0" w:type="dxa"/>
              <w:left w:w="108" w:type="dxa"/>
              <w:bottom w:w="0" w:type="dxa"/>
              <w:right w:w="108" w:type="dxa"/>
            </w:tcMar>
            <w:vAlign w:val="center"/>
          </w:tcPr>
          <w:p w14:paraId="64A6D50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跌价准备</w:t>
            </w:r>
          </w:p>
        </w:tc>
        <w:tc>
          <w:tcPr>
            <w:tcW w:w="1250" w:type="pct"/>
            <w:shd w:val="clear" w:color="auto" w:fill="auto"/>
            <w:tcMar>
              <w:top w:w="0" w:type="dxa"/>
              <w:left w:w="108" w:type="dxa"/>
              <w:bottom w:w="0" w:type="dxa"/>
              <w:right w:w="108" w:type="dxa"/>
            </w:tcMar>
            <w:vAlign w:val="center"/>
          </w:tcPr>
          <w:p w14:paraId="6F46F0F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账面价值</w:t>
            </w:r>
          </w:p>
        </w:tc>
      </w:tr>
      <w:tr w:rsidR="006416B0" w:rsidRPr="00B4515A" w14:paraId="4FDE0618"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57A06F5"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原材料</w:t>
            </w:r>
          </w:p>
        </w:tc>
        <w:tc>
          <w:tcPr>
            <w:tcW w:w="1250" w:type="pct"/>
            <w:shd w:val="clear" w:color="auto" w:fill="auto"/>
            <w:tcMar>
              <w:top w:w="0" w:type="dxa"/>
              <w:left w:w="108" w:type="dxa"/>
              <w:bottom w:w="0" w:type="dxa"/>
              <w:right w:w="108" w:type="dxa"/>
            </w:tcMar>
            <w:vAlign w:val="center"/>
          </w:tcPr>
          <w:p w14:paraId="4569D69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5,121.51</w:t>
            </w:r>
          </w:p>
        </w:tc>
        <w:tc>
          <w:tcPr>
            <w:tcW w:w="1250" w:type="pct"/>
            <w:shd w:val="clear" w:color="auto" w:fill="auto"/>
            <w:tcMar>
              <w:top w:w="0" w:type="dxa"/>
              <w:left w:w="108" w:type="dxa"/>
              <w:bottom w:w="0" w:type="dxa"/>
              <w:right w:w="108" w:type="dxa"/>
            </w:tcMar>
            <w:vAlign w:val="center"/>
          </w:tcPr>
          <w:p w14:paraId="085A6D2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994.92</w:t>
            </w:r>
          </w:p>
        </w:tc>
        <w:tc>
          <w:tcPr>
            <w:tcW w:w="1250" w:type="pct"/>
            <w:shd w:val="clear" w:color="auto" w:fill="auto"/>
            <w:tcMar>
              <w:top w:w="0" w:type="dxa"/>
              <w:left w:w="108" w:type="dxa"/>
              <w:bottom w:w="0" w:type="dxa"/>
              <w:right w:w="108" w:type="dxa"/>
            </w:tcMar>
            <w:vAlign w:val="center"/>
          </w:tcPr>
          <w:p w14:paraId="1019FBD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4,126.59</w:t>
            </w:r>
          </w:p>
        </w:tc>
      </w:tr>
      <w:tr w:rsidR="006416B0" w:rsidRPr="00B4515A" w14:paraId="7AB857EB"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139CB504"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发出商品</w:t>
            </w:r>
          </w:p>
        </w:tc>
        <w:tc>
          <w:tcPr>
            <w:tcW w:w="1250" w:type="pct"/>
            <w:shd w:val="clear" w:color="auto" w:fill="auto"/>
            <w:tcMar>
              <w:top w:w="0" w:type="dxa"/>
              <w:left w:w="108" w:type="dxa"/>
              <w:bottom w:w="0" w:type="dxa"/>
              <w:right w:w="108" w:type="dxa"/>
            </w:tcMar>
            <w:vAlign w:val="center"/>
          </w:tcPr>
          <w:p w14:paraId="7DD91C5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3,453.01</w:t>
            </w:r>
          </w:p>
        </w:tc>
        <w:tc>
          <w:tcPr>
            <w:tcW w:w="1250" w:type="pct"/>
            <w:shd w:val="clear" w:color="auto" w:fill="auto"/>
            <w:tcMar>
              <w:top w:w="0" w:type="dxa"/>
              <w:left w:w="108" w:type="dxa"/>
              <w:bottom w:w="0" w:type="dxa"/>
              <w:right w:w="108" w:type="dxa"/>
            </w:tcMar>
            <w:vAlign w:val="center"/>
          </w:tcPr>
          <w:p w14:paraId="0D201C4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1250" w:type="pct"/>
            <w:shd w:val="clear" w:color="auto" w:fill="auto"/>
            <w:tcMar>
              <w:top w:w="0" w:type="dxa"/>
              <w:left w:w="108" w:type="dxa"/>
              <w:bottom w:w="0" w:type="dxa"/>
              <w:right w:w="108" w:type="dxa"/>
            </w:tcMar>
            <w:vAlign w:val="center"/>
          </w:tcPr>
          <w:p w14:paraId="23EA9DE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3,453.01</w:t>
            </w:r>
          </w:p>
        </w:tc>
      </w:tr>
      <w:tr w:rsidR="006416B0" w:rsidRPr="00B4515A" w14:paraId="202D80CD"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0D11CAA2"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在产品</w:t>
            </w:r>
          </w:p>
        </w:tc>
        <w:tc>
          <w:tcPr>
            <w:tcW w:w="1250" w:type="pct"/>
            <w:shd w:val="clear" w:color="auto" w:fill="auto"/>
            <w:tcMar>
              <w:top w:w="0" w:type="dxa"/>
              <w:left w:w="108" w:type="dxa"/>
              <w:bottom w:w="0" w:type="dxa"/>
              <w:right w:w="108" w:type="dxa"/>
            </w:tcMar>
            <w:vAlign w:val="center"/>
          </w:tcPr>
          <w:p w14:paraId="7E9770D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2,005.51</w:t>
            </w:r>
          </w:p>
        </w:tc>
        <w:tc>
          <w:tcPr>
            <w:tcW w:w="1250" w:type="pct"/>
            <w:shd w:val="clear" w:color="auto" w:fill="auto"/>
            <w:tcMar>
              <w:top w:w="0" w:type="dxa"/>
              <w:left w:w="108" w:type="dxa"/>
              <w:bottom w:w="0" w:type="dxa"/>
              <w:right w:w="108" w:type="dxa"/>
            </w:tcMar>
            <w:vAlign w:val="center"/>
          </w:tcPr>
          <w:p w14:paraId="12D170C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194.61</w:t>
            </w:r>
          </w:p>
        </w:tc>
        <w:tc>
          <w:tcPr>
            <w:tcW w:w="1250" w:type="pct"/>
            <w:shd w:val="clear" w:color="auto" w:fill="auto"/>
            <w:tcMar>
              <w:top w:w="0" w:type="dxa"/>
              <w:left w:w="108" w:type="dxa"/>
              <w:bottom w:w="0" w:type="dxa"/>
              <w:right w:w="108" w:type="dxa"/>
            </w:tcMar>
            <w:vAlign w:val="center"/>
          </w:tcPr>
          <w:p w14:paraId="07DF64D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1,810.90</w:t>
            </w:r>
          </w:p>
        </w:tc>
      </w:tr>
      <w:tr w:rsidR="006416B0" w:rsidRPr="00B4515A" w14:paraId="19C4A9DC"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0CB2FE62"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库存商品</w:t>
            </w:r>
          </w:p>
        </w:tc>
        <w:tc>
          <w:tcPr>
            <w:tcW w:w="1250" w:type="pct"/>
            <w:shd w:val="clear" w:color="auto" w:fill="auto"/>
            <w:tcMar>
              <w:top w:w="0" w:type="dxa"/>
              <w:left w:w="108" w:type="dxa"/>
              <w:bottom w:w="0" w:type="dxa"/>
              <w:right w:w="108" w:type="dxa"/>
            </w:tcMar>
            <w:vAlign w:val="center"/>
          </w:tcPr>
          <w:p w14:paraId="49D5BB2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3,208.45</w:t>
            </w:r>
          </w:p>
        </w:tc>
        <w:tc>
          <w:tcPr>
            <w:tcW w:w="1250" w:type="pct"/>
            <w:shd w:val="clear" w:color="auto" w:fill="auto"/>
            <w:tcMar>
              <w:top w:w="0" w:type="dxa"/>
              <w:left w:w="108" w:type="dxa"/>
              <w:bottom w:w="0" w:type="dxa"/>
              <w:right w:w="108" w:type="dxa"/>
            </w:tcMar>
            <w:vAlign w:val="center"/>
          </w:tcPr>
          <w:p w14:paraId="2778F6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1.24</w:t>
            </w:r>
          </w:p>
        </w:tc>
        <w:tc>
          <w:tcPr>
            <w:tcW w:w="1250" w:type="pct"/>
            <w:shd w:val="clear" w:color="auto" w:fill="auto"/>
            <w:tcMar>
              <w:top w:w="0" w:type="dxa"/>
              <w:left w:w="108" w:type="dxa"/>
              <w:bottom w:w="0" w:type="dxa"/>
              <w:right w:w="108" w:type="dxa"/>
            </w:tcMar>
            <w:vAlign w:val="center"/>
          </w:tcPr>
          <w:p w14:paraId="669FC13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3,207.21</w:t>
            </w:r>
          </w:p>
        </w:tc>
      </w:tr>
      <w:tr w:rsidR="006416B0" w:rsidRPr="00B4515A" w14:paraId="563D5E90"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609D420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合计</w:t>
            </w:r>
          </w:p>
        </w:tc>
        <w:tc>
          <w:tcPr>
            <w:tcW w:w="1250" w:type="pct"/>
            <w:shd w:val="clear" w:color="auto" w:fill="auto"/>
            <w:tcMar>
              <w:top w:w="0" w:type="dxa"/>
              <w:left w:w="108" w:type="dxa"/>
              <w:bottom w:w="0" w:type="dxa"/>
              <w:right w:w="108" w:type="dxa"/>
            </w:tcMar>
            <w:vAlign w:val="center"/>
          </w:tcPr>
          <w:p w14:paraId="0BFA6A8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13,788.48</w:t>
            </w:r>
          </w:p>
        </w:tc>
        <w:tc>
          <w:tcPr>
            <w:tcW w:w="1250" w:type="pct"/>
            <w:shd w:val="clear" w:color="auto" w:fill="auto"/>
            <w:tcMar>
              <w:top w:w="0" w:type="dxa"/>
              <w:left w:w="108" w:type="dxa"/>
              <w:bottom w:w="0" w:type="dxa"/>
              <w:right w:w="108" w:type="dxa"/>
            </w:tcMar>
            <w:vAlign w:val="center"/>
          </w:tcPr>
          <w:p w14:paraId="20D54CB5"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1,190.77</w:t>
            </w:r>
          </w:p>
        </w:tc>
        <w:tc>
          <w:tcPr>
            <w:tcW w:w="1250" w:type="pct"/>
            <w:shd w:val="clear" w:color="auto" w:fill="auto"/>
            <w:tcMar>
              <w:top w:w="0" w:type="dxa"/>
              <w:left w:w="108" w:type="dxa"/>
              <w:bottom w:w="0" w:type="dxa"/>
              <w:right w:w="108" w:type="dxa"/>
            </w:tcMar>
            <w:vAlign w:val="center"/>
          </w:tcPr>
          <w:p w14:paraId="31EC6DC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12,597.71</w:t>
            </w:r>
          </w:p>
        </w:tc>
      </w:tr>
    </w:tbl>
    <w:p w14:paraId="0B619547" w14:textId="7BE844A7" w:rsidR="006416B0" w:rsidRPr="00B4515A" w:rsidRDefault="005E58C1" w:rsidP="003357B7">
      <w:pPr>
        <w:pStyle w:val="005"/>
        <w:spacing w:before="120" w:after="120"/>
        <w:ind w:firstLine="480"/>
      </w:pPr>
      <w:r w:rsidRPr="00B4515A">
        <w:t>报告期各期末，大唐联诚存货</w:t>
      </w:r>
      <w:r w:rsidR="00C53C06" w:rsidRPr="00B4515A">
        <w:rPr>
          <w:rFonts w:hint="eastAsia"/>
        </w:rPr>
        <w:t>账面价值</w:t>
      </w:r>
      <w:r w:rsidRPr="00B4515A">
        <w:t>分别为</w:t>
      </w:r>
      <w:r w:rsidRPr="00B4515A">
        <w:t>12,597.71</w:t>
      </w:r>
      <w:r w:rsidRPr="00B4515A">
        <w:t>万元、</w:t>
      </w:r>
      <w:r w:rsidRPr="00B4515A">
        <w:t>15,250.81</w:t>
      </w:r>
      <w:r w:rsidRPr="00B4515A">
        <w:t>万元、</w:t>
      </w:r>
      <w:r w:rsidRPr="00B4515A">
        <w:t>17,993.53</w:t>
      </w:r>
      <w:r w:rsidRPr="00B4515A">
        <w:t>万元，占资产总额的比例分别为</w:t>
      </w:r>
      <w:r w:rsidRPr="00B4515A">
        <w:t>17.50%</w:t>
      </w:r>
      <w:r w:rsidRPr="00B4515A">
        <w:t>、</w:t>
      </w:r>
      <w:r w:rsidRPr="00B4515A">
        <w:t>17.49%</w:t>
      </w:r>
      <w:r w:rsidRPr="00B4515A">
        <w:t>、</w:t>
      </w:r>
      <w:r w:rsidRPr="00B4515A">
        <w:t>11.95%</w:t>
      </w:r>
      <w:r w:rsidRPr="00B4515A">
        <w:t>。大唐联诚</w:t>
      </w:r>
      <w:r w:rsidRPr="00B4515A">
        <w:t>2020</w:t>
      </w:r>
      <w:r w:rsidRPr="00B4515A">
        <w:t>年度较</w:t>
      </w:r>
      <w:r w:rsidRPr="00B4515A">
        <w:t>2019</w:t>
      </w:r>
      <w:r w:rsidRPr="00B4515A">
        <w:t>年末增长</w:t>
      </w:r>
      <w:r w:rsidRPr="00B4515A">
        <w:t>21.06%</w:t>
      </w:r>
      <w:r w:rsidRPr="00B4515A">
        <w:t>，主要是随着</w:t>
      </w:r>
      <w:r w:rsidRPr="00B4515A">
        <w:t>2020</w:t>
      </w:r>
      <w:r w:rsidRPr="00B4515A">
        <w:t>年度业务规模扩大，导致原材料、在产品增加</w:t>
      </w:r>
      <w:r w:rsidRPr="00B4515A">
        <w:rPr>
          <w:rFonts w:hint="eastAsia"/>
        </w:rPr>
        <w:t>；</w:t>
      </w:r>
      <w:r w:rsidRPr="00B4515A">
        <w:t>2021</w:t>
      </w:r>
      <w:r w:rsidRPr="00B4515A">
        <w:t>年</w:t>
      </w:r>
      <w:r w:rsidRPr="00B4515A">
        <w:t>4</w:t>
      </w:r>
      <w:r w:rsidRPr="00B4515A">
        <w:t>月末较</w:t>
      </w:r>
      <w:r w:rsidRPr="00B4515A">
        <w:t>2020</w:t>
      </w:r>
      <w:r w:rsidRPr="00B4515A">
        <w:t>年末增长</w:t>
      </w:r>
      <w:r w:rsidRPr="00B4515A">
        <w:t>17.98%</w:t>
      </w:r>
      <w:r w:rsidRPr="00B4515A">
        <w:t>，</w:t>
      </w:r>
      <w:r w:rsidRPr="00B4515A">
        <w:rPr>
          <w:rFonts w:hint="eastAsia"/>
        </w:rPr>
        <w:t>主要是由于</w:t>
      </w:r>
      <w:r w:rsidRPr="00B4515A">
        <w:rPr>
          <w:rFonts w:hint="eastAsia"/>
        </w:rPr>
        <w:t>2</w:t>
      </w:r>
      <w:r w:rsidRPr="00B4515A">
        <w:t>021</w:t>
      </w:r>
      <w:r w:rsidRPr="00B4515A">
        <w:rPr>
          <w:rFonts w:hint="eastAsia"/>
        </w:rPr>
        <w:t>年</w:t>
      </w:r>
      <w:r w:rsidRPr="00B4515A">
        <w:rPr>
          <w:rFonts w:hint="eastAsia"/>
        </w:rPr>
        <w:t>1-</w:t>
      </w:r>
      <w:r w:rsidRPr="00B4515A">
        <w:t>4</w:t>
      </w:r>
      <w:r w:rsidRPr="00B4515A">
        <w:rPr>
          <w:rFonts w:hint="eastAsia"/>
        </w:rPr>
        <w:t>月份为了生产提前备货、备料所致</w:t>
      </w:r>
      <w:r w:rsidRPr="00B4515A">
        <w:t>。</w:t>
      </w:r>
    </w:p>
    <w:p w14:paraId="39A88BE7" w14:textId="77777777" w:rsidR="006416B0" w:rsidRPr="00B4515A" w:rsidRDefault="005E58C1" w:rsidP="003357B7">
      <w:pPr>
        <w:pStyle w:val="005"/>
        <w:spacing w:before="120" w:after="120"/>
        <w:ind w:firstLine="480"/>
      </w:pPr>
      <w:r w:rsidRPr="00B4515A">
        <w:rPr>
          <w:rFonts w:hint="eastAsia"/>
        </w:rPr>
        <w:t>（</w:t>
      </w:r>
      <w:r w:rsidRPr="00B4515A">
        <w:rPr>
          <w:rFonts w:hint="eastAsia"/>
        </w:rPr>
        <w:t>4</w:t>
      </w:r>
      <w:r w:rsidRPr="00B4515A">
        <w:rPr>
          <w:rFonts w:hint="eastAsia"/>
        </w:rPr>
        <w:t>）其他权益工具投资</w:t>
      </w:r>
    </w:p>
    <w:p w14:paraId="120BDEDC"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27"/>
        <w:gridCol w:w="2234"/>
        <w:gridCol w:w="2234"/>
        <w:gridCol w:w="2233"/>
      </w:tblGrid>
      <w:tr w:rsidR="006416B0" w:rsidRPr="00B4515A" w14:paraId="7AA1533B" w14:textId="77777777" w:rsidTr="00031627">
        <w:trPr>
          <w:trHeight w:val="340"/>
          <w:jc w:val="center"/>
        </w:trPr>
        <w:tc>
          <w:tcPr>
            <w:tcW w:w="1071" w:type="pct"/>
            <w:shd w:val="clear" w:color="auto" w:fill="auto"/>
            <w:tcMar>
              <w:top w:w="0" w:type="dxa"/>
              <w:left w:w="108" w:type="dxa"/>
              <w:bottom w:w="0" w:type="dxa"/>
              <w:right w:w="108" w:type="dxa"/>
            </w:tcMar>
            <w:vAlign w:val="center"/>
          </w:tcPr>
          <w:p w14:paraId="6C714B6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1310" w:type="pct"/>
            <w:shd w:val="clear" w:color="auto" w:fill="auto"/>
            <w:tcMar>
              <w:top w:w="0" w:type="dxa"/>
              <w:left w:w="108" w:type="dxa"/>
              <w:bottom w:w="0" w:type="dxa"/>
              <w:right w:w="108" w:type="dxa"/>
            </w:tcMar>
            <w:vAlign w:val="center"/>
          </w:tcPr>
          <w:p w14:paraId="5166921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2021.4.30</w:t>
            </w:r>
          </w:p>
        </w:tc>
        <w:tc>
          <w:tcPr>
            <w:tcW w:w="1310" w:type="pct"/>
            <w:shd w:val="clear" w:color="auto" w:fill="auto"/>
            <w:tcMar>
              <w:top w:w="0" w:type="dxa"/>
              <w:left w:w="108" w:type="dxa"/>
              <w:bottom w:w="0" w:type="dxa"/>
              <w:right w:w="108" w:type="dxa"/>
            </w:tcMar>
            <w:vAlign w:val="center"/>
          </w:tcPr>
          <w:p w14:paraId="66FEACD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2020.12.31</w:t>
            </w:r>
          </w:p>
        </w:tc>
        <w:tc>
          <w:tcPr>
            <w:tcW w:w="1309" w:type="pct"/>
            <w:shd w:val="clear" w:color="auto" w:fill="auto"/>
            <w:tcMar>
              <w:top w:w="0" w:type="dxa"/>
              <w:left w:w="108" w:type="dxa"/>
              <w:bottom w:w="0" w:type="dxa"/>
              <w:right w:w="108" w:type="dxa"/>
            </w:tcMar>
            <w:vAlign w:val="center"/>
          </w:tcPr>
          <w:p w14:paraId="533A321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2019.12.31</w:t>
            </w:r>
          </w:p>
        </w:tc>
      </w:tr>
      <w:tr w:rsidR="006416B0" w:rsidRPr="00B4515A" w14:paraId="0D1ED70A" w14:textId="77777777" w:rsidTr="00031627">
        <w:trPr>
          <w:trHeight w:val="340"/>
          <w:jc w:val="center"/>
        </w:trPr>
        <w:tc>
          <w:tcPr>
            <w:tcW w:w="1071" w:type="pct"/>
            <w:shd w:val="clear" w:color="auto" w:fill="auto"/>
            <w:tcMar>
              <w:top w:w="0" w:type="dxa"/>
              <w:left w:w="108" w:type="dxa"/>
              <w:bottom w:w="0" w:type="dxa"/>
              <w:right w:w="108" w:type="dxa"/>
            </w:tcMar>
            <w:vAlign w:val="center"/>
          </w:tcPr>
          <w:p w14:paraId="1A02F05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非交易性权益工具投资</w:t>
            </w:r>
          </w:p>
        </w:tc>
        <w:tc>
          <w:tcPr>
            <w:tcW w:w="1310" w:type="pct"/>
            <w:shd w:val="clear" w:color="auto" w:fill="auto"/>
            <w:tcMar>
              <w:top w:w="0" w:type="dxa"/>
              <w:left w:w="108" w:type="dxa"/>
              <w:bottom w:w="0" w:type="dxa"/>
              <w:right w:w="108" w:type="dxa"/>
            </w:tcMar>
            <w:vAlign w:val="center"/>
          </w:tcPr>
          <w:p w14:paraId="7DCA7D9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17,931.14</w:t>
            </w:r>
          </w:p>
        </w:tc>
        <w:tc>
          <w:tcPr>
            <w:tcW w:w="1310" w:type="pct"/>
            <w:shd w:val="clear" w:color="auto" w:fill="auto"/>
            <w:tcMar>
              <w:top w:w="0" w:type="dxa"/>
              <w:left w:w="108" w:type="dxa"/>
              <w:bottom w:w="0" w:type="dxa"/>
              <w:right w:w="108" w:type="dxa"/>
            </w:tcMar>
            <w:vAlign w:val="center"/>
          </w:tcPr>
          <w:p w14:paraId="5C40D0B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17,931.14</w:t>
            </w:r>
          </w:p>
        </w:tc>
        <w:tc>
          <w:tcPr>
            <w:tcW w:w="1309" w:type="pct"/>
            <w:shd w:val="clear" w:color="auto" w:fill="auto"/>
            <w:tcMar>
              <w:top w:w="0" w:type="dxa"/>
              <w:left w:w="108" w:type="dxa"/>
              <w:bottom w:w="0" w:type="dxa"/>
              <w:right w:w="108" w:type="dxa"/>
            </w:tcMar>
            <w:vAlign w:val="center"/>
          </w:tcPr>
          <w:p w14:paraId="3D94B63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16,577.50</w:t>
            </w:r>
          </w:p>
        </w:tc>
      </w:tr>
      <w:tr w:rsidR="006416B0" w:rsidRPr="00B4515A" w14:paraId="143263C6" w14:textId="77777777" w:rsidTr="00031627">
        <w:trPr>
          <w:trHeight w:val="340"/>
          <w:jc w:val="center"/>
        </w:trPr>
        <w:tc>
          <w:tcPr>
            <w:tcW w:w="1071" w:type="pct"/>
            <w:shd w:val="clear" w:color="auto" w:fill="auto"/>
            <w:tcMar>
              <w:top w:w="0" w:type="dxa"/>
              <w:left w:w="108" w:type="dxa"/>
              <w:bottom w:w="0" w:type="dxa"/>
              <w:right w:w="108" w:type="dxa"/>
            </w:tcMar>
            <w:vAlign w:val="center"/>
          </w:tcPr>
          <w:p w14:paraId="732C4E8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其中：宸芯科技有限公司</w:t>
            </w:r>
          </w:p>
        </w:tc>
        <w:tc>
          <w:tcPr>
            <w:tcW w:w="1310" w:type="pct"/>
            <w:shd w:val="clear" w:color="auto" w:fill="auto"/>
            <w:tcMar>
              <w:top w:w="0" w:type="dxa"/>
              <w:left w:w="108" w:type="dxa"/>
              <w:bottom w:w="0" w:type="dxa"/>
              <w:right w:w="108" w:type="dxa"/>
            </w:tcMar>
            <w:vAlign w:val="center"/>
          </w:tcPr>
          <w:p w14:paraId="05CE991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17,931.14</w:t>
            </w:r>
          </w:p>
        </w:tc>
        <w:tc>
          <w:tcPr>
            <w:tcW w:w="1310" w:type="pct"/>
            <w:shd w:val="clear" w:color="auto" w:fill="auto"/>
            <w:tcMar>
              <w:top w:w="0" w:type="dxa"/>
              <w:left w:w="108" w:type="dxa"/>
              <w:bottom w:w="0" w:type="dxa"/>
              <w:right w:w="108" w:type="dxa"/>
            </w:tcMar>
            <w:vAlign w:val="center"/>
          </w:tcPr>
          <w:p w14:paraId="61D3083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17,931.14</w:t>
            </w:r>
          </w:p>
        </w:tc>
        <w:tc>
          <w:tcPr>
            <w:tcW w:w="1309" w:type="pct"/>
            <w:shd w:val="clear" w:color="auto" w:fill="auto"/>
            <w:tcMar>
              <w:top w:w="0" w:type="dxa"/>
              <w:left w:w="108" w:type="dxa"/>
              <w:bottom w:w="0" w:type="dxa"/>
              <w:right w:w="108" w:type="dxa"/>
            </w:tcMar>
            <w:vAlign w:val="center"/>
          </w:tcPr>
          <w:p w14:paraId="77EE835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16,577.50</w:t>
            </w:r>
          </w:p>
        </w:tc>
      </w:tr>
      <w:tr w:rsidR="006416B0" w:rsidRPr="00B4515A" w14:paraId="431CBA92" w14:textId="77777777" w:rsidTr="00031627">
        <w:trPr>
          <w:trHeight w:val="340"/>
          <w:jc w:val="center"/>
        </w:trPr>
        <w:tc>
          <w:tcPr>
            <w:tcW w:w="1071" w:type="pct"/>
            <w:shd w:val="clear" w:color="auto" w:fill="auto"/>
            <w:tcMar>
              <w:top w:w="0" w:type="dxa"/>
              <w:left w:w="108" w:type="dxa"/>
              <w:bottom w:w="0" w:type="dxa"/>
              <w:right w:w="108" w:type="dxa"/>
            </w:tcMar>
            <w:vAlign w:val="center"/>
          </w:tcPr>
          <w:p w14:paraId="6C2A667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合计</w:t>
            </w:r>
          </w:p>
        </w:tc>
        <w:tc>
          <w:tcPr>
            <w:tcW w:w="1310" w:type="pct"/>
            <w:shd w:val="clear" w:color="auto" w:fill="auto"/>
            <w:tcMar>
              <w:top w:w="0" w:type="dxa"/>
              <w:left w:w="108" w:type="dxa"/>
              <w:bottom w:w="0" w:type="dxa"/>
              <w:right w:w="108" w:type="dxa"/>
            </w:tcMar>
            <w:vAlign w:val="center"/>
          </w:tcPr>
          <w:p w14:paraId="31A8C9C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17,931.14</w:t>
            </w:r>
          </w:p>
        </w:tc>
        <w:tc>
          <w:tcPr>
            <w:tcW w:w="1310" w:type="pct"/>
            <w:shd w:val="clear" w:color="auto" w:fill="auto"/>
            <w:tcMar>
              <w:top w:w="0" w:type="dxa"/>
              <w:left w:w="108" w:type="dxa"/>
              <w:bottom w:w="0" w:type="dxa"/>
              <w:right w:w="108" w:type="dxa"/>
            </w:tcMar>
            <w:vAlign w:val="center"/>
          </w:tcPr>
          <w:p w14:paraId="3351B12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17,931.14</w:t>
            </w:r>
          </w:p>
        </w:tc>
        <w:tc>
          <w:tcPr>
            <w:tcW w:w="1309" w:type="pct"/>
            <w:shd w:val="clear" w:color="auto" w:fill="auto"/>
            <w:tcMar>
              <w:top w:w="0" w:type="dxa"/>
              <w:left w:w="108" w:type="dxa"/>
              <w:bottom w:w="0" w:type="dxa"/>
              <w:right w:w="108" w:type="dxa"/>
            </w:tcMar>
            <w:vAlign w:val="center"/>
          </w:tcPr>
          <w:p w14:paraId="6005370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16,577.50</w:t>
            </w:r>
          </w:p>
        </w:tc>
      </w:tr>
    </w:tbl>
    <w:p w14:paraId="402E4144" w14:textId="77777777" w:rsidR="006416B0" w:rsidRPr="00B4515A" w:rsidRDefault="005E58C1" w:rsidP="003357B7">
      <w:pPr>
        <w:pStyle w:val="005"/>
        <w:spacing w:before="120" w:after="120"/>
        <w:ind w:firstLine="480"/>
      </w:pPr>
      <w:r w:rsidRPr="00B4515A">
        <w:rPr>
          <w:rFonts w:hint="eastAsia"/>
        </w:rPr>
        <w:t>报告期内，各期末大唐联诚其他权益工具投资账面金额分别为</w:t>
      </w:r>
      <w:r w:rsidRPr="00B4515A">
        <w:t>16,577.50</w:t>
      </w:r>
      <w:r w:rsidRPr="00B4515A">
        <w:t>万元</w:t>
      </w:r>
      <w:r w:rsidRPr="00B4515A">
        <w:rPr>
          <w:rFonts w:hint="eastAsia"/>
        </w:rPr>
        <w:t>、</w:t>
      </w:r>
      <w:r w:rsidRPr="00B4515A">
        <w:t>17,931.14</w:t>
      </w:r>
      <w:r w:rsidRPr="00B4515A">
        <w:t>万元</w:t>
      </w:r>
      <w:r w:rsidRPr="00B4515A">
        <w:rPr>
          <w:rFonts w:hint="eastAsia"/>
        </w:rPr>
        <w:t>、</w:t>
      </w:r>
      <w:r w:rsidRPr="00B4515A">
        <w:t>17,931.14</w:t>
      </w:r>
      <w:r w:rsidRPr="00B4515A">
        <w:t>万元</w:t>
      </w:r>
      <w:r w:rsidRPr="00B4515A">
        <w:rPr>
          <w:rFonts w:hint="eastAsia"/>
        </w:rPr>
        <w:t>。</w:t>
      </w:r>
      <w:r w:rsidRPr="00B4515A">
        <w:t>主要系大唐联诚参股</w:t>
      </w:r>
      <w:r w:rsidRPr="00B4515A">
        <w:rPr>
          <w:rFonts w:hint="eastAsia"/>
        </w:rPr>
        <w:t>宸芯科技有限公司所致。</w:t>
      </w:r>
    </w:p>
    <w:p w14:paraId="498A9975" w14:textId="77777777" w:rsidR="006416B0" w:rsidRPr="00B4515A" w:rsidRDefault="005E58C1" w:rsidP="003357B7">
      <w:pPr>
        <w:pStyle w:val="005"/>
        <w:spacing w:before="120" w:after="120"/>
        <w:ind w:firstLine="480"/>
      </w:pPr>
      <w:r w:rsidRPr="00B4515A">
        <w:rPr>
          <w:rFonts w:hint="eastAsia"/>
        </w:rPr>
        <w:t>（</w:t>
      </w:r>
      <w:r w:rsidRPr="00B4515A">
        <w:rPr>
          <w:rFonts w:hint="eastAsia"/>
        </w:rPr>
        <w:t>5</w:t>
      </w:r>
      <w:r w:rsidRPr="00B4515A">
        <w:rPr>
          <w:rFonts w:hint="eastAsia"/>
        </w:rPr>
        <w:t>）固定资产</w:t>
      </w:r>
    </w:p>
    <w:p w14:paraId="652DE97B"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91"/>
        <w:gridCol w:w="2422"/>
        <w:gridCol w:w="1571"/>
        <w:gridCol w:w="1571"/>
        <w:gridCol w:w="1573"/>
      </w:tblGrid>
      <w:tr w:rsidR="006416B0" w:rsidRPr="00B4515A" w14:paraId="484D3332"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2D62F49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p>
        </w:tc>
      </w:tr>
      <w:tr w:rsidR="006416B0" w:rsidRPr="00B4515A" w14:paraId="631B822B" w14:textId="77777777" w:rsidTr="00031627">
        <w:trPr>
          <w:trHeight w:val="340"/>
          <w:jc w:val="center"/>
        </w:trPr>
        <w:tc>
          <w:tcPr>
            <w:tcW w:w="816" w:type="pct"/>
            <w:shd w:val="clear" w:color="auto" w:fill="auto"/>
            <w:tcMar>
              <w:top w:w="0" w:type="dxa"/>
              <w:left w:w="108" w:type="dxa"/>
              <w:bottom w:w="0" w:type="dxa"/>
              <w:right w:w="108" w:type="dxa"/>
            </w:tcMar>
            <w:vAlign w:val="center"/>
          </w:tcPr>
          <w:p w14:paraId="54B1DAC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1420" w:type="pct"/>
            <w:shd w:val="clear" w:color="auto" w:fill="auto"/>
            <w:tcMar>
              <w:top w:w="0" w:type="dxa"/>
              <w:left w:w="108" w:type="dxa"/>
              <w:bottom w:w="0" w:type="dxa"/>
              <w:right w:w="108" w:type="dxa"/>
            </w:tcMar>
            <w:vAlign w:val="center"/>
          </w:tcPr>
          <w:p w14:paraId="4624024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账面原值</w:t>
            </w:r>
          </w:p>
        </w:tc>
        <w:tc>
          <w:tcPr>
            <w:tcW w:w="921" w:type="pct"/>
            <w:shd w:val="clear" w:color="auto" w:fill="auto"/>
            <w:tcMar>
              <w:top w:w="0" w:type="dxa"/>
              <w:left w:w="108" w:type="dxa"/>
              <w:bottom w:w="0" w:type="dxa"/>
              <w:right w:w="108" w:type="dxa"/>
            </w:tcMar>
            <w:vAlign w:val="center"/>
          </w:tcPr>
          <w:p w14:paraId="6E7837C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累计折旧</w:t>
            </w:r>
          </w:p>
        </w:tc>
        <w:tc>
          <w:tcPr>
            <w:tcW w:w="921" w:type="pct"/>
            <w:shd w:val="clear" w:color="auto" w:fill="auto"/>
            <w:tcMar>
              <w:top w:w="0" w:type="dxa"/>
              <w:left w:w="108" w:type="dxa"/>
              <w:bottom w:w="0" w:type="dxa"/>
              <w:right w:w="108" w:type="dxa"/>
            </w:tcMar>
            <w:vAlign w:val="center"/>
          </w:tcPr>
          <w:p w14:paraId="1500D34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减值准备</w:t>
            </w:r>
          </w:p>
        </w:tc>
        <w:tc>
          <w:tcPr>
            <w:tcW w:w="922" w:type="pct"/>
            <w:shd w:val="clear" w:color="auto" w:fill="auto"/>
            <w:tcMar>
              <w:top w:w="0" w:type="dxa"/>
              <w:left w:w="108" w:type="dxa"/>
              <w:bottom w:w="0" w:type="dxa"/>
              <w:right w:w="108" w:type="dxa"/>
            </w:tcMar>
            <w:vAlign w:val="center"/>
          </w:tcPr>
          <w:p w14:paraId="5BB5A8D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账面价值</w:t>
            </w:r>
          </w:p>
        </w:tc>
      </w:tr>
      <w:tr w:rsidR="006416B0" w:rsidRPr="00B4515A" w14:paraId="654DB19E" w14:textId="77777777" w:rsidTr="00031627">
        <w:trPr>
          <w:trHeight w:val="340"/>
          <w:jc w:val="center"/>
        </w:trPr>
        <w:tc>
          <w:tcPr>
            <w:tcW w:w="816" w:type="pct"/>
            <w:shd w:val="clear" w:color="auto" w:fill="auto"/>
            <w:tcMar>
              <w:top w:w="0" w:type="dxa"/>
              <w:left w:w="108" w:type="dxa"/>
              <w:bottom w:w="0" w:type="dxa"/>
              <w:right w:w="108" w:type="dxa"/>
            </w:tcMar>
            <w:vAlign w:val="center"/>
          </w:tcPr>
          <w:p w14:paraId="315D96B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机器设备</w:t>
            </w:r>
          </w:p>
        </w:tc>
        <w:tc>
          <w:tcPr>
            <w:tcW w:w="1420" w:type="pct"/>
            <w:shd w:val="clear" w:color="auto" w:fill="auto"/>
            <w:tcMar>
              <w:top w:w="0" w:type="dxa"/>
              <w:left w:w="108" w:type="dxa"/>
              <w:bottom w:w="0" w:type="dxa"/>
              <w:right w:w="108" w:type="dxa"/>
            </w:tcMar>
            <w:vAlign w:val="center"/>
          </w:tcPr>
          <w:p w14:paraId="6E6AF3C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4,286.07</w:t>
            </w:r>
          </w:p>
        </w:tc>
        <w:tc>
          <w:tcPr>
            <w:tcW w:w="921" w:type="pct"/>
            <w:shd w:val="clear" w:color="auto" w:fill="auto"/>
            <w:tcMar>
              <w:top w:w="0" w:type="dxa"/>
              <w:left w:w="108" w:type="dxa"/>
              <w:bottom w:w="0" w:type="dxa"/>
              <w:right w:w="108" w:type="dxa"/>
            </w:tcMar>
            <w:vAlign w:val="center"/>
          </w:tcPr>
          <w:p w14:paraId="1817976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2,276.13</w:t>
            </w:r>
          </w:p>
        </w:tc>
        <w:tc>
          <w:tcPr>
            <w:tcW w:w="921" w:type="pct"/>
            <w:shd w:val="clear" w:color="auto" w:fill="auto"/>
            <w:tcMar>
              <w:top w:w="0" w:type="dxa"/>
              <w:left w:w="108" w:type="dxa"/>
              <w:bottom w:w="0" w:type="dxa"/>
              <w:right w:w="108" w:type="dxa"/>
            </w:tcMar>
            <w:vAlign w:val="center"/>
          </w:tcPr>
          <w:p w14:paraId="5C17159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7CA51CC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2,009.94</w:t>
            </w:r>
          </w:p>
        </w:tc>
      </w:tr>
      <w:tr w:rsidR="006416B0" w:rsidRPr="00B4515A" w14:paraId="5A6F3715" w14:textId="77777777" w:rsidTr="00031627">
        <w:trPr>
          <w:trHeight w:val="340"/>
          <w:jc w:val="center"/>
        </w:trPr>
        <w:tc>
          <w:tcPr>
            <w:tcW w:w="816" w:type="pct"/>
            <w:shd w:val="clear" w:color="auto" w:fill="auto"/>
            <w:tcMar>
              <w:top w:w="0" w:type="dxa"/>
              <w:left w:w="108" w:type="dxa"/>
              <w:bottom w:w="0" w:type="dxa"/>
              <w:right w:w="108" w:type="dxa"/>
            </w:tcMar>
            <w:vAlign w:val="center"/>
          </w:tcPr>
          <w:p w14:paraId="70A3E49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运输工具</w:t>
            </w:r>
          </w:p>
        </w:tc>
        <w:tc>
          <w:tcPr>
            <w:tcW w:w="1420" w:type="pct"/>
            <w:shd w:val="clear" w:color="auto" w:fill="auto"/>
            <w:tcMar>
              <w:top w:w="0" w:type="dxa"/>
              <w:left w:w="108" w:type="dxa"/>
              <w:bottom w:w="0" w:type="dxa"/>
              <w:right w:w="108" w:type="dxa"/>
            </w:tcMar>
            <w:vAlign w:val="center"/>
          </w:tcPr>
          <w:p w14:paraId="5A849DA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197.66</w:t>
            </w:r>
          </w:p>
        </w:tc>
        <w:tc>
          <w:tcPr>
            <w:tcW w:w="921" w:type="pct"/>
            <w:shd w:val="clear" w:color="auto" w:fill="auto"/>
            <w:tcMar>
              <w:top w:w="0" w:type="dxa"/>
              <w:left w:w="108" w:type="dxa"/>
              <w:bottom w:w="0" w:type="dxa"/>
              <w:right w:w="108" w:type="dxa"/>
            </w:tcMar>
            <w:vAlign w:val="center"/>
          </w:tcPr>
          <w:p w14:paraId="2CA065E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133.38</w:t>
            </w:r>
          </w:p>
        </w:tc>
        <w:tc>
          <w:tcPr>
            <w:tcW w:w="921" w:type="pct"/>
            <w:shd w:val="clear" w:color="auto" w:fill="auto"/>
            <w:tcMar>
              <w:top w:w="0" w:type="dxa"/>
              <w:left w:w="108" w:type="dxa"/>
              <w:bottom w:w="0" w:type="dxa"/>
              <w:right w:w="108" w:type="dxa"/>
            </w:tcMar>
            <w:vAlign w:val="center"/>
          </w:tcPr>
          <w:p w14:paraId="207354F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039085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64.29</w:t>
            </w:r>
          </w:p>
        </w:tc>
      </w:tr>
      <w:tr w:rsidR="006416B0" w:rsidRPr="00B4515A" w14:paraId="1C9EE080" w14:textId="77777777" w:rsidTr="00031627">
        <w:trPr>
          <w:trHeight w:val="340"/>
          <w:jc w:val="center"/>
        </w:trPr>
        <w:tc>
          <w:tcPr>
            <w:tcW w:w="816" w:type="pct"/>
            <w:shd w:val="clear" w:color="auto" w:fill="auto"/>
            <w:tcMar>
              <w:top w:w="0" w:type="dxa"/>
              <w:left w:w="108" w:type="dxa"/>
              <w:bottom w:w="0" w:type="dxa"/>
              <w:right w:w="108" w:type="dxa"/>
            </w:tcMar>
            <w:vAlign w:val="center"/>
          </w:tcPr>
          <w:p w14:paraId="77A0F3D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电子设备</w:t>
            </w:r>
          </w:p>
        </w:tc>
        <w:tc>
          <w:tcPr>
            <w:tcW w:w="1420" w:type="pct"/>
            <w:shd w:val="clear" w:color="auto" w:fill="auto"/>
            <w:tcMar>
              <w:top w:w="0" w:type="dxa"/>
              <w:left w:w="108" w:type="dxa"/>
              <w:bottom w:w="0" w:type="dxa"/>
              <w:right w:w="108" w:type="dxa"/>
            </w:tcMar>
            <w:vAlign w:val="center"/>
          </w:tcPr>
          <w:p w14:paraId="74B8AAA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904.83</w:t>
            </w:r>
          </w:p>
        </w:tc>
        <w:tc>
          <w:tcPr>
            <w:tcW w:w="921" w:type="pct"/>
            <w:shd w:val="clear" w:color="auto" w:fill="auto"/>
            <w:tcMar>
              <w:top w:w="0" w:type="dxa"/>
              <w:left w:w="108" w:type="dxa"/>
              <w:bottom w:w="0" w:type="dxa"/>
              <w:right w:w="108" w:type="dxa"/>
            </w:tcMar>
            <w:vAlign w:val="center"/>
          </w:tcPr>
          <w:p w14:paraId="6B7766D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478.81</w:t>
            </w:r>
          </w:p>
        </w:tc>
        <w:tc>
          <w:tcPr>
            <w:tcW w:w="921" w:type="pct"/>
            <w:shd w:val="clear" w:color="auto" w:fill="auto"/>
            <w:tcMar>
              <w:top w:w="0" w:type="dxa"/>
              <w:left w:w="108" w:type="dxa"/>
              <w:bottom w:w="0" w:type="dxa"/>
              <w:right w:w="108" w:type="dxa"/>
            </w:tcMar>
            <w:vAlign w:val="center"/>
          </w:tcPr>
          <w:p w14:paraId="5EB20DE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6FCCBDE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426.03</w:t>
            </w:r>
          </w:p>
        </w:tc>
      </w:tr>
      <w:tr w:rsidR="006416B0" w:rsidRPr="00B4515A" w14:paraId="73E52C42" w14:textId="77777777" w:rsidTr="00031627">
        <w:trPr>
          <w:trHeight w:val="340"/>
          <w:jc w:val="center"/>
        </w:trPr>
        <w:tc>
          <w:tcPr>
            <w:tcW w:w="816" w:type="pct"/>
            <w:shd w:val="clear" w:color="auto" w:fill="auto"/>
            <w:tcMar>
              <w:top w:w="0" w:type="dxa"/>
              <w:left w:w="108" w:type="dxa"/>
              <w:bottom w:w="0" w:type="dxa"/>
              <w:right w:w="108" w:type="dxa"/>
            </w:tcMar>
            <w:vAlign w:val="center"/>
          </w:tcPr>
          <w:p w14:paraId="1617595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办公设备</w:t>
            </w:r>
          </w:p>
        </w:tc>
        <w:tc>
          <w:tcPr>
            <w:tcW w:w="1420" w:type="pct"/>
            <w:shd w:val="clear" w:color="auto" w:fill="auto"/>
            <w:tcMar>
              <w:top w:w="0" w:type="dxa"/>
              <w:left w:w="108" w:type="dxa"/>
              <w:bottom w:w="0" w:type="dxa"/>
              <w:right w:w="108" w:type="dxa"/>
            </w:tcMar>
            <w:vAlign w:val="center"/>
          </w:tcPr>
          <w:p w14:paraId="18CBBD2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955.69</w:t>
            </w:r>
          </w:p>
        </w:tc>
        <w:tc>
          <w:tcPr>
            <w:tcW w:w="921" w:type="pct"/>
            <w:shd w:val="clear" w:color="auto" w:fill="auto"/>
            <w:tcMar>
              <w:top w:w="0" w:type="dxa"/>
              <w:left w:w="108" w:type="dxa"/>
              <w:bottom w:w="0" w:type="dxa"/>
              <w:right w:w="108" w:type="dxa"/>
            </w:tcMar>
            <w:vAlign w:val="center"/>
          </w:tcPr>
          <w:p w14:paraId="5B23FA0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227.96</w:t>
            </w:r>
          </w:p>
        </w:tc>
        <w:tc>
          <w:tcPr>
            <w:tcW w:w="921" w:type="pct"/>
            <w:shd w:val="clear" w:color="auto" w:fill="auto"/>
            <w:tcMar>
              <w:top w:w="0" w:type="dxa"/>
              <w:left w:w="108" w:type="dxa"/>
              <w:bottom w:w="0" w:type="dxa"/>
              <w:right w:w="108" w:type="dxa"/>
            </w:tcMar>
            <w:vAlign w:val="center"/>
          </w:tcPr>
          <w:p w14:paraId="0E3C94C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45233CE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727.73</w:t>
            </w:r>
          </w:p>
        </w:tc>
      </w:tr>
      <w:tr w:rsidR="006416B0" w:rsidRPr="00B4515A" w14:paraId="271B3CD8" w14:textId="77777777" w:rsidTr="00031627">
        <w:trPr>
          <w:trHeight w:val="340"/>
          <w:jc w:val="center"/>
        </w:trPr>
        <w:tc>
          <w:tcPr>
            <w:tcW w:w="816" w:type="pct"/>
            <w:shd w:val="clear" w:color="auto" w:fill="auto"/>
            <w:tcMar>
              <w:top w:w="0" w:type="dxa"/>
              <w:left w:w="108" w:type="dxa"/>
              <w:bottom w:w="0" w:type="dxa"/>
              <w:right w:w="108" w:type="dxa"/>
            </w:tcMar>
            <w:vAlign w:val="center"/>
          </w:tcPr>
          <w:p w14:paraId="39DFC9DA"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w:t>
            </w:r>
          </w:p>
        </w:tc>
        <w:tc>
          <w:tcPr>
            <w:tcW w:w="1420" w:type="pct"/>
            <w:shd w:val="clear" w:color="auto" w:fill="auto"/>
            <w:tcMar>
              <w:top w:w="0" w:type="dxa"/>
              <w:left w:w="108" w:type="dxa"/>
              <w:bottom w:w="0" w:type="dxa"/>
              <w:right w:w="108" w:type="dxa"/>
            </w:tcMar>
            <w:vAlign w:val="center"/>
          </w:tcPr>
          <w:p w14:paraId="594F7CF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78.81</w:t>
            </w:r>
          </w:p>
        </w:tc>
        <w:tc>
          <w:tcPr>
            <w:tcW w:w="921" w:type="pct"/>
            <w:shd w:val="clear" w:color="auto" w:fill="auto"/>
            <w:tcMar>
              <w:top w:w="0" w:type="dxa"/>
              <w:left w:w="108" w:type="dxa"/>
              <w:bottom w:w="0" w:type="dxa"/>
              <w:right w:w="108" w:type="dxa"/>
            </w:tcMar>
            <w:vAlign w:val="center"/>
          </w:tcPr>
          <w:p w14:paraId="597B237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40.60</w:t>
            </w:r>
          </w:p>
        </w:tc>
        <w:tc>
          <w:tcPr>
            <w:tcW w:w="921" w:type="pct"/>
            <w:shd w:val="clear" w:color="auto" w:fill="auto"/>
            <w:tcMar>
              <w:top w:w="0" w:type="dxa"/>
              <w:left w:w="108" w:type="dxa"/>
              <w:bottom w:w="0" w:type="dxa"/>
              <w:right w:w="108" w:type="dxa"/>
            </w:tcMar>
            <w:vAlign w:val="center"/>
          </w:tcPr>
          <w:p w14:paraId="640B99F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2C1E727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38.21</w:t>
            </w:r>
          </w:p>
        </w:tc>
      </w:tr>
      <w:tr w:rsidR="006416B0" w:rsidRPr="00B4515A" w14:paraId="3DBAF476" w14:textId="77777777" w:rsidTr="00031627">
        <w:trPr>
          <w:trHeight w:val="340"/>
          <w:jc w:val="center"/>
        </w:trPr>
        <w:tc>
          <w:tcPr>
            <w:tcW w:w="816" w:type="pct"/>
            <w:shd w:val="clear" w:color="auto" w:fill="auto"/>
            <w:tcMar>
              <w:top w:w="0" w:type="dxa"/>
              <w:left w:w="108" w:type="dxa"/>
              <w:bottom w:w="0" w:type="dxa"/>
              <w:right w:w="108" w:type="dxa"/>
            </w:tcMar>
            <w:vAlign w:val="center"/>
          </w:tcPr>
          <w:p w14:paraId="5AF9E19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合计</w:t>
            </w:r>
          </w:p>
        </w:tc>
        <w:tc>
          <w:tcPr>
            <w:tcW w:w="1420" w:type="pct"/>
            <w:shd w:val="clear" w:color="auto" w:fill="auto"/>
            <w:tcMar>
              <w:top w:w="0" w:type="dxa"/>
              <w:left w:w="108" w:type="dxa"/>
              <w:bottom w:w="0" w:type="dxa"/>
              <w:right w:w="108" w:type="dxa"/>
            </w:tcMar>
            <w:vAlign w:val="center"/>
          </w:tcPr>
          <w:p w14:paraId="3F51384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6,423.07</w:t>
            </w:r>
          </w:p>
        </w:tc>
        <w:tc>
          <w:tcPr>
            <w:tcW w:w="921" w:type="pct"/>
            <w:shd w:val="clear" w:color="auto" w:fill="auto"/>
            <w:tcMar>
              <w:top w:w="0" w:type="dxa"/>
              <w:left w:w="108" w:type="dxa"/>
              <w:bottom w:w="0" w:type="dxa"/>
              <w:right w:w="108" w:type="dxa"/>
            </w:tcMar>
            <w:vAlign w:val="center"/>
          </w:tcPr>
          <w:p w14:paraId="29E7BE8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3,156.88</w:t>
            </w:r>
          </w:p>
        </w:tc>
        <w:tc>
          <w:tcPr>
            <w:tcW w:w="921" w:type="pct"/>
            <w:shd w:val="clear" w:color="auto" w:fill="auto"/>
            <w:tcMar>
              <w:top w:w="0" w:type="dxa"/>
              <w:left w:w="108" w:type="dxa"/>
              <w:bottom w:w="0" w:type="dxa"/>
              <w:right w:w="108" w:type="dxa"/>
            </w:tcMar>
            <w:vAlign w:val="center"/>
          </w:tcPr>
          <w:p w14:paraId="3A84FB4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1AA8185A"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3,266.19</w:t>
            </w:r>
          </w:p>
        </w:tc>
      </w:tr>
      <w:tr w:rsidR="006416B0" w:rsidRPr="00B4515A" w14:paraId="04ED297E"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48411C7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p>
        </w:tc>
      </w:tr>
      <w:tr w:rsidR="006416B0" w:rsidRPr="00B4515A" w14:paraId="1B4B1EF1" w14:textId="77777777" w:rsidTr="00031627">
        <w:trPr>
          <w:trHeight w:val="340"/>
          <w:jc w:val="center"/>
        </w:trPr>
        <w:tc>
          <w:tcPr>
            <w:tcW w:w="816" w:type="pct"/>
            <w:shd w:val="clear" w:color="auto" w:fill="auto"/>
            <w:tcMar>
              <w:top w:w="0" w:type="dxa"/>
              <w:left w:w="108" w:type="dxa"/>
              <w:bottom w:w="0" w:type="dxa"/>
              <w:right w:w="108" w:type="dxa"/>
            </w:tcMar>
            <w:vAlign w:val="center"/>
          </w:tcPr>
          <w:p w14:paraId="195D85B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lastRenderedPageBreak/>
              <w:t>项目</w:t>
            </w:r>
          </w:p>
        </w:tc>
        <w:tc>
          <w:tcPr>
            <w:tcW w:w="1420" w:type="pct"/>
            <w:shd w:val="clear" w:color="auto" w:fill="auto"/>
            <w:tcMar>
              <w:top w:w="0" w:type="dxa"/>
              <w:left w:w="108" w:type="dxa"/>
              <w:bottom w:w="0" w:type="dxa"/>
              <w:right w:w="108" w:type="dxa"/>
            </w:tcMar>
            <w:vAlign w:val="center"/>
          </w:tcPr>
          <w:p w14:paraId="33DF872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账面原值</w:t>
            </w:r>
          </w:p>
        </w:tc>
        <w:tc>
          <w:tcPr>
            <w:tcW w:w="921" w:type="pct"/>
            <w:shd w:val="clear" w:color="auto" w:fill="auto"/>
            <w:tcMar>
              <w:top w:w="0" w:type="dxa"/>
              <w:left w:w="108" w:type="dxa"/>
              <w:bottom w:w="0" w:type="dxa"/>
              <w:right w:w="108" w:type="dxa"/>
            </w:tcMar>
            <w:vAlign w:val="center"/>
          </w:tcPr>
          <w:p w14:paraId="2150126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累计折旧</w:t>
            </w:r>
          </w:p>
        </w:tc>
        <w:tc>
          <w:tcPr>
            <w:tcW w:w="921" w:type="pct"/>
            <w:shd w:val="clear" w:color="auto" w:fill="auto"/>
            <w:tcMar>
              <w:top w:w="0" w:type="dxa"/>
              <w:left w:w="108" w:type="dxa"/>
              <w:bottom w:w="0" w:type="dxa"/>
              <w:right w:w="108" w:type="dxa"/>
            </w:tcMar>
            <w:vAlign w:val="center"/>
          </w:tcPr>
          <w:p w14:paraId="17DE8DE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减值准备</w:t>
            </w:r>
          </w:p>
        </w:tc>
        <w:tc>
          <w:tcPr>
            <w:tcW w:w="922" w:type="pct"/>
            <w:shd w:val="clear" w:color="auto" w:fill="auto"/>
            <w:tcMar>
              <w:top w:w="0" w:type="dxa"/>
              <w:left w:w="108" w:type="dxa"/>
              <w:bottom w:w="0" w:type="dxa"/>
              <w:right w:w="108" w:type="dxa"/>
            </w:tcMar>
            <w:vAlign w:val="center"/>
          </w:tcPr>
          <w:p w14:paraId="4FF5946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账面价值</w:t>
            </w:r>
          </w:p>
        </w:tc>
      </w:tr>
      <w:tr w:rsidR="006416B0" w:rsidRPr="00B4515A" w14:paraId="43581825" w14:textId="77777777" w:rsidTr="00031627">
        <w:trPr>
          <w:trHeight w:val="340"/>
          <w:jc w:val="center"/>
        </w:trPr>
        <w:tc>
          <w:tcPr>
            <w:tcW w:w="816" w:type="pct"/>
            <w:shd w:val="clear" w:color="auto" w:fill="auto"/>
            <w:tcMar>
              <w:top w:w="0" w:type="dxa"/>
              <w:left w:w="108" w:type="dxa"/>
              <w:bottom w:w="0" w:type="dxa"/>
              <w:right w:w="108" w:type="dxa"/>
            </w:tcMar>
            <w:vAlign w:val="center"/>
          </w:tcPr>
          <w:p w14:paraId="2BEED02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机器设备</w:t>
            </w:r>
          </w:p>
        </w:tc>
        <w:tc>
          <w:tcPr>
            <w:tcW w:w="1420" w:type="pct"/>
            <w:shd w:val="clear" w:color="auto" w:fill="auto"/>
            <w:tcMar>
              <w:top w:w="0" w:type="dxa"/>
              <w:left w:w="108" w:type="dxa"/>
              <w:bottom w:w="0" w:type="dxa"/>
              <w:right w:w="108" w:type="dxa"/>
            </w:tcMar>
            <w:vAlign w:val="center"/>
          </w:tcPr>
          <w:p w14:paraId="03B34DE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4,693.59</w:t>
            </w:r>
          </w:p>
        </w:tc>
        <w:tc>
          <w:tcPr>
            <w:tcW w:w="921" w:type="pct"/>
            <w:shd w:val="clear" w:color="auto" w:fill="auto"/>
            <w:tcMar>
              <w:top w:w="0" w:type="dxa"/>
              <w:left w:w="108" w:type="dxa"/>
              <w:bottom w:w="0" w:type="dxa"/>
              <w:right w:w="108" w:type="dxa"/>
            </w:tcMar>
            <w:vAlign w:val="center"/>
          </w:tcPr>
          <w:p w14:paraId="10BFFDB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2,721.90</w:t>
            </w:r>
          </w:p>
        </w:tc>
        <w:tc>
          <w:tcPr>
            <w:tcW w:w="921" w:type="pct"/>
            <w:shd w:val="clear" w:color="auto" w:fill="auto"/>
            <w:tcMar>
              <w:top w:w="0" w:type="dxa"/>
              <w:left w:w="108" w:type="dxa"/>
              <w:bottom w:w="0" w:type="dxa"/>
              <w:right w:w="108" w:type="dxa"/>
            </w:tcMar>
            <w:vAlign w:val="center"/>
          </w:tcPr>
          <w:p w14:paraId="30763AA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42B5610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1,971.69</w:t>
            </w:r>
          </w:p>
        </w:tc>
      </w:tr>
      <w:tr w:rsidR="006416B0" w:rsidRPr="00B4515A" w14:paraId="147C5995" w14:textId="77777777" w:rsidTr="00031627">
        <w:trPr>
          <w:trHeight w:val="340"/>
          <w:jc w:val="center"/>
        </w:trPr>
        <w:tc>
          <w:tcPr>
            <w:tcW w:w="816" w:type="pct"/>
            <w:shd w:val="clear" w:color="auto" w:fill="auto"/>
            <w:tcMar>
              <w:top w:w="0" w:type="dxa"/>
              <w:left w:w="108" w:type="dxa"/>
              <w:bottom w:w="0" w:type="dxa"/>
              <w:right w:w="108" w:type="dxa"/>
            </w:tcMar>
            <w:vAlign w:val="center"/>
          </w:tcPr>
          <w:p w14:paraId="25A30BAD"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运输工具</w:t>
            </w:r>
          </w:p>
        </w:tc>
        <w:tc>
          <w:tcPr>
            <w:tcW w:w="1420" w:type="pct"/>
            <w:shd w:val="clear" w:color="auto" w:fill="auto"/>
            <w:tcMar>
              <w:top w:w="0" w:type="dxa"/>
              <w:left w:w="108" w:type="dxa"/>
              <w:bottom w:w="0" w:type="dxa"/>
              <w:right w:w="108" w:type="dxa"/>
            </w:tcMar>
            <w:vAlign w:val="center"/>
          </w:tcPr>
          <w:p w14:paraId="7B03A3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197.66</w:t>
            </w:r>
          </w:p>
        </w:tc>
        <w:tc>
          <w:tcPr>
            <w:tcW w:w="921" w:type="pct"/>
            <w:shd w:val="clear" w:color="auto" w:fill="auto"/>
            <w:tcMar>
              <w:top w:w="0" w:type="dxa"/>
              <w:left w:w="108" w:type="dxa"/>
              <w:bottom w:w="0" w:type="dxa"/>
              <w:right w:w="108" w:type="dxa"/>
            </w:tcMar>
            <w:vAlign w:val="center"/>
          </w:tcPr>
          <w:p w14:paraId="55997E1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148.01</w:t>
            </w:r>
          </w:p>
        </w:tc>
        <w:tc>
          <w:tcPr>
            <w:tcW w:w="921" w:type="pct"/>
            <w:shd w:val="clear" w:color="auto" w:fill="auto"/>
            <w:tcMar>
              <w:top w:w="0" w:type="dxa"/>
              <w:left w:w="108" w:type="dxa"/>
              <w:bottom w:w="0" w:type="dxa"/>
              <w:right w:w="108" w:type="dxa"/>
            </w:tcMar>
            <w:vAlign w:val="center"/>
          </w:tcPr>
          <w:p w14:paraId="7C876E8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72A73A8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49.66</w:t>
            </w:r>
          </w:p>
        </w:tc>
      </w:tr>
      <w:tr w:rsidR="006416B0" w:rsidRPr="00B4515A" w14:paraId="59FD2D10" w14:textId="77777777" w:rsidTr="00031627">
        <w:trPr>
          <w:trHeight w:val="340"/>
          <w:jc w:val="center"/>
        </w:trPr>
        <w:tc>
          <w:tcPr>
            <w:tcW w:w="816" w:type="pct"/>
            <w:shd w:val="clear" w:color="auto" w:fill="auto"/>
            <w:tcMar>
              <w:top w:w="0" w:type="dxa"/>
              <w:left w:w="108" w:type="dxa"/>
              <w:bottom w:w="0" w:type="dxa"/>
              <w:right w:w="108" w:type="dxa"/>
            </w:tcMar>
            <w:vAlign w:val="center"/>
          </w:tcPr>
          <w:p w14:paraId="0185603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电子设备</w:t>
            </w:r>
          </w:p>
        </w:tc>
        <w:tc>
          <w:tcPr>
            <w:tcW w:w="1420" w:type="pct"/>
            <w:shd w:val="clear" w:color="auto" w:fill="auto"/>
            <w:tcMar>
              <w:top w:w="0" w:type="dxa"/>
              <w:left w:w="108" w:type="dxa"/>
              <w:bottom w:w="0" w:type="dxa"/>
              <w:right w:w="108" w:type="dxa"/>
            </w:tcMar>
            <w:vAlign w:val="center"/>
          </w:tcPr>
          <w:p w14:paraId="74C871C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1,015.43</w:t>
            </w:r>
          </w:p>
        </w:tc>
        <w:tc>
          <w:tcPr>
            <w:tcW w:w="921" w:type="pct"/>
            <w:shd w:val="clear" w:color="auto" w:fill="auto"/>
            <w:tcMar>
              <w:top w:w="0" w:type="dxa"/>
              <w:left w:w="108" w:type="dxa"/>
              <w:bottom w:w="0" w:type="dxa"/>
              <w:right w:w="108" w:type="dxa"/>
            </w:tcMar>
            <w:vAlign w:val="center"/>
          </w:tcPr>
          <w:p w14:paraId="48C18C5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555.23</w:t>
            </w:r>
          </w:p>
        </w:tc>
        <w:tc>
          <w:tcPr>
            <w:tcW w:w="921" w:type="pct"/>
            <w:shd w:val="clear" w:color="auto" w:fill="auto"/>
            <w:tcMar>
              <w:top w:w="0" w:type="dxa"/>
              <w:left w:w="108" w:type="dxa"/>
              <w:bottom w:w="0" w:type="dxa"/>
              <w:right w:w="108" w:type="dxa"/>
            </w:tcMar>
            <w:vAlign w:val="center"/>
          </w:tcPr>
          <w:p w14:paraId="443137F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2F3D33E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460.20</w:t>
            </w:r>
          </w:p>
        </w:tc>
      </w:tr>
      <w:tr w:rsidR="006416B0" w:rsidRPr="00B4515A" w14:paraId="176768A6" w14:textId="77777777" w:rsidTr="00031627">
        <w:trPr>
          <w:trHeight w:val="340"/>
          <w:jc w:val="center"/>
        </w:trPr>
        <w:tc>
          <w:tcPr>
            <w:tcW w:w="816" w:type="pct"/>
            <w:shd w:val="clear" w:color="auto" w:fill="auto"/>
            <w:tcMar>
              <w:top w:w="0" w:type="dxa"/>
              <w:left w:w="108" w:type="dxa"/>
              <w:bottom w:w="0" w:type="dxa"/>
              <w:right w:w="108" w:type="dxa"/>
            </w:tcMar>
            <w:vAlign w:val="center"/>
          </w:tcPr>
          <w:p w14:paraId="60B69A3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办公设备</w:t>
            </w:r>
          </w:p>
        </w:tc>
        <w:tc>
          <w:tcPr>
            <w:tcW w:w="1420" w:type="pct"/>
            <w:shd w:val="clear" w:color="auto" w:fill="auto"/>
            <w:tcMar>
              <w:top w:w="0" w:type="dxa"/>
              <w:left w:w="108" w:type="dxa"/>
              <w:bottom w:w="0" w:type="dxa"/>
              <w:right w:w="108" w:type="dxa"/>
            </w:tcMar>
            <w:vAlign w:val="center"/>
          </w:tcPr>
          <w:p w14:paraId="58476D9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943.11</w:t>
            </w:r>
          </w:p>
        </w:tc>
        <w:tc>
          <w:tcPr>
            <w:tcW w:w="921" w:type="pct"/>
            <w:shd w:val="clear" w:color="auto" w:fill="auto"/>
            <w:tcMar>
              <w:top w:w="0" w:type="dxa"/>
              <w:left w:w="108" w:type="dxa"/>
              <w:bottom w:w="0" w:type="dxa"/>
              <w:right w:w="108" w:type="dxa"/>
            </w:tcMar>
            <w:vAlign w:val="center"/>
          </w:tcPr>
          <w:p w14:paraId="474562B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341.03</w:t>
            </w:r>
          </w:p>
        </w:tc>
        <w:tc>
          <w:tcPr>
            <w:tcW w:w="921" w:type="pct"/>
            <w:shd w:val="clear" w:color="auto" w:fill="auto"/>
            <w:tcMar>
              <w:top w:w="0" w:type="dxa"/>
              <w:left w:w="108" w:type="dxa"/>
              <w:bottom w:w="0" w:type="dxa"/>
              <w:right w:w="108" w:type="dxa"/>
            </w:tcMar>
            <w:vAlign w:val="center"/>
          </w:tcPr>
          <w:p w14:paraId="4BE8431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2863CAC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602.08</w:t>
            </w:r>
          </w:p>
        </w:tc>
      </w:tr>
      <w:tr w:rsidR="006416B0" w:rsidRPr="00B4515A" w14:paraId="6D40146D" w14:textId="77777777" w:rsidTr="00031627">
        <w:trPr>
          <w:trHeight w:val="340"/>
          <w:jc w:val="center"/>
        </w:trPr>
        <w:tc>
          <w:tcPr>
            <w:tcW w:w="816" w:type="pct"/>
            <w:shd w:val="clear" w:color="auto" w:fill="auto"/>
            <w:tcMar>
              <w:top w:w="0" w:type="dxa"/>
              <w:left w:w="108" w:type="dxa"/>
              <w:bottom w:w="0" w:type="dxa"/>
              <w:right w:w="108" w:type="dxa"/>
            </w:tcMar>
            <w:vAlign w:val="center"/>
          </w:tcPr>
          <w:p w14:paraId="752663C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w:t>
            </w:r>
          </w:p>
        </w:tc>
        <w:tc>
          <w:tcPr>
            <w:tcW w:w="1420" w:type="pct"/>
            <w:shd w:val="clear" w:color="auto" w:fill="auto"/>
            <w:tcMar>
              <w:top w:w="0" w:type="dxa"/>
              <w:left w:w="108" w:type="dxa"/>
              <w:bottom w:w="0" w:type="dxa"/>
              <w:right w:w="108" w:type="dxa"/>
            </w:tcMar>
            <w:vAlign w:val="center"/>
          </w:tcPr>
          <w:p w14:paraId="5CCF6B7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77.03</w:t>
            </w:r>
          </w:p>
        </w:tc>
        <w:tc>
          <w:tcPr>
            <w:tcW w:w="921" w:type="pct"/>
            <w:shd w:val="clear" w:color="auto" w:fill="auto"/>
            <w:tcMar>
              <w:top w:w="0" w:type="dxa"/>
              <w:left w:w="108" w:type="dxa"/>
              <w:bottom w:w="0" w:type="dxa"/>
              <w:right w:w="108" w:type="dxa"/>
            </w:tcMar>
            <w:vAlign w:val="center"/>
          </w:tcPr>
          <w:p w14:paraId="1C5B87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47.65</w:t>
            </w:r>
          </w:p>
        </w:tc>
        <w:tc>
          <w:tcPr>
            <w:tcW w:w="921" w:type="pct"/>
            <w:shd w:val="clear" w:color="auto" w:fill="auto"/>
            <w:tcMar>
              <w:top w:w="0" w:type="dxa"/>
              <w:left w:w="108" w:type="dxa"/>
              <w:bottom w:w="0" w:type="dxa"/>
              <w:right w:w="108" w:type="dxa"/>
            </w:tcMar>
            <w:vAlign w:val="center"/>
          </w:tcPr>
          <w:p w14:paraId="7E61AC1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0413235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29.38</w:t>
            </w:r>
          </w:p>
        </w:tc>
      </w:tr>
      <w:tr w:rsidR="006416B0" w:rsidRPr="00B4515A" w14:paraId="5EF76792" w14:textId="77777777" w:rsidTr="00031627">
        <w:trPr>
          <w:trHeight w:val="340"/>
          <w:jc w:val="center"/>
        </w:trPr>
        <w:tc>
          <w:tcPr>
            <w:tcW w:w="816" w:type="pct"/>
            <w:shd w:val="clear" w:color="auto" w:fill="auto"/>
            <w:tcMar>
              <w:top w:w="0" w:type="dxa"/>
              <w:left w:w="108" w:type="dxa"/>
              <w:bottom w:w="0" w:type="dxa"/>
              <w:right w:w="108" w:type="dxa"/>
            </w:tcMar>
            <w:vAlign w:val="center"/>
          </w:tcPr>
          <w:p w14:paraId="4E5C868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合计</w:t>
            </w:r>
          </w:p>
        </w:tc>
        <w:tc>
          <w:tcPr>
            <w:tcW w:w="1420" w:type="pct"/>
            <w:shd w:val="clear" w:color="auto" w:fill="auto"/>
            <w:tcMar>
              <w:top w:w="0" w:type="dxa"/>
              <w:left w:w="108" w:type="dxa"/>
              <w:bottom w:w="0" w:type="dxa"/>
              <w:right w:w="108" w:type="dxa"/>
            </w:tcMar>
            <w:vAlign w:val="center"/>
          </w:tcPr>
          <w:p w14:paraId="4EA2608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6,926.83</w:t>
            </w:r>
          </w:p>
        </w:tc>
        <w:tc>
          <w:tcPr>
            <w:tcW w:w="921" w:type="pct"/>
            <w:shd w:val="clear" w:color="auto" w:fill="auto"/>
            <w:tcMar>
              <w:top w:w="0" w:type="dxa"/>
              <w:left w:w="108" w:type="dxa"/>
              <w:bottom w:w="0" w:type="dxa"/>
              <w:right w:w="108" w:type="dxa"/>
            </w:tcMar>
            <w:vAlign w:val="center"/>
          </w:tcPr>
          <w:p w14:paraId="465E19A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3,813.82</w:t>
            </w:r>
          </w:p>
        </w:tc>
        <w:tc>
          <w:tcPr>
            <w:tcW w:w="921" w:type="pct"/>
            <w:shd w:val="clear" w:color="auto" w:fill="auto"/>
            <w:tcMar>
              <w:top w:w="0" w:type="dxa"/>
              <w:left w:w="108" w:type="dxa"/>
              <w:bottom w:w="0" w:type="dxa"/>
              <w:right w:w="108" w:type="dxa"/>
            </w:tcMar>
            <w:vAlign w:val="center"/>
          </w:tcPr>
          <w:p w14:paraId="230BB44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130FC4A3"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3,113.01</w:t>
            </w:r>
          </w:p>
        </w:tc>
      </w:tr>
      <w:tr w:rsidR="006416B0" w:rsidRPr="00B4515A" w14:paraId="31EBF54B"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544D3B6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4</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30</w:t>
            </w:r>
            <w:r w:rsidRPr="00B4515A">
              <w:rPr>
                <w:rFonts w:ascii="Times New Roman" w:eastAsiaTheme="minorEastAsia" w:hAnsi="Times New Roman" w:cs="Times New Roman"/>
                <w:b/>
                <w:bCs/>
                <w:color w:val="000000"/>
                <w:sz w:val="21"/>
                <w:szCs w:val="21"/>
              </w:rPr>
              <w:t>日</w:t>
            </w:r>
          </w:p>
        </w:tc>
      </w:tr>
      <w:tr w:rsidR="006416B0" w:rsidRPr="00B4515A" w14:paraId="330794CB" w14:textId="77777777" w:rsidTr="00031627">
        <w:trPr>
          <w:trHeight w:val="340"/>
          <w:jc w:val="center"/>
        </w:trPr>
        <w:tc>
          <w:tcPr>
            <w:tcW w:w="816" w:type="pct"/>
            <w:shd w:val="clear" w:color="auto" w:fill="auto"/>
            <w:tcMar>
              <w:top w:w="0" w:type="dxa"/>
              <w:left w:w="108" w:type="dxa"/>
              <w:bottom w:w="0" w:type="dxa"/>
              <w:right w:w="108" w:type="dxa"/>
            </w:tcMar>
            <w:vAlign w:val="center"/>
          </w:tcPr>
          <w:p w14:paraId="442E1E2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1420" w:type="pct"/>
            <w:shd w:val="clear" w:color="auto" w:fill="auto"/>
            <w:tcMar>
              <w:top w:w="0" w:type="dxa"/>
              <w:left w:w="108" w:type="dxa"/>
              <w:bottom w:w="0" w:type="dxa"/>
              <w:right w:w="108" w:type="dxa"/>
            </w:tcMar>
            <w:vAlign w:val="center"/>
          </w:tcPr>
          <w:p w14:paraId="3847AB3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账面原值</w:t>
            </w:r>
          </w:p>
        </w:tc>
        <w:tc>
          <w:tcPr>
            <w:tcW w:w="921" w:type="pct"/>
            <w:shd w:val="clear" w:color="auto" w:fill="auto"/>
            <w:tcMar>
              <w:top w:w="0" w:type="dxa"/>
              <w:left w:w="108" w:type="dxa"/>
              <w:bottom w:w="0" w:type="dxa"/>
              <w:right w:w="108" w:type="dxa"/>
            </w:tcMar>
            <w:vAlign w:val="center"/>
          </w:tcPr>
          <w:p w14:paraId="307F354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累计折旧</w:t>
            </w:r>
          </w:p>
        </w:tc>
        <w:tc>
          <w:tcPr>
            <w:tcW w:w="921" w:type="pct"/>
            <w:shd w:val="clear" w:color="auto" w:fill="auto"/>
            <w:tcMar>
              <w:top w:w="0" w:type="dxa"/>
              <w:left w:w="108" w:type="dxa"/>
              <w:bottom w:w="0" w:type="dxa"/>
              <w:right w:w="108" w:type="dxa"/>
            </w:tcMar>
            <w:vAlign w:val="center"/>
          </w:tcPr>
          <w:p w14:paraId="1B2C447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减值准备</w:t>
            </w:r>
          </w:p>
        </w:tc>
        <w:tc>
          <w:tcPr>
            <w:tcW w:w="922" w:type="pct"/>
            <w:shd w:val="clear" w:color="auto" w:fill="auto"/>
            <w:tcMar>
              <w:top w:w="0" w:type="dxa"/>
              <w:left w:w="108" w:type="dxa"/>
              <w:bottom w:w="0" w:type="dxa"/>
              <w:right w:w="108" w:type="dxa"/>
            </w:tcMar>
            <w:vAlign w:val="center"/>
          </w:tcPr>
          <w:p w14:paraId="0C4AF78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账面价值</w:t>
            </w:r>
          </w:p>
        </w:tc>
      </w:tr>
      <w:tr w:rsidR="006416B0" w:rsidRPr="00B4515A" w14:paraId="49D66B19" w14:textId="77777777" w:rsidTr="00031627">
        <w:trPr>
          <w:trHeight w:val="340"/>
          <w:jc w:val="center"/>
        </w:trPr>
        <w:tc>
          <w:tcPr>
            <w:tcW w:w="816" w:type="pct"/>
            <w:shd w:val="clear" w:color="auto" w:fill="auto"/>
            <w:tcMar>
              <w:top w:w="0" w:type="dxa"/>
              <w:left w:w="108" w:type="dxa"/>
              <w:bottom w:w="0" w:type="dxa"/>
              <w:right w:w="108" w:type="dxa"/>
            </w:tcMar>
            <w:vAlign w:val="center"/>
          </w:tcPr>
          <w:p w14:paraId="44E40EE8"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机器设备</w:t>
            </w:r>
          </w:p>
        </w:tc>
        <w:tc>
          <w:tcPr>
            <w:tcW w:w="1420" w:type="pct"/>
            <w:shd w:val="clear" w:color="auto" w:fill="auto"/>
            <w:tcMar>
              <w:top w:w="0" w:type="dxa"/>
              <w:left w:w="108" w:type="dxa"/>
              <w:bottom w:w="0" w:type="dxa"/>
              <w:right w:w="108" w:type="dxa"/>
            </w:tcMar>
            <w:vAlign w:val="center"/>
          </w:tcPr>
          <w:p w14:paraId="7C1CA7F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4,630.82</w:t>
            </w:r>
          </w:p>
        </w:tc>
        <w:tc>
          <w:tcPr>
            <w:tcW w:w="921" w:type="pct"/>
            <w:shd w:val="clear" w:color="auto" w:fill="auto"/>
            <w:tcMar>
              <w:top w:w="0" w:type="dxa"/>
              <w:left w:w="108" w:type="dxa"/>
              <w:bottom w:w="0" w:type="dxa"/>
              <w:right w:w="108" w:type="dxa"/>
            </w:tcMar>
            <w:vAlign w:val="center"/>
          </w:tcPr>
          <w:p w14:paraId="72652FE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2,832.93</w:t>
            </w:r>
          </w:p>
        </w:tc>
        <w:tc>
          <w:tcPr>
            <w:tcW w:w="921" w:type="pct"/>
            <w:shd w:val="clear" w:color="auto" w:fill="auto"/>
            <w:tcMar>
              <w:top w:w="0" w:type="dxa"/>
              <w:left w:w="108" w:type="dxa"/>
              <w:bottom w:w="0" w:type="dxa"/>
              <w:right w:w="108" w:type="dxa"/>
            </w:tcMar>
            <w:vAlign w:val="center"/>
          </w:tcPr>
          <w:p w14:paraId="2EEAD9E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02B7377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1,797.89</w:t>
            </w:r>
          </w:p>
        </w:tc>
      </w:tr>
      <w:tr w:rsidR="006416B0" w:rsidRPr="00B4515A" w14:paraId="0E4118A3" w14:textId="77777777" w:rsidTr="00031627">
        <w:trPr>
          <w:trHeight w:val="340"/>
          <w:jc w:val="center"/>
        </w:trPr>
        <w:tc>
          <w:tcPr>
            <w:tcW w:w="816" w:type="pct"/>
            <w:shd w:val="clear" w:color="auto" w:fill="auto"/>
            <w:tcMar>
              <w:top w:w="0" w:type="dxa"/>
              <w:left w:w="108" w:type="dxa"/>
              <w:bottom w:w="0" w:type="dxa"/>
              <w:right w:w="108" w:type="dxa"/>
            </w:tcMar>
            <w:vAlign w:val="center"/>
          </w:tcPr>
          <w:p w14:paraId="41D78CC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运输工具</w:t>
            </w:r>
          </w:p>
        </w:tc>
        <w:tc>
          <w:tcPr>
            <w:tcW w:w="1420" w:type="pct"/>
            <w:shd w:val="clear" w:color="auto" w:fill="auto"/>
            <w:tcMar>
              <w:top w:w="0" w:type="dxa"/>
              <w:left w:w="108" w:type="dxa"/>
              <w:bottom w:w="0" w:type="dxa"/>
              <w:right w:w="108" w:type="dxa"/>
            </w:tcMar>
            <w:vAlign w:val="center"/>
          </w:tcPr>
          <w:p w14:paraId="053F9D7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197.66</w:t>
            </w:r>
          </w:p>
        </w:tc>
        <w:tc>
          <w:tcPr>
            <w:tcW w:w="921" w:type="pct"/>
            <w:shd w:val="clear" w:color="auto" w:fill="auto"/>
            <w:tcMar>
              <w:top w:w="0" w:type="dxa"/>
              <w:left w:w="108" w:type="dxa"/>
              <w:bottom w:w="0" w:type="dxa"/>
              <w:right w:w="108" w:type="dxa"/>
            </w:tcMar>
            <w:vAlign w:val="center"/>
          </w:tcPr>
          <w:p w14:paraId="7488671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150.82</w:t>
            </w:r>
          </w:p>
        </w:tc>
        <w:tc>
          <w:tcPr>
            <w:tcW w:w="921" w:type="pct"/>
            <w:shd w:val="clear" w:color="auto" w:fill="auto"/>
            <w:tcMar>
              <w:top w:w="0" w:type="dxa"/>
              <w:left w:w="108" w:type="dxa"/>
              <w:bottom w:w="0" w:type="dxa"/>
              <w:right w:w="108" w:type="dxa"/>
            </w:tcMar>
            <w:vAlign w:val="center"/>
          </w:tcPr>
          <w:p w14:paraId="2FE7080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4D2B394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46.85</w:t>
            </w:r>
          </w:p>
        </w:tc>
      </w:tr>
      <w:tr w:rsidR="006416B0" w:rsidRPr="00B4515A" w14:paraId="20F6C4E1" w14:textId="77777777" w:rsidTr="00031627">
        <w:trPr>
          <w:trHeight w:val="340"/>
          <w:jc w:val="center"/>
        </w:trPr>
        <w:tc>
          <w:tcPr>
            <w:tcW w:w="816" w:type="pct"/>
            <w:shd w:val="clear" w:color="auto" w:fill="auto"/>
            <w:tcMar>
              <w:top w:w="0" w:type="dxa"/>
              <w:left w:w="108" w:type="dxa"/>
              <w:bottom w:w="0" w:type="dxa"/>
              <w:right w:w="108" w:type="dxa"/>
            </w:tcMar>
            <w:vAlign w:val="center"/>
          </w:tcPr>
          <w:p w14:paraId="725ACF6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电子设备</w:t>
            </w:r>
          </w:p>
        </w:tc>
        <w:tc>
          <w:tcPr>
            <w:tcW w:w="1420" w:type="pct"/>
            <w:shd w:val="clear" w:color="auto" w:fill="auto"/>
            <w:tcMar>
              <w:top w:w="0" w:type="dxa"/>
              <w:left w:w="108" w:type="dxa"/>
              <w:bottom w:w="0" w:type="dxa"/>
              <w:right w:w="108" w:type="dxa"/>
            </w:tcMar>
            <w:vAlign w:val="center"/>
          </w:tcPr>
          <w:p w14:paraId="20D3600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1,096.25</w:t>
            </w:r>
          </w:p>
        </w:tc>
        <w:tc>
          <w:tcPr>
            <w:tcW w:w="921" w:type="pct"/>
            <w:shd w:val="clear" w:color="auto" w:fill="auto"/>
            <w:tcMar>
              <w:top w:w="0" w:type="dxa"/>
              <w:left w:w="108" w:type="dxa"/>
              <w:bottom w:w="0" w:type="dxa"/>
              <w:right w:w="108" w:type="dxa"/>
            </w:tcMar>
            <w:vAlign w:val="center"/>
          </w:tcPr>
          <w:p w14:paraId="6817128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602.56</w:t>
            </w:r>
          </w:p>
        </w:tc>
        <w:tc>
          <w:tcPr>
            <w:tcW w:w="921" w:type="pct"/>
            <w:shd w:val="clear" w:color="auto" w:fill="auto"/>
            <w:tcMar>
              <w:top w:w="0" w:type="dxa"/>
              <w:left w:w="108" w:type="dxa"/>
              <w:bottom w:w="0" w:type="dxa"/>
              <w:right w:w="108" w:type="dxa"/>
            </w:tcMar>
            <w:vAlign w:val="center"/>
          </w:tcPr>
          <w:p w14:paraId="582FA5A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36F2F03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493.70</w:t>
            </w:r>
          </w:p>
        </w:tc>
      </w:tr>
      <w:tr w:rsidR="006416B0" w:rsidRPr="00B4515A" w14:paraId="149D6D8C" w14:textId="77777777" w:rsidTr="00031627">
        <w:trPr>
          <w:trHeight w:val="340"/>
          <w:jc w:val="center"/>
        </w:trPr>
        <w:tc>
          <w:tcPr>
            <w:tcW w:w="816" w:type="pct"/>
            <w:shd w:val="clear" w:color="auto" w:fill="auto"/>
            <w:tcMar>
              <w:top w:w="0" w:type="dxa"/>
              <w:left w:w="108" w:type="dxa"/>
              <w:bottom w:w="0" w:type="dxa"/>
              <w:right w:w="108" w:type="dxa"/>
            </w:tcMar>
            <w:vAlign w:val="center"/>
          </w:tcPr>
          <w:p w14:paraId="35EB9D1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办公设备</w:t>
            </w:r>
          </w:p>
        </w:tc>
        <w:tc>
          <w:tcPr>
            <w:tcW w:w="1420" w:type="pct"/>
            <w:shd w:val="clear" w:color="auto" w:fill="auto"/>
            <w:tcMar>
              <w:top w:w="0" w:type="dxa"/>
              <w:left w:w="108" w:type="dxa"/>
              <w:bottom w:w="0" w:type="dxa"/>
              <w:right w:w="108" w:type="dxa"/>
            </w:tcMar>
            <w:vAlign w:val="center"/>
          </w:tcPr>
          <w:p w14:paraId="2AF7564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938.94</w:t>
            </w:r>
          </w:p>
        </w:tc>
        <w:tc>
          <w:tcPr>
            <w:tcW w:w="921" w:type="pct"/>
            <w:shd w:val="clear" w:color="auto" w:fill="auto"/>
            <w:tcMar>
              <w:top w:w="0" w:type="dxa"/>
              <w:left w:w="108" w:type="dxa"/>
              <w:bottom w:w="0" w:type="dxa"/>
              <w:right w:w="108" w:type="dxa"/>
            </w:tcMar>
            <w:vAlign w:val="center"/>
          </w:tcPr>
          <w:p w14:paraId="6DB5951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381.28</w:t>
            </w:r>
          </w:p>
        </w:tc>
        <w:tc>
          <w:tcPr>
            <w:tcW w:w="921" w:type="pct"/>
            <w:shd w:val="clear" w:color="auto" w:fill="auto"/>
            <w:tcMar>
              <w:top w:w="0" w:type="dxa"/>
              <w:left w:w="108" w:type="dxa"/>
              <w:bottom w:w="0" w:type="dxa"/>
              <w:right w:w="108" w:type="dxa"/>
            </w:tcMar>
            <w:vAlign w:val="center"/>
          </w:tcPr>
          <w:p w14:paraId="6A2689F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6388DD4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557.66</w:t>
            </w:r>
          </w:p>
        </w:tc>
      </w:tr>
      <w:tr w:rsidR="006416B0" w:rsidRPr="00B4515A" w14:paraId="036E563D" w14:textId="77777777" w:rsidTr="00031627">
        <w:trPr>
          <w:trHeight w:val="340"/>
          <w:jc w:val="center"/>
        </w:trPr>
        <w:tc>
          <w:tcPr>
            <w:tcW w:w="816" w:type="pct"/>
            <w:shd w:val="clear" w:color="auto" w:fill="auto"/>
            <w:tcMar>
              <w:top w:w="0" w:type="dxa"/>
              <w:left w:w="108" w:type="dxa"/>
              <w:bottom w:w="0" w:type="dxa"/>
              <w:right w:w="108" w:type="dxa"/>
            </w:tcMar>
            <w:vAlign w:val="center"/>
          </w:tcPr>
          <w:p w14:paraId="7680404A"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w:t>
            </w:r>
          </w:p>
        </w:tc>
        <w:tc>
          <w:tcPr>
            <w:tcW w:w="1420" w:type="pct"/>
            <w:shd w:val="clear" w:color="auto" w:fill="auto"/>
            <w:tcMar>
              <w:top w:w="0" w:type="dxa"/>
              <w:left w:w="108" w:type="dxa"/>
              <w:bottom w:w="0" w:type="dxa"/>
              <w:right w:w="108" w:type="dxa"/>
            </w:tcMar>
            <w:vAlign w:val="center"/>
          </w:tcPr>
          <w:p w14:paraId="312F4C1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77.03</w:t>
            </w:r>
          </w:p>
        </w:tc>
        <w:tc>
          <w:tcPr>
            <w:tcW w:w="921" w:type="pct"/>
            <w:shd w:val="clear" w:color="auto" w:fill="auto"/>
            <w:tcMar>
              <w:top w:w="0" w:type="dxa"/>
              <w:left w:w="108" w:type="dxa"/>
              <w:bottom w:w="0" w:type="dxa"/>
              <w:right w:w="108" w:type="dxa"/>
            </w:tcMar>
            <w:vAlign w:val="center"/>
          </w:tcPr>
          <w:p w14:paraId="7E862BA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51.30</w:t>
            </w:r>
          </w:p>
        </w:tc>
        <w:tc>
          <w:tcPr>
            <w:tcW w:w="921" w:type="pct"/>
            <w:shd w:val="clear" w:color="auto" w:fill="auto"/>
            <w:tcMar>
              <w:top w:w="0" w:type="dxa"/>
              <w:left w:w="108" w:type="dxa"/>
              <w:bottom w:w="0" w:type="dxa"/>
              <w:right w:w="108" w:type="dxa"/>
            </w:tcMar>
            <w:vAlign w:val="center"/>
          </w:tcPr>
          <w:p w14:paraId="7C465D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3273116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25.73</w:t>
            </w:r>
          </w:p>
        </w:tc>
      </w:tr>
      <w:tr w:rsidR="006416B0" w:rsidRPr="00B4515A" w14:paraId="767FE2F4" w14:textId="77777777" w:rsidTr="00031627">
        <w:trPr>
          <w:trHeight w:val="340"/>
          <w:jc w:val="center"/>
        </w:trPr>
        <w:tc>
          <w:tcPr>
            <w:tcW w:w="816" w:type="pct"/>
            <w:shd w:val="clear" w:color="auto" w:fill="auto"/>
            <w:tcMar>
              <w:top w:w="0" w:type="dxa"/>
              <w:left w:w="108" w:type="dxa"/>
              <w:bottom w:w="0" w:type="dxa"/>
              <w:right w:w="108" w:type="dxa"/>
            </w:tcMar>
            <w:vAlign w:val="center"/>
          </w:tcPr>
          <w:p w14:paraId="3AEF04C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合计</w:t>
            </w:r>
          </w:p>
        </w:tc>
        <w:tc>
          <w:tcPr>
            <w:tcW w:w="1420" w:type="pct"/>
            <w:shd w:val="clear" w:color="auto" w:fill="auto"/>
            <w:tcMar>
              <w:top w:w="0" w:type="dxa"/>
              <w:left w:w="108" w:type="dxa"/>
              <w:bottom w:w="0" w:type="dxa"/>
              <w:right w:w="108" w:type="dxa"/>
            </w:tcMar>
            <w:vAlign w:val="center"/>
          </w:tcPr>
          <w:p w14:paraId="7E971CF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6,940.71</w:t>
            </w:r>
          </w:p>
        </w:tc>
        <w:tc>
          <w:tcPr>
            <w:tcW w:w="921" w:type="pct"/>
            <w:shd w:val="clear" w:color="auto" w:fill="auto"/>
            <w:tcMar>
              <w:top w:w="0" w:type="dxa"/>
              <w:left w:w="108" w:type="dxa"/>
              <w:bottom w:w="0" w:type="dxa"/>
              <w:right w:w="108" w:type="dxa"/>
            </w:tcMar>
            <w:vAlign w:val="center"/>
          </w:tcPr>
          <w:p w14:paraId="063FCF75"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4,018.89</w:t>
            </w:r>
          </w:p>
        </w:tc>
        <w:tc>
          <w:tcPr>
            <w:tcW w:w="921" w:type="pct"/>
            <w:shd w:val="clear" w:color="auto" w:fill="auto"/>
            <w:tcMar>
              <w:top w:w="0" w:type="dxa"/>
              <w:left w:w="108" w:type="dxa"/>
              <w:bottom w:w="0" w:type="dxa"/>
              <w:right w:w="108" w:type="dxa"/>
            </w:tcMar>
            <w:vAlign w:val="center"/>
          </w:tcPr>
          <w:p w14:paraId="5906822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color w:val="000000"/>
                <w:sz w:val="21"/>
                <w:szCs w:val="21"/>
              </w:rPr>
              <w:t xml:space="preserve"> -   </w:t>
            </w:r>
          </w:p>
        </w:tc>
        <w:tc>
          <w:tcPr>
            <w:tcW w:w="922" w:type="pct"/>
            <w:shd w:val="clear" w:color="auto" w:fill="auto"/>
            <w:tcMar>
              <w:top w:w="0" w:type="dxa"/>
              <w:left w:w="108" w:type="dxa"/>
              <w:bottom w:w="0" w:type="dxa"/>
              <w:right w:w="108" w:type="dxa"/>
            </w:tcMar>
            <w:vAlign w:val="center"/>
          </w:tcPr>
          <w:p w14:paraId="69BC43B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2,921.82</w:t>
            </w:r>
          </w:p>
        </w:tc>
      </w:tr>
    </w:tbl>
    <w:p w14:paraId="2332B26A" w14:textId="77777777" w:rsidR="006416B0" w:rsidRPr="00B4515A" w:rsidRDefault="005E58C1" w:rsidP="003357B7">
      <w:pPr>
        <w:pStyle w:val="005"/>
        <w:spacing w:before="120" w:after="120"/>
        <w:ind w:firstLine="480"/>
      </w:pPr>
      <w:r w:rsidRPr="00B4515A">
        <w:rPr>
          <w:rFonts w:hint="eastAsia"/>
        </w:rPr>
        <w:t>大唐联诚的固定资产主要有机器设备、电子设备、运输工具及办公设备等构成。报告期各期末，大唐联诚固定资产账面价值分别为</w:t>
      </w:r>
      <w:r w:rsidRPr="00B4515A">
        <w:t>3,266.19</w:t>
      </w:r>
      <w:r w:rsidRPr="00B4515A">
        <w:rPr>
          <w:rFonts w:hint="eastAsia"/>
        </w:rPr>
        <w:t>万元、</w:t>
      </w:r>
      <w:r w:rsidRPr="00B4515A">
        <w:t>3,113.01</w:t>
      </w:r>
      <w:r w:rsidRPr="00B4515A">
        <w:rPr>
          <w:rFonts w:hint="eastAsia"/>
        </w:rPr>
        <w:t>万元、</w:t>
      </w:r>
      <w:r w:rsidRPr="00B4515A">
        <w:t>2,921.82</w:t>
      </w:r>
      <w:r w:rsidRPr="00B4515A">
        <w:rPr>
          <w:rFonts w:hint="eastAsia"/>
        </w:rPr>
        <w:t>万元，占资产总额的比例分别为</w:t>
      </w:r>
      <w:r w:rsidRPr="00B4515A">
        <w:t>4.54%</w:t>
      </w:r>
      <w:r w:rsidRPr="00B4515A">
        <w:rPr>
          <w:rFonts w:hint="eastAsia"/>
        </w:rPr>
        <w:t>、</w:t>
      </w:r>
      <w:r w:rsidRPr="00B4515A">
        <w:t>3.57%</w:t>
      </w:r>
      <w:r w:rsidRPr="00B4515A">
        <w:rPr>
          <w:rFonts w:hint="eastAsia"/>
        </w:rPr>
        <w:t>、</w:t>
      </w:r>
      <w:r w:rsidRPr="00B4515A">
        <w:t>1.94%</w:t>
      </w:r>
      <w:r w:rsidRPr="00B4515A">
        <w:rPr>
          <w:rFonts w:hint="eastAsia"/>
        </w:rPr>
        <w:t>。报告期内大唐联诚固定资产占资产总额的变动幅度较小。</w:t>
      </w:r>
    </w:p>
    <w:p w14:paraId="6AF34514" w14:textId="77777777" w:rsidR="006416B0" w:rsidRPr="00B4515A" w:rsidRDefault="005E58C1" w:rsidP="003357B7">
      <w:pPr>
        <w:pStyle w:val="005"/>
        <w:spacing w:before="120" w:after="120"/>
        <w:ind w:firstLine="480"/>
      </w:pPr>
      <w:r w:rsidRPr="00B4515A">
        <w:rPr>
          <w:rFonts w:hint="eastAsia"/>
        </w:rPr>
        <w:t>（</w:t>
      </w:r>
      <w:r w:rsidRPr="00B4515A">
        <w:rPr>
          <w:rFonts w:hint="eastAsia"/>
        </w:rPr>
        <w:t>6</w:t>
      </w:r>
      <w:r w:rsidRPr="00B4515A">
        <w:rPr>
          <w:rFonts w:hint="eastAsia"/>
        </w:rPr>
        <w:t>）使用权资产</w:t>
      </w:r>
    </w:p>
    <w:p w14:paraId="11ADEF6D" w14:textId="77777777" w:rsidR="006416B0" w:rsidRPr="00B4515A" w:rsidRDefault="005E58C1">
      <w:pPr>
        <w:spacing w:line="360" w:lineRule="auto"/>
        <w:ind w:firstLineChars="200" w:firstLine="422"/>
        <w:jc w:val="center"/>
        <w:rPr>
          <w:rFonts w:ascii="Times New Roman" w:eastAsiaTheme="minorEastAsia" w:hAnsi="Times New Roman" w:cs="Times New Roman"/>
          <w:b/>
          <w:bCs/>
          <w:sz w:val="21"/>
          <w:szCs w:val="21"/>
        </w:rPr>
      </w:pPr>
      <w:r w:rsidRPr="00B4515A">
        <w:rPr>
          <w:rFonts w:ascii="Times New Roman" w:eastAsiaTheme="minorEastAsia" w:hAnsi="Times New Roman" w:cs="Times New Roman"/>
          <w:b/>
          <w:bCs/>
          <w:sz w:val="21"/>
          <w:szCs w:val="21"/>
        </w:rPr>
        <w:t>2021</w:t>
      </w:r>
      <w:r w:rsidRPr="00B4515A">
        <w:rPr>
          <w:rFonts w:ascii="Times New Roman" w:eastAsiaTheme="minorEastAsia" w:hAnsi="Times New Roman" w:cs="Times New Roman"/>
          <w:b/>
          <w:bCs/>
          <w:sz w:val="21"/>
          <w:szCs w:val="21"/>
        </w:rPr>
        <w:t>年</w:t>
      </w:r>
      <w:r w:rsidRPr="00B4515A">
        <w:rPr>
          <w:rFonts w:ascii="Times New Roman" w:eastAsiaTheme="minorEastAsia" w:hAnsi="Times New Roman" w:cs="Times New Roman"/>
          <w:b/>
          <w:bCs/>
          <w:sz w:val="21"/>
          <w:szCs w:val="21"/>
        </w:rPr>
        <w:t>4</w:t>
      </w:r>
      <w:r w:rsidRPr="00B4515A">
        <w:rPr>
          <w:rFonts w:ascii="Times New Roman" w:eastAsiaTheme="minorEastAsia" w:hAnsi="Times New Roman" w:cs="Times New Roman"/>
          <w:b/>
          <w:bCs/>
          <w:sz w:val="21"/>
          <w:szCs w:val="21"/>
        </w:rPr>
        <w:t>月</w:t>
      </w:r>
      <w:r w:rsidRPr="00B4515A">
        <w:rPr>
          <w:rFonts w:ascii="Times New Roman" w:eastAsiaTheme="minorEastAsia" w:hAnsi="Times New Roman" w:cs="Times New Roman"/>
          <w:b/>
          <w:bCs/>
          <w:sz w:val="21"/>
          <w:szCs w:val="21"/>
        </w:rPr>
        <w:t>30</w:t>
      </w:r>
      <w:r w:rsidRPr="00B4515A">
        <w:rPr>
          <w:rFonts w:ascii="Times New Roman" w:eastAsiaTheme="minorEastAsia" w:hAnsi="Times New Roman" w:cs="Times New Roman"/>
          <w:b/>
          <w:bCs/>
          <w:sz w:val="21"/>
          <w:szCs w:val="21"/>
        </w:rPr>
        <w:t>日</w:t>
      </w:r>
    </w:p>
    <w:p w14:paraId="58C6F672" w14:textId="77777777" w:rsidR="006416B0" w:rsidRPr="00B4515A" w:rsidRDefault="005E58C1" w:rsidP="003357B7">
      <w:pPr>
        <w:pStyle w:val="009"/>
      </w:pPr>
      <w:r w:rsidRPr="00B4515A">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01"/>
        <w:gridCol w:w="1757"/>
        <w:gridCol w:w="1757"/>
        <w:gridCol w:w="1556"/>
        <w:gridCol w:w="1757"/>
      </w:tblGrid>
      <w:tr w:rsidR="006416B0" w:rsidRPr="00B4515A" w14:paraId="20752C79" w14:textId="77777777" w:rsidTr="00031627">
        <w:trPr>
          <w:trHeight w:val="340"/>
          <w:jc w:val="center"/>
        </w:trPr>
        <w:tc>
          <w:tcPr>
            <w:tcW w:w="997" w:type="pct"/>
            <w:shd w:val="clear" w:color="auto" w:fill="auto"/>
            <w:tcMar>
              <w:top w:w="0" w:type="dxa"/>
              <w:left w:w="108" w:type="dxa"/>
              <w:bottom w:w="0" w:type="dxa"/>
              <w:right w:w="108" w:type="dxa"/>
            </w:tcMar>
            <w:vAlign w:val="center"/>
          </w:tcPr>
          <w:p w14:paraId="63E9690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030" w:type="pct"/>
            <w:shd w:val="clear" w:color="auto" w:fill="auto"/>
            <w:tcMar>
              <w:top w:w="0" w:type="dxa"/>
              <w:left w:w="108" w:type="dxa"/>
              <w:bottom w:w="0" w:type="dxa"/>
              <w:right w:w="108" w:type="dxa"/>
            </w:tcMar>
            <w:vAlign w:val="center"/>
          </w:tcPr>
          <w:p w14:paraId="0C6FF84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账面原值</w:t>
            </w:r>
          </w:p>
        </w:tc>
        <w:tc>
          <w:tcPr>
            <w:tcW w:w="1030" w:type="pct"/>
            <w:shd w:val="clear" w:color="auto" w:fill="auto"/>
            <w:tcMar>
              <w:top w:w="0" w:type="dxa"/>
              <w:left w:w="108" w:type="dxa"/>
              <w:bottom w:w="0" w:type="dxa"/>
              <w:right w:w="108" w:type="dxa"/>
            </w:tcMar>
            <w:vAlign w:val="center"/>
          </w:tcPr>
          <w:p w14:paraId="3E95A75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累计折旧</w:t>
            </w:r>
          </w:p>
        </w:tc>
        <w:tc>
          <w:tcPr>
            <w:tcW w:w="912" w:type="pct"/>
            <w:shd w:val="clear" w:color="auto" w:fill="auto"/>
            <w:tcMar>
              <w:top w:w="0" w:type="dxa"/>
              <w:left w:w="108" w:type="dxa"/>
              <w:bottom w:w="0" w:type="dxa"/>
              <w:right w:w="108" w:type="dxa"/>
            </w:tcMar>
            <w:vAlign w:val="center"/>
          </w:tcPr>
          <w:p w14:paraId="0E41C11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减值准备</w:t>
            </w:r>
          </w:p>
        </w:tc>
        <w:tc>
          <w:tcPr>
            <w:tcW w:w="1030" w:type="pct"/>
            <w:shd w:val="clear" w:color="auto" w:fill="auto"/>
            <w:tcMar>
              <w:top w:w="0" w:type="dxa"/>
              <w:left w:w="108" w:type="dxa"/>
              <w:bottom w:w="0" w:type="dxa"/>
              <w:right w:w="108" w:type="dxa"/>
            </w:tcMar>
            <w:vAlign w:val="center"/>
          </w:tcPr>
          <w:p w14:paraId="0B99A5A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账面价值</w:t>
            </w:r>
          </w:p>
        </w:tc>
      </w:tr>
      <w:tr w:rsidR="006416B0" w:rsidRPr="00B4515A" w14:paraId="5E665973" w14:textId="77777777" w:rsidTr="00031627">
        <w:trPr>
          <w:trHeight w:val="340"/>
          <w:jc w:val="center"/>
        </w:trPr>
        <w:tc>
          <w:tcPr>
            <w:tcW w:w="997" w:type="pct"/>
            <w:shd w:val="clear" w:color="auto" w:fill="auto"/>
            <w:tcMar>
              <w:top w:w="0" w:type="dxa"/>
              <w:left w:w="108" w:type="dxa"/>
              <w:bottom w:w="0" w:type="dxa"/>
              <w:right w:w="108" w:type="dxa"/>
            </w:tcMar>
            <w:vAlign w:val="center"/>
          </w:tcPr>
          <w:p w14:paraId="4A37DCE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房屋及建筑物</w:t>
            </w:r>
          </w:p>
        </w:tc>
        <w:tc>
          <w:tcPr>
            <w:tcW w:w="1030" w:type="pct"/>
            <w:shd w:val="clear" w:color="auto" w:fill="auto"/>
            <w:tcMar>
              <w:top w:w="0" w:type="dxa"/>
              <w:left w:w="108" w:type="dxa"/>
              <w:bottom w:w="0" w:type="dxa"/>
              <w:right w:w="108" w:type="dxa"/>
            </w:tcMar>
            <w:vAlign w:val="center"/>
          </w:tcPr>
          <w:p w14:paraId="5C222D3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4,452.81</w:t>
            </w:r>
          </w:p>
        </w:tc>
        <w:tc>
          <w:tcPr>
            <w:tcW w:w="1030" w:type="pct"/>
            <w:shd w:val="clear" w:color="auto" w:fill="auto"/>
            <w:tcMar>
              <w:top w:w="0" w:type="dxa"/>
              <w:left w:w="108" w:type="dxa"/>
              <w:bottom w:w="0" w:type="dxa"/>
              <w:right w:w="108" w:type="dxa"/>
            </w:tcMar>
            <w:vAlign w:val="center"/>
          </w:tcPr>
          <w:p w14:paraId="262D394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271.49</w:t>
            </w:r>
          </w:p>
        </w:tc>
        <w:tc>
          <w:tcPr>
            <w:tcW w:w="912" w:type="pct"/>
            <w:shd w:val="clear" w:color="auto" w:fill="auto"/>
            <w:tcMar>
              <w:top w:w="0" w:type="dxa"/>
              <w:left w:w="108" w:type="dxa"/>
              <w:bottom w:w="0" w:type="dxa"/>
              <w:right w:w="108" w:type="dxa"/>
            </w:tcMar>
            <w:vAlign w:val="center"/>
          </w:tcPr>
          <w:p w14:paraId="2FFBF9C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1030" w:type="pct"/>
            <w:shd w:val="clear" w:color="auto" w:fill="auto"/>
            <w:tcMar>
              <w:top w:w="0" w:type="dxa"/>
              <w:left w:w="108" w:type="dxa"/>
              <w:bottom w:w="0" w:type="dxa"/>
              <w:right w:w="108" w:type="dxa"/>
            </w:tcMar>
            <w:vAlign w:val="center"/>
          </w:tcPr>
          <w:p w14:paraId="70AAAA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4,181.32</w:t>
            </w:r>
          </w:p>
        </w:tc>
      </w:tr>
      <w:tr w:rsidR="006416B0" w:rsidRPr="00B4515A" w14:paraId="030081D9" w14:textId="77777777" w:rsidTr="00031627">
        <w:trPr>
          <w:trHeight w:val="340"/>
          <w:jc w:val="center"/>
        </w:trPr>
        <w:tc>
          <w:tcPr>
            <w:tcW w:w="997" w:type="pct"/>
            <w:shd w:val="clear" w:color="auto" w:fill="auto"/>
            <w:tcMar>
              <w:top w:w="0" w:type="dxa"/>
              <w:left w:w="108" w:type="dxa"/>
              <w:bottom w:w="0" w:type="dxa"/>
              <w:right w:w="108" w:type="dxa"/>
            </w:tcMar>
            <w:vAlign w:val="center"/>
          </w:tcPr>
          <w:p w14:paraId="178283C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合计</w:t>
            </w:r>
          </w:p>
        </w:tc>
        <w:tc>
          <w:tcPr>
            <w:tcW w:w="1030" w:type="pct"/>
            <w:shd w:val="clear" w:color="auto" w:fill="auto"/>
            <w:tcMar>
              <w:top w:w="0" w:type="dxa"/>
              <w:left w:w="108" w:type="dxa"/>
              <w:bottom w:w="0" w:type="dxa"/>
              <w:right w:w="108" w:type="dxa"/>
            </w:tcMar>
            <w:vAlign w:val="center"/>
          </w:tcPr>
          <w:p w14:paraId="0506D59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4,452.81</w:t>
            </w:r>
          </w:p>
        </w:tc>
        <w:tc>
          <w:tcPr>
            <w:tcW w:w="1030" w:type="pct"/>
            <w:shd w:val="clear" w:color="auto" w:fill="auto"/>
            <w:tcMar>
              <w:top w:w="0" w:type="dxa"/>
              <w:left w:w="108" w:type="dxa"/>
              <w:bottom w:w="0" w:type="dxa"/>
              <w:right w:w="108" w:type="dxa"/>
            </w:tcMar>
            <w:vAlign w:val="center"/>
          </w:tcPr>
          <w:p w14:paraId="723DE43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271.49</w:t>
            </w:r>
          </w:p>
        </w:tc>
        <w:tc>
          <w:tcPr>
            <w:tcW w:w="912" w:type="pct"/>
            <w:shd w:val="clear" w:color="auto" w:fill="auto"/>
            <w:tcMar>
              <w:top w:w="0" w:type="dxa"/>
              <w:left w:w="108" w:type="dxa"/>
              <w:bottom w:w="0" w:type="dxa"/>
              <w:right w:w="108" w:type="dxa"/>
            </w:tcMar>
            <w:vAlign w:val="center"/>
          </w:tcPr>
          <w:p w14:paraId="4B6804D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0.00</w:t>
            </w:r>
          </w:p>
        </w:tc>
        <w:tc>
          <w:tcPr>
            <w:tcW w:w="1030" w:type="pct"/>
            <w:shd w:val="clear" w:color="auto" w:fill="auto"/>
            <w:tcMar>
              <w:top w:w="0" w:type="dxa"/>
              <w:left w:w="108" w:type="dxa"/>
              <w:bottom w:w="0" w:type="dxa"/>
              <w:right w:w="108" w:type="dxa"/>
            </w:tcMar>
            <w:vAlign w:val="center"/>
          </w:tcPr>
          <w:p w14:paraId="708D97A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4,181.32</w:t>
            </w:r>
          </w:p>
        </w:tc>
      </w:tr>
    </w:tbl>
    <w:p w14:paraId="458205B9" w14:textId="77777777" w:rsidR="006416B0" w:rsidRPr="00B4515A" w:rsidRDefault="005E58C1" w:rsidP="003357B7">
      <w:pPr>
        <w:pStyle w:val="005"/>
        <w:spacing w:before="120" w:after="120"/>
        <w:ind w:firstLine="480"/>
      </w:pPr>
      <w:r w:rsidRPr="00B4515A">
        <w:rPr>
          <w:rFonts w:hint="eastAsia"/>
        </w:rPr>
        <w:t>截至</w:t>
      </w:r>
      <w:r w:rsidRPr="00B4515A">
        <w:t>2021</w:t>
      </w:r>
      <w:r w:rsidRPr="00B4515A">
        <w:rPr>
          <w:rFonts w:hint="eastAsia"/>
        </w:rPr>
        <w:t>年</w:t>
      </w:r>
      <w:r w:rsidRPr="00B4515A">
        <w:t>4</w:t>
      </w:r>
      <w:r w:rsidRPr="00B4515A">
        <w:rPr>
          <w:rFonts w:hint="eastAsia"/>
        </w:rPr>
        <w:t>月</w:t>
      </w:r>
      <w:r w:rsidRPr="00B4515A">
        <w:t>30</w:t>
      </w:r>
      <w:r w:rsidRPr="00B4515A">
        <w:rPr>
          <w:rFonts w:hint="eastAsia"/>
        </w:rPr>
        <w:t>日大唐联诚使用权资产账面价值为</w:t>
      </w:r>
      <w:r w:rsidRPr="00B4515A">
        <w:t>4,181.32</w:t>
      </w:r>
      <w:r w:rsidRPr="00B4515A">
        <w:t>万元</w:t>
      </w:r>
      <w:r w:rsidRPr="00B4515A">
        <w:rPr>
          <w:rFonts w:hint="eastAsia"/>
        </w:rPr>
        <w:t>，使用权资产主要为财政部于</w:t>
      </w:r>
      <w:r w:rsidRPr="00B4515A">
        <w:t>2018</w:t>
      </w:r>
      <w:r w:rsidRPr="00B4515A">
        <w:rPr>
          <w:rFonts w:hint="eastAsia"/>
        </w:rPr>
        <w:t>年度修订了《企业会计准则第</w:t>
      </w:r>
      <w:r w:rsidRPr="00B4515A">
        <w:t>21</w:t>
      </w:r>
      <w:r w:rsidRPr="00B4515A">
        <w:rPr>
          <w:rFonts w:hint="eastAsia"/>
        </w:rPr>
        <w:t>号——租赁》（简称</w:t>
      </w:r>
      <w:r w:rsidRPr="00B4515A">
        <w:rPr>
          <w:rFonts w:ascii="宋体" w:hAnsi="宋体" w:hint="eastAsia"/>
        </w:rPr>
        <w:t>“</w:t>
      </w:r>
      <w:r w:rsidRPr="00B4515A">
        <w:rPr>
          <w:rFonts w:hint="eastAsia"/>
        </w:rPr>
        <w:t>新租赁准则</w:t>
      </w:r>
      <w:r w:rsidRPr="00B4515A">
        <w:rPr>
          <w:rFonts w:ascii="宋体" w:hAnsi="宋体" w:hint="eastAsia"/>
        </w:rPr>
        <w:t>”</w:t>
      </w:r>
      <w:r w:rsidRPr="00B4515A">
        <w:rPr>
          <w:rFonts w:hint="eastAsia"/>
        </w:rPr>
        <w:t>）。大唐联诚自</w:t>
      </w:r>
      <w:r w:rsidRPr="00B4515A">
        <w:t>2021</w:t>
      </w:r>
      <w:r w:rsidRPr="00B4515A">
        <w:rPr>
          <w:rFonts w:hint="eastAsia"/>
        </w:rPr>
        <w:t>年</w:t>
      </w:r>
      <w:r w:rsidRPr="00B4515A">
        <w:t>1</w:t>
      </w:r>
      <w:r w:rsidRPr="00B4515A">
        <w:rPr>
          <w:rFonts w:hint="eastAsia"/>
        </w:rPr>
        <w:t>月</w:t>
      </w:r>
      <w:r w:rsidRPr="00B4515A">
        <w:t>1</w:t>
      </w:r>
      <w:r w:rsidRPr="00B4515A">
        <w:rPr>
          <w:rFonts w:hint="eastAsia"/>
        </w:rPr>
        <w:t>日起执行新租赁准则。</w:t>
      </w:r>
    </w:p>
    <w:p w14:paraId="28226446" w14:textId="77777777" w:rsidR="006416B0" w:rsidRPr="00B4515A" w:rsidRDefault="005E58C1" w:rsidP="003357B7">
      <w:pPr>
        <w:pStyle w:val="005"/>
        <w:spacing w:before="120" w:after="120"/>
        <w:ind w:firstLine="480"/>
      </w:pPr>
      <w:r w:rsidRPr="00B4515A">
        <w:rPr>
          <w:rFonts w:hint="eastAsia"/>
        </w:rPr>
        <w:t>（</w:t>
      </w:r>
      <w:r w:rsidRPr="00B4515A">
        <w:rPr>
          <w:rFonts w:hint="eastAsia"/>
        </w:rPr>
        <w:t>7</w:t>
      </w:r>
      <w:r w:rsidRPr="00B4515A">
        <w:rPr>
          <w:rFonts w:hint="eastAsia"/>
        </w:rPr>
        <w:t>）无形资产</w:t>
      </w:r>
    </w:p>
    <w:p w14:paraId="4A6DA8A5"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00"/>
        <w:gridCol w:w="1613"/>
        <w:gridCol w:w="1757"/>
        <w:gridCol w:w="1902"/>
        <w:gridCol w:w="1556"/>
      </w:tblGrid>
      <w:tr w:rsidR="006416B0" w:rsidRPr="00B4515A" w14:paraId="4B3C7CE0"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6BEBAC4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p>
        </w:tc>
      </w:tr>
      <w:tr w:rsidR="006416B0" w:rsidRPr="00B4515A" w14:paraId="679BCDB5" w14:textId="77777777" w:rsidTr="00031627">
        <w:trPr>
          <w:trHeight w:val="340"/>
          <w:jc w:val="center"/>
        </w:trPr>
        <w:tc>
          <w:tcPr>
            <w:tcW w:w="997" w:type="pct"/>
            <w:shd w:val="clear" w:color="auto" w:fill="auto"/>
            <w:tcMar>
              <w:top w:w="0" w:type="dxa"/>
              <w:left w:w="108" w:type="dxa"/>
              <w:bottom w:w="0" w:type="dxa"/>
              <w:right w:w="108" w:type="dxa"/>
            </w:tcMar>
            <w:vAlign w:val="center"/>
          </w:tcPr>
          <w:p w14:paraId="6A8F850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946" w:type="pct"/>
            <w:shd w:val="clear" w:color="auto" w:fill="auto"/>
            <w:tcMar>
              <w:top w:w="0" w:type="dxa"/>
              <w:left w:w="108" w:type="dxa"/>
              <w:bottom w:w="0" w:type="dxa"/>
              <w:right w:w="108" w:type="dxa"/>
            </w:tcMar>
            <w:vAlign w:val="center"/>
          </w:tcPr>
          <w:p w14:paraId="1EEE32D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账面原值</w:t>
            </w:r>
          </w:p>
        </w:tc>
        <w:tc>
          <w:tcPr>
            <w:tcW w:w="1030" w:type="pct"/>
            <w:shd w:val="clear" w:color="auto" w:fill="auto"/>
            <w:tcMar>
              <w:top w:w="0" w:type="dxa"/>
              <w:left w:w="108" w:type="dxa"/>
              <w:bottom w:w="0" w:type="dxa"/>
              <w:right w:w="108" w:type="dxa"/>
            </w:tcMar>
            <w:vAlign w:val="center"/>
          </w:tcPr>
          <w:p w14:paraId="3321DDF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累计摊销</w:t>
            </w:r>
          </w:p>
        </w:tc>
        <w:tc>
          <w:tcPr>
            <w:tcW w:w="1115" w:type="pct"/>
            <w:shd w:val="clear" w:color="auto" w:fill="auto"/>
            <w:tcMar>
              <w:top w:w="0" w:type="dxa"/>
              <w:left w:w="108" w:type="dxa"/>
              <w:bottom w:w="0" w:type="dxa"/>
              <w:right w:w="108" w:type="dxa"/>
            </w:tcMar>
            <w:vAlign w:val="center"/>
          </w:tcPr>
          <w:p w14:paraId="354C2CF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减值准备</w:t>
            </w:r>
          </w:p>
        </w:tc>
        <w:tc>
          <w:tcPr>
            <w:tcW w:w="912" w:type="pct"/>
            <w:shd w:val="clear" w:color="auto" w:fill="auto"/>
            <w:tcMar>
              <w:top w:w="0" w:type="dxa"/>
              <w:left w:w="108" w:type="dxa"/>
              <w:bottom w:w="0" w:type="dxa"/>
              <w:right w:w="108" w:type="dxa"/>
            </w:tcMar>
            <w:vAlign w:val="center"/>
          </w:tcPr>
          <w:p w14:paraId="46668F7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账面价值</w:t>
            </w:r>
          </w:p>
        </w:tc>
      </w:tr>
      <w:tr w:rsidR="006416B0" w:rsidRPr="00B4515A" w14:paraId="221B25C1" w14:textId="77777777" w:rsidTr="00031627">
        <w:trPr>
          <w:trHeight w:val="340"/>
          <w:jc w:val="center"/>
        </w:trPr>
        <w:tc>
          <w:tcPr>
            <w:tcW w:w="997" w:type="pct"/>
            <w:shd w:val="clear" w:color="auto" w:fill="auto"/>
            <w:tcMar>
              <w:top w:w="0" w:type="dxa"/>
              <w:left w:w="108" w:type="dxa"/>
              <w:bottom w:w="0" w:type="dxa"/>
              <w:right w:w="108" w:type="dxa"/>
            </w:tcMar>
            <w:vAlign w:val="center"/>
          </w:tcPr>
          <w:p w14:paraId="5F2F790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非专利技术</w:t>
            </w:r>
          </w:p>
        </w:tc>
        <w:tc>
          <w:tcPr>
            <w:tcW w:w="946" w:type="pct"/>
            <w:shd w:val="clear" w:color="auto" w:fill="auto"/>
            <w:tcMar>
              <w:top w:w="0" w:type="dxa"/>
              <w:left w:w="108" w:type="dxa"/>
              <w:bottom w:w="0" w:type="dxa"/>
              <w:right w:w="108" w:type="dxa"/>
            </w:tcMar>
            <w:vAlign w:val="center"/>
          </w:tcPr>
          <w:p w14:paraId="3B4337C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782.87</w:t>
            </w:r>
          </w:p>
        </w:tc>
        <w:tc>
          <w:tcPr>
            <w:tcW w:w="1030" w:type="pct"/>
            <w:shd w:val="clear" w:color="auto" w:fill="auto"/>
            <w:tcMar>
              <w:top w:w="0" w:type="dxa"/>
              <w:left w:w="108" w:type="dxa"/>
              <w:bottom w:w="0" w:type="dxa"/>
              <w:right w:w="108" w:type="dxa"/>
            </w:tcMar>
            <w:vAlign w:val="center"/>
          </w:tcPr>
          <w:p w14:paraId="1CBF50D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13.05</w:t>
            </w:r>
          </w:p>
        </w:tc>
        <w:tc>
          <w:tcPr>
            <w:tcW w:w="1115" w:type="pct"/>
            <w:shd w:val="clear" w:color="auto" w:fill="auto"/>
            <w:tcMar>
              <w:top w:w="0" w:type="dxa"/>
              <w:left w:w="108" w:type="dxa"/>
              <w:bottom w:w="0" w:type="dxa"/>
              <w:right w:w="108" w:type="dxa"/>
            </w:tcMar>
            <w:vAlign w:val="center"/>
          </w:tcPr>
          <w:p w14:paraId="728C2A0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12" w:type="pct"/>
            <w:shd w:val="clear" w:color="auto" w:fill="auto"/>
            <w:tcMar>
              <w:top w:w="0" w:type="dxa"/>
              <w:left w:w="108" w:type="dxa"/>
              <w:bottom w:w="0" w:type="dxa"/>
              <w:right w:w="108" w:type="dxa"/>
            </w:tcMar>
            <w:vAlign w:val="center"/>
          </w:tcPr>
          <w:p w14:paraId="06345E8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769.82</w:t>
            </w:r>
          </w:p>
        </w:tc>
      </w:tr>
      <w:tr w:rsidR="006416B0" w:rsidRPr="00B4515A" w14:paraId="3AE1BCC2" w14:textId="77777777" w:rsidTr="00031627">
        <w:trPr>
          <w:trHeight w:val="340"/>
          <w:jc w:val="center"/>
        </w:trPr>
        <w:tc>
          <w:tcPr>
            <w:tcW w:w="997" w:type="pct"/>
            <w:shd w:val="clear" w:color="auto" w:fill="auto"/>
            <w:tcMar>
              <w:top w:w="0" w:type="dxa"/>
              <w:left w:w="108" w:type="dxa"/>
              <w:bottom w:w="0" w:type="dxa"/>
              <w:right w:w="108" w:type="dxa"/>
            </w:tcMar>
            <w:vAlign w:val="center"/>
          </w:tcPr>
          <w:p w14:paraId="0684263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软件</w:t>
            </w:r>
          </w:p>
        </w:tc>
        <w:tc>
          <w:tcPr>
            <w:tcW w:w="946" w:type="pct"/>
            <w:shd w:val="clear" w:color="auto" w:fill="auto"/>
            <w:tcMar>
              <w:top w:w="0" w:type="dxa"/>
              <w:left w:w="108" w:type="dxa"/>
              <w:bottom w:w="0" w:type="dxa"/>
              <w:right w:w="108" w:type="dxa"/>
            </w:tcMar>
            <w:vAlign w:val="center"/>
          </w:tcPr>
          <w:p w14:paraId="16BBFD2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2,251.24</w:t>
            </w:r>
          </w:p>
        </w:tc>
        <w:tc>
          <w:tcPr>
            <w:tcW w:w="1030" w:type="pct"/>
            <w:shd w:val="clear" w:color="auto" w:fill="auto"/>
            <w:tcMar>
              <w:top w:w="0" w:type="dxa"/>
              <w:left w:w="108" w:type="dxa"/>
              <w:bottom w:w="0" w:type="dxa"/>
              <w:right w:w="108" w:type="dxa"/>
            </w:tcMar>
            <w:vAlign w:val="center"/>
          </w:tcPr>
          <w:p w14:paraId="44EB98D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1,014.83</w:t>
            </w:r>
          </w:p>
        </w:tc>
        <w:tc>
          <w:tcPr>
            <w:tcW w:w="1115" w:type="pct"/>
            <w:shd w:val="clear" w:color="auto" w:fill="auto"/>
            <w:tcMar>
              <w:top w:w="0" w:type="dxa"/>
              <w:left w:w="108" w:type="dxa"/>
              <w:bottom w:w="0" w:type="dxa"/>
              <w:right w:w="108" w:type="dxa"/>
            </w:tcMar>
            <w:vAlign w:val="center"/>
          </w:tcPr>
          <w:p w14:paraId="1D53112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12" w:type="pct"/>
            <w:shd w:val="clear" w:color="auto" w:fill="auto"/>
            <w:tcMar>
              <w:top w:w="0" w:type="dxa"/>
              <w:left w:w="108" w:type="dxa"/>
              <w:bottom w:w="0" w:type="dxa"/>
              <w:right w:w="108" w:type="dxa"/>
            </w:tcMar>
            <w:vAlign w:val="center"/>
          </w:tcPr>
          <w:p w14:paraId="16C5BC9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1,236.41</w:t>
            </w:r>
          </w:p>
        </w:tc>
      </w:tr>
      <w:tr w:rsidR="006416B0" w:rsidRPr="00B4515A" w14:paraId="6DF75422" w14:textId="77777777" w:rsidTr="00031627">
        <w:trPr>
          <w:trHeight w:val="340"/>
          <w:jc w:val="center"/>
        </w:trPr>
        <w:tc>
          <w:tcPr>
            <w:tcW w:w="997" w:type="pct"/>
            <w:shd w:val="clear" w:color="auto" w:fill="auto"/>
            <w:tcMar>
              <w:top w:w="0" w:type="dxa"/>
              <w:left w:w="108" w:type="dxa"/>
              <w:bottom w:w="0" w:type="dxa"/>
              <w:right w:w="108" w:type="dxa"/>
            </w:tcMar>
            <w:vAlign w:val="center"/>
          </w:tcPr>
          <w:p w14:paraId="011343A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lastRenderedPageBreak/>
              <w:t>合计</w:t>
            </w:r>
          </w:p>
        </w:tc>
        <w:tc>
          <w:tcPr>
            <w:tcW w:w="946" w:type="pct"/>
            <w:shd w:val="clear" w:color="auto" w:fill="auto"/>
            <w:tcMar>
              <w:top w:w="0" w:type="dxa"/>
              <w:left w:w="108" w:type="dxa"/>
              <w:bottom w:w="0" w:type="dxa"/>
              <w:right w:w="108" w:type="dxa"/>
            </w:tcMar>
            <w:vAlign w:val="center"/>
          </w:tcPr>
          <w:p w14:paraId="5B16599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3,034.11</w:t>
            </w:r>
          </w:p>
        </w:tc>
        <w:tc>
          <w:tcPr>
            <w:tcW w:w="1030" w:type="pct"/>
            <w:shd w:val="clear" w:color="auto" w:fill="auto"/>
            <w:tcMar>
              <w:top w:w="0" w:type="dxa"/>
              <w:left w:w="108" w:type="dxa"/>
              <w:bottom w:w="0" w:type="dxa"/>
              <w:right w:w="108" w:type="dxa"/>
            </w:tcMar>
            <w:vAlign w:val="center"/>
          </w:tcPr>
          <w:p w14:paraId="037706F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1,027.88</w:t>
            </w:r>
          </w:p>
        </w:tc>
        <w:tc>
          <w:tcPr>
            <w:tcW w:w="1115" w:type="pct"/>
            <w:shd w:val="clear" w:color="auto" w:fill="auto"/>
            <w:tcMar>
              <w:top w:w="0" w:type="dxa"/>
              <w:left w:w="108" w:type="dxa"/>
              <w:bottom w:w="0" w:type="dxa"/>
              <w:right w:w="108" w:type="dxa"/>
            </w:tcMar>
            <w:vAlign w:val="center"/>
          </w:tcPr>
          <w:p w14:paraId="0852F745"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color w:val="000000"/>
                <w:sz w:val="21"/>
                <w:szCs w:val="21"/>
              </w:rPr>
              <w:t xml:space="preserve"> -   </w:t>
            </w:r>
          </w:p>
        </w:tc>
        <w:tc>
          <w:tcPr>
            <w:tcW w:w="912" w:type="pct"/>
            <w:shd w:val="clear" w:color="auto" w:fill="auto"/>
            <w:tcMar>
              <w:top w:w="0" w:type="dxa"/>
              <w:left w:w="108" w:type="dxa"/>
              <w:bottom w:w="0" w:type="dxa"/>
              <w:right w:w="108" w:type="dxa"/>
            </w:tcMar>
            <w:vAlign w:val="center"/>
          </w:tcPr>
          <w:p w14:paraId="71E4B4C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2,006.23</w:t>
            </w:r>
          </w:p>
        </w:tc>
      </w:tr>
      <w:tr w:rsidR="006416B0" w:rsidRPr="00B4515A" w14:paraId="3CCA41B6"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44639EA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p>
        </w:tc>
      </w:tr>
      <w:tr w:rsidR="006416B0" w:rsidRPr="00B4515A" w14:paraId="693A60ED" w14:textId="77777777" w:rsidTr="00031627">
        <w:trPr>
          <w:trHeight w:val="340"/>
          <w:jc w:val="center"/>
        </w:trPr>
        <w:tc>
          <w:tcPr>
            <w:tcW w:w="997" w:type="pct"/>
            <w:shd w:val="clear" w:color="auto" w:fill="auto"/>
            <w:tcMar>
              <w:top w:w="0" w:type="dxa"/>
              <w:left w:w="108" w:type="dxa"/>
              <w:bottom w:w="0" w:type="dxa"/>
              <w:right w:w="108" w:type="dxa"/>
            </w:tcMar>
            <w:vAlign w:val="center"/>
          </w:tcPr>
          <w:p w14:paraId="3647C32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946" w:type="pct"/>
            <w:shd w:val="clear" w:color="auto" w:fill="auto"/>
            <w:tcMar>
              <w:top w:w="0" w:type="dxa"/>
              <w:left w:w="108" w:type="dxa"/>
              <w:bottom w:w="0" w:type="dxa"/>
              <w:right w:w="108" w:type="dxa"/>
            </w:tcMar>
            <w:vAlign w:val="center"/>
          </w:tcPr>
          <w:p w14:paraId="7A1769F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账面原值</w:t>
            </w:r>
          </w:p>
        </w:tc>
        <w:tc>
          <w:tcPr>
            <w:tcW w:w="1030" w:type="pct"/>
            <w:shd w:val="clear" w:color="auto" w:fill="auto"/>
            <w:tcMar>
              <w:top w:w="0" w:type="dxa"/>
              <w:left w:w="108" w:type="dxa"/>
              <w:bottom w:w="0" w:type="dxa"/>
              <w:right w:w="108" w:type="dxa"/>
            </w:tcMar>
            <w:vAlign w:val="center"/>
          </w:tcPr>
          <w:p w14:paraId="6F481F2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累计摊销</w:t>
            </w:r>
          </w:p>
        </w:tc>
        <w:tc>
          <w:tcPr>
            <w:tcW w:w="1115" w:type="pct"/>
            <w:shd w:val="clear" w:color="auto" w:fill="auto"/>
            <w:tcMar>
              <w:top w:w="0" w:type="dxa"/>
              <w:left w:w="108" w:type="dxa"/>
              <w:bottom w:w="0" w:type="dxa"/>
              <w:right w:w="108" w:type="dxa"/>
            </w:tcMar>
            <w:vAlign w:val="center"/>
          </w:tcPr>
          <w:p w14:paraId="3CE0553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减值准备</w:t>
            </w:r>
          </w:p>
        </w:tc>
        <w:tc>
          <w:tcPr>
            <w:tcW w:w="912" w:type="pct"/>
            <w:shd w:val="clear" w:color="auto" w:fill="auto"/>
            <w:tcMar>
              <w:top w:w="0" w:type="dxa"/>
              <w:left w:w="108" w:type="dxa"/>
              <w:bottom w:w="0" w:type="dxa"/>
              <w:right w:w="108" w:type="dxa"/>
            </w:tcMar>
            <w:vAlign w:val="center"/>
          </w:tcPr>
          <w:p w14:paraId="0531F96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账面价值</w:t>
            </w:r>
          </w:p>
        </w:tc>
      </w:tr>
      <w:tr w:rsidR="006416B0" w:rsidRPr="00B4515A" w14:paraId="19C24451" w14:textId="77777777" w:rsidTr="00031627">
        <w:trPr>
          <w:trHeight w:val="340"/>
          <w:jc w:val="center"/>
        </w:trPr>
        <w:tc>
          <w:tcPr>
            <w:tcW w:w="997" w:type="pct"/>
            <w:shd w:val="clear" w:color="auto" w:fill="auto"/>
            <w:tcMar>
              <w:top w:w="0" w:type="dxa"/>
              <w:left w:w="108" w:type="dxa"/>
              <w:bottom w:w="0" w:type="dxa"/>
              <w:right w:w="108" w:type="dxa"/>
            </w:tcMar>
            <w:vAlign w:val="center"/>
          </w:tcPr>
          <w:p w14:paraId="7FA542E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非专利技术</w:t>
            </w:r>
          </w:p>
        </w:tc>
        <w:tc>
          <w:tcPr>
            <w:tcW w:w="946" w:type="pct"/>
            <w:shd w:val="clear" w:color="auto" w:fill="auto"/>
            <w:tcMar>
              <w:top w:w="0" w:type="dxa"/>
              <w:left w:w="108" w:type="dxa"/>
              <w:bottom w:w="0" w:type="dxa"/>
              <w:right w:w="108" w:type="dxa"/>
            </w:tcMar>
            <w:vAlign w:val="center"/>
          </w:tcPr>
          <w:p w14:paraId="0203A95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4,562.89</w:t>
            </w:r>
          </w:p>
        </w:tc>
        <w:tc>
          <w:tcPr>
            <w:tcW w:w="1030" w:type="pct"/>
            <w:shd w:val="clear" w:color="auto" w:fill="auto"/>
            <w:tcMar>
              <w:top w:w="0" w:type="dxa"/>
              <w:left w:w="108" w:type="dxa"/>
              <w:bottom w:w="0" w:type="dxa"/>
              <w:right w:w="108" w:type="dxa"/>
            </w:tcMar>
            <w:vAlign w:val="center"/>
          </w:tcPr>
          <w:p w14:paraId="6183AB1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232.62</w:t>
            </w:r>
          </w:p>
        </w:tc>
        <w:tc>
          <w:tcPr>
            <w:tcW w:w="1115" w:type="pct"/>
            <w:shd w:val="clear" w:color="auto" w:fill="auto"/>
            <w:tcMar>
              <w:top w:w="0" w:type="dxa"/>
              <w:left w:w="108" w:type="dxa"/>
              <w:bottom w:w="0" w:type="dxa"/>
              <w:right w:w="108" w:type="dxa"/>
            </w:tcMar>
            <w:vAlign w:val="center"/>
          </w:tcPr>
          <w:p w14:paraId="13479EA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12" w:type="pct"/>
            <w:shd w:val="clear" w:color="auto" w:fill="auto"/>
            <w:tcMar>
              <w:top w:w="0" w:type="dxa"/>
              <w:left w:w="108" w:type="dxa"/>
              <w:bottom w:w="0" w:type="dxa"/>
              <w:right w:w="108" w:type="dxa"/>
            </w:tcMar>
            <w:vAlign w:val="center"/>
          </w:tcPr>
          <w:p w14:paraId="3D9F0CF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4,330.27</w:t>
            </w:r>
          </w:p>
        </w:tc>
      </w:tr>
      <w:tr w:rsidR="006416B0" w:rsidRPr="00B4515A" w14:paraId="07E54D3F" w14:textId="77777777" w:rsidTr="00031627">
        <w:trPr>
          <w:trHeight w:val="340"/>
          <w:jc w:val="center"/>
        </w:trPr>
        <w:tc>
          <w:tcPr>
            <w:tcW w:w="997" w:type="pct"/>
            <w:shd w:val="clear" w:color="auto" w:fill="auto"/>
            <w:tcMar>
              <w:top w:w="0" w:type="dxa"/>
              <w:left w:w="108" w:type="dxa"/>
              <w:bottom w:w="0" w:type="dxa"/>
              <w:right w:w="108" w:type="dxa"/>
            </w:tcMar>
            <w:vAlign w:val="center"/>
          </w:tcPr>
          <w:p w14:paraId="4CC39B4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软件</w:t>
            </w:r>
          </w:p>
        </w:tc>
        <w:tc>
          <w:tcPr>
            <w:tcW w:w="946" w:type="pct"/>
            <w:shd w:val="clear" w:color="auto" w:fill="auto"/>
            <w:tcMar>
              <w:top w:w="0" w:type="dxa"/>
              <w:left w:w="108" w:type="dxa"/>
              <w:bottom w:w="0" w:type="dxa"/>
              <w:right w:w="108" w:type="dxa"/>
            </w:tcMar>
            <w:vAlign w:val="center"/>
          </w:tcPr>
          <w:p w14:paraId="072A154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2,361.77</w:t>
            </w:r>
          </w:p>
        </w:tc>
        <w:tc>
          <w:tcPr>
            <w:tcW w:w="1030" w:type="pct"/>
            <w:shd w:val="clear" w:color="auto" w:fill="auto"/>
            <w:tcMar>
              <w:top w:w="0" w:type="dxa"/>
              <w:left w:w="108" w:type="dxa"/>
              <w:bottom w:w="0" w:type="dxa"/>
              <w:right w:w="108" w:type="dxa"/>
            </w:tcMar>
            <w:vAlign w:val="center"/>
          </w:tcPr>
          <w:p w14:paraId="747EBD4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1,221.24</w:t>
            </w:r>
          </w:p>
        </w:tc>
        <w:tc>
          <w:tcPr>
            <w:tcW w:w="1115" w:type="pct"/>
            <w:shd w:val="clear" w:color="auto" w:fill="auto"/>
            <w:tcMar>
              <w:top w:w="0" w:type="dxa"/>
              <w:left w:w="108" w:type="dxa"/>
              <w:bottom w:w="0" w:type="dxa"/>
              <w:right w:w="108" w:type="dxa"/>
            </w:tcMar>
            <w:vAlign w:val="center"/>
          </w:tcPr>
          <w:p w14:paraId="3D31068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12" w:type="pct"/>
            <w:shd w:val="clear" w:color="auto" w:fill="auto"/>
            <w:tcMar>
              <w:top w:w="0" w:type="dxa"/>
              <w:left w:w="108" w:type="dxa"/>
              <w:bottom w:w="0" w:type="dxa"/>
              <w:right w:w="108" w:type="dxa"/>
            </w:tcMar>
            <w:vAlign w:val="center"/>
          </w:tcPr>
          <w:p w14:paraId="1CD3E42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1,140.53</w:t>
            </w:r>
          </w:p>
        </w:tc>
      </w:tr>
      <w:tr w:rsidR="006416B0" w:rsidRPr="00B4515A" w14:paraId="7C089593" w14:textId="77777777" w:rsidTr="00031627">
        <w:trPr>
          <w:trHeight w:val="340"/>
          <w:jc w:val="center"/>
        </w:trPr>
        <w:tc>
          <w:tcPr>
            <w:tcW w:w="997" w:type="pct"/>
            <w:shd w:val="clear" w:color="auto" w:fill="auto"/>
            <w:tcMar>
              <w:top w:w="0" w:type="dxa"/>
              <w:left w:w="108" w:type="dxa"/>
              <w:bottom w:w="0" w:type="dxa"/>
              <w:right w:w="108" w:type="dxa"/>
            </w:tcMar>
            <w:vAlign w:val="center"/>
          </w:tcPr>
          <w:p w14:paraId="02D1148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合计</w:t>
            </w:r>
          </w:p>
        </w:tc>
        <w:tc>
          <w:tcPr>
            <w:tcW w:w="946" w:type="pct"/>
            <w:shd w:val="clear" w:color="auto" w:fill="auto"/>
            <w:tcMar>
              <w:top w:w="0" w:type="dxa"/>
              <w:left w:w="108" w:type="dxa"/>
              <w:bottom w:w="0" w:type="dxa"/>
              <w:right w:w="108" w:type="dxa"/>
            </w:tcMar>
            <w:vAlign w:val="center"/>
          </w:tcPr>
          <w:p w14:paraId="2A0D19B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6,924.67</w:t>
            </w:r>
          </w:p>
        </w:tc>
        <w:tc>
          <w:tcPr>
            <w:tcW w:w="1030" w:type="pct"/>
            <w:shd w:val="clear" w:color="auto" w:fill="auto"/>
            <w:tcMar>
              <w:top w:w="0" w:type="dxa"/>
              <w:left w:w="108" w:type="dxa"/>
              <w:bottom w:w="0" w:type="dxa"/>
              <w:right w:w="108" w:type="dxa"/>
            </w:tcMar>
            <w:vAlign w:val="center"/>
          </w:tcPr>
          <w:p w14:paraId="53A074C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1,453.87</w:t>
            </w:r>
          </w:p>
        </w:tc>
        <w:tc>
          <w:tcPr>
            <w:tcW w:w="1115" w:type="pct"/>
            <w:shd w:val="clear" w:color="auto" w:fill="auto"/>
            <w:tcMar>
              <w:top w:w="0" w:type="dxa"/>
              <w:left w:w="108" w:type="dxa"/>
              <w:bottom w:w="0" w:type="dxa"/>
              <w:right w:w="108" w:type="dxa"/>
            </w:tcMar>
            <w:vAlign w:val="center"/>
          </w:tcPr>
          <w:p w14:paraId="4DAD957E"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color w:val="000000"/>
                <w:sz w:val="21"/>
                <w:szCs w:val="21"/>
              </w:rPr>
              <w:t xml:space="preserve"> -   </w:t>
            </w:r>
          </w:p>
        </w:tc>
        <w:tc>
          <w:tcPr>
            <w:tcW w:w="912" w:type="pct"/>
            <w:shd w:val="clear" w:color="auto" w:fill="auto"/>
            <w:tcMar>
              <w:top w:w="0" w:type="dxa"/>
              <w:left w:w="108" w:type="dxa"/>
              <w:bottom w:w="0" w:type="dxa"/>
              <w:right w:w="108" w:type="dxa"/>
            </w:tcMar>
            <w:vAlign w:val="center"/>
          </w:tcPr>
          <w:p w14:paraId="174CE56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5,470.80</w:t>
            </w:r>
          </w:p>
        </w:tc>
      </w:tr>
      <w:tr w:rsidR="006416B0" w:rsidRPr="00B4515A" w14:paraId="0A4FDA8B"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705F125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4</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30</w:t>
            </w:r>
            <w:r w:rsidRPr="00B4515A">
              <w:rPr>
                <w:rFonts w:ascii="Times New Roman" w:eastAsiaTheme="minorEastAsia" w:hAnsi="Times New Roman" w:cs="Times New Roman"/>
                <w:b/>
                <w:bCs/>
                <w:color w:val="000000"/>
                <w:sz w:val="21"/>
                <w:szCs w:val="21"/>
              </w:rPr>
              <w:t>日</w:t>
            </w:r>
          </w:p>
        </w:tc>
      </w:tr>
      <w:tr w:rsidR="006416B0" w:rsidRPr="00B4515A" w14:paraId="39267C2D" w14:textId="77777777" w:rsidTr="00031627">
        <w:trPr>
          <w:trHeight w:val="340"/>
          <w:jc w:val="center"/>
        </w:trPr>
        <w:tc>
          <w:tcPr>
            <w:tcW w:w="997" w:type="pct"/>
            <w:shd w:val="clear" w:color="auto" w:fill="auto"/>
            <w:tcMar>
              <w:top w:w="0" w:type="dxa"/>
              <w:left w:w="108" w:type="dxa"/>
              <w:bottom w:w="0" w:type="dxa"/>
              <w:right w:w="108" w:type="dxa"/>
            </w:tcMar>
            <w:vAlign w:val="center"/>
          </w:tcPr>
          <w:p w14:paraId="347FC3D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946" w:type="pct"/>
            <w:shd w:val="clear" w:color="auto" w:fill="auto"/>
            <w:tcMar>
              <w:top w:w="0" w:type="dxa"/>
              <w:left w:w="108" w:type="dxa"/>
              <w:bottom w:w="0" w:type="dxa"/>
              <w:right w:w="108" w:type="dxa"/>
            </w:tcMar>
            <w:vAlign w:val="center"/>
          </w:tcPr>
          <w:p w14:paraId="2489C60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账面原值</w:t>
            </w:r>
          </w:p>
        </w:tc>
        <w:tc>
          <w:tcPr>
            <w:tcW w:w="1030" w:type="pct"/>
            <w:shd w:val="clear" w:color="auto" w:fill="auto"/>
            <w:tcMar>
              <w:top w:w="0" w:type="dxa"/>
              <w:left w:w="108" w:type="dxa"/>
              <w:bottom w:w="0" w:type="dxa"/>
              <w:right w:w="108" w:type="dxa"/>
            </w:tcMar>
            <w:vAlign w:val="center"/>
          </w:tcPr>
          <w:p w14:paraId="547FFFF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累计摊销</w:t>
            </w:r>
          </w:p>
        </w:tc>
        <w:tc>
          <w:tcPr>
            <w:tcW w:w="1115" w:type="pct"/>
            <w:shd w:val="clear" w:color="auto" w:fill="auto"/>
            <w:tcMar>
              <w:top w:w="0" w:type="dxa"/>
              <w:left w:w="108" w:type="dxa"/>
              <w:bottom w:w="0" w:type="dxa"/>
              <w:right w:w="108" w:type="dxa"/>
            </w:tcMar>
            <w:vAlign w:val="center"/>
          </w:tcPr>
          <w:p w14:paraId="4D8AC03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减值准备</w:t>
            </w:r>
          </w:p>
        </w:tc>
        <w:tc>
          <w:tcPr>
            <w:tcW w:w="912" w:type="pct"/>
            <w:shd w:val="clear" w:color="auto" w:fill="auto"/>
            <w:tcMar>
              <w:top w:w="0" w:type="dxa"/>
              <w:left w:w="108" w:type="dxa"/>
              <w:bottom w:w="0" w:type="dxa"/>
              <w:right w:w="108" w:type="dxa"/>
            </w:tcMar>
            <w:vAlign w:val="center"/>
          </w:tcPr>
          <w:p w14:paraId="5EFD5EB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账面价值</w:t>
            </w:r>
          </w:p>
        </w:tc>
      </w:tr>
      <w:tr w:rsidR="006416B0" w:rsidRPr="00B4515A" w14:paraId="7C7F8D37" w14:textId="77777777" w:rsidTr="00031627">
        <w:trPr>
          <w:trHeight w:val="340"/>
          <w:jc w:val="center"/>
        </w:trPr>
        <w:tc>
          <w:tcPr>
            <w:tcW w:w="997" w:type="pct"/>
            <w:shd w:val="clear" w:color="auto" w:fill="auto"/>
            <w:tcMar>
              <w:top w:w="0" w:type="dxa"/>
              <w:left w:w="108" w:type="dxa"/>
              <w:bottom w:w="0" w:type="dxa"/>
              <w:right w:w="108" w:type="dxa"/>
            </w:tcMar>
            <w:vAlign w:val="center"/>
          </w:tcPr>
          <w:p w14:paraId="147695F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非专利技术</w:t>
            </w:r>
          </w:p>
        </w:tc>
        <w:tc>
          <w:tcPr>
            <w:tcW w:w="946" w:type="pct"/>
            <w:shd w:val="clear" w:color="auto" w:fill="auto"/>
            <w:tcMar>
              <w:top w:w="0" w:type="dxa"/>
              <w:left w:w="108" w:type="dxa"/>
              <w:bottom w:w="0" w:type="dxa"/>
              <w:right w:w="108" w:type="dxa"/>
            </w:tcMar>
            <w:vAlign w:val="center"/>
          </w:tcPr>
          <w:p w14:paraId="24636F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4,563.07</w:t>
            </w:r>
          </w:p>
        </w:tc>
        <w:tc>
          <w:tcPr>
            <w:tcW w:w="1030" w:type="pct"/>
            <w:shd w:val="clear" w:color="auto" w:fill="auto"/>
            <w:tcMar>
              <w:top w:w="0" w:type="dxa"/>
              <w:left w:w="108" w:type="dxa"/>
              <w:bottom w:w="0" w:type="dxa"/>
              <w:right w:w="108" w:type="dxa"/>
            </w:tcMar>
            <w:vAlign w:val="center"/>
          </w:tcPr>
          <w:p w14:paraId="15C04F5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536.82</w:t>
            </w:r>
          </w:p>
        </w:tc>
        <w:tc>
          <w:tcPr>
            <w:tcW w:w="1115" w:type="pct"/>
            <w:shd w:val="clear" w:color="auto" w:fill="auto"/>
            <w:tcMar>
              <w:top w:w="0" w:type="dxa"/>
              <w:left w:w="108" w:type="dxa"/>
              <w:bottom w:w="0" w:type="dxa"/>
              <w:right w:w="108" w:type="dxa"/>
            </w:tcMar>
            <w:vAlign w:val="center"/>
          </w:tcPr>
          <w:p w14:paraId="0DB06A0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12" w:type="pct"/>
            <w:shd w:val="clear" w:color="auto" w:fill="auto"/>
            <w:tcMar>
              <w:top w:w="0" w:type="dxa"/>
              <w:left w:w="108" w:type="dxa"/>
              <w:bottom w:w="0" w:type="dxa"/>
              <w:right w:w="108" w:type="dxa"/>
            </w:tcMar>
            <w:vAlign w:val="center"/>
          </w:tcPr>
          <w:p w14:paraId="43DFD1C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4,026.24</w:t>
            </w:r>
          </w:p>
        </w:tc>
      </w:tr>
      <w:tr w:rsidR="006416B0" w:rsidRPr="00B4515A" w14:paraId="3C1C1B60" w14:textId="77777777" w:rsidTr="00031627">
        <w:trPr>
          <w:trHeight w:val="340"/>
          <w:jc w:val="center"/>
        </w:trPr>
        <w:tc>
          <w:tcPr>
            <w:tcW w:w="997" w:type="pct"/>
            <w:shd w:val="clear" w:color="auto" w:fill="auto"/>
            <w:tcMar>
              <w:top w:w="0" w:type="dxa"/>
              <w:left w:w="108" w:type="dxa"/>
              <w:bottom w:w="0" w:type="dxa"/>
              <w:right w:w="108" w:type="dxa"/>
            </w:tcMar>
            <w:vAlign w:val="center"/>
          </w:tcPr>
          <w:p w14:paraId="4459739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软件</w:t>
            </w:r>
          </w:p>
        </w:tc>
        <w:tc>
          <w:tcPr>
            <w:tcW w:w="946" w:type="pct"/>
            <w:shd w:val="clear" w:color="auto" w:fill="auto"/>
            <w:tcMar>
              <w:top w:w="0" w:type="dxa"/>
              <w:left w:w="108" w:type="dxa"/>
              <w:bottom w:w="0" w:type="dxa"/>
              <w:right w:w="108" w:type="dxa"/>
            </w:tcMar>
            <w:vAlign w:val="center"/>
          </w:tcPr>
          <w:p w14:paraId="36B41E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2,422.99</w:t>
            </w:r>
          </w:p>
        </w:tc>
        <w:tc>
          <w:tcPr>
            <w:tcW w:w="1030" w:type="pct"/>
            <w:shd w:val="clear" w:color="auto" w:fill="auto"/>
            <w:tcMar>
              <w:top w:w="0" w:type="dxa"/>
              <w:left w:w="108" w:type="dxa"/>
              <w:bottom w:w="0" w:type="dxa"/>
              <w:right w:w="108" w:type="dxa"/>
            </w:tcMar>
            <w:vAlign w:val="center"/>
          </w:tcPr>
          <w:p w14:paraId="36F0D8E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1,132.27</w:t>
            </w:r>
          </w:p>
        </w:tc>
        <w:tc>
          <w:tcPr>
            <w:tcW w:w="1115" w:type="pct"/>
            <w:shd w:val="clear" w:color="auto" w:fill="auto"/>
            <w:tcMar>
              <w:top w:w="0" w:type="dxa"/>
              <w:left w:w="108" w:type="dxa"/>
              <w:bottom w:w="0" w:type="dxa"/>
              <w:right w:w="108" w:type="dxa"/>
            </w:tcMar>
            <w:vAlign w:val="center"/>
          </w:tcPr>
          <w:p w14:paraId="50BDA7A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912" w:type="pct"/>
            <w:shd w:val="clear" w:color="auto" w:fill="auto"/>
            <w:tcMar>
              <w:top w:w="0" w:type="dxa"/>
              <w:left w:w="108" w:type="dxa"/>
              <w:bottom w:w="0" w:type="dxa"/>
              <w:right w:w="108" w:type="dxa"/>
            </w:tcMar>
            <w:vAlign w:val="center"/>
          </w:tcPr>
          <w:p w14:paraId="16D6739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1,290.72</w:t>
            </w:r>
          </w:p>
        </w:tc>
      </w:tr>
      <w:tr w:rsidR="006416B0" w:rsidRPr="00B4515A" w14:paraId="4324B3EC" w14:textId="77777777" w:rsidTr="00031627">
        <w:trPr>
          <w:trHeight w:val="340"/>
          <w:jc w:val="center"/>
        </w:trPr>
        <w:tc>
          <w:tcPr>
            <w:tcW w:w="997" w:type="pct"/>
            <w:shd w:val="clear" w:color="auto" w:fill="auto"/>
            <w:tcMar>
              <w:top w:w="0" w:type="dxa"/>
              <w:left w:w="108" w:type="dxa"/>
              <w:bottom w:w="0" w:type="dxa"/>
              <w:right w:w="108" w:type="dxa"/>
            </w:tcMar>
            <w:vAlign w:val="center"/>
          </w:tcPr>
          <w:p w14:paraId="1D53175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合计</w:t>
            </w:r>
          </w:p>
        </w:tc>
        <w:tc>
          <w:tcPr>
            <w:tcW w:w="946" w:type="pct"/>
            <w:shd w:val="clear" w:color="auto" w:fill="auto"/>
            <w:tcMar>
              <w:top w:w="0" w:type="dxa"/>
              <w:left w:w="108" w:type="dxa"/>
              <w:bottom w:w="0" w:type="dxa"/>
              <w:right w:w="108" w:type="dxa"/>
            </w:tcMar>
            <w:vAlign w:val="center"/>
          </w:tcPr>
          <w:p w14:paraId="17B2C91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6,986.06</w:t>
            </w:r>
          </w:p>
        </w:tc>
        <w:tc>
          <w:tcPr>
            <w:tcW w:w="1030" w:type="pct"/>
            <w:shd w:val="clear" w:color="auto" w:fill="auto"/>
            <w:tcMar>
              <w:top w:w="0" w:type="dxa"/>
              <w:left w:w="108" w:type="dxa"/>
              <w:bottom w:w="0" w:type="dxa"/>
              <w:right w:w="108" w:type="dxa"/>
            </w:tcMar>
            <w:vAlign w:val="center"/>
          </w:tcPr>
          <w:p w14:paraId="40D9F79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1,669.10</w:t>
            </w:r>
          </w:p>
        </w:tc>
        <w:tc>
          <w:tcPr>
            <w:tcW w:w="1115" w:type="pct"/>
            <w:shd w:val="clear" w:color="auto" w:fill="auto"/>
            <w:tcMar>
              <w:top w:w="0" w:type="dxa"/>
              <w:left w:w="108" w:type="dxa"/>
              <w:bottom w:w="0" w:type="dxa"/>
              <w:right w:w="108" w:type="dxa"/>
            </w:tcMar>
            <w:vAlign w:val="center"/>
          </w:tcPr>
          <w:p w14:paraId="04FCFD9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color w:val="000000"/>
                <w:sz w:val="21"/>
                <w:szCs w:val="21"/>
              </w:rPr>
              <w:t xml:space="preserve"> -   </w:t>
            </w:r>
          </w:p>
        </w:tc>
        <w:tc>
          <w:tcPr>
            <w:tcW w:w="912" w:type="pct"/>
            <w:shd w:val="clear" w:color="auto" w:fill="auto"/>
            <w:tcMar>
              <w:top w:w="0" w:type="dxa"/>
              <w:left w:w="108" w:type="dxa"/>
              <w:bottom w:w="0" w:type="dxa"/>
              <w:right w:w="108" w:type="dxa"/>
            </w:tcMar>
            <w:vAlign w:val="center"/>
          </w:tcPr>
          <w:p w14:paraId="7899E64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5,316.96</w:t>
            </w:r>
          </w:p>
        </w:tc>
      </w:tr>
    </w:tbl>
    <w:p w14:paraId="72173521" w14:textId="77777777" w:rsidR="006416B0" w:rsidRPr="00B4515A" w:rsidRDefault="005E58C1" w:rsidP="003357B7">
      <w:pPr>
        <w:pStyle w:val="005"/>
        <w:spacing w:before="120" w:after="120"/>
        <w:ind w:firstLine="480"/>
      </w:pPr>
      <w:r w:rsidRPr="00B4515A">
        <w:t>报告期内</w:t>
      </w:r>
      <w:r w:rsidRPr="00B4515A">
        <w:rPr>
          <w:rFonts w:hint="eastAsia"/>
        </w:rPr>
        <w:t>，</w:t>
      </w:r>
      <w:r w:rsidRPr="00B4515A">
        <w:t>大唐联诚的无形资产主要由非专利技术</w:t>
      </w:r>
      <w:r w:rsidRPr="00B4515A">
        <w:rPr>
          <w:rFonts w:hint="eastAsia"/>
        </w:rPr>
        <w:t>、</w:t>
      </w:r>
      <w:r w:rsidRPr="00B4515A">
        <w:t>软件构成</w:t>
      </w:r>
      <w:r w:rsidRPr="00B4515A">
        <w:rPr>
          <w:rFonts w:hint="eastAsia"/>
        </w:rPr>
        <w:t>。</w:t>
      </w:r>
      <w:r w:rsidRPr="00B4515A">
        <w:t>各报告期末</w:t>
      </w:r>
      <w:r w:rsidRPr="00B4515A">
        <w:rPr>
          <w:rFonts w:hint="eastAsia"/>
        </w:rPr>
        <w:t>，</w:t>
      </w:r>
      <w:r w:rsidRPr="00B4515A">
        <w:t>大唐联诚的无形资产分别为</w:t>
      </w:r>
      <w:r w:rsidRPr="00B4515A">
        <w:t>2,006.23</w:t>
      </w:r>
      <w:r w:rsidRPr="00B4515A">
        <w:t>万元</w:t>
      </w:r>
      <w:r w:rsidRPr="00B4515A">
        <w:rPr>
          <w:rFonts w:hint="eastAsia"/>
        </w:rPr>
        <w:t>、</w:t>
      </w:r>
      <w:r w:rsidRPr="00B4515A">
        <w:t>5,470.80</w:t>
      </w:r>
      <w:r w:rsidRPr="00B4515A">
        <w:t>万元</w:t>
      </w:r>
      <w:r w:rsidRPr="00B4515A">
        <w:rPr>
          <w:rFonts w:hint="eastAsia"/>
        </w:rPr>
        <w:t>、</w:t>
      </w:r>
      <w:r w:rsidRPr="00B4515A">
        <w:t>5,316.96</w:t>
      </w:r>
      <w:r w:rsidRPr="00B4515A">
        <w:t>万元</w:t>
      </w:r>
      <w:r w:rsidRPr="00B4515A">
        <w:rPr>
          <w:rFonts w:hint="eastAsia"/>
        </w:rPr>
        <w:t>，占总资产的比例分别为</w:t>
      </w:r>
      <w:r w:rsidRPr="00B4515A">
        <w:t>2.79%</w:t>
      </w:r>
      <w:r w:rsidRPr="00B4515A">
        <w:rPr>
          <w:rFonts w:hint="eastAsia"/>
        </w:rPr>
        <w:t>、</w:t>
      </w:r>
      <w:r w:rsidRPr="00B4515A">
        <w:t>6.27%</w:t>
      </w:r>
      <w:r w:rsidRPr="00B4515A">
        <w:rPr>
          <w:rFonts w:hint="eastAsia"/>
        </w:rPr>
        <w:t>、</w:t>
      </w:r>
      <w:r w:rsidRPr="00B4515A">
        <w:t>3.53%</w:t>
      </w:r>
      <w:r w:rsidRPr="00B4515A">
        <w:rPr>
          <w:rFonts w:hint="eastAsia"/>
        </w:rPr>
        <w:t>。</w:t>
      </w:r>
    </w:p>
    <w:p w14:paraId="7F5E2F5E" w14:textId="77777777" w:rsidR="006416B0" w:rsidRPr="00B4515A" w:rsidRDefault="005E58C1" w:rsidP="003357B7">
      <w:pPr>
        <w:pStyle w:val="005"/>
        <w:spacing w:before="120" w:after="120"/>
        <w:ind w:firstLine="480"/>
        <w:rPr>
          <w:sz w:val="21"/>
          <w:szCs w:val="21"/>
        </w:rPr>
      </w:pPr>
      <w:r w:rsidRPr="00B4515A">
        <w:rPr>
          <w:rFonts w:hint="eastAsia"/>
        </w:rPr>
        <w:t>大唐联诚</w:t>
      </w:r>
      <w:r w:rsidRPr="00B4515A">
        <w:t>2020</w:t>
      </w:r>
      <w:r w:rsidRPr="00B4515A">
        <w:rPr>
          <w:rFonts w:hint="eastAsia"/>
        </w:rPr>
        <w:t>年无形资产较</w:t>
      </w:r>
      <w:r w:rsidRPr="00B4515A">
        <w:t>2019</w:t>
      </w:r>
      <w:r w:rsidRPr="00B4515A">
        <w:rPr>
          <w:rFonts w:hint="eastAsia"/>
        </w:rPr>
        <w:t>年增长较大，增长比例为</w:t>
      </w:r>
      <w:r w:rsidRPr="00B4515A">
        <w:t>172.69%</w:t>
      </w:r>
      <w:r w:rsidRPr="00B4515A">
        <w:rPr>
          <w:rFonts w:hint="eastAsia"/>
        </w:rPr>
        <w:t>。</w:t>
      </w:r>
      <w:r w:rsidRPr="00B4515A">
        <w:t>主要原因为</w:t>
      </w:r>
      <w:r w:rsidRPr="00B4515A">
        <w:t>2020</w:t>
      </w:r>
      <w:r w:rsidRPr="00B4515A">
        <w:rPr>
          <w:rFonts w:hint="eastAsia"/>
        </w:rPr>
        <w:t>年公司内部研发形成的无形资产增加较多导致。</w:t>
      </w:r>
    </w:p>
    <w:p w14:paraId="5B4C1711" w14:textId="77777777" w:rsidR="006416B0" w:rsidRPr="00B4515A" w:rsidRDefault="005E58C1" w:rsidP="003357B7">
      <w:pPr>
        <w:pStyle w:val="004"/>
        <w:spacing w:before="120" w:after="120"/>
        <w:ind w:firstLine="482"/>
      </w:pPr>
      <w:r w:rsidRPr="00B4515A">
        <w:rPr>
          <w:rFonts w:hint="eastAsia"/>
        </w:rPr>
        <w:t>2</w:t>
      </w:r>
      <w:r w:rsidRPr="00B4515A">
        <w:rPr>
          <w:rFonts w:hint="eastAsia"/>
        </w:rPr>
        <w:t>、负债构成及变动情况分析</w:t>
      </w:r>
    </w:p>
    <w:p w14:paraId="111DD300" w14:textId="77777777" w:rsidR="006416B0" w:rsidRPr="00B4515A" w:rsidRDefault="005E58C1">
      <w:pPr>
        <w:jc w:val="right"/>
        <w:rPr>
          <w:sz w:val="21"/>
          <w:szCs w:val="21"/>
        </w:rPr>
      </w:pPr>
      <w:r w:rsidRPr="00B4515A">
        <w:rPr>
          <w:rFonts w:hint="eastAsia"/>
          <w:sz w:val="21"/>
          <w:szCs w:val="21"/>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99"/>
        <w:gridCol w:w="1313"/>
        <w:gridCol w:w="1315"/>
        <w:gridCol w:w="1378"/>
        <w:gridCol w:w="1069"/>
        <w:gridCol w:w="1088"/>
        <w:gridCol w:w="1066"/>
      </w:tblGrid>
      <w:tr w:rsidR="006416B0" w:rsidRPr="00B4515A" w14:paraId="243D4F41" w14:textId="77777777" w:rsidTr="003357B7">
        <w:trPr>
          <w:trHeight w:val="340"/>
          <w:tblHeader/>
          <w:jc w:val="center"/>
        </w:trPr>
        <w:tc>
          <w:tcPr>
            <w:tcW w:w="761" w:type="pct"/>
            <w:vMerge w:val="restart"/>
            <w:shd w:val="clear" w:color="auto" w:fill="auto"/>
            <w:tcMar>
              <w:top w:w="0" w:type="dxa"/>
              <w:left w:w="108" w:type="dxa"/>
              <w:bottom w:w="0" w:type="dxa"/>
              <w:right w:w="108" w:type="dxa"/>
            </w:tcMar>
            <w:vAlign w:val="center"/>
          </w:tcPr>
          <w:p w14:paraId="4034691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541" w:type="pct"/>
            <w:gridSpan w:val="2"/>
            <w:shd w:val="clear" w:color="auto" w:fill="auto"/>
            <w:tcMar>
              <w:top w:w="0" w:type="dxa"/>
              <w:left w:w="108" w:type="dxa"/>
              <w:bottom w:w="0" w:type="dxa"/>
              <w:right w:w="108" w:type="dxa"/>
            </w:tcMar>
            <w:vAlign w:val="center"/>
          </w:tcPr>
          <w:p w14:paraId="35B052C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2020/4/30</w:t>
            </w:r>
          </w:p>
        </w:tc>
        <w:tc>
          <w:tcPr>
            <w:tcW w:w="1435" w:type="pct"/>
            <w:gridSpan w:val="2"/>
            <w:shd w:val="clear" w:color="auto" w:fill="auto"/>
            <w:tcMar>
              <w:top w:w="0" w:type="dxa"/>
              <w:left w:w="108" w:type="dxa"/>
              <w:bottom w:w="0" w:type="dxa"/>
              <w:right w:w="108" w:type="dxa"/>
            </w:tcMar>
            <w:vAlign w:val="center"/>
          </w:tcPr>
          <w:p w14:paraId="4864515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2020/12/31</w:t>
            </w:r>
          </w:p>
        </w:tc>
        <w:tc>
          <w:tcPr>
            <w:tcW w:w="1263" w:type="pct"/>
            <w:gridSpan w:val="2"/>
            <w:shd w:val="clear" w:color="auto" w:fill="auto"/>
            <w:tcMar>
              <w:top w:w="0" w:type="dxa"/>
              <w:left w:w="108" w:type="dxa"/>
              <w:bottom w:w="0" w:type="dxa"/>
              <w:right w:w="108" w:type="dxa"/>
            </w:tcMar>
            <w:vAlign w:val="center"/>
          </w:tcPr>
          <w:p w14:paraId="4B91678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2019/12/31</w:t>
            </w:r>
          </w:p>
        </w:tc>
      </w:tr>
      <w:tr w:rsidR="006416B0" w:rsidRPr="00B4515A" w14:paraId="334F2623" w14:textId="77777777" w:rsidTr="003357B7">
        <w:trPr>
          <w:trHeight w:val="340"/>
          <w:tblHeader/>
          <w:jc w:val="center"/>
        </w:trPr>
        <w:tc>
          <w:tcPr>
            <w:tcW w:w="761" w:type="pct"/>
            <w:vMerge/>
            <w:shd w:val="clear" w:color="auto" w:fill="auto"/>
            <w:tcMar>
              <w:top w:w="0" w:type="dxa"/>
              <w:left w:w="108" w:type="dxa"/>
              <w:bottom w:w="0" w:type="dxa"/>
              <w:right w:w="108" w:type="dxa"/>
            </w:tcMar>
            <w:vAlign w:val="center"/>
          </w:tcPr>
          <w:p w14:paraId="5F1646B4"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770" w:type="pct"/>
            <w:shd w:val="clear" w:color="auto" w:fill="auto"/>
            <w:tcMar>
              <w:top w:w="0" w:type="dxa"/>
              <w:left w:w="108" w:type="dxa"/>
              <w:bottom w:w="0" w:type="dxa"/>
              <w:right w:w="108" w:type="dxa"/>
            </w:tcMar>
            <w:vAlign w:val="center"/>
          </w:tcPr>
          <w:p w14:paraId="74A35C4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771" w:type="pct"/>
            <w:shd w:val="clear" w:color="auto" w:fill="auto"/>
            <w:tcMar>
              <w:top w:w="0" w:type="dxa"/>
              <w:left w:w="108" w:type="dxa"/>
              <w:bottom w:w="0" w:type="dxa"/>
              <w:right w:w="108" w:type="dxa"/>
            </w:tcMar>
            <w:vAlign w:val="center"/>
          </w:tcPr>
          <w:p w14:paraId="3A17F76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808" w:type="pct"/>
            <w:shd w:val="clear" w:color="auto" w:fill="auto"/>
            <w:tcMar>
              <w:top w:w="0" w:type="dxa"/>
              <w:left w:w="108" w:type="dxa"/>
              <w:bottom w:w="0" w:type="dxa"/>
              <w:right w:w="108" w:type="dxa"/>
            </w:tcMar>
            <w:vAlign w:val="center"/>
          </w:tcPr>
          <w:p w14:paraId="447BA5C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27" w:type="pct"/>
            <w:shd w:val="clear" w:color="auto" w:fill="auto"/>
            <w:tcMar>
              <w:top w:w="0" w:type="dxa"/>
              <w:left w:w="108" w:type="dxa"/>
              <w:bottom w:w="0" w:type="dxa"/>
              <w:right w:w="108" w:type="dxa"/>
            </w:tcMar>
            <w:vAlign w:val="center"/>
          </w:tcPr>
          <w:p w14:paraId="569492D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638" w:type="pct"/>
            <w:shd w:val="clear" w:color="auto" w:fill="auto"/>
            <w:tcMar>
              <w:top w:w="0" w:type="dxa"/>
              <w:left w:w="108" w:type="dxa"/>
              <w:bottom w:w="0" w:type="dxa"/>
              <w:right w:w="108" w:type="dxa"/>
            </w:tcMar>
            <w:vAlign w:val="center"/>
          </w:tcPr>
          <w:p w14:paraId="1CD16AF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25" w:type="pct"/>
            <w:shd w:val="clear" w:color="auto" w:fill="auto"/>
            <w:tcMar>
              <w:top w:w="0" w:type="dxa"/>
              <w:left w:w="108" w:type="dxa"/>
              <w:bottom w:w="0" w:type="dxa"/>
              <w:right w:w="108" w:type="dxa"/>
            </w:tcMar>
            <w:vAlign w:val="center"/>
          </w:tcPr>
          <w:p w14:paraId="2901560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r>
      <w:tr w:rsidR="006416B0" w:rsidRPr="00B4515A" w14:paraId="3BF0EB63" w14:textId="77777777" w:rsidTr="00031627">
        <w:trPr>
          <w:trHeight w:val="340"/>
          <w:jc w:val="center"/>
        </w:trPr>
        <w:tc>
          <w:tcPr>
            <w:tcW w:w="761" w:type="pct"/>
            <w:shd w:val="clear" w:color="auto" w:fill="auto"/>
            <w:tcMar>
              <w:top w:w="0" w:type="dxa"/>
              <w:left w:w="108" w:type="dxa"/>
              <w:bottom w:w="0" w:type="dxa"/>
              <w:right w:w="108" w:type="dxa"/>
            </w:tcMar>
            <w:vAlign w:val="center"/>
          </w:tcPr>
          <w:p w14:paraId="7E76D864"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流动负债：</w:t>
            </w:r>
          </w:p>
        </w:tc>
        <w:tc>
          <w:tcPr>
            <w:tcW w:w="770" w:type="pct"/>
            <w:shd w:val="clear" w:color="auto" w:fill="auto"/>
            <w:tcMar>
              <w:top w:w="0" w:type="dxa"/>
              <w:left w:w="108" w:type="dxa"/>
              <w:bottom w:w="0" w:type="dxa"/>
              <w:right w:w="108" w:type="dxa"/>
            </w:tcMar>
            <w:vAlign w:val="center"/>
          </w:tcPr>
          <w:p w14:paraId="30585F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771" w:type="pct"/>
            <w:shd w:val="clear" w:color="auto" w:fill="auto"/>
            <w:tcMar>
              <w:top w:w="0" w:type="dxa"/>
              <w:left w:w="108" w:type="dxa"/>
              <w:bottom w:w="0" w:type="dxa"/>
              <w:right w:w="108" w:type="dxa"/>
            </w:tcMar>
            <w:vAlign w:val="center"/>
          </w:tcPr>
          <w:p w14:paraId="495C3B1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808" w:type="pct"/>
            <w:shd w:val="clear" w:color="auto" w:fill="auto"/>
            <w:tcMar>
              <w:top w:w="0" w:type="dxa"/>
              <w:left w:w="108" w:type="dxa"/>
              <w:bottom w:w="0" w:type="dxa"/>
              <w:right w:w="108" w:type="dxa"/>
            </w:tcMar>
            <w:vAlign w:val="center"/>
          </w:tcPr>
          <w:p w14:paraId="725455E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627" w:type="pct"/>
            <w:shd w:val="clear" w:color="auto" w:fill="auto"/>
            <w:tcMar>
              <w:top w:w="0" w:type="dxa"/>
              <w:left w:w="108" w:type="dxa"/>
              <w:bottom w:w="0" w:type="dxa"/>
              <w:right w:w="108" w:type="dxa"/>
            </w:tcMar>
            <w:vAlign w:val="center"/>
          </w:tcPr>
          <w:p w14:paraId="287113C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638" w:type="pct"/>
            <w:shd w:val="clear" w:color="auto" w:fill="auto"/>
            <w:tcMar>
              <w:top w:w="0" w:type="dxa"/>
              <w:left w:w="108" w:type="dxa"/>
              <w:bottom w:w="0" w:type="dxa"/>
              <w:right w:w="108" w:type="dxa"/>
            </w:tcMar>
            <w:vAlign w:val="center"/>
          </w:tcPr>
          <w:p w14:paraId="1510996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625" w:type="pct"/>
            <w:shd w:val="clear" w:color="auto" w:fill="auto"/>
            <w:tcMar>
              <w:top w:w="0" w:type="dxa"/>
              <w:left w:w="108" w:type="dxa"/>
              <w:bottom w:w="0" w:type="dxa"/>
              <w:right w:w="108" w:type="dxa"/>
            </w:tcMar>
            <w:vAlign w:val="center"/>
          </w:tcPr>
          <w:p w14:paraId="38DAC62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r>
      <w:tr w:rsidR="006416B0" w:rsidRPr="00B4515A" w14:paraId="466E6E93" w14:textId="77777777" w:rsidTr="00031627">
        <w:trPr>
          <w:trHeight w:val="340"/>
          <w:jc w:val="center"/>
        </w:trPr>
        <w:tc>
          <w:tcPr>
            <w:tcW w:w="761" w:type="pct"/>
            <w:shd w:val="clear" w:color="auto" w:fill="auto"/>
            <w:tcMar>
              <w:top w:w="0" w:type="dxa"/>
              <w:left w:w="108" w:type="dxa"/>
              <w:bottom w:w="0" w:type="dxa"/>
              <w:right w:w="108" w:type="dxa"/>
            </w:tcMar>
            <w:vAlign w:val="center"/>
          </w:tcPr>
          <w:p w14:paraId="2482FC4C"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短期借款</w:t>
            </w:r>
          </w:p>
        </w:tc>
        <w:tc>
          <w:tcPr>
            <w:tcW w:w="770" w:type="pct"/>
            <w:shd w:val="clear" w:color="auto" w:fill="auto"/>
            <w:tcMar>
              <w:top w:w="0" w:type="dxa"/>
              <w:left w:w="108" w:type="dxa"/>
              <w:bottom w:w="0" w:type="dxa"/>
              <w:right w:w="108" w:type="dxa"/>
            </w:tcMar>
            <w:vAlign w:val="center"/>
          </w:tcPr>
          <w:p w14:paraId="5015C67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12,954.23</w:t>
            </w:r>
          </w:p>
        </w:tc>
        <w:tc>
          <w:tcPr>
            <w:tcW w:w="771" w:type="pct"/>
            <w:shd w:val="clear" w:color="auto" w:fill="auto"/>
            <w:tcMar>
              <w:top w:w="0" w:type="dxa"/>
              <w:left w:w="108" w:type="dxa"/>
              <w:bottom w:w="0" w:type="dxa"/>
              <w:right w:w="108" w:type="dxa"/>
            </w:tcMar>
            <w:vAlign w:val="center"/>
          </w:tcPr>
          <w:p w14:paraId="6E6B179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17.72%</w:t>
            </w:r>
          </w:p>
        </w:tc>
        <w:tc>
          <w:tcPr>
            <w:tcW w:w="808" w:type="pct"/>
            <w:shd w:val="clear" w:color="auto" w:fill="auto"/>
            <w:tcMar>
              <w:top w:w="0" w:type="dxa"/>
              <w:left w:w="108" w:type="dxa"/>
              <w:bottom w:w="0" w:type="dxa"/>
              <w:right w:w="108" w:type="dxa"/>
            </w:tcMar>
            <w:vAlign w:val="center"/>
          </w:tcPr>
          <w:p w14:paraId="1D76138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15,953.22</w:t>
            </w:r>
          </w:p>
        </w:tc>
        <w:tc>
          <w:tcPr>
            <w:tcW w:w="627" w:type="pct"/>
            <w:shd w:val="clear" w:color="auto" w:fill="auto"/>
            <w:tcMar>
              <w:top w:w="0" w:type="dxa"/>
              <w:left w:w="108" w:type="dxa"/>
              <w:bottom w:w="0" w:type="dxa"/>
              <w:right w:w="108" w:type="dxa"/>
            </w:tcMar>
            <w:vAlign w:val="center"/>
          </w:tcPr>
          <w:p w14:paraId="55D87AC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23.60%</w:t>
            </w:r>
          </w:p>
        </w:tc>
        <w:tc>
          <w:tcPr>
            <w:tcW w:w="638" w:type="pct"/>
            <w:shd w:val="clear" w:color="auto" w:fill="auto"/>
            <w:tcMar>
              <w:top w:w="0" w:type="dxa"/>
              <w:left w:w="108" w:type="dxa"/>
              <w:bottom w:w="0" w:type="dxa"/>
              <w:right w:w="108" w:type="dxa"/>
            </w:tcMar>
            <w:vAlign w:val="center"/>
          </w:tcPr>
          <w:p w14:paraId="6CEC43B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9,969.94</w:t>
            </w:r>
          </w:p>
        </w:tc>
        <w:tc>
          <w:tcPr>
            <w:tcW w:w="625" w:type="pct"/>
            <w:shd w:val="clear" w:color="auto" w:fill="auto"/>
            <w:tcMar>
              <w:top w:w="0" w:type="dxa"/>
              <w:left w:w="108" w:type="dxa"/>
              <w:bottom w:w="0" w:type="dxa"/>
              <w:right w:w="108" w:type="dxa"/>
            </w:tcMar>
            <w:vAlign w:val="center"/>
          </w:tcPr>
          <w:p w14:paraId="3EEDDE1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11.15%</w:t>
            </w:r>
          </w:p>
        </w:tc>
      </w:tr>
      <w:tr w:rsidR="006416B0" w:rsidRPr="00B4515A" w14:paraId="3C9AAE78" w14:textId="77777777" w:rsidTr="00031627">
        <w:trPr>
          <w:trHeight w:val="340"/>
          <w:jc w:val="center"/>
        </w:trPr>
        <w:tc>
          <w:tcPr>
            <w:tcW w:w="761" w:type="pct"/>
            <w:shd w:val="clear" w:color="auto" w:fill="auto"/>
            <w:tcMar>
              <w:top w:w="0" w:type="dxa"/>
              <w:left w:w="108" w:type="dxa"/>
              <w:bottom w:w="0" w:type="dxa"/>
              <w:right w:w="108" w:type="dxa"/>
            </w:tcMar>
            <w:vAlign w:val="center"/>
          </w:tcPr>
          <w:p w14:paraId="1594E328"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应付账款</w:t>
            </w:r>
          </w:p>
        </w:tc>
        <w:tc>
          <w:tcPr>
            <w:tcW w:w="770" w:type="pct"/>
            <w:shd w:val="clear" w:color="auto" w:fill="auto"/>
            <w:tcMar>
              <w:top w:w="0" w:type="dxa"/>
              <w:left w:w="108" w:type="dxa"/>
              <w:bottom w:w="0" w:type="dxa"/>
              <w:right w:w="108" w:type="dxa"/>
            </w:tcMar>
            <w:vAlign w:val="center"/>
          </w:tcPr>
          <w:p w14:paraId="0BDB42A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41,383.44</w:t>
            </w:r>
          </w:p>
        </w:tc>
        <w:tc>
          <w:tcPr>
            <w:tcW w:w="771" w:type="pct"/>
            <w:shd w:val="clear" w:color="auto" w:fill="auto"/>
            <w:tcMar>
              <w:top w:w="0" w:type="dxa"/>
              <w:left w:w="108" w:type="dxa"/>
              <w:bottom w:w="0" w:type="dxa"/>
              <w:right w:w="108" w:type="dxa"/>
            </w:tcMar>
            <w:vAlign w:val="center"/>
          </w:tcPr>
          <w:p w14:paraId="7598172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56.62%</w:t>
            </w:r>
          </w:p>
        </w:tc>
        <w:tc>
          <w:tcPr>
            <w:tcW w:w="808" w:type="pct"/>
            <w:shd w:val="clear" w:color="auto" w:fill="auto"/>
            <w:tcMar>
              <w:top w:w="0" w:type="dxa"/>
              <w:left w:w="108" w:type="dxa"/>
              <w:bottom w:w="0" w:type="dxa"/>
              <w:right w:w="108" w:type="dxa"/>
            </w:tcMar>
            <w:vAlign w:val="center"/>
          </w:tcPr>
          <w:p w14:paraId="66BDB00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41,060.15</w:t>
            </w:r>
          </w:p>
        </w:tc>
        <w:tc>
          <w:tcPr>
            <w:tcW w:w="627" w:type="pct"/>
            <w:shd w:val="clear" w:color="auto" w:fill="auto"/>
            <w:tcMar>
              <w:top w:w="0" w:type="dxa"/>
              <w:left w:w="108" w:type="dxa"/>
              <w:bottom w:w="0" w:type="dxa"/>
              <w:right w:w="108" w:type="dxa"/>
            </w:tcMar>
            <w:vAlign w:val="center"/>
          </w:tcPr>
          <w:p w14:paraId="1617BE1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60.74%</w:t>
            </w:r>
          </w:p>
        </w:tc>
        <w:tc>
          <w:tcPr>
            <w:tcW w:w="638" w:type="pct"/>
            <w:shd w:val="clear" w:color="auto" w:fill="auto"/>
            <w:tcMar>
              <w:top w:w="0" w:type="dxa"/>
              <w:left w:w="108" w:type="dxa"/>
              <w:bottom w:w="0" w:type="dxa"/>
              <w:right w:w="108" w:type="dxa"/>
            </w:tcMar>
            <w:vAlign w:val="center"/>
          </w:tcPr>
          <w:p w14:paraId="27E32F6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37,839.63</w:t>
            </w:r>
          </w:p>
        </w:tc>
        <w:tc>
          <w:tcPr>
            <w:tcW w:w="625" w:type="pct"/>
            <w:shd w:val="clear" w:color="auto" w:fill="auto"/>
            <w:tcMar>
              <w:top w:w="0" w:type="dxa"/>
              <w:left w:w="108" w:type="dxa"/>
              <w:bottom w:w="0" w:type="dxa"/>
              <w:right w:w="108" w:type="dxa"/>
            </w:tcMar>
            <w:vAlign w:val="center"/>
          </w:tcPr>
          <w:p w14:paraId="519E2FC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42.34%</w:t>
            </w:r>
          </w:p>
        </w:tc>
      </w:tr>
      <w:tr w:rsidR="006416B0" w:rsidRPr="00B4515A" w14:paraId="358E1E96" w14:textId="77777777" w:rsidTr="00031627">
        <w:trPr>
          <w:trHeight w:val="340"/>
          <w:jc w:val="center"/>
        </w:trPr>
        <w:tc>
          <w:tcPr>
            <w:tcW w:w="761" w:type="pct"/>
            <w:shd w:val="clear" w:color="auto" w:fill="auto"/>
            <w:tcMar>
              <w:top w:w="0" w:type="dxa"/>
              <w:left w:w="108" w:type="dxa"/>
              <w:bottom w:w="0" w:type="dxa"/>
              <w:right w:w="108" w:type="dxa"/>
            </w:tcMar>
            <w:vAlign w:val="center"/>
          </w:tcPr>
          <w:p w14:paraId="152403A5"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预收款项</w:t>
            </w:r>
          </w:p>
        </w:tc>
        <w:tc>
          <w:tcPr>
            <w:tcW w:w="770" w:type="pct"/>
            <w:shd w:val="clear" w:color="auto" w:fill="auto"/>
            <w:tcMar>
              <w:top w:w="0" w:type="dxa"/>
              <w:left w:w="108" w:type="dxa"/>
              <w:bottom w:w="0" w:type="dxa"/>
              <w:right w:w="108" w:type="dxa"/>
            </w:tcMar>
            <w:vAlign w:val="center"/>
          </w:tcPr>
          <w:p w14:paraId="21AC807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771" w:type="pct"/>
            <w:shd w:val="clear" w:color="auto" w:fill="auto"/>
            <w:tcMar>
              <w:top w:w="0" w:type="dxa"/>
              <w:left w:w="108" w:type="dxa"/>
              <w:bottom w:w="0" w:type="dxa"/>
              <w:right w:w="108" w:type="dxa"/>
            </w:tcMar>
            <w:vAlign w:val="center"/>
          </w:tcPr>
          <w:p w14:paraId="71C8756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808" w:type="pct"/>
            <w:shd w:val="clear" w:color="auto" w:fill="auto"/>
            <w:tcMar>
              <w:top w:w="0" w:type="dxa"/>
              <w:left w:w="108" w:type="dxa"/>
              <w:bottom w:w="0" w:type="dxa"/>
              <w:right w:w="108" w:type="dxa"/>
            </w:tcMar>
            <w:vAlign w:val="center"/>
          </w:tcPr>
          <w:p w14:paraId="324C97A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627" w:type="pct"/>
            <w:shd w:val="clear" w:color="auto" w:fill="auto"/>
            <w:tcMar>
              <w:top w:w="0" w:type="dxa"/>
              <w:left w:w="108" w:type="dxa"/>
              <w:bottom w:w="0" w:type="dxa"/>
              <w:right w:w="108" w:type="dxa"/>
            </w:tcMar>
            <w:vAlign w:val="center"/>
          </w:tcPr>
          <w:p w14:paraId="3F63CE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638" w:type="pct"/>
            <w:shd w:val="clear" w:color="auto" w:fill="auto"/>
            <w:tcMar>
              <w:top w:w="0" w:type="dxa"/>
              <w:left w:w="108" w:type="dxa"/>
              <w:bottom w:w="0" w:type="dxa"/>
              <w:right w:w="108" w:type="dxa"/>
            </w:tcMar>
            <w:vAlign w:val="center"/>
          </w:tcPr>
          <w:p w14:paraId="7306E07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4,101.36</w:t>
            </w:r>
          </w:p>
        </w:tc>
        <w:tc>
          <w:tcPr>
            <w:tcW w:w="625" w:type="pct"/>
            <w:shd w:val="clear" w:color="auto" w:fill="auto"/>
            <w:tcMar>
              <w:top w:w="0" w:type="dxa"/>
              <w:left w:w="108" w:type="dxa"/>
              <w:bottom w:w="0" w:type="dxa"/>
              <w:right w:w="108" w:type="dxa"/>
            </w:tcMar>
            <w:vAlign w:val="center"/>
          </w:tcPr>
          <w:p w14:paraId="69DF460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4.59%</w:t>
            </w:r>
          </w:p>
        </w:tc>
      </w:tr>
      <w:tr w:rsidR="006416B0" w:rsidRPr="00B4515A" w14:paraId="04D8BD50" w14:textId="77777777" w:rsidTr="00031627">
        <w:trPr>
          <w:trHeight w:val="340"/>
          <w:jc w:val="center"/>
        </w:trPr>
        <w:tc>
          <w:tcPr>
            <w:tcW w:w="761" w:type="pct"/>
            <w:shd w:val="clear" w:color="auto" w:fill="auto"/>
            <w:tcMar>
              <w:top w:w="0" w:type="dxa"/>
              <w:left w:w="108" w:type="dxa"/>
              <w:bottom w:w="0" w:type="dxa"/>
              <w:right w:w="108" w:type="dxa"/>
            </w:tcMar>
            <w:vAlign w:val="center"/>
          </w:tcPr>
          <w:p w14:paraId="28382222"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合同负债</w:t>
            </w:r>
          </w:p>
        </w:tc>
        <w:tc>
          <w:tcPr>
            <w:tcW w:w="770" w:type="pct"/>
            <w:shd w:val="clear" w:color="auto" w:fill="auto"/>
            <w:tcMar>
              <w:top w:w="0" w:type="dxa"/>
              <w:left w:w="108" w:type="dxa"/>
              <w:bottom w:w="0" w:type="dxa"/>
              <w:right w:w="108" w:type="dxa"/>
            </w:tcMar>
            <w:vAlign w:val="center"/>
          </w:tcPr>
          <w:p w14:paraId="0C822A5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8,049.83</w:t>
            </w:r>
          </w:p>
        </w:tc>
        <w:tc>
          <w:tcPr>
            <w:tcW w:w="771" w:type="pct"/>
            <w:shd w:val="clear" w:color="auto" w:fill="auto"/>
            <w:tcMar>
              <w:top w:w="0" w:type="dxa"/>
              <w:left w:w="108" w:type="dxa"/>
              <w:bottom w:w="0" w:type="dxa"/>
              <w:right w:w="108" w:type="dxa"/>
            </w:tcMar>
            <w:vAlign w:val="center"/>
          </w:tcPr>
          <w:p w14:paraId="789E7FE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11.01%</w:t>
            </w:r>
          </w:p>
        </w:tc>
        <w:tc>
          <w:tcPr>
            <w:tcW w:w="808" w:type="pct"/>
            <w:shd w:val="clear" w:color="auto" w:fill="auto"/>
            <w:tcMar>
              <w:top w:w="0" w:type="dxa"/>
              <w:left w:w="108" w:type="dxa"/>
              <w:bottom w:w="0" w:type="dxa"/>
              <w:right w:w="108" w:type="dxa"/>
            </w:tcMar>
            <w:vAlign w:val="center"/>
          </w:tcPr>
          <w:p w14:paraId="739E95C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4,150.78</w:t>
            </w:r>
          </w:p>
        </w:tc>
        <w:tc>
          <w:tcPr>
            <w:tcW w:w="627" w:type="pct"/>
            <w:shd w:val="clear" w:color="auto" w:fill="auto"/>
            <w:tcMar>
              <w:top w:w="0" w:type="dxa"/>
              <w:left w:w="108" w:type="dxa"/>
              <w:bottom w:w="0" w:type="dxa"/>
              <w:right w:w="108" w:type="dxa"/>
            </w:tcMar>
            <w:vAlign w:val="center"/>
          </w:tcPr>
          <w:p w14:paraId="25E464F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6.14%</w:t>
            </w:r>
          </w:p>
        </w:tc>
        <w:tc>
          <w:tcPr>
            <w:tcW w:w="638" w:type="pct"/>
            <w:shd w:val="clear" w:color="auto" w:fill="auto"/>
            <w:tcMar>
              <w:top w:w="0" w:type="dxa"/>
              <w:left w:w="108" w:type="dxa"/>
              <w:bottom w:w="0" w:type="dxa"/>
              <w:right w:w="108" w:type="dxa"/>
            </w:tcMar>
            <w:vAlign w:val="center"/>
          </w:tcPr>
          <w:p w14:paraId="4602D6D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625" w:type="pct"/>
            <w:shd w:val="clear" w:color="auto" w:fill="auto"/>
            <w:tcMar>
              <w:top w:w="0" w:type="dxa"/>
              <w:left w:w="108" w:type="dxa"/>
              <w:bottom w:w="0" w:type="dxa"/>
              <w:right w:w="108" w:type="dxa"/>
            </w:tcMar>
            <w:vAlign w:val="center"/>
          </w:tcPr>
          <w:p w14:paraId="75F9A26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r>
      <w:tr w:rsidR="006416B0" w:rsidRPr="00B4515A" w14:paraId="16E32DDC" w14:textId="77777777" w:rsidTr="00031627">
        <w:trPr>
          <w:trHeight w:val="340"/>
          <w:jc w:val="center"/>
        </w:trPr>
        <w:tc>
          <w:tcPr>
            <w:tcW w:w="761" w:type="pct"/>
            <w:shd w:val="clear" w:color="auto" w:fill="auto"/>
            <w:tcMar>
              <w:top w:w="0" w:type="dxa"/>
              <w:left w:w="108" w:type="dxa"/>
              <w:bottom w:w="0" w:type="dxa"/>
              <w:right w:w="108" w:type="dxa"/>
            </w:tcMar>
            <w:vAlign w:val="center"/>
          </w:tcPr>
          <w:p w14:paraId="09E362D5"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应付职工薪酬</w:t>
            </w:r>
          </w:p>
        </w:tc>
        <w:tc>
          <w:tcPr>
            <w:tcW w:w="770" w:type="pct"/>
            <w:shd w:val="clear" w:color="auto" w:fill="auto"/>
            <w:tcMar>
              <w:top w:w="0" w:type="dxa"/>
              <w:left w:w="108" w:type="dxa"/>
              <w:bottom w:w="0" w:type="dxa"/>
              <w:right w:w="108" w:type="dxa"/>
            </w:tcMar>
            <w:vAlign w:val="center"/>
          </w:tcPr>
          <w:p w14:paraId="735344C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4,190.62</w:t>
            </w:r>
          </w:p>
        </w:tc>
        <w:tc>
          <w:tcPr>
            <w:tcW w:w="771" w:type="pct"/>
            <w:shd w:val="clear" w:color="auto" w:fill="auto"/>
            <w:tcMar>
              <w:top w:w="0" w:type="dxa"/>
              <w:left w:w="108" w:type="dxa"/>
              <w:bottom w:w="0" w:type="dxa"/>
              <w:right w:w="108" w:type="dxa"/>
            </w:tcMar>
            <w:vAlign w:val="center"/>
          </w:tcPr>
          <w:p w14:paraId="5C8206A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5.73%</w:t>
            </w:r>
          </w:p>
        </w:tc>
        <w:tc>
          <w:tcPr>
            <w:tcW w:w="808" w:type="pct"/>
            <w:shd w:val="clear" w:color="auto" w:fill="auto"/>
            <w:tcMar>
              <w:top w:w="0" w:type="dxa"/>
              <w:left w:w="108" w:type="dxa"/>
              <w:bottom w:w="0" w:type="dxa"/>
              <w:right w:w="108" w:type="dxa"/>
            </w:tcMar>
            <w:vAlign w:val="center"/>
          </w:tcPr>
          <w:p w14:paraId="0346A48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4,226.33</w:t>
            </w:r>
          </w:p>
        </w:tc>
        <w:tc>
          <w:tcPr>
            <w:tcW w:w="627" w:type="pct"/>
            <w:shd w:val="clear" w:color="auto" w:fill="auto"/>
            <w:tcMar>
              <w:top w:w="0" w:type="dxa"/>
              <w:left w:w="108" w:type="dxa"/>
              <w:bottom w:w="0" w:type="dxa"/>
              <w:right w:w="108" w:type="dxa"/>
            </w:tcMar>
            <w:vAlign w:val="center"/>
          </w:tcPr>
          <w:p w14:paraId="48221FF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6.25%</w:t>
            </w:r>
          </w:p>
        </w:tc>
        <w:tc>
          <w:tcPr>
            <w:tcW w:w="638" w:type="pct"/>
            <w:shd w:val="clear" w:color="auto" w:fill="auto"/>
            <w:tcMar>
              <w:top w:w="0" w:type="dxa"/>
              <w:left w:w="108" w:type="dxa"/>
              <w:bottom w:w="0" w:type="dxa"/>
              <w:right w:w="108" w:type="dxa"/>
            </w:tcMar>
            <w:vAlign w:val="center"/>
          </w:tcPr>
          <w:p w14:paraId="6032040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3,677.38</w:t>
            </w:r>
          </w:p>
        </w:tc>
        <w:tc>
          <w:tcPr>
            <w:tcW w:w="625" w:type="pct"/>
            <w:shd w:val="clear" w:color="auto" w:fill="auto"/>
            <w:tcMar>
              <w:top w:w="0" w:type="dxa"/>
              <w:left w:w="108" w:type="dxa"/>
              <w:bottom w:w="0" w:type="dxa"/>
              <w:right w:w="108" w:type="dxa"/>
            </w:tcMar>
            <w:vAlign w:val="center"/>
          </w:tcPr>
          <w:p w14:paraId="79D2611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4.11%</w:t>
            </w:r>
          </w:p>
        </w:tc>
      </w:tr>
      <w:tr w:rsidR="006416B0" w:rsidRPr="00B4515A" w14:paraId="0CEE0152" w14:textId="77777777" w:rsidTr="00031627">
        <w:trPr>
          <w:trHeight w:val="340"/>
          <w:jc w:val="center"/>
        </w:trPr>
        <w:tc>
          <w:tcPr>
            <w:tcW w:w="761" w:type="pct"/>
            <w:shd w:val="clear" w:color="auto" w:fill="auto"/>
            <w:tcMar>
              <w:top w:w="0" w:type="dxa"/>
              <w:left w:w="108" w:type="dxa"/>
              <w:bottom w:w="0" w:type="dxa"/>
              <w:right w:w="108" w:type="dxa"/>
            </w:tcMar>
            <w:vAlign w:val="center"/>
          </w:tcPr>
          <w:p w14:paraId="2463127C"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应交税费</w:t>
            </w:r>
          </w:p>
        </w:tc>
        <w:tc>
          <w:tcPr>
            <w:tcW w:w="770" w:type="pct"/>
            <w:shd w:val="clear" w:color="auto" w:fill="auto"/>
            <w:tcMar>
              <w:top w:w="0" w:type="dxa"/>
              <w:left w:w="108" w:type="dxa"/>
              <w:bottom w:w="0" w:type="dxa"/>
              <w:right w:w="108" w:type="dxa"/>
            </w:tcMar>
            <w:vAlign w:val="center"/>
          </w:tcPr>
          <w:p w14:paraId="07C8F66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434.27</w:t>
            </w:r>
          </w:p>
        </w:tc>
        <w:tc>
          <w:tcPr>
            <w:tcW w:w="771" w:type="pct"/>
            <w:shd w:val="clear" w:color="auto" w:fill="auto"/>
            <w:tcMar>
              <w:top w:w="0" w:type="dxa"/>
              <w:left w:w="108" w:type="dxa"/>
              <w:bottom w:w="0" w:type="dxa"/>
              <w:right w:w="108" w:type="dxa"/>
            </w:tcMar>
            <w:vAlign w:val="center"/>
          </w:tcPr>
          <w:p w14:paraId="43A2126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0.59%</w:t>
            </w:r>
          </w:p>
        </w:tc>
        <w:tc>
          <w:tcPr>
            <w:tcW w:w="808" w:type="pct"/>
            <w:shd w:val="clear" w:color="auto" w:fill="auto"/>
            <w:tcMar>
              <w:top w:w="0" w:type="dxa"/>
              <w:left w:w="108" w:type="dxa"/>
              <w:bottom w:w="0" w:type="dxa"/>
              <w:right w:w="108" w:type="dxa"/>
            </w:tcMar>
            <w:vAlign w:val="center"/>
          </w:tcPr>
          <w:p w14:paraId="3BA8E7B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1,069.29</w:t>
            </w:r>
          </w:p>
        </w:tc>
        <w:tc>
          <w:tcPr>
            <w:tcW w:w="627" w:type="pct"/>
            <w:shd w:val="clear" w:color="auto" w:fill="auto"/>
            <w:tcMar>
              <w:top w:w="0" w:type="dxa"/>
              <w:left w:w="108" w:type="dxa"/>
              <w:bottom w:w="0" w:type="dxa"/>
              <w:right w:w="108" w:type="dxa"/>
            </w:tcMar>
            <w:vAlign w:val="center"/>
          </w:tcPr>
          <w:p w14:paraId="59CE195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1.58%</w:t>
            </w:r>
          </w:p>
        </w:tc>
        <w:tc>
          <w:tcPr>
            <w:tcW w:w="638" w:type="pct"/>
            <w:shd w:val="clear" w:color="auto" w:fill="auto"/>
            <w:tcMar>
              <w:top w:w="0" w:type="dxa"/>
              <w:left w:w="108" w:type="dxa"/>
              <w:bottom w:w="0" w:type="dxa"/>
              <w:right w:w="108" w:type="dxa"/>
            </w:tcMar>
            <w:vAlign w:val="center"/>
          </w:tcPr>
          <w:p w14:paraId="52AF11D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1,507.38</w:t>
            </w:r>
          </w:p>
        </w:tc>
        <w:tc>
          <w:tcPr>
            <w:tcW w:w="625" w:type="pct"/>
            <w:shd w:val="clear" w:color="auto" w:fill="auto"/>
            <w:tcMar>
              <w:top w:w="0" w:type="dxa"/>
              <w:left w:w="108" w:type="dxa"/>
              <w:bottom w:w="0" w:type="dxa"/>
              <w:right w:w="108" w:type="dxa"/>
            </w:tcMar>
            <w:vAlign w:val="center"/>
          </w:tcPr>
          <w:p w14:paraId="214C733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1.69%</w:t>
            </w:r>
          </w:p>
        </w:tc>
      </w:tr>
      <w:tr w:rsidR="006416B0" w:rsidRPr="00B4515A" w14:paraId="46EA5BAC" w14:textId="77777777" w:rsidTr="00031627">
        <w:trPr>
          <w:trHeight w:val="340"/>
          <w:jc w:val="center"/>
        </w:trPr>
        <w:tc>
          <w:tcPr>
            <w:tcW w:w="761" w:type="pct"/>
            <w:shd w:val="clear" w:color="auto" w:fill="auto"/>
            <w:tcMar>
              <w:top w:w="0" w:type="dxa"/>
              <w:left w:w="108" w:type="dxa"/>
              <w:bottom w:w="0" w:type="dxa"/>
              <w:right w:w="108" w:type="dxa"/>
            </w:tcMar>
            <w:vAlign w:val="center"/>
          </w:tcPr>
          <w:p w14:paraId="21B55A91"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其他应付款</w:t>
            </w:r>
          </w:p>
        </w:tc>
        <w:tc>
          <w:tcPr>
            <w:tcW w:w="770" w:type="pct"/>
            <w:shd w:val="clear" w:color="auto" w:fill="auto"/>
            <w:tcMar>
              <w:top w:w="0" w:type="dxa"/>
              <w:left w:w="108" w:type="dxa"/>
              <w:bottom w:w="0" w:type="dxa"/>
              <w:right w:w="108" w:type="dxa"/>
            </w:tcMar>
            <w:vAlign w:val="center"/>
          </w:tcPr>
          <w:p w14:paraId="456033D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246.58</w:t>
            </w:r>
          </w:p>
        </w:tc>
        <w:tc>
          <w:tcPr>
            <w:tcW w:w="771" w:type="pct"/>
            <w:shd w:val="clear" w:color="auto" w:fill="auto"/>
            <w:tcMar>
              <w:top w:w="0" w:type="dxa"/>
              <w:left w:w="108" w:type="dxa"/>
              <w:bottom w:w="0" w:type="dxa"/>
              <w:right w:w="108" w:type="dxa"/>
            </w:tcMar>
            <w:vAlign w:val="center"/>
          </w:tcPr>
          <w:p w14:paraId="16B247D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0.34%</w:t>
            </w:r>
          </w:p>
        </w:tc>
        <w:tc>
          <w:tcPr>
            <w:tcW w:w="808" w:type="pct"/>
            <w:shd w:val="clear" w:color="auto" w:fill="auto"/>
            <w:tcMar>
              <w:top w:w="0" w:type="dxa"/>
              <w:left w:w="108" w:type="dxa"/>
              <w:bottom w:w="0" w:type="dxa"/>
              <w:right w:w="108" w:type="dxa"/>
            </w:tcMar>
            <w:vAlign w:val="center"/>
          </w:tcPr>
          <w:p w14:paraId="507A5F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175.93</w:t>
            </w:r>
          </w:p>
        </w:tc>
        <w:tc>
          <w:tcPr>
            <w:tcW w:w="627" w:type="pct"/>
            <w:shd w:val="clear" w:color="auto" w:fill="auto"/>
            <w:tcMar>
              <w:top w:w="0" w:type="dxa"/>
              <w:left w:w="108" w:type="dxa"/>
              <w:bottom w:w="0" w:type="dxa"/>
              <w:right w:w="108" w:type="dxa"/>
            </w:tcMar>
            <w:vAlign w:val="center"/>
          </w:tcPr>
          <w:p w14:paraId="01B7B9B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0.26%</w:t>
            </w:r>
          </w:p>
        </w:tc>
        <w:tc>
          <w:tcPr>
            <w:tcW w:w="638" w:type="pct"/>
            <w:shd w:val="clear" w:color="auto" w:fill="auto"/>
            <w:tcMar>
              <w:top w:w="0" w:type="dxa"/>
              <w:left w:w="108" w:type="dxa"/>
              <w:bottom w:w="0" w:type="dxa"/>
              <w:right w:w="108" w:type="dxa"/>
            </w:tcMar>
            <w:vAlign w:val="center"/>
          </w:tcPr>
          <w:p w14:paraId="005B819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32,054.68</w:t>
            </w:r>
          </w:p>
        </w:tc>
        <w:tc>
          <w:tcPr>
            <w:tcW w:w="625" w:type="pct"/>
            <w:shd w:val="clear" w:color="auto" w:fill="auto"/>
            <w:tcMar>
              <w:top w:w="0" w:type="dxa"/>
              <w:left w:w="108" w:type="dxa"/>
              <w:bottom w:w="0" w:type="dxa"/>
              <w:right w:w="108" w:type="dxa"/>
            </w:tcMar>
            <w:vAlign w:val="center"/>
          </w:tcPr>
          <w:p w14:paraId="5187198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35.86%</w:t>
            </w:r>
          </w:p>
        </w:tc>
      </w:tr>
      <w:tr w:rsidR="006416B0" w:rsidRPr="00B4515A" w14:paraId="3A8F0AFE" w14:textId="77777777" w:rsidTr="00031627">
        <w:trPr>
          <w:trHeight w:val="340"/>
          <w:jc w:val="center"/>
        </w:trPr>
        <w:tc>
          <w:tcPr>
            <w:tcW w:w="761" w:type="pct"/>
            <w:shd w:val="clear" w:color="auto" w:fill="auto"/>
            <w:tcMar>
              <w:top w:w="0" w:type="dxa"/>
              <w:left w:w="108" w:type="dxa"/>
              <w:bottom w:w="0" w:type="dxa"/>
              <w:right w:w="108" w:type="dxa"/>
            </w:tcMar>
            <w:vAlign w:val="center"/>
          </w:tcPr>
          <w:p w14:paraId="27CBC20F"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其他流动负债</w:t>
            </w:r>
          </w:p>
        </w:tc>
        <w:tc>
          <w:tcPr>
            <w:tcW w:w="770" w:type="pct"/>
            <w:shd w:val="clear" w:color="auto" w:fill="auto"/>
            <w:tcMar>
              <w:top w:w="0" w:type="dxa"/>
              <w:left w:w="108" w:type="dxa"/>
              <w:bottom w:w="0" w:type="dxa"/>
              <w:right w:w="108" w:type="dxa"/>
            </w:tcMar>
            <w:vAlign w:val="center"/>
          </w:tcPr>
          <w:p w14:paraId="4EE0747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1,046.48</w:t>
            </w:r>
          </w:p>
        </w:tc>
        <w:tc>
          <w:tcPr>
            <w:tcW w:w="771" w:type="pct"/>
            <w:shd w:val="clear" w:color="auto" w:fill="auto"/>
            <w:tcMar>
              <w:top w:w="0" w:type="dxa"/>
              <w:left w:w="108" w:type="dxa"/>
              <w:bottom w:w="0" w:type="dxa"/>
              <w:right w:w="108" w:type="dxa"/>
            </w:tcMar>
            <w:vAlign w:val="center"/>
          </w:tcPr>
          <w:p w14:paraId="13E1E4B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1.43%</w:t>
            </w:r>
          </w:p>
        </w:tc>
        <w:tc>
          <w:tcPr>
            <w:tcW w:w="808" w:type="pct"/>
            <w:shd w:val="clear" w:color="auto" w:fill="auto"/>
            <w:tcMar>
              <w:top w:w="0" w:type="dxa"/>
              <w:left w:w="108" w:type="dxa"/>
              <w:bottom w:w="0" w:type="dxa"/>
              <w:right w:w="108" w:type="dxa"/>
            </w:tcMar>
            <w:vAlign w:val="center"/>
          </w:tcPr>
          <w:p w14:paraId="5C0FD2E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539.60</w:t>
            </w:r>
          </w:p>
        </w:tc>
        <w:tc>
          <w:tcPr>
            <w:tcW w:w="627" w:type="pct"/>
            <w:shd w:val="clear" w:color="auto" w:fill="auto"/>
            <w:tcMar>
              <w:top w:w="0" w:type="dxa"/>
              <w:left w:w="108" w:type="dxa"/>
              <w:bottom w:w="0" w:type="dxa"/>
              <w:right w:w="108" w:type="dxa"/>
            </w:tcMar>
            <w:vAlign w:val="center"/>
          </w:tcPr>
          <w:p w14:paraId="661B28B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0.80%</w:t>
            </w:r>
          </w:p>
        </w:tc>
        <w:tc>
          <w:tcPr>
            <w:tcW w:w="638" w:type="pct"/>
            <w:shd w:val="clear" w:color="auto" w:fill="auto"/>
            <w:tcMar>
              <w:top w:w="0" w:type="dxa"/>
              <w:left w:w="108" w:type="dxa"/>
              <w:bottom w:w="0" w:type="dxa"/>
              <w:right w:w="108" w:type="dxa"/>
            </w:tcMar>
            <w:vAlign w:val="center"/>
          </w:tcPr>
          <w:p w14:paraId="3AF58F7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625" w:type="pct"/>
            <w:shd w:val="clear" w:color="auto" w:fill="auto"/>
            <w:tcMar>
              <w:top w:w="0" w:type="dxa"/>
              <w:left w:w="108" w:type="dxa"/>
              <w:bottom w:w="0" w:type="dxa"/>
              <w:right w:w="108" w:type="dxa"/>
            </w:tcMar>
            <w:vAlign w:val="center"/>
          </w:tcPr>
          <w:p w14:paraId="798D3DF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r>
      <w:tr w:rsidR="006416B0" w:rsidRPr="00B4515A" w14:paraId="19D3662A" w14:textId="77777777" w:rsidTr="00031627">
        <w:trPr>
          <w:trHeight w:val="340"/>
          <w:jc w:val="center"/>
        </w:trPr>
        <w:tc>
          <w:tcPr>
            <w:tcW w:w="761" w:type="pct"/>
            <w:shd w:val="clear" w:color="auto" w:fill="auto"/>
            <w:tcMar>
              <w:top w:w="0" w:type="dxa"/>
              <w:left w:w="108" w:type="dxa"/>
              <w:bottom w:w="0" w:type="dxa"/>
              <w:right w:w="108" w:type="dxa"/>
            </w:tcMar>
            <w:vAlign w:val="center"/>
          </w:tcPr>
          <w:p w14:paraId="1CA5793C" w14:textId="77777777" w:rsidR="006416B0" w:rsidRPr="00B4515A" w:rsidRDefault="005E58C1" w:rsidP="005860B4">
            <w:pPr>
              <w:adjustRightInd w:val="0"/>
              <w:snapToGrid w:val="0"/>
              <w:jc w:val="both"/>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流动负债合计</w:t>
            </w:r>
          </w:p>
        </w:tc>
        <w:tc>
          <w:tcPr>
            <w:tcW w:w="770" w:type="pct"/>
            <w:shd w:val="clear" w:color="auto" w:fill="auto"/>
            <w:tcMar>
              <w:top w:w="0" w:type="dxa"/>
              <w:left w:w="108" w:type="dxa"/>
              <w:bottom w:w="0" w:type="dxa"/>
              <w:right w:w="108" w:type="dxa"/>
            </w:tcMar>
            <w:vAlign w:val="center"/>
          </w:tcPr>
          <w:p w14:paraId="1328A6CD"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68,305.45</w:t>
            </w:r>
          </w:p>
        </w:tc>
        <w:tc>
          <w:tcPr>
            <w:tcW w:w="771" w:type="pct"/>
            <w:shd w:val="clear" w:color="auto" w:fill="auto"/>
            <w:tcMar>
              <w:top w:w="0" w:type="dxa"/>
              <w:left w:w="108" w:type="dxa"/>
              <w:bottom w:w="0" w:type="dxa"/>
              <w:right w:w="108" w:type="dxa"/>
            </w:tcMar>
            <w:vAlign w:val="center"/>
          </w:tcPr>
          <w:p w14:paraId="1993BC33"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93.46%</w:t>
            </w:r>
          </w:p>
        </w:tc>
        <w:tc>
          <w:tcPr>
            <w:tcW w:w="808" w:type="pct"/>
            <w:shd w:val="clear" w:color="auto" w:fill="auto"/>
            <w:tcMar>
              <w:top w:w="0" w:type="dxa"/>
              <w:left w:w="108" w:type="dxa"/>
              <w:bottom w:w="0" w:type="dxa"/>
              <w:right w:w="108" w:type="dxa"/>
            </w:tcMar>
            <w:vAlign w:val="center"/>
          </w:tcPr>
          <w:p w14:paraId="53A7AD1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67,175.31</w:t>
            </w:r>
          </w:p>
        </w:tc>
        <w:tc>
          <w:tcPr>
            <w:tcW w:w="627" w:type="pct"/>
            <w:shd w:val="clear" w:color="auto" w:fill="auto"/>
            <w:tcMar>
              <w:top w:w="0" w:type="dxa"/>
              <w:left w:w="108" w:type="dxa"/>
              <w:bottom w:w="0" w:type="dxa"/>
              <w:right w:w="108" w:type="dxa"/>
            </w:tcMar>
            <w:vAlign w:val="center"/>
          </w:tcPr>
          <w:p w14:paraId="62A75C63"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99.36%</w:t>
            </w:r>
          </w:p>
        </w:tc>
        <w:tc>
          <w:tcPr>
            <w:tcW w:w="638" w:type="pct"/>
            <w:shd w:val="clear" w:color="auto" w:fill="auto"/>
            <w:tcMar>
              <w:top w:w="0" w:type="dxa"/>
              <w:left w:w="108" w:type="dxa"/>
              <w:bottom w:w="0" w:type="dxa"/>
              <w:right w:w="108" w:type="dxa"/>
            </w:tcMar>
            <w:vAlign w:val="center"/>
          </w:tcPr>
          <w:p w14:paraId="49901B6E"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89,150.36</w:t>
            </w:r>
          </w:p>
        </w:tc>
        <w:tc>
          <w:tcPr>
            <w:tcW w:w="625" w:type="pct"/>
            <w:shd w:val="clear" w:color="auto" w:fill="auto"/>
            <w:tcMar>
              <w:top w:w="0" w:type="dxa"/>
              <w:left w:w="108" w:type="dxa"/>
              <w:bottom w:w="0" w:type="dxa"/>
              <w:right w:w="108" w:type="dxa"/>
            </w:tcMar>
            <w:vAlign w:val="center"/>
          </w:tcPr>
          <w:p w14:paraId="3879202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99.75%</w:t>
            </w:r>
          </w:p>
        </w:tc>
      </w:tr>
      <w:tr w:rsidR="006416B0" w:rsidRPr="00B4515A" w14:paraId="53727F5F" w14:textId="77777777" w:rsidTr="00031627">
        <w:trPr>
          <w:trHeight w:val="340"/>
          <w:jc w:val="center"/>
        </w:trPr>
        <w:tc>
          <w:tcPr>
            <w:tcW w:w="761" w:type="pct"/>
            <w:shd w:val="clear" w:color="auto" w:fill="auto"/>
            <w:tcMar>
              <w:top w:w="0" w:type="dxa"/>
              <w:left w:w="108" w:type="dxa"/>
              <w:bottom w:w="0" w:type="dxa"/>
              <w:right w:w="108" w:type="dxa"/>
            </w:tcMar>
            <w:vAlign w:val="center"/>
          </w:tcPr>
          <w:p w14:paraId="5E03259C"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非流动负债：</w:t>
            </w:r>
          </w:p>
        </w:tc>
        <w:tc>
          <w:tcPr>
            <w:tcW w:w="770" w:type="pct"/>
            <w:shd w:val="clear" w:color="auto" w:fill="auto"/>
            <w:tcMar>
              <w:top w:w="0" w:type="dxa"/>
              <w:left w:w="108" w:type="dxa"/>
              <w:bottom w:w="0" w:type="dxa"/>
              <w:right w:w="108" w:type="dxa"/>
            </w:tcMar>
            <w:vAlign w:val="center"/>
          </w:tcPr>
          <w:p w14:paraId="39C6AF0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771" w:type="pct"/>
            <w:shd w:val="clear" w:color="auto" w:fill="auto"/>
            <w:tcMar>
              <w:top w:w="0" w:type="dxa"/>
              <w:left w:w="108" w:type="dxa"/>
              <w:bottom w:w="0" w:type="dxa"/>
              <w:right w:w="108" w:type="dxa"/>
            </w:tcMar>
            <w:vAlign w:val="center"/>
          </w:tcPr>
          <w:p w14:paraId="1635AC3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808" w:type="pct"/>
            <w:shd w:val="clear" w:color="auto" w:fill="auto"/>
            <w:tcMar>
              <w:top w:w="0" w:type="dxa"/>
              <w:left w:w="108" w:type="dxa"/>
              <w:bottom w:w="0" w:type="dxa"/>
              <w:right w:w="108" w:type="dxa"/>
            </w:tcMar>
            <w:vAlign w:val="center"/>
          </w:tcPr>
          <w:p w14:paraId="241B5E9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627" w:type="pct"/>
            <w:shd w:val="clear" w:color="auto" w:fill="auto"/>
            <w:tcMar>
              <w:top w:w="0" w:type="dxa"/>
              <w:left w:w="108" w:type="dxa"/>
              <w:bottom w:w="0" w:type="dxa"/>
              <w:right w:w="108" w:type="dxa"/>
            </w:tcMar>
            <w:vAlign w:val="center"/>
          </w:tcPr>
          <w:p w14:paraId="4908A6B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638" w:type="pct"/>
            <w:shd w:val="clear" w:color="auto" w:fill="auto"/>
            <w:tcMar>
              <w:top w:w="0" w:type="dxa"/>
              <w:left w:w="108" w:type="dxa"/>
              <w:bottom w:w="0" w:type="dxa"/>
              <w:right w:w="108" w:type="dxa"/>
            </w:tcMar>
            <w:vAlign w:val="center"/>
          </w:tcPr>
          <w:p w14:paraId="6BEF93F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625" w:type="pct"/>
            <w:shd w:val="clear" w:color="auto" w:fill="auto"/>
            <w:tcMar>
              <w:top w:w="0" w:type="dxa"/>
              <w:left w:w="108" w:type="dxa"/>
              <w:bottom w:w="0" w:type="dxa"/>
              <w:right w:w="108" w:type="dxa"/>
            </w:tcMar>
            <w:vAlign w:val="center"/>
          </w:tcPr>
          <w:p w14:paraId="610D39E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r>
      <w:tr w:rsidR="006416B0" w:rsidRPr="00B4515A" w14:paraId="6CFD5220" w14:textId="77777777" w:rsidTr="00031627">
        <w:trPr>
          <w:trHeight w:val="340"/>
          <w:jc w:val="center"/>
        </w:trPr>
        <w:tc>
          <w:tcPr>
            <w:tcW w:w="761" w:type="pct"/>
            <w:shd w:val="clear" w:color="auto" w:fill="auto"/>
            <w:tcMar>
              <w:top w:w="0" w:type="dxa"/>
              <w:left w:w="108" w:type="dxa"/>
              <w:bottom w:w="0" w:type="dxa"/>
              <w:right w:w="108" w:type="dxa"/>
            </w:tcMar>
            <w:vAlign w:val="center"/>
          </w:tcPr>
          <w:p w14:paraId="6A8D4B68"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租赁负债</w:t>
            </w:r>
          </w:p>
        </w:tc>
        <w:tc>
          <w:tcPr>
            <w:tcW w:w="770" w:type="pct"/>
            <w:shd w:val="clear" w:color="auto" w:fill="auto"/>
            <w:tcMar>
              <w:top w:w="0" w:type="dxa"/>
              <w:left w:w="108" w:type="dxa"/>
              <w:bottom w:w="0" w:type="dxa"/>
              <w:right w:w="108" w:type="dxa"/>
            </w:tcMar>
            <w:vAlign w:val="center"/>
          </w:tcPr>
          <w:p w14:paraId="4992C43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4,354.24</w:t>
            </w:r>
          </w:p>
        </w:tc>
        <w:tc>
          <w:tcPr>
            <w:tcW w:w="771" w:type="pct"/>
            <w:shd w:val="clear" w:color="auto" w:fill="auto"/>
            <w:tcMar>
              <w:top w:w="0" w:type="dxa"/>
              <w:left w:w="108" w:type="dxa"/>
              <w:bottom w:w="0" w:type="dxa"/>
              <w:right w:w="108" w:type="dxa"/>
            </w:tcMar>
            <w:vAlign w:val="center"/>
          </w:tcPr>
          <w:p w14:paraId="1E7DB63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5.96%</w:t>
            </w:r>
          </w:p>
        </w:tc>
        <w:tc>
          <w:tcPr>
            <w:tcW w:w="808" w:type="pct"/>
            <w:shd w:val="clear" w:color="auto" w:fill="auto"/>
            <w:tcMar>
              <w:top w:w="0" w:type="dxa"/>
              <w:left w:w="108" w:type="dxa"/>
              <w:bottom w:w="0" w:type="dxa"/>
              <w:right w:w="108" w:type="dxa"/>
            </w:tcMar>
            <w:vAlign w:val="center"/>
          </w:tcPr>
          <w:p w14:paraId="57C32B3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627" w:type="pct"/>
            <w:shd w:val="clear" w:color="auto" w:fill="auto"/>
            <w:tcMar>
              <w:top w:w="0" w:type="dxa"/>
              <w:left w:w="108" w:type="dxa"/>
              <w:bottom w:w="0" w:type="dxa"/>
              <w:right w:w="108" w:type="dxa"/>
            </w:tcMar>
            <w:vAlign w:val="center"/>
          </w:tcPr>
          <w:p w14:paraId="755E171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638" w:type="pct"/>
            <w:shd w:val="clear" w:color="auto" w:fill="auto"/>
            <w:tcMar>
              <w:top w:w="0" w:type="dxa"/>
              <w:left w:w="108" w:type="dxa"/>
              <w:bottom w:w="0" w:type="dxa"/>
              <w:right w:w="108" w:type="dxa"/>
            </w:tcMar>
            <w:vAlign w:val="center"/>
          </w:tcPr>
          <w:p w14:paraId="35A921C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c>
          <w:tcPr>
            <w:tcW w:w="625" w:type="pct"/>
            <w:shd w:val="clear" w:color="auto" w:fill="auto"/>
            <w:tcMar>
              <w:top w:w="0" w:type="dxa"/>
              <w:left w:w="108" w:type="dxa"/>
              <w:bottom w:w="0" w:type="dxa"/>
              <w:right w:w="108" w:type="dxa"/>
            </w:tcMar>
            <w:vAlign w:val="center"/>
          </w:tcPr>
          <w:p w14:paraId="3481A75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w:t>
            </w:r>
          </w:p>
        </w:tc>
      </w:tr>
      <w:tr w:rsidR="006416B0" w:rsidRPr="00B4515A" w14:paraId="0DDC691E" w14:textId="77777777" w:rsidTr="00031627">
        <w:trPr>
          <w:trHeight w:val="340"/>
          <w:jc w:val="center"/>
        </w:trPr>
        <w:tc>
          <w:tcPr>
            <w:tcW w:w="761" w:type="pct"/>
            <w:shd w:val="clear" w:color="auto" w:fill="auto"/>
            <w:tcMar>
              <w:top w:w="0" w:type="dxa"/>
              <w:left w:w="108" w:type="dxa"/>
              <w:bottom w:w="0" w:type="dxa"/>
              <w:right w:w="108" w:type="dxa"/>
            </w:tcMar>
            <w:vAlign w:val="center"/>
          </w:tcPr>
          <w:p w14:paraId="4D448531"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递延所得税负债</w:t>
            </w:r>
          </w:p>
        </w:tc>
        <w:tc>
          <w:tcPr>
            <w:tcW w:w="770" w:type="pct"/>
            <w:shd w:val="clear" w:color="auto" w:fill="auto"/>
            <w:tcMar>
              <w:top w:w="0" w:type="dxa"/>
              <w:left w:w="108" w:type="dxa"/>
              <w:bottom w:w="0" w:type="dxa"/>
              <w:right w:w="108" w:type="dxa"/>
            </w:tcMar>
            <w:vAlign w:val="center"/>
          </w:tcPr>
          <w:p w14:paraId="58B6947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429.45</w:t>
            </w:r>
          </w:p>
        </w:tc>
        <w:tc>
          <w:tcPr>
            <w:tcW w:w="771" w:type="pct"/>
            <w:shd w:val="clear" w:color="auto" w:fill="auto"/>
            <w:tcMar>
              <w:top w:w="0" w:type="dxa"/>
              <w:left w:w="108" w:type="dxa"/>
              <w:bottom w:w="0" w:type="dxa"/>
              <w:right w:w="108" w:type="dxa"/>
            </w:tcMar>
            <w:vAlign w:val="center"/>
          </w:tcPr>
          <w:p w14:paraId="6F6AC07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0.59%</w:t>
            </w:r>
          </w:p>
        </w:tc>
        <w:tc>
          <w:tcPr>
            <w:tcW w:w="808" w:type="pct"/>
            <w:shd w:val="clear" w:color="auto" w:fill="auto"/>
            <w:tcMar>
              <w:top w:w="0" w:type="dxa"/>
              <w:left w:w="108" w:type="dxa"/>
              <w:bottom w:w="0" w:type="dxa"/>
              <w:right w:w="108" w:type="dxa"/>
            </w:tcMar>
            <w:vAlign w:val="center"/>
          </w:tcPr>
          <w:p w14:paraId="6D66A59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429.45</w:t>
            </w:r>
          </w:p>
        </w:tc>
        <w:tc>
          <w:tcPr>
            <w:tcW w:w="627" w:type="pct"/>
            <w:shd w:val="clear" w:color="auto" w:fill="auto"/>
            <w:tcMar>
              <w:top w:w="0" w:type="dxa"/>
              <w:left w:w="108" w:type="dxa"/>
              <w:bottom w:w="0" w:type="dxa"/>
              <w:right w:w="108" w:type="dxa"/>
            </w:tcMar>
            <w:vAlign w:val="center"/>
          </w:tcPr>
          <w:p w14:paraId="15EC792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0.64%</w:t>
            </w:r>
          </w:p>
        </w:tc>
        <w:tc>
          <w:tcPr>
            <w:tcW w:w="638" w:type="pct"/>
            <w:shd w:val="clear" w:color="auto" w:fill="auto"/>
            <w:tcMar>
              <w:top w:w="0" w:type="dxa"/>
              <w:left w:w="108" w:type="dxa"/>
              <w:bottom w:w="0" w:type="dxa"/>
              <w:right w:w="108" w:type="dxa"/>
            </w:tcMar>
            <w:vAlign w:val="center"/>
          </w:tcPr>
          <w:p w14:paraId="2BF00C5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226.40</w:t>
            </w:r>
          </w:p>
        </w:tc>
        <w:tc>
          <w:tcPr>
            <w:tcW w:w="625" w:type="pct"/>
            <w:shd w:val="clear" w:color="auto" w:fill="auto"/>
            <w:tcMar>
              <w:top w:w="0" w:type="dxa"/>
              <w:left w:w="108" w:type="dxa"/>
              <w:bottom w:w="0" w:type="dxa"/>
              <w:right w:w="108" w:type="dxa"/>
            </w:tcMar>
            <w:vAlign w:val="center"/>
          </w:tcPr>
          <w:p w14:paraId="3316D45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0.25%</w:t>
            </w:r>
          </w:p>
        </w:tc>
      </w:tr>
      <w:tr w:rsidR="006416B0" w:rsidRPr="00B4515A" w14:paraId="6AC53B03" w14:textId="77777777" w:rsidTr="00031627">
        <w:trPr>
          <w:trHeight w:val="340"/>
          <w:jc w:val="center"/>
        </w:trPr>
        <w:tc>
          <w:tcPr>
            <w:tcW w:w="761" w:type="pct"/>
            <w:shd w:val="clear" w:color="auto" w:fill="auto"/>
            <w:tcMar>
              <w:top w:w="0" w:type="dxa"/>
              <w:left w:w="108" w:type="dxa"/>
              <w:bottom w:w="0" w:type="dxa"/>
              <w:right w:w="108" w:type="dxa"/>
            </w:tcMar>
            <w:vAlign w:val="center"/>
          </w:tcPr>
          <w:p w14:paraId="5BB96C21" w14:textId="77777777" w:rsidR="006416B0" w:rsidRPr="00B4515A" w:rsidRDefault="005E58C1" w:rsidP="005860B4">
            <w:pPr>
              <w:adjustRightInd w:val="0"/>
              <w:snapToGrid w:val="0"/>
              <w:jc w:val="both"/>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lastRenderedPageBreak/>
              <w:t>非流动负债合计</w:t>
            </w:r>
          </w:p>
        </w:tc>
        <w:tc>
          <w:tcPr>
            <w:tcW w:w="770" w:type="pct"/>
            <w:shd w:val="clear" w:color="auto" w:fill="auto"/>
            <w:tcMar>
              <w:top w:w="0" w:type="dxa"/>
              <w:left w:w="108" w:type="dxa"/>
              <w:bottom w:w="0" w:type="dxa"/>
              <w:right w:w="108" w:type="dxa"/>
            </w:tcMar>
            <w:vAlign w:val="center"/>
          </w:tcPr>
          <w:p w14:paraId="73760BB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4,783.68</w:t>
            </w:r>
          </w:p>
        </w:tc>
        <w:tc>
          <w:tcPr>
            <w:tcW w:w="771" w:type="pct"/>
            <w:shd w:val="clear" w:color="auto" w:fill="auto"/>
            <w:tcMar>
              <w:top w:w="0" w:type="dxa"/>
              <w:left w:w="108" w:type="dxa"/>
              <w:bottom w:w="0" w:type="dxa"/>
              <w:right w:w="108" w:type="dxa"/>
            </w:tcMar>
            <w:vAlign w:val="center"/>
          </w:tcPr>
          <w:p w14:paraId="12AC9AF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6.54%</w:t>
            </w:r>
          </w:p>
        </w:tc>
        <w:tc>
          <w:tcPr>
            <w:tcW w:w="808" w:type="pct"/>
            <w:shd w:val="clear" w:color="auto" w:fill="auto"/>
            <w:tcMar>
              <w:top w:w="0" w:type="dxa"/>
              <w:left w:w="108" w:type="dxa"/>
              <w:bottom w:w="0" w:type="dxa"/>
              <w:right w:w="108" w:type="dxa"/>
            </w:tcMar>
            <w:vAlign w:val="center"/>
          </w:tcPr>
          <w:p w14:paraId="02C1B8C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429.45</w:t>
            </w:r>
          </w:p>
        </w:tc>
        <w:tc>
          <w:tcPr>
            <w:tcW w:w="627" w:type="pct"/>
            <w:shd w:val="clear" w:color="auto" w:fill="auto"/>
            <w:tcMar>
              <w:top w:w="0" w:type="dxa"/>
              <w:left w:w="108" w:type="dxa"/>
              <w:bottom w:w="0" w:type="dxa"/>
              <w:right w:w="108" w:type="dxa"/>
            </w:tcMar>
            <w:vAlign w:val="center"/>
          </w:tcPr>
          <w:p w14:paraId="5CDB0D0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0.64%</w:t>
            </w:r>
          </w:p>
        </w:tc>
        <w:tc>
          <w:tcPr>
            <w:tcW w:w="638" w:type="pct"/>
            <w:shd w:val="clear" w:color="auto" w:fill="auto"/>
            <w:tcMar>
              <w:top w:w="0" w:type="dxa"/>
              <w:left w:w="108" w:type="dxa"/>
              <w:bottom w:w="0" w:type="dxa"/>
              <w:right w:w="108" w:type="dxa"/>
            </w:tcMar>
            <w:vAlign w:val="center"/>
          </w:tcPr>
          <w:p w14:paraId="5A8F91B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226.40</w:t>
            </w:r>
          </w:p>
        </w:tc>
        <w:tc>
          <w:tcPr>
            <w:tcW w:w="625" w:type="pct"/>
            <w:shd w:val="clear" w:color="auto" w:fill="auto"/>
            <w:tcMar>
              <w:top w:w="0" w:type="dxa"/>
              <w:left w:w="108" w:type="dxa"/>
              <w:bottom w:w="0" w:type="dxa"/>
              <w:right w:w="108" w:type="dxa"/>
            </w:tcMar>
            <w:vAlign w:val="center"/>
          </w:tcPr>
          <w:p w14:paraId="50D732D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0.25%</w:t>
            </w:r>
          </w:p>
        </w:tc>
      </w:tr>
      <w:tr w:rsidR="006416B0" w:rsidRPr="00B4515A" w14:paraId="232F5F06" w14:textId="77777777" w:rsidTr="00031627">
        <w:trPr>
          <w:trHeight w:val="340"/>
          <w:jc w:val="center"/>
        </w:trPr>
        <w:tc>
          <w:tcPr>
            <w:tcW w:w="761" w:type="pct"/>
            <w:shd w:val="clear" w:color="auto" w:fill="auto"/>
            <w:tcMar>
              <w:top w:w="0" w:type="dxa"/>
              <w:left w:w="108" w:type="dxa"/>
              <w:bottom w:w="0" w:type="dxa"/>
              <w:right w:w="108" w:type="dxa"/>
            </w:tcMar>
            <w:vAlign w:val="center"/>
          </w:tcPr>
          <w:p w14:paraId="2B75E00C" w14:textId="77777777" w:rsidR="006416B0" w:rsidRPr="00B4515A" w:rsidRDefault="005E58C1" w:rsidP="005860B4">
            <w:pPr>
              <w:adjustRightInd w:val="0"/>
              <w:snapToGrid w:val="0"/>
              <w:jc w:val="both"/>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负债合计</w:t>
            </w:r>
          </w:p>
        </w:tc>
        <w:tc>
          <w:tcPr>
            <w:tcW w:w="770" w:type="pct"/>
            <w:shd w:val="clear" w:color="auto" w:fill="auto"/>
            <w:tcMar>
              <w:top w:w="0" w:type="dxa"/>
              <w:left w:w="108" w:type="dxa"/>
              <w:bottom w:w="0" w:type="dxa"/>
              <w:right w:w="108" w:type="dxa"/>
            </w:tcMar>
            <w:vAlign w:val="center"/>
          </w:tcPr>
          <w:p w14:paraId="6420ECD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73,089.14</w:t>
            </w:r>
          </w:p>
        </w:tc>
        <w:tc>
          <w:tcPr>
            <w:tcW w:w="771" w:type="pct"/>
            <w:shd w:val="clear" w:color="auto" w:fill="auto"/>
            <w:tcMar>
              <w:top w:w="0" w:type="dxa"/>
              <w:left w:w="108" w:type="dxa"/>
              <w:bottom w:w="0" w:type="dxa"/>
              <w:right w:w="108" w:type="dxa"/>
            </w:tcMar>
            <w:vAlign w:val="center"/>
          </w:tcPr>
          <w:p w14:paraId="5E2C0FE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808" w:type="pct"/>
            <w:shd w:val="clear" w:color="auto" w:fill="auto"/>
            <w:tcMar>
              <w:top w:w="0" w:type="dxa"/>
              <w:left w:w="108" w:type="dxa"/>
              <w:bottom w:w="0" w:type="dxa"/>
              <w:right w:w="108" w:type="dxa"/>
            </w:tcMar>
            <w:vAlign w:val="center"/>
          </w:tcPr>
          <w:p w14:paraId="5B6B42D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67,604.76</w:t>
            </w:r>
          </w:p>
        </w:tc>
        <w:tc>
          <w:tcPr>
            <w:tcW w:w="627" w:type="pct"/>
            <w:shd w:val="clear" w:color="auto" w:fill="auto"/>
            <w:tcMar>
              <w:top w:w="0" w:type="dxa"/>
              <w:left w:w="108" w:type="dxa"/>
              <w:bottom w:w="0" w:type="dxa"/>
              <w:right w:w="108" w:type="dxa"/>
            </w:tcMar>
            <w:vAlign w:val="center"/>
          </w:tcPr>
          <w:p w14:paraId="3CF14E1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38" w:type="pct"/>
            <w:shd w:val="clear" w:color="auto" w:fill="auto"/>
            <w:tcMar>
              <w:top w:w="0" w:type="dxa"/>
              <w:left w:w="108" w:type="dxa"/>
              <w:bottom w:w="0" w:type="dxa"/>
              <w:right w:w="108" w:type="dxa"/>
            </w:tcMar>
            <w:vAlign w:val="center"/>
          </w:tcPr>
          <w:p w14:paraId="104C889E"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89,376.76</w:t>
            </w:r>
          </w:p>
        </w:tc>
        <w:tc>
          <w:tcPr>
            <w:tcW w:w="625" w:type="pct"/>
            <w:shd w:val="clear" w:color="auto" w:fill="auto"/>
            <w:tcMar>
              <w:top w:w="0" w:type="dxa"/>
              <w:left w:w="108" w:type="dxa"/>
              <w:bottom w:w="0" w:type="dxa"/>
              <w:right w:w="108" w:type="dxa"/>
            </w:tcMar>
            <w:vAlign w:val="center"/>
          </w:tcPr>
          <w:p w14:paraId="6321CFD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r>
    </w:tbl>
    <w:p w14:paraId="0CBDEEA7" w14:textId="77777777" w:rsidR="00D62C18" w:rsidRPr="00B4515A" w:rsidRDefault="00D62C18" w:rsidP="00D62C18"/>
    <w:p w14:paraId="6E1E4AD4"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99"/>
        <w:gridCol w:w="1088"/>
        <w:gridCol w:w="1397"/>
        <w:gridCol w:w="1088"/>
        <w:gridCol w:w="1034"/>
        <w:gridCol w:w="1088"/>
        <w:gridCol w:w="1034"/>
      </w:tblGrid>
      <w:tr w:rsidR="006416B0" w:rsidRPr="00B4515A" w14:paraId="2153BC12" w14:textId="77777777" w:rsidTr="00031627">
        <w:trPr>
          <w:trHeight w:val="340"/>
          <w:jc w:val="center"/>
        </w:trPr>
        <w:tc>
          <w:tcPr>
            <w:tcW w:w="1055" w:type="pct"/>
            <w:vMerge w:val="restart"/>
            <w:shd w:val="clear" w:color="auto" w:fill="auto"/>
            <w:tcMar>
              <w:top w:w="0" w:type="dxa"/>
              <w:left w:w="108" w:type="dxa"/>
              <w:bottom w:w="0" w:type="dxa"/>
              <w:right w:w="108" w:type="dxa"/>
            </w:tcMar>
            <w:vAlign w:val="center"/>
          </w:tcPr>
          <w:p w14:paraId="1B29AAF8"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项目</w:t>
            </w:r>
          </w:p>
        </w:tc>
        <w:tc>
          <w:tcPr>
            <w:tcW w:w="1456" w:type="pct"/>
            <w:gridSpan w:val="2"/>
            <w:shd w:val="clear" w:color="auto" w:fill="auto"/>
            <w:tcMar>
              <w:top w:w="0" w:type="dxa"/>
              <w:left w:w="108" w:type="dxa"/>
              <w:bottom w:w="0" w:type="dxa"/>
              <w:right w:w="108" w:type="dxa"/>
            </w:tcMar>
            <w:vAlign w:val="center"/>
          </w:tcPr>
          <w:p w14:paraId="28909AA0"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2021</w:t>
            </w:r>
            <w:r w:rsidRPr="00B4515A">
              <w:rPr>
                <w:rFonts w:ascii="Times New Roman" w:hAnsi="Times New Roman" w:cs="Times New Roman"/>
                <w:b/>
                <w:bCs/>
                <w:color w:val="333333"/>
                <w:sz w:val="21"/>
                <w:szCs w:val="21"/>
              </w:rPr>
              <w:t>年</w:t>
            </w:r>
            <w:r w:rsidRPr="00B4515A">
              <w:rPr>
                <w:rFonts w:ascii="Times New Roman" w:hAnsi="Times New Roman" w:cs="Times New Roman"/>
                <w:b/>
                <w:bCs/>
                <w:color w:val="333333"/>
                <w:sz w:val="21"/>
                <w:szCs w:val="21"/>
              </w:rPr>
              <w:t>4</w:t>
            </w:r>
            <w:r w:rsidRPr="00B4515A">
              <w:rPr>
                <w:rFonts w:ascii="Times New Roman" w:hAnsi="Times New Roman" w:cs="Times New Roman"/>
                <w:b/>
                <w:bCs/>
                <w:color w:val="333333"/>
                <w:sz w:val="21"/>
                <w:szCs w:val="21"/>
              </w:rPr>
              <w:t>月</w:t>
            </w:r>
            <w:r w:rsidRPr="00B4515A">
              <w:rPr>
                <w:rFonts w:ascii="Times New Roman" w:hAnsi="Times New Roman" w:cs="Times New Roman"/>
                <w:b/>
                <w:bCs/>
                <w:color w:val="333333"/>
                <w:sz w:val="21"/>
                <w:szCs w:val="21"/>
              </w:rPr>
              <w:t>30</w:t>
            </w:r>
            <w:r w:rsidRPr="00B4515A">
              <w:rPr>
                <w:rFonts w:ascii="Times New Roman" w:hAnsi="Times New Roman" w:cs="Times New Roman"/>
                <w:b/>
                <w:bCs/>
                <w:color w:val="333333"/>
                <w:sz w:val="21"/>
                <w:szCs w:val="21"/>
              </w:rPr>
              <w:t>日</w:t>
            </w:r>
          </w:p>
        </w:tc>
        <w:tc>
          <w:tcPr>
            <w:tcW w:w="1244" w:type="pct"/>
            <w:gridSpan w:val="2"/>
            <w:shd w:val="clear" w:color="auto" w:fill="auto"/>
            <w:tcMar>
              <w:top w:w="0" w:type="dxa"/>
              <w:left w:w="108" w:type="dxa"/>
              <w:bottom w:w="0" w:type="dxa"/>
              <w:right w:w="108" w:type="dxa"/>
            </w:tcMar>
            <w:vAlign w:val="center"/>
          </w:tcPr>
          <w:p w14:paraId="4E88BE3F"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2020</w:t>
            </w:r>
            <w:r w:rsidRPr="00B4515A">
              <w:rPr>
                <w:rFonts w:ascii="Times New Roman" w:hAnsi="Times New Roman" w:cs="Times New Roman"/>
                <w:b/>
                <w:bCs/>
                <w:color w:val="333333"/>
                <w:sz w:val="21"/>
                <w:szCs w:val="21"/>
              </w:rPr>
              <w:t>年</w:t>
            </w:r>
            <w:r w:rsidRPr="00B4515A">
              <w:rPr>
                <w:rFonts w:ascii="Times New Roman" w:hAnsi="Times New Roman" w:cs="Times New Roman"/>
                <w:b/>
                <w:bCs/>
                <w:color w:val="333333"/>
                <w:sz w:val="21"/>
                <w:szCs w:val="21"/>
              </w:rPr>
              <w:t>12</w:t>
            </w:r>
            <w:r w:rsidRPr="00B4515A">
              <w:rPr>
                <w:rFonts w:ascii="Times New Roman" w:hAnsi="Times New Roman" w:cs="Times New Roman"/>
                <w:b/>
                <w:bCs/>
                <w:color w:val="333333"/>
                <w:sz w:val="21"/>
                <w:szCs w:val="21"/>
              </w:rPr>
              <w:t>月</w:t>
            </w:r>
            <w:r w:rsidRPr="00B4515A">
              <w:rPr>
                <w:rFonts w:ascii="Times New Roman" w:hAnsi="Times New Roman" w:cs="Times New Roman"/>
                <w:b/>
                <w:bCs/>
                <w:color w:val="333333"/>
                <w:sz w:val="21"/>
                <w:szCs w:val="21"/>
              </w:rPr>
              <w:t>31</w:t>
            </w:r>
            <w:r w:rsidRPr="00B4515A">
              <w:rPr>
                <w:rFonts w:ascii="Times New Roman" w:hAnsi="Times New Roman" w:cs="Times New Roman"/>
                <w:b/>
                <w:bCs/>
                <w:color w:val="333333"/>
                <w:sz w:val="21"/>
                <w:szCs w:val="21"/>
              </w:rPr>
              <w:t>日</w:t>
            </w:r>
          </w:p>
        </w:tc>
        <w:tc>
          <w:tcPr>
            <w:tcW w:w="1244" w:type="pct"/>
            <w:gridSpan w:val="2"/>
            <w:shd w:val="clear" w:color="auto" w:fill="auto"/>
            <w:tcMar>
              <w:top w:w="0" w:type="dxa"/>
              <w:left w:w="108" w:type="dxa"/>
              <w:bottom w:w="0" w:type="dxa"/>
              <w:right w:w="108" w:type="dxa"/>
            </w:tcMar>
            <w:vAlign w:val="center"/>
          </w:tcPr>
          <w:p w14:paraId="6EF753B8"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b/>
                <w:bCs/>
                <w:color w:val="333333"/>
                <w:sz w:val="21"/>
                <w:szCs w:val="21"/>
              </w:rPr>
              <w:t>2019</w:t>
            </w:r>
            <w:r w:rsidRPr="00B4515A">
              <w:rPr>
                <w:rFonts w:ascii="Times New Roman" w:hAnsi="Times New Roman" w:cs="Times New Roman"/>
                <w:b/>
                <w:bCs/>
                <w:color w:val="333333"/>
                <w:sz w:val="21"/>
                <w:szCs w:val="21"/>
              </w:rPr>
              <w:t>年</w:t>
            </w:r>
            <w:r w:rsidRPr="00B4515A">
              <w:rPr>
                <w:rFonts w:ascii="Times New Roman" w:hAnsi="Times New Roman" w:cs="Times New Roman"/>
                <w:b/>
                <w:bCs/>
                <w:color w:val="333333"/>
                <w:sz w:val="21"/>
                <w:szCs w:val="21"/>
              </w:rPr>
              <w:t>12</w:t>
            </w:r>
            <w:r w:rsidRPr="00B4515A">
              <w:rPr>
                <w:rFonts w:ascii="Times New Roman" w:hAnsi="Times New Roman" w:cs="Times New Roman"/>
                <w:b/>
                <w:bCs/>
                <w:color w:val="333333"/>
                <w:sz w:val="21"/>
                <w:szCs w:val="21"/>
              </w:rPr>
              <w:t>月</w:t>
            </w:r>
            <w:r w:rsidRPr="00B4515A">
              <w:rPr>
                <w:rFonts w:ascii="Times New Roman" w:hAnsi="Times New Roman" w:cs="Times New Roman"/>
                <w:b/>
                <w:bCs/>
                <w:color w:val="333333"/>
                <w:sz w:val="21"/>
                <w:szCs w:val="21"/>
              </w:rPr>
              <w:t>31</w:t>
            </w:r>
            <w:r w:rsidRPr="00B4515A">
              <w:rPr>
                <w:rFonts w:ascii="Times New Roman" w:hAnsi="Times New Roman" w:cs="Times New Roman"/>
                <w:b/>
                <w:bCs/>
                <w:color w:val="333333"/>
                <w:sz w:val="21"/>
                <w:szCs w:val="21"/>
              </w:rPr>
              <w:t>日</w:t>
            </w:r>
          </w:p>
        </w:tc>
      </w:tr>
      <w:tr w:rsidR="006416B0" w:rsidRPr="00B4515A" w14:paraId="596553BA" w14:textId="77777777" w:rsidTr="00031627">
        <w:trPr>
          <w:trHeight w:val="340"/>
          <w:jc w:val="center"/>
        </w:trPr>
        <w:tc>
          <w:tcPr>
            <w:tcW w:w="1055" w:type="pct"/>
            <w:vMerge/>
            <w:tcMar>
              <w:top w:w="0" w:type="dxa"/>
              <w:left w:w="108" w:type="dxa"/>
              <w:bottom w:w="0" w:type="dxa"/>
              <w:right w:w="108" w:type="dxa"/>
            </w:tcMar>
            <w:vAlign w:val="center"/>
          </w:tcPr>
          <w:p w14:paraId="2462CCB1" w14:textId="77777777" w:rsidR="006416B0" w:rsidRPr="00B4515A" w:rsidRDefault="006416B0" w:rsidP="005860B4">
            <w:pPr>
              <w:adjustRightInd w:val="0"/>
              <w:snapToGrid w:val="0"/>
              <w:jc w:val="center"/>
              <w:rPr>
                <w:rFonts w:ascii="Times New Roman" w:hAnsi="Times New Roman" w:cs="Times New Roman"/>
                <w:b/>
                <w:bCs/>
                <w:color w:val="333333"/>
                <w:sz w:val="21"/>
                <w:szCs w:val="21"/>
              </w:rPr>
            </w:pPr>
          </w:p>
        </w:tc>
        <w:tc>
          <w:tcPr>
            <w:tcW w:w="638" w:type="pct"/>
            <w:shd w:val="clear" w:color="auto" w:fill="auto"/>
            <w:tcMar>
              <w:top w:w="0" w:type="dxa"/>
              <w:left w:w="108" w:type="dxa"/>
              <w:bottom w:w="0" w:type="dxa"/>
              <w:right w:w="108" w:type="dxa"/>
            </w:tcMar>
            <w:vAlign w:val="center"/>
          </w:tcPr>
          <w:p w14:paraId="7D536715"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金额</w:t>
            </w:r>
          </w:p>
        </w:tc>
        <w:tc>
          <w:tcPr>
            <w:tcW w:w="819" w:type="pct"/>
            <w:shd w:val="clear" w:color="auto" w:fill="auto"/>
            <w:tcMar>
              <w:top w:w="0" w:type="dxa"/>
              <w:left w:w="108" w:type="dxa"/>
              <w:bottom w:w="0" w:type="dxa"/>
              <w:right w:w="108" w:type="dxa"/>
            </w:tcMar>
            <w:vAlign w:val="center"/>
          </w:tcPr>
          <w:p w14:paraId="03A68718" w14:textId="14382FC1"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占比</w:t>
            </w:r>
          </w:p>
        </w:tc>
        <w:tc>
          <w:tcPr>
            <w:tcW w:w="638" w:type="pct"/>
            <w:shd w:val="clear" w:color="auto" w:fill="auto"/>
            <w:tcMar>
              <w:top w:w="0" w:type="dxa"/>
              <w:left w:w="108" w:type="dxa"/>
              <w:bottom w:w="0" w:type="dxa"/>
              <w:right w:w="108" w:type="dxa"/>
            </w:tcMar>
            <w:vAlign w:val="center"/>
          </w:tcPr>
          <w:p w14:paraId="26995DF1"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金额</w:t>
            </w:r>
          </w:p>
        </w:tc>
        <w:tc>
          <w:tcPr>
            <w:tcW w:w="606" w:type="pct"/>
            <w:shd w:val="clear" w:color="auto" w:fill="auto"/>
            <w:tcMar>
              <w:top w:w="0" w:type="dxa"/>
              <w:left w:w="108" w:type="dxa"/>
              <w:bottom w:w="0" w:type="dxa"/>
              <w:right w:w="108" w:type="dxa"/>
            </w:tcMar>
            <w:vAlign w:val="center"/>
          </w:tcPr>
          <w:p w14:paraId="64B59F32" w14:textId="34524061"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占比</w:t>
            </w:r>
          </w:p>
        </w:tc>
        <w:tc>
          <w:tcPr>
            <w:tcW w:w="638" w:type="pct"/>
            <w:shd w:val="clear" w:color="auto" w:fill="auto"/>
            <w:tcMar>
              <w:top w:w="0" w:type="dxa"/>
              <w:left w:w="108" w:type="dxa"/>
              <w:bottom w:w="0" w:type="dxa"/>
              <w:right w:w="108" w:type="dxa"/>
            </w:tcMar>
            <w:vAlign w:val="center"/>
          </w:tcPr>
          <w:p w14:paraId="26A9274B" w14:textId="7777777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金额</w:t>
            </w:r>
          </w:p>
        </w:tc>
        <w:tc>
          <w:tcPr>
            <w:tcW w:w="606" w:type="pct"/>
            <w:shd w:val="clear" w:color="auto" w:fill="auto"/>
            <w:tcMar>
              <w:top w:w="0" w:type="dxa"/>
              <w:left w:w="108" w:type="dxa"/>
              <w:bottom w:w="0" w:type="dxa"/>
              <w:right w:w="108" w:type="dxa"/>
            </w:tcMar>
            <w:vAlign w:val="center"/>
          </w:tcPr>
          <w:p w14:paraId="425531D3" w14:textId="2647AE37" w:rsidR="006416B0" w:rsidRPr="00B4515A" w:rsidRDefault="005E58C1" w:rsidP="005860B4">
            <w:pPr>
              <w:adjustRightInd w:val="0"/>
              <w:snapToGrid w:val="0"/>
              <w:jc w:val="center"/>
              <w:rPr>
                <w:rFonts w:ascii="Times New Roman" w:hAnsi="Times New Roman" w:cs="Times New Roman"/>
                <w:b/>
                <w:bCs/>
                <w:color w:val="333333"/>
                <w:sz w:val="21"/>
                <w:szCs w:val="21"/>
              </w:rPr>
            </w:pPr>
            <w:r w:rsidRPr="00B4515A">
              <w:rPr>
                <w:rFonts w:ascii="Times New Roman" w:hAnsi="Times New Roman" w:cs="Times New Roman" w:hint="eastAsia"/>
                <w:b/>
                <w:bCs/>
                <w:color w:val="333333"/>
                <w:sz w:val="21"/>
                <w:szCs w:val="21"/>
              </w:rPr>
              <w:t>占比</w:t>
            </w:r>
          </w:p>
        </w:tc>
      </w:tr>
      <w:tr w:rsidR="006416B0" w:rsidRPr="00B4515A" w14:paraId="2662E4DD" w14:textId="77777777" w:rsidTr="00031627">
        <w:trPr>
          <w:trHeight w:val="340"/>
          <w:jc w:val="center"/>
        </w:trPr>
        <w:tc>
          <w:tcPr>
            <w:tcW w:w="1055" w:type="pct"/>
            <w:shd w:val="clear" w:color="auto" w:fill="auto"/>
            <w:tcMar>
              <w:top w:w="0" w:type="dxa"/>
              <w:left w:w="108" w:type="dxa"/>
              <w:bottom w:w="0" w:type="dxa"/>
              <w:right w:w="108" w:type="dxa"/>
            </w:tcMar>
            <w:vAlign w:val="center"/>
          </w:tcPr>
          <w:p w14:paraId="1F49EBE0" w14:textId="77777777" w:rsidR="006416B0" w:rsidRPr="00B4515A" w:rsidRDefault="005E58C1" w:rsidP="005860B4">
            <w:pPr>
              <w:adjustRightInd w:val="0"/>
              <w:snapToGrid w:val="0"/>
              <w:jc w:val="center"/>
              <w:rPr>
                <w:rFonts w:ascii="Times New Roman" w:eastAsiaTheme="minorEastAsia" w:hAnsi="Times New Roman" w:cs="Times New Roman"/>
                <w:color w:val="333333"/>
                <w:sz w:val="21"/>
                <w:szCs w:val="21"/>
              </w:rPr>
            </w:pPr>
            <w:r w:rsidRPr="00B4515A">
              <w:rPr>
                <w:rFonts w:ascii="Times New Roman" w:eastAsiaTheme="minorEastAsia" w:hAnsi="Times New Roman" w:cs="Times New Roman" w:hint="eastAsia"/>
                <w:color w:val="333333"/>
                <w:sz w:val="21"/>
                <w:szCs w:val="21"/>
              </w:rPr>
              <w:t>有息流动负债</w:t>
            </w:r>
          </w:p>
        </w:tc>
        <w:tc>
          <w:tcPr>
            <w:tcW w:w="638" w:type="pct"/>
            <w:shd w:val="clear" w:color="auto" w:fill="auto"/>
            <w:tcMar>
              <w:top w:w="0" w:type="dxa"/>
              <w:left w:w="108" w:type="dxa"/>
              <w:bottom w:w="0" w:type="dxa"/>
              <w:right w:w="108" w:type="dxa"/>
            </w:tcMar>
            <w:vAlign w:val="center"/>
          </w:tcPr>
          <w:p w14:paraId="71EABA0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12,954.23</w:t>
            </w:r>
          </w:p>
        </w:tc>
        <w:tc>
          <w:tcPr>
            <w:tcW w:w="819" w:type="pct"/>
            <w:shd w:val="clear" w:color="auto" w:fill="auto"/>
            <w:tcMar>
              <w:top w:w="0" w:type="dxa"/>
              <w:left w:w="108" w:type="dxa"/>
              <w:bottom w:w="0" w:type="dxa"/>
              <w:right w:w="108" w:type="dxa"/>
            </w:tcMar>
            <w:vAlign w:val="center"/>
          </w:tcPr>
          <w:p w14:paraId="54EF8D9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17.72%</w:t>
            </w:r>
          </w:p>
        </w:tc>
        <w:tc>
          <w:tcPr>
            <w:tcW w:w="638" w:type="pct"/>
            <w:shd w:val="clear" w:color="auto" w:fill="auto"/>
            <w:tcMar>
              <w:top w:w="0" w:type="dxa"/>
              <w:left w:w="108" w:type="dxa"/>
              <w:bottom w:w="0" w:type="dxa"/>
              <w:right w:w="108" w:type="dxa"/>
            </w:tcMar>
            <w:vAlign w:val="center"/>
          </w:tcPr>
          <w:p w14:paraId="051794D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15,953.22</w:t>
            </w:r>
          </w:p>
        </w:tc>
        <w:tc>
          <w:tcPr>
            <w:tcW w:w="606" w:type="pct"/>
            <w:shd w:val="clear" w:color="auto" w:fill="auto"/>
            <w:tcMar>
              <w:top w:w="0" w:type="dxa"/>
              <w:left w:w="108" w:type="dxa"/>
              <w:bottom w:w="0" w:type="dxa"/>
              <w:right w:w="108" w:type="dxa"/>
            </w:tcMar>
            <w:vAlign w:val="center"/>
          </w:tcPr>
          <w:p w14:paraId="74B53A9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23.60%</w:t>
            </w:r>
          </w:p>
        </w:tc>
        <w:tc>
          <w:tcPr>
            <w:tcW w:w="638" w:type="pct"/>
            <w:shd w:val="clear" w:color="auto" w:fill="auto"/>
            <w:tcMar>
              <w:top w:w="0" w:type="dxa"/>
              <w:left w:w="108" w:type="dxa"/>
              <w:bottom w:w="0" w:type="dxa"/>
              <w:right w:w="108" w:type="dxa"/>
            </w:tcMar>
            <w:vAlign w:val="center"/>
          </w:tcPr>
          <w:p w14:paraId="6796A2A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9,969.94</w:t>
            </w:r>
          </w:p>
        </w:tc>
        <w:tc>
          <w:tcPr>
            <w:tcW w:w="606" w:type="pct"/>
            <w:shd w:val="clear" w:color="auto" w:fill="auto"/>
            <w:tcMar>
              <w:top w:w="0" w:type="dxa"/>
              <w:left w:w="108" w:type="dxa"/>
              <w:bottom w:w="0" w:type="dxa"/>
              <w:right w:w="108" w:type="dxa"/>
            </w:tcMar>
            <w:vAlign w:val="center"/>
          </w:tcPr>
          <w:p w14:paraId="18EBBA9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11.15%</w:t>
            </w:r>
          </w:p>
        </w:tc>
      </w:tr>
      <w:tr w:rsidR="006416B0" w:rsidRPr="00B4515A" w14:paraId="5336A71B" w14:textId="77777777" w:rsidTr="00031627">
        <w:trPr>
          <w:trHeight w:val="340"/>
          <w:jc w:val="center"/>
        </w:trPr>
        <w:tc>
          <w:tcPr>
            <w:tcW w:w="1055" w:type="pct"/>
            <w:shd w:val="clear" w:color="auto" w:fill="auto"/>
            <w:tcMar>
              <w:top w:w="0" w:type="dxa"/>
              <w:left w:w="108" w:type="dxa"/>
              <w:bottom w:w="0" w:type="dxa"/>
              <w:right w:w="108" w:type="dxa"/>
            </w:tcMar>
            <w:vAlign w:val="center"/>
          </w:tcPr>
          <w:p w14:paraId="3AF2C53B" w14:textId="77777777" w:rsidR="006416B0" w:rsidRPr="00B4515A" w:rsidRDefault="005E58C1" w:rsidP="005860B4">
            <w:pPr>
              <w:adjustRightInd w:val="0"/>
              <w:snapToGrid w:val="0"/>
              <w:jc w:val="center"/>
              <w:rPr>
                <w:rFonts w:ascii="Times New Roman" w:eastAsiaTheme="minorEastAsia" w:hAnsi="Times New Roman" w:cs="Times New Roman"/>
                <w:color w:val="333333"/>
                <w:sz w:val="21"/>
                <w:szCs w:val="21"/>
              </w:rPr>
            </w:pPr>
            <w:r w:rsidRPr="00B4515A">
              <w:rPr>
                <w:rFonts w:ascii="Times New Roman" w:eastAsiaTheme="minorEastAsia" w:hAnsi="Times New Roman" w:cs="Times New Roman" w:hint="eastAsia"/>
                <w:color w:val="333333"/>
                <w:sz w:val="21"/>
                <w:szCs w:val="21"/>
              </w:rPr>
              <w:t>无息流动负债</w:t>
            </w:r>
          </w:p>
        </w:tc>
        <w:tc>
          <w:tcPr>
            <w:tcW w:w="638" w:type="pct"/>
            <w:shd w:val="clear" w:color="auto" w:fill="auto"/>
            <w:tcMar>
              <w:top w:w="0" w:type="dxa"/>
              <w:left w:w="108" w:type="dxa"/>
              <w:bottom w:w="0" w:type="dxa"/>
              <w:right w:w="108" w:type="dxa"/>
            </w:tcMar>
            <w:vAlign w:val="center"/>
          </w:tcPr>
          <w:p w14:paraId="0E85453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55,351.22</w:t>
            </w:r>
          </w:p>
        </w:tc>
        <w:tc>
          <w:tcPr>
            <w:tcW w:w="819" w:type="pct"/>
            <w:shd w:val="clear" w:color="auto" w:fill="auto"/>
            <w:tcMar>
              <w:top w:w="0" w:type="dxa"/>
              <w:left w:w="108" w:type="dxa"/>
              <w:bottom w:w="0" w:type="dxa"/>
              <w:right w:w="108" w:type="dxa"/>
            </w:tcMar>
            <w:vAlign w:val="center"/>
          </w:tcPr>
          <w:p w14:paraId="29BC640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75.73%</w:t>
            </w:r>
          </w:p>
        </w:tc>
        <w:tc>
          <w:tcPr>
            <w:tcW w:w="638" w:type="pct"/>
            <w:shd w:val="clear" w:color="auto" w:fill="auto"/>
            <w:tcMar>
              <w:top w:w="0" w:type="dxa"/>
              <w:left w:w="108" w:type="dxa"/>
              <w:bottom w:w="0" w:type="dxa"/>
              <w:right w:w="108" w:type="dxa"/>
            </w:tcMar>
            <w:vAlign w:val="center"/>
          </w:tcPr>
          <w:p w14:paraId="3B57659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51,222.08</w:t>
            </w:r>
          </w:p>
        </w:tc>
        <w:tc>
          <w:tcPr>
            <w:tcW w:w="606" w:type="pct"/>
            <w:shd w:val="clear" w:color="auto" w:fill="auto"/>
            <w:tcMar>
              <w:top w:w="0" w:type="dxa"/>
              <w:left w:w="108" w:type="dxa"/>
              <w:bottom w:w="0" w:type="dxa"/>
              <w:right w:w="108" w:type="dxa"/>
            </w:tcMar>
            <w:vAlign w:val="center"/>
          </w:tcPr>
          <w:p w14:paraId="22E06EE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75.77%</w:t>
            </w:r>
          </w:p>
        </w:tc>
        <w:tc>
          <w:tcPr>
            <w:tcW w:w="638" w:type="pct"/>
            <w:shd w:val="clear" w:color="auto" w:fill="auto"/>
            <w:tcMar>
              <w:top w:w="0" w:type="dxa"/>
              <w:left w:w="108" w:type="dxa"/>
              <w:bottom w:w="0" w:type="dxa"/>
              <w:right w:w="108" w:type="dxa"/>
            </w:tcMar>
            <w:vAlign w:val="center"/>
          </w:tcPr>
          <w:p w14:paraId="170A633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79,180.42</w:t>
            </w:r>
          </w:p>
        </w:tc>
        <w:tc>
          <w:tcPr>
            <w:tcW w:w="606" w:type="pct"/>
            <w:shd w:val="clear" w:color="auto" w:fill="auto"/>
            <w:tcMar>
              <w:top w:w="0" w:type="dxa"/>
              <w:left w:w="108" w:type="dxa"/>
              <w:bottom w:w="0" w:type="dxa"/>
              <w:right w:w="108" w:type="dxa"/>
            </w:tcMar>
            <w:vAlign w:val="center"/>
          </w:tcPr>
          <w:p w14:paraId="048DE92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88.59%</w:t>
            </w:r>
          </w:p>
        </w:tc>
      </w:tr>
      <w:tr w:rsidR="006416B0" w:rsidRPr="00B4515A" w14:paraId="6DA3E8C7" w14:textId="77777777" w:rsidTr="00031627">
        <w:trPr>
          <w:trHeight w:val="340"/>
          <w:jc w:val="center"/>
        </w:trPr>
        <w:tc>
          <w:tcPr>
            <w:tcW w:w="1055" w:type="pct"/>
            <w:shd w:val="clear" w:color="auto" w:fill="auto"/>
            <w:tcMar>
              <w:top w:w="0" w:type="dxa"/>
              <w:left w:w="108" w:type="dxa"/>
              <w:bottom w:w="0" w:type="dxa"/>
              <w:right w:w="108" w:type="dxa"/>
            </w:tcMar>
            <w:vAlign w:val="center"/>
          </w:tcPr>
          <w:p w14:paraId="72B58F25" w14:textId="77777777" w:rsidR="006416B0" w:rsidRPr="00B4515A" w:rsidRDefault="005E58C1" w:rsidP="005860B4">
            <w:pPr>
              <w:adjustRightInd w:val="0"/>
              <w:snapToGrid w:val="0"/>
              <w:jc w:val="center"/>
              <w:rPr>
                <w:rFonts w:ascii="Times New Roman" w:eastAsiaTheme="minorEastAsia" w:hAnsi="Times New Roman" w:cs="Times New Roman"/>
                <w:color w:val="333333"/>
                <w:sz w:val="21"/>
                <w:szCs w:val="21"/>
              </w:rPr>
            </w:pPr>
            <w:r w:rsidRPr="00B4515A">
              <w:rPr>
                <w:rFonts w:ascii="Times New Roman" w:eastAsiaTheme="minorEastAsia" w:hAnsi="Times New Roman" w:cs="Times New Roman" w:hint="eastAsia"/>
                <w:color w:val="333333"/>
                <w:sz w:val="21"/>
                <w:szCs w:val="21"/>
              </w:rPr>
              <w:t>流动负债合计</w:t>
            </w:r>
          </w:p>
        </w:tc>
        <w:tc>
          <w:tcPr>
            <w:tcW w:w="638" w:type="pct"/>
            <w:shd w:val="clear" w:color="auto" w:fill="auto"/>
            <w:tcMar>
              <w:top w:w="0" w:type="dxa"/>
              <w:left w:w="108" w:type="dxa"/>
              <w:bottom w:w="0" w:type="dxa"/>
              <w:right w:w="108" w:type="dxa"/>
            </w:tcMar>
            <w:vAlign w:val="center"/>
          </w:tcPr>
          <w:p w14:paraId="3A41849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68,305.45</w:t>
            </w:r>
          </w:p>
        </w:tc>
        <w:tc>
          <w:tcPr>
            <w:tcW w:w="819" w:type="pct"/>
            <w:shd w:val="clear" w:color="auto" w:fill="auto"/>
            <w:tcMar>
              <w:top w:w="0" w:type="dxa"/>
              <w:left w:w="108" w:type="dxa"/>
              <w:bottom w:w="0" w:type="dxa"/>
              <w:right w:w="108" w:type="dxa"/>
            </w:tcMar>
            <w:vAlign w:val="center"/>
          </w:tcPr>
          <w:p w14:paraId="7E87678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93.46%</w:t>
            </w:r>
          </w:p>
        </w:tc>
        <w:tc>
          <w:tcPr>
            <w:tcW w:w="638" w:type="pct"/>
            <w:shd w:val="clear" w:color="auto" w:fill="auto"/>
            <w:tcMar>
              <w:top w:w="0" w:type="dxa"/>
              <w:left w:w="108" w:type="dxa"/>
              <w:bottom w:w="0" w:type="dxa"/>
              <w:right w:w="108" w:type="dxa"/>
            </w:tcMar>
            <w:vAlign w:val="center"/>
          </w:tcPr>
          <w:p w14:paraId="2B9C3A8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67,175.31</w:t>
            </w:r>
          </w:p>
        </w:tc>
        <w:tc>
          <w:tcPr>
            <w:tcW w:w="606" w:type="pct"/>
            <w:shd w:val="clear" w:color="auto" w:fill="auto"/>
            <w:tcMar>
              <w:top w:w="0" w:type="dxa"/>
              <w:left w:w="108" w:type="dxa"/>
              <w:bottom w:w="0" w:type="dxa"/>
              <w:right w:w="108" w:type="dxa"/>
            </w:tcMar>
            <w:vAlign w:val="center"/>
          </w:tcPr>
          <w:p w14:paraId="237E30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99.36%</w:t>
            </w:r>
          </w:p>
        </w:tc>
        <w:tc>
          <w:tcPr>
            <w:tcW w:w="638" w:type="pct"/>
            <w:shd w:val="clear" w:color="auto" w:fill="auto"/>
            <w:tcMar>
              <w:top w:w="0" w:type="dxa"/>
              <w:left w:w="108" w:type="dxa"/>
              <w:bottom w:w="0" w:type="dxa"/>
              <w:right w:w="108" w:type="dxa"/>
            </w:tcMar>
            <w:vAlign w:val="center"/>
          </w:tcPr>
          <w:p w14:paraId="3B21EC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89,150.36</w:t>
            </w:r>
          </w:p>
        </w:tc>
        <w:tc>
          <w:tcPr>
            <w:tcW w:w="606" w:type="pct"/>
            <w:shd w:val="clear" w:color="auto" w:fill="auto"/>
            <w:tcMar>
              <w:top w:w="0" w:type="dxa"/>
              <w:left w:w="108" w:type="dxa"/>
              <w:bottom w:w="0" w:type="dxa"/>
              <w:right w:w="108" w:type="dxa"/>
            </w:tcMar>
            <w:vAlign w:val="center"/>
          </w:tcPr>
          <w:p w14:paraId="1F8287E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99.75%</w:t>
            </w:r>
          </w:p>
        </w:tc>
      </w:tr>
      <w:tr w:rsidR="006416B0" w:rsidRPr="00B4515A" w14:paraId="706D5E30" w14:textId="77777777" w:rsidTr="00031627">
        <w:trPr>
          <w:trHeight w:val="340"/>
          <w:jc w:val="center"/>
        </w:trPr>
        <w:tc>
          <w:tcPr>
            <w:tcW w:w="1055" w:type="pct"/>
            <w:shd w:val="clear" w:color="auto" w:fill="auto"/>
            <w:tcMar>
              <w:top w:w="0" w:type="dxa"/>
              <w:left w:w="108" w:type="dxa"/>
              <w:bottom w:w="0" w:type="dxa"/>
              <w:right w:w="108" w:type="dxa"/>
            </w:tcMar>
            <w:vAlign w:val="center"/>
          </w:tcPr>
          <w:p w14:paraId="442607EA" w14:textId="77777777" w:rsidR="006416B0" w:rsidRPr="00B4515A" w:rsidRDefault="005E58C1" w:rsidP="005860B4">
            <w:pPr>
              <w:adjustRightInd w:val="0"/>
              <w:snapToGrid w:val="0"/>
              <w:jc w:val="center"/>
              <w:rPr>
                <w:rFonts w:ascii="Times New Roman" w:eastAsiaTheme="minorEastAsia" w:hAnsi="Times New Roman" w:cs="Times New Roman"/>
                <w:color w:val="333333"/>
                <w:sz w:val="21"/>
                <w:szCs w:val="21"/>
              </w:rPr>
            </w:pPr>
            <w:r w:rsidRPr="00B4515A">
              <w:rPr>
                <w:rFonts w:ascii="Times New Roman" w:eastAsiaTheme="minorEastAsia" w:hAnsi="Times New Roman" w:cs="Times New Roman" w:hint="eastAsia"/>
                <w:color w:val="333333"/>
                <w:sz w:val="21"/>
                <w:szCs w:val="21"/>
              </w:rPr>
              <w:t>有息长期负债</w:t>
            </w:r>
          </w:p>
        </w:tc>
        <w:tc>
          <w:tcPr>
            <w:tcW w:w="638" w:type="pct"/>
            <w:shd w:val="clear" w:color="auto" w:fill="auto"/>
            <w:tcMar>
              <w:top w:w="0" w:type="dxa"/>
              <w:left w:w="108" w:type="dxa"/>
              <w:bottom w:w="0" w:type="dxa"/>
              <w:right w:w="108" w:type="dxa"/>
            </w:tcMar>
            <w:vAlign w:val="center"/>
          </w:tcPr>
          <w:p w14:paraId="020A6BF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4,354.24</w:t>
            </w:r>
          </w:p>
        </w:tc>
        <w:tc>
          <w:tcPr>
            <w:tcW w:w="819" w:type="pct"/>
            <w:shd w:val="clear" w:color="auto" w:fill="auto"/>
            <w:tcMar>
              <w:top w:w="0" w:type="dxa"/>
              <w:left w:w="108" w:type="dxa"/>
              <w:bottom w:w="0" w:type="dxa"/>
              <w:right w:w="108" w:type="dxa"/>
            </w:tcMar>
            <w:vAlign w:val="center"/>
          </w:tcPr>
          <w:p w14:paraId="64DC689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5.96%</w:t>
            </w:r>
          </w:p>
        </w:tc>
        <w:tc>
          <w:tcPr>
            <w:tcW w:w="638" w:type="pct"/>
            <w:shd w:val="clear" w:color="auto" w:fill="auto"/>
            <w:tcMar>
              <w:top w:w="0" w:type="dxa"/>
              <w:left w:w="108" w:type="dxa"/>
              <w:bottom w:w="0" w:type="dxa"/>
              <w:right w:w="108" w:type="dxa"/>
            </w:tcMar>
            <w:vAlign w:val="center"/>
          </w:tcPr>
          <w:p w14:paraId="76A4AF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w:t>
            </w:r>
          </w:p>
        </w:tc>
        <w:tc>
          <w:tcPr>
            <w:tcW w:w="606" w:type="pct"/>
            <w:shd w:val="clear" w:color="auto" w:fill="auto"/>
            <w:tcMar>
              <w:top w:w="0" w:type="dxa"/>
              <w:left w:w="108" w:type="dxa"/>
              <w:bottom w:w="0" w:type="dxa"/>
              <w:right w:w="108" w:type="dxa"/>
            </w:tcMar>
            <w:vAlign w:val="center"/>
          </w:tcPr>
          <w:p w14:paraId="26F4CD1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638" w:type="pct"/>
            <w:shd w:val="clear" w:color="auto" w:fill="auto"/>
            <w:tcMar>
              <w:top w:w="0" w:type="dxa"/>
              <w:left w:w="108" w:type="dxa"/>
              <w:bottom w:w="0" w:type="dxa"/>
              <w:right w:w="108" w:type="dxa"/>
            </w:tcMar>
            <w:vAlign w:val="center"/>
          </w:tcPr>
          <w:p w14:paraId="186C3F8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w:t>
            </w:r>
          </w:p>
        </w:tc>
        <w:tc>
          <w:tcPr>
            <w:tcW w:w="606" w:type="pct"/>
            <w:shd w:val="clear" w:color="auto" w:fill="auto"/>
            <w:tcMar>
              <w:top w:w="0" w:type="dxa"/>
              <w:left w:w="108" w:type="dxa"/>
              <w:bottom w:w="0" w:type="dxa"/>
              <w:right w:w="108" w:type="dxa"/>
            </w:tcMar>
            <w:vAlign w:val="center"/>
          </w:tcPr>
          <w:p w14:paraId="0BCDC78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r>
      <w:tr w:rsidR="006416B0" w:rsidRPr="00B4515A" w14:paraId="4807EB58" w14:textId="77777777" w:rsidTr="00031627">
        <w:trPr>
          <w:trHeight w:val="340"/>
          <w:jc w:val="center"/>
        </w:trPr>
        <w:tc>
          <w:tcPr>
            <w:tcW w:w="1055" w:type="pct"/>
            <w:shd w:val="clear" w:color="auto" w:fill="auto"/>
            <w:tcMar>
              <w:top w:w="0" w:type="dxa"/>
              <w:left w:w="108" w:type="dxa"/>
              <w:bottom w:w="0" w:type="dxa"/>
              <w:right w:w="108" w:type="dxa"/>
            </w:tcMar>
            <w:vAlign w:val="center"/>
          </w:tcPr>
          <w:p w14:paraId="2EC33BD8" w14:textId="77777777" w:rsidR="006416B0" w:rsidRPr="00B4515A" w:rsidRDefault="005E58C1" w:rsidP="005860B4">
            <w:pPr>
              <w:adjustRightInd w:val="0"/>
              <w:snapToGrid w:val="0"/>
              <w:jc w:val="center"/>
              <w:rPr>
                <w:rFonts w:ascii="Times New Roman" w:eastAsiaTheme="minorEastAsia" w:hAnsi="Times New Roman" w:cs="Times New Roman"/>
                <w:color w:val="333333"/>
                <w:sz w:val="21"/>
                <w:szCs w:val="21"/>
              </w:rPr>
            </w:pPr>
            <w:r w:rsidRPr="00B4515A">
              <w:rPr>
                <w:rFonts w:ascii="Times New Roman" w:eastAsiaTheme="minorEastAsia" w:hAnsi="Times New Roman" w:cs="Times New Roman" w:hint="eastAsia"/>
                <w:color w:val="333333"/>
                <w:sz w:val="21"/>
                <w:szCs w:val="21"/>
              </w:rPr>
              <w:t>无息长期负债</w:t>
            </w:r>
          </w:p>
        </w:tc>
        <w:tc>
          <w:tcPr>
            <w:tcW w:w="638" w:type="pct"/>
            <w:shd w:val="clear" w:color="auto" w:fill="auto"/>
            <w:tcMar>
              <w:top w:w="0" w:type="dxa"/>
              <w:left w:w="108" w:type="dxa"/>
              <w:bottom w:w="0" w:type="dxa"/>
              <w:right w:w="108" w:type="dxa"/>
            </w:tcMar>
            <w:vAlign w:val="center"/>
          </w:tcPr>
          <w:p w14:paraId="12DB903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429.45</w:t>
            </w:r>
          </w:p>
        </w:tc>
        <w:tc>
          <w:tcPr>
            <w:tcW w:w="819" w:type="pct"/>
            <w:shd w:val="clear" w:color="auto" w:fill="auto"/>
            <w:tcMar>
              <w:top w:w="0" w:type="dxa"/>
              <w:left w:w="108" w:type="dxa"/>
              <w:bottom w:w="0" w:type="dxa"/>
              <w:right w:w="108" w:type="dxa"/>
            </w:tcMar>
            <w:vAlign w:val="center"/>
          </w:tcPr>
          <w:p w14:paraId="0C38FB3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0.59%</w:t>
            </w:r>
          </w:p>
        </w:tc>
        <w:tc>
          <w:tcPr>
            <w:tcW w:w="638" w:type="pct"/>
            <w:shd w:val="clear" w:color="auto" w:fill="auto"/>
            <w:tcMar>
              <w:top w:w="0" w:type="dxa"/>
              <w:left w:w="108" w:type="dxa"/>
              <w:bottom w:w="0" w:type="dxa"/>
              <w:right w:w="108" w:type="dxa"/>
            </w:tcMar>
            <w:vAlign w:val="center"/>
          </w:tcPr>
          <w:p w14:paraId="0109D69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429.45</w:t>
            </w:r>
          </w:p>
        </w:tc>
        <w:tc>
          <w:tcPr>
            <w:tcW w:w="606" w:type="pct"/>
            <w:shd w:val="clear" w:color="auto" w:fill="auto"/>
            <w:tcMar>
              <w:top w:w="0" w:type="dxa"/>
              <w:left w:w="108" w:type="dxa"/>
              <w:bottom w:w="0" w:type="dxa"/>
              <w:right w:w="108" w:type="dxa"/>
            </w:tcMar>
            <w:vAlign w:val="center"/>
          </w:tcPr>
          <w:p w14:paraId="7179B9B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0.64%</w:t>
            </w:r>
          </w:p>
        </w:tc>
        <w:tc>
          <w:tcPr>
            <w:tcW w:w="638" w:type="pct"/>
            <w:shd w:val="clear" w:color="auto" w:fill="auto"/>
            <w:tcMar>
              <w:top w:w="0" w:type="dxa"/>
              <w:left w:w="108" w:type="dxa"/>
              <w:bottom w:w="0" w:type="dxa"/>
              <w:right w:w="108" w:type="dxa"/>
            </w:tcMar>
            <w:vAlign w:val="center"/>
          </w:tcPr>
          <w:p w14:paraId="65D5918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226.4</w:t>
            </w:r>
          </w:p>
        </w:tc>
        <w:tc>
          <w:tcPr>
            <w:tcW w:w="606" w:type="pct"/>
            <w:shd w:val="clear" w:color="auto" w:fill="auto"/>
            <w:tcMar>
              <w:top w:w="0" w:type="dxa"/>
              <w:left w:w="108" w:type="dxa"/>
              <w:bottom w:w="0" w:type="dxa"/>
              <w:right w:w="108" w:type="dxa"/>
            </w:tcMar>
            <w:vAlign w:val="center"/>
          </w:tcPr>
          <w:p w14:paraId="4D3D699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0.25%</w:t>
            </w:r>
          </w:p>
        </w:tc>
      </w:tr>
      <w:tr w:rsidR="006416B0" w:rsidRPr="00B4515A" w14:paraId="1B07E638" w14:textId="77777777" w:rsidTr="00031627">
        <w:trPr>
          <w:trHeight w:val="340"/>
          <w:jc w:val="center"/>
        </w:trPr>
        <w:tc>
          <w:tcPr>
            <w:tcW w:w="1055" w:type="pct"/>
            <w:shd w:val="clear" w:color="auto" w:fill="auto"/>
            <w:tcMar>
              <w:top w:w="0" w:type="dxa"/>
              <w:left w:w="108" w:type="dxa"/>
              <w:bottom w:w="0" w:type="dxa"/>
              <w:right w:w="108" w:type="dxa"/>
            </w:tcMar>
            <w:vAlign w:val="center"/>
          </w:tcPr>
          <w:p w14:paraId="72DC589F" w14:textId="77777777" w:rsidR="006416B0" w:rsidRPr="00B4515A" w:rsidRDefault="005E58C1" w:rsidP="005860B4">
            <w:pPr>
              <w:adjustRightInd w:val="0"/>
              <w:snapToGrid w:val="0"/>
              <w:jc w:val="center"/>
              <w:rPr>
                <w:rFonts w:ascii="Times New Roman" w:eastAsiaTheme="minorEastAsia" w:hAnsi="Times New Roman" w:cs="Times New Roman"/>
                <w:color w:val="333333"/>
                <w:sz w:val="21"/>
                <w:szCs w:val="21"/>
              </w:rPr>
            </w:pPr>
            <w:r w:rsidRPr="00B4515A">
              <w:rPr>
                <w:rFonts w:ascii="Times New Roman" w:eastAsiaTheme="minorEastAsia" w:hAnsi="Times New Roman" w:cs="Times New Roman" w:hint="eastAsia"/>
                <w:color w:val="333333"/>
                <w:sz w:val="21"/>
                <w:szCs w:val="21"/>
              </w:rPr>
              <w:t>非流动负债合计</w:t>
            </w:r>
          </w:p>
        </w:tc>
        <w:tc>
          <w:tcPr>
            <w:tcW w:w="638" w:type="pct"/>
            <w:shd w:val="clear" w:color="auto" w:fill="auto"/>
            <w:tcMar>
              <w:top w:w="0" w:type="dxa"/>
              <w:left w:w="108" w:type="dxa"/>
              <w:bottom w:w="0" w:type="dxa"/>
              <w:right w:w="108" w:type="dxa"/>
            </w:tcMar>
            <w:vAlign w:val="center"/>
          </w:tcPr>
          <w:p w14:paraId="0A40BAC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4,783.68</w:t>
            </w:r>
          </w:p>
        </w:tc>
        <w:tc>
          <w:tcPr>
            <w:tcW w:w="819" w:type="pct"/>
            <w:shd w:val="clear" w:color="auto" w:fill="auto"/>
            <w:tcMar>
              <w:top w:w="0" w:type="dxa"/>
              <w:left w:w="108" w:type="dxa"/>
              <w:bottom w:w="0" w:type="dxa"/>
              <w:right w:w="108" w:type="dxa"/>
            </w:tcMar>
            <w:vAlign w:val="center"/>
          </w:tcPr>
          <w:p w14:paraId="704B522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6.54%</w:t>
            </w:r>
          </w:p>
        </w:tc>
        <w:tc>
          <w:tcPr>
            <w:tcW w:w="638" w:type="pct"/>
            <w:shd w:val="clear" w:color="auto" w:fill="auto"/>
            <w:tcMar>
              <w:top w:w="0" w:type="dxa"/>
              <w:left w:w="108" w:type="dxa"/>
              <w:bottom w:w="0" w:type="dxa"/>
              <w:right w:w="108" w:type="dxa"/>
            </w:tcMar>
            <w:vAlign w:val="center"/>
          </w:tcPr>
          <w:p w14:paraId="149C139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429.45</w:t>
            </w:r>
          </w:p>
        </w:tc>
        <w:tc>
          <w:tcPr>
            <w:tcW w:w="606" w:type="pct"/>
            <w:shd w:val="clear" w:color="auto" w:fill="auto"/>
            <w:tcMar>
              <w:top w:w="0" w:type="dxa"/>
              <w:left w:w="108" w:type="dxa"/>
              <w:bottom w:w="0" w:type="dxa"/>
              <w:right w:w="108" w:type="dxa"/>
            </w:tcMar>
            <w:vAlign w:val="center"/>
          </w:tcPr>
          <w:p w14:paraId="42A844E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0.64%</w:t>
            </w:r>
          </w:p>
        </w:tc>
        <w:tc>
          <w:tcPr>
            <w:tcW w:w="638" w:type="pct"/>
            <w:shd w:val="clear" w:color="auto" w:fill="auto"/>
            <w:tcMar>
              <w:top w:w="0" w:type="dxa"/>
              <w:left w:w="108" w:type="dxa"/>
              <w:bottom w:w="0" w:type="dxa"/>
              <w:right w:w="108" w:type="dxa"/>
            </w:tcMar>
            <w:vAlign w:val="center"/>
          </w:tcPr>
          <w:p w14:paraId="4C68ECF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226.4</w:t>
            </w:r>
          </w:p>
        </w:tc>
        <w:tc>
          <w:tcPr>
            <w:tcW w:w="606" w:type="pct"/>
            <w:shd w:val="clear" w:color="auto" w:fill="auto"/>
            <w:tcMar>
              <w:top w:w="0" w:type="dxa"/>
              <w:left w:w="108" w:type="dxa"/>
              <w:bottom w:w="0" w:type="dxa"/>
              <w:right w:w="108" w:type="dxa"/>
            </w:tcMar>
            <w:vAlign w:val="center"/>
          </w:tcPr>
          <w:p w14:paraId="7058D59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0.25%</w:t>
            </w:r>
          </w:p>
        </w:tc>
      </w:tr>
      <w:tr w:rsidR="006416B0" w:rsidRPr="00B4515A" w14:paraId="28600E3F" w14:textId="77777777" w:rsidTr="00031627">
        <w:trPr>
          <w:trHeight w:val="340"/>
          <w:jc w:val="center"/>
        </w:trPr>
        <w:tc>
          <w:tcPr>
            <w:tcW w:w="1055" w:type="pct"/>
            <w:shd w:val="clear" w:color="auto" w:fill="auto"/>
            <w:tcMar>
              <w:top w:w="0" w:type="dxa"/>
              <w:left w:w="108" w:type="dxa"/>
              <w:bottom w:w="0" w:type="dxa"/>
              <w:right w:w="108" w:type="dxa"/>
            </w:tcMar>
            <w:vAlign w:val="center"/>
          </w:tcPr>
          <w:p w14:paraId="1917A154" w14:textId="77777777" w:rsidR="006416B0" w:rsidRPr="00B4515A" w:rsidRDefault="005E58C1" w:rsidP="005860B4">
            <w:pPr>
              <w:adjustRightInd w:val="0"/>
              <w:snapToGrid w:val="0"/>
              <w:jc w:val="center"/>
              <w:rPr>
                <w:rFonts w:ascii="Times New Roman" w:eastAsiaTheme="minorEastAsia" w:hAnsi="Times New Roman" w:cs="Times New Roman"/>
                <w:b/>
                <w:bCs/>
                <w:color w:val="333333"/>
                <w:sz w:val="21"/>
                <w:szCs w:val="21"/>
              </w:rPr>
            </w:pPr>
            <w:r w:rsidRPr="00B4515A">
              <w:rPr>
                <w:rFonts w:ascii="Times New Roman" w:eastAsiaTheme="minorEastAsia" w:hAnsi="Times New Roman" w:cs="Times New Roman" w:hint="eastAsia"/>
                <w:b/>
                <w:bCs/>
                <w:color w:val="333333"/>
                <w:sz w:val="21"/>
                <w:szCs w:val="21"/>
              </w:rPr>
              <w:t>负债合计</w:t>
            </w:r>
          </w:p>
        </w:tc>
        <w:tc>
          <w:tcPr>
            <w:tcW w:w="638" w:type="pct"/>
            <w:shd w:val="clear" w:color="auto" w:fill="auto"/>
            <w:tcMar>
              <w:top w:w="0" w:type="dxa"/>
              <w:left w:w="108" w:type="dxa"/>
              <w:bottom w:w="0" w:type="dxa"/>
              <w:right w:w="108" w:type="dxa"/>
            </w:tcMar>
            <w:vAlign w:val="center"/>
          </w:tcPr>
          <w:p w14:paraId="3A94C2B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73,089.13</w:t>
            </w:r>
          </w:p>
        </w:tc>
        <w:tc>
          <w:tcPr>
            <w:tcW w:w="819" w:type="pct"/>
            <w:shd w:val="clear" w:color="auto" w:fill="auto"/>
            <w:tcMar>
              <w:top w:w="0" w:type="dxa"/>
              <w:left w:w="108" w:type="dxa"/>
              <w:bottom w:w="0" w:type="dxa"/>
              <w:right w:w="108" w:type="dxa"/>
            </w:tcMar>
            <w:vAlign w:val="center"/>
          </w:tcPr>
          <w:p w14:paraId="77FEF75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38" w:type="pct"/>
            <w:shd w:val="clear" w:color="auto" w:fill="auto"/>
            <w:tcMar>
              <w:top w:w="0" w:type="dxa"/>
              <w:left w:w="108" w:type="dxa"/>
              <w:bottom w:w="0" w:type="dxa"/>
              <w:right w:w="108" w:type="dxa"/>
            </w:tcMar>
            <w:vAlign w:val="center"/>
          </w:tcPr>
          <w:p w14:paraId="0B62BC8A"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67,604.76</w:t>
            </w:r>
          </w:p>
        </w:tc>
        <w:tc>
          <w:tcPr>
            <w:tcW w:w="606" w:type="pct"/>
            <w:shd w:val="clear" w:color="auto" w:fill="auto"/>
            <w:tcMar>
              <w:top w:w="0" w:type="dxa"/>
              <w:left w:w="108" w:type="dxa"/>
              <w:bottom w:w="0" w:type="dxa"/>
              <w:right w:w="108" w:type="dxa"/>
            </w:tcMar>
            <w:vAlign w:val="center"/>
          </w:tcPr>
          <w:p w14:paraId="65E7B30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38" w:type="pct"/>
            <w:shd w:val="clear" w:color="auto" w:fill="auto"/>
            <w:tcMar>
              <w:top w:w="0" w:type="dxa"/>
              <w:left w:w="108" w:type="dxa"/>
              <w:bottom w:w="0" w:type="dxa"/>
              <w:right w:w="108" w:type="dxa"/>
            </w:tcMar>
            <w:vAlign w:val="center"/>
          </w:tcPr>
          <w:p w14:paraId="04CB020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89,376.76</w:t>
            </w:r>
          </w:p>
        </w:tc>
        <w:tc>
          <w:tcPr>
            <w:tcW w:w="606" w:type="pct"/>
            <w:shd w:val="clear" w:color="auto" w:fill="auto"/>
            <w:tcMar>
              <w:top w:w="0" w:type="dxa"/>
              <w:left w:w="108" w:type="dxa"/>
              <w:bottom w:w="0" w:type="dxa"/>
              <w:right w:w="108" w:type="dxa"/>
            </w:tcMar>
            <w:vAlign w:val="center"/>
          </w:tcPr>
          <w:p w14:paraId="7B19D07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r>
    </w:tbl>
    <w:p w14:paraId="080F61A1" w14:textId="77777777" w:rsidR="006416B0" w:rsidRPr="00B4515A" w:rsidRDefault="005E58C1">
      <w:pPr>
        <w:spacing w:beforeLines="50" w:before="120" w:afterLines="50" w:after="120" w:line="360" w:lineRule="auto"/>
        <w:ind w:firstLineChars="200" w:firstLine="480"/>
        <w:jc w:val="both"/>
        <w:rPr>
          <w:rFonts w:ascii="Times New Roman" w:eastAsiaTheme="minorEastAsia" w:hAnsi="Times New Roman" w:cs="Times New Roman"/>
        </w:rPr>
      </w:pPr>
      <w:r w:rsidRPr="00B4515A">
        <w:rPr>
          <w:rFonts w:ascii="Times New Roman" w:eastAsiaTheme="minorEastAsia" w:hAnsi="Times New Roman" w:cs="Times New Roman" w:hint="eastAsia"/>
        </w:rPr>
        <w:t>报告期内各期末，大唐联诚的负债总额分别为</w:t>
      </w:r>
      <w:r w:rsidRPr="00B4515A">
        <w:rPr>
          <w:rFonts w:ascii="Times New Roman" w:eastAsiaTheme="minorEastAsia" w:hAnsi="Times New Roman" w:cs="Times New Roman"/>
        </w:rPr>
        <w:t>89,376.76</w:t>
      </w:r>
      <w:r w:rsidRPr="00B4515A">
        <w:rPr>
          <w:rFonts w:ascii="Times New Roman" w:eastAsiaTheme="minorEastAsia" w:hAnsi="Times New Roman" w:cs="Times New Roman" w:hint="eastAsia"/>
        </w:rPr>
        <w:t>万元、</w:t>
      </w:r>
      <w:r w:rsidRPr="00B4515A">
        <w:rPr>
          <w:rFonts w:ascii="Times New Roman" w:eastAsiaTheme="minorEastAsia" w:hAnsi="Times New Roman" w:cs="Times New Roman"/>
        </w:rPr>
        <w:t>67,604.76</w:t>
      </w:r>
      <w:r w:rsidRPr="00B4515A">
        <w:rPr>
          <w:rFonts w:ascii="Times New Roman" w:eastAsiaTheme="minorEastAsia" w:hAnsi="Times New Roman" w:cs="Times New Roman"/>
        </w:rPr>
        <w:t>万元</w:t>
      </w:r>
      <w:r w:rsidRPr="00B4515A">
        <w:rPr>
          <w:rFonts w:ascii="Times New Roman" w:eastAsiaTheme="minorEastAsia" w:hAnsi="Times New Roman" w:cs="Times New Roman" w:hint="eastAsia"/>
        </w:rPr>
        <w:t>、</w:t>
      </w:r>
      <w:r w:rsidRPr="00B4515A">
        <w:rPr>
          <w:rFonts w:ascii="Times New Roman" w:eastAsiaTheme="minorEastAsia" w:hAnsi="Times New Roman" w:cs="Times New Roman"/>
        </w:rPr>
        <w:t>73,089.13</w:t>
      </w:r>
      <w:r w:rsidRPr="00B4515A">
        <w:rPr>
          <w:rFonts w:ascii="Times New Roman" w:eastAsiaTheme="minorEastAsia" w:hAnsi="Times New Roman" w:cs="Times New Roman"/>
        </w:rPr>
        <w:t>万元</w:t>
      </w:r>
      <w:r w:rsidRPr="00B4515A">
        <w:rPr>
          <w:rFonts w:ascii="Times New Roman" w:eastAsiaTheme="minorEastAsia" w:hAnsi="Times New Roman" w:cs="Times New Roman" w:hint="eastAsia"/>
        </w:rPr>
        <w:t>，其中流动负债分别为</w:t>
      </w:r>
      <w:r w:rsidRPr="00B4515A">
        <w:rPr>
          <w:rFonts w:ascii="Times New Roman" w:eastAsiaTheme="minorEastAsia" w:hAnsi="Times New Roman" w:cs="Times New Roman"/>
        </w:rPr>
        <w:t>89,150.36</w:t>
      </w:r>
      <w:r w:rsidRPr="00B4515A">
        <w:rPr>
          <w:rFonts w:ascii="Times New Roman" w:eastAsiaTheme="minorEastAsia" w:hAnsi="Times New Roman" w:cs="Times New Roman" w:hint="eastAsia"/>
        </w:rPr>
        <w:t>万元、</w:t>
      </w:r>
      <w:r w:rsidRPr="00B4515A">
        <w:rPr>
          <w:rFonts w:ascii="Times New Roman" w:eastAsiaTheme="minorEastAsia" w:hAnsi="Times New Roman" w:cs="Times New Roman"/>
        </w:rPr>
        <w:t>67,175.31</w:t>
      </w:r>
      <w:r w:rsidRPr="00B4515A">
        <w:rPr>
          <w:rFonts w:ascii="Times New Roman" w:eastAsiaTheme="minorEastAsia" w:hAnsi="Times New Roman" w:cs="Times New Roman" w:hint="eastAsia"/>
        </w:rPr>
        <w:t>万元、</w:t>
      </w:r>
      <w:r w:rsidRPr="00B4515A">
        <w:rPr>
          <w:rFonts w:ascii="Times New Roman" w:eastAsiaTheme="minorEastAsia" w:hAnsi="Times New Roman" w:cs="Times New Roman"/>
        </w:rPr>
        <w:t>68,305.45</w:t>
      </w:r>
      <w:r w:rsidRPr="00B4515A">
        <w:rPr>
          <w:rFonts w:ascii="Times New Roman" w:eastAsiaTheme="minorEastAsia" w:hAnsi="Times New Roman" w:cs="Times New Roman"/>
        </w:rPr>
        <w:t>万元</w:t>
      </w:r>
      <w:r w:rsidRPr="00B4515A">
        <w:rPr>
          <w:rFonts w:ascii="Times New Roman" w:eastAsiaTheme="minorEastAsia" w:hAnsi="Times New Roman" w:cs="Times New Roman" w:hint="eastAsia"/>
        </w:rPr>
        <w:t>，占负债总额的比例分别为</w:t>
      </w:r>
      <w:r w:rsidRPr="00B4515A">
        <w:rPr>
          <w:rFonts w:ascii="Times New Roman" w:eastAsiaTheme="minorEastAsia" w:hAnsi="Times New Roman" w:cs="Times New Roman"/>
        </w:rPr>
        <w:t>99.75%</w:t>
      </w:r>
      <w:r w:rsidRPr="00B4515A">
        <w:rPr>
          <w:rFonts w:ascii="Times New Roman" w:eastAsiaTheme="minorEastAsia" w:hAnsi="Times New Roman" w:cs="Times New Roman" w:hint="eastAsia"/>
        </w:rPr>
        <w:t>、</w:t>
      </w:r>
      <w:r w:rsidRPr="00B4515A">
        <w:rPr>
          <w:rFonts w:ascii="Times New Roman" w:eastAsiaTheme="minorEastAsia" w:hAnsi="Times New Roman" w:cs="Times New Roman"/>
        </w:rPr>
        <w:t>99.36%</w:t>
      </w:r>
      <w:r w:rsidRPr="00B4515A">
        <w:rPr>
          <w:rFonts w:ascii="Times New Roman" w:eastAsiaTheme="minorEastAsia" w:hAnsi="Times New Roman" w:cs="Times New Roman" w:hint="eastAsia"/>
        </w:rPr>
        <w:t>、</w:t>
      </w:r>
      <w:r w:rsidRPr="00B4515A">
        <w:rPr>
          <w:rFonts w:ascii="Times New Roman" w:eastAsiaTheme="minorEastAsia" w:hAnsi="Times New Roman" w:cs="Times New Roman"/>
        </w:rPr>
        <w:t>93.46%</w:t>
      </w:r>
      <w:r w:rsidRPr="00B4515A">
        <w:rPr>
          <w:rFonts w:ascii="Times New Roman" w:eastAsiaTheme="minorEastAsia" w:hAnsi="Times New Roman" w:cs="Times New Roman" w:hint="eastAsia"/>
        </w:rPr>
        <w:t>。流动负债主要由短期借款、</w:t>
      </w:r>
      <w:r w:rsidRPr="00B4515A">
        <w:rPr>
          <w:rStyle w:val="005Char"/>
          <w:rFonts w:hint="eastAsia"/>
        </w:rPr>
        <w:t>应付</w:t>
      </w:r>
      <w:r w:rsidRPr="00B4515A">
        <w:rPr>
          <w:rFonts w:ascii="Times New Roman" w:eastAsiaTheme="minorEastAsia" w:hAnsi="Times New Roman" w:cs="Times New Roman" w:hint="eastAsia"/>
        </w:rPr>
        <w:t>账款、合同负债、</w:t>
      </w:r>
      <w:r w:rsidRPr="00B4515A">
        <w:rPr>
          <w:rFonts w:ascii="Times New Roman" w:eastAsiaTheme="minorEastAsia" w:hAnsi="Times New Roman" w:cs="Times New Roman"/>
        </w:rPr>
        <w:t>预收款项</w:t>
      </w:r>
      <w:r w:rsidRPr="00B4515A">
        <w:rPr>
          <w:rFonts w:ascii="Times New Roman" w:eastAsiaTheme="minorEastAsia" w:hAnsi="Times New Roman" w:cs="Times New Roman" w:hint="eastAsia"/>
        </w:rPr>
        <w:t>、应付职工薪酬</w:t>
      </w:r>
      <w:r w:rsidRPr="00B4515A">
        <w:rPr>
          <w:rFonts w:ascii="Times New Roman" w:eastAsiaTheme="minorEastAsia" w:hAnsi="Times New Roman" w:cs="Times New Roman"/>
        </w:rPr>
        <w:t>等</w:t>
      </w:r>
      <w:r w:rsidRPr="00B4515A">
        <w:rPr>
          <w:rFonts w:ascii="Times New Roman" w:eastAsiaTheme="minorEastAsia" w:hAnsi="Times New Roman" w:cs="Times New Roman" w:hint="eastAsia"/>
        </w:rPr>
        <w:t>构成。</w:t>
      </w:r>
    </w:p>
    <w:p w14:paraId="51210FB1" w14:textId="77777777" w:rsidR="006416B0" w:rsidRPr="00B4515A" w:rsidRDefault="005E58C1" w:rsidP="003357B7">
      <w:pPr>
        <w:pStyle w:val="005"/>
        <w:spacing w:before="120" w:after="120"/>
        <w:ind w:firstLine="480"/>
      </w:pPr>
      <w:r w:rsidRPr="00B4515A">
        <w:rPr>
          <w:rFonts w:hint="eastAsia"/>
        </w:rPr>
        <w:t>报告期内各期末，大唐联诚非流动负债分别为</w:t>
      </w:r>
      <w:r w:rsidRPr="00B4515A">
        <w:rPr>
          <w:color w:val="000000"/>
        </w:rPr>
        <w:t>226.40</w:t>
      </w:r>
      <w:r w:rsidRPr="00B4515A">
        <w:rPr>
          <w:rFonts w:hint="eastAsia"/>
        </w:rPr>
        <w:t>万元、</w:t>
      </w:r>
      <w:r w:rsidRPr="00B4515A">
        <w:t>429.45</w:t>
      </w:r>
      <w:r w:rsidRPr="00B4515A">
        <w:rPr>
          <w:rFonts w:hint="eastAsia"/>
        </w:rPr>
        <w:t>万元、</w:t>
      </w:r>
      <w:r w:rsidRPr="00B4515A">
        <w:t>4,783.68</w:t>
      </w:r>
      <w:r w:rsidRPr="00B4515A">
        <w:t>万元</w:t>
      </w:r>
      <w:r w:rsidRPr="00B4515A">
        <w:rPr>
          <w:rFonts w:hint="eastAsia"/>
        </w:rPr>
        <w:t>，占负债总额的比例分别为</w:t>
      </w:r>
      <w:r w:rsidRPr="00B4515A">
        <w:rPr>
          <w:color w:val="000000"/>
        </w:rPr>
        <w:t>0.25%</w:t>
      </w:r>
      <w:r w:rsidRPr="00B4515A">
        <w:rPr>
          <w:rFonts w:hint="eastAsia"/>
          <w:color w:val="000000"/>
        </w:rPr>
        <w:t>、</w:t>
      </w:r>
      <w:r w:rsidRPr="00B4515A">
        <w:rPr>
          <w:color w:val="000000"/>
        </w:rPr>
        <w:t>0.64%</w:t>
      </w:r>
      <w:r w:rsidRPr="00B4515A">
        <w:rPr>
          <w:rFonts w:hint="eastAsia"/>
          <w:color w:val="000000"/>
        </w:rPr>
        <w:t>、</w:t>
      </w:r>
      <w:r w:rsidRPr="00B4515A">
        <w:rPr>
          <w:color w:val="000000"/>
        </w:rPr>
        <w:t>6.54%</w:t>
      </w:r>
      <w:r w:rsidRPr="00B4515A">
        <w:rPr>
          <w:rFonts w:hint="eastAsia"/>
          <w:color w:val="000000"/>
        </w:rPr>
        <w:t>。</w:t>
      </w:r>
      <w:r w:rsidRPr="00B4515A">
        <w:rPr>
          <w:rFonts w:hint="eastAsia"/>
        </w:rPr>
        <w:t>非流动负债主要为租赁负债。报告期各期末，大唐联诚负债总额略微降低，负债结构基本保持稳定。</w:t>
      </w:r>
    </w:p>
    <w:p w14:paraId="7C63C799" w14:textId="77777777" w:rsidR="006416B0" w:rsidRPr="00B4515A" w:rsidRDefault="005E58C1" w:rsidP="003357B7">
      <w:pPr>
        <w:pStyle w:val="005"/>
        <w:spacing w:before="120" w:after="120"/>
        <w:ind w:firstLine="480"/>
      </w:pPr>
      <w:r w:rsidRPr="00B4515A">
        <w:rPr>
          <w:rFonts w:hint="eastAsia"/>
        </w:rPr>
        <w:t>（</w:t>
      </w:r>
      <w:r w:rsidRPr="00B4515A">
        <w:rPr>
          <w:rFonts w:hint="eastAsia"/>
        </w:rPr>
        <w:t>1</w:t>
      </w:r>
      <w:r w:rsidRPr="00B4515A">
        <w:rPr>
          <w:rFonts w:hint="eastAsia"/>
        </w:rPr>
        <w:t>）短期借款</w:t>
      </w:r>
    </w:p>
    <w:p w14:paraId="1AED31AB"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611"/>
        <w:gridCol w:w="2366"/>
        <w:gridCol w:w="2366"/>
        <w:gridCol w:w="2185"/>
      </w:tblGrid>
      <w:tr w:rsidR="006416B0" w:rsidRPr="00B4515A" w14:paraId="445B2ED8" w14:textId="77777777" w:rsidTr="00031627">
        <w:trPr>
          <w:trHeight w:val="340"/>
          <w:jc w:val="center"/>
        </w:trPr>
        <w:tc>
          <w:tcPr>
            <w:tcW w:w="945" w:type="pct"/>
            <w:shd w:val="clear" w:color="auto" w:fill="auto"/>
            <w:tcMar>
              <w:top w:w="0" w:type="dxa"/>
              <w:left w:w="108" w:type="dxa"/>
              <w:bottom w:w="0" w:type="dxa"/>
              <w:right w:w="108" w:type="dxa"/>
            </w:tcMar>
            <w:vAlign w:val="center"/>
          </w:tcPr>
          <w:p w14:paraId="189734F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1387" w:type="pct"/>
            <w:shd w:val="clear" w:color="auto" w:fill="auto"/>
            <w:tcMar>
              <w:top w:w="0" w:type="dxa"/>
              <w:left w:w="108" w:type="dxa"/>
              <w:bottom w:w="0" w:type="dxa"/>
              <w:right w:w="108" w:type="dxa"/>
            </w:tcMar>
            <w:vAlign w:val="center"/>
          </w:tcPr>
          <w:p w14:paraId="7BD83C1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2021.4.30</w:t>
            </w:r>
          </w:p>
        </w:tc>
        <w:tc>
          <w:tcPr>
            <w:tcW w:w="1387" w:type="pct"/>
            <w:shd w:val="clear" w:color="auto" w:fill="auto"/>
            <w:tcMar>
              <w:top w:w="0" w:type="dxa"/>
              <w:left w:w="108" w:type="dxa"/>
              <w:bottom w:w="0" w:type="dxa"/>
              <w:right w:w="108" w:type="dxa"/>
            </w:tcMar>
            <w:vAlign w:val="center"/>
          </w:tcPr>
          <w:p w14:paraId="31859C4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2020.12.31</w:t>
            </w:r>
          </w:p>
        </w:tc>
        <w:tc>
          <w:tcPr>
            <w:tcW w:w="1281" w:type="pct"/>
            <w:shd w:val="clear" w:color="auto" w:fill="auto"/>
            <w:tcMar>
              <w:top w:w="0" w:type="dxa"/>
              <w:left w:w="108" w:type="dxa"/>
              <w:bottom w:w="0" w:type="dxa"/>
              <w:right w:w="108" w:type="dxa"/>
            </w:tcMar>
            <w:vAlign w:val="center"/>
          </w:tcPr>
          <w:p w14:paraId="6DC89DD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2019.12.31</w:t>
            </w:r>
          </w:p>
        </w:tc>
      </w:tr>
      <w:tr w:rsidR="006416B0" w:rsidRPr="00B4515A" w14:paraId="46C203A2" w14:textId="77777777" w:rsidTr="00031627">
        <w:trPr>
          <w:trHeight w:val="340"/>
          <w:jc w:val="center"/>
        </w:trPr>
        <w:tc>
          <w:tcPr>
            <w:tcW w:w="945" w:type="pct"/>
            <w:shd w:val="clear" w:color="auto" w:fill="auto"/>
            <w:tcMar>
              <w:top w:w="0" w:type="dxa"/>
              <w:left w:w="108" w:type="dxa"/>
              <w:bottom w:w="0" w:type="dxa"/>
              <w:right w:w="108" w:type="dxa"/>
            </w:tcMar>
            <w:vAlign w:val="center"/>
          </w:tcPr>
          <w:p w14:paraId="7920FF17"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保证借款</w:t>
            </w:r>
          </w:p>
        </w:tc>
        <w:tc>
          <w:tcPr>
            <w:tcW w:w="1387" w:type="pct"/>
            <w:shd w:val="clear" w:color="auto" w:fill="auto"/>
            <w:tcMar>
              <w:top w:w="0" w:type="dxa"/>
              <w:left w:w="108" w:type="dxa"/>
              <w:bottom w:w="0" w:type="dxa"/>
              <w:right w:w="108" w:type="dxa"/>
            </w:tcMar>
            <w:vAlign w:val="center"/>
          </w:tcPr>
          <w:p w14:paraId="01E70168" w14:textId="4D9EF76C" w:rsidR="006416B0" w:rsidRPr="00B4515A" w:rsidRDefault="005E58C1" w:rsidP="003357B7">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1387" w:type="pct"/>
            <w:shd w:val="clear" w:color="auto" w:fill="auto"/>
            <w:tcMar>
              <w:top w:w="0" w:type="dxa"/>
              <w:left w:w="108" w:type="dxa"/>
              <w:bottom w:w="0" w:type="dxa"/>
              <w:right w:w="108" w:type="dxa"/>
            </w:tcMar>
            <w:vAlign w:val="center"/>
          </w:tcPr>
          <w:p w14:paraId="162DA390" w14:textId="5A706655" w:rsidR="006416B0" w:rsidRPr="00B4515A" w:rsidRDefault="005E58C1" w:rsidP="003357B7">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1281" w:type="pct"/>
            <w:shd w:val="clear" w:color="auto" w:fill="auto"/>
            <w:tcMar>
              <w:top w:w="0" w:type="dxa"/>
              <w:left w:w="108" w:type="dxa"/>
              <w:bottom w:w="0" w:type="dxa"/>
              <w:right w:w="108" w:type="dxa"/>
            </w:tcMar>
            <w:vAlign w:val="center"/>
          </w:tcPr>
          <w:p w14:paraId="6FE8884E" w14:textId="77777777" w:rsidR="006416B0" w:rsidRPr="00B4515A" w:rsidRDefault="005E58C1" w:rsidP="003357B7">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9,969.94</w:t>
            </w:r>
          </w:p>
        </w:tc>
      </w:tr>
      <w:tr w:rsidR="006416B0" w:rsidRPr="00B4515A" w14:paraId="396B30F2" w14:textId="77777777" w:rsidTr="00031627">
        <w:trPr>
          <w:trHeight w:val="340"/>
          <w:jc w:val="center"/>
        </w:trPr>
        <w:tc>
          <w:tcPr>
            <w:tcW w:w="945" w:type="pct"/>
            <w:shd w:val="clear" w:color="auto" w:fill="auto"/>
            <w:tcMar>
              <w:top w:w="0" w:type="dxa"/>
              <w:left w:w="108" w:type="dxa"/>
              <w:bottom w:w="0" w:type="dxa"/>
              <w:right w:w="108" w:type="dxa"/>
            </w:tcMar>
            <w:vAlign w:val="center"/>
          </w:tcPr>
          <w:p w14:paraId="1C123BE4"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信用借款</w:t>
            </w:r>
          </w:p>
        </w:tc>
        <w:tc>
          <w:tcPr>
            <w:tcW w:w="1387" w:type="pct"/>
            <w:shd w:val="clear" w:color="auto" w:fill="auto"/>
            <w:tcMar>
              <w:top w:w="0" w:type="dxa"/>
              <w:left w:w="108" w:type="dxa"/>
              <w:bottom w:w="0" w:type="dxa"/>
              <w:right w:w="108" w:type="dxa"/>
            </w:tcMar>
            <w:vAlign w:val="center"/>
          </w:tcPr>
          <w:p w14:paraId="02904BBC" w14:textId="77777777" w:rsidR="006416B0" w:rsidRPr="00B4515A" w:rsidRDefault="005E58C1" w:rsidP="003357B7">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12,954.23</w:t>
            </w:r>
          </w:p>
        </w:tc>
        <w:tc>
          <w:tcPr>
            <w:tcW w:w="1387" w:type="pct"/>
            <w:shd w:val="clear" w:color="auto" w:fill="auto"/>
            <w:tcMar>
              <w:top w:w="0" w:type="dxa"/>
              <w:left w:w="108" w:type="dxa"/>
              <w:bottom w:w="0" w:type="dxa"/>
              <w:right w:w="108" w:type="dxa"/>
            </w:tcMar>
            <w:vAlign w:val="center"/>
          </w:tcPr>
          <w:p w14:paraId="74B61DB9" w14:textId="77777777" w:rsidR="006416B0" w:rsidRPr="00B4515A" w:rsidRDefault="005E58C1" w:rsidP="003357B7">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15,953.22</w:t>
            </w:r>
          </w:p>
        </w:tc>
        <w:tc>
          <w:tcPr>
            <w:tcW w:w="1281" w:type="pct"/>
            <w:shd w:val="clear" w:color="auto" w:fill="auto"/>
            <w:tcMar>
              <w:top w:w="0" w:type="dxa"/>
              <w:left w:w="108" w:type="dxa"/>
              <w:bottom w:w="0" w:type="dxa"/>
              <w:right w:w="108" w:type="dxa"/>
            </w:tcMar>
            <w:vAlign w:val="center"/>
          </w:tcPr>
          <w:p w14:paraId="099F256B" w14:textId="77777777" w:rsidR="006416B0" w:rsidRPr="00B4515A" w:rsidRDefault="005E58C1" w:rsidP="003357B7">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r>
      <w:tr w:rsidR="006416B0" w:rsidRPr="00B4515A" w14:paraId="398CD7E9" w14:textId="77777777" w:rsidTr="00031627">
        <w:trPr>
          <w:trHeight w:val="340"/>
          <w:jc w:val="center"/>
        </w:trPr>
        <w:tc>
          <w:tcPr>
            <w:tcW w:w="945" w:type="pct"/>
            <w:shd w:val="clear" w:color="auto" w:fill="auto"/>
            <w:tcMar>
              <w:top w:w="0" w:type="dxa"/>
              <w:left w:w="108" w:type="dxa"/>
              <w:bottom w:w="0" w:type="dxa"/>
              <w:right w:w="108" w:type="dxa"/>
            </w:tcMar>
            <w:vAlign w:val="center"/>
          </w:tcPr>
          <w:p w14:paraId="60417AC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合计</w:t>
            </w:r>
          </w:p>
        </w:tc>
        <w:tc>
          <w:tcPr>
            <w:tcW w:w="1387" w:type="pct"/>
            <w:shd w:val="clear" w:color="auto" w:fill="auto"/>
            <w:tcMar>
              <w:top w:w="0" w:type="dxa"/>
              <w:left w:w="108" w:type="dxa"/>
              <w:bottom w:w="0" w:type="dxa"/>
              <w:right w:w="108" w:type="dxa"/>
            </w:tcMar>
            <w:vAlign w:val="center"/>
          </w:tcPr>
          <w:p w14:paraId="4B10B781" w14:textId="77777777" w:rsidR="006416B0" w:rsidRPr="00B4515A" w:rsidRDefault="005E58C1" w:rsidP="003357B7">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12,954.23</w:t>
            </w:r>
          </w:p>
        </w:tc>
        <w:tc>
          <w:tcPr>
            <w:tcW w:w="1387" w:type="pct"/>
            <w:shd w:val="clear" w:color="auto" w:fill="auto"/>
            <w:tcMar>
              <w:top w:w="0" w:type="dxa"/>
              <w:left w:w="108" w:type="dxa"/>
              <w:bottom w:w="0" w:type="dxa"/>
              <w:right w:w="108" w:type="dxa"/>
            </w:tcMar>
            <w:vAlign w:val="center"/>
          </w:tcPr>
          <w:p w14:paraId="5B5CB012" w14:textId="77777777" w:rsidR="006416B0" w:rsidRPr="00B4515A" w:rsidRDefault="005E58C1" w:rsidP="003357B7">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15,953.22</w:t>
            </w:r>
          </w:p>
        </w:tc>
        <w:tc>
          <w:tcPr>
            <w:tcW w:w="1281" w:type="pct"/>
            <w:shd w:val="clear" w:color="auto" w:fill="auto"/>
            <w:tcMar>
              <w:top w:w="0" w:type="dxa"/>
              <w:left w:w="108" w:type="dxa"/>
              <w:bottom w:w="0" w:type="dxa"/>
              <w:right w:w="108" w:type="dxa"/>
            </w:tcMar>
            <w:vAlign w:val="center"/>
          </w:tcPr>
          <w:p w14:paraId="0DDB8513" w14:textId="77777777" w:rsidR="006416B0" w:rsidRPr="00B4515A" w:rsidRDefault="005E58C1" w:rsidP="003357B7">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9,969.94</w:t>
            </w:r>
          </w:p>
        </w:tc>
      </w:tr>
    </w:tbl>
    <w:p w14:paraId="6B43CD59" w14:textId="5E9007E0" w:rsidR="006416B0" w:rsidRPr="00B4515A" w:rsidRDefault="005E58C1" w:rsidP="003357B7">
      <w:pPr>
        <w:pStyle w:val="005"/>
        <w:spacing w:before="120" w:after="120"/>
        <w:ind w:firstLine="480"/>
      </w:pPr>
      <w:r w:rsidRPr="00B4515A">
        <w:rPr>
          <w:rFonts w:hint="eastAsia"/>
        </w:rPr>
        <w:t>报告期各期末，大唐联诚的短期借款分别为</w:t>
      </w:r>
      <w:r w:rsidRPr="00B4515A">
        <w:rPr>
          <w:color w:val="000000"/>
        </w:rPr>
        <w:t>9,969.94</w:t>
      </w:r>
      <w:r w:rsidRPr="00B4515A">
        <w:rPr>
          <w:rFonts w:hint="eastAsia"/>
        </w:rPr>
        <w:t>万元、</w:t>
      </w:r>
      <w:r w:rsidRPr="00B4515A">
        <w:rPr>
          <w:color w:val="000000"/>
        </w:rPr>
        <w:t>15,953.22</w:t>
      </w:r>
      <w:r w:rsidRPr="00B4515A">
        <w:rPr>
          <w:color w:val="000000"/>
        </w:rPr>
        <w:t>万元</w:t>
      </w:r>
      <w:r w:rsidRPr="00B4515A">
        <w:rPr>
          <w:color w:val="000000"/>
        </w:rPr>
        <w:t>12,954.23</w:t>
      </w:r>
      <w:r w:rsidRPr="00B4515A">
        <w:rPr>
          <w:rFonts w:hint="eastAsia"/>
        </w:rPr>
        <w:t>万元，占负债总额的比例分别为</w:t>
      </w:r>
      <w:r w:rsidRPr="00B4515A">
        <w:t>11.15%</w:t>
      </w:r>
      <w:r w:rsidRPr="00B4515A">
        <w:rPr>
          <w:rFonts w:hint="eastAsia"/>
        </w:rPr>
        <w:t>、</w:t>
      </w:r>
      <w:r w:rsidRPr="00B4515A">
        <w:t>23.60%</w:t>
      </w:r>
      <w:r w:rsidRPr="00B4515A">
        <w:rPr>
          <w:rFonts w:hint="eastAsia"/>
        </w:rPr>
        <w:t>、</w:t>
      </w:r>
      <w:r w:rsidRPr="00B4515A">
        <w:t>17.72%</w:t>
      </w:r>
      <w:r w:rsidRPr="00B4515A">
        <w:rPr>
          <w:rFonts w:hint="eastAsia"/>
        </w:rPr>
        <w:t>。</w:t>
      </w:r>
      <w:r w:rsidRPr="00B4515A">
        <w:t>2020</w:t>
      </w:r>
      <w:r w:rsidRPr="00B4515A">
        <w:rPr>
          <w:rFonts w:hint="eastAsia"/>
        </w:rPr>
        <w:t>年末的短期借款规模较</w:t>
      </w:r>
      <w:r w:rsidRPr="00B4515A">
        <w:t>2019</w:t>
      </w:r>
      <w:r w:rsidRPr="00B4515A">
        <w:rPr>
          <w:rFonts w:hint="eastAsia"/>
        </w:rPr>
        <w:t>年末增加</w:t>
      </w:r>
      <w:r w:rsidRPr="00B4515A">
        <w:t>60.01%</w:t>
      </w:r>
      <w:r w:rsidRPr="00B4515A">
        <w:rPr>
          <w:rFonts w:hint="eastAsia"/>
        </w:rPr>
        <w:t>，主要系银行借款增加所致；</w:t>
      </w:r>
      <w:r w:rsidRPr="00B4515A">
        <w:t>2021</w:t>
      </w:r>
      <w:r w:rsidRPr="00B4515A">
        <w:rPr>
          <w:rFonts w:hint="eastAsia"/>
        </w:rPr>
        <w:t>年</w:t>
      </w:r>
      <w:r w:rsidRPr="00B4515A">
        <w:t>4</w:t>
      </w:r>
      <w:r w:rsidRPr="00B4515A">
        <w:rPr>
          <w:rFonts w:hint="eastAsia"/>
        </w:rPr>
        <w:t>月末的短期借款规模较</w:t>
      </w:r>
      <w:r w:rsidRPr="00B4515A">
        <w:t>2020</w:t>
      </w:r>
      <w:r w:rsidRPr="00B4515A">
        <w:rPr>
          <w:rFonts w:hint="eastAsia"/>
        </w:rPr>
        <w:t>年末减少</w:t>
      </w:r>
      <w:r w:rsidRPr="00B4515A">
        <w:t>18.80%</w:t>
      </w:r>
      <w:r w:rsidRPr="00B4515A">
        <w:rPr>
          <w:rFonts w:hint="eastAsia"/>
        </w:rPr>
        <w:t>，</w:t>
      </w:r>
      <w:r w:rsidRPr="00B4515A">
        <w:t>主要系公司偿还短期借款所致</w:t>
      </w:r>
      <w:r w:rsidRPr="00B4515A">
        <w:rPr>
          <w:rFonts w:hint="eastAsia"/>
        </w:rPr>
        <w:t>。</w:t>
      </w:r>
    </w:p>
    <w:p w14:paraId="2329C905" w14:textId="77777777" w:rsidR="006416B0" w:rsidRPr="00B4515A" w:rsidRDefault="005E58C1" w:rsidP="003357B7">
      <w:pPr>
        <w:pStyle w:val="005"/>
        <w:spacing w:before="120" w:after="120"/>
        <w:ind w:firstLine="480"/>
      </w:pPr>
      <w:r w:rsidRPr="00B4515A">
        <w:rPr>
          <w:rFonts w:hint="eastAsia"/>
        </w:rPr>
        <w:lastRenderedPageBreak/>
        <w:t>（</w:t>
      </w:r>
      <w:r w:rsidRPr="00B4515A">
        <w:rPr>
          <w:rFonts w:hint="eastAsia"/>
        </w:rPr>
        <w:t>2</w:t>
      </w:r>
      <w:r w:rsidRPr="00B4515A">
        <w:rPr>
          <w:rFonts w:hint="eastAsia"/>
        </w:rPr>
        <w:t>）应付账款</w:t>
      </w:r>
    </w:p>
    <w:p w14:paraId="151177B2" w14:textId="77777777" w:rsidR="006416B0" w:rsidRPr="00B4515A" w:rsidRDefault="005E58C1" w:rsidP="003357B7">
      <w:pPr>
        <w:pStyle w:val="005"/>
        <w:spacing w:before="120" w:after="120"/>
        <w:ind w:firstLine="480"/>
      </w:pPr>
      <w:r w:rsidRPr="00B4515A">
        <w:rPr>
          <w:rFonts w:hint="eastAsia"/>
        </w:rPr>
        <w:t>报告期各期末，大唐联诚应付账款账龄分析如下：</w:t>
      </w:r>
    </w:p>
    <w:p w14:paraId="5A29A7F4"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27"/>
        <w:gridCol w:w="2234"/>
        <w:gridCol w:w="2234"/>
        <w:gridCol w:w="2233"/>
      </w:tblGrid>
      <w:tr w:rsidR="006416B0" w:rsidRPr="00B4515A" w14:paraId="56989634" w14:textId="77777777" w:rsidTr="00031627">
        <w:trPr>
          <w:trHeight w:val="340"/>
          <w:jc w:val="center"/>
        </w:trPr>
        <w:tc>
          <w:tcPr>
            <w:tcW w:w="1071" w:type="pct"/>
            <w:shd w:val="clear" w:color="auto" w:fill="auto"/>
            <w:tcMar>
              <w:top w:w="0" w:type="dxa"/>
              <w:left w:w="108" w:type="dxa"/>
              <w:bottom w:w="0" w:type="dxa"/>
              <w:right w:w="108" w:type="dxa"/>
            </w:tcMar>
            <w:vAlign w:val="center"/>
          </w:tcPr>
          <w:p w14:paraId="0B1D0FA4" w14:textId="77777777" w:rsidR="006416B0" w:rsidRPr="00B4515A" w:rsidRDefault="005E58C1" w:rsidP="005860B4">
            <w:pPr>
              <w:adjustRightInd w:val="0"/>
              <w:snapToGrid w:val="0"/>
              <w:jc w:val="center"/>
              <w:rPr>
                <w:rFonts w:ascii="Times New Roman" w:eastAsiaTheme="majorEastAsia" w:hAnsi="Times New Roman" w:cs="Times New Roman"/>
                <w:b/>
                <w:bCs/>
                <w:color w:val="000000"/>
                <w:sz w:val="21"/>
                <w:szCs w:val="21"/>
              </w:rPr>
            </w:pPr>
            <w:r w:rsidRPr="00B4515A">
              <w:rPr>
                <w:rFonts w:ascii="Times New Roman" w:eastAsiaTheme="majorEastAsia" w:hAnsi="Times New Roman" w:cs="Times New Roman"/>
                <w:b/>
                <w:bCs/>
                <w:color w:val="000000"/>
                <w:sz w:val="21"/>
                <w:szCs w:val="21"/>
              </w:rPr>
              <w:t>项目</w:t>
            </w:r>
          </w:p>
        </w:tc>
        <w:tc>
          <w:tcPr>
            <w:tcW w:w="1310" w:type="pct"/>
            <w:shd w:val="clear" w:color="auto" w:fill="auto"/>
            <w:tcMar>
              <w:top w:w="0" w:type="dxa"/>
              <w:left w:w="108" w:type="dxa"/>
              <w:bottom w:w="0" w:type="dxa"/>
              <w:right w:w="108" w:type="dxa"/>
            </w:tcMar>
            <w:vAlign w:val="center"/>
          </w:tcPr>
          <w:p w14:paraId="74EDAB71" w14:textId="77777777" w:rsidR="006416B0" w:rsidRPr="00B4515A" w:rsidRDefault="005E58C1" w:rsidP="005860B4">
            <w:pPr>
              <w:adjustRightInd w:val="0"/>
              <w:snapToGrid w:val="0"/>
              <w:jc w:val="center"/>
              <w:rPr>
                <w:rFonts w:ascii="Times New Roman" w:eastAsiaTheme="majorEastAsia" w:hAnsi="Times New Roman" w:cs="Times New Roman"/>
                <w:b/>
                <w:bCs/>
                <w:color w:val="000000"/>
                <w:sz w:val="21"/>
                <w:szCs w:val="21"/>
              </w:rPr>
            </w:pPr>
            <w:r w:rsidRPr="00B4515A">
              <w:rPr>
                <w:rFonts w:ascii="Times New Roman" w:eastAsiaTheme="majorEastAsia" w:hAnsi="Times New Roman" w:cs="Times New Roman"/>
                <w:b/>
                <w:bCs/>
                <w:color w:val="000000"/>
                <w:sz w:val="21"/>
                <w:szCs w:val="21"/>
              </w:rPr>
              <w:t>2021.4.30</w:t>
            </w:r>
          </w:p>
        </w:tc>
        <w:tc>
          <w:tcPr>
            <w:tcW w:w="1310" w:type="pct"/>
            <w:shd w:val="clear" w:color="auto" w:fill="auto"/>
            <w:tcMar>
              <w:top w:w="0" w:type="dxa"/>
              <w:left w:w="108" w:type="dxa"/>
              <w:bottom w:w="0" w:type="dxa"/>
              <w:right w:w="108" w:type="dxa"/>
            </w:tcMar>
            <w:vAlign w:val="center"/>
          </w:tcPr>
          <w:p w14:paraId="5CD6F5FA" w14:textId="77777777" w:rsidR="006416B0" w:rsidRPr="00B4515A" w:rsidRDefault="005E58C1" w:rsidP="005860B4">
            <w:pPr>
              <w:adjustRightInd w:val="0"/>
              <w:snapToGrid w:val="0"/>
              <w:jc w:val="center"/>
              <w:rPr>
                <w:rFonts w:ascii="Times New Roman" w:eastAsiaTheme="majorEastAsia" w:hAnsi="Times New Roman" w:cs="Times New Roman"/>
                <w:b/>
                <w:bCs/>
                <w:color w:val="000000"/>
                <w:sz w:val="21"/>
                <w:szCs w:val="21"/>
              </w:rPr>
            </w:pPr>
            <w:r w:rsidRPr="00B4515A">
              <w:rPr>
                <w:rFonts w:ascii="Times New Roman" w:eastAsiaTheme="majorEastAsia" w:hAnsi="Times New Roman" w:cs="Times New Roman"/>
                <w:b/>
                <w:bCs/>
                <w:color w:val="000000"/>
                <w:sz w:val="21"/>
                <w:szCs w:val="21"/>
              </w:rPr>
              <w:t>2020.12.31</w:t>
            </w:r>
          </w:p>
        </w:tc>
        <w:tc>
          <w:tcPr>
            <w:tcW w:w="1309" w:type="pct"/>
            <w:shd w:val="clear" w:color="auto" w:fill="auto"/>
            <w:tcMar>
              <w:top w:w="0" w:type="dxa"/>
              <w:left w:w="108" w:type="dxa"/>
              <w:bottom w:w="0" w:type="dxa"/>
              <w:right w:w="108" w:type="dxa"/>
            </w:tcMar>
            <w:vAlign w:val="center"/>
          </w:tcPr>
          <w:p w14:paraId="3DA74F43" w14:textId="77777777" w:rsidR="006416B0" w:rsidRPr="00B4515A" w:rsidRDefault="005E58C1" w:rsidP="005860B4">
            <w:pPr>
              <w:adjustRightInd w:val="0"/>
              <w:snapToGrid w:val="0"/>
              <w:jc w:val="center"/>
              <w:rPr>
                <w:rFonts w:ascii="Times New Roman" w:eastAsiaTheme="majorEastAsia" w:hAnsi="Times New Roman" w:cs="Times New Roman"/>
                <w:b/>
                <w:bCs/>
                <w:color w:val="000000"/>
                <w:sz w:val="21"/>
                <w:szCs w:val="21"/>
              </w:rPr>
            </w:pPr>
            <w:r w:rsidRPr="00B4515A">
              <w:rPr>
                <w:rFonts w:ascii="Times New Roman" w:eastAsiaTheme="majorEastAsia" w:hAnsi="Times New Roman" w:cs="Times New Roman"/>
                <w:b/>
                <w:bCs/>
                <w:color w:val="000000"/>
                <w:sz w:val="21"/>
                <w:szCs w:val="21"/>
              </w:rPr>
              <w:t>2019.12.31</w:t>
            </w:r>
          </w:p>
        </w:tc>
      </w:tr>
      <w:tr w:rsidR="006416B0" w:rsidRPr="00B4515A" w14:paraId="59B84CCE" w14:textId="77777777" w:rsidTr="00031627">
        <w:trPr>
          <w:trHeight w:val="340"/>
          <w:jc w:val="center"/>
        </w:trPr>
        <w:tc>
          <w:tcPr>
            <w:tcW w:w="1071" w:type="pct"/>
            <w:shd w:val="clear" w:color="auto" w:fill="auto"/>
            <w:tcMar>
              <w:top w:w="0" w:type="dxa"/>
              <w:left w:w="108" w:type="dxa"/>
              <w:bottom w:w="0" w:type="dxa"/>
              <w:right w:w="108" w:type="dxa"/>
            </w:tcMar>
            <w:vAlign w:val="center"/>
          </w:tcPr>
          <w:p w14:paraId="36C73311"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w:t>
            </w:r>
            <w:r w:rsidRPr="00B4515A">
              <w:rPr>
                <w:rFonts w:ascii="Times New Roman" w:eastAsiaTheme="majorEastAsia" w:hAnsi="Times New Roman" w:cs="Times New Roman"/>
                <w:color w:val="000000"/>
                <w:sz w:val="21"/>
                <w:szCs w:val="21"/>
              </w:rPr>
              <w:t>年以内（含</w:t>
            </w:r>
            <w:r w:rsidRPr="00B4515A">
              <w:rPr>
                <w:rFonts w:ascii="Times New Roman" w:eastAsiaTheme="majorEastAsia" w:hAnsi="Times New Roman" w:cs="Times New Roman"/>
                <w:color w:val="000000"/>
                <w:sz w:val="21"/>
                <w:szCs w:val="21"/>
              </w:rPr>
              <w:t>1</w:t>
            </w:r>
            <w:r w:rsidRPr="00B4515A">
              <w:rPr>
                <w:rFonts w:ascii="Times New Roman" w:eastAsiaTheme="majorEastAsia" w:hAnsi="Times New Roman" w:cs="Times New Roman"/>
                <w:color w:val="000000"/>
                <w:sz w:val="21"/>
                <w:szCs w:val="21"/>
              </w:rPr>
              <w:t>年）</w:t>
            </w:r>
          </w:p>
        </w:tc>
        <w:tc>
          <w:tcPr>
            <w:tcW w:w="1310" w:type="pct"/>
            <w:shd w:val="clear" w:color="auto" w:fill="auto"/>
            <w:tcMar>
              <w:top w:w="0" w:type="dxa"/>
              <w:left w:w="108" w:type="dxa"/>
              <w:bottom w:w="0" w:type="dxa"/>
              <w:right w:w="108" w:type="dxa"/>
            </w:tcMar>
            <w:vAlign w:val="center"/>
          </w:tcPr>
          <w:p w14:paraId="12FED56A"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27,412.19</w:t>
            </w:r>
          </w:p>
        </w:tc>
        <w:tc>
          <w:tcPr>
            <w:tcW w:w="1310" w:type="pct"/>
            <w:shd w:val="clear" w:color="auto" w:fill="auto"/>
            <w:tcMar>
              <w:top w:w="0" w:type="dxa"/>
              <w:left w:w="108" w:type="dxa"/>
              <w:bottom w:w="0" w:type="dxa"/>
              <w:right w:w="108" w:type="dxa"/>
            </w:tcMar>
            <w:vAlign w:val="center"/>
          </w:tcPr>
          <w:p w14:paraId="554E0CDD"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28,386.20</w:t>
            </w:r>
          </w:p>
        </w:tc>
        <w:tc>
          <w:tcPr>
            <w:tcW w:w="1309" w:type="pct"/>
            <w:shd w:val="clear" w:color="auto" w:fill="auto"/>
            <w:tcMar>
              <w:top w:w="0" w:type="dxa"/>
              <w:left w:w="108" w:type="dxa"/>
              <w:bottom w:w="0" w:type="dxa"/>
              <w:right w:w="108" w:type="dxa"/>
            </w:tcMar>
            <w:vAlign w:val="center"/>
          </w:tcPr>
          <w:p w14:paraId="2E504D75"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23,182.14</w:t>
            </w:r>
          </w:p>
        </w:tc>
      </w:tr>
      <w:tr w:rsidR="006416B0" w:rsidRPr="00B4515A" w14:paraId="606E719F" w14:textId="77777777" w:rsidTr="00031627">
        <w:trPr>
          <w:trHeight w:val="340"/>
          <w:jc w:val="center"/>
        </w:trPr>
        <w:tc>
          <w:tcPr>
            <w:tcW w:w="1071" w:type="pct"/>
            <w:shd w:val="clear" w:color="auto" w:fill="auto"/>
            <w:tcMar>
              <w:top w:w="0" w:type="dxa"/>
              <w:left w:w="108" w:type="dxa"/>
              <w:bottom w:w="0" w:type="dxa"/>
              <w:right w:w="108" w:type="dxa"/>
            </w:tcMar>
            <w:vAlign w:val="center"/>
          </w:tcPr>
          <w:p w14:paraId="0E6769BC"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1-2</w:t>
            </w:r>
            <w:r w:rsidRPr="00B4515A">
              <w:rPr>
                <w:rFonts w:ascii="Times New Roman" w:eastAsiaTheme="majorEastAsia" w:hAnsi="Times New Roman" w:cs="Times New Roman"/>
                <w:color w:val="000000"/>
                <w:sz w:val="21"/>
                <w:szCs w:val="21"/>
              </w:rPr>
              <w:t>年（含</w:t>
            </w:r>
            <w:r w:rsidRPr="00B4515A">
              <w:rPr>
                <w:rFonts w:ascii="Times New Roman" w:eastAsiaTheme="majorEastAsia" w:hAnsi="Times New Roman" w:cs="Times New Roman"/>
                <w:color w:val="000000"/>
                <w:sz w:val="21"/>
                <w:szCs w:val="21"/>
              </w:rPr>
              <w:t>2</w:t>
            </w:r>
            <w:r w:rsidRPr="00B4515A">
              <w:rPr>
                <w:rFonts w:ascii="Times New Roman" w:eastAsiaTheme="majorEastAsia" w:hAnsi="Times New Roman" w:cs="Times New Roman"/>
                <w:color w:val="000000"/>
                <w:sz w:val="21"/>
                <w:szCs w:val="21"/>
              </w:rPr>
              <w:t>年）</w:t>
            </w:r>
          </w:p>
        </w:tc>
        <w:tc>
          <w:tcPr>
            <w:tcW w:w="1310" w:type="pct"/>
            <w:shd w:val="clear" w:color="auto" w:fill="auto"/>
            <w:tcMar>
              <w:top w:w="0" w:type="dxa"/>
              <w:left w:w="108" w:type="dxa"/>
              <w:bottom w:w="0" w:type="dxa"/>
              <w:right w:w="108" w:type="dxa"/>
            </w:tcMar>
            <w:vAlign w:val="center"/>
          </w:tcPr>
          <w:p w14:paraId="304FFE2E"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5,773.41</w:t>
            </w:r>
          </w:p>
        </w:tc>
        <w:tc>
          <w:tcPr>
            <w:tcW w:w="1310" w:type="pct"/>
            <w:shd w:val="clear" w:color="auto" w:fill="auto"/>
            <w:tcMar>
              <w:top w:w="0" w:type="dxa"/>
              <w:left w:w="108" w:type="dxa"/>
              <w:bottom w:w="0" w:type="dxa"/>
              <w:right w:w="108" w:type="dxa"/>
            </w:tcMar>
            <w:vAlign w:val="center"/>
          </w:tcPr>
          <w:p w14:paraId="07D6FCFC"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4,583.08</w:t>
            </w:r>
          </w:p>
        </w:tc>
        <w:tc>
          <w:tcPr>
            <w:tcW w:w="1309" w:type="pct"/>
            <w:shd w:val="clear" w:color="auto" w:fill="auto"/>
            <w:tcMar>
              <w:top w:w="0" w:type="dxa"/>
              <w:left w:w="108" w:type="dxa"/>
              <w:bottom w:w="0" w:type="dxa"/>
              <w:right w:w="108" w:type="dxa"/>
            </w:tcMar>
            <w:vAlign w:val="center"/>
          </w:tcPr>
          <w:p w14:paraId="5DB413F4"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7,861.84</w:t>
            </w:r>
          </w:p>
        </w:tc>
      </w:tr>
      <w:tr w:rsidR="006416B0" w:rsidRPr="00B4515A" w14:paraId="174EB69D" w14:textId="77777777" w:rsidTr="00031627">
        <w:trPr>
          <w:trHeight w:val="340"/>
          <w:jc w:val="center"/>
        </w:trPr>
        <w:tc>
          <w:tcPr>
            <w:tcW w:w="1071" w:type="pct"/>
            <w:shd w:val="clear" w:color="auto" w:fill="auto"/>
            <w:tcMar>
              <w:top w:w="0" w:type="dxa"/>
              <w:left w:w="108" w:type="dxa"/>
              <w:bottom w:w="0" w:type="dxa"/>
              <w:right w:w="108" w:type="dxa"/>
            </w:tcMar>
            <w:vAlign w:val="center"/>
          </w:tcPr>
          <w:p w14:paraId="0809D5E1"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2-3</w:t>
            </w:r>
            <w:r w:rsidRPr="00B4515A">
              <w:rPr>
                <w:rFonts w:ascii="Times New Roman" w:eastAsiaTheme="majorEastAsia" w:hAnsi="Times New Roman" w:cs="Times New Roman"/>
                <w:color w:val="000000"/>
                <w:sz w:val="21"/>
                <w:szCs w:val="21"/>
              </w:rPr>
              <w:t>年（含</w:t>
            </w:r>
            <w:r w:rsidRPr="00B4515A">
              <w:rPr>
                <w:rFonts w:ascii="Times New Roman" w:eastAsiaTheme="majorEastAsia" w:hAnsi="Times New Roman" w:cs="Times New Roman"/>
                <w:color w:val="000000"/>
                <w:sz w:val="21"/>
                <w:szCs w:val="21"/>
              </w:rPr>
              <w:t>3</w:t>
            </w:r>
            <w:r w:rsidRPr="00B4515A">
              <w:rPr>
                <w:rFonts w:ascii="Times New Roman" w:eastAsiaTheme="majorEastAsia" w:hAnsi="Times New Roman" w:cs="Times New Roman"/>
                <w:color w:val="000000"/>
                <w:sz w:val="21"/>
                <w:szCs w:val="21"/>
              </w:rPr>
              <w:t>年）</w:t>
            </w:r>
          </w:p>
        </w:tc>
        <w:tc>
          <w:tcPr>
            <w:tcW w:w="1310" w:type="pct"/>
            <w:shd w:val="clear" w:color="auto" w:fill="auto"/>
            <w:tcMar>
              <w:top w:w="0" w:type="dxa"/>
              <w:left w:w="108" w:type="dxa"/>
              <w:bottom w:w="0" w:type="dxa"/>
              <w:right w:w="108" w:type="dxa"/>
            </w:tcMar>
            <w:vAlign w:val="center"/>
          </w:tcPr>
          <w:p w14:paraId="7C5EC88A"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1,489.34</w:t>
            </w:r>
          </w:p>
        </w:tc>
        <w:tc>
          <w:tcPr>
            <w:tcW w:w="1310" w:type="pct"/>
            <w:shd w:val="clear" w:color="auto" w:fill="auto"/>
            <w:tcMar>
              <w:top w:w="0" w:type="dxa"/>
              <w:left w:w="108" w:type="dxa"/>
              <w:bottom w:w="0" w:type="dxa"/>
              <w:right w:w="108" w:type="dxa"/>
            </w:tcMar>
            <w:vAlign w:val="center"/>
          </w:tcPr>
          <w:p w14:paraId="5B4051FD"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2,353.09</w:t>
            </w:r>
          </w:p>
        </w:tc>
        <w:tc>
          <w:tcPr>
            <w:tcW w:w="1309" w:type="pct"/>
            <w:shd w:val="clear" w:color="auto" w:fill="auto"/>
            <w:tcMar>
              <w:top w:w="0" w:type="dxa"/>
              <w:left w:w="108" w:type="dxa"/>
              <w:bottom w:w="0" w:type="dxa"/>
              <w:right w:w="108" w:type="dxa"/>
            </w:tcMar>
            <w:vAlign w:val="center"/>
          </w:tcPr>
          <w:p w14:paraId="4D963A7D"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1,979.07</w:t>
            </w:r>
          </w:p>
        </w:tc>
      </w:tr>
      <w:tr w:rsidR="006416B0" w:rsidRPr="00B4515A" w14:paraId="1B635F14" w14:textId="77777777" w:rsidTr="00031627">
        <w:trPr>
          <w:trHeight w:val="340"/>
          <w:jc w:val="center"/>
        </w:trPr>
        <w:tc>
          <w:tcPr>
            <w:tcW w:w="1071" w:type="pct"/>
            <w:shd w:val="clear" w:color="auto" w:fill="auto"/>
            <w:tcMar>
              <w:top w:w="0" w:type="dxa"/>
              <w:left w:w="108" w:type="dxa"/>
              <w:bottom w:w="0" w:type="dxa"/>
              <w:right w:w="108" w:type="dxa"/>
            </w:tcMar>
            <w:vAlign w:val="center"/>
          </w:tcPr>
          <w:p w14:paraId="41C05969"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3</w:t>
            </w:r>
            <w:r w:rsidRPr="00B4515A">
              <w:rPr>
                <w:rFonts w:ascii="Times New Roman" w:eastAsiaTheme="majorEastAsia" w:hAnsi="Times New Roman" w:cs="Times New Roman"/>
                <w:color w:val="000000"/>
                <w:sz w:val="21"/>
                <w:szCs w:val="21"/>
              </w:rPr>
              <w:t>年以上</w:t>
            </w:r>
          </w:p>
        </w:tc>
        <w:tc>
          <w:tcPr>
            <w:tcW w:w="1310" w:type="pct"/>
            <w:shd w:val="clear" w:color="auto" w:fill="auto"/>
            <w:tcMar>
              <w:top w:w="0" w:type="dxa"/>
              <w:left w:w="108" w:type="dxa"/>
              <w:bottom w:w="0" w:type="dxa"/>
              <w:right w:w="108" w:type="dxa"/>
            </w:tcMar>
            <w:vAlign w:val="center"/>
          </w:tcPr>
          <w:p w14:paraId="0B32E9B7"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6,708.50</w:t>
            </w:r>
          </w:p>
        </w:tc>
        <w:tc>
          <w:tcPr>
            <w:tcW w:w="1310" w:type="pct"/>
            <w:shd w:val="clear" w:color="auto" w:fill="auto"/>
            <w:tcMar>
              <w:top w:w="0" w:type="dxa"/>
              <w:left w:w="108" w:type="dxa"/>
              <w:bottom w:w="0" w:type="dxa"/>
              <w:right w:w="108" w:type="dxa"/>
            </w:tcMar>
            <w:vAlign w:val="center"/>
          </w:tcPr>
          <w:p w14:paraId="3B3CB96B"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5,737.78</w:t>
            </w:r>
          </w:p>
        </w:tc>
        <w:tc>
          <w:tcPr>
            <w:tcW w:w="1309" w:type="pct"/>
            <w:shd w:val="clear" w:color="auto" w:fill="auto"/>
            <w:tcMar>
              <w:top w:w="0" w:type="dxa"/>
              <w:left w:w="108" w:type="dxa"/>
              <w:bottom w:w="0" w:type="dxa"/>
              <w:right w:w="108" w:type="dxa"/>
            </w:tcMar>
            <w:vAlign w:val="center"/>
          </w:tcPr>
          <w:p w14:paraId="23A21098"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4,816.58</w:t>
            </w:r>
          </w:p>
        </w:tc>
      </w:tr>
      <w:tr w:rsidR="006416B0" w:rsidRPr="00B4515A" w14:paraId="06C5EA59" w14:textId="77777777" w:rsidTr="00031627">
        <w:trPr>
          <w:trHeight w:val="340"/>
          <w:jc w:val="center"/>
        </w:trPr>
        <w:tc>
          <w:tcPr>
            <w:tcW w:w="1071" w:type="pct"/>
            <w:shd w:val="clear" w:color="auto" w:fill="auto"/>
            <w:tcMar>
              <w:top w:w="0" w:type="dxa"/>
              <w:left w:w="108" w:type="dxa"/>
              <w:bottom w:w="0" w:type="dxa"/>
              <w:right w:w="108" w:type="dxa"/>
            </w:tcMar>
            <w:vAlign w:val="center"/>
          </w:tcPr>
          <w:p w14:paraId="4E433D29" w14:textId="77777777" w:rsidR="006416B0" w:rsidRPr="00B4515A" w:rsidRDefault="005E58C1" w:rsidP="005860B4">
            <w:pPr>
              <w:adjustRightInd w:val="0"/>
              <w:snapToGrid w:val="0"/>
              <w:jc w:val="center"/>
              <w:rPr>
                <w:rFonts w:ascii="Times New Roman" w:eastAsiaTheme="majorEastAsia" w:hAnsi="Times New Roman" w:cs="Times New Roman"/>
                <w:b/>
                <w:bCs/>
                <w:color w:val="000000"/>
                <w:sz w:val="21"/>
                <w:szCs w:val="21"/>
              </w:rPr>
            </w:pPr>
            <w:r w:rsidRPr="00B4515A">
              <w:rPr>
                <w:rFonts w:ascii="Times New Roman" w:eastAsiaTheme="majorEastAsia" w:hAnsi="Times New Roman" w:cs="Times New Roman"/>
                <w:b/>
                <w:bCs/>
                <w:color w:val="000000"/>
                <w:sz w:val="21"/>
                <w:szCs w:val="21"/>
              </w:rPr>
              <w:t>合计</w:t>
            </w:r>
          </w:p>
        </w:tc>
        <w:tc>
          <w:tcPr>
            <w:tcW w:w="1310" w:type="pct"/>
            <w:shd w:val="clear" w:color="auto" w:fill="auto"/>
            <w:tcMar>
              <w:top w:w="0" w:type="dxa"/>
              <w:left w:w="108" w:type="dxa"/>
              <w:bottom w:w="0" w:type="dxa"/>
              <w:right w:w="108" w:type="dxa"/>
            </w:tcMar>
            <w:vAlign w:val="center"/>
          </w:tcPr>
          <w:p w14:paraId="048E1EE5" w14:textId="77777777" w:rsidR="006416B0" w:rsidRPr="00B4515A" w:rsidRDefault="005E58C1" w:rsidP="005860B4">
            <w:pPr>
              <w:adjustRightInd w:val="0"/>
              <w:snapToGrid w:val="0"/>
              <w:jc w:val="right"/>
              <w:rPr>
                <w:rFonts w:ascii="Times New Roman" w:eastAsiaTheme="majorEastAsia" w:hAnsi="Times New Roman" w:cs="Times New Roman"/>
                <w:b/>
                <w:bCs/>
                <w:color w:val="000000"/>
                <w:sz w:val="21"/>
                <w:szCs w:val="21"/>
              </w:rPr>
            </w:pPr>
            <w:r w:rsidRPr="00B4515A">
              <w:rPr>
                <w:rFonts w:ascii="Times New Roman" w:eastAsiaTheme="majorEastAsia" w:hAnsi="Times New Roman" w:cs="Times New Roman"/>
                <w:b/>
                <w:bCs/>
                <w:color w:val="000000"/>
                <w:sz w:val="21"/>
                <w:szCs w:val="21"/>
              </w:rPr>
              <w:t>41,383.44</w:t>
            </w:r>
          </w:p>
        </w:tc>
        <w:tc>
          <w:tcPr>
            <w:tcW w:w="1310" w:type="pct"/>
            <w:shd w:val="clear" w:color="auto" w:fill="auto"/>
            <w:tcMar>
              <w:top w:w="0" w:type="dxa"/>
              <w:left w:w="108" w:type="dxa"/>
              <w:bottom w:w="0" w:type="dxa"/>
              <w:right w:w="108" w:type="dxa"/>
            </w:tcMar>
            <w:vAlign w:val="center"/>
          </w:tcPr>
          <w:p w14:paraId="5B43F83A" w14:textId="77777777" w:rsidR="006416B0" w:rsidRPr="00B4515A" w:rsidRDefault="005E58C1" w:rsidP="005860B4">
            <w:pPr>
              <w:adjustRightInd w:val="0"/>
              <w:snapToGrid w:val="0"/>
              <w:jc w:val="right"/>
              <w:rPr>
                <w:rFonts w:ascii="Times New Roman" w:eastAsiaTheme="majorEastAsia" w:hAnsi="Times New Roman" w:cs="Times New Roman"/>
                <w:b/>
                <w:bCs/>
                <w:color w:val="000000"/>
                <w:sz w:val="21"/>
                <w:szCs w:val="21"/>
              </w:rPr>
            </w:pPr>
            <w:r w:rsidRPr="00B4515A">
              <w:rPr>
                <w:rFonts w:ascii="Times New Roman" w:eastAsiaTheme="majorEastAsia" w:hAnsi="Times New Roman" w:cs="Times New Roman"/>
                <w:b/>
                <w:bCs/>
                <w:color w:val="000000"/>
                <w:sz w:val="21"/>
                <w:szCs w:val="21"/>
              </w:rPr>
              <w:t>41,060.15</w:t>
            </w:r>
          </w:p>
        </w:tc>
        <w:tc>
          <w:tcPr>
            <w:tcW w:w="1309" w:type="pct"/>
            <w:shd w:val="clear" w:color="auto" w:fill="auto"/>
            <w:tcMar>
              <w:top w:w="0" w:type="dxa"/>
              <w:left w:w="108" w:type="dxa"/>
              <w:bottom w:w="0" w:type="dxa"/>
              <w:right w:w="108" w:type="dxa"/>
            </w:tcMar>
            <w:vAlign w:val="center"/>
          </w:tcPr>
          <w:p w14:paraId="5996BC62" w14:textId="77777777" w:rsidR="006416B0" w:rsidRPr="00B4515A" w:rsidRDefault="005E58C1" w:rsidP="005860B4">
            <w:pPr>
              <w:adjustRightInd w:val="0"/>
              <w:snapToGrid w:val="0"/>
              <w:jc w:val="right"/>
              <w:rPr>
                <w:rFonts w:ascii="Times New Roman" w:eastAsiaTheme="majorEastAsia" w:hAnsi="Times New Roman" w:cs="Times New Roman"/>
                <w:b/>
                <w:bCs/>
                <w:color w:val="000000"/>
                <w:sz w:val="21"/>
                <w:szCs w:val="21"/>
              </w:rPr>
            </w:pPr>
            <w:r w:rsidRPr="00B4515A">
              <w:rPr>
                <w:rFonts w:ascii="Times New Roman" w:eastAsiaTheme="majorEastAsia" w:hAnsi="Times New Roman" w:cs="Times New Roman"/>
                <w:b/>
                <w:bCs/>
                <w:color w:val="000000"/>
                <w:sz w:val="21"/>
                <w:szCs w:val="21"/>
              </w:rPr>
              <w:t>37,839.63</w:t>
            </w:r>
          </w:p>
        </w:tc>
      </w:tr>
    </w:tbl>
    <w:p w14:paraId="71BC1DA3" w14:textId="77777777" w:rsidR="006416B0" w:rsidRPr="00B4515A" w:rsidRDefault="005E58C1" w:rsidP="003357B7">
      <w:pPr>
        <w:pStyle w:val="005"/>
        <w:spacing w:before="120" w:after="120"/>
        <w:ind w:firstLine="480"/>
        <w:rPr>
          <w:color w:val="000000"/>
        </w:rPr>
      </w:pPr>
      <w:r w:rsidRPr="00B4515A">
        <w:rPr>
          <w:rFonts w:hint="eastAsia"/>
        </w:rPr>
        <w:t>报告期各期末，大唐联诚的应付账款分别为</w:t>
      </w:r>
      <w:r w:rsidRPr="00B4515A">
        <w:rPr>
          <w:color w:val="000000"/>
        </w:rPr>
        <w:t>37,839.63</w:t>
      </w:r>
      <w:r w:rsidRPr="00B4515A">
        <w:rPr>
          <w:rFonts w:hint="eastAsia"/>
        </w:rPr>
        <w:t>万元、</w:t>
      </w:r>
      <w:r w:rsidRPr="00B4515A">
        <w:rPr>
          <w:color w:val="000000"/>
        </w:rPr>
        <w:t>41,060.15</w:t>
      </w:r>
      <w:r w:rsidRPr="00B4515A">
        <w:rPr>
          <w:color w:val="000000"/>
        </w:rPr>
        <w:t>万元</w:t>
      </w:r>
      <w:r w:rsidRPr="00B4515A">
        <w:rPr>
          <w:rFonts w:hint="eastAsia"/>
          <w:color w:val="000000"/>
        </w:rPr>
        <w:t>、</w:t>
      </w:r>
      <w:r w:rsidRPr="00B4515A">
        <w:t>41,383.44</w:t>
      </w:r>
      <w:r w:rsidRPr="00B4515A">
        <w:rPr>
          <w:rFonts w:hint="eastAsia"/>
        </w:rPr>
        <w:t>万元，占负债总额的比例分别为</w:t>
      </w:r>
      <w:r w:rsidRPr="00B4515A">
        <w:rPr>
          <w:color w:val="000000"/>
        </w:rPr>
        <w:t>42.34%</w:t>
      </w:r>
      <w:r w:rsidRPr="00B4515A">
        <w:rPr>
          <w:rFonts w:hint="eastAsia"/>
          <w:color w:val="000000"/>
        </w:rPr>
        <w:t>、</w:t>
      </w:r>
      <w:r w:rsidRPr="00B4515A">
        <w:rPr>
          <w:color w:val="000000"/>
        </w:rPr>
        <w:t>60.74%</w:t>
      </w:r>
      <w:r w:rsidRPr="00B4515A">
        <w:rPr>
          <w:rFonts w:hint="eastAsia"/>
          <w:color w:val="000000"/>
        </w:rPr>
        <w:t>、</w:t>
      </w:r>
      <w:r w:rsidRPr="00B4515A">
        <w:rPr>
          <w:color w:val="000000"/>
        </w:rPr>
        <w:t>56.62%</w:t>
      </w:r>
      <w:r w:rsidRPr="00B4515A">
        <w:rPr>
          <w:rFonts w:hint="eastAsia"/>
          <w:color w:val="000000"/>
        </w:rPr>
        <w:t>。</w:t>
      </w:r>
      <w:r w:rsidRPr="00B4515A">
        <w:t>2020</w:t>
      </w:r>
      <w:r w:rsidRPr="00B4515A">
        <w:rPr>
          <w:rFonts w:hint="eastAsia"/>
        </w:rPr>
        <w:t>年末的应付账款规模较</w:t>
      </w:r>
      <w:r w:rsidRPr="00B4515A">
        <w:t>2019</w:t>
      </w:r>
      <w:r w:rsidRPr="00B4515A">
        <w:rPr>
          <w:rFonts w:hint="eastAsia"/>
        </w:rPr>
        <w:t>年末增加</w:t>
      </w:r>
      <w:r w:rsidRPr="00B4515A">
        <w:t>8.51%</w:t>
      </w:r>
      <w:r w:rsidRPr="00B4515A">
        <w:rPr>
          <w:rFonts w:hint="eastAsia"/>
        </w:rPr>
        <w:t>，主要系随着公司业务规模扩大，采购额也随之增加，从而导致公司应付账款增加。</w:t>
      </w:r>
      <w:r w:rsidRPr="00B4515A">
        <w:t>2021</w:t>
      </w:r>
      <w:r w:rsidRPr="00B4515A">
        <w:rPr>
          <w:rFonts w:hint="eastAsia"/>
        </w:rPr>
        <w:t>年</w:t>
      </w:r>
      <w:r w:rsidRPr="00B4515A">
        <w:t>4</w:t>
      </w:r>
      <w:r w:rsidRPr="00B4515A">
        <w:rPr>
          <w:rFonts w:hint="eastAsia"/>
        </w:rPr>
        <w:t>月末应付账款与</w:t>
      </w:r>
      <w:r w:rsidRPr="00B4515A">
        <w:t>2020</w:t>
      </w:r>
      <w:r w:rsidRPr="00B4515A">
        <w:rPr>
          <w:rFonts w:hint="eastAsia"/>
        </w:rPr>
        <w:t>年末基本保持一致。</w:t>
      </w:r>
    </w:p>
    <w:p w14:paraId="58C9F717" w14:textId="77777777" w:rsidR="006416B0" w:rsidRPr="00B4515A" w:rsidRDefault="005E58C1" w:rsidP="003357B7">
      <w:pPr>
        <w:pStyle w:val="005"/>
        <w:spacing w:before="120" w:after="120"/>
        <w:ind w:firstLine="480"/>
      </w:pPr>
      <w:r w:rsidRPr="00B4515A">
        <w:rPr>
          <w:rFonts w:hint="eastAsia"/>
        </w:rPr>
        <w:t>（</w:t>
      </w:r>
      <w:r w:rsidRPr="00B4515A">
        <w:rPr>
          <w:rFonts w:hint="eastAsia"/>
        </w:rPr>
        <w:t>3</w:t>
      </w:r>
      <w:r w:rsidRPr="00B4515A">
        <w:rPr>
          <w:rFonts w:hint="eastAsia"/>
        </w:rPr>
        <w:t>）预收款项及合同负债</w:t>
      </w:r>
    </w:p>
    <w:p w14:paraId="57191761" w14:textId="77777777" w:rsidR="006416B0" w:rsidRPr="00B4515A" w:rsidRDefault="005E58C1" w:rsidP="003357B7">
      <w:pPr>
        <w:pStyle w:val="005"/>
        <w:spacing w:before="120" w:after="120"/>
        <w:ind w:firstLine="480"/>
      </w:pPr>
      <w:r w:rsidRPr="00B4515A">
        <w:rPr>
          <w:rFonts w:hint="eastAsia"/>
        </w:rPr>
        <w:t>预收款项及合同负债主要为公司预收客户的货款，因适用新收入准则，公司自</w:t>
      </w:r>
      <w:r w:rsidRPr="00B4515A">
        <w:t>2020</w:t>
      </w:r>
      <w:r w:rsidRPr="00B4515A">
        <w:rPr>
          <w:rFonts w:hint="eastAsia"/>
        </w:rPr>
        <w:t>年</w:t>
      </w:r>
      <w:r w:rsidRPr="00B4515A">
        <w:t>1</w:t>
      </w:r>
      <w:r w:rsidRPr="00B4515A">
        <w:rPr>
          <w:rFonts w:hint="eastAsia"/>
        </w:rPr>
        <w:t>月</w:t>
      </w:r>
      <w:r w:rsidRPr="00B4515A">
        <w:t>1</w:t>
      </w:r>
      <w:r w:rsidRPr="00B4515A">
        <w:rPr>
          <w:rFonts w:hint="eastAsia"/>
        </w:rPr>
        <w:t>日起将原计入预收账款的因转让商品而预先收取客户的合同对价转入合同负债项目及其他流动负债项目列示，其中将与已收客户对价而应向客户转让商品的义务相关的预收款项重分类至合同负债，剩余估计的待转销项税额部分列示为其他流动负债。</w:t>
      </w:r>
    </w:p>
    <w:p w14:paraId="78A2BEE6" w14:textId="77777777" w:rsidR="006416B0" w:rsidRPr="00B4515A" w:rsidRDefault="005E58C1" w:rsidP="003357B7">
      <w:pPr>
        <w:pStyle w:val="005"/>
        <w:spacing w:before="120" w:after="120"/>
        <w:ind w:firstLine="480"/>
        <w:rPr>
          <w:color w:val="000000"/>
        </w:rPr>
      </w:pPr>
      <w:r w:rsidRPr="00B4515A">
        <w:t>2019</w:t>
      </w:r>
      <w:r w:rsidRPr="00B4515A">
        <w:rPr>
          <w:rFonts w:hint="eastAsia"/>
        </w:rPr>
        <w:t>年末，大唐联诚预收款项余额为</w:t>
      </w:r>
      <w:r w:rsidRPr="00B4515A">
        <w:t>4,101.36</w:t>
      </w:r>
      <w:r w:rsidRPr="00B4515A">
        <w:t>万元</w:t>
      </w:r>
      <w:r w:rsidRPr="00B4515A">
        <w:rPr>
          <w:rFonts w:hint="eastAsia"/>
        </w:rPr>
        <w:t>，</w:t>
      </w:r>
      <w:r w:rsidRPr="00B4515A">
        <w:t>占当期负债总额比例为</w:t>
      </w:r>
      <w:r w:rsidRPr="00B4515A">
        <w:t>4.59%</w:t>
      </w:r>
      <w:r w:rsidRPr="00B4515A">
        <w:rPr>
          <w:rFonts w:hint="eastAsia"/>
        </w:rPr>
        <w:t>。</w:t>
      </w:r>
      <w:r w:rsidRPr="00B4515A">
        <w:t>2020</w:t>
      </w:r>
      <w:r w:rsidRPr="00B4515A">
        <w:rPr>
          <w:rFonts w:hint="eastAsia"/>
        </w:rPr>
        <w:t>年末、</w:t>
      </w:r>
      <w:r w:rsidRPr="00B4515A">
        <w:t>2021</w:t>
      </w:r>
      <w:r w:rsidRPr="00B4515A">
        <w:rPr>
          <w:rFonts w:hint="eastAsia"/>
        </w:rPr>
        <w:t>年</w:t>
      </w:r>
      <w:r w:rsidRPr="00B4515A">
        <w:t>4</w:t>
      </w:r>
      <w:r w:rsidRPr="00B4515A">
        <w:rPr>
          <w:rFonts w:hint="eastAsia"/>
        </w:rPr>
        <w:t>月末，大唐联诚合同负债余额分别为</w:t>
      </w:r>
      <w:r w:rsidRPr="00B4515A">
        <w:rPr>
          <w:color w:val="000000"/>
        </w:rPr>
        <w:t>4,150.78</w:t>
      </w:r>
      <w:r w:rsidRPr="00B4515A">
        <w:rPr>
          <w:rFonts w:hint="eastAsia"/>
        </w:rPr>
        <w:t>万元和</w:t>
      </w:r>
      <w:r w:rsidRPr="00B4515A">
        <w:rPr>
          <w:color w:val="000000"/>
        </w:rPr>
        <w:t>8,049.83</w:t>
      </w:r>
      <w:r w:rsidRPr="00B4515A">
        <w:rPr>
          <w:rFonts w:hint="eastAsia"/>
        </w:rPr>
        <w:t>万元，分别占当期负债总额的比例为</w:t>
      </w:r>
      <w:r w:rsidRPr="00B4515A">
        <w:rPr>
          <w:color w:val="000000"/>
        </w:rPr>
        <w:t>6.14%</w:t>
      </w:r>
      <w:r w:rsidRPr="00B4515A">
        <w:rPr>
          <w:rFonts w:hint="eastAsia"/>
          <w:color w:val="000000"/>
        </w:rPr>
        <w:t>、</w:t>
      </w:r>
      <w:r w:rsidRPr="00B4515A">
        <w:rPr>
          <w:color w:val="000000"/>
        </w:rPr>
        <w:t>11.01%</w:t>
      </w:r>
      <w:r w:rsidRPr="00B4515A">
        <w:rPr>
          <w:rFonts w:hint="eastAsia"/>
          <w:color w:val="000000"/>
        </w:rPr>
        <w:t>。</w:t>
      </w:r>
      <w:r w:rsidRPr="00B4515A">
        <w:t>2020</w:t>
      </w:r>
      <w:r w:rsidRPr="00B4515A">
        <w:rPr>
          <w:rFonts w:hint="eastAsia"/>
        </w:rPr>
        <w:t>年末合同负债相对</w:t>
      </w:r>
      <w:r w:rsidRPr="00B4515A">
        <w:t>2019</w:t>
      </w:r>
      <w:r w:rsidRPr="00B4515A">
        <w:rPr>
          <w:rFonts w:hint="eastAsia"/>
        </w:rPr>
        <w:t>年末预收款项余额基本保持一致。</w:t>
      </w:r>
      <w:r w:rsidRPr="00B4515A">
        <w:t>2021</w:t>
      </w:r>
      <w:r w:rsidRPr="00B4515A">
        <w:rPr>
          <w:rFonts w:hint="eastAsia"/>
        </w:rPr>
        <w:t>年</w:t>
      </w:r>
      <w:r w:rsidRPr="00B4515A">
        <w:t>4</w:t>
      </w:r>
      <w:r w:rsidRPr="00B4515A">
        <w:rPr>
          <w:rFonts w:hint="eastAsia"/>
        </w:rPr>
        <w:t>月末合同负债余额较</w:t>
      </w:r>
      <w:r w:rsidRPr="00B4515A">
        <w:t>2020</w:t>
      </w:r>
      <w:r w:rsidRPr="00B4515A">
        <w:rPr>
          <w:rFonts w:hint="eastAsia"/>
        </w:rPr>
        <w:t>年末增长</w:t>
      </w:r>
      <w:r w:rsidRPr="00B4515A">
        <w:rPr>
          <w:color w:val="000000"/>
        </w:rPr>
        <w:t>93.94%</w:t>
      </w:r>
      <w:r w:rsidRPr="00B4515A">
        <w:rPr>
          <w:rFonts w:hint="eastAsia"/>
          <w:color w:val="000000"/>
        </w:rPr>
        <w:t>，主要系大唐联诚</w:t>
      </w:r>
      <w:r w:rsidRPr="00B4515A">
        <w:rPr>
          <w:color w:val="000000"/>
        </w:rPr>
        <w:t>2021</w:t>
      </w:r>
      <w:r w:rsidRPr="00B4515A">
        <w:rPr>
          <w:rFonts w:hint="eastAsia"/>
          <w:color w:val="000000"/>
        </w:rPr>
        <w:t>年初收到客户预付款作为项目启动资金所致。</w:t>
      </w:r>
    </w:p>
    <w:p w14:paraId="16827585" w14:textId="77777777" w:rsidR="006416B0" w:rsidRPr="00B4515A" w:rsidRDefault="005E58C1" w:rsidP="003357B7">
      <w:pPr>
        <w:pStyle w:val="005"/>
        <w:spacing w:before="120" w:after="120"/>
        <w:ind w:firstLine="480"/>
      </w:pPr>
      <w:r w:rsidRPr="00B4515A">
        <w:rPr>
          <w:rFonts w:hint="eastAsia"/>
        </w:rPr>
        <w:t>（</w:t>
      </w:r>
      <w:r w:rsidRPr="00B4515A">
        <w:rPr>
          <w:rFonts w:hint="eastAsia"/>
        </w:rPr>
        <w:t>4</w:t>
      </w:r>
      <w:r w:rsidRPr="00B4515A">
        <w:rPr>
          <w:rFonts w:hint="eastAsia"/>
        </w:rPr>
        <w:t>）应付职工薪酬</w:t>
      </w:r>
    </w:p>
    <w:p w14:paraId="25E31B73" w14:textId="77777777" w:rsidR="006416B0" w:rsidRPr="00B4515A" w:rsidRDefault="005E58C1" w:rsidP="003357B7">
      <w:pPr>
        <w:pStyle w:val="005"/>
        <w:spacing w:before="120" w:after="120"/>
        <w:ind w:firstLine="480"/>
      </w:pPr>
      <w:r w:rsidRPr="00B4515A">
        <w:rPr>
          <w:rFonts w:hint="eastAsia"/>
        </w:rPr>
        <w:t>按应付职工薪酬余额的性质划分，报告期各期末应付职工薪酬构成如下：</w:t>
      </w:r>
    </w:p>
    <w:p w14:paraId="14A0E418" w14:textId="77777777" w:rsidR="006416B0" w:rsidRPr="00B4515A" w:rsidRDefault="005E58C1" w:rsidP="003357B7">
      <w:pPr>
        <w:pStyle w:val="009"/>
      </w:pPr>
      <w:r w:rsidRPr="00B4515A">
        <w:rPr>
          <w:rFonts w:hint="eastAsia"/>
        </w:rPr>
        <w:lastRenderedPageBreak/>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04"/>
        <w:gridCol w:w="2185"/>
        <w:gridCol w:w="2274"/>
        <w:gridCol w:w="2265"/>
      </w:tblGrid>
      <w:tr w:rsidR="006416B0" w:rsidRPr="00B4515A" w14:paraId="015B8297" w14:textId="77777777" w:rsidTr="003357B7">
        <w:trPr>
          <w:trHeight w:val="340"/>
          <w:tblHeader/>
          <w:jc w:val="center"/>
        </w:trPr>
        <w:tc>
          <w:tcPr>
            <w:tcW w:w="1058" w:type="pct"/>
            <w:shd w:val="clear" w:color="auto" w:fill="auto"/>
            <w:tcMar>
              <w:top w:w="0" w:type="dxa"/>
              <w:left w:w="108" w:type="dxa"/>
              <w:bottom w:w="0" w:type="dxa"/>
              <w:right w:w="108" w:type="dxa"/>
            </w:tcMar>
            <w:vAlign w:val="center"/>
          </w:tcPr>
          <w:p w14:paraId="7B5B33F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1281" w:type="pct"/>
            <w:shd w:val="clear" w:color="auto" w:fill="auto"/>
            <w:tcMar>
              <w:top w:w="0" w:type="dxa"/>
              <w:left w:w="108" w:type="dxa"/>
              <w:bottom w:w="0" w:type="dxa"/>
              <w:right w:w="108" w:type="dxa"/>
            </w:tcMar>
            <w:vAlign w:val="center"/>
          </w:tcPr>
          <w:p w14:paraId="74E5CDB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2021.4.30</w:t>
            </w:r>
          </w:p>
        </w:tc>
        <w:tc>
          <w:tcPr>
            <w:tcW w:w="1333" w:type="pct"/>
            <w:shd w:val="clear" w:color="auto" w:fill="auto"/>
            <w:tcMar>
              <w:top w:w="0" w:type="dxa"/>
              <w:left w:w="108" w:type="dxa"/>
              <w:bottom w:w="0" w:type="dxa"/>
              <w:right w:w="108" w:type="dxa"/>
            </w:tcMar>
            <w:vAlign w:val="center"/>
          </w:tcPr>
          <w:p w14:paraId="2F10F16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2020.12.31</w:t>
            </w:r>
          </w:p>
        </w:tc>
        <w:tc>
          <w:tcPr>
            <w:tcW w:w="1328" w:type="pct"/>
            <w:shd w:val="clear" w:color="auto" w:fill="auto"/>
            <w:tcMar>
              <w:top w:w="0" w:type="dxa"/>
              <w:left w:w="108" w:type="dxa"/>
              <w:bottom w:w="0" w:type="dxa"/>
              <w:right w:w="108" w:type="dxa"/>
            </w:tcMar>
            <w:vAlign w:val="center"/>
          </w:tcPr>
          <w:p w14:paraId="380A61E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2019.12.31</w:t>
            </w:r>
          </w:p>
        </w:tc>
      </w:tr>
      <w:tr w:rsidR="003C3945" w:rsidRPr="00B4515A" w14:paraId="5979A2C0" w14:textId="77777777" w:rsidTr="00031627">
        <w:trPr>
          <w:trHeight w:val="340"/>
          <w:jc w:val="center"/>
        </w:trPr>
        <w:tc>
          <w:tcPr>
            <w:tcW w:w="1058" w:type="pct"/>
            <w:shd w:val="clear" w:color="auto" w:fill="auto"/>
            <w:tcMar>
              <w:top w:w="0" w:type="dxa"/>
              <w:left w:w="108" w:type="dxa"/>
              <w:bottom w:w="0" w:type="dxa"/>
              <w:right w:w="108" w:type="dxa"/>
            </w:tcMar>
            <w:vAlign w:val="center"/>
          </w:tcPr>
          <w:p w14:paraId="2EAD84E4" w14:textId="77777777" w:rsidR="003C3945" w:rsidRPr="00B4515A" w:rsidRDefault="003C3945"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短期薪酬</w:t>
            </w:r>
          </w:p>
        </w:tc>
        <w:tc>
          <w:tcPr>
            <w:tcW w:w="1281" w:type="pct"/>
            <w:shd w:val="clear" w:color="auto" w:fill="auto"/>
            <w:tcMar>
              <w:top w:w="0" w:type="dxa"/>
              <w:left w:w="108" w:type="dxa"/>
              <w:bottom w:w="0" w:type="dxa"/>
              <w:right w:w="108" w:type="dxa"/>
            </w:tcMar>
            <w:vAlign w:val="center"/>
          </w:tcPr>
          <w:p w14:paraId="51CFF4D9" w14:textId="568AF8E9" w:rsidR="003C3945" w:rsidRPr="00B4515A" w:rsidRDefault="003C3945"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4,046.66</w:t>
            </w:r>
          </w:p>
        </w:tc>
        <w:tc>
          <w:tcPr>
            <w:tcW w:w="1333" w:type="pct"/>
            <w:shd w:val="clear" w:color="auto" w:fill="auto"/>
            <w:tcMar>
              <w:top w:w="0" w:type="dxa"/>
              <w:left w:w="108" w:type="dxa"/>
              <w:bottom w:w="0" w:type="dxa"/>
              <w:right w:w="108" w:type="dxa"/>
            </w:tcMar>
            <w:vAlign w:val="center"/>
          </w:tcPr>
          <w:p w14:paraId="31F0FBE4" w14:textId="77777777" w:rsidR="003C3945" w:rsidRPr="00B4515A" w:rsidRDefault="003C3945"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4,158.72</w:t>
            </w:r>
          </w:p>
        </w:tc>
        <w:tc>
          <w:tcPr>
            <w:tcW w:w="1328" w:type="pct"/>
            <w:shd w:val="clear" w:color="auto" w:fill="auto"/>
            <w:tcMar>
              <w:top w:w="0" w:type="dxa"/>
              <w:left w:w="108" w:type="dxa"/>
              <w:bottom w:w="0" w:type="dxa"/>
              <w:right w:w="108" w:type="dxa"/>
            </w:tcMar>
            <w:vAlign w:val="center"/>
          </w:tcPr>
          <w:p w14:paraId="04FC2DE7" w14:textId="2C7BE900" w:rsidR="003C3945" w:rsidRPr="00B4515A" w:rsidRDefault="003C3945"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3,561.70</w:t>
            </w:r>
          </w:p>
        </w:tc>
      </w:tr>
      <w:tr w:rsidR="003C3945" w:rsidRPr="00B4515A" w14:paraId="29083821" w14:textId="77777777" w:rsidTr="00031627">
        <w:trPr>
          <w:trHeight w:val="340"/>
          <w:jc w:val="center"/>
        </w:trPr>
        <w:tc>
          <w:tcPr>
            <w:tcW w:w="1058" w:type="pct"/>
            <w:shd w:val="clear" w:color="auto" w:fill="auto"/>
            <w:tcMar>
              <w:top w:w="0" w:type="dxa"/>
              <w:left w:w="108" w:type="dxa"/>
              <w:bottom w:w="0" w:type="dxa"/>
              <w:right w:w="108" w:type="dxa"/>
            </w:tcMar>
            <w:vAlign w:val="center"/>
          </w:tcPr>
          <w:p w14:paraId="2A65838E" w14:textId="77777777" w:rsidR="003C3945" w:rsidRPr="00B4515A" w:rsidRDefault="003C3945"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离职后福利</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设定提存计划</w:t>
            </w:r>
          </w:p>
        </w:tc>
        <w:tc>
          <w:tcPr>
            <w:tcW w:w="1281" w:type="pct"/>
            <w:shd w:val="clear" w:color="auto" w:fill="auto"/>
            <w:tcMar>
              <w:top w:w="0" w:type="dxa"/>
              <w:left w:w="108" w:type="dxa"/>
              <w:bottom w:w="0" w:type="dxa"/>
              <w:right w:w="108" w:type="dxa"/>
            </w:tcMar>
            <w:vAlign w:val="center"/>
          </w:tcPr>
          <w:p w14:paraId="1374B654" w14:textId="28A65D1F" w:rsidR="003C3945" w:rsidRPr="00B4515A" w:rsidRDefault="003C3945"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143.96</w:t>
            </w:r>
          </w:p>
        </w:tc>
        <w:tc>
          <w:tcPr>
            <w:tcW w:w="1333" w:type="pct"/>
            <w:shd w:val="clear" w:color="auto" w:fill="auto"/>
            <w:tcMar>
              <w:top w:w="0" w:type="dxa"/>
              <w:left w:w="108" w:type="dxa"/>
              <w:bottom w:w="0" w:type="dxa"/>
              <w:right w:w="108" w:type="dxa"/>
            </w:tcMar>
            <w:vAlign w:val="center"/>
          </w:tcPr>
          <w:p w14:paraId="7F8382E3" w14:textId="77777777" w:rsidR="003C3945" w:rsidRPr="00B4515A" w:rsidRDefault="003C3945"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67.61</w:t>
            </w:r>
          </w:p>
        </w:tc>
        <w:tc>
          <w:tcPr>
            <w:tcW w:w="1328" w:type="pct"/>
            <w:shd w:val="clear" w:color="auto" w:fill="auto"/>
            <w:tcMar>
              <w:top w:w="0" w:type="dxa"/>
              <w:left w:w="108" w:type="dxa"/>
              <w:bottom w:w="0" w:type="dxa"/>
              <w:right w:w="108" w:type="dxa"/>
            </w:tcMar>
            <w:vAlign w:val="center"/>
          </w:tcPr>
          <w:p w14:paraId="73413E84" w14:textId="114F49FA" w:rsidR="003C3945" w:rsidRPr="00B4515A" w:rsidRDefault="003C3945"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115.68</w:t>
            </w:r>
          </w:p>
        </w:tc>
      </w:tr>
      <w:tr w:rsidR="003C3945" w:rsidRPr="00B4515A" w14:paraId="1BD1B0EA" w14:textId="77777777" w:rsidTr="00031627">
        <w:trPr>
          <w:trHeight w:val="340"/>
          <w:jc w:val="center"/>
        </w:trPr>
        <w:tc>
          <w:tcPr>
            <w:tcW w:w="1058" w:type="pct"/>
            <w:shd w:val="clear" w:color="auto" w:fill="auto"/>
            <w:tcMar>
              <w:top w:w="0" w:type="dxa"/>
              <w:left w:w="108" w:type="dxa"/>
              <w:bottom w:w="0" w:type="dxa"/>
              <w:right w:w="108" w:type="dxa"/>
            </w:tcMar>
            <w:vAlign w:val="center"/>
          </w:tcPr>
          <w:p w14:paraId="3B5E0C4D" w14:textId="77777777" w:rsidR="003C3945" w:rsidRPr="00B4515A" w:rsidRDefault="003C3945"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辞退福利</w:t>
            </w:r>
          </w:p>
        </w:tc>
        <w:tc>
          <w:tcPr>
            <w:tcW w:w="1281" w:type="pct"/>
            <w:shd w:val="clear" w:color="auto" w:fill="auto"/>
            <w:tcMar>
              <w:top w:w="0" w:type="dxa"/>
              <w:left w:w="108" w:type="dxa"/>
              <w:bottom w:w="0" w:type="dxa"/>
              <w:right w:w="108" w:type="dxa"/>
            </w:tcMar>
            <w:vAlign w:val="center"/>
          </w:tcPr>
          <w:p w14:paraId="220AB64C" w14:textId="29D5BBE3" w:rsidR="003C3945" w:rsidRPr="00B4515A" w:rsidRDefault="003C3945"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1333" w:type="pct"/>
            <w:shd w:val="clear" w:color="auto" w:fill="auto"/>
            <w:tcMar>
              <w:top w:w="0" w:type="dxa"/>
              <w:left w:w="108" w:type="dxa"/>
              <w:bottom w:w="0" w:type="dxa"/>
              <w:right w:w="108" w:type="dxa"/>
            </w:tcMar>
            <w:vAlign w:val="center"/>
          </w:tcPr>
          <w:p w14:paraId="100050A9" w14:textId="77777777" w:rsidR="003C3945" w:rsidRPr="00B4515A" w:rsidRDefault="003C3945"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1328" w:type="pct"/>
            <w:shd w:val="clear" w:color="auto" w:fill="auto"/>
            <w:tcMar>
              <w:top w:w="0" w:type="dxa"/>
              <w:left w:w="108" w:type="dxa"/>
              <w:bottom w:w="0" w:type="dxa"/>
              <w:right w:w="108" w:type="dxa"/>
            </w:tcMar>
            <w:vAlign w:val="center"/>
          </w:tcPr>
          <w:p w14:paraId="77232F12" w14:textId="0795B28F" w:rsidR="003C3945" w:rsidRPr="00B4515A" w:rsidRDefault="003C3945"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3C3945" w:rsidRPr="00B4515A" w14:paraId="387FBD49" w14:textId="77777777" w:rsidTr="00031627">
        <w:trPr>
          <w:trHeight w:val="340"/>
          <w:jc w:val="center"/>
        </w:trPr>
        <w:tc>
          <w:tcPr>
            <w:tcW w:w="1058" w:type="pct"/>
            <w:shd w:val="clear" w:color="auto" w:fill="auto"/>
            <w:tcMar>
              <w:top w:w="0" w:type="dxa"/>
              <w:left w:w="108" w:type="dxa"/>
              <w:bottom w:w="0" w:type="dxa"/>
              <w:right w:w="108" w:type="dxa"/>
            </w:tcMar>
            <w:vAlign w:val="center"/>
          </w:tcPr>
          <w:p w14:paraId="567CBFB9" w14:textId="77777777" w:rsidR="003C3945" w:rsidRPr="00B4515A" w:rsidRDefault="003C3945"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一年内到期的其他福利</w:t>
            </w:r>
          </w:p>
        </w:tc>
        <w:tc>
          <w:tcPr>
            <w:tcW w:w="1281" w:type="pct"/>
            <w:shd w:val="clear" w:color="auto" w:fill="auto"/>
            <w:tcMar>
              <w:top w:w="0" w:type="dxa"/>
              <w:left w:w="108" w:type="dxa"/>
              <w:bottom w:w="0" w:type="dxa"/>
              <w:right w:w="108" w:type="dxa"/>
            </w:tcMar>
            <w:vAlign w:val="center"/>
          </w:tcPr>
          <w:p w14:paraId="0AD3F753" w14:textId="14EFC92E" w:rsidR="003C3945" w:rsidRPr="00B4515A" w:rsidRDefault="003C3945"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1333" w:type="pct"/>
            <w:shd w:val="clear" w:color="auto" w:fill="auto"/>
            <w:tcMar>
              <w:top w:w="0" w:type="dxa"/>
              <w:left w:w="108" w:type="dxa"/>
              <w:bottom w:w="0" w:type="dxa"/>
              <w:right w:w="108" w:type="dxa"/>
            </w:tcMar>
            <w:vAlign w:val="center"/>
          </w:tcPr>
          <w:p w14:paraId="00C3D9D6" w14:textId="77777777" w:rsidR="003C3945" w:rsidRPr="00B4515A" w:rsidRDefault="003C3945"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1328" w:type="pct"/>
            <w:shd w:val="clear" w:color="auto" w:fill="auto"/>
            <w:tcMar>
              <w:top w:w="0" w:type="dxa"/>
              <w:left w:w="108" w:type="dxa"/>
              <w:bottom w:w="0" w:type="dxa"/>
              <w:right w:w="108" w:type="dxa"/>
            </w:tcMar>
            <w:vAlign w:val="center"/>
          </w:tcPr>
          <w:p w14:paraId="7488A06F" w14:textId="4E05AA26" w:rsidR="003C3945" w:rsidRPr="00B4515A" w:rsidRDefault="003C3945"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3C3945" w:rsidRPr="00B4515A" w14:paraId="34AC4ABB" w14:textId="77777777" w:rsidTr="00031627">
        <w:trPr>
          <w:trHeight w:val="340"/>
          <w:jc w:val="center"/>
        </w:trPr>
        <w:tc>
          <w:tcPr>
            <w:tcW w:w="1058" w:type="pct"/>
            <w:shd w:val="clear" w:color="auto" w:fill="auto"/>
            <w:tcMar>
              <w:top w:w="0" w:type="dxa"/>
              <w:left w:w="108" w:type="dxa"/>
              <w:bottom w:w="0" w:type="dxa"/>
              <w:right w:w="108" w:type="dxa"/>
            </w:tcMar>
            <w:vAlign w:val="center"/>
          </w:tcPr>
          <w:p w14:paraId="178D5B62" w14:textId="77777777" w:rsidR="003C3945" w:rsidRPr="00B4515A" w:rsidRDefault="003C3945"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合计</w:t>
            </w:r>
          </w:p>
        </w:tc>
        <w:tc>
          <w:tcPr>
            <w:tcW w:w="1281" w:type="pct"/>
            <w:shd w:val="clear" w:color="auto" w:fill="auto"/>
            <w:tcMar>
              <w:top w:w="0" w:type="dxa"/>
              <w:left w:w="108" w:type="dxa"/>
              <w:bottom w:w="0" w:type="dxa"/>
              <w:right w:w="108" w:type="dxa"/>
            </w:tcMar>
            <w:vAlign w:val="center"/>
          </w:tcPr>
          <w:p w14:paraId="24F78B7B" w14:textId="4A5D55BC" w:rsidR="003C3945" w:rsidRPr="00B4515A" w:rsidRDefault="003C3945"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4,190.62</w:t>
            </w:r>
          </w:p>
        </w:tc>
        <w:tc>
          <w:tcPr>
            <w:tcW w:w="1333" w:type="pct"/>
            <w:shd w:val="clear" w:color="auto" w:fill="auto"/>
            <w:tcMar>
              <w:top w:w="0" w:type="dxa"/>
              <w:left w:w="108" w:type="dxa"/>
              <w:bottom w:w="0" w:type="dxa"/>
              <w:right w:w="108" w:type="dxa"/>
            </w:tcMar>
            <w:vAlign w:val="center"/>
          </w:tcPr>
          <w:p w14:paraId="47AEAF19" w14:textId="77777777" w:rsidR="003C3945" w:rsidRPr="00B4515A" w:rsidRDefault="003C3945"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4,226.33</w:t>
            </w:r>
          </w:p>
        </w:tc>
        <w:tc>
          <w:tcPr>
            <w:tcW w:w="1328" w:type="pct"/>
            <w:shd w:val="clear" w:color="auto" w:fill="auto"/>
            <w:tcMar>
              <w:top w:w="0" w:type="dxa"/>
              <w:left w:w="108" w:type="dxa"/>
              <w:bottom w:w="0" w:type="dxa"/>
              <w:right w:w="108" w:type="dxa"/>
            </w:tcMar>
            <w:vAlign w:val="center"/>
          </w:tcPr>
          <w:p w14:paraId="13801B84" w14:textId="79AEF6A5" w:rsidR="003C3945" w:rsidRPr="00B4515A" w:rsidRDefault="003C3945"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3,677.38</w:t>
            </w:r>
          </w:p>
        </w:tc>
      </w:tr>
    </w:tbl>
    <w:p w14:paraId="50BBAF1D" w14:textId="2BBBD121" w:rsidR="006416B0" w:rsidRPr="00B4515A" w:rsidRDefault="00070A24" w:rsidP="003357B7">
      <w:pPr>
        <w:pStyle w:val="005"/>
        <w:spacing w:before="120" w:after="120"/>
        <w:ind w:firstLine="480"/>
      </w:pPr>
      <w:r w:rsidRPr="00B4515A">
        <w:rPr>
          <w:rFonts w:hint="eastAsia"/>
        </w:rPr>
        <w:t>2</w:t>
      </w:r>
      <w:r w:rsidRPr="00B4515A">
        <w:t>019</w:t>
      </w:r>
      <w:r w:rsidRPr="00B4515A">
        <w:rPr>
          <w:rFonts w:hint="eastAsia"/>
        </w:rPr>
        <w:t>年末、</w:t>
      </w:r>
      <w:r w:rsidRPr="00B4515A">
        <w:rPr>
          <w:rFonts w:hint="eastAsia"/>
        </w:rPr>
        <w:t>2</w:t>
      </w:r>
      <w:r w:rsidRPr="00B4515A">
        <w:t>020</w:t>
      </w:r>
      <w:r w:rsidRPr="00B4515A">
        <w:rPr>
          <w:rFonts w:hint="eastAsia"/>
        </w:rPr>
        <w:t>年末及</w:t>
      </w:r>
      <w:r w:rsidRPr="00B4515A">
        <w:rPr>
          <w:rFonts w:hint="eastAsia"/>
        </w:rPr>
        <w:t>2</w:t>
      </w:r>
      <w:r w:rsidRPr="00B4515A">
        <w:t>021</w:t>
      </w:r>
      <w:r w:rsidRPr="00B4515A">
        <w:rPr>
          <w:rFonts w:hint="eastAsia"/>
        </w:rPr>
        <w:t>年</w:t>
      </w:r>
      <w:r w:rsidRPr="00B4515A">
        <w:rPr>
          <w:rFonts w:hint="eastAsia"/>
        </w:rPr>
        <w:t>4</w:t>
      </w:r>
      <w:r w:rsidRPr="00B4515A">
        <w:rPr>
          <w:rFonts w:hint="eastAsia"/>
        </w:rPr>
        <w:t>月末</w:t>
      </w:r>
      <w:r w:rsidR="005E58C1" w:rsidRPr="00B4515A">
        <w:rPr>
          <w:rFonts w:hint="eastAsia"/>
        </w:rPr>
        <w:t>，大唐联诚应付职工薪酬余额分别为</w:t>
      </w:r>
      <w:r w:rsidR="003C3945" w:rsidRPr="00B4515A">
        <w:t>3,677.38</w:t>
      </w:r>
      <w:r w:rsidR="005E58C1" w:rsidRPr="00B4515A">
        <w:rPr>
          <w:rFonts w:hint="eastAsia"/>
        </w:rPr>
        <w:t>万元、</w:t>
      </w:r>
      <w:r w:rsidR="005E58C1" w:rsidRPr="00B4515A">
        <w:t>4,226.33</w:t>
      </w:r>
      <w:r w:rsidR="005E58C1" w:rsidRPr="00B4515A">
        <w:rPr>
          <w:rFonts w:hint="eastAsia"/>
        </w:rPr>
        <w:t>万元和</w:t>
      </w:r>
      <w:r w:rsidR="003C3945" w:rsidRPr="00B4515A">
        <w:t>4,190.62</w:t>
      </w:r>
      <w:r w:rsidR="005E58C1" w:rsidRPr="00B4515A">
        <w:rPr>
          <w:rFonts w:hint="eastAsia"/>
        </w:rPr>
        <w:t>万元，占当期负债总额的比例分别为</w:t>
      </w:r>
      <w:r w:rsidR="005E58C1" w:rsidRPr="00B4515A">
        <w:t>4.11%</w:t>
      </w:r>
      <w:r w:rsidR="005E58C1" w:rsidRPr="00B4515A">
        <w:rPr>
          <w:rFonts w:hint="eastAsia"/>
        </w:rPr>
        <w:t>、</w:t>
      </w:r>
      <w:r w:rsidR="005E58C1" w:rsidRPr="00B4515A">
        <w:t>6.25%</w:t>
      </w:r>
      <w:r w:rsidR="005E58C1" w:rsidRPr="00B4515A">
        <w:rPr>
          <w:rFonts w:hint="eastAsia"/>
        </w:rPr>
        <w:t>、</w:t>
      </w:r>
      <w:r w:rsidR="005E58C1" w:rsidRPr="00B4515A">
        <w:t>5.73%</w:t>
      </w:r>
      <w:r w:rsidR="005E58C1" w:rsidRPr="00B4515A">
        <w:rPr>
          <w:rFonts w:hint="eastAsia"/>
        </w:rPr>
        <w:t>，主要为当期已计提但尚未发放的工资和奖金。</w:t>
      </w:r>
    </w:p>
    <w:p w14:paraId="4B39DACE" w14:textId="77777777" w:rsidR="006416B0" w:rsidRPr="00B4515A" w:rsidRDefault="005E58C1" w:rsidP="003357B7">
      <w:pPr>
        <w:pStyle w:val="005"/>
        <w:spacing w:before="120" w:after="120"/>
        <w:ind w:firstLine="480"/>
      </w:pPr>
      <w:r w:rsidRPr="00B4515A">
        <w:rPr>
          <w:rFonts w:hint="eastAsia"/>
        </w:rPr>
        <w:t>（</w:t>
      </w:r>
      <w:r w:rsidRPr="00B4515A">
        <w:rPr>
          <w:rFonts w:hint="eastAsia"/>
        </w:rPr>
        <w:t>5</w:t>
      </w:r>
      <w:r w:rsidRPr="00B4515A">
        <w:rPr>
          <w:rFonts w:hint="eastAsia"/>
        </w:rPr>
        <w:t>）租赁负债</w:t>
      </w:r>
    </w:p>
    <w:p w14:paraId="058BE090" w14:textId="77777777" w:rsidR="006416B0" w:rsidRPr="00B4515A" w:rsidRDefault="005E58C1">
      <w:pPr>
        <w:keepNext/>
        <w:jc w:val="right"/>
        <w:rPr>
          <w:sz w:val="21"/>
          <w:szCs w:val="21"/>
        </w:rPr>
      </w:pPr>
      <w:r w:rsidRPr="00B4515A">
        <w:rPr>
          <w:rFonts w:hint="eastAsia"/>
          <w:sz w:val="21"/>
          <w:szCs w:val="21"/>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662"/>
        <w:gridCol w:w="5866"/>
      </w:tblGrid>
      <w:tr w:rsidR="006416B0" w:rsidRPr="00B4515A" w14:paraId="0C98AD9C" w14:textId="77777777" w:rsidTr="00031627">
        <w:trPr>
          <w:trHeight w:val="340"/>
          <w:jc w:val="center"/>
        </w:trPr>
        <w:tc>
          <w:tcPr>
            <w:tcW w:w="1561" w:type="pct"/>
            <w:shd w:val="clear" w:color="auto" w:fill="auto"/>
            <w:tcMar>
              <w:top w:w="0" w:type="dxa"/>
              <w:left w:w="108" w:type="dxa"/>
              <w:bottom w:w="0" w:type="dxa"/>
              <w:right w:w="108" w:type="dxa"/>
            </w:tcMar>
            <w:vAlign w:val="center"/>
          </w:tcPr>
          <w:p w14:paraId="6232B1FA"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项目</w:t>
            </w:r>
          </w:p>
        </w:tc>
        <w:tc>
          <w:tcPr>
            <w:tcW w:w="3439" w:type="pct"/>
            <w:shd w:val="clear" w:color="auto" w:fill="auto"/>
            <w:tcMar>
              <w:top w:w="0" w:type="dxa"/>
              <w:left w:w="108" w:type="dxa"/>
              <w:bottom w:w="0" w:type="dxa"/>
              <w:right w:w="108" w:type="dxa"/>
            </w:tcMar>
            <w:vAlign w:val="center"/>
          </w:tcPr>
          <w:p w14:paraId="4DE2B077"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2021.4.30</w:t>
            </w:r>
          </w:p>
        </w:tc>
      </w:tr>
      <w:tr w:rsidR="006416B0" w:rsidRPr="00B4515A" w14:paraId="45192E4A" w14:textId="77777777" w:rsidTr="00031627">
        <w:trPr>
          <w:trHeight w:val="340"/>
          <w:jc w:val="center"/>
        </w:trPr>
        <w:tc>
          <w:tcPr>
            <w:tcW w:w="1561" w:type="pct"/>
            <w:shd w:val="clear" w:color="auto" w:fill="auto"/>
            <w:tcMar>
              <w:top w:w="0" w:type="dxa"/>
              <w:left w:w="108" w:type="dxa"/>
              <w:bottom w:w="0" w:type="dxa"/>
              <w:right w:w="108" w:type="dxa"/>
            </w:tcMar>
            <w:vAlign w:val="center"/>
          </w:tcPr>
          <w:p w14:paraId="5848EE1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租赁付款额</w:t>
            </w:r>
          </w:p>
        </w:tc>
        <w:tc>
          <w:tcPr>
            <w:tcW w:w="3439" w:type="pct"/>
            <w:shd w:val="clear" w:color="auto" w:fill="auto"/>
            <w:tcMar>
              <w:top w:w="0" w:type="dxa"/>
              <w:left w:w="108" w:type="dxa"/>
              <w:bottom w:w="0" w:type="dxa"/>
              <w:right w:w="108" w:type="dxa"/>
            </w:tcMar>
            <w:vAlign w:val="center"/>
          </w:tcPr>
          <w:p w14:paraId="00E3FAC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5,135.66</w:t>
            </w:r>
          </w:p>
        </w:tc>
      </w:tr>
      <w:tr w:rsidR="006416B0" w:rsidRPr="00B4515A" w14:paraId="2BC49B42" w14:textId="77777777" w:rsidTr="00031627">
        <w:trPr>
          <w:trHeight w:val="340"/>
          <w:jc w:val="center"/>
        </w:trPr>
        <w:tc>
          <w:tcPr>
            <w:tcW w:w="1561" w:type="pct"/>
            <w:shd w:val="clear" w:color="auto" w:fill="auto"/>
            <w:tcMar>
              <w:top w:w="0" w:type="dxa"/>
              <w:left w:w="108" w:type="dxa"/>
              <w:bottom w:w="0" w:type="dxa"/>
              <w:right w:w="108" w:type="dxa"/>
            </w:tcMar>
            <w:vAlign w:val="center"/>
          </w:tcPr>
          <w:p w14:paraId="72119FF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减：未确认融资费用</w:t>
            </w:r>
          </w:p>
        </w:tc>
        <w:tc>
          <w:tcPr>
            <w:tcW w:w="3439" w:type="pct"/>
            <w:shd w:val="clear" w:color="auto" w:fill="auto"/>
            <w:tcMar>
              <w:top w:w="0" w:type="dxa"/>
              <w:left w:w="108" w:type="dxa"/>
              <w:bottom w:w="0" w:type="dxa"/>
              <w:right w:w="108" w:type="dxa"/>
            </w:tcMar>
            <w:vAlign w:val="center"/>
          </w:tcPr>
          <w:p w14:paraId="29332FF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781.43</w:t>
            </w:r>
          </w:p>
        </w:tc>
      </w:tr>
      <w:tr w:rsidR="006416B0" w:rsidRPr="00B4515A" w14:paraId="3E5AAC5B" w14:textId="77777777" w:rsidTr="00031627">
        <w:trPr>
          <w:trHeight w:val="340"/>
          <w:jc w:val="center"/>
        </w:trPr>
        <w:tc>
          <w:tcPr>
            <w:tcW w:w="1561" w:type="pct"/>
            <w:shd w:val="clear" w:color="auto" w:fill="auto"/>
            <w:tcMar>
              <w:top w:w="0" w:type="dxa"/>
              <w:left w:w="108" w:type="dxa"/>
              <w:bottom w:w="0" w:type="dxa"/>
              <w:right w:w="108" w:type="dxa"/>
            </w:tcMar>
            <w:vAlign w:val="center"/>
          </w:tcPr>
          <w:p w14:paraId="3084FC1C"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合计</w:t>
            </w:r>
          </w:p>
        </w:tc>
        <w:tc>
          <w:tcPr>
            <w:tcW w:w="3439" w:type="pct"/>
            <w:shd w:val="clear" w:color="auto" w:fill="auto"/>
            <w:tcMar>
              <w:top w:w="0" w:type="dxa"/>
              <w:left w:w="108" w:type="dxa"/>
              <w:bottom w:w="0" w:type="dxa"/>
              <w:right w:w="108" w:type="dxa"/>
            </w:tcMar>
            <w:vAlign w:val="center"/>
          </w:tcPr>
          <w:p w14:paraId="78C87C6F"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4,354.24</w:t>
            </w:r>
          </w:p>
        </w:tc>
      </w:tr>
    </w:tbl>
    <w:p w14:paraId="3792E69E" w14:textId="77777777" w:rsidR="006416B0" w:rsidRPr="00B4515A" w:rsidRDefault="005E58C1" w:rsidP="003357B7">
      <w:pPr>
        <w:pStyle w:val="005"/>
        <w:spacing w:before="120" w:after="120"/>
        <w:ind w:firstLine="480"/>
      </w:pPr>
      <w:r w:rsidRPr="00B4515A">
        <w:rPr>
          <w:rFonts w:hint="eastAsia"/>
        </w:rPr>
        <w:t>截止</w:t>
      </w:r>
      <w:r w:rsidRPr="00B4515A">
        <w:t>2021</w:t>
      </w:r>
      <w:r w:rsidRPr="00B4515A">
        <w:rPr>
          <w:rFonts w:hint="eastAsia"/>
        </w:rPr>
        <w:t>年</w:t>
      </w:r>
      <w:r w:rsidRPr="00B4515A">
        <w:t>4</w:t>
      </w:r>
      <w:r w:rsidRPr="00B4515A">
        <w:rPr>
          <w:rFonts w:hint="eastAsia"/>
        </w:rPr>
        <w:t>月末，大唐联诚租赁负债金额为</w:t>
      </w:r>
      <w:r w:rsidRPr="00B4515A">
        <w:t>4,354.24</w:t>
      </w:r>
      <w:r w:rsidRPr="00B4515A">
        <w:t>万元</w:t>
      </w:r>
      <w:r w:rsidRPr="00B4515A">
        <w:rPr>
          <w:rFonts w:hint="eastAsia"/>
        </w:rPr>
        <w:t>，</w:t>
      </w:r>
      <w:r w:rsidRPr="00B4515A">
        <w:t>主要系</w:t>
      </w:r>
      <w:r w:rsidRPr="00B4515A">
        <w:rPr>
          <w:rFonts w:hint="eastAsia"/>
        </w:rPr>
        <w:t>财政部于</w:t>
      </w:r>
      <w:r w:rsidRPr="00B4515A">
        <w:t>2018</w:t>
      </w:r>
      <w:r w:rsidRPr="00B4515A">
        <w:rPr>
          <w:rFonts w:hint="eastAsia"/>
        </w:rPr>
        <w:t>年度修订了《企业会计准则第</w:t>
      </w:r>
      <w:r w:rsidRPr="00B4515A">
        <w:t>21</w:t>
      </w:r>
      <w:r w:rsidRPr="00B4515A">
        <w:rPr>
          <w:rFonts w:hint="eastAsia"/>
        </w:rPr>
        <w:t>号——租赁》（简称</w:t>
      </w:r>
      <w:r w:rsidRPr="00B4515A">
        <w:rPr>
          <w:rFonts w:ascii="宋体" w:hAnsi="宋体" w:hint="eastAsia"/>
        </w:rPr>
        <w:t>“</w:t>
      </w:r>
      <w:r w:rsidRPr="00B4515A">
        <w:rPr>
          <w:rFonts w:hint="eastAsia"/>
        </w:rPr>
        <w:t>新租赁准则</w:t>
      </w:r>
      <w:r w:rsidRPr="00B4515A">
        <w:rPr>
          <w:rFonts w:ascii="宋体" w:hAnsi="宋体" w:hint="eastAsia"/>
        </w:rPr>
        <w:t>”</w:t>
      </w:r>
      <w:r w:rsidRPr="00B4515A">
        <w:rPr>
          <w:rFonts w:hint="eastAsia"/>
        </w:rPr>
        <w:t>），大唐联诚自</w:t>
      </w:r>
      <w:r w:rsidRPr="00B4515A">
        <w:t>2021</w:t>
      </w:r>
      <w:r w:rsidRPr="00B4515A">
        <w:rPr>
          <w:rFonts w:hint="eastAsia"/>
        </w:rPr>
        <w:t>年</w:t>
      </w:r>
      <w:r w:rsidRPr="00B4515A">
        <w:t>1</w:t>
      </w:r>
      <w:r w:rsidRPr="00B4515A">
        <w:rPr>
          <w:rFonts w:hint="eastAsia"/>
        </w:rPr>
        <w:t>月</w:t>
      </w:r>
      <w:r w:rsidRPr="00B4515A">
        <w:t>1</w:t>
      </w:r>
      <w:r w:rsidRPr="00B4515A">
        <w:rPr>
          <w:rFonts w:hint="eastAsia"/>
        </w:rPr>
        <w:t>日起执行新租赁准则所致。</w:t>
      </w:r>
    </w:p>
    <w:p w14:paraId="19A600C9" w14:textId="77777777" w:rsidR="006416B0" w:rsidRPr="00B4515A" w:rsidRDefault="005E58C1" w:rsidP="003357B7">
      <w:pPr>
        <w:pStyle w:val="004"/>
        <w:spacing w:before="120" w:after="120"/>
        <w:ind w:firstLine="482"/>
      </w:pPr>
      <w:r w:rsidRPr="00B4515A">
        <w:rPr>
          <w:rFonts w:hint="eastAsia"/>
        </w:rPr>
        <w:t>3</w:t>
      </w:r>
      <w:r w:rsidRPr="00B4515A">
        <w:rPr>
          <w:rFonts w:hint="eastAsia"/>
        </w:rPr>
        <w:t>、偿债能力分析</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70"/>
        <w:gridCol w:w="2059"/>
        <w:gridCol w:w="2280"/>
        <w:gridCol w:w="2219"/>
      </w:tblGrid>
      <w:tr w:rsidR="006416B0" w:rsidRPr="00B4515A" w14:paraId="4B1F112B" w14:textId="77777777" w:rsidTr="003357B7">
        <w:trPr>
          <w:trHeight w:val="340"/>
          <w:jc w:val="center"/>
        </w:trPr>
        <w:tc>
          <w:tcPr>
            <w:tcW w:w="1155" w:type="pct"/>
            <w:shd w:val="clear" w:color="auto" w:fill="auto"/>
            <w:tcMar>
              <w:top w:w="0" w:type="dxa"/>
              <w:left w:w="108" w:type="dxa"/>
              <w:bottom w:w="0" w:type="dxa"/>
              <w:right w:w="108" w:type="dxa"/>
            </w:tcMar>
            <w:vAlign w:val="center"/>
          </w:tcPr>
          <w:p w14:paraId="1078DA2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财务指标</w:t>
            </w:r>
          </w:p>
        </w:tc>
        <w:tc>
          <w:tcPr>
            <w:tcW w:w="1207" w:type="pct"/>
            <w:shd w:val="clear" w:color="auto" w:fill="auto"/>
            <w:tcMar>
              <w:top w:w="0" w:type="dxa"/>
              <w:left w:w="108" w:type="dxa"/>
              <w:bottom w:w="0" w:type="dxa"/>
              <w:right w:w="108" w:type="dxa"/>
            </w:tcMar>
            <w:vAlign w:val="center"/>
          </w:tcPr>
          <w:p w14:paraId="0755569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4</w:t>
            </w:r>
            <w:r w:rsidRPr="00B4515A">
              <w:rPr>
                <w:rFonts w:ascii="Times New Roman" w:eastAsiaTheme="minorEastAsia" w:hAnsi="Times New Roman" w:cs="Times New Roman" w:hint="eastAsia"/>
                <w:b/>
                <w:bCs/>
                <w:color w:val="000000"/>
                <w:sz w:val="21"/>
                <w:szCs w:val="21"/>
              </w:rPr>
              <w:t>月</w:t>
            </w:r>
            <w:r w:rsidRPr="00B4515A">
              <w:rPr>
                <w:rFonts w:ascii="Times New Roman" w:eastAsiaTheme="minorEastAsia" w:hAnsi="Times New Roman" w:cs="Times New Roman"/>
                <w:b/>
                <w:bCs/>
                <w:color w:val="000000"/>
                <w:sz w:val="21"/>
                <w:szCs w:val="21"/>
              </w:rPr>
              <w:t>30</w:t>
            </w:r>
            <w:r w:rsidRPr="00B4515A">
              <w:rPr>
                <w:rFonts w:ascii="Times New Roman" w:eastAsiaTheme="minorEastAsia" w:hAnsi="Times New Roman" w:cs="Times New Roman" w:hint="eastAsia"/>
                <w:b/>
                <w:bCs/>
                <w:color w:val="000000"/>
                <w:sz w:val="21"/>
                <w:szCs w:val="21"/>
              </w:rPr>
              <w:t>日</w:t>
            </w:r>
          </w:p>
        </w:tc>
        <w:tc>
          <w:tcPr>
            <w:tcW w:w="1337" w:type="pct"/>
            <w:shd w:val="clear" w:color="auto" w:fill="auto"/>
            <w:tcMar>
              <w:top w:w="0" w:type="dxa"/>
              <w:left w:w="108" w:type="dxa"/>
              <w:bottom w:w="0" w:type="dxa"/>
              <w:right w:w="108" w:type="dxa"/>
            </w:tcMar>
            <w:vAlign w:val="center"/>
          </w:tcPr>
          <w:p w14:paraId="6FE8C66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2020 </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 xml:space="preserve"> 12 </w:t>
            </w:r>
            <w:r w:rsidRPr="00B4515A">
              <w:rPr>
                <w:rFonts w:ascii="Times New Roman" w:eastAsiaTheme="minorEastAsia" w:hAnsi="Times New Roman" w:cs="Times New Roman" w:hint="eastAsia"/>
                <w:b/>
                <w:bCs/>
                <w:color w:val="000000"/>
                <w:sz w:val="21"/>
                <w:szCs w:val="21"/>
              </w:rPr>
              <w:t>月</w:t>
            </w:r>
            <w:r w:rsidRPr="00B4515A">
              <w:rPr>
                <w:rFonts w:ascii="Times New Roman" w:eastAsiaTheme="minorEastAsia" w:hAnsi="Times New Roman" w:cs="Times New Roman"/>
                <w:b/>
                <w:bCs/>
                <w:color w:val="000000"/>
                <w:sz w:val="21"/>
                <w:szCs w:val="21"/>
              </w:rPr>
              <w:t xml:space="preserve"> 31 </w:t>
            </w:r>
            <w:r w:rsidRPr="00B4515A">
              <w:rPr>
                <w:rFonts w:ascii="Times New Roman" w:eastAsiaTheme="minorEastAsia" w:hAnsi="Times New Roman" w:cs="Times New Roman" w:hint="eastAsia"/>
                <w:b/>
                <w:bCs/>
                <w:color w:val="000000"/>
                <w:sz w:val="21"/>
                <w:szCs w:val="21"/>
              </w:rPr>
              <w:t>日</w:t>
            </w:r>
          </w:p>
        </w:tc>
        <w:tc>
          <w:tcPr>
            <w:tcW w:w="1301" w:type="pct"/>
            <w:shd w:val="clear" w:color="auto" w:fill="auto"/>
            <w:tcMar>
              <w:top w:w="0" w:type="dxa"/>
              <w:left w:w="108" w:type="dxa"/>
              <w:bottom w:w="0" w:type="dxa"/>
              <w:right w:w="108" w:type="dxa"/>
            </w:tcMar>
            <w:vAlign w:val="center"/>
          </w:tcPr>
          <w:p w14:paraId="501184C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2019 </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 xml:space="preserve"> 12 </w:t>
            </w:r>
            <w:r w:rsidRPr="00B4515A">
              <w:rPr>
                <w:rFonts w:ascii="Times New Roman" w:eastAsiaTheme="minorEastAsia" w:hAnsi="Times New Roman" w:cs="Times New Roman" w:hint="eastAsia"/>
                <w:b/>
                <w:bCs/>
                <w:color w:val="000000"/>
                <w:sz w:val="21"/>
                <w:szCs w:val="21"/>
              </w:rPr>
              <w:t>月</w:t>
            </w:r>
            <w:r w:rsidRPr="00B4515A">
              <w:rPr>
                <w:rFonts w:ascii="Times New Roman" w:eastAsiaTheme="minorEastAsia" w:hAnsi="Times New Roman" w:cs="Times New Roman"/>
                <w:b/>
                <w:bCs/>
                <w:color w:val="000000"/>
                <w:sz w:val="21"/>
                <w:szCs w:val="21"/>
              </w:rPr>
              <w:t xml:space="preserve"> 31 </w:t>
            </w:r>
            <w:r w:rsidRPr="00B4515A">
              <w:rPr>
                <w:rFonts w:ascii="Times New Roman" w:eastAsiaTheme="minorEastAsia" w:hAnsi="Times New Roman" w:cs="Times New Roman" w:hint="eastAsia"/>
                <w:b/>
                <w:bCs/>
                <w:color w:val="000000"/>
                <w:sz w:val="21"/>
                <w:szCs w:val="21"/>
              </w:rPr>
              <w:t>日</w:t>
            </w:r>
          </w:p>
        </w:tc>
      </w:tr>
      <w:tr w:rsidR="006416B0" w:rsidRPr="00B4515A" w14:paraId="059FFB4C" w14:textId="77777777" w:rsidTr="003357B7">
        <w:trPr>
          <w:trHeight w:val="340"/>
          <w:jc w:val="center"/>
        </w:trPr>
        <w:tc>
          <w:tcPr>
            <w:tcW w:w="1155" w:type="pct"/>
            <w:shd w:val="clear" w:color="auto" w:fill="auto"/>
            <w:tcMar>
              <w:top w:w="0" w:type="dxa"/>
              <w:left w:w="108" w:type="dxa"/>
              <w:bottom w:w="0" w:type="dxa"/>
              <w:right w:w="108" w:type="dxa"/>
            </w:tcMar>
            <w:vAlign w:val="center"/>
          </w:tcPr>
          <w:p w14:paraId="01E280C8" w14:textId="2F4B4202"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hint="eastAsia"/>
                <w:color w:val="000000"/>
                <w:sz w:val="21"/>
                <w:szCs w:val="21"/>
              </w:rPr>
              <w:t>资产负债率</w:t>
            </w:r>
          </w:p>
        </w:tc>
        <w:tc>
          <w:tcPr>
            <w:tcW w:w="1207" w:type="pct"/>
            <w:shd w:val="clear" w:color="auto" w:fill="auto"/>
            <w:tcMar>
              <w:top w:w="0" w:type="dxa"/>
              <w:left w:w="108" w:type="dxa"/>
              <w:bottom w:w="0" w:type="dxa"/>
              <w:right w:w="108" w:type="dxa"/>
            </w:tcMar>
            <w:vAlign w:val="center"/>
          </w:tcPr>
          <w:p w14:paraId="69732A2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48.54%</w:t>
            </w:r>
          </w:p>
        </w:tc>
        <w:tc>
          <w:tcPr>
            <w:tcW w:w="1337" w:type="pct"/>
            <w:shd w:val="clear" w:color="auto" w:fill="auto"/>
            <w:tcMar>
              <w:top w:w="0" w:type="dxa"/>
              <w:left w:w="108" w:type="dxa"/>
              <w:bottom w:w="0" w:type="dxa"/>
              <w:right w:w="108" w:type="dxa"/>
            </w:tcMar>
            <w:vAlign w:val="center"/>
          </w:tcPr>
          <w:p w14:paraId="0226296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77.53%</w:t>
            </w:r>
          </w:p>
        </w:tc>
        <w:tc>
          <w:tcPr>
            <w:tcW w:w="1301" w:type="pct"/>
            <w:shd w:val="clear" w:color="auto" w:fill="auto"/>
            <w:tcMar>
              <w:top w:w="0" w:type="dxa"/>
              <w:left w:w="108" w:type="dxa"/>
              <w:bottom w:w="0" w:type="dxa"/>
              <w:right w:w="108" w:type="dxa"/>
            </w:tcMar>
            <w:vAlign w:val="center"/>
          </w:tcPr>
          <w:p w14:paraId="0D0EA36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124.12%</w:t>
            </w:r>
          </w:p>
        </w:tc>
      </w:tr>
      <w:tr w:rsidR="006416B0" w:rsidRPr="00B4515A" w14:paraId="22D24715" w14:textId="77777777" w:rsidTr="003357B7">
        <w:trPr>
          <w:trHeight w:val="340"/>
          <w:jc w:val="center"/>
        </w:trPr>
        <w:tc>
          <w:tcPr>
            <w:tcW w:w="1155" w:type="pct"/>
            <w:shd w:val="clear" w:color="auto" w:fill="auto"/>
            <w:tcMar>
              <w:top w:w="0" w:type="dxa"/>
              <w:left w:w="108" w:type="dxa"/>
              <w:bottom w:w="0" w:type="dxa"/>
              <w:right w:w="108" w:type="dxa"/>
            </w:tcMar>
            <w:vAlign w:val="center"/>
          </w:tcPr>
          <w:p w14:paraId="65783849" w14:textId="5589784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hint="eastAsia"/>
                <w:color w:val="000000"/>
                <w:sz w:val="21"/>
                <w:szCs w:val="21"/>
              </w:rPr>
              <w:t>流动比率</w:t>
            </w:r>
            <w:r w:rsidR="00070A24" w:rsidRPr="00B4515A">
              <w:rPr>
                <w:rFonts w:cs="Times New Roman" w:hint="eastAsia"/>
                <w:color w:val="000000"/>
                <w:sz w:val="21"/>
                <w:szCs w:val="21"/>
              </w:rPr>
              <w:t>（倍）</w:t>
            </w:r>
          </w:p>
        </w:tc>
        <w:tc>
          <w:tcPr>
            <w:tcW w:w="1207" w:type="pct"/>
            <w:shd w:val="clear" w:color="auto" w:fill="auto"/>
            <w:tcMar>
              <w:top w:w="0" w:type="dxa"/>
              <w:left w:w="108" w:type="dxa"/>
              <w:bottom w:w="0" w:type="dxa"/>
              <w:right w:w="108" w:type="dxa"/>
            </w:tcMar>
            <w:vAlign w:val="center"/>
          </w:tcPr>
          <w:p w14:paraId="5014477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 xml:space="preserve">1.73 </w:t>
            </w:r>
          </w:p>
        </w:tc>
        <w:tc>
          <w:tcPr>
            <w:tcW w:w="1337" w:type="pct"/>
            <w:shd w:val="clear" w:color="auto" w:fill="auto"/>
            <w:tcMar>
              <w:top w:w="0" w:type="dxa"/>
              <w:left w:w="108" w:type="dxa"/>
              <w:bottom w:w="0" w:type="dxa"/>
              <w:right w:w="108" w:type="dxa"/>
            </w:tcMar>
            <w:vAlign w:val="center"/>
          </w:tcPr>
          <w:p w14:paraId="3506E90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 xml:space="preserve">0.89 </w:t>
            </w:r>
          </w:p>
        </w:tc>
        <w:tc>
          <w:tcPr>
            <w:tcW w:w="1301" w:type="pct"/>
            <w:shd w:val="clear" w:color="auto" w:fill="auto"/>
            <w:tcMar>
              <w:top w:w="0" w:type="dxa"/>
              <w:left w:w="108" w:type="dxa"/>
              <w:bottom w:w="0" w:type="dxa"/>
              <w:right w:w="108" w:type="dxa"/>
            </w:tcMar>
            <w:vAlign w:val="center"/>
          </w:tcPr>
          <w:p w14:paraId="6526F6A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 xml:space="preserve">0.53 </w:t>
            </w:r>
          </w:p>
        </w:tc>
      </w:tr>
      <w:tr w:rsidR="006416B0" w:rsidRPr="00B4515A" w14:paraId="5BD321FF" w14:textId="77777777" w:rsidTr="003357B7">
        <w:trPr>
          <w:trHeight w:val="340"/>
          <w:jc w:val="center"/>
        </w:trPr>
        <w:tc>
          <w:tcPr>
            <w:tcW w:w="1155" w:type="pct"/>
            <w:shd w:val="clear" w:color="auto" w:fill="auto"/>
            <w:tcMar>
              <w:top w:w="0" w:type="dxa"/>
              <w:left w:w="108" w:type="dxa"/>
              <w:bottom w:w="0" w:type="dxa"/>
              <w:right w:w="108" w:type="dxa"/>
            </w:tcMar>
            <w:vAlign w:val="center"/>
          </w:tcPr>
          <w:p w14:paraId="77FDAA3F" w14:textId="424336CF"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hint="eastAsia"/>
                <w:color w:val="000000"/>
                <w:sz w:val="21"/>
                <w:szCs w:val="21"/>
              </w:rPr>
              <w:t>速动比率</w:t>
            </w:r>
            <w:r w:rsidR="00070A24" w:rsidRPr="00B4515A">
              <w:rPr>
                <w:rFonts w:cs="Times New Roman" w:hint="eastAsia"/>
                <w:color w:val="000000"/>
                <w:sz w:val="21"/>
                <w:szCs w:val="21"/>
              </w:rPr>
              <w:t>（倍）</w:t>
            </w:r>
          </w:p>
        </w:tc>
        <w:tc>
          <w:tcPr>
            <w:tcW w:w="1207" w:type="pct"/>
            <w:shd w:val="clear" w:color="auto" w:fill="auto"/>
            <w:tcMar>
              <w:top w:w="0" w:type="dxa"/>
              <w:left w:w="108" w:type="dxa"/>
              <w:bottom w:w="0" w:type="dxa"/>
              <w:right w:w="108" w:type="dxa"/>
            </w:tcMar>
            <w:vAlign w:val="center"/>
          </w:tcPr>
          <w:p w14:paraId="597926E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 xml:space="preserve">1.42 </w:t>
            </w:r>
          </w:p>
        </w:tc>
        <w:tc>
          <w:tcPr>
            <w:tcW w:w="1337" w:type="pct"/>
            <w:shd w:val="clear" w:color="auto" w:fill="auto"/>
            <w:tcMar>
              <w:top w:w="0" w:type="dxa"/>
              <w:left w:w="108" w:type="dxa"/>
              <w:bottom w:w="0" w:type="dxa"/>
              <w:right w:w="108" w:type="dxa"/>
            </w:tcMar>
            <w:vAlign w:val="center"/>
          </w:tcPr>
          <w:p w14:paraId="17D5401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 xml:space="preserve">0.64 </w:t>
            </w:r>
          </w:p>
        </w:tc>
        <w:tc>
          <w:tcPr>
            <w:tcW w:w="1301" w:type="pct"/>
            <w:shd w:val="clear" w:color="auto" w:fill="auto"/>
            <w:tcMar>
              <w:top w:w="0" w:type="dxa"/>
              <w:left w:w="108" w:type="dxa"/>
              <w:bottom w:w="0" w:type="dxa"/>
              <w:right w:w="108" w:type="dxa"/>
            </w:tcMar>
            <w:vAlign w:val="center"/>
          </w:tcPr>
          <w:p w14:paraId="6B0938C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 xml:space="preserve">0.37 </w:t>
            </w:r>
          </w:p>
        </w:tc>
      </w:tr>
      <w:tr w:rsidR="00A41924" w:rsidRPr="00B4515A" w14:paraId="05D8D437" w14:textId="77777777" w:rsidTr="003357B7">
        <w:trPr>
          <w:trHeight w:val="340"/>
          <w:jc w:val="center"/>
        </w:trPr>
        <w:tc>
          <w:tcPr>
            <w:tcW w:w="1155" w:type="pct"/>
            <w:shd w:val="clear" w:color="auto" w:fill="auto"/>
            <w:tcMar>
              <w:top w:w="0" w:type="dxa"/>
              <w:left w:w="108" w:type="dxa"/>
              <w:bottom w:w="0" w:type="dxa"/>
              <w:right w:w="108" w:type="dxa"/>
            </w:tcMar>
            <w:vAlign w:val="center"/>
          </w:tcPr>
          <w:p w14:paraId="4DCC2467" w14:textId="77777777" w:rsidR="00A41924" w:rsidRPr="00B4515A" w:rsidRDefault="00A41924" w:rsidP="005860B4">
            <w:pPr>
              <w:adjustRightInd w:val="0"/>
              <w:snapToGrid w:val="0"/>
              <w:jc w:val="center"/>
              <w:rPr>
                <w:rFonts w:ascii="Times New Roman" w:eastAsiaTheme="minorEastAsia" w:hAnsi="Times New Roman" w:cs="Times New Roman"/>
                <w:color w:val="000000"/>
                <w:sz w:val="21"/>
                <w:szCs w:val="21"/>
              </w:rPr>
            </w:pPr>
            <w:r w:rsidRPr="00B4515A">
              <w:rPr>
                <w:rFonts w:hint="eastAsia"/>
                <w:color w:val="000000"/>
                <w:sz w:val="21"/>
                <w:szCs w:val="21"/>
              </w:rPr>
              <w:t>息税折旧摊销前利润（万元）</w:t>
            </w:r>
          </w:p>
        </w:tc>
        <w:tc>
          <w:tcPr>
            <w:tcW w:w="1207" w:type="pct"/>
            <w:shd w:val="clear" w:color="auto" w:fill="auto"/>
            <w:tcMar>
              <w:top w:w="0" w:type="dxa"/>
              <w:left w:w="108" w:type="dxa"/>
              <w:bottom w:w="0" w:type="dxa"/>
              <w:right w:w="108" w:type="dxa"/>
            </w:tcMar>
            <w:vAlign w:val="center"/>
          </w:tcPr>
          <w:p w14:paraId="2B9D6B6C" w14:textId="75300644" w:rsidR="00A41924" w:rsidRPr="00B4515A" w:rsidRDefault="00A41924"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1,706.13</w:t>
            </w:r>
          </w:p>
        </w:tc>
        <w:tc>
          <w:tcPr>
            <w:tcW w:w="1337" w:type="pct"/>
            <w:shd w:val="clear" w:color="auto" w:fill="auto"/>
            <w:tcMar>
              <w:top w:w="0" w:type="dxa"/>
              <w:left w:w="108" w:type="dxa"/>
              <w:bottom w:w="0" w:type="dxa"/>
              <w:right w:w="108" w:type="dxa"/>
            </w:tcMar>
            <w:vAlign w:val="center"/>
          </w:tcPr>
          <w:p w14:paraId="512EC635" w14:textId="4E6D453E" w:rsidR="00A41924" w:rsidRPr="00B4515A" w:rsidRDefault="00A41924"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7,905.01</w:t>
            </w:r>
          </w:p>
        </w:tc>
        <w:tc>
          <w:tcPr>
            <w:tcW w:w="1301" w:type="pct"/>
            <w:shd w:val="clear" w:color="auto" w:fill="auto"/>
            <w:tcMar>
              <w:top w:w="0" w:type="dxa"/>
              <w:left w:w="108" w:type="dxa"/>
              <w:bottom w:w="0" w:type="dxa"/>
              <w:right w:w="108" w:type="dxa"/>
            </w:tcMar>
            <w:vAlign w:val="center"/>
          </w:tcPr>
          <w:p w14:paraId="0A76AD08" w14:textId="51063836" w:rsidR="00A41924" w:rsidRPr="00B4515A" w:rsidRDefault="00A41924"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3,874.26</w:t>
            </w:r>
          </w:p>
        </w:tc>
      </w:tr>
      <w:tr w:rsidR="006416B0" w:rsidRPr="00B4515A" w14:paraId="0939C2BA" w14:textId="77777777" w:rsidTr="003357B7">
        <w:trPr>
          <w:trHeight w:val="340"/>
          <w:jc w:val="center"/>
        </w:trPr>
        <w:tc>
          <w:tcPr>
            <w:tcW w:w="1155" w:type="pct"/>
            <w:shd w:val="clear" w:color="auto" w:fill="auto"/>
            <w:tcMar>
              <w:top w:w="0" w:type="dxa"/>
              <w:left w:w="108" w:type="dxa"/>
              <w:bottom w:w="0" w:type="dxa"/>
              <w:right w:w="108" w:type="dxa"/>
            </w:tcMar>
            <w:vAlign w:val="center"/>
          </w:tcPr>
          <w:p w14:paraId="6A52005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hint="eastAsia"/>
                <w:color w:val="000000"/>
                <w:sz w:val="21"/>
                <w:szCs w:val="21"/>
              </w:rPr>
              <w:t>利息保障倍数</w:t>
            </w:r>
          </w:p>
        </w:tc>
        <w:tc>
          <w:tcPr>
            <w:tcW w:w="1207" w:type="pct"/>
            <w:shd w:val="clear" w:color="auto" w:fill="auto"/>
            <w:tcMar>
              <w:top w:w="0" w:type="dxa"/>
              <w:left w:w="108" w:type="dxa"/>
              <w:bottom w:w="0" w:type="dxa"/>
              <w:right w:w="108" w:type="dxa"/>
            </w:tcMar>
            <w:vAlign w:val="center"/>
          </w:tcPr>
          <w:p w14:paraId="66E3286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4.21</w:t>
            </w:r>
          </w:p>
        </w:tc>
        <w:tc>
          <w:tcPr>
            <w:tcW w:w="1337" w:type="pct"/>
            <w:shd w:val="clear" w:color="auto" w:fill="auto"/>
            <w:tcMar>
              <w:top w:w="0" w:type="dxa"/>
              <w:left w:w="108" w:type="dxa"/>
              <w:bottom w:w="0" w:type="dxa"/>
              <w:right w:w="108" w:type="dxa"/>
            </w:tcMar>
            <w:vAlign w:val="center"/>
          </w:tcPr>
          <w:p w14:paraId="3392A0E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2.74</w:t>
            </w:r>
          </w:p>
        </w:tc>
        <w:tc>
          <w:tcPr>
            <w:tcW w:w="1301" w:type="pct"/>
            <w:shd w:val="clear" w:color="auto" w:fill="auto"/>
            <w:tcMar>
              <w:top w:w="0" w:type="dxa"/>
              <w:left w:w="108" w:type="dxa"/>
              <w:bottom w:w="0" w:type="dxa"/>
              <w:right w:w="108" w:type="dxa"/>
            </w:tcMar>
            <w:vAlign w:val="center"/>
          </w:tcPr>
          <w:p w14:paraId="1B32DC4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1.41</w:t>
            </w:r>
          </w:p>
        </w:tc>
      </w:tr>
    </w:tbl>
    <w:p w14:paraId="169A116C" w14:textId="77777777" w:rsidR="00875398" w:rsidRPr="00B4515A" w:rsidRDefault="00875398" w:rsidP="00EE238F">
      <w:pPr>
        <w:pStyle w:val="006"/>
        <w:ind w:firstLine="420"/>
      </w:pPr>
      <w:r w:rsidRPr="00B4515A">
        <w:rPr>
          <w:rFonts w:hint="eastAsia"/>
        </w:rPr>
        <w:t>注：上述财务指标的计算公式如下：</w:t>
      </w:r>
    </w:p>
    <w:p w14:paraId="2F9B0825" w14:textId="736AA8B3" w:rsidR="00875398" w:rsidRPr="00B4515A" w:rsidRDefault="00EC14C6" w:rsidP="00EE238F">
      <w:pPr>
        <w:pStyle w:val="006"/>
        <w:ind w:firstLine="420"/>
      </w:pPr>
      <w:r w:rsidRPr="00B4515A">
        <w:rPr>
          <w:rFonts w:hint="eastAsia"/>
        </w:rPr>
        <w:t>（</w:t>
      </w:r>
      <w:r w:rsidRPr="00B4515A">
        <w:rPr>
          <w:rFonts w:hint="eastAsia"/>
        </w:rPr>
        <w:t>1</w:t>
      </w:r>
      <w:r w:rsidRPr="00B4515A">
        <w:rPr>
          <w:rFonts w:hint="eastAsia"/>
        </w:rPr>
        <w:t>）</w:t>
      </w:r>
      <w:r w:rsidR="00875398" w:rsidRPr="00B4515A">
        <w:rPr>
          <w:rFonts w:hint="eastAsia"/>
        </w:rPr>
        <w:t>资产负债率</w:t>
      </w:r>
      <w:r w:rsidR="00875398" w:rsidRPr="00B4515A">
        <w:t>=</w:t>
      </w:r>
      <w:r w:rsidR="00875398" w:rsidRPr="00B4515A">
        <w:rPr>
          <w:rFonts w:hint="eastAsia"/>
        </w:rPr>
        <w:t>总负债</w:t>
      </w:r>
      <w:r w:rsidR="00875398" w:rsidRPr="00B4515A">
        <w:t>/</w:t>
      </w:r>
      <w:r w:rsidR="00875398" w:rsidRPr="00B4515A">
        <w:rPr>
          <w:rFonts w:hint="eastAsia"/>
        </w:rPr>
        <w:t>总资产</w:t>
      </w:r>
      <w:r w:rsidR="00875398" w:rsidRPr="00B4515A">
        <w:t>*100%</w:t>
      </w:r>
    </w:p>
    <w:p w14:paraId="699437D9" w14:textId="4191476E" w:rsidR="00875398" w:rsidRPr="00B4515A" w:rsidRDefault="00EC14C6" w:rsidP="00EE238F">
      <w:pPr>
        <w:pStyle w:val="006"/>
        <w:ind w:firstLine="420"/>
      </w:pPr>
      <w:r w:rsidRPr="00B4515A">
        <w:rPr>
          <w:rFonts w:hint="eastAsia"/>
        </w:rPr>
        <w:t>（</w:t>
      </w:r>
      <w:r w:rsidRPr="00B4515A">
        <w:rPr>
          <w:rFonts w:hint="eastAsia"/>
        </w:rPr>
        <w:t>2</w:t>
      </w:r>
      <w:r w:rsidRPr="00B4515A">
        <w:rPr>
          <w:rFonts w:hint="eastAsia"/>
        </w:rPr>
        <w:t>）</w:t>
      </w:r>
      <w:r w:rsidR="00875398" w:rsidRPr="00B4515A">
        <w:rPr>
          <w:rFonts w:hint="eastAsia"/>
        </w:rPr>
        <w:t>流动比率</w:t>
      </w:r>
      <w:r w:rsidR="00875398" w:rsidRPr="00B4515A">
        <w:t>=</w:t>
      </w:r>
      <w:r w:rsidR="00875398" w:rsidRPr="00B4515A">
        <w:rPr>
          <w:rFonts w:hint="eastAsia"/>
        </w:rPr>
        <w:t>流动资产</w:t>
      </w:r>
      <w:r w:rsidR="00875398" w:rsidRPr="00B4515A">
        <w:t>/</w:t>
      </w:r>
      <w:r w:rsidR="00875398" w:rsidRPr="00B4515A">
        <w:rPr>
          <w:rFonts w:hint="eastAsia"/>
        </w:rPr>
        <w:t>流动负债</w:t>
      </w:r>
    </w:p>
    <w:p w14:paraId="762F79D0" w14:textId="5820E6BA" w:rsidR="00875398" w:rsidRPr="00B4515A" w:rsidRDefault="00EC14C6" w:rsidP="00EE238F">
      <w:pPr>
        <w:pStyle w:val="006"/>
        <w:ind w:firstLine="420"/>
      </w:pPr>
      <w:r w:rsidRPr="00B4515A">
        <w:rPr>
          <w:rFonts w:hint="eastAsia"/>
        </w:rPr>
        <w:t>（</w:t>
      </w:r>
      <w:r w:rsidRPr="00B4515A">
        <w:rPr>
          <w:rFonts w:hint="eastAsia"/>
        </w:rPr>
        <w:t>3</w:t>
      </w:r>
      <w:r w:rsidRPr="00B4515A">
        <w:rPr>
          <w:rFonts w:hint="eastAsia"/>
        </w:rPr>
        <w:t>）</w:t>
      </w:r>
      <w:r w:rsidR="00875398" w:rsidRPr="00B4515A">
        <w:rPr>
          <w:rFonts w:hint="eastAsia"/>
        </w:rPr>
        <w:t>速动比率</w:t>
      </w:r>
      <w:r w:rsidR="00875398" w:rsidRPr="00B4515A">
        <w:t>=</w:t>
      </w:r>
      <w:r w:rsidR="00875398" w:rsidRPr="00B4515A">
        <w:rPr>
          <w:rFonts w:hint="eastAsia"/>
        </w:rPr>
        <w:t>（流动资产－存货</w:t>
      </w:r>
      <w:r w:rsidR="00875398" w:rsidRPr="00B4515A">
        <w:t>-</w:t>
      </w:r>
      <w:r w:rsidR="00875398" w:rsidRPr="00B4515A">
        <w:rPr>
          <w:rFonts w:hint="eastAsia"/>
        </w:rPr>
        <w:t>预付款项</w:t>
      </w:r>
      <w:r w:rsidR="00875398" w:rsidRPr="00B4515A">
        <w:t>-</w:t>
      </w:r>
      <w:r w:rsidR="00875398" w:rsidRPr="00B4515A">
        <w:rPr>
          <w:rFonts w:hint="eastAsia"/>
        </w:rPr>
        <w:t>其他流动资产）</w:t>
      </w:r>
      <w:r w:rsidR="00875398" w:rsidRPr="00B4515A">
        <w:t>/</w:t>
      </w:r>
      <w:r w:rsidR="00875398" w:rsidRPr="00B4515A">
        <w:rPr>
          <w:rFonts w:hint="eastAsia"/>
        </w:rPr>
        <w:t>流动负债</w:t>
      </w:r>
    </w:p>
    <w:p w14:paraId="166115AE" w14:textId="76D173CC" w:rsidR="00875398" w:rsidRPr="00B4515A" w:rsidRDefault="00EC14C6" w:rsidP="00EE238F">
      <w:pPr>
        <w:pStyle w:val="006"/>
        <w:ind w:firstLine="420"/>
      </w:pPr>
      <w:r w:rsidRPr="00B4515A">
        <w:rPr>
          <w:rFonts w:hint="eastAsia"/>
        </w:rPr>
        <w:t>（</w:t>
      </w:r>
      <w:r w:rsidRPr="00B4515A">
        <w:rPr>
          <w:rFonts w:hint="eastAsia"/>
        </w:rPr>
        <w:t>4</w:t>
      </w:r>
      <w:r w:rsidRPr="00B4515A">
        <w:rPr>
          <w:rFonts w:hint="eastAsia"/>
        </w:rPr>
        <w:t>）</w:t>
      </w:r>
      <w:r w:rsidR="00875398" w:rsidRPr="00B4515A">
        <w:rPr>
          <w:rFonts w:hint="eastAsia"/>
        </w:rPr>
        <w:t>息税折旧摊销前利润</w:t>
      </w:r>
      <w:r w:rsidR="00875398" w:rsidRPr="00B4515A">
        <w:t>=</w:t>
      </w:r>
      <w:r w:rsidR="00875398" w:rsidRPr="00B4515A">
        <w:rPr>
          <w:rFonts w:hint="eastAsia"/>
        </w:rPr>
        <w:t>利润总额</w:t>
      </w:r>
      <w:r w:rsidR="00875398" w:rsidRPr="00B4515A">
        <w:t>+</w:t>
      </w:r>
      <w:r w:rsidR="00875398" w:rsidRPr="00B4515A">
        <w:rPr>
          <w:rFonts w:hint="eastAsia"/>
        </w:rPr>
        <w:t>利息支出</w:t>
      </w:r>
      <w:r w:rsidR="00875398" w:rsidRPr="00B4515A">
        <w:t>+</w:t>
      </w:r>
      <w:r w:rsidR="00875398" w:rsidRPr="00B4515A">
        <w:rPr>
          <w:rFonts w:hint="eastAsia"/>
        </w:rPr>
        <w:t>固定资产折旧</w:t>
      </w:r>
      <w:r w:rsidR="00875398" w:rsidRPr="00B4515A">
        <w:t>+</w:t>
      </w:r>
      <w:r w:rsidR="00875398" w:rsidRPr="00B4515A">
        <w:rPr>
          <w:rFonts w:hint="eastAsia"/>
        </w:rPr>
        <w:t>无形资产摊销</w:t>
      </w:r>
      <w:r w:rsidR="00875398" w:rsidRPr="00B4515A">
        <w:t>+</w:t>
      </w:r>
      <w:r w:rsidR="00875398" w:rsidRPr="00B4515A">
        <w:rPr>
          <w:rFonts w:hint="eastAsia"/>
        </w:rPr>
        <w:t>长期待摊费用摊销</w:t>
      </w:r>
    </w:p>
    <w:p w14:paraId="5F600B4F" w14:textId="44661AFC" w:rsidR="00875398" w:rsidRPr="00B4515A" w:rsidRDefault="00EC14C6" w:rsidP="00EE238F">
      <w:pPr>
        <w:pStyle w:val="006"/>
        <w:ind w:firstLine="420"/>
      </w:pPr>
      <w:r w:rsidRPr="00B4515A">
        <w:rPr>
          <w:rFonts w:hint="eastAsia"/>
        </w:rPr>
        <w:t>（</w:t>
      </w:r>
      <w:r w:rsidRPr="00B4515A">
        <w:rPr>
          <w:rFonts w:hint="eastAsia"/>
        </w:rPr>
        <w:t>5</w:t>
      </w:r>
      <w:r w:rsidRPr="00B4515A">
        <w:rPr>
          <w:rFonts w:hint="eastAsia"/>
        </w:rPr>
        <w:t>）</w:t>
      </w:r>
      <w:r w:rsidR="00875398" w:rsidRPr="00B4515A">
        <w:rPr>
          <w:rFonts w:hint="eastAsia"/>
        </w:rPr>
        <w:t>利息保障倍数</w:t>
      </w:r>
      <w:r w:rsidR="00875398" w:rsidRPr="00B4515A">
        <w:t>=</w:t>
      </w:r>
      <w:r w:rsidR="00875398" w:rsidRPr="00B4515A">
        <w:rPr>
          <w:rFonts w:hint="eastAsia"/>
        </w:rPr>
        <w:t>（利润总额</w:t>
      </w:r>
      <w:r w:rsidR="00875398" w:rsidRPr="00B4515A">
        <w:t>+</w:t>
      </w:r>
      <w:r w:rsidR="00875398" w:rsidRPr="00B4515A">
        <w:rPr>
          <w:rFonts w:hint="eastAsia"/>
        </w:rPr>
        <w:t>利息支出）</w:t>
      </w:r>
      <w:r w:rsidR="00875398" w:rsidRPr="00B4515A">
        <w:t>/</w:t>
      </w:r>
      <w:r w:rsidR="00875398" w:rsidRPr="00B4515A">
        <w:rPr>
          <w:rFonts w:hint="eastAsia"/>
        </w:rPr>
        <w:t>利息支出</w:t>
      </w:r>
    </w:p>
    <w:p w14:paraId="07F003C2" w14:textId="22D1A2D2" w:rsidR="006416B0" w:rsidRPr="00B4515A" w:rsidRDefault="005E58C1" w:rsidP="003357B7">
      <w:pPr>
        <w:pStyle w:val="005"/>
        <w:spacing w:before="120" w:after="120"/>
        <w:ind w:firstLine="480"/>
      </w:pPr>
      <w:r w:rsidRPr="00B4515A">
        <w:rPr>
          <w:rFonts w:hint="eastAsia"/>
        </w:rPr>
        <w:t>报告期各期末，大唐联诚合并报表资产负债率分别为</w:t>
      </w:r>
      <w:r w:rsidRPr="00B4515A">
        <w:t>124.12%</w:t>
      </w:r>
      <w:r w:rsidRPr="00B4515A">
        <w:rPr>
          <w:rFonts w:hint="eastAsia"/>
        </w:rPr>
        <w:t>、</w:t>
      </w:r>
      <w:r w:rsidRPr="00B4515A">
        <w:t>77.53%</w:t>
      </w:r>
      <w:r w:rsidRPr="00B4515A">
        <w:rPr>
          <w:rFonts w:hint="eastAsia"/>
        </w:rPr>
        <w:t>、</w:t>
      </w:r>
      <w:r w:rsidRPr="00B4515A">
        <w:lastRenderedPageBreak/>
        <w:t>48.54%</w:t>
      </w:r>
      <w:r w:rsidRPr="00B4515A">
        <w:rPr>
          <w:rFonts w:hint="eastAsia"/>
        </w:rPr>
        <w:t>，公司流动比率分别为</w:t>
      </w:r>
      <w:r w:rsidRPr="00B4515A">
        <w:t>0.53</w:t>
      </w:r>
      <w:r w:rsidRPr="00B4515A">
        <w:rPr>
          <w:rFonts w:hint="eastAsia"/>
        </w:rPr>
        <w:t>、</w:t>
      </w:r>
      <w:r w:rsidRPr="00B4515A">
        <w:t>0.89</w:t>
      </w:r>
      <w:r w:rsidRPr="00B4515A">
        <w:rPr>
          <w:rFonts w:hint="eastAsia"/>
        </w:rPr>
        <w:t>、</w:t>
      </w:r>
      <w:r w:rsidRPr="00B4515A">
        <w:t>1.73</w:t>
      </w:r>
      <w:r w:rsidRPr="00B4515A">
        <w:rPr>
          <w:rFonts w:hint="eastAsia"/>
        </w:rPr>
        <w:t>，速动比率分别为</w:t>
      </w:r>
      <w:r w:rsidRPr="00B4515A">
        <w:t>0.37</w:t>
      </w:r>
      <w:r w:rsidRPr="00B4515A">
        <w:rPr>
          <w:rFonts w:hint="eastAsia"/>
        </w:rPr>
        <w:t>、</w:t>
      </w:r>
      <w:r w:rsidRPr="00B4515A">
        <w:t>0.64</w:t>
      </w:r>
      <w:r w:rsidRPr="00B4515A">
        <w:rPr>
          <w:rFonts w:hint="eastAsia"/>
        </w:rPr>
        <w:t>、</w:t>
      </w:r>
      <w:r w:rsidRPr="00B4515A">
        <w:t>1.42</w:t>
      </w:r>
      <w:r w:rsidRPr="00B4515A">
        <w:rPr>
          <w:rFonts w:hint="eastAsia"/>
        </w:rPr>
        <w:t>，公司相关偿债能力指标自</w:t>
      </w:r>
      <w:r w:rsidRPr="00B4515A">
        <w:t>2019</w:t>
      </w:r>
      <w:r w:rsidRPr="00B4515A">
        <w:rPr>
          <w:rFonts w:hint="eastAsia"/>
        </w:rPr>
        <w:t>年以来均持续向好，主要系报告期内（</w:t>
      </w:r>
      <w:r w:rsidRPr="00B4515A">
        <w:t>1</w:t>
      </w:r>
      <w:r w:rsidRPr="00B4515A">
        <w:rPr>
          <w:rFonts w:hint="eastAsia"/>
        </w:rPr>
        <w:t>）公司通过债转股、引入战略投资者等提高了资产、降低了负债；（</w:t>
      </w:r>
      <w:r w:rsidRPr="00B4515A">
        <w:t>2</w:t>
      </w:r>
      <w:r w:rsidRPr="00B4515A">
        <w:rPr>
          <w:rFonts w:hint="eastAsia"/>
        </w:rPr>
        <w:t>）公司经营业绩转好，且</w:t>
      </w:r>
      <w:r w:rsidRPr="00B4515A">
        <w:t>2020</w:t>
      </w:r>
      <w:r w:rsidRPr="00B4515A">
        <w:rPr>
          <w:rFonts w:hint="eastAsia"/>
        </w:rPr>
        <w:t>年度、</w:t>
      </w:r>
      <w:r w:rsidRPr="00B4515A">
        <w:t>2021</w:t>
      </w:r>
      <w:r w:rsidRPr="00B4515A">
        <w:rPr>
          <w:rFonts w:hint="eastAsia"/>
        </w:rPr>
        <w:t>年</w:t>
      </w:r>
      <w:r w:rsidRPr="00B4515A">
        <w:t>1-4</w:t>
      </w:r>
      <w:r w:rsidRPr="00B4515A">
        <w:rPr>
          <w:rFonts w:hint="eastAsia"/>
        </w:rPr>
        <w:t>月持续维持较高的盈利水平。</w:t>
      </w:r>
    </w:p>
    <w:p w14:paraId="1DCCE712" w14:textId="1AFCECCB" w:rsidR="006416B0" w:rsidRPr="00B4515A" w:rsidRDefault="005E58C1" w:rsidP="003357B7">
      <w:pPr>
        <w:pStyle w:val="005"/>
        <w:spacing w:before="120" w:after="120"/>
        <w:ind w:firstLine="480"/>
      </w:pPr>
      <w:r w:rsidRPr="00B4515A">
        <w:rPr>
          <w:rFonts w:hint="eastAsia"/>
        </w:rPr>
        <w:t>报告期内，大唐联诚利息保障倍数分别为</w:t>
      </w:r>
      <w:r w:rsidRPr="00B4515A">
        <w:t>1.41</w:t>
      </w:r>
      <w:r w:rsidRPr="00B4515A">
        <w:rPr>
          <w:rFonts w:hint="eastAsia"/>
        </w:rPr>
        <w:t>倍、</w:t>
      </w:r>
      <w:r w:rsidRPr="00B4515A">
        <w:t>2.74</w:t>
      </w:r>
      <w:r w:rsidRPr="00B4515A">
        <w:t>倍</w:t>
      </w:r>
      <w:r w:rsidRPr="00B4515A">
        <w:rPr>
          <w:rFonts w:hint="eastAsia"/>
        </w:rPr>
        <w:t>、</w:t>
      </w:r>
      <w:r w:rsidRPr="00B4515A">
        <w:t>4.21</w:t>
      </w:r>
      <w:r w:rsidR="00875398" w:rsidRPr="00B4515A">
        <w:rPr>
          <w:rFonts w:hint="eastAsia"/>
        </w:rPr>
        <w:t>倍</w:t>
      </w:r>
      <w:r w:rsidRPr="00B4515A">
        <w:rPr>
          <w:rFonts w:hint="eastAsia"/>
        </w:rPr>
        <w:t>，利息保障倍数较高，其偿债能力较强。</w:t>
      </w:r>
    </w:p>
    <w:p w14:paraId="58C95CDA" w14:textId="77777777" w:rsidR="006416B0" w:rsidRPr="00B4515A" w:rsidRDefault="005E58C1" w:rsidP="003357B7">
      <w:pPr>
        <w:pStyle w:val="005"/>
        <w:spacing w:before="120" w:after="120"/>
        <w:ind w:firstLine="480"/>
      </w:pPr>
      <w:r w:rsidRPr="00B4515A">
        <w:rPr>
          <w:rFonts w:hint="eastAsia"/>
        </w:rPr>
        <w:t>截至</w:t>
      </w:r>
      <w:r w:rsidRPr="00B4515A">
        <w:t>2019</w:t>
      </w:r>
      <w:r w:rsidRPr="00B4515A">
        <w:rPr>
          <w:rFonts w:hint="eastAsia"/>
        </w:rPr>
        <w:t>年末，标的公司所有者权益为负，主要原因为公司前期经营亏损所致。标的公司在</w:t>
      </w:r>
      <w:r w:rsidRPr="00B4515A">
        <w:rPr>
          <w:rFonts w:ascii="宋体" w:hAnsi="宋体"/>
        </w:rPr>
        <w:t>“</w:t>
      </w:r>
      <w:r w:rsidRPr="00B4515A">
        <w:rPr>
          <w:rFonts w:hint="eastAsia"/>
        </w:rPr>
        <w:t>十二五</w:t>
      </w:r>
      <w:r w:rsidRPr="00B4515A">
        <w:rPr>
          <w:rFonts w:ascii="宋体" w:hAnsi="宋体"/>
        </w:rPr>
        <w:t>”</w:t>
      </w:r>
      <w:r w:rsidRPr="00B4515A">
        <w:rPr>
          <w:rFonts w:hint="eastAsia"/>
        </w:rPr>
        <w:t>、</w:t>
      </w:r>
      <w:r w:rsidRPr="00B4515A">
        <w:rPr>
          <w:rFonts w:ascii="宋体" w:hAnsi="宋体"/>
        </w:rPr>
        <w:t>“</w:t>
      </w:r>
      <w:r w:rsidRPr="00B4515A">
        <w:rPr>
          <w:rFonts w:hint="eastAsia"/>
        </w:rPr>
        <w:t>十三五</w:t>
      </w:r>
      <w:r w:rsidRPr="00B4515A">
        <w:rPr>
          <w:rFonts w:ascii="宋体" w:hAnsi="宋体"/>
        </w:rPr>
        <w:t>”</w:t>
      </w:r>
      <w:r w:rsidRPr="00B4515A">
        <w:rPr>
          <w:rFonts w:hint="eastAsia"/>
        </w:rPr>
        <w:t>初期，布局开展推进</w:t>
      </w:r>
      <w:r w:rsidRPr="00B4515A">
        <w:t>LTE</w:t>
      </w:r>
      <w:r w:rsidRPr="00B4515A">
        <w:rPr>
          <w:rFonts w:hint="eastAsia"/>
        </w:rPr>
        <w:t>技术在特种通信领域的产业化项目，争取预研项目，导致战略性项目投入占比高，但是之前研发投入还未能形成型号列装，暂时无法形成持续的规模销售，从而导致标的公司截至</w:t>
      </w:r>
      <w:r w:rsidRPr="00B4515A">
        <w:t>2019</w:t>
      </w:r>
      <w:r w:rsidRPr="00B4515A">
        <w:rPr>
          <w:rFonts w:hint="eastAsia"/>
        </w:rPr>
        <w:t>年末所有者权益为负。</w:t>
      </w:r>
    </w:p>
    <w:p w14:paraId="3FFC03B1" w14:textId="77777777" w:rsidR="006416B0" w:rsidRPr="00B4515A" w:rsidRDefault="005E58C1" w:rsidP="003357B7">
      <w:pPr>
        <w:pStyle w:val="005"/>
        <w:spacing w:before="120" w:after="120"/>
        <w:ind w:firstLine="480"/>
      </w:pPr>
      <w:r w:rsidRPr="00B4515A">
        <w:rPr>
          <w:rFonts w:hint="eastAsia"/>
        </w:rPr>
        <w:t>报告期内标的公司所有者权益显著增加的原因主要有：（</w:t>
      </w:r>
      <w:r w:rsidRPr="00B4515A">
        <w:t>1</w:t>
      </w:r>
      <w:r w:rsidRPr="00B4515A">
        <w:t>）</w:t>
      </w:r>
      <w:r w:rsidRPr="00B4515A">
        <w:t>2020</w:t>
      </w:r>
      <w:r w:rsidRPr="00B4515A">
        <w:rPr>
          <w:rFonts w:hint="eastAsia"/>
        </w:rPr>
        <w:t>年</w:t>
      </w:r>
      <w:r w:rsidRPr="00B4515A">
        <w:t>12</w:t>
      </w:r>
      <w:r w:rsidRPr="00B4515A">
        <w:rPr>
          <w:rFonts w:hint="eastAsia"/>
        </w:rPr>
        <w:t>月，标的公司的控股公司电信科研院将其对标的公司的</w:t>
      </w:r>
      <w:r w:rsidRPr="00B4515A">
        <w:t>3.16</w:t>
      </w:r>
      <w:r w:rsidRPr="00B4515A">
        <w:rPr>
          <w:rFonts w:hint="eastAsia"/>
        </w:rPr>
        <w:t>亿元债权转为股权；</w:t>
      </w:r>
      <w:r w:rsidRPr="00B4515A">
        <w:t>2021</w:t>
      </w:r>
      <w:r w:rsidRPr="00B4515A">
        <w:rPr>
          <w:rFonts w:hint="eastAsia"/>
        </w:rPr>
        <w:t>年</w:t>
      </w:r>
      <w:r w:rsidRPr="00B4515A">
        <w:t>4</w:t>
      </w:r>
      <w:r w:rsidRPr="00B4515A">
        <w:rPr>
          <w:rFonts w:hint="eastAsia"/>
        </w:rPr>
        <w:t>月，标的公司引入外部投资者，增资</w:t>
      </w:r>
      <w:r w:rsidRPr="00B4515A">
        <w:t>5.71</w:t>
      </w:r>
      <w:r w:rsidRPr="00B4515A">
        <w:rPr>
          <w:rFonts w:hint="eastAsia"/>
        </w:rPr>
        <w:t>亿元，两项增资合计导致报告期内标的公司所有者权益增加</w:t>
      </w:r>
      <w:r w:rsidRPr="00B4515A">
        <w:t>8.87</w:t>
      </w:r>
      <w:r w:rsidRPr="00B4515A">
        <w:rPr>
          <w:rFonts w:hint="eastAsia"/>
        </w:rPr>
        <w:t>亿元。（</w:t>
      </w:r>
      <w:r w:rsidRPr="00B4515A">
        <w:t>2</w:t>
      </w:r>
      <w:r w:rsidRPr="00B4515A">
        <w:t>）报告期内标的公司收入规模增加，经营情况转好，两年一期累计实现盈利</w:t>
      </w:r>
      <w:r w:rsidRPr="00B4515A">
        <w:t>5,802.99</w:t>
      </w:r>
      <w:r w:rsidRPr="00B4515A">
        <w:rPr>
          <w:rFonts w:hint="eastAsia"/>
        </w:rPr>
        <w:t>万元。</w:t>
      </w:r>
    </w:p>
    <w:p w14:paraId="422677BD" w14:textId="77777777" w:rsidR="006416B0" w:rsidRPr="00B4515A" w:rsidRDefault="005E58C1" w:rsidP="003357B7">
      <w:pPr>
        <w:pStyle w:val="004"/>
        <w:spacing w:before="120" w:after="120"/>
        <w:ind w:firstLine="482"/>
      </w:pPr>
      <w:r w:rsidRPr="00B4515A">
        <w:rPr>
          <w:rFonts w:hint="eastAsia"/>
        </w:rPr>
        <w:t>4</w:t>
      </w:r>
      <w:r w:rsidRPr="00B4515A">
        <w:rPr>
          <w:rFonts w:hint="eastAsia"/>
        </w:rPr>
        <w:t>、</w:t>
      </w:r>
      <w:r w:rsidRPr="00B4515A">
        <w:t>资产周转能力分析</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3C20C896"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8CC70B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1250" w:type="pct"/>
            <w:shd w:val="clear" w:color="auto" w:fill="auto"/>
            <w:tcMar>
              <w:top w:w="0" w:type="dxa"/>
              <w:left w:w="108" w:type="dxa"/>
              <w:bottom w:w="0" w:type="dxa"/>
              <w:right w:w="108" w:type="dxa"/>
            </w:tcMar>
            <w:vAlign w:val="center"/>
          </w:tcPr>
          <w:p w14:paraId="360CFB44" w14:textId="77777777" w:rsidR="006416B0" w:rsidRPr="00B4515A" w:rsidRDefault="005E58C1" w:rsidP="005860B4">
            <w:pPr>
              <w:adjustRightInd w:val="0"/>
              <w:snapToGrid w:val="0"/>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b/>
                <w:bCs/>
                <w:color w:val="000000"/>
                <w:sz w:val="21"/>
                <w:szCs w:val="21"/>
              </w:rPr>
              <w:t>月</w:t>
            </w:r>
          </w:p>
        </w:tc>
        <w:tc>
          <w:tcPr>
            <w:tcW w:w="1250" w:type="pct"/>
            <w:shd w:val="clear" w:color="auto" w:fill="auto"/>
            <w:tcMar>
              <w:top w:w="0" w:type="dxa"/>
              <w:left w:w="108" w:type="dxa"/>
              <w:bottom w:w="0" w:type="dxa"/>
              <w:right w:w="108" w:type="dxa"/>
            </w:tcMar>
            <w:vAlign w:val="center"/>
          </w:tcPr>
          <w:p w14:paraId="2B1030ED" w14:textId="77777777" w:rsidR="006416B0" w:rsidRPr="00B4515A" w:rsidRDefault="005E58C1" w:rsidP="005860B4">
            <w:pPr>
              <w:adjustRightInd w:val="0"/>
              <w:snapToGrid w:val="0"/>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年度</w:t>
            </w:r>
          </w:p>
        </w:tc>
        <w:tc>
          <w:tcPr>
            <w:tcW w:w="1250" w:type="pct"/>
            <w:shd w:val="clear" w:color="auto" w:fill="auto"/>
            <w:tcMar>
              <w:top w:w="0" w:type="dxa"/>
              <w:left w:w="108" w:type="dxa"/>
              <w:bottom w:w="0" w:type="dxa"/>
              <w:right w:w="108" w:type="dxa"/>
            </w:tcMar>
            <w:vAlign w:val="center"/>
          </w:tcPr>
          <w:p w14:paraId="2731CA0B" w14:textId="77777777" w:rsidR="006416B0" w:rsidRPr="00B4515A" w:rsidRDefault="005E58C1" w:rsidP="005860B4">
            <w:pPr>
              <w:adjustRightInd w:val="0"/>
              <w:snapToGrid w:val="0"/>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b/>
                <w:bCs/>
                <w:color w:val="000000"/>
                <w:sz w:val="21"/>
                <w:szCs w:val="21"/>
              </w:rPr>
              <w:t>年度</w:t>
            </w:r>
          </w:p>
        </w:tc>
      </w:tr>
      <w:tr w:rsidR="006416B0" w:rsidRPr="00B4515A" w14:paraId="347C1CA7"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0BBEBFF"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应收账款周转率（次</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年）</w:t>
            </w:r>
          </w:p>
        </w:tc>
        <w:tc>
          <w:tcPr>
            <w:tcW w:w="1250" w:type="pct"/>
            <w:shd w:val="clear" w:color="auto" w:fill="auto"/>
            <w:tcMar>
              <w:top w:w="0" w:type="dxa"/>
              <w:left w:w="108" w:type="dxa"/>
              <w:bottom w:w="0" w:type="dxa"/>
              <w:right w:w="108" w:type="dxa"/>
            </w:tcMar>
            <w:vAlign w:val="center"/>
          </w:tcPr>
          <w:p w14:paraId="545976B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0.33</w:t>
            </w:r>
          </w:p>
        </w:tc>
        <w:tc>
          <w:tcPr>
            <w:tcW w:w="1250" w:type="pct"/>
            <w:shd w:val="clear" w:color="auto" w:fill="auto"/>
            <w:tcMar>
              <w:top w:w="0" w:type="dxa"/>
              <w:left w:w="108" w:type="dxa"/>
              <w:bottom w:w="0" w:type="dxa"/>
              <w:right w:w="108" w:type="dxa"/>
            </w:tcMar>
            <w:vAlign w:val="center"/>
          </w:tcPr>
          <w:p w14:paraId="072D407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1.54</w:t>
            </w:r>
          </w:p>
        </w:tc>
        <w:tc>
          <w:tcPr>
            <w:tcW w:w="1250" w:type="pct"/>
            <w:shd w:val="clear" w:color="auto" w:fill="auto"/>
            <w:tcMar>
              <w:top w:w="0" w:type="dxa"/>
              <w:left w:w="108" w:type="dxa"/>
              <w:bottom w:w="0" w:type="dxa"/>
              <w:right w:w="108" w:type="dxa"/>
            </w:tcMar>
            <w:vAlign w:val="center"/>
          </w:tcPr>
          <w:p w14:paraId="6E0E450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1.26 </w:t>
            </w:r>
          </w:p>
        </w:tc>
      </w:tr>
      <w:tr w:rsidR="00F411CE" w:rsidRPr="00B4515A" w14:paraId="3996B9E9"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1864022B" w14:textId="77777777" w:rsidR="00F411CE" w:rsidRPr="00B4515A" w:rsidRDefault="00F411CE"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存货周转率（次</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年）</w:t>
            </w:r>
          </w:p>
        </w:tc>
        <w:tc>
          <w:tcPr>
            <w:tcW w:w="1250" w:type="pct"/>
            <w:shd w:val="clear" w:color="auto" w:fill="auto"/>
            <w:tcMar>
              <w:top w:w="0" w:type="dxa"/>
              <w:left w:w="108" w:type="dxa"/>
              <w:bottom w:w="0" w:type="dxa"/>
              <w:right w:w="108" w:type="dxa"/>
            </w:tcMar>
            <w:vAlign w:val="center"/>
          </w:tcPr>
          <w:p w14:paraId="4FB3FABF" w14:textId="76A73D8A" w:rsidR="00F411CE" w:rsidRPr="00B4515A" w:rsidRDefault="00F411CE"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0.29</w:t>
            </w:r>
          </w:p>
        </w:tc>
        <w:tc>
          <w:tcPr>
            <w:tcW w:w="1250" w:type="pct"/>
            <w:shd w:val="clear" w:color="auto" w:fill="auto"/>
            <w:tcMar>
              <w:top w:w="0" w:type="dxa"/>
              <w:left w:w="108" w:type="dxa"/>
              <w:bottom w:w="0" w:type="dxa"/>
              <w:right w:w="108" w:type="dxa"/>
            </w:tcMar>
            <w:vAlign w:val="center"/>
          </w:tcPr>
          <w:p w14:paraId="46A74408" w14:textId="08F0D3BE" w:rsidR="00F411CE" w:rsidRPr="00B4515A" w:rsidRDefault="00F411CE"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1.87</w:t>
            </w:r>
          </w:p>
        </w:tc>
        <w:tc>
          <w:tcPr>
            <w:tcW w:w="1250" w:type="pct"/>
            <w:shd w:val="clear" w:color="auto" w:fill="auto"/>
            <w:tcMar>
              <w:top w:w="0" w:type="dxa"/>
              <w:left w:w="108" w:type="dxa"/>
              <w:bottom w:w="0" w:type="dxa"/>
              <w:right w:w="108" w:type="dxa"/>
            </w:tcMar>
            <w:vAlign w:val="center"/>
          </w:tcPr>
          <w:p w14:paraId="19E9CE29" w14:textId="19F7D633" w:rsidR="00F411CE" w:rsidRPr="00B4515A" w:rsidRDefault="00F411CE"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1.64</w:t>
            </w:r>
          </w:p>
        </w:tc>
      </w:tr>
      <w:tr w:rsidR="006416B0" w:rsidRPr="00B4515A" w14:paraId="06FF668D"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6666F044"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总资产周转率（次</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年）</w:t>
            </w:r>
          </w:p>
        </w:tc>
        <w:tc>
          <w:tcPr>
            <w:tcW w:w="1250" w:type="pct"/>
            <w:shd w:val="clear" w:color="auto" w:fill="auto"/>
            <w:tcMar>
              <w:top w:w="0" w:type="dxa"/>
              <w:left w:w="108" w:type="dxa"/>
              <w:bottom w:w="0" w:type="dxa"/>
              <w:right w:w="108" w:type="dxa"/>
            </w:tcMar>
            <w:vAlign w:val="center"/>
          </w:tcPr>
          <w:p w14:paraId="161C4BA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0.11</w:t>
            </w:r>
          </w:p>
        </w:tc>
        <w:tc>
          <w:tcPr>
            <w:tcW w:w="1250" w:type="pct"/>
            <w:shd w:val="clear" w:color="auto" w:fill="auto"/>
            <w:tcMar>
              <w:top w:w="0" w:type="dxa"/>
              <w:left w:w="108" w:type="dxa"/>
              <w:bottom w:w="0" w:type="dxa"/>
              <w:right w:w="108" w:type="dxa"/>
            </w:tcMar>
            <w:vAlign w:val="center"/>
          </w:tcPr>
          <w:p w14:paraId="568E1AA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0.69</w:t>
            </w:r>
          </w:p>
        </w:tc>
        <w:tc>
          <w:tcPr>
            <w:tcW w:w="1250" w:type="pct"/>
            <w:shd w:val="clear" w:color="auto" w:fill="auto"/>
            <w:tcMar>
              <w:top w:w="0" w:type="dxa"/>
              <w:left w:w="108" w:type="dxa"/>
              <w:bottom w:w="0" w:type="dxa"/>
              <w:right w:w="108" w:type="dxa"/>
            </w:tcMar>
            <w:vAlign w:val="center"/>
          </w:tcPr>
          <w:p w14:paraId="24A2721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0.61</w:t>
            </w:r>
          </w:p>
        </w:tc>
      </w:tr>
    </w:tbl>
    <w:p w14:paraId="0F0DD750" w14:textId="7EF6006F" w:rsidR="006416B0" w:rsidRPr="00B4515A" w:rsidRDefault="005E58C1" w:rsidP="003357B7">
      <w:pPr>
        <w:pStyle w:val="006"/>
        <w:ind w:firstLine="420"/>
      </w:pPr>
      <w:r w:rsidRPr="00B4515A">
        <w:rPr>
          <w:rFonts w:hint="eastAsia"/>
        </w:rPr>
        <w:t>注：</w:t>
      </w:r>
      <w:r w:rsidR="003855A8" w:rsidRPr="00B4515A">
        <w:rPr>
          <w:rFonts w:hint="eastAsia"/>
        </w:rPr>
        <w:t>（</w:t>
      </w:r>
      <w:r w:rsidR="003855A8" w:rsidRPr="00B4515A">
        <w:rPr>
          <w:rFonts w:hint="eastAsia"/>
        </w:rPr>
        <w:t>1</w:t>
      </w:r>
      <w:r w:rsidR="003855A8" w:rsidRPr="00B4515A">
        <w:rPr>
          <w:rFonts w:hint="eastAsia"/>
        </w:rPr>
        <w:t>）</w:t>
      </w:r>
      <w:r w:rsidRPr="00B4515A">
        <w:rPr>
          <w:rFonts w:hint="eastAsia"/>
        </w:rPr>
        <w:t>应收账款周转率</w:t>
      </w:r>
      <w:r w:rsidRPr="00B4515A">
        <w:rPr>
          <w:rFonts w:hint="eastAsia"/>
        </w:rPr>
        <w:t>=</w:t>
      </w:r>
      <w:r w:rsidRPr="00B4515A">
        <w:rPr>
          <w:rFonts w:hint="eastAsia"/>
        </w:rPr>
        <w:t>营业收入</w:t>
      </w:r>
      <w:r w:rsidRPr="00B4515A">
        <w:rPr>
          <w:rFonts w:hint="eastAsia"/>
        </w:rPr>
        <w:t>/[(</w:t>
      </w:r>
      <w:r w:rsidRPr="00B4515A">
        <w:rPr>
          <w:rFonts w:hint="eastAsia"/>
        </w:rPr>
        <w:t>期初应收账款余额</w:t>
      </w:r>
      <w:r w:rsidRPr="00B4515A">
        <w:rPr>
          <w:rFonts w:hint="eastAsia"/>
        </w:rPr>
        <w:t>+</w:t>
      </w:r>
      <w:r w:rsidRPr="00B4515A">
        <w:rPr>
          <w:rFonts w:hint="eastAsia"/>
        </w:rPr>
        <w:t>期末应收账款余额</w:t>
      </w:r>
      <w:r w:rsidRPr="00B4515A">
        <w:rPr>
          <w:rFonts w:hint="eastAsia"/>
        </w:rPr>
        <w:t>)/2]</w:t>
      </w:r>
    </w:p>
    <w:p w14:paraId="2109D25C" w14:textId="285EC37C" w:rsidR="006416B0" w:rsidRPr="00B4515A" w:rsidRDefault="003855A8" w:rsidP="003357B7">
      <w:pPr>
        <w:pStyle w:val="006"/>
        <w:ind w:firstLine="420"/>
      </w:pPr>
      <w:r w:rsidRPr="00B4515A">
        <w:rPr>
          <w:rFonts w:hint="eastAsia"/>
        </w:rPr>
        <w:t>（</w:t>
      </w:r>
      <w:r w:rsidRPr="00B4515A">
        <w:rPr>
          <w:rFonts w:hint="eastAsia"/>
        </w:rPr>
        <w:t>2</w:t>
      </w:r>
      <w:r w:rsidRPr="00B4515A">
        <w:rPr>
          <w:rFonts w:hint="eastAsia"/>
        </w:rPr>
        <w:t>）</w:t>
      </w:r>
      <w:r w:rsidR="005E58C1" w:rsidRPr="00B4515A">
        <w:rPr>
          <w:rFonts w:hint="eastAsia"/>
        </w:rPr>
        <w:t>存货周转率</w:t>
      </w:r>
      <w:r w:rsidR="005E58C1" w:rsidRPr="00B4515A">
        <w:rPr>
          <w:rFonts w:hint="eastAsia"/>
        </w:rPr>
        <w:t>=</w:t>
      </w:r>
      <w:r w:rsidR="005E58C1" w:rsidRPr="00B4515A">
        <w:rPr>
          <w:rFonts w:hint="eastAsia"/>
        </w:rPr>
        <w:t>营业成本</w:t>
      </w:r>
      <w:r w:rsidR="005E58C1" w:rsidRPr="00B4515A">
        <w:rPr>
          <w:rFonts w:hint="eastAsia"/>
        </w:rPr>
        <w:t>/[(</w:t>
      </w:r>
      <w:r w:rsidR="005E58C1" w:rsidRPr="00B4515A">
        <w:rPr>
          <w:rFonts w:hint="eastAsia"/>
        </w:rPr>
        <w:t>期初存货余额</w:t>
      </w:r>
      <w:r w:rsidR="005E58C1" w:rsidRPr="00B4515A">
        <w:rPr>
          <w:rFonts w:hint="eastAsia"/>
        </w:rPr>
        <w:t>+</w:t>
      </w:r>
      <w:r w:rsidR="005E58C1" w:rsidRPr="00B4515A">
        <w:rPr>
          <w:rFonts w:hint="eastAsia"/>
        </w:rPr>
        <w:t>期末存货余额</w:t>
      </w:r>
      <w:r w:rsidR="005E58C1" w:rsidRPr="00B4515A">
        <w:rPr>
          <w:rFonts w:hint="eastAsia"/>
        </w:rPr>
        <w:t>)/2]</w:t>
      </w:r>
      <w:r w:rsidR="005E58C1" w:rsidRPr="00B4515A">
        <w:rPr>
          <w:rFonts w:hint="eastAsia"/>
        </w:rPr>
        <w:t>；</w:t>
      </w:r>
    </w:p>
    <w:p w14:paraId="10D7D30A" w14:textId="4149B54E" w:rsidR="006416B0" w:rsidRPr="00B4515A" w:rsidRDefault="003855A8" w:rsidP="003357B7">
      <w:pPr>
        <w:pStyle w:val="006"/>
        <w:ind w:firstLine="420"/>
      </w:pPr>
      <w:r w:rsidRPr="00B4515A">
        <w:rPr>
          <w:rFonts w:hint="eastAsia"/>
        </w:rPr>
        <w:t>（</w:t>
      </w:r>
      <w:r w:rsidRPr="00B4515A">
        <w:rPr>
          <w:rFonts w:hint="eastAsia"/>
        </w:rPr>
        <w:t>3</w:t>
      </w:r>
      <w:r w:rsidRPr="00B4515A">
        <w:rPr>
          <w:rFonts w:hint="eastAsia"/>
        </w:rPr>
        <w:t>）</w:t>
      </w:r>
      <w:r w:rsidR="005E58C1" w:rsidRPr="00B4515A">
        <w:rPr>
          <w:rFonts w:hint="eastAsia"/>
        </w:rPr>
        <w:t>总资产周转率</w:t>
      </w:r>
      <w:r w:rsidR="005E58C1" w:rsidRPr="00B4515A">
        <w:rPr>
          <w:rFonts w:hint="eastAsia"/>
        </w:rPr>
        <w:t>=</w:t>
      </w:r>
      <w:r w:rsidR="005E58C1" w:rsidRPr="00B4515A">
        <w:rPr>
          <w:rFonts w:hint="eastAsia"/>
        </w:rPr>
        <w:t>营业收入</w:t>
      </w:r>
      <w:r w:rsidR="005E58C1" w:rsidRPr="00B4515A">
        <w:rPr>
          <w:rFonts w:hint="eastAsia"/>
        </w:rPr>
        <w:t>/[</w:t>
      </w:r>
      <w:r w:rsidR="005E58C1" w:rsidRPr="00B4515A">
        <w:rPr>
          <w:rFonts w:hint="eastAsia"/>
        </w:rPr>
        <w:t>（期初资产总额</w:t>
      </w:r>
      <w:r w:rsidR="005E58C1" w:rsidRPr="00B4515A">
        <w:rPr>
          <w:rFonts w:hint="eastAsia"/>
        </w:rPr>
        <w:t>+</w:t>
      </w:r>
      <w:r w:rsidR="005E58C1" w:rsidRPr="00B4515A">
        <w:rPr>
          <w:rFonts w:hint="eastAsia"/>
        </w:rPr>
        <w:t>期末资产总额）</w:t>
      </w:r>
      <w:r w:rsidR="005E58C1" w:rsidRPr="00B4515A">
        <w:rPr>
          <w:rFonts w:hint="eastAsia"/>
        </w:rPr>
        <w:t>/2]</w:t>
      </w:r>
    </w:p>
    <w:p w14:paraId="42C7E247" w14:textId="77777777" w:rsidR="006416B0" w:rsidRPr="00B4515A" w:rsidRDefault="005E58C1" w:rsidP="003357B7">
      <w:pPr>
        <w:pStyle w:val="005"/>
        <w:spacing w:before="120" w:after="120"/>
        <w:ind w:firstLine="480"/>
      </w:pPr>
      <w:r w:rsidRPr="00B4515A">
        <w:t>2019</w:t>
      </w:r>
      <w:r w:rsidRPr="00B4515A">
        <w:rPr>
          <w:rFonts w:hint="eastAsia"/>
        </w:rPr>
        <w:t>年、</w:t>
      </w:r>
      <w:r w:rsidRPr="00B4515A">
        <w:t>2020</w:t>
      </w:r>
      <w:r w:rsidRPr="00B4515A">
        <w:rPr>
          <w:rFonts w:hint="eastAsia"/>
        </w:rPr>
        <w:t>年，大唐联诚应收账款周转率总体呈上升趋势，主要系公司</w:t>
      </w:r>
      <w:r w:rsidRPr="00B4515A">
        <w:t>2020</w:t>
      </w:r>
      <w:r w:rsidRPr="00B4515A">
        <w:rPr>
          <w:rFonts w:hint="eastAsia"/>
        </w:rPr>
        <w:t>年度营业收入增长，且回款管理工作优化，从而加速了应收账款周转率。</w:t>
      </w:r>
      <w:r w:rsidRPr="00B4515A">
        <w:t>2021</w:t>
      </w:r>
      <w:r w:rsidRPr="00B4515A">
        <w:rPr>
          <w:rFonts w:hint="eastAsia"/>
        </w:rPr>
        <w:t>年</w:t>
      </w:r>
      <w:r w:rsidRPr="00B4515A">
        <w:t>1-4</w:t>
      </w:r>
      <w:r w:rsidRPr="00B4515A">
        <w:rPr>
          <w:rFonts w:hint="eastAsia"/>
        </w:rPr>
        <w:t>月份，应收账款周转率下降，主要原因为公司</w:t>
      </w:r>
      <w:r w:rsidRPr="00B4515A">
        <w:t>2021</w:t>
      </w:r>
      <w:r w:rsidRPr="00B4515A">
        <w:rPr>
          <w:rFonts w:hint="eastAsia"/>
        </w:rPr>
        <w:t>年</w:t>
      </w:r>
      <w:r w:rsidRPr="00B4515A">
        <w:t>1-4</w:t>
      </w:r>
      <w:r w:rsidRPr="00B4515A">
        <w:rPr>
          <w:rFonts w:hint="eastAsia"/>
        </w:rPr>
        <w:t>月份确认的收入相对全年收入较少，且</w:t>
      </w:r>
      <w:r w:rsidRPr="00B4515A">
        <w:t>2021</w:t>
      </w:r>
      <w:r w:rsidRPr="00B4515A">
        <w:rPr>
          <w:rFonts w:hint="eastAsia"/>
        </w:rPr>
        <w:t>年</w:t>
      </w:r>
      <w:r w:rsidRPr="00B4515A">
        <w:t>1-4</w:t>
      </w:r>
      <w:r w:rsidRPr="00B4515A">
        <w:rPr>
          <w:rFonts w:hint="eastAsia"/>
        </w:rPr>
        <w:t>月份收回的上年度应收账款较少，导致应收账款周转率下降。</w:t>
      </w:r>
    </w:p>
    <w:p w14:paraId="094087C0" w14:textId="77777777" w:rsidR="006416B0" w:rsidRPr="00B4515A" w:rsidRDefault="005E58C1" w:rsidP="003357B7">
      <w:pPr>
        <w:pStyle w:val="005"/>
        <w:spacing w:before="120" w:after="120"/>
        <w:ind w:firstLine="480"/>
      </w:pPr>
      <w:r w:rsidRPr="00B4515A">
        <w:lastRenderedPageBreak/>
        <w:t>2019</w:t>
      </w:r>
      <w:r w:rsidRPr="00B4515A">
        <w:rPr>
          <w:rFonts w:hint="eastAsia"/>
        </w:rPr>
        <w:t>年、</w:t>
      </w:r>
      <w:r w:rsidRPr="00B4515A">
        <w:t>2020</w:t>
      </w:r>
      <w:r w:rsidRPr="00B4515A">
        <w:rPr>
          <w:rFonts w:hint="eastAsia"/>
        </w:rPr>
        <w:t>年，大唐联诚存货周转率呈现平稳向上趋势，</w:t>
      </w:r>
      <w:r w:rsidRPr="00B4515A">
        <w:t>2021</w:t>
      </w:r>
      <w:r w:rsidRPr="00B4515A">
        <w:rPr>
          <w:rFonts w:hint="eastAsia"/>
        </w:rPr>
        <w:t>年</w:t>
      </w:r>
      <w:r w:rsidRPr="00B4515A">
        <w:t>1-4</w:t>
      </w:r>
      <w:r w:rsidRPr="00B4515A">
        <w:rPr>
          <w:rFonts w:hint="eastAsia"/>
        </w:rPr>
        <w:t>月份下降，主要系</w:t>
      </w:r>
      <w:r w:rsidRPr="00B4515A">
        <w:t>2021</w:t>
      </w:r>
      <w:r w:rsidRPr="00B4515A">
        <w:rPr>
          <w:rFonts w:hint="eastAsia"/>
        </w:rPr>
        <w:t>年</w:t>
      </w:r>
      <w:r w:rsidRPr="00B4515A">
        <w:t>1-4</w:t>
      </w:r>
      <w:r w:rsidRPr="00B4515A">
        <w:rPr>
          <w:rFonts w:hint="eastAsia"/>
        </w:rPr>
        <w:t>月份确认的收入相对全年收入较少，同时为了备货生产，存货增加，从而导致周转率下降。</w:t>
      </w:r>
    </w:p>
    <w:p w14:paraId="0BA48EF2" w14:textId="77777777" w:rsidR="006416B0" w:rsidRPr="00B4515A" w:rsidRDefault="005E58C1" w:rsidP="003357B7">
      <w:pPr>
        <w:pStyle w:val="005"/>
        <w:spacing w:before="120" w:after="120"/>
        <w:ind w:firstLine="480"/>
      </w:pPr>
      <w:r w:rsidRPr="00B4515A">
        <w:t>2019</w:t>
      </w:r>
      <w:r w:rsidRPr="00B4515A">
        <w:rPr>
          <w:rFonts w:hint="eastAsia"/>
        </w:rPr>
        <w:t>年、</w:t>
      </w:r>
      <w:r w:rsidRPr="00B4515A">
        <w:t>2020</w:t>
      </w:r>
      <w:r w:rsidRPr="00B4515A">
        <w:rPr>
          <w:rFonts w:hint="eastAsia"/>
        </w:rPr>
        <w:t>年，大唐联诚总资周转率呈现平稳向上趋势，</w:t>
      </w:r>
      <w:r w:rsidRPr="00B4515A">
        <w:t>2021</w:t>
      </w:r>
      <w:r w:rsidRPr="00B4515A">
        <w:rPr>
          <w:rFonts w:hint="eastAsia"/>
        </w:rPr>
        <w:t>年</w:t>
      </w:r>
      <w:r w:rsidRPr="00B4515A">
        <w:t>1-4</w:t>
      </w:r>
      <w:r w:rsidRPr="00B4515A">
        <w:rPr>
          <w:rFonts w:hint="eastAsia"/>
        </w:rPr>
        <w:t>月份总资产周转率下降，主要系公司</w:t>
      </w:r>
      <w:r w:rsidRPr="00B4515A">
        <w:t>2021</w:t>
      </w:r>
      <w:r w:rsidRPr="00B4515A">
        <w:rPr>
          <w:rFonts w:hint="eastAsia"/>
        </w:rPr>
        <w:t>年度引入外部投资者，导致总资产大幅度提高，从而降低了总资周转率。</w:t>
      </w:r>
    </w:p>
    <w:p w14:paraId="430C8440" w14:textId="77777777" w:rsidR="006416B0" w:rsidRPr="00B4515A" w:rsidRDefault="005E58C1" w:rsidP="003357B7">
      <w:pPr>
        <w:pStyle w:val="003"/>
        <w:spacing w:before="120"/>
        <w:ind w:firstLine="482"/>
      </w:pPr>
      <w:r w:rsidRPr="00B4515A">
        <w:rPr>
          <w:rFonts w:hint="eastAsia"/>
        </w:rPr>
        <w:t>（二）盈利能力分析</w:t>
      </w:r>
    </w:p>
    <w:p w14:paraId="523A56C7" w14:textId="45EF5446" w:rsidR="006416B0" w:rsidRPr="00B4515A" w:rsidRDefault="005E58C1" w:rsidP="003357B7">
      <w:pPr>
        <w:pStyle w:val="005"/>
        <w:spacing w:before="120" w:after="120"/>
        <w:ind w:firstLine="480"/>
      </w:pPr>
      <w:r w:rsidRPr="00B4515A">
        <w:rPr>
          <w:rFonts w:hint="eastAsia"/>
        </w:rPr>
        <w:t>根据立信会计师事务所（特殊普通合伙）出具的</w:t>
      </w:r>
      <w:r w:rsidR="00124C84" w:rsidRPr="00B4515A">
        <w:rPr>
          <w:rFonts w:hint="eastAsia"/>
        </w:rPr>
        <w:t>信会师报字［</w:t>
      </w:r>
      <w:r w:rsidR="00124C84" w:rsidRPr="00B4515A">
        <w:rPr>
          <w:rFonts w:hint="eastAsia"/>
        </w:rPr>
        <w:t>2021</w:t>
      </w:r>
      <w:r w:rsidR="00124C84" w:rsidRPr="00B4515A">
        <w:rPr>
          <w:rFonts w:hint="eastAsia"/>
        </w:rPr>
        <w:t>］第</w:t>
      </w:r>
      <w:r w:rsidR="00124C84" w:rsidRPr="00B4515A">
        <w:rPr>
          <w:rFonts w:hint="eastAsia"/>
        </w:rPr>
        <w:t>ZE21651</w:t>
      </w:r>
      <w:r w:rsidR="00124C84" w:rsidRPr="00B4515A">
        <w:rPr>
          <w:rFonts w:hint="eastAsia"/>
        </w:rPr>
        <w:t>号</w:t>
      </w:r>
      <w:r w:rsidRPr="00B4515A">
        <w:rPr>
          <w:rFonts w:hint="eastAsia"/>
        </w:rPr>
        <w:t>审计报告，大唐联诚最近两年一期的利润表如下：</w:t>
      </w:r>
    </w:p>
    <w:p w14:paraId="231FEDBB"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84"/>
        <w:gridCol w:w="1234"/>
        <w:gridCol w:w="1153"/>
        <w:gridCol w:w="1233"/>
        <w:gridCol w:w="1153"/>
        <w:gridCol w:w="1233"/>
        <w:gridCol w:w="1138"/>
      </w:tblGrid>
      <w:tr w:rsidR="006416B0" w:rsidRPr="00B4515A" w14:paraId="2A214861" w14:textId="77777777" w:rsidTr="00EE238F">
        <w:trPr>
          <w:trHeight w:val="340"/>
          <w:tblHeader/>
          <w:jc w:val="center"/>
        </w:trPr>
        <w:tc>
          <w:tcPr>
            <w:tcW w:w="811" w:type="pct"/>
            <w:vMerge w:val="restart"/>
            <w:shd w:val="clear" w:color="auto" w:fill="auto"/>
            <w:tcMar>
              <w:top w:w="0" w:type="dxa"/>
              <w:left w:w="108" w:type="dxa"/>
              <w:bottom w:w="0" w:type="dxa"/>
              <w:right w:w="108" w:type="dxa"/>
            </w:tcMar>
            <w:vAlign w:val="center"/>
          </w:tcPr>
          <w:p w14:paraId="1AEFE5D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399" w:type="pct"/>
            <w:gridSpan w:val="2"/>
            <w:shd w:val="clear" w:color="auto" w:fill="auto"/>
            <w:tcMar>
              <w:top w:w="0" w:type="dxa"/>
              <w:left w:w="108" w:type="dxa"/>
              <w:bottom w:w="0" w:type="dxa"/>
              <w:right w:w="108" w:type="dxa"/>
            </w:tcMar>
            <w:vAlign w:val="center"/>
          </w:tcPr>
          <w:p w14:paraId="0050565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1399" w:type="pct"/>
            <w:gridSpan w:val="2"/>
            <w:shd w:val="clear" w:color="auto" w:fill="auto"/>
            <w:tcMar>
              <w:top w:w="0" w:type="dxa"/>
              <w:left w:w="108" w:type="dxa"/>
              <w:bottom w:w="0" w:type="dxa"/>
              <w:right w:w="108" w:type="dxa"/>
            </w:tcMar>
            <w:vAlign w:val="center"/>
          </w:tcPr>
          <w:p w14:paraId="250C680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年度</w:t>
            </w:r>
          </w:p>
        </w:tc>
        <w:tc>
          <w:tcPr>
            <w:tcW w:w="1390" w:type="pct"/>
            <w:gridSpan w:val="2"/>
            <w:shd w:val="clear" w:color="auto" w:fill="auto"/>
            <w:tcMar>
              <w:top w:w="0" w:type="dxa"/>
              <w:left w:w="108" w:type="dxa"/>
              <w:bottom w:w="0" w:type="dxa"/>
              <w:right w:w="108" w:type="dxa"/>
            </w:tcMar>
            <w:vAlign w:val="center"/>
          </w:tcPr>
          <w:p w14:paraId="67FE842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hint="eastAsia"/>
                <w:b/>
                <w:bCs/>
                <w:color w:val="000000"/>
                <w:sz w:val="21"/>
                <w:szCs w:val="21"/>
              </w:rPr>
              <w:t>年度</w:t>
            </w:r>
          </w:p>
        </w:tc>
      </w:tr>
      <w:tr w:rsidR="006416B0" w:rsidRPr="00B4515A" w14:paraId="46EC8DCB" w14:textId="77777777" w:rsidTr="00EE238F">
        <w:trPr>
          <w:trHeight w:val="340"/>
          <w:tblHeader/>
          <w:jc w:val="center"/>
        </w:trPr>
        <w:tc>
          <w:tcPr>
            <w:tcW w:w="811" w:type="pct"/>
            <w:vMerge/>
            <w:shd w:val="clear" w:color="auto" w:fill="auto"/>
            <w:tcMar>
              <w:top w:w="0" w:type="dxa"/>
              <w:left w:w="108" w:type="dxa"/>
              <w:bottom w:w="0" w:type="dxa"/>
              <w:right w:w="108" w:type="dxa"/>
            </w:tcMar>
            <w:vAlign w:val="center"/>
          </w:tcPr>
          <w:p w14:paraId="59E27426"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723" w:type="pct"/>
            <w:shd w:val="clear" w:color="auto" w:fill="auto"/>
            <w:tcMar>
              <w:top w:w="0" w:type="dxa"/>
              <w:left w:w="108" w:type="dxa"/>
              <w:bottom w:w="0" w:type="dxa"/>
              <w:right w:w="108" w:type="dxa"/>
            </w:tcMar>
            <w:vAlign w:val="center"/>
          </w:tcPr>
          <w:p w14:paraId="5F8EB78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76" w:type="pct"/>
            <w:shd w:val="clear" w:color="auto" w:fill="auto"/>
            <w:tcMar>
              <w:top w:w="0" w:type="dxa"/>
              <w:left w:w="108" w:type="dxa"/>
              <w:bottom w:w="0" w:type="dxa"/>
              <w:right w:w="108" w:type="dxa"/>
            </w:tcMar>
            <w:vAlign w:val="center"/>
          </w:tcPr>
          <w:p w14:paraId="0122F10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收入占比</w:t>
            </w:r>
          </w:p>
        </w:tc>
        <w:tc>
          <w:tcPr>
            <w:tcW w:w="723" w:type="pct"/>
            <w:shd w:val="clear" w:color="auto" w:fill="auto"/>
            <w:tcMar>
              <w:top w:w="0" w:type="dxa"/>
              <w:left w:w="108" w:type="dxa"/>
              <w:bottom w:w="0" w:type="dxa"/>
              <w:right w:w="108" w:type="dxa"/>
            </w:tcMar>
            <w:vAlign w:val="center"/>
          </w:tcPr>
          <w:p w14:paraId="3485B4F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76" w:type="pct"/>
            <w:shd w:val="clear" w:color="auto" w:fill="auto"/>
            <w:tcMar>
              <w:top w:w="0" w:type="dxa"/>
              <w:left w:w="108" w:type="dxa"/>
              <w:bottom w:w="0" w:type="dxa"/>
              <w:right w:w="108" w:type="dxa"/>
            </w:tcMar>
            <w:vAlign w:val="center"/>
          </w:tcPr>
          <w:p w14:paraId="087B771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收入占比</w:t>
            </w:r>
          </w:p>
        </w:tc>
        <w:tc>
          <w:tcPr>
            <w:tcW w:w="723" w:type="pct"/>
            <w:shd w:val="clear" w:color="auto" w:fill="auto"/>
            <w:tcMar>
              <w:top w:w="0" w:type="dxa"/>
              <w:left w:w="108" w:type="dxa"/>
              <w:bottom w:w="0" w:type="dxa"/>
              <w:right w:w="108" w:type="dxa"/>
            </w:tcMar>
            <w:vAlign w:val="center"/>
          </w:tcPr>
          <w:p w14:paraId="039578A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67" w:type="pct"/>
            <w:shd w:val="clear" w:color="auto" w:fill="auto"/>
            <w:tcMar>
              <w:top w:w="0" w:type="dxa"/>
              <w:left w:w="108" w:type="dxa"/>
              <w:bottom w:w="0" w:type="dxa"/>
              <w:right w:w="108" w:type="dxa"/>
            </w:tcMar>
            <w:vAlign w:val="center"/>
          </w:tcPr>
          <w:p w14:paraId="18426A1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收入占比</w:t>
            </w:r>
          </w:p>
        </w:tc>
      </w:tr>
      <w:tr w:rsidR="006416B0" w:rsidRPr="00B4515A" w14:paraId="1D66D7E6" w14:textId="77777777" w:rsidTr="00031627">
        <w:trPr>
          <w:trHeight w:val="340"/>
          <w:jc w:val="center"/>
        </w:trPr>
        <w:tc>
          <w:tcPr>
            <w:tcW w:w="811" w:type="pct"/>
            <w:shd w:val="clear" w:color="auto" w:fill="auto"/>
            <w:tcMar>
              <w:top w:w="0" w:type="dxa"/>
              <w:left w:w="108" w:type="dxa"/>
              <w:bottom w:w="0" w:type="dxa"/>
              <w:right w:w="108" w:type="dxa"/>
            </w:tcMar>
            <w:vAlign w:val="center"/>
          </w:tcPr>
          <w:p w14:paraId="7C0884FD"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一、营业总收入</w:t>
            </w:r>
          </w:p>
        </w:tc>
        <w:tc>
          <w:tcPr>
            <w:tcW w:w="723" w:type="pct"/>
            <w:shd w:val="clear" w:color="auto" w:fill="auto"/>
            <w:tcMar>
              <w:top w:w="0" w:type="dxa"/>
              <w:left w:w="108" w:type="dxa"/>
              <w:bottom w:w="0" w:type="dxa"/>
              <w:right w:w="108" w:type="dxa"/>
            </w:tcMar>
            <w:vAlign w:val="center"/>
          </w:tcPr>
          <w:p w14:paraId="6DE2D72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12,758.79</w:t>
            </w:r>
          </w:p>
        </w:tc>
        <w:tc>
          <w:tcPr>
            <w:tcW w:w="676" w:type="pct"/>
            <w:shd w:val="clear" w:color="auto" w:fill="auto"/>
            <w:tcMar>
              <w:top w:w="0" w:type="dxa"/>
              <w:left w:w="108" w:type="dxa"/>
              <w:bottom w:w="0" w:type="dxa"/>
              <w:right w:w="108" w:type="dxa"/>
            </w:tcMar>
            <w:vAlign w:val="center"/>
          </w:tcPr>
          <w:p w14:paraId="32647C6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c>
          <w:tcPr>
            <w:tcW w:w="723" w:type="pct"/>
            <w:shd w:val="clear" w:color="auto" w:fill="auto"/>
            <w:tcMar>
              <w:top w:w="0" w:type="dxa"/>
              <w:left w:w="108" w:type="dxa"/>
              <w:bottom w:w="0" w:type="dxa"/>
              <w:right w:w="108" w:type="dxa"/>
            </w:tcMar>
            <w:vAlign w:val="center"/>
          </w:tcPr>
          <w:p w14:paraId="5404A2A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55,282.98</w:t>
            </w:r>
          </w:p>
        </w:tc>
        <w:tc>
          <w:tcPr>
            <w:tcW w:w="676" w:type="pct"/>
            <w:shd w:val="clear" w:color="auto" w:fill="auto"/>
            <w:tcMar>
              <w:top w:w="0" w:type="dxa"/>
              <w:left w:w="108" w:type="dxa"/>
              <w:bottom w:w="0" w:type="dxa"/>
              <w:right w:w="108" w:type="dxa"/>
            </w:tcMar>
            <w:vAlign w:val="center"/>
          </w:tcPr>
          <w:p w14:paraId="50DFCAF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c>
          <w:tcPr>
            <w:tcW w:w="723" w:type="pct"/>
            <w:shd w:val="clear" w:color="auto" w:fill="auto"/>
            <w:tcMar>
              <w:top w:w="0" w:type="dxa"/>
              <w:left w:w="108" w:type="dxa"/>
              <w:bottom w:w="0" w:type="dxa"/>
              <w:right w:w="108" w:type="dxa"/>
            </w:tcMar>
            <w:vAlign w:val="center"/>
          </w:tcPr>
          <w:p w14:paraId="347A1C5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36,685.37</w:t>
            </w:r>
          </w:p>
        </w:tc>
        <w:tc>
          <w:tcPr>
            <w:tcW w:w="667" w:type="pct"/>
            <w:shd w:val="clear" w:color="auto" w:fill="auto"/>
            <w:tcMar>
              <w:top w:w="0" w:type="dxa"/>
              <w:left w:w="108" w:type="dxa"/>
              <w:bottom w:w="0" w:type="dxa"/>
              <w:right w:w="108" w:type="dxa"/>
            </w:tcMar>
            <w:vAlign w:val="center"/>
          </w:tcPr>
          <w:p w14:paraId="4B9E927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r>
      <w:tr w:rsidR="006416B0" w:rsidRPr="00B4515A" w14:paraId="11898AD6" w14:textId="77777777" w:rsidTr="00031627">
        <w:trPr>
          <w:trHeight w:val="340"/>
          <w:jc w:val="center"/>
        </w:trPr>
        <w:tc>
          <w:tcPr>
            <w:tcW w:w="811" w:type="pct"/>
            <w:shd w:val="clear" w:color="auto" w:fill="auto"/>
            <w:tcMar>
              <w:top w:w="0" w:type="dxa"/>
              <w:left w:w="108" w:type="dxa"/>
              <w:bottom w:w="0" w:type="dxa"/>
              <w:right w:w="108" w:type="dxa"/>
            </w:tcMar>
            <w:vAlign w:val="center"/>
          </w:tcPr>
          <w:p w14:paraId="0D754A28"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其中：营业收入</w:t>
            </w:r>
          </w:p>
        </w:tc>
        <w:tc>
          <w:tcPr>
            <w:tcW w:w="723" w:type="pct"/>
            <w:shd w:val="clear" w:color="auto" w:fill="auto"/>
            <w:tcMar>
              <w:top w:w="0" w:type="dxa"/>
              <w:left w:w="108" w:type="dxa"/>
              <w:bottom w:w="0" w:type="dxa"/>
              <w:right w:w="108" w:type="dxa"/>
            </w:tcMar>
            <w:vAlign w:val="center"/>
          </w:tcPr>
          <w:p w14:paraId="67AA8B7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12,758.79</w:t>
            </w:r>
          </w:p>
        </w:tc>
        <w:tc>
          <w:tcPr>
            <w:tcW w:w="676" w:type="pct"/>
            <w:shd w:val="clear" w:color="auto" w:fill="auto"/>
            <w:tcMar>
              <w:top w:w="0" w:type="dxa"/>
              <w:left w:w="108" w:type="dxa"/>
              <w:bottom w:w="0" w:type="dxa"/>
              <w:right w:w="108" w:type="dxa"/>
            </w:tcMar>
            <w:vAlign w:val="center"/>
          </w:tcPr>
          <w:p w14:paraId="14B5312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c>
          <w:tcPr>
            <w:tcW w:w="723" w:type="pct"/>
            <w:shd w:val="clear" w:color="auto" w:fill="auto"/>
            <w:tcMar>
              <w:top w:w="0" w:type="dxa"/>
              <w:left w:w="108" w:type="dxa"/>
              <w:bottom w:w="0" w:type="dxa"/>
              <w:right w:w="108" w:type="dxa"/>
            </w:tcMar>
            <w:vAlign w:val="center"/>
          </w:tcPr>
          <w:p w14:paraId="062B14E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55,282.98</w:t>
            </w:r>
          </w:p>
        </w:tc>
        <w:tc>
          <w:tcPr>
            <w:tcW w:w="676" w:type="pct"/>
            <w:shd w:val="clear" w:color="auto" w:fill="auto"/>
            <w:tcMar>
              <w:top w:w="0" w:type="dxa"/>
              <w:left w:w="108" w:type="dxa"/>
              <w:bottom w:w="0" w:type="dxa"/>
              <w:right w:w="108" w:type="dxa"/>
            </w:tcMar>
            <w:vAlign w:val="center"/>
          </w:tcPr>
          <w:p w14:paraId="3DCDF88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c>
          <w:tcPr>
            <w:tcW w:w="723" w:type="pct"/>
            <w:shd w:val="clear" w:color="auto" w:fill="auto"/>
            <w:tcMar>
              <w:top w:w="0" w:type="dxa"/>
              <w:left w:w="108" w:type="dxa"/>
              <w:bottom w:w="0" w:type="dxa"/>
              <w:right w:w="108" w:type="dxa"/>
            </w:tcMar>
            <w:vAlign w:val="center"/>
          </w:tcPr>
          <w:p w14:paraId="21C40A4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36,685.37</w:t>
            </w:r>
          </w:p>
        </w:tc>
        <w:tc>
          <w:tcPr>
            <w:tcW w:w="667" w:type="pct"/>
            <w:shd w:val="clear" w:color="auto" w:fill="auto"/>
            <w:tcMar>
              <w:top w:w="0" w:type="dxa"/>
              <w:left w:w="108" w:type="dxa"/>
              <w:bottom w:w="0" w:type="dxa"/>
              <w:right w:w="108" w:type="dxa"/>
            </w:tcMar>
            <w:vAlign w:val="center"/>
          </w:tcPr>
          <w:p w14:paraId="78CAA78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r>
      <w:tr w:rsidR="006416B0" w:rsidRPr="00B4515A" w14:paraId="2D4945B2" w14:textId="77777777" w:rsidTr="00031627">
        <w:trPr>
          <w:trHeight w:val="340"/>
          <w:jc w:val="center"/>
        </w:trPr>
        <w:tc>
          <w:tcPr>
            <w:tcW w:w="811" w:type="pct"/>
            <w:shd w:val="clear" w:color="auto" w:fill="auto"/>
            <w:tcMar>
              <w:top w:w="0" w:type="dxa"/>
              <w:left w:w="108" w:type="dxa"/>
              <w:bottom w:w="0" w:type="dxa"/>
              <w:right w:w="108" w:type="dxa"/>
            </w:tcMar>
            <w:vAlign w:val="center"/>
          </w:tcPr>
          <w:p w14:paraId="649FEE69"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二、营业总成本</w:t>
            </w:r>
          </w:p>
        </w:tc>
        <w:tc>
          <w:tcPr>
            <w:tcW w:w="723" w:type="pct"/>
            <w:shd w:val="clear" w:color="auto" w:fill="auto"/>
            <w:tcMar>
              <w:top w:w="0" w:type="dxa"/>
              <w:left w:w="108" w:type="dxa"/>
              <w:bottom w:w="0" w:type="dxa"/>
              <w:right w:w="108" w:type="dxa"/>
            </w:tcMar>
            <w:vAlign w:val="center"/>
          </w:tcPr>
          <w:p w14:paraId="668A149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11,192.20</w:t>
            </w:r>
          </w:p>
        </w:tc>
        <w:tc>
          <w:tcPr>
            <w:tcW w:w="676" w:type="pct"/>
            <w:shd w:val="clear" w:color="auto" w:fill="auto"/>
            <w:tcMar>
              <w:top w:w="0" w:type="dxa"/>
              <w:left w:w="108" w:type="dxa"/>
              <w:bottom w:w="0" w:type="dxa"/>
              <w:right w:w="108" w:type="dxa"/>
            </w:tcMar>
            <w:vAlign w:val="center"/>
          </w:tcPr>
          <w:p w14:paraId="5A45255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87.72%</w:t>
            </w:r>
          </w:p>
        </w:tc>
        <w:tc>
          <w:tcPr>
            <w:tcW w:w="723" w:type="pct"/>
            <w:shd w:val="clear" w:color="auto" w:fill="auto"/>
            <w:tcMar>
              <w:top w:w="0" w:type="dxa"/>
              <w:left w:w="108" w:type="dxa"/>
              <w:bottom w:w="0" w:type="dxa"/>
              <w:right w:w="108" w:type="dxa"/>
            </w:tcMar>
            <w:vAlign w:val="center"/>
          </w:tcPr>
          <w:p w14:paraId="29B6932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50,265.41</w:t>
            </w:r>
          </w:p>
        </w:tc>
        <w:tc>
          <w:tcPr>
            <w:tcW w:w="676" w:type="pct"/>
            <w:shd w:val="clear" w:color="auto" w:fill="auto"/>
            <w:tcMar>
              <w:top w:w="0" w:type="dxa"/>
              <w:left w:w="108" w:type="dxa"/>
              <w:bottom w:w="0" w:type="dxa"/>
              <w:right w:w="108" w:type="dxa"/>
            </w:tcMar>
            <w:vAlign w:val="center"/>
          </w:tcPr>
          <w:p w14:paraId="5C385ED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90.92%</w:t>
            </w:r>
          </w:p>
        </w:tc>
        <w:tc>
          <w:tcPr>
            <w:tcW w:w="723" w:type="pct"/>
            <w:shd w:val="clear" w:color="auto" w:fill="auto"/>
            <w:tcMar>
              <w:top w:w="0" w:type="dxa"/>
              <w:left w:w="108" w:type="dxa"/>
              <w:bottom w:w="0" w:type="dxa"/>
              <w:right w:w="108" w:type="dxa"/>
            </w:tcMar>
            <w:vAlign w:val="center"/>
          </w:tcPr>
          <w:p w14:paraId="799B3AD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36,909.87</w:t>
            </w:r>
          </w:p>
        </w:tc>
        <w:tc>
          <w:tcPr>
            <w:tcW w:w="667" w:type="pct"/>
            <w:shd w:val="clear" w:color="auto" w:fill="auto"/>
            <w:tcMar>
              <w:top w:w="0" w:type="dxa"/>
              <w:left w:w="108" w:type="dxa"/>
              <w:bottom w:w="0" w:type="dxa"/>
              <w:right w:w="108" w:type="dxa"/>
            </w:tcMar>
            <w:vAlign w:val="center"/>
          </w:tcPr>
          <w:p w14:paraId="532E2B8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100.61%</w:t>
            </w:r>
          </w:p>
        </w:tc>
      </w:tr>
      <w:tr w:rsidR="006416B0" w:rsidRPr="00B4515A" w14:paraId="2C9AD29D" w14:textId="77777777" w:rsidTr="00031627">
        <w:trPr>
          <w:trHeight w:val="340"/>
          <w:jc w:val="center"/>
        </w:trPr>
        <w:tc>
          <w:tcPr>
            <w:tcW w:w="811" w:type="pct"/>
            <w:shd w:val="clear" w:color="auto" w:fill="auto"/>
            <w:tcMar>
              <w:top w:w="0" w:type="dxa"/>
              <w:left w:w="108" w:type="dxa"/>
              <w:bottom w:w="0" w:type="dxa"/>
              <w:right w:w="108" w:type="dxa"/>
            </w:tcMar>
            <w:vAlign w:val="center"/>
          </w:tcPr>
          <w:p w14:paraId="6F037B1A"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其中：营业成本</w:t>
            </w:r>
          </w:p>
        </w:tc>
        <w:tc>
          <w:tcPr>
            <w:tcW w:w="723" w:type="pct"/>
            <w:shd w:val="clear" w:color="auto" w:fill="auto"/>
            <w:tcMar>
              <w:top w:w="0" w:type="dxa"/>
              <w:left w:w="108" w:type="dxa"/>
              <w:bottom w:w="0" w:type="dxa"/>
              <w:right w:w="108" w:type="dxa"/>
            </w:tcMar>
            <w:vAlign w:val="center"/>
          </w:tcPr>
          <w:p w14:paraId="7396928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5,027.65</w:t>
            </w:r>
          </w:p>
        </w:tc>
        <w:tc>
          <w:tcPr>
            <w:tcW w:w="676" w:type="pct"/>
            <w:shd w:val="clear" w:color="auto" w:fill="auto"/>
            <w:tcMar>
              <w:top w:w="0" w:type="dxa"/>
              <w:left w:w="108" w:type="dxa"/>
              <w:bottom w:w="0" w:type="dxa"/>
              <w:right w:w="108" w:type="dxa"/>
            </w:tcMar>
            <w:vAlign w:val="center"/>
          </w:tcPr>
          <w:p w14:paraId="7280F9A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39.41%</w:t>
            </w:r>
          </w:p>
        </w:tc>
        <w:tc>
          <w:tcPr>
            <w:tcW w:w="723" w:type="pct"/>
            <w:shd w:val="clear" w:color="auto" w:fill="auto"/>
            <w:tcMar>
              <w:top w:w="0" w:type="dxa"/>
              <w:left w:w="108" w:type="dxa"/>
              <w:bottom w:w="0" w:type="dxa"/>
              <w:right w:w="108" w:type="dxa"/>
            </w:tcMar>
            <w:vAlign w:val="center"/>
          </w:tcPr>
          <w:p w14:paraId="58F71C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28,085.97</w:t>
            </w:r>
          </w:p>
        </w:tc>
        <w:tc>
          <w:tcPr>
            <w:tcW w:w="676" w:type="pct"/>
            <w:shd w:val="clear" w:color="auto" w:fill="auto"/>
            <w:tcMar>
              <w:top w:w="0" w:type="dxa"/>
              <w:left w:w="108" w:type="dxa"/>
              <w:bottom w:w="0" w:type="dxa"/>
              <w:right w:w="108" w:type="dxa"/>
            </w:tcMar>
            <w:vAlign w:val="center"/>
          </w:tcPr>
          <w:p w14:paraId="1B02570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50.80%</w:t>
            </w:r>
          </w:p>
        </w:tc>
        <w:tc>
          <w:tcPr>
            <w:tcW w:w="723" w:type="pct"/>
            <w:shd w:val="clear" w:color="auto" w:fill="auto"/>
            <w:tcMar>
              <w:top w:w="0" w:type="dxa"/>
              <w:left w:w="108" w:type="dxa"/>
              <w:bottom w:w="0" w:type="dxa"/>
              <w:right w:w="108" w:type="dxa"/>
            </w:tcMar>
            <w:vAlign w:val="center"/>
          </w:tcPr>
          <w:p w14:paraId="43D07FD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17,226.00</w:t>
            </w:r>
          </w:p>
        </w:tc>
        <w:tc>
          <w:tcPr>
            <w:tcW w:w="667" w:type="pct"/>
            <w:shd w:val="clear" w:color="auto" w:fill="auto"/>
            <w:tcMar>
              <w:top w:w="0" w:type="dxa"/>
              <w:left w:w="108" w:type="dxa"/>
              <w:bottom w:w="0" w:type="dxa"/>
              <w:right w:w="108" w:type="dxa"/>
            </w:tcMar>
            <w:vAlign w:val="center"/>
          </w:tcPr>
          <w:p w14:paraId="30C5BAC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46.96%</w:t>
            </w:r>
          </w:p>
        </w:tc>
      </w:tr>
      <w:tr w:rsidR="006416B0" w:rsidRPr="00B4515A" w14:paraId="1F2F67ED" w14:textId="77777777" w:rsidTr="00031627">
        <w:trPr>
          <w:trHeight w:val="340"/>
          <w:jc w:val="center"/>
        </w:trPr>
        <w:tc>
          <w:tcPr>
            <w:tcW w:w="811" w:type="pct"/>
            <w:shd w:val="clear" w:color="auto" w:fill="auto"/>
            <w:tcMar>
              <w:top w:w="0" w:type="dxa"/>
              <w:left w:w="108" w:type="dxa"/>
              <w:bottom w:w="0" w:type="dxa"/>
              <w:right w:w="108" w:type="dxa"/>
            </w:tcMar>
            <w:vAlign w:val="center"/>
          </w:tcPr>
          <w:p w14:paraId="4A8E899B"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税金及附加</w:t>
            </w:r>
          </w:p>
        </w:tc>
        <w:tc>
          <w:tcPr>
            <w:tcW w:w="723" w:type="pct"/>
            <w:shd w:val="clear" w:color="auto" w:fill="auto"/>
            <w:tcMar>
              <w:top w:w="0" w:type="dxa"/>
              <w:left w:w="108" w:type="dxa"/>
              <w:bottom w:w="0" w:type="dxa"/>
              <w:right w:w="108" w:type="dxa"/>
            </w:tcMar>
            <w:vAlign w:val="center"/>
          </w:tcPr>
          <w:p w14:paraId="5941DE7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92.00</w:t>
            </w:r>
          </w:p>
        </w:tc>
        <w:tc>
          <w:tcPr>
            <w:tcW w:w="676" w:type="pct"/>
            <w:shd w:val="clear" w:color="auto" w:fill="auto"/>
            <w:tcMar>
              <w:top w:w="0" w:type="dxa"/>
              <w:left w:w="108" w:type="dxa"/>
              <w:bottom w:w="0" w:type="dxa"/>
              <w:right w:w="108" w:type="dxa"/>
            </w:tcMar>
            <w:vAlign w:val="center"/>
          </w:tcPr>
          <w:p w14:paraId="4F006F4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0.72%</w:t>
            </w:r>
          </w:p>
        </w:tc>
        <w:tc>
          <w:tcPr>
            <w:tcW w:w="723" w:type="pct"/>
            <w:shd w:val="clear" w:color="auto" w:fill="auto"/>
            <w:tcMar>
              <w:top w:w="0" w:type="dxa"/>
              <w:left w:w="108" w:type="dxa"/>
              <w:bottom w:w="0" w:type="dxa"/>
              <w:right w:w="108" w:type="dxa"/>
            </w:tcMar>
            <w:vAlign w:val="center"/>
          </w:tcPr>
          <w:p w14:paraId="5EBA77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331.42</w:t>
            </w:r>
          </w:p>
        </w:tc>
        <w:tc>
          <w:tcPr>
            <w:tcW w:w="676" w:type="pct"/>
            <w:shd w:val="clear" w:color="auto" w:fill="auto"/>
            <w:tcMar>
              <w:top w:w="0" w:type="dxa"/>
              <w:left w:w="108" w:type="dxa"/>
              <w:bottom w:w="0" w:type="dxa"/>
              <w:right w:w="108" w:type="dxa"/>
            </w:tcMar>
            <w:vAlign w:val="center"/>
          </w:tcPr>
          <w:p w14:paraId="329867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0.60%</w:t>
            </w:r>
          </w:p>
        </w:tc>
        <w:tc>
          <w:tcPr>
            <w:tcW w:w="723" w:type="pct"/>
            <w:shd w:val="clear" w:color="auto" w:fill="auto"/>
            <w:tcMar>
              <w:top w:w="0" w:type="dxa"/>
              <w:left w:w="108" w:type="dxa"/>
              <w:bottom w:w="0" w:type="dxa"/>
              <w:right w:w="108" w:type="dxa"/>
            </w:tcMar>
            <w:vAlign w:val="center"/>
          </w:tcPr>
          <w:p w14:paraId="1BD09BE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314.51</w:t>
            </w:r>
          </w:p>
        </w:tc>
        <w:tc>
          <w:tcPr>
            <w:tcW w:w="667" w:type="pct"/>
            <w:shd w:val="clear" w:color="auto" w:fill="auto"/>
            <w:tcMar>
              <w:top w:w="0" w:type="dxa"/>
              <w:left w:w="108" w:type="dxa"/>
              <w:bottom w:w="0" w:type="dxa"/>
              <w:right w:w="108" w:type="dxa"/>
            </w:tcMar>
            <w:vAlign w:val="center"/>
          </w:tcPr>
          <w:p w14:paraId="2CFA738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0.86%</w:t>
            </w:r>
          </w:p>
        </w:tc>
      </w:tr>
      <w:tr w:rsidR="006416B0" w:rsidRPr="00B4515A" w14:paraId="4AD588F9" w14:textId="77777777" w:rsidTr="00031627">
        <w:trPr>
          <w:trHeight w:val="340"/>
          <w:jc w:val="center"/>
        </w:trPr>
        <w:tc>
          <w:tcPr>
            <w:tcW w:w="811" w:type="pct"/>
            <w:shd w:val="clear" w:color="auto" w:fill="auto"/>
            <w:tcMar>
              <w:top w:w="0" w:type="dxa"/>
              <w:left w:w="108" w:type="dxa"/>
              <w:bottom w:w="0" w:type="dxa"/>
              <w:right w:w="108" w:type="dxa"/>
            </w:tcMar>
            <w:vAlign w:val="center"/>
          </w:tcPr>
          <w:p w14:paraId="78B2AD0F"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销售费用</w:t>
            </w:r>
          </w:p>
        </w:tc>
        <w:tc>
          <w:tcPr>
            <w:tcW w:w="723" w:type="pct"/>
            <w:shd w:val="clear" w:color="auto" w:fill="auto"/>
            <w:tcMar>
              <w:top w:w="0" w:type="dxa"/>
              <w:left w:w="108" w:type="dxa"/>
              <w:bottom w:w="0" w:type="dxa"/>
              <w:right w:w="108" w:type="dxa"/>
            </w:tcMar>
            <w:vAlign w:val="center"/>
          </w:tcPr>
          <w:p w14:paraId="79A620F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485.07</w:t>
            </w:r>
          </w:p>
        </w:tc>
        <w:tc>
          <w:tcPr>
            <w:tcW w:w="676" w:type="pct"/>
            <w:shd w:val="clear" w:color="auto" w:fill="auto"/>
            <w:tcMar>
              <w:top w:w="0" w:type="dxa"/>
              <w:left w:w="108" w:type="dxa"/>
              <w:bottom w:w="0" w:type="dxa"/>
              <w:right w:w="108" w:type="dxa"/>
            </w:tcMar>
            <w:vAlign w:val="center"/>
          </w:tcPr>
          <w:p w14:paraId="754BA22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3.80%</w:t>
            </w:r>
          </w:p>
        </w:tc>
        <w:tc>
          <w:tcPr>
            <w:tcW w:w="723" w:type="pct"/>
            <w:shd w:val="clear" w:color="auto" w:fill="auto"/>
            <w:tcMar>
              <w:top w:w="0" w:type="dxa"/>
              <w:left w:w="108" w:type="dxa"/>
              <w:bottom w:w="0" w:type="dxa"/>
              <w:right w:w="108" w:type="dxa"/>
            </w:tcMar>
            <w:vAlign w:val="center"/>
          </w:tcPr>
          <w:p w14:paraId="7197DCA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1,976.47</w:t>
            </w:r>
          </w:p>
        </w:tc>
        <w:tc>
          <w:tcPr>
            <w:tcW w:w="676" w:type="pct"/>
            <w:shd w:val="clear" w:color="auto" w:fill="auto"/>
            <w:tcMar>
              <w:top w:w="0" w:type="dxa"/>
              <w:left w:w="108" w:type="dxa"/>
              <w:bottom w:w="0" w:type="dxa"/>
              <w:right w:w="108" w:type="dxa"/>
            </w:tcMar>
            <w:vAlign w:val="center"/>
          </w:tcPr>
          <w:p w14:paraId="69F9A91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3.58%</w:t>
            </w:r>
          </w:p>
        </w:tc>
        <w:tc>
          <w:tcPr>
            <w:tcW w:w="723" w:type="pct"/>
            <w:shd w:val="clear" w:color="auto" w:fill="auto"/>
            <w:tcMar>
              <w:top w:w="0" w:type="dxa"/>
              <w:left w:w="108" w:type="dxa"/>
              <w:bottom w:w="0" w:type="dxa"/>
              <w:right w:w="108" w:type="dxa"/>
            </w:tcMar>
            <w:vAlign w:val="center"/>
          </w:tcPr>
          <w:p w14:paraId="29D8EC3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2,351.27</w:t>
            </w:r>
          </w:p>
        </w:tc>
        <w:tc>
          <w:tcPr>
            <w:tcW w:w="667" w:type="pct"/>
            <w:shd w:val="clear" w:color="auto" w:fill="auto"/>
            <w:tcMar>
              <w:top w:w="0" w:type="dxa"/>
              <w:left w:w="108" w:type="dxa"/>
              <w:bottom w:w="0" w:type="dxa"/>
              <w:right w:w="108" w:type="dxa"/>
            </w:tcMar>
            <w:vAlign w:val="center"/>
          </w:tcPr>
          <w:p w14:paraId="01EBB6E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6.41%</w:t>
            </w:r>
          </w:p>
        </w:tc>
      </w:tr>
      <w:tr w:rsidR="006416B0" w:rsidRPr="00B4515A" w14:paraId="7F235C69" w14:textId="77777777" w:rsidTr="00031627">
        <w:trPr>
          <w:trHeight w:val="340"/>
          <w:jc w:val="center"/>
        </w:trPr>
        <w:tc>
          <w:tcPr>
            <w:tcW w:w="811" w:type="pct"/>
            <w:shd w:val="clear" w:color="auto" w:fill="auto"/>
            <w:tcMar>
              <w:top w:w="0" w:type="dxa"/>
              <w:left w:w="108" w:type="dxa"/>
              <w:bottom w:w="0" w:type="dxa"/>
              <w:right w:w="108" w:type="dxa"/>
            </w:tcMar>
            <w:vAlign w:val="center"/>
          </w:tcPr>
          <w:p w14:paraId="7CF4A15B"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管理费用</w:t>
            </w:r>
          </w:p>
        </w:tc>
        <w:tc>
          <w:tcPr>
            <w:tcW w:w="723" w:type="pct"/>
            <w:shd w:val="clear" w:color="auto" w:fill="auto"/>
            <w:tcMar>
              <w:top w:w="0" w:type="dxa"/>
              <w:left w:w="108" w:type="dxa"/>
              <w:bottom w:w="0" w:type="dxa"/>
              <w:right w:w="108" w:type="dxa"/>
            </w:tcMar>
            <w:vAlign w:val="center"/>
          </w:tcPr>
          <w:p w14:paraId="4FDF1C4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1,403.45</w:t>
            </w:r>
          </w:p>
        </w:tc>
        <w:tc>
          <w:tcPr>
            <w:tcW w:w="676" w:type="pct"/>
            <w:shd w:val="clear" w:color="auto" w:fill="auto"/>
            <w:tcMar>
              <w:top w:w="0" w:type="dxa"/>
              <w:left w:w="108" w:type="dxa"/>
              <w:bottom w:w="0" w:type="dxa"/>
              <w:right w:w="108" w:type="dxa"/>
            </w:tcMar>
            <w:vAlign w:val="center"/>
          </w:tcPr>
          <w:p w14:paraId="3D4D230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11.00%</w:t>
            </w:r>
          </w:p>
        </w:tc>
        <w:tc>
          <w:tcPr>
            <w:tcW w:w="723" w:type="pct"/>
            <w:shd w:val="clear" w:color="auto" w:fill="auto"/>
            <w:tcMar>
              <w:top w:w="0" w:type="dxa"/>
              <w:left w:w="108" w:type="dxa"/>
              <w:bottom w:w="0" w:type="dxa"/>
              <w:right w:w="108" w:type="dxa"/>
            </w:tcMar>
            <w:vAlign w:val="center"/>
          </w:tcPr>
          <w:p w14:paraId="53452C0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4,021.82</w:t>
            </w:r>
          </w:p>
        </w:tc>
        <w:tc>
          <w:tcPr>
            <w:tcW w:w="676" w:type="pct"/>
            <w:shd w:val="clear" w:color="auto" w:fill="auto"/>
            <w:tcMar>
              <w:top w:w="0" w:type="dxa"/>
              <w:left w:w="108" w:type="dxa"/>
              <w:bottom w:w="0" w:type="dxa"/>
              <w:right w:w="108" w:type="dxa"/>
            </w:tcMar>
            <w:vAlign w:val="center"/>
          </w:tcPr>
          <w:p w14:paraId="1FB66D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7.27%</w:t>
            </w:r>
          </w:p>
        </w:tc>
        <w:tc>
          <w:tcPr>
            <w:tcW w:w="723" w:type="pct"/>
            <w:shd w:val="clear" w:color="auto" w:fill="auto"/>
            <w:tcMar>
              <w:top w:w="0" w:type="dxa"/>
              <w:left w:w="108" w:type="dxa"/>
              <w:bottom w:w="0" w:type="dxa"/>
              <w:right w:w="108" w:type="dxa"/>
            </w:tcMar>
            <w:vAlign w:val="center"/>
          </w:tcPr>
          <w:p w14:paraId="34A4A43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4,343.41</w:t>
            </w:r>
          </w:p>
        </w:tc>
        <w:tc>
          <w:tcPr>
            <w:tcW w:w="667" w:type="pct"/>
            <w:shd w:val="clear" w:color="auto" w:fill="auto"/>
            <w:tcMar>
              <w:top w:w="0" w:type="dxa"/>
              <w:left w:w="108" w:type="dxa"/>
              <w:bottom w:w="0" w:type="dxa"/>
              <w:right w:w="108" w:type="dxa"/>
            </w:tcMar>
            <w:vAlign w:val="center"/>
          </w:tcPr>
          <w:p w14:paraId="2B3DDBB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11.84%</w:t>
            </w:r>
          </w:p>
        </w:tc>
      </w:tr>
      <w:tr w:rsidR="006416B0" w:rsidRPr="00B4515A" w14:paraId="7319A2E9" w14:textId="77777777" w:rsidTr="00031627">
        <w:trPr>
          <w:trHeight w:val="340"/>
          <w:jc w:val="center"/>
        </w:trPr>
        <w:tc>
          <w:tcPr>
            <w:tcW w:w="811" w:type="pct"/>
            <w:shd w:val="clear" w:color="auto" w:fill="auto"/>
            <w:tcMar>
              <w:top w:w="0" w:type="dxa"/>
              <w:left w:w="108" w:type="dxa"/>
              <w:bottom w:w="0" w:type="dxa"/>
              <w:right w:w="108" w:type="dxa"/>
            </w:tcMar>
            <w:vAlign w:val="center"/>
          </w:tcPr>
          <w:p w14:paraId="0A9D334A"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研发费用</w:t>
            </w:r>
          </w:p>
        </w:tc>
        <w:tc>
          <w:tcPr>
            <w:tcW w:w="723" w:type="pct"/>
            <w:shd w:val="clear" w:color="auto" w:fill="auto"/>
            <w:tcMar>
              <w:top w:w="0" w:type="dxa"/>
              <w:left w:w="108" w:type="dxa"/>
              <w:bottom w:w="0" w:type="dxa"/>
              <w:right w:w="108" w:type="dxa"/>
            </w:tcMar>
            <w:vAlign w:val="center"/>
          </w:tcPr>
          <w:p w14:paraId="4BC55D3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3,958.06</w:t>
            </w:r>
          </w:p>
        </w:tc>
        <w:tc>
          <w:tcPr>
            <w:tcW w:w="676" w:type="pct"/>
            <w:shd w:val="clear" w:color="auto" w:fill="auto"/>
            <w:tcMar>
              <w:top w:w="0" w:type="dxa"/>
              <w:left w:w="108" w:type="dxa"/>
              <w:bottom w:w="0" w:type="dxa"/>
              <w:right w:w="108" w:type="dxa"/>
            </w:tcMar>
            <w:vAlign w:val="center"/>
          </w:tcPr>
          <w:p w14:paraId="6D9533A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31.02%</w:t>
            </w:r>
          </w:p>
        </w:tc>
        <w:tc>
          <w:tcPr>
            <w:tcW w:w="723" w:type="pct"/>
            <w:shd w:val="clear" w:color="auto" w:fill="auto"/>
            <w:tcMar>
              <w:top w:w="0" w:type="dxa"/>
              <w:left w:w="108" w:type="dxa"/>
              <w:bottom w:w="0" w:type="dxa"/>
              <w:right w:w="108" w:type="dxa"/>
            </w:tcMar>
            <w:vAlign w:val="center"/>
          </w:tcPr>
          <w:p w14:paraId="0FEBB4D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13,456.57</w:t>
            </w:r>
          </w:p>
        </w:tc>
        <w:tc>
          <w:tcPr>
            <w:tcW w:w="676" w:type="pct"/>
            <w:shd w:val="clear" w:color="auto" w:fill="auto"/>
            <w:tcMar>
              <w:top w:w="0" w:type="dxa"/>
              <w:left w:w="108" w:type="dxa"/>
              <w:bottom w:w="0" w:type="dxa"/>
              <w:right w:w="108" w:type="dxa"/>
            </w:tcMar>
            <w:vAlign w:val="center"/>
          </w:tcPr>
          <w:p w14:paraId="6085328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24.34%</w:t>
            </w:r>
          </w:p>
        </w:tc>
        <w:tc>
          <w:tcPr>
            <w:tcW w:w="723" w:type="pct"/>
            <w:shd w:val="clear" w:color="auto" w:fill="auto"/>
            <w:tcMar>
              <w:top w:w="0" w:type="dxa"/>
              <w:left w:w="108" w:type="dxa"/>
              <w:bottom w:w="0" w:type="dxa"/>
              <w:right w:w="108" w:type="dxa"/>
            </w:tcMar>
            <w:vAlign w:val="center"/>
          </w:tcPr>
          <w:p w14:paraId="70EF8AF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10,690.98</w:t>
            </w:r>
          </w:p>
        </w:tc>
        <w:tc>
          <w:tcPr>
            <w:tcW w:w="667" w:type="pct"/>
            <w:shd w:val="clear" w:color="auto" w:fill="auto"/>
            <w:tcMar>
              <w:top w:w="0" w:type="dxa"/>
              <w:left w:w="108" w:type="dxa"/>
              <w:bottom w:w="0" w:type="dxa"/>
              <w:right w:w="108" w:type="dxa"/>
            </w:tcMar>
            <w:vAlign w:val="center"/>
          </w:tcPr>
          <w:p w14:paraId="30B38C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29.14%</w:t>
            </w:r>
          </w:p>
        </w:tc>
      </w:tr>
      <w:tr w:rsidR="006416B0" w:rsidRPr="00B4515A" w14:paraId="122109CA" w14:textId="77777777" w:rsidTr="00031627">
        <w:trPr>
          <w:trHeight w:val="340"/>
          <w:jc w:val="center"/>
        </w:trPr>
        <w:tc>
          <w:tcPr>
            <w:tcW w:w="811" w:type="pct"/>
            <w:shd w:val="clear" w:color="auto" w:fill="auto"/>
            <w:tcMar>
              <w:top w:w="0" w:type="dxa"/>
              <w:left w:w="108" w:type="dxa"/>
              <w:bottom w:w="0" w:type="dxa"/>
              <w:right w:w="108" w:type="dxa"/>
            </w:tcMar>
            <w:vAlign w:val="center"/>
          </w:tcPr>
          <w:p w14:paraId="398BAF0B"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财务费用</w:t>
            </w:r>
          </w:p>
        </w:tc>
        <w:tc>
          <w:tcPr>
            <w:tcW w:w="723" w:type="pct"/>
            <w:shd w:val="clear" w:color="auto" w:fill="auto"/>
            <w:tcMar>
              <w:top w:w="0" w:type="dxa"/>
              <w:left w:w="108" w:type="dxa"/>
              <w:bottom w:w="0" w:type="dxa"/>
              <w:right w:w="108" w:type="dxa"/>
            </w:tcMar>
            <w:vAlign w:val="center"/>
          </w:tcPr>
          <w:p w14:paraId="3EC7102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225.97</w:t>
            </w:r>
          </w:p>
        </w:tc>
        <w:tc>
          <w:tcPr>
            <w:tcW w:w="676" w:type="pct"/>
            <w:shd w:val="clear" w:color="auto" w:fill="auto"/>
            <w:tcMar>
              <w:top w:w="0" w:type="dxa"/>
              <w:left w:w="108" w:type="dxa"/>
              <w:bottom w:w="0" w:type="dxa"/>
              <w:right w:w="108" w:type="dxa"/>
            </w:tcMar>
            <w:vAlign w:val="center"/>
          </w:tcPr>
          <w:p w14:paraId="75C2F21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1.77%</w:t>
            </w:r>
          </w:p>
        </w:tc>
        <w:tc>
          <w:tcPr>
            <w:tcW w:w="723" w:type="pct"/>
            <w:shd w:val="clear" w:color="auto" w:fill="auto"/>
            <w:tcMar>
              <w:top w:w="0" w:type="dxa"/>
              <w:left w:w="108" w:type="dxa"/>
              <w:bottom w:w="0" w:type="dxa"/>
              <w:right w:w="108" w:type="dxa"/>
            </w:tcMar>
            <w:vAlign w:val="center"/>
          </w:tcPr>
          <w:p w14:paraId="52CD70D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2,393.15</w:t>
            </w:r>
          </w:p>
        </w:tc>
        <w:tc>
          <w:tcPr>
            <w:tcW w:w="676" w:type="pct"/>
            <w:shd w:val="clear" w:color="auto" w:fill="auto"/>
            <w:tcMar>
              <w:top w:w="0" w:type="dxa"/>
              <w:left w:w="108" w:type="dxa"/>
              <w:bottom w:w="0" w:type="dxa"/>
              <w:right w:w="108" w:type="dxa"/>
            </w:tcMar>
            <w:vAlign w:val="center"/>
          </w:tcPr>
          <w:p w14:paraId="2E6E828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4.33%</w:t>
            </w:r>
          </w:p>
        </w:tc>
        <w:tc>
          <w:tcPr>
            <w:tcW w:w="723" w:type="pct"/>
            <w:shd w:val="clear" w:color="auto" w:fill="auto"/>
            <w:tcMar>
              <w:top w:w="0" w:type="dxa"/>
              <w:left w:w="108" w:type="dxa"/>
              <w:bottom w:w="0" w:type="dxa"/>
              <w:right w:w="108" w:type="dxa"/>
            </w:tcMar>
            <w:vAlign w:val="center"/>
          </w:tcPr>
          <w:p w14:paraId="60935FF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1,983.71</w:t>
            </w:r>
          </w:p>
        </w:tc>
        <w:tc>
          <w:tcPr>
            <w:tcW w:w="667" w:type="pct"/>
            <w:shd w:val="clear" w:color="auto" w:fill="auto"/>
            <w:tcMar>
              <w:top w:w="0" w:type="dxa"/>
              <w:left w:w="108" w:type="dxa"/>
              <w:bottom w:w="0" w:type="dxa"/>
              <w:right w:w="108" w:type="dxa"/>
            </w:tcMar>
            <w:vAlign w:val="center"/>
          </w:tcPr>
          <w:p w14:paraId="10D68E6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5.41%</w:t>
            </w:r>
          </w:p>
        </w:tc>
      </w:tr>
      <w:tr w:rsidR="006416B0" w:rsidRPr="00B4515A" w14:paraId="63D076EB" w14:textId="77777777" w:rsidTr="00031627">
        <w:trPr>
          <w:trHeight w:val="340"/>
          <w:jc w:val="center"/>
        </w:trPr>
        <w:tc>
          <w:tcPr>
            <w:tcW w:w="811" w:type="pct"/>
            <w:shd w:val="clear" w:color="auto" w:fill="auto"/>
            <w:tcMar>
              <w:top w:w="0" w:type="dxa"/>
              <w:left w:w="108" w:type="dxa"/>
              <w:bottom w:w="0" w:type="dxa"/>
              <w:right w:w="108" w:type="dxa"/>
            </w:tcMar>
            <w:vAlign w:val="center"/>
          </w:tcPr>
          <w:p w14:paraId="1881491A"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其中：利息费用</w:t>
            </w:r>
          </w:p>
        </w:tc>
        <w:tc>
          <w:tcPr>
            <w:tcW w:w="723" w:type="pct"/>
            <w:shd w:val="clear" w:color="auto" w:fill="auto"/>
            <w:tcMar>
              <w:top w:w="0" w:type="dxa"/>
              <w:left w:w="108" w:type="dxa"/>
              <w:bottom w:w="0" w:type="dxa"/>
              <w:right w:w="108" w:type="dxa"/>
            </w:tcMar>
            <w:vAlign w:val="center"/>
          </w:tcPr>
          <w:p w14:paraId="32DE1F3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242.96</w:t>
            </w:r>
          </w:p>
        </w:tc>
        <w:tc>
          <w:tcPr>
            <w:tcW w:w="676" w:type="pct"/>
            <w:shd w:val="clear" w:color="auto" w:fill="auto"/>
            <w:tcMar>
              <w:top w:w="0" w:type="dxa"/>
              <w:left w:w="108" w:type="dxa"/>
              <w:bottom w:w="0" w:type="dxa"/>
              <w:right w:w="108" w:type="dxa"/>
            </w:tcMar>
            <w:vAlign w:val="center"/>
          </w:tcPr>
          <w:p w14:paraId="0E5F963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1.90%</w:t>
            </w:r>
          </w:p>
        </w:tc>
        <w:tc>
          <w:tcPr>
            <w:tcW w:w="723" w:type="pct"/>
            <w:shd w:val="clear" w:color="auto" w:fill="auto"/>
            <w:tcMar>
              <w:top w:w="0" w:type="dxa"/>
              <w:left w:w="108" w:type="dxa"/>
              <w:bottom w:w="0" w:type="dxa"/>
              <w:right w:w="108" w:type="dxa"/>
            </w:tcMar>
            <w:vAlign w:val="center"/>
          </w:tcPr>
          <w:p w14:paraId="04124F5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2,415.09</w:t>
            </w:r>
          </w:p>
        </w:tc>
        <w:tc>
          <w:tcPr>
            <w:tcW w:w="676" w:type="pct"/>
            <w:shd w:val="clear" w:color="auto" w:fill="auto"/>
            <w:tcMar>
              <w:top w:w="0" w:type="dxa"/>
              <w:left w:w="108" w:type="dxa"/>
              <w:bottom w:w="0" w:type="dxa"/>
              <w:right w:w="108" w:type="dxa"/>
            </w:tcMar>
            <w:vAlign w:val="center"/>
          </w:tcPr>
          <w:p w14:paraId="4D7984A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4.37%</w:t>
            </w:r>
          </w:p>
        </w:tc>
        <w:tc>
          <w:tcPr>
            <w:tcW w:w="723" w:type="pct"/>
            <w:shd w:val="clear" w:color="auto" w:fill="auto"/>
            <w:tcMar>
              <w:top w:w="0" w:type="dxa"/>
              <w:left w:w="108" w:type="dxa"/>
              <w:bottom w:w="0" w:type="dxa"/>
              <w:right w:w="108" w:type="dxa"/>
            </w:tcMar>
            <w:vAlign w:val="center"/>
          </w:tcPr>
          <w:p w14:paraId="49E2FDA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1,991.01</w:t>
            </w:r>
          </w:p>
        </w:tc>
        <w:tc>
          <w:tcPr>
            <w:tcW w:w="667" w:type="pct"/>
            <w:shd w:val="clear" w:color="auto" w:fill="auto"/>
            <w:tcMar>
              <w:top w:w="0" w:type="dxa"/>
              <w:left w:w="108" w:type="dxa"/>
              <w:bottom w:w="0" w:type="dxa"/>
              <w:right w:w="108" w:type="dxa"/>
            </w:tcMar>
            <w:vAlign w:val="center"/>
          </w:tcPr>
          <w:p w14:paraId="242969E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5.43%</w:t>
            </w:r>
          </w:p>
        </w:tc>
      </w:tr>
      <w:tr w:rsidR="006416B0" w:rsidRPr="00B4515A" w14:paraId="2D5571C5" w14:textId="77777777" w:rsidTr="00031627">
        <w:trPr>
          <w:trHeight w:val="340"/>
          <w:jc w:val="center"/>
        </w:trPr>
        <w:tc>
          <w:tcPr>
            <w:tcW w:w="811" w:type="pct"/>
            <w:shd w:val="clear" w:color="auto" w:fill="auto"/>
            <w:tcMar>
              <w:top w:w="0" w:type="dxa"/>
              <w:left w:w="108" w:type="dxa"/>
              <w:bottom w:w="0" w:type="dxa"/>
              <w:right w:w="108" w:type="dxa"/>
            </w:tcMar>
            <w:vAlign w:val="center"/>
          </w:tcPr>
          <w:p w14:paraId="4F6EF175"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利息收入</w:t>
            </w:r>
          </w:p>
        </w:tc>
        <w:tc>
          <w:tcPr>
            <w:tcW w:w="723" w:type="pct"/>
            <w:shd w:val="clear" w:color="auto" w:fill="auto"/>
            <w:tcMar>
              <w:top w:w="0" w:type="dxa"/>
              <w:left w:w="108" w:type="dxa"/>
              <w:bottom w:w="0" w:type="dxa"/>
              <w:right w:w="108" w:type="dxa"/>
            </w:tcMar>
            <w:vAlign w:val="center"/>
          </w:tcPr>
          <w:p w14:paraId="6E31F86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18.84</w:t>
            </w:r>
          </w:p>
        </w:tc>
        <w:tc>
          <w:tcPr>
            <w:tcW w:w="676" w:type="pct"/>
            <w:shd w:val="clear" w:color="auto" w:fill="auto"/>
            <w:tcMar>
              <w:top w:w="0" w:type="dxa"/>
              <w:left w:w="108" w:type="dxa"/>
              <w:bottom w:w="0" w:type="dxa"/>
              <w:right w:w="108" w:type="dxa"/>
            </w:tcMar>
            <w:vAlign w:val="center"/>
          </w:tcPr>
          <w:p w14:paraId="0E13A4F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0.15%</w:t>
            </w:r>
          </w:p>
        </w:tc>
        <w:tc>
          <w:tcPr>
            <w:tcW w:w="723" w:type="pct"/>
            <w:shd w:val="clear" w:color="auto" w:fill="auto"/>
            <w:tcMar>
              <w:top w:w="0" w:type="dxa"/>
              <w:left w:w="108" w:type="dxa"/>
              <w:bottom w:w="0" w:type="dxa"/>
              <w:right w:w="108" w:type="dxa"/>
            </w:tcMar>
            <w:vAlign w:val="center"/>
          </w:tcPr>
          <w:p w14:paraId="22AD7DD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32.33</w:t>
            </w:r>
          </w:p>
        </w:tc>
        <w:tc>
          <w:tcPr>
            <w:tcW w:w="676" w:type="pct"/>
            <w:shd w:val="clear" w:color="auto" w:fill="auto"/>
            <w:tcMar>
              <w:top w:w="0" w:type="dxa"/>
              <w:left w:w="108" w:type="dxa"/>
              <w:bottom w:w="0" w:type="dxa"/>
              <w:right w:w="108" w:type="dxa"/>
            </w:tcMar>
            <w:vAlign w:val="center"/>
          </w:tcPr>
          <w:p w14:paraId="74C070B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0.06%</w:t>
            </w:r>
          </w:p>
        </w:tc>
        <w:tc>
          <w:tcPr>
            <w:tcW w:w="723" w:type="pct"/>
            <w:shd w:val="clear" w:color="auto" w:fill="auto"/>
            <w:tcMar>
              <w:top w:w="0" w:type="dxa"/>
              <w:left w:w="108" w:type="dxa"/>
              <w:bottom w:w="0" w:type="dxa"/>
              <w:right w:w="108" w:type="dxa"/>
            </w:tcMar>
            <w:vAlign w:val="center"/>
          </w:tcPr>
          <w:p w14:paraId="15B1531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13.12</w:t>
            </w:r>
          </w:p>
        </w:tc>
        <w:tc>
          <w:tcPr>
            <w:tcW w:w="667" w:type="pct"/>
            <w:shd w:val="clear" w:color="auto" w:fill="auto"/>
            <w:tcMar>
              <w:top w:w="0" w:type="dxa"/>
              <w:left w:w="108" w:type="dxa"/>
              <w:bottom w:w="0" w:type="dxa"/>
              <w:right w:w="108" w:type="dxa"/>
            </w:tcMar>
            <w:vAlign w:val="center"/>
          </w:tcPr>
          <w:p w14:paraId="4ECD196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0.04%</w:t>
            </w:r>
          </w:p>
        </w:tc>
      </w:tr>
      <w:tr w:rsidR="006416B0" w:rsidRPr="00B4515A" w14:paraId="50E46E0D" w14:textId="77777777" w:rsidTr="00031627">
        <w:trPr>
          <w:trHeight w:val="340"/>
          <w:jc w:val="center"/>
        </w:trPr>
        <w:tc>
          <w:tcPr>
            <w:tcW w:w="811" w:type="pct"/>
            <w:shd w:val="clear" w:color="auto" w:fill="auto"/>
            <w:tcMar>
              <w:top w:w="0" w:type="dxa"/>
              <w:left w:w="108" w:type="dxa"/>
              <w:bottom w:w="0" w:type="dxa"/>
              <w:right w:w="108" w:type="dxa"/>
            </w:tcMar>
            <w:vAlign w:val="center"/>
          </w:tcPr>
          <w:p w14:paraId="41FA601E"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加：其他收益</w:t>
            </w:r>
          </w:p>
        </w:tc>
        <w:tc>
          <w:tcPr>
            <w:tcW w:w="723" w:type="pct"/>
            <w:shd w:val="clear" w:color="auto" w:fill="auto"/>
            <w:tcMar>
              <w:top w:w="0" w:type="dxa"/>
              <w:left w:w="108" w:type="dxa"/>
              <w:bottom w:w="0" w:type="dxa"/>
              <w:right w:w="108" w:type="dxa"/>
            </w:tcMar>
            <w:vAlign w:val="center"/>
          </w:tcPr>
          <w:p w14:paraId="3D4638A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12.76</w:t>
            </w:r>
          </w:p>
        </w:tc>
        <w:tc>
          <w:tcPr>
            <w:tcW w:w="676" w:type="pct"/>
            <w:shd w:val="clear" w:color="auto" w:fill="auto"/>
            <w:tcMar>
              <w:top w:w="0" w:type="dxa"/>
              <w:left w:w="108" w:type="dxa"/>
              <w:bottom w:w="0" w:type="dxa"/>
              <w:right w:w="108" w:type="dxa"/>
            </w:tcMar>
            <w:vAlign w:val="center"/>
          </w:tcPr>
          <w:p w14:paraId="49F89C7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0.10%</w:t>
            </w:r>
          </w:p>
        </w:tc>
        <w:tc>
          <w:tcPr>
            <w:tcW w:w="723" w:type="pct"/>
            <w:shd w:val="clear" w:color="auto" w:fill="auto"/>
            <w:tcMar>
              <w:top w:w="0" w:type="dxa"/>
              <w:left w:w="108" w:type="dxa"/>
              <w:bottom w:w="0" w:type="dxa"/>
              <w:right w:w="108" w:type="dxa"/>
            </w:tcMar>
            <w:vAlign w:val="center"/>
          </w:tcPr>
          <w:p w14:paraId="6197386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16.70</w:t>
            </w:r>
          </w:p>
        </w:tc>
        <w:tc>
          <w:tcPr>
            <w:tcW w:w="676" w:type="pct"/>
            <w:shd w:val="clear" w:color="auto" w:fill="auto"/>
            <w:tcMar>
              <w:top w:w="0" w:type="dxa"/>
              <w:left w:w="108" w:type="dxa"/>
              <w:bottom w:w="0" w:type="dxa"/>
              <w:right w:w="108" w:type="dxa"/>
            </w:tcMar>
            <w:vAlign w:val="center"/>
          </w:tcPr>
          <w:p w14:paraId="015AAF1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0.03%</w:t>
            </w:r>
          </w:p>
        </w:tc>
        <w:tc>
          <w:tcPr>
            <w:tcW w:w="723" w:type="pct"/>
            <w:shd w:val="clear" w:color="auto" w:fill="auto"/>
            <w:tcMar>
              <w:top w:w="0" w:type="dxa"/>
              <w:left w:w="108" w:type="dxa"/>
              <w:bottom w:w="0" w:type="dxa"/>
              <w:right w:w="108" w:type="dxa"/>
            </w:tcMar>
            <w:vAlign w:val="center"/>
          </w:tcPr>
          <w:p w14:paraId="0EFBD4A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74.02</w:t>
            </w:r>
          </w:p>
        </w:tc>
        <w:tc>
          <w:tcPr>
            <w:tcW w:w="667" w:type="pct"/>
            <w:shd w:val="clear" w:color="auto" w:fill="auto"/>
            <w:tcMar>
              <w:top w:w="0" w:type="dxa"/>
              <w:left w:w="108" w:type="dxa"/>
              <w:bottom w:w="0" w:type="dxa"/>
              <w:right w:w="108" w:type="dxa"/>
            </w:tcMar>
            <w:vAlign w:val="center"/>
          </w:tcPr>
          <w:p w14:paraId="6E19051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0.20%</w:t>
            </w:r>
          </w:p>
        </w:tc>
      </w:tr>
      <w:tr w:rsidR="006416B0" w:rsidRPr="00B4515A" w14:paraId="4477A6A6" w14:textId="77777777" w:rsidTr="00031627">
        <w:trPr>
          <w:trHeight w:val="340"/>
          <w:jc w:val="center"/>
        </w:trPr>
        <w:tc>
          <w:tcPr>
            <w:tcW w:w="811" w:type="pct"/>
            <w:shd w:val="clear" w:color="auto" w:fill="auto"/>
            <w:tcMar>
              <w:top w:w="0" w:type="dxa"/>
              <w:left w:w="108" w:type="dxa"/>
              <w:bottom w:w="0" w:type="dxa"/>
              <w:right w:w="108" w:type="dxa"/>
            </w:tcMar>
            <w:vAlign w:val="center"/>
          </w:tcPr>
          <w:p w14:paraId="665EB72C"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投资收益（损失以</w:t>
            </w:r>
            <w:r w:rsidRPr="00B4515A">
              <w:rPr>
                <w:rFonts w:cs="Times New Roman"/>
                <w:color w:val="000000"/>
                <w:sz w:val="21"/>
                <w:szCs w:val="21"/>
              </w:rPr>
              <w:t>“</w:t>
            </w:r>
            <w:r w:rsidRPr="00B4515A">
              <w:rPr>
                <w:rFonts w:ascii="Times New Roman" w:eastAsiaTheme="minorEastAsia" w:hAnsi="Times New Roman" w:cs="Times New Roman"/>
                <w:color w:val="000000"/>
                <w:sz w:val="21"/>
                <w:szCs w:val="21"/>
              </w:rPr>
              <w:t>-</w:t>
            </w:r>
            <w:r w:rsidRPr="00B4515A">
              <w:rPr>
                <w:rFonts w:cs="Times New Roman"/>
                <w:color w:val="000000"/>
                <w:sz w:val="21"/>
                <w:szCs w:val="21"/>
              </w:rPr>
              <w:t>”</w:t>
            </w:r>
            <w:r w:rsidRPr="00B4515A">
              <w:rPr>
                <w:rFonts w:ascii="Times New Roman" w:eastAsiaTheme="minorEastAsia" w:hAnsi="Times New Roman" w:cs="Times New Roman" w:hint="eastAsia"/>
                <w:color w:val="000000"/>
                <w:sz w:val="21"/>
                <w:szCs w:val="21"/>
              </w:rPr>
              <w:t>号填列）</w:t>
            </w:r>
          </w:p>
        </w:tc>
        <w:tc>
          <w:tcPr>
            <w:tcW w:w="723" w:type="pct"/>
            <w:shd w:val="clear" w:color="auto" w:fill="auto"/>
            <w:tcMar>
              <w:top w:w="0" w:type="dxa"/>
              <w:left w:w="108" w:type="dxa"/>
              <w:bottom w:w="0" w:type="dxa"/>
              <w:right w:w="108" w:type="dxa"/>
            </w:tcMar>
            <w:vAlign w:val="center"/>
          </w:tcPr>
          <w:p w14:paraId="5AA5F3A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2B80C08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0567E99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7E79362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0B201A8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1,546.32</w:t>
            </w:r>
          </w:p>
        </w:tc>
        <w:tc>
          <w:tcPr>
            <w:tcW w:w="667" w:type="pct"/>
            <w:shd w:val="clear" w:color="auto" w:fill="auto"/>
            <w:tcMar>
              <w:top w:w="0" w:type="dxa"/>
              <w:left w:w="108" w:type="dxa"/>
              <w:bottom w:w="0" w:type="dxa"/>
              <w:right w:w="108" w:type="dxa"/>
            </w:tcMar>
            <w:vAlign w:val="center"/>
          </w:tcPr>
          <w:p w14:paraId="69A6F0F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4.22%</w:t>
            </w:r>
          </w:p>
        </w:tc>
      </w:tr>
      <w:tr w:rsidR="006416B0" w:rsidRPr="00B4515A" w14:paraId="1ACA7282" w14:textId="77777777" w:rsidTr="00031627">
        <w:trPr>
          <w:trHeight w:val="340"/>
          <w:jc w:val="center"/>
        </w:trPr>
        <w:tc>
          <w:tcPr>
            <w:tcW w:w="811" w:type="pct"/>
            <w:shd w:val="clear" w:color="auto" w:fill="auto"/>
            <w:tcMar>
              <w:top w:w="0" w:type="dxa"/>
              <w:left w:w="108" w:type="dxa"/>
              <w:bottom w:w="0" w:type="dxa"/>
              <w:right w:w="108" w:type="dxa"/>
            </w:tcMar>
            <w:vAlign w:val="center"/>
          </w:tcPr>
          <w:p w14:paraId="3D410380"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信用减值损失（损失以</w:t>
            </w:r>
            <w:r w:rsidRPr="00B4515A">
              <w:rPr>
                <w:rFonts w:cs="Times New Roman"/>
                <w:color w:val="000000"/>
                <w:sz w:val="21"/>
                <w:szCs w:val="21"/>
              </w:rPr>
              <w:t>“</w:t>
            </w:r>
            <w:r w:rsidRPr="00B4515A">
              <w:rPr>
                <w:rFonts w:ascii="Times New Roman" w:eastAsiaTheme="minorEastAsia" w:hAnsi="Times New Roman" w:cs="Times New Roman"/>
                <w:color w:val="000000"/>
                <w:sz w:val="21"/>
                <w:szCs w:val="21"/>
              </w:rPr>
              <w:t>-</w:t>
            </w:r>
            <w:r w:rsidRPr="00B4515A">
              <w:rPr>
                <w:rFonts w:cs="Times New Roman"/>
                <w:color w:val="000000"/>
                <w:sz w:val="21"/>
                <w:szCs w:val="21"/>
              </w:rPr>
              <w:t>”</w:t>
            </w:r>
            <w:r w:rsidRPr="00B4515A">
              <w:rPr>
                <w:rFonts w:ascii="Times New Roman" w:eastAsiaTheme="minorEastAsia" w:hAnsi="Times New Roman" w:cs="Times New Roman" w:hint="eastAsia"/>
                <w:color w:val="000000"/>
                <w:sz w:val="21"/>
                <w:szCs w:val="21"/>
              </w:rPr>
              <w:t>号填列）</w:t>
            </w:r>
          </w:p>
        </w:tc>
        <w:tc>
          <w:tcPr>
            <w:tcW w:w="723" w:type="pct"/>
            <w:shd w:val="clear" w:color="auto" w:fill="auto"/>
            <w:tcMar>
              <w:top w:w="0" w:type="dxa"/>
              <w:left w:w="108" w:type="dxa"/>
              <w:bottom w:w="0" w:type="dxa"/>
              <w:right w:w="108" w:type="dxa"/>
            </w:tcMar>
            <w:vAlign w:val="center"/>
          </w:tcPr>
          <w:p w14:paraId="02300D2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-733.29</w:t>
            </w:r>
          </w:p>
        </w:tc>
        <w:tc>
          <w:tcPr>
            <w:tcW w:w="676" w:type="pct"/>
            <w:shd w:val="clear" w:color="auto" w:fill="auto"/>
            <w:tcMar>
              <w:top w:w="0" w:type="dxa"/>
              <w:left w:w="108" w:type="dxa"/>
              <w:bottom w:w="0" w:type="dxa"/>
              <w:right w:w="108" w:type="dxa"/>
            </w:tcMar>
            <w:vAlign w:val="center"/>
          </w:tcPr>
          <w:p w14:paraId="08749DB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-5.75%</w:t>
            </w:r>
          </w:p>
        </w:tc>
        <w:tc>
          <w:tcPr>
            <w:tcW w:w="723" w:type="pct"/>
            <w:shd w:val="clear" w:color="auto" w:fill="auto"/>
            <w:tcMar>
              <w:top w:w="0" w:type="dxa"/>
              <w:left w:w="108" w:type="dxa"/>
              <w:bottom w:w="0" w:type="dxa"/>
              <w:right w:w="108" w:type="dxa"/>
            </w:tcMar>
            <w:vAlign w:val="center"/>
          </w:tcPr>
          <w:p w14:paraId="7CD2DFC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-937.43</w:t>
            </w:r>
          </w:p>
        </w:tc>
        <w:tc>
          <w:tcPr>
            <w:tcW w:w="676" w:type="pct"/>
            <w:shd w:val="clear" w:color="auto" w:fill="auto"/>
            <w:tcMar>
              <w:top w:w="0" w:type="dxa"/>
              <w:left w:w="108" w:type="dxa"/>
              <w:bottom w:w="0" w:type="dxa"/>
              <w:right w:w="108" w:type="dxa"/>
            </w:tcMar>
            <w:vAlign w:val="center"/>
          </w:tcPr>
          <w:p w14:paraId="40DEC60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-1.70%</w:t>
            </w:r>
          </w:p>
        </w:tc>
        <w:tc>
          <w:tcPr>
            <w:tcW w:w="723" w:type="pct"/>
            <w:shd w:val="clear" w:color="auto" w:fill="auto"/>
            <w:tcMar>
              <w:top w:w="0" w:type="dxa"/>
              <w:left w:w="108" w:type="dxa"/>
              <w:bottom w:w="0" w:type="dxa"/>
              <w:right w:w="108" w:type="dxa"/>
            </w:tcMar>
            <w:vAlign w:val="center"/>
          </w:tcPr>
          <w:p w14:paraId="3D5F937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-539.13</w:t>
            </w:r>
          </w:p>
        </w:tc>
        <w:tc>
          <w:tcPr>
            <w:tcW w:w="667" w:type="pct"/>
            <w:shd w:val="clear" w:color="auto" w:fill="auto"/>
            <w:tcMar>
              <w:top w:w="0" w:type="dxa"/>
              <w:left w:w="108" w:type="dxa"/>
              <w:bottom w:w="0" w:type="dxa"/>
              <w:right w:w="108" w:type="dxa"/>
            </w:tcMar>
            <w:vAlign w:val="center"/>
          </w:tcPr>
          <w:p w14:paraId="16AA354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-1.47%</w:t>
            </w:r>
          </w:p>
        </w:tc>
      </w:tr>
      <w:tr w:rsidR="006416B0" w:rsidRPr="00B4515A" w14:paraId="0C0A3596" w14:textId="77777777" w:rsidTr="00031627">
        <w:trPr>
          <w:trHeight w:val="340"/>
          <w:jc w:val="center"/>
        </w:trPr>
        <w:tc>
          <w:tcPr>
            <w:tcW w:w="811" w:type="pct"/>
            <w:shd w:val="clear" w:color="auto" w:fill="auto"/>
            <w:tcMar>
              <w:top w:w="0" w:type="dxa"/>
              <w:left w:w="108" w:type="dxa"/>
              <w:bottom w:w="0" w:type="dxa"/>
              <w:right w:w="108" w:type="dxa"/>
            </w:tcMar>
            <w:vAlign w:val="center"/>
          </w:tcPr>
          <w:p w14:paraId="6397A1EB"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资产减值损失（损失以</w:t>
            </w:r>
            <w:r w:rsidRPr="00B4515A">
              <w:rPr>
                <w:rFonts w:cs="Times New Roman"/>
                <w:color w:val="000000"/>
                <w:sz w:val="21"/>
                <w:szCs w:val="21"/>
              </w:rPr>
              <w:t>“</w:t>
            </w:r>
            <w:r w:rsidRPr="00B4515A">
              <w:rPr>
                <w:rFonts w:ascii="Times New Roman" w:eastAsiaTheme="minorEastAsia" w:hAnsi="Times New Roman" w:cs="Times New Roman"/>
                <w:color w:val="000000"/>
                <w:sz w:val="21"/>
                <w:szCs w:val="21"/>
              </w:rPr>
              <w:t>-</w:t>
            </w:r>
            <w:r w:rsidRPr="00B4515A">
              <w:rPr>
                <w:rFonts w:cs="Times New Roman"/>
                <w:color w:val="000000"/>
                <w:sz w:val="21"/>
                <w:szCs w:val="21"/>
              </w:rPr>
              <w:t>”</w:t>
            </w:r>
            <w:r w:rsidRPr="00B4515A">
              <w:rPr>
                <w:rFonts w:ascii="Times New Roman" w:eastAsiaTheme="minorEastAsia" w:hAnsi="Times New Roman" w:cs="Times New Roman" w:hint="eastAsia"/>
                <w:color w:val="000000"/>
                <w:sz w:val="21"/>
                <w:szCs w:val="21"/>
              </w:rPr>
              <w:t>号填列）</w:t>
            </w:r>
          </w:p>
        </w:tc>
        <w:tc>
          <w:tcPr>
            <w:tcW w:w="723" w:type="pct"/>
            <w:shd w:val="clear" w:color="auto" w:fill="auto"/>
            <w:tcMar>
              <w:top w:w="0" w:type="dxa"/>
              <w:left w:w="108" w:type="dxa"/>
              <w:bottom w:w="0" w:type="dxa"/>
              <w:right w:w="108" w:type="dxa"/>
            </w:tcMar>
            <w:vAlign w:val="center"/>
          </w:tcPr>
          <w:p w14:paraId="4B2B932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-52.28</w:t>
            </w:r>
          </w:p>
        </w:tc>
        <w:tc>
          <w:tcPr>
            <w:tcW w:w="676" w:type="pct"/>
            <w:shd w:val="clear" w:color="auto" w:fill="auto"/>
            <w:tcMar>
              <w:top w:w="0" w:type="dxa"/>
              <w:left w:w="108" w:type="dxa"/>
              <w:bottom w:w="0" w:type="dxa"/>
              <w:right w:w="108" w:type="dxa"/>
            </w:tcMar>
            <w:vAlign w:val="center"/>
          </w:tcPr>
          <w:p w14:paraId="61B936C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-0.41%</w:t>
            </w:r>
          </w:p>
        </w:tc>
        <w:tc>
          <w:tcPr>
            <w:tcW w:w="723" w:type="pct"/>
            <w:shd w:val="clear" w:color="auto" w:fill="auto"/>
            <w:tcMar>
              <w:top w:w="0" w:type="dxa"/>
              <w:left w:w="108" w:type="dxa"/>
              <w:bottom w:w="0" w:type="dxa"/>
              <w:right w:w="108" w:type="dxa"/>
            </w:tcMar>
            <w:vAlign w:val="center"/>
          </w:tcPr>
          <w:p w14:paraId="1976600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-56.40</w:t>
            </w:r>
          </w:p>
        </w:tc>
        <w:tc>
          <w:tcPr>
            <w:tcW w:w="676" w:type="pct"/>
            <w:shd w:val="clear" w:color="auto" w:fill="auto"/>
            <w:tcMar>
              <w:top w:w="0" w:type="dxa"/>
              <w:left w:w="108" w:type="dxa"/>
              <w:bottom w:w="0" w:type="dxa"/>
              <w:right w:w="108" w:type="dxa"/>
            </w:tcMar>
            <w:vAlign w:val="center"/>
          </w:tcPr>
          <w:p w14:paraId="6D4FE00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-0.10%</w:t>
            </w:r>
          </w:p>
        </w:tc>
        <w:tc>
          <w:tcPr>
            <w:tcW w:w="723" w:type="pct"/>
            <w:shd w:val="clear" w:color="auto" w:fill="auto"/>
            <w:tcMar>
              <w:top w:w="0" w:type="dxa"/>
              <w:left w:w="108" w:type="dxa"/>
              <w:bottom w:w="0" w:type="dxa"/>
              <w:right w:w="108" w:type="dxa"/>
            </w:tcMar>
            <w:vAlign w:val="center"/>
          </w:tcPr>
          <w:p w14:paraId="2C52A92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13.46</w:t>
            </w:r>
          </w:p>
        </w:tc>
        <w:tc>
          <w:tcPr>
            <w:tcW w:w="667" w:type="pct"/>
            <w:shd w:val="clear" w:color="auto" w:fill="auto"/>
            <w:tcMar>
              <w:top w:w="0" w:type="dxa"/>
              <w:left w:w="108" w:type="dxa"/>
              <w:bottom w:w="0" w:type="dxa"/>
              <w:right w:w="108" w:type="dxa"/>
            </w:tcMar>
            <w:vAlign w:val="center"/>
          </w:tcPr>
          <w:p w14:paraId="7A2F84E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0.04%</w:t>
            </w:r>
          </w:p>
        </w:tc>
      </w:tr>
      <w:tr w:rsidR="006416B0" w:rsidRPr="00B4515A" w14:paraId="70AC294E" w14:textId="77777777" w:rsidTr="00031627">
        <w:trPr>
          <w:trHeight w:val="340"/>
          <w:jc w:val="center"/>
        </w:trPr>
        <w:tc>
          <w:tcPr>
            <w:tcW w:w="811" w:type="pct"/>
            <w:shd w:val="clear" w:color="auto" w:fill="auto"/>
            <w:tcMar>
              <w:top w:w="0" w:type="dxa"/>
              <w:left w:w="108" w:type="dxa"/>
              <w:bottom w:w="0" w:type="dxa"/>
              <w:right w:w="108" w:type="dxa"/>
            </w:tcMar>
            <w:vAlign w:val="center"/>
          </w:tcPr>
          <w:p w14:paraId="7EB680A6"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lastRenderedPageBreak/>
              <w:t>资产处置收益（损失以</w:t>
            </w:r>
            <w:r w:rsidRPr="00B4515A">
              <w:rPr>
                <w:rFonts w:cs="Times New Roman"/>
                <w:color w:val="000000"/>
                <w:sz w:val="21"/>
                <w:szCs w:val="21"/>
              </w:rPr>
              <w:t>“</w:t>
            </w:r>
            <w:r w:rsidRPr="00B4515A">
              <w:rPr>
                <w:rFonts w:ascii="Times New Roman" w:eastAsiaTheme="minorEastAsia" w:hAnsi="Times New Roman" w:cs="Times New Roman"/>
                <w:color w:val="000000"/>
                <w:sz w:val="21"/>
                <w:szCs w:val="21"/>
              </w:rPr>
              <w:t>-</w:t>
            </w:r>
            <w:r w:rsidRPr="00B4515A">
              <w:rPr>
                <w:rFonts w:cs="Times New Roman"/>
                <w:color w:val="000000"/>
                <w:sz w:val="21"/>
                <w:szCs w:val="21"/>
              </w:rPr>
              <w:t>”</w:t>
            </w:r>
            <w:r w:rsidRPr="00B4515A">
              <w:rPr>
                <w:rFonts w:ascii="Times New Roman" w:eastAsiaTheme="minorEastAsia" w:hAnsi="Times New Roman" w:cs="Times New Roman" w:hint="eastAsia"/>
                <w:color w:val="000000"/>
                <w:sz w:val="21"/>
                <w:szCs w:val="21"/>
              </w:rPr>
              <w:t>号填列）</w:t>
            </w:r>
          </w:p>
        </w:tc>
        <w:tc>
          <w:tcPr>
            <w:tcW w:w="723" w:type="pct"/>
            <w:shd w:val="clear" w:color="auto" w:fill="auto"/>
            <w:tcMar>
              <w:top w:w="0" w:type="dxa"/>
              <w:left w:w="108" w:type="dxa"/>
              <w:bottom w:w="0" w:type="dxa"/>
              <w:right w:w="108" w:type="dxa"/>
            </w:tcMar>
            <w:vAlign w:val="center"/>
          </w:tcPr>
          <w:p w14:paraId="3A72533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4EF063F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7736D60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12.29</w:t>
            </w:r>
          </w:p>
        </w:tc>
        <w:tc>
          <w:tcPr>
            <w:tcW w:w="676" w:type="pct"/>
            <w:shd w:val="clear" w:color="auto" w:fill="auto"/>
            <w:tcMar>
              <w:top w:w="0" w:type="dxa"/>
              <w:left w:w="108" w:type="dxa"/>
              <w:bottom w:w="0" w:type="dxa"/>
              <w:right w:w="108" w:type="dxa"/>
            </w:tcMar>
            <w:vAlign w:val="center"/>
          </w:tcPr>
          <w:p w14:paraId="0DBE0E0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0.02%</w:t>
            </w:r>
          </w:p>
        </w:tc>
        <w:tc>
          <w:tcPr>
            <w:tcW w:w="723" w:type="pct"/>
            <w:shd w:val="clear" w:color="auto" w:fill="auto"/>
            <w:tcMar>
              <w:top w:w="0" w:type="dxa"/>
              <w:left w:w="108" w:type="dxa"/>
              <w:bottom w:w="0" w:type="dxa"/>
              <w:right w:w="108" w:type="dxa"/>
            </w:tcMar>
            <w:vAlign w:val="center"/>
          </w:tcPr>
          <w:p w14:paraId="4F2D1F0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3.36</w:t>
            </w:r>
          </w:p>
        </w:tc>
        <w:tc>
          <w:tcPr>
            <w:tcW w:w="667" w:type="pct"/>
            <w:shd w:val="clear" w:color="auto" w:fill="auto"/>
            <w:tcMar>
              <w:top w:w="0" w:type="dxa"/>
              <w:left w:w="108" w:type="dxa"/>
              <w:bottom w:w="0" w:type="dxa"/>
              <w:right w:w="108" w:type="dxa"/>
            </w:tcMar>
            <w:vAlign w:val="center"/>
          </w:tcPr>
          <w:p w14:paraId="110B118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0.01%</w:t>
            </w:r>
          </w:p>
        </w:tc>
      </w:tr>
      <w:tr w:rsidR="006416B0" w:rsidRPr="00B4515A" w14:paraId="26ABF62E" w14:textId="77777777" w:rsidTr="00031627">
        <w:trPr>
          <w:trHeight w:val="340"/>
          <w:jc w:val="center"/>
        </w:trPr>
        <w:tc>
          <w:tcPr>
            <w:tcW w:w="811" w:type="pct"/>
            <w:shd w:val="clear" w:color="auto" w:fill="auto"/>
            <w:tcMar>
              <w:top w:w="0" w:type="dxa"/>
              <w:left w:w="108" w:type="dxa"/>
              <w:bottom w:w="0" w:type="dxa"/>
              <w:right w:w="108" w:type="dxa"/>
            </w:tcMar>
            <w:vAlign w:val="center"/>
          </w:tcPr>
          <w:p w14:paraId="17B97732"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三、营业利润（亏损以</w:t>
            </w:r>
            <w:r w:rsidRPr="00B4515A">
              <w:rPr>
                <w:rFonts w:cs="Times New Roman" w:hint="eastAsia"/>
                <w:color w:val="000000"/>
                <w:sz w:val="21"/>
                <w:szCs w:val="21"/>
              </w:rPr>
              <w:t>“</w:t>
            </w:r>
            <w:r w:rsidRPr="00B4515A">
              <w:rPr>
                <w:rFonts w:ascii="Times New Roman" w:eastAsiaTheme="minorEastAsia" w:hAnsi="Times New Roman" w:cs="Times New Roman"/>
                <w:color w:val="000000"/>
                <w:sz w:val="21"/>
                <w:szCs w:val="21"/>
              </w:rPr>
              <w:t>-</w:t>
            </w:r>
            <w:r w:rsidRPr="00B4515A">
              <w:rPr>
                <w:rFonts w:cs="Times New Roman"/>
                <w:color w:val="000000"/>
                <w:sz w:val="21"/>
                <w:szCs w:val="21"/>
              </w:rPr>
              <w:t>”</w:t>
            </w:r>
            <w:r w:rsidRPr="00B4515A">
              <w:rPr>
                <w:rFonts w:ascii="Times New Roman" w:eastAsiaTheme="minorEastAsia" w:hAnsi="Times New Roman" w:cs="Times New Roman" w:hint="eastAsia"/>
                <w:color w:val="000000"/>
                <w:sz w:val="21"/>
                <w:szCs w:val="21"/>
              </w:rPr>
              <w:t>号填列）</w:t>
            </w:r>
          </w:p>
        </w:tc>
        <w:tc>
          <w:tcPr>
            <w:tcW w:w="723" w:type="pct"/>
            <w:shd w:val="clear" w:color="auto" w:fill="auto"/>
            <w:tcMar>
              <w:top w:w="0" w:type="dxa"/>
              <w:left w:w="108" w:type="dxa"/>
              <w:bottom w:w="0" w:type="dxa"/>
              <w:right w:w="108" w:type="dxa"/>
            </w:tcMar>
            <w:vAlign w:val="center"/>
          </w:tcPr>
          <w:p w14:paraId="411E755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793.78</w:t>
            </w:r>
          </w:p>
        </w:tc>
        <w:tc>
          <w:tcPr>
            <w:tcW w:w="676" w:type="pct"/>
            <w:shd w:val="clear" w:color="auto" w:fill="auto"/>
            <w:tcMar>
              <w:top w:w="0" w:type="dxa"/>
              <w:left w:w="108" w:type="dxa"/>
              <w:bottom w:w="0" w:type="dxa"/>
              <w:right w:w="108" w:type="dxa"/>
            </w:tcMar>
            <w:vAlign w:val="center"/>
          </w:tcPr>
          <w:p w14:paraId="4888123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6.22%</w:t>
            </w:r>
          </w:p>
        </w:tc>
        <w:tc>
          <w:tcPr>
            <w:tcW w:w="723" w:type="pct"/>
            <w:shd w:val="clear" w:color="auto" w:fill="auto"/>
            <w:tcMar>
              <w:top w:w="0" w:type="dxa"/>
              <w:left w:w="108" w:type="dxa"/>
              <w:bottom w:w="0" w:type="dxa"/>
              <w:right w:w="108" w:type="dxa"/>
            </w:tcMar>
            <w:vAlign w:val="center"/>
          </w:tcPr>
          <w:p w14:paraId="2730E8F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4,052.72</w:t>
            </w:r>
          </w:p>
        </w:tc>
        <w:tc>
          <w:tcPr>
            <w:tcW w:w="676" w:type="pct"/>
            <w:shd w:val="clear" w:color="auto" w:fill="auto"/>
            <w:tcMar>
              <w:top w:w="0" w:type="dxa"/>
              <w:left w:w="108" w:type="dxa"/>
              <w:bottom w:w="0" w:type="dxa"/>
              <w:right w:w="108" w:type="dxa"/>
            </w:tcMar>
            <w:vAlign w:val="center"/>
          </w:tcPr>
          <w:p w14:paraId="1A65D25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7.33%</w:t>
            </w:r>
          </w:p>
        </w:tc>
        <w:tc>
          <w:tcPr>
            <w:tcW w:w="723" w:type="pct"/>
            <w:shd w:val="clear" w:color="auto" w:fill="auto"/>
            <w:tcMar>
              <w:top w:w="0" w:type="dxa"/>
              <w:left w:w="108" w:type="dxa"/>
              <w:bottom w:w="0" w:type="dxa"/>
              <w:right w:w="108" w:type="dxa"/>
            </w:tcMar>
            <w:vAlign w:val="center"/>
          </w:tcPr>
          <w:p w14:paraId="4F42936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873.53</w:t>
            </w:r>
          </w:p>
        </w:tc>
        <w:tc>
          <w:tcPr>
            <w:tcW w:w="667" w:type="pct"/>
            <w:shd w:val="clear" w:color="auto" w:fill="auto"/>
            <w:tcMar>
              <w:top w:w="0" w:type="dxa"/>
              <w:left w:w="108" w:type="dxa"/>
              <w:bottom w:w="0" w:type="dxa"/>
              <w:right w:w="108" w:type="dxa"/>
            </w:tcMar>
            <w:vAlign w:val="center"/>
          </w:tcPr>
          <w:p w14:paraId="481D49F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2.38%</w:t>
            </w:r>
          </w:p>
        </w:tc>
      </w:tr>
      <w:tr w:rsidR="006416B0" w:rsidRPr="00B4515A" w14:paraId="3A340A10" w14:textId="77777777" w:rsidTr="00031627">
        <w:trPr>
          <w:trHeight w:val="340"/>
          <w:jc w:val="center"/>
        </w:trPr>
        <w:tc>
          <w:tcPr>
            <w:tcW w:w="811" w:type="pct"/>
            <w:shd w:val="clear" w:color="auto" w:fill="auto"/>
            <w:tcMar>
              <w:top w:w="0" w:type="dxa"/>
              <w:left w:w="108" w:type="dxa"/>
              <w:bottom w:w="0" w:type="dxa"/>
              <w:right w:w="108" w:type="dxa"/>
            </w:tcMar>
            <w:vAlign w:val="center"/>
          </w:tcPr>
          <w:p w14:paraId="2E100DF1"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加：营业外收入</w:t>
            </w:r>
          </w:p>
        </w:tc>
        <w:tc>
          <w:tcPr>
            <w:tcW w:w="723" w:type="pct"/>
            <w:shd w:val="clear" w:color="auto" w:fill="auto"/>
            <w:tcMar>
              <w:top w:w="0" w:type="dxa"/>
              <w:left w:w="108" w:type="dxa"/>
              <w:bottom w:w="0" w:type="dxa"/>
              <w:right w:w="108" w:type="dxa"/>
            </w:tcMar>
            <w:vAlign w:val="center"/>
          </w:tcPr>
          <w:p w14:paraId="38F3981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1.29</w:t>
            </w:r>
          </w:p>
        </w:tc>
        <w:tc>
          <w:tcPr>
            <w:tcW w:w="676" w:type="pct"/>
            <w:shd w:val="clear" w:color="auto" w:fill="auto"/>
            <w:tcMar>
              <w:top w:w="0" w:type="dxa"/>
              <w:left w:w="108" w:type="dxa"/>
              <w:bottom w:w="0" w:type="dxa"/>
              <w:right w:w="108" w:type="dxa"/>
            </w:tcMar>
            <w:vAlign w:val="center"/>
          </w:tcPr>
          <w:p w14:paraId="741F67E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0.01%</w:t>
            </w:r>
          </w:p>
        </w:tc>
        <w:tc>
          <w:tcPr>
            <w:tcW w:w="723" w:type="pct"/>
            <w:shd w:val="clear" w:color="auto" w:fill="auto"/>
            <w:tcMar>
              <w:top w:w="0" w:type="dxa"/>
              <w:left w:w="108" w:type="dxa"/>
              <w:bottom w:w="0" w:type="dxa"/>
              <w:right w:w="108" w:type="dxa"/>
            </w:tcMar>
            <w:vAlign w:val="center"/>
          </w:tcPr>
          <w:p w14:paraId="73E1DAD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236.50</w:t>
            </w:r>
          </w:p>
        </w:tc>
        <w:tc>
          <w:tcPr>
            <w:tcW w:w="676" w:type="pct"/>
            <w:shd w:val="clear" w:color="auto" w:fill="auto"/>
            <w:tcMar>
              <w:top w:w="0" w:type="dxa"/>
              <w:left w:w="108" w:type="dxa"/>
              <w:bottom w:w="0" w:type="dxa"/>
              <w:right w:w="108" w:type="dxa"/>
            </w:tcMar>
            <w:vAlign w:val="center"/>
          </w:tcPr>
          <w:p w14:paraId="3A944BE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0.43%</w:t>
            </w:r>
          </w:p>
        </w:tc>
        <w:tc>
          <w:tcPr>
            <w:tcW w:w="723" w:type="pct"/>
            <w:shd w:val="clear" w:color="auto" w:fill="auto"/>
            <w:tcMar>
              <w:top w:w="0" w:type="dxa"/>
              <w:left w:w="108" w:type="dxa"/>
              <w:bottom w:w="0" w:type="dxa"/>
              <w:right w:w="108" w:type="dxa"/>
            </w:tcMar>
            <w:vAlign w:val="center"/>
          </w:tcPr>
          <w:p w14:paraId="6631D8B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4.47</w:t>
            </w:r>
          </w:p>
        </w:tc>
        <w:tc>
          <w:tcPr>
            <w:tcW w:w="667" w:type="pct"/>
            <w:shd w:val="clear" w:color="auto" w:fill="auto"/>
            <w:tcMar>
              <w:top w:w="0" w:type="dxa"/>
              <w:left w:w="108" w:type="dxa"/>
              <w:bottom w:w="0" w:type="dxa"/>
              <w:right w:w="108" w:type="dxa"/>
            </w:tcMar>
            <w:vAlign w:val="center"/>
          </w:tcPr>
          <w:p w14:paraId="21544DA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0.01%</w:t>
            </w:r>
          </w:p>
        </w:tc>
      </w:tr>
      <w:tr w:rsidR="006416B0" w:rsidRPr="00B4515A" w14:paraId="17EA2F16" w14:textId="77777777" w:rsidTr="00031627">
        <w:trPr>
          <w:trHeight w:val="340"/>
          <w:jc w:val="center"/>
        </w:trPr>
        <w:tc>
          <w:tcPr>
            <w:tcW w:w="811" w:type="pct"/>
            <w:shd w:val="clear" w:color="auto" w:fill="auto"/>
            <w:tcMar>
              <w:top w:w="0" w:type="dxa"/>
              <w:left w:w="108" w:type="dxa"/>
              <w:bottom w:w="0" w:type="dxa"/>
              <w:right w:w="108" w:type="dxa"/>
            </w:tcMar>
            <w:vAlign w:val="center"/>
          </w:tcPr>
          <w:p w14:paraId="7972CE18"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减：营业外支出</w:t>
            </w:r>
          </w:p>
        </w:tc>
        <w:tc>
          <w:tcPr>
            <w:tcW w:w="723" w:type="pct"/>
            <w:shd w:val="clear" w:color="auto" w:fill="auto"/>
            <w:tcMar>
              <w:top w:w="0" w:type="dxa"/>
              <w:left w:w="108" w:type="dxa"/>
              <w:bottom w:w="0" w:type="dxa"/>
              <w:right w:w="108" w:type="dxa"/>
            </w:tcMar>
            <w:vAlign w:val="center"/>
          </w:tcPr>
          <w:p w14:paraId="4459571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14.99</w:t>
            </w:r>
          </w:p>
        </w:tc>
        <w:tc>
          <w:tcPr>
            <w:tcW w:w="676" w:type="pct"/>
            <w:shd w:val="clear" w:color="auto" w:fill="auto"/>
            <w:tcMar>
              <w:top w:w="0" w:type="dxa"/>
              <w:left w:w="108" w:type="dxa"/>
              <w:bottom w:w="0" w:type="dxa"/>
              <w:right w:w="108" w:type="dxa"/>
            </w:tcMar>
            <w:vAlign w:val="center"/>
          </w:tcPr>
          <w:p w14:paraId="326F0E9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0.12%</w:t>
            </w:r>
          </w:p>
        </w:tc>
        <w:tc>
          <w:tcPr>
            <w:tcW w:w="723" w:type="pct"/>
            <w:shd w:val="clear" w:color="auto" w:fill="auto"/>
            <w:tcMar>
              <w:top w:w="0" w:type="dxa"/>
              <w:left w:w="108" w:type="dxa"/>
              <w:bottom w:w="0" w:type="dxa"/>
              <w:right w:w="108" w:type="dxa"/>
            </w:tcMar>
            <w:vAlign w:val="center"/>
          </w:tcPr>
          <w:p w14:paraId="699036C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82.37</w:t>
            </w:r>
          </w:p>
        </w:tc>
        <w:tc>
          <w:tcPr>
            <w:tcW w:w="676" w:type="pct"/>
            <w:shd w:val="clear" w:color="auto" w:fill="auto"/>
            <w:tcMar>
              <w:top w:w="0" w:type="dxa"/>
              <w:left w:w="108" w:type="dxa"/>
              <w:bottom w:w="0" w:type="dxa"/>
              <w:right w:w="108" w:type="dxa"/>
            </w:tcMar>
            <w:vAlign w:val="center"/>
          </w:tcPr>
          <w:p w14:paraId="5C938F9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0.15%</w:t>
            </w:r>
          </w:p>
        </w:tc>
        <w:tc>
          <w:tcPr>
            <w:tcW w:w="723" w:type="pct"/>
            <w:shd w:val="clear" w:color="auto" w:fill="auto"/>
            <w:tcMar>
              <w:top w:w="0" w:type="dxa"/>
              <w:left w:w="108" w:type="dxa"/>
              <w:bottom w:w="0" w:type="dxa"/>
              <w:right w:w="108" w:type="dxa"/>
            </w:tcMar>
            <w:vAlign w:val="center"/>
          </w:tcPr>
          <w:p w14:paraId="23F99A3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61.94</w:t>
            </w:r>
          </w:p>
        </w:tc>
        <w:tc>
          <w:tcPr>
            <w:tcW w:w="667" w:type="pct"/>
            <w:shd w:val="clear" w:color="auto" w:fill="auto"/>
            <w:tcMar>
              <w:top w:w="0" w:type="dxa"/>
              <w:left w:w="108" w:type="dxa"/>
              <w:bottom w:w="0" w:type="dxa"/>
              <w:right w:w="108" w:type="dxa"/>
            </w:tcMar>
            <w:vAlign w:val="center"/>
          </w:tcPr>
          <w:p w14:paraId="399EB09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0.17%</w:t>
            </w:r>
          </w:p>
        </w:tc>
      </w:tr>
      <w:tr w:rsidR="006416B0" w:rsidRPr="00B4515A" w14:paraId="7EDBCA7A" w14:textId="77777777" w:rsidTr="00031627">
        <w:trPr>
          <w:trHeight w:val="340"/>
          <w:jc w:val="center"/>
        </w:trPr>
        <w:tc>
          <w:tcPr>
            <w:tcW w:w="811" w:type="pct"/>
            <w:shd w:val="clear" w:color="auto" w:fill="auto"/>
            <w:tcMar>
              <w:top w:w="0" w:type="dxa"/>
              <w:left w:w="108" w:type="dxa"/>
              <w:bottom w:w="0" w:type="dxa"/>
              <w:right w:w="108" w:type="dxa"/>
            </w:tcMar>
            <w:vAlign w:val="center"/>
          </w:tcPr>
          <w:p w14:paraId="0E1D0D60"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四、利润总额（亏损总额以</w:t>
            </w:r>
            <w:r w:rsidRPr="00B4515A">
              <w:rPr>
                <w:rFonts w:cs="Times New Roman" w:hint="eastAsia"/>
                <w:color w:val="000000"/>
                <w:sz w:val="21"/>
                <w:szCs w:val="21"/>
              </w:rPr>
              <w:t>“</w:t>
            </w:r>
            <w:r w:rsidRPr="00B4515A">
              <w:rPr>
                <w:rFonts w:ascii="Times New Roman" w:eastAsiaTheme="minorEastAsia" w:hAnsi="Times New Roman" w:cs="Times New Roman"/>
                <w:color w:val="000000"/>
                <w:sz w:val="21"/>
                <w:szCs w:val="21"/>
              </w:rPr>
              <w:t>-</w:t>
            </w:r>
            <w:r w:rsidRPr="00B4515A">
              <w:rPr>
                <w:rFonts w:cs="Times New Roman"/>
                <w:color w:val="000000"/>
                <w:sz w:val="21"/>
                <w:szCs w:val="21"/>
              </w:rPr>
              <w:t>”</w:t>
            </w:r>
            <w:r w:rsidRPr="00B4515A">
              <w:rPr>
                <w:rFonts w:ascii="Times New Roman" w:eastAsiaTheme="minorEastAsia" w:hAnsi="Times New Roman" w:cs="Times New Roman" w:hint="eastAsia"/>
                <w:color w:val="000000"/>
                <w:sz w:val="21"/>
                <w:szCs w:val="21"/>
              </w:rPr>
              <w:t>号填列）</w:t>
            </w:r>
          </w:p>
        </w:tc>
        <w:tc>
          <w:tcPr>
            <w:tcW w:w="723" w:type="pct"/>
            <w:shd w:val="clear" w:color="auto" w:fill="auto"/>
            <w:tcMar>
              <w:top w:w="0" w:type="dxa"/>
              <w:left w:w="108" w:type="dxa"/>
              <w:bottom w:w="0" w:type="dxa"/>
              <w:right w:w="108" w:type="dxa"/>
            </w:tcMar>
            <w:vAlign w:val="center"/>
          </w:tcPr>
          <w:p w14:paraId="0B96E01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780.09</w:t>
            </w:r>
          </w:p>
        </w:tc>
        <w:tc>
          <w:tcPr>
            <w:tcW w:w="676" w:type="pct"/>
            <w:shd w:val="clear" w:color="auto" w:fill="auto"/>
            <w:tcMar>
              <w:top w:w="0" w:type="dxa"/>
              <w:left w:w="108" w:type="dxa"/>
              <w:bottom w:w="0" w:type="dxa"/>
              <w:right w:w="108" w:type="dxa"/>
            </w:tcMar>
            <w:vAlign w:val="center"/>
          </w:tcPr>
          <w:p w14:paraId="361E848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6.11%</w:t>
            </w:r>
          </w:p>
        </w:tc>
        <w:tc>
          <w:tcPr>
            <w:tcW w:w="723" w:type="pct"/>
            <w:shd w:val="clear" w:color="auto" w:fill="auto"/>
            <w:tcMar>
              <w:top w:w="0" w:type="dxa"/>
              <w:left w:w="108" w:type="dxa"/>
              <w:bottom w:w="0" w:type="dxa"/>
              <w:right w:w="108" w:type="dxa"/>
            </w:tcMar>
            <w:vAlign w:val="center"/>
          </w:tcPr>
          <w:p w14:paraId="4BCF0A2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4,206.85</w:t>
            </w:r>
          </w:p>
        </w:tc>
        <w:tc>
          <w:tcPr>
            <w:tcW w:w="676" w:type="pct"/>
            <w:shd w:val="clear" w:color="auto" w:fill="auto"/>
            <w:tcMar>
              <w:top w:w="0" w:type="dxa"/>
              <w:left w:w="108" w:type="dxa"/>
              <w:bottom w:w="0" w:type="dxa"/>
              <w:right w:w="108" w:type="dxa"/>
            </w:tcMar>
            <w:vAlign w:val="center"/>
          </w:tcPr>
          <w:p w14:paraId="60C5759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7.61%</w:t>
            </w:r>
          </w:p>
        </w:tc>
        <w:tc>
          <w:tcPr>
            <w:tcW w:w="723" w:type="pct"/>
            <w:shd w:val="clear" w:color="auto" w:fill="auto"/>
            <w:tcMar>
              <w:top w:w="0" w:type="dxa"/>
              <w:left w:w="108" w:type="dxa"/>
              <w:bottom w:w="0" w:type="dxa"/>
              <w:right w:w="108" w:type="dxa"/>
            </w:tcMar>
            <w:vAlign w:val="center"/>
          </w:tcPr>
          <w:p w14:paraId="123C687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816.06</w:t>
            </w:r>
          </w:p>
        </w:tc>
        <w:tc>
          <w:tcPr>
            <w:tcW w:w="667" w:type="pct"/>
            <w:shd w:val="clear" w:color="auto" w:fill="auto"/>
            <w:tcMar>
              <w:top w:w="0" w:type="dxa"/>
              <w:left w:w="108" w:type="dxa"/>
              <w:bottom w:w="0" w:type="dxa"/>
              <w:right w:w="108" w:type="dxa"/>
            </w:tcMar>
            <w:vAlign w:val="center"/>
          </w:tcPr>
          <w:p w14:paraId="32804B7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2.22%</w:t>
            </w:r>
          </w:p>
        </w:tc>
      </w:tr>
      <w:tr w:rsidR="006416B0" w:rsidRPr="00B4515A" w14:paraId="00330C16" w14:textId="77777777" w:rsidTr="00031627">
        <w:trPr>
          <w:trHeight w:val="340"/>
          <w:jc w:val="center"/>
        </w:trPr>
        <w:tc>
          <w:tcPr>
            <w:tcW w:w="811" w:type="pct"/>
            <w:shd w:val="clear" w:color="auto" w:fill="auto"/>
            <w:tcMar>
              <w:top w:w="0" w:type="dxa"/>
              <w:left w:w="108" w:type="dxa"/>
              <w:bottom w:w="0" w:type="dxa"/>
              <w:right w:w="108" w:type="dxa"/>
            </w:tcMar>
            <w:vAlign w:val="center"/>
          </w:tcPr>
          <w:p w14:paraId="50F397A4"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减：所得税费用</w:t>
            </w:r>
          </w:p>
        </w:tc>
        <w:tc>
          <w:tcPr>
            <w:tcW w:w="723" w:type="pct"/>
            <w:shd w:val="clear" w:color="auto" w:fill="auto"/>
            <w:tcMar>
              <w:top w:w="0" w:type="dxa"/>
              <w:left w:w="108" w:type="dxa"/>
              <w:bottom w:w="0" w:type="dxa"/>
              <w:right w:w="108" w:type="dxa"/>
            </w:tcMar>
            <w:vAlign w:val="center"/>
          </w:tcPr>
          <w:p w14:paraId="2C0D490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14B7018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4BC1B70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6196BF4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6F36360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67" w:type="pct"/>
            <w:shd w:val="clear" w:color="auto" w:fill="auto"/>
            <w:tcMar>
              <w:top w:w="0" w:type="dxa"/>
              <w:left w:w="108" w:type="dxa"/>
              <w:bottom w:w="0" w:type="dxa"/>
              <w:right w:w="108" w:type="dxa"/>
            </w:tcMar>
            <w:vAlign w:val="center"/>
          </w:tcPr>
          <w:p w14:paraId="0DC2AB5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7F498518" w14:textId="77777777" w:rsidTr="00031627">
        <w:trPr>
          <w:trHeight w:val="340"/>
          <w:jc w:val="center"/>
        </w:trPr>
        <w:tc>
          <w:tcPr>
            <w:tcW w:w="811" w:type="pct"/>
            <w:shd w:val="clear" w:color="auto" w:fill="auto"/>
            <w:tcMar>
              <w:top w:w="0" w:type="dxa"/>
              <w:left w:w="108" w:type="dxa"/>
              <w:bottom w:w="0" w:type="dxa"/>
              <w:right w:w="108" w:type="dxa"/>
            </w:tcMar>
            <w:vAlign w:val="center"/>
          </w:tcPr>
          <w:p w14:paraId="41634A4F"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五、净利润（净亏损以</w:t>
            </w:r>
            <w:r w:rsidRPr="00B4515A">
              <w:rPr>
                <w:rFonts w:cs="Times New Roman" w:hint="eastAsia"/>
                <w:color w:val="000000"/>
                <w:sz w:val="21"/>
                <w:szCs w:val="21"/>
              </w:rPr>
              <w:t>“</w:t>
            </w:r>
            <w:r w:rsidRPr="00B4515A">
              <w:rPr>
                <w:rFonts w:ascii="Times New Roman" w:eastAsiaTheme="minorEastAsia" w:hAnsi="Times New Roman" w:cs="Times New Roman"/>
                <w:color w:val="000000"/>
                <w:sz w:val="21"/>
                <w:szCs w:val="21"/>
              </w:rPr>
              <w:t>-</w:t>
            </w:r>
            <w:r w:rsidRPr="00B4515A">
              <w:rPr>
                <w:rFonts w:cs="Times New Roman"/>
                <w:color w:val="000000"/>
                <w:sz w:val="21"/>
                <w:szCs w:val="21"/>
              </w:rPr>
              <w:t>”</w:t>
            </w:r>
            <w:r w:rsidRPr="00B4515A">
              <w:rPr>
                <w:rFonts w:ascii="Times New Roman" w:eastAsiaTheme="minorEastAsia" w:hAnsi="Times New Roman" w:cs="Times New Roman" w:hint="eastAsia"/>
                <w:color w:val="000000"/>
                <w:sz w:val="21"/>
                <w:szCs w:val="21"/>
              </w:rPr>
              <w:t>号填列）</w:t>
            </w:r>
          </w:p>
        </w:tc>
        <w:tc>
          <w:tcPr>
            <w:tcW w:w="723" w:type="pct"/>
            <w:shd w:val="clear" w:color="auto" w:fill="auto"/>
            <w:tcMar>
              <w:top w:w="0" w:type="dxa"/>
              <w:left w:w="108" w:type="dxa"/>
              <w:bottom w:w="0" w:type="dxa"/>
              <w:right w:w="108" w:type="dxa"/>
            </w:tcMar>
            <w:vAlign w:val="center"/>
          </w:tcPr>
          <w:p w14:paraId="192699E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780.09</w:t>
            </w:r>
          </w:p>
        </w:tc>
        <w:tc>
          <w:tcPr>
            <w:tcW w:w="676" w:type="pct"/>
            <w:shd w:val="clear" w:color="auto" w:fill="auto"/>
            <w:tcMar>
              <w:top w:w="0" w:type="dxa"/>
              <w:left w:w="108" w:type="dxa"/>
              <w:bottom w:w="0" w:type="dxa"/>
              <w:right w:w="108" w:type="dxa"/>
            </w:tcMar>
            <w:vAlign w:val="center"/>
          </w:tcPr>
          <w:p w14:paraId="78EA4B8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6.11%</w:t>
            </w:r>
          </w:p>
        </w:tc>
        <w:tc>
          <w:tcPr>
            <w:tcW w:w="723" w:type="pct"/>
            <w:shd w:val="clear" w:color="auto" w:fill="auto"/>
            <w:tcMar>
              <w:top w:w="0" w:type="dxa"/>
              <w:left w:w="108" w:type="dxa"/>
              <w:bottom w:w="0" w:type="dxa"/>
              <w:right w:w="108" w:type="dxa"/>
            </w:tcMar>
            <w:vAlign w:val="center"/>
          </w:tcPr>
          <w:p w14:paraId="4F5FEDA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4,206.85</w:t>
            </w:r>
          </w:p>
        </w:tc>
        <w:tc>
          <w:tcPr>
            <w:tcW w:w="676" w:type="pct"/>
            <w:shd w:val="clear" w:color="auto" w:fill="auto"/>
            <w:tcMar>
              <w:top w:w="0" w:type="dxa"/>
              <w:left w:w="108" w:type="dxa"/>
              <w:bottom w:w="0" w:type="dxa"/>
              <w:right w:w="108" w:type="dxa"/>
            </w:tcMar>
            <w:vAlign w:val="center"/>
          </w:tcPr>
          <w:p w14:paraId="2E2E074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7.61%</w:t>
            </w:r>
          </w:p>
        </w:tc>
        <w:tc>
          <w:tcPr>
            <w:tcW w:w="723" w:type="pct"/>
            <w:shd w:val="clear" w:color="auto" w:fill="auto"/>
            <w:tcMar>
              <w:top w:w="0" w:type="dxa"/>
              <w:left w:w="108" w:type="dxa"/>
              <w:bottom w:w="0" w:type="dxa"/>
              <w:right w:w="108" w:type="dxa"/>
            </w:tcMar>
            <w:vAlign w:val="center"/>
          </w:tcPr>
          <w:p w14:paraId="36D8F05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816.06</w:t>
            </w:r>
          </w:p>
        </w:tc>
        <w:tc>
          <w:tcPr>
            <w:tcW w:w="667" w:type="pct"/>
            <w:shd w:val="clear" w:color="auto" w:fill="auto"/>
            <w:tcMar>
              <w:top w:w="0" w:type="dxa"/>
              <w:left w:w="108" w:type="dxa"/>
              <w:bottom w:w="0" w:type="dxa"/>
              <w:right w:w="108" w:type="dxa"/>
            </w:tcMar>
            <w:vAlign w:val="center"/>
          </w:tcPr>
          <w:p w14:paraId="3B88845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2.22%</w:t>
            </w:r>
          </w:p>
        </w:tc>
      </w:tr>
      <w:tr w:rsidR="006416B0" w:rsidRPr="00B4515A" w14:paraId="622BAF75" w14:textId="77777777" w:rsidTr="00031627">
        <w:trPr>
          <w:trHeight w:val="340"/>
          <w:jc w:val="center"/>
        </w:trPr>
        <w:tc>
          <w:tcPr>
            <w:tcW w:w="811" w:type="pct"/>
            <w:shd w:val="clear" w:color="auto" w:fill="auto"/>
            <w:tcMar>
              <w:top w:w="0" w:type="dxa"/>
              <w:left w:w="108" w:type="dxa"/>
              <w:bottom w:w="0" w:type="dxa"/>
              <w:right w:w="108" w:type="dxa"/>
            </w:tcMar>
            <w:vAlign w:val="center"/>
          </w:tcPr>
          <w:p w14:paraId="4283F037"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（一）按经营持续性分类</w:t>
            </w:r>
          </w:p>
        </w:tc>
        <w:tc>
          <w:tcPr>
            <w:tcW w:w="723" w:type="pct"/>
            <w:shd w:val="clear" w:color="auto" w:fill="auto"/>
            <w:tcMar>
              <w:top w:w="0" w:type="dxa"/>
              <w:left w:w="108" w:type="dxa"/>
              <w:bottom w:w="0" w:type="dxa"/>
              <w:right w:w="108" w:type="dxa"/>
            </w:tcMar>
            <w:vAlign w:val="center"/>
          </w:tcPr>
          <w:p w14:paraId="5AA3499E"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76" w:type="pct"/>
            <w:shd w:val="clear" w:color="auto" w:fill="auto"/>
            <w:tcMar>
              <w:top w:w="0" w:type="dxa"/>
              <w:left w:w="108" w:type="dxa"/>
              <w:bottom w:w="0" w:type="dxa"/>
              <w:right w:w="108" w:type="dxa"/>
            </w:tcMar>
            <w:vAlign w:val="center"/>
          </w:tcPr>
          <w:p w14:paraId="454C11DB"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723" w:type="pct"/>
            <w:shd w:val="clear" w:color="auto" w:fill="auto"/>
            <w:tcMar>
              <w:top w:w="0" w:type="dxa"/>
              <w:left w:w="108" w:type="dxa"/>
              <w:bottom w:w="0" w:type="dxa"/>
              <w:right w:w="108" w:type="dxa"/>
            </w:tcMar>
            <w:vAlign w:val="center"/>
          </w:tcPr>
          <w:p w14:paraId="1255E823"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76" w:type="pct"/>
            <w:shd w:val="clear" w:color="auto" w:fill="auto"/>
            <w:tcMar>
              <w:top w:w="0" w:type="dxa"/>
              <w:left w:w="108" w:type="dxa"/>
              <w:bottom w:w="0" w:type="dxa"/>
              <w:right w:w="108" w:type="dxa"/>
            </w:tcMar>
            <w:vAlign w:val="center"/>
          </w:tcPr>
          <w:p w14:paraId="04B73792"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723" w:type="pct"/>
            <w:shd w:val="clear" w:color="auto" w:fill="auto"/>
            <w:tcMar>
              <w:top w:w="0" w:type="dxa"/>
              <w:left w:w="108" w:type="dxa"/>
              <w:bottom w:w="0" w:type="dxa"/>
              <w:right w:w="108" w:type="dxa"/>
            </w:tcMar>
            <w:vAlign w:val="center"/>
          </w:tcPr>
          <w:p w14:paraId="03DBA001"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67" w:type="pct"/>
            <w:shd w:val="clear" w:color="auto" w:fill="auto"/>
            <w:tcMar>
              <w:top w:w="0" w:type="dxa"/>
              <w:left w:w="108" w:type="dxa"/>
              <w:bottom w:w="0" w:type="dxa"/>
              <w:right w:w="108" w:type="dxa"/>
            </w:tcMar>
            <w:vAlign w:val="center"/>
          </w:tcPr>
          <w:p w14:paraId="1B95F02D"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r>
      <w:tr w:rsidR="006416B0" w:rsidRPr="00B4515A" w14:paraId="0EFEAB6D" w14:textId="77777777" w:rsidTr="00031627">
        <w:trPr>
          <w:trHeight w:val="340"/>
          <w:jc w:val="center"/>
        </w:trPr>
        <w:tc>
          <w:tcPr>
            <w:tcW w:w="811" w:type="pct"/>
            <w:shd w:val="clear" w:color="auto" w:fill="auto"/>
            <w:tcMar>
              <w:top w:w="0" w:type="dxa"/>
              <w:left w:w="108" w:type="dxa"/>
              <w:bottom w:w="0" w:type="dxa"/>
              <w:right w:w="108" w:type="dxa"/>
            </w:tcMar>
            <w:vAlign w:val="center"/>
          </w:tcPr>
          <w:p w14:paraId="40F715CA"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hint="eastAsia"/>
                <w:color w:val="000000"/>
                <w:sz w:val="21"/>
                <w:szCs w:val="21"/>
              </w:rPr>
              <w:t>．持续经营净利润（净亏损以</w:t>
            </w:r>
            <w:r w:rsidRPr="00B4515A">
              <w:rPr>
                <w:rFonts w:cs="Times New Roman"/>
                <w:color w:val="000000"/>
                <w:sz w:val="21"/>
                <w:szCs w:val="21"/>
              </w:rPr>
              <w:t>“</w:t>
            </w:r>
            <w:r w:rsidRPr="00B4515A">
              <w:rPr>
                <w:rFonts w:ascii="Times New Roman" w:eastAsiaTheme="minorEastAsia" w:hAnsi="Times New Roman" w:cs="Times New Roman"/>
                <w:color w:val="000000"/>
                <w:sz w:val="21"/>
                <w:szCs w:val="21"/>
              </w:rPr>
              <w:t>-</w:t>
            </w:r>
            <w:r w:rsidRPr="00B4515A">
              <w:rPr>
                <w:rFonts w:cs="Times New Roman"/>
                <w:color w:val="000000"/>
                <w:sz w:val="21"/>
                <w:szCs w:val="21"/>
              </w:rPr>
              <w:t>”</w:t>
            </w:r>
            <w:r w:rsidRPr="00B4515A">
              <w:rPr>
                <w:rFonts w:ascii="Times New Roman" w:eastAsiaTheme="minorEastAsia" w:hAnsi="Times New Roman" w:cs="Times New Roman" w:hint="eastAsia"/>
                <w:color w:val="000000"/>
                <w:sz w:val="21"/>
                <w:szCs w:val="21"/>
              </w:rPr>
              <w:t>号填列）</w:t>
            </w:r>
          </w:p>
        </w:tc>
        <w:tc>
          <w:tcPr>
            <w:tcW w:w="723" w:type="pct"/>
            <w:shd w:val="clear" w:color="auto" w:fill="auto"/>
            <w:tcMar>
              <w:top w:w="0" w:type="dxa"/>
              <w:left w:w="108" w:type="dxa"/>
              <w:bottom w:w="0" w:type="dxa"/>
              <w:right w:w="108" w:type="dxa"/>
            </w:tcMar>
            <w:vAlign w:val="center"/>
          </w:tcPr>
          <w:p w14:paraId="620BAAA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780.09</w:t>
            </w:r>
          </w:p>
        </w:tc>
        <w:tc>
          <w:tcPr>
            <w:tcW w:w="676" w:type="pct"/>
            <w:shd w:val="clear" w:color="auto" w:fill="auto"/>
            <w:tcMar>
              <w:top w:w="0" w:type="dxa"/>
              <w:left w:w="108" w:type="dxa"/>
              <w:bottom w:w="0" w:type="dxa"/>
              <w:right w:w="108" w:type="dxa"/>
            </w:tcMar>
            <w:vAlign w:val="center"/>
          </w:tcPr>
          <w:p w14:paraId="749E419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6.11%</w:t>
            </w:r>
          </w:p>
        </w:tc>
        <w:tc>
          <w:tcPr>
            <w:tcW w:w="723" w:type="pct"/>
            <w:shd w:val="clear" w:color="auto" w:fill="auto"/>
            <w:tcMar>
              <w:top w:w="0" w:type="dxa"/>
              <w:left w:w="108" w:type="dxa"/>
              <w:bottom w:w="0" w:type="dxa"/>
              <w:right w:w="108" w:type="dxa"/>
            </w:tcMar>
            <w:vAlign w:val="center"/>
          </w:tcPr>
          <w:p w14:paraId="76486E1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4,206.85</w:t>
            </w:r>
          </w:p>
        </w:tc>
        <w:tc>
          <w:tcPr>
            <w:tcW w:w="676" w:type="pct"/>
            <w:shd w:val="clear" w:color="auto" w:fill="auto"/>
            <w:tcMar>
              <w:top w:w="0" w:type="dxa"/>
              <w:left w:w="108" w:type="dxa"/>
              <w:bottom w:w="0" w:type="dxa"/>
              <w:right w:w="108" w:type="dxa"/>
            </w:tcMar>
            <w:vAlign w:val="center"/>
          </w:tcPr>
          <w:p w14:paraId="53B54A6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7.61%</w:t>
            </w:r>
          </w:p>
        </w:tc>
        <w:tc>
          <w:tcPr>
            <w:tcW w:w="723" w:type="pct"/>
            <w:shd w:val="clear" w:color="auto" w:fill="auto"/>
            <w:tcMar>
              <w:top w:w="0" w:type="dxa"/>
              <w:left w:w="108" w:type="dxa"/>
              <w:bottom w:w="0" w:type="dxa"/>
              <w:right w:w="108" w:type="dxa"/>
            </w:tcMar>
            <w:vAlign w:val="center"/>
          </w:tcPr>
          <w:p w14:paraId="6CF3C1E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816.06</w:t>
            </w:r>
          </w:p>
        </w:tc>
        <w:tc>
          <w:tcPr>
            <w:tcW w:w="667" w:type="pct"/>
            <w:shd w:val="clear" w:color="auto" w:fill="auto"/>
            <w:tcMar>
              <w:top w:w="0" w:type="dxa"/>
              <w:left w:w="108" w:type="dxa"/>
              <w:bottom w:w="0" w:type="dxa"/>
              <w:right w:w="108" w:type="dxa"/>
            </w:tcMar>
            <w:vAlign w:val="center"/>
          </w:tcPr>
          <w:p w14:paraId="5E62CA7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2.22%</w:t>
            </w:r>
          </w:p>
        </w:tc>
      </w:tr>
      <w:tr w:rsidR="006416B0" w:rsidRPr="00B4515A" w14:paraId="6305D845" w14:textId="77777777" w:rsidTr="00031627">
        <w:trPr>
          <w:trHeight w:val="340"/>
          <w:jc w:val="center"/>
        </w:trPr>
        <w:tc>
          <w:tcPr>
            <w:tcW w:w="811" w:type="pct"/>
            <w:shd w:val="clear" w:color="auto" w:fill="auto"/>
            <w:tcMar>
              <w:top w:w="0" w:type="dxa"/>
              <w:left w:w="108" w:type="dxa"/>
              <w:bottom w:w="0" w:type="dxa"/>
              <w:right w:w="108" w:type="dxa"/>
            </w:tcMar>
            <w:vAlign w:val="center"/>
          </w:tcPr>
          <w:p w14:paraId="5B0326CC"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r w:rsidRPr="00B4515A">
              <w:rPr>
                <w:rFonts w:ascii="Times New Roman" w:eastAsiaTheme="minorEastAsia" w:hAnsi="Times New Roman" w:cs="Times New Roman" w:hint="eastAsia"/>
                <w:color w:val="000000"/>
                <w:sz w:val="21"/>
                <w:szCs w:val="21"/>
              </w:rPr>
              <w:t>．终止经营净利润（净亏损以</w:t>
            </w:r>
            <w:r w:rsidRPr="00B4515A">
              <w:rPr>
                <w:rFonts w:cs="Times New Roman"/>
                <w:color w:val="000000"/>
                <w:sz w:val="21"/>
                <w:szCs w:val="21"/>
              </w:rPr>
              <w:t>“</w:t>
            </w:r>
            <w:r w:rsidRPr="00B4515A">
              <w:rPr>
                <w:rFonts w:ascii="Times New Roman" w:eastAsiaTheme="minorEastAsia" w:hAnsi="Times New Roman" w:cs="Times New Roman"/>
                <w:color w:val="000000"/>
                <w:sz w:val="21"/>
                <w:szCs w:val="21"/>
              </w:rPr>
              <w:t>-</w:t>
            </w:r>
            <w:r w:rsidRPr="00B4515A">
              <w:rPr>
                <w:rFonts w:cs="Times New Roman"/>
                <w:color w:val="000000"/>
                <w:sz w:val="21"/>
                <w:szCs w:val="21"/>
              </w:rPr>
              <w:t>”</w:t>
            </w:r>
            <w:r w:rsidRPr="00B4515A">
              <w:rPr>
                <w:rFonts w:ascii="Times New Roman" w:eastAsiaTheme="minorEastAsia" w:hAnsi="Times New Roman" w:cs="Times New Roman" w:hint="eastAsia"/>
                <w:color w:val="000000"/>
                <w:sz w:val="21"/>
                <w:szCs w:val="21"/>
              </w:rPr>
              <w:t>号填列）</w:t>
            </w:r>
          </w:p>
        </w:tc>
        <w:tc>
          <w:tcPr>
            <w:tcW w:w="723" w:type="pct"/>
            <w:shd w:val="clear" w:color="auto" w:fill="auto"/>
            <w:tcMar>
              <w:top w:w="0" w:type="dxa"/>
              <w:left w:w="108" w:type="dxa"/>
              <w:bottom w:w="0" w:type="dxa"/>
              <w:right w:w="108" w:type="dxa"/>
            </w:tcMar>
            <w:vAlign w:val="center"/>
          </w:tcPr>
          <w:p w14:paraId="22F454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126502A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4823888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16395DF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31D5913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67" w:type="pct"/>
            <w:shd w:val="clear" w:color="auto" w:fill="auto"/>
            <w:tcMar>
              <w:top w:w="0" w:type="dxa"/>
              <w:left w:w="108" w:type="dxa"/>
              <w:bottom w:w="0" w:type="dxa"/>
              <w:right w:w="108" w:type="dxa"/>
            </w:tcMar>
            <w:vAlign w:val="center"/>
          </w:tcPr>
          <w:p w14:paraId="692F9F7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289DC2C8" w14:textId="77777777" w:rsidTr="00031627">
        <w:trPr>
          <w:trHeight w:val="340"/>
          <w:jc w:val="center"/>
        </w:trPr>
        <w:tc>
          <w:tcPr>
            <w:tcW w:w="811" w:type="pct"/>
            <w:shd w:val="clear" w:color="auto" w:fill="auto"/>
            <w:tcMar>
              <w:top w:w="0" w:type="dxa"/>
              <w:left w:w="108" w:type="dxa"/>
              <w:bottom w:w="0" w:type="dxa"/>
              <w:right w:w="108" w:type="dxa"/>
            </w:tcMar>
            <w:vAlign w:val="center"/>
          </w:tcPr>
          <w:p w14:paraId="7246BDCF"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（二）按所有权归属分类</w:t>
            </w:r>
          </w:p>
        </w:tc>
        <w:tc>
          <w:tcPr>
            <w:tcW w:w="723" w:type="pct"/>
            <w:shd w:val="clear" w:color="auto" w:fill="auto"/>
            <w:tcMar>
              <w:top w:w="0" w:type="dxa"/>
              <w:left w:w="108" w:type="dxa"/>
              <w:bottom w:w="0" w:type="dxa"/>
              <w:right w:w="108" w:type="dxa"/>
            </w:tcMar>
            <w:vAlign w:val="center"/>
          </w:tcPr>
          <w:p w14:paraId="1EEC99E0"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76" w:type="pct"/>
            <w:shd w:val="clear" w:color="auto" w:fill="auto"/>
            <w:tcMar>
              <w:top w:w="0" w:type="dxa"/>
              <w:left w:w="108" w:type="dxa"/>
              <w:bottom w:w="0" w:type="dxa"/>
              <w:right w:w="108" w:type="dxa"/>
            </w:tcMar>
            <w:vAlign w:val="center"/>
          </w:tcPr>
          <w:p w14:paraId="75D7DA99"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723" w:type="pct"/>
            <w:shd w:val="clear" w:color="auto" w:fill="auto"/>
            <w:tcMar>
              <w:top w:w="0" w:type="dxa"/>
              <w:left w:w="108" w:type="dxa"/>
              <w:bottom w:w="0" w:type="dxa"/>
              <w:right w:w="108" w:type="dxa"/>
            </w:tcMar>
            <w:vAlign w:val="center"/>
          </w:tcPr>
          <w:p w14:paraId="74EA1092"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76" w:type="pct"/>
            <w:shd w:val="clear" w:color="auto" w:fill="auto"/>
            <w:tcMar>
              <w:top w:w="0" w:type="dxa"/>
              <w:left w:w="108" w:type="dxa"/>
              <w:bottom w:w="0" w:type="dxa"/>
              <w:right w:w="108" w:type="dxa"/>
            </w:tcMar>
            <w:vAlign w:val="center"/>
          </w:tcPr>
          <w:p w14:paraId="528AADF2"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723" w:type="pct"/>
            <w:shd w:val="clear" w:color="auto" w:fill="auto"/>
            <w:tcMar>
              <w:top w:w="0" w:type="dxa"/>
              <w:left w:w="108" w:type="dxa"/>
              <w:bottom w:w="0" w:type="dxa"/>
              <w:right w:w="108" w:type="dxa"/>
            </w:tcMar>
            <w:vAlign w:val="center"/>
          </w:tcPr>
          <w:p w14:paraId="2D3FEEF6"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67" w:type="pct"/>
            <w:shd w:val="clear" w:color="auto" w:fill="auto"/>
            <w:tcMar>
              <w:top w:w="0" w:type="dxa"/>
              <w:left w:w="108" w:type="dxa"/>
              <w:bottom w:w="0" w:type="dxa"/>
              <w:right w:w="108" w:type="dxa"/>
            </w:tcMar>
            <w:vAlign w:val="center"/>
          </w:tcPr>
          <w:p w14:paraId="08BF293D"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r>
      <w:tr w:rsidR="006416B0" w:rsidRPr="00B4515A" w14:paraId="3D163919" w14:textId="77777777" w:rsidTr="00031627">
        <w:trPr>
          <w:trHeight w:val="340"/>
          <w:jc w:val="center"/>
        </w:trPr>
        <w:tc>
          <w:tcPr>
            <w:tcW w:w="811" w:type="pct"/>
            <w:shd w:val="clear" w:color="auto" w:fill="auto"/>
            <w:tcMar>
              <w:top w:w="0" w:type="dxa"/>
              <w:left w:w="108" w:type="dxa"/>
              <w:bottom w:w="0" w:type="dxa"/>
              <w:right w:w="108" w:type="dxa"/>
            </w:tcMar>
            <w:vAlign w:val="center"/>
          </w:tcPr>
          <w:p w14:paraId="47464048"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r w:rsidRPr="00B4515A">
              <w:rPr>
                <w:rFonts w:ascii="Times New Roman" w:eastAsiaTheme="minorEastAsia" w:hAnsi="Times New Roman" w:cs="Times New Roman" w:hint="eastAsia"/>
                <w:color w:val="000000"/>
                <w:sz w:val="21"/>
                <w:szCs w:val="21"/>
              </w:rPr>
              <w:t>．归属于母公司股东的净利润（净亏损以</w:t>
            </w:r>
            <w:r w:rsidRPr="00B4515A">
              <w:rPr>
                <w:rFonts w:cs="Times New Roman"/>
                <w:color w:val="000000"/>
                <w:sz w:val="21"/>
                <w:szCs w:val="21"/>
              </w:rPr>
              <w:t>“</w:t>
            </w:r>
            <w:r w:rsidRPr="00B4515A">
              <w:rPr>
                <w:rFonts w:ascii="Times New Roman" w:eastAsiaTheme="minorEastAsia" w:hAnsi="Times New Roman" w:cs="Times New Roman"/>
                <w:color w:val="000000"/>
                <w:sz w:val="21"/>
                <w:szCs w:val="21"/>
              </w:rPr>
              <w:t>-</w:t>
            </w:r>
            <w:r w:rsidRPr="00B4515A">
              <w:rPr>
                <w:rFonts w:cs="Times New Roman"/>
                <w:color w:val="000000"/>
                <w:sz w:val="21"/>
                <w:szCs w:val="21"/>
              </w:rPr>
              <w:t>”</w:t>
            </w:r>
            <w:r w:rsidRPr="00B4515A">
              <w:rPr>
                <w:rFonts w:ascii="Times New Roman" w:eastAsiaTheme="minorEastAsia" w:hAnsi="Times New Roman" w:cs="Times New Roman" w:hint="eastAsia"/>
                <w:color w:val="000000"/>
                <w:sz w:val="21"/>
                <w:szCs w:val="21"/>
              </w:rPr>
              <w:t>号填列）</w:t>
            </w:r>
          </w:p>
        </w:tc>
        <w:tc>
          <w:tcPr>
            <w:tcW w:w="723" w:type="pct"/>
            <w:shd w:val="clear" w:color="auto" w:fill="auto"/>
            <w:tcMar>
              <w:top w:w="0" w:type="dxa"/>
              <w:left w:w="108" w:type="dxa"/>
              <w:bottom w:w="0" w:type="dxa"/>
              <w:right w:w="108" w:type="dxa"/>
            </w:tcMar>
            <w:vAlign w:val="center"/>
          </w:tcPr>
          <w:p w14:paraId="6D1CEAE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780.09</w:t>
            </w:r>
          </w:p>
        </w:tc>
        <w:tc>
          <w:tcPr>
            <w:tcW w:w="676" w:type="pct"/>
            <w:shd w:val="clear" w:color="auto" w:fill="auto"/>
            <w:tcMar>
              <w:top w:w="0" w:type="dxa"/>
              <w:left w:w="108" w:type="dxa"/>
              <w:bottom w:w="0" w:type="dxa"/>
              <w:right w:w="108" w:type="dxa"/>
            </w:tcMar>
            <w:vAlign w:val="center"/>
          </w:tcPr>
          <w:p w14:paraId="096BF36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6.11%</w:t>
            </w:r>
          </w:p>
        </w:tc>
        <w:tc>
          <w:tcPr>
            <w:tcW w:w="723" w:type="pct"/>
            <w:shd w:val="clear" w:color="auto" w:fill="auto"/>
            <w:tcMar>
              <w:top w:w="0" w:type="dxa"/>
              <w:left w:w="108" w:type="dxa"/>
              <w:bottom w:w="0" w:type="dxa"/>
              <w:right w:w="108" w:type="dxa"/>
            </w:tcMar>
            <w:vAlign w:val="center"/>
          </w:tcPr>
          <w:p w14:paraId="0D65E12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4,206.85</w:t>
            </w:r>
          </w:p>
        </w:tc>
        <w:tc>
          <w:tcPr>
            <w:tcW w:w="676" w:type="pct"/>
            <w:shd w:val="clear" w:color="auto" w:fill="auto"/>
            <w:tcMar>
              <w:top w:w="0" w:type="dxa"/>
              <w:left w:w="108" w:type="dxa"/>
              <w:bottom w:w="0" w:type="dxa"/>
              <w:right w:w="108" w:type="dxa"/>
            </w:tcMar>
            <w:vAlign w:val="center"/>
          </w:tcPr>
          <w:p w14:paraId="187C79F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7.61%</w:t>
            </w:r>
          </w:p>
        </w:tc>
        <w:tc>
          <w:tcPr>
            <w:tcW w:w="723" w:type="pct"/>
            <w:shd w:val="clear" w:color="auto" w:fill="auto"/>
            <w:tcMar>
              <w:top w:w="0" w:type="dxa"/>
              <w:left w:w="108" w:type="dxa"/>
              <w:bottom w:w="0" w:type="dxa"/>
              <w:right w:w="108" w:type="dxa"/>
            </w:tcMar>
            <w:vAlign w:val="center"/>
          </w:tcPr>
          <w:p w14:paraId="7A60449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1,785.66</w:t>
            </w:r>
          </w:p>
        </w:tc>
        <w:tc>
          <w:tcPr>
            <w:tcW w:w="667" w:type="pct"/>
            <w:shd w:val="clear" w:color="auto" w:fill="auto"/>
            <w:tcMar>
              <w:top w:w="0" w:type="dxa"/>
              <w:left w:w="108" w:type="dxa"/>
              <w:bottom w:w="0" w:type="dxa"/>
              <w:right w:w="108" w:type="dxa"/>
            </w:tcMar>
            <w:vAlign w:val="center"/>
          </w:tcPr>
          <w:p w14:paraId="5A34F7E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4.87%</w:t>
            </w:r>
          </w:p>
        </w:tc>
      </w:tr>
      <w:tr w:rsidR="006416B0" w:rsidRPr="00B4515A" w14:paraId="53553DFF" w14:textId="77777777" w:rsidTr="00031627">
        <w:trPr>
          <w:trHeight w:val="340"/>
          <w:jc w:val="center"/>
        </w:trPr>
        <w:tc>
          <w:tcPr>
            <w:tcW w:w="811" w:type="pct"/>
            <w:shd w:val="clear" w:color="auto" w:fill="auto"/>
            <w:tcMar>
              <w:top w:w="0" w:type="dxa"/>
              <w:left w:w="108" w:type="dxa"/>
              <w:bottom w:w="0" w:type="dxa"/>
              <w:right w:w="108" w:type="dxa"/>
            </w:tcMar>
            <w:vAlign w:val="center"/>
          </w:tcPr>
          <w:p w14:paraId="18993D11"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r w:rsidRPr="00B4515A">
              <w:rPr>
                <w:rFonts w:ascii="Times New Roman" w:eastAsiaTheme="minorEastAsia" w:hAnsi="Times New Roman" w:cs="Times New Roman" w:hint="eastAsia"/>
                <w:color w:val="000000"/>
                <w:sz w:val="21"/>
                <w:szCs w:val="21"/>
              </w:rPr>
              <w:t>．少数股东损益（净亏损以</w:t>
            </w:r>
            <w:r w:rsidRPr="00B4515A">
              <w:rPr>
                <w:rFonts w:cs="Times New Roman"/>
                <w:color w:val="000000"/>
                <w:sz w:val="21"/>
                <w:szCs w:val="21"/>
              </w:rPr>
              <w:t>“</w:t>
            </w:r>
            <w:r w:rsidRPr="00B4515A">
              <w:rPr>
                <w:rFonts w:ascii="Times New Roman" w:eastAsiaTheme="minorEastAsia" w:hAnsi="Times New Roman" w:cs="Times New Roman"/>
                <w:color w:val="000000"/>
                <w:sz w:val="21"/>
                <w:szCs w:val="21"/>
              </w:rPr>
              <w:t>-</w:t>
            </w:r>
            <w:r w:rsidRPr="00B4515A">
              <w:rPr>
                <w:rFonts w:cs="Times New Roman"/>
                <w:color w:val="000000"/>
                <w:sz w:val="21"/>
                <w:szCs w:val="21"/>
              </w:rPr>
              <w:t>”</w:t>
            </w:r>
            <w:r w:rsidRPr="00B4515A">
              <w:rPr>
                <w:rFonts w:ascii="Times New Roman" w:eastAsiaTheme="minorEastAsia" w:hAnsi="Times New Roman" w:cs="Times New Roman" w:hint="eastAsia"/>
                <w:color w:val="000000"/>
                <w:sz w:val="21"/>
                <w:szCs w:val="21"/>
              </w:rPr>
              <w:t>号填列）</w:t>
            </w:r>
          </w:p>
        </w:tc>
        <w:tc>
          <w:tcPr>
            <w:tcW w:w="723" w:type="pct"/>
            <w:shd w:val="clear" w:color="auto" w:fill="auto"/>
            <w:tcMar>
              <w:top w:w="0" w:type="dxa"/>
              <w:left w:w="108" w:type="dxa"/>
              <w:bottom w:w="0" w:type="dxa"/>
              <w:right w:w="108" w:type="dxa"/>
            </w:tcMar>
            <w:vAlign w:val="center"/>
          </w:tcPr>
          <w:p w14:paraId="49C8658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27EAE5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797DA39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63F9965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79099AB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-969.60</w:t>
            </w:r>
          </w:p>
        </w:tc>
        <w:tc>
          <w:tcPr>
            <w:tcW w:w="667" w:type="pct"/>
            <w:shd w:val="clear" w:color="auto" w:fill="auto"/>
            <w:tcMar>
              <w:top w:w="0" w:type="dxa"/>
              <w:left w:w="108" w:type="dxa"/>
              <w:bottom w:w="0" w:type="dxa"/>
              <w:right w:w="108" w:type="dxa"/>
            </w:tcMar>
            <w:vAlign w:val="center"/>
          </w:tcPr>
          <w:p w14:paraId="008041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-2.64%</w:t>
            </w:r>
          </w:p>
        </w:tc>
      </w:tr>
      <w:tr w:rsidR="006416B0" w:rsidRPr="00B4515A" w14:paraId="06AA93E3" w14:textId="77777777" w:rsidTr="00031627">
        <w:trPr>
          <w:trHeight w:val="340"/>
          <w:jc w:val="center"/>
        </w:trPr>
        <w:tc>
          <w:tcPr>
            <w:tcW w:w="811" w:type="pct"/>
            <w:shd w:val="clear" w:color="auto" w:fill="auto"/>
            <w:tcMar>
              <w:top w:w="0" w:type="dxa"/>
              <w:left w:w="108" w:type="dxa"/>
              <w:bottom w:w="0" w:type="dxa"/>
              <w:right w:w="108" w:type="dxa"/>
            </w:tcMar>
            <w:vAlign w:val="center"/>
          </w:tcPr>
          <w:p w14:paraId="08384D7D"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六、其他综合收益的税后净额</w:t>
            </w:r>
          </w:p>
        </w:tc>
        <w:tc>
          <w:tcPr>
            <w:tcW w:w="723" w:type="pct"/>
            <w:shd w:val="clear" w:color="auto" w:fill="auto"/>
            <w:tcMar>
              <w:top w:w="0" w:type="dxa"/>
              <w:left w:w="108" w:type="dxa"/>
              <w:bottom w:w="0" w:type="dxa"/>
              <w:right w:w="108" w:type="dxa"/>
            </w:tcMar>
            <w:vAlign w:val="center"/>
          </w:tcPr>
          <w:p w14:paraId="730157E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1596FCB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5C689A7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1,150.59</w:t>
            </w:r>
          </w:p>
        </w:tc>
        <w:tc>
          <w:tcPr>
            <w:tcW w:w="676" w:type="pct"/>
            <w:shd w:val="clear" w:color="auto" w:fill="auto"/>
            <w:tcMar>
              <w:top w:w="0" w:type="dxa"/>
              <w:left w:w="108" w:type="dxa"/>
              <w:bottom w:w="0" w:type="dxa"/>
              <w:right w:w="108" w:type="dxa"/>
            </w:tcMar>
            <w:vAlign w:val="center"/>
          </w:tcPr>
          <w:p w14:paraId="33FABFB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2.08%</w:t>
            </w:r>
          </w:p>
        </w:tc>
        <w:tc>
          <w:tcPr>
            <w:tcW w:w="723" w:type="pct"/>
            <w:shd w:val="clear" w:color="auto" w:fill="auto"/>
            <w:tcMar>
              <w:top w:w="0" w:type="dxa"/>
              <w:left w:w="108" w:type="dxa"/>
              <w:bottom w:w="0" w:type="dxa"/>
              <w:right w:w="108" w:type="dxa"/>
            </w:tcMar>
            <w:vAlign w:val="center"/>
          </w:tcPr>
          <w:p w14:paraId="3599AC5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1,282.95</w:t>
            </w:r>
          </w:p>
        </w:tc>
        <w:tc>
          <w:tcPr>
            <w:tcW w:w="667" w:type="pct"/>
            <w:shd w:val="clear" w:color="auto" w:fill="auto"/>
            <w:tcMar>
              <w:top w:w="0" w:type="dxa"/>
              <w:left w:w="108" w:type="dxa"/>
              <w:bottom w:w="0" w:type="dxa"/>
              <w:right w:w="108" w:type="dxa"/>
            </w:tcMar>
            <w:vAlign w:val="center"/>
          </w:tcPr>
          <w:p w14:paraId="63747B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3.50%</w:t>
            </w:r>
          </w:p>
        </w:tc>
      </w:tr>
      <w:tr w:rsidR="006416B0" w:rsidRPr="00B4515A" w14:paraId="7B187BB6" w14:textId="77777777" w:rsidTr="00031627">
        <w:trPr>
          <w:trHeight w:val="340"/>
          <w:jc w:val="center"/>
        </w:trPr>
        <w:tc>
          <w:tcPr>
            <w:tcW w:w="811" w:type="pct"/>
            <w:shd w:val="clear" w:color="auto" w:fill="auto"/>
            <w:tcMar>
              <w:top w:w="0" w:type="dxa"/>
              <w:left w:w="108" w:type="dxa"/>
              <w:bottom w:w="0" w:type="dxa"/>
              <w:right w:w="108" w:type="dxa"/>
            </w:tcMar>
            <w:vAlign w:val="center"/>
          </w:tcPr>
          <w:p w14:paraId="58F82250"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归属于母公</w:t>
            </w:r>
            <w:r w:rsidRPr="00B4515A">
              <w:rPr>
                <w:rFonts w:ascii="Times New Roman" w:eastAsiaTheme="minorEastAsia" w:hAnsi="Times New Roman" w:cs="Times New Roman" w:hint="eastAsia"/>
                <w:color w:val="000000"/>
                <w:sz w:val="21"/>
                <w:szCs w:val="21"/>
              </w:rPr>
              <w:lastRenderedPageBreak/>
              <w:t>司所有者的其他综合收益的税后净额</w:t>
            </w:r>
          </w:p>
        </w:tc>
        <w:tc>
          <w:tcPr>
            <w:tcW w:w="723" w:type="pct"/>
            <w:shd w:val="clear" w:color="auto" w:fill="auto"/>
            <w:tcMar>
              <w:top w:w="0" w:type="dxa"/>
              <w:left w:w="108" w:type="dxa"/>
              <w:bottom w:w="0" w:type="dxa"/>
              <w:right w:w="108" w:type="dxa"/>
            </w:tcMar>
            <w:vAlign w:val="center"/>
          </w:tcPr>
          <w:p w14:paraId="42492F6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lastRenderedPageBreak/>
              <w:t>-</w:t>
            </w:r>
          </w:p>
        </w:tc>
        <w:tc>
          <w:tcPr>
            <w:tcW w:w="676" w:type="pct"/>
            <w:shd w:val="clear" w:color="auto" w:fill="auto"/>
            <w:tcMar>
              <w:top w:w="0" w:type="dxa"/>
              <w:left w:w="108" w:type="dxa"/>
              <w:bottom w:w="0" w:type="dxa"/>
              <w:right w:w="108" w:type="dxa"/>
            </w:tcMar>
            <w:vAlign w:val="center"/>
          </w:tcPr>
          <w:p w14:paraId="0CAC622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4C3F376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1,150.59</w:t>
            </w:r>
          </w:p>
        </w:tc>
        <w:tc>
          <w:tcPr>
            <w:tcW w:w="676" w:type="pct"/>
            <w:shd w:val="clear" w:color="auto" w:fill="auto"/>
            <w:tcMar>
              <w:top w:w="0" w:type="dxa"/>
              <w:left w:w="108" w:type="dxa"/>
              <w:bottom w:w="0" w:type="dxa"/>
              <w:right w:w="108" w:type="dxa"/>
            </w:tcMar>
            <w:vAlign w:val="center"/>
          </w:tcPr>
          <w:p w14:paraId="303E640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2.08%</w:t>
            </w:r>
          </w:p>
        </w:tc>
        <w:tc>
          <w:tcPr>
            <w:tcW w:w="723" w:type="pct"/>
            <w:shd w:val="clear" w:color="auto" w:fill="auto"/>
            <w:tcMar>
              <w:top w:w="0" w:type="dxa"/>
              <w:left w:w="108" w:type="dxa"/>
              <w:bottom w:w="0" w:type="dxa"/>
              <w:right w:w="108" w:type="dxa"/>
            </w:tcMar>
            <w:vAlign w:val="center"/>
          </w:tcPr>
          <w:p w14:paraId="649158E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1,282.95</w:t>
            </w:r>
          </w:p>
        </w:tc>
        <w:tc>
          <w:tcPr>
            <w:tcW w:w="667" w:type="pct"/>
            <w:shd w:val="clear" w:color="auto" w:fill="auto"/>
            <w:tcMar>
              <w:top w:w="0" w:type="dxa"/>
              <w:left w:w="108" w:type="dxa"/>
              <w:bottom w:w="0" w:type="dxa"/>
              <w:right w:w="108" w:type="dxa"/>
            </w:tcMar>
            <w:vAlign w:val="center"/>
          </w:tcPr>
          <w:p w14:paraId="370CA4B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3.50%</w:t>
            </w:r>
          </w:p>
        </w:tc>
      </w:tr>
      <w:tr w:rsidR="006416B0" w:rsidRPr="00B4515A" w14:paraId="196EE4CC" w14:textId="77777777" w:rsidTr="00031627">
        <w:trPr>
          <w:trHeight w:val="340"/>
          <w:jc w:val="center"/>
        </w:trPr>
        <w:tc>
          <w:tcPr>
            <w:tcW w:w="811" w:type="pct"/>
            <w:shd w:val="clear" w:color="auto" w:fill="auto"/>
            <w:tcMar>
              <w:top w:w="0" w:type="dxa"/>
              <w:left w:w="108" w:type="dxa"/>
              <w:bottom w:w="0" w:type="dxa"/>
              <w:right w:w="108" w:type="dxa"/>
            </w:tcMar>
            <w:vAlign w:val="center"/>
          </w:tcPr>
          <w:p w14:paraId="754EF6E4"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lastRenderedPageBreak/>
              <w:t>归属于少数股东的其他综合收益的税后净额</w:t>
            </w:r>
          </w:p>
        </w:tc>
        <w:tc>
          <w:tcPr>
            <w:tcW w:w="723" w:type="pct"/>
            <w:shd w:val="clear" w:color="auto" w:fill="auto"/>
            <w:tcMar>
              <w:top w:w="0" w:type="dxa"/>
              <w:left w:w="108" w:type="dxa"/>
              <w:bottom w:w="0" w:type="dxa"/>
              <w:right w:w="108" w:type="dxa"/>
            </w:tcMar>
            <w:vAlign w:val="center"/>
          </w:tcPr>
          <w:p w14:paraId="716279B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69E5640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203B8A6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1,150.59</w:t>
            </w:r>
          </w:p>
        </w:tc>
        <w:tc>
          <w:tcPr>
            <w:tcW w:w="676" w:type="pct"/>
            <w:shd w:val="clear" w:color="auto" w:fill="auto"/>
            <w:tcMar>
              <w:top w:w="0" w:type="dxa"/>
              <w:left w:w="108" w:type="dxa"/>
              <w:bottom w:w="0" w:type="dxa"/>
              <w:right w:w="108" w:type="dxa"/>
            </w:tcMar>
            <w:vAlign w:val="center"/>
          </w:tcPr>
          <w:p w14:paraId="2739892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2.08%</w:t>
            </w:r>
          </w:p>
        </w:tc>
        <w:tc>
          <w:tcPr>
            <w:tcW w:w="723" w:type="pct"/>
            <w:shd w:val="clear" w:color="auto" w:fill="auto"/>
            <w:tcMar>
              <w:top w:w="0" w:type="dxa"/>
              <w:left w:w="108" w:type="dxa"/>
              <w:bottom w:w="0" w:type="dxa"/>
              <w:right w:w="108" w:type="dxa"/>
            </w:tcMar>
            <w:vAlign w:val="center"/>
          </w:tcPr>
          <w:p w14:paraId="654F810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1,282.95</w:t>
            </w:r>
          </w:p>
        </w:tc>
        <w:tc>
          <w:tcPr>
            <w:tcW w:w="667" w:type="pct"/>
            <w:shd w:val="clear" w:color="auto" w:fill="auto"/>
            <w:tcMar>
              <w:top w:w="0" w:type="dxa"/>
              <w:left w:w="108" w:type="dxa"/>
              <w:bottom w:w="0" w:type="dxa"/>
              <w:right w:w="108" w:type="dxa"/>
            </w:tcMar>
            <w:vAlign w:val="center"/>
          </w:tcPr>
          <w:p w14:paraId="3616881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3.50%</w:t>
            </w:r>
          </w:p>
        </w:tc>
      </w:tr>
      <w:tr w:rsidR="006416B0" w:rsidRPr="00B4515A" w14:paraId="50CF6B43" w14:textId="77777777" w:rsidTr="00031627">
        <w:trPr>
          <w:trHeight w:val="340"/>
          <w:jc w:val="center"/>
        </w:trPr>
        <w:tc>
          <w:tcPr>
            <w:tcW w:w="811" w:type="pct"/>
            <w:shd w:val="clear" w:color="auto" w:fill="auto"/>
            <w:tcMar>
              <w:top w:w="0" w:type="dxa"/>
              <w:left w:w="108" w:type="dxa"/>
              <w:bottom w:w="0" w:type="dxa"/>
              <w:right w:w="108" w:type="dxa"/>
            </w:tcMar>
            <w:vAlign w:val="center"/>
          </w:tcPr>
          <w:p w14:paraId="4E4C19CF"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七、综合收益总额</w:t>
            </w:r>
          </w:p>
        </w:tc>
        <w:tc>
          <w:tcPr>
            <w:tcW w:w="723" w:type="pct"/>
            <w:shd w:val="clear" w:color="auto" w:fill="auto"/>
            <w:tcMar>
              <w:top w:w="0" w:type="dxa"/>
              <w:left w:w="108" w:type="dxa"/>
              <w:bottom w:w="0" w:type="dxa"/>
              <w:right w:w="108" w:type="dxa"/>
            </w:tcMar>
            <w:vAlign w:val="center"/>
          </w:tcPr>
          <w:p w14:paraId="588700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780.09</w:t>
            </w:r>
          </w:p>
        </w:tc>
        <w:tc>
          <w:tcPr>
            <w:tcW w:w="676" w:type="pct"/>
            <w:shd w:val="clear" w:color="auto" w:fill="auto"/>
            <w:tcMar>
              <w:top w:w="0" w:type="dxa"/>
              <w:left w:w="108" w:type="dxa"/>
              <w:bottom w:w="0" w:type="dxa"/>
              <w:right w:w="108" w:type="dxa"/>
            </w:tcMar>
            <w:vAlign w:val="center"/>
          </w:tcPr>
          <w:p w14:paraId="4E359F5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6.11%</w:t>
            </w:r>
          </w:p>
        </w:tc>
        <w:tc>
          <w:tcPr>
            <w:tcW w:w="723" w:type="pct"/>
            <w:shd w:val="clear" w:color="auto" w:fill="auto"/>
            <w:tcMar>
              <w:top w:w="0" w:type="dxa"/>
              <w:left w:w="108" w:type="dxa"/>
              <w:bottom w:w="0" w:type="dxa"/>
              <w:right w:w="108" w:type="dxa"/>
            </w:tcMar>
            <w:vAlign w:val="center"/>
          </w:tcPr>
          <w:p w14:paraId="7A2DDC2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5,357.44</w:t>
            </w:r>
          </w:p>
        </w:tc>
        <w:tc>
          <w:tcPr>
            <w:tcW w:w="676" w:type="pct"/>
            <w:shd w:val="clear" w:color="auto" w:fill="auto"/>
            <w:tcMar>
              <w:top w:w="0" w:type="dxa"/>
              <w:left w:w="108" w:type="dxa"/>
              <w:bottom w:w="0" w:type="dxa"/>
              <w:right w:w="108" w:type="dxa"/>
            </w:tcMar>
            <w:vAlign w:val="center"/>
          </w:tcPr>
          <w:p w14:paraId="4C63124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9.69%</w:t>
            </w:r>
          </w:p>
        </w:tc>
        <w:tc>
          <w:tcPr>
            <w:tcW w:w="723" w:type="pct"/>
            <w:shd w:val="clear" w:color="auto" w:fill="auto"/>
            <w:tcMar>
              <w:top w:w="0" w:type="dxa"/>
              <w:left w:w="108" w:type="dxa"/>
              <w:bottom w:w="0" w:type="dxa"/>
              <w:right w:w="108" w:type="dxa"/>
            </w:tcMar>
            <w:vAlign w:val="center"/>
          </w:tcPr>
          <w:p w14:paraId="0FC095B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2,099.01</w:t>
            </w:r>
          </w:p>
        </w:tc>
        <w:tc>
          <w:tcPr>
            <w:tcW w:w="667" w:type="pct"/>
            <w:shd w:val="clear" w:color="auto" w:fill="auto"/>
            <w:tcMar>
              <w:top w:w="0" w:type="dxa"/>
              <w:left w:w="108" w:type="dxa"/>
              <w:bottom w:w="0" w:type="dxa"/>
              <w:right w:w="108" w:type="dxa"/>
            </w:tcMar>
            <w:vAlign w:val="center"/>
          </w:tcPr>
          <w:p w14:paraId="6A3D681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5.72%</w:t>
            </w:r>
          </w:p>
        </w:tc>
      </w:tr>
      <w:tr w:rsidR="006416B0" w:rsidRPr="00B4515A" w14:paraId="225DB8F3" w14:textId="77777777" w:rsidTr="00031627">
        <w:trPr>
          <w:trHeight w:val="340"/>
          <w:jc w:val="center"/>
        </w:trPr>
        <w:tc>
          <w:tcPr>
            <w:tcW w:w="811" w:type="pct"/>
            <w:shd w:val="clear" w:color="auto" w:fill="auto"/>
            <w:tcMar>
              <w:top w:w="0" w:type="dxa"/>
              <w:left w:w="108" w:type="dxa"/>
              <w:bottom w:w="0" w:type="dxa"/>
              <w:right w:w="108" w:type="dxa"/>
            </w:tcMar>
            <w:vAlign w:val="center"/>
          </w:tcPr>
          <w:p w14:paraId="4052BD8F"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归属于母公司所有者的综合收益总额</w:t>
            </w:r>
          </w:p>
        </w:tc>
        <w:tc>
          <w:tcPr>
            <w:tcW w:w="723" w:type="pct"/>
            <w:shd w:val="clear" w:color="auto" w:fill="auto"/>
            <w:tcMar>
              <w:top w:w="0" w:type="dxa"/>
              <w:left w:w="108" w:type="dxa"/>
              <w:bottom w:w="0" w:type="dxa"/>
              <w:right w:w="108" w:type="dxa"/>
            </w:tcMar>
            <w:vAlign w:val="center"/>
          </w:tcPr>
          <w:p w14:paraId="413EF71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780.09</w:t>
            </w:r>
          </w:p>
        </w:tc>
        <w:tc>
          <w:tcPr>
            <w:tcW w:w="676" w:type="pct"/>
            <w:shd w:val="clear" w:color="auto" w:fill="auto"/>
            <w:tcMar>
              <w:top w:w="0" w:type="dxa"/>
              <w:left w:w="108" w:type="dxa"/>
              <w:bottom w:w="0" w:type="dxa"/>
              <w:right w:w="108" w:type="dxa"/>
            </w:tcMar>
            <w:vAlign w:val="center"/>
          </w:tcPr>
          <w:p w14:paraId="2799BC3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6.11%</w:t>
            </w:r>
          </w:p>
        </w:tc>
        <w:tc>
          <w:tcPr>
            <w:tcW w:w="723" w:type="pct"/>
            <w:shd w:val="clear" w:color="auto" w:fill="auto"/>
            <w:tcMar>
              <w:top w:w="0" w:type="dxa"/>
              <w:left w:w="108" w:type="dxa"/>
              <w:bottom w:w="0" w:type="dxa"/>
              <w:right w:w="108" w:type="dxa"/>
            </w:tcMar>
            <w:vAlign w:val="center"/>
          </w:tcPr>
          <w:p w14:paraId="4FD57C4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5,357.44</w:t>
            </w:r>
          </w:p>
        </w:tc>
        <w:tc>
          <w:tcPr>
            <w:tcW w:w="676" w:type="pct"/>
            <w:shd w:val="clear" w:color="auto" w:fill="auto"/>
            <w:tcMar>
              <w:top w:w="0" w:type="dxa"/>
              <w:left w:w="108" w:type="dxa"/>
              <w:bottom w:w="0" w:type="dxa"/>
              <w:right w:w="108" w:type="dxa"/>
            </w:tcMar>
            <w:vAlign w:val="center"/>
          </w:tcPr>
          <w:p w14:paraId="4C0E109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9.69%</w:t>
            </w:r>
          </w:p>
        </w:tc>
        <w:tc>
          <w:tcPr>
            <w:tcW w:w="723" w:type="pct"/>
            <w:shd w:val="clear" w:color="auto" w:fill="auto"/>
            <w:tcMar>
              <w:top w:w="0" w:type="dxa"/>
              <w:left w:w="108" w:type="dxa"/>
              <w:bottom w:w="0" w:type="dxa"/>
              <w:right w:w="108" w:type="dxa"/>
            </w:tcMar>
            <w:vAlign w:val="center"/>
          </w:tcPr>
          <w:p w14:paraId="529ED49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3,068.61</w:t>
            </w:r>
          </w:p>
        </w:tc>
        <w:tc>
          <w:tcPr>
            <w:tcW w:w="667" w:type="pct"/>
            <w:shd w:val="clear" w:color="auto" w:fill="auto"/>
            <w:tcMar>
              <w:top w:w="0" w:type="dxa"/>
              <w:left w:w="108" w:type="dxa"/>
              <w:bottom w:w="0" w:type="dxa"/>
              <w:right w:w="108" w:type="dxa"/>
            </w:tcMar>
            <w:vAlign w:val="center"/>
          </w:tcPr>
          <w:p w14:paraId="324F2C2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8.36%</w:t>
            </w:r>
          </w:p>
        </w:tc>
      </w:tr>
      <w:tr w:rsidR="006416B0" w:rsidRPr="00B4515A" w14:paraId="2D94A99F" w14:textId="77777777" w:rsidTr="00031627">
        <w:trPr>
          <w:trHeight w:val="340"/>
          <w:jc w:val="center"/>
        </w:trPr>
        <w:tc>
          <w:tcPr>
            <w:tcW w:w="811" w:type="pct"/>
            <w:shd w:val="clear" w:color="auto" w:fill="auto"/>
            <w:tcMar>
              <w:top w:w="0" w:type="dxa"/>
              <w:left w:w="108" w:type="dxa"/>
              <w:bottom w:w="0" w:type="dxa"/>
              <w:right w:w="108" w:type="dxa"/>
            </w:tcMar>
            <w:vAlign w:val="center"/>
          </w:tcPr>
          <w:p w14:paraId="008D0185"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归属于少数股东的综合收益总额</w:t>
            </w:r>
          </w:p>
        </w:tc>
        <w:tc>
          <w:tcPr>
            <w:tcW w:w="723" w:type="pct"/>
            <w:shd w:val="clear" w:color="auto" w:fill="auto"/>
            <w:tcMar>
              <w:top w:w="0" w:type="dxa"/>
              <w:left w:w="108" w:type="dxa"/>
              <w:bottom w:w="0" w:type="dxa"/>
              <w:right w:w="108" w:type="dxa"/>
            </w:tcMar>
            <w:vAlign w:val="center"/>
          </w:tcPr>
          <w:p w14:paraId="3C800A7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171EEF3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18CD0BA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76" w:type="pct"/>
            <w:shd w:val="clear" w:color="auto" w:fill="auto"/>
            <w:tcMar>
              <w:top w:w="0" w:type="dxa"/>
              <w:left w:w="108" w:type="dxa"/>
              <w:bottom w:w="0" w:type="dxa"/>
              <w:right w:w="108" w:type="dxa"/>
            </w:tcMar>
            <w:vAlign w:val="center"/>
          </w:tcPr>
          <w:p w14:paraId="0D45796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23" w:type="pct"/>
            <w:shd w:val="clear" w:color="auto" w:fill="auto"/>
            <w:tcMar>
              <w:top w:w="0" w:type="dxa"/>
              <w:left w:w="108" w:type="dxa"/>
              <w:bottom w:w="0" w:type="dxa"/>
              <w:right w:w="108" w:type="dxa"/>
            </w:tcMar>
            <w:vAlign w:val="center"/>
          </w:tcPr>
          <w:p w14:paraId="3D4F864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-969.60</w:t>
            </w:r>
          </w:p>
        </w:tc>
        <w:tc>
          <w:tcPr>
            <w:tcW w:w="667" w:type="pct"/>
            <w:shd w:val="clear" w:color="auto" w:fill="auto"/>
            <w:tcMar>
              <w:top w:w="0" w:type="dxa"/>
              <w:left w:w="108" w:type="dxa"/>
              <w:bottom w:w="0" w:type="dxa"/>
              <w:right w:w="108" w:type="dxa"/>
            </w:tcMar>
            <w:vAlign w:val="center"/>
          </w:tcPr>
          <w:p w14:paraId="2EDE9F5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-2.64%</w:t>
            </w:r>
          </w:p>
        </w:tc>
      </w:tr>
    </w:tbl>
    <w:p w14:paraId="3B3C15C0" w14:textId="53F72639" w:rsidR="006416B0" w:rsidRPr="00B4515A" w:rsidRDefault="005E58C1" w:rsidP="003357B7">
      <w:pPr>
        <w:pStyle w:val="004"/>
        <w:spacing w:before="120" w:after="120"/>
        <w:ind w:firstLine="482"/>
      </w:pPr>
      <w:r w:rsidRPr="00B4515A">
        <w:rPr>
          <w:rFonts w:hint="eastAsia"/>
        </w:rPr>
        <w:t>1</w:t>
      </w:r>
      <w:r w:rsidRPr="00B4515A">
        <w:rPr>
          <w:rFonts w:hint="eastAsia"/>
        </w:rPr>
        <w:t>、营业收入分析</w:t>
      </w:r>
    </w:p>
    <w:p w14:paraId="0B1B2A30" w14:textId="77777777" w:rsidR="006416B0" w:rsidRPr="00B4515A" w:rsidRDefault="005E58C1" w:rsidP="003357B7">
      <w:pPr>
        <w:pStyle w:val="005"/>
        <w:spacing w:before="120" w:after="120"/>
        <w:ind w:firstLine="480"/>
      </w:pPr>
      <w:r w:rsidRPr="00B4515A">
        <w:rPr>
          <w:rFonts w:hint="eastAsia"/>
        </w:rPr>
        <w:t>（</w:t>
      </w:r>
      <w:r w:rsidRPr="00B4515A">
        <w:t>1</w:t>
      </w:r>
      <w:r w:rsidRPr="00B4515A">
        <w:rPr>
          <w:rFonts w:hint="eastAsia"/>
        </w:rPr>
        <w:t>）营业收入的总体情况</w:t>
      </w:r>
    </w:p>
    <w:p w14:paraId="2C2E3933" w14:textId="77777777" w:rsidR="006416B0" w:rsidRPr="00B4515A" w:rsidRDefault="005E58C1" w:rsidP="003357B7">
      <w:pPr>
        <w:pStyle w:val="005"/>
        <w:spacing w:before="120" w:after="120"/>
        <w:ind w:firstLine="480"/>
      </w:pPr>
      <w:r w:rsidRPr="00B4515A">
        <w:rPr>
          <w:rFonts w:hint="eastAsia"/>
        </w:rPr>
        <w:t>报告期内，</w:t>
      </w:r>
      <w:r w:rsidRPr="00B4515A">
        <w:rPr>
          <w:rFonts w:asciiTheme="minorEastAsia" w:eastAsiaTheme="minorEastAsia" w:hAnsiTheme="minorEastAsia" w:hint="eastAsia"/>
        </w:rPr>
        <w:t>大唐联诚</w:t>
      </w:r>
      <w:r w:rsidRPr="00B4515A">
        <w:rPr>
          <w:rFonts w:hint="eastAsia"/>
        </w:rPr>
        <w:t>主营业务收入按照</w:t>
      </w:r>
      <w:r w:rsidRPr="00B4515A">
        <w:rPr>
          <w:rFonts w:eastAsiaTheme="minorEastAsia" w:hint="eastAsia"/>
        </w:rPr>
        <w:t>业务</w:t>
      </w:r>
      <w:r w:rsidRPr="00B4515A">
        <w:rPr>
          <w:rFonts w:hint="eastAsia"/>
        </w:rPr>
        <w:t>类型分类如下：</w:t>
      </w:r>
    </w:p>
    <w:p w14:paraId="04551121"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60"/>
        <w:gridCol w:w="1359"/>
        <w:gridCol w:w="1083"/>
        <w:gridCol w:w="1182"/>
        <w:gridCol w:w="1182"/>
        <w:gridCol w:w="1182"/>
        <w:gridCol w:w="1180"/>
      </w:tblGrid>
      <w:tr w:rsidR="006416B0" w:rsidRPr="00B4515A" w14:paraId="7B4EFAA7" w14:textId="77777777" w:rsidTr="00031627">
        <w:trPr>
          <w:trHeight w:val="340"/>
          <w:jc w:val="center"/>
        </w:trPr>
        <w:tc>
          <w:tcPr>
            <w:tcW w:w="797" w:type="pct"/>
            <w:vMerge w:val="restart"/>
            <w:shd w:val="clear" w:color="auto" w:fill="auto"/>
            <w:tcMar>
              <w:top w:w="0" w:type="dxa"/>
              <w:left w:w="108" w:type="dxa"/>
              <w:bottom w:w="0" w:type="dxa"/>
              <w:right w:w="108" w:type="dxa"/>
            </w:tcMar>
            <w:vAlign w:val="center"/>
          </w:tcPr>
          <w:p w14:paraId="4E7EC9E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432" w:type="pct"/>
            <w:gridSpan w:val="2"/>
            <w:shd w:val="clear" w:color="auto" w:fill="auto"/>
            <w:tcMar>
              <w:top w:w="0" w:type="dxa"/>
              <w:left w:w="108" w:type="dxa"/>
              <w:bottom w:w="0" w:type="dxa"/>
              <w:right w:w="108" w:type="dxa"/>
            </w:tcMar>
            <w:vAlign w:val="center"/>
          </w:tcPr>
          <w:p w14:paraId="71153FA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1386" w:type="pct"/>
            <w:gridSpan w:val="2"/>
            <w:shd w:val="clear" w:color="auto" w:fill="auto"/>
            <w:tcMar>
              <w:top w:w="0" w:type="dxa"/>
              <w:left w:w="108" w:type="dxa"/>
              <w:bottom w:w="0" w:type="dxa"/>
              <w:right w:w="108" w:type="dxa"/>
            </w:tcMar>
            <w:vAlign w:val="center"/>
          </w:tcPr>
          <w:p w14:paraId="57377FC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年度</w:t>
            </w:r>
          </w:p>
        </w:tc>
        <w:tc>
          <w:tcPr>
            <w:tcW w:w="1386" w:type="pct"/>
            <w:gridSpan w:val="2"/>
            <w:shd w:val="clear" w:color="auto" w:fill="auto"/>
            <w:tcMar>
              <w:top w:w="0" w:type="dxa"/>
              <w:left w:w="108" w:type="dxa"/>
              <w:bottom w:w="0" w:type="dxa"/>
              <w:right w:w="108" w:type="dxa"/>
            </w:tcMar>
            <w:vAlign w:val="center"/>
          </w:tcPr>
          <w:p w14:paraId="072D98E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hint="eastAsia"/>
                <w:b/>
                <w:bCs/>
                <w:color w:val="000000"/>
                <w:sz w:val="21"/>
                <w:szCs w:val="21"/>
              </w:rPr>
              <w:t>年度</w:t>
            </w:r>
          </w:p>
        </w:tc>
      </w:tr>
      <w:tr w:rsidR="006416B0" w:rsidRPr="00B4515A" w14:paraId="45E5203C" w14:textId="77777777" w:rsidTr="00031627">
        <w:trPr>
          <w:trHeight w:val="340"/>
          <w:jc w:val="center"/>
        </w:trPr>
        <w:tc>
          <w:tcPr>
            <w:tcW w:w="797" w:type="pct"/>
            <w:vMerge/>
            <w:tcMar>
              <w:top w:w="0" w:type="dxa"/>
              <w:left w:w="108" w:type="dxa"/>
              <w:bottom w:w="0" w:type="dxa"/>
              <w:right w:w="108" w:type="dxa"/>
            </w:tcMar>
            <w:vAlign w:val="center"/>
          </w:tcPr>
          <w:p w14:paraId="1FF2CFBB"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797" w:type="pct"/>
            <w:shd w:val="clear" w:color="auto" w:fill="auto"/>
            <w:tcMar>
              <w:top w:w="0" w:type="dxa"/>
              <w:left w:w="108" w:type="dxa"/>
              <w:bottom w:w="0" w:type="dxa"/>
              <w:right w:w="108" w:type="dxa"/>
            </w:tcMar>
            <w:vAlign w:val="center"/>
          </w:tcPr>
          <w:p w14:paraId="4118048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收入</w:t>
            </w:r>
          </w:p>
        </w:tc>
        <w:tc>
          <w:tcPr>
            <w:tcW w:w="635" w:type="pct"/>
            <w:shd w:val="clear" w:color="auto" w:fill="auto"/>
            <w:tcMar>
              <w:top w:w="0" w:type="dxa"/>
              <w:left w:w="108" w:type="dxa"/>
              <w:bottom w:w="0" w:type="dxa"/>
              <w:right w:w="108" w:type="dxa"/>
            </w:tcMar>
            <w:vAlign w:val="center"/>
          </w:tcPr>
          <w:p w14:paraId="5172E02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比例</w:t>
            </w:r>
          </w:p>
        </w:tc>
        <w:tc>
          <w:tcPr>
            <w:tcW w:w="693" w:type="pct"/>
            <w:shd w:val="clear" w:color="auto" w:fill="auto"/>
            <w:tcMar>
              <w:top w:w="0" w:type="dxa"/>
              <w:left w:w="108" w:type="dxa"/>
              <w:bottom w:w="0" w:type="dxa"/>
              <w:right w:w="108" w:type="dxa"/>
            </w:tcMar>
            <w:vAlign w:val="center"/>
          </w:tcPr>
          <w:p w14:paraId="3F0EE11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收入</w:t>
            </w:r>
          </w:p>
        </w:tc>
        <w:tc>
          <w:tcPr>
            <w:tcW w:w="693" w:type="pct"/>
            <w:shd w:val="clear" w:color="auto" w:fill="auto"/>
            <w:tcMar>
              <w:top w:w="0" w:type="dxa"/>
              <w:left w:w="108" w:type="dxa"/>
              <w:bottom w:w="0" w:type="dxa"/>
              <w:right w:w="108" w:type="dxa"/>
            </w:tcMar>
            <w:vAlign w:val="center"/>
          </w:tcPr>
          <w:p w14:paraId="38DEC2F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比例</w:t>
            </w:r>
          </w:p>
        </w:tc>
        <w:tc>
          <w:tcPr>
            <w:tcW w:w="693" w:type="pct"/>
            <w:shd w:val="clear" w:color="auto" w:fill="auto"/>
            <w:tcMar>
              <w:top w:w="0" w:type="dxa"/>
              <w:left w:w="108" w:type="dxa"/>
              <w:bottom w:w="0" w:type="dxa"/>
              <w:right w:w="108" w:type="dxa"/>
            </w:tcMar>
            <w:vAlign w:val="center"/>
          </w:tcPr>
          <w:p w14:paraId="54E9743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收入</w:t>
            </w:r>
          </w:p>
        </w:tc>
        <w:tc>
          <w:tcPr>
            <w:tcW w:w="693" w:type="pct"/>
            <w:shd w:val="clear" w:color="auto" w:fill="auto"/>
            <w:tcMar>
              <w:top w:w="0" w:type="dxa"/>
              <w:left w:w="108" w:type="dxa"/>
              <w:bottom w:w="0" w:type="dxa"/>
              <w:right w:w="108" w:type="dxa"/>
            </w:tcMar>
            <w:vAlign w:val="center"/>
          </w:tcPr>
          <w:p w14:paraId="1B1D161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比例</w:t>
            </w:r>
          </w:p>
        </w:tc>
      </w:tr>
      <w:tr w:rsidR="006416B0" w:rsidRPr="00B4515A" w14:paraId="5C9E0194" w14:textId="77777777" w:rsidTr="00031627">
        <w:trPr>
          <w:trHeight w:val="340"/>
          <w:jc w:val="center"/>
        </w:trPr>
        <w:tc>
          <w:tcPr>
            <w:tcW w:w="797" w:type="pct"/>
            <w:shd w:val="clear" w:color="auto" w:fill="auto"/>
            <w:tcMar>
              <w:top w:w="0" w:type="dxa"/>
              <w:left w:w="108" w:type="dxa"/>
              <w:bottom w:w="0" w:type="dxa"/>
              <w:right w:w="108" w:type="dxa"/>
            </w:tcMar>
            <w:vAlign w:val="center"/>
          </w:tcPr>
          <w:p w14:paraId="02127A4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主营业务</w:t>
            </w:r>
          </w:p>
        </w:tc>
        <w:tc>
          <w:tcPr>
            <w:tcW w:w="797" w:type="pct"/>
            <w:shd w:val="clear" w:color="auto" w:fill="auto"/>
            <w:tcMar>
              <w:top w:w="0" w:type="dxa"/>
              <w:left w:w="108" w:type="dxa"/>
              <w:bottom w:w="0" w:type="dxa"/>
              <w:right w:w="108" w:type="dxa"/>
            </w:tcMar>
            <w:vAlign w:val="center"/>
          </w:tcPr>
          <w:p w14:paraId="19E9155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12,757.65</w:t>
            </w:r>
          </w:p>
        </w:tc>
        <w:tc>
          <w:tcPr>
            <w:tcW w:w="635" w:type="pct"/>
            <w:shd w:val="clear" w:color="auto" w:fill="auto"/>
            <w:tcMar>
              <w:top w:w="0" w:type="dxa"/>
              <w:left w:w="108" w:type="dxa"/>
              <w:bottom w:w="0" w:type="dxa"/>
              <w:right w:w="108" w:type="dxa"/>
            </w:tcMar>
            <w:vAlign w:val="center"/>
          </w:tcPr>
          <w:p w14:paraId="1DE54D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99.99%</w:t>
            </w:r>
          </w:p>
        </w:tc>
        <w:tc>
          <w:tcPr>
            <w:tcW w:w="693" w:type="pct"/>
            <w:shd w:val="clear" w:color="auto" w:fill="auto"/>
            <w:tcMar>
              <w:top w:w="0" w:type="dxa"/>
              <w:left w:w="108" w:type="dxa"/>
              <w:bottom w:w="0" w:type="dxa"/>
              <w:right w:w="108" w:type="dxa"/>
            </w:tcMar>
            <w:vAlign w:val="center"/>
          </w:tcPr>
          <w:p w14:paraId="00C8F7E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55,210.47</w:t>
            </w:r>
          </w:p>
        </w:tc>
        <w:tc>
          <w:tcPr>
            <w:tcW w:w="693" w:type="pct"/>
            <w:shd w:val="clear" w:color="auto" w:fill="auto"/>
            <w:tcMar>
              <w:top w:w="0" w:type="dxa"/>
              <w:left w:w="108" w:type="dxa"/>
              <w:bottom w:w="0" w:type="dxa"/>
              <w:right w:w="108" w:type="dxa"/>
            </w:tcMar>
            <w:vAlign w:val="center"/>
          </w:tcPr>
          <w:p w14:paraId="38DA79F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99.87%</w:t>
            </w:r>
          </w:p>
        </w:tc>
        <w:tc>
          <w:tcPr>
            <w:tcW w:w="693" w:type="pct"/>
            <w:shd w:val="clear" w:color="auto" w:fill="auto"/>
            <w:tcMar>
              <w:top w:w="0" w:type="dxa"/>
              <w:left w:w="108" w:type="dxa"/>
              <w:bottom w:w="0" w:type="dxa"/>
              <w:right w:w="108" w:type="dxa"/>
            </w:tcMar>
            <w:vAlign w:val="center"/>
          </w:tcPr>
          <w:p w14:paraId="30868D1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36,682.62</w:t>
            </w:r>
          </w:p>
        </w:tc>
        <w:tc>
          <w:tcPr>
            <w:tcW w:w="693" w:type="pct"/>
            <w:shd w:val="clear" w:color="auto" w:fill="auto"/>
            <w:tcMar>
              <w:top w:w="0" w:type="dxa"/>
              <w:left w:w="108" w:type="dxa"/>
              <w:bottom w:w="0" w:type="dxa"/>
              <w:right w:w="108" w:type="dxa"/>
            </w:tcMar>
            <w:vAlign w:val="center"/>
          </w:tcPr>
          <w:p w14:paraId="34DEA6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99.99%</w:t>
            </w:r>
          </w:p>
        </w:tc>
      </w:tr>
      <w:tr w:rsidR="006416B0" w:rsidRPr="00B4515A" w14:paraId="3FB0D3BE" w14:textId="77777777" w:rsidTr="00031627">
        <w:trPr>
          <w:trHeight w:val="340"/>
          <w:jc w:val="center"/>
        </w:trPr>
        <w:tc>
          <w:tcPr>
            <w:tcW w:w="797" w:type="pct"/>
            <w:shd w:val="clear" w:color="auto" w:fill="auto"/>
            <w:tcMar>
              <w:top w:w="0" w:type="dxa"/>
              <w:left w:w="108" w:type="dxa"/>
              <w:bottom w:w="0" w:type="dxa"/>
              <w:right w:w="108" w:type="dxa"/>
            </w:tcMar>
            <w:vAlign w:val="center"/>
          </w:tcPr>
          <w:p w14:paraId="34AF7A6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其他业务</w:t>
            </w:r>
          </w:p>
        </w:tc>
        <w:tc>
          <w:tcPr>
            <w:tcW w:w="797" w:type="pct"/>
            <w:shd w:val="clear" w:color="auto" w:fill="auto"/>
            <w:tcMar>
              <w:top w:w="0" w:type="dxa"/>
              <w:left w:w="108" w:type="dxa"/>
              <w:bottom w:w="0" w:type="dxa"/>
              <w:right w:w="108" w:type="dxa"/>
            </w:tcMar>
            <w:vAlign w:val="center"/>
          </w:tcPr>
          <w:p w14:paraId="4AF7DA5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1.14</w:t>
            </w:r>
          </w:p>
        </w:tc>
        <w:tc>
          <w:tcPr>
            <w:tcW w:w="635" w:type="pct"/>
            <w:shd w:val="clear" w:color="auto" w:fill="auto"/>
            <w:tcMar>
              <w:top w:w="0" w:type="dxa"/>
              <w:left w:w="108" w:type="dxa"/>
              <w:bottom w:w="0" w:type="dxa"/>
              <w:right w:w="108" w:type="dxa"/>
            </w:tcMar>
            <w:vAlign w:val="center"/>
          </w:tcPr>
          <w:p w14:paraId="218057C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0.01%</w:t>
            </w:r>
          </w:p>
        </w:tc>
        <w:tc>
          <w:tcPr>
            <w:tcW w:w="693" w:type="pct"/>
            <w:shd w:val="clear" w:color="auto" w:fill="auto"/>
            <w:tcMar>
              <w:top w:w="0" w:type="dxa"/>
              <w:left w:w="108" w:type="dxa"/>
              <w:bottom w:w="0" w:type="dxa"/>
              <w:right w:w="108" w:type="dxa"/>
            </w:tcMar>
            <w:vAlign w:val="center"/>
          </w:tcPr>
          <w:p w14:paraId="53B375A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72.50</w:t>
            </w:r>
          </w:p>
        </w:tc>
        <w:tc>
          <w:tcPr>
            <w:tcW w:w="693" w:type="pct"/>
            <w:shd w:val="clear" w:color="auto" w:fill="auto"/>
            <w:tcMar>
              <w:top w:w="0" w:type="dxa"/>
              <w:left w:w="108" w:type="dxa"/>
              <w:bottom w:w="0" w:type="dxa"/>
              <w:right w:w="108" w:type="dxa"/>
            </w:tcMar>
            <w:vAlign w:val="center"/>
          </w:tcPr>
          <w:p w14:paraId="26B49E9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0.13%</w:t>
            </w:r>
          </w:p>
        </w:tc>
        <w:tc>
          <w:tcPr>
            <w:tcW w:w="693" w:type="pct"/>
            <w:shd w:val="clear" w:color="auto" w:fill="auto"/>
            <w:tcMar>
              <w:top w:w="0" w:type="dxa"/>
              <w:left w:w="108" w:type="dxa"/>
              <w:bottom w:w="0" w:type="dxa"/>
              <w:right w:w="108" w:type="dxa"/>
            </w:tcMar>
            <w:vAlign w:val="center"/>
          </w:tcPr>
          <w:p w14:paraId="7A35FA4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2.75</w:t>
            </w:r>
          </w:p>
        </w:tc>
        <w:tc>
          <w:tcPr>
            <w:tcW w:w="693" w:type="pct"/>
            <w:shd w:val="clear" w:color="auto" w:fill="auto"/>
            <w:tcMar>
              <w:top w:w="0" w:type="dxa"/>
              <w:left w:w="108" w:type="dxa"/>
              <w:bottom w:w="0" w:type="dxa"/>
              <w:right w:w="108" w:type="dxa"/>
            </w:tcMar>
            <w:vAlign w:val="center"/>
          </w:tcPr>
          <w:p w14:paraId="03CF385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0.01%</w:t>
            </w:r>
          </w:p>
        </w:tc>
      </w:tr>
      <w:tr w:rsidR="006416B0" w:rsidRPr="00B4515A" w14:paraId="7FBDABB8" w14:textId="77777777" w:rsidTr="00031627">
        <w:trPr>
          <w:trHeight w:val="340"/>
          <w:jc w:val="center"/>
        </w:trPr>
        <w:tc>
          <w:tcPr>
            <w:tcW w:w="797" w:type="pct"/>
            <w:shd w:val="clear" w:color="auto" w:fill="auto"/>
            <w:tcMar>
              <w:top w:w="0" w:type="dxa"/>
              <w:left w:w="108" w:type="dxa"/>
              <w:bottom w:w="0" w:type="dxa"/>
              <w:right w:w="108" w:type="dxa"/>
            </w:tcMar>
            <w:vAlign w:val="center"/>
          </w:tcPr>
          <w:p w14:paraId="7DB8091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合计</w:t>
            </w:r>
          </w:p>
        </w:tc>
        <w:tc>
          <w:tcPr>
            <w:tcW w:w="797" w:type="pct"/>
            <w:shd w:val="clear" w:color="auto" w:fill="auto"/>
            <w:tcMar>
              <w:top w:w="0" w:type="dxa"/>
              <w:left w:w="108" w:type="dxa"/>
              <w:bottom w:w="0" w:type="dxa"/>
              <w:right w:w="108" w:type="dxa"/>
            </w:tcMar>
            <w:vAlign w:val="center"/>
          </w:tcPr>
          <w:p w14:paraId="1840EAB5"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12,758.79</w:t>
            </w:r>
          </w:p>
        </w:tc>
        <w:tc>
          <w:tcPr>
            <w:tcW w:w="635" w:type="pct"/>
            <w:shd w:val="clear" w:color="auto" w:fill="auto"/>
            <w:tcMar>
              <w:top w:w="0" w:type="dxa"/>
              <w:left w:w="108" w:type="dxa"/>
              <w:bottom w:w="0" w:type="dxa"/>
              <w:right w:w="108" w:type="dxa"/>
            </w:tcMar>
            <w:vAlign w:val="center"/>
          </w:tcPr>
          <w:p w14:paraId="0D78DC4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93" w:type="pct"/>
            <w:shd w:val="clear" w:color="auto" w:fill="auto"/>
            <w:tcMar>
              <w:top w:w="0" w:type="dxa"/>
              <w:left w:w="108" w:type="dxa"/>
              <w:bottom w:w="0" w:type="dxa"/>
              <w:right w:w="108" w:type="dxa"/>
            </w:tcMar>
            <w:vAlign w:val="center"/>
          </w:tcPr>
          <w:p w14:paraId="70A73DF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55,282.98</w:t>
            </w:r>
          </w:p>
        </w:tc>
        <w:tc>
          <w:tcPr>
            <w:tcW w:w="693" w:type="pct"/>
            <w:shd w:val="clear" w:color="auto" w:fill="auto"/>
            <w:tcMar>
              <w:top w:w="0" w:type="dxa"/>
              <w:left w:w="108" w:type="dxa"/>
              <w:bottom w:w="0" w:type="dxa"/>
              <w:right w:w="108" w:type="dxa"/>
            </w:tcMar>
            <w:vAlign w:val="center"/>
          </w:tcPr>
          <w:p w14:paraId="5B0068E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93" w:type="pct"/>
            <w:shd w:val="clear" w:color="auto" w:fill="auto"/>
            <w:tcMar>
              <w:top w:w="0" w:type="dxa"/>
              <w:left w:w="108" w:type="dxa"/>
              <w:bottom w:w="0" w:type="dxa"/>
              <w:right w:w="108" w:type="dxa"/>
            </w:tcMar>
            <w:vAlign w:val="center"/>
          </w:tcPr>
          <w:p w14:paraId="39C5F0E3"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36,685.37</w:t>
            </w:r>
          </w:p>
        </w:tc>
        <w:tc>
          <w:tcPr>
            <w:tcW w:w="693" w:type="pct"/>
            <w:shd w:val="clear" w:color="auto" w:fill="auto"/>
            <w:tcMar>
              <w:top w:w="0" w:type="dxa"/>
              <w:left w:w="108" w:type="dxa"/>
              <w:bottom w:w="0" w:type="dxa"/>
              <w:right w:w="108" w:type="dxa"/>
            </w:tcMar>
            <w:vAlign w:val="center"/>
          </w:tcPr>
          <w:p w14:paraId="79B7156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r>
    </w:tbl>
    <w:p w14:paraId="2A71A9CE" w14:textId="10EB260E" w:rsidR="006416B0" w:rsidRPr="00B4515A" w:rsidRDefault="005E58C1" w:rsidP="003357B7">
      <w:pPr>
        <w:pStyle w:val="005"/>
        <w:spacing w:before="120" w:after="120"/>
        <w:ind w:firstLine="480"/>
      </w:pPr>
      <w:r w:rsidRPr="00B4515A">
        <w:rPr>
          <w:rFonts w:hint="eastAsia"/>
        </w:rPr>
        <w:t>报告期内，大唐联诚实现营业收入分别为</w:t>
      </w:r>
      <w:r w:rsidRPr="00B4515A">
        <w:t>36,685.37</w:t>
      </w:r>
      <w:r w:rsidRPr="00B4515A">
        <w:rPr>
          <w:rFonts w:hint="eastAsia"/>
        </w:rPr>
        <w:t>万元、</w:t>
      </w:r>
      <w:r w:rsidRPr="00B4515A">
        <w:t>55,282.98</w:t>
      </w:r>
      <w:r w:rsidRPr="00B4515A">
        <w:rPr>
          <w:rFonts w:hint="eastAsia"/>
        </w:rPr>
        <w:t>万元、</w:t>
      </w:r>
      <w:r w:rsidRPr="00B4515A">
        <w:t>12,758.79</w:t>
      </w:r>
      <w:r w:rsidRPr="00B4515A">
        <w:rPr>
          <w:rFonts w:hint="eastAsia"/>
        </w:rPr>
        <w:t>万元。其中，主营业务收入分别为</w:t>
      </w:r>
      <w:r w:rsidRPr="00B4515A">
        <w:rPr>
          <w:color w:val="000000"/>
        </w:rPr>
        <w:t>36,682.62</w:t>
      </w:r>
      <w:r w:rsidRPr="00B4515A">
        <w:rPr>
          <w:rFonts w:hint="eastAsia"/>
        </w:rPr>
        <w:t>万元、</w:t>
      </w:r>
      <w:r w:rsidRPr="00B4515A">
        <w:t>55,210.47</w:t>
      </w:r>
      <w:r w:rsidRPr="00B4515A">
        <w:rPr>
          <w:rFonts w:hint="eastAsia"/>
        </w:rPr>
        <w:t>万元、</w:t>
      </w:r>
      <w:r w:rsidRPr="00B4515A">
        <w:t>12,757.65</w:t>
      </w:r>
      <w:r w:rsidRPr="00B4515A">
        <w:rPr>
          <w:rFonts w:hint="eastAsia"/>
        </w:rPr>
        <w:t>万</w:t>
      </w:r>
      <w:r w:rsidR="0067032D" w:rsidRPr="00B4515A">
        <w:rPr>
          <w:rFonts w:hint="eastAsia"/>
        </w:rPr>
        <w:t>元</w:t>
      </w:r>
      <w:r w:rsidRPr="00B4515A">
        <w:rPr>
          <w:rFonts w:hint="eastAsia"/>
        </w:rPr>
        <w:t>，占营业收入的比例分别为</w:t>
      </w:r>
      <w:r w:rsidRPr="00B4515A">
        <w:t>99.99%</w:t>
      </w:r>
      <w:r w:rsidRPr="00B4515A">
        <w:rPr>
          <w:rFonts w:hint="eastAsia"/>
        </w:rPr>
        <w:t>、</w:t>
      </w:r>
      <w:r w:rsidRPr="00B4515A">
        <w:t>99.87%</w:t>
      </w:r>
      <w:r w:rsidRPr="00B4515A">
        <w:rPr>
          <w:rFonts w:hint="eastAsia"/>
        </w:rPr>
        <w:t>、</w:t>
      </w:r>
      <w:r w:rsidRPr="00B4515A">
        <w:t>99.99%,</w:t>
      </w:r>
      <w:r w:rsidRPr="00B4515A">
        <w:t>占比较为稳定，主营业务较为突出</w:t>
      </w:r>
      <w:r w:rsidRPr="00B4515A">
        <w:rPr>
          <w:rFonts w:hint="eastAsia"/>
        </w:rPr>
        <w:t>。</w:t>
      </w:r>
    </w:p>
    <w:p w14:paraId="658C1654" w14:textId="77777777" w:rsidR="006416B0" w:rsidRPr="00B4515A" w:rsidRDefault="005E58C1" w:rsidP="003357B7">
      <w:pPr>
        <w:pStyle w:val="005"/>
        <w:spacing w:before="120" w:after="120"/>
        <w:ind w:firstLine="480"/>
      </w:pPr>
      <w:r w:rsidRPr="00B4515A">
        <w:rPr>
          <w:rFonts w:hint="eastAsia"/>
        </w:rPr>
        <w:t>（</w:t>
      </w:r>
      <w:r w:rsidRPr="00B4515A">
        <w:t>2</w:t>
      </w:r>
      <w:r w:rsidRPr="00B4515A">
        <w:rPr>
          <w:rFonts w:hint="eastAsia"/>
        </w:rPr>
        <w:t>）</w:t>
      </w:r>
      <w:r w:rsidRPr="00B4515A">
        <w:t>营业收入按业务构成及分析</w:t>
      </w:r>
    </w:p>
    <w:p w14:paraId="4A419431" w14:textId="77777777" w:rsidR="006416B0" w:rsidRPr="00B4515A" w:rsidRDefault="005E58C1" w:rsidP="003357B7">
      <w:pPr>
        <w:pStyle w:val="005"/>
        <w:spacing w:before="120" w:after="120"/>
        <w:ind w:firstLine="480"/>
      </w:pPr>
      <w:r w:rsidRPr="00B4515A">
        <w:t>报告期内，</w:t>
      </w:r>
      <w:r w:rsidRPr="00B4515A">
        <w:rPr>
          <w:rFonts w:hint="eastAsia"/>
        </w:rPr>
        <w:t>大唐联诚</w:t>
      </w:r>
      <w:r w:rsidRPr="00B4515A">
        <w:t>的营业收入构成情况如下：</w:t>
      </w:r>
    </w:p>
    <w:p w14:paraId="50DF096C"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31"/>
        <w:gridCol w:w="1776"/>
        <w:gridCol w:w="1830"/>
        <w:gridCol w:w="1629"/>
        <w:gridCol w:w="1462"/>
      </w:tblGrid>
      <w:tr w:rsidR="006416B0" w:rsidRPr="00B4515A" w14:paraId="2236B1C7"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1779441C"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2019</w:t>
            </w:r>
            <w:r w:rsidRPr="00B4515A">
              <w:rPr>
                <w:rFonts w:ascii="Times New Roman" w:eastAsiaTheme="minorEastAsia" w:hAnsi="Times New Roman" w:cs="Times New Roman"/>
                <w:b/>
                <w:color w:val="000000"/>
                <w:sz w:val="21"/>
                <w:szCs w:val="21"/>
              </w:rPr>
              <w:t>年收入</w:t>
            </w:r>
            <w:r w:rsidRPr="00B4515A">
              <w:rPr>
                <w:rFonts w:ascii="Times New Roman" w:eastAsiaTheme="minorEastAsia" w:hAnsi="Times New Roman" w:cs="Times New Roman"/>
                <w:b/>
                <w:color w:val="000000"/>
                <w:sz w:val="21"/>
                <w:szCs w:val="21"/>
              </w:rPr>
              <w:t>\</w:t>
            </w:r>
            <w:r w:rsidRPr="00B4515A">
              <w:rPr>
                <w:rFonts w:ascii="Times New Roman" w:eastAsiaTheme="minorEastAsia" w:hAnsi="Times New Roman" w:cs="Times New Roman"/>
                <w:b/>
                <w:color w:val="000000"/>
                <w:sz w:val="21"/>
                <w:szCs w:val="21"/>
              </w:rPr>
              <w:t>成本分类明细</w:t>
            </w:r>
          </w:p>
        </w:tc>
      </w:tr>
      <w:tr w:rsidR="006416B0" w:rsidRPr="00B4515A" w14:paraId="4B569B31" w14:textId="77777777" w:rsidTr="00031627">
        <w:trPr>
          <w:trHeight w:val="340"/>
          <w:jc w:val="center"/>
        </w:trPr>
        <w:tc>
          <w:tcPr>
            <w:tcW w:w="1074" w:type="pct"/>
            <w:shd w:val="clear" w:color="auto" w:fill="auto"/>
            <w:tcMar>
              <w:top w:w="0" w:type="dxa"/>
              <w:left w:w="108" w:type="dxa"/>
              <w:bottom w:w="0" w:type="dxa"/>
              <w:right w:w="108" w:type="dxa"/>
            </w:tcMar>
            <w:vAlign w:val="center"/>
          </w:tcPr>
          <w:p w14:paraId="274EDD5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业务方向</w:t>
            </w:r>
          </w:p>
        </w:tc>
        <w:tc>
          <w:tcPr>
            <w:tcW w:w="1041" w:type="pct"/>
            <w:shd w:val="clear" w:color="auto" w:fill="auto"/>
            <w:tcMar>
              <w:top w:w="0" w:type="dxa"/>
              <w:left w:w="108" w:type="dxa"/>
              <w:bottom w:w="0" w:type="dxa"/>
              <w:right w:w="108" w:type="dxa"/>
            </w:tcMar>
            <w:vAlign w:val="center"/>
          </w:tcPr>
          <w:p w14:paraId="178DEF0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收入类型</w:t>
            </w:r>
          </w:p>
        </w:tc>
        <w:tc>
          <w:tcPr>
            <w:tcW w:w="1073" w:type="pct"/>
            <w:shd w:val="clear" w:color="auto" w:fill="auto"/>
            <w:tcMar>
              <w:top w:w="0" w:type="dxa"/>
              <w:left w:w="108" w:type="dxa"/>
              <w:bottom w:w="0" w:type="dxa"/>
              <w:right w:w="108" w:type="dxa"/>
            </w:tcMar>
            <w:vAlign w:val="center"/>
          </w:tcPr>
          <w:p w14:paraId="3B16CD2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收入</w:t>
            </w:r>
          </w:p>
        </w:tc>
        <w:tc>
          <w:tcPr>
            <w:tcW w:w="955" w:type="pct"/>
            <w:shd w:val="clear" w:color="auto" w:fill="auto"/>
            <w:tcMar>
              <w:top w:w="0" w:type="dxa"/>
              <w:left w:w="108" w:type="dxa"/>
              <w:bottom w:w="0" w:type="dxa"/>
              <w:right w:w="108" w:type="dxa"/>
            </w:tcMar>
            <w:vAlign w:val="center"/>
          </w:tcPr>
          <w:p w14:paraId="74C86E0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成本</w:t>
            </w:r>
          </w:p>
        </w:tc>
        <w:tc>
          <w:tcPr>
            <w:tcW w:w="857" w:type="pct"/>
            <w:shd w:val="clear" w:color="auto" w:fill="auto"/>
            <w:tcMar>
              <w:top w:w="0" w:type="dxa"/>
              <w:left w:w="108" w:type="dxa"/>
              <w:bottom w:w="0" w:type="dxa"/>
              <w:right w:w="108" w:type="dxa"/>
            </w:tcMar>
            <w:vAlign w:val="center"/>
          </w:tcPr>
          <w:p w14:paraId="4832438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毛利率</w:t>
            </w:r>
          </w:p>
        </w:tc>
      </w:tr>
      <w:tr w:rsidR="006416B0" w:rsidRPr="00B4515A" w14:paraId="4B5AA2B5" w14:textId="77777777" w:rsidTr="00031627">
        <w:trPr>
          <w:trHeight w:val="340"/>
          <w:jc w:val="center"/>
        </w:trPr>
        <w:tc>
          <w:tcPr>
            <w:tcW w:w="1074" w:type="pct"/>
            <w:vMerge w:val="restart"/>
            <w:shd w:val="clear" w:color="auto" w:fill="auto"/>
            <w:tcMar>
              <w:top w:w="0" w:type="dxa"/>
              <w:left w:w="108" w:type="dxa"/>
              <w:bottom w:w="0" w:type="dxa"/>
              <w:right w:w="108" w:type="dxa"/>
            </w:tcMar>
            <w:vAlign w:val="center"/>
          </w:tcPr>
          <w:p w14:paraId="548C834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lastRenderedPageBreak/>
              <w:t>专用移动通信</w:t>
            </w:r>
          </w:p>
        </w:tc>
        <w:tc>
          <w:tcPr>
            <w:tcW w:w="1041" w:type="pct"/>
            <w:shd w:val="clear" w:color="auto" w:fill="auto"/>
            <w:tcMar>
              <w:top w:w="0" w:type="dxa"/>
              <w:left w:w="108" w:type="dxa"/>
              <w:bottom w:w="0" w:type="dxa"/>
              <w:right w:w="108" w:type="dxa"/>
            </w:tcMar>
            <w:vAlign w:val="center"/>
          </w:tcPr>
          <w:p w14:paraId="2D9480BA"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4G</w:t>
            </w:r>
            <w:r w:rsidRPr="00B4515A">
              <w:rPr>
                <w:rFonts w:ascii="Times New Roman" w:eastAsiaTheme="minorEastAsia" w:hAnsi="Times New Roman" w:cs="Times New Roman" w:hint="eastAsia"/>
                <w:color w:val="000000"/>
                <w:sz w:val="21"/>
                <w:szCs w:val="21"/>
              </w:rPr>
              <w:t>专网产品</w:t>
            </w:r>
          </w:p>
        </w:tc>
        <w:tc>
          <w:tcPr>
            <w:tcW w:w="1073" w:type="pct"/>
            <w:shd w:val="clear" w:color="auto" w:fill="auto"/>
            <w:tcMar>
              <w:top w:w="0" w:type="dxa"/>
              <w:left w:w="108" w:type="dxa"/>
              <w:bottom w:w="0" w:type="dxa"/>
              <w:right w:w="108" w:type="dxa"/>
            </w:tcMar>
            <w:vAlign w:val="center"/>
          </w:tcPr>
          <w:p w14:paraId="351B1BD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11,057.37</w:t>
            </w:r>
          </w:p>
        </w:tc>
        <w:tc>
          <w:tcPr>
            <w:tcW w:w="955" w:type="pct"/>
            <w:shd w:val="clear" w:color="auto" w:fill="auto"/>
            <w:tcMar>
              <w:top w:w="0" w:type="dxa"/>
              <w:left w:w="108" w:type="dxa"/>
              <w:bottom w:w="0" w:type="dxa"/>
              <w:right w:w="108" w:type="dxa"/>
            </w:tcMar>
            <w:vAlign w:val="center"/>
          </w:tcPr>
          <w:p w14:paraId="6C06D5E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5,272.60</w:t>
            </w:r>
          </w:p>
        </w:tc>
        <w:tc>
          <w:tcPr>
            <w:tcW w:w="857" w:type="pct"/>
            <w:shd w:val="clear" w:color="auto" w:fill="auto"/>
            <w:tcMar>
              <w:top w:w="0" w:type="dxa"/>
              <w:left w:w="108" w:type="dxa"/>
              <w:bottom w:w="0" w:type="dxa"/>
              <w:right w:w="108" w:type="dxa"/>
            </w:tcMar>
            <w:vAlign w:val="center"/>
          </w:tcPr>
          <w:p w14:paraId="5D48C28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52.32%</w:t>
            </w:r>
          </w:p>
        </w:tc>
      </w:tr>
      <w:tr w:rsidR="006416B0" w:rsidRPr="00B4515A" w14:paraId="531405AB" w14:textId="77777777" w:rsidTr="00031627">
        <w:trPr>
          <w:trHeight w:val="340"/>
          <w:jc w:val="center"/>
        </w:trPr>
        <w:tc>
          <w:tcPr>
            <w:tcW w:w="1074" w:type="pct"/>
            <w:vMerge/>
            <w:tcMar>
              <w:top w:w="0" w:type="dxa"/>
              <w:left w:w="108" w:type="dxa"/>
              <w:bottom w:w="0" w:type="dxa"/>
              <w:right w:w="108" w:type="dxa"/>
            </w:tcMar>
            <w:vAlign w:val="center"/>
          </w:tcPr>
          <w:p w14:paraId="6F20DD68"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5ADACEF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技术服务收入</w:t>
            </w:r>
          </w:p>
        </w:tc>
        <w:tc>
          <w:tcPr>
            <w:tcW w:w="1073" w:type="pct"/>
            <w:shd w:val="clear" w:color="auto" w:fill="auto"/>
            <w:tcMar>
              <w:top w:w="0" w:type="dxa"/>
              <w:left w:w="108" w:type="dxa"/>
              <w:bottom w:w="0" w:type="dxa"/>
              <w:right w:w="108" w:type="dxa"/>
            </w:tcMar>
            <w:vAlign w:val="center"/>
          </w:tcPr>
          <w:p w14:paraId="174216F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831.31</w:t>
            </w:r>
          </w:p>
        </w:tc>
        <w:tc>
          <w:tcPr>
            <w:tcW w:w="955" w:type="pct"/>
            <w:shd w:val="clear" w:color="auto" w:fill="auto"/>
            <w:tcMar>
              <w:top w:w="0" w:type="dxa"/>
              <w:left w:w="108" w:type="dxa"/>
              <w:bottom w:w="0" w:type="dxa"/>
              <w:right w:w="108" w:type="dxa"/>
            </w:tcMar>
            <w:vAlign w:val="center"/>
          </w:tcPr>
          <w:p w14:paraId="5D78080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328.31</w:t>
            </w:r>
          </w:p>
        </w:tc>
        <w:tc>
          <w:tcPr>
            <w:tcW w:w="857" w:type="pct"/>
            <w:shd w:val="clear" w:color="auto" w:fill="auto"/>
            <w:tcMar>
              <w:top w:w="0" w:type="dxa"/>
              <w:left w:w="108" w:type="dxa"/>
              <w:bottom w:w="0" w:type="dxa"/>
              <w:right w:w="108" w:type="dxa"/>
            </w:tcMar>
            <w:vAlign w:val="center"/>
          </w:tcPr>
          <w:p w14:paraId="60D7D50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60.51%</w:t>
            </w:r>
          </w:p>
        </w:tc>
      </w:tr>
      <w:tr w:rsidR="006416B0" w:rsidRPr="00B4515A" w14:paraId="38EAA31E" w14:textId="77777777" w:rsidTr="00031627">
        <w:trPr>
          <w:trHeight w:val="340"/>
          <w:jc w:val="center"/>
        </w:trPr>
        <w:tc>
          <w:tcPr>
            <w:tcW w:w="1074" w:type="pct"/>
            <w:vMerge/>
            <w:tcMar>
              <w:top w:w="0" w:type="dxa"/>
              <w:left w:w="108" w:type="dxa"/>
              <w:bottom w:w="0" w:type="dxa"/>
              <w:right w:w="108" w:type="dxa"/>
            </w:tcMar>
            <w:vAlign w:val="center"/>
          </w:tcPr>
          <w:p w14:paraId="422A5DB1"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6E5930B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卫星通信终端</w:t>
            </w:r>
          </w:p>
        </w:tc>
        <w:tc>
          <w:tcPr>
            <w:tcW w:w="1073" w:type="pct"/>
            <w:shd w:val="clear" w:color="auto" w:fill="auto"/>
            <w:tcMar>
              <w:top w:w="0" w:type="dxa"/>
              <w:left w:w="108" w:type="dxa"/>
              <w:bottom w:w="0" w:type="dxa"/>
              <w:right w:w="108" w:type="dxa"/>
            </w:tcMar>
            <w:vAlign w:val="center"/>
          </w:tcPr>
          <w:p w14:paraId="6EAE6E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844.89</w:t>
            </w:r>
          </w:p>
        </w:tc>
        <w:tc>
          <w:tcPr>
            <w:tcW w:w="955" w:type="pct"/>
            <w:shd w:val="clear" w:color="auto" w:fill="auto"/>
            <w:tcMar>
              <w:top w:w="0" w:type="dxa"/>
              <w:left w:w="108" w:type="dxa"/>
              <w:bottom w:w="0" w:type="dxa"/>
              <w:right w:w="108" w:type="dxa"/>
            </w:tcMar>
            <w:vAlign w:val="center"/>
          </w:tcPr>
          <w:p w14:paraId="34D9352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429.26</w:t>
            </w:r>
          </w:p>
        </w:tc>
        <w:tc>
          <w:tcPr>
            <w:tcW w:w="857" w:type="pct"/>
            <w:shd w:val="clear" w:color="auto" w:fill="auto"/>
            <w:tcMar>
              <w:top w:w="0" w:type="dxa"/>
              <w:left w:w="108" w:type="dxa"/>
              <w:bottom w:w="0" w:type="dxa"/>
              <w:right w:w="108" w:type="dxa"/>
            </w:tcMar>
            <w:vAlign w:val="center"/>
          </w:tcPr>
          <w:p w14:paraId="0BD9ADB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49.19%</w:t>
            </w:r>
          </w:p>
        </w:tc>
      </w:tr>
      <w:tr w:rsidR="006416B0" w:rsidRPr="00B4515A" w14:paraId="455106F2" w14:textId="77777777" w:rsidTr="00031627">
        <w:trPr>
          <w:trHeight w:val="340"/>
          <w:jc w:val="center"/>
        </w:trPr>
        <w:tc>
          <w:tcPr>
            <w:tcW w:w="1074" w:type="pct"/>
            <w:vMerge/>
            <w:tcMar>
              <w:top w:w="0" w:type="dxa"/>
              <w:left w:w="108" w:type="dxa"/>
              <w:bottom w:w="0" w:type="dxa"/>
              <w:right w:w="108" w:type="dxa"/>
            </w:tcMar>
            <w:vAlign w:val="center"/>
          </w:tcPr>
          <w:p w14:paraId="1C809AFB"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0CC643F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信号分析产品</w:t>
            </w:r>
          </w:p>
        </w:tc>
        <w:tc>
          <w:tcPr>
            <w:tcW w:w="1073" w:type="pct"/>
            <w:shd w:val="clear" w:color="auto" w:fill="auto"/>
            <w:tcMar>
              <w:top w:w="0" w:type="dxa"/>
              <w:left w:w="108" w:type="dxa"/>
              <w:bottom w:w="0" w:type="dxa"/>
              <w:right w:w="108" w:type="dxa"/>
            </w:tcMar>
            <w:vAlign w:val="center"/>
          </w:tcPr>
          <w:p w14:paraId="2D28FCD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2,643.54</w:t>
            </w:r>
          </w:p>
        </w:tc>
        <w:tc>
          <w:tcPr>
            <w:tcW w:w="955" w:type="pct"/>
            <w:shd w:val="clear" w:color="auto" w:fill="auto"/>
            <w:tcMar>
              <w:top w:w="0" w:type="dxa"/>
              <w:left w:w="108" w:type="dxa"/>
              <w:bottom w:w="0" w:type="dxa"/>
              <w:right w:w="108" w:type="dxa"/>
            </w:tcMar>
            <w:vAlign w:val="center"/>
          </w:tcPr>
          <w:p w14:paraId="1879B0B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1,673.31</w:t>
            </w:r>
          </w:p>
        </w:tc>
        <w:tc>
          <w:tcPr>
            <w:tcW w:w="857" w:type="pct"/>
            <w:shd w:val="clear" w:color="auto" w:fill="auto"/>
            <w:tcMar>
              <w:top w:w="0" w:type="dxa"/>
              <w:left w:w="108" w:type="dxa"/>
              <w:bottom w:w="0" w:type="dxa"/>
              <w:right w:w="108" w:type="dxa"/>
            </w:tcMar>
            <w:vAlign w:val="center"/>
          </w:tcPr>
          <w:p w14:paraId="0F7CE45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36.70%</w:t>
            </w:r>
          </w:p>
        </w:tc>
      </w:tr>
      <w:tr w:rsidR="006416B0" w:rsidRPr="00B4515A" w14:paraId="37454005" w14:textId="77777777" w:rsidTr="00031627">
        <w:trPr>
          <w:trHeight w:val="340"/>
          <w:jc w:val="center"/>
        </w:trPr>
        <w:tc>
          <w:tcPr>
            <w:tcW w:w="1074" w:type="pct"/>
            <w:vMerge/>
            <w:tcMar>
              <w:top w:w="0" w:type="dxa"/>
              <w:left w:w="108" w:type="dxa"/>
              <w:bottom w:w="0" w:type="dxa"/>
              <w:right w:w="108" w:type="dxa"/>
            </w:tcMar>
            <w:vAlign w:val="center"/>
          </w:tcPr>
          <w:p w14:paraId="508438DF"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7B869D5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1073" w:type="pct"/>
            <w:shd w:val="clear" w:color="auto" w:fill="auto"/>
            <w:tcMar>
              <w:top w:w="0" w:type="dxa"/>
              <w:left w:w="108" w:type="dxa"/>
              <w:bottom w:w="0" w:type="dxa"/>
              <w:right w:w="108" w:type="dxa"/>
            </w:tcMar>
            <w:vAlign w:val="center"/>
          </w:tcPr>
          <w:p w14:paraId="765047F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15,377.11</w:t>
            </w:r>
          </w:p>
        </w:tc>
        <w:tc>
          <w:tcPr>
            <w:tcW w:w="955" w:type="pct"/>
            <w:shd w:val="clear" w:color="auto" w:fill="auto"/>
            <w:tcMar>
              <w:top w:w="0" w:type="dxa"/>
              <w:left w:w="108" w:type="dxa"/>
              <w:bottom w:w="0" w:type="dxa"/>
              <w:right w:w="108" w:type="dxa"/>
            </w:tcMar>
            <w:vAlign w:val="center"/>
          </w:tcPr>
          <w:p w14:paraId="00E58B5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7,703.48</w:t>
            </w:r>
          </w:p>
        </w:tc>
        <w:tc>
          <w:tcPr>
            <w:tcW w:w="857" w:type="pct"/>
            <w:shd w:val="clear" w:color="auto" w:fill="auto"/>
            <w:tcMar>
              <w:top w:w="0" w:type="dxa"/>
              <w:left w:w="108" w:type="dxa"/>
              <w:bottom w:w="0" w:type="dxa"/>
              <w:right w:w="108" w:type="dxa"/>
            </w:tcMar>
            <w:vAlign w:val="center"/>
          </w:tcPr>
          <w:p w14:paraId="011FAD3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49.90%</w:t>
            </w:r>
          </w:p>
        </w:tc>
      </w:tr>
      <w:tr w:rsidR="006416B0" w:rsidRPr="00B4515A" w14:paraId="380C23C2" w14:textId="77777777" w:rsidTr="00031627">
        <w:trPr>
          <w:trHeight w:val="340"/>
          <w:jc w:val="center"/>
        </w:trPr>
        <w:tc>
          <w:tcPr>
            <w:tcW w:w="1074" w:type="pct"/>
            <w:vMerge w:val="restart"/>
            <w:shd w:val="clear" w:color="auto" w:fill="auto"/>
            <w:tcMar>
              <w:top w:w="0" w:type="dxa"/>
              <w:left w:w="108" w:type="dxa"/>
              <w:bottom w:w="0" w:type="dxa"/>
              <w:right w:w="108" w:type="dxa"/>
            </w:tcMar>
            <w:vAlign w:val="center"/>
          </w:tcPr>
          <w:p w14:paraId="76B5DCC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专用宽带电台</w:t>
            </w:r>
          </w:p>
        </w:tc>
        <w:tc>
          <w:tcPr>
            <w:tcW w:w="1041" w:type="pct"/>
            <w:shd w:val="clear" w:color="auto" w:fill="auto"/>
            <w:tcMar>
              <w:top w:w="0" w:type="dxa"/>
              <w:left w:w="108" w:type="dxa"/>
              <w:bottom w:w="0" w:type="dxa"/>
              <w:right w:w="108" w:type="dxa"/>
            </w:tcMar>
            <w:vAlign w:val="center"/>
          </w:tcPr>
          <w:p w14:paraId="39E3075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技术服务收入</w:t>
            </w:r>
          </w:p>
        </w:tc>
        <w:tc>
          <w:tcPr>
            <w:tcW w:w="1073" w:type="pct"/>
            <w:shd w:val="clear" w:color="auto" w:fill="auto"/>
            <w:tcMar>
              <w:top w:w="0" w:type="dxa"/>
              <w:left w:w="108" w:type="dxa"/>
              <w:bottom w:w="0" w:type="dxa"/>
              <w:right w:w="108" w:type="dxa"/>
            </w:tcMar>
            <w:vAlign w:val="center"/>
          </w:tcPr>
          <w:p w14:paraId="559E9BF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2,299.81</w:t>
            </w:r>
          </w:p>
        </w:tc>
        <w:tc>
          <w:tcPr>
            <w:tcW w:w="955" w:type="pct"/>
            <w:shd w:val="clear" w:color="auto" w:fill="auto"/>
            <w:tcMar>
              <w:top w:w="0" w:type="dxa"/>
              <w:left w:w="108" w:type="dxa"/>
              <w:bottom w:w="0" w:type="dxa"/>
              <w:right w:w="108" w:type="dxa"/>
            </w:tcMar>
            <w:vAlign w:val="center"/>
          </w:tcPr>
          <w:p w14:paraId="40D1D4A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126.06</w:t>
            </w:r>
          </w:p>
        </w:tc>
        <w:tc>
          <w:tcPr>
            <w:tcW w:w="857" w:type="pct"/>
            <w:shd w:val="clear" w:color="auto" w:fill="auto"/>
            <w:tcMar>
              <w:top w:w="0" w:type="dxa"/>
              <w:left w:w="108" w:type="dxa"/>
              <w:bottom w:w="0" w:type="dxa"/>
              <w:right w:w="108" w:type="dxa"/>
            </w:tcMar>
            <w:vAlign w:val="center"/>
          </w:tcPr>
          <w:p w14:paraId="4CD8E66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94.52%</w:t>
            </w:r>
          </w:p>
        </w:tc>
      </w:tr>
      <w:tr w:rsidR="006416B0" w:rsidRPr="00B4515A" w14:paraId="12ED0B65" w14:textId="77777777" w:rsidTr="00031627">
        <w:trPr>
          <w:trHeight w:val="340"/>
          <w:jc w:val="center"/>
        </w:trPr>
        <w:tc>
          <w:tcPr>
            <w:tcW w:w="1074" w:type="pct"/>
            <w:vMerge/>
            <w:tcMar>
              <w:top w:w="0" w:type="dxa"/>
              <w:left w:w="108" w:type="dxa"/>
              <w:bottom w:w="0" w:type="dxa"/>
              <w:right w:w="108" w:type="dxa"/>
            </w:tcMar>
            <w:vAlign w:val="center"/>
          </w:tcPr>
          <w:p w14:paraId="44C4AC9B"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481E9C1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专用数据链产品</w:t>
            </w:r>
          </w:p>
        </w:tc>
        <w:tc>
          <w:tcPr>
            <w:tcW w:w="1073" w:type="pct"/>
            <w:shd w:val="clear" w:color="auto" w:fill="auto"/>
            <w:tcMar>
              <w:top w:w="0" w:type="dxa"/>
              <w:left w:w="108" w:type="dxa"/>
              <w:bottom w:w="0" w:type="dxa"/>
              <w:right w:w="108" w:type="dxa"/>
            </w:tcMar>
            <w:vAlign w:val="center"/>
          </w:tcPr>
          <w:p w14:paraId="5955DEE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4,587.12</w:t>
            </w:r>
          </w:p>
        </w:tc>
        <w:tc>
          <w:tcPr>
            <w:tcW w:w="955" w:type="pct"/>
            <w:shd w:val="clear" w:color="auto" w:fill="auto"/>
            <w:tcMar>
              <w:top w:w="0" w:type="dxa"/>
              <w:left w:w="108" w:type="dxa"/>
              <w:bottom w:w="0" w:type="dxa"/>
              <w:right w:w="108" w:type="dxa"/>
            </w:tcMar>
            <w:vAlign w:val="center"/>
          </w:tcPr>
          <w:p w14:paraId="4E558D5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1,900.77</w:t>
            </w:r>
          </w:p>
        </w:tc>
        <w:tc>
          <w:tcPr>
            <w:tcW w:w="857" w:type="pct"/>
            <w:shd w:val="clear" w:color="auto" w:fill="auto"/>
            <w:tcMar>
              <w:top w:w="0" w:type="dxa"/>
              <w:left w:w="108" w:type="dxa"/>
              <w:bottom w:w="0" w:type="dxa"/>
              <w:right w:w="108" w:type="dxa"/>
            </w:tcMar>
            <w:vAlign w:val="center"/>
          </w:tcPr>
          <w:p w14:paraId="431B8C9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58.56%</w:t>
            </w:r>
          </w:p>
        </w:tc>
      </w:tr>
      <w:tr w:rsidR="006416B0" w:rsidRPr="00B4515A" w14:paraId="0D7A8438" w14:textId="77777777" w:rsidTr="00031627">
        <w:trPr>
          <w:trHeight w:val="340"/>
          <w:jc w:val="center"/>
        </w:trPr>
        <w:tc>
          <w:tcPr>
            <w:tcW w:w="1074" w:type="pct"/>
            <w:vMerge/>
            <w:tcMar>
              <w:top w:w="0" w:type="dxa"/>
              <w:left w:w="108" w:type="dxa"/>
              <w:bottom w:w="0" w:type="dxa"/>
              <w:right w:w="108" w:type="dxa"/>
            </w:tcMar>
            <w:vAlign w:val="center"/>
          </w:tcPr>
          <w:p w14:paraId="2ADADE4F"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298F548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专用通信终端</w:t>
            </w:r>
          </w:p>
        </w:tc>
        <w:tc>
          <w:tcPr>
            <w:tcW w:w="1073" w:type="pct"/>
            <w:shd w:val="clear" w:color="auto" w:fill="auto"/>
            <w:tcMar>
              <w:top w:w="0" w:type="dxa"/>
              <w:left w:w="108" w:type="dxa"/>
              <w:bottom w:w="0" w:type="dxa"/>
              <w:right w:w="108" w:type="dxa"/>
            </w:tcMar>
            <w:vAlign w:val="center"/>
          </w:tcPr>
          <w:p w14:paraId="7AAA214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6,562.95</w:t>
            </w:r>
          </w:p>
        </w:tc>
        <w:tc>
          <w:tcPr>
            <w:tcW w:w="955" w:type="pct"/>
            <w:shd w:val="clear" w:color="auto" w:fill="auto"/>
            <w:tcMar>
              <w:top w:w="0" w:type="dxa"/>
              <w:left w:w="108" w:type="dxa"/>
              <w:bottom w:w="0" w:type="dxa"/>
              <w:right w:w="108" w:type="dxa"/>
            </w:tcMar>
            <w:vAlign w:val="center"/>
          </w:tcPr>
          <w:p w14:paraId="6BCC362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3,648.39</w:t>
            </w:r>
          </w:p>
        </w:tc>
        <w:tc>
          <w:tcPr>
            <w:tcW w:w="857" w:type="pct"/>
            <w:shd w:val="clear" w:color="auto" w:fill="auto"/>
            <w:tcMar>
              <w:top w:w="0" w:type="dxa"/>
              <w:left w:w="108" w:type="dxa"/>
              <w:bottom w:w="0" w:type="dxa"/>
              <w:right w:w="108" w:type="dxa"/>
            </w:tcMar>
            <w:vAlign w:val="center"/>
          </w:tcPr>
          <w:p w14:paraId="144746F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44.41%</w:t>
            </w:r>
          </w:p>
        </w:tc>
      </w:tr>
      <w:tr w:rsidR="006416B0" w:rsidRPr="00B4515A" w14:paraId="6E4C9546" w14:textId="77777777" w:rsidTr="00031627">
        <w:trPr>
          <w:trHeight w:val="340"/>
          <w:jc w:val="center"/>
        </w:trPr>
        <w:tc>
          <w:tcPr>
            <w:tcW w:w="1074" w:type="pct"/>
            <w:vMerge/>
            <w:tcMar>
              <w:top w:w="0" w:type="dxa"/>
              <w:left w:w="108" w:type="dxa"/>
              <w:bottom w:w="0" w:type="dxa"/>
              <w:right w:w="108" w:type="dxa"/>
            </w:tcMar>
            <w:vAlign w:val="center"/>
          </w:tcPr>
          <w:p w14:paraId="302F0FF1"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188361DA"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1073" w:type="pct"/>
            <w:shd w:val="clear" w:color="auto" w:fill="auto"/>
            <w:tcMar>
              <w:top w:w="0" w:type="dxa"/>
              <w:left w:w="108" w:type="dxa"/>
              <w:bottom w:w="0" w:type="dxa"/>
              <w:right w:w="108" w:type="dxa"/>
            </w:tcMar>
            <w:vAlign w:val="center"/>
          </w:tcPr>
          <w:p w14:paraId="034D9EB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13,449.87</w:t>
            </w:r>
          </w:p>
        </w:tc>
        <w:tc>
          <w:tcPr>
            <w:tcW w:w="955" w:type="pct"/>
            <w:shd w:val="clear" w:color="auto" w:fill="auto"/>
            <w:tcMar>
              <w:top w:w="0" w:type="dxa"/>
              <w:left w:w="108" w:type="dxa"/>
              <w:bottom w:w="0" w:type="dxa"/>
              <w:right w:w="108" w:type="dxa"/>
            </w:tcMar>
            <w:vAlign w:val="center"/>
          </w:tcPr>
          <w:p w14:paraId="53CFC1D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5,675.21</w:t>
            </w:r>
          </w:p>
        </w:tc>
        <w:tc>
          <w:tcPr>
            <w:tcW w:w="857" w:type="pct"/>
            <w:shd w:val="clear" w:color="auto" w:fill="auto"/>
            <w:tcMar>
              <w:top w:w="0" w:type="dxa"/>
              <w:left w:w="108" w:type="dxa"/>
              <w:bottom w:w="0" w:type="dxa"/>
              <w:right w:w="108" w:type="dxa"/>
            </w:tcMar>
            <w:vAlign w:val="center"/>
          </w:tcPr>
          <w:p w14:paraId="644CB87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57.80%</w:t>
            </w:r>
          </w:p>
        </w:tc>
      </w:tr>
      <w:tr w:rsidR="006416B0" w:rsidRPr="00B4515A" w14:paraId="7B8C7DF0" w14:textId="77777777" w:rsidTr="00031627">
        <w:trPr>
          <w:trHeight w:val="340"/>
          <w:jc w:val="center"/>
        </w:trPr>
        <w:tc>
          <w:tcPr>
            <w:tcW w:w="1074" w:type="pct"/>
            <w:vMerge w:val="restart"/>
            <w:shd w:val="clear" w:color="auto" w:fill="auto"/>
            <w:tcMar>
              <w:top w:w="0" w:type="dxa"/>
              <w:left w:w="108" w:type="dxa"/>
              <w:bottom w:w="0" w:type="dxa"/>
              <w:right w:w="108" w:type="dxa"/>
            </w:tcMar>
            <w:vAlign w:val="center"/>
          </w:tcPr>
          <w:p w14:paraId="0B07908D"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宽带移动安全应用</w:t>
            </w:r>
          </w:p>
        </w:tc>
        <w:tc>
          <w:tcPr>
            <w:tcW w:w="1041" w:type="pct"/>
            <w:shd w:val="clear" w:color="auto" w:fill="auto"/>
            <w:tcMar>
              <w:top w:w="0" w:type="dxa"/>
              <w:left w:w="108" w:type="dxa"/>
              <w:bottom w:w="0" w:type="dxa"/>
              <w:right w:w="108" w:type="dxa"/>
            </w:tcMar>
            <w:vAlign w:val="center"/>
          </w:tcPr>
          <w:p w14:paraId="3C4116EA"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工程收入</w:t>
            </w:r>
          </w:p>
        </w:tc>
        <w:tc>
          <w:tcPr>
            <w:tcW w:w="1073" w:type="pct"/>
            <w:shd w:val="clear" w:color="auto" w:fill="auto"/>
            <w:tcMar>
              <w:top w:w="0" w:type="dxa"/>
              <w:left w:w="108" w:type="dxa"/>
              <w:bottom w:w="0" w:type="dxa"/>
              <w:right w:w="108" w:type="dxa"/>
            </w:tcMar>
            <w:vAlign w:val="center"/>
          </w:tcPr>
          <w:p w14:paraId="2818D07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1,180.22</w:t>
            </w:r>
          </w:p>
        </w:tc>
        <w:tc>
          <w:tcPr>
            <w:tcW w:w="955" w:type="pct"/>
            <w:shd w:val="clear" w:color="auto" w:fill="auto"/>
            <w:tcMar>
              <w:top w:w="0" w:type="dxa"/>
              <w:left w:w="108" w:type="dxa"/>
              <w:bottom w:w="0" w:type="dxa"/>
              <w:right w:w="108" w:type="dxa"/>
            </w:tcMar>
            <w:vAlign w:val="center"/>
          </w:tcPr>
          <w:p w14:paraId="5B03688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468.83</w:t>
            </w:r>
          </w:p>
        </w:tc>
        <w:tc>
          <w:tcPr>
            <w:tcW w:w="857" w:type="pct"/>
            <w:shd w:val="clear" w:color="auto" w:fill="auto"/>
            <w:tcMar>
              <w:top w:w="0" w:type="dxa"/>
              <w:left w:w="108" w:type="dxa"/>
              <w:bottom w:w="0" w:type="dxa"/>
              <w:right w:w="108" w:type="dxa"/>
            </w:tcMar>
            <w:vAlign w:val="center"/>
          </w:tcPr>
          <w:p w14:paraId="2CCE25C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60.28%</w:t>
            </w:r>
          </w:p>
        </w:tc>
      </w:tr>
      <w:tr w:rsidR="006416B0" w:rsidRPr="00B4515A" w14:paraId="08D5D6BD" w14:textId="77777777" w:rsidTr="00031627">
        <w:trPr>
          <w:trHeight w:val="340"/>
          <w:jc w:val="center"/>
        </w:trPr>
        <w:tc>
          <w:tcPr>
            <w:tcW w:w="1074" w:type="pct"/>
            <w:vMerge/>
            <w:tcMar>
              <w:top w:w="0" w:type="dxa"/>
              <w:left w:w="108" w:type="dxa"/>
              <w:bottom w:w="0" w:type="dxa"/>
              <w:right w:w="108" w:type="dxa"/>
            </w:tcMar>
            <w:vAlign w:val="center"/>
          </w:tcPr>
          <w:p w14:paraId="57C84BEF"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3A15F17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技术服务收入</w:t>
            </w:r>
          </w:p>
        </w:tc>
        <w:tc>
          <w:tcPr>
            <w:tcW w:w="1073" w:type="pct"/>
            <w:shd w:val="clear" w:color="auto" w:fill="auto"/>
            <w:tcMar>
              <w:top w:w="0" w:type="dxa"/>
              <w:left w:w="108" w:type="dxa"/>
              <w:bottom w:w="0" w:type="dxa"/>
              <w:right w:w="108" w:type="dxa"/>
            </w:tcMar>
            <w:vAlign w:val="center"/>
          </w:tcPr>
          <w:p w14:paraId="76DCE2F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103.09</w:t>
            </w:r>
          </w:p>
        </w:tc>
        <w:tc>
          <w:tcPr>
            <w:tcW w:w="955" w:type="pct"/>
            <w:shd w:val="clear" w:color="auto" w:fill="auto"/>
            <w:tcMar>
              <w:top w:w="0" w:type="dxa"/>
              <w:left w:w="108" w:type="dxa"/>
              <w:bottom w:w="0" w:type="dxa"/>
              <w:right w:w="108" w:type="dxa"/>
            </w:tcMar>
            <w:vAlign w:val="center"/>
          </w:tcPr>
          <w:p w14:paraId="12FC89F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87.95</w:t>
            </w:r>
          </w:p>
        </w:tc>
        <w:tc>
          <w:tcPr>
            <w:tcW w:w="857" w:type="pct"/>
            <w:shd w:val="clear" w:color="auto" w:fill="auto"/>
            <w:tcMar>
              <w:top w:w="0" w:type="dxa"/>
              <w:left w:w="108" w:type="dxa"/>
              <w:bottom w:w="0" w:type="dxa"/>
              <w:right w:w="108" w:type="dxa"/>
            </w:tcMar>
            <w:vAlign w:val="center"/>
          </w:tcPr>
          <w:p w14:paraId="7D46311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14.69%</w:t>
            </w:r>
          </w:p>
        </w:tc>
      </w:tr>
      <w:tr w:rsidR="006416B0" w:rsidRPr="00B4515A" w14:paraId="77485532" w14:textId="77777777" w:rsidTr="00031627">
        <w:trPr>
          <w:trHeight w:val="340"/>
          <w:jc w:val="center"/>
        </w:trPr>
        <w:tc>
          <w:tcPr>
            <w:tcW w:w="1074" w:type="pct"/>
            <w:vMerge/>
            <w:tcMar>
              <w:top w:w="0" w:type="dxa"/>
              <w:left w:w="108" w:type="dxa"/>
              <w:bottom w:w="0" w:type="dxa"/>
              <w:right w:w="108" w:type="dxa"/>
            </w:tcMar>
            <w:vAlign w:val="center"/>
          </w:tcPr>
          <w:p w14:paraId="0E9BB78D"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06DD5A1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执勤保障</w:t>
            </w:r>
            <w:r w:rsidRPr="00B4515A">
              <w:rPr>
                <w:rFonts w:ascii="Times New Roman" w:eastAsiaTheme="minorEastAsia" w:hAnsi="Times New Roman" w:cs="Times New Roman"/>
                <w:color w:val="000000"/>
                <w:sz w:val="21"/>
                <w:szCs w:val="21"/>
              </w:rPr>
              <w:t>4G</w:t>
            </w:r>
            <w:r w:rsidRPr="00B4515A">
              <w:rPr>
                <w:rFonts w:ascii="Times New Roman" w:eastAsiaTheme="minorEastAsia" w:hAnsi="Times New Roman" w:cs="Times New Roman" w:hint="eastAsia"/>
                <w:color w:val="000000"/>
                <w:sz w:val="21"/>
                <w:szCs w:val="21"/>
              </w:rPr>
              <w:t>产品</w:t>
            </w:r>
          </w:p>
        </w:tc>
        <w:tc>
          <w:tcPr>
            <w:tcW w:w="1073" w:type="pct"/>
            <w:shd w:val="clear" w:color="auto" w:fill="auto"/>
            <w:tcMar>
              <w:top w:w="0" w:type="dxa"/>
              <w:left w:w="108" w:type="dxa"/>
              <w:bottom w:w="0" w:type="dxa"/>
              <w:right w:w="108" w:type="dxa"/>
            </w:tcMar>
            <w:vAlign w:val="center"/>
          </w:tcPr>
          <w:p w14:paraId="74D6E5B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4,452.77</w:t>
            </w:r>
          </w:p>
        </w:tc>
        <w:tc>
          <w:tcPr>
            <w:tcW w:w="955" w:type="pct"/>
            <w:shd w:val="clear" w:color="auto" w:fill="auto"/>
            <w:tcMar>
              <w:top w:w="0" w:type="dxa"/>
              <w:left w:w="108" w:type="dxa"/>
              <w:bottom w:w="0" w:type="dxa"/>
              <w:right w:w="108" w:type="dxa"/>
            </w:tcMar>
            <w:vAlign w:val="center"/>
          </w:tcPr>
          <w:p w14:paraId="7337C6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1,771.98</w:t>
            </w:r>
          </w:p>
        </w:tc>
        <w:tc>
          <w:tcPr>
            <w:tcW w:w="857" w:type="pct"/>
            <w:shd w:val="clear" w:color="auto" w:fill="auto"/>
            <w:tcMar>
              <w:top w:w="0" w:type="dxa"/>
              <w:left w:w="108" w:type="dxa"/>
              <w:bottom w:w="0" w:type="dxa"/>
              <w:right w:w="108" w:type="dxa"/>
            </w:tcMar>
            <w:vAlign w:val="center"/>
          </w:tcPr>
          <w:p w14:paraId="3DBC2E4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60.21%</w:t>
            </w:r>
          </w:p>
        </w:tc>
      </w:tr>
      <w:tr w:rsidR="006416B0" w:rsidRPr="00B4515A" w14:paraId="351F5ABB" w14:textId="77777777" w:rsidTr="00031627">
        <w:trPr>
          <w:trHeight w:val="340"/>
          <w:jc w:val="center"/>
        </w:trPr>
        <w:tc>
          <w:tcPr>
            <w:tcW w:w="1074" w:type="pct"/>
            <w:vMerge/>
            <w:tcMar>
              <w:top w:w="0" w:type="dxa"/>
              <w:left w:w="108" w:type="dxa"/>
              <w:bottom w:w="0" w:type="dxa"/>
              <w:right w:w="108" w:type="dxa"/>
            </w:tcMar>
            <w:vAlign w:val="center"/>
          </w:tcPr>
          <w:p w14:paraId="2CF96596"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76BB003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1073" w:type="pct"/>
            <w:shd w:val="clear" w:color="auto" w:fill="auto"/>
            <w:tcMar>
              <w:top w:w="0" w:type="dxa"/>
              <w:left w:w="108" w:type="dxa"/>
              <w:bottom w:w="0" w:type="dxa"/>
              <w:right w:w="108" w:type="dxa"/>
            </w:tcMar>
            <w:vAlign w:val="center"/>
          </w:tcPr>
          <w:p w14:paraId="7F04E85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5,736.08</w:t>
            </w:r>
          </w:p>
        </w:tc>
        <w:tc>
          <w:tcPr>
            <w:tcW w:w="955" w:type="pct"/>
            <w:shd w:val="clear" w:color="auto" w:fill="auto"/>
            <w:tcMar>
              <w:top w:w="0" w:type="dxa"/>
              <w:left w:w="108" w:type="dxa"/>
              <w:bottom w:w="0" w:type="dxa"/>
              <w:right w:w="108" w:type="dxa"/>
            </w:tcMar>
            <w:vAlign w:val="center"/>
          </w:tcPr>
          <w:p w14:paraId="7A525D3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2,328.76</w:t>
            </w:r>
          </w:p>
        </w:tc>
        <w:tc>
          <w:tcPr>
            <w:tcW w:w="857" w:type="pct"/>
            <w:shd w:val="clear" w:color="auto" w:fill="auto"/>
            <w:tcMar>
              <w:top w:w="0" w:type="dxa"/>
              <w:left w:w="108" w:type="dxa"/>
              <w:bottom w:w="0" w:type="dxa"/>
              <w:right w:w="108" w:type="dxa"/>
            </w:tcMar>
            <w:vAlign w:val="center"/>
          </w:tcPr>
          <w:p w14:paraId="44CE304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59.40%</w:t>
            </w:r>
          </w:p>
        </w:tc>
      </w:tr>
      <w:tr w:rsidR="006416B0" w:rsidRPr="00B4515A" w14:paraId="2D3973C3" w14:textId="77777777" w:rsidTr="00031627">
        <w:trPr>
          <w:trHeight w:val="340"/>
          <w:jc w:val="center"/>
        </w:trPr>
        <w:tc>
          <w:tcPr>
            <w:tcW w:w="2114" w:type="pct"/>
            <w:gridSpan w:val="2"/>
            <w:shd w:val="clear" w:color="auto" w:fill="auto"/>
            <w:tcMar>
              <w:top w:w="0" w:type="dxa"/>
              <w:left w:w="108" w:type="dxa"/>
              <w:bottom w:w="0" w:type="dxa"/>
              <w:right w:w="108" w:type="dxa"/>
            </w:tcMar>
            <w:vAlign w:val="center"/>
          </w:tcPr>
          <w:p w14:paraId="0EE8753A"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w:t>
            </w:r>
          </w:p>
        </w:tc>
        <w:tc>
          <w:tcPr>
            <w:tcW w:w="1073" w:type="pct"/>
            <w:shd w:val="clear" w:color="auto" w:fill="auto"/>
            <w:tcMar>
              <w:top w:w="0" w:type="dxa"/>
              <w:left w:w="108" w:type="dxa"/>
              <w:bottom w:w="0" w:type="dxa"/>
              <w:right w:w="108" w:type="dxa"/>
            </w:tcMar>
            <w:vAlign w:val="center"/>
          </w:tcPr>
          <w:p w14:paraId="06E5FBE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2,122.30</w:t>
            </w:r>
          </w:p>
        </w:tc>
        <w:tc>
          <w:tcPr>
            <w:tcW w:w="955" w:type="pct"/>
            <w:shd w:val="clear" w:color="auto" w:fill="auto"/>
            <w:tcMar>
              <w:top w:w="0" w:type="dxa"/>
              <w:left w:w="108" w:type="dxa"/>
              <w:bottom w:w="0" w:type="dxa"/>
              <w:right w:w="108" w:type="dxa"/>
            </w:tcMar>
            <w:vAlign w:val="center"/>
          </w:tcPr>
          <w:p w14:paraId="3FFC96F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1,518.56</w:t>
            </w:r>
          </w:p>
        </w:tc>
        <w:tc>
          <w:tcPr>
            <w:tcW w:w="857" w:type="pct"/>
            <w:shd w:val="clear" w:color="auto" w:fill="auto"/>
            <w:tcMar>
              <w:top w:w="0" w:type="dxa"/>
              <w:left w:w="108" w:type="dxa"/>
              <w:bottom w:w="0" w:type="dxa"/>
              <w:right w:w="108" w:type="dxa"/>
            </w:tcMar>
            <w:vAlign w:val="center"/>
          </w:tcPr>
          <w:p w14:paraId="5839673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28.45%</w:t>
            </w:r>
          </w:p>
        </w:tc>
      </w:tr>
      <w:tr w:rsidR="006416B0" w:rsidRPr="00B4515A" w14:paraId="5C20A118" w14:textId="77777777" w:rsidTr="00031627">
        <w:trPr>
          <w:trHeight w:val="340"/>
          <w:jc w:val="center"/>
        </w:trPr>
        <w:tc>
          <w:tcPr>
            <w:tcW w:w="2114" w:type="pct"/>
            <w:gridSpan w:val="2"/>
            <w:shd w:val="clear" w:color="auto" w:fill="auto"/>
            <w:tcMar>
              <w:top w:w="0" w:type="dxa"/>
              <w:left w:w="108" w:type="dxa"/>
              <w:bottom w:w="0" w:type="dxa"/>
              <w:right w:w="108" w:type="dxa"/>
            </w:tcMar>
            <w:vAlign w:val="center"/>
          </w:tcPr>
          <w:p w14:paraId="101ABDF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总计</w:t>
            </w:r>
          </w:p>
        </w:tc>
        <w:tc>
          <w:tcPr>
            <w:tcW w:w="1073" w:type="pct"/>
            <w:shd w:val="clear" w:color="auto" w:fill="auto"/>
            <w:tcMar>
              <w:top w:w="0" w:type="dxa"/>
              <w:left w:w="108" w:type="dxa"/>
              <w:bottom w:w="0" w:type="dxa"/>
              <w:right w:w="108" w:type="dxa"/>
            </w:tcMar>
            <w:vAlign w:val="center"/>
          </w:tcPr>
          <w:p w14:paraId="6CF629B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36,685.37</w:t>
            </w:r>
          </w:p>
        </w:tc>
        <w:tc>
          <w:tcPr>
            <w:tcW w:w="955" w:type="pct"/>
            <w:shd w:val="clear" w:color="auto" w:fill="auto"/>
            <w:tcMar>
              <w:top w:w="0" w:type="dxa"/>
              <w:left w:w="108" w:type="dxa"/>
              <w:bottom w:w="0" w:type="dxa"/>
              <w:right w:w="108" w:type="dxa"/>
            </w:tcMar>
            <w:vAlign w:val="center"/>
          </w:tcPr>
          <w:p w14:paraId="3AABE0F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17,226.00</w:t>
            </w:r>
          </w:p>
        </w:tc>
        <w:tc>
          <w:tcPr>
            <w:tcW w:w="857" w:type="pct"/>
            <w:shd w:val="clear" w:color="auto" w:fill="auto"/>
            <w:tcMar>
              <w:top w:w="0" w:type="dxa"/>
              <w:left w:w="108" w:type="dxa"/>
              <w:bottom w:w="0" w:type="dxa"/>
              <w:right w:w="108" w:type="dxa"/>
            </w:tcMar>
            <w:vAlign w:val="center"/>
          </w:tcPr>
          <w:p w14:paraId="6EE1810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53.04%</w:t>
            </w:r>
          </w:p>
        </w:tc>
      </w:tr>
      <w:tr w:rsidR="006416B0" w:rsidRPr="00B4515A" w14:paraId="10D6786F"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6AD0F9BF" w14:textId="77777777" w:rsidR="006416B0" w:rsidRPr="00B4515A" w:rsidRDefault="006416B0" w:rsidP="005860B4">
            <w:pPr>
              <w:adjustRightInd w:val="0"/>
              <w:snapToGrid w:val="0"/>
              <w:rPr>
                <w:rFonts w:ascii="Times New Roman" w:eastAsiaTheme="minorEastAsia" w:hAnsi="Times New Roman" w:cs="Times New Roman"/>
                <w:sz w:val="21"/>
                <w:szCs w:val="21"/>
              </w:rPr>
            </w:pPr>
          </w:p>
          <w:p w14:paraId="6E0A0108"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单位：万元</w:t>
            </w:r>
          </w:p>
        </w:tc>
      </w:tr>
      <w:tr w:rsidR="006416B0" w:rsidRPr="00B4515A" w14:paraId="68AC8947"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0ED6FCCA"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2020</w:t>
            </w:r>
            <w:r w:rsidRPr="00B4515A">
              <w:rPr>
                <w:rFonts w:ascii="Times New Roman" w:eastAsiaTheme="minorEastAsia" w:hAnsi="Times New Roman" w:cs="Times New Roman"/>
                <w:b/>
                <w:color w:val="000000"/>
                <w:sz w:val="21"/>
                <w:szCs w:val="21"/>
              </w:rPr>
              <w:t>年年收入</w:t>
            </w:r>
            <w:r w:rsidRPr="00B4515A">
              <w:rPr>
                <w:rFonts w:ascii="Times New Roman" w:eastAsiaTheme="minorEastAsia" w:hAnsi="Times New Roman" w:cs="Times New Roman"/>
                <w:b/>
                <w:color w:val="000000"/>
                <w:sz w:val="21"/>
                <w:szCs w:val="21"/>
              </w:rPr>
              <w:t>\</w:t>
            </w:r>
            <w:r w:rsidRPr="00B4515A">
              <w:rPr>
                <w:rFonts w:ascii="Times New Roman" w:eastAsiaTheme="minorEastAsia" w:hAnsi="Times New Roman" w:cs="Times New Roman"/>
                <w:b/>
                <w:color w:val="000000"/>
                <w:sz w:val="21"/>
                <w:szCs w:val="21"/>
              </w:rPr>
              <w:t>成本分类明细</w:t>
            </w:r>
          </w:p>
        </w:tc>
      </w:tr>
      <w:tr w:rsidR="006416B0" w:rsidRPr="00B4515A" w14:paraId="44B30AD8" w14:textId="77777777" w:rsidTr="00031627">
        <w:trPr>
          <w:trHeight w:val="340"/>
          <w:jc w:val="center"/>
        </w:trPr>
        <w:tc>
          <w:tcPr>
            <w:tcW w:w="1074" w:type="pct"/>
            <w:shd w:val="clear" w:color="auto" w:fill="auto"/>
            <w:tcMar>
              <w:top w:w="0" w:type="dxa"/>
              <w:left w:w="108" w:type="dxa"/>
              <w:bottom w:w="0" w:type="dxa"/>
              <w:right w:w="108" w:type="dxa"/>
            </w:tcMar>
            <w:vAlign w:val="center"/>
          </w:tcPr>
          <w:p w14:paraId="3E1B55F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业务方向</w:t>
            </w:r>
          </w:p>
        </w:tc>
        <w:tc>
          <w:tcPr>
            <w:tcW w:w="1041" w:type="pct"/>
            <w:shd w:val="clear" w:color="auto" w:fill="auto"/>
            <w:tcMar>
              <w:top w:w="0" w:type="dxa"/>
              <w:left w:w="108" w:type="dxa"/>
              <w:bottom w:w="0" w:type="dxa"/>
              <w:right w:w="108" w:type="dxa"/>
            </w:tcMar>
            <w:vAlign w:val="center"/>
          </w:tcPr>
          <w:p w14:paraId="39BDB12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收入类型</w:t>
            </w:r>
          </w:p>
        </w:tc>
        <w:tc>
          <w:tcPr>
            <w:tcW w:w="1073" w:type="pct"/>
            <w:shd w:val="clear" w:color="auto" w:fill="auto"/>
            <w:tcMar>
              <w:top w:w="0" w:type="dxa"/>
              <w:left w:w="108" w:type="dxa"/>
              <w:bottom w:w="0" w:type="dxa"/>
              <w:right w:w="108" w:type="dxa"/>
            </w:tcMar>
            <w:vAlign w:val="center"/>
          </w:tcPr>
          <w:p w14:paraId="3D422FD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收入</w:t>
            </w:r>
          </w:p>
        </w:tc>
        <w:tc>
          <w:tcPr>
            <w:tcW w:w="955" w:type="pct"/>
            <w:shd w:val="clear" w:color="auto" w:fill="auto"/>
            <w:tcMar>
              <w:top w:w="0" w:type="dxa"/>
              <w:left w:w="108" w:type="dxa"/>
              <w:bottom w:w="0" w:type="dxa"/>
              <w:right w:w="108" w:type="dxa"/>
            </w:tcMar>
            <w:vAlign w:val="center"/>
          </w:tcPr>
          <w:p w14:paraId="2F32ED1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成本</w:t>
            </w:r>
          </w:p>
        </w:tc>
        <w:tc>
          <w:tcPr>
            <w:tcW w:w="857" w:type="pct"/>
            <w:shd w:val="clear" w:color="auto" w:fill="auto"/>
            <w:tcMar>
              <w:top w:w="0" w:type="dxa"/>
              <w:left w:w="108" w:type="dxa"/>
              <w:bottom w:w="0" w:type="dxa"/>
              <w:right w:w="108" w:type="dxa"/>
            </w:tcMar>
            <w:vAlign w:val="center"/>
          </w:tcPr>
          <w:p w14:paraId="4FBDF02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毛利率</w:t>
            </w:r>
          </w:p>
        </w:tc>
      </w:tr>
      <w:tr w:rsidR="006416B0" w:rsidRPr="00B4515A" w14:paraId="4323CE9F" w14:textId="77777777" w:rsidTr="00031627">
        <w:trPr>
          <w:trHeight w:val="340"/>
          <w:jc w:val="center"/>
        </w:trPr>
        <w:tc>
          <w:tcPr>
            <w:tcW w:w="1074" w:type="pct"/>
            <w:vMerge w:val="restart"/>
            <w:shd w:val="clear" w:color="auto" w:fill="auto"/>
            <w:tcMar>
              <w:top w:w="0" w:type="dxa"/>
              <w:left w:w="108" w:type="dxa"/>
              <w:bottom w:w="0" w:type="dxa"/>
              <w:right w:w="108" w:type="dxa"/>
            </w:tcMar>
            <w:vAlign w:val="center"/>
          </w:tcPr>
          <w:p w14:paraId="23B3D1E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w:t>
            </w:r>
            <w:r w:rsidRPr="00B4515A">
              <w:rPr>
                <w:rFonts w:ascii="Times New Roman" w:eastAsiaTheme="minorEastAsia" w:hAnsi="Times New Roman" w:cs="Times New Roman"/>
                <w:color w:val="000000"/>
                <w:sz w:val="21"/>
                <w:szCs w:val="21"/>
              </w:rPr>
              <w:t>用移动通信</w:t>
            </w:r>
          </w:p>
        </w:tc>
        <w:tc>
          <w:tcPr>
            <w:tcW w:w="1041" w:type="pct"/>
            <w:shd w:val="clear" w:color="auto" w:fill="auto"/>
            <w:tcMar>
              <w:top w:w="0" w:type="dxa"/>
              <w:left w:w="108" w:type="dxa"/>
              <w:bottom w:w="0" w:type="dxa"/>
              <w:right w:w="108" w:type="dxa"/>
            </w:tcMar>
            <w:vAlign w:val="center"/>
          </w:tcPr>
          <w:p w14:paraId="4488E8D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4G</w:t>
            </w:r>
            <w:r w:rsidRPr="00B4515A">
              <w:rPr>
                <w:rFonts w:ascii="Times New Roman" w:eastAsiaTheme="minorEastAsia" w:hAnsi="Times New Roman" w:cs="Times New Roman"/>
                <w:color w:val="000000"/>
                <w:sz w:val="21"/>
                <w:szCs w:val="21"/>
              </w:rPr>
              <w:t>专网产品</w:t>
            </w:r>
          </w:p>
        </w:tc>
        <w:tc>
          <w:tcPr>
            <w:tcW w:w="1073" w:type="pct"/>
            <w:shd w:val="clear" w:color="auto" w:fill="auto"/>
            <w:tcMar>
              <w:top w:w="0" w:type="dxa"/>
              <w:left w:w="108" w:type="dxa"/>
              <w:bottom w:w="0" w:type="dxa"/>
              <w:right w:w="108" w:type="dxa"/>
            </w:tcMar>
            <w:vAlign w:val="center"/>
          </w:tcPr>
          <w:p w14:paraId="5359F42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12,809.50</w:t>
            </w:r>
          </w:p>
        </w:tc>
        <w:tc>
          <w:tcPr>
            <w:tcW w:w="955" w:type="pct"/>
            <w:shd w:val="clear" w:color="auto" w:fill="auto"/>
            <w:tcMar>
              <w:top w:w="0" w:type="dxa"/>
              <w:left w:w="108" w:type="dxa"/>
              <w:bottom w:w="0" w:type="dxa"/>
              <w:right w:w="108" w:type="dxa"/>
            </w:tcMar>
            <w:vAlign w:val="center"/>
          </w:tcPr>
          <w:p w14:paraId="3CF8206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5,717.23</w:t>
            </w:r>
          </w:p>
        </w:tc>
        <w:tc>
          <w:tcPr>
            <w:tcW w:w="857" w:type="pct"/>
            <w:shd w:val="clear" w:color="auto" w:fill="auto"/>
            <w:tcMar>
              <w:top w:w="0" w:type="dxa"/>
              <w:left w:w="108" w:type="dxa"/>
              <w:bottom w:w="0" w:type="dxa"/>
              <w:right w:w="108" w:type="dxa"/>
            </w:tcMar>
            <w:vAlign w:val="center"/>
          </w:tcPr>
          <w:p w14:paraId="160118D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55.37%</w:t>
            </w:r>
          </w:p>
        </w:tc>
      </w:tr>
      <w:tr w:rsidR="006416B0" w:rsidRPr="00B4515A" w14:paraId="680C79F9" w14:textId="77777777" w:rsidTr="00031627">
        <w:trPr>
          <w:trHeight w:val="340"/>
          <w:jc w:val="center"/>
        </w:trPr>
        <w:tc>
          <w:tcPr>
            <w:tcW w:w="1074" w:type="pct"/>
            <w:vMerge/>
            <w:tcMar>
              <w:top w:w="0" w:type="dxa"/>
              <w:left w:w="108" w:type="dxa"/>
              <w:bottom w:w="0" w:type="dxa"/>
              <w:right w:w="108" w:type="dxa"/>
            </w:tcMar>
            <w:vAlign w:val="center"/>
          </w:tcPr>
          <w:p w14:paraId="4FBA78A9"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3FB3CF8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技术服务收入</w:t>
            </w:r>
          </w:p>
        </w:tc>
        <w:tc>
          <w:tcPr>
            <w:tcW w:w="1073" w:type="pct"/>
            <w:shd w:val="clear" w:color="auto" w:fill="auto"/>
            <w:tcMar>
              <w:top w:w="0" w:type="dxa"/>
              <w:left w:w="108" w:type="dxa"/>
              <w:bottom w:w="0" w:type="dxa"/>
              <w:right w:w="108" w:type="dxa"/>
            </w:tcMar>
            <w:vAlign w:val="center"/>
          </w:tcPr>
          <w:p w14:paraId="702C2EC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181.37</w:t>
            </w:r>
          </w:p>
        </w:tc>
        <w:tc>
          <w:tcPr>
            <w:tcW w:w="955" w:type="pct"/>
            <w:shd w:val="clear" w:color="auto" w:fill="auto"/>
            <w:tcMar>
              <w:top w:w="0" w:type="dxa"/>
              <w:left w:w="108" w:type="dxa"/>
              <w:bottom w:w="0" w:type="dxa"/>
              <w:right w:w="108" w:type="dxa"/>
            </w:tcMar>
            <w:vAlign w:val="center"/>
          </w:tcPr>
          <w:p w14:paraId="6A0A600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31.95</w:t>
            </w:r>
          </w:p>
        </w:tc>
        <w:tc>
          <w:tcPr>
            <w:tcW w:w="857" w:type="pct"/>
            <w:shd w:val="clear" w:color="auto" w:fill="auto"/>
            <w:tcMar>
              <w:top w:w="0" w:type="dxa"/>
              <w:left w:w="108" w:type="dxa"/>
              <w:bottom w:w="0" w:type="dxa"/>
              <w:right w:w="108" w:type="dxa"/>
            </w:tcMar>
            <w:vAlign w:val="center"/>
          </w:tcPr>
          <w:p w14:paraId="2B11E1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82.38%</w:t>
            </w:r>
          </w:p>
        </w:tc>
      </w:tr>
      <w:tr w:rsidR="006416B0" w:rsidRPr="00B4515A" w14:paraId="31D12E85" w14:textId="77777777" w:rsidTr="00031627">
        <w:trPr>
          <w:trHeight w:val="340"/>
          <w:jc w:val="center"/>
        </w:trPr>
        <w:tc>
          <w:tcPr>
            <w:tcW w:w="1074" w:type="pct"/>
            <w:vMerge/>
            <w:tcMar>
              <w:top w:w="0" w:type="dxa"/>
              <w:left w:w="108" w:type="dxa"/>
              <w:bottom w:w="0" w:type="dxa"/>
              <w:right w:w="108" w:type="dxa"/>
            </w:tcMar>
            <w:vAlign w:val="center"/>
          </w:tcPr>
          <w:p w14:paraId="41B03F84"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218180A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卫星通信终端</w:t>
            </w:r>
          </w:p>
        </w:tc>
        <w:tc>
          <w:tcPr>
            <w:tcW w:w="1073" w:type="pct"/>
            <w:shd w:val="clear" w:color="auto" w:fill="auto"/>
            <w:tcMar>
              <w:top w:w="0" w:type="dxa"/>
              <w:left w:w="108" w:type="dxa"/>
              <w:bottom w:w="0" w:type="dxa"/>
              <w:right w:w="108" w:type="dxa"/>
            </w:tcMar>
            <w:vAlign w:val="center"/>
          </w:tcPr>
          <w:p w14:paraId="0032188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740.98</w:t>
            </w:r>
          </w:p>
        </w:tc>
        <w:tc>
          <w:tcPr>
            <w:tcW w:w="955" w:type="pct"/>
            <w:shd w:val="clear" w:color="auto" w:fill="auto"/>
            <w:tcMar>
              <w:top w:w="0" w:type="dxa"/>
              <w:left w:w="108" w:type="dxa"/>
              <w:bottom w:w="0" w:type="dxa"/>
              <w:right w:w="108" w:type="dxa"/>
            </w:tcMar>
            <w:vAlign w:val="center"/>
          </w:tcPr>
          <w:p w14:paraId="1CE3EF4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504.39</w:t>
            </w:r>
          </w:p>
        </w:tc>
        <w:tc>
          <w:tcPr>
            <w:tcW w:w="857" w:type="pct"/>
            <w:shd w:val="clear" w:color="auto" w:fill="auto"/>
            <w:tcMar>
              <w:top w:w="0" w:type="dxa"/>
              <w:left w:w="108" w:type="dxa"/>
              <w:bottom w:w="0" w:type="dxa"/>
              <w:right w:w="108" w:type="dxa"/>
            </w:tcMar>
            <w:vAlign w:val="center"/>
          </w:tcPr>
          <w:p w14:paraId="6F5F306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31.93%</w:t>
            </w:r>
          </w:p>
        </w:tc>
      </w:tr>
      <w:tr w:rsidR="006416B0" w:rsidRPr="00B4515A" w14:paraId="64DF716A" w14:textId="77777777" w:rsidTr="00031627">
        <w:trPr>
          <w:trHeight w:val="340"/>
          <w:jc w:val="center"/>
        </w:trPr>
        <w:tc>
          <w:tcPr>
            <w:tcW w:w="1074" w:type="pct"/>
            <w:vMerge/>
            <w:tcMar>
              <w:top w:w="0" w:type="dxa"/>
              <w:left w:w="108" w:type="dxa"/>
              <w:bottom w:w="0" w:type="dxa"/>
              <w:right w:w="108" w:type="dxa"/>
            </w:tcMar>
            <w:vAlign w:val="center"/>
          </w:tcPr>
          <w:p w14:paraId="40F28041"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322F129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信号分析产品</w:t>
            </w:r>
          </w:p>
        </w:tc>
        <w:tc>
          <w:tcPr>
            <w:tcW w:w="1073" w:type="pct"/>
            <w:shd w:val="clear" w:color="auto" w:fill="auto"/>
            <w:tcMar>
              <w:top w:w="0" w:type="dxa"/>
              <w:left w:w="108" w:type="dxa"/>
              <w:bottom w:w="0" w:type="dxa"/>
              <w:right w:w="108" w:type="dxa"/>
            </w:tcMar>
            <w:vAlign w:val="center"/>
          </w:tcPr>
          <w:p w14:paraId="52E8B73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4,230.20</w:t>
            </w:r>
          </w:p>
        </w:tc>
        <w:tc>
          <w:tcPr>
            <w:tcW w:w="955" w:type="pct"/>
            <w:shd w:val="clear" w:color="auto" w:fill="auto"/>
            <w:tcMar>
              <w:top w:w="0" w:type="dxa"/>
              <w:left w:w="108" w:type="dxa"/>
              <w:bottom w:w="0" w:type="dxa"/>
              <w:right w:w="108" w:type="dxa"/>
            </w:tcMar>
            <w:vAlign w:val="center"/>
          </w:tcPr>
          <w:p w14:paraId="44C9B80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3,405.17</w:t>
            </w:r>
          </w:p>
        </w:tc>
        <w:tc>
          <w:tcPr>
            <w:tcW w:w="857" w:type="pct"/>
            <w:shd w:val="clear" w:color="auto" w:fill="auto"/>
            <w:tcMar>
              <w:top w:w="0" w:type="dxa"/>
              <w:left w:w="108" w:type="dxa"/>
              <w:bottom w:w="0" w:type="dxa"/>
              <w:right w:w="108" w:type="dxa"/>
            </w:tcMar>
            <w:vAlign w:val="center"/>
          </w:tcPr>
          <w:p w14:paraId="09A6F3B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19.50%</w:t>
            </w:r>
          </w:p>
        </w:tc>
      </w:tr>
      <w:tr w:rsidR="006416B0" w:rsidRPr="00B4515A" w14:paraId="0A0D6C05" w14:textId="77777777" w:rsidTr="00031627">
        <w:trPr>
          <w:trHeight w:val="340"/>
          <w:jc w:val="center"/>
        </w:trPr>
        <w:tc>
          <w:tcPr>
            <w:tcW w:w="1074" w:type="pct"/>
            <w:vMerge/>
            <w:tcMar>
              <w:top w:w="0" w:type="dxa"/>
              <w:left w:w="108" w:type="dxa"/>
              <w:bottom w:w="0" w:type="dxa"/>
              <w:right w:w="108" w:type="dxa"/>
            </w:tcMar>
            <w:vAlign w:val="center"/>
          </w:tcPr>
          <w:p w14:paraId="6B0EDE79"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3479C88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小计</w:t>
            </w:r>
          </w:p>
        </w:tc>
        <w:tc>
          <w:tcPr>
            <w:tcW w:w="1073" w:type="pct"/>
            <w:shd w:val="clear" w:color="auto" w:fill="auto"/>
            <w:tcMar>
              <w:top w:w="0" w:type="dxa"/>
              <w:left w:w="108" w:type="dxa"/>
              <w:bottom w:w="0" w:type="dxa"/>
              <w:right w:w="108" w:type="dxa"/>
            </w:tcMar>
            <w:vAlign w:val="center"/>
          </w:tcPr>
          <w:p w14:paraId="3F0EFDE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17,962.05</w:t>
            </w:r>
          </w:p>
        </w:tc>
        <w:tc>
          <w:tcPr>
            <w:tcW w:w="955" w:type="pct"/>
            <w:shd w:val="clear" w:color="auto" w:fill="auto"/>
            <w:tcMar>
              <w:top w:w="0" w:type="dxa"/>
              <w:left w:w="108" w:type="dxa"/>
              <w:bottom w:w="0" w:type="dxa"/>
              <w:right w:w="108" w:type="dxa"/>
            </w:tcMar>
            <w:vAlign w:val="center"/>
          </w:tcPr>
          <w:p w14:paraId="3D300B8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9,658.75</w:t>
            </w:r>
          </w:p>
        </w:tc>
        <w:tc>
          <w:tcPr>
            <w:tcW w:w="857" w:type="pct"/>
            <w:shd w:val="clear" w:color="auto" w:fill="auto"/>
            <w:tcMar>
              <w:top w:w="0" w:type="dxa"/>
              <w:left w:w="108" w:type="dxa"/>
              <w:bottom w:w="0" w:type="dxa"/>
              <w:right w:w="108" w:type="dxa"/>
            </w:tcMar>
            <w:vAlign w:val="center"/>
          </w:tcPr>
          <w:p w14:paraId="7736BD6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46.23%</w:t>
            </w:r>
          </w:p>
        </w:tc>
      </w:tr>
      <w:tr w:rsidR="006416B0" w:rsidRPr="00B4515A" w14:paraId="66EE0BAE" w14:textId="77777777" w:rsidTr="00031627">
        <w:trPr>
          <w:trHeight w:val="340"/>
          <w:jc w:val="center"/>
        </w:trPr>
        <w:tc>
          <w:tcPr>
            <w:tcW w:w="1074" w:type="pct"/>
            <w:vMerge w:val="restart"/>
            <w:shd w:val="clear" w:color="auto" w:fill="auto"/>
            <w:tcMar>
              <w:top w:w="0" w:type="dxa"/>
              <w:left w:w="108" w:type="dxa"/>
              <w:bottom w:w="0" w:type="dxa"/>
              <w:right w:w="108" w:type="dxa"/>
            </w:tcMar>
            <w:vAlign w:val="center"/>
          </w:tcPr>
          <w:p w14:paraId="3FF5AD7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w:t>
            </w:r>
            <w:r w:rsidRPr="00B4515A">
              <w:rPr>
                <w:rFonts w:ascii="Times New Roman" w:eastAsiaTheme="minorEastAsia" w:hAnsi="Times New Roman" w:cs="Times New Roman"/>
                <w:color w:val="000000"/>
                <w:sz w:val="21"/>
                <w:szCs w:val="21"/>
              </w:rPr>
              <w:t>用宽带电台</w:t>
            </w:r>
          </w:p>
        </w:tc>
        <w:tc>
          <w:tcPr>
            <w:tcW w:w="1041" w:type="pct"/>
            <w:shd w:val="clear" w:color="auto" w:fill="auto"/>
            <w:tcMar>
              <w:top w:w="0" w:type="dxa"/>
              <w:left w:w="108" w:type="dxa"/>
              <w:bottom w:w="0" w:type="dxa"/>
              <w:right w:w="108" w:type="dxa"/>
            </w:tcMar>
            <w:vAlign w:val="center"/>
          </w:tcPr>
          <w:p w14:paraId="4F0DA50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技术服务收入</w:t>
            </w:r>
          </w:p>
        </w:tc>
        <w:tc>
          <w:tcPr>
            <w:tcW w:w="1073" w:type="pct"/>
            <w:shd w:val="clear" w:color="auto" w:fill="auto"/>
            <w:tcMar>
              <w:top w:w="0" w:type="dxa"/>
              <w:left w:w="108" w:type="dxa"/>
              <w:bottom w:w="0" w:type="dxa"/>
              <w:right w:w="108" w:type="dxa"/>
            </w:tcMar>
            <w:vAlign w:val="center"/>
          </w:tcPr>
          <w:p w14:paraId="5980A06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7,393.30</w:t>
            </w:r>
          </w:p>
        </w:tc>
        <w:tc>
          <w:tcPr>
            <w:tcW w:w="955" w:type="pct"/>
            <w:shd w:val="clear" w:color="auto" w:fill="auto"/>
            <w:tcMar>
              <w:top w:w="0" w:type="dxa"/>
              <w:left w:w="108" w:type="dxa"/>
              <w:bottom w:w="0" w:type="dxa"/>
              <w:right w:w="108" w:type="dxa"/>
            </w:tcMar>
            <w:vAlign w:val="center"/>
          </w:tcPr>
          <w:p w14:paraId="3695BB3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947.48</w:t>
            </w:r>
          </w:p>
        </w:tc>
        <w:tc>
          <w:tcPr>
            <w:tcW w:w="857" w:type="pct"/>
            <w:shd w:val="clear" w:color="auto" w:fill="auto"/>
            <w:tcMar>
              <w:top w:w="0" w:type="dxa"/>
              <w:left w:w="108" w:type="dxa"/>
              <w:bottom w:w="0" w:type="dxa"/>
              <w:right w:w="108" w:type="dxa"/>
            </w:tcMar>
            <w:vAlign w:val="center"/>
          </w:tcPr>
          <w:p w14:paraId="293B671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87.18%</w:t>
            </w:r>
          </w:p>
        </w:tc>
      </w:tr>
      <w:tr w:rsidR="006416B0" w:rsidRPr="00B4515A" w14:paraId="2E6B6A94" w14:textId="77777777" w:rsidTr="00031627">
        <w:trPr>
          <w:trHeight w:val="340"/>
          <w:jc w:val="center"/>
        </w:trPr>
        <w:tc>
          <w:tcPr>
            <w:tcW w:w="1074" w:type="pct"/>
            <w:vMerge/>
            <w:tcMar>
              <w:top w:w="0" w:type="dxa"/>
              <w:left w:w="108" w:type="dxa"/>
              <w:bottom w:w="0" w:type="dxa"/>
              <w:right w:w="108" w:type="dxa"/>
            </w:tcMar>
            <w:vAlign w:val="center"/>
          </w:tcPr>
          <w:p w14:paraId="554312DD"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09377D68"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专用数据链产品</w:t>
            </w:r>
          </w:p>
        </w:tc>
        <w:tc>
          <w:tcPr>
            <w:tcW w:w="1073" w:type="pct"/>
            <w:shd w:val="clear" w:color="auto" w:fill="auto"/>
            <w:tcMar>
              <w:top w:w="0" w:type="dxa"/>
              <w:left w:w="108" w:type="dxa"/>
              <w:bottom w:w="0" w:type="dxa"/>
              <w:right w:w="108" w:type="dxa"/>
            </w:tcMar>
            <w:vAlign w:val="center"/>
          </w:tcPr>
          <w:p w14:paraId="30D2BF7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1,804.75</w:t>
            </w:r>
          </w:p>
        </w:tc>
        <w:tc>
          <w:tcPr>
            <w:tcW w:w="955" w:type="pct"/>
            <w:shd w:val="clear" w:color="auto" w:fill="auto"/>
            <w:tcMar>
              <w:top w:w="0" w:type="dxa"/>
              <w:left w:w="108" w:type="dxa"/>
              <w:bottom w:w="0" w:type="dxa"/>
              <w:right w:w="108" w:type="dxa"/>
            </w:tcMar>
            <w:vAlign w:val="center"/>
          </w:tcPr>
          <w:p w14:paraId="200748E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579.13</w:t>
            </w:r>
          </w:p>
        </w:tc>
        <w:tc>
          <w:tcPr>
            <w:tcW w:w="857" w:type="pct"/>
            <w:shd w:val="clear" w:color="auto" w:fill="auto"/>
            <w:tcMar>
              <w:top w:w="0" w:type="dxa"/>
              <w:left w:w="108" w:type="dxa"/>
              <w:bottom w:w="0" w:type="dxa"/>
              <w:right w:w="108" w:type="dxa"/>
            </w:tcMar>
            <w:vAlign w:val="center"/>
          </w:tcPr>
          <w:p w14:paraId="5284097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67.91%</w:t>
            </w:r>
          </w:p>
        </w:tc>
      </w:tr>
      <w:tr w:rsidR="006416B0" w:rsidRPr="00B4515A" w14:paraId="40926C56" w14:textId="77777777" w:rsidTr="00031627">
        <w:trPr>
          <w:trHeight w:val="340"/>
          <w:jc w:val="center"/>
        </w:trPr>
        <w:tc>
          <w:tcPr>
            <w:tcW w:w="1074" w:type="pct"/>
            <w:vMerge/>
            <w:tcMar>
              <w:top w:w="0" w:type="dxa"/>
              <w:left w:w="108" w:type="dxa"/>
              <w:bottom w:w="0" w:type="dxa"/>
              <w:right w:w="108" w:type="dxa"/>
            </w:tcMar>
            <w:vAlign w:val="center"/>
          </w:tcPr>
          <w:p w14:paraId="69E47586"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7C7D73A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专用通信终端</w:t>
            </w:r>
          </w:p>
        </w:tc>
        <w:tc>
          <w:tcPr>
            <w:tcW w:w="1073" w:type="pct"/>
            <w:shd w:val="clear" w:color="auto" w:fill="auto"/>
            <w:tcMar>
              <w:top w:w="0" w:type="dxa"/>
              <w:left w:w="108" w:type="dxa"/>
              <w:bottom w:w="0" w:type="dxa"/>
              <w:right w:w="108" w:type="dxa"/>
            </w:tcMar>
            <w:vAlign w:val="center"/>
          </w:tcPr>
          <w:p w14:paraId="73CA2BD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25,258.14</w:t>
            </w:r>
          </w:p>
        </w:tc>
        <w:tc>
          <w:tcPr>
            <w:tcW w:w="955" w:type="pct"/>
            <w:shd w:val="clear" w:color="auto" w:fill="auto"/>
            <w:tcMar>
              <w:top w:w="0" w:type="dxa"/>
              <w:left w:w="108" w:type="dxa"/>
              <w:bottom w:w="0" w:type="dxa"/>
              <w:right w:w="108" w:type="dxa"/>
            </w:tcMar>
            <w:vAlign w:val="center"/>
          </w:tcPr>
          <w:p w14:paraId="2E020D5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15,437.18</w:t>
            </w:r>
          </w:p>
        </w:tc>
        <w:tc>
          <w:tcPr>
            <w:tcW w:w="857" w:type="pct"/>
            <w:shd w:val="clear" w:color="auto" w:fill="auto"/>
            <w:tcMar>
              <w:top w:w="0" w:type="dxa"/>
              <w:left w:w="108" w:type="dxa"/>
              <w:bottom w:w="0" w:type="dxa"/>
              <w:right w:w="108" w:type="dxa"/>
            </w:tcMar>
            <w:vAlign w:val="center"/>
          </w:tcPr>
          <w:p w14:paraId="1FC76C4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38.88%</w:t>
            </w:r>
          </w:p>
        </w:tc>
      </w:tr>
      <w:tr w:rsidR="006416B0" w:rsidRPr="00B4515A" w14:paraId="165DF986" w14:textId="77777777" w:rsidTr="00031627">
        <w:trPr>
          <w:trHeight w:val="340"/>
          <w:jc w:val="center"/>
        </w:trPr>
        <w:tc>
          <w:tcPr>
            <w:tcW w:w="1074" w:type="pct"/>
            <w:vMerge/>
            <w:tcMar>
              <w:top w:w="0" w:type="dxa"/>
              <w:left w:w="108" w:type="dxa"/>
              <w:bottom w:w="0" w:type="dxa"/>
              <w:right w:w="108" w:type="dxa"/>
            </w:tcMar>
            <w:vAlign w:val="center"/>
          </w:tcPr>
          <w:p w14:paraId="4C52F915"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262A6C4D"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小计</w:t>
            </w:r>
          </w:p>
        </w:tc>
        <w:tc>
          <w:tcPr>
            <w:tcW w:w="1073" w:type="pct"/>
            <w:shd w:val="clear" w:color="auto" w:fill="auto"/>
            <w:tcMar>
              <w:top w:w="0" w:type="dxa"/>
              <w:left w:w="108" w:type="dxa"/>
              <w:bottom w:w="0" w:type="dxa"/>
              <w:right w:w="108" w:type="dxa"/>
            </w:tcMar>
            <w:vAlign w:val="center"/>
          </w:tcPr>
          <w:p w14:paraId="44899F5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34,456.19</w:t>
            </w:r>
          </w:p>
        </w:tc>
        <w:tc>
          <w:tcPr>
            <w:tcW w:w="955" w:type="pct"/>
            <w:shd w:val="clear" w:color="auto" w:fill="auto"/>
            <w:tcMar>
              <w:top w:w="0" w:type="dxa"/>
              <w:left w:w="108" w:type="dxa"/>
              <w:bottom w:w="0" w:type="dxa"/>
              <w:right w:w="108" w:type="dxa"/>
            </w:tcMar>
            <w:vAlign w:val="center"/>
          </w:tcPr>
          <w:p w14:paraId="6EB3810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16,963.78</w:t>
            </w:r>
          </w:p>
        </w:tc>
        <w:tc>
          <w:tcPr>
            <w:tcW w:w="857" w:type="pct"/>
            <w:shd w:val="clear" w:color="auto" w:fill="auto"/>
            <w:tcMar>
              <w:top w:w="0" w:type="dxa"/>
              <w:left w:w="108" w:type="dxa"/>
              <w:bottom w:w="0" w:type="dxa"/>
              <w:right w:w="108" w:type="dxa"/>
            </w:tcMar>
            <w:vAlign w:val="center"/>
          </w:tcPr>
          <w:p w14:paraId="77691BD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50.77%</w:t>
            </w:r>
          </w:p>
        </w:tc>
      </w:tr>
      <w:tr w:rsidR="006416B0" w:rsidRPr="00B4515A" w14:paraId="52791585" w14:textId="77777777" w:rsidTr="00031627">
        <w:trPr>
          <w:trHeight w:val="340"/>
          <w:jc w:val="center"/>
        </w:trPr>
        <w:tc>
          <w:tcPr>
            <w:tcW w:w="1074" w:type="pct"/>
            <w:vMerge w:val="restart"/>
            <w:shd w:val="clear" w:color="auto" w:fill="auto"/>
            <w:tcMar>
              <w:top w:w="0" w:type="dxa"/>
              <w:left w:w="108" w:type="dxa"/>
              <w:bottom w:w="0" w:type="dxa"/>
              <w:right w:w="108" w:type="dxa"/>
            </w:tcMar>
            <w:vAlign w:val="center"/>
          </w:tcPr>
          <w:p w14:paraId="2E3A4B3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宽带移动安全应用</w:t>
            </w:r>
          </w:p>
        </w:tc>
        <w:tc>
          <w:tcPr>
            <w:tcW w:w="1041" w:type="pct"/>
            <w:shd w:val="clear" w:color="auto" w:fill="auto"/>
            <w:tcMar>
              <w:top w:w="0" w:type="dxa"/>
              <w:left w:w="108" w:type="dxa"/>
              <w:bottom w:w="0" w:type="dxa"/>
              <w:right w:w="108" w:type="dxa"/>
            </w:tcMar>
            <w:vAlign w:val="center"/>
          </w:tcPr>
          <w:p w14:paraId="0D6560E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技术服务收入</w:t>
            </w:r>
          </w:p>
        </w:tc>
        <w:tc>
          <w:tcPr>
            <w:tcW w:w="1073" w:type="pct"/>
            <w:shd w:val="clear" w:color="auto" w:fill="auto"/>
            <w:tcMar>
              <w:top w:w="0" w:type="dxa"/>
              <w:left w:w="108" w:type="dxa"/>
              <w:bottom w:w="0" w:type="dxa"/>
              <w:right w:w="108" w:type="dxa"/>
            </w:tcMar>
            <w:vAlign w:val="center"/>
          </w:tcPr>
          <w:p w14:paraId="0542DCB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78.71</w:t>
            </w:r>
          </w:p>
        </w:tc>
        <w:tc>
          <w:tcPr>
            <w:tcW w:w="955" w:type="pct"/>
            <w:shd w:val="clear" w:color="auto" w:fill="auto"/>
            <w:tcMar>
              <w:top w:w="0" w:type="dxa"/>
              <w:left w:w="108" w:type="dxa"/>
              <w:bottom w:w="0" w:type="dxa"/>
              <w:right w:w="108" w:type="dxa"/>
            </w:tcMar>
            <w:vAlign w:val="center"/>
          </w:tcPr>
          <w:p w14:paraId="711A938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49.47</w:t>
            </w:r>
          </w:p>
        </w:tc>
        <w:tc>
          <w:tcPr>
            <w:tcW w:w="857" w:type="pct"/>
            <w:shd w:val="clear" w:color="auto" w:fill="auto"/>
            <w:tcMar>
              <w:top w:w="0" w:type="dxa"/>
              <w:left w:w="108" w:type="dxa"/>
              <w:bottom w:w="0" w:type="dxa"/>
              <w:right w:w="108" w:type="dxa"/>
            </w:tcMar>
            <w:vAlign w:val="center"/>
          </w:tcPr>
          <w:p w14:paraId="23997DB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37.15%</w:t>
            </w:r>
          </w:p>
        </w:tc>
      </w:tr>
      <w:tr w:rsidR="006416B0" w:rsidRPr="00B4515A" w14:paraId="003899F0" w14:textId="77777777" w:rsidTr="00031627">
        <w:trPr>
          <w:trHeight w:val="340"/>
          <w:jc w:val="center"/>
        </w:trPr>
        <w:tc>
          <w:tcPr>
            <w:tcW w:w="1074" w:type="pct"/>
            <w:vMerge/>
            <w:tcMar>
              <w:top w:w="0" w:type="dxa"/>
              <w:left w:w="108" w:type="dxa"/>
              <w:bottom w:w="0" w:type="dxa"/>
              <w:right w:w="108" w:type="dxa"/>
            </w:tcMar>
            <w:vAlign w:val="center"/>
          </w:tcPr>
          <w:p w14:paraId="0A3B7E10"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275FF11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执勤保障</w:t>
            </w:r>
            <w:r w:rsidRPr="00B4515A">
              <w:rPr>
                <w:rFonts w:ascii="Times New Roman" w:eastAsiaTheme="minorEastAsia" w:hAnsi="Times New Roman" w:cs="Times New Roman"/>
                <w:color w:val="000000"/>
                <w:sz w:val="21"/>
                <w:szCs w:val="21"/>
              </w:rPr>
              <w:t>4G</w:t>
            </w:r>
            <w:r w:rsidRPr="00B4515A">
              <w:rPr>
                <w:rFonts w:ascii="Times New Roman" w:eastAsiaTheme="minorEastAsia" w:hAnsi="Times New Roman" w:cs="Times New Roman"/>
                <w:color w:val="000000"/>
                <w:sz w:val="21"/>
                <w:szCs w:val="21"/>
              </w:rPr>
              <w:t>产品</w:t>
            </w:r>
          </w:p>
        </w:tc>
        <w:tc>
          <w:tcPr>
            <w:tcW w:w="1073" w:type="pct"/>
            <w:shd w:val="clear" w:color="auto" w:fill="auto"/>
            <w:tcMar>
              <w:top w:w="0" w:type="dxa"/>
              <w:left w:w="108" w:type="dxa"/>
              <w:bottom w:w="0" w:type="dxa"/>
              <w:right w:w="108" w:type="dxa"/>
            </w:tcMar>
            <w:vAlign w:val="center"/>
          </w:tcPr>
          <w:p w14:paraId="26B20CC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2,713.53</w:t>
            </w:r>
          </w:p>
        </w:tc>
        <w:tc>
          <w:tcPr>
            <w:tcW w:w="955" w:type="pct"/>
            <w:shd w:val="clear" w:color="auto" w:fill="auto"/>
            <w:tcMar>
              <w:top w:w="0" w:type="dxa"/>
              <w:left w:w="108" w:type="dxa"/>
              <w:bottom w:w="0" w:type="dxa"/>
              <w:right w:w="108" w:type="dxa"/>
            </w:tcMar>
            <w:vAlign w:val="center"/>
          </w:tcPr>
          <w:p w14:paraId="17A0F1F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1,360.35</w:t>
            </w:r>
          </w:p>
        </w:tc>
        <w:tc>
          <w:tcPr>
            <w:tcW w:w="857" w:type="pct"/>
            <w:shd w:val="clear" w:color="auto" w:fill="auto"/>
            <w:tcMar>
              <w:top w:w="0" w:type="dxa"/>
              <w:left w:w="108" w:type="dxa"/>
              <w:bottom w:w="0" w:type="dxa"/>
              <w:right w:w="108" w:type="dxa"/>
            </w:tcMar>
            <w:vAlign w:val="center"/>
          </w:tcPr>
          <w:p w14:paraId="146EF84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49.87%</w:t>
            </w:r>
          </w:p>
        </w:tc>
      </w:tr>
      <w:tr w:rsidR="006416B0" w:rsidRPr="00B4515A" w14:paraId="63964ABE" w14:textId="77777777" w:rsidTr="00031627">
        <w:trPr>
          <w:trHeight w:val="340"/>
          <w:jc w:val="center"/>
        </w:trPr>
        <w:tc>
          <w:tcPr>
            <w:tcW w:w="1074" w:type="pct"/>
            <w:vMerge/>
            <w:tcMar>
              <w:top w:w="0" w:type="dxa"/>
              <w:left w:w="108" w:type="dxa"/>
              <w:bottom w:w="0" w:type="dxa"/>
              <w:right w:w="108" w:type="dxa"/>
            </w:tcMar>
            <w:vAlign w:val="center"/>
          </w:tcPr>
          <w:p w14:paraId="16763840"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50589B3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小计</w:t>
            </w:r>
          </w:p>
        </w:tc>
        <w:tc>
          <w:tcPr>
            <w:tcW w:w="1073" w:type="pct"/>
            <w:shd w:val="clear" w:color="auto" w:fill="auto"/>
            <w:tcMar>
              <w:top w:w="0" w:type="dxa"/>
              <w:left w:w="108" w:type="dxa"/>
              <w:bottom w:w="0" w:type="dxa"/>
              <w:right w:w="108" w:type="dxa"/>
            </w:tcMar>
            <w:vAlign w:val="center"/>
          </w:tcPr>
          <w:p w14:paraId="7248268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2,792.23</w:t>
            </w:r>
          </w:p>
        </w:tc>
        <w:tc>
          <w:tcPr>
            <w:tcW w:w="955" w:type="pct"/>
            <w:shd w:val="clear" w:color="auto" w:fill="auto"/>
            <w:tcMar>
              <w:top w:w="0" w:type="dxa"/>
              <w:left w:w="108" w:type="dxa"/>
              <w:bottom w:w="0" w:type="dxa"/>
              <w:right w:w="108" w:type="dxa"/>
            </w:tcMar>
            <w:vAlign w:val="center"/>
          </w:tcPr>
          <w:p w14:paraId="54FB751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1,409.82</w:t>
            </w:r>
          </w:p>
        </w:tc>
        <w:tc>
          <w:tcPr>
            <w:tcW w:w="857" w:type="pct"/>
            <w:shd w:val="clear" w:color="auto" w:fill="auto"/>
            <w:tcMar>
              <w:top w:w="0" w:type="dxa"/>
              <w:left w:w="108" w:type="dxa"/>
              <w:bottom w:w="0" w:type="dxa"/>
              <w:right w:w="108" w:type="dxa"/>
            </w:tcMar>
            <w:vAlign w:val="center"/>
          </w:tcPr>
          <w:p w14:paraId="4DC6ED9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49.51%</w:t>
            </w:r>
          </w:p>
        </w:tc>
      </w:tr>
      <w:tr w:rsidR="006416B0" w:rsidRPr="00B4515A" w14:paraId="642BC519" w14:textId="77777777" w:rsidTr="00031627">
        <w:trPr>
          <w:trHeight w:val="340"/>
          <w:jc w:val="center"/>
        </w:trPr>
        <w:tc>
          <w:tcPr>
            <w:tcW w:w="2114" w:type="pct"/>
            <w:gridSpan w:val="2"/>
            <w:shd w:val="clear" w:color="auto" w:fill="auto"/>
            <w:tcMar>
              <w:top w:w="0" w:type="dxa"/>
              <w:left w:w="108" w:type="dxa"/>
              <w:bottom w:w="0" w:type="dxa"/>
              <w:right w:w="108" w:type="dxa"/>
            </w:tcMar>
            <w:vAlign w:val="center"/>
          </w:tcPr>
          <w:p w14:paraId="17BE496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w:t>
            </w:r>
          </w:p>
        </w:tc>
        <w:tc>
          <w:tcPr>
            <w:tcW w:w="1073" w:type="pct"/>
            <w:shd w:val="clear" w:color="auto" w:fill="auto"/>
            <w:tcMar>
              <w:top w:w="0" w:type="dxa"/>
              <w:left w:w="108" w:type="dxa"/>
              <w:bottom w:w="0" w:type="dxa"/>
              <w:right w:w="108" w:type="dxa"/>
            </w:tcMar>
            <w:vAlign w:val="center"/>
          </w:tcPr>
          <w:p w14:paraId="7A12708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72.50</w:t>
            </w:r>
          </w:p>
        </w:tc>
        <w:tc>
          <w:tcPr>
            <w:tcW w:w="955" w:type="pct"/>
            <w:shd w:val="clear" w:color="auto" w:fill="auto"/>
            <w:tcMar>
              <w:top w:w="0" w:type="dxa"/>
              <w:left w:w="108" w:type="dxa"/>
              <w:bottom w:w="0" w:type="dxa"/>
              <w:right w:w="108" w:type="dxa"/>
            </w:tcMar>
            <w:vAlign w:val="center"/>
          </w:tcPr>
          <w:p w14:paraId="30738D7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53.63</w:t>
            </w:r>
          </w:p>
        </w:tc>
        <w:tc>
          <w:tcPr>
            <w:tcW w:w="857" w:type="pct"/>
            <w:shd w:val="clear" w:color="auto" w:fill="auto"/>
            <w:tcMar>
              <w:top w:w="0" w:type="dxa"/>
              <w:left w:w="108" w:type="dxa"/>
              <w:bottom w:w="0" w:type="dxa"/>
              <w:right w:w="108" w:type="dxa"/>
            </w:tcMar>
            <w:vAlign w:val="center"/>
          </w:tcPr>
          <w:p w14:paraId="5C05C38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26.03%</w:t>
            </w:r>
          </w:p>
        </w:tc>
      </w:tr>
      <w:tr w:rsidR="006416B0" w:rsidRPr="00B4515A" w14:paraId="31F5F701" w14:textId="77777777" w:rsidTr="00031627">
        <w:trPr>
          <w:trHeight w:val="340"/>
          <w:jc w:val="center"/>
        </w:trPr>
        <w:tc>
          <w:tcPr>
            <w:tcW w:w="2114" w:type="pct"/>
            <w:gridSpan w:val="2"/>
            <w:shd w:val="clear" w:color="auto" w:fill="auto"/>
            <w:tcMar>
              <w:top w:w="0" w:type="dxa"/>
              <w:left w:w="108" w:type="dxa"/>
              <w:bottom w:w="0" w:type="dxa"/>
              <w:right w:w="108" w:type="dxa"/>
            </w:tcMar>
            <w:vAlign w:val="center"/>
          </w:tcPr>
          <w:p w14:paraId="7E3537D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总计</w:t>
            </w:r>
          </w:p>
        </w:tc>
        <w:tc>
          <w:tcPr>
            <w:tcW w:w="1073" w:type="pct"/>
            <w:shd w:val="clear" w:color="auto" w:fill="auto"/>
            <w:tcMar>
              <w:top w:w="0" w:type="dxa"/>
              <w:left w:w="108" w:type="dxa"/>
              <w:bottom w:w="0" w:type="dxa"/>
              <w:right w:w="108" w:type="dxa"/>
            </w:tcMar>
            <w:vAlign w:val="center"/>
          </w:tcPr>
          <w:p w14:paraId="5AACBC5A"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55,282.98</w:t>
            </w:r>
          </w:p>
        </w:tc>
        <w:tc>
          <w:tcPr>
            <w:tcW w:w="955" w:type="pct"/>
            <w:shd w:val="clear" w:color="auto" w:fill="auto"/>
            <w:tcMar>
              <w:top w:w="0" w:type="dxa"/>
              <w:left w:w="108" w:type="dxa"/>
              <w:bottom w:w="0" w:type="dxa"/>
              <w:right w:w="108" w:type="dxa"/>
            </w:tcMar>
            <w:vAlign w:val="center"/>
          </w:tcPr>
          <w:p w14:paraId="2FC2A2D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28,085.97</w:t>
            </w:r>
          </w:p>
        </w:tc>
        <w:tc>
          <w:tcPr>
            <w:tcW w:w="857" w:type="pct"/>
            <w:shd w:val="clear" w:color="auto" w:fill="auto"/>
            <w:tcMar>
              <w:top w:w="0" w:type="dxa"/>
              <w:left w:w="108" w:type="dxa"/>
              <w:bottom w:w="0" w:type="dxa"/>
              <w:right w:w="108" w:type="dxa"/>
            </w:tcMar>
            <w:vAlign w:val="center"/>
          </w:tcPr>
          <w:p w14:paraId="58EDB2E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49.20%</w:t>
            </w:r>
          </w:p>
        </w:tc>
      </w:tr>
      <w:tr w:rsidR="006416B0" w:rsidRPr="00B4515A" w14:paraId="67A01576" w14:textId="77777777" w:rsidTr="00031627">
        <w:trPr>
          <w:trHeight w:val="340"/>
          <w:jc w:val="center"/>
        </w:trPr>
        <w:tc>
          <w:tcPr>
            <w:tcW w:w="1074" w:type="pct"/>
            <w:shd w:val="clear" w:color="auto" w:fill="auto"/>
            <w:tcMar>
              <w:top w:w="0" w:type="dxa"/>
              <w:left w:w="108" w:type="dxa"/>
              <w:bottom w:w="0" w:type="dxa"/>
              <w:right w:w="108" w:type="dxa"/>
            </w:tcMar>
            <w:vAlign w:val="center"/>
          </w:tcPr>
          <w:p w14:paraId="4411B116"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3926" w:type="pct"/>
            <w:gridSpan w:val="4"/>
            <w:shd w:val="clear" w:color="auto" w:fill="auto"/>
            <w:tcMar>
              <w:top w:w="0" w:type="dxa"/>
              <w:left w:w="108" w:type="dxa"/>
              <w:bottom w:w="0" w:type="dxa"/>
              <w:right w:w="108" w:type="dxa"/>
            </w:tcMar>
            <w:vAlign w:val="center"/>
          </w:tcPr>
          <w:p w14:paraId="75C37D05" w14:textId="77777777" w:rsidR="006416B0" w:rsidRPr="00B4515A" w:rsidRDefault="005E58C1" w:rsidP="005860B4">
            <w:pPr>
              <w:adjustRightInd w:val="0"/>
              <w:snapToGrid w:val="0"/>
              <w:jc w:val="right"/>
              <w:rPr>
                <w:rFonts w:ascii="Times New Roman" w:eastAsiaTheme="minorEastAsia" w:hAnsi="Times New Roman" w:cs="Times New Roman"/>
                <w:sz w:val="21"/>
                <w:szCs w:val="21"/>
              </w:rPr>
            </w:pPr>
            <w:r w:rsidRPr="00B4515A">
              <w:rPr>
                <w:rFonts w:ascii="Times New Roman" w:eastAsiaTheme="minorEastAsia" w:hAnsi="Times New Roman" w:cs="Times New Roman" w:hint="eastAsia"/>
                <w:sz w:val="21"/>
                <w:szCs w:val="21"/>
              </w:rPr>
              <w:t>单位：万元</w:t>
            </w:r>
          </w:p>
        </w:tc>
      </w:tr>
      <w:tr w:rsidR="006416B0" w:rsidRPr="00B4515A" w14:paraId="36D43D14" w14:textId="77777777" w:rsidTr="00031627">
        <w:trPr>
          <w:trHeight w:val="340"/>
          <w:jc w:val="center"/>
        </w:trPr>
        <w:tc>
          <w:tcPr>
            <w:tcW w:w="5000" w:type="pct"/>
            <w:gridSpan w:val="5"/>
            <w:shd w:val="clear" w:color="auto" w:fill="auto"/>
            <w:tcMar>
              <w:top w:w="0" w:type="dxa"/>
              <w:left w:w="108" w:type="dxa"/>
              <w:bottom w:w="0" w:type="dxa"/>
              <w:right w:w="108" w:type="dxa"/>
            </w:tcMar>
            <w:vAlign w:val="center"/>
          </w:tcPr>
          <w:p w14:paraId="03643865"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2021</w:t>
            </w:r>
            <w:r w:rsidRPr="00B4515A">
              <w:rPr>
                <w:rFonts w:ascii="Times New Roman" w:eastAsiaTheme="minorEastAsia" w:hAnsi="Times New Roman" w:cs="Times New Roman"/>
                <w:b/>
                <w:color w:val="000000"/>
                <w:sz w:val="21"/>
                <w:szCs w:val="21"/>
              </w:rPr>
              <w:t>年</w:t>
            </w:r>
            <w:r w:rsidRPr="00B4515A">
              <w:rPr>
                <w:rFonts w:ascii="Times New Roman" w:eastAsiaTheme="minorEastAsia" w:hAnsi="Times New Roman" w:cs="Times New Roman"/>
                <w:b/>
                <w:color w:val="000000"/>
                <w:sz w:val="21"/>
                <w:szCs w:val="21"/>
              </w:rPr>
              <w:t>1-4</w:t>
            </w:r>
            <w:r w:rsidRPr="00B4515A">
              <w:rPr>
                <w:rFonts w:ascii="Times New Roman" w:eastAsiaTheme="minorEastAsia" w:hAnsi="Times New Roman" w:cs="Times New Roman"/>
                <w:b/>
                <w:color w:val="000000"/>
                <w:sz w:val="21"/>
                <w:szCs w:val="21"/>
              </w:rPr>
              <w:t>月年年收入</w:t>
            </w:r>
            <w:r w:rsidRPr="00B4515A">
              <w:rPr>
                <w:rFonts w:ascii="Times New Roman" w:eastAsiaTheme="minorEastAsia" w:hAnsi="Times New Roman" w:cs="Times New Roman"/>
                <w:b/>
                <w:color w:val="000000"/>
                <w:sz w:val="21"/>
                <w:szCs w:val="21"/>
              </w:rPr>
              <w:t>\</w:t>
            </w:r>
            <w:r w:rsidRPr="00B4515A">
              <w:rPr>
                <w:rFonts w:ascii="Times New Roman" w:eastAsiaTheme="minorEastAsia" w:hAnsi="Times New Roman" w:cs="Times New Roman"/>
                <w:b/>
                <w:color w:val="000000"/>
                <w:sz w:val="21"/>
                <w:szCs w:val="21"/>
              </w:rPr>
              <w:t>成本分类明细</w:t>
            </w:r>
          </w:p>
        </w:tc>
      </w:tr>
      <w:tr w:rsidR="006416B0" w:rsidRPr="00B4515A" w14:paraId="5986D92E" w14:textId="77777777" w:rsidTr="00031627">
        <w:trPr>
          <w:trHeight w:val="340"/>
          <w:jc w:val="center"/>
        </w:trPr>
        <w:tc>
          <w:tcPr>
            <w:tcW w:w="1074" w:type="pct"/>
            <w:shd w:val="clear" w:color="auto" w:fill="auto"/>
            <w:tcMar>
              <w:top w:w="0" w:type="dxa"/>
              <w:left w:w="108" w:type="dxa"/>
              <w:bottom w:w="0" w:type="dxa"/>
              <w:right w:w="108" w:type="dxa"/>
            </w:tcMar>
            <w:vAlign w:val="center"/>
          </w:tcPr>
          <w:p w14:paraId="0737FF9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业务方向</w:t>
            </w:r>
          </w:p>
        </w:tc>
        <w:tc>
          <w:tcPr>
            <w:tcW w:w="1041" w:type="pct"/>
            <w:shd w:val="clear" w:color="auto" w:fill="auto"/>
            <w:tcMar>
              <w:top w:w="0" w:type="dxa"/>
              <w:left w:w="108" w:type="dxa"/>
              <w:bottom w:w="0" w:type="dxa"/>
              <w:right w:w="108" w:type="dxa"/>
            </w:tcMar>
            <w:vAlign w:val="center"/>
          </w:tcPr>
          <w:p w14:paraId="0A53DBE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收入类型</w:t>
            </w:r>
          </w:p>
        </w:tc>
        <w:tc>
          <w:tcPr>
            <w:tcW w:w="1073" w:type="pct"/>
            <w:shd w:val="clear" w:color="auto" w:fill="auto"/>
            <w:tcMar>
              <w:top w:w="0" w:type="dxa"/>
              <w:left w:w="108" w:type="dxa"/>
              <w:bottom w:w="0" w:type="dxa"/>
              <w:right w:w="108" w:type="dxa"/>
            </w:tcMar>
            <w:vAlign w:val="center"/>
          </w:tcPr>
          <w:p w14:paraId="4E2712C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收入</w:t>
            </w:r>
          </w:p>
        </w:tc>
        <w:tc>
          <w:tcPr>
            <w:tcW w:w="955" w:type="pct"/>
            <w:shd w:val="clear" w:color="auto" w:fill="auto"/>
            <w:tcMar>
              <w:top w:w="0" w:type="dxa"/>
              <w:left w:w="108" w:type="dxa"/>
              <w:bottom w:w="0" w:type="dxa"/>
              <w:right w:w="108" w:type="dxa"/>
            </w:tcMar>
            <w:vAlign w:val="center"/>
          </w:tcPr>
          <w:p w14:paraId="4C08B73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成本</w:t>
            </w:r>
          </w:p>
        </w:tc>
        <w:tc>
          <w:tcPr>
            <w:tcW w:w="857" w:type="pct"/>
            <w:shd w:val="clear" w:color="auto" w:fill="auto"/>
            <w:tcMar>
              <w:top w:w="0" w:type="dxa"/>
              <w:left w:w="108" w:type="dxa"/>
              <w:bottom w:w="0" w:type="dxa"/>
              <w:right w:w="108" w:type="dxa"/>
            </w:tcMar>
            <w:vAlign w:val="center"/>
          </w:tcPr>
          <w:p w14:paraId="056A493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毛利率</w:t>
            </w:r>
          </w:p>
        </w:tc>
      </w:tr>
      <w:tr w:rsidR="006416B0" w:rsidRPr="00B4515A" w14:paraId="15F22578" w14:textId="77777777" w:rsidTr="00031627">
        <w:trPr>
          <w:trHeight w:val="340"/>
          <w:jc w:val="center"/>
        </w:trPr>
        <w:tc>
          <w:tcPr>
            <w:tcW w:w="1074" w:type="pct"/>
            <w:vMerge w:val="restart"/>
            <w:shd w:val="clear" w:color="auto" w:fill="auto"/>
            <w:tcMar>
              <w:top w:w="0" w:type="dxa"/>
              <w:left w:w="108" w:type="dxa"/>
              <w:bottom w:w="0" w:type="dxa"/>
              <w:right w:w="108" w:type="dxa"/>
            </w:tcMar>
            <w:vAlign w:val="center"/>
          </w:tcPr>
          <w:p w14:paraId="2546A7A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w:t>
            </w:r>
            <w:r w:rsidRPr="00B4515A">
              <w:rPr>
                <w:rFonts w:ascii="Times New Roman" w:eastAsiaTheme="minorEastAsia" w:hAnsi="Times New Roman" w:cs="Times New Roman"/>
                <w:color w:val="000000"/>
                <w:sz w:val="21"/>
                <w:szCs w:val="21"/>
              </w:rPr>
              <w:t>用移动通信</w:t>
            </w:r>
          </w:p>
        </w:tc>
        <w:tc>
          <w:tcPr>
            <w:tcW w:w="1041" w:type="pct"/>
            <w:shd w:val="clear" w:color="auto" w:fill="auto"/>
            <w:tcMar>
              <w:top w:w="0" w:type="dxa"/>
              <w:left w:w="108" w:type="dxa"/>
              <w:bottom w:w="0" w:type="dxa"/>
              <w:right w:w="108" w:type="dxa"/>
            </w:tcMar>
            <w:vAlign w:val="center"/>
          </w:tcPr>
          <w:p w14:paraId="2299B73D"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4G</w:t>
            </w:r>
            <w:r w:rsidRPr="00B4515A">
              <w:rPr>
                <w:rFonts w:ascii="Times New Roman" w:eastAsiaTheme="minorEastAsia" w:hAnsi="Times New Roman" w:cs="Times New Roman"/>
                <w:color w:val="000000"/>
                <w:sz w:val="21"/>
                <w:szCs w:val="21"/>
              </w:rPr>
              <w:t>专网产品</w:t>
            </w:r>
          </w:p>
        </w:tc>
        <w:tc>
          <w:tcPr>
            <w:tcW w:w="1073" w:type="pct"/>
            <w:shd w:val="clear" w:color="auto" w:fill="auto"/>
            <w:tcMar>
              <w:top w:w="0" w:type="dxa"/>
              <w:left w:w="108" w:type="dxa"/>
              <w:bottom w:w="0" w:type="dxa"/>
              <w:right w:w="108" w:type="dxa"/>
            </w:tcMar>
            <w:vAlign w:val="center"/>
          </w:tcPr>
          <w:p w14:paraId="7E175A4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5,760.41</w:t>
            </w:r>
          </w:p>
        </w:tc>
        <w:tc>
          <w:tcPr>
            <w:tcW w:w="955" w:type="pct"/>
            <w:shd w:val="clear" w:color="auto" w:fill="auto"/>
            <w:tcMar>
              <w:top w:w="0" w:type="dxa"/>
              <w:left w:w="108" w:type="dxa"/>
              <w:bottom w:w="0" w:type="dxa"/>
              <w:right w:w="108" w:type="dxa"/>
            </w:tcMar>
            <w:vAlign w:val="center"/>
          </w:tcPr>
          <w:p w14:paraId="60EF3BB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2,532.33</w:t>
            </w:r>
          </w:p>
        </w:tc>
        <w:tc>
          <w:tcPr>
            <w:tcW w:w="857" w:type="pct"/>
            <w:shd w:val="clear" w:color="auto" w:fill="auto"/>
            <w:tcMar>
              <w:top w:w="0" w:type="dxa"/>
              <w:left w:w="108" w:type="dxa"/>
              <w:bottom w:w="0" w:type="dxa"/>
              <w:right w:w="108" w:type="dxa"/>
            </w:tcMar>
            <w:vAlign w:val="center"/>
          </w:tcPr>
          <w:p w14:paraId="54D1F6B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56.04%</w:t>
            </w:r>
          </w:p>
        </w:tc>
      </w:tr>
      <w:tr w:rsidR="006416B0" w:rsidRPr="00B4515A" w14:paraId="3466EEC2" w14:textId="77777777" w:rsidTr="00031627">
        <w:trPr>
          <w:trHeight w:val="340"/>
          <w:jc w:val="center"/>
        </w:trPr>
        <w:tc>
          <w:tcPr>
            <w:tcW w:w="1074" w:type="pct"/>
            <w:vMerge/>
            <w:tcMar>
              <w:top w:w="0" w:type="dxa"/>
              <w:left w:w="108" w:type="dxa"/>
              <w:bottom w:w="0" w:type="dxa"/>
              <w:right w:w="108" w:type="dxa"/>
            </w:tcMar>
            <w:vAlign w:val="center"/>
          </w:tcPr>
          <w:p w14:paraId="05942A6A"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202BD25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技术服务收入</w:t>
            </w:r>
          </w:p>
        </w:tc>
        <w:tc>
          <w:tcPr>
            <w:tcW w:w="1073" w:type="pct"/>
            <w:shd w:val="clear" w:color="auto" w:fill="auto"/>
            <w:tcMar>
              <w:top w:w="0" w:type="dxa"/>
              <w:left w:w="108" w:type="dxa"/>
              <w:bottom w:w="0" w:type="dxa"/>
              <w:right w:w="108" w:type="dxa"/>
            </w:tcMar>
            <w:vAlign w:val="center"/>
          </w:tcPr>
          <w:p w14:paraId="4C3219E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1,920.68</w:t>
            </w:r>
          </w:p>
        </w:tc>
        <w:tc>
          <w:tcPr>
            <w:tcW w:w="955" w:type="pct"/>
            <w:shd w:val="clear" w:color="auto" w:fill="auto"/>
            <w:tcMar>
              <w:top w:w="0" w:type="dxa"/>
              <w:left w:w="108" w:type="dxa"/>
              <w:bottom w:w="0" w:type="dxa"/>
              <w:right w:w="108" w:type="dxa"/>
            </w:tcMar>
            <w:vAlign w:val="center"/>
          </w:tcPr>
          <w:p w14:paraId="391927E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315.40</w:t>
            </w:r>
          </w:p>
        </w:tc>
        <w:tc>
          <w:tcPr>
            <w:tcW w:w="857" w:type="pct"/>
            <w:shd w:val="clear" w:color="auto" w:fill="auto"/>
            <w:tcMar>
              <w:top w:w="0" w:type="dxa"/>
              <w:left w:w="108" w:type="dxa"/>
              <w:bottom w:w="0" w:type="dxa"/>
              <w:right w:w="108" w:type="dxa"/>
            </w:tcMar>
            <w:vAlign w:val="center"/>
          </w:tcPr>
          <w:p w14:paraId="151DD45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83.58%</w:t>
            </w:r>
          </w:p>
        </w:tc>
      </w:tr>
      <w:tr w:rsidR="006416B0" w:rsidRPr="00B4515A" w14:paraId="18D0A225" w14:textId="77777777" w:rsidTr="00031627">
        <w:trPr>
          <w:trHeight w:val="340"/>
          <w:jc w:val="center"/>
        </w:trPr>
        <w:tc>
          <w:tcPr>
            <w:tcW w:w="1074" w:type="pct"/>
            <w:vMerge/>
            <w:tcMar>
              <w:top w:w="0" w:type="dxa"/>
              <w:left w:w="108" w:type="dxa"/>
              <w:bottom w:w="0" w:type="dxa"/>
              <w:right w:w="108" w:type="dxa"/>
            </w:tcMar>
            <w:vAlign w:val="center"/>
          </w:tcPr>
          <w:p w14:paraId="6BE25F51"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666F944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卫星通信终端</w:t>
            </w:r>
          </w:p>
        </w:tc>
        <w:tc>
          <w:tcPr>
            <w:tcW w:w="1073" w:type="pct"/>
            <w:shd w:val="clear" w:color="auto" w:fill="auto"/>
            <w:tcMar>
              <w:top w:w="0" w:type="dxa"/>
              <w:left w:w="108" w:type="dxa"/>
              <w:bottom w:w="0" w:type="dxa"/>
              <w:right w:w="108" w:type="dxa"/>
            </w:tcMar>
            <w:vAlign w:val="center"/>
          </w:tcPr>
          <w:p w14:paraId="6197FFF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31.13</w:t>
            </w:r>
          </w:p>
        </w:tc>
        <w:tc>
          <w:tcPr>
            <w:tcW w:w="955" w:type="pct"/>
            <w:shd w:val="clear" w:color="auto" w:fill="auto"/>
            <w:tcMar>
              <w:top w:w="0" w:type="dxa"/>
              <w:left w:w="108" w:type="dxa"/>
              <w:bottom w:w="0" w:type="dxa"/>
              <w:right w:w="108" w:type="dxa"/>
            </w:tcMar>
            <w:vAlign w:val="center"/>
          </w:tcPr>
          <w:p w14:paraId="1F44A6D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41.41</w:t>
            </w:r>
          </w:p>
        </w:tc>
        <w:tc>
          <w:tcPr>
            <w:tcW w:w="857" w:type="pct"/>
            <w:shd w:val="clear" w:color="auto" w:fill="auto"/>
            <w:tcMar>
              <w:top w:w="0" w:type="dxa"/>
              <w:left w:w="108" w:type="dxa"/>
              <w:bottom w:w="0" w:type="dxa"/>
              <w:right w:w="108" w:type="dxa"/>
            </w:tcMar>
            <w:vAlign w:val="center"/>
          </w:tcPr>
          <w:p w14:paraId="27C056D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-33.03%</w:t>
            </w:r>
          </w:p>
        </w:tc>
      </w:tr>
      <w:tr w:rsidR="006416B0" w:rsidRPr="00B4515A" w14:paraId="25C4E052" w14:textId="77777777" w:rsidTr="00031627">
        <w:trPr>
          <w:trHeight w:val="340"/>
          <w:jc w:val="center"/>
        </w:trPr>
        <w:tc>
          <w:tcPr>
            <w:tcW w:w="1074" w:type="pct"/>
            <w:vMerge/>
            <w:tcMar>
              <w:top w:w="0" w:type="dxa"/>
              <w:left w:w="108" w:type="dxa"/>
              <w:bottom w:w="0" w:type="dxa"/>
              <w:right w:w="108" w:type="dxa"/>
            </w:tcMar>
            <w:vAlign w:val="center"/>
          </w:tcPr>
          <w:p w14:paraId="16E91AB8"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07B2BDF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信号分析产品</w:t>
            </w:r>
          </w:p>
        </w:tc>
        <w:tc>
          <w:tcPr>
            <w:tcW w:w="1073" w:type="pct"/>
            <w:shd w:val="clear" w:color="auto" w:fill="auto"/>
            <w:tcMar>
              <w:top w:w="0" w:type="dxa"/>
              <w:left w:w="108" w:type="dxa"/>
              <w:bottom w:w="0" w:type="dxa"/>
              <w:right w:w="108" w:type="dxa"/>
            </w:tcMar>
            <w:vAlign w:val="center"/>
          </w:tcPr>
          <w:p w14:paraId="6F2D89C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38.65</w:t>
            </w:r>
          </w:p>
        </w:tc>
        <w:tc>
          <w:tcPr>
            <w:tcW w:w="955" w:type="pct"/>
            <w:shd w:val="clear" w:color="auto" w:fill="auto"/>
            <w:tcMar>
              <w:top w:w="0" w:type="dxa"/>
              <w:left w:w="108" w:type="dxa"/>
              <w:bottom w:w="0" w:type="dxa"/>
              <w:right w:w="108" w:type="dxa"/>
            </w:tcMar>
            <w:vAlign w:val="center"/>
          </w:tcPr>
          <w:p w14:paraId="410AD50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23.26</w:t>
            </w:r>
          </w:p>
        </w:tc>
        <w:tc>
          <w:tcPr>
            <w:tcW w:w="857" w:type="pct"/>
            <w:shd w:val="clear" w:color="auto" w:fill="auto"/>
            <w:tcMar>
              <w:top w:w="0" w:type="dxa"/>
              <w:left w:w="108" w:type="dxa"/>
              <w:bottom w:w="0" w:type="dxa"/>
              <w:right w:w="108" w:type="dxa"/>
            </w:tcMar>
            <w:vAlign w:val="center"/>
          </w:tcPr>
          <w:p w14:paraId="579C646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39.82%</w:t>
            </w:r>
          </w:p>
        </w:tc>
      </w:tr>
      <w:tr w:rsidR="006416B0" w:rsidRPr="00B4515A" w14:paraId="34A78DAC" w14:textId="77777777" w:rsidTr="00031627">
        <w:trPr>
          <w:trHeight w:val="340"/>
          <w:jc w:val="center"/>
        </w:trPr>
        <w:tc>
          <w:tcPr>
            <w:tcW w:w="1074" w:type="pct"/>
            <w:vMerge/>
            <w:tcMar>
              <w:top w:w="0" w:type="dxa"/>
              <w:left w:w="108" w:type="dxa"/>
              <w:bottom w:w="0" w:type="dxa"/>
              <w:right w:w="108" w:type="dxa"/>
            </w:tcMar>
            <w:vAlign w:val="center"/>
          </w:tcPr>
          <w:p w14:paraId="0CDE6AE8"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4BB7F3D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小计</w:t>
            </w:r>
          </w:p>
        </w:tc>
        <w:tc>
          <w:tcPr>
            <w:tcW w:w="1073" w:type="pct"/>
            <w:shd w:val="clear" w:color="auto" w:fill="auto"/>
            <w:tcMar>
              <w:top w:w="0" w:type="dxa"/>
              <w:left w:w="108" w:type="dxa"/>
              <w:bottom w:w="0" w:type="dxa"/>
              <w:right w:w="108" w:type="dxa"/>
            </w:tcMar>
            <w:vAlign w:val="center"/>
          </w:tcPr>
          <w:p w14:paraId="6B12435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7,750.86</w:t>
            </w:r>
          </w:p>
        </w:tc>
        <w:tc>
          <w:tcPr>
            <w:tcW w:w="955" w:type="pct"/>
            <w:shd w:val="clear" w:color="auto" w:fill="auto"/>
            <w:tcMar>
              <w:top w:w="0" w:type="dxa"/>
              <w:left w:w="108" w:type="dxa"/>
              <w:bottom w:w="0" w:type="dxa"/>
              <w:right w:w="108" w:type="dxa"/>
            </w:tcMar>
            <w:vAlign w:val="center"/>
          </w:tcPr>
          <w:p w14:paraId="36AF32D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2,912.40</w:t>
            </w:r>
          </w:p>
        </w:tc>
        <w:tc>
          <w:tcPr>
            <w:tcW w:w="857" w:type="pct"/>
            <w:shd w:val="clear" w:color="auto" w:fill="auto"/>
            <w:tcMar>
              <w:top w:w="0" w:type="dxa"/>
              <w:left w:w="108" w:type="dxa"/>
              <w:bottom w:w="0" w:type="dxa"/>
              <w:right w:w="108" w:type="dxa"/>
            </w:tcMar>
            <w:vAlign w:val="center"/>
          </w:tcPr>
          <w:p w14:paraId="7A3DEC8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62.42%</w:t>
            </w:r>
          </w:p>
        </w:tc>
      </w:tr>
      <w:tr w:rsidR="006416B0" w:rsidRPr="00B4515A" w14:paraId="02B5B37A" w14:textId="77777777" w:rsidTr="00031627">
        <w:trPr>
          <w:trHeight w:val="340"/>
          <w:jc w:val="center"/>
        </w:trPr>
        <w:tc>
          <w:tcPr>
            <w:tcW w:w="1074" w:type="pct"/>
            <w:vMerge w:val="restart"/>
            <w:shd w:val="clear" w:color="auto" w:fill="auto"/>
            <w:tcMar>
              <w:top w:w="0" w:type="dxa"/>
              <w:left w:w="108" w:type="dxa"/>
              <w:bottom w:w="0" w:type="dxa"/>
              <w:right w:w="108" w:type="dxa"/>
            </w:tcMar>
            <w:vAlign w:val="center"/>
          </w:tcPr>
          <w:p w14:paraId="1AF2D3E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w:t>
            </w:r>
            <w:r w:rsidRPr="00B4515A">
              <w:rPr>
                <w:rFonts w:ascii="Times New Roman" w:eastAsiaTheme="minorEastAsia" w:hAnsi="Times New Roman" w:cs="Times New Roman"/>
                <w:color w:val="000000"/>
                <w:sz w:val="21"/>
                <w:szCs w:val="21"/>
              </w:rPr>
              <w:t>用宽带电台</w:t>
            </w:r>
          </w:p>
        </w:tc>
        <w:tc>
          <w:tcPr>
            <w:tcW w:w="1041" w:type="pct"/>
            <w:shd w:val="clear" w:color="auto" w:fill="auto"/>
            <w:tcMar>
              <w:top w:w="0" w:type="dxa"/>
              <w:left w:w="108" w:type="dxa"/>
              <w:bottom w:w="0" w:type="dxa"/>
              <w:right w:w="108" w:type="dxa"/>
            </w:tcMar>
            <w:vAlign w:val="center"/>
          </w:tcPr>
          <w:p w14:paraId="70B9202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技术服务收入</w:t>
            </w:r>
          </w:p>
        </w:tc>
        <w:tc>
          <w:tcPr>
            <w:tcW w:w="1073" w:type="pct"/>
            <w:shd w:val="clear" w:color="auto" w:fill="auto"/>
            <w:tcMar>
              <w:top w:w="0" w:type="dxa"/>
              <w:left w:w="108" w:type="dxa"/>
              <w:bottom w:w="0" w:type="dxa"/>
              <w:right w:w="108" w:type="dxa"/>
            </w:tcMar>
            <w:vAlign w:val="center"/>
          </w:tcPr>
          <w:p w14:paraId="0912ADE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1,004.46</w:t>
            </w:r>
          </w:p>
        </w:tc>
        <w:tc>
          <w:tcPr>
            <w:tcW w:w="955" w:type="pct"/>
            <w:shd w:val="clear" w:color="auto" w:fill="auto"/>
            <w:tcMar>
              <w:top w:w="0" w:type="dxa"/>
              <w:left w:w="108" w:type="dxa"/>
              <w:bottom w:w="0" w:type="dxa"/>
              <w:right w:w="108" w:type="dxa"/>
            </w:tcMar>
            <w:vAlign w:val="center"/>
          </w:tcPr>
          <w:p w14:paraId="2CA6C3B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354.69</w:t>
            </w:r>
          </w:p>
        </w:tc>
        <w:tc>
          <w:tcPr>
            <w:tcW w:w="857" w:type="pct"/>
            <w:shd w:val="clear" w:color="auto" w:fill="auto"/>
            <w:tcMar>
              <w:top w:w="0" w:type="dxa"/>
              <w:left w:w="108" w:type="dxa"/>
              <w:bottom w:w="0" w:type="dxa"/>
              <w:right w:w="108" w:type="dxa"/>
            </w:tcMar>
            <w:vAlign w:val="center"/>
          </w:tcPr>
          <w:p w14:paraId="14AE6DC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64.69%</w:t>
            </w:r>
          </w:p>
        </w:tc>
      </w:tr>
      <w:tr w:rsidR="006416B0" w:rsidRPr="00B4515A" w14:paraId="59666A8D" w14:textId="77777777" w:rsidTr="00031627">
        <w:trPr>
          <w:trHeight w:val="340"/>
          <w:jc w:val="center"/>
        </w:trPr>
        <w:tc>
          <w:tcPr>
            <w:tcW w:w="1074" w:type="pct"/>
            <w:vMerge/>
            <w:tcMar>
              <w:top w:w="0" w:type="dxa"/>
              <w:left w:w="108" w:type="dxa"/>
              <w:bottom w:w="0" w:type="dxa"/>
              <w:right w:w="108" w:type="dxa"/>
            </w:tcMar>
            <w:vAlign w:val="center"/>
          </w:tcPr>
          <w:p w14:paraId="0FB2F670"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5FA4D31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专用数据链产品</w:t>
            </w:r>
          </w:p>
        </w:tc>
        <w:tc>
          <w:tcPr>
            <w:tcW w:w="1073" w:type="pct"/>
            <w:shd w:val="clear" w:color="auto" w:fill="auto"/>
            <w:tcMar>
              <w:top w:w="0" w:type="dxa"/>
              <w:left w:w="108" w:type="dxa"/>
              <w:bottom w:w="0" w:type="dxa"/>
              <w:right w:w="108" w:type="dxa"/>
            </w:tcMar>
            <w:vAlign w:val="center"/>
          </w:tcPr>
          <w:p w14:paraId="5144321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3,605.09</w:t>
            </w:r>
          </w:p>
        </w:tc>
        <w:tc>
          <w:tcPr>
            <w:tcW w:w="955" w:type="pct"/>
            <w:shd w:val="clear" w:color="auto" w:fill="auto"/>
            <w:tcMar>
              <w:top w:w="0" w:type="dxa"/>
              <w:left w:w="108" w:type="dxa"/>
              <w:bottom w:w="0" w:type="dxa"/>
              <w:right w:w="108" w:type="dxa"/>
            </w:tcMar>
            <w:vAlign w:val="center"/>
          </w:tcPr>
          <w:p w14:paraId="4042706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1,398.01</w:t>
            </w:r>
          </w:p>
        </w:tc>
        <w:tc>
          <w:tcPr>
            <w:tcW w:w="857" w:type="pct"/>
            <w:shd w:val="clear" w:color="auto" w:fill="auto"/>
            <w:tcMar>
              <w:top w:w="0" w:type="dxa"/>
              <w:left w:w="108" w:type="dxa"/>
              <w:bottom w:w="0" w:type="dxa"/>
              <w:right w:w="108" w:type="dxa"/>
            </w:tcMar>
            <w:vAlign w:val="center"/>
          </w:tcPr>
          <w:p w14:paraId="4FDFD7C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61.22%</w:t>
            </w:r>
          </w:p>
        </w:tc>
      </w:tr>
      <w:tr w:rsidR="006416B0" w:rsidRPr="00B4515A" w14:paraId="3D022B70" w14:textId="77777777" w:rsidTr="00031627">
        <w:trPr>
          <w:trHeight w:val="340"/>
          <w:jc w:val="center"/>
        </w:trPr>
        <w:tc>
          <w:tcPr>
            <w:tcW w:w="1074" w:type="pct"/>
            <w:vMerge/>
            <w:tcMar>
              <w:top w:w="0" w:type="dxa"/>
              <w:left w:w="108" w:type="dxa"/>
              <w:bottom w:w="0" w:type="dxa"/>
              <w:right w:w="108" w:type="dxa"/>
            </w:tcMar>
            <w:vAlign w:val="center"/>
          </w:tcPr>
          <w:p w14:paraId="49127AF7"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6504241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专用通信终端</w:t>
            </w:r>
          </w:p>
        </w:tc>
        <w:tc>
          <w:tcPr>
            <w:tcW w:w="1073" w:type="pct"/>
            <w:shd w:val="clear" w:color="auto" w:fill="auto"/>
            <w:tcMar>
              <w:top w:w="0" w:type="dxa"/>
              <w:left w:w="108" w:type="dxa"/>
              <w:bottom w:w="0" w:type="dxa"/>
              <w:right w:w="108" w:type="dxa"/>
            </w:tcMar>
            <w:vAlign w:val="center"/>
          </w:tcPr>
          <w:p w14:paraId="6AE9F97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168.68</w:t>
            </w:r>
          </w:p>
        </w:tc>
        <w:tc>
          <w:tcPr>
            <w:tcW w:w="955" w:type="pct"/>
            <w:shd w:val="clear" w:color="auto" w:fill="auto"/>
            <w:tcMar>
              <w:top w:w="0" w:type="dxa"/>
              <w:left w:w="108" w:type="dxa"/>
              <w:bottom w:w="0" w:type="dxa"/>
              <w:right w:w="108" w:type="dxa"/>
            </w:tcMar>
            <w:vAlign w:val="center"/>
          </w:tcPr>
          <w:p w14:paraId="2D15673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113.80</w:t>
            </w:r>
          </w:p>
        </w:tc>
        <w:tc>
          <w:tcPr>
            <w:tcW w:w="857" w:type="pct"/>
            <w:shd w:val="clear" w:color="auto" w:fill="auto"/>
            <w:tcMar>
              <w:top w:w="0" w:type="dxa"/>
              <w:left w:w="108" w:type="dxa"/>
              <w:bottom w:w="0" w:type="dxa"/>
              <w:right w:w="108" w:type="dxa"/>
            </w:tcMar>
            <w:vAlign w:val="center"/>
          </w:tcPr>
          <w:p w14:paraId="29264A6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32.53%</w:t>
            </w:r>
          </w:p>
        </w:tc>
      </w:tr>
      <w:tr w:rsidR="006416B0" w:rsidRPr="00B4515A" w14:paraId="61C89BAB" w14:textId="77777777" w:rsidTr="00031627">
        <w:trPr>
          <w:trHeight w:val="340"/>
          <w:jc w:val="center"/>
        </w:trPr>
        <w:tc>
          <w:tcPr>
            <w:tcW w:w="1074" w:type="pct"/>
            <w:vMerge/>
            <w:tcMar>
              <w:top w:w="0" w:type="dxa"/>
              <w:left w:w="108" w:type="dxa"/>
              <w:bottom w:w="0" w:type="dxa"/>
              <w:right w:w="108" w:type="dxa"/>
            </w:tcMar>
            <w:vAlign w:val="center"/>
          </w:tcPr>
          <w:p w14:paraId="17493A7C"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6F5575D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小计</w:t>
            </w:r>
          </w:p>
        </w:tc>
        <w:tc>
          <w:tcPr>
            <w:tcW w:w="1073" w:type="pct"/>
            <w:shd w:val="clear" w:color="auto" w:fill="auto"/>
            <w:tcMar>
              <w:top w:w="0" w:type="dxa"/>
              <w:left w:w="108" w:type="dxa"/>
              <w:bottom w:w="0" w:type="dxa"/>
              <w:right w:w="108" w:type="dxa"/>
            </w:tcMar>
            <w:vAlign w:val="center"/>
          </w:tcPr>
          <w:p w14:paraId="3C97C92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4,778.23</w:t>
            </w:r>
          </w:p>
        </w:tc>
        <w:tc>
          <w:tcPr>
            <w:tcW w:w="955" w:type="pct"/>
            <w:shd w:val="clear" w:color="auto" w:fill="auto"/>
            <w:tcMar>
              <w:top w:w="0" w:type="dxa"/>
              <w:left w:w="108" w:type="dxa"/>
              <w:bottom w:w="0" w:type="dxa"/>
              <w:right w:w="108" w:type="dxa"/>
            </w:tcMar>
            <w:vAlign w:val="center"/>
          </w:tcPr>
          <w:p w14:paraId="260C884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1,866.50</w:t>
            </w:r>
          </w:p>
        </w:tc>
        <w:tc>
          <w:tcPr>
            <w:tcW w:w="857" w:type="pct"/>
            <w:shd w:val="clear" w:color="auto" w:fill="auto"/>
            <w:tcMar>
              <w:top w:w="0" w:type="dxa"/>
              <w:left w:w="108" w:type="dxa"/>
              <w:bottom w:w="0" w:type="dxa"/>
              <w:right w:w="108" w:type="dxa"/>
            </w:tcMar>
            <w:vAlign w:val="center"/>
          </w:tcPr>
          <w:p w14:paraId="49D3EA1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60.94%</w:t>
            </w:r>
          </w:p>
        </w:tc>
      </w:tr>
      <w:tr w:rsidR="006416B0" w:rsidRPr="00B4515A" w14:paraId="11B56AD7" w14:textId="77777777" w:rsidTr="00031627">
        <w:trPr>
          <w:trHeight w:val="340"/>
          <w:jc w:val="center"/>
        </w:trPr>
        <w:tc>
          <w:tcPr>
            <w:tcW w:w="1074" w:type="pct"/>
            <w:vMerge w:val="restart"/>
            <w:shd w:val="clear" w:color="auto" w:fill="auto"/>
            <w:tcMar>
              <w:top w:w="0" w:type="dxa"/>
              <w:left w:w="108" w:type="dxa"/>
              <w:bottom w:w="0" w:type="dxa"/>
              <w:right w:w="108" w:type="dxa"/>
            </w:tcMar>
            <w:vAlign w:val="center"/>
          </w:tcPr>
          <w:p w14:paraId="6808E01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宽带移动安全应用</w:t>
            </w:r>
          </w:p>
        </w:tc>
        <w:tc>
          <w:tcPr>
            <w:tcW w:w="1041" w:type="pct"/>
            <w:shd w:val="clear" w:color="auto" w:fill="auto"/>
            <w:tcMar>
              <w:top w:w="0" w:type="dxa"/>
              <w:left w:w="108" w:type="dxa"/>
              <w:bottom w:w="0" w:type="dxa"/>
              <w:right w:w="108" w:type="dxa"/>
            </w:tcMar>
            <w:vAlign w:val="center"/>
          </w:tcPr>
          <w:p w14:paraId="378A8F1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执勤保障</w:t>
            </w:r>
            <w:r w:rsidRPr="00B4515A">
              <w:rPr>
                <w:rFonts w:ascii="Times New Roman" w:eastAsiaTheme="minorEastAsia" w:hAnsi="Times New Roman" w:cs="Times New Roman"/>
                <w:color w:val="000000"/>
                <w:sz w:val="21"/>
                <w:szCs w:val="21"/>
              </w:rPr>
              <w:t>4G</w:t>
            </w:r>
            <w:r w:rsidRPr="00B4515A">
              <w:rPr>
                <w:rFonts w:ascii="Times New Roman" w:eastAsiaTheme="minorEastAsia" w:hAnsi="Times New Roman" w:cs="Times New Roman"/>
                <w:color w:val="000000"/>
                <w:sz w:val="21"/>
                <w:szCs w:val="21"/>
              </w:rPr>
              <w:t>产品</w:t>
            </w:r>
          </w:p>
        </w:tc>
        <w:tc>
          <w:tcPr>
            <w:tcW w:w="1073" w:type="pct"/>
            <w:shd w:val="clear" w:color="auto" w:fill="auto"/>
            <w:tcMar>
              <w:top w:w="0" w:type="dxa"/>
              <w:left w:w="108" w:type="dxa"/>
              <w:bottom w:w="0" w:type="dxa"/>
              <w:right w:w="108" w:type="dxa"/>
            </w:tcMar>
            <w:vAlign w:val="center"/>
          </w:tcPr>
          <w:p w14:paraId="599FC43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228.56</w:t>
            </w:r>
          </w:p>
        </w:tc>
        <w:tc>
          <w:tcPr>
            <w:tcW w:w="955" w:type="pct"/>
            <w:shd w:val="clear" w:color="auto" w:fill="auto"/>
            <w:tcMar>
              <w:top w:w="0" w:type="dxa"/>
              <w:left w:w="108" w:type="dxa"/>
              <w:bottom w:w="0" w:type="dxa"/>
              <w:right w:w="108" w:type="dxa"/>
            </w:tcMar>
            <w:vAlign w:val="center"/>
          </w:tcPr>
          <w:p w14:paraId="6138270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248.75</w:t>
            </w:r>
          </w:p>
        </w:tc>
        <w:tc>
          <w:tcPr>
            <w:tcW w:w="857" w:type="pct"/>
            <w:shd w:val="clear" w:color="auto" w:fill="auto"/>
            <w:tcMar>
              <w:top w:w="0" w:type="dxa"/>
              <w:left w:w="108" w:type="dxa"/>
              <w:bottom w:w="0" w:type="dxa"/>
              <w:right w:w="108" w:type="dxa"/>
            </w:tcMar>
            <w:vAlign w:val="center"/>
          </w:tcPr>
          <w:p w14:paraId="423F4E8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-8.83%</w:t>
            </w:r>
          </w:p>
        </w:tc>
      </w:tr>
      <w:tr w:rsidR="006416B0" w:rsidRPr="00B4515A" w14:paraId="7CE37824" w14:textId="77777777" w:rsidTr="00031627">
        <w:trPr>
          <w:trHeight w:val="340"/>
          <w:jc w:val="center"/>
        </w:trPr>
        <w:tc>
          <w:tcPr>
            <w:tcW w:w="1074" w:type="pct"/>
            <w:vMerge/>
            <w:tcMar>
              <w:top w:w="0" w:type="dxa"/>
              <w:left w:w="108" w:type="dxa"/>
              <w:bottom w:w="0" w:type="dxa"/>
              <w:right w:w="108" w:type="dxa"/>
            </w:tcMar>
            <w:vAlign w:val="center"/>
          </w:tcPr>
          <w:p w14:paraId="77D077FE"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41" w:type="pct"/>
            <w:shd w:val="clear" w:color="auto" w:fill="auto"/>
            <w:tcMar>
              <w:top w:w="0" w:type="dxa"/>
              <w:left w:w="108" w:type="dxa"/>
              <w:bottom w:w="0" w:type="dxa"/>
              <w:right w:w="108" w:type="dxa"/>
            </w:tcMar>
            <w:vAlign w:val="center"/>
          </w:tcPr>
          <w:p w14:paraId="13984CD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小计</w:t>
            </w:r>
          </w:p>
        </w:tc>
        <w:tc>
          <w:tcPr>
            <w:tcW w:w="1073" w:type="pct"/>
            <w:shd w:val="clear" w:color="auto" w:fill="auto"/>
            <w:tcMar>
              <w:top w:w="0" w:type="dxa"/>
              <w:left w:w="108" w:type="dxa"/>
              <w:bottom w:w="0" w:type="dxa"/>
              <w:right w:w="108" w:type="dxa"/>
            </w:tcMar>
            <w:vAlign w:val="center"/>
          </w:tcPr>
          <w:p w14:paraId="54C816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228.56</w:t>
            </w:r>
          </w:p>
        </w:tc>
        <w:tc>
          <w:tcPr>
            <w:tcW w:w="955" w:type="pct"/>
            <w:shd w:val="clear" w:color="auto" w:fill="auto"/>
            <w:tcMar>
              <w:top w:w="0" w:type="dxa"/>
              <w:left w:w="108" w:type="dxa"/>
              <w:bottom w:w="0" w:type="dxa"/>
              <w:right w:w="108" w:type="dxa"/>
            </w:tcMar>
            <w:vAlign w:val="center"/>
          </w:tcPr>
          <w:p w14:paraId="1B1D339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248.75</w:t>
            </w:r>
          </w:p>
        </w:tc>
        <w:tc>
          <w:tcPr>
            <w:tcW w:w="857" w:type="pct"/>
            <w:shd w:val="clear" w:color="auto" w:fill="auto"/>
            <w:tcMar>
              <w:top w:w="0" w:type="dxa"/>
              <w:left w:w="108" w:type="dxa"/>
              <w:bottom w:w="0" w:type="dxa"/>
              <w:right w:w="108" w:type="dxa"/>
            </w:tcMar>
            <w:vAlign w:val="center"/>
          </w:tcPr>
          <w:p w14:paraId="4A50128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-8.83%</w:t>
            </w:r>
          </w:p>
        </w:tc>
      </w:tr>
      <w:tr w:rsidR="006416B0" w:rsidRPr="00B4515A" w14:paraId="512735E1" w14:textId="77777777" w:rsidTr="00031627">
        <w:trPr>
          <w:trHeight w:val="340"/>
          <w:jc w:val="center"/>
        </w:trPr>
        <w:tc>
          <w:tcPr>
            <w:tcW w:w="2114" w:type="pct"/>
            <w:gridSpan w:val="2"/>
            <w:shd w:val="clear" w:color="auto" w:fill="auto"/>
            <w:tcMar>
              <w:top w:w="0" w:type="dxa"/>
              <w:left w:w="108" w:type="dxa"/>
              <w:bottom w:w="0" w:type="dxa"/>
              <w:right w:w="108" w:type="dxa"/>
            </w:tcMar>
            <w:vAlign w:val="center"/>
          </w:tcPr>
          <w:p w14:paraId="3D84F8A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w:t>
            </w:r>
          </w:p>
        </w:tc>
        <w:tc>
          <w:tcPr>
            <w:tcW w:w="1073" w:type="pct"/>
            <w:shd w:val="clear" w:color="auto" w:fill="auto"/>
            <w:tcMar>
              <w:top w:w="0" w:type="dxa"/>
              <w:left w:w="108" w:type="dxa"/>
              <w:bottom w:w="0" w:type="dxa"/>
              <w:right w:w="108" w:type="dxa"/>
            </w:tcMar>
            <w:vAlign w:val="center"/>
          </w:tcPr>
          <w:p w14:paraId="31434CE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1.14</w:t>
            </w:r>
          </w:p>
        </w:tc>
        <w:tc>
          <w:tcPr>
            <w:tcW w:w="955" w:type="pct"/>
            <w:shd w:val="clear" w:color="auto" w:fill="auto"/>
            <w:tcMar>
              <w:top w:w="0" w:type="dxa"/>
              <w:left w:w="108" w:type="dxa"/>
              <w:bottom w:w="0" w:type="dxa"/>
              <w:right w:w="108" w:type="dxa"/>
            </w:tcMar>
            <w:vAlign w:val="center"/>
          </w:tcPr>
          <w:p w14:paraId="7DEACD0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857" w:type="pct"/>
            <w:shd w:val="clear" w:color="auto" w:fill="auto"/>
            <w:tcMar>
              <w:top w:w="0" w:type="dxa"/>
              <w:left w:w="108" w:type="dxa"/>
              <w:bottom w:w="0" w:type="dxa"/>
              <w:right w:w="108" w:type="dxa"/>
            </w:tcMar>
            <w:vAlign w:val="center"/>
          </w:tcPr>
          <w:p w14:paraId="33C96B5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r>
      <w:tr w:rsidR="006416B0" w:rsidRPr="00B4515A" w14:paraId="40106423" w14:textId="77777777" w:rsidTr="00031627">
        <w:trPr>
          <w:trHeight w:val="340"/>
          <w:jc w:val="center"/>
        </w:trPr>
        <w:tc>
          <w:tcPr>
            <w:tcW w:w="2114" w:type="pct"/>
            <w:gridSpan w:val="2"/>
            <w:shd w:val="clear" w:color="auto" w:fill="auto"/>
            <w:tcMar>
              <w:top w:w="0" w:type="dxa"/>
              <w:left w:w="108" w:type="dxa"/>
              <w:bottom w:w="0" w:type="dxa"/>
              <w:right w:w="108" w:type="dxa"/>
            </w:tcMar>
            <w:vAlign w:val="center"/>
          </w:tcPr>
          <w:p w14:paraId="684AD3B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总计</w:t>
            </w:r>
          </w:p>
        </w:tc>
        <w:tc>
          <w:tcPr>
            <w:tcW w:w="1073" w:type="pct"/>
            <w:shd w:val="clear" w:color="auto" w:fill="auto"/>
            <w:tcMar>
              <w:top w:w="0" w:type="dxa"/>
              <w:left w:w="108" w:type="dxa"/>
              <w:bottom w:w="0" w:type="dxa"/>
              <w:right w:w="108" w:type="dxa"/>
            </w:tcMar>
            <w:vAlign w:val="center"/>
          </w:tcPr>
          <w:p w14:paraId="19A8678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12,758.79</w:t>
            </w:r>
          </w:p>
        </w:tc>
        <w:tc>
          <w:tcPr>
            <w:tcW w:w="955" w:type="pct"/>
            <w:shd w:val="clear" w:color="auto" w:fill="auto"/>
            <w:tcMar>
              <w:top w:w="0" w:type="dxa"/>
              <w:left w:w="108" w:type="dxa"/>
              <w:bottom w:w="0" w:type="dxa"/>
              <w:right w:w="108" w:type="dxa"/>
            </w:tcMar>
            <w:vAlign w:val="center"/>
          </w:tcPr>
          <w:p w14:paraId="6C975B6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5,027.65</w:t>
            </w:r>
          </w:p>
        </w:tc>
        <w:tc>
          <w:tcPr>
            <w:tcW w:w="857" w:type="pct"/>
            <w:shd w:val="clear" w:color="auto" w:fill="auto"/>
            <w:tcMar>
              <w:top w:w="0" w:type="dxa"/>
              <w:left w:w="108" w:type="dxa"/>
              <w:bottom w:w="0" w:type="dxa"/>
              <w:right w:w="108" w:type="dxa"/>
            </w:tcMar>
            <w:vAlign w:val="center"/>
          </w:tcPr>
          <w:p w14:paraId="059BAB8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60.59%</w:t>
            </w:r>
          </w:p>
        </w:tc>
      </w:tr>
    </w:tbl>
    <w:p w14:paraId="4FDE637D" w14:textId="77777777" w:rsidR="006416B0" w:rsidRPr="00B4515A" w:rsidRDefault="005E58C1" w:rsidP="003357B7">
      <w:pPr>
        <w:pStyle w:val="005"/>
        <w:spacing w:before="120" w:after="120"/>
        <w:ind w:firstLine="480"/>
      </w:pPr>
      <w:r w:rsidRPr="00B4515A">
        <w:rPr>
          <w:rFonts w:hint="eastAsia"/>
        </w:rPr>
        <w:t>报告期内，大唐联诚主营业务收入主要来自</w:t>
      </w:r>
      <w:r w:rsidRPr="00B4515A">
        <w:rPr>
          <w:color w:val="000000"/>
        </w:rPr>
        <w:t>专用移动通信</w:t>
      </w:r>
      <w:r w:rsidRPr="00B4515A">
        <w:rPr>
          <w:rFonts w:hint="eastAsia"/>
        </w:rPr>
        <w:t>业务、</w:t>
      </w:r>
      <w:r w:rsidRPr="00B4515A">
        <w:rPr>
          <w:color w:val="000000"/>
        </w:rPr>
        <w:t>专用宽带电台</w:t>
      </w:r>
      <w:r w:rsidRPr="00B4515A">
        <w:rPr>
          <w:rFonts w:hint="eastAsia"/>
        </w:rPr>
        <w:t>业务、</w:t>
      </w:r>
      <w:r w:rsidRPr="00B4515A">
        <w:rPr>
          <w:color w:val="000000"/>
        </w:rPr>
        <w:t>宽带移动安全应用</w:t>
      </w:r>
      <w:r w:rsidRPr="00B4515A">
        <w:rPr>
          <w:rFonts w:hint="eastAsia"/>
        </w:rPr>
        <w:t>业务。大唐联诚</w:t>
      </w:r>
      <w:r w:rsidRPr="00B4515A">
        <w:t>2020</w:t>
      </w:r>
      <w:r w:rsidRPr="00B4515A">
        <w:rPr>
          <w:rFonts w:hint="eastAsia"/>
        </w:rPr>
        <w:t>年主营业务收入较</w:t>
      </w:r>
      <w:r w:rsidRPr="00B4515A">
        <w:t>2019</w:t>
      </w:r>
      <w:r w:rsidRPr="00B4515A">
        <w:rPr>
          <w:rFonts w:hint="eastAsia"/>
        </w:rPr>
        <w:t>年增长</w:t>
      </w:r>
      <w:r w:rsidRPr="00B4515A">
        <w:t>50.69%</w:t>
      </w:r>
      <w:r w:rsidRPr="00B4515A">
        <w:rPr>
          <w:rFonts w:hint="eastAsia"/>
        </w:rPr>
        <w:t>，主要系专用移动通信、专用宽带电台业务规模增长所致。</w:t>
      </w:r>
    </w:p>
    <w:p w14:paraId="219B84E9" w14:textId="77777777" w:rsidR="006416B0" w:rsidRPr="00B4515A" w:rsidRDefault="005E58C1" w:rsidP="003357B7">
      <w:pPr>
        <w:pStyle w:val="005"/>
        <w:spacing w:before="120" w:after="120"/>
        <w:ind w:firstLine="480"/>
      </w:pPr>
      <w:r w:rsidRPr="00B4515A">
        <w:rPr>
          <w:rFonts w:hint="eastAsia"/>
        </w:rPr>
        <w:t>（</w:t>
      </w:r>
      <w:r w:rsidRPr="00B4515A">
        <w:t>3</w:t>
      </w:r>
      <w:r w:rsidRPr="00B4515A">
        <w:rPr>
          <w:rFonts w:hint="eastAsia"/>
        </w:rPr>
        <w:t>）</w:t>
      </w:r>
      <w:r w:rsidRPr="00B4515A">
        <w:rPr>
          <w:rFonts w:hint="eastAsia"/>
        </w:rPr>
        <w:tab/>
      </w:r>
      <w:r w:rsidRPr="00B4515A">
        <w:rPr>
          <w:rFonts w:hint="eastAsia"/>
        </w:rPr>
        <w:t>营业收入地域构成分析</w:t>
      </w:r>
    </w:p>
    <w:p w14:paraId="66469198"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24"/>
        <w:gridCol w:w="1175"/>
        <w:gridCol w:w="1059"/>
        <w:gridCol w:w="1182"/>
        <w:gridCol w:w="1376"/>
        <w:gridCol w:w="1856"/>
        <w:gridCol w:w="1056"/>
      </w:tblGrid>
      <w:tr w:rsidR="006416B0" w:rsidRPr="00B4515A" w14:paraId="15462B5D" w14:textId="77777777" w:rsidTr="002B0582">
        <w:trPr>
          <w:trHeight w:val="340"/>
          <w:jc w:val="center"/>
        </w:trPr>
        <w:tc>
          <w:tcPr>
            <w:tcW w:w="483" w:type="pct"/>
            <w:vMerge w:val="restart"/>
            <w:shd w:val="clear" w:color="auto" w:fill="auto"/>
            <w:tcMar>
              <w:top w:w="0" w:type="dxa"/>
              <w:left w:w="108" w:type="dxa"/>
              <w:bottom w:w="0" w:type="dxa"/>
              <w:right w:w="108" w:type="dxa"/>
            </w:tcMar>
            <w:vAlign w:val="center"/>
          </w:tcPr>
          <w:p w14:paraId="3C4C61D7"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区域</w:t>
            </w:r>
          </w:p>
        </w:tc>
        <w:tc>
          <w:tcPr>
            <w:tcW w:w="1310" w:type="pct"/>
            <w:gridSpan w:val="2"/>
            <w:shd w:val="clear" w:color="auto" w:fill="auto"/>
            <w:tcMar>
              <w:top w:w="0" w:type="dxa"/>
              <w:left w:w="108" w:type="dxa"/>
              <w:bottom w:w="0" w:type="dxa"/>
              <w:right w:w="108" w:type="dxa"/>
            </w:tcMar>
            <w:vAlign w:val="center"/>
          </w:tcPr>
          <w:p w14:paraId="595244FA" w14:textId="77777777"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2021</w:t>
            </w:r>
            <w:r w:rsidRPr="00B4515A">
              <w:rPr>
                <w:rFonts w:cs="Times New Roman" w:hint="eastAsia"/>
                <w:b/>
                <w:bCs/>
                <w:color w:val="000000"/>
                <w:sz w:val="21"/>
                <w:szCs w:val="21"/>
              </w:rPr>
              <w:t>年</w:t>
            </w:r>
            <w:r w:rsidRPr="00B4515A">
              <w:rPr>
                <w:rFonts w:ascii="Times New Roman" w:eastAsia="等线" w:hAnsi="Times New Roman" w:cs="Times New Roman"/>
                <w:b/>
                <w:bCs/>
                <w:color w:val="000000"/>
                <w:sz w:val="21"/>
                <w:szCs w:val="21"/>
              </w:rPr>
              <w:t>1-4</w:t>
            </w:r>
            <w:r w:rsidRPr="00B4515A">
              <w:rPr>
                <w:rFonts w:cs="Times New Roman" w:hint="eastAsia"/>
                <w:b/>
                <w:bCs/>
                <w:color w:val="000000"/>
                <w:sz w:val="21"/>
                <w:szCs w:val="21"/>
              </w:rPr>
              <w:t>月</w:t>
            </w:r>
          </w:p>
        </w:tc>
        <w:tc>
          <w:tcPr>
            <w:tcW w:w="1500" w:type="pct"/>
            <w:gridSpan w:val="2"/>
            <w:shd w:val="clear" w:color="auto" w:fill="auto"/>
            <w:tcMar>
              <w:top w:w="0" w:type="dxa"/>
              <w:left w:w="108" w:type="dxa"/>
              <w:bottom w:w="0" w:type="dxa"/>
              <w:right w:w="108" w:type="dxa"/>
            </w:tcMar>
            <w:vAlign w:val="center"/>
          </w:tcPr>
          <w:p w14:paraId="442D1CC9" w14:textId="77777777"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2020</w:t>
            </w:r>
            <w:r w:rsidRPr="00B4515A">
              <w:rPr>
                <w:rFonts w:cs="Times New Roman" w:hint="eastAsia"/>
                <w:b/>
                <w:bCs/>
                <w:color w:val="000000"/>
                <w:sz w:val="21"/>
                <w:szCs w:val="21"/>
              </w:rPr>
              <w:t>年度</w:t>
            </w:r>
          </w:p>
        </w:tc>
        <w:tc>
          <w:tcPr>
            <w:tcW w:w="1707" w:type="pct"/>
            <w:gridSpan w:val="2"/>
            <w:shd w:val="clear" w:color="auto" w:fill="auto"/>
            <w:tcMar>
              <w:top w:w="0" w:type="dxa"/>
              <w:left w:w="108" w:type="dxa"/>
              <w:bottom w:w="0" w:type="dxa"/>
              <w:right w:w="108" w:type="dxa"/>
            </w:tcMar>
            <w:vAlign w:val="center"/>
          </w:tcPr>
          <w:p w14:paraId="11B62F6D" w14:textId="77777777"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2019</w:t>
            </w:r>
            <w:r w:rsidRPr="00B4515A">
              <w:rPr>
                <w:rFonts w:cs="Times New Roman" w:hint="eastAsia"/>
                <w:b/>
                <w:bCs/>
                <w:color w:val="000000"/>
                <w:sz w:val="21"/>
                <w:szCs w:val="21"/>
              </w:rPr>
              <w:t>年度</w:t>
            </w:r>
          </w:p>
        </w:tc>
      </w:tr>
      <w:tr w:rsidR="006416B0" w:rsidRPr="00B4515A" w14:paraId="70749321" w14:textId="77777777" w:rsidTr="002B0582">
        <w:trPr>
          <w:trHeight w:val="340"/>
          <w:jc w:val="center"/>
        </w:trPr>
        <w:tc>
          <w:tcPr>
            <w:tcW w:w="483" w:type="pct"/>
            <w:vMerge/>
            <w:tcMar>
              <w:top w:w="0" w:type="dxa"/>
              <w:left w:w="108" w:type="dxa"/>
              <w:bottom w:w="0" w:type="dxa"/>
              <w:right w:w="108" w:type="dxa"/>
            </w:tcMar>
            <w:vAlign w:val="center"/>
          </w:tcPr>
          <w:p w14:paraId="3FFA3C31" w14:textId="77777777" w:rsidR="006416B0" w:rsidRPr="00B4515A" w:rsidRDefault="006416B0" w:rsidP="005860B4">
            <w:pPr>
              <w:adjustRightInd w:val="0"/>
              <w:snapToGrid w:val="0"/>
              <w:rPr>
                <w:b/>
                <w:bCs/>
                <w:color w:val="000000"/>
                <w:sz w:val="21"/>
                <w:szCs w:val="21"/>
              </w:rPr>
            </w:pPr>
          </w:p>
        </w:tc>
        <w:tc>
          <w:tcPr>
            <w:tcW w:w="689" w:type="pct"/>
            <w:shd w:val="clear" w:color="auto" w:fill="auto"/>
            <w:tcMar>
              <w:top w:w="0" w:type="dxa"/>
              <w:left w:w="108" w:type="dxa"/>
              <w:bottom w:w="0" w:type="dxa"/>
              <w:right w:w="108" w:type="dxa"/>
            </w:tcMar>
            <w:vAlign w:val="center"/>
          </w:tcPr>
          <w:p w14:paraId="7DE4007C"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金额</w:t>
            </w:r>
          </w:p>
        </w:tc>
        <w:tc>
          <w:tcPr>
            <w:tcW w:w="621" w:type="pct"/>
            <w:shd w:val="clear" w:color="auto" w:fill="auto"/>
            <w:tcMar>
              <w:top w:w="0" w:type="dxa"/>
              <w:left w:w="108" w:type="dxa"/>
              <w:bottom w:w="0" w:type="dxa"/>
              <w:right w:w="108" w:type="dxa"/>
            </w:tcMar>
            <w:vAlign w:val="center"/>
          </w:tcPr>
          <w:p w14:paraId="2EF38956"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占比</w:t>
            </w:r>
          </w:p>
        </w:tc>
        <w:tc>
          <w:tcPr>
            <w:tcW w:w="693" w:type="pct"/>
            <w:shd w:val="clear" w:color="auto" w:fill="auto"/>
            <w:tcMar>
              <w:top w:w="0" w:type="dxa"/>
              <w:left w:w="108" w:type="dxa"/>
              <w:bottom w:w="0" w:type="dxa"/>
              <w:right w:w="108" w:type="dxa"/>
            </w:tcMar>
            <w:vAlign w:val="center"/>
          </w:tcPr>
          <w:p w14:paraId="4FE87E7C"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金额</w:t>
            </w:r>
          </w:p>
        </w:tc>
        <w:tc>
          <w:tcPr>
            <w:tcW w:w="807" w:type="pct"/>
            <w:shd w:val="clear" w:color="auto" w:fill="auto"/>
            <w:tcMar>
              <w:top w:w="0" w:type="dxa"/>
              <w:left w:w="108" w:type="dxa"/>
              <w:bottom w:w="0" w:type="dxa"/>
              <w:right w:w="108" w:type="dxa"/>
            </w:tcMar>
            <w:vAlign w:val="center"/>
          </w:tcPr>
          <w:p w14:paraId="25493783"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占比</w:t>
            </w:r>
          </w:p>
        </w:tc>
        <w:tc>
          <w:tcPr>
            <w:tcW w:w="1088" w:type="pct"/>
            <w:shd w:val="clear" w:color="auto" w:fill="auto"/>
            <w:tcMar>
              <w:top w:w="0" w:type="dxa"/>
              <w:left w:w="108" w:type="dxa"/>
              <w:bottom w:w="0" w:type="dxa"/>
              <w:right w:w="108" w:type="dxa"/>
            </w:tcMar>
            <w:vAlign w:val="center"/>
          </w:tcPr>
          <w:p w14:paraId="04E3559D"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金额</w:t>
            </w:r>
          </w:p>
        </w:tc>
        <w:tc>
          <w:tcPr>
            <w:tcW w:w="619" w:type="pct"/>
            <w:shd w:val="clear" w:color="auto" w:fill="auto"/>
            <w:tcMar>
              <w:top w:w="0" w:type="dxa"/>
              <w:left w:w="108" w:type="dxa"/>
              <w:bottom w:w="0" w:type="dxa"/>
              <w:right w:w="108" w:type="dxa"/>
            </w:tcMar>
            <w:vAlign w:val="center"/>
          </w:tcPr>
          <w:p w14:paraId="20582448"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占比</w:t>
            </w:r>
          </w:p>
        </w:tc>
      </w:tr>
      <w:tr w:rsidR="006416B0" w:rsidRPr="00B4515A" w14:paraId="108B39AB" w14:textId="77777777" w:rsidTr="002B0582">
        <w:trPr>
          <w:trHeight w:val="340"/>
          <w:jc w:val="center"/>
        </w:trPr>
        <w:tc>
          <w:tcPr>
            <w:tcW w:w="483" w:type="pct"/>
            <w:shd w:val="clear" w:color="auto" w:fill="auto"/>
            <w:tcMar>
              <w:top w:w="0" w:type="dxa"/>
              <w:left w:w="108" w:type="dxa"/>
              <w:bottom w:w="0" w:type="dxa"/>
              <w:right w:w="108" w:type="dxa"/>
            </w:tcMar>
            <w:vAlign w:val="center"/>
          </w:tcPr>
          <w:p w14:paraId="433D42F0"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境内</w:t>
            </w:r>
          </w:p>
        </w:tc>
        <w:tc>
          <w:tcPr>
            <w:tcW w:w="689" w:type="pct"/>
            <w:shd w:val="clear" w:color="auto" w:fill="auto"/>
            <w:tcMar>
              <w:top w:w="0" w:type="dxa"/>
              <w:left w:w="108" w:type="dxa"/>
              <w:bottom w:w="0" w:type="dxa"/>
              <w:right w:w="108" w:type="dxa"/>
            </w:tcMar>
            <w:vAlign w:val="center"/>
          </w:tcPr>
          <w:p w14:paraId="203DC509"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12,758.79</w:t>
            </w:r>
          </w:p>
        </w:tc>
        <w:tc>
          <w:tcPr>
            <w:tcW w:w="621" w:type="pct"/>
            <w:shd w:val="clear" w:color="auto" w:fill="auto"/>
            <w:tcMar>
              <w:top w:w="0" w:type="dxa"/>
              <w:left w:w="108" w:type="dxa"/>
              <w:bottom w:w="0" w:type="dxa"/>
              <w:right w:w="108" w:type="dxa"/>
            </w:tcMar>
            <w:vAlign w:val="center"/>
          </w:tcPr>
          <w:p w14:paraId="7CBCA78F"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100.00%</w:t>
            </w:r>
          </w:p>
        </w:tc>
        <w:tc>
          <w:tcPr>
            <w:tcW w:w="693" w:type="pct"/>
            <w:shd w:val="clear" w:color="auto" w:fill="auto"/>
            <w:tcMar>
              <w:top w:w="0" w:type="dxa"/>
              <w:left w:w="108" w:type="dxa"/>
              <w:bottom w:w="0" w:type="dxa"/>
              <w:right w:w="108" w:type="dxa"/>
            </w:tcMar>
            <w:vAlign w:val="center"/>
          </w:tcPr>
          <w:p w14:paraId="6C75091D"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55,282.98</w:t>
            </w:r>
          </w:p>
        </w:tc>
        <w:tc>
          <w:tcPr>
            <w:tcW w:w="807" w:type="pct"/>
            <w:shd w:val="clear" w:color="auto" w:fill="auto"/>
            <w:tcMar>
              <w:top w:w="0" w:type="dxa"/>
              <w:left w:w="108" w:type="dxa"/>
              <w:bottom w:w="0" w:type="dxa"/>
              <w:right w:w="108" w:type="dxa"/>
            </w:tcMar>
            <w:vAlign w:val="center"/>
          </w:tcPr>
          <w:p w14:paraId="60EB9A97"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100.00%</w:t>
            </w:r>
          </w:p>
        </w:tc>
        <w:tc>
          <w:tcPr>
            <w:tcW w:w="1088" w:type="pct"/>
            <w:shd w:val="clear" w:color="auto" w:fill="auto"/>
            <w:tcMar>
              <w:top w:w="0" w:type="dxa"/>
              <w:left w:w="108" w:type="dxa"/>
              <w:bottom w:w="0" w:type="dxa"/>
              <w:right w:w="108" w:type="dxa"/>
            </w:tcMar>
            <w:vAlign w:val="center"/>
          </w:tcPr>
          <w:p w14:paraId="499672D7" w14:textId="181AD10D"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36</w:t>
            </w:r>
            <w:r w:rsidR="000A6582" w:rsidRPr="00B4515A">
              <w:rPr>
                <w:rFonts w:ascii="Times New Roman" w:eastAsia="等线" w:hAnsi="Times New Roman" w:cs="Times New Roman" w:hint="eastAsia"/>
                <w:color w:val="000000"/>
                <w:sz w:val="21"/>
                <w:szCs w:val="21"/>
              </w:rPr>
              <w:t>,</w:t>
            </w:r>
            <w:r w:rsidRPr="00B4515A">
              <w:rPr>
                <w:rFonts w:ascii="Times New Roman" w:eastAsia="等线" w:hAnsi="Times New Roman" w:cs="Times New Roman"/>
                <w:color w:val="000000"/>
                <w:sz w:val="21"/>
                <w:szCs w:val="21"/>
              </w:rPr>
              <w:t>685.37</w:t>
            </w:r>
          </w:p>
        </w:tc>
        <w:tc>
          <w:tcPr>
            <w:tcW w:w="619" w:type="pct"/>
            <w:shd w:val="clear" w:color="auto" w:fill="auto"/>
            <w:tcMar>
              <w:top w:w="0" w:type="dxa"/>
              <w:left w:w="108" w:type="dxa"/>
              <w:bottom w:w="0" w:type="dxa"/>
              <w:right w:w="108" w:type="dxa"/>
            </w:tcMar>
            <w:vAlign w:val="center"/>
          </w:tcPr>
          <w:p w14:paraId="2BC06FBC"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100.00%</w:t>
            </w:r>
          </w:p>
        </w:tc>
      </w:tr>
      <w:tr w:rsidR="006416B0" w:rsidRPr="00B4515A" w14:paraId="2AA55859" w14:textId="77777777" w:rsidTr="002B0582">
        <w:trPr>
          <w:trHeight w:val="340"/>
          <w:jc w:val="center"/>
        </w:trPr>
        <w:tc>
          <w:tcPr>
            <w:tcW w:w="483" w:type="pct"/>
            <w:shd w:val="clear" w:color="auto" w:fill="auto"/>
            <w:tcMar>
              <w:top w:w="0" w:type="dxa"/>
              <w:left w:w="108" w:type="dxa"/>
              <w:bottom w:w="0" w:type="dxa"/>
              <w:right w:w="108" w:type="dxa"/>
            </w:tcMar>
            <w:vAlign w:val="center"/>
          </w:tcPr>
          <w:p w14:paraId="48301BB4"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境外</w:t>
            </w:r>
          </w:p>
        </w:tc>
        <w:tc>
          <w:tcPr>
            <w:tcW w:w="689" w:type="pct"/>
            <w:shd w:val="clear" w:color="auto" w:fill="auto"/>
            <w:tcMar>
              <w:top w:w="0" w:type="dxa"/>
              <w:left w:w="108" w:type="dxa"/>
              <w:bottom w:w="0" w:type="dxa"/>
              <w:right w:w="108" w:type="dxa"/>
            </w:tcMar>
            <w:vAlign w:val="center"/>
          </w:tcPr>
          <w:p w14:paraId="78A3A646"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hint="eastAsia"/>
                <w:color w:val="000000"/>
                <w:sz w:val="21"/>
                <w:szCs w:val="21"/>
              </w:rPr>
              <w:t>-</w:t>
            </w:r>
          </w:p>
        </w:tc>
        <w:tc>
          <w:tcPr>
            <w:tcW w:w="621" w:type="pct"/>
            <w:shd w:val="clear" w:color="auto" w:fill="auto"/>
            <w:tcMar>
              <w:top w:w="0" w:type="dxa"/>
              <w:left w:w="108" w:type="dxa"/>
              <w:bottom w:w="0" w:type="dxa"/>
              <w:right w:w="108" w:type="dxa"/>
            </w:tcMar>
            <w:vAlign w:val="center"/>
          </w:tcPr>
          <w:p w14:paraId="392EBC1F"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hint="eastAsia"/>
                <w:color w:val="000000"/>
                <w:sz w:val="21"/>
                <w:szCs w:val="21"/>
              </w:rPr>
              <w:t>-</w:t>
            </w:r>
          </w:p>
        </w:tc>
        <w:tc>
          <w:tcPr>
            <w:tcW w:w="693" w:type="pct"/>
            <w:shd w:val="clear" w:color="auto" w:fill="auto"/>
            <w:tcMar>
              <w:top w:w="0" w:type="dxa"/>
              <w:left w:w="108" w:type="dxa"/>
              <w:bottom w:w="0" w:type="dxa"/>
              <w:right w:w="108" w:type="dxa"/>
            </w:tcMar>
            <w:vAlign w:val="center"/>
          </w:tcPr>
          <w:p w14:paraId="50F3D24B"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hint="eastAsia"/>
                <w:color w:val="000000"/>
                <w:sz w:val="21"/>
                <w:szCs w:val="21"/>
              </w:rPr>
              <w:t>-</w:t>
            </w:r>
          </w:p>
        </w:tc>
        <w:tc>
          <w:tcPr>
            <w:tcW w:w="807" w:type="pct"/>
            <w:shd w:val="clear" w:color="auto" w:fill="auto"/>
            <w:tcMar>
              <w:top w:w="0" w:type="dxa"/>
              <w:left w:w="108" w:type="dxa"/>
              <w:bottom w:w="0" w:type="dxa"/>
              <w:right w:w="108" w:type="dxa"/>
            </w:tcMar>
            <w:vAlign w:val="center"/>
          </w:tcPr>
          <w:p w14:paraId="34D769B4"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hint="eastAsia"/>
                <w:color w:val="000000"/>
                <w:sz w:val="21"/>
                <w:szCs w:val="21"/>
              </w:rPr>
              <w:t>-</w:t>
            </w:r>
          </w:p>
        </w:tc>
        <w:tc>
          <w:tcPr>
            <w:tcW w:w="1088" w:type="pct"/>
            <w:shd w:val="clear" w:color="auto" w:fill="auto"/>
            <w:tcMar>
              <w:top w:w="0" w:type="dxa"/>
              <w:left w:w="108" w:type="dxa"/>
              <w:bottom w:w="0" w:type="dxa"/>
              <w:right w:w="108" w:type="dxa"/>
            </w:tcMar>
            <w:vAlign w:val="center"/>
          </w:tcPr>
          <w:p w14:paraId="46FEEBCB"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hint="eastAsia"/>
                <w:color w:val="000000"/>
                <w:sz w:val="21"/>
                <w:szCs w:val="21"/>
              </w:rPr>
              <w:t>-</w:t>
            </w:r>
          </w:p>
        </w:tc>
        <w:tc>
          <w:tcPr>
            <w:tcW w:w="619" w:type="pct"/>
            <w:shd w:val="clear" w:color="auto" w:fill="auto"/>
            <w:tcMar>
              <w:top w:w="0" w:type="dxa"/>
              <w:left w:w="108" w:type="dxa"/>
              <w:bottom w:w="0" w:type="dxa"/>
              <w:right w:w="108" w:type="dxa"/>
            </w:tcMar>
            <w:vAlign w:val="center"/>
          </w:tcPr>
          <w:p w14:paraId="3CA89693"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hint="eastAsia"/>
                <w:color w:val="000000"/>
                <w:sz w:val="21"/>
                <w:szCs w:val="21"/>
              </w:rPr>
              <w:t>-</w:t>
            </w:r>
          </w:p>
        </w:tc>
      </w:tr>
      <w:tr w:rsidR="006416B0" w:rsidRPr="00B4515A" w14:paraId="022038CD" w14:textId="77777777" w:rsidTr="002B0582">
        <w:trPr>
          <w:trHeight w:val="340"/>
          <w:jc w:val="center"/>
        </w:trPr>
        <w:tc>
          <w:tcPr>
            <w:tcW w:w="483" w:type="pct"/>
            <w:shd w:val="clear" w:color="auto" w:fill="auto"/>
            <w:tcMar>
              <w:top w:w="0" w:type="dxa"/>
              <w:left w:w="108" w:type="dxa"/>
              <w:bottom w:w="0" w:type="dxa"/>
              <w:right w:w="108" w:type="dxa"/>
            </w:tcMar>
            <w:vAlign w:val="center"/>
          </w:tcPr>
          <w:p w14:paraId="243B2B18" w14:textId="77777777" w:rsidR="006416B0" w:rsidRPr="00B4515A" w:rsidRDefault="005E58C1" w:rsidP="005860B4">
            <w:pPr>
              <w:adjustRightInd w:val="0"/>
              <w:snapToGrid w:val="0"/>
              <w:jc w:val="center"/>
              <w:rPr>
                <w:b/>
                <w:color w:val="000000"/>
                <w:sz w:val="21"/>
                <w:szCs w:val="21"/>
              </w:rPr>
            </w:pPr>
            <w:r w:rsidRPr="00B4515A">
              <w:rPr>
                <w:rFonts w:hint="eastAsia"/>
                <w:b/>
                <w:color w:val="000000"/>
                <w:sz w:val="21"/>
                <w:szCs w:val="21"/>
              </w:rPr>
              <w:t>合计</w:t>
            </w:r>
          </w:p>
        </w:tc>
        <w:tc>
          <w:tcPr>
            <w:tcW w:w="689" w:type="pct"/>
            <w:shd w:val="clear" w:color="auto" w:fill="auto"/>
            <w:tcMar>
              <w:top w:w="0" w:type="dxa"/>
              <w:left w:w="108" w:type="dxa"/>
              <w:bottom w:w="0" w:type="dxa"/>
              <w:right w:w="108" w:type="dxa"/>
            </w:tcMar>
            <w:vAlign w:val="center"/>
          </w:tcPr>
          <w:p w14:paraId="0CF10C9E" w14:textId="77777777" w:rsidR="006416B0" w:rsidRPr="00B4515A" w:rsidRDefault="005E58C1" w:rsidP="005860B4">
            <w:pPr>
              <w:adjustRightInd w:val="0"/>
              <w:snapToGrid w:val="0"/>
              <w:jc w:val="right"/>
              <w:rPr>
                <w:rFonts w:ascii="Times New Roman" w:eastAsia="等线" w:hAnsi="Times New Roman" w:cs="Times New Roman"/>
                <w:b/>
                <w:color w:val="000000"/>
                <w:sz w:val="21"/>
                <w:szCs w:val="21"/>
              </w:rPr>
            </w:pPr>
            <w:r w:rsidRPr="00B4515A">
              <w:rPr>
                <w:rFonts w:ascii="Times New Roman" w:eastAsia="等线" w:hAnsi="Times New Roman" w:cs="Times New Roman"/>
                <w:b/>
                <w:color w:val="000000"/>
                <w:sz w:val="21"/>
                <w:szCs w:val="21"/>
              </w:rPr>
              <w:t>12,758.79</w:t>
            </w:r>
          </w:p>
        </w:tc>
        <w:tc>
          <w:tcPr>
            <w:tcW w:w="621" w:type="pct"/>
            <w:shd w:val="clear" w:color="auto" w:fill="auto"/>
            <w:tcMar>
              <w:top w:w="0" w:type="dxa"/>
              <w:left w:w="108" w:type="dxa"/>
              <w:bottom w:w="0" w:type="dxa"/>
              <w:right w:w="108" w:type="dxa"/>
            </w:tcMar>
            <w:vAlign w:val="center"/>
          </w:tcPr>
          <w:p w14:paraId="167DB529" w14:textId="77777777" w:rsidR="006416B0" w:rsidRPr="00B4515A" w:rsidRDefault="005E58C1" w:rsidP="005860B4">
            <w:pPr>
              <w:adjustRightInd w:val="0"/>
              <w:snapToGrid w:val="0"/>
              <w:jc w:val="right"/>
              <w:rPr>
                <w:rFonts w:ascii="Times New Roman" w:eastAsia="等线" w:hAnsi="Times New Roman" w:cs="Times New Roman"/>
                <w:b/>
                <w:color w:val="000000"/>
                <w:sz w:val="21"/>
                <w:szCs w:val="21"/>
              </w:rPr>
            </w:pPr>
            <w:r w:rsidRPr="00B4515A">
              <w:rPr>
                <w:rFonts w:ascii="Times New Roman" w:eastAsia="等线" w:hAnsi="Times New Roman" w:cs="Times New Roman"/>
                <w:b/>
                <w:color w:val="000000"/>
                <w:sz w:val="21"/>
                <w:szCs w:val="21"/>
              </w:rPr>
              <w:t>100.00%</w:t>
            </w:r>
          </w:p>
        </w:tc>
        <w:tc>
          <w:tcPr>
            <w:tcW w:w="693" w:type="pct"/>
            <w:shd w:val="clear" w:color="auto" w:fill="auto"/>
            <w:tcMar>
              <w:top w:w="0" w:type="dxa"/>
              <w:left w:w="108" w:type="dxa"/>
              <w:bottom w:w="0" w:type="dxa"/>
              <w:right w:w="108" w:type="dxa"/>
            </w:tcMar>
            <w:vAlign w:val="center"/>
          </w:tcPr>
          <w:p w14:paraId="6F9B9C5D" w14:textId="77777777" w:rsidR="006416B0" w:rsidRPr="00B4515A" w:rsidRDefault="005E58C1" w:rsidP="005860B4">
            <w:pPr>
              <w:adjustRightInd w:val="0"/>
              <w:snapToGrid w:val="0"/>
              <w:jc w:val="right"/>
              <w:rPr>
                <w:rFonts w:ascii="Times New Roman" w:eastAsia="等线" w:hAnsi="Times New Roman" w:cs="Times New Roman"/>
                <w:b/>
                <w:color w:val="000000"/>
                <w:sz w:val="21"/>
                <w:szCs w:val="21"/>
              </w:rPr>
            </w:pPr>
            <w:r w:rsidRPr="00B4515A">
              <w:rPr>
                <w:rFonts w:ascii="Times New Roman" w:eastAsia="等线" w:hAnsi="Times New Roman" w:cs="Times New Roman"/>
                <w:b/>
                <w:color w:val="000000"/>
                <w:sz w:val="21"/>
                <w:szCs w:val="21"/>
              </w:rPr>
              <w:t>55,282.98</w:t>
            </w:r>
          </w:p>
        </w:tc>
        <w:tc>
          <w:tcPr>
            <w:tcW w:w="807" w:type="pct"/>
            <w:shd w:val="clear" w:color="auto" w:fill="auto"/>
            <w:tcMar>
              <w:top w:w="0" w:type="dxa"/>
              <w:left w:w="108" w:type="dxa"/>
              <w:bottom w:w="0" w:type="dxa"/>
              <w:right w:w="108" w:type="dxa"/>
            </w:tcMar>
            <w:vAlign w:val="center"/>
          </w:tcPr>
          <w:p w14:paraId="3FCA9E03" w14:textId="77777777" w:rsidR="006416B0" w:rsidRPr="00B4515A" w:rsidRDefault="005E58C1" w:rsidP="005860B4">
            <w:pPr>
              <w:adjustRightInd w:val="0"/>
              <w:snapToGrid w:val="0"/>
              <w:jc w:val="right"/>
              <w:rPr>
                <w:rFonts w:ascii="Times New Roman" w:eastAsia="等线" w:hAnsi="Times New Roman" w:cs="Times New Roman"/>
                <w:b/>
                <w:color w:val="000000"/>
                <w:sz w:val="21"/>
                <w:szCs w:val="21"/>
              </w:rPr>
            </w:pPr>
            <w:r w:rsidRPr="00B4515A">
              <w:rPr>
                <w:rFonts w:ascii="Times New Roman" w:eastAsia="等线" w:hAnsi="Times New Roman" w:cs="Times New Roman"/>
                <w:b/>
                <w:color w:val="000000"/>
                <w:sz w:val="21"/>
                <w:szCs w:val="21"/>
              </w:rPr>
              <w:t>100.00%</w:t>
            </w:r>
          </w:p>
        </w:tc>
        <w:tc>
          <w:tcPr>
            <w:tcW w:w="1088" w:type="pct"/>
            <w:shd w:val="clear" w:color="auto" w:fill="auto"/>
            <w:tcMar>
              <w:top w:w="0" w:type="dxa"/>
              <w:left w:w="108" w:type="dxa"/>
              <w:bottom w:w="0" w:type="dxa"/>
              <w:right w:w="108" w:type="dxa"/>
            </w:tcMar>
            <w:vAlign w:val="center"/>
          </w:tcPr>
          <w:p w14:paraId="5B1CA73D" w14:textId="57D29A17" w:rsidR="006416B0" w:rsidRPr="00B4515A" w:rsidRDefault="005E58C1" w:rsidP="005860B4">
            <w:pPr>
              <w:adjustRightInd w:val="0"/>
              <w:snapToGrid w:val="0"/>
              <w:jc w:val="right"/>
              <w:rPr>
                <w:rFonts w:ascii="Times New Roman" w:eastAsia="等线" w:hAnsi="Times New Roman" w:cs="Times New Roman"/>
                <w:b/>
                <w:color w:val="000000"/>
                <w:sz w:val="21"/>
                <w:szCs w:val="21"/>
              </w:rPr>
            </w:pPr>
            <w:r w:rsidRPr="00B4515A">
              <w:rPr>
                <w:rFonts w:ascii="Times New Roman" w:eastAsia="等线" w:hAnsi="Times New Roman" w:cs="Times New Roman"/>
                <w:b/>
                <w:color w:val="000000"/>
                <w:sz w:val="21"/>
                <w:szCs w:val="21"/>
              </w:rPr>
              <w:t>36</w:t>
            </w:r>
            <w:r w:rsidR="000A6582" w:rsidRPr="00B4515A">
              <w:rPr>
                <w:rFonts w:ascii="Times New Roman" w:eastAsia="等线" w:hAnsi="Times New Roman" w:cs="Times New Roman"/>
                <w:b/>
                <w:color w:val="000000"/>
                <w:sz w:val="21"/>
                <w:szCs w:val="21"/>
              </w:rPr>
              <w:t>,</w:t>
            </w:r>
            <w:r w:rsidRPr="00B4515A">
              <w:rPr>
                <w:rFonts w:ascii="Times New Roman" w:eastAsia="等线" w:hAnsi="Times New Roman" w:cs="Times New Roman"/>
                <w:b/>
                <w:color w:val="000000"/>
                <w:sz w:val="21"/>
                <w:szCs w:val="21"/>
              </w:rPr>
              <w:t>685.37</w:t>
            </w:r>
          </w:p>
        </w:tc>
        <w:tc>
          <w:tcPr>
            <w:tcW w:w="619" w:type="pct"/>
            <w:shd w:val="clear" w:color="auto" w:fill="auto"/>
            <w:tcMar>
              <w:top w:w="0" w:type="dxa"/>
              <w:left w:w="108" w:type="dxa"/>
              <w:bottom w:w="0" w:type="dxa"/>
              <w:right w:w="108" w:type="dxa"/>
            </w:tcMar>
            <w:vAlign w:val="center"/>
          </w:tcPr>
          <w:p w14:paraId="7548BA4E" w14:textId="77777777" w:rsidR="006416B0" w:rsidRPr="00B4515A" w:rsidRDefault="005E58C1" w:rsidP="005860B4">
            <w:pPr>
              <w:adjustRightInd w:val="0"/>
              <w:snapToGrid w:val="0"/>
              <w:jc w:val="right"/>
              <w:rPr>
                <w:rFonts w:ascii="Times New Roman" w:eastAsia="等线" w:hAnsi="Times New Roman" w:cs="Times New Roman"/>
                <w:b/>
                <w:color w:val="000000"/>
                <w:sz w:val="21"/>
                <w:szCs w:val="21"/>
              </w:rPr>
            </w:pPr>
            <w:r w:rsidRPr="00B4515A">
              <w:rPr>
                <w:rFonts w:ascii="Times New Roman" w:eastAsia="等线" w:hAnsi="Times New Roman" w:cs="Times New Roman"/>
                <w:b/>
                <w:color w:val="000000"/>
                <w:sz w:val="21"/>
                <w:szCs w:val="21"/>
              </w:rPr>
              <w:t>100.00%</w:t>
            </w:r>
          </w:p>
        </w:tc>
      </w:tr>
    </w:tbl>
    <w:p w14:paraId="292FCAB2" w14:textId="77777777" w:rsidR="006416B0" w:rsidRPr="00B4515A" w:rsidRDefault="005E58C1" w:rsidP="003357B7">
      <w:pPr>
        <w:pStyle w:val="005"/>
        <w:spacing w:before="120" w:after="120"/>
        <w:ind w:firstLine="480"/>
      </w:pPr>
      <w:r w:rsidRPr="00B4515A">
        <w:rPr>
          <w:rFonts w:hint="eastAsia"/>
        </w:rPr>
        <w:t>报告期内，大唐联诚所有业务收入均来源于境内。</w:t>
      </w:r>
    </w:p>
    <w:p w14:paraId="297FC750" w14:textId="77777777" w:rsidR="006416B0" w:rsidRPr="00B4515A" w:rsidRDefault="005E58C1" w:rsidP="003357B7">
      <w:pPr>
        <w:pStyle w:val="005"/>
        <w:spacing w:before="120" w:after="120"/>
        <w:ind w:firstLine="480"/>
      </w:pPr>
      <w:r w:rsidRPr="00B4515A">
        <w:rPr>
          <w:rFonts w:hint="eastAsia"/>
        </w:rPr>
        <w:t>（</w:t>
      </w:r>
      <w:r w:rsidRPr="00B4515A">
        <w:t>4</w:t>
      </w:r>
      <w:r w:rsidRPr="00B4515A">
        <w:rPr>
          <w:rFonts w:hint="eastAsia"/>
        </w:rPr>
        <w:t>）主要客户情况</w:t>
      </w:r>
    </w:p>
    <w:p w14:paraId="260E1ED5" w14:textId="77777777" w:rsidR="006416B0" w:rsidRPr="00B4515A" w:rsidRDefault="005E58C1" w:rsidP="003357B7">
      <w:pPr>
        <w:pStyle w:val="005"/>
        <w:spacing w:before="120" w:after="120"/>
        <w:ind w:firstLine="480"/>
      </w:pPr>
      <w:r w:rsidRPr="00B4515A">
        <w:t>1</w:t>
      </w:r>
      <w:r w:rsidRPr="00B4515A">
        <w:rPr>
          <w:rFonts w:hint="eastAsia"/>
        </w:rPr>
        <w:t>）</w:t>
      </w:r>
      <w:r w:rsidRPr="00B4515A">
        <w:t>2019</w:t>
      </w:r>
      <w:r w:rsidRPr="00B4515A">
        <w:rPr>
          <w:rFonts w:hint="eastAsia"/>
        </w:rPr>
        <w:t>年度主要客户情况</w:t>
      </w:r>
    </w:p>
    <w:p w14:paraId="06C191E5" w14:textId="77777777" w:rsidR="006416B0" w:rsidRPr="00B4515A" w:rsidRDefault="005E58C1" w:rsidP="003357B7">
      <w:pPr>
        <w:pStyle w:val="009"/>
        <w:rPr>
          <w:b/>
          <w:bCs/>
        </w:rPr>
      </w:pPr>
      <w:r w:rsidRPr="00B4515A">
        <w:rPr>
          <w:rFonts w:hint="eastAsia"/>
        </w:rPr>
        <w:t>单位：万元</w:t>
      </w:r>
    </w:p>
    <w:tbl>
      <w:tblPr>
        <w:tblW w:w="5029"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92"/>
        <w:gridCol w:w="756"/>
        <w:gridCol w:w="1509"/>
        <w:gridCol w:w="1135"/>
        <w:gridCol w:w="1135"/>
        <w:gridCol w:w="1111"/>
        <w:gridCol w:w="1079"/>
        <w:gridCol w:w="760"/>
      </w:tblGrid>
      <w:tr w:rsidR="006416B0" w:rsidRPr="00B4515A" w14:paraId="5D8C3654" w14:textId="77777777" w:rsidTr="00EE238F">
        <w:trPr>
          <w:trHeight w:val="340"/>
          <w:tblHeader/>
          <w:jc w:val="center"/>
        </w:trPr>
        <w:tc>
          <w:tcPr>
            <w:tcW w:w="1092" w:type="dxa"/>
            <w:shd w:val="clear" w:color="auto" w:fill="auto"/>
            <w:tcMar>
              <w:top w:w="0" w:type="dxa"/>
              <w:left w:w="108" w:type="dxa"/>
              <w:bottom w:w="0" w:type="dxa"/>
              <w:right w:w="108" w:type="dxa"/>
            </w:tcMar>
            <w:vAlign w:val="center"/>
          </w:tcPr>
          <w:p w14:paraId="4B06C0BA"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业务方向</w:t>
            </w:r>
          </w:p>
        </w:tc>
        <w:tc>
          <w:tcPr>
            <w:tcW w:w="756" w:type="dxa"/>
            <w:shd w:val="clear" w:color="auto" w:fill="auto"/>
            <w:tcMar>
              <w:top w:w="0" w:type="dxa"/>
              <w:left w:w="108" w:type="dxa"/>
              <w:bottom w:w="0" w:type="dxa"/>
              <w:right w:w="108" w:type="dxa"/>
            </w:tcMar>
            <w:vAlign w:val="center"/>
          </w:tcPr>
          <w:p w14:paraId="5D1C84CC"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序号</w:t>
            </w:r>
          </w:p>
        </w:tc>
        <w:tc>
          <w:tcPr>
            <w:tcW w:w="1509" w:type="dxa"/>
            <w:shd w:val="clear" w:color="auto" w:fill="auto"/>
            <w:tcMar>
              <w:top w:w="0" w:type="dxa"/>
              <w:left w:w="108" w:type="dxa"/>
              <w:bottom w:w="0" w:type="dxa"/>
              <w:right w:w="108" w:type="dxa"/>
            </w:tcMar>
            <w:vAlign w:val="center"/>
          </w:tcPr>
          <w:p w14:paraId="2A1F6F29"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客户名称</w:t>
            </w:r>
          </w:p>
        </w:tc>
        <w:tc>
          <w:tcPr>
            <w:tcW w:w="1135" w:type="dxa"/>
            <w:shd w:val="clear" w:color="auto" w:fill="auto"/>
            <w:tcMar>
              <w:top w:w="0" w:type="dxa"/>
              <w:left w:w="108" w:type="dxa"/>
              <w:bottom w:w="0" w:type="dxa"/>
              <w:right w:w="108" w:type="dxa"/>
            </w:tcMar>
            <w:vAlign w:val="center"/>
          </w:tcPr>
          <w:p w14:paraId="12F844B3"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销售方式</w:t>
            </w:r>
          </w:p>
        </w:tc>
        <w:tc>
          <w:tcPr>
            <w:tcW w:w="1135" w:type="dxa"/>
            <w:shd w:val="clear" w:color="auto" w:fill="auto"/>
            <w:tcMar>
              <w:top w:w="0" w:type="dxa"/>
              <w:left w:w="108" w:type="dxa"/>
              <w:bottom w:w="0" w:type="dxa"/>
              <w:right w:w="108" w:type="dxa"/>
            </w:tcMar>
            <w:vAlign w:val="center"/>
          </w:tcPr>
          <w:p w14:paraId="59704178"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交易内容</w:t>
            </w:r>
          </w:p>
        </w:tc>
        <w:tc>
          <w:tcPr>
            <w:tcW w:w="1111" w:type="dxa"/>
            <w:shd w:val="clear" w:color="auto" w:fill="auto"/>
            <w:tcMar>
              <w:top w:w="0" w:type="dxa"/>
              <w:left w:w="108" w:type="dxa"/>
              <w:bottom w:w="0" w:type="dxa"/>
              <w:right w:w="108" w:type="dxa"/>
            </w:tcMar>
            <w:vAlign w:val="center"/>
          </w:tcPr>
          <w:p w14:paraId="428C8C82"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金额</w:t>
            </w:r>
          </w:p>
        </w:tc>
        <w:tc>
          <w:tcPr>
            <w:tcW w:w="1079" w:type="dxa"/>
            <w:shd w:val="clear" w:color="auto" w:fill="auto"/>
            <w:tcMar>
              <w:top w:w="0" w:type="dxa"/>
              <w:left w:w="108" w:type="dxa"/>
              <w:bottom w:w="0" w:type="dxa"/>
              <w:right w:w="108" w:type="dxa"/>
            </w:tcMar>
            <w:vAlign w:val="center"/>
          </w:tcPr>
          <w:p w14:paraId="24F730FE"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占比</w:t>
            </w:r>
          </w:p>
        </w:tc>
        <w:tc>
          <w:tcPr>
            <w:tcW w:w="760" w:type="dxa"/>
            <w:shd w:val="clear" w:color="auto" w:fill="auto"/>
            <w:tcMar>
              <w:top w:w="0" w:type="dxa"/>
              <w:left w:w="108" w:type="dxa"/>
              <w:bottom w:w="0" w:type="dxa"/>
              <w:right w:w="108" w:type="dxa"/>
            </w:tcMar>
            <w:vAlign w:val="center"/>
          </w:tcPr>
          <w:p w14:paraId="3A1F4AFA"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是否为关联方</w:t>
            </w:r>
          </w:p>
        </w:tc>
      </w:tr>
      <w:tr w:rsidR="00A14006" w:rsidRPr="00B4515A" w14:paraId="055EF655" w14:textId="77777777" w:rsidTr="00EE238F">
        <w:trPr>
          <w:trHeight w:val="340"/>
          <w:jc w:val="center"/>
        </w:trPr>
        <w:tc>
          <w:tcPr>
            <w:tcW w:w="1092" w:type="dxa"/>
            <w:vMerge w:val="restart"/>
            <w:shd w:val="clear" w:color="auto" w:fill="auto"/>
            <w:tcMar>
              <w:top w:w="0" w:type="dxa"/>
              <w:left w:w="108" w:type="dxa"/>
              <w:bottom w:w="0" w:type="dxa"/>
              <w:right w:w="108" w:type="dxa"/>
            </w:tcMar>
            <w:vAlign w:val="center"/>
          </w:tcPr>
          <w:p w14:paraId="670D28BA"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专用移动通信</w:t>
            </w:r>
          </w:p>
        </w:tc>
        <w:tc>
          <w:tcPr>
            <w:tcW w:w="756" w:type="dxa"/>
            <w:shd w:val="clear" w:color="auto" w:fill="auto"/>
            <w:tcMar>
              <w:top w:w="0" w:type="dxa"/>
              <w:left w:w="108" w:type="dxa"/>
              <w:bottom w:w="0" w:type="dxa"/>
              <w:right w:w="108" w:type="dxa"/>
            </w:tcMar>
            <w:vAlign w:val="center"/>
          </w:tcPr>
          <w:p w14:paraId="7EE05D34"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p>
        </w:tc>
        <w:tc>
          <w:tcPr>
            <w:tcW w:w="1509" w:type="dxa"/>
            <w:shd w:val="clear" w:color="auto" w:fill="auto"/>
            <w:tcMar>
              <w:top w:w="0" w:type="dxa"/>
              <w:left w:w="108" w:type="dxa"/>
              <w:bottom w:w="0" w:type="dxa"/>
              <w:right w:w="108" w:type="dxa"/>
            </w:tcMar>
            <w:vAlign w:val="bottom"/>
          </w:tcPr>
          <w:p w14:paraId="00649AD7" w14:textId="0980D07C"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某航天科工集团下属企业</w:t>
            </w:r>
          </w:p>
        </w:tc>
        <w:tc>
          <w:tcPr>
            <w:tcW w:w="1135" w:type="dxa"/>
            <w:shd w:val="clear" w:color="auto" w:fill="auto"/>
            <w:tcMar>
              <w:top w:w="0" w:type="dxa"/>
              <w:left w:w="108" w:type="dxa"/>
              <w:bottom w:w="0" w:type="dxa"/>
              <w:right w:w="108" w:type="dxa"/>
            </w:tcMar>
            <w:vAlign w:val="center"/>
          </w:tcPr>
          <w:p w14:paraId="2E94E2D4"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20CEA5C0"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1111" w:type="dxa"/>
            <w:shd w:val="clear" w:color="auto" w:fill="auto"/>
            <w:tcMar>
              <w:top w:w="0" w:type="dxa"/>
              <w:left w:w="108" w:type="dxa"/>
              <w:bottom w:w="0" w:type="dxa"/>
              <w:right w:w="108" w:type="dxa"/>
            </w:tcMar>
            <w:vAlign w:val="center"/>
          </w:tcPr>
          <w:p w14:paraId="32B98A99"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4,756.28</w:t>
            </w:r>
          </w:p>
        </w:tc>
        <w:tc>
          <w:tcPr>
            <w:tcW w:w="1079" w:type="dxa"/>
            <w:shd w:val="clear" w:color="auto" w:fill="auto"/>
            <w:tcMar>
              <w:top w:w="0" w:type="dxa"/>
              <w:left w:w="108" w:type="dxa"/>
              <w:bottom w:w="0" w:type="dxa"/>
              <w:right w:w="108" w:type="dxa"/>
            </w:tcMar>
            <w:vAlign w:val="center"/>
          </w:tcPr>
          <w:p w14:paraId="1306CCE0"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12.97%</w:t>
            </w:r>
          </w:p>
        </w:tc>
        <w:tc>
          <w:tcPr>
            <w:tcW w:w="760" w:type="dxa"/>
            <w:shd w:val="clear" w:color="auto" w:fill="auto"/>
            <w:tcMar>
              <w:top w:w="0" w:type="dxa"/>
              <w:left w:w="108" w:type="dxa"/>
              <w:bottom w:w="0" w:type="dxa"/>
              <w:right w:w="108" w:type="dxa"/>
            </w:tcMar>
            <w:vAlign w:val="center"/>
          </w:tcPr>
          <w:p w14:paraId="06EE772F"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A14006" w:rsidRPr="00B4515A" w14:paraId="738D8E14" w14:textId="77777777" w:rsidTr="00EE238F">
        <w:trPr>
          <w:trHeight w:val="340"/>
          <w:jc w:val="center"/>
        </w:trPr>
        <w:tc>
          <w:tcPr>
            <w:tcW w:w="1092" w:type="dxa"/>
            <w:vMerge/>
            <w:tcMar>
              <w:top w:w="0" w:type="dxa"/>
              <w:left w:w="108" w:type="dxa"/>
              <w:bottom w:w="0" w:type="dxa"/>
              <w:right w:w="108" w:type="dxa"/>
            </w:tcMar>
            <w:vAlign w:val="center"/>
          </w:tcPr>
          <w:p w14:paraId="271CCD75"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p>
        </w:tc>
        <w:tc>
          <w:tcPr>
            <w:tcW w:w="756" w:type="dxa"/>
            <w:shd w:val="clear" w:color="auto" w:fill="auto"/>
            <w:tcMar>
              <w:top w:w="0" w:type="dxa"/>
              <w:left w:w="108" w:type="dxa"/>
              <w:bottom w:w="0" w:type="dxa"/>
              <w:right w:w="108" w:type="dxa"/>
            </w:tcMar>
            <w:vAlign w:val="center"/>
          </w:tcPr>
          <w:p w14:paraId="1702CC49"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p>
        </w:tc>
        <w:tc>
          <w:tcPr>
            <w:tcW w:w="1509" w:type="dxa"/>
            <w:shd w:val="clear" w:color="auto" w:fill="auto"/>
            <w:tcMar>
              <w:top w:w="0" w:type="dxa"/>
              <w:left w:w="108" w:type="dxa"/>
              <w:bottom w:w="0" w:type="dxa"/>
              <w:right w:w="108" w:type="dxa"/>
            </w:tcMar>
            <w:vAlign w:val="bottom"/>
          </w:tcPr>
          <w:p w14:paraId="6163CAA2" w14:textId="57C216CB"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某电子科技集团下属企业</w:t>
            </w:r>
          </w:p>
        </w:tc>
        <w:tc>
          <w:tcPr>
            <w:tcW w:w="1135" w:type="dxa"/>
            <w:shd w:val="clear" w:color="auto" w:fill="auto"/>
            <w:tcMar>
              <w:top w:w="0" w:type="dxa"/>
              <w:left w:w="108" w:type="dxa"/>
              <w:bottom w:w="0" w:type="dxa"/>
              <w:right w:w="108" w:type="dxa"/>
            </w:tcMar>
            <w:vAlign w:val="center"/>
          </w:tcPr>
          <w:p w14:paraId="4C6198F2"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57354B90"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1111" w:type="dxa"/>
            <w:shd w:val="clear" w:color="auto" w:fill="auto"/>
            <w:tcMar>
              <w:top w:w="0" w:type="dxa"/>
              <w:left w:w="108" w:type="dxa"/>
              <w:bottom w:w="0" w:type="dxa"/>
              <w:right w:w="108" w:type="dxa"/>
            </w:tcMar>
            <w:vAlign w:val="center"/>
          </w:tcPr>
          <w:p w14:paraId="32A0B060"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2,723.67</w:t>
            </w:r>
          </w:p>
        </w:tc>
        <w:tc>
          <w:tcPr>
            <w:tcW w:w="1079" w:type="dxa"/>
            <w:shd w:val="clear" w:color="auto" w:fill="auto"/>
            <w:tcMar>
              <w:top w:w="0" w:type="dxa"/>
              <w:left w:w="108" w:type="dxa"/>
              <w:bottom w:w="0" w:type="dxa"/>
              <w:right w:w="108" w:type="dxa"/>
            </w:tcMar>
            <w:vAlign w:val="center"/>
          </w:tcPr>
          <w:p w14:paraId="599B1D47"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7.42%</w:t>
            </w:r>
          </w:p>
        </w:tc>
        <w:tc>
          <w:tcPr>
            <w:tcW w:w="760" w:type="dxa"/>
            <w:shd w:val="clear" w:color="auto" w:fill="auto"/>
            <w:tcMar>
              <w:top w:w="0" w:type="dxa"/>
              <w:left w:w="108" w:type="dxa"/>
              <w:bottom w:w="0" w:type="dxa"/>
              <w:right w:w="108" w:type="dxa"/>
            </w:tcMar>
            <w:vAlign w:val="center"/>
          </w:tcPr>
          <w:p w14:paraId="2EBF14CB"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2272B0" w:rsidRPr="00B4515A" w14:paraId="324D5F1B" w14:textId="77777777" w:rsidTr="00EE238F">
        <w:trPr>
          <w:trHeight w:val="340"/>
          <w:jc w:val="center"/>
        </w:trPr>
        <w:tc>
          <w:tcPr>
            <w:tcW w:w="1092" w:type="dxa"/>
            <w:vMerge/>
            <w:tcMar>
              <w:top w:w="0" w:type="dxa"/>
              <w:left w:w="108" w:type="dxa"/>
              <w:bottom w:w="0" w:type="dxa"/>
              <w:right w:w="108" w:type="dxa"/>
            </w:tcMar>
            <w:vAlign w:val="center"/>
          </w:tcPr>
          <w:p w14:paraId="18908968"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p>
        </w:tc>
        <w:tc>
          <w:tcPr>
            <w:tcW w:w="756" w:type="dxa"/>
            <w:shd w:val="clear" w:color="auto" w:fill="auto"/>
            <w:tcMar>
              <w:top w:w="0" w:type="dxa"/>
              <w:left w:w="108" w:type="dxa"/>
              <w:bottom w:w="0" w:type="dxa"/>
              <w:right w:w="108" w:type="dxa"/>
            </w:tcMar>
            <w:vAlign w:val="center"/>
          </w:tcPr>
          <w:p w14:paraId="7BF4233C"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w:t>
            </w:r>
          </w:p>
        </w:tc>
        <w:tc>
          <w:tcPr>
            <w:tcW w:w="1509" w:type="dxa"/>
            <w:shd w:val="clear" w:color="auto" w:fill="auto"/>
            <w:tcMar>
              <w:top w:w="0" w:type="dxa"/>
              <w:left w:w="108" w:type="dxa"/>
              <w:bottom w:w="0" w:type="dxa"/>
              <w:right w:w="108" w:type="dxa"/>
            </w:tcMar>
            <w:vAlign w:val="center"/>
          </w:tcPr>
          <w:p w14:paraId="5FF8A770" w14:textId="0366EFE6"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CA100190</w:t>
            </w:r>
          </w:p>
        </w:tc>
        <w:tc>
          <w:tcPr>
            <w:tcW w:w="1135" w:type="dxa"/>
            <w:shd w:val="clear" w:color="auto" w:fill="auto"/>
            <w:tcMar>
              <w:top w:w="0" w:type="dxa"/>
              <w:left w:w="108" w:type="dxa"/>
              <w:bottom w:w="0" w:type="dxa"/>
              <w:right w:w="108" w:type="dxa"/>
            </w:tcMar>
            <w:vAlign w:val="center"/>
          </w:tcPr>
          <w:p w14:paraId="613C4A3A"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60F88B67"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1111" w:type="dxa"/>
            <w:shd w:val="clear" w:color="auto" w:fill="auto"/>
            <w:tcMar>
              <w:top w:w="0" w:type="dxa"/>
              <w:left w:w="108" w:type="dxa"/>
              <w:bottom w:w="0" w:type="dxa"/>
              <w:right w:w="108" w:type="dxa"/>
            </w:tcMar>
            <w:vAlign w:val="center"/>
          </w:tcPr>
          <w:p w14:paraId="3A08E3AE" w14:textId="77777777" w:rsidR="002272B0" w:rsidRPr="00B4515A" w:rsidRDefault="002272B0"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1,871.60</w:t>
            </w:r>
          </w:p>
        </w:tc>
        <w:tc>
          <w:tcPr>
            <w:tcW w:w="1079" w:type="dxa"/>
            <w:shd w:val="clear" w:color="auto" w:fill="auto"/>
            <w:tcMar>
              <w:top w:w="0" w:type="dxa"/>
              <w:left w:w="108" w:type="dxa"/>
              <w:bottom w:w="0" w:type="dxa"/>
              <w:right w:w="108" w:type="dxa"/>
            </w:tcMar>
            <w:vAlign w:val="center"/>
          </w:tcPr>
          <w:p w14:paraId="02136E52" w14:textId="77777777" w:rsidR="002272B0" w:rsidRPr="00B4515A" w:rsidRDefault="002272B0"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5.10%</w:t>
            </w:r>
          </w:p>
        </w:tc>
        <w:tc>
          <w:tcPr>
            <w:tcW w:w="760" w:type="dxa"/>
            <w:shd w:val="clear" w:color="auto" w:fill="auto"/>
            <w:tcMar>
              <w:top w:w="0" w:type="dxa"/>
              <w:left w:w="108" w:type="dxa"/>
              <w:bottom w:w="0" w:type="dxa"/>
              <w:right w:w="108" w:type="dxa"/>
            </w:tcMar>
            <w:vAlign w:val="center"/>
          </w:tcPr>
          <w:p w14:paraId="3E7BE6AD"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2272B0" w:rsidRPr="00B4515A" w14:paraId="40454E71" w14:textId="77777777" w:rsidTr="00EE238F">
        <w:trPr>
          <w:trHeight w:val="340"/>
          <w:jc w:val="center"/>
        </w:trPr>
        <w:tc>
          <w:tcPr>
            <w:tcW w:w="1092" w:type="dxa"/>
            <w:vMerge/>
            <w:tcMar>
              <w:top w:w="0" w:type="dxa"/>
              <w:left w:w="108" w:type="dxa"/>
              <w:bottom w:w="0" w:type="dxa"/>
              <w:right w:w="108" w:type="dxa"/>
            </w:tcMar>
            <w:vAlign w:val="center"/>
          </w:tcPr>
          <w:p w14:paraId="5D465AA2"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p>
        </w:tc>
        <w:tc>
          <w:tcPr>
            <w:tcW w:w="756" w:type="dxa"/>
            <w:shd w:val="clear" w:color="auto" w:fill="auto"/>
            <w:tcMar>
              <w:top w:w="0" w:type="dxa"/>
              <w:left w:w="108" w:type="dxa"/>
              <w:bottom w:w="0" w:type="dxa"/>
              <w:right w:w="108" w:type="dxa"/>
            </w:tcMar>
            <w:vAlign w:val="center"/>
          </w:tcPr>
          <w:p w14:paraId="6F0FF228"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w:t>
            </w:r>
          </w:p>
        </w:tc>
        <w:tc>
          <w:tcPr>
            <w:tcW w:w="1509" w:type="dxa"/>
            <w:shd w:val="clear" w:color="auto" w:fill="auto"/>
            <w:tcMar>
              <w:top w:w="0" w:type="dxa"/>
              <w:left w:w="108" w:type="dxa"/>
              <w:bottom w:w="0" w:type="dxa"/>
              <w:right w:w="108" w:type="dxa"/>
            </w:tcMar>
            <w:vAlign w:val="center"/>
          </w:tcPr>
          <w:p w14:paraId="51C9EBA8" w14:textId="76BD6BBD"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CA100067</w:t>
            </w:r>
          </w:p>
        </w:tc>
        <w:tc>
          <w:tcPr>
            <w:tcW w:w="1135" w:type="dxa"/>
            <w:shd w:val="clear" w:color="auto" w:fill="auto"/>
            <w:tcMar>
              <w:top w:w="0" w:type="dxa"/>
              <w:left w:w="108" w:type="dxa"/>
              <w:bottom w:w="0" w:type="dxa"/>
              <w:right w:w="108" w:type="dxa"/>
            </w:tcMar>
            <w:vAlign w:val="center"/>
          </w:tcPr>
          <w:p w14:paraId="4A626113"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3B32F5F6"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1111" w:type="dxa"/>
            <w:shd w:val="clear" w:color="auto" w:fill="auto"/>
            <w:tcMar>
              <w:top w:w="0" w:type="dxa"/>
              <w:left w:w="108" w:type="dxa"/>
              <w:bottom w:w="0" w:type="dxa"/>
              <w:right w:w="108" w:type="dxa"/>
            </w:tcMar>
            <w:vAlign w:val="center"/>
          </w:tcPr>
          <w:p w14:paraId="2D12B2F6" w14:textId="77777777" w:rsidR="002272B0" w:rsidRPr="00B4515A" w:rsidRDefault="002272B0"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1,221.10</w:t>
            </w:r>
          </w:p>
        </w:tc>
        <w:tc>
          <w:tcPr>
            <w:tcW w:w="1079" w:type="dxa"/>
            <w:shd w:val="clear" w:color="auto" w:fill="auto"/>
            <w:tcMar>
              <w:top w:w="0" w:type="dxa"/>
              <w:left w:w="108" w:type="dxa"/>
              <w:bottom w:w="0" w:type="dxa"/>
              <w:right w:w="108" w:type="dxa"/>
            </w:tcMar>
            <w:vAlign w:val="center"/>
          </w:tcPr>
          <w:p w14:paraId="416863FB" w14:textId="77777777" w:rsidR="002272B0" w:rsidRPr="00B4515A" w:rsidRDefault="002272B0"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3.33%</w:t>
            </w:r>
          </w:p>
        </w:tc>
        <w:tc>
          <w:tcPr>
            <w:tcW w:w="760" w:type="dxa"/>
            <w:shd w:val="clear" w:color="auto" w:fill="auto"/>
            <w:tcMar>
              <w:top w:w="0" w:type="dxa"/>
              <w:left w:w="108" w:type="dxa"/>
              <w:bottom w:w="0" w:type="dxa"/>
              <w:right w:w="108" w:type="dxa"/>
            </w:tcMar>
            <w:vAlign w:val="center"/>
          </w:tcPr>
          <w:p w14:paraId="5CD05B24"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2272B0" w:rsidRPr="00B4515A" w14:paraId="4D947FC0" w14:textId="77777777" w:rsidTr="00EE238F">
        <w:trPr>
          <w:trHeight w:val="340"/>
          <w:jc w:val="center"/>
        </w:trPr>
        <w:tc>
          <w:tcPr>
            <w:tcW w:w="1092" w:type="dxa"/>
            <w:vMerge/>
            <w:tcMar>
              <w:top w:w="0" w:type="dxa"/>
              <w:left w:w="108" w:type="dxa"/>
              <w:bottom w:w="0" w:type="dxa"/>
              <w:right w:w="108" w:type="dxa"/>
            </w:tcMar>
            <w:vAlign w:val="center"/>
          </w:tcPr>
          <w:p w14:paraId="3DDF2123"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p>
        </w:tc>
        <w:tc>
          <w:tcPr>
            <w:tcW w:w="756" w:type="dxa"/>
            <w:shd w:val="clear" w:color="auto" w:fill="auto"/>
            <w:tcMar>
              <w:top w:w="0" w:type="dxa"/>
              <w:left w:w="108" w:type="dxa"/>
              <w:bottom w:w="0" w:type="dxa"/>
              <w:right w:w="108" w:type="dxa"/>
            </w:tcMar>
            <w:vAlign w:val="center"/>
          </w:tcPr>
          <w:p w14:paraId="34071E9F"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w:t>
            </w:r>
          </w:p>
        </w:tc>
        <w:tc>
          <w:tcPr>
            <w:tcW w:w="1509" w:type="dxa"/>
            <w:shd w:val="clear" w:color="auto" w:fill="auto"/>
            <w:tcMar>
              <w:top w:w="0" w:type="dxa"/>
              <w:left w:w="108" w:type="dxa"/>
              <w:bottom w:w="0" w:type="dxa"/>
              <w:right w:w="108" w:type="dxa"/>
            </w:tcMar>
            <w:vAlign w:val="center"/>
          </w:tcPr>
          <w:p w14:paraId="102E8A9D" w14:textId="02D29FF0" w:rsidR="002272B0" w:rsidRPr="00B4515A" w:rsidRDefault="00A14006" w:rsidP="008447AE">
            <w:pPr>
              <w:adjustRightInd w:val="0"/>
              <w:snapToGrid w:val="0"/>
              <w:jc w:val="center"/>
              <w:rPr>
                <w:rFonts w:ascii="等线" w:eastAsia="等线" w:hAnsi="等线"/>
                <w:color w:val="000000"/>
                <w:sz w:val="22"/>
                <w:szCs w:val="22"/>
              </w:rPr>
            </w:pPr>
            <w:r w:rsidRPr="00B4515A">
              <w:rPr>
                <w:rFonts w:ascii="Times New Roman" w:eastAsiaTheme="minorEastAsia" w:hAnsi="Times New Roman" w:cs="Times New Roman" w:hint="eastAsia"/>
                <w:color w:val="000000"/>
                <w:sz w:val="21"/>
                <w:szCs w:val="21"/>
              </w:rPr>
              <w:t>中国某工业集团下属企业</w:t>
            </w:r>
          </w:p>
        </w:tc>
        <w:tc>
          <w:tcPr>
            <w:tcW w:w="1135" w:type="dxa"/>
            <w:shd w:val="clear" w:color="auto" w:fill="auto"/>
            <w:tcMar>
              <w:top w:w="0" w:type="dxa"/>
              <w:left w:w="108" w:type="dxa"/>
              <w:bottom w:w="0" w:type="dxa"/>
              <w:right w:w="108" w:type="dxa"/>
            </w:tcMar>
            <w:vAlign w:val="center"/>
          </w:tcPr>
          <w:p w14:paraId="64885C22"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5E437FE8"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1111" w:type="dxa"/>
            <w:shd w:val="clear" w:color="auto" w:fill="auto"/>
            <w:tcMar>
              <w:top w:w="0" w:type="dxa"/>
              <w:left w:w="108" w:type="dxa"/>
              <w:bottom w:w="0" w:type="dxa"/>
              <w:right w:w="108" w:type="dxa"/>
            </w:tcMar>
            <w:vAlign w:val="center"/>
          </w:tcPr>
          <w:p w14:paraId="5E8ED546" w14:textId="77777777" w:rsidR="002272B0" w:rsidRPr="00B4515A" w:rsidRDefault="002272B0"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1,171.42</w:t>
            </w:r>
          </w:p>
        </w:tc>
        <w:tc>
          <w:tcPr>
            <w:tcW w:w="1079" w:type="dxa"/>
            <w:shd w:val="clear" w:color="auto" w:fill="auto"/>
            <w:tcMar>
              <w:top w:w="0" w:type="dxa"/>
              <w:left w:w="108" w:type="dxa"/>
              <w:bottom w:w="0" w:type="dxa"/>
              <w:right w:w="108" w:type="dxa"/>
            </w:tcMar>
            <w:vAlign w:val="center"/>
          </w:tcPr>
          <w:p w14:paraId="2898D126" w14:textId="77777777" w:rsidR="002272B0" w:rsidRPr="00B4515A" w:rsidRDefault="002272B0"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3.19%</w:t>
            </w:r>
          </w:p>
        </w:tc>
        <w:tc>
          <w:tcPr>
            <w:tcW w:w="760" w:type="dxa"/>
            <w:shd w:val="clear" w:color="auto" w:fill="auto"/>
            <w:tcMar>
              <w:top w:w="0" w:type="dxa"/>
              <w:left w:w="108" w:type="dxa"/>
              <w:bottom w:w="0" w:type="dxa"/>
              <w:right w:w="108" w:type="dxa"/>
            </w:tcMar>
            <w:vAlign w:val="center"/>
          </w:tcPr>
          <w:p w14:paraId="099C55CE" w14:textId="77777777" w:rsidR="002272B0" w:rsidRPr="00B4515A" w:rsidRDefault="002272B0"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416B0" w:rsidRPr="00B4515A" w14:paraId="3176149C" w14:textId="77777777" w:rsidTr="002B0582">
        <w:trPr>
          <w:trHeight w:val="340"/>
          <w:jc w:val="center"/>
        </w:trPr>
        <w:tc>
          <w:tcPr>
            <w:tcW w:w="1092" w:type="dxa"/>
            <w:vMerge/>
            <w:tcMar>
              <w:top w:w="0" w:type="dxa"/>
              <w:left w:w="108" w:type="dxa"/>
              <w:bottom w:w="0" w:type="dxa"/>
              <w:right w:w="108" w:type="dxa"/>
            </w:tcMar>
            <w:vAlign w:val="center"/>
          </w:tcPr>
          <w:p w14:paraId="54F5C044"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4535" w:type="dxa"/>
            <w:gridSpan w:val="4"/>
            <w:shd w:val="clear" w:color="auto" w:fill="auto"/>
            <w:tcMar>
              <w:top w:w="0" w:type="dxa"/>
              <w:left w:w="108" w:type="dxa"/>
              <w:bottom w:w="0" w:type="dxa"/>
              <w:right w:w="108" w:type="dxa"/>
            </w:tcMar>
            <w:vAlign w:val="center"/>
          </w:tcPr>
          <w:p w14:paraId="72DDD08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1111" w:type="dxa"/>
            <w:shd w:val="clear" w:color="auto" w:fill="auto"/>
            <w:tcMar>
              <w:top w:w="0" w:type="dxa"/>
              <w:left w:w="108" w:type="dxa"/>
              <w:bottom w:w="0" w:type="dxa"/>
              <w:right w:w="108" w:type="dxa"/>
            </w:tcMar>
            <w:vAlign w:val="center"/>
          </w:tcPr>
          <w:p w14:paraId="4295FDD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11,744.07</w:t>
            </w:r>
          </w:p>
        </w:tc>
        <w:tc>
          <w:tcPr>
            <w:tcW w:w="1079" w:type="dxa"/>
            <w:shd w:val="clear" w:color="auto" w:fill="auto"/>
            <w:tcMar>
              <w:top w:w="0" w:type="dxa"/>
              <w:left w:w="108" w:type="dxa"/>
              <w:bottom w:w="0" w:type="dxa"/>
              <w:right w:w="108" w:type="dxa"/>
            </w:tcMar>
            <w:vAlign w:val="center"/>
          </w:tcPr>
          <w:p w14:paraId="572E9847" w14:textId="654E58E8"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32.01%</w:t>
            </w:r>
          </w:p>
        </w:tc>
        <w:tc>
          <w:tcPr>
            <w:tcW w:w="760" w:type="dxa"/>
            <w:shd w:val="clear" w:color="auto" w:fill="auto"/>
            <w:tcMar>
              <w:top w:w="0" w:type="dxa"/>
              <w:left w:w="108" w:type="dxa"/>
              <w:bottom w:w="0" w:type="dxa"/>
              <w:right w:w="108" w:type="dxa"/>
            </w:tcMar>
            <w:vAlign w:val="center"/>
          </w:tcPr>
          <w:p w14:paraId="3194B87B"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D8299C" w:rsidRPr="00B4515A" w14:paraId="52D9C684" w14:textId="77777777" w:rsidTr="00EE238F">
        <w:trPr>
          <w:trHeight w:val="340"/>
          <w:jc w:val="center"/>
        </w:trPr>
        <w:tc>
          <w:tcPr>
            <w:tcW w:w="1092" w:type="dxa"/>
            <w:vMerge w:val="restart"/>
            <w:shd w:val="clear" w:color="auto" w:fill="auto"/>
            <w:tcMar>
              <w:top w:w="0" w:type="dxa"/>
              <w:left w:w="108" w:type="dxa"/>
              <w:bottom w:w="0" w:type="dxa"/>
              <w:right w:w="108" w:type="dxa"/>
            </w:tcMar>
            <w:vAlign w:val="center"/>
          </w:tcPr>
          <w:p w14:paraId="1A017AEB"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lastRenderedPageBreak/>
              <w:t>专用宽带电台</w:t>
            </w:r>
          </w:p>
        </w:tc>
        <w:tc>
          <w:tcPr>
            <w:tcW w:w="756" w:type="dxa"/>
            <w:shd w:val="clear" w:color="auto" w:fill="auto"/>
            <w:tcMar>
              <w:top w:w="0" w:type="dxa"/>
              <w:left w:w="108" w:type="dxa"/>
              <w:bottom w:w="0" w:type="dxa"/>
              <w:right w:w="108" w:type="dxa"/>
            </w:tcMar>
            <w:vAlign w:val="center"/>
          </w:tcPr>
          <w:p w14:paraId="45D53F78"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p>
        </w:tc>
        <w:tc>
          <w:tcPr>
            <w:tcW w:w="1509" w:type="dxa"/>
            <w:shd w:val="clear" w:color="auto" w:fill="auto"/>
            <w:tcMar>
              <w:top w:w="0" w:type="dxa"/>
              <w:left w:w="108" w:type="dxa"/>
              <w:bottom w:w="0" w:type="dxa"/>
              <w:right w:w="108" w:type="dxa"/>
            </w:tcMar>
            <w:vAlign w:val="center"/>
          </w:tcPr>
          <w:p w14:paraId="20F0BDFB" w14:textId="1904ACA4" w:rsidR="00D8299C" w:rsidRPr="00B4515A" w:rsidRDefault="00A14006"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客户</w:t>
            </w:r>
            <w:r w:rsidRPr="00B4515A">
              <w:rPr>
                <w:rFonts w:ascii="Times New Roman" w:eastAsiaTheme="minorEastAsia" w:hAnsi="Times New Roman" w:cs="Times New Roman"/>
                <w:color w:val="000000"/>
                <w:sz w:val="21"/>
                <w:szCs w:val="21"/>
              </w:rPr>
              <w:t>Z</w:t>
            </w:r>
          </w:p>
        </w:tc>
        <w:tc>
          <w:tcPr>
            <w:tcW w:w="1135" w:type="dxa"/>
            <w:shd w:val="clear" w:color="auto" w:fill="auto"/>
            <w:tcMar>
              <w:top w:w="0" w:type="dxa"/>
              <w:left w:w="108" w:type="dxa"/>
              <w:bottom w:w="0" w:type="dxa"/>
              <w:right w:w="108" w:type="dxa"/>
            </w:tcMar>
            <w:vAlign w:val="center"/>
          </w:tcPr>
          <w:p w14:paraId="4EB5026D"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112AEAF0"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技术开发</w:t>
            </w:r>
          </w:p>
        </w:tc>
        <w:tc>
          <w:tcPr>
            <w:tcW w:w="1111" w:type="dxa"/>
            <w:shd w:val="clear" w:color="auto" w:fill="auto"/>
            <w:tcMar>
              <w:top w:w="0" w:type="dxa"/>
              <w:left w:w="108" w:type="dxa"/>
              <w:bottom w:w="0" w:type="dxa"/>
              <w:right w:w="108" w:type="dxa"/>
            </w:tcMar>
            <w:vAlign w:val="center"/>
          </w:tcPr>
          <w:p w14:paraId="3683BCC6" w14:textId="77777777" w:rsidR="00D8299C" w:rsidRPr="00B4515A" w:rsidRDefault="00D8299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4,884.24</w:t>
            </w:r>
          </w:p>
        </w:tc>
        <w:tc>
          <w:tcPr>
            <w:tcW w:w="1079" w:type="dxa"/>
            <w:shd w:val="clear" w:color="auto" w:fill="auto"/>
            <w:tcMar>
              <w:top w:w="0" w:type="dxa"/>
              <w:left w:w="108" w:type="dxa"/>
              <w:bottom w:w="0" w:type="dxa"/>
              <w:right w:w="108" w:type="dxa"/>
            </w:tcMar>
            <w:vAlign w:val="center"/>
          </w:tcPr>
          <w:p w14:paraId="76EDCB9F" w14:textId="77777777" w:rsidR="00D8299C" w:rsidRPr="00B4515A" w:rsidRDefault="00D8299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13.31%</w:t>
            </w:r>
          </w:p>
        </w:tc>
        <w:tc>
          <w:tcPr>
            <w:tcW w:w="760" w:type="dxa"/>
            <w:shd w:val="clear" w:color="auto" w:fill="auto"/>
            <w:tcMar>
              <w:top w:w="0" w:type="dxa"/>
              <w:left w:w="108" w:type="dxa"/>
              <w:bottom w:w="0" w:type="dxa"/>
              <w:right w:w="108" w:type="dxa"/>
            </w:tcMar>
            <w:vAlign w:val="center"/>
          </w:tcPr>
          <w:p w14:paraId="1BA98ED8"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1350E7CF" w14:textId="77777777" w:rsidTr="00EE238F">
        <w:trPr>
          <w:trHeight w:val="340"/>
          <w:jc w:val="center"/>
        </w:trPr>
        <w:tc>
          <w:tcPr>
            <w:tcW w:w="1092" w:type="dxa"/>
            <w:vMerge/>
            <w:tcMar>
              <w:top w:w="0" w:type="dxa"/>
              <w:left w:w="108" w:type="dxa"/>
              <w:bottom w:w="0" w:type="dxa"/>
              <w:right w:w="108" w:type="dxa"/>
            </w:tcMar>
            <w:vAlign w:val="center"/>
          </w:tcPr>
          <w:p w14:paraId="07A18BD3"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c>
          <w:tcPr>
            <w:tcW w:w="756" w:type="dxa"/>
            <w:shd w:val="clear" w:color="auto" w:fill="auto"/>
            <w:tcMar>
              <w:top w:w="0" w:type="dxa"/>
              <w:left w:w="108" w:type="dxa"/>
              <w:bottom w:w="0" w:type="dxa"/>
              <w:right w:w="108" w:type="dxa"/>
            </w:tcMar>
            <w:vAlign w:val="center"/>
          </w:tcPr>
          <w:p w14:paraId="5B7DD745"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p>
        </w:tc>
        <w:tc>
          <w:tcPr>
            <w:tcW w:w="1509" w:type="dxa"/>
            <w:shd w:val="clear" w:color="auto" w:fill="auto"/>
            <w:tcMar>
              <w:top w:w="0" w:type="dxa"/>
              <w:left w:w="108" w:type="dxa"/>
              <w:bottom w:w="0" w:type="dxa"/>
              <w:right w:w="108" w:type="dxa"/>
            </w:tcMar>
            <w:vAlign w:val="center"/>
          </w:tcPr>
          <w:p w14:paraId="05B8660F" w14:textId="70232FB5"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CA100128</w:t>
            </w:r>
          </w:p>
        </w:tc>
        <w:tc>
          <w:tcPr>
            <w:tcW w:w="1135" w:type="dxa"/>
            <w:shd w:val="clear" w:color="auto" w:fill="auto"/>
            <w:tcMar>
              <w:top w:w="0" w:type="dxa"/>
              <w:left w:w="108" w:type="dxa"/>
              <w:bottom w:w="0" w:type="dxa"/>
              <w:right w:w="108" w:type="dxa"/>
            </w:tcMar>
            <w:vAlign w:val="center"/>
          </w:tcPr>
          <w:p w14:paraId="0E3007D2"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63A8C9DF"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1111" w:type="dxa"/>
            <w:shd w:val="clear" w:color="auto" w:fill="auto"/>
            <w:tcMar>
              <w:top w:w="0" w:type="dxa"/>
              <w:left w:w="108" w:type="dxa"/>
              <w:bottom w:w="0" w:type="dxa"/>
              <w:right w:w="108" w:type="dxa"/>
            </w:tcMar>
            <w:vAlign w:val="center"/>
          </w:tcPr>
          <w:p w14:paraId="5D554DE5" w14:textId="10EA1C8E"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2,292.53 </w:t>
            </w:r>
          </w:p>
        </w:tc>
        <w:tc>
          <w:tcPr>
            <w:tcW w:w="1079" w:type="dxa"/>
            <w:shd w:val="clear" w:color="auto" w:fill="auto"/>
            <w:tcMar>
              <w:top w:w="0" w:type="dxa"/>
              <w:left w:w="108" w:type="dxa"/>
              <w:bottom w:w="0" w:type="dxa"/>
              <w:right w:w="108" w:type="dxa"/>
            </w:tcMar>
            <w:vAlign w:val="center"/>
          </w:tcPr>
          <w:p w14:paraId="2C9A3AE3" w14:textId="00563959"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6.25%</w:t>
            </w:r>
          </w:p>
        </w:tc>
        <w:tc>
          <w:tcPr>
            <w:tcW w:w="760" w:type="dxa"/>
            <w:shd w:val="clear" w:color="auto" w:fill="auto"/>
            <w:tcMar>
              <w:top w:w="0" w:type="dxa"/>
              <w:left w:w="108" w:type="dxa"/>
              <w:bottom w:w="0" w:type="dxa"/>
              <w:right w:w="108" w:type="dxa"/>
            </w:tcMar>
            <w:vAlign w:val="center"/>
          </w:tcPr>
          <w:p w14:paraId="33D1D123" w14:textId="06E2C2EF" w:rsidR="006F4D2A" w:rsidRPr="00B4515A" w:rsidRDefault="003F6C42"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D8299C" w:rsidRPr="00B4515A" w14:paraId="07C78A61" w14:textId="77777777" w:rsidTr="00EE238F">
        <w:trPr>
          <w:trHeight w:val="340"/>
          <w:jc w:val="center"/>
        </w:trPr>
        <w:tc>
          <w:tcPr>
            <w:tcW w:w="1092" w:type="dxa"/>
            <w:vMerge/>
            <w:tcMar>
              <w:top w:w="0" w:type="dxa"/>
              <w:left w:w="108" w:type="dxa"/>
              <w:bottom w:w="0" w:type="dxa"/>
              <w:right w:w="108" w:type="dxa"/>
            </w:tcMar>
            <w:vAlign w:val="center"/>
          </w:tcPr>
          <w:p w14:paraId="21D9BD9A"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p>
        </w:tc>
        <w:tc>
          <w:tcPr>
            <w:tcW w:w="756" w:type="dxa"/>
            <w:shd w:val="clear" w:color="auto" w:fill="auto"/>
            <w:tcMar>
              <w:top w:w="0" w:type="dxa"/>
              <w:left w:w="108" w:type="dxa"/>
              <w:bottom w:w="0" w:type="dxa"/>
              <w:right w:w="108" w:type="dxa"/>
            </w:tcMar>
            <w:vAlign w:val="center"/>
          </w:tcPr>
          <w:p w14:paraId="394B88C6"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w:t>
            </w:r>
          </w:p>
        </w:tc>
        <w:tc>
          <w:tcPr>
            <w:tcW w:w="1509" w:type="dxa"/>
            <w:shd w:val="clear" w:color="auto" w:fill="auto"/>
            <w:tcMar>
              <w:top w:w="0" w:type="dxa"/>
              <w:left w:w="108" w:type="dxa"/>
              <w:bottom w:w="0" w:type="dxa"/>
              <w:right w:w="108" w:type="dxa"/>
            </w:tcMar>
            <w:vAlign w:val="center"/>
          </w:tcPr>
          <w:p w14:paraId="21CAE6E1" w14:textId="445CF5C2" w:rsidR="00D8299C" w:rsidRPr="00B4515A" w:rsidRDefault="00A14006"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中国信科集团及下属企业</w:t>
            </w:r>
          </w:p>
        </w:tc>
        <w:tc>
          <w:tcPr>
            <w:tcW w:w="1135" w:type="dxa"/>
            <w:shd w:val="clear" w:color="auto" w:fill="auto"/>
            <w:tcMar>
              <w:top w:w="0" w:type="dxa"/>
              <w:left w:w="108" w:type="dxa"/>
              <w:bottom w:w="0" w:type="dxa"/>
              <w:right w:w="108" w:type="dxa"/>
            </w:tcMar>
            <w:vAlign w:val="center"/>
          </w:tcPr>
          <w:p w14:paraId="0007FC24"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4D609F9C"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1111" w:type="dxa"/>
            <w:shd w:val="clear" w:color="auto" w:fill="auto"/>
            <w:tcMar>
              <w:top w:w="0" w:type="dxa"/>
              <w:left w:w="108" w:type="dxa"/>
              <w:bottom w:w="0" w:type="dxa"/>
              <w:right w:w="108" w:type="dxa"/>
            </w:tcMar>
            <w:vAlign w:val="center"/>
          </w:tcPr>
          <w:p w14:paraId="0ED7F5CC" w14:textId="77777777" w:rsidR="00D8299C" w:rsidRPr="00B4515A" w:rsidRDefault="00D8299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1,463.49</w:t>
            </w:r>
          </w:p>
        </w:tc>
        <w:tc>
          <w:tcPr>
            <w:tcW w:w="1079" w:type="dxa"/>
            <w:shd w:val="clear" w:color="auto" w:fill="auto"/>
            <w:tcMar>
              <w:top w:w="0" w:type="dxa"/>
              <w:left w:w="108" w:type="dxa"/>
              <w:bottom w:w="0" w:type="dxa"/>
              <w:right w:w="108" w:type="dxa"/>
            </w:tcMar>
            <w:vAlign w:val="center"/>
          </w:tcPr>
          <w:p w14:paraId="0DFD5739" w14:textId="77777777" w:rsidR="00D8299C" w:rsidRPr="00B4515A" w:rsidRDefault="00D8299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3.99%</w:t>
            </w:r>
          </w:p>
        </w:tc>
        <w:tc>
          <w:tcPr>
            <w:tcW w:w="760" w:type="dxa"/>
            <w:shd w:val="clear" w:color="auto" w:fill="auto"/>
            <w:tcMar>
              <w:top w:w="0" w:type="dxa"/>
              <w:left w:w="108" w:type="dxa"/>
              <w:bottom w:w="0" w:type="dxa"/>
              <w:right w:w="108" w:type="dxa"/>
            </w:tcMar>
            <w:vAlign w:val="center"/>
          </w:tcPr>
          <w:p w14:paraId="4B07DD74" w14:textId="3D4CFEC4" w:rsidR="00D8299C" w:rsidRPr="00B4515A" w:rsidRDefault="003F6C42"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是</w:t>
            </w:r>
          </w:p>
        </w:tc>
      </w:tr>
      <w:tr w:rsidR="00D8299C" w:rsidRPr="00B4515A" w14:paraId="5D59CD76" w14:textId="77777777" w:rsidTr="00EE238F">
        <w:trPr>
          <w:trHeight w:val="340"/>
          <w:jc w:val="center"/>
        </w:trPr>
        <w:tc>
          <w:tcPr>
            <w:tcW w:w="1092" w:type="dxa"/>
            <w:vMerge/>
            <w:tcMar>
              <w:top w:w="0" w:type="dxa"/>
              <w:left w:w="108" w:type="dxa"/>
              <w:bottom w:w="0" w:type="dxa"/>
              <w:right w:w="108" w:type="dxa"/>
            </w:tcMar>
            <w:vAlign w:val="center"/>
          </w:tcPr>
          <w:p w14:paraId="0D14598C"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p>
        </w:tc>
        <w:tc>
          <w:tcPr>
            <w:tcW w:w="756" w:type="dxa"/>
            <w:shd w:val="clear" w:color="auto" w:fill="auto"/>
            <w:tcMar>
              <w:top w:w="0" w:type="dxa"/>
              <w:left w:w="108" w:type="dxa"/>
              <w:bottom w:w="0" w:type="dxa"/>
              <w:right w:w="108" w:type="dxa"/>
            </w:tcMar>
            <w:vAlign w:val="center"/>
          </w:tcPr>
          <w:p w14:paraId="60BC0D13"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w:t>
            </w:r>
          </w:p>
        </w:tc>
        <w:tc>
          <w:tcPr>
            <w:tcW w:w="1509" w:type="dxa"/>
            <w:shd w:val="clear" w:color="auto" w:fill="auto"/>
            <w:tcMar>
              <w:top w:w="0" w:type="dxa"/>
              <w:left w:w="108" w:type="dxa"/>
              <w:bottom w:w="0" w:type="dxa"/>
              <w:right w:w="108" w:type="dxa"/>
            </w:tcMar>
            <w:vAlign w:val="center"/>
          </w:tcPr>
          <w:p w14:paraId="294E7B1A" w14:textId="372B2DCF"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CA100170</w:t>
            </w:r>
          </w:p>
        </w:tc>
        <w:tc>
          <w:tcPr>
            <w:tcW w:w="1135" w:type="dxa"/>
            <w:shd w:val="clear" w:color="auto" w:fill="auto"/>
            <w:tcMar>
              <w:top w:w="0" w:type="dxa"/>
              <w:left w:w="108" w:type="dxa"/>
              <w:bottom w:w="0" w:type="dxa"/>
              <w:right w:w="108" w:type="dxa"/>
            </w:tcMar>
            <w:vAlign w:val="center"/>
          </w:tcPr>
          <w:p w14:paraId="42D56F2F"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111736A5"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1111" w:type="dxa"/>
            <w:shd w:val="clear" w:color="auto" w:fill="auto"/>
            <w:tcMar>
              <w:top w:w="0" w:type="dxa"/>
              <w:left w:w="108" w:type="dxa"/>
              <w:bottom w:w="0" w:type="dxa"/>
              <w:right w:w="108" w:type="dxa"/>
            </w:tcMar>
            <w:vAlign w:val="center"/>
          </w:tcPr>
          <w:p w14:paraId="4297FFE1" w14:textId="77777777" w:rsidR="00D8299C" w:rsidRPr="00B4515A" w:rsidRDefault="00D8299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699.84</w:t>
            </w:r>
          </w:p>
        </w:tc>
        <w:tc>
          <w:tcPr>
            <w:tcW w:w="1079" w:type="dxa"/>
            <w:shd w:val="clear" w:color="auto" w:fill="auto"/>
            <w:tcMar>
              <w:top w:w="0" w:type="dxa"/>
              <w:left w:w="108" w:type="dxa"/>
              <w:bottom w:w="0" w:type="dxa"/>
              <w:right w:w="108" w:type="dxa"/>
            </w:tcMar>
            <w:vAlign w:val="center"/>
          </w:tcPr>
          <w:p w14:paraId="5C402D75" w14:textId="77777777" w:rsidR="00D8299C" w:rsidRPr="00B4515A" w:rsidRDefault="00D8299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1.91%</w:t>
            </w:r>
          </w:p>
        </w:tc>
        <w:tc>
          <w:tcPr>
            <w:tcW w:w="760" w:type="dxa"/>
            <w:shd w:val="clear" w:color="auto" w:fill="auto"/>
            <w:tcMar>
              <w:top w:w="0" w:type="dxa"/>
              <w:left w:w="108" w:type="dxa"/>
              <w:bottom w:w="0" w:type="dxa"/>
              <w:right w:w="108" w:type="dxa"/>
            </w:tcMar>
            <w:vAlign w:val="center"/>
          </w:tcPr>
          <w:p w14:paraId="251CCFBA"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D8299C" w:rsidRPr="00B4515A" w14:paraId="295B8BCE" w14:textId="77777777" w:rsidTr="00EE238F">
        <w:trPr>
          <w:trHeight w:val="340"/>
          <w:jc w:val="center"/>
        </w:trPr>
        <w:tc>
          <w:tcPr>
            <w:tcW w:w="1092" w:type="dxa"/>
            <w:vMerge/>
            <w:tcMar>
              <w:top w:w="0" w:type="dxa"/>
              <w:left w:w="108" w:type="dxa"/>
              <w:bottom w:w="0" w:type="dxa"/>
              <w:right w:w="108" w:type="dxa"/>
            </w:tcMar>
            <w:vAlign w:val="center"/>
          </w:tcPr>
          <w:p w14:paraId="592C1F3A"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p>
        </w:tc>
        <w:tc>
          <w:tcPr>
            <w:tcW w:w="756" w:type="dxa"/>
            <w:shd w:val="clear" w:color="auto" w:fill="auto"/>
            <w:tcMar>
              <w:top w:w="0" w:type="dxa"/>
              <w:left w:w="108" w:type="dxa"/>
              <w:bottom w:w="0" w:type="dxa"/>
              <w:right w:w="108" w:type="dxa"/>
            </w:tcMar>
            <w:vAlign w:val="center"/>
          </w:tcPr>
          <w:p w14:paraId="0CB6DB7A"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w:t>
            </w:r>
          </w:p>
        </w:tc>
        <w:tc>
          <w:tcPr>
            <w:tcW w:w="1509" w:type="dxa"/>
            <w:shd w:val="clear" w:color="auto" w:fill="auto"/>
            <w:tcMar>
              <w:top w:w="0" w:type="dxa"/>
              <w:left w:w="108" w:type="dxa"/>
              <w:bottom w:w="0" w:type="dxa"/>
              <w:right w:w="108" w:type="dxa"/>
            </w:tcMar>
            <w:vAlign w:val="center"/>
          </w:tcPr>
          <w:p w14:paraId="5E0E7DE8" w14:textId="0E8933B2" w:rsidR="00D8299C" w:rsidRPr="00B4515A" w:rsidRDefault="00A14006"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陕西某通信集团下属企业</w:t>
            </w:r>
          </w:p>
        </w:tc>
        <w:tc>
          <w:tcPr>
            <w:tcW w:w="1135" w:type="dxa"/>
            <w:shd w:val="clear" w:color="auto" w:fill="auto"/>
            <w:tcMar>
              <w:top w:w="0" w:type="dxa"/>
              <w:left w:w="108" w:type="dxa"/>
              <w:bottom w:w="0" w:type="dxa"/>
              <w:right w:w="108" w:type="dxa"/>
            </w:tcMar>
            <w:vAlign w:val="center"/>
          </w:tcPr>
          <w:p w14:paraId="6D011C06"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5E9CFDDA"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技术服务</w:t>
            </w:r>
          </w:p>
        </w:tc>
        <w:tc>
          <w:tcPr>
            <w:tcW w:w="1111" w:type="dxa"/>
            <w:shd w:val="clear" w:color="auto" w:fill="auto"/>
            <w:tcMar>
              <w:top w:w="0" w:type="dxa"/>
              <w:left w:w="108" w:type="dxa"/>
              <w:bottom w:w="0" w:type="dxa"/>
              <w:right w:w="108" w:type="dxa"/>
            </w:tcMar>
            <w:vAlign w:val="center"/>
          </w:tcPr>
          <w:p w14:paraId="47C36EC9" w14:textId="77777777" w:rsidR="00D8299C" w:rsidRPr="00B4515A" w:rsidRDefault="00D8299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567.62</w:t>
            </w:r>
          </w:p>
        </w:tc>
        <w:tc>
          <w:tcPr>
            <w:tcW w:w="1079" w:type="dxa"/>
            <w:shd w:val="clear" w:color="auto" w:fill="auto"/>
            <w:tcMar>
              <w:top w:w="0" w:type="dxa"/>
              <w:left w:w="108" w:type="dxa"/>
              <w:bottom w:w="0" w:type="dxa"/>
              <w:right w:w="108" w:type="dxa"/>
            </w:tcMar>
            <w:vAlign w:val="center"/>
          </w:tcPr>
          <w:p w14:paraId="2F7DDFA6" w14:textId="77777777" w:rsidR="00D8299C" w:rsidRPr="00B4515A" w:rsidRDefault="00D8299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1.55%</w:t>
            </w:r>
          </w:p>
        </w:tc>
        <w:tc>
          <w:tcPr>
            <w:tcW w:w="760" w:type="dxa"/>
            <w:shd w:val="clear" w:color="auto" w:fill="auto"/>
            <w:tcMar>
              <w:top w:w="0" w:type="dxa"/>
              <w:left w:w="108" w:type="dxa"/>
              <w:bottom w:w="0" w:type="dxa"/>
              <w:right w:w="108" w:type="dxa"/>
            </w:tcMar>
            <w:vAlign w:val="center"/>
          </w:tcPr>
          <w:p w14:paraId="0AF9B9DA" w14:textId="77777777" w:rsidR="00D8299C" w:rsidRPr="00B4515A" w:rsidRDefault="00D8299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6A9963E6" w14:textId="77777777" w:rsidTr="00EE238F">
        <w:trPr>
          <w:trHeight w:val="340"/>
          <w:jc w:val="center"/>
        </w:trPr>
        <w:tc>
          <w:tcPr>
            <w:tcW w:w="1092" w:type="dxa"/>
            <w:vMerge/>
            <w:tcMar>
              <w:top w:w="0" w:type="dxa"/>
              <w:left w:w="108" w:type="dxa"/>
              <w:bottom w:w="0" w:type="dxa"/>
              <w:right w:w="108" w:type="dxa"/>
            </w:tcMar>
            <w:vAlign w:val="center"/>
          </w:tcPr>
          <w:p w14:paraId="380F2CBC"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c>
          <w:tcPr>
            <w:tcW w:w="4535" w:type="dxa"/>
            <w:gridSpan w:val="4"/>
            <w:shd w:val="clear" w:color="auto" w:fill="auto"/>
            <w:tcMar>
              <w:top w:w="0" w:type="dxa"/>
              <w:left w:w="108" w:type="dxa"/>
              <w:bottom w:w="0" w:type="dxa"/>
              <w:right w:w="108" w:type="dxa"/>
            </w:tcMar>
            <w:vAlign w:val="center"/>
          </w:tcPr>
          <w:p w14:paraId="39340C67"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1111" w:type="dxa"/>
            <w:shd w:val="clear" w:color="auto" w:fill="auto"/>
            <w:tcMar>
              <w:top w:w="0" w:type="dxa"/>
              <w:left w:w="108" w:type="dxa"/>
              <w:bottom w:w="0" w:type="dxa"/>
              <w:right w:w="108" w:type="dxa"/>
            </w:tcMar>
            <w:vAlign w:val="center"/>
          </w:tcPr>
          <w:p w14:paraId="1CCC98AC" w14:textId="4090F0CE"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9,907.71 </w:t>
            </w:r>
          </w:p>
        </w:tc>
        <w:tc>
          <w:tcPr>
            <w:tcW w:w="1079" w:type="dxa"/>
            <w:shd w:val="clear" w:color="auto" w:fill="auto"/>
            <w:tcMar>
              <w:top w:w="0" w:type="dxa"/>
              <w:left w:w="108" w:type="dxa"/>
              <w:bottom w:w="0" w:type="dxa"/>
              <w:right w:w="108" w:type="dxa"/>
            </w:tcMar>
            <w:vAlign w:val="center"/>
          </w:tcPr>
          <w:p w14:paraId="7009BC5F" w14:textId="1372F112"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27.01%</w:t>
            </w:r>
          </w:p>
        </w:tc>
        <w:tc>
          <w:tcPr>
            <w:tcW w:w="760" w:type="dxa"/>
            <w:shd w:val="clear" w:color="auto" w:fill="auto"/>
            <w:tcMar>
              <w:top w:w="0" w:type="dxa"/>
              <w:left w:w="108" w:type="dxa"/>
              <w:bottom w:w="0" w:type="dxa"/>
              <w:right w:w="108" w:type="dxa"/>
            </w:tcMar>
            <w:vAlign w:val="center"/>
          </w:tcPr>
          <w:p w14:paraId="408C8A10"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r>
      <w:tr w:rsidR="00A14006" w:rsidRPr="00B4515A" w14:paraId="25D0D8B9" w14:textId="77777777" w:rsidTr="00EE238F">
        <w:trPr>
          <w:trHeight w:val="340"/>
          <w:jc w:val="center"/>
        </w:trPr>
        <w:tc>
          <w:tcPr>
            <w:tcW w:w="1092" w:type="dxa"/>
            <w:vMerge w:val="restart"/>
            <w:shd w:val="clear" w:color="auto" w:fill="auto"/>
            <w:tcMar>
              <w:top w:w="0" w:type="dxa"/>
              <w:left w:w="108" w:type="dxa"/>
              <w:bottom w:w="0" w:type="dxa"/>
              <w:right w:w="108" w:type="dxa"/>
            </w:tcMar>
            <w:vAlign w:val="center"/>
          </w:tcPr>
          <w:p w14:paraId="199A5176"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宽带移动安全应用</w:t>
            </w:r>
          </w:p>
        </w:tc>
        <w:tc>
          <w:tcPr>
            <w:tcW w:w="756" w:type="dxa"/>
            <w:shd w:val="clear" w:color="auto" w:fill="auto"/>
            <w:tcMar>
              <w:top w:w="0" w:type="dxa"/>
              <w:left w:w="108" w:type="dxa"/>
              <w:bottom w:w="0" w:type="dxa"/>
              <w:right w:w="108" w:type="dxa"/>
            </w:tcMar>
            <w:vAlign w:val="center"/>
          </w:tcPr>
          <w:p w14:paraId="5033ECB7"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p>
        </w:tc>
        <w:tc>
          <w:tcPr>
            <w:tcW w:w="1509" w:type="dxa"/>
            <w:shd w:val="clear" w:color="auto" w:fill="auto"/>
            <w:tcMar>
              <w:top w:w="0" w:type="dxa"/>
              <w:left w:w="108" w:type="dxa"/>
              <w:bottom w:w="0" w:type="dxa"/>
              <w:right w:w="108" w:type="dxa"/>
            </w:tcMar>
            <w:vAlign w:val="bottom"/>
          </w:tcPr>
          <w:p w14:paraId="730D01F1" w14:textId="29B64976"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某电子科技集团下属企业</w:t>
            </w:r>
          </w:p>
        </w:tc>
        <w:tc>
          <w:tcPr>
            <w:tcW w:w="1135" w:type="dxa"/>
            <w:shd w:val="clear" w:color="auto" w:fill="auto"/>
            <w:tcMar>
              <w:top w:w="0" w:type="dxa"/>
              <w:left w:w="108" w:type="dxa"/>
              <w:bottom w:w="0" w:type="dxa"/>
              <w:right w:w="108" w:type="dxa"/>
            </w:tcMar>
            <w:vAlign w:val="center"/>
          </w:tcPr>
          <w:p w14:paraId="5510761B"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738FD7E0"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1111" w:type="dxa"/>
            <w:shd w:val="clear" w:color="auto" w:fill="auto"/>
            <w:tcMar>
              <w:top w:w="0" w:type="dxa"/>
              <w:left w:w="108" w:type="dxa"/>
              <w:bottom w:w="0" w:type="dxa"/>
              <w:right w:w="108" w:type="dxa"/>
            </w:tcMar>
            <w:vAlign w:val="center"/>
          </w:tcPr>
          <w:p w14:paraId="7059A60E"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1,381.07</w:t>
            </w:r>
          </w:p>
        </w:tc>
        <w:tc>
          <w:tcPr>
            <w:tcW w:w="1079" w:type="dxa"/>
            <w:shd w:val="clear" w:color="auto" w:fill="auto"/>
            <w:tcMar>
              <w:top w:w="0" w:type="dxa"/>
              <w:left w:w="108" w:type="dxa"/>
              <w:bottom w:w="0" w:type="dxa"/>
              <w:right w:w="108" w:type="dxa"/>
            </w:tcMar>
            <w:vAlign w:val="center"/>
          </w:tcPr>
          <w:p w14:paraId="3A4466B1"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3.76%</w:t>
            </w:r>
          </w:p>
        </w:tc>
        <w:tc>
          <w:tcPr>
            <w:tcW w:w="760" w:type="dxa"/>
            <w:shd w:val="clear" w:color="auto" w:fill="auto"/>
            <w:tcMar>
              <w:top w:w="0" w:type="dxa"/>
              <w:left w:w="108" w:type="dxa"/>
              <w:bottom w:w="0" w:type="dxa"/>
              <w:right w:w="108" w:type="dxa"/>
            </w:tcMar>
            <w:vAlign w:val="center"/>
          </w:tcPr>
          <w:p w14:paraId="6D2454A9"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A14006" w:rsidRPr="00B4515A" w14:paraId="53950CE4" w14:textId="77777777" w:rsidTr="00EE238F">
        <w:trPr>
          <w:trHeight w:val="340"/>
          <w:jc w:val="center"/>
        </w:trPr>
        <w:tc>
          <w:tcPr>
            <w:tcW w:w="1092" w:type="dxa"/>
            <w:vMerge/>
            <w:tcMar>
              <w:top w:w="0" w:type="dxa"/>
              <w:left w:w="108" w:type="dxa"/>
              <w:bottom w:w="0" w:type="dxa"/>
              <w:right w:w="108" w:type="dxa"/>
            </w:tcMar>
            <w:vAlign w:val="center"/>
          </w:tcPr>
          <w:p w14:paraId="5816F876"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p>
        </w:tc>
        <w:tc>
          <w:tcPr>
            <w:tcW w:w="756" w:type="dxa"/>
            <w:shd w:val="clear" w:color="auto" w:fill="auto"/>
            <w:tcMar>
              <w:top w:w="0" w:type="dxa"/>
              <w:left w:w="108" w:type="dxa"/>
              <w:bottom w:w="0" w:type="dxa"/>
              <w:right w:w="108" w:type="dxa"/>
            </w:tcMar>
            <w:vAlign w:val="center"/>
          </w:tcPr>
          <w:p w14:paraId="0446BD1C"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p>
        </w:tc>
        <w:tc>
          <w:tcPr>
            <w:tcW w:w="1509" w:type="dxa"/>
            <w:shd w:val="clear" w:color="auto" w:fill="auto"/>
            <w:tcMar>
              <w:top w:w="0" w:type="dxa"/>
              <w:left w:w="108" w:type="dxa"/>
              <w:bottom w:w="0" w:type="dxa"/>
              <w:right w:w="108" w:type="dxa"/>
            </w:tcMar>
            <w:vAlign w:val="bottom"/>
          </w:tcPr>
          <w:p w14:paraId="28D1806A" w14:textId="47401843"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某航天科工集团下属企业</w:t>
            </w:r>
          </w:p>
        </w:tc>
        <w:tc>
          <w:tcPr>
            <w:tcW w:w="1135" w:type="dxa"/>
            <w:shd w:val="clear" w:color="auto" w:fill="auto"/>
            <w:tcMar>
              <w:top w:w="0" w:type="dxa"/>
              <w:left w:w="108" w:type="dxa"/>
              <w:bottom w:w="0" w:type="dxa"/>
              <w:right w:w="108" w:type="dxa"/>
            </w:tcMar>
            <w:vAlign w:val="center"/>
          </w:tcPr>
          <w:p w14:paraId="0838208D"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6C4583FB"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工程收入</w:t>
            </w:r>
          </w:p>
        </w:tc>
        <w:tc>
          <w:tcPr>
            <w:tcW w:w="1111" w:type="dxa"/>
            <w:shd w:val="clear" w:color="auto" w:fill="auto"/>
            <w:tcMar>
              <w:top w:w="0" w:type="dxa"/>
              <w:left w:w="108" w:type="dxa"/>
              <w:bottom w:w="0" w:type="dxa"/>
              <w:right w:w="108" w:type="dxa"/>
            </w:tcMar>
            <w:vAlign w:val="center"/>
          </w:tcPr>
          <w:p w14:paraId="41E52E51"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1,153.81</w:t>
            </w:r>
          </w:p>
        </w:tc>
        <w:tc>
          <w:tcPr>
            <w:tcW w:w="1079" w:type="dxa"/>
            <w:shd w:val="clear" w:color="auto" w:fill="auto"/>
            <w:tcMar>
              <w:top w:w="0" w:type="dxa"/>
              <w:left w:w="108" w:type="dxa"/>
              <w:bottom w:w="0" w:type="dxa"/>
              <w:right w:w="108" w:type="dxa"/>
            </w:tcMar>
            <w:vAlign w:val="center"/>
          </w:tcPr>
          <w:p w14:paraId="102EB644"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3.15%</w:t>
            </w:r>
          </w:p>
        </w:tc>
        <w:tc>
          <w:tcPr>
            <w:tcW w:w="760" w:type="dxa"/>
            <w:shd w:val="clear" w:color="auto" w:fill="auto"/>
            <w:tcMar>
              <w:top w:w="0" w:type="dxa"/>
              <w:left w:w="108" w:type="dxa"/>
              <w:bottom w:w="0" w:type="dxa"/>
              <w:right w:w="108" w:type="dxa"/>
            </w:tcMar>
            <w:vAlign w:val="center"/>
          </w:tcPr>
          <w:p w14:paraId="6B130433"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47D9D168" w14:textId="77777777" w:rsidTr="00EE238F">
        <w:trPr>
          <w:trHeight w:val="340"/>
          <w:jc w:val="center"/>
        </w:trPr>
        <w:tc>
          <w:tcPr>
            <w:tcW w:w="1092" w:type="dxa"/>
            <w:vMerge/>
            <w:tcMar>
              <w:top w:w="0" w:type="dxa"/>
              <w:left w:w="108" w:type="dxa"/>
              <w:bottom w:w="0" w:type="dxa"/>
              <w:right w:w="108" w:type="dxa"/>
            </w:tcMar>
            <w:vAlign w:val="center"/>
          </w:tcPr>
          <w:p w14:paraId="181C641E"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c>
          <w:tcPr>
            <w:tcW w:w="756" w:type="dxa"/>
            <w:shd w:val="clear" w:color="auto" w:fill="auto"/>
            <w:tcMar>
              <w:top w:w="0" w:type="dxa"/>
              <w:left w:w="108" w:type="dxa"/>
              <w:bottom w:w="0" w:type="dxa"/>
              <w:right w:w="108" w:type="dxa"/>
            </w:tcMar>
            <w:vAlign w:val="center"/>
          </w:tcPr>
          <w:p w14:paraId="14398BD9"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w:t>
            </w:r>
          </w:p>
        </w:tc>
        <w:tc>
          <w:tcPr>
            <w:tcW w:w="1509" w:type="dxa"/>
            <w:shd w:val="clear" w:color="auto" w:fill="auto"/>
            <w:tcMar>
              <w:top w:w="0" w:type="dxa"/>
              <w:left w:w="108" w:type="dxa"/>
              <w:bottom w:w="0" w:type="dxa"/>
              <w:right w:w="108" w:type="dxa"/>
            </w:tcMar>
            <w:vAlign w:val="center"/>
          </w:tcPr>
          <w:p w14:paraId="7EB6B91A" w14:textId="00EFAEB1"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北京盛华信息科技有限公司</w:t>
            </w:r>
          </w:p>
        </w:tc>
        <w:tc>
          <w:tcPr>
            <w:tcW w:w="1135" w:type="dxa"/>
            <w:shd w:val="clear" w:color="auto" w:fill="auto"/>
            <w:tcMar>
              <w:top w:w="0" w:type="dxa"/>
              <w:left w:w="108" w:type="dxa"/>
              <w:bottom w:w="0" w:type="dxa"/>
              <w:right w:w="108" w:type="dxa"/>
            </w:tcMar>
            <w:vAlign w:val="center"/>
          </w:tcPr>
          <w:p w14:paraId="42E82044"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5E2ABA6D"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1111" w:type="dxa"/>
            <w:shd w:val="clear" w:color="auto" w:fill="auto"/>
            <w:tcMar>
              <w:top w:w="0" w:type="dxa"/>
              <w:left w:w="108" w:type="dxa"/>
              <w:bottom w:w="0" w:type="dxa"/>
              <w:right w:w="108" w:type="dxa"/>
            </w:tcMar>
            <w:vAlign w:val="center"/>
          </w:tcPr>
          <w:p w14:paraId="283ECCC1"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694.35</w:t>
            </w:r>
          </w:p>
        </w:tc>
        <w:tc>
          <w:tcPr>
            <w:tcW w:w="1079" w:type="dxa"/>
            <w:shd w:val="clear" w:color="auto" w:fill="auto"/>
            <w:tcMar>
              <w:top w:w="0" w:type="dxa"/>
              <w:left w:w="108" w:type="dxa"/>
              <w:bottom w:w="0" w:type="dxa"/>
              <w:right w:w="108" w:type="dxa"/>
            </w:tcMar>
            <w:vAlign w:val="center"/>
          </w:tcPr>
          <w:p w14:paraId="0C41C3D6"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1.89%</w:t>
            </w:r>
          </w:p>
        </w:tc>
        <w:tc>
          <w:tcPr>
            <w:tcW w:w="760" w:type="dxa"/>
            <w:shd w:val="clear" w:color="auto" w:fill="auto"/>
            <w:tcMar>
              <w:top w:w="0" w:type="dxa"/>
              <w:left w:w="108" w:type="dxa"/>
              <w:bottom w:w="0" w:type="dxa"/>
              <w:right w:w="108" w:type="dxa"/>
            </w:tcMar>
            <w:vAlign w:val="center"/>
          </w:tcPr>
          <w:p w14:paraId="5202934D"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144D4DA6" w14:textId="77777777" w:rsidTr="00EE238F">
        <w:trPr>
          <w:trHeight w:val="340"/>
          <w:jc w:val="center"/>
        </w:trPr>
        <w:tc>
          <w:tcPr>
            <w:tcW w:w="1092" w:type="dxa"/>
            <w:vMerge/>
            <w:tcMar>
              <w:top w:w="0" w:type="dxa"/>
              <w:left w:w="108" w:type="dxa"/>
              <w:bottom w:w="0" w:type="dxa"/>
              <w:right w:w="108" w:type="dxa"/>
            </w:tcMar>
            <w:vAlign w:val="center"/>
          </w:tcPr>
          <w:p w14:paraId="0A4353DB"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c>
          <w:tcPr>
            <w:tcW w:w="756" w:type="dxa"/>
            <w:shd w:val="clear" w:color="auto" w:fill="auto"/>
            <w:tcMar>
              <w:top w:w="0" w:type="dxa"/>
              <w:left w:w="108" w:type="dxa"/>
              <w:bottom w:w="0" w:type="dxa"/>
              <w:right w:w="108" w:type="dxa"/>
            </w:tcMar>
            <w:vAlign w:val="center"/>
          </w:tcPr>
          <w:p w14:paraId="53F4C090"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w:t>
            </w:r>
          </w:p>
        </w:tc>
        <w:tc>
          <w:tcPr>
            <w:tcW w:w="1509" w:type="dxa"/>
            <w:shd w:val="clear" w:color="auto" w:fill="auto"/>
            <w:tcMar>
              <w:top w:w="0" w:type="dxa"/>
              <w:left w:w="108" w:type="dxa"/>
              <w:bottom w:w="0" w:type="dxa"/>
              <w:right w:w="108" w:type="dxa"/>
            </w:tcMar>
            <w:vAlign w:val="center"/>
          </w:tcPr>
          <w:p w14:paraId="6F8C4381" w14:textId="060D6271"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上海崛中信息科技有限公司</w:t>
            </w:r>
          </w:p>
        </w:tc>
        <w:tc>
          <w:tcPr>
            <w:tcW w:w="1135" w:type="dxa"/>
            <w:shd w:val="clear" w:color="auto" w:fill="auto"/>
            <w:tcMar>
              <w:top w:w="0" w:type="dxa"/>
              <w:left w:w="108" w:type="dxa"/>
              <w:bottom w:w="0" w:type="dxa"/>
              <w:right w:w="108" w:type="dxa"/>
            </w:tcMar>
            <w:vAlign w:val="center"/>
          </w:tcPr>
          <w:p w14:paraId="73069AFB"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5F747768"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1111" w:type="dxa"/>
            <w:shd w:val="clear" w:color="auto" w:fill="auto"/>
            <w:tcMar>
              <w:top w:w="0" w:type="dxa"/>
              <w:left w:w="108" w:type="dxa"/>
              <w:bottom w:w="0" w:type="dxa"/>
              <w:right w:w="108" w:type="dxa"/>
            </w:tcMar>
            <w:vAlign w:val="center"/>
          </w:tcPr>
          <w:p w14:paraId="1215C419"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453.16</w:t>
            </w:r>
          </w:p>
        </w:tc>
        <w:tc>
          <w:tcPr>
            <w:tcW w:w="1079" w:type="dxa"/>
            <w:shd w:val="clear" w:color="auto" w:fill="auto"/>
            <w:tcMar>
              <w:top w:w="0" w:type="dxa"/>
              <w:left w:w="108" w:type="dxa"/>
              <w:bottom w:w="0" w:type="dxa"/>
              <w:right w:w="108" w:type="dxa"/>
            </w:tcMar>
            <w:vAlign w:val="center"/>
          </w:tcPr>
          <w:p w14:paraId="6810BB76"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1.24%</w:t>
            </w:r>
          </w:p>
        </w:tc>
        <w:tc>
          <w:tcPr>
            <w:tcW w:w="760" w:type="dxa"/>
            <w:shd w:val="clear" w:color="auto" w:fill="auto"/>
            <w:tcMar>
              <w:top w:w="0" w:type="dxa"/>
              <w:left w:w="108" w:type="dxa"/>
              <w:bottom w:w="0" w:type="dxa"/>
              <w:right w:w="108" w:type="dxa"/>
            </w:tcMar>
            <w:vAlign w:val="center"/>
          </w:tcPr>
          <w:p w14:paraId="64F4898A"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3433C320" w14:textId="77777777" w:rsidTr="00EE238F">
        <w:trPr>
          <w:trHeight w:val="340"/>
          <w:jc w:val="center"/>
        </w:trPr>
        <w:tc>
          <w:tcPr>
            <w:tcW w:w="1092" w:type="dxa"/>
            <w:vMerge/>
            <w:tcMar>
              <w:top w:w="0" w:type="dxa"/>
              <w:left w:w="108" w:type="dxa"/>
              <w:bottom w:w="0" w:type="dxa"/>
              <w:right w:w="108" w:type="dxa"/>
            </w:tcMar>
            <w:vAlign w:val="center"/>
          </w:tcPr>
          <w:p w14:paraId="74A89CF6"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c>
          <w:tcPr>
            <w:tcW w:w="756" w:type="dxa"/>
            <w:shd w:val="clear" w:color="auto" w:fill="auto"/>
            <w:tcMar>
              <w:top w:w="0" w:type="dxa"/>
              <w:left w:w="108" w:type="dxa"/>
              <w:bottom w:w="0" w:type="dxa"/>
              <w:right w:w="108" w:type="dxa"/>
            </w:tcMar>
            <w:vAlign w:val="center"/>
          </w:tcPr>
          <w:p w14:paraId="039A8A66"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w:t>
            </w:r>
          </w:p>
        </w:tc>
        <w:tc>
          <w:tcPr>
            <w:tcW w:w="1509" w:type="dxa"/>
            <w:shd w:val="clear" w:color="auto" w:fill="auto"/>
            <w:tcMar>
              <w:top w:w="0" w:type="dxa"/>
              <w:left w:w="108" w:type="dxa"/>
              <w:bottom w:w="0" w:type="dxa"/>
              <w:right w:w="108" w:type="dxa"/>
            </w:tcMar>
            <w:vAlign w:val="center"/>
          </w:tcPr>
          <w:p w14:paraId="5ABC1670" w14:textId="4A864DFC" w:rsidR="006F4D2A" w:rsidRPr="00B4515A" w:rsidRDefault="00A14006"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中国信科集团及下属企业</w:t>
            </w:r>
          </w:p>
        </w:tc>
        <w:tc>
          <w:tcPr>
            <w:tcW w:w="1135" w:type="dxa"/>
            <w:shd w:val="clear" w:color="auto" w:fill="auto"/>
            <w:tcMar>
              <w:top w:w="0" w:type="dxa"/>
              <w:left w:w="108" w:type="dxa"/>
              <w:bottom w:w="0" w:type="dxa"/>
              <w:right w:w="108" w:type="dxa"/>
            </w:tcMar>
            <w:vAlign w:val="center"/>
          </w:tcPr>
          <w:p w14:paraId="7CB5A70B"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1135" w:type="dxa"/>
            <w:shd w:val="clear" w:color="auto" w:fill="auto"/>
            <w:tcMar>
              <w:top w:w="0" w:type="dxa"/>
              <w:left w:w="108" w:type="dxa"/>
              <w:bottom w:w="0" w:type="dxa"/>
              <w:right w:w="108" w:type="dxa"/>
            </w:tcMar>
            <w:vAlign w:val="center"/>
          </w:tcPr>
          <w:p w14:paraId="5FD64176"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1111" w:type="dxa"/>
            <w:shd w:val="clear" w:color="auto" w:fill="auto"/>
            <w:tcMar>
              <w:top w:w="0" w:type="dxa"/>
              <w:left w:w="108" w:type="dxa"/>
              <w:bottom w:w="0" w:type="dxa"/>
              <w:right w:w="108" w:type="dxa"/>
            </w:tcMar>
            <w:vAlign w:val="center"/>
          </w:tcPr>
          <w:p w14:paraId="399A3E6F"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344.83</w:t>
            </w:r>
          </w:p>
        </w:tc>
        <w:tc>
          <w:tcPr>
            <w:tcW w:w="1079" w:type="dxa"/>
            <w:shd w:val="clear" w:color="auto" w:fill="auto"/>
            <w:tcMar>
              <w:top w:w="0" w:type="dxa"/>
              <w:left w:w="108" w:type="dxa"/>
              <w:bottom w:w="0" w:type="dxa"/>
              <w:right w:w="108" w:type="dxa"/>
            </w:tcMar>
            <w:vAlign w:val="center"/>
          </w:tcPr>
          <w:p w14:paraId="6D59F7BF"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0.94%</w:t>
            </w:r>
          </w:p>
        </w:tc>
        <w:tc>
          <w:tcPr>
            <w:tcW w:w="760" w:type="dxa"/>
            <w:shd w:val="clear" w:color="auto" w:fill="auto"/>
            <w:tcMar>
              <w:top w:w="0" w:type="dxa"/>
              <w:left w:w="108" w:type="dxa"/>
              <w:bottom w:w="0" w:type="dxa"/>
              <w:right w:w="108" w:type="dxa"/>
            </w:tcMar>
            <w:vAlign w:val="center"/>
          </w:tcPr>
          <w:p w14:paraId="2F8248E8"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是</w:t>
            </w:r>
          </w:p>
        </w:tc>
      </w:tr>
      <w:tr w:rsidR="006416B0" w:rsidRPr="00B4515A" w14:paraId="3CB78B18" w14:textId="77777777" w:rsidTr="002B0582">
        <w:trPr>
          <w:trHeight w:val="340"/>
          <w:jc w:val="center"/>
        </w:trPr>
        <w:tc>
          <w:tcPr>
            <w:tcW w:w="1092" w:type="dxa"/>
            <w:vMerge/>
            <w:tcMar>
              <w:top w:w="0" w:type="dxa"/>
              <w:left w:w="108" w:type="dxa"/>
              <w:bottom w:w="0" w:type="dxa"/>
              <w:right w:w="108" w:type="dxa"/>
            </w:tcMar>
            <w:vAlign w:val="center"/>
          </w:tcPr>
          <w:p w14:paraId="40D16A1B"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4535" w:type="dxa"/>
            <w:gridSpan w:val="4"/>
            <w:shd w:val="clear" w:color="auto" w:fill="auto"/>
            <w:tcMar>
              <w:top w:w="0" w:type="dxa"/>
              <w:left w:w="108" w:type="dxa"/>
              <w:bottom w:w="0" w:type="dxa"/>
              <w:right w:w="108" w:type="dxa"/>
            </w:tcMar>
            <w:vAlign w:val="center"/>
          </w:tcPr>
          <w:p w14:paraId="3CE0729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1111" w:type="dxa"/>
            <w:shd w:val="clear" w:color="auto" w:fill="auto"/>
            <w:tcMar>
              <w:top w:w="0" w:type="dxa"/>
              <w:left w:w="108" w:type="dxa"/>
              <w:bottom w:w="0" w:type="dxa"/>
              <w:right w:w="108" w:type="dxa"/>
            </w:tcMar>
            <w:vAlign w:val="center"/>
          </w:tcPr>
          <w:p w14:paraId="0998CA1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4,027.20</w:t>
            </w:r>
          </w:p>
        </w:tc>
        <w:tc>
          <w:tcPr>
            <w:tcW w:w="1079" w:type="dxa"/>
            <w:shd w:val="clear" w:color="auto" w:fill="auto"/>
            <w:tcMar>
              <w:top w:w="0" w:type="dxa"/>
              <w:left w:w="108" w:type="dxa"/>
              <w:bottom w:w="0" w:type="dxa"/>
              <w:right w:w="108" w:type="dxa"/>
            </w:tcMar>
            <w:vAlign w:val="center"/>
          </w:tcPr>
          <w:p w14:paraId="458DE03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10.98%</w:t>
            </w:r>
          </w:p>
        </w:tc>
        <w:tc>
          <w:tcPr>
            <w:tcW w:w="760" w:type="dxa"/>
            <w:shd w:val="clear" w:color="auto" w:fill="auto"/>
            <w:tcMar>
              <w:top w:w="0" w:type="dxa"/>
              <w:left w:w="108" w:type="dxa"/>
              <w:bottom w:w="0" w:type="dxa"/>
              <w:right w:w="108" w:type="dxa"/>
            </w:tcMar>
            <w:vAlign w:val="center"/>
          </w:tcPr>
          <w:p w14:paraId="6EE0AF72"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6F4D2A" w:rsidRPr="00B4515A" w14:paraId="45D8F582" w14:textId="77777777" w:rsidTr="00EE238F">
        <w:trPr>
          <w:trHeight w:val="340"/>
          <w:jc w:val="center"/>
        </w:trPr>
        <w:tc>
          <w:tcPr>
            <w:tcW w:w="5627" w:type="dxa"/>
            <w:gridSpan w:val="5"/>
            <w:shd w:val="clear" w:color="auto" w:fill="auto"/>
            <w:tcMar>
              <w:top w:w="0" w:type="dxa"/>
              <w:left w:w="108" w:type="dxa"/>
              <w:bottom w:w="0" w:type="dxa"/>
              <w:right w:w="108" w:type="dxa"/>
            </w:tcMar>
            <w:vAlign w:val="center"/>
          </w:tcPr>
          <w:p w14:paraId="685FFA19" w14:textId="77777777" w:rsidR="006F4D2A" w:rsidRPr="00B4515A" w:rsidRDefault="006F4D2A"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合计</w:t>
            </w:r>
          </w:p>
        </w:tc>
        <w:tc>
          <w:tcPr>
            <w:tcW w:w="1111" w:type="dxa"/>
            <w:shd w:val="clear" w:color="auto" w:fill="auto"/>
            <w:tcMar>
              <w:top w:w="0" w:type="dxa"/>
              <w:left w:w="108" w:type="dxa"/>
              <w:bottom w:w="0" w:type="dxa"/>
              <w:right w:w="108" w:type="dxa"/>
            </w:tcMar>
            <w:vAlign w:val="center"/>
          </w:tcPr>
          <w:p w14:paraId="450A7DE1" w14:textId="1D6AA616" w:rsidR="006F4D2A" w:rsidRPr="00B4515A" w:rsidRDefault="006F4D2A"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 xml:space="preserve">25,678.99 </w:t>
            </w:r>
          </w:p>
        </w:tc>
        <w:tc>
          <w:tcPr>
            <w:tcW w:w="1079" w:type="dxa"/>
            <w:shd w:val="clear" w:color="auto" w:fill="auto"/>
            <w:tcMar>
              <w:top w:w="0" w:type="dxa"/>
              <w:left w:w="108" w:type="dxa"/>
              <w:bottom w:w="0" w:type="dxa"/>
              <w:right w:w="108" w:type="dxa"/>
            </w:tcMar>
            <w:vAlign w:val="center"/>
          </w:tcPr>
          <w:p w14:paraId="3E8BF0B0" w14:textId="1F725A95" w:rsidR="006F4D2A" w:rsidRPr="00B4515A" w:rsidRDefault="006F4D2A"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70.00%</w:t>
            </w:r>
          </w:p>
        </w:tc>
        <w:tc>
          <w:tcPr>
            <w:tcW w:w="760" w:type="dxa"/>
            <w:shd w:val="clear" w:color="auto" w:fill="auto"/>
            <w:tcMar>
              <w:top w:w="0" w:type="dxa"/>
              <w:left w:w="108" w:type="dxa"/>
              <w:bottom w:w="0" w:type="dxa"/>
              <w:right w:w="108" w:type="dxa"/>
            </w:tcMar>
            <w:vAlign w:val="center"/>
          </w:tcPr>
          <w:p w14:paraId="199D6283" w14:textId="77777777" w:rsidR="006F4D2A" w:rsidRPr="00B4515A" w:rsidRDefault="006F4D2A" w:rsidP="005860B4">
            <w:pPr>
              <w:adjustRightInd w:val="0"/>
              <w:snapToGrid w:val="0"/>
              <w:jc w:val="center"/>
              <w:rPr>
                <w:rFonts w:ascii="Times New Roman" w:eastAsiaTheme="minorEastAsia" w:hAnsi="Times New Roman" w:cs="Times New Roman"/>
                <w:b/>
                <w:color w:val="000000"/>
                <w:sz w:val="21"/>
                <w:szCs w:val="21"/>
              </w:rPr>
            </w:pPr>
          </w:p>
        </w:tc>
      </w:tr>
    </w:tbl>
    <w:p w14:paraId="2F4F65BA" w14:textId="7290FAC5" w:rsidR="006416B0" w:rsidRPr="00B4515A" w:rsidRDefault="005E58C1" w:rsidP="00EE238F">
      <w:pPr>
        <w:pStyle w:val="006"/>
        <w:ind w:firstLine="420"/>
      </w:pPr>
      <w:r w:rsidRPr="00B4515A">
        <w:rPr>
          <w:rFonts w:hint="eastAsia"/>
        </w:rPr>
        <w:t>注：</w:t>
      </w:r>
      <w:r w:rsidRPr="00B4515A">
        <w:rPr>
          <w:rFonts w:hint="eastAsia"/>
          <w:sz w:val="18"/>
          <w:szCs w:val="18"/>
        </w:rPr>
        <w:t>（</w:t>
      </w:r>
      <w:r w:rsidRPr="00B4515A">
        <w:rPr>
          <w:sz w:val="18"/>
          <w:szCs w:val="18"/>
        </w:rPr>
        <w:t>1</w:t>
      </w:r>
      <w:r w:rsidRPr="00B4515A">
        <w:rPr>
          <w:rFonts w:hint="eastAsia"/>
          <w:sz w:val="18"/>
          <w:szCs w:val="18"/>
        </w:rPr>
        <w:t>）</w:t>
      </w:r>
      <w:r w:rsidR="00A14006" w:rsidRPr="00B4515A">
        <w:rPr>
          <w:rFonts w:hint="eastAsia"/>
          <w:sz w:val="18"/>
          <w:szCs w:val="18"/>
        </w:rPr>
        <w:t>客户</w:t>
      </w:r>
      <w:r w:rsidR="00A14006" w:rsidRPr="00B4515A">
        <w:rPr>
          <w:sz w:val="18"/>
          <w:szCs w:val="18"/>
        </w:rPr>
        <w:t>Z</w:t>
      </w:r>
      <w:r w:rsidR="00A14006" w:rsidRPr="00B4515A">
        <w:rPr>
          <w:rFonts w:hint="eastAsia"/>
          <w:sz w:val="18"/>
          <w:szCs w:val="18"/>
        </w:rPr>
        <w:t>、中国信科集团及下属企业、某电子科技集团下属企业、某航天科工集团下属企业</w:t>
      </w:r>
      <w:r w:rsidR="008447AE" w:rsidRPr="00B4515A">
        <w:rPr>
          <w:rFonts w:hint="eastAsia"/>
          <w:sz w:val="18"/>
          <w:szCs w:val="18"/>
        </w:rPr>
        <w:t>、中国某工业集团下属企业</w:t>
      </w:r>
      <w:r w:rsidRPr="00B4515A">
        <w:rPr>
          <w:rFonts w:hint="eastAsia"/>
          <w:sz w:val="18"/>
          <w:szCs w:val="18"/>
        </w:rPr>
        <w:t>分别为</w:t>
      </w:r>
      <w:r w:rsidR="006F4D2A" w:rsidRPr="00B4515A">
        <w:rPr>
          <w:rFonts w:hint="eastAsia"/>
          <w:sz w:val="18"/>
          <w:szCs w:val="18"/>
        </w:rPr>
        <w:t>同一控制下</w:t>
      </w:r>
      <w:r w:rsidRPr="00B4515A">
        <w:rPr>
          <w:rFonts w:hint="eastAsia"/>
          <w:sz w:val="18"/>
          <w:szCs w:val="18"/>
        </w:rPr>
        <w:t>企业</w:t>
      </w:r>
      <w:r w:rsidRPr="00B4515A">
        <w:rPr>
          <w:sz w:val="18"/>
          <w:szCs w:val="18"/>
        </w:rPr>
        <w:t>/</w:t>
      </w:r>
      <w:r w:rsidRPr="00B4515A">
        <w:rPr>
          <w:rFonts w:hint="eastAsia"/>
          <w:sz w:val="18"/>
          <w:szCs w:val="18"/>
        </w:rPr>
        <w:t>单位合并数据。（</w:t>
      </w:r>
      <w:r w:rsidRPr="00B4515A">
        <w:rPr>
          <w:sz w:val="18"/>
          <w:szCs w:val="18"/>
        </w:rPr>
        <w:t>2</w:t>
      </w:r>
      <w:r w:rsidRPr="00B4515A">
        <w:rPr>
          <w:rFonts w:hint="eastAsia"/>
          <w:sz w:val="18"/>
          <w:szCs w:val="18"/>
        </w:rPr>
        <w:t>）根据相关规定，公司申请豁免披露相关客户信息。</w:t>
      </w:r>
    </w:p>
    <w:p w14:paraId="13FE60D2" w14:textId="77777777" w:rsidR="006416B0" w:rsidRPr="00B4515A" w:rsidRDefault="005E58C1" w:rsidP="003357B7">
      <w:pPr>
        <w:pStyle w:val="005"/>
        <w:spacing w:before="120" w:after="120"/>
        <w:ind w:firstLine="480"/>
      </w:pPr>
      <w:r w:rsidRPr="00B4515A">
        <w:t>2</w:t>
      </w:r>
      <w:r w:rsidRPr="00B4515A">
        <w:t>）</w:t>
      </w:r>
      <w:r w:rsidRPr="00B4515A">
        <w:t>2020</w:t>
      </w:r>
      <w:r w:rsidRPr="00B4515A">
        <w:rPr>
          <w:rFonts w:hint="eastAsia"/>
        </w:rPr>
        <w:t>年度主要客户情况</w:t>
      </w:r>
    </w:p>
    <w:p w14:paraId="20D5205F" w14:textId="77777777" w:rsidR="006416B0" w:rsidRPr="00B4515A" w:rsidRDefault="005E58C1" w:rsidP="003357B7">
      <w:pPr>
        <w:pStyle w:val="009"/>
        <w:rPr>
          <w:b/>
          <w:bCs/>
        </w:rPr>
      </w:pPr>
      <w:r w:rsidRPr="00B4515A">
        <w:rPr>
          <w:rFonts w:hint="eastAsia"/>
        </w:rPr>
        <w:t>单位：万元</w:t>
      </w:r>
    </w:p>
    <w:tbl>
      <w:tblPr>
        <w:tblW w:w="5004"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92"/>
        <w:gridCol w:w="770"/>
        <w:gridCol w:w="1596"/>
        <w:gridCol w:w="993"/>
        <w:gridCol w:w="1120"/>
        <w:gridCol w:w="1127"/>
        <w:gridCol w:w="1079"/>
        <w:gridCol w:w="758"/>
      </w:tblGrid>
      <w:tr w:rsidR="006416B0" w:rsidRPr="00B4515A" w14:paraId="01AEBD2D" w14:textId="77777777" w:rsidTr="00BA4E33">
        <w:trPr>
          <w:trHeight w:val="340"/>
          <w:tblHeader/>
          <w:jc w:val="center"/>
        </w:trPr>
        <w:tc>
          <w:tcPr>
            <w:tcW w:w="640" w:type="pct"/>
            <w:shd w:val="clear" w:color="auto" w:fill="auto"/>
            <w:tcMar>
              <w:top w:w="0" w:type="dxa"/>
              <w:left w:w="108" w:type="dxa"/>
              <w:bottom w:w="0" w:type="dxa"/>
              <w:right w:w="108" w:type="dxa"/>
            </w:tcMar>
            <w:vAlign w:val="center"/>
          </w:tcPr>
          <w:p w14:paraId="2B47AC50"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业务方向</w:t>
            </w:r>
          </w:p>
        </w:tc>
        <w:tc>
          <w:tcPr>
            <w:tcW w:w="451" w:type="pct"/>
            <w:shd w:val="clear" w:color="auto" w:fill="auto"/>
            <w:tcMar>
              <w:top w:w="0" w:type="dxa"/>
              <w:left w:w="108" w:type="dxa"/>
              <w:bottom w:w="0" w:type="dxa"/>
              <w:right w:w="108" w:type="dxa"/>
            </w:tcMar>
            <w:vAlign w:val="center"/>
          </w:tcPr>
          <w:p w14:paraId="77AA3DB2"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序号</w:t>
            </w:r>
          </w:p>
        </w:tc>
        <w:tc>
          <w:tcPr>
            <w:tcW w:w="935" w:type="pct"/>
            <w:shd w:val="clear" w:color="auto" w:fill="auto"/>
            <w:tcMar>
              <w:top w:w="0" w:type="dxa"/>
              <w:left w:w="108" w:type="dxa"/>
              <w:bottom w:w="0" w:type="dxa"/>
              <w:right w:w="108" w:type="dxa"/>
            </w:tcMar>
            <w:vAlign w:val="center"/>
          </w:tcPr>
          <w:p w14:paraId="590DBE30"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客户名称</w:t>
            </w:r>
          </w:p>
        </w:tc>
        <w:tc>
          <w:tcPr>
            <w:tcW w:w="582" w:type="pct"/>
            <w:shd w:val="clear" w:color="auto" w:fill="auto"/>
            <w:tcMar>
              <w:top w:w="0" w:type="dxa"/>
              <w:left w:w="108" w:type="dxa"/>
              <w:bottom w:w="0" w:type="dxa"/>
              <w:right w:w="108" w:type="dxa"/>
            </w:tcMar>
            <w:vAlign w:val="center"/>
          </w:tcPr>
          <w:p w14:paraId="536B8D12" w14:textId="77777777" w:rsidR="003357B7"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销售</w:t>
            </w:r>
          </w:p>
          <w:p w14:paraId="7F462042" w14:textId="600FC035"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方式</w:t>
            </w:r>
          </w:p>
        </w:tc>
        <w:tc>
          <w:tcPr>
            <w:tcW w:w="656" w:type="pct"/>
            <w:shd w:val="clear" w:color="auto" w:fill="auto"/>
            <w:tcMar>
              <w:top w:w="0" w:type="dxa"/>
              <w:left w:w="108" w:type="dxa"/>
              <w:bottom w:w="0" w:type="dxa"/>
              <w:right w:w="108" w:type="dxa"/>
            </w:tcMar>
            <w:vAlign w:val="center"/>
          </w:tcPr>
          <w:p w14:paraId="4050889A"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交易内容</w:t>
            </w:r>
          </w:p>
        </w:tc>
        <w:tc>
          <w:tcPr>
            <w:tcW w:w="660" w:type="pct"/>
            <w:shd w:val="clear" w:color="auto" w:fill="auto"/>
            <w:tcMar>
              <w:top w:w="0" w:type="dxa"/>
              <w:left w:w="108" w:type="dxa"/>
              <w:bottom w:w="0" w:type="dxa"/>
              <w:right w:w="108" w:type="dxa"/>
            </w:tcMar>
            <w:vAlign w:val="center"/>
          </w:tcPr>
          <w:p w14:paraId="6C9542E6"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金额</w:t>
            </w:r>
          </w:p>
        </w:tc>
        <w:tc>
          <w:tcPr>
            <w:tcW w:w="632" w:type="pct"/>
            <w:shd w:val="clear" w:color="auto" w:fill="auto"/>
            <w:tcMar>
              <w:top w:w="0" w:type="dxa"/>
              <w:left w:w="108" w:type="dxa"/>
              <w:bottom w:w="0" w:type="dxa"/>
              <w:right w:w="108" w:type="dxa"/>
            </w:tcMar>
            <w:vAlign w:val="center"/>
          </w:tcPr>
          <w:p w14:paraId="35347248"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占比</w:t>
            </w:r>
          </w:p>
        </w:tc>
        <w:tc>
          <w:tcPr>
            <w:tcW w:w="444" w:type="pct"/>
            <w:shd w:val="clear" w:color="auto" w:fill="auto"/>
            <w:tcMar>
              <w:top w:w="0" w:type="dxa"/>
              <w:left w:w="108" w:type="dxa"/>
              <w:bottom w:w="0" w:type="dxa"/>
              <w:right w:w="108" w:type="dxa"/>
            </w:tcMar>
            <w:vAlign w:val="center"/>
          </w:tcPr>
          <w:p w14:paraId="38111065"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是否为关联方</w:t>
            </w:r>
          </w:p>
        </w:tc>
      </w:tr>
      <w:tr w:rsidR="00BA4E33" w:rsidRPr="00B4515A" w14:paraId="24A0A50B" w14:textId="77777777" w:rsidTr="00EE238F">
        <w:trPr>
          <w:trHeight w:val="340"/>
          <w:jc w:val="center"/>
        </w:trPr>
        <w:tc>
          <w:tcPr>
            <w:tcW w:w="640" w:type="pct"/>
            <w:vMerge w:val="restart"/>
            <w:shd w:val="clear" w:color="auto" w:fill="auto"/>
            <w:tcMar>
              <w:top w:w="0" w:type="dxa"/>
              <w:left w:w="108" w:type="dxa"/>
              <w:bottom w:w="0" w:type="dxa"/>
              <w:right w:w="108" w:type="dxa"/>
            </w:tcMar>
            <w:vAlign w:val="center"/>
          </w:tcPr>
          <w:p w14:paraId="279C0997"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专用移动通信</w:t>
            </w:r>
          </w:p>
        </w:tc>
        <w:tc>
          <w:tcPr>
            <w:tcW w:w="451" w:type="pct"/>
            <w:shd w:val="clear" w:color="auto" w:fill="auto"/>
            <w:tcMar>
              <w:top w:w="0" w:type="dxa"/>
              <w:left w:w="108" w:type="dxa"/>
              <w:bottom w:w="0" w:type="dxa"/>
              <w:right w:w="108" w:type="dxa"/>
            </w:tcMar>
            <w:vAlign w:val="center"/>
          </w:tcPr>
          <w:p w14:paraId="2828C013"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p>
        </w:tc>
        <w:tc>
          <w:tcPr>
            <w:tcW w:w="935" w:type="pct"/>
            <w:shd w:val="clear" w:color="auto" w:fill="auto"/>
            <w:tcMar>
              <w:top w:w="0" w:type="dxa"/>
              <w:left w:w="108" w:type="dxa"/>
              <w:bottom w:w="0" w:type="dxa"/>
              <w:right w:w="108" w:type="dxa"/>
            </w:tcMar>
          </w:tcPr>
          <w:p w14:paraId="3E5D57B1" w14:textId="4CD205F4" w:rsidR="00BA4E33" w:rsidRPr="00B4515A" w:rsidRDefault="00BA4E33"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某电子科技集团下属企业</w:t>
            </w:r>
          </w:p>
        </w:tc>
        <w:tc>
          <w:tcPr>
            <w:tcW w:w="582" w:type="pct"/>
            <w:shd w:val="clear" w:color="auto" w:fill="auto"/>
            <w:tcMar>
              <w:top w:w="0" w:type="dxa"/>
              <w:left w:w="108" w:type="dxa"/>
              <w:bottom w:w="0" w:type="dxa"/>
              <w:right w:w="108" w:type="dxa"/>
            </w:tcMar>
            <w:vAlign w:val="center"/>
          </w:tcPr>
          <w:p w14:paraId="1DFA0362"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1B609787"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660" w:type="pct"/>
            <w:shd w:val="clear" w:color="auto" w:fill="auto"/>
            <w:tcMar>
              <w:top w:w="0" w:type="dxa"/>
              <w:left w:w="108" w:type="dxa"/>
              <w:bottom w:w="0" w:type="dxa"/>
              <w:right w:w="108" w:type="dxa"/>
            </w:tcMar>
            <w:vAlign w:val="center"/>
          </w:tcPr>
          <w:p w14:paraId="63A1D01C"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3,319.78</w:t>
            </w:r>
          </w:p>
        </w:tc>
        <w:tc>
          <w:tcPr>
            <w:tcW w:w="632" w:type="pct"/>
            <w:shd w:val="clear" w:color="auto" w:fill="auto"/>
            <w:tcMar>
              <w:top w:w="0" w:type="dxa"/>
              <w:left w:w="108" w:type="dxa"/>
              <w:bottom w:w="0" w:type="dxa"/>
              <w:right w:w="108" w:type="dxa"/>
            </w:tcMar>
            <w:vAlign w:val="center"/>
          </w:tcPr>
          <w:p w14:paraId="51B9B99B"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6.01%</w:t>
            </w:r>
          </w:p>
        </w:tc>
        <w:tc>
          <w:tcPr>
            <w:tcW w:w="444" w:type="pct"/>
            <w:shd w:val="clear" w:color="auto" w:fill="auto"/>
            <w:tcMar>
              <w:top w:w="0" w:type="dxa"/>
              <w:left w:w="108" w:type="dxa"/>
              <w:bottom w:w="0" w:type="dxa"/>
              <w:right w:w="108" w:type="dxa"/>
            </w:tcMar>
            <w:vAlign w:val="center"/>
          </w:tcPr>
          <w:p w14:paraId="5D125DAD"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BA4E33" w:rsidRPr="00B4515A" w14:paraId="7217A11A" w14:textId="77777777" w:rsidTr="00EE238F">
        <w:trPr>
          <w:trHeight w:val="340"/>
          <w:jc w:val="center"/>
        </w:trPr>
        <w:tc>
          <w:tcPr>
            <w:tcW w:w="640" w:type="pct"/>
            <w:vMerge/>
            <w:tcMar>
              <w:top w:w="0" w:type="dxa"/>
              <w:left w:w="108" w:type="dxa"/>
              <w:bottom w:w="0" w:type="dxa"/>
              <w:right w:w="108" w:type="dxa"/>
            </w:tcMar>
            <w:vAlign w:val="center"/>
          </w:tcPr>
          <w:p w14:paraId="41E85FC0"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p>
        </w:tc>
        <w:tc>
          <w:tcPr>
            <w:tcW w:w="451" w:type="pct"/>
            <w:shd w:val="clear" w:color="auto" w:fill="auto"/>
            <w:tcMar>
              <w:top w:w="0" w:type="dxa"/>
              <w:left w:w="108" w:type="dxa"/>
              <w:bottom w:w="0" w:type="dxa"/>
              <w:right w:w="108" w:type="dxa"/>
            </w:tcMar>
            <w:vAlign w:val="center"/>
          </w:tcPr>
          <w:p w14:paraId="0AAE30E7"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p>
        </w:tc>
        <w:tc>
          <w:tcPr>
            <w:tcW w:w="935" w:type="pct"/>
            <w:shd w:val="clear" w:color="auto" w:fill="auto"/>
            <w:tcMar>
              <w:top w:w="0" w:type="dxa"/>
              <w:left w:w="108" w:type="dxa"/>
              <w:bottom w:w="0" w:type="dxa"/>
              <w:right w:w="108" w:type="dxa"/>
            </w:tcMar>
          </w:tcPr>
          <w:p w14:paraId="5796D3D3" w14:textId="6A269DB5" w:rsidR="00BA4E33" w:rsidRPr="00B4515A" w:rsidRDefault="00BA4E33"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中国某工业集团下属企业</w:t>
            </w:r>
          </w:p>
        </w:tc>
        <w:tc>
          <w:tcPr>
            <w:tcW w:w="582" w:type="pct"/>
            <w:shd w:val="clear" w:color="auto" w:fill="auto"/>
            <w:tcMar>
              <w:top w:w="0" w:type="dxa"/>
              <w:left w:w="108" w:type="dxa"/>
              <w:bottom w:w="0" w:type="dxa"/>
              <w:right w:w="108" w:type="dxa"/>
            </w:tcMar>
            <w:vAlign w:val="center"/>
          </w:tcPr>
          <w:p w14:paraId="5049318C"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22FEB748"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技术服务</w:t>
            </w:r>
          </w:p>
        </w:tc>
        <w:tc>
          <w:tcPr>
            <w:tcW w:w="660" w:type="pct"/>
            <w:shd w:val="clear" w:color="auto" w:fill="auto"/>
            <w:tcMar>
              <w:top w:w="0" w:type="dxa"/>
              <w:left w:w="108" w:type="dxa"/>
              <w:bottom w:w="0" w:type="dxa"/>
              <w:right w:w="108" w:type="dxa"/>
            </w:tcMar>
            <w:vAlign w:val="center"/>
          </w:tcPr>
          <w:p w14:paraId="20C9FC75"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3,200.70</w:t>
            </w:r>
          </w:p>
        </w:tc>
        <w:tc>
          <w:tcPr>
            <w:tcW w:w="632" w:type="pct"/>
            <w:shd w:val="clear" w:color="auto" w:fill="auto"/>
            <w:tcMar>
              <w:top w:w="0" w:type="dxa"/>
              <w:left w:w="108" w:type="dxa"/>
              <w:bottom w:w="0" w:type="dxa"/>
              <w:right w:w="108" w:type="dxa"/>
            </w:tcMar>
            <w:vAlign w:val="center"/>
          </w:tcPr>
          <w:p w14:paraId="7FE6C9ED"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5.79%</w:t>
            </w:r>
          </w:p>
        </w:tc>
        <w:tc>
          <w:tcPr>
            <w:tcW w:w="444" w:type="pct"/>
            <w:shd w:val="clear" w:color="auto" w:fill="auto"/>
            <w:tcMar>
              <w:top w:w="0" w:type="dxa"/>
              <w:left w:w="108" w:type="dxa"/>
              <w:bottom w:w="0" w:type="dxa"/>
              <w:right w:w="108" w:type="dxa"/>
            </w:tcMar>
            <w:vAlign w:val="center"/>
          </w:tcPr>
          <w:p w14:paraId="53DD767E"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BA4E33" w:rsidRPr="00B4515A" w14:paraId="4353C7B9" w14:textId="77777777" w:rsidTr="00EE238F">
        <w:trPr>
          <w:trHeight w:val="340"/>
          <w:jc w:val="center"/>
        </w:trPr>
        <w:tc>
          <w:tcPr>
            <w:tcW w:w="640" w:type="pct"/>
            <w:vMerge/>
            <w:tcMar>
              <w:top w:w="0" w:type="dxa"/>
              <w:left w:w="108" w:type="dxa"/>
              <w:bottom w:w="0" w:type="dxa"/>
              <w:right w:w="108" w:type="dxa"/>
            </w:tcMar>
            <w:vAlign w:val="center"/>
          </w:tcPr>
          <w:p w14:paraId="0F8C60C7"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p>
        </w:tc>
        <w:tc>
          <w:tcPr>
            <w:tcW w:w="451" w:type="pct"/>
            <w:shd w:val="clear" w:color="auto" w:fill="auto"/>
            <w:tcMar>
              <w:top w:w="0" w:type="dxa"/>
              <w:left w:w="108" w:type="dxa"/>
              <w:bottom w:w="0" w:type="dxa"/>
              <w:right w:w="108" w:type="dxa"/>
            </w:tcMar>
            <w:vAlign w:val="center"/>
          </w:tcPr>
          <w:p w14:paraId="17696F5D"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w:t>
            </w:r>
          </w:p>
        </w:tc>
        <w:tc>
          <w:tcPr>
            <w:tcW w:w="935" w:type="pct"/>
            <w:shd w:val="clear" w:color="auto" w:fill="auto"/>
            <w:tcMar>
              <w:top w:w="0" w:type="dxa"/>
              <w:left w:w="108" w:type="dxa"/>
              <w:bottom w:w="0" w:type="dxa"/>
              <w:right w:w="108" w:type="dxa"/>
            </w:tcMar>
          </w:tcPr>
          <w:p w14:paraId="42E1F7AF" w14:textId="667D2595" w:rsidR="00BA4E33" w:rsidRPr="00B4515A" w:rsidRDefault="00BA4E33"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某航天科工集团下属企业</w:t>
            </w:r>
          </w:p>
        </w:tc>
        <w:tc>
          <w:tcPr>
            <w:tcW w:w="582" w:type="pct"/>
            <w:shd w:val="clear" w:color="auto" w:fill="auto"/>
            <w:tcMar>
              <w:top w:w="0" w:type="dxa"/>
              <w:left w:w="108" w:type="dxa"/>
              <w:bottom w:w="0" w:type="dxa"/>
              <w:right w:w="108" w:type="dxa"/>
            </w:tcMar>
            <w:vAlign w:val="center"/>
          </w:tcPr>
          <w:p w14:paraId="71E7D78D"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66453A66"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660" w:type="pct"/>
            <w:shd w:val="clear" w:color="auto" w:fill="auto"/>
            <w:tcMar>
              <w:top w:w="0" w:type="dxa"/>
              <w:left w:w="108" w:type="dxa"/>
              <w:bottom w:w="0" w:type="dxa"/>
              <w:right w:w="108" w:type="dxa"/>
            </w:tcMar>
            <w:vAlign w:val="center"/>
          </w:tcPr>
          <w:p w14:paraId="08DE56C4" w14:textId="6A17B67E" w:rsidR="00BA4E33" w:rsidRPr="00B4515A" w:rsidRDefault="00BA4E33" w:rsidP="008447AE">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2,562.30 </w:t>
            </w:r>
          </w:p>
        </w:tc>
        <w:tc>
          <w:tcPr>
            <w:tcW w:w="632" w:type="pct"/>
            <w:shd w:val="clear" w:color="auto" w:fill="auto"/>
            <w:tcMar>
              <w:top w:w="0" w:type="dxa"/>
              <w:left w:w="108" w:type="dxa"/>
              <w:bottom w:w="0" w:type="dxa"/>
              <w:right w:w="108" w:type="dxa"/>
            </w:tcMar>
            <w:vAlign w:val="center"/>
          </w:tcPr>
          <w:p w14:paraId="54B34C68" w14:textId="2AC0F929" w:rsidR="00BA4E33" w:rsidRPr="00B4515A" w:rsidRDefault="00BA4E33" w:rsidP="008447AE">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4.63%</w:t>
            </w:r>
          </w:p>
        </w:tc>
        <w:tc>
          <w:tcPr>
            <w:tcW w:w="444" w:type="pct"/>
            <w:shd w:val="clear" w:color="auto" w:fill="auto"/>
            <w:tcMar>
              <w:top w:w="0" w:type="dxa"/>
              <w:left w:w="108" w:type="dxa"/>
              <w:bottom w:w="0" w:type="dxa"/>
              <w:right w:w="108" w:type="dxa"/>
            </w:tcMar>
            <w:vAlign w:val="center"/>
          </w:tcPr>
          <w:p w14:paraId="7D871C40"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63B05973" w14:textId="77777777" w:rsidTr="00EE238F">
        <w:trPr>
          <w:trHeight w:val="340"/>
          <w:jc w:val="center"/>
        </w:trPr>
        <w:tc>
          <w:tcPr>
            <w:tcW w:w="640" w:type="pct"/>
            <w:vMerge/>
            <w:tcMar>
              <w:top w:w="0" w:type="dxa"/>
              <w:left w:w="108" w:type="dxa"/>
              <w:bottom w:w="0" w:type="dxa"/>
              <w:right w:w="108" w:type="dxa"/>
            </w:tcMar>
            <w:vAlign w:val="center"/>
          </w:tcPr>
          <w:p w14:paraId="0021E372"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c>
          <w:tcPr>
            <w:tcW w:w="451" w:type="pct"/>
            <w:shd w:val="clear" w:color="auto" w:fill="auto"/>
            <w:tcMar>
              <w:top w:w="0" w:type="dxa"/>
              <w:left w:w="108" w:type="dxa"/>
              <w:bottom w:w="0" w:type="dxa"/>
              <w:right w:w="108" w:type="dxa"/>
            </w:tcMar>
            <w:vAlign w:val="center"/>
          </w:tcPr>
          <w:p w14:paraId="2F1F3AB9"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w:t>
            </w:r>
          </w:p>
        </w:tc>
        <w:tc>
          <w:tcPr>
            <w:tcW w:w="935" w:type="pct"/>
            <w:shd w:val="clear" w:color="auto" w:fill="auto"/>
            <w:tcMar>
              <w:top w:w="0" w:type="dxa"/>
              <w:left w:w="108" w:type="dxa"/>
              <w:bottom w:w="0" w:type="dxa"/>
              <w:right w:w="108" w:type="dxa"/>
            </w:tcMar>
            <w:vAlign w:val="center"/>
          </w:tcPr>
          <w:p w14:paraId="5C1C886C" w14:textId="0ED7761E" w:rsidR="006F4D2A" w:rsidRPr="00B4515A" w:rsidRDefault="006F4D2A"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CA100259</w:t>
            </w:r>
          </w:p>
        </w:tc>
        <w:tc>
          <w:tcPr>
            <w:tcW w:w="582" w:type="pct"/>
            <w:shd w:val="clear" w:color="auto" w:fill="auto"/>
            <w:tcMar>
              <w:top w:w="0" w:type="dxa"/>
              <w:left w:w="108" w:type="dxa"/>
              <w:bottom w:w="0" w:type="dxa"/>
              <w:right w:w="108" w:type="dxa"/>
            </w:tcMar>
            <w:vAlign w:val="center"/>
          </w:tcPr>
          <w:p w14:paraId="4DAA8ED2"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2335E43C"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660" w:type="pct"/>
            <w:shd w:val="clear" w:color="auto" w:fill="auto"/>
            <w:tcMar>
              <w:top w:w="0" w:type="dxa"/>
              <w:left w:w="108" w:type="dxa"/>
              <w:bottom w:w="0" w:type="dxa"/>
              <w:right w:w="108" w:type="dxa"/>
            </w:tcMar>
            <w:vAlign w:val="center"/>
          </w:tcPr>
          <w:p w14:paraId="65819262"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2,016.73</w:t>
            </w:r>
          </w:p>
        </w:tc>
        <w:tc>
          <w:tcPr>
            <w:tcW w:w="632" w:type="pct"/>
            <w:shd w:val="clear" w:color="auto" w:fill="auto"/>
            <w:tcMar>
              <w:top w:w="0" w:type="dxa"/>
              <w:left w:w="108" w:type="dxa"/>
              <w:bottom w:w="0" w:type="dxa"/>
              <w:right w:w="108" w:type="dxa"/>
            </w:tcMar>
            <w:vAlign w:val="center"/>
          </w:tcPr>
          <w:p w14:paraId="36D9A978"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3.65%</w:t>
            </w:r>
          </w:p>
        </w:tc>
        <w:tc>
          <w:tcPr>
            <w:tcW w:w="444" w:type="pct"/>
            <w:shd w:val="clear" w:color="auto" w:fill="auto"/>
            <w:tcMar>
              <w:top w:w="0" w:type="dxa"/>
              <w:left w:w="108" w:type="dxa"/>
              <w:bottom w:w="0" w:type="dxa"/>
              <w:right w:w="108" w:type="dxa"/>
            </w:tcMar>
            <w:vAlign w:val="center"/>
          </w:tcPr>
          <w:p w14:paraId="574741B3"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0252CCD8" w14:textId="77777777" w:rsidTr="00EE238F">
        <w:trPr>
          <w:trHeight w:val="340"/>
          <w:jc w:val="center"/>
        </w:trPr>
        <w:tc>
          <w:tcPr>
            <w:tcW w:w="640" w:type="pct"/>
            <w:vMerge/>
            <w:tcMar>
              <w:top w:w="0" w:type="dxa"/>
              <w:left w:w="108" w:type="dxa"/>
              <w:bottom w:w="0" w:type="dxa"/>
              <w:right w:w="108" w:type="dxa"/>
            </w:tcMar>
            <w:vAlign w:val="center"/>
          </w:tcPr>
          <w:p w14:paraId="7F64806B"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c>
          <w:tcPr>
            <w:tcW w:w="451" w:type="pct"/>
            <w:shd w:val="clear" w:color="auto" w:fill="auto"/>
            <w:tcMar>
              <w:top w:w="0" w:type="dxa"/>
              <w:left w:w="108" w:type="dxa"/>
              <w:bottom w:w="0" w:type="dxa"/>
              <w:right w:w="108" w:type="dxa"/>
            </w:tcMar>
            <w:vAlign w:val="center"/>
          </w:tcPr>
          <w:p w14:paraId="4D9F7B70"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w:t>
            </w:r>
          </w:p>
        </w:tc>
        <w:tc>
          <w:tcPr>
            <w:tcW w:w="935" w:type="pct"/>
            <w:shd w:val="clear" w:color="auto" w:fill="auto"/>
            <w:tcMar>
              <w:top w:w="0" w:type="dxa"/>
              <w:left w:w="108" w:type="dxa"/>
              <w:bottom w:w="0" w:type="dxa"/>
              <w:right w:w="108" w:type="dxa"/>
            </w:tcMar>
            <w:vAlign w:val="center"/>
          </w:tcPr>
          <w:p w14:paraId="7A4F472F" w14:textId="7ADB0907" w:rsidR="006F4D2A" w:rsidRPr="00B4515A" w:rsidRDefault="006F4D2A"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CA100373</w:t>
            </w:r>
          </w:p>
        </w:tc>
        <w:tc>
          <w:tcPr>
            <w:tcW w:w="582" w:type="pct"/>
            <w:shd w:val="clear" w:color="auto" w:fill="auto"/>
            <w:tcMar>
              <w:top w:w="0" w:type="dxa"/>
              <w:left w:w="108" w:type="dxa"/>
              <w:bottom w:w="0" w:type="dxa"/>
              <w:right w:w="108" w:type="dxa"/>
            </w:tcMar>
            <w:vAlign w:val="center"/>
          </w:tcPr>
          <w:p w14:paraId="4E6ACB90"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721025F5"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660" w:type="pct"/>
            <w:shd w:val="clear" w:color="auto" w:fill="auto"/>
            <w:tcMar>
              <w:top w:w="0" w:type="dxa"/>
              <w:left w:w="108" w:type="dxa"/>
              <w:bottom w:w="0" w:type="dxa"/>
              <w:right w:w="108" w:type="dxa"/>
            </w:tcMar>
            <w:vAlign w:val="center"/>
          </w:tcPr>
          <w:p w14:paraId="708D0F41"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1,235.40</w:t>
            </w:r>
          </w:p>
        </w:tc>
        <w:tc>
          <w:tcPr>
            <w:tcW w:w="632" w:type="pct"/>
            <w:shd w:val="clear" w:color="auto" w:fill="auto"/>
            <w:tcMar>
              <w:top w:w="0" w:type="dxa"/>
              <w:left w:w="108" w:type="dxa"/>
              <w:bottom w:w="0" w:type="dxa"/>
              <w:right w:w="108" w:type="dxa"/>
            </w:tcMar>
            <w:vAlign w:val="center"/>
          </w:tcPr>
          <w:p w14:paraId="6E8F1623"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2.23%</w:t>
            </w:r>
          </w:p>
        </w:tc>
        <w:tc>
          <w:tcPr>
            <w:tcW w:w="444" w:type="pct"/>
            <w:shd w:val="clear" w:color="auto" w:fill="auto"/>
            <w:tcMar>
              <w:top w:w="0" w:type="dxa"/>
              <w:left w:w="108" w:type="dxa"/>
              <w:bottom w:w="0" w:type="dxa"/>
              <w:right w:w="108" w:type="dxa"/>
            </w:tcMar>
            <w:vAlign w:val="center"/>
          </w:tcPr>
          <w:p w14:paraId="025141B7"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A14006" w:rsidRPr="00B4515A" w14:paraId="60622BEA" w14:textId="77777777" w:rsidTr="00EE238F">
        <w:trPr>
          <w:trHeight w:val="340"/>
          <w:jc w:val="center"/>
        </w:trPr>
        <w:tc>
          <w:tcPr>
            <w:tcW w:w="640" w:type="pct"/>
            <w:vMerge/>
            <w:tcMar>
              <w:top w:w="0" w:type="dxa"/>
              <w:left w:w="108" w:type="dxa"/>
              <w:bottom w:w="0" w:type="dxa"/>
              <w:right w:w="108" w:type="dxa"/>
            </w:tcMar>
            <w:vAlign w:val="center"/>
          </w:tcPr>
          <w:p w14:paraId="3D893943"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p>
        </w:tc>
        <w:tc>
          <w:tcPr>
            <w:tcW w:w="1968" w:type="pct"/>
            <w:gridSpan w:val="3"/>
            <w:shd w:val="clear" w:color="auto" w:fill="auto"/>
            <w:tcMar>
              <w:top w:w="0" w:type="dxa"/>
              <w:left w:w="108" w:type="dxa"/>
              <w:bottom w:w="0" w:type="dxa"/>
              <w:right w:w="108" w:type="dxa"/>
            </w:tcMar>
            <w:vAlign w:val="center"/>
          </w:tcPr>
          <w:p w14:paraId="5466920E"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656" w:type="pct"/>
            <w:shd w:val="clear" w:color="auto" w:fill="auto"/>
            <w:tcMar>
              <w:top w:w="0" w:type="dxa"/>
              <w:left w:w="108" w:type="dxa"/>
              <w:bottom w:w="0" w:type="dxa"/>
              <w:right w:w="108" w:type="dxa"/>
            </w:tcMar>
            <w:vAlign w:val="center"/>
          </w:tcPr>
          <w:p w14:paraId="7DFE09A9"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660" w:type="pct"/>
            <w:shd w:val="clear" w:color="auto" w:fill="auto"/>
            <w:tcMar>
              <w:top w:w="0" w:type="dxa"/>
              <w:left w:w="108" w:type="dxa"/>
              <w:bottom w:w="0" w:type="dxa"/>
              <w:right w:w="108" w:type="dxa"/>
            </w:tcMar>
            <w:vAlign w:val="center"/>
          </w:tcPr>
          <w:p w14:paraId="15C58BC9" w14:textId="3FF65139" w:rsidR="00A14006" w:rsidRPr="00B4515A" w:rsidRDefault="00A14006" w:rsidP="008447AE">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12,334.90 </w:t>
            </w:r>
          </w:p>
        </w:tc>
        <w:tc>
          <w:tcPr>
            <w:tcW w:w="632" w:type="pct"/>
            <w:shd w:val="clear" w:color="auto" w:fill="auto"/>
            <w:tcMar>
              <w:top w:w="0" w:type="dxa"/>
              <w:left w:w="108" w:type="dxa"/>
              <w:bottom w:w="0" w:type="dxa"/>
              <w:right w:w="108" w:type="dxa"/>
            </w:tcMar>
            <w:vAlign w:val="center"/>
          </w:tcPr>
          <w:p w14:paraId="56906D5E" w14:textId="6796BEF6" w:rsidR="00A14006" w:rsidRPr="00B4515A" w:rsidRDefault="00A14006" w:rsidP="008447AE">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22.31%</w:t>
            </w:r>
          </w:p>
        </w:tc>
        <w:tc>
          <w:tcPr>
            <w:tcW w:w="444" w:type="pct"/>
            <w:shd w:val="clear" w:color="auto" w:fill="auto"/>
            <w:tcMar>
              <w:top w:w="0" w:type="dxa"/>
              <w:left w:w="108" w:type="dxa"/>
              <w:bottom w:w="0" w:type="dxa"/>
              <w:right w:w="108" w:type="dxa"/>
            </w:tcMar>
            <w:vAlign w:val="center"/>
          </w:tcPr>
          <w:p w14:paraId="7DC096B2"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01ED2788" w14:textId="77777777" w:rsidTr="00EE238F">
        <w:trPr>
          <w:trHeight w:val="340"/>
          <w:jc w:val="center"/>
        </w:trPr>
        <w:tc>
          <w:tcPr>
            <w:tcW w:w="640" w:type="pct"/>
            <w:vMerge w:val="restart"/>
            <w:shd w:val="clear" w:color="auto" w:fill="auto"/>
            <w:tcMar>
              <w:top w:w="0" w:type="dxa"/>
              <w:left w:w="108" w:type="dxa"/>
              <w:bottom w:w="0" w:type="dxa"/>
              <w:right w:w="108" w:type="dxa"/>
            </w:tcMar>
            <w:vAlign w:val="center"/>
          </w:tcPr>
          <w:p w14:paraId="313B9696"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专用宽带电台</w:t>
            </w:r>
          </w:p>
        </w:tc>
        <w:tc>
          <w:tcPr>
            <w:tcW w:w="451" w:type="pct"/>
            <w:shd w:val="clear" w:color="auto" w:fill="auto"/>
            <w:tcMar>
              <w:top w:w="0" w:type="dxa"/>
              <w:left w:w="108" w:type="dxa"/>
              <w:bottom w:w="0" w:type="dxa"/>
              <w:right w:w="108" w:type="dxa"/>
            </w:tcMar>
            <w:vAlign w:val="center"/>
          </w:tcPr>
          <w:p w14:paraId="560CC584"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p>
        </w:tc>
        <w:tc>
          <w:tcPr>
            <w:tcW w:w="935" w:type="pct"/>
            <w:shd w:val="clear" w:color="auto" w:fill="auto"/>
            <w:tcMar>
              <w:top w:w="0" w:type="dxa"/>
              <w:left w:w="108" w:type="dxa"/>
              <w:bottom w:w="0" w:type="dxa"/>
              <w:right w:w="108" w:type="dxa"/>
            </w:tcMar>
            <w:vAlign w:val="center"/>
          </w:tcPr>
          <w:p w14:paraId="43024EAA" w14:textId="4330DAE9"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客户</w:t>
            </w:r>
            <w:r w:rsidRPr="00B4515A">
              <w:rPr>
                <w:rFonts w:ascii="Times New Roman" w:eastAsiaTheme="minorEastAsia" w:hAnsi="Times New Roman" w:cs="Times New Roman"/>
                <w:color w:val="000000"/>
                <w:sz w:val="21"/>
                <w:szCs w:val="21"/>
              </w:rPr>
              <w:t>Z</w:t>
            </w:r>
          </w:p>
        </w:tc>
        <w:tc>
          <w:tcPr>
            <w:tcW w:w="582" w:type="pct"/>
            <w:shd w:val="clear" w:color="auto" w:fill="auto"/>
            <w:tcMar>
              <w:top w:w="0" w:type="dxa"/>
              <w:left w:w="108" w:type="dxa"/>
              <w:bottom w:w="0" w:type="dxa"/>
              <w:right w:w="108" w:type="dxa"/>
            </w:tcMar>
            <w:vAlign w:val="center"/>
          </w:tcPr>
          <w:p w14:paraId="4A90B74F"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2CD52C97"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技术服务</w:t>
            </w:r>
          </w:p>
        </w:tc>
        <w:tc>
          <w:tcPr>
            <w:tcW w:w="660" w:type="pct"/>
            <w:shd w:val="clear" w:color="auto" w:fill="auto"/>
            <w:tcMar>
              <w:top w:w="0" w:type="dxa"/>
              <w:left w:w="108" w:type="dxa"/>
              <w:bottom w:w="0" w:type="dxa"/>
              <w:right w:w="108" w:type="dxa"/>
            </w:tcMar>
            <w:vAlign w:val="center"/>
          </w:tcPr>
          <w:p w14:paraId="091C5CFF"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20,058.71</w:t>
            </w:r>
          </w:p>
        </w:tc>
        <w:tc>
          <w:tcPr>
            <w:tcW w:w="632" w:type="pct"/>
            <w:shd w:val="clear" w:color="auto" w:fill="auto"/>
            <w:tcMar>
              <w:top w:w="0" w:type="dxa"/>
              <w:left w:w="108" w:type="dxa"/>
              <w:bottom w:w="0" w:type="dxa"/>
              <w:right w:w="108" w:type="dxa"/>
            </w:tcMar>
            <w:vAlign w:val="center"/>
          </w:tcPr>
          <w:p w14:paraId="202868B2"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36.28%</w:t>
            </w:r>
          </w:p>
        </w:tc>
        <w:tc>
          <w:tcPr>
            <w:tcW w:w="444" w:type="pct"/>
            <w:shd w:val="clear" w:color="auto" w:fill="auto"/>
            <w:tcMar>
              <w:top w:w="0" w:type="dxa"/>
              <w:left w:w="108" w:type="dxa"/>
              <w:bottom w:w="0" w:type="dxa"/>
              <w:right w:w="108" w:type="dxa"/>
            </w:tcMar>
            <w:vAlign w:val="center"/>
          </w:tcPr>
          <w:p w14:paraId="49454822"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A14006" w:rsidRPr="00B4515A" w14:paraId="082FB4FA" w14:textId="77777777" w:rsidTr="00EE238F">
        <w:trPr>
          <w:trHeight w:val="340"/>
          <w:jc w:val="center"/>
        </w:trPr>
        <w:tc>
          <w:tcPr>
            <w:tcW w:w="640" w:type="pct"/>
            <w:vMerge/>
            <w:tcMar>
              <w:top w:w="0" w:type="dxa"/>
              <w:left w:w="108" w:type="dxa"/>
              <w:bottom w:w="0" w:type="dxa"/>
              <w:right w:w="108" w:type="dxa"/>
            </w:tcMar>
            <w:vAlign w:val="center"/>
          </w:tcPr>
          <w:p w14:paraId="02124475"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p>
        </w:tc>
        <w:tc>
          <w:tcPr>
            <w:tcW w:w="451" w:type="pct"/>
            <w:shd w:val="clear" w:color="auto" w:fill="auto"/>
            <w:tcMar>
              <w:top w:w="0" w:type="dxa"/>
              <w:left w:w="108" w:type="dxa"/>
              <w:bottom w:w="0" w:type="dxa"/>
              <w:right w:w="108" w:type="dxa"/>
            </w:tcMar>
            <w:vAlign w:val="center"/>
          </w:tcPr>
          <w:p w14:paraId="11D8EAE4"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p>
        </w:tc>
        <w:tc>
          <w:tcPr>
            <w:tcW w:w="935" w:type="pct"/>
            <w:shd w:val="clear" w:color="auto" w:fill="auto"/>
            <w:tcMar>
              <w:top w:w="0" w:type="dxa"/>
              <w:left w:w="108" w:type="dxa"/>
              <w:bottom w:w="0" w:type="dxa"/>
              <w:right w:w="108" w:type="dxa"/>
            </w:tcMar>
            <w:vAlign w:val="bottom"/>
          </w:tcPr>
          <w:p w14:paraId="49B7E1A6" w14:textId="444B010C"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中国信科集团及下属企业</w:t>
            </w:r>
          </w:p>
        </w:tc>
        <w:tc>
          <w:tcPr>
            <w:tcW w:w="582" w:type="pct"/>
            <w:shd w:val="clear" w:color="auto" w:fill="auto"/>
            <w:tcMar>
              <w:top w:w="0" w:type="dxa"/>
              <w:left w:w="108" w:type="dxa"/>
              <w:bottom w:w="0" w:type="dxa"/>
              <w:right w:w="108" w:type="dxa"/>
            </w:tcMar>
            <w:vAlign w:val="center"/>
          </w:tcPr>
          <w:p w14:paraId="2E5871B2"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120E7982"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技术服务</w:t>
            </w:r>
          </w:p>
        </w:tc>
        <w:tc>
          <w:tcPr>
            <w:tcW w:w="660" w:type="pct"/>
            <w:shd w:val="clear" w:color="auto" w:fill="auto"/>
            <w:tcMar>
              <w:top w:w="0" w:type="dxa"/>
              <w:left w:w="108" w:type="dxa"/>
              <w:bottom w:w="0" w:type="dxa"/>
              <w:right w:w="108" w:type="dxa"/>
            </w:tcMar>
            <w:vAlign w:val="center"/>
          </w:tcPr>
          <w:p w14:paraId="50581A69"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6,120.61</w:t>
            </w:r>
          </w:p>
        </w:tc>
        <w:tc>
          <w:tcPr>
            <w:tcW w:w="632" w:type="pct"/>
            <w:shd w:val="clear" w:color="auto" w:fill="auto"/>
            <w:tcMar>
              <w:top w:w="0" w:type="dxa"/>
              <w:left w:w="108" w:type="dxa"/>
              <w:bottom w:w="0" w:type="dxa"/>
              <w:right w:w="108" w:type="dxa"/>
            </w:tcMar>
            <w:vAlign w:val="center"/>
          </w:tcPr>
          <w:p w14:paraId="5EFA1219"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11.07%</w:t>
            </w:r>
          </w:p>
        </w:tc>
        <w:tc>
          <w:tcPr>
            <w:tcW w:w="444" w:type="pct"/>
            <w:shd w:val="clear" w:color="auto" w:fill="auto"/>
            <w:tcMar>
              <w:top w:w="0" w:type="dxa"/>
              <w:left w:w="108" w:type="dxa"/>
              <w:bottom w:w="0" w:type="dxa"/>
              <w:right w:w="108" w:type="dxa"/>
            </w:tcMar>
            <w:vAlign w:val="center"/>
          </w:tcPr>
          <w:p w14:paraId="3A952EC3"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是</w:t>
            </w:r>
          </w:p>
        </w:tc>
      </w:tr>
      <w:tr w:rsidR="00A14006" w:rsidRPr="00B4515A" w14:paraId="1911E0CF" w14:textId="77777777" w:rsidTr="00EE238F">
        <w:trPr>
          <w:trHeight w:val="340"/>
          <w:jc w:val="center"/>
        </w:trPr>
        <w:tc>
          <w:tcPr>
            <w:tcW w:w="640" w:type="pct"/>
            <w:vMerge/>
            <w:tcMar>
              <w:top w:w="0" w:type="dxa"/>
              <w:left w:w="108" w:type="dxa"/>
              <w:bottom w:w="0" w:type="dxa"/>
              <w:right w:w="108" w:type="dxa"/>
            </w:tcMar>
            <w:vAlign w:val="center"/>
          </w:tcPr>
          <w:p w14:paraId="293E8EE6"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p>
        </w:tc>
        <w:tc>
          <w:tcPr>
            <w:tcW w:w="451" w:type="pct"/>
            <w:shd w:val="clear" w:color="auto" w:fill="auto"/>
            <w:tcMar>
              <w:top w:w="0" w:type="dxa"/>
              <w:left w:w="108" w:type="dxa"/>
              <w:bottom w:w="0" w:type="dxa"/>
              <w:right w:w="108" w:type="dxa"/>
            </w:tcMar>
            <w:vAlign w:val="center"/>
          </w:tcPr>
          <w:p w14:paraId="5FFCCA3F"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w:t>
            </w:r>
          </w:p>
        </w:tc>
        <w:tc>
          <w:tcPr>
            <w:tcW w:w="935" w:type="pct"/>
            <w:shd w:val="clear" w:color="auto" w:fill="auto"/>
            <w:tcMar>
              <w:top w:w="0" w:type="dxa"/>
              <w:left w:w="108" w:type="dxa"/>
              <w:bottom w:w="0" w:type="dxa"/>
              <w:right w:w="108" w:type="dxa"/>
            </w:tcMar>
            <w:vAlign w:val="bottom"/>
          </w:tcPr>
          <w:p w14:paraId="7FE7B1AB" w14:textId="5BF5F2D1"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中国某工业集</w:t>
            </w:r>
            <w:r w:rsidRPr="00B4515A">
              <w:rPr>
                <w:rFonts w:ascii="Times New Roman" w:eastAsiaTheme="minorEastAsia" w:hAnsi="Times New Roman" w:cs="Times New Roman" w:hint="eastAsia"/>
                <w:color w:val="000000"/>
                <w:sz w:val="21"/>
                <w:szCs w:val="21"/>
              </w:rPr>
              <w:lastRenderedPageBreak/>
              <w:t>团下属企业</w:t>
            </w:r>
          </w:p>
        </w:tc>
        <w:tc>
          <w:tcPr>
            <w:tcW w:w="582" w:type="pct"/>
            <w:shd w:val="clear" w:color="auto" w:fill="auto"/>
            <w:tcMar>
              <w:top w:w="0" w:type="dxa"/>
              <w:left w:w="108" w:type="dxa"/>
              <w:bottom w:w="0" w:type="dxa"/>
              <w:right w:w="108" w:type="dxa"/>
            </w:tcMar>
            <w:vAlign w:val="center"/>
          </w:tcPr>
          <w:p w14:paraId="7697E4B4"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lastRenderedPageBreak/>
              <w:t>直销</w:t>
            </w:r>
          </w:p>
        </w:tc>
        <w:tc>
          <w:tcPr>
            <w:tcW w:w="656" w:type="pct"/>
            <w:shd w:val="clear" w:color="auto" w:fill="auto"/>
            <w:tcMar>
              <w:top w:w="0" w:type="dxa"/>
              <w:left w:w="108" w:type="dxa"/>
              <w:bottom w:w="0" w:type="dxa"/>
              <w:right w:w="108" w:type="dxa"/>
            </w:tcMar>
            <w:vAlign w:val="center"/>
          </w:tcPr>
          <w:p w14:paraId="3C2DC9B2"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lastRenderedPageBreak/>
              <w:t>技术服务</w:t>
            </w:r>
          </w:p>
        </w:tc>
        <w:tc>
          <w:tcPr>
            <w:tcW w:w="660" w:type="pct"/>
            <w:shd w:val="clear" w:color="auto" w:fill="auto"/>
            <w:tcMar>
              <w:top w:w="0" w:type="dxa"/>
              <w:left w:w="108" w:type="dxa"/>
              <w:bottom w:w="0" w:type="dxa"/>
              <w:right w:w="108" w:type="dxa"/>
            </w:tcMar>
            <w:vAlign w:val="center"/>
          </w:tcPr>
          <w:p w14:paraId="439F98B1"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lastRenderedPageBreak/>
              <w:t>2,119.01</w:t>
            </w:r>
          </w:p>
        </w:tc>
        <w:tc>
          <w:tcPr>
            <w:tcW w:w="632" w:type="pct"/>
            <w:shd w:val="clear" w:color="auto" w:fill="auto"/>
            <w:tcMar>
              <w:top w:w="0" w:type="dxa"/>
              <w:left w:w="108" w:type="dxa"/>
              <w:bottom w:w="0" w:type="dxa"/>
              <w:right w:w="108" w:type="dxa"/>
            </w:tcMar>
            <w:vAlign w:val="center"/>
          </w:tcPr>
          <w:p w14:paraId="5CB18EC6"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3.83%</w:t>
            </w:r>
          </w:p>
        </w:tc>
        <w:tc>
          <w:tcPr>
            <w:tcW w:w="444" w:type="pct"/>
            <w:shd w:val="clear" w:color="auto" w:fill="auto"/>
            <w:tcMar>
              <w:top w:w="0" w:type="dxa"/>
              <w:left w:w="108" w:type="dxa"/>
              <w:bottom w:w="0" w:type="dxa"/>
              <w:right w:w="108" w:type="dxa"/>
            </w:tcMar>
            <w:vAlign w:val="center"/>
          </w:tcPr>
          <w:p w14:paraId="22BF1EEB"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A14006" w:rsidRPr="00B4515A" w14:paraId="7972F4B0" w14:textId="77777777" w:rsidTr="00EE238F">
        <w:trPr>
          <w:trHeight w:val="340"/>
          <w:jc w:val="center"/>
        </w:trPr>
        <w:tc>
          <w:tcPr>
            <w:tcW w:w="640" w:type="pct"/>
            <w:vMerge/>
            <w:tcMar>
              <w:top w:w="0" w:type="dxa"/>
              <w:left w:w="108" w:type="dxa"/>
              <w:bottom w:w="0" w:type="dxa"/>
              <w:right w:w="108" w:type="dxa"/>
            </w:tcMar>
            <w:vAlign w:val="center"/>
          </w:tcPr>
          <w:p w14:paraId="5DEA2AF5"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p>
        </w:tc>
        <w:tc>
          <w:tcPr>
            <w:tcW w:w="451" w:type="pct"/>
            <w:shd w:val="clear" w:color="auto" w:fill="auto"/>
            <w:tcMar>
              <w:top w:w="0" w:type="dxa"/>
              <w:left w:w="108" w:type="dxa"/>
              <w:bottom w:w="0" w:type="dxa"/>
              <w:right w:w="108" w:type="dxa"/>
            </w:tcMar>
            <w:vAlign w:val="center"/>
          </w:tcPr>
          <w:p w14:paraId="7B7ED6F6"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w:t>
            </w:r>
          </w:p>
        </w:tc>
        <w:tc>
          <w:tcPr>
            <w:tcW w:w="935" w:type="pct"/>
            <w:shd w:val="clear" w:color="auto" w:fill="auto"/>
            <w:tcMar>
              <w:top w:w="0" w:type="dxa"/>
              <w:left w:w="108" w:type="dxa"/>
              <w:bottom w:w="0" w:type="dxa"/>
              <w:right w:w="108" w:type="dxa"/>
            </w:tcMar>
            <w:vAlign w:val="bottom"/>
          </w:tcPr>
          <w:p w14:paraId="4C099307" w14:textId="5ECA0CF6"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某电子科技集团下属企业</w:t>
            </w:r>
          </w:p>
        </w:tc>
        <w:tc>
          <w:tcPr>
            <w:tcW w:w="582" w:type="pct"/>
            <w:shd w:val="clear" w:color="auto" w:fill="auto"/>
            <w:tcMar>
              <w:top w:w="0" w:type="dxa"/>
              <w:left w:w="108" w:type="dxa"/>
              <w:bottom w:w="0" w:type="dxa"/>
              <w:right w:w="108" w:type="dxa"/>
            </w:tcMar>
            <w:vAlign w:val="center"/>
          </w:tcPr>
          <w:p w14:paraId="265A5088"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71D034D7"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技术服务</w:t>
            </w:r>
          </w:p>
        </w:tc>
        <w:tc>
          <w:tcPr>
            <w:tcW w:w="660" w:type="pct"/>
            <w:shd w:val="clear" w:color="auto" w:fill="auto"/>
            <w:tcMar>
              <w:top w:w="0" w:type="dxa"/>
              <w:left w:w="108" w:type="dxa"/>
              <w:bottom w:w="0" w:type="dxa"/>
              <w:right w:w="108" w:type="dxa"/>
            </w:tcMar>
            <w:vAlign w:val="center"/>
          </w:tcPr>
          <w:p w14:paraId="5B88083A"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1,930.29</w:t>
            </w:r>
          </w:p>
        </w:tc>
        <w:tc>
          <w:tcPr>
            <w:tcW w:w="632" w:type="pct"/>
            <w:shd w:val="clear" w:color="auto" w:fill="auto"/>
            <w:tcMar>
              <w:top w:w="0" w:type="dxa"/>
              <w:left w:w="108" w:type="dxa"/>
              <w:bottom w:w="0" w:type="dxa"/>
              <w:right w:w="108" w:type="dxa"/>
            </w:tcMar>
            <w:vAlign w:val="center"/>
          </w:tcPr>
          <w:p w14:paraId="0CB0771C" w14:textId="77777777" w:rsidR="00A14006" w:rsidRPr="00B4515A" w:rsidRDefault="00A14006" w:rsidP="00A14006">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3.49%</w:t>
            </w:r>
          </w:p>
        </w:tc>
        <w:tc>
          <w:tcPr>
            <w:tcW w:w="444" w:type="pct"/>
            <w:shd w:val="clear" w:color="auto" w:fill="auto"/>
            <w:tcMar>
              <w:top w:w="0" w:type="dxa"/>
              <w:left w:w="108" w:type="dxa"/>
              <w:bottom w:w="0" w:type="dxa"/>
              <w:right w:w="108" w:type="dxa"/>
            </w:tcMar>
            <w:vAlign w:val="center"/>
          </w:tcPr>
          <w:p w14:paraId="68D61F12" w14:textId="77777777" w:rsidR="00A14006" w:rsidRPr="00B4515A" w:rsidRDefault="00A14006" w:rsidP="00A14006">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72CDF3DE" w14:textId="77777777" w:rsidTr="00EE238F">
        <w:trPr>
          <w:trHeight w:val="340"/>
          <w:jc w:val="center"/>
        </w:trPr>
        <w:tc>
          <w:tcPr>
            <w:tcW w:w="640" w:type="pct"/>
            <w:vMerge/>
            <w:tcMar>
              <w:top w:w="0" w:type="dxa"/>
              <w:left w:w="108" w:type="dxa"/>
              <w:bottom w:w="0" w:type="dxa"/>
              <w:right w:w="108" w:type="dxa"/>
            </w:tcMar>
            <w:vAlign w:val="center"/>
          </w:tcPr>
          <w:p w14:paraId="4A220D81"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c>
          <w:tcPr>
            <w:tcW w:w="451" w:type="pct"/>
            <w:shd w:val="clear" w:color="auto" w:fill="auto"/>
            <w:tcMar>
              <w:top w:w="0" w:type="dxa"/>
              <w:left w:w="108" w:type="dxa"/>
              <w:bottom w:w="0" w:type="dxa"/>
              <w:right w:w="108" w:type="dxa"/>
            </w:tcMar>
            <w:vAlign w:val="center"/>
          </w:tcPr>
          <w:p w14:paraId="176CFA96"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w:t>
            </w:r>
          </w:p>
        </w:tc>
        <w:tc>
          <w:tcPr>
            <w:tcW w:w="935" w:type="pct"/>
            <w:shd w:val="clear" w:color="auto" w:fill="auto"/>
            <w:tcMar>
              <w:top w:w="0" w:type="dxa"/>
              <w:left w:w="108" w:type="dxa"/>
              <w:bottom w:w="0" w:type="dxa"/>
              <w:right w:w="108" w:type="dxa"/>
            </w:tcMar>
            <w:vAlign w:val="center"/>
          </w:tcPr>
          <w:p w14:paraId="4AD61579" w14:textId="08600F9D"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CA100339</w:t>
            </w:r>
          </w:p>
        </w:tc>
        <w:tc>
          <w:tcPr>
            <w:tcW w:w="582" w:type="pct"/>
            <w:shd w:val="clear" w:color="auto" w:fill="auto"/>
            <w:tcMar>
              <w:top w:w="0" w:type="dxa"/>
              <w:left w:w="108" w:type="dxa"/>
              <w:bottom w:w="0" w:type="dxa"/>
              <w:right w:w="108" w:type="dxa"/>
            </w:tcMar>
            <w:vAlign w:val="center"/>
          </w:tcPr>
          <w:p w14:paraId="120299A7"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08CD5537"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技术服务</w:t>
            </w:r>
          </w:p>
        </w:tc>
        <w:tc>
          <w:tcPr>
            <w:tcW w:w="660" w:type="pct"/>
            <w:shd w:val="clear" w:color="auto" w:fill="auto"/>
            <w:tcMar>
              <w:top w:w="0" w:type="dxa"/>
              <w:left w:w="108" w:type="dxa"/>
              <w:bottom w:w="0" w:type="dxa"/>
              <w:right w:w="108" w:type="dxa"/>
            </w:tcMar>
            <w:vAlign w:val="center"/>
          </w:tcPr>
          <w:p w14:paraId="484AE5A3"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952.83</w:t>
            </w:r>
          </w:p>
        </w:tc>
        <w:tc>
          <w:tcPr>
            <w:tcW w:w="632" w:type="pct"/>
            <w:shd w:val="clear" w:color="auto" w:fill="auto"/>
            <w:tcMar>
              <w:top w:w="0" w:type="dxa"/>
              <w:left w:w="108" w:type="dxa"/>
              <w:bottom w:w="0" w:type="dxa"/>
              <w:right w:w="108" w:type="dxa"/>
            </w:tcMar>
            <w:vAlign w:val="center"/>
          </w:tcPr>
          <w:p w14:paraId="7C588311"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1.72%</w:t>
            </w:r>
          </w:p>
        </w:tc>
        <w:tc>
          <w:tcPr>
            <w:tcW w:w="444" w:type="pct"/>
            <w:shd w:val="clear" w:color="auto" w:fill="auto"/>
            <w:tcMar>
              <w:top w:w="0" w:type="dxa"/>
              <w:left w:w="108" w:type="dxa"/>
              <w:bottom w:w="0" w:type="dxa"/>
              <w:right w:w="108" w:type="dxa"/>
            </w:tcMar>
            <w:vAlign w:val="center"/>
          </w:tcPr>
          <w:p w14:paraId="6AA90FBF"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416B0" w:rsidRPr="00B4515A" w14:paraId="2E44C9AA" w14:textId="77777777" w:rsidTr="00BA4E33">
        <w:trPr>
          <w:trHeight w:val="340"/>
          <w:jc w:val="center"/>
        </w:trPr>
        <w:tc>
          <w:tcPr>
            <w:tcW w:w="640" w:type="pct"/>
            <w:vMerge/>
            <w:tcMar>
              <w:top w:w="0" w:type="dxa"/>
              <w:left w:w="108" w:type="dxa"/>
              <w:bottom w:w="0" w:type="dxa"/>
              <w:right w:w="108" w:type="dxa"/>
            </w:tcMar>
            <w:vAlign w:val="center"/>
          </w:tcPr>
          <w:p w14:paraId="6211718D"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624" w:type="pct"/>
            <w:gridSpan w:val="4"/>
            <w:shd w:val="clear" w:color="auto" w:fill="auto"/>
            <w:tcMar>
              <w:top w:w="0" w:type="dxa"/>
              <w:left w:w="108" w:type="dxa"/>
              <w:bottom w:w="0" w:type="dxa"/>
              <w:right w:w="108" w:type="dxa"/>
            </w:tcMar>
            <w:vAlign w:val="center"/>
          </w:tcPr>
          <w:p w14:paraId="523E094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660" w:type="pct"/>
            <w:shd w:val="clear" w:color="auto" w:fill="auto"/>
            <w:tcMar>
              <w:top w:w="0" w:type="dxa"/>
              <w:left w:w="108" w:type="dxa"/>
              <w:bottom w:w="0" w:type="dxa"/>
              <w:right w:w="108" w:type="dxa"/>
            </w:tcMar>
            <w:vAlign w:val="center"/>
          </w:tcPr>
          <w:p w14:paraId="30F61D6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31,181.46</w:t>
            </w:r>
          </w:p>
        </w:tc>
        <w:tc>
          <w:tcPr>
            <w:tcW w:w="632" w:type="pct"/>
            <w:shd w:val="clear" w:color="auto" w:fill="auto"/>
            <w:tcMar>
              <w:top w:w="0" w:type="dxa"/>
              <w:left w:w="108" w:type="dxa"/>
              <w:bottom w:w="0" w:type="dxa"/>
              <w:right w:w="108" w:type="dxa"/>
            </w:tcMar>
            <w:vAlign w:val="center"/>
          </w:tcPr>
          <w:p w14:paraId="6CD34F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56.40%</w:t>
            </w:r>
          </w:p>
        </w:tc>
        <w:tc>
          <w:tcPr>
            <w:tcW w:w="444" w:type="pct"/>
            <w:shd w:val="clear" w:color="auto" w:fill="auto"/>
            <w:tcMar>
              <w:top w:w="0" w:type="dxa"/>
              <w:left w:w="108" w:type="dxa"/>
              <w:bottom w:w="0" w:type="dxa"/>
              <w:right w:w="108" w:type="dxa"/>
            </w:tcMar>
            <w:vAlign w:val="center"/>
          </w:tcPr>
          <w:p w14:paraId="01A4E729"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6F4D2A" w:rsidRPr="00B4515A" w14:paraId="0ED9483E" w14:textId="77777777" w:rsidTr="00EE238F">
        <w:trPr>
          <w:trHeight w:val="340"/>
          <w:jc w:val="center"/>
        </w:trPr>
        <w:tc>
          <w:tcPr>
            <w:tcW w:w="640" w:type="pct"/>
            <w:vMerge w:val="restart"/>
            <w:shd w:val="clear" w:color="auto" w:fill="auto"/>
            <w:tcMar>
              <w:top w:w="0" w:type="dxa"/>
              <w:left w:w="108" w:type="dxa"/>
              <w:bottom w:w="0" w:type="dxa"/>
              <w:right w:w="108" w:type="dxa"/>
            </w:tcMar>
            <w:vAlign w:val="center"/>
          </w:tcPr>
          <w:p w14:paraId="1FF95A53"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宽带移动安全应用</w:t>
            </w:r>
          </w:p>
        </w:tc>
        <w:tc>
          <w:tcPr>
            <w:tcW w:w="451" w:type="pct"/>
            <w:shd w:val="clear" w:color="auto" w:fill="auto"/>
            <w:tcMar>
              <w:top w:w="0" w:type="dxa"/>
              <w:left w:w="108" w:type="dxa"/>
              <w:bottom w:w="0" w:type="dxa"/>
              <w:right w:w="108" w:type="dxa"/>
            </w:tcMar>
            <w:vAlign w:val="center"/>
          </w:tcPr>
          <w:p w14:paraId="3C0ADFC8"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p>
        </w:tc>
        <w:tc>
          <w:tcPr>
            <w:tcW w:w="935" w:type="pct"/>
            <w:shd w:val="clear" w:color="auto" w:fill="auto"/>
            <w:tcMar>
              <w:top w:w="0" w:type="dxa"/>
              <w:left w:w="108" w:type="dxa"/>
              <w:bottom w:w="0" w:type="dxa"/>
              <w:right w:w="108" w:type="dxa"/>
            </w:tcMar>
            <w:vAlign w:val="center"/>
          </w:tcPr>
          <w:p w14:paraId="0837D1A4" w14:textId="6843B022"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上海崛中信息科技有限公司</w:t>
            </w:r>
          </w:p>
        </w:tc>
        <w:tc>
          <w:tcPr>
            <w:tcW w:w="582" w:type="pct"/>
            <w:shd w:val="clear" w:color="auto" w:fill="auto"/>
            <w:tcMar>
              <w:top w:w="0" w:type="dxa"/>
              <w:left w:w="108" w:type="dxa"/>
              <w:bottom w:w="0" w:type="dxa"/>
              <w:right w:w="108" w:type="dxa"/>
            </w:tcMar>
            <w:vAlign w:val="center"/>
          </w:tcPr>
          <w:p w14:paraId="6072316E"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17DF3349"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660" w:type="pct"/>
            <w:shd w:val="clear" w:color="auto" w:fill="auto"/>
            <w:tcMar>
              <w:top w:w="0" w:type="dxa"/>
              <w:left w:w="108" w:type="dxa"/>
              <w:bottom w:w="0" w:type="dxa"/>
              <w:right w:w="108" w:type="dxa"/>
            </w:tcMar>
            <w:vAlign w:val="center"/>
          </w:tcPr>
          <w:p w14:paraId="68BF47B1"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1,222.30</w:t>
            </w:r>
          </w:p>
        </w:tc>
        <w:tc>
          <w:tcPr>
            <w:tcW w:w="632" w:type="pct"/>
            <w:shd w:val="clear" w:color="auto" w:fill="auto"/>
            <w:tcMar>
              <w:top w:w="0" w:type="dxa"/>
              <w:left w:w="108" w:type="dxa"/>
              <w:bottom w:w="0" w:type="dxa"/>
              <w:right w:w="108" w:type="dxa"/>
            </w:tcMar>
            <w:vAlign w:val="center"/>
          </w:tcPr>
          <w:p w14:paraId="0D2E38C8"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2.21%</w:t>
            </w:r>
          </w:p>
        </w:tc>
        <w:tc>
          <w:tcPr>
            <w:tcW w:w="444" w:type="pct"/>
            <w:shd w:val="clear" w:color="auto" w:fill="auto"/>
            <w:tcMar>
              <w:top w:w="0" w:type="dxa"/>
              <w:left w:w="108" w:type="dxa"/>
              <w:bottom w:w="0" w:type="dxa"/>
              <w:right w:w="108" w:type="dxa"/>
            </w:tcMar>
            <w:vAlign w:val="center"/>
          </w:tcPr>
          <w:p w14:paraId="4144FE37"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411811BA" w14:textId="77777777" w:rsidTr="00EE238F">
        <w:trPr>
          <w:trHeight w:val="340"/>
          <w:jc w:val="center"/>
        </w:trPr>
        <w:tc>
          <w:tcPr>
            <w:tcW w:w="640" w:type="pct"/>
            <w:vMerge/>
            <w:tcMar>
              <w:top w:w="0" w:type="dxa"/>
              <w:left w:w="108" w:type="dxa"/>
              <w:bottom w:w="0" w:type="dxa"/>
              <w:right w:w="108" w:type="dxa"/>
            </w:tcMar>
            <w:vAlign w:val="center"/>
          </w:tcPr>
          <w:p w14:paraId="40B53835"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c>
          <w:tcPr>
            <w:tcW w:w="451" w:type="pct"/>
            <w:shd w:val="clear" w:color="auto" w:fill="auto"/>
            <w:tcMar>
              <w:top w:w="0" w:type="dxa"/>
              <w:left w:w="108" w:type="dxa"/>
              <w:bottom w:w="0" w:type="dxa"/>
              <w:right w:w="108" w:type="dxa"/>
            </w:tcMar>
            <w:vAlign w:val="center"/>
          </w:tcPr>
          <w:p w14:paraId="033A2040"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p>
        </w:tc>
        <w:tc>
          <w:tcPr>
            <w:tcW w:w="935" w:type="pct"/>
            <w:shd w:val="clear" w:color="auto" w:fill="auto"/>
            <w:tcMar>
              <w:top w:w="0" w:type="dxa"/>
              <w:left w:w="108" w:type="dxa"/>
              <w:bottom w:w="0" w:type="dxa"/>
              <w:right w:w="108" w:type="dxa"/>
            </w:tcMar>
            <w:vAlign w:val="center"/>
          </w:tcPr>
          <w:p w14:paraId="67F3E64E" w14:textId="416EF9E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CA100170</w:t>
            </w:r>
          </w:p>
        </w:tc>
        <w:tc>
          <w:tcPr>
            <w:tcW w:w="582" w:type="pct"/>
            <w:shd w:val="clear" w:color="auto" w:fill="auto"/>
            <w:tcMar>
              <w:top w:w="0" w:type="dxa"/>
              <w:left w:w="108" w:type="dxa"/>
              <w:bottom w:w="0" w:type="dxa"/>
              <w:right w:w="108" w:type="dxa"/>
            </w:tcMar>
            <w:vAlign w:val="center"/>
          </w:tcPr>
          <w:p w14:paraId="12D71AE1"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612EDA5D"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660" w:type="pct"/>
            <w:shd w:val="clear" w:color="auto" w:fill="auto"/>
            <w:tcMar>
              <w:top w:w="0" w:type="dxa"/>
              <w:left w:w="108" w:type="dxa"/>
              <w:bottom w:w="0" w:type="dxa"/>
              <w:right w:w="108" w:type="dxa"/>
            </w:tcMar>
            <w:vAlign w:val="center"/>
          </w:tcPr>
          <w:p w14:paraId="5D7C1D91"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377.71</w:t>
            </w:r>
          </w:p>
        </w:tc>
        <w:tc>
          <w:tcPr>
            <w:tcW w:w="632" w:type="pct"/>
            <w:shd w:val="clear" w:color="auto" w:fill="auto"/>
            <w:tcMar>
              <w:top w:w="0" w:type="dxa"/>
              <w:left w:w="108" w:type="dxa"/>
              <w:bottom w:w="0" w:type="dxa"/>
              <w:right w:w="108" w:type="dxa"/>
            </w:tcMar>
            <w:vAlign w:val="center"/>
          </w:tcPr>
          <w:p w14:paraId="7D872035"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0.68%</w:t>
            </w:r>
          </w:p>
        </w:tc>
        <w:tc>
          <w:tcPr>
            <w:tcW w:w="444" w:type="pct"/>
            <w:shd w:val="clear" w:color="auto" w:fill="auto"/>
            <w:tcMar>
              <w:top w:w="0" w:type="dxa"/>
              <w:left w:w="108" w:type="dxa"/>
              <w:bottom w:w="0" w:type="dxa"/>
              <w:right w:w="108" w:type="dxa"/>
            </w:tcMar>
            <w:vAlign w:val="center"/>
          </w:tcPr>
          <w:p w14:paraId="43EB9DF8"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2E02C2CE" w14:textId="77777777" w:rsidTr="00EE238F">
        <w:trPr>
          <w:trHeight w:val="340"/>
          <w:jc w:val="center"/>
        </w:trPr>
        <w:tc>
          <w:tcPr>
            <w:tcW w:w="640" w:type="pct"/>
            <w:vMerge/>
            <w:tcMar>
              <w:top w:w="0" w:type="dxa"/>
              <w:left w:w="108" w:type="dxa"/>
              <w:bottom w:w="0" w:type="dxa"/>
              <w:right w:w="108" w:type="dxa"/>
            </w:tcMar>
            <w:vAlign w:val="center"/>
          </w:tcPr>
          <w:p w14:paraId="536CF638"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c>
          <w:tcPr>
            <w:tcW w:w="451" w:type="pct"/>
            <w:shd w:val="clear" w:color="auto" w:fill="auto"/>
            <w:tcMar>
              <w:top w:w="0" w:type="dxa"/>
              <w:left w:w="108" w:type="dxa"/>
              <w:bottom w:w="0" w:type="dxa"/>
              <w:right w:w="108" w:type="dxa"/>
            </w:tcMar>
            <w:vAlign w:val="center"/>
          </w:tcPr>
          <w:p w14:paraId="162EA088"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w:t>
            </w:r>
          </w:p>
        </w:tc>
        <w:tc>
          <w:tcPr>
            <w:tcW w:w="935" w:type="pct"/>
            <w:shd w:val="clear" w:color="auto" w:fill="auto"/>
            <w:tcMar>
              <w:top w:w="0" w:type="dxa"/>
              <w:left w:w="108" w:type="dxa"/>
              <w:bottom w:w="0" w:type="dxa"/>
              <w:right w:w="108" w:type="dxa"/>
            </w:tcMar>
            <w:vAlign w:val="center"/>
          </w:tcPr>
          <w:p w14:paraId="15D14140" w14:textId="1C421D90" w:rsidR="006F4D2A" w:rsidRPr="00B4515A" w:rsidRDefault="00A14006"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某电子科技集团下属企业</w:t>
            </w:r>
          </w:p>
        </w:tc>
        <w:tc>
          <w:tcPr>
            <w:tcW w:w="582" w:type="pct"/>
            <w:shd w:val="clear" w:color="auto" w:fill="auto"/>
            <w:tcMar>
              <w:top w:w="0" w:type="dxa"/>
              <w:left w:w="108" w:type="dxa"/>
              <w:bottom w:w="0" w:type="dxa"/>
              <w:right w:w="108" w:type="dxa"/>
            </w:tcMar>
            <w:vAlign w:val="center"/>
          </w:tcPr>
          <w:p w14:paraId="17C0DE70"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5D222C47"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660" w:type="pct"/>
            <w:shd w:val="clear" w:color="auto" w:fill="auto"/>
            <w:tcMar>
              <w:top w:w="0" w:type="dxa"/>
              <w:left w:w="108" w:type="dxa"/>
              <w:bottom w:w="0" w:type="dxa"/>
              <w:right w:w="108" w:type="dxa"/>
            </w:tcMar>
            <w:vAlign w:val="center"/>
          </w:tcPr>
          <w:p w14:paraId="0309857A"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307.00</w:t>
            </w:r>
          </w:p>
        </w:tc>
        <w:tc>
          <w:tcPr>
            <w:tcW w:w="632" w:type="pct"/>
            <w:shd w:val="clear" w:color="auto" w:fill="auto"/>
            <w:tcMar>
              <w:top w:w="0" w:type="dxa"/>
              <w:left w:w="108" w:type="dxa"/>
              <w:bottom w:w="0" w:type="dxa"/>
              <w:right w:w="108" w:type="dxa"/>
            </w:tcMar>
            <w:vAlign w:val="center"/>
          </w:tcPr>
          <w:p w14:paraId="1F523918"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0.56%</w:t>
            </w:r>
          </w:p>
        </w:tc>
        <w:tc>
          <w:tcPr>
            <w:tcW w:w="444" w:type="pct"/>
            <w:shd w:val="clear" w:color="auto" w:fill="auto"/>
            <w:tcMar>
              <w:top w:w="0" w:type="dxa"/>
              <w:left w:w="108" w:type="dxa"/>
              <w:bottom w:w="0" w:type="dxa"/>
              <w:right w:w="108" w:type="dxa"/>
            </w:tcMar>
            <w:vAlign w:val="center"/>
          </w:tcPr>
          <w:p w14:paraId="306501CC"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44143C58" w14:textId="77777777" w:rsidTr="00EE238F">
        <w:trPr>
          <w:trHeight w:val="340"/>
          <w:jc w:val="center"/>
        </w:trPr>
        <w:tc>
          <w:tcPr>
            <w:tcW w:w="640" w:type="pct"/>
            <w:vMerge/>
            <w:tcMar>
              <w:top w:w="0" w:type="dxa"/>
              <w:left w:w="108" w:type="dxa"/>
              <w:bottom w:w="0" w:type="dxa"/>
              <w:right w:w="108" w:type="dxa"/>
            </w:tcMar>
            <w:vAlign w:val="center"/>
          </w:tcPr>
          <w:p w14:paraId="3AF82E8E"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c>
          <w:tcPr>
            <w:tcW w:w="451" w:type="pct"/>
            <w:shd w:val="clear" w:color="auto" w:fill="auto"/>
            <w:tcMar>
              <w:top w:w="0" w:type="dxa"/>
              <w:left w:w="108" w:type="dxa"/>
              <w:bottom w:w="0" w:type="dxa"/>
              <w:right w:w="108" w:type="dxa"/>
            </w:tcMar>
            <w:vAlign w:val="center"/>
          </w:tcPr>
          <w:p w14:paraId="5E1ECFA2"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w:t>
            </w:r>
          </w:p>
        </w:tc>
        <w:tc>
          <w:tcPr>
            <w:tcW w:w="935" w:type="pct"/>
            <w:shd w:val="clear" w:color="auto" w:fill="auto"/>
            <w:tcMar>
              <w:top w:w="0" w:type="dxa"/>
              <w:left w:w="108" w:type="dxa"/>
              <w:bottom w:w="0" w:type="dxa"/>
              <w:right w:w="108" w:type="dxa"/>
            </w:tcMar>
            <w:vAlign w:val="center"/>
          </w:tcPr>
          <w:p w14:paraId="5F104FB8" w14:textId="2F74F102"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红鼎互联（广州）信息科技有限公司</w:t>
            </w:r>
          </w:p>
        </w:tc>
        <w:tc>
          <w:tcPr>
            <w:tcW w:w="582" w:type="pct"/>
            <w:shd w:val="clear" w:color="auto" w:fill="auto"/>
            <w:tcMar>
              <w:top w:w="0" w:type="dxa"/>
              <w:left w:w="108" w:type="dxa"/>
              <w:bottom w:w="0" w:type="dxa"/>
              <w:right w:w="108" w:type="dxa"/>
            </w:tcMar>
            <w:vAlign w:val="center"/>
          </w:tcPr>
          <w:p w14:paraId="0FCF25D5"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18EB03A5"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660" w:type="pct"/>
            <w:shd w:val="clear" w:color="auto" w:fill="auto"/>
            <w:tcMar>
              <w:top w:w="0" w:type="dxa"/>
              <w:left w:w="108" w:type="dxa"/>
              <w:bottom w:w="0" w:type="dxa"/>
              <w:right w:w="108" w:type="dxa"/>
            </w:tcMar>
            <w:vAlign w:val="center"/>
          </w:tcPr>
          <w:p w14:paraId="0AF78B50"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202.93</w:t>
            </w:r>
          </w:p>
        </w:tc>
        <w:tc>
          <w:tcPr>
            <w:tcW w:w="632" w:type="pct"/>
            <w:shd w:val="clear" w:color="auto" w:fill="auto"/>
            <w:tcMar>
              <w:top w:w="0" w:type="dxa"/>
              <w:left w:w="108" w:type="dxa"/>
              <w:bottom w:w="0" w:type="dxa"/>
              <w:right w:w="108" w:type="dxa"/>
            </w:tcMar>
            <w:vAlign w:val="center"/>
          </w:tcPr>
          <w:p w14:paraId="55A842A5"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0.37%</w:t>
            </w:r>
          </w:p>
        </w:tc>
        <w:tc>
          <w:tcPr>
            <w:tcW w:w="444" w:type="pct"/>
            <w:shd w:val="clear" w:color="auto" w:fill="auto"/>
            <w:tcMar>
              <w:top w:w="0" w:type="dxa"/>
              <w:left w:w="108" w:type="dxa"/>
              <w:bottom w:w="0" w:type="dxa"/>
              <w:right w:w="108" w:type="dxa"/>
            </w:tcMar>
            <w:vAlign w:val="center"/>
          </w:tcPr>
          <w:p w14:paraId="331191D4"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F4D2A" w:rsidRPr="00B4515A" w14:paraId="1AACBD00" w14:textId="77777777" w:rsidTr="00EE238F">
        <w:trPr>
          <w:trHeight w:val="340"/>
          <w:jc w:val="center"/>
        </w:trPr>
        <w:tc>
          <w:tcPr>
            <w:tcW w:w="640" w:type="pct"/>
            <w:vMerge/>
            <w:tcMar>
              <w:top w:w="0" w:type="dxa"/>
              <w:left w:w="108" w:type="dxa"/>
              <w:bottom w:w="0" w:type="dxa"/>
              <w:right w:w="108" w:type="dxa"/>
            </w:tcMar>
            <w:vAlign w:val="center"/>
          </w:tcPr>
          <w:p w14:paraId="575BDD00"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p>
        </w:tc>
        <w:tc>
          <w:tcPr>
            <w:tcW w:w="451" w:type="pct"/>
            <w:shd w:val="clear" w:color="auto" w:fill="auto"/>
            <w:tcMar>
              <w:top w:w="0" w:type="dxa"/>
              <w:left w:w="108" w:type="dxa"/>
              <w:bottom w:w="0" w:type="dxa"/>
              <w:right w:w="108" w:type="dxa"/>
            </w:tcMar>
            <w:vAlign w:val="center"/>
          </w:tcPr>
          <w:p w14:paraId="7A3A2B74"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w:t>
            </w:r>
          </w:p>
        </w:tc>
        <w:tc>
          <w:tcPr>
            <w:tcW w:w="935" w:type="pct"/>
            <w:shd w:val="clear" w:color="auto" w:fill="auto"/>
            <w:tcMar>
              <w:top w:w="0" w:type="dxa"/>
              <w:left w:w="108" w:type="dxa"/>
              <w:bottom w:w="0" w:type="dxa"/>
              <w:right w:w="108" w:type="dxa"/>
            </w:tcMar>
            <w:vAlign w:val="center"/>
          </w:tcPr>
          <w:p w14:paraId="24A1F4E8" w14:textId="49AD7A76"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CA100457</w:t>
            </w:r>
          </w:p>
        </w:tc>
        <w:tc>
          <w:tcPr>
            <w:tcW w:w="582" w:type="pct"/>
            <w:shd w:val="clear" w:color="auto" w:fill="auto"/>
            <w:tcMar>
              <w:top w:w="0" w:type="dxa"/>
              <w:left w:w="108" w:type="dxa"/>
              <w:bottom w:w="0" w:type="dxa"/>
              <w:right w:w="108" w:type="dxa"/>
            </w:tcMar>
            <w:vAlign w:val="center"/>
          </w:tcPr>
          <w:p w14:paraId="743D342E"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656" w:type="pct"/>
            <w:shd w:val="clear" w:color="auto" w:fill="auto"/>
            <w:tcMar>
              <w:top w:w="0" w:type="dxa"/>
              <w:left w:w="108" w:type="dxa"/>
              <w:bottom w:w="0" w:type="dxa"/>
              <w:right w:w="108" w:type="dxa"/>
            </w:tcMar>
            <w:vAlign w:val="center"/>
          </w:tcPr>
          <w:p w14:paraId="6B07C8FC"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660" w:type="pct"/>
            <w:shd w:val="clear" w:color="auto" w:fill="auto"/>
            <w:tcMar>
              <w:top w:w="0" w:type="dxa"/>
              <w:left w:w="108" w:type="dxa"/>
              <w:bottom w:w="0" w:type="dxa"/>
              <w:right w:w="108" w:type="dxa"/>
            </w:tcMar>
            <w:vAlign w:val="center"/>
          </w:tcPr>
          <w:p w14:paraId="24B66A8D"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197.30</w:t>
            </w:r>
          </w:p>
        </w:tc>
        <w:tc>
          <w:tcPr>
            <w:tcW w:w="632" w:type="pct"/>
            <w:shd w:val="clear" w:color="auto" w:fill="auto"/>
            <w:tcMar>
              <w:top w:w="0" w:type="dxa"/>
              <w:left w:w="108" w:type="dxa"/>
              <w:bottom w:w="0" w:type="dxa"/>
              <w:right w:w="108" w:type="dxa"/>
            </w:tcMar>
            <w:vAlign w:val="center"/>
          </w:tcPr>
          <w:p w14:paraId="05227892" w14:textId="77777777" w:rsidR="006F4D2A" w:rsidRPr="00B4515A" w:rsidRDefault="006F4D2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0.36%</w:t>
            </w:r>
          </w:p>
        </w:tc>
        <w:tc>
          <w:tcPr>
            <w:tcW w:w="444" w:type="pct"/>
            <w:shd w:val="clear" w:color="auto" w:fill="auto"/>
            <w:tcMar>
              <w:top w:w="0" w:type="dxa"/>
              <w:left w:w="108" w:type="dxa"/>
              <w:bottom w:w="0" w:type="dxa"/>
              <w:right w:w="108" w:type="dxa"/>
            </w:tcMar>
            <w:vAlign w:val="center"/>
          </w:tcPr>
          <w:p w14:paraId="1678283F" w14:textId="77777777" w:rsidR="006F4D2A" w:rsidRPr="00B4515A" w:rsidRDefault="006F4D2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416B0" w:rsidRPr="00B4515A" w14:paraId="7A575FD1" w14:textId="77777777" w:rsidTr="00BA4E33">
        <w:trPr>
          <w:trHeight w:val="340"/>
          <w:jc w:val="center"/>
        </w:trPr>
        <w:tc>
          <w:tcPr>
            <w:tcW w:w="640" w:type="pct"/>
            <w:vMerge/>
            <w:tcMar>
              <w:top w:w="0" w:type="dxa"/>
              <w:left w:w="108" w:type="dxa"/>
              <w:bottom w:w="0" w:type="dxa"/>
              <w:right w:w="108" w:type="dxa"/>
            </w:tcMar>
            <w:vAlign w:val="center"/>
          </w:tcPr>
          <w:p w14:paraId="6FDB60BE"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624" w:type="pct"/>
            <w:gridSpan w:val="4"/>
            <w:shd w:val="clear" w:color="auto" w:fill="auto"/>
            <w:tcMar>
              <w:top w:w="0" w:type="dxa"/>
              <w:left w:w="108" w:type="dxa"/>
              <w:bottom w:w="0" w:type="dxa"/>
              <w:right w:w="108" w:type="dxa"/>
            </w:tcMar>
            <w:vAlign w:val="center"/>
          </w:tcPr>
          <w:p w14:paraId="4E1B5E9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660" w:type="pct"/>
            <w:shd w:val="clear" w:color="auto" w:fill="auto"/>
            <w:tcMar>
              <w:top w:w="0" w:type="dxa"/>
              <w:left w:w="108" w:type="dxa"/>
              <w:bottom w:w="0" w:type="dxa"/>
              <w:right w:w="108" w:type="dxa"/>
            </w:tcMar>
            <w:vAlign w:val="center"/>
          </w:tcPr>
          <w:p w14:paraId="0B09CE8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2,307.23</w:t>
            </w:r>
          </w:p>
        </w:tc>
        <w:tc>
          <w:tcPr>
            <w:tcW w:w="632" w:type="pct"/>
            <w:shd w:val="clear" w:color="auto" w:fill="auto"/>
            <w:tcMar>
              <w:top w:w="0" w:type="dxa"/>
              <w:left w:w="108" w:type="dxa"/>
              <w:bottom w:w="0" w:type="dxa"/>
              <w:right w:w="108" w:type="dxa"/>
            </w:tcMar>
            <w:vAlign w:val="center"/>
          </w:tcPr>
          <w:p w14:paraId="1244156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4.17%</w:t>
            </w:r>
          </w:p>
        </w:tc>
        <w:tc>
          <w:tcPr>
            <w:tcW w:w="444" w:type="pct"/>
            <w:shd w:val="clear" w:color="auto" w:fill="auto"/>
            <w:tcMar>
              <w:top w:w="0" w:type="dxa"/>
              <w:left w:w="108" w:type="dxa"/>
              <w:bottom w:w="0" w:type="dxa"/>
              <w:right w:w="108" w:type="dxa"/>
            </w:tcMar>
            <w:vAlign w:val="center"/>
          </w:tcPr>
          <w:p w14:paraId="58F64239"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A14006" w:rsidRPr="00B4515A" w14:paraId="6AF1CDF7" w14:textId="77777777" w:rsidTr="00EE238F">
        <w:trPr>
          <w:trHeight w:val="340"/>
          <w:jc w:val="center"/>
        </w:trPr>
        <w:tc>
          <w:tcPr>
            <w:tcW w:w="3264" w:type="pct"/>
            <w:gridSpan w:val="5"/>
            <w:shd w:val="clear" w:color="auto" w:fill="auto"/>
            <w:tcMar>
              <w:top w:w="0" w:type="dxa"/>
              <w:left w:w="108" w:type="dxa"/>
              <w:bottom w:w="0" w:type="dxa"/>
              <w:right w:w="108" w:type="dxa"/>
            </w:tcMar>
            <w:vAlign w:val="center"/>
          </w:tcPr>
          <w:p w14:paraId="0503D056" w14:textId="77777777" w:rsidR="00A14006" w:rsidRPr="00B4515A" w:rsidRDefault="00A14006" w:rsidP="00A14006">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合计</w:t>
            </w:r>
          </w:p>
        </w:tc>
        <w:tc>
          <w:tcPr>
            <w:tcW w:w="660" w:type="pct"/>
            <w:shd w:val="clear" w:color="auto" w:fill="auto"/>
            <w:tcMar>
              <w:top w:w="0" w:type="dxa"/>
              <w:left w:w="108" w:type="dxa"/>
              <w:bottom w:w="0" w:type="dxa"/>
              <w:right w:w="108" w:type="dxa"/>
            </w:tcMar>
            <w:vAlign w:val="center"/>
          </w:tcPr>
          <w:p w14:paraId="7E5C2D02" w14:textId="1F3FD6BD" w:rsidR="00A14006" w:rsidRPr="00B4515A" w:rsidRDefault="00A14006" w:rsidP="008447AE">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45,823.59 </w:t>
            </w:r>
          </w:p>
        </w:tc>
        <w:tc>
          <w:tcPr>
            <w:tcW w:w="632" w:type="pct"/>
            <w:shd w:val="clear" w:color="auto" w:fill="auto"/>
            <w:tcMar>
              <w:top w:w="0" w:type="dxa"/>
              <w:left w:w="108" w:type="dxa"/>
              <w:bottom w:w="0" w:type="dxa"/>
              <w:right w:w="108" w:type="dxa"/>
            </w:tcMar>
            <w:vAlign w:val="center"/>
          </w:tcPr>
          <w:p w14:paraId="3137A7A7" w14:textId="6F1DCA47" w:rsidR="00A14006" w:rsidRPr="00B4515A" w:rsidRDefault="00A14006" w:rsidP="008447AE">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82.89%</w:t>
            </w:r>
          </w:p>
        </w:tc>
        <w:tc>
          <w:tcPr>
            <w:tcW w:w="444" w:type="pct"/>
            <w:shd w:val="clear" w:color="auto" w:fill="auto"/>
            <w:tcMar>
              <w:top w:w="0" w:type="dxa"/>
              <w:left w:w="108" w:type="dxa"/>
              <w:bottom w:w="0" w:type="dxa"/>
              <w:right w:w="108" w:type="dxa"/>
            </w:tcMar>
            <w:vAlign w:val="center"/>
          </w:tcPr>
          <w:p w14:paraId="3F278A4F" w14:textId="77777777" w:rsidR="00A14006" w:rsidRPr="00B4515A" w:rsidRDefault="00A14006" w:rsidP="00A14006">
            <w:pPr>
              <w:adjustRightInd w:val="0"/>
              <w:snapToGrid w:val="0"/>
              <w:jc w:val="center"/>
              <w:rPr>
                <w:rFonts w:ascii="Times New Roman" w:eastAsiaTheme="minorEastAsia" w:hAnsi="Times New Roman" w:cs="Times New Roman"/>
                <w:b/>
                <w:color w:val="000000"/>
                <w:sz w:val="21"/>
                <w:szCs w:val="21"/>
              </w:rPr>
            </w:pPr>
          </w:p>
        </w:tc>
      </w:tr>
    </w:tbl>
    <w:p w14:paraId="597771B1" w14:textId="29A0E1F6" w:rsidR="006416B0" w:rsidRPr="00B4515A" w:rsidRDefault="005E58C1" w:rsidP="003319C0">
      <w:pPr>
        <w:pStyle w:val="006"/>
        <w:ind w:firstLine="360"/>
        <w:rPr>
          <w:sz w:val="18"/>
          <w:szCs w:val="18"/>
        </w:rPr>
      </w:pPr>
      <w:r w:rsidRPr="00B4515A">
        <w:rPr>
          <w:rFonts w:hint="eastAsia"/>
          <w:sz w:val="18"/>
          <w:szCs w:val="18"/>
        </w:rPr>
        <w:t>注：（</w:t>
      </w:r>
      <w:r w:rsidRPr="00B4515A">
        <w:rPr>
          <w:sz w:val="18"/>
          <w:szCs w:val="18"/>
        </w:rPr>
        <w:t>1</w:t>
      </w:r>
      <w:r w:rsidRPr="00B4515A">
        <w:rPr>
          <w:rFonts w:hint="eastAsia"/>
          <w:sz w:val="18"/>
          <w:szCs w:val="18"/>
        </w:rPr>
        <w:t>）</w:t>
      </w:r>
      <w:r w:rsidR="008447AE" w:rsidRPr="00B4515A">
        <w:rPr>
          <w:rFonts w:eastAsiaTheme="minorEastAsia" w:cs="Times New Roman" w:hint="eastAsia"/>
          <w:color w:val="000000"/>
          <w:sz w:val="18"/>
          <w:szCs w:val="18"/>
        </w:rPr>
        <w:t>某电子科技集团下属企业</w:t>
      </w:r>
      <w:r w:rsidR="006F4D2A" w:rsidRPr="00B4515A">
        <w:rPr>
          <w:rFonts w:hint="eastAsia"/>
          <w:color w:val="000000"/>
          <w:sz w:val="18"/>
          <w:szCs w:val="18"/>
        </w:rPr>
        <w:t>、</w:t>
      </w:r>
      <w:r w:rsidR="008447AE" w:rsidRPr="00B4515A">
        <w:rPr>
          <w:rFonts w:eastAsiaTheme="minorEastAsia" w:cs="Times New Roman" w:hint="eastAsia"/>
          <w:color w:val="000000"/>
          <w:sz w:val="18"/>
          <w:szCs w:val="18"/>
        </w:rPr>
        <w:t>中国某工业集团下属企业</w:t>
      </w:r>
      <w:r w:rsidR="006F4D2A" w:rsidRPr="00B4515A">
        <w:rPr>
          <w:rFonts w:hint="eastAsia"/>
          <w:color w:val="000000"/>
          <w:sz w:val="18"/>
          <w:szCs w:val="18"/>
        </w:rPr>
        <w:t>、</w:t>
      </w:r>
      <w:r w:rsidR="008447AE" w:rsidRPr="00B4515A">
        <w:rPr>
          <w:rFonts w:eastAsiaTheme="minorEastAsia" w:cs="Times New Roman" w:hint="eastAsia"/>
          <w:color w:val="000000"/>
          <w:sz w:val="18"/>
          <w:szCs w:val="18"/>
        </w:rPr>
        <w:t>某航天科工集团下属企业、</w:t>
      </w:r>
      <w:r w:rsidR="006F4D2A" w:rsidRPr="00B4515A">
        <w:rPr>
          <w:rFonts w:hint="eastAsia"/>
          <w:color w:val="000000"/>
          <w:sz w:val="18"/>
          <w:szCs w:val="18"/>
        </w:rPr>
        <w:t>客户</w:t>
      </w:r>
      <w:r w:rsidR="006F4D2A" w:rsidRPr="00B4515A">
        <w:rPr>
          <w:color w:val="000000"/>
          <w:sz w:val="18"/>
          <w:szCs w:val="18"/>
        </w:rPr>
        <w:t>Z</w:t>
      </w:r>
      <w:r w:rsidR="006F4D2A" w:rsidRPr="00B4515A">
        <w:rPr>
          <w:rFonts w:hint="eastAsia"/>
          <w:color w:val="000000"/>
          <w:sz w:val="18"/>
          <w:szCs w:val="18"/>
        </w:rPr>
        <w:t>、</w:t>
      </w:r>
      <w:r w:rsidR="008447AE" w:rsidRPr="00B4515A">
        <w:rPr>
          <w:rFonts w:eastAsiaTheme="minorEastAsia" w:cs="Times New Roman" w:hint="eastAsia"/>
          <w:color w:val="000000"/>
          <w:sz w:val="18"/>
          <w:szCs w:val="18"/>
        </w:rPr>
        <w:t>中国信科集团及下属企业</w:t>
      </w:r>
      <w:r w:rsidR="00005971" w:rsidRPr="00B4515A">
        <w:rPr>
          <w:rFonts w:hint="eastAsia"/>
          <w:sz w:val="18"/>
          <w:szCs w:val="18"/>
        </w:rPr>
        <w:t>分别为同一控制下企业</w:t>
      </w:r>
      <w:r w:rsidR="00005971" w:rsidRPr="00B4515A">
        <w:rPr>
          <w:sz w:val="18"/>
          <w:szCs w:val="18"/>
        </w:rPr>
        <w:t>/</w:t>
      </w:r>
      <w:r w:rsidR="00005971" w:rsidRPr="00B4515A">
        <w:rPr>
          <w:rFonts w:hint="eastAsia"/>
          <w:sz w:val="18"/>
          <w:szCs w:val="18"/>
        </w:rPr>
        <w:t>单位合并数据</w:t>
      </w:r>
      <w:r w:rsidRPr="00B4515A">
        <w:rPr>
          <w:rFonts w:hint="eastAsia"/>
          <w:sz w:val="18"/>
          <w:szCs w:val="18"/>
        </w:rPr>
        <w:t>。（</w:t>
      </w:r>
      <w:r w:rsidRPr="00B4515A">
        <w:rPr>
          <w:sz w:val="18"/>
          <w:szCs w:val="18"/>
        </w:rPr>
        <w:t>2</w:t>
      </w:r>
      <w:r w:rsidRPr="00B4515A">
        <w:rPr>
          <w:rFonts w:hint="eastAsia"/>
          <w:sz w:val="18"/>
          <w:szCs w:val="18"/>
        </w:rPr>
        <w:t>）根据相关规定，公司申请豁免披露相关客户信息。</w:t>
      </w:r>
    </w:p>
    <w:p w14:paraId="565181F8" w14:textId="77777777" w:rsidR="006416B0" w:rsidRPr="00B4515A" w:rsidRDefault="005E58C1" w:rsidP="003357B7">
      <w:pPr>
        <w:pStyle w:val="005"/>
        <w:spacing w:before="120" w:after="120"/>
        <w:ind w:firstLine="480"/>
      </w:pPr>
      <w:r w:rsidRPr="00B4515A">
        <w:t>3</w:t>
      </w:r>
      <w:r w:rsidRPr="00B4515A">
        <w:rPr>
          <w:rFonts w:hint="eastAsia"/>
        </w:rPr>
        <w:t>）</w:t>
      </w:r>
      <w:r w:rsidRPr="00B4515A">
        <w:t>2021</w:t>
      </w:r>
      <w:r w:rsidRPr="00B4515A">
        <w:rPr>
          <w:rFonts w:hint="eastAsia"/>
        </w:rPr>
        <w:t>年</w:t>
      </w:r>
      <w:r w:rsidRPr="00B4515A">
        <w:t>1-4</w:t>
      </w:r>
      <w:r w:rsidRPr="00B4515A">
        <w:rPr>
          <w:rFonts w:hint="eastAsia"/>
        </w:rPr>
        <w:t>月份主要客户情况</w:t>
      </w:r>
    </w:p>
    <w:p w14:paraId="0FF3EBCD"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084"/>
        <w:gridCol w:w="665"/>
        <w:gridCol w:w="1612"/>
        <w:gridCol w:w="989"/>
        <w:gridCol w:w="1276"/>
        <w:gridCol w:w="1247"/>
        <w:gridCol w:w="899"/>
        <w:gridCol w:w="756"/>
      </w:tblGrid>
      <w:tr w:rsidR="006416B0" w:rsidRPr="00B4515A" w14:paraId="29C4E250" w14:textId="77777777" w:rsidTr="00BA4E33">
        <w:trPr>
          <w:trHeight w:val="340"/>
          <w:jc w:val="center"/>
        </w:trPr>
        <w:tc>
          <w:tcPr>
            <w:tcW w:w="636" w:type="pct"/>
            <w:shd w:val="clear" w:color="auto" w:fill="auto"/>
            <w:tcMar>
              <w:top w:w="0" w:type="dxa"/>
              <w:left w:w="108" w:type="dxa"/>
              <w:bottom w:w="0" w:type="dxa"/>
              <w:right w:w="108" w:type="dxa"/>
            </w:tcMar>
            <w:vAlign w:val="center"/>
          </w:tcPr>
          <w:p w14:paraId="1BA9CFBF"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业务方向</w:t>
            </w:r>
          </w:p>
        </w:tc>
        <w:tc>
          <w:tcPr>
            <w:tcW w:w="390" w:type="pct"/>
            <w:shd w:val="clear" w:color="auto" w:fill="auto"/>
            <w:tcMar>
              <w:top w:w="0" w:type="dxa"/>
              <w:left w:w="108" w:type="dxa"/>
              <w:bottom w:w="0" w:type="dxa"/>
              <w:right w:w="108" w:type="dxa"/>
            </w:tcMar>
            <w:vAlign w:val="center"/>
          </w:tcPr>
          <w:p w14:paraId="5C9395AC"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序号</w:t>
            </w:r>
          </w:p>
        </w:tc>
        <w:tc>
          <w:tcPr>
            <w:tcW w:w="945" w:type="pct"/>
            <w:shd w:val="clear" w:color="auto" w:fill="auto"/>
            <w:tcMar>
              <w:top w:w="0" w:type="dxa"/>
              <w:left w:w="108" w:type="dxa"/>
              <w:bottom w:w="0" w:type="dxa"/>
              <w:right w:w="108" w:type="dxa"/>
            </w:tcMar>
            <w:vAlign w:val="center"/>
          </w:tcPr>
          <w:p w14:paraId="24E1C5AC"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客户名称</w:t>
            </w:r>
          </w:p>
        </w:tc>
        <w:tc>
          <w:tcPr>
            <w:tcW w:w="580" w:type="pct"/>
            <w:shd w:val="clear" w:color="auto" w:fill="auto"/>
            <w:tcMar>
              <w:top w:w="0" w:type="dxa"/>
              <w:left w:w="108" w:type="dxa"/>
              <w:bottom w:w="0" w:type="dxa"/>
              <w:right w:w="108" w:type="dxa"/>
            </w:tcMar>
            <w:vAlign w:val="center"/>
          </w:tcPr>
          <w:p w14:paraId="574D94D5" w14:textId="77777777" w:rsidR="003357B7"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销售</w:t>
            </w:r>
          </w:p>
          <w:p w14:paraId="04691754" w14:textId="56539894"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方式</w:t>
            </w:r>
          </w:p>
        </w:tc>
        <w:tc>
          <w:tcPr>
            <w:tcW w:w="747" w:type="pct"/>
            <w:shd w:val="clear" w:color="auto" w:fill="auto"/>
            <w:tcMar>
              <w:top w:w="0" w:type="dxa"/>
              <w:left w:w="108" w:type="dxa"/>
              <w:bottom w:w="0" w:type="dxa"/>
              <w:right w:w="108" w:type="dxa"/>
            </w:tcMar>
            <w:vAlign w:val="center"/>
          </w:tcPr>
          <w:p w14:paraId="4EB09BB3"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交易内容</w:t>
            </w:r>
          </w:p>
        </w:tc>
        <w:tc>
          <w:tcPr>
            <w:tcW w:w="731" w:type="pct"/>
            <w:shd w:val="clear" w:color="auto" w:fill="auto"/>
            <w:tcMar>
              <w:top w:w="0" w:type="dxa"/>
              <w:left w:w="108" w:type="dxa"/>
              <w:bottom w:w="0" w:type="dxa"/>
              <w:right w:w="108" w:type="dxa"/>
            </w:tcMar>
            <w:vAlign w:val="center"/>
          </w:tcPr>
          <w:p w14:paraId="685205FB"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金额</w:t>
            </w:r>
          </w:p>
        </w:tc>
        <w:tc>
          <w:tcPr>
            <w:tcW w:w="527" w:type="pct"/>
            <w:shd w:val="clear" w:color="auto" w:fill="auto"/>
            <w:tcMar>
              <w:top w:w="0" w:type="dxa"/>
              <w:left w:w="108" w:type="dxa"/>
              <w:bottom w:w="0" w:type="dxa"/>
              <w:right w:w="108" w:type="dxa"/>
            </w:tcMar>
            <w:vAlign w:val="center"/>
          </w:tcPr>
          <w:p w14:paraId="2DBC53DD"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占比</w:t>
            </w:r>
          </w:p>
        </w:tc>
        <w:tc>
          <w:tcPr>
            <w:tcW w:w="443" w:type="pct"/>
            <w:shd w:val="clear" w:color="auto" w:fill="auto"/>
            <w:tcMar>
              <w:top w:w="0" w:type="dxa"/>
              <w:left w:w="108" w:type="dxa"/>
              <w:bottom w:w="0" w:type="dxa"/>
              <w:right w:w="108" w:type="dxa"/>
            </w:tcMar>
            <w:vAlign w:val="center"/>
          </w:tcPr>
          <w:p w14:paraId="2CEA0B6B"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是否为关联方</w:t>
            </w:r>
          </w:p>
        </w:tc>
      </w:tr>
      <w:tr w:rsidR="00BA4E33" w:rsidRPr="00B4515A" w14:paraId="62057354" w14:textId="77777777" w:rsidTr="00EE238F">
        <w:trPr>
          <w:trHeight w:val="340"/>
          <w:jc w:val="center"/>
        </w:trPr>
        <w:tc>
          <w:tcPr>
            <w:tcW w:w="636" w:type="pct"/>
            <w:vMerge w:val="restart"/>
            <w:shd w:val="clear" w:color="auto" w:fill="auto"/>
            <w:tcMar>
              <w:top w:w="0" w:type="dxa"/>
              <w:left w:w="108" w:type="dxa"/>
              <w:bottom w:w="0" w:type="dxa"/>
              <w:right w:w="108" w:type="dxa"/>
            </w:tcMar>
            <w:vAlign w:val="center"/>
          </w:tcPr>
          <w:p w14:paraId="012AD3C2"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专用移动通信</w:t>
            </w:r>
          </w:p>
        </w:tc>
        <w:tc>
          <w:tcPr>
            <w:tcW w:w="390" w:type="pct"/>
            <w:shd w:val="clear" w:color="auto" w:fill="auto"/>
            <w:tcMar>
              <w:top w:w="0" w:type="dxa"/>
              <w:left w:w="108" w:type="dxa"/>
              <w:bottom w:w="0" w:type="dxa"/>
              <w:right w:w="108" w:type="dxa"/>
            </w:tcMar>
            <w:vAlign w:val="center"/>
          </w:tcPr>
          <w:p w14:paraId="630A71E5"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p>
        </w:tc>
        <w:tc>
          <w:tcPr>
            <w:tcW w:w="945" w:type="pct"/>
            <w:shd w:val="clear" w:color="auto" w:fill="auto"/>
            <w:tcMar>
              <w:top w:w="0" w:type="dxa"/>
              <w:left w:w="108" w:type="dxa"/>
              <w:bottom w:w="0" w:type="dxa"/>
              <w:right w:w="108" w:type="dxa"/>
            </w:tcMar>
            <w:vAlign w:val="center"/>
          </w:tcPr>
          <w:p w14:paraId="22C055C8" w14:textId="2D85F76D" w:rsidR="00BA4E33" w:rsidRPr="00B4515A" w:rsidRDefault="00BA4E33"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某电子科技集团下属企业</w:t>
            </w:r>
          </w:p>
        </w:tc>
        <w:tc>
          <w:tcPr>
            <w:tcW w:w="580" w:type="pct"/>
            <w:shd w:val="clear" w:color="auto" w:fill="auto"/>
            <w:tcMar>
              <w:top w:w="0" w:type="dxa"/>
              <w:left w:w="108" w:type="dxa"/>
              <w:bottom w:w="0" w:type="dxa"/>
              <w:right w:w="108" w:type="dxa"/>
            </w:tcMar>
            <w:vAlign w:val="center"/>
          </w:tcPr>
          <w:p w14:paraId="47A794B3"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030075F7"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技术服务</w:t>
            </w:r>
          </w:p>
        </w:tc>
        <w:tc>
          <w:tcPr>
            <w:tcW w:w="731" w:type="pct"/>
            <w:shd w:val="clear" w:color="auto" w:fill="auto"/>
            <w:tcMar>
              <w:top w:w="0" w:type="dxa"/>
              <w:left w:w="108" w:type="dxa"/>
              <w:bottom w:w="0" w:type="dxa"/>
              <w:right w:w="108" w:type="dxa"/>
            </w:tcMar>
            <w:vAlign w:val="center"/>
          </w:tcPr>
          <w:p w14:paraId="43BA3D87"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2,518.93</w:t>
            </w:r>
          </w:p>
        </w:tc>
        <w:tc>
          <w:tcPr>
            <w:tcW w:w="527" w:type="pct"/>
            <w:shd w:val="clear" w:color="auto" w:fill="auto"/>
            <w:tcMar>
              <w:top w:w="0" w:type="dxa"/>
              <w:left w:w="108" w:type="dxa"/>
              <w:bottom w:w="0" w:type="dxa"/>
              <w:right w:w="108" w:type="dxa"/>
            </w:tcMar>
            <w:vAlign w:val="center"/>
          </w:tcPr>
          <w:p w14:paraId="5AD731BF"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19.74%</w:t>
            </w:r>
          </w:p>
        </w:tc>
        <w:tc>
          <w:tcPr>
            <w:tcW w:w="443" w:type="pct"/>
            <w:shd w:val="clear" w:color="auto" w:fill="auto"/>
            <w:tcMar>
              <w:top w:w="0" w:type="dxa"/>
              <w:left w:w="108" w:type="dxa"/>
              <w:bottom w:w="0" w:type="dxa"/>
              <w:right w:w="108" w:type="dxa"/>
            </w:tcMar>
            <w:vAlign w:val="center"/>
          </w:tcPr>
          <w:p w14:paraId="0C9C44BB"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BA4E33" w:rsidRPr="00B4515A" w14:paraId="77D23280" w14:textId="77777777" w:rsidTr="00EE238F">
        <w:trPr>
          <w:trHeight w:val="340"/>
          <w:jc w:val="center"/>
        </w:trPr>
        <w:tc>
          <w:tcPr>
            <w:tcW w:w="636" w:type="pct"/>
            <w:vMerge/>
            <w:tcMar>
              <w:top w:w="0" w:type="dxa"/>
              <w:left w:w="108" w:type="dxa"/>
              <w:bottom w:w="0" w:type="dxa"/>
              <w:right w:w="108" w:type="dxa"/>
            </w:tcMar>
            <w:vAlign w:val="center"/>
          </w:tcPr>
          <w:p w14:paraId="06263C9A"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p>
        </w:tc>
        <w:tc>
          <w:tcPr>
            <w:tcW w:w="390" w:type="pct"/>
            <w:shd w:val="clear" w:color="auto" w:fill="auto"/>
            <w:tcMar>
              <w:top w:w="0" w:type="dxa"/>
              <w:left w:w="108" w:type="dxa"/>
              <w:bottom w:w="0" w:type="dxa"/>
              <w:right w:w="108" w:type="dxa"/>
            </w:tcMar>
            <w:vAlign w:val="center"/>
          </w:tcPr>
          <w:p w14:paraId="03EFA6AE"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p>
        </w:tc>
        <w:tc>
          <w:tcPr>
            <w:tcW w:w="945" w:type="pct"/>
            <w:shd w:val="clear" w:color="auto" w:fill="auto"/>
            <w:tcMar>
              <w:top w:w="0" w:type="dxa"/>
              <w:left w:w="108" w:type="dxa"/>
              <w:bottom w:w="0" w:type="dxa"/>
              <w:right w:w="108" w:type="dxa"/>
            </w:tcMar>
            <w:vAlign w:val="center"/>
          </w:tcPr>
          <w:p w14:paraId="1BDA26AC" w14:textId="340B6C99" w:rsidR="00BA4E33" w:rsidRPr="00B4515A" w:rsidRDefault="00BA4E33"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中国某工业集团下属企业</w:t>
            </w:r>
          </w:p>
        </w:tc>
        <w:tc>
          <w:tcPr>
            <w:tcW w:w="580" w:type="pct"/>
            <w:shd w:val="clear" w:color="auto" w:fill="auto"/>
            <w:tcMar>
              <w:top w:w="0" w:type="dxa"/>
              <w:left w:w="108" w:type="dxa"/>
              <w:bottom w:w="0" w:type="dxa"/>
              <w:right w:w="108" w:type="dxa"/>
            </w:tcMar>
            <w:vAlign w:val="center"/>
          </w:tcPr>
          <w:p w14:paraId="1B0A5693"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76A800D1"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731" w:type="pct"/>
            <w:shd w:val="clear" w:color="auto" w:fill="auto"/>
            <w:tcMar>
              <w:top w:w="0" w:type="dxa"/>
              <w:left w:w="108" w:type="dxa"/>
              <w:bottom w:w="0" w:type="dxa"/>
              <w:right w:w="108" w:type="dxa"/>
            </w:tcMar>
            <w:vAlign w:val="center"/>
          </w:tcPr>
          <w:p w14:paraId="263453B4"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2,015.93</w:t>
            </w:r>
          </w:p>
        </w:tc>
        <w:tc>
          <w:tcPr>
            <w:tcW w:w="527" w:type="pct"/>
            <w:shd w:val="clear" w:color="auto" w:fill="auto"/>
            <w:tcMar>
              <w:top w:w="0" w:type="dxa"/>
              <w:left w:w="108" w:type="dxa"/>
              <w:bottom w:w="0" w:type="dxa"/>
              <w:right w:w="108" w:type="dxa"/>
            </w:tcMar>
            <w:vAlign w:val="center"/>
          </w:tcPr>
          <w:p w14:paraId="407BEAF2"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15.80%</w:t>
            </w:r>
          </w:p>
        </w:tc>
        <w:tc>
          <w:tcPr>
            <w:tcW w:w="443" w:type="pct"/>
            <w:shd w:val="clear" w:color="auto" w:fill="auto"/>
            <w:tcMar>
              <w:top w:w="0" w:type="dxa"/>
              <w:left w:w="108" w:type="dxa"/>
              <w:bottom w:w="0" w:type="dxa"/>
              <w:right w:w="108" w:type="dxa"/>
            </w:tcMar>
            <w:vAlign w:val="center"/>
          </w:tcPr>
          <w:p w14:paraId="6CF1157C"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BA4E33" w:rsidRPr="00B4515A" w14:paraId="273774E1" w14:textId="77777777" w:rsidTr="00EE238F">
        <w:trPr>
          <w:trHeight w:val="340"/>
          <w:jc w:val="center"/>
        </w:trPr>
        <w:tc>
          <w:tcPr>
            <w:tcW w:w="636" w:type="pct"/>
            <w:vMerge/>
            <w:tcMar>
              <w:top w:w="0" w:type="dxa"/>
              <w:left w:w="108" w:type="dxa"/>
              <w:bottom w:w="0" w:type="dxa"/>
              <w:right w:w="108" w:type="dxa"/>
            </w:tcMar>
            <w:vAlign w:val="center"/>
          </w:tcPr>
          <w:p w14:paraId="55E84D76"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p>
        </w:tc>
        <w:tc>
          <w:tcPr>
            <w:tcW w:w="390" w:type="pct"/>
            <w:shd w:val="clear" w:color="auto" w:fill="auto"/>
            <w:tcMar>
              <w:top w:w="0" w:type="dxa"/>
              <w:left w:w="108" w:type="dxa"/>
              <w:bottom w:w="0" w:type="dxa"/>
              <w:right w:w="108" w:type="dxa"/>
            </w:tcMar>
            <w:vAlign w:val="center"/>
          </w:tcPr>
          <w:p w14:paraId="4BF09689"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w:t>
            </w:r>
          </w:p>
        </w:tc>
        <w:tc>
          <w:tcPr>
            <w:tcW w:w="945" w:type="pct"/>
            <w:shd w:val="clear" w:color="auto" w:fill="auto"/>
            <w:tcMar>
              <w:top w:w="0" w:type="dxa"/>
              <w:left w:w="108" w:type="dxa"/>
              <w:bottom w:w="0" w:type="dxa"/>
              <w:right w:w="108" w:type="dxa"/>
            </w:tcMar>
            <w:vAlign w:val="center"/>
          </w:tcPr>
          <w:p w14:paraId="67CBEA79" w14:textId="35520598" w:rsidR="00BA4E33" w:rsidRPr="00B4515A" w:rsidRDefault="00BA4E33"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CA100373</w:t>
            </w:r>
          </w:p>
        </w:tc>
        <w:tc>
          <w:tcPr>
            <w:tcW w:w="580" w:type="pct"/>
            <w:shd w:val="clear" w:color="auto" w:fill="auto"/>
            <w:tcMar>
              <w:top w:w="0" w:type="dxa"/>
              <w:left w:w="108" w:type="dxa"/>
              <w:bottom w:w="0" w:type="dxa"/>
              <w:right w:w="108" w:type="dxa"/>
            </w:tcMar>
            <w:vAlign w:val="center"/>
          </w:tcPr>
          <w:p w14:paraId="14EF0298"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30434481"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731" w:type="pct"/>
            <w:shd w:val="clear" w:color="auto" w:fill="auto"/>
            <w:tcMar>
              <w:top w:w="0" w:type="dxa"/>
              <w:left w:w="108" w:type="dxa"/>
              <w:bottom w:w="0" w:type="dxa"/>
              <w:right w:w="108" w:type="dxa"/>
            </w:tcMar>
            <w:vAlign w:val="center"/>
          </w:tcPr>
          <w:p w14:paraId="1FA7E70D"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1,853.10</w:t>
            </w:r>
          </w:p>
        </w:tc>
        <w:tc>
          <w:tcPr>
            <w:tcW w:w="527" w:type="pct"/>
            <w:shd w:val="clear" w:color="auto" w:fill="auto"/>
            <w:tcMar>
              <w:top w:w="0" w:type="dxa"/>
              <w:left w:w="108" w:type="dxa"/>
              <w:bottom w:w="0" w:type="dxa"/>
              <w:right w:w="108" w:type="dxa"/>
            </w:tcMar>
            <w:vAlign w:val="center"/>
          </w:tcPr>
          <w:p w14:paraId="07579D91"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14.52%</w:t>
            </w:r>
          </w:p>
        </w:tc>
        <w:tc>
          <w:tcPr>
            <w:tcW w:w="443" w:type="pct"/>
            <w:shd w:val="clear" w:color="auto" w:fill="auto"/>
            <w:tcMar>
              <w:top w:w="0" w:type="dxa"/>
              <w:left w:w="108" w:type="dxa"/>
              <w:bottom w:w="0" w:type="dxa"/>
              <w:right w:w="108" w:type="dxa"/>
            </w:tcMar>
            <w:vAlign w:val="center"/>
          </w:tcPr>
          <w:p w14:paraId="47446DDC"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BA4E33" w:rsidRPr="00B4515A" w14:paraId="3B676246" w14:textId="77777777" w:rsidTr="00EE238F">
        <w:trPr>
          <w:trHeight w:val="340"/>
          <w:jc w:val="center"/>
        </w:trPr>
        <w:tc>
          <w:tcPr>
            <w:tcW w:w="636" w:type="pct"/>
            <w:vMerge/>
            <w:tcMar>
              <w:top w:w="0" w:type="dxa"/>
              <w:left w:w="108" w:type="dxa"/>
              <w:bottom w:w="0" w:type="dxa"/>
              <w:right w:w="108" w:type="dxa"/>
            </w:tcMar>
            <w:vAlign w:val="center"/>
          </w:tcPr>
          <w:p w14:paraId="158B9B0E"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p>
        </w:tc>
        <w:tc>
          <w:tcPr>
            <w:tcW w:w="390" w:type="pct"/>
            <w:shd w:val="clear" w:color="auto" w:fill="auto"/>
            <w:tcMar>
              <w:top w:w="0" w:type="dxa"/>
              <w:left w:w="108" w:type="dxa"/>
              <w:bottom w:w="0" w:type="dxa"/>
              <w:right w:w="108" w:type="dxa"/>
            </w:tcMar>
            <w:vAlign w:val="center"/>
          </w:tcPr>
          <w:p w14:paraId="27C82E38"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w:t>
            </w:r>
          </w:p>
        </w:tc>
        <w:tc>
          <w:tcPr>
            <w:tcW w:w="945" w:type="pct"/>
            <w:shd w:val="clear" w:color="auto" w:fill="auto"/>
            <w:tcMar>
              <w:top w:w="0" w:type="dxa"/>
              <w:left w:w="108" w:type="dxa"/>
              <w:bottom w:w="0" w:type="dxa"/>
              <w:right w:w="108" w:type="dxa"/>
            </w:tcMar>
            <w:vAlign w:val="center"/>
          </w:tcPr>
          <w:p w14:paraId="45A1F4C8" w14:textId="26AD7428" w:rsidR="00BA4E33" w:rsidRPr="00B4515A" w:rsidRDefault="00BA4E33"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某航天科工集团下属企业</w:t>
            </w:r>
          </w:p>
        </w:tc>
        <w:tc>
          <w:tcPr>
            <w:tcW w:w="580" w:type="pct"/>
            <w:shd w:val="clear" w:color="auto" w:fill="auto"/>
            <w:tcMar>
              <w:top w:w="0" w:type="dxa"/>
              <w:left w:w="108" w:type="dxa"/>
              <w:bottom w:w="0" w:type="dxa"/>
              <w:right w:w="108" w:type="dxa"/>
            </w:tcMar>
            <w:vAlign w:val="center"/>
          </w:tcPr>
          <w:p w14:paraId="71387FB5"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1F8847E7"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731" w:type="pct"/>
            <w:shd w:val="clear" w:color="auto" w:fill="auto"/>
            <w:tcMar>
              <w:top w:w="0" w:type="dxa"/>
              <w:left w:w="108" w:type="dxa"/>
              <w:bottom w:w="0" w:type="dxa"/>
              <w:right w:w="108" w:type="dxa"/>
            </w:tcMar>
            <w:vAlign w:val="center"/>
          </w:tcPr>
          <w:p w14:paraId="4A3B3A37"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410.77</w:t>
            </w:r>
          </w:p>
        </w:tc>
        <w:tc>
          <w:tcPr>
            <w:tcW w:w="527" w:type="pct"/>
            <w:shd w:val="clear" w:color="auto" w:fill="auto"/>
            <w:tcMar>
              <w:top w:w="0" w:type="dxa"/>
              <w:left w:w="108" w:type="dxa"/>
              <w:bottom w:w="0" w:type="dxa"/>
              <w:right w:w="108" w:type="dxa"/>
            </w:tcMar>
            <w:vAlign w:val="center"/>
          </w:tcPr>
          <w:p w14:paraId="5D352CE4"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3.22%</w:t>
            </w:r>
          </w:p>
        </w:tc>
        <w:tc>
          <w:tcPr>
            <w:tcW w:w="443" w:type="pct"/>
            <w:shd w:val="clear" w:color="auto" w:fill="auto"/>
            <w:tcMar>
              <w:top w:w="0" w:type="dxa"/>
              <w:left w:w="108" w:type="dxa"/>
              <w:bottom w:w="0" w:type="dxa"/>
              <w:right w:w="108" w:type="dxa"/>
            </w:tcMar>
            <w:vAlign w:val="center"/>
          </w:tcPr>
          <w:p w14:paraId="5C0809A8"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BA4E33" w:rsidRPr="00B4515A" w14:paraId="6DD44781" w14:textId="77777777" w:rsidTr="00EE238F">
        <w:trPr>
          <w:trHeight w:val="340"/>
          <w:jc w:val="center"/>
        </w:trPr>
        <w:tc>
          <w:tcPr>
            <w:tcW w:w="636" w:type="pct"/>
            <w:vMerge/>
            <w:tcMar>
              <w:top w:w="0" w:type="dxa"/>
              <w:left w:w="108" w:type="dxa"/>
              <w:bottom w:w="0" w:type="dxa"/>
              <w:right w:w="108" w:type="dxa"/>
            </w:tcMar>
            <w:vAlign w:val="center"/>
          </w:tcPr>
          <w:p w14:paraId="0831F505"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p>
        </w:tc>
        <w:tc>
          <w:tcPr>
            <w:tcW w:w="390" w:type="pct"/>
            <w:shd w:val="clear" w:color="auto" w:fill="auto"/>
            <w:tcMar>
              <w:top w:w="0" w:type="dxa"/>
              <w:left w:w="108" w:type="dxa"/>
              <w:bottom w:w="0" w:type="dxa"/>
              <w:right w:w="108" w:type="dxa"/>
            </w:tcMar>
            <w:vAlign w:val="center"/>
          </w:tcPr>
          <w:p w14:paraId="7F916F45"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w:t>
            </w:r>
          </w:p>
        </w:tc>
        <w:tc>
          <w:tcPr>
            <w:tcW w:w="945" w:type="pct"/>
            <w:shd w:val="clear" w:color="auto" w:fill="auto"/>
            <w:tcMar>
              <w:top w:w="0" w:type="dxa"/>
              <w:left w:w="108" w:type="dxa"/>
              <w:bottom w:w="0" w:type="dxa"/>
              <w:right w:w="108" w:type="dxa"/>
            </w:tcMar>
            <w:vAlign w:val="center"/>
          </w:tcPr>
          <w:p w14:paraId="09669B96" w14:textId="351CC297" w:rsidR="00BA4E33" w:rsidRPr="00B4515A" w:rsidRDefault="00BA4E33"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客户</w:t>
            </w:r>
            <w:r w:rsidRPr="00B4515A">
              <w:rPr>
                <w:rFonts w:ascii="Times New Roman" w:eastAsiaTheme="minorEastAsia" w:hAnsi="Times New Roman" w:cs="Times New Roman"/>
                <w:color w:val="000000"/>
                <w:sz w:val="21"/>
                <w:szCs w:val="21"/>
              </w:rPr>
              <w:t>C</w:t>
            </w:r>
          </w:p>
        </w:tc>
        <w:tc>
          <w:tcPr>
            <w:tcW w:w="580" w:type="pct"/>
            <w:shd w:val="clear" w:color="auto" w:fill="auto"/>
            <w:tcMar>
              <w:top w:w="0" w:type="dxa"/>
              <w:left w:w="108" w:type="dxa"/>
              <w:bottom w:w="0" w:type="dxa"/>
              <w:right w:w="108" w:type="dxa"/>
            </w:tcMar>
            <w:vAlign w:val="center"/>
          </w:tcPr>
          <w:p w14:paraId="406B8429"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77B9FB59"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技术服务</w:t>
            </w:r>
          </w:p>
        </w:tc>
        <w:tc>
          <w:tcPr>
            <w:tcW w:w="731" w:type="pct"/>
            <w:shd w:val="clear" w:color="auto" w:fill="auto"/>
            <w:tcMar>
              <w:top w:w="0" w:type="dxa"/>
              <w:left w:w="108" w:type="dxa"/>
              <w:bottom w:w="0" w:type="dxa"/>
              <w:right w:w="108" w:type="dxa"/>
            </w:tcMar>
            <w:vAlign w:val="center"/>
          </w:tcPr>
          <w:p w14:paraId="34EC7919"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361.59</w:t>
            </w:r>
          </w:p>
        </w:tc>
        <w:tc>
          <w:tcPr>
            <w:tcW w:w="527" w:type="pct"/>
            <w:shd w:val="clear" w:color="auto" w:fill="auto"/>
            <w:tcMar>
              <w:top w:w="0" w:type="dxa"/>
              <w:left w:w="108" w:type="dxa"/>
              <w:bottom w:w="0" w:type="dxa"/>
              <w:right w:w="108" w:type="dxa"/>
            </w:tcMar>
            <w:vAlign w:val="center"/>
          </w:tcPr>
          <w:p w14:paraId="6EEE7FFB" w14:textId="77777777" w:rsidR="00BA4E33" w:rsidRPr="00B4515A" w:rsidRDefault="00BA4E33" w:rsidP="00BA4E33">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2.83%</w:t>
            </w:r>
          </w:p>
        </w:tc>
        <w:tc>
          <w:tcPr>
            <w:tcW w:w="443" w:type="pct"/>
            <w:shd w:val="clear" w:color="auto" w:fill="auto"/>
            <w:tcMar>
              <w:top w:w="0" w:type="dxa"/>
              <w:left w:w="108" w:type="dxa"/>
              <w:bottom w:w="0" w:type="dxa"/>
              <w:right w:w="108" w:type="dxa"/>
            </w:tcMar>
            <w:vAlign w:val="center"/>
          </w:tcPr>
          <w:p w14:paraId="4EB0C076" w14:textId="77777777" w:rsidR="00BA4E33" w:rsidRPr="00B4515A" w:rsidRDefault="00BA4E33" w:rsidP="00BA4E33">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416B0" w:rsidRPr="00B4515A" w14:paraId="3E9FDE30" w14:textId="77777777" w:rsidTr="00BA4E33">
        <w:trPr>
          <w:trHeight w:val="340"/>
          <w:jc w:val="center"/>
        </w:trPr>
        <w:tc>
          <w:tcPr>
            <w:tcW w:w="636" w:type="pct"/>
            <w:vMerge/>
            <w:tcMar>
              <w:top w:w="0" w:type="dxa"/>
              <w:left w:w="108" w:type="dxa"/>
              <w:bottom w:w="0" w:type="dxa"/>
              <w:right w:w="108" w:type="dxa"/>
            </w:tcMar>
            <w:vAlign w:val="center"/>
          </w:tcPr>
          <w:p w14:paraId="03C81B80"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663" w:type="pct"/>
            <w:gridSpan w:val="4"/>
            <w:shd w:val="clear" w:color="auto" w:fill="auto"/>
            <w:tcMar>
              <w:top w:w="0" w:type="dxa"/>
              <w:left w:w="108" w:type="dxa"/>
              <w:bottom w:w="0" w:type="dxa"/>
              <w:right w:w="108" w:type="dxa"/>
            </w:tcMar>
            <w:vAlign w:val="center"/>
          </w:tcPr>
          <w:p w14:paraId="2ED3A5E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731" w:type="pct"/>
            <w:shd w:val="clear" w:color="auto" w:fill="auto"/>
            <w:tcMar>
              <w:top w:w="0" w:type="dxa"/>
              <w:left w:w="108" w:type="dxa"/>
              <w:bottom w:w="0" w:type="dxa"/>
              <w:right w:w="108" w:type="dxa"/>
            </w:tcMar>
            <w:vAlign w:val="center"/>
          </w:tcPr>
          <w:p w14:paraId="088FCBA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7,160.32</w:t>
            </w:r>
          </w:p>
        </w:tc>
        <w:tc>
          <w:tcPr>
            <w:tcW w:w="527" w:type="pct"/>
            <w:shd w:val="clear" w:color="auto" w:fill="auto"/>
            <w:tcMar>
              <w:top w:w="0" w:type="dxa"/>
              <w:left w:w="108" w:type="dxa"/>
              <w:bottom w:w="0" w:type="dxa"/>
              <w:right w:w="108" w:type="dxa"/>
            </w:tcMar>
            <w:vAlign w:val="center"/>
          </w:tcPr>
          <w:p w14:paraId="0F83DB5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56.12%</w:t>
            </w:r>
          </w:p>
        </w:tc>
        <w:tc>
          <w:tcPr>
            <w:tcW w:w="443" w:type="pct"/>
            <w:shd w:val="clear" w:color="auto" w:fill="auto"/>
            <w:tcMar>
              <w:top w:w="0" w:type="dxa"/>
              <w:left w:w="108" w:type="dxa"/>
              <w:bottom w:w="0" w:type="dxa"/>
              <w:right w:w="108" w:type="dxa"/>
            </w:tcMar>
            <w:vAlign w:val="center"/>
          </w:tcPr>
          <w:p w14:paraId="5082A279"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005971" w:rsidRPr="00B4515A" w14:paraId="517AC6D4" w14:textId="77777777" w:rsidTr="00EE238F">
        <w:trPr>
          <w:trHeight w:val="340"/>
          <w:jc w:val="center"/>
        </w:trPr>
        <w:tc>
          <w:tcPr>
            <w:tcW w:w="636" w:type="pct"/>
            <w:vMerge w:val="restart"/>
            <w:shd w:val="clear" w:color="auto" w:fill="auto"/>
            <w:tcMar>
              <w:top w:w="0" w:type="dxa"/>
              <w:left w:w="108" w:type="dxa"/>
              <w:bottom w:w="0" w:type="dxa"/>
              <w:right w:w="108" w:type="dxa"/>
            </w:tcMar>
            <w:vAlign w:val="center"/>
          </w:tcPr>
          <w:p w14:paraId="161BB64D"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专用宽带电台</w:t>
            </w:r>
          </w:p>
        </w:tc>
        <w:tc>
          <w:tcPr>
            <w:tcW w:w="390" w:type="pct"/>
            <w:shd w:val="clear" w:color="auto" w:fill="auto"/>
            <w:tcMar>
              <w:top w:w="0" w:type="dxa"/>
              <w:left w:w="108" w:type="dxa"/>
              <w:bottom w:w="0" w:type="dxa"/>
              <w:right w:w="108" w:type="dxa"/>
            </w:tcMar>
            <w:vAlign w:val="center"/>
          </w:tcPr>
          <w:p w14:paraId="402D59CD"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p>
        </w:tc>
        <w:tc>
          <w:tcPr>
            <w:tcW w:w="945" w:type="pct"/>
            <w:shd w:val="clear" w:color="auto" w:fill="auto"/>
            <w:tcMar>
              <w:top w:w="0" w:type="dxa"/>
              <w:left w:w="108" w:type="dxa"/>
              <w:bottom w:w="0" w:type="dxa"/>
              <w:right w:w="108" w:type="dxa"/>
            </w:tcMar>
            <w:vAlign w:val="center"/>
          </w:tcPr>
          <w:p w14:paraId="26DADF4C" w14:textId="67CA0446" w:rsidR="00005971" w:rsidRPr="00B4515A" w:rsidRDefault="00005971"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CA100128</w:t>
            </w:r>
          </w:p>
        </w:tc>
        <w:tc>
          <w:tcPr>
            <w:tcW w:w="580" w:type="pct"/>
            <w:shd w:val="clear" w:color="auto" w:fill="auto"/>
            <w:tcMar>
              <w:top w:w="0" w:type="dxa"/>
              <w:left w:w="108" w:type="dxa"/>
              <w:bottom w:w="0" w:type="dxa"/>
              <w:right w:w="108" w:type="dxa"/>
            </w:tcMar>
            <w:vAlign w:val="center"/>
          </w:tcPr>
          <w:p w14:paraId="35B52793"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01BBF864"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731" w:type="pct"/>
            <w:shd w:val="clear" w:color="auto" w:fill="auto"/>
            <w:tcMar>
              <w:top w:w="0" w:type="dxa"/>
              <w:left w:w="108" w:type="dxa"/>
              <w:bottom w:w="0" w:type="dxa"/>
              <w:right w:w="108" w:type="dxa"/>
            </w:tcMar>
            <w:vAlign w:val="center"/>
          </w:tcPr>
          <w:p w14:paraId="2334BA78"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3,525.82</w:t>
            </w:r>
          </w:p>
        </w:tc>
        <w:tc>
          <w:tcPr>
            <w:tcW w:w="527" w:type="pct"/>
            <w:shd w:val="clear" w:color="auto" w:fill="auto"/>
            <w:tcMar>
              <w:top w:w="0" w:type="dxa"/>
              <w:left w:w="108" w:type="dxa"/>
              <w:bottom w:w="0" w:type="dxa"/>
              <w:right w:w="108" w:type="dxa"/>
            </w:tcMar>
            <w:vAlign w:val="center"/>
          </w:tcPr>
          <w:p w14:paraId="38E25288"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27.63%</w:t>
            </w:r>
          </w:p>
        </w:tc>
        <w:tc>
          <w:tcPr>
            <w:tcW w:w="443" w:type="pct"/>
            <w:shd w:val="clear" w:color="auto" w:fill="auto"/>
            <w:tcMar>
              <w:top w:w="0" w:type="dxa"/>
              <w:left w:w="108" w:type="dxa"/>
              <w:bottom w:w="0" w:type="dxa"/>
              <w:right w:w="108" w:type="dxa"/>
            </w:tcMar>
            <w:vAlign w:val="center"/>
          </w:tcPr>
          <w:p w14:paraId="5D84FA14"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005971" w:rsidRPr="00B4515A" w14:paraId="152D73D3" w14:textId="77777777" w:rsidTr="00EE238F">
        <w:trPr>
          <w:trHeight w:val="340"/>
          <w:jc w:val="center"/>
        </w:trPr>
        <w:tc>
          <w:tcPr>
            <w:tcW w:w="636" w:type="pct"/>
            <w:vMerge/>
            <w:tcMar>
              <w:top w:w="0" w:type="dxa"/>
              <w:left w:w="108" w:type="dxa"/>
              <w:bottom w:w="0" w:type="dxa"/>
              <w:right w:w="108" w:type="dxa"/>
            </w:tcMar>
            <w:vAlign w:val="center"/>
          </w:tcPr>
          <w:p w14:paraId="6E2A8CA1"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p>
        </w:tc>
        <w:tc>
          <w:tcPr>
            <w:tcW w:w="390" w:type="pct"/>
            <w:shd w:val="clear" w:color="auto" w:fill="auto"/>
            <w:tcMar>
              <w:top w:w="0" w:type="dxa"/>
              <w:left w:w="108" w:type="dxa"/>
              <w:bottom w:w="0" w:type="dxa"/>
              <w:right w:w="108" w:type="dxa"/>
            </w:tcMar>
            <w:vAlign w:val="center"/>
          </w:tcPr>
          <w:p w14:paraId="7161DF9E"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p>
        </w:tc>
        <w:tc>
          <w:tcPr>
            <w:tcW w:w="945" w:type="pct"/>
            <w:shd w:val="clear" w:color="auto" w:fill="auto"/>
            <w:tcMar>
              <w:top w:w="0" w:type="dxa"/>
              <w:left w:w="108" w:type="dxa"/>
              <w:bottom w:w="0" w:type="dxa"/>
              <w:right w:w="108" w:type="dxa"/>
            </w:tcMar>
            <w:vAlign w:val="center"/>
          </w:tcPr>
          <w:p w14:paraId="52CC963A" w14:textId="0B7F600A" w:rsidR="00005971" w:rsidRPr="00B4515A" w:rsidRDefault="00005971"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客户</w:t>
            </w:r>
            <w:r w:rsidRPr="00B4515A">
              <w:rPr>
                <w:rFonts w:ascii="Times New Roman" w:eastAsiaTheme="minorEastAsia" w:hAnsi="Times New Roman" w:cs="Times New Roman"/>
                <w:color w:val="000000"/>
                <w:sz w:val="21"/>
                <w:szCs w:val="21"/>
              </w:rPr>
              <w:t>Z</w:t>
            </w:r>
          </w:p>
        </w:tc>
        <w:tc>
          <w:tcPr>
            <w:tcW w:w="580" w:type="pct"/>
            <w:shd w:val="clear" w:color="auto" w:fill="auto"/>
            <w:tcMar>
              <w:top w:w="0" w:type="dxa"/>
              <w:left w:w="108" w:type="dxa"/>
              <w:bottom w:w="0" w:type="dxa"/>
              <w:right w:w="108" w:type="dxa"/>
            </w:tcMar>
            <w:vAlign w:val="center"/>
          </w:tcPr>
          <w:p w14:paraId="0DAC0338"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1B042E26"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技术服务</w:t>
            </w:r>
          </w:p>
        </w:tc>
        <w:tc>
          <w:tcPr>
            <w:tcW w:w="731" w:type="pct"/>
            <w:shd w:val="clear" w:color="auto" w:fill="auto"/>
            <w:tcMar>
              <w:top w:w="0" w:type="dxa"/>
              <w:left w:w="108" w:type="dxa"/>
              <w:bottom w:w="0" w:type="dxa"/>
              <w:right w:w="108" w:type="dxa"/>
            </w:tcMar>
            <w:vAlign w:val="center"/>
          </w:tcPr>
          <w:p w14:paraId="0A6B2121"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829.48</w:t>
            </w:r>
          </w:p>
        </w:tc>
        <w:tc>
          <w:tcPr>
            <w:tcW w:w="527" w:type="pct"/>
            <w:shd w:val="clear" w:color="auto" w:fill="auto"/>
            <w:tcMar>
              <w:top w:w="0" w:type="dxa"/>
              <w:left w:w="108" w:type="dxa"/>
              <w:bottom w:w="0" w:type="dxa"/>
              <w:right w:w="108" w:type="dxa"/>
            </w:tcMar>
            <w:vAlign w:val="center"/>
          </w:tcPr>
          <w:p w14:paraId="4AE2A0BE"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6.50%</w:t>
            </w:r>
          </w:p>
        </w:tc>
        <w:tc>
          <w:tcPr>
            <w:tcW w:w="443" w:type="pct"/>
            <w:shd w:val="clear" w:color="auto" w:fill="auto"/>
            <w:tcMar>
              <w:top w:w="0" w:type="dxa"/>
              <w:left w:w="108" w:type="dxa"/>
              <w:bottom w:w="0" w:type="dxa"/>
              <w:right w:w="108" w:type="dxa"/>
            </w:tcMar>
            <w:vAlign w:val="center"/>
          </w:tcPr>
          <w:p w14:paraId="733D63E0"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005971" w:rsidRPr="00B4515A" w14:paraId="33B370D9" w14:textId="77777777" w:rsidTr="00EE238F">
        <w:trPr>
          <w:trHeight w:val="340"/>
          <w:jc w:val="center"/>
        </w:trPr>
        <w:tc>
          <w:tcPr>
            <w:tcW w:w="636" w:type="pct"/>
            <w:vMerge/>
            <w:tcMar>
              <w:top w:w="0" w:type="dxa"/>
              <w:left w:w="108" w:type="dxa"/>
              <w:bottom w:w="0" w:type="dxa"/>
              <w:right w:w="108" w:type="dxa"/>
            </w:tcMar>
            <w:vAlign w:val="center"/>
          </w:tcPr>
          <w:p w14:paraId="0BC12B6A"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p>
        </w:tc>
        <w:tc>
          <w:tcPr>
            <w:tcW w:w="390" w:type="pct"/>
            <w:shd w:val="clear" w:color="auto" w:fill="auto"/>
            <w:tcMar>
              <w:top w:w="0" w:type="dxa"/>
              <w:left w:w="108" w:type="dxa"/>
              <w:bottom w:w="0" w:type="dxa"/>
              <w:right w:w="108" w:type="dxa"/>
            </w:tcMar>
            <w:vAlign w:val="center"/>
          </w:tcPr>
          <w:p w14:paraId="0CAB391C"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w:t>
            </w:r>
          </w:p>
        </w:tc>
        <w:tc>
          <w:tcPr>
            <w:tcW w:w="945" w:type="pct"/>
            <w:shd w:val="clear" w:color="auto" w:fill="auto"/>
            <w:tcMar>
              <w:top w:w="0" w:type="dxa"/>
              <w:left w:w="108" w:type="dxa"/>
              <w:bottom w:w="0" w:type="dxa"/>
              <w:right w:w="108" w:type="dxa"/>
            </w:tcMar>
            <w:vAlign w:val="center"/>
          </w:tcPr>
          <w:p w14:paraId="1FBA921C" w14:textId="3094137C" w:rsidR="00005971" w:rsidRPr="00B4515A" w:rsidRDefault="00005971"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SA101052</w:t>
            </w:r>
          </w:p>
        </w:tc>
        <w:tc>
          <w:tcPr>
            <w:tcW w:w="580" w:type="pct"/>
            <w:shd w:val="clear" w:color="auto" w:fill="auto"/>
            <w:tcMar>
              <w:top w:w="0" w:type="dxa"/>
              <w:left w:w="108" w:type="dxa"/>
              <w:bottom w:w="0" w:type="dxa"/>
              <w:right w:w="108" w:type="dxa"/>
            </w:tcMar>
            <w:vAlign w:val="center"/>
          </w:tcPr>
          <w:p w14:paraId="5383F2B8"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08035FAE"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技术服务</w:t>
            </w:r>
          </w:p>
        </w:tc>
        <w:tc>
          <w:tcPr>
            <w:tcW w:w="731" w:type="pct"/>
            <w:shd w:val="clear" w:color="auto" w:fill="auto"/>
            <w:tcMar>
              <w:top w:w="0" w:type="dxa"/>
              <w:left w:w="108" w:type="dxa"/>
              <w:bottom w:w="0" w:type="dxa"/>
              <w:right w:w="108" w:type="dxa"/>
            </w:tcMar>
            <w:vAlign w:val="center"/>
          </w:tcPr>
          <w:p w14:paraId="047A39BB"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147.17</w:t>
            </w:r>
          </w:p>
        </w:tc>
        <w:tc>
          <w:tcPr>
            <w:tcW w:w="527" w:type="pct"/>
            <w:shd w:val="clear" w:color="auto" w:fill="auto"/>
            <w:tcMar>
              <w:top w:w="0" w:type="dxa"/>
              <w:left w:w="108" w:type="dxa"/>
              <w:bottom w:w="0" w:type="dxa"/>
              <w:right w:w="108" w:type="dxa"/>
            </w:tcMar>
            <w:vAlign w:val="center"/>
          </w:tcPr>
          <w:p w14:paraId="60057227"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1.15%</w:t>
            </w:r>
          </w:p>
        </w:tc>
        <w:tc>
          <w:tcPr>
            <w:tcW w:w="443" w:type="pct"/>
            <w:shd w:val="clear" w:color="auto" w:fill="auto"/>
            <w:tcMar>
              <w:top w:w="0" w:type="dxa"/>
              <w:left w:w="108" w:type="dxa"/>
              <w:bottom w:w="0" w:type="dxa"/>
              <w:right w:w="108" w:type="dxa"/>
            </w:tcMar>
            <w:vAlign w:val="center"/>
          </w:tcPr>
          <w:p w14:paraId="4BF93D5A"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005971" w:rsidRPr="00B4515A" w14:paraId="2ED76564" w14:textId="77777777" w:rsidTr="00EE238F">
        <w:trPr>
          <w:trHeight w:val="340"/>
          <w:jc w:val="center"/>
        </w:trPr>
        <w:tc>
          <w:tcPr>
            <w:tcW w:w="636" w:type="pct"/>
            <w:vMerge/>
            <w:tcMar>
              <w:top w:w="0" w:type="dxa"/>
              <w:left w:w="108" w:type="dxa"/>
              <w:bottom w:w="0" w:type="dxa"/>
              <w:right w:w="108" w:type="dxa"/>
            </w:tcMar>
            <w:vAlign w:val="center"/>
          </w:tcPr>
          <w:p w14:paraId="05FD15CB"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p>
        </w:tc>
        <w:tc>
          <w:tcPr>
            <w:tcW w:w="390" w:type="pct"/>
            <w:shd w:val="clear" w:color="auto" w:fill="auto"/>
            <w:tcMar>
              <w:top w:w="0" w:type="dxa"/>
              <w:left w:w="108" w:type="dxa"/>
              <w:bottom w:w="0" w:type="dxa"/>
              <w:right w:w="108" w:type="dxa"/>
            </w:tcMar>
            <w:vAlign w:val="center"/>
          </w:tcPr>
          <w:p w14:paraId="5939C1DE"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w:t>
            </w:r>
          </w:p>
        </w:tc>
        <w:tc>
          <w:tcPr>
            <w:tcW w:w="945" w:type="pct"/>
            <w:shd w:val="clear" w:color="auto" w:fill="auto"/>
            <w:tcMar>
              <w:top w:w="0" w:type="dxa"/>
              <w:left w:w="108" w:type="dxa"/>
              <w:bottom w:w="0" w:type="dxa"/>
              <w:right w:w="108" w:type="dxa"/>
            </w:tcMar>
            <w:vAlign w:val="center"/>
          </w:tcPr>
          <w:p w14:paraId="17CF5989" w14:textId="3BBC4A33" w:rsidR="00005971" w:rsidRPr="00B4515A" w:rsidRDefault="00005971"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SA100183</w:t>
            </w:r>
          </w:p>
        </w:tc>
        <w:tc>
          <w:tcPr>
            <w:tcW w:w="580" w:type="pct"/>
            <w:shd w:val="clear" w:color="auto" w:fill="auto"/>
            <w:tcMar>
              <w:top w:w="0" w:type="dxa"/>
              <w:left w:w="108" w:type="dxa"/>
              <w:bottom w:w="0" w:type="dxa"/>
              <w:right w:w="108" w:type="dxa"/>
            </w:tcMar>
            <w:vAlign w:val="center"/>
          </w:tcPr>
          <w:p w14:paraId="08AAA83A"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1604692D"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技术服务</w:t>
            </w:r>
          </w:p>
        </w:tc>
        <w:tc>
          <w:tcPr>
            <w:tcW w:w="731" w:type="pct"/>
            <w:shd w:val="clear" w:color="auto" w:fill="auto"/>
            <w:tcMar>
              <w:top w:w="0" w:type="dxa"/>
              <w:left w:w="108" w:type="dxa"/>
              <w:bottom w:w="0" w:type="dxa"/>
              <w:right w:w="108" w:type="dxa"/>
            </w:tcMar>
            <w:vAlign w:val="center"/>
          </w:tcPr>
          <w:p w14:paraId="4243AE5A"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147.17</w:t>
            </w:r>
          </w:p>
        </w:tc>
        <w:tc>
          <w:tcPr>
            <w:tcW w:w="527" w:type="pct"/>
            <w:shd w:val="clear" w:color="auto" w:fill="auto"/>
            <w:tcMar>
              <w:top w:w="0" w:type="dxa"/>
              <w:left w:w="108" w:type="dxa"/>
              <w:bottom w:w="0" w:type="dxa"/>
              <w:right w:w="108" w:type="dxa"/>
            </w:tcMar>
            <w:vAlign w:val="center"/>
          </w:tcPr>
          <w:p w14:paraId="398485B7"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1.15%</w:t>
            </w:r>
          </w:p>
        </w:tc>
        <w:tc>
          <w:tcPr>
            <w:tcW w:w="443" w:type="pct"/>
            <w:shd w:val="clear" w:color="auto" w:fill="auto"/>
            <w:tcMar>
              <w:top w:w="0" w:type="dxa"/>
              <w:left w:w="108" w:type="dxa"/>
              <w:bottom w:w="0" w:type="dxa"/>
              <w:right w:w="108" w:type="dxa"/>
            </w:tcMar>
            <w:vAlign w:val="center"/>
          </w:tcPr>
          <w:p w14:paraId="2C0AA136"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005971" w:rsidRPr="00B4515A" w14:paraId="29EFFD73" w14:textId="77777777" w:rsidTr="00EE238F">
        <w:trPr>
          <w:trHeight w:val="340"/>
          <w:jc w:val="center"/>
        </w:trPr>
        <w:tc>
          <w:tcPr>
            <w:tcW w:w="636" w:type="pct"/>
            <w:vMerge/>
            <w:tcMar>
              <w:top w:w="0" w:type="dxa"/>
              <w:left w:w="108" w:type="dxa"/>
              <w:bottom w:w="0" w:type="dxa"/>
              <w:right w:w="108" w:type="dxa"/>
            </w:tcMar>
            <w:vAlign w:val="center"/>
          </w:tcPr>
          <w:p w14:paraId="18597FD4"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p>
        </w:tc>
        <w:tc>
          <w:tcPr>
            <w:tcW w:w="390" w:type="pct"/>
            <w:shd w:val="clear" w:color="auto" w:fill="auto"/>
            <w:tcMar>
              <w:top w:w="0" w:type="dxa"/>
              <w:left w:w="108" w:type="dxa"/>
              <w:bottom w:w="0" w:type="dxa"/>
              <w:right w:w="108" w:type="dxa"/>
            </w:tcMar>
            <w:vAlign w:val="center"/>
          </w:tcPr>
          <w:p w14:paraId="3C899AF8"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w:t>
            </w:r>
          </w:p>
        </w:tc>
        <w:tc>
          <w:tcPr>
            <w:tcW w:w="945" w:type="pct"/>
            <w:shd w:val="clear" w:color="auto" w:fill="auto"/>
            <w:tcMar>
              <w:top w:w="0" w:type="dxa"/>
              <w:left w:w="108" w:type="dxa"/>
              <w:bottom w:w="0" w:type="dxa"/>
              <w:right w:w="108" w:type="dxa"/>
            </w:tcMar>
            <w:vAlign w:val="center"/>
          </w:tcPr>
          <w:p w14:paraId="060AE35B" w14:textId="18910C2A" w:rsidR="00005971" w:rsidRPr="00B4515A" w:rsidRDefault="00005971"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CA100278</w:t>
            </w:r>
          </w:p>
        </w:tc>
        <w:tc>
          <w:tcPr>
            <w:tcW w:w="580" w:type="pct"/>
            <w:shd w:val="clear" w:color="auto" w:fill="auto"/>
            <w:tcMar>
              <w:top w:w="0" w:type="dxa"/>
              <w:left w:w="108" w:type="dxa"/>
              <w:bottom w:w="0" w:type="dxa"/>
              <w:right w:w="108" w:type="dxa"/>
            </w:tcMar>
            <w:vAlign w:val="center"/>
          </w:tcPr>
          <w:p w14:paraId="6AC0C391"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001B83A5"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731" w:type="pct"/>
            <w:shd w:val="clear" w:color="auto" w:fill="auto"/>
            <w:tcMar>
              <w:top w:w="0" w:type="dxa"/>
              <w:left w:w="108" w:type="dxa"/>
              <w:bottom w:w="0" w:type="dxa"/>
              <w:right w:w="108" w:type="dxa"/>
            </w:tcMar>
            <w:vAlign w:val="center"/>
          </w:tcPr>
          <w:p w14:paraId="3A960EFC"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79.27</w:t>
            </w:r>
          </w:p>
        </w:tc>
        <w:tc>
          <w:tcPr>
            <w:tcW w:w="527" w:type="pct"/>
            <w:shd w:val="clear" w:color="auto" w:fill="auto"/>
            <w:tcMar>
              <w:top w:w="0" w:type="dxa"/>
              <w:left w:w="108" w:type="dxa"/>
              <w:bottom w:w="0" w:type="dxa"/>
              <w:right w:w="108" w:type="dxa"/>
            </w:tcMar>
            <w:vAlign w:val="center"/>
          </w:tcPr>
          <w:p w14:paraId="29C99C50"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0.62%</w:t>
            </w:r>
          </w:p>
        </w:tc>
        <w:tc>
          <w:tcPr>
            <w:tcW w:w="443" w:type="pct"/>
            <w:shd w:val="clear" w:color="auto" w:fill="auto"/>
            <w:tcMar>
              <w:top w:w="0" w:type="dxa"/>
              <w:left w:w="108" w:type="dxa"/>
              <w:bottom w:w="0" w:type="dxa"/>
              <w:right w:w="108" w:type="dxa"/>
            </w:tcMar>
            <w:vAlign w:val="center"/>
          </w:tcPr>
          <w:p w14:paraId="367E64DB"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416B0" w:rsidRPr="00B4515A" w14:paraId="3EF4A578" w14:textId="77777777" w:rsidTr="00BA4E33">
        <w:trPr>
          <w:trHeight w:val="340"/>
          <w:jc w:val="center"/>
        </w:trPr>
        <w:tc>
          <w:tcPr>
            <w:tcW w:w="636" w:type="pct"/>
            <w:vMerge/>
            <w:tcMar>
              <w:top w:w="0" w:type="dxa"/>
              <w:left w:w="108" w:type="dxa"/>
              <w:bottom w:w="0" w:type="dxa"/>
              <w:right w:w="108" w:type="dxa"/>
            </w:tcMar>
            <w:vAlign w:val="center"/>
          </w:tcPr>
          <w:p w14:paraId="76DB0116"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663" w:type="pct"/>
            <w:gridSpan w:val="4"/>
            <w:shd w:val="clear" w:color="auto" w:fill="auto"/>
            <w:tcMar>
              <w:top w:w="0" w:type="dxa"/>
              <w:left w:w="108" w:type="dxa"/>
              <w:bottom w:w="0" w:type="dxa"/>
              <w:right w:w="108" w:type="dxa"/>
            </w:tcMar>
            <w:vAlign w:val="center"/>
          </w:tcPr>
          <w:p w14:paraId="4AC5A0CD"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731" w:type="pct"/>
            <w:shd w:val="clear" w:color="auto" w:fill="auto"/>
            <w:tcMar>
              <w:top w:w="0" w:type="dxa"/>
              <w:left w:w="108" w:type="dxa"/>
              <w:bottom w:w="0" w:type="dxa"/>
              <w:right w:w="108" w:type="dxa"/>
            </w:tcMar>
            <w:vAlign w:val="center"/>
          </w:tcPr>
          <w:p w14:paraId="1AB6C36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4,728.91</w:t>
            </w:r>
          </w:p>
        </w:tc>
        <w:tc>
          <w:tcPr>
            <w:tcW w:w="527" w:type="pct"/>
            <w:shd w:val="clear" w:color="auto" w:fill="auto"/>
            <w:tcMar>
              <w:top w:w="0" w:type="dxa"/>
              <w:left w:w="108" w:type="dxa"/>
              <w:bottom w:w="0" w:type="dxa"/>
              <w:right w:w="108" w:type="dxa"/>
            </w:tcMar>
            <w:vAlign w:val="center"/>
          </w:tcPr>
          <w:p w14:paraId="7072DB3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37.06%</w:t>
            </w:r>
          </w:p>
        </w:tc>
        <w:tc>
          <w:tcPr>
            <w:tcW w:w="443" w:type="pct"/>
            <w:shd w:val="clear" w:color="auto" w:fill="auto"/>
            <w:tcMar>
              <w:top w:w="0" w:type="dxa"/>
              <w:left w:w="108" w:type="dxa"/>
              <w:bottom w:w="0" w:type="dxa"/>
              <w:right w:w="108" w:type="dxa"/>
            </w:tcMar>
            <w:vAlign w:val="center"/>
          </w:tcPr>
          <w:p w14:paraId="0151ECC3"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005971" w:rsidRPr="00B4515A" w14:paraId="3DF013B1" w14:textId="77777777" w:rsidTr="00EE238F">
        <w:trPr>
          <w:trHeight w:val="340"/>
          <w:jc w:val="center"/>
        </w:trPr>
        <w:tc>
          <w:tcPr>
            <w:tcW w:w="636" w:type="pct"/>
            <w:vMerge w:val="restart"/>
            <w:shd w:val="clear" w:color="auto" w:fill="auto"/>
            <w:tcMar>
              <w:top w:w="0" w:type="dxa"/>
              <w:left w:w="108" w:type="dxa"/>
              <w:bottom w:w="0" w:type="dxa"/>
              <w:right w:w="108" w:type="dxa"/>
            </w:tcMar>
            <w:vAlign w:val="center"/>
          </w:tcPr>
          <w:p w14:paraId="4A7CC203"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宽带移动安全应用</w:t>
            </w:r>
          </w:p>
        </w:tc>
        <w:tc>
          <w:tcPr>
            <w:tcW w:w="390" w:type="pct"/>
            <w:shd w:val="clear" w:color="auto" w:fill="auto"/>
            <w:tcMar>
              <w:top w:w="0" w:type="dxa"/>
              <w:left w:w="108" w:type="dxa"/>
              <w:bottom w:w="0" w:type="dxa"/>
              <w:right w:w="108" w:type="dxa"/>
            </w:tcMar>
            <w:vAlign w:val="center"/>
          </w:tcPr>
          <w:p w14:paraId="2F2BD517"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w:t>
            </w:r>
          </w:p>
        </w:tc>
        <w:tc>
          <w:tcPr>
            <w:tcW w:w="945" w:type="pct"/>
            <w:shd w:val="clear" w:color="auto" w:fill="auto"/>
            <w:tcMar>
              <w:top w:w="0" w:type="dxa"/>
              <w:left w:w="108" w:type="dxa"/>
              <w:bottom w:w="0" w:type="dxa"/>
              <w:right w:w="108" w:type="dxa"/>
            </w:tcMar>
            <w:vAlign w:val="center"/>
          </w:tcPr>
          <w:p w14:paraId="3F9AB1B1" w14:textId="17818476" w:rsidR="00005971" w:rsidRPr="00B4515A" w:rsidRDefault="00BA4E33"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某电子科技集团下属企业</w:t>
            </w:r>
          </w:p>
        </w:tc>
        <w:tc>
          <w:tcPr>
            <w:tcW w:w="580" w:type="pct"/>
            <w:shd w:val="clear" w:color="auto" w:fill="auto"/>
            <w:tcMar>
              <w:top w:w="0" w:type="dxa"/>
              <w:left w:w="108" w:type="dxa"/>
              <w:bottom w:w="0" w:type="dxa"/>
              <w:right w:w="108" w:type="dxa"/>
            </w:tcMar>
            <w:vAlign w:val="center"/>
          </w:tcPr>
          <w:p w14:paraId="2C9FA114"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02F34493"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731" w:type="pct"/>
            <w:shd w:val="clear" w:color="auto" w:fill="auto"/>
            <w:tcMar>
              <w:top w:w="0" w:type="dxa"/>
              <w:left w:w="108" w:type="dxa"/>
              <w:bottom w:w="0" w:type="dxa"/>
              <w:right w:w="108" w:type="dxa"/>
            </w:tcMar>
            <w:vAlign w:val="center"/>
          </w:tcPr>
          <w:p w14:paraId="499A79BE"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260.18</w:t>
            </w:r>
          </w:p>
        </w:tc>
        <w:tc>
          <w:tcPr>
            <w:tcW w:w="527" w:type="pct"/>
            <w:shd w:val="clear" w:color="auto" w:fill="auto"/>
            <w:tcMar>
              <w:top w:w="0" w:type="dxa"/>
              <w:left w:w="108" w:type="dxa"/>
              <w:bottom w:w="0" w:type="dxa"/>
              <w:right w:w="108" w:type="dxa"/>
            </w:tcMar>
            <w:vAlign w:val="center"/>
          </w:tcPr>
          <w:p w14:paraId="463D4CA9"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2.04%</w:t>
            </w:r>
          </w:p>
        </w:tc>
        <w:tc>
          <w:tcPr>
            <w:tcW w:w="443" w:type="pct"/>
            <w:shd w:val="clear" w:color="auto" w:fill="auto"/>
            <w:tcMar>
              <w:top w:w="0" w:type="dxa"/>
              <w:left w:w="108" w:type="dxa"/>
              <w:bottom w:w="0" w:type="dxa"/>
              <w:right w:w="108" w:type="dxa"/>
            </w:tcMar>
            <w:vAlign w:val="center"/>
          </w:tcPr>
          <w:p w14:paraId="38B2C9AF"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005971" w:rsidRPr="00B4515A" w14:paraId="1DCFDE7C" w14:textId="77777777" w:rsidTr="00EE238F">
        <w:trPr>
          <w:trHeight w:val="340"/>
          <w:jc w:val="center"/>
        </w:trPr>
        <w:tc>
          <w:tcPr>
            <w:tcW w:w="636" w:type="pct"/>
            <w:vMerge/>
            <w:tcMar>
              <w:top w:w="0" w:type="dxa"/>
              <w:left w:w="108" w:type="dxa"/>
              <w:bottom w:w="0" w:type="dxa"/>
              <w:right w:w="108" w:type="dxa"/>
            </w:tcMar>
            <w:vAlign w:val="center"/>
          </w:tcPr>
          <w:p w14:paraId="3E305454"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p>
        </w:tc>
        <w:tc>
          <w:tcPr>
            <w:tcW w:w="390" w:type="pct"/>
            <w:shd w:val="clear" w:color="auto" w:fill="auto"/>
            <w:tcMar>
              <w:top w:w="0" w:type="dxa"/>
              <w:left w:w="108" w:type="dxa"/>
              <w:bottom w:w="0" w:type="dxa"/>
              <w:right w:w="108" w:type="dxa"/>
            </w:tcMar>
            <w:vAlign w:val="center"/>
          </w:tcPr>
          <w:p w14:paraId="5F1FEAFD"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w:t>
            </w:r>
          </w:p>
        </w:tc>
        <w:tc>
          <w:tcPr>
            <w:tcW w:w="945" w:type="pct"/>
            <w:shd w:val="clear" w:color="auto" w:fill="auto"/>
            <w:tcMar>
              <w:top w:w="0" w:type="dxa"/>
              <w:left w:w="108" w:type="dxa"/>
              <w:bottom w:w="0" w:type="dxa"/>
              <w:right w:w="108" w:type="dxa"/>
            </w:tcMar>
            <w:vAlign w:val="center"/>
          </w:tcPr>
          <w:p w14:paraId="6686C8E5" w14:textId="0949C352" w:rsidR="00005971" w:rsidRPr="00B4515A" w:rsidRDefault="00005971"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CA100359</w:t>
            </w:r>
          </w:p>
        </w:tc>
        <w:tc>
          <w:tcPr>
            <w:tcW w:w="580" w:type="pct"/>
            <w:shd w:val="clear" w:color="auto" w:fill="auto"/>
            <w:tcMar>
              <w:top w:w="0" w:type="dxa"/>
              <w:left w:w="108" w:type="dxa"/>
              <w:bottom w:w="0" w:type="dxa"/>
              <w:right w:w="108" w:type="dxa"/>
            </w:tcMar>
            <w:vAlign w:val="center"/>
          </w:tcPr>
          <w:p w14:paraId="5BD5E2FD"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3771F008"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731" w:type="pct"/>
            <w:shd w:val="clear" w:color="auto" w:fill="auto"/>
            <w:tcMar>
              <w:top w:w="0" w:type="dxa"/>
              <w:left w:w="108" w:type="dxa"/>
              <w:bottom w:w="0" w:type="dxa"/>
              <w:right w:w="108" w:type="dxa"/>
            </w:tcMar>
            <w:vAlign w:val="center"/>
          </w:tcPr>
          <w:p w14:paraId="291240DE"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13.73</w:t>
            </w:r>
          </w:p>
        </w:tc>
        <w:tc>
          <w:tcPr>
            <w:tcW w:w="527" w:type="pct"/>
            <w:shd w:val="clear" w:color="auto" w:fill="auto"/>
            <w:tcMar>
              <w:top w:w="0" w:type="dxa"/>
              <w:left w:w="108" w:type="dxa"/>
              <w:bottom w:w="0" w:type="dxa"/>
              <w:right w:w="108" w:type="dxa"/>
            </w:tcMar>
            <w:vAlign w:val="center"/>
          </w:tcPr>
          <w:p w14:paraId="3C4F55F2"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0.11%</w:t>
            </w:r>
          </w:p>
        </w:tc>
        <w:tc>
          <w:tcPr>
            <w:tcW w:w="443" w:type="pct"/>
            <w:shd w:val="clear" w:color="auto" w:fill="auto"/>
            <w:tcMar>
              <w:top w:w="0" w:type="dxa"/>
              <w:left w:w="108" w:type="dxa"/>
              <w:bottom w:w="0" w:type="dxa"/>
              <w:right w:w="108" w:type="dxa"/>
            </w:tcMar>
            <w:vAlign w:val="center"/>
          </w:tcPr>
          <w:p w14:paraId="4AA101D3"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005971" w:rsidRPr="00B4515A" w14:paraId="51EC9C65" w14:textId="77777777" w:rsidTr="00EE238F">
        <w:trPr>
          <w:trHeight w:val="340"/>
          <w:jc w:val="center"/>
        </w:trPr>
        <w:tc>
          <w:tcPr>
            <w:tcW w:w="636" w:type="pct"/>
            <w:vMerge/>
            <w:tcMar>
              <w:top w:w="0" w:type="dxa"/>
              <w:left w:w="108" w:type="dxa"/>
              <w:bottom w:w="0" w:type="dxa"/>
              <w:right w:w="108" w:type="dxa"/>
            </w:tcMar>
            <w:vAlign w:val="center"/>
          </w:tcPr>
          <w:p w14:paraId="4A9704ED"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p>
        </w:tc>
        <w:tc>
          <w:tcPr>
            <w:tcW w:w="390" w:type="pct"/>
            <w:shd w:val="clear" w:color="auto" w:fill="auto"/>
            <w:tcMar>
              <w:top w:w="0" w:type="dxa"/>
              <w:left w:w="108" w:type="dxa"/>
              <w:bottom w:w="0" w:type="dxa"/>
              <w:right w:w="108" w:type="dxa"/>
            </w:tcMar>
            <w:vAlign w:val="center"/>
          </w:tcPr>
          <w:p w14:paraId="1EA4D5AF"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w:t>
            </w:r>
          </w:p>
        </w:tc>
        <w:tc>
          <w:tcPr>
            <w:tcW w:w="945" w:type="pct"/>
            <w:shd w:val="clear" w:color="auto" w:fill="auto"/>
            <w:tcMar>
              <w:top w:w="0" w:type="dxa"/>
              <w:left w:w="108" w:type="dxa"/>
              <w:bottom w:w="0" w:type="dxa"/>
              <w:right w:w="108" w:type="dxa"/>
            </w:tcMar>
            <w:vAlign w:val="center"/>
          </w:tcPr>
          <w:p w14:paraId="34A66F65" w14:textId="6DD6E605" w:rsidR="00005971" w:rsidRPr="00B4515A" w:rsidRDefault="00BA4E33"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中国信科集团及下属企业</w:t>
            </w:r>
          </w:p>
        </w:tc>
        <w:tc>
          <w:tcPr>
            <w:tcW w:w="580" w:type="pct"/>
            <w:shd w:val="clear" w:color="auto" w:fill="auto"/>
            <w:tcMar>
              <w:top w:w="0" w:type="dxa"/>
              <w:left w:w="108" w:type="dxa"/>
              <w:bottom w:w="0" w:type="dxa"/>
              <w:right w:w="108" w:type="dxa"/>
            </w:tcMar>
            <w:vAlign w:val="center"/>
          </w:tcPr>
          <w:p w14:paraId="700C40D8"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21207F6E"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731" w:type="pct"/>
            <w:shd w:val="clear" w:color="auto" w:fill="auto"/>
            <w:tcMar>
              <w:top w:w="0" w:type="dxa"/>
              <w:left w:w="108" w:type="dxa"/>
              <w:bottom w:w="0" w:type="dxa"/>
              <w:right w:w="108" w:type="dxa"/>
            </w:tcMar>
            <w:vAlign w:val="center"/>
          </w:tcPr>
          <w:p w14:paraId="76C5543B"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5.22</w:t>
            </w:r>
          </w:p>
        </w:tc>
        <w:tc>
          <w:tcPr>
            <w:tcW w:w="527" w:type="pct"/>
            <w:shd w:val="clear" w:color="auto" w:fill="auto"/>
            <w:tcMar>
              <w:top w:w="0" w:type="dxa"/>
              <w:left w:w="108" w:type="dxa"/>
              <w:bottom w:w="0" w:type="dxa"/>
              <w:right w:w="108" w:type="dxa"/>
            </w:tcMar>
            <w:vAlign w:val="center"/>
          </w:tcPr>
          <w:p w14:paraId="0B3D6142"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0.04%</w:t>
            </w:r>
          </w:p>
        </w:tc>
        <w:tc>
          <w:tcPr>
            <w:tcW w:w="443" w:type="pct"/>
            <w:shd w:val="clear" w:color="auto" w:fill="auto"/>
            <w:tcMar>
              <w:top w:w="0" w:type="dxa"/>
              <w:left w:w="108" w:type="dxa"/>
              <w:bottom w:w="0" w:type="dxa"/>
              <w:right w:w="108" w:type="dxa"/>
            </w:tcMar>
            <w:vAlign w:val="center"/>
          </w:tcPr>
          <w:p w14:paraId="4CC8E456"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是</w:t>
            </w:r>
          </w:p>
        </w:tc>
      </w:tr>
      <w:tr w:rsidR="00005971" w:rsidRPr="00B4515A" w14:paraId="76F48612" w14:textId="77777777" w:rsidTr="00EE238F">
        <w:trPr>
          <w:trHeight w:val="340"/>
          <w:jc w:val="center"/>
        </w:trPr>
        <w:tc>
          <w:tcPr>
            <w:tcW w:w="636" w:type="pct"/>
            <w:vMerge/>
            <w:tcMar>
              <w:top w:w="0" w:type="dxa"/>
              <w:left w:w="108" w:type="dxa"/>
              <w:bottom w:w="0" w:type="dxa"/>
              <w:right w:w="108" w:type="dxa"/>
            </w:tcMar>
            <w:vAlign w:val="center"/>
          </w:tcPr>
          <w:p w14:paraId="7D38B0C5"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p>
        </w:tc>
        <w:tc>
          <w:tcPr>
            <w:tcW w:w="390" w:type="pct"/>
            <w:shd w:val="clear" w:color="auto" w:fill="auto"/>
            <w:tcMar>
              <w:top w:w="0" w:type="dxa"/>
              <w:left w:w="108" w:type="dxa"/>
              <w:bottom w:w="0" w:type="dxa"/>
              <w:right w:w="108" w:type="dxa"/>
            </w:tcMar>
            <w:vAlign w:val="center"/>
          </w:tcPr>
          <w:p w14:paraId="02E26CDB"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w:t>
            </w:r>
          </w:p>
        </w:tc>
        <w:tc>
          <w:tcPr>
            <w:tcW w:w="945" w:type="pct"/>
            <w:shd w:val="clear" w:color="auto" w:fill="auto"/>
            <w:tcMar>
              <w:top w:w="0" w:type="dxa"/>
              <w:left w:w="108" w:type="dxa"/>
              <w:bottom w:w="0" w:type="dxa"/>
              <w:right w:w="108" w:type="dxa"/>
            </w:tcMar>
            <w:vAlign w:val="center"/>
          </w:tcPr>
          <w:p w14:paraId="4376C7A1" w14:textId="7823726C" w:rsidR="00005971" w:rsidRPr="00B4515A" w:rsidRDefault="00005971"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CA100455</w:t>
            </w:r>
          </w:p>
        </w:tc>
        <w:tc>
          <w:tcPr>
            <w:tcW w:w="580" w:type="pct"/>
            <w:shd w:val="clear" w:color="auto" w:fill="auto"/>
            <w:tcMar>
              <w:top w:w="0" w:type="dxa"/>
              <w:left w:w="108" w:type="dxa"/>
              <w:bottom w:w="0" w:type="dxa"/>
              <w:right w:w="108" w:type="dxa"/>
            </w:tcMar>
            <w:vAlign w:val="center"/>
          </w:tcPr>
          <w:p w14:paraId="3ED53C90"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15813F53"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731" w:type="pct"/>
            <w:shd w:val="clear" w:color="auto" w:fill="auto"/>
            <w:tcMar>
              <w:top w:w="0" w:type="dxa"/>
              <w:left w:w="108" w:type="dxa"/>
              <w:bottom w:w="0" w:type="dxa"/>
              <w:right w:w="108" w:type="dxa"/>
            </w:tcMar>
            <w:vAlign w:val="center"/>
          </w:tcPr>
          <w:p w14:paraId="1A6712EB"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1.60</w:t>
            </w:r>
          </w:p>
        </w:tc>
        <w:tc>
          <w:tcPr>
            <w:tcW w:w="527" w:type="pct"/>
            <w:shd w:val="clear" w:color="auto" w:fill="auto"/>
            <w:tcMar>
              <w:top w:w="0" w:type="dxa"/>
              <w:left w:w="108" w:type="dxa"/>
              <w:bottom w:w="0" w:type="dxa"/>
              <w:right w:w="108" w:type="dxa"/>
            </w:tcMar>
            <w:vAlign w:val="center"/>
          </w:tcPr>
          <w:p w14:paraId="7F4D8AF2"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0.01%</w:t>
            </w:r>
          </w:p>
        </w:tc>
        <w:tc>
          <w:tcPr>
            <w:tcW w:w="443" w:type="pct"/>
            <w:shd w:val="clear" w:color="auto" w:fill="auto"/>
            <w:tcMar>
              <w:top w:w="0" w:type="dxa"/>
              <w:left w:w="108" w:type="dxa"/>
              <w:bottom w:w="0" w:type="dxa"/>
              <w:right w:w="108" w:type="dxa"/>
            </w:tcMar>
            <w:vAlign w:val="center"/>
          </w:tcPr>
          <w:p w14:paraId="5CD8745A"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005971" w:rsidRPr="00B4515A" w14:paraId="2A1B82C9" w14:textId="77777777" w:rsidTr="00EE238F">
        <w:trPr>
          <w:trHeight w:val="340"/>
          <w:jc w:val="center"/>
        </w:trPr>
        <w:tc>
          <w:tcPr>
            <w:tcW w:w="636" w:type="pct"/>
            <w:vMerge/>
            <w:tcMar>
              <w:top w:w="0" w:type="dxa"/>
              <w:left w:w="108" w:type="dxa"/>
              <w:bottom w:w="0" w:type="dxa"/>
              <w:right w:w="108" w:type="dxa"/>
            </w:tcMar>
            <w:vAlign w:val="center"/>
          </w:tcPr>
          <w:p w14:paraId="1DC85787"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p>
        </w:tc>
        <w:tc>
          <w:tcPr>
            <w:tcW w:w="390" w:type="pct"/>
            <w:shd w:val="clear" w:color="auto" w:fill="auto"/>
            <w:tcMar>
              <w:top w:w="0" w:type="dxa"/>
              <w:left w:w="108" w:type="dxa"/>
              <w:bottom w:w="0" w:type="dxa"/>
              <w:right w:w="108" w:type="dxa"/>
            </w:tcMar>
            <w:vAlign w:val="center"/>
          </w:tcPr>
          <w:p w14:paraId="29D29A9B"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w:t>
            </w:r>
          </w:p>
        </w:tc>
        <w:tc>
          <w:tcPr>
            <w:tcW w:w="945" w:type="pct"/>
            <w:shd w:val="clear" w:color="auto" w:fill="auto"/>
            <w:tcMar>
              <w:top w:w="0" w:type="dxa"/>
              <w:left w:w="108" w:type="dxa"/>
              <w:bottom w:w="0" w:type="dxa"/>
              <w:right w:w="108" w:type="dxa"/>
            </w:tcMar>
            <w:vAlign w:val="center"/>
          </w:tcPr>
          <w:p w14:paraId="0F81E781" w14:textId="57CCC28E" w:rsidR="00005971" w:rsidRPr="00B4515A" w:rsidRDefault="00005971" w:rsidP="00EE238F">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CA100459</w:t>
            </w:r>
          </w:p>
        </w:tc>
        <w:tc>
          <w:tcPr>
            <w:tcW w:w="580" w:type="pct"/>
            <w:shd w:val="clear" w:color="auto" w:fill="auto"/>
            <w:tcMar>
              <w:top w:w="0" w:type="dxa"/>
              <w:left w:w="108" w:type="dxa"/>
              <w:bottom w:w="0" w:type="dxa"/>
              <w:right w:w="108" w:type="dxa"/>
            </w:tcMar>
            <w:vAlign w:val="center"/>
          </w:tcPr>
          <w:p w14:paraId="059B0660"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直销</w:t>
            </w:r>
          </w:p>
        </w:tc>
        <w:tc>
          <w:tcPr>
            <w:tcW w:w="747" w:type="pct"/>
            <w:shd w:val="clear" w:color="auto" w:fill="auto"/>
            <w:tcMar>
              <w:top w:w="0" w:type="dxa"/>
              <w:left w:w="108" w:type="dxa"/>
              <w:bottom w:w="0" w:type="dxa"/>
              <w:right w:w="108" w:type="dxa"/>
            </w:tcMar>
            <w:vAlign w:val="center"/>
          </w:tcPr>
          <w:p w14:paraId="2750416E"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商品销售</w:t>
            </w:r>
          </w:p>
        </w:tc>
        <w:tc>
          <w:tcPr>
            <w:tcW w:w="731" w:type="pct"/>
            <w:shd w:val="clear" w:color="auto" w:fill="auto"/>
            <w:tcMar>
              <w:top w:w="0" w:type="dxa"/>
              <w:left w:w="108" w:type="dxa"/>
              <w:bottom w:w="0" w:type="dxa"/>
              <w:right w:w="108" w:type="dxa"/>
            </w:tcMar>
            <w:vAlign w:val="center"/>
          </w:tcPr>
          <w:p w14:paraId="4CEAE769"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0.59</w:t>
            </w:r>
          </w:p>
        </w:tc>
        <w:tc>
          <w:tcPr>
            <w:tcW w:w="527" w:type="pct"/>
            <w:shd w:val="clear" w:color="auto" w:fill="auto"/>
            <w:tcMar>
              <w:top w:w="0" w:type="dxa"/>
              <w:left w:w="108" w:type="dxa"/>
              <w:bottom w:w="0" w:type="dxa"/>
              <w:right w:w="108" w:type="dxa"/>
            </w:tcMar>
            <w:vAlign w:val="center"/>
          </w:tcPr>
          <w:p w14:paraId="6ABC87CD" w14:textId="77777777" w:rsidR="00005971" w:rsidRPr="00B4515A" w:rsidRDefault="0000597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443" w:type="pct"/>
            <w:shd w:val="clear" w:color="auto" w:fill="auto"/>
            <w:tcMar>
              <w:top w:w="0" w:type="dxa"/>
              <w:left w:w="108" w:type="dxa"/>
              <w:bottom w:w="0" w:type="dxa"/>
              <w:right w:w="108" w:type="dxa"/>
            </w:tcMar>
            <w:vAlign w:val="center"/>
          </w:tcPr>
          <w:p w14:paraId="5DB2A973" w14:textId="77777777" w:rsidR="00005971" w:rsidRPr="00B4515A" w:rsidRDefault="0000597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否</w:t>
            </w:r>
          </w:p>
        </w:tc>
      </w:tr>
      <w:tr w:rsidR="006416B0" w:rsidRPr="00B4515A" w14:paraId="26A6E14E" w14:textId="77777777" w:rsidTr="00BA4E33">
        <w:trPr>
          <w:trHeight w:val="340"/>
          <w:jc w:val="center"/>
        </w:trPr>
        <w:tc>
          <w:tcPr>
            <w:tcW w:w="636" w:type="pct"/>
            <w:vMerge/>
            <w:tcMar>
              <w:top w:w="0" w:type="dxa"/>
              <w:left w:w="108" w:type="dxa"/>
              <w:bottom w:w="0" w:type="dxa"/>
              <w:right w:w="108" w:type="dxa"/>
            </w:tcMar>
            <w:vAlign w:val="center"/>
          </w:tcPr>
          <w:p w14:paraId="7C7522F8"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2663" w:type="pct"/>
            <w:gridSpan w:val="4"/>
            <w:shd w:val="clear" w:color="auto" w:fill="auto"/>
            <w:tcMar>
              <w:top w:w="0" w:type="dxa"/>
              <w:left w:w="108" w:type="dxa"/>
              <w:bottom w:w="0" w:type="dxa"/>
              <w:right w:w="108" w:type="dxa"/>
            </w:tcMar>
            <w:vAlign w:val="center"/>
          </w:tcPr>
          <w:p w14:paraId="34CB8F0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小计</w:t>
            </w:r>
          </w:p>
        </w:tc>
        <w:tc>
          <w:tcPr>
            <w:tcW w:w="731" w:type="pct"/>
            <w:shd w:val="clear" w:color="auto" w:fill="auto"/>
            <w:tcMar>
              <w:top w:w="0" w:type="dxa"/>
              <w:left w:w="108" w:type="dxa"/>
              <w:bottom w:w="0" w:type="dxa"/>
              <w:right w:w="108" w:type="dxa"/>
            </w:tcMar>
            <w:vAlign w:val="center"/>
          </w:tcPr>
          <w:p w14:paraId="003A36F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281.33</w:t>
            </w:r>
          </w:p>
        </w:tc>
        <w:tc>
          <w:tcPr>
            <w:tcW w:w="527" w:type="pct"/>
            <w:shd w:val="clear" w:color="auto" w:fill="auto"/>
            <w:tcMar>
              <w:top w:w="0" w:type="dxa"/>
              <w:left w:w="108" w:type="dxa"/>
              <w:bottom w:w="0" w:type="dxa"/>
              <w:right w:w="108" w:type="dxa"/>
            </w:tcMar>
            <w:vAlign w:val="center"/>
          </w:tcPr>
          <w:p w14:paraId="545A6EA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2.20%</w:t>
            </w:r>
          </w:p>
        </w:tc>
        <w:tc>
          <w:tcPr>
            <w:tcW w:w="443" w:type="pct"/>
            <w:shd w:val="clear" w:color="auto" w:fill="auto"/>
            <w:tcMar>
              <w:top w:w="0" w:type="dxa"/>
              <w:left w:w="108" w:type="dxa"/>
              <w:bottom w:w="0" w:type="dxa"/>
              <w:right w:w="108" w:type="dxa"/>
            </w:tcMar>
            <w:vAlign w:val="center"/>
          </w:tcPr>
          <w:p w14:paraId="2C53D1DD"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6416B0" w:rsidRPr="00B4515A" w14:paraId="020F1EB0" w14:textId="77777777" w:rsidTr="00BA4E33">
        <w:trPr>
          <w:trHeight w:val="340"/>
          <w:jc w:val="center"/>
        </w:trPr>
        <w:tc>
          <w:tcPr>
            <w:tcW w:w="3299" w:type="pct"/>
            <w:gridSpan w:val="5"/>
            <w:shd w:val="clear" w:color="auto" w:fill="auto"/>
            <w:tcMar>
              <w:top w:w="0" w:type="dxa"/>
              <w:left w:w="108" w:type="dxa"/>
              <w:bottom w:w="0" w:type="dxa"/>
              <w:right w:w="108" w:type="dxa"/>
            </w:tcMar>
            <w:vAlign w:val="center"/>
          </w:tcPr>
          <w:p w14:paraId="6B1E34E4"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合计</w:t>
            </w:r>
          </w:p>
        </w:tc>
        <w:tc>
          <w:tcPr>
            <w:tcW w:w="731" w:type="pct"/>
            <w:shd w:val="clear" w:color="auto" w:fill="auto"/>
            <w:tcMar>
              <w:top w:w="0" w:type="dxa"/>
              <w:left w:w="108" w:type="dxa"/>
              <w:bottom w:w="0" w:type="dxa"/>
              <w:right w:w="108" w:type="dxa"/>
            </w:tcMar>
            <w:vAlign w:val="center"/>
          </w:tcPr>
          <w:p w14:paraId="00DFFA94"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12,170.55</w:t>
            </w:r>
          </w:p>
        </w:tc>
        <w:tc>
          <w:tcPr>
            <w:tcW w:w="527" w:type="pct"/>
            <w:shd w:val="clear" w:color="auto" w:fill="auto"/>
            <w:tcMar>
              <w:top w:w="0" w:type="dxa"/>
              <w:left w:w="108" w:type="dxa"/>
              <w:bottom w:w="0" w:type="dxa"/>
              <w:right w:w="108" w:type="dxa"/>
            </w:tcMar>
            <w:vAlign w:val="center"/>
          </w:tcPr>
          <w:p w14:paraId="2B9CBB09"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b/>
                <w:color w:val="000000"/>
                <w:sz w:val="21"/>
                <w:szCs w:val="21"/>
              </w:rPr>
              <w:t>95.39%</w:t>
            </w:r>
          </w:p>
        </w:tc>
        <w:tc>
          <w:tcPr>
            <w:tcW w:w="443" w:type="pct"/>
            <w:shd w:val="clear" w:color="auto" w:fill="auto"/>
            <w:tcMar>
              <w:top w:w="0" w:type="dxa"/>
              <w:left w:w="108" w:type="dxa"/>
              <w:bottom w:w="0" w:type="dxa"/>
              <w:right w:w="108" w:type="dxa"/>
            </w:tcMar>
            <w:vAlign w:val="center"/>
          </w:tcPr>
          <w:p w14:paraId="36C015BF" w14:textId="77777777" w:rsidR="006416B0" w:rsidRPr="00B4515A" w:rsidRDefault="006416B0" w:rsidP="005860B4">
            <w:pPr>
              <w:adjustRightInd w:val="0"/>
              <w:snapToGrid w:val="0"/>
              <w:jc w:val="center"/>
              <w:rPr>
                <w:rFonts w:ascii="Times New Roman" w:eastAsiaTheme="minorEastAsia" w:hAnsi="Times New Roman" w:cs="Times New Roman"/>
                <w:b/>
                <w:color w:val="000000"/>
                <w:sz w:val="21"/>
                <w:szCs w:val="21"/>
              </w:rPr>
            </w:pPr>
          </w:p>
        </w:tc>
      </w:tr>
    </w:tbl>
    <w:p w14:paraId="1918FD16" w14:textId="7969CC07" w:rsidR="006416B0" w:rsidRPr="00B4515A" w:rsidRDefault="005E58C1" w:rsidP="003319C0">
      <w:pPr>
        <w:pStyle w:val="006"/>
        <w:ind w:firstLine="360"/>
        <w:rPr>
          <w:sz w:val="18"/>
          <w:szCs w:val="18"/>
        </w:rPr>
      </w:pPr>
      <w:r w:rsidRPr="00B4515A">
        <w:rPr>
          <w:rFonts w:hint="eastAsia"/>
          <w:sz w:val="18"/>
          <w:szCs w:val="18"/>
        </w:rPr>
        <w:t>注：（</w:t>
      </w:r>
      <w:r w:rsidRPr="00B4515A">
        <w:rPr>
          <w:sz w:val="18"/>
          <w:szCs w:val="18"/>
        </w:rPr>
        <w:t>1</w:t>
      </w:r>
      <w:r w:rsidRPr="00B4515A">
        <w:rPr>
          <w:rFonts w:hint="eastAsia"/>
          <w:sz w:val="18"/>
          <w:szCs w:val="18"/>
        </w:rPr>
        <w:t>）</w:t>
      </w:r>
      <w:r w:rsidR="008447AE" w:rsidRPr="00B4515A">
        <w:rPr>
          <w:rFonts w:eastAsiaTheme="minorEastAsia" w:cs="Times New Roman" w:hint="eastAsia"/>
          <w:color w:val="000000"/>
          <w:sz w:val="18"/>
          <w:szCs w:val="18"/>
        </w:rPr>
        <w:t>某电子科技集团下属企业</w:t>
      </w:r>
      <w:r w:rsidR="001659BB" w:rsidRPr="00B4515A">
        <w:rPr>
          <w:rFonts w:hint="eastAsia"/>
          <w:sz w:val="18"/>
          <w:szCs w:val="18"/>
        </w:rPr>
        <w:t>、</w:t>
      </w:r>
      <w:r w:rsidR="008447AE" w:rsidRPr="00B4515A">
        <w:rPr>
          <w:rFonts w:eastAsiaTheme="minorEastAsia" w:cs="Times New Roman" w:hint="eastAsia"/>
          <w:color w:val="000000"/>
          <w:sz w:val="18"/>
          <w:szCs w:val="18"/>
        </w:rPr>
        <w:t>中国某工业集团下属企业</w:t>
      </w:r>
      <w:r w:rsidR="001659BB" w:rsidRPr="00B4515A">
        <w:rPr>
          <w:rFonts w:hint="eastAsia"/>
          <w:sz w:val="18"/>
          <w:szCs w:val="18"/>
        </w:rPr>
        <w:t>、客户</w:t>
      </w:r>
      <w:r w:rsidR="001659BB" w:rsidRPr="00B4515A">
        <w:rPr>
          <w:sz w:val="18"/>
          <w:szCs w:val="18"/>
        </w:rPr>
        <w:t>C</w:t>
      </w:r>
      <w:r w:rsidR="001659BB" w:rsidRPr="00B4515A">
        <w:rPr>
          <w:rFonts w:hint="eastAsia"/>
          <w:sz w:val="18"/>
          <w:szCs w:val="18"/>
        </w:rPr>
        <w:t>、客户</w:t>
      </w:r>
      <w:r w:rsidR="001659BB" w:rsidRPr="00B4515A">
        <w:rPr>
          <w:sz w:val="18"/>
          <w:szCs w:val="18"/>
        </w:rPr>
        <w:t>Z</w:t>
      </w:r>
      <w:r w:rsidR="001659BB" w:rsidRPr="00B4515A">
        <w:rPr>
          <w:rFonts w:hint="eastAsia"/>
          <w:sz w:val="18"/>
          <w:szCs w:val="18"/>
        </w:rPr>
        <w:t>、</w:t>
      </w:r>
      <w:r w:rsidR="008447AE" w:rsidRPr="00B4515A">
        <w:rPr>
          <w:rFonts w:eastAsiaTheme="minorEastAsia" w:cs="Times New Roman" w:hint="eastAsia"/>
          <w:color w:val="000000"/>
          <w:sz w:val="18"/>
          <w:szCs w:val="18"/>
        </w:rPr>
        <w:t>中国信科集团及下属企业</w:t>
      </w:r>
      <w:r w:rsidRPr="00B4515A">
        <w:rPr>
          <w:rFonts w:hint="eastAsia"/>
          <w:sz w:val="18"/>
          <w:szCs w:val="18"/>
        </w:rPr>
        <w:t>分别为</w:t>
      </w:r>
      <w:r w:rsidR="001659BB" w:rsidRPr="00B4515A">
        <w:rPr>
          <w:rFonts w:hint="eastAsia"/>
          <w:sz w:val="18"/>
          <w:szCs w:val="18"/>
        </w:rPr>
        <w:t>同一控制下企业</w:t>
      </w:r>
      <w:r w:rsidR="001659BB" w:rsidRPr="00B4515A">
        <w:rPr>
          <w:sz w:val="18"/>
          <w:szCs w:val="18"/>
        </w:rPr>
        <w:t>/</w:t>
      </w:r>
      <w:r w:rsidR="001659BB" w:rsidRPr="00B4515A">
        <w:rPr>
          <w:rFonts w:hint="eastAsia"/>
          <w:sz w:val="18"/>
          <w:szCs w:val="18"/>
        </w:rPr>
        <w:t>单位合并数据</w:t>
      </w:r>
      <w:r w:rsidRPr="00B4515A">
        <w:rPr>
          <w:rFonts w:hint="eastAsia"/>
          <w:sz w:val="18"/>
          <w:szCs w:val="18"/>
        </w:rPr>
        <w:t>。（</w:t>
      </w:r>
      <w:r w:rsidRPr="00B4515A">
        <w:rPr>
          <w:sz w:val="18"/>
          <w:szCs w:val="18"/>
        </w:rPr>
        <w:t>2</w:t>
      </w:r>
      <w:r w:rsidRPr="00B4515A">
        <w:rPr>
          <w:rFonts w:hint="eastAsia"/>
          <w:sz w:val="18"/>
          <w:szCs w:val="18"/>
        </w:rPr>
        <w:t>）根据相关规定，公司申请豁免披露相关客户信息。</w:t>
      </w:r>
    </w:p>
    <w:p w14:paraId="6EB202D8" w14:textId="77777777" w:rsidR="006416B0" w:rsidRPr="00B4515A" w:rsidRDefault="005E58C1" w:rsidP="003357B7">
      <w:pPr>
        <w:pStyle w:val="005"/>
        <w:spacing w:before="120" w:after="120"/>
        <w:ind w:firstLine="480"/>
      </w:pPr>
      <w:r w:rsidRPr="00B4515A">
        <w:rPr>
          <w:rFonts w:hint="eastAsia"/>
        </w:rPr>
        <w:t>报告期内，虽然标的公司前五大客户</w:t>
      </w:r>
      <w:r w:rsidRPr="00B4515A">
        <w:rPr>
          <w:rFonts w:asciiTheme="minorEastAsia" w:eastAsiaTheme="minorEastAsia" w:hAnsiTheme="minorEastAsia" w:hint="eastAsia"/>
        </w:rPr>
        <w:t>收入</w:t>
      </w:r>
      <w:r w:rsidRPr="00B4515A">
        <w:rPr>
          <w:rFonts w:hint="eastAsia"/>
        </w:rPr>
        <w:t>合计占比超过</w:t>
      </w:r>
      <w:r w:rsidRPr="00B4515A">
        <w:t>60%</w:t>
      </w:r>
      <w:r w:rsidRPr="00B4515A">
        <w:rPr>
          <w:rFonts w:hint="eastAsia"/>
        </w:rPr>
        <w:t>，但是</w:t>
      </w:r>
      <w:r w:rsidRPr="00B4515A">
        <w:t>2019</w:t>
      </w:r>
      <w:r w:rsidRPr="00B4515A">
        <w:rPr>
          <w:rFonts w:hint="eastAsia"/>
        </w:rPr>
        <w:t>年、</w:t>
      </w:r>
      <w:r w:rsidRPr="00B4515A">
        <w:t>2020</w:t>
      </w:r>
      <w:r w:rsidRPr="00B4515A">
        <w:rPr>
          <w:rFonts w:hint="eastAsia"/>
        </w:rPr>
        <w:t>年度来源于单一客户的收入占比不超过</w:t>
      </w:r>
      <w:r w:rsidRPr="00B4515A">
        <w:t>20%</w:t>
      </w:r>
      <w:r w:rsidRPr="00B4515A">
        <w:rPr>
          <w:rFonts w:hint="eastAsia"/>
        </w:rPr>
        <w:t>，</w:t>
      </w:r>
      <w:r w:rsidRPr="00B4515A">
        <w:t>2021</w:t>
      </w:r>
      <w:r w:rsidRPr="00B4515A">
        <w:rPr>
          <w:rFonts w:hint="eastAsia"/>
        </w:rPr>
        <w:t>年</w:t>
      </w:r>
      <w:r w:rsidRPr="00B4515A">
        <w:t>1-4</w:t>
      </w:r>
      <w:r w:rsidRPr="00B4515A">
        <w:rPr>
          <w:rFonts w:hint="eastAsia"/>
        </w:rPr>
        <w:t>月份来源于单一客户的收入占比不超过</w:t>
      </w:r>
      <w:r w:rsidRPr="00B4515A">
        <w:t>30%</w:t>
      </w:r>
      <w:r w:rsidRPr="00B4515A">
        <w:rPr>
          <w:rFonts w:hint="eastAsia"/>
        </w:rPr>
        <w:t>。标的公司客户集中度较高，主要系行业的特殊性，合格供应商准入资质及名录范围所致。</w:t>
      </w:r>
    </w:p>
    <w:p w14:paraId="3E23FEBF" w14:textId="77777777" w:rsidR="006416B0" w:rsidRPr="00B4515A" w:rsidRDefault="005E58C1" w:rsidP="003357B7">
      <w:pPr>
        <w:pStyle w:val="004"/>
        <w:spacing w:before="120" w:after="120"/>
        <w:ind w:firstLine="482"/>
      </w:pPr>
      <w:r w:rsidRPr="00B4515A">
        <w:rPr>
          <w:rFonts w:hint="eastAsia"/>
        </w:rPr>
        <w:t>2</w:t>
      </w:r>
      <w:r w:rsidRPr="00B4515A">
        <w:rPr>
          <w:rFonts w:hint="eastAsia"/>
        </w:rPr>
        <w:t>、营业成本分析</w:t>
      </w:r>
    </w:p>
    <w:p w14:paraId="05F0BCFB" w14:textId="77777777" w:rsidR="006416B0" w:rsidRPr="00B4515A" w:rsidRDefault="005E58C1" w:rsidP="003357B7">
      <w:pPr>
        <w:pStyle w:val="005"/>
        <w:spacing w:before="120" w:after="120"/>
        <w:ind w:firstLine="480"/>
      </w:pPr>
      <w:r w:rsidRPr="00B4515A">
        <w:rPr>
          <w:rFonts w:hint="eastAsia"/>
        </w:rPr>
        <w:t>（</w:t>
      </w:r>
      <w:r w:rsidRPr="00B4515A">
        <w:rPr>
          <w:rFonts w:hint="eastAsia"/>
        </w:rPr>
        <w:t>1</w:t>
      </w:r>
      <w:r w:rsidRPr="00B4515A">
        <w:rPr>
          <w:rFonts w:hint="eastAsia"/>
        </w:rPr>
        <w:t>）营业成本</w:t>
      </w:r>
      <w:r w:rsidRPr="00B4515A">
        <w:rPr>
          <w:rFonts w:asciiTheme="minorEastAsia" w:eastAsiaTheme="minorEastAsia" w:hAnsiTheme="minorEastAsia" w:hint="eastAsia"/>
        </w:rPr>
        <w:t>总体情况</w:t>
      </w:r>
    </w:p>
    <w:p w14:paraId="7F8EA99E"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87"/>
        <w:gridCol w:w="1208"/>
        <w:gridCol w:w="1107"/>
        <w:gridCol w:w="1208"/>
        <w:gridCol w:w="1208"/>
        <w:gridCol w:w="1208"/>
        <w:gridCol w:w="1202"/>
      </w:tblGrid>
      <w:tr w:rsidR="006416B0" w:rsidRPr="00B4515A" w14:paraId="03BA6039" w14:textId="77777777" w:rsidTr="00031627">
        <w:trPr>
          <w:trHeight w:val="340"/>
          <w:jc w:val="center"/>
        </w:trPr>
        <w:tc>
          <w:tcPr>
            <w:tcW w:w="814" w:type="pct"/>
            <w:vMerge w:val="restart"/>
            <w:shd w:val="clear" w:color="auto" w:fill="auto"/>
            <w:tcMar>
              <w:top w:w="0" w:type="dxa"/>
              <w:left w:w="108" w:type="dxa"/>
              <w:bottom w:w="0" w:type="dxa"/>
              <w:right w:w="108" w:type="dxa"/>
            </w:tcMar>
            <w:vAlign w:val="center"/>
          </w:tcPr>
          <w:p w14:paraId="1F0E1AB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1356" w:type="pct"/>
            <w:gridSpan w:val="2"/>
            <w:shd w:val="clear" w:color="auto" w:fill="auto"/>
            <w:tcMar>
              <w:top w:w="0" w:type="dxa"/>
              <w:left w:w="108" w:type="dxa"/>
              <w:bottom w:w="0" w:type="dxa"/>
              <w:right w:w="108" w:type="dxa"/>
            </w:tcMar>
            <w:vAlign w:val="center"/>
          </w:tcPr>
          <w:p w14:paraId="7B22E1B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b/>
                <w:bCs/>
                <w:color w:val="000000"/>
                <w:sz w:val="21"/>
                <w:szCs w:val="21"/>
              </w:rPr>
              <w:t>月</w:t>
            </w:r>
          </w:p>
        </w:tc>
        <w:tc>
          <w:tcPr>
            <w:tcW w:w="1415" w:type="pct"/>
            <w:gridSpan w:val="2"/>
            <w:shd w:val="clear" w:color="auto" w:fill="auto"/>
            <w:tcMar>
              <w:top w:w="0" w:type="dxa"/>
              <w:left w:w="108" w:type="dxa"/>
              <w:bottom w:w="0" w:type="dxa"/>
              <w:right w:w="108" w:type="dxa"/>
            </w:tcMar>
            <w:vAlign w:val="center"/>
          </w:tcPr>
          <w:p w14:paraId="043A65D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年度</w:t>
            </w:r>
          </w:p>
        </w:tc>
        <w:tc>
          <w:tcPr>
            <w:tcW w:w="1415" w:type="pct"/>
            <w:gridSpan w:val="2"/>
            <w:shd w:val="clear" w:color="auto" w:fill="auto"/>
            <w:tcMar>
              <w:top w:w="0" w:type="dxa"/>
              <w:left w:w="108" w:type="dxa"/>
              <w:bottom w:w="0" w:type="dxa"/>
              <w:right w:w="108" w:type="dxa"/>
            </w:tcMar>
            <w:vAlign w:val="center"/>
          </w:tcPr>
          <w:p w14:paraId="4F62288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b/>
                <w:bCs/>
                <w:color w:val="000000"/>
                <w:sz w:val="21"/>
                <w:szCs w:val="21"/>
              </w:rPr>
              <w:t>年度</w:t>
            </w:r>
          </w:p>
        </w:tc>
      </w:tr>
      <w:tr w:rsidR="006416B0" w:rsidRPr="00B4515A" w14:paraId="64BF497F" w14:textId="77777777" w:rsidTr="00031627">
        <w:trPr>
          <w:trHeight w:val="340"/>
          <w:jc w:val="center"/>
        </w:trPr>
        <w:tc>
          <w:tcPr>
            <w:tcW w:w="814" w:type="pct"/>
            <w:vMerge/>
            <w:tcMar>
              <w:top w:w="0" w:type="dxa"/>
              <w:left w:w="108" w:type="dxa"/>
              <w:bottom w:w="0" w:type="dxa"/>
              <w:right w:w="108" w:type="dxa"/>
            </w:tcMar>
            <w:vAlign w:val="center"/>
          </w:tcPr>
          <w:p w14:paraId="200A2AA0"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708" w:type="pct"/>
            <w:shd w:val="clear" w:color="auto" w:fill="auto"/>
            <w:tcMar>
              <w:top w:w="0" w:type="dxa"/>
              <w:left w:w="108" w:type="dxa"/>
              <w:bottom w:w="0" w:type="dxa"/>
              <w:right w:w="108" w:type="dxa"/>
            </w:tcMar>
            <w:vAlign w:val="center"/>
          </w:tcPr>
          <w:p w14:paraId="4111ED4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成本</w:t>
            </w:r>
          </w:p>
        </w:tc>
        <w:tc>
          <w:tcPr>
            <w:tcW w:w="649" w:type="pct"/>
            <w:shd w:val="clear" w:color="auto" w:fill="auto"/>
            <w:tcMar>
              <w:top w:w="0" w:type="dxa"/>
              <w:left w:w="108" w:type="dxa"/>
              <w:bottom w:w="0" w:type="dxa"/>
              <w:right w:w="108" w:type="dxa"/>
            </w:tcMar>
            <w:vAlign w:val="center"/>
          </w:tcPr>
          <w:p w14:paraId="67C89CA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比例</w:t>
            </w:r>
          </w:p>
        </w:tc>
        <w:tc>
          <w:tcPr>
            <w:tcW w:w="708" w:type="pct"/>
            <w:shd w:val="clear" w:color="auto" w:fill="auto"/>
            <w:tcMar>
              <w:top w:w="0" w:type="dxa"/>
              <w:left w:w="108" w:type="dxa"/>
              <w:bottom w:w="0" w:type="dxa"/>
              <w:right w:w="108" w:type="dxa"/>
            </w:tcMar>
            <w:vAlign w:val="center"/>
          </w:tcPr>
          <w:p w14:paraId="162D8C2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成本</w:t>
            </w:r>
          </w:p>
        </w:tc>
        <w:tc>
          <w:tcPr>
            <w:tcW w:w="708" w:type="pct"/>
            <w:shd w:val="clear" w:color="auto" w:fill="auto"/>
            <w:tcMar>
              <w:top w:w="0" w:type="dxa"/>
              <w:left w:w="108" w:type="dxa"/>
              <w:bottom w:w="0" w:type="dxa"/>
              <w:right w:w="108" w:type="dxa"/>
            </w:tcMar>
            <w:vAlign w:val="center"/>
          </w:tcPr>
          <w:p w14:paraId="6C67835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比例</w:t>
            </w:r>
          </w:p>
        </w:tc>
        <w:tc>
          <w:tcPr>
            <w:tcW w:w="708" w:type="pct"/>
            <w:shd w:val="clear" w:color="auto" w:fill="auto"/>
            <w:tcMar>
              <w:top w:w="0" w:type="dxa"/>
              <w:left w:w="108" w:type="dxa"/>
              <w:bottom w:w="0" w:type="dxa"/>
              <w:right w:w="108" w:type="dxa"/>
            </w:tcMar>
            <w:vAlign w:val="center"/>
          </w:tcPr>
          <w:p w14:paraId="5A25CCF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成本</w:t>
            </w:r>
          </w:p>
        </w:tc>
        <w:tc>
          <w:tcPr>
            <w:tcW w:w="708" w:type="pct"/>
            <w:shd w:val="clear" w:color="auto" w:fill="auto"/>
            <w:tcMar>
              <w:top w:w="0" w:type="dxa"/>
              <w:left w:w="108" w:type="dxa"/>
              <w:bottom w:w="0" w:type="dxa"/>
              <w:right w:w="108" w:type="dxa"/>
            </w:tcMar>
            <w:vAlign w:val="center"/>
          </w:tcPr>
          <w:p w14:paraId="7735C47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比例</w:t>
            </w:r>
          </w:p>
        </w:tc>
      </w:tr>
      <w:tr w:rsidR="006416B0" w:rsidRPr="00B4515A" w14:paraId="3B3CD0DB" w14:textId="77777777" w:rsidTr="00031627">
        <w:trPr>
          <w:trHeight w:val="340"/>
          <w:jc w:val="center"/>
        </w:trPr>
        <w:tc>
          <w:tcPr>
            <w:tcW w:w="814" w:type="pct"/>
            <w:shd w:val="clear" w:color="auto" w:fill="auto"/>
            <w:tcMar>
              <w:top w:w="0" w:type="dxa"/>
              <w:left w:w="108" w:type="dxa"/>
              <w:bottom w:w="0" w:type="dxa"/>
              <w:right w:w="108" w:type="dxa"/>
            </w:tcMar>
            <w:vAlign w:val="center"/>
          </w:tcPr>
          <w:p w14:paraId="19736A9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主营业务</w:t>
            </w:r>
          </w:p>
        </w:tc>
        <w:tc>
          <w:tcPr>
            <w:tcW w:w="708" w:type="pct"/>
            <w:shd w:val="clear" w:color="auto" w:fill="auto"/>
            <w:tcMar>
              <w:top w:w="0" w:type="dxa"/>
              <w:left w:w="108" w:type="dxa"/>
              <w:bottom w:w="0" w:type="dxa"/>
              <w:right w:w="108" w:type="dxa"/>
            </w:tcMar>
            <w:vAlign w:val="center"/>
          </w:tcPr>
          <w:p w14:paraId="7BCC504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5,027.65</w:t>
            </w:r>
          </w:p>
        </w:tc>
        <w:tc>
          <w:tcPr>
            <w:tcW w:w="649" w:type="pct"/>
            <w:shd w:val="clear" w:color="auto" w:fill="auto"/>
            <w:tcMar>
              <w:top w:w="0" w:type="dxa"/>
              <w:left w:w="108" w:type="dxa"/>
              <w:bottom w:w="0" w:type="dxa"/>
              <w:right w:w="108" w:type="dxa"/>
            </w:tcMar>
            <w:vAlign w:val="center"/>
          </w:tcPr>
          <w:p w14:paraId="6830D3E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c>
          <w:tcPr>
            <w:tcW w:w="708" w:type="pct"/>
            <w:shd w:val="clear" w:color="auto" w:fill="auto"/>
            <w:tcMar>
              <w:top w:w="0" w:type="dxa"/>
              <w:left w:w="108" w:type="dxa"/>
              <w:bottom w:w="0" w:type="dxa"/>
              <w:right w:w="108" w:type="dxa"/>
            </w:tcMar>
            <w:vAlign w:val="center"/>
          </w:tcPr>
          <w:p w14:paraId="343E984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28,032.35</w:t>
            </w:r>
          </w:p>
        </w:tc>
        <w:tc>
          <w:tcPr>
            <w:tcW w:w="708" w:type="pct"/>
            <w:shd w:val="clear" w:color="auto" w:fill="auto"/>
            <w:tcMar>
              <w:top w:w="0" w:type="dxa"/>
              <w:left w:w="108" w:type="dxa"/>
              <w:bottom w:w="0" w:type="dxa"/>
              <w:right w:w="108" w:type="dxa"/>
            </w:tcMar>
            <w:vAlign w:val="center"/>
          </w:tcPr>
          <w:p w14:paraId="6065386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99.81%</w:t>
            </w:r>
          </w:p>
        </w:tc>
        <w:tc>
          <w:tcPr>
            <w:tcW w:w="708" w:type="pct"/>
            <w:shd w:val="clear" w:color="auto" w:fill="auto"/>
            <w:tcMar>
              <w:top w:w="0" w:type="dxa"/>
              <w:left w:w="108" w:type="dxa"/>
              <w:bottom w:w="0" w:type="dxa"/>
              <w:right w:w="108" w:type="dxa"/>
            </w:tcMar>
            <w:vAlign w:val="center"/>
          </w:tcPr>
          <w:p w14:paraId="3AD58E47" w14:textId="08895410" w:rsidR="006416B0" w:rsidRPr="00B4515A" w:rsidRDefault="005E58C1" w:rsidP="003357B7">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17,226.00</w:t>
            </w:r>
          </w:p>
        </w:tc>
        <w:tc>
          <w:tcPr>
            <w:tcW w:w="708" w:type="pct"/>
            <w:shd w:val="clear" w:color="auto" w:fill="auto"/>
            <w:tcMar>
              <w:top w:w="0" w:type="dxa"/>
              <w:left w:w="108" w:type="dxa"/>
              <w:bottom w:w="0" w:type="dxa"/>
              <w:right w:w="108" w:type="dxa"/>
            </w:tcMar>
            <w:vAlign w:val="center"/>
          </w:tcPr>
          <w:p w14:paraId="2DC0099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r>
      <w:tr w:rsidR="006416B0" w:rsidRPr="00B4515A" w14:paraId="6EF91312" w14:textId="77777777" w:rsidTr="00031627">
        <w:trPr>
          <w:trHeight w:val="340"/>
          <w:jc w:val="center"/>
        </w:trPr>
        <w:tc>
          <w:tcPr>
            <w:tcW w:w="814" w:type="pct"/>
            <w:shd w:val="clear" w:color="auto" w:fill="auto"/>
            <w:tcMar>
              <w:top w:w="0" w:type="dxa"/>
              <w:left w:w="108" w:type="dxa"/>
              <w:bottom w:w="0" w:type="dxa"/>
              <w:right w:w="108" w:type="dxa"/>
            </w:tcMar>
            <w:vAlign w:val="center"/>
          </w:tcPr>
          <w:p w14:paraId="272523B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其他业务</w:t>
            </w:r>
          </w:p>
        </w:tc>
        <w:tc>
          <w:tcPr>
            <w:tcW w:w="708" w:type="pct"/>
            <w:shd w:val="clear" w:color="auto" w:fill="auto"/>
            <w:tcMar>
              <w:top w:w="0" w:type="dxa"/>
              <w:left w:w="108" w:type="dxa"/>
              <w:bottom w:w="0" w:type="dxa"/>
              <w:right w:w="108" w:type="dxa"/>
            </w:tcMar>
            <w:vAlign w:val="center"/>
          </w:tcPr>
          <w:p w14:paraId="56D8329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649" w:type="pct"/>
            <w:shd w:val="clear" w:color="auto" w:fill="auto"/>
            <w:tcMar>
              <w:top w:w="0" w:type="dxa"/>
              <w:left w:w="108" w:type="dxa"/>
              <w:bottom w:w="0" w:type="dxa"/>
              <w:right w:w="108" w:type="dxa"/>
            </w:tcMar>
            <w:vAlign w:val="center"/>
          </w:tcPr>
          <w:p w14:paraId="3F19C88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708" w:type="pct"/>
            <w:shd w:val="clear" w:color="auto" w:fill="auto"/>
            <w:tcMar>
              <w:top w:w="0" w:type="dxa"/>
              <w:left w:w="108" w:type="dxa"/>
              <w:bottom w:w="0" w:type="dxa"/>
              <w:right w:w="108" w:type="dxa"/>
            </w:tcMar>
            <w:vAlign w:val="center"/>
          </w:tcPr>
          <w:p w14:paraId="5B2E148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53.63</w:t>
            </w:r>
          </w:p>
        </w:tc>
        <w:tc>
          <w:tcPr>
            <w:tcW w:w="708" w:type="pct"/>
            <w:shd w:val="clear" w:color="auto" w:fill="auto"/>
            <w:tcMar>
              <w:top w:w="0" w:type="dxa"/>
              <w:left w:w="108" w:type="dxa"/>
              <w:bottom w:w="0" w:type="dxa"/>
              <w:right w:w="108" w:type="dxa"/>
            </w:tcMar>
            <w:vAlign w:val="center"/>
          </w:tcPr>
          <w:p w14:paraId="11D5FE5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0.19%</w:t>
            </w:r>
          </w:p>
        </w:tc>
        <w:tc>
          <w:tcPr>
            <w:tcW w:w="708" w:type="pct"/>
            <w:shd w:val="clear" w:color="auto" w:fill="auto"/>
            <w:tcMar>
              <w:top w:w="0" w:type="dxa"/>
              <w:left w:w="108" w:type="dxa"/>
              <w:bottom w:w="0" w:type="dxa"/>
              <w:right w:w="108" w:type="dxa"/>
            </w:tcMar>
            <w:vAlign w:val="center"/>
          </w:tcPr>
          <w:p w14:paraId="598C43F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708" w:type="pct"/>
            <w:shd w:val="clear" w:color="auto" w:fill="auto"/>
            <w:tcMar>
              <w:top w:w="0" w:type="dxa"/>
              <w:left w:w="108" w:type="dxa"/>
              <w:bottom w:w="0" w:type="dxa"/>
              <w:right w:w="108" w:type="dxa"/>
            </w:tcMar>
            <w:vAlign w:val="center"/>
          </w:tcPr>
          <w:p w14:paraId="7519846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r>
      <w:tr w:rsidR="006416B0" w:rsidRPr="00B4515A" w14:paraId="1EFFF0FC" w14:textId="77777777" w:rsidTr="00031627">
        <w:trPr>
          <w:trHeight w:val="340"/>
          <w:jc w:val="center"/>
        </w:trPr>
        <w:tc>
          <w:tcPr>
            <w:tcW w:w="814" w:type="pct"/>
            <w:shd w:val="clear" w:color="auto" w:fill="auto"/>
            <w:tcMar>
              <w:top w:w="0" w:type="dxa"/>
              <w:left w:w="108" w:type="dxa"/>
              <w:bottom w:w="0" w:type="dxa"/>
              <w:right w:w="108" w:type="dxa"/>
            </w:tcMar>
            <w:vAlign w:val="center"/>
          </w:tcPr>
          <w:p w14:paraId="645D877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合计</w:t>
            </w:r>
          </w:p>
        </w:tc>
        <w:tc>
          <w:tcPr>
            <w:tcW w:w="708" w:type="pct"/>
            <w:shd w:val="clear" w:color="auto" w:fill="auto"/>
            <w:tcMar>
              <w:top w:w="0" w:type="dxa"/>
              <w:left w:w="108" w:type="dxa"/>
              <w:bottom w:w="0" w:type="dxa"/>
              <w:right w:w="108" w:type="dxa"/>
            </w:tcMar>
            <w:vAlign w:val="center"/>
          </w:tcPr>
          <w:p w14:paraId="73227F53"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5,027.65</w:t>
            </w:r>
          </w:p>
        </w:tc>
        <w:tc>
          <w:tcPr>
            <w:tcW w:w="649" w:type="pct"/>
            <w:shd w:val="clear" w:color="auto" w:fill="auto"/>
            <w:tcMar>
              <w:top w:w="0" w:type="dxa"/>
              <w:left w:w="108" w:type="dxa"/>
              <w:bottom w:w="0" w:type="dxa"/>
              <w:right w:w="108" w:type="dxa"/>
            </w:tcMar>
            <w:vAlign w:val="center"/>
          </w:tcPr>
          <w:p w14:paraId="0D7B7B9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708" w:type="pct"/>
            <w:shd w:val="clear" w:color="auto" w:fill="auto"/>
            <w:tcMar>
              <w:top w:w="0" w:type="dxa"/>
              <w:left w:w="108" w:type="dxa"/>
              <w:bottom w:w="0" w:type="dxa"/>
              <w:right w:w="108" w:type="dxa"/>
            </w:tcMar>
            <w:vAlign w:val="center"/>
          </w:tcPr>
          <w:p w14:paraId="5541A4E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28,085.97</w:t>
            </w:r>
          </w:p>
        </w:tc>
        <w:tc>
          <w:tcPr>
            <w:tcW w:w="708" w:type="pct"/>
            <w:shd w:val="clear" w:color="auto" w:fill="auto"/>
            <w:tcMar>
              <w:top w:w="0" w:type="dxa"/>
              <w:left w:w="108" w:type="dxa"/>
              <w:bottom w:w="0" w:type="dxa"/>
              <w:right w:w="108" w:type="dxa"/>
            </w:tcMar>
            <w:vAlign w:val="center"/>
          </w:tcPr>
          <w:p w14:paraId="525F0EB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708" w:type="pct"/>
            <w:shd w:val="clear" w:color="auto" w:fill="auto"/>
            <w:tcMar>
              <w:top w:w="0" w:type="dxa"/>
              <w:left w:w="108" w:type="dxa"/>
              <w:bottom w:w="0" w:type="dxa"/>
              <w:right w:w="108" w:type="dxa"/>
            </w:tcMar>
            <w:vAlign w:val="center"/>
          </w:tcPr>
          <w:p w14:paraId="4CCF296D" w14:textId="2646E343" w:rsidR="006416B0" w:rsidRPr="00B4515A" w:rsidRDefault="005E58C1" w:rsidP="003357B7">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17,226.00</w:t>
            </w:r>
          </w:p>
        </w:tc>
        <w:tc>
          <w:tcPr>
            <w:tcW w:w="708" w:type="pct"/>
            <w:shd w:val="clear" w:color="auto" w:fill="auto"/>
            <w:tcMar>
              <w:top w:w="0" w:type="dxa"/>
              <w:left w:w="108" w:type="dxa"/>
              <w:bottom w:w="0" w:type="dxa"/>
              <w:right w:w="108" w:type="dxa"/>
            </w:tcMar>
            <w:vAlign w:val="center"/>
          </w:tcPr>
          <w:p w14:paraId="427509A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r>
    </w:tbl>
    <w:p w14:paraId="5BCCB88E" w14:textId="77777777" w:rsidR="006416B0" w:rsidRPr="00B4515A" w:rsidRDefault="005E58C1" w:rsidP="003357B7">
      <w:pPr>
        <w:pStyle w:val="005"/>
        <w:spacing w:before="120" w:after="120"/>
        <w:ind w:firstLine="480"/>
      </w:pPr>
      <w:r w:rsidRPr="00B4515A">
        <w:rPr>
          <w:rFonts w:hint="eastAsia"/>
        </w:rPr>
        <w:t>报告期各期，大唐联诚主营业务成本占营业成本的比例均在</w:t>
      </w:r>
      <w:r w:rsidRPr="00B4515A">
        <w:t>99%</w:t>
      </w:r>
      <w:r w:rsidRPr="00B4515A">
        <w:rPr>
          <w:rFonts w:hint="eastAsia"/>
        </w:rPr>
        <w:t>以上，与营业收入结构相匹配。</w:t>
      </w:r>
    </w:p>
    <w:p w14:paraId="57D10497" w14:textId="6AC52A2B" w:rsidR="006416B0" w:rsidRPr="00B4515A" w:rsidRDefault="005E58C1" w:rsidP="003357B7">
      <w:pPr>
        <w:pStyle w:val="005"/>
        <w:spacing w:before="120" w:after="120"/>
        <w:ind w:firstLine="480"/>
      </w:pPr>
      <w:r w:rsidRPr="00B4515A">
        <w:rPr>
          <w:rFonts w:hint="eastAsia"/>
        </w:rPr>
        <w:t>（</w:t>
      </w:r>
      <w:r w:rsidRPr="00B4515A">
        <w:rPr>
          <w:rFonts w:hint="eastAsia"/>
        </w:rPr>
        <w:t>2</w:t>
      </w:r>
      <w:r w:rsidRPr="00B4515A">
        <w:rPr>
          <w:rFonts w:hint="eastAsia"/>
        </w:rPr>
        <w:t>）营业成本构成分析</w:t>
      </w:r>
    </w:p>
    <w:p w14:paraId="08A9E901"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75"/>
        <w:gridCol w:w="1037"/>
        <w:gridCol w:w="1126"/>
        <w:gridCol w:w="1176"/>
        <w:gridCol w:w="1081"/>
        <w:gridCol w:w="1554"/>
        <w:gridCol w:w="1479"/>
      </w:tblGrid>
      <w:tr w:rsidR="00EA1F53" w:rsidRPr="00B4515A" w14:paraId="0CE214AB" w14:textId="77777777" w:rsidTr="00EE238F">
        <w:trPr>
          <w:trHeight w:val="340"/>
          <w:jc w:val="center"/>
        </w:trPr>
        <w:tc>
          <w:tcPr>
            <w:tcW w:w="1075" w:type="dxa"/>
            <w:vMerge w:val="restart"/>
            <w:shd w:val="clear" w:color="auto" w:fill="auto"/>
            <w:tcMar>
              <w:top w:w="0" w:type="dxa"/>
              <w:left w:w="108" w:type="dxa"/>
              <w:bottom w:w="0" w:type="dxa"/>
              <w:right w:w="108" w:type="dxa"/>
            </w:tcMar>
            <w:vAlign w:val="center"/>
          </w:tcPr>
          <w:p w14:paraId="795C7E2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业务板块</w:t>
            </w:r>
          </w:p>
        </w:tc>
        <w:tc>
          <w:tcPr>
            <w:tcW w:w="2163" w:type="dxa"/>
            <w:gridSpan w:val="2"/>
            <w:shd w:val="clear" w:color="auto" w:fill="auto"/>
            <w:tcMar>
              <w:top w:w="0" w:type="dxa"/>
              <w:left w:w="108" w:type="dxa"/>
              <w:bottom w:w="0" w:type="dxa"/>
              <w:right w:w="108" w:type="dxa"/>
            </w:tcMar>
            <w:vAlign w:val="center"/>
          </w:tcPr>
          <w:p w14:paraId="6C60F0F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2257" w:type="dxa"/>
            <w:gridSpan w:val="2"/>
            <w:shd w:val="clear" w:color="auto" w:fill="auto"/>
            <w:tcMar>
              <w:top w:w="0" w:type="dxa"/>
              <w:left w:w="108" w:type="dxa"/>
              <w:bottom w:w="0" w:type="dxa"/>
              <w:right w:w="108" w:type="dxa"/>
            </w:tcMar>
            <w:vAlign w:val="center"/>
          </w:tcPr>
          <w:p w14:paraId="5E0825B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2020 </w:t>
            </w:r>
            <w:r w:rsidRPr="00B4515A">
              <w:rPr>
                <w:rFonts w:ascii="Times New Roman" w:eastAsiaTheme="minorEastAsia" w:hAnsi="Times New Roman" w:cs="Times New Roman" w:hint="eastAsia"/>
                <w:b/>
                <w:bCs/>
                <w:color w:val="000000"/>
                <w:sz w:val="21"/>
                <w:szCs w:val="21"/>
              </w:rPr>
              <w:t>年度</w:t>
            </w:r>
          </w:p>
        </w:tc>
        <w:tc>
          <w:tcPr>
            <w:tcW w:w="3033" w:type="dxa"/>
            <w:gridSpan w:val="2"/>
            <w:shd w:val="clear" w:color="auto" w:fill="auto"/>
            <w:tcMar>
              <w:top w:w="0" w:type="dxa"/>
              <w:left w:w="108" w:type="dxa"/>
              <w:bottom w:w="0" w:type="dxa"/>
              <w:right w:w="108" w:type="dxa"/>
            </w:tcMar>
            <w:vAlign w:val="center"/>
          </w:tcPr>
          <w:p w14:paraId="799CBBE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2019 </w:t>
            </w:r>
            <w:r w:rsidRPr="00B4515A">
              <w:rPr>
                <w:rFonts w:ascii="Times New Roman" w:eastAsiaTheme="minorEastAsia" w:hAnsi="Times New Roman" w:cs="Times New Roman" w:hint="eastAsia"/>
                <w:b/>
                <w:bCs/>
                <w:color w:val="000000"/>
                <w:sz w:val="21"/>
                <w:szCs w:val="21"/>
              </w:rPr>
              <w:t>年度</w:t>
            </w:r>
          </w:p>
        </w:tc>
      </w:tr>
      <w:tr w:rsidR="0049210C" w:rsidRPr="00B4515A" w14:paraId="50318544" w14:textId="77777777" w:rsidTr="00EE238F">
        <w:trPr>
          <w:trHeight w:val="340"/>
          <w:jc w:val="center"/>
        </w:trPr>
        <w:tc>
          <w:tcPr>
            <w:tcW w:w="1075" w:type="dxa"/>
            <w:vMerge/>
            <w:tcMar>
              <w:top w:w="0" w:type="dxa"/>
              <w:left w:w="108" w:type="dxa"/>
              <w:bottom w:w="0" w:type="dxa"/>
              <w:right w:w="108" w:type="dxa"/>
            </w:tcMar>
            <w:vAlign w:val="center"/>
          </w:tcPr>
          <w:p w14:paraId="583FA5FB"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1037" w:type="dxa"/>
            <w:shd w:val="clear" w:color="auto" w:fill="auto"/>
            <w:tcMar>
              <w:top w:w="0" w:type="dxa"/>
              <w:left w:w="108" w:type="dxa"/>
              <w:bottom w:w="0" w:type="dxa"/>
              <w:right w:w="108" w:type="dxa"/>
            </w:tcMar>
            <w:vAlign w:val="center"/>
          </w:tcPr>
          <w:p w14:paraId="1CCF816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126" w:type="dxa"/>
            <w:shd w:val="clear" w:color="auto" w:fill="auto"/>
            <w:tcMar>
              <w:top w:w="0" w:type="dxa"/>
              <w:left w:w="108" w:type="dxa"/>
              <w:bottom w:w="0" w:type="dxa"/>
              <w:right w:w="108" w:type="dxa"/>
            </w:tcMar>
            <w:vAlign w:val="center"/>
          </w:tcPr>
          <w:p w14:paraId="5FA4F40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1176" w:type="dxa"/>
            <w:shd w:val="clear" w:color="auto" w:fill="auto"/>
            <w:tcMar>
              <w:top w:w="0" w:type="dxa"/>
              <w:left w:w="108" w:type="dxa"/>
              <w:bottom w:w="0" w:type="dxa"/>
              <w:right w:w="108" w:type="dxa"/>
            </w:tcMar>
            <w:vAlign w:val="center"/>
          </w:tcPr>
          <w:p w14:paraId="5631E08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081" w:type="dxa"/>
            <w:shd w:val="clear" w:color="auto" w:fill="auto"/>
            <w:tcMar>
              <w:top w:w="0" w:type="dxa"/>
              <w:left w:w="108" w:type="dxa"/>
              <w:bottom w:w="0" w:type="dxa"/>
              <w:right w:w="108" w:type="dxa"/>
            </w:tcMar>
            <w:vAlign w:val="center"/>
          </w:tcPr>
          <w:p w14:paraId="527F287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1554" w:type="dxa"/>
            <w:shd w:val="clear" w:color="auto" w:fill="auto"/>
            <w:tcMar>
              <w:top w:w="0" w:type="dxa"/>
              <w:left w:w="108" w:type="dxa"/>
              <w:bottom w:w="0" w:type="dxa"/>
              <w:right w:w="108" w:type="dxa"/>
            </w:tcMar>
            <w:vAlign w:val="center"/>
          </w:tcPr>
          <w:p w14:paraId="733FD7A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479" w:type="dxa"/>
            <w:shd w:val="clear" w:color="auto" w:fill="auto"/>
            <w:tcMar>
              <w:top w:w="0" w:type="dxa"/>
              <w:left w:w="108" w:type="dxa"/>
              <w:bottom w:w="0" w:type="dxa"/>
              <w:right w:w="108" w:type="dxa"/>
            </w:tcMar>
            <w:vAlign w:val="center"/>
          </w:tcPr>
          <w:p w14:paraId="734243D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r>
      <w:tr w:rsidR="0049210C" w:rsidRPr="00B4515A" w14:paraId="1C06F120" w14:textId="77777777" w:rsidTr="00EE238F">
        <w:trPr>
          <w:trHeight w:val="340"/>
          <w:jc w:val="center"/>
        </w:trPr>
        <w:tc>
          <w:tcPr>
            <w:tcW w:w="1075" w:type="dxa"/>
            <w:shd w:val="clear" w:color="auto" w:fill="auto"/>
            <w:tcMar>
              <w:top w:w="0" w:type="dxa"/>
              <w:left w:w="108" w:type="dxa"/>
              <w:bottom w:w="0" w:type="dxa"/>
              <w:right w:w="108" w:type="dxa"/>
            </w:tcMar>
            <w:vAlign w:val="center"/>
          </w:tcPr>
          <w:p w14:paraId="16D26CC7" w14:textId="77777777" w:rsidR="0049210C" w:rsidRPr="00B4515A" w:rsidRDefault="004921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专用移动通信</w:t>
            </w:r>
          </w:p>
        </w:tc>
        <w:tc>
          <w:tcPr>
            <w:tcW w:w="1037" w:type="dxa"/>
            <w:shd w:val="clear" w:color="auto" w:fill="auto"/>
            <w:tcMar>
              <w:top w:w="0" w:type="dxa"/>
              <w:left w:w="108" w:type="dxa"/>
              <w:bottom w:w="0" w:type="dxa"/>
              <w:right w:w="108" w:type="dxa"/>
            </w:tcMar>
            <w:vAlign w:val="center"/>
          </w:tcPr>
          <w:p w14:paraId="21A3D76D"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2,912.40</w:t>
            </w:r>
          </w:p>
        </w:tc>
        <w:tc>
          <w:tcPr>
            <w:tcW w:w="1126" w:type="dxa"/>
            <w:shd w:val="clear" w:color="auto" w:fill="auto"/>
            <w:tcMar>
              <w:top w:w="0" w:type="dxa"/>
              <w:left w:w="108" w:type="dxa"/>
              <w:bottom w:w="0" w:type="dxa"/>
              <w:right w:w="108" w:type="dxa"/>
            </w:tcMar>
            <w:vAlign w:val="center"/>
          </w:tcPr>
          <w:p w14:paraId="258C2EDD"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57.93%</w:t>
            </w:r>
          </w:p>
        </w:tc>
        <w:tc>
          <w:tcPr>
            <w:tcW w:w="1176" w:type="dxa"/>
            <w:shd w:val="clear" w:color="auto" w:fill="auto"/>
            <w:tcMar>
              <w:top w:w="0" w:type="dxa"/>
              <w:left w:w="108" w:type="dxa"/>
              <w:bottom w:w="0" w:type="dxa"/>
              <w:right w:w="108" w:type="dxa"/>
            </w:tcMar>
            <w:vAlign w:val="center"/>
          </w:tcPr>
          <w:p w14:paraId="0DEEABF4"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9,658.75</w:t>
            </w:r>
          </w:p>
        </w:tc>
        <w:tc>
          <w:tcPr>
            <w:tcW w:w="1081" w:type="dxa"/>
            <w:shd w:val="clear" w:color="auto" w:fill="auto"/>
            <w:tcMar>
              <w:top w:w="0" w:type="dxa"/>
              <w:left w:w="108" w:type="dxa"/>
              <w:bottom w:w="0" w:type="dxa"/>
              <w:right w:w="108" w:type="dxa"/>
            </w:tcMar>
            <w:vAlign w:val="center"/>
          </w:tcPr>
          <w:p w14:paraId="1847770D"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34.39%</w:t>
            </w:r>
          </w:p>
        </w:tc>
        <w:tc>
          <w:tcPr>
            <w:tcW w:w="1554" w:type="dxa"/>
            <w:shd w:val="clear" w:color="auto" w:fill="auto"/>
            <w:tcMar>
              <w:top w:w="0" w:type="dxa"/>
              <w:left w:w="108" w:type="dxa"/>
              <w:bottom w:w="0" w:type="dxa"/>
              <w:right w:w="108" w:type="dxa"/>
            </w:tcMar>
            <w:vAlign w:val="center"/>
          </w:tcPr>
          <w:p w14:paraId="08AEE52C" w14:textId="28EF969A"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7,703.48</w:t>
            </w:r>
          </w:p>
        </w:tc>
        <w:tc>
          <w:tcPr>
            <w:tcW w:w="1479" w:type="dxa"/>
            <w:shd w:val="clear" w:color="auto" w:fill="auto"/>
            <w:tcMar>
              <w:top w:w="0" w:type="dxa"/>
              <w:left w:w="108" w:type="dxa"/>
              <w:bottom w:w="0" w:type="dxa"/>
              <w:right w:w="108" w:type="dxa"/>
            </w:tcMar>
            <w:vAlign w:val="center"/>
          </w:tcPr>
          <w:p w14:paraId="389A8C58" w14:textId="0A7169D7" w:rsidR="0049210C" w:rsidRPr="00B4515A" w:rsidRDefault="004921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44.72%</w:t>
            </w:r>
          </w:p>
        </w:tc>
      </w:tr>
      <w:tr w:rsidR="0049210C" w:rsidRPr="00B4515A" w14:paraId="3BAB5673" w14:textId="77777777" w:rsidTr="00EE238F">
        <w:trPr>
          <w:trHeight w:val="340"/>
          <w:jc w:val="center"/>
        </w:trPr>
        <w:tc>
          <w:tcPr>
            <w:tcW w:w="1075" w:type="dxa"/>
            <w:shd w:val="clear" w:color="auto" w:fill="auto"/>
            <w:tcMar>
              <w:top w:w="0" w:type="dxa"/>
              <w:left w:w="108" w:type="dxa"/>
              <w:bottom w:w="0" w:type="dxa"/>
              <w:right w:w="108" w:type="dxa"/>
            </w:tcMar>
            <w:vAlign w:val="center"/>
          </w:tcPr>
          <w:p w14:paraId="515D1458" w14:textId="77777777" w:rsidR="0049210C" w:rsidRPr="00B4515A" w:rsidRDefault="004921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专用宽带电台</w:t>
            </w:r>
          </w:p>
        </w:tc>
        <w:tc>
          <w:tcPr>
            <w:tcW w:w="1037" w:type="dxa"/>
            <w:shd w:val="clear" w:color="auto" w:fill="auto"/>
            <w:tcMar>
              <w:top w:w="0" w:type="dxa"/>
              <w:left w:w="108" w:type="dxa"/>
              <w:bottom w:w="0" w:type="dxa"/>
              <w:right w:w="108" w:type="dxa"/>
            </w:tcMar>
            <w:vAlign w:val="center"/>
          </w:tcPr>
          <w:p w14:paraId="7AE244E3"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1,866.50</w:t>
            </w:r>
          </w:p>
        </w:tc>
        <w:tc>
          <w:tcPr>
            <w:tcW w:w="1126" w:type="dxa"/>
            <w:shd w:val="clear" w:color="auto" w:fill="auto"/>
            <w:tcMar>
              <w:top w:w="0" w:type="dxa"/>
              <w:left w:w="108" w:type="dxa"/>
              <w:bottom w:w="0" w:type="dxa"/>
              <w:right w:w="108" w:type="dxa"/>
            </w:tcMar>
            <w:vAlign w:val="center"/>
          </w:tcPr>
          <w:p w14:paraId="5579BF43"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37.12%</w:t>
            </w:r>
          </w:p>
        </w:tc>
        <w:tc>
          <w:tcPr>
            <w:tcW w:w="1176" w:type="dxa"/>
            <w:shd w:val="clear" w:color="auto" w:fill="auto"/>
            <w:tcMar>
              <w:top w:w="0" w:type="dxa"/>
              <w:left w:w="108" w:type="dxa"/>
              <w:bottom w:w="0" w:type="dxa"/>
              <w:right w:w="108" w:type="dxa"/>
            </w:tcMar>
            <w:vAlign w:val="center"/>
          </w:tcPr>
          <w:p w14:paraId="3AAB3E7D"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16,963.78</w:t>
            </w:r>
          </w:p>
        </w:tc>
        <w:tc>
          <w:tcPr>
            <w:tcW w:w="1081" w:type="dxa"/>
            <w:shd w:val="clear" w:color="auto" w:fill="auto"/>
            <w:tcMar>
              <w:top w:w="0" w:type="dxa"/>
              <w:left w:w="108" w:type="dxa"/>
              <w:bottom w:w="0" w:type="dxa"/>
              <w:right w:w="108" w:type="dxa"/>
            </w:tcMar>
            <w:vAlign w:val="center"/>
          </w:tcPr>
          <w:p w14:paraId="56891062"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60.40%</w:t>
            </w:r>
          </w:p>
        </w:tc>
        <w:tc>
          <w:tcPr>
            <w:tcW w:w="1554" w:type="dxa"/>
            <w:shd w:val="clear" w:color="auto" w:fill="auto"/>
            <w:tcMar>
              <w:top w:w="0" w:type="dxa"/>
              <w:left w:w="108" w:type="dxa"/>
              <w:bottom w:w="0" w:type="dxa"/>
              <w:right w:w="108" w:type="dxa"/>
            </w:tcMar>
            <w:vAlign w:val="center"/>
          </w:tcPr>
          <w:p w14:paraId="63466AAC" w14:textId="3BF6130E"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5,675.21</w:t>
            </w:r>
          </w:p>
        </w:tc>
        <w:tc>
          <w:tcPr>
            <w:tcW w:w="1479" w:type="dxa"/>
            <w:shd w:val="clear" w:color="auto" w:fill="auto"/>
            <w:tcMar>
              <w:top w:w="0" w:type="dxa"/>
              <w:left w:w="108" w:type="dxa"/>
              <w:bottom w:w="0" w:type="dxa"/>
              <w:right w:w="108" w:type="dxa"/>
            </w:tcMar>
            <w:vAlign w:val="center"/>
          </w:tcPr>
          <w:p w14:paraId="1F7737FB" w14:textId="6A45D188" w:rsidR="0049210C" w:rsidRPr="00B4515A" w:rsidRDefault="004921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32.95%</w:t>
            </w:r>
          </w:p>
        </w:tc>
      </w:tr>
      <w:tr w:rsidR="0049210C" w:rsidRPr="00B4515A" w14:paraId="78F0448A" w14:textId="77777777" w:rsidTr="00EE238F">
        <w:trPr>
          <w:trHeight w:val="340"/>
          <w:jc w:val="center"/>
        </w:trPr>
        <w:tc>
          <w:tcPr>
            <w:tcW w:w="1075" w:type="dxa"/>
            <w:shd w:val="clear" w:color="auto" w:fill="auto"/>
            <w:tcMar>
              <w:top w:w="0" w:type="dxa"/>
              <w:left w:w="108" w:type="dxa"/>
              <w:bottom w:w="0" w:type="dxa"/>
              <w:right w:w="108" w:type="dxa"/>
            </w:tcMar>
            <w:vAlign w:val="center"/>
          </w:tcPr>
          <w:p w14:paraId="37205172" w14:textId="77777777" w:rsidR="0049210C" w:rsidRPr="00B4515A" w:rsidRDefault="004921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宽带移动安全应用</w:t>
            </w:r>
          </w:p>
        </w:tc>
        <w:tc>
          <w:tcPr>
            <w:tcW w:w="1037" w:type="dxa"/>
            <w:shd w:val="clear" w:color="auto" w:fill="auto"/>
            <w:tcMar>
              <w:top w:w="0" w:type="dxa"/>
              <w:left w:w="108" w:type="dxa"/>
              <w:bottom w:w="0" w:type="dxa"/>
              <w:right w:w="108" w:type="dxa"/>
            </w:tcMar>
            <w:vAlign w:val="center"/>
          </w:tcPr>
          <w:p w14:paraId="6DE149D1"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248.75</w:t>
            </w:r>
          </w:p>
        </w:tc>
        <w:tc>
          <w:tcPr>
            <w:tcW w:w="1126" w:type="dxa"/>
            <w:shd w:val="clear" w:color="auto" w:fill="auto"/>
            <w:tcMar>
              <w:top w:w="0" w:type="dxa"/>
              <w:left w:w="108" w:type="dxa"/>
              <w:bottom w:w="0" w:type="dxa"/>
              <w:right w:w="108" w:type="dxa"/>
            </w:tcMar>
            <w:vAlign w:val="center"/>
          </w:tcPr>
          <w:p w14:paraId="76D9DB19"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4.95%</w:t>
            </w:r>
          </w:p>
        </w:tc>
        <w:tc>
          <w:tcPr>
            <w:tcW w:w="1176" w:type="dxa"/>
            <w:shd w:val="clear" w:color="auto" w:fill="auto"/>
            <w:tcMar>
              <w:top w:w="0" w:type="dxa"/>
              <w:left w:w="108" w:type="dxa"/>
              <w:bottom w:w="0" w:type="dxa"/>
              <w:right w:w="108" w:type="dxa"/>
            </w:tcMar>
            <w:vAlign w:val="center"/>
          </w:tcPr>
          <w:p w14:paraId="1EB737CF"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1,409.82</w:t>
            </w:r>
          </w:p>
        </w:tc>
        <w:tc>
          <w:tcPr>
            <w:tcW w:w="1081" w:type="dxa"/>
            <w:shd w:val="clear" w:color="auto" w:fill="auto"/>
            <w:tcMar>
              <w:top w:w="0" w:type="dxa"/>
              <w:left w:w="108" w:type="dxa"/>
              <w:bottom w:w="0" w:type="dxa"/>
              <w:right w:w="108" w:type="dxa"/>
            </w:tcMar>
            <w:vAlign w:val="center"/>
          </w:tcPr>
          <w:p w14:paraId="75E4BF10"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5.02%</w:t>
            </w:r>
          </w:p>
        </w:tc>
        <w:tc>
          <w:tcPr>
            <w:tcW w:w="1554" w:type="dxa"/>
            <w:shd w:val="clear" w:color="auto" w:fill="auto"/>
            <w:tcMar>
              <w:top w:w="0" w:type="dxa"/>
              <w:left w:w="108" w:type="dxa"/>
              <w:bottom w:w="0" w:type="dxa"/>
              <w:right w:w="108" w:type="dxa"/>
            </w:tcMar>
            <w:vAlign w:val="center"/>
          </w:tcPr>
          <w:p w14:paraId="6382B1DC" w14:textId="13843942"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2,328.76</w:t>
            </w:r>
          </w:p>
        </w:tc>
        <w:tc>
          <w:tcPr>
            <w:tcW w:w="1479" w:type="dxa"/>
            <w:shd w:val="clear" w:color="auto" w:fill="auto"/>
            <w:tcMar>
              <w:top w:w="0" w:type="dxa"/>
              <w:left w:w="108" w:type="dxa"/>
              <w:bottom w:w="0" w:type="dxa"/>
              <w:right w:w="108" w:type="dxa"/>
            </w:tcMar>
            <w:vAlign w:val="center"/>
          </w:tcPr>
          <w:p w14:paraId="27EE383D" w14:textId="52954D33" w:rsidR="0049210C" w:rsidRPr="00B4515A" w:rsidRDefault="004921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13.52%</w:t>
            </w:r>
          </w:p>
        </w:tc>
      </w:tr>
      <w:tr w:rsidR="0049210C" w:rsidRPr="00B4515A" w14:paraId="7A4873AE" w14:textId="77777777" w:rsidTr="00EE238F">
        <w:trPr>
          <w:trHeight w:val="340"/>
          <w:jc w:val="center"/>
        </w:trPr>
        <w:tc>
          <w:tcPr>
            <w:tcW w:w="1075" w:type="dxa"/>
            <w:shd w:val="clear" w:color="auto" w:fill="auto"/>
            <w:tcMar>
              <w:top w:w="0" w:type="dxa"/>
              <w:left w:w="108" w:type="dxa"/>
              <w:bottom w:w="0" w:type="dxa"/>
              <w:right w:w="108" w:type="dxa"/>
            </w:tcMar>
            <w:vAlign w:val="center"/>
          </w:tcPr>
          <w:p w14:paraId="34824DCE" w14:textId="77777777" w:rsidR="0049210C" w:rsidRPr="00B4515A" w:rsidRDefault="004921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w:t>
            </w:r>
          </w:p>
        </w:tc>
        <w:tc>
          <w:tcPr>
            <w:tcW w:w="1037" w:type="dxa"/>
            <w:shd w:val="clear" w:color="auto" w:fill="auto"/>
            <w:tcMar>
              <w:top w:w="0" w:type="dxa"/>
              <w:left w:w="108" w:type="dxa"/>
              <w:bottom w:w="0" w:type="dxa"/>
              <w:right w:w="108" w:type="dxa"/>
            </w:tcMar>
            <w:vAlign w:val="center"/>
          </w:tcPr>
          <w:p w14:paraId="05EFB26E"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1126" w:type="dxa"/>
            <w:shd w:val="clear" w:color="auto" w:fill="auto"/>
            <w:tcMar>
              <w:top w:w="0" w:type="dxa"/>
              <w:left w:w="108" w:type="dxa"/>
              <w:bottom w:w="0" w:type="dxa"/>
              <w:right w:w="108" w:type="dxa"/>
            </w:tcMar>
            <w:vAlign w:val="center"/>
          </w:tcPr>
          <w:p w14:paraId="579CCA3A"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1176" w:type="dxa"/>
            <w:shd w:val="clear" w:color="auto" w:fill="auto"/>
            <w:tcMar>
              <w:top w:w="0" w:type="dxa"/>
              <w:left w:w="108" w:type="dxa"/>
              <w:bottom w:w="0" w:type="dxa"/>
              <w:right w:w="108" w:type="dxa"/>
            </w:tcMar>
            <w:vAlign w:val="center"/>
          </w:tcPr>
          <w:p w14:paraId="3506E99D"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53.63</w:t>
            </w:r>
          </w:p>
        </w:tc>
        <w:tc>
          <w:tcPr>
            <w:tcW w:w="1081" w:type="dxa"/>
            <w:shd w:val="clear" w:color="auto" w:fill="auto"/>
            <w:tcMar>
              <w:top w:w="0" w:type="dxa"/>
              <w:left w:w="108" w:type="dxa"/>
              <w:bottom w:w="0" w:type="dxa"/>
              <w:right w:w="108" w:type="dxa"/>
            </w:tcMar>
            <w:vAlign w:val="center"/>
          </w:tcPr>
          <w:p w14:paraId="653CFE01"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0.19%</w:t>
            </w:r>
          </w:p>
        </w:tc>
        <w:tc>
          <w:tcPr>
            <w:tcW w:w="1554" w:type="dxa"/>
            <w:shd w:val="clear" w:color="auto" w:fill="auto"/>
            <w:tcMar>
              <w:top w:w="0" w:type="dxa"/>
              <w:left w:w="108" w:type="dxa"/>
              <w:bottom w:w="0" w:type="dxa"/>
              <w:right w:w="108" w:type="dxa"/>
            </w:tcMar>
            <w:vAlign w:val="center"/>
          </w:tcPr>
          <w:p w14:paraId="6FE961A0" w14:textId="44BF8E85"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1,518.56</w:t>
            </w:r>
          </w:p>
        </w:tc>
        <w:tc>
          <w:tcPr>
            <w:tcW w:w="1479" w:type="dxa"/>
            <w:shd w:val="clear" w:color="auto" w:fill="auto"/>
            <w:tcMar>
              <w:top w:w="0" w:type="dxa"/>
              <w:left w:w="108" w:type="dxa"/>
              <w:bottom w:w="0" w:type="dxa"/>
              <w:right w:w="108" w:type="dxa"/>
            </w:tcMar>
            <w:vAlign w:val="center"/>
          </w:tcPr>
          <w:p w14:paraId="67531B3A" w14:textId="03CB5ADD" w:rsidR="0049210C" w:rsidRPr="00B4515A" w:rsidRDefault="004921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8.82%</w:t>
            </w:r>
          </w:p>
        </w:tc>
      </w:tr>
      <w:tr w:rsidR="0049210C" w:rsidRPr="00B4515A" w14:paraId="0D6732BA" w14:textId="77777777" w:rsidTr="00EE238F">
        <w:trPr>
          <w:trHeight w:val="340"/>
          <w:jc w:val="center"/>
        </w:trPr>
        <w:tc>
          <w:tcPr>
            <w:tcW w:w="1075" w:type="dxa"/>
            <w:shd w:val="clear" w:color="auto" w:fill="auto"/>
            <w:tcMar>
              <w:top w:w="0" w:type="dxa"/>
              <w:left w:w="108" w:type="dxa"/>
              <w:bottom w:w="0" w:type="dxa"/>
              <w:right w:w="108" w:type="dxa"/>
            </w:tcMar>
            <w:vAlign w:val="center"/>
          </w:tcPr>
          <w:p w14:paraId="488AE4D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合计</w:t>
            </w:r>
          </w:p>
        </w:tc>
        <w:tc>
          <w:tcPr>
            <w:tcW w:w="1037" w:type="dxa"/>
            <w:shd w:val="clear" w:color="auto" w:fill="auto"/>
            <w:tcMar>
              <w:top w:w="0" w:type="dxa"/>
              <w:left w:w="108" w:type="dxa"/>
              <w:bottom w:w="0" w:type="dxa"/>
              <w:right w:w="108" w:type="dxa"/>
            </w:tcMar>
            <w:vAlign w:val="center"/>
          </w:tcPr>
          <w:p w14:paraId="1379745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5,027.65</w:t>
            </w:r>
          </w:p>
        </w:tc>
        <w:tc>
          <w:tcPr>
            <w:tcW w:w="1126" w:type="dxa"/>
            <w:shd w:val="clear" w:color="auto" w:fill="auto"/>
            <w:tcMar>
              <w:top w:w="0" w:type="dxa"/>
              <w:left w:w="108" w:type="dxa"/>
              <w:bottom w:w="0" w:type="dxa"/>
              <w:right w:w="108" w:type="dxa"/>
            </w:tcMar>
            <w:vAlign w:val="center"/>
          </w:tcPr>
          <w:p w14:paraId="35718AA5"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1176" w:type="dxa"/>
            <w:shd w:val="clear" w:color="auto" w:fill="auto"/>
            <w:tcMar>
              <w:top w:w="0" w:type="dxa"/>
              <w:left w:w="108" w:type="dxa"/>
              <w:bottom w:w="0" w:type="dxa"/>
              <w:right w:w="108" w:type="dxa"/>
            </w:tcMar>
            <w:vAlign w:val="center"/>
          </w:tcPr>
          <w:p w14:paraId="5FE0AFA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28,085.97</w:t>
            </w:r>
          </w:p>
        </w:tc>
        <w:tc>
          <w:tcPr>
            <w:tcW w:w="1081" w:type="dxa"/>
            <w:shd w:val="clear" w:color="auto" w:fill="auto"/>
            <w:tcMar>
              <w:top w:w="0" w:type="dxa"/>
              <w:left w:w="108" w:type="dxa"/>
              <w:bottom w:w="0" w:type="dxa"/>
              <w:right w:w="108" w:type="dxa"/>
            </w:tcMar>
            <w:vAlign w:val="center"/>
          </w:tcPr>
          <w:p w14:paraId="49BED5E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1554" w:type="dxa"/>
            <w:shd w:val="clear" w:color="auto" w:fill="auto"/>
            <w:tcMar>
              <w:top w:w="0" w:type="dxa"/>
              <w:left w:w="108" w:type="dxa"/>
              <w:bottom w:w="0" w:type="dxa"/>
              <w:right w:w="108" w:type="dxa"/>
            </w:tcMar>
            <w:vAlign w:val="center"/>
          </w:tcPr>
          <w:p w14:paraId="392203D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17,226.00</w:t>
            </w:r>
          </w:p>
        </w:tc>
        <w:tc>
          <w:tcPr>
            <w:tcW w:w="1479" w:type="dxa"/>
            <w:shd w:val="clear" w:color="auto" w:fill="auto"/>
            <w:tcMar>
              <w:top w:w="0" w:type="dxa"/>
              <w:left w:w="108" w:type="dxa"/>
              <w:bottom w:w="0" w:type="dxa"/>
              <w:right w:w="108" w:type="dxa"/>
            </w:tcMar>
            <w:vAlign w:val="center"/>
          </w:tcPr>
          <w:p w14:paraId="68FB57E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r>
    </w:tbl>
    <w:p w14:paraId="4B11B0D5" w14:textId="77777777" w:rsidR="006416B0" w:rsidRPr="00B4515A" w:rsidRDefault="005E58C1" w:rsidP="003357B7">
      <w:pPr>
        <w:pStyle w:val="005"/>
        <w:spacing w:before="120" w:after="120"/>
        <w:ind w:firstLine="480"/>
      </w:pPr>
      <w:r w:rsidRPr="00B4515A">
        <w:rPr>
          <w:rFonts w:hint="eastAsia"/>
        </w:rPr>
        <w:t>报告期内，大唐联诚营业成本主要发生在专用移动通信业务、专用宽带电台</w:t>
      </w:r>
      <w:r w:rsidRPr="00B4515A">
        <w:rPr>
          <w:rFonts w:hint="eastAsia"/>
        </w:rPr>
        <w:lastRenderedPageBreak/>
        <w:t>业务、宽带移动安全应用业务，与公司营业收入构成保持一直。报告期内，专用移动通信业务、专用宽带电台业务、宽带移动安全应用业务三大业务的营业成本占总营业成本比例超过</w:t>
      </w:r>
      <w:r w:rsidRPr="00B4515A">
        <w:t>89%</w:t>
      </w:r>
      <w:r w:rsidRPr="00B4515A">
        <w:rPr>
          <w:rFonts w:hint="eastAsia"/>
        </w:rPr>
        <w:t>，且逐年上升。</w:t>
      </w:r>
    </w:p>
    <w:p w14:paraId="00B9BC1E" w14:textId="77777777" w:rsidR="006416B0" w:rsidRPr="00B4515A" w:rsidRDefault="005E58C1" w:rsidP="003357B7">
      <w:pPr>
        <w:pStyle w:val="004"/>
        <w:spacing w:before="120" w:after="120"/>
        <w:ind w:firstLine="482"/>
      </w:pPr>
      <w:r w:rsidRPr="00B4515A">
        <w:rPr>
          <w:rFonts w:hint="eastAsia"/>
        </w:rPr>
        <w:t>3</w:t>
      </w:r>
      <w:r w:rsidRPr="00B4515A">
        <w:rPr>
          <w:rFonts w:hint="eastAsia"/>
        </w:rPr>
        <w:t>、毛利构成及毛利率分析</w:t>
      </w:r>
    </w:p>
    <w:p w14:paraId="70726B1D" w14:textId="77777777" w:rsidR="006416B0" w:rsidRPr="00B4515A" w:rsidRDefault="005E58C1" w:rsidP="003357B7">
      <w:pPr>
        <w:pStyle w:val="005"/>
        <w:spacing w:before="120" w:after="120"/>
        <w:ind w:firstLine="480"/>
      </w:pPr>
      <w:r w:rsidRPr="00B4515A">
        <w:rPr>
          <w:rFonts w:hint="eastAsia"/>
        </w:rPr>
        <w:t>（</w:t>
      </w:r>
      <w:r w:rsidRPr="00B4515A">
        <w:rPr>
          <w:rFonts w:hint="eastAsia"/>
        </w:rPr>
        <w:t>1</w:t>
      </w:r>
      <w:r w:rsidRPr="00B4515A">
        <w:rPr>
          <w:rFonts w:hint="eastAsia"/>
        </w:rPr>
        <w:t>）毛利的总体情况</w:t>
      </w:r>
    </w:p>
    <w:p w14:paraId="70843BC8"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60"/>
        <w:gridCol w:w="1359"/>
        <w:gridCol w:w="1083"/>
        <w:gridCol w:w="1182"/>
        <w:gridCol w:w="1182"/>
        <w:gridCol w:w="1182"/>
        <w:gridCol w:w="1180"/>
      </w:tblGrid>
      <w:tr w:rsidR="006416B0" w:rsidRPr="00B4515A" w14:paraId="4C692E52" w14:textId="77777777" w:rsidTr="00031627">
        <w:trPr>
          <w:trHeight w:val="340"/>
          <w:jc w:val="center"/>
        </w:trPr>
        <w:tc>
          <w:tcPr>
            <w:tcW w:w="797" w:type="pct"/>
            <w:vMerge w:val="restart"/>
            <w:shd w:val="clear" w:color="auto" w:fill="auto"/>
            <w:tcMar>
              <w:top w:w="0" w:type="dxa"/>
              <w:left w:w="108" w:type="dxa"/>
              <w:bottom w:w="0" w:type="dxa"/>
              <w:right w:w="108" w:type="dxa"/>
            </w:tcMar>
            <w:vAlign w:val="center"/>
          </w:tcPr>
          <w:p w14:paraId="1BF663F7"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432" w:type="pct"/>
            <w:gridSpan w:val="2"/>
            <w:shd w:val="clear" w:color="auto" w:fill="auto"/>
            <w:tcMar>
              <w:top w:w="0" w:type="dxa"/>
              <w:left w:w="108" w:type="dxa"/>
              <w:bottom w:w="0" w:type="dxa"/>
              <w:right w:w="108" w:type="dxa"/>
            </w:tcMar>
            <w:vAlign w:val="center"/>
          </w:tcPr>
          <w:p w14:paraId="5665BB64"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1386" w:type="pct"/>
            <w:gridSpan w:val="2"/>
            <w:shd w:val="clear" w:color="auto" w:fill="auto"/>
            <w:tcMar>
              <w:top w:w="0" w:type="dxa"/>
              <w:left w:w="108" w:type="dxa"/>
              <w:bottom w:w="0" w:type="dxa"/>
              <w:right w:w="108" w:type="dxa"/>
            </w:tcMar>
            <w:vAlign w:val="center"/>
          </w:tcPr>
          <w:p w14:paraId="17D2E22B"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年度</w:t>
            </w:r>
          </w:p>
        </w:tc>
        <w:tc>
          <w:tcPr>
            <w:tcW w:w="1386" w:type="pct"/>
            <w:gridSpan w:val="2"/>
            <w:shd w:val="clear" w:color="auto" w:fill="auto"/>
            <w:tcMar>
              <w:top w:w="0" w:type="dxa"/>
              <w:left w:w="108" w:type="dxa"/>
              <w:bottom w:w="0" w:type="dxa"/>
              <w:right w:w="108" w:type="dxa"/>
            </w:tcMar>
            <w:vAlign w:val="center"/>
          </w:tcPr>
          <w:p w14:paraId="103B423F"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hint="eastAsia"/>
                <w:b/>
                <w:bCs/>
                <w:color w:val="000000"/>
                <w:sz w:val="21"/>
                <w:szCs w:val="21"/>
              </w:rPr>
              <w:t>年度</w:t>
            </w:r>
          </w:p>
        </w:tc>
      </w:tr>
      <w:tr w:rsidR="006416B0" w:rsidRPr="00B4515A" w14:paraId="55320DA9" w14:textId="77777777" w:rsidTr="00031627">
        <w:trPr>
          <w:trHeight w:val="340"/>
          <w:jc w:val="center"/>
        </w:trPr>
        <w:tc>
          <w:tcPr>
            <w:tcW w:w="797" w:type="pct"/>
            <w:vMerge/>
            <w:tcMar>
              <w:top w:w="0" w:type="dxa"/>
              <w:left w:w="108" w:type="dxa"/>
              <w:bottom w:w="0" w:type="dxa"/>
              <w:right w:w="108" w:type="dxa"/>
            </w:tcMar>
            <w:vAlign w:val="center"/>
          </w:tcPr>
          <w:p w14:paraId="7A22EBE8" w14:textId="77777777" w:rsidR="006416B0" w:rsidRPr="00B4515A" w:rsidRDefault="006416B0" w:rsidP="00D62C18">
            <w:pPr>
              <w:keepNext/>
              <w:adjustRightInd w:val="0"/>
              <w:snapToGrid w:val="0"/>
              <w:jc w:val="center"/>
              <w:rPr>
                <w:rFonts w:ascii="Times New Roman" w:eastAsiaTheme="minorEastAsia" w:hAnsi="Times New Roman" w:cs="Times New Roman"/>
                <w:b/>
                <w:bCs/>
                <w:color w:val="000000"/>
                <w:sz w:val="21"/>
                <w:szCs w:val="21"/>
              </w:rPr>
            </w:pPr>
          </w:p>
        </w:tc>
        <w:tc>
          <w:tcPr>
            <w:tcW w:w="797" w:type="pct"/>
            <w:shd w:val="clear" w:color="auto" w:fill="auto"/>
            <w:tcMar>
              <w:top w:w="0" w:type="dxa"/>
              <w:left w:w="108" w:type="dxa"/>
              <w:bottom w:w="0" w:type="dxa"/>
              <w:right w:w="108" w:type="dxa"/>
            </w:tcMar>
            <w:vAlign w:val="center"/>
          </w:tcPr>
          <w:p w14:paraId="28C1279B"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35" w:type="pct"/>
            <w:shd w:val="clear" w:color="auto" w:fill="auto"/>
            <w:tcMar>
              <w:top w:w="0" w:type="dxa"/>
              <w:left w:w="108" w:type="dxa"/>
              <w:bottom w:w="0" w:type="dxa"/>
              <w:right w:w="108" w:type="dxa"/>
            </w:tcMar>
            <w:vAlign w:val="center"/>
          </w:tcPr>
          <w:p w14:paraId="151936C2"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比例</w:t>
            </w:r>
          </w:p>
        </w:tc>
        <w:tc>
          <w:tcPr>
            <w:tcW w:w="693" w:type="pct"/>
            <w:shd w:val="clear" w:color="auto" w:fill="auto"/>
            <w:tcMar>
              <w:top w:w="0" w:type="dxa"/>
              <w:left w:w="108" w:type="dxa"/>
              <w:bottom w:w="0" w:type="dxa"/>
              <w:right w:w="108" w:type="dxa"/>
            </w:tcMar>
            <w:vAlign w:val="center"/>
          </w:tcPr>
          <w:p w14:paraId="035674F7"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93" w:type="pct"/>
            <w:shd w:val="clear" w:color="auto" w:fill="auto"/>
            <w:tcMar>
              <w:top w:w="0" w:type="dxa"/>
              <w:left w:w="108" w:type="dxa"/>
              <w:bottom w:w="0" w:type="dxa"/>
              <w:right w:w="108" w:type="dxa"/>
            </w:tcMar>
            <w:vAlign w:val="center"/>
          </w:tcPr>
          <w:p w14:paraId="26D1DBF5"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比例</w:t>
            </w:r>
          </w:p>
        </w:tc>
        <w:tc>
          <w:tcPr>
            <w:tcW w:w="693" w:type="pct"/>
            <w:shd w:val="clear" w:color="auto" w:fill="auto"/>
            <w:tcMar>
              <w:top w:w="0" w:type="dxa"/>
              <w:left w:w="108" w:type="dxa"/>
              <w:bottom w:w="0" w:type="dxa"/>
              <w:right w:w="108" w:type="dxa"/>
            </w:tcMar>
            <w:vAlign w:val="center"/>
          </w:tcPr>
          <w:p w14:paraId="5BF010A2"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93" w:type="pct"/>
            <w:shd w:val="clear" w:color="auto" w:fill="auto"/>
            <w:tcMar>
              <w:top w:w="0" w:type="dxa"/>
              <w:left w:w="108" w:type="dxa"/>
              <w:bottom w:w="0" w:type="dxa"/>
              <w:right w:w="108" w:type="dxa"/>
            </w:tcMar>
            <w:vAlign w:val="center"/>
          </w:tcPr>
          <w:p w14:paraId="23BAED65"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比例</w:t>
            </w:r>
          </w:p>
        </w:tc>
      </w:tr>
      <w:tr w:rsidR="006416B0" w:rsidRPr="00B4515A" w14:paraId="3AE2CE2F" w14:textId="77777777" w:rsidTr="00031627">
        <w:trPr>
          <w:trHeight w:val="340"/>
          <w:jc w:val="center"/>
        </w:trPr>
        <w:tc>
          <w:tcPr>
            <w:tcW w:w="797" w:type="pct"/>
            <w:shd w:val="clear" w:color="auto" w:fill="auto"/>
            <w:tcMar>
              <w:top w:w="0" w:type="dxa"/>
              <w:left w:w="108" w:type="dxa"/>
              <w:bottom w:w="0" w:type="dxa"/>
              <w:right w:w="108" w:type="dxa"/>
            </w:tcMar>
            <w:vAlign w:val="center"/>
          </w:tcPr>
          <w:p w14:paraId="7C4301A7"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主营业务</w:t>
            </w:r>
          </w:p>
        </w:tc>
        <w:tc>
          <w:tcPr>
            <w:tcW w:w="797" w:type="pct"/>
            <w:shd w:val="clear" w:color="auto" w:fill="auto"/>
            <w:tcMar>
              <w:top w:w="0" w:type="dxa"/>
              <w:left w:w="108" w:type="dxa"/>
              <w:bottom w:w="0" w:type="dxa"/>
              <w:right w:w="108" w:type="dxa"/>
            </w:tcMar>
            <w:vAlign w:val="center"/>
          </w:tcPr>
          <w:p w14:paraId="31A36E2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7,730.00</w:t>
            </w:r>
          </w:p>
        </w:tc>
        <w:tc>
          <w:tcPr>
            <w:tcW w:w="635" w:type="pct"/>
            <w:shd w:val="clear" w:color="auto" w:fill="auto"/>
            <w:tcMar>
              <w:top w:w="0" w:type="dxa"/>
              <w:left w:w="108" w:type="dxa"/>
              <w:bottom w:w="0" w:type="dxa"/>
              <w:right w:w="108" w:type="dxa"/>
            </w:tcMar>
            <w:vAlign w:val="center"/>
          </w:tcPr>
          <w:p w14:paraId="65C501F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99.99%</w:t>
            </w:r>
          </w:p>
        </w:tc>
        <w:tc>
          <w:tcPr>
            <w:tcW w:w="693" w:type="pct"/>
            <w:shd w:val="clear" w:color="auto" w:fill="auto"/>
            <w:tcMar>
              <w:top w:w="0" w:type="dxa"/>
              <w:left w:w="108" w:type="dxa"/>
              <w:bottom w:w="0" w:type="dxa"/>
              <w:right w:w="108" w:type="dxa"/>
            </w:tcMar>
            <w:vAlign w:val="center"/>
          </w:tcPr>
          <w:p w14:paraId="51E944F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27,178.13</w:t>
            </w:r>
          </w:p>
        </w:tc>
        <w:tc>
          <w:tcPr>
            <w:tcW w:w="693" w:type="pct"/>
            <w:shd w:val="clear" w:color="auto" w:fill="auto"/>
            <w:tcMar>
              <w:top w:w="0" w:type="dxa"/>
              <w:left w:w="108" w:type="dxa"/>
              <w:bottom w:w="0" w:type="dxa"/>
              <w:right w:w="108" w:type="dxa"/>
            </w:tcMar>
            <w:vAlign w:val="center"/>
          </w:tcPr>
          <w:p w14:paraId="7D0852B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99.93%</w:t>
            </w:r>
          </w:p>
        </w:tc>
        <w:tc>
          <w:tcPr>
            <w:tcW w:w="693" w:type="pct"/>
            <w:shd w:val="clear" w:color="auto" w:fill="auto"/>
            <w:tcMar>
              <w:top w:w="0" w:type="dxa"/>
              <w:left w:w="108" w:type="dxa"/>
              <w:bottom w:w="0" w:type="dxa"/>
              <w:right w:w="108" w:type="dxa"/>
            </w:tcMar>
            <w:vAlign w:val="center"/>
          </w:tcPr>
          <w:p w14:paraId="435AD24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19,456.62</w:t>
            </w:r>
          </w:p>
        </w:tc>
        <w:tc>
          <w:tcPr>
            <w:tcW w:w="693" w:type="pct"/>
            <w:shd w:val="clear" w:color="auto" w:fill="auto"/>
            <w:tcMar>
              <w:top w:w="0" w:type="dxa"/>
              <w:left w:w="108" w:type="dxa"/>
              <w:bottom w:w="0" w:type="dxa"/>
              <w:right w:w="108" w:type="dxa"/>
            </w:tcMar>
            <w:vAlign w:val="center"/>
          </w:tcPr>
          <w:p w14:paraId="0E42FCA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99.99%</w:t>
            </w:r>
          </w:p>
        </w:tc>
      </w:tr>
      <w:tr w:rsidR="006416B0" w:rsidRPr="00B4515A" w14:paraId="43CCC6FF" w14:textId="77777777" w:rsidTr="00031627">
        <w:trPr>
          <w:trHeight w:val="340"/>
          <w:jc w:val="center"/>
        </w:trPr>
        <w:tc>
          <w:tcPr>
            <w:tcW w:w="797" w:type="pct"/>
            <w:shd w:val="clear" w:color="auto" w:fill="auto"/>
            <w:tcMar>
              <w:top w:w="0" w:type="dxa"/>
              <w:left w:w="108" w:type="dxa"/>
              <w:bottom w:w="0" w:type="dxa"/>
              <w:right w:w="108" w:type="dxa"/>
            </w:tcMar>
            <w:vAlign w:val="center"/>
          </w:tcPr>
          <w:p w14:paraId="2A0CBA2A"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其他业务</w:t>
            </w:r>
          </w:p>
        </w:tc>
        <w:tc>
          <w:tcPr>
            <w:tcW w:w="797" w:type="pct"/>
            <w:shd w:val="clear" w:color="auto" w:fill="auto"/>
            <w:tcMar>
              <w:top w:w="0" w:type="dxa"/>
              <w:left w:w="108" w:type="dxa"/>
              <w:bottom w:w="0" w:type="dxa"/>
              <w:right w:w="108" w:type="dxa"/>
            </w:tcMar>
            <w:vAlign w:val="center"/>
          </w:tcPr>
          <w:p w14:paraId="454EB5F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1.14</w:t>
            </w:r>
          </w:p>
        </w:tc>
        <w:tc>
          <w:tcPr>
            <w:tcW w:w="635" w:type="pct"/>
            <w:shd w:val="clear" w:color="auto" w:fill="auto"/>
            <w:tcMar>
              <w:top w:w="0" w:type="dxa"/>
              <w:left w:w="108" w:type="dxa"/>
              <w:bottom w:w="0" w:type="dxa"/>
              <w:right w:w="108" w:type="dxa"/>
            </w:tcMar>
            <w:vAlign w:val="center"/>
          </w:tcPr>
          <w:p w14:paraId="77A7EDB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0.01%</w:t>
            </w:r>
          </w:p>
        </w:tc>
        <w:tc>
          <w:tcPr>
            <w:tcW w:w="693" w:type="pct"/>
            <w:shd w:val="clear" w:color="auto" w:fill="auto"/>
            <w:tcMar>
              <w:top w:w="0" w:type="dxa"/>
              <w:left w:w="108" w:type="dxa"/>
              <w:bottom w:w="0" w:type="dxa"/>
              <w:right w:w="108" w:type="dxa"/>
            </w:tcMar>
            <w:vAlign w:val="center"/>
          </w:tcPr>
          <w:p w14:paraId="0056902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18.88</w:t>
            </w:r>
          </w:p>
        </w:tc>
        <w:tc>
          <w:tcPr>
            <w:tcW w:w="693" w:type="pct"/>
            <w:shd w:val="clear" w:color="auto" w:fill="auto"/>
            <w:tcMar>
              <w:top w:w="0" w:type="dxa"/>
              <w:left w:w="108" w:type="dxa"/>
              <w:bottom w:w="0" w:type="dxa"/>
              <w:right w:w="108" w:type="dxa"/>
            </w:tcMar>
            <w:vAlign w:val="center"/>
          </w:tcPr>
          <w:p w14:paraId="13E4A43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0.07%</w:t>
            </w:r>
          </w:p>
        </w:tc>
        <w:tc>
          <w:tcPr>
            <w:tcW w:w="693" w:type="pct"/>
            <w:shd w:val="clear" w:color="auto" w:fill="auto"/>
            <w:tcMar>
              <w:top w:w="0" w:type="dxa"/>
              <w:left w:w="108" w:type="dxa"/>
              <w:bottom w:w="0" w:type="dxa"/>
              <w:right w:w="108" w:type="dxa"/>
            </w:tcMar>
            <w:vAlign w:val="center"/>
          </w:tcPr>
          <w:p w14:paraId="457BFA5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2.75</w:t>
            </w:r>
          </w:p>
        </w:tc>
        <w:tc>
          <w:tcPr>
            <w:tcW w:w="693" w:type="pct"/>
            <w:shd w:val="clear" w:color="auto" w:fill="auto"/>
            <w:tcMar>
              <w:top w:w="0" w:type="dxa"/>
              <w:left w:w="108" w:type="dxa"/>
              <w:bottom w:w="0" w:type="dxa"/>
              <w:right w:w="108" w:type="dxa"/>
            </w:tcMar>
            <w:vAlign w:val="center"/>
          </w:tcPr>
          <w:p w14:paraId="403EC9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0.01%</w:t>
            </w:r>
          </w:p>
        </w:tc>
      </w:tr>
      <w:tr w:rsidR="006416B0" w:rsidRPr="00B4515A" w14:paraId="565FF3E6" w14:textId="77777777" w:rsidTr="00031627">
        <w:trPr>
          <w:trHeight w:val="340"/>
          <w:jc w:val="center"/>
        </w:trPr>
        <w:tc>
          <w:tcPr>
            <w:tcW w:w="797" w:type="pct"/>
            <w:shd w:val="clear" w:color="auto" w:fill="auto"/>
            <w:tcMar>
              <w:top w:w="0" w:type="dxa"/>
              <w:left w:w="108" w:type="dxa"/>
              <w:bottom w:w="0" w:type="dxa"/>
              <w:right w:w="108" w:type="dxa"/>
            </w:tcMar>
            <w:vAlign w:val="center"/>
          </w:tcPr>
          <w:p w14:paraId="21FAFED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合计</w:t>
            </w:r>
          </w:p>
        </w:tc>
        <w:tc>
          <w:tcPr>
            <w:tcW w:w="797" w:type="pct"/>
            <w:shd w:val="clear" w:color="auto" w:fill="auto"/>
            <w:tcMar>
              <w:top w:w="0" w:type="dxa"/>
              <w:left w:w="108" w:type="dxa"/>
              <w:bottom w:w="0" w:type="dxa"/>
              <w:right w:w="108" w:type="dxa"/>
            </w:tcMar>
            <w:vAlign w:val="center"/>
          </w:tcPr>
          <w:p w14:paraId="350FBF5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7,731.15</w:t>
            </w:r>
          </w:p>
        </w:tc>
        <w:tc>
          <w:tcPr>
            <w:tcW w:w="635" w:type="pct"/>
            <w:shd w:val="clear" w:color="auto" w:fill="auto"/>
            <w:tcMar>
              <w:top w:w="0" w:type="dxa"/>
              <w:left w:w="108" w:type="dxa"/>
              <w:bottom w:w="0" w:type="dxa"/>
              <w:right w:w="108" w:type="dxa"/>
            </w:tcMar>
            <w:vAlign w:val="center"/>
          </w:tcPr>
          <w:p w14:paraId="382C7E1E"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93" w:type="pct"/>
            <w:shd w:val="clear" w:color="auto" w:fill="auto"/>
            <w:tcMar>
              <w:top w:w="0" w:type="dxa"/>
              <w:left w:w="108" w:type="dxa"/>
              <w:bottom w:w="0" w:type="dxa"/>
              <w:right w:w="108" w:type="dxa"/>
            </w:tcMar>
            <w:vAlign w:val="center"/>
          </w:tcPr>
          <w:p w14:paraId="1DEF150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27,197.00</w:t>
            </w:r>
          </w:p>
        </w:tc>
        <w:tc>
          <w:tcPr>
            <w:tcW w:w="693" w:type="pct"/>
            <w:shd w:val="clear" w:color="auto" w:fill="auto"/>
            <w:tcMar>
              <w:top w:w="0" w:type="dxa"/>
              <w:left w:w="108" w:type="dxa"/>
              <w:bottom w:w="0" w:type="dxa"/>
              <w:right w:w="108" w:type="dxa"/>
            </w:tcMar>
            <w:vAlign w:val="center"/>
          </w:tcPr>
          <w:p w14:paraId="78055B2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93" w:type="pct"/>
            <w:shd w:val="clear" w:color="auto" w:fill="auto"/>
            <w:tcMar>
              <w:top w:w="0" w:type="dxa"/>
              <w:left w:w="108" w:type="dxa"/>
              <w:bottom w:w="0" w:type="dxa"/>
              <w:right w:w="108" w:type="dxa"/>
            </w:tcMar>
            <w:vAlign w:val="center"/>
          </w:tcPr>
          <w:p w14:paraId="0086727D"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bookmarkStart w:id="322" w:name="_Hlk75638859"/>
            <w:r w:rsidRPr="00B4515A">
              <w:rPr>
                <w:rFonts w:ascii="Times New Roman" w:eastAsiaTheme="minorEastAsia" w:hAnsi="Times New Roman" w:cs="Times New Roman"/>
                <w:b/>
                <w:bCs/>
                <w:color w:val="000000"/>
                <w:sz w:val="21"/>
                <w:szCs w:val="21"/>
              </w:rPr>
              <w:t>19,459.37</w:t>
            </w:r>
            <w:bookmarkEnd w:id="322"/>
          </w:p>
        </w:tc>
        <w:tc>
          <w:tcPr>
            <w:tcW w:w="693" w:type="pct"/>
            <w:shd w:val="clear" w:color="auto" w:fill="auto"/>
            <w:tcMar>
              <w:top w:w="0" w:type="dxa"/>
              <w:left w:w="108" w:type="dxa"/>
              <w:bottom w:w="0" w:type="dxa"/>
              <w:right w:w="108" w:type="dxa"/>
            </w:tcMar>
            <w:vAlign w:val="center"/>
          </w:tcPr>
          <w:p w14:paraId="40E2C30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r>
    </w:tbl>
    <w:p w14:paraId="3A1CB17F" w14:textId="77777777" w:rsidR="006416B0" w:rsidRPr="00B4515A" w:rsidRDefault="005E58C1" w:rsidP="003357B7">
      <w:pPr>
        <w:pStyle w:val="005"/>
        <w:spacing w:before="120" w:after="120"/>
        <w:ind w:firstLine="480"/>
      </w:pPr>
      <w:r w:rsidRPr="00B4515A">
        <w:rPr>
          <w:rFonts w:hint="eastAsia"/>
        </w:rPr>
        <w:t>大唐联诚的毛利主要来源于主营业务毛利。报告期各期，大唐联诚的毛利分别为</w:t>
      </w:r>
      <w:r w:rsidRPr="00B4515A">
        <w:t>19,459.37</w:t>
      </w:r>
      <w:r w:rsidRPr="00B4515A">
        <w:rPr>
          <w:rFonts w:hint="eastAsia"/>
        </w:rPr>
        <w:t>万元、</w:t>
      </w:r>
      <w:r w:rsidRPr="00B4515A">
        <w:t>27,197.00</w:t>
      </w:r>
      <w:r w:rsidRPr="00B4515A">
        <w:rPr>
          <w:rFonts w:hint="eastAsia"/>
        </w:rPr>
        <w:t>万元、</w:t>
      </w:r>
      <w:r w:rsidRPr="00B4515A">
        <w:t>7,731.15</w:t>
      </w:r>
      <w:r w:rsidRPr="00B4515A">
        <w:rPr>
          <w:rFonts w:hint="eastAsia"/>
        </w:rPr>
        <w:t>万元，其中主营业务毛利比例均达到</w:t>
      </w:r>
      <w:r w:rsidRPr="00B4515A">
        <w:t>99%</w:t>
      </w:r>
      <w:r w:rsidRPr="00B4515A">
        <w:rPr>
          <w:rFonts w:hint="eastAsia"/>
        </w:rPr>
        <w:t>以上，公司主要毛利均来自于主营业务且毛利结构稳定。</w:t>
      </w:r>
    </w:p>
    <w:p w14:paraId="79D22109" w14:textId="77777777" w:rsidR="006416B0" w:rsidRPr="00B4515A" w:rsidRDefault="005E58C1" w:rsidP="003357B7">
      <w:pPr>
        <w:pStyle w:val="005"/>
        <w:spacing w:before="120" w:after="120"/>
        <w:ind w:firstLine="480"/>
      </w:pPr>
      <w:r w:rsidRPr="00B4515A">
        <w:rPr>
          <w:rFonts w:hint="eastAsia"/>
        </w:rPr>
        <w:t>（</w:t>
      </w:r>
      <w:r w:rsidRPr="00B4515A">
        <w:rPr>
          <w:rFonts w:hint="eastAsia"/>
        </w:rPr>
        <w:t>2</w:t>
      </w:r>
      <w:r w:rsidRPr="00B4515A">
        <w:rPr>
          <w:rFonts w:hint="eastAsia"/>
        </w:rPr>
        <w:t>）毛利的构成情况</w:t>
      </w:r>
    </w:p>
    <w:p w14:paraId="0D4A568D"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70"/>
        <w:gridCol w:w="1035"/>
        <w:gridCol w:w="1134"/>
        <w:gridCol w:w="1134"/>
        <w:gridCol w:w="1131"/>
        <w:gridCol w:w="1133"/>
        <w:gridCol w:w="1191"/>
      </w:tblGrid>
      <w:tr w:rsidR="0049210C" w:rsidRPr="00B4515A" w14:paraId="66E2D595" w14:textId="77777777" w:rsidTr="00EE238F">
        <w:trPr>
          <w:trHeight w:val="340"/>
          <w:jc w:val="center"/>
        </w:trPr>
        <w:tc>
          <w:tcPr>
            <w:tcW w:w="1038" w:type="pct"/>
            <w:vMerge w:val="restart"/>
            <w:shd w:val="clear" w:color="auto" w:fill="auto"/>
            <w:tcMar>
              <w:top w:w="0" w:type="dxa"/>
              <w:left w:w="108" w:type="dxa"/>
              <w:bottom w:w="0" w:type="dxa"/>
              <w:right w:w="108" w:type="dxa"/>
            </w:tcMar>
            <w:vAlign w:val="center"/>
          </w:tcPr>
          <w:p w14:paraId="77E7117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业务板块</w:t>
            </w:r>
          </w:p>
        </w:tc>
        <w:tc>
          <w:tcPr>
            <w:tcW w:w="1272" w:type="pct"/>
            <w:gridSpan w:val="2"/>
            <w:shd w:val="clear" w:color="auto" w:fill="auto"/>
            <w:tcMar>
              <w:top w:w="0" w:type="dxa"/>
              <w:left w:w="108" w:type="dxa"/>
              <w:bottom w:w="0" w:type="dxa"/>
              <w:right w:w="108" w:type="dxa"/>
            </w:tcMar>
            <w:vAlign w:val="center"/>
          </w:tcPr>
          <w:p w14:paraId="769730C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1328" w:type="pct"/>
            <w:gridSpan w:val="2"/>
            <w:shd w:val="clear" w:color="auto" w:fill="auto"/>
            <w:tcMar>
              <w:top w:w="0" w:type="dxa"/>
              <w:left w:w="108" w:type="dxa"/>
              <w:bottom w:w="0" w:type="dxa"/>
              <w:right w:w="108" w:type="dxa"/>
            </w:tcMar>
            <w:vAlign w:val="center"/>
          </w:tcPr>
          <w:p w14:paraId="2136C45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2020 </w:t>
            </w:r>
            <w:r w:rsidRPr="00B4515A">
              <w:rPr>
                <w:rFonts w:ascii="Times New Roman" w:eastAsiaTheme="minorEastAsia" w:hAnsi="Times New Roman" w:cs="Times New Roman" w:hint="eastAsia"/>
                <w:b/>
                <w:bCs/>
                <w:color w:val="000000"/>
                <w:sz w:val="21"/>
                <w:szCs w:val="21"/>
              </w:rPr>
              <w:t>年度</w:t>
            </w:r>
          </w:p>
        </w:tc>
        <w:tc>
          <w:tcPr>
            <w:tcW w:w="1362" w:type="pct"/>
            <w:gridSpan w:val="2"/>
            <w:shd w:val="clear" w:color="auto" w:fill="auto"/>
            <w:tcMar>
              <w:top w:w="0" w:type="dxa"/>
              <w:left w:w="108" w:type="dxa"/>
              <w:bottom w:w="0" w:type="dxa"/>
              <w:right w:w="108" w:type="dxa"/>
            </w:tcMar>
            <w:vAlign w:val="center"/>
          </w:tcPr>
          <w:p w14:paraId="4D162DA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2019 </w:t>
            </w:r>
            <w:r w:rsidRPr="00B4515A">
              <w:rPr>
                <w:rFonts w:ascii="Times New Roman" w:eastAsiaTheme="minorEastAsia" w:hAnsi="Times New Roman" w:cs="Times New Roman" w:hint="eastAsia"/>
                <w:b/>
                <w:bCs/>
                <w:color w:val="000000"/>
                <w:sz w:val="21"/>
                <w:szCs w:val="21"/>
              </w:rPr>
              <w:t>年度</w:t>
            </w:r>
          </w:p>
        </w:tc>
      </w:tr>
      <w:tr w:rsidR="0049210C" w:rsidRPr="00B4515A" w14:paraId="7AEA6C22" w14:textId="77777777" w:rsidTr="00031627">
        <w:trPr>
          <w:trHeight w:val="340"/>
          <w:jc w:val="center"/>
        </w:trPr>
        <w:tc>
          <w:tcPr>
            <w:tcW w:w="1038" w:type="pct"/>
            <w:vMerge/>
            <w:tcMar>
              <w:top w:w="0" w:type="dxa"/>
              <w:left w:w="108" w:type="dxa"/>
              <w:bottom w:w="0" w:type="dxa"/>
              <w:right w:w="108" w:type="dxa"/>
            </w:tcMar>
            <w:vAlign w:val="center"/>
          </w:tcPr>
          <w:p w14:paraId="27289484"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607" w:type="pct"/>
            <w:shd w:val="clear" w:color="auto" w:fill="auto"/>
            <w:tcMar>
              <w:top w:w="0" w:type="dxa"/>
              <w:left w:w="108" w:type="dxa"/>
              <w:bottom w:w="0" w:type="dxa"/>
              <w:right w:w="108" w:type="dxa"/>
            </w:tcMar>
            <w:vAlign w:val="center"/>
          </w:tcPr>
          <w:p w14:paraId="5AD6483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65" w:type="pct"/>
            <w:shd w:val="clear" w:color="auto" w:fill="auto"/>
            <w:tcMar>
              <w:top w:w="0" w:type="dxa"/>
              <w:left w:w="108" w:type="dxa"/>
              <w:bottom w:w="0" w:type="dxa"/>
              <w:right w:w="108" w:type="dxa"/>
            </w:tcMar>
            <w:vAlign w:val="center"/>
          </w:tcPr>
          <w:p w14:paraId="699C818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665" w:type="pct"/>
            <w:shd w:val="clear" w:color="auto" w:fill="auto"/>
            <w:tcMar>
              <w:top w:w="0" w:type="dxa"/>
              <w:left w:w="108" w:type="dxa"/>
              <w:bottom w:w="0" w:type="dxa"/>
              <w:right w:w="108" w:type="dxa"/>
            </w:tcMar>
            <w:vAlign w:val="center"/>
          </w:tcPr>
          <w:p w14:paraId="3420F57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63" w:type="pct"/>
            <w:shd w:val="clear" w:color="auto" w:fill="auto"/>
            <w:tcMar>
              <w:top w:w="0" w:type="dxa"/>
              <w:left w:w="108" w:type="dxa"/>
              <w:bottom w:w="0" w:type="dxa"/>
              <w:right w:w="108" w:type="dxa"/>
            </w:tcMar>
            <w:vAlign w:val="center"/>
          </w:tcPr>
          <w:p w14:paraId="6F75107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664" w:type="pct"/>
            <w:shd w:val="clear" w:color="auto" w:fill="auto"/>
            <w:tcMar>
              <w:top w:w="0" w:type="dxa"/>
              <w:left w:w="108" w:type="dxa"/>
              <w:bottom w:w="0" w:type="dxa"/>
              <w:right w:w="108" w:type="dxa"/>
            </w:tcMar>
            <w:vAlign w:val="center"/>
          </w:tcPr>
          <w:p w14:paraId="7905C7A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98" w:type="pct"/>
            <w:shd w:val="clear" w:color="auto" w:fill="auto"/>
            <w:tcMar>
              <w:top w:w="0" w:type="dxa"/>
              <w:left w:w="108" w:type="dxa"/>
              <w:bottom w:w="0" w:type="dxa"/>
              <w:right w:w="108" w:type="dxa"/>
            </w:tcMar>
            <w:vAlign w:val="center"/>
          </w:tcPr>
          <w:p w14:paraId="6DCA09E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r>
      <w:tr w:rsidR="0049210C" w:rsidRPr="00B4515A" w14:paraId="480FB90C" w14:textId="77777777" w:rsidTr="00031627">
        <w:trPr>
          <w:trHeight w:val="340"/>
          <w:jc w:val="center"/>
        </w:trPr>
        <w:tc>
          <w:tcPr>
            <w:tcW w:w="1038" w:type="pct"/>
            <w:shd w:val="clear" w:color="auto" w:fill="auto"/>
            <w:tcMar>
              <w:top w:w="0" w:type="dxa"/>
              <w:left w:w="108" w:type="dxa"/>
              <w:bottom w:w="0" w:type="dxa"/>
              <w:right w:w="108" w:type="dxa"/>
            </w:tcMar>
            <w:vAlign w:val="center"/>
          </w:tcPr>
          <w:p w14:paraId="0E433B62" w14:textId="77777777" w:rsidR="0049210C" w:rsidRPr="00B4515A" w:rsidRDefault="004921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专用移动通信</w:t>
            </w:r>
          </w:p>
        </w:tc>
        <w:tc>
          <w:tcPr>
            <w:tcW w:w="607" w:type="pct"/>
            <w:shd w:val="clear" w:color="auto" w:fill="auto"/>
            <w:tcMar>
              <w:top w:w="0" w:type="dxa"/>
              <w:left w:w="108" w:type="dxa"/>
              <w:bottom w:w="0" w:type="dxa"/>
              <w:right w:w="108" w:type="dxa"/>
            </w:tcMar>
            <w:vAlign w:val="center"/>
          </w:tcPr>
          <w:p w14:paraId="4449C8C9"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4,838.46</w:t>
            </w:r>
          </w:p>
        </w:tc>
        <w:tc>
          <w:tcPr>
            <w:tcW w:w="665" w:type="pct"/>
            <w:shd w:val="clear" w:color="auto" w:fill="auto"/>
            <w:tcMar>
              <w:top w:w="0" w:type="dxa"/>
              <w:left w:w="108" w:type="dxa"/>
              <w:bottom w:w="0" w:type="dxa"/>
              <w:right w:w="108" w:type="dxa"/>
            </w:tcMar>
            <w:vAlign w:val="center"/>
          </w:tcPr>
          <w:p w14:paraId="5DA8AAF9"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62.58%</w:t>
            </w:r>
          </w:p>
        </w:tc>
        <w:tc>
          <w:tcPr>
            <w:tcW w:w="665" w:type="pct"/>
            <w:shd w:val="clear" w:color="auto" w:fill="auto"/>
            <w:tcMar>
              <w:top w:w="0" w:type="dxa"/>
              <w:left w:w="108" w:type="dxa"/>
              <w:bottom w:w="0" w:type="dxa"/>
              <w:right w:w="108" w:type="dxa"/>
            </w:tcMar>
            <w:vAlign w:val="center"/>
          </w:tcPr>
          <w:p w14:paraId="2AB3F823"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8,303.31</w:t>
            </w:r>
          </w:p>
        </w:tc>
        <w:tc>
          <w:tcPr>
            <w:tcW w:w="663" w:type="pct"/>
            <w:shd w:val="clear" w:color="auto" w:fill="auto"/>
            <w:tcMar>
              <w:top w:w="0" w:type="dxa"/>
              <w:left w:w="108" w:type="dxa"/>
              <w:bottom w:w="0" w:type="dxa"/>
              <w:right w:w="108" w:type="dxa"/>
            </w:tcMar>
            <w:vAlign w:val="center"/>
          </w:tcPr>
          <w:p w14:paraId="55431CD9"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30.53%</w:t>
            </w:r>
          </w:p>
        </w:tc>
        <w:tc>
          <w:tcPr>
            <w:tcW w:w="664" w:type="pct"/>
            <w:shd w:val="clear" w:color="auto" w:fill="auto"/>
            <w:tcMar>
              <w:top w:w="0" w:type="dxa"/>
              <w:left w:w="108" w:type="dxa"/>
              <w:bottom w:w="0" w:type="dxa"/>
              <w:right w:w="108" w:type="dxa"/>
            </w:tcMar>
            <w:vAlign w:val="center"/>
          </w:tcPr>
          <w:p w14:paraId="0AB68B46" w14:textId="2B697BE5"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7,673.64</w:t>
            </w:r>
          </w:p>
        </w:tc>
        <w:tc>
          <w:tcPr>
            <w:tcW w:w="698" w:type="pct"/>
            <w:shd w:val="clear" w:color="auto" w:fill="auto"/>
            <w:tcMar>
              <w:top w:w="0" w:type="dxa"/>
              <w:left w:w="108" w:type="dxa"/>
              <w:bottom w:w="0" w:type="dxa"/>
              <w:right w:w="108" w:type="dxa"/>
            </w:tcMar>
            <w:vAlign w:val="center"/>
          </w:tcPr>
          <w:p w14:paraId="1809B920" w14:textId="08C2CF18"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39.43%</w:t>
            </w:r>
          </w:p>
        </w:tc>
      </w:tr>
      <w:tr w:rsidR="0049210C" w:rsidRPr="00B4515A" w14:paraId="0ADE3796" w14:textId="77777777" w:rsidTr="00031627">
        <w:trPr>
          <w:trHeight w:val="340"/>
          <w:jc w:val="center"/>
        </w:trPr>
        <w:tc>
          <w:tcPr>
            <w:tcW w:w="1038" w:type="pct"/>
            <w:shd w:val="clear" w:color="auto" w:fill="auto"/>
            <w:tcMar>
              <w:top w:w="0" w:type="dxa"/>
              <w:left w:w="108" w:type="dxa"/>
              <w:bottom w:w="0" w:type="dxa"/>
              <w:right w:w="108" w:type="dxa"/>
            </w:tcMar>
            <w:vAlign w:val="center"/>
          </w:tcPr>
          <w:p w14:paraId="1E3AD296" w14:textId="77777777" w:rsidR="0049210C" w:rsidRPr="00B4515A" w:rsidRDefault="004921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专用宽带电台</w:t>
            </w:r>
          </w:p>
        </w:tc>
        <w:tc>
          <w:tcPr>
            <w:tcW w:w="607" w:type="pct"/>
            <w:shd w:val="clear" w:color="auto" w:fill="auto"/>
            <w:tcMar>
              <w:top w:w="0" w:type="dxa"/>
              <w:left w:w="108" w:type="dxa"/>
              <w:bottom w:w="0" w:type="dxa"/>
              <w:right w:w="108" w:type="dxa"/>
            </w:tcMar>
            <w:vAlign w:val="center"/>
          </w:tcPr>
          <w:p w14:paraId="51AD7412"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2,911.72</w:t>
            </w:r>
          </w:p>
        </w:tc>
        <w:tc>
          <w:tcPr>
            <w:tcW w:w="665" w:type="pct"/>
            <w:shd w:val="clear" w:color="auto" w:fill="auto"/>
            <w:tcMar>
              <w:top w:w="0" w:type="dxa"/>
              <w:left w:w="108" w:type="dxa"/>
              <w:bottom w:w="0" w:type="dxa"/>
              <w:right w:w="108" w:type="dxa"/>
            </w:tcMar>
            <w:vAlign w:val="center"/>
          </w:tcPr>
          <w:p w14:paraId="064ABD7F"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37.66%</w:t>
            </w:r>
          </w:p>
        </w:tc>
        <w:tc>
          <w:tcPr>
            <w:tcW w:w="665" w:type="pct"/>
            <w:shd w:val="clear" w:color="auto" w:fill="auto"/>
            <w:tcMar>
              <w:top w:w="0" w:type="dxa"/>
              <w:left w:w="108" w:type="dxa"/>
              <w:bottom w:w="0" w:type="dxa"/>
              <w:right w:w="108" w:type="dxa"/>
            </w:tcMar>
            <w:vAlign w:val="center"/>
          </w:tcPr>
          <w:p w14:paraId="7C545446"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17,492.41</w:t>
            </w:r>
          </w:p>
        </w:tc>
        <w:tc>
          <w:tcPr>
            <w:tcW w:w="663" w:type="pct"/>
            <w:shd w:val="clear" w:color="auto" w:fill="auto"/>
            <w:tcMar>
              <w:top w:w="0" w:type="dxa"/>
              <w:left w:w="108" w:type="dxa"/>
              <w:bottom w:w="0" w:type="dxa"/>
              <w:right w:w="108" w:type="dxa"/>
            </w:tcMar>
            <w:vAlign w:val="center"/>
          </w:tcPr>
          <w:p w14:paraId="4A3208E6"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64.32%</w:t>
            </w:r>
          </w:p>
        </w:tc>
        <w:tc>
          <w:tcPr>
            <w:tcW w:w="664" w:type="pct"/>
            <w:shd w:val="clear" w:color="auto" w:fill="auto"/>
            <w:tcMar>
              <w:top w:w="0" w:type="dxa"/>
              <w:left w:w="108" w:type="dxa"/>
              <w:bottom w:w="0" w:type="dxa"/>
              <w:right w:w="108" w:type="dxa"/>
            </w:tcMar>
            <w:vAlign w:val="center"/>
          </w:tcPr>
          <w:p w14:paraId="7C8C48FA" w14:textId="348F8976"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7,774.66</w:t>
            </w:r>
          </w:p>
        </w:tc>
        <w:tc>
          <w:tcPr>
            <w:tcW w:w="698" w:type="pct"/>
            <w:shd w:val="clear" w:color="auto" w:fill="auto"/>
            <w:tcMar>
              <w:top w:w="0" w:type="dxa"/>
              <w:left w:w="108" w:type="dxa"/>
              <w:bottom w:w="0" w:type="dxa"/>
              <w:right w:w="108" w:type="dxa"/>
            </w:tcMar>
            <w:vAlign w:val="center"/>
          </w:tcPr>
          <w:p w14:paraId="2CD88E77" w14:textId="0199411F"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39.95%</w:t>
            </w:r>
          </w:p>
        </w:tc>
      </w:tr>
      <w:tr w:rsidR="0049210C" w:rsidRPr="00B4515A" w14:paraId="5E0BD122" w14:textId="77777777" w:rsidTr="00031627">
        <w:trPr>
          <w:trHeight w:val="340"/>
          <w:jc w:val="center"/>
        </w:trPr>
        <w:tc>
          <w:tcPr>
            <w:tcW w:w="1038" w:type="pct"/>
            <w:shd w:val="clear" w:color="auto" w:fill="auto"/>
            <w:tcMar>
              <w:top w:w="0" w:type="dxa"/>
              <w:left w:w="108" w:type="dxa"/>
              <w:bottom w:w="0" w:type="dxa"/>
              <w:right w:w="108" w:type="dxa"/>
            </w:tcMar>
            <w:vAlign w:val="center"/>
          </w:tcPr>
          <w:p w14:paraId="176AB1AC" w14:textId="77777777" w:rsidR="003357B7" w:rsidRPr="00B4515A" w:rsidRDefault="004921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宽带移动安全</w:t>
            </w:r>
          </w:p>
          <w:p w14:paraId="0A072C7E" w14:textId="732ECE60" w:rsidR="0049210C" w:rsidRPr="00B4515A" w:rsidRDefault="004921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应用</w:t>
            </w:r>
          </w:p>
        </w:tc>
        <w:tc>
          <w:tcPr>
            <w:tcW w:w="607" w:type="pct"/>
            <w:shd w:val="clear" w:color="auto" w:fill="auto"/>
            <w:tcMar>
              <w:top w:w="0" w:type="dxa"/>
              <w:left w:w="108" w:type="dxa"/>
              <w:bottom w:w="0" w:type="dxa"/>
              <w:right w:w="108" w:type="dxa"/>
            </w:tcMar>
            <w:vAlign w:val="center"/>
          </w:tcPr>
          <w:p w14:paraId="50429DB0"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-20.18</w:t>
            </w:r>
          </w:p>
        </w:tc>
        <w:tc>
          <w:tcPr>
            <w:tcW w:w="665" w:type="pct"/>
            <w:shd w:val="clear" w:color="auto" w:fill="auto"/>
            <w:tcMar>
              <w:top w:w="0" w:type="dxa"/>
              <w:left w:w="108" w:type="dxa"/>
              <w:bottom w:w="0" w:type="dxa"/>
              <w:right w:w="108" w:type="dxa"/>
            </w:tcMar>
            <w:vAlign w:val="center"/>
          </w:tcPr>
          <w:p w14:paraId="26A84075"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-0.26%</w:t>
            </w:r>
          </w:p>
        </w:tc>
        <w:tc>
          <w:tcPr>
            <w:tcW w:w="665" w:type="pct"/>
            <w:shd w:val="clear" w:color="auto" w:fill="auto"/>
            <w:tcMar>
              <w:top w:w="0" w:type="dxa"/>
              <w:left w:w="108" w:type="dxa"/>
              <w:bottom w:w="0" w:type="dxa"/>
              <w:right w:w="108" w:type="dxa"/>
            </w:tcMar>
            <w:vAlign w:val="center"/>
          </w:tcPr>
          <w:p w14:paraId="1FBD81FA"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1,382.42</w:t>
            </w:r>
          </w:p>
        </w:tc>
        <w:tc>
          <w:tcPr>
            <w:tcW w:w="663" w:type="pct"/>
            <w:shd w:val="clear" w:color="auto" w:fill="auto"/>
            <w:tcMar>
              <w:top w:w="0" w:type="dxa"/>
              <w:left w:w="108" w:type="dxa"/>
              <w:bottom w:w="0" w:type="dxa"/>
              <w:right w:w="108" w:type="dxa"/>
            </w:tcMar>
            <w:vAlign w:val="center"/>
          </w:tcPr>
          <w:p w14:paraId="44301382"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5.08%</w:t>
            </w:r>
          </w:p>
        </w:tc>
        <w:tc>
          <w:tcPr>
            <w:tcW w:w="664" w:type="pct"/>
            <w:shd w:val="clear" w:color="auto" w:fill="auto"/>
            <w:tcMar>
              <w:top w:w="0" w:type="dxa"/>
              <w:left w:w="108" w:type="dxa"/>
              <w:bottom w:w="0" w:type="dxa"/>
              <w:right w:w="108" w:type="dxa"/>
            </w:tcMar>
            <w:vAlign w:val="center"/>
          </w:tcPr>
          <w:p w14:paraId="03694B35" w14:textId="6F640026"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3,407.33</w:t>
            </w:r>
          </w:p>
        </w:tc>
        <w:tc>
          <w:tcPr>
            <w:tcW w:w="698" w:type="pct"/>
            <w:shd w:val="clear" w:color="auto" w:fill="auto"/>
            <w:tcMar>
              <w:top w:w="0" w:type="dxa"/>
              <w:left w:w="108" w:type="dxa"/>
              <w:bottom w:w="0" w:type="dxa"/>
              <w:right w:w="108" w:type="dxa"/>
            </w:tcMar>
            <w:vAlign w:val="center"/>
          </w:tcPr>
          <w:p w14:paraId="7976CFB8" w14:textId="6A66B35B"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17.51%</w:t>
            </w:r>
          </w:p>
        </w:tc>
      </w:tr>
      <w:tr w:rsidR="0049210C" w:rsidRPr="00B4515A" w14:paraId="1992423F" w14:textId="77777777" w:rsidTr="00031627">
        <w:trPr>
          <w:trHeight w:val="340"/>
          <w:jc w:val="center"/>
        </w:trPr>
        <w:tc>
          <w:tcPr>
            <w:tcW w:w="1038" w:type="pct"/>
            <w:shd w:val="clear" w:color="auto" w:fill="auto"/>
            <w:tcMar>
              <w:top w:w="0" w:type="dxa"/>
              <w:left w:w="108" w:type="dxa"/>
              <w:bottom w:w="0" w:type="dxa"/>
              <w:right w:w="108" w:type="dxa"/>
            </w:tcMar>
            <w:vAlign w:val="center"/>
          </w:tcPr>
          <w:p w14:paraId="0662F8F8" w14:textId="77777777" w:rsidR="0049210C" w:rsidRPr="00B4515A" w:rsidRDefault="004921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w:t>
            </w:r>
          </w:p>
        </w:tc>
        <w:tc>
          <w:tcPr>
            <w:tcW w:w="607" w:type="pct"/>
            <w:shd w:val="clear" w:color="auto" w:fill="auto"/>
            <w:tcMar>
              <w:top w:w="0" w:type="dxa"/>
              <w:left w:w="108" w:type="dxa"/>
              <w:bottom w:w="0" w:type="dxa"/>
              <w:right w:w="108" w:type="dxa"/>
            </w:tcMar>
            <w:vAlign w:val="center"/>
          </w:tcPr>
          <w:p w14:paraId="1DF5FFFD"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1.14</w:t>
            </w:r>
          </w:p>
        </w:tc>
        <w:tc>
          <w:tcPr>
            <w:tcW w:w="665" w:type="pct"/>
            <w:shd w:val="clear" w:color="auto" w:fill="auto"/>
            <w:tcMar>
              <w:top w:w="0" w:type="dxa"/>
              <w:left w:w="108" w:type="dxa"/>
              <w:bottom w:w="0" w:type="dxa"/>
              <w:right w:w="108" w:type="dxa"/>
            </w:tcMar>
            <w:vAlign w:val="center"/>
          </w:tcPr>
          <w:p w14:paraId="016A41BD"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0.01%</w:t>
            </w:r>
          </w:p>
        </w:tc>
        <w:tc>
          <w:tcPr>
            <w:tcW w:w="665" w:type="pct"/>
            <w:shd w:val="clear" w:color="auto" w:fill="auto"/>
            <w:tcMar>
              <w:top w:w="0" w:type="dxa"/>
              <w:left w:w="108" w:type="dxa"/>
              <w:bottom w:w="0" w:type="dxa"/>
              <w:right w:w="108" w:type="dxa"/>
            </w:tcMar>
            <w:vAlign w:val="center"/>
          </w:tcPr>
          <w:p w14:paraId="6468A54F"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18.88</w:t>
            </w:r>
          </w:p>
        </w:tc>
        <w:tc>
          <w:tcPr>
            <w:tcW w:w="663" w:type="pct"/>
            <w:shd w:val="clear" w:color="auto" w:fill="auto"/>
            <w:tcMar>
              <w:top w:w="0" w:type="dxa"/>
              <w:left w:w="108" w:type="dxa"/>
              <w:bottom w:w="0" w:type="dxa"/>
              <w:right w:w="108" w:type="dxa"/>
            </w:tcMar>
            <w:vAlign w:val="center"/>
          </w:tcPr>
          <w:p w14:paraId="1D9AA3A4" w14:textId="77777777"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0.07%</w:t>
            </w:r>
          </w:p>
        </w:tc>
        <w:tc>
          <w:tcPr>
            <w:tcW w:w="664" w:type="pct"/>
            <w:shd w:val="clear" w:color="auto" w:fill="auto"/>
            <w:tcMar>
              <w:top w:w="0" w:type="dxa"/>
              <w:left w:w="108" w:type="dxa"/>
              <w:bottom w:w="0" w:type="dxa"/>
              <w:right w:w="108" w:type="dxa"/>
            </w:tcMar>
            <w:vAlign w:val="center"/>
          </w:tcPr>
          <w:p w14:paraId="508484A6" w14:textId="00FB918A"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603.75</w:t>
            </w:r>
          </w:p>
        </w:tc>
        <w:tc>
          <w:tcPr>
            <w:tcW w:w="698" w:type="pct"/>
            <w:shd w:val="clear" w:color="auto" w:fill="auto"/>
            <w:tcMar>
              <w:top w:w="0" w:type="dxa"/>
              <w:left w:w="108" w:type="dxa"/>
              <w:bottom w:w="0" w:type="dxa"/>
              <w:right w:w="108" w:type="dxa"/>
            </w:tcMar>
            <w:vAlign w:val="center"/>
          </w:tcPr>
          <w:p w14:paraId="06E1A562" w14:textId="4E0B08B0" w:rsidR="0049210C" w:rsidRPr="00B4515A" w:rsidRDefault="004921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3.10%</w:t>
            </w:r>
          </w:p>
        </w:tc>
      </w:tr>
      <w:tr w:rsidR="0049210C" w:rsidRPr="00B4515A" w14:paraId="7A98E11E" w14:textId="77777777" w:rsidTr="00031627">
        <w:trPr>
          <w:trHeight w:val="340"/>
          <w:jc w:val="center"/>
        </w:trPr>
        <w:tc>
          <w:tcPr>
            <w:tcW w:w="1038" w:type="pct"/>
            <w:shd w:val="clear" w:color="auto" w:fill="auto"/>
            <w:tcMar>
              <w:top w:w="0" w:type="dxa"/>
              <w:left w:w="108" w:type="dxa"/>
              <w:bottom w:w="0" w:type="dxa"/>
              <w:right w:w="108" w:type="dxa"/>
            </w:tcMar>
            <w:vAlign w:val="center"/>
          </w:tcPr>
          <w:p w14:paraId="1B0433B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合计</w:t>
            </w:r>
          </w:p>
        </w:tc>
        <w:tc>
          <w:tcPr>
            <w:tcW w:w="607" w:type="pct"/>
            <w:shd w:val="clear" w:color="auto" w:fill="auto"/>
            <w:tcMar>
              <w:top w:w="0" w:type="dxa"/>
              <w:left w:w="108" w:type="dxa"/>
              <w:bottom w:w="0" w:type="dxa"/>
              <w:right w:w="108" w:type="dxa"/>
            </w:tcMar>
            <w:vAlign w:val="center"/>
          </w:tcPr>
          <w:p w14:paraId="0B40E29A"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7,731.15</w:t>
            </w:r>
          </w:p>
        </w:tc>
        <w:tc>
          <w:tcPr>
            <w:tcW w:w="665" w:type="pct"/>
            <w:shd w:val="clear" w:color="auto" w:fill="auto"/>
            <w:tcMar>
              <w:top w:w="0" w:type="dxa"/>
              <w:left w:w="108" w:type="dxa"/>
              <w:bottom w:w="0" w:type="dxa"/>
              <w:right w:w="108" w:type="dxa"/>
            </w:tcMar>
            <w:vAlign w:val="center"/>
          </w:tcPr>
          <w:p w14:paraId="5341EFB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65" w:type="pct"/>
            <w:shd w:val="clear" w:color="auto" w:fill="auto"/>
            <w:tcMar>
              <w:top w:w="0" w:type="dxa"/>
              <w:left w:w="108" w:type="dxa"/>
              <w:bottom w:w="0" w:type="dxa"/>
              <w:right w:w="108" w:type="dxa"/>
            </w:tcMar>
            <w:vAlign w:val="center"/>
          </w:tcPr>
          <w:p w14:paraId="2396C535"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27,197.00</w:t>
            </w:r>
          </w:p>
        </w:tc>
        <w:tc>
          <w:tcPr>
            <w:tcW w:w="663" w:type="pct"/>
            <w:shd w:val="clear" w:color="auto" w:fill="auto"/>
            <w:tcMar>
              <w:top w:w="0" w:type="dxa"/>
              <w:left w:w="108" w:type="dxa"/>
              <w:bottom w:w="0" w:type="dxa"/>
              <w:right w:w="108" w:type="dxa"/>
            </w:tcMar>
            <w:vAlign w:val="center"/>
          </w:tcPr>
          <w:p w14:paraId="6A1847C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64" w:type="pct"/>
            <w:shd w:val="clear" w:color="auto" w:fill="auto"/>
            <w:tcMar>
              <w:top w:w="0" w:type="dxa"/>
              <w:left w:w="108" w:type="dxa"/>
              <w:bottom w:w="0" w:type="dxa"/>
              <w:right w:w="108" w:type="dxa"/>
            </w:tcMar>
            <w:vAlign w:val="center"/>
          </w:tcPr>
          <w:p w14:paraId="4086D97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19,459.37</w:t>
            </w:r>
          </w:p>
        </w:tc>
        <w:tc>
          <w:tcPr>
            <w:tcW w:w="698" w:type="pct"/>
            <w:shd w:val="clear" w:color="auto" w:fill="auto"/>
            <w:tcMar>
              <w:top w:w="0" w:type="dxa"/>
              <w:left w:w="108" w:type="dxa"/>
              <w:bottom w:w="0" w:type="dxa"/>
              <w:right w:w="108" w:type="dxa"/>
            </w:tcMar>
            <w:vAlign w:val="center"/>
          </w:tcPr>
          <w:p w14:paraId="10507B5A"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r>
    </w:tbl>
    <w:p w14:paraId="5601294B" w14:textId="77777777" w:rsidR="006416B0" w:rsidRPr="00B4515A" w:rsidRDefault="005E58C1" w:rsidP="003357B7">
      <w:pPr>
        <w:pStyle w:val="005"/>
        <w:spacing w:before="120" w:after="120"/>
        <w:ind w:firstLine="480"/>
      </w:pPr>
      <w:r w:rsidRPr="00B4515A">
        <w:rPr>
          <w:rFonts w:hint="eastAsia"/>
        </w:rPr>
        <w:t>大唐联诚的毛利主要来源于专用移动通信业务、专用宽带电台业务、宽带移动安全应用业务，其中移动通信</w:t>
      </w:r>
      <w:r w:rsidRPr="00B4515A">
        <w:rPr>
          <w:rFonts w:asciiTheme="minorEastAsia" w:eastAsiaTheme="minorEastAsia" w:hAnsiTheme="minorEastAsia" w:hint="eastAsia"/>
        </w:rPr>
        <w:t>业务</w:t>
      </w:r>
      <w:r w:rsidRPr="00B4515A">
        <w:rPr>
          <w:rFonts w:hint="eastAsia"/>
        </w:rPr>
        <w:t>、专用宽带电台业务占比较高，报告期内二者合计占比超过</w:t>
      </w:r>
      <w:r w:rsidRPr="00B4515A">
        <w:t>80%</w:t>
      </w:r>
      <w:r w:rsidRPr="00B4515A">
        <w:rPr>
          <w:rFonts w:hint="eastAsia"/>
        </w:rPr>
        <w:t>。</w:t>
      </w:r>
    </w:p>
    <w:p w14:paraId="059A0395" w14:textId="77777777" w:rsidR="006416B0" w:rsidRPr="00B4515A" w:rsidRDefault="005E58C1" w:rsidP="003357B7">
      <w:pPr>
        <w:pStyle w:val="005"/>
        <w:spacing w:before="120" w:after="120"/>
        <w:ind w:firstLine="480"/>
      </w:pPr>
      <w:r w:rsidRPr="00B4515A">
        <w:rPr>
          <w:rFonts w:hint="eastAsia"/>
        </w:rPr>
        <w:t>（</w:t>
      </w:r>
      <w:r w:rsidRPr="00B4515A">
        <w:rPr>
          <w:rFonts w:hint="eastAsia"/>
        </w:rPr>
        <w:t>3</w:t>
      </w:r>
      <w:r w:rsidRPr="00B4515A">
        <w:rPr>
          <w:rFonts w:hint="eastAsia"/>
        </w:rPr>
        <w:t>）毛利率及其变动分析</w:t>
      </w:r>
    </w:p>
    <w:p w14:paraId="00881CBC" w14:textId="77777777" w:rsidR="006416B0" w:rsidRPr="00B4515A" w:rsidRDefault="005E58C1" w:rsidP="003357B7">
      <w:pPr>
        <w:pStyle w:val="005"/>
        <w:spacing w:before="120" w:after="120"/>
        <w:ind w:firstLine="480"/>
      </w:pPr>
      <w:r w:rsidRPr="00B4515A">
        <w:rPr>
          <w:rFonts w:hint="eastAsia"/>
        </w:rPr>
        <w:t>1</w:t>
      </w:r>
      <w:r w:rsidRPr="00B4515A">
        <w:t>)</w:t>
      </w:r>
      <w:r w:rsidRPr="00B4515A">
        <w:t>综合毛利率</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03FF0BB3"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00C31538"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项目</w:t>
            </w:r>
          </w:p>
        </w:tc>
        <w:tc>
          <w:tcPr>
            <w:tcW w:w="1250" w:type="pct"/>
            <w:shd w:val="clear" w:color="auto" w:fill="auto"/>
            <w:tcMar>
              <w:top w:w="0" w:type="dxa"/>
              <w:left w:w="108" w:type="dxa"/>
              <w:bottom w:w="0" w:type="dxa"/>
              <w:right w:w="108" w:type="dxa"/>
            </w:tcMar>
            <w:vAlign w:val="center"/>
          </w:tcPr>
          <w:p w14:paraId="5711AC4E"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w:t>
            </w:r>
            <w:r w:rsidRPr="00B4515A">
              <w:rPr>
                <w:rFonts w:ascii="Times New Roman" w:hAnsi="Times New Roman" w:cs="Times New Roman"/>
                <w:b/>
                <w:bCs/>
                <w:color w:val="000000"/>
                <w:sz w:val="21"/>
                <w:szCs w:val="21"/>
              </w:rPr>
              <w:t>年</w:t>
            </w:r>
            <w:r w:rsidRPr="00B4515A">
              <w:rPr>
                <w:rFonts w:ascii="Times New Roman" w:hAnsi="Times New Roman" w:cs="Times New Roman"/>
                <w:b/>
                <w:bCs/>
                <w:color w:val="000000"/>
                <w:sz w:val="21"/>
                <w:szCs w:val="21"/>
              </w:rPr>
              <w:t>1-4</w:t>
            </w:r>
            <w:r w:rsidRPr="00B4515A">
              <w:rPr>
                <w:rFonts w:ascii="Times New Roman" w:hAnsi="Times New Roman" w:cs="Times New Roman"/>
                <w:b/>
                <w:bCs/>
                <w:color w:val="000000"/>
                <w:sz w:val="21"/>
                <w:szCs w:val="21"/>
              </w:rPr>
              <w:t>月</w:t>
            </w:r>
          </w:p>
        </w:tc>
        <w:tc>
          <w:tcPr>
            <w:tcW w:w="1250" w:type="pct"/>
            <w:shd w:val="clear" w:color="auto" w:fill="auto"/>
            <w:tcMar>
              <w:top w:w="0" w:type="dxa"/>
              <w:left w:w="108" w:type="dxa"/>
              <w:bottom w:w="0" w:type="dxa"/>
              <w:right w:w="108" w:type="dxa"/>
            </w:tcMar>
            <w:vAlign w:val="center"/>
          </w:tcPr>
          <w:p w14:paraId="5C0C230E"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w:t>
            </w:r>
            <w:r w:rsidRPr="00B4515A">
              <w:rPr>
                <w:rFonts w:ascii="Times New Roman" w:hAnsi="Times New Roman" w:cs="Times New Roman"/>
                <w:b/>
                <w:bCs/>
                <w:color w:val="000000"/>
                <w:sz w:val="21"/>
                <w:szCs w:val="21"/>
              </w:rPr>
              <w:t>年度</w:t>
            </w:r>
          </w:p>
        </w:tc>
        <w:tc>
          <w:tcPr>
            <w:tcW w:w="1250" w:type="pct"/>
            <w:shd w:val="clear" w:color="auto" w:fill="auto"/>
            <w:tcMar>
              <w:top w:w="0" w:type="dxa"/>
              <w:left w:w="108" w:type="dxa"/>
              <w:bottom w:w="0" w:type="dxa"/>
              <w:right w:w="108" w:type="dxa"/>
            </w:tcMar>
            <w:vAlign w:val="center"/>
          </w:tcPr>
          <w:p w14:paraId="58A9C533"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w:t>
            </w:r>
            <w:r w:rsidRPr="00B4515A">
              <w:rPr>
                <w:rFonts w:ascii="Times New Roman" w:hAnsi="Times New Roman" w:cs="Times New Roman"/>
                <w:b/>
                <w:bCs/>
                <w:color w:val="000000"/>
                <w:sz w:val="21"/>
                <w:szCs w:val="21"/>
              </w:rPr>
              <w:t>年度</w:t>
            </w:r>
          </w:p>
        </w:tc>
      </w:tr>
      <w:tr w:rsidR="006416B0" w:rsidRPr="00B4515A" w14:paraId="541A487B"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6A70812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主营业务</w:t>
            </w:r>
          </w:p>
        </w:tc>
        <w:tc>
          <w:tcPr>
            <w:tcW w:w="1250" w:type="pct"/>
            <w:shd w:val="clear" w:color="auto" w:fill="auto"/>
            <w:tcMar>
              <w:top w:w="0" w:type="dxa"/>
              <w:left w:w="108" w:type="dxa"/>
              <w:bottom w:w="0" w:type="dxa"/>
              <w:right w:w="108" w:type="dxa"/>
            </w:tcMar>
            <w:vAlign w:val="center"/>
          </w:tcPr>
          <w:p w14:paraId="7917BF0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60.59%</w:t>
            </w:r>
          </w:p>
        </w:tc>
        <w:tc>
          <w:tcPr>
            <w:tcW w:w="1250" w:type="pct"/>
            <w:shd w:val="clear" w:color="auto" w:fill="auto"/>
            <w:tcMar>
              <w:top w:w="0" w:type="dxa"/>
              <w:left w:w="108" w:type="dxa"/>
              <w:bottom w:w="0" w:type="dxa"/>
              <w:right w:w="108" w:type="dxa"/>
            </w:tcMar>
            <w:vAlign w:val="center"/>
          </w:tcPr>
          <w:p w14:paraId="1F089E8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49.23%</w:t>
            </w:r>
          </w:p>
        </w:tc>
        <w:tc>
          <w:tcPr>
            <w:tcW w:w="1250" w:type="pct"/>
            <w:shd w:val="clear" w:color="auto" w:fill="auto"/>
            <w:tcMar>
              <w:top w:w="0" w:type="dxa"/>
              <w:left w:w="108" w:type="dxa"/>
              <w:bottom w:w="0" w:type="dxa"/>
              <w:right w:w="108" w:type="dxa"/>
            </w:tcMar>
            <w:vAlign w:val="center"/>
          </w:tcPr>
          <w:p w14:paraId="28B5737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53.04%</w:t>
            </w:r>
          </w:p>
        </w:tc>
      </w:tr>
      <w:tr w:rsidR="006416B0" w:rsidRPr="00B4515A" w14:paraId="67E7893E"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0F5B8AC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其他业务</w:t>
            </w:r>
          </w:p>
        </w:tc>
        <w:tc>
          <w:tcPr>
            <w:tcW w:w="1250" w:type="pct"/>
            <w:shd w:val="clear" w:color="auto" w:fill="auto"/>
            <w:tcMar>
              <w:top w:w="0" w:type="dxa"/>
              <w:left w:w="108" w:type="dxa"/>
              <w:bottom w:w="0" w:type="dxa"/>
              <w:right w:w="108" w:type="dxa"/>
            </w:tcMar>
            <w:vAlign w:val="center"/>
          </w:tcPr>
          <w:p w14:paraId="45E6A91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100.00%</w:t>
            </w:r>
          </w:p>
        </w:tc>
        <w:tc>
          <w:tcPr>
            <w:tcW w:w="1250" w:type="pct"/>
            <w:shd w:val="clear" w:color="auto" w:fill="auto"/>
            <w:tcMar>
              <w:top w:w="0" w:type="dxa"/>
              <w:left w:w="108" w:type="dxa"/>
              <w:bottom w:w="0" w:type="dxa"/>
              <w:right w:w="108" w:type="dxa"/>
            </w:tcMar>
            <w:vAlign w:val="center"/>
          </w:tcPr>
          <w:p w14:paraId="3CF199D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26.03%</w:t>
            </w:r>
          </w:p>
        </w:tc>
        <w:tc>
          <w:tcPr>
            <w:tcW w:w="1250" w:type="pct"/>
            <w:shd w:val="clear" w:color="auto" w:fill="auto"/>
            <w:tcMar>
              <w:top w:w="0" w:type="dxa"/>
              <w:left w:w="108" w:type="dxa"/>
              <w:bottom w:w="0" w:type="dxa"/>
              <w:right w:w="108" w:type="dxa"/>
            </w:tcMar>
            <w:vAlign w:val="center"/>
          </w:tcPr>
          <w:p w14:paraId="1BA6C53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100.00%</w:t>
            </w:r>
          </w:p>
        </w:tc>
      </w:tr>
      <w:tr w:rsidR="006416B0" w:rsidRPr="00B4515A" w14:paraId="0F5D243E"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38890250"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lastRenderedPageBreak/>
              <w:t>合计</w:t>
            </w:r>
          </w:p>
        </w:tc>
        <w:tc>
          <w:tcPr>
            <w:tcW w:w="1250" w:type="pct"/>
            <w:shd w:val="clear" w:color="auto" w:fill="auto"/>
            <w:tcMar>
              <w:top w:w="0" w:type="dxa"/>
              <w:left w:w="108" w:type="dxa"/>
              <w:bottom w:w="0" w:type="dxa"/>
              <w:right w:w="108" w:type="dxa"/>
            </w:tcMar>
            <w:vAlign w:val="center"/>
          </w:tcPr>
          <w:p w14:paraId="7B2A9B63"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60.59%</w:t>
            </w:r>
          </w:p>
        </w:tc>
        <w:tc>
          <w:tcPr>
            <w:tcW w:w="1250" w:type="pct"/>
            <w:shd w:val="clear" w:color="auto" w:fill="auto"/>
            <w:tcMar>
              <w:top w:w="0" w:type="dxa"/>
              <w:left w:w="108" w:type="dxa"/>
              <w:bottom w:w="0" w:type="dxa"/>
              <w:right w:w="108" w:type="dxa"/>
            </w:tcMar>
            <w:vAlign w:val="center"/>
          </w:tcPr>
          <w:p w14:paraId="2C982D7C"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49.20%</w:t>
            </w:r>
          </w:p>
        </w:tc>
        <w:tc>
          <w:tcPr>
            <w:tcW w:w="1250" w:type="pct"/>
            <w:shd w:val="clear" w:color="auto" w:fill="auto"/>
            <w:tcMar>
              <w:top w:w="0" w:type="dxa"/>
              <w:left w:w="108" w:type="dxa"/>
              <w:bottom w:w="0" w:type="dxa"/>
              <w:right w:w="108" w:type="dxa"/>
            </w:tcMar>
            <w:vAlign w:val="center"/>
          </w:tcPr>
          <w:p w14:paraId="6515C616"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53.04%</w:t>
            </w:r>
          </w:p>
        </w:tc>
      </w:tr>
    </w:tbl>
    <w:p w14:paraId="034427BB" w14:textId="77777777" w:rsidR="006416B0" w:rsidRPr="00B4515A" w:rsidRDefault="005E58C1" w:rsidP="003357B7">
      <w:pPr>
        <w:pStyle w:val="005"/>
        <w:spacing w:before="120" w:after="120"/>
        <w:ind w:firstLine="480"/>
      </w:pPr>
      <w:r w:rsidRPr="00B4515A">
        <w:rPr>
          <w:rFonts w:hint="eastAsia"/>
        </w:rPr>
        <w:t>报告期内，大唐联诚综合毛利率整体上升趋势。其中</w:t>
      </w:r>
      <w:r w:rsidRPr="00B4515A">
        <w:t>2019</w:t>
      </w:r>
      <w:r w:rsidRPr="00B4515A">
        <w:rPr>
          <w:rFonts w:hint="eastAsia"/>
        </w:rPr>
        <w:t>、</w:t>
      </w:r>
      <w:r w:rsidRPr="00B4515A">
        <w:t>2020</w:t>
      </w:r>
      <w:r w:rsidRPr="00B4515A">
        <w:rPr>
          <w:rFonts w:hint="eastAsia"/>
        </w:rPr>
        <w:t>年毛利率变动较小。</w:t>
      </w:r>
      <w:r w:rsidRPr="00B4515A">
        <w:t>2021</w:t>
      </w:r>
      <w:r w:rsidRPr="00B4515A">
        <w:rPr>
          <w:rFonts w:hint="eastAsia"/>
        </w:rPr>
        <w:t>年</w:t>
      </w:r>
      <w:r w:rsidRPr="00B4515A">
        <w:t>1-4</w:t>
      </w:r>
      <w:r w:rsidRPr="00B4515A">
        <w:rPr>
          <w:rFonts w:hint="eastAsia"/>
        </w:rPr>
        <w:t>月份毛利率较</w:t>
      </w:r>
      <w:r w:rsidRPr="00B4515A">
        <w:t>2020</w:t>
      </w:r>
      <w:r w:rsidRPr="00B4515A">
        <w:rPr>
          <w:rFonts w:hint="eastAsia"/>
        </w:rPr>
        <w:t>年增加</w:t>
      </w:r>
      <w:r w:rsidRPr="00B4515A">
        <w:t>11.40%</w:t>
      </w:r>
      <w:r w:rsidRPr="00B4515A">
        <w:rPr>
          <w:rFonts w:hint="eastAsia"/>
        </w:rPr>
        <w:t>。</w:t>
      </w:r>
    </w:p>
    <w:p w14:paraId="68B4F62A" w14:textId="77777777" w:rsidR="006416B0" w:rsidRPr="00B4515A" w:rsidRDefault="005E58C1" w:rsidP="003357B7">
      <w:pPr>
        <w:pStyle w:val="005"/>
        <w:spacing w:before="120" w:after="120"/>
        <w:ind w:firstLine="480"/>
      </w:pPr>
      <w:r w:rsidRPr="00B4515A">
        <w:rPr>
          <w:rFonts w:hint="eastAsia"/>
        </w:rPr>
        <w:t>2</w:t>
      </w:r>
      <w:r w:rsidRPr="00B4515A">
        <w:rPr>
          <w:rFonts w:hint="eastAsia"/>
        </w:rPr>
        <w:t>）毛利率业务构成分析</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040"/>
        <w:gridCol w:w="2147"/>
        <w:gridCol w:w="1533"/>
        <w:gridCol w:w="1808"/>
      </w:tblGrid>
      <w:tr w:rsidR="006416B0" w:rsidRPr="00B4515A" w14:paraId="09D7E18D" w14:textId="77777777" w:rsidTr="00031627">
        <w:trPr>
          <w:trHeight w:val="340"/>
          <w:jc w:val="center"/>
        </w:trPr>
        <w:tc>
          <w:tcPr>
            <w:tcW w:w="1782" w:type="pct"/>
            <w:shd w:val="clear" w:color="auto" w:fill="auto"/>
            <w:tcMar>
              <w:top w:w="0" w:type="dxa"/>
              <w:left w:w="108" w:type="dxa"/>
              <w:bottom w:w="0" w:type="dxa"/>
              <w:right w:w="108" w:type="dxa"/>
            </w:tcMar>
            <w:vAlign w:val="center"/>
          </w:tcPr>
          <w:p w14:paraId="0154A32C"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业务板块</w:t>
            </w:r>
          </w:p>
        </w:tc>
        <w:tc>
          <w:tcPr>
            <w:tcW w:w="1259" w:type="pct"/>
            <w:shd w:val="clear" w:color="auto" w:fill="auto"/>
            <w:tcMar>
              <w:top w:w="0" w:type="dxa"/>
              <w:left w:w="108" w:type="dxa"/>
              <w:bottom w:w="0" w:type="dxa"/>
              <w:right w:w="108" w:type="dxa"/>
            </w:tcMar>
            <w:vAlign w:val="center"/>
          </w:tcPr>
          <w:p w14:paraId="27048768"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b/>
                <w:bCs/>
                <w:color w:val="000000"/>
                <w:sz w:val="21"/>
                <w:szCs w:val="21"/>
              </w:rPr>
              <w:t>月</w:t>
            </w:r>
          </w:p>
        </w:tc>
        <w:tc>
          <w:tcPr>
            <w:tcW w:w="899" w:type="pct"/>
            <w:shd w:val="clear" w:color="auto" w:fill="auto"/>
            <w:tcMar>
              <w:top w:w="0" w:type="dxa"/>
              <w:left w:w="108" w:type="dxa"/>
              <w:bottom w:w="0" w:type="dxa"/>
              <w:right w:w="108" w:type="dxa"/>
            </w:tcMar>
            <w:vAlign w:val="center"/>
          </w:tcPr>
          <w:p w14:paraId="73CB7200"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2020 </w:t>
            </w:r>
            <w:r w:rsidRPr="00B4515A">
              <w:rPr>
                <w:rFonts w:ascii="Times New Roman" w:eastAsiaTheme="minorEastAsia" w:hAnsi="Times New Roman" w:cs="Times New Roman"/>
                <w:b/>
                <w:bCs/>
                <w:color w:val="000000"/>
                <w:sz w:val="21"/>
                <w:szCs w:val="21"/>
              </w:rPr>
              <w:t>年度</w:t>
            </w:r>
          </w:p>
        </w:tc>
        <w:tc>
          <w:tcPr>
            <w:tcW w:w="1060" w:type="pct"/>
            <w:shd w:val="clear" w:color="auto" w:fill="auto"/>
            <w:tcMar>
              <w:top w:w="0" w:type="dxa"/>
              <w:left w:w="108" w:type="dxa"/>
              <w:bottom w:w="0" w:type="dxa"/>
              <w:right w:w="108" w:type="dxa"/>
            </w:tcMar>
            <w:vAlign w:val="center"/>
          </w:tcPr>
          <w:p w14:paraId="5EE171CE" w14:textId="77777777" w:rsidR="006416B0" w:rsidRPr="00B4515A" w:rsidRDefault="005E58C1" w:rsidP="00D62C18">
            <w:pPr>
              <w:keepNext/>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2019 </w:t>
            </w:r>
            <w:r w:rsidRPr="00B4515A">
              <w:rPr>
                <w:rFonts w:ascii="Times New Roman" w:eastAsiaTheme="minorEastAsia" w:hAnsi="Times New Roman" w:cs="Times New Roman"/>
                <w:b/>
                <w:bCs/>
                <w:color w:val="000000"/>
                <w:sz w:val="21"/>
                <w:szCs w:val="21"/>
              </w:rPr>
              <w:t>年度</w:t>
            </w:r>
          </w:p>
        </w:tc>
      </w:tr>
      <w:tr w:rsidR="00A54019" w:rsidRPr="00B4515A" w14:paraId="6C783B6F" w14:textId="77777777" w:rsidTr="00031627">
        <w:trPr>
          <w:trHeight w:val="340"/>
          <w:jc w:val="center"/>
        </w:trPr>
        <w:tc>
          <w:tcPr>
            <w:tcW w:w="1782" w:type="pct"/>
            <w:shd w:val="clear" w:color="auto" w:fill="auto"/>
            <w:tcMar>
              <w:top w:w="0" w:type="dxa"/>
              <w:left w:w="108" w:type="dxa"/>
              <w:bottom w:w="0" w:type="dxa"/>
              <w:right w:w="108" w:type="dxa"/>
            </w:tcMar>
            <w:vAlign w:val="center"/>
          </w:tcPr>
          <w:p w14:paraId="39F49F69" w14:textId="77777777" w:rsidR="00A54019" w:rsidRPr="00B4515A" w:rsidRDefault="00A54019"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专用移动通信</w:t>
            </w:r>
          </w:p>
        </w:tc>
        <w:tc>
          <w:tcPr>
            <w:tcW w:w="1259" w:type="pct"/>
            <w:shd w:val="clear" w:color="auto" w:fill="auto"/>
            <w:tcMar>
              <w:top w:w="0" w:type="dxa"/>
              <w:left w:w="108" w:type="dxa"/>
              <w:bottom w:w="0" w:type="dxa"/>
              <w:right w:w="108" w:type="dxa"/>
            </w:tcMar>
            <w:vAlign w:val="center"/>
          </w:tcPr>
          <w:p w14:paraId="78945A08" w14:textId="77777777" w:rsidR="00A54019" w:rsidRPr="00B4515A" w:rsidRDefault="00A54019"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62.42%</w:t>
            </w:r>
          </w:p>
        </w:tc>
        <w:tc>
          <w:tcPr>
            <w:tcW w:w="899" w:type="pct"/>
            <w:shd w:val="clear" w:color="auto" w:fill="auto"/>
            <w:tcMar>
              <w:top w:w="0" w:type="dxa"/>
              <w:left w:w="108" w:type="dxa"/>
              <w:bottom w:w="0" w:type="dxa"/>
              <w:right w:w="108" w:type="dxa"/>
            </w:tcMar>
            <w:vAlign w:val="center"/>
          </w:tcPr>
          <w:p w14:paraId="6E4ECB68" w14:textId="77777777" w:rsidR="00A54019" w:rsidRPr="00B4515A" w:rsidRDefault="00A54019"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46.23%</w:t>
            </w:r>
          </w:p>
        </w:tc>
        <w:tc>
          <w:tcPr>
            <w:tcW w:w="1060" w:type="pct"/>
            <w:shd w:val="clear" w:color="auto" w:fill="auto"/>
            <w:tcMar>
              <w:top w:w="0" w:type="dxa"/>
              <w:left w:w="108" w:type="dxa"/>
              <w:bottom w:w="0" w:type="dxa"/>
              <w:right w:w="108" w:type="dxa"/>
            </w:tcMar>
            <w:vAlign w:val="center"/>
          </w:tcPr>
          <w:p w14:paraId="5FDE4133" w14:textId="18593290" w:rsidR="00A54019" w:rsidRPr="00B4515A" w:rsidRDefault="00A54019"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49.90%</w:t>
            </w:r>
          </w:p>
        </w:tc>
      </w:tr>
      <w:tr w:rsidR="00A54019" w:rsidRPr="00B4515A" w14:paraId="061ACF65" w14:textId="77777777" w:rsidTr="00031627">
        <w:trPr>
          <w:trHeight w:val="340"/>
          <w:jc w:val="center"/>
        </w:trPr>
        <w:tc>
          <w:tcPr>
            <w:tcW w:w="1782" w:type="pct"/>
            <w:shd w:val="clear" w:color="auto" w:fill="auto"/>
            <w:tcMar>
              <w:top w:w="0" w:type="dxa"/>
              <w:left w:w="108" w:type="dxa"/>
              <w:bottom w:w="0" w:type="dxa"/>
              <w:right w:w="108" w:type="dxa"/>
            </w:tcMar>
            <w:vAlign w:val="center"/>
          </w:tcPr>
          <w:p w14:paraId="5B8CFF78" w14:textId="77777777" w:rsidR="00A54019" w:rsidRPr="00B4515A" w:rsidRDefault="00A54019"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专用宽带电台</w:t>
            </w:r>
          </w:p>
        </w:tc>
        <w:tc>
          <w:tcPr>
            <w:tcW w:w="1259" w:type="pct"/>
            <w:shd w:val="clear" w:color="auto" w:fill="auto"/>
            <w:tcMar>
              <w:top w:w="0" w:type="dxa"/>
              <w:left w:w="108" w:type="dxa"/>
              <w:bottom w:w="0" w:type="dxa"/>
              <w:right w:w="108" w:type="dxa"/>
            </w:tcMar>
            <w:vAlign w:val="center"/>
          </w:tcPr>
          <w:p w14:paraId="4B317908" w14:textId="77777777" w:rsidR="00A54019" w:rsidRPr="00B4515A" w:rsidRDefault="00A54019"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60.94%</w:t>
            </w:r>
          </w:p>
        </w:tc>
        <w:tc>
          <w:tcPr>
            <w:tcW w:w="899" w:type="pct"/>
            <w:shd w:val="clear" w:color="auto" w:fill="auto"/>
            <w:tcMar>
              <w:top w:w="0" w:type="dxa"/>
              <w:left w:w="108" w:type="dxa"/>
              <w:bottom w:w="0" w:type="dxa"/>
              <w:right w:w="108" w:type="dxa"/>
            </w:tcMar>
            <w:vAlign w:val="center"/>
          </w:tcPr>
          <w:p w14:paraId="43FD0AF6" w14:textId="77777777" w:rsidR="00A54019" w:rsidRPr="00B4515A" w:rsidRDefault="00A54019"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50.77%</w:t>
            </w:r>
          </w:p>
        </w:tc>
        <w:tc>
          <w:tcPr>
            <w:tcW w:w="1060" w:type="pct"/>
            <w:shd w:val="clear" w:color="auto" w:fill="auto"/>
            <w:tcMar>
              <w:top w:w="0" w:type="dxa"/>
              <w:left w:w="108" w:type="dxa"/>
              <w:bottom w:w="0" w:type="dxa"/>
              <w:right w:w="108" w:type="dxa"/>
            </w:tcMar>
            <w:vAlign w:val="center"/>
          </w:tcPr>
          <w:p w14:paraId="5D9A5E26" w14:textId="30F58F76" w:rsidR="00A54019" w:rsidRPr="00B4515A" w:rsidRDefault="00A54019"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57.80%</w:t>
            </w:r>
          </w:p>
        </w:tc>
      </w:tr>
      <w:tr w:rsidR="00A54019" w:rsidRPr="00B4515A" w14:paraId="0843589F" w14:textId="77777777" w:rsidTr="00031627">
        <w:trPr>
          <w:trHeight w:val="340"/>
          <w:jc w:val="center"/>
        </w:trPr>
        <w:tc>
          <w:tcPr>
            <w:tcW w:w="1782" w:type="pct"/>
            <w:shd w:val="clear" w:color="auto" w:fill="auto"/>
            <w:tcMar>
              <w:top w:w="0" w:type="dxa"/>
              <w:left w:w="108" w:type="dxa"/>
              <w:bottom w:w="0" w:type="dxa"/>
              <w:right w:w="108" w:type="dxa"/>
            </w:tcMar>
            <w:vAlign w:val="center"/>
          </w:tcPr>
          <w:p w14:paraId="4D930545" w14:textId="77777777" w:rsidR="00A54019" w:rsidRPr="00B4515A" w:rsidRDefault="00A54019"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宽带移动安全应用</w:t>
            </w:r>
          </w:p>
        </w:tc>
        <w:tc>
          <w:tcPr>
            <w:tcW w:w="1259" w:type="pct"/>
            <w:shd w:val="clear" w:color="auto" w:fill="auto"/>
            <w:tcMar>
              <w:top w:w="0" w:type="dxa"/>
              <w:left w:w="108" w:type="dxa"/>
              <w:bottom w:w="0" w:type="dxa"/>
              <w:right w:w="108" w:type="dxa"/>
            </w:tcMar>
            <w:vAlign w:val="center"/>
          </w:tcPr>
          <w:p w14:paraId="1C3E0F05" w14:textId="77777777" w:rsidR="00A54019" w:rsidRPr="00B4515A" w:rsidRDefault="00A54019"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-8.83%</w:t>
            </w:r>
          </w:p>
        </w:tc>
        <w:tc>
          <w:tcPr>
            <w:tcW w:w="899" w:type="pct"/>
            <w:shd w:val="clear" w:color="auto" w:fill="auto"/>
            <w:tcMar>
              <w:top w:w="0" w:type="dxa"/>
              <w:left w:w="108" w:type="dxa"/>
              <w:bottom w:w="0" w:type="dxa"/>
              <w:right w:w="108" w:type="dxa"/>
            </w:tcMar>
            <w:vAlign w:val="center"/>
          </w:tcPr>
          <w:p w14:paraId="13D2FC53" w14:textId="77777777" w:rsidR="00A54019" w:rsidRPr="00B4515A" w:rsidRDefault="00A54019"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49.51%</w:t>
            </w:r>
          </w:p>
        </w:tc>
        <w:tc>
          <w:tcPr>
            <w:tcW w:w="1060" w:type="pct"/>
            <w:shd w:val="clear" w:color="auto" w:fill="auto"/>
            <w:tcMar>
              <w:top w:w="0" w:type="dxa"/>
              <w:left w:w="108" w:type="dxa"/>
              <w:bottom w:w="0" w:type="dxa"/>
              <w:right w:w="108" w:type="dxa"/>
            </w:tcMar>
            <w:vAlign w:val="center"/>
          </w:tcPr>
          <w:p w14:paraId="2026B6E6" w14:textId="578D70D7" w:rsidR="00A54019" w:rsidRPr="00B4515A" w:rsidRDefault="00A54019"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59.40%</w:t>
            </w:r>
          </w:p>
        </w:tc>
      </w:tr>
      <w:tr w:rsidR="00A54019" w:rsidRPr="00B4515A" w14:paraId="6BCECDF3" w14:textId="77777777" w:rsidTr="00031627">
        <w:trPr>
          <w:trHeight w:val="340"/>
          <w:jc w:val="center"/>
        </w:trPr>
        <w:tc>
          <w:tcPr>
            <w:tcW w:w="1782" w:type="pct"/>
            <w:shd w:val="clear" w:color="auto" w:fill="auto"/>
            <w:tcMar>
              <w:top w:w="0" w:type="dxa"/>
              <w:left w:w="108" w:type="dxa"/>
              <w:bottom w:w="0" w:type="dxa"/>
              <w:right w:w="108" w:type="dxa"/>
            </w:tcMar>
            <w:vAlign w:val="center"/>
          </w:tcPr>
          <w:p w14:paraId="1AAB6EAE" w14:textId="77777777" w:rsidR="00A54019" w:rsidRPr="00B4515A" w:rsidRDefault="00A54019"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w:t>
            </w:r>
          </w:p>
        </w:tc>
        <w:tc>
          <w:tcPr>
            <w:tcW w:w="1259" w:type="pct"/>
            <w:shd w:val="clear" w:color="auto" w:fill="auto"/>
            <w:tcMar>
              <w:top w:w="0" w:type="dxa"/>
              <w:left w:w="108" w:type="dxa"/>
              <w:bottom w:w="0" w:type="dxa"/>
              <w:right w:w="108" w:type="dxa"/>
            </w:tcMar>
            <w:vAlign w:val="center"/>
          </w:tcPr>
          <w:p w14:paraId="3DC1D56A" w14:textId="77777777" w:rsidR="00A54019" w:rsidRPr="00B4515A" w:rsidRDefault="00A54019"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100.00%</w:t>
            </w:r>
          </w:p>
        </w:tc>
        <w:tc>
          <w:tcPr>
            <w:tcW w:w="899" w:type="pct"/>
            <w:shd w:val="clear" w:color="auto" w:fill="auto"/>
            <w:tcMar>
              <w:top w:w="0" w:type="dxa"/>
              <w:left w:w="108" w:type="dxa"/>
              <w:bottom w:w="0" w:type="dxa"/>
              <w:right w:w="108" w:type="dxa"/>
            </w:tcMar>
            <w:vAlign w:val="center"/>
          </w:tcPr>
          <w:p w14:paraId="502512EE" w14:textId="77777777" w:rsidR="00A54019" w:rsidRPr="00B4515A" w:rsidRDefault="00A54019"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26.03%</w:t>
            </w:r>
          </w:p>
        </w:tc>
        <w:tc>
          <w:tcPr>
            <w:tcW w:w="1060" w:type="pct"/>
            <w:shd w:val="clear" w:color="auto" w:fill="auto"/>
            <w:tcMar>
              <w:top w:w="0" w:type="dxa"/>
              <w:left w:w="108" w:type="dxa"/>
              <w:bottom w:w="0" w:type="dxa"/>
              <w:right w:w="108" w:type="dxa"/>
            </w:tcMar>
            <w:vAlign w:val="center"/>
          </w:tcPr>
          <w:p w14:paraId="395422FB" w14:textId="682ED32D" w:rsidR="00A54019" w:rsidRPr="00B4515A" w:rsidRDefault="00A54019"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28.45%</w:t>
            </w:r>
          </w:p>
        </w:tc>
      </w:tr>
      <w:tr w:rsidR="006416B0" w:rsidRPr="00B4515A" w14:paraId="7E99E27C" w14:textId="77777777" w:rsidTr="00031627">
        <w:trPr>
          <w:trHeight w:val="340"/>
          <w:jc w:val="center"/>
        </w:trPr>
        <w:tc>
          <w:tcPr>
            <w:tcW w:w="1782" w:type="pct"/>
            <w:shd w:val="clear" w:color="auto" w:fill="auto"/>
            <w:tcMar>
              <w:top w:w="0" w:type="dxa"/>
              <w:left w:w="108" w:type="dxa"/>
              <w:bottom w:w="0" w:type="dxa"/>
              <w:right w:w="108" w:type="dxa"/>
            </w:tcMar>
            <w:vAlign w:val="center"/>
          </w:tcPr>
          <w:p w14:paraId="77BFCA2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合计</w:t>
            </w:r>
          </w:p>
        </w:tc>
        <w:tc>
          <w:tcPr>
            <w:tcW w:w="1259" w:type="pct"/>
            <w:shd w:val="clear" w:color="auto" w:fill="auto"/>
            <w:tcMar>
              <w:top w:w="0" w:type="dxa"/>
              <w:left w:w="108" w:type="dxa"/>
              <w:bottom w:w="0" w:type="dxa"/>
              <w:right w:w="108" w:type="dxa"/>
            </w:tcMar>
            <w:vAlign w:val="center"/>
          </w:tcPr>
          <w:p w14:paraId="13BB2325"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60.59%</w:t>
            </w:r>
          </w:p>
        </w:tc>
        <w:tc>
          <w:tcPr>
            <w:tcW w:w="899" w:type="pct"/>
            <w:shd w:val="clear" w:color="auto" w:fill="auto"/>
            <w:tcMar>
              <w:top w:w="0" w:type="dxa"/>
              <w:left w:w="108" w:type="dxa"/>
              <w:bottom w:w="0" w:type="dxa"/>
              <w:right w:w="108" w:type="dxa"/>
            </w:tcMar>
            <w:vAlign w:val="center"/>
          </w:tcPr>
          <w:p w14:paraId="0D40085A"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49.20%</w:t>
            </w:r>
          </w:p>
        </w:tc>
        <w:tc>
          <w:tcPr>
            <w:tcW w:w="1060" w:type="pct"/>
            <w:shd w:val="clear" w:color="auto" w:fill="auto"/>
            <w:tcMar>
              <w:top w:w="0" w:type="dxa"/>
              <w:left w:w="108" w:type="dxa"/>
              <w:bottom w:w="0" w:type="dxa"/>
              <w:right w:w="108" w:type="dxa"/>
            </w:tcMar>
            <w:vAlign w:val="center"/>
          </w:tcPr>
          <w:p w14:paraId="6C8D2A3A"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53.04%</w:t>
            </w:r>
          </w:p>
        </w:tc>
      </w:tr>
    </w:tbl>
    <w:p w14:paraId="7092B325" w14:textId="77777777" w:rsidR="006416B0" w:rsidRPr="00B4515A" w:rsidRDefault="005E58C1" w:rsidP="003357B7">
      <w:pPr>
        <w:pStyle w:val="005"/>
        <w:spacing w:before="120" w:after="120"/>
        <w:ind w:firstLine="480"/>
      </w:pPr>
      <w:r w:rsidRPr="00B4515A">
        <w:t>3</w:t>
      </w:r>
      <w:r w:rsidRPr="00B4515A">
        <w:rPr>
          <w:rFonts w:hint="eastAsia"/>
        </w:rPr>
        <w:t>）毛利率较高的原因</w:t>
      </w:r>
    </w:p>
    <w:p w14:paraId="46EF7546" w14:textId="77777777" w:rsidR="006416B0" w:rsidRPr="00B4515A" w:rsidRDefault="005E58C1" w:rsidP="003357B7">
      <w:pPr>
        <w:pStyle w:val="005"/>
        <w:spacing w:before="120" w:after="120"/>
        <w:ind w:firstLine="480"/>
      </w:pPr>
      <w:r w:rsidRPr="00B4515A">
        <w:rPr>
          <w:rFonts w:hint="eastAsia"/>
        </w:rPr>
        <w:t>标的公司报告期内毛利率分别为</w:t>
      </w:r>
      <w:r w:rsidRPr="00B4515A">
        <w:t>53.04%</w:t>
      </w:r>
      <w:r w:rsidRPr="00B4515A">
        <w:rPr>
          <w:rFonts w:hint="eastAsia"/>
        </w:rPr>
        <w:t>、</w:t>
      </w:r>
      <w:r w:rsidRPr="00B4515A">
        <w:t>49.20%</w:t>
      </w:r>
      <w:r w:rsidRPr="00B4515A">
        <w:rPr>
          <w:rFonts w:hint="eastAsia"/>
        </w:rPr>
        <w:t>、</w:t>
      </w:r>
      <w:r w:rsidRPr="00B4515A">
        <w:t>60.59%</w:t>
      </w:r>
      <w:r w:rsidRPr="00B4515A">
        <w:rPr>
          <w:rFonts w:hint="eastAsia"/>
        </w:rPr>
        <w:t>。标的公司所属行业整体毛利率较高，通过</w:t>
      </w:r>
      <w:r w:rsidRPr="00B4515A">
        <w:t>wind</w:t>
      </w:r>
      <w:r w:rsidRPr="00B4515A">
        <w:rPr>
          <w:rFonts w:hint="eastAsia"/>
        </w:rPr>
        <w:t>数据查询可比公司上海瀚讯、海格通信、七一二、海能达</w:t>
      </w:r>
      <w:r w:rsidRPr="00B4515A">
        <w:t>2019</w:t>
      </w:r>
      <w:r w:rsidRPr="00B4515A">
        <w:rPr>
          <w:rFonts w:hint="eastAsia"/>
        </w:rPr>
        <w:t>年度毛利率分别为</w:t>
      </w:r>
      <w:r w:rsidRPr="00B4515A">
        <w:t>62.99%</w:t>
      </w:r>
      <w:r w:rsidRPr="00B4515A">
        <w:rPr>
          <w:rFonts w:hint="eastAsia"/>
        </w:rPr>
        <w:t>、</w:t>
      </w:r>
      <w:r w:rsidRPr="00B4515A">
        <w:t>37.27%</w:t>
      </w:r>
      <w:r w:rsidRPr="00B4515A">
        <w:rPr>
          <w:rFonts w:hint="eastAsia"/>
        </w:rPr>
        <w:t>、</w:t>
      </w:r>
      <w:r w:rsidRPr="00B4515A">
        <w:t>46.47%</w:t>
      </w:r>
      <w:r w:rsidRPr="00B4515A">
        <w:rPr>
          <w:rFonts w:hint="eastAsia"/>
        </w:rPr>
        <w:t>、</w:t>
      </w:r>
      <w:r w:rsidRPr="00B4515A">
        <w:t>38.55%</w:t>
      </w:r>
      <w:r w:rsidRPr="00B4515A">
        <w:rPr>
          <w:rFonts w:hint="eastAsia"/>
        </w:rPr>
        <w:t>；</w:t>
      </w:r>
      <w:r w:rsidRPr="00B4515A">
        <w:t>2020</w:t>
      </w:r>
      <w:r w:rsidRPr="00B4515A">
        <w:rPr>
          <w:rFonts w:hint="eastAsia"/>
        </w:rPr>
        <w:t>年毛利率分别为</w:t>
      </w:r>
      <w:r w:rsidRPr="00B4515A">
        <w:t>63.92%</w:t>
      </w:r>
      <w:r w:rsidRPr="00B4515A">
        <w:rPr>
          <w:rFonts w:hint="eastAsia"/>
        </w:rPr>
        <w:t>、</w:t>
      </w:r>
      <w:r w:rsidRPr="00B4515A">
        <w:t>35.86%</w:t>
      </w:r>
      <w:r w:rsidRPr="00B4515A">
        <w:rPr>
          <w:rFonts w:hint="eastAsia"/>
        </w:rPr>
        <w:t>、</w:t>
      </w:r>
      <w:r w:rsidRPr="00B4515A">
        <w:t>48.03%</w:t>
      </w:r>
      <w:r w:rsidRPr="00B4515A">
        <w:rPr>
          <w:rFonts w:hint="eastAsia"/>
        </w:rPr>
        <w:t>、</w:t>
      </w:r>
      <w:r w:rsidRPr="00B4515A">
        <w:t>47.22%</w:t>
      </w:r>
      <w:r w:rsidRPr="00B4515A">
        <w:rPr>
          <w:rFonts w:hint="eastAsia"/>
        </w:rPr>
        <w:t>；</w:t>
      </w:r>
      <w:r w:rsidRPr="00B4515A">
        <w:t>2021</w:t>
      </w:r>
      <w:r w:rsidRPr="00B4515A">
        <w:rPr>
          <w:rFonts w:hint="eastAsia"/>
        </w:rPr>
        <w:t>年一季度的毛利率分别为</w:t>
      </w:r>
      <w:r w:rsidRPr="00B4515A">
        <w:t>59.8%</w:t>
      </w:r>
      <w:r w:rsidRPr="00B4515A">
        <w:rPr>
          <w:rFonts w:hint="eastAsia"/>
        </w:rPr>
        <w:t>、</w:t>
      </w:r>
      <w:r w:rsidRPr="00B4515A">
        <w:t>34.53%</w:t>
      </w:r>
      <w:r w:rsidRPr="00B4515A">
        <w:rPr>
          <w:rFonts w:hint="eastAsia"/>
        </w:rPr>
        <w:t>、</w:t>
      </w:r>
      <w:r w:rsidRPr="00B4515A">
        <w:t>46.64%</w:t>
      </w:r>
      <w:r w:rsidRPr="00B4515A">
        <w:rPr>
          <w:rFonts w:hint="eastAsia"/>
        </w:rPr>
        <w:t>、</w:t>
      </w:r>
      <w:r w:rsidRPr="00B4515A">
        <w:t>46.12%</w:t>
      </w:r>
      <w:r w:rsidRPr="00B4515A">
        <w:rPr>
          <w:rFonts w:hint="eastAsia"/>
        </w:rPr>
        <w:t>。</w:t>
      </w:r>
    </w:p>
    <w:p w14:paraId="6B72C862" w14:textId="77777777" w:rsidR="006416B0" w:rsidRPr="00B4515A" w:rsidRDefault="005E58C1" w:rsidP="003357B7">
      <w:pPr>
        <w:pStyle w:val="005"/>
        <w:spacing w:before="120" w:after="120"/>
        <w:ind w:firstLine="480"/>
        <w:rPr>
          <w:rFonts w:ascii="楷体" w:eastAsia="楷体" w:hAnsi="楷体"/>
          <w:b/>
        </w:rPr>
      </w:pPr>
      <w:r w:rsidRPr="00B4515A">
        <w:rPr>
          <w:rFonts w:hint="eastAsia"/>
        </w:rPr>
        <w:t>标的公司产品属于无线通信行业，根据可比公司披露的</w:t>
      </w:r>
      <w:r w:rsidRPr="00B4515A">
        <w:t>2019</w:t>
      </w:r>
      <w:r w:rsidRPr="00B4515A">
        <w:rPr>
          <w:rFonts w:hint="eastAsia"/>
        </w:rPr>
        <w:t>年、</w:t>
      </w:r>
      <w:r w:rsidRPr="00B4515A">
        <w:t>2020</w:t>
      </w:r>
      <w:r w:rsidRPr="00B4515A">
        <w:rPr>
          <w:rFonts w:hint="eastAsia"/>
        </w:rPr>
        <w:t>年年报，可比公司产品分类中属于无线通信行业的产品的</w:t>
      </w:r>
      <w:r w:rsidRPr="00B4515A">
        <w:rPr>
          <w:rFonts w:asciiTheme="minorEastAsia" w:hAnsiTheme="minorEastAsia" w:hint="eastAsia"/>
        </w:rPr>
        <w:t>平均</w:t>
      </w:r>
      <w:r w:rsidRPr="00B4515A">
        <w:rPr>
          <w:rFonts w:hint="eastAsia"/>
        </w:rPr>
        <w:t>毛利率分别为</w:t>
      </w:r>
      <w:r w:rsidRPr="00B4515A">
        <w:t>53.29%</w:t>
      </w:r>
      <w:r w:rsidRPr="00B4515A">
        <w:rPr>
          <w:rFonts w:hint="eastAsia"/>
        </w:rPr>
        <w:t>、</w:t>
      </w:r>
      <w:r w:rsidRPr="00B4515A">
        <w:t>54.14%</w:t>
      </w:r>
      <w:r w:rsidRPr="00B4515A">
        <w:rPr>
          <w:rFonts w:hint="eastAsia"/>
        </w:rPr>
        <w:t>，与标的公司毛利率相比没有显著差异。</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68"/>
        <w:gridCol w:w="3305"/>
        <w:gridCol w:w="1665"/>
        <w:gridCol w:w="1690"/>
      </w:tblGrid>
      <w:tr w:rsidR="006416B0" w:rsidRPr="00B4515A" w14:paraId="43501120" w14:textId="77777777" w:rsidTr="00031627">
        <w:trPr>
          <w:trHeight w:val="340"/>
          <w:jc w:val="center"/>
        </w:trPr>
        <w:tc>
          <w:tcPr>
            <w:tcW w:w="1095" w:type="pct"/>
            <w:vMerge w:val="restart"/>
            <w:shd w:val="clear" w:color="auto" w:fill="auto"/>
            <w:tcMar>
              <w:top w:w="0" w:type="dxa"/>
              <w:left w:w="108" w:type="dxa"/>
              <w:bottom w:w="0" w:type="dxa"/>
              <w:right w:w="108" w:type="dxa"/>
            </w:tcMar>
            <w:vAlign w:val="center"/>
          </w:tcPr>
          <w:p w14:paraId="2D7E3C2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公司</w:t>
            </w:r>
          </w:p>
        </w:tc>
        <w:tc>
          <w:tcPr>
            <w:tcW w:w="1938" w:type="pct"/>
            <w:vMerge w:val="restart"/>
            <w:shd w:val="clear" w:color="auto" w:fill="auto"/>
            <w:tcMar>
              <w:top w:w="0" w:type="dxa"/>
              <w:left w:w="108" w:type="dxa"/>
              <w:bottom w:w="0" w:type="dxa"/>
              <w:right w:w="108" w:type="dxa"/>
            </w:tcMar>
            <w:vAlign w:val="center"/>
          </w:tcPr>
          <w:p w14:paraId="5ED69B6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产品分类</w:t>
            </w:r>
          </w:p>
        </w:tc>
        <w:tc>
          <w:tcPr>
            <w:tcW w:w="976" w:type="pct"/>
            <w:shd w:val="clear" w:color="auto" w:fill="auto"/>
            <w:tcMar>
              <w:top w:w="0" w:type="dxa"/>
              <w:left w:w="108" w:type="dxa"/>
              <w:bottom w:w="0" w:type="dxa"/>
              <w:right w:w="108" w:type="dxa"/>
            </w:tcMar>
            <w:vAlign w:val="center"/>
          </w:tcPr>
          <w:p w14:paraId="6A13B1B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b/>
                <w:bCs/>
                <w:color w:val="000000"/>
                <w:sz w:val="21"/>
                <w:szCs w:val="21"/>
              </w:rPr>
              <w:t>年度</w:t>
            </w:r>
          </w:p>
        </w:tc>
        <w:tc>
          <w:tcPr>
            <w:tcW w:w="991" w:type="pct"/>
            <w:shd w:val="clear" w:color="auto" w:fill="auto"/>
            <w:tcMar>
              <w:top w:w="0" w:type="dxa"/>
              <w:left w:w="108" w:type="dxa"/>
              <w:bottom w:w="0" w:type="dxa"/>
              <w:right w:w="108" w:type="dxa"/>
            </w:tcMar>
            <w:vAlign w:val="center"/>
          </w:tcPr>
          <w:p w14:paraId="10951B9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年度</w:t>
            </w:r>
          </w:p>
        </w:tc>
      </w:tr>
      <w:tr w:rsidR="006416B0" w:rsidRPr="00B4515A" w14:paraId="44C06836" w14:textId="77777777" w:rsidTr="00031627">
        <w:trPr>
          <w:trHeight w:val="340"/>
          <w:jc w:val="center"/>
        </w:trPr>
        <w:tc>
          <w:tcPr>
            <w:tcW w:w="1095" w:type="pct"/>
            <w:vMerge/>
            <w:tcMar>
              <w:top w:w="0" w:type="dxa"/>
              <w:left w:w="108" w:type="dxa"/>
              <w:bottom w:w="0" w:type="dxa"/>
              <w:right w:w="108" w:type="dxa"/>
            </w:tcMar>
            <w:vAlign w:val="center"/>
          </w:tcPr>
          <w:p w14:paraId="71ADC4F9"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1938" w:type="pct"/>
            <w:vMerge/>
            <w:tcMar>
              <w:top w:w="0" w:type="dxa"/>
              <w:left w:w="108" w:type="dxa"/>
              <w:bottom w:w="0" w:type="dxa"/>
              <w:right w:w="108" w:type="dxa"/>
            </w:tcMar>
            <w:vAlign w:val="center"/>
          </w:tcPr>
          <w:p w14:paraId="326A882F"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976" w:type="pct"/>
            <w:shd w:val="clear" w:color="auto" w:fill="auto"/>
            <w:tcMar>
              <w:top w:w="0" w:type="dxa"/>
              <w:left w:w="108" w:type="dxa"/>
              <w:bottom w:w="0" w:type="dxa"/>
              <w:right w:w="108" w:type="dxa"/>
            </w:tcMar>
            <w:vAlign w:val="center"/>
          </w:tcPr>
          <w:p w14:paraId="3BF7332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毛利率</w:t>
            </w:r>
          </w:p>
        </w:tc>
        <w:tc>
          <w:tcPr>
            <w:tcW w:w="991" w:type="pct"/>
            <w:shd w:val="clear" w:color="auto" w:fill="auto"/>
            <w:tcMar>
              <w:top w:w="0" w:type="dxa"/>
              <w:left w:w="108" w:type="dxa"/>
              <w:bottom w:w="0" w:type="dxa"/>
              <w:right w:w="108" w:type="dxa"/>
            </w:tcMar>
            <w:vAlign w:val="center"/>
          </w:tcPr>
          <w:p w14:paraId="1571AB2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毛利率</w:t>
            </w:r>
          </w:p>
        </w:tc>
      </w:tr>
      <w:tr w:rsidR="006416B0" w:rsidRPr="00B4515A" w14:paraId="27E5550E" w14:textId="77777777" w:rsidTr="00031627">
        <w:trPr>
          <w:trHeight w:val="340"/>
          <w:jc w:val="center"/>
        </w:trPr>
        <w:tc>
          <w:tcPr>
            <w:tcW w:w="1095" w:type="pct"/>
            <w:shd w:val="clear" w:color="auto" w:fill="auto"/>
            <w:tcMar>
              <w:top w:w="0" w:type="dxa"/>
              <w:left w:w="108" w:type="dxa"/>
              <w:bottom w:w="0" w:type="dxa"/>
              <w:right w:w="108" w:type="dxa"/>
            </w:tcMar>
            <w:vAlign w:val="center"/>
          </w:tcPr>
          <w:p w14:paraId="246AC66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大唐联诚</w:t>
            </w:r>
          </w:p>
        </w:tc>
        <w:tc>
          <w:tcPr>
            <w:tcW w:w="1938" w:type="pct"/>
            <w:shd w:val="clear" w:color="auto" w:fill="auto"/>
            <w:tcMar>
              <w:top w:w="0" w:type="dxa"/>
              <w:left w:w="108" w:type="dxa"/>
              <w:bottom w:w="0" w:type="dxa"/>
              <w:right w:w="108" w:type="dxa"/>
            </w:tcMar>
            <w:vAlign w:val="center"/>
          </w:tcPr>
          <w:p w14:paraId="2F4AD8C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特种无线通信行业</w:t>
            </w:r>
          </w:p>
        </w:tc>
        <w:tc>
          <w:tcPr>
            <w:tcW w:w="976" w:type="pct"/>
            <w:shd w:val="clear" w:color="auto" w:fill="auto"/>
            <w:tcMar>
              <w:top w:w="0" w:type="dxa"/>
              <w:left w:w="108" w:type="dxa"/>
              <w:bottom w:w="0" w:type="dxa"/>
              <w:right w:w="108" w:type="dxa"/>
            </w:tcMar>
            <w:vAlign w:val="center"/>
          </w:tcPr>
          <w:p w14:paraId="656C19D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53.04%</w:t>
            </w:r>
          </w:p>
        </w:tc>
        <w:tc>
          <w:tcPr>
            <w:tcW w:w="991" w:type="pct"/>
            <w:shd w:val="clear" w:color="auto" w:fill="auto"/>
            <w:tcMar>
              <w:top w:w="0" w:type="dxa"/>
              <w:left w:w="108" w:type="dxa"/>
              <w:bottom w:w="0" w:type="dxa"/>
              <w:right w:w="108" w:type="dxa"/>
            </w:tcMar>
            <w:vAlign w:val="center"/>
          </w:tcPr>
          <w:p w14:paraId="7F2775F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49.20%</w:t>
            </w:r>
          </w:p>
        </w:tc>
      </w:tr>
      <w:tr w:rsidR="006416B0" w:rsidRPr="00B4515A" w14:paraId="2CA8890D" w14:textId="77777777" w:rsidTr="00031627">
        <w:trPr>
          <w:trHeight w:val="340"/>
          <w:jc w:val="center"/>
        </w:trPr>
        <w:tc>
          <w:tcPr>
            <w:tcW w:w="1095" w:type="pct"/>
            <w:shd w:val="clear" w:color="auto" w:fill="auto"/>
            <w:tcMar>
              <w:top w:w="0" w:type="dxa"/>
              <w:left w:w="108" w:type="dxa"/>
              <w:bottom w:w="0" w:type="dxa"/>
              <w:right w:w="108" w:type="dxa"/>
            </w:tcMar>
            <w:vAlign w:val="center"/>
          </w:tcPr>
          <w:p w14:paraId="23FCC92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上海瀚讯</w:t>
            </w:r>
          </w:p>
        </w:tc>
        <w:tc>
          <w:tcPr>
            <w:tcW w:w="1938" w:type="pct"/>
            <w:shd w:val="clear" w:color="auto" w:fill="auto"/>
            <w:tcMar>
              <w:top w:w="0" w:type="dxa"/>
              <w:left w:w="108" w:type="dxa"/>
              <w:bottom w:w="0" w:type="dxa"/>
              <w:right w:w="108" w:type="dxa"/>
            </w:tcMar>
            <w:vAlign w:val="center"/>
          </w:tcPr>
          <w:p w14:paraId="33BD0F6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宽带移动通信行业</w:t>
            </w:r>
          </w:p>
        </w:tc>
        <w:tc>
          <w:tcPr>
            <w:tcW w:w="976" w:type="pct"/>
            <w:shd w:val="clear" w:color="auto" w:fill="auto"/>
            <w:tcMar>
              <w:top w:w="0" w:type="dxa"/>
              <w:left w:w="108" w:type="dxa"/>
              <w:bottom w:w="0" w:type="dxa"/>
              <w:right w:w="108" w:type="dxa"/>
            </w:tcMar>
            <w:vAlign w:val="center"/>
          </w:tcPr>
          <w:p w14:paraId="77045AB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62.90%</w:t>
            </w:r>
          </w:p>
        </w:tc>
        <w:tc>
          <w:tcPr>
            <w:tcW w:w="991" w:type="pct"/>
            <w:shd w:val="clear" w:color="auto" w:fill="auto"/>
            <w:tcMar>
              <w:top w:w="0" w:type="dxa"/>
              <w:left w:w="108" w:type="dxa"/>
              <w:bottom w:w="0" w:type="dxa"/>
              <w:right w:w="108" w:type="dxa"/>
            </w:tcMar>
            <w:vAlign w:val="center"/>
          </w:tcPr>
          <w:p w14:paraId="7D186A0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63.88%</w:t>
            </w:r>
          </w:p>
        </w:tc>
      </w:tr>
      <w:tr w:rsidR="006416B0" w:rsidRPr="00B4515A" w14:paraId="0B535A50" w14:textId="77777777" w:rsidTr="00031627">
        <w:trPr>
          <w:trHeight w:val="340"/>
          <w:jc w:val="center"/>
        </w:trPr>
        <w:tc>
          <w:tcPr>
            <w:tcW w:w="1095" w:type="pct"/>
            <w:shd w:val="clear" w:color="auto" w:fill="auto"/>
            <w:tcMar>
              <w:top w:w="0" w:type="dxa"/>
              <w:left w:w="108" w:type="dxa"/>
              <w:bottom w:w="0" w:type="dxa"/>
              <w:right w:w="108" w:type="dxa"/>
            </w:tcMar>
            <w:vAlign w:val="center"/>
          </w:tcPr>
          <w:p w14:paraId="589E90F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海格通信</w:t>
            </w:r>
          </w:p>
        </w:tc>
        <w:tc>
          <w:tcPr>
            <w:tcW w:w="1938" w:type="pct"/>
            <w:shd w:val="clear" w:color="auto" w:fill="auto"/>
            <w:tcMar>
              <w:top w:w="0" w:type="dxa"/>
              <w:left w:w="108" w:type="dxa"/>
              <w:bottom w:w="0" w:type="dxa"/>
              <w:right w:w="108" w:type="dxa"/>
            </w:tcMar>
            <w:vAlign w:val="center"/>
          </w:tcPr>
          <w:p w14:paraId="562C140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无线通信</w:t>
            </w:r>
          </w:p>
        </w:tc>
        <w:tc>
          <w:tcPr>
            <w:tcW w:w="976" w:type="pct"/>
            <w:shd w:val="clear" w:color="auto" w:fill="auto"/>
            <w:tcMar>
              <w:top w:w="0" w:type="dxa"/>
              <w:left w:w="108" w:type="dxa"/>
              <w:bottom w:w="0" w:type="dxa"/>
              <w:right w:w="108" w:type="dxa"/>
            </w:tcMar>
            <w:vAlign w:val="center"/>
          </w:tcPr>
          <w:p w14:paraId="7408D7C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49.58%</w:t>
            </w:r>
          </w:p>
        </w:tc>
        <w:tc>
          <w:tcPr>
            <w:tcW w:w="991" w:type="pct"/>
            <w:shd w:val="clear" w:color="auto" w:fill="auto"/>
            <w:tcMar>
              <w:top w:w="0" w:type="dxa"/>
              <w:left w:w="108" w:type="dxa"/>
              <w:bottom w:w="0" w:type="dxa"/>
              <w:right w:w="108" w:type="dxa"/>
            </w:tcMar>
            <w:vAlign w:val="center"/>
          </w:tcPr>
          <w:p w14:paraId="124C11C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48.19%</w:t>
            </w:r>
          </w:p>
        </w:tc>
      </w:tr>
      <w:tr w:rsidR="006416B0" w:rsidRPr="00B4515A" w14:paraId="784A842F" w14:textId="77777777" w:rsidTr="00031627">
        <w:trPr>
          <w:trHeight w:val="340"/>
          <w:jc w:val="center"/>
        </w:trPr>
        <w:tc>
          <w:tcPr>
            <w:tcW w:w="1095" w:type="pct"/>
            <w:shd w:val="clear" w:color="auto" w:fill="auto"/>
            <w:tcMar>
              <w:top w:w="0" w:type="dxa"/>
              <w:left w:w="108" w:type="dxa"/>
              <w:bottom w:w="0" w:type="dxa"/>
              <w:right w:w="108" w:type="dxa"/>
            </w:tcMar>
            <w:vAlign w:val="center"/>
          </w:tcPr>
          <w:p w14:paraId="17BC601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七一二</w:t>
            </w:r>
          </w:p>
        </w:tc>
        <w:tc>
          <w:tcPr>
            <w:tcW w:w="1938" w:type="pct"/>
            <w:shd w:val="clear" w:color="auto" w:fill="auto"/>
            <w:tcMar>
              <w:top w:w="0" w:type="dxa"/>
              <w:left w:w="108" w:type="dxa"/>
              <w:bottom w:w="0" w:type="dxa"/>
              <w:right w:w="108" w:type="dxa"/>
            </w:tcMar>
            <w:vAlign w:val="center"/>
          </w:tcPr>
          <w:p w14:paraId="30BE3E1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专用无线通信行业</w:t>
            </w:r>
          </w:p>
        </w:tc>
        <w:tc>
          <w:tcPr>
            <w:tcW w:w="976" w:type="pct"/>
            <w:shd w:val="clear" w:color="auto" w:fill="auto"/>
            <w:tcMar>
              <w:top w:w="0" w:type="dxa"/>
              <w:left w:w="108" w:type="dxa"/>
              <w:bottom w:w="0" w:type="dxa"/>
              <w:right w:w="108" w:type="dxa"/>
            </w:tcMar>
            <w:vAlign w:val="center"/>
          </w:tcPr>
          <w:p w14:paraId="0D6026D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47.70%</w:t>
            </w:r>
          </w:p>
        </w:tc>
        <w:tc>
          <w:tcPr>
            <w:tcW w:w="991" w:type="pct"/>
            <w:shd w:val="clear" w:color="auto" w:fill="auto"/>
            <w:tcMar>
              <w:top w:w="0" w:type="dxa"/>
              <w:left w:w="108" w:type="dxa"/>
              <w:bottom w:w="0" w:type="dxa"/>
              <w:right w:w="108" w:type="dxa"/>
            </w:tcMar>
            <w:vAlign w:val="center"/>
          </w:tcPr>
          <w:p w14:paraId="3CBEA19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49.49%</w:t>
            </w:r>
          </w:p>
        </w:tc>
      </w:tr>
      <w:tr w:rsidR="006416B0" w:rsidRPr="00B4515A" w14:paraId="61015692" w14:textId="77777777" w:rsidTr="00031627">
        <w:trPr>
          <w:trHeight w:val="340"/>
          <w:jc w:val="center"/>
        </w:trPr>
        <w:tc>
          <w:tcPr>
            <w:tcW w:w="1095" w:type="pct"/>
            <w:shd w:val="clear" w:color="auto" w:fill="auto"/>
            <w:tcMar>
              <w:top w:w="0" w:type="dxa"/>
              <w:left w:w="108" w:type="dxa"/>
              <w:bottom w:w="0" w:type="dxa"/>
              <w:right w:w="108" w:type="dxa"/>
            </w:tcMar>
            <w:vAlign w:val="center"/>
          </w:tcPr>
          <w:p w14:paraId="5DBDE6D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海能达</w:t>
            </w:r>
          </w:p>
        </w:tc>
        <w:tc>
          <w:tcPr>
            <w:tcW w:w="1938" w:type="pct"/>
            <w:shd w:val="clear" w:color="auto" w:fill="auto"/>
            <w:tcMar>
              <w:top w:w="0" w:type="dxa"/>
              <w:left w:w="108" w:type="dxa"/>
              <w:bottom w:w="0" w:type="dxa"/>
              <w:right w:w="108" w:type="dxa"/>
            </w:tcMar>
            <w:vAlign w:val="center"/>
          </w:tcPr>
          <w:p w14:paraId="594E02B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专业无线通信设备制造业</w:t>
            </w:r>
          </w:p>
        </w:tc>
        <w:tc>
          <w:tcPr>
            <w:tcW w:w="976" w:type="pct"/>
            <w:shd w:val="clear" w:color="auto" w:fill="auto"/>
            <w:tcMar>
              <w:top w:w="0" w:type="dxa"/>
              <w:left w:w="108" w:type="dxa"/>
              <w:bottom w:w="0" w:type="dxa"/>
              <w:right w:w="108" w:type="dxa"/>
            </w:tcMar>
            <w:vAlign w:val="center"/>
          </w:tcPr>
          <w:p w14:paraId="20CA6E2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52.98%</w:t>
            </w:r>
          </w:p>
        </w:tc>
        <w:tc>
          <w:tcPr>
            <w:tcW w:w="991" w:type="pct"/>
            <w:shd w:val="clear" w:color="auto" w:fill="auto"/>
            <w:tcMar>
              <w:top w:w="0" w:type="dxa"/>
              <w:left w:w="108" w:type="dxa"/>
              <w:bottom w:w="0" w:type="dxa"/>
              <w:right w:w="108" w:type="dxa"/>
            </w:tcMar>
            <w:vAlign w:val="center"/>
          </w:tcPr>
          <w:p w14:paraId="10EFF7C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54.99%</w:t>
            </w:r>
          </w:p>
        </w:tc>
      </w:tr>
    </w:tbl>
    <w:p w14:paraId="0B63119C" w14:textId="77777777" w:rsidR="006416B0" w:rsidRPr="00B4515A" w:rsidRDefault="005E58C1" w:rsidP="003357B7">
      <w:pPr>
        <w:pStyle w:val="005"/>
        <w:spacing w:before="120" w:after="120"/>
        <w:ind w:firstLine="480"/>
      </w:pPr>
      <w:r w:rsidRPr="00B4515A">
        <w:rPr>
          <w:rFonts w:hint="eastAsia"/>
        </w:rPr>
        <w:t>综上所述，标的公司报告期内毛利率与可比公司相比没有显著差异。</w:t>
      </w:r>
    </w:p>
    <w:p w14:paraId="72A736BB" w14:textId="77777777" w:rsidR="006416B0" w:rsidRPr="00B4515A" w:rsidRDefault="005E58C1" w:rsidP="003357B7">
      <w:pPr>
        <w:pStyle w:val="005"/>
        <w:spacing w:before="120" w:after="120"/>
        <w:ind w:firstLine="480"/>
        <w:rPr>
          <w:rFonts w:eastAsiaTheme="minorEastAsia"/>
          <w:bCs/>
        </w:rPr>
      </w:pPr>
      <w:r w:rsidRPr="00B4515A">
        <w:rPr>
          <w:rFonts w:eastAsiaTheme="minorEastAsia"/>
          <w:bCs/>
        </w:rPr>
        <w:t>4</w:t>
      </w:r>
      <w:r w:rsidRPr="00B4515A">
        <w:rPr>
          <w:rFonts w:eastAsiaTheme="minorEastAsia" w:hint="eastAsia"/>
          <w:bCs/>
        </w:rPr>
        <w:t>）</w:t>
      </w:r>
      <w:r w:rsidRPr="00B4515A">
        <w:rPr>
          <w:rFonts w:eastAsiaTheme="minorEastAsia"/>
          <w:bCs/>
        </w:rPr>
        <w:t>2021</w:t>
      </w:r>
      <w:r w:rsidRPr="00B4515A">
        <w:rPr>
          <w:rFonts w:eastAsiaTheme="minorEastAsia" w:hint="eastAsia"/>
          <w:bCs/>
        </w:rPr>
        <w:t>年</w:t>
      </w:r>
      <w:r w:rsidRPr="00B4515A">
        <w:rPr>
          <w:rFonts w:eastAsiaTheme="minorEastAsia"/>
          <w:bCs/>
        </w:rPr>
        <w:t>1-4</w:t>
      </w:r>
      <w:r w:rsidRPr="00B4515A">
        <w:rPr>
          <w:rFonts w:eastAsiaTheme="minorEastAsia" w:hint="eastAsia"/>
          <w:bCs/>
        </w:rPr>
        <w:t>月毛利增幅较大的原因</w:t>
      </w:r>
    </w:p>
    <w:p w14:paraId="13EB9275" w14:textId="77777777" w:rsidR="006416B0" w:rsidRPr="00B4515A" w:rsidRDefault="005E58C1" w:rsidP="003357B7">
      <w:pPr>
        <w:pStyle w:val="005"/>
        <w:spacing w:before="120" w:after="120"/>
        <w:ind w:firstLine="480"/>
        <w:rPr>
          <w:rFonts w:eastAsiaTheme="minorEastAsia"/>
          <w:bCs/>
        </w:rPr>
      </w:pPr>
      <w:r w:rsidRPr="00B4515A">
        <w:rPr>
          <w:rFonts w:eastAsiaTheme="minorEastAsia" w:hint="eastAsia"/>
          <w:bCs/>
        </w:rPr>
        <w:t>标的公司三大业务板块下产品类型包含了执勤保障</w:t>
      </w:r>
      <w:r w:rsidRPr="00B4515A">
        <w:rPr>
          <w:rFonts w:eastAsiaTheme="minorEastAsia"/>
          <w:bCs/>
        </w:rPr>
        <w:t>4G</w:t>
      </w:r>
      <w:r w:rsidRPr="00B4515A">
        <w:rPr>
          <w:rFonts w:eastAsiaTheme="minorEastAsia" w:hint="eastAsia"/>
          <w:bCs/>
        </w:rPr>
        <w:t>产品、专用通信终端、专用数据链产品、</w:t>
      </w:r>
      <w:r w:rsidRPr="00B4515A">
        <w:rPr>
          <w:rFonts w:eastAsiaTheme="minorEastAsia"/>
          <w:bCs/>
        </w:rPr>
        <w:t>4G</w:t>
      </w:r>
      <w:r w:rsidRPr="00B4515A">
        <w:rPr>
          <w:rFonts w:eastAsiaTheme="minorEastAsia"/>
          <w:bCs/>
        </w:rPr>
        <w:t>专网产品及技术服务收入、卫星通信终端、信号分析产品</w:t>
      </w:r>
      <w:r w:rsidRPr="00B4515A">
        <w:rPr>
          <w:rFonts w:eastAsiaTheme="minorEastAsia"/>
          <w:bCs/>
        </w:rPr>
        <w:lastRenderedPageBreak/>
        <w:t>等。其中专用数据链产品、</w:t>
      </w:r>
      <w:r w:rsidRPr="00B4515A">
        <w:rPr>
          <w:rFonts w:eastAsiaTheme="minorEastAsia"/>
          <w:bCs/>
        </w:rPr>
        <w:t>4G</w:t>
      </w:r>
      <w:r w:rsidRPr="00B4515A">
        <w:rPr>
          <w:rFonts w:eastAsiaTheme="minorEastAsia"/>
          <w:bCs/>
        </w:rPr>
        <w:t>专网产品及技术服务收入等类型的毛利率较高，该三类产品的毛利率超过</w:t>
      </w:r>
      <w:r w:rsidRPr="00B4515A">
        <w:rPr>
          <w:rFonts w:eastAsiaTheme="minorEastAsia"/>
          <w:bCs/>
        </w:rPr>
        <w:t>50%</w:t>
      </w:r>
      <w:r w:rsidRPr="00B4515A">
        <w:rPr>
          <w:rFonts w:eastAsiaTheme="minorEastAsia" w:hint="eastAsia"/>
          <w:bCs/>
        </w:rPr>
        <w:t>，其中技术服务收入的毛利率超过</w:t>
      </w:r>
      <w:r w:rsidRPr="00B4515A">
        <w:rPr>
          <w:rFonts w:eastAsiaTheme="minorEastAsia"/>
          <w:bCs/>
        </w:rPr>
        <w:t>60%</w:t>
      </w:r>
      <w:r w:rsidRPr="00B4515A">
        <w:rPr>
          <w:rFonts w:eastAsiaTheme="minorEastAsia" w:hint="eastAsia"/>
          <w:bCs/>
        </w:rPr>
        <w:t>。</w:t>
      </w:r>
    </w:p>
    <w:p w14:paraId="4F5E42FB" w14:textId="77777777" w:rsidR="006416B0" w:rsidRPr="00B4515A" w:rsidRDefault="005E58C1" w:rsidP="003357B7">
      <w:pPr>
        <w:pStyle w:val="005"/>
        <w:spacing w:before="120" w:after="120"/>
        <w:ind w:firstLine="480"/>
        <w:rPr>
          <w:rFonts w:eastAsiaTheme="minorEastAsia"/>
          <w:bCs/>
        </w:rPr>
      </w:pPr>
      <w:r w:rsidRPr="00B4515A">
        <w:rPr>
          <w:rFonts w:eastAsiaTheme="minorEastAsia" w:hint="eastAsia"/>
          <w:bCs/>
        </w:rPr>
        <w:t>由于标的公司主要客户集中于特通领域，根据客户需求，标的公司各年销售的产品类型不完全一致。报告期内，标的公司</w:t>
      </w:r>
      <w:r w:rsidRPr="00B4515A">
        <w:rPr>
          <w:rFonts w:eastAsiaTheme="minorEastAsia"/>
          <w:bCs/>
        </w:rPr>
        <w:t>2019</w:t>
      </w:r>
      <w:r w:rsidRPr="00B4515A">
        <w:rPr>
          <w:rFonts w:eastAsiaTheme="minorEastAsia"/>
          <w:bCs/>
        </w:rPr>
        <w:t>年度产品类型中专用数据链产品、</w:t>
      </w:r>
      <w:r w:rsidRPr="00B4515A">
        <w:rPr>
          <w:rFonts w:eastAsiaTheme="minorEastAsia"/>
          <w:bCs/>
        </w:rPr>
        <w:t>4G</w:t>
      </w:r>
      <w:r w:rsidRPr="00B4515A">
        <w:rPr>
          <w:rFonts w:eastAsiaTheme="minorEastAsia"/>
          <w:bCs/>
        </w:rPr>
        <w:t>专网产品及技术服务收入</w:t>
      </w:r>
      <w:r w:rsidRPr="00B4515A">
        <w:rPr>
          <w:rFonts w:eastAsiaTheme="minorEastAsia" w:hint="eastAsia"/>
          <w:bCs/>
        </w:rPr>
        <w:t>占营业收入的比重</w:t>
      </w:r>
      <w:r w:rsidRPr="00B4515A">
        <w:rPr>
          <w:rFonts w:eastAsiaTheme="minorEastAsia"/>
          <w:bCs/>
        </w:rPr>
        <w:t>分别为</w:t>
      </w:r>
      <w:r w:rsidRPr="00B4515A">
        <w:rPr>
          <w:rFonts w:eastAsiaTheme="minorEastAsia"/>
          <w:bCs/>
        </w:rPr>
        <w:t>12.50%</w:t>
      </w:r>
      <w:r w:rsidRPr="00B4515A">
        <w:rPr>
          <w:rFonts w:eastAsiaTheme="minorEastAsia" w:hint="eastAsia"/>
          <w:bCs/>
        </w:rPr>
        <w:t>、</w:t>
      </w:r>
      <w:r w:rsidRPr="00B4515A">
        <w:rPr>
          <w:rFonts w:eastAsiaTheme="minorEastAsia"/>
          <w:bCs/>
        </w:rPr>
        <w:t>30.14%</w:t>
      </w:r>
      <w:r w:rsidRPr="00B4515A">
        <w:rPr>
          <w:rFonts w:eastAsiaTheme="minorEastAsia" w:hint="eastAsia"/>
          <w:bCs/>
        </w:rPr>
        <w:t>、</w:t>
      </w:r>
      <w:r w:rsidRPr="00B4515A">
        <w:rPr>
          <w:rFonts w:eastAsiaTheme="minorEastAsia"/>
          <w:bCs/>
        </w:rPr>
        <w:t>10.47%</w:t>
      </w:r>
      <w:r w:rsidRPr="00B4515A">
        <w:rPr>
          <w:rFonts w:eastAsiaTheme="minorEastAsia"/>
          <w:bCs/>
        </w:rPr>
        <w:t>；</w:t>
      </w:r>
      <w:r w:rsidRPr="00B4515A">
        <w:rPr>
          <w:rFonts w:eastAsiaTheme="minorEastAsia"/>
          <w:bCs/>
        </w:rPr>
        <w:t>2020</w:t>
      </w:r>
      <w:r w:rsidRPr="00B4515A">
        <w:rPr>
          <w:rFonts w:eastAsiaTheme="minorEastAsia"/>
          <w:bCs/>
        </w:rPr>
        <w:t>年度占比分别为</w:t>
      </w:r>
      <w:r w:rsidRPr="00B4515A">
        <w:rPr>
          <w:rFonts w:eastAsiaTheme="minorEastAsia"/>
          <w:bCs/>
        </w:rPr>
        <w:t>3.26%</w:t>
      </w:r>
      <w:r w:rsidRPr="00B4515A">
        <w:rPr>
          <w:rFonts w:eastAsiaTheme="minorEastAsia" w:hint="eastAsia"/>
          <w:bCs/>
        </w:rPr>
        <w:t>、</w:t>
      </w:r>
      <w:r w:rsidRPr="00B4515A">
        <w:rPr>
          <w:rFonts w:eastAsiaTheme="minorEastAsia"/>
          <w:bCs/>
        </w:rPr>
        <w:t>23.17%</w:t>
      </w:r>
      <w:r w:rsidRPr="00B4515A">
        <w:rPr>
          <w:rFonts w:eastAsiaTheme="minorEastAsia" w:hint="eastAsia"/>
          <w:bCs/>
        </w:rPr>
        <w:t>、</w:t>
      </w:r>
      <w:r w:rsidRPr="00B4515A">
        <w:rPr>
          <w:rFonts w:eastAsiaTheme="minorEastAsia"/>
          <w:bCs/>
        </w:rPr>
        <w:t>13.84%</w:t>
      </w:r>
      <w:r w:rsidRPr="00B4515A">
        <w:rPr>
          <w:rFonts w:eastAsiaTheme="minorEastAsia"/>
          <w:bCs/>
        </w:rPr>
        <w:t>；而</w:t>
      </w:r>
      <w:r w:rsidRPr="00B4515A">
        <w:rPr>
          <w:rFonts w:eastAsiaTheme="minorEastAsia"/>
          <w:bCs/>
        </w:rPr>
        <w:t>2021</w:t>
      </w:r>
      <w:r w:rsidRPr="00B4515A">
        <w:rPr>
          <w:rFonts w:eastAsiaTheme="minorEastAsia"/>
          <w:bCs/>
        </w:rPr>
        <w:t>年</w:t>
      </w:r>
      <w:r w:rsidRPr="00B4515A">
        <w:rPr>
          <w:rFonts w:eastAsiaTheme="minorEastAsia"/>
          <w:bCs/>
        </w:rPr>
        <w:t>1-4</w:t>
      </w:r>
      <w:r w:rsidRPr="00B4515A">
        <w:rPr>
          <w:rFonts w:eastAsiaTheme="minorEastAsia"/>
          <w:bCs/>
        </w:rPr>
        <w:t>月份占比分别为</w:t>
      </w:r>
      <w:r w:rsidRPr="00B4515A">
        <w:rPr>
          <w:rFonts w:eastAsiaTheme="minorEastAsia"/>
          <w:bCs/>
        </w:rPr>
        <w:t>28.26%</w:t>
      </w:r>
      <w:r w:rsidRPr="00B4515A">
        <w:rPr>
          <w:rFonts w:eastAsiaTheme="minorEastAsia"/>
          <w:bCs/>
        </w:rPr>
        <w:t>、</w:t>
      </w:r>
      <w:r w:rsidRPr="00B4515A">
        <w:rPr>
          <w:rFonts w:eastAsiaTheme="minorEastAsia"/>
          <w:bCs/>
        </w:rPr>
        <w:t>45.15%</w:t>
      </w:r>
      <w:r w:rsidRPr="00B4515A">
        <w:rPr>
          <w:rFonts w:eastAsiaTheme="minorEastAsia"/>
          <w:bCs/>
        </w:rPr>
        <w:t>、</w:t>
      </w:r>
      <w:r w:rsidRPr="00B4515A">
        <w:rPr>
          <w:rFonts w:eastAsiaTheme="minorEastAsia"/>
          <w:bCs/>
        </w:rPr>
        <w:t>22.93%</w:t>
      </w:r>
      <w:r w:rsidRPr="00B4515A">
        <w:rPr>
          <w:rFonts w:eastAsiaTheme="minorEastAsia"/>
          <w:bCs/>
        </w:rPr>
        <w:t>。</w:t>
      </w:r>
    </w:p>
    <w:p w14:paraId="6E3C8507" w14:textId="77777777" w:rsidR="006416B0" w:rsidRPr="00B4515A" w:rsidRDefault="005E58C1" w:rsidP="003357B7">
      <w:pPr>
        <w:pStyle w:val="005"/>
        <w:spacing w:before="120" w:after="120"/>
        <w:ind w:firstLine="480"/>
        <w:rPr>
          <w:rFonts w:eastAsiaTheme="minorEastAsia"/>
          <w:bCs/>
        </w:rPr>
      </w:pPr>
      <w:r w:rsidRPr="00B4515A">
        <w:rPr>
          <w:rFonts w:eastAsiaTheme="minorEastAsia" w:hint="eastAsia"/>
          <w:bCs/>
        </w:rPr>
        <w:t>综上，由于</w:t>
      </w:r>
      <w:r w:rsidRPr="00B4515A">
        <w:rPr>
          <w:rFonts w:eastAsiaTheme="minorEastAsia"/>
          <w:bCs/>
        </w:rPr>
        <w:t>2021</w:t>
      </w:r>
      <w:r w:rsidRPr="00B4515A">
        <w:rPr>
          <w:rFonts w:eastAsiaTheme="minorEastAsia" w:hint="eastAsia"/>
          <w:bCs/>
        </w:rPr>
        <w:t>年</w:t>
      </w:r>
      <w:r w:rsidRPr="00B4515A">
        <w:rPr>
          <w:rFonts w:eastAsiaTheme="minorEastAsia"/>
          <w:bCs/>
        </w:rPr>
        <w:t>1-4</w:t>
      </w:r>
      <w:r w:rsidRPr="00B4515A">
        <w:rPr>
          <w:rFonts w:eastAsiaTheme="minorEastAsia" w:hint="eastAsia"/>
          <w:bCs/>
        </w:rPr>
        <w:t>月份高毛利率的产品收入占比较高，导致</w:t>
      </w:r>
      <w:r w:rsidRPr="00B4515A">
        <w:rPr>
          <w:rFonts w:eastAsiaTheme="minorEastAsia"/>
          <w:bCs/>
        </w:rPr>
        <w:t>2021</w:t>
      </w:r>
      <w:r w:rsidRPr="00B4515A">
        <w:rPr>
          <w:rFonts w:eastAsiaTheme="minorEastAsia" w:hint="eastAsia"/>
          <w:bCs/>
        </w:rPr>
        <w:t>年</w:t>
      </w:r>
      <w:r w:rsidRPr="00B4515A">
        <w:rPr>
          <w:rFonts w:eastAsiaTheme="minorEastAsia"/>
          <w:bCs/>
        </w:rPr>
        <w:t>1-4</w:t>
      </w:r>
      <w:r w:rsidRPr="00B4515A">
        <w:rPr>
          <w:rFonts w:eastAsiaTheme="minorEastAsia" w:hint="eastAsia"/>
          <w:bCs/>
        </w:rPr>
        <w:t>月毛利增幅较大。</w:t>
      </w:r>
    </w:p>
    <w:p w14:paraId="22C84253" w14:textId="77777777" w:rsidR="006416B0" w:rsidRPr="00B4515A" w:rsidRDefault="005E58C1" w:rsidP="003357B7">
      <w:pPr>
        <w:pStyle w:val="004"/>
        <w:spacing w:before="120" w:after="120"/>
        <w:ind w:firstLine="482"/>
      </w:pPr>
      <w:r w:rsidRPr="00B4515A">
        <w:rPr>
          <w:rFonts w:hint="eastAsia"/>
        </w:rPr>
        <w:t>4</w:t>
      </w:r>
      <w:r w:rsidRPr="00B4515A">
        <w:rPr>
          <w:rFonts w:hint="eastAsia"/>
        </w:rPr>
        <w:t>、</w:t>
      </w:r>
      <w:r w:rsidRPr="00B4515A">
        <w:t>期间费用分析</w:t>
      </w:r>
    </w:p>
    <w:p w14:paraId="77A52977" w14:textId="77777777" w:rsidR="006416B0" w:rsidRPr="00B4515A" w:rsidRDefault="005E58C1" w:rsidP="003357B7">
      <w:pPr>
        <w:pStyle w:val="005"/>
        <w:spacing w:before="120" w:after="120"/>
        <w:ind w:firstLine="480"/>
      </w:pPr>
      <w:r w:rsidRPr="00B4515A">
        <w:rPr>
          <w:rFonts w:hint="eastAsia"/>
        </w:rPr>
        <w:t>报告期内各期，大唐联诚期间费用分别为</w:t>
      </w:r>
      <w:r w:rsidRPr="00B4515A">
        <w:t>19,369.36</w:t>
      </w:r>
      <w:r w:rsidRPr="00B4515A">
        <w:rPr>
          <w:rFonts w:hint="eastAsia"/>
        </w:rPr>
        <w:t>万元、</w:t>
      </w:r>
      <w:r w:rsidRPr="00B4515A">
        <w:t>21,848.02</w:t>
      </w:r>
      <w:r w:rsidRPr="00B4515A">
        <w:rPr>
          <w:rFonts w:hint="eastAsia"/>
        </w:rPr>
        <w:t>万元、</w:t>
      </w:r>
      <w:r w:rsidRPr="00B4515A">
        <w:t>6,072.55</w:t>
      </w:r>
      <w:r w:rsidRPr="00B4515A">
        <w:rPr>
          <w:rFonts w:hint="eastAsia"/>
        </w:rPr>
        <w:t>万元，占营业收入的比重分别为</w:t>
      </w:r>
      <w:r w:rsidRPr="00B4515A">
        <w:t>52.80%</w:t>
      </w:r>
      <w:r w:rsidRPr="00B4515A">
        <w:rPr>
          <w:rFonts w:hint="eastAsia"/>
        </w:rPr>
        <w:t>、</w:t>
      </w:r>
      <w:r w:rsidRPr="00B4515A">
        <w:t>39.52%</w:t>
      </w:r>
      <w:r w:rsidRPr="00B4515A">
        <w:rPr>
          <w:rFonts w:hint="eastAsia"/>
        </w:rPr>
        <w:t>、</w:t>
      </w:r>
      <w:r w:rsidRPr="00B4515A">
        <w:t>47.60%</w:t>
      </w:r>
      <w:r w:rsidRPr="00B4515A">
        <w:rPr>
          <w:rFonts w:hint="eastAsia"/>
        </w:rPr>
        <w:t>。</w:t>
      </w:r>
    </w:p>
    <w:p w14:paraId="1634A6BB" w14:textId="77777777" w:rsidR="006416B0" w:rsidRPr="00B4515A" w:rsidRDefault="005E58C1" w:rsidP="003357B7">
      <w:pPr>
        <w:pStyle w:val="005"/>
        <w:spacing w:before="120" w:after="120"/>
        <w:ind w:firstLine="480"/>
      </w:pPr>
      <w:r w:rsidRPr="00B4515A">
        <w:rPr>
          <w:rFonts w:hint="eastAsia"/>
        </w:rPr>
        <w:t>报告期内，大唐联诚各项期间费用金额情况如下：</w:t>
      </w:r>
    </w:p>
    <w:p w14:paraId="7CED0801"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43"/>
        <w:gridCol w:w="1207"/>
        <w:gridCol w:w="1368"/>
        <w:gridCol w:w="1366"/>
        <w:gridCol w:w="1220"/>
        <w:gridCol w:w="1133"/>
        <w:gridCol w:w="1191"/>
      </w:tblGrid>
      <w:tr w:rsidR="006416B0" w:rsidRPr="00B4515A" w14:paraId="126B649D" w14:textId="77777777" w:rsidTr="003357B7">
        <w:trPr>
          <w:trHeight w:val="340"/>
          <w:jc w:val="center"/>
        </w:trPr>
        <w:tc>
          <w:tcPr>
            <w:tcW w:w="612" w:type="pct"/>
            <w:vMerge w:val="restart"/>
            <w:shd w:val="clear" w:color="auto" w:fill="auto"/>
            <w:tcMar>
              <w:top w:w="0" w:type="dxa"/>
              <w:left w:w="108" w:type="dxa"/>
              <w:bottom w:w="0" w:type="dxa"/>
              <w:right w:w="108" w:type="dxa"/>
            </w:tcMar>
            <w:vAlign w:val="center"/>
          </w:tcPr>
          <w:p w14:paraId="2C5917C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510" w:type="pct"/>
            <w:gridSpan w:val="2"/>
            <w:shd w:val="clear" w:color="auto" w:fill="auto"/>
            <w:tcMar>
              <w:top w:w="0" w:type="dxa"/>
              <w:left w:w="108" w:type="dxa"/>
              <w:bottom w:w="0" w:type="dxa"/>
              <w:right w:w="108" w:type="dxa"/>
            </w:tcMar>
            <w:vAlign w:val="center"/>
          </w:tcPr>
          <w:p w14:paraId="70F23296" w14:textId="288BA0BC"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年度</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1516" w:type="pct"/>
            <w:gridSpan w:val="2"/>
            <w:shd w:val="clear" w:color="auto" w:fill="auto"/>
            <w:tcMar>
              <w:top w:w="0" w:type="dxa"/>
              <w:left w:w="108" w:type="dxa"/>
              <w:bottom w:w="0" w:type="dxa"/>
              <w:right w:w="108" w:type="dxa"/>
            </w:tcMar>
            <w:vAlign w:val="center"/>
          </w:tcPr>
          <w:p w14:paraId="168BAA0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2020 </w:t>
            </w:r>
            <w:r w:rsidRPr="00B4515A">
              <w:rPr>
                <w:rFonts w:ascii="Times New Roman" w:eastAsiaTheme="minorEastAsia" w:hAnsi="Times New Roman" w:cs="Times New Roman" w:hint="eastAsia"/>
                <w:b/>
                <w:bCs/>
                <w:color w:val="000000"/>
                <w:sz w:val="21"/>
                <w:szCs w:val="21"/>
              </w:rPr>
              <w:t>年度</w:t>
            </w:r>
          </w:p>
        </w:tc>
        <w:tc>
          <w:tcPr>
            <w:tcW w:w="1363" w:type="pct"/>
            <w:gridSpan w:val="2"/>
            <w:shd w:val="clear" w:color="auto" w:fill="auto"/>
            <w:tcMar>
              <w:top w:w="0" w:type="dxa"/>
              <w:left w:w="108" w:type="dxa"/>
              <w:bottom w:w="0" w:type="dxa"/>
              <w:right w:w="108" w:type="dxa"/>
            </w:tcMar>
            <w:vAlign w:val="center"/>
          </w:tcPr>
          <w:p w14:paraId="0706294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2019 </w:t>
            </w:r>
            <w:r w:rsidRPr="00B4515A">
              <w:rPr>
                <w:rFonts w:ascii="Times New Roman" w:eastAsiaTheme="minorEastAsia" w:hAnsi="Times New Roman" w:cs="Times New Roman" w:hint="eastAsia"/>
                <w:b/>
                <w:bCs/>
                <w:color w:val="000000"/>
                <w:sz w:val="21"/>
                <w:szCs w:val="21"/>
              </w:rPr>
              <w:t>年度</w:t>
            </w:r>
          </w:p>
        </w:tc>
      </w:tr>
      <w:tr w:rsidR="006416B0" w:rsidRPr="00B4515A" w14:paraId="462D5FFE" w14:textId="77777777" w:rsidTr="003357B7">
        <w:trPr>
          <w:trHeight w:val="340"/>
          <w:jc w:val="center"/>
        </w:trPr>
        <w:tc>
          <w:tcPr>
            <w:tcW w:w="612" w:type="pct"/>
            <w:vMerge/>
            <w:shd w:val="clear" w:color="auto" w:fill="auto"/>
            <w:tcMar>
              <w:top w:w="0" w:type="dxa"/>
              <w:left w:w="108" w:type="dxa"/>
              <w:bottom w:w="0" w:type="dxa"/>
              <w:right w:w="108" w:type="dxa"/>
            </w:tcMar>
            <w:vAlign w:val="center"/>
          </w:tcPr>
          <w:p w14:paraId="3CFF9541"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708" w:type="pct"/>
            <w:shd w:val="clear" w:color="auto" w:fill="auto"/>
            <w:tcMar>
              <w:top w:w="0" w:type="dxa"/>
              <w:left w:w="108" w:type="dxa"/>
              <w:bottom w:w="0" w:type="dxa"/>
              <w:right w:w="108" w:type="dxa"/>
            </w:tcMar>
            <w:vAlign w:val="center"/>
          </w:tcPr>
          <w:p w14:paraId="340DBDA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802" w:type="pct"/>
            <w:shd w:val="clear" w:color="auto" w:fill="auto"/>
            <w:tcMar>
              <w:top w:w="0" w:type="dxa"/>
              <w:left w:w="108" w:type="dxa"/>
              <w:bottom w:w="0" w:type="dxa"/>
              <w:right w:w="108" w:type="dxa"/>
            </w:tcMar>
            <w:vAlign w:val="center"/>
          </w:tcPr>
          <w:p w14:paraId="0E3062E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收入占比</w:t>
            </w:r>
          </w:p>
        </w:tc>
        <w:tc>
          <w:tcPr>
            <w:tcW w:w="801" w:type="pct"/>
            <w:shd w:val="clear" w:color="auto" w:fill="auto"/>
            <w:tcMar>
              <w:top w:w="0" w:type="dxa"/>
              <w:left w:w="108" w:type="dxa"/>
              <w:bottom w:w="0" w:type="dxa"/>
              <w:right w:w="108" w:type="dxa"/>
            </w:tcMar>
            <w:vAlign w:val="center"/>
          </w:tcPr>
          <w:p w14:paraId="714E8E6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715" w:type="pct"/>
            <w:shd w:val="clear" w:color="auto" w:fill="auto"/>
            <w:tcMar>
              <w:top w:w="0" w:type="dxa"/>
              <w:left w:w="108" w:type="dxa"/>
              <w:bottom w:w="0" w:type="dxa"/>
              <w:right w:w="108" w:type="dxa"/>
            </w:tcMar>
            <w:vAlign w:val="center"/>
          </w:tcPr>
          <w:p w14:paraId="6DBA13D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收入占比</w:t>
            </w:r>
          </w:p>
        </w:tc>
        <w:tc>
          <w:tcPr>
            <w:tcW w:w="664" w:type="pct"/>
            <w:shd w:val="clear" w:color="auto" w:fill="auto"/>
            <w:tcMar>
              <w:top w:w="0" w:type="dxa"/>
              <w:left w:w="108" w:type="dxa"/>
              <w:bottom w:w="0" w:type="dxa"/>
              <w:right w:w="108" w:type="dxa"/>
            </w:tcMar>
            <w:vAlign w:val="center"/>
          </w:tcPr>
          <w:p w14:paraId="16989DF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98" w:type="pct"/>
            <w:shd w:val="clear" w:color="auto" w:fill="auto"/>
            <w:tcMar>
              <w:top w:w="0" w:type="dxa"/>
              <w:left w:w="108" w:type="dxa"/>
              <w:bottom w:w="0" w:type="dxa"/>
              <w:right w:w="108" w:type="dxa"/>
            </w:tcMar>
            <w:vAlign w:val="center"/>
          </w:tcPr>
          <w:p w14:paraId="77EFD0E2" w14:textId="0DD2FEC4" w:rsidR="006416B0" w:rsidRPr="00B4515A" w:rsidRDefault="005E58C1" w:rsidP="003357B7">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收入占比</w:t>
            </w:r>
          </w:p>
        </w:tc>
      </w:tr>
      <w:tr w:rsidR="006416B0" w:rsidRPr="00B4515A" w14:paraId="05382C2E" w14:textId="77777777" w:rsidTr="003357B7">
        <w:trPr>
          <w:trHeight w:val="340"/>
          <w:jc w:val="center"/>
        </w:trPr>
        <w:tc>
          <w:tcPr>
            <w:tcW w:w="612" w:type="pct"/>
            <w:shd w:val="clear" w:color="auto" w:fill="auto"/>
            <w:tcMar>
              <w:top w:w="0" w:type="dxa"/>
              <w:left w:w="108" w:type="dxa"/>
              <w:bottom w:w="0" w:type="dxa"/>
              <w:right w:w="108" w:type="dxa"/>
            </w:tcMar>
            <w:vAlign w:val="center"/>
          </w:tcPr>
          <w:p w14:paraId="72845CCC"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销售</w:t>
            </w:r>
          </w:p>
          <w:p w14:paraId="55C870B5" w14:textId="5AE8F5C5"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费用</w:t>
            </w:r>
          </w:p>
        </w:tc>
        <w:tc>
          <w:tcPr>
            <w:tcW w:w="708" w:type="pct"/>
            <w:shd w:val="clear" w:color="auto" w:fill="auto"/>
            <w:tcMar>
              <w:top w:w="0" w:type="dxa"/>
              <w:left w:w="108" w:type="dxa"/>
              <w:bottom w:w="0" w:type="dxa"/>
              <w:right w:w="108" w:type="dxa"/>
            </w:tcMar>
            <w:vAlign w:val="center"/>
          </w:tcPr>
          <w:p w14:paraId="0598BD0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485.07</w:t>
            </w:r>
          </w:p>
        </w:tc>
        <w:tc>
          <w:tcPr>
            <w:tcW w:w="802" w:type="pct"/>
            <w:shd w:val="clear" w:color="auto" w:fill="auto"/>
            <w:tcMar>
              <w:top w:w="0" w:type="dxa"/>
              <w:left w:w="108" w:type="dxa"/>
              <w:bottom w:w="0" w:type="dxa"/>
              <w:right w:w="108" w:type="dxa"/>
            </w:tcMar>
            <w:vAlign w:val="center"/>
          </w:tcPr>
          <w:p w14:paraId="4F977C6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3.80%</w:t>
            </w:r>
          </w:p>
        </w:tc>
        <w:tc>
          <w:tcPr>
            <w:tcW w:w="801" w:type="pct"/>
            <w:shd w:val="clear" w:color="auto" w:fill="auto"/>
            <w:tcMar>
              <w:top w:w="0" w:type="dxa"/>
              <w:left w:w="108" w:type="dxa"/>
              <w:bottom w:w="0" w:type="dxa"/>
              <w:right w:w="108" w:type="dxa"/>
            </w:tcMar>
            <w:vAlign w:val="center"/>
          </w:tcPr>
          <w:p w14:paraId="018C0EE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1,976.47</w:t>
            </w:r>
          </w:p>
        </w:tc>
        <w:tc>
          <w:tcPr>
            <w:tcW w:w="715" w:type="pct"/>
            <w:shd w:val="clear" w:color="auto" w:fill="auto"/>
            <w:tcMar>
              <w:top w:w="0" w:type="dxa"/>
              <w:left w:w="108" w:type="dxa"/>
              <w:bottom w:w="0" w:type="dxa"/>
              <w:right w:w="108" w:type="dxa"/>
            </w:tcMar>
            <w:vAlign w:val="center"/>
          </w:tcPr>
          <w:p w14:paraId="7524701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3.58%</w:t>
            </w:r>
          </w:p>
        </w:tc>
        <w:tc>
          <w:tcPr>
            <w:tcW w:w="664" w:type="pct"/>
            <w:shd w:val="clear" w:color="auto" w:fill="auto"/>
            <w:tcMar>
              <w:top w:w="0" w:type="dxa"/>
              <w:left w:w="108" w:type="dxa"/>
              <w:bottom w:w="0" w:type="dxa"/>
              <w:right w:w="108" w:type="dxa"/>
            </w:tcMar>
            <w:vAlign w:val="center"/>
          </w:tcPr>
          <w:p w14:paraId="11ECD05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2,351.27</w:t>
            </w:r>
          </w:p>
        </w:tc>
        <w:tc>
          <w:tcPr>
            <w:tcW w:w="698" w:type="pct"/>
            <w:shd w:val="clear" w:color="auto" w:fill="auto"/>
            <w:tcMar>
              <w:top w:w="0" w:type="dxa"/>
              <w:left w:w="108" w:type="dxa"/>
              <w:bottom w:w="0" w:type="dxa"/>
              <w:right w:w="108" w:type="dxa"/>
            </w:tcMar>
            <w:vAlign w:val="center"/>
          </w:tcPr>
          <w:p w14:paraId="450253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6.41%</w:t>
            </w:r>
          </w:p>
        </w:tc>
      </w:tr>
      <w:tr w:rsidR="006416B0" w:rsidRPr="00B4515A" w14:paraId="23CCCDF7" w14:textId="77777777" w:rsidTr="003357B7">
        <w:trPr>
          <w:trHeight w:val="340"/>
          <w:jc w:val="center"/>
        </w:trPr>
        <w:tc>
          <w:tcPr>
            <w:tcW w:w="612" w:type="pct"/>
            <w:shd w:val="clear" w:color="auto" w:fill="auto"/>
            <w:tcMar>
              <w:top w:w="0" w:type="dxa"/>
              <w:left w:w="108" w:type="dxa"/>
              <w:bottom w:w="0" w:type="dxa"/>
              <w:right w:w="108" w:type="dxa"/>
            </w:tcMar>
            <w:vAlign w:val="center"/>
          </w:tcPr>
          <w:p w14:paraId="3629638E"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管理</w:t>
            </w:r>
          </w:p>
          <w:p w14:paraId="5703A51F" w14:textId="6CDD0205"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费用</w:t>
            </w:r>
          </w:p>
        </w:tc>
        <w:tc>
          <w:tcPr>
            <w:tcW w:w="708" w:type="pct"/>
            <w:shd w:val="clear" w:color="auto" w:fill="auto"/>
            <w:tcMar>
              <w:top w:w="0" w:type="dxa"/>
              <w:left w:w="108" w:type="dxa"/>
              <w:bottom w:w="0" w:type="dxa"/>
              <w:right w:w="108" w:type="dxa"/>
            </w:tcMar>
            <w:vAlign w:val="center"/>
          </w:tcPr>
          <w:p w14:paraId="41E269E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1,403.45</w:t>
            </w:r>
          </w:p>
        </w:tc>
        <w:tc>
          <w:tcPr>
            <w:tcW w:w="802" w:type="pct"/>
            <w:shd w:val="clear" w:color="auto" w:fill="auto"/>
            <w:tcMar>
              <w:top w:w="0" w:type="dxa"/>
              <w:left w:w="108" w:type="dxa"/>
              <w:bottom w:w="0" w:type="dxa"/>
              <w:right w:w="108" w:type="dxa"/>
            </w:tcMar>
            <w:vAlign w:val="center"/>
          </w:tcPr>
          <w:p w14:paraId="2604D1D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11.00%</w:t>
            </w:r>
          </w:p>
        </w:tc>
        <w:tc>
          <w:tcPr>
            <w:tcW w:w="801" w:type="pct"/>
            <w:shd w:val="clear" w:color="auto" w:fill="auto"/>
            <w:tcMar>
              <w:top w:w="0" w:type="dxa"/>
              <w:left w:w="108" w:type="dxa"/>
              <w:bottom w:w="0" w:type="dxa"/>
              <w:right w:w="108" w:type="dxa"/>
            </w:tcMar>
            <w:vAlign w:val="center"/>
          </w:tcPr>
          <w:p w14:paraId="21F36E5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4,021.82</w:t>
            </w:r>
          </w:p>
        </w:tc>
        <w:tc>
          <w:tcPr>
            <w:tcW w:w="715" w:type="pct"/>
            <w:shd w:val="clear" w:color="auto" w:fill="auto"/>
            <w:tcMar>
              <w:top w:w="0" w:type="dxa"/>
              <w:left w:w="108" w:type="dxa"/>
              <w:bottom w:w="0" w:type="dxa"/>
              <w:right w:w="108" w:type="dxa"/>
            </w:tcMar>
            <w:vAlign w:val="center"/>
          </w:tcPr>
          <w:p w14:paraId="12DDBB4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7.27%</w:t>
            </w:r>
          </w:p>
        </w:tc>
        <w:tc>
          <w:tcPr>
            <w:tcW w:w="664" w:type="pct"/>
            <w:shd w:val="clear" w:color="auto" w:fill="auto"/>
            <w:tcMar>
              <w:top w:w="0" w:type="dxa"/>
              <w:left w:w="108" w:type="dxa"/>
              <w:bottom w:w="0" w:type="dxa"/>
              <w:right w:w="108" w:type="dxa"/>
            </w:tcMar>
            <w:vAlign w:val="center"/>
          </w:tcPr>
          <w:p w14:paraId="5F66764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4,343.41</w:t>
            </w:r>
          </w:p>
        </w:tc>
        <w:tc>
          <w:tcPr>
            <w:tcW w:w="698" w:type="pct"/>
            <w:shd w:val="clear" w:color="auto" w:fill="auto"/>
            <w:tcMar>
              <w:top w:w="0" w:type="dxa"/>
              <w:left w:w="108" w:type="dxa"/>
              <w:bottom w:w="0" w:type="dxa"/>
              <w:right w:w="108" w:type="dxa"/>
            </w:tcMar>
            <w:vAlign w:val="center"/>
          </w:tcPr>
          <w:p w14:paraId="78D523D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11.84%</w:t>
            </w:r>
          </w:p>
        </w:tc>
      </w:tr>
      <w:tr w:rsidR="006416B0" w:rsidRPr="00B4515A" w14:paraId="4ED7F912" w14:textId="77777777" w:rsidTr="003357B7">
        <w:trPr>
          <w:trHeight w:val="340"/>
          <w:jc w:val="center"/>
        </w:trPr>
        <w:tc>
          <w:tcPr>
            <w:tcW w:w="612" w:type="pct"/>
            <w:shd w:val="clear" w:color="auto" w:fill="auto"/>
            <w:tcMar>
              <w:top w:w="0" w:type="dxa"/>
              <w:left w:w="108" w:type="dxa"/>
              <w:bottom w:w="0" w:type="dxa"/>
              <w:right w:w="108" w:type="dxa"/>
            </w:tcMar>
            <w:vAlign w:val="center"/>
          </w:tcPr>
          <w:p w14:paraId="75A365EF"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研发</w:t>
            </w:r>
          </w:p>
          <w:p w14:paraId="03065513" w14:textId="188A863A"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费用</w:t>
            </w:r>
          </w:p>
        </w:tc>
        <w:tc>
          <w:tcPr>
            <w:tcW w:w="708" w:type="pct"/>
            <w:shd w:val="clear" w:color="auto" w:fill="auto"/>
            <w:tcMar>
              <w:top w:w="0" w:type="dxa"/>
              <w:left w:w="108" w:type="dxa"/>
              <w:bottom w:w="0" w:type="dxa"/>
              <w:right w:w="108" w:type="dxa"/>
            </w:tcMar>
            <w:vAlign w:val="center"/>
          </w:tcPr>
          <w:p w14:paraId="24FA734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3,958.06</w:t>
            </w:r>
          </w:p>
        </w:tc>
        <w:tc>
          <w:tcPr>
            <w:tcW w:w="802" w:type="pct"/>
            <w:shd w:val="clear" w:color="auto" w:fill="auto"/>
            <w:tcMar>
              <w:top w:w="0" w:type="dxa"/>
              <w:left w:w="108" w:type="dxa"/>
              <w:bottom w:w="0" w:type="dxa"/>
              <w:right w:w="108" w:type="dxa"/>
            </w:tcMar>
            <w:vAlign w:val="center"/>
          </w:tcPr>
          <w:p w14:paraId="372609B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31.02%</w:t>
            </w:r>
          </w:p>
        </w:tc>
        <w:tc>
          <w:tcPr>
            <w:tcW w:w="801" w:type="pct"/>
            <w:shd w:val="clear" w:color="auto" w:fill="auto"/>
            <w:tcMar>
              <w:top w:w="0" w:type="dxa"/>
              <w:left w:w="108" w:type="dxa"/>
              <w:bottom w:w="0" w:type="dxa"/>
              <w:right w:w="108" w:type="dxa"/>
            </w:tcMar>
            <w:vAlign w:val="center"/>
          </w:tcPr>
          <w:p w14:paraId="494ECF6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13,456.57</w:t>
            </w:r>
          </w:p>
        </w:tc>
        <w:tc>
          <w:tcPr>
            <w:tcW w:w="715" w:type="pct"/>
            <w:shd w:val="clear" w:color="auto" w:fill="auto"/>
            <w:tcMar>
              <w:top w:w="0" w:type="dxa"/>
              <w:left w:w="108" w:type="dxa"/>
              <w:bottom w:w="0" w:type="dxa"/>
              <w:right w:w="108" w:type="dxa"/>
            </w:tcMar>
            <w:vAlign w:val="center"/>
          </w:tcPr>
          <w:p w14:paraId="6F775EC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24.34%</w:t>
            </w:r>
          </w:p>
        </w:tc>
        <w:tc>
          <w:tcPr>
            <w:tcW w:w="664" w:type="pct"/>
            <w:shd w:val="clear" w:color="auto" w:fill="auto"/>
            <w:tcMar>
              <w:top w:w="0" w:type="dxa"/>
              <w:left w:w="108" w:type="dxa"/>
              <w:bottom w:w="0" w:type="dxa"/>
              <w:right w:w="108" w:type="dxa"/>
            </w:tcMar>
            <w:vAlign w:val="center"/>
          </w:tcPr>
          <w:p w14:paraId="517D147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10,690.98</w:t>
            </w:r>
          </w:p>
        </w:tc>
        <w:tc>
          <w:tcPr>
            <w:tcW w:w="698" w:type="pct"/>
            <w:shd w:val="clear" w:color="auto" w:fill="auto"/>
            <w:tcMar>
              <w:top w:w="0" w:type="dxa"/>
              <w:left w:w="108" w:type="dxa"/>
              <w:bottom w:w="0" w:type="dxa"/>
              <w:right w:w="108" w:type="dxa"/>
            </w:tcMar>
            <w:vAlign w:val="center"/>
          </w:tcPr>
          <w:p w14:paraId="468747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29.14%</w:t>
            </w:r>
          </w:p>
        </w:tc>
      </w:tr>
      <w:tr w:rsidR="006416B0" w:rsidRPr="00B4515A" w14:paraId="47D045AE" w14:textId="77777777" w:rsidTr="003357B7">
        <w:trPr>
          <w:trHeight w:val="340"/>
          <w:jc w:val="center"/>
        </w:trPr>
        <w:tc>
          <w:tcPr>
            <w:tcW w:w="612" w:type="pct"/>
            <w:shd w:val="clear" w:color="auto" w:fill="auto"/>
            <w:tcMar>
              <w:top w:w="0" w:type="dxa"/>
              <w:left w:w="108" w:type="dxa"/>
              <w:bottom w:w="0" w:type="dxa"/>
              <w:right w:w="108" w:type="dxa"/>
            </w:tcMar>
            <w:vAlign w:val="center"/>
          </w:tcPr>
          <w:p w14:paraId="154C110D"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财务</w:t>
            </w:r>
          </w:p>
          <w:p w14:paraId="4E7B1875" w14:textId="2236D91F"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费用</w:t>
            </w:r>
          </w:p>
        </w:tc>
        <w:tc>
          <w:tcPr>
            <w:tcW w:w="708" w:type="pct"/>
            <w:shd w:val="clear" w:color="auto" w:fill="auto"/>
            <w:tcMar>
              <w:top w:w="0" w:type="dxa"/>
              <w:left w:w="108" w:type="dxa"/>
              <w:bottom w:w="0" w:type="dxa"/>
              <w:right w:w="108" w:type="dxa"/>
            </w:tcMar>
            <w:vAlign w:val="center"/>
          </w:tcPr>
          <w:p w14:paraId="6366101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225.97</w:t>
            </w:r>
          </w:p>
        </w:tc>
        <w:tc>
          <w:tcPr>
            <w:tcW w:w="802" w:type="pct"/>
            <w:shd w:val="clear" w:color="auto" w:fill="auto"/>
            <w:tcMar>
              <w:top w:w="0" w:type="dxa"/>
              <w:left w:w="108" w:type="dxa"/>
              <w:bottom w:w="0" w:type="dxa"/>
              <w:right w:w="108" w:type="dxa"/>
            </w:tcMar>
            <w:vAlign w:val="center"/>
          </w:tcPr>
          <w:p w14:paraId="5D83A55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1.77%</w:t>
            </w:r>
          </w:p>
        </w:tc>
        <w:tc>
          <w:tcPr>
            <w:tcW w:w="801" w:type="pct"/>
            <w:shd w:val="clear" w:color="auto" w:fill="auto"/>
            <w:tcMar>
              <w:top w:w="0" w:type="dxa"/>
              <w:left w:w="108" w:type="dxa"/>
              <w:bottom w:w="0" w:type="dxa"/>
              <w:right w:w="108" w:type="dxa"/>
            </w:tcMar>
            <w:vAlign w:val="center"/>
          </w:tcPr>
          <w:p w14:paraId="1E6B88F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2,393.15</w:t>
            </w:r>
          </w:p>
        </w:tc>
        <w:tc>
          <w:tcPr>
            <w:tcW w:w="715" w:type="pct"/>
            <w:shd w:val="clear" w:color="auto" w:fill="auto"/>
            <w:tcMar>
              <w:top w:w="0" w:type="dxa"/>
              <w:left w:w="108" w:type="dxa"/>
              <w:bottom w:w="0" w:type="dxa"/>
              <w:right w:w="108" w:type="dxa"/>
            </w:tcMar>
            <w:vAlign w:val="center"/>
          </w:tcPr>
          <w:p w14:paraId="1E71938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4.33%</w:t>
            </w:r>
          </w:p>
        </w:tc>
        <w:tc>
          <w:tcPr>
            <w:tcW w:w="664" w:type="pct"/>
            <w:shd w:val="clear" w:color="auto" w:fill="auto"/>
            <w:tcMar>
              <w:top w:w="0" w:type="dxa"/>
              <w:left w:w="108" w:type="dxa"/>
              <w:bottom w:w="0" w:type="dxa"/>
              <w:right w:w="108" w:type="dxa"/>
            </w:tcMar>
            <w:vAlign w:val="center"/>
          </w:tcPr>
          <w:p w14:paraId="0635F6F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1,983.71</w:t>
            </w:r>
          </w:p>
        </w:tc>
        <w:tc>
          <w:tcPr>
            <w:tcW w:w="698" w:type="pct"/>
            <w:shd w:val="clear" w:color="auto" w:fill="auto"/>
            <w:tcMar>
              <w:top w:w="0" w:type="dxa"/>
              <w:left w:w="108" w:type="dxa"/>
              <w:bottom w:w="0" w:type="dxa"/>
              <w:right w:w="108" w:type="dxa"/>
            </w:tcMar>
            <w:vAlign w:val="center"/>
          </w:tcPr>
          <w:p w14:paraId="5F512A4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5.41%</w:t>
            </w:r>
          </w:p>
        </w:tc>
      </w:tr>
      <w:tr w:rsidR="006416B0" w:rsidRPr="00B4515A" w14:paraId="5FE6DD9F" w14:textId="77777777" w:rsidTr="003357B7">
        <w:trPr>
          <w:trHeight w:val="340"/>
          <w:jc w:val="center"/>
        </w:trPr>
        <w:tc>
          <w:tcPr>
            <w:tcW w:w="612" w:type="pct"/>
            <w:shd w:val="clear" w:color="auto" w:fill="auto"/>
            <w:tcMar>
              <w:top w:w="0" w:type="dxa"/>
              <w:left w:w="108" w:type="dxa"/>
              <w:bottom w:w="0" w:type="dxa"/>
              <w:right w:w="108" w:type="dxa"/>
            </w:tcMar>
            <w:vAlign w:val="center"/>
          </w:tcPr>
          <w:p w14:paraId="1C0DF42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期间费用合计</w:t>
            </w:r>
          </w:p>
        </w:tc>
        <w:tc>
          <w:tcPr>
            <w:tcW w:w="708" w:type="pct"/>
            <w:shd w:val="clear" w:color="auto" w:fill="auto"/>
            <w:tcMar>
              <w:top w:w="0" w:type="dxa"/>
              <w:left w:w="108" w:type="dxa"/>
              <w:bottom w:w="0" w:type="dxa"/>
              <w:right w:w="108" w:type="dxa"/>
            </w:tcMar>
            <w:vAlign w:val="center"/>
          </w:tcPr>
          <w:p w14:paraId="5E5C9B7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6,072.55</w:t>
            </w:r>
          </w:p>
        </w:tc>
        <w:tc>
          <w:tcPr>
            <w:tcW w:w="802" w:type="pct"/>
            <w:shd w:val="clear" w:color="auto" w:fill="auto"/>
            <w:tcMar>
              <w:top w:w="0" w:type="dxa"/>
              <w:left w:w="108" w:type="dxa"/>
              <w:bottom w:w="0" w:type="dxa"/>
              <w:right w:w="108" w:type="dxa"/>
            </w:tcMar>
            <w:vAlign w:val="center"/>
          </w:tcPr>
          <w:p w14:paraId="21C5048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47.60%</w:t>
            </w:r>
          </w:p>
        </w:tc>
        <w:tc>
          <w:tcPr>
            <w:tcW w:w="801" w:type="pct"/>
            <w:shd w:val="clear" w:color="auto" w:fill="auto"/>
            <w:tcMar>
              <w:top w:w="0" w:type="dxa"/>
              <w:left w:w="108" w:type="dxa"/>
              <w:bottom w:w="0" w:type="dxa"/>
              <w:right w:w="108" w:type="dxa"/>
            </w:tcMar>
            <w:vAlign w:val="center"/>
          </w:tcPr>
          <w:p w14:paraId="1E4AFF1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21,848.02</w:t>
            </w:r>
          </w:p>
        </w:tc>
        <w:tc>
          <w:tcPr>
            <w:tcW w:w="715" w:type="pct"/>
            <w:shd w:val="clear" w:color="auto" w:fill="auto"/>
            <w:tcMar>
              <w:top w:w="0" w:type="dxa"/>
              <w:left w:w="108" w:type="dxa"/>
              <w:bottom w:w="0" w:type="dxa"/>
              <w:right w:w="108" w:type="dxa"/>
            </w:tcMar>
            <w:vAlign w:val="center"/>
          </w:tcPr>
          <w:p w14:paraId="3E28E59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39.52%</w:t>
            </w:r>
          </w:p>
        </w:tc>
        <w:tc>
          <w:tcPr>
            <w:tcW w:w="664" w:type="pct"/>
            <w:shd w:val="clear" w:color="auto" w:fill="auto"/>
            <w:tcMar>
              <w:top w:w="0" w:type="dxa"/>
              <w:left w:w="108" w:type="dxa"/>
              <w:bottom w:w="0" w:type="dxa"/>
              <w:right w:w="108" w:type="dxa"/>
            </w:tcMar>
            <w:vAlign w:val="center"/>
          </w:tcPr>
          <w:p w14:paraId="41FD336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19,369.36</w:t>
            </w:r>
          </w:p>
        </w:tc>
        <w:tc>
          <w:tcPr>
            <w:tcW w:w="698" w:type="pct"/>
            <w:shd w:val="clear" w:color="auto" w:fill="auto"/>
            <w:tcMar>
              <w:top w:w="0" w:type="dxa"/>
              <w:left w:w="108" w:type="dxa"/>
              <w:bottom w:w="0" w:type="dxa"/>
              <w:right w:w="108" w:type="dxa"/>
            </w:tcMar>
            <w:vAlign w:val="center"/>
          </w:tcPr>
          <w:p w14:paraId="29A9532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52.80%</w:t>
            </w:r>
          </w:p>
        </w:tc>
      </w:tr>
    </w:tbl>
    <w:p w14:paraId="36D1054A" w14:textId="77777777" w:rsidR="006416B0" w:rsidRPr="00B4515A" w:rsidRDefault="005E58C1" w:rsidP="003357B7">
      <w:pPr>
        <w:pStyle w:val="005"/>
        <w:spacing w:before="120" w:after="120"/>
        <w:ind w:firstLine="480"/>
      </w:pPr>
      <w:r w:rsidRPr="00B4515A">
        <w:rPr>
          <w:rFonts w:hint="eastAsia"/>
        </w:rPr>
        <w:t>（</w:t>
      </w:r>
      <w:r w:rsidRPr="00B4515A">
        <w:rPr>
          <w:rFonts w:hint="eastAsia"/>
        </w:rPr>
        <w:t>1</w:t>
      </w:r>
      <w:r w:rsidRPr="00B4515A">
        <w:rPr>
          <w:rFonts w:hint="eastAsia"/>
        </w:rPr>
        <w:t>）</w:t>
      </w:r>
      <w:r w:rsidRPr="00B4515A">
        <w:rPr>
          <w:rFonts w:hint="eastAsia"/>
        </w:rPr>
        <w:tab/>
      </w:r>
      <w:r w:rsidRPr="00B4515A">
        <w:rPr>
          <w:rFonts w:hint="eastAsia"/>
        </w:rPr>
        <w:t>销售费用分析</w:t>
      </w:r>
    </w:p>
    <w:p w14:paraId="0BC4AA46" w14:textId="77777777" w:rsidR="006416B0" w:rsidRPr="00B4515A" w:rsidRDefault="005E58C1" w:rsidP="003357B7">
      <w:pPr>
        <w:pStyle w:val="005"/>
        <w:spacing w:before="120" w:after="120"/>
        <w:ind w:firstLine="480"/>
      </w:pPr>
      <w:r w:rsidRPr="00B4515A">
        <w:rPr>
          <w:rFonts w:hint="eastAsia"/>
        </w:rPr>
        <w:t>报告期内，大唐联诚销售费用明细如下：</w:t>
      </w:r>
    </w:p>
    <w:p w14:paraId="12C4F05C"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987"/>
        <w:gridCol w:w="1307"/>
        <w:gridCol w:w="1045"/>
        <w:gridCol w:w="1531"/>
        <w:gridCol w:w="1045"/>
        <w:gridCol w:w="1531"/>
        <w:gridCol w:w="1082"/>
      </w:tblGrid>
      <w:tr w:rsidR="006416B0" w:rsidRPr="00B4515A" w14:paraId="442E52F8" w14:textId="77777777" w:rsidTr="00EE238F">
        <w:trPr>
          <w:trHeight w:val="340"/>
          <w:tblHeader/>
          <w:jc w:val="center"/>
        </w:trPr>
        <w:tc>
          <w:tcPr>
            <w:tcW w:w="1040" w:type="dxa"/>
            <w:vMerge w:val="restart"/>
            <w:shd w:val="clear" w:color="auto" w:fill="auto"/>
            <w:tcMar>
              <w:top w:w="0" w:type="dxa"/>
              <w:left w:w="108" w:type="dxa"/>
              <w:bottom w:w="0" w:type="dxa"/>
              <w:right w:w="108" w:type="dxa"/>
            </w:tcMar>
            <w:vAlign w:val="center"/>
          </w:tcPr>
          <w:p w14:paraId="2845C45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2480" w:type="dxa"/>
            <w:gridSpan w:val="2"/>
            <w:shd w:val="clear" w:color="auto" w:fill="auto"/>
            <w:tcMar>
              <w:top w:w="0" w:type="dxa"/>
              <w:left w:w="108" w:type="dxa"/>
              <w:bottom w:w="0" w:type="dxa"/>
              <w:right w:w="108" w:type="dxa"/>
            </w:tcMar>
            <w:vAlign w:val="center"/>
          </w:tcPr>
          <w:p w14:paraId="178A7CC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2720" w:type="dxa"/>
            <w:gridSpan w:val="2"/>
            <w:shd w:val="clear" w:color="auto" w:fill="auto"/>
            <w:tcMar>
              <w:top w:w="0" w:type="dxa"/>
              <w:left w:w="108" w:type="dxa"/>
              <w:bottom w:w="0" w:type="dxa"/>
              <w:right w:w="108" w:type="dxa"/>
            </w:tcMar>
            <w:vAlign w:val="center"/>
          </w:tcPr>
          <w:p w14:paraId="36E0933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年度</w:t>
            </w:r>
          </w:p>
        </w:tc>
        <w:tc>
          <w:tcPr>
            <w:tcW w:w="2760" w:type="dxa"/>
            <w:gridSpan w:val="2"/>
            <w:shd w:val="clear" w:color="auto" w:fill="auto"/>
            <w:tcMar>
              <w:top w:w="0" w:type="dxa"/>
              <w:left w:w="108" w:type="dxa"/>
              <w:bottom w:w="0" w:type="dxa"/>
              <w:right w:w="108" w:type="dxa"/>
            </w:tcMar>
            <w:vAlign w:val="center"/>
          </w:tcPr>
          <w:p w14:paraId="607D5B8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hint="eastAsia"/>
                <w:b/>
                <w:bCs/>
                <w:color w:val="000000"/>
                <w:sz w:val="21"/>
                <w:szCs w:val="21"/>
              </w:rPr>
              <w:t>年度</w:t>
            </w:r>
          </w:p>
        </w:tc>
      </w:tr>
      <w:tr w:rsidR="006416B0" w:rsidRPr="00B4515A" w14:paraId="302201C6" w14:textId="77777777" w:rsidTr="00EE238F">
        <w:trPr>
          <w:trHeight w:val="340"/>
          <w:tblHeader/>
          <w:jc w:val="center"/>
        </w:trPr>
        <w:tc>
          <w:tcPr>
            <w:tcW w:w="1040" w:type="dxa"/>
            <w:vMerge/>
            <w:tcMar>
              <w:top w:w="0" w:type="dxa"/>
              <w:left w:w="108" w:type="dxa"/>
              <w:bottom w:w="0" w:type="dxa"/>
              <w:right w:w="108" w:type="dxa"/>
            </w:tcMar>
            <w:vAlign w:val="center"/>
          </w:tcPr>
          <w:p w14:paraId="4031BBA7"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1380" w:type="dxa"/>
            <w:shd w:val="clear" w:color="auto" w:fill="auto"/>
            <w:tcMar>
              <w:top w:w="0" w:type="dxa"/>
              <w:left w:w="108" w:type="dxa"/>
              <w:bottom w:w="0" w:type="dxa"/>
              <w:right w:w="108" w:type="dxa"/>
            </w:tcMar>
            <w:vAlign w:val="center"/>
          </w:tcPr>
          <w:p w14:paraId="4EF8BB0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100" w:type="dxa"/>
            <w:shd w:val="clear" w:color="auto" w:fill="auto"/>
            <w:tcMar>
              <w:top w:w="0" w:type="dxa"/>
              <w:left w:w="108" w:type="dxa"/>
              <w:bottom w:w="0" w:type="dxa"/>
              <w:right w:w="108" w:type="dxa"/>
            </w:tcMar>
            <w:vAlign w:val="center"/>
          </w:tcPr>
          <w:p w14:paraId="372CC33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1620" w:type="dxa"/>
            <w:shd w:val="clear" w:color="auto" w:fill="auto"/>
            <w:tcMar>
              <w:top w:w="0" w:type="dxa"/>
              <w:left w:w="108" w:type="dxa"/>
              <w:bottom w:w="0" w:type="dxa"/>
              <w:right w:w="108" w:type="dxa"/>
            </w:tcMar>
            <w:vAlign w:val="center"/>
          </w:tcPr>
          <w:p w14:paraId="4B4987C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100" w:type="dxa"/>
            <w:shd w:val="clear" w:color="auto" w:fill="auto"/>
            <w:tcMar>
              <w:top w:w="0" w:type="dxa"/>
              <w:left w:w="108" w:type="dxa"/>
              <w:bottom w:w="0" w:type="dxa"/>
              <w:right w:w="108" w:type="dxa"/>
            </w:tcMar>
            <w:vAlign w:val="center"/>
          </w:tcPr>
          <w:p w14:paraId="5EEB51C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1620" w:type="dxa"/>
            <w:shd w:val="clear" w:color="auto" w:fill="auto"/>
            <w:tcMar>
              <w:top w:w="0" w:type="dxa"/>
              <w:left w:w="108" w:type="dxa"/>
              <w:bottom w:w="0" w:type="dxa"/>
              <w:right w:w="108" w:type="dxa"/>
            </w:tcMar>
            <w:vAlign w:val="center"/>
          </w:tcPr>
          <w:p w14:paraId="04AD5A1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140" w:type="dxa"/>
            <w:shd w:val="clear" w:color="auto" w:fill="auto"/>
            <w:tcMar>
              <w:top w:w="0" w:type="dxa"/>
              <w:left w:w="108" w:type="dxa"/>
              <w:bottom w:w="0" w:type="dxa"/>
              <w:right w:w="108" w:type="dxa"/>
            </w:tcMar>
            <w:vAlign w:val="center"/>
          </w:tcPr>
          <w:p w14:paraId="09662EE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r>
      <w:tr w:rsidR="006416B0" w:rsidRPr="00B4515A" w14:paraId="1A35277A" w14:textId="77777777" w:rsidTr="00031627">
        <w:trPr>
          <w:trHeight w:val="340"/>
          <w:jc w:val="center"/>
        </w:trPr>
        <w:tc>
          <w:tcPr>
            <w:tcW w:w="1040" w:type="dxa"/>
            <w:shd w:val="clear" w:color="auto" w:fill="auto"/>
            <w:tcMar>
              <w:top w:w="0" w:type="dxa"/>
              <w:left w:w="108" w:type="dxa"/>
              <w:bottom w:w="0" w:type="dxa"/>
              <w:right w:w="108" w:type="dxa"/>
            </w:tcMar>
            <w:vAlign w:val="center"/>
          </w:tcPr>
          <w:p w14:paraId="2D3432FC"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职工</w:t>
            </w:r>
          </w:p>
          <w:p w14:paraId="23AAE911" w14:textId="4694B44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薪酬</w:t>
            </w:r>
          </w:p>
        </w:tc>
        <w:tc>
          <w:tcPr>
            <w:tcW w:w="1380" w:type="dxa"/>
            <w:shd w:val="clear" w:color="auto" w:fill="auto"/>
            <w:tcMar>
              <w:top w:w="0" w:type="dxa"/>
              <w:left w:w="108" w:type="dxa"/>
              <w:bottom w:w="0" w:type="dxa"/>
              <w:right w:w="108" w:type="dxa"/>
            </w:tcMar>
            <w:vAlign w:val="center"/>
          </w:tcPr>
          <w:p w14:paraId="6EBBE65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246.01</w:t>
            </w:r>
          </w:p>
        </w:tc>
        <w:tc>
          <w:tcPr>
            <w:tcW w:w="1100" w:type="dxa"/>
            <w:shd w:val="clear" w:color="auto" w:fill="auto"/>
            <w:tcMar>
              <w:top w:w="0" w:type="dxa"/>
              <w:left w:w="108" w:type="dxa"/>
              <w:bottom w:w="0" w:type="dxa"/>
              <w:right w:w="108" w:type="dxa"/>
            </w:tcMar>
            <w:vAlign w:val="center"/>
          </w:tcPr>
          <w:p w14:paraId="3981C95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50.72%</w:t>
            </w:r>
          </w:p>
        </w:tc>
        <w:tc>
          <w:tcPr>
            <w:tcW w:w="1620" w:type="dxa"/>
            <w:shd w:val="clear" w:color="auto" w:fill="auto"/>
            <w:tcMar>
              <w:top w:w="0" w:type="dxa"/>
              <w:left w:w="108" w:type="dxa"/>
              <w:bottom w:w="0" w:type="dxa"/>
              <w:right w:w="108" w:type="dxa"/>
            </w:tcMar>
            <w:vAlign w:val="center"/>
          </w:tcPr>
          <w:p w14:paraId="4316E28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1,026.21</w:t>
            </w:r>
          </w:p>
        </w:tc>
        <w:tc>
          <w:tcPr>
            <w:tcW w:w="1100" w:type="dxa"/>
            <w:shd w:val="clear" w:color="auto" w:fill="auto"/>
            <w:tcMar>
              <w:top w:w="0" w:type="dxa"/>
              <w:left w:w="108" w:type="dxa"/>
              <w:bottom w:w="0" w:type="dxa"/>
              <w:right w:w="108" w:type="dxa"/>
            </w:tcMar>
            <w:vAlign w:val="center"/>
          </w:tcPr>
          <w:p w14:paraId="5FFE3F6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51.92%</w:t>
            </w:r>
          </w:p>
        </w:tc>
        <w:tc>
          <w:tcPr>
            <w:tcW w:w="1620" w:type="dxa"/>
            <w:shd w:val="clear" w:color="auto" w:fill="auto"/>
            <w:tcMar>
              <w:top w:w="0" w:type="dxa"/>
              <w:left w:w="108" w:type="dxa"/>
              <w:bottom w:w="0" w:type="dxa"/>
              <w:right w:w="108" w:type="dxa"/>
            </w:tcMar>
            <w:vAlign w:val="center"/>
          </w:tcPr>
          <w:p w14:paraId="37D2EF6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1,082.18</w:t>
            </w:r>
          </w:p>
        </w:tc>
        <w:tc>
          <w:tcPr>
            <w:tcW w:w="1140" w:type="dxa"/>
            <w:shd w:val="clear" w:color="auto" w:fill="auto"/>
            <w:tcMar>
              <w:top w:w="0" w:type="dxa"/>
              <w:left w:w="108" w:type="dxa"/>
              <w:bottom w:w="0" w:type="dxa"/>
              <w:right w:w="108" w:type="dxa"/>
            </w:tcMar>
            <w:vAlign w:val="center"/>
          </w:tcPr>
          <w:p w14:paraId="32379AA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46.03%</w:t>
            </w:r>
          </w:p>
        </w:tc>
      </w:tr>
      <w:tr w:rsidR="006416B0" w:rsidRPr="00B4515A" w14:paraId="60D675A8" w14:textId="77777777" w:rsidTr="00031627">
        <w:trPr>
          <w:trHeight w:val="340"/>
          <w:jc w:val="center"/>
        </w:trPr>
        <w:tc>
          <w:tcPr>
            <w:tcW w:w="1040" w:type="dxa"/>
            <w:shd w:val="clear" w:color="auto" w:fill="auto"/>
            <w:tcMar>
              <w:top w:w="0" w:type="dxa"/>
              <w:left w:w="108" w:type="dxa"/>
              <w:bottom w:w="0" w:type="dxa"/>
              <w:right w:w="108" w:type="dxa"/>
            </w:tcMar>
            <w:vAlign w:val="center"/>
          </w:tcPr>
          <w:p w14:paraId="0438443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业务招</w:t>
            </w:r>
            <w:r w:rsidRPr="00B4515A">
              <w:rPr>
                <w:rFonts w:ascii="Times New Roman" w:eastAsiaTheme="minorEastAsia" w:hAnsi="Times New Roman" w:cs="Times New Roman" w:hint="eastAsia"/>
                <w:color w:val="000000"/>
                <w:sz w:val="21"/>
                <w:szCs w:val="21"/>
              </w:rPr>
              <w:lastRenderedPageBreak/>
              <w:t>待费</w:t>
            </w:r>
          </w:p>
        </w:tc>
        <w:tc>
          <w:tcPr>
            <w:tcW w:w="1380" w:type="dxa"/>
            <w:shd w:val="clear" w:color="auto" w:fill="auto"/>
            <w:tcMar>
              <w:top w:w="0" w:type="dxa"/>
              <w:left w:w="108" w:type="dxa"/>
              <w:bottom w:w="0" w:type="dxa"/>
              <w:right w:w="108" w:type="dxa"/>
            </w:tcMar>
            <w:vAlign w:val="center"/>
          </w:tcPr>
          <w:p w14:paraId="7D9EDEF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lastRenderedPageBreak/>
              <w:t>125.76</w:t>
            </w:r>
          </w:p>
        </w:tc>
        <w:tc>
          <w:tcPr>
            <w:tcW w:w="1100" w:type="dxa"/>
            <w:shd w:val="clear" w:color="auto" w:fill="auto"/>
            <w:tcMar>
              <w:top w:w="0" w:type="dxa"/>
              <w:left w:w="108" w:type="dxa"/>
              <w:bottom w:w="0" w:type="dxa"/>
              <w:right w:w="108" w:type="dxa"/>
            </w:tcMar>
            <w:vAlign w:val="center"/>
          </w:tcPr>
          <w:p w14:paraId="52DC2E1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25.93%</w:t>
            </w:r>
          </w:p>
        </w:tc>
        <w:tc>
          <w:tcPr>
            <w:tcW w:w="1620" w:type="dxa"/>
            <w:shd w:val="clear" w:color="auto" w:fill="auto"/>
            <w:tcMar>
              <w:top w:w="0" w:type="dxa"/>
              <w:left w:w="108" w:type="dxa"/>
              <w:bottom w:w="0" w:type="dxa"/>
              <w:right w:w="108" w:type="dxa"/>
            </w:tcMar>
            <w:vAlign w:val="center"/>
          </w:tcPr>
          <w:p w14:paraId="63E07D6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307.65</w:t>
            </w:r>
          </w:p>
        </w:tc>
        <w:tc>
          <w:tcPr>
            <w:tcW w:w="1100" w:type="dxa"/>
            <w:shd w:val="clear" w:color="auto" w:fill="auto"/>
            <w:tcMar>
              <w:top w:w="0" w:type="dxa"/>
              <w:left w:w="108" w:type="dxa"/>
              <w:bottom w:w="0" w:type="dxa"/>
              <w:right w:w="108" w:type="dxa"/>
            </w:tcMar>
            <w:vAlign w:val="center"/>
          </w:tcPr>
          <w:p w14:paraId="36386F0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15.57%</w:t>
            </w:r>
          </w:p>
        </w:tc>
        <w:tc>
          <w:tcPr>
            <w:tcW w:w="1620" w:type="dxa"/>
            <w:shd w:val="clear" w:color="auto" w:fill="auto"/>
            <w:tcMar>
              <w:top w:w="0" w:type="dxa"/>
              <w:left w:w="108" w:type="dxa"/>
              <w:bottom w:w="0" w:type="dxa"/>
              <w:right w:w="108" w:type="dxa"/>
            </w:tcMar>
            <w:vAlign w:val="center"/>
          </w:tcPr>
          <w:p w14:paraId="2E0739E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285.51</w:t>
            </w:r>
          </w:p>
        </w:tc>
        <w:tc>
          <w:tcPr>
            <w:tcW w:w="1140" w:type="dxa"/>
            <w:shd w:val="clear" w:color="auto" w:fill="auto"/>
            <w:tcMar>
              <w:top w:w="0" w:type="dxa"/>
              <w:left w:w="108" w:type="dxa"/>
              <w:bottom w:w="0" w:type="dxa"/>
              <w:right w:w="108" w:type="dxa"/>
            </w:tcMar>
            <w:vAlign w:val="center"/>
          </w:tcPr>
          <w:p w14:paraId="66442F4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12.14%</w:t>
            </w:r>
          </w:p>
        </w:tc>
      </w:tr>
      <w:tr w:rsidR="006416B0" w:rsidRPr="00B4515A" w14:paraId="02B34318" w14:textId="77777777" w:rsidTr="00031627">
        <w:trPr>
          <w:trHeight w:val="340"/>
          <w:jc w:val="center"/>
        </w:trPr>
        <w:tc>
          <w:tcPr>
            <w:tcW w:w="1040" w:type="dxa"/>
            <w:shd w:val="clear" w:color="auto" w:fill="auto"/>
            <w:tcMar>
              <w:top w:w="0" w:type="dxa"/>
              <w:left w:w="108" w:type="dxa"/>
              <w:bottom w:w="0" w:type="dxa"/>
              <w:right w:w="108" w:type="dxa"/>
            </w:tcMar>
            <w:vAlign w:val="center"/>
          </w:tcPr>
          <w:p w14:paraId="1E6C971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lastRenderedPageBreak/>
              <w:t>差旅费</w:t>
            </w:r>
          </w:p>
        </w:tc>
        <w:tc>
          <w:tcPr>
            <w:tcW w:w="1380" w:type="dxa"/>
            <w:shd w:val="clear" w:color="auto" w:fill="auto"/>
            <w:tcMar>
              <w:top w:w="0" w:type="dxa"/>
              <w:left w:w="108" w:type="dxa"/>
              <w:bottom w:w="0" w:type="dxa"/>
              <w:right w:w="108" w:type="dxa"/>
            </w:tcMar>
            <w:vAlign w:val="center"/>
          </w:tcPr>
          <w:p w14:paraId="46ECCD6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63.68</w:t>
            </w:r>
          </w:p>
        </w:tc>
        <w:tc>
          <w:tcPr>
            <w:tcW w:w="1100" w:type="dxa"/>
            <w:shd w:val="clear" w:color="auto" w:fill="auto"/>
            <w:tcMar>
              <w:top w:w="0" w:type="dxa"/>
              <w:left w:w="108" w:type="dxa"/>
              <w:bottom w:w="0" w:type="dxa"/>
              <w:right w:w="108" w:type="dxa"/>
            </w:tcMar>
            <w:vAlign w:val="center"/>
          </w:tcPr>
          <w:p w14:paraId="0591D5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13.13%</w:t>
            </w:r>
          </w:p>
        </w:tc>
        <w:tc>
          <w:tcPr>
            <w:tcW w:w="1620" w:type="dxa"/>
            <w:shd w:val="clear" w:color="auto" w:fill="auto"/>
            <w:tcMar>
              <w:top w:w="0" w:type="dxa"/>
              <w:left w:w="108" w:type="dxa"/>
              <w:bottom w:w="0" w:type="dxa"/>
              <w:right w:w="108" w:type="dxa"/>
            </w:tcMar>
            <w:vAlign w:val="center"/>
          </w:tcPr>
          <w:p w14:paraId="46C2B41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195.09</w:t>
            </w:r>
          </w:p>
        </w:tc>
        <w:tc>
          <w:tcPr>
            <w:tcW w:w="1100" w:type="dxa"/>
            <w:shd w:val="clear" w:color="auto" w:fill="auto"/>
            <w:tcMar>
              <w:top w:w="0" w:type="dxa"/>
              <w:left w:w="108" w:type="dxa"/>
              <w:bottom w:w="0" w:type="dxa"/>
              <w:right w:w="108" w:type="dxa"/>
            </w:tcMar>
            <w:vAlign w:val="center"/>
          </w:tcPr>
          <w:p w14:paraId="3684BCA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9.87%</w:t>
            </w:r>
          </w:p>
        </w:tc>
        <w:tc>
          <w:tcPr>
            <w:tcW w:w="1620" w:type="dxa"/>
            <w:shd w:val="clear" w:color="auto" w:fill="auto"/>
            <w:tcMar>
              <w:top w:w="0" w:type="dxa"/>
              <w:left w:w="108" w:type="dxa"/>
              <w:bottom w:w="0" w:type="dxa"/>
              <w:right w:w="108" w:type="dxa"/>
            </w:tcMar>
            <w:vAlign w:val="center"/>
          </w:tcPr>
          <w:p w14:paraId="1D46907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245.58</w:t>
            </w:r>
          </w:p>
        </w:tc>
        <w:tc>
          <w:tcPr>
            <w:tcW w:w="1140" w:type="dxa"/>
            <w:shd w:val="clear" w:color="auto" w:fill="auto"/>
            <w:tcMar>
              <w:top w:w="0" w:type="dxa"/>
              <w:left w:w="108" w:type="dxa"/>
              <w:bottom w:w="0" w:type="dxa"/>
              <w:right w:w="108" w:type="dxa"/>
            </w:tcMar>
            <w:vAlign w:val="center"/>
          </w:tcPr>
          <w:p w14:paraId="3720DC6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10.44%</w:t>
            </w:r>
          </w:p>
        </w:tc>
      </w:tr>
      <w:tr w:rsidR="006416B0" w:rsidRPr="00B4515A" w14:paraId="6E0EFCA0" w14:textId="77777777" w:rsidTr="00031627">
        <w:trPr>
          <w:trHeight w:val="340"/>
          <w:jc w:val="center"/>
        </w:trPr>
        <w:tc>
          <w:tcPr>
            <w:tcW w:w="1040" w:type="dxa"/>
            <w:shd w:val="clear" w:color="auto" w:fill="auto"/>
            <w:tcMar>
              <w:top w:w="0" w:type="dxa"/>
              <w:left w:w="108" w:type="dxa"/>
              <w:bottom w:w="0" w:type="dxa"/>
              <w:right w:w="108" w:type="dxa"/>
            </w:tcMar>
            <w:vAlign w:val="center"/>
          </w:tcPr>
          <w:p w14:paraId="322198A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房屋及物业费</w:t>
            </w:r>
          </w:p>
        </w:tc>
        <w:tc>
          <w:tcPr>
            <w:tcW w:w="1380" w:type="dxa"/>
            <w:shd w:val="clear" w:color="auto" w:fill="auto"/>
            <w:tcMar>
              <w:top w:w="0" w:type="dxa"/>
              <w:left w:w="108" w:type="dxa"/>
              <w:bottom w:w="0" w:type="dxa"/>
              <w:right w:w="108" w:type="dxa"/>
            </w:tcMar>
            <w:vAlign w:val="center"/>
          </w:tcPr>
          <w:p w14:paraId="4DE9391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13.71</w:t>
            </w:r>
          </w:p>
        </w:tc>
        <w:tc>
          <w:tcPr>
            <w:tcW w:w="1100" w:type="dxa"/>
            <w:shd w:val="clear" w:color="auto" w:fill="auto"/>
            <w:tcMar>
              <w:top w:w="0" w:type="dxa"/>
              <w:left w:w="108" w:type="dxa"/>
              <w:bottom w:w="0" w:type="dxa"/>
              <w:right w:w="108" w:type="dxa"/>
            </w:tcMar>
            <w:vAlign w:val="center"/>
          </w:tcPr>
          <w:p w14:paraId="073F5D8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2.83%</w:t>
            </w:r>
          </w:p>
        </w:tc>
        <w:tc>
          <w:tcPr>
            <w:tcW w:w="1620" w:type="dxa"/>
            <w:shd w:val="clear" w:color="auto" w:fill="auto"/>
            <w:tcMar>
              <w:top w:w="0" w:type="dxa"/>
              <w:left w:w="108" w:type="dxa"/>
              <w:bottom w:w="0" w:type="dxa"/>
              <w:right w:w="108" w:type="dxa"/>
            </w:tcMar>
            <w:vAlign w:val="center"/>
          </w:tcPr>
          <w:p w14:paraId="24F4C7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39.09</w:t>
            </w:r>
          </w:p>
        </w:tc>
        <w:tc>
          <w:tcPr>
            <w:tcW w:w="1100" w:type="dxa"/>
            <w:shd w:val="clear" w:color="auto" w:fill="auto"/>
            <w:tcMar>
              <w:top w:w="0" w:type="dxa"/>
              <w:left w:w="108" w:type="dxa"/>
              <w:bottom w:w="0" w:type="dxa"/>
              <w:right w:w="108" w:type="dxa"/>
            </w:tcMar>
            <w:vAlign w:val="center"/>
          </w:tcPr>
          <w:p w14:paraId="5D8E05E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1.98%</w:t>
            </w:r>
          </w:p>
        </w:tc>
        <w:tc>
          <w:tcPr>
            <w:tcW w:w="1620" w:type="dxa"/>
            <w:shd w:val="clear" w:color="auto" w:fill="auto"/>
            <w:tcMar>
              <w:top w:w="0" w:type="dxa"/>
              <w:left w:w="108" w:type="dxa"/>
              <w:bottom w:w="0" w:type="dxa"/>
              <w:right w:w="108" w:type="dxa"/>
            </w:tcMar>
            <w:vAlign w:val="center"/>
          </w:tcPr>
          <w:p w14:paraId="2C8616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69.32</w:t>
            </w:r>
          </w:p>
        </w:tc>
        <w:tc>
          <w:tcPr>
            <w:tcW w:w="1140" w:type="dxa"/>
            <w:shd w:val="clear" w:color="auto" w:fill="auto"/>
            <w:tcMar>
              <w:top w:w="0" w:type="dxa"/>
              <w:left w:w="108" w:type="dxa"/>
              <w:bottom w:w="0" w:type="dxa"/>
              <w:right w:w="108" w:type="dxa"/>
            </w:tcMar>
            <w:vAlign w:val="center"/>
          </w:tcPr>
          <w:p w14:paraId="2F2308A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2.95%</w:t>
            </w:r>
          </w:p>
        </w:tc>
      </w:tr>
      <w:tr w:rsidR="006416B0" w:rsidRPr="00B4515A" w14:paraId="7205CE71" w14:textId="77777777" w:rsidTr="00031627">
        <w:trPr>
          <w:trHeight w:val="340"/>
          <w:jc w:val="center"/>
        </w:trPr>
        <w:tc>
          <w:tcPr>
            <w:tcW w:w="1040" w:type="dxa"/>
            <w:shd w:val="clear" w:color="auto" w:fill="auto"/>
            <w:tcMar>
              <w:top w:w="0" w:type="dxa"/>
              <w:left w:w="108" w:type="dxa"/>
              <w:bottom w:w="0" w:type="dxa"/>
              <w:right w:w="108" w:type="dxa"/>
            </w:tcMar>
            <w:vAlign w:val="center"/>
          </w:tcPr>
          <w:p w14:paraId="246F94D5"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样品及产品</w:t>
            </w:r>
          </w:p>
          <w:p w14:paraId="4FFE74CB" w14:textId="67AD6480"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消耗</w:t>
            </w:r>
          </w:p>
        </w:tc>
        <w:tc>
          <w:tcPr>
            <w:tcW w:w="1380" w:type="dxa"/>
            <w:shd w:val="clear" w:color="auto" w:fill="auto"/>
            <w:tcMar>
              <w:top w:w="0" w:type="dxa"/>
              <w:left w:w="108" w:type="dxa"/>
              <w:bottom w:w="0" w:type="dxa"/>
              <w:right w:w="108" w:type="dxa"/>
            </w:tcMar>
            <w:vAlign w:val="center"/>
          </w:tcPr>
          <w:p w14:paraId="6FD3748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1100" w:type="dxa"/>
            <w:shd w:val="clear" w:color="auto" w:fill="auto"/>
            <w:tcMar>
              <w:top w:w="0" w:type="dxa"/>
              <w:left w:w="108" w:type="dxa"/>
              <w:bottom w:w="0" w:type="dxa"/>
              <w:right w:w="108" w:type="dxa"/>
            </w:tcMar>
            <w:vAlign w:val="center"/>
          </w:tcPr>
          <w:p w14:paraId="1E2A1E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1620" w:type="dxa"/>
            <w:shd w:val="clear" w:color="auto" w:fill="auto"/>
            <w:tcMar>
              <w:top w:w="0" w:type="dxa"/>
              <w:left w:w="108" w:type="dxa"/>
              <w:bottom w:w="0" w:type="dxa"/>
              <w:right w:w="108" w:type="dxa"/>
            </w:tcMar>
            <w:vAlign w:val="center"/>
          </w:tcPr>
          <w:p w14:paraId="50D895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85.60</w:t>
            </w:r>
          </w:p>
        </w:tc>
        <w:tc>
          <w:tcPr>
            <w:tcW w:w="1100" w:type="dxa"/>
            <w:shd w:val="clear" w:color="auto" w:fill="auto"/>
            <w:tcMar>
              <w:top w:w="0" w:type="dxa"/>
              <w:left w:w="108" w:type="dxa"/>
              <w:bottom w:w="0" w:type="dxa"/>
              <w:right w:w="108" w:type="dxa"/>
            </w:tcMar>
            <w:vAlign w:val="center"/>
          </w:tcPr>
          <w:p w14:paraId="1FF3392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4.33%</w:t>
            </w:r>
          </w:p>
        </w:tc>
        <w:tc>
          <w:tcPr>
            <w:tcW w:w="1620" w:type="dxa"/>
            <w:shd w:val="clear" w:color="auto" w:fill="auto"/>
            <w:tcMar>
              <w:top w:w="0" w:type="dxa"/>
              <w:left w:w="108" w:type="dxa"/>
              <w:bottom w:w="0" w:type="dxa"/>
              <w:right w:w="108" w:type="dxa"/>
            </w:tcMar>
            <w:vAlign w:val="center"/>
          </w:tcPr>
          <w:p w14:paraId="50E3B0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188.08</w:t>
            </w:r>
          </w:p>
        </w:tc>
        <w:tc>
          <w:tcPr>
            <w:tcW w:w="1140" w:type="dxa"/>
            <w:shd w:val="clear" w:color="auto" w:fill="auto"/>
            <w:tcMar>
              <w:top w:w="0" w:type="dxa"/>
              <w:left w:w="108" w:type="dxa"/>
              <w:bottom w:w="0" w:type="dxa"/>
              <w:right w:w="108" w:type="dxa"/>
            </w:tcMar>
            <w:vAlign w:val="center"/>
          </w:tcPr>
          <w:p w14:paraId="49E5053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8.00%</w:t>
            </w:r>
          </w:p>
        </w:tc>
      </w:tr>
      <w:tr w:rsidR="006416B0" w:rsidRPr="00B4515A" w14:paraId="75A2E7F7" w14:textId="77777777" w:rsidTr="00031627">
        <w:trPr>
          <w:trHeight w:val="340"/>
          <w:jc w:val="center"/>
        </w:trPr>
        <w:tc>
          <w:tcPr>
            <w:tcW w:w="1040" w:type="dxa"/>
            <w:shd w:val="clear" w:color="auto" w:fill="auto"/>
            <w:tcMar>
              <w:top w:w="0" w:type="dxa"/>
              <w:left w:w="108" w:type="dxa"/>
              <w:bottom w:w="0" w:type="dxa"/>
              <w:right w:w="108" w:type="dxa"/>
            </w:tcMar>
            <w:vAlign w:val="center"/>
          </w:tcPr>
          <w:p w14:paraId="63CDBF7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折旧费</w:t>
            </w:r>
          </w:p>
        </w:tc>
        <w:tc>
          <w:tcPr>
            <w:tcW w:w="1380" w:type="dxa"/>
            <w:shd w:val="clear" w:color="auto" w:fill="auto"/>
            <w:tcMar>
              <w:top w:w="0" w:type="dxa"/>
              <w:left w:w="108" w:type="dxa"/>
              <w:bottom w:w="0" w:type="dxa"/>
              <w:right w:w="108" w:type="dxa"/>
            </w:tcMar>
            <w:vAlign w:val="center"/>
          </w:tcPr>
          <w:p w14:paraId="6737CA6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0.73</w:t>
            </w:r>
          </w:p>
        </w:tc>
        <w:tc>
          <w:tcPr>
            <w:tcW w:w="1100" w:type="dxa"/>
            <w:shd w:val="clear" w:color="auto" w:fill="auto"/>
            <w:tcMar>
              <w:top w:w="0" w:type="dxa"/>
              <w:left w:w="108" w:type="dxa"/>
              <w:bottom w:w="0" w:type="dxa"/>
              <w:right w:w="108" w:type="dxa"/>
            </w:tcMar>
            <w:vAlign w:val="center"/>
          </w:tcPr>
          <w:p w14:paraId="625C501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0.15%</w:t>
            </w:r>
          </w:p>
        </w:tc>
        <w:tc>
          <w:tcPr>
            <w:tcW w:w="1620" w:type="dxa"/>
            <w:shd w:val="clear" w:color="auto" w:fill="auto"/>
            <w:tcMar>
              <w:top w:w="0" w:type="dxa"/>
              <w:left w:w="108" w:type="dxa"/>
              <w:bottom w:w="0" w:type="dxa"/>
              <w:right w:w="108" w:type="dxa"/>
            </w:tcMar>
            <w:vAlign w:val="center"/>
          </w:tcPr>
          <w:p w14:paraId="0A78920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1.94</w:t>
            </w:r>
          </w:p>
        </w:tc>
        <w:tc>
          <w:tcPr>
            <w:tcW w:w="1100" w:type="dxa"/>
            <w:shd w:val="clear" w:color="auto" w:fill="auto"/>
            <w:tcMar>
              <w:top w:w="0" w:type="dxa"/>
              <w:left w:w="108" w:type="dxa"/>
              <w:bottom w:w="0" w:type="dxa"/>
              <w:right w:w="108" w:type="dxa"/>
            </w:tcMar>
            <w:vAlign w:val="center"/>
          </w:tcPr>
          <w:p w14:paraId="4E8758C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0.10%</w:t>
            </w:r>
          </w:p>
        </w:tc>
        <w:tc>
          <w:tcPr>
            <w:tcW w:w="1620" w:type="dxa"/>
            <w:shd w:val="clear" w:color="auto" w:fill="auto"/>
            <w:tcMar>
              <w:top w:w="0" w:type="dxa"/>
              <w:left w:w="108" w:type="dxa"/>
              <w:bottom w:w="0" w:type="dxa"/>
              <w:right w:w="108" w:type="dxa"/>
            </w:tcMar>
            <w:vAlign w:val="center"/>
          </w:tcPr>
          <w:p w14:paraId="3964DD2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3.25</w:t>
            </w:r>
          </w:p>
        </w:tc>
        <w:tc>
          <w:tcPr>
            <w:tcW w:w="1140" w:type="dxa"/>
            <w:shd w:val="clear" w:color="auto" w:fill="auto"/>
            <w:tcMar>
              <w:top w:w="0" w:type="dxa"/>
              <w:left w:w="108" w:type="dxa"/>
              <w:bottom w:w="0" w:type="dxa"/>
              <w:right w:w="108" w:type="dxa"/>
            </w:tcMar>
            <w:vAlign w:val="center"/>
          </w:tcPr>
          <w:p w14:paraId="6D83D58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0.14%</w:t>
            </w:r>
          </w:p>
        </w:tc>
      </w:tr>
      <w:tr w:rsidR="006416B0" w:rsidRPr="00B4515A" w14:paraId="35B8DF8D" w14:textId="77777777" w:rsidTr="00031627">
        <w:trPr>
          <w:trHeight w:val="340"/>
          <w:jc w:val="center"/>
        </w:trPr>
        <w:tc>
          <w:tcPr>
            <w:tcW w:w="1040" w:type="dxa"/>
            <w:shd w:val="clear" w:color="auto" w:fill="auto"/>
            <w:tcMar>
              <w:top w:w="0" w:type="dxa"/>
              <w:left w:w="108" w:type="dxa"/>
              <w:bottom w:w="0" w:type="dxa"/>
              <w:right w:w="108" w:type="dxa"/>
            </w:tcMar>
            <w:vAlign w:val="center"/>
          </w:tcPr>
          <w:p w14:paraId="05A9E5C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销售服务费</w:t>
            </w:r>
          </w:p>
        </w:tc>
        <w:tc>
          <w:tcPr>
            <w:tcW w:w="1380" w:type="dxa"/>
            <w:shd w:val="clear" w:color="auto" w:fill="auto"/>
            <w:tcMar>
              <w:top w:w="0" w:type="dxa"/>
              <w:left w:w="108" w:type="dxa"/>
              <w:bottom w:w="0" w:type="dxa"/>
              <w:right w:w="108" w:type="dxa"/>
            </w:tcMar>
            <w:vAlign w:val="center"/>
          </w:tcPr>
          <w:p w14:paraId="61E1685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2.44</w:t>
            </w:r>
          </w:p>
        </w:tc>
        <w:tc>
          <w:tcPr>
            <w:tcW w:w="1100" w:type="dxa"/>
            <w:shd w:val="clear" w:color="auto" w:fill="auto"/>
            <w:tcMar>
              <w:top w:w="0" w:type="dxa"/>
              <w:left w:w="108" w:type="dxa"/>
              <w:bottom w:w="0" w:type="dxa"/>
              <w:right w:w="108" w:type="dxa"/>
            </w:tcMar>
            <w:vAlign w:val="center"/>
          </w:tcPr>
          <w:p w14:paraId="1F6D02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0.50%</w:t>
            </w:r>
          </w:p>
        </w:tc>
        <w:tc>
          <w:tcPr>
            <w:tcW w:w="1620" w:type="dxa"/>
            <w:shd w:val="clear" w:color="auto" w:fill="auto"/>
            <w:tcMar>
              <w:top w:w="0" w:type="dxa"/>
              <w:left w:w="108" w:type="dxa"/>
              <w:bottom w:w="0" w:type="dxa"/>
              <w:right w:w="108" w:type="dxa"/>
            </w:tcMar>
            <w:vAlign w:val="center"/>
          </w:tcPr>
          <w:p w14:paraId="340ECF6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79.69</w:t>
            </w:r>
          </w:p>
        </w:tc>
        <w:tc>
          <w:tcPr>
            <w:tcW w:w="1100" w:type="dxa"/>
            <w:shd w:val="clear" w:color="auto" w:fill="auto"/>
            <w:tcMar>
              <w:top w:w="0" w:type="dxa"/>
              <w:left w:w="108" w:type="dxa"/>
              <w:bottom w:w="0" w:type="dxa"/>
              <w:right w:w="108" w:type="dxa"/>
            </w:tcMar>
            <w:vAlign w:val="center"/>
          </w:tcPr>
          <w:p w14:paraId="3738360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4.03%</w:t>
            </w:r>
          </w:p>
        </w:tc>
        <w:tc>
          <w:tcPr>
            <w:tcW w:w="1620" w:type="dxa"/>
            <w:shd w:val="clear" w:color="auto" w:fill="auto"/>
            <w:tcMar>
              <w:top w:w="0" w:type="dxa"/>
              <w:left w:w="108" w:type="dxa"/>
              <w:bottom w:w="0" w:type="dxa"/>
              <w:right w:w="108" w:type="dxa"/>
            </w:tcMar>
            <w:vAlign w:val="center"/>
          </w:tcPr>
          <w:p w14:paraId="027CA10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35.24</w:t>
            </w:r>
          </w:p>
        </w:tc>
        <w:tc>
          <w:tcPr>
            <w:tcW w:w="1140" w:type="dxa"/>
            <w:shd w:val="clear" w:color="auto" w:fill="auto"/>
            <w:tcMar>
              <w:top w:w="0" w:type="dxa"/>
              <w:left w:w="108" w:type="dxa"/>
              <w:bottom w:w="0" w:type="dxa"/>
              <w:right w:w="108" w:type="dxa"/>
            </w:tcMar>
            <w:vAlign w:val="center"/>
          </w:tcPr>
          <w:p w14:paraId="023B3DA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1.50%</w:t>
            </w:r>
          </w:p>
        </w:tc>
      </w:tr>
      <w:tr w:rsidR="006416B0" w:rsidRPr="00B4515A" w14:paraId="68724107" w14:textId="77777777" w:rsidTr="00031627">
        <w:trPr>
          <w:trHeight w:val="340"/>
          <w:jc w:val="center"/>
        </w:trPr>
        <w:tc>
          <w:tcPr>
            <w:tcW w:w="1040" w:type="dxa"/>
            <w:shd w:val="clear" w:color="auto" w:fill="auto"/>
            <w:tcMar>
              <w:top w:w="0" w:type="dxa"/>
              <w:left w:w="108" w:type="dxa"/>
              <w:bottom w:w="0" w:type="dxa"/>
              <w:right w:w="108" w:type="dxa"/>
            </w:tcMar>
            <w:vAlign w:val="center"/>
          </w:tcPr>
          <w:p w14:paraId="51D4F39D"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招投</w:t>
            </w:r>
          </w:p>
          <w:p w14:paraId="1064F153" w14:textId="7192B67C"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标费</w:t>
            </w:r>
          </w:p>
        </w:tc>
        <w:tc>
          <w:tcPr>
            <w:tcW w:w="1380" w:type="dxa"/>
            <w:shd w:val="clear" w:color="auto" w:fill="auto"/>
            <w:tcMar>
              <w:top w:w="0" w:type="dxa"/>
              <w:left w:w="108" w:type="dxa"/>
              <w:bottom w:w="0" w:type="dxa"/>
              <w:right w:w="108" w:type="dxa"/>
            </w:tcMar>
            <w:vAlign w:val="center"/>
          </w:tcPr>
          <w:p w14:paraId="0B8AA57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24.86</w:t>
            </w:r>
          </w:p>
        </w:tc>
        <w:tc>
          <w:tcPr>
            <w:tcW w:w="1100" w:type="dxa"/>
            <w:shd w:val="clear" w:color="auto" w:fill="auto"/>
            <w:tcMar>
              <w:top w:w="0" w:type="dxa"/>
              <w:left w:w="108" w:type="dxa"/>
              <w:bottom w:w="0" w:type="dxa"/>
              <w:right w:w="108" w:type="dxa"/>
            </w:tcMar>
            <w:vAlign w:val="center"/>
          </w:tcPr>
          <w:p w14:paraId="60FA956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5.13%</w:t>
            </w:r>
          </w:p>
        </w:tc>
        <w:tc>
          <w:tcPr>
            <w:tcW w:w="1620" w:type="dxa"/>
            <w:shd w:val="clear" w:color="auto" w:fill="auto"/>
            <w:tcMar>
              <w:top w:w="0" w:type="dxa"/>
              <w:left w:w="108" w:type="dxa"/>
              <w:bottom w:w="0" w:type="dxa"/>
              <w:right w:w="108" w:type="dxa"/>
            </w:tcMar>
            <w:vAlign w:val="center"/>
          </w:tcPr>
          <w:p w14:paraId="0843769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90.72</w:t>
            </w:r>
          </w:p>
        </w:tc>
        <w:tc>
          <w:tcPr>
            <w:tcW w:w="1100" w:type="dxa"/>
            <w:shd w:val="clear" w:color="auto" w:fill="auto"/>
            <w:tcMar>
              <w:top w:w="0" w:type="dxa"/>
              <w:left w:w="108" w:type="dxa"/>
              <w:bottom w:w="0" w:type="dxa"/>
              <w:right w:w="108" w:type="dxa"/>
            </w:tcMar>
            <w:vAlign w:val="center"/>
          </w:tcPr>
          <w:p w14:paraId="1F28C88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4.59%</w:t>
            </w:r>
          </w:p>
        </w:tc>
        <w:tc>
          <w:tcPr>
            <w:tcW w:w="1620" w:type="dxa"/>
            <w:shd w:val="clear" w:color="auto" w:fill="auto"/>
            <w:tcMar>
              <w:top w:w="0" w:type="dxa"/>
              <w:left w:w="108" w:type="dxa"/>
              <w:bottom w:w="0" w:type="dxa"/>
              <w:right w:w="108" w:type="dxa"/>
            </w:tcMar>
            <w:vAlign w:val="center"/>
          </w:tcPr>
          <w:p w14:paraId="7AA1EF2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203.88</w:t>
            </w:r>
          </w:p>
        </w:tc>
        <w:tc>
          <w:tcPr>
            <w:tcW w:w="1140" w:type="dxa"/>
            <w:shd w:val="clear" w:color="auto" w:fill="auto"/>
            <w:tcMar>
              <w:top w:w="0" w:type="dxa"/>
              <w:left w:w="108" w:type="dxa"/>
              <w:bottom w:w="0" w:type="dxa"/>
              <w:right w:w="108" w:type="dxa"/>
            </w:tcMar>
            <w:vAlign w:val="center"/>
          </w:tcPr>
          <w:p w14:paraId="3160C4F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8.67%</w:t>
            </w:r>
          </w:p>
        </w:tc>
      </w:tr>
      <w:tr w:rsidR="006416B0" w:rsidRPr="00B4515A" w14:paraId="2E4F807A" w14:textId="77777777" w:rsidTr="00031627">
        <w:trPr>
          <w:trHeight w:val="340"/>
          <w:jc w:val="center"/>
        </w:trPr>
        <w:tc>
          <w:tcPr>
            <w:tcW w:w="1040" w:type="dxa"/>
            <w:shd w:val="clear" w:color="auto" w:fill="auto"/>
            <w:tcMar>
              <w:top w:w="0" w:type="dxa"/>
              <w:left w:w="108" w:type="dxa"/>
              <w:bottom w:w="0" w:type="dxa"/>
              <w:right w:w="108" w:type="dxa"/>
            </w:tcMar>
            <w:vAlign w:val="center"/>
          </w:tcPr>
          <w:p w14:paraId="023593F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w:t>
            </w:r>
          </w:p>
        </w:tc>
        <w:tc>
          <w:tcPr>
            <w:tcW w:w="1380" w:type="dxa"/>
            <w:shd w:val="clear" w:color="auto" w:fill="auto"/>
            <w:tcMar>
              <w:top w:w="0" w:type="dxa"/>
              <w:left w:w="108" w:type="dxa"/>
              <w:bottom w:w="0" w:type="dxa"/>
              <w:right w:w="108" w:type="dxa"/>
            </w:tcMar>
            <w:vAlign w:val="center"/>
          </w:tcPr>
          <w:p w14:paraId="5C795BB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7.88</w:t>
            </w:r>
          </w:p>
        </w:tc>
        <w:tc>
          <w:tcPr>
            <w:tcW w:w="1100" w:type="dxa"/>
            <w:shd w:val="clear" w:color="auto" w:fill="auto"/>
            <w:tcMar>
              <w:top w:w="0" w:type="dxa"/>
              <w:left w:w="108" w:type="dxa"/>
              <w:bottom w:w="0" w:type="dxa"/>
              <w:right w:w="108" w:type="dxa"/>
            </w:tcMar>
            <w:vAlign w:val="center"/>
          </w:tcPr>
          <w:p w14:paraId="36BF78A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1.62%</w:t>
            </w:r>
          </w:p>
        </w:tc>
        <w:tc>
          <w:tcPr>
            <w:tcW w:w="1620" w:type="dxa"/>
            <w:shd w:val="clear" w:color="auto" w:fill="auto"/>
            <w:tcMar>
              <w:top w:w="0" w:type="dxa"/>
              <w:left w:w="108" w:type="dxa"/>
              <w:bottom w:w="0" w:type="dxa"/>
              <w:right w:w="108" w:type="dxa"/>
            </w:tcMar>
            <w:vAlign w:val="center"/>
          </w:tcPr>
          <w:p w14:paraId="6A84B05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150.50</w:t>
            </w:r>
          </w:p>
        </w:tc>
        <w:tc>
          <w:tcPr>
            <w:tcW w:w="1100" w:type="dxa"/>
            <w:shd w:val="clear" w:color="auto" w:fill="auto"/>
            <w:tcMar>
              <w:top w:w="0" w:type="dxa"/>
              <w:left w:w="108" w:type="dxa"/>
              <w:bottom w:w="0" w:type="dxa"/>
              <w:right w:w="108" w:type="dxa"/>
            </w:tcMar>
            <w:vAlign w:val="center"/>
          </w:tcPr>
          <w:p w14:paraId="7F6D648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7.61%</w:t>
            </w:r>
          </w:p>
        </w:tc>
        <w:tc>
          <w:tcPr>
            <w:tcW w:w="1620" w:type="dxa"/>
            <w:shd w:val="clear" w:color="auto" w:fill="auto"/>
            <w:tcMar>
              <w:top w:w="0" w:type="dxa"/>
              <w:left w:w="108" w:type="dxa"/>
              <w:bottom w:w="0" w:type="dxa"/>
              <w:right w:w="108" w:type="dxa"/>
            </w:tcMar>
            <w:vAlign w:val="center"/>
          </w:tcPr>
          <w:p w14:paraId="22B74D7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238.22</w:t>
            </w:r>
          </w:p>
        </w:tc>
        <w:tc>
          <w:tcPr>
            <w:tcW w:w="1140" w:type="dxa"/>
            <w:shd w:val="clear" w:color="auto" w:fill="auto"/>
            <w:tcMar>
              <w:top w:w="0" w:type="dxa"/>
              <w:left w:w="108" w:type="dxa"/>
              <w:bottom w:w="0" w:type="dxa"/>
              <w:right w:w="108" w:type="dxa"/>
            </w:tcMar>
            <w:vAlign w:val="center"/>
          </w:tcPr>
          <w:p w14:paraId="6D248D5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10.13%</w:t>
            </w:r>
          </w:p>
        </w:tc>
      </w:tr>
      <w:tr w:rsidR="006416B0" w:rsidRPr="00B4515A" w14:paraId="21FF8E12" w14:textId="77777777" w:rsidTr="00031627">
        <w:trPr>
          <w:trHeight w:val="340"/>
          <w:jc w:val="center"/>
        </w:trPr>
        <w:tc>
          <w:tcPr>
            <w:tcW w:w="1040" w:type="dxa"/>
            <w:shd w:val="clear" w:color="auto" w:fill="auto"/>
            <w:tcMar>
              <w:top w:w="0" w:type="dxa"/>
              <w:left w:w="108" w:type="dxa"/>
              <w:bottom w:w="0" w:type="dxa"/>
              <w:right w:w="108" w:type="dxa"/>
            </w:tcMar>
            <w:vAlign w:val="center"/>
          </w:tcPr>
          <w:p w14:paraId="3B00869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合计</w:t>
            </w:r>
          </w:p>
        </w:tc>
        <w:tc>
          <w:tcPr>
            <w:tcW w:w="1380" w:type="dxa"/>
            <w:shd w:val="clear" w:color="auto" w:fill="auto"/>
            <w:tcMar>
              <w:top w:w="0" w:type="dxa"/>
              <w:left w:w="108" w:type="dxa"/>
              <w:bottom w:w="0" w:type="dxa"/>
              <w:right w:w="108" w:type="dxa"/>
            </w:tcMar>
            <w:vAlign w:val="center"/>
          </w:tcPr>
          <w:p w14:paraId="1E38002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485.07</w:t>
            </w:r>
          </w:p>
        </w:tc>
        <w:tc>
          <w:tcPr>
            <w:tcW w:w="1100" w:type="dxa"/>
            <w:shd w:val="clear" w:color="auto" w:fill="auto"/>
            <w:tcMar>
              <w:top w:w="0" w:type="dxa"/>
              <w:left w:w="108" w:type="dxa"/>
              <w:bottom w:w="0" w:type="dxa"/>
              <w:right w:w="108" w:type="dxa"/>
            </w:tcMar>
            <w:vAlign w:val="center"/>
          </w:tcPr>
          <w:p w14:paraId="656AEC4D"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1620" w:type="dxa"/>
            <w:shd w:val="clear" w:color="auto" w:fill="auto"/>
            <w:tcMar>
              <w:top w:w="0" w:type="dxa"/>
              <w:left w:w="108" w:type="dxa"/>
              <w:bottom w:w="0" w:type="dxa"/>
              <w:right w:w="108" w:type="dxa"/>
            </w:tcMar>
            <w:vAlign w:val="center"/>
          </w:tcPr>
          <w:p w14:paraId="51F823C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1,976.47</w:t>
            </w:r>
          </w:p>
        </w:tc>
        <w:tc>
          <w:tcPr>
            <w:tcW w:w="1100" w:type="dxa"/>
            <w:shd w:val="clear" w:color="auto" w:fill="auto"/>
            <w:tcMar>
              <w:top w:w="0" w:type="dxa"/>
              <w:left w:w="108" w:type="dxa"/>
              <w:bottom w:w="0" w:type="dxa"/>
              <w:right w:w="108" w:type="dxa"/>
            </w:tcMar>
            <w:vAlign w:val="center"/>
          </w:tcPr>
          <w:p w14:paraId="3781996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1620" w:type="dxa"/>
            <w:shd w:val="clear" w:color="auto" w:fill="auto"/>
            <w:tcMar>
              <w:top w:w="0" w:type="dxa"/>
              <w:left w:w="108" w:type="dxa"/>
              <w:bottom w:w="0" w:type="dxa"/>
              <w:right w:w="108" w:type="dxa"/>
            </w:tcMar>
            <w:vAlign w:val="center"/>
          </w:tcPr>
          <w:p w14:paraId="01E60365"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2,351.27</w:t>
            </w:r>
          </w:p>
        </w:tc>
        <w:tc>
          <w:tcPr>
            <w:tcW w:w="1140" w:type="dxa"/>
            <w:shd w:val="clear" w:color="auto" w:fill="auto"/>
            <w:tcMar>
              <w:top w:w="0" w:type="dxa"/>
              <w:left w:w="108" w:type="dxa"/>
              <w:bottom w:w="0" w:type="dxa"/>
              <w:right w:w="108" w:type="dxa"/>
            </w:tcMar>
            <w:vAlign w:val="center"/>
          </w:tcPr>
          <w:p w14:paraId="701CF56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r>
    </w:tbl>
    <w:p w14:paraId="63FA19AF" w14:textId="77777777" w:rsidR="006416B0" w:rsidRPr="00B4515A" w:rsidRDefault="005E58C1" w:rsidP="003357B7">
      <w:pPr>
        <w:pStyle w:val="005"/>
        <w:spacing w:before="120" w:after="120"/>
        <w:ind w:firstLine="480"/>
      </w:pPr>
      <w:r w:rsidRPr="00B4515A">
        <w:rPr>
          <w:rFonts w:hint="eastAsia"/>
        </w:rPr>
        <w:t>报告期各期，大唐联诚销售费用分别为</w:t>
      </w:r>
      <w:r w:rsidRPr="00B4515A">
        <w:t>2,351.27</w:t>
      </w:r>
      <w:r w:rsidRPr="00B4515A">
        <w:rPr>
          <w:rFonts w:hint="eastAsia"/>
        </w:rPr>
        <w:t>万元、</w:t>
      </w:r>
      <w:r w:rsidRPr="00B4515A">
        <w:t>1,976.47</w:t>
      </w:r>
      <w:r w:rsidRPr="00B4515A">
        <w:rPr>
          <w:rFonts w:hint="eastAsia"/>
        </w:rPr>
        <w:t>万元、</w:t>
      </w:r>
      <w:r w:rsidRPr="00B4515A">
        <w:t>485.07</w:t>
      </w:r>
      <w:r w:rsidRPr="00B4515A">
        <w:rPr>
          <w:rFonts w:hint="eastAsia"/>
        </w:rPr>
        <w:t>万元，占当期营业收入的比例分别为</w:t>
      </w:r>
      <w:r w:rsidRPr="00B4515A">
        <w:t>6.41%</w:t>
      </w:r>
      <w:r w:rsidRPr="00B4515A">
        <w:rPr>
          <w:rFonts w:hint="eastAsia"/>
        </w:rPr>
        <w:t>、</w:t>
      </w:r>
      <w:r w:rsidRPr="00B4515A">
        <w:t>3.58%</w:t>
      </w:r>
      <w:r w:rsidRPr="00B4515A">
        <w:rPr>
          <w:rFonts w:hint="eastAsia"/>
        </w:rPr>
        <w:t>、</w:t>
      </w:r>
      <w:r w:rsidRPr="00B4515A">
        <w:t>3.80%</w:t>
      </w:r>
      <w:r w:rsidRPr="00B4515A">
        <w:tab/>
      </w:r>
      <w:r w:rsidRPr="00B4515A">
        <w:rPr>
          <w:rFonts w:hint="eastAsia"/>
        </w:rPr>
        <w:t>。销售费用占营业收入比例整体保持下降趋势。</w:t>
      </w:r>
      <w:r w:rsidRPr="00B4515A">
        <w:t>2020</w:t>
      </w:r>
      <w:r w:rsidRPr="00B4515A">
        <w:rPr>
          <w:rFonts w:hint="eastAsia"/>
        </w:rPr>
        <w:t>年度较</w:t>
      </w:r>
      <w:r w:rsidRPr="00B4515A">
        <w:t>2019</w:t>
      </w:r>
      <w:r w:rsidRPr="00B4515A">
        <w:rPr>
          <w:rFonts w:hint="eastAsia"/>
        </w:rPr>
        <w:t>年度销售费用下降的主要原因为大唐联诚</w:t>
      </w:r>
      <w:r w:rsidRPr="00B4515A">
        <w:t>2020</w:t>
      </w:r>
      <w:r w:rsidRPr="00B4515A">
        <w:rPr>
          <w:rFonts w:hint="eastAsia"/>
        </w:rPr>
        <w:t>年度样品及产品消耗、招投标费等相对</w:t>
      </w:r>
      <w:r w:rsidRPr="00B4515A">
        <w:t>2019</w:t>
      </w:r>
      <w:r w:rsidRPr="00B4515A">
        <w:rPr>
          <w:rFonts w:hint="eastAsia"/>
        </w:rPr>
        <w:t>年度大幅度下降所致。</w:t>
      </w:r>
    </w:p>
    <w:p w14:paraId="0CB843EA" w14:textId="0FA223F7" w:rsidR="006416B0" w:rsidRPr="00B4515A" w:rsidRDefault="005E58C1" w:rsidP="003357B7">
      <w:pPr>
        <w:pStyle w:val="005"/>
        <w:spacing w:before="120" w:after="120"/>
        <w:ind w:firstLine="480"/>
      </w:pPr>
      <w:r w:rsidRPr="00B4515A">
        <w:rPr>
          <w:rFonts w:hint="eastAsia"/>
        </w:rPr>
        <w:t>大唐联诚的销售费用主要由职工薪酬、</w:t>
      </w:r>
      <w:r w:rsidRPr="00B4515A">
        <w:t>业务招待费</w:t>
      </w:r>
      <w:r w:rsidRPr="00B4515A">
        <w:rPr>
          <w:rFonts w:hint="eastAsia"/>
        </w:rPr>
        <w:t>、差旅费、</w:t>
      </w:r>
      <w:r w:rsidR="00A54019" w:rsidRPr="00B4515A">
        <w:rPr>
          <w:rFonts w:hint="eastAsia"/>
        </w:rPr>
        <w:t>房屋及物业费</w:t>
      </w:r>
      <w:r w:rsidRPr="00B4515A">
        <w:rPr>
          <w:rFonts w:hint="eastAsia"/>
        </w:rPr>
        <w:t>、销售服务费、招投标费等构成，上述费用在报告期各期合计金额占各期销售费用的比例分别为</w:t>
      </w:r>
      <w:r w:rsidRPr="00B4515A">
        <w:t>89.73%</w:t>
      </w:r>
      <w:r w:rsidRPr="00B4515A">
        <w:rPr>
          <w:rFonts w:hint="eastAsia"/>
        </w:rPr>
        <w:t>、</w:t>
      </w:r>
      <w:r w:rsidRPr="00B4515A">
        <w:t>92.29%</w:t>
      </w:r>
      <w:r w:rsidRPr="00B4515A">
        <w:rPr>
          <w:rFonts w:hint="eastAsia"/>
        </w:rPr>
        <w:t>、</w:t>
      </w:r>
      <w:r w:rsidRPr="00B4515A">
        <w:t>98.23%</w:t>
      </w:r>
      <w:r w:rsidRPr="00B4515A">
        <w:rPr>
          <w:rFonts w:hint="eastAsia"/>
        </w:rPr>
        <w:t>。</w:t>
      </w:r>
    </w:p>
    <w:p w14:paraId="14122CB8" w14:textId="77777777" w:rsidR="006416B0" w:rsidRPr="00B4515A" w:rsidRDefault="005E58C1" w:rsidP="003357B7">
      <w:pPr>
        <w:pStyle w:val="005"/>
        <w:spacing w:before="120" w:after="120"/>
        <w:ind w:firstLine="480"/>
      </w:pPr>
      <w:r w:rsidRPr="00B4515A">
        <w:rPr>
          <w:rFonts w:hint="eastAsia"/>
        </w:rPr>
        <w:t>（</w:t>
      </w:r>
      <w:r w:rsidRPr="00B4515A">
        <w:rPr>
          <w:rFonts w:hint="eastAsia"/>
        </w:rPr>
        <w:t>2</w:t>
      </w:r>
      <w:r w:rsidRPr="00B4515A">
        <w:rPr>
          <w:rFonts w:hint="eastAsia"/>
        </w:rPr>
        <w:t>）</w:t>
      </w:r>
      <w:r w:rsidRPr="00B4515A">
        <w:rPr>
          <w:rFonts w:hint="eastAsia"/>
        </w:rPr>
        <w:tab/>
      </w:r>
      <w:r w:rsidRPr="00B4515A">
        <w:rPr>
          <w:rFonts w:hint="eastAsia"/>
        </w:rPr>
        <w:t>管理费用分析</w:t>
      </w:r>
    </w:p>
    <w:p w14:paraId="184A57FA" w14:textId="77777777" w:rsidR="006416B0" w:rsidRPr="00B4515A" w:rsidRDefault="005E58C1" w:rsidP="003357B7">
      <w:pPr>
        <w:pStyle w:val="005"/>
        <w:spacing w:before="120" w:after="120"/>
        <w:ind w:firstLine="480"/>
      </w:pPr>
      <w:r w:rsidRPr="00B4515A">
        <w:rPr>
          <w:rFonts w:hint="eastAsia"/>
        </w:rPr>
        <w:t>报告期内，大唐联诚管理费用明细如下：</w:t>
      </w:r>
    </w:p>
    <w:p w14:paraId="771DD015"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463"/>
        <w:gridCol w:w="1304"/>
        <w:gridCol w:w="1250"/>
        <w:gridCol w:w="1250"/>
        <w:gridCol w:w="1250"/>
        <w:gridCol w:w="1001"/>
        <w:gridCol w:w="1010"/>
      </w:tblGrid>
      <w:tr w:rsidR="006416B0" w:rsidRPr="00B4515A" w14:paraId="2695AF60" w14:textId="77777777" w:rsidTr="00031627">
        <w:trPr>
          <w:trHeight w:val="340"/>
          <w:jc w:val="center"/>
        </w:trPr>
        <w:tc>
          <w:tcPr>
            <w:tcW w:w="1403" w:type="dxa"/>
            <w:vMerge w:val="restart"/>
            <w:shd w:val="clear" w:color="auto" w:fill="auto"/>
            <w:tcMar>
              <w:top w:w="0" w:type="dxa"/>
              <w:left w:w="108" w:type="dxa"/>
              <w:bottom w:w="0" w:type="dxa"/>
              <w:right w:w="108" w:type="dxa"/>
            </w:tcMar>
            <w:vAlign w:val="center"/>
          </w:tcPr>
          <w:p w14:paraId="4DC4B3A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2450" w:type="dxa"/>
            <w:gridSpan w:val="2"/>
            <w:shd w:val="clear" w:color="auto" w:fill="auto"/>
            <w:tcMar>
              <w:top w:w="0" w:type="dxa"/>
              <w:left w:w="108" w:type="dxa"/>
              <w:bottom w:w="0" w:type="dxa"/>
              <w:right w:w="108" w:type="dxa"/>
            </w:tcMar>
            <w:vAlign w:val="center"/>
          </w:tcPr>
          <w:p w14:paraId="0E2D21F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2398" w:type="dxa"/>
            <w:gridSpan w:val="2"/>
            <w:shd w:val="clear" w:color="auto" w:fill="auto"/>
            <w:tcMar>
              <w:top w:w="0" w:type="dxa"/>
              <w:left w:w="108" w:type="dxa"/>
              <w:bottom w:w="0" w:type="dxa"/>
              <w:right w:w="108" w:type="dxa"/>
            </w:tcMar>
            <w:vAlign w:val="center"/>
          </w:tcPr>
          <w:p w14:paraId="747C530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年度</w:t>
            </w:r>
          </w:p>
        </w:tc>
        <w:tc>
          <w:tcPr>
            <w:tcW w:w="1929" w:type="dxa"/>
            <w:gridSpan w:val="2"/>
            <w:shd w:val="clear" w:color="auto" w:fill="auto"/>
            <w:tcMar>
              <w:top w:w="0" w:type="dxa"/>
              <w:left w:w="108" w:type="dxa"/>
              <w:bottom w:w="0" w:type="dxa"/>
              <w:right w:w="108" w:type="dxa"/>
            </w:tcMar>
            <w:vAlign w:val="center"/>
          </w:tcPr>
          <w:p w14:paraId="6089EEA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hint="eastAsia"/>
                <w:b/>
                <w:bCs/>
                <w:color w:val="000000"/>
                <w:sz w:val="21"/>
                <w:szCs w:val="21"/>
              </w:rPr>
              <w:t>年度</w:t>
            </w:r>
          </w:p>
        </w:tc>
      </w:tr>
      <w:tr w:rsidR="006416B0" w:rsidRPr="00B4515A" w14:paraId="65D2C89C" w14:textId="77777777" w:rsidTr="00031627">
        <w:trPr>
          <w:trHeight w:val="340"/>
          <w:jc w:val="center"/>
        </w:trPr>
        <w:tc>
          <w:tcPr>
            <w:tcW w:w="1403" w:type="dxa"/>
            <w:vMerge/>
            <w:shd w:val="clear" w:color="auto" w:fill="auto"/>
            <w:tcMar>
              <w:top w:w="0" w:type="dxa"/>
              <w:left w:w="108" w:type="dxa"/>
              <w:bottom w:w="0" w:type="dxa"/>
              <w:right w:w="108" w:type="dxa"/>
            </w:tcMar>
            <w:vAlign w:val="center"/>
          </w:tcPr>
          <w:p w14:paraId="5775B184"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1251" w:type="dxa"/>
            <w:shd w:val="clear" w:color="auto" w:fill="auto"/>
            <w:tcMar>
              <w:top w:w="0" w:type="dxa"/>
              <w:left w:w="108" w:type="dxa"/>
              <w:bottom w:w="0" w:type="dxa"/>
              <w:right w:w="108" w:type="dxa"/>
            </w:tcMar>
            <w:vAlign w:val="center"/>
          </w:tcPr>
          <w:p w14:paraId="5928054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199" w:type="dxa"/>
            <w:shd w:val="clear" w:color="auto" w:fill="auto"/>
            <w:tcMar>
              <w:top w:w="0" w:type="dxa"/>
              <w:left w:w="108" w:type="dxa"/>
              <w:bottom w:w="0" w:type="dxa"/>
              <w:right w:w="108" w:type="dxa"/>
            </w:tcMar>
            <w:vAlign w:val="center"/>
          </w:tcPr>
          <w:p w14:paraId="6F5F0C9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1199" w:type="dxa"/>
            <w:shd w:val="clear" w:color="auto" w:fill="auto"/>
            <w:tcMar>
              <w:top w:w="0" w:type="dxa"/>
              <w:left w:w="108" w:type="dxa"/>
              <w:bottom w:w="0" w:type="dxa"/>
              <w:right w:w="108" w:type="dxa"/>
            </w:tcMar>
            <w:vAlign w:val="center"/>
          </w:tcPr>
          <w:p w14:paraId="2C74007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199" w:type="dxa"/>
            <w:shd w:val="clear" w:color="auto" w:fill="auto"/>
            <w:tcMar>
              <w:top w:w="0" w:type="dxa"/>
              <w:left w:w="108" w:type="dxa"/>
              <w:bottom w:w="0" w:type="dxa"/>
              <w:right w:w="108" w:type="dxa"/>
            </w:tcMar>
            <w:vAlign w:val="center"/>
          </w:tcPr>
          <w:p w14:paraId="79427A7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960" w:type="dxa"/>
            <w:shd w:val="clear" w:color="auto" w:fill="auto"/>
            <w:tcMar>
              <w:top w:w="0" w:type="dxa"/>
              <w:left w:w="108" w:type="dxa"/>
              <w:bottom w:w="0" w:type="dxa"/>
              <w:right w:w="108" w:type="dxa"/>
            </w:tcMar>
            <w:vAlign w:val="center"/>
          </w:tcPr>
          <w:p w14:paraId="0661320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969" w:type="dxa"/>
            <w:shd w:val="clear" w:color="auto" w:fill="auto"/>
            <w:tcMar>
              <w:top w:w="0" w:type="dxa"/>
              <w:left w:w="108" w:type="dxa"/>
              <w:bottom w:w="0" w:type="dxa"/>
              <w:right w:w="108" w:type="dxa"/>
            </w:tcMar>
            <w:vAlign w:val="center"/>
          </w:tcPr>
          <w:p w14:paraId="59C7ECC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r>
      <w:tr w:rsidR="006416B0" w:rsidRPr="00B4515A" w14:paraId="01F9E4AE" w14:textId="77777777" w:rsidTr="00031627">
        <w:trPr>
          <w:trHeight w:val="340"/>
          <w:jc w:val="center"/>
        </w:trPr>
        <w:tc>
          <w:tcPr>
            <w:tcW w:w="1403" w:type="dxa"/>
            <w:shd w:val="clear" w:color="auto" w:fill="auto"/>
            <w:tcMar>
              <w:top w:w="0" w:type="dxa"/>
              <w:left w:w="108" w:type="dxa"/>
              <w:bottom w:w="0" w:type="dxa"/>
              <w:right w:w="108" w:type="dxa"/>
            </w:tcMar>
            <w:vAlign w:val="center"/>
          </w:tcPr>
          <w:p w14:paraId="6266E55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职工薪酬</w:t>
            </w:r>
          </w:p>
        </w:tc>
        <w:tc>
          <w:tcPr>
            <w:tcW w:w="1251" w:type="dxa"/>
            <w:shd w:val="clear" w:color="auto" w:fill="auto"/>
            <w:tcMar>
              <w:top w:w="0" w:type="dxa"/>
              <w:left w:w="108" w:type="dxa"/>
              <w:bottom w:w="0" w:type="dxa"/>
              <w:right w:w="108" w:type="dxa"/>
            </w:tcMar>
            <w:vAlign w:val="center"/>
          </w:tcPr>
          <w:p w14:paraId="2079C85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948.03</w:t>
            </w:r>
          </w:p>
        </w:tc>
        <w:tc>
          <w:tcPr>
            <w:tcW w:w="1199" w:type="dxa"/>
            <w:shd w:val="clear" w:color="auto" w:fill="auto"/>
            <w:tcMar>
              <w:top w:w="0" w:type="dxa"/>
              <w:left w:w="108" w:type="dxa"/>
              <w:bottom w:w="0" w:type="dxa"/>
              <w:right w:w="108" w:type="dxa"/>
            </w:tcMar>
            <w:vAlign w:val="center"/>
          </w:tcPr>
          <w:p w14:paraId="7B07D49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67.55%</w:t>
            </w:r>
          </w:p>
        </w:tc>
        <w:tc>
          <w:tcPr>
            <w:tcW w:w="1199" w:type="dxa"/>
            <w:shd w:val="clear" w:color="auto" w:fill="auto"/>
            <w:tcMar>
              <w:top w:w="0" w:type="dxa"/>
              <w:left w:w="108" w:type="dxa"/>
              <w:bottom w:w="0" w:type="dxa"/>
              <w:right w:w="108" w:type="dxa"/>
            </w:tcMar>
            <w:vAlign w:val="center"/>
          </w:tcPr>
          <w:p w14:paraId="7672E7D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2,880.25</w:t>
            </w:r>
          </w:p>
        </w:tc>
        <w:tc>
          <w:tcPr>
            <w:tcW w:w="1199" w:type="dxa"/>
            <w:shd w:val="clear" w:color="auto" w:fill="auto"/>
            <w:tcMar>
              <w:top w:w="0" w:type="dxa"/>
              <w:left w:w="108" w:type="dxa"/>
              <w:bottom w:w="0" w:type="dxa"/>
              <w:right w:w="108" w:type="dxa"/>
            </w:tcMar>
            <w:vAlign w:val="center"/>
          </w:tcPr>
          <w:p w14:paraId="3135E8D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71.62%</w:t>
            </w:r>
          </w:p>
        </w:tc>
        <w:tc>
          <w:tcPr>
            <w:tcW w:w="960" w:type="dxa"/>
            <w:shd w:val="clear" w:color="auto" w:fill="auto"/>
            <w:tcMar>
              <w:top w:w="0" w:type="dxa"/>
              <w:left w:w="108" w:type="dxa"/>
              <w:bottom w:w="0" w:type="dxa"/>
              <w:right w:w="108" w:type="dxa"/>
            </w:tcMar>
            <w:vAlign w:val="center"/>
          </w:tcPr>
          <w:p w14:paraId="7C318A8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2,894.57</w:t>
            </w:r>
          </w:p>
        </w:tc>
        <w:tc>
          <w:tcPr>
            <w:tcW w:w="969" w:type="dxa"/>
            <w:shd w:val="clear" w:color="auto" w:fill="auto"/>
            <w:tcMar>
              <w:top w:w="0" w:type="dxa"/>
              <w:left w:w="108" w:type="dxa"/>
              <w:bottom w:w="0" w:type="dxa"/>
              <w:right w:w="108" w:type="dxa"/>
            </w:tcMar>
            <w:vAlign w:val="center"/>
          </w:tcPr>
          <w:p w14:paraId="139CD09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66.64%</w:t>
            </w:r>
          </w:p>
        </w:tc>
      </w:tr>
      <w:tr w:rsidR="006416B0" w:rsidRPr="00B4515A" w14:paraId="26848BF8" w14:textId="77777777" w:rsidTr="00031627">
        <w:trPr>
          <w:trHeight w:val="340"/>
          <w:jc w:val="center"/>
        </w:trPr>
        <w:tc>
          <w:tcPr>
            <w:tcW w:w="1403" w:type="dxa"/>
            <w:shd w:val="clear" w:color="auto" w:fill="auto"/>
            <w:tcMar>
              <w:top w:w="0" w:type="dxa"/>
              <w:left w:w="108" w:type="dxa"/>
              <w:bottom w:w="0" w:type="dxa"/>
              <w:right w:w="108" w:type="dxa"/>
            </w:tcMar>
            <w:vAlign w:val="center"/>
          </w:tcPr>
          <w:p w14:paraId="01F57A64"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无形资产</w:t>
            </w:r>
          </w:p>
          <w:p w14:paraId="6AC69BCF" w14:textId="4164F36B"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摊销</w:t>
            </w:r>
          </w:p>
        </w:tc>
        <w:tc>
          <w:tcPr>
            <w:tcW w:w="1251" w:type="dxa"/>
            <w:shd w:val="clear" w:color="auto" w:fill="auto"/>
            <w:tcMar>
              <w:top w:w="0" w:type="dxa"/>
              <w:left w:w="108" w:type="dxa"/>
              <w:bottom w:w="0" w:type="dxa"/>
              <w:right w:w="108" w:type="dxa"/>
            </w:tcMar>
            <w:vAlign w:val="center"/>
          </w:tcPr>
          <w:p w14:paraId="605441A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12.26</w:t>
            </w:r>
          </w:p>
        </w:tc>
        <w:tc>
          <w:tcPr>
            <w:tcW w:w="1199" w:type="dxa"/>
            <w:shd w:val="clear" w:color="auto" w:fill="auto"/>
            <w:tcMar>
              <w:top w:w="0" w:type="dxa"/>
              <w:left w:w="108" w:type="dxa"/>
              <w:bottom w:w="0" w:type="dxa"/>
              <w:right w:w="108" w:type="dxa"/>
            </w:tcMar>
            <w:vAlign w:val="center"/>
          </w:tcPr>
          <w:p w14:paraId="1B683C6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0.87%</w:t>
            </w:r>
          </w:p>
        </w:tc>
        <w:tc>
          <w:tcPr>
            <w:tcW w:w="1199" w:type="dxa"/>
            <w:shd w:val="clear" w:color="auto" w:fill="auto"/>
            <w:tcMar>
              <w:top w:w="0" w:type="dxa"/>
              <w:left w:w="108" w:type="dxa"/>
              <w:bottom w:w="0" w:type="dxa"/>
              <w:right w:w="108" w:type="dxa"/>
            </w:tcMar>
            <w:vAlign w:val="center"/>
          </w:tcPr>
          <w:p w14:paraId="08E2EC6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19.01</w:t>
            </w:r>
          </w:p>
        </w:tc>
        <w:tc>
          <w:tcPr>
            <w:tcW w:w="1199" w:type="dxa"/>
            <w:shd w:val="clear" w:color="auto" w:fill="auto"/>
            <w:tcMar>
              <w:top w:w="0" w:type="dxa"/>
              <w:left w:w="108" w:type="dxa"/>
              <w:bottom w:w="0" w:type="dxa"/>
              <w:right w:w="108" w:type="dxa"/>
            </w:tcMar>
            <w:vAlign w:val="center"/>
          </w:tcPr>
          <w:p w14:paraId="0493035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0.47%</w:t>
            </w:r>
          </w:p>
        </w:tc>
        <w:tc>
          <w:tcPr>
            <w:tcW w:w="960" w:type="dxa"/>
            <w:shd w:val="clear" w:color="auto" w:fill="auto"/>
            <w:tcMar>
              <w:top w:w="0" w:type="dxa"/>
              <w:left w:w="108" w:type="dxa"/>
              <w:bottom w:w="0" w:type="dxa"/>
              <w:right w:w="108" w:type="dxa"/>
            </w:tcMar>
            <w:vAlign w:val="center"/>
          </w:tcPr>
          <w:p w14:paraId="16F483C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21.46</w:t>
            </w:r>
          </w:p>
        </w:tc>
        <w:tc>
          <w:tcPr>
            <w:tcW w:w="969" w:type="dxa"/>
            <w:shd w:val="clear" w:color="auto" w:fill="auto"/>
            <w:tcMar>
              <w:top w:w="0" w:type="dxa"/>
              <w:left w:w="108" w:type="dxa"/>
              <w:bottom w:w="0" w:type="dxa"/>
              <w:right w:w="108" w:type="dxa"/>
            </w:tcMar>
            <w:vAlign w:val="center"/>
          </w:tcPr>
          <w:p w14:paraId="3D70AC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0.49%</w:t>
            </w:r>
          </w:p>
        </w:tc>
      </w:tr>
      <w:tr w:rsidR="006416B0" w:rsidRPr="00B4515A" w14:paraId="3DC785DA" w14:textId="77777777" w:rsidTr="00031627">
        <w:trPr>
          <w:trHeight w:val="340"/>
          <w:jc w:val="center"/>
        </w:trPr>
        <w:tc>
          <w:tcPr>
            <w:tcW w:w="1403" w:type="dxa"/>
            <w:shd w:val="clear" w:color="auto" w:fill="auto"/>
            <w:tcMar>
              <w:top w:w="0" w:type="dxa"/>
              <w:left w:w="108" w:type="dxa"/>
              <w:bottom w:w="0" w:type="dxa"/>
              <w:right w:w="108" w:type="dxa"/>
            </w:tcMar>
            <w:vAlign w:val="center"/>
          </w:tcPr>
          <w:p w14:paraId="45FA737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折旧费</w:t>
            </w:r>
          </w:p>
        </w:tc>
        <w:tc>
          <w:tcPr>
            <w:tcW w:w="1251" w:type="dxa"/>
            <w:shd w:val="clear" w:color="auto" w:fill="auto"/>
            <w:tcMar>
              <w:top w:w="0" w:type="dxa"/>
              <w:left w:w="108" w:type="dxa"/>
              <w:bottom w:w="0" w:type="dxa"/>
              <w:right w:w="108" w:type="dxa"/>
            </w:tcMar>
            <w:vAlign w:val="center"/>
          </w:tcPr>
          <w:p w14:paraId="342DB72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66.30</w:t>
            </w:r>
          </w:p>
        </w:tc>
        <w:tc>
          <w:tcPr>
            <w:tcW w:w="1199" w:type="dxa"/>
            <w:shd w:val="clear" w:color="auto" w:fill="auto"/>
            <w:tcMar>
              <w:top w:w="0" w:type="dxa"/>
              <w:left w:w="108" w:type="dxa"/>
              <w:bottom w:w="0" w:type="dxa"/>
              <w:right w:w="108" w:type="dxa"/>
            </w:tcMar>
            <w:vAlign w:val="center"/>
          </w:tcPr>
          <w:p w14:paraId="58D7980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4.72%</w:t>
            </w:r>
          </w:p>
        </w:tc>
        <w:tc>
          <w:tcPr>
            <w:tcW w:w="1199" w:type="dxa"/>
            <w:shd w:val="clear" w:color="auto" w:fill="auto"/>
            <w:tcMar>
              <w:top w:w="0" w:type="dxa"/>
              <w:left w:w="108" w:type="dxa"/>
              <w:bottom w:w="0" w:type="dxa"/>
              <w:right w:w="108" w:type="dxa"/>
            </w:tcMar>
            <w:vAlign w:val="center"/>
          </w:tcPr>
          <w:p w14:paraId="61F0F87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176.26</w:t>
            </w:r>
          </w:p>
        </w:tc>
        <w:tc>
          <w:tcPr>
            <w:tcW w:w="1199" w:type="dxa"/>
            <w:shd w:val="clear" w:color="auto" w:fill="auto"/>
            <w:tcMar>
              <w:top w:w="0" w:type="dxa"/>
              <w:left w:w="108" w:type="dxa"/>
              <w:bottom w:w="0" w:type="dxa"/>
              <w:right w:w="108" w:type="dxa"/>
            </w:tcMar>
            <w:vAlign w:val="center"/>
          </w:tcPr>
          <w:p w14:paraId="747A0EC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4.38%</w:t>
            </w:r>
          </w:p>
        </w:tc>
        <w:tc>
          <w:tcPr>
            <w:tcW w:w="960" w:type="dxa"/>
            <w:shd w:val="clear" w:color="auto" w:fill="auto"/>
            <w:tcMar>
              <w:top w:w="0" w:type="dxa"/>
              <w:left w:w="108" w:type="dxa"/>
              <w:bottom w:w="0" w:type="dxa"/>
              <w:right w:w="108" w:type="dxa"/>
            </w:tcMar>
            <w:vAlign w:val="center"/>
          </w:tcPr>
          <w:p w14:paraId="0996D98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110.26</w:t>
            </w:r>
          </w:p>
        </w:tc>
        <w:tc>
          <w:tcPr>
            <w:tcW w:w="969" w:type="dxa"/>
            <w:shd w:val="clear" w:color="auto" w:fill="auto"/>
            <w:tcMar>
              <w:top w:w="0" w:type="dxa"/>
              <w:left w:w="108" w:type="dxa"/>
              <w:bottom w:w="0" w:type="dxa"/>
              <w:right w:w="108" w:type="dxa"/>
            </w:tcMar>
            <w:vAlign w:val="center"/>
          </w:tcPr>
          <w:p w14:paraId="7B2461C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2.54%</w:t>
            </w:r>
          </w:p>
        </w:tc>
      </w:tr>
      <w:tr w:rsidR="006416B0" w:rsidRPr="00B4515A" w14:paraId="1D990A88" w14:textId="77777777" w:rsidTr="00031627">
        <w:trPr>
          <w:trHeight w:val="340"/>
          <w:jc w:val="center"/>
        </w:trPr>
        <w:tc>
          <w:tcPr>
            <w:tcW w:w="1403" w:type="dxa"/>
            <w:shd w:val="clear" w:color="auto" w:fill="auto"/>
            <w:tcMar>
              <w:top w:w="0" w:type="dxa"/>
              <w:left w:w="108" w:type="dxa"/>
              <w:bottom w:w="0" w:type="dxa"/>
              <w:right w:w="108" w:type="dxa"/>
            </w:tcMar>
            <w:vAlign w:val="center"/>
          </w:tcPr>
          <w:p w14:paraId="2A66DA88"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咨询费</w:t>
            </w:r>
          </w:p>
        </w:tc>
        <w:tc>
          <w:tcPr>
            <w:tcW w:w="1251" w:type="dxa"/>
            <w:shd w:val="clear" w:color="auto" w:fill="auto"/>
            <w:tcMar>
              <w:top w:w="0" w:type="dxa"/>
              <w:left w:w="108" w:type="dxa"/>
              <w:bottom w:w="0" w:type="dxa"/>
              <w:right w:w="108" w:type="dxa"/>
            </w:tcMar>
            <w:vAlign w:val="center"/>
          </w:tcPr>
          <w:p w14:paraId="46DA612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55.54</w:t>
            </w:r>
          </w:p>
        </w:tc>
        <w:tc>
          <w:tcPr>
            <w:tcW w:w="1199" w:type="dxa"/>
            <w:shd w:val="clear" w:color="auto" w:fill="auto"/>
            <w:tcMar>
              <w:top w:w="0" w:type="dxa"/>
              <w:left w:w="108" w:type="dxa"/>
              <w:bottom w:w="0" w:type="dxa"/>
              <w:right w:w="108" w:type="dxa"/>
            </w:tcMar>
            <w:vAlign w:val="center"/>
          </w:tcPr>
          <w:p w14:paraId="42CF106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3.96%</w:t>
            </w:r>
          </w:p>
        </w:tc>
        <w:tc>
          <w:tcPr>
            <w:tcW w:w="1199" w:type="dxa"/>
            <w:shd w:val="clear" w:color="auto" w:fill="auto"/>
            <w:tcMar>
              <w:top w:w="0" w:type="dxa"/>
              <w:left w:w="108" w:type="dxa"/>
              <w:bottom w:w="0" w:type="dxa"/>
              <w:right w:w="108" w:type="dxa"/>
            </w:tcMar>
            <w:vAlign w:val="center"/>
          </w:tcPr>
          <w:p w14:paraId="1CB43D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103.47</w:t>
            </w:r>
          </w:p>
        </w:tc>
        <w:tc>
          <w:tcPr>
            <w:tcW w:w="1199" w:type="dxa"/>
            <w:shd w:val="clear" w:color="auto" w:fill="auto"/>
            <w:tcMar>
              <w:top w:w="0" w:type="dxa"/>
              <w:left w:w="108" w:type="dxa"/>
              <w:bottom w:w="0" w:type="dxa"/>
              <w:right w:w="108" w:type="dxa"/>
            </w:tcMar>
            <w:vAlign w:val="center"/>
          </w:tcPr>
          <w:p w14:paraId="49B9252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2.57%</w:t>
            </w:r>
          </w:p>
        </w:tc>
        <w:tc>
          <w:tcPr>
            <w:tcW w:w="960" w:type="dxa"/>
            <w:shd w:val="clear" w:color="auto" w:fill="auto"/>
            <w:tcMar>
              <w:top w:w="0" w:type="dxa"/>
              <w:left w:w="108" w:type="dxa"/>
              <w:bottom w:w="0" w:type="dxa"/>
              <w:right w:w="108" w:type="dxa"/>
            </w:tcMar>
            <w:vAlign w:val="center"/>
          </w:tcPr>
          <w:p w14:paraId="5ED465B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75.89</w:t>
            </w:r>
          </w:p>
        </w:tc>
        <w:tc>
          <w:tcPr>
            <w:tcW w:w="969" w:type="dxa"/>
            <w:shd w:val="clear" w:color="auto" w:fill="auto"/>
            <w:tcMar>
              <w:top w:w="0" w:type="dxa"/>
              <w:left w:w="108" w:type="dxa"/>
              <w:bottom w:w="0" w:type="dxa"/>
              <w:right w:w="108" w:type="dxa"/>
            </w:tcMar>
            <w:vAlign w:val="center"/>
          </w:tcPr>
          <w:p w14:paraId="154F486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1.75%</w:t>
            </w:r>
          </w:p>
        </w:tc>
      </w:tr>
      <w:tr w:rsidR="006416B0" w:rsidRPr="00B4515A" w14:paraId="6944AE31" w14:textId="77777777" w:rsidTr="00031627">
        <w:trPr>
          <w:trHeight w:val="340"/>
          <w:jc w:val="center"/>
        </w:trPr>
        <w:tc>
          <w:tcPr>
            <w:tcW w:w="1403" w:type="dxa"/>
            <w:shd w:val="clear" w:color="auto" w:fill="auto"/>
            <w:tcMar>
              <w:top w:w="0" w:type="dxa"/>
              <w:left w:w="108" w:type="dxa"/>
              <w:bottom w:w="0" w:type="dxa"/>
              <w:right w:w="108" w:type="dxa"/>
            </w:tcMar>
            <w:vAlign w:val="center"/>
          </w:tcPr>
          <w:p w14:paraId="58DB2657"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房租及物</w:t>
            </w:r>
          </w:p>
          <w:p w14:paraId="1335D3F5" w14:textId="6A5AB99C"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业费</w:t>
            </w:r>
          </w:p>
        </w:tc>
        <w:tc>
          <w:tcPr>
            <w:tcW w:w="1251" w:type="dxa"/>
            <w:shd w:val="clear" w:color="auto" w:fill="auto"/>
            <w:tcMar>
              <w:top w:w="0" w:type="dxa"/>
              <w:left w:w="108" w:type="dxa"/>
              <w:bottom w:w="0" w:type="dxa"/>
              <w:right w:w="108" w:type="dxa"/>
            </w:tcMar>
            <w:vAlign w:val="center"/>
          </w:tcPr>
          <w:p w14:paraId="13111B9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178.64</w:t>
            </w:r>
          </w:p>
        </w:tc>
        <w:tc>
          <w:tcPr>
            <w:tcW w:w="1199" w:type="dxa"/>
            <w:shd w:val="clear" w:color="auto" w:fill="auto"/>
            <w:tcMar>
              <w:top w:w="0" w:type="dxa"/>
              <w:left w:w="108" w:type="dxa"/>
              <w:bottom w:w="0" w:type="dxa"/>
              <w:right w:w="108" w:type="dxa"/>
            </w:tcMar>
            <w:vAlign w:val="center"/>
          </w:tcPr>
          <w:p w14:paraId="125C7BE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12.73%</w:t>
            </w:r>
          </w:p>
        </w:tc>
        <w:tc>
          <w:tcPr>
            <w:tcW w:w="1199" w:type="dxa"/>
            <w:shd w:val="clear" w:color="auto" w:fill="auto"/>
            <w:tcMar>
              <w:top w:w="0" w:type="dxa"/>
              <w:left w:w="108" w:type="dxa"/>
              <w:bottom w:w="0" w:type="dxa"/>
              <w:right w:w="108" w:type="dxa"/>
            </w:tcMar>
            <w:vAlign w:val="center"/>
          </w:tcPr>
          <w:p w14:paraId="0109ECB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366.79</w:t>
            </w:r>
          </w:p>
        </w:tc>
        <w:tc>
          <w:tcPr>
            <w:tcW w:w="1199" w:type="dxa"/>
            <w:shd w:val="clear" w:color="auto" w:fill="auto"/>
            <w:tcMar>
              <w:top w:w="0" w:type="dxa"/>
              <w:left w:w="108" w:type="dxa"/>
              <w:bottom w:w="0" w:type="dxa"/>
              <w:right w:w="108" w:type="dxa"/>
            </w:tcMar>
            <w:vAlign w:val="center"/>
          </w:tcPr>
          <w:p w14:paraId="74C9F66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9.12%</w:t>
            </w:r>
          </w:p>
        </w:tc>
        <w:tc>
          <w:tcPr>
            <w:tcW w:w="960" w:type="dxa"/>
            <w:shd w:val="clear" w:color="auto" w:fill="auto"/>
            <w:tcMar>
              <w:top w:w="0" w:type="dxa"/>
              <w:left w:w="108" w:type="dxa"/>
              <w:bottom w:w="0" w:type="dxa"/>
              <w:right w:w="108" w:type="dxa"/>
            </w:tcMar>
            <w:vAlign w:val="center"/>
          </w:tcPr>
          <w:p w14:paraId="02FDA3E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618.28</w:t>
            </w:r>
          </w:p>
        </w:tc>
        <w:tc>
          <w:tcPr>
            <w:tcW w:w="969" w:type="dxa"/>
            <w:shd w:val="clear" w:color="auto" w:fill="auto"/>
            <w:tcMar>
              <w:top w:w="0" w:type="dxa"/>
              <w:left w:w="108" w:type="dxa"/>
              <w:bottom w:w="0" w:type="dxa"/>
              <w:right w:w="108" w:type="dxa"/>
            </w:tcMar>
            <w:vAlign w:val="center"/>
          </w:tcPr>
          <w:p w14:paraId="5786CBC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14.23%</w:t>
            </w:r>
          </w:p>
        </w:tc>
      </w:tr>
      <w:tr w:rsidR="006416B0" w:rsidRPr="00B4515A" w14:paraId="69DC9967" w14:textId="77777777" w:rsidTr="00031627">
        <w:trPr>
          <w:trHeight w:val="340"/>
          <w:jc w:val="center"/>
        </w:trPr>
        <w:tc>
          <w:tcPr>
            <w:tcW w:w="1403" w:type="dxa"/>
            <w:shd w:val="clear" w:color="auto" w:fill="auto"/>
            <w:tcMar>
              <w:top w:w="0" w:type="dxa"/>
              <w:left w:w="108" w:type="dxa"/>
              <w:bottom w:w="0" w:type="dxa"/>
              <w:right w:w="108" w:type="dxa"/>
            </w:tcMar>
            <w:vAlign w:val="center"/>
          </w:tcPr>
          <w:p w14:paraId="0ADB8C4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差旅费</w:t>
            </w:r>
          </w:p>
        </w:tc>
        <w:tc>
          <w:tcPr>
            <w:tcW w:w="1251" w:type="dxa"/>
            <w:shd w:val="clear" w:color="auto" w:fill="auto"/>
            <w:tcMar>
              <w:top w:w="0" w:type="dxa"/>
              <w:left w:w="108" w:type="dxa"/>
              <w:bottom w:w="0" w:type="dxa"/>
              <w:right w:w="108" w:type="dxa"/>
            </w:tcMar>
            <w:vAlign w:val="center"/>
          </w:tcPr>
          <w:p w14:paraId="23A1710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5.92</w:t>
            </w:r>
          </w:p>
        </w:tc>
        <w:tc>
          <w:tcPr>
            <w:tcW w:w="1199" w:type="dxa"/>
            <w:shd w:val="clear" w:color="auto" w:fill="auto"/>
            <w:tcMar>
              <w:top w:w="0" w:type="dxa"/>
              <w:left w:w="108" w:type="dxa"/>
              <w:bottom w:w="0" w:type="dxa"/>
              <w:right w:w="108" w:type="dxa"/>
            </w:tcMar>
            <w:vAlign w:val="center"/>
          </w:tcPr>
          <w:p w14:paraId="0379452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0.42%</w:t>
            </w:r>
          </w:p>
        </w:tc>
        <w:tc>
          <w:tcPr>
            <w:tcW w:w="1199" w:type="dxa"/>
            <w:shd w:val="clear" w:color="auto" w:fill="auto"/>
            <w:tcMar>
              <w:top w:w="0" w:type="dxa"/>
              <w:left w:w="108" w:type="dxa"/>
              <w:bottom w:w="0" w:type="dxa"/>
              <w:right w:w="108" w:type="dxa"/>
            </w:tcMar>
            <w:vAlign w:val="center"/>
          </w:tcPr>
          <w:p w14:paraId="5E5F94F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50.71</w:t>
            </w:r>
          </w:p>
        </w:tc>
        <w:tc>
          <w:tcPr>
            <w:tcW w:w="1199" w:type="dxa"/>
            <w:shd w:val="clear" w:color="auto" w:fill="auto"/>
            <w:tcMar>
              <w:top w:w="0" w:type="dxa"/>
              <w:left w:w="108" w:type="dxa"/>
              <w:bottom w:w="0" w:type="dxa"/>
              <w:right w:w="108" w:type="dxa"/>
            </w:tcMar>
            <w:vAlign w:val="center"/>
          </w:tcPr>
          <w:p w14:paraId="13E24B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1.26%</w:t>
            </w:r>
          </w:p>
        </w:tc>
        <w:tc>
          <w:tcPr>
            <w:tcW w:w="960" w:type="dxa"/>
            <w:shd w:val="clear" w:color="auto" w:fill="auto"/>
            <w:tcMar>
              <w:top w:w="0" w:type="dxa"/>
              <w:left w:w="108" w:type="dxa"/>
              <w:bottom w:w="0" w:type="dxa"/>
              <w:right w:w="108" w:type="dxa"/>
            </w:tcMar>
            <w:vAlign w:val="center"/>
          </w:tcPr>
          <w:p w14:paraId="6B65251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105.69</w:t>
            </w:r>
          </w:p>
        </w:tc>
        <w:tc>
          <w:tcPr>
            <w:tcW w:w="969" w:type="dxa"/>
            <w:shd w:val="clear" w:color="auto" w:fill="auto"/>
            <w:tcMar>
              <w:top w:w="0" w:type="dxa"/>
              <w:left w:w="108" w:type="dxa"/>
              <w:bottom w:w="0" w:type="dxa"/>
              <w:right w:w="108" w:type="dxa"/>
            </w:tcMar>
            <w:vAlign w:val="center"/>
          </w:tcPr>
          <w:p w14:paraId="224C72C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2.43%</w:t>
            </w:r>
          </w:p>
        </w:tc>
      </w:tr>
      <w:tr w:rsidR="006416B0" w:rsidRPr="00B4515A" w14:paraId="1C44E163" w14:textId="77777777" w:rsidTr="00031627">
        <w:trPr>
          <w:trHeight w:val="340"/>
          <w:jc w:val="center"/>
        </w:trPr>
        <w:tc>
          <w:tcPr>
            <w:tcW w:w="1403" w:type="dxa"/>
            <w:shd w:val="clear" w:color="auto" w:fill="auto"/>
            <w:tcMar>
              <w:top w:w="0" w:type="dxa"/>
              <w:left w:w="108" w:type="dxa"/>
              <w:bottom w:w="0" w:type="dxa"/>
              <w:right w:w="108" w:type="dxa"/>
            </w:tcMar>
            <w:vAlign w:val="center"/>
          </w:tcPr>
          <w:p w14:paraId="4EF6057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办公费</w:t>
            </w:r>
          </w:p>
        </w:tc>
        <w:tc>
          <w:tcPr>
            <w:tcW w:w="1251" w:type="dxa"/>
            <w:shd w:val="clear" w:color="auto" w:fill="auto"/>
            <w:tcMar>
              <w:top w:w="0" w:type="dxa"/>
              <w:left w:w="108" w:type="dxa"/>
              <w:bottom w:w="0" w:type="dxa"/>
              <w:right w:w="108" w:type="dxa"/>
            </w:tcMar>
            <w:vAlign w:val="center"/>
          </w:tcPr>
          <w:p w14:paraId="4F3BB80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5.91</w:t>
            </w:r>
          </w:p>
        </w:tc>
        <w:tc>
          <w:tcPr>
            <w:tcW w:w="1199" w:type="dxa"/>
            <w:shd w:val="clear" w:color="auto" w:fill="auto"/>
            <w:tcMar>
              <w:top w:w="0" w:type="dxa"/>
              <w:left w:w="108" w:type="dxa"/>
              <w:bottom w:w="0" w:type="dxa"/>
              <w:right w:w="108" w:type="dxa"/>
            </w:tcMar>
            <w:vAlign w:val="center"/>
          </w:tcPr>
          <w:p w14:paraId="410F1D8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0.42%</w:t>
            </w:r>
          </w:p>
        </w:tc>
        <w:tc>
          <w:tcPr>
            <w:tcW w:w="1199" w:type="dxa"/>
            <w:shd w:val="clear" w:color="auto" w:fill="auto"/>
            <w:tcMar>
              <w:top w:w="0" w:type="dxa"/>
              <w:left w:w="108" w:type="dxa"/>
              <w:bottom w:w="0" w:type="dxa"/>
              <w:right w:w="108" w:type="dxa"/>
            </w:tcMar>
            <w:vAlign w:val="center"/>
          </w:tcPr>
          <w:p w14:paraId="7BEBFCE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66.82</w:t>
            </w:r>
          </w:p>
        </w:tc>
        <w:tc>
          <w:tcPr>
            <w:tcW w:w="1199" w:type="dxa"/>
            <w:shd w:val="clear" w:color="auto" w:fill="auto"/>
            <w:tcMar>
              <w:top w:w="0" w:type="dxa"/>
              <w:left w:w="108" w:type="dxa"/>
              <w:bottom w:w="0" w:type="dxa"/>
              <w:right w:w="108" w:type="dxa"/>
            </w:tcMar>
            <w:vAlign w:val="center"/>
          </w:tcPr>
          <w:p w14:paraId="27534E9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1.66%</w:t>
            </w:r>
          </w:p>
        </w:tc>
        <w:tc>
          <w:tcPr>
            <w:tcW w:w="960" w:type="dxa"/>
            <w:shd w:val="clear" w:color="auto" w:fill="auto"/>
            <w:tcMar>
              <w:top w:w="0" w:type="dxa"/>
              <w:left w:w="108" w:type="dxa"/>
              <w:bottom w:w="0" w:type="dxa"/>
              <w:right w:w="108" w:type="dxa"/>
            </w:tcMar>
            <w:vAlign w:val="center"/>
          </w:tcPr>
          <w:p w14:paraId="41F9E05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45.73</w:t>
            </w:r>
          </w:p>
        </w:tc>
        <w:tc>
          <w:tcPr>
            <w:tcW w:w="969" w:type="dxa"/>
            <w:shd w:val="clear" w:color="auto" w:fill="auto"/>
            <w:tcMar>
              <w:top w:w="0" w:type="dxa"/>
              <w:left w:w="108" w:type="dxa"/>
              <w:bottom w:w="0" w:type="dxa"/>
              <w:right w:w="108" w:type="dxa"/>
            </w:tcMar>
            <w:vAlign w:val="center"/>
          </w:tcPr>
          <w:p w14:paraId="2A1FAD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1.05%</w:t>
            </w:r>
          </w:p>
        </w:tc>
      </w:tr>
      <w:tr w:rsidR="006416B0" w:rsidRPr="00B4515A" w14:paraId="7D667D14" w14:textId="77777777" w:rsidTr="00031627">
        <w:trPr>
          <w:trHeight w:val="340"/>
          <w:jc w:val="center"/>
        </w:trPr>
        <w:tc>
          <w:tcPr>
            <w:tcW w:w="1403" w:type="dxa"/>
            <w:shd w:val="clear" w:color="auto" w:fill="auto"/>
            <w:tcMar>
              <w:top w:w="0" w:type="dxa"/>
              <w:left w:w="108" w:type="dxa"/>
              <w:bottom w:w="0" w:type="dxa"/>
              <w:right w:w="108" w:type="dxa"/>
            </w:tcMar>
            <w:vAlign w:val="center"/>
          </w:tcPr>
          <w:p w14:paraId="1987549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lastRenderedPageBreak/>
              <w:t>修理费</w:t>
            </w:r>
          </w:p>
        </w:tc>
        <w:tc>
          <w:tcPr>
            <w:tcW w:w="1251" w:type="dxa"/>
            <w:shd w:val="clear" w:color="auto" w:fill="auto"/>
            <w:tcMar>
              <w:top w:w="0" w:type="dxa"/>
              <w:left w:w="108" w:type="dxa"/>
              <w:bottom w:w="0" w:type="dxa"/>
              <w:right w:w="108" w:type="dxa"/>
            </w:tcMar>
            <w:vAlign w:val="center"/>
          </w:tcPr>
          <w:p w14:paraId="77C5764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2.08</w:t>
            </w:r>
          </w:p>
        </w:tc>
        <w:tc>
          <w:tcPr>
            <w:tcW w:w="1199" w:type="dxa"/>
            <w:shd w:val="clear" w:color="auto" w:fill="auto"/>
            <w:tcMar>
              <w:top w:w="0" w:type="dxa"/>
              <w:left w:w="108" w:type="dxa"/>
              <w:bottom w:w="0" w:type="dxa"/>
              <w:right w:w="108" w:type="dxa"/>
            </w:tcMar>
            <w:vAlign w:val="center"/>
          </w:tcPr>
          <w:p w14:paraId="6D5775E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0.15%</w:t>
            </w:r>
          </w:p>
        </w:tc>
        <w:tc>
          <w:tcPr>
            <w:tcW w:w="1199" w:type="dxa"/>
            <w:shd w:val="clear" w:color="auto" w:fill="auto"/>
            <w:tcMar>
              <w:top w:w="0" w:type="dxa"/>
              <w:left w:w="108" w:type="dxa"/>
              <w:bottom w:w="0" w:type="dxa"/>
              <w:right w:w="108" w:type="dxa"/>
            </w:tcMar>
            <w:vAlign w:val="center"/>
          </w:tcPr>
          <w:p w14:paraId="4F541A4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28.31</w:t>
            </w:r>
          </w:p>
        </w:tc>
        <w:tc>
          <w:tcPr>
            <w:tcW w:w="1199" w:type="dxa"/>
            <w:shd w:val="clear" w:color="auto" w:fill="auto"/>
            <w:tcMar>
              <w:top w:w="0" w:type="dxa"/>
              <w:left w:w="108" w:type="dxa"/>
              <w:bottom w:w="0" w:type="dxa"/>
              <w:right w:w="108" w:type="dxa"/>
            </w:tcMar>
            <w:vAlign w:val="center"/>
          </w:tcPr>
          <w:p w14:paraId="6881088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0.70%</w:t>
            </w:r>
          </w:p>
        </w:tc>
        <w:tc>
          <w:tcPr>
            <w:tcW w:w="960" w:type="dxa"/>
            <w:shd w:val="clear" w:color="auto" w:fill="auto"/>
            <w:tcMar>
              <w:top w:w="0" w:type="dxa"/>
              <w:left w:w="108" w:type="dxa"/>
              <w:bottom w:w="0" w:type="dxa"/>
              <w:right w:w="108" w:type="dxa"/>
            </w:tcMar>
            <w:vAlign w:val="center"/>
          </w:tcPr>
          <w:p w14:paraId="3930409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35.55</w:t>
            </w:r>
          </w:p>
        </w:tc>
        <w:tc>
          <w:tcPr>
            <w:tcW w:w="969" w:type="dxa"/>
            <w:shd w:val="clear" w:color="auto" w:fill="auto"/>
            <w:tcMar>
              <w:top w:w="0" w:type="dxa"/>
              <w:left w:w="108" w:type="dxa"/>
              <w:bottom w:w="0" w:type="dxa"/>
              <w:right w:w="108" w:type="dxa"/>
            </w:tcMar>
            <w:vAlign w:val="center"/>
          </w:tcPr>
          <w:p w14:paraId="0B2AA0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0.82%</w:t>
            </w:r>
          </w:p>
        </w:tc>
      </w:tr>
      <w:tr w:rsidR="006416B0" w:rsidRPr="00B4515A" w14:paraId="32007120" w14:textId="77777777" w:rsidTr="00031627">
        <w:trPr>
          <w:trHeight w:val="340"/>
          <w:jc w:val="center"/>
        </w:trPr>
        <w:tc>
          <w:tcPr>
            <w:tcW w:w="1403" w:type="dxa"/>
            <w:shd w:val="clear" w:color="auto" w:fill="auto"/>
            <w:tcMar>
              <w:top w:w="0" w:type="dxa"/>
              <w:left w:w="108" w:type="dxa"/>
              <w:bottom w:w="0" w:type="dxa"/>
              <w:right w:w="108" w:type="dxa"/>
            </w:tcMar>
            <w:vAlign w:val="center"/>
          </w:tcPr>
          <w:p w14:paraId="5FD96E7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业务招待费</w:t>
            </w:r>
          </w:p>
        </w:tc>
        <w:tc>
          <w:tcPr>
            <w:tcW w:w="1251" w:type="dxa"/>
            <w:shd w:val="clear" w:color="auto" w:fill="auto"/>
            <w:tcMar>
              <w:top w:w="0" w:type="dxa"/>
              <w:left w:w="108" w:type="dxa"/>
              <w:bottom w:w="0" w:type="dxa"/>
              <w:right w:w="108" w:type="dxa"/>
            </w:tcMar>
            <w:vAlign w:val="center"/>
          </w:tcPr>
          <w:p w14:paraId="336F8AF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49.68</w:t>
            </w:r>
          </w:p>
        </w:tc>
        <w:tc>
          <w:tcPr>
            <w:tcW w:w="1199" w:type="dxa"/>
            <w:shd w:val="clear" w:color="auto" w:fill="auto"/>
            <w:tcMar>
              <w:top w:w="0" w:type="dxa"/>
              <w:left w:w="108" w:type="dxa"/>
              <w:bottom w:w="0" w:type="dxa"/>
              <w:right w:w="108" w:type="dxa"/>
            </w:tcMar>
            <w:vAlign w:val="center"/>
          </w:tcPr>
          <w:p w14:paraId="593422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3.54%</w:t>
            </w:r>
          </w:p>
        </w:tc>
        <w:tc>
          <w:tcPr>
            <w:tcW w:w="1199" w:type="dxa"/>
            <w:shd w:val="clear" w:color="auto" w:fill="auto"/>
            <w:tcMar>
              <w:top w:w="0" w:type="dxa"/>
              <w:left w:w="108" w:type="dxa"/>
              <w:bottom w:w="0" w:type="dxa"/>
              <w:right w:w="108" w:type="dxa"/>
            </w:tcMar>
            <w:vAlign w:val="center"/>
          </w:tcPr>
          <w:p w14:paraId="4011800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118.79</w:t>
            </w:r>
          </w:p>
        </w:tc>
        <w:tc>
          <w:tcPr>
            <w:tcW w:w="1199" w:type="dxa"/>
            <w:shd w:val="clear" w:color="auto" w:fill="auto"/>
            <w:tcMar>
              <w:top w:w="0" w:type="dxa"/>
              <w:left w:w="108" w:type="dxa"/>
              <w:bottom w:w="0" w:type="dxa"/>
              <w:right w:w="108" w:type="dxa"/>
            </w:tcMar>
            <w:vAlign w:val="center"/>
          </w:tcPr>
          <w:p w14:paraId="7A6A7E6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2.95%</w:t>
            </w:r>
          </w:p>
        </w:tc>
        <w:tc>
          <w:tcPr>
            <w:tcW w:w="960" w:type="dxa"/>
            <w:shd w:val="clear" w:color="auto" w:fill="auto"/>
            <w:tcMar>
              <w:top w:w="0" w:type="dxa"/>
              <w:left w:w="108" w:type="dxa"/>
              <w:bottom w:w="0" w:type="dxa"/>
              <w:right w:w="108" w:type="dxa"/>
            </w:tcMar>
            <w:vAlign w:val="center"/>
          </w:tcPr>
          <w:p w14:paraId="627F8BF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90.91</w:t>
            </w:r>
          </w:p>
        </w:tc>
        <w:tc>
          <w:tcPr>
            <w:tcW w:w="969" w:type="dxa"/>
            <w:shd w:val="clear" w:color="auto" w:fill="auto"/>
            <w:tcMar>
              <w:top w:w="0" w:type="dxa"/>
              <w:left w:w="108" w:type="dxa"/>
              <w:bottom w:w="0" w:type="dxa"/>
              <w:right w:w="108" w:type="dxa"/>
            </w:tcMar>
            <w:vAlign w:val="center"/>
          </w:tcPr>
          <w:p w14:paraId="522A0B4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2.09%</w:t>
            </w:r>
          </w:p>
        </w:tc>
      </w:tr>
      <w:tr w:rsidR="006416B0" w:rsidRPr="00B4515A" w14:paraId="71EB93DC" w14:textId="77777777" w:rsidTr="00031627">
        <w:trPr>
          <w:trHeight w:val="340"/>
          <w:jc w:val="center"/>
        </w:trPr>
        <w:tc>
          <w:tcPr>
            <w:tcW w:w="1403" w:type="dxa"/>
            <w:shd w:val="clear" w:color="auto" w:fill="auto"/>
            <w:tcMar>
              <w:top w:w="0" w:type="dxa"/>
              <w:left w:w="108" w:type="dxa"/>
              <w:bottom w:w="0" w:type="dxa"/>
              <w:right w:w="108" w:type="dxa"/>
            </w:tcMar>
            <w:vAlign w:val="center"/>
          </w:tcPr>
          <w:p w14:paraId="56009E88"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w:t>
            </w:r>
          </w:p>
        </w:tc>
        <w:tc>
          <w:tcPr>
            <w:tcW w:w="1251" w:type="dxa"/>
            <w:shd w:val="clear" w:color="auto" w:fill="auto"/>
            <w:tcMar>
              <w:top w:w="0" w:type="dxa"/>
              <w:left w:w="108" w:type="dxa"/>
              <w:bottom w:w="0" w:type="dxa"/>
              <w:right w:w="108" w:type="dxa"/>
            </w:tcMar>
            <w:vAlign w:val="center"/>
          </w:tcPr>
          <w:p w14:paraId="70CEB34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79.07</w:t>
            </w:r>
          </w:p>
        </w:tc>
        <w:tc>
          <w:tcPr>
            <w:tcW w:w="1199" w:type="dxa"/>
            <w:shd w:val="clear" w:color="auto" w:fill="auto"/>
            <w:tcMar>
              <w:top w:w="0" w:type="dxa"/>
              <w:left w:w="108" w:type="dxa"/>
              <w:bottom w:w="0" w:type="dxa"/>
              <w:right w:w="108" w:type="dxa"/>
            </w:tcMar>
            <w:vAlign w:val="center"/>
          </w:tcPr>
          <w:p w14:paraId="44C1806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5.63%</w:t>
            </w:r>
          </w:p>
        </w:tc>
        <w:tc>
          <w:tcPr>
            <w:tcW w:w="1199" w:type="dxa"/>
            <w:shd w:val="clear" w:color="auto" w:fill="auto"/>
            <w:tcMar>
              <w:top w:w="0" w:type="dxa"/>
              <w:left w:w="108" w:type="dxa"/>
              <w:bottom w:w="0" w:type="dxa"/>
              <w:right w:w="108" w:type="dxa"/>
            </w:tcMar>
            <w:vAlign w:val="center"/>
          </w:tcPr>
          <w:p w14:paraId="4E675A1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211.40</w:t>
            </w:r>
          </w:p>
        </w:tc>
        <w:tc>
          <w:tcPr>
            <w:tcW w:w="1199" w:type="dxa"/>
            <w:shd w:val="clear" w:color="auto" w:fill="auto"/>
            <w:tcMar>
              <w:top w:w="0" w:type="dxa"/>
              <w:left w:w="108" w:type="dxa"/>
              <w:bottom w:w="0" w:type="dxa"/>
              <w:right w:w="108" w:type="dxa"/>
            </w:tcMar>
            <w:vAlign w:val="center"/>
          </w:tcPr>
          <w:p w14:paraId="6DF6FA9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5.26%</w:t>
            </w:r>
          </w:p>
        </w:tc>
        <w:tc>
          <w:tcPr>
            <w:tcW w:w="960" w:type="dxa"/>
            <w:shd w:val="clear" w:color="auto" w:fill="auto"/>
            <w:tcMar>
              <w:top w:w="0" w:type="dxa"/>
              <w:left w:w="108" w:type="dxa"/>
              <w:bottom w:w="0" w:type="dxa"/>
              <w:right w:w="108" w:type="dxa"/>
            </w:tcMar>
            <w:vAlign w:val="center"/>
          </w:tcPr>
          <w:p w14:paraId="36F775F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345.06</w:t>
            </w:r>
          </w:p>
        </w:tc>
        <w:tc>
          <w:tcPr>
            <w:tcW w:w="969" w:type="dxa"/>
            <w:shd w:val="clear" w:color="auto" w:fill="auto"/>
            <w:tcMar>
              <w:top w:w="0" w:type="dxa"/>
              <w:left w:w="108" w:type="dxa"/>
              <w:bottom w:w="0" w:type="dxa"/>
              <w:right w:w="108" w:type="dxa"/>
            </w:tcMar>
            <w:vAlign w:val="center"/>
          </w:tcPr>
          <w:p w14:paraId="4E74CD0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7.94%</w:t>
            </w:r>
          </w:p>
        </w:tc>
      </w:tr>
      <w:tr w:rsidR="006416B0" w:rsidRPr="00B4515A" w14:paraId="6B7411C7" w14:textId="77777777" w:rsidTr="00031627">
        <w:trPr>
          <w:trHeight w:val="340"/>
          <w:jc w:val="center"/>
        </w:trPr>
        <w:tc>
          <w:tcPr>
            <w:tcW w:w="1403" w:type="dxa"/>
            <w:shd w:val="clear" w:color="auto" w:fill="auto"/>
            <w:tcMar>
              <w:top w:w="0" w:type="dxa"/>
              <w:left w:w="108" w:type="dxa"/>
              <w:bottom w:w="0" w:type="dxa"/>
              <w:right w:w="108" w:type="dxa"/>
            </w:tcMar>
            <w:vAlign w:val="center"/>
          </w:tcPr>
          <w:p w14:paraId="75944FD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合计</w:t>
            </w:r>
          </w:p>
        </w:tc>
        <w:tc>
          <w:tcPr>
            <w:tcW w:w="1251" w:type="dxa"/>
            <w:shd w:val="clear" w:color="auto" w:fill="auto"/>
            <w:tcMar>
              <w:top w:w="0" w:type="dxa"/>
              <w:left w:w="108" w:type="dxa"/>
              <w:bottom w:w="0" w:type="dxa"/>
              <w:right w:w="108" w:type="dxa"/>
            </w:tcMar>
            <w:vAlign w:val="center"/>
          </w:tcPr>
          <w:p w14:paraId="55C7BAC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1,403.45</w:t>
            </w:r>
          </w:p>
        </w:tc>
        <w:tc>
          <w:tcPr>
            <w:tcW w:w="1199" w:type="dxa"/>
            <w:shd w:val="clear" w:color="auto" w:fill="auto"/>
            <w:tcMar>
              <w:top w:w="0" w:type="dxa"/>
              <w:left w:w="108" w:type="dxa"/>
              <w:bottom w:w="0" w:type="dxa"/>
              <w:right w:w="108" w:type="dxa"/>
            </w:tcMar>
            <w:vAlign w:val="center"/>
          </w:tcPr>
          <w:p w14:paraId="6A545B3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1199" w:type="dxa"/>
            <w:shd w:val="clear" w:color="auto" w:fill="auto"/>
            <w:tcMar>
              <w:top w:w="0" w:type="dxa"/>
              <w:left w:w="108" w:type="dxa"/>
              <w:bottom w:w="0" w:type="dxa"/>
              <w:right w:w="108" w:type="dxa"/>
            </w:tcMar>
            <w:vAlign w:val="center"/>
          </w:tcPr>
          <w:p w14:paraId="413D779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4,021.82</w:t>
            </w:r>
          </w:p>
        </w:tc>
        <w:tc>
          <w:tcPr>
            <w:tcW w:w="1199" w:type="dxa"/>
            <w:shd w:val="clear" w:color="auto" w:fill="auto"/>
            <w:tcMar>
              <w:top w:w="0" w:type="dxa"/>
              <w:left w:w="108" w:type="dxa"/>
              <w:bottom w:w="0" w:type="dxa"/>
              <w:right w:w="108" w:type="dxa"/>
            </w:tcMar>
            <w:vAlign w:val="center"/>
          </w:tcPr>
          <w:p w14:paraId="6E22F2A3"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960" w:type="dxa"/>
            <w:shd w:val="clear" w:color="auto" w:fill="auto"/>
            <w:tcMar>
              <w:top w:w="0" w:type="dxa"/>
              <w:left w:w="108" w:type="dxa"/>
              <w:bottom w:w="0" w:type="dxa"/>
              <w:right w:w="108" w:type="dxa"/>
            </w:tcMar>
            <w:vAlign w:val="center"/>
          </w:tcPr>
          <w:p w14:paraId="4DC35C4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4,343.41</w:t>
            </w:r>
          </w:p>
        </w:tc>
        <w:tc>
          <w:tcPr>
            <w:tcW w:w="969" w:type="dxa"/>
            <w:shd w:val="clear" w:color="auto" w:fill="auto"/>
            <w:tcMar>
              <w:top w:w="0" w:type="dxa"/>
              <w:left w:w="108" w:type="dxa"/>
              <w:bottom w:w="0" w:type="dxa"/>
              <w:right w:w="108" w:type="dxa"/>
            </w:tcMar>
            <w:vAlign w:val="center"/>
          </w:tcPr>
          <w:p w14:paraId="5AB84D23"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r>
    </w:tbl>
    <w:p w14:paraId="5EDAE5DE" w14:textId="77777777" w:rsidR="006416B0" w:rsidRPr="00B4515A" w:rsidRDefault="005E58C1" w:rsidP="003357B7">
      <w:pPr>
        <w:pStyle w:val="005"/>
        <w:spacing w:before="120" w:after="120"/>
        <w:ind w:firstLine="480"/>
      </w:pPr>
      <w:r w:rsidRPr="00B4515A">
        <w:rPr>
          <w:rFonts w:hint="eastAsia"/>
        </w:rPr>
        <w:t>报告期各期，大唐联诚管理费用分别为</w:t>
      </w:r>
      <w:r w:rsidRPr="00B4515A">
        <w:t>4,343.41</w:t>
      </w:r>
      <w:r w:rsidRPr="00B4515A">
        <w:rPr>
          <w:rFonts w:hint="eastAsia"/>
        </w:rPr>
        <w:t>万元、</w:t>
      </w:r>
      <w:r w:rsidRPr="00B4515A">
        <w:t>4,021.82</w:t>
      </w:r>
      <w:r w:rsidRPr="00B4515A">
        <w:rPr>
          <w:rFonts w:hint="eastAsia"/>
        </w:rPr>
        <w:t>万元、</w:t>
      </w:r>
      <w:r w:rsidRPr="00B4515A">
        <w:t>1,403.45</w:t>
      </w:r>
      <w:r w:rsidRPr="00B4515A">
        <w:rPr>
          <w:rFonts w:hint="eastAsia"/>
        </w:rPr>
        <w:t>万元，占当期营业收入的比例分别为</w:t>
      </w:r>
      <w:r w:rsidRPr="00B4515A">
        <w:t>11.84%</w:t>
      </w:r>
      <w:r w:rsidRPr="00B4515A">
        <w:rPr>
          <w:rFonts w:hint="eastAsia"/>
        </w:rPr>
        <w:t>、</w:t>
      </w:r>
      <w:r w:rsidRPr="00B4515A">
        <w:t>7.27%</w:t>
      </w:r>
      <w:r w:rsidRPr="00B4515A">
        <w:rPr>
          <w:rFonts w:hint="eastAsia"/>
        </w:rPr>
        <w:t>、</w:t>
      </w:r>
      <w:r w:rsidRPr="00B4515A">
        <w:t>11.00%</w:t>
      </w:r>
      <w:r w:rsidRPr="00B4515A">
        <w:rPr>
          <w:rFonts w:hint="eastAsia"/>
        </w:rPr>
        <w:t>。</w:t>
      </w:r>
      <w:r w:rsidRPr="00B4515A">
        <w:t>2020</w:t>
      </w:r>
      <w:r w:rsidRPr="00B4515A">
        <w:rPr>
          <w:rFonts w:hint="eastAsia"/>
        </w:rPr>
        <w:t>年度管理费用占营业收入比例较</w:t>
      </w:r>
      <w:r w:rsidRPr="00B4515A">
        <w:t>2019</w:t>
      </w:r>
      <w:r w:rsidRPr="00B4515A">
        <w:rPr>
          <w:rFonts w:hint="eastAsia"/>
        </w:rPr>
        <w:t>年度下降。主要系大唐联诚</w:t>
      </w:r>
      <w:r w:rsidRPr="00B4515A">
        <w:t>2020</w:t>
      </w:r>
      <w:r w:rsidRPr="00B4515A">
        <w:rPr>
          <w:rFonts w:hint="eastAsia"/>
        </w:rPr>
        <w:t>年度收入大幅度上涨，但是管理费费用金额变动不大所致。</w:t>
      </w:r>
    </w:p>
    <w:p w14:paraId="0EB1691E" w14:textId="77777777" w:rsidR="006416B0" w:rsidRPr="00B4515A" w:rsidRDefault="005E58C1" w:rsidP="003357B7">
      <w:pPr>
        <w:pStyle w:val="005"/>
        <w:spacing w:before="120" w:after="120"/>
        <w:ind w:firstLine="480"/>
      </w:pPr>
      <w:r w:rsidRPr="00B4515A">
        <w:rPr>
          <w:rFonts w:hint="eastAsia"/>
        </w:rPr>
        <w:t>大唐联诚的管理费用主要由职工薪酬、折旧费、咨询费、房租及物业费、业务招待费等构成，上述费用在报告期各期合计金额占各期管理费用的比例分别为</w:t>
      </w:r>
      <w:r w:rsidRPr="00B4515A">
        <w:t>87.26%</w:t>
      </w:r>
      <w:r w:rsidRPr="00B4515A">
        <w:rPr>
          <w:rFonts w:hint="eastAsia"/>
        </w:rPr>
        <w:t>、</w:t>
      </w:r>
      <w:r w:rsidRPr="00B4515A">
        <w:t>90.64%</w:t>
      </w:r>
      <w:r w:rsidRPr="00B4515A">
        <w:rPr>
          <w:rFonts w:hint="eastAsia"/>
        </w:rPr>
        <w:t>、</w:t>
      </w:r>
      <w:r w:rsidRPr="00B4515A">
        <w:t>92.50%</w:t>
      </w:r>
      <w:r w:rsidRPr="00B4515A">
        <w:rPr>
          <w:rFonts w:hint="eastAsia"/>
        </w:rPr>
        <w:t>。</w:t>
      </w:r>
    </w:p>
    <w:p w14:paraId="471A53DA" w14:textId="77777777" w:rsidR="006416B0" w:rsidRPr="00B4515A" w:rsidRDefault="005E58C1" w:rsidP="003357B7">
      <w:pPr>
        <w:pStyle w:val="005"/>
        <w:spacing w:before="120" w:after="120"/>
        <w:ind w:firstLine="480"/>
      </w:pPr>
      <w:r w:rsidRPr="00B4515A">
        <w:rPr>
          <w:rFonts w:hint="eastAsia"/>
        </w:rPr>
        <w:t>（</w:t>
      </w:r>
      <w:r w:rsidRPr="00B4515A">
        <w:rPr>
          <w:rFonts w:hint="eastAsia"/>
        </w:rPr>
        <w:t>3</w:t>
      </w:r>
      <w:r w:rsidRPr="00B4515A">
        <w:rPr>
          <w:rFonts w:hint="eastAsia"/>
        </w:rPr>
        <w:t>）</w:t>
      </w:r>
      <w:r w:rsidRPr="00B4515A">
        <w:t>研发费用分析</w:t>
      </w:r>
    </w:p>
    <w:p w14:paraId="580FB5A0" w14:textId="77777777" w:rsidR="006416B0" w:rsidRPr="00B4515A" w:rsidRDefault="005E58C1" w:rsidP="003357B7">
      <w:pPr>
        <w:pStyle w:val="005"/>
        <w:spacing w:before="120" w:after="120"/>
        <w:ind w:firstLine="480"/>
      </w:pPr>
      <w:r w:rsidRPr="00B4515A">
        <w:t>报告期内，</w:t>
      </w:r>
      <w:r w:rsidRPr="00B4515A">
        <w:rPr>
          <w:rFonts w:hint="eastAsia"/>
        </w:rPr>
        <w:t>大唐联诚</w:t>
      </w:r>
      <w:r w:rsidRPr="00B4515A">
        <w:t>研发费用明细如下：</w:t>
      </w:r>
    </w:p>
    <w:p w14:paraId="6DB79663"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04"/>
        <w:gridCol w:w="1213"/>
        <w:gridCol w:w="1317"/>
        <w:gridCol w:w="1324"/>
        <w:gridCol w:w="1317"/>
        <w:gridCol w:w="1175"/>
        <w:gridCol w:w="1078"/>
      </w:tblGrid>
      <w:tr w:rsidR="006416B0" w:rsidRPr="00B4515A" w14:paraId="1B7B891A" w14:textId="77777777" w:rsidTr="00031627">
        <w:trPr>
          <w:trHeight w:val="340"/>
          <w:jc w:val="center"/>
        </w:trPr>
        <w:tc>
          <w:tcPr>
            <w:tcW w:w="648" w:type="pct"/>
            <w:vMerge w:val="restart"/>
            <w:shd w:val="clear" w:color="auto" w:fill="auto"/>
            <w:tcMar>
              <w:top w:w="0" w:type="dxa"/>
              <w:left w:w="108" w:type="dxa"/>
              <w:bottom w:w="0" w:type="dxa"/>
              <w:right w:w="108" w:type="dxa"/>
            </w:tcMar>
            <w:vAlign w:val="center"/>
          </w:tcPr>
          <w:p w14:paraId="371136F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482" w:type="pct"/>
            <w:gridSpan w:val="2"/>
            <w:shd w:val="clear" w:color="auto" w:fill="auto"/>
            <w:tcMar>
              <w:top w:w="0" w:type="dxa"/>
              <w:left w:w="108" w:type="dxa"/>
              <w:bottom w:w="0" w:type="dxa"/>
              <w:right w:w="108" w:type="dxa"/>
            </w:tcMar>
            <w:vAlign w:val="center"/>
          </w:tcPr>
          <w:p w14:paraId="2A75B9C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1548" w:type="pct"/>
            <w:gridSpan w:val="2"/>
            <w:shd w:val="clear" w:color="auto" w:fill="auto"/>
            <w:tcMar>
              <w:top w:w="0" w:type="dxa"/>
              <w:left w:w="108" w:type="dxa"/>
              <w:bottom w:w="0" w:type="dxa"/>
              <w:right w:w="108" w:type="dxa"/>
            </w:tcMar>
            <w:vAlign w:val="center"/>
          </w:tcPr>
          <w:p w14:paraId="0165F02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年度</w:t>
            </w:r>
          </w:p>
        </w:tc>
        <w:tc>
          <w:tcPr>
            <w:tcW w:w="1322" w:type="pct"/>
            <w:gridSpan w:val="2"/>
            <w:shd w:val="clear" w:color="auto" w:fill="auto"/>
            <w:tcMar>
              <w:top w:w="0" w:type="dxa"/>
              <w:left w:w="108" w:type="dxa"/>
              <w:bottom w:w="0" w:type="dxa"/>
              <w:right w:w="108" w:type="dxa"/>
            </w:tcMar>
            <w:vAlign w:val="center"/>
          </w:tcPr>
          <w:p w14:paraId="3EBAB34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hint="eastAsia"/>
                <w:b/>
                <w:bCs/>
                <w:color w:val="000000"/>
                <w:sz w:val="21"/>
                <w:szCs w:val="21"/>
              </w:rPr>
              <w:t>年度</w:t>
            </w:r>
          </w:p>
        </w:tc>
      </w:tr>
      <w:tr w:rsidR="006416B0" w:rsidRPr="00B4515A" w14:paraId="2C281324" w14:textId="77777777" w:rsidTr="00031627">
        <w:trPr>
          <w:trHeight w:val="340"/>
          <w:jc w:val="center"/>
        </w:trPr>
        <w:tc>
          <w:tcPr>
            <w:tcW w:w="648" w:type="pct"/>
            <w:vMerge/>
            <w:shd w:val="clear" w:color="auto" w:fill="auto"/>
            <w:tcMar>
              <w:top w:w="0" w:type="dxa"/>
              <w:left w:w="108" w:type="dxa"/>
              <w:bottom w:w="0" w:type="dxa"/>
              <w:right w:w="108" w:type="dxa"/>
            </w:tcMar>
            <w:vAlign w:val="center"/>
          </w:tcPr>
          <w:p w14:paraId="6D476A22"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711" w:type="pct"/>
            <w:shd w:val="clear" w:color="auto" w:fill="auto"/>
            <w:tcMar>
              <w:top w:w="0" w:type="dxa"/>
              <w:left w:w="108" w:type="dxa"/>
              <w:bottom w:w="0" w:type="dxa"/>
              <w:right w:w="108" w:type="dxa"/>
            </w:tcMar>
            <w:vAlign w:val="center"/>
          </w:tcPr>
          <w:p w14:paraId="67BF835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772" w:type="pct"/>
            <w:shd w:val="clear" w:color="auto" w:fill="auto"/>
            <w:tcMar>
              <w:top w:w="0" w:type="dxa"/>
              <w:left w:w="108" w:type="dxa"/>
              <w:bottom w:w="0" w:type="dxa"/>
              <w:right w:w="108" w:type="dxa"/>
            </w:tcMar>
            <w:vAlign w:val="center"/>
          </w:tcPr>
          <w:p w14:paraId="391DF36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776" w:type="pct"/>
            <w:shd w:val="clear" w:color="auto" w:fill="auto"/>
            <w:tcMar>
              <w:top w:w="0" w:type="dxa"/>
              <w:left w:w="108" w:type="dxa"/>
              <w:bottom w:w="0" w:type="dxa"/>
              <w:right w:w="108" w:type="dxa"/>
            </w:tcMar>
            <w:vAlign w:val="center"/>
          </w:tcPr>
          <w:p w14:paraId="4D10622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772" w:type="pct"/>
            <w:shd w:val="clear" w:color="auto" w:fill="auto"/>
            <w:tcMar>
              <w:top w:w="0" w:type="dxa"/>
              <w:left w:w="108" w:type="dxa"/>
              <w:bottom w:w="0" w:type="dxa"/>
              <w:right w:w="108" w:type="dxa"/>
            </w:tcMar>
            <w:vAlign w:val="center"/>
          </w:tcPr>
          <w:p w14:paraId="08917B6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689" w:type="pct"/>
            <w:shd w:val="clear" w:color="auto" w:fill="auto"/>
            <w:tcMar>
              <w:top w:w="0" w:type="dxa"/>
              <w:left w:w="108" w:type="dxa"/>
              <w:bottom w:w="0" w:type="dxa"/>
              <w:right w:w="108" w:type="dxa"/>
            </w:tcMar>
            <w:vAlign w:val="center"/>
          </w:tcPr>
          <w:p w14:paraId="5038227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33" w:type="pct"/>
            <w:shd w:val="clear" w:color="auto" w:fill="auto"/>
            <w:tcMar>
              <w:top w:w="0" w:type="dxa"/>
              <w:left w:w="108" w:type="dxa"/>
              <w:bottom w:w="0" w:type="dxa"/>
              <w:right w:w="108" w:type="dxa"/>
            </w:tcMar>
            <w:vAlign w:val="center"/>
          </w:tcPr>
          <w:p w14:paraId="148E24D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r>
      <w:tr w:rsidR="006416B0" w:rsidRPr="00B4515A" w14:paraId="2F61422F" w14:textId="77777777" w:rsidTr="00031627">
        <w:trPr>
          <w:trHeight w:val="340"/>
          <w:jc w:val="center"/>
        </w:trPr>
        <w:tc>
          <w:tcPr>
            <w:tcW w:w="648" w:type="pct"/>
            <w:shd w:val="clear" w:color="auto" w:fill="auto"/>
            <w:tcMar>
              <w:top w:w="0" w:type="dxa"/>
              <w:left w:w="108" w:type="dxa"/>
              <w:bottom w:w="0" w:type="dxa"/>
              <w:right w:w="108" w:type="dxa"/>
            </w:tcMar>
            <w:vAlign w:val="center"/>
          </w:tcPr>
          <w:p w14:paraId="1873070D"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职工薪酬</w:t>
            </w:r>
          </w:p>
        </w:tc>
        <w:tc>
          <w:tcPr>
            <w:tcW w:w="711" w:type="pct"/>
            <w:shd w:val="clear" w:color="auto" w:fill="auto"/>
            <w:tcMar>
              <w:top w:w="0" w:type="dxa"/>
              <w:left w:w="108" w:type="dxa"/>
              <w:bottom w:w="0" w:type="dxa"/>
              <w:right w:w="108" w:type="dxa"/>
            </w:tcMar>
            <w:vAlign w:val="center"/>
          </w:tcPr>
          <w:p w14:paraId="0FE22F5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2,525.98</w:t>
            </w:r>
          </w:p>
        </w:tc>
        <w:tc>
          <w:tcPr>
            <w:tcW w:w="772" w:type="pct"/>
            <w:shd w:val="clear" w:color="auto" w:fill="auto"/>
            <w:tcMar>
              <w:top w:w="0" w:type="dxa"/>
              <w:left w:w="108" w:type="dxa"/>
              <w:bottom w:w="0" w:type="dxa"/>
              <w:right w:w="108" w:type="dxa"/>
            </w:tcMar>
            <w:vAlign w:val="center"/>
          </w:tcPr>
          <w:p w14:paraId="733E666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63.82%</w:t>
            </w:r>
          </w:p>
        </w:tc>
        <w:tc>
          <w:tcPr>
            <w:tcW w:w="776" w:type="pct"/>
            <w:shd w:val="clear" w:color="auto" w:fill="auto"/>
            <w:tcMar>
              <w:top w:w="0" w:type="dxa"/>
              <w:left w:w="108" w:type="dxa"/>
              <w:bottom w:w="0" w:type="dxa"/>
              <w:right w:w="108" w:type="dxa"/>
            </w:tcMar>
            <w:vAlign w:val="center"/>
          </w:tcPr>
          <w:p w14:paraId="3BEC7DA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9,508.99</w:t>
            </w:r>
          </w:p>
        </w:tc>
        <w:tc>
          <w:tcPr>
            <w:tcW w:w="772" w:type="pct"/>
            <w:shd w:val="clear" w:color="auto" w:fill="auto"/>
            <w:tcMar>
              <w:top w:w="0" w:type="dxa"/>
              <w:left w:w="108" w:type="dxa"/>
              <w:bottom w:w="0" w:type="dxa"/>
              <w:right w:w="108" w:type="dxa"/>
            </w:tcMar>
            <w:vAlign w:val="center"/>
          </w:tcPr>
          <w:p w14:paraId="7A9D348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70.66%</w:t>
            </w:r>
          </w:p>
        </w:tc>
        <w:tc>
          <w:tcPr>
            <w:tcW w:w="689" w:type="pct"/>
            <w:shd w:val="clear" w:color="auto" w:fill="auto"/>
            <w:tcMar>
              <w:top w:w="0" w:type="dxa"/>
              <w:left w:w="108" w:type="dxa"/>
              <w:bottom w:w="0" w:type="dxa"/>
              <w:right w:w="108" w:type="dxa"/>
            </w:tcMar>
            <w:vAlign w:val="center"/>
          </w:tcPr>
          <w:p w14:paraId="7BF4F61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6,677.69</w:t>
            </w:r>
          </w:p>
        </w:tc>
        <w:tc>
          <w:tcPr>
            <w:tcW w:w="633" w:type="pct"/>
            <w:shd w:val="clear" w:color="auto" w:fill="auto"/>
            <w:tcMar>
              <w:top w:w="0" w:type="dxa"/>
              <w:left w:w="108" w:type="dxa"/>
              <w:bottom w:w="0" w:type="dxa"/>
              <w:right w:w="108" w:type="dxa"/>
            </w:tcMar>
            <w:vAlign w:val="center"/>
          </w:tcPr>
          <w:p w14:paraId="7F926C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62.46%</w:t>
            </w:r>
          </w:p>
        </w:tc>
      </w:tr>
      <w:tr w:rsidR="006416B0" w:rsidRPr="00B4515A" w14:paraId="114433FB" w14:textId="77777777" w:rsidTr="00031627">
        <w:trPr>
          <w:trHeight w:val="340"/>
          <w:jc w:val="center"/>
        </w:trPr>
        <w:tc>
          <w:tcPr>
            <w:tcW w:w="648" w:type="pct"/>
            <w:shd w:val="clear" w:color="auto" w:fill="auto"/>
            <w:tcMar>
              <w:top w:w="0" w:type="dxa"/>
              <w:left w:w="108" w:type="dxa"/>
              <w:bottom w:w="0" w:type="dxa"/>
              <w:right w:w="108" w:type="dxa"/>
            </w:tcMar>
            <w:vAlign w:val="center"/>
          </w:tcPr>
          <w:p w14:paraId="4134C43D"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材料费</w:t>
            </w:r>
          </w:p>
        </w:tc>
        <w:tc>
          <w:tcPr>
            <w:tcW w:w="711" w:type="pct"/>
            <w:shd w:val="clear" w:color="auto" w:fill="auto"/>
            <w:tcMar>
              <w:top w:w="0" w:type="dxa"/>
              <w:left w:w="108" w:type="dxa"/>
              <w:bottom w:w="0" w:type="dxa"/>
              <w:right w:w="108" w:type="dxa"/>
            </w:tcMar>
            <w:vAlign w:val="center"/>
          </w:tcPr>
          <w:p w14:paraId="205936B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495.78</w:t>
            </w:r>
          </w:p>
        </w:tc>
        <w:tc>
          <w:tcPr>
            <w:tcW w:w="772" w:type="pct"/>
            <w:shd w:val="clear" w:color="auto" w:fill="auto"/>
            <w:tcMar>
              <w:top w:w="0" w:type="dxa"/>
              <w:left w:w="108" w:type="dxa"/>
              <w:bottom w:w="0" w:type="dxa"/>
              <w:right w:w="108" w:type="dxa"/>
            </w:tcMar>
            <w:vAlign w:val="center"/>
          </w:tcPr>
          <w:p w14:paraId="1995138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12.53%</w:t>
            </w:r>
          </w:p>
        </w:tc>
        <w:tc>
          <w:tcPr>
            <w:tcW w:w="776" w:type="pct"/>
            <w:shd w:val="clear" w:color="auto" w:fill="auto"/>
            <w:tcMar>
              <w:top w:w="0" w:type="dxa"/>
              <w:left w:w="108" w:type="dxa"/>
              <w:bottom w:w="0" w:type="dxa"/>
              <w:right w:w="108" w:type="dxa"/>
            </w:tcMar>
            <w:vAlign w:val="center"/>
          </w:tcPr>
          <w:p w14:paraId="071ADDF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768.43</w:t>
            </w:r>
          </w:p>
        </w:tc>
        <w:tc>
          <w:tcPr>
            <w:tcW w:w="772" w:type="pct"/>
            <w:shd w:val="clear" w:color="auto" w:fill="auto"/>
            <w:tcMar>
              <w:top w:w="0" w:type="dxa"/>
              <w:left w:w="108" w:type="dxa"/>
              <w:bottom w:w="0" w:type="dxa"/>
              <w:right w:w="108" w:type="dxa"/>
            </w:tcMar>
            <w:vAlign w:val="center"/>
          </w:tcPr>
          <w:p w14:paraId="2CC2F26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5.71%</w:t>
            </w:r>
          </w:p>
        </w:tc>
        <w:tc>
          <w:tcPr>
            <w:tcW w:w="689" w:type="pct"/>
            <w:shd w:val="clear" w:color="auto" w:fill="auto"/>
            <w:tcMar>
              <w:top w:w="0" w:type="dxa"/>
              <w:left w:w="108" w:type="dxa"/>
              <w:bottom w:w="0" w:type="dxa"/>
              <w:right w:w="108" w:type="dxa"/>
            </w:tcMar>
            <w:vAlign w:val="center"/>
          </w:tcPr>
          <w:p w14:paraId="4DD920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1,437.25</w:t>
            </w:r>
          </w:p>
        </w:tc>
        <w:tc>
          <w:tcPr>
            <w:tcW w:w="633" w:type="pct"/>
            <w:shd w:val="clear" w:color="auto" w:fill="auto"/>
            <w:tcMar>
              <w:top w:w="0" w:type="dxa"/>
              <w:left w:w="108" w:type="dxa"/>
              <w:bottom w:w="0" w:type="dxa"/>
              <w:right w:w="108" w:type="dxa"/>
            </w:tcMar>
            <w:vAlign w:val="center"/>
          </w:tcPr>
          <w:p w14:paraId="1DD1B61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13.44%</w:t>
            </w:r>
          </w:p>
        </w:tc>
      </w:tr>
      <w:tr w:rsidR="006416B0" w:rsidRPr="00B4515A" w14:paraId="63CAD2E0" w14:textId="77777777" w:rsidTr="00031627">
        <w:trPr>
          <w:trHeight w:val="340"/>
          <w:jc w:val="center"/>
        </w:trPr>
        <w:tc>
          <w:tcPr>
            <w:tcW w:w="648" w:type="pct"/>
            <w:shd w:val="clear" w:color="auto" w:fill="auto"/>
            <w:tcMar>
              <w:top w:w="0" w:type="dxa"/>
              <w:left w:w="108" w:type="dxa"/>
              <w:bottom w:w="0" w:type="dxa"/>
              <w:right w:w="108" w:type="dxa"/>
            </w:tcMar>
            <w:vAlign w:val="center"/>
          </w:tcPr>
          <w:p w14:paraId="008AD59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折旧费</w:t>
            </w:r>
          </w:p>
        </w:tc>
        <w:tc>
          <w:tcPr>
            <w:tcW w:w="711" w:type="pct"/>
            <w:shd w:val="clear" w:color="auto" w:fill="auto"/>
            <w:tcMar>
              <w:top w:w="0" w:type="dxa"/>
              <w:left w:w="108" w:type="dxa"/>
              <w:bottom w:w="0" w:type="dxa"/>
              <w:right w:w="108" w:type="dxa"/>
            </w:tcMar>
            <w:vAlign w:val="center"/>
          </w:tcPr>
          <w:p w14:paraId="692FC3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196.46</w:t>
            </w:r>
          </w:p>
        </w:tc>
        <w:tc>
          <w:tcPr>
            <w:tcW w:w="772" w:type="pct"/>
            <w:shd w:val="clear" w:color="auto" w:fill="auto"/>
            <w:tcMar>
              <w:top w:w="0" w:type="dxa"/>
              <w:left w:w="108" w:type="dxa"/>
              <w:bottom w:w="0" w:type="dxa"/>
              <w:right w:w="108" w:type="dxa"/>
            </w:tcMar>
            <w:vAlign w:val="center"/>
          </w:tcPr>
          <w:p w14:paraId="687310A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4.96%</w:t>
            </w:r>
          </w:p>
        </w:tc>
        <w:tc>
          <w:tcPr>
            <w:tcW w:w="776" w:type="pct"/>
            <w:shd w:val="clear" w:color="auto" w:fill="auto"/>
            <w:tcMar>
              <w:top w:w="0" w:type="dxa"/>
              <w:left w:w="108" w:type="dxa"/>
              <w:bottom w:w="0" w:type="dxa"/>
              <w:right w:w="108" w:type="dxa"/>
            </w:tcMar>
            <w:vAlign w:val="center"/>
          </w:tcPr>
          <w:p w14:paraId="2151BFB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572.85</w:t>
            </w:r>
          </w:p>
        </w:tc>
        <w:tc>
          <w:tcPr>
            <w:tcW w:w="772" w:type="pct"/>
            <w:shd w:val="clear" w:color="auto" w:fill="auto"/>
            <w:tcMar>
              <w:top w:w="0" w:type="dxa"/>
              <w:left w:w="108" w:type="dxa"/>
              <w:bottom w:w="0" w:type="dxa"/>
              <w:right w:w="108" w:type="dxa"/>
            </w:tcMar>
            <w:vAlign w:val="center"/>
          </w:tcPr>
          <w:p w14:paraId="58339C8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4.26%</w:t>
            </w:r>
          </w:p>
        </w:tc>
        <w:tc>
          <w:tcPr>
            <w:tcW w:w="689" w:type="pct"/>
            <w:shd w:val="clear" w:color="auto" w:fill="auto"/>
            <w:tcMar>
              <w:top w:w="0" w:type="dxa"/>
              <w:left w:w="108" w:type="dxa"/>
              <w:bottom w:w="0" w:type="dxa"/>
              <w:right w:w="108" w:type="dxa"/>
            </w:tcMar>
            <w:vAlign w:val="center"/>
          </w:tcPr>
          <w:p w14:paraId="4F09B05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523.16</w:t>
            </w:r>
          </w:p>
        </w:tc>
        <w:tc>
          <w:tcPr>
            <w:tcW w:w="633" w:type="pct"/>
            <w:shd w:val="clear" w:color="auto" w:fill="auto"/>
            <w:tcMar>
              <w:top w:w="0" w:type="dxa"/>
              <w:left w:w="108" w:type="dxa"/>
              <w:bottom w:w="0" w:type="dxa"/>
              <w:right w:w="108" w:type="dxa"/>
            </w:tcMar>
            <w:vAlign w:val="center"/>
          </w:tcPr>
          <w:p w14:paraId="41BF527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4.89%</w:t>
            </w:r>
          </w:p>
        </w:tc>
      </w:tr>
      <w:tr w:rsidR="006416B0" w:rsidRPr="00B4515A" w14:paraId="57F26011" w14:textId="77777777" w:rsidTr="00031627">
        <w:trPr>
          <w:trHeight w:val="340"/>
          <w:jc w:val="center"/>
        </w:trPr>
        <w:tc>
          <w:tcPr>
            <w:tcW w:w="648" w:type="pct"/>
            <w:shd w:val="clear" w:color="auto" w:fill="auto"/>
            <w:tcMar>
              <w:top w:w="0" w:type="dxa"/>
              <w:left w:w="108" w:type="dxa"/>
              <w:bottom w:w="0" w:type="dxa"/>
              <w:right w:w="108" w:type="dxa"/>
            </w:tcMar>
            <w:vAlign w:val="center"/>
          </w:tcPr>
          <w:p w14:paraId="7708D80D"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房屋费用</w:t>
            </w:r>
          </w:p>
        </w:tc>
        <w:tc>
          <w:tcPr>
            <w:tcW w:w="711" w:type="pct"/>
            <w:shd w:val="clear" w:color="auto" w:fill="auto"/>
            <w:tcMar>
              <w:top w:w="0" w:type="dxa"/>
              <w:left w:w="108" w:type="dxa"/>
              <w:bottom w:w="0" w:type="dxa"/>
              <w:right w:w="108" w:type="dxa"/>
            </w:tcMar>
            <w:vAlign w:val="center"/>
          </w:tcPr>
          <w:p w14:paraId="2955748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228.17</w:t>
            </w:r>
          </w:p>
        </w:tc>
        <w:tc>
          <w:tcPr>
            <w:tcW w:w="772" w:type="pct"/>
            <w:shd w:val="clear" w:color="auto" w:fill="auto"/>
            <w:tcMar>
              <w:top w:w="0" w:type="dxa"/>
              <w:left w:w="108" w:type="dxa"/>
              <w:bottom w:w="0" w:type="dxa"/>
              <w:right w:w="108" w:type="dxa"/>
            </w:tcMar>
            <w:vAlign w:val="center"/>
          </w:tcPr>
          <w:p w14:paraId="4E63C74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5.76%</w:t>
            </w:r>
          </w:p>
        </w:tc>
        <w:tc>
          <w:tcPr>
            <w:tcW w:w="776" w:type="pct"/>
            <w:shd w:val="clear" w:color="auto" w:fill="auto"/>
            <w:tcMar>
              <w:top w:w="0" w:type="dxa"/>
              <w:left w:w="108" w:type="dxa"/>
              <w:bottom w:w="0" w:type="dxa"/>
              <w:right w:w="108" w:type="dxa"/>
            </w:tcMar>
            <w:vAlign w:val="center"/>
          </w:tcPr>
          <w:p w14:paraId="64E14BD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719.57</w:t>
            </w:r>
          </w:p>
        </w:tc>
        <w:tc>
          <w:tcPr>
            <w:tcW w:w="772" w:type="pct"/>
            <w:shd w:val="clear" w:color="auto" w:fill="auto"/>
            <w:tcMar>
              <w:top w:w="0" w:type="dxa"/>
              <w:left w:w="108" w:type="dxa"/>
              <w:bottom w:w="0" w:type="dxa"/>
              <w:right w:w="108" w:type="dxa"/>
            </w:tcMar>
            <w:vAlign w:val="center"/>
          </w:tcPr>
          <w:p w14:paraId="3226FE1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5.35%</w:t>
            </w:r>
          </w:p>
        </w:tc>
        <w:tc>
          <w:tcPr>
            <w:tcW w:w="689" w:type="pct"/>
            <w:shd w:val="clear" w:color="auto" w:fill="auto"/>
            <w:tcMar>
              <w:top w:w="0" w:type="dxa"/>
              <w:left w:w="108" w:type="dxa"/>
              <w:bottom w:w="0" w:type="dxa"/>
              <w:right w:w="108" w:type="dxa"/>
            </w:tcMar>
            <w:vAlign w:val="center"/>
          </w:tcPr>
          <w:p w14:paraId="1CEDF49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906.41</w:t>
            </w:r>
          </w:p>
        </w:tc>
        <w:tc>
          <w:tcPr>
            <w:tcW w:w="633" w:type="pct"/>
            <w:shd w:val="clear" w:color="auto" w:fill="auto"/>
            <w:tcMar>
              <w:top w:w="0" w:type="dxa"/>
              <w:left w:w="108" w:type="dxa"/>
              <w:bottom w:w="0" w:type="dxa"/>
              <w:right w:w="108" w:type="dxa"/>
            </w:tcMar>
            <w:vAlign w:val="center"/>
          </w:tcPr>
          <w:p w14:paraId="6FCE49C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8.48%</w:t>
            </w:r>
          </w:p>
        </w:tc>
      </w:tr>
      <w:tr w:rsidR="006416B0" w:rsidRPr="00B4515A" w14:paraId="4A41E546" w14:textId="77777777" w:rsidTr="00031627">
        <w:trPr>
          <w:trHeight w:val="340"/>
          <w:jc w:val="center"/>
        </w:trPr>
        <w:tc>
          <w:tcPr>
            <w:tcW w:w="648" w:type="pct"/>
            <w:shd w:val="clear" w:color="auto" w:fill="auto"/>
            <w:tcMar>
              <w:top w:w="0" w:type="dxa"/>
              <w:left w:w="108" w:type="dxa"/>
              <w:bottom w:w="0" w:type="dxa"/>
              <w:right w:w="108" w:type="dxa"/>
            </w:tcMar>
            <w:vAlign w:val="center"/>
          </w:tcPr>
          <w:p w14:paraId="358F85FE" w14:textId="77777777" w:rsidR="003357B7"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外包合</w:t>
            </w:r>
          </w:p>
          <w:p w14:paraId="085C4C50" w14:textId="5E141F76"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作费</w:t>
            </w:r>
          </w:p>
        </w:tc>
        <w:tc>
          <w:tcPr>
            <w:tcW w:w="711" w:type="pct"/>
            <w:shd w:val="clear" w:color="auto" w:fill="auto"/>
            <w:tcMar>
              <w:top w:w="0" w:type="dxa"/>
              <w:left w:w="108" w:type="dxa"/>
              <w:bottom w:w="0" w:type="dxa"/>
              <w:right w:w="108" w:type="dxa"/>
            </w:tcMar>
            <w:vAlign w:val="center"/>
          </w:tcPr>
          <w:p w14:paraId="57E84E4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4.87</w:t>
            </w:r>
          </w:p>
        </w:tc>
        <w:tc>
          <w:tcPr>
            <w:tcW w:w="772" w:type="pct"/>
            <w:shd w:val="clear" w:color="auto" w:fill="auto"/>
            <w:tcMar>
              <w:top w:w="0" w:type="dxa"/>
              <w:left w:w="108" w:type="dxa"/>
              <w:bottom w:w="0" w:type="dxa"/>
              <w:right w:w="108" w:type="dxa"/>
            </w:tcMar>
            <w:vAlign w:val="center"/>
          </w:tcPr>
          <w:p w14:paraId="060F38D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0.12%</w:t>
            </w:r>
          </w:p>
        </w:tc>
        <w:tc>
          <w:tcPr>
            <w:tcW w:w="776" w:type="pct"/>
            <w:shd w:val="clear" w:color="auto" w:fill="auto"/>
            <w:tcMar>
              <w:top w:w="0" w:type="dxa"/>
              <w:left w:w="108" w:type="dxa"/>
              <w:bottom w:w="0" w:type="dxa"/>
              <w:right w:w="108" w:type="dxa"/>
            </w:tcMar>
            <w:vAlign w:val="center"/>
          </w:tcPr>
          <w:p w14:paraId="11040AB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771.90</w:t>
            </w:r>
          </w:p>
        </w:tc>
        <w:tc>
          <w:tcPr>
            <w:tcW w:w="772" w:type="pct"/>
            <w:shd w:val="clear" w:color="auto" w:fill="auto"/>
            <w:tcMar>
              <w:top w:w="0" w:type="dxa"/>
              <w:left w:w="108" w:type="dxa"/>
              <w:bottom w:w="0" w:type="dxa"/>
              <w:right w:w="108" w:type="dxa"/>
            </w:tcMar>
            <w:vAlign w:val="center"/>
          </w:tcPr>
          <w:p w14:paraId="631BBEF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5.74%</w:t>
            </w:r>
          </w:p>
        </w:tc>
        <w:tc>
          <w:tcPr>
            <w:tcW w:w="689" w:type="pct"/>
            <w:shd w:val="clear" w:color="auto" w:fill="auto"/>
            <w:tcMar>
              <w:top w:w="0" w:type="dxa"/>
              <w:left w:w="108" w:type="dxa"/>
              <w:bottom w:w="0" w:type="dxa"/>
              <w:right w:w="108" w:type="dxa"/>
            </w:tcMar>
            <w:vAlign w:val="center"/>
          </w:tcPr>
          <w:p w14:paraId="3A79AAD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201.17</w:t>
            </w:r>
          </w:p>
        </w:tc>
        <w:tc>
          <w:tcPr>
            <w:tcW w:w="633" w:type="pct"/>
            <w:shd w:val="clear" w:color="auto" w:fill="auto"/>
            <w:tcMar>
              <w:top w:w="0" w:type="dxa"/>
              <w:left w:w="108" w:type="dxa"/>
              <w:bottom w:w="0" w:type="dxa"/>
              <w:right w:w="108" w:type="dxa"/>
            </w:tcMar>
            <w:vAlign w:val="center"/>
          </w:tcPr>
          <w:p w14:paraId="689C2B9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1.88%</w:t>
            </w:r>
          </w:p>
        </w:tc>
      </w:tr>
      <w:tr w:rsidR="006416B0" w:rsidRPr="00B4515A" w14:paraId="1D84C5D0" w14:textId="77777777" w:rsidTr="00031627">
        <w:trPr>
          <w:trHeight w:val="340"/>
          <w:jc w:val="center"/>
        </w:trPr>
        <w:tc>
          <w:tcPr>
            <w:tcW w:w="648" w:type="pct"/>
            <w:shd w:val="clear" w:color="auto" w:fill="auto"/>
            <w:tcMar>
              <w:top w:w="0" w:type="dxa"/>
              <w:left w:w="108" w:type="dxa"/>
              <w:bottom w:w="0" w:type="dxa"/>
              <w:right w:w="108" w:type="dxa"/>
            </w:tcMar>
            <w:vAlign w:val="center"/>
          </w:tcPr>
          <w:p w14:paraId="5D0593F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无形资产摊销</w:t>
            </w:r>
          </w:p>
        </w:tc>
        <w:tc>
          <w:tcPr>
            <w:tcW w:w="711" w:type="pct"/>
            <w:shd w:val="clear" w:color="auto" w:fill="auto"/>
            <w:tcMar>
              <w:top w:w="0" w:type="dxa"/>
              <w:left w:w="108" w:type="dxa"/>
              <w:bottom w:w="0" w:type="dxa"/>
              <w:right w:w="108" w:type="dxa"/>
            </w:tcMar>
            <w:vAlign w:val="center"/>
          </w:tcPr>
          <w:p w14:paraId="3A09FC9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363.71</w:t>
            </w:r>
          </w:p>
        </w:tc>
        <w:tc>
          <w:tcPr>
            <w:tcW w:w="772" w:type="pct"/>
            <w:shd w:val="clear" w:color="auto" w:fill="auto"/>
            <w:tcMar>
              <w:top w:w="0" w:type="dxa"/>
              <w:left w:w="108" w:type="dxa"/>
              <w:bottom w:w="0" w:type="dxa"/>
              <w:right w:w="108" w:type="dxa"/>
            </w:tcMar>
            <w:vAlign w:val="center"/>
          </w:tcPr>
          <w:p w14:paraId="2C2B02F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9.19%</w:t>
            </w:r>
          </w:p>
        </w:tc>
        <w:tc>
          <w:tcPr>
            <w:tcW w:w="776" w:type="pct"/>
            <w:shd w:val="clear" w:color="auto" w:fill="auto"/>
            <w:tcMar>
              <w:top w:w="0" w:type="dxa"/>
              <w:left w:w="108" w:type="dxa"/>
              <w:bottom w:w="0" w:type="dxa"/>
              <w:right w:w="108" w:type="dxa"/>
            </w:tcMar>
            <w:vAlign w:val="center"/>
          </w:tcPr>
          <w:p w14:paraId="091EAC9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404.39</w:t>
            </w:r>
          </w:p>
        </w:tc>
        <w:tc>
          <w:tcPr>
            <w:tcW w:w="772" w:type="pct"/>
            <w:shd w:val="clear" w:color="auto" w:fill="auto"/>
            <w:tcMar>
              <w:top w:w="0" w:type="dxa"/>
              <w:left w:w="108" w:type="dxa"/>
              <w:bottom w:w="0" w:type="dxa"/>
              <w:right w:w="108" w:type="dxa"/>
            </w:tcMar>
            <w:vAlign w:val="center"/>
          </w:tcPr>
          <w:p w14:paraId="78CF8F9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3.01%</w:t>
            </w:r>
          </w:p>
        </w:tc>
        <w:tc>
          <w:tcPr>
            <w:tcW w:w="689" w:type="pct"/>
            <w:shd w:val="clear" w:color="auto" w:fill="auto"/>
            <w:tcMar>
              <w:top w:w="0" w:type="dxa"/>
              <w:left w:w="108" w:type="dxa"/>
              <w:bottom w:w="0" w:type="dxa"/>
              <w:right w:w="108" w:type="dxa"/>
            </w:tcMar>
            <w:vAlign w:val="center"/>
          </w:tcPr>
          <w:p w14:paraId="4DC48E4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191.27</w:t>
            </w:r>
          </w:p>
        </w:tc>
        <w:tc>
          <w:tcPr>
            <w:tcW w:w="633" w:type="pct"/>
            <w:shd w:val="clear" w:color="auto" w:fill="auto"/>
            <w:tcMar>
              <w:top w:w="0" w:type="dxa"/>
              <w:left w:w="108" w:type="dxa"/>
              <w:bottom w:w="0" w:type="dxa"/>
              <w:right w:w="108" w:type="dxa"/>
            </w:tcMar>
            <w:vAlign w:val="center"/>
          </w:tcPr>
          <w:p w14:paraId="08937F3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1.79%</w:t>
            </w:r>
          </w:p>
        </w:tc>
      </w:tr>
      <w:tr w:rsidR="006416B0" w:rsidRPr="00B4515A" w14:paraId="0094B5E0" w14:textId="77777777" w:rsidTr="00031627">
        <w:trPr>
          <w:trHeight w:val="340"/>
          <w:jc w:val="center"/>
        </w:trPr>
        <w:tc>
          <w:tcPr>
            <w:tcW w:w="648" w:type="pct"/>
            <w:shd w:val="clear" w:color="auto" w:fill="auto"/>
            <w:tcMar>
              <w:top w:w="0" w:type="dxa"/>
              <w:left w:w="108" w:type="dxa"/>
              <w:bottom w:w="0" w:type="dxa"/>
              <w:right w:w="108" w:type="dxa"/>
            </w:tcMar>
            <w:vAlign w:val="center"/>
          </w:tcPr>
          <w:p w14:paraId="09A58C1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咨询费</w:t>
            </w:r>
          </w:p>
        </w:tc>
        <w:tc>
          <w:tcPr>
            <w:tcW w:w="711" w:type="pct"/>
            <w:shd w:val="clear" w:color="auto" w:fill="auto"/>
            <w:tcMar>
              <w:top w:w="0" w:type="dxa"/>
              <w:left w:w="108" w:type="dxa"/>
              <w:bottom w:w="0" w:type="dxa"/>
              <w:right w:w="108" w:type="dxa"/>
            </w:tcMar>
            <w:vAlign w:val="center"/>
          </w:tcPr>
          <w:p w14:paraId="2EFB10F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772" w:type="pct"/>
            <w:shd w:val="clear" w:color="auto" w:fill="auto"/>
            <w:tcMar>
              <w:top w:w="0" w:type="dxa"/>
              <w:left w:w="108" w:type="dxa"/>
              <w:bottom w:w="0" w:type="dxa"/>
              <w:right w:w="108" w:type="dxa"/>
            </w:tcMar>
            <w:vAlign w:val="center"/>
          </w:tcPr>
          <w:p w14:paraId="70C599D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776" w:type="pct"/>
            <w:shd w:val="clear" w:color="auto" w:fill="auto"/>
            <w:tcMar>
              <w:top w:w="0" w:type="dxa"/>
              <w:left w:w="108" w:type="dxa"/>
              <w:bottom w:w="0" w:type="dxa"/>
              <w:right w:w="108" w:type="dxa"/>
            </w:tcMar>
            <w:vAlign w:val="center"/>
          </w:tcPr>
          <w:p w14:paraId="67AB67A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772" w:type="pct"/>
            <w:shd w:val="clear" w:color="auto" w:fill="auto"/>
            <w:tcMar>
              <w:top w:w="0" w:type="dxa"/>
              <w:left w:w="108" w:type="dxa"/>
              <w:bottom w:w="0" w:type="dxa"/>
              <w:right w:w="108" w:type="dxa"/>
            </w:tcMar>
            <w:vAlign w:val="center"/>
          </w:tcPr>
          <w:p w14:paraId="35B3710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689" w:type="pct"/>
            <w:shd w:val="clear" w:color="auto" w:fill="auto"/>
            <w:tcMar>
              <w:top w:w="0" w:type="dxa"/>
              <w:left w:w="108" w:type="dxa"/>
              <w:bottom w:w="0" w:type="dxa"/>
              <w:right w:w="108" w:type="dxa"/>
            </w:tcMar>
            <w:vAlign w:val="center"/>
          </w:tcPr>
          <w:p w14:paraId="4003850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316.97</w:t>
            </w:r>
          </w:p>
        </w:tc>
        <w:tc>
          <w:tcPr>
            <w:tcW w:w="633" w:type="pct"/>
            <w:shd w:val="clear" w:color="auto" w:fill="auto"/>
            <w:tcMar>
              <w:top w:w="0" w:type="dxa"/>
              <w:left w:w="108" w:type="dxa"/>
              <w:bottom w:w="0" w:type="dxa"/>
              <w:right w:w="108" w:type="dxa"/>
            </w:tcMar>
            <w:vAlign w:val="center"/>
          </w:tcPr>
          <w:p w14:paraId="6212A6C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2.96%</w:t>
            </w:r>
          </w:p>
        </w:tc>
      </w:tr>
      <w:tr w:rsidR="006416B0" w:rsidRPr="00B4515A" w14:paraId="2522FEAC" w14:textId="77777777" w:rsidTr="00031627">
        <w:trPr>
          <w:trHeight w:val="340"/>
          <w:jc w:val="center"/>
        </w:trPr>
        <w:tc>
          <w:tcPr>
            <w:tcW w:w="648" w:type="pct"/>
            <w:shd w:val="clear" w:color="auto" w:fill="auto"/>
            <w:tcMar>
              <w:top w:w="0" w:type="dxa"/>
              <w:left w:w="108" w:type="dxa"/>
              <w:bottom w:w="0" w:type="dxa"/>
              <w:right w:w="108" w:type="dxa"/>
            </w:tcMar>
            <w:vAlign w:val="center"/>
          </w:tcPr>
          <w:p w14:paraId="641211D6"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差旅费</w:t>
            </w:r>
          </w:p>
        </w:tc>
        <w:tc>
          <w:tcPr>
            <w:tcW w:w="711" w:type="pct"/>
            <w:shd w:val="clear" w:color="auto" w:fill="auto"/>
            <w:tcMar>
              <w:top w:w="0" w:type="dxa"/>
              <w:left w:w="108" w:type="dxa"/>
              <w:bottom w:w="0" w:type="dxa"/>
              <w:right w:w="108" w:type="dxa"/>
            </w:tcMar>
            <w:vAlign w:val="center"/>
          </w:tcPr>
          <w:p w14:paraId="2443392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54.93</w:t>
            </w:r>
          </w:p>
        </w:tc>
        <w:tc>
          <w:tcPr>
            <w:tcW w:w="772" w:type="pct"/>
            <w:shd w:val="clear" w:color="auto" w:fill="auto"/>
            <w:tcMar>
              <w:top w:w="0" w:type="dxa"/>
              <w:left w:w="108" w:type="dxa"/>
              <w:bottom w:w="0" w:type="dxa"/>
              <w:right w:w="108" w:type="dxa"/>
            </w:tcMar>
            <w:vAlign w:val="center"/>
          </w:tcPr>
          <w:p w14:paraId="41F5510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1.39%</w:t>
            </w:r>
          </w:p>
        </w:tc>
        <w:tc>
          <w:tcPr>
            <w:tcW w:w="776" w:type="pct"/>
            <w:shd w:val="clear" w:color="auto" w:fill="auto"/>
            <w:tcMar>
              <w:top w:w="0" w:type="dxa"/>
              <w:left w:w="108" w:type="dxa"/>
              <w:bottom w:w="0" w:type="dxa"/>
              <w:right w:w="108" w:type="dxa"/>
            </w:tcMar>
            <w:vAlign w:val="center"/>
          </w:tcPr>
          <w:p w14:paraId="7B31958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254.86</w:t>
            </w:r>
          </w:p>
        </w:tc>
        <w:tc>
          <w:tcPr>
            <w:tcW w:w="772" w:type="pct"/>
            <w:shd w:val="clear" w:color="auto" w:fill="auto"/>
            <w:tcMar>
              <w:top w:w="0" w:type="dxa"/>
              <w:left w:w="108" w:type="dxa"/>
              <w:bottom w:w="0" w:type="dxa"/>
              <w:right w:w="108" w:type="dxa"/>
            </w:tcMar>
            <w:vAlign w:val="center"/>
          </w:tcPr>
          <w:p w14:paraId="3841AFF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1.89%</w:t>
            </w:r>
          </w:p>
        </w:tc>
        <w:tc>
          <w:tcPr>
            <w:tcW w:w="689" w:type="pct"/>
            <w:shd w:val="clear" w:color="auto" w:fill="auto"/>
            <w:tcMar>
              <w:top w:w="0" w:type="dxa"/>
              <w:left w:w="108" w:type="dxa"/>
              <w:bottom w:w="0" w:type="dxa"/>
              <w:right w:w="108" w:type="dxa"/>
            </w:tcMar>
            <w:vAlign w:val="center"/>
          </w:tcPr>
          <w:p w14:paraId="4B0937E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273.38</w:t>
            </w:r>
          </w:p>
        </w:tc>
        <w:tc>
          <w:tcPr>
            <w:tcW w:w="633" w:type="pct"/>
            <w:shd w:val="clear" w:color="auto" w:fill="auto"/>
            <w:tcMar>
              <w:top w:w="0" w:type="dxa"/>
              <w:left w:w="108" w:type="dxa"/>
              <w:bottom w:w="0" w:type="dxa"/>
              <w:right w:w="108" w:type="dxa"/>
            </w:tcMar>
            <w:vAlign w:val="center"/>
          </w:tcPr>
          <w:p w14:paraId="3BB18A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2.56%</w:t>
            </w:r>
          </w:p>
        </w:tc>
      </w:tr>
      <w:tr w:rsidR="006416B0" w:rsidRPr="00B4515A" w14:paraId="2C2CE10F" w14:textId="77777777" w:rsidTr="00031627">
        <w:trPr>
          <w:trHeight w:val="340"/>
          <w:jc w:val="center"/>
        </w:trPr>
        <w:tc>
          <w:tcPr>
            <w:tcW w:w="648" w:type="pct"/>
            <w:shd w:val="clear" w:color="auto" w:fill="auto"/>
            <w:tcMar>
              <w:top w:w="0" w:type="dxa"/>
              <w:left w:w="108" w:type="dxa"/>
              <w:bottom w:w="0" w:type="dxa"/>
              <w:right w:w="108" w:type="dxa"/>
            </w:tcMar>
            <w:vAlign w:val="center"/>
          </w:tcPr>
          <w:p w14:paraId="4A90D9C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试检验费</w:t>
            </w:r>
          </w:p>
        </w:tc>
        <w:tc>
          <w:tcPr>
            <w:tcW w:w="711" w:type="pct"/>
            <w:shd w:val="clear" w:color="auto" w:fill="auto"/>
            <w:tcMar>
              <w:top w:w="0" w:type="dxa"/>
              <w:left w:w="108" w:type="dxa"/>
              <w:bottom w:w="0" w:type="dxa"/>
              <w:right w:w="108" w:type="dxa"/>
            </w:tcMar>
            <w:vAlign w:val="center"/>
          </w:tcPr>
          <w:p w14:paraId="3200C56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11.32</w:t>
            </w:r>
          </w:p>
        </w:tc>
        <w:tc>
          <w:tcPr>
            <w:tcW w:w="772" w:type="pct"/>
            <w:shd w:val="clear" w:color="auto" w:fill="auto"/>
            <w:tcMar>
              <w:top w:w="0" w:type="dxa"/>
              <w:left w:w="108" w:type="dxa"/>
              <w:bottom w:w="0" w:type="dxa"/>
              <w:right w:w="108" w:type="dxa"/>
            </w:tcMar>
            <w:vAlign w:val="center"/>
          </w:tcPr>
          <w:p w14:paraId="62A2974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0.29%</w:t>
            </w:r>
          </w:p>
        </w:tc>
        <w:tc>
          <w:tcPr>
            <w:tcW w:w="776" w:type="pct"/>
            <w:shd w:val="clear" w:color="auto" w:fill="auto"/>
            <w:tcMar>
              <w:top w:w="0" w:type="dxa"/>
              <w:left w:w="108" w:type="dxa"/>
              <w:bottom w:w="0" w:type="dxa"/>
              <w:right w:w="108" w:type="dxa"/>
            </w:tcMar>
            <w:vAlign w:val="center"/>
          </w:tcPr>
          <w:p w14:paraId="1293415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196.40</w:t>
            </w:r>
          </w:p>
        </w:tc>
        <w:tc>
          <w:tcPr>
            <w:tcW w:w="772" w:type="pct"/>
            <w:shd w:val="clear" w:color="auto" w:fill="auto"/>
            <w:tcMar>
              <w:top w:w="0" w:type="dxa"/>
              <w:left w:w="108" w:type="dxa"/>
              <w:bottom w:w="0" w:type="dxa"/>
              <w:right w:w="108" w:type="dxa"/>
            </w:tcMar>
            <w:vAlign w:val="center"/>
          </w:tcPr>
          <w:p w14:paraId="363F3ED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1.46%</w:t>
            </w:r>
          </w:p>
        </w:tc>
        <w:tc>
          <w:tcPr>
            <w:tcW w:w="689" w:type="pct"/>
            <w:shd w:val="clear" w:color="auto" w:fill="auto"/>
            <w:tcMar>
              <w:top w:w="0" w:type="dxa"/>
              <w:left w:w="108" w:type="dxa"/>
              <w:bottom w:w="0" w:type="dxa"/>
              <w:right w:w="108" w:type="dxa"/>
            </w:tcMar>
            <w:vAlign w:val="center"/>
          </w:tcPr>
          <w:p w14:paraId="335A7E7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38.06</w:t>
            </w:r>
          </w:p>
        </w:tc>
        <w:tc>
          <w:tcPr>
            <w:tcW w:w="633" w:type="pct"/>
            <w:shd w:val="clear" w:color="auto" w:fill="auto"/>
            <w:tcMar>
              <w:top w:w="0" w:type="dxa"/>
              <w:left w:w="108" w:type="dxa"/>
              <w:bottom w:w="0" w:type="dxa"/>
              <w:right w:w="108" w:type="dxa"/>
            </w:tcMar>
            <w:vAlign w:val="center"/>
          </w:tcPr>
          <w:p w14:paraId="31B29C8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0.36%</w:t>
            </w:r>
          </w:p>
        </w:tc>
      </w:tr>
      <w:tr w:rsidR="006416B0" w:rsidRPr="00B4515A" w14:paraId="2FBC9B43" w14:textId="77777777" w:rsidTr="00031627">
        <w:trPr>
          <w:trHeight w:val="340"/>
          <w:jc w:val="center"/>
        </w:trPr>
        <w:tc>
          <w:tcPr>
            <w:tcW w:w="648" w:type="pct"/>
            <w:shd w:val="clear" w:color="auto" w:fill="auto"/>
            <w:tcMar>
              <w:top w:w="0" w:type="dxa"/>
              <w:left w:w="108" w:type="dxa"/>
              <w:bottom w:w="0" w:type="dxa"/>
              <w:right w:w="108" w:type="dxa"/>
            </w:tcMar>
            <w:vAlign w:val="center"/>
          </w:tcPr>
          <w:p w14:paraId="50C2BE6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其他费用</w:t>
            </w:r>
          </w:p>
        </w:tc>
        <w:tc>
          <w:tcPr>
            <w:tcW w:w="711" w:type="pct"/>
            <w:shd w:val="clear" w:color="auto" w:fill="auto"/>
            <w:tcMar>
              <w:top w:w="0" w:type="dxa"/>
              <w:left w:w="108" w:type="dxa"/>
              <w:bottom w:w="0" w:type="dxa"/>
              <w:right w:w="108" w:type="dxa"/>
            </w:tcMar>
            <w:vAlign w:val="center"/>
          </w:tcPr>
          <w:p w14:paraId="5A0EAFC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76.84</w:t>
            </w:r>
          </w:p>
        </w:tc>
        <w:tc>
          <w:tcPr>
            <w:tcW w:w="772" w:type="pct"/>
            <w:shd w:val="clear" w:color="auto" w:fill="auto"/>
            <w:tcMar>
              <w:top w:w="0" w:type="dxa"/>
              <w:left w:w="108" w:type="dxa"/>
              <w:bottom w:w="0" w:type="dxa"/>
              <w:right w:w="108" w:type="dxa"/>
            </w:tcMar>
            <w:vAlign w:val="center"/>
          </w:tcPr>
          <w:p w14:paraId="007B7BD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1.94%</w:t>
            </w:r>
          </w:p>
        </w:tc>
        <w:tc>
          <w:tcPr>
            <w:tcW w:w="776" w:type="pct"/>
            <w:shd w:val="clear" w:color="auto" w:fill="auto"/>
            <w:tcMar>
              <w:top w:w="0" w:type="dxa"/>
              <w:left w:w="108" w:type="dxa"/>
              <w:bottom w:w="0" w:type="dxa"/>
              <w:right w:w="108" w:type="dxa"/>
            </w:tcMar>
            <w:vAlign w:val="center"/>
          </w:tcPr>
          <w:p w14:paraId="1C4B4A5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259.18</w:t>
            </w:r>
          </w:p>
        </w:tc>
        <w:tc>
          <w:tcPr>
            <w:tcW w:w="772" w:type="pct"/>
            <w:shd w:val="clear" w:color="auto" w:fill="auto"/>
            <w:tcMar>
              <w:top w:w="0" w:type="dxa"/>
              <w:left w:w="108" w:type="dxa"/>
              <w:bottom w:w="0" w:type="dxa"/>
              <w:right w:w="108" w:type="dxa"/>
            </w:tcMar>
            <w:vAlign w:val="center"/>
          </w:tcPr>
          <w:p w14:paraId="0F70A86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1.93%</w:t>
            </w:r>
          </w:p>
        </w:tc>
        <w:tc>
          <w:tcPr>
            <w:tcW w:w="689" w:type="pct"/>
            <w:shd w:val="clear" w:color="auto" w:fill="auto"/>
            <w:tcMar>
              <w:top w:w="0" w:type="dxa"/>
              <w:left w:w="108" w:type="dxa"/>
              <w:bottom w:w="0" w:type="dxa"/>
              <w:right w:w="108" w:type="dxa"/>
            </w:tcMar>
            <w:vAlign w:val="center"/>
          </w:tcPr>
          <w:p w14:paraId="6FF95BD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125.62</w:t>
            </w:r>
          </w:p>
        </w:tc>
        <w:tc>
          <w:tcPr>
            <w:tcW w:w="633" w:type="pct"/>
            <w:shd w:val="clear" w:color="auto" w:fill="auto"/>
            <w:tcMar>
              <w:top w:w="0" w:type="dxa"/>
              <w:left w:w="108" w:type="dxa"/>
              <w:bottom w:w="0" w:type="dxa"/>
              <w:right w:w="108" w:type="dxa"/>
            </w:tcMar>
            <w:vAlign w:val="center"/>
          </w:tcPr>
          <w:p w14:paraId="4C45E05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1.18%</w:t>
            </w:r>
          </w:p>
        </w:tc>
      </w:tr>
      <w:tr w:rsidR="006416B0" w:rsidRPr="00B4515A" w14:paraId="5EB36CD2" w14:textId="77777777" w:rsidTr="00031627">
        <w:trPr>
          <w:trHeight w:val="340"/>
          <w:jc w:val="center"/>
        </w:trPr>
        <w:tc>
          <w:tcPr>
            <w:tcW w:w="648" w:type="pct"/>
            <w:shd w:val="clear" w:color="auto" w:fill="auto"/>
            <w:tcMar>
              <w:top w:w="0" w:type="dxa"/>
              <w:left w:w="108" w:type="dxa"/>
              <w:bottom w:w="0" w:type="dxa"/>
              <w:right w:w="108" w:type="dxa"/>
            </w:tcMar>
            <w:vAlign w:val="center"/>
          </w:tcPr>
          <w:p w14:paraId="719D268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合计</w:t>
            </w:r>
          </w:p>
        </w:tc>
        <w:tc>
          <w:tcPr>
            <w:tcW w:w="711" w:type="pct"/>
            <w:shd w:val="clear" w:color="auto" w:fill="auto"/>
            <w:tcMar>
              <w:top w:w="0" w:type="dxa"/>
              <w:left w:w="108" w:type="dxa"/>
              <w:bottom w:w="0" w:type="dxa"/>
              <w:right w:w="108" w:type="dxa"/>
            </w:tcMar>
            <w:vAlign w:val="center"/>
          </w:tcPr>
          <w:p w14:paraId="34DB733D"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3,958.06</w:t>
            </w:r>
          </w:p>
        </w:tc>
        <w:tc>
          <w:tcPr>
            <w:tcW w:w="772" w:type="pct"/>
            <w:shd w:val="clear" w:color="auto" w:fill="auto"/>
            <w:tcMar>
              <w:top w:w="0" w:type="dxa"/>
              <w:left w:w="108" w:type="dxa"/>
              <w:bottom w:w="0" w:type="dxa"/>
              <w:right w:w="108" w:type="dxa"/>
            </w:tcMar>
            <w:vAlign w:val="center"/>
          </w:tcPr>
          <w:p w14:paraId="61E0CA8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776" w:type="pct"/>
            <w:shd w:val="clear" w:color="auto" w:fill="auto"/>
            <w:tcMar>
              <w:top w:w="0" w:type="dxa"/>
              <w:left w:w="108" w:type="dxa"/>
              <w:bottom w:w="0" w:type="dxa"/>
              <w:right w:w="108" w:type="dxa"/>
            </w:tcMar>
            <w:vAlign w:val="center"/>
          </w:tcPr>
          <w:p w14:paraId="07C7191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13,456.57</w:t>
            </w:r>
          </w:p>
        </w:tc>
        <w:tc>
          <w:tcPr>
            <w:tcW w:w="772" w:type="pct"/>
            <w:shd w:val="clear" w:color="auto" w:fill="auto"/>
            <w:tcMar>
              <w:top w:w="0" w:type="dxa"/>
              <w:left w:w="108" w:type="dxa"/>
              <w:bottom w:w="0" w:type="dxa"/>
              <w:right w:w="108" w:type="dxa"/>
            </w:tcMar>
            <w:vAlign w:val="center"/>
          </w:tcPr>
          <w:p w14:paraId="7C1AD5C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89" w:type="pct"/>
            <w:shd w:val="clear" w:color="auto" w:fill="auto"/>
            <w:tcMar>
              <w:top w:w="0" w:type="dxa"/>
              <w:left w:w="108" w:type="dxa"/>
              <w:bottom w:w="0" w:type="dxa"/>
              <w:right w:w="108" w:type="dxa"/>
            </w:tcMar>
            <w:vAlign w:val="center"/>
          </w:tcPr>
          <w:p w14:paraId="2C88439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10,690.98</w:t>
            </w:r>
          </w:p>
        </w:tc>
        <w:tc>
          <w:tcPr>
            <w:tcW w:w="633" w:type="pct"/>
            <w:shd w:val="clear" w:color="auto" w:fill="auto"/>
            <w:tcMar>
              <w:top w:w="0" w:type="dxa"/>
              <w:left w:w="108" w:type="dxa"/>
              <w:bottom w:w="0" w:type="dxa"/>
              <w:right w:w="108" w:type="dxa"/>
            </w:tcMar>
            <w:vAlign w:val="center"/>
          </w:tcPr>
          <w:p w14:paraId="0296652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r>
    </w:tbl>
    <w:p w14:paraId="2462A476" w14:textId="77777777" w:rsidR="006416B0" w:rsidRPr="00B4515A" w:rsidRDefault="005E58C1" w:rsidP="003357B7">
      <w:pPr>
        <w:pStyle w:val="005"/>
        <w:spacing w:before="120" w:after="120"/>
        <w:ind w:firstLine="480"/>
      </w:pPr>
      <w:r w:rsidRPr="00B4515A">
        <w:rPr>
          <w:rFonts w:hint="eastAsia"/>
        </w:rPr>
        <w:t>报告期各期，大唐联诚研发费用分别为</w:t>
      </w:r>
      <w:r w:rsidRPr="00B4515A">
        <w:t>10,690.98</w:t>
      </w:r>
      <w:r w:rsidRPr="00B4515A">
        <w:rPr>
          <w:rFonts w:hint="eastAsia"/>
        </w:rPr>
        <w:t>万元、</w:t>
      </w:r>
      <w:r w:rsidRPr="00B4515A">
        <w:t>13,456.57</w:t>
      </w:r>
      <w:r w:rsidRPr="00B4515A">
        <w:rPr>
          <w:rFonts w:hint="eastAsia"/>
        </w:rPr>
        <w:t>万元、</w:t>
      </w:r>
      <w:r w:rsidRPr="00B4515A">
        <w:t>3,958.06</w:t>
      </w:r>
      <w:r w:rsidRPr="00B4515A">
        <w:rPr>
          <w:rFonts w:hint="eastAsia"/>
        </w:rPr>
        <w:t>万元，占当期营业收入的比例分别为</w:t>
      </w:r>
      <w:r w:rsidRPr="00B4515A">
        <w:t>29.14%</w:t>
      </w:r>
      <w:r w:rsidRPr="00B4515A">
        <w:rPr>
          <w:rFonts w:hint="eastAsia"/>
        </w:rPr>
        <w:t>、</w:t>
      </w:r>
      <w:r w:rsidRPr="00B4515A">
        <w:t>24.34%</w:t>
      </w:r>
      <w:r w:rsidRPr="00B4515A">
        <w:rPr>
          <w:rFonts w:hint="eastAsia"/>
        </w:rPr>
        <w:t>、</w:t>
      </w:r>
      <w:r w:rsidRPr="00B4515A">
        <w:t>31.02%</w:t>
      </w:r>
      <w:r w:rsidRPr="00B4515A">
        <w:rPr>
          <w:rFonts w:hint="eastAsia"/>
        </w:rPr>
        <w:t>。报告期内，大唐联诚研发费用占营业收入比例整体上升趋势。主要系大唐联诚</w:t>
      </w:r>
      <w:r w:rsidRPr="00B4515A">
        <w:t>2020</w:t>
      </w:r>
      <w:r w:rsidRPr="00B4515A">
        <w:rPr>
          <w:rFonts w:hint="eastAsia"/>
        </w:rPr>
        <w:t>年研发投入增加导致职工薪酬、外包合作费等费用增加所致。</w:t>
      </w:r>
    </w:p>
    <w:p w14:paraId="774C0A1F" w14:textId="77777777" w:rsidR="006416B0" w:rsidRPr="00B4515A" w:rsidRDefault="005E58C1" w:rsidP="003357B7">
      <w:pPr>
        <w:pStyle w:val="005"/>
        <w:spacing w:before="120" w:after="120"/>
        <w:ind w:firstLine="480"/>
        <w:rPr>
          <w:rFonts w:asciiTheme="minorEastAsia" w:hAnsiTheme="minorEastAsia"/>
        </w:rPr>
      </w:pPr>
      <w:r w:rsidRPr="00B4515A">
        <w:rPr>
          <w:rFonts w:hint="eastAsia"/>
        </w:rPr>
        <w:t>大唐联诚的研发费用主要由职工薪酬、材料费、折旧费、房屋费用、外包合</w:t>
      </w:r>
      <w:r w:rsidRPr="00B4515A">
        <w:rPr>
          <w:rFonts w:hint="eastAsia"/>
        </w:rPr>
        <w:lastRenderedPageBreak/>
        <w:t>作费、无形资产摊销等构成，上述费用在报告期各期合计金额占各期研发费用的比例分别为</w:t>
      </w:r>
      <w:r w:rsidRPr="00B4515A">
        <w:t>92.95%</w:t>
      </w:r>
      <w:r w:rsidRPr="00B4515A">
        <w:rPr>
          <w:rFonts w:hint="eastAsia"/>
        </w:rPr>
        <w:t>、</w:t>
      </w:r>
      <w:r w:rsidRPr="00B4515A">
        <w:t>94.72%</w:t>
      </w:r>
      <w:r w:rsidRPr="00B4515A">
        <w:rPr>
          <w:rFonts w:hint="eastAsia"/>
        </w:rPr>
        <w:t>、</w:t>
      </w:r>
      <w:r w:rsidRPr="00B4515A">
        <w:t>96.38%</w:t>
      </w:r>
      <w:r w:rsidRPr="00B4515A">
        <w:rPr>
          <w:rFonts w:hint="eastAsia"/>
        </w:rPr>
        <w:t>。</w:t>
      </w:r>
    </w:p>
    <w:p w14:paraId="3B2D3D80" w14:textId="77777777" w:rsidR="006416B0" w:rsidRPr="00B4515A" w:rsidRDefault="005E58C1" w:rsidP="003357B7">
      <w:pPr>
        <w:pStyle w:val="005"/>
        <w:spacing w:before="120" w:after="120"/>
        <w:ind w:firstLine="480"/>
      </w:pPr>
      <w:r w:rsidRPr="00B4515A">
        <w:rPr>
          <w:rFonts w:hint="eastAsia"/>
        </w:rPr>
        <w:t>（</w:t>
      </w:r>
      <w:r w:rsidRPr="00B4515A">
        <w:rPr>
          <w:rFonts w:hint="eastAsia"/>
        </w:rPr>
        <w:t>4</w:t>
      </w:r>
      <w:r w:rsidRPr="00B4515A">
        <w:rPr>
          <w:rFonts w:hint="eastAsia"/>
        </w:rPr>
        <w:t>）</w:t>
      </w:r>
      <w:r w:rsidRPr="00B4515A">
        <w:t>财务费用分析</w:t>
      </w:r>
    </w:p>
    <w:p w14:paraId="519D2340" w14:textId="77777777" w:rsidR="006416B0" w:rsidRPr="00B4515A" w:rsidRDefault="005E58C1" w:rsidP="003357B7">
      <w:pPr>
        <w:pStyle w:val="005"/>
        <w:spacing w:before="120" w:after="120"/>
        <w:ind w:firstLine="480"/>
      </w:pPr>
      <w:r w:rsidRPr="00B4515A">
        <w:t>报告期内，</w:t>
      </w:r>
      <w:r w:rsidRPr="00B4515A">
        <w:rPr>
          <w:rFonts w:hint="eastAsia"/>
        </w:rPr>
        <w:t>大唐联诚</w:t>
      </w:r>
      <w:r w:rsidRPr="00B4515A">
        <w:t>财务费用明细如下：</w:t>
      </w:r>
    </w:p>
    <w:p w14:paraId="145E4098"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701"/>
        <w:gridCol w:w="2017"/>
        <w:gridCol w:w="2405"/>
        <w:gridCol w:w="2405"/>
      </w:tblGrid>
      <w:tr w:rsidR="006416B0" w:rsidRPr="00B4515A" w14:paraId="6F396CB3" w14:textId="77777777" w:rsidTr="00031627">
        <w:trPr>
          <w:trHeight w:val="340"/>
          <w:jc w:val="center"/>
        </w:trPr>
        <w:tc>
          <w:tcPr>
            <w:tcW w:w="997" w:type="pct"/>
            <w:shd w:val="clear" w:color="auto" w:fill="auto"/>
            <w:tcMar>
              <w:top w:w="0" w:type="dxa"/>
              <w:left w:w="108" w:type="dxa"/>
              <w:bottom w:w="0" w:type="dxa"/>
              <w:right w:w="108" w:type="dxa"/>
            </w:tcMar>
            <w:vAlign w:val="center"/>
          </w:tcPr>
          <w:p w14:paraId="7EE0C1BC"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项目</w:t>
            </w:r>
          </w:p>
        </w:tc>
        <w:tc>
          <w:tcPr>
            <w:tcW w:w="1182" w:type="pct"/>
            <w:shd w:val="clear" w:color="auto" w:fill="auto"/>
            <w:tcMar>
              <w:top w:w="0" w:type="dxa"/>
              <w:left w:w="108" w:type="dxa"/>
              <w:bottom w:w="0" w:type="dxa"/>
              <w:right w:w="108" w:type="dxa"/>
            </w:tcMar>
            <w:vAlign w:val="center"/>
          </w:tcPr>
          <w:p w14:paraId="0F75442F"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2021</w:t>
            </w:r>
            <w:r w:rsidRPr="00B4515A">
              <w:rPr>
                <w:rFonts w:ascii="Times New Roman" w:eastAsiaTheme="minorEastAsia" w:cs="Times New Roman"/>
                <w:b/>
                <w:bCs/>
                <w:color w:val="000000"/>
                <w:sz w:val="21"/>
                <w:szCs w:val="21"/>
              </w:rPr>
              <w:t>年</w:t>
            </w:r>
            <w:r w:rsidRPr="00B4515A">
              <w:rPr>
                <w:rFonts w:ascii="Times New Roman" w:eastAsiaTheme="minorEastAsia" w:cs="Times New Roman"/>
                <w:b/>
                <w:bCs/>
                <w:color w:val="000000"/>
                <w:sz w:val="21"/>
                <w:szCs w:val="21"/>
              </w:rPr>
              <w:t>1-4</w:t>
            </w:r>
            <w:r w:rsidRPr="00B4515A">
              <w:rPr>
                <w:rFonts w:ascii="Times New Roman" w:eastAsiaTheme="minorEastAsia" w:cs="Times New Roman"/>
                <w:b/>
                <w:bCs/>
                <w:color w:val="000000"/>
                <w:sz w:val="21"/>
                <w:szCs w:val="21"/>
              </w:rPr>
              <w:t>月</w:t>
            </w:r>
          </w:p>
        </w:tc>
        <w:tc>
          <w:tcPr>
            <w:tcW w:w="1410" w:type="pct"/>
            <w:shd w:val="clear" w:color="auto" w:fill="auto"/>
            <w:tcMar>
              <w:top w:w="0" w:type="dxa"/>
              <w:left w:w="108" w:type="dxa"/>
              <w:bottom w:w="0" w:type="dxa"/>
              <w:right w:w="108" w:type="dxa"/>
            </w:tcMar>
            <w:vAlign w:val="center"/>
          </w:tcPr>
          <w:p w14:paraId="20C56E5B"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2020</w:t>
            </w:r>
            <w:r w:rsidRPr="00B4515A">
              <w:rPr>
                <w:rFonts w:ascii="Times New Roman" w:eastAsiaTheme="minorEastAsia" w:cs="Times New Roman"/>
                <w:b/>
                <w:bCs/>
                <w:color w:val="000000"/>
                <w:sz w:val="21"/>
                <w:szCs w:val="21"/>
              </w:rPr>
              <w:t>年度</w:t>
            </w:r>
          </w:p>
        </w:tc>
        <w:tc>
          <w:tcPr>
            <w:tcW w:w="1410" w:type="pct"/>
            <w:shd w:val="clear" w:color="auto" w:fill="auto"/>
            <w:tcMar>
              <w:top w:w="0" w:type="dxa"/>
              <w:left w:w="108" w:type="dxa"/>
              <w:bottom w:w="0" w:type="dxa"/>
              <w:right w:w="108" w:type="dxa"/>
            </w:tcMar>
            <w:vAlign w:val="center"/>
          </w:tcPr>
          <w:p w14:paraId="51276423"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2019</w:t>
            </w:r>
            <w:r w:rsidRPr="00B4515A">
              <w:rPr>
                <w:rFonts w:ascii="Times New Roman" w:eastAsiaTheme="minorEastAsia" w:cs="Times New Roman"/>
                <w:b/>
                <w:bCs/>
                <w:color w:val="000000"/>
                <w:sz w:val="21"/>
                <w:szCs w:val="21"/>
              </w:rPr>
              <w:t>年度</w:t>
            </w:r>
          </w:p>
        </w:tc>
      </w:tr>
      <w:tr w:rsidR="006416B0" w:rsidRPr="00B4515A" w14:paraId="688E4247" w14:textId="77777777" w:rsidTr="00031627">
        <w:trPr>
          <w:trHeight w:val="340"/>
          <w:jc w:val="center"/>
        </w:trPr>
        <w:tc>
          <w:tcPr>
            <w:tcW w:w="997" w:type="pct"/>
            <w:shd w:val="clear" w:color="auto" w:fill="auto"/>
            <w:tcMar>
              <w:top w:w="0" w:type="dxa"/>
              <w:left w:w="108" w:type="dxa"/>
              <w:bottom w:w="0" w:type="dxa"/>
              <w:right w:w="108" w:type="dxa"/>
            </w:tcMar>
            <w:vAlign w:val="center"/>
          </w:tcPr>
          <w:p w14:paraId="090C1501"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利息费用</w:t>
            </w:r>
          </w:p>
        </w:tc>
        <w:tc>
          <w:tcPr>
            <w:tcW w:w="1182" w:type="pct"/>
            <w:shd w:val="clear" w:color="auto" w:fill="auto"/>
            <w:tcMar>
              <w:top w:w="0" w:type="dxa"/>
              <w:left w:w="108" w:type="dxa"/>
              <w:bottom w:w="0" w:type="dxa"/>
              <w:right w:w="108" w:type="dxa"/>
            </w:tcMar>
            <w:vAlign w:val="center"/>
          </w:tcPr>
          <w:p w14:paraId="2F8E722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242.96</w:t>
            </w:r>
          </w:p>
        </w:tc>
        <w:tc>
          <w:tcPr>
            <w:tcW w:w="1410" w:type="pct"/>
            <w:shd w:val="clear" w:color="auto" w:fill="auto"/>
            <w:tcMar>
              <w:top w:w="0" w:type="dxa"/>
              <w:left w:w="108" w:type="dxa"/>
              <w:bottom w:w="0" w:type="dxa"/>
              <w:right w:w="108" w:type="dxa"/>
            </w:tcMar>
            <w:vAlign w:val="center"/>
          </w:tcPr>
          <w:p w14:paraId="06BDEAC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2,415.09</w:t>
            </w:r>
          </w:p>
        </w:tc>
        <w:tc>
          <w:tcPr>
            <w:tcW w:w="1410" w:type="pct"/>
            <w:shd w:val="clear" w:color="auto" w:fill="auto"/>
            <w:tcMar>
              <w:top w:w="0" w:type="dxa"/>
              <w:left w:w="108" w:type="dxa"/>
              <w:bottom w:w="0" w:type="dxa"/>
              <w:right w:w="108" w:type="dxa"/>
            </w:tcMar>
            <w:vAlign w:val="center"/>
          </w:tcPr>
          <w:p w14:paraId="3EE4BF5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1,991.01</w:t>
            </w:r>
          </w:p>
        </w:tc>
      </w:tr>
      <w:tr w:rsidR="006416B0" w:rsidRPr="00B4515A" w14:paraId="41F24D17" w14:textId="77777777" w:rsidTr="00031627">
        <w:trPr>
          <w:trHeight w:val="340"/>
          <w:jc w:val="center"/>
        </w:trPr>
        <w:tc>
          <w:tcPr>
            <w:tcW w:w="997" w:type="pct"/>
            <w:shd w:val="clear" w:color="auto" w:fill="auto"/>
            <w:tcMar>
              <w:top w:w="0" w:type="dxa"/>
              <w:left w:w="108" w:type="dxa"/>
              <w:bottom w:w="0" w:type="dxa"/>
              <w:right w:w="108" w:type="dxa"/>
            </w:tcMar>
            <w:vAlign w:val="center"/>
          </w:tcPr>
          <w:p w14:paraId="3491826C"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其中：租赁负债利息费用</w:t>
            </w:r>
          </w:p>
        </w:tc>
        <w:tc>
          <w:tcPr>
            <w:tcW w:w="1182" w:type="pct"/>
            <w:shd w:val="clear" w:color="auto" w:fill="auto"/>
            <w:tcMar>
              <w:top w:w="0" w:type="dxa"/>
              <w:left w:w="108" w:type="dxa"/>
              <w:bottom w:w="0" w:type="dxa"/>
              <w:right w:w="108" w:type="dxa"/>
            </w:tcMar>
            <w:vAlign w:val="center"/>
          </w:tcPr>
          <w:p w14:paraId="4D4540E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13.16</w:t>
            </w:r>
          </w:p>
        </w:tc>
        <w:tc>
          <w:tcPr>
            <w:tcW w:w="1410" w:type="pct"/>
            <w:shd w:val="clear" w:color="auto" w:fill="auto"/>
            <w:tcMar>
              <w:top w:w="0" w:type="dxa"/>
              <w:left w:w="108" w:type="dxa"/>
              <w:bottom w:w="0" w:type="dxa"/>
              <w:right w:w="108" w:type="dxa"/>
            </w:tcMar>
            <w:vAlign w:val="center"/>
          </w:tcPr>
          <w:p w14:paraId="74D7A552" w14:textId="2148ECCE" w:rsidR="006416B0" w:rsidRPr="00B4515A" w:rsidRDefault="00DA4832"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w:t>
            </w:r>
          </w:p>
        </w:tc>
        <w:tc>
          <w:tcPr>
            <w:tcW w:w="1410" w:type="pct"/>
            <w:shd w:val="clear" w:color="auto" w:fill="auto"/>
            <w:tcMar>
              <w:top w:w="0" w:type="dxa"/>
              <w:left w:w="108" w:type="dxa"/>
              <w:bottom w:w="0" w:type="dxa"/>
              <w:right w:w="108" w:type="dxa"/>
            </w:tcMar>
            <w:vAlign w:val="center"/>
          </w:tcPr>
          <w:p w14:paraId="0FEE3EF7" w14:textId="045F5615" w:rsidR="006416B0" w:rsidRPr="00B4515A" w:rsidRDefault="00DA4832"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w:t>
            </w:r>
          </w:p>
        </w:tc>
      </w:tr>
      <w:tr w:rsidR="006416B0" w:rsidRPr="00B4515A" w14:paraId="5346F33C" w14:textId="77777777" w:rsidTr="00031627">
        <w:trPr>
          <w:trHeight w:val="340"/>
          <w:jc w:val="center"/>
        </w:trPr>
        <w:tc>
          <w:tcPr>
            <w:tcW w:w="997" w:type="pct"/>
            <w:shd w:val="clear" w:color="auto" w:fill="auto"/>
            <w:tcMar>
              <w:top w:w="0" w:type="dxa"/>
              <w:left w:w="108" w:type="dxa"/>
              <w:bottom w:w="0" w:type="dxa"/>
              <w:right w:w="108" w:type="dxa"/>
            </w:tcMar>
            <w:vAlign w:val="center"/>
          </w:tcPr>
          <w:p w14:paraId="07845083"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减：利息收入</w:t>
            </w:r>
          </w:p>
        </w:tc>
        <w:tc>
          <w:tcPr>
            <w:tcW w:w="1182" w:type="pct"/>
            <w:shd w:val="clear" w:color="auto" w:fill="auto"/>
            <w:tcMar>
              <w:top w:w="0" w:type="dxa"/>
              <w:left w:w="108" w:type="dxa"/>
              <w:bottom w:w="0" w:type="dxa"/>
              <w:right w:w="108" w:type="dxa"/>
            </w:tcMar>
            <w:vAlign w:val="center"/>
          </w:tcPr>
          <w:p w14:paraId="7A116D4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18.84</w:t>
            </w:r>
          </w:p>
        </w:tc>
        <w:tc>
          <w:tcPr>
            <w:tcW w:w="1410" w:type="pct"/>
            <w:shd w:val="clear" w:color="auto" w:fill="auto"/>
            <w:tcMar>
              <w:top w:w="0" w:type="dxa"/>
              <w:left w:w="108" w:type="dxa"/>
              <w:bottom w:w="0" w:type="dxa"/>
              <w:right w:w="108" w:type="dxa"/>
            </w:tcMar>
            <w:vAlign w:val="center"/>
          </w:tcPr>
          <w:p w14:paraId="099B40A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32.33</w:t>
            </w:r>
          </w:p>
        </w:tc>
        <w:tc>
          <w:tcPr>
            <w:tcW w:w="1410" w:type="pct"/>
            <w:shd w:val="clear" w:color="auto" w:fill="auto"/>
            <w:tcMar>
              <w:top w:w="0" w:type="dxa"/>
              <w:left w:w="108" w:type="dxa"/>
              <w:bottom w:w="0" w:type="dxa"/>
              <w:right w:w="108" w:type="dxa"/>
            </w:tcMar>
            <w:vAlign w:val="center"/>
          </w:tcPr>
          <w:p w14:paraId="240AF43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13.12</w:t>
            </w:r>
          </w:p>
        </w:tc>
      </w:tr>
      <w:tr w:rsidR="006416B0" w:rsidRPr="00B4515A" w14:paraId="0A1569E1" w14:textId="77777777" w:rsidTr="00031627">
        <w:trPr>
          <w:trHeight w:val="340"/>
          <w:jc w:val="center"/>
        </w:trPr>
        <w:tc>
          <w:tcPr>
            <w:tcW w:w="997" w:type="pct"/>
            <w:shd w:val="clear" w:color="auto" w:fill="auto"/>
            <w:tcMar>
              <w:top w:w="0" w:type="dxa"/>
              <w:left w:w="108" w:type="dxa"/>
              <w:bottom w:w="0" w:type="dxa"/>
              <w:right w:w="108" w:type="dxa"/>
            </w:tcMar>
            <w:vAlign w:val="center"/>
          </w:tcPr>
          <w:p w14:paraId="63EE332A"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其他</w:t>
            </w:r>
          </w:p>
        </w:tc>
        <w:tc>
          <w:tcPr>
            <w:tcW w:w="1182" w:type="pct"/>
            <w:shd w:val="clear" w:color="auto" w:fill="auto"/>
            <w:tcMar>
              <w:top w:w="0" w:type="dxa"/>
              <w:left w:w="108" w:type="dxa"/>
              <w:bottom w:w="0" w:type="dxa"/>
              <w:right w:w="108" w:type="dxa"/>
            </w:tcMar>
            <w:vAlign w:val="center"/>
          </w:tcPr>
          <w:p w14:paraId="442DC17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1.85</w:t>
            </w:r>
          </w:p>
        </w:tc>
        <w:tc>
          <w:tcPr>
            <w:tcW w:w="1410" w:type="pct"/>
            <w:shd w:val="clear" w:color="auto" w:fill="auto"/>
            <w:tcMar>
              <w:top w:w="0" w:type="dxa"/>
              <w:left w:w="108" w:type="dxa"/>
              <w:bottom w:w="0" w:type="dxa"/>
              <w:right w:w="108" w:type="dxa"/>
            </w:tcMar>
            <w:vAlign w:val="center"/>
          </w:tcPr>
          <w:p w14:paraId="2A6347E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10.39</w:t>
            </w:r>
          </w:p>
        </w:tc>
        <w:tc>
          <w:tcPr>
            <w:tcW w:w="1410" w:type="pct"/>
            <w:shd w:val="clear" w:color="auto" w:fill="auto"/>
            <w:tcMar>
              <w:top w:w="0" w:type="dxa"/>
              <w:left w:w="108" w:type="dxa"/>
              <w:bottom w:w="0" w:type="dxa"/>
              <w:right w:w="108" w:type="dxa"/>
            </w:tcMar>
            <w:vAlign w:val="center"/>
          </w:tcPr>
          <w:p w14:paraId="3DCA045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5.82</w:t>
            </w:r>
          </w:p>
        </w:tc>
      </w:tr>
      <w:tr w:rsidR="006416B0" w:rsidRPr="00B4515A" w14:paraId="415F364A" w14:textId="77777777" w:rsidTr="00031627">
        <w:trPr>
          <w:trHeight w:val="340"/>
          <w:jc w:val="center"/>
        </w:trPr>
        <w:tc>
          <w:tcPr>
            <w:tcW w:w="997" w:type="pct"/>
            <w:shd w:val="clear" w:color="auto" w:fill="auto"/>
            <w:tcMar>
              <w:top w:w="0" w:type="dxa"/>
              <w:left w:w="108" w:type="dxa"/>
              <w:bottom w:w="0" w:type="dxa"/>
              <w:right w:w="108" w:type="dxa"/>
            </w:tcMar>
            <w:vAlign w:val="center"/>
          </w:tcPr>
          <w:p w14:paraId="728BA245"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合计</w:t>
            </w:r>
          </w:p>
        </w:tc>
        <w:tc>
          <w:tcPr>
            <w:tcW w:w="1182" w:type="pct"/>
            <w:shd w:val="clear" w:color="auto" w:fill="auto"/>
            <w:tcMar>
              <w:top w:w="0" w:type="dxa"/>
              <w:left w:w="108" w:type="dxa"/>
              <w:bottom w:w="0" w:type="dxa"/>
              <w:right w:w="108" w:type="dxa"/>
            </w:tcMar>
            <w:vAlign w:val="center"/>
          </w:tcPr>
          <w:p w14:paraId="71DD207B"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225.97</w:t>
            </w:r>
          </w:p>
        </w:tc>
        <w:tc>
          <w:tcPr>
            <w:tcW w:w="1410" w:type="pct"/>
            <w:shd w:val="clear" w:color="auto" w:fill="auto"/>
            <w:tcMar>
              <w:top w:w="0" w:type="dxa"/>
              <w:left w:w="108" w:type="dxa"/>
              <w:bottom w:w="0" w:type="dxa"/>
              <w:right w:w="108" w:type="dxa"/>
            </w:tcMar>
            <w:vAlign w:val="center"/>
          </w:tcPr>
          <w:p w14:paraId="4B3412C8"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2,393.15</w:t>
            </w:r>
          </w:p>
        </w:tc>
        <w:tc>
          <w:tcPr>
            <w:tcW w:w="1410" w:type="pct"/>
            <w:shd w:val="clear" w:color="auto" w:fill="auto"/>
            <w:tcMar>
              <w:top w:w="0" w:type="dxa"/>
              <w:left w:w="108" w:type="dxa"/>
              <w:bottom w:w="0" w:type="dxa"/>
              <w:right w:w="108" w:type="dxa"/>
            </w:tcMar>
            <w:vAlign w:val="center"/>
          </w:tcPr>
          <w:p w14:paraId="27C1657D"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1,983.71</w:t>
            </w:r>
          </w:p>
        </w:tc>
      </w:tr>
    </w:tbl>
    <w:p w14:paraId="7CB29277" w14:textId="77777777" w:rsidR="006416B0" w:rsidRPr="00B4515A" w:rsidRDefault="005E58C1" w:rsidP="003357B7">
      <w:pPr>
        <w:pStyle w:val="005"/>
        <w:spacing w:before="120" w:after="120"/>
        <w:ind w:firstLine="480"/>
        <w:rPr>
          <w:rFonts w:asciiTheme="minorEastAsia" w:hAnsiTheme="minorEastAsia"/>
        </w:rPr>
      </w:pPr>
      <w:r w:rsidRPr="00B4515A">
        <w:rPr>
          <w:rFonts w:hint="eastAsia"/>
        </w:rPr>
        <w:t>大唐联诚财务费用主要由利息支出、手续费及其他构成。报告期各期，大唐联诚财务费用分别为</w:t>
      </w:r>
      <w:r w:rsidRPr="00B4515A">
        <w:t>1,983.71</w:t>
      </w:r>
      <w:r w:rsidRPr="00B4515A">
        <w:rPr>
          <w:rFonts w:hint="eastAsia"/>
        </w:rPr>
        <w:t>万元、</w:t>
      </w:r>
      <w:r w:rsidRPr="00B4515A">
        <w:t>2,393.15</w:t>
      </w:r>
      <w:r w:rsidRPr="00B4515A">
        <w:rPr>
          <w:rFonts w:hint="eastAsia"/>
        </w:rPr>
        <w:t>万元、</w:t>
      </w:r>
      <w:r w:rsidRPr="00B4515A">
        <w:t>225.97</w:t>
      </w:r>
      <w:r w:rsidRPr="00B4515A">
        <w:rPr>
          <w:rFonts w:hint="eastAsia"/>
        </w:rPr>
        <w:t>万元，报告期内大唐联诚财务费用呈下降趋势，主要系大唐联诚通过债转股、偿还银行借款，导致利息费用降低所致</w:t>
      </w:r>
      <w:r w:rsidRPr="00B4515A">
        <w:rPr>
          <w:rFonts w:asciiTheme="minorEastAsia" w:hAnsiTheme="minorEastAsia" w:hint="eastAsia"/>
        </w:rPr>
        <w:t>。</w:t>
      </w:r>
    </w:p>
    <w:p w14:paraId="69A9DA69" w14:textId="77777777" w:rsidR="006416B0" w:rsidRPr="00B4515A" w:rsidRDefault="005E58C1" w:rsidP="003357B7">
      <w:pPr>
        <w:pStyle w:val="004"/>
        <w:spacing w:before="120" w:after="120"/>
        <w:ind w:firstLine="482"/>
      </w:pPr>
      <w:r w:rsidRPr="00B4515A">
        <w:rPr>
          <w:rFonts w:hint="eastAsia"/>
        </w:rPr>
        <w:t>5</w:t>
      </w:r>
      <w:r w:rsidRPr="00B4515A">
        <w:rPr>
          <w:rFonts w:hint="eastAsia"/>
        </w:rPr>
        <w:t>、</w:t>
      </w:r>
      <w:r w:rsidRPr="00B4515A">
        <w:t>税金及附加分析</w:t>
      </w:r>
    </w:p>
    <w:p w14:paraId="342CDFA9" w14:textId="77777777" w:rsidR="006416B0" w:rsidRPr="00B4515A" w:rsidRDefault="005E58C1" w:rsidP="003357B7">
      <w:pPr>
        <w:pStyle w:val="005"/>
        <w:spacing w:before="120" w:after="120"/>
        <w:ind w:firstLine="480"/>
      </w:pPr>
      <w:r w:rsidRPr="00B4515A">
        <w:t>报告期内，</w:t>
      </w:r>
      <w:r w:rsidRPr="00B4515A">
        <w:rPr>
          <w:rFonts w:hint="eastAsia"/>
        </w:rPr>
        <w:t>大唐联诚</w:t>
      </w:r>
      <w:r w:rsidRPr="00B4515A">
        <w:t>税金及附加明细如下：</w:t>
      </w:r>
    </w:p>
    <w:p w14:paraId="388D375A"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4A3880AA"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1C91532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250" w:type="pct"/>
            <w:shd w:val="clear" w:color="auto" w:fill="auto"/>
            <w:tcMar>
              <w:top w:w="0" w:type="dxa"/>
              <w:left w:w="108" w:type="dxa"/>
              <w:bottom w:w="0" w:type="dxa"/>
              <w:right w:w="108" w:type="dxa"/>
            </w:tcMar>
            <w:vAlign w:val="center"/>
          </w:tcPr>
          <w:p w14:paraId="0E31039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1250" w:type="pct"/>
            <w:shd w:val="clear" w:color="auto" w:fill="auto"/>
            <w:tcMar>
              <w:top w:w="0" w:type="dxa"/>
              <w:left w:w="108" w:type="dxa"/>
              <w:bottom w:w="0" w:type="dxa"/>
              <w:right w:w="108" w:type="dxa"/>
            </w:tcMar>
            <w:vAlign w:val="center"/>
          </w:tcPr>
          <w:p w14:paraId="0963D00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年度</w:t>
            </w:r>
          </w:p>
        </w:tc>
        <w:tc>
          <w:tcPr>
            <w:tcW w:w="1250" w:type="pct"/>
            <w:shd w:val="clear" w:color="auto" w:fill="auto"/>
            <w:tcMar>
              <w:top w:w="0" w:type="dxa"/>
              <w:left w:w="108" w:type="dxa"/>
              <w:bottom w:w="0" w:type="dxa"/>
              <w:right w:w="108" w:type="dxa"/>
            </w:tcMar>
            <w:vAlign w:val="center"/>
          </w:tcPr>
          <w:p w14:paraId="5530BFB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hint="eastAsia"/>
                <w:b/>
                <w:bCs/>
                <w:color w:val="000000"/>
                <w:sz w:val="21"/>
                <w:szCs w:val="21"/>
              </w:rPr>
              <w:t>年度</w:t>
            </w:r>
          </w:p>
        </w:tc>
      </w:tr>
      <w:tr w:rsidR="006416B0" w:rsidRPr="00B4515A" w14:paraId="154978EC"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74ACCCC7"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城市维护建设税</w:t>
            </w:r>
          </w:p>
        </w:tc>
        <w:tc>
          <w:tcPr>
            <w:tcW w:w="1250" w:type="pct"/>
            <w:shd w:val="clear" w:color="auto" w:fill="auto"/>
            <w:tcMar>
              <w:top w:w="0" w:type="dxa"/>
              <w:left w:w="108" w:type="dxa"/>
              <w:bottom w:w="0" w:type="dxa"/>
              <w:right w:w="108" w:type="dxa"/>
            </w:tcMar>
            <w:vAlign w:val="center"/>
          </w:tcPr>
          <w:p w14:paraId="2438D20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42.56</w:t>
            </w:r>
          </w:p>
        </w:tc>
        <w:tc>
          <w:tcPr>
            <w:tcW w:w="1250" w:type="pct"/>
            <w:shd w:val="clear" w:color="auto" w:fill="auto"/>
            <w:tcMar>
              <w:top w:w="0" w:type="dxa"/>
              <w:left w:w="108" w:type="dxa"/>
              <w:bottom w:w="0" w:type="dxa"/>
              <w:right w:w="108" w:type="dxa"/>
            </w:tcMar>
            <w:vAlign w:val="center"/>
          </w:tcPr>
          <w:p w14:paraId="32DE010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180.11</w:t>
            </w:r>
          </w:p>
        </w:tc>
        <w:tc>
          <w:tcPr>
            <w:tcW w:w="1250" w:type="pct"/>
            <w:shd w:val="clear" w:color="auto" w:fill="auto"/>
            <w:tcMar>
              <w:top w:w="0" w:type="dxa"/>
              <w:left w:w="108" w:type="dxa"/>
              <w:bottom w:w="0" w:type="dxa"/>
              <w:right w:w="108" w:type="dxa"/>
            </w:tcMar>
            <w:vAlign w:val="center"/>
          </w:tcPr>
          <w:p w14:paraId="09DA430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176.49</w:t>
            </w:r>
          </w:p>
        </w:tc>
      </w:tr>
      <w:tr w:rsidR="006416B0" w:rsidRPr="00B4515A" w14:paraId="2B657C0C"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3EB0BD5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教育费附加</w:t>
            </w:r>
          </w:p>
        </w:tc>
        <w:tc>
          <w:tcPr>
            <w:tcW w:w="1250" w:type="pct"/>
            <w:shd w:val="clear" w:color="auto" w:fill="auto"/>
            <w:tcMar>
              <w:top w:w="0" w:type="dxa"/>
              <w:left w:w="108" w:type="dxa"/>
              <w:bottom w:w="0" w:type="dxa"/>
              <w:right w:w="108" w:type="dxa"/>
            </w:tcMar>
            <w:vAlign w:val="center"/>
          </w:tcPr>
          <w:p w14:paraId="1D5D8B8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18.24</w:t>
            </w:r>
          </w:p>
        </w:tc>
        <w:tc>
          <w:tcPr>
            <w:tcW w:w="1250" w:type="pct"/>
            <w:shd w:val="clear" w:color="auto" w:fill="auto"/>
            <w:tcMar>
              <w:top w:w="0" w:type="dxa"/>
              <w:left w:w="108" w:type="dxa"/>
              <w:bottom w:w="0" w:type="dxa"/>
              <w:right w:w="108" w:type="dxa"/>
            </w:tcMar>
            <w:vAlign w:val="center"/>
          </w:tcPr>
          <w:p w14:paraId="28BD8AD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78.37</w:t>
            </w:r>
          </w:p>
        </w:tc>
        <w:tc>
          <w:tcPr>
            <w:tcW w:w="1250" w:type="pct"/>
            <w:shd w:val="clear" w:color="auto" w:fill="auto"/>
            <w:tcMar>
              <w:top w:w="0" w:type="dxa"/>
              <w:left w:w="108" w:type="dxa"/>
              <w:bottom w:w="0" w:type="dxa"/>
              <w:right w:w="108" w:type="dxa"/>
            </w:tcMar>
            <w:vAlign w:val="center"/>
          </w:tcPr>
          <w:p w14:paraId="0A85003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74.67</w:t>
            </w:r>
          </w:p>
        </w:tc>
      </w:tr>
      <w:tr w:rsidR="006416B0" w:rsidRPr="00B4515A" w14:paraId="6D2DB3B5"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6F5491D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地方教育费附加</w:t>
            </w:r>
          </w:p>
        </w:tc>
        <w:tc>
          <w:tcPr>
            <w:tcW w:w="1250" w:type="pct"/>
            <w:shd w:val="clear" w:color="auto" w:fill="auto"/>
            <w:tcMar>
              <w:top w:w="0" w:type="dxa"/>
              <w:left w:w="108" w:type="dxa"/>
              <w:bottom w:w="0" w:type="dxa"/>
              <w:right w:w="108" w:type="dxa"/>
            </w:tcMar>
            <w:vAlign w:val="center"/>
          </w:tcPr>
          <w:p w14:paraId="1A6B581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12.16</w:t>
            </w:r>
          </w:p>
        </w:tc>
        <w:tc>
          <w:tcPr>
            <w:tcW w:w="1250" w:type="pct"/>
            <w:shd w:val="clear" w:color="auto" w:fill="auto"/>
            <w:tcMar>
              <w:top w:w="0" w:type="dxa"/>
              <w:left w:w="108" w:type="dxa"/>
              <w:bottom w:w="0" w:type="dxa"/>
              <w:right w:w="108" w:type="dxa"/>
            </w:tcMar>
            <w:vAlign w:val="center"/>
          </w:tcPr>
          <w:p w14:paraId="231E6D4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51.07</w:t>
            </w:r>
          </w:p>
        </w:tc>
        <w:tc>
          <w:tcPr>
            <w:tcW w:w="1250" w:type="pct"/>
            <w:shd w:val="clear" w:color="auto" w:fill="auto"/>
            <w:tcMar>
              <w:top w:w="0" w:type="dxa"/>
              <w:left w:w="108" w:type="dxa"/>
              <w:bottom w:w="0" w:type="dxa"/>
              <w:right w:w="108" w:type="dxa"/>
            </w:tcMar>
            <w:vAlign w:val="center"/>
          </w:tcPr>
          <w:p w14:paraId="6153F6B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49.78</w:t>
            </w:r>
          </w:p>
        </w:tc>
      </w:tr>
      <w:tr w:rsidR="006416B0" w:rsidRPr="00B4515A" w14:paraId="10F4ABCB"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0D541B0C"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车船使用税</w:t>
            </w:r>
          </w:p>
        </w:tc>
        <w:tc>
          <w:tcPr>
            <w:tcW w:w="1250" w:type="pct"/>
            <w:shd w:val="clear" w:color="auto" w:fill="auto"/>
            <w:tcMar>
              <w:top w:w="0" w:type="dxa"/>
              <w:left w:w="108" w:type="dxa"/>
              <w:bottom w:w="0" w:type="dxa"/>
              <w:right w:w="108" w:type="dxa"/>
            </w:tcMar>
            <w:vAlign w:val="center"/>
          </w:tcPr>
          <w:p w14:paraId="6E9E4B3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0.37</w:t>
            </w:r>
          </w:p>
        </w:tc>
        <w:tc>
          <w:tcPr>
            <w:tcW w:w="1250" w:type="pct"/>
            <w:shd w:val="clear" w:color="auto" w:fill="auto"/>
            <w:tcMar>
              <w:top w:w="0" w:type="dxa"/>
              <w:left w:w="108" w:type="dxa"/>
              <w:bottom w:w="0" w:type="dxa"/>
              <w:right w:w="108" w:type="dxa"/>
            </w:tcMar>
            <w:vAlign w:val="center"/>
          </w:tcPr>
          <w:p w14:paraId="49B93F9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0.57</w:t>
            </w:r>
          </w:p>
        </w:tc>
        <w:tc>
          <w:tcPr>
            <w:tcW w:w="1250" w:type="pct"/>
            <w:shd w:val="clear" w:color="auto" w:fill="auto"/>
            <w:tcMar>
              <w:top w:w="0" w:type="dxa"/>
              <w:left w:w="108" w:type="dxa"/>
              <w:bottom w:w="0" w:type="dxa"/>
              <w:right w:w="108" w:type="dxa"/>
            </w:tcMar>
            <w:vAlign w:val="center"/>
          </w:tcPr>
          <w:p w14:paraId="62CA964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0.89</w:t>
            </w:r>
          </w:p>
        </w:tc>
      </w:tr>
      <w:tr w:rsidR="006416B0" w:rsidRPr="00B4515A" w14:paraId="49435306"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156F377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w:t>
            </w:r>
          </w:p>
        </w:tc>
        <w:tc>
          <w:tcPr>
            <w:tcW w:w="1250" w:type="pct"/>
            <w:shd w:val="clear" w:color="auto" w:fill="auto"/>
            <w:tcMar>
              <w:top w:w="0" w:type="dxa"/>
              <w:left w:w="108" w:type="dxa"/>
              <w:bottom w:w="0" w:type="dxa"/>
              <w:right w:w="108" w:type="dxa"/>
            </w:tcMar>
            <w:vAlign w:val="center"/>
          </w:tcPr>
          <w:p w14:paraId="66B02E0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18.67</w:t>
            </w:r>
          </w:p>
        </w:tc>
        <w:tc>
          <w:tcPr>
            <w:tcW w:w="1250" w:type="pct"/>
            <w:shd w:val="clear" w:color="auto" w:fill="auto"/>
            <w:tcMar>
              <w:top w:w="0" w:type="dxa"/>
              <w:left w:w="108" w:type="dxa"/>
              <w:bottom w:w="0" w:type="dxa"/>
              <w:right w:w="108" w:type="dxa"/>
            </w:tcMar>
            <w:vAlign w:val="center"/>
          </w:tcPr>
          <w:p w14:paraId="0FE2427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21.31</w:t>
            </w:r>
          </w:p>
        </w:tc>
        <w:tc>
          <w:tcPr>
            <w:tcW w:w="1250" w:type="pct"/>
            <w:shd w:val="clear" w:color="auto" w:fill="auto"/>
            <w:tcMar>
              <w:top w:w="0" w:type="dxa"/>
              <w:left w:w="108" w:type="dxa"/>
              <w:bottom w:w="0" w:type="dxa"/>
              <w:right w:w="108" w:type="dxa"/>
            </w:tcMar>
            <w:vAlign w:val="center"/>
          </w:tcPr>
          <w:p w14:paraId="761CC87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hAnsi="Times New Roman" w:cs="Times New Roman"/>
                <w:color w:val="000000"/>
                <w:sz w:val="21"/>
                <w:szCs w:val="21"/>
              </w:rPr>
              <w:t>12.68</w:t>
            </w:r>
          </w:p>
        </w:tc>
      </w:tr>
      <w:tr w:rsidR="006416B0" w:rsidRPr="00B4515A" w14:paraId="25EF8318"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36D4E645" w14:textId="77777777" w:rsidR="006416B0" w:rsidRPr="00B4515A" w:rsidRDefault="005E58C1" w:rsidP="005860B4">
            <w:pPr>
              <w:adjustRightInd w:val="0"/>
              <w:snapToGrid w:val="0"/>
              <w:jc w:val="center"/>
              <w:rPr>
                <w:rFonts w:ascii="Times New Roman" w:eastAsiaTheme="minorEastAsia" w:hAnsi="Times New Roman" w:cs="Times New Roman"/>
                <w:b/>
                <w:color w:val="000000"/>
                <w:sz w:val="21"/>
                <w:szCs w:val="21"/>
              </w:rPr>
            </w:pPr>
            <w:r w:rsidRPr="00B4515A">
              <w:rPr>
                <w:rFonts w:ascii="Times New Roman" w:eastAsiaTheme="minorEastAsia" w:hAnsi="Times New Roman" w:cs="Times New Roman" w:hint="eastAsia"/>
                <w:b/>
                <w:color w:val="000000"/>
                <w:sz w:val="21"/>
                <w:szCs w:val="21"/>
              </w:rPr>
              <w:t>合计</w:t>
            </w:r>
          </w:p>
        </w:tc>
        <w:tc>
          <w:tcPr>
            <w:tcW w:w="1250" w:type="pct"/>
            <w:shd w:val="clear" w:color="auto" w:fill="auto"/>
            <w:tcMar>
              <w:top w:w="0" w:type="dxa"/>
              <w:left w:w="108" w:type="dxa"/>
              <w:bottom w:w="0" w:type="dxa"/>
              <w:right w:w="108" w:type="dxa"/>
            </w:tcMar>
            <w:vAlign w:val="center"/>
          </w:tcPr>
          <w:p w14:paraId="2092BDC9"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hAnsi="Times New Roman" w:cs="Times New Roman"/>
                <w:b/>
                <w:color w:val="000000"/>
                <w:sz w:val="21"/>
                <w:szCs w:val="21"/>
              </w:rPr>
              <w:t>92.00</w:t>
            </w:r>
          </w:p>
        </w:tc>
        <w:tc>
          <w:tcPr>
            <w:tcW w:w="1250" w:type="pct"/>
            <w:shd w:val="clear" w:color="auto" w:fill="auto"/>
            <w:tcMar>
              <w:top w:w="0" w:type="dxa"/>
              <w:left w:w="108" w:type="dxa"/>
              <w:bottom w:w="0" w:type="dxa"/>
              <w:right w:w="108" w:type="dxa"/>
            </w:tcMar>
            <w:vAlign w:val="center"/>
          </w:tcPr>
          <w:p w14:paraId="38877DE5"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hAnsi="Times New Roman" w:cs="Times New Roman"/>
                <w:b/>
                <w:color w:val="000000"/>
                <w:sz w:val="21"/>
                <w:szCs w:val="21"/>
              </w:rPr>
              <w:t>331.42</w:t>
            </w:r>
          </w:p>
        </w:tc>
        <w:tc>
          <w:tcPr>
            <w:tcW w:w="1250" w:type="pct"/>
            <w:shd w:val="clear" w:color="auto" w:fill="auto"/>
            <w:tcMar>
              <w:top w:w="0" w:type="dxa"/>
              <w:left w:w="108" w:type="dxa"/>
              <w:bottom w:w="0" w:type="dxa"/>
              <w:right w:w="108" w:type="dxa"/>
            </w:tcMar>
            <w:vAlign w:val="center"/>
          </w:tcPr>
          <w:p w14:paraId="40F584AC" w14:textId="77777777" w:rsidR="006416B0" w:rsidRPr="00B4515A" w:rsidRDefault="005E58C1" w:rsidP="005860B4">
            <w:pPr>
              <w:adjustRightInd w:val="0"/>
              <w:snapToGrid w:val="0"/>
              <w:jc w:val="right"/>
              <w:rPr>
                <w:rFonts w:ascii="Times New Roman" w:eastAsiaTheme="minorEastAsia" w:hAnsi="Times New Roman" w:cs="Times New Roman"/>
                <w:b/>
                <w:color w:val="000000"/>
                <w:sz w:val="21"/>
                <w:szCs w:val="21"/>
              </w:rPr>
            </w:pPr>
            <w:r w:rsidRPr="00B4515A">
              <w:rPr>
                <w:rFonts w:ascii="Times New Roman" w:hAnsi="Times New Roman" w:cs="Times New Roman"/>
                <w:b/>
                <w:color w:val="000000"/>
                <w:sz w:val="21"/>
                <w:szCs w:val="21"/>
              </w:rPr>
              <w:t>314.51</w:t>
            </w:r>
          </w:p>
        </w:tc>
      </w:tr>
    </w:tbl>
    <w:p w14:paraId="7084E391" w14:textId="776F5686" w:rsidR="006416B0" w:rsidRPr="00B4515A" w:rsidRDefault="005E58C1" w:rsidP="003357B7">
      <w:pPr>
        <w:pStyle w:val="005"/>
        <w:spacing w:before="120" w:after="120"/>
        <w:ind w:firstLine="480"/>
      </w:pPr>
      <w:r w:rsidRPr="00B4515A">
        <w:rPr>
          <w:rFonts w:hint="eastAsia"/>
        </w:rPr>
        <w:t>大唐联诚税金及附加主要由城市维护建设税、教育费附加等构成。报告期内各期，公司税金及附加分别为</w:t>
      </w:r>
      <w:r w:rsidRPr="00B4515A">
        <w:t xml:space="preserve"> 314.51</w:t>
      </w:r>
      <w:r w:rsidRPr="00B4515A">
        <w:rPr>
          <w:rFonts w:hint="eastAsia"/>
        </w:rPr>
        <w:t>万元、</w:t>
      </w:r>
      <w:r w:rsidR="00A54019" w:rsidRPr="00B4515A">
        <w:rPr>
          <w:szCs w:val="24"/>
        </w:rPr>
        <w:t>331.42</w:t>
      </w:r>
      <w:r w:rsidRPr="00B4515A">
        <w:rPr>
          <w:rFonts w:hint="eastAsia"/>
        </w:rPr>
        <w:t>万元、</w:t>
      </w:r>
      <w:r w:rsidR="00A54019" w:rsidRPr="00B4515A">
        <w:rPr>
          <w:szCs w:val="24"/>
        </w:rPr>
        <w:t>92.00</w:t>
      </w:r>
      <w:r w:rsidRPr="00B4515A">
        <w:rPr>
          <w:rFonts w:hint="eastAsia"/>
        </w:rPr>
        <w:t>万元，占当期营业收入的比例分别为</w:t>
      </w:r>
      <w:r w:rsidRPr="00B4515A">
        <w:t xml:space="preserve"> 0.86%</w:t>
      </w:r>
      <w:r w:rsidRPr="00B4515A">
        <w:rPr>
          <w:rFonts w:hint="eastAsia"/>
        </w:rPr>
        <w:t>、</w:t>
      </w:r>
      <w:r w:rsidRPr="00B4515A">
        <w:t>0.60%</w:t>
      </w:r>
      <w:r w:rsidRPr="00B4515A">
        <w:rPr>
          <w:rFonts w:hint="eastAsia"/>
        </w:rPr>
        <w:t>、</w:t>
      </w:r>
      <w:r w:rsidRPr="00B4515A">
        <w:t>0.72%</w:t>
      </w:r>
      <w:r w:rsidRPr="00B4515A">
        <w:rPr>
          <w:rFonts w:hint="eastAsia"/>
        </w:rPr>
        <w:t>。</w:t>
      </w:r>
    </w:p>
    <w:p w14:paraId="351B2631" w14:textId="77777777" w:rsidR="006416B0" w:rsidRPr="00B4515A" w:rsidRDefault="005E58C1" w:rsidP="003357B7">
      <w:pPr>
        <w:pStyle w:val="004"/>
        <w:spacing w:before="120" w:after="120"/>
        <w:ind w:firstLine="482"/>
      </w:pPr>
      <w:r w:rsidRPr="00B4515A">
        <w:rPr>
          <w:rFonts w:hint="eastAsia"/>
        </w:rPr>
        <w:t>6</w:t>
      </w:r>
      <w:r w:rsidRPr="00B4515A">
        <w:rPr>
          <w:rFonts w:hint="eastAsia"/>
        </w:rPr>
        <w:t>、其他收益分析</w:t>
      </w:r>
    </w:p>
    <w:p w14:paraId="6D94EAA8" w14:textId="77777777" w:rsidR="006416B0" w:rsidRPr="00B4515A" w:rsidRDefault="005E58C1" w:rsidP="003357B7">
      <w:pPr>
        <w:pStyle w:val="005"/>
        <w:spacing w:before="120" w:after="120"/>
        <w:ind w:firstLine="480"/>
      </w:pPr>
      <w:r w:rsidRPr="00B4515A">
        <w:rPr>
          <w:rFonts w:hint="eastAsia"/>
        </w:rPr>
        <w:t>报告期各期，大唐联诚其他收益的具体构成明细如下：</w:t>
      </w:r>
    </w:p>
    <w:p w14:paraId="04FB2C77" w14:textId="77777777" w:rsidR="006416B0" w:rsidRPr="00B4515A" w:rsidRDefault="005E58C1" w:rsidP="003357B7">
      <w:pPr>
        <w:pStyle w:val="009"/>
      </w:pPr>
      <w:r w:rsidRPr="00B4515A">
        <w:rPr>
          <w:rFonts w:hint="eastAsia"/>
        </w:rPr>
        <w:lastRenderedPageBreak/>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5DD8C2C0"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32E58768"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项目</w:t>
            </w:r>
          </w:p>
        </w:tc>
        <w:tc>
          <w:tcPr>
            <w:tcW w:w="1250" w:type="pct"/>
            <w:shd w:val="clear" w:color="auto" w:fill="auto"/>
            <w:tcMar>
              <w:top w:w="0" w:type="dxa"/>
              <w:left w:w="108" w:type="dxa"/>
              <w:bottom w:w="0" w:type="dxa"/>
              <w:right w:w="108" w:type="dxa"/>
            </w:tcMar>
            <w:vAlign w:val="center"/>
          </w:tcPr>
          <w:p w14:paraId="2A8860C6"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2021</w:t>
            </w:r>
            <w:r w:rsidRPr="00B4515A">
              <w:rPr>
                <w:rFonts w:ascii="Times New Roman" w:eastAsiaTheme="minorEastAsia" w:cs="Times New Roman"/>
                <w:b/>
                <w:bCs/>
                <w:color w:val="000000"/>
                <w:sz w:val="21"/>
                <w:szCs w:val="21"/>
              </w:rPr>
              <w:t>年</w:t>
            </w:r>
            <w:r w:rsidRPr="00B4515A">
              <w:rPr>
                <w:rFonts w:ascii="Times New Roman" w:eastAsiaTheme="minorEastAsia" w:cs="Times New Roman"/>
                <w:b/>
                <w:bCs/>
                <w:color w:val="000000"/>
                <w:sz w:val="21"/>
                <w:szCs w:val="21"/>
              </w:rPr>
              <w:t>1-4</w:t>
            </w:r>
            <w:r w:rsidRPr="00B4515A">
              <w:rPr>
                <w:rFonts w:ascii="Times New Roman" w:eastAsiaTheme="minorEastAsia" w:cs="Times New Roman"/>
                <w:b/>
                <w:bCs/>
                <w:color w:val="000000"/>
                <w:sz w:val="21"/>
                <w:szCs w:val="21"/>
              </w:rPr>
              <w:t>月</w:t>
            </w:r>
          </w:p>
        </w:tc>
        <w:tc>
          <w:tcPr>
            <w:tcW w:w="1250" w:type="pct"/>
            <w:shd w:val="clear" w:color="auto" w:fill="auto"/>
            <w:tcMar>
              <w:top w:w="0" w:type="dxa"/>
              <w:left w:w="108" w:type="dxa"/>
              <w:bottom w:w="0" w:type="dxa"/>
              <w:right w:w="108" w:type="dxa"/>
            </w:tcMar>
            <w:vAlign w:val="center"/>
          </w:tcPr>
          <w:p w14:paraId="4CF5440D"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2020</w:t>
            </w:r>
            <w:r w:rsidRPr="00B4515A">
              <w:rPr>
                <w:rFonts w:ascii="Times New Roman" w:eastAsiaTheme="minorEastAsia" w:cs="Times New Roman"/>
                <w:b/>
                <w:bCs/>
                <w:color w:val="000000"/>
                <w:sz w:val="21"/>
                <w:szCs w:val="21"/>
              </w:rPr>
              <w:t>年度</w:t>
            </w:r>
          </w:p>
        </w:tc>
        <w:tc>
          <w:tcPr>
            <w:tcW w:w="1250" w:type="pct"/>
            <w:shd w:val="clear" w:color="auto" w:fill="auto"/>
            <w:tcMar>
              <w:top w:w="0" w:type="dxa"/>
              <w:left w:w="108" w:type="dxa"/>
              <w:bottom w:w="0" w:type="dxa"/>
              <w:right w:w="108" w:type="dxa"/>
            </w:tcMar>
            <w:vAlign w:val="center"/>
          </w:tcPr>
          <w:p w14:paraId="7840826F"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2019</w:t>
            </w:r>
            <w:r w:rsidRPr="00B4515A">
              <w:rPr>
                <w:rFonts w:ascii="Times New Roman" w:eastAsiaTheme="minorEastAsia" w:cs="Times New Roman"/>
                <w:b/>
                <w:bCs/>
                <w:color w:val="000000"/>
                <w:sz w:val="21"/>
                <w:szCs w:val="21"/>
              </w:rPr>
              <w:t>年度</w:t>
            </w:r>
          </w:p>
        </w:tc>
      </w:tr>
      <w:tr w:rsidR="006416B0" w:rsidRPr="00B4515A" w14:paraId="690C3189"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FB42547"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政府补助</w:t>
            </w:r>
          </w:p>
        </w:tc>
        <w:tc>
          <w:tcPr>
            <w:tcW w:w="1250" w:type="pct"/>
            <w:shd w:val="clear" w:color="auto" w:fill="auto"/>
            <w:tcMar>
              <w:top w:w="0" w:type="dxa"/>
              <w:left w:w="108" w:type="dxa"/>
              <w:bottom w:w="0" w:type="dxa"/>
              <w:right w:w="108" w:type="dxa"/>
            </w:tcMar>
            <w:vAlign w:val="center"/>
          </w:tcPr>
          <w:p w14:paraId="1D06F35B" w14:textId="05573C68" w:rsidR="006416B0" w:rsidRPr="00B4515A" w:rsidRDefault="00501E0E"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w:t>
            </w:r>
          </w:p>
        </w:tc>
        <w:tc>
          <w:tcPr>
            <w:tcW w:w="1250" w:type="pct"/>
            <w:shd w:val="clear" w:color="auto" w:fill="auto"/>
            <w:tcMar>
              <w:top w:w="0" w:type="dxa"/>
              <w:left w:w="108" w:type="dxa"/>
              <w:bottom w:w="0" w:type="dxa"/>
              <w:right w:w="108" w:type="dxa"/>
            </w:tcMar>
            <w:vAlign w:val="center"/>
          </w:tcPr>
          <w:p w14:paraId="2EB2A66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2.40</w:t>
            </w:r>
          </w:p>
        </w:tc>
        <w:tc>
          <w:tcPr>
            <w:tcW w:w="1250" w:type="pct"/>
            <w:shd w:val="clear" w:color="auto" w:fill="auto"/>
            <w:tcMar>
              <w:top w:w="0" w:type="dxa"/>
              <w:left w:w="108" w:type="dxa"/>
              <w:bottom w:w="0" w:type="dxa"/>
              <w:right w:w="108" w:type="dxa"/>
            </w:tcMar>
            <w:vAlign w:val="center"/>
          </w:tcPr>
          <w:p w14:paraId="16A5932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50.00</w:t>
            </w:r>
          </w:p>
        </w:tc>
      </w:tr>
      <w:tr w:rsidR="006416B0" w:rsidRPr="00B4515A" w14:paraId="1BEE15A6"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13D54F35"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代扣个人所得税手续费</w:t>
            </w:r>
          </w:p>
        </w:tc>
        <w:tc>
          <w:tcPr>
            <w:tcW w:w="1250" w:type="pct"/>
            <w:shd w:val="clear" w:color="auto" w:fill="auto"/>
            <w:tcMar>
              <w:top w:w="0" w:type="dxa"/>
              <w:left w:w="108" w:type="dxa"/>
              <w:bottom w:w="0" w:type="dxa"/>
              <w:right w:w="108" w:type="dxa"/>
            </w:tcMar>
            <w:vAlign w:val="center"/>
          </w:tcPr>
          <w:p w14:paraId="794C501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12.76</w:t>
            </w:r>
          </w:p>
        </w:tc>
        <w:tc>
          <w:tcPr>
            <w:tcW w:w="1250" w:type="pct"/>
            <w:shd w:val="clear" w:color="auto" w:fill="auto"/>
            <w:tcMar>
              <w:top w:w="0" w:type="dxa"/>
              <w:left w:w="108" w:type="dxa"/>
              <w:bottom w:w="0" w:type="dxa"/>
              <w:right w:w="108" w:type="dxa"/>
            </w:tcMar>
            <w:vAlign w:val="center"/>
          </w:tcPr>
          <w:p w14:paraId="7FA93FC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14.30</w:t>
            </w:r>
          </w:p>
        </w:tc>
        <w:tc>
          <w:tcPr>
            <w:tcW w:w="1250" w:type="pct"/>
            <w:shd w:val="clear" w:color="auto" w:fill="auto"/>
            <w:tcMar>
              <w:top w:w="0" w:type="dxa"/>
              <w:left w:w="108" w:type="dxa"/>
              <w:bottom w:w="0" w:type="dxa"/>
              <w:right w:w="108" w:type="dxa"/>
            </w:tcMar>
            <w:vAlign w:val="center"/>
          </w:tcPr>
          <w:p w14:paraId="1B014CDA" w14:textId="7EB520A5" w:rsidR="006416B0" w:rsidRPr="00B4515A" w:rsidRDefault="00501E0E"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w:t>
            </w:r>
          </w:p>
        </w:tc>
      </w:tr>
      <w:tr w:rsidR="006416B0" w:rsidRPr="00B4515A" w14:paraId="59796C8E"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17C13B9A" w14:textId="77777777" w:rsidR="006416B0" w:rsidRPr="00B4515A" w:rsidRDefault="005E58C1" w:rsidP="005860B4">
            <w:pPr>
              <w:adjustRightInd w:val="0"/>
              <w:snapToGrid w:val="0"/>
              <w:jc w:val="both"/>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其他</w:t>
            </w:r>
          </w:p>
        </w:tc>
        <w:tc>
          <w:tcPr>
            <w:tcW w:w="1250" w:type="pct"/>
            <w:shd w:val="clear" w:color="auto" w:fill="auto"/>
            <w:tcMar>
              <w:top w:w="0" w:type="dxa"/>
              <w:left w:w="108" w:type="dxa"/>
              <w:bottom w:w="0" w:type="dxa"/>
              <w:right w:w="108" w:type="dxa"/>
            </w:tcMar>
            <w:vAlign w:val="center"/>
          </w:tcPr>
          <w:p w14:paraId="6B18428F" w14:textId="05B242FF" w:rsidR="006416B0" w:rsidRPr="00B4515A" w:rsidRDefault="00501E0E"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w:t>
            </w:r>
          </w:p>
        </w:tc>
        <w:tc>
          <w:tcPr>
            <w:tcW w:w="1250" w:type="pct"/>
            <w:shd w:val="clear" w:color="auto" w:fill="auto"/>
            <w:tcMar>
              <w:top w:w="0" w:type="dxa"/>
              <w:left w:w="108" w:type="dxa"/>
              <w:bottom w:w="0" w:type="dxa"/>
              <w:right w:w="108" w:type="dxa"/>
            </w:tcMar>
            <w:vAlign w:val="center"/>
          </w:tcPr>
          <w:p w14:paraId="1CBE49F5" w14:textId="22C0D714" w:rsidR="006416B0" w:rsidRPr="00B4515A" w:rsidRDefault="00501E0E"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w:t>
            </w:r>
          </w:p>
        </w:tc>
        <w:tc>
          <w:tcPr>
            <w:tcW w:w="1250" w:type="pct"/>
            <w:shd w:val="clear" w:color="auto" w:fill="auto"/>
            <w:tcMar>
              <w:top w:w="0" w:type="dxa"/>
              <w:left w:w="108" w:type="dxa"/>
              <w:bottom w:w="0" w:type="dxa"/>
              <w:right w:w="108" w:type="dxa"/>
            </w:tcMar>
            <w:vAlign w:val="center"/>
          </w:tcPr>
          <w:p w14:paraId="4B2805F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24.02</w:t>
            </w:r>
          </w:p>
        </w:tc>
      </w:tr>
      <w:tr w:rsidR="006416B0" w:rsidRPr="00B4515A" w14:paraId="20858999"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22467AA6"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合计</w:t>
            </w:r>
          </w:p>
        </w:tc>
        <w:tc>
          <w:tcPr>
            <w:tcW w:w="1250" w:type="pct"/>
            <w:shd w:val="clear" w:color="auto" w:fill="auto"/>
            <w:tcMar>
              <w:top w:w="0" w:type="dxa"/>
              <w:left w:w="108" w:type="dxa"/>
              <w:bottom w:w="0" w:type="dxa"/>
              <w:right w:w="108" w:type="dxa"/>
            </w:tcMar>
            <w:vAlign w:val="center"/>
          </w:tcPr>
          <w:p w14:paraId="04DBFDD6"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12.76</w:t>
            </w:r>
          </w:p>
        </w:tc>
        <w:tc>
          <w:tcPr>
            <w:tcW w:w="1250" w:type="pct"/>
            <w:shd w:val="clear" w:color="auto" w:fill="auto"/>
            <w:tcMar>
              <w:top w:w="0" w:type="dxa"/>
              <w:left w:w="108" w:type="dxa"/>
              <w:bottom w:w="0" w:type="dxa"/>
              <w:right w:w="108" w:type="dxa"/>
            </w:tcMar>
            <w:vAlign w:val="center"/>
          </w:tcPr>
          <w:p w14:paraId="06A5B1D1"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16.70</w:t>
            </w:r>
          </w:p>
        </w:tc>
        <w:tc>
          <w:tcPr>
            <w:tcW w:w="1250" w:type="pct"/>
            <w:shd w:val="clear" w:color="auto" w:fill="auto"/>
            <w:tcMar>
              <w:top w:w="0" w:type="dxa"/>
              <w:left w:w="108" w:type="dxa"/>
              <w:bottom w:w="0" w:type="dxa"/>
              <w:right w:w="108" w:type="dxa"/>
            </w:tcMar>
            <w:vAlign w:val="center"/>
          </w:tcPr>
          <w:p w14:paraId="1DA365CF"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74.02</w:t>
            </w:r>
          </w:p>
        </w:tc>
      </w:tr>
    </w:tbl>
    <w:p w14:paraId="3DFC6C6D" w14:textId="33F59889" w:rsidR="006416B0" w:rsidRPr="00B4515A" w:rsidRDefault="005E58C1" w:rsidP="003357B7">
      <w:pPr>
        <w:pStyle w:val="005"/>
        <w:spacing w:before="120" w:after="120"/>
        <w:ind w:firstLine="480"/>
      </w:pPr>
      <w:r w:rsidRPr="00B4515A">
        <w:rPr>
          <w:rFonts w:hint="eastAsia"/>
        </w:rPr>
        <w:t>报告期内，大唐联诚其他收益分别为</w:t>
      </w:r>
      <w:r w:rsidRPr="00B4515A">
        <w:t>74.02</w:t>
      </w:r>
      <w:r w:rsidRPr="00B4515A">
        <w:rPr>
          <w:rFonts w:hint="eastAsia"/>
        </w:rPr>
        <w:t>万元、</w:t>
      </w:r>
      <w:r w:rsidRPr="00B4515A">
        <w:t>16.70</w:t>
      </w:r>
      <w:r w:rsidRPr="00B4515A">
        <w:rPr>
          <w:rFonts w:hint="eastAsia"/>
        </w:rPr>
        <w:t>万元、</w:t>
      </w:r>
      <w:r w:rsidRPr="00B4515A">
        <w:t>12.76</w:t>
      </w:r>
      <w:r w:rsidRPr="00B4515A">
        <w:rPr>
          <w:rFonts w:hint="eastAsia"/>
        </w:rPr>
        <w:t>万元</w:t>
      </w:r>
      <w:r w:rsidR="00E73987" w:rsidRPr="00B4515A">
        <w:rPr>
          <w:rFonts w:hint="eastAsia"/>
        </w:rPr>
        <w:t>，</w:t>
      </w:r>
      <w:r w:rsidRPr="00B4515A">
        <w:rPr>
          <w:rFonts w:hint="eastAsia"/>
        </w:rPr>
        <w:t>主要由政府补助、代扣个人所得税手续费构成。其中政府补助为海淀区政府提供的补助。</w:t>
      </w:r>
    </w:p>
    <w:p w14:paraId="17D87422" w14:textId="77777777" w:rsidR="006416B0" w:rsidRPr="00B4515A" w:rsidRDefault="005E58C1" w:rsidP="003357B7">
      <w:pPr>
        <w:pStyle w:val="004"/>
        <w:spacing w:before="120" w:after="120"/>
        <w:ind w:firstLine="482"/>
      </w:pPr>
      <w:r w:rsidRPr="00B4515A">
        <w:rPr>
          <w:rFonts w:hint="eastAsia"/>
        </w:rPr>
        <w:t>7</w:t>
      </w:r>
      <w:r w:rsidRPr="00B4515A">
        <w:rPr>
          <w:rFonts w:hint="eastAsia"/>
        </w:rPr>
        <w:t>、</w:t>
      </w:r>
      <w:r w:rsidRPr="00B4515A">
        <w:t>投资收益</w:t>
      </w:r>
      <w:r w:rsidRPr="00B4515A">
        <w:rPr>
          <w:rFonts w:hint="eastAsia"/>
        </w:rPr>
        <w:t>分析</w:t>
      </w:r>
    </w:p>
    <w:p w14:paraId="65EBEA5B" w14:textId="77777777" w:rsidR="006416B0" w:rsidRPr="00B4515A" w:rsidRDefault="005E58C1" w:rsidP="003357B7">
      <w:pPr>
        <w:pStyle w:val="005"/>
        <w:spacing w:before="120" w:after="120"/>
        <w:ind w:firstLine="480"/>
      </w:pPr>
      <w:r w:rsidRPr="00B4515A">
        <w:rPr>
          <w:rFonts w:hint="eastAsia"/>
        </w:rPr>
        <w:t>报告期各期，大唐联诚投资收益的具体构成明细如下：</w:t>
      </w:r>
    </w:p>
    <w:p w14:paraId="268A9321"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299"/>
        <w:gridCol w:w="1944"/>
        <w:gridCol w:w="1856"/>
        <w:gridCol w:w="2429"/>
      </w:tblGrid>
      <w:tr w:rsidR="006416B0" w:rsidRPr="00B4515A" w14:paraId="42F2E8AC" w14:textId="77777777" w:rsidTr="00031627">
        <w:trPr>
          <w:trHeight w:val="340"/>
          <w:jc w:val="center"/>
        </w:trPr>
        <w:tc>
          <w:tcPr>
            <w:tcW w:w="1348" w:type="pct"/>
            <w:shd w:val="clear" w:color="auto" w:fill="auto"/>
            <w:tcMar>
              <w:top w:w="0" w:type="dxa"/>
              <w:left w:w="108" w:type="dxa"/>
              <w:bottom w:w="0" w:type="dxa"/>
              <w:right w:w="108" w:type="dxa"/>
            </w:tcMar>
            <w:vAlign w:val="center"/>
          </w:tcPr>
          <w:p w14:paraId="2D3B2C4F"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项目</w:t>
            </w:r>
          </w:p>
        </w:tc>
        <w:tc>
          <w:tcPr>
            <w:tcW w:w="1140" w:type="pct"/>
            <w:shd w:val="clear" w:color="auto" w:fill="auto"/>
            <w:tcMar>
              <w:top w:w="0" w:type="dxa"/>
              <w:left w:w="108" w:type="dxa"/>
              <w:bottom w:w="0" w:type="dxa"/>
              <w:right w:w="108" w:type="dxa"/>
            </w:tcMar>
            <w:vAlign w:val="center"/>
          </w:tcPr>
          <w:p w14:paraId="521FABF0"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2021</w:t>
            </w:r>
            <w:r w:rsidRPr="00B4515A">
              <w:rPr>
                <w:rFonts w:ascii="Times New Roman" w:eastAsiaTheme="minorEastAsia" w:cs="Times New Roman"/>
                <w:b/>
                <w:bCs/>
                <w:color w:val="000000"/>
                <w:sz w:val="21"/>
                <w:szCs w:val="21"/>
              </w:rPr>
              <w:t>年</w:t>
            </w:r>
            <w:r w:rsidRPr="00B4515A">
              <w:rPr>
                <w:rFonts w:ascii="Times New Roman" w:eastAsiaTheme="minorEastAsia" w:cs="Times New Roman"/>
                <w:b/>
                <w:bCs/>
                <w:color w:val="000000"/>
                <w:sz w:val="21"/>
                <w:szCs w:val="21"/>
              </w:rPr>
              <w:t>1-4</w:t>
            </w:r>
            <w:r w:rsidRPr="00B4515A">
              <w:rPr>
                <w:rFonts w:ascii="Times New Roman" w:eastAsiaTheme="minorEastAsia" w:cs="Times New Roman"/>
                <w:b/>
                <w:bCs/>
                <w:color w:val="000000"/>
                <w:sz w:val="21"/>
                <w:szCs w:val="21"/>
              </w:rPr>
              <w:t>月</w:t>
            </w:r>
          </w:p>
        </w:tc>
        <w:tc>
          <w:tcPr>
            <w:tcW w:w="1088" w:type="pct"/>
            <w:shd w:val="clear" w:color="auto" w:fill="auto"/>
            <w:tcMar>
              <w:top w:w="0" w:type="dxa"/>
              <w:left w:w="108" w:type="dxa"/>
              <w:bottom w:w="0" w:type="dxa"/>
              <w:right w:w="108" w:type="dxa"/>
            </w:tcMar>
            <w:vAlign w:val="center"/>
          </w:tcPr>
          <w:p w14:paraId="2413FCD7"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2020</w:t>
            </w:r>
            <w:r w:rsidRPr="00B4515A">
              <w:rPr>
                <w:rFonts w:ascii="Times New Roman" w:eastAsiaTheme="minorEastAsia" w:cs="Times New Roman"/>
                <w:b/>
                <w:bCs/>
                <w:color w:val="000000"/>
                <w:sz w:val="21"/>
                <w:szCs w:val="21"/>
              </w:rPr>
              <w:t>年度</w:t>
            </w:r>
          </w:p>
        </w:tc>
        <w:tc>
          <w:tcPr>
            <w:tcW w:w="1425" w:type="pct"/>
            <w:shd w:val="clear" w:color="auto" w:fill="auto"/>
            <w:tcMar>
              <w:top w:w="0" w:type="dxa"/>
              <w:left w:w="108" w:type="dxa"/>
              <w:bottom w:w="0" w:type="dxa"/>
              <w:right w:w="108" w:type="dxa"/>
            </w:tcMar>
            <w:vAlign w:val="center"/>
          </w:tcPr>
          <w:p w14:paraId="2DD7981A"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2019</w:t>
            </w:r>
            <w:r w:rsidRPr="00B4515A">
              <w:rPr>
                <w:rFonts w:ascii="Times New Roman" w:eastAsiaTheme="minorEastAsia" w:cs="Times New Roman"/>
                <w:b/>
                <w:bCs/>
                <w:color w:val="000000"/>
                <w:sz w:val="21"/>
                <w:szCs w:val="21"/>
              </w:rPr>
              <w:t>年度</w:t>
            </w:r>
          </w:p>
        </w:tc>
      </w:tr>
      <w:tr w:rsidR="006416B0" w:rsidRPr="00B4515A" w14:paraId="192A5C9D" w14:textId="77777777" w:rsidTr="00031627">
        <w:trPr>
          <w:trHeight w:val="340"/>
          <w:jc w:val="center"/>
        </w:trPr>
        <w:tc>
          <w:tcPr>
            <w:tcW w:w="1348" w:type="pct"/>
            <w:shd w:val="clear" w:color="auto" w:fill="auto"/>
            <w:tcMar>
              <w:top w:w="0" w:type="dxa"/>
              <w:left w:w="108" w:type="dxa"/>
              <w:bottom w:w="0" w:type="dxa"/>
              <w:right w:w="108" w:type="dxa"/>
            </w:tcMar>
            <w:vAlign w:val="center"/>
          </w:tcPr>
          <w:p w14:paraId="7BD4F668"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处置长期股权投资产生的投资收益</w:t>
            </w:r>
          </w:p>
        </w:tc>
        <w:tc>
          <w:tcPr>
            <w:tcW w:w="1140" w:type="pct"/>
            <w:shd w:val="clear" w:color="auto" w:fill="auto"/>
            <w:tcMar>
              <w:top w:w="0" w:type="dxa"/>
              <w:left w:w="108" w:type="dxa"/>
              <w:bottom w:w="0" w:type="dxa"/>
              <w:right w:w="108" w:type="dxa"/>
            </w:tcMar>
            <w:vAlign w:val="center"/>
          </w:tcPr>
          <w:p w14:paraId="33FDF18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w:t>
            </w:r>
          </w:p>
        </w:tc>
        <w:tc>
          <w:tcPr>
            <w:tcW w:w="1088" w:type="pct"/>
            <w:shd w:val="clear" w:color="auto" w:fill="auto"/>
            <w:tcMar>
              <w:top w:w="0" w:type="dxa"/>
              <w:left w:w="108" w:type="dxa"/>
              <w:bottom w:w="0" w:type="dxa"/>
              <w:right w:w="108" w:type="dxa"/>
            </w:tcMar>
            <w:vAlign w:val="center"/>
          </w:tcPr>
          <w:p w14:paraId="302700A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w:t>
            </w:r>
          </w:p>
        </w:tc>
        <w:tc>
          <w:tcPr>
            <w:tcW w:w="1425" w:type="pct"/>
            <w:shd w:val="clear" w:color="auto" w:fill="auto"/>
            <w:tcMar>
              <w:top w:w="0" w:type="dxa"/>
              <w:left w:w="108" w:type="dxa"/>
              <w:bottom w:w="0" w:type="dxa"/>
              <w:right w:w="108" w:type="dxa"/>
            </w:tcMar>
            <w:vAlign w:val="center"/>
          </w:tcPr>
          <w:p w14:paraId="6350431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1,546.32</w:t>
            </w:r>
          </w:p>
        </w:tc>
      </w:tr>
      <w:tr w:rsidR="006416B0" w:rsidRPr="00B4515A" w14:paraId="2F5F906E" w14:textId="77777777" w:rsidTr="00031627">
        <w:trPr>
          <w:trHeight w:val="340"/>
          <w:jc w:val="center"/>
        </w:trPr>
        <w:tc>
          <w:tcPr>
            <w:tcW w:w="1348" w:type="pct"/>
            <w:shd w:val="clear" w:color="auto" w:fill="auto"/>
            <w:tcMar>
              <w:top w:w="0" w:type="dxa"/>
              <w:left w:w="108" w:type="dxa"/>
              <w:bottom w:w="0" w:type="dxa"/>
              <w:right w:w="108" w:type="dxa"/>
            </w:tcMar>
            <w:vAlign w:val="center"/>
          </w:tcPr>
          <w:p w14:paraId="092FC0AA"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合计</w:t>
            </w:r>
          </w:p>
        </w:tc>
        <w:tc>
          <w:tcPr>
            <w:tcW w:w="1140" w:type="pct"/>
            <w:shd w:val="clear" w:color="auto" w:fill="auto"/>
            <w:tcMar>
              <w:top w:w="0" w:type="dxa"/>
              <w:left w:w="108" w:type="dxa"/>
              <w:bottom w:w="0" w:type="dxa"/>
              <w:right w:w="108" w:type="dxa"/>
            </w:tcMar>
            <w:vAlign w:val="center"/>
          </w:tcPr>
          <w:p w14:paraId="07FEF421"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hint="eastAsia"/>
                <w:color w:val="000000"/>
                <w:sz w:val="21"/>
                <w:szCs w:val="21"/>
              </w:rPr>
              <w:t>-</w:t>
            </w:r>
          </w:p>
        </w:tc>
        <w:tc>
          <w:tcPr>
            <w:tcW w:w="1088" w:type="pct"/>
            <w:shd w:val="clear" w:color="auto" w:fill="auto"/>
            <w:tcMar>
              <w:top w:w="0" w:type="dxa"/>
              <w:left w:w="108" w:type="dxa"/>
              <w:bottom w:w="0" w:type="dxa"/>
              <w:right w:w="108" w:type="dxa"/>
            </w:tcMar>
            <w:vAlign w:val="center"/>
          </w:tcPr>
          <w:p w14:paraId="5AE85C92"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hint="eastAsia"/>
                <w:color w:val="000000"/>
                <w:sz w:val="21"/>
                <w:szCs w:val="21"/>
              </w:rPr>
              <w:t>-</w:t>
            </w:r>
          </w:p>
        </w:tc>
        <w:tc>
          <w:tcPr>
            <w:tcW w:w="1425" w:type="pct"/>
            <w:shd w:val="clear" w:color="auto" w:fill="auto"/>
            <w:tcMar>
              <w:top w:w="0" w:type="dxa"/>
              <w:left w:w="108" w:type="dxa"/>
              <w:bottom w:w="0" w:type="dxa"/>
              <w:right w:w="108" w:type="dxa"/>
            </w:tcMar>
            <w:vAlign w:val="center"/>
          </w:tcPr>
          <w:p w14:paraId="1F342AED"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1,546.32</w:t>
            </w:r>
          </w:p>
        </w:tc>
      </w:tr>
    </w:tbl>
    <w:p w14:paraId="003486A2" w14:textId="77777777" w:rsidR="006416B0" w:rsidRPr="00B4515A" w:rsidRDefault="005E58C1" w:rsidP="003357B7">
      <w:pPr>
        <w:pStyle w:val="005"/>
        <w:spacing w:before="120" w:after="120"/>
        <w:ind w:firstLine="480"/>
      </w:pPr>
      <w:r w:rsidRPr="00B4515A">
        <w:rPr>
          <w:rFonts w:hint="eastAsia"/>
        </w:rPr>
        <w:t>报告期内投资收益主要为</w:t>
      </w:r>
      <w:r w:rsidRPr="00B4515A">
        <w:t>2019</w:t>
      </w:r>
      <w:r w:rsidRPr="00B4515A">
        <w:rPr>
          <w:rFonts w:hint="eastAsia"/>
        </w:rPr>
        <w:t>年</w:t>
      </w:r>
      <w:r w:rsidRPr="00B4515A">
        <w:t>12</w:t>
      </w:r>
      <w:r w:rsidRPr="00B4515A">
        <w:rPr>
          <w:rFonts w:hint="eastAsia"/>
        </w:rPr>
        <w:t>月份处置子公司大唐奇安网络科技有限公司</w:t>
      </w:r>
      <w:r w:rsidRPr="00B4515A">
        <w:t>51%</w:t>
      </w:r>
      <w:r w:rsidRPr="00B4515A">
        <w:rPr>
          <w:rFonts w:hint="eastAsia"/>
        </w:rPr>
        <w:t>股权所致。</w:t>
      </w:r>
    </w:p>
    <w:p w14:paraId="7A1DB0F1" w14:textId="77777777" w:rsidR="006416B0" w:rsidRPr="00B4515A" w:rsidRDefault="005E58C1" w:rsidP="003357B7">
      <w:pPr>
        <w:pStyle w:val="004"/>
        <w:spacing w:before="120" w:after="120"/>
        <w:ind w:firstLine="482"/>
      </w:pPr>
      <w:r w:rsidRPr="00B4515A">
        <w:rPr>
          <w:rFonts w:hint="eastAsia"/>
        </w:rPr>
        <w:t>8</w:t>
      </w:r>
      <w:r w:rsidRPr="00B4515A">
        <w:rPr>
          <w:rFonts w:hint="eastAsia"/>
        </w:rPr>
        <w:t>、</w:t>
      </w:r>
      <w:r w:rsidRPr="00B4515A">
        <w:t>信用减值损失</w:t>
      </w:r>
      <w:r w:rsidRPr="00B4515A">
        <w:rPr>
          <w:rFonts w:hint="eastAsia"/>
        </w:rPr>
        <w:t>分析</w:t>
      </w:r>
    </w:p>
    <w:p w14:paraId="601A0151" w14:textId="77777777" w:rsidR="006416B0" w:rsidRPr="00B4515A" w:rsidRDefault="005E58C1" w:rsidP="003357B7">
      <w:pPr>
        <w:pStyle w:val="005"/>
        <w:spacing w:before="120" w:after="120"/>
        <w:ind w:firstLine="480"/>
      </w:pPr>
      <w:r w:rsidRPr="00B4515A">
        <w:rPr>
          <w:rFonts w:hint="eastAsia"/>
        </w:rPr>
        <w:t>报告期各期，大唐联诚信用减值损失的具体构成明细如下：</w:t>
      </w:r>
    </w:p>
    <w:p w14:paraId="60B15AB6"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037"/>
        <w:gridCol w:w="2164"/>
        <w:gridCol w:w="2164"/>
        <w:gridCol w:w="2163"/>
      </w:tblGrid>
      <w:tr w:rsidR="006416B0" w:rsidRPr="00B4515A" w14:paraId="7079C736" w14:textId="77777777" w:rsidTr="00031627">
        <w:trPr>
          <w:trHeight w:val="340"/>
          <w:jc w:val="center"/>
        </w:trPr>
        <w:tc>
          <w:tcPr>
            <w:tcW w:w="1194" w:type="pct"/>
            <w:shd w:val="clear" w:color="auto" w:fill="auto"/>
            <w:tcMar>
              <w:top w:w="0" w:type="dxa"/>
              <w:left w:w="108" w:type="dxa"/>
              <w:bottom w:w="0" w:type="dxa"/>
              <w:right w:w="108" w:type="dxa"/>
            </w:tcMar>
            <w:vAlign w:val="center"/>
          </w:tcPr>
          <w:p w14:paraId="0EF1F39A"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项目</w:t>
            </w:r>
          </w:p>
        </w:tc>
        <w:tc>
          <w:tcPr>
            <w:tcW w:w="1269" w:type="pct"/>
            <w:shd w:val="clear" w:color="auto" w:fill="auto"/>
            <w:tcMar>
              <w:top w:w="0" w:type="dxa"/>
              <w:left w:w="108" w:type="dxa"/>
              <w:bottom w:w="0" w:type="dxa"/>
              <w:right w:w="108" w:type="dxa"/>
            </w:tcMar>
            <w:vAlign w:val="center"/>
          </w:tcPr>
          <w:p w14:paraId="731B1B9B"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2021</w:t>
            </w:r>
            <w:r w:rsidRPr="00B4515A">
              <w:rPr>
                <w:rFonts w:ascii="Times New Roman" w:eastAsiaTheme="minorEastAsia" w:cs="Times New Roman"/>
                <w:b/>
                <w:bCs/>
                <w:color w:val="000000"/>
                <w:sz w:val="21"/>
                <w:szCs w:val="21"/>
              </w:rPr>
              <w:t>年</w:t>
            </w:r>
            <w:r w:rsidRPr="00B4515A">
              <w:rPr>
                <w:rFonts w:ascii="Times New Roman" w:eastAsiaTheme="minorEastAsia" w:cs="Times New Roman"/>
                <w:b/>
                <w:bCs/>
                <w:color w:val="000000"/>
                <w:sz w:val="21"/>
                <w:szCs w:val="21"/>
              </w:rPr>
              <w:t>1-4</w:t>
            </w:r>
            <w:r w:rsidRPr="00B4515A">
              <w:rPr>
                <w:rFonts w:ascii="Times New Roman" w:eastAsiaTheme="minorEastAsia" w:cs="Times New Roman"/>
                <w:b/>
                <w:bCs/>
                <w:color w:val="000000"/>
                <w:sz w:val="21"/>
                <w:szCs w:val="21"/>
              </w:rPr>
              <w:t>月</w:t>
            </w:r>
          </w:p>
        </w:tc>
        <w:tc>
          <w:tcPr>
            <w:tcW w:w="1269" w:type="pct"/>
            <w:shd w:val="clear" w:color="auto" w:fill="auto"/>
            <w:tcMar>
              <w:top w:w="0" w:type="dxa"/>
              <w:left w:w="108" w:type="dxa"/>
              <w:bottom w:w="0" w:type="dxa"/>
              <w:right w:w="108" w:type="dxa"/>
            </w:tcMar>
            <w:vAlign w:val="center"/>
          </w:tcPr>
          <w:p w14:paraId="71FF0024"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2020</w:t>
            </w:r>
            <w:r w:rsidRPr="00B4515A">
              <w:rPr>
                <w:rFonts w:ascii="Times New Roman" w:eastAsiaTheme="minorEastAsia" w:cs="Times New Roman"/>
                <w:b/>
                <w:bCs/>
                <w:color w:val="000000"/>
                <w:sz w:val="21"/>
                <w:szCs w:val="21"/>
              </w:rPr>
              <w:t>年度</w:t>
            </w:r>
          </w:p>
        </w:tc>
        <w:tc>
          <w:tcPr>
            <w:tcW w:w="1269" w:type="pct"/>
            <w:shd w:val="clear" w:color="auto" w:fill="auto"/>
            <w:tcMar>
              <w:top w:w="0" w:type="dxa"/>
              <w:left w:w="108" w:type="dxa"/>
              <w:bottom w:w="0" w:type="dxa"/>
              <w:right w:w="108" w:type="dxa"/>
            </w:tcMar>
            <w:vAlign w:val="center"/>
          </w:tcPr>
          <w:p w14:paraId="5EB56893"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2019</w:t>
            </w:r>
            <w:r w:rsidRPr="00B4515A">
              <w:rPr>
                <w:rFonts w:ascii="Times New Roman" w:eastAsiaTheme="minorEastAsia" w:cs="Times New Roman"/>
                <w:b/>
                <w:bCs/>
                <w:color w:val="000000"/>
                <w:sz w:val="21"/>
                <w:szCs w:val="21"/>
              </w:rPr>
              <w:t>年度</w:t>
            </w:r>
          </w:p>
        </w:tc>
      </w:tr>
      <w:tr w:rsidR="006416B0" w:rsidRPr="00B4515A" w14:paraId="42CC5663" w14:textId="77777777" w:rsidTr="00031627">
        <w:trPr>
          <w:trHeight w:val="340"/>
          <w:jc w:val="center"/>
        </w:trPr>
        <w:tc>
          <w:tcPr>
            <w:tcW w:w="1194" w:type="pct"/>
            <w:shd w:val="clear" w:color="auto" w:fill="auto"/>
            <w:tcMar>
              <w:top w:w="0" w:type="dxa"/>
              <w:left w:w="108" w:type="dxa"/>
              <w:bottom w:w="0" w:type="dxa"/>
              <w:right w:w="108" w:type="dxa"/>
            </w:tcMar>
            <w:vAlign w:val="center"/>
          </w:tcPr>
          <w:p w14:paraId="0ADC4D78"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应收账款坏账损失</w:t>
            </w:r>
          </w:p>
        </w:tc>
        <w:tc>
          <w:tcPr>
            <w:tcW w:w="1269" w:type="pct"/>
            <w:shd w:val="clear" w:color="auto" w:fill="auto"/>
            <w:tcMar>
              <w:top w:w="0" w:type="dxa"/>
              <w:left w:w="108" w:type="dxa"/>
              <w:bottom w:w="0" w:type="dxa"/>
              <w:right w:w="108" w:type="dxa"/>
            </w:tcMar>
            <w:vAlign w:val="center"/>
          </w:tcPr>
          <w:p w14:paraId="4094A8F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769.08</w:t>
            </w:r>
          </w:p>
        </w:tc>
        <w:tc>
          <w:tcPr>
            <w:tcW w:w="1269" w:type="pct"/>
            <w:shd w:val="clear" w:color="auto" w:fill="auto"/>
            <w:tcMar>
              <w:top w:w="0" w:type="dxa"/>
              <w:left w:w="108" w:type="dxa"/>
              <w:bottom w:w="0" w:type="dxa"/>
              <w:right w:w="108" w:type="dxa"/>
            </w:tcMar>
            <w:vAlign w:val="center"/>
          </w:tcPr>
          <w:p w14:paraId="22230AA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893.15</w:t>
            </w:r>
          </w:p>
        </w:tc>
        <w:tc>
          <w:tcPr>
            <w:tcW w:w="1269" w:type="pct"/>
            <w:shd w:val="clear" w:color="auto" w:fill="auto"/>
            <w:tcMar>
              <w:top w:w="0" w:type="dxa"/>
              <w:left w:w="108" w:type="dxa"/>
              <w:bottom w:w="0" w:type="dxa"/>
              <w:right w:w="108" w:type="dxa"/>
            </w:tcMar>
            <w:vAlign w:val="center"/>
          </w:tcPr>
          <w:p w14:paraId="355CC3B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531.39</w:t>
            </w:r>
          </w:p>
        </w:tc>
      </w:tr>
      <w:tr w:rsidR="006416B0" w:rsidRPr="00B4515A" w14:paraId="39F46D52" w14:textId="77777777" w:rsidTr="00031627">
        <w:trPr>
          <w:trHeight w:val="340"/>
          <w:jc w:val="center"/>
        </w:trPr>
        <w:tc>
          <w:tcPr>
            <w:tcW w:w="1194" w:type="pct"/>
            <w:shd w:val="clear" w:color="auto" w:fill="auto"/>
            <w:tcMar>
              <w:top w:w="0" w:type="dxa"/>
              <w:left w:w="108" w:type="dxa"/>
              <w:bottom w:w="0" w:type="dxa"/>
              <w:right w:w="108" w:type="dxa"/>
            </w:tcMar>
            <w:vAlign w:val="center"/>
          </w:tcPr>
          <w:p w14:paraId="341ADBD2"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应收票据坏账损失</w:t>
            </w:r>
          </w:p>
        </w:tc>
        <w:tc>
          <w:tcPr>
            <w:tcW w:w="1269" w:type="pct"/>
            <w:shd w:val="clear" w:color="auto" w:fill="auto"/>
            <w:tcMar>
              <w:top w:w="0" w:type="dxa"/>
              <w:left w:w="108" w:type="dxa"/>
              <w:bottom w:w="0" w:type="dxa"/>
              <w:right w:w="108" w:type="dxa"/>
            </w:tcMar>
            <w:vAlign w:val="center"/>
          </w:tcPr>
          <w:p w14:paraId="056FE88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-11.14</w:t>
            </w:r>
          </w:p>
        </w:tc>
        <w:tc>
          <w:tcPr>
            <w:tcW w:w="1269" w:type="pct"/>
            <w:shd w:val="clear" w:color="auto" w:fill="auto"/>
            <w:tcMar>
              <w:top w:w="0" w:type="dxa"/>
              <w:left w:w="108" w:type="dxa"/>
              <w:bottom w:w="0" w:type="dxa"/>
              <w:right w:w="108" w:type="dxa"/>
            </w:tcMar>
            <w:vAlign w:val="center"/>
          </w:tcPr>
          <w:p w14:paraId="313913D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23.13</w:t>
            </w:r>
          </w:p>
        </w:tc>
        <w:tc>
          <w:tcPr>
            <w:tcW w:w="1269" w:type="pct"/>
            <w:shd w:val="clear" w:color="auto" w:fill="auto"/>
            <w:tcMar>
              <w:top w:w="0" w:type="dxa"/>
              <w:left w:w="108" w:type="dxa"/>
              <w:bottom w:w="0" w:type="dxa"/>
              <w:right w:w="108" w:type="dxa"/>
            </w:tcMar>
            <w:vAlign w:val="center"/>
          </w:tcPr>
          <w:p w14:paraId="75BB9FF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4.39</w:t>
            </w:r>
          </w:p>
        </w:tc>
      </w:tr>
      <w:tr w:rsidR="006416B0" w:rsidRPr="00B4515A" w14:paraId="51F19B2F" w14:textId="77777777" w:rsidTr="00031627">
        <w:trPr>
          <w:trHeight w:val="340"/>
          <w:jc w:val="center"/>
        </w:trPr>
        <w:tc>
          <w:tcPr>
            <w:tcW w:w="1194" w:type="pct"/>
            <w:shd w:val="clear" w:color="auto" w:fill="auto"/>
            <w:tcMar>
              <w:top w:w="0" w:type="dxa"/>
              <w:left w:w="108" w:type="dxa"/>
              <w:bottom w:w="0" w:type="dxa"/>
              <w:right w:w="108" w:type="dxa"/>
            </w:tcMar>
            <w:vAlign w:val="center"/>
          </w:tcPr>
          <w:p w14:paraId="7112AB3E" w14:textId="77777777" w:rsidR="006416B0" w:rsidRPr="00B4515A" w:rsidRDefault="005E58C1" w:rsidP="005860B4">
            <w:pPr>
              <w:adjustRightInd w:val="0"/>
              <w:snapToGrid w:val="0"/>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其他应收款坏账损失</w:t>
            </w:r>
          </w:p>
        </w:tc>
        <w:tc>
          <w:tcPr>
            <w:tcW w:w="1269" w:type="pct"/>
            <w:shd w:val="clear" w:color="auto" w:fill="auto"/>
            <w:tcMar>
              <w:top w:w="0" w:type="dxa"/>
              <w:left w:w="108" w:type="dxa"/>
              <w:bottom w:w="0" w:type="dxa"/>
              <w:right w:w="108" w:type="dxa"/>
            </w:tcMar>
            <w:vAlign w:val="center"/>
          </w:tcPr>
          <w:p w14:paraId="74405C2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-24.65</w:t>
            </w:r>
          </w:p>
        </w:tc>
        <w:tc>
          <w:tcPr>
            <w:tcW w:w="1269" w:type="pct"/>
            <w:shd w:val="clear" w:color="auto" w:fill="auto"/>
            <w:tcMar>
              <w:top w:w="0" w:type="dxa"/>
              <w:left w:w="108" w:type="dxa"/>
              <w:bottom w:w="0" w:type="dxa"/>
              <w:right w:w="108" w:type="dxa"/>
            </w:tcMar>
            <w:vAlign w:val="center"/>
          </w:tcPr>
          <w:p w14:paraId="641C8DC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21.15</w:t>
            </w:r>
          </w:p>
        </w:tc>
        <w:tc>
          <w:tcPr>
            <w:tcW w:w="1269" w:type="pct"/>
            <w:shd w:val="clear" w:color="auto" w:fill="auto"/>
            <w:tcMar>
              <w:top w:w="0" w:type="dxa"/>
              <w:left w:w="108" w:type="dxa"/>
              <w:bottom w:w="0" w:type="dxa"/>
              <w:right w:w="108" w:type="dxa"/>
            </w:tcMar>
            <w:vAlign w:val="center"/>
          </w:tcPr>
          <w:p w14:paraId="3678C38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3.35</w:t>
            </w:r>
          </w:p>
        </w:tc>
      </w:tr>
      <w:tr w:rsidR="006416B0" w:rsidRPr="00B4515A" w14:paraId="02F1D300" w14:textId="77777777" w:rsidTr="00031627">
        <w:trPr>
          <w:trHeight w:val="340"/>
          <w:jc w:val="center"/>
        </w:trPr>
        <w:tc>
          <w:tcPr>
            <w:tcW w:w="1194" w:type="pct"/>
            <w:shd w:val="clear" w:color="auto" w:fill="auto"/>
            <w:tcMar>
              <w:top w:w="0" w:type="dxa"/>
              <w:left w:w="108" w:type="dxa"/>
              <w:bottom w:w="0" w:type="dxa"/>
              <w:right w:w="108" w:type="dxa"/>
            </w:tcMar>
            <w:vAlign w:val="center"/>
          </w:tcPr>
          <w:p w14:paraId="3CDB3A0F"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合计</w:t>
            </w:r>
          </w:p>
        </w:tc>
        <w:tc>
          <w:tcPr>
            <w:tcW w:w="1269" w:type="pct"/>
            <w:shd w:val="clear" w:color="auto" w:fill="auto"/>
            <w:tcMar>
              <w:top w:w="0" w:type="dxa"/>
              <w:left w:w="108" w:type="dxa"/>
              <w:bottom w:w="0" w:type="dxa"/>
              <w:right w:w="108" w:type="dxa"/>
            </w:tcMar>
            <w:vAlign w:val="center"/>
          </w:tcPr>
          <w:p w14:paraId="414F1F13"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733.29</w:t>
            </w:r>
          </w:p>
        </w:tc>
        <w:tc>
          <w:tcPr>
            <w:tcW w:w="1269" w:type="pct"/>
            <w:shd w:val="clear" w:color="auto" w:fill="auto"/>
            <w:tcMar>
              <w:top w:w="0" w:type="dxa"/>
              <w:left w:w="108" w:type="dxa"/>
              <w:bottom w:w="0" w:type="dxa"/>
              <w:right w:w="108" w:type="dxa"/>
            </w:tcMar>
            <w:vAlign w:val="center"/>
          </w:tcPr>
          <w:p w14:paraId="1367FCA3"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937.43</w:t>
            </w:r>
          </w:p>
        </w:tc>
        <w:tc>
          <w:tcPr>
            <w:tcW w:w="1269" w:type="pct"/>
            <w:shd w:val="clear" w:color="auto" w:fill="auto"/>
            <w:tcMar>
              <w:top w:w="0" w:type="dxa"/>
              <w:left w:w="108" w:type="dxa"/>
              <w:bottom w:w="0" w:type="dxa"/>
              <w:right w:w="108" w:type="dxa"/>
            </w:tcMar>
            <w:vAlign w:val="center"/>
          </w:tcPr>
          <w:p w14:paraId="1753BFCD"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539.13</w:t>
            </w:r>
          </w:p>
        </w:tc>
      </w:tr>
    </w:tbl>
    <w:p w14:paraId="12384AF8" w14:textId="5B07D4B5" w:rsidR="006416B0" w:rsidRPr="00B4515A" w:rsidRDefault="005E58C1" w:rsidP="003357B7">
      <w:pPr>
        <w:pStyle w:val="005"/>
        <w:spacing w:before="120" w:after="120"/>
        <w:ind w:firstLine="480"/>
      </w:pPr>
      <w:r w:rsidRPr="00B4515A">
        <w:rPr>
          <w:rFonts w:hint="eastAsia"/>
        </w:rPr>
        <w:t>报告期各期，大唐联诚信用减值损失分别为</w:t>
      </w:r>
      <w:r w:rsidRPr="00B4515A">
        <w:t>539.13</w:t>
      </w:r>
      <w:r w:rsidRPr="00B4515A">
        <w:rPr>
          <w:rFonts w:hint="eastAsia"/>
        </w:rPr>
        <w:t>万元、</w:t>
      </w:r>
      <w:r w:rsidRPr="00B4515A">
        <w:t>937.43</w:t>
      </w:r>
      <w:r w:rsidRPr="00B4515A">
        <w:rPr>
          <w:rFonts w:hint="eastAsia"/>
        </w:rPr>
        <w:t>万元、</w:t>
      </w:r>
      <w:r w:rsidRPr="00B4515A">
        <w:t>733.29</w:t>
      </w:r>
      <w:r w:rsidRPr="00B4515A">
        <w:rPr>
          <w:rFonts w:hint="eastAsia"/>
        </w:rPr>
        <w:t>万元，占各期营业收入的比例分别为</w:t>
      </w:r>
      <w:r w:rsidRPr="00B4515A">
        <w:t>1.4</w:t>
      </w:r>
      <w:r w:rsidR="00E73987" w:rsidRPr="00B4515A">
        <w:t>7</w:t>
      </w:r>
      <w:r w:rsidRPr="00B4515A">
        <w:t>%</w:t>
      </w:r>
      <w:r w:rsidRPr="00B4515A">
        <w:rPr>
          <w:rFonts w:hint="eastAsia"/>
        </w:rPr>
        <w:t>、</w:t>
      </w:r>
      <w:r w:rsidRPr="00B4515A">
        <w:t>1.70%</w:t>
      </w:r>
      <w:r w:rsidRPr="00B4515A">
        <w:rPr>
          <w:rFonts w:hint="eastAsia"/>
        </w:rPr>
        <w:t>、</w:t>
      </w:r>
      <w:r w:rsidRPr="00B4515A">
        <w:t>5.75%</w:t>
      </w:r>
      <w:r w:rsidRPr="00B4515A">
        <w:rPr>
          <w:rFonts w:hint="eastAsia"/>
        </w:rPr>
        <w:t>。报告期内，大唐联诚</w:t>
      </w:r>
      <w:r w:rsidRPr="00B4515A">
        <w:t>信用减值损失</w:t>
      </w:r>
      <w:r w:rsidRPr="00B4515A">
        <w:rPr>
          <w:rFonts w:hint="eastAsia"/>
        </w:rPr>
        <w:t>中主要是</w:t>
      </w:r>
      <w:r w:rsidRPr="00B4515A">
        <w:rPr>
          <w:color w:val="000000"/>
        </w:rPr>
        <w:t>应收账款坏账损失</w:t>
      </w:r>
      <w:r w:rsidRPr="00B4515A">
        <w:rPr>
          <w:rFonts w:hint="eastAsia"/>
          <w:color w:val="000000"/>
        </w:rPr>
        <w:t>为主。</w:t>
      </w:r>
      <w:r w:rsidRPr="00B4515A">
        <w:rPr>
          <w:color w:val="000000"/>
        </w:rPr>
        <w:t>2021</w:t>
      </w:r>
      <w:r w:rsidRPr="00B4515A">
        <w:rPr>
          <w:rFonts w:hint="eastAsia"/>
          <w:color w:val="000000"/>
        </w:rPr>
        <w:t>年</w:t>
      </w:r>
      <w:r w:rsidRPr="00B4515A">
        <w:rPr>
          <w:color w:val="000000"/>
        </w:rPr>
        <w:t>1-4</w:t>
      </w:r>
      <w:r w:rsidRPr="00B4515A">
        <w:rPr>
          <w:rFonts w:hint="eastAsia"/>
          <w:color w:val="000000"/>
        </w:rPr>
        <w:t>月</w:t>
      </w:r>
      <w:r w:rsidRPr="00B4515A">
        <w:t>信用减值损失</w:t>
      </w:r>
      <w:r w:rsidRPr="00B4515A">
        <w:rPr>
          <w:rFonts w:hint="eastAsia"/>
        </w:rPr>
        <w:t>占收入比例较高，主要系大唐联诚</w:t>
      </w:r>
      <w:r w:rsidRPr="00B4515A">
        <w:t>2021</w:t>
      </w:r>
      <w:r w:rsidRPr="00B4515A">
        <w:rPr>
          <w:rFonts w:hint="eastAsia"/>
        </w:rPr>
        <w:t>年</w:t>
      </w:r>
      <w:r w:rsidRPr="00B4515A">
        <w:t>4</w:t>
      </w:r>
      <w:r w:rsidRPr="00B4515A">
        <w:rPr>
          <w:rFonts w:hint="eastAsia"/>
        </w:rPr>
        <w:t>月末应收账款增加所致。</w:t>
      </w:r>
    </w:p>
    <w:p w14:paraId="14A0C6C5" w14:textId="77777777" w:rsidR="006416B0" w:rsidRPr="00B4515A" w:rsidRDefault="005E58C1" w:rsidP="003357B7">
      <w:pPr>
        <w:pStyle w:val="004"/>
        <w:spacing w:before="120" w:after="120"/>
        <w:ind w:firstLine="482"/>
      </w:pPr>
      <w:r w:rsidRPr="00B4515A">
        <w:rPr>
          <w:rFonts w:hint="eastAsia"/>
        </w:rPr>
        <w:lastRenderedPageBreak/>
        <w:t>9</w:t>
      </w:r>
      <w:r w:rsidRPr="00B4515A">
        <w:rPr>
          <w:rFonts w:hint="eastAsia"/>
        </w:rPr>
        <w:t>、</w:t>
      </w:r>
      <w:r w:rsidRPr="00B4515A">
        <w:t>资产减值损失</w:t>
      </w:r>
      <w:r w:rsidRPr="00B4515A">
        <w:rPr>
          <w:rFonts w:hint="eastAsia"/>
        </w:rPr>
        <w:t>分析</w:t>
      </w:r>
      <w:r w:rsidRPr="00B4515A">
        <w:fldChar w:fldCharType="begin"/>
      </w:r>
      <w:r w:rsidRPr="00B4515A">
        <w:instrText xml:space="preserve"> LINK Excel.Sheet.12 E:\\</w:instrText>
      </w:r>
      <w:r w:rsidRPr="00B4515A">
        <w:instrText>雍</w:instrText>
      </w:r>
      <w:r w:rsidRPr="00B4515A">
        <w:instrText>\\</w:instrText>
      </w:r>
      <w:r w:rsidRPr="00B4515A">
        <w:instrText>附注排版</w:instrText>
      </w:r>
      <w:r w:rsidRPr="00B4515A">
        <w:instrText>\\2014</w:instrText>
      </w:r>
      <w:r w:rsidRPr="00B4515A">
        <w:instrText>年年报格式</w:instrText>
      </w:r>
      <w:r w:rsidRPr="00B4515A">
        <w:instrText>\\</w:instrText>
      </w:r>
      <w:r w:rsidRPr="00B4515A">
        <w:instrText>附注过渡表</w:instrText>
      </w:r>
      <w:r w:rsidRPr="00B4515A">
        <w:instrText xml:space="preserve">20150130V0910.xlsx </w:instrText>
      </w:r>
      <w:r w:rsidRPr="00B4515A">
        <w:instrText>资产减值损失</w:instrText>
      </w:r>
      <w:r w:rsidRPr="00B4515A">
        <w:instrText>!</w:instrText>
      </w:r>
      <w:r w:rsidRPr="00B4515A">
        <w:instrText>资产减值损失</w:instrText>
      </w:r>
      <w:r w:rsidRPr="00B4515A">
        <w:instrText xml:space="preserve"> \f 4 \h \* MERGEFORMAT </w:instrText>
      </w:r>
      <w:r w:rsidRPr="00B4515A">
        <w:fldChar w:fldCharType="separate"/>
      </w:r>
    </w:p>
    <w:p w14:paraId="76F6204C" w14:textId="77777777" w:rsidR="006416B0" w:rsidRPr="00B4515A" w:rsidRDefault="005E58C1" w:rsidP="003357B7">
      <w:pPr>
        <w:pStyle w:val="005"/>
        <w:spacing w:before="120" w:after="120"/>
        <w:ind w:firstLine="480"/>
      </w:pPr>
      <w:r w:rsidRPr="00B4515A">
        <w:rPr>
          <w:rFonts w:asciiTheme="minorEastAsia" w:eastAsiaTheme="minorEastAsia" w:hAnsiTheme="minorEastAsia"/>
          <w:color w:val="000000" w:themeColor="text1"/>
        </w:rPr>
        <w:fldChar w:fldCharType="end"/>
      </w:r>
      <w:r w:rsidRPr="00B4515A">
        <w:rPr>
          <w:rFonts w:hint="eastAsia"/>
        </w:rPr>
        <w:t>报告期各期，大唐联诚资产减值损失的具体构成明细如下：</w:t>
      </w:r>
    </w:p>
    <w:p w14:paraId="5B41EE4E"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1"/>
        <w:gridCol w:w="2133"/>
        <w:gridCol w:w="2132"/>
        <w:gridCol w:w="2132"/>
      </w:tblGrid>
      <w:tr w:rsidR="006416B0" w:rsidRPr="00B4515A" w14:paraId="110145E3" w14:textId="77777777" w:rsidTr="00EE238F">
        <w:trPr>
          <w:trHeight w:val="340"/>
          <w:jc w:val="center"/>
        </w:trPr>
        <w:tc>
          <w:tcPr>
            <w:tcW w:w="1249" w:type="pct"/>
            <w:shd w:val="clear" w:color="auto" w:fill="auto"/>
            <w:tcMar>
              <w:top w:w="0" w:type="dxa"/>
              <w:left w:w="108" w:type="dxa"/>
              <w:bottom w:w="0" w:type="dxa"/>
              <w:right w:w="108" w:type="dxa"/>
            </w:tcMar>
            <w:vAlign w:val="center"/>
          </w:tcPr>
          <w:p w14:paraId="0B60195B" w14:textId="77777777" w:rsidR="006416B0" w:rsidRPr="00B4515A" w:rsidRDefault="005E58C1" w:rsidP="005860B4">
            <w:pPr>
              <w:adjustRightInd w:val="0"/>
              <w:snapToGrid w:val="0"/>
              <w:jc w:val="center"/>
              <w:rPr>
                <w:rFonts w:ascii="Times New Roman" w:cs="Times New Roman"/>
                <w:b/>
                <w:bCs/>
                <w:color w:val="000000"/>
                <w:sz w:val="21"/>
                <w:szCs w:val="21"/>
              </w:rPr>
            </w:pPr>
            <w:r w:rsidRPr="00B4515A">
              <w:rPr>
                <w:rFonts w:ascii="Times New Roman" w:cs="Times New Roman"/>
                <w:b/>
                <w:bCs/>
                <w:color w:val="000000"/>
                <w:sz w:val="21"/>
                <w:szCs w:val="21"/>
              </w:rPr>
              <w:t>项目</w:t>
            </w:r>
          </w:p>
        </w:tc>
        <w:tc>
          <w:tcPr>
            <w:tcW w:w="1250" w:type="pct"/>
            <w:shd w:val="clear" w:color="auto" w:fill="auto"/>
            <w:tcMar>
              <w:top w:w="0" w:type="dxa"/>
              <w:left w:w="108" w:type="dxa"/>
              <w:bottom w:w="0" w:type="dxa"/>
              <w:right w:w="108" w:type="dxa"/>
            </w:tcMar>
            <w:vAlign w:val="center"/>
          </w:tcPr>
          <w:p w14:paraId="00B96492" w14:textId="77777777" w:rsidR="006416B0" w:rsidRPr="00B4515A" w:rsidRDefault="005E58C1" w:rsidP="005860B4">
            <w:pPr>
              <w:adjustRightInd w:val="0"/>
              <w:snapToGrid w:val="0"/>
              <w:jc w:val="center"/>
              <w:rPr>
                <w:rFonts w:ascii="Times New Roman" w:cs="Times New Roman"/>
                <w:b/>
                <w:bCs/>
                <w:color w:val="000000"/>
                <w:sz w:val="21"/>
                <w:szCs w:val="21"/>
              </w:rPr>
            </w:pPr>
            <w:r w:rsidRPr="00B4515A">
              <w:rPr>
                <w:rFonts w:ascii="Times New Roman" w:cs="Times New Roman"/>
                <w:b/>
                <w:bCs/>
                <w:color w:val="000000"/>
                <w:sz w:val="21"/>
                <w:szCs w:val="21"/>
              </w:rPr>
              <w:t>2021</w:t>
            </w:r>
            <w:r w:rsidRPr="00B4515A">
              <w:rPr>
                <w:rFonts w:ascii="Times New Roman" w:cs="Times New Roman"/>
                <w:b/>
                <w:bCs/>
                <w:color w:val="000000"/>
                <w:sz w:val="21"/>
                <w:szCs w:val="21"/>
              </w:rPr>
              <w:t>年</w:t>
            </w:r>
            <w:r w:rsidRPr="00B4515A">
              <w:rPr>
                <w:rFonts w:ascii="Times New Roman" w:cs="Times New Roman"/>
                <w:b/>
                <w:bCs/>
                <w:color w:val="000000"/>
                <w:sz w:val="21"/>
                <w:szCs w:val="21"/>
              </w:rPr>
              <w:t>1-4</w:t>
            </w:r>
            <w:r w:rsidRPr="00B4515A">
              <w:rPr>
                <w:rFonts w:ascii="Times New Roman" w:cs="Times New Roman"/>
                <w:b/>
                <w:bCs/>
                <w:color w:val="000000"/>
                <w:sz w:val="21"/>
                <w:szCs w:val="21"/>
              </w:rPr>
              <w:t>月</w:t>
            </w:r>
          </w:p>
        </w:tc>
        <w:tc>
          <w:tcPr>
            <w:tcW w:w="1250" w:type="pct"/>
            <w:shd w:val="clear" w:color="auto" w:fill="auto"/>
            <w:tcMar>
              <w:top w:w="0" w:type="dxa"/>
              <w:left w:w="108" w:type="dxa"/>
              <w:bottom w:w="0" w:type="dxa"/>
              <w:right w:w="108" w:type="dxa"/>
            </w:tcMar>
            <w:vAlign w:val="center"/>
          </w:tcPr>
          <w:p w14:paraId="6353E478" w14:textId="77777777" w:rsidR="006416B0" w:rsidRPr="00B4515A" w:rsidRDefault="005E58C1" w:rsidP="005860B4">
            <w:pPr>
              <w:adjustRightInd w:val="0"/>
              <w:snapToGrid w:val="0"/>
              <w:jc w:val="center"/>
              <w:rPr>
                <w:rFonts w:ascii="Times New Roman" w:cs="Times New Roman"/>
                <w:b/>
                <w:bCs/>
                <w:color w:val="000000"/>
                <w:sz w:val="21"/>
                <w:szCs w:val="21"/>
              </w:rPr>
            </w:pPr>
            <w:r w:rsidRPr="00B4515A">
              <w:rPr>
                <w:rFonts w:ascii="Times New Roman" w:cs="Times New Roman"/>
                <w:b/>
                <w:bCs/>
                <w:color w:val="000000"/>
                <w:sz w:val="21"/>
                <w:szCs w:val="21"/>
              </w:rPr>
              <w:t>2020</w:t>
            </w:r>
            <w:r w:rsidRPr="00B4515A">
              <w:rPr>
                <w:rFonts w:ascii="Times New Roman" w:cs="Times New Roman"/>
                <w:b/>
                <w:bCs/>
                <w:color w:val="000000"/>
                <w:sz w:val="21"/>
                <w:szCs w:val="21"/>
              </w:rPr>
              <w:t>年度</w:t>
            </w:r>
          </w:p>
        </w:tc>
        <w:tc>
          <w:tcPr>
            <w:tcW w:w="1250" w:type="pct"/>
            <w:shd w:val="clear" w:color="auto" w:fill="auto"/>
            <w:tcMar>
              <w:top w:w="0" w:type="dxa"/>
              <w:left w:w="108" w:type="dxa"/>
              <w:bottom w:w="0" w:type="dxa"/>
              <w:right w:w="108" w:type="dxa"/>
            </w:tcMar>
            <w:vAlign w:val="center"/>
          </w:tcPr>
          <w:p w14:paraId="2470A89D" w14:textId="77777777" w:rsidR="006416B0" w:rsidRPr="00B4515A" w:rsidRDefault="005E58C1" w:rsidP="005860B4">
            <w:pPr>
              <w:adjustRightInd w:val="0"/>
              <w:snapToGrid w:val="0"/>
              <w:jc w:val="center"/>
              <w:rPr>
                <w:rFonts w:ascii="Times New Roman" w:cs="Times New Roman"/>
                <w:b/>
                <w:bCs/>
                <w:color w:val="000000"/>
                <w:sz w:val="21"/>
                <w:szCs w:val="21"/>
              </w:rPr>
            </w:pPr>
            <w:r w:rsidRPr="00B4515A">
              <w:rPr>
                <w:rFonts w:ascii="Times New Roman" w:cs="Times New Roman"/>
                <w:b/>
                <w:bCs/>
                <w:color w:val="000000"/>
                <w:sz w:val="21"/>
                <w:szCs w:val="21"/>
              </w:rPr>
              <w:t>2019</w:t>
            </w:r>
            <w:r w:rsidRPr="00B4515A">
              <w:rPr>
                <w:rFonts w:ascii="Times New Roman" w:cs="Times New Roman"/>
                <w:b/>
                <w:bCs/>
                <w:color w:val="000000"/>
                <w:sz w:val="21"/>
                <w:szCs w:val="21"/>
              </w:rPr>
              <w:t>年度</w:t>
            </w:r>
          </w:p>
        </w:tc>
      </w:tr>
      <w:tr w:rsidR="006416B0" w:rsidRPr="00B4515A" w14:paraId="16EF52DB" w14:textId="77777777" w:rsidTr="00031627">
        <w:trPr>
          <w:trHeight w:val="340"/>
          <w:jc w:val="center"/>
        </w:trPr>
        <w:tc>
          <w:tcPr>
            <w:tcW w:w="1249" w:type="pct"/>
            <w:shd w:val="clear" w:color="auto" w:fill="auto"/>
            <w:tcMar>
              <w:top w:w="0" w:type="dxa"/>
              <w:left w:w="108" w:type="dxa"/>
              <w:bottom w:w="0" w:type="dxa"/>
              <w:right w:w="108" w:type="dxa"/>
            </w:tcMar>
            <w:vAlign w:val="center"/>
          </w:tcPr>
          <w:p w14:paraId="78E2C770" w14:textId="567817AB" w:rsidR="006416B0" w:rsidRPr="00B4515A" w:rsidRDefault="0085357A" w:rsidP="005860B4">
            <w:pPr>
              <w:adjustRightInd w:val="0"/>
              <w:snapToGrid w:val="0"/>
              <w:jc w:val="center"/>
              <w:rPr>
                <w:rFonts w:ascii="Times New Roman" w:cs="Times New Roman"/>
                <w:color w:val="000000"/>
                <w:sz w:val="21"/>
                <w:szCs w:val="21"/>
              </w:rPr>
            </w:pPr>
            <w:r w:rsidRPr="00B4515A">
              <w:rPr>
                <w:rFonts w:ascii="Times New Roman" w:cs="Times New Roman" w:hint="eastAsia"/>
                <w:color w:val="000000"/>
                <w:sz w:val="21"/>
                <w:szCs w:val="21"/>
              </w:rPr>
              <w:t>预付账款坏账损失</w:t>
            </w:r>
          </w:p>
        </w:tc>
        <w:tc>
          <w:tcPr>
            <w:tcW w:w="1250" w:type="pct"/>
            <w:shd w:val="clear" w:color="auto" w:fill="auto"/>
            <w:tcMar>
              <w:top w:w="0" w:type="dxa"/>
              <w:left w:w="108" w:type="dxa"/>
              <w:bottom w:w="0" w:type="dxa"/>
              <w:right w:w="108" w:type="dxa"/>
            </w:tcMar>
            <w:vAlign w:val="center"/>
          </w:tcPr>
          <w:p w14:paraId="2F0A19CF"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68.54</w:t>
            </w:r>
          </w:p>
        </w:tc>
        <w:tc>
          <w:tcPr>
            <w:tcW w:w="1250" w:type="pct"/>
            <w:shd w:val="clear" w:color="auto" w:fill="auto"/>
            <w:tcMar>
              <w:top w:w="0" w:type="dxa"/>
              <w:left w:w="108" w:type="dxa"/>
              <w:bottom w:w="0" w:type="dxa"/>
              <w:right w:w="108" w:type="dxa"/>
            </w:tcMar>
            <w:vAlign w:val="center"/>
          </w:tcPr>
          <w:p w14:paraId="318CF96F"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-19.85</w:t>
            </w:r>
          </w:p>
        </w:tc>
        <w:tc>
          <w:tcPr>
            <w:tcW w:w="1250" w:type="pct"/>
            <w:shd w:val="clear" w:color="auto" w:fill="auto"/>
            <w:tcMar>
              <w:top w:w="0" w:type="dxa"/>
              <w:left w:w="108" w:type="dxa"/>
              <w:bottom w:w="0" w:type="dxa"/>
              <w:right w:w="108" w:type="dxa"/>
            </w:tcMar>
            <w:vAlign w:val="center"/>
          </w:tcPr>
          <w:p w14:paraId="0849EBFF"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-13.46</w:t>
            </w:r>
          </w:p>
        </w:tc>
      </w:tr>
      <w:tr w:rsidR="006416B0" w:rsidRPr="00B4515A" w14:paraId="137E5495" w14:textId="77777777" w:rsidTr="00031627">
        <w:trPr>
          <w:trHeight w:val="340"/>
          <w:jc w:val="center"/>
        </w:trPr>
        <w:tc>
          <w:tcPr>
            <w:tcW w:w="1249" w:type="pct"/>
            <w:shd w:val="clear" w:color="auto" w:fill="auto"/>
            <w:tcMar>
              <w:top w:w="0" w:type="dxa"/>
              <w:left w:w="108" w:type="dxa"/>
              <w:bottom w:w="0" w:type="dxa"/>
              <w:right w:w="108" w:type="dxa"/>
            </w:tcMar>
            <w:vAlign w:val="center"/>
          </w:tcPr>
          <w:p w14:paraId="764A5E64" w14:textId="77777777" w:rsidR="006416B0" w:rsidRPr="00B4515A" w:rsidRDefault="005E58C1" w:rsidP="005860B4">
            <w:pPr>
              <w:adjustRightInd w:val="0"/>
              <w:snapToGrid w:val="0"/>
              <w:jc w:val="center"/>
              <w:rPr>
                <w:rFonts w:ascii="Times New Roman" w:cs="Times New Roman"/>
                <w:color w:val="000000"/>
                <w:sz w:val="21"/>
                <w:szCs w:val="21"/>
              </w:rPr>
            </w:pPr>
            <w:r w:rsidRPr="00B4515A">
              <w:rPr>
                <w:rFonts w:ascii="Times New Roman" w:cs="Times New Roman"/>
                <w:color w:val="000000"/>
                <w:sz w:val="21"/>
                <w:szCs w:val="21"/>
              </w:rPr>
              <w:t>存货跌价损失</w:t>
            </w:r>
          </w:p>
        </w:tc>
        <w:tc>
          <w:tcPr>
            <w:tcW w:w="1250" w:type="pct"/>
            <w:shd w:val="clear" w:color="auto" w:fill="auto"/>
            <w:tcMar>
              <w:top w:w="0" w:type="dxa"/>
              <w:left w:w="108" w:type="dxa"/>
              <w:bottom w:w="0" w:type="dxa"/>
              <w:right w:w="108" w:type="dxa"/>
            </w:tcMar>
            <w:vAlign w:val="center"/>
          </w:tcPr>
          <w:p w14:paraId="1E14236F"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-16.27</w:t>
            </w:r>
          </w:p>
        </w:tc>
        <w:tc>
          <w:tcPr>
            <w:tcW w:w="1250" w:type="pct"/>
            <w:shd w:val="clear" w:color="auto" w:fill="auto"/>
            <w:tcMar>
              <w:top w:w="0" w:type="dxa"/>
              <w:left w:w="108" w:type="dxa"/>
              <w:bottom w:w="0" w:type="dxa"/>
              <w:right w:w="108" w:type="dxa"/>
            </w:tcMar>
            <w:vAlign w:val="center"/>
          </w:tcPr>
          <w:p w14:paraId="05A00B9B"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76.26</w:t>
            </w:r>
          </w:p>
        </w:tc>
        <w:tc>
          <w:tcPr>
            <w:tcW w:w="1250" w:type="pct"/>
            <w:shd w:val="clear" w:color="auto" w:fill="auto"/>
            <w:tcMar>
              <w:top w:w="0" w:type="dxa"/>
              <w:left w:w="108" w:type="dxa"/>
              <w:bottom w:w="0" w:type="dxa"/>
              <w:right w:w="108" w:type="dxa"/>
            </w:tcMar>
            <w:vAlign w:val="center"/>
          </w:tcPr>
          <w:p w14:paraId="67E9E836"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0.00</w:t>
            </w:r>
          </w:p>
        </w:tc>
      </w:tr>
      <w:tr w:rsidR="006416B0" w:rsidRPr="00B4515A" w14:paraId="2CD2F837" w14:textId="77777777" w:rsidTr="00031627">
        <w:trPr>
          <w:trHeight w:val="340"/>
          <w:jc w:val="center"/>
        </w:trPr>
        <w:tc>
          <w:tcPr>
            <w:tcW w:w="1249" w:type="pct"/>
            <w:shd w:val="clear" w:color="auto" w:fill="auto"/>
            <w:tcMar>
              <w:top w:w="0" w:type="dxa"/>
              <w:left w:w="108" w:type="dxa"/>
              <w:bottom w:w="0" w:type="dxa"/>
              <w:right w:w="108" w:type="dxa"/>
            </w:tcMar>
            <w:vAlign w:val="center"/>
          </w:tcPr>
          <w:p w14:paraId="707FA05B" w14:textId="77777777" w:rsidR="006416B0" w:rsidRPr="00B4515A" w:rsidRDefault="005E58C1" w:rsidP="005860B4">
            <w:pPr>
              <w:adjustRightInd w:val="0"/>
              <w:snapToGrid w:val="0"/>
              <w:jc w:val="center"/>
              <w:rPr>
                <w:rFonts w:ascii="Times New Roman" w:cs="Times New Roman"/>
                <w:b/>
                <w:bCs/>
                <w:color w:val="000000"/>
                <w:sz w:val="21"/>
                <w:szCs w:val="21"/>
              </w:rPr>
            </w:pPr>
            <w:r w:rsidRPr="00B4515A">
              <w:rPr>
                <w:rFonts w:ascii="Times New Roman" w:cs="Times New Roman"/>
                <w:b/>
                <w:bCs/>
                <w:color w:val="000000"/>
                <w:sz w:val="21"/>
                <w:szCs w:val="21"/>
              </w:rPr>
              <w:t>合计</w:t>
            </w:r>
          </w:p>
        </w:tc>
        <w:tc>
          <w:tcPr>
            <w:tcW w:w="1250" w:type="pct"/>
            <w:shd w:val="clear" w:color="auto" w:fill="auto"/>
            <w:tcMar>
              <w:top w:w="0" w:type="dxa"/>
              <w:left w:w="108" w:type="dxa"/>
              <w:bottom w:w="0" w:type="dxa"/>
              <w:right w:w="108" w:type="dxa"/>
            </w:tcMar>
            <w:vAlign w:val="center"/>
          </w:tcPr>
          <w:p w14:paraId="6B37C728" w14:textId="77777777" w:rsidR="006416B0" w:rsidRPr="00B4515A" w:rsidRDefault="005E58C1" w:rsidP="005860B4">
            <w:pPr>
              <w:adjustRightInd w:val="0"/>
              <w:snapToGrid w:val="0"/>
              <w:jc w:val="right"/>
              <w:rPr>
                <w:rFonts w:ascii="Times New Roman" w:cs="Times New Roman"/>
                <w:b/>
                <w:bCs/>
                <w:color w:val="000000"/>
                <w:sz w:val="21"/>
                <w:szCs w:val="21"/>
              </w:rPr>
            </w:pPr>
            <w:r w:rsidRPr="00B4515A">
              <w:rPr>
                <w:rFonts w:ascii="Times New Roman" w:cs="Times New Roman"/>
                <w:b/>
                <w:bCs/>
                <w:color w:val="000000"/>
                <w:sz w:val="21"/>
                <w:szCs w:val="21"/>
              </w:rPr>
              <w:t>52.28</w:t>
            </w:r>
          </w:p>
        </w:tc>
        <w:tc>
          <w:tcPr>
            <w:tcW w:w="1250" w:type="pct"/>
            <w:shd w:val="clear" w:color="auto" w:fill="auto"/>
            <w:tcMar>
              <w:top w:w="0" w:type="dxa"/>
              <w:left w:w="108" w:type="dxa"/>
              <w:bottom w:w="0" w:type="dxa"/>
              <w:right w:w="108" w:type="dxa"/>
            </w:tcMar>
            <w:vAlign w:val="center"/>
          </w:tcPr>
          <w:p w14:paraId="55E02C5C" w14:textId="77777777" w:rsidR="006416B0" w:rsidRPr="00B4515A" w:rsidRDefault="005E58C1" w:rsidP="005860B4">
            <w:pPr>
              <w:adjustRightInd w:val="0"/>
              <w:snapToGrid w:val="0"/>
              <w:jc w:val="right"/>
              <w:rPr>
                <w:rFonts w:ascii="Times New Roman" w:cs="Times New Roman"/>
                <w:b/>
                <w:bCs/>
                <w:color w:val="000000"/>
                <w:sz w:val="21"/>
                <w:szCs w:val="21"/>
              </w:rPr>
            </w:pPr>
            <w:r w:rsidRPr="00B4515A">
              <w:rPr>
                <w:rFonts w:ascii="Times New Roman" w:cs="Times New Roman"/>
                <w:b/>
                <w:bCs/>
                <w:color w:val="000000"/>
                <w:sz w:val="21"/>
                <w:szCs w:val="21"/>
              </w:rPr>
              <w:t>56.40</w:t>
            </w:r>
          </w:p>
        </w:tc>
        <w:tc>
          <w:tcPr>
            <w:tcW w:w="1250" w:type="pct"/>
            <w:shd w:val="clear" w:color="auto" w:fill="auto"/>
            <w:tcMar>
              <w:top w:w="0" w:type="dxa"/>
              <w:left w:w="108" w:type="dxa"/>
              <w:bottom w:w="0" w:type="dxa"/>
              <w:right w:w="108" w:type="dxa"/>
            </w:tcMar>
            <w:vAlign w:val="center"/>
          </w:tcPr>
          <w:p w14:paraId="1412B5BE" w14:textId="77777777" w:rsidR="006416B0" w:rsidRPr="00B4515A" w:rsidRDefault="005E58C1" w:rsidP="005860B4">
            <w:pPr>
              <w:adjustRightInd w:val="0"/>
              <w:snapToGrid w:val="0"/>
              <w:jc w:val="right"/>
              <w:rPr>
                <w:rFonts w:ascii="Times New Roman" w:cs="Times New Roman"/>
                <w:b/>
                <w:bCs/>
                <w:color w:val="000000"/>
                <w:sz w:val="21"/>
                <w:szCs w:val="21"/>
              </w:rPr>
            </w:pPr>
            <w:r w:rsidRPr="00B4515A">
              <w:rPr>
                <w:rFonts w:ascii="Times New Roman" w:cs="Times New Roman"/>
                <w:b/>
                <w:bCs/>
                <w:color w:val="000000"/>
                <w:sz w:val="21"/>
                <w:szCs w:val="21"/>
              </w:rPr>
              <w:t>-13.46</w:t>
            </w:r>
          </w:p>
        </w:tc>
      </w:tr>
    </w:tbl>
    <w:p w14:paraId="348926AE" w14:textId="2B52770A" w:rsidR="006416B0" w:rsidRPr="00B4515A" w:rsidRDefault="005E58C1" w:rsidP="003357B7">
      <w:pPr>
        <w:pStyle w:val="005"/>
        <w:spacing w:before="120" w:after="120"/>
        <w:ind w:firstLine="480"/>
        <w:rPr>
          <w:sz w:val="21"/>
          <w:szCs w:val="21"/>
        </w:rPr>
      </w:pPr>
      <w:r w:rsidRPr="00B4515A">
        <w:rPr>
          <w:rFonts w:hint="eastAsia"/>
        </w:rPr>
        <w:t>报告期各期，大唐联诚资产减值损失分别为</w:t>
      </w:r>
      <w:r w:rsidRPr="00B4515A">
        <w:t>-13.46</w:t>
      </w:r>
      <w:r w:rsidRPr="00B4515A">
        <w:rPr>
          <w:rFonts w:hint="eastAsia"/>
        </w:rPr>
        <w:t>万元、</w:t>
      </w:r>
      <w:r w:rsidRPr="00B4515A">
        <w:t>56.40</w:t>
      </w:r>
      <w:r w:rsidRPr="00B4515A">
        <w:rPr>
          <w:rFonts w:hint="eastAsia"/>
        </w:rPr>
        <w:t>万元、</w:t>
      </w:r>
      <w:r w:rsidRPr="00B4515A">
        <w:t>52.28</w:t>
      </w:r>
      <w:r w:rsidRPr="00B4515A">
        <w:rPr>
          <w:rFonts w:hint="eastAsia"/>
        </w:rPr>
        <w:t>万元，占各期营业收入的比例分别为</w:t>
      </w:r>
      <w:r w:rsidR="00662AFF" w:rsidRPr="00B4515A">
        <w:rPr>
          <w:rFonts w:hint="eastAsia"/>
        </w:rPr>
        <w:t>-</w:t>
      </w:r>
      <w:r w:rsidRPr="00B4515A">
        <w:t>0.04%</w:t>
      </w:r>
      <w:r w:rsidRPr="00B4515A">
        <w:rPr>
          <w:rFonts w:hint="eastAsia"/>
        </w:rPr>
        <w:t>、</w:t>
      </w:r>
      <w:r w:rsidRPr="00B4515A">
        <w:t>0.10%</w:t>
      </w:r>
      <w:r w:rsidRPr="00B4515A">
        <w:rPr>
          <w:rFonts w:hint="eastAsia"/>
        </w:rPr>
        <w:t>、</w:t>
      </w:r>
      <w:r w:rsidRPr="00B4515A">
        <w:t>0.41%</w:t>
      </w:r>
      <w:r w:rsidRPr="00B4515A">
        <w:rPr>
          <w:rFonts w:hint="eastAsia"/>
        </w:rPr>
        <w:t>。报告期内大唐联诚资产减值损失主要由</w:t>
      </w:r>
      <w:r w:rsidRPr="00B4515A">
        <w:t>坏账损失</w:t>
      </w:r>
      <w:r w:rsidRPr="00B4515A">
        <w:rPr>
          <w:rFonts w:hint="eastAsia"/>
        </w:rPr>
        <w:t>、</w:t>
      </w:r>
      <w:r w:rsidRPr="00B4515A">
        <w:t>存货跌价损失</w:t>
      </w:r>
      <w:r w:rsidRPr="00B4515A">
        <w:rPr>
          <w:rFonts w:hint="eastAsia"/>
        </w:rPr>
        <w:t>构成</w:t>
      </w:r>
      <w:r w:rsidRPr="00B4515A">
        <w:rPr>
          <w:rFonts w:hint="eastAsia"/>
          <w:sz w:val="21"/>
          <w:szCs w:val="21"/>
        </w:rPr>
        <w:t>。</w:t>
      </w:r>
    </w:p>
    <w:p w14:paraId="0C9DACBE" w14:textId="77777777" w:rsidR="006416B0" w:rsidRPr="00B4515A" w:rsidRDefault="005E58C1" w:rsidP="003357B7">
      <w:pPr>
        <w:pStyle w:val="004"/>
        <w:spacing w:before="120" w:after="120"/>
        <w:ind w:firstLine="482"/>
      </w:pPr>
      <w:r w:rsidRPr="00B4515A">
        <w:rPr>
          <w:rFonts w:hint="eastAsia"/>
        </w:rPr>
        <w:t>1</w:t>
      </w:r>
      <w:r w:rsidRPr="00B4515A">
        <w:t>0</w:t>
      </w:r>
      <w:r w:rsidRPr="00B4515A">
        <w:rPr>
          <w:rFonts w:hint="eastAsia"/>
        </w:rPr>
        <w:t>、资产处置收益分析</w:t>
      </w:r>
    </w:p>
    <w:p w14:paraId="17F8AC19" w14:textId="77777777" w:rsidR="006416B0" w:rsidRPr="00B4515A" w:rsidRDefault="005E58C1" w:rsidP="003357B7">
      <w:pPr>
        <w:pStyle w:val="005"/>
        <w:spacing w:before="120" w:after="120"/>
        <w:ind w:firstLine="480"/>
      </w:pPr>
      <w:r w:rsidRPr="00B4515A">
        <w:rPr>
          <w:rFonts w:hint="eastAsia"/>
        </w:rPr>
        <w:t>报告期各期，大唐联诚资产处置收益的具体构成明细如下：</w:t>
      </w:r>
    </w:p>
    <w:p w14:paraId="39EF01F7"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2A678429"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212B3421"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项目</w:t>
            </w:r>
          </w:p>
        </w:tc>
        <w:tc>
          <w:tcPr>
            <w:tcW w:w="1250" w:type="pct"/>
            <w:shd w:val="clear" w:color="auto" w:fill="auto"/>
            <w:tcMar>
              <w:top w:w="0" w:type="dxa"/>
              <w:left w:w="108" w:type="dxa"/>
              <w:bottom w:w="0" w:type="dxa"/>
              <w:right w:w="108" w:type="dxa"/>
            </w:tcMar>
            <w:vAlign w:val="center"/>
          </w:tcPr>
          <w:p w14:paraId="117B8FD6"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2021</w:t>
            </w:r>
            <w:r w:rsidRPr="00B4515A">
              <w:rPr>
                <w:rFonts w:ascii="Times New Roman" w:eastAsiaTheme="minorEastAsia" w:cs="Times New Roman"/>
                <w:b/>
                <w:bCs/>
                <w:color w:val="000000"/>
                <w:sz w:val="21"/>
                <w:szCs w:val="21"/>
              </w:rPr>
              <w:t>年</w:t>
            </w:r>
            <w:r w:rsidRPr="00B4515A">
              <w:rPr>
                <w:rFonts w:ascii="Times New Roman" w:eastAsiaTheme="minorEastAsia" w:cs="Times New Roman"/>
                <w:b/>
                <w:bCs/>
                <w:color w:val="000000"/>
                <w:sz w:val="21"/>
                <w:szCs w:val="21"/>
              </w:rPr>
              <w:t>1-4</w:t>
            </w:r>
            <w:r w:rsidRPr="00B4515A">
              <w:rPr>
                <w:rFonts w:ascii="Times New Roman" w:eastAsiaTheme="minorEastAsia" w:cs="Times New Roman"/>
                <w:b/>
                <w:bCs/>
                <w:color w:val="000000"/>
                <w:sz w:val="21"/>
                <w:szCs w:val="21"/>
              </w:rPr>
              <w:t>月</w:t>
            </w:r>
          </w:p>
        </w:tc>
        <w:tc>
          <w:tcPr>
            <w:tcW w:w="1250" w:type="pct"/>
            <w:shd w:val="clear" w:color="auto" w:fill="auto"/>
            <w:tcMar>
              <w:top w:w="0" w:type="dxa"/>
              <w:left w:w="108" w:type="dxa"/>
              <w:bottom w:w="0" w:type="dxa"/>
              <w:right w:w="108" w:type="dxa"/>
            </w:tcMar>
            <w:vAlign w:val="center"/>
          </w:tcPr>
          <w:p w14:paraId="4C49C0E9"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2020</w:t>
            </w:r>
            <w:r w:rsidRPr="00B4515A">
              <w:rPr>
                <w:rFonts w:ascii="Times New Roman" w:eastAsiaTheme="minorEastAsia" w:cs="Times New Roman"/>
                <w:b/>
                <w:bCs/>
                <w:color w:val="000000"/>
                <w:sz w:val="21"/>
                <w:szCs w:val="21"/>
              </w:rPr>
              <w:t>年度</w:t>
            </w:r>
          </w:p>
        </w:tc>
        <w:tc>
          <w:tcPr>
            <w:tcW w:w="1250" w:type="pct"/>
            <w:shd w:val="clear" w:color="auto" w:fill="auto"/>
            <w:tcMar>
              <w:top w:w="0" w:type="dxa"/>
              <w:left w:w="108" w:type="dxa"/>
              <w:bottom w:w="0" w:type="dxa"/>
              <w:right w:w="108" w:type="dxa"/>
            </w:tcMar>
            <w:vAlign w:val="center"/>
          </w:tcPr>
          <w:p w14:paraId="447A7F04"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2019</w:t>
            </w:r>
            <w:r w:rsidRPr="00B4515A">
              <w:rPr>
                <w:rFonts w:ascii="Times New Roman" w:eastAsiaTheme="minorEastAsia" w:cs="Times New Roman"/>
                <w:b/>
                <w:bCs/>
                <w:color w:val="000000"/>
                <w:sz w:val="21"/>
                <w:szCs w:val="21"/>
              </w:rPr>
              <w:t>年度</w:t>
            </w:r>
          </w:p>
        </w:tc>
      </w:tr>
      <w:tr w:rsidR="006416B0" w:rsidRPr="00B4515A" w14:paraId="72F5ACD1"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6045EC37"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非流动资产处置利得</w:t>
            </w:r>
          </w:p>
        </w:tc>
        <w:tc>
          <w:tcPr>
            <w:tcW w:w="1250" w:type="pct"/>
            <w:shd w:val="clear" w:color="auto" w:fill="auto"/>
            <w:tcMar>
              <w:top w:w="0" w:type="dxa"/>
              <w:left w:w="108" w:type="dxa"/>
              <w:bottom w:w="0" w:type="dxa"/>
              <w:right w:w="108" w:type="dxa"/>
            </w:tcMar>
            <w:vAlign w:val="center"/>
          </w:tcPr>
          <w:p w14:paraId="7583D33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hint="eastAsia"/>
                <w:color w:val="000000"/>
                <w:sz w:val="21"/>
                <w:szCs w:val="21"/>
              </w:rPr>
              <w:t>-</w:t>
            </w:r>
          </w:p>
        </w:tc>
        <w:tc>
          <w:tcPr>
            <w:tcW w:w="1250" w:type="pct"/>
            <w:shd w:val="clear" w:color="auto" w:fill="auto"/>
            <w:tcMar>
              <w:top w:w="0" w:type="dxa"/>
              <w:left w:w="108" w:type="dxa"/>
              <w:bottom w:w="0" w:type="dxa"/>
              <w:right w:w="108" w:type="dxa"/>
            </w:tcMar>
            <w:vAlign w:val="center"/>
          </w:tcPr>
          <w:p w14:paraId="5D4AF1F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12.29</w:t>
            </w:r>
          </w:p>
        </w:tc>
        <w:tc>
          <w:tcPr>
            <w:tcW w:w="1250" w:type="pct"/>
            <w:shd w:val="clear" w:color="auto" w:fill="auto"/>
            <w:tcMar>
              <w:top w:w="0" w:type="dxa"/>
              <w:left w:w="108" w:type="dxa"/>
              <w:bottom w:w="0" w:type="dxa"/>
              <w:right w:w="108" w:type="dxa"/>
            </w:tcMar>
            <w:vAlign w:val="center"/>
          </w:tcPr>
          <w:p w14:paraId="1F3297C9" w14:textId="5830D4E2"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w:t>
            </w:r>
            <w:r w:rsidR="001B704D" w:rsidRPr="00B4515A">
              <w:rPr>
                <w:rFonts w:ascii="Times New Roman" w:eastAsiaTheme="minorEastAsia" w:cs="Times New Roman"/>
                <w:color w:val="000000"/>
                <w:sz w:val="21"/>
                <w:szCs w:val="21"/>
              </w:rPr>
              <w:t>54</w:t>
            </w:r>
          </w:p>
        </w:tc>
      </w:tr>
      <w:tr w:rsidR="006416B0" w:rsidRPr="00B4515A" w14:paraId="593CCD9F"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5F3D3F9"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合计</w:t>
            </w:r>
          </w:p>
        </w:tc>
        <w:tc>
          <w:tcPr>
            <w:tcW w:w="1250" w:type="pct"/>
            <w:shd w:val="clear" w:color="auto" w:fill="auto"/>
            <w:tcMar>
              <w:top w:w="0" w:type="dxa"/>
              <w:left w:w="108" w:type="dxa"/>
              <w:bottom w:w="0" w:type="dxa"/>
              <w:right w:w="108" w:type="dxa"/>
            </w:tcMar>
            <w:vAlign w:val="center"/>
          </w:tcPr>
          <w:p w14:paraId="0617CFA7"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hint="eastAsia"/>
                <w:b/>
                <w:bCs/>
                <w:color w:val="000000"/>
                <w:sz w:val="21"/>
                <w:szCs w:val="21"/>
              </w:rPr>
              <w:t>-</w:t>
            </w:r>
          </w:p>
        </w:tc>
        <w:tc>
          <w:tcPr>
            <w:tcW w:w="1250" w:type="pct"/>
            <w:shd w:val="clear" w:color="auto" w:fill="auto"/>
            <w:tcMar>
              <w:top w:w="0" w:type="dxa"/>
              <w:left w:w="108" w:type="dxa"/>
              <w:bottom w:w="0" w:type="dxa"/>
              <w:right w:w="108" w:type="dxa"/>
            </w:tcMar>
            <w:vAlign w:val="center"/>
          </w:tcPr>
          <w:p w14:paraId="5A85E520" w14:textId="77777777"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12.29</w:t>
            </w:r>
          </w:p>
        </w:tc>
        <w:tc>
          <w:tcPr>
            <w:tcW w:w="1250" w:type="pct"/>
            <w:shd w:val="clear" w:color="auto" w:fill="auto"/>
            <w:tcMar>
              <w:top w:w="0" w:type="dxa"/>
              <w:left w:w="108" w:type="dxa"/>
              <w:bottom w:w="0" w:type="dxa"/>
              <w:right w:w="108" w:type="dxa"/>
            </w:tcMar>
            <w:vAlign w:val="center"/>
          </w:tcPr>
          <w:p w14:paraId="5DB3E3F3" w14:textId="6463D32B" w:rsidR="006416B0" w:rsidRPr="00B4515A" w:rsidRDefault="005E58C1"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3.</w:t>
            </w:r>
            <w:r w:rsidR="001B704D" w:rsidRPr="00B4515A">
              <w:rPr>
                <w:rFonts w:ascii="Times New Roman" w:eastAsiaTheme="minorEastAsia" w:cs="Times New Roman"/>
                <w:b/>
                <w:bCs/>
                <w:color w:val="000000"/>
                <w:sz w:val="21"/>
                <w:szCs w:val="21"/>
              </w:rPr>
              <w:t>54</w:t>
            </w:r>
          </w:p>
        </w:tc>
      </w:tr>
    </w:tbl>
    <w:p w14:paraId="0CA93FA1" w14:textId="40F74434" w:rsidR="006416B0" w:rsidRPr="00B4515A" w:rsidRDefault="005E58C1" w:rsidP="003357B7">
      <w:pPr>
        <w:pStyle w:val="005"/>
        <w:spacing w:before="120" w:after="120"/>
        <w:ind w:firstLine="480"/>
      </w:pPr>
      <w:r w:rsidRPr="00B4515A">
        <w:rPr>
          <w:rFonts w:hint="eastAsia"/>
        </w:rPr>
        <w:t>报告期内</w:t>
      </w:r>
      <w:r w:rsidR="00662AFF" w:rsidRPr="00B4515A">
        <w:rPr>
          <w:rFonts w:hint="eastAsia"/>
        </w:rPr>
        <w:t>各期，大</w:t>
      </w:r>
      <w:r w:rsidRPr="00B4515A">
        <w:rPr>
          <w:rFonts w:hint="eastAsia"/>
        </w:rPr>
        <w:t>唐联</w:t>
      </w:r>
      <w:r w:rsidR="00E01119" w:rsidRPr="00B4515A">
        <w:rPr>
          <w:rFonts w:hint="eastAsia"/>
        </w:rPr>
        <w:t>诚</w:t>
      </w:r>
      <w:r w:rsidRPr="00B4515A">
        <w:rPr>
          <w:rFonts w:hint="eastAsia"/>
        </w:rPr>
        <w:t>资产处置收益分别为</w:t>
      </w:r>
      <w:r w:rsidRPr="00B4515A">
        <w:rPr>
          <w:color w:val="000000"/>
        </w:rPr>
        <w:t>3.</w:t>
      </w:r>
      <w:r w:rsidR="001B704D" w:rsidRPr="00B4515A">
        <w:rPr>
          <w:color w:val="000000"/>
        </w:rPr>
        <w:t>54</w:t>
      </w:r>
      <w:r w:rsidRPr="00B4515A">
        <w:rPr>
          <w:rFonts w:hint="eastAsia"/>
          <w:color w:val="000000"/>
        </w:rPr>
        <w:t>万元、</w:t>
      </w:r>
      <w:r w:rsidRPr="00B4515A">
        <w:rPr>
          <w:color w:val="000000"/>
        </w:rPr>
        <w:t>12.29</w:t>
      </w:r>
      <w:r w:rsidRPr="00B4515A">
        <w:rPr>
          <w:rFonts w:hint="eastAsia"/>
          <w:color w:val="000000"/>
        </w:rPr>
        <w:t>万元、</w:t>
      </w:r>
      <w:r w:rsidRPr="00B4515A">
        <w:rPr>
          <w:color w:val="000000"/>
        </w:rPr>
        <w:t>0.00</w:t>
      </w:r>
      <w:r w:rsidRPr="00B4515A">
        <w:rPr>
          <w:rFonts w:hint="eastAsia"/>
          <w:color w:val="000000"/>
        </w:rPr>
        <w:t>万元</w:t>
      </w:r>
      <w:r w:rsidRPr="00B4515A">
        <w:rPr>
          <w:rFonts w:hint="eastAsia"/>
        </w:rPr>
        <w:t>，主要是对外销售固定资产活动的收益。</w:t>
      </w:r>
    </w:p>
    <w:p w14:paraId="53FAC86C" w14:textId="77777777" w:rsidR="006416B0" w:rsidRPr="00B4515A" w:rsidRDefault="005E58C1" w:rsidP="003357B7">
      <w:pPr>
        <w:pStyle w:val="004"/>
        <w:spacing w:before="120" w:after="120"/>
        <w:ind w:firstLine="482"/>
      </w:pPr>
      <w:r w:rsidRPr="00B4515A">
        <w:rPr>
          <w:rFonts w:hint="eastAsia"/>
        </w:rPr>
        <w:t>1</w:t>
      </w:r>
      <w:r w:rsidRPr="00B4515A">
        <w:t>1</w:t>
      </w:r>
      <w:r w:rsidRPr="00B4515A">
        <w:rPr>
          <w:rFonts w:hint="eastAsia"/>
        </w:rPr>
        <w:t>、</w:t>
      </w:r>
      <w:r w:rsidRPr="00B4515A">
        <w:t>营业外收入</w:t>
      </w:r>
      <w:r w:rsidRPr="00B4515A">
        <w:rPr>
          <w:rFonts w:hint="eastAsia"/>
        </w:rPr>
        <w:t>分析</w:t>
      </w:r>
      <w:r w:rsidRPr="00B4515A">
        <w:fldChar w:fldCharType="begin"/>
      </w:r>
      <w:r w:rsidRPr="00B4515A">
        <w:instrText xml:space="preserve"> LINK Excel.Sheet.12 E:\\</w:instrText>
      </w:r>
      <w:r w:rsidRPr="00B4515A">
        <w:instrText>雍</w:instrText>
      </w:r>
      <w:r w:rsidRPr="00B4515A">
        <w:instrText>\\</w:instrText>
      </w:r>
      <w:r w:rsidRPr="00B4515A">
        <w:instrText>附注排版</w:instrText>
      </w:r>
      <w:r w:rsidRPr="00B4515A">
        <w:instrText>\\2014</w:instrText>
      </w:r>
      <w:r w:rsidRPr="00B4515A">
        <w:instrText>年年报格式</w:instrText>
      </w:r>
      <w:r w:rsidRPr="00B4515A">
        <w:instrText>\\</w:instrText>
      </w:r>
      <w:r w:rsidRPr="00B4515A">
        <w:instrText>附注过渡表</w:instrText>
      </w:r>
      <w:r w:rsidRPr="00B4515A">
        <w:instrText xml:space="preserve">20150130V0910.xlsx </w:instrText>
      </w:r>
      <w:r w:rsidRPr="00B4515A">
        <w:instrText>营业外收入</w:instrText>
      </w:r>
      <w:r w:rsidRPr="00B4515A">
        <w:instrText>!</w:instrText>
      </w:r>
      <w:r w:rsidRPr="00B4515A">
        <w:instrText>营业外收入</w:instrText>
      </w:r>
      <w:r w:rsidRPr="00B4515A">
        <w:instrText xml:space="preserve"> \f 4 \h \* MERGEFORMAT </w:instrText>
      </w:r>
      <w:r w:rsidRPr="00B4515A">
        <w:fldChar w:fldCharType="separate"/>
      </w:r>
    </w:p>
    <w:p w14:paraId="56E7B545" w14:textId="77777777" w:rsidR="006416B0" w:rsidRPr="00B4515A" w:rsidRDefault="005E58C1" w:rsidP="003357B7">
      <w:pPr>
        <w:pStyle w:val="005"/>
        <w:spacing w:before="120" w:after="120"/>
        <w:ind w:firstLine="480"/>
      </w:pPr>
      <w:r w:rsidRPr="00B4515A">
        <w:rPr>
          <w:color w:val="000000" w:themeColor="text1"/>
        </w:rPr>
        <w:fldChar w:fldCharType="end"/>
      </w:r>
      <w:r w:rsidRPr="00B4515A">
        <w:rPr>
          <w:rFonts w:hint="eastAsia"/>
        </w:rPr>
        <w:t>报告期各期，大唐联诚营业外收入的具体构成明细如下：</w:t>
      </w:r>
    </w:p>
    <w:p w14:paraId="1221F056"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77BBCBBF"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3B0DC5AB"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项目</w:t>
            </w:r>
          </w:p>
        </w:tc>
        <w:tc>
          <w:tcPr>
            <w:tcW w:w="1250" w:type="pct"/>
            <w:shd w:val="clear" w:color="auto" w:fill="auto"/>
            <w:tcMar>
              <w:top w:w="0" w:type="dxa"/>
              <w:left w:w="108" w:type="dxa"/>
              <w:bottom w:w="0" w:type="dxa"/>
              <w:right w:w="108" w:type="dxa"/>
            </w:tcMar>
            <w:vAlign w:val="center"/>
          </w:tcPr>
          <w:p w14:paraId="1A651454"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w:t>
            </w:r>
            <w:r w:rsidRPr="00B4515A">
              <w:rPr>
                <w:rFonts w:ascii="Times New Roman" w:hAnsi="Times New Roman" w:cs="Times New Roman"/>
                <w:b/>
                <w:bCs/>
                <w:color w:val="000000"/>
                <w:sz w:val="21"/>
                <w:szCs w:val="21"/>
              </w:rPr>
              <w:t>年</w:t>
            </w:r>
            <w:r w:rsidRPr="00B4515A">
              <w:rPr>
                <w:rFonts w:ascii="Times New Roman" w:hAnsi="Times New Roman" w:cs="Times New Roman"/>
                <w:b/>
                <w:bCs/>
                <w:color w:val="000000"/>
                <w:sz w:val="21"/>
                <w:szCs w:val="21"/>
              </w:rPr>
              <w:t>1-4</w:t>
            </w:r>
            <w:r w:rsidRPr="00B4515A">
              <w:rPr>
                <w:rFonts w:ascii="Times New Roman" w:hAnsi="Times New Roman" w:cs="Times New Roman"/>
                <w:b/>
                <w:bCs/>
                <w:color w:val="000000"/>
                <w:sz w:val="21"/>
                <w:szCs w:val="21"/>
              </w:rPr>
              <w:t>月</w:t>
            </w:r>
          </w:p>
        </w:tc>
        <w:tc>
          <w:tcPr>
            <w:tcW w:w="1250" w:type="pct"/>
            <w:shd w:val="clear" w:color="auto" w:fill="auto"/>
            <w:tcMar>
              <w:top w:w="0" w:type="dxa"/>
              <w:left w:w="108" w:type="dxa"/>
              <w:bottom w:w="0" w:type="dxa"/>
              <w:right w:w="108" w:type="dxa"/>
            </w:tcMar>
            <w:vAlign w:val="center"/>
          </w:tcPr>
          <w:p w14:paraId="32C9A0E0"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w:t>
            </w:r>
            <w:r w:rsidRPr="00B4515A">
              <w:rPr>
                <w:rFonts w:ascii="Times New Roman" w:hAnsi="Times New Roman" w:cs="Times New Roman"/>
                <w:b/>
                <w:bCs/>
                <w:color w:val="000000"/>
                <w:sz w:val="21"/>
                <w:szCs w:val="21"/>
              </w:rPr>
              <w:t>年度</w:t>
            </w:r>
          </w:p>
        </w:tc>
        <w:tc>
          <w:tcPr>
            <w:tcW w:w="1250" w:type="pct"/>
            <w:shd w:val="clear" w:color="auto" w:fill="auto"/>
            <w:tcMar>
              <w:top w:w="0" w:type="dxa"/>
              <w:left w:w="108" w:type="dxa"/>
              <w:bottom w:w="0" w:type="dxa"/>
              <w:right w:w="108" w:type="dxa"/>
            </w:tcMar>
            <w:vAlign w:val="center"/>
          </w:tcPr>
          <w:p w14:paraId="7C2D7A5A"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w:t>
            </w:r>
            <w:r w:rsidRPr="00B4515A">
              <w:rPr>
                <w:rFonts w:ascii="Times New Roman" w:hAnsi="Times New Roman" w:cs="Times New Roman"/>
                <w:b/>
                <w:bCs/>
                <w:color w:val="000000"/>
                <w:sz w:val="21"/>
                <w:szCs w:val="21"/>
              </w:rPr>
              <w:t>年度</w:t>
            </w:r>
          </w:p>
        </w:tc>
      </w:tr>
      <w:tr w:rsidR="006416B0" w:rsidRPr="00B4515A" w14:paraId="3FEBFF54"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7A8464B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政府补助</w:t>
            </w:r>
          </w:p>
        </w:tc>
        <w:tc>
          <w:tcPr>
            <w:tcW w:w="1250" w:type="pct"/>
            <w:shd w:val="clear" w:color="auto" w:fill="auto"/>
            <w:tcMar>
              <w:top w:w="0" w:type="dxa"/>
              <w:left w:w="108" w:type="dxa"/>
              <w:bottom w:w="0" w:type="dxa"/>
              <w:right w:w="108" w:type="dxa"/>
            </w:tcMar>
            <w:vAlign w:val="center"/>
          </w:tcPr>
          <w:p w14:paraId="44194DF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1250" w:type="pct"/>
            <w:shd w:val="clear" w:color="auto" w:fill="auto"/>
            <w:tcMar>
              <w:top w:w="0" w:type="dxa"/>
              <w:left w:w="108" w:type="dxa"/>
              <w:bottom w:w="0" w:type="dxa"/>
              <w:right w:w="108" w:type="dxa"/>
            </w:tcMar>
            <w:vAlign w:val="center"/>
          </w:tcPr>
          <w:p w14:paraId="19D2176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1250" w:type="pct"/>
            <w:shd w:val="clear" w:color="auto" w:fill="auto"/>
            <w:tcMar>
              <w:top w:w="0" w:type="dxa"/>
              <w:left w:w="108" w:type="dxa"/>
              <w:bottom w:w="0" w:type="dxa"/>
              <w:right w:w="108" w:type="dxa"/>
            </w:tcMar>
            <w:vAlign w:val="center"/>
          </w:tcPr>
          <w:p w14:paraId="2BD906F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197B3E1D"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BAF00B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w:t>
            </w:r>
          </w:p>
        </w:tc>
        <w:tc>
          <w:tcPr>
            <w:tcW w:w="1250" w:type="pct"/>
            <w:shd w:val="clear" w:color="auto" w:fill="auto"/>
            <w:tcMar>
              <w:top w:w="0" w:type="dxa"/>
              <w:left w:w="108" w:type="dxa"/>
              <w:bottom w:w="0" w:type="dxa"/>
              <w:right w:w="108" w:type="dxa"/>
            </w:tcMar>
            <w:vAlign w:val="center"/>
          </w:tcPr>
          <w:p w14:paraId="63BA9BE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1.29</w:t>
            </w:r>
          </w:p>
        </w:tc>
        <w:tc>
          <w:tcPr>
            <w:tcW w:w="1250" w:type="pct"/>
            <w:shd w:val="clear" w:color="auto" w:fill="auto"/>
            <w:tcMar>
              <w:top w:w="0" w:type="dxa"/>
              <w:left w:w="108" w:type="dxa"/>
              <w:bottom w:w="0" w:type="dxa"/>
              <w:right w:w="108" w:type="dxa"/>
            </w:tcMar>
            <w:vAlign w:val="center"/>
          </w:tcPr>
          <w:p w14:paraId="08FCEF8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236.50</w:t>
            </w:r>
          </w:p>
        </w:tc>
        <w:tc>
          <w:tcPr>
            <w:tcW w:w="1250" w:type="pct"/>
            <w:shd w:val="clear" w:color="auto" w:fill="auto"/>
            <w:tcMar>
              <w:top w:w="0" w:type="dxa"/>
              <w:left w:w="108" w:type="dxa"/>
              <w:bottom w:w="0" w:type="dxa"/>
              <w:right w:w="108" w:type="dxa"/>
            </w:tcMar>
            <w:vAlign w:val="center"/>
          </w:tcPr>
          <w:p w14:paraId="6A7EB1E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4.47</w:t>
            </w:r>
          </w:p>
        </w:tc>
      </w:tr>
      <w:tr w:rsidR="006416B0" w:rsidRPr="00B4515A" w14:paraId="2177EDBC"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280AA08C"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合计</w:t>
            </w:r>
          </w:p>
        </w:tc>
        <w:tc>
          <w:tcPr>
            <w:tcW w:w="1250" w:type="pct"/>
            <w:shd w:val="clear" w:color="auto" w:fill="auto"/>
            <w:tcMar>
              <w:top w:w="0" w:type="dxa"/>
              <w:left w:w="108" w:type="dxa"/>
              <w:bottom w:w="0" w:type="dxa"/>
              <w:right w:w="108" w:type="dxa"/>
            </w:tcMar>
            <w:vAlign w:val="center"/>
          </w:tcPr>
          <w:p w14:paraId="3ABDF5AC"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1.29</w:t>
            </w:r>
          </w:p>
        </w:tc>
        <w:tc>
          <w:tcPr>
            <w:tcW w:w="1250" w:type="pct"/>
            <w:shd w:val="clear" w:color="auto" w:fill="auto"/>
            <w:tcMar>
              <w:top w:w="0" w:type="dxa"/>
              <w:left w:w="108" w:type="dxa"/>
              <w:bottom w:w="0" w:type="dxa"/>
              <w:right w:w="108" w:type="dxa"/>
            </w:tcMar>
            <w:vAlign w:val="center"/>
          </w:tcPr>
          <w:p w14:paraId="2486A705"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236.50</w:t>
            </w:r>
          </w:p>
        </w:tc>
        <w:tc>
          <w:tcPr>
            <w:tcW w:w="1250" w:type="pct"/>
            <w:shd w:val="clear" w:color="auto" w:fill="auto"/>
            <w:tcMar>
              <w:top w:w="0" w:type="dxa"/>
              <w:left w:w="108" w:type="dxa"/>
              <w:bottom w:w="0" w:type="dxa"/>
              <w:right w:w="108" w:type="dxa"/>
            </w:tcMar>
            <w:vAlign w:val="center"/>
          </w:tcPr>
          <w:p w14:paraId="5CC234FE"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4.47</w:t>
            </w:r>
          </w:p>
        </w:tc>
      </w:tr>
    </w:tbl>
    <w:p w14:paraId="10E809A2" w14:textId="77777777" w:rsidR="006416B0" w:rsidRPr="00B4515A" w:rsidRDefault="005E58C1" w:rsidP="003357B7">
      <w:pPr>
        <w:pStyle w:val="005"/>
        <w:spacing w:before="120" w:after="120"/>
        <w:ind w:firstLine="480"/>
      </w:pPr>
      <w:r w:rsidRPr="00B4515A">
        <w:rPr>
          <w:rFonts w:hint="eastAsia"/>
        </w:rPr>
        <w:t>报告期各期，大唐联诚营业外收入分别为</w:t>
      </w:r>
      <w:r w:rsidRPr="00B4515A">
        <w:t>4.47</w:t>
      </w:r>
      <w:r w:rsidRPr="00B4515A">
        <w:rPr>
          <w:rFonts w:hint="eastAsia"/>
        </w:rPr>
        <w:t>万元、</w:t>
      </w:r>
      <w:r w:rsidRPr="00B4515A">
        <w:t>236.50</w:t>
      </w:r>
      <w:r w:rsidRPr="00B4515A">
        <w:rPr>
          <w:rFonts w:hint="eastAsia"/>
        </w:rPr>
        <w:t>万元、</w:t>
      </w:r>
      <w:r w:rsidRPr="00B4515A">
        <w:t>1.29</w:t>
      </w:r>
      <w:r w:rsidRPr="00B4515A">
        <w:rPr>
          <w:rFonts w:hint="eastAsia"/>
        </w:rPr>
        <w:t>万元，其中</w:t>
      </w:r>
      <w:r w:rsidRPr="00B4515A">
        <w:t>2020</w:t>
      </w:r>
      <w:r w:rsidRPr="00B4515A">
        <w:rPr>
          <w:rFonts w:hint="eastAsia"/>
        </w:rPr>
        <w:t>年度营业外收入较高，主要系大唐联诚</w:t>
      </w:r>
      <w:r w:rsidRPr="00B4515A">
        <w:t>2020</w:t>
      </w:r>
      <w:r w:rsidRPr="00B4515A">
        <w:rPr>
          <w:rFonts w:hint="eastAsia"/>
        </w:rPr>
        <w:t>年有应付账款核销所致。</w:t>
      </w:r>
    </w:p>
    <w:p w14:paraId="30C65881" w14:textId="77777777" w:rsidR="006416B0" w:rsidRPr="00B4515A" w:rsidRDefault="005E58C1" w:rsidP="003357B7">
      <w:pPr>
        <w:pStyle w:val="004"/>
        <w:spacing w:before="120" w:after="120"/>
        <w:ind w:firstLine="482"/>
      </w:pPr>
      <w:r w:rsidRPr="00B4515A">
        <w:rPr>
          <w:rFonts w:hint="eastAsia"/>
        </w:rPr>
        <w:t>1</w:t>
      </w:r>
      <w:r w:rsidRPr="00B4515A">
        <w:t>2</w:t>
      </w:r>
      <w:r w:rsidRPr="00B4515A">
        <w:rPr>
          <w:rFonts w:hint="eastAsia"/>
        </w:rPr>
        <w:t>、</w:t>
      </w:r>
      <w:r w:rsidRPr="00B4515A">
        <w:t>营业外支出</w:t>
      </w:r>
      <w:r w:rsidRPr="00B4515A">
        <w:rPr>
          <w:rFonts w:hint="eastAsia"/>
        </w:rPr>
        <w:t>分析</w:t>
      </w:r>
    </w:p>
    <w:p w14:paraId="443E1FBC" w14:textId="77777777" w:rsidR="006416B0" w:rsidRPr="00B4515A" w:rsidRDefault="005E58C1" w:rsidP="003357B7">
      <w:pPr>
        <w:pStyle w:val="005"/>
        <w:spacing w:before="120" w:after="120"/>
        <w:ind w:firstLine="480"/>
      </w:pPr>
      <w:r w:rsidRPr="00B4515A">
        <w:rPr>
          <w:rFonts w:hint="eastAsia"/>
        </w:rPr>
        <w:t>报告期各期，大唐联诚营业外支出的具体构成明细如下：</w:t>
      </w:r>
    </w:p>
    <w:p w14:paraId="1E544518" w14:textId="77777777" w:rsidR="006416B0" w:rsidRPr="00B4515A" w:rsidRDefault="005E58C1">
      <w:pPr>
        <w:jc w:val="right"/>
        <w:rPr>
          <w:sz w:val="21"/>
          <w:szCs w:val="21"/>
        </w:rPr>
      </w:pPr>
      <w:r w:rsidRPr="00B4515A">
        <w:rPr>
          <w:rFonts w:hint="eastAsia"/>
          <w:sz w:val="21"/>
          <w:szCs w:val="21"/>
        </w:rPr>
        <w:lastRenderedPageBreak/>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2A514176" w14:textId="77777777" w:rsidTr="00EE238F">
        <w:trPr>
          <w:trHeight w:val="340"/>
          <w:jc w:val="center"/>
        </w:trPr>
        <w:tc>
          <w:tcPr>
            <w:tcW w:w="1250" w:type="pct"/>
            <w:shd w:val="clear" w:color="auto" w:fill="auto"/>
            <w:tcMar>
              <w:top w:w="0" w:type="dxa"/>
              <w:left w:w="108" w:type="dxa"/>
              <w:bottom w:w="0" w:type="dxa"/>
              <w:right w:w="108" w:type="dxa"/>
            </w:tcMar>
            <w:vAlign w:val="center"/>
          </w:tcPr>
          <w:p w14:paraId="21EB5C5F" w14:textId="77777777" w:rsidR="006416B0" w:rsidRPr="00B4515A" w:rsidRDefault="005E58C1" w:rsidP="005860B4">
            <w:pPr>
              <w:adjustRightInd w:val="0"/>
              <w:snapToGrid w:val="0"/>
              <w:jc w:val="center"/>
              <w:rPr>
                <w:rFonts w:ascii="Times New Roman" w:cs="Times New Roman"/>
                <w:b/>
                <w:bCs/>
                <w:color w:val="000000"/>
                <w:sz w:val="21"/>
                <w:szCs w:val="21"/>
              </w:rPr>
            </w:pPr>
            <w:r w:rsidRPr="00B4515A">
              <w:rPr>
                <w:rFonts w:ascii="Times New Roman" w:cs="Times New Roman"/>
                <w:b/>
                <w:bCs/>
                <w:color w:val="000000"/>
                <w:sz w:val="21"/>
                <w:szCs w:val="21"/>
              </w:rPr>
              <w:t>项目</w:t>
            </w:r>
          </w:p>
        </w:tc>
        <w:tc>
          <w:tcPr>
            <w:tcW w:w="1250" w:type="pct"/>
            <w:shd w:val="clear" w:color="auto" w:fill="auto"/>
            <w:tcMar>
              <w:top w:w="0" w:type="dxa"/>
              <w:left w:w="108" w:type="dxa"/>
              <w:bottom w:w="0" w:type="dxa"/>
              <w:right w:w="108" w:type="dxa"/>
            </w:tcMar>
            <w:vAlign w:val="center"/>
          </w:tcPr>
          <w:p w14:paraId="5D437A42" w14:textId="77777777" w:rsidR="006416B0" w:rsidRPr="00B4515A" w:rsidRDefault="005E58C1" w:rsidP="005860B4">
            <w:pPr>
              <w:adjustRightInd w:val="0"/>
              <w:snapToGrid w:val="0"/>
              <w:jc w:val="center"/>
              <w:rPr>
                <w:rFonts w:ascii="Times New Roman" w:cs="Times New Roman"/>
                <w:b/>
                <w:bCs/>
                <w:color w:val="000000"/>
                <w:sz w:val="21"/>
                <w:szCs w:val="21"/>
              </w:rPr>
            </w:pPr>
            <w:r w:rsidRPr="00B4515A">
              <w:rPr>
                <w:rFonts w:ascii="Times New Roman" w:cs="Times New Roman"/>
                <w:b/>
                <w:bCs/>
                <w:color w:val="000000"/>
                <w:sz w:val="21"/>
                <w:szCs w:val="21"/>
              </w:rPr>
              <w:t>2021</w:t>
            </w:r>
            <w:r w:rsidRPr="00B4515A">
              <w:rPr>
                <w:rFonts w:ascii="Times New Roman" w:cs="Times New Roman"/>
                <w:b/>
                <w:bCs/>
                <w:color w:val="000000"/>
                <w:sz w:val="21"/>
                <w:szCs w:val="21"/>
              </w:rPr>
              <w:t>年</w:t>
            </w:r>
            <w:r w:rsidRPr="00B4515A">
              <w:rPr>
                <w:rFonts w:ascii="Times New Roman" w:cs="Times New Roman"/>
                <w:b/>
                <w:bCs/>
                <w:color w:val="000000"/>
                <w:sz w:val="21"/>
                <w:szCs w:val="21"/>
              </w:rPr>
              <w:t>1-4</w:t>
            </w:r>
            <w:r w:rsidRPr="00B4515A">
              <w:rPr>
                <w:rFonts w:ascii="Times New Roman" w:cs="Times New Roman"/>
                <w:b/>
                <w:bCs/>
                <w:color w:val="000000"/>
                <w:sz w:val="21"/>
                <w:szCs w:val="21"/>
              </w:rPr>
              <w:t>月</w:t>
            </w:r>
          </w:p>
        </w:tc>
        <w:tc>
          <w:tcPr>
            <w:tcW w:w="1250" w:type="pct"/>
            <w:shd w:val="clear" w:color="auto" w:fill="auto"/>
            <w:tcMar>
              <w:top w:w="0" w:type="dxa"/>
              <w:left w:w="108" w:type="dxa"/>
              <w:bottom w:w="0" w:type="dxa"/>
              <w:right w:w="108" w:type="dxa"/>
            </w:tcMar>
            <w:vAlign w:val="center"/>
          </w:tcPr>
          <w:p w14:paraId="00B61657" w14:textId="77777777" w:rsidR="006416B0" w:rsidRPr="00B4515A" w:rsidRDefault="005E58C1" w:rsidP="005860B4">
            <w:pPr>
              <w:adjustRightInd w:val="0"/>
              <w:snapToGrid w:val="0"/>
              <w:jc w:val="center"/>
              <w:rPr>
                <w:rFonts w:ascii="Times New Roman" w:cs="Times New Roman"/>
                <w:b/>
                <w:bCs/>
                <w:color w:val="000000"/>
                <w:sz w:val="21"/>
                <w:szCs w:val="21"/>
              </w:rPr>
            </w:pPr>
            <w:r w:rsidRPr="00B4515A">
              <w:rPr>
                <w:rFonts w:ascii="Times New Roman" w:cs="Times New Roman"/>
                <w:b/>
                <w:bCs/>
                <w:color w:val="000000"/>
                <w:sz w:val="21"/>
                <w:szCs w:val="21"/>
              </w:rPr>
              <w:t>2020</w:t>
            </w:r>
            <w:r w:rsidRPr="00B4515A">
              <w:rPr>
                <w:rFonts w:ascii="Times New Roman" w:cs="Times New Roman"/>
                <w:b/>
                <w:bCs/>
                <w:color w:val="000000"/>
                <w:sz w:val="21"/>
                <w:szCs w:val="21"/>
              </w:rPr>
              <w:t>年度</w:t>
            </w:r>
          </w:p>
        </w:tc>
        <w:tc>
          <w:tcPr>
            <w:tcW w:w="1250" w:type="pct"/>
            <w:shd w:val="clear" w:color="auto" w:fill="auto"/>
            <w:tcMar>
              <w:top w:w="0" w:type="dxa"/>
              <w:left w:w="108" w:type="dxa"/>
              <w:bottom w:w="0" w:type="dxa"/>
              <w:right w:w="108" w:type="dxa"/>
            </w:tcMar>
            <w:vAlign w:val="center"/>
          </w:tcPr>
          <w:p w14:paraId="6483AB58" w14:textId="77777777" w:rsidR="006416B0" w:rsidRPr="00B4515A" w:rsidRDefault="005E58C1" w:rsidP="005860B4">
            <w:pPr>
              <w:adjustRightInd w:val="0"/>
              <w:snapToGrid w:val="0"/>
              <w:jc w:val="center"/>
              <w:rPr>
                <w:rFonts w:ascii="Times New Roman" w:cs="Times New Roman"/>
                <w:b/>
                <w:bCs/>
                <w:color w:val="000000"/>
                <w:sz w:val="21"/>
                <w:szCs w:val="21"/>
              </w:rPr>
            </w:pPr>
            <w:r w:rsidRPr="00B4515A">
              <w:rPr>
                <w:rFonts w:ascii="Times New Roman" w:cs="Times New Roman"/>
                <w:b/>
                <w:bCs/>
                <w:color w:val="000000"/>
                <w:sz w:val="21"/>
                <w:szCs w:val="21"/>
              </w:rPr>
              <w:t>2019</w:t>
            </w:r>
            <w:r w:rsidRPr="00B4515A">
              <w:rPr>
                <w:rFonts w:ascii="Times New Roman" w:cs="Times New Roman"/>
                <w:b/>
                <w:bCs/>
                <w:color w:val="000000"/>
                <w:sz w:val="21"/>
                <w:szCs w:val="21"/>
              </w:rPr>
              <w:t>年度</w:t>
            </w:r>
          </w:p>
        </w:tc>
      </w:tr>
      <w:tr w:rsidR="006416B0" w:rsidRPr="00B4515A" w14:paraId="71B57450"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0A491FCA" w14:textId="77777777" w:rsidR="006416B0" w:rsidRPr="00B4515A" w:rsidRDefault="005E58C1" w:rsidP="005860B4">
            <w:pPr>
              <w:adjustRightInd w:val="0"/>
              <w:snapToGrid w:val="0"/>
              <w:jc w:val="center"/>
              <w:rPr>
                <w:rFonts w:ascii="Times New Roman" w:cs="Times New Roman"/>
                <w:color w:val="000000"/>
                <w:sz w:val="21"/>
                <w:szCs w:val="21"/>
              </w:rPr>
            </w:pPr>
            <w:r w:rsidRPr="00B4515A">
              <w:rPr>
                <w:rFonts w:ascii="Times New Roman" w:cs="Times New Roman"/>
                <w:color w:val="000000"/>
                <w:sz w:val="21"/>
                <w:szCs w:val="21"/>
              </w:rPr>
              <w:t>对外捐赠</w:t>
            </w:r>
          </w:p>
        </w:tc>
        <w:tc>
          <w:tcPr>
            <w:tcW w:w="1250" w:type="pct"/>
            <w:shd w:val="clear" w:color="auto" w:fill="auto"/>
            <w:tcMar>
              <w:top w:w="0" w:type="dxa"/>
              <w:left w:w="108" w:type="dxa"/>
              <w:bottom w:w="0" w:type="dxa"/>
              <w:right w:w="108" w:type="dxa"/>
            </w:tcMar>
            <w:vAlign w:val="center"/>
          </w:tcPr>
          <w:p w14:paraId="32554CA5"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eastAsiaTheme="minorEastAsia" w:cs="Times New Roman" w:hint="eastAsia"/>
                <w:color w:val="000000"/>
                <w:sz w:val="21"/>
                <w:szCs w:val="21"/>
              </w:rPr>
              <w:t>-</w:t>
            </w:r>
          </w:p>
        </w:tc>
        <w:tc>
          <w:tcPr>
            <w:tcW w:w="1250" w:type="pct"/>
            <w:shd w:val="clear" w:color="auto" w:fill="auto"/>
            <w:tcMar>
              <w:top w:w="0" w:type="dxa"/>
              <w:left w:w="108" w:type="dxa"/>
              <w:bottom w:w="0" w:type="dxa"/>
              <w:right w:w="108" w:type="dxa"/>
            </w:tcMar>
            <w:vAlign w:val="center"/>
          </w:tcPr>
          <w:p w14:paraId="0D6A1BA1"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70.00</w:t>
            </w:r>
          </w:p>
        </w:tc>
        <w:tc>
          <w:tcPr>
            <w:tcW w:w="1250" w:type="pct"/>
            <w:shd w:val="clear" w:color="auto" w:fill="auto"/>
            <w:tcMar>
              <w:top w:w="0" w:type="dxa"/>
              <w:left w:w="108" w:type="dxa"/>
              <w:bottom w:w="0" w:type="dxa"/>
              <w:right w:w="108" w:type="dxa"/>
            </w:tcMar>
            <w:vAlign w:val="center"/>
          </w:tcPr>
          <w:p w14:paraId="3AB2A01E"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10.00</w:t>
            </w:r>
          </w:p>
        </w:tc>
      </w:tr>
      <w:tr w:rsidR="006416B0" w:rsidRPr="00B4515A" w14:paraId="483E2C84"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93C23F6" w14:textId="77777777" w:rsidR="006416B0" w:rsidRPr="00B4515A" w:rsidRDefault="005E58C1" w:rsidP="005860B4">
            <w:pPr>
              <w:adjustRightInd w:val="0"/>
              <w:snapToGrid w:val="0"/>
              <w:jc w:val="center"/>
              <w:rPr>
                <w:rFonts w:ascii="Times New Roman" w:cs="Times New Roman"/>
                <w:color w:val="000000"/>
                <w:sz w:val="21"/>
                <w:szCs w:val="21"/>
              </w:rPr>
            </w:pPr>
            <w:r w:rsidRPr="00B4515A">
              <w:rPr>
                <w:rFonts w:ascii="Times New Roman" w:cs="Times New Roman"/>
                <w:color w:val="000000"/>
                <w:sz w:val="21"/>
                <w:szCs w:val="21"/>
              </w:rPr>
              <w:t>非流动资产毁损报废损失</w:t>
            </w:r>
          </w:p>
        </w:tc>
        <w:tc>
          <w:tcPr>
            <w:tcW w:w="1250" w:type="pct"/>
            <w:shd w:val="clear" w:color="auto" w:fill="auto"/>
            <w:tcMar>
              <w:top w:w="0" w:type="dxa"/>
              <w:left w:w="108" w:type="dxa"/>
              <w:bottom w:w="0" w:type="dxa"/>
              <w:right w:w="108" w:type="dxa"/>
            </w:tcMar>
            <w:vAlign w:val="center"/>
          </w:tcPr>
          <w:p w14:paraId="733C7ACB"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eastAsiaTheme="minorEastAsia" w:cs="Times New Roman" w:hint="eastAsia"/>
                <w:color w:val="000000"/>
                <w:sz w:val="21"/>
                <w:szCs w:val="21"/>
              </w:rPr>
              <w:t>-</w:t>
            </w:r>
          </w:p>
        </w:tc>
        <w:tc>
          <w:tcPr>
            <w:tcW w:w="1250" w:type="pct"/>
            <w:shd w:val="clear" w:color="auto" w:fill="auto"/>
            <w:tcMar>
              <w:top w:w="0" w:type="dxa"/>
              <w:left w:w="108" w:type="dxa"/>
              <w:bottom w:w="0" w:type="dxa"/>
              <w:right w:w="108" w:type="dxa"/>
            </w:tcMar>
            <w:vAlign w:val="center"/>
          </w:tcPr>
          <w:p w14:paraId="723FA332"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11.14</w:t>
            </w:r>
          </w:p>
        </w:tc>
        <w:tc>
          <w:tcPr>
            <w:tcW w:w="1250" w:type="pct"/>
            <w:shd w:val="clear" w:color="auto" w:fill="auto"/>
            <w:tcMar>
              <w:top w:w="0" w:type="dxa"/>
              <w:left w:w="108" w:type="dxa"/>
              <w:bottom w:w="0" w:type="dxa"/>
              <w:right w:w="108" w:type="dxa"/>
            </w:tcMar>
            <w:vAlign w:val="center"/>
          </w:tcPr>
          <w:p w14:paraId="0E64B346"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25.48</w:t>
            </w:r>
          </w:p>
        </w:tc>
      </w:tr>
      <w:tr w:rsidR="006416B0" w:rsidRPr="00B4515A" w14:paraId="5AFC5D01"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143EA49D" w14:textId="77777777" w:rsidR="006416B0" w:rsidRPr="00B4515A" w:rsidRDefault="005E58C1" w:rsidP="005860B4">
            <w:pPr>
              <w:adjustRightInd w:val="0"/>
              <w:snapToGrid w:val="0"/>
              <w:jc w:val="center"/>
              <w:rPr>
                <w:rFonts w:ascii="Times New Roman" w:cs="Times New Roman"/>
                <w:color w:val="000000"/>
                <w:sz w:val="21"/>
                <w:szCs w:val="21"/>
              </w:rPr>
            </w:pPr>
            <w:r w:rsidRPr="00B4515A">
              <w:rPr>
                <w:rFonts w:ascii="Times New Roman" w:cs="Times New Roman"/>
                <w:color w:val="000000"/>
                <w:sz w:val="21"/>
                <w:szCs w:val="21"/>
              </w:rPr>
              <w:t>其他</w:t>
            </w:r>
          </w:p>
        </w:tc>
        <w:tc>
          <w:tcPr>
            <w:tcW w:w="1250" w:type="pct"/>
            <w:shd w:val="clear" w:color="auto" w:fill="auto"/>
            <w:tcMar>
              <w:top w:w="0" w:type="dxa"/>
              <w:left w:w="108" w:type="dxa"/>
              <w:bottom w:w="0" w:type="dxa"/>
              <w:right w:w="108" w:type="dxa"/>
            </w:tcMar>
            <w:vAlign w:val="center"/>
          </w:tcPr>
          <w:p w14:paraId="423DDAA6"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14.99</w:t>
            </w:r>
          </w:p>
        </w:tc>
        <w:tc>
          <w:tcPr>
            <w:tcW w:w="1250" w:type="pct"/>
            <w:shd w:val="clear" w:color="auto" w:fill="auto"/>
            <w:tcMar>
              <w:top w:w="0" w:type="dxa"/>
              <w:left w:w="108" w:type="dxa"/>
              <w:bottom w:w="0" w:type="dxa"/>
              <w:right w:w="108" w:type="dxa"/>
            </w:tcMar>
            <w:vAlign w:val="center"/>
          </w:tcPr>
          <w:p w14:paraId="59F9F44F"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1.23</w:t>
            </w:r>
          </w:p>
        </w:tc>
        <w:tc>
          <w:tcPr>
            <w:tcW w:w="1250" w:type="pct"/>
            <w:shd w:val="clear" w:color="auto" w:fill="auto"/>
            <w:tcMar>
              <w:top w:w="0" w:type="dxa"/>
              <w:left w:w="108" w:type="dxa"/>
              <w:bottom w:w="0" w:type="dxa"/>
              <w:right w:w="108" w:type="dxa"/>
            </w:tcMar>
            <w:vAlign w:val="center"/>
          </w:tcPr>
          <w:p w14:paraId="651E6B04" w14:textId="77777777" w:rsidR="006416B0" w:rsidRPr="00B4515A" w:rsidRDefault="005E58C1" w:rsidP="005860B4">
            <w:pPr>
              <w:adjustRightInd w:val="0"/>
              <w:snapToGrid w:val="0"/>
              <w:jc w:val="right"/>
              <w:rPr>
                <w:rFonts w:ascii="Times New Roman" w:cs="Times New Roman"/>
                <w:color w:val="000000"/>
                <w:sz w:val="21"/>
                <w:szCs w:val="21"/>
              </w:rPr>
            </w:pPr>
            <w:r w:rsidRPr="00B4515A">
              <w:rPr>
                <w:rFonts w:ascii="Times New Roman" w:cs="Times New Roman"/>
                <w:color w:val="000000"/>
                <w:sz w:val="21"/>
                <w:szCs w:val="21"/>
              </w:rPr>
              <w:t>26.45</w:t>
            </w:r>
          </w:p>
        </w:tc>
      </w:tr>
      <w:tr w:rsidR="006416B0" w:rsidRPr="00B4515A" w14:paraId="507C9835"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1E88E66D" w14:textId="77777777" w:rsidR="006416B0" w:rsidRPr="00B4515A" w:rsidRDefault="005E58C1" w:rsidP="005860B4">
            <w:pPr>
              <w:adjustRightInd w:val="0"/>
              <w:snapToGrid w:val="0"/>
              <w:jc w:val="center"/>
              <w:rPr>
                <w:rFonts w:ascii="Times New Roman" w:cs="Times New Roman"/>
                <w:b/>
                <w:bCs/>
                <w:color w:val="000000"/>
                <w:sz w:val="21"/>
                <w:szCs w:val="21"/>
              </w:rPr>
            </w:pPr>
            <w:r w:rsidRPr="00B4515A">
              <w:rPr>
                <w:rFonts w:ascii="Times New Roman" w:cs="Times New Roman"/>
                <w:b/>
                <w:bCs/>
                <w:color w:val="000000"/>
                <w:sz w:val="21"/>
                <w:szCs w:val="21"/>
              </w:rPr>
              <w:t>合计</w:t>
            </w:r>
          </w:p>
        </w:tc>
        <w:tc>
          <w:tcPr>
            <w:tcW w:w="1250" w:type="pct"/>
            <w:shd w:val="clear" w:color="auto" w:fill="auto"/>
            <w:tcMar>
              <w:top w:w="0" w:type="dxa"/>
              <w:left w:w="108" w:type="dxa"/>
              <w:bottom w:w="0" w:type="dxa"/>
              <w:right w:w="108" w:type="dxa"/>
            </w:tcMar>
            <w:vAlign w:val="center"/>
          </w:tcPr>
          <w:p w14:paraId="04FCAF21" w14:textId="77777777" w:rsidR="006416B0" w:rsidRPr="00B4515A" w:rsidRDefault="005E58C1" w:rsidP="005860B4">
            <w:pPr>
              <w:adjustRightInd w:val="0"/>
              <w:snapToGrid w:val="0"/>
              <w:jc w:val="right"/>
              <w:rPr>
                <w:rFonts w:ascii="Times New Roman" w:cs="Times New Roman"/>
                <w:b/>
                <w:bCs/>
                <w:color w:val="000000"/>
                <w:sz w:val="21"/>
                <w:szCs w:val="21"/>
              </w:rPr>
            </w:pPr>
            <w:r w:rsidRPr="00B4515A">
              <w:rPr>
                <w:rFonts w:ascii="Times New Roman" w:cs="Times New Roman"/>
                <w:b/>
                <w:bCs/>
                <w:color w:val="000000"/>
                <w:sz w:val="21"/>
                <w:szCs w:val="21"/>
              </w:rPr>
              <w:t>14.99</w:t>
            </w:r>
          </w:p>
        </w:tc>
        <w:tc>
          <w:tcPr>
            <w:tcW w:w="1250" w:type="pct"/>
            <w:shd w:val="clear" w:color="auto" w:fill="auto"/>
            <w:tcMar>
              <w:top w:w="0" w:type="dxa"/>
              <w:left w:w="108" w:type="dxa"/>
              <w:bottom w:w="0" w:type="dxa"/>
              <w:right w:w="108" w:type="dxa"/>
            </w:tcMar>
            <w:vAlign w:val="center"/>
          </w:tcPr>
          <w:p w14:paraId="6CD73C0F" w14:textId="77777777" w:rsidR="006416B0" w:rsidRPr="00B4515A" w:rsidRDefault="005E58C1" w:rsidP="005860B4">
            <w:pPr>
              <w:adjustRightInd w:val="0"/>
              <w:snapToGrid w:val="0"/>
              <w:jc w:val="right"/>
              <w:rPr>
                <w:rFonts w:ascii="Times New Roman" w:cs="Times New Roman"/>
                <w:b/>
                <w:bCs/>
                <w:color w:val="000000"/>
                <w:sz w:val="21"/>
                <w:szCs w:val="21"/>
              </w:rPr>
            </w:pPr>
            <w:r w:rsidRPr="00B4515A">
              <w:rPr>
                <w:rFonts w:ascii="Times New Roman" w:cs="Times New Roman"/>
                <w:b/>
                <w:bCs/>
                <w:color w:val="000000"/>
                <w:sz w:val="21"/>
                <w:szCs w:val="21"/>
              </w:rPr>
              <w:t>82.37</w:t>
            </w:r>
          </w:p>
        </w:tc>
        <w:tc>
          <w:tcPr>
            <w:tcW w:w="1250" w:type="pct"/>
            <w:shd w:val="clear" w:color="auto" w:fill="auto"/>
            <w:tcMar>
              <w:top w:w="0" w:type="dxa"/>
              <w:left w:w="108" w:type="dxa"/>
              <w:bottom w:w="0" w:type="dxa"/>
              <w:right w:w="108" w:type="dxa"/>
            </w:tcMar>
            <w:vAlign w:val="center"/>
          </w:tcPr>
          <w:p w14:paraId="1827F8B3" w14:textId="77777777" w:rsidR="006416B0" w:rsidRPr="00B4515A" w:rsidRDefault="005E58C1" w:rsidP="005860B4">
            <w:pPr>
              <w:adjustRightInd w:val="0"/>
              <w:snapToGrid w:val="0"/>
              <w:jc w:val="right"/>
              <w:rPr>
                <w:rFonts w:ascii="Times New Roman" w:cs="Times New Roman"/>
                <w:b/>
                <w:bCs/>
                <w:color w:val="000000"/>
                <w:sz w:val="21"/>
                <w:szCs w:val="21"/>
              </w:rPr>
            </w:pPr>
            <w:r w:rsidRPr="00B4515A">
              <w:rPr>
                <w:rFonts w:ascii="Times New Roman" w:cs="Times New Roman"/>
                <w:b/>
                <w:bCs/>
                <w:color w:val="000000"/>
                <w:sz w:val="21"/>
                <w:szCs w:val="21"/>
              </w:rPr>
              <w:t>61.94</w:t>
            </w:r>
          </w:p>
        </w:tc>
      </w:tr>
    </w:tbl>
    <w:p w14:paraId="56E81766" w14:textId="123BC41E" w:rsidR="006416B0" w:rsidRPr="00B4515A" w:rsidRDefault="005E58C1" w:rsidP="003357B7">
      <w:pPr>
        <w:pStyle w:val="005"/>
        <w:spacing w:before="120" w:after="120"/>
        <w:ind w:firstLine="480"/>
      </w:pPr>
      <w:r w:rsidRPr="00B4515A">
        <w:rPr>
          <w:rFonts w:hint="eastAsia"/>
        </w:rPr>
        <w:t>报告期各期，大唐联诚营业外支出金额分别为</w:t>
      </w:r>
      <w:r w:rsidRPr="00B4515A">
        <w:t>61.94</w:t>
      </w:r>
      <w:r w:rsidRPr="00B4515A">
        <w:rPr>
          <w:rFonts w:hint="eastAsia"/>
        </w:rPr>
        <w:t>万元、</w:t>
      </w:r>
      <w:r w:rsidRPr="00B4515A">
        <w:t>82.37</w:t>
      </w:r>
      <w:r w:rsidRPr="00B4515A">
        <w:rPr>
          <w:rFonts w:hint="eastAsia"/>
        </w:rPr>
        <w:t>万元、</w:t>
      </w:r>
      <w:r w:rsidRPr="00B4515A">
        <w:t>14.99</w:t>
      </w:r>
      <w:r w:rsidRPr="00B4515A">
        <w:rPr>
          <w:rFonts w:hint="eastAsia"/>
        </w:rPr>
        <w:t>万元，主要由</w:t>
      </w:r>
      <w:r w:rsidRPr="00B4515A">
        <w:rPr>
          <w:color w:val="000000"/>
        </w:rPr>
        <w:t>对外捐赠</w:t>
      </w:r>
      <w:r w:rsidRPr="00B4515A">
        <w:rPr>
          <w:rFonts w:hint="eastAsia"/>
          <w:color w:val="000000"/>
        </w:rPr>
        <w:t>、</w:t>
      </w:r>
      <w:r w:rsidRPr="00B4515A">
        <w:rPr>
          <w:color w:val="000000"/>
        </w:rPr>
        <w:t>非流动资产毁损报废损失</w:t>
      </w:r>
      <w:r w:rsidRPr="00B4515A">
        <w:rPr>
          <w:rFonts w:hint="eastAsia"/>
          <w:color w:val="000000"/>
        </w:rPr>
        <w:t>构成。</w:t>
      </w:r>
      <w:r w:rsidRPr="00B4515A">
        <w:rPr>
          <w:rFonts w:hint="eastAsia"/>
        </w:rPr>
        <w:t>其中</w:t>
      </w:r>
      <w:r w:rsidRPr="00B4515A">
        <w:t>2020</w:t>
      </w:r>
      <w:r w:rsidRPr="00B4515A">
        <w:rPr>
          <w:rFonts w:hint="eastAsia"/>
        </w:rPr>
        <w:t>年营业外支出较高，主要系大唐联诚</w:t>
      </w:r>
      <w:r w:rsidRPr="00B4515A">
        <w:t>2020</w:t>
      </w:r>
      <w:r w:rsidRPr="00B4515A">
        <w:rPr>
          <w:rFonts w:hint="eastAsia"/>
        </w:rPr>
        <w:t>年支付扶贫款</w:t>
      </w:r>
      <w:r w:rsidRPr="00B4515A">
        <w:t>70</w:t>
      </w:r>
      <w:r w:rsidRPr="00B4515A">
        <w:rPr>
          <w:rFonts w:hint="eastAsia"/>
        </w:rPr>
        <w:t>万</w:t>
      </w:r>
      <w:r w:rsidR="00440BE9" w:rsidRPr="00B4515A">
        <w:rPr>
          <w:rFonts w:hint="eastAsia"/>
        </w:rPr>
        <w:t>元</w:t>
      </w:r>
      <w:r w:rsidRPr="00B4515A">
        <w:rPr>
          <w:rFonts w:hint="eastAsia"/>
        </w:rPr>
        <w:t>所致。</w:t>
      </w:r>
    </w:p>
    <w:p w14:paraId="20D67E58" w14:textId="77777777" w:rsidR="006416B0" w:rsidRPr="00B4515A" w:rsidRDefault="005E58C1" w:rsidP="003357B7">
      <w:pPr>
        <w:pStyle w:val="004"/>
        <w:spacing w:before="120" w:after="120"/>
        <w:ind w:firstLine="482"/>
      </w:pPr>
      <w:r w:rsidRPr="00B4515A">
        <w:t>13</w:t>
      </w:r>
      <w:r w:rsidRPr="00B4515A">
        <w:rPr>
          <w:rFonts w:hint="eastAsia"/>
        </w:rPr>
        <w:t>、利润指标分析</w:t>
      </w:r>
    </w:p>
    <w:p w14:paraId="5FB9CB16" w14:textId="77777777" w:rsidR="006416B0" w:rsidRPr="00B4515A" w:rsidRDefault="005E58C1">
      <w:pPr>
        <w:keepNext/>
        <w:jc w:val="right"/>
        <w:rPr>
          <w:sz w:val="21"/>
          <w:szCs w:val="21"/>
        </w:rPr>
      </w:pPr>
      <w:r w:rsidRPr="00B4515A">
        <w:rPr>
          <w:rFonts w:hint="eastAsia"/>
          <w:sz w:val="21"/>
          <w:szCs w:val="21"/>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4A11B851" w14:textId="77777777" w:rsidTr="003357B7">
        <w:trPr>
          <w:trHeight w:val="340"/>
          <w:tblHeader/>
          <w:jc w:val="center"/>
        </w:trPr>
        <w:tc>
          <w:tcPr>
            <w:tcW w:w="1250" w:type="pct"/>
            <w:shd w:val="clear" w:color="auto" w:fill="auto"/>
            <w:tcMar>
              <w:top w:w="0" w:type="dxa"/>
              <w:left w:w="108" w:type="dxa"/>
              <w:bottom w:w="0" w:type="dxa"/>
              <w:right w:w="108" w:type="dxa"/>
            </w:tcMar>
            <w:vAlign w:val="center"/>
          </w:tcPr>
          <w:p w14:paraId="75B0F204"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项目</w:t>
            </w:r>
          </w:p>
        </w:tc>
        <w:tc>
          <w:tcPr>
            <w:tcW w:w="1250" w:type="pct"/>
            <w:shd w:val="clear" w:color="auto" w:fill="auto"/>
            <w:tcMar>
              <w:top w:w="0" w:type="dxa"/>
              <w:left w:w="108" w:type="dxa"/>
              <w:bottom w:w="0" w:type="dxa"/>
              <w:right w:w="108" w:type="dxa"/>
            </w:tcMar>
            <w:vAlign w:val="center"/>
          </w:tcPr>
          <w:p w14:paraId="20417A4B"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2021</w:t>
            </w:r>
            <w:r w:rsidRPr="00B4515A">
              <w:rPr>
                <w:rFonts w:ascii="Times New Roman" w:eastAsiaTheme="minorEastAsia" w:cs="Times New Roman"/>
                <w:b/>
                <w:bCs/>
                <w:color w:val="000000"/>
                <w:sz w:val="21"/>
                <w:szCs w:val="21"/>
              </w:rPr>
              <w:t>年</w:t>
            </w:r>
            <w:r w:rsidRPr="00B4515A">
              <w:rPr>
                <w:rFonts w:ascii="Times New Roman" w:eastAsiaTheme="minorEastAsia" w:cs="Times New Roman"/>
                <w:b/>
                <w:bCs/>
                <w:color w:val="000000"/>
                <w:sz w:val="21"/>
                <w:szCs w:val="21"/>
              </w:rPr>
              <w:t>1-4</w:t>
            </w:r>
            <w:r w:rsidRPr="00B4515A">
              <w:rPr>
                <w:rFonts w:ascii="Times New Roman" w:eastAsiaTheme="minorEastAsia" w:cs="Times New Roman"/>
                <w:b/>
                <w:bCs/>
                <w:color w:val="000000"/>
                <w:sz w:val="21"/>
                <w:szCs w:val="21"/>
              </w:rPr>
              <w:t>月</w:t>
            </w:r>
          </w:p>
        </w:tc>
        <w:tc>
          <w:tcPr>
            <w:tcW w:w="1250" w:type="pct"/>
            <w:shd w:val="clear" w:color="auto" w:fill="auto"/>
            <w:tcMar>
              <w:top w:w="0" w:type="dxa"/>
              <w:left w:w="108" w:type="dxa"/>
              <w:bottom w:w="0" w:type="dxa"/>
              <w:right w:w="108" w:type="dxa"/>
            </w:tcMar>
            <w:vAlign w:val="center"/>
          </w:tcPr>
          <w:p w14:paraId="0AFD4606"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 xml:space="preserve">2020 </w:t>
            </w:r>
            <w:r w:rsidRPr="00B4515A">
              <w:rPr>
                <w:rFonts w:ascii="Times New Roman" w:eastAsiaTheme="minorEastAsia" w:cs="Times New Roman"/>
                <w:b/>
                <w:bCs/>
                <w:color w:val="000000"/>
                <w:sz w:val="21"/>
                <w:szCs w:val="21"/>
              </w:rPr>
              <w:t>年度</w:t>
            </w:r>
          </w:p>
        </w:tc>
        <w:tc>
          <w:tcPr>
            <w:tcW w:w="1250" w:type="pct"/>
            <w:shd w:val="clear" w:color="auto" w:fill="auto"/>
            <w:tcMar>
              <w:top w:w="0" w:type="dxa"/>
              <w:left w:w="108" w:type="dxa"/>
              <w:bottom w:w="0" w:type="dxa"/>
              <w:right w:w="108" w:type="dxa"/>
            </w:tcMar>
            <w:vAlign w:val="center"/>
          </w:tcPr>
          <w:p w14:paraId="3173FF31"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 xml:space="preserve">2019 </w:t>
            </w:r>
            <w:r w:rsidRPr="00B4515A">
              <w:rPr>
                <w:rFonts w:ascii="Times New Roman" w:eastAsiaTheme="minorEastAsia" w:cs="Times New Roman"/>
                <w:b/>
                <w:bCs/>
                <w:color w:val="000000"/>
                <w:sz w:val="21"/>
                <w:szCs w:val="21"/>
              </w:rPr>
              <w:t>年度</w:t>
            </w:r>
          </w:p>
        </w:tc>
      </w:tr>
      <w:tr w:rsidR="006416B0" w:rsidRPr="00B4515A" w14:paraId="4C7F7633"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24D8DA23"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hint="eastAsia"/>
                <w:color w:val="000000"/>
                <w:sz w:val="21"/>
                <w:szCs w:val="21"/>
              </w:rPr>
              <w:t>毛利</w:t>
            </w:r>
          </w:p>
        </w:tc>
        <w:tc>
          <w:tcPr>
            <w:tcW w:w="1250" w:type="pct"/>
            <w:shd w:val="clear" w:color="auto" w:fill="auto"/>
            <w:tcMar>
              <w:top w:w="0" w:type="dxa"/>
              <w:left w:w="108" w:type="dxa"/>
              <w:bottom w:w="0" w:type="dxa"/>
              <w:right w:w="108" w:type="dxa"/>
            </w:tcMar>
            <w:vAlign w:val="center"/>
          </w:tcPr>
          <w:p w14:paraId="2E353AF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7,731.15</w:t>
            </w:r>
          </w:p>
        </w:tc>
        <w:tc>
          <w:tcPr>
            <w:tcW w:w="1250" w:type="pct"/>
            <w:shd w:val="clear" w:color="auto" w:fill="auto"/>
            <w:tcMar>
              <w:top w:w="0" w:type="dxa"/>
              <w:left w:w="108" w:type="dxa"/>
              <w:bottom w:w="0" w:type="dxa"/>
              <w:right w:w="108" w:type="dxa"/>
            </w:tcMar>
            <w:vAlign w:val="center"/>
          </w:tcPr>
          <w:p w14:paraId="4B241628"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27,197.00</w:t>
            </w:r>
          </w:p>
        </w:tc>
        <w:tc>
          <w:tcPr>
            <w:tcW w:w="1250" w:type="pct"/>
            <w:shd w:val="clear" w:color="auto" w:fill="auto"/>
            <w:tcMar>
              <w:top w:w="0" w:type="dxa"/>
              <w:left w:w="108" w:type="dxa"/>
              <w:bottom w:w="0" w:type="dxa"/>
              <w:right w:w="108" w:type="dxa"/>
            </w:tcMar>
            <w:vAlign w:val="center"/>
          </w:tcPr>
          <w:p w14:paraId="4272E31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19,459.37</w:t>
            </w:r>
          </w:p>
        </w:tc>
      </w:tr>
      <w:tr w:rsidR="006416B0" w:rsidRPr="00B4515A" w14:paraId="4659C1C8"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0E651E0"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hint="eastAsia"/>
                <w:color w:val="000000"/>
                <w:sz w:val="21"/>
                <w:szCs w:val="21"/>
              </w:rPr>
              <w:t>营业利润</w:t>
            </w:r>
          </w:p>
        </w:tc>
        <w:tc>
          <w:tcPr>
            <w:tcW w:w="1250" w:type="pct"/>
            <w:shd w:val="clear" w:color="auto" w:fill="auto"/>
            <w:tcMar>
              <w:top w:w="0" w:type="dxa"/>
              <w:left w:w="108" w:type="dxa"/>
              <w:bottom w:w="0" w:type="dxa"/>
              <w:right w:w="108" w:type="dxa"/>
            </w:tcMar>
            <w:vAlign w:val="center"/>
          </w:tcPr>
          <w:p w14:paraId="2EDFE5E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793.78</w:t>
            </w:r>
          </w:p>
        </w:tc>
        <w:tc>
          <w:tcPr>
            <w:tcW w:w="1250" w:type="pct"/>
            <w:shd w:val="clear" w:color="auto" w:fill="auto"/>
            <w:tcMar>
              <w:top w:w="0" w:type="dxa"/>
              <w:left w:w="108" w:type="dxa"/>
              <w:bottom w:w="0" w:type="dxa"/>
              <w:right w:w="108" w:type="dxa"/>
            </w:tcMar>
            <w:vAlign w:val="center"/>
          </w:tcPr>
          <w:p w14:paraId="5E848FF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4,052.72</w:t>
            </w:r>
          </w:p>
        </w:tc>
        <w:tc>
          <w:tcPr>
            <w:tcW w:w="1250" w:type="pct"/>
            <w:shd w:val="clear" w:color="auto" w:fill="auto"/>
            <w:tcMar>
              <w:top w:w="0" w:type="dxa"/>
              <w:left w:w="108" w:type="dxa"/>
              <w:bottom w:w="0" w:type="dxa"/>
              <w:right w:w="108" w:type="dxa"/>
            </w:tcMar>
            <w:vAlign w:val="center"/>
          </w:tcPr>
          <w:p w14:paraId="1E949D0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873.53</w:t>
            </w:r>
          </w:p>
        </w:tc>
      </w:tr>
      <w:tr w:rsidR="006416B0" w:rsidRPr="00B4515A" w14:paraId="740DD5E8"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7C6BE91F"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hint="eastAsia"/>
                <w:color w:val="000000"/>
                <w:sz w:val="21"/>
                <w:szCs w:val="21"/>
              </w:rPr>
              <w:t>利润总额</w:t>
            </w:r>
          </w:p>
        </w:tc>
        <w:tc>
          <w:tcPr>
            <w:tcW w:w="1250" w:type="pct"/>
            <w:shd w:val="clear" w:color="auto" w:fill="auto"/>
            <w:tcMar>
              <w:top w:w="0" w:type="dxa"/>
              <w:left w:w="108" w:type="dxa"/>
              <w:bottom w:w="0" w:type="dxa"/>
              <w:right w:w="108" w:type="dxa"/>
            </w:tcMar>
            <w:vAlign w:val="center"/>
          </w:tcPr>
          <w:p w14:paraId="52DB57C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780.09</w:t>
            </w:r>
          </w:p>
        </w:tc>
        <w:tc>
          <w:tcPr>
            <w:tcW w:w="1250" w:type="pct"/>
            <w:shd w:val="clear" w:color="auto" w:fill="auto"/>
            <w:tcMar>
              <w:top w:w="0" w:type="dxa"/>
              <w:left w:w="108" w:type="dxa"/>
              <w:bottom w:w="0" w:type="dxa"/>
              <w:right w:w="108" w:type="dxa"/>
            </w:tcMar>
            <w:vAlign w:val="center"/>
          </w:tcPr>
          <w:p w14:paraId="43C431F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4,206.85</w:t>
            </w:r>
          </w:p>
        </w:tc>
        <w:tc>
          <w:tcPr>
            <w:tcW w:w="1250" w:type="pct"/>
            <w:shd w:val="clear" w:color="auto" w:fill="auto"/>
            <w:tcMar>
              <w:top w:w="0" w:type="dxa"/>
              <w:left w:w="108" w:type="dxa"/>
              <w:bottom w:w="0" w:type="dxa"/>
              <w:right w:w="108" w:type="dxa"/>
            </w:tcMar>
            <w:vAlign w:val="center"/>
          </w:tcPr>
          <w:p w14:paraId="58BD5FB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816.06</w:t>
            </w:r>
          </w:p>
        </w:tc>
      </w:tr>
      <w:tr w:rsidR="006416B0" w:rsidRPr="00B4515A" w14:paraId="1F68169C"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1D40ABC"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hint="eastAsia"/>
                <w:color w:val="000000"/>
                <w:sz w:val="21"/>
                <w:szCs w:val="21"/>
              </w:rPr>
              <w:t>净利润</w:t>
            </w:r>
          </w:p>
        </w:tc>
        <w:tc>
          <w:tcPr>
            <w:tcW w:w="1250" w:type="pct"/>
            <w:shd w:val="clear" w:color="auto" w:fill="auto"/>
            <w:tcMar>
              <w:top w:w="0" w:type="dxa"/>
              <w:left w:w="108" w:type="dxa"/>
              <w:bottom w:w="0" w:type="dxa"/>
              <w:right w:w="108" w:type="dxa"/>
            </w:tcMar>
            <w:vAlign w:val="center"/>
          </w:tcPr>
          <w:p w14:paraId="4EACA60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780.09</w:t>
            </w:r>
          </w:p>
        </w:tc>
        <w:tc>
          <w:tcPr>
            <w:tcW w:w="1250" w:type="pct"/>
            <w:shd w:val="clear" w:color="auto" w:fill="auto"/>
            <w:tcMar>
              <w:top w:w="0" w:type="dxa"/>
              <w:left w:w="108" w:type="dxa"/>
              <w:bottom w:w="0" w:type="dxa"/>
              <w:right w:w="108" w:type="dxa"/>
            </w:tcMar>
            <w:vAlign w:val="center"/>
          </w:tcPr>
          <w:p w14:paraId="506A9C0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4,206.85</w:t>
            </w:r>
          </w:p>
        </w:tc>
        <w:tc>
          <w:tcPr>
            <w:tcW w:w="1250" w:type="pct"/>
            <w:shd w:val="clear" w:color="auto" w:fill="auto"/>
            <w:tcMar>
              <w:top w:w="0" w:type="dxa"/>
              <w:left w:w="108" w:type="dxa"/>
              <w:bottom w:w="0" w:type="dxa"/>
              <w:right w:w="108" w:type="dxa"/>
            </w:tcMar>
            <w:vAlign w:val="center"/>
          </w:tcPr>
          <w:p w14:paraId="24EFD26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816.06</w:t>
            </w:r>
          </w:p>
        </w:tc>
      </w:tr>
      <w:tr w:rsidR="006416B0" w:rsidRPr="00B4515A" w14:paraId="7A0CBC06"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773819F0"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hint="eastAsia"/>
                <w:color w:val="000000"/>
                <w:sz w:val="21"/>
                <w:szCs w:val="21"/>
              </w:rPr>
              <w:t>归属于母公司股东的净利润</w:t>
            </w:r>
          </w:p>
        </w:tc>
        <w:tc>
          <w:tcPr>
            <w:tcW w:w="1250" w:type="pct"/>
            <w:shd w:val="clear" w:color="auto" w:fill="auto"/>
            <w:tcMar>
              <w:top w:w="0" w:type="dxa"/>
              <w:left w:w="108" w:type="dxa"/>
              <w:bottom w:w="0" w:type="dxa"/>
              <w:right w:w="108" w:type="dxa"/>
            </w:tcMar>
            <w:vAlign w:val="center"/>
          </w:tcPr>
          <w:p w14:paraId="3E48000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780.09</w:t>
            </w:r>
          </w:p>
        </w:tc>
        <w:tc>
          <w:tcPr>
            <w:tcW w:w="1250" w:type="pct"/>
            <w:shd w:val="clear" w:color="auto" w:fill="auto"/>
            <w:tcMar>
              <w:top w:w="0" w:type="dxa"/>
              <w:left w:w="108" w:type="dxa"/>
              <w:bottom w:w="0" w:type="dxa"/>
              <w:right w:w="108" w:type="dxa"/>
            </w:tcMar>
            <w:vAlign w:val="center"/>
          </w:tcPr>
          <w:p w14:paraId="6B35DF7C"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4,206.85</w:t>
            </w:r>
          </w:p>
        </w:tc>
        <w:tc>
          <w:tcPr>
            <w:tcW w:w="1250" w:type="pct"/>
            <w:shd w:val="clear" w:color="auto" w:fill="auto"/>
            <w:tcMar>
              <w:top w:w="0" w:type="dxa"/>
              <w:left w:w="108" w:type="dxa"/>
              <w:bottom w:w="0" w:type="dxa"/>
              <w:right w:w="108" w:type="dxa"/>
            </w:tcMar>
            <w:vAlign w:val="center"/>
          </w:tcPr>
          <w:p w14:paraId="0CCB9B2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1,785.66</w:t>
            </w:r>
          </w:p>
        </w:tc>
      </w:tr>
      <w:tr w:rsidR="006416B0" w:rsidRPr="00B4515A" w14:paraId="483D127B"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596389A"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hint="eastAsia"/>
                <w:color w:val="000000"/>
                <w:sz w:val="21"/>
                <w:szCs w:val="21"/>
              </w:rPr>
              <w:t>归属于母公司股东扣除非经常性损益后的净利润</w:t>
            </w:r>
          </w:p>
        </w:tc>
        <w:tc>
          <w:tcPr>
            <w:tcW w:w="1250" w:type="pct"/>
            <w:shd w:val="clear" w:color="auto" w:fill="auto"/>
            <w:tcMar>
              <w:top w:w="0" w:type="dxa"/>
              <w:left w:w="108" w:type="dxa"/>
              <w:bottom w:w="0" w:type="dxa"/>
              <w:right w:w="108" w:type="dxa"/>
            </w:tcMar>
            <w:vAlign w:val="center"/>
          </w:tcPr>
          <w:p w14:paraId="7F0640B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793.78</w:t>
            </w:r>
          </w:p>
        </w:tc>
        <w:tc>
          <w:tcPr>
            <w:tcW w:w="1250" w:type="pct"/>
            <w:shd w:val="clear" w:color="auto" w:fill="auto"/>
            <w:tcMar>
              <w:top w:w="0" w:type="dxa"/>
              <w:left w:w="108" w:type="dxa"/>
              <w:bottom w:w="0" w:type="dxa"/>
              <w:right w:w="108" w:type="dxa"/>
            </w:tcMar>
            <w:vAlign w:val="center"/>
          </w:tcPr>
          <w:p w14:paraId="2DEC8A7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4,040.43</w:t>
            </w:r>
          </w:p>
        </w:tc>
        <w:tc>
          <w:tcPr>
            <w:tcW w:w="1250" w:type="pct"/>
            <w:shd w:val="clear" w:color="auto" w:fill="auto"/>
            <w:tcMar>
              <w:top w:w="0" w:type="dxa"/>
              <w:left w:w="108" w:type="dxa"/>
              <w:bottom w:w="0" w:type="dxa"/>
              <w:right w:w="108" w:type="dxa"/>
            </w:tcMar>
            <w:vAlign w:val="center"/>
          </w:tcPr>
          <w:p w14:paraId="66899C46" w14:textId="69004E2A" w:rsidR="006416B0" w:rsidRPr="00B4515A" w:rsidRDefault="007E784E" w:rsidP="005860B4">
            <w:pPr>
              <w:adjustRightInd w:val="0"/>
              <w:snapToGrid w:val="0"/>
              <w:jc w:val="right"/>
              <w:rPr>
                <w:rFonts w:ascii="Times New Roman" w:eastAsiaTheme="minorEastAsia" w:cs="Times New Roman"/>
                <w:color w:val="000000"/>
                <w:sz w:val="21"/>
                <w:szCs w:val="21"/>
              </w:rPr>
            </w:pPr>
            <w:r w:rsidRPr="00B4515A">
              <w:rPr>
                <w:rFonts w:ascii="Times New Roman" w:hAnsi="Times New Roman" w:cs="Times New Roman"/>
                <w:color w:val="000000"/>
                <w:sz w:val="21"/>
                <w:szCs w:val="21"/>
              </w:rPr>
              <w:t>243.27</w:t>
            </w:r>
          </w:p>
        </w:tc>
      </w:tr>
    </w:tbl>
    <w:p w14:paraId="69FAC57C" w14:textId="77777777" w:rsidR="006416B0" w:rsidRPr="00B4515A" w:rsidRDefault="005E58C1" w:rsidP="003357B7">
      <w:pPr>
        <w:pStyle w:val="005"/>
        <w:spacing w:before="120" w:after="120"/>
        <w:ind w:firstLine="480"/>
      </w:pPr>
      <w:r w:rsidRPr="00B4515A">
        <w:rPr>
          <w:rFonts w:hint="eastAsia"/>
        </w:rPr>
        <w:t>报告期内，大唐联诚营业利润分别为</w:t>
      </w:r>
      <w:r w:rsidRPr="00B4515A">
        <w:t>873.53</w:t>
      </w:r>
      <w:r w:rsidRPr="00B4515A">
        <w:rPr>
          <w:rFonts w:hint="eastAsia"/>
        </w:rPr>
        <w:t>万元、</w:t>
      </w:r>
      <w:r w:rsidRPr="00B4515A">
        <w:t>4,052.72</w:t>
      </w:r>
      <w:r w:rsidRPr="00B4515A">
        <w:rPr>
          <w:rFonts w:hint="eastAsia"/>
        </w:rPr>
        <w:t>万元、</w:t>
      </w:r>
      <w:r w:rsidRPr="00B4515A">
        <w:t>793.78</w:t>
      </w:r>
      <w:r w:rsidRPr="00B4515A">
        <w:rPr>
          <w:rFonts w:hint="eastAsia"/>
        </w:rPr>
        <w:t>万元，营业利润占当年利润总额的比例分别为</w:t>
      </w:r>
      <w:r w:rsidRPr="00B4515A">
        <w:t>107.04%</w:t>
      </w:r>
      <w:r w:rsidRPr="00B4515A">
        <w:rPr>
          <w:rFonts w:hint="eastAsia"/>
        </w:rPr>
        <w:t>、</w:t>
      </w:r>
      <w:r w:rsidRPr="00B4515A">
        <w:t>96.34%</w:t>
      </w:r>
      <w:r w:rsidRPr="00B4515A">
        <w:rPr>
          <w:rFonts w:hint="eastAsia"/>
        </w:rPr>
        <w:t>、</w:t>
      </w:r>
      <w:r w:rsidRPr="00B4515A">
        <w:t>101.76%</w:t>
      </w:r>
      <w:r w:rsidRPr="00B4515A">
        <w:rPr>
          <w:rFonts w:hint="eastAsia"/>
        </w:rPr>
        <w:t>。大唐联诚的利润主要来源于专用移动通信、专用宽带电台方向下的型号产品和非型号产品销售。</w:t>
      </w:r>
    </w:p>
    <w:p w14:paraId="547706DA" w14:textId="77777777" w:rsidR="006416B0" w:rsidRPr="00B4515A" w:rsidRDefault="005E58C1" w:rsidP="003357B7">
      <w:pPr>
        <w:pStyle w:val="005"/>
        <w:spacing w:before="120" w:after="120"/>
        <w:ind w:firstLine="480"/>
      </w:pPr>
      <w:r w:rsidRPr="00B4515A">
        <w:rPr>
          <w:rFonts w:hint="eastAsia"/>
        </w:rPr>
        <w:t>标的公司</w:t>
      </w:r>
      <w:r w:rsidRPr="00B4515A">
        <w:t>2019</w:t>
      </w:r>
      <w:r w:rsidRPr="00B4515A">
        <w:rPr>
          <w:rFonts w:hint="eastAsia"/>
        </w:rPr>
        <w:t>年度、</w:t>
      </w:r>
      <w:r w:rsidRPr="00B4515A">
        <w:t>2020</w:t>
      </w:r>
      <w:r w:rsidRPr="00B4515A">
        <w:rPr>
          <w:rFonts w:hint="eastAsia"/>
        </w:rPr>
        <w:t>年度营业收入分别为</w:t>
      </w:r>
      <w:r w:rsidRPr="00B4515A">
        <w:t>3.67</w:t>
      </w:r>
      <w:r w:rsidRPr="00B4515A">
        <w:rPr>
          <w:rFonts w:hint="eastAsia"/>
        </w:rPr>
        <w:t>亿元、</w:t>
      </w:r>
      <w:r w:rsidRPr="00B4515A">
        <w:t>5.53</w:t>
      </w:r>
      <w:r w:rsidRPr="00B4515A">
        <w:rPr>
          <w:rFonts w:hint="eastAsia"/>
        </w:rPr>
        <w:t>亿元。</w:t>
      </w:r>
      <w:r w:rsidRPr="00B4515A">
        <w:t>2019</w:t>
      </w:r>
      <w:r w:rsidRPr="00B4515A">
        <w:rPr>
          <w:rFonts w:hint="eastAsia"/>
        </w:rPr>
        <w:t>年度、</w:t>
      </w:r>
      <w:r w:rsidRPr="00B4515A">
        <w:t>2020</w:t>
      </w:r>
      <w:r w:rsidRPr="00B4515A">
        <w:rPr>
          <w:rFonts w:hint="eastAsia"/>
        </w:rPr>
        <w:t>年度公司营业成本分别为</w:t>
      </w:r>
      <w:r w:rsidRPr="00B4515A">
        <w:t>1.72</w:t>
      </w:r>
      <w:r w:rsidRPr="00B4515A">
        <w:rPr>
          <w:rFonts w:hint="eastAsia"/>
        </w:rPr>
        <w:t>亿元，</w:t>
      </w:r>
      <w:r w:rsidRPr="00B4515A">
        <w:t>2.81</w:t>
      </w:r>
      <w:r w:rsidRPr="00B4515A">
        <w:rPr>
          <w:rFonts w:hint="eastAsia"/>
        </w:rPr>
        <w:t>亿元。公司</w:t>
      </w:r>
      <w:r w:rsidRPr="00B4515A">
        <w:t>2019</w:t>
      </w:r>
      <w:r w:rsidRPr="00B4515A">
        <w:rPr>
          <w:rFonts w:hint="eastAsia"/>
        </w:rPr>
        <w:t>年、</w:t>
      </w:r>
      <w:r w:rsidRPr="00B4515A">
        <w:t>2020</w:t>
      </w:r>
      <w:r w:rsidRPr="00B4515A">
        <w:rPr>
          <w:rFonts w:hint="eastAsia"/>
        </w:rPr>
        <w:t>年毛利率基本一致。标的公司</w:t>
      </w:r>
      <w:r w:rsidRPr="00B4515A">
        <w:t>2019</w:t>
      </w:r>
      <w:r w:rsidRPr="00B4515A">
        <w:rPr>
          <w:rFonts w:hint="eastAsia"/>
        </w:rPr>
        <w:t>年度、</w:t>
      </w:r>
      <w:r w:rsidRPr="00B4515A">
        <w:t>2020</w:t>
      </w:r>
      <w:r w:rsidRPr="00B4515A">
        <w:rPr>
          <w:rFonts w:hint="eastAsia"/>
        </w:rPr>
        <w:t>年度期间费用（销售费用、管理费用、研发费用、财务费用）分别为</w:t>
      </w:r>
      <w:r w:rsidRPr="00B4515A">
        <w:t>1.94</w:t>
      </w:r>
      <w:r w:rsidRPr="00B4515A">
        <w:rPr>
          <w:rFonts w:hint="eastAsia"/>
        </w:rPr>
        <w:t>亿元、</w:t>
      </w:r>
      <w:r w:rsidRPr="00B4515A">
        <w:t>2.18</w:t>
      </w:r>
      <w:r w:rsidRPr="00B4515A">
        <w:rPr>
          <w:rFonts w:hint="eastAsia"/>
        </w:rPr>
        <w:t>亿元。由于公司营业收入增长，但期间费用未同步增长，导致标的公司净利润大幅度增长，从而归母净利润也大幅度增长。</w:t>
      </w:r>
    </w:p>
    <w:p w14:paraId="754ECD1B" w14:textId="77777777" w:rsidR="006416B0" w:rsidRPr="00B4515A" w:rsidRDefault="005E58C1" w:rsidP="003357B7">
      <w:pPr>
        <w:pStyle w:val="005"/>
        <w:spacing w:before="120" w:after="120"/>
        <w:ind w:firstLine="480"/>
      </w:pPr>
      <w:r w:rsidRPr="00B4515A">
        <w:rPr>
          <w:rFonts w:hint="eastAsia"/>
        </w:rPr>
        <w:t>公司营业收入持续增长，同时期间费用并不随着营业收入完全同步增长，因此标的公司未来归母净利润的增长将具有可持续性。</w:t>
      </w:r>
    </w:p>
    <w:p w14:paraId="6B1F84EF" w14:textId="77777777" w:rsidR="006416B0" w:rsidRPr="00B4515A" w:rsidRDefault="005E58C1" w:rsidP="003357B7">
      <w:pPr>
        <w:pStyle w:val="004"/>
        <w:spacing w:before="120" w:after="120"/>
        <w:ind w:firstLine="482"/>
      </w:pPr>
      <w:r w:rsidRPr="00B4515A">
        <w:lastRenderedPageBreak/>
        <w:t>14</w:t>
      </w:r>
      <w:r w:rsidRPr="00B4515A">
        <w:rPr>
          <w:rFonts w:hint="eastAsia"/>
        </w:rPr>
        <w:t>、</w:t>
      </w:r>
      <w:r w:rsidRPr="00B4515A">
        <w:t>非经常性损益分析</w:t>
      </w:r>
    </w:p>
    <w:p w14:paraId="333BB60B" w14:textId="77777777" w:rsidR="006416B0" w:rsidRPr="00B4515A" w:rsidRDefault="005E58C1">
      <w:pPr>
        <w:jc w:val="right"/>
        <w:rPr>
          <w:sz w:val="21"/>
          <w:szCs w:val="21"/>
        </w:rPr>
      </w:pPr>
      <w:r w:rsidRPr="00B4515A">
        <w:rPr>
          <w:rFonts w:hint="eastAsia"/>
          <w:sz w:val="21"/>
          <w:szCs w:val="21"/>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58E11291" w14:textId="77777777" w:rsidTr="003357B7">
        <w:trPr>
          <w:trHeight w:val="340"/>
          <w:tblHeader/>
          <w:jc w:val="center"/>
        </w:trPr>
        <w:tc>
          <w:tcPr>
            <w:tcW w:w="1250" w:type="pct"/>
            <w:shd w:val="clear" w:color="auto" w:fill="auto"/>
            <w:tcMar>
              <w:top w:w="0" w:type="dxa"/>
              <w:left w:w="108" w:type="dxa"/>
              <w:bottom w:w="0" w:type="dxa"/>
              <w:right w:w="108" w:type="dxa"/>
            </w:tcMar>
            <w:vAlign w:val="center"/>
          </w:tcPr>
          <w:p w14:paraId="14C38928"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项目</w:t>
            </w:r>
          </w:p>
        </w:tc>
        <w:tc>
          <w:tcPr>
            <w:tcW w:w="1250" w:type="pct"/>
            <w:shd w:val="clear" w:color="auto" w:fill="auto"/>
            <w:tcMar>
              <w:top w:w="0" w:type="dxa"/>
              <w:left w:w="108" w:type="dxa"/>
              <w:bottom w:w="0" w:type="dxa"/>
              <w:right w:w="108" w:type="dxa"/>
            </w:tcMar>
            <w:vAlign w:val="center"/>
          </w:tcPr>
          <w:p w14:paraId="2C71901C"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2021</w:t>
            </w:r>
            <w:r w:rsidRPr="00B4515A">
              <w:rPr>
                <w:rFonts w:ascii="Times New Roman" w:eastAsiaTheme="minorEastAsia" w:cs="Times New Roman"/>
                <w:b/>
                <w:bCs/>
                <w:color w:val="000000"/>
                <w:sz w:val="21"/>
                <w:szCs w:val="21"/>
              </w:rPr>
              <w:t>年</w:t>
            </w:r>
            <w:r w:rsidRPr="00B4515A">
              <w:rPr>
                <w:rFonts w:ascii="Times New Roman" w:eastAsiaTheme="minorEastAsia" w:cs="Times New Roman"/>
                <w:b/>
                <w:bCs/>
                <w:color w:val="000000"/>
                <w:sz w:val="21"/>
                <w:szCs w:val="21"/>
              </w:rPr>
              <w:t>1-4</w:t>
            </w:r>
            <w:r w:rsidRPr="00B4515A">
              <w:rPr>
                <w:rFonts w:ascii="Times New Roman" w:eastAsiaTheme="minorEastAsia" w:cs="Times New Roman"/>
                <w:b/>
                <w:bCs/>
                <w:color w:val="000000"/>
                <w:sz w:val="21"/>
                <w:szCs w:val="21"/>
              </w:rPr>
              <w:t>月</w:t>
            </w:r>
          </w:p>
        </w:tc>
        <w:tc>
          <w:tcPr>
            <w:tcW w:w="1250" w:type="pct"/>
            <w:shd w:val="clear" w:color="auto" w:fill="auto"/>
            <w:tcMar>
              <w:top w:w="0" w:type="dxa"/>
              <w:left w:w="108" w:type="dxa"/>
              <w:bottom w:w="0" w:type="dxa"/>
              <w:right w:w="108" w:type="dxa"/>
            </w:tcMar>
            <w:vAlign w:val="center"/>
          </w:tcPr>
          <w:p w14:paraId="1BB24E14"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2020</w:t>
            </w:r>
            <w:r w:rsidRPr="00B4515A">
              <w:rPr>
                <w:rFonts w:ascii="Times New Roman" w:eastAsiaTheme="minorEastAsia" w:cs="Times New Roman"/>
                <w:b/>
                <w:bCs/>
                <w:color w:val="000000"/>
                <w:sz w:val="21"/>
                <w:szCs w:val="21"/>
              </w:rPr>
              <w:t>年度</w:t>
            </w:r>
          </w:p>
        </w:tc>
        <w:tc>
          <w:tcPr>
            <w:tcW w:w="1250" w:type="pct"/>
            <w:shd w:val="clear" w:color="auto" w:fill="auto"/>
            <w:tcMar>
              <w:top w:w="0" w:type="dxa"/>
              <w:left w:w="108" w:type="dxa"/>
              <w:bottom w:w="0" w:type="dxa"/>
              <w:right w:w="108" w:type="dxa"/>
            </w:tcMar>
            <w:vAlign w:val="center"/>
          </w:tcPr>
          <w:p w14:paraId="226A08D2"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2019</w:t>
            </w:r>
            <w:r w:rsidRPr="00B4515A">
              <w:rPr>
                <w:rFonts w:ascii="Times New Roman" w:eastAsiaTheme="minorEastAsia" w:cs="Times New Roman"/>
                <w:b/>
                <w:bCs/>
                <w:color w:val="000000"/>
                <w:sz w:val="21"/>
                <w:szCs w:val="21"/>
              </w:rPr>
              <w:t>年度</w:t>
            </w:r>
          </w:p>
        </w:tc>
      </w:tr>
      <w:tr w:rsidR="00503B1F" w:rsidRPr="00B4515A" w14:paraId="1D1302F5"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4D9219F2" w14:textId="77777777" w:rsidR="00503B1F" w:rsidRPr="00B4515A" w:rsidRDefault="00503B1F"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非流动资产处置损益</w:t>
            </w:r>
          </w:p>
        </w:tc>
        <w:tc>
          <w:tcPr>
            <w:tcW w:w="1250" w:type="pct"/>
            <w:shd w:val="clear" w:color="auto" w:fill="auto"/>
            <w:tcMar>
              <w:top w:w="0" w:type="dxa"/>
              <w:left w:w="108" w:type="dxa"/>
              <w:bottom w:w="0" w:type="dxa"/>
              <w:right w:w="108" w:type="dxa"/>
            </w:tcMar>
            <w:vAlign w:val="center"/>
          </w:tcPr>
          <w:p w14:paraId="78FA2783"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w:t>
            </w:r>
          </w:p>
        </w:tc>
        <w:tc>
          <w:tcPr>
            <w:tcW w:w="1250" w:type="pct"/>
            <w:shd w:val="clear" w:color="auto" w:fill="auto"/>
            <w:tcMar>
              <w:top w:w="0" w:type="dxa"/>
              <w:left w:w="108" w:type="dxa"/>
              <w:bottom w:w="0" w:type="dxa"/>
              <w:right w:w="108" w:type="dxa"/>
            </w:tcMar>
            <w:vAlign w:val="center"/>
          </w:tcPr>
          <w:p w14:paraId="2FCABB2F"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12.29</w:t>
            </w:r>
          </w:p>
        </w:tc>
        <w:tc>
          <w:tcPr>
            <w:tcW w:w="1250" w:type="pct"/>
            <w:shd w:val="clear" w:color="auto" w:fill="auto"/>
            <w:tcMar>
              <w:top w:w="0" w:type="dxa"/>
              <w:left w:w="108" w:type="dxa"/>
              <w:bottom w:w="0" w:type="dxa"/>
              <w:right w:w="108" w:type="dxa"/>
            </w:tcMar>
            <w:vAlign w:val="center"/>
          </w:tcPr>
          <w:p w14:paraId="0F7BD7D0" w14:textId="4BC381D7" w:rsidR="00503B1F" w:rsidRPr="00B4515A" w:rsidRDefault="00503B1F"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1,549.87</w:t>
            </w:r>
          </w:p>
        </w:tc>
      </w:tr>
      <w:tr w:rsidR="00503B1F" w:rsidRPr="00B4515A" w14:paraId="5BE1E221"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7D6533E9" w14:textId="77777777" w:rsidR="00503B1F" w:rsidRPr="00B4515A" w:rsidRDefault="00503B1F"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计入当期损益的政府补助（与企业业务密切相关，按照国家统一标准定额或定量享受的政府补助除外）</w:t>
            </w:r>
          </w:p>
        </w:tc>
        <w:tc>
          <w:tcPr>
            <w:tcW w:w="1250" w:type="pct"/>
            <w:shd w:val="clear" w:color="auto" w:fill="auto"/>
            <w:tcMar>
              <w:top w:w="0" w:type="dxa"/>
              <w:left w:w="108" w:type="dxa"/>
              <w:bottom w:w="0" w:type="dxa"/>
              <w:right w:w="108" w:type="dxa"/>
            </w:tcMar>
            <w:vAlign w:val="center"/>
          </w:tcPr>
          <w:p w14:paraId="2E8579B7"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w:t>
            </w:r>
          </w:p>
        </w:tc>
        <w:tc>
          <w:tcPr>
            <w:tcW w:w="1250" w:type="pct"/>
            <w:shd w:val="clear" w:color="auto" w:fill="auto"/>
            <w:tcMar>
              <w:top w:w="0" w:type="dxa"/>
              <w:left w:w="108" w:type="dxa"/>
              <w:bottom w:w="0" w:type="dxa"/>
              <w:right w:w="108" w:type="dxa"/>
            </w:tcMar>
            <w:vAlign w:val="center"/>
          </w:tcPr>
          <w:p w14:paraId="519B35ED"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2.40</w:t>
            </w:r>
          </w:p>
        </w:tc>
        <w:tc>
          <w:tcPr>
            <w:tcW w:w="1250" w:type="pct"/>
            <w:shd w:val="clear" w:color="auto" w:fill="auto"/>
            <w:tcMar>
              <w:top w:w="0" w:type="dxa"/>
              <w:left w:w="108" w:type="dxa"/>
              <w:bottom w:w="0" w:type="dxa"/>
              <w:right w:w="108" w:type="dxa"/>
            </w:tcMar>
            <w:vAlign w:val="center"/>
          </w:tcPr>
          <w:p w14:paraId="4A7093C6" w14:textId="2658F41E" w:rsidR="00503B1F" w:rsidRPr="00B4515A" w:rsidRDefault="00503B1F"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50.00</w:t>
            </w:r>
          </w:p>
        </w:tc>
      </w:tr>
      <w:tr w:rsidR="00503B1F" w:rsidRPr="00B4515A" w14:paraId="2191B6AC"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03ACE59B" w14:textId="77777777" w:rsidR="00503B1F" w:rsidRPr="00B4515A" w:rsidRDefault="00503B1F"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除上述各项之外的其他营业外收入和支出</w:t>
            </w:r>
          </w:p>
        </w:tc>
        <w:tc>
          <w:tcPr>
            <w:tcW w:w="1250" w:type="pct"/>
            <w:shd w:val="clear" w:color="auto" w:fill="auto"/>
            <w:tcMar>
              <w:top w:w="0" w:type="dxa"/>
              <w:left w:w="108" w:type="dxa"/>
              <w:bottom w:w="0" w:type="dxa"/>
              <w:right w:w="108" w:type="dxa"/>
            </w:tcMar>
            <w:vAlign w:val="center"/>
          </w:tcPr>
          <w:p w14:paraId="1AF12814"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-13.70</w:t>
            </w:r>
          </w:p>
        </w:tc>
        <w:tc>
          <w:tcPr>
            <w:tcW w:w="1250" w:type="pct"/>
            <w:shd w:val="clear" w:color="auto" w:fill="auto"/>
            <w:tcMar>
              <w:top w:w="0" w:type="dxa"/>
              <w:left w:w="108" w:type="dxa"/>
              <w:bottom w:w="0" w:type="dxa"/>
              <w:right w:w="108" w:type="dxa"/>
            </w:tcMar>
            <w:vAlign w:val="center"/>
          </w:tcPr>
          <w:p w14:paraId="309B46A8"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151.72</w:t>
            </w:r>
          </w:p>
        </w:tc>
        <w:tc>
          <w:tcPr>
            <w:tcW w:w="1250" w:type="pct"/>
            <w:shd w:val="clear" w:color="auto" w:fill="auto"/>
            <w:tcMar>
              <w:top w:w="0" w:type="dxa"/>
              <w:left w:w="108" w:type="dxa"/>
              <w:bottom w:w="0" w:type="dxa"/>
              <w:right w:w="108" w:type="dxa"/>
            </w:tcMar>
            <w:vAlign w:val="center"/>
          </w:tcPr>
          <w:p w14:paraId="4FF26822" w14:textId="3D99E2AA" w:rsidR="00503B1F" w:rsidRPr="00B4515A" w:rsidRDefault="00503B1F"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-57.47</w:t>
            </w:r>
          </w:p>
        </w:tc>
      </w:tr>
      <w:tr w:rsidR="00503B1F" w:rsidRPr="00B4515A" w14:paraId="0615DBB3"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6E19A18C" w14:textId="77777777" w:rsidR="00503B1F" w:rsidRPr="00B4515A" w:rsidRDefault="00503B1F"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其他符合非经常性损益定义的损益项目</w:t>
            </w:r>
          </w:p>
        </w:tc>
        <w:tc>
          <w:tcPr>
            <w:tcW w:w="1250" w:type="pct"/>
            <w:shd w:val="clear" w:color="auto" w:fill="auto"/>
            <w:tcMar>
              <w:top w:w="0" w:type="dxa"/>
              <w:left w:w="108" w:type="dxa"/>
              <w:bottom w:w="0" w:type="dxa"/>
              <w:right w:w="108" w:type="dxa"/>
            </w:tcMar>
            <w:vAlign w:val="center"/>
          </w:tcPr>
          <w:p w14:paraId="6857797C"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w:t>
            </w:r>
          </w:p>
        </w:tc>
        <w:tc>
          <w:tcPr>
            <w:tcW w:w="1250" w:type="pct"/>
            <w:shd w:val="clear" w:color="auto" w:fill="auto"/>
            <w:tcMar>
              <w:top w:w="0" w:type="dxa"/>
              <w:left w:w="108" w:type="dxa"/>
              <w:bottom w:w="0" w:type="dxa"/>
              <w:right w:w="108" w:type="dxa"/>
            </w:tcMar>
            <w:vAlign w:val="center"/>
          </w:tcPr>
          <w:p w14:paraId="7EDC6D2C"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w:t>
            </w:r>
          </w:p>
        </w:tc>
        <w:tc>
          <w:tcPr>
            <w:tcW w:w="1250" w:type="pct"/>
            <w:shd w:val="clear" w:color="auto" w:fill="auto"/>
            <w:tcMar>
              <w:top w:w="0" w:type="dxa"/>
              <w:left w:w="108" w:type="dxa"/>
              <w:bottom w:w="0" w:type="dxa"/>
              <w:right w:w="108" w:type="dxa"/>
            </w:tcMar>
            <w:vAlign w:val="center"/>
          </w:tcPr>
          <w:p w14:paraId="69553D19" w14:textId="53995D56" w:rsidR="00503B1F" w:rsidRPr="00B4515A" w:rsidRDefault="00440BE9"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color w:val="000000"/>
                <w:sz w:val="21"/>
                <w:szCs w:val="21"/>
              </w:rPr>
              <w:t>-</w:t>
            </w:r>
          </w:p>
        </w:tc>
      </w:tr>
      <w:tr w:rsidR="00503B1F" w:rsidRPr="00B4515A" w14:paraId="7DBBB44D" w14:textId="77777777" w:rsidTr="00EE238F">
        <w:trPr>
          <w:trHeight w:val="340"/>
          <w:jc w:val="center"/>
        </w:trPr>
        <w:tc>
          <w:tcPr>
            <w:tcW w:w="1250" w:type="pct"/>
            <w:shd w:val="clear" w:color="auto" w:fill="auto"/>
            <w:tcMar>
              <w:top w:w="0" w:type="dxa"/>
              <w:left w:w="108" w:type="dxa"/>
              <w:bottom w:w="0" w:type="dxa"/>
              <w:right w:w="108" w:type="dxa"/>
            </w:tcMar>
            <w:vAlign w:val="center"/>
          </w:tcPr>
          <w:p w14:paraId="0F9A1FEC" w14:textId="77777777" w:rsidR="00503B1F" w:rsidRPr="00B4515A" w:rsidRDefault="00503B1F"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小计</w:t>
            </w:r>
          </w:p>
        </w:tc>
        <w:tc>
          <w:tcPr>
            <w:tcW w:w="1250" w:type="pct"/>
            <w:shd w:val="clear" w:color="auto" w:fill="auto"/>
            <w:tcMar>
              <w:top w:w="0" w:type="dxa"/>
              <w:left w:w="108" w:type="dxa"/>
              <w:bottom w:w="0" w:type="dxa"/>
              <w:right w:w="108" w:type="dxa"/>
            </w:tcMar>
            <w:vAlign w:val="center"/>
          </w:tcPr>
          <w:p w14:paraId="26C75590"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-13.70</w:t>
            </w:r>
          </w:p>
        </w:tc>
        <w:tc>
          <w:tcPr>
            <w:tcW w:w="1250" w:type="pct"/>
            <w:shd w:val="clear" w:color="auto" w:fill="auto"/>
            <w:tcMar>
              <w:top w:w="0" w:type="dxa"/>
              <w:left w:w="108" w:type="dxa"/>
              <w:bottom w:w="0" w:type="dxa"/>
              <w:right w:w="108" w:type="dxa"/>
            </w:tcMar>
            <w:vAlign w:val="center"/>
          </w:tcPr>
          <w:p w14:paraId="482A2AF6"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166.42</w:t>
            </w:r>
          </w:p>
        </w:tc>
        <w:tc>
          <w:tcPr>
            <w:tcW w:w="1250" w:type="pct"/>
            <w:shd w:val="clear" w:color="auto" w:fill="auto"/>
            <w:tcMar>
              <w:top w:w="0" w:type="dxa"/>
              <w:left w:w="108" w:type="dxa"/>
              <w:bottom w:w="0" w:type="dxa"/>
              <w:right w:w="108" w:type="dxa"/>
            </w:tcMar>
            <w:vAlign w:val="center"/>
          </w:tcPr>
          <w:p w14:paraId="14BEFB4F" w14:textId="3D9E9451" w:rsidR="00503B1F" w:rsidRPr="00B4515A" w:rsidRDefault="001D287A"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1,542.39</w:t>
            </w:r>
          </w:p>
        </w:tc>
      </w:tr>
      <w:tr w:rsidR="00503B1F" w:rsidRPr="00B4515A" w14:paraId="0B0EC2F4" w14:textId="77777777" w:rsidTr="00EE238F">
        <w:trPr>
          <w:trHeight w:val="340"/>
          <w:jc w:val="center"/>
        </w:trPr>
        <w:tc>
          <w:tcPr>
            <w:tcW w:w="1250" w:type="pct"/>
            <w:shd w:val="clear" w:color="auto" w:fill="auto"/>
            <w:tcMar>
              <w:top w:w="0" w:type="dxa"/>
              <w:left w:w="108" w:type="dxa"/>
              <w:bottom w:w="0" w:type="dxa"/>
              <w:right w:w="108" w:type="dxa"/>
            </w:tcMar>
            <w:vAlign w:val="center"/>
          </w:tcPr>
          <w:p w14:paraId="2500ED6D" w14:textId="77777777" w:rsidR="00503B1F" w:rsidRPr="00B4515A" w:rsidRDefault="00503B1F"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所得税影响额</w:t>
            </w:r>
          </w:p>
        </w:tc>
        <w:tc>
          <w:tcPr>
            <w:tcW w:w="1250" w:type="pct"/>
            <w:shd w:val="clear" w:color="auto" w:fill="auto"/>
            <w:tcMar>
              <w:top w:w="0" w:type="dxa"/>
              <w:left w:w="108" w:type="dxa"/>
              <w:bottom w:w="0" w:type="dxa"/>
              <w:right w:w="108" w:type="dxa"/>
            </w:tcMar>
            <w:vAlign w:val="center"/>
          </w:tcPr>
          <w:p w14:paraId="2FA14764"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w:t>
            </w:r>
          </w:p>
        </w:tc>
        <w:tc>
          <w:tcPr>
            <w:tcW w:w="1250" w:type="pct"/>
            <w:shd w:val="clear" w:color="auto" w:fill="auto"/>
            <w:tcMar>
              <w:top w:w="0" w:type="dxa"/>
              <w:left w:w="108" w:type="dxa"/>
              <w:bottom w:w="0" w:type="dxa"/>
              <w:right w:w="108" w:type="dxa"/>
            </w:tcMar>
            <w:vAlign w:val="center"/>
          </w:tcPr>
          <w:p w14:paraId="593C842B"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w:t>
            </w:r>
          </w:p>
        </w:tc>
        <w:tc>
          <w:tcPr>
            <w:tcW w:w="1250" w:type="pct"/>
            <w:shd w:val="clear" w:color="auto" w:fill="auto"/>
            <w:tcMar>
              <w:top w:w="0" w:type="dxa"/>
              <w:left w:w="108" w:type="dxa"/>
              <w:bottom w:w="0" w:type="dxa"/>
              <w:right w:w="108" w:type="dxa"/>
            </w:tcMar>
            <w:vAlign w:val="center"/>
          </w:tcPr>
          <w:p w14:paraId="01A75259" w14:textId="07ACCCBC" w:rsidR="00503B1F" w:rsidRPr="00B4515A" w:rsidRDefault="00503B1F"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color w:val="000000"/>
                <w:sz w:val="21"/>
                <w:szCs w:val="21"/>
              </w:rPr>
              <w:t>-</w:t>
            </w:r>
          </w:p>
        </w:tc>
      </w:tr>
      <w:tr w:rsidR="00503B1F" w:rsidRPr="00B4515A" w14:paraId="649223DF" w14:textId="77777777" w:rsidTr="00EE238F">
        <w:trPr>
          <w:trHeight w:val="340"/>
          <w:jc w:val="center"/>
        </w:trPr>
        <w:tc>
          <w:tcPr>
            <w:tcW w:w="1250" w:type="pct"/>
            <w:shd w:val="clear" w:color="auto" w:fill="auto"/>
            <w:tcMar>
              <w:top w:w="0" w:type="dxa"/>
              <w:left w:w="108" w:type="dxa"/>
              <w:bottom w:w="0" w:type="dxa"/>
              <w:right w:w="108" w:type="dxa"/>
            </w:tcMar>
            <w:vAlign w:val="center"/>
          </w:tcPr>
          <w:p w14:paraId="5059BAF8" w14:textId="77777777" w:rsidR="00503B1F" w:rsidRPr="00B4515A" w:rsidRDefault="00503B1F"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少数股东权益影响额（税后）</w:t>
            </w:r>
          </w:p>
        </w:tc>
        <w:tc>
          <w:tcPr>
            <w:tcW w:w="1250" w:type="pct"/>
            <w:shd w:val="clear" w:color="auto" w:fill="auto"/>
            <w:tcMar>
              <w:top w:w="0" w:type="dxa"/>
              <w:left w:w="108" w:type="dxa"/>
              <w:bottom w:w="0" w:type="dxa"/>
              <w:right w:w="108" w:type="dxa"/>
            </w:tcMar>
            <w:vAlign w:val="center"/>
          </w:tcPr>
          <w:p w14:paraId="1D66A782"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w:t>
            </w:r>
          </w:p>
        </w:tc>
        <w:tc>
          <w:tcPr>
            <w:tcW w:w="1250" w:type="pct"/>
            <w:shd w:val="clear" w:color="auto" w:fill="auto"/>
            <w:tcMar>
              <w:top w:w="0" w:type="dxa"/>
              <w:left w:w="108" w:type="dxa"/>
              <w:bottom w:w="0" w:type="dxa"/>
              <w:right w:w="108" w:type="dxa"/>
            </w:tcMar>
            <w:vAlign w:val="center"/>
          </w:tcPr>
          <w:p w14:paraId="0634D523" w14:textId="77777777" w:rsidR="00503B1F" w:rsidRPr="00B4515A" w:rsidRDefault="00503B1F"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w:t>
            </w:r>
          </w:p>
        </w:tc>
        <w:tc>
          <w:tcPr>
            <w:tcW w:w="1250" w:type="pct"/>
            <w:shd w:val="clear" w:color="auto" w:fill="auto"/>
            <w:tcMar>
              <w:top w:w="0" w:type="dxa"/>
              <w:left w:w="108" w:type="dxa"/>
              <w:bottom w:w="0" w:type="dxa"/>
              <w:right w:w="108" w:type="dxa"/>
            </w:tcMar>
            <w:vAlign w:val="center"/>
          </w:tcPr>
          <w:p w14:paraId="33E147F4" w14:textId="0B36EB97" w:rsidR="00503B1F" w:rsidRPr="00B4515A" w:rsidRDefault="00503B1F"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color w:val="000000"/>
                <w:sz w:val="21"/>
                <w:szCs w:val="21"/>
              </w:rPr>
              <w:t>-</w:t>
            </w:r>
          </w:p>
        </w:tc>
      </w:tr>
      <w:tr w:rsidR="00503B1F" w:rsidRPr="00B4515A" w14:paraId="76B860DC"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576FFBF" w14:textId="77777777" w:rsidR="00503B1F" w:rsidRPr="00B4515A" w:rsidRDefault="00503B1F"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合计</w:t>
            </w:r>
          </w:p>
        </w:tc>
        <w:tc>
          <w:tcPr>
            <w:tcW w:w="1250" w:type="pct"/>
            <w:shd w:val="clear" w:color="auto" w:fill="auto"/>
            <w:tcMar>
              <w:top w:w="0" w:type="dxa"/>
              <w:left w:w="108" w:type="dxa"/>
              <w:bottom w:w="0" w:type="dxa"/>
              <w:right w:w="108" w:type="dxa"/>
            </w:tcMar>
            <w:vAlign w:val="center"/>
          </w:tcPr>
          <w:p w14:paraId="513E2524" w14:textId="77777777" w:rsidR="00503B1F" w:rsidRPr="00B4515A" w:rsidRDefault="00503B1F"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-13.70</w:t>
            </w:r>
          </w:p>
        </w:tc>
        <w:tc>
          <w:tcPr>
            <w:tcW w:w="1250" w:type="pct"/>
            <w:shd w:val="clear" w:color="auto" w:fill="auto"/>
            <w:tcMar>
              <w:top w:w="0" w:type="dxa"/>
              <w:left w:w="108" w:type="dxa"/>
              <w:bottom w:w="0" w:type="dxa"/>
              <w:right w:w="108" w:type="dxa"/>
            </w:tcMar>
            <w:vAlign w:val="center"/>
          </w:tcPr>
          <w:p w14:paraId="5823BF5A" w14:textId="77777777" w:rsidR="00503B1F" w:rsidRPr="00B4515A" w:rsidRDefault="00503B1F"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166.42</w:t>
            </w:r>
          </w:p>
        </w:tc>
        <w:tc>
          <w:tcPr>
            <w:tcW w:w="1250" w:type="pct"/>
            <w:shd w:val="clear" w:color="auto" w:fill="auto"/>
            <w:tcMar>
              <w:top w:w="0" w:type="dxa"/>
              <w:left w:w="108" w:type="dxa"/>
              <w:bottom w:w="0" w:type="dxa"/>
              <w:right w:w="108" w:type="dxa"/>
            </w:tcMar>
            <w:vAlign w:val="center"/>
          </w:tcPr>
          <w:p w14:paraId="6E70C166" w14:textId="54F8C889" w:rsidR="00503B1F" w:rsidRPr="00B4515A" w:rsidRDefault="00503B1F" w:rsidP="005860B4">
            <w:pPr>
              <w:adjustRightInd w:val="0"/>
              <w:snapToGrid w:val="0"/>
              <w:jc w:val="right"/>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1,542.39</w:t>
            </w:r>
          </w:p>
        </w:tc>
      </w:tr>
    </w:tbl>
    <w:p w14:paraId="1A68CD0A" w14:textId="06C12AAC" w:rsidR="006416B0" w:rsidRPr="00B4515A" w:rsidRDefault="005E58C1" w:rsidP="003357B7">
      <w:pPr>
        <w:pStyle w:val="005"/>
        <w:spacing w:before="120" w:after="120"/>
        <w:ind w:firstLine="480"/>
      </w:pPr>
      <w:r w:rsidRPr="00B4515A">
        <w:rPr>
          <w:rFonts w:hint="eastAsia"/>
        </w:rPr>
        <w:t>报告期各期，大唐联诚非经常性损益分别为</w:t>
      </w:r>
      <w:r w:rsidRPr="00B4515A">
        <w:rPr>
          <w:color w:val="000000"/>
        </w:rPr>
        <w:t xml:space="preserve"> </w:t>
      </w:r>
      <w:r w:rsidR="00440BE9" w:rsidRPr="00B4515A">
        <w:rPr>
          <w:color w:val="000000"/>
        </w:rPr>
        <w:t>1,542.39</w:t>
      </w:r>
      <w:r w:rsidRPr="00B4515A">
        <w:rPr>
          <w:rFonts w:hint="eastAsia"/>
          <w:color w:val="000000"/>
        </w:rPr>
        <w:t>万</w:t>
      </w:r>
      <w:r w:rsidRPr="00B4515A">
        <w:rPr>
          <w:rFonts w:hint="eastAsia"/>
        </w:rPr>
        <w:t>元、</w:t>
      </w:r>
      <w:r w:rsidRPr="00B4515A">
        <w:rPr>
          <w:color w:val="000000"/>
        </w:rPr>
        <w:t>166.42</w:t>
      </w:r>
      <w:r w:rsidRPr="00B4515A">
        <w:rPr>
          <w:rFonts w:hint="eastAsia"/>
        </w:rPr>
        <w:t>万元、</w:t>
      </w:r>
      <w:r w:rsidRPr="00B4515A">
        <w:rPr>
          <w:color w:val="000000"/>
        </w:rPr>
        <w:t>-13.70</w:t>
      </w:r>
      <w:r w:rsidRPr="00B4515A">
        <w:rPr>
          <w:rFonts w:hint="eastAsia"/>
        </w:rPr>
        <w:t>万元，占利润总额的比例分别为</w:t>
      </w:r>
      <w:r w:rsidR="001B6F61" w:rsidRPr="00B4515A">
        <w:t>189.01%</w:t>
      </w:r>
      <w:r w:rsidRPr="00B4515A">
        <w:rPr>
          <w:rFonts w:hint="eastAsia"/>
          <w:color w:val="000000"/>
        </w:rPr>
        <w:t>、</w:t>
      </w:r>
      <w:r w:rsidRPr="00B4515A">
        <w:rPr>
          <w:color w:val="000000"/>
        </w:rPr>
        <w:t>3.96%</w:t>
      </w:r>
      <w:r w:rsidRPr="00B4515A">
        <w:rPr>
          <w:rFonts w:hint="eastAsia"/>
          <w:color w:val="000000"/>
        </w:rPr>
        <w:t>、</w:t>
      </w:r>
      <w:r w:rsidRPr="00B4515A">
        <w:rPr>
          <w:color w:val="000000"/>
        </w:rPr>
        <w:t>-1.76%</w:t>
      </w:r>
      <w:r w:rsidRPr="00B4515A">
        <w:rPr>
          <w:rFonts w:hint="eastAsia"/>
        </w:rPr>
        <w:t>。报告期内大唐联诚</w:t>
      </w:r>
      <w:r w:rsidRPr="00B4515A">
        <w:t>2019</w:t>
      </w:r>
      <w:r w:rsidRPr="00B4515A">
        <w:rPr>
          <w:rFonts w:hint="eastAsia"/>
        </w:rPr>
        <w:t>年度非经常性损益较高，主要系</w:t>
      </w:r>
      <w:r w:rsidRPr="00B4515A">
        <w:t>2019</w:t>
      </w:r>
      <w:r w:rsidRPr="00B4515A">
        <w:rPr>
          <w:rFonts w:hint="eastAsia"/>
        </w:rPr>
        <w:t>年</w:t>
      </w:r>
      <w:r w:rsidRPr="00B4515A">
        <w:t>12</w:t>
      </w:r>
      <w:r w:rsidRPr="00B4515A">
        <w:rPr>
          <w:rFonts w:hint="eastAsia"/>
        </w:rPr>
        <w:t>月份处置子公司大唐奇安网络科技有限公司</w:t>
      </w:r>
      <w:r w:rsidRPr="00B4515A">
        <w:t>51%</w:t>
      </w:r>
      <w:r w:rsidRPr="00B4515A">
        <w:rPr>
          <w:rFonts w:hint="eastAsia"/>
        </w:rPr>
        <w:t>股权所致。</w:t>
      </w:r>
      <w:r w:rsidRPr="00B4515A">
        <w:t>2020</w:t>
      </w:r>
      <w:r w:rsidRPr="00B4515A">
        <w:rPr>
          <w:rFonts w:hint="eastAsia"/>
        </w:rPr>
        <w:t>年度非经常性损益主要为营业外收入、营业外支出导致，具体内容详见</w:t>
      </w:r>
      <w:r w:rsidRPr="00B4515A">
        <w:rPr>
          <w:rFonts w:ascii="宋体" w:hAnsi="宋体" w:hint="eastAsia"/>
        </w:rPr>
        <w:t>“</w:t>
      </w:r>
      <w:r w:rsidRPr="00B4515A">
        <w:t>11</w:t>
      </w:r>
      <w:r w:rsidRPr="00B4515A">
        <w:rPr>
          <w:rFonts w:hint="eastAsia"/>
        </w:rPr>
        <w:t>、营业外收入分析</w:t>
      </w:r>
      <w:r w:rsidRPr="00B4515A">
        <w:rPr>
          <w:rFonts w:ascii="宋体" w:hAnsi="宋体" w:hint="eastAsia"/>
        </w:rPr>
        <w:t>”</w:t>
      </w:r>
      <w:r w:rsidRPr="00B4515A">
        <w:rPr>
          <w:rFonts w:hint="eastAsia"/>
        </w:rPr>
        <w:t>和</w:t>
      </w:r>
      <w:r w:rsidRPr="00B4515A">
        <w:rPr>
          <w:rFonts w:ascii="宋体" w:hAnsi="宋体" w:hint="eastAsia"/>
        </w:rPr>
        <w:t>“</w:t>
      </w:r>
      <w:r w:rsidRPr="00B4515A">
        <w:t>12</w:t>
      </w:r>
      <w:r w:rsidRPr="00B4515A">
        <w:rPr>
          <w:rFonts w:hint="eastAsia"/>
        </w:rPr>
        <w:t>、营业外支出分析</w:t>
      </w:r>
      <w:r w:rsidRPr="00B4515A">
        <w:rPr>
          <w:rFonts w:ascii="宋体" w:hAnsi="宋体" w:hint="eastAsia"/>
        </w:rPr>
        <w:t>”</w:t>
      </w:r>
      <w:r w:rsidRPr="00B4515A">
        <w:rPr>
          <w:rFonts w:hint="eastAsia"/>
        </w:rPr>
        <w:t>。</w:t>
      </w:r>
    </w:p>
    <w:p w14:paraId="418EA883" w14:textId="77777777" w:rsidR="006416B0" w:rsidRPr="00B4515A" w:rsidRDefault="005E58C1" w:rsidP="003357B7">
      <w:pPr>
        <w:pStyle w:val="003"/>
        <w:spacing w:before="120"/>
        <w:ind w:firstLine="482"/>
      </w:pPr>
      <w:r w:rsidRPr="00B4515A">
        <w:rPr>
          <w:rFonts w:hint="eastAsia"/>
        </w:rPr>
        <w:t>（三）</w:t>
      </w:r>
      <w:r w:rsidRPr="00B4515A">
        <w:t>现金流量分析</w:t>
      </w:r>
    </w:p>
    <w:p w14:paraId="18E3860E" w14:textId="77777777" w:rsidR="006416B0" w:rsidRPr="00B4515A" w:rsidRDefault="005E58C1" w:rsidP="003357B7">
      <w:pPr>
        <w:pStyle w:val="005"/>
        <w:spacing w:before="120" w:after="120"/>
        <w:ind w:firstLine="480"/>
      </w:pPr>
      <w:r w:rsidRPr="00B4515A">
        <w:rPr>
          <w:rFonts w:hint="eastAsia"/>
        </w:rPr>
        <w:t>报告期内，大唐联诚现金流量情况如下：</w:t>
      </w:r>
    </w:p>
    <w:p w14:paraId="6B9A801B"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38D091C8" w14:textId="77777777" w:rsidTr="00EE238F">
        <w:trPr>
          <w:trHeight w:val="340"/>
          <w:jc w:val="center"/>
        </w:trPr>
        <w:tc>
          <w:tcPr>
            <w:tcW w:w="1250" w:type="pct"/>
            <w:shd w:val="clear" w:color="auto" w:fill="auto"/>
            <w:tcMar>
              <w:top w:w="0" w:type="dxa"/>
              <w:left w:w="108" w:type="dxa"/>
              <w:bottom w:w="0" w:type="dxa"/>
              <w:right w:w="108" w:type="dxa"/>
            </w:tcMar>
            <w:vAlign w:val="center"/>
          </w:tcPr>
          <w:p w14:paraId="21316E6B"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项目</w:t>
            </w:r>
          </w:p>
        </w:tc>
        <w:tc>
          <w:tcPr>
            <w:tcW w:w="1250" w:type="pct"/>
            <w:shd w:val="clear" w:color="auto" w:fill="auto"/>
            <w:tcMar>
              <w:top w:w="0" w:type="dxa"/>
              <w:left w:w="108" w:type="dxa"/>
              <w:bottom w:w="0" w:type="dxa"/>
              <w:right w:w="108" w:type="dxa"/>
            </w:tcMar>
            <w:vAlign w:val="center"/>
          </w:tcPr>
          <w:p w14:paraId="0065B3D9"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2021</w:t>
            </w:r>
            <w:r w:rsidRPr="00B4515A">
              <w:rPr>
                <w:rFonts w:ascii="Times New Roman" w:eastAsiaTheme="minorEastAsia" w:cs="Times New Roman"/>
                <w:b/>
                <w:bCs/>
                <w:color w:val="000000"/>
                <w:sz w:val="21"/>
                <w:szCs w:val="21"/>
              </w:rPr>
              <w:t>年</w:t>
            </w:r>
            <w:r w:rsidRPr="00B4515A">
              <w:rPr>
                <w:rFonts w:ascii="Times New Roman" w:eastAsiaTheme="minorEastAsia" w:cs="Times New Roman"/>
                <w:b/>
                <w:bCs/>
                <w:color w:val="000000"/>
                <w:sz w:val="21"/>
                <w:szCs w:val="21"/>
              </w:rPr>
              <w:t>1-4</w:t>
            </w:r>
            <w:r w:rsidRPr="00B4515A">
              <w:rPr>
                <w:rFonts w:ascii="Times New Roman" w:eastAsiaTheme="minorEastAsia" w:cs="Times New Roman"/>
                <w:b/>
                <w:bCs/>
                <w:color w:val="000000"/>
                <w:sz w:val="21"/>
                <w:szCs w:val="21"/>
              </w:rPr>
              <w:t>月</w:t>
            </w:r>
          </w:p>
        </w:tc>
        <w:tc>
          <w:tcPr>
            <w:tcW w:w="1250" w:type="pct"/>
            <w:shd w:val="clear" w:color="auto" w:fill="auto"/>
            <w:tcMar>
              <w:top w:w="0" w:type="dxa"/>
              <w:left w:w="108" w:type="dxa"/>
              <w:bottom w:w="0" w:type="dxa"/>
              <w:right w:w="108" w:type="dxa"/>
            </w:tcMar>
            <w:vAlign w:val="center"/>
          </w:tcPr>
          <w:p w14:paraId="58B14F6B"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2020</w:t>
            </w:r>
            <w:r w:rsidRPr="00B4515A">
              <w:rPr>
                <w:rFonts w:ascii="Times New Roman" w:eastAsiaTheme="minorEastAsia" w:cs="Times New Roman"/>
                <w:b/>
                <w:bCs/>
                <w:color w:val="000000"/>
                <w:sz w:val="21"/>
                <w:szCs w:val="21"/>
              </w:rPr>
              <w:t>年度</w:t>
            </w:r>
          </w:p>
        </w:tc>
        <w:tc>
          <w:tcPr>
            <w:tcW w:w="1250" w:type="pct"/>
            <w:shd w:val="clear" w:color="auto" w:fill="auto"/>
            <w:tcMar>
              <w:top w:w="0" w:type="dxa"/>
              <w:left w:w="108" w:type="dxa"/>
              <w:bottom w:w="0" w:type="dxa"/>
              <w:right w:w="108" w:type="dxa"/>
            </w:tcMar>
            <w:vAlign w:val="center"/>
          </w:tcPr>
          <w:p w14:paraId="25408F92"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cs="Times New Roman"/>
                <w:b/>
                <w:bCs/>
                <w:color w:val="000000"/>
                <w:sz w:val="21"/>
                <w:szCs w:val="21"/>
              </w:rPr>
              <w:t>2019</w:t>
            </w:r>
            <w:r w:rsidRPr="00B4515A">
              <w:rPr>
                <w:rFonts w:ascii="Times New Roman" w:eastAsiaTheme="minorEastAsia" w:cs="Times New Roman"/>
                <w:b/>
                <w:bCs/>
                <w:color w:val="000000"/>
                <w:sz w:val="21"/>
                <w:szCs w:val="21"/>
              </w:rPr>
              <w:t>年度</w:t>
            </w:r>
          </w:p>
        </w:tc>
      </w:tr>
      <w:tr w:rsidR="006416B0" w:rsidRPr="00B4515A" w14:paraId="78602864"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347572E9"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经营活动产生的现金流量净额</w:t>
            </w:r>
          </w:p>
        </w:tc>
        <w:tc>
          <w:tcPr>
            <w:tcW w:w="1250" w:type="pct"/>
            <w:shd w:val="clear" w:color="auto" w:fill="auto"/>
            <w:tcMar>
              <w:top w:w="0" w:type="dxa"/>
              <w:left w:w="108" w:type="dxa"/>
              <w:bottom w:w="0" w:type="dxa"/>
              <w:right w:w="108" w:type="dxa"/>
            </w:tcMar>
            <w:vAlign w:val="center"/>
          </w:tcPr>
          <w:p w14:paraId="18C6128A"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-2,116.56</w:t>
            </w:r>
          </w:p>
        </w:tc>
        <w:tc>
          <w:tcPr>
            <w:tcW w:w="1250" w:type="pct"/>
            <w:shd w:val="clear" w:color="auto" w:fill="auto"/>
            <w:tcMar>
              <w:top w:w="0" w:type="dxa"/>
              <w:left w:w="108" w:type="dxa"/>
              <w:bottom w:w="0" w:type="dxa"/>
              <w:right w:w="108" w:type="dxa"/>
            </w:tcMar>
            <w:vAlign w:val="center"/>
          </w:tcPr>
          <w:p w14:paraId="01C1ECF6"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1,756.91</w:t>
            </w:r>
          </w:p>
        </w:tc>
        <w:tc>
          <w:tcPr>
            <w:tcW w:w="1250" w:type="pct"/>
            <w:shd w:val="clear" w:color="auto" w:fill="auto"/>
            <w:tcMar>
              <w:top w:w="0" w:type="dxa"/>
              <w:left w:w="108" w:type="dxa"/>
              <w:bottom w:w="0" w:type="dxa"/>
              <w:right w:w="108" w:type="dxa"/>
            </w:tcMar>
            <w:vAlign w:val="center"/>
          </w:tcPr>
          <w:p w14:paraId="07AC4F05"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-3,902.03</w:t>
            </w:r>
          </w:p>
        </w:tc>
      </w:tr>
      <w:tr w:rsidR="006416B0" w:rsidRPr="00B4515A" w14:paraId="0BC5AB62"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1BFA704B"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投资活动产生的现金流量净额</w:t>
            </w:r>
          </w:p>
        </w:tc>
        <w:tc>
          <w:tcPr>
            <w:tcW w:w="1250" w:type="pct"/>
            <w:shd w:val="clear" w:color="auto" w:fill="auto"/>
            <w:tcMar>
              <w:top w:w="0" w:type="dxa"/>
              <w:left w:w="108" w:type="dxa"/>
              <w:bottom w:w="0" w:type="dxa"/>
              <w:right w:w="108" w:type="dxa"/>
            </w:tcMar>
            <w:vAlign w:val="center"/>
          </w:tcPr>
          <w:p w14:paraId="71B2AE0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w:t>
            </w:r>
          </w:p>
        </w:tc>
        <w:tc>
          <w:tcPr>
            <w:tcW w:w="1250" w:type="pct"/>
            <w:shd w:val="clear" w:color="auto" w:fill="auto"/>
            <w:tcMar>
              <w:top w:w="0" w:type="dxa"/>
              <w:left w:w="108" w:type="dxa"/>
              <w:bottom w:w="0" w:type="dxa"/>
              <w:right w:w="108" w:type="dxa"/>
            </w:tcMar>
            <w:vAlign w:val="center"/>
          </w:tcPr>
          <w:p w14:paraId="6ECC53D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-121.90</w:t>
            </w:r>
          </w:p>
        </w:tc>
        <w:tc>
          <w:tcPr>
            <w:tcW w:w="1250" w:type="pct"/>
            <w:shd w:val="clear" w:color="auto" w:fill="auto"/>
            <w:tcMar>
              <w:top w:w="0" w:type="dxa"/>
              <w:left w:w="108" w:type="dxa"/>
              <w:bottom w:w="0" w:type="dxa"/>
              <w:right w:w="108" w:type="dxa"/>
            </w:tcMar>
            <w:vAlign w:val="center"/>
          </w:tcPr>
          <w:p w14:paraId="2FB9F3AB"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191.88</w:t>
            </w:r>
          </w:p>
        </w:tc>
      </w:tr>
      <w:tr w:rsidR="006416B0" w:rsidRPr="00B4515A" w14:paraId="274CFBC5"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394C9449"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筹资活动产生的现金流量净额</w:t>
            </w:r>
          </w:p>
        </w:tc>
        <w:tc>
          <w:tcPr>
            <w:tcW w:w="1250" w:type="pct"/>
            <w:shd w:val="clear" w:color="auto" w:fill="auto"/>
            <w:tcMar>
              <w:top w:w="0" w:type="dxa"/>
              <w:left w:w="108" w:type="dxa"/>
              <w:bottom w:w="0" w:type="dxa"/>
              <w:right w:w="108" w:type="dxa"/>
            </w:tcMar>
            <w:vAlign w:val="center"/>
          </w:tcPr>
          <w:p w14:paraId="49E18B83"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53,956.80</w:t>
            </w:r>
          </w:p>
        </w:tc>
        <w:tc>
          <w:tcPr>
            <w:tcW w:w="1250" w:type="pct"/>
            <w:shd w:val="clear" w:color="auto" w:fill="auto"/>
            <w:tcMar>
              <w:top w:w="0" w:type="dxa"/>
              <w:left w:w="108" w:type="dxa"/>
              <w:bottom w:w="0" w:type="dxa"/>
              <w:right w:w="108" w:type="dxa"/>
            </w:tcMar>
            <w:vAlign w:val="center"/>
          </w:tcPr>
          <w:p w14:paraId="6CB1F601"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3,562.02</w:t>
            </w:r>
          </w:p>
        </w:tc>
        <w:tc>
          <w:tcPr>
            <w:tcW w:w="1250" w:type="pct"/>
            <w:shd w:val="clear" w:color="auto" w:fill="auto"/>
            <w:tcMar>
              <w:top w:w="0" w:type="dxa"/>
              <w:left w:w="108" w:type="dxa"/>
              <w:bottom w:w="0" w:type="dxa"/>
              <w:right w:w="108" w:type="dxa"/>
            </w:tcMar>
            <w:vAlign w:val="center"/>
          </w:tcPr>
          <w:p w14:paraId="0237874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4,019.11</w:t>
            </w:r>
          </w:p>
        </w:tc>
      </w:tr>
      <w:tr w:rsidR="006416B0" w:rsidRPr="00B4515A" w14:paraId="761F411E"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4F6373A8"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现金及现金等价物净增加额</w:t>
            </w:r>
          </w:p>
        </w:tc>
        <w:tc>
          <w:tcPr>
            <w:tcW w:w="1250" w:type="pct"/>
            <w:shd w:val="clear" w:color="auto" w:fill="auto"/>
            <w:tcMar>
              <w:top w:w="0" w:type="dxa"/>
              <w:left w:w="108" w:type="dxa"/>
              <w:bottom w:w="0" w:type="dxa"/>
              <w:right w:w="108" w:type="dxa"/>
            </w:tcMar>
            <w:vAlign w:val="center"/>
          </w:tcPr>
          <w:p w14:paraId="3558E2A0"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51,840.23</w:t>
            </w:r>
          </w:p>
        </w:tc>
        <w:tc>
          <w:tcPr>
            <w:tcW w:w="1250" w:type="pct"/>
            <w:shd w:val="clear" w:color="auto" w:fill="auto"/>
            <w:tcMar>
              <w:top w:w="0" w:type="dxa"/>
              <w:left w:w="108" w:type="dxa"/>
              <w:bottom w:w="0" w:type="dxa"/>
              <w:right w:w="108" w:type="dxa"/>
            </w:tcMar>
            <w:vAlign w:val="center"/>
          </w:tcPr>
          <w:p w14:paraId="2DFAF1DD"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5,197.03</w:t>
            </w:r>
          </w:p>
        </w:tc>
        <w:tc>
          <w:tcPr>
            <w:tcW w:w="1250" w:type="pct"/>
            <w:shd w:val="clear" w:color="auto" w:fill="auto"/>
            <w:tcMar>
              <w:top w:w="0" w:type="dxa"/>
              <w:left w:w="108" w:type="dxa"/>
              <w:bottom w:w="0" w:type="dxa"/>
              <w:right w:w="108" w:type="dxa"/>
            </w:tcMar>
            <w:vAlign w:val="center"/>
          </w:tcPr>
          <w:p w14:paraId="0F1D67A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308.96</w:t>
            </w:r>
          </w:p>
        </w:tc>
      </w:tr>
      <w:tr w:rsidR="006416B0" w:rsidRPr="00B4515A" w14:paraId="58A40BAB"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281223F8"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加：期初现金及现金等价物余额</w:t>
            </w:r>
          </w:p>
        </w:tc>
        <w:tc>
          <w:tcPr>
            <w:tcW w:w="1250" w:type="pct"/>
            <w:shd w:val="clear" w:color="auto" w:fill="auto"/>
            <w:tcMar>
              <w:top w:w="0" w:type="dxa"/>
              <w:left w:w="108" w:type="dxa"/>
              <w:bottom w:w="0" w:type="dxa"/>
              <w:right w:w="108" w:type="dxa"/>
            </w:tcMar>
            <w:vAlign w:val="center"/>
          </w:tcPr>
          <w:p w14:paraId="5AFAB589"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7,896.74</w:t>
            </w:r>
          </w:p>
        </w:tc>
        <w:tc>
          <w:tcPr>
            <w:tcW w:w="1250" w:type="pct"/>
            <w:shd w:val="clear" w:color="auto" w:fill="auto"/>
            <w:tcMar>
              <w:top w:w="0" w:type="dxa"/>
              <w:left w:w="108" w:type="dxa"/>
              <w:bottom w:w="0" w:type="dxa"/>
              <w:right w:w="108" w:type="dxa"/>
            </w:tcMar>
            <w:vAlign w:val="center"/>
          </w:tcPr>
          <w:p w14:paraId="5F133DCE"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2,699.70</w:t>
            </w:r>
          </w:p>
        </w:tc>
        <w:tc>
          <w:tcPr>
            <w:tcW w:w="1250" w:type="pct"/>
            <w:shd w:val="clear" w:color="auto" w:fill="auto"/>
            <w:tcMar>
              <w:top w:w="0" w:type="dxa"/>
              <w:left w:w="108" w:type="dxa"/>
              <w:bottom w:w="0" w:type="dxa"/>
              <w:right w:w="108" w:type="dxa"/>
            </w:tcMar>
            <w:vAlign w:val="center"/>
          </w:tcPr>
          <w:p w14:paraId="0036FD67"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2,390.74</w:t>
            </w:r>
          </w:p>
        </w:tc>
      </w:tr>
      <w:tr w:rsidR="006416B0" w:rsidRPr="00B4515A" w14:paraId="40A68238"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28608241" w14:textId="77777777" w:rsidR="006416B0" w:rsidRPr="00B4515A" w:rsidRDefault="005E58C1" w:rsidP="005860B4">
            <w:pPr>
              <w:adjustRightInd w:val="0"/>
              <w:snapToGrid w:val="0"/>
              <w:jc w:val="center"/>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期末现金及现金等价物余额</w:t>
            </w:r>
          </w:p>
        </w:tc>
        <w:tc>
          <w:tcPr>
            <w:tcW w:w="1250" w:type="pct"/>
            <w:shd w:val="clear" w:color="auto" w:fill="auto"/>
            <w:tcMar>
              <w:top w:w="0" w:type="dxa"/>
              <w:left w:w="108" w:type="dxa"/>
              <w:bottom w:w="0" w:type="dxa"/>
              <w:right w:w="108" w:type="dxa"/>
            </w:tcMar>
            <w:vAlign w:val="center"/>
          </w:tcPr>
          <w:p w14:paraId="1971C564"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59,736.97</w:t>
            </w:r>
          </w:p>
        </w:tc>
        <w:tc>
          <w:tcPr>
            <w:tcW w:w="1250" w:type="pct"/>
            <w:shd w:val="clear" w:color="auto" w:fill="auto"/>
            <w:tcMar>
              <w:top w:w="0" w:type="dxa"/>
              <w:left w:w="108" w:type="dxa"/>
              <w:bottom w:w="0" w:type="dxa"/>
              <w:right w:w="108" w:type="dxa"/>
            </w:tcMar>
            <w:vAlign w:val="center"/>
          </w:tcPr>
          <w:p w14:paraId="3CAE55A2"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7,896.74</w:t>
            </w:r>
          </w:p>
        </w:tc>
        <w:tc>
          <w:tcPr>
            <w:tcW w:w="1250" w:type="pct"/>
            <w:shd w:val="clear" w:color="auto" w:fill="auto"/>
            <w:tcMar>
              <w:top w:w="0" w:type="dxa"/>
              <w:left w:w="108" w:type="dxa"/>
              <w:bottom w:w="0" w:type="dxa"/>
              <w:right w:w="108" w:type="dxa"/>
            </w:tcMar>
            <w:vAlign w:val="center"/>
          </w:tcPr>
          <w:p w14:paraId="07180C8F" w14:textId="77777777" w:rsidR="006416B0" w:rsidRPr="00B4515A" w:rsidRDefault="005E58C1" w:rsidP="005860B4">
            <w:pPr>
              <w:adjustRightInd w:val="0"/>
              <w:snapToGrid w:val="0"/>
              <w:jc w:val="right"/>
              <w:rPr>
                <w:rFonts w:ascii="Times New Roman" w:eastAsiaTheme="minorEastAsia" w:cs="Times New Roman"/>
                <w:color w:val="000000"/>
                <w:sz w:val="21"/>
                <w:szCs w:val="21"/>
              </w:rPr>
            </w:pPr>
            <w:r w:rsidRPr="00B4515A">
              <w:rPr>
                <w:rFonts w:ascii="Times New Roman" w:eastAsiaTheme="minorEastAsia" w:cs="Times New Roman"/>
                <w:color w:val="000000"/>
                <w:sz w:val="21"/>
                <w:szCs w:val="21"/>
              </w:rPr>
              <w:t>2,699.70</w:t>
            </w:r>
          </w:p>
        </w:tc>
      </w:tr>
    </w:tbl>
    <w:p w14:paraId="4EDE87FE" w14:textId="77777777" w:rsidR="006416B0" w:rsidRPr="00B4515A" w:rsidRDefault="005E58C1" w:rsidP="003357B7">
      <w:pPr>
        <w:pStyle w:val="005"/>
        <w:spacing w:before="120" w:after="120"/>
        <w:ind w:firstLine="480"/>
      </w:pPr>
      <w:r w:rsidRPr="00B4515A">
        <w:rPr>
          <w:rFonts w:hint="eastAsia"/>
        </w:rPr>
        <w:lastRenderedPageBreak/>
        <w:t>报告期内，大唐联诚业务整体发展良好，资产规模、营业收入逐年增长，大唐联诚整体上现金流充裕。</w:t>
      </w:r>
    </w:p>
    <w:p w14:paraId="4A13F975" w14:textId="77777777" w:rsidR="006416B0" w:rsidRPr="00B4515A" w:rsidRDefault="005E58C1" w:rsidP="003357B7">
      <w:pPr>
        <w:pStyle w:val="004"/>
        <w:spacing w:before="120" w:after="120"/>
        <w:ind w:firstLine="482"/>
      </w:pPr>
      <w:r w:rsidRPr="00B4515A">
        <w:t>1</w:t>
      </w:r>
      <w:r w:rsidRPr="00B4515A">
        <w:rPr>
          <w:rFonts w:hint="eastAsia"/>
        </w:rPr>
        <w:t>、标的公司经营活动现金流净额大幅波动原因</w:t>
      </w:r>
    </w:p>
    <w:p w14:paraId="7B55E3B4" w14:textId="77777777" w:rsidR="006416B0" w:rsidRPr="00B4515A" w:rsidRDefault="005E58C1" w:rsidP="003357B7">
      <w:pPr>
        <w:pStyle w:val="005"/>
        <w:spacing w:before="120" w:after="120"/>
        <w:ind w:firstLine="480"/>
      </w:pPr>
      <w:r w:rsidRPr="00B4515A">
        <w:rPr>
          <w:rFonts w:hint="eastAsia"/>
        </w:rPr>
        <w:t>标的公司</w:t>
      </w:r>
      <w:r w:rsidRPr="00B4515A">
        <w:t>2019</w:t>
      </w:r>
      <w:r w:rsidRPr="00B4515A">
        <w:rPr>
          <w:rFonts w:hint="eastAsia"/>
        </w:rPr>
        <w:t>年度、</w:t>
      </w:r>
      <w:r w:rsidRPr="00B4515A">
        <w:t>2020</w:t>
      </w:r>
      <w:r w:rsidRPr="00B4515A">
        <w:rPr>
          <w:rFonts w:hint="eastAsia"/>
        </w:rPr>
        <w:t>年度、</w:t>
      </w:r>
      <w:r w:rsidRPr="00B4515A">
        <w:t>2021</w:t>
      </w:r>
      <w:r w:rsidRPr="00B4515A">
        <w:rPr>
          <w:rFonts w:hint="eastAsia"/>
        </w:rPr>
        <w:t>年</w:t>
      </w:r>
      <w:r w:rsidRPr="00B4515A">
        <w:t>1-4</w:t>
      </w:r>
      <w:r w:rsidRPr="00B4515A">
        <w:rPr>
          <w:rFonts w:hint="eastAsia"/>
        </w:rPr>
        <w:t>月经营活动产生的现金流量净额分别为</w:t>
      </w:r>
      <w:r w:rsidRPr="00B4515A">
        <w:t>-0.39</w:t>
      </w:r>
      <w:r w:rsidRPr="00B4515A">
        <w:rPr>
          <w:rFonts w:hint="eastAsia"/>
        </w:rPr>
        <w:t>亿元、</w:t>
      </w:r>
      <w:r w:rsidRPr="00B4515A">
        <w:t>0.18</w:t>
      </w:r>
      <w:r w:rsidRPr="00B4515A">
        <w:rPr>
          <w:rFonts w:hint="eastAsia"/>
        </w:rPr>
        <w:t>亿元、</w:t>
      </w:r>
      <w:r w:rsidRPr="00B4515A">
        <w:t>-0.21</w:t>
      </w:r>
      <w:r w:rsidRPr="00B4515A">
        <w:rPr>
          <w:rFonts w:hint="eastAsia"/>
        </w:rPr>
        <w:t>亿元，变动的主要原因为：</w:t>
      </w:r>
    </w:p>
    <w:p w14:paraId="290D674E" w14:textId="77777777" w:rsidR="006416B0" w:rsidRPr="00B4515A" w:rsidRDefault="005E58C1" w:rsidP="003357B7">
      <w:pPr>
        <w:pStyle w:val="005"/>
        <w:spacing w:before="120" w:after="120"/>
        <w:ind w:firstLine="480"/>
      </w:pPr>
      <w:r w:rsidRPr="00B4515A">
        <w:rPr>
          <w:rFonts w:hint="eastAsia"/>
        </w:rPr>
        <w:t>（</w:t>
      </w:r>
      <w:r w:rsidRPr="00B4515A">
        <w:t>1</w:t>
      </w:r>
      <w:r w:rsidRPr="00B4515A">
        <w:t>）标的公司</w:t>
      </w:r>
      <w:r w:rsidRPr="00B4515A">
        <w:t>2020</w:t>
      </w:r>
      <w:r w:rsidRPr="00B4515A">
        <w:rPr>
          <w:rFonts w:hint="eastAsia"/>
        </w:rPr>
        <w:t>年度收入较</w:t>
      </w:r>
      <w:r w:rsidRPr="00B4515A">
        <w:t>2019</w:t>
      </w:r>
      <w:r w:rsidRPr="00B4515A">
        <w:rPr>
          <w:rFonts w:hint="eastAsia"/>
        </w:rPr>
        <w:t>年度增长，同时收回以前年度应收账款，导致公司</w:t>
      </w:r>
      <w:r w:rsidRPr="00B4515A">
        <w:t>2020</w:t>
      </w:r>
      <w:r w:rsidRPr="00B4515A">
        <w:rPr>
          <w:rFonts w:hint="eastAsia"/>
        </w:rPr>
        <w:t>年度销售商品、提供劳务收到的现金较</w:t>
      </w:r>
      <w:r w:rsidRPr="00B4515A">
        <w:t>2019</w:t>
      </w:r>
      <w:r w:rsidRPr="00B4515A">
        <w:rPr>
          <w:rFonts w:hint="eastAsia"/>
        </w:rPr>
        <w:t>年度大幅度增加。</w:t>
      </w:r>
    </w:p>
    <w:p w14:paraId="0240D902" w14:textId="77777777" w:rsidR="006416B0" w:rsidRPr="00B4515A" w:rsidRDefault="005E58C1" w:rsidP="003357B7">
      <w:pPr>
        <w:pStyle w:val="005"/>
        <w:spacing w:before="120" w:after="120"/>
        <w:ind w:firstLine="480"/>
      </w:pPr>
      <w:r w:rsidRPr="00B4515A">
        <w:rPr>
          <w:rFonts w:hint="eastAsia"/>
        </w:rPr>
        <w:t>经营活动现金流出方面主要是购买商品、接受劳务支付的现金和支付给职工以及为职工支付的现金。标的公司</w:t>
      </w:r>
      <w:r w:rsidRPr="00B4515A">
        <w:t>2019</w:t>
      </w:r>
      <w:r w:rsidRPr="00B4515A">
        <w:rPr>
          <w:rFonts w:hint="eastAsia"/>
        </w:rPr>
        <w:t>年度、</w:t>
      </w:r>
      <w:r w:rsidRPr="00B4515A">
        <w:t>2020</w:t>
      </w:r>
      <w:r w:rsidRPr="00B4515A">
        <w:rPr>
          <w:rFonts w:hint="eastAsia"/>
        </w:rPr>
        <w:t>年度购买商品、接受劳务支付的现金分别为</w:t>
      </w:r>
      <w:r w:rsidRPr="00B4515A">
        <w:t>1.59</w:t>
      </w:r>
      <w:r w:rsidRPr="00B4515A">
        <w:rPr>
          <w:rFonts w:hint="eastAsia"/>
        </w:rPr>
        <w:t>亿元、</w:t>
      </w:r>
      <w:r w:rsidRPr="00B4515A">
        <w:t>2.81</w:t>
      </w:r>
      <w:r w:rsidRPr="00B4515A">
        <w:rPr>
          <w:rFonts w:hint="eastAsia"/>
        </w:rPr>
        <w:t>亿元；支付给职工以及为职工支付的现金分别</w:t>
      </w:r>
      <w:r w:rsidRPr="00B4515A">
        <w:t>1.51</w:t>
      </w:r>
      <w:r w:rsidRPr="00B4515A">
        <w:rPr>
          <w:rFonts w:hint="eastAsia"/>
        </w:rPr>
        <w:t>亿元、</w:t>
      </w:r>
      <w:r w:rsidRPr="00B4515A">
        <w:t>1.61</w:t>
      </w:r>
      <w:r w:rsidRPr="00B4515A">
        <w:rPr>
          <w:rFonts w:hint="eastAsia"/>
        </w:rPr>
        <w:t>亿元。</w:t>
      </w:r>
    </w:p>
    <w:p w14:paraId="0CD1C1A6" w14:textId="77777777" w:rsidR="006416B0" w:rsidRPr="00B4515A" w:rsidRDefault="005E58C1" w:rsidP="003357B7">
      <w:pPr>
        <w:pStyle w:val="005"/>
        <w:spacing w:before="120" w:after="120"/>
        <w:ind w:firstLine="480"/>
      </w:pPr>
      <w:r w:rsidRPr="00B4515A">
        <w:rPr>
          <w:rFonts w:hint="eastAsia"/>
        </w:rPr>
        <w:t>综上，由于标的公司业务发展，且收回上年度应收款项，导致</w:t>
      </w:r>
      <w:r w:rsidRPr="00B4515A">
        <w:t>2020</w:t>
      </w:r>
      <w:r w:rsidRPr="00B4515A">
        <w:rPr>
          <w:rFonts w:hint="eastAsia"/>
        </w:rPr>
        <w:t>年度销售商品、提供劳务收到的现金增长率较高；同时支付给职工以及为职工支付的现金的增长幅度较低，导致标的公司</w:t>
      </w:r>
      <w:r w:rsidRPr="00B4515A">
        <w:t>2020</w:t>
      </w:r>
      <w:r w:rsidRPr="00B4515A">
        <w:rPr>
          <w:rFonts w:hint="eastAsia"/>
        </w:rPr>
        <w:t>年度经营活动现金流净额大幅增长。</w:t>
      </w:r>
    </w:p>
    <w:p w14:paraId="65FEBF51" w14:textId="2D1E5D38" w:rsidR="006416B0" w:rsidRPr="00B4515A" w:rsidRDefault="005E58C1" w:rsidP="003357B7">
      <w:pPr>
        <w:pStyle w:val="005"/>
        <w:spacing w:before="120" w:after="120"/>
        <w:ind w:firstLine="480"/>
      </w:pPr>
      <w:r w:rsidRPr="00B4515A">
        <w:rPr>
          <w:rFonts w:hint="eastAsia"/>
        </w:rPr>
        <w:t>（</w:t>
      </w:r>
      <w:r w:rsidRPr="00B4515A">
        <w:t>2</w:t>
      </w:r>
      <w:r w:rsidRPr="00B4515A">
        <w:t>）标的公司产品交付及收入确认多处于第四季度。</w:t>
      </w:r>
      <w:r w:rsidR="00250AC5" w:rsidRPr="00B4515A">
        <w:rPr>
          <w:rFonts w:hint="eastAsia"/>
        </w:rPr>
        <w:t>由于</w:t>
      </w:r>
      <w:r w:rsidRPr="00B4515A">
        <w:t>2021</w:t>
      </w:r>
      <w:r w:rsidRPr="00B4515A">
        <w:rPr>
          <w:rFonts w:hint="eastAsia"/>
        </w:rPr>
        <w:t>年度</w:t>
      </w:r>
      <w:r w:rsidRPr="00B4515A">
        <w:t>1-4</w:t>
      </w:r>
      <w:r w:rsidRPr="00B4515A">
        <w:rPr>
          <w:rFonts w:hint="eastAsia"/>
        </w:rPr>
        <w:t>月份的营业收入较低，且还未收回上年度款项，导致销售商品、提供劳务收到的现金</w:t>
      </w:r>
      <w:r w:rsidR="00250AC5" w:rsidRPr="00B4515A">
        <w:rPr>
          <w:rFonts w:hint="eastAsia"/>
        </w:rPr>
        <w:t>较</w:t>
      </w:r>
      <w:r w:rsidRPr="00B4515A">
        <w:rPr>
          <w:rFonts w:hint="eastAsia"/>
        </w:rPr>
        <w:t>低。最终导致</w:t>
      </w:r>
      <w:r w:rsidR="00250AC5" w:rsidRPr="00B4515A">
        <w:rPr>
          <w:rFonts w:hint="eastAsia"/>
        </w:rPr>
        <w:t>标的</w:t>
      </w:r>
      <w:r w:rsidRPr="00B4515A">
        <w:rPr>
          <w:rFonts w:hint="eastAsia"/>
        </w:rPr>
        <w:t>公司</w:t>
      </w:r>
      <w:r w:rsidRPr="00B4515A">
        <w:t>2021</w:t>
      </w:r>
      <w:r w:rsidRPr="00B4515A">
        <w:rPr>
          <w:rFonts w:hint="eastAsia"/>
        </w:rPr>
        <w:t>年度</w:t>
      </w:r>
      <w:r w:rsidRPr="00B4515A">
        <w:t>1-4</w:t>
      </w:r>
      <w:r w:rsidRPr="00B4515A">
        <w:rPr>
          <w:rFonts w:hint="eastAsia"/>
        </w:rPr>
        <w:t>月份经营活动现金流净额为负。</w:t>
      </w:r>
    </w:p>
    <w:p w14:paraId="78FE783B" w14:textId="77777777" w:rsidR="006416B0" w:rsidRPr="00B4515A" w:rsidRDefault="005E58C1" w:rsidP="003357B7">
      <w:pPr>
        <w:pStyle w:val="004"/>
        <w:spacing w:before="120" w:after="120"/>
        <w:ind w:firstLine="482"/>
      </w:pPr>
      <w:r w:rsidRPr="00B4515A">
        <w:t>2</w:t>
      </w:r>
      <w:r w:rsidRPr="00B4515A">
        <w:t>、</w:t>
      </w:r>
      <w:r w:rsidRPr="00B4515A">
        <w:rPr>
          <w:rFonts w:hint="eastAsia"/>
        </w:rPr>
        <w:t>归母净利润不匹配的原因及合理性</w:t>
      </w:r>
    </w:p>
    <w:p w14:paraId="55575CFA" w14:textId="77777777" w:rsidR="006416B0" w:rsidRPr="00B4515A" w:rsidRDefault="005E58C1" w:rsidP="003357B7">
      <w:pPr>
        <w:pStyle w:val="005"/>
        <w:spacing w:before="120" w:after="120"/>
        <w:ind w:firstLine="480"/>
      </w:pPr>
      <w:r w:rsidRPr="00B4515A">
        <w:rPr>
          <w:rFonts w:hint="eastAsia"/>
        </w:rPr>
        <w:t>标的公司</w:t>
      </w:r>
      <w:r w:rsidRPr="00B4515A">
        <w:t>2019</w:t>
      </w:r>
      <w:r w:rsidRPr="00B4515A">
        <w:rPr>
          <w:rFonts w:hint="eastAsia"/>
        </w:rPr>
        <w:t>年度、</w:t>
      </w:r>
      <w:r w:rsidRPr="00B4515A">
        <w:t>2020</w:t>
      </w:r>
      <w:r w:rsidRPr="00B4515A">
        <w:rPr>
          <w:rFonts w:hint="eastAsia"/>
        </w:rPr>
        <w:t>年度、</w:t>
      </w:r>
      <w:r w:rsidRPr="00B4515A">
        <w:t>2021</w:t>
      </w:r>
      <w:r w:rsidRPr="00B4515A">
        <w:rPr>
          <w:rFonts w:hint="eastAsia"/>
        </w:rPr>
        <w:t>年</w:t>
      </w:r>
      <w:r w:rsidRPr="00B4515A">
        <w:t>1-4</w:t>
      </w:r>
      <w:r w:rsidRPr="00B4515A">
        <w:rPr>
          <w:rFonts w:hint="eastAsia"/>
        </w:rPr>
        <w:t>月归母净利润分别为</w:t>
      </w:r>
      <w:r w:rsidRPr="00B4515A">
        <w:t>1,785.66</w:t>
      </w:r>
      <w:r w:rsidRPr="00B4515A">
        <w:rPr>
          <w:rFonts w:hint="eastAsia"/>
        </w:rPr>
        <w:t>万元、</w:t>
      </w:r>
      <w:r w:rsidRPr="00B4515A">
        <w:t>4,206.85</w:t>
      </w:r>
      <w:r w:rsidRPr="00B4515A">
        <w:rPr>
          <w:rFonts w:hint="eastAsia"/>
        </w:rPr>
        <w:t>万元、</w:t>
      </w:r>
      <w:r w:rsidRPr="00B4515A">
        <w:t>780.09</w:t>
      </w:r>
      <w:r w:rsidRPr="00B4515A">
        <w:rPr>
          <w:rFonts w:hint="eastAsia"/>
        </w:rPr>
        <w:t>万元。经营活动产生的现金流量净额分别为</w:t>
      </w:r>
      <w:r w:rsidRPr="00B4515A">
        <w:t>-0.39</w:t>
      </w:r>
      <w:r w:rsidRPr="00B4515A">
        <w:rPr>
          <w:rFonts w:hint="eastAsia"/>
        </w:rPr>
        <w:t>亿元、</w:t>
      </w:r>
      <w:r w:rsidRPr="00B4515A">
        <w:t>0.18</w:t>
      </w:r>
      <w:r w:rsidRPr="00B4515A">
        <w:rPr>
          <w:rFonts w:hint="eastAsia"/>
        </w:rPr>
        <w:t>亿元、</w:t>
      </w:r>
      <w:r w:rsidRPr="00B4515A">
        <w:t>-0.21</w:t>
      </w:r>
      <w:r w:rsidRPr="00B4515A">
        <w:rPr>
          <w:rFonts w:hint="eastAsia"/>
        </w:rPr>
        <w:t>亿元。</w:t>
      </w:r>
    </w:p>
    <w:p w14:paraId="1396D23E" w14:textId="77777777" w:rsidR="006416B0" w:rsidRPr="00B4515A" w:rsidRDefault="005E58C1" w:rsidP="003357B7">
      <w:pPr>
        <w:pStyle w:val="005"/>
        <w:spacing w:before="120" w:after="120"/>
        <w:ind w:firstLine="480"/>
      </w:pPr>
      <w:r w:rsidRPr="00B4515A">
        <w:rPr>
          <w:rFonts w:hint="eastAsia"/>
        </w:rPr>
        <w:t>标的公司</w:t>
      </w:r>
      <w:r w:rsidRPr="00B4515A">
        <w:t>2020</w:t>
      </w:r>
      <w:r w:rsidRPr="00B4515A">
        <w:rPr>
          <w:rFonts w:hint="eastAsia"/>
        </w:rPr>
        <w:t>年年度经营活动现金流净额的波动与归母净利润波动基本一致。</w:t>
      </w:r>
    </w:p>
    <w:p w14:paraId="1C0C4BD3" w14:textId="77777777" w:rsidR="006416B0" w:rsidRPr="00B4515A" w:rsidRDefault="005E58C1" w:rsidP="003357B7">
      <w:pPr>
        <w:pStyle w:val="005"/>
        <w:spacing w:before="120" w:after="120"/>
        <w:ind w:firstLine="480"/>
      </w:pPr>
      <w:r w:rsidRPr="00B4515A">
        <w:t>2019</w:t>
      </w:r>
      <w:r w:rsidRPr="00B4515A">
        <w:rPr>
          <w:rFonts w:hint="eastAsia"/>
        </w:rPr>
        <w:t>年度，标的公司经营活动现金流净额与归母净利润的波动存在一定差异，主要原因为：</w:t>
      </w:r>
      <w:r w:rsidRPr="00B4515A">
        <w:t>2019</w:t>
      </w:r>
      <w:r w:rsidRPr="00B4515A">
        <w:rPr>
          <w:rFonts w:hint="eastAsia"/>
        </w:rPr>
        <w:t>年度收入增加，应收账款增加较大，导致销售商品、提供劳务收到的现金的增加没有随着收入同比例增加。同时生产规模扩大，购买商品、接受劳务支付的现金及支付给职工的现金增加，从而导致</w:t>
      </w:r>
      <w:r w:rsidRPr="00B4515A">
        <w:t>2019</w:t>
      </w:r>
      <w:r w:rsidRPr="00B4515A">
        <w:rPr>
          <w:rFonts w:hint="eastAsia"/>
        </w:rPr>
        <w:t>年度标的公</w:t>
      </w:r>
      <w:r w:rsidRPr="00B4515A">
        <w:rPr>
          <w:rFonts w:hint="eastAsia"/>
        </w:rPr>
        <w:lastRenderedPageBreak/>
        <w:t>司经营活动现金流净额为负。</w:t>
      </w:r>
    </w:p>
    <w:p w14:paraId="1EC59314" w14:textId="77777777" w:rsidR="006416B0" w:rsidRPr="00B4515A" w:rsidRDefault="005E58C1" w:rsidP="003357B7">
      <w:pPr>
        <w:pStyle w:val="005"/>
        <w:spacing w:before="120" w:after="120"/>
        <w:ind w:firstLine="480"/>
        <w:rPr>
          <w:rFonts w:asciiTheme="minorEastAsia" w:hAnsiTheme="minorEastAsia"/>
        </w:rPr>
      </w:pPr>
      <w:r w:rsidRPr="00B4515A">
        <w:t>2021</w:t>
      </w:r>
      <w:r w:rsidRPr="00B4515A">
        <w:rPr>
          <w:rFonts w:hint="eastAsia"/>
        </w:rPr>
        <w:t>年</w:t>
      </w:r>
      <w:r w:rsidRPr="00B4515A">
        <w:t>1-4</w:t>
      </w:r>
      <w:r w:rsidRPr="00B4515A">
        <w:rPr>
          <w:rFonts w:hint="eastAsia"/>
        </w:rPr>
        <w:t>月份经营活动现金流净额的波动与归母净利润的波动存在一定差异。主要原因为：标的公司主要回款是在下半年完成。标的公司</w:t>
      </w:r>
      <w:r w:rsidRPr="00B4515A">
        <w:t>2021</w:t>
      </w:r>
      <w:r w:rsidRPr="00B4515A">
        <w:rPr>
          <w:rFonts w:hint="eastAsia"/>
        </w:rPr>
        <w:t>年</w:t>
      </w:r>
      <w:r w:rsidRPr="00B4515A">
        <w:t>1-4</w:t>
      </w:r>
      <w:r w:rsidRPr="00B4515A">
        <w:rPr>
          <w:rFonts w:hint="eastAsia"/>
        </w:rPr>
        <w:t>月份收回的应收款项较少，因此导致</w:t>
      </w:r>
      <w:r w:rsidRPr="00B4515A">
        <w:t>2021</w:t>
      </w:r>
      <w:r w:rsidRPr="00B4515A">
        <w:rPr>
          <w:rFonts w:hint="eastAsia"/>
        </w:rPr>
        <w:t>年度</w:t>
      </w:r>
      <w:r w:rsidRPr="00B4515A">
        <w:t>1-4</w:t>
      </w:r>
      <w:r w:rsidRPr="00B4515A">
        <w:rPr>
          <w:rFonts w:hint="eastAsia"/>
        </w:rPr>
        <w:t>月份经营活动产生的现金流量净额为负。</w:t>
      </w:r>
    </w:p>
    <w:p w14:paraId="1CA82D4D" w14:textId="77777777" w:rsidR="006416B0" w:rsidRPr="00B4515A" w:rsidRDefault="005E58C1" w:rsidP="003357B7">
      <w:pPr>
        <w:pStyle w:val="004"/>
        <w:spacing w:before="120" w:after="120"/>
        <w:ind w:firstLine="482"/>
      </w:pPr>
      <w:r w:rsidRPr="00B4515A">
        <w:t>3</w:t>
      </w:r>
      <w:r w:rsidRPr="00B4515A">
        <w:t>、是否符合行业特点</w:t>
      </w:r>
    </w:p>
    <w:p w14:paraId="7ADE9DF0" w14:textId="00EB0756" w:rsidR="006416B0" w:rsidRPr="00B4515A" w:rsidRDefault="005E58C1">
      <w:pPr>
        <w:pStyle w:val="aff2"/>
        <w:tabs>
          <w:tab w:val="left" w:pos="1011"/>
        </w:tabs>
        <w:spacing w:beforeLines="50" w:before="120" w:afterLines="50" w:after="120" w:line="360" w:lineRule="auto"/>
        <w:ind w:firstLine="480"/>
        <w:jc w:val="both"/>
        <w:rPr>
          <w:rFonts w:ascii="楷体" w:eastAsia="楷体" w:hAnsi="楷体" w:cs="Times New Roman"/>
          <w:b/>
        </w:rPr>
      </w:pPr>
      <w:r w:rsidRPr="00B4515A">
        <w:rPr>
          <w:rFonts w:asciiTheme="minorEastAsia" w:eastAsiaTheme="minorEastAsia" w:hAnsiTheme="minorEastAsia" w:cs="Times New Roman" w:hint="eastAsia"/>
        </w:rPr>
        <w:t>标的公司属于特通领域行业，存在年末集中交付的特点，使得期末应收账款余额往往</w:t>
      </w:r>
      <w:r w:rsidRPr="00B4515A">
        <w:rPr>
          <w:rStyle w:val="005Char"/>
          <w:rFonts w:hint="eastAsia"/>
        </w:rPr>
        <w:t>较</w:t>
      </w:r>
      <w:r w:rsidRPr="00B4515A">
        <w:rPr>
          <w:rFonts w:asciiTheme="minorEastAsia" w:eastAsiaTheme="minorEastAsia" w:hAnsiTheme="minorEastAsia" w:cs="Times New Roman" w:hint="eastAsia"/>
        </w:rPr>
        <w:t>大。</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43"/>
        <w:gridCol w:w="3094"/>
        <w:gridCol w:w="2147"/>
        <w:gridCol w:w="2144"/>
      </w:tblGrid>
      <w:tr w:rsidR="006416B0" w:rsidRPr="00B4515A" w14:paraId="35F9F162" w14:textId="77777777" w:rsidTr="00031627">
        <w:trPr>
          <w:trHeight w:val="340"/>
          <w:jc w:val="center"/>
        </w:trPr>
        <w:tc>
          <w:tcPr>
            <w:tcW w:w="5000" w:type="pct"/>
            <w:gridSpan w:val="4"/>
            <w:shd w:val="clear" w:color="auto" w:fill="auto"/>
            <w:tcMar>
              <w:top w:w="0" w:type="dxa"/>
              <w:left w:w="108" w:type="dxa"/>
              <w:bottom w:w="0" w:type="dxa"/>
              <w:right w:w="108" w:type="dxa"/>
            </w:tcMar>
            <w:vAlign w:val="center"/>
          </w:tcPr>
          <w:p w14:paraId="495DFE84" w14:textId="39CCB0A3"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应收账款周转率</w:t>
            </w:r>
            <w:r w:rsidRPr="00B4515A">
              <w:rPr>
                <w:rFonts w:ascii="Times New Roman" w:eastAsiaTheme="minorEastAsia" w:hAnsi="Times New Roman" w:cs="Times New Roman"/>
                <w:b/>
                <w:bCs/>
                <w:color w:val="000000"/>
                <w:sz w:val="21"/>
                <w:szCs w:val="21"/>
              </w:rPr>
              <w:t>(</w:t>
            </w:r>
            <w:r w:rsidRPr="00B4515A">
              <w:rPr>
                <w:rFonts w:ascii="Times New Roman" w:eastAsiaTheme="minorEastAsia" w:hAnsi="Times New Roman" w:cs="Times New Roman" w:hint="eastAsia"/>
                <w:b/>
                <w:bCs/>
                <w:color w:val="000000"/>
                <w:sz w:val="21"/>
                <w:szCs w:val="21"/>
              </w:rPr>
              <w:t>次</w:t>
            </w:r>
            <w:r w:rsidR="0082267A" w:rsidRPr="00B4515A">
              <w:rPr>
                <w:rFonts w:ascii="Times New Roman" w:eastAsiaTheme="minorEastAsia" w:hAnsi="Times New Roman" w:cs="Times New Roman" w:hint="eastAsia"/>
                <w:b/>
                <w:bCs/>
                <w:color w:val="000000"/>
                <w:sz w:val="21"/>
                <w:szCs w:val="21"/>
              </w:rPr>
              <w:t>/</w:t>
            </w:r>
            <w:r w:rsidR="0082267A"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w:t>
            </w:r>
          </w:p>
        </w:tc>
      </w:tr>
      <w:tr w:rsidR="006416B0" w:rsidRPr="00B4515A" w14:paraId="260C13F7" w14:textId="77777777" w:rsidTr="00031627">
        <w:trPr>
          <w:trHeight w:val="340"/>
          <w:jc w:val="center"/>
        </w:trPr>
        <w:tc>
          <w:tcPr>
            <w:tcW w:w="670" w:type="pct"/>
            <w:shd w:val="clear" w:color="auto" w:fill="auto"/>
            <w:tcMar>
              <w:top w:w="0" w:type="dxa"/>
              <w:left w:w="108" w:type="dxa"/>
              <w:bottom w:w="0" w:type="dxa"/>
              <w:right w:w="108" w:type="dxa"/>
            </w:tcMar>
            <w:vAlign w:val="center"/>
          </w:tcPr>
          <w:p w14:paraId="50AE17D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标的公司</w:t>
            </w:r>
          </w:p>
        </w:tc>
        <w:tc>
          <w:tcPr>
            <w:tcW w:w="1814" w:type="pct"/>
            <w:shd w:val="clear" w:color="auto" w:fill="auto"/>
            <w:tcMar>
              <w:top w:w="0" w:type="dxa"/>
              <w:left w:w="108" w:type="dxa"/>
              <w:bottom w:w="0" w:type="dxa"/>
              <w:right w:w="108" w:type="dxa"/>
            </w:tcMar>
            <w:vAlign w:val="center"/>
          </w:tcPr>
          <w:p w14:paraId="41D65C4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1259" w:type="pct"/>
            <w:shd w:val="clear" w:color="auto" w:fill="auto"/>
            <w:tcMar>
              <w:top w:w="0" w:type="dxa"/>
              <w:left w:w="108" w:type="dxa"/>
              <w:bottom w:w="0" w:type="dxa"/>
              <w:right w:w="108" w:type="dxa"/>
            </w:tcMar>
            <w:vAlign w:val="center"/>
          </w:tcPr>
          <w:p w14:paraId="579E748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年度</w:t>
            </w:r>
          </w:p>
        </w:tc>
        <w:tc>
          <w:tcPr>
            <w:tcW w:w="1256" w:type="pct"/>
            <w:shd w:val="clear" w:color="auto" w:fill="auto"/>
            <w:tcMar>
              <w:top w:w="0" w:type="dxa"/>
              <w:left w:w="108" w:type="dxa"/>
              <w:bottom w:w="0" w:type="dxa"/>
              <w:right w:w="108" w:type="dxa"/>
            </w:tcMar>
            <w:vAlign w:val="center"/>
          </w:tcPr>
          <w:p w14:paraId="74E8E7A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hint="eastAsia"/>
                <w:b/>
                <w:bCs/>
                <w:color w:val="000000"/>
                <w:sz w:val="21"/>
                <w:szCs w:val="21"/>
              </w:rPr>
              <w:t>年度</w:t>
            </w:r>
          </w:p>
        </w:tc>
      </w:tr>
      <w:tr w:rsidR="006416B0" w:rsidRPr="00B4515A" w14:paraId="1B9F3DA0" w14:textId="77777777" w:rsidTr="00031627">
        <w:trPr>
          <w:trHeight w:val="340"/>
          <w:jc w:val="center"/>
        </w:trPr>
        <w:tc>
          <w:tcPr>
            <w:tcW w:w="670" w:type="pct"/>
            <w:shd w:val="clear" w:color="auto" w:fill="auto"/>
            <w:tcMar>
              <w:top w:w="0" w:type="dxa"/>
              <w:left w:w="108" w:type="dxa"/>
              <w:bottom w:w="0" w:type="dxa"/>
              <w:right w:w="108" w:type="dxa"/>
            </w:tcMar>
            <w:vAlign w:val="center"/>
          </w:tcPr>
          <w:p w14:paraId="3866AEFE"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hint="eastAsia"/>
                <w:bCs/>
                <w:color w:val="000000"/>
                <w:sz w:val="21"/>
                <w:szCs w:val="21"/>
              </w:rPr>
              <w:t>大唐联诚</w:t>
            </w:r>
          </w:p>
        </w:tc>
        <w:tc>
          <w:tcPr>
            <w:tcW w:w="1814" w:type="pct"/>
            <w:shd w:val="clear" w:color="auto" w:fill="auto"/>
            <w:tcMar>
              <w:top w:w="0" w:type="dxa"/>
              <w:left w:w="108" w:type="dxa"/>
              <w:bottom w:w="0" w:type="dxa"/>
              <w:right w:w="108" w:type="dxa"/>
            </w:tcMar>
            <w:vAlign w:val="center"/>
          </w:tcPr>
          <w:p w14:paraId="56540BF5"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 xml:space="preserve">0.33 </w:t>
            </w:r>
          </w:p>
        </w:tc>
        <w:tc>
          <w:tcPr>
            <w:tcW w:w="1259" w:type="pct"/>
            <w:shd w:val="clear" w:color="auto" w:fill="auto"/>
            <w:tcMar>
              <w:top w:w="0" w:type="dxa"/>
              <w:left w:w="108" w:type="dxa"/>
              <w:bottom w:w="0" w:type="dxa"/>
              <w:right w:w="108" w:type="dxa"/>
            </w:tcMar>
            <w:vAlign w:val="center"/>
          </w:tcPr>
          <w:p w14:paraId="715B8CFE"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 xml:space="preserve">1.54 </w:t>
            </w:r>
          </w:p>
        </w:tc>
        <w:tc>
          <w:tcPr>
            <w:tcW w:w="1256" w:type="pct"/>
            <w:shd w:val="clear" w:color="auto" w:fill="auto"/>
            <w:tcMar>
              <w:top w:w="0" w:type="dxa"/>
              <w:left w:w="108" w:type="dxa"/>
              <w:bottom w:w="0" w:type="dxa"/>
              <w:right w:w="108" w:type="dxa"/>
            </w:tcMar>
            <w:vAlign w:val="center"/>
          </w:tcPr>
          <w:p w14:paraId="603CE80E"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 xml:space="preserve">1.26 </w:t>
            </w:r>
          </w:p>
        </w:tc>
      </w:tr>
    </w:tbl>
    <w:p w14:paraId="470BE31D" w14:textId="77777777" w:rsidR="006416B0" w:rsidRPr="00B4515A" w:rsidRDefault="006416B0">
      <w:pPr>
        <w:ind w:firstLine="420"/>
        <w:jc w:val="right"/>
        <w:rPr>
          <w:rFonts w:ascii="楷体" w:eastAsia="楷体" w:hAnsi="楷体" w:cs="Times New Roman"/>
          <w:b/>
          <w:color w:val="000000"/>
          <w:szCs w:val="21"/>
        </w:rPr>
      </w:pP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078"/>
        <w:gridCol w:w="2688"/>
        <w:gridCol w:w="1881"/>
        <w:gridCol w:w="1881"/>
      </w:tblGrid>
      <w:tr w:rsidR="006416B0" w:rsidRPr="00B4515A" w14:paraId="6A64D187" w14:textId="77777777" w:rsidTr="00031627">
        <w:trPr>
          <w:trHeight w:val="340"/>
          <w:jc w:val="center"/>
        </w:trPr>
        <w:tc>
          <w:tcPr>
            <w:tcW w:w="5000" w:type="pct"/>
            <w:gridSpan w:val="4"/>
            <w:shd w:val="clear" w:color="auto" w:fill="auto"/>
            <w:tcMar>
              <w:top w:w="0" w:type="dxa"/>
              <w:left w:w="108" w:type="dxa"/>
              <w:bottom w:w="0" w:type="dxa"/>
              <w:right w:w="108" w:type="dxa"/>
            </w:tcMar>
            <w:vAlign w:val="center"/>
          </w:tcPr>
          <w:p w14:paraId="2E14AE05" w14:textId="5385277D"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应收账款周转率</w:t>
            </w:r>
            <w:r w:rsidRPr="00B4515A">
              <w:rPr>
                <w:rFonts w:ascii="Times New Roman" w:eastAsiaTheme="minorEastAsia" w:hAnsi="Times New Roman" w:cs="Times New Roman"/>
                <w:b/>
                <w:bCs/>
                <w:color w:val="000000"/>
                <w:sz w:val="21"/>
                <w:szCs w:val="21"/>
              </w:rPr>
              <w:t>(</w:t>
            </w:r>
            <w:r w:rsidR="0082267A" w:rsidRPr="00B4515A">
              <w:rPr>
                <w:rFonts w:ascii="Times New Roman" w:eastAsiaTheme="minorEastAsia" w:hAnsi="Times New Roman" w:cs="Times New Roman" w:hint="eastAsia"/>
                <w:b/>
                <w:bCs/>
                <w:color w:val="000000"/>
                <w:sz w:val="21"/>
                <w:szCs w:val="21"/>
              </w:rPr>
              <w:t>次</w:t>
            </w:r>
            <w:r w:rsidR="0082267A" w:rsidRPr="00B4515A">
              <w:rPr>
                <w:rFonts w:ascii="Times New Roman" w:eastAsiaTheme="minorEastAsia" w:hAnsi="Times New Roman" w:cs="Times New Roman" w:hint="eastAsia"/>
                <w:b/>
                <w:bCs/>
                <w:color w:val="000000"/>
                <w:sz w:val="21"/>
                <w:szCs w:val="21"/>
              </w:rPr>
              <w:t>/</w:t>
            </w:r>
            <w:r w:rsidR="0082267A"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w:t>
            </w:r>
          </w:p>
        </w:tc>
      </w:tr>
      <w:tr w:rsidR="006416B0" w:rsidRPr="00B4515A" w14:paraId="435C1C32" w14:textId="77777777" w:rsidTr="00031627">
        <w:trPr>
          <w:trHeight w:val="340"/>
          <w:jc w:val="center"/>
        </w:trPr>
        <w:tc>
          <w:tcPr>
            <w:tcW w:w="1218" w:type="pct"/>
            <w:shd w:val="clear" w:color="auto" w:fill="auto"/>
            <w:tcMar>
              <w:top w:w="0" w:type="dxa"/>
              <w:left w:w="108" w:type="dxa"/>
              <w:bottom w:w="0" w:type="dxa"/>
              <w:right w:w="108" w:type="dxa"/>
            </w:tcMar>
            <w:vAlign w:val="center"/>
          </w:tcPr>
          <w:p w14:paraId="38C70E7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公司</w:t>
            </w:r>
          </w:p>
        </w:tc>
        <w:tc>
          <w:tcPr>
            <w:tcW w:w="1576" w:type="pct"/>
            <w:shd w:val="clear" w:color="auto" w:fill="auto"/>
            <w:tcMar>
              <w:top w:w="0" w:type="dxa"/>
              <w:left w:w="108" w:type="dxa"/>
              <w:bottom w:w="0" w:type="dxa"/>
              <w:right w:w="108" w:type="dxa"/>
            </w:tcMar>
            <w:vAlign w:val="center"/>
          </w:tcPr>
          <w:p w14:paraId="4782F70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1103" w:type="pct"/>
            <w:shd w:val="clear" w:color="auto" w:fill="auto"/>
            <w:tcMar>
              <w:top w:w="0" w:type="dxa"/>
              <w:left w:w="108" w:type="dxa"/>
              <w:bottom w:w="0" w:type="dxa"/>
              <w:right w:w="108" w:type="dxa"/>
            </w:tcMar>
            <w:vAlign w:val="center"/>
          </w:tcPr>
          <w:p w14:paraId="064C5EF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年度</w:t>
            </w:r>
          </w:p>
        </w:tc>
        <w:tc>
          <w:tcPr>
            <w:tcW w:w="1103" w:type="pct"/>
            <w:shd w:val="clear" w:color="auto" w:fill="auto"/>
            <w:tcMar>
              <w:top w:w="0" w:type="dxa"/>
              <w:left w:w="108" w:type="dxa"/>
              <w:bottom w:w="0" w:type="dxa"/>
              <w:right w:w="108" w:type="dxa"/>
            </w:tcMar>
            <w:vAlign w:val="center"/>
          </w:tcPr>
          <w:p w14:paraId="3AE3771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2019</w:t>
            </w:r>
            <w:r w:rsidRPr="00B4515A">
              <w:rPr>
                <w:rFonts w:ascii="Times New Roman" w:eastAsiaTheme="minorEastAsia" w:hAnsi="Times New Roman" w:cs="Times New Roman" w:hint="eastAsia"/>
                <w:b/>
                <w:bCs/>
                <w:color w:val="000000"/>
                <w:sz w:val="21"/>
                <w:szCs w:val="21"/>
              </w:rPr>
              <w:t>年度</w:t>
            </w:r>
          </w:p>
        </w:tc>
      </w:tr>
      <w:tr w:rsidR="006416B0" w:rsidRPr="00B4515A" w14:paraId="68DC9FE5" w14:textId="77777777" w:rsidTr="00031627">
        <w:trPr>
          <w:trHeight w:val="340"/>
          <w:jc w:val="center"/>
        </w:trPr>
        <w:tc>
          <w:tcPr>
            <w:tcW w:w="1218" w:type="pct"/>
            <w:shd w:val="clear" w:color="auto" w:fill="auto"/>
            <w:tcMar>
              <w:top w:w="0" w:type="dxa"/>
              <w:left w:w="108" w:type="dxa"/>
              <w:bottom w:w="0" w:type="dxa"/>
              <w:right w:w="108" w:type="dxa"/>
            </w:tcMar>
            <w:vAlign w:val="center"/>
          </w:tcPr>
          <w:p w14:paraId="3FB29383"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hint="eastAsia"/>
                <w:bCs/>
                <w:color w:val="000000"/>
                <w:sz w:val="21"/>
                <w:szCs w:val="21"/>
              </w:rPr>
              <w:t>大唐联诚</w:t>
            </w:r>
          </w:p>
        </w:tc>
        <w:tc>
          <w:tcPr>
            <w:tcW w:w="1576" w:type="pct"/>
            <w:shd w:val="clear" w:color="auto" w:fill="auto"/>
            <w:tcMar>
              <w:top w:w="0" w:type="dxa"/>
              <w:left w:w="108" w:type="dxa"/>
              <w:bottom w:w="0" w:type="dxa"/>
              <w:right w:w="108" w:type="dxa"/>
            </w:tcMar>
            <w:vAlign w:val="center"/>
          </w:tcPr>
          <w:p w14:paraId="40D1F144"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 xml:space="preserve">0.33 </w:t>
            </w:r>
          </w:p>
        </w:tc>
        <w:tc>
          <w:tcPr>
            <w:tcW w:w="1103" w:type="pct"/>
            <w:shd w:val="clear" w:color="auto" w:fill="auto"/>
            <w:tcMar>
              <w:top w:w="0" w:type="dxa"/>
              <w:left w:w="108" w:type="dxa"/>
              <w:bottom w:w="0" w:type="dxa"/>
              <w:right w:w="108" w:type="dxa"/>
            </w:tcMar>
            <w:vAlign w:val="center"/>
          </w:tcPr>
          <w:p w14:paraId="51218E07"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 xml:space="preserve">1.54 </w:t>
            </w:r>
          </w:p>
        </w:tc>
        <w:tc>
          <w:tcPr>
            <w:tcW w:w="1103" w:type="pct"/>
            <w:shd w:val="clear" w:color="auto" w:fill="auto"/>
            <w:tcMar>
              <w:top w:w="0" w:type="dxa"/>
              <w:left w:w="108" w:type="dxa"/>
              <w:bottom w:w="0" w:type="dxa"/>
              <w:right w:w="108" w:type="dxa"/>
            </w:tcMar>
            <w:vAlign w:val="center"/>
          </w:tcPr>
          <w:p w14:paraId="0F527198"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 xml:space="preserve">1.26 </w:t>
            </w:r>
          </w:p>
        </w:tc>
      </w:tr>
      <w:tr w:rsidR="006416B0" w:rsidRPr="00B4515A" w14:paraId="2B2EB793" w14:textId="77777777" w:rsidTr="00031627">
        <w:trPr>
          <w:trHeight w:val="340"/>
          <w:jc w:val="center"/>
        </w:trPr>
        <w:tc>
          <w:tcPr>
            <w:tcW w:w="1218" w:type="pct"/>
            <w:shd w:val="clear" w:color="auto" w:fill="auto"/>
            <w:tcMar>
              <w:top w:w="0" w:type="dxa"/>
              <w:left w:w="108" w:type="dxa"/>
              <w:bottom w:w="0" w:type="dxa"/>
              <w:right w:w="108" w:type="dxa"/>
            </w:tcMar>
            <w:vAlign w:val="center"/>
          </w:tcPr>
          <w:p w14:paraId="72EEFF90"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hint="eastAsia"/>
                <w:bCs/>
                <w:color w:val="000000"/>
                <w:sz w:val="21"/>
                <w:szCs w:val="21"/>
              </w:rPr>
              <w:t>上海瀚讯</w:t>
            </w:r>
          </w:p>
        </w:tc>
        <w:tc>
          <w:tcPr>
            <w:tcW w:w="1576" w:type="pct"/>
            <w:shd w:val="clear" w:color="auto" w:fill="auto"/>
            <w:tcMar>
              <w:top w:w="0" w:type="dxa"/>
              <w:left w:w="108" w:type="dxa"/>
              <w:bottom w:w="0" w:type="dxa"/>
              <w:right w:w="108" w:type="dxa"/>
            </w:tcMar>
            <w:vAlign w:val="center"/>
          </w:tcPr>
          <w:p w14:paraId="55CF1C51"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 xml:space="preserve">0.07 </w:t>
            </w:r>
          </w:p>
        </w:tc>
        <w:tc>
          <w:tcPr>
            <w:tcW w:w="1103" w:type="pct"/>
            <w:shd w:val="clear" w:color="auto" w:fill="auto"/>
            <w:tcMar>
              <w:top w:w="0" w:type="dxa"/>
              <w:left w:w="108" w:type="dxa"/>
              <w:bottom w:w="0" w:type="dxa"/>
              <w:right w:w="108" w:type="dxa"/>
            </w:tcMar>
            <w:vAlign w:val="center"/>
          </w:tcPr>
          <w:p w14:paraId="057E2393"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1.01</w:t>
            </w:r>
          </w:p>
        </w:tc>
        <w:tc>
          <w:tcPr>
            <w:tcW w:w="1103" w:type="pct"/>
            <w:shd w:val="clear" w:color="auto" w:fill="auto"/>
            <w:tcMar>
              <w:top w:w="0" w:type="dxa"/>
              <w:left w:w="108" w:type="dxa"/>
              <w:bottom w:w="0" w:type="dxa"/>
              <w:right w:w="108" w:type="dxa"/>
            </w:tcMar>
            <w:vAlign w:val="center"/>
          </w:tcPr>
          <w:p w14:paraId="53277134"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1.15</w:t>
            </w:r>
          </w:p>
        </w:tc>
      </w:tr>
      <w:tr w:rsidR="006416B0" w:rsidRPr="00B4515A" w14:paraId="795E35E6" w14:textId="77777777" w:rsidTr="00031627">
        <w:trPr>
          <w:trHeight w:val="340"/>
          <w:jc w:val="center"/>
        </w:trPr>
        <w:tc>
          <w:tcPr>
            <w:tcW w:w="1218" w:type="pct"/>
            <w:shd w:val="clear" w:color="auto" w:fill="auto"/>
            <w:tcMar>
              <w:top w:w="0" w:type="dxa"/>
              <w:left w:w="108" w:type="dxa"/>
              <w:bottom w:w="0" w:type="dxa"/>
              <w:right w:w="108" w:type="dxa"/>
            </w:tcMar>
            <w:vAlign w:val="center"/>
          </w:tcPr>
          <w:p w14:paraId="3A455A85"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hint="eastAsia"/>
                <w:bCs/>
                <w:color w:val="000000"/>
                <w:sz w:val="21"/>
                <w:szCs w:val="21"/>
              </w:rPr>
              <w:t>七一二</w:t>
            </w:r>
          </w:p>
        </w:tc>
        <w:tc>
          <w:tcPr>
            <w:tcW w:w="1576" w:type="pct"/>
            <w:shd w:val="clear" w:color="auto" w:fill="auto"/>
            <w:tcMar>
              <w:top w:w="0" w:type="dxa"/>
              <w:left w:w="108" w:type="dxa"/>
              <w:bottom w:w="0" w:type="dxa"/>
              <w:right w:w="108" w:type="dxa"/>
            </w:tcMar>
            <w:vAlign w:val="center"/>
          </w:tcPr>
          <w:p w14:paraId="11AE6B2C"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0.23</w:t>
            </w:r>
          </w:p>
        </w:tc>
        <w:tc>
          <w:tcPr>
            <w:tcW w:w="1103" w:type="pct"/>
            <w:shd w:val="clear" w:color="auto" w:fill="auto"/>
            <w:tcMar>
              <w:top w:w="0" w:type="dxa"/>
              <w:left w:w="108" w:type="dxa"/>
              <w:bottom w:w="0" w:type="dxa"/>
              <w:right w:w="108" w:type="dxa"/>
            </w:tcMar>
            <w:vAlign w:val="center"/>
          </w:tcPr>
          <w:p w14:paraId="6B523C11"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1.81</w:t>
            </w:r>
          </w:p>
        </w:tc>
        <w:tc>
          <w:tcPr>
            <w:tcW w:w="1103" w:type="pct"/>
            <w:shd w:val="clear" w:color="auto" w:fill="auto"/>
            <w:tcMar>
              <w:top w:w="0" w:type="dxa"/>
              <w:left w:w="108" w:type="dxa"/>
              <w:bottom w:w="0" w:type="dxa"/>
              <w:right w:w="108" w:type="dxa"/>
            </w:tcMar>
            <w:vAlign w:val="center"/>
          </w:tcPr>
          <w:p w14:paraId="4CD74426"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1.45</w:t>
            </w:r>
          </w:p>
        </w:tc>
      </w:tr>
      <w:tr w:rsidR="006416B0" w:rsidRPr="00B4515A" w14:paraId="5397D2A9" w14:textId="77777777" w:rsidTr="00031627">
        <w:trPr>
          <w:trHeight w:val="340"/>
          <w:jc w:val="center"/>
        </w:trPr>
        <w:tc>
          <w:tcPr>
            <w:tcW w:w="1218" w:type="pct"/>
            <w:shd w:val="clear" w:color="auto" w:fill="auto"/>
            <w:tcMar>
              <w:top w:w="0" w:type="dxa"/>
              <w:left w:w="108" w:type="dxa"/>
              <w:bottom w:w="0" w:type="dxa"/>
              <w:right w:w="108" w:type="dxa"/>
            </w:tcMar>
            <w:vAlign w:val="center"/>
          </w:tcPr>
          <w:p w14:paraId="2E46BF6D"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hint="eastAsia"/>
                <w:bCs/>
                <w:color w:val="000000"/>
                <w:sz w:val="21"/>
                <w:szCs w:val="21"/>
              </w:rPr>
              <w:t>海格通信</w:t>
            </w:r>
          </w:p>
        </w:tc>
        <w:tc>
          <w:tcPr>
            <w:tcW w:w="1576" w:type="pct"/>
            <w:shd w:val="clear" w:color="auto" w:fill="auto"/>
            <w:tcMar>
              <w:top w:w="0" w:type="dxa"/>
              <w:left w:w="108" w:type="dxa"/>
              <w:bottom w:w="0" w:type="dxa"/>
              <w:right w:w="108" w:type="dxa"/>
            </w:tcMar>
            <w:vAlign w:val="center"/>
          </w:tcPr>
          <w:p w14:paraId="6B2A90A3"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0.31</w:t>
            </w:r>
          </w:p>
        </w:tc>
        <w:tc>
          <w:tcPr>
            <w:tcW w:w="1103" w:type="pct"/>
            <w:shd w:val="clear" w:color="auto" w:fill="auto"/>
            <w:tcMar>
              <w:top w:w="0" w:type="dxa"/>
              <w:left w:w="108" w:type="dxa"/>
              <w:bottom w:w="0" w:type="dxa"/>
              <w:right w:w="108" w:type="dxa"/>
            </w:tcMar>
            <w:vAlign w:val="center"/>
          </w:tcPr>
          <w:p w14:paraId="5AFBA776"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1.78</w:t>
            </w:r>
          </w:p>
        </w:tc>
        <w:tc>
          <w:tcPr>
            <w:tcW w:w="1103" w:type="pct"/>
            <w:shd w:val="clear" w:color="auto" w:fill="auto"/>
            <w:tcMar>
              <w:top w:w="0" w:type="dxa"/>
              <w:left w:w="108" w:type="dxa"/>
              <w:bottom w:w="0" w:type="dxa"/>
              <w:right w:w="108" w:type="dxa"/>
            </w:tcMar>
            <w:vAlign w:val="center"/>
          </w:tcPr>
          <w:p w14:paraId="03544997"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1.66</w:t>
            </w:r>
          </w:p>
        </w:tc>
      </w:tr>
      <w:tr w:rsidR="006416B0" w:rsidRPr="00B4515A" w14:paraId="5DB99C98" w14:textId="77777777" w:rsidTr="00031627">
        <w:trPr>
          <w:trHeight w:val="340"/>
          <w:jc w:val="center"/>
        </w:trPr>
        <w:tc>
          <w:tcPr>
            <w:tcW w:w="1218" w:type="pct"/>
            <w:shd w:val="clear" w:color="auto" w:fill="auto"/>
            <w:tcMar>
              <w:top w:w="0" w:type="dxa"/>
              <w:left w:w="108" w:type="dxa"/>
              <w:bottom w:w="0" w:type="dxa"/>
              <w:right w:w="108" w:type="dxa"/>
            </w:tcMar>
            <w:vAlign w:val="center"/>
          </w:tcPr>
          <w:p w14:paraId="02798F11" w14:textId="77777777" w:rsidR="006416B0" w:rsidRPr="00B4515A" w:rsidRDefault="005E58C1" w:rsidP="005860B4">
            <w:pPr>
              <w:adjustRightInd w:val="0"/>
              <w:snapToGrid w:val="0"/>
              <w:jc w:val="center"/>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hint="eastAsia"/>
                <w:bCs/>
                <w:color w:val="000000"/>
                <w:sz w:val="21"/>
                <w:szCs w:val="21"/>
              </w:rPr>
              <w:t>海能达</w:t>
            </w:r>
          </w:p>
        </w:tc>
        <w:tc>
          <w:tcPr>
            <w:tcW w:w="1576" w:type="pct"/>
            <w:shd w:val="clear" w:color="auto" w:fill="auto"/>
            <w:tcMar>
              <w:top w:w="0" w:type="dxa"/>
              <w:left w:w="108" w:type="dxa"/>
              <w:bottom w:w="0" w:type="dxa"/>
              <w:right w:w="108" w:type="dxa"/>
            </w:tcMar>
            <w:vAlign w:val="center"/>
          </w:tcPr>
          <w:p w14:paraId="0C723859"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0.24</w:t>
            </w:r>
          </w:p>
        </w:tc>
        <w:tc>
          <w:tcPr>
            <w:tcW w:w="1103" w:type="pct"/>
            <w:shd w:val="clear" w:color="auto" w:fill="auto"/>
            <w:tcMar>
              <w:top w:w="0" w:type="dxa"/>
              <w:left w:w="108" w:type="dxa"/>
              <w:bottom w:w="0" w:type="dxa"/>
              <w:right w:w="108" w:type="dxa"/>
            </w:tcMar>
            <w:vAlign w:val="center"/>
          </w:tcPr>
          <w:p w14:paraId="14E87884"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1.38</w:t>
            </w:r>
          </w:p>
        </w:tc>
        <w:tc>
          <w:tcPr>
            <w:tcW w:w="1103" w:type="pct"/>
            <w:shd w:val="clear" w:color="auto" w:fill="auto"/>
            <w:tcMar>
              <w:top w:w="0" w:type="dxa"/>
              <w:left w:w="108" w:type="dxa"/>
              <w:bottom w:w="0" w:type="dxa"/>
              <w:right w:w="108" w:type="dxa"/>
            </w:tcMar>
            <w:vAlign w:val="center"/>
          </w:tcPr>
          <w:p w14:paraId="356423AE" w14:textId="77777777" w:rsidR="006416B0" w:rsidRPr="00B4515A" w:rsidRDefault="005E58C1" w:rsidP="005860B4">
            <w:pPr>
              <w:adjustRightInd w:val="0"/>
              <w:snapToGrid w:val="0"/>
              <w:jc w:val="right"/>
              <w:rPr>
                <w:rFonts w:ascii="Times New Roman" w:eastAsiaTheme="minorEastAsia" w:hAnsi="Times New Roman" w:cs="Times New Roman"/>
                <w:bCs/>
                <w:color w:val="000000"/>
                <w:sz w:val="21"/>
                <w:szCs w:val="21"/>
              </w:rPr>
            </w:pPr>
            <w:r w:rsidRPr="00B4515A">
              <w:rPr>
                <w:rFonts w:ascii="Times New Roman" w:eastAsiaTheme="minorEastAsia" w:hAnsi="Times New Roman" w:cs="Times New Roman"/>
                <w:bCs/>
                <w:color w:val="000000"/>
                <w:sz w:val="21"/>
                <w:szCs w:val="21"/>
              </w:rPr>
              <w:t>1.77</w:t>
            </w:r>
          </w:p>
        </w:tc>
      </w:tr>
    </w:tbl>
    <w:p w14:paraId="34B9553A" w14:textId="77777777" w:rsidR="006416B0" w:rsidRPr="00B4515A" w:rsidRDefault="005E58C1" w:rsidP="003357B7">
      <w:pPr>
        <w:pStyle w:val="006"/>
        <w:ind w:firstLine="420"/>
      </w:pPr>
      <w:r w:rsidRPr="00B4515A">
        <w:rPr>
          <w:rFonts w:hint="eastAsia"/>
        </w:rPr>
        <w:t>注：以上数据来源于</w:t>
      </w:r>
      <w:r w:rsidRPr="00B4515A">
        <w:t>wind</w:t>
      </w:r>
      <w:r w:rsidRPr="00B4515A">
        <w:rPr>
          <w:rFonts w:hint="eastAsia"/>
        </w:rPr>
        <w:t>数据；由于可比公司未披露</w:t>
      </w:r>
      <w:r w:rsidRPr="00B4515A">
        <w:t>2021</w:t>
      </w:r>
      <w:r w:rsidRPr="00B4515A">
        <w:rPr>
          <w:rFonts w:hint="eastAsia"/>
        </w:rPr>
        <w:t>年</w:t>
      </w:r>
      <w:r w:rsidRPr="00B4515A">
        <w:t>4</w:t>
      </w:r>
      <w:r w:rsidRPr="00B4515A">
        <w:rPr>
          <w:rFonts w:hint="eastAsia"/>
        </w:rPr>
        <w:t>月</w:t>
      </w:r>
      <w:r w:rsidRPr="00B4515A">
        <w:t>30</w:t>
      </w:r>
      <w:r w:rsidRPr="00B4515A">
        <w:rPr>
          <w:rFonts w:hint="eastAsia"/>
        </w:rPr>
        <w:t>日数据，采用了</w:t>
      </w:r>
      <w:r w:rsidRPr="00B4515A">
        <w:t>2021</w:t>
      </w:r>
      <w:r w:rsidRPr="00B4515A">
        <w:rPr>
          <w:rFonts w:hint="eastAsia"/>
        </w:rPr>
        <w:t>年一季度数据。</w:t>
      </w:r>
    </w:p>
    <w:p w14:paraId="45075C06" w14:textId="77777777" w:rsidR="006416B0" w:rsidRPr="00B4515A" w:rsidRDefault="005E58C1" w:rsidP="003357B7">
      <w:pPr>
        <w:pStyle w:val="005"/>
        <w:spacing w:before="120" w:after="120"/>
        <w:ind w:firstLine="480"/>
      </w:pPr>
      <w:r w:rsidRPr="00B4515A">
        <w:rPr>
          <w:rFonts w:hint="eastAsia"/>
        </w:rPr>
        <w:t>由于经营活动现金流净额波动与归母净利润的波动存在差异的主要影响因素为应收账款，通过查询可比公司应收账款周转率，标的公司的应收账款周转率与可比公司较为一致。</w:t>
      </w:r>
    </w:p>
    <w:p w14:paraId="466236BC" w14:textId="77777777" w:rsidR="006416B0" w:rsidRPr="00B4515A" w:rsidRDefault="005E58C1" w:rsidP="003357B7">
      <w:pPr>
        <w:pStyle w:val="005"/>
        <w:spacing w:before="120" w:after="120"/>
        <w:ind w:firstLine="480"/>
      </w:pPr>
      <w:r w:rsidRPr="00B4515A">
        <w:rPr>
          <w:rFonts w:hint="eastAsia"/>
        </w:rPr>
        <w:t>因此，标的公司经营活动现金流净额大幅波动且与归母净利润的匹配度符合行业特点。</w:t>
      </w:r>
    </w:p>
    <w:p w14:paraId="40DA9AFF" w14:textId="77777777" w:rsidR="006416B0" w:rsidRPr="00B4515A" w:rsidRDefault="005E58C1" w:rsidP="003357B7">
      <w:pPr>
        <w:pStyle w:val="005"/>
        <w:spacing w:before="120" w:after="120"/>
        <w:ind w:firstLine="480"/>
      </w:pPr>
      <w:r w:rsidRPr="00B4515A">
        <w:rPr>
          <w:rFonts w:eastAsiaTheme="minorEastAsia" w:hint="eastAsia"/>
        </w:rPr>
        <w:t>综上所述，标的公司</w:t>
      </w:r>
      <w:r w:rsidRPr="00B4515A">
        <w:rPr>
          <w:rFonts w:eastAsiaTheme="minorEastAsia"/>
        </w:rPr>
        <w:t>2020</w:t>
      </w:r>
      <w:r w:rsidRPr="00B4515A">
        <w:rPr>
          <w:rFonts w:eastAsiaTheme="minorEastAsia" w:hint="eastAsia"/>
        </w:rPr>
        <w:t>年度相比</w:t>
      </w:r>
      <w:r w:rsidRPr="00B4515A">
        <w:rPr>
          <w:rFonts w:eastAsiaTheme="minorEastAsia"/>
        </w:rPr>
        <w:t>2019</w:t>
      </w:r>
      <w:r w:rsidRPr="00B4515A">
        <w:rPr>
          <w:rFonts w:eastAsiaTheme="minorEastAsia" w:hint="eastAsia"/>
        </w:rPr>
        <w:t>年度收入、利润大幅度增加，且公司主要客户属于特通领域，资质较好，产生坏账损失的风险较低，因此虽然标的公司</w:t>
      </w:r>
      <w:r w:rsidRPr="00B4515A">
        <w:rPr>
          <w:rFonts w:eastAsiaTheme="minorEastAsia"/>
        </w:rPr>
        <w:t>2021</w:t>
      </w:r>
      <w:r w:rsidRPr="00B4515A">
        <w:rPr>
          <w:rFonts w:eastAsiaTheme="minorEastAsia" w:hint="eastAsia"/>
        </w:rPr>
        <w:t>年</w:t>
      </w:r>
      <w:r w:rsidRPr="00B4515A">
        <w:rPr>
          <w:rFonts w:eastAsiaTheme="minorEastAsia"/>
        </w:rPr>
        <w:t>1-4</w:t>
      </w:r>
      <w:r w:rsidRPr="00B4515A">
        <w:rPr>
          <w:rFonts w:eastAsiaTheme="minorEastAsia" w:hint="eastAsia"/>
        </w:rPr>
        <w:t>月份经营活动现金流净额出现较大波动，但是不会影响标的公司整体的持续经营能力，本次交易将有利于提升上市公司持续经营能力，符合重组办法相关规定。</w:t>
      </w:r>
    </w:p>
    <w:p w14:paraId="1D78F42B" w14:textId="77777777" w:rsidR="006416B0" w:rsidRPr="00B4515A" w:rsidRDefault="005E58C1" w:rsidP="003357B7">
      <w:pPr>
        <w:pStyle w:val="003"/>
        <w:spacing w:before="120"/>
        <w:ind w:firstLine="482"/>
      </w:pPr>
      <w:r w:rsidRPr="00B4515A">
        <w:rPr>
          <w:rFonts w:hint="eastAsia"/>
        </w:rPr>
        <w:lastRenderedPageBreak/>
        <w:t>（四）流动性分析</w:t>
      </w:r>
    </w:p>
    <w:p w14:paraId="443BCCB2" w14:textId="77777777" w:rsidR="006416B0" w:rsidRPr="00B4515A" w:rsidRDefault="005E58C1" w:rsidP="003357B7">
      <w:pPr>
        <w:pStyle w:val="005"/>
        <w:spacing w:before="120" w:after="120"/>
        <w:ind w:firstLine="480"/>
      </w:pPr>
      <w:r w:rsidRPr="00B4515A">
        <w:rPr>
          <w:rFonts w:hint="eastAsia"/>
        </w:rPr>
        <w:t>综上所述，</w:t>
      </w:r>
      <w:r w:rsidRPr="00B4515A">
        <w:t>2019</w:t>
      </w:r>
      <w:r w:rsidRPr="00B4515A">
        <w:rPr>
          <w:rFonts w:hint="eastAsia"/>
        </w:rPr>
        <w:t>年至</w:t>
      </w:r>
      <w:r w:rsidRPr="00B4515A">
        <w:t>2021</w:t>
      </w:r>
      <w:r w:rsidRPr="00B4515A">
        <w:rPr>
          <w:rFonts w:hint="eastAsia"/>
        </w:rPr>
        <w:t>年</w:t>
      </w:r>
      <w:r w:rsidRPr="00B4515A">
        <w:t>4</w:t>
      </w:r>
      <w:r w:rsidRPr="00B4515A">
        <w:rPr>
          <w:rFonts w:hint="eastAsia"/>
        </w:rPr>
        <w:t>月，标的公司的利息保障倍数均大于</w:t>
      </w:r>
      <w:r w:rsidRPr="00B4515A">
        <w:t>1</w:t>
      </w:r>
      <w:r w:rsidRPr="00B4515A">
        <w:rPr>
          <w:rFonts w:hint="eastAsia"/>
        </w:rPr>
        <w:t>，可以覆盖借款利息。同时，标的公司</w:t>
      </w:r>
      <w:r w:rsidRPr="00B4515A">
        <w:t>2021</w:t>
      </w:r>
      <w:r w:rsidRPr="00B4515A">
        <w:rPr>
          <w:rFonts w:hint="eastAsia"/>
        </w:rPr>
        <w:t>年</w:t>
      </w:r>
      <w:r w:rsidRPr="00B4515A">
        <w:t>4</w:t>
      </w:r>
      <w:r w:rsidRPr="00B4515A">
        <w:rPr>
          <w:rFonts w:hint="eastAsia"/>
        </w:rPr>
        <w:t>月</w:t>
      </w:r>
      <w:r w:rsidRPr="00B4515A">
        <w:t>30</w:t>
      </w:r>
      <w:r w:rsidRPr="00B4515A">
        <w:rPr>
          <w:rFonts w:hint="eastAsia"/>
        </w:rPr>
        <w:t>日账面货币资金超过</w:t>
      </w:r>
      <w:r w:rsidRPr="00B4515A">
        <w:t>6</w:t>
      </w:r>
      <w:r w:rsidRPr="00B4515A">
        <w:rPr>
          <w:rFonts w:hint="eastAsia"/>
        </w:rPr>
        <w:t>亿元，且报告期内各期现金及现金等价物净增加额均为正数，能够满足标的公司资金流动性需求。</w:t>
      </w:r>
    </w:p>
    <w:p w14:paraId="45288F8C" w14:textId="77777777" w:rsidR="006416B0" w:rsidRPr="00B4515A" w:rsidRDefault="005E58C1" w:rsidP="003357B7">
      <w:pPr>
        <w:pStyle w:val="002"/>
        <w:spacing w:before="120" w:after="120"/>
        <w:ind w:firstLine="562"/>
      </w:pPr>
      <w:bookmarkStart w:id="323" w:name="_Toc80960575"/>
      <w:r w:rsidRPr="00B4515A">
        <w:rPr>
          <w:rFonts w:hint="eastAsia"/>
        </w:rPr>
        <w:t>五</w:t>
      </w:r>
      <w:r w:rsidRPr="00B4515A">
        <w:t>、</w:t>
      </w:r>
      <w:bookmarkStart w:id="324" w:name="_Hlk76936587"/>
      <w:r w:rsidRPr="00B4515A">
        <w:t>本次交易对上市公司持续经营能</w:t>
      </w:r>
      <w:bookmarkStart w:id="325" w:name="_Toc65677825"/>
      <w:r w:rsidRPr="00B4515A">
        <w:rPr>
          <w:rFonts w:hint="eastAsia"/>
        </w:rPr>
        <w:t>、</w:t>
      </w:r>
      <w:r w:rsidRPr="00B4515A">
        <w:t>未来发展前景影响</w:t>
      </w:r>
      <w:bookmarkStart w:id="326" w:name="_Toc65677826"/>
      <w:bookmarkEnd w:id="325"/>
      <w:r w:rsidRPr="00B4515A">
        <w:rPr>
          <w:rFonts w:hint="eastAsia"/>
        </w:rPr>
        <w:t>和</w:t>
      </w:r>
      <w:r w:rsidRPr="00B4515A">
        <w:t>上市公司当期每股收益等财务指标和非财务指标影响的分析</w:t>
      </w:r>
      <w:bookmarkEnd w:id="323"/>
      <w:bookmarkEnd w:id="324"/>
      <w:bookmarkEnd w:id="326"/>
    </w:p>
    <w:p w14:paraId="4017C141" w14:textId="77777777" w:rsidR="006416B0" w:rsidRPr="00B4515A" w:rsidRDefault="005E58C1" w:rsidP="003357B7">
      <w:pPr>
        <w:pStyle w:val="003"/>
        <w:spacing w:before="120"/>
        <w:ind w:firstLine="482"/>
      </w:pPr>
      <w:r w:rsidRPr="00B4515A">
        <w:rPr>
          <w:rFonts w:hint="eastAsia"/>
        </w:rPr>
        <w:t>（一）本次交易对上市公司的持续经营能力影响的分析</w:t>
      </w:r>
    </w:p>
    <w:p w14:paraId="6A5DBAD2" w14:textId="77777777" w:rsidR="006416B0" w:rsidRPr="00B4515A" w:rsidRDefault="005E58C1" w:rsidP="003357B7">
      <w:pPr>
        <w:pStyle w:val="004"/>
        <w:spacing w:before="120" w:after="120"/>
        <w:ind w:firstLine="482"/>
      </w:pPr>
      <w:r w:rsidRPr="00B4515A">
        <w:rPr>
          <w:rFonts w:hint="eastAsia"/>
        </w:rPr>
        <w:t>1</w:t>
      </w:r>
      <w:r w:rsidRPr="00B4515A">
        <w:rPr>
          <w:rFonts w:hint="eastAsia"/>
        </w:rPr>
        <w:t>、</w:t>
      </w:r>
      <w:r w:rsidRPr="00B4515A">
        <w:t>本次交易对上市公司主营业务的影响</w:t>
      </w:r>
    </w:p>
    <w:p w14:paraId="28D4ECD2" w14:textId="77777777" w:rsidR="006416B0" w:rsidRPr="00B4515A" w:rsidRDefault="005E58C1" w:rsidP="003357B7">
      <w:pPr>
        <w:pStyle w:val="005"/>
        <w:spacing w:before="120" w:after="120"/>
        <w:ind w:firstLine="480"/>
      </w:pPr>
      <w:r w:rsidRPr="00B4515A">
        <w:rPr>
          <w:rFonts w:hint="eastAsia"/>
        </w:rPr>
        <w:t>本次交易完成前，上市公司主营业务主要分为集成电路设计、终端设计、网络与服务等三大业务板块。</w:t>
      </w:r>
    </w:p>
    <w:p w14:paraId="0B8E08A9" w14:textId="42599FC3" w:rsidR="006416B0" w:rsidRPr="00B4515A" w:rsidRDefault="005E58C1" w:rsidP="003357B7">
      <w:pPr>
        <w:pStyle w:val="005"/>
        <w:spacing w:before="120" w:after="120"/>
        <w:ind w:firstLine="480"/>
      </w:pPr>
      <w:r w:rsidRPr="00B4515A">
        <w:rPr>
          <w:rFonts w:hint="eastAsia"/>
        </w:rPr>
        <w:t>本次交易完成后，大唐联诚将成为上市公司的子公司，上市公司业务将增加专用移动通信、专用宽带电台和宽带移动安全应用等。本次交易有利于上市公司探索新业务转型、寻求新利润增长，有利于提升上市公司盈利能力和综合实力。</w:t>
      </w:r>
    </w:p>
    <w:p w14:paraId="62EF0319" w14:textId="77777777" w:rsidR="006416B0" w:rsidRPr="00B4515A" w:rsidRDefault="005E58C1" w:rsidP="003357B7">
      <w:pPr>
        <w:pStyle w:val="004"/>
        <w:spacing w:before="120" w:after="120"/>
        <w:ind w:firstLine="482"/>
      </w:pPr>
      <w:r w:rsidRPr="00B4515A">
        <w:t>2</w:t>
      </w:r>
      <w:r w:rsidRPr="00B4515A">
        <w:t>、本次交易后的整合情况对持续盈利能力的影响</w:t>
      </w:r>
    </w:p>
    <w:p w14:paraId="0656CFC5" w14:textId="77777777" w:rsidR="006416B0" w:rsidRPr="00B4515A" w:rsidRDefault="005E58C1" w:rsidP="003357B7">
      <w:pPr>
        <w:pStyle w:val="005"/>
        <w:spacing w:before="120" w:after="120"/>
        <w:ind w:firstLine="480"/>
      </w:pPr>
      <w:r w:rsidRPr="00B4515A">
        <w:rPr>
          <w:rFonts w:hint="eastAsia"/>
        </w:rPr>
        <w:t>根据立信会计师事务所（特殊普通合伙）出具的备考审阅报告，本次发行前后公司主要财务数据比较如下。</w:t>
      </w:r>
    </w:p>
    <w:p w14:paraId="4B6D6B71"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231"/>
        <w:gridCol w:w="1503"/>
        <w:gridCol w:w="1505"/>
        <w:gridCol w:w="1505"/>
        <w:gridCol w:w="1784"/>
      </w:tblGrid>
      <w:tr w:rsidR="006416B0" w:rsidRPr="00B4515A" w14:paraId="38843163" w14:textId="77777777" w:rsidTr="00031627">
        <w:trPr>
          <w:trHeight w:val="340"/>
          <w:jc w:val="center"/>
        </w:trPr>
        <w:tc>
          <w:tcPr>
            <w:tcW w:w="8999" w:type="dxa"/>
            <w:gridSpan w:val="5"/>
            <w:shd w:val="clear" w:color="auto" w:fill="auto"/>
            <w:tcMar>
              <w:top w:w="0" w:type="dxa"/>
              <w:left w:w="108" w:type="dxa"/>
              <w:bottom w:w="0" w:type="dxa"/>
              <w:right w:w="108" w:type="dxa"/>
            </w:tcMar>
            <w:vAlign w:val="center"/>
          </w:tcPr>
          <w:p w14:paraId="3FBFB4B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2021 </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r>
      <w:tr w:rsidR="006416B0" w:rsidRPr="00B4515A" w14:paraId="52F0D0F5" w14:textId="77777777" w:rsidTr="00031627">
        <w:trPr>
          <w:trHeight w:val="340"/>
          <w:jc w:val="center"/>
        </w:trPr>
        <w:tc>
          <w:tcPr>
            <w:tcW w:w="2360" w:type="dxa"/>
            <w:vMerge w:val="restart"/>
            <w:shd w:val="clear" w:color="auto" w:fill="auto"/>
            <w:tcMar>
              <w:top w:w="0" w:type="dxa"/>
              <w:left w:w="108" w:type="dxa"/>
              <w:bottom w:w="0" w:type="dxa"/>
              <w:right w:w="108" w:type="dxa"/>
            </w:tcMar>
            <w:vAlign w:val="center"/>
          </w:tcPr>
          <w:p w14:paraId="42676E31"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584" w:type="dxa"/>
            <w:shd w:val="clear" w:color="auto" w:fill="auto"/>
            <w:tcMar>
              <w:top w:w="0" w:type="dxa"/>
              <w:left w:w="108" w:type="dxa"/>
              <w:bottom w:w="0" w:type="dxa"/>
              <w:right w:w="108" w:type="dxa"/>
            </w:tcMar>
            <w:vAlign w:val="center"/>
          </w:tcPr>
          <w:p w14:paraId="14FB35B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交易前</w:t>
            </w:r>
          </w:p>
        </w:tc>
        <w:tc>
          <w:tcPr>
            <w:tcW w:w="1586" w:type="dxa"/>
            <w:shd w:val="clear" w:color="auto" w:fill="auto"/>
            <w:tcMar>
              <w:top w:w="0" w:type="dxa"/>
              <w:left w:w="108" w:type="dxa"/>
              <w:bottom w:w="0" w:type="dxa"/>
              <w:right w:w="108" w:type="dxa"/>
            </w:tcMar>
            <w:vAlign w:val="center"/>
          </w:tcPr>
          <w:p w14:paraId="0448F7F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交易后</w:t>
            </w:r>
          </w:p>
          <w:p w14:paraId="7E5C841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（备考）</w:t>
            </w:r>
          </w:p>
        </w:tc>
        <w:tc>
          <w:tcPr>
            <w:tcW w:w="3469" w:type="dxa"/>
            <w:gridSpan w:val="2"/>
            <w:shd w:val="clear" w:color="auto" w:fill="auto"/>
            <w:tcMar>
              <w:top w:w="0" w:type="dxa"/>
              <w:left w:w="108" w:type="dxa"/>
              <w:bottom w:w="0" w:type="dxa"/>
              <w:right w:w="108" w:type="dxa"/>
            </w:tcMar>
            <w:vAlign w:val="center"/>
          </w:tcPr>
          <w:p w14:paraId="3E4407E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变化情况</w:t>
            </w:r>
          </w:p>
        </w:tc>
      </w:tr>
      <w:tr w:rsidR="006416B0" w:rsidRPr="00B4515A" w14:paraId="5EEF5059" w14:textId="77777777" w:rsidTr="00031627">
        <w:trPr>
          <w:trHeight w:val="340"/>
          <w:jc w:val="center"/>
        </w:trPr>
        <w:tc>
          <w:tcPr>
            <w:tcW w:w="2360" w:type="dxa"/>
            <w:vMerge/>
            <w:shd w:val="clear" w:color="auto" w:fill="auto"/>
            <w:tcMar>
              <w:top w:w="0" w:type="dxa"/>
              <w:left w:w="108" w:type="dxa"/>
              <w:bottom w:w="0" w:type="dxa"/>
              <w:right w:w="108" w:type="dxa"/>
            </w:tcMar>
            <w:vAlign w:val="center"/>
          </w:tcPr>
          <w:p w14:paraId="7B8D3A3E"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1584" w:type="dxa"/>
            <w:shd w:val="clear" w:color="auto" w:fill="auto"/>
            <w:tcMar>
              <w:top w:w="0" w:type="dxa"/>
              <w:left w:w="108" w:type="dxa"/>
              <w:bottom w:w="0" w:type="dxa"/>
              <w:right w:w="108" w:type="dxa"/>
            </w:tcMar>
            <w:vAlign w:val="center"/>
          </w:tcPr>
          <w:p w14:paraId="7400444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586" w:type="dxa"/>
            <w:shd w:val="clear" w:color="auto" w:fill="auto"/>
            <w:tcMar>
              <w:top w:w="0" w:type="dxa"/>
              <w:left w:w="108" w:type="dxa"/>
              <w:bottom w:w="0" w:type="dxa"/>
              <w:right w:w="108" w:type="dxa"/>
            </w:tcMar>
            <w:vAlign w:val="center"/>
          </w:tcPr>
          <w:p w14:paraId="4949077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586" w:type="dxa"/>
            <w:shd w:val="clear" w:color="auto" w:fill="auto"/>
            <w:tcMar>
              <w:top w:w="0" w:type="dxa"/>
              <w:left w:w="108" w:type="dxa"/>
              <w:bottom w:w="0" w:type="dxa"/>
              <w:right w:w="108" w:type="dxa"/>
            </w:tcMar>
            <w:vAlign w:val="center"/>
          </w:tcPr>
          <w:p w14:paraId="11B0B48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883" w:type="dxa"/>
            <w:shd w:val="clear" w:color="auto" w:fill="auto"/>
            <w:tcMar>
              <w:top w:w="0" w:type="dxa"/>
              <w:left w:w="108" w:type="dxa"/>
              <w:bottom w:w="0" w:type="dxa"/>
              <w:right w:w="108" w:type="dxa"/>
            </w:tcMar>
            <w:vAlign w:val="center"/>
          </w:tcPr>
          <w:p w14:paraId="430982E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变化率</w:t>
            </w:r>
          </w:p>
        </w:tc>
      </w:tr>
      <w:tr w:rsidR="006416B0" w:rsidRPr="00B4515A" w14:paraId="1E133B66"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1DEA5946"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营业收入</w:t>
            </w:r>
          </w:p>
        </w:tc>
        <w:tc>
          <w:tcPr>
            <w:tcW w:w="1584" w:type="dxa"/>
            <w:shd w:val="clear" w:color="auto" w:fill="auto"/>
            <w:tcMar>
              <w:top w:w="0" w:type="dxa"/>
              <w:left w:w="108" w:type="dxa"/>
              <w:bottom w:w="0" w:type="dxa"/>
              <w:right w:w="108" w:type="dxa"/>
            </w:tcMar>
            <w:vAlign w:val="center"/>
          </w:tcPr>
          <w:p w14:paraId="426F9E5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13,624.42</w:t>
            </w:r>
          </w:p>
        </w:tc>
        <w:tc>
          <w:tcPr>
            <w:tcW w:w="1586" w:type="dxa"/>
            <w:shd w:val="clear" w:color="auto" w:fill="auto"/>
            <w:tcMar>
              <w:top w:w="0" w:type="dxa"/>
              <w:left w:w="108" w:type="dxa"/>
              <w:bottom w:w="0" w:type="dxa"/>
              <w:right w:w="108" w:type="dxa"/>
            </w:tcMar>
            <w:vAlign w:val="center"/>
          </w:tcPr>
          <w:p w14:paraId="4F19FCC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25,810.48</w:t>
            </w:r>
          </w:p>
        </w:tc>
        <w:tc>
          <w:tcPr>
            <w:tcW w:w="1586" w:type="dxa"/>
            <w:shd w:val="clear" w:color="auto" w:fill="auto"/>
            <w:tcMar>
              <w:top w:w="0" w:type="dxa"/>
              <w:left w:w="108" w:type="dxa"/>
              <w:bottom w:w="0" w:type="dxa"/>
              <w:right w:w="108" w:type="dxa"/>
            </w:tcMar>
            <w:vAlign w:val="center"/>
          </w:tcPr>
          <w:p w14:paraId="3303D06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12,186.05</w:t>
            </w:r>
          </w:p>
        </w:tc>
        <w:tc>
          <w:tcPr>
            <w:tcW w:w="1883" w:type="dxa"/>
            <w:shd w:val="clear" w:color="auto" w:fill="auto"/>
            <w:tcMar>
              <w:top w:w="0" w:type="dxa"/>
              <w:left w:w="108" w:type="dxa"/>
              <w:bottom w:w="0" w:type="dxa"/>
              <w:right w:w="108" w:type="dxa"/>
            </w:tcMar>
            <w:vAlign w:val="center"/>
          </w:tcPr>
          <w:p w14:paraId="345E3B3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89.44%</w:t>
            </w:r>
          </w:p>
        </w:tc>
      </w:tr>
      <w:tr w:rsidR="006416B0" w:rsidRPr="00B4515A" w14:paraId="1A2C9AEE"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62DA8049"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营业成本</w:t>
            </w:r>
          </w:p>
        </w:tc>
        <w:tc>
          <w:tcPr>
            <w:tcW w:w="1584" w:type="dxa"/>
            <w:shd w:val="clear" w:color="auto" w:fill="auto"/>
            <w:tcMar>
              <w:top w:w="0" w:type="dxa"/>
              <w:left w:w="108" w:type="dxa"/>
              <w:bottom w:w="0" w:type="dxa"/>
              <w:right w:w="108" w:type="dxa"/>
            </w:tcMar>
            <w:vAlign w:val="center"/>
          </w:tcPr>
          <w:p w14:paraId="73784E4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10,157.66</w:t>
            </w:r>
          </w:p>
        </w:tc>
        <w:tc>
          <w:tcPr>
            <w:tcW w:w="1586" w:type="dxa"/>
            <w:shd w:val="clear" w:color="auto" w:fill="auto"/>
            <w:tcMar>
              <w:top w:w="0" w:type="dxa"/>
              <w:left w:w="108" w:type="dxa"/>
              <w:bottom w:w="0" w:type="dxa"/>
              <w:right w:w="108" w:type="dxa"/>
            </w:tcMar>
            <w:vAlign w:val="center"/>
          </w:tcPr>
          <w:p w14:paraId="695EF65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14,634.68</w:t>
            </w:r>
          </w:p>
        </w:tc>
        <w:tc>
          <w:tcPr>
            <w:tcW w:w="1586" w:type="dxa"/>
            <w:shd w:val="clear" w:color="auto" w:fill="auto"/>
            <w:tcMar>
              <w:top w:w="0" w:type="dxa"/>
              <w:left w:w="108" w:type="dxa"/>
              <w:bottom w:w="0" w:type="dxa"/>
              <w:right w:w="108" w:type="dxa"/>
            </w:tcMar>
            <w:vAlign w:val="center"/>
          </w:tcPr>
          <w:p w14:paraId="7B1E5D9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4,477.02</w:t>
            </w:r>
          </w:p>
        </w:tc>
        <w:tc>
          <w:tcPr>
            <w:tcW w:w="1883" w:type="dxa"/>
            <w:shd w:val="clear" w:color="auto" w:fill="auto"/>
            <w:tcMar>
              <w:top w:w="0" w:type="dxa"/>
              <w:left w:w="108" w:type="dxa"/>
              <w:bottom w:w="0" w:type="dxa"/>
              <w:right w:w="108" w:type="dxa"/>
            </w:tcMar>
            <w:vAlign w:val="center"/>
          </w:tcPr>
          <w:p w14:paraId="56F899A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44.08%</w:t>
            </w:r>
          </w:p>
        </w:tc>
      </w:tr>
      <w:tr w:rsidR="006416B0" w:rsidRPr="00B4515A" w14:paraId="6F807EF1"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3C405375"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营业利润</w:t>
            </w:r>
          </w:p>
        </w:tc>
        <w:tc>
          <w:tcPr>
            <w:tcW w:w="1584" w:type="dxa"/>
            <w:shd w:val="clear" w:color="auto" w:fill="auto"/>
            <w:tcMar>
              <w:top w:w="0" w:type="dxa"/>
              <w:left w:w="108" w:type="dxa"/>
              <w:bottom w:w="0" w:type="dxa"/>
              <w:right w:w="108" w:type="dxa"/>
            </w:tcMar>
            <w:vAlign w:val="center"/>
          </w:tcPr>
          <w:p w14:paraId="0ACE95C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-15,190.48</w:t>
            </w:r>
          </w:p>
        </w:tc>
        <w:tc>
          <w:tcPr>
            <w:tcW w:w="1586" w:type="dxa"/>
            <w:shd w:val="clear" w:color="auto" w:fill="auto"/>
            <w:tcMar>
              <w:top w:w="0" w:type="dxa"/>
              <w:left w:w="108" w:type="dxa"/>
              <w:bottom w:w="0" w:type="dxa"/>
              <w:right w:w="108" w:type="dxa"/>
            </w:tcMar>
            <w:vAlign w:val="center"/>
          </w:tcPr>
          <w:p w14:paraId="3254F12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-14,796.74</w:t>
            </w:r>
          </w:p>
        </w:tc>
        <w:tc>
          <w:tcPr>
            <w:tcW w:w="1586" w:type="dxa"/>
            <w:shd w:val="clear" w:color="auto" w:fill="auto"/>
            <w:tcMar>
              <w:top w:w="0" w:type="dxa"/>
              <w:left w:w="108" w:type="dxa"/>
              <w:bottom w:w="0" w:type="dxa"/>
              <w:right w:w="108" w:type="dxa"/>
            </w:tcMar>
            <w:vAlign w:val="center"/>
          </w:tcPr>
          <w:p w14:paraId="7FB504D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393.73</w:t>
            </w:r>
          </w:p>
        </w:tc>
        <w:tc>
          <w:tcPr>
            <w:tcW w:w="1883" w:type="dxa"/>
            <w:shd w:val="clear" w:color="auto" w:fill="auto"/>
            <w:tcMar>
              <w:top w:w="0" w:type="dxa"/>
              <w:left w:w="108" w:type="dxa"/>
              <w:bottom w:w="0" w:type="dxa"/>
              <w:right w:w="108" w:type="dxa"/>
            </w:tcMar>
            <w:vAlign w:val="center"/>
          </w:tcPr>
          <w:p w14:paraId="5E86ABF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2.59%</w:t>
            </w:r>
          </w:p>
        </w:tc>
      </w:tr>
      <w:tr w:rsidR="006416B0" w:rsidRPr="00B4515A" w14:paraId="3AB1EDDE"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2F92DDAF"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利润总额</w:t>
            </w:r>
          </w:p>
        </w:tc>
        <w:tc>
          <w:tcPr>
            <w:tcW w:w="1584" w:type="dxa"/>
            <w:shd w:val="clear" w:color="auto" w:fill="auto"/>
            <w:tcMar>
              <w:top w:w="0" w:type="dxa"/>
              <w:left w:w="108" w:type="dxa"/>
              <w:bottom w:w="0" w:type="dxa"/>
              <w:right w:w="108" w:type="dxa"/>
            </w:tcMar>
            <w:vAlign w:val="center"/>
          </w:tcPr>
          <w:p w14:paraId="304F5F6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-15,164.66</w:t>
            </w:r>
          </w:p>
        </w:tc>
        <w:tc>
          <w:tcPr>
            <w:tcW w:w="1586" w:type="dxa"/>
            <w:shd w:val="clear" w:color="auto" w:fill="auto"/>
            <w:tcMar>
              <w:top w:w="0" w:type="dxa"/>
              <w:left w:w="108" w:type="dxa"/>
              <w:bottom w:w="0" w:type="dxa"/>
              <w:right w:w="108" w:type="dxa"/>
            </w:tcMar>
            <w:vAlign w:val="center"/>
          </w:tcPr>
          <w:p w14:paraId="700C1B0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-14,784.62</w:t>
            </w:r>
          </w:p>
        </w:tc>
        <w:tc>
          <w:tcPr>
            <w:tcW w:w="1586" w:type="dxa"/>
            <w:shd w:val="clear" w:color="auto" w:fill="auto"/>
            <w:tcMar>
              <w:top w:w="0" w:type="dxa"/>
              <w:left w:w="108" w:type="dxa"/>
              <w:bottom w:w="0" w:type="dxa"/>
              <w:right w:w="108" w:type="dxa"/>
            </w:tcMar>
            <w:vAlign w:val="center"/>
          </w:tcPr>
          <w:p w14:paraId="1B74E9B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380.04</w:t>
            </w:r>
          </w:p>
        </w:tc>
        <w:tc>
          <w:tcPr>
            <w:tcW w:w="1883" w:type="dxa"/>
            <w:shd w:val="clear" w:color="auto" w:fill="auto"/>
            <w:tcMar>
              <w:top w:w="0" w:type="dxa"/>
              <w:left w:w="108" w:type="dxa"/>
              <w:bottom w:w="0" w:type="dxa"/>
              <w:right w:w="108" w:type="dxa"/>
            </w:tcMar>
            <w:vAlign w:val="center"/>
          </w:tcPr>
          <w:p w14:paraId="6F3761D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2.51%</w:t>
            </w:r>
          </w:p>
        </w:tc>
      </w:tr>
      <w:tr w:rsidR="006416B0" w:rsidRPr="00B4515A" w14:paraId="11EE657C"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56FF3949"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净利润</w:t>
            </w:r>
          </w:p>
        </w:tc>
        <w:tc>
          <w:tcPr>
            <w:tcW w:w="1584" w:type="dxa"/>
            <w:shd w:val="clear" w:color="auto" w:fill="auto"/>
            <w:tcMar>
              <w:top w:w="0" w:type="dxa"/>
              <w:left w:w="108" w:type="dxa"/>
              <w:bottom w:w="0" w:type="dxa"/>
              <w:right w:w="108" w:type="dxa"/>
            </w:tcMar>
            <w:vAlign w:val="center"/>
          </w:tcPr>
          <w:p w14:paraId="184584F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-14,586.00</w:t>
            </w:r>
          </w:p>
        </w:tc>
        <w:tc>
          <w:tcPr>
            <w:tcW w:w="1586" w:type="dxa"/>
            <w:shd w:val="clear" w:color="auto" w:fill="auto"/>
            <w:tcMar>
              <w:top w:w="0" w:type="dxa"/>
              <w:left w:w="108" w:type="dxa"/>
              <w:bottom w:w="0" w:type="dxa"/>
              <w:right w:w="108" w:type="dxa"/>
            </w:tcMar>
            <w:vAlign w:val="center"/>
          </w:tcPr>
          <w:p w14:paraId="3E0B546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-14,205.96</w:t>
            </w:r>
          </w:p>
        </w:tc>
        <w:tc>
          <w:tcPr>
            <w:tcW w:w="1586" w:type="dxa"/>
            <w:shd w:val="clear" w:color="auto" w:fill="auto"/>
            <w:tcMar>
              <w:top w:w="0" w:type="dxa"/>
              <w:left w:w="108" w:type="dxa"/>
              <w:bottom w:w="0" w:type="dxa"/>
              <w:right w:w="108" w:type="dxa"/>
            </w:tcMar>
            <w:vAlign w:val="center"/>
          </w:tcPr>
          <w:p w14:paraId="53B17DE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380.04</w:t>
            </w:r>
          </w:p>
        </w:tc>
        <w:tc>
          <w:tcPr>
            <w:tcW w:w="1883" w:type="dxa"/>
            <w:shd w:val="clear" w:color="auto" w:fill="auto"/>
            <w:tcMar>
              <w:top w:w="0" w:type="dxa"/>
              <w:left w:w="108" w:type="dxa"/>
              <w:bottom w:w="0" w:type="dxa"/>
              <w:right w:w="108" w:type="dxa"/>
            </w:tcMar>
            <w:vAlign w:val="center"/>
          </w:tcPr>
          <w:p w14:paraId="5B38179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2.61%</w:t>
            </w:r>
          </w:p>
        </w:tc>
      </w:tr>
      <w:tr w:rsidR="006416B0" w:rsidRPr="00B4515A" w14:paraId="585C7A40"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01B8072A"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归属于母公司所有者的净利润</w:t>
            </w:r>
          </w:p>
        </w:tc>
        <w:tc>
          <w:tcPr>
            <w:tcW w:w="1584" w:type="dxa"/>
            <w:shd w:val="clear" w:color="auto" w:fill="auto"/>
            <w:tcMar>
              <w:top w:w="0" w:type="dxa"/>
              <w:left w:w="108" w:type="dxa"/>
              <w:bottom w:w="0" w:type="dxa"/>
              <w:right w:w="108" w:type="dxa"/>
            </w:tcMar>
            <w:vAlign w:val="center"/>
          </w:tcPr>
          <w:p w14:paraId="0BF783D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-9,784.31</w:t>
            </w:r>
          </w:p>
        </w:tc>
        <w:tc>
          <w:tcPr>
            <w:tcW w:w="1586" w:type="dxa"/>
            <w:shd w:val="clear" w:color="auto" w:fill="auto"/>
            <w:tcMar>
              <w:top w:w="0" w:type="dxa"/>
              <w:left w:w="108" w:type="dxa"/>
              <w:bottom w:w="0" w:type="dxa"/>
              <w:right w:w="108" w:type="dxa"/>
            </w:tcMar>
            <w:vAlign w:val="center"/>
          </w:tcPr>
          <w:p w14:paraId="3188AD3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-9,443.36</w:t>
            </w:r>
          </w:p>
        </w:tc>
        <w:tc>
          <w:tcPr>
            <w:tcW w:w="1586" w:type="dxa"/>
            <w:shd w:val="clear" w:color="auto" w:fill="auto"/>
            <w:tcMar>
              <w:top w:w="0" w:type="dxa"/>
              <w:left w:w="108" w:type="dxa"/>
              <w:bottom w:w="0" w:type="dxa"/>
              <w:right w:w="108" w:type="dxa"/>
            </w:tcMar>
            <w:vAlign w:val="center"/>
          </w:tcPr>
          <w:p w14:paraId="6368E71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340.95</w:t>
            </w:r>
          </w:p>
        </w:tc>
        <w:tc>
          <w:tcPr>
            <w:tcW w:w="1883" w:type="dxa"/>
            <w:shd w:val="clear" w:color="auto" w:fill="auto"/>
            <w:tcMar>
              <w:top w:w="0" w:type="dxa"/>
              <w:left w:w="108" w:type="dxa"/>
              <w:bottom w:w="0" w:type="dxa"/>
              <w:right w:w="108" w:type="dxa"/>
            </w:tcMar>
            <w:vAlign w:val="center"/>
          </w:tcPr>
          <w:p w14:paraId="4A77289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3.48%</w:t>
            </w:r>
          </w:p>
        </w:tc>
      </w:tr>
      <w:tr w:rsidR="006416B0" w:rsidRPr="00B4515A" w14:paraId="73C7D9BB" w14:textId="77777777" w:rsidTr="00031627">
        <w:trPr>
          <w:trHeight w:val="340"/>
          <w:jc w:val="center"/>
        </w:trPr>
        <w:tc>
          <w:tcPr>
            <w:tcW w:w="8999" w:type="dxa"/>
            <w:gridSpan w:val="5"/>
            <w:shd w:val="clear" w:color="auto" w:fill="auto"/>
            <w:tcMar>
              <w:top w:w="0" w:type="dxa"/>
              <w:left w:w="108" w:type="dxa"/>
              <w:bottom w:w="0" w:type="dxa"/>
              <w:right w:w="108" w:type="dxa"/>
            </w:tcMar>
            <w:vAlign w:val="center"/>
          </w:tcPr>
          <w:p w14:paraId="6ECAC3D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2020 </w:t>
            </w:r>
            <w:r w:rsidRPr="00B4515A">
              <w:rPr>
                <w:rFonts w:ascii="Times New Roman" w:eastAsiaTheme="minorEastAsia" w:hAnsi="Times New Roman" w:cs="Times New Roman" w:hint="eastAsia"/>
                <w:b/>
                <w:bCs/>
                <w:color w:val="000000"/>
                <w:sz w:val="21"/>
                <w:szCs w:val="21"/>
              </w:rPr>
              <w:t>年度</w:t>
            </w:r>
          </w:p>
        </w:tc>
      </w:tr>
      <w:tr w:rsidR="006416B0" w:rsidRPr="00B4515A" w14:paraId="3283EB65" w14:textId="77777777" w:rsidTr="00031627">
        <w:trPr>
          <w:trHeight w:val="340"/>
          <w:jc w:val="center"/>
        </w:trPr>
        <w:tc>
          <w:tcPr>
            <w:tcW w:w="2360" w:type="dxa"/>
            <w:vMerge w:val="restart"/>
            <w:shd w:val="clear" w:color="auto" w:fill="auto"/>
            <w:tcMar>
              <w:top w:w="0" w:type="dxa"/>
              <w:left w:w="108" w:type="dxa"/>
              <w:bottom w:w="0" w:type="dxa"/>
              <w:right w:w="108" w:type="dxa"/>
            </w:tcMar>
            <w:vAlign w:val="center"/>
          </w:tcPr>
          <w:p w14:paraId="54F8D7D7"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584" w:type="dxa"/>
            <w:shd w:val="clear" w:color="auto" w:fill="auto"/>
            <w:tcMar>
              <w:top w:w="0" w:type="dxa"/>
              <w:left w:w="108" w:type="dxa"/>
              <w:bottom w:w="0" w:type="dxa"/>
              <w:right w:w="108" w:type="dxa"/>
            </w:tcMar>
            <w:vAlign w:val="center"/>
          </w:tcPr>
          <w:p w14:paraId="697D252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交易前</w:t>
            </w:r>
          </w:p>
        </w:tc>
        <w:tc>
          <w:tcPr>
            <w:tcW w:w="1586" w:type="dxa"/>
            <w:shd w:val="clear" w:color="auto" w:fill="auto"/>
            <w:tcMar>
              <w:top w:w="0" w:type="dxa"/>
              <w:left w:w="108" w:type="dxa"/>
              <w:bottom w:w="0" w:type="dxa"/>
              <w:right w:w="108" w:type="dxa"/>
            </w:tcMar>
            <w:vAlign w:val="center"/>
          </w:tcPr>
          <w:p w14:paraId="01071F0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交易后</w:t>
            </w:r>
          </w:p>
          <w:p w14:paraId="093E7C4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lastRenderedPageBreak/>
              <w:t>（备考）</w:t>
            </w:r>
          </w:p>
        </w:tc>
        <w:tc>
          <w:tcPr>
            <w:tcW w:w="3469" w:type="dxa"/>
            <w:gridSpan w:val="2"/>
            <w:shd w:val="clear" w:color="auto" w:fill="auto"/>
            <w:tcMar>
              <w:top w:w="0" w:type="dxa"/>
              <w:left w:w="108" w:type="dxa"/>
              <w:bottom w:w="0" w:type="dxa"/>
              <w:right w:w="108" w:type="dxa"/>
            </w:tcMar>
            <w:vAlign w:val="center"/>
          </w:tcPr>
          <w:p w14:paraId="3D31973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lastRenderedPageBreak/>
              <w:t>变化情况</w:t>
            </w:r>
          </w:p>
        </w:tc>
      </w:tr>
      <w:tr w:rsidR="006416B0" w:rsidRPr="00B4515A" w14:paraId="249CA09F" w14:textId="77777777" w:rsidTr="00031627">
        <w:trPr>
          <w:trHeight w:val="340"/>
          <w:jc w:val="center"/>
        </w:trPr>
        <w:tc>
          <w:tcPr>
            <w:tcW w:w="2360" w:type="dxa"/>
            <w:vMerge/>
            <w:shd w:val="clear" w:color="auto" w:fill="auto"/>
            <w:tcMar>
              <w:top w:w="0" w:type="dxa"/>
              <w:left w:w="108" w:type="dxa"/>
              <w:bottom w:w="0" w:type="dxa"/>
              <w:right w:w="108" w:type="dxa"/>
            </w:tcMar>
            <w:vAlign w:val="center"/>
          </w:tcPr>
          <w:p w14:paraId="09EA56F7"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1584" w:type="dxa"/>
            <w:shd w:val="clear" w:color="auto" w:fill="auto"/>
            <w:tcMar>
              <w:top w:w="0" w:type="dxa"/>
              <w:left w:w="108" w:type="dxa"/>
              <w:bottom w:w="0" w:type="dxa"/>
              <w:right w:w="108" w:type="dxa"/>
            </w:tcMar>
            <w:vAlign w:val="center"/>
          </w:tcPr>
          <w:p w14:paraId="7E16E9F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586" w:type="dxa"/>
            <w:shd w:val="clear" w:color="auto" w:fill="auto"/>
            <w:tcMar>
              <w:top w:w="0" w:type="dxa"/>
              <w:left w:w="108" w:type="dxa"/>
              <w:bottom w:w="0" w:type="dxa"/>
              <w:right w:w="108" w:type="dxa"/>
            </w:tcMar>
            <w:vAlign w:val="center"/>
          </w:tcPr>
          <w:p w14:paraId="501A975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586" w:type="dxa"/>
            <w:shd w:val="clear" w:color="auto" w:fill="auto"/>
            <w:tcMar>
              <w:top w:w="0" w:type="dxa"/>
              <w:left w:w="108" w:type="dxa"/>
              <w:bottom w:w="0" w:type="dxa"/>
              <w:right w:w="108" w:type="dxa"/>
            </w:tcMar>
            <w:vAlign w:val="center"/>
          </w:tcPr>
          <w:p w14:paraId="272C28E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883" w:type="dxa"/>
            <w:shd w:val="clear" w:color="auto" w:fill="auto"/>
            <w:tcMar>
              <w:top w:w="0" w:type="dxa"/>
              <w:left w:w="108" w:type="dxa"/>
              <w:bottom w:w="0" w:type="dxa"/>
              <w:right w:w="108" w:type="dxa"/>
            </w:tcMar>
            <w:vAlign w:val="center"/>
          </w:tcPr>
          <w:p w14:paraId="64296F3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变化率</w:t>
            </w:r>
          </w:p>
        </w:tc>
      </w:tr>
      <w:tr w:rsidR="006416B0" w:rsidRPr="00B4515A" w14:paraId="613105A7"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27CAAF1B"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营业收入</w:t>
            </w:r>
          </w:p>
        </w:tc>
        <w:tc>
          <w:tcPr>
            <w:tcW w:w="1584" w:type="dxa"/>
            <w:shd w:val="clear" w:color="auto" w:fill="auto"/>
            <w:tcMar>
              <w:top w:w="0" w:type="dxa"/>
              <w:left w:w="108" w:type="dxa"/>
              <w:bottom w:w="0" w:type="dxa"/>
              <w:right w:w="108" w:type="dxa"/>
            </w:tcMar>
            <w:vAlign w:val="center"/>
          </w:tcPr>
          <w:p w14:paraId="25AC734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120,721.15</w:t>
            </w:r>
          </w:p>
        </w:tc>
        <w:tc>
          <w:tcPr>
            <w:tcW w:w="1586" w:type="dxa"/>
            <w:shd w:val="clear" w:color="auto" w:fill="auto"/>
            <w:tcMar>
              <w:top w:w="0" w:type="dxa"/>
              <w:left w:w="108" w:type="dxa"/>
              <w:bottom w:w="0" w:type="dxa"/>
              <w:right w:w="108" w:type="dxa"/>
            </w:tcMar>
            <w:vAlign w:val="center"/>
          </w:tcPr>
          <w:p w14:paraId="63CE53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162,630.87</w:t>
            </w:r>
          </w:p>
        </w:tc>
        <w:tc>
          <w:tcPr>
            <w:tcW w:w="1586" w:type="dxa"/>
            <w:shd w:val="clear" w:color="auto" w:fill="auto"/>
            <w:tcMar>
              <w:top w:w="0" w:type="dxa"/>
              <w:left w:w="108" w:type="dxa"/>
              <w:bottom w:w="0" w:type="dxa"/>
              <w:right w:w="108" w:type="dxa"/>
            </w:tcMar>
            <w:vAlign w:val="center"/>
          </w:tcPr>
          <w:p w14:paraId="7D5E0D1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41,909.72</w:t>
            </w:r>
          </w:p>
        </w:tc>
        <w:tc>
          <w:tcPr>
            <w:tcW w:w="1883" w:type="dxa"/>
            <w:shd w:val="clear" w:color="auto" w:fill="auto"/>
            <w:tcMar>
              <w:top w:w="0" w:type="dxa"/>
              <w:left w:w="108" w:type="dxa"/>
              <w:bottom w:w="0" w:type="dxa"/>
              <w:right w:w="108" w:type="dxa"/>
            </w:tcMar>
            <w:vAlign w:val="center"/>
          </w:tcPr>
          <w:p w14:paraId="1C28B83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34.72%</w:t>
            </w:r>
          </w:p>
        </w:tc>
      </w:tr>
      <w:tr w:rsidR="006416B0" w:rsidRPr="00B4515A" w14:paraId="4D08305A"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30B2BD6C"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营业成本</w:t>
            </w:r>
          </w:p>
        </w:tc>
        <w:tc>
          <w:tcPr>
            <w:tcW w:w="1584" w:type="dxa"/>
            <w:shd w:val="clear" w:color="auto" w:fill="auto"/>
            <w:tcMar>
              <w:top w:w="0" w:type="dxa"/>
              <w:left w:w="108" w:type="dxa"/>
              <w:bottom w:w="0" w:type="dxa"/>
              <w:right w:w="108" w:type="dxa"/>
            </w:tcMar>
            <w:vAlign w:val="center"/>
          </w:tcPr>
          <w:p w14:paraId="5419A55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82,040.26</w:t>
            </w:r>
          </w:p>
        </w:tc>
        <w:tc>
          <w:tcPr>
            <w:tcW w:w="1586" w:type="dxa"/>
            <w:shd w:val="clear" w:color="auto" w:fill="auto"/>
            <w:tcMar>
              <w:top w:w="0" w:type="dxa"/>
              <w:left w:w="108" w:type="dxa"/>
              <w:bottom w:w="0" w:type="dxa"/>
              <w:right w:w="108" w:type="dxa"/>
            </w:tcMar>
            <w:vAlign w:val="center"/>
          </w:tcPr>
          <w:p w14:paraId="76E8AA8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96,822.48</w:t>
            </w:r>
          </w:p>
        </w:tc>
        <w:tc>
          <w:tcPr>
            <w:tcW w:w="1586" w:type="dxa"/>
            <w:shd w:val="clear" w:color="auto" w:fill="auto"/>
            <w:tcMar>
              <w:top w:w="0" w:type="dxa"/>
              <w:left w:w="108" w:type="dxa"/>
              <w:bottom w:w="0" w:type="dxa"/>
              <w:right w:w="108" w:type="dxa"/>
            </w:tcMar>
            <w:vAlign w:val="center"/>
          </w:tcPr>
          <w:p w14:paraId="56E4136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14,782.22</w:t>
            </w:r>
          </w:p>
        </w:tc>
        <w:tc>
          <w:tcPr>
            <w:tcW w:w="1883" w:type="dxa"/>
            <w:shd w:val="clear" w:color="auto" w:fill="auto"/>
            <w:tcMar>
              <w:top w:w="0" w:type="dxa"/>
              <w:left w:w="108" w:type="dxa"/>
              <w:bottom w:w="0" w:type="dxa"/>
              <w:right w:w="108" w:type="dxa"/>
            </w:tcMar>
            <w:vAlign w:val="center"/>
          </w:tcPr>
          <w:p w14:paraId="06C84B9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18.02%</w:t>
            </w:r>
          </w:p>
        </w:tc>
      </w:tr>
      <w:tr w:rsidR="006416B0" w:rsidRPr="00B4515A" w14:paraId="5279AF40"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4E33C064"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营业利润</w:t>
            </w:r>
          </w:p>
        </w:tc>
        <w:tc>
          <w:tcPr>
            <w:tcW w:w="1584" w:type="dxa"/>
            <w:shd w:val="clear" w:color="auto" w:fill="auto"/>
            <w:tcMar>
              <w:top w:w="0" w:type="dxa"/>
              <w:left w:w="108" w:type="dxa"/>
              <w:bottom w:w="0" w:type="dxa"/>
              <w:right w:w="108" w:type="dxa"/>
            </w:tcMar>
            <w:vAlign w:val="center"/>
          </w:tcPr>
          <w:p w14:paraId="3268920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-160,274.33</w:t>
            </w:r>
          </w:p>
        </w:tc>
        <w:tc>
          <w:tcPr>
            <w:tcW w:w="1586" w:type="dxa"/>
            <w:shd w:val="clear" w:color="auto" w:fill="auto"/>
            <w:tcMar>
              <w:top w:w="0" w:type="dxa"/>
              <w:left w:w="108" w:type="dxa"/>
              <w:bottom w:w="0" w:type="dxa"/>
              <w:right w:w="108" w:type="dxa"/>
            </w:tcMar>
            <w:vAlign w:val="center"/>
          </w:tcPr>
          <w:p w14:paraId="70B7A86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-155,847.49</w:t>
            </w:r>
          </w:p>
        </w:tc>
        <w:tc>
          <w:tcPr>
            <w:tcW w:w="1586" w:type="dxa"/>
            <w:shd w:val="clear" w:color="auto" w:fill="auto"/>
            <w:tcMar>
              <w:top w:w="0" w:type="dxa"/>
              <w:left w:w="108" w:type="dxa"/>
              <w:bottom w:w="0" w:type="dxa"/>
              <w:right w:w="108" w:type="dxa"/>
            </w:tcMar>
            <w:vAlign w:val="center"/>
          </w:tcPr>
          <w:p w14:paraId="50C473A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4,426.84</w:t>
            </w:r>
          </w:p>
        </w:tc>
        <w:tc>
          <w:tcPr>
            <w:tcW w:w="1883" w:type="dxa"/>
            <w:shd w:val="clear" w:color="auto" w:fill="auto"/>
            <w:tcMar>
              <w:top w:w="0" w:type="dxa"/>
              <w:left w:w="108" w:type="dxa"/>
              <w:bottom w:w="0" w:type="dxa"/>
              <w:right w:w="108" w:type="dxa"/>
            </w:tcMar>
            <w:vAlign w:val="center"/>
          </w:tcPr>
          <w:p w14:paraId="1B95877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2.76%</w:t>
            </w:r>
          </w:p>
        </w:tc>
      </w:tr>
      <w:tr w:rsidR="006416B0" w:rsidRPr="00B4515A" w14:paraId="4EF957DF"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214502BE"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利润总额</w:t>
            </w:r>
          </w:p>
        </w:tc>
        <w:tc>
          <w:tcPr>
            <w:tcW w:w="1584" w:type="dxa"/>
            <w:shd w:val="clear" w:color="auto" w:fill="auto"/>
            <w:tcMar>
              <w:top w:w="0" w:type="dxa"/>
              <w:left w:w="108" w:type="dxa"/>
              <w:bottom w:w="0" w:type="dxa"/>
              <w:right w:w="108" w:type="dxa"/>
            </w:tcMar>
            <w:vAlign w:val="center"/>
          </w:tcPr>
          <w:p w14:paraId="6F86FA5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-168,793.47</w:t>
            </w:r>
          </w:p>
        </w:tc>
        <w:tc>
          <w:tcPr>
            <w:tcW w:w="1586" w:type="dxa"/>
            <w:shd w:val="clear" w:color="auto" w:fill="auto"/>
            <w:tcMar>
              <w:top w:w="0" w:type="dxa"/>
              <w:left w:w="108" w:type="dxa"/>
              <w:bottom w:w="0" w:type="dxa"/>
              <w:right w:w="108" w:type="dxa"/>
            </w:tcMar>
            <w:vAlign w:val="center"/>
          </w:tcPr>
          <w:p w14:paraId="283F4BE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-164,212.51</w:t>
            </w:r>
          </w:p>
        </w:tc>
        <w:tc>
          <w:tcPr>
            <w:tcW w:w="1586" w:type="dxa"/>
            <w:shd w:val="clear" w:color="auto" w:fill="auto"/>
            <w:tcMar>
              <w:top w:w="0" w:type="dxa"/>
              <w:left w:w="108" w:type="dxa"/>
              <w:bottom w:w="0" w:type="dxa"/>
              <w:right w:w="108" w:type="dxa"/>
            </w:tcMar>
            <w:vAlign w:val="center"/>
          </w:tcPr>
          <w:p w14:paraId="1F4FA47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4,580.96</w:t>
            </w:r>
          </w:p>
        </w:tc>
        <w:tc>
          <w:tcPr>
            <w:tcW w:w="1883" w:type="dxa"/>
            <w:shd w:val="clear" w:color="auto" w:fill="auto"/>
            <w:tcMar>
              <w:top w:w="0" w:type="dxa"/>
              <w:left w:w="108" w:type="dxa"/>
              <w:bottom w:w="0" w:type="dxa"/>
              <w:right w:w="108" w:type="dxa"/>
            </w:tcMar>
            <w:vAlign w:val="center"/>
          </w:tcPr>
          <w:p w14:paraId="4D65A1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2.71%</w:t>
            </w:r>
          </w:p>
        </w:tc>
      </w:tr>
      <w:tr w:rsidR="006416B0" w:rsidRPr="00B4515A" w14:paraId="30475DC3"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4EACEBEA"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净利润</w:t>
            </w:r>
          </w:p>
        </w:tc>
        <w:tc>
          <w:tcPr>
            <w:tcW w:w="1584" w:type="dxa"/>
            <w:shd w:val="clear" w:color="auto" w:fill="auto"/>
            <w:tcMar>
              <w:top w:w="0" w:type="dxa"/>
              <w:left w:w="108" w:type="dxa"/>
              <w:bottom w:w="0" w:type="dxa"/>
              <w:right w:w="108" w:type="dxa"/>
            </w:tcMar>
            <w:vAlign w:val="center"/>
          </w:tcPr>
          <w:p w14:paraId="5AE34B0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-173,763.40</w:t>
            </w:r>
          </w:p>
        </w:tc>
        <w:tc>
          <w:tcPr>
            <w:tcW w:w="1586" w:type="dxa"/>
            <w:shd w:val="clear" w:color="auto" w:fill="auto"/>
            <w:tcMar>
              <w:top w:w="0" w:type="dxa"/>
              <w:left w:w="108" w:type="dxa"/>
              <w:bottom w:w="0" w:type="dxa"/>
              <w:right w:w="108" w:type="dxa"/>
            </w:tcMar>
            <w:vAlign w:val="center"/>
          </w:tcPr>
          <w:p w14:paraId="5CC2D96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-169,182.44</w:t>
            </w:r>
          </w:p>
        </w:tc>
        <w:tc>
          <w:tcPr>
            <w:tcW w:w="1586" w:type="dxa"/>
            <w:shd w:val="clear" w:color="auto" w:fill="auto"/>
            <w:tcMar>
              <w:top w:w="0" w:type="dxa"/>
              <w:left w:w="108" w:type="dxa"/>
              <w:bottom w:w="0" w:type="dxa"/>
              <w:right w:w="108" w:type="dxa"/>
            </w:tcMar>
            <w:vAlign w:val="center"/>
          </w:tcPr>
          <w:p w14:paraId="3A1C5B8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4,580.96</w:t>
            </w:r>
          </w:p>
        </w:tc>
        <w:tc>
          <w:tcPr>
            <w:tcW w:w="1883" w:type="dxa"/>
            <w:shd w:val="clear" w:color="auto" w:fill="auto"/>
            <w:tcMar>
              <w:top w:w="0" w:type="dxa"/>
              <w:left w:w="108" w:type="dxa"/>
              <w:bottom w:w="0" w:type="dxa"/>
              <w:right w:w="108" w:type="dxa"/>
            </w:tcMar>
            <w:vAlign w:val="center"/>
          </w:tcPr>
          <w:p w14:paraId="6CEF381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2.64%</w:t>
            </w:r>
          </w:p>
        </w:tc>
      </w:tr>
      <w:tr w:rsidR="006416B0" w:rsidRPr="00B4515A" w14:paraId="166962D9"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3CE4DD7A"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归属于母公司所有者的净利润</w:t>
            </w:r>
          </w:p>
        </w:tc>
        <w:tc>
          <w:tcPr>
            <w:tcW w:w="1584" w:type="dxa"/>
            <w:shd w:val="clear" w:color="auto" w:fill="auto"/>
            <w:tcMar>
              <w:top w:w="0" w:type="dxa"/>
              <w:left w:w="108" w:type="dxa"/>
              <w:bottom w:w="0" w:type="dxa"/>
              <w:right w:w="108" w:type="dxa"/>
            </w:tcMar>
            <w:vAlign w:val="center"/>
          </w:tcPr>
          <w:p w14:paraId="331170C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-136,381.11</w:t>
            </w:r>
          </w:p>
        </w:tc>
        <w:tc>
          <w:tcPr>
            <w:tcW w:w="1586" w:type="dxa"/>
            <w:shd w:val="clear" w:color="auto" w:fill="auto"/>
            <w:tcMar>
              <w:top w:w="0" w:type="dxa"/>
              <w:left w:w="108" w:type="dxa"/>
              <w:bottom w:w="0" w:type="dxa"/>
              <w:right w:w="108" w:type="dxa"/>
            </w:tcMar>
            <w:vAlign w:val="center"/>
          </w:tcPr>
          <w:p w14:paraId="3F206BD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-132,112.46</w:t>
            </w:r>
          </w:p>
        </w:tc>
        <w:tc>
          <w:tcPr>
            <w:tcW w:w="1586" w:type="dxa"/>
            <w:shd w:val="clear" w:color="auto" w:fill="auto"/>
            <w:tcMar>
              <w:top w:w="0" w:type="dxa"/>
              <w:left w:w="108" w:type="dxa"/>
              <w:bottom w:w="0" w:type="dxa"/>
              <w:right w:w="108" w:type="dxa"/>
            </w:tcMar>
            <w:vAlign w:val="center"/>
          </w:tcPr>
          <w:p w14:paraId="59D6FAD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4,268.65</w:t>
            </w:r>
          </w:p>
        </w:tc>
        <w:tc>
          <w:tcPr>
            <w:tcW w:w="1883" w:type="dxa"/>
            <w:shd w:val="clear" w:color="auto" w:fill="auto"/>
            <w:tcMar>
              <w:top w:w="0" w:type="dxa"/>
              <w:left w:w="108" w:type="dxa"/>
              <w:bottom w:w="0" w:type="dxa"/>
              <w:right w:w="108" w:type="dxa"/>
            </w:tcMar>
            <w:vAlign w:val="center"/>
          </w:tcPr>
          <w:p w14:paraId="2762DA9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3.13%</w:t>
            </w:r>
          </w:p>
        </w:tc>
      </w:tr>
    </w:tbl>
    <w:p w14:paraId="6401DFF1" w14:textId="77777777" w:rsidR="006416B0" w:rsidRPr="00B4515A" w:rsidRDefault="005E58C1" w:rsidP="003357B7">
      <w:pPr>
        <w:pStyle w:val="005"/>
        <w:spacing w:before="120" w:after="120"/>
        <w:ind w:firstLine="480"/>
      </w:pPr>
      <w:r w:rsidRPr="00B4515A">
        <w:t>由上表可见，本次交易完成后，</w:t>
      </w:r>
      <w:r w:rsidRPr="00B4515A">
        <w:t>2020</w:t>
      </w:r>
      <w:r w:rsidRPr="00B4515A">
        <w:t>年度、</w:t>
      </w:r>
      <w:r w:rsidRPr="00B4515A">
        <w:t>2021</w:t>
      </w:r>
      <w:r w:rsidRPr="00B4515A">
        <w:t>年</w:t>
      </w:r>
      <w:r w:rsidRPr="00B4515A">
        <w:t>1-4</w:t>
      </w:r>
      <w:r w:rsidRPr="00B4515A">
        <w:t>月上市公司的营业收入、净利润、每股收益均有提升，本次交易有利于增强上市公司财务稳健性和盈利能力。</w:t>
      </w:r>
    </w:p>
    <w:p w14:paraId="36F91AD6" w14:textId="77777777" w:rsidR="006416B0" w:rsidRPr="00B4515A" w:rsidRDefault="005E58C1" w:rsidP="003357B7">
      <w:pPr>
        <w:pStyle w:val="003"/>
        <w:spacing w:before="120"/>
        <w:ind w:firstLine="482"/>
      </w:pPr>
      <w:r w:rsidRPr="00B4515A">
        <w:rPr>
          <w:rFonts w:hint="eastAsia"/>
        </w:rPr>
        <w:t>（二）交易完成后的财务状况分析</w:t>
      </w:r>
    </w:p>
    <w:p w14:paraId="0D874801" w14:textId="77777777" w:rsidR="006416B0" w:rsidRPr="00B4515A" w:rsidRDefault="005E58C1" w:rsidP="003357B7">
      <w:pPr>
        <w:pStyle w:val="004"/>
        <w:spacing w:before="120" w:after="120"/>
        <w:ind w:firstLine="482"/>
      </w:pPr>
      <w:r w:rsidRPr="00B4515A">
        <w:rPr>
          <w:rFonts w:hint="eastAsia"/>
        </w:rPr>
        <w:t>1</w:t>
      </w:r>
      <w:r w:rsidRPr="00B4515A">
        <w:rPr>
          <w:rFonts w:hint="eastAsia"/>
        </w:rPr>
        <w:t>、资产的主要构成及分析</w:t>
      </w:r>
    </w:p>
    <w:p w14:paraId="19E2140D" w14:textId="77777777" w:rsidR="006416B0" w:rsidRPr="00B4515A" w:rsidRDefault="005E58C1" w:rsidP="003357B7">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747"/>
        <w:gridCol w:w="1169"/>
        <w:gridCol w:w="1004"/>
        <w:gridCol w:w="8"/>
        <w:gridCol w:w="1155"/>
        <w:gridCol w:w="1004"/>
        <w:gridCol w:w="1355"/>
        <w:gridCol w:w="1086"/>
      </w:tblGrid>
      <w:tr w:rsidR="006416B0" w:rsidRPr="00B4515A" w14:paraId="42E33D1D" w14:textId="77777777" w:rsidTr="003357B7">
        <w:trPr>
          <w:trHeight w:val="340"/>
          <w:jc w:val="center"/>
        </w:trPr>
        <w:tc>
          <w:tcPr>
            <w:tcW w:w="5000" w:type="pct"/>
            <w:gridSpan w:val="8"/>
            <w:shd w:val="clear" w:color="auto" w:fill="auto"/>
            <w:tcMar>
              <w:top w:w="0" w:type="dxa"/>
              <w:left w:w="108" w:type="dxa"/>
              <w:bottom w:w="0" w:type="dxa"/>
              <w:right w:w="108" w:type="dxa"/>
            </w:tcMar>
            <w:vAlign w:val="center"/>
          </w:tcPr>
          <w:p w14:paraId="1127E75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2021 </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 xml:space="preserve"> 4 </w:t>
            </w:r>
            <w:r w:rsidRPr="00B4515A">
              <w:rPr>
                <w:rFonts w:ascii="Times New Roman" w:eastAsiaTheme="minorEastAsia" w:hAnsi="Times New Roman" w:cs="Times New Roman" w:hint="eastAsia"/>
                <w:b/>
                <w:bCs/>
                <w:color w:val="000000"/>
                <w:sz w:val="21"/>
                <w:szCs w:val="21"/>
              </w:rPr>
              <w:t>月</w:t>
            </w:r>
            <w:r w:rsidRPr="00B4515A">
              <w:rPr>
                <w:rFonts w:ascii="Times New Roman" w:eastAsiaTheme="minorEastAsia" w:hAnsi="Times New Roman" w:cs="Times New Roman"/>
                <w:b/>
                <w:bCs/>
                <w:color w:val="000000"/>
                <w:sz w:val="21"/>
                <w:szCs w:val="21"/>
              </w:rPr>
              <w:t xml:space="preserve"> 30 </w:t>
            </w:r>
            <w:r w:rsidRPr="00B4515A">
              <w:rPr>
                <w:rFonts w:ascii="Times New Roman" w:eastAsiaTheme="minorEastAsia" w:hAnsi="Times New Roman" w:cs="Times New Roman" w:hint="eastAsia"/>
                <w:b/>
                <w:bCs/>
                <w:color w:val="000000"/>
                <w:sz w:val="21"/>
                <w:szCs w:val="21"/>
              </w:rPr>
              <w:t>日</w:t>
            </w:r>
          </w:p>
        </w:tc>
      </w:tr>
      <w:tr w:rsidR="006416B0" w:rsidRPr="00B4515A" w14:paraId="526CD15B" w14:textId="77777777" w:rsidTr="003357B7">
        <w:trPr>
          <w:trHeight w:val="340"/>
          <w:jc w:val="center"/>
        </w:trPr>
        <w:tc>
          <w:tcPr>
            <w:tcW w:w="1083" w:type="pct"/>
            <w:vMerge w:val="restart"/>
            <w:shd w:val="clear" w:color="auto" w:fill="auto"/>
            <w:tcMar>
              <w:top w:w="0" w:type="dxa"/>
              <w:left w:w="108" w:type="dxa"/>
              <w:bottom w:w="0" w:type="dxa"/>
              <w:right w:w="108" w:type="dxa"/>
            </w:tcMar>
            <w:vAlign w:val="center"/>
          </w:tcPr>
          <w:p w14:paraId="22AC5E1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255" w:type="pct"/>
            <w:gridSpan w:val="3"/>
            <w:shd w:val="clear" w:color="auto" w:fill="auto"/>
            <w:tcMar>
              <w:top w:w="0" w:type="dxa"/>
              <w:left w:w="108" w:type="dxa"/>
              <w:bottom w:w="0" w:type="dxa"/>
              <w:right w:w="108" w:type="dxa"/>
            </w:tcMar>
            <w:vAlign w:val="center"/>
          </w:tcPr>
          <w:p w14:paraId="49A1BEE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交易前</w:t>
            </w:r>
          </w:p>
        </w:tc>
        <w:tc>
          <w:tcPr>
            <w:tcW w:w="1114" w:type="pct"/>
            <w:gridSpan w:val="2"/>
            <w:shd w:val="clear" w:color="auto" w:fill="auto"/>
            <w:tcMar>
              <w:top w:w="0" w:type="dxa"/>
              <w:left w:w="108" w:type="dxa"/>
              <w:bottom w:w="0" w:type="dxa"/>
              <w:right w:w="108" w:type="dxa"/>
            </w:tcMar>
            <w:vAlign w:val="center"/>
          </w:tcPr>
          <w:p w14:paraId="5D250F5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交易后（备考）</w:t>
            </w:r>
          </w:p>
        </w:tc>
        <w:tc>
          <w:tcPr>
            <w:tcW w:w="1547" w:type="pct"/>
            <w:gridSpan w:val="2"/>
            <w:shd w:val="clear" w:color="auto" w:fill="auto"/>
            <w:tcMar>
              <w:top w:w="0" w:type="dxa"/>
              <w:left w:w="108" w:type="dxa"/>
              <w:bottom w:w="0" w:type="dxa"/>
              <w:right w:w="108" w:type="dxa"/>
            </w:tcMar>
            <w:vAlign w:val="center"/>
          </w:tcPr>
          <w:p w14:paraId="71C94BC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变化情况</w:t>
            </w:r>
          </w:p>
        </w:tc>
      </w:tr>
      <w:tr w:rsidR="006416B0" w:rsidRPr="00B4515A" w14:paraId="0442A12C" w14:textId="77777777" w:rsidTr="003357B7">
        <w:trPr>
          <w:trHeight w:val="340"/>
          <w:jc w:val="center"/>
        </w:trPr>
        <w:tc>
          <w:tcPr>
            <w:tcW w:w="1083" w:type="pct"/>
            <w:vMerge/>
            <w:shd w:val="clear" w:color="auto" w:fill="auto"/>
            <w:tcMar>
              <w:top w:w="0" w:type="dxa"/>
              <w:left w:w="108" w:type="dxa"/>
              <w:bottom w:w="0" w:type="dxa"/>
              <w:right w:w="108" w:type="dxa"/>
            </w:tcMar>
            <w:vAlign w:val="center"/>
          </w:tcPr>
          <w:p w14:paraId="33A87596"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744" w:type="pct"/>
            <w:shd w:val="clear" w:color="auto" w:fill="auto"/>
            <w:tcMar>
              <w:top w:w="0" w:type="dxa"/>
              <w:left w:w="108" w:type="dxa"/>
              <w:bottom w:w="0" w:type="dxa"/>
              <w:right w:w="108" w:type="dxa"/>
            </w:tcMar>
            <w:vAlign w:val="center"/>
          </w:tcPr>
          <w:p w14:paraId="60B3DA0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508" w:type="pct"/>
            <w:shd w:val="clear" w:color="auto" w:fill="auto"/>
            <w:tcMar>
              <w:top w:w="0" w:type="dxa"/>
              <w:left w:w="108" w:type="dxa"/>
              <w:bottom w:w="0" w:type="dxa"/>
              <w:right w:w="108" w:type="dxa"/>
            </w:tcMar>
            <w:vAlign w:val="center"/>
          </w:tcPr>
          <w:p w14:paraId="6EC1076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606" w:type="pct"/>
            <w:gridSpan w:val="2"/>
            <w:shd w:val="clear" w:color="auto" w:fill="auto"/>
            <w:tcMar>
              <w:top w:w="0" w:type="dxa"/>
              <w:left w:w="108" w:type="dxa"/>
              <w:bottom w:w="0" w:type="dxa"/>
              <w:right w:w="108" w:type="dxa"/>
            </w:tcMar>
            <w:vAlign w:val="center"/>
          </w:tcPr>
          <w:p w14:paraId="7E45DCB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511" w:type="pct"/>
            <w:shd w:val="clear" w:color="auto" w:fill="auto"/>
            <w:tcMar>
              <w:top w:w="0" w:type="dxa"/>
              <w:left w:w="108" w:type="dxa"/>
              <w:bottom w:w="0" w:type="dxa"/>
              <w:right w:w="108" w:type="dxa"/>
            </w:tcMar>
            <w:vAlign w:val="center"/>
          </w:tcPr>
          <w:p w14:paraId="59318B0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853" w:type="pct"/>
            <w:shd w:val="clear" w:color="auto" w:fill="auto"/>
            <w:tcMar>
              <w:top w:w="0" w:type="dxa"/>
              <w:left w:w="108" w:type="dxa"/>
              <w:bottom w:w="0" w:type="dxa"/>
              <w:right w:w="108" w:type="dxa"/>
            </w:tcMar>
            <w:vAlign w:val="center"/>
          </w:tcPr>
          <w:p w14:paraId="5CAFAC6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94" w:type="pct"/>
            <w:shd w:val="clear" w:color="auto" w:fill="auto"/>
            <w:tcMar>
              <w:top w:w="0" w:type="dxa"/>
              <w:left w:w="108" w:type="dxa"/>
              <w:bottom w:w="0" w:type="dxa"/>
              <w:right w:w="108" w:type="dxa"/>
            </w:tcMar>
            <w:vAlign w:val="center"/>
          </w:tcPr>
          <w:p w14:paraId="5A7637A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变化率</w:t>
            </w:r>
          </w:p>
        </w:tc>
      </w:tr>
      <w:tr w:rsidR="006416B0" w:rsidRPr="00B4515A" w14:paraId="556A0E76"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0B2DC6BE"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流动资产：</w:t>
            </w:r>
          </w:p>
        </w:tc>
        <w:tc>
          <w:tcPr>
            <w:tcW w:w="744" w:type="pct"/>
            <w:shd w:val="clear" w:color="auto" w:fill="auto"/>
            <w:tcMar>
              <w:top w:w="0" w:type="dxa"/>
              <w:left w:w="108" w:type="dxa"/>
              <w:bottom w:w="0" w:type="dxa"/>
              <w:right w:w="108" w:type="dxa"/>
            </w:tcMar>
            <w:vAlign w:val="center"/>
          </w:tcPr>
          <w:p w14:paraId="762E0B83"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508" w:type="pct"/>
            <w:shd w:val="clear" w:color="auto" w:fill="auto"/>
            <w:tcMar>
              <w:top w:w="0" w:type="dxa"/>
              <w:left w:w="108" w:type="dxa"/>
              <w:bottom w:w="0" w:type="dxa"/>
              <w:right w:w="108" w:type="dxa"/>
            </w:tcMar>
            <w:vAlign w:val="center"/>
          </w:tcPr>
          <w:p w14:paraId="5F7C8C09"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606" w:type="pct"/>
            <w:gridSpan w:val="2"/>
            <w:shd w:val="clear" w:color="auto" w:fill="auto"/>
            <w:tcMar>
              <w:top w:w="0" w:type="dxa"/>
              <w:left w:w="108" w:type="dxa"/>
              <w:bottom w:w="0" w:type="dxa"/>
              <w:right w:w="108" w:type="dxa"/>
            </w:tcMar>
            <w:vAlign w:val="center"/>
          </w:tcPr>
          <w:p w14:paraId="48152164"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511" w:type="pct"/>
            <w:shd w:val="clear" w:color="auto" w:fill="auto"/>
            <w:tcMar>
              <w:top w:w="0" w:type="dxa"/>
              <w:left w:w="108" w:type="dxa"/>
              <w:bottom w:w="0" w:type="dxa"/>
              <w:right w:w="108" w:type="dxa"/>
            </w:tcMar>
            <w:vAlign w:val="center"/>
          </w:tcPr>
          <w:p w14:paraId="6DAED749"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853" w:type="pct"/>
            <w:shd w:val="clear" w:color="auto" w:fill="auto"/>
            <w:tcMar>
              <w:top w:w="0" w:type="dxa"/>
              <w:left w:w="108" w:type="dxa"/>
              <w:bottom w:w="0" w:type="dxa"/>
              <w:right w:w="108" w:type="dxa"/>
            </w:tcMar>
            <w:vAlign w:val="center"/>
          </w:tcPr>
          <w:p w14:paraId="6786032E"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694" w:type="pct"/>
            <w:shd w:val="clear" w:color="auto" w:fill="auto"/>
            <w:tcMar>
              <w:top w:w="0" w:type="dxa"/>
              <w:left w:w="108" w:type="dxa"/>
              <w:bottom w:w="0" w:type="dxa"/>
              <w:right w:w="108" w:type="dxa"/>
            </w:tcMar>
            <w:vAlign w:val="center"/>
          </w:tcPr>
          <w:p w14:paraId="1B34D8B3"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6416B0" w:rsidRPr="00B4515A" w14:paraId="7394DE7D"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60B9B0FD"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货币资金</w:t>
            </w:r>
          </w:p>
        </w:tc>
        <w:tc>
          <w:tcPr>
            <w:tcW w:w="744" w:type="pct"/>
            <w:shd w:val="clear" w:color="auto" w:fill="auto"/>
            <w:tcMar>
              <w:top w:w="0" w:type="dxa"/>
              <w:left w:w="108" w:type="dxa"/>
              <w:bottom w:w="0" w:type="dxa"/>
              <w:right w:w="108" w:type="dxa"/>
            </w:tcMar>
            <w:vAlign w:val="center"/>
          </w:tcPr>
          <w:p w14:paraId="4EC7B7D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17,526.41</w:t>
            </w:r>
          </w:p>
        </w:tc>
        <w:tc>
          <w:tcPr>
            <w:tcW w:w="508" w:type="pct"/>
            <w:shd w:val="clear" w:color="auto" w:fill="auto"/>
            <w:tcMar>
              <w:top w:w="0" w:type="dxa"/>
              <w:left w:w="108" w:type="dxa"/>
              <w:bottom w:w="0" w:type="dxa"/>
              <w:right w:w="108" w:type="dxa"/>
            </w:tcMar>
            <w:vAlign w:val="center"/>
          </w:tcPr>
          <w:p w14:paraId="5EE5B74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5.88%</w:t>
            </w:r>
          </w:p>
        </w:tc>
        <w:tc>
          <w:tcPr>
            <w:tcW w:w="606" w:type="pct"/>
            <w:gridSpan w:val="2"/>
            <w:shd w:val="clear" w:color="auto" w:fill="auto"/>
            <w:tcMar>
              <w:top w:w="0" w:type="dxa"/>
              <w:left w:w="108" w:type="dxa"/>
              <w:bottom w:w="0" w:type="dxa"/>
              <w:right w:w="108" w:type="dxa"/>
            </w:tcMar>
            <w:vAlign w:val="center"/>
          </w:tcPr>
          <w:p w14:paraId="2DB62E9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77,545.69</w:t>
            </w:r>
          </w:p>
        </w:tc>
        <w:tc>
          <w:tcPr>
            <w:tcW w:w="511" w:type="pct"/>
            <w:shd w:val="clear" w:color="auto" w:fill="auto"/>
            <w:tcMar>
              <w:top w:w="0" w:type="dxa"/>
              <w:left w:w="108" w:type="dxa"/>
              <w:bottom w:w="0" w:type="dxa"/>
              <w:right w:w="108" w:type="dxa"/>
            </w:tcMar>
            <w:vAlign w:val="center"/>
          </w:tcPr>
          <w:p w14:paraId="4126F98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14.39%</w:t>
            </w:r>
          </w:p>
        </w:tc>
        <w:tc>
          <w:tcPr>
            <w:tcW w:w="853" w:type="pct"/>
            <w:shd w:val="clear" w:color="auto" w:fill="auto"/>
            <w:tcMar>
              <w:top w:w="0" w:type="dxa"/>
              <w:left w:w="108" w:type="dxa"/>
              <w:bottom w:w="0" w:type="dxa"/>
              <w:right w:w="108" w:type="dxa"/>
            </w:tcMar>
            <w:vAlign w:val="center"/>
          </w:tcPr>
          <w:p w14:paraId="0F3E93B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60,019.28</w:t>
            </w:r>
          </w:p>
        </w:tc>
        <w:tc>
          <w:tcPr>
            <w:tcW w:w="694" w:type="pct"/>
            <w:shd w:val="clear" w:color="auto" w:fill="auto"/>
            <w:tcMar>
              <w:top w:w="0" w:type="dxa"/>
              <w:left w:w="108" w:type="dxa"/>
              <w:bottom w:w="0" w:type="dxa"/>
              <w:right w:w="108" w:type="dxa"/>
            </w:tcMar>
            <w:vAlign w:val="center"/>
          </w:tcPr>
          <w:p w14:paraId="6EB6BD9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342.45%</w:t>
            </w:r>
          </w:p>
        </w:tc>
      </w:tr>
      <w:tr w:rsidR="006416B0" w:rsidRPr="00B4515A" w14:paraId="5C35AC3F"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312852EE"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应收票据</w:t>
            </w:r>
          </w:p>
        </w:tc>
        <w:tc>
          <w:tcPr>
            <w:tcW w:w="744" w:type="pct"/>
            <w:shd w:val="clear" w:color="auto" w:fill="auto"/>
            <w:tcMar>
              <w:top w:w="0" w:type="dxa"/>
              <w:left w:w="108" w:type="dxa"/>
              <w:bottom w:w="0" w:type="dxa"/>
              <w:right w:w="108" w:type="dxa"/>
            </w:tcMar>
            <w:vAlign w:val="center"/>
          </w:tcPr>
          <w:p w14:paraId="73022F2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4,790.59</w:t>
            </w:r>
          </w:p>
        </w:tc>
        <w:tc>
          <w:tcPr>
            <w:tcW w:w="508" w:type="pct"/>
            <w:shd w:val="clear" w:color="auto" w:fill="auto"/>
            <w:tcMar>
              <w:top w:w="0" w:type="dxa"/>
              <w:left w:w="108" w:type="dxa"/>
              <w:bottom w:w="0" w:type="dxa"/>
              <w:right w:w="108" w:type="dxa"/>
            </w:tcMar>
            <w:vAlign w:val="center"/>
          </w:tcPr>
          <w:p w14:paraId="35D6E77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1.61%</w:t>
            </w:r>
          </w:p>
        </w:tc>
        <w:tc>
          <w:tcPr>
            <w:tcW w:w="606" w:type="pct"/>
            <w:gridSpan w:val="2"/>
            <w:shd w:val="clear" w:color="auto" w:fill="auto"/>
            <w:tcMar>
              <w:top w:w="0" w:type="dxa"/>
              <w:left w:w="108" w:type="dxa"/>
              <w:bottom w:w="0" w:type="dxa"/>
              <w:right w:w="108" w:type="dxa"/>
            </w:tcMar>
            <w:vAlign w:val="center"/>
          </w:tcPr>
          <w:p w14:paraId="1079CDF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6,987.11</w:t>
            </w:r>
          </w:p>
        </w:tc>
        <w:tc>
          <w:tcPr>
            <w:tcW w:w="511" w:type="pct"/>
            <w:shd w:val="clear" w:color="auto" w:fill="auto"/>
            <w:tcMar>
              <w:top w:w="0" w:type="dxa"/>
              <w:left w:w="108" w:type="dxa"/>
              <w:bottom w:w="0" w:type="dxa"/>
              <w:right w:w="108" w:type="dxa"/>
            </w:tcMar>
            <w:vAlign w:val="center"/>
          </w:tcPr>
          <w:p w14:paraId="2BDF567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1.30%</w:t>
            </w:r>
          </w:p>
        </w:tc>
        <w:tc>
          <w:tcPr>
            <w:tcW w:w="853" w:type="pct"/>
            <w:shd w:val="clear" w:color="auto" w:fill="auto"/>
            <w:tcMar>
              <w:top w:w="0" w:type="dxa"/>
              <w:left w:w="108" w:type="dxa"/>
              <w:bottom w:w="0" w:type="dxa"/>
              <w:right w:w="108" w:type="dxa"/>
            </w:tcMar>
            <w:vAlign w:val="center"/>
          </w:tcPr>
          <w:p w14:paraId="320610D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2,196.52</w:t>
            </w:r>
          </w:p>
        </w:tc>
        <w:tc>
          <w:tcPr>
            <w:tcW w:w="694" w:type="pct"/>
            <w:shd w:val="clear" w:color="auto" w:fill="auto"/>
            <w:tcMar>
              <w:top w:w="0" w:type="dxa"/>
              <w:left w:w="108" w:type="dxa"/>
              <w:bottom w:w="0" w:type="dxa"/>
              <w:right w:w="108" w:type="dxa"/>
            </w:tcMar>
            <w:vAlign w:val="center"/>
          </w:tcPr>
          <w:p w14:paraId="2DC0E59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45.85%</w:t>
            </w:r>
          </w:p>
        </w:tc>
      </w:tr>
      <w:tr w:rsidR="006416B0" w:rsidRPr="00B4515A" w14:paraId="756C7B22"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121DE287"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应收账款</w:t>
            </w:r>
          </w:p>
        </w:tc>
        <w:tc>
          <w:tcPr>
            <w:tcW w:w="744" w:type="pct"/>
            <w:shd w:val="clear" w:color="auto" w:fill="auto"/>
            <w:tcMar>
              <w:top w:w="0" w:type="dxa"/>
              <w:left w:w="108" w:type="dxa"/>
              <w:bottom w:w="0" w:type="dxa"/>
              <w:right w:w="108" w:type="dxa"/>
            </w:tcMar>
            <w:vAlign w:val="center"/>
          </w:tcPr>
          <w:p w14:paraId="1F880F4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43,030.61</w:t>
            </w:r>
          </w:p>
        </w:tc>
        <w:tc>
          <w:tcPr>
            <w:tcW w:w="508" w:type="pct"/>
            <w:shd w:val="clear" w:color="auto" w:fill="auto"/>
            <w:tcMar>
              <w:top w:w="0" w:type="dxa"/>
              <w:left w:w="108" w:type="dxa"/>
              <w:bottom w:w="0" w:type="dxa"/>
              <w:right w:w="108" w:type="dxa"/>
            </w:tcMar>
            <w:vAlign w:val="center"/>
          </w:tcPr>
          <w:p w14:paraId="41BE5C5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14.44%</w:t>
            </w:r>
          </w:p>
        </w:tc>
        <w:tc>
          <w:tcPr>
            <w:tcW w:w="606" w:type="pct"/>
            <w:gridSpan w:val="2"/>
            <w:shd w:val="clear" w:color="auto" w:fill="auto"/>
            <w:tcMar>
              <w:top w:w="0" w:type="dxa"/>
              <w:left w:w="108" w:type="dxa"/>
              <w:bottom w:w="0" w:type="dxa"/>
              <w:right w:w="108" w:type="dxa"/>
            </w:tcMar>
            <w:vAlign w:val="center"/>
          </w:tcPr>
          <w:p w14:paraId="3EE9A87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72,314.87</w:t>
            </w:r>
          </w:p>
        </w:tc>
        <w:tc>
          <w:tcPr>
            <w:tcW w:w="511" w:type="pct"/>
            <w:shd w:val="clear" w:color="auto" w:fill="auto"/>
            <w:tcMar>
              <w:top w:w="0" w:type="dxa"/>
              <w:left w:w="108" w:type="dxa"/>
              <w:bottom w:w="0" w:type="dxa"/>
              <w:right w:w="108" w:type="dxa"/>
            </w:tcMar>
            <w:vAlign w:val="center"/>
          </w:tcPr>
          <w:p w14:paraId="24F0807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13.42%</w:t>
            </w:r>
          </w:p>
        </w:tc>
        <w:tc>
          <w:tcPr>
            <w:tcW w:w="853" w:type="pct"/>
            <w:shd w:val="clear" w:color="auto" w:fill="auto"/>
            <w:tcMar>
              <w:top w:w="0" w:type="dxa"/>
              <w:left w:w="108" w:type="dxa"/>
              <w:bottom w:w="0" w:type="dxa"/>
              <w:right w:w="108" w:type="dxa"/>
            </w:tcMar>
            <w:vAlign w:val="center"/>
          </w:tcPr>
          <w:p w14:paraId="397C7D7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29,284.26</w:t>
            </w:r>
          </w:p>
        </w:tc>
        <w:tc>
          <w:tcPr>
            <w:tcW w:w="694" w:type="pct"/>
            <w:shd w:val="clear" w:color="auto" w:fill="auto"/>
            <w:tcMar>
              <w:top w:w="0" w:type="dxa"/>
              <w:left w:w="108" w:type="dxa"/>
              <w:bottom w:w="0" w:type="dxa"/>
              <w:right w:w="108" w:type="dxa"/>
            </w:tcMar>
            <w:vAlign w:val="center"/>
          </w:tcPr>
          <w:p w14:paraId="77E709B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68.05%</w:t>
            </w:r>
          </w:p>
        </w:tc>
      </w:tr>
      <w:tr w:rsidR="006416B0" w:rsidRPr="00B4515A" w14:paraId="72201BBD"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5DBCB678"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预付款项</w:t>
            </w:r>
          </w:p>
        </w:tc>
        <w:tc>
          <w:tcPr>
            <w:tcW w:w="744" w:type="pct"/>
            <w:shd w:val="clear" w:color="auto" w:fill="auto"/>
            <w:tcMar>
              <w:top w:w="0" w:type="dxa"/>
              <w:left w:w="108" w:type="dxa"/>
              <w:bottom w:w="0" w:type="dxa"/>
              <w:right w:w="108" w:type="dxa"/>
            </w:tcMar>
            <w:vAlign w:val="center"/>
          </w:tcPr>
          <w:p w14:paraId="2BB101D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20,114.24</w:t>
            </w:r>
          </w:p>
        </w:tc>
        <w:tc>
          <w:tcPr>
            <w:tcW w:w="508" w:type="pct"/>
            <w:shd w:val="clear" w:color="auto" w:fill="auto"/>
            <w:tcMar>
              <w:top w:w="0" w:type="dxa"/>
              <w:left w:w="108" w:type="dxa"/>
              <w:bottom w:w="0" w:type="dxa"/>
              <w:right w:w="108" w:type="dxa"/>
            </w:tcMar>
            <w:vAlign w:val="center"/>
          </w:tcPr>
          <w:p w14:paraId="409FA22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6.75%</w:t>
            </w:r>
          </w:p>
        </w:tc>
        <w:tc>
          <w:tcPr>
            <w:tcW w:w="606" w:type="pct"/>
            <w:gridSpan w:val="2"/>
            <w:shd w:val="clear" w:color="auto" w:fill="auto"/>
            <w:tcMar>
              <w:top w:w="0" w:type="dxa"/>
              <w:left w:w="108" w:type="dxa"/>
              <w:bottom w:w="0" w:type="dxa"/>
              <w:right w:w="108" w:type="dxa"/>
            </w:tcMar>
            <w:vAlign w:val="center"/>
          </w:tcPr>
          <w:p w14:paraId="471D0D0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22,764.28</w:t>
            </w:r>
          </w:p>
        </w:tc>
        <w:tc>
          <w:tcPr>
            <w:tcW w:w="511" w:type="pct"/>
            <w:shd w:val="clear" w:color="auto" w:fill="auto"/>
            <w:tcMar>
              <w:top w:w="0" w:type="dxa"/>
              <w:left w:w="108" w:type="dxa"/>
              <w:bottom w:w="0" w:type="dxa"/>
              <w:right w:w="108" w:type="dxa"/>
            </w:tcMar>
            <w:vAlign w:val="center"/>
          </w:tcPr>
          <w:p w14:paraId="4089DBB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4.22%</w:t>
            </w:r>
          </w:p>
        </w:tc>
        <w:tc>
          <w:tcPr>
            <w:tcW w:w="853" w:type="pct"/>
            <w:shd w:val="clear" w:color="auto" w:fill="auto"/>
            <w:tcMar>
              <w:top w:w="0" w:type="dxa"/>
              <w:left w:w="108" w:type="dxa"/>
              <w:bottom w:w="0" w:type="dxa"/>
              <w:right w:w="108" w:type="dxa"/>
            </w:tcMar>
            <w:vAlign w:val="center"/>
          </w:tcPr>
          <w:p w14:paraId="03BE3C2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2,650.04</w:t>
            </w:r>
          </w:p>
        </w:tc>
        <w:tc>
          <w:tcPr>
            <w:tcW w:w="694" w:type="pct"/>
            <w:shd w:val="clear" w:color="auto" w:fill="auto"/>
            <w:tcMar>
              <w:top w:w="0" w:type="dxa"/>
              <w:left w:w="108" w:type="dxa"/>
              <w:bottom w:w="0" w:type="dxa"/>
              <w:right w:w="108" w:type="dxa"/>
            </w:tcMar>
            <w:vAlign w:val="center"/>
          </w:tcPr>
          <w:p w14:paraId="341704C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13.17%</w:t>
            </w:r>
          </w:p>
        </w:tc>
      </w:tr>
      <w:tr w:rsidR="006416B0" w:rsidRPr="00B4515A" w14:paraId="531AF6EA"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54D517BF"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其他应收款</w:t>
            </w:r>
          </w:p>
        </w:tc>
        <w:tc>
          <w:tcPr>
            <w:tcW w:w="744" w:type="pct"/>
            <w:shd w:val="clear" w:color="auto" w:fill="auto"/>
            <w:tcMar>
              <w:top w:w="0" w:type="dxa"/>
              <w:left w:w="108" w:type="dxa"/>
              <w:bottom w:w="0" w:type="dxa"/>
              <w:right w:w="108" w:type="dxa"/>
            </w:tcMar>
            <w:vAlign w:val="center"/>
          </w:tcPr>
          <w:p w14:paraId="0DFCDE6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6,810.71</w:t>
            </w:r>
          </w:p>
        </w:tc>
        <w:tc>
          <w:tcPr>
            <w:tcW w:w="508" w:type="pct"/>
            <w:shd w:val="clear" w:color="auto" w:fill="auto"/>
            <w:tcMar>
              <w:top w:w="0" w:type="dxa"/>
              <w:left w:w="108" w:type="dxa"/>
              <w:bottom w:w="0" w:type="dxa"/>
              <w:right w:w="108" w:type="dxa"/>
            </w:tcMar>
            <w:vAlign w:val="center"/>
          </w:tcPr>
          <w:p w14:paraId="38ED752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2.29%</w:t>
            </w:r>
          </w:p>
        </w:tc>
        <w:tc>
          <w:tcPr>
            <w:tcW w:w="606" w:type="pct"/>
            <w:gridSpan w:val="2"/>
            <w:shd w:val="clear" w:color="auto" w:fill="auto"/>
            <w:tcMar>
              <w:top w:w="0" w:type="dxa"/>
              <w:left w:w="108" w:type="dxa"/>
              <w:bottom w:w="0" w:type="dxa"/>
              <w:right w:w="108" w:type="dxa"/>
            </w:tcMar>
            <w:vAlign w:val="center"/>
          </w:tcPr>
          <w:p w14:paraId="08B4418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107,779.74</w:t>
            </w:r>
          </w:p>
        </w:tc>
        <w:tc>
          <w:tcPr>
            <w:tcW w:w="511" w:type="pct"/>
            <w:shd w:val="clear" w:color="auto" w:fill="auto"/>
            <w:tcMar>
              <w:top w:w="0" w:type="dxa"/>
              <w:left w:w="108" w:type="dxa"/>
              <w:bottom w:w="0" w:type="dxa"/>
              <w:right w:w="108" w:type="dxa"/>
            </w:tcMar>
            <w:vAlign w:val="center"/>
          </w:tcPr>
          <w:p w14:paraId="06434C5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20.00%</w:t>
            </w:r>
          </w:p>
        </w:tc>
        <w:tc>
          <w:tcPr>
            <w:tcW w:w="853" w:type="pct"/>
            <w:shd w:val="clear" w:color="auto" w:fill="auto"/>
            <w:tcMar>
              <w:top w:w="0" w:type="dxa"/>
              <w:left w:w="108" w:type="dxa"/>
              <w:bottom w:w="0" w:type="dxa"/>
              <w:right w:w="108" w:type="dxa"/>
            </w:tcMar>
            <w:vAlign w:val="center"/>
          </w:tcPr>
          <w:p w14:paraId="5ED3523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100,969.03</w:t>
            </w:r>
          </w:p>
        </w:tc>
        <w:tc>
          <w:tcPr>
            <w:tcW w:w="694" w:type="pct"/>
            <w:shd w:val="clear" w:color="auto" w:fill="auto"/>
            <w:tcMar>
              <w:top w:w="0" w:type="dxa"/>
              <w:left w:w="108" w:type="dxa"/>
              <w:bottom w:w="0" w:type="dxa"/>
              <w:right w:w="108" w:type="dxa"/>
            </w:tcMar>
            <w:vAlign w:val="center"/>
          </w:tcPr>
          <w:p w14:paraId="6C0691F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1482.50%</w:t>
            </w:r>
          </w:p>
        </w:tc>
      </w:tr>
      <w:tr w:rsidR="006416B0" w:rsidRPr="00B4515A" w14:paraId="5932C6D4"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4C7F59C8"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存货</w:t>
            </w:r>
          </w:p>
        </w:tc>
        <w:tc>
          <w:tcPr>
            <w:tcW w:w="744" w:type="pct"/>
            <w:shd w:val="clear" w:color="auto" w:fill="auto"/>
            <w:tcMar>
              <w:top w:w="0" w:type="dxa"/>
              <w:left w:w="108" w:type="dxa"/>
              <w:bottom w:w="0" w:type="dxa"/>
              <w:right w:w="108" w:type="dxa"/>
            </w:tcMar>
            <w:vAlign w:val="center"/>
          </w:tcPr>
          <w:p w14:paraId="4CA4214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24,221.76</w:t>
            </w:r>
          </w:p>
        </w:tc>
        <w:tc>
          <w:tcPr>
            <w:tcW w:w="508" w:type="pct"/>
            <w:shd w:val="clear" w:color="auto" w:fill="auto"/>
            <w:tcMar>
              <w:top w:w="0" w:type="dxa"/>
              <w:left w:w="108" w:type="dxa"/>
              <w:bottom w:w="0" w:type="dxa"/>
              <w:right w:w="108" w:type="dxa"/>
            </w:tcMar>
            <w:vAlign w:val="center"/>
          </w:tcPr>
          <w:p w14:paraId="4F9D6F8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8.13%</w:t>
            </w:r>
          </w:p>
        </w:tc>
        <w:tc>
          <w:tcPr>
            <w:tcW w:w="606" w:type="pct"/>
            <w:gridSpan w:val="2"/>
            <w:shd w:val="clear" w:color="auto" w:fill="auto"/>
            <w:tcMar>
              <w:top w:w="0" w:type="dxa"/>
              <w:left w:w="108" w:type="dxa"/>
              <w:bottom w:w="0" w:type="dxa"/>
              <w:right w:w="108" w:type="dxa"/>
            </w:tcMar>
            <w:vAlign w:val="center"/>
          </w:tcPr>
          <w:p w14:paraId="65CCFDA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42,215.29</w:t>
            </w:r>
          </w:p>
        </w:tc>
        <w:tc>
          <w:tcPr>
            <w:tcW w:w="511" w:type="pct"/>
            <w:shd w:val="clear" w:color="auto" w:fill="auto"/>
            <w:tcMar>
              <w:top w:w="0" w:type="dxa"/>
              <w:left w:w="108" w:type="dxa"/>
              <w:bottom w:w="0" w:type="dxa"/>
              <w:right w:w="108" w:type="dxa"/>
            </w:tcMar>
            <w:vAlign w:val="center"/>
          </w:tcPr>
          <w:p w14:paraId="042C384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7.83%</w:t>
            </w:r>
          </w:p>
        </w:tc>
        <w:tc>
          <w:tcPr>
            <w:tcW w:w="853" w:type="pct"/>
            <w:shd w:val="clear" w:color="auto" w:fill="auto"/>
            <w:tcMar>
              <w:top w:w="0" w:type="dxa"/>
              <w:left w:w="108" w:type="dxa"/>
              <w:bottom w:w="0" w:type="dxa"/>
              <w:right w:w="108" w:type="dxa"/>
            </w:tcMar>
            <w:vAlign w:val="center"/>
          </w:tcPr>
          <w:p w14:paraId="2F76D2C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17,993.53</w:t>
            </w:r>
          </w:p>
        </w:tc>
        <w:tc>
          <w:tcPr>
            <w:tcW w:w="694" w:type="pct"/>
            <w:shd w:val="clear" w:color="auto" w:fill="auto"/>
            <w:tcMar>
              <w:top w:w="0" w:type="dxa"/>
              <w:left w:w="108" w:type="dxa"/>
              <w:bottom w:w="0" w:type="dxa"/>
              <w:right w:w="108" w:type="dxa"/>
            </w:tcMar>
            <w:vAlign w:val="center"/>
          </w:tcPr>
          <w:p w14:paraId="7C80185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74.29%</w:t>
            </w:r>
          </w:p>
        </w:tc>
      </w:tr>
      <w:tr w:rsidR="006416B0" w:rsidRPr="00B4515A" w14:paraId="42E3D969"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0C028B5C"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合同资产</w:t>
            </w:r>
          </w:p>
        </w:tc>
        <w:tc>
          <w:tcPr>
            <w:tcW w:w="744" w:type="pct"/>
            <w:shd w:val="clear" w:color="auto" w:fill="auto"/>
            <w:tcMar>
              <w:top w:w="0" w:type="dxa"/>
              <w:left w:w="108" w:type="dxa"/>
              <w:bottom w:w="0" w:type="dxa"/>
              <w:right w:w="108" w:type="dxa"/>
            </w:tcMar>
            <w:vAlign w:val="center"/>
          </w:tcPr>
          <w:p w14:paraId="58A901D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268.19</w:t>
            </w:r>
          </w:p>
        </w:tc>
        <w:tc>
          <w:tcPr>
            <w:tcW w:w="508" w:type="pct"/>
            <w:shd w:val="clear" w:color="auto" w:fill="auto"/>
            <w:tcMar>
              <w:top w:w="0" w:type="dxa"/>
              <w:left w:w="108" w:type="dxa"/>
              <w:bottom w:w="0" w:type="dxa"/>
              <w:right w:w="108" w:type="dxa"/>
            </w:tcMar>
            <w:vAlign w:val="center"/>
          </w:tcPr>
          <w:p w14:paraId="66B78E0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0.09%</w:t>
            </w:r>
          </w:p>
        </w:tc>
        <w:tc>
          <w:tcPr>
            <w:tcW w:w="606" w:type="pct"/>
            <w:gridSpan w:val="2"/>
            <w:shd w:val="clear" w:color="auto" w:fill="auto"/>
            <w:tcMar>
              <w:top w:w="0" w:type="dxa"/>
              <w:left w:w="108" w:type="dxa"/>
              <w:bottom w:w="0" w:type="dxa"/>
              <w:right w:w="108" w:type="dxa"/>
            </w:tcMar>
            <w:vAlign w:val="center"/>
          </w:tcPr>
          <w:p w14:paraId="2ACFCFD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268.19</w:t>
            </w:r>
          </w:p>
        </w:tc>
        <w:tc>
          <w:tcPr>
            <w:tcW w:w="511" w:type="pct"/>
            <w:shd w:val="clear" w:color="auto" w:fill="auto"/>
            <w:tcMar>
              <w:top w:w="0" w:type="dxa"/>
              <w:left w:w="108" w:type="dxa"/>
              <w:bottom w:w="0" w:type="dxa"/>
              <w:right w:w="108" w:type="dxa"/>
            </w:tcMar>
            <w:vAlign w:val="center"/>
          </w:tcPr>
          <w:p w14:paraId="0164971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0.05%</w:t>
            </w:r>
          </w:p>
        </w:tc>
        <w:tc>
          <w:tcPr>
            <w:tcW w:w="853" w:type="pct"/>
            <w:shd w:val="clear" w:color="auto" w:fill="auto"/>
            <w:tcMar>
              <w:top w:w="0" w:type="dxa"/>
              <w:left w:w="108" w:type="dxa"/>
              <w:bottom w:w="0" w:type="dxa"/>
              <w:right w:w="108" w:type="dxa"/>
            </w:tcMar>
            <w:vAlign w:val="center"/>
          </w:tcPr>
          <w:p w14:paraId="0B05F5A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94" w:type="pct"/>
            <w:shd w:val="clear" w:color="auto" w:fill="auto"/>
            <w:tcMar>
              <w:top w:w="0" w:type="dxa"/>
              <w:left w:w="108" w:type="dxa"/>
              <w:bottom w:w="0" w:type="dxa"/>
              <w:right w:w="108" w:type="dxa"/>
            </w:tcMar>
            <w:vAlign w:val="center"/>
          </w:tcPr>
          <w:p w14:paraId="7EACB68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16BDBA96"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3A186A63"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其他流动资产</w:t>
            </w:r>
          </w:p>
        </w:tc>
        <w:tc>
          <w:tcPr>
            <w:tcW w:w="744" w:type="pct"/>
            <w:shd w:val="clear" w:color="auto" w:fill="auto"/>
            <w:tcMar>
              <w:top w:w="0" w:type="dxa"/>
              <w:left w:w="108" w:type="dxa"/>
              <w:bottom w:w="0" w:type="dxa"/>
              <w:right w:w="108" w:type="dxa"/>
            </w:tcMar>
            <w:vAlign w:val="center"/>
          </w:tcPr>
          <w:p w14:paraId="55B6184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3,708.27</w:t>
            </w:r>
          </w:p>
        </w:tc>
        <w:tc>
          <w:tcPr>
            <w:tcW w:w="508" w:type="pct"/>
            <w:shd w:val="clear" w:color="auto" w:fill="auto"/>
            <w:tcMar>
              <w:top w:w="0" w:type="dxa"/>
              <w:left w:w="108" w:type="dxa"/>
              <w:bottom w:w="0" w:type="dxa"/>
              <w:right w:w="108" w:type="dxa"/>
            </w:tcMar>
            <w:vAlign w:val="center"/>
          </w:tcPr>
          <w:p w14:paraId="45CD499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1.24%</w:t>
            </w:r>
          </w:p>
        </w:tc>
        <w:tc>
          <w:tcPr>
            <w:tcW w:w="606" w:type="pct"/>
            <w:gridSpan w:val="2"/>
            <w:shd w:val="clear" w:color="auto" w:fill="auto"/>
            <w:tcMar>
              <w:top w:w="0" w:type="dxa"/>
              <w:left w:w="108" w:type="dxa"/>
              <w:bottom w:w="0" w:type="dxa"/>
              <w:right w:w="108" w:type="dxa"/>
            </w:tcMar>
            <w:vAlign w:val="center"/>
          </w:tcPr>
          <w:p w14:paraId="6F8DB0E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3,489.29</w:t>
            </w:r>
          </w:p>
        </w:tc>
        <w:tc>
          <w:tcPr>
            <w:tcW w:w="511" w:type="pct"/>
            <w:shd w:val="clear" w:color="auto" w:fill="auto"/>
            <w:tcMar>
              <w:top w:w="0" w:type="dxa"/>
              <w:left w:w="108" w:type="dxa"/>
              <w:bottom w:w="0" w:type="dxa"/>
              <w:right w:w="108" w:type="dxa"/>
            </w:tcMar>
            <w:vAlign w:val="center"/>
          </w:tcPr>
          <w:p w14:paraId="29C84F7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0.65%</w:t>
            </w:r>
          </w:p>
        </w:tc>
        <w:tc>
          <w:tcPr>
            <w:tcW w:w="853" w:type="pct"/>
            <w:shd w:val="clear" w:color="auto" w:fill="auto"/>
            <w:tcMar>
              <w:top w:w="0" w:type="dxa"/>
              <w:left w:w="108" w:type="dxa"/>
              <w:bottom w:w="0" w:type="dxa"/>
              <w:right w:w="108" w:type="dxa"/>
            </w:tcMar>
            <w:vAlign w:val="center"/>
          </w:tcPr>
          <w:p w14:paraId="049DF92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-218.98</w:t>
            </w:r>
          </w:p>
        </w:tc>
        <w:tc>
          <w:tcPr>
            <w:tcW w:w="694" w:type="pct"/>
            <w:shd w:val="clear" w:color="auto" w:fill="auto"/>
            <w:tcMar>
              <w:top w:w="0" w:type="dxa"/>
              <w:left w:w="108" w:type="dxa"/>
              <w:bottom w:w="0" w:type="dxa"/>
              <w:right w:w="108" w:type="dxa"/>
            </w:tcMar>
            <w:vAlign w:val="center"/>
          </w:tcPr>
          <w:p w14:paraId="3B6B197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-5.91%</w:t>
            </w:r>
          </w:p>
        </w:tc>
      </w:tr>
      <w:tr w:rsidR="006416B0" w:rsidRPr="00B4515A" w14:paraId="72548699"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07ABCEBC" w14:textId="77777777" w:rsidR="006416B0" w:rsidRPr="00B4515A" w:rsidRDefault="005E58C1" w:rsidP="005860B4">
            <w:pPr>
              <w:adjustRightInd w:val="0"/>
              <w:snapToGrid w:val="0"/>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流动资产合计</w:t>
            </w:r>
          </w:p>
        </w:tc>
        <w:tc>
          <w:tcPr>
            <w:tcW w:w="744" w:type="pct"/>
            <w:shd w:val="clear" w:color="auto" w:fill="auto"/>
            <w:tcMar>
              <w:top w:w="0" w:type="dxa"/>
              <w:left w:w="108" w:type="dxa"/>
              <w:bottom w:w="0" w:type="dxa"/>
              <w:right w:w="108" w:type="dxa"/>
            </w:tcMar>
            <w:vAlign w:val="center"/>
          </w:tcPr>
          <w:p w14:paraId="6526A54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120,470.77</w:t>
            </w:r>
          </w:p>
        </w:tc>
        <w:tc>
          <w:tcPr>
            <w:tcW w:w="508" w:type="pct"/>
            <w:shd w:val="clear" w:color="auto" w:fill="auto"/>
            <w:tcMar>
              <w:top w:w="0" w:type="dxa"/>
              <w:left w:w="108" w:type="dxa"/>
              <w:bottom w:w="0" w:type="dxa"/>
              <w:right w:w="108" w:type="dxa"/>
            </w:tcMar>
            <w:vAlign w:val="center"/>
          </w:tcPr>
          <w:p w14:paraId="169FDB0E"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40.43%</w:t>
            </w:r>
          </w:p>
        </w:tc>
        <w:tc>
          <w:tcPr>
            <w:tcW w:w="606" w:type="pct"/>
            <w:gridSpan w:val="2"/>
            <w:shd w:val="clear" w:color="auto" w:fill="auto"/>
            <w:tcMar>
              <w:top w:w="0" w:type="dxa"/>
              <w:left w:w="108" w:type="dxa"/>
              <w:bottom w:w="0" w:type="dxa"/>
              <w:right w:w="108" w:type="dxa"/>
            </w:tcMar>
            <w:vAlign w:val="center"/>
          </w:tcPr>
          <w:p w14:paraId="0DA3736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333,364.45</w:t>
            </w:r>
          </w:p>
        </w:tc>
        <w:tc>
          <w:tcPr>
            <w:tcW w:w="511" w:type="pct"/>
            <w:shd w:val="clear" w:color="auto" w:fill="auto"/>
            <w:tcMar>
              <w:top w:w="0" w:type="dxa"/>
              <w:left w:w="108" w:type="dxa"/>
              <w:bottom w:w="0" w:type="dxa"/>
              <w:right w:w="108" w:type="dxa"/>
            </w:tcMar>
            <w:vAlign w:val="center"/>
          </w:tcPr>
          <w:p w14:paraId="528E8BD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61.86%</w:t>
            </w:r>
          </w:p>
        </w:tc>
        <w:tc>
          <w:tcPr>
            <w:tcW w:w="853" w:type="pct"/>
            <w:shd w:val="clear" w:color="auto" w:fill="auto"/>
            <w:tcMar>
              <w:top w:w="0" w:type="dxa"/>
              <w:left w:w="108" w:type="dxa"/>
              <w:bottom w:w="0" w:type="dxa"/>
              <w:right w:w="108" w:type="dxa"/>
            </w:tcMar>
            <w:vAlign w:val="center"/>
          </w:tcPr>
          <w:p w14:paraId="41984A2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212,893.68</w:t>
            </w:r>
          </w:p>
        </w:tc>
        <w:tc>
          <w:tcPr>
            <w:tcW w:w="694" w:type="pct"/>
            <w:shd w:val="clear" w:color="auto" w:fill="auto"/>
            <w:tcMar>
              <w:top w:w="0" w:type="dxa"/>
              <w:left w:w="108" w:type="dxa"/>
              <w:bottom w:w="0" w:type="dxa"/>
              <w:right w:w="108" w:type="dxa"/>
            </w:tcMar>
            <w:vAlign w:val="center"/>
          </w:tcPr>
          <w:p w14:paraId="0A6225E5"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176.72%</w:t>
            </w:r>
          </w:p>
        </w:tc>
      </w:tr>
      <w:tr w:rsidR="006416B0" w:rsidRPr="00B4515A" w14:paraId="4874EA38"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2FBC9591"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非流动资产：</w:t>
            </w:r>
          </w:p>
        </w:tc>
        <w:tc>
          <w:tcPr>
            <w:tcW w:w="744" w:type="pct"/>
            <w:shd w:val="clear" w:color="auto" w:fill="auto"/>
            <w:tcMar>
              <w:top w:w="0" w:type="dxa"/>
              <w:left w:w="108" w:type="dxa"/>
              <w:bottom w:w="0" w:type="dxa"/>
              <w:right w:w="108" w:type="dxa"/>
            </w:tcMar>
            <w:vAlign w:val="center"/>
          </w:tcPr>
          <w:p w14:paraId="70C2AA6C"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508" w:type="pct"/>
            <w:shd w:val="clear" w:color="auto" w:fill="auto"/>
            <w:tcMar>
              <w:top w:w="0" w:type="dxa"/>
              <w:left w:w="108" w:type="dxa"/>
              <w:bottom w:w="0" w:type="dxa"/>
              <w:right w:w="108" w:type="dxa"/>
            </w:tcMar>
            <w:vAlign w:val="center"/>
          </w:tcPr>
          <w:p w14:paraId="7710EDC3"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06" w:type="pct"/>
            <w:gridSpan w:val="2"/>
            <w:shd w:val="clear" w:color="auto" w:fill="auto"/>
            <w:tcMar>
              <w:top w:w="0" w:type="dxa"/>
              <w:left w:w="108" w:type="dxa"/>
              <w:bottom w:w="0" w:type="dxa"/>
              <w:right w:w="108" w:type="dxa"/>
            </w:tcMar>
            <w:vAlign w:val="center"/>
          </w:tcPr>
          <w:p w14:paraId="5F7E4DD8"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511" w:type="pct"/>
            <w:shd w:val="clear" w:color="auto" w:fill="auto"/>
            <w:tcMar>
              <w:top w:w="0" w:type="dxa"/>
              <w:left w:w="108" w:type="dxa"/>
              <w:bottom w:w="0" w:type="dxa"/>
              <w:right w:w="108" w:type="dxa"/>
            </w:tcMar>
            <w:vAlign w:val="center"/>
          </w:tcPr>
          <w:p w14:paraId="0B7D48FD"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853" w:type="pct"/>
            <w:shd w:val="clear" w:color="auto" w:fill="auto"/>
            <w:tcMar>
              <w:top w:w="0" w:type="dxa"/>
              <w:left w:w="108" w:type="dxa"/>
              <w:bottom w:w="0" w:type="dxa"/>
              <w:right w:w="108" w:type="dxa"/>
            </w:tcMar>
            <w:vAlign w:val="center"/>
          </w:tcPr>
          <w:p w14:paraId="6065CC81"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94" w:type="pct"/>
            <w:shd w:val="clear" w:color="auto" w:fill="auto"/>
            <w:tcMar>
              <w:top w:w="0" w:type="dxa"/>
              <w:left w:w="108" w:type="dxa"/>
              <w:bottom w:w="0" w:type="dxa"/>
              <w:right w:w="108" w:type="dxa"/>
            </w:tcMar>
            <w:vAlign w:val="center"/>
          </w:tcPr>
          <w:p w14:paraId="3C634C5A"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r>
      <w:tr w:rsidR="006416B0" w:rsidRPr="00B4515A" w14:paraId="43053D76"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484A31CC"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长期股权投资</w:t>
            </w:r>
          </w:p>
        </w:tc>
        <w:tc>
          <w:tcPr>
            <w:tcW w:w="744" w:type="pct"/>
            <w:shd w:val="clear" w:color="auto" w:fill="auto"/>
            <w:tcMar>
              <w:top w:w="0" w:type="dxa"/>
              <w:left w:w="108" w:type="dxa"/>
              <w:bottom w:w="0" w:type="dxa"/>
              <w:right w:w="108" w:type="dxa"/>
            </w:tcMar>
            <w:vAlign w:val="center"/>
          </w:tcPr>
          <w:p w14:paraId="6165359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103,192.13</w:t>
            </w:r>
          </w:p>
        </w:tc>
        <w:tc>
          <w:tcPr>
            <w:tcW w:w="508" w:type="pct"/>
            <w:shd w:val="clear" w:color="auto" w:fill="auto"/>
            <w:tcMar>
              <w:top w:w="0" w:type="dxa"/>
              <w:left w:w="108" w:type="dxa"/>
              <w:bottom w:w="0" w:type="dxa"/>
              <w:right w:w="108" w:type="dxa"/>
            </w:tcMar>
            <w:vAlign w:val="center"/>
          </w:tcPr>
          <w:p w14:paraId="02C539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34.63%</w:t>
            </w:r>
          </w:p>
        </w:tc>
        <w:tc>
          <w:tcPr>
            <w:tcW w:w="606" w:type="pct"/>
            <w:gridSpan w:val="2"/>
            <w:shd w:val="clear" w:color="auto" w:fill="auto"/>
            <w:tcMar>
              <w:top w:w="0" w:type="dxa"/>
              <w:left w:w="108" w:type="dxa"/>
              <w:bottom w:w="0" w:type="dxa"/>
              <w:right w:w="108" w:type="dxa"/>
            </w:tcMar>
            <w:vAlign w:val="center"/>
          </w:tcPr>
          <w:p w14:paraId="63460D9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116,725.69</w:t>
            </w:r>
          </w:p>
        </w:tc>
        <w:tc>
          <w:tcPr>
            <w:tcW w:w="511" w:type="pct"/>
            <w:shd w:val="clear" w:color="auto" w:fill="auto"/>
            <w:tcMar>
              <w:top w:w="0" w:type="dxa"/>
              <w:left w:w="108" w:type="dxa"/>
              <w:bottom w:w="0" w:type="dxa"/>
              <w:right w:w="108" w:type="dxa"/>
            </w:tcMar>
            <w:vAlign w:val="center"/>
          </w:tcPr>
          <w:p w14:paraId="1184173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21.66%</w:t>
            </w:r>
          </w:p>
        </w:tc>
        <w:tc>
          <w:tcPr>
            <w:tcW w:w="853" w:type="pct"/>
            <w:shd w:val="clear" w:color="auto" w:fill="auto"/>
            <w:tcMar>
              <w:top w:w="0" w:type="dxa"/>
              <w:left w:w="108" w:type="dxa"/>
              <w:bottom w:w="0" w:type="dxa"/>
              <w:right w:w="108" w:type="dxa"/>
            </w:tcMar>
            <w:vAlign w:val="center"/>
          </w:tcPr>
          <w:p w14:paraId="137BCD7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13,533.56</w:t>
            </w:r>
          </w:p>
        </w:tc>
        <w:tc>
          <w:tcPr>
            <w:tcW w:w="694" w:type="pct"/>
            <w:shd w:val="clear" w:color="auto" w:fill="auto"/>
            <w:tcMar>
              <w:top w:w="0" w:type="dxa"/>
              <w:left w:w="108" w:type="dxa"/>
              <w:bottom w:w="0" w:type="dxa"/>
              <w:right w:w="108" w:type="dxa"/>
            </w:tcMar>
            <w:vAlign w:val="center"/>
          </w:tcPr>
          <w:p w14:paraId="0F86D77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13.11%</w:t>
            </w:r>
          </w:p>
        </w:tc>
      </w:tr>
      <w:tr w:rsidR="006416B0" w:rsidRPr="00B4515A" w14:paraId="1BA56A67"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3B139F0D"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其他权益工具投资</w:t>
            </w:r>
          </w:p>
        </w:tc>
        <w:tc>
          <w:tcPr>
            <w:tcW w:w="744" w:type="pct"/>
            <w:shd w:val="clear" w:color="auto" w:fill="auto"/>
            <w:tcMar>
              <w:top w:w="0" w:type="dxa"/>
              <w:left w:w="108" w:type="dxa"/>
              <w:bottom w:w="0" w:type="dxa"/>
              <w:right w:w="108" w:type="dxa"/>
            </w:tcMar>
            <w:vAlign w:val="center"/>
          </w:tcPr>
          <w:p w14:paraId="7AC97EA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6,097.34</w:t>
            </w:r>
          </w:p>
        </w:tc>
        <w:tc>
          <w:tcPr>
            <w:tcW w:w="508" w:type="pct"/>
            <w:shd w:val="clear" w:color="auto" w:fill="auto"/>
            <w:tcMar>
              <w:top w:w="0" w:type="dxa"/>
              <w:left w:w="108" w:type="dxa"/>
              <w:bottom w:w="0" w:type="dxa"/>
              <w:right w:w="108" w:type="dxa"/>
            </w:tcMar>
            <w:vAlign w:val="center"/>
          </w:tcPr>
          <w:p w14:paraId="1F0BB6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2.05%</w:t>
            </w:r>
          </w:p>
        </w:tc>
        <w:tc>
          <w:tcPr>
            <w:tcW w:w="606" w:type="pct"/>
            <w:gridSpan w:val="2"/>
            <w:shd w:val="clear" w:color="auto" w:fill="auto"/>
            <w:tcMar>
              <w:top w:w="0" w:type="dxa"/>
              <w:left w:w="108" w:type="dxa"/>
              <w:bottom w:w="0" w:type="dxa"/>
              <w:right w:w="108" w:type="dxa"/>
            </w:tcMar>
            <w:vAlign w:val="center"/>
          </w:tcPr>
          <w:p w14:paraId="1F5A19A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6,097.34</w:t>
            </w:r>
          </w:p>
        </w:tc>
        <w:tc>
          <w:tcPr>
            <w:tcW w:w="511" w:type="pct"/>
            <w:shd w:val="clear" w:color="auto" w:fill="auto"/>
            <w:tcMar>
              <w:top w:w="0" w:type="dxa"/>
              <w:left w:w="108" w:type="dxa"/>
              <w:bottom w:w="0" w:type="dxa"/>
              <w:right w:w="108" w:type="dxa"/>
            </w:tcMar>
            <w:vAlign w:val="center"/>
          </w:tcPr>
          <w:p w14:paraId="5E96BB9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1.13%</w:t>
            </w:r>
          </w:p>
        </w:tc>
        <w:tc>
          <w:tcPr>
            <w:tcW w:w="853" w:type="pct"/>
            <w:shd w:val="clear" w:color="auto" w:fill="auto"/>
            <w:tcMar>
              <w:top w:w="0" w:type="dxa"/>
              <w:left w:w="108" w:type="dxa"/>
              <w:bottom w:w="0" w:type="dxa"/>
              <w:right w:w="108" w:type="dxa"/>
            </w:tcMar>
            <w:vAlign w:val="center"/>
          </w:tcPr>
          <w:p w14:paraId="57A751D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94" w:type="pct"/>
            <w:shd w:val="clear" w:color="auto" w:fill="auto"/>
            <w:tcMar>
              <w:top w:w="0" w:type="dxa"/>
              <w:left w:w="108" w:type="dxa"/>
              <w:bottom w:w="0" w:type="dxa"/>
              <w:right w:w="108" w:type="dxa"/>
            </w:tcMar>
            <w:vAlign w:val="center"/>
          </w:tcPr>
          <w:p w14:paraId="48FC8C7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07890AE5"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33EFBB99"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固定资产</w:t>
            </w:r>
          </w:p>
        </w:tc>
        <w:tc>
          <w:tcPr>
            <w:tcW w:w="744" w:type="pct"/>
            <w:shd w:val="clear" w:color="auto" w:fill="auto"/>
            <w:tcMar>
              <w:top w:w="0" w:type="dxa"/>
              <w:left w:w="108" w:type="dxa"/>
              <w:bottom w:w="0" w:type="dxa"/>
              <w:right w:w="108" w:type="dxa"/>
            </w:tcMar>
            <w:vAlign w:val="center"/>
          </w:tcPr>
          <w:p w14:paraId="0EFCAFA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39,023.02</w:t>
            </w:r>
          </w:p>
        </w:tc>
        <w:tc>
          <w:tcPr>
            <w:tcW w:w="508" w:type="pct"/>
            <w:shd w:val="clear" w:color="auto" w:fill="auto"/>
            <w:tcMar>
              <w:top w:w="0" w:type="dxa"/>
              <w:left w:w="108" w:type="dxa"/>
              <w:bottom w:w="0" w:type="dxa"/>
              <w:right w:w="108" w:type="dxa"/>
            </w:tcMar>
            <w:vAlign w:val="center"/>
          </w:tcPr>
          <w:p w14:paraId="0EEC6A8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13.09%</w:t>
            </w:r>
          </w:p>
        </w:tc>
        <w:tc>
          <w:tcPr>
            <w:tcW w:w="606" w:type="pct"/>
            <w:gridSpan w:val="2"/>
            <w:shd w:val="clear" w:color="auto" w:fill="auto"/>
            <w:tcMar>
              <w:top w:w="0" w:type="dxa"/>
              <w:left w:w="108" w:type="dxa"/>
              <w:bottom w:w="0" w:type="dxa"/>
              <w:right w:w="108" w:type="dxa"/>
            </w:tcMar>
            <w:vAlign w:val="center"/>
          </w:tcPr>
          <w:p w14:paraId="1EC0498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41,944.84</w:t>
            </w:r>
          </w:p>
        </w:tc>
        <w:tc>
          <w:tcPr>
            <w:tcW w:w="511" w:type="pct"/>
            <w:shd w:val="clear" w:color="auto" w:fill="auto"/>
            <w:tcMar>
              <w:top w:w="0" w:type="dxa"/>
              <w:left w:w="108" w:type="dxa"/>
              <w:bottom w:w="0" w:type="dxa"/>
              <w:right w:w="108" w:type="dxa"/>
            </w:tcMar>
            <w:vAlign w:val="center"/>
          </w:tcPr>
          <w:p w14:paraId="51D0F97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7.78%</w:t>
            </w:r>
          </w:p>
        </w:tc>
        <w:tc>
          <w:tcPr>
            <w:tcW w:w="853" w:type="pct"/>
            <w:shd w:val="clear" w:color="auto" w:fill="auto"/>
            <w:tcMar>
              <w:top w:w="0" w:type="dxa"/>
              <w:left w:w="108" w:type="dxa"/>
              <w:bottom w:w="0" w:type="dxa"/>
              <w:right w:w="108" w:type="dxa"/>
            </w:tcMar>
            <w:vAlign w:val="center"/>
          </w:tcPr>
          <w:p w14:paraId="58FEF9A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2,921.82</w:t>
            </w:r>
          </w:p>
        </w:tc>
        <w:tc>
          <w:tcPr>
            <w:tcW w:w="694" w:type="pct"/>
            <w:shd w:val="clear" w:color="auto" w:fill="auto"/>
            <w:tcMar>
              <w:top w:w="0" w:type="dxa"/>
              <w:left w:w="108" w:type="dxa"/>
              <w:bottom w:w="0" w:type="dxa"/>
              <w:right w:w="108" w:type="dxa"/>
            </w:tcMar>
            <w:vAlign w:val="center"/>
          </w:tcPr>
          <w:p w14:paraId="48BCA16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7.49%</w:t>
            </w:r>
          </w:p>
        </w:tc>
      </w:tr>
      <w:tr w:rsidR="006416B0" w:rsidRPr="00B4515A" w14:paraId="29AF62BF"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2F73AD30"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使用权资产</w:t>
            </w:r>
          </w:p>
        </w:tc>
        <w:tc>
          <w:tcPr>
            <w:tcW w:w="744" w:type="pct"/>
            <w:shd w:val="clear" w:color="auto" w:fill="auto"/>
            <w:tcMar>
              <w:top w:w="0" w:type="dxa"/>
              <w:left w:w="108" w:type="dxa"/>
              <w:bottom w:w="0" w:type="dxa"/>
              <w:right w:w="108" w:type="dxa"/>
            </w:tcMar>
            <w:vAlign w:val="center"/>
          </w:tcPr>
          <w:p w14:paraId="03C7D48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1,431.37</w:t>
            </w:r>
          </w:p>
        </w:tc>
        <w:tc>
          <w:tcPr>
            <w:tcW w:w="508" w:type="pct"/>
            <w:shd w:val="clear" w:color="auto" w:fill="auto"/>
            <w:tcMar>
              <w:top w:w="0" w:type="dxa"/>
              <w:left w:w="108" w:type="dxa"/>
              <w:bottom w:w="0" w:type="dxa"/>
              <w:right w:w="108" w:type="dxa"/>
            </w:tcMar>
            <w:vAlign w:val="center"/>
          </w:tcPr>
          <w:p w14:paraId="2431A4A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0.48%</w:t>
            </w:r>
          </w:p>
        </w:tc>
        <w:tc>
          <w:tcPr>
            <w:tcW w:w="606" w:type="pct"/>
            <w:gridSpan w:val="2"/>
            <w:shd w:val="clear" w:color="auto" w:fill="auto"/>
            <w:tcMar>
              <w:top w:w="0" w:type="dxa"/>
              <w:left w:w="108" w:type="dxa"/>
              <w:bottom w:w="0" w:type="dxa"/>
              <w:right w:w="108" w:type="dxa"/>
            </w:tcMar>
            <w:vAlign w:val="center"/>
          </w:tcPr>
          <w:p w14:paraId="1F85569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5,612.69</w:t>
            </w:r>
          </w:p>
        </w:tc>
        <w:tc>
          <w:tcPr>
            <w:tcW w:w="511" w:type="pct"/>
            <w:shd w:val="clear" w:color="auto" w:fill="auto"/>
            <w:tcMar>
              <w:top w:w="0" w:type="dxa"/>
              <w:left w:w="108" w:type="dxa"/>
              <w:bottom w:w="0" w:type="dxa"/>
              <w:right w:w="108" w:type="dxa"/>
            </w:tcMar>
            <w:vAlign w:val="center"/>
          </w:tcPr>
          <w:p w14:paraId="59575E6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1.04%</w:t>
            </w:r>
          </w:p>
        </w:tc>
        <w:tc>
          <w:tcPr>
            <w:tcW w:w="853" w:type="pct"/>
            <w:shd w:val="clear" w:color="auto" w:fill="auto"/>
            <w:tcMar>
              <w:top w:w="0" w:type="dxa"/>
              <w:left w:w="108" w:type="dxa"/>
              <w:bottom w:w="0" w:type="dxa"/>
              <w:right w:w="108" w:type="dxa"/>
            </w:tcMar>
            <w:vAlign w:val="center"/>
          </w:tcPr>
          <w:p w14:paraId="07CD922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4,181.32</w:t>
            </w:r>
          </w:p>
        </w:tc>
        <w:tc>
          <w:tcPr>
            <w:tcW w:w="694" w:type="pct"/>
            <w:shd w:val="clear" w:color="auto" w:fill="auto"/>
            <w:tcMar>
              <w:top w:w="0" w:type="dxa"/>
              <w:left w:w="108" w:type="dxa"/>
              <w:bottom w:w="0" w:type="dxa"/>
              <w:right w:w="108" w:type="dxa"/>
            </w:tcMar>
            <w:vAlign w:val="center"/>
          </w:tcPr>
          <w:p w14:paraId="746D8C6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292.12%</w:t>
            </w:r>
          </w:p>
        </w:tc>
      </w:tr>
      <w:tr w:rsidR="006416B0" w:rsidRPr="00B4515A" w14:paraId="7ADA1C0F"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486BF674"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无形资产</w:t>
            </w:r>
          </w:p>
        </w:tc>
        <w:tc>
          <w:tcPr>
            <w:tcW w:w="744" w:type="pct"/>
            <w:shd w:val="clear" w:color="auto" w:fill="auto"/>
            <w:tcMar>
              <w:top w:w="0" w:type="dxa"/>
              <w:left w:w="108" w:type="dxa"/>
              <w:bottom w:w="0" w:type="dxa"/>
              <w:right w:w="108" w:type="dxa"/>
            </w:tcMar>
            <w:vAlign w:val="center"/>
          </w:tcPr>
          <w:p w14:paraId="70DA9B6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14,221.33</w:t>
            </w:r>
          </w:p>
        </w:tc>
        <w:tc>
          <w:tcPr>
            <w:tcW w:w="508" w:type="pct"/>
            <w:shd w:val="clear" w:color="auto" w:fill="auto"/>
            <w:tcMar>
              <w:top w:w="0" w:type="dxa"/>
              <w:left w:w="108" w:type="dxa"/>
              <w:bottom w:w="0" w:type="dxa"/>
              <w:right w:w="108" w:type="dxa"/>
            </w:tcMar>
            <w:vAlign w:val="center"/>
          </w:tcPr>
          <w:p w14:paraId="0D88A16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4.77%</w:t>
            </w:r>
          </w:p>
        </w:tc>
        <w:tc>
          <w:tcPr>
            <w:tcW w:w="606" w:type="pct"/>
            <w:gridSpan w:val="2"/>
            <w:shd w:val="clear" w:color="auto" w:fill="auto"/>
            <w:tcMar>
              <w:top w:w="0" w:type="dxa"/>
              <w:left w:w="108" w:type="dxa"/>
              <w:bottom w:w="0" w:type="dxa"/>
              <w:right w:w="108" w:type="dxa"/>
            </w:tcMar>
            <w:vAlign w:val="center"/>
          </w:tcPr>
          <w:p w14:paraId="4DA49DF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19,538.29</w:t>
            </w:r>
          </w:p>
        </w:tc>
        <w:tc>
          <w:tcPr>
            <w:tcW w:w="511" w:type="pct"/>
            <w:shd w:val="clear" w:color="auto" w:fill="auto"/>
            <w:tcMar>
              <w:top w:w="0" w:type="dxa"/>
              <w:left w:w="108" w:type="dxa"/>
              <w:bottom w:w="0" w:type="dxa"/>
              <w:right w:w="108" w:type="dxa"/>
            </w:tcMar>
            <w:vAlign w:val="center"/>
          </w:tcPr>
          <w:p w14:paraId="3F4C293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3.63%</w:t>
            </w:r>
          </w:p>
        </w:tc>
        <w:tc>
          <w:tcPr>
            <w:tcW w:w="853" w:type="pct"/>
            <w:shd w:val="clear" w:color="auto" w:fill="auto"/>
            <w:tcMar>
              <w:top w:w="0" w:type="dxa"/>
              <w:left w:w="108" w:type="dxa"/>
              <w:bottom w:w="0" w:type="dxa"/>
              <w:right w:w="108" w:type="dxa"/>
            </w:tcMar>
            <w:vAlign w:val="center"/>
          </w:tcPr>
          <w:p w14:paraId="67D6678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5,316.96</w:t>
            </w:r>
          </w:p>
        </w:tc>
        <w:tc>
          <w:tcPr>
            <w:tcW w:w="694" w:type="pct"/>
            <w:shd w:val="clear" w:color="auto" w:fill="auto"/>
            <w:tcMar>
              <w:top w:w="0" w:type="dxa"/>
              <w:left w:w="108" w:type="dxa"/>
              <w:bottom w:w="0" w:type="dxa"/>
              <w:right w:w="108" w:type="dxa"/>
            </w:tcMar>
            <w:vAlign w:val="center"/>
          </w:tcPr>
          <w:p w14:paraId="274E1DC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37.39%</w:t>
            </w:r>
          </w:p>
        </w:tc>
      </w:tr>
      <w:tr w:rsidR="006416B0" w:rsidRPr="00B4515A" w14:paraId="5C6FF7AB"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1C735C72"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开发支出</w:t>
            </w:r>
          </w:p>
        </w:tc>
        <w:tc>
          <w:tcPr>
            <w:tcW w:w="744" w:type="pct"/>
            <w:shd w:val="clear" w:color="auto" w:fill="auto"/>
            <w:tcMar>
              <w:top w:w="0" w:type="dxa"/>
              <w:left w:w="108" w:type="dxa"/>
              <w:bottom w:w="0" w:type="dxa"/>
              <w:right w:w="108" w:type="dxa"/>
            </w:tcMar>
            <w:vAlign w:val="center"/>
          </w:tcPr>
          <w:p w14:paraId="10AE319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10,698.92</w:t>
            </w:r>
          </w:p>
        </w:tc>
        <w:tc>
          <w:tcPr>
            <w:tcW w:w="508" w:type="pct"/>
            <w:shd w:val="clear" w:color="auto" w:fill="auto"/>
            <w:tcMar>
              <w:top w:w="0" w:type="dxa"/>
              <w:left w:w="108" w:type="dxa"/>
              <w:bottom w:w="0" w:type="dxa"/>
              <w:right w:w="108" w:type="dxa"/>
            </w:tcMar>
            <w:vAlign w:val="center"/>
          </w:tcPr>
          <w:p w14:paraId="05B1663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3.59%</w:t>
            </w:r>
          </w:p>
        </w:tc>
        <w:tc>
          <w:tcPr>
            <w:tcW w:w="606" w:type="pct"/>
            <w:gridSpan w:val="2"/>
            <w:shd w:val="clear" w:color="auto" w:fill="auto"/>
            <w:tcMar>
              <w:top w:w="0" w:type="dxa"/>
              <w:left w:w="108" w:type="dxa"/>
              <w:bottom w:w="0" w:type="dxa"/>
              <w:right w:w="108" w:type="dxa"/>
            </w:tcMar>
            <w:vAlign w:val="center"/>
          </w:tcPr>
          <w:p w14:paraId="01AA34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12,643.75</w:t>
            </w:r>
          </w:p>
        </w:tc>
        <w:tc>
          <w:tcPr>
            <w:tcW w:w="511" w:type="pct"/>
            <w:shd w:val="clear" w:color="auto" w:fill="auto"/>
            <w:tcMar>
              <w:top w:w="0" w:type="dxa"/>
              <w:left w:w="108" w:type="dxa"/>
              <w:bottom w:w="0" w:type="dxa"/>
              <w:right w:w="108" w:type="dxa"/>
            </w:tcMar>
            <w:vAlign w:val="center"/>
          </w:tcPr>
          <w:p w14:paraId="79B49B2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2.35%</w:t>
            </w:r>
          </w:p>
        </w:tc>
        <w:tc>
          <w:tcPr>
            <w:tcW w:w="853" w:type="pct"/>
            <w:shd w:val="clear" w:color="auto" w:fill="auto"/>
            <w:tcMar>
              <w:top w:w="0" w:type="dxa"/>
              <w:left w:w="108" w:type="dxa"/>
              <w:bottom w:w="0" w:type="dxa"/>
              <w:right w:w="108" w:type="dxa"/>
            </w:tcMar>
            <w:vAlign w:val="center"/>
          </w:tcPr>
          <w:p w14:paraId="20B0349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1,944.83</w:t>
            </w:r>
          </w:p>
        </w:tc>
        <w:tc>
          <w:tcPr>
            <w:tcW w:w="694" w:type="pct"/>
            <w:shd w:val="clear" w:color="auto" w:fill="auto"/>
            <w:tcMar>
              <w:top w:w="0" w:type="dxa"/>
              <w:left w:w="108" w:type="dxa"/>
              <w:bottom w:w="0" w:type="dxa"/>
              <w:right w:w="108" w:type="dxa"/>
            </w:tcMar>
            <w:vAlign w:val="center"/>
          </w:tcPr>
          <w:p w14:paraId="22DEE7D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18.18%</w:t>
            </w:r>
          </w:p>
        </w:tc>
      </w:tr>
      <w:tr w:rsidR="006416B0" w:rsidRPr="00B4515A" w14:paraId="4B49EF97"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4E7D448B"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商誉</w:t>
            </w:r>
          </w:p>
        </w:tc>
        <w:tc>
          <w:tcPr>
            <w:tcW w:w="744" w:type="pct"/>
            <w:shd w:val="clear" w:color="auto" w:fill="auto"/>
            <w:tcMar>
              <w:top w:w="0" w:type="dxa"/>
              <w:left w:w="108" w:type="dxa"/>
              <w:bottom w:w="0" w:type="dxa"/>
              <w:right w:w="108" w:type="dxa"/>
            </w:tcMar>
            <w:vAlign w:val="center"/>
          </w:tcPr>
          <w:p w14:paraId="36BB782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154.26</w:t>
            </w:r>
          </w:p>
        </w:tc>
        <w:tc>
          <w:tcPr>
            <w:tcW w:w="508" w:type="pct"/>
            <w:shd w:val="clear" w:color="auto" w:fill="auto"/>
            <w:tcMar>
              <w:top w:w="0" w:type="dxa"/>
              <w:left w:w="108" w:type="dxa"/>
              <w:bottom w:w="0" w:type="dxa"/>
              <w:right w:w="108" w:type="dxa"/>
            </w:tcMar>
            <w:vAlign w:val="center"/>
          </w:tcPr>
          <w:p w14:paraId="50FCC94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0.05%</w:t>
            </w:r>
          </w:p>
        </w:tc>
        <w:tc>
          <w:tcPr>
            <w:tcW w:w="606" w:type="pct"/>
            <w:gridSpan w:val="2"/>
            <w:shd w:val="clear" w:color="auto" w:fill="auto"/>
            <w:tcMar>
              <w:top w:w="0" w:type="dxa"/>
              <w:left w:w="108" w:type="dxa"/>
              <w:bottom w:w="0" w:type="dxa"/>
              <w:right w:w="108" w:type="dxa"/>
            </w:tcMar>
            <w:vAlign w:val="center"/>
          </w:tcPr>
          <w:p w14:paraId="0CC29E9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154.26</w:t>
            </w:r>
          </w:p>
        </w:tc>
        <w:tc>
          <w:tcPr>
            <w:tcW w:w="511" w:type="pct"/>
            <w:shd w:val="clear" w:color="auto" w:fill="auto"/>
            <w:tcMar>
              <w:top w:w="0" w:type="dxa"/>
              <w:left w:w="108" w:type="dxa"/>
              <w:bottom w:w="0" w:type="dxa"/>
              <w:right w:w="108" w:type="dxa"/>
            </w:tcMar>
            <w:vAlign w:val="center"/>
          </w:tcPr>
          <w:p w14:paraId="214A82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0.03%</w:t>
            </w:r>
          </w:p>
        </w:tc>
        <w:tc>
          <w:tcPr>
            <w:tcW w:w="853" w:type="pct"/>
            <w:shd w:val="clear" w:color="auto" w:fill="auto"/>
            <w:tcMar>
              <w:top w:w="0" w:type="dxa"/>
              <w:left w:w="108" w:type="dxa"/>
              <w:bottom w:w="0" w:type="dxa"/>
              <w:right w:w="108" w:type="dxa"/>
            </w:tcMar>
            <w:vAlign w:val="center"/>
          </w:tcPr>
          <w:p w14:paraId="427501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94" w:type="pct"/>
            <w:shd w:val="clear" w:color="auto" w:fill="auto"/>
            <w:tcMar>
              <w:top w:w="0" w:type="dxa"/>
              <w:left w:w="108" w:type="dxa"/>
              <w:bottom w:w="0" w:type="dxa"/>
              <w:right w:w="108" w:type="dxa"/>
            </w:tcMar>
            <w:vAlign w:val="center"/>
          </w:tcPr>
          <w:p w14:paraId="1DBF346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55F8AD22"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6E795915"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lastRenderedPageBreak/>
              <w:t>长期待摊费用</w:t>
            </w:r>
          </w:p>
        </w:tc>
        <w:tc>
          <w:tcPr>
            <w:tcW w:w="744" w:type="pct"/>
            <w:shd w:val="clear" w:color="auto" w:fill="auto"/>
            <w:tcMar>
              <w:top w:w="0" w:type="dxa"/>
              <w:left w:w="108" w:type="dxa"/>
              <w:bottom w:w="0" w:type="dxa"/>
              <w:right w:w="108" w:type="dxa"/>
            </w:tcMar>
            <w:vAlign w:val="center"/>
          </w:tcPr>
          <w:p w14:paraId="405B63A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967.89</w:t>
            </w:r>
          </w:p>
        </w:tc>
        <w:tc>
          <w:tcPr>
            <w:tcW w:w="508" w:type="pct"/>
            <w:shd w:val="clear" w:color="auto" w:fill="auto"/>
            <w:tcMar>
              <w:top w:w="0" w:type="dxa"/>
              <w:left w:w="108" w:type="dxa"/>
              <w:bottom w:w="0" w:type="dxa"/>
              <w:right w:w="108" w:type="dxa"/>
            </w:tcMar>
            <w:vAlign w:val="center"/>
          </w:tcPr>
          <w:p w14:paraId="0D0BD72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0.32%</w:t>
            </w:r>
          </w:p>
        </w:tc>
        <w:tc>
          <w:tcPr>
            <w:tcW w:w="606" w:type="pct"/>
            <w:gridSpan w:val="2"/>
            <w:shd w:val="clear" w:color="auto" w:fill="auto"/>
            <w:tcMar>
              <w:top w:w="0" w:type="dxa"/>
              <w:left w:w="108" w:type="dxa"/>
              <w:bottom w:w="0" w:type="dxa"/>
              <w:right w:w="108" w:type="dxa"/>
            </w:tcMar>
            <w:vAlign w:val="center"/>
          </w:tcPr>
          <w:p w14:paraId="1A4A2EA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1,036.83</w:t>
            </w:r>
          </w:p>
        </w:tc>
        <w:tc>
          <w:tcPr>
            <w:tcW w:w="511" w:type="pct"/>
            <w:shd w:val="clear" w:color="auto" w:fill="auto"/>
            <w:tcMar>
              <w:top w:w="0" w:type="dxa"/>
              <w:left w:w="108" w:type="dxa"/>
              <w:bottom w:w="0" w:type="dxa"/>
              <w:right w:w="108" w:type="dxa"/>
            </w:tcMar>
            <w:vAlign w:val="center"/>
          </w:tcPr>
          <w:p w14:paraId="2AEC0EE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0.19%</w:t>
            </w:r>
          </w:p>
        </w:tc>
        <w:tc>
          <w:tcPr>
            <w:tcW w:w="853" w:type="pct"/>
            <w:shd w:val="clear" w:color="auto" w:fill="auto"/>
            <w:tcMar>
              <w:top w:w="0" w:type="dxa"/>
              <w:left w:w="108" w:type="dxa"/>
              <w:bottom w:w="0" w:type="dxa"/>
              <w:right w:w="108" w:type="dxa"/>
            </w:tcMar>
            <w:vAlign w:val="center"/>
          </w:tcPr>
          <w:p w14:paraId="3D03F4F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68.93</w:t>
            </w:r>
          </w:p>
        </w:tc>
        <w:tc>
          <w:tcPr>
            <w:tcW w:w="694" w:type="pct"/>
            <w:shd w:val="clear" w:color="auto" w:fill="auto"/>
            <w:tcMar>
              <w:top w:w="0" w:type="dxa"/>
              <w:left w:w="108" w:type="dxa"/>
              <w:bottom w:w="0" w:type="dxa"/>
              <w:right w:w="108" w:type="dxa"/>
            </w:tcMar>
            <w:vAlign w:val="center"/>
          </w:tcPr>
          <w:p w14:paraId="5BDA04D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7.12%</w:t>
            </w:r>
          </w:p>
        </w:tc>
      </w:tr>
      <w:tr w:rsidR="006416B0" w:rsidRPr="00B4515A" w14:paraId="5546A9E2"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4016C2F3"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递延所得税资产</w:t>
            </w:r>
          </w:p>
        </w:tc>
        <w:tc>
          <w:tcPr>
            <w:tcW w:w="744" w:type="pct"/>
            <w:shd w:val="clear" w:color="auto" w:fill="auto"/>
            <w:tcMar>
              <w:top w:w="0" w:type="dxa"/>
              <w:left w:w="108" w:type="dxa"/>
              <w:bottom w:w="0" w:type="dxa"/>
              <w:right w:w="108" w:type="dxa"/>
            </w:tcMar>
            <w:vAlign w:val="center"/>
          </w:tcPr>
          <w:p w14:paraId="4441B6B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1,743.02</w:t>
            </w:r>
          </w:p>
        </w:tc>
        <w:tc>
          <w:tcPr>
            <w:tcW w:w="508" w:type="pct"/>
            <w:shd w:val="clear" w:color="auto" w:fill="auto"/>
            <w:tcMar>
              <w:top w:w="0" w:type="dxa"/>
              <w:left w:w="108" w:type="dxa"/>
              <w:bottom w:w="0" w:type="dxa"/>
              <w:right w:w="108" w:type="dxa"/>
            </w:tcMar>
            <w:vAlign w:val="center"/>
          </w:tcPr>
          <w:p w14:paraId="280AC36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0.58%</w:t>
            </w:r>
          </w:p>
        </w:tc>
        <w:tc>
          <w:tcPr>
            <w:tcW w:w="606" w:type="pct"/>
            <w:gridSpan w:val="2"/>
            <w:shd w:val="clear" w:color="auto" w:fill="auto"/>
            <w:tcMar>
              <w:top w:w="0" w:type="dxa"/>
              <w:left w:w="108" w:type="dxa"/>
              <w:bottom w:w="0" w:type="dxa"/>
              <w:right w:w="108" w:type="dxa"/>
            </w:tcMar>
            <w:vAlign w:val="center"/>
          </w:tcPr>
          <w:p w14:paraId="3FF6054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1,743.02</w:t>
            </w:r>
          </w:p>
        </w:tc>
        <w:tc>
          <w:tcPr>
            <w:tcW w:w="511" w:type="pct"/>
            <w:shd w:val="clear" w:color="auto" w:fill="auto"/>
            <w:tcMar>
              <w:top w:w="0" w:type="dxa"/>
              <w:left w:w="108" w:type="dxa"/>
              <w:bottom w:w="0" w:type="dxa"/>
              <w:right w:w="108" w:type="dxa"/>
            </w:tcMar>
            <w:vAlign w:val="center"/>
          </w:tcPr>
          <w:p w14:paraId="5C345E1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0.32%</w:t>
            </w:r>
          </w:p>
        </w:tc>
        <w:tc>
          <w:tcPr>
            <w:tcW w:w="853" w:type="pct"/>
            <w:shd w:val="clear" w:color="auto" w:fill="auto"/>
            <w:tcMar>
              <w:top w:w="0" w:type="dxa"/>
              <w:left w:w="108" w:type="dxa"/>
              <w:bottom w:w="0" w:type="dxa"/>
              <w:right w:w="108" w:type="dxa"/>
            </w:tcMar>
            <w:vAlign w:val="center"/>
          </w:tcPr>
          <w:p w14:paraId="600B4DA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94" w:type="pct"/>
            <w:shd w:val="clear" w:color="auto" w:fill="auto"/>
            <w:tcMar>
              <w:top w:w="0" w:type="dxa"/>
              <w:left w:w="108" w:type="dxa"/>
              <w:bottom w:w="0" w:type="dxa"/>
              <w:right w:w="108" w:type="dxa"/>
            </w:tcMar>
            <w:vAlign w:val="center"/>
          </w:tcPr>
          <w:p w14:paraId="2CAF1F0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27C55C3A"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12F0287C" w14:textId="77777777" w:rsidR="006416B0" w:rsidRPr="00B4515A" w:rsidRDefault="005E58C1" w:rsidP="005860B4">
            <w:pPr>
              <w:adjustRightInd w:val="0"/>
              <w:snapToGrid w:val="0"/>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非流动资产合计</w:t>
            </w:r>
          </w:p>
        </w:tc>
        <w:tc>
          <w:tcPr>
            <w:tcW w:w="744" w:type="pct"/>
            <w:shd w:val="clear" w:color="auto" w:fill="auto"/>
            <w:tcMar>
              <w:top w:w="0" w:type="dxa"/>
              <w:left w:w="108" w:type="dxa"/>
              <w:bottom w:w="0" w:type="dxa"/>
              <w:right w:w="108" w:type="dxa"/>
            </w:tcMar>
            <w:vAlign w:val="center"/>
          </w:tcPr>
          <w:p w14:paraId="224DC74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177,529.28</w:t>
            </w:r>
          </w:p>
        </w:tc>
        <w:tc>
          <w:tcPr>
            <w:tcW w:w="508" w:type="pct"/>
            <w:shd w:val="clear" w:color="auto" w:fill="auto"/>
            <w:tcMar>
              <w:top w:w="0" w:type="dxa"/>
              <w:left w:w="108" w:type="dxa"/>
              <w:bottom w:w="0" w:type="dxa"/>
              <w:right w:w="108" w:type="dxa"/>
            </w:tcMar>
            <w:vAlign w:val="center"/>
          </w:tcPr>
          <w:p w14:paraId="1CE3E643"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59.57%</w:t>
            </w:r>
          </w:p>
        </w:tc>
        <w:tc>
          <w:tcPr>
            <w:tcW w:w="606" w:type="pct"/>
            <w:gridSpan w:val="2"/>
            <w:shd w:val="clear" w:color="auto" w:fill="auto"/>
            <w:tcMar>
              <w:top w:w="0" w:type="dxa"/>
              <w:left w:w="108" w:type="dxa"/>
              <w:bottom w:w="0" w:type="dxa"/>
              <w:right w:w="108" w:type="dxa"/>
            </w:tcMar>
            <w:vAlign w:val="center"/>
          </w:tcPr>
          <w:p w14:paraId="6E05538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205,496.71</w:t>
            </w:r>
          </w:p>
        </w:tc>
        <w:tc>
          <w:tcPr>
            <w:tcW w:w="511" w:type="pct"/>
            <w:shd w:val="clear" w:color="auto" w:fill="auto"/>
            <w:tcMar>
              <w:top w:w="0" w:type="dxa"/>
              <w:left w:w="108" w:type="dxa"/>
              <w:bottom w:w="0" w:type="dxa"/>
              <w:right w:w="108" w:type="dxa"/>
            </w:tcMar>
            <w:vAlign w:val="center"/>
          </w:tcPr>
          <w:p w14:paraId="5D62754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38.14%</w:t>
            </w:r>
          </w:p>
        </w:tc>
        <w:tc>
          <w:tcPr>
            <w:tcW w:w="853" w:type="pct"/>
            <w:shd w:val="clear" w:color="auto" w:fill="auto"/>
            <w:tcMar>
              <w:top w:w="0" w:type="dxa"/>
              <w:left w:w="108" w:type="dxa"/>
              <w:bottom w:w="0" w:type="dxa"/>
              <w:right w:w="108" w:type="dxa"/>
            </w:tcMar>
            <w:vAlign w:val="center"/>
          </w:tcPr>
          <w:p w14:paraId="2539FBC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27,967.43</w:t>
            </w:r>
          </w:p>
        </w:tc>
        <w:tc>
          <w:tcPr>
            <w:tcW w:w="694" w:type="pct"/>
            <w:shd w:val="clear" w:color="auto" w:fill="auto"/>
            <w:tcMar>
              <w:top w:w="0" w:type="dxa"/>
              <w:left w:w="108" w:type="dxa"/>
              <w:bottom w:w="0" w:type="dxa"/>
              <w:right w:w="108" w:type="dxa"/>
            </w:tcMar>
            <w:vAlign w:val="center"/>
          </w:tcPr>
          <w:p w14:paraId="3C7D237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15.75%</w:t>
            </w:r>
          </w:p>
        </w:tc>
      </w:tr>
      <w:tr w:rsidR="006416B0" w:rsidRPr="00B4515A" w14:paraId="5AB42AEB" w14:textId="77777777" w:rsidTr="003357B7">
        <w:trPr>
          <w:trHeight w:val="340"/>
          <w:jc w:val="center"/>
        </w:trPr>
        <w:tc>
          <w:tcPr>
            <w:tcW w:w="1083" w:type="pct"/>
            <w:shd w:val="clear" w:color="auto" w:fill="auto"/>
            <w:tcMar>
              <w:top w:w="0" w:type="dxa"/>
              <w:left w:w="108" w:type="dxa"/>
              <w:bottom w:w="0" w:type="dxa"/>
              <w:right w:w="108" w:type="dxa"/>
            </w:tcMar>
            <w:vAlign w:val="center"/>
          </w:tcPr>
          <w:p w14:paraId="596FDD0F" w14:textId="77777777" w:rsidR="006416B0" w:rsidRPr="00B4515A" w:rsidRDefault="005E58C1" w:rsidP="005860B4">
            <w:pPr>
              <w:adjustRightInd w:val="0"/>
              <w:snapToGrid w:val="0"/>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资产总计</w:t>
            </w:r>
          </w:p>
        </w:tc>
        <w:tc>
          <w:tcPr>
            <w:tcW w:w="744" w:type="pct"/>
            <w:shd w:val="clear" w:color="auto" w:fill="auto"/>
            <w:tcMar>
              <w:top w:w="0" w:type="dxa"/>
              <w:left w:w="108" w:type="dxa"/>
              <w:bottom w:w="0" w:type="dxa"/>
              <w:right w:w="108" w:type="dxa"/>
            </w:tcMar>
            <w:vAlign w:val="center"/>
          </w:tcPr>
          <w:p w14:paraId="338066E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298,000.05</w:t>
            </w:r>
          </w:p>
        </w:tc>
        <w:tc>
          <w:tcPr>
            <w:tcW w:w="508" w:type="pct"/>
            <w:shd w:val="clear" w:color="auto" w:fill="auto"/>
            <w:tcMar>
              <w:top w:w="0" w:type="dxa"/>
              <w:left w:w="108" w:type="dxa"/>
              <w:bottom w:w="0" w:type="dxa"/>
              <w:right w:w="108" w:type="dxa"/>
            </w:tcMar>
            <w:vAlign w:val="center"/>
          </w:tcPr>
          <w:p w14:paraId="5FF9BA8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06" w:type="pct"/>
            <w:gridSpan w:val="2"/>
            <w:shd w:val="clear" w:color="auto" w:fill="auto"/>
            <w:tcMar>
              <w:top w:w="0" w:type="dxa"/>
              <w:left w:w="108" w:type="dxa"/>
              <w:bottom w:w="0" w:type="dxa"/>
              <w:right w:w="108" w:type="dxa"/>
            </w:tcMar>
            <w:vAlign w:val="center"/>
          </w:tcPr>
          <w:p w14:paraId="0A760033"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538,861.16</w:t>
            </w:r>
          </w:p>
        </w:tc>
        <w:tc>
          <w:tcPr>
            <w:tcW w:w="511" w:type="pct"/>
            <w:shd w:val="clear" w:color="auto" w:fill="auto"/>
            <w:tcMar>
              <w:top w:w="0" w:type="dxa"/>
              <w:left w:w="108" w:type="dxa"/>
              <w:bottom w:w="0" w:type="dxa"/>
              <w:right w:w="108" w:type="dxa"/>
            </w:tcMar>
            <w:vAlign w:val="center"/>
          </w:tcPr>
          <w:p w14:paraId="6BF2639D"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853" w:type="pct"/>
            <w:shd w:val="clear" w:color="auto" w:fill="auto"/>
            <w:tcMar>
              <w:top w:w="0" w:type="dxa"/>
              <w:left w:w="108" w:type="dxa"/>
              <w:bottom w:w="0" w:type="dxa"/>
              <w:right w:w="108" w:type="dxa"/>
            </w:tcMar>
            <w:vAlign w:val="center"/>
          </w:tcPr>
          <w:p w14:paraId="4CE47BFD"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240,861.10</w:t>
            </w:r>
          </w:p>
        </w:tc>
        <w:tc>
          <w:tcPr>
            <w:tcW w:w="694" w:type="pct"/>
            <w:shd w:val="clear" w:color="auto" w:fill="auto"/>
            <w:tcMar>
              <w:top w:w="0" w:type="dxa"/>
              <w:left w:w="108" w:type="dxa"/>
              <w:bottom w:w="0" w:type="dxa"/>
              <w:right w:w="108" w:type="dxa"/>
            </w:tcMar>
            <w:vAlign w:val="center"/>
          </w:tcPr>
          <w:p w14:paraId="74757FC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80.83%</w:t>
            </w:r>
          </w:p>
        </w:tc>
      </w:tr>
    </w:tbl>
    <w:p w14:paraId="4CDF5E99" w14:textId="77777777" w:rsidR="006416B0" w:rsidRPr="00B4515A" w:rsidRDefault="006416B0" w:rsidP="003357B7">
      <w:pPr>
        <w:pStyle w:val="005"/>
        <w:spacing w:before="120" w:after="120"/>
        <w:ind w:firstLine="480"/>
      </w:pPr>
    </w:p>
    <w:p w14:paraId="303CFCA2" w14:textId="77777777" w:rsidR="006416B0" w:rsidRPr="00B4515A" w:rsidRDefault="005E58C1" w:rsidP="003357B7">
      <w:pPr>
        <w:pStyle w:val="009"/>
      </w:pPr>
      <w:r w:rsidRPr="00B4515A">
        <w:rPr>
          <w:rFonts w:hint="eastAsia"/>
        </w:rPr>
        <w:t>单位：万元</w:t>
      </w:r>
    </w:p>
    <w:p w14:paraId="2EB49FA8" w14:textId="77777777" w:rsidR="006416B0" w:rsidRPr="00B4515A" w:rsidRDefault="005E58C1" w:rsidP="003357B7">
      <w:pPr>
        <w:keepNext/>
        <w:spacing w:line="360" w:lineRule="auto"/>
        <w:ind w:firstLineChars="200" w:firstLine="422"/>
        <w:jc w:val="center"/>
        <w:rPr>
          <w:rFonts w:ascii="Times New Roman" w:eastAsiaTheme="minorEastAsia" w:hAnsi="Times New Roman" w:cs="Times New Roman"/>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 xml:space="preserve"> 12 </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 xml:space="preserve"> 31 </w:t>
      </w:r>
      <w:r w:rsidRPr="00B4515A">
        <w:rPr>
          <w:rFonts w:ascii="Times New Roman" w:eastAsiaTheme="minorEastAsia" w:hAnsi="Times New Roman" w:cs="Times New Roman"/>
          <w:b/>
          <w:bCs/>
          <w:color w:val="000000"/>
          <w:sz w:val="21"/>
          <w:szCs w:val="21"/>
        </w:rPr>
        <w:t>日</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623"/>
        <w:gridCol w:w="1226"/>
        <w:gridCol w:w="1004"/>
        <w:gridCol w:w="1289"/>
        <w:gridCol w:w="1004"/>
        <w:gridCol w:w="1308"/>
        <w:gridCol w:w="1074"/>
      </w:tblGrid>
      <w:tr w:rsidR="006416B0" w:rsidRPr="00B4515A" w14:paraId="653E5725" w14:textId="77777777" w:rsidTr="003357B7">
        <w:trPr>
          <w:trHeight w:val="340"/>
          <w:jc w:val="center"/>
        </w:trPr>
        <w:tc>
          <w:tcPr>
            <w:tcW w:w="962" w:type="pct"/>
            <w:vMerge w:val="restart"/>
            <w:shd w:val="clear" w:color="auto" w:fill="auto"/>
            <w:tcMar>
              <w:top w:w="0" w:type="dxa"/>
              <w:left w:w="108" w:type="dxa"/>
              <w:bottom w:w="0" w:type="dxa"/>
              <w:right w:w="108" w:type="dxa"/>
            </w:tcMar>
            <w:vAlign w:val="center"/>
          </w:tcPr>
          <w:p w14:paraId="625DAA7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1297" w:type="pct"/>
            <w:gridSpan w:val="2"/>
            <w:shd w:val="clear" w:color="auto" w:fill="auto"/>
            <w:tcMar>
              <w:top w:w="0" w:type="dxa"/>
              <w:left w:w="108" w:type="dxa"/>
              <w:bottom w:w="0" w:type="dxa"/>
              <w:right w:w="108" w:type="dxa"/>
            </w:tcMar>
            <w:vAlign w:val="center"/>
          </w:tcPr>
          <w:p w14:paraId="3E61D7D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交易前</w:t>
            </w:r>
          </w:p>
        </w:tc>
        <w:tc>
          <w:tcPr>
            <w:tcW w:w="1336" w:type="pct"/>
            <w:gridSpan w:val="2"/>
            <w:shd w:val="clear" w:color="auto" w:fill="auto"/>
            <w:tcMar>
              <w:top w:w="0" w:type="dxa"/>
              <w:left w:w="108" w:type="dxa"/>
              <w:bottom w:w="0" w:type="dxa"/>
              <w:right w:w="108" w:type="dxa"/>
            </w:tcMar>
            <w:vAlign w:val="center"/>
          </w:tcPr>
          <w:p w14:paraId="4AA35FC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交易后（备考）</w:t>
            </w:r>
          </w:p>
        </w:tc>
        <w:tc>
          <w:tcPr>
            <w:tcW w:w="1404" w:type="pct"/>
            <w:gridSpan w:val="2"/>
            <w:shd w:val="clear" w:color="auto" w:fill="auto"/>
            <w:tcMar>
              <w:top w:w="0" w:type="dxa"/>
              <w:left w:w="108" w:type="dxa"/>
              <w:bottom w:w="0" w:type="dxa"/>
              <w:right w:w="108" w:type="dxa"/>
            </w:tcMar>
            <w:vAlign w:val="center"/>
          </w:tcPr>
          <w:p w14:paraId="789E1FF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变化情况</w:t>
            </w:r>
          </w:p>
        </w:tc>
      </w:tr>
      <w:tr w:rsidR="006416B0" w:rsidRPr="00B4515A" w14:paraId="25E3EFFD" w14:textId="77777777" w:rsidTr="003357B7">
        <w:trPr>
          <w:trHeight w:val="340"/>
          <w:jc w:val="center"/>
        </w:trPr>
        <w:tc>
          <w:tcPr>
            <w:tcW w:w="962" w:type="pct"/>
            <w:vMerge/>
            <w:tcMar>
              <w:top w:w="0" w:type="dxa"/>
              <w:left w:w="108" w:type="dxa"/>
              <w:bottom w:w="0" w:type="dxa"/>
              <w:right w:w="108" w:type="dxa"/>
            </w:tcMar>
            <w:vAlign w:val="center"/>
          </w:tcPr>
          <w:p w14:paraId="23A21AA8"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729" w:type="pct"/>
            <w:shd w:val="clear" w:color="auto" w:fill="auto"/>
            <w:tcMar>
              <w:top w:w="0" w:type="dxa"/>
              <w:left w:w="108" w:type="dxa"/>
              <w:bottom w:w="0" w:type="dxa"/>
              <w:right w:w="108" w:type="dxa"/>
            </w:tcMar>
            <w:vAlign w:val="center"/>
          </w:tcPr>
          <w:p w14:paraId="1CE56E4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金额</w:t>
            </w:r>
          </w:p>
        </w:tc>
        <w:tc>
          <w:tcPr>
            <w:tcW w:w="568" w:type="pct"/>
            <w:shd w:val="clear" w:color="auto" w:fill="auto"/>
            <w:tcMar>
              <w:top w:w="0" w:type="dxa"/>
              <w:left w:w="108" w:type="dxa"/>
              <w:bottom w:w="0" w:type="dxa"/>
              <w:right w:w="108" w:type="dxa"/>
            </w:tcMar>
            <w:vAlign w:val="center"/>
          </w:tcPr>
          <w:p w14:paraId="28C586E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占比</w:t>
            </w:r>
          </w:p>
        </w:tc>
        <w:tc>
          <w:tcPr>
            <w:tcW w:w="766" w:type="pct"/>
            <w:shd w:val="clear" w:color="auto" w:fill="auto"/>
            <w:tcMar>
              <w:top w:w="0" w:type="dxa"/>
              <w:left w:w="108" w:type="dxa"/>
              <w:bottom w:w="0" w:type="dxa"/>
              <w:right w:w="108" w:type="dxa"/>
            </w:tcMar>
            <w:vAlign w:val="center"/>
          </w:tcPr>
          <w:p w14:paraId="3CD5C46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金额</w:t>
            </w:r>
          </w:p>
        </w:tc>
        <w:tc>
          <w:tcPr>
            <w:tcW w:w="570" w:type="pct"/>
            <w:shd w:val="clear" w:color="auto" w:fill="auto"/>
            <w:tcMar>
              <w:top w:w="0" w:type="dxa"/>
              <w:left w:w="108" w:type="dxa"/>
              <w:bottom w:w="0" w:type="dxa"/>
              <w:right w:w="108" w:type="dxa"/>
            </w:tcMar>
            <w:vAlign w:val="center"/>
          </w:tcPr>
          <w:p w14:paraId="6FDBA35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占比</w:t>
            </w:r>
          </w:p>
        </w:tc>
        <w:tc>
          <w:tcPr>
            <w:tcW w:w="777" w:type="pct"/>
            <w:shd w:val="clear" w:color="auto" w:fill="auto"/>
            <w:tcMar>
              <w:top w:w="0" w:type="dxa"/>
              <w:left w:w="108" w:type="dxa"/>
              <w:bottom w:w="0" w:type="dxa"/>
              <w:right w:w="108" w:type="dxa"/>
            </w:tcMar>
            <w:vAlign w:val="center"/>
          </w:tcPr>
          <w:p w14:paraId="581716B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金额</w:t>
            </w:r>
          </w:p>
        </w:tc>
        <w:tc>
          <w:tcPr>
            <w:tcW w:w="627" w:type="pct"/>
            <w:shd w:val="clear" w:color="auto" w:fill="auto"/>
            <w:tcMar>
              <w:top w:w="0" w:type="dxa"/>
              <w:left w:w="108" w:type="dxa"/>
              <w:bottom w:w="0" w:type="dxa"/>
              <w:right w:w="108" w:type="dxa"/>
            </w:tcMar>
            <w:vAlign w:val="center"/>
          </w:tcPr>
          <w:p w14:paraId="08CFC5C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变化率</w:t>
            </w:r>
          </w:p>
        </w:tc>
      </w:tr>
      <w:tr w:rsidR="006416B0" w:rsidRPr="00B4515A" w14:paraId="068D964E" w14:textId="77777777" w:rsidTr="003357B7">
        <w:trPr>
          <w:trHeight w:val="340"/>
          <w:jc w:val="center"/>
        </w:trPr>
        <w:tc>
          <w:tcPr>
            <w:tcW w:w="962" w:type="pct"/>
            <w:shd w:val="clear" w:color="auto" w:fill="auto"/>
            <w:tcMar>
              <w:top w:w="0" w:type="dxa"/>
              <w:left w:w="108" w:type="dxa"/>
              <w:bottom w:w="0" w:type="dxa"/>
              <w:right w:w="108" w:type="dxa"/>
            </w:tcMar>
            <w:vAlign w:val="center"/>
          </w:tcPr>
          <w:p w14:paraId="347A7E53"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流动资产：</w:t>
            </w:r>
          </w:p>
        </w:tc>
        <w:tc>
          <w:tcPr>
            <w:tcW w:w="729" w:type="pct"/>
            <w:shd w:val="clear" w:color="auto" w:fill="auto"/>
            <w:tcMar>
              <w:top w:w="0" w:type="dxa"/>
              <w:left w:w="108" w:type="dxa"/>
              <w:bottom w:w="0" w:type="dxa"/>
              <w:right w:w="108" w:type="dxa"/>
            </w:tcMar>
            <w:vAlign w:val="center"/>
          </w:tcPr>
          <w:p w14:paraId="5A4CFF95"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568" w:type="pct"/>
            <w:shd w:val="clear" w:color="auto" w:fill="auto"/>
            <w:tcMar>
              <w:top w:w="0" w:type="dxa"/>
              <w:left w:w="108" w:type="dxa"/>
              <w:bottom w:w="0" w:type="dxa"/>
              <w:right w:w="108" w:type="dxa"/>
            </w:tcMar>
            <w:vAlign w:val="center"/>
          </w:tcPr>
          <w:p w14:paraId="56F5D144"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766" w:type="pct"/>
            <w:shd w:val="clear" w:color="auto" w:fill="auto"/>
            <w:tcMar>
              <w:top w:w="0" w:type="dxa"/>
              <w:left w:w="108" w:type="dxa"/>
              <w:bottom w:w="0" w:type="dxa"/>
              <w:right w:w="108" w:type="dxa"/>
            </w:tcMar>
            <w:vAlign w:val="center"/>
          </w:tcPr>
          <w:p w14:paraId="2F6A0B40"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570" w:type="pct"/>
            <w:shd w:val="clear" w:color="auto" w:fill="auto"/>
            <w:tcMar>
              <w:top w:w="0" w:type="dxa"/>
              <w:left w:w="108" w:type="dxa"/>
              <w:bottom w:w="0" w:type="dxa"/>
              <w:right w:w="108" w:type="dxa"/>
            </w:tcMar>
            <w:vAlign w:val="center"/>
          </w:tcPr>
          <w:p w14:paraId="123E5F29"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777" w:type="pct"/>
            <w:shd w:val="clear" w:color="auto" w:fill="auto"/>
            <w:tcMar>
              <w:top w:w="0" w:type="dxa"/>
              <w:left w:w="108" w:type="dxa"/>
              <w:bottom w:w="0" w:type="dxa"/>
              <w:right w:w="108" w:type="dxa"/>
            </w:tcMar>
            <w:vAlign w:val="center"/>
          </w:tcPr>
          <w:p w14:paraId="7DD55140"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627" w:type="pct"/>
            <w:shd w:val="clear" w:color="auto" w:fill="auto"/>
            <w:tcMar>
              <w:top w:w="0" w:type="dxa"/>
              <w:left w:w="108" w:type="dxa"/>
              <w:bottom w:w="0" w:type="dxa"/>
              <w:right w:w="108" w:type="dxa"/>
            </w:tcMar>
            <w:vAlign w:val="center"/>
          </w:tcPr>
          <w:p w14:paraId="7B9B0EA4"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6416B0" w:rsidRPr="00B4515A" w14:paraId="5912B7DF" w14:textId="77777777" w:rsidTr="003357B7">
        <w:trPr>
          <w:trHeight w:val="340"/>
          <w:jc w:val="center"/>
        </w:trPr>
        <w:tc>
          <w:tcPr>
            <w:tcW w:w="962" w:type="pct"/>
            <w:shd w:val="clear" w:color="auto" w:fill="auto"/>
            <w:tcMar>
              <w:top w:w="0" w:type="dxa"/>
              <w:left w:w="108" w:type="dxa"/>
              <w:bottom w:w="0" w:type="dxa"/>
              <w:right w:w="108" w:type="dxa"/>
            </w:tcMar>
            <w:vAlign w:val="center"/>
          </w:tcPr>
          <w:p w14:paraId="00CBD108"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货币资金</w:t>
            </w:r>
          </w:p>
        </w:tc>
        <w:tc>
          <w:tcPr>
            <w:tcW w:w="729" w:type="pct"/>
            <w:shd w:val="clear" w:color="auto" w:fill="auto"/>
            <w:tcMar>
              <w:top w:w="0" w:type="dxa"/>
              <w:left w:w="108" w:type="dxa"/>
              <w:bottom w:w="0" w:type="dxa"/>
              <w:right w:w="108" w:type="dxa"/>
            </w:tcMar>
            <w:vAlign w:val="center"/>
          </w:tcPr>
          <w:p w14:paraId="261ED73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30,712.29</w:t>
            </w:r>
          </w:p>
        </w:tc>
        <w:tc>
          <w:tcPr>
            <w:tcW w:w="568" w:type="pct"/>
            <w:shd w:val="clear" w:color="auto" w:fill="auto"/>
            <w:tcMar>
              <w:top w:w="0" w:type="dxa"/>
              <w:left w:w="108" w:type="dxa"/>
              <w:bottom w:w="0" w:type="dxa"/>
              <w:right w:w="108" w:type="dxa"/>
            </w:tcMar>
            <w:vAlign w:val="center"/>
          </w:tcPr>
          <w:p w14:paraId="0832C1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9.78%</w:t>
            </w:r>
          </w:p>
        </w:tc>
        <w:tc>
          <w:tcPr>
            <w:tcW w:w="766" w:type="pct"/>
            <w:shd w:val="clear" w:color="auto" w:fill="auto"/>
            <w:tcMar>
              <w:top w:w="0" w:type="dxa"/>
              <w:left w:w="108" w:type="dxa"/>
              <w:bottom w:w="0" w:type="dxa"/>
              <w:right w:w="108" w:type="dxa"/>
            </w:tcMar>
            <w:vAlign w:val="center"/>
          </w:tcPr>
          <w:p w14:paraId="1E3D02B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38,891.34</w:t>
            </w:r>
          </w:p>
        </w:tc>
        <w:tc>
          <w:tcPr>
            <w:tcW w:w="570" w:type="pct"/>
            <w:shd w:val="clear" w:color="auto" w:fill="auto"/>
            <w:tcMar>
              <w:top w:w="0" w:type="dxa"/>
              <w:left w:w="108" w:type="dxa"/>
              <w:bottom w:w="0" w:type="dxa"/>
              <w:right w:w="108" w:type="dxa"/>
            </w:tcMar>
            <w:vAlign w:val="center"/>
          </w:tcPr>
          <w:p w14:paraId="259F230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7.09%</w:t>
            </w:r>
          </w:p>
        </w:tc>
        <w:tc>
          <w:tcPr>
            <w:tcW w:w="777" w:type="pct"/>
            <w:shd w:val="clear" w:color="auto" w:fill="auto"/>
            <w:tcMar>
              <w:top w:w="0" w:type="dxa"/>
              <w:left w:w="108" w:type="dxa"/>
              <w:bottom w:w="0" w:type="dxa"/>
              <w:right w:w="108" w:type="dxa"/>
            </w:tcMar>
            <w:vAlign w:val="center"/>
          </w:tcPr>
          <w:p w14:paraId="650EB5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8,179.05</w:t>
            </w:r>
          </w:p>
        </w:tc>
        <w:tc>
          <w:tcPr>
            <w:tcW w:w="627" w:type="pct"/>
            <w:shd w:val="clear" w:color="auto" w:fill="auto"/>
            <w:tcMar>
              <w:top w:w="0" w:type="dxa"/>
              <w:left w:w="108" w:type="dxa"/>
              <w:bottom w:w="0" w:type="dxa"/>
              <w:right w:w="108" w:type="dxa"/>
            </w:tcMar>
            <w:vAlign w:val="center"/>
          </w:tcPr>
          <w:p w14:paraId="005F0A1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26.63%</w:t>
            </w:r>
          </w:p>
        </w:tc>
      </w:tr>
      <w:tr w:rsidR="006416B0" w:rsidRPr="00B4515A" w14:paraId="080E7DFE" w14:textId="77777777" w:rsidTr="003357B7">
        <w:trPr>
          <w:trHeight w:val="340"/>
          <w:jc w:val="center"/>
        </w:trPr>
        <w:tc>
          <w:tcPr>
            <w:tcW w:w="962" w:type="pct"/>
            <w:shd w:val="clear" w:color="auto" w:fill="auto"/>
            <w:tcMar>
              <w:top w:w="0" w:type="dxa"/>
              <w:left w:w="108" w:type="dxa"/>
              <w:bottom w:w="0" w:type="dxa"/>
              <w:right w:w="108" w:type="dxa"/>
            </w:tcMar>
            <w:vAlign w:val="center"/>
          </w:tcPr>
          <w:p w14:paraId="3E24C399"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应收票据</w:t>
            </w:r>
          </w:p>
        </w:tc>
        <w:tc>
          <w:tcPr>
            <w:tcW w:w="729" w:type="pct"/>
            <w:shd w:val="clear" w:color="auto" w:fill="auto"/>
            <w:tcMar>
              <w:top w:w="0" w:type="dxa"/>
              <w:left w:w="108" w:type="dxa"/>
              <w:bottom w:w="0" w:type="dxa"/>
              <w:right w:w="108" w:type="dxa"/>
            </w:tcMar>
            <w:vAlign w:val="center"/>
          </w:tcPr>
          <w:p w14:paraId="2370A7C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1,566.50</w:t>
            </w:r>
          </w:p>
        </w:tc>
        <w:tc>
          <w:tcPr>
            <w:tcW w:w="568" w:type="pct"/>
            <w:shd w:val="clear" w:color="auto" w:fill="auto"/>
            <w:tcMar>
              <w:top w:w="0" w:type="dxa"/>
              <w:left w:w="108" w:type="dxa"/>
              <w:bottom w:w="0" w:type="dxa"/>
              <w:right w:w="108" w:type="dxa"/>
            </w:tcMar>
            <w:vAlign w:val="center"/>
          </w:tcPr>
          <w:p w14:paraId="33E1B6B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0.50%</w:t>
            </w:r>
          </w:p>
        </w:tc>
        <w:tc>
          <w:tcPr>
            <w:tcW w:w="766" w:type="pct"/>
            <w:shd w:val="clear" w:color="auto" w:fill="auto"/>
            <w:tcMar>
              <w:top w:w="0" w:type="dxa"/>
              <w:left w:w="108" w:type="dxa"/>
              <w:bottom w:w="0" w:type="dxa"/>
              <w:right w:w="108" w:type="dxa"/>
            </w:tcMar>
            <w:vAlign w:val="center"/>
          </w:tcPr>
          <w:p w14:paraId="752C600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4,546.89</w:t>
            </w:r>
          </w:p>
        </w:tc>
        <w:tc>
          <w:tcPr>
            <w:tcW w:w="570" w:type="pct"/>
            <w:shd w:val="clear" w:color="auto" w:fill="auto"/>
            <w:tcMar>
              <w:top w:w="0" w:type="dxa"/>
              <w:left w:w="108" w:type="dxa"/>
              <w:bottom w:w="0" w:type="dxa"/>
              <w:right w:w="108" w:type="dxa"/>
            </w:tcMar>
            <w:vAlign w:val="center"/>
          </w:tcPr>
          <w:p w14:paraId="426BDD0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0.83%</w:t>
            </w:r>
          </w:p>
        </w:tc>
        <w:tc>
          <w:tcPr>
            <w:tcW w:w="777" w:type="pct"/>
            <w:shd w:val="clear" w:color="auto" w:fill="auto"/>
            <w:tcMar>
              <w:top w:w="0" w:type="dxa"/>
              <w:left w:w="108" w:type="dxa"/>
              <w:bottom w:w="0" w:type="dxa"/>
              <w:right w:w="108" w:type="dxa"/>
            </w:tcMar>
            <w:vAlign w:val="center"/>
          </w:tcPr>
          <w:p w14:paraId="3F0C421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2,980.39</w:t>
            </w:r>
          </w:p>
        </w:tc>
        <w:tc>
          <w:tcPr>
            <w:tcW w:w="627" w:type="pct"/>
            <w:shd w:val="clear" w:color="auto" w:fill="auto"/>
            <w:tcMar>
              <w:top w:w="0" w:type="dxa"/>
              <w:left w:w="108" w:type="dxa"/>
              <w:bottom w:w="0" w:type="dxa"/>
              <w:right w:w="108" w:type="dxa"/>
            </w:tcMar>
            <w:vAlign w:val="center"/>
          </w:tcPr>
          <w:p w14:paraId="544F7A2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190.26%</w:t>
            </w:r>
          </w:p>
        </w:tc>
      </w:tr>
      <w:tr w:rsidR="006416B0" w:rsidRPr="00B4515A" w14:paraId="63B4588C" w14:textId="77777777" w:rsidTr="003357B7">
        <w:trPr>
          <w:trHeight w:val="340"/>
          <w:jc w:val="center"/>
        </w:trPr>
        <w:tc>
          <w:tcPr>
            <w:tcW w:w="962" w:type="pct"/>
            <w:shd w:val="clear" w:color="auto" w:fill="auto"/>
            <w:tcMar>
              <w:top w:w="0" w:type="dxa"/>
              <w:left w:w="108" w:type="dxa"/>
              <w:bottom w:w="0" w:type="dxa"/>
              <w:right w:w="108" w:type="dxa"/>
            </w:tcMar>
            <w:vAlign w:val="center"/>
          </w:tcPr>
          <w:p w14:paraId="2F043FDB"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应收账款</w:t>
            </w:r>
          </w:p>
        </w:tc>
        <w:tc>
          <w:tcPr>
            <w:tcW w:w="729" w:type="pct"/>
            <w:shd w:val="clear" w:color="auto" w:fill="auto"/>
            <w:tcMar>
              <w:top w:w="0" w:type="dxa"/>
              <w:left w:w="108" w:type="dxa"/>
              <w:bottom w:w="0" w:type="dxa"/>
              <w:right w:w="108" w:type="dxa"/>
            </w:tcMar>
            <w:vAlign w:val="center"/>
          </w:tcPr>
          <w:p w14:paraId="5112927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46,290.67</w:t>
            </w:r>
          </w:p>
        </w:tc>
        <w:tc>
          <w:tcPr>
            <w:tcW w:w="568" w:type="pct"/>
            <w:shd w:val="clear" w:color="auto" w:fill="auto"/>
            <w:tcMar>
              <w:top w:w="0" w:type="dxa"/>
              <w:left w:w="108" w:type="dxa"/>
              <w:bottom w:w="0" w:type="dxa"/>
              <w:right w:w="108" w:type="dxa"/>
            </w:tcMar>
            <w:vAlign w:val="center"/>
          </w:tcPr>
          <w:p w14:paraId="5088E9B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14.74%</w:t>
            </w:r>
          </w:p>
        </w:tc>
        <w:tc>
          <w:tcPr>
            <w:tcW w:w="766" w:type="pct"/>
            <w:shd w:val="clear" w:color="auto" w:fill="auto"/>
            <w:tcMar>
              <w:top w:w="0" w:type="dxa"/>
              <w:left w:w="108" w:type="dxa"/>
              <w:bottom w:w="0" w:type="dxa"/>
              <w:right w:w="108" w:type="dxa"/>
            </w:tcMar>
            <w:vAlign w:val="center"/>
          </w:tcPr>
          <w:p w14:paraId="2F7BFF0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71,126.15</w:t>
            </w:r>
          </w:p>
        </w:tc>
        <w:tc>
          <w:tcPr>
            <w:tcW w:w="570" w:type="pct"/>
            <w:shd w:val="clear" w:color="auto" w:fill="auto"/>
            <w:tcMar>
              <w:top w:w="0" w:type="dxa"/>
              <w:left w:w="108" w:type="dxa"/>
              <w:bottom w:w="0" w:type="dxa"/>
              <w:right w:w="108" w:type="dxa"/>
            </w:tcMar>
            <w:vAlign w:val="center"/>
          </w:tcPr>
          <w:p w14:paraId="42F49E8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12.98%</w:t>
            </w:r>
          </w:p>
        </w:tc>
        <w:tc>
          <w:tcPr>
            <w:tcW w:w="777" w:type="pct"/>
            <w:shd w:val="clear" w:color="auto" w:fill="auto"/>
            <w:tcMar>
              <w:top w:w="0" w:type="dxa"/>
              <w:left w:w="108" w:type="dxa"/>
              <w:bottom w:w="0" w:type="dxa"/>
              <w:right w:w="108" w:type="dxa"/>
            </w:tcMar>
            <w:vAlign w:val="center"/>
          </w:tcPr>
          <w:p w14:paraId="3D7307E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24,835.48</w:t>
            </w:r>
          </w:p>
        </w:tc>
        <w:tc>
          <w:tcPr>
            <w:tcW w:w="627" w:type="pct"/>
            <w:shd w:val="clear" w:color="auto" w:fill="auto"/>
            <w:tcMar>
              <w:top w:w="0" w:type="dxa"/>
              <w:left w:w="108" w:type="dxa"/>
              <w:bottom w:w="0" w:type="dxa"/>
              <w:right w:w="108" w:type="dxa"/>
            </w:tcMar>
            <w:vAlign w:val="center"/>
          </w:tcPr>
          <w:p w14:paraId="0102CE6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53.65%</w:t>
            </w:r>
          </w:p>
        </w:tc>
      </w:tr>
      <w:tr w:rsidR="006416B0" w:rsidRPr="00B4515A" w14:paraId="7E4F64B8" w14:textId="77777777" w:rsidTr="003357B7">
        <w:trPr>
          <w:trHeight w:val="340"/>
          <w:jc w:val="center"/>
        </w:trPr>
        <w:tc>
          <w:tcPr>
            <w:tcW w:w="962" w:type="pct"/>
            <w:shd w:val="clear" w:color="auto" w:fill="auto"/>
            <w:tcMar>
              <w:top w:w="0" w:type="dxa"/>
              <w:left w:w="108" w:type="dxa"/>
              <w:bottom w:w="0" w:type="dxa"/>
              <w:right w:w="108" w:type="dxa"/>
            </w:tcMar>
            <w:vAlign w:val="center"/>
          </w:tcPr>
          <w:p w14:paraId="18B5CFA0"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预付款项</w:t>
            </w:r>
          </w:p>
        </w:tc>
        <w:tc>
          <w:tcPr>
            <w:tcW w:w="729" w:type="pct"/>
            <w:shd w:val="clear" w:color="auto" w:fill="auto"/>
            <w:tcMar>
              <w:top w:w="0" w:type="dxa"/>
              <w:left w:w="108" w:type="dxa"/>
              <w:bottom w:w="0" w:type="dxa"/>
              <w:right w:w="108" w:type="dxa"/>
            </w:tcMar>
            <w:vAlign w:val="center"/>
          </w:tcPr>
          <w:p w14:paraId="11EAE71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20,345.33</w:t>
            </w:r>
          </w:p>
        </w:tc>
        <w:tc>
          <w:tcPr>
            <w:tcW w:w="568" w:type="pct"/>
            <w:shd w:val="clear" w:color="auto" w:fill="auto"/>
            <w:tcMar>
              <w:top w:w="0" w:type="dxa"/>
              <w:left w:w="108" w:type="dxa"/>
              <w:bottom w:w="0" w:type="dxa"/>
              <w:right w:w="108" w:type="dxa"/>
            </w:tcMar>
            <w:vAlign w:val="center"/>
          </w:tcPr>
          <w:p w14:paraId="7BB15A5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6.48%</w:t>
            </w:r>
          </w:p>
        </w:tc>
        <w:tc>
          <w:tcPr>
            <w:tcW w:w="766" w:type="pct"/>
            <w:shd w:val="clear" w:color="auto" w:fill="auto"/>
            <w:tcMar>
              <w:top w:w="0" w:type="dxa"/>
              <w:left w:w="108" w:type="dxa"/>
              <w:bottom w:w="0" w:type="dxa"/>
              <w:right w:w="108" w:type="dxa"/>
            </w:tcMar>
            <w:vAlign w:val="center"/>
          </w:tcPr>
          <w:p w14:paraId="5DE4944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21,537.46</w:t>
            </w:r>
          </w:p>
        </w:tc>
        <w:tc>
          <w:tcPr>
            <w:tcW w:w="570" w:type="pct"/>
            <w:shd w:val="clear" w:color="auto" w:fill="auto"/>
            <w:tcMar>
              <w:top w:w="0" w:type="dxa"/>
              <w:left w:w="108" w:type="dxa"/>
              <w:bottom w:w="0" w:type="dxa"/>
              <w:right w:w="108" w:type="dxa"/>
            </w:tcMar>
            <w:vAlign w:val="center"/>
          </w:tcPr>
          <w:p w14:paraId="2519304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3.93%</w:t>
            </w:r>
          </w:p>
        </w:tc>
        <w:tc>
          <w:tcPr>
            <w:tcW w:w="777" w:type="pct"/>
            <w:shd w:val="clear" w:color="auto" w:fill="auto"/>
            <w:tcMar>
              <w:top w:w="0" w:type="dxa"/>
              <w:left w:w="108" w:type="dxa"/>
              <w:bottom w:w="0" w:type="dxa"/>
              <w:right w:w="108" w:type="dxa"/>
            </w:tcMar>
            <w:vAlign w:val="center"/>
          </w:tcPr>
          <w:p w14:paraId="525CD38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1,192.13</w:t>
            </w:r>
          </w:p>
        </w:tc>
        <w:tc>
          <w:tcPr>
            <w:tcW w:w="627" w:type="pct"/>
            <w:shd w:val="clear" w:color="auto" w:fill="auto"/>
            <w:tcMar>
              <w:top w:w="0" w:type="dxa"/>
              <w:left w:w="108" w:type="dxa"/>
              <w:bottom w:w="0" w:type="dxa"/>
              <w:right w:w="108" w:type="dxa"/>
            </w:tcMar>
            <w:vAlign w:val="center"/>
          </w:tcPr>
          <w:p w14:paraId="4E2BB86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5.86%</w:t>
            </w:r>
          </w:p>
        </w:tc>
      </w:tr>
      <w:tr w:rsidR="006416B0" w:rsidRPr="00B4515A" w14:paraId="2C1F9498" w14:textId="77777777" w:rsidTr="003357B7">
        <w:trPr>
          <w:trHeight w:val="340"/>
          <w:jc w:val="center"/>
        </w:trPr>
        <w:tc>
          <w:tcPr>
            <w:tcW w:w="962" w:type="pct"/>
            <w:shd w:val="clear" w:color="auto" w:fill="auto"/>
            <w:tcMar>
              <w:top w:w="0" w:type="dxa"/>
              <w:left w:w="108" w:type="dxa"/>
              <w:bottom w:w="0" w:type="dxa"/>
              <w:right w:w="108" w:type="dxa"/>
            </w:tcMar>
            <w:vAlign w:val="center"/>
          </w:tcPr>
          <w:p w14:paraId="46D7E459"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其他应收款</w:t>
            </w:r>
          </w:p>
        </w:tc>
        <w:tc>
          <w:tcPr>
            <w:tcW w:w="729" w:type="pct"/>
            <w:shd w:val="clear" w:color="auto" w:fill="auto"/>
            <w:tcMar>
              <w:top w:w="0" w:type="dxa"/>
              <w:left w:w="108" w:type="dxa"/>
              <w:bottom w:w="0" w:type="dxa"/>
              <w:right w:w="108" w:type="dxa"/>
            </w:tcMar>
            <w:vAlign w:val="center"/>
          </w:tcPr>
          <w:p w14:paraId="63600DC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6,542.07</w:t>
            </w:r>
          </w:p>
        </w:tc>
        <w:tc>
          <w:tcPr>
            <w:tcW w:w="568" w:type="pct"/>
            <w:shd w:val="clear" w:color="auto" w:fill="auto"/>
            <w:tcMar>
              <w:top w:w="0" w:type="dxa"/>
              <w:left w:w="108" w:type="dxa"/>
              <w:bottom w:w="0" w:type="dxa"/>
              <w:right w:w="108" w:type="dxa"/>
            </w:tcMar>
            <w:vAlign w:val="center"/>
          </w:tcPr>
          <w:p w14:paraId="76FCCD1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2.08%</w:t>
            </w:r>
          </w:p>
        </w:tc>
        <w:tc>
          <w:tcPr>
            <w:tcW w:w="766" w:type="pct"/>
            <w:shd w:val="clear" w:color="auto" w:fill="auto"/>
            <w:tcMar>
              <w:top w:w="0" w:type="dxa"/>
              <w:left w:w="108" w:type="dxa"/>
              <w:bottom w:w="0" w:type="dxa"/>
              <w:right w:w="108" w:type="dxa"/>
            </w:tcMar>
            <w:vAlign w:val="center"/>
          </w:tcPr>
          <w:p w14:paraId="5B55416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164,629.43</w:t>
            </w:r>
          </w:p>
        </w:tc>
        <w:tc>
          <w:tcPr>
            <w:tcW w:w="570" w:type="pct"/>
            <w:shd w:val="clear" w:color="auto" w:fill="auto"/>
            <w:tcMar>
              <w:top w:w="0" w:type="dxa"/>
              <w:left w:w="108" w:type="dxa"/>
              <w:bottom w:w="0" w:type="dxa"/>
              <w:right w:w="108" w:type="dxa"/>
            </w:tcMar>
            <w:vAlign w:val="center"/>
          </w:tcPr>
          <w:p w14:paraId="70BBCA7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30.03%</w:t>
            </w:r>
          </w:p>
        </w:tc>
        <w:tc>
          <w:tcPr>
            <w:tcW w:w="777" w:type="pct"/>
            <w:shd w:val="clear" w:color="auto" w:fill="auto"/>
            <w:tcMar>
              <w:top w:w="0" w:type="dxa"/>
              <w:left w:w="108" w:type="dxa"/>
              <w:bottom w:w="0" w:type="dxa"/>
              <w:right w:w="108" w:type="dxa"/>
            </w:tcMar>
            <w:vAlign w:val="center"/>
          </w:tcPr>
          <w:p w14:paraId="6F53F9B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158,087.36</w:t>
            </w:r>
          </w:p>
        </w:tc>
        <w:tc>
          <w:tcPr>
            <w:tcW w:w="627" w:type="pct"/>
            <w:shd w:val="clear" w:color="auto" w:fill="auto"/>
            <w:tcMar>
              <w:top w:w="0" w:type="dxa"/>
              <w:left w:w="108" w:type="dxa"/>
              <w:bottom w:w="0" w:type="dxa"/>
              <w:right w:w="108" w:type="dxa"/>
            </w:tcMar>
            <w:vAlign w:val="center"/>
          </w:tcPr>
          <w:p w14:paraId="039FFFA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2416.47%</w:t>
            </w:r>
          </w:p>
        </w:tc>
      </w:tr>
      <w:tr w:rsidR="006416B0" w:rsidRPr="00B4515A" w14:paraId="6DC0D316" w14:textId="77777777" w:rsidTr="003357B7">
        <w:trPr>
          <w:trHeight w:val="340"/>
          <w:jc w:val="center"/>
        </w:trPr>
        <w:tc>
          <w:tcPr>
            <w:tcW w:w="962" w:type="pct"/>
            <w:shd w:val="clear" w:color="auto" w:fill="auto"/>
            <w:tcMar>
              <w:top w:w="0" w:type="dxa"/>
              <w:left w:w="108" w:type="dxa"/>
              <w:bottom w:w="0" w:type="dxa"/>
              <w:right w:w="108" w:type="dxa"/>
            </w:tcMar>
            <w:vAlign w:val="center"/>
          </w:tcPr>
          <w:p w14:paraId="52944669"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存货</w:t>
            </w:r>
          </w:p>
        </w:tc>
        <w:tc>
          <w:tcPr>
            <w:tcW w:w="729" w:type="pct"/>
            <w:shd w:val="clear" w:color="auto" w:fill="auto"/>
            <w:tcMar>
              <w:top w:w="0" w:type="dxa"/>
              <w:left w:w="108" w:type="dxa"/>
              <w:bottom w:w="0" w:type="dxa"/>
              <w:right w:w="108" w:type="dxa"/>
            </w:tcMar>
            <w:vAlign w:val="center"/>
          </w:tcPr>
          <w:p w14:paraId="1D5E170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21,003.33</w:t>
            </w:r>
          </w:p>
        </w:tc>
        <w:tc>
          <w:tcPr>
            <w:tcW w:w="568" w:type="pct"/>
            <w:shd w:val="clear" w:color="auto" w:fill="auto"/>
            <w:tcMar>
              <w:top w:w="0" w:type="dxa"/>
              <w:left w:w="108" w:type="dxa"/>
              <w:bottom w:w="0" w:type="dxa"/>
              <w:right w:w="108" w:type="dxa"/>
            </w:tcMar>
            <w:vAlign w:val="center"/>
          </w:tcPr>
          <w:p w14:paraId="3DA5CB5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6.69%</w:t>
            </w:r>
          </w:p>
        </w:tc>
        <w:tc>
          <w:tcPr>
            <w:tcW w:w="766" w:type="pct"/>
            <w:shd w:val="clear" w:color="auto" w:fill="auto"/>
            <w:tcMar>
              <w:top w:w="0" w:type="dxa"/>
              <w:left w:w="108" w:type="dxa"/>
              <w:bottom w:w="0" w:type="dxa"/>
              <w:right w:w="108" w:type="dxa"/>
            </w:tcMar>
            <w:vAlign w:val="center"/>
          </w:tcPr>
          <w:p w14:paraId="1C77C9F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36,254.14</w:t>
            </w:r>
          </w:p>
        </w:tc>
        <w:tc>
          <w:tcPr>
            <w:tcW w:w="570" w:type="pct"/>
            <w:shd w:val="clear" w:color="auto" w:fill="auto"/>
            <w:tcMar>
              <w:top w:w="0" w:type="dxa"/>
              <w:left w:w="108" w:type="dxa"/>
              <w:bottom w:w="0" w:type="dxa"/>
              <w:right w:w="108" w:type="dxa"/>
            </w:tcMar>
            <w:vAlign w:val="center"/>
          </w:tcPr>
          <w:p w14:paraId="3A8BC30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6.61%</w:t>
            </w:r>
          </w:p>
        </w:tc>
        <w:tc>
          <w:tcPr>
            <w:tcW w:w="777" w:type="pct"/>
            <w:shd w:val="clear" w:color="auto" w:fill="auto"/>
            <w:tcMar>
              <w:top w:w="0" w:type="dxa"/>
              <w:left w:w="108" w:type="dxa"/>
              <w:bottom w:w="0" w:type="dxa"/>
              <w:right w:w="108" w:type="dxa"/>
            </w:tcMar>
            <w:vAlign w:val="center"/>
          </w:tcPr>
          <w:p w14:paraId="1EC5A32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15,250.81</w:t>
            </w:r>
          </w:p>
        </w:tc>
        <w:tc>
          <w:tcPr>
            <w:tcW w:w="627" w:type="pct"/>
            <w:shd w:val="clear" w:color="auto" w:fill="auto"/>
            <w:tcMar>
              <w:top w:w="0" w:type="dxa"/>
              <w:left w:w="108" w:type="dxa"/>
              <w:bottom w:w="0" w:type="dxa"/>
              <w:right w:w="108" w:type="dxa"/>
            </w:tcMar>
            <w:vAlign w:val="center"/>
          </w:tcPr>
          <w:p w14:paraId="1F11178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72.61%</w:t>
            </w:r>
          </w:p>
        </w:tc>
      </w:tr>
      <w:tr w:rsidR="006416B0" w:rsidRPr="00B4515A" w14:paraId="0CA7CE32" w14:textId="77777777" w:rsidTr="003357B7">
        <w:trPr>
          <w:trHeight w:val="340"/>
          <w:jc w:val="center"/>
        </w:trPr>
        <w:tc>
          <w:tcPr>
            <w:tcW w:w="962" w:type="pct"/>
            <w:shd w:val="clear" w:color="auto" w:fill="auto"/>
            <w:tcMar>
              <w:top w:w="0" w:type="dxa"/>
              <w:left w:w="108" w:type="dxa"/>
              <w:bottom w:w="0" w:type="dxa"/>
              <w:right w:w="108" w:type="dxa"/>
            </w:tcMar>
            <w:vAlign w:val="center"/>
          </w:tcPr>
          <w:p w14:paraId="196ED78C"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合同资产</w:t>
            </w:r>
          </w:p>
        </w:tc>
        <w:tc>
          <w:tcPr>
            <w:tcW w:w="729" w:type="pct"/>
            <w:shd w:val="clear" w:color="auto" w:fill="auto"/>
            <w:tcMar>
              <w:top w:w="0" w:type="dxa"/>
              <w:left w:w="108" w:type="dxa"/>
              <w:bottom w:w="0" w:type="dxa"/>
              <w:right w:w="108" w:type="dxa"/>
            </w:tcMar>
            <w:vAlign w:val="center"/>
          </w:tcPr>
          <w:p w14:paraId="4C4FE6B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116.50</w:t>
            </w:r>
          </w:p>
        </w:tc>
        <w:tc>
          <w:tcPr>
            <w:tcW w:w="568" w:type="pct"/>
            <w:shd w:val="clear" w:color="auto" w:fill="auto"/>
            <w:tcMar>
              <w:top w:w="0" w:type="dxa"/>
              <w:left w:w="108" w:type="dxa"/>
              <w:bottom w:w="0" w:type="dxa"/>
              <w:right w:w="108" w:type="dxa"/>
            </w:tcMar>
            <w:vAlign w:val="center"/>
          </w:tcPr>
          <w:p w14:paraId="3052873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0.04%</w:t>
            </w:r>
          </w:p>
        </w:tc>
        <w:tc>
          <w:tcPr>
            <w:tcW w:w="766" w:type="pct"/>
            <w:shd w:val="clear" w:color="auto" w:fill="auto"/>
            <w:tcMar>
              <w:top w:w="0" w:type="dxa"/>
              <w:left w:w="108" w:type="dxa"/>
              <w:bottom w:w="0" w:type="dxa"/>
              <w:right w:w="108" w:type="dxa"/>
            </w:tcMar>
            <w:vAlign w:val="center"/>
          </w:tcPr>
          <w:p w14:paraId="691A448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116.50</w:t>
            </w:r>
          </w:p>
        </w:tc>
        <w:tc>
          <w:tcPr>
            <w:tcW w:w="570" w:type="pct"/>
            <w:shd w:val="clear" w:color="auto" w:fill="auto"/>
            <w:tcMar>
              <w:top w:w="0" w:type="dxa"/>
              <w:left w:w="108" w:type="dxa"/>
              <w:bottom w:w="0" w:type="dxa"/>
              <w:right w:w="108" w:type="dxa"/>
            </w:tcMar>
            <w:vAlign w:val="center"/>
          </w:tcPr>
          <w:p w14:paraId="2FC429C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0.02%</w:t>
            </w:r>
          </w:p>
        </w:tc>
        <w:tc>
          <w:tcPr>
            <w:tcW w:w="777" w:type="pct"/>
            <w:shd w:val="clear" w:color="auto" w:fill="auto"/>
            <w:tcMar>
              <w:top w:w="0" w:type="dxa"/>
              <w:left w:w="108" w:type="dxa"/>
              <w:bottom w:w="0" w:type="dxa"/>
              <w:right w:w="108" w:type="dxa"/>
            </w:tcMar>
            <w:vAlign w:val="center"/>
          </w:tcPr>
          <w:p w14:paraId="1383108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27" w:type="pct"/>
            <w:shd w:val="clear" w:color="auto" w:fill="auto"/>
            <w:tcMar>
              <w:top w:w="0" w:type="dxa"/>
              <w:left w:w="108" w:type="dxa"/>
              <w:bottom w:w="0" w:type="dxa"/>
              <w:right w:w="108" w:type="dxa"/>
            </w:tcMar>
            <w:vAlign w:val="center"/>
          </w:tcPr>
          <w:p w14:paraId="261EF4F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602DDBA2" w14:textId="77777777" w:rsidTr="003357B7">
        <w:trPr>
          <w:trHeight w:val="340"/>
          <w:jc w:val="center"/>
        </w:trPr>
        <w:tc>
          <w:tcPr>
            <w:tcW w:w="962" w:type="pct"/>
            <w:shd w:val="clear" w:color="auto" w:fill="auto"/>
            <w:tcMar>
              <w:top w:w="0" w:type="dxa"/>
              <w:left w:w="108" w:type="dxa"/>
              <w:bottom w:w="0" w:type="dxa"/>
              <w:right w:w="108" w:type="dxa"/>
            </w:tcMar>
            <w:vAlign w:val="center"/>
          </w:tcPr>
          <w:p w14:paraId="1C9E0552"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其他流动资产</w:t>
            </w:r>
          </w:p>
        </w:tc>
        <w:tc>
          <w:tcPr>
            <w:tcW w:w="729" w:type="pct"/>
            <w:shd w:val="clear" w:color="auto" w:fill="auto"/>
            <w:tcMar>
              <w:top w:w="0" w:type="dxa"/>
              <w:left w:w="108" w:type="dxa"/>
              <w:bottom w:w="0" w:type="dxa"/>
              <w:right w:w="108" w:type="dxa"/>
            </w:tcMar>
            <w:vAlign w:val="center"/>
          </w:tcPr>
          <w:p w14:paraId="753ED44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3,026.65</w:t>
            </w:r>
          </w:p>
        </w:tc>
        <w:tc>
          <w:tcPr>
            <w:tcW w:w="568" w:type="pct"/>
            <w:shd w:val="clear" w:color="auto" w:fill="auto"/>
            <w:tcMar>
              <w:top w:w="0" w:type="dxa"/>
              <w:left w:w="108" w:type="dxa"/>
              <w:bottom w:w="0" w:type="dxa"/>
              <w:right w:w="108" w:type="dxa"/>
            </w:tcMar>
            <w:vAlign w:val="center"/>
          </w:tcPr>
          <w:p w14:paraId="0661CE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0.96%</w:t>
            </w:r>
          </w:p>
        </w:tc>
        <w:tc>
          <w:tcPr>
            <w:tcW w:w="766" w:type="pct"/>
            <w:shd w:val="clear" w:color="auto" w:fill="auto"/>
            <w:tcMar>
              <w:top w:w="0" w:type="dxa"/>
              <w:left w:w="108" w:type="dxa"/>
              <w:bottom w:w="0" w:type="dxa"/>
              <w:right w:w="108" w:type="dxa"/>
            </w:tcMar>
            <w:vAlign w:val="center"/>
          </w:tcPr>
          <w:p w14:paraId="7129CBA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3,120.37</w:t>
            </w:r>
          </w:p>
        </w:tc>
        <w:tc>
          <w:tcPr>
            <w:tcW w:w="570" w:type="pct"/>
            <w:shd w:val="clear" w:color="auto" w:fill="auto"/>
            <w:tcMar>
              <w:top w:w="0" w:type="dxa"/>
              <w:left w:w="108" w:type="dxa"/>
              <w:bottom w:w="0" w:type="dxa"/>
              <w:right w:w="108" w:type="dxa"/>
            </w:tcMar>
            <w:vAlign w:val="center"/>
          </w:tcPr>
          <w:p w14:paraId="6B7732E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0.57%</w:t>
            </w:r>
          </w:p>
        </w:tc>
        <w:tc>
          <w:tcPr>
            <w:tcW w:w="777" w:type="pct"/>
            <w:shd w:val="clear" w:color="auto" w:fill="auto"/>
            <w:tcMar>
              <w:top w:w="0" w:type="dxa"/>
              <w:left w:w="108" w:type="dxa"/>
              <w:bottom w:w="0" w:type="dxa"/>
              <w:right w:w="108" w:type="dxa"/>
            </w:tcMar>
            <w:vAlign w:val="center"/>
          </w:tcPr>
          <w:p w14:paraId="56E831A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93.73</w:t>
            </w:r>
          </w:p>
        </w:tc>
        <w:tc>
          <w:tcPr>
            <w:tcW w:w="627" w:type="pct"/>
            <w:shd w:val="clear" w:color="auto" w:fill="auto"/>
            <w:tcMar>
              <w:top w:w="0" w:type="dxa"/>
              <w:left w:w="108" w:type="dxa"/>
              <w:bottom w:w="0" w:type="dxa"/>
              <w:right w:w="108" w:type="dxa"/>
            </w:tcMar>
            <w:vAlign w:val="center"/>
          </w:tcPr>
          <w:p w14:paraId="24C622B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3.10%</w:t>
            </w:r>
          </w:p>
        </w:tc>
      </w:tr>
      <w:tr w:rsidR="006416B0" w:rsidRPr="00B4515A" w14:paraId="1C9474B2" w14:textId="77777777" w:rsidTr="003357B7">
        <w:trPr>
          <w:trHeight w:val="340"/>
          <w:jc w:val="center"/>
        </w:trPr>
        <w:tc>
          <w:tcPr>
            <w:tcW w:w="962" w:type="pct"/>
            <w:shd w:val="clear" w:color="auto" w:fill="auto"/>
            <w:tcMar>
              <w:top w:w="0" w:type="dxa"/>
              <w:left w:w="108" w:type="dxa"/>
              <w:bottom w:w="0" w:type="dxa"/>
              <w:right w:w="108" w:type="dxa"/>
            </w:tcMar>
            <w:vAlign w:val="center"/>
          </w:tcPr>
          <w:p w14:paraId="5A4FAEF1" w14:textId="77777777" w:rsidR="006416B0" w:rsidRPr="00B4515A" w:rsidRDefault="005E58C1" w:rsidP="005860B4">
            <w:pPr>
              <w:adjustRightInd w:val="0"/>
              <w:snapToGrid w:val="0"/>
              <w:jc w:val="both"/>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流动资产合计</w:t>
            </w:r>
          </w:p>
        </w:tc>
        <w:tc>
          <w:tcPr>
            <w:tcW w:w="729" w:type="pct"/>
            <w:shd w:val="clear" w:color="auto" w:fill="auto"/>
            <w:tcMar>
              <w:top w:w="0" w:type="dxa"/>
              <w:left w:w="108" w:type="dxa"/>
              <w:bottom w:w="0" w:type="dxa"/>
              <w:right w:w="108" w:type="dxa"/>
            </w:tcMar>
            <w:vAlign w:val="center"/>
          </w:tcPr>
          <w:p w14:paraId="3DF72C4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129,603.33</w:t>
            </w:r>
          </w:p>
        </w:tc>
        <w:tc>
          <w:tcPr>
            <w:tcW w:w="568" w:type="pct"/>
            <w:shd w:val="clear" w:color="auto" w:fill="auto"/>
            <w:tcMar>
              <w:top w:w="0" w:type="dxa"/>
              <w:left w:w="108" w:type="dxa"/>
              <w:bottom w:w="0" w:type="dxa"/>
              <w:right w:w="108" w:type="dxa"/>
            </w:tcMar>
            <w:vAlign w:val="center"/>
          </w:tcPr>
          <w:p w14:paraId="4E6A08F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41.27%</w:t>
            </w:r>
          </w:p>
        </w:tc>
        <w:tc>
          <w:tcPr>
            <w:tcW w:w="766" w:type="pct"/>
            <w:shd w:val="clear" w:color="auto" w:fill="auto"/>
            <w:tcMar>
              <w:top w:w="0" w:type="dxa"/>
              <w:left w:w="108" w:type="dxa"/>
              <w:bottom w:w="0" w:type="dxa"/>
              <w:right w:w="108" w:type="dxa"/>
            </w:tcMar>
            <w:vAlign w:val="center"/>
          </w:tcPr>
          <w:p w14:paraId="54E5D00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340,222.27</w:t>
            </w:r>
          </w:p>
        </w:tc>
        <w:tc>
          <w:tcPr>
            <w:tcW w:w="570" w:type="pct"/>
            <w:shd w:val="clear" w:color="auto" w:fill="auto"/>
            <w:tcMar>
              <w:top w:w="0" w:type="dxa"/>
              <w:left w:w="108" w:type="dxa"/>
              <w:bottom w:w="0" w:type="dxa"/>
              <w:right w:w="108" w:type="dxa"/>
            </w:tcMar>
            <w:vAlign w:val="center"/>
          </w:tcPr>
          <w:p w14:paraId="0F6A8B8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62.07%</w:t>
            </w:r>
          </w:p>
        </w:tc>
        <w:tc>
          <w:tcPr>
            <w:tcW w:w="777" w:type="pct"/>
            <w:shd w:val="clear" w:color="auto" w:fill="auto"/>
            <w:tcMar>
              <w:top w:w="0" w:type="dxa"/>
              <w:left w:w="108" w:type="dxa"/>
              <w:bottom w:w="0" w:type="dxa"/>
              <w:right w:w="108" w:type="dxa"/>
            </w:tcMar>
            <w:vAlign w:val="center"/>
          </w:tcPr>
          <w:p w14:paraId="0576FAC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210,618.94</w:t>
            </w:r>
          </w:p>
        </w:tc>
        <w:tc>
          <w:tcPr>
            <w:tcW w:w="627" w:type="pct"/>
            <w:shd w:val="clear" w:color="auto" w:fill="auto"/>
            <w:tcMar>
              <w:top w:w="0" w:type="dxa"/>
              <w:left w:w="108" w:type="dxa"/>
              <w:bottom w:w="0" w:type="dxa"/>
              <w:right w:w="108" w:type="dxa"/>
            </w:tcMar>
            <w:vAlign w:val="center"/>
          </w:tcPr>
          <w:p w14:paraId="40807EFD"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162.51%</w:t>
            </w:r>
          </w:p>
        </w:tc>
      </w:tr>
      <w:tr w:rsidR="006416B0" w:rsidRPr="00B4515A" w14:paraId="2818005B" w14:textId="77777777" w:rsidTr="003357B7">
        <w:trPr>
          <w:trHeight w:val="340"/>
          <w:jc w:val="center"/>
        </w:trPr>
        <w:tc>
          <w:tcPr>
            <w:tcW w:w="962" w:type="pct"/>
            <w:shd w:val="clear" w:color="auto" w:fill="auto"/>
            <w:tcMar>
              <w:top w:w="0" w:type="dxa"/>
              <w:left w:w="108" w:type="dxa"/>
              <w:bottom w:w="0" w:type="dxa"/>
              <w:right w:w="108" w:type="dxa"/>
            </w:tcMar>
            <w:vAlign w:val="center"/>
          </w:tcPr>
          <w:p w14:paraId="064DA0C4"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非流动资产：</w:t>
            </w:r>
          </w:p>
        </w:tc>
        <w:tc>
          <w:tcPr>
            <w:tcW w:w="729" w:type="pct"/>
            <w:shd w:val="clear" w:color="auto" w:fill="auto"/>
            <w:tcMar>
              <w:top w:w="0" w:type="dxa"/>
              <w:left w:w="108" w:type="dxa"/>
              <w:bottom w:w="0" w:type="dxa"/>
              <w:right w:w="108" w:type="dxa"/>
            </w:tcMar>
            <w:vAlign w:val="center"/>
          </w:tcPr>
          <w:p w14:paraId="6B1D3958"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568" w:type="pct"/>
            <w:shd w:val="clear" w:color="auto" w:fill="auto"/>
            <w:tcMar>
              <w:top w:w="0" w:type="dxa"/>
              <w:left w:w="108" w:type="dxa"/>
              <w:bottom w:w="0" w:type="dxa"/>
              <w:right w:w="108" w:type="dxa"/>
            </w:tcMar>
            <w:vAlign w:val="center"/>
          </w:tcPr>
          <w:p w14:paraId="5B2DE35F"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766" w:type="pct"/>
            <w:shd w:val="clear" w:color="auto" w:fill="auto"/>
            <w:tcMar>
              <w:top w:w="0" w:type="dxa"/>
              <w:left w:w="108" w:type="dxa"/>
              <w:bottom w:w="0" w:type="dxa"/>
              <w:right w:w="108" w:type="dxa"/>
            </w:tcMar>
            <w:vAlign w:val="center"/>
          </w:tcPr>
          <w:p w14:paraId="0A789DD7"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570" w:type="pct"/>
            <w:shd w:val="clear" w:color="auto" w:fill="auto"/>
            <w:tcMar>
              <w:top w:w="0" w:type="dxa"/>
              <w:left w:w="108" w:type="dxa"/>
              <w:bottom w:w="0" w:type="dxa"/>
              <w:right w:w="108" w:type="dxa"/>
            </w:tcMar>
            <w:vAlign w:val="center"/>
          </w:tcPr>
          <w:p w14:paraId="504BEAEA"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777" w:type="pct"/>
            <w:shd w:val="clear" w:color="auto" w:fill="auto"/>
            <w:tcMar>
              <w:top w:w="0" w:type="dxa"/>
              <w:left w:w="108" w:type="dxa"/>
              <w:bottom w:w="0" w:type="dxa"/>
              <w:right w:w="108" w:type="dxa"/>
            </w:tcMar>
            <w:vAlign w:val="center"/>
          </w:tcPr>
          <w:p w14:paraId="0B7FFA7D" w14:textId="77777777" w:rsidR="006416B0" w:rsidRPr="00B4515A" w:rsidRDefault="006416B0" w:rsidP="005860B4">
            <w:pPr>
              <w:adjustRightInd w:val="0"/>
              <w:snapToGrid w:val="0"/>
              <w:jc w:val="right"/>
              <w:rPr>
                <w:rFonts w:ascii="Times New Roman" w:eastAsiaTheme="minorEastAsia" w:hAnsi="Times New Roman" w:cs="Times New Roman"/>
                <w:color w:val="000000"/>
                <w:sz w:val="21"/>
                <w:szCs w:val="21"/>
              </w:rPr>
            </w:pPr>
          </w:p>
        </w:tc>
        <w:tc>
          <w:tcPr>
            <w:tcW w:w="627" w:type="pct"/>
            <w:shd w:val="clear" w:color="auto" w:fill="auto"/>
            <w:tcMar>
              <w:top w:w="0" w:type="dxa"/>
              <w:left w:w="108" w:type="dxa"/>
              <w:bottom w:w="0" w:type="dxa"/>
              <w:right w:w="108" w:type="dxa"/>
            </w:tcMar>
            <w:vAlign w:val="center"/>
          </w:tcPr>
          <w:p w14:paraId="47B93AF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r>
      <w:tr w:rsidR="006416B0" w:rsidRPr="00B4515A" w14:paraId="5EB7AE64" w14:textId="77777777" w:rsidTr="003357B7">
        <w:trPr>
          <w:trHeight w:val="340"/>
          <w:jc w:val="center"/>
        </w:trPr>
        <w:tc>
          <w:tcPr>
            <w:tcW w:w="962" w:type="pct"/>
            <w:shd w:val="clear" w:color="auto" w:fill="auto"/>
            <w:tcMar>
              <w:top w:w="0" w:type="dxa"/>
              <w:left w:w="108" w:type="dxa"/>
              <w:bottom w:w="0" w:type="dxa"/>
              <w:right w:w="108" w:type="dxa"/>
            </w:tcMar>
            <w:vAlign w:val="center"/>
          </w:tcPr>
          <w:p w14:paraId="3BD268BE"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长期股权投资</w:t>
            </w:r>
          </w:p>
        </w:tc>
        <w:tc>
          <w:tcPr>
            <w:tcW w:w="729" w:type="pct"/>
            <w:shd w:val="clear" w:color="auto" w:fill="auto"/>
            <w:tcMar>
              <w:top w:w="0" w:type="dxa"/>
              <w:left w:w="108" w:type="dxa"/>
              <w:bottom w:w="0" w:type="dxa"/>
              <w:right w:w="108" w:type="dxa"/>
            </w:tcMar>
            <w:vAlign w:val="center"/>
          </w:tcPr>
          <w:p w14:paraId="1209180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110,472.11</w:t>
            </w:r>
          </w:p>
        </w:tc>
        <w:tc>
          <w:tcPr>
            <w:tcW w:w="568" w:type="pct"/>
            <w:shd w:val="clear" w:color="auto" w:fill="auto"/>
            <w:tcMar>
              <w:top w:w="0" w:type="dxa"/>
              <w:left w:w="108" w:type="dxa"/>
              <w:bottom w:w="0" w:type="dxa"/>
              <w:right w:w="108" w:type="dxa"/>
            </w:tcMar>
            <w:vAlign w:val="center"/>
          </w:tcPr>
          <w:p w14:paraId="01EB26E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35.18%</w:t>
            </w:r>
          </w:p>
        </w:tc>
        <w:tc>
          <w:tcPr>
            <w:tcW w:w="766" w:type="pct"/>
            <w:shd w:val="clear" w:color="auto" w:fill="auto"/>
            <w:tcMar>
              <w:top w:w="0" w:type="dxa"/>
              <w:left w:w="108" w:type="dxa"/>
              <w:bottom w:w="0" w:type="dxa"/>
              <w:right w:w="108" w:type="dxa"/>
            </w:tcMar>
            <w:vAlign w:val="center"/>
          </w:tcPr>
          <w:p w14:paraId="353F158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124,426.92</w:t>
            </w:r>
          </w:p>
        </w:tc>
        <w:tc>
          <w:tcPr>
            <w:tcW w:w="570" w:type="pct"/>
            <w:shd w:val="clear" w:color="auto" w:fill="auto"/>
            <w:tcMar>
              <w:top w:w="0" w:type="dxa"/>
              <w:left w:w="108" w:type="dxa"/>
              <w:bottom w:w="0" w:type="dxa"/>
              <w:right w:w="108" w:type="dxa"/>
            </w:tcMar>
            <w:vAlign w:val="center"/>
          </w:tcPr>
          <w:p w14:paraId="502A82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22.70%</w:t>
            </w:r>
          </w:p>
        </w:tc>
        <w:tc>
          <w:tcPr>
            <w:tcW w:w="777" w:type="pct"/>
            <w:shd w:val="clear" w:color="auto" w:fill="auto"/>
            <w:tcMar>
              <w:top w:w="0" w:type="dxa"/>
              <w:left w:w="108" w:type="dxa"/>
              <w:bottom w:w="0" w:type="dxa"/>
              <w:right w:w="108" w:type="dxa"/>
            </w:tcMar>
            <w:vAlign w:val="center"/>
          </w:tcPr>
          <w:p w14:paraId="09D2471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13,954.82</w:t>
            </w:r>
          </w:p>
        </w:tc>
        <w:tc>
          <w:tcPr>
            <w:tcW w:w="627" w:type="pct"/>
            <w:shd w:val="clear" w:color="auto" w:fill="auto"/>
            <w:tcMar>
              <w:top w:w="0" w:type="dxa"/>
              <w:left w:w="108" w:type="dxa"/>
              <w:bottom w:w="0" w:type="dxa"/>
              <w:right w:w="108" w:type="dxa"/>
            </w:tcMar>
            <w:vAlign w:val="center"/>
          </w:tcPr>
          <w:p w14:paraId="62FEA97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12.63%</w:t>
            </w:r>
          </w:p>
        </w:tc>
      </w:tr>
      <w:tr w:rsidR="006416B0" w:rsidRPr="00B4515A" w14:paraId="54927817" w14:textId="77777777" w:rsidTr="00EE238F">
        <w:trPr>
          <w:trHeight w:val="340"/>
          <w:jc w:val="center"/>
        </w:trPr>
        <w:tc>
          <w:tcPr>
            <w:tcW w:w="962" w:type="pct"/>
            <w:shd w:val="clear" w:color="auto" w:fill="auto"/>
            <w:tcMar>
              <w:top w:w="0" w:type="dxa"/>
              <w:left w:w="108" w:type="dxa"/>
              <w:bottom w:w="0" w:type="dxa"/>
              <w:right w:w="108" w:type="dxa"/>
            </w:tcMar>
            <w:vAlign w:val="center"/>
          </w:tcPr>
          <w:p w14:paraId="47AA17B5"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其他权益工具投资</w:t>
            </w:r>
          </w:p>
        </w:tc>
        <w:tc>
          <w:tcPr>
            <w:tcW w:w="729" w:type="pct"/>
            <w:shd w:val="clear" w:color="auto" w:fill="auto"/>
            <w:tcMar>
              <w:top w:w="0" w:type="dxa"/>
              <w:left w:w="108" w:type="dxa"/>
              <w:bottom w:w="0" w:type="dxa"/>
              <w:right w:w="108" w:type="dxa"/>
            </w:tcMar>
            <w:vAlign w:val="center"/>
          </w:tcPr>
          <w:p w14:paraId="635C4B6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6,097.34</w:t>
            </w:r>
          </w:p>
        </w:tc>
        <w:tc>
          <w:tcPr>
            <w:tcW w:w="568" w:type="pct"/>
            <w:shd w:val="clear" w:color="auto" w:fill="auto"/>
            <w:tcMar>
              <w:top w:w="0" w:type="dxa"/>
              <w:left w:w="108" w:type="dxa"/>
              <w:bottom w:w="0" w:type="dxa"/>
              <w:right w:w="108" w:type="dxa"/>
            </w:tcMar>
            <w:vAlign w:val="center"/>
          </w:tcPr>
          <w:p w14:paraId="66C48CC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1.94%</w:t>
            </w:r>
          </w:p>
        </w:tc>
        <w:tc>
          <w:tcPr>
            <w:tcW w:w="766" w:type="pct"/>
            <w:shd w:val="clear" w:color="auto" w:fill="auto"/>
            <w:tcMar>
              <w:top w:w="0" w:type="dxa"/>
              <w:left w:w="108" w:type="dxa"/>
              <w:bottom w:w="0" w:type="dxa"/>
              <w:right w:w="108" w:type="dxa"/>
            </w:tcMar>
            <w:vAlign w:val="center"/>
          </w:tcPr>
          <w:p w14:paraId="1D5A4FA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6,097.34</w:t>
            </w:r>
          </w:p>
        </w:tc>
        <w:tc>
          <w:tcPr>
            <w:tcW w:w="570" w:type="pct"/>
            <w:shd w:val="clear" w:color="auto" w:fill="auto"/>
            <w:tcMar>
              <w:top w:w="0" w:type="dxa"/>
              <w:left w:w="108" w:type="dxa"/>
              <w:bottom w:w="0" w:type="dxa"/>
              <w:right w:w="108" w:type="dxa"/>
            </w:tcMar>
            <w:vAlign w:val="center"/>
          </w:tcPr>
          <w:p w14:paraId="2CAF19A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1.11%</w:t>
            </w:r>
          </w:p>
        </w:tc>
        <w:tc>
          <w:tcPr>
            <w:tcW w:w="777" w:type="pct"/>
            <w:shd w:val="clear" w:color="auto" w:fill="auto"/>
            <w:tcMar>
              <w:top w:w="0" w:type="dxa"/>
              <w:left w:w="108" w:type="dxa"/>
              <w:bottom w:w="0" w:type="dxa"/>
              <w:right w:w="108" w:type="dxa"/>
            </w:tcMar>
            <w:vAlign w:val="center"/>
          </w:tcPr>
          <w:p w14:paraId="54770C6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27" w:type="pct"/>
            <w:shd w:val="clear" w:color="auto" w:fill="auto"/>
            <w:tcMar>
              <w:top w:w="0" w:type="dxa"/>
              <w:left w:w="108" w:type="dxa"/>
              <w:bottom w:w="0" w:type="dxa"/>
              <w:right w:w="108" w:type="dxa"/>
            </w:tcMar>
            <w:vAlign w:val="center"/>
          </w:tcPr>
          <w:p w14:paraId="7623C03A" w14:textId="11448D74"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4ED2F244" w14:textId="77777777" w:rsidTr="003357B7">
        <w:trPr>
          <w:trHeight w:val="340"/>
          <w:jc w:val="center"/>
        </w:trPr>
        <w:tc>
          <w:tcPr>
            <w:tcW w:w="962" w:type="pct"/>
            <w:shd w:val="clear" w:color="auto" w:fill="auto"/>
            <w:tcMar>
              <w:top w:w="0" w:type="dxa"/>
              <w:left w:w="108" w:type="dxa"/>
              <w:bottom w:w="0" w:type="dxa"/>
              <w:right w:w="108" w:type="dxa"/>
            </w:tcMar>
            <w:vAlign w:val="center"/>
          </w:tcPr>
          <w:p w14:paraId="1215F07C"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固定资产</w:t>
            </w:r>
          </w:p>
        </w:tc>
        <w:tc>
          <w:tcPr>
            <w:tcW w:w="729" w:type="pct"/>
            <w:shd w:val="clear" w:color="auto" w:fill="auto"/>
            <w:tcMar>
              <w:top w:w="0" w:type="dxa"/>
              <w:left w:w="108" w:type="dxa"/>
              <w:bottom w:w="0" w:type="dxa"/>
              <w:right w:w="108" w:type="dxa"/>
            </w:tcMar>
            <w:vAlign w:val="center"/>
          </w:tcPr>
          <w:p w14:paraId="6EB78EA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40,032.01</w:t>
            </w:r>
          </w:p>
        </w:tc>
        <w:tc>
          <w:tcPr>
            <w:tcW w:w="568" w:type="pct"/>
            <w:shd w:val="clear" w:color="auto" w:fill="auto"/>
            <w:tcMar>
              <w:top w:w="0" w:type="dxa"/>
              <w:left w:w="108" w:type="dxa"/>
              <w:bottom w:w="0" w:type="dxa"/>
              <w:right w:w="108" w:type="dxa"/>
            </w:tcMar>
            <w:vAlign w:val="center"/>
          </w:tcPr>
          <w:p w14:paraId="12E7783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12.75%</w:t>
            </w:r>
          </w:p>
        </w:tc>
        <w:tc>
          <w:tcPr>
            <w:tcW w:w="766" w:type="pct"/>
            <w:shd w:val="clear" w:color="auto" w:fill="auto"/>
            <w:tcMar>
              <w:top w:w="0" w:type="dxa"/>
              <w:left w:w="108" w:type="dxa"/>
              <w:bottom w:w="0" w:type="dxa"/>
              <w:right w:w="108" w:type="dxa"/>
            </w:tcMar>
            <w:vAlign w:val="center"/>
          </w:tcPr>
          <w:p w14:paraId="54FB21E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43,145.02</w:t>
            </w:r>
          </w:p>
        </w:tc>
        <w:tc>
          <w:tcPr>
            <w:tcW w:w="570" w:type="pct"/>
            <w:shd w:val="clear" w:color="auto" w:fill="auto"/>
            <w:tcMar>
              <w:top w:w="0" w:type="dxa"/>
              <w:left w:w="108" w:type="dxa"/>
              <w:bottom w:w="0" w:type="dxa"/>
              <w:right w:w="108" w:type="dxa"/>
            </w:tcMar>
            <w:vAlign w:val="center"/>
          </w:tcPr>
          <w:p w14:paraId="415091E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7.87%</w:t>
            </w:r>
          </w:p>
        </w:tc>
        <w:tc>
          <w:tcPr>
            <w:tcW w:w="777" w:type="pct"/>
            <w:shd w:val="clear" w:color="auto" w:fill="auto"/>
            <w:tcMar>
              <w:top w:w="0" w:type="dxa"/>
              <w:left w:w="108" w:type="dxa"/>
              <w:bottom w:w="0" w:type="dxa"/>
              <w:right w:w="108" w:type="dxa"/>
            </w:tcMar>
            <w:vAlign w:val="center"/>
          </w:tcPr>
          <w:p w14:paraId="4AFA35D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3,113.01</w:t>
            </w:r>
          </w:p>
        </w:tc>
        <w:tc>
          <w:tcPr>
            <w:tcW w:w="627" w:type="pct"/>
            <w:shd w:val="clear" w:color="auto" w:fill="auto"/>
            <w:tcMar>
              <w:top w:w="0" w:type="dxa"/>
              <w:left w:w="108" w:type="dxa"/>
              <w:bottom w:w="0" w:type="dxa"/>
              <w:right w:w="108" w:type="dxa"/>
            </w:tcMar>
            <w:vAlign w:val="center"/>
          </w:tcPr>
          <w:p w14:paraId="7BF05AA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7.78%</w:t>
            </w:r>
          </w:p>
        </w:tc>
      </w:tr>
      <w:tr w:rsidR="006416B0" w:rsidRPr="00B4515A" w14:paraId="441B76BB" w14:textId="77777777" w:rsidTr="003357B7">
        <w:trPr>
          <w:trHeight w:val="340"/>
          <w:jc w:val="center"/>
        </w:trPr>
        <w:tc>
          <w:tcPr>
            <w:tcW w:w="962" w:type="pct"/>
            <w:shd w:val="clear" w:color="auto" w:fill="auto"/>
            <w:tcMar>
              <w:top w:w="0" w:type="dxa"/>
              <w:left w:w="108" w:type="dxa"/>
              <w:bottom w:w="0" w:type="dxa"/>
              <w:right w:w="108" w:type="dxa"/>
            </w:tcMar>
            <w:vAlign w:val="center"/>
          </w:tcPr>
          <w:p w14:paraId="0DA4F1B3"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在建工程</w:t>
            </w:r>
          </w:p>
        </w:tc>
        <w:tc>
          <w:tcPr>
            <w:tcW w:w="729" w:type="pct"/>
            <w:shd w:val="clear" w:color="auto" w:fill="auto"/>
            <w:tcMar>
              <w:top w:w="0" w:type="dxa"/>
              <w:left w:w="108" w:type="dxa"/>
              <w:bottom w:w="0" w:type="dxa"/>
              <w:right w:w="108" w:type="dxa"/>
            </w:tcMar>
            <w:vAlign w:val="center"/>
          </w:tcPr>
          <w:p w14:paraId="0BD90F1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568" w:type="pct"/>
            <w:shd w:val="clear" w:color="auto" w:fill="auto"/>
            <w:tcMar>
              <w:top w:w="0" w:type="dxa"/>
              <w:left w:w="108" w:type="dxa"/>
              <w:bottom w:w="0" w:type="dxa"/>
              <w:right w:w="108" w:type="dxa"/>
            </w:tcMar>
            <w:vAlign w:val="center"/>
          </w:tcPr>
          <w:p w14:paraId="2124752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766" w:type="pct"/>
            <w:shd w:val="clear" w:color="auto" w:fill="auto"/>
            <w:tcMar>
              <w:top w:w="0" w:type="dxa"/>
              <w:left w:w="108" w:type="dxa"/>
              <w:bottom w:w="0" w:type="dxa"/>
              <w:right w:w="108" w:type="dxa"/>
            </w:tcMar>
            <w:vAlign w:val="center"/>
          </w:tcPr>
          <w:p w14:paraId="0EAFB29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204.50</w:t>
            </w:r>
          </w:p>
        </w:tc>
        <w:tc>
          <w:tcPr>
            <w:tcW w:w="570" w:type="pct"/>
            <w:shd w:val="clear" w:color="auto" w:fill="auto"/>
            <w:tcMar>
              <w:top w:w="0" w:type="dxa"/>
              <w:left w:w="108" w:type="dxa"/>
              <w:bottom w:w="0" w:type="dxa"/>
              <w:right w:w="108" w:type="dxa"/>
            </w:tcMar>
            <w:vAlign w:val="center"/>
          </w:tcPr>
          <w:p w14:paraId="0563E92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0.04%</w:t>
            </w:r>
          </w:p>
        </w:tc>
        <w:tc>
          <w:tcPr>
            <w:tcW w:w="777" w:type="pct"/>
            <w:shd w:val="clear" w:color="auto" w:fill="auto"/>
            <w:tcMar>
              <w:top w:w="0" w:type="dxa"/>
              <w:left w:w="108" w:type="dxa"/>
              <w:bottom w:w="0" w:type="dxa"/>
              <w:right w:w="108" w:type="dxa"/>
            </w:tcMar>
            <w:vAlign w:val="center"/>
          </w:tcPr>
          <w:p w14:paraId="64F47F3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204.50</w:t>
            </w:r>
          </w:p>
        </w:tc>
        <w:tc>
          <w:tcPr>
            <w:tcW w:w="627" w:type="pct"/>
            <w:shd w:val="clear" w:color="auto" w:fill="auto"/>
            <w:tcMar>
              <w:top w:w="0" w:type="dxa"/>
              <w:left w:w="108" w:type="dxa"/>
              <w:bottom w:w="0" w:type="dxa"/>
              <w:right w:w="108" w:type="dxa"/>
            </w:tcMar>
            <w:vAlign w:val="center"/>
          </w:tcPr>
          <w:p w14:paraId="12C253F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055794F5" w14:textId="77777777" w:rsidTr="003357B7">
        <w:trPr>
          <w:trHeight w:val="340"/>
          <w:jc w:val="center"/>
        </w:trPr>
        <w:tc>
          <w:tcPr>
            <w:tcW w:w="962" w:type="pct"/>
            <w:shd w:val="clear" w:color="auto" w:fill="auto"/>
            <w:tcMar>
              <w:top w:w="0" w:type="dxa"/>
              <w:left w:w="108" w:type="dxa"/>
              <w:bottom w:w="0" w:type="dxa"/>
              <w:right w:w="108" w:type="dxa"/>
            </w:tcMar>
            <w:vAlign w:val="center"/>
          </w:tcPr>
          <w:p w14:paraId="6CA6BB86"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无形资产</w:t>
            </w:r>
          </w:p>
        </w:tc>
        <w:tc>
          <w:tcPr>
            <w:tcW w:w="729" w:type="pct"/>
            <w:shd w:val="clear" w:color="auto" w:fill="auto"/>
            <w:tcMar>
              <w:top w:w="0" w:type="dxa"/>
              <w:left w:w="108" w:type="dxa"/>
              <w:bottom w:w="0" w:type="dxa"/>
              <w:right w:w="108" w:type="dxa"/>
            </w:tcMar>
            <w:vAlign w:val="center"/>
          </w:tcPr>
          <w:p w14:paraId="5374EA7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15,661.94</w:t>
            </w:r>
          </w:p>
        </w:tc>
        <w:tc>
          <w:tcPr>
            <w:tcW w:w="568" w:type="pct"/>
            <w:shd w:val="clear" w:color="auto" w:fill="auto"/>
            <w:tcMar>
              <w:top w:w="0" w:type="dxa"/>
              <w:left w:w="108" w:type="dxa"/>
              <w:bottom w:w="0" w:type="dxa"/>
              <w:right w:w="108" w:type="dxa"/>
            </w:tcMar>
            <w:vAlign w:val="center"/>
          </w:tcPr>
          <w:p w14:paraId="4754529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4.99%</w:t>
            </w:r>
          </w:p>
        </w:tc>
        <w:tc>
          <w:tcPr>
            <w:tcW w:w="766" w:type="pct"/>
            <w:shd w:val="clear" w:color="auto" w:fill="auto"/>
            <w:tcMar>
              <w:top w:w="0" w:type="dxa"/>
              <w:left w:w="108" w:type="dxa"/>
              <w:bottom w:w="0" w:type="dxa"/>
              <w:right w:w="108" w:type="dxa"/>
            </w:tcMar>
            <w:vAlign w:val="center"/>
          </w:tcPr>
          <w:p w14:paraId="08F23A6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21,132.74</w:t>
            </w:r>
          </w:p>
        </w:tc>
        <w:tc>
          <w:tcPr>
            <w:tcW w:w="570" w:type="pct"/>
            <w:shd w:val="clear" w:color="auto" w:fill="auto"/>
            <w:tcMar>
              <w:top w:w="0" w:type="dxa"/>
              <w:left w:w="108" w:type="dxa"/>
              <w:bottom w:w="0" w:type="dxa"/>
              <w:right w:w="108" w:type="dxa"/>
            </w:tcMar>
            <w:vAlign w:val="center"/>
          </w:tcPr>
          <w:p w14:paraId="4FB6AA4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3.86%</w:t>
            </w:r>
          </w:p>
        </w:tc>
        <w:tc>
          <w:tcPr>
            <w:tcW w:w="777" w:type="pct"/>
            <w:shd w:val="clear" w:color="auto" w:fill="auto"/>
            <w:tcMar>
              <w:top w:w="0" w:type="dxa"/>
              <w:left w:w="108" w:type="dxa"/>
              <w:bottom w:w="0" w:type="dxa"/>
              <w:right w:w="108" w:type="dxa"/>
            </w:tcMar>
            <w:vAlign w:val="center"/>
          </w:tcPr>
          <w:p w14:paraId="2DAF361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5,470.80</w:t>
            </w:r>
          </w:p>
        </w:tc>
        <w:tc>
          <w:tcPr>
            <w:tcW w:w="627" w:type="pct"/>
            <w:shd w:val="clear" w:color="auto" w:fill="auto"/>
            <w:tcMar>
              <w:top w:w="0" w:type="dxa"/>
              <w:left w:w="108" w:type="dxa"/>
              <w:bottom w:w="0" w:type="dxa"/>
              <w:right w:w="108" w:type="dxa"/>
            </w:tcMar>
            <w:vAlign w:val="center"/>
          </w:tcPr>
          <w:p w14:paraId="35BBEBF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34.93%</w:t>
            </w:r>
          </w:p>
        </w:tc>
      </w:tr>
      <w:tr w:rsidR="006416B0" w:rsidRPr="00B4515A" w14:paraId="16A20281" w14:textId="77777777" w:rsidTr="003357B7">
        <w:trPr>
          <w:trHeight w:val="340"/>
          <w:jc w:val="center"/>
        </w:trPr>
        <w:tc>
          <w:tcPr>
            <w:tcW w:w="962" w:type="pct"/>
            <w:shd w:val="clear" w:color="auto" w:fill="auto"/>
            <w:tcMar>
              <w:top w:w="0" w:type="dxa"/>
              <w:left w:w="108" w:type="dxa"/>
              <w:bottom w:w="0" w:type="dxa"/>
              <w:right w:w="108" w:type="dxa"/>
            </w:tcMar>
            <w:vAlign w:val="center"/>
          </w:tcPr>
          <w:p w14:paraId="0BFA4004"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开发支出</w:t>
            </w:r>
          </w:p>
        </w:tc>
        <w:tc>
          <w:tcPr>
            <w:tcW w:w="729" w:type="pct"/>
            <w:shd w:val="clear" w:color="auto" w:fill="auto"/>
            <w:tcMar>
              <w:top w:w="0" w:type="dxa"/>
              <w:left w:w="108" w:type="dxa"/>
              <w:bottom w:w="0" w:type="dxa"/>
              <w:right w:w="108" w:type="dxa"/>
            </w:tcMar>
            <w:vAlign w:val="center"/>
          </w:tcPr>
          <w:p w14:paraId="1A76981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9,270.65</w:t>
            </w:r>
          </w:p>
        </w:tc>
        <w:tc>
          <w:tcPr>
            <w:tcW w:w="568" w:type="pct"/>
            <w:shd w:val="clear" w:color="auto" w:fill="auto"/>
            <w:tcMar>
              <w:top w:w="0" w:type="dxa"/>
              <w:left w:w="108" w:type="dxa"/>
              <w:bottom w:w="0" w:type="dxa"/>
              <w:right w:w="108" w:type="dxa"/>
            </w:tcMar>
            <w:vAlign w:val="center"/>
          </w:tcPr>
          <w:p w14:paraId="52B5A4D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2.95%</w:t>
            </w:r>
          </w:p>
        </w:tc>
        <w:tc>
          <w:tcPr>
            <w:tcW w:w="766" w:type="pct"/>
            <w:shd w:val="clear" w:color="auto" w:fill="auto"/>
            <w:tcMar>
              <w:top w:w="0" w:type="dxa"/>
              <w:left w:w="108" w:type="dxa"/>
              <w:bottom w:w="0" w:type="dxa"/>
              <w:right w:w="108" w:type="dxa"/>
            </w:tcMar>
            <w:vAlign w:val="center"/>
          </w:tcPr>
          <w:p w14:paraId="1D828B7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9,918.73</w:t>
            </w:r>
          </w:p>
        </w:tc>
        <w:tc>
          <w:tcPr>
            <w:tcW w:w="570" w:type="pct"/>
            <w:shd w:val="clear" w:color="auto" w:fill="auto"/>
            <w:tcMar>
              <w:top w:w="0" w:type="dxa"/>
              <w:left w:w="108" w:type="dxa"/>
              <w:bottom w:w="0" w:type="dxa"/>
              <w:right w:w="108" w:type="dxa"/>
            </w:tcMar>
            <w:vAlign w:val="center"/>
          </w:tcPr>
          <w:p w14:paraId="342C9A7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1.81%</w:t>
            </w:r>
          </w:p>
        </w:tc>
        <w:tc>
          <w:tcPr>
            <w:tcW w:w="777" w:type="pct"/>
            <w:shd w:val="clear" w:color="auto" w:fill="auto"/>
            <w:tcMar>
              <w:top w:w="0" w:type="dxa"/>
              <w:left w:w="108" w:type="dxa"/>
              <w:bottom w:w="0" w:type="dxa"/>
              <w:right w:w="108" w:type="dxa"/>
            </w:tcMar>
            <w:vAlign w:val="center"/>
          </w:tcPr>
          <w:p w14:paraId="2E2E78F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648.09</w:t>
            </w:r>
          </w:p>
        </w:tc>
        <w:tc>
          <w:tcPr>
            <w:tcW w:w="627" w:type="pct"/>
            <w:shd w:val="clear" w:color="auto" w:fill="auto"/>
            <w:tcMar>
              <w:top w:w="0" w:type="dxa"/>
              <w:left w:w="108" w:type="dxa"/>
              <w:bottom w:w="0" w:type="dxa"/>
              <w:right w:w="108" w:type="dxa"/>
            </w:tcMar>
            <w:vAlign w:val="center"/>
          </w:tcPr>
          <w:p w14:paraId="47E4266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6.99%</w:t>
            </w:r>
          </w:p>
        </w:tc>
      </w:tr>
      <w:tr w:rsidR="006416B0" w:rsidRPr="00B4515A" w14:paraId="25086EEF" w14:textId="77777777" w:rsidTr="003357B7">
        <w:trPr>
          <w:trHeight w:val="340"/>
          <w:jc w:val="center"/>
        </w:trPr>
        <w:tc>
          <w:tcPr>
            <w:tcW w:w="962" w:type="pct"/>
            <w:shd w:val="clear" w:color="auto" w:fill="auto"/>
            <w:tcMar>
              <w:top w:w="0" w:type="dxa"/>
              <w:left w:w="108" w:type="dxa"/>
              <w:bottom w:w="0" w:type="dxa"/>
              <w:right w:w="108" w:type="dxa"/>
            </w:tcMar>
            <w:vAlign w:val="center"/>
          </w:tcPr>
          <w:p w14:paraId="6046D478"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商誉</w:t>
            </w:r>
          </w:p>
        </w:tc>
        <w:tc>
          <w:tcPr>
            <w:tcW w:w="729" w:type="pct"/>
            <w:shd w:val="clear" w:color="auto" w:fill="auto"/>
            <w:tcMar>
              <w:top w:w="0" w:type="dxa"/>
              <w:left w:w="108" w:type="dxa"/>
              <w:bottom w:w="0" w:type="dxa"/>
              <w:right w:w="108" w:type="dxa"/>
            </w:tcMar>
            <w:vAlign w:val="center"/>
          </w:tcPr>
          <w:p w14:paraId="1851F5F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154.26</w:t>
            </w:r>
          </w:p>
        </w:tc>
        <w:tc>
          <w:tcPr>
            <w:tcW w:w="568" w:type="pct"/>
            <w:shd w:val="clear" w:color="auto" w:fill="auto"/>
            <w:tcMar>
              <w:top w:w="0" w:type="dxa"/>
              <w:left w:w="108" w:type="dxa"/>
              <w:bottom w:w="0" w:type="dxa"/>
              <w:right w:w="108" w:type="dxa"/>
            </w:tcMar>
            <w:vAlign w:val="center"/>
          </w:tcPr>
          <w:p w14:paraId="1B5677B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0.05%</w:t>
            </w:r>
          </w:p>
        </w:tc>
        <w:tc>
          <w:tcPr>
            <w:tcW w:w="766" w:type="pct"/>
            <w:shd w:val="clear" w:color="auto" w:fill="auto"/>
            <w:tcMar>
              <w:top w:w="0" w:type="dxa"/>
              <w:left w:w="108" w:type="dxa"/>
              <w:bottom w:w="0" w:type="dxa"/>
              <w:right w:w="108" w:type="dxa"/>
            </w:tcMar>
            <w:vAlign w:val="center"/>
          </w:tcPr>
          <w:p w14:paraId="5F3BD05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154.26</w:t>
            </w:r>
          </w:p>
        </w:tc>
        <w:tc>
          <w:tcPr>
            <w:tcW w:w="570" w:type="pct"/>
            <w:shd w:val="clear" w:color="auto" w:fill="auto"/>
            <w:tcMar>
              <w:top w:w="0" w:type="dxa"/>
              <w:left w:w="108" w:type="dxa"/>
              <w:bottom w:w="0" w:type="dxa"/>
              <w:right w:w="108" w:type="dxa"/>
            </w:tcMar>
            <w:vAlign w:val="center"/>
          </w:tcPr>
          <w:p w14:paraId="14B5900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0.03%</w:t>
            </w:r>
          </w:p>
        </w:tc>
        <w:tc>
          <w:tcPr>
            <w:tcW w:w="777" w:type="pct"/>
            <w:shd w:val="clear" w:color="auto" w:fill="auto"/>
            <w:tcMar>
              <w:top w:w="0" w:type="dxa"/>
              <w:left w:w="108" w:type="dxa"/>
              <w:bottom w:w="0" w:type="dxa"/>
              <w:right w:w="108" w:type="dxa"/>
            </w:tcMar>
            <w:vAlign w:val="center"/>
          </w:tcPr>
          <w:p w14:paraId="146302E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27" w:type="pct"/>
            <w:shd w:val="clear" w:color="auto" w:fill="auto"/>
            <w:tcMar>
              <w:top w:w="0" w:type="dxa"/>
              <w:left w:w="108" w:type="dxa"/>
              <w:bottom w:w="0" w:type="dxa"/>
              <w:right w:w="108" w:type="dxa"/>
            </w:tcMar>
            <w:vAlign w:val="center"/>
          </w:tcPr>
          <w:p w14:paraId="3573581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0B57C3D1" w14:textId="77777777" w:rsidTr="003357B7">
        <w:trPr>
          <w:trHeight w:val="340"/>
          <w:jc w:val="center"/>
        </w:trPr>
        <w:tc>
          <w:tcPr>
            <w:tcW w:w="962" w:type="pct"/>
            <w:shd w:val="clear" w:color="auto" w:fill="auto"/>
            <w:tcMar>
              <w:top w:w="0" w:type="dxa"/>
              <w:left w:w="108" w:type="dxa"/>
              <w:bottom w:w="0" w:type="dxa"/>
              <w:right w:w="108" w:type="dxa"/>
            </w:tcMar>
            <w:vAlign w:val="center"/>
          </w:tcPr>
          <w:p w14:paraId="4F94A037"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长期待摊费用</w:t>
            </w:r>
          </w:p>
        </w:tc>
        <w:tc>
          <w:tcPr>
            <w:tcW w:w="729" w:type="pct"/>
            <w:shd w:val="clear" w:color="auto" w:fill="auto"/>
            <w:tcMar>
              <w:top w:w="0" w:type="dxa"/>
              <w:left w:w="108" w:type="dxa"/>
              <w:bottom w:w="0" w:type="dxa"/>
              <w:right w:w="108" w:type="dxa"/>
            </w:tcMar>
            <w:vAlign w:val="center"/>
          </w:tcPr>
          <w:p w14:paraId="13D32C3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985.24</w:t>
            </w:r>
          </w:p>
        </w:tc>
        <w:tc>
          <w:tcPr>
            <w:tcW w:w="568" w:type="pct"/>
            <w:shd w:val="clear" w:color="auto" w:fill="auto"/>
            <w:tcMar>
              <w:top w:w="0" w:type="dxa"/>
              <w:left w:w="108" w:type="dxa"/>
              <w:bottom w:w="0" w:type="dxa"/>
              <w:right w:w="108" w:type="dxa"/>
            </w:tcMar>
            <w:vAlign w:val="center"/>
          </w:tcPr>
          <w:p w14:paraId="2753B90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0.31%</w:t>
            </w:r>
          </w:p>
        </w:tc>
        <w:tc>
          <w:tcPr>
            <w:tcW w:w="766" w:type="pct"/>
            <w:shd w:val="clear" w:color="auto" w:fill="auto"/>
            <w:tcMar>
              <w:top w:w="0" w:type="dxa"/>
              <w:left w:w="108" w:type="dxa"/>
              <w:bottom w:w="0" w:type="dxa"/>
              <w:right w:w="108" w:type="dxa"/>
            </w:tcMar>
            <w:vAlign w:val="center"/>
          </w:tcPr>
          <w:p w14:paraId="51ED4D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1,085.21</w:t>
            </w:r>
          </w:p>
        </w:tc>
        <w:tc>
          <w:tcPr>
            <w:tcW w:w="570" w:type="pct"/>
            <w:shd w:val="clear" w:color="auto" w:fill="auto"/>
            <w:tcMar>
              <w:top w:w="0" w:type="dxa"/>
              <w:left w:w="108" w:type="dxa"/>
              <w:bottom w:w="0" w:type="dxa"/>
              <w:right w:w="108" w:type="dxa"/>
            </w:tcMar>
            <w:vAlign w:val="center"/>
          </w:tcPr>
          <w:p w14:paraId="17CAD34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0.20%</w:t>
            </w:r>
          </w:p>
        </w:tc>
        <w:tc>
          <w:tcPr>
            <w:tcW w:w="777" w:type="pct"/>
            <w:shd w:val="clear" w:color="auto" w:fill="auto"/>
            <w:tcMar>
              <w:top w:w="0" w:type="dxa"/>
              <w:left w:w="108" w:type="dxa"/>
              <w:bottom w:w="0" w:type="dxa"/>
              <w:right w:w="108" w:type="dxa"/>
            </w:tcMar>
            <w:vAlign w:val="center"/>
          </w:tcPr>
          <w:p w14:paraId="5B17F8F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99.97</w:t>
            </w:r>
          </w:p>
        </w:tc>
        <w:tc>
          <w:tcPr>
            <w:tcW w:w="627" w:type="pct"/>
            <w:shd w:val="clear" w:color="auto" w:fill="auto"/>
            <w:tcMar>
              <w:top w:w="0" w:type="dxa"/>
              <w:left w:w="108" w:type="dxa"/>
              <w:bottom w:w="0" w:type="dxa"/>
              <w:right w:w="108" w:type="dxa"/>
            </w:tcMar>
            <w:vAlign w:val="center"/>
          </w:tcPr>
          <w:p w14:paraId="41B657E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10.15%</w:t>
            </w:r>
          </w:p>
        </w:tc>
      </w:tr>
      <w:tr w:rsidR="006416B0" w:rsidRPr="00B4515A" w14:paraId="7002DD25" w14:textId="77777777" w:rsidTr="00EE238F">
        <w:trPr>
          <w:trHeight w:val="340"/>
          <w:jc w:val="center"/>
        </w:trPr>
        <w:tc>
          <w:tcPr>
            <w:tcW w:w="962" w:type="pct"/>
            <w:shd w:val="clear" w:color="auto" w:fill="auto"/>
            <w:tcMar>
              <w:top w:w="0" w:type="dxa"/>
              <w:left w:w="108" w:type="dxa"/>
              <w:bottom w:w="0" w:type="dxa"/>
              <w:right w:w="108" w:type="dxa"/>
            </w:tcMar>
            <w:vAlign w:val="center"/>
          </w:tcPr>
          <w:p w14:paraId="40FFDC8D"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递延所得税资产</w:t>
            </w:r>
          </w:p>
        </w:tc>
        <w:tc>
          <w:tcPr>
            <w:tcW w:w="729" w:type="pct"/>
            <w:shd w:val="clear" w:color="auto" w:fill="auto"/>
            <w:tcMar>
              <w:top w:w="0" w:type="dxa"/>
              <w:left w:w="108" w:type="dxa"/>
              <w:bottom w:w="0" w:type="dxa"/>
              <w:right w:w="108" w:type="dxa"/>
            </w:tcMar>
            <w:vAlign w:val="center"/>
          </w:tcPr>
          <w:p w14:paraId="32BCECD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1,765.06</w:t>
            </w:r>
          </w:p>
        </w:tc>
        <w:tc>
          <w:tcPr>
            <w:tcW w:w="568" w:type="pct"/>
            <w:shd w:val="clear" w:color="auto" w:fill="auto"/>
            <w:tcMar>
              <w:top w:w="0" w:type="dxa"/>
              <w:left w:w="108" w:type="dxa"/>
              <w:bottom w:w="0" w:type="dxa"/>
              <w:right w:w="108" w:type="dxa"/>
            </w:tcMar>
            <w:vAlign w:val="center"/>
          </w:tcPr>
          <w:p w14:paraId="14D6788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0.56%</w:t>
            </w:r>
          </w:p>
        </w:tc>
        <w:tc>
          <w:tcPr>
            <w:tcW w:w="766" w:type="pct"/>
            <w:shd w:val="clear" w:color="auto" w:fill="auto"/>
            <w:tcMar>
              <w:top w:w="0" w:type="dxa"/>
              <w:left w:w="108" w:type="dxa"/>
              <w:bottom w:w="0" w:type="dxa"/>
              <w:right w:w="108" w:type="dxa"/>
            </w:tcMar>
            <w:vAlign w:val="center"/>
          </w:tcPr>
          <w:p w14:paraId="02DAA20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1,765.06</w:t>
            </w:r>
          </w:p>
        </w:tc>
        <w:tc>
          <w:tcPr>
            <w:tcW w:w="570" w:type="pct"/>
            <w:shd w:val="clear" w:color="auto" w:fill="auto"/>
            <w:tcMar>
              <w:top w:w="0" w:type="dxa"/>
              <w:left w:w="108" w:type="dxa"/>
              <w:bottom w:w="0" w:type="dxa"/>
              <w:right w:w="108" w:type="dxa"/>
            </w:tcMar>
            <w:vAlign w:val="center"/>
          </w:tcPr>
          <w:p w14:paraId="18865E8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0.32%</w:t>
            </w:r>
          </w:p>
        </w:tc>
        <w:tc>
          <w:tcPr>
            <w:tcW w:w="777" w:type="pct"/>
            <w:shd w:val="clear" w:color="auto" w:fill="auto"/>
            <w:tcMar>
              <w:top w:w="0" w:type="dxa"/>
              <w:left w:w="108" w:type="dxa"/>
              <w:bottom w:w="0" w:type="dxa"/>
              <w:right w:w="108" w:type="dxa"/>
            </w:tcMar>
            <w:vAlign w:val="center"/>
          </w:tcPr>
          <w:p w14:paraId="75E52A2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c>
          <w:tcPr>
            <w:tcW w:w="627" w:type="pct"/>
            <w:shd w:val="clear" w:color="auto" w:fill="auto"/>
            <w:tcMar>
              <w:top w:w="0" w:type="dxa"/>
              <w:left w:w="108" w:type="dxa"/>
              <w:bottom w:w="0" w:type="dxa"/>
              <w:right w:w="108" w:type="dxa"/>
            </w:tcMar>
            <w:vAlign w:val="center"/>
          </w:tcPr>
          <w:p w14:paraId="738FD59D" w14:textId="497ADC50"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w:t>
            </w:r>
          </w:p>
        </w:tc>
      </w:tr>
      <w:tr w:rsidR="006416B0" w:rsidRPr="00B4515A" w14:paraId="2476DDCA" w14:textId="77777777" w:rsidTr="003357B7">
        <w:trPr>
          <w:trHeight w:val="340"/>
          <w:jc w:val="center"/>
        </w:trPr>
        <w:tc>
          <w:tcPr>
            <w:tcW w:w="962" w:type="pct"/>
            <w:shd w:val="clear" w:color="auto" w:fill="auto"/>
            <w:tcMar>
              <w:top w:w="0" w:type="dxa"/>
              <w:left w:w="108" w:type="dxa"/>
              <w:bottom w:w="0" w:type="dxa"/>
              <w:right w:w="108" w:type="dxa"/>
            </w:tcMar>
            <w:vAlign w:val="center"/>
          </w:tcPr>
          <w:p w14:paraId="38EAD10C" w14:textId="77777777" w:rsidR="006416B0" w:rsidRPr="00B4515A" w:rsidRDefault="005E58C1" w:rsidP="005860B4">
            <w:pPr>
              <w:adjustRightInd w:val="0"/>
              <w:snapToGrid w:val="0"/>
              <w:jc w:val="both"/>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非流动资产合计</w:t>
            </w:r>
          </w:p>
        </w:tc>
        <w:tc>
          <w:tcPr>
            <w:tcW w:w="729" w:type="pct"/>
            <w:shd w:val="clear" w:color="auto" w:fill="auto"/>
            <w:tcMar>
              <w:top w:w="0" w:type="dxa"/>
              <w:left w:w="108" w:type="dxa"/>
              <w:bottom w:w="0" w:type="dxa"/>
              <w:right w:w="108" w:type="dxa"/>
            </w:tcMar>
            <w:vAlign w:val="center"/>
          </w:tcPr>
          <w:p w14:paraId="236295E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184,438.61</w:t>
            </w:r>
          </w:p>
        </w:tc>
        <w:tc>
          <w:tcPr>
            <w:tcW w:w="568" w:type="pct"/>
            <w:shd w:val="clear" w:color="auto" w:fill="auto"/>
            <w:tcMar>
              <w:top w:w="0" w:type="dxa"/>
              <w:left w:w="108" w:type="dxa"/>
              <w:bottom w:w="0" w:type="dxa"/>
              <w:right w:w="108" w:type="dxa"/>
            </w:tcMar>
            <w:vAlign w:val="center"/>
          </w:tcPr>
          <w:p w14:paraId="181D588C"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58.73%</w:t>
            </w:r>
          </w:p>
        </w:tc>
        <w:tc>
          <w:tcPr>
            <w:tcW w:w="766" w:type="pct"/>
            <w:shd w:val="clear" w:color="auto" w:fill="auto"/>
            <w:tcMar>
              <w:top w:w="0" w:type="dxa"/>
              <w:left w:w="108" w:type="dxa"/>
              <w:bottom w:w="0" w:type="dxa"/>
              <w:right w:w="108" w:type="dxa"/>
            </w:tcMar>
            <w:vAlign w:val="center"/>
          </w:tcPr>
          <w:p w14:paraId="38DAAAF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207,929.79</w:t>
            </w:r>
          </w:p>
        </w:tc>
        <w:tc>
          <w:tcPr>
            <w:tcW w:w="570" w:type="pct"/>
            <w:shd w:val="clear" w:color="auto" w:fill="auto"/>
            <w:tcMar>
              <w:top w:w="0" w:type="dxa"/>
              <w:left w:w="108" w:type="dxa"/>
              <w:bottom w:w="0" w:type="dxa"/>
              <w:right w:w="108" w:type="dxa"/>
            </w:tcMar>
            <w:vAlign w:val="center"/>
          </w:tcPr>
          <w:p w14:paraId="37DE3AE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37.93%</w:t>
            </w:r>
          </w:p>
        </w:tc>
        <w:tc>
          <w:tcPr>
            <w:tcW w:w="777" w:type="pct"/>
            <w:shd w:val="clear" w:color="auto" w:fill="auto"/>
            <w:tcMar>
              <w:top w:w="0" w:type="dxa"/>
              <w:left w:w="108" w:type="dxa"/>
              <w:bottom w:w="0" w:type="dxa"/>
              <w:right w:w="108" w:type="dxa"/>
            </w:tcMar>
            <w:vAlign w:val="center"/>
          </w:tcPr>
          <w:p w14:paraId="6386499E"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23,491.18</w:t>
            </w:r>
          </w:p>
        </w:tc>
        <w:tc>
          <w:tcPr>
            <w:tcW w:w="627" w:type="pct"/>
            <w:shd w:val="clear" w:color="auto" w:fill="auto"/>
            <w:tcMar>
              <w:top w:w="0" w:type="dxa"/>
              <w:left w:w="108" w:type="dxa"/>
              <w:bottom w:w="0" w:type="dxa"/>
              <w:right w:w="108" w:type="dxa"/>
            </w:tcMar>
            <w:vAlign w:val="center"/>
          </w:tcPr>
          <w:p w14:paraId="31C317DA"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12.74%</w:t>
            </w:r>
          </w:p>
        </w:tc>
      </w:tr>
      <w:tr w:rsidR="006416B0" w:rsidRPr="00B4515A" w14:paraId="11799722" w14:textId="77777777" w:rsidTr="003357B7">
        <w:trPr>
          <w:trHeight w:val="340"/>
          <w:jc w:val="center"/>
        </w:trPr>
        <w:tc>
          <w:tcPr>
            <w:tcW w:w="962" w:type="pct"/>
            <w:shd w:val="clear" w:color="auto" w:fill="auto"/>
            <w:tcMar>
              <w:top w:w="0" w:type="dxa"/>
              <w:left w:w="108" w:type="dxa"/>
              <w:bottom w:w="0" w:type="dxa"/>
              <w:right w:w="108" w:type="dxa"/>
            </w:tcMar>
            <w:vAlign w:val="center"/>
          </w:tcPr>
          <w:p w14:paraId="7F274ED1" w14:textId="77777777" w:rsidR="006416B0" w:rsidRPr="00B4515A" w:rsidRDefault="005E58C1" w:rsidP="005860B4">
            <w:pPr>
              <w:adjustRightInd w:val="0"/>
              <w:snapToGrid w:val="0"/>
              <w:jc w:val="both"/>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资产总计</w:t>
            </w:r>
          </w:p>
        </w:tc>
        <w:tc>
          <w:tcPr>
            <w:tcW w:w="729" w:type="pct"/>
            <w:shd w:val="clear" w:color="auto" w:fill="auto"/>
            <w:tcMar>
              <w:top w:w="0" w:type="dxa"/>
              <w:left w:w="108" w:type="dxa"/>
              <w:bottom w:w="0" w:type="dxa"/>
              <w:right w:w="108" w:type="dxa"/>
            </w:tcMar>
            <w:vAlign w:val="center"/>
          </w:tcPr>
          <w:p w14:paraId="2207B03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314,041.93</w:t>
            </w:r>
          </w:p>
        </w:tc>
        <w:tc>
          <w:tcPr>
            <w:tcW w:w="568" w:type="pct"/>
            <w:shd w:val="clear" w:color="auto" w:fill="auto"/>
            <w:tcMar>
              <w:top w:w="0" w:type="dxa"/>
              <w:left w:w="108" w:type="dxa"/>
              <w:bottom w:w="0" w:type="dxa"/>
              <w:right w:w="108" w:type="dxa"/>
            </w:tcMar>
            <w:vAlign w:val="center"/>
          </w:tcPr>
          <w:p w14:paraId="1C003DC5"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766" w:type="pct"/>
            <w:shd w:val="clear" w:color="auto" w:fill="auto"/>
            <w:tcMar>
              <w:top w:w="0" w:type="dxa"/>
              <w:left w:w="108" w:type="dxa"/>
              <w:bottom w:w="0" w:type="dxa"/>
              <w:right w:w="108" w:type="dxa"/>
            </w:tcMar>
            <w:vAlign w:val="center"/>
          </w:tcPr>
          <w:p w14:paraId="504E77D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548,152.06</w:t>
            </w:r>
          </w:p>
        </w:tc>
        <w:tc>
          <w:tcPr>
            <w:tcW w:w="570" w:type="pct"/>
            <w:shd w:val="clear" w:color="auto" w:fill="auto"/>
            <w:tcMar>
              <w:top w:w="0" w:type="dxa"/>
              <w:left w:w="108" w:type="dxa"/>
              <w:bottom w:w="0" w:type="dxa"/>
              <w:right w:w="108" w:type="dxa"/>
            </w:tcMar>
            <w:vAlign w:val="center"/>
          </w:tcPr>
          <w:p w14:paraId="6D588C0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777" w:type="pct"/>
            <w:shd w:val="clear" w:color="auto" w:fill="auto"/>
            <w:tcMar>
              <w:top w:w="0" w:type="dxa"/>
              <w:left w:w="108" w:type="dxa"/>
              <w:bottom w:w="0" w:type="dxa"/>
              <w:right w:w="108" w:type="dxa"/>
            </w:tcMar>
            <w:vAlign w:val="center"/>
          </w:tcPr>
          <w:p w14:paraId="790104B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234,110.12</w:t>
            </w:r>
          </w:p>
        </w:tc>
        <w:tc>
          <w:tcPr>
            <w:tcW w:w="627" w:type="pct"/>
            <w:shd w:val="clear" w:color="auto" w:fill="auto"/>
            <w:tcMar>
              <w:top w:w="0" w:type="dxa"/>
              <w:left w:w="108" w:type="dxa"/>
              <w:bottom w:w="0" w:type="dxa"/>
              <w:right w:w="108" w:type="dxa"/>
            </w:tcMar>
            <w:vAlign w:val="center"/>
          </w:tcPr>
          <w:p w14:paraId="371DE8D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74.55%</w:t>
            </w:r>
          </w:p>
        </w:tc>
      </w:tr>
    </w:tbl>
    <w:p w14:paraId="00A7BAD6" w14:textId="1EB6C364" w:rsidR="006416B0" w:rsidRPr="00B4515A" w:rsidRDefault="005E58C1" w:rsidP="003357B7">
      <w:pPr>
        <w:pStyle w:val="005"/>
        <w:spacing w:before="120" w:after="120"/>
        <w:ind w:firstLine="480"/>
      </w:pPr>
      <w:r w:rsidRPr="00B4515A">
        <w:rPr>
          <w:rFonts w:hint="eastAsia"/>
        </w:rPr>
        <w:t>本交易完成后，截至</w:t>
      </w:r>
      <w:r w:rsidRPr="00B4515A">
        <w:t>2020</w:t>
      </w:r>
      <w:r w:rsidRPr="00B4515A">
        <w:rPr>
          <w:rFonts w:hint="eastAsia"/>
        </w:rPr>
        <w:t>年末以及</w:t>
      </w:r>
      <w:r w:rsidRPr="00B4515A">
        <w:t>2021</w:t>
      </w:r>
      <w:r w:rsidRPr="00B4515A">
        <w:rPr>
          <w:rFonts w:hint="eastAsia"/>
        </w:rPr>
        <w:t>年</w:t>
      </w:r>
      <w:r w:rsidRPr="00B4515A">
        <w:t>4</w:t>
      </w:r>
      <w:r w:rsidRPr="00B4515A">
        <w:rPr>
          <w:rFonts w:hint="eastAsia"/>
        </w:rPr>
        <w:t>月末，上市公司备考后流动资产分别为</w:t>
      </w:r>
      <w:r w:rsidRPr="00B4515A">
        <w:t>340,222.27</w:t>
      </w:r>
      <w:r w:rsidRPr="00B4515A">
        <w:rPr>
          <w:rFonts w:hint="eastAsia"/>
        </w:rPr>
        <w:t>万元、</w:t>
      </w:r>
      <w:r w:rsidRPr="00B4515A">
        <w:t>333,364.45</w:t>
      </w:r>
      <w:r w:rsidRPr="00B4515A">
        <w:rPr>
          <w:rFonts w:hint="eastAsia"/>
        </w:rPr>
        <w:t>万元，增幅分别为</w:t>
      </w:r>
      <w:r w:rsidRPr="00B4515A">
        <w:t>162.51%</w:t>
      </w:r>
      <w:r w:rsidRPr="00B4515A">
        <w:rPr>
          <w:rFonts w:hint="eastAsia"/>
        </w:rPr>
        <w:t>、</w:t>
      </w:r>
      <w:r w:rsidRPr="00B4515A">
        <w:t>176.72%</w:t>
      </w:r>
      <w:r w:rsidRPr="00B4515A">
        <w:rPr>
          <w:rFonts w:hint="eastAsia"/>
        </w:rPr>
        <w:t>，主要系货币资金、应收票据、应收账款、其他应收款、存货等科目的上升。</w:t>
      </w:r>
      <w:r w:rsidR="00A63AE3" w:rsidRPr="00B4515A">
        <w:rPr>
          <w:rFonts w:hint="eastAsia"/>
        </w:rPr>
        <w:t>本交易完成后，截至</w:t>
      </w:r>
      <w:r w:rsidRPr="00B4515A">
        <w:t>2020</w:t>
      </w:r>
      <w:r w:rsidRPr="00B4515A">
        <w:rPr>
          <w:rFonts w:hint="eastAsia"/>
        </w:rPr>
        <w:t>年末以及</w:t>
      </w:r>
      <w:r w:rsidRPr="00B4515A">
        <w:t>2021</w:t>
      </w:r>
      <w:r w:rsidRPr="00B4515A">
        <w:rPr>
          <w:rFonts w:hint="eastAsia"/>
        </w:rPr>
        <w:t>年</w:t>
      </w:r>
      <w:r w:rsidRPr="00B4515A">
        <w:t>4</w:t>
      </w:r>
      <w:r w:rsidRPr="00B4515A">
        <w:rPr>
          <w:rFonts w:hint="eastAsia"/>
        </w:rPr>
        <w:t>月末，</w:t>
      </w:r>
      <w:r w:rsidR="00A63AE3" w:rsidRPr="00B4515A">
        <w:rPr>
          <w:rFonts w:hint="eastAsia"/>
        </w:rPr>
        <w:t>上市公司</w:t>
      </w:r>
      <w:r w:rsidRPr="00B4515A">
        <w:rPr>
          <w:rFonts w:hint="eastAsia"/>
        </w:rPr>
        <w:t>总资产规模分别为</w:t>
      </w:r>
      <w:r w:rsidRPr="00B4515A">
        <w:lastRenderedPageBreak/>
        <w:t>548,152.06</w:t>
      </w:r>
      <w:r w:rsidRPr="00B4515A">
        <w:rPr>
          <w:rFonts w:hint="eastAsia"/>
        </w:rPr>
        <w:t>万元以及</w:t>
      </w:r>
      <w:r w:rsidRPr="00B4515A">
        <w:t>538,861.16</w:t>
      </w:r>
      <w:r w:rsidRPr="00B4515A">
        <w:rPr>
          <w:rFonts w:hint="eastAsia"/>
        </w:rPr>
        <w:t>万元，增幅分别为</w:t>
      </w:r>
      <w:r w:rsidRPr="00B4515A">
        <w:t>74.55%</w:t>
      </w:r>
      <w:r w:rsidRPr="00B4515A">
        <w:rPr>
          <w:rFonts w:hint="eastAsia"/>
        </w:rPr>
        <w:t>、</w:t>
      </w:r>
      <w:r w:rsidRPr="00B4515A">
        <w:t>80.83%</w:t>
      </w:r>
      <w:r w:rsidRPr="00B4515A">
        <w:rPr>
          <w:rFonts w:hint="eastAsia"/>
        </w:rPr>
        <w:t>，资产规模大幅提升，整体实力明显加强。</w:t>
      </w:r>
    </w:p>
    <w:p w14:paraId="3DB76228" w14:textId="77777777" w:rsidR="006416B0" w:rsidRPr="00B4515A" w:rsidRDefault="005E58C1" w:rsidP="003357B7">
      <w:pPr>
        <w:pStyle w:val="004"/>
        <w:spacing w:before="120" w:after="120"/>
        <w:ind w:firstLine="482"/>
      </w:pPr>
      <w:r w:rsidRPr="00B4515A">
        <w:rPr>
          <w:rFonts w:hint="eastAsia"/>
        </w:rPr>
        <w:t>2</w:t>
      </w:r>
      <w:r w:rsidRPr="00B4515A">
        <w:rPr>
          <w:rFonts w:hint="eastAsia"/>
        </w:rPr>
        <w:t>、负债的主要构成及分析</w:t>
      </w:r>
    </w:p>
    <w:p w14:paraId="3F3D7E23" w14:textId="77777777" w:rsidR="006416B0" w:rsidRPr="00B4515A" w:rsidRDefault="005E58C1" w:rsidP="00EE238F">
      <w:pPr>
        <w:pStyle w:val="009"/>
        <w:ind w:firstLine="480"/>
      </w:pPr>
      <w:r w:rsidRPr="00B4515A">
        <w:rPr>
          <w:rFonts w:hint="eastAsia"/>
        </w:rPr>
        <w:t>单位：万元</w:t>
      </w:r>
    </w:p>
    <w:p w14:paraId="351CCF58" w14:textId="77777777" w:rsidR="006416B0" w:rsidRPr="00B4515A" w:rsidRDefault="005E58C1">
      <w:pPr>
        <w:pStyle w:val="005"/>
        <w:keepNext/>
        <w:spacing w:before="120" w:after="120"/>
        <w:ind w:firstLine="422"/>
        <w:jc w:val="center"/>
        <w:rPr>
          <w:rFonts w:eastAsiaTheme="minorEastAsia"/>
          <w:sz w:val="21"/>
          <w:szCs w:val="21"/>
        </w:rPr>
      </w:pPr>
      <w:r w:rsidRPr="00B4515A">
        <w:rPr>
          <w:rFonts w:eastAsiaTheme="minorEastAsia"/>
          <w:b/>
          <w:bCs/>
          <w:color w:val="000000"/>
          <w:sz w:val="21"/>
          <w:szCs w:val="21"/>
        </w:rPr>
        <w:t xml:space="preserve">2021 </w:t>
      </w:r>
      <w:r w:rsidRPr="00B4515A">
        <w:rPr>
          <w:rFonts w:eastAsiaTheme="minorEastAsia" w:hint="eastAsia"/>
          <w:b/>
          <w:bCs/>
          <w:color w:val="000000"/>
          <w:sz w:val="21"/>
          <w:szCs w:val="21"/>
        </w:rPr>
        <w:t>年</w:t>
      </w:r>
      <w:r w:rsidRPr="00B4515A">
        <w:rPr>
          <w:rFonts w:eastAsiaTheme="minorEastAsia"/>
          <w:b/>
          <w:bCs/>
          <w:color w:val="000000"/>
          <w:sz w:val="21"/>
          <w:szCs w:val="21"/>
        </w:rPr>
        <w:t xml:space="preserve"> 4 </w:t>
      </w:r>
      <w:r w:rsidRPr="00B4515A">
        <w:rPr>
          <w:rFonts w:eastAsiaTheme="minorEastAsia" w:hint="eastAsia"/>
          <w:b/>
          <w:bCs/>
          <w:color w:val="000000"/>
          <w:sz w:val="21"/>
          <w:szCs w:val="21"/>
        </w:rPr>
        <w:t>月</w:t>
      </w:r>
      <w:r w:rsidRPr="00B4515A">
        <w:rPr>
          <w:rFonts w:eastAsiaTheme="minorEastAsia"/>
          <w:b/>
          <w:bCs/>
          <w:color w:val="000000"/>
          <w:sz w:val="21"/>
          <w:szCs w:val="21"/>
        </w:rPr>
        <w:t xml:space="preserve"> 30 </w:t>
      </w:r>
      <w:r w:rsidRPr="00B4515A">
        <w:rPr>
          <w:rFonts w:eastAsiaTheme="minorEastAsia" w:hint="eastAsia"/>
          <w:b/>
          <w:bCs/>
          <w:color w:val="000000"/>
          <w:sz w:val="21"/>
          <w:szCs w:val="21"/>
        </w:rPr>
        <w:t>日</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006"/>
        <w:gridCol w:w="1161"/>
        <w:gridCol w:w="1004"/>
        <w:gridCol w:w="1161"/>
        <w:gridCol w:w="1004"/>
        <w:gridCol w:w="1208"/>
        <w:gridCol w:w="984"/>
      </w:tblGrid>
      <w:tr w:rsidR="006416B0" w:rsidRPr="00B4515A" w14:paraId="25F33876" w14:textId="77777777" w:rsidTr="003357B7">
        <w:trPr>
          <w:trHeight w:val="340"/>
          <w:jc w:val="center"/>
        </w:trPr>
        <w:tc>
          <w:tcPr>
            <w:tcW w:w="1205" w:type="pct"/>
            <w:vMerge w:val="restart"/>
            <w:shd w:val="clear" w:color="auto" w:fill="auto"/>
            <w:tcMar>
              <w:top w:w="0" w:type="dxa"/>
              <w:left w:w="108" w:type="dxa"/>
              <w:bottom w:w="0" w:type="dxa"/>
              <w:right w:w="108" w:type="dxa"/>
            </w:tcMar>
            <w:vAlign w:val="center"/>
          </w:tcPr>
          <w:p w14:paraId="2D4B398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227" w:type="pct"/>
            <w:gridSpan w:val="2"/>
            <w:shd w:val="clear" w:color="auto" w:fill="auto"/>
            <w:tcMar>
              <w:top w:w="0" w:type="dxa"/>
              <w:left w:w="108" w:type="dxa"/>
              <w:bottom w:w="0" w:type="dxa"/>
              <w:right w:w="108" w:type="dxa"/>
            </w:tcMar>
            <w:vAlign w:val="center"/>
          </w:tcPr>
          <w:p w14:paraId="39EA289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交易前</w:t>
            </w:r>
          </w:p>
        </w:tc>
        <w:tc>
          <w:tcPr>
            <w:tcW w:w="1226" w:type="pct"/>
            <w:gridSpan w:val="2"/>
            <w:shd w:val="clear" w:color="auto" w:fill="auto"/>
            <w:tcMar>
              <w:top w:w="0" w:type="dxa"/>
              <w:left w:w="108" w:type="dxa"/>
              <w:bottom w:w="0" w:type="dxa"/>
              <w:right w:w="108" w:type="dxa"/>
            </w:tcMar>
            <w:vAlign w:val="center"/>
          </w:tcPr>
          <w:p w14:paraId="6722EB3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交易后（备考）</w:t>
            </w:r>
          </w:p>
        </w:tc>
        <w:tc>
          <w:tcPr>
            <w:tcW w:w="1342" w:type="pct"/>
            <w:gridSpan w:val="2"/>
            <w:shd w:val="clear" w:color="auto" w:fill="auto"/>
            <w:tcMar>
              <w:top w:w="0" w:type="dxa"/>
              <w:left w:w="108" w:type="dxa"/>
              <w:bottom w:w="0" w:type="dxa"/>
              <w:right w:w="108" w:type="dxa"/>
            </w:tcMar>
            <w:vAlign w:val="center"/>
          </w:tcPr>
          <w:p w14:paraId="41A65AB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变化情况</w:t>
            </w:r>
          </w:p>
        </w:tc>
      </w:tr>
      <w:tr w:rsidR="006416B0" w:rsidRPr="00B4515A" w14:paraId="4EE6C5D8" w14:textId="77777777" w:rsidTr="003357B7">
        <w:trPr>
          <w:trHeight w:val="340"/>
          <w:jc w:val="center"/>
        </w:trPr>
        <w:tc>
          <w:tcPr>
            <w:tcW w:w="1205" w:type="pct"/>
            <w:vMerge/>
            <w:tcMar>
              <w:top w:w="0" w:type="dxa"/>
              <w:left w:w="108" w:type="dxa"/>
              <w:bottom w:w="0" w:type="dxa"/>
              <w:right w:w="108" w:type="dxa"/>
            </w:tcMar>
            <w:vAlign w:val="center"/>
          </w:tcPr>
          <w:p w14:paraId="7EC9C4C1" w14:textId="77777777" w:rsidR="006416B0" w:rsidRPr="00B4515A" w:rsidRDefault="006416B0" w:rsidP="005860B4">
            <w:pPr>
              <w:adjustRightInd w:val="0"/>
              <w:snapToGrid w:val="0"/>
              <w:rPr>
                <w:rFonts w:ascii="Times New Roman" w:eastAsiaTheme="minorEastAsia" w:hAnsi="Times New Roman" w:cs="Times New Roman"/>
                <w:b/>
                <w:bCs/>
                <w:color w:val="000000"/>
                <w:sz w:val="21"/>
                <w:szCs w:val="21"/>
              </w:rPr>
            </w:pPr>
          </w:p>
        </w:tc>
        <w:tc>
          <w:tcPr>
            <w:tcW w:w="654" w:type="pct"/>
            <w:shd w:val="clear" w:color="auto" w:fill="auto"/>
            <w:tcMar>
              <w:top w:w="0" w:type="dxa"/>
              <w:left w:w="108" w:type="dxa"/>
              <w:bottom w:w="0" w:type="dxa"/>
              <w:right w:w="108" w:type="dxa"/>
            </w:tcMar>
            <w:vAlign w:val="center"/>
          </w:tcPr>
          <w:p w14:paraId="1D8E21A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572" w:type="pct"/>
            <w:shd w:val="clear" w:color="auto" w:fill="auto"/>
            <w:tcMar>
              <w:top w:w="0" w:type="dxa"/>
              <w:left w:w="108" w:type="dxa"/>
              <w:bottom w:w="0" w:type="dxa"/>
              <w:right w:w="108" w:type="dxa"/>
            </w:tcMar>
            <w:vAlign w:val="center"/>
          </w:tcPr>
          <w:p w14:paraId="70AE52D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654" w:type="pct"/>
            <w:shd w:val="clear" w:color="auto" w:fill="auto"/>
            <w:tcMar>
              <w:top w:w="0" w:type="dxa"/>
              <w:left w:w="108" w:type="dxa"/>
              <w:bottom w:w="0" w:type="dxa"/>
              <w:right w:w="108" w:type="dxa"/>
            </w:tcMar>
            <w:vAlign w:val="center"/>
          </w:tcPr>
          <w:p w14:paraId="6AAD0B5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572" w:type="pct"/>
            <w:shd w:val="clear" w:color="auto" w:fill="auto"/>
            <w:tcMar>
              <w:top w:w="0" w:type="dxa"/>
              <w:left w:w="108" w:type="dxa"/>
              <w:bottom w:w="0" w:type="dxa"/>
              <w:right w:w="108" w:type="dxa"/>
            </w:tcMar>
            <w:vAlign w:val="center"/>
          </w:tcPr>
          <w:p w14:paraId="0B9A32B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737" w:type="pct"/>
            <w:shd w:val="clear" w:color="auto" w:fill="auto"/>
            <w:tcMar>
              <w:top w:w="0" w:type="dxa"/>
              <w:left w:w="108" w:type="dxa"/>
              <w:bottom w:w="0" w:type="dxa"/>
              <w:right w:w="108" w:type="dxa"/>
            </w:tcMar>
            <w:vAlign w:val="center"/>
          </w:tcPr>
          <w:p w14:paraId="3598BCA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605" w:type="pct"/>
            <w:shd w:val="clear" w:color="auto" w:fill="auto"/>
            <w:tcMar>
              <w:top w:w="0" w:type="dxa"/>
              <w:left w:w="108" w:type="dxa"/>
              <w:bottom w:w="0" w:type="dxa"/>
              <w:right w:w="108" w:type="dxa"/>
            </w:tcMar>
            <w:vAlign w:val="center"/>
          </w:tcPr>
          <w:p w14:paraId="3F8AE7A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变化率</w:t>
            </w:r>
          </w:p>
        </w:tc>
      </w:tr>
      <w:tr w:rsidR="006416B0" w:rsidRPr="00B4515A" w14:paraId="697B5318"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0640BBD3"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流动负债：</w:t>
            </w:r>
          </w:p>
        </w:tc>
        <w:tc>
          <w:tcPr>
            <w:tcW w:w="654" w:type="pct"/>
            <w:shd w:val="clear" w:color="auto" w:fill="auto"/>
            <w:tcMar>
              <w:top w:w="0" w:type="dxa"/>
              <w:left w:w="108" w:type="dxa"/>
              <w:bottom w:w="0" w:type="dxa"/>
              <w:right w:w="108" w:type="dxa"/>
            </w:tcMar>
            <w:vAlign w:val="center"/>
          </w:tcPr>
          <w:p w14:paraId="7C7244A5"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572" w:type="pct"/>
            <w:shd w:val="clear" w:color="auto" w:fill="auto"/>
            <w:tcMar>
              <w:top w:w="0" w:type="dxa"/>
              <w:left w:w="108" w:type="dxa"/>
              <w:bottom w:w="0" w:type="dxa"/>
              <w:right w:w="108" w:type="dxa"/>
            </w:tcMar>
            <w:vAlign w:val="center"/>
          </w:tcPr>
          <w:p w14:paraId="46C07A95"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654" w:type="pct"/>
            <w:shd w:val="clear" w:color="auto" w:fill="auto"/>
            <w:tcMar>
              <w:top w:w="0" w:type="dxa"/>
              <w:left w:w="108" w:type="dxa"/>
              <w:bottom w:w="0" w:type="dxa"/>
              <w:right w:w="108" w:type="dxa"/>
            </w:tcMar>
            <w:vAlign w:val="center"/>
          </w:tcPr>
          <w:p w14:paraId="612B7DB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572" w:type="pct"/>
            <w:shd w:val="clear" w:color="auto" w:fill="auto"/>
            <w:tcMar>
              <w:top w:w="0" w:type="dxa"/>
              <w:left w:w="108" w:type="dxa"/>
              <w:bottom w:w="0" w:type="dxa"/>
              <w:right w:w="108" w:type="dxa"/>
            </w:tcMar>
            <w:vAlign w:val="center"/>
          </w:tcPr>
          <w:p w14:paraId="5C82E2A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737" w:type="pct"/>
            <w:shd w:val="clear" w:color="auto" w:fill="auto"/>
            <w:tcMar>
              <w:top w:w="0" w:type="dxa"/>
              <w:left w:w="108" w:type="dxa"/>
              <w:bottom w:w="0" w:type="dxa"/>
              <w:right w:w="108" w:type="dxa"/>
            </w:tcMar>
            <w:vAlign w:val="center"/>
          </w:tcPr>
          <w:p w14:paraId="243DB5E0"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605" w:type="pct"/>
            <w:shd w:val="clear" w:color="auto" w:fill="auto"/>
            <w:tcMar>
              <w:top w:w="0" w:type="dxa"/>
              <w:left w:w="108" w:type="dxa"/>
              <w:bottom w:w="0" w:type="dxa"/>
              <w:right w:w="108" w:type="dxa"/>
            </w:tcMar>
            <w:vAlign w:val="center"/>
          </w:tcPr>
          <w:p w14:paraId="6E77155C"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r>
      <w:tr w:rsidR="006416B0" w:rsidRPr="00B4515A" w14:paraId="2FA6ED4B"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3B2FB67B"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短期借款</w:t>
            </w:r>
          </w:p>
        </w:tc>
        <w:tc>
          <w:tcPr>
            <w:tcW w:w="654" w:type="pct"/>
            <w:shd w:val="clear" w:color="auto" w:fill="auto"/>
            <w:tcMar>
              <w:top w:w="0" w:type="dxa"/>
              <w:left w:w="108" w:type="dxa"/>
              <w:bottom w:w="0" w:type="dxa"/>
              <w:right w:w="108" w:type="dxa"/>
            </w:tcMar>
            <w:vAlign w:val="center"/>
          </w:tcPr>
          <w:p w14:paraId="307862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66,527.99 </w:t>
            </w:r>
          </w:p>
        </w:tc>
        <w:tc>
          <w:tcPr>
            <w:tcW w:w="572" w:type="pct"/>
            <w:shd w:val="clear" w:color="auto" w:fill="auto"/>
            <w:tcMar>
              <w:top w:w="0" w:type="dxa"/>
              <w:left w:w="108" w:type="dxa"/>
              <w:bottom w:w="0" w:type="dxa"/>
              <w:right w:w="108" w:type="dxa"/>
            </w:tcMar>
            <w:vAlign w:val="center"/>
          </w:tcPr>
          <w:p w14:paraId="156F5AF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18.25%</w:t>
            </w:r>
          </w:p>
        </w:tc>
        <w:tc>
          <w:tcPr>
            <w:tcW w:w="654" w:type="pct"/>
            <w:shd w:val="clear" w:color="auto" w:fill="auto"/>
            <w:tcMar>
              <w:top w:w="0" w:type="dxa"/>
              <w:left w:w="108" w:type="dxa"/>
              <w:bottom w:w="0" w:type="dxa"/>
              <w:right w:w="108" w:type="dxa"/>
            </w:tcMar>
            <w:vAlign w:val="center"/>
          </w:tcPr>
          <w:p w14:paraId="6C00E1A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79,482.22</w:t>
            </w:r>
          </w:p>
        </w:tc>
        <w:tc>
          <w:tcPr>
            <w:tcW w:w="572" w:type="pct"/>
            <w:shd w:val="clear" w:color="auto" w:fill="auto"/>
            <w:tcMar>
              <w:top w:w="0" w:type="dxa"/>
              <w:left w:w="108" w:type="dxa"/>
              <w:bottom w:w="0" w:type="dxa"/>
              <w:right w:w="108" w:type="dxa"/>
            </w:tcMar>
            <w:vAlign w:val="center"/>
          </w:tcPr>
          <w:p w14:paraId="78DDF1E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18.44%</w:t>
            </w:r>
          </w:p>
        </w:tc>
        <w:tc>
          <w:tcPr>
            <w:tcW w:w="737" w:type="pct"/>
            <w:shd w:val="clear" w:color="auto" w:fill="auto"/>
            <w:tcMar>
              <w:top w:w="0" w:type="dxa"/>
              <w:left w:w="108" w:type="dxa"/>
              <w:bottom w:w="0" w:type="dxa"/>
              <w:right w:w="108" w:type="dxa"/>
            </w:tcMar>
            <w:vAlign w:val="center"/>
          </w:tcPr>
          <w:p w14:paraId="7595045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12,954.23</w:t>
            </w:r>
          </w:p>
        </w:tc>
        <w:tc>
          <w:tcPr>
            <w:tcW w:w="605" w:type="pct"/>
            <w:shd w:val="clear" w:color="auto" w:fill="auto"/>
            <w:tcMar>
              <w:top w:w="0" w:type="dxa"/>
              <w:left w:w="108" w:type="dxa"/>
              <w:bottom w:w="0" w:type="dxa"/>
              <w:right w:w="108" w:type="dxa"/>
            </w:tcMar>
            <w:vAlign w:val="center"/>
          </w:tcPr>
          <w:p w14:paraId="70D4D2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19.47%</w:t>
            </w:r>
          </w:p>
        </w:tc>
      </w:tr>
      <w:tr w:rsidR="006416B0" w:rsidRPr="00B4515A" w14:paraId="0C68D7F5"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31EA175C"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应付票据</w:t>
            </w:r>
          </w:p>
        </w:tc>
        <w:tc>
          <w:tcPr>
            <w:tcW w:w="654" w:type="pct"/>
            <w:shd w:val="clear" w:color="auto" w:fill="auto"/>
            <w:tcMar>
              <w:top w:w="0" w:type="dxa"/>
              <w:left w:w="108" w:type="dxa"/>
              <w:bottom w:w="0" w:type="dxa"/>
              <w:right w:w="108" w:type="dxa"/>
            </w:tcMar>
            <w:vAlign w:val="center"/>
          </w:tcPr>
          <w:p w14:paraId="7C8EF85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981.59 </w:t>
            </w:r>
          </w:p>
        </w:tc>
        <w:tc>
          <w:tcPr>
            <w:tcW w:w="572" w:type="pct"/>
            <w:shd w:val="clear" w:color="auto" w:fill="auto"/>
            <w:tcMar>
              <w:top w:w="0" w:type="dxa"/>
              <w:left w:w="108" w:type="dxa"/>
              <w:bottom w:w="0" w:type="dxa"/>
              <w:right w:w="108" w:type="dxa"/>
            </w:tcMar>
            <w:vAlign w:val="center"/>
          </w:tcPr>
          <w:p w14:paraId="13DA0C3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0.27%</w:t>
            </w:r>
          </w:p>
        </w:tc>
        <w:tc>
          <w:tcPr>
            <w:tcW w:w="654" w:type="pct"/>
            <w:shd w:val="clear" w:color="auto" w:fill="auto"/>
            <w:tcMar>
              <w:top w:w="0" w:type="dxa"/>
              <w:left w:w="108" w:type="dxa"/>
              <w:bottom w:w="0" w:type="dxa"/>
              <w:right w:w="108" w:type="dxa"/>
            </w:tcMar>
            <w:vAlign w:val="center"/>
          </w:tcPr>
          <w:p w14:paraId="2F13F93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981.59</w:t>
            </w:r>
          </w:p>
        </w:tc>
        <w:tc>
          <w:tcPr>
            <w:tcW w:w="572" w:type="pct"/>
            <w:shd w:val="clear" w:color="auto" w:fill="auto"/>
            <w:tcMar>
              <w:top w:w="0" w:type="dxa"/>
              <w:left w:w="108" w:type="dxa"/>
              <w:bottom w:w="0" w:type="dxa"/>
              <w:right w:w="108" w:type="dxa"/>
            </w:tcMar>
            <w:vAlign w:val="center"/>
          </w:tcPr>
          <w:p w14:paraId="2C4BAAC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0.23%</w:t>
            </w:r>
          </w:p>
        </w:tc>
        <w:tc>
          <w:tcPr>
            <w:tcW w:w="737" w:type="pct"/>
            <w:shd w:val="clear" w:color="auto" w:fill="auto"/>
            <w:tcMar>
              <w:top w:w="0" w:type="dxa"/>
              <w:left w:w="108" w:type="dxa"/>
              <w:bottom w:w="0" w:type="dxa"/>
              <w:right w:w="108" w:type="dxa"/>
            </w:tcMar>
            <w:vAlign w:val="center"/>
          </w:tcPr>
          <w:p w14:paraId="6DE2CC2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c>
          <w:tcPr>
            <w:tcW w:w="605" w:type="pct"/>
            <w:shd w:val="clear" w:color="auto" w:fill="auto"/>
            <w:tcMar>
              <w:top w:w="0" w:type="dxa"/>
              <w:left w:w="108" w:type="dxa"/>
              <w:bottom w:w="0" w:type="dxa"/>
              <w:right w:w="108" w:type="dxa"/>
            </w:tcMar>
            <w:vAlign w:val="center"/>
          </w:tcPr>
          <w:p w14:paraId="30BE37A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r>
      <w:tr w:rsidR="006416B0" w:rsidRPr="00B4515A" w14:paraId="73000D80"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2D319BE2"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应付账款</w:t>
            </w:r>
          </w:p>
        </w:tc>
        <w:tc>
          <w:tcPr>
            <w:tcW w:w="654" w:type="pct"/>
            <w:shd w:val="clear" w:color="auto" w:fill="auto"/>
            <w:tcMar>
              <w:top w:w="0" w:type="dxa"/>
              <w:left w:w="108" w:type="dxa"/>
              <w:bottom w:w="0" w:type="dxa"/>
              <w:right w:w="108" w:type="dxa"/>
            </w:tcMar>
            <w:vAlign w:val="center"/>
          </w:tcPr>
          <w:p w14:paraId="63360A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54,422.76 </w:t>
            </w:r>
          </w:p>
        </w:tc>
        <w:tc>
          <w:tcPr>
            <w:tcW w:w="572" w:type="pct"/>
            <w:shd w:val="clear" w:color="auto" w:fill="auto"/>
            <w:tcMar>
              <w:top w:w="0" w:type="dxa"/>
              <w:left w:w="108" w:type="dxa"/>
              <w:bottom w:w="0" w:type="dxa"/>
              <w:right w:w="108" w:type="dxa"/>
            </w:tcMar>
            <w:vAlign w:val="center"/>
          </w:tcPr>
          <w:p w14:paraId="2B44D6C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14.93%</w:t>
            </w:r>
          </w:p>
        </w:tc>
        <w:tc>
          <w:tcPr>
            <w:tcW w:w="654" w:type="pct"/>
            <w:shd w:val="clear" w:color="auto" w:fill="auto"/>
            <w:tcMar>
              <w:top w:w="0" w:type="dxa"/>
              <w:left w:w="108" w:type="dxa"/>
              <w:bottom w:w="0" w:type="dxa"/>
              <w:right w:w="108" w:type="dxa"/>
            </w:tcMar>
            <w:vAlign w:val="center"/>
          </w:tcPr>
          <w:p w14:paraId="0AEF9BA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89,950.30</w:t>
            </w:r>
          </w:p>
        </w:tc>
        <w:tc>
          <w:tcPr>
            <w:tcW w:w="572" w:type="pct"/>
            <w:shd w:val="clear" w:color="auto" w:fill="auto"/>
            <w:tcMar>
              <w:top w:w="0" w:type="dxa"/>
              <w:left w:w="108" w:type="dxa"/>
              <w:bottom w:w="0" w:type="dxa"/>
              <w:right w:w="108" w:type="dxa"/>
            </w:tcMar>
            <w:vAlign w:val="center"/>
          </w:tcPr>
          <w:p w14:paraId="2532507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20.87%</w:t>
            </w:r>
          </w:p>
        </w:tc>
        <w:tc>
          <w:tcPr>
            <w:tcW w:w="737" w:type="pct"/>
            <w:shd w:val="clear" w:color="auto" w:fill="auto"/>
            <w:tcMar>
              <w:top w:w="0" w:type="dxa"/>
              <w:left w:w="108" w:type="dxa"/>
              <w:bottom w:w="0" w:type="dxa"/>
              <w:right w:w="108" w:type="dxa"/>
            </w:tcMar>
            <w:vAlign w:val="center"/>
          </w:tcPr>
          <w:p w14:paraId="164500E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35,527.55</w:t>
            </w:r>
          </w:p>
        </w:tc>
        <w:tc>
          <w:tcPr>
            <w:tcW w:w="605" w:type="pct"/>
            <w:shd w:val="clear" w:color="auto" w:fill="auto"/>
            <w:tcMar>
              <w:top w:w="0" w:type="dxa"/>
              <w:left w:w="108" w:type="dxa"/>
              <w:bottom w:w="0" w:type="dxa"/>
              <w:right w:w="108" w:type="dxa"/>
            </w:tcMar>
            <w:vAlign w:val="center"/>
          </w:tcPr>
          <w:p w14:paraId="70406F7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65.28%</w:t>
            </w:r>
          </w:p>
        </w:tc>
      </w:tr>
      <w:tr w:rsidR="006416B0" w:rsidRPr="00B4515A" w14:paraId="2763A295"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6412E467"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合同负债</w:t>
            </w:r>
          </w:p>
        </w:tc>
        <w:tc>
          <w:tcPr>
            <w:tcW w:w="654" w:type="pct"/>
            <w:shd w:val="clear" w:color="auto" w:fill="auto"/>
            <w:tcMar>
              <w:top w:w="0" w:type="dxa"/>
              <w:left w:w="108" w:type="dxa"/>
              <w:bottom w:w="0" w:type="dxa"/>
              <w:right w:w="108" w:type="dxa"/>
            </w:tcMar>
            <w:vAlign w:val="center"/>
          </w:tcPr>
          <w:p w14:paraId="43D13BD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13,072.09 </w:t>
            </w:r>
          </w:p>
        </w:tc>
        <w:tc>
          <w:tcPr>
            <w:tcW w:w="572" w:type="pct"/>
            <w:shd w:val="clear" w:color="auto" w:fill="auto"/>
            <w:tcMar>
              <w:top w:w="0" w:type="dxa"/>
              <w:left w:w="108" w:type="dxa"/>
              <w:bottom w:w="0" w:type="dxa"/>
              <w:right w:w="108" w:type="dxa"/>
            </w:tcMar>
            <w:vAlign w:val="center"/>
          </w:tcPr>
          <w:p w14:paraId="4CF109E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3.59%</w:t>
            </w:r>
          </w:p>
        </w:tc>
        <w:tc>
          <w:tcPr>
            <w:tcW w:w="654" w:type="pct"/>
            <w:shd w:val="clear" w:color="auto" w:fill="auto"/>
            <w:tcMar>
              <w:top w:w="0" w:type="dxa"/>
              <w:left w:w="108" w:type="dxa"/>
              <w:bottom w:w="0" w:type="dxa"/>
              <w:right w:w="108" w:type="dxa"/>
            </w:tcMar>
            <w:vAlign w:val="center"/>
          </w:tcPr>
          <w:p w14:paraId="5615031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20,787.19</w:t>
            </w:r>
          </w:p>
        </w:tc>
        <w:tc>
          <w:tcPr>
            <w:tcW w:w="572" w:type="pct"/>
            <w:shd w:val="clear" w:color="auto" w:fill="auto"/>
            <w:tcMar>
              <w:top w:w="0" w:type="dxa"/>
              <w:left w:w="108" w:type="dxa"/>
              <w:bottom w:w="0" w:type="dxa"/>
              <w:right w:w="108" w:type="dxa"/>
            </w:tcMar>
            <w:vAlign w:val="center"/>
          </w:tcPr>
          <w:p w14:paraId="7F24309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4.82%</w:t>
            </w:r>
          </w:p>
        </w:tc>
        <w:tc>
          <w:tcPr>
            <w:tcW w:w="737" w:type="pct"/>
            <w:shd w:val="clear" w:color="auto" w:fill="auto"/>
            <w:tcMar>
              <w:top w:w="0" w:type="dxa"/>
              <w:left w:w="108" w:type="dxa"/>
              <w:bottom w:w="0" w:type="dxa"/>
              <w:right w:w="108" w:type="dxa"/>
            </w:tcMar>
            <w:vAlign w:val="center"/>
          </w:tcPr>
          <w:p w14:paraId="2A69FE2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7,715.11</w:t>
            </w:r>
          </w:p>
        </w:tc>
        <w:tc>
          <w:tcPr>
            <w:tcW w:w="605" w:type="pct"/>
            <w:shd w:val="clear" w:color="auto" w:fill="auto"/>
            <w:tcMar>
              <w:top w:w="0" w:type="dxa"/>
              <w:left w:w="108" w:type="dxa"/>
              <w:bottom w:w="0" w:type="dxa"/>
              <w:right w:w="108" w:type="dxa"/>
            </w:tcMar>
            <w:vAlign w:val="center"/>
          </w:tcPr>
          <w:p w14:paraId="3F47250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59.02%</w:t>
            </w:r>
          </w:p>
        </w:tc>
      </w:tr>
      <w:tr w:rsidR="006416B0" w:rsidRPr="00B4515A" w14:paraId="6796CCC9"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3460F456"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应付职工薪酬</w:t>
            </w:r>
          </w:p>
        </w:tc>
        <w:tc>
          <w:tcPr>
            <w:tcW w:w="654" w:type="pct"/>
            <w:shd w:val="clear" w:color="auto" w:fill="auto"/>
            <w:tcMar>
              <w:top w:w="0" w:type="dxa"/>
              <w:left w:w="108" w:type="dxa"/>
              <w:bottom w:w="0" w:type="dxa"/>
              <w:right w:w="108" w:type="dxa"/>
            </w:tcMar>
            <w:vAlign w:val="center"/>
          </w:tcPr>
          <w:p w14:paraId="068A68A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6,258.47 </w:t>
            </w:r>
          </w:p>
        </w:tc>
        <w:tc>
          <w:tcPr>
            <w:tcW w:w="572" w:type="pct"/>
            <w:shd w:val="clear" w:color="auto" w:fill="auto"/>
            <w:tcMar>
              <w:top w:w="0" w:type="dxa"/>
              <w:left w:w="108" w:type="dxa"/>
              <w:bottom w:w="0" w:type="dxa"/>
              <w:right w:w="108" w:type="dxa"/>
            </w:tcMar>
            <w:vAlign w:val="center"/>
          </w:tcPr>
          <w:p w14:paraId="06DD873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1.72%</w:t>
            </w:r>
          </w:p>
        </w:tc>
        <w:tc>
          <w:tcPr>
            <w:tcW w:w="654" w:type="pct"/>
            <w:shd w:val="clear" w:color="auto" w:fill="auto"/>
            <w:tcMar>
              <w:top w:w="0" w:type="dxa"/>
              <w:left w:w="108" w:type="dxa"/>
              <w:bottom w:w="0" w:type="dxa"/>
              <w:right w:w="108" w:type="dxa"/>
            </w:tcMar>
            <w:vAlign w:val="center"/>
          </w:tcPr>
          <w:p w14:paraId="7B9A0E5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10,449.09</w:t>
            </w:r>
          </w:p>
        </w:tc>
        <w:tc>
          <w:tcPr>
            <w:tcW w:w="572" w:type="pct"/>
            <w:shd w:val="clear" w:color="auto" w:fill="auto"/>
            <w:tcMar>
              <w:top w:w="0" w:type="dxa"/>
              <w:left w:w="108" w:type="dxa"/>
              <w:bottom w:w="0" w:type="dxa"/>
              <w:right w:w="108" w:type="dxa"/>
            </w:tcMar>
            <w:vAlign w:val="center"/>
          </w:tcPr>
          <w:p w14:paraId="60242D7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2.42%</w:t>
            </w:r>
          </w:p>
        </w:tc>
        <w:tc>
          <w:tcPr>
            <w:tcW w:w="737" w:type="pct"/>
            <w:shd w:val="clear" w:color="auto" w:fill="auto"/>
            <w:tcMar>
              <w:top w:w="0" w:type="dxa"/>
              <w:left w:w="108" w:type="dxa"/>
              <w:bottom w:w="0" w:type="dxa"/>
              <w:right w:w="108" w:type="dxa"/>
            </w:tcMar>
            <w:vAlign w:val="center"/>
          </w:tcPr>
          <w:p w14:paraId="66F1FC2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4,190.62</w:t>
            </w:r>
          </w:p>
        </w:tc>
        <w:tc>
          <w:tcPr>
            <w:tcW w:w="605" w:type="pct"/>
            <w:shd w:val="clear" w:color="auto" w:fill="auto"/>
            <w:tcMar>
              <w:top w:w="0" w:type="dxa"/>
              <w:left w:w="108" w:type="dxa"/>
              <w:bottom w:w="0" w:type="dxa"/>
              <w:right w:w="108" w:type="dxa"/>
            </w:tcMar>
            <w:vAlign w:val="center"/>
          </w:tcPr>
          <w:p w14:paraId="6C6486D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66.96%</w:t>
            </w:r>
          </w:p>
        </w:tc>
      </w:tr>
      <w:tr w:rsidR="006416B0" w:rsidRPr="00B4515A" w14:paraId="3AD59373"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1F3B28A4"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应交税费</w:t>
            </w:r>
          </w:p>
        </w:tc>
        <w:tc>
          <w:tcPr>
            <w:tcW w:w="654" w:type="pct"/>
            <w:shd w:val="clear" w:color="auto" w:fill="auto"/>
            <w:tcMar>
              <w:top w:w="0" w:type="dxa"/>
              <w:left w:w="108" w:type="dxa"/>
              <w:bottom w:w="0" w:type="dxa"/>
              <w:right w:w="108" w:type="dxa"/>
            </w:tcMar>
            <w:vAlign w:val="center"/>
          </w:tcPr>
          <w:p w14:paraId="3B92EB7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912.41 </w:t>
            </w:r>
          </w:p>
        </w:tc>
        <w:tc>
          <w:tcPr>
            <w:tcW w:w="572" w:type="pct"/>
            <w:shd w:val="clear" w:color="auto" w:fill="auto"/>
            <w:tcMar>
              <w:top w:w="0" w:type="dxa"/>
              <w:left w:w="108" w:type="dxa"/>
              <w:bottom w:w="0" w:type="dxa"/>
              <w:right w:w="108" w:type="dxa"/>
            </w:tcMar>
            <w:vAlign w:val="center"/>
          </w:tcPr>
          <w:p w14:paraId="0E5F8CB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0.25%</w:t>
            </w:r>
          </w:p>
        </w:tc>
        <w:tc>
          <w:tcPr>
            <w:tcW w:w="654" w:type="pct"/>
            <w:shd w:val="clear" w:color="auto" w:fill="auto"/>
            <w:tcMar>
              <w:top w:w="0" w:type="dxa"/>
              <w:left w:w="108" w:type="dxa"/>
              <w:bottom w:w="0" w:type="dxa"/>
              <w:right w:w="108" w:type="dxa"/>
            </w:tcMar>
            <w:vAlign w:val="center"/>
          </w:tcPr>
          <w:p w14:paraId="02A7396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1,346.67</w:t>
            </w:r>
          </w:p>
        </w:tc>
        <w:tc>
          <w:tcPr>
            <w:tcW w:w="572" w:type="pct"/>
            <w:shd w:val="clear" w:color="auto" w:fill="auto"/>
            <w:tcMar>
              <w:top w:w="0" w:type="dxa"/>
              <w:left w:w="108" w:type="dxa"/>
              <w:bottom w:w="0" w:type="dxa"/>
              <w:right w:w="108" w:type="dxa"/>
            </w:tcMar>
            <w:vAlign w:val="center"/>
          </w:tcPr>
          <w:p w14:paraId="6452F3B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0.31%</w:t>
            </w:r>
          </w:p>
        </w:tc>
        <w:tc>
          <w:tcPr>
            <w:tcW w:w="737" w:type="pct"/>
            <w:shd w:val="clear" w:color="auto" w:fill="auto"/>
            <w:tcMar>
              <w:top w:w="0" w:type="dxa"/>
              <w:left w:w="108" w:type="dxa"/>
              <w:bottom w:w="0" w:type="dxa"/>
              <w:right w:w="108" w:type="dxa"/>
            </w:tcMar>
            <w:vAlign w:val="center"/>
          </w:tcPr>
          <w:p w14:paraId="5D5CD3F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434.27</w:t>
            </w:r>
          </w:p>
        </w:tc>
        <w:tc>
          <w:tcPr>
            <w:tcW w:w="605" w:type="pct"/>
            <w:shd w:val="clear" w:color="auto" w:fill="auto"/>
            <w:tcMar>
              <w:top w:w="0" w:type="dxa"/>
              <w:left w:w="108" w:type="dxa"/>
              <w:bottom w:w="0" w:type="dxa"/>
              <w:right w:w="108" w:type="dxa"/>
            </w:tcMar>
            <w:vAlign w:val="center"/>
          </w:tcPr>
          <w:p w14:paraId="4D3D118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47.60%</w:t>
            </w:r>
          </w:p>
        </w:tc>
      </w:tr>
      <w:tr w:rsidR="006416B0" w:rsidRPr="00B4515A" w14:paraId="4BB8DDDD"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2E8679D8"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其他应付款</w:t>
            </w:r>
          </w:p>
        </w:tc>
        <w:tc>
          <w:tcPr>
            <w:tcW w:w="654" w:type="pct"/>
            <w:shd w:val="clear" w:color="auto" w:fill="auto"/>
            <w:tcMar>
              <w:top w:w="0" w:type="dxa"/>
              <w:left w:w="108" w:type="dxa"/>
              <w:bottom w:w="0" w:type="dxa"/>
              <w:right w:w="108" w:type="dxa"/>
            </w:tcMar>
            <w:vAlign w:val="center"/>
          </w:tcPr>
          <w:p w14:paraId="77FD2FD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126,924.50 </w:t>
            </w:r>
          </w:p>
        </w:tc>
        <w:tc>
          <w:tcPr>
            <w:tcW w:w="572" w:type="pct"/>
            <w:shd w:val="clear" w:color="auto" w:fill="auto"/>
            <w:tcMar>
              <w:top w:w="0" w:type="dxa"/>
              <w:left w:w="108" w:type="dxa"/>
              <w:bottom w:w="0" w:type="dxa"/>
              <w:right w:w="108" w:type="dxa"/>
            </w:tcMar>
            <w:vAlign w:val="center"/>
          </w:tcPr>
          <w:p w14:paraId="4721BCF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34.82%</w:t>
            </w:r>
          </w:p>
        </w:tc>
        <w:tc>
          <w:tcPr>
            <w:tcW w:w="654" w:type="pct"/>
            <w:shd w:val="clear" w:color="auto" w:fill="auto"/>
            <w:tcMar>
              <w:top w:w="0" w:type="dxa"/>
              <w:left w:w="108" w:type="dxa"/>
              <w:bottom w:w="0" w:type="dxa"/>
              <w:right w:w="108" w:type="dxa"/>
            </w:tcMar>
            <w:vAlign w:val="center"/>
          </w:tcPr>
          <w:p w14:paraId="745B832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127,155.70</w:t>
            </w:r>
          </w:p>
        </w:tc>
        <w:tc>
          <w:tcPr>
            <w:tcW w:w="572" w:type="pct"/>
            <w:shd w:val="clear" w:color="auto" w:fill="auto"/>
            <w:tcMar>
              <w:top w:w="0" w:type="dxa"/>
              <w:left w:w="108" w:type="dxa"/>
              <w:bottom w:w="0" w:type="dxa"/>
              <w:right w:w="108" w:type="dxa"/>
            </w:tcMar>
            <w:vAlign w:val="center"/>
          </w:tcPr>
          <w:p w14:paraId="75C47D0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29.51%</w:t>
            </w:r>
          </w:p>
        </w:tc>
        <w:tc>
          <w:tcPr>
            <w:tcW w:w="737" w:type="pct"/>
            <w:shd w:val="clear" w:color="auto" w:fill="auto"/>
            <w:tcMar>
              <w:top w:w="0" w:type="dxa"/>
              <w:left w:w="108" w:type="dxa"/>
              <w:bottom w:w="0" w:type="dxa"/>
              <w:right w:w="108" w:type="dxa"/>
            </w:tcMar>
            <w:vAlign w:val="center"/>
          </w:tcPr>
          <w:p w14:paraId="0DFDAFE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231.20</w:t>
            </w:r>
          </w:p>
        </w:tc>
        <w:tc>
          <w:tcPr>
            <w:tcW w:w="605" w:type="pct"/>
            <w:shd w:val="clear" w:color="auto" w:fill="auto"/>
            <w:tcMar>
              <w:top w:w="0" w:type="dxa"/>
              <w:left w:w="108" w:type="dxa"/>
              <w:bottom w:w="0" w:type="dxa"/>
              <w:right w:w="108" w:type="dxa"/>
            </w:tcMar>
            <w:vAlign w:val="center"/>
          </w:tcPr>
          <w:p w14:paraId="58518DC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0.18%</w:t>
            </w:r>
          </w:p>
        </w:tc>
      </w:tr>
      <w:tr w:rsidR="006416B0" w:rsidRPr="00B4515A" w14:paraId="20DF1CD3"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0E244792"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一年内到期的非流动负债</w:t>
            </w:r>
          </w:p>
        </w:tc>
        <w:tc>
          <w:tcPr>
            <w:tcW w:w="654" w:type="pct"/>
            <w:shd w:val="clear" w:color="auto" w:fill="auto"/>
            <w:tcMar>
              <w:top w:w="0" w:type="dxa"/>
              <w:left w:w="108" w:type="dxa"/>
              <w:bottom w:w="0" w:type="dxa"/>
              <w:right w:w="108" w:type="dxa"/>
            </w:tcMar>
            <w:vAlign w:val="center"/>
          </w:tcPr>
          <w:p w14:paraId="20DA6F2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33,618.63 </w:t>
            </w:r>
          </w:p>
        </w:tc>
        <w:tc>
          <w:tcPr>
            <w:tcW w:w="572" w:type="pct"/>
            <w:shd w:val="clear" w:color="auto" w:fill="auto"/>
            <w:tcMar>
              <w:top w:w="0" w:type="dxa"/>
              <w:left w:w="108" w:type="dxa"/>
              <w:bottom w:w="0" w:type="dxa"/>
              <w:right w:w="108" w:type="dxa"/>
            </w:tcMar>
            <w:vAlign w:val="center"/>
          </w:tcPr>
          <w:p w14:paraId="76E7E19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9.22%</w:t>
            </w:r>
          </w:p>
        </w:tc>
        <w:tc>
          <w:tcPr>
            <w:tcW w:w="654" w:type="pct"/>
            <w:shd w:val="clear" w:color="auto" w:fill="auto"/>
            <w:tcMar>
              <w:top w:w="0" w:type="dxa"/>
              <w:left w:w="108" w:type="dxa"/>
              <w:bottom w:w="0" w:type="dxa"/>
              <w:right w:w="108" w:type="dxa"/>
            </w:tcMar>
            <w:vAlign w:val="center"/>
          </w:tcPr>
          <w:p w14:paraId="38C672A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33,618.63</w:t>
            </w:r>
          </w:p>
        </w:tc>
        <w:tc>
          <w:tcPr>
            <w:tcW w:w="572" w:type="pct"/>
            <w:shd w:val="clear" w:color="auto" w:fill="auto"/>
            <w:tcMar>
              <w:top w:w="0" w:type="dxa"/>
              <w:left w:w="108" w:type="dxa"/>
              <w:bottom w:w="0" w:type="dxa"/>
              <w:right w:w="108" w:type="dxa"/>
            </w:tcMar>
            <w:vAlign w:val="center"/>
          </w:tcPr>
          <w:p w14:paraId="3029B3B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7.80%</w:t>
            </w:r>
          </w:p>
        </w:tc>
        <w:tc>
          <w:tcPr>
            <w:tcW w:w="737" w:type="pct"/>
            <w:shd w:val="clear" w:color="auto" w:fill="auto"/>
            <w:tcMar>
              <w:top w:w="0" w:type="dxa"/>
              <w:left w:w="108" w:type="dxa"/>
              <w:bottom w:w="0" w:type="dxa"/>
              <w:right w:w="108" w:type="dxa"/>
            </w:tcMar>
            <w:vAlign w:val="center"/>
          </w:tcPr>
          <w:p w14:paraId="4ADFF95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c>
          <w:tcPr>
            <w:tcW w:w="605" w:type="pct"/>
            <w:shd w:val="clear" w:color="auto" w:fill="auto"/>
            <w:tcMar>
              <w:top w:w="0" w:type="dxa"/>
              <w:left w:w="108" w:type="dxa"/>
              <w:bottom w:w="0" w:type="dxa"/>
              <w:right w:w="108" w:type="dxa"/>
            </w:tcMar>
            <w:vAlign w:val="center"/>
          </w:tcPr>
          <w:p w14:paraId="0D6CC57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r>
      <w:tr w:rsidR="006416B0" w:rsidRPr="00B4515A" w14:paraId="617FEEF4"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2A619AE7"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其他流动负债</w:t>
            </w:r>
          </w:p>
        </w:tc>
        <w:tc>
          <w:tcPr>
            <w:tcW w:w="654" w:type="pct"/>
            <w:shd w:val="clear" w:color="auto" w:fill="auto"/>
            <w:tcMar>
              <w:top w:w="0" w:type="dxa"/>
              <w:left w:w="108" w:type="dxa"/>
              <w:bottom w:w="0" w:type="dxa"/>
              <w:right w:w="108" w:type="dxa"/>
            </w:tcMar>
            <w:vAlign w:val="center"/>
          </w:tcPr>
          <w:p w14:paraId="7D8057F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808.98 </w:t>
            </w:r>
          </w:p>
        </w:tc>
        <w:tc>
          <w:tcPr>
            <w:tcW w:w="572" w:type="pct"/>
            <w:shd w:val="clear" w:color="auto" w:fill="auto"/>
            <w:tcMar>
              <w:top w:w="0" w:type="dxa"/>
              <w:left w:w="108" w:type="dxa"/>
              <w:bottom w:w="0" w:type="dxa"/>
              <w:right w:w="108" w:type="dxa"/>
            </w:tcMar>
            <w:vAlign w:val="center"/>
          </w:tcPr>
          <w:p w14:paraId="3FBCC7C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0.22%</w:t>
            </w:r>
          </w:p>
        </w:tc>
        <w:tc>
          <w:tcPr>
            <w:tcW w:w="654" w:type="pct"/>
            <w:shd w:val="clear" w:color="auto" w:fill="auto"/>
            <w:tcMar>
              <w:top w:w="0" w:type="dxa"/>
              <w:left w:w="108" w:type="dxa"/>
              <w:bottom w:w="0" w:type="dxa"/>
              <w:right w:w="108" w:type="dxa"/>
            </w:tcMar>
            <w:vAlign w:val="center"/>
          </w:tcPr>
          <w:p w14:paraId="4849C82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1,811.95</w:t>
            </w:r>
          </w:p>
        </w:tc>
        <w:tc>
          <w:tcPr>
            <w:tcW w:w="572" w:type="pct"/>
            <w:shd w:val="clear" w:color="auto" w:fill="auto"/>
            <w:tcMar>
              <w:top w:w="0" w:type="dxa"/>
              <w:left w:w="108" w:type="dxa"/>
              <w:bottom w:w="0" w:type="dxa"/>
              <w:right w:w="108" w:type="dxa"/>
            </w:tcMar>
            <w:vAlign w:val="center"/>
          </w:tcPr>
          <w:p w14:paraId="51917C3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0.42%</w:t>
            </w:r>
          </w:p>
        </w:tc>
        <w:tc>
          <w:tcPr>
            <w:tcW w:w="737" w:type="pct"/>
            <w:shd w:val="clear" w:color="auto" w:fill="auto"/>
            <w:tcMar>
              <w:top w:w="0" w:type="dxa"/>
              <w:left w:w="108" w:type="dxa"/>
              <w:bottom w:w="0" w:type="dxa"/>
              <w:right w:w="108" w:type="dxa"/>
            </w:tcMar>
            <w:vAlign w:val="center"/>
          </w:tcPr>
          <w:p w14:paraId="5556BB8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1,002.96</w:t>
            </w:r>
          </w:p>
        </w:tc>
        <w:tc>
          <w:tcPr>
            <w:tcW w:w="605" w:type="pct"/>
            <w:shd w:val="clear" w:color="auto" w:fill="auto"/>
            <w:tcMar>
              <w:top w:w="0" w:type="dxa"/>
              <w:left w:w="108" w:type="dxa"/>
              <w:bottom w:w="0" w:type="dxa"/>
              <w:right w:w="108" w:type="dxa"/>
            </w:tcMar>
            <w:vAlign w:val="center"/>
          </w:tcPr>
          <w:p w14:paraId="7B64B4F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123.98%</w:t>
            </w:r>
          </w:p>
        </w:tc>
      </w:tr>
      <w:tr w:rsidR="006416B0" w:rsidRPr="00B4515A" w14:paraId="1AED0659"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03FEE488" w14:textId="77777777" w:rsidR="006416B0" w:rsidRPr="00B4515A" w:rsidRDefault="005E58C1" w:rsidP="005860B4">
            <w:pPr>
              <w:adjustRightInd w:val="0"/>
              <w:snapToGrid w:val="0"/>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流动负债合计</w:t>
            </w:r>
          </w:p>
        </w:tc>
        <w:tc>
          <w:tcPr>
            <w:tcW w:w="654" w:type="pct"/>
            <w:shd w:val="clear" w:color="auto" w:fill="auto"/>
            <w:tcMar>
              <w:top w:w="0" w:type="dxa"/>
              <w:left w:w="108" w:type="dxa"/>
              <w:bottom w:w="0" w:type="dxa"/>
              <w:right w:w="108" w:type="dxa"/>
            </w:tcMar>
            <w:vAlign w:val="center"/>
          </w:tcPr>
          <w:p w14:paraId="6491D95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303,527.40 </w:t>
            </w:r>
          </w:p>
        </w:tc>
        <w:tc>
          <w:tcPr>
            <w:tcW w:w="572" w:type="pct"/>
            <w:shd w:val="clear" w:color="auto" w:fill="auto"/>
            <w:tcMar>
              <w:top w:w="0" w:type="dxa"/>
              <w:left w:w="108" w:type="dxa"/>
              <w:bottom w:w="0" w:type="dxa"/>
              <w:right w:w="108" w:type="dxa"/>
            </w:tcMar>
            <w:vAlign w:val="center"/>
          </w:tcPr>
          <w:p w14:paraId="4A4CF28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83.27%</w:t>
            </w:r>
          </w:p>
        </w:tc>
        <w:tc>
          <w:tcPr>
            <w:tcW w:w="654" w:type="pct"/>
            <w:shd w:val="clear" w:color="auto" w:fill="auto"/>
            <w:tcMar>
              <w:top w:w="0" w:type="dxa"/>
              <w:left w:w="108" w:type="dxa"/>
              <w:bottom w:w="0" w:type="dxa"/>
              <w:right w:w="108" w:type="dxa"/>
            </w:tcMar>
            <w:vAlign w:val="center"/>
          </w:tcPr>
          <w:p w14:paraId="0501A0F5"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365,583.35</w:t>
            </w:r>
          </w:p>
        </w:tc>
        <w:tc>
          <w:tcPr>
            <w:tcW w:w="572" w:type="pct"/>
            <w:shd w:val="clear" w:color="auto" w:fill="auto"/>
            <w:tcMar>
              <w:top w:w="0" w:type="dxa"/>
              <w:left w:w="108" w:type="dxa"/>
              <w:bottom w:w="0" w:type="dxa"/>
              <w:right w:w="108" w:type="dxa"/>
            </w:tcMar>
            <w:vAlign w:val="center"/>
          </w:tcPr>
          <w:p w14:paraId="2A887E0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84.84%</w:t>
            </w:r>
          </w:p>
        </w:tc>
        <w:tc>
          <w:tcPr>
            <w:tcW w:w="737" w:type="pct"/>
            <w:shd w:val="clear" w:color="auto" w:fill="auto"/>
            <w:tcMar>
              <w:top w:w="0" w:type="dxa"/>
              <w:left w:w="108" w:type="dxa"/>
              <w:bottom w:w="0" w:type="dxa"/>
              <w:right w:w="108" w:type="dxa"/>
            </w:tcMar>
            <w:vAlign w:val="center"/>
          </w:tcPr>
          <w:p w14:paraId="515837D3"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62,055.95</w:t>
            </w:r>
          </w:p>
        </w:tc>
        <w:tc>
          <w:tcPr>
            <w:tcW w:w="605" w:type="pct"/>
            <w:shd w:val="clear" w:color="auto" w:fill="auto"/>
            <w:tcMar>
              <w:top w:w="0" w:type="dxa"/>
              <w:left w:w="108" w:type="dxa"/>
              <w:bottom w:w="0" w:type="dxa"/>
              <w:right w:w="108" w:type="dxa"/>
            </w:tcMar>
            <w:vAlign w:val="center"/>
          </w:tcPr>
          <w:p w14:paraId="40626C9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20.44%</w:t>
            </w:r>
          </w:p>
        </w:tc>
      </w:tr>
      <w:tr w:rsidR="006416B0" w:rsidRPr="00B4515A" w14:paraId="5950E4D4"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121932DE"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非流动负债：</w:t>
            </w:r>
          </w:p>
        </w:tc>
        <w:tc>
          <w:tcPr>
            <w:tcW w:w="654" w:type="pct"/>
            <w:shd w:val="clear" w:color="auto" w:fill="auto"/>
            <w:tcMar>
              <w:top w:w="0" w:type="dxa"/>
              <w:left w:w="108" w:type="dxa"/>
              <w:bottom w:w="0" w:type="dxa"/>
              <w:right w:w="108" w:type="dxa"/>
            </w:tcMar>
            <w:vAlign w:val="center"/>
          </w:tcPr>
          <w:p w14:paraId="6BC11A6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0.00 </w:t>
            </w:r>
          </w:p>
        </w:tc>
        <w:tc>
          <w:tcPr>
            <w:tcW w:w="572" w:type="pct"/>
            <w:shd w:val="clear" w:color="auto" w:fill="auto"/>
            <w:tcMar>
              <w:top w:w="0" w:type="dxa"/>
              <w:left w:w="108" w:type="dxa"/>
              <w:bottom w:w="0" w:type="dxa"/>
              <w:right w:w="108" w:type="dxa"/>
            </w:tcMar>
            <w:vAlign w:val="center"/>
          </w:tcPr>
          <w:p w14:paraId="6A1EE49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654" w:type="pct"/>
            <w:shd w:val="clear" w:color="auto" w:fill="auto"/>
            <w:tcMar>
              <w:top w:w="0" w:type="dxa"/>
              <w:left w:w="108" w:type="dxa"/>
              <w:bottom w:w="0" w:type="dxa"/>
              <w:right w:w="108" w:type="dxa"/>
            </w:tcMar>
            <w:vAlign w:val="center"/>
          </w:tcPr>
          <w:p w14:paraId="3E355D5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0.00</w:t>
            </w:r>
          </w:p>
        </w:tc>
        <w:tc>
          <w:tcPr>
            <w:tcW w:w="572" w:type="pct"/>
            <w:shd w:val="clear" w:color="auto" w:fill="auto"/>
            <w:tcMar>
              <w:top w:w="0" w:type="dxa"/>
              <w:left w:w="108" w:type="dxa"/>
              <w:bottom w:w="0" w:type="dxa"/>
              <w:right w:w="108" w:type="dxa"/>
            </w:tcMar>
            <w:vAlign w:val="center"/>
          </w:tcPr>
          <w:p w14:paraId="204A81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0.00%</w:t>
            </w:r>
          </w:p>
        </w:tc>
        <w:tc>
          <w:tcPr>
            <w:tcW w:w="737" w:type="pct"/>
            <w:shd w:val="clear" w:color="auto" w:fill="auto"/>
            <w:tcMar>
              <w:top w:w="0" w:type="dxa"/>
              <w:left w:w="108" w:type="dxa"/>
              <w:bottom w:w="0" w:type="dxa"/>
              <w:right w:w="108" w:type="dxa"/>
            </w:tcMar>
            <w:vAlign w:val="center"/>
          </w:tcPr>
          <w:p w14:paraId="654BCDB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hint="eastAsia"/>
                <w:color w:val="000000"/>
                <w:sz w:val="21"/>
                <w:szCs w:val="21"/>
              </w:rPr>
              <w:t xml:space="preserve">　</w:t>
            </w:r>
          </w:p>
        </w:tc>
        <w:tc>
          <w:tcPr>
            <w:tcW w:w="605" w:type="pct"/>
            <w:shd w:val="clear" w:color="auto" w:fill="auto"/>
            <w:tcMar>
              <w:top w:w="0" w:type="dxa"/>
              <w:left w:w="108" w:type="dxa"/>
              <w:bottom w:w="0" w:type="dxa"/>
              <w:right w:w="108" w:type="dxa"/>
            </w:tcMar>
            <w:vAlign w:val="center"/>
          </w:tcPr>
          <w:p w14:paraId="281F717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hint="eastAsia"/>
                <w:color w:val="000000"/>
                <w:sz w:val="21"/>
                <w:szCs w:val="21"/>
              </w:rPr>
              <w:t xml:space="preserve">　</w:t>
            </w:r>
          </w:p>
        </w:tc>
      </w:tr>
      <w:tr w:rsidR="006416B0" w:rsidRPr="00B4515A" w14:paraId="0E2A8DC4"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0F6789DC"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租赁负债</w:t>
            </w:r>
          </w:p>
        </w:tc>
        <w:tc>
          <w:tcPr>
            <w:tcW w:w="654" w:type="pct"/>
            <w:shd w:val="clear" w:color="auto" w:fill="auto"/>
            <w:tcMar>
              <w:top w:w="0" w:type="dxa"/>
              <w:left w:w="108" w:type="dxa"/>
              <w:bottom w:w="0" w:type="dxa"/>
              <w:right w:w="108" w:type="dxa"/>
            </w:tcMar>
            <w:vAlign w:val="center"/>
          </w:tcPr>
          <w:p w14:paraId="1220858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1,459.57 </w:t>
            </w:r>
          </w:p>
        </w:tc>
        <w:tc>
          <w:tcPr>
            <w:tcW w:w="572" w:type="pct"/>
            <w:shd w:val="clear" w:color="auto" w:fill="auto"/>
            <w:tcMar>
              <w:top w:w="0" w:type="dxa"/>
              <w:left w:w="108" w:type="dxa"/>
              <w:bottom w:w="0" w:type="dxa"/>
              <w:right w:w="108" w:type="dxa"/>
            </w:tcMar>
            <w:vAlign w:val="center"/>
          </w:tcPr>
          <w:p w14:paraId="04AF664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0.40%</w:t>
            </w:r>
          </w:p>
        </w:tc>
        <w:tc>
          <w:tcPr>
            <w:tcW w:w="654" w:type="pct"/>
            <w:shd w:val="clear" w:color="auto" w:fill="auto"/>
            <w:tcMar>
              <w:top w:w="0" w:type="dxa"/>
              <w:left w:w="108" w:type="dxa"/>
              <w:bottom w:w="0" w:type="dxa"/>
              <w:right w:w="108" w:type="dxa"/>
            </w:tcMar>
            <w:vAlign w:val="center"/>
          </w:tcPr>
          <w:p w14:paraId="57F2C02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5,813.80</w:t>
            </w:r>
          </w:p>
        </w:tc>
        <w:tc>
          <w:tcPr>
            <w:tcW w:w="572" w:type="pct"/>
            <w:shd w:val="clear" w:color="auto" w:fill="auto"/>
            <w:tcMar>
              <w:top w:w="0" w:type="dxa"/>
              <w:left w:w="108" w:type="dxa"/>
              <w:bottom w:w="0" w:type="dxa"/>
              <w:right w:w="108" w:type="dxa"/>
            </w:tcMar>
            <w:vAlign w:val="center"/>
          </w:tcPr>
          <w:p w14:paraId="16C176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1.35%</w:t>
            </w:r>
          </w:p>
        </w:tc>
        <w:tc>
          <w:tcPr>
            <w:tcW w:w="737" w:type="pct"/>
            <w:shd w:val="clear" w:color="auto" w:fill="auto"/>
            <w:tcMar>
              <w:top w:w="0" w:type="dxa"/>
              <w:left w:w="108" w:type="dxa"/>
              <w:bottom w:w="0" w:type="dxa"/>
              <w:right w:w="108" w:type="dxa"/>
            </w:tcMar>
            <w:vAlign w:val="center"/>
          </w:tcPr>
          <w:p w14:paraId="16F65A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4,354.24</w:t>
            </w:r>
          </w:p>
        </w:tc>
        <w:tc>
          <w:tcPr>
            <w:tcW w:w="605" w:type="pct"/>
            <w:shd w:val="clear" w:color="auto" w:fill="auto"/>
            <w:tcMar>
              <w:top w:w="0" w:type="dxa"/>
              <w:left w:w="108" w:type="dxa"/>
              <w:bottom w:w="0" w:type="dxa"/>
              <w:right w:w="108" w:type="dxa"/>
            </w:tcMar>
            <w:vAlign w:val="center"/>
          </w:tcPr>
          <w:p w14:paraId="03E89F0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298.32%</w:t>
            </w:r>
          </w:p>
        </w:tc>
      </w:tr>
      <w:tr w:rsidR="006416B0" w:rsidRPr="00B4515A" w14:paraId="2CD7D6C6"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118D5C17"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长期应付款</w:t>
            </w:r>
          </w:p>
        </w:tc>
        <w:tc>
          <w:tcPr>
            <w:tcW w:w="654" w:type="pct"/>
            <w:shd w:val="clear" w:color="auto" w:fill="auto"/>
            <w:tcMar>
              <w:top w:w="0" w:type="dxa"/>
              <w:left w:w="108" w:type="dxa"/>
              <w:bottom w:w="0" w:type="dxa"/>
              <w:right w:w="108" w:type="dxa"/>
            </w:tcMar>
            <w:vAlign w:val="center"/>
          </w:tcPr>
          <w:p w14:paraId="7712A78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40,026.92 </w:t>
            </w:r>
          </w:p>
        </w:tc>
        <w:tc>
          <w:tcPr>
            <w:tcW w:w="572" w:type="pct"/>
            <w:shd w:val="clear" w:color="auto" w:fill="auto"/>
            <w:tcMar>
              <w:top w:w="0" w:type="dxa"/>
              <w:left w:w="108" w:type="dxa"/>
              <w:bottom w:w="0" w:type="dxa"/>
              <w:right w:w="108" w:type="dxa"/>
            </w:tcMar>
            <w:vAlign w:val="center"/>
          </w:tcPr>
          <w:p w14:paraId="21B3048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10.98%</w:t>
            </w:r>
          </w:p>
        </w:tc>
        <w:tc>
          <w:tcPr>
            <w:tcW w:w="654" w:type="pct"/>
            <w:shd w:val="clear" w:color="auto" w:fill="auto"/>
            <w:tcMar>
              <w:top w:w="0" w:type="dxa"/>
              <w:left w:w="108" w:type="dxa"/>
              <w:bottom w:w="0" w:type="dxa"/>
              <w:right w:w="108" w:type="dxa"/>
            </w:tcMar>
            <w:vAlign w:val="center"/>
          </w:tcPr>
          <w:p w14:paraId="6BC2426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40,026.92</w:t>
            </w:r>
          </w:p>
        </w:tc>
        <w:tc>
          <w:tcPr>
            <w:tcW w:w="572" w:type="pct"/>
            <w:shd w:val="clear" w:color="auto" w:fill="auto"/>
            <w:tcMar>
              <w:top w:w="0" w:type="dxa"/>
              <w:left w:w="108" w:type="dxa"/>
              <w:bottom w:w="0" w:type="dxa"/>
              <w:right w:w="108" w:type="dxa"/>
            </w:tcMar>
            <w:vAlign w:val="center"/>
          </w:tcPr>
          <w:p w14:paraId="167A579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9.29%</w:t>
            </w:r>
          </w:p>
        </w:tc>
        <w:tc>
          <w:tcPr>
            <w:tcW w:w="737" w:type="pct"/>
            <w:shd w:val="clear" w:color="auto" w:fill="auto"/>
            <w:tcMar>
              <w:top w:w="0" w:type="dxa"/>
              <w:left w:w="108" w:type="dxa"/>
              <w:bottom w:w="0" w:type="dxa"/>
              <w:right w:w="108" w:type="dxa"/>
            </w:tcMar>
            <w:vAlign w:val="center"/>
          </w:tcPr>
          <w:p w14:paraId="6E7E09C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c>
          <w:tcPr>
            <w:tcW w:w="605" w:type="pct"/>
            <w:shd w:val="clear" w:color="auto" w:fill="auto"/>
            <w:tcMar>
              <w:top w:w="0" w:type="dxa"/>
              <w:left w:w="108" w:type="dxa"/>
              <w:bottom w:w="0" w:type="dxa"/>
              <w:right w:w="108" w:type="dxa"/>
            </w:tcMar>
            <w:vAlign w:val="center"/>
          </w:tcPr>
          <w:p w14:paraId="7448EDC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r>
      <w:tr w:rsidR="006416B0" w:rsidRPr="00B4515A" w14:paraId="6E018E73"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6F5722CC"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长期应付职工薪酬</w:t>
            </w:r>
          </w:p>
        </w:tc>
        <w:tc>
          <w:tcPr>
            <w:tcW w:w="654" w:type="pct"/>
            <w:shd w:val="clear" w:color="auto" w:fill="auto"/>
            <w:tcMar>
              <w:top w:w="0" w:type="dxa"/>
              <w:left w:w="108" w:type="dxa"/>
              <w:bottom w:w="0" w:type="dxa"/>
              <w:right w:w="108" w:type="dxa"/>
            </w:tcMar>
            <w:vAlign w:val="center"/>
          </w:tcPr>
          <w:p w14:paraId="7CDEE72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191.52 </w:t>
            </w:r>
          </w:p>
        </w:tc>
        <w:tc>
          <w:tcPr>
            <w:tcW w:w="572" w:type="pct"/>
            <w:shd w:val="clear" w:color="auto" w:fill="auto"/>
            <w:tcMar>
              <w:top w:w="0" w:type="dxa"/>
              <w:left w:w="108" w:type="dxa"/>
              <w:bottom w:w="0" w:type="dxa"/>
              <w:right w:w="108" w:type="dxa"/>
            </w:tcMar>
            <w:vAlign w:val="center"/>
          </w:tcPr>
          <w:p w14:paraId="0E5633D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0.05%</w:t>
            </w:r>
          </w:p>
        </w:tc>
        <w:tc>
          <w:tcPr>
            <w:tcW w:w="654" w:type="pct"/>
            <w:shd w:val="clear" w:color="auto" w:fill="auto"/>
            <w:tcMar>
              <w:top w:w="0" w:type="dxa"/>
              <w:left w:w="108" w:type="dxa"/>
              <w:bottom w:w="0" w:type="dxa"/>
              <w:right w:w="108" w:type="dxa"/>
            </w:tcMar>
            <w:vAlign w:val="center"/>
          </w:tcPr>
          <w:p w14:paraId="1C0E5D0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191.52</w:t>
            </w:r>
          </w:p>
        </w:tc>
        <w:tc>
          <w:tcPr>
            <w:tcW w:w="572" w:type="pct"/>
            <w:shd w:val="clear" w:color="auto" w:fill="auto"/>
            <w:tcMar>
              <w:top w:w="0" w:type="dxa"/>
              <w:left w:w="108" w:type="dxa"/>
              <w:bottom w:w="0" w:type="dxa"/>
              <w:right w:w="108" w:type="dxa"/>
            </w:tcMar>
            <w:vAlign w:val="center"/>
          </w:tcPr>
          <w:p w14:paraId="6E146ED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0.04%</w:t>
            </w:r>
          </w:p>
        </w:tc>
        <w:tc>
          <w:tcPr>
            <w:tcW w:w="737" w:type="pct"/>
            <w:shd w:val="clear" w:color="auto" w:fill="auto"/>
            <w:tcMar>
              <w:top w:w="0" w:type="dxa"/>
              <w:left w:w="108" w:type="dxa"/>
              <w:bottom w:w="0" w:type="dxa"/>
              <w:right w:w="108" w:type="dxa"/>
            </w:tcMar>
            <w:vAlign w:val="center"/>
          </w:tcPr>
          <w:p w14:paraId="20EC69D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c>
          <w:tcPr>
            <w:tcW w:w="605" w:type="pct"/>
            <w:shd w:val="clear" w:color="auto" w:fill="auto"/>
            <w:tcMar>
              <w:top w:w="0" w:type="dxa"/>
              <w:left w:w="108" w:type="dxa"/>
              <w:bottom w:w="0" w:type="dxa"/>
              <w:right w:w="108" w:type="dxa"/>
            </w:tcMar>
            <w:vAlign w:val="center"/>
          </w:tcPr>
          <w:p w14:paraId="28A5718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r>
      <w:tr w:rsidR="006416B0" w:rsidRPr="00B4515A" w14:paraId="17CF34C5"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4CC2D161"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预计负债</w:t>
            </w:r>
          </w:p>
        </w:tc>
        <w:tc>
          <w:tcPr>
            <w:tcW w:w="654" w:type="pct"/>
            <w:shd w:val="clear" w:color="auto" w:fill="auto"/>
            <w:tcMar>
              <w:top w:w="0" w:type="dxa"/>
              <w:left w:w="108" w:type="dxa"/>
              <w:bottom w:w="0" w:type="dxa"/>
              <w:right w:w="108" w:type="dxa"/>
            </w:tcMar>
            <w:vAlign w:val="center"/>
          </w:tcPr>
          <w:p w14:paraId="68E75CF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3,064.01 </w:t>
            </w:r>
          </w:p>
        </w:tc>
        <w:tc>
          <w:tcPr>
            <w:tcW w:w="572" w:type="pct"/>
            <w:shd w:val="clear" w:color="auto" w:fill="auto"/>
            <w:tcMar>
              <w:top w:w="0" w:type="dxa"/>
              <w:left w:w="108" w:type="dxa"/>
              <w:bottom w:w="0" w:type="dxa"/>
              <w:right w:w="108" w:type="dxa"/>
            </w:tcMar>
            <w:vAlign w:val="center"/>
          </w:tcPr>
          <w:p w14:paraId="0EE64AB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0.84%</w:t>
            </w:r>
          </w:p>
        </w:tc>
        <w:tc>
          <w:tcPr>
            <w:tcW w:w="654" w:type="pct"/>
            <w:shd w:val="clear" w:color="auto" w:fill="auto"/>
            <w:tcMar>
              <w:top w:w="0" w:type="dxa"/>
              <w:left w:w="108" w:type="dxa"/>
              <w:bottom w:w="0" w:type="dxa"/>
              <w:right w:w="108" w:type="dxa"/>
            </w:tcMar>
            <w:vAlign w:val="center"/>
          </w:tcPr>
          <w:p w14:paraId="33CC55C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3,064.01</w:t>
            </w:r>
          </w:p>
        </w:tc>
        <w:tc>
          <w:tcPr>
            <w:tcW w:w="572" w:type="pct"/>
            <w:shd w:val="clear" w:color="auto" w:fill="auto"/>
            <w:tcMar>
              <w:top w:w="0" w:type="dxa"/>
              <w:left w:w="108" w:type="dxa"/>
              <w:bottom w:w="0" w:type="dxa"/>
              <w:right w:w="108" w:type="dxa"/>
            </w:tcMar>
            <w:vAlign w:val="center"/>
          </w:tcPr>
          <w:p w14:paraId="41034ED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0.71%</w:t>
            </w:r>
          </w:p>
        </w:tc>
        <w:tc>
          <w:tcPr>
            <w:tcW w:w="737" w:type="pct"/>
            <w:shd w:val="clear" w:color="auto" w:fill="auto"/>
            <w:tcMar>
              <w:top w:w="0" w:type="dxa"/>
              <w:left w:w="108" w:type="dxa"/>
              <w:bottom w:w="0" w:type="dxa"/>
              <w:right w:w="108" w:type="dxa"/>
            </w:tcMar>
            <w:vAlign w:val="center"/>
          </w:tcPr>
          <w:p w14:paraId="36F56E7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c>
          <w:tcPr>
            <w:tcW w:w="605" w:type="pct"/>
            <w:shd w:val="clear" w:color="auto" w:fill="auto"/>
            <w:tcMar>
              <w:top w:w="0" w:type="dxa"/>
              <w:left w:w="108" w:type="dxa"/>
              <w:bottom w:w="0" w:type="dxa"/>
              <w:right w:w="108" w:type="dxa"/>
            </w:tcMar>
            <w:vAlign w:val="center"/>
          </w:tcPr>
          <w:p w14:paraId="009CBB6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r>
      <w:tr w:rsidR="006416B0" w:rsidRPr="00B4515A" w14:paraId="283C3E82"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032819D3"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递延收益</w:t>
            </w:r>
          </w:p>
        </w:tc>
        <w:tc>
          <w:tcPr>
            <w:tcW w:w="654" w:type="pct"/>
            <w:shd w:val="clear" w:color="auto" w:fill="auto"/>
            <w:tcMar>
              <w:top w:w="0" w:type="dxa"/>
              <w:left w:w="108" w:type="dxa"/>
              <w:bottom w:w="0" w:type="dxa"/>
              <w:right w:w="108" w:type="dxa"/>
            </w:tcMar>
            <w:vAlign w:val="center"/>
          </w:tcPr>
          <w:p w14:paraId="347371B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15,383.97 </w:t>
            </w:r>
          </w:p>
        </w:tc>
        <w:tc>
          <w:tcPr>
            <w:tcW w:w="572" w:type="pct"/>
            <w:shd w:val="clear" w:color="auto" w:fill="auto"/>
            <w:tcMar>
              <w:top w:w="0" w:type="dxa"/>
              <w:left w:w="108" w:type="dxa"/>
              <w:bottom w:w="0" w:type="dxa"/>
              <w:right w:w="108" w:type="dxa"/>
            </w:tcMar>
            <w:vAlign w:val="center"/>
          </w:tcPr>
          <w:p w14:paraId="4BDEEC5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4.22%</w:t>
            </w:r>
          </w:p>
        </w:tc>
        <w:tc>
          <w:tcPr>
            <w:tcW w:w="654" w:type="pct"/>
            <w:shd w:val="clear" w:color="auto" w:fill="auto"/>
            <w:tcMar>
              <w:top w:w="0" w:type="dxa"/>
              <w:left w:w="108" w:type="dxa"/>
              <w:bottom w:w="0" w:type="dxa"/>
              <w:right w:w="108" w:type="dxa"/>
            </w:tcMar>
            <w:vAlign w:val="center"/>
          </w:tcPr>
          <w:p w14:paraId="421E815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15,383.97</w:t>
            </w:r>
          </w:p>
        </w:tc>
        <w:tc>
          <w:tcPr>
            <w:tcW w:w="572" w:type="pct"/>
            <w:shd w:val="clear" w:color="auto" w:fill="auto"/>
            <w:tcMar>
              <w:top w:w="0" w:type="dxa"/>
              <w:left w:w="108" w:type="dxa"/>
              <w:bottom w:w="0" w:type="dxa"/>
              <w:right w:w="108" w:type="dxa"/>
            </w:tcMar>
            <w:vAlign w:val="center"/>
          </w:tcPr>
          <w:p w14:paraId="2753D43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3.57%</w:t>
            </w:r>
          </w:p>
        </w:tc>
        <w:tc>
          <w:tcPr>
            <w:tcW w:w="737" w:type="pct"/>
            <w:shd w:val="clear" w:color="auto" w:fill="auto"/>
            <w:tcMar>
              <w:top w:w="0" w:type="dxa"/>
              <w:left w:w="108" w:type="dxa"/>
              <w:bottom w:w="0" w:type="dxa"/>
              <w:right w:w="108" w:type="dxa"/>
            </w:tcMar>
            <w:vAlign w:val="center"/>
          </w:tcPr>
          <w:p w14:paraId="56005ED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c>
          <w:tcPr>
            <w:tcW w:w="605" w:type="pct"/>
            <w:shd w:val="clear" w:color="auto" w:fill="auto"/>
            <w:tcMar>
              <w:top w:w="0" w:type="dxa"/>
              <w:left w:w="108" w:type="dxa"/>
              <w:bottom w:w="0" w:type="dxa"/>
              <w:right w:w="108" w:type="dxa"/>
            </w:tcMar>
            <w:vAlign w:val="center"/>
          </w:tcPr>
          <w:p w14:paraId="67439F1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r>
      <w:tr w:rsidR="006416B0" w:rsidRPr="00B4515A" w14:paraId="2355307B"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2A36B754"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hint="eastAsia"/>
                <w:color w:val="000000"/>
                <w:sz w:val="21"/>
                <w:szCs w:val="21"/>
              </w:rPr>
              <w:t>递延所得税负债</w:t>
            </w:r>
          </w:p>
        </w:tc>
        <w:tc>
          <w:tcPr>
            <w:tcW w:w="654" w:type="pct"/>
            <w:shd w:val="clear" w:color="auto" w:fill="auto"/>
            <w:tcMar>
              <w:top w:w="0" w:type="dxa"/>
              <w:left w:w="108" w:type="dxa"/>
              <w:bottom w:w="0" w:type="dxa"/>
              <w:right w:w="108" w:type="dxa"/>
            </w:tcMar>
            <w:vAlign w:val="center"/>
          </w:tcPr>
          <w:p w14:paraId="1023CA8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858.55 </w:t>
            </w:r>
          </w:p>
        </w:tc>
        <w:tc>
          <w:tcPr>
            <w:tcW w:w="572" w:type="pct"/>
            <w:shd w:val="clear" w:color="auto" w:fill="auto"/>
            <w:tcMar>
              <w:top w:w="0" w:type="dxa"/>
              <w:left w:w="108" w:type="dxa"/>
              <w:bottom w:w="0" w:type="dxa"/>
              <w:right w:w="108" w:type="dxa"/>
            </w:tcMar>
            <w:vAlign w:val="center"/>
          </w:tcPr>
          <w:p w14:paraId="481DCC6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0.24%</w:t>
            </w:r>
          </w:p>
        </w:tc>
        <w:tc>
          <w:tcPr>
            <w:tcW w:w="654" w:type="pct"/>
            <w:shd w:val="clear" w:color="auto" w:fill="auto"/>
            <w:tcMar>
              <w:top w:w="0" w:type="dxa"/>
              <w:left w:w="108" w:type="dxa"/>
              <w:bottom w:w="0" w:type="dxa"/>
              <w:right w:w="108" w:type="dxa"/>
            </w:tcMar>
            <w:vAlign w:val="center"/>
          </w:tcPr>
          <w:p w14:paraId="3A365A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858.55</w:t>
            </w:r>
          </w:p>
        </w:tc>
        <w:tc>
          <w:tcPr>
            <w:tcW w:w="572" w:type="pct"/>
            <w:shd w:val="clear" w:color="auto" w:fill="auto"/>
            <w:tcMar>
              <w:top w:w="0" w:type="dxa"/>
              <w:left w:w="108" w:type="dxa"/>
              <w:bottom w:w="0" w:type="dxa"/>
              <w:right w:w="108" w:type="dxa"/>
            </w:tcMar>
            <w:vAlign w:val="center"/>
          </w:tcPr>
          <w:p w14:paraId="522FB39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0.20%</w:t>
            </w:r>
          </w:p>
        </w:tc>
        <w:tc>
          <w:tcPr>
            <w:tcW w:w="737" w:type="pct"/>
            <w:shd w:val="clear" w:color="auto" w:fill="auto"/>
            <w:tcMar>
              <w:top w:w="0" w:type="dxa"/>
              <w:left w:w="108" w:type="dxa"/>
              <w:bottom w:w="0" w:type="dxa"/>
              <w:right w:w="108" w:type="dxa"/>
            </w:tcMar>
            <w:vAlign w:val="center"/>
          </w:tcPr>
          <w:p w14:paraId="0B08956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c>
          <w:tcPr>
            <w:tcW w:w="605" w:type="pct"/>
            <w:shd w:val="clear" w:color="auto" w:fill="auto"/>
            <w:tcMar>
              <w:top w:w="0" w:type="dxa"/>
              <w:left w:w="108" w:type="dxa"/>
              <w:bottom w:w="0" w:type="dxa"/>
              <w:right w:w="108" w:type="dxa"/>
            </w:tcMar>
            <w:vAlign w:val="center"/>
          </w:tcPr>
          <w:p w14:paraId="6357333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w:t>
            </w:r>
          </w:p>
        </w:tc>
      </w:tr>
      <w:tr w:rsidR="006416B0" w:rsidRPr="00B4515A" w14:paraId="36032DAD"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1631B48E" w14:textId="77777777" w:rsidR="006416B0" w:rsidRPr="00B4515A" w:rsidRDefault="005E58C1" w:rsidP="005860B4">
            <w:pPr>
              <w:adjustRightInd w:val="0"/>
              <w:snapToGrid w:val="0"/>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非流动负债合计</w:t>
            </w:r>
          </w:p>
        </w:tc>
        <w:tc>
          <w:tcPr>
            <w:tcW w:w="654" w:type="pct"/>
            <w:shd w:val="clear" w:color="auto" w:fill="auto"/>
            <w:tcMar>
              <w:top w:w="0" w:type="dxa"/>
              <w:left w:w="108" w:type="dxa"/>
              <w:bottom w:w="0" w:type="dxa"/>
              <w:right w:w="108" w:type="dxa"/>
            </w:tcMar>
            <w:vAlign w:val="center"/>
          </w:tcPr>
          <w:p w14:paraId="0BE8653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60,984.54 </w:t>
            </w:r>
          </w:p>
        </w:tc>
        <w:tc>
          <w:tcPr>
            <w:tcW w:w="572" w:type="pct"/>
            <w:shd w:val="clear" w:color="auto" w:fill="auto"/>
            <w:tcMar>
              <w:top w:w="0" w:type="dxa"/>
              <w:left w:w="108" w:type="dxa"/>
              <w:bottom w:w="0" w:type="dxa"/>
              <w:right w:w="108" w:type="dxa"/>
            </w:tcMar>
            <w:vAlign w:val="center"/>
          </w:tcPr>
          <w:p w14:paraId="6D7F6FE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16.73%</w:t>
            </w:r>
          </w:p>
        </w:tc>
        <w:tc>
          <w:tcPr>
            <w:tcW w:w="654" w:type="pct"/>
            <w:shd w:val="clear" w:color="auto" w:fill="auto"/>
            <w:tcMar>
              <w:top w:w="0" w:type="dxa"/>
              <w:left w:w="108" w:type="dxa"/>
              <w:bottom w:w="0" w:type="dxa"/>
              <w:right w:w="108" w:type="dxa"/>
            </w:tcMar>
            <w:vAlign w:val="center"/>
          </w:tcPr>
          <w:p w14:paraId="4CF3EB78"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65,338.77</w:t>
            </w:r>
          </w:p>
        </w:tc>
        <w:tc>
          <w:tcPr>
            <w:tcW w:w="572" w:type="pct"/>
            <w:shd w:val="clear" w:color="auto" w:fill="auto"/>
            <w:tcMar>
              <w:top w:w="0" w:type="dxa"/>
              <w:left w:w="108" w:type="dxa"/>
              <w:bottom w:w="0" w:type="dxa"/>
              <w:right w:w="108" w:type="dxa"/>
            </w:tcMar>
            <w:vAlign w:val="center"/>
          </w:tcPr>
          <w:p w14:paraId="449D479D"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15.16%</w:t>
            </w:r>
          </w:p>
        </w:tc>
        <w:tc>
          <w:tcPr>
            <w:tcW w:w="737" w:type="pct"/>
            <w:shd w:val="clear" w:color="auto" w:fill="auto"/>
            <w:tcMar>
              <w:top w:w="0" w:type="dxa"/>
              <w:left w:w="108" w:type="dxa"/>
              <w:bottom w:w="0" w:type="dxa"/>
              <w:right w:w="108" w:type="dxa"/>
            </w:tcMar>
            <w:vAlign w:val="center"/>
          </w:tcPr>
          <w:p w14:paraId="60D136E3"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4,354.24</w:t>
            </w:r>
          </w:p>
        </w:tc>
        <w:tc>
          <w:tcPr>
            <w:tcW w:w="605" w:type="pct"/>
            <w:shd w:val="clear" w:color="auto" w:fill="auto"/>
            <w:tcMar>
              <w:top w:w="0" w:type="dxa"/>
              <w:left w:w="108" w:type="dxa"/>
              <w:bottom w:w="0" w:type="dxa"/>
              <w:right w:w="108" w:type="dxa"/>
            </w:tcMar>
            <w:vAlign w:val="center"/>
          </w:tcPr>
          <w:p w14:paraId="55338F09"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7.14%</w:t>
            </w:r>
          </w:p>
        </w:tc>
      </w:tr>
      <w:tr w:rsidR="006416B0" w:rsidRPr="00B4515A" w14:paraId="4E90059D" w14:textId="77777777" w:rsidTr="003357B7">
        <w:trPr>
          <w:trHeight w:val="340"/>
          <w:jc w:val="center"/>
        </w:trPr>
        <w:tc>
          <w:tcPr>
            <w:tcW w:w="1205" w:type="pct"/>
            <w:shd w:val="clear" w:color="auto" w:fill="auto"/>
            <w:tcMar>
              <w:top w:w="0" w:type="dxa"/>
              <w:left w:w="108" w:type="dxa"/>
              <w:bottom w:w="0" w:type="dxa"/>
              <w:right w:w="108" w:type="dxa"/>
            </w:tcMar>
            <w:vAlign w:val="center"/>
          </w:tcPr>
          <w:p w14:paraId="32FC24C8" w14:textId="77777777" w:rsidR="006416B0" w:rsidRPr="00B4515A" w:rsidRDefault="005E58C1" w:rsidP="005860B4">
            <w:pPr>
              <w:adjustRightInd w:val="0"/>
              <w:snapToGrid w:val="0"/>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负债合计</w:t>
            </w:r>
          </w:p>
        </w:tc>
        <w:tc>
          <w:tcPr>
            <w:tcW w:w="654" w:type="pct"/>
            <w:shd w:val="clear" w:color="auto" w:fill="auto"/>
            <w:tcMar>
              <w:top w:w="0" w:type="dxa"/>
              <w:left w:w="108" w:type="dxa"/>
              <w:bottom w:w="0" w:type="dxa"/>
              <w:right w:w="108" w:type="dxa"/>
            </w:tcMar>
            <w:vAlign w:val="center"/>
          </w:tcPr>
          <w:p w14:paraId="0E1BEBD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364,511.94 </w:t>
            </w:r>
          </w:p>
        </w:tc>
        <w:tc>
          <w:tcPr>
            <w:tcW w:w="572" w:type="pct"/>
            <w:shd w:val="clear" w:color="auto" w:fill="auto"/>
            <w:tcMar>
              <w:top w:w="0" w:type="dxa"/>
              <w:left w:w="108" w:type="dxa"/>
              <w:bottom w:w="0" w:type="dxa"/>
              <w:right w:w="108" w:type="dxa"/>
            </w:tcMar>
            <w:vAlign w:val="center"/>
          </w:tcPr>
          <w:p w14:paraId="60327EA0"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54" w:type="pct"/>
            <w:shd w:val="clear" w:color="auto" w:fill="auto"/>
            <w:tcMar>
              <w:top w:w="0" w:type="dxa"/>
              <w:left w:w="108" w:type="dxa"/>
              <w:bottom w:w="0" w:type="dxa"/>
              <w:right w:w="108" w:type="dxa"/>
            </w:tcMar>
            <w:vAlign w:val="center"/>
          </w:tcPr>
          <w:p w14:paraId="0C30A7D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430,922.12</w:t>
            </w:r>
          </w:p>
        </w:tc>
        <w:tc>
          <w:tcPr>
            <w:tcW w:w="572" w:type="pct"/>
            <w:shd w:val="clear" w:color="auto" w:fill="auto"/>
            <w:tcMar>
              <w:top w:w="0" w:type="dxa"/>
              <w:left w:w="108" w:type="dxa"/>
              <w:bottom w:w="0" w:type="dxa"/>
              <w:right w:w="108" w:type="dxa"/>
            </w:tcMar>
            <w:vAlign w:val="center"/>
          </w:tcPr>
          <w:p w14:paraId="41A3327A"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100.00%</w:t>
            </w:r>
          </w:p>
        </w:tc>
        <w:tc>
          <w:tcPr>
            <w:tcW w:w="737" w:type="pct"/>
            <w:shd w:val="clear" w:color="auto" w:fill="auto"/>
            <w:tcMar>
              <w:top w:w="0" w:type="dxa"/>
              <w:left w:w="108" w:type="dxa"/>
              <w:bottom w:w="0" w:type="dxa"/>
              <w:right w:w="108" w:type="dxa"/>
            </w:tcMar>
            <w:vAlign w:val="center"/>
          </w:tcPr>
          <w:p w14:paraId="2CD45095"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66,410.18</w:t>
            </w:r>
          </w:p>
        </w:tc>
        <w:tc>
          <w:tcPr>
            <w:tcW w:w="605" w:type="pct"/>
            <w:shd w:val="clear" w:color="auto" w:fill="auto"/>
            <w:tcMar>
              <w:top w:w="0" w:type="dxa"/>
              <w:left w:w="108" w:type="dxa"/>
              <w:bottom w:w="0" w:type="dxa"/>
              <w:right w:w="108" w:type="dxa"/>
            </w:tcMar>
            <w:vAlign w:val="center"/>
          </w:tcPr>
          <w:p w14:paraId="68242AE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等线" w:hAnsi="Times New Roman" w:cs="Times New Roman"/>
                <w:b/>
                <w:bCs/>
                <w:color w:val="000000"/>
                <w:sz w:val="21"/>
                <w:szCs w:val="21"/>
              </w:rPr>
              <w:t>18.22%</w:t>
            </w:r>
          </w:p>
        </w:tc>
      </w:tr>
    </w:tbl>
    <w:p w14:paraId="60779C9D" w14:textId="77777777" w:rsidR="00D62C18" w:rsidRPr="00B4515A" w:rsidRDefault="00D62C18" w:rsidP="00D62C18"/>
    <w:p w14:paraId="06343C5E" w14:textId="77777777" w:rsidR="006416B0" w:rsidRPr="00B4515A" w:rsidRDefault="005E58C1" w:rsidP="006100BC">
      <w:pPr>
        <w:pStyle w:val="009"/>
      </w:pPr>
      <w:r w:rsidRPr="00B4515A">
        <w:rPr>
          <w:rFonts w:hint="eastAsia"/>
        </w:rPr>
        <w:t>单位：万元</w:t>
      </w:r>
    </w:p>
    <w:p w14:paraId="1CFC9DF2" w14:textId="77777777" w:rsidR="006416B0" w:rsidRPr="00B4515A" w:rsidRDefault="005E58C1">
      <w:pPr>
        <w:pStyle w:val="005"/>
        <w:spacing w:before="120" w:after="120"/>
        <w:ind w:firstLine="422"/>
        <w:jc w:val="center"/>
        <w:rPr>
          <w:rFonts w:eastAsiaTheme="minorEastAsia"/>
          <w:sz w:val="21"/>
          <w:szCs w:val="21"/>
        </w:rPr>
      </w:pPr>
      <w:r w:rsidRPr="00B4515A">
        <w:rPr>
          <w:rFonts w:eastAsiaTheme="minorEastAsia"/>
          <w:b/>
          <w:bCs/>
          <w:color w:val="000000"/>
          <w:sz w:val="21"/>
          <w:szCs w:val="21"/>
        </w:rPr>
        <w:t>2020</w:t>
      </w:r>
      <w:r w:rsidRPr="00B4515A">
        <w:rPr>
          <w:rFonts w:eastAsiaTheme="minorEastAsia" w:hint="eastAsia"/>
          <w:b/>
          <w:bCs/>
          <w:color w:val="000000"/>
          <w:sz w:val="21"/>
          <w:szCs w:val="21"/>
        </w:rPr>
        <w:t>年</w:t>
      </w:r>
      <w:r w:rsidRPr="00B4515A">
        <w:rPr>
          <w:rFonts w:eastAsiaTheme="minorEastAsia"/>
          <w:b/>
          <w:bCs/>
          <w:color w:val="000000"/>
          <w:sz w:val="21"/>
          <w:szCs w:val="21"/>
        </w:rPr>
        <w:t xml:space="preserve"> 12 </w:t>
      </w:r>
      <w:r w:rsidRPr="00B4515A">
        <w:rPr>
          <w:rFonts w:eastAsiaTheme="minorEastAsia" w:hint="eastAsia"/>
          <w:b/>
          <w:bCs/>
          <w:color w:val="000000"/>
          <w:sz w:val="21"/>
          <w:szCs w:val="21"/>
        </w:rPr>
        <w:t>月</w:t>
      </w:r>
      <w:r w:rsidRPr="00B4515A">
        <w:rPr>
          <w:rFonts w:eastAsiaTheme="minorEastAsia"/>
          <w:b/>
          <w:bCs/>
          <w:color w:val="000000"/>
          <w:sz w:val="21"/>
          <w:szCs w:val="21"/>
        </w:rPr>
        <w:t xml:space="preserve"> 31 </w:t>
      </w:r>
      <w:r w:rsidRPr="00B4515A">
        <w:rPr>
          <w:rFonts w:eastAsiaTheme="minorEastAsia" w:hint="eastAsia"/>
          <w:b/>
          <w:bCs/>
          <w:color w:val="000000"/>
          <w:sz w:val="21"/>
          <w:szCs w:val="21"/>
        </w:rPr>
        <w:t>日</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128"/>
        <w:gridCol w:w="1164"/>
        <w:gridCol w:w="1004"/>
        <w:gridCol w:w="1164"/>
        <w:gridCol w:w="1004"/>
        <w:gridCol w:w="1742"/>
        <w:gridCol w:w="1322"/>
      </w:tblGrid>
      <w:tr w:rsidR="006416B0" w:rsidRPr="00B4515A" w14:paraId="682AFCE4" w14:textId="77777777" w:rsidTr="006100BC">
        <w:trPr>
          <w:trHeight w:val="340"/>
          <w:tblHeader/>
          <w:jc w:val="center"/>
        </w:trPr>
        <w:tc>
          <w:tcPr>
            <w:tcW w:w="668" w:type="pct"/>
            <w:vMerge w:val="restart"/>
            <w:shd w:val="clear" w:color="auto" w:fill="auto"/>
            <w:tcMar>
              <w:top w:w="0" w:type="dxa"/>
              <w:left w:w="108" w:type="dxa"/>
              <w:bottom w:w="0" w:type="dxa"/>
              <w:right w:w="108" w:type="dxa"/>
            </w:tcMar>
            <w:vAlign w:val="center"/>
          </w:tcPr>
          <w:p w14:paraId="2243FE7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262" w:type="pct"/>
            <w:gridSpan w:val="2"/>
            <w:shd w:val="clear" w:color="auto" w:fill="auto"/>
            <w:tcMar>
              <w:top w:w="0" w:type="dxa"/>
              <w:left w:w="108" w:type="dxa"/>
              <w:bottom w:w="0" w:type="dxa"/>
              <w:right w:w="108" w:type="dxa"/>
            </w:tcMar>
            <w:vAlign w:val="center"/>
          </w:tcPr>
          <w:p w14:paraId="2585115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交易前</w:t>
            </w:r>
          </w:p>
        </w:tc>
        <w:tc>
          <w:tcPr>
            <w:tcW w:w="1262" w:type="pct"/>
            <w:gridSpan w:val="2"/>
            <w:shd w:val="clear" w:color="auto" w:fill="auto"/>
            <w:tcMar>
              <w:top w:w="0" w:type="dxa"/>
              <w:left w:w="108" w:type="dxa"/>
              <w:bottom w:w="0" w:type="dxa"/>
              <w:right w:w="108" w:type="dxa"/>
            </w:tcMar>
            <w:vAlign w:val="center"/>
          </w:tcPr>
          <w:p w14:paraId="7CF7EE3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交易后（备考）</w:t>
            </w:r>
          </w:p>
        </w:tc>
        <w:tc>
          <w:tcPr>
            <w:tcW w:w="1808" w:type="pct"/>
            <w:gridSpan w:val="2"/>
            <w:shd w:val="clear" w:color="auto" w:fill="auto"/>
            <w:tcMar>
              <w:top w:w="0" w:type="dxa"/>
              <w:left w:w="108" w:type="dxa"/>
              <w:bottom w:w="0" w:type="dxa"/>
              <w:right w:w="108" w:type="dxa"/>
            </w:tcMar>
            <w:vAlign w:val="center"/>
          </w:tcPr>
          <w:p w14:paraId="4E7B384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变化情况</w:t>
            </w:r>
          </w:p>
        </w:tc>
      </w:tr>
      <w:tr w:rsidR="006416B0" w:rsidRPr="00B4515A" w14:paraId="56B42D5E" w14:textId="77777777" w:rsidTr="006100BC">
        <w:trPr>
          <w:trHeight w:val="340"/>
          <w:tblHeader/>
          <w:jc w:val="center"/>
        </w:trPr>
        <w:tc>
          <w:tcPr>
            <w:tcW w:w="668" w:type="pct"/>
            <w:vMerge/>
            <w:tcMar>
              <w:top w:w="0" w:type="dxa"/>
              <w:left w:w="108" w:type="dxa"/>
              <w:bottom w:w="0" w:type="dxa"/>
              <w:right w:w="108" w:type="dxa"/>
            </w:tcMar>
            <w:vAlign w:val="center"/>
          </w:tcPr>
          <w:p w14:paraId="5434B5C1"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689" w:type="pct"/>
            <w:shd w:val="clear" w:color="auto" w:fill="auto"/>
            <w:tcMar>
              <w:top w:w="0" w:type="dxa"/>
              <w:left w:w="108" w:type="dxa"/>
              <w:bottom w:w="0" w:type="dxa"/>
              <w:right w:w="108" w:type="dxa"/>
            </w:tcMar>
            <w:vAlign w:val="center"/>
          </w:tcPr>
          <w:p w14:paraId="052DA1C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573" w:type="pct"/>
            <w:shd w:val="clear" w:color="auto" w:fill="auto"/>
            <w:tcMar>
              <w:top w:w="0" w:type="dxa"/>
              <w:left w:w="108" w:type="dxa"/>
              <w:bottom w:w="0" w:type="dxa"/>
              <w:right w:w="108" w:type="dxa"/>
            </w:tcMar>
            <w:vAlign w:val="center"/>
          </w:tcPr>
          <w:p w14:paraId="42A4220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689" w:type="pct"/>
            <w:shd w:val="clear" w:color="auto" w:fill="auto"/>
            <w:tcMar>
              <w:top w:w="0" w:type="dxa"/>
              <w:left w:w="108" w:type="dxa"/>
              <w:bottom w:w="0" w:type="dxa"/>
              <w:right w:w="108" w:type="dxa"/>
            </w:tcMar>
            <w:vAlign w:val="center"/>
          </w:tcPr>
          <w:p w14:paraId="2DB9BB5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573" w:type="pct"/>
            <w:shd w:val="clear" w:color="auto" w:fill="auto"/>
            <w:tcMar>
              <w:top w:w="0" w:type="dxa"/>
              <w:left w:w="108" w:type="dxa"/>
              <w:bottom w:w="0" w:type="dxa"/>
              <w:right w:w="108" w:type="dxa"/>
            </w:tcMar>
            <w:vAlign w:val="center"/>
          </w:tcPr>
          <w:p w14:paraId="4953A6F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占比</w:t>
            </w:r>
          </w:p>
        </w:tc>
        <w:tc>
          <w:tcPr>
            <w:tcW w:w="1027" w:type="pct"/>
            <w:shd w:val="clear" w:color="auto" w:fill="auto"/>
            <w:tcMar>
              <w:top w:w="0" w:type="dxa"/>
              <w:left w:w="108" w:type="dxa"/>
              <w:bottom w:w="0" w:type="dxa"/>
              <w:right w:w="108" w:type="dxa"/>
            </w:tcMar>
            <w:vAlign w:val="center"/>
          </w:tcPr>
          <w:p w14:paraId="2938D60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781" w:type="pct"/>
            <w:shd w:val="clear" w:color="auto" w:fill="auto"/>
            <w:tcMar>
              <w:top w:w="0" w:type="dxa"/>
              <w:left w:w="108" w:type="dxa"/>
              <w:bottom w:w="0" w:type="dxa"/>
              <w:right w:w="108" w:type="dxa"/>
            </w:tcMar>
            <w:vAlign w:val="center"/>
          </w:tcPr>
          <w:p w14:paraId="0476A56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变化率</w:t>
            </w:r>
          </w:p>
        </w:tc>
      </w:tr>
      <w:tr w:rsidR="006416B0" w:rsidRPr="00B4515A" w14:paraId="6712B2B4" w14:textId="77777777" w:rsidTr="006100BC">
        <w:trPr>
          <w:trHeight w:val="340"/>
          <w:jc w:val="center"/>
        </w:trPr>
        <w:tc>
          <w:tcPr>
            <w:tcW w:w="668" w:type="pct"/>
            <w:shd w:val="clear" w:color="auto" w:fill="auto"/>
            <w:tcMar>
              <w:top w:w="0" w:type="dxa"/>
              <w:left w:w="108" w:type="dxa"/>
              <w:bottom w:w="0" w:type="dxa"/>
              <w:right w:w="108" w:type="dxa"/>
            </w:tcMar>
            <w:vAlign w:val="center"/>
          </w:tcPr>
          <w:p w14:paraId="593D5DE4"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流动负债：</w:t>
            </w:r>
          </w:p>
        </w:tc>
        <w:tc>
          <w:tcPr>
            <w:tcW w:w="689" w:type="pct"/>
            <w:shd w:val="clear" w:color="auto" w:fill="auto"/>
            <w:tcMar>
              <w:top w:w="0" w:type="dxa"/>
              <w:left w:w="108" w:type="dxa"/>
              <w:bottom w:w="0" w:type="dxa"/>
              <w:right w:w="108" w:type="dxa"/>
            </w:tcMar>
            <w:vAlign w:val="center"/>
          </w:tcPr>
          <w:p w14:paraId="2247DF81"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573" w:type="pct"/>
            <w:shd w:val="clear" w:color="auto" w:fill="auto"/>
            <w:tcMar>
              <w:top w:w="0" w:type="dxa"/>
              <w:left w:w="108" w:type="dxa"/>
              <w:bottom w:w="0" w:type="dxa"/>
              <w:right w:w="108" w:type="dxa"/>
            </w:tcMar>
            <w:vAlign w:val="center"/>
          </w:tcPr>
          <w:p w14:paraId="3A560C04"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689" w:type="pct"/>
            <w:shd w:val="clear" w:color="auto" w:fill="auto"/>
            <w:tcMar>
              <w:top w:w="0" w:type="dxa"/>
              <w:left w:w="108" w:type="dxa"/>
              <w:bottom w:w="0" w:type="dxa"/>
              <w:right w:w="108" w:type="dxa"/>
            </w:tcMar>
            <w:vAlign w:val="center"/>
          </w:tcPr>
          <w:p w14:paraId="1217B91E"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573" w:type="pct"/>
            <w:shd w:val="clear" w:color="auto" w:fill="auto"/>
            <w:tcMar>
              <w:top w:w="0" w:type="dxa"/>
              <w:left w:w="108" w:type="dxa"/>
              <w:bottom w:w="0" w:type="dxa"/>
              <w:right w:w="108" w:type="dxa"/>
            </w:tcMar>
            <w:vAlign w:val="center"/>
          </w:tcPr>
          <w:p w14:paraId="33256833"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1027" w:type="pct"/>
            <w:shd w:val="clear" w:color="auto" w:fill="auto"/>
            <w:tcMar>
              <w:top w:w="0" w:type="dxa"/>
              <w:left w:w="108" w:type="dxa"/>
              <w:bottom w:w="0" w:type="dxa"/>
              <w:right w:w="108" w:type="dxa"/>
            </w:tcMar>
            <w:vAlign w:val="center"/>
          </w:tcPr>
          <w:p w14:paraId="3D1B3E20"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781" w:type="pct"/>
            <w:shd w:val="clear" w:color="auto" w:fill="auto"/>
            <w:tcMar>
              <w:top w:w="0" w:type="dxa"/>
              <w:left w:w="108" w:type="dxa"/>
              <w:bottom w:w="0" w:type="dxa"/>
              <w:right w:w="108" w:type="dxa"/>
            </w:tcMar>
            <w:vAlign w:val="center"/>
          </w:tcPr>
          <w:p w14:paraId="592B240B"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r>
      <w:tr w:rsidR="006416B0" w:rsidRPr="00B4515A" w14:paraId="725E22B7" w14:textId="77777777" w:rsidTr="006100BC">
        <w:trPr>
          <w:trHeight w:val="340"/>
          <w:jc w:val="center"/>
        </w:trPr>
        <w:tc>
          <w:tcPr>
            <w:tcW w:w="668" w:type="pct"/>
            <w:shd w:val="clear" w:color="auto" w:fill="auto"/>
            <w:tcMar>
              <w:top w:w="0" w:type="dxa"/>
              <w:left w:w="108" w:type="dxa"/>
              <w:bottom w:w="0" w:type="dxa"/>
              <w:right w:w="108" w:type="dxa"/>
            </w:tcMar>
            <w:vAlign w:val="center"/>
          </w:tcPr>
          <w:p w14:paraId="535E9522"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短期借款</w:t>
            </w:r>
          </w:p>
        </w:tc>
        <w:tc>
          <w:tcPr>
            <w:tcW w:w="689" w:type="pct"/>
            <w:shd w:val="clear" w:color="auto" w:fill="auto"/>
            <w:tcMar>
              <w:top w:w="0" w:type="dxa"/>
              <w:left w:w="108" w:type="dxa"/>
              <w:bottom w:w="0" w:type="dxa"/>
              <w:right w:w="108" w:type="dxa"/>
            </w:tcMar>
            <w:vAlign w:val="center"/>
          </w:tcPr>
          <w:p w14:paraId="6E8C08D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66,797.23</w:t>
            </w:r>
          </w:p>
        </w:tc>
        <w:tc>
          <w:tcPr>
            <w:tcW w:w="573" w:type="pct"/>
            <w:shd w:val="clear" w:color="auto" w:fill="auto"/>
            <w:tcMar>
              <w:top w:w="0" w:type="dxa"/>
              <w:left w:w="108" w:type="dxa"/>
              <w:bottom w:w="0" w:type="dxa"/>
              <w:right w:w="108" w:type="dxa"/>
            </w:tcMar>
            <w:vAlign w:val="center"/>
          </w:tcPr>
          <w:p w14:paraId="0D3C625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18.25%</w:t>
            </w:r>
          </w:p>
        </w:tc>
        <w:tc>
          <w:tcPr>
            <w:tcW w:w="689" w:type="pct"/>
            <w:shd w:val="clear" w:color="auto" w:fill="auto"/>
            <w:tcMar>
              <w:top w:w="0" w:type="dxa"/>
              <w:left w:w="108" w:type="dxa"/>
              <w:bottom w:w="0" w:type="dxa"/>
              <w:right w:w="108" w:type="dxa"/>
            </w:tcMar>
            <w:vAlign w:val="center"/>
          </w:tcPr>
          <w:p w14:paraId="6094B66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82,750.46</w:t>
            </w:r>
          </w:p>
        </w:tc>
        <w:tc>
          <w:tcPr>
            <w:tcW w:w="573" w:type="pct"/>
            <w:shd w:val="clear" w:color="auto" w:fill="auto"/>
            <w:tcMar>
              <w:top w:w="0" w:type="dxa"/>
              <w:left w:w="108" w:type="dxa"/>
              <w:bottom w:w="0" w:type="dxa"/>
              <w:right w:w="108" w:type="dxa"/>
            </w:tcMar>
            <w:vAlign w:val="center"/>
          </w:tcPr>
          <w:p w14:paraId="4427A79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19.42%</w:t>
            </w:r>
          </w:p>
        </w:tc>
        <w:tc>
          <w:tcPr>
            <w:tcW w:w="1027" w:type="pct"/>
            <w:shd w:val="clear" w:color="auto" w:fill="auto"/>
            <w:tcMar>
              <w:top w:w="0" w:type="dxa"/>
              <w:left w:w="108" w:type="dxa"/>
              <w:bottom w:w="0" w:type="dxa"/>
              <w:right w:w="108" w:type="dxa"/>
            </w:tcMar>
            <w:vAlign w:val="center"/>
          </w:tcPr>
          <w:p w14:paraId="405497C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15,953.22 </w:t>
            </w:r>
          </w:p>
        </w:tc>
        <w:tc>
          <w:tcPr>
            <w:tcW w:w="781" w:type="pct"/>
            <w:shd w:val="clear" w:color="auto" w:fill="auto"/>
            <w:tcMar>
              <w:top w:w="0" w:type="dxa"/>
              <w:left w:w="108" w:type="dxa"/>
              <w:bottom w:w="0" w:type="dxa"/>
              <w:right w:w="108" w:type="dxa"/>
            </w:tcMar>
            <w:vAlign w:val="center"/>
          </w:tcPr>
          <w:p w14:paraId="084FA44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23.88%</w:t>
            </w:r>
          </w:p>
        </w:tc>
      </w:tr>
      <w:tr w:rsidR="006416B0" w:rsidRPr="00B4515A" w14:paraId="224F9565" w14:textId="77777777" w:rsidTr="006100BC">
        <w:trPr>
          <w:trHeight w:val="340"/>
          <w:jc w:val="center"/>
        </w:trPr>
        <w:tc>
          <w:tcPr>
            <w:tcW w:w="668" w:type="pct"/>
            <w:shd w:val="clear" w:color="auto" w:fill="auto"/>
            <w:tcMar>
              <w:top w:w="0" w:type="dxa"/>
              <w:left w:w="108" w:type="dxa"/>
              <w:bottom w:w="0" w:type="dxa"/>
              <w:right w:w="108" w:type="dxa"/>
            </w:tcMar>
            <w:vAlign w:val="center"/>
          </w:tcPr>
          <w:p w14:paraId="2066A80A"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应付票据</w:t>
            </w:r>
          </w:p>
        </w:tc>
        <w:tc>
          <w:tcPr>
            <w:tcW w:w="689" w:type="pct"/>
            <w:shd w:val="clear" w:color="auto" w:fill="auto"/>
            <w:tcMar>
              <w:top w:w="0" w:type="dxa"/>
              <w:left w:w="108" w:type="dxa"/>
              <w:bottom w:w="0" w:type="dxa"/>
              <w:right w:w="108" w:type="dxa"/>
            </w:tcMar>
            <w:vAlign w:val="center"/>
          </w:tcPr>
          <w:p w14:paraId="1D494E4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1,972.11</w:t>
            </w:r>
          </w:p>
        </w:tc>
        <w:tc>
          <w:tcPr>
            <w:tcW w:w="573" w:type="pct"/>
            <w:shd w:val="clear" w:color="auto" w:fill="auto"/>
            <w:tcMar>
              <w:top w:w="0" w:type="dxa"/>
              <w:left w:w="108" w:type="dxa"/>
              <w:bottom w:w="0" w:type="dxa"/>
              <w:right w:w="108" w:type="dxa"/>
            </w:tcMar>
            <w:vAlign w:val="center"/>
          </w:tcPr>
          <w:p w14:paraId="204D51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0.54%</w:t>
            </w:r>
          </w:p>
        </w:tc>
        <w:tc>
          <w:tcPr>
            <w:tcW w:w="689" w:type="pct"/>
            <w:shd w:val="clear" w:color="auto" w:fill="auto"/>
            <w:tcMar>
              <w:top w:w="0" w:type="dxa"/>
              <w:left w:w="108" w:type="dxa"/>
              <w:bottom w:w="0" w:type="dxa"/>
              <w:right w:w="108" w:type="dxa"/>
            </w:tcMar>
            <w:vAlign w:val="center"/>
          </w:tcPr>
          <w:p w14:paraId="514585D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1,972.11</w:t>
            </w:r>
          </w:p>
        </w:tc>
        <w:tc>
          <w:tcPr>
            <w:tcW w:w="573" w:type="pct"/>
            <w:shd w:val="clear" w:color="auto" w:fill="auto"/>
            <w:tcMar>
              <w:top w:w="0" w:type="dxa"/>
              <w:left w:w="108" w:type="dxa"/>
              <w:bottom w:w="0" w:type="dxa"/>
              <w:right w:w="108" w:type="dxa"/>
            </w:tcMar>
            <w:vAlign w:val="center"/>
          </w:tcPr>
          <w:p w14:paraId="732D770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0.46%</w:t>
            </w:r>
          </w:p>
        </w:tc>
        <w:tc>
          <w:tcPr>
            <w:tcW w:w="1027" w:type="pct"/>
            <w:shd w:val="clear" w:color="auto" w:fill="auto"/>
            <w:tcMar>
              <w:top w:w="0" w:type="dxa"/>
              <w:left w:w="108" w:type="dxa"/>
              <w:bottom w:w="0" w:type="dxa"/>
              <w:right w:w="108" w:type="dxa"/>
            </w:tcMar>
            <w:vAlign w:val="center"/>
          </w:tcPr>
          <w:p w14:paraId="323D330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w:t>
            </w:r>
            <w:r w:rsidRPr="00B4515A">
              <w:rPr>
                <w:rFonts w:ascii="Times New Roman" w:eastAsiaTheme="minorEastAsia" w:hAnsi="Times New Roman" w:cs="Times New Roman"/>
                <w:color w:val="000000"/>
                <w:sz w:val="21"/>
                <w:szCs w:val="21"/>
              </w:rPr>
              <w:lastRenderedPageBreak/>
              <w:t xml:space="preserve">-   </w:t>
            </w:r>
          </w:p>
        </w:tc>
        <w:tc>
          <w:tcPr>
            <w:tcW w:w="781" w:type="pct"/>
            <w:shd w:val="clear" w:color="auto" w:fill="auto"/>
            <w:tcMar>
              <w:top w:w="0" w:type="dxa"/>
              <w:left w:w="108" w:type="dxa"/>
              <w:bottom w:w="0" w:type="dxa"/>
              <w:right w:w="108" w:type="dxa"/>
            </w:tcMar>
            <w:vAlign w:val="center"/>
          </w:tcPr>
          <w:p w14:paraId="70DB260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lastRenderedPageBreak/>
              <w:t xml:space="preserve">          </w:t>
            </w:r>
            <w:r w:rsidRPr="00B4515A">
              <w:rPr>
                <w:rFonts w:ascii="Times New Roman" w:eastAsiaTheme="minorEastAsia" w:hAnsi="Times New Roman" w:cs="Times New Roman"/>
                <w:color w:val="000000"/>
                <w:sz w:val="21"/>
                <w:szCs w:val="21"/>
              </w:rPr>
              <w:lastRenderedPageBreak/>
              <w:t xml:space="preserve">-   </w:t>
            </w:r>
          </w:p>
        </w:tc>
      </w:tr>
      <w:tr w:rsidR="006416B0" w:rsidRPr="00B4515A" w14:paraId="67BD3272" w14:textId="77777777" w:rsidTr="006100BC">
        <w:trPr>
          <w:trHeight w:val="340"/>
          <w:jc w:val="center"/>
        </w:trPr>
        <w:tc>
          <w:tcPr>
            <w:tcW w:w="668" w:type="pct"/>
            <w:shd w:val="clear" w:color="auto" w:fill="auto"/>
            <w:tcMar>
              <w:top w:w="0" w:type="dxa"/>
              <w:left w:w="108" w:type="dxa"/>
              <w:bottom w:w="0" w:type="dxa"/>
              <w:right w:w="108" w:type="dxa"/>
            </w:tcMar>
            <w:vAlign w:val="center"/>
          </w:tcPr>
          <w:p w14:paraId="6223010E"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lastRenderedPageBreak/>
              <w:t>应付账款</w:t>
            </w:r>
          </w:p>
        </w:tc>
        <w:tc>
          <w:tcPr>
            <w:tcW w:w="689" w:type="pct"/>
            <w:shd w:val="clear" w:color="auto" w:fill="auto"/>
            <w:tcMar>
              <w:top w:w="0" w:type="dxa"/>
              <w:left w:w="108" w:type="dxa"/>
              <w:bottom w:w="0" w:type="dxa"/>
              <w:right w:w="108" w:type="dxa"/>
            </w:tcMar>
            <w:vAlign w:val="center"/>
          </w:tcPr>
          <w:p w14:paraId="73EC6D3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59,327.15</w:t>
            </w:r>
          </w:p>
        </w:tc>
        <w:tc>
          <w:tcPr>
            <w:tcW w:w="573" w:type="pct"/>
            <w:shd w:val="clear" w:color="auto" w:fill="auto"/>
            <w:tcMar>
              <w:top w:w="0" w:type="dxa"/>
              <w:left w:w="108" w:type="dxa"/>
              <w:bottom w:w="0" w:type="dxa"/>
              <w:right w:w="108" w:type="dxa"/>
            </w:tcMar>
            <w:vAlign w:val="center"/>
          </w:tcPr>
          <w:p w14:paraId="5026F63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16.21%</w:t>
            </w:r>
          </w:p>
        </w:tc>
        <w:tc>
          <w:tcPr>
            <w:tcW w:w="689" w:type="pct"/>
            <w:shd w:val="clear" w:color="auto" w:fill="auto"/>
            <w:tcMar>
              <w:top w:w="0" w:type="dxa"/>
              <w:left w:w="108" w:type="dxa"/>
              <w:bottom w:w="0" w:type="dxa"/>
              <w:right w:w="108" w:type="dxa"/>
            </w:tcMar>
            <w:vAlign w:val="center"/>
          </w:tcPr>
          <w:p w14:paraId="01C002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93,350.27</w:t>
            </w:r>
          </w:p>
        </w:tc>
        <w:tc>
          <w:tcPr>
            <w:tcW w:w="573" w:type="pct"/>
            <w:shd w:val="clear" w:color="auto" w:fill="auto"/>
            <w:tcMar>
              <w:top w:w="0" w:type="dxa"/>
              <w:left w:w="108" w:type="dxa"/>
              <w:bottom w:w="0" w:type="dxa"/>
              <w:right w:w="108" w:type="dxa"/>
            </w:tcMar>
            <w:vAlign w:val="center"/>
          </w:tcPr>
          <w:p w14:paraId="3E24526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21.91%</w:t>
            </w:r>
          </w:p>
        </w:tc>
        <w:tc>
          <w:tcPr>
            <w:tcW w:w="1027" w:type="pct"/>
            <w:shd w:val="clear" w:color="auto" w:fill="auto"/>
            <w:tcMar>
              <w:top w:w="0" w:type="dxa"/>
              <w:left w:w="108" w:type="dxa"/>
              <w:bottom w:w="0" w:type="dxa"/>
              <w:right w:w="108" w:type="dxa"/>
            </w:tcMar>
            <w:vAlign w:val="center"/>
          </w:tcPr>
          <w:p w14:paraId="1279455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34,023.13 </w:t>
            </w:r>
          </w:p>
        </w:tc>
        <w:tc>
          <w:tcPr>
            <w:tcW w:w="781" w:type="pct"/>
            <w:shd w:val="clear" w:color="auto" w:fill="auto"/>
            <w:tcMar>
              <w:top w:w="0" w:type="dxa"/>
              <w:left w:w="108" w:type="dxa"/>
              <w:bottom w:w="0" w:type="dxa"/>
              <w:right w:w="108" w:type="dxa"/>
            </w:tcMar>
            <w:vAlign w:val="center"/>
          </w:tcPr>
          <w:p w14:paraId="5166970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57.35%</w:t>
            </w:r>
          </w:p>
        </w:tc>
      </w:tr>
      <w:tr w:rsidR="006416B0" w:rsidRPr="00B4515A" w14:paraId="23939FFC" w14:textId="77777777" w:rsidTr="006100BC">
        <w:trPr>
          <w:trHeight w:val="340"/>
          <w:jc w:val="center"/>
        </w:trPr>
        <w:tc>
          <w:tcPr>
            <w:tcW w:w="668" w:type="pct"/>
            <w:shd w:val="clear" w:color="auto" w:fill="auto"/>
            <w:tcMar>
              <w:top w:w="0" w:type="dxa"/>
              <w:left w:w="108" w:type="dxa"/>
              <w:bottom w:w="0" w:type="dxa"/>
              <w:right w:w="108" w:type="dxa"/>
            </w:tcMar>
            <w:vAlign w:val="center"/>
          </w:tcPr>
          <w:p w14:paraId="60453B1E"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合同负债</w:t>
            </w:r>
          </w:p>
        </w:tc>
        <w:tc>
          <w:tcPr>
            <w:tcW w:w="689" w:type="pct"/>
            <w:shd w:val="clear" w:color="auto" w:fill="auto"/>
            <w:tcMar>
              <w:top w:w="0" w:type="dxa"/>
              <w:left w:w="108" w:type="dxa"/>
              <w:bottom w:w="0" w:type="dxa"/>
              <w:right w:w="108" w:type="dxa"/>
            </w:tcMar>
            <w:vAlign w:val="center"/>
          </w:tcPr>
          <w:p w14:paraId="5AF9E9D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13,444.53</w:t>
            </w:r>
          </w:p>
        </w:tc>
        <w:tc>
          <w:tcPr>
            <w:tcW w:w="573" w:type="pct"/>
            <w:shd w:val="clear" w:color="auto" w:fill="auto"/>
            <w:tcMar>
              <w:top w:w="0" w:type="dxa"/>
              <w:left w:w="108" w:type="dxa"/>
              <w:bottom w:w="0" w:type="dxa"/>
              <w:right w:w="108" w:type="dxa"/>
            </w:tcMar>
            <w:vAlign w:val="center"/>
          </w:tcPr>
          <w:p w14:paraId="408C547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3.67%</w:t>
            </w:r>
          </w:p>
        </w:tc>
        <w:tc>
          <w:tcPr>
            <w:tcW w:w="689" w:type="pct"/>
            <w:shd w:val="clear" w:color="auto" w:fill="auto"/>
            <w:tcMar>
              <w:top w:w="0" w:type="dxa"/>
              <w:left w:w="108" w:type="dxa"/>
              <w:bottom w:w="0" w:type="dxa"/>
              <w:right w:w="108" w:type="dxa"/>
            </w:tcMar>
            <w:vAlign w:val="center"/>
          </w:tcPr>
          <w:p w14:paraId="62921D8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17,506.13</w:t>
            </w:r>
          </w:p>
        </w:tc>
        <w:tc>
          <w:tcPr>
            <w:tcW w:w="573" w:type="pct"/>
            <w:shd w:val="clear" w:color="auto" w:fill="auto"/>
            <w:tcMar>
              <w:top w:w="0" w:type="dxa"/>
              <w:left w:w="108" w:type="dxa"/>
              <w:bottom w:w="0" w:type="dxa"/>
              <w:right w:w="108" w:type="dxa"/>
            </w:tcMar>
            <w:vAlign w:val="center"/>
          </w:tcPr>
          <w:p w14:paraId="1A83568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4.11%</w:t>
            </w:r>
          </w:p>
        </w:tc>
        <w:tc>
          <w:tcPr>
            <w:tcW w:w="1027" w:type="pct"/>
            <w:shd w:val="clear" w:color="auto" w:fill="auto"/>
            <w:tcMar>
              <w:top w:w="0" w:type="dxa"/>
              <w:left w:w="108" w:type="dxa"/>
              <w:bottom w:w="0" w:type="dxa"/>
              <w:right w:w="108" w:type="dxa"/>
            </w:tcMar>
            <w:vAlign w:val="center"/>
          </w:tcPr>
          <w:p w14:paraId="3B9C33E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4,061.60 </w:t>
            </w:r>
          </w:p>
        </w:tc>
        <w:tc>
          <w:tcPr>
            <w:tcW w:w="781" w:type="pct"/>
            <w:shd w:val="clear" w:color="auto" w:fill="auto"/>
            <w:tcMar>
              <w:top w:w="0" w:type="dxa"/>
              <w:left w:w="108" w:type="dxa"/>
              <w:bottom w:w="0" w:type="dxa"/>
              <w:right w:w="108" w:type="dxa"/>
            </w:tcMar>
            <w:vAlign w:val="center"/>
          </w:tcPr>
          <w:p w14:paraId="727F956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30.21%</w:t>
            </w:r>
          </w:p>
        </w:tc>
      </w:tr>
      <w:tr w:rsidR="006416B0" w:rsidRPr="00B4515A" w14:paraId="6B566ADC" w14:textId="77777777" w:rsidTr="006100BC">
        <w:trPr>
          <w:trHeight w:val="340"/>
          <w:jc w:val="center"/>
        </w:trPr>
        <w:tc>
          <w:tcPr>
            <w:tcW w:w="668" w:type="pct"/>
            <w:shd w:val="clear" w:color="auto" w:fill="auto"/>
            <w:tcMar>
              <w:top w:w="0" w:type="dxa"/>
              <w:left w:w="108" w:type="dxa"/>
              <w:bottom w:w="0" w:type="dxa"/>
              <w:right w:w="108" w:type="dxa"/>
            </w:tcMar>
            <w:vAlign w:val="center"/>
          </w:tcPr>
          <w:p w14:paraId="716D3AEB"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应付职工薪酬</w:t>
            </w:r>
          </w:p>
        </w:tc>
        <w:tc>
          <w:tcPr>
            <w:tcW w:w="689" w:type="pct"/>
            <w:shd w:val="clear" w:color="auto" w:fill="auto"/>
            <w:tcMar>
              <w:top w:w="0" w:type="dxa"/>
              <w:left w:w="108" w:type="dxa"/>
              <w:bottom w:w="0" w:type="dxa"/>
              <w:right w:w="108" w:type="dxa"/>
            </w:tcMar>
            <w:vAlign w:val="center"/>
          </w:tcPr>
          <w:p w14:paraId="067A484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6,419.53</w:t>
            </w:r>
          </w:p>
        </w:tc>
        <w:tc>
          <w:tcPr>
            <w:tcW w:w="573" w:type="pct"/>
            <w:shd w:val="clear" w:color="auto" w:fill="auto"/>
            <w:tcMar>
              <w:top w:w="0" w:type="dxa"/>
              <w:left w:w="108" w:type="dxa"/>
              <w:bottom w:w="0" w:type="dxa"/>
              <w:right w:w="108" w:type="dxa"/>
            </w:tcMar>
            <w:vAlign w:val="center"/>
          </w:tcPr>
          <w:p w14:paraId="1C34806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1.75%</w:t>
            </w:r>
          </w:p>
        </w:tc>
        <w:tc>
          <w:tcPr>
            <w:tcW w:w="689" w:type="pct"/>
            <w:shd w:val="clear" w:color="auto" w:fill="auto"/>
            <w:tcMar>
              <w:top w:w="0" w:type="dxa"/>
              <w:left w:w="108" w:type="dxa"/>
              <w:bottom w:w="0" w:type="dxa"/>
              <w:right w:w="108" w:type="dxa"/>
            </w:tcMar>
            <w:vAlign w:val="center"/>
          </w:tcPr>
          <w:p w14:paraId="252F8FE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10,645.86</w:t>
            </w:r>
          </w:p>
        </w:tc>
        <w:tc>
          <w:tcPr>
            <w:tcW w:w="573" w:type="pct"/>
            <w:shd w:val="clear" w:color="auto" w:fill="auto"/>
            <w:tcMar>
              <w:top w:w="0" w:type="dxa"/>
              <w:left w:w="108" w:type="dxa"/>
              <w:bottom w:w="0" w:type="dxa"/>
              <w:right w:w="108" w:type="dxa"/>
            </w:tcMar>
            <w:vAlign w:val="center"/>
          </w:tcPr>
          <w:p w14:paraId="2CB003C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2.50%</w:t>
            </w:r>
          </w:p>
        </w:tc>
        <w:tc>
          <w:tcPr>
            <w:tcW w:w="1027" w:type="pct"/>
            <w:shd w:val="clear" w:color="auto" w:fill="auto"/>
            <w:tcMar>
              <w:top w:w="0" w:type="dxa"/>
              <w:left w:w="108" w:type="dxa"/>
              <w:bottom w:w="0" w:type="dxa"/>
              <w:right w:w="108" w:type="dxa"/>
            </w:tcMar>
            <w:vAlign w:val="center"/>
          </w:tcPr>
          <w:p w14:paraId="778ED7D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4,226.33 </w:t>
            </w:r>
          </w:p>
        </w:tc>
        <w:tc>
          <w:tcPr>
            <w:tcW w:w="781" w:type="pct"/>
            <w:shd w:val="clear" w:color="auto" w:fill="auto"/>
            <w:tcMar>
              <w:top w:w="0" w:type="dxa"/>
              <w:left w:w="108" w:type="dxa"/>
              <w:bottom w:w="0" w:type="dxa"/>
              <w:right w:w="108" w:type="dxa"/>
            </w:tcMar>
            <w:vAlign w:val="center"/>
          </w:tcPr>
          <w:p w14:paraId="3DFB436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65.84%</w:t>
            </w:r>
          </w:p>
        </w:tc>
      </w:tr>
      <w:tr w:rsidR="006416B0" w:rsidRPr="00B4515A" w14:paraId="5A09C97F" w14:textId="77777777" w:rsidTr="006100BC">
        <w:trPr>
          <w:trHeight w:val="340"/>
          <w:jc w:val="center"/>
        </w:trPr>
        <w:tc>
          <w:tcPr>
            <w:tcW w:w="668" w:type="pct"/>
            <w:shd w:val="clear" w:color="auto" w:fill="auto"/>
            <w:tcMar>
              <w:top w:w="0" w:type="dxa"/>
              <w:left w:w="108" w:type="dxa"/>
              <w:bottom w:w="0" w:type="dxa"/>
              <w:right w:w="108" w:type="dxa"/>
            </w:tcMar>
            <w:vAlign w:val="center"/>
          </w:tcPr>
          <w:p w14:paraId="6D4E77F3"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应交税费</w:t>
            </w:r>
          </w:p>
        </w:tc>
        <w:tc>
          <w:tcPr>
            <w:tcW w:w="689" w:type="pct"/>
            <w:shd w:val="clear" w:color="auto" w:fill="auto"/>
            <w:tcMar>
              <w:top w:w="0" w:type="dxa"/>
              <w:left w:w="108" w:type="dxa"/>
              <w:bottom w:w="0" w:type="dxa"/>
              <w:right w:w="108" w:type="dxa"/>
            </w:tcMar>
            <w:vAlign w:val="center"/>
          </w:tcPr>
          <w:p w14:paraId="765C933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1,226.60</w:t>
            </w:r>
          </w:p>
        </w:tc>
        <w:tc>
          <w:tcPr>
            <w:tcW w:w="573" w:type="pct"/>
            <w:shd w:val="clear" w:color="auto" w:fill="auto"/>
            <w:tcMar>
              <w:top w:w="0" w:type="dxa"/>
              <w:left w:w="108" w:type="dxa"/>
              <w:bottom w:w="0" w:type="dxa"/>
              <w:right w:w="108" w:type="dxa"/>
            </w:tcMar>
            <w:vAlign w:val="center"/>
          </w:tcPr>
          <w:p w14:paraId="5887D0F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0.34%</w:t>
            </w:r>
          </w:p>
        </w:tc>
        <w:tc>
          <w:tcPr>
            <w:tcW w:w="689" w:type="pct"/>
            <w:shd w:val="clear" w:color="auto" w:fill="auto"/>
            <w:tcMar>
              <w:top w:w="0" w:type="dxa"/>
              <w:left w:w="108" w:type="dxa"/>
              <w:bottom w:w="0" w:type="dxa"/>
              <w:right w:w="108" w:type="dxa"/>
            </w:tcMar>
            <w:vAlign w:val="center"/>
          </w:tcPr>
          <w:p w14:paraId="6D693C1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2,295.90</w:t>
            </w:r>
          </w:p>
        </w:tc>
        <w:tc>
          <w:tcPr>
            <w:tcW w:w="573" w:type="pct"/>
            <w:shd w:val="clear" w:color="auto" w:fill="auto"/>
            <w:tcMar>
              <w:top w:w="0" w:type="dxa"/>
              <w:left w:w="108" w:type="dxa"/>
              <w:bottom w:w="0" w:type="dxa"/>
              <w:right w:w="108" w:type="dxa"/>
            </w:tcMar>
            <w:vAlign w:val="center"/>
          </w:tcPr>
          <w:p w14:paraId="7932674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0.54%</w:t>
            </w:r>
          </w:p>
        </w:tc>
        <w:tc>
          <w:tcPr>
            <w:tcW w:w="1027" w:type="pct"/>
            <w:shd w:val="clear" w:color="auto" w:fill="auto"/>
            <w:tcMar>
              <w:top w:w="0" w:type="dxa"/>
              <w:left w:w="108" w:type="dxa"/>
              <w:bottom w:w="0" w:type="dxa"/>
              <w:right w:w="108" w:type="dxa"/>
            </w:tcMar>
            <w:vAlign w:val="center"/>
          </w:tcPr>
          <w:p w14:paraId="1DB1595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1,069.29 </w:t>
            </w:r>
          </w:p>
        </w:tc>
        <w:tc>
          <w:tcPr>
            <w:tcW w:w="781" w:type="pct"/>
            <w:shd w:val="clear" w:color="auto" w:fill="auto"/>
            <w:tcMar>
              <w:top w:w="0" w:type="dxa"/>
              <w:left w:w="108" w:type="dxa"/>
              <w:bottom w:w="0" w:type="dxa"/>
              <w:right w:w="108" w:type="dxa"/>
            </w:tcMar>
            <w:vAlign w:val="center"/>
          </w:tcPr>
          <w:p w14:paraId="37BC9E1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87.18%</w:t>
            </w:r>
          </w:p>
        </w:tc>
      </w:tr>
      <w:tr w:rsidR="006416B0" w:rsidRPr="00B4515A" w14:paraId="56BB30FE" w14:textId="77777777" w:rsidTr="006100BC">
        <w:trPr>
          <w:trHeight w:val="340"/>
          <w:jc w:val="center"/>
        </w:trPr>
        <w:tc>
          <w:tcPr>
            <w:tcW w:w="668" w:type="pct"/>
            <w:shd w:val="clear" w:color="auto" w:fill="auto"/>
            <w:tcMar>
              <w:top w:w="0" w:type="dxa"/>
              <w:left w:w="108" w:type="dxa"/>
              <w:bottom w:w="0" w:type="dxa"/>
              <w:right w:w="108" w:type="dxa"/>
            </w:tcMar>
            <w:vAlign w:val="center"/>
          </w:tcPr>
          <w:p w14:paraId="4483F19E"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其他应付款</w:t>
            </w:r>
          </w:p>
        </w:tc>
        <w:tc>
          <w:tcPr>
            <w:tcW w:w="689" w:type="pct"/>
            <w:shd w:val="clear" w:color="auto" w:fill="auto"/>
            <w:tcMar>
              <w:top w:w="0" w:type="dxa"/>
              <w:left w:w="108" w:type="dxa"/>
              <w:bottom w:w="0" w:type="dxa"/>
              <w:right w:w="108" w:type="dxa"/>
            </w:tcMar>
            <w:vAlign w:val="center"/>
          </w:tcPr>
          <w:p w14:paraId="14D9042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113,642.29</w:t>
            </w:r>
          </w:p>
        </w:tc>
        <w:tc>
          <w:tcPr>
            <w:tcW w:w="573" w:type="pct"/>
            <w:shd w:val="clear" w:color="auto" w:fill="auto"/>
            <w:tcMar>
              <w:top w:w="0" w:type="dxa"/>
              <w:left w:w="108" w:type="dxa"/>
              <w:bottom w:w="0" w:type="dxa"/>
              <w:right w:w="108" w:type="dxa"/>
            </w:tcMar>
            <w:vAlign w:val="center"/>
          </w:tcPr>
          <w:p w14:paraId="648035A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31.05%</w:t>
            </w:r>
          </w:p>
        </w:tc>
        <w:tc>
          <w:tcPr>
            <w:tcW w:w="689" w:type="pct"/>
            <w:shd w:val="clear" w:color="auto" w:fill="auto"/>
            <w:tcMar>
              <w:top w:w="0" w:type="dxa"/>
              <w:left w:w="108" w:type="dxa"/>
              <w:bottom w:w="0" w:type="dxa"/>
              <w:right w:w="108" w:type="dxa"/>
            </w:tcMar>
            <w:vAlign w:val="center"/>
          </w:tcPr>
          <w:p w14:paraId="25968B4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113,818.18</w:t>
            </w:r>
          </w:p>
        </w:tc>
        <w:tc>
          <w:tcPr>
            <w:tcW w:w="573" w:type="pct"/>
            <w:shd w:val="clear" w:color="auto" w:fill="auto"/>
            <w:tcMar>
              <w:top w:w="0" w:type="dxa"/>
              <w:left w:w="108" w:type="dxa"/>
              <w:bottom w:w="0" w:type="dxa"/>
              <w:right w:w="108" w:type="dxa"/>
            </w:tcMar>
            <w:vAlign w:val="center"/>
          </w:tcPr>
          <w:p w14:paraId="1B69ED3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26.72%</w:t>
            </w:r>
          </w:p>
        </w:tc>
        <w:tc>
          <w:tcPr>
            <w:tcW w:w="1027" w:type="pct"/>
            <w:shd w:val="clear" w:color="auto" w:fill="auto"/>
            <w:tcMar>
              <w:top w:w="0" w:type="dxa"/>
              <w:left w:w="108" w:type="dxa"/>
              <w:bottom w:w="0" w:type="dxa"/>
              <w:right w:w="108" w:type="dxa"/>
            </w:tcMar>
            <w:vAlign w:val="center"/>
          </w:tcPr>
          <w:p w14:paraId="49BD7F2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175.88 </w:t>
            </w:r>
          </w:p>
        </w:tc>
        <w:tc>
          <w:tcPr>
            <w:tcW w:w="781" w:type="pct"/>
            <w:shd w:val="clear" w:color="auto" w:fill="auto"/>
            <w:tcMar>
              <w:top w:w="0" w:type="dxa"/>
              <w:left w:w="108" w:type="dxa"/>
              <w:bottom w:w="0" w:type="dxa"/>
              <w:right w:w="108" w:type="dxa"/>
            </w:tcMar>
            <w:vAlign w:val="center"/>
          </w:tcPr>
          <w:p w14:paraId="05C44C9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0.15%</w:t>
            </w:r>
          </w:p>
        </w:tc>
      </w:tr>
      <w:tr w:rsidR="006416B0" w:rsidRPr="00B4515A" w14:paraId="2E1B4D69" w14:textId="77777777" w:rsidTr="006100BC">
        <w:trPr>
          <w:trHeight w:val="340"/>
          <w:jc w:val="center"/>
        </w:trPr>
        <w:tc>
          <w:tcPr>
            <w:tcW w:w="668" w:type="pct"/>
            <w:shd w:val="clear" w:color="auto" w:fill="auto"/>
            <w:tcMar>
              <w:top w:w="0" w:type="dxa"/>
              <w:left w:w="108" w:type="dxa"/>
              <w:bottom w:w="0" w:type="dxa"/>
              <w:right w:w="108" w:type="dxa"/>
            </w:tcMar>
            <w:vAlign w:val="center"/>
          </w:tcPr>
          <w:p w14:paraId="66536EF1"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一年内到期的非流动负债</w:t>
            </w:r>
          </w:p>
        </w:tc>
        <w:tc>
          <w:tcPr>
            <w:tcW w:w="689" w:type="pct"/>
            <w:shd w:val="clear" w:color="auto" w:fill="auto"/>
            <w:tcMar>
              <w:top w:w="0" w:type="dxa"/>
              <w:left w:w="108" w:type="dxa"/>
              <w:bottom w:w="0" w:type="dxa"/>
              <w:right w:w="108" w:type="dxa"/>
            </w:tcMar>
            <w:vAlign w:val="center"/>
          </w:tcPr>
          <w:p w14:paraId="29D3F84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34,263.42</w:t>
            </w:r>
          </w:p>
        </w:tc>
        <w:tc>
          <w:tcPr>
            <w:tcW w:w="573" w:type="pct"/>
            <w:shd w:val="clear" w:color="auto" w:fill="auto"/>
            <w:tcMar>
              <w:top w:w="0" w:type="dxa"/>
              <w:left w:w="108" w:type="dxa"/>
              <w:bottom w:w="0" w:type="dxa"/>
              <w:right w:w="108" w:type="dxa"/>
            </w:tcMar>
            <w:vAlign w:val="center"/>
          </w:tcPr>
          <w:p w14:paraId="43E7B43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9.36%</w:t>
            </w:r>
          </w:p>
        </w:tc>
        <w:tc>
          <w:tcPr>
            <w:tcW w:w="689" w:type="pct"/>
            <w:shd w:val="clear" w:color="auto" w:fill="auto"/>
            <w:tcMar>
              <w:top w:w="0" w:type="dxa"/>
              <w:left w:w="108" w:type="dxa"/>
              <w:bottom w:w="0" w:type="dxa"/>
              <w:right w:w="108" w:type="dxa"/>
            </w:tcMar>
            <w:vAlign w:val="center"/>
          </w:tcPr>
          <w:p w14:paraId="2AFABE8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34,263.42</w:t>
            </w:r>
          </w:p>
        </w:tc>
        <w:tc>
          <w:tcPr>
            <w:tcW w:w="573" w:type="pct"/>
            <w:shd w:val="clear" w:color="auto" w:fill="auto"/>
            <w:tcMar>
              <w:top w:w="0" w:type="dxa"/>
              <w:left w:w="108" w:type="dxa"/>
              <w:bottom w:w="0" w:type="dxa"/>
              <w:right w:w="108" w:type="dxa"/>
            </w:tcMar>
            <w:vAlign w:val="center"/>
          </w:tcPr>
          <w:p w14:paraId="706C6BF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8.04%</w:t>
            </w:r>
          </w:p>
        </w:tc>
        <w:tc>
          <w:tcPr>
            <w:tcW w:w="1027" w:type="pct"/>
            <w:shd w:val="clear" w:color="auto" w:fill="auto"/>
            <w:tcMar>
              <w:top w:w="0" w:type="dxa"/>
              <w:left w:w="108" w:type="dxa"/>
              <w:bottom w:w="0" w:type="dxa"/>
              <w:right w:w="108" w:type="dxa"/>
            </w:tcMar>
            <w:vAlign w:val="center"/>
          </w:tcPr>
          <w:p w14:paraId="0A7655D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781" w:type="pct"/>
            <w:shd w:val="clear" w:color="auto" w:fill="auto"/>
            <w:tcMar>
              <w:top w:w="0" w:type="dxa"/>
              <w:left w:w="108" w:type="dxa"/>
              <w:bottom w:w="0" w:type="dxa"/>
              <w:right w:w="108" w:type="dxa"/>
            </w:tcMar>
            <w:vAlign w:val="center"/>
          </w:tcPr>
          <w:p w14:paraId="78C8100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5DC7BEAA" w14:textId="77777777" w:rsidTr="006100BC">
        <w:trPr>
          <w:trHeight w:val="340"/>
          <w:jc w:val="center"/>
        </w:trPr>
        <w:tc>
          <w:tcPr>
            <w:tcW w:w="668" w:type="pct"/>
            <w:shd w:val="clear" w:color="auto" w:fill="auto"/>
            <w:tcMar>
              <w:top w:w="0" w:type="dxa"/>
              <w:left w:w="108" w:type="dxa"/>
              <w:bottom w:w="0" w:type="dxa"/>
              <w:right w:w="108" w:type="dxa"/>
            </w:tcMar>
            <w:vAlign w:val="center"/>
          </w:tcPr>
          <w:p w14:paraId="6875749B"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其他流动负债</w:t>
            </w:r>
          </w:p>
        </w:tc>
        <w:tc>
          <w:tcPr>
            <w:tcW w:w="689" w:type="pct"/>
            <w:shd w:val="clear" w:color="auto" w:fill="auto"/>
            <w:tcMar>
              <w:top w:w="0" w:type="dxa"/>
              <w:left w:w="108" w:type="dxa"/>
              <w:bottom w:w="0" w:type="dxa"/>
              <w:right w:w="108" w:type="dxa"/>
            </w:tcMar>
            <w:vAlign w:val="center"/>
          </w:tcPr>
          <w:p w14:paraId="7D0758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622.37</w:t>
            </w:r>
          </w:p>
        </w:tc>
        <w:tc>
          <w:tcPr>
            <w:tcW w:w="573" w:type="pct"/>
            <w:shd w:val="clear" w:color="auto" w:fill="auto"/>
            <w:tcMar>
              <w:top w:w="0" w:type="dxa"/>
              <w:left w:w="108" w:type="dxa"/>
              <w:bottom w:w="0" w:type="dxa"/>
              <w:right w:w="108" w:type="dxa"/>
            </w:tcMar>
            <w:vAlign w:val="center"/>
          </w:tcPr>
          <w:p w14:paraId="1DE4433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0.17%</w:t>
            </w:r>
          </w:p>
        </w:tc>
        <w:tc>
          <w:tcPr>
            <w:tcW w:w="689" w:type="pct"/>
            <w:shd w:val="clear" w:color="auto" w:fill="auto"/>
            <w:tcMar>
              <w:top w:w="0" w:type="dxa"/>
              <w:left w:w="108" w:type="dxa"/>
              <w:bottom w:w="0" w:type="dxa"/>
              <w:right w:w="108" w:type="dxa"/>
            </w:tcMar>
            <w:vAlign w:val="center"/>
          </w:tcPr>
          <w:p w14:paraId="58F39F3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1,152.15</w:t>
            </w:r>
          </w:p>
        </w:tc>
        <w:tc>
          <w:tcPr>
            <w:tcW w:w="573" w:type="pct"/>
            <w:shd w:val="clear" w:color="auto" w:fill="auto"/>
            <w:tcMar>
              <w:top w:w="0" w:type="dxa"/>
              <w:left w:w="108" w:type="dxa"/>
              <w:bottom w:w="0" w:type="dxa"/>
              <w:right w:w="108" w:type="dxa"/>
            </w:tcMar>
            <w:vAlign w:val="center"/>
          </w:tcPr>
          <w:p w14:paraId="15302C6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0.27%</w:t>
            </w:r>
          </w:p>
        </w:tc>
        <w:tc>
          <w:tcPr>
            <w:tcW w:w="1027" w:type="pct"/>
            <w:shd w:val="clear" w:color="auto" w:fill="auto"/>
            <w:tcMar>
              <w:top w:w="0" w:type="dxa"/>
              <w:left w:w="108" w:type="dxa"/>
              <w:bottom w:w="0" w:type="dxa"/>
              <w:right w:w="108" w:type="dxa"/>
            </w:tcMar>
            <w:vAlign w:val="center"/>
          </w:tcPr>
          <w:p w14:paraId="7424CF1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529.78 </w:t>
            </w:r>
          </w:p>
        </w:tc>
        <w:tc>
          <w:tcPr>
            <w:tcW w:w="781" w:type="pct"/>
            <w:shd w:val="clear" w:color="auto" w:fill="auto"/>
            <w:tcMar>
              <w:top w:w="0" w:type="dxa"/>
              <w:left w:w="108" w:type="dxa"/>
              <w:bottom w:w="0" w:type="dxa"/>
              <w:right w:w="108" w:type="dxa"/>
            </w:tcMar>
            <w:vAlign w:val="center"/>
          </w:tcPr>
          <w:p w14:paraId="432AD8B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85.12%</w:t>
            </w:r>
          </w:p>
        </w:tc>
      </w:tr>
      <w:tr w:rsidR="006416B0" w:rsidRPr="00B4515A" w14:paraId="2C3ADFCE" w14:textId="77777777" w:rsidTr="006100BC">
        <w:trPr>
          <w:trHeight w:val="340"/>
          <w:jc w:val="center"/>
        </w:trPr>
        <w:tc>
          <w:tcPr>
            <w:tcW w:w="668" w:type="pct"/>
            <w:shd w:val="clear" w:color="auto" w:fill="auto"/>
            <w:tcMar>
              <w:top w:w="0" w:type="dxa"/>
              <w:left w:w="108" w:type="dxa"/>
              <w:bottom w:w="0" w:type="dxa"/>
              <w:right w:w="108" w:type="dxa"/>
            </w:tcMar>
            <w:vAlign w:val="center"/>
          </w:tcPr>
          <w:p w14:paraId="52EA5AB8" w14:textId="77777777" w:rsidR="006416B0" w:rsidRPr="00B4515A" w:rsidRDefault="005E58C1" w:rsidP="005860B4">
            <w:pPr>
              <w:adjustRightInd w:val="0"/>
              <w:snapToGrid w:val="0"/>
              <w:jc w:val="both"/>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流动负债合计</w:t>
            </w:r>
          </w:p>
        </w:tc>
        <w:tc>
          <w:tcPr>
            <w:tcW w:w="689" w:type="pct"/>
            <w:shd w:val="clear" w:color="auto" w:fill="auto"/>
            <w:tcMar>
              <w:top w:w="0" w:type="dxa"/>
              <w:left w:w="108" w:type="dxa"/>
              <w:bottom w:w="0" w:type="dxa"/>
              <w:right w:w="108" w:type="dxa"/>
            </w:tcMar>
            <w:vAlign w:val="center"/>
          </w:tcPr>
          <w:p w14:paraId="03A7325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297,715.23</w:t>
            </w:r>
          </w:p>
        </w:tc>
        <w:tc>
          <w:tcPr>
            <w:tcW w:w="573" w:type="pct"/>
            <w:shd w:val="clear" w:color="auto" w:fill="auto"/>
            <w:tcMar>
              <w:top w:w="0" w:type="dxa"/>
              <w:left w:w="108" w:type="dxa"/>
              <w:bottom w:w="0" w:type="dxa"/>
              <w:right w:w="108" w:type="dxa"/>
            </w:tcMar>
            <w:vAlign w:val="center"/>
          </w:tcPr>
          <w:p w14:paraId="40420F5D"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81.35%</w:t>
            </w:r>
          </w:p>
        </w:tc>
        <w:tc>
          <w:tcPr>
            <w:tcW w:w="689" w:type="pct"/>
            <w:shd w:val="clear" w:color="auto" w:fill="auto"/>
            <w:tcMar>
              <w:top w:w="0" w:type="dxa"/>
              <w:left w:w="108" w:type="dxa"/>
              <w:bottom w:w="0" w:type="dxa"/>
              <w:right w:w="108" w:type="dxa"/>
            </w:tcMar>
            <w:vAlign w:val="center"/>
          </w:tcPr>
          <w:p w14:paraId="415436A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357,754.47</w:t>
            </w:r>
          </w:p>
        </w:tc>
        <w:tc>
          <w:tcPr>
            <w:tcW w:w="573" w:type="pct"/>
            <w:shd w:val="clear" w:color="auto" w:fill="auto"/>
            <w:tcMar>
              <w:top w:w="0" w:type="dxa"/>
              <w:left w:w="108" w:type="dxa"/>
              <w:bottom w:w="0" w:type="dxa"/>
              <w:right w:w="108" w:type="dxa"/>
            </w:tcMar>
            <w:vAlign w:val="center"/>
          </w:tcPr>
          <w:p w14:paraId="56C0A22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83.98%</w:t>
            </w:r>
          </w:p>
        </w:tc>
        <w:tc>
          <w:tcPr>
            <w:tcW w:w="1027" w:type="pct"/>
            <w:shd w:val="clear" w:color="auto" w:fill="auto"/>
            <w:tcMar>
              <w:top w:w="0" w:type="dxa"/>
              <w:left w:w="108" w:type="dxa"/>
              <w:bottom w:w="0" w:type="dxa"/>
              <w:right w:w="108" w:type="dxa"/>
            </w:tcMar>
            <w:vAlign w:val="center"/>
          </w:tcPr>
          <w:p w14:paraId="37192F3F"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60,039.24 </w:t>
            </w:r>
          </w:p>
        </w:tc>
        <w:tc>
          <w:tcPr>
            <w:tcW w:w="781" w:type="pct"/>
            <w:shd w:val="clear" w:color="auto" w:fill="auto"/>
            <w:tcMar>
              <w:top w:w="0" w:type="dxa"/>
              <w:left w:w="108" w:type="dxa"/>
              <w:bottom w:w="0" w:type="dxa"/>
              <w:right w:w="108" w:type="dxa"/>
            </w:tcMar>
            <w:vAlign w:val="center"/>
          </w:tcPr>
          <w:p w14:paraId="5C365A8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20.17%</w:t>
            </w:r>
          </w:p>
        </w:tc>
      </w:tr>
      <w:tr w:rsidR="006416B0" w:rsidRPr="00B4515A" w14:paraId="0F7003D7" w14:textId="77777777" w:rsidTr="006100BC">
        <w:trPr>
          <w:trHeight w:val="340"/>
          <w:jc w:val="center"/>
        </w:trPr>
        <w:tc>
          <w:tcPr>
            <w:tcW w:w="668" w:type="pct"/>
            <w:shd w:val="clear" w:color="auto" w:fill="auto"/>
            <w:tcMar>
              <w:top w:w="0" w:type="dxa"/>
              <w:left w:w="108" w:type="dxa"/>
              <w:bottom w:w="0" w:type="dxa"/>
              <w:right w:w="108" w:type="dxa"/>
            </w:tcMar>
            <w:vAlign w:val="center"/>
          </w:tcPr>
          <w:p w14:paraId="69A8AC9D"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非流动负债：</w:t>
            </w:r>
          </w:p>
        </w:tc>
        <w:tc>
          <w:tcPr>
            <w:tcW w:w="689" w:type="pct"/>
            <w:shd w:val="clear" w:color="auto" w:fill="auto"/>
            <w:tcMar>
              <w:top w:w="0" w:type="dxa"/>
              <w:left w:w="108" w:type="dxa"/>
              <w:bottom w:w="0" w:type="dxa"/>
              <w:right w:w="108" w:type="dxa"/>
            </w:tcMar>
            <w:vAlign w:val="center"/>
          </w:tcPr>
          <w:p w14:paraId="06F2E78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573" w:type="pct"/>
            <w:shd w:val="clear" w:color="auto" w:fill="auto"/>
            <w:tcMar>
              <w:top w:w="0" w:type="dxa"/>
              <w:left w:w="108" w:type="dxa"/>
              <w:bottom w:w="0" w:type="dxa"/>
              <w:right w:w="108" w:type="dxa"/>
            </w:tcMar>
            <w:vAlign w:val="center"/>
          </w:tcPr>
          <w:p w14:paraId="2FA87C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689" w:type="pct"/>
            <w:shd w:val="clear" w:color="auto" w:fill="auto"/>
            <w:tcMar>
              <w:top w:w="0" w:type="dxa"/>
              <w:left w:w="108" w:type="dxa"/>
              <w:bottom w:w="0" w:type="dxa"/>
              <w:right w:w="108" w:type="dxa"/>
            </w:tcMar>
            <w:vAlign w:val="center"/>
          </w:tcPr>
          <w:p w14:paraId="6DC4153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573" w:type="pct"/>
            <w:shd w:val="clear" w:color="auto" w:fill="auto"/>
            <w:tcMar>
              <w:top w:w="0" w:type="dxa"/>
              <w:left w:w="108" w:type="dxa"/>
              <w:bottom w:w="0" w:type="dxa"/>
              <w:right w:w="108" w:type="dxa"/>
            </w:tcMar>
            <w:vAlign w:val="center"/>
          </w:tcPr>
          <w:p w14:paraId="166F08C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0.00%</w:t>
            </w:r>
          </w:p>
        </w:tc>
        <w:tc>
          <w:tcPr>
            <w:tcW w:w="1027" w:type="pct"/>
            <w:shd w:val="clear" w:color="auto" w:fill="auto"/>
            <w:tcMar>
              <w:top w:w="0" w:type="dxa"/>
              <w:left w:w="108" w:type="dxa"/>
              <w:bottom w:w="0" w:type="dxa"/>
              <w:right w:w="108" w:type="dxa"/>
            </w:tcMar>
            <w:vAlign w:val="center"/>
          </w:tcPr>
          <w:p w14:paraId="3CB0381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c>
          <w:tcPr>
            <w:tcW w:w="781" w:type="pct"/>
            <w:shd w:val="clear" w:color="auto" w:fill="auto"/>
            <w:tcMar>
              <w:top w:w="0" w:type="dxa"/>
              <w:left w:w="108" w:type="dxa"/>
              <w:bottom w:w="0" w:type="dxa"/>
              <w:right w:w="108" w:type="dxa"/>
            </w:tcMar>
            <w:vAlign w:val="center"/>
          </w:tcPr>
          <w:p w14:paraId="4F65CCD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 xml:space="preserve">　</w:t>
            </w:r>
          </w:p>
        </w:tc>
      </w:tr>
      <w:tr w:rsidR="006416B0" w:rsidRPr="00B4515A" w14:paraId="158D5F3E" w14:textId="77777777" w:rsidTr="006100BC">
        <w:trPr>
          <w:trHeight w:val="340"/>
          <w:jc w:val="center"/>
        </w:trPr>
        <w:tc>
          <w:tcPr>
            <w:tcW w:w="668" w:type="pct"/>
            <w:shd w:val="clear" w:color="auto" w:fill="auto"/>
            <w:tcMar>
              <w:top w:w="0" w:type="dxa"/>
              <w:left w:w="108" w:type="dxa"/>
              <w:bottom w:w="0" w:type="dxa"/>
              <w:right w:w="108" w:type="dxa"/>
            </w:tcMar>
            <w:vAlign w:val="center"/>
          </w:tcPr>
          <w:p w14:paraId="574FF744"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长期应付款</w:t>
            </w:r>
          </w:p>
        </w:tc>
        <w:tc>
          <w:tcPr>
            <w:tcW w:w="689" w:type="pct"/>
            <w:shd w:val="clear" w:color="auto" w:fill="auto"/>
            <w:tcMar>
              <w:top w:w="0" w:type="dxa"/>
              <w:left w:w="108" w:type="dxa"/>
              <w:bottom w:w="0" w:type="dxa"/>
              <w:right w:w="108" w:type="dxa"/>
            </w:tcMar>
            <w:vAlign w:val="center"/>
          </w:tcPr>
          <w:p w14:paraId="31CDD35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47,014.42</w:t>
            </w:r>
          </w:p>
        </w:tc>
        <w:tc>
          <w:tcPr>
            <w:tcW w:w="573" w:type="pct"/>
            <w:shd w:val="clear" w:color="auto" w:fill="auto"/>
            <w:tcMar>
              <w:top w:w="0" w:type="dxa"/>
              <w:left w:w="108" w:type="dxa"/>
              <w:bottom w:w="0" w:type="dxa"/>
              <w:right w:w="108" w:type="dxa"/>
            </w:tcMar>
            <w:vAlign w:val="center"/>
          </w:tcPr>
          <w:p w14:paraId="40311F5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12.85%</w:t>
            </w:r>
          </w:p>
        </w:tc>
        <w:tc>
          <w:tcPr>
            <w:tcW w:w="689" w:type="pct"/>
            <w:shd w:val="clear" w:color="auto" w:fill="auto"/>
            <w:tcMar>
              <w:top w:w="0" w:type="dxa"/>
              <w:left w:w="108" w:type="dxa"/>
              <w:bottom w:w="0" w:type="dxa"/>
              <w:right w:w="108" w:type="dxa"/>
            </w:tcMar>
            <w:vAlign w:val="center"/>
          </w:tcPr>
          <w:p w14:paraId="378D61E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47,014.42</w:t>
            </w:r>
          </w:p>
        </w:tc>
        <w:tc>
          <w:tcPr>
            <w:tcW w:w="573" w:type="pct"/>
            <w:shd w:val="clear" w:color="auto" w:fill="auto"/>
            <w:tcMar>
              <w:top w:w="0" w:type="dxa"/>
              <w:left w:w="108" w:type="dxa"/>
              <w:bottom w:w="0" w:type="dxa"/>
              <w:right w:w="108" w:type="dxa"/>
            </w:tcMar>
            <w:vAlign w:val="center"/>
          </w:tcPr>
          <w:p w14:paraId="45F154A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11.04%</w:t>
            </w:r>
          </w:p>
        </w:tc>
        <w:tc>
          <w:tcPr>
            <w:tcW w:w="1027" w:type="pct"/>
            <w:shd w:val="clear" w:color="auto" w:fill="auto"/>
            <w:tcMar>
              <w:top w:w="0" w:type="dxa"/>
              <w:left w:w="108" w:type="dxa"/>
              <w:bottom w:w="0" w:type="dxa"/>
              <w:right w:w="108" w:type="dxa"/>
            </w:tcMar>
            <w:vAlign w:val="center"/>
          </w:tcPr>
          <w:p w14:paraId="56484E1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781" w:type="pct"/>
            <w:shd w:val="clear" w:color="auto" w:fill="auto"/>
            <w:tcMar>
              <w:top w:w="0" w:type="dxa"/>
              <w:left w:w="108" w:type="dxa"/>
              <w:bottom w:w="0" w:type="dxa"/>
              <w:right w:w="108" w:type="dxa"/>
            </w:tcMar>
            <w:vAlign w:val="center"/>
          </w:tcPr>
          <w:p w14:paraId="2EE8017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37A99C22" w14:textId="77777777" w:rsidTr="006100BC">
        <w:trPr>
          <w:trHeight w:val="340"/>
          <w:jc w:val="center"/>
        </w:trPr>
        <w:tc>
          <w:tcPr>
            <w:tcW w:w="668" w:type="pct"/>
            <w:shd w:val="clear" w:color="auto" w:fill="auto"/>
            <w:tcMar>
              <w:top w:w="0" w:type="dxa"/>
              <w:left w:w="108" w:type="dxa"/>
              <w:bottom w:w="0" w:type="dxa"/>
              <w:right w:w="108" w:type="dxa"/>
            </w:tcMar>
            <w:vAlign w:val="center"/>
          </w:tcPr>
          <w:p w14:paraId="6B8B90A8"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长期应付职工薪酬</w:t>
            </w:r>
          </w:p>
        </w:tc>
        <w:tc>
          <w:tcPr>
            <w:tcW w:w="689" w:type="pct"/>
            <w:shd w:val="clear" w:color="auto" w:fill="auto"/>
            <w:tcMar>
              <w:top w:w="0" w:type="dxa"/>
              <w:left w:w="108" w:type="dxa"/>
              <w:bottom w:w="0" w:type="dxa"/>
              <w:right w:w="108" w:type="dxa"/>
            </w:tcMar>
            <w:vAlign w:val="center"/>
          </w:tcPr>
          <w:p w14:paraId="643973A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191.52</w:t>
            </w:r>
          </w:p>
        </w:tc>
        <w:tc>
          <w:tcPr>
            <w:tcW w:w="573" w:type="pct"/>
            <w:shd w:val="clear" w:color="auto" w:fill="auto"/>
            <w:tcMar>
              <w:top w:w="0" w:type="dxa"/>
              <w:left w:w="108" w:type="dxa"/>
              <w:bottom w:w="0" w:type="dxa"/>
              <w:right w:w="108" w:type="dxa"/>
            </w:tcMar>
            <w:vAlign w:val="center"/>
          </w:tcPr>
          <w:p w14:paraId="0B16491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0.05%</w:t>
            </w:r>
          </w:p>
        </w:tc>
        <w:tc>
          <w:tcPr>
            <w:tcW w:w="689" w:type="pct"/>
            <w:shd w:val="clear" w:color="auto" w:fill="auto"/>
            <w:tcMar>
              <w:top w:w="0" w:type="dxa"/>
              <w:left w:w="108" w:type="dxa"/>
              <w:bottom w:w="0" w:type="dxa"/>
              <w:right w:w="108" w:type="dxa"/>
            </w:tcMar>
            <w:vAlign w:val="center"/>
          </w:tcPr>
          <w:p w14:paraId="70FF1AD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191.52</w:t>
            </w:r>
          </w:p>
        </w:tc>
        <w:tc>
          <w:tcPr>
            <w:tcW w:w="573" w:type="pct"/>
            <w:shd w:val="clear" w:color="auto" w:fill="auto"/>
            <w:tcMar>
              <w:top w:w="0" w:type="dxa"/>
              <w:left w:w="108" w:type="dxa"/>
              <w:bottom w:w="0" w:type="dxa"/>
              <w:right w:w="108" w:type="dxa"/>
            </w:tcMar>
            <w:vAlign w:val="center"/>
          </w:tcPr>
          <w:p w14:paraId="05B5DDB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0.04%</w:t>
            </w:r>
          </w:p>
        </w:tc>
        <w:tc>
          <w:tcPr>
            <w:tcW w:w="1027" w:type="pct"/>
            <w:shd w:val="clear" w:color="auto" w:fill="auto"/>
            <w:tcMar>
              <w:top w:w="0" w:type="dxa"/>
              <w:left w:w="108" w:type="dxa"/>
              <w:bottom w:w="0" w:type="dxa"/>
              <w:right w:w="108" w:type="dxa"/>
            </w:tcMar>
            <w:vAlign w:val="center"/>
          </w:tcPr>
          <w:p w14:paraId="2D0751B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781" w:type="pct"/>
            <w:shd w:val="clear" w:color="auto" w:fill="auto"/>
            <w:tcMar>
              <w:top w:w="0" w:type="dxa"/>
              <w:left w:w="108" w:type="dxa"/>
              <w:bottom w:w="0" w:type="dxa"/>
              <w:right w:w="108" w:type="dxa"/>
            </w:tcMar>
            <w:vAlign w:val="center"/>
          </w:tcPr>
          <w:p w14:paraId="0CD738C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4FB8D5E0" w14:textId="77777777" w:rsidTr="006100BC">
        <w:trPr>
          <w:trHeight w:val="340"/>
          <w:jc w:val="center"/>
        </w:trPr>
        <w:tc>
          <w:tcPr>
            <w:tcW w:w="668" w:type="pct"/>
            <w:shd w:val="clear" w:color="auto" w:fill="auto"/>
            <w:tcMar>
              <w:top w:w="0" w:type="dxa"/>
              <w:left w:w="108" w:type="dxa"/>
              <w:bottom w:w="0" w:type="dxa"/>
              <w:right w:w="108" w:type="dxa"/>
            </w:tcMar>
            <w:vAlign w:val="center"/>
          </w:tcPr>
          <w:p w14:paraId="00D79188"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预计负债</w:t>
            </w:r>
          </w:p>
        </w:tc>
        <w:tc>
          <w:tcPr>
            <w:tcW w:w="689" w:type="pct"/>
            <w:shd w:val="clear" w:color="auto" w:fill="auto"/>
            <w:tcMar>
              <w:top w:w="0" w:type="dxa"/>
              <w:left w:w="108" w:type="dxa"/>
              <w:bottom w:w="0" w:type="dxa"/>
              <w:right w:w="108" w:type="dxa"/>
            </w:tcMar>
            <w:vAlign w:val="center"/>
          </w:tcPr>
          <w:p w14:paraId="68F6C55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3,959.17</w:t>
            </w:r>
          </w:p>
        </w:tc>
        <w:tc>
          <w:tcPr>
            <w:tcW w:w="573" w:type="pct"/>
            <w:shd w:val="clear" w:color="auto" w:fill="auto"/>
            <w:tcMar>
              <w:top w:w="0" w:type="dxa"/>
              <w:left w:w="108" w:type="dxa"/>
              <w:bottom w:w="0" w:type="dxa"/>
              <w:right w:w="108" w:type="dxa"/>
            </w:tcMar>
            <w:vAlign w:val="center"/>
          </w:tcPr>
          <w:p w14:paraId="5DFD06D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1.08%</w:t>
            </w:r>
          </w:p>
        </w:tc>
        <w:tc>
          <w:tcPr>
            <w:tcW w:w="689" w:type="pct"/>
            <w:shd w:val="clear" w:color="auto" w:fill="auto"/>
            <w:tcMar>
              <w:top w:w="0" w:type="dxa"/>
              <w:left w:w="108" w:type="dxa"/>
              <w:bottom w:w="0" w:type="dxa"/>
              <w:right w:w="108" w:type="dxa"/>
            </w:tcMar>
            <w:vAlign w:val="center"/>
          </w:tcPr>
          <w:p w14:paraId="4EFBB3C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3,959.17</w:t>
            </w:r>
          </w:p>
        </w:tc>
        <w:tc>
          <w:tcPr>
            <w:tcW w:w="573" w:type="pct"/>
            <w:shd w:val="clear" w:color="auto" w:fill="auto"/>
            <w:tcMar>
              <w:top w:w="0" w:type="dxa"/>
              <w:left w:w="108" w:type="dxa"/>
              <w:bottom w:w="0" w:type="dxa"/>
              <w:right w:w="108" w:type="dxa"/>
            </w:tcMar>
            <w:vAlign w:val="center"/>
          </w:tcPr>
          <w:p w14:paraId="292BCA8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0.93%</w:t>
            </w:r>
          </w:p>
        </w:tc>
        <w:tc>
          <w:tcPr>
            <w:tcW w:w="1027" w:type="pct"/>
            <w:shd w:val="clear" w:color="auto" w:fill="auto"/>
            <w:tcMar>
              <w:top w:w="0" w:type="dxa"/>
              <w:left w:w="108" w:type="dxa"/>
              <w:bottom w:w="0" w:type="dxa"/>
              <w:right w:w="108" w:type="dxa"/>
            </w:tcMar>
            <w:vAlign w:val="center"/>
          </w:tcPr>
          <w:p w14:paraId="1006827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781" w:type="pct"/>
            <w:shd w:val="clear" w:color="auto" w:fill="auto"/>
            <w:tcMar>
              <w:top w:w="0" w:type="dxa"/>
              <w:left w:w="108" w:type="dxa"/>
              <w:bottom w:w="0" w:type="dxa"/>
              <w:right w:w="108" w:type="dxa"/>
            </w:tcMar>
            <w:vAlign w:val="center"/>
          </w:tcPr>
          <w:p w14:paraId="64C75FF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0A4CDBEC" w14:textId="77777777" w:rsidTr="006100BC">
        <w:trPr>
          <w:trHeight w:val="340"/>
          <w:jc w:val="center"/>
        </w:trPr>
        <w:tc>
          <w:tcPr>
            <w:tcW w:w="668" w:type="pct"/>
            <w:shd w:val="clear" w:color="auto" w:fill="auto"/>
            <w:tcMar>
              <w:top w:w="0" w:type="dxa"/>
              <w:left w:w="108" w:type="dxa"/>
              <w:bottom w:w="0" w:type="dxa"/>
              <w:right w:w="108" w:type="dxa"/>
            </w:tcMar>
            <w:vAlign w:val="center"/>
          </w:tcPr>
          <w:p w14:paraId="00F1E219"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递延收益</w:t>
            </w:r>
          </w:p>
        </w:tc>
        <w:tc>
          <w:tcPr>
            <w:tcW w:w="689" w:type="pct"/>
            <w:shd w:val="clear" w:color="auto" w:fill="auto"/>
            <w:tcMar>
              <w:top w:w="0" w:type="dxa"/>
              <w:left w:w="108" w:type="dxa"/>
              <w:bottom w:w="0" w:type="dxa"/>
              <w:right w:w="108" w:type="dxa"/>
            </w:tcMar>
            <w:vAlign w:val="center"/>
          </w:tcPr>
          <w:p w14:paraId="5A7B85E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16,175.79</w:t>
            </w:r>
          </w:p>
        </w:tc>
        <w:tc>
          <w:tcPr>
            <w:tcW w:w="573" w:type="pct"/>
            <w:shd w:val="clear" w:color="auto" w:fill="auto"/>
            <w:tcMar>
              <w:top w:w="0" w:type="dxa"/>
              <w:left w:w="108" w:type="dxa"/>
              <w:bottom w:w="0" w:type="dxa"/>
              <w:right w:w="108" w:type="dxa"/>
            </w:tcMar>
            <w:vAlign w:val="center"/>
          </w:tcPr>
          <w:p w14:paraId="4FCC472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4.42%</w:t>
            </w:r>
          </w:p>
        </w:tc>
        <w:tc>
          <w:tcPr>
            <w:tcW w:w="689" w:type="pct"/>
            <w:shd w:val="clear" w:color="auto" w:fill="auto"/>
            <w:tcMar>
              <w:top w:w="0" w:type="dxa"/>
              <w:left w:w="108" w:type="dxa"/>
              <w:bottom w:w="0" w:type="dxa"/>
              <w:right w:w="108" w:type="dxa"/>
            </w:tcMar>
            <w:vAlign w:val="center"/>
          </w:tcPr>
          <w:p w14:paraId="6AD1B75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16,175.79</w:t>
            </w:r>
          </w:p>
        </w:tc>
        <w:tc>
          <w:tcPr>
            <w:tcW w:w="573" w:type="pct"/>
            <w:shd w:val="clear" w:color="auto" w:fill="auto"/>
            <w:tcMar>
              <w:top w:w="0" w:type="dxa"/>
              <w:left w:w="108" w:type="dxa"/>
              <w:bottom w:w="0" w:type="dxa"/>
              <w:right w:w="108" w:type="dxa"/>
            </w:tcMar>
            <w:vAlign w:val="center"/>
          </w:tcPr>
          <w:p w14:paraId="0A739C9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3.80%</w:t>
            </w:r>
          </w:p>
        </w:tc>
        <w:tc>
          <w:tcPr>
            <w:tcW w:w="1027" w:type="pct"/>
            <w:shd w:val="clear" w:color="auto" w:fill="auto"/>
            <w:tcMar>
              <w:top w:w="0" w:type="dxa"/>
              <w:left w:w="108" w:type="dxa"/>
              <w:bottom w:w="0" w:type="dxa"/>
              <w:right w:w="108" w:type="dxa"/>
            </w:tcMar>
            <w:vAlign w:val="center"/>
          </w:tcPr>
          <w:p w14:paraId="104A01E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781" w:type="pct"/>
            <w:shd w:val="clear" w:color="auto" w:fill="auto"/>
            <w:tcMar>
              <w:top w:w="0" w:type="dxa"/>
              <w:left w:w="108" w:type="dxa"/>
              <w:bottom w:w="0" w:type="dxa"/>
              <w:right w:w="108" w:type="dxa"/>
            </w:tcMar>
            <w:vAlign w:val="center"/>
          </w:tcPr>
          <w:p w14:paraId="0236C5B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7C5FE226" w14:textId="77777777" w:rsidTr="006100BC">
        <w:trPr>
          <w:trHeight w:val="340"/>
          <w:jc w:val="center"/>
        </w:trPr>
        <w:tc>
          <w:tcPr>
            <w:tcW w:w="668" w:type="pct"/>
            <w:shd w:val="clear" w:color="auto" w:fill="auto"/>
            <w:tcMar>
              <w:top w:w="0" w:type="dxa"/>
              <w:left w:w="108" w:type="dxa"/>
              <w:bottom w:w="0" w:type="dxa"/>
              <w:right w:w="108" w:type="dxa"/>
            </w:tcMar>
            <w:vAlign w:val="center"/>
          </w:tcPr>
          <w:p w14:paraId="419DB4AB" w14:textId="77777777" w:rsidR="006416B0" w:rsidRPr="00B4515A" w:rsidRDefault="005E58C1" w:rsidP="005860B4">
            <w:pPr>
              <w:adjustRightInd w:val="0"/>
              <w:snapToGrid w:val="0"/>
              <w:jc w:val="both"/>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递延所得税负债</w:t>
            </w:r>
          </w:p>
        </w:tc>
        <w:tc>
          <w:tcPr>
            <w:tcW w:w="689" w:type="pct"/>
            <w:shd w:val="clear" w:color="auto" w:fill="auto"/>
            <w:tcMar>
              <w:top w:w="0" w:type="dxa"/>
              <w:left w:w="108" w:type="dxa"/>
              <w:bottom w:w="0" w:type="dxa"/>
              <w:right w:w="108" w:type="dxa"/>
            </w:tcMar>
            <w:vAlign w:val="center"/>
          </w:tcPr>
          <w:p w14:paraId="5A28DCF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912.80</w:t>
            </w:r>
          </w:p>
        </w:tc>
        <w:tc>
          <w:tcPr>
            <w:tcW w:w="573" w:type="pct"/>
            <w:shd w:val="clear" w:color="auto" w:fill="auto"/>
            <w:tcMar>
              <w:top w:w="0" w:type="dxa"/>
              <w:left w:w="108" w:type="dxa"/>
              <w:bottom w:w="0" w:type="dxa"/>
              <w:right w:w="108" w:type="dxa"/>
            </w:tcMar>
            <w:vAlign w:val="center"/>
          </w:tcPr>
          <w:p w14:paraId="6CB23DB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0.25%</w:t>
            </w:r>
          </w:p>
        </w:tc>
        <w:tc>
          <w:tcPr>
            <w:tcW w:w="689" w:type="pct"/>
            <w:shd w:val="clear" w:color="auto" w:fill="auto"/>
            <w:tcMar>
              <w:top w:w="0" w:type="dxa"/>
              <w:left w:w="108" w:type="dxa"/>
              <w:bottom w:w="0" w:type="dxa"/>
              <w:right w:w="108" w:type="dxa"/>
            </w:tcMar>
            <w:vAlign w:val="center"/>
          </w:tcPr>
          <w:p w14:paraId="0CF62F4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912.80</w:t>
            </w:r>
          </w:p>
        </w:tc>
        <w:tc>
          <w:tcPr>
            <w:tcW w:w="573" w:type="pct"/>
            <w:shd w:val="clear" w:color="auto" w:fill="auto"/>
            <w:tcMar>
              <w:top w:w="0" w:type="dxa"/>
              <w:left w:w="108" w:type="dxa"/>
              <w:bottom w:w="0" w:type="dxa"/>
              <w:right w:w="108" w:type="dxa"/>
            </w:tcMar>
            <w:vAlign w:val="center"/>
          </w:tcPr>
          <w:p w14:paraId="5B7FBD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0.21%</w:t>
            </w:r>
          </w:p>
        </w:tc>
        <w:tc>
          <w:tcPr>
            <w:tcW w:w="1027" w:type="pct"/>
            <w:shd w:val="clear" w:color="auto" w:fill="auto"/>
            <w:tcMar>
              <w:top w:w="0" w:type="dxa"/>
              <w:left w:w="108" w:type="dxa"/>
              <w:bottom w:w="0" w:type="dxa"/>
              <w:right w:w="108" w:type="dxa"/>
            </w:tcMar>
            <w:vAlign w:val="center"/>
          </w:tcPr>
          <w:p w14:paraId="4E83D5B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c>
          <w:tcPr>
            <w:tcW w:w="781" w:type="pct"/>
            <w:shd w:val="clear" w:color="auto" w:fill="auto"/>
            <w:tcMar>
              <w:top w:w="0" w:type="dxa"/>
              <w:left w:w="108" w:type="dxa"/>
              <w:bottom w:w="0" w:type="dxa"/>
              <w:right w:w="108" w:type="dxa"/>
            </w:tcMar>
            <w:vAlign w:val="center"/>
          </w:tcPr>
          <w:p w14:paraId="32AB9AD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 xml:space="preserve">          -   </w:t>
            </w:r>
          </w:p>
        </w:tc>
      </w:tr>
      <w:tr w:rsidR="006416B0" w:rsidRPr="00B4515A" w14:paraId="664F58F4" w14:textId="77777777" w:rsidTr="006100BC">
        <w:trPr>
          <w:trHeight w:val="340"/>
          <w:jc w:val="center"/>
        </w:trPr>
        <w:tc>
          <w:tcPr>
            <w:tcW w:w="668" w:type="pct"/>
            <w:shd w:val="clear" w:color="auto" w:fill="auto"/>
            <w:tcMar>
              <w:top w:w="0" w:type="dxa"/>
              <w:left w:w="108" w:type="dxa"/>
              <w:bottom w:w="0" w:type="dxa"/>
              <w:right w:w="108" w:type="dxa"/>
            </w:tcMar>
            <w:vAlign w:val="center"/>
          </w:tcPr>
          <w:p w14:paraId="0573C6EA" w14:textId="77777777" w:rsidR="006416B0" w:rsidRPr="00B4515A" w:rsidRDefault="005E58C1" w:rsidP="005860B4">
            <w:pPr>
              <w:adjustRightInd w:val="0"/>
              <w:snapToGrid w:val="0"/>
              <w:jc w:val="both"/>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非流动负债合计</w:t>
            </w:r>
          </w:p>
        </w:tc>
        <w:tc>
          <w:tcPr>
            <w:tcW w:w="689" w:type="pct"/>
            <w:shd w:val="clear" w:color="auto" w:fill="auto"/>
            <w:tcMar>
              <w:top w:w="0" w:type="dxa"/>
              <w:left w:w="108" w:type="dxa"/>
              <w:bottom w:w="0" w:type="dxa"/>
              <w:right w:w="108" w:type="dxa"/>
            </w:tcMar>
            <w:vAlign w:val="center"/>
          </w:tcPr>
          <w:p w14:paraId="45A2C344"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68,253.69</w:t>
            </w:r>
          </w:p>
        </w:tc>
        <w:tc>
          <w:tcPr>
            <w:tcW w:w="573" w:type="pct"/>
            <w:shd w:val="clear" w:color="auto" w:fill="auto"/>
            <w:tcMar>
              <w:top w:w="0" w:type="dxa"/>
              <w:left w:w="108" w:type="dxa"/>
              <w:bottom w:w="0" w:type="dxa"/>
              <w:right w:w="108" w:type="dxa"/>
            </w:tcMar>
            <w:vAlign w:val="center"/>
          </w:tcPr>
          <w:p w14:paraId="1029F3C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18.65%</w:t>
            </w:r>
          </w:p>
        </w:tc>
        <w:tc>
          <w:tcPr>
            <w:tcW w:w="689" w:type="pct"/>
            <w:shd w:val="clear" w:color="auto" w:fill="auto"/>
            <w:tcMar>
              <w:top w:w="0" w:type="dxa"/>
              <w:left w:w="108" w:type="dxa"/>
              <w:bottom w:w="0" w:type="dxa"/>
              <w:right w:w="108" w:type="dxa"/>
            </w:tcMar>
            <w:vAlign w:val="center"/>
          </w:tcPr>
          <w:p w14:paraId="3478E3BE"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68,253.69</w:t>
            </w:r>
          </w:p>
        </w:tc>
        <w:tc>
          <w:tcPr>
            <w:tcW w:w="573" w:type="pct"/>
            <w:shd w:val="clear" w:color="auto" w:fill="auto"/>
            <w:tcMar>
              <w:top w:w="0" w:type="dxa"/>
              <w:left w:w="108" w:type="dxa"/>
              <w:bottom w:w="0" w:type="dxa"/>
              <w:right w:w="108" w:type="dxa"/>
            </w:tcMar>
            <w:vAlign w:val="center"/>
          </w:tcPr>
          <w:p w14:paraId="1CC5C572"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16.02%</w:t>
            </w:r>
          </w:p>
        </w:tc>
        <w:tc>
          <w:tcPr>
            <w:tcW w:w="1027" w:type="pct"/>
            <w:shd w:val="clear" w:color="auto" w:fill="auto"/>
            <w:tcMar>
              <w:top w:w="0" w:type="dxa"/>
              <w:left w:w="108" w:type="dxa"/>
              <w:bottom w:w="0" w:type="dxa"/>
              <w:right w:w="108" w:type="dxa"/>
            </w:tcMar>
            <w:vAlign w:val="center"/>
          </w:tcPr>
          <w:p w14:paraId="6A345C9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              -   </w:t>
            </w:r>
          </w:p>
        </w:tc>
        <w:tc>
          <w:tcPr>
            <w:tcW w:w="781" w:type="pct"/>
            <w:shd w:val="clear" w:color="auto" w:fill="auto"/>
            <w:tcMar>
              <w:top w:w="0" w:type="dxa"/>
              <w:left w:w="108" w:type="dxa"/>
              <w:bottom w:w="0" w:type="dxa"/>
              <w:right w:w="108" w:type="dxa"/>
            </w:tcMar>
            <w:vAlign w:val="center"/>
          </w:tcPr>
          <w:p w14:paraId="75D0CCD7"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          -   </w:t>
            </w:r>
          </w:p>
        </w:tc>
      </w:tr>
      <w:tr w:rsidR="006416B0" w:rsidRPr="00B4515A" w14:paraId="4717C692" w14:textId="77777777" w:rsidTr="006100BC">
        <w:trPr>
          <w:trHeight w:val="340"/>
          <w:jc w:val="center"/>
        </w:trPr>
        <w:tc>
          <w:tcPr>
            <w:tcW w:w="668" w:type="pct"/>
            <w:shd w:val="clear" w:color="auto" w:fill="auto"/>
            <w:tcMar>
              <w:top w:w="0" w:type="dxa"/>
              <w:left w:w="108" w:type="dxa"/>
              <w:bottom w:w="0" w:type="dxa"/>
              <w:right w:w="108" w:type="dxa"/>
            </w:tcMar>
            <w:vAlign w:val="center"/>
          </w:tcPr>
          <w:p w14:paraId="0D14646E" w14:textId="77777777" w:rsidR="006416B0" w:rsidRPr="00B4515A" w:rsidRDefault="005E58C1" w:rsidP="005860B4">
            <w:pPr>
              <w:adjustRightInd w:val="0"/>
              <w:snapToGrid w:val="0"/>
              <w:jc w:val="both"/>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负债合计</w:t>
            </w:r>
          </w:p>
        </w:tc>
        <w:tc>
          <w:tcPr>
            <w:tcW w:w="689" w:type="pct"/>
            <w:shd w:val="clear" w:color="auto" w:fill="auto"/>
            <w:tcMar>
              <w:top w:w="0" w:type="dxa"/>
              <w:left w:w="108" w:type="dxa"/>
              <w:bottom w:w="0" w:type="dxa"/>
              <w:right w:w="108" w:type="dxa"/>
            </w:tcMar>
            <w:vAlign w:val="center"/>
          </w:tcPr>
          <w:p w14:paraId="625D96FE"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365,968.92</w:t>
            </w:r>
          </w:p>
        </w:tc>
        <w:tc>
          <w:tcPr>
            <w:tcW w:w="573" w:type="pct"/>
            <w:shd w:val="clear" w:color="auto" w:fill="auto"/>
            <w:tcMar>
              <w:top w:w="0" w:type="dxa"/>
              <w:left w:w="108" w:type="dxa"/>
              <w:bottom w:w="0" w:type="dxa"/>
              <w:right w:w="108" w:type="dxa"/>
            </w:tcMar>
            <w:vAlign w:val="center"/>
          </w:tcPr>
          <w:p w14:paraId="3B766F9B"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689" w:type="pct"/>
            <w:shd w:val="clear" w:color="auto" w:fill="auto"/>
            <w:tcMar>
              <w:top w:w="0" w:type="dxa"/>
              <w:left w:w="108" w:type="dxa"/>
              <w:bottom w:w="0" w:type="dxa"/>
              <w:right w:w="108" w:type="dxa"/>
            </w:tcMar>
            <w:vAlign w:val="center"/>
          </w:tcPr>
          <w:p w14:paraId="49A4654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426,008.16</w:t>
            </w:r>
          </w:p>
        </w:tc>
        <w:tc>
          <w:tcPr>
            <w:tcW w:w="573" w:type="pct"/>
            <w:shd w:val="clear" w:color="auto" w:fill="auto"/>
            <w:tcMar>
              <w:top w:w="0" w:type="dxa"/>
              <w:left w:w="108" w:type="dxa"/>
              <w:bottom w:w="0" w:type="dxa"/>
              <w:right w:w="108" w:type="dxa"/>
            </w:tcMar>
            <w:vAlign w:val="center"/>
          </w:tcPr>
          <w:p w14:paraId="42CE11B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100.00%</w:t>
            </w:r>
          </w:p>
        </w:tc>
        <w:tc>
          <w:tcPr>
            <w:tcW w:w="1027" w:type="pct"/>
            <w:shd w:val="clear" w:color="auto" w:fill="auto"/>
            <w:tcMar>
              <w:top w:w="0" w:type="dxa"/>
              <w:left w:w="108" w:type="dxa"/>
              <w:bottom w:w="0" w:type="dxa"/>
              <w:right w:w="108" w:type="dxa"/>
            </w:tcMar>
            <w:vAlign w:val="center"/>
          </w:tcPr>
          <w:p w14:paraId="768A4071"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60,039.24 </w:t>
            </w:r>
          </w:p>
        </w:tc>
        <w:tc>
          <w:tcPr>
            <w:tcW w:w="781" w:type="pct"/>
            <w:shd w:val="clear" w:color="auto" w:fill="auto"/>
            <w:tcMar>
              <w:top w:w="0" w:type="dxa"/>
              <w:left w:w="108" w:type="dxa"/>
              <w:bottom w:w="0" w:type="dxa"/>
              <w:right w:w="108" w:type="dxa"/>
            </w:tcMar>
            <w:vAlign w:val="center"/>
          </w:tcPr>
          <w:p w14:paraId="30D71A46" w14:textId="77777777" w:rsidR="006416B0" w:rsidRPr="00B4515A" w:rsidRDefault="005E58C1" w:rsidP="005860B4">
            <w:pPr>
              <w:adjustRightInd w:val="0"/>
              <w:snapToGrid w:val="0"/>
              <w:jc w:val="right"/>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16.41%</w:t>
            </w:r>
          </w:p>
        </w:tc>
      </w:tr>
    </w:tbl>
    <w:p w14:paraId="7629B264" w14:textId="77777777" w:rsidR="006416B0" w:rsidRPr="00B4515A" w:rsidRDefault="005E58C1" w:rsidP="006100BC">
      <w:pPr>
        <w:pStyle w:val="005"/>
        <w:spacing w:before="120" w:after="120"/>
        <w:ind w:firstLine="480"/>
      </w:pPr>
      <w:r w:rsidRPr="00B4515A">
        <w:rPr>
          <w:rFonts w:hint="eastAsia"/>
        </w:rPr>
        <w:t>本次交易完成后，截至</w:t>
      </w:r>
      <w:r w:rsidRPr="00B4515A">
        <w:t>2020</w:t>
      </w:r>
      <w:r w:rsidRPr="00B4515A">
        <w:rPr>
          <w:rFonts w:hint="eastAsia"/>
        </w:rPr>
        <w:t>年末以及</w:t>
      </w:r>
      <w:r w:rsidRPr="00B4515A">
        <w:t>2021</w:t>
      </w:r>
      <w:r w:rsidRPr="00B4515A">
        <w:rPr>
          <w:rFonts w:hint="eastAsia"/>
        </w:rPr>
        <w:t>年</w:t>
      </w:r>
      <w:r w:rsidRPr="00B4515A">
        <w:t>4</w:t>
      </w:r>
      <w:r w:rsidRPr="00B4515A">
        <w:rPr>
          <w:rFonts w:hint="eastAsia"/>
        </w:rPr>
        <w:t>月末，上市公司备考后负债总额分别为</w:t>
      </w:r>
      <w:r w:rsidRPr="00B4515A">
        <w:t>426,008.16</w:t>
      </w:r>
      <w:r w:rsidRPr="00B4515A">
        <w:rPr>
          <w:rFonts w:hint="eastAsia"/>
        </w:rPr>
        <w:t>万元、</w:t>
      </w:r>
      <w:r w:rsidRPr="00B4515A">
        <w:t>430,922.12</w:t>
      </w:r>
      <w:r w:rsidRPr="00B4515A">
        <w:rPr>
          <w:rFonts w:hint="eastAsia"/>
        </w:rPr>
        <w:t>万元，增长率分别为</w:t>
      </w:r>
      <w:r w:rsidRPr="00B4515A">
        <w:t>16.41%</w:t>
      </w:r>
      <w:r w:rsidRPr="00B4515A">
        <w:rPr>
          <w:rFonts w:hint="eastAsia"/>
        </w:rPr>
        <w:t>、</w:t>
      </w:r>
      <w:r w:rsidRPr="00B4515A">
        <w:t>18.22%</w:t>
      </w:r>
      <w:r w:rsidRPr="00B4515A">
        <w:rPr>
          <w:rFonts w:hint="eastAsia"/>
        </w:rPr>
        <w:t>，负债规模随总资产的规模的增长而升高，其中以流动负债为主。</w:t>
      </w:r>
    </w:p>
    <w:p w14:paraId="38ADA0FD" w14:textId="77777777" w:rsidR="006416B0" w:rsidRPr="00B4515A" w:rsidRDefault="005E58C1" w:rsidP="006100BC">
      <w:pPr>
        <w:pStyle w:val="004"/>
        <w:spacing w:before="120" w:after="120"/>
        <w:ind w:firstLine="482"/>
      </w:pPr>
      <w:r w:rsidRPr="00B4515A">
        <w:rPr>
          <w:rFonts w:hint="eastAsia"/>
        </w:rPr>
        <w:t>3</w:t>
      </w:r>
      <w:r w:rsidRPr="00B4515A">
        <w:rPr>
          <w:rFonts w:hint="eastAsia"/>
        </w:rPr>
        <w:t>、偿债指标和营运能力的分析</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860"/>
        <w:gridCol w:w="1206"/>
        <w:gridCol w:w="1602"/>
        <w:gridCol w:w="2860"/>
      </w:tblGrid>
      <w:tr w:rsidR="006416B0" w:rsidRPr="00B4515A" w14:paraId="37FAF725" w14:textId="77777777" w:rsidTr="00031627">
        <w:trPr>
          <w:trHeight w:val="340"/>
          <w:jc w:val="center"/>
        </w:trPr>
        <w:tc>
          <w:tcPr>
            <w:tcW w:w="1677" w:type="pct"/>
            <w:vMerge w:val="restart"/>
            <w:shd w:val="clear" w:color="auto" w:fill="auto"/>
            <w:tcMar>
              <w:top w:w="0" w:type="dxa"/>
              <w:left w:w="108" w:type="dxa"/>
              <w:bottom w:w="0" w:type="dxa"/>
              <w:right w:w="108" w:type="dxa"/>
            </w:tcMar>
            <w:vAlign w:val="center"/>
          </w:tcPr>
          <w:p w14:paraId="7805CAB8"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hint="eastAsia"/>
                <w:b/>
                <w:bCs/>
                <w:color w:val="000000"/>
                <w:sz w:val="21"/>
                <w:szCs w:val="21"/>
              </w:rPr>
              <w:t>项目</w:t>
            </w:r>
          </w:p>
        </w:tc>
        <w:tc>
          <w:tcPr>
            <w:tcW w:w="3323" w:type="pct"/>
            <w:gridSpan w:val="3"/>
            <w:shd w:val="clear" w:color="auto" w:fill="auto"/>
            <w:tcMar>
              <w:top w:w="0" w:type="dxa"/>
              <w:left w:w="108" w:type="dxa"/>
              <w:bottom w:w="0" w:type="dxa"/>
              <w:right w:w="108" w:type="dxa"/>
            </w:tcMar>
            <w:vAlign w:val="center"/>
          </w:tcPr>
          <w:p w14:paraId="113EF99F" w14:textId="77777777"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 xml:space="preserve">2021 </w:t>
            </w:r>
            <w:r w:rsidRPr="00B4515A">
              <w:rPr>
                <w:rFonts w:ascii="Times New Roman" w:hAnsi="Times New Roman" w:cs="Times New Roman" w:hint="eastAsia"/>
                <w:b/>
                <w:bCs/>
                <w:color w:val="000000"/>
                <w:sz w:val="21"/>
                <w:szCs w:val="21"/>
              </w:rPr>
              <w:t>年</w:t>
            </w:r>
            <w:r w:rsidRPr="00B4515A">
              <w:rPr>
                <w:rFonts w:ascii="Times New Roman" w:hAnsi="Times New Roman" w:cs="Times New Roman"/>
                <w:b/>
                <w:bCs/>
                <w:color w:val="000000"/>
                <w:sz w:val="21"/>
                <w:szCs w:val="21"/>
              </w:rPr>
              <w:t xml:space="preserve"> </w:t>
            </w:r>
            <w:r w:rsidRPr="00B4515A">
              <w:rPr>
                <w:rFonts w:ascii="Times New Roman" w:eastAsia="等线" w:hAnsi="Times New Roman" w:cs="Times New Roman"/>
                <w:b/>
                <w:bCs/>
                <w:color w:val="000000"/>
                <w:sz w:val="21"/>
                <w:szCs w:val="21"/>
              </w:rPr>
              <w:t>4</w:t>
            </w:r>
            <w:r w:rsidRPr="00B4515A">
              <w:rPr>
                <w:rFonts w:ascii="Times New Roman" w:hAnsi="Times New Roman" w:cs="Times New Roman" w:hint="eastAsia"/>
                <w:b/>
                <w:bCs/>
                <w:color w:val="000000"/>
                <w:sz w:val="21"/>
                <w:szCs w:val="21"/>
              </w:rPr>
              <w:t>月</w:t>
            </w:r>
            <w:r w:rsidRPr="00B4515A">
              <w:rPr>
                <w:rFonts w:ascii="Times New Roman" w:hAnsi="Times New Roman" w:cs="Times New Roman"/>
                <w:b/>
                <w:bCs/>
                <w:color w:val="000000"/>
                <w:sz w:val="21"/>
                <w:szCs w:val="21"/>
              </w:rPr>
              <w:t xml:space="preserve"> </w:t>
            </w:r>
            <w:r w:rsidRPr="00B4515A">
              <w:rPr>
                <w:rFonts w:ascii="Times New Roman" w:eastAsia="等线" w:hAnsi="Times New Roman" w:cs="Times New Roman"/>
                <w:b/>
                <w:bCs/>
                <w:color w:val="000000"/>
                <w:sz w:val="21"/>
                <w:szCs w:val="21"/>
              </w:rPr>
              <w:t>30</w:t>
            </w:r>
            <w:r w:rsidRPr="00B4515A">
              <w:rPr>
                <w:rFonts w:ascii="Times New Roman" w:hAnsi="Times New Roman" w:cs="Times New Roman" w:hint="eastAsia"/>
                <w:b/>
                <w:bCs/>
                <w:color w:val="000000"/>
                <w:sz w:val="21"/>
                <w:szCs w:val="21"/>
              </w:rPr>
              <w:t>日</w:t>
            </w:r>
          </w:p>
        </w:tc>
      </w:tr>
      <w:tr w:rsidR="006416B0" w:rsidRPr="00B4515A" w14:paraId="06752FDA" w14:textId="77777777" w:rsidTr="00031627">
        <w:trPr>
          <w:trHeight w:val="340"/>
          <w:jc w:val="center"/>
        </w:trPr>
        <w:tc>
          <w:tcPr>
            <w:tcW w:w="1677" w:type="pct"/>
            <w:vMerge/>
            <w:shd w:val="clear" w:color="auto" w:fill="auto"/>
            <w:tcMar>
              <w:top w:w="0" w:type="dxa"/>
              <w:left w:w="108" w:type="dxa"/>
              <w:bottom w:w="0" w:type="dxa"/>
              <w:right w:w="108" w:type="dxa"/>
            </w:tcMar>
            <w:vAlign w:val="center"/>
          </w:tcPr>
          <w:p w14:paraId="31E80AA1" w14:textId="77777777" w:rsidR="006416B0" w:rsidRPr="00B4515A" w:rsidRDefault="006416B0" w:rsidP="005860B4">
            <w:pPr>
              <w:adjustRightInd w:val="0"/>
              <w:snapToGrid w:val="0"/>
              <w:jc w:val="center"/>
              <w:rPr>
                <w:rFonts w:ascii="Times New Roman" w:hAnsi="Times New Roman" w:cs="Times New Roman"/>
                <w:b/>
                <w:bCs/>
                <w:color w:val="000000"/>
                <w:sz w:val="21"/>
                <w:szCs w:val="21"/>
              </w:rPr>
            </w:pPr>
          </w:p>
        </w:tc>
        <w:tc>
          <w:tcPr>
            <w:tcW w:w="707" w:type="pct"/>
            <w:shd w:val="clear" w:color="auto" w:fill="auto"/>
            <w:tcMar>
              <w:top w:w="0" w:type="dxa"/>
              <w:left w:w="108" w:type="dxa"/>
              <w:bottom w:w="0" w:type="dxa"/>
              <w:right w:w="108" w:type="dxa"/>
            </w:tcMar>
            <w:vAlign w:val="center"/>
          </w:tcPr>
          <w:p w14:paraId="2DEC8134"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hint="eastAsia"/>
                <w:b/>
                <w:bCs/>
                <w:color w:val="000000"/>
                <w:sz w:val="21"/>
                <w:szCs w:val="21"/>
              </w:rPr>
              <w:t>交易前</w:t>
            </w:r>
          </w:p>
        </w:tc>
        <w:tc>
          <w:tcPr>
            <w:tcW w:w="939" w:type="pct"/>
            <w:shd w:val="clear" w:color="auto" w:fill="auto"/>
            <w:tcMar>
              <w:top w:w="0" w:type="dxa"/>
              <w:left w:w="108" w:type="dxa"/>
              <w:bottom w:w="0" w:type="dxa"/>
              <w:right w:w="108" w:type="dxa"/>
            </w:tcMar>
            <w:vAlign w:val="center"/>
          </w:tcPr>
          <w:p w14:paraId="65258300"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hint="eastAsia"/>
                <w:b/>
                <w:bCs/>
                <w:color w:val="000000"/>
                <w:sz w:val="21"/>
                <w:szCs w:val="21"/>
              </w:rPr>
              <w:t>交易后</w:t>
            </w:r>
          </w:p>
          <w:p w14:paraId="6B1F9268"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hint="eastAsia"/>
                <w:b/>
                <w:bCs/>
                <w:color w:val="000000"/>
                <w:sz w:val="21"/>
                <w:szCs w:val="21"/>
              </w:rPr>
              <w:t>（备考）</w:t>
            </w:r>
          </w:p>
        </w:tc>
        <w:tc>
          <w:tcPr>
            <w:tcW w:w="1677" w:type="pct"/>
            <w:shd w:val="clear" w:color="auto" w:fill="auto"/>
            <w:tcMar>
              <w:top w:w="0" w:type="dxa"/>
              <w:left w:w="108" w:type="dxa"/>
              <w:bottom w:w="0" w:type="dxa"/>
              <w:right w:w="108" w:type="dxa"/>
            </w:tcMar>
            <w:vAlign w:val="center"/>
          </w:tcPr>
          <w:p w14:paraId="35407FD7"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hint="eastAsia"/>
                <w:b/>
                <w:bCs/>
                <w:color w:val="000000"/>
                <w:sz w:val="21"/>
                <w:szCs w:val="21"/>
              </w:rPr>
              <w:t>变化</w:t>
            </w:r>
          </w:p>
        </w:tc>
      </w:tr>
      <w:tr w:rsidR="006416B0" w:rsidRPr="00B4515A" w14:paraId="1E11EB68"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58B9826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资产负债率</w:t>
            </w:r>
          </w:p>
        </w:tc>
        <w:tc>
          <w:tcPr>
            <w:tcW w:w="707" w:type="pct"/>
            <w:shd w:val="clear" w:color="auto" w:fill="auto"/>
            <w:tcMar>
              <w:top w:w="0" w:type="dxa"/>
              <w:left w:w="108" w:type="dxa"/>
              <w:bottom w:w="0" w:type="dxa"/>
              <w:right w:w="108" w:type="dxa"/>
            </w:tcMar>
            <w:vAlign w:val="center"/>
          </w:tcPr>
          <w:p w14:paraId="5FCBA851"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122.32%</w:t>
            </w:r>
          </w:p>
        </w:tc>
        <w:tc>
          <w:tcPr>
            <w:tcW w:w="939" w:type="pct"/>
            <w:shd w:val="clear" w:color="auto" w:fill="auto"/>
            <w:tcMar>
              <w:top w:w="0" w:type="dxa"/>
              <w:left w:w="108" w:type="dxa"/>
              <w:bottom w:w="0" w:type="dxa"/>
              <w:right w:w="108" w:type="dxa"/>
            </w:tcMar>
            <w:vAlign w:val="center"/>
          </w:tcPr>
          <w:p w14:paraId="2305068A"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79.97%</w:t>
            </w:r>
          </w:p>
        </w:tc>
        <w:tc>
          <w:tcPr>
            <w:tcW w:w="1677" w:type="pct"/>
            <w:shd w:val="clear" w:color="auto" w:fill="auto"/>
            <w:tcMar>
              <w:top w:w="0" w:type="dxa"/>
              <w:left w:w="108" w:type="dxa"/>
              <w:bottom w:w="0" w:type="dxa"/>
              <w:right w:w="108" w:type="dxa"/>
            </w:tcMar>
            <w:vAlign w:val="center"/>
          </w:tcPr>
          <w:p w14:paraId="12D8B12E"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-42.35%</w:t>
            </w:r>
          </w:p>
        </w:tc>
      </w:tr>
      <w:tr w:rsidR="006416B0" w:rsidRPr="00B4515A" w14:paraId="480413AD"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3080C96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流动比率（倍）</w:t>
            </w:r>
          </w:p>
        </w:tc>
        <w:tc>
          <w:tcPr>
            <w:tcW w:w="707" w:type="pct"/>
            <w:shd w:val="clear" w:color="auto" w:fill="auto"/>
            <w:tcMar>
              <w:top w:w="0" w:type="dxa"/>
              <w:left w:w="108" w:type="dxa"/>
              <w:bottom w:w="0" w:type="dxa"/>
              <w:right w:w="108" w:type="dxa"/>
            </w:tcMar>
            <w:vAlign w:val="center"/>
          </w:tcPr>
          <w:p w14:paraId="57BA447C"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0.40</w:t>
            </w:r>
          </w:p>
        </w:tc>
        <w:tc>
          <w:tcPr>
            <w:tcW w:w="939" w:type="pct"/>
            <w:shd w:val="clear" w:color="auto" w:fill="auto"/>
            <w:tcMar>
              <w:top w:w="0" w:type="dxa"/>
              <w:left w:w="108" w:type="dxa"/>
              <w:bottom w:w="0" w:type="dxa"/>
              <w:right w:w="108" w:type="dxa"/>
            </w:tcMar>
            <w:vAlign w:val="center"/>
          </w:tcPr>
          <w:p w14:paraId="1FE2365F"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0.91 </w:t>
            </w:r>
          </w:p>
        </w:tc>
        <w:tc>
          <w:tcPr>
            <w:tcW w:w="1677" w:type="pct"/>
            <w:shd w:val="clear" w:color="auto" w:fill="auto"/>
            <w:tcMar>
              <w:top w:w="0" w:type="dxa"/>
              <w:left w:w="108" w:type="dxa"/>
              <w:bottom w:w="0" w:type="dxa"/>
              <w:right w:w="108" w:type="dxa"/>
            </w:tcMar>
            <w:vAlign w:val="center"/>
          </w:tcPr>
          <w:p w14:paraId="444C8E83"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0.51 </w:t>
            </w:r>
          </w:p>
        </w:tc>
      </w:tr>
      <w:tr w:rsidR="006416B0" w:rsidRPr="00B4515A" w14:paraId="48B276C6"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5F73B6C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速动比率（倍）</w:t>
            </w:r>
          </w:p>
        </w:tc>
        <w:tc>
          <w:tcPr>
            <w:tcW w:w="707" w:type="pct"/>
            <w:shd w:val="clear" w:color="auto" w:fill="auto"/>
            <w:tcMar>
              <w:top w:w="0" w:type="dxa"/>
              <w:left w:w="108" w:type="dxa"/>
              <w:bottom w:w="0" w:type="dxa"/>
              <w:right w:w="108" w:type="dxa"/>
            </w:tcMar>
            <w:vAlign w:val="center"/>
          </w:tcPr>
          <w:p w14:paraId="7536DAF5"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0.24</w:t>
            </w:r>
          </w:p>
        </w:tc>
        <w:tc>
          <w:tcPr>
            <w:tcW w:w="939" w:type="pct"/>
            <w:shd w:val="clear" w:color="auto" w:fill="auto"/>
            <w:tcMar>
              <w:top w:w="0" w:type="dxa"/>
              <w:left w:w="108" w:type="dxa"/>
              <w:bottom w:w="0" w:type="dxa"/>
              <w:right w:w="108" w:type="dxa"/>
            </w:tcMar>
            <w:vAlign w:val="center"/>
          </w:tcPr>
          <w:p w14:paraId="547AE8D5"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0.72 </w:t>
            </w:r>
          </w:p>
        </w:tc>
        <w:tc>
          <w:tcPr>
            <w:tcW w:w="1677" w:type="pct"/>
            <w:shd w:val="clear" w:color="auto" w:fill="auto"/>
            <w:tcMar>
              <w:top w:w="0" w:type="dxa"/>
              <w:left w:w="108" w:type="dxa"/>
              <w:bottom w:w="0" w:type="dxa"/>
              <w:right w:w="108" w:type="dxa"/>
            </w:tcMar>
            <w:vAlign w:val="center"/>
          </w:tcPr>
          <w:p w14:paraId="0A4308BA"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0.49 </w:t>
            </w:r>
          </w:p>
        </w:tc>
      </w:tr>
      <w:tr w:rsidR="006416B0" w:rsidRPr="00B4515A" w14:paraId="4E1105A2"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0183746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利息保障倍数（倍）</w:t>
            </w:r>
          </w:p>
        </w:tc>
        <w:tc>
          <w:tcPr>
            <w:tcW w:w="707" w:type="pct"/>
            <w:shd w:val="clear" w:color="auto" w:fill="auto"/>
            <w:tcMar>
              <w:top w:w="0" w:type="dxa"/>
              <w:left w:w="108" w:type="dxa"/>
              <w:bottom w:w="0" w:type="dxa"/>
              <w:right w:w="108" w:type="dxa"/>
            </w:tcMar>
            <w:vAlign w:val="center"/>
          </w:tcPr>
          <w:p w14:paraId="2B157188"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-3.01</w:t>
            </w:r>
          </w:p>
        </w:tc>
        <w:tc>
          <w:tcPr>
            <w:tcW w:w="939" w:type="pct"/>
            <w:shd w:val="clear" w:color="auto" w:fill="auto"/>
            <w:tcMar>
              <w:top w:w="0" w:type="dxa"/>
              <w:left w:w="108" w:type="dxa"/>
              <w:bottom w:w="0" w:type="dxa"/>
              <w:right w:w="108" w:type="dxa"/>
            </w:tcMar>
            <w:vAlign w:val="center"/>
          </w:tcPr>
          <w:p w14:paraId="70B12746"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-2.67 </w:t>
            </w:r>
          </w:p>
        </w:tc>
        <w:tc>
          <w:tcPr>
            <w:tcW w:w="1677" w:type="pct"/>
            <w:shd w:val="clear" w:color="auto" w:fill="auto"/>
            <w:tcMar>
              <w:top w:w="0" w:type="dxa"/>
              <w:left w:w="108" w:type="dxa"/>
              <w:bottom w:w="0" w:type="dxa"/>
              <w:right w:w="108" w:type="dxa"/>
            </w:tcMar>
            <w:vAlign w:val="center"/>
          </w:tcPr>
          <w:p w14:paraId="573CAEF6"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0.34 </w:t>
            </w:r>
          </w:p>
        </w:tc>
      </w:tr>
      <w:tr w:rsidR="006416B0" w:rsidRPr="00B4515A" w14:paraId="47B067D0"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7E11F1C3"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hint="eastAsia"/>
                <w:b/>
                <w:bCs/>
                <w:color w:val="000000"/>
                <w:sz w:val="21"/>
                <w:szCs w:val="21"/>
              </w:rPr>
              <w:lastRenderedPageBreak/>
              <w:t>项目</w:t>
            </w:r>
          </w:p>
        </w:tc>
        <w:tc>
          <w:tcPr>
            <w:tcW w:w="3323" w:type="pct"/>
            <w:gridSpan w:val="3"/>
            <w:shd w:val="clear" w:color="auto" w:fill="auto"/>
            <w:tcMar>
              <w:top w:w="0" w:type="dxa"/>
              <w:left w:w="108" w:type="dxa"/>
              <w:bottom w:w="0" w:type="dxa"/>
              <w:right w:w="108" w:type="dxa"/>
            </w:tcMar>
            <w:vAlign w:val="center"/>
          </w:tcPr>
          <w:p w14:paraId="1174C4D9" w14:textId="77777777" w:rsidR="006416B0" w:rsidRPr="00B4515A" w:rsidRDefault="005E58C1" w:rsidP="005860B4">
            <w:pPr>
              <w:adjustRightInd w:val="0"/>
              <w:snapToGrid w:val="0"/>
              <w:jc w:val="center"/>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 xml:space="preserve">2020 </w:t>
            </w:r>
            <w:r w:rsidRPr="00B4515A">
              <w:rPr>
                <w:rFonts w:ascii="Times New Roman" w:hAnsi="Times New Roman" w:cs="Times New Roman" w:hint="eastAsia"/>
                <w:b/>
                <w:bCs/>
                <w:color w:val="000000"/>
                <w:sz w:val="21"/>
                <w:szCs w:val="21"/>
              </w:rPr>
              <w:t>年</w:t>
            </w:r>
            <w:r w:rsidRPr="00B4515A">
              <w:rPr>
                <w:rFonts w:ascii="Times New Roman" w:hAnsi="Times New Roman" w:cs="Times New Roman"/>
                <w:b/>
                <w:bCs/>
                <w:color w:val="000000"/>
                <w:sz w:val="21"/>
                <w:szCs w:val="21"/>
              </w:rPr>
              <w:t xml:space="preserve"> </w:t>
            </w:r>
            <w:r w:rsidRPr="00B4515A">
              <w:rPr>
                <w:rFonts w:ascii="Times New Roman" w:eastAsia="等线" w:hAnsi="Times New Roman" w:cs="Times New Roman"/>
                <w:b/>
                <w:bCs/>
                <w:color w:val="000000"/>
                <w:sz w:val="21"/>
                <w:szCs w:val="21"/>
              </w:rPr>
              <w:t xml:space="preserve">12 </w:t>
            </w:r>
            <w:r w:rsidRPr="00B4515A">
              <w:rPr>
                <w:rFonts w:ascii="Times New Roman" w:hAnsi="Times New Roman" w:cs="Times New Roman" w:hint="eastAsia"/>
                <w:b/>
                <w:bCs/>
                <w:color w:val="000000"/>
                <w:sz w:val="21"/>
                <w:szCs w:val="21"/>
              </w:rPr>
              <w:t>月</w:t>
            </w:r>
            <w:r w:rsidRPr="00B4515A">
              <w:rPr>
                <w:rFonts w:ascii="Times New Roman" w:hAnsi="Times New Roman" w:cs="Times New Roman"/>
                <w:b/>
                <w:bCs/>
                <w:color w:val="000000"/>
                <w:sz w:val="21"/>
                <w:szCs w:val="21"/>
              </w:rPr>
              <w:t xml:space="preserve"> </w:t>
            </w:r>
            <w:r w:rsidRPr="00B4515A">
              <w:rPr>
                <w:rFonts w:ascii="Times New Roman" w:eastAsia="等线" w:hAnsi="Times New Roman" w:cs="Times New Roman"/>
                <w:b/>
                <w:bCs/>
                <w:color w:val="000000"/>
                <w:sz w:val="21"/>
                <w:szCs w:val="21"/>
              </w:rPr>
              <w:t xml:space="preserve">31 </w:t>
            </w:r>
            <w:r w:rsidRPr="00B4515A">
              <w:rPr>
                <w:rFonts w:ascii="Times New Roman" w:hAnsi="Times New Roman" w:cs="Times New Roman" w:hint="eastAsia"/>
                <w:b/>
                <w:bCs/>
                <w:color w:val="000000"/>
                <w:sz w:val="21"/>
                <w:szCs w:val="21"/>
              </w:rPr>
              <w:t>日</w:t>
            </w:r>
          </w:p>
        </w:tc>
      </w:tr>
      <w:tr w:rsidR="006416B0" w:rsidRPr="00B4515A" w14:paraId="7FF48FC0"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558B6C2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资产负债率</w:t>
            </w:r>
          </w:p>
        </w:tc>
        <w:tc>
          <w:tcPr>
            <w:tcW w:w="707" w:type="pct"/>
            <w:shd w:val="clear" w:color="auto" w:fill="auto"/>
            <w:tcMar>
              <w:top w:w="0" w:type="dxa"/>
              <w:left w:w="108" w:type="dxa"/>
              <w:bottom w:w="0" w:type="dxa"/>
              <w:right w:w="108" w:type="dxa"/>
            </w:tcMar>
            <w:vAlign w:val="center"/>
          </w:tcPr>
          <w:p w14:paraId="60C01876"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116.54%</w:t>
            </w:r>
          </w:p>
        </w:tc>
        <w:tc>
          <w:tcPr>
            <w:tcW w:w="939" w:type="pct"/>
            <w:shd w:val="clear" w:color="auto" w:fill="auto"/>
            <w:tcMar>
              <w:top w:w="0" w:type="dxa"/>
              <w:left w:w="108" w:type="dxa"/>
              <w:bottom w:w="0" w:type="dxa"/>
              <w:right w:w="108" w:type="dxa"/>
            </w:tcMar>
            <w:vAlign w:val="center"/>
          </w:tcPr>
          <w:p w14:paraId="447744FA"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77.72%</w:t>
            </w:r>
          </w:p>
        </w:tc>
        <w:tc>
          <w:tcPr>
            <w:tcW w:w="1677" w:type="pct"/>
            <w:shd w:val="clear" w:color="auto" w:fill="auto"/>
            <w:tcMar>
              <w:top w:w="0" w:type="dxa"/>
              <w:left w:w="108" w:type="dxa"/>
              <w:bottom w:w="0" w:type="dxa"/>
              <w:right w:w="108" w:type="dxa"/>
            </w:tcMar>
            <w:vAlign w:val="center"/>
          </w:tcPr>
          <w:p w14:paraId="2E9E0A0E"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-38.82%</w:t>
            </w:r>
          </w:p>
        </w:tc>
      </w:tr>
      <w:tr w:rsidR="006416B0" w:rsidRPr="00B4515A" w14:paraId="55FA2812"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643BC2B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流动比率（倍）</w:t>
            </w:r>
          </w:p>
        </w:tc>
        <w:tc>
          <w:tcPr>
            <w:tcW w:w="707" w:type="pct"/>
            <w:shd w:val="clear" w:color="auto" w:fill="auto"/>
            <w:tcMar>
              <w:top w:w="0" w:type="dxa"/>
              <w:left w:w="108" w:type="dxa"/>
              <w:bottom w:w="0" w:type="dxa"/>
              <w:right w:w="108" w:type="dxa"/>
            </w:tcMar>
            <w:vAlign w:val="center"/>
          </w:tcPr>
          <w:p w14:paraId="63A8E993"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0.44</w:t>
            </w:r>
          </w:p>
        </w:tc>
        <w:tc>
          <w:tcPr>
            <w:tcW w:w="939" w:type="pct"/>
            <w:shd w:val="clear" w:color="auto" w:fill="auto"/>
            <w:tcMar>
              <w:top w:w="0" w:type="dxa"/>
              <w:left w:w="108" w:type="dxa"/>
              <w:bottom w:w="0" w:type="dxa"/>
              <w:right w:w="108" w:type="dxa"/>
            </w:tcMar>
            <w:vAlign w:val="center"/>
          </w:tcPr>
          <w:p w14:paraId="62158E1B"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0.95 </w:t>
            </w:r>
          </w:p>
        </w:tc>
        <w:tc>
          <w:tcPr>
            <w:tcW w:w="1677" w:type="pct"/>
            <w:shd w:val="clear" w:color="auto" w:fill="auto"/>
            <w:tcMar>
              <w:top w:w="0" w:type="dxa"/>
              <w:left w:w="108" w:type="dxa"/>
              <w:bottom w:w="0" w:type="dxa"/>
              <w:right w:w="108" w:type="dxa"/>
            </w:tcMar>
            <w:vAlign w:val="center"/>
          </w:tcPr>
          <w:p w14:paraId="6FF99C9D"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0.52 </w:t>
            </w:r>
          </w:p>
        </w:tc>
      </w:tr>
      <w:tr w:rsidR="006416B0" w:rsidRPr="00B4515A" w14:paraId="4A5DC1F0"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78E0304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速动比率（倍）</w:t>
            </w:r>
          </w:p>
        </w:tc>
        <w:tc>
          <w:tcPr>
            <w:tcW w:w="707" w:type="pct"/>
            <w:shd w:val="clear" w:color="auto" w:fill="auto"/>
            <w:tcMar>
              <w:top w:w="0" w:type="dxa"/>
              <w:left w:w="108" w:type="dxa"/>
              <w:bottom w:w="0" w:type="dxa"/>
              <w:right w:w="108" w:type="dxa"/>
            </w:tcMar>
            <w:vAlign w:val="center"/>
          </w:tcPr>
          <w:p w14:paraId="4BA7EECD"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0.29</w:t>
            </w:r>
          </w:p>
        </w:tc>
        <w:tc>
          <w:tcPr>
            <w:tcW w:w="939" w:type="pct"/>
            <w:shd w:val="clear" w:color="auto" w:fill="auto"/>
            <w:tcMar>
              <w:top w:w="0" w:type="dxa"/>
              <w:left w:w="108" w:type="dxa"/>
              <w:bottom w:w="0" w:type="dxa"/>
              <w:right w:w="108" w:type="dxa"/>
            </w:tcMar>
            <w:vAlign w:val="center"/>
          </w:tcPr>
          <w:p w14:paraId="04810984"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0.78 </w:t>
            </w:r>
          </w:p>
        </w:tc>
        <w:tc>
          <w:tcPr>
            <w:tcW w:w="1677" w:type="pct"/>
            <w:shd w:val="clear" w:color="auto" w:fill="auto"/>
            <w:tcMar>
              <w:top w:w="0" w:type="dxa"/>
              <w:left w:w="108" w:type="dxa"/>
              <w:bottom w:w="0" w:type="dxa"/>
              <w:right w:w="108" w:type="dxa"/>
            </w:tcMar>
            <w:vAlign w:val="center"/>
          </w:tcPr>
          <w:p w14:paraId="6556B4AA"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0.49 </w:t>
            </w:r>
          </w:p>
        </w:tc>
      </w:tr>
      <w:tr w:rsidR="006416B0" w:rsidRPr="00B4515A" w14:paraId="33115ABD"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09E5E86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利息保障倍数（倍）</w:t>
            </w:r>
          </w:p>
        </w:tc>
        <w:tc>
          <w:tcPr>
            <w:tcW w:w="707" w:type="pct"/>
            <w:shd w:val="clear" w:color="auto" w:fill="auto"/>
            <w:tcMar>
              <w:top w:w="0" w:type="dxa"/>
              <w:left w:w="108" w:type="dxa"/>
              <w:bottom w:w="0" w:type="dxa"/>
              <w:right w:w="108" w:type="dxa"/>
            </w:tcMar>
            <w:vAlign w:val="center"/>
          </w:tcPr>
          <w:p w14:paraId="5411BDEA"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-14.07</w:t>
            </w:r>
          </w:p>
        </w:tc>
        <w:tc>
          <w:tcPr>
            <w:tcW w:w="939" w:type="pct"/>
            <w:shd w:val="clear" w:color="auto" w:fill="auto"/>
            <w:tcMar>
              <w:top w:w="0" w:type="dxa"/>
              <w:left w:w="108" w:type="dxa"/>
              <w:bottom w:w="0" w:type="dxa"/>
              <w:right w:w="108" w:type="dxa"/>
            </w:tcMar>
            <w:vAlign w:val="center"/>
          </w:tcPr>
          <w:p w14:paraId="47AF9592"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-11.06 </w:t>
            </w:r>
          </w:p>
        </w:tc>
        <w:tc>
          <w:tcPr>
            <w:tcW w:w="1677" w:type="pct"/>
            <w:shd w:val="clear" w:color="auto" w:fill="auto"/>
            <w:tcMar>
              <w:top w:w="0" w:type="dxa"/>
              <w:left w:w="108" w:type="dxa"/>
              <w:bottom w:w="0" w:type="dxa"/>
              <w:right w:w="108" w:type="dxa"/>
            </w:tcMar>
            <w:vAlign w:val="center"/>
          </w:tcPr>
          <w:p w14:paraId="3609DA88"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3.01 </w:t>
            </w:r>
          </w:p>
        </w:tc>
      </w:tr>
    </w:tbl>
    <w:p w14:paraId="3BD2DB81" w14:textId="1A0BEE9A" w:rsidR="006416B0" w:rsidRPr="00B4515A" w:rsidRDefault="005E58C1" w:rsidP="006100BC">
      <w:pPr>
        <w:pStyle w:val="006"/>
        <w:ind w:firstLine="420"/>
      </w:pPr>
      <w:r w:rsidRPr="00B4515A">
        <w:rPr>
          <w:rFonts w:hint="eastAsia"/>
        </w:rPr>
        <w:t>注：</w:t>
      </w:r>
      <w:r w:rsidR="003855A8" w:rsidRPr="00B4515A">
        <w:rPr>
          <w:rFonts w:hint="eastAsia"/>
        </w:rPr>
        <w:t>（</w:t>
      </w:r>
      <w:r w:rsidR="003855A8" w:rsidRPr="00B4515A">
        <w:rPr>
          <w:rFonts w:hint="eastAsia"/>
        </w:rPr>
        <w:t>1</w:t>
      </w:r>
      <w:r w:rsidR="003855A8" w:rsidRPr="00B4515A">
        <w:rPr>
          <w:rFonts w:hint="eastAsia"/>
        </w:rPr>
        <w:t>）</w:t>
      </w:r>
      <w:r w:rsidRPr="00B4515A">
        <w:rPr>
          <w:rFonts w:hint="eastAsia"/>
        </w:rPr>
        <w:t>资产负债率＝（负债总额</w:t>
      </w:r>
      <w:r w:rsidRPr="00B4515A">
        <w:t>/</w:t>
      </w:r>
      <w:r w:rsidRPr="00B4515A">
        <w:rPr>
          <w:rFonts w:hint="eastAsia"/>
        </w:rPr>
        <w:t>资产总额）×</w:t>
      </w:r>
      <w:r w:rsidRPr="00B4515A">
        <w:t>100%</w:t>
      </w:r>
      <w:r w:rsidRPr="00B4515A">
        <w:rPr>
          <w:rFonts w:hint="eastAsia"/>
        </w:rPr>
        <w:t>；</w:t>
      </w:r>
    </w:p>
    <w:p w14:paraId="233BAB59" w14:textId="1F2F5691" w:rsidR="006416B0" w:rsidRPr="00B4515A" w:rsidRDefault="003855A8" w:rsidP="006100BC">
      <w:pPr>
        <w:pStyle w:val="006"/>
        <w:ind w:firstLine="420"/>
      </w:pPr>
      <w:r w:rsidRPr="00B4515A">
        <w:rPr>
          <w:rFonts w:hint="eastAsia"/>
        </w:rPr>
        <w:t>（</w:t>
      </w:r>
      <w:r w:rsidRPr="00B4515A">
        <w:rPr>
          <w:rFonts w:hint="eastAsia"/>
        </w:rPr>
        <w:t>2</w:t>
      </w:r>
      <w:r w:rsidRPr="00B4515A">
        <w:rPr>
          <w:rFonts w:hint="eastAsia"/>
        </w:rPr>
        <w:t>）</w:t>
      </w:r>
      <w:r w:rsidR="005E58C1" w:rsidRPr="00B4515A">
        <w:rPr>
          <w:rFonts w:hint="eastAsia"/>
        </w:rPr>
        <w:t>流动比率＝流动资产</w:t>
      </w:r>
      <w:r w:rsidR="005E58C1" w:rsidRPr="00B4515A">
        <w:t>/</w:t>
      </w:r>
      <w:r w:rsidR="005E58C1" w:rsidRPr="00B4515A">
        <w:rPr>
          <w:rFonts w:hint="eastAsia"/>
        </w:rPr>
        <w:t>流动负债；</w:t>
      </w:r>
    </w:p>
    <w:p w14:paraId="432933BF" w14:textId="2D882F36" w:rsidR="006416B0" w:rsidRPr="00B4515A" w:rsidRDefault="003855A8" w:rsidP="006100BC">
      <w:pPr>
        <w:pStyle w:val="006"/>
        <w:ind w:firstLine="420"/>
      </w:pPr>
      <w:r w:rsidRPr="00B4515A">
        <w:rPr>
          <w:rFonts w:hint="eastAsia"/>
        </w:rPr>
        <w:t>（</w:t>
      </w:r>
      <w:r w:rsidRPr="00B4515A">
        <w:rPr>
          <w:rFonts w:hint="eastAsia"/>
        </w:rPr>
        <w:t>3</w:t>
      </w:r>
      <w:r w:rsidRPr="00B4515A">
        <w:rPr>
          <w:rFonts w:hint="eastAsia"/>
        </w:rPr>
        <w:t>）</w:t>
      </w:r>
      <w:r w:rsidR="005E58C1" w:rsidRPr="00B4515A">
        <w:rPr>
          <w:rFonts w:hint="eastAsia"/>
        </w:rPr>
        <w:t>速动比率＝速动比率＝（流动资产－存货</w:t>
      </w:r>
      <w:r w:rsidR="005E58C1" w:rsidRPr="00B4515A">
        <w:t>-</w:t>
      </w:r>
      <w:r w:rsidR="005E58C1" w:rsidRPr="00B4515A">
        <w:rPr>
          <w:rFonts w:hint="eastAsia"/>
        </w:rPr>
        <w:t>预付款项</w:t>
      </w:r>
      <w:r w:rsidR="005E58C1" w:rsidRPr="00B4515A">
        <w:t>-</w:t>
      </w:r>
      <w:r w:rsidR="005E58C1" w:rsidRPr="00B4515A">
        <w:rPr>
          <w:rFonts w:hint="eastAsia"/>
        </w:rPr>
        <w:t>其他流动资产）</w:t>
      </w:r>
      <w:r w:rsidR="005E58C1" w:rsidRPr="00B4515A">
        <w:t>/</w:t>
      </w:r>
      <w:r w:rsidR="005E58C1" w:rsidRPr="00B4515A">
        <w:rPr>
          <w:rFonts w:hint="eastAsia"/>
        </w:rPr>
        <w:t>流动负债；</w:t>
      </w:r>
    </w:p>
    <w:p w14:paraId="1EB30BFE" w14:textId="6479C3B7" w:rsidR="006416B0" w:rsidRPr="00B4515A" w:rsidRDefault="003855A8" w:rsidP="006100BC">
      <w:pPr>
        <w:pStyle w:val="006"/>
        <w:ind w:firstLine="420"/>
      </w:pPr>
      <w:r w:rsidRPr="00B4515A">
        <w:rPr>
          <w:rFonts w:hint="eastAsia"/>
        </w:rPr>
        <w:t>（</w:t>
      </w:r>
      <w:r w:rsidRPr="00B4515A">
        <w:rPr>
          <w:rFonts w:hint="eastAsia"/>
        </w:rPr>
        <w:t>4</w:t>
      </w:r>
      <w:r w:rsidRPr="00B4515A">
        <w:rPr>
          <w:rFonts w:hint="eastAsia"/>
        </w:rPr>
        <w:t>）</w:t>
      </w:r>
      <w:r w:rsidR="005E58C1" w:rsidRPr="00B4515A">
        <w:rPr>
          <w:rFonts w:hint="eastAsia"/>
        </w:rPr>
        <w:t>利息保障倍数＝（利润总额＋计入财务费用的利息支出）</w:t>
      </w:r>
      <w:r w:rsidR="005E58C1" w:rsidRPr="00B4515A">
        <w:t>/</w:t>
      </w:r>
      <w:r w:rsidR="005E58C1" w:rsidRPr="00B4515A">
        <w:rPr>
          <w:rFonts w:hint="eastAsia"/>
        </w:rPr>
        <w:t>利息支出。</w:t>
      </w:r>
    </w:p>
    <w:p w14:paraId="55DFCE70" w14:textId="77777777" w:rsidR="006416B0" w:rsidRPr="00B4515A" w:rsidRDefault="005E58C1" w:rsidP="006100BC">
      <w:pPr>
        <w:pStyle w:val="005"/>
        <w:spacing w:before="120" w:after="120"/>
        <w:ind w:firstLine="480"/>
        <w:rPr>
          <w:rFonts w:asciiTheme="minorEastAsia" w:hAnsiTheme="minorEastAsia"/>
        </w:rPr>
      </w:pPr>
      <w:r w:rsidRPr="00B4515A">
        <w:rPr>
          <w:rFonts w:hint="eastAsia"/>
        </w:rPr>
        <w:t>本次交易完成后，</w:t>
      </w:r>
      <w:r w:rsidRPr="00B4515A">
        <w:t xml:space="preserve">2020 </w:t>
      </w:r>
      <w:r w:rsidRPr="00B4515A">
        <w:rPr>
          <w:rFonts w:hint="eastAsia"/>
        </w:rPr>
        <w:t>年末及</w:t>
      </w:r>
      <w:r w:rsidRPr="00B4515A">
        <w:t>2021</w:t>
      </w:r>
      <w:r w:rsidRPr="00B4515A">
        <w:rPr>
          <w:rFonts w:hint="eastAsia"/>
        </w:rPr>
        <w:t>年</w:t>
      </w:r>
      <w:r w:rsidRPr="00B4515A">
        <w:t>4</w:t>
      </w:r>
      <w:r w:rsidRPr="00B4515A">
        <w:rPr>
          <w:rFonts w:hint="eastAsia"/>
        </w:rPr>
        <w:t>月末，上市公司备考后的资产负债率大幅度下降，与此同时，上市公司备考后的流动比率、速动比率和利息保障倍数均有所上升，上市公司偿债能力得到明显改善</w:t>
      </w:r>
      <w:r w:rsidRPr="00B4515A">
        <w:rPr>
          <w:rFonts w:asciiTheme="minorEastAsia" w:hAnsiTheme="minorEastAsia" w:hint="eastAsia"/>
        </w:rPr>
        <w:t>。</w:t>
      </w:r>
    </w:p>
    <w:p w14:paraId="05FF7D40" w14:textId="77777777" w:rsidR="006416B0" w:rsidRPr="00B4515A" w:rsidRDefault="005E58C1" w:rsidP="006100BC">
      <w:pPr>
        <w:pStyle w:val="005"/>
        <w:spacing w:before="120" w:after="120"/>
        <w:ind w:firstLine="480"/>
        <w:rPr>
          <w:rFonts w:asciiTheme="minorEastAsia" w:hAnsiTheme="minorEastAsia"/>
        </w:rPr>
      </w:pPr>
      <w:r w:rsidRPr="00B4515A">
        <w:rPr>
          <w:rFonts w:asciiTheme="minorEastAsia" w:hAnsiTheme="minorEastAsia" w:hint="eastAsia"/>
        </w:rPr>
        <w:t>本次交易前后，上市公司主要运营能力指标如下表所示：</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860"/>
        <w:gridCol w:w="1206"/>
        <w:gridCol w:w="1602"/>
        <w:gridCol w:w="2860"/>
      </w:tblGrid>
      <w:tr w:rsidR="006416B0" w:rsidRPr="00B4515A" w14:paraId="0560CB04" w14:textId="77777777" w:rsidTr="00031627">
        <w:trPr>
          <w:trHeight w:val="340"/>
          <w:jc w:val="center"/>
        </w:trPr>
        <w:tc>
          <w:tcPr>
            <w:tcW w:w="1677" w:type="pct"/>
            <w:vMerge w:val="restart"/>
            <w:shd w:val="clear" w:color="auto" w:fill="auto"/>
            <w:tcMar>
              <w:top w:w="0" w:type="dxa"/>
              <w:left w:w="108" w:type="dxa"/>
              <w:bottom w:w="0" w:type="dxa"/>
              <w:right w:w="108" w:type="dxa"/>
            </w:tcMar>
            <w:vAlign w:val="center"/>
          </w:tcPr>
          <w:p w14:paraId="3574BC91"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项目</w:t>
            </w:r>
          </w:p>
        </w:tc>
        <w:tc>
          <w:tcPr>
            <w:tcW w:w="3323" w:type="pct"/>
            <w:gridSpan w:val="3"/>
            <w:shd w:val="clear" w:color="auto" w:fill="auto"/>
            <w:tcMar>
              <w:top w:w="0" w:type="dxa"/>
              <w:left w:w="108" w:type="dxa"/>
              <w:bottom w:w="0" w:type="dxa"/>
              <w:right w:w="108" w:type="dxa"/>
            </w:tcMar>
            <w:vAlign w:val="center"/>
          </w:tcPr>
          <w:p w14:paraId="5A72E8FB" w14:textId="77777777" w:rsidR="006416B0" w:rsidRPr="00B4515A" w:rsidRDefault="005E58C1" w:rsidP="005860B4">
            <w:pPr>
              <w:adjustRightInd w:val="0"/>
              <w:snapToGrid w:val="0"/>
              <w:jc w:val="center"/>
              <w:rPr>
                <w:rFonts w:ascii="Times New Roman" w:eastAsia="等线" w:cs="Times New Roman"/>
                <w:b/>
                <w:bCs/>
                <w:color w:val="000000"/>
                <w:sz w:val="21"/>
                <w:szCs w:val="21"/>
              </w:rPr>
            </w:pPr>
            <w:r w:rsidRPr="00B4515A">
              <w:rPr>
                <w:rFonts w:ascii="Times New Roman" w:eastAsia="等线" w:cs="Times New Roman"/>
                <w:b/>
                <w:bCs/>
                <w:color w:val="000000"/>
                <w:sz w:val="21"/>
                <w:szCs w:val="21"/>
              </w:rPr>
              <w:t>2021</w:t>
            </w:r>
            <w:r w:rsidRPr="00B4515A">
              <w:rPr>
                <w:rFonts w:cs="Times New Roman" w:hint="eastAsia"/>
                <w:b/>
                <w:bCs/>
                <w:color w:val="000000"/>
                <w:sz w:val="21"/>
                <w:szCs w:val="21"/>
              </w:rPr>
              <w:t>年</w:t>
            </w:r>
            <w:r w:rsidRPr="00B4515A">
              <w:rPr>
                <w:rFonts w:ascii="Times New Roman" w:eastAsia="等线" w:cs="Times New Roman"/>
                <w:b/>
                <w:bCs/>
                <w:color w:val="000000"/>
                <w:sz w:val="21"/>
                <w:szCs w:val="21"/>
              </w:rPr>
              <w:t xml:space="preserve"> 4 </w:t>
            </w:r>
            <w:r w:rsidRPr="00B4515A">
              <w:rPr>
                <w:rFonts w:cs="Times New Roman" w:hint="eastAsia"/>
                <w:b/>
                <w:bCs/>
                <w:color w:val="000000"/>
                <w:sz w:val="21"/>
                <w:szCs w:val="21"/>
              </w:rPr>
              <w:t>月</w:t>
            </w:r>
            <w:r w:rsidRPr="00B4515A">
              <w:rPr>
                <w:rFonts w:ascii="Times New Roman" w:eastAsia="等线" w:cs="Times New Roman"/>
                <w:b/>
                <w:bCs/>
                <w:color w:val="000000"/>
                <w:sz w:val="21"/>
                <w:szCs w:val="21"/>
              </w:rPr>
              <w:t xml:space="preserve"> 30 </w:t>
            </w:r>
            <w:r w:rsidRPr="00B4515A">
              <w:rPr>
                <w:rFonts w:cs="Times New Roman" w:hint="eastAsia"/>
                <w:b/>
                <w:bCs/>
                <w:color w:val="000000"/>
                <w:sz w:val="21"/>
                <w:szCs w:val="21"/>
              </w:rPr>
              <w:t>日</w:t>
            </w:r>
          </w:p>
        </w:tc>
      </w:tr>
      <w:tr w:rsidR="006416B0" w:rsidRPr="00B4515A" w14:paraId="6E79707A" w14:textId="77777777" w:rsidTr="00031627">
        <w:trPr>
          <w:trHeight w:val="340"/>
          <w:jc w:val="center"/>
        </w:trPr>
        <w:tc>
          <w:tcPr>
            <w:tcW w:w="1677" w:type="pct"/>
            <w:vMerge/>
            <w:shd w:val="clear" w:color="auto" w:fill="auto"/>
            <w:tcMar>
              <w:top w:w="0" w:type="dxa"/>
              <w:left w:w="108" w:type="dxa"/>
              <w:bottom w:w="0" w:type="dxa"/>
              <w:right w:w="108" w:type="dxa"/>
            </w:tcMar>
            <w:vAlign w:val="center"/>
          </w:tcPr>
          <w:p w14:paraId="6D590628" w14:textId="77777777" w:rsidR="006416B0" w:rsidRPr="00B4515A" w:rsidRDefault="006416B0" w:rsidP="005860B4">
            <w:pPr>
              <w:adjustRightInd w:val="0"/>
              <w:snapToGrid w:val="0"/>
              <w:rPr>
                <w:b/>
                <w:bCs/>
                <w:color w:val="000000"/>
                <w:sz w:val="21"/>
                <w:szCs w:val="21"/>
              </w:rPr>
            </w:pPr>
          </w:p>
        </w:tc>
        <w:tc>
          <w:tcPr>
            <w:tcW w:w="707" w:type="pct"/>
            <w:shd w:val="clear" w:color="auto" w:fill="auto"/>
            <w:tcMar>
              <w:top w:w="0" w:type="dxa"/>
              <w:left w:w="108" w:type="dxa"/>
              <w:bottom w:w="0" w:type="dxa"/>
              <w:right w:w="108" w:type="dxa"/>
            </w:tcMar>
            <w:vAlign w:val="center"/>
          </w:tcPr>
          <w:p w14:paraId="0B4E2518"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交易前</w:t>
            </w:r>
          </w:p>
        </w:tc>
        <w:tc>
          <w:tcPr>
            <w:tcW w:w="939" w:type="pct"/>
            <w:shd w:val="clear" w:color="auto" w:fill="auto"/>
            <w:tcMar>
              <w:top w:w="0" w:type="dxa"/>
              <w:left w:w="108" w:type="dxa"/>
              <w:bottom w:w="0" w:type="dxa"/>
              <w:right w:w="108" w:type="dxa"/>
            </w:tcMar>
            <w:vAlign w:val="center"/>
          </w:tcPr>
          <w:p w14:paraId="4FF1C73C"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交易后（备考）</w:t>
            </w:r>
          </w:p>
        </w:tc>
        <w:tc>
          <w:tcPr>
            <w:tcW w:w="1677" w:type="pct"/>
            <w:shd w:val="clear" w:color="auto" w:fill="auto"/>
            <w:tcMar>
              <w:top w:w="0" w:type="dxa"/>
              <w:left w:w="108" w:type="dxa"/>
              <w:bottom w:w="0" w:type="dxa"/>
              <w:right w:w="108" w:type="dxa"/>
            </w:tcMar>
            <w:vAlign w:val="center"/>
          </w:tcPr>
          <w:p w14:paraId="09752783"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变化率</w:t>
            </w:r>
          </w:p>
        </w:tc>
      </w:tr>
      <w:tr w:rsidR="006416B0" w:rsidRPr="00B4515A" w14:paraId="6DF4449B"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43DCF8BF"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应收账款周转率（次</w:t>
            </w:r>
            <w:r w:rsidRPr="00B4515A">
              <w:rPr>
                <w:rFonts w:ascii="Times New Roman" w:cs="Times New Roman"/>
                <w:color w:val="000000"/>
                <w:sz w:val="21"/>
                <w:szCs w:val="21"/>
              </w:rPr>
              <w:t>/</w:t>
            </w:r>
            <w:r w:rsidRPr="00B4515A">
              <w:rPr>
                <w:rFonts w:hint="eastAsia"/>
                <w:color w:val="000000"/>
                <w:sz w:val="21"/>
                <w:szCs w:val="21"/>
              </w:rPr>
              <w:t>年）</w:t>
            </w:r>
          </w:p>
        </w:tc>
        <w:tc>
          <w:tcPr>
            <w:tcW w:w="707" w:type="pct"/>
            <w:shd w:val="clear" w:color="auto" w:fill="auto"/>
            <w:tcMar>
              <w:top w:w="0" w:type="dxa"/>
              <w:left w:w="108" w:type="dxa"/>
              <w:bottom w:w="0" w:type="dxa"/>
              <w:right w:w="108" w:type="dxa"/>
            </w:tcMar>
            <w:vAlign w:val="center"/>
          </w:tcPr>
          <w:p w14:paraId="0F3F9E1E"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cs="Times New Roman"/>
                <w:color w:val="000000"/>
                <w:sz w:val="21"/>
                <w:szCs w:val="21"/>
              </w:rPr>
              <w:t xml:space="preserve">0.08 </w:t>
            </w:r>
          </w:p>
        </w:tc>
        <w:tc>
          <w:tcPr>
            <w:tcW w:w="939" w:type="pct"/>
            <w:shd w:val="clear" w:color="auto" w:fill="auto"/>
            <w:tcMar>
              <w:top w:w="0" w:type="dxa"/>
              <w:left w:w="108" w:type="dxa"/>
              <w:bottom w:w="0" w:type="dxa"/>
              <w:right w:w="108" w:type="dxa"/>
            </w:tcMar>
            <w:vAlign w:val="center"/>
          </w:tcPr>
          <w:p w14:paraId="16A19980"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hAnsi="Times New Roman" w:cs="Times New Roman"/>
                <w:color w:val="000000"/>
                <w:sz w:val="21"/>
                <w:szCs w:val="21"/>
              </w:rPr>
              <w:t xml:space="preserve">0.13 </w:t>
            </w:r>
          </w:p>
        </w:tc>
        <w:tc>
          <w:tcPr>
            <w:tcW w:w="1677" w:type="pct"/>
            <w:shd w:val="clear" w:color="auto" w:fill="auto"/>
            <w:tcMar>
              <w:top w:w="0" w:type="dxa"/>
              <w:left w:w="108" w:type="dxa"/>
              <w:bottom w:w="0" w:type="dxa"/>
              <w:right w:w="108" w:type="dxa"/>
            </w:tcMar>
            <w:vAlign w:val="center"/>
          </w:tcPr>
          <w:p w14:paraId="508A8A9B"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hAnsi="Times New Roman" w:cs="Times New Roman"/>
                <w:color w:val="000000"/>
                <w:sz w:val="21"/>
                <w:szCs w:val="21"/>
              </w:rPr>
              <w:t>58.52%</w:t>
            </w:r>
          </w:p>
        </w:tc>
      </w:tr>
      <w:tr w:rsidR="006416B0" w:rsidRPr="00B4515A" w14:paraId="0C6EBF55"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4EF8E884"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总资产周转率（次</w:t>
            </w:r>
            <w:r w:rsidRPr="00B4515A">
              <w:rPr>
                <w:rFonts w:ascii="Times New Roman" w:cs="Times New Roman"/>
                <w:color w:val="000000"/>
                <w:sz w:val="21"/>
                <w:szCs w:val="21"/>
              </w:rPr>
              <w:t>/</w:t>
            </w:r>
            <w:r w:rsidRPr="00B4515A">
              <w:rPr>
                <w:rFonts w:hint="eastAsia"/>
                <w:color w:val="000000"/>
                <w:sz w:val="21"/>
                <w:szCs w:val="21"/>
              </w:rPr>
              <w:t>年）</w:t>
            </w:r>
          </w:p>
        </w:tc>
        <w:tc>
          <w:tcPr>
            <w:tcW w:w="707" w:type="pct"/>
            <w:shd w:val="clear" w:color="auto" w:fill="auto"/>
            <w:tcMar>
              <w:top w:w="0" w:type="dxa"/>
              <w:left w:w="108" w:type="dxa"/>
              <w:bottom w:w="0" w:type="dxa"/>
              <w:right w:w="108" w:type="dxa"/>
            </w:tcMar>
            <w:vAlign w:val="center"/>
          </w:tcPr>
          <w:p w14:paraId="3DFCF3AF"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cs="Times New Roman"/>
                <w:color w:val="000000"/>
                <w:sz w:val="21"/>
                <w:szCs w:val="21"/>
              </w:rPr>
              <w:t xml:space="preserve">0.04 </w:t>
            </w:r>
          </w:p>
        </w:tc>
        <w:tc>
          <w:tcPr>
            <w:tcW w:w="939" w:type="pct"/>
            <w:shd w:val="clear" w:color="auto" w:fill="auto"/>
            <w:tcMar>
              <w:top w:w="0" w:type="dxa"/>
              <w:left w:w="108" w:type="dxa"/>
              <w:bottom w:w="0" w:type="dxa"/>
              <w:right w:w="108" w:type="dxa"/>
            </w:tcMar>
            <w:vAlign w:val="center"/>
          </w:tcPr>
          <w:p w14:paraId="2C1D5159"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hAnsi="Times New Roman" w:cs="Times New Roman"/>
                <w:color w:val="000000"/>
                <w:sz w:val="21"/>
                <w:szCs w:val="21"/>
              </w:rPr>
              <w:t xml:space="preserve">0.05 </w:t>
            </w:r>
          </w:p>
        </w:tc>
        <w:tc>
          <w:tcPr>
            <w:tcW w:w="1677" w:type="pct"/>
            <w:shd w:val="clear" w:color="auto" w:fill="auto"/>
            <w:tcMar>
              <w:top w:w="0" w:type="dxa"/>
              <w:left w:w="108" w:type="dxa"/>
              <w:bottom w:w="0" w:type="dxa"/>
              <w:right w:w="108" w:type="dxa"/>
            </w:tcMar>
            <w:vAlign w:val="center"/>
          </w:tcPr>
          <w:p w14:paraId="7BC695D3"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hAnsi="Times New Roman" w:cs="Times New Roman"/>
                <w:color w:val="000000"/>
                <w:sz w:val="21"/>
                <w:szCs w:val="21"/>
              </w:rPr>
              <w:t>6.67%</w:t>
            </w:r>
          </w:p>
        </w:tc>
      </w:tr>
      <w:tr w:rsidR="006416B0" w:rsidRPr="00B4515A" w14:paraId="3BD69268"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0FAEE724"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存货周转率（次</w:t>
            </w:r>
            <w:r w:rsidRPr="00B4515A">
              <w:rPr>
                <w:rFonts w:ascii="Times New Roman" w:cs="Times New Roman"/>
                <w:color w:val="000000"/>
                <w:sz w:val="21"/>
                <w:szCs w:val="21"/>
              </w:rPr>
              <w:t>/</w:t>
            </w:r>
            <w:r w:rsidRPr="00B4515A">
              <w:rPr>
                <w:rFonts w:hint="eastAsia"/>
                <w:color w:val="000000"/>
                <w:sz w:val="21"/>
                <w:szCs w:val="21"/>
              </w:rPr>
              <w:t>年）</w:t>
            </w:r>
          </w:p>
        </w:tc>
        <w:tc>
          <w:tcPr>
            <w:tcW w:w="707" w:type="pct"/>
            <w:shd w:val="clear" w:color="auto" w:fill="auto"/>
            <w:tcMar>
              <w:top w:w="0" w:type="dxa"/>
              <w:left w:w="108" w:type="dxa"/>
              <w:bottom w:w="0" w:type="dxa"/>
              <w:right w:w="108" w:type="dxa"/>
            </w:tcMar>
            <w:vAlign w:val="center"/>
          </w:tcPr>
          <w:p w14:paraId="43E5F997"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cs="Times New Roman"/>
                <w:color w:val="000000"/>
                <w:sz w:val="21"/>
                <w:szCs w:val="21"/>
              </w:rPr>
              <w:t xml:space="preserve">0.14 </w:t>
            </w:r>
          </w:p>
        </w:tc>
        <w:tc>
          <w:tcPr>
            <w:tcW w:w="939" w:type="pct"/>
            <w:shd w:val="clear" w:color="auto" w:fill="auto"/>
            <w:tcMar>
              <w:top w:w="0" w:type="dxa"/>
              <w:left w:w="108" w:type="dxa"/>
              <w:bottom w:w="0" w:type="dxa"/>
              <w:right w:w="108" w:type="dxa"/>
            </w:tcMar>
            <w:vAlign w:val="center"/>
          </w:tcPr>
          <w:p w14:paraId="68A4E175"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hAnsi="Times New Roman" w:cs="Times New Roman"/>
                <w:color w:val="000000"/>
                <w:sz w:val="21"/>
                <w:szCs w:val="21"/>
              </w:rPr>
              <w:t xml:space="preserve">0.22 </w:t>
            </w:r>
          </w:p>
        </w:tc>
        <w:tc>
          <w:tcPr>
            <w:tcW w:w="1677" w:type="pct"/>
            <w:shd w:val="clear" w:color="auto" w:fill="auto"/>
            <w:tcMar>
              <w:top w:w="0" w:type="dxa"/>
              <w:left w:w="108" w:type="dxa"/>
              <w:bottom w:w="0" w:type="dxa"/>
              <w:right w:w="108" w:type="dxa"/>
            </w:tcMar>
            <w:vAlign w:val="center"/>
          </w:tcPr>
          <w:p w14:paraId="186A29E9"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hAnsi="Times New Roman" w:cs="Times New Roman"/>
                <w:color w:val="000000"/>
                <w:sz w:val="21"/>
                <w:szCs w:val="21"/>
              </w:rPr>
              <w:t>60.57%</w:t>
            </w:r>
          </w:p>
        </w:tc>
      </w:tr>
      <w:tr w:rsidR="006416B0" w:rsidRPr="00B4515A" w14:paraId="3F2AEC92" w14:textId="77777777" w:rsidTr="00031627">
        <w:trPr>
          <w:trHeight w:val="340"/>
          <w:jc w:val="center"/>
        </w:trPr>
        <w:tc>
          <w:tcPr>
            <w:tcW w:w="1677" w:type="pct"/>
            <w:vMerge w:val="restart"/>
            <w:shd w:val="clear" w:color="auto" w:fill="auto"/>
            <w:tcMar>
              <w:top w:w="0" w:type="dxa"/>
              <w:left w:w="108" w:type="dxa"/>
              <w:bottom w:w="0" w:type="dxa"/>
              <w:right w:w="108" w:type="dxa"/>
            </w:tcMar>
            <w:vAlign w:val="center"/>
          </w:tcPr>
          <w:p w14:paraId="31BB738D"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项目</w:t>
            </w:r>
          </w:p>
        </w:tc>
        <w:tc>
          <w:tcPr>
            <w:tcW w:w="3323" w:type="pct"/>
            <w:gridSpan w:val="3"/>
            <w:shd w:val="clear" w:color="auto" w:fill="auto"/>
            <w:tcMar>
              <w:top w:w="0" w:type="dxa"/>
              <w:left w:w="108" w:type="dxa"/>
              <w:bottom w:w="0" w:type="dxa"/>
              <w:right w:w="108" w:type="dxa"/>
            </w:tcMar>
            <w:vAlign w:val="center"/>
          </w:tcPr>
          <w:p w14:paraId="7F4CC4E8" w14:textId="77777777" w:rsidR="006416B0" w:rsidRPr="00B4515A" w:rsidRDefault="005E58C1" w:rsidP="005860B4">
            <w:pPr>
              <w:adjustRightInd w:val="0"/>
              <w:snapToGrid w:val="0"/>
              <w:jc w:val="center"/>
              <w:rPr>
                <w:rFonts w:ascii="Times New Roman" w:eastAsia="等线" w:cs="Times New Roman"/>
                <w:b/>
                <w:bCs/>
                <w:color w:val="000000"/>
                <w:sz w:val="21"/>
                <w:szCs w:val="21"/>
              </w:rPr>
            </w:pPr>
            <w:r w:rsidRPr="00B4515A">
              <w:rPr>
                <w:rFonts w:ascii="Times New Roman" w:eastAsia="等线" w:cs="Times New Roman"/>
                <w:b/>
                <w:bCs/>
                <w:color w:val="000000"/>
                <w:sz w:val="21"/>
                <w:szCs w:val="21"/>
              </w:rPr>
              <w:t xml:space="preserve">2020 </w:t>
            </w:r>
            <w:r w:rsidRPr="00B4515A">
              <w:rPr>
                <w:rFonts w:cs="Times New Roman" w:hint="eastAsia"/>
                <w:b/>
                <w:bCs/>
                <w:color w:val="000000"/>
                <w:sz w:val="21"/>
                <w:szCs w:val="21"/>
              </w:rPr>
              <w:t xml:space="preserve">年 </w:t>
            </w:r>
            <w:r w:rsidRPr="00B4515A">
              <w:rPr>
                <w:rFonts w:ascii="Times New Roman" w:eastAsia="等线" w:cs="Times New Roman"/>
                <w:b/>
                <w:bCs/>
                <w:color w:val="000000"/>
                <w:sz w:val="21"/>
                <w:szCs w:val="21"/>
              </w:rPr>
              <w:t xml:space="preserve">12 </w:t>
            </w:r>
            <w:r w:rsidRPr="00B4515A">
              <w:rPr>
                <w:rFonts w:cs="Times New Roman" w:hint="eastAsia"/>
                <w:b/>
                <w:bCs/>
                <w:color w:val="000000"/>
                <w:sz w:val="21"/>
                <w:szCs w:val="21"/>
              </w:rPr>
              <w:t xml:space="preserve">月 </w:t>
            </w:r>
            <w:r w:rsidRPr="00B4515A">
              <w:rPr>
                <w:rFonts w:ascii="Times New Roman" w:eastAsia="等线" w:cs="Times New Roman"/>
                <w:b/>
                <w:bCs/>
                <w:color w:val="000000"/>
                <w:sz w:val="21"/>
                <w:szCs w:val="21"/>
              </w:rPr>
              <w:t xml:space="preserve">31 </w:t>
            </w:r>
            <w:r w:rsidRPr="00B4515A">
              <w:rPr>
                <w:rFonts w:cs="Times New Roman" w:hint="eastAsia"/>
                <w:b/>
                <w:bCs/>
                <w:color w:val="000000"/>
                <w:sz w:val="21"/>
                <w:szCs w:val="21"/>
              </w:rPr>
              <w:t>日</w:t>
            </w:r>
          </w:p>
        </w:tc>
      </w:tr>
      <w:tr w:rsidR="006416B0" w:rsidRPr="00B4515A" w14:paraId="2BF33555" w14:textId="77777777" w:rsidTr="00031627">
        <w:trPr>
          <w:trHeight w:val="340"/>
          <w:jc w:val="center"/>
        </w:trPr>
        <w:tc>
          <w:tcPr>
            <w:tcW w:w="1677" w:type="pct"/>
            <w:vMerge/>
            <w:shd w:val="clear" w:color="auto" w:fill="auto"/>
            <w:tcMar>
              <w:top w:w="0" w:type="dxa"/>
              <w:left w:w="108" w:type="dxa"/>
              <w:bottom w:w="0" w:type="dxa"/>
              <w:right w:w="108" w:type="dxa"/>
            </w:tcMar>
            <w:vAlign w:val="center"/>
          </w:tcPr>
          <w:p w14:paraId="6CC27347" w14:textId="77777777" w:rsidR="006416B0" w:rsidRPr="00B4515A" w:rsidRDefault="006416B0" w:rsidP="005860B4">
            <w:pPr>
              <w:adjustRightInd w:val="0"/>
              <w:snapToGrid w:val="0"/>
              <w:rPr>
                <w:b/>
                <w:bCs/>
                <w:color w:val="000000"/>
                <w:sz w:val="21"/>
                <w:szCs w:val="21"/>
              </w:rPr>
            </w:pPr>
          </w:p>
        </w:tc>
        <w:tc>
          <w:tcPr>
            <w:tcW w:w="707" w:type="pct"/>
            <w:shd w:val="clear" w:color="auto" w:fill="auto"/>
            <w:tcMar>
              <w:top w:w="0" w:type="dxa"/>
              <w:left w:w="108" w:type="dxa"/>
              <w:bottom w:w="0" w:type="dxa"/>
              <w:right w:w="108" w:type="dxa"/>
            </w:tcMar>
            <w:vAlign w:val="center"/>
          </w:tcPr>
          <w:p w14:paraId="7ACD6D9D" w14:textId="77777777" w:rsidR="006416B0" w:rsidRPr="00B4515A" w:rsidRDefault="005E58C1" w:rsidP="005860B4">
            <w:pPr>
              <w:adjustRightInd w:val="0"/>
              <w:snapToGrid w:val="0"/>
              <w:rPr>
                <w:b/>
                <w:bCs/>
                <w:color w:val="000000"/>
                <w:sz w:val="21"/>
                <w:szCs w:val="21"/>
              </w:rPr>
            </w:pPr>
            <w:r w:rsidRPr="00B4515A">
              <w:rPr>
                <w:rFonts w:hint="eastAsia"/>
                <w:b/>
                <w:bCs/>
                <w:color w:val="000000"/>
                <w:sz w:val="21"/>
                <w:szCs w:val="21"/>
              </w:rPr>
              <w:t>交易前</w:t>
            </w:r>
          </w:p>
        </w:tc>
        <w:tc>
          <w:tcPr>
            <w:tcW w:w="939" w:type="pct"/>
            <w:shd w:val="clear" w:color="auto" w:fill="auto"/>
            <w:tcMar>
              <w:top w:w="0" w:type="dxa"/>
              <w:left w:w="108" w:type="dxa"/>
              <w:bottom w:w="0" w:type="dxa"/>
              <w:right w:w="108" w:type="dxa"/>
            </w:tcMar>
            <w:vAlign w:val="center"/>
          </w:tcPr>
          <w:p w14:paraId="35F325EF" w14:textId="77777777" w:rsidR="006416B0" w:rsidRPr="00B4515A" w:rsidRDefault="005E58C1" w:rsidP="005860B4">
            <w:pPr>
              <w:adjustRightInd w:val="0"/>
              <w:snapToGrid w:val="0"/>
              <w:rPr>
                <w:b/>
                <w:bCs/>
                <w:color w:val="000000"/>
                <w:sz w:val="21"/>
                <w:szCs w:val="21"/>
              </w:rPr>
            </w:pPr>
            <w:r w:rsidRPr="00B4515A">
              <w:rPr>
                <w:rFonts w:hint="eastAsia"/>
                <w:b/>
                <w:bCs/>
                <w:color w:val="000000"/>
                <w:sz w:val="21"/>
                <w:szCs w:val="21"/>
              </w:rPr>
              <w:t>交易后（备考）</w:t>
            </w:r>
          </w:p>
        </w:tc>
        <w:tc>
          <w:tcPr>
            <w:tcW w:w="1677" w:type="pct"/>
            <w:shd w:val="clear" w:color="auto" w:fill="auto"/>
            <w:tcMar>
              <w:top w:w="0" w:type="dxa"/>
              <w:left w:w="108" w:type="dxa"/>
              <w:bottom w:w="0" w:type="dxa"/>
              <w:right w:w="108" w:type="dxa"/>
            </w:tcMar>
            <w:vAlign w:val="center"/>
          </w:tcPr>
          <w:p w14:paraId="4C030C14" w14:textId="77777777" w:rsidR="006416B0" w:rsidRPr="00B4515A" w:rsidRDefault="005E58C1" w:rsidP="005860B4">
            <w:pPr>
              <w:adjustRightInd w:val="0"/>
              <w:snapToGrid w:val="0"/>
              <w:rPr>
                <w:b/>
                <w:bCs/>
                <w:color w:val="000000"/>
                <w:sz w:val="21"/>
                <w:szCs w:val="21"/>
              </w:rPr>
            </w:pPr>
            <w:r w:rsidRPr="00B4515A">
              <w:rPr>
                <w:rFonts w:hint="eastAsia"/>
                <w:b/>
                <w:bCs/>
                <w:color w:val="000000"/>
                <w:sz w:val="21"/>
                <w:szCs w:val="21"/>
              </w:rPr>
              <w:t>变化率</w:t>
            </w:r>
          </w:p>
        </w:tc>
      </w:tr>
      <w:tr w:rsidR="006416B0" w:rsidRPr="00B4515A" w14:paraId="7510BBB8"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2C51BE18"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应收账款周转率（次</w:t>
            </w:r>
            <w:r w:rsidRPr="00B4515A">
              <w:rPr>
                <w:rFonts w:ascii="Times New Roman" w:cs="Times New Roman"/>
                <w:color w:val="000000"/>
                <w:sz w:val="21"/>
                <w:szCs w:val="21"/>
              </w:rPr>
              <w:t>/</w:t>
            </w:r>
            <w:r w:rsidRPr="00B4515A">
              <w:rPr>
                <w:rFonts w:hint="eastAsia"/>
                <w:color w:val="000000"/>
                <w:sz w:val="21"/>
                <w:szCs w:val="21"/>
              </w:rPr>
              <w:t>年）</w:t>
            </w:r>
          </w:p>
        </w:tc>
        <w:tc>
          <w:tcPr>
            <w:tcW w:w="707" w:type="pct"/>
            <w:shd w:val="clear" w:color="auto" w:fill="auto"/>
            <w:tcMar>
              <w:top w:w="0" w:type="dxa"/>
              <w:left w:w="108" w:type="dxa"/>
              <w:bottom w:w="0" w:type="dxa"/>
              <w:right w:w="108" w:type="dxa"/>
            </w:tcMar>
            <w:vAlign w:val="center"/>
          </w:tcPr>
          <w:p w14:paraId="56F66BBE"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cs="Times New Roman"/>
                <w:color w:val="000000"/>
                <w:sz w:val="21"/>
                <w:szCs w:val="21"/>
              </w:rPr>
              <w:t xml:space="preserve">0.61 </w:t>
            </w:r>
          </w:p>
        </w:tc>
        <w:tc>
          <w:tcPr>
            <w:tcW w:w="939" w:type="pct"/>
            <w:shd w:val="clear" w:color="auto" w:fill="auto"/>
            <w:tcMar>
              <w:top w:w="0" w:type="dxa"/>
              <w:left w:w="108" w:type="dxa"/>
              <w:bottom w:w="0" w:type="dxa"/>
              <w:right w:w="108" w:type="dxa"/>
            </w:tcMar>
            <w:vAlign w:val="center"/>
          </w:tcPr>
          <w:p w14:paraId="46904DBC"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cs="Times New Roman"/>
                <w:color w:val="000000"/>
                <w:sz w:val="21"/>
                <w:szCs w:val="21"/>
              </w:rPr>
              <w:t xml:space="preserve">0.76 </w:t>
            </w:r>
          </w:p>
        </w:tc>
        <w:tc>
          <w:tcPr>
            <w:tcW w:w="1677" w:type="pct"/>
            <w:shd w:val="clear" w:color="auto" w:fill="auto"/>
            <w:tcMar>
              <w:top w:w="0" w:type="dxa"/>
              <w:left w:w="108" w:type="dxa"/>
              <w:bottom w:w="0" w:type="dxa"/>
              <w:right w:w="108" w:type="dxa"/>
            </w:tcMar>
            <w:vAlign w:val="center"/>
          </w:tcPr>
          <w:p w14:paraId="29030CD9"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cs="Times New Roman"/>
                <w:color w:val="000000"/>
                <w:sz w:val="21"/>
                <w:szCs w:val="21"/>
              </w:rPr>
              <w:t>25.01%</w:t>
            </w:r>
          </w:p>
        </w:tc>
      </w:tr>
      <w:tr w:rsidR="006416B0" w:rsidRPr="00B4515A" w14:paraId="096EBEEF"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1DFE6859"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总资产周转率（次</w:t>
            </w:r>
            <w:r w:rsidRPr="00B4515A">
              <w:rPr>
                <w:rFonts w:ascii="Times New Roman" w:cs="Times New Roman"/>
                <w:color w:val="000000"/>
                <w:sz w:val="21"/>
                <w:szCs w:val="21"/>
              </w:rPr>
              <w:t>/</w:t>
            </w:r>
            <w:r w:rsidRPr="00B4515A">
              <w:rPr>
                <w:rFonts w:hint="eastAsia"/>
                <w:color w:val="000000"/>
                <w:sz w:val="21"/>
                <w:szCs w:val="21"/>
              </w:rPr>
              <w:t>年）</w:t>
            </w:r>
          </w:p>
        </w:tc>
        <w:tc>
          <w:tcPr>
            <w:tcW w:w="707" w:type="pct"/>
            <w:shd w:val="clear" w:color="auto" w:fill="auto"/>
            <w:tcMar>
              <w:top w:w="0" w:type="dxa"/>
              <w:left w:w="108" w:type="dxa"/>
              <w:bottom w:w="0" w:type="dxa"/>
              <w:right w:w="108" w:type="dxa"/>
            </w:tcMar>
            <w:vAlign w:val="center"/>
          </w:tcPr>
          <w:p w14:paraId="43F5E464"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cs="Times New Roman"/>
                <w:color w:val="000000"/>
                <w:sz w:val="21"/>
                <w:szCs w:val="21"/>
              </w:rPr>
              <w:t xml:space="preserve">0.27 </w:t>
            </w:r>
          </w:p>
        </w:tc>
        <w:tc>
          <w:tcPr>
            <w:tcW w:w="939" w:type="pct"/>
            <w:shd w:val="clear" w:color="auto" w:fill="auto"/>
            <w:tcMar>
              <w:top w:w="0" w:type="dxa"/>
              <w:left w:w="108" w:type="dxa"/>
              <w:bottom w:w="0" w:type="dxa"/>
              <w:right w:w="108" w:type="dxa"/>
            </w:tcMar>
            <w:vAlign w:val="center"/>
          </w:tcPr>
          <w:p w14:paraId="4B47A3CC"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cs="Times New Roman"/>
                <w:color w:val="000000"/>
                <w:sz w:val="21"/>
                <w:szCs w:val="21"/>
              </w:rPr>
              <w:t xml:space="preserve">0.29 </w:t>
            </w:r>
          </w:p>
        </w:tc>
        <w:tc>
          <w:tcPr>
            <w:tcW w:w="1677" w:type="pct"/>
            <w:shd w:val="clear" w:color="auto" w:fill="auto"/>
            <w:tcMar>
              <w:top w:w="0" w:type="dxa"/>
              <w:left w:w="108" w:type="dxa"/>
              <w:bottom w:w="0" w:type="dxa"/>
              <w:right w:w="108" w:type="dxa"/>
            </w:tcMar>
            <w:vAlign w:val="center"/>
          </w:tcPr>
          <w:p w14:paraId="1663B04A"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cs="Times New Roman"/>
                <w:color w:val="000000"/>
                <w:sz w:val="21"/>
                <w:szCs w:val="21"/>
              </w:rPr>
              <w:t>6.68%</w:t>
            </w:r>
          </w:p>
        </w:tc>
      </w:tr>
      <w:tr w:rsidR="006416B0" w:rsidRPr="00B4515A" w14:paraId="0D2CD141" w14:textId="77777777" w:rsidTr="00031627">
        <w:trPr>
          <w:trHeight w:val="340"/>
          <w:jc w:val="center"/>
        </w:trPr>
        <w:tc>
          <w:tcPr>
            <w:tcW w:w="1677" w:type="pct"/>
            <w:shd w:val="clear" w:color="auto" w:fill="auto"/>
            <w:tcMar>
              <w:top w:w="0" w:type="dxa"/>
              <w:left w:w="108" w:type="dxa"/>
              <w:bottom w:w="0" w:type="dxa"/>
              <w:right w:w="108" w:type="dxa"/>
            </w:tcMar>
            <w:vAlign w:val="center"/>
          </w:tcPr>
          <w:p w14:paraId="789F8534"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存货周转率（次</w:t>
            </w:r>
            <w:r w:rsidRPr="00B4515A">
              <w:rPr>
                <w:rFonts w:ascii="Times New Roman" w:cs="Times New Roman"/>
                <w:color w:val="000000"/>
                <w:sz w:val="21"/>
                <w:szCs w:val="21"/>
              </w:rPr>
              <w:t>/</w:t>
            </w:r>
            <w:r w:rsidRPr="00B4515A">
              <w:rPr>
                <w:rFonts w:hint="eastAsia"/>
                <w:color w:val="000000"/>
                <w:sz w:val="21"/>
                <w:szCs w:val="21"/>
              </w:rPr>
              <w:t>年）</w:t>
            </w:r>
          </w:p>
        </w:tc>
        <w:tc>
          <w:tcPr>
            <w:tcW w:w="707" w:type="pct"/>
            <w:shd w:val="clear" w:color="auto" w:fill="auto"/>
            <w:tcMar>
              <w:top w:w="0" w:type="dxa"/>
              <w:left w:w="108" w:type="dxa"/>
              <w:bottom w:w="0" w:type="dxa"/>
              <w:right w:w="108" w:type="dxa"/>
            </w:tcMar>
            <w:vAlign w:val="center"/>
          </w:tcPr>
          <w:p w14:paraId="1AC60671"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cs="Times New Roman"/>
                <w:color w:val="000000"/>
                <w:sz w:val="21"/>
                <w:szCs w:val="21"/>
              </w:rPr>
              <w:t xml:space="preserve">1.20 </w:t>
            </w:r>
          </w:p>
        </w:tc>
        <w:tc>
          <w:tcPr>
            <w:tcW w:w="939" w:type="pct"/>
            <w:shd w:val="clear" w:color="auto" w:fill="auto"/>
            <w:tcMar>
              <w:top w:w="0" w:type="dxa"/>
              <w:left w:w="108" w:type="dxa"/>
              <w:bottom w:w="0" w:type="dxa"/>
              <w:right w:w="108" w:type="dxa"/>
            </w:tcMar>
            <w:vAlign w:val="center"/>
          </w:tcPr>
          <w:p w14:paraId="39F1DBEB"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cs="Times New Roman"/>
                <w:color w:val="000000"/>
                <w:sz w:val="21"/>
                <w:szCs w:val="21"/>
              </w:rPr>
              <w:t xml:space="preserve">1.49 </w:t>
            </w:r>
          </w:p>
        </w:tc>
        <w:tc>
          <w:tcPr>
            <w:tcW w:w="1677" w:type="pct"/>
            <w:shd w:val="clear" w:color="auto" w:fill="auto"/>
            <w:tcMar>
              <w:top w:w="0" w:type="dxa"/>
              <w:left w:w="108" w:type="dxa"/>
              <w:bottom w:w="0" w:type="dxa"/>
              <w:right w:w="108" w:type="dxa"/>
            </w:tcMar>
            <w:vAlign w:val="center"/>
          </w:tcPr>
          <w:p w14:paraId="0E8E8910" w14:textId="77777777" w:rsidR="006416B0" w:rsidRPr="00B4515A" w:rsidRDefault="005E58C1" w:rsidP="005860B4">
            <w:pPr>
              <w:adjustRightInd w:val="0"/>
              <w:snapToGrid w:val="0"/>
              <w:jc w:val="right"/>
              <w:rPr>
                <w:rFonts w:ascii="Times New Roman" w:eastAsia="等线" w:cs="Times New Roman"/>
                <w:color w:val="000000"/>
                <w:sz w:val="21"/>
                <w:szCs w:val="21"/>
              </w:rPr>
            </w:pPr>
            <w:r w:rsidRPr="00B4515A">
              <w:rPr>
                <w:rFonts w:ascii="Times New Roman" w:eastAsia="等线" w:cs="Times New Roman"/>
                <w:color w:val="000000"/>
                <w:sz w:val="21"/>
                <w:szCs w:val="21"/>
              </w:rPr>
              <w:t>24.70%</w:t>
            </w:r>
          </w:p>
        </w:tc>
      </w:tr>
    </w:tbl>
    <w:p w14:paraId="0B646510" w14:textId="3B5605F1" w:rsidR="006416B0" w:rsidRPr="00B4515A" w:rsidRDefault="005E58C1" w:rsidP="006100BC">
      <w:pPr>
        <w:pStyle w:val="006"/>
        <w:ind w:firstLine="420"/>
      </w:pPr>
      <w:r w:rsidRPr="00B4515A">
        <w:rPr>
          <w:rFonts w:hint="eastAsia"/>
        </w:rPr>
        <w:t>注：</w:t>
      </w:r>
      <w:r w:rsidR="003855A8" w:rsidRPr="00B4515A">
        <w:rPr>
          <w:rFonts w:hint="eastAsia"/>
        </w:rPr>
        <w:t>（</w:t>
      </w:r>
      <w:r w:rsidR="003855A8" w:rsidRPr="00B4515A">
        <w:rPr>
          <w:rFonts w:hint="eastAsia"/>
        </w:rPr>
        <w:t>1</w:t>
      </w:r>
      <w:r w:rsidR="003855A8" w:rsidRPr="00B4515A">
        <w:rPr>
          <w:rFonts w:hint="eastAsia"/>
        </w:rPr>
        <w:t>）</w:t>
      </w:r>
      <w:r w:rsidRPr="00B4515A">
        <w:rPr>
          <w:rFonts w:hint="eastAsia"/>
        </w:rPr>
        <w:t>应收账款周转率</w:t>
      </w:r>
      <w:r w:rsidRPr="00B4515A">
        <w:t>=</w:t>
      </w:r>
      <w:r w:rsidRPr="00B4515A">
        <w:rPr>
          <w:rFonts w:hint="eastAsia"/>
        </w:rPr>
        <w:t>营业收入</w:t>
      </w:r>
      <w:r w:rsidRPr="00B4515A">
        <w:t>/[(</w:t>
      </w:r>
      <w:r w:rsidRPr="00B4515A">
        <w:rPr>
          <w:rFonts w:hint="eastAsia"/>
        </w:rPr>
        <w:t>期初应收账款余额</w:t>
      </w:r>
      <w:r w:rsidRPr="00B4515A">
        <w:t>+</w:t>
      </w:r>
      <w:r w:rsidRPr="00B4515A">
        <w:rPr>
          <w:rFonts w:hint="eastAsia"/>
        </w:rPr>
        <w:t>期末应收账款余额</w:t>
      </w:r>
      <w:r w:rsidRPr="00B4515A">
        <w:t>)/2]</w:t>
      </w:r>
      <w:r w:rsidRPr="00B4515A">
        <w:rPr>
          <w:rFonts w:hint="eastAsia"/>
        </w:rPr>
        <w:t>；</w:t>
      </w:r>
    </w:p>
    <w:p w14:paraId="2585BE00" w14:textId="11B3CE0F" w:rsidR="006416B0" w:rsidRPr="00B4515A" w:rsidRDefault="003855A8" w:rsidP="006100BC">
      <w:pPr>
        <w:pStyle w:val="006"/>
        <w:ind w:firstLine="420"/>
      </w:pPr>
      <w:r w:rsidRPr="00B4515A">
        <w:rPr>
          <w:rFonts w:hint="eastAsia"/>
        </w:rPr>
        <w:t>（</w:t>
      </w:r>
      <w:r w:rsidRPr="00B4515A">
        <w:rPr>
          <w:rFonts w:hint="eastAsia"/>
        </w:rPr>
        <w:t>2</w:t>
      </w:r>
      <w:r w:rsidRPr="00B4515A">
        <w:rPr>
          <w:rFonts w:hint="eastAsia"/>
        </w:rPr>
        <w:t>）</w:t>
      </w:r>
      <w:r w:rsidR="005E58C1" w:rsidRPr="00B4515A">
        <w:rPr>
          <w:rFonts w:hint="eastAsia"/>
        </w:rPr>
        <w:t>存货周转率</w:t>
      </w:r>
      <w:r w:rsidR="005E58C1" w:rsidRPr="00B4515A">
        <w:t>=</w:t>
      </w:r>
      <w:r w:rsidR="005E58C1" w:rsidRPr="00B4515A">
        <w:rPr>
          <w:rFonts w:hint="eastAsia"/>
        </w:rPr>
        <w:t>营业成本</w:t>
      </w:r>
      <w:r w:rsidR="005E58C1" w:rsidRPr="00B4515A">
        <w:t>/[(</w:t>
      </w:r>
      <w:r w:rsidR="005E58C1" w:rsidRPr="00B4515A">
        <w:rPr>
          <w:rFonts w:hint="eastAsia"/>
        </w:rPr>
        <w:t>期初存货余额</w:t>
      </w:r>
      <w:r w:rsidR="005E58C1" w:rsidRPr="00B4515A">
        <w:t>+</w:t>
      </w:r>
      <w:r w:rsidR="005E58C1" w:rsidRPr="00B4515A">
        <w:rPr>
          <w:rFonts w:hint="eastAsia"/>
        </w:rPr>
        <w:t>期末存货余额</w:t>
      </w:r>
      <w:r w:rsidR="005E58C1" w:rsidRPr="00B4515A">
        <w:t>)/2]</w:t>
      </w:r>
      <w:r w:rsidR="005E58C1" w:rsidRPr="00B4515A">
        <w:rPr>
          <w:rFonts w:hint="eastAsia"/>
        </w:rPr>
        <w:t>；</w:t>
      </w:r>
    </w:p>
    <w:p w14:paraId="16D6DFC4" w14:textId="7E9EFFD6" w:rsidR="006416B0" w:rsidRPr="00B4515A" w:rsidRDefault="003855A8" w:rsidP="006100BC">
      <w:pPr>
        <w:pStyle w:val="006"/>
        <w:ind w:firstLine="420"/>
      </w:pPr>
      <w:r w:rsidRPr="00B4515A">
        <w:rPr>
          <w:rFonts w:hint="eastAsia"/>
        </w:rPr>
        <w:t>（</w:t>
      </w:r>
      <w:r w:rsidRPr="00B4515A">
        <w:rPr>
          <w:rFonts w:hint="eastAsia"/>
        </w:rPr>
        <w:t>3</w:t>
      </w:r>
      <w:r w:rsidRPr="00B4515A">
        <w:rPr>
          <w:rFonts w:hint="eastAsia"/>
        </w:rPr>
        <w:t>）</w:t>
      </w:r>
      <w:r w:rsidR="005E58C1" w:rsidRPr="00B4515A">
        <w:rPr>
          <w:rFonts w:hint="eastAsia"/>
        </w:rPr>
        <w:t>总资产周转率</w:t>
      </w:r>
      <w:r w:rsidR="005E58C1" w:rsidRPr="00B4515A">
        <w:t>=</w:t>
      </w:r>
      <w:r w:rsidR="005E58C1" w:rsidRPr="00B4515A">
        <w:rPr>
          <w:rFonts w:hint="eastAsia"/>
        </w:rPr>
        <w:t>营业收入</w:t>
      </w:r>
      <w:r w:rsidR="005E58C1" w:rsidRPr="00B4515A">
        <w:t>/[(</w:t>
      </w:r>
      <w:r w:rsidR="005E58C1" w:rsidRPr="00B4515A">
        <w:rPr>
          <w:rFonts w:hint="eastAsia"/>
        </w:rPr>
        <w:t>期初资产总额</w:t>
      </w:r>
      <w:r w:rsidR="005E58C1" w:rsidRPr="00B4515A">
        <w:t>+</w:t>
      </w:r>
      <w:r w:rsidR="005E58C1" w:rsidRPr="00B4515A">
        <w:rPr>
          <w:rFonts w:hint="eastAsia"/>
        </w:rPr>
        <w:t>期末资产总额</w:t>
      </w:r>
      <w:r w:rsidR="005E58C1" w:rsidRPr="00B4515A">
        <w:t>)/2]</w:t>
      </w:r>
      <w:r w:rsidR="005E58C1" w:rsidRPr="00B4515A">
        <w:rPr>
          <w:rFonts w:hint="eastAsia"/>
        </w:rPr>
        <w:t>。</w:t>
      </w:r>
    </w:p>
    <w:p w14:paraId="4C532CE8" w14:textId="34C9A9B5" w:rsidR="006416B0" w:rsidRPr="00B4515A" w:rsidRDefault="005E58C1" w:rsidP="006100BC">
      <w:pPr>
        <w:pStyle w:val="005"/>
        <w:spacing w:before="120" w:after="120"/>
        <w:ind w:firstLine="480"/>
        <w:rPr>
          <w:rFonts w:asciiTheme="minorEastAsia" w:hAnsiTheme="minorEastAsia"/>
        </w:rPr>
      </w:pPr>
      <w:r w:rsidRPr="00B4515A">
        <w:rPr>
          <w:rFonts w:hint="eastAsia"/>
        </w:rPr>
        <w:t>本次交易完成后，公司的营运能力明显增强，</w:t>
      </w:r>
      <w:r w:rsidRPr="00B4515A">
        <w:t xml:space="preserve"> 2020</w:t>
      </w:r>
      <w:r w:rsidRPr="00B4515A">
        <w:rPr>
          <w:rFonts w:hint="eastAsia"/>
        </w:rPr>
        <w:t>年度及</w:t>
      </w:r>
      <w:r w:rsidRPr="00B4515A">
        <w:t>2021</w:t>
      </w:r>
      <w:r w:rsidRPr="00B4515A">
        <w:rPr>
          <w:rFonts w:hint="eastAsia"/>
        </w:rPr>
        <w:t>年</w:t>
      </w:r>
      <w:r w:rsidRPr="00B4515A">
        <w:t>1-4</w:t>
      </w:r>
      <w:r w:rsidRPr="00B4515A">
        <w:rPr>
          <w:rFonts w:hint="eastAsia"/>
        </w:rPr>
        <w:t>月，上市公司备考后的应收账款周转率</w:t>
      </w:r>
      <w:r w:rsidR="004E3251" w:rsidRPr="00B4515A">
        <w:rPr>
          <w:rFonts w:hint="eastAsia"/>
        </w:rPr>
        <w:t>、存货周转率</w:t>
      </w:r>
      <w:r w:rsidRPr="00B4515A">
        <w:rPr>
          <w:rFonts w:hint="eastAsia"/>
        </w:rPr>
        <w:t>和总资产周转率均有上升。应收账款周转率、总资产周转率、存货周转率上升主要由于交易完成后公司的收入规模增长，增长率高于应收账款、总资产、存货的增长率</w:t>
      </w:r>
      <w:r w:rsidRPr="00B4515A">
        <w:rPr>
          <w:rFonts w:asciiTheme="minorEastAsia" w:hAnsiTheme="minorEastAsia" w:hint="eastAsia"/>
        </w:rPr>
        <w:t>。</w:t>
      </w:r>
    </w:p>
    <w:p w14:paraId="2DEE9DCB" w14:textId="77777777" w:rsidR="006416B0" w:rsidRPr="00B4515A" w:rsidRDefault="005E58C1" w:rsidP="006100BC">
      <w:pPr>
        <w:pStyle w:val="003"/>
        <w:spacing w:before="120"/>
        <w:ind w:firstLine="482"/>
      </w:pPr>
      <w:r w:rsidRPr="00B4515A">
        <w:rPr>
          <w:rFonts w:hint="eastAsia"/>
        </w:rPr>
        <w:t>（三）交易完成后的盈利能力分析</w:t>
      </w:r>
    </w:p>
    <w:p w14:paraId="36284299" w14:textId="77777777" w:rsidR="006416B0" w:rsidRPr="00B4515A" w:rsidRDefault="005E58C1" w:rsidP="006100BC">
      <w:pPr>
        <w:pStyle w:val="004"/>
        <w:spacing w:before="120" w:after="120"/>
        <w:ind w:firstLine="482"/>
      </w:pPr>
      <w:r w:rsidRPr="00B4515A">
        <w:rPr>
          <w:rFonts w:hint="eastAsia"/>
        </w:rPr>
        <w:t>1</w:t>
      </w:r>
      <w:r w:rsidRPr="00B4515A">
        <w:rPr>
          <w:rFonts w:hint="eastAsia"/>
        </w:rPr>
        <w:t>、本次交易完成前后利润规模及构成情况分析</w:t>
      </w:r>
    </w:p>
    <w:p w14:paraId="418FB6DB" w14:textId="77777777" w:rsidR="006416B0" w:rsidRPr="00B4515A" w:rsidRDefault="005E58C1"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231"/>
        <w:gridCol w:w="1503"/>
        <w:gridCol w:w="1505"/>
        <w:gridCol w:w="1505"/>
        <w:gridCol w:w="1784"/>
      </w:tblGrid>
      <w:tr w:rsidR="006416B0" w:rsidRPr="00B4515A" w14:paraId="204BD417" w14:textId="77777777" w:rsidTr="00031627">
        <w:trPr>
          <w:trHeight w:val="340"/>
          <w:jc w:val="center"/>
        </w:trPr>
        <w:tc>
          <w:tcPr>
            <w:tcW w:w="8999" w:type="dxa"/>
            <w:gridSpan w:val="5"/>
            <w:shd w:val="clear" w:color="auto" w:fill="auto"/>
            <w:tcMar>
              <w:top w:w="0" w:type="dxa"/>
              <w:left w:w="108" w:type="dxa"/>
              <w:bottom w:w="0" w:type="dxa"/>
              <w:right w:w="108" w:type="dxa"/>
            </w:tcMar>
            <w:vAlign w:val="center"/>
          </w:tcPr>
          <w:p w14:paraId="4166D02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2021 </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r>
      <w:tr w:rsidR="006416B0" w:rsidRPr="00B4515A" w14:paraId="5C07F7DA" w14:textId="77777777" w:rsidTr="00031627">
        <w:trPr>
          <w:trHeight w:val="340"/>
          <w:jc w:val="center"/>
        </w:trPr>
        <w:tc>
          <w:tcPr>
            <w:tcW w:w="2360" w:type="dxa"/>
            <w:vMerge w:val="restart"/>
            <w:shd w:val="clear" w:color="auto" w:fill="auto"/>
            <w:tcMar>
              <w:top w:w="0" w:type="dxa"/>
              <w:left w:w="108" w:type="dxa"/>
              <w:bottom w:w="0" w:type="dxa"/>
              <w:right w:w="108" w:type="dxa"/>
            </w:tcMar>
            <w:vAlign w:val="center"/>
          </w:tcPr>
          <w:p w14:paraId="1814361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584" w:type="dxa"/>
            <w:shd w:val="clear" w:color="auto" w:fill="auto"/>
            <w:tcMar>
              <w:top w:w="0" w:type="dxa"/>
              <w:left w:w="108" w:type="dxa"/>
              <w:bottom w:w="0" w:type="dxa"/>
              <w:right w:w="108" w:type="dxa"/>
            </w:tcMar>
            <w:vAlign w:val="center"/>
          </w:tcPr>
          <w:p w14:paraId="5A6D0CD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交易前</w:t>
            </w:r>
          </w:p>
        </w:tc>
        <w:tc>
          <w:tcPr>
            <w:tcW w:w="1586" w:type="dxa"/>
            <w:shd w:val="clear" w:color="auto" w:fill="auto"/>
            <w:tcMar>
              <w:top w:w="0" w:type="dxa"/>
              <w:left w:w="108" w:type="dxa"/>
              <w:bottom w:w="0" w:type="dxa"/>
              <w:right w:w="108" w:type="dxa"/>
            </w:tcMar>
            <w:vAlign w:val="center"/>
          </w:tcPr>
          <w:p w14:paraId="24927C2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交易后</w:t>
            </w:r>
          </w:p>
          <w:p w14:paraId="22B2D60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lastRenderedPageBreak/>
              <w:t>（备考）</w:t>
            </w:r>
          </w:p>
        </w:tc>
        <w:tc>
          <w:tcPr>
            <w:tcW w:w="3469" w:type="dxa"/>
            <w:gridSpan w:val="2"/>
            <w:shd w:val="clear" w:color="auto" w:fill="auto"/>
            <w:tcMar>
              <w:top w:w="0" w:type="dxa"/>
              <w:left w:w="108" w:type="dxa"/>
              <w:bottom w:w="0" w:type="dxa"/>
              <w:right w:w="108" w:type="dxa"/>
            </w:tcMar>
            <w:vAlign w:val="center"/>
          </w:tcPr>
          <w:p w14:paraId="41C9211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lastRenderedPageBreak/>
              <w:t>变化情况</w:t>
            </w:r>
          </w:p>
        </w:tc>
      </w:tr>
      <w:tr w:rsidR="006416B0" w:rsidRPr="00B4515A" w14:paraId="28ED763F" w14:textId="77777777" w:rsidTr="00031627">
        <w:trPr>
          <w:trHeight w:val="340"/>
          <w:jc w:val="center"/>
        </w:trPr>
        <w:tc>
          <w:tcPr>
            <w:tcW w:w="2360" w:type="dxa"/>
            <w:vMerge/>
            <w:shd w:val="clear" w:color="auto" w:fill="auto"/>
            <w:tcMar>
              <w:top w:w="0" w:type="dxa"/>
              <w:left w:w="108" w:type="dxa"/>
              <w:bottom w:w="0" w:type="dxa"/>
              <w:right w:w="108" w:type="dxa"/>
            </w:tcMar>
            <w:vAlign w:val="center"/>
          </w:tcPr>
          <w:p w14:paraId="38BC4761"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1584" w:type="dxa"/>
            <w:shd w:val="clear" w:color="auto" w:fill="auto"/>
            <w:tcMar>
              <w:top w:w="0" w:type="dxa"/>
              <w:left w:w="108" w:type="dxa"/>
              <w:bottom w:w="0" w:type="dxa"/>
              <w:right w:w="108" w:type="dxa"/>
            </w:tcMar>
            <w:vAlign w:val="center"/>
          </w:tcPr>
          <w:p w14:paraId="2A0B1E4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586" w:type="dxa"/>
            <w:shd w:val="clear" w:color="auto" w:fill="auto"/>
            <w:tcMar>
              <w:top w:w="0" w:type="dxa"/>
              <w:left w:w="108" w:type="dxa"/>
              <w:bottom w:w="0" w:type="dxa"/>
              <w:right w:w="108" w:type="dxa"/>
            </w:tcMar>
            <w:vAlign w:val="center"/>
          </w:tcPr>
          <w:p w14:paraId="0795023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586" w:type="dxa"/>
            <w:shd w:val="clear" w:color="auto" w:fill="auto"/>
            <w:tcMar>
              <w:top w:w="0" w:type="dxa"/>
              <w:left w:w="108" w:type="dxa"/>
              <w:bottom w:w="0" w:type="dxa"/>
              <w:right w:w="108" w:type="dxa"/>
            </w:tcMar>
            <w:vAlign w:val="center"/>
          </w:tcPr>
          <w:p w14:paraId="7A8337A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883" w:type="dxa"/>
            <w:shd w:val="clear" w:color="auto" w:fill="auto"/>
            <w:tcMar>
              <w:top w:w="0" w:type="dxa"/>
              <w:left w:w="108" w:type="dxa"/>
              <w:bottom w:w="0" w:type="dxa"/>
              <w:right w:w="108" w:type="dxa"/>
            </w:tcMar>
            <w:vAlign w:val="center"/>
          </w:tcPr>
          <w:p w14:paraId="16FAA73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变化率</w:t>
            </w:r>
          </w:p>
        </w:tc>
      </w:tr>
      <w:tr w:rsidR="006416B0" w:rsidRPr="00B4515A" w14:paraId="0B9890E7"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38DE0822"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营业收入</w:t>
            </w:r>
          </w:p>
        </w:tc>
        <w:tc>
          <w:tcPr>
            <w:tcW w:w="1584" w:type="dxa"/>
            <w:shd w:val="clear" w:color="auto" w:fill="auto"/>
            <w:tcMar>
              <w:top w:w="0" w:type="dxa"/>
              <w:left w:w="108" w:type="dxa"/>
              <w:bottom w:w="0" w:type="dxa"/>
              <w:right w:w="108" w:type="dxa"/>
            </w:tcMar>
            <w:vAlign w:val="center"/>
          </w:tcPr>
          <w:p w14:paraId="38EAD18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13,624.42</w:t>
            </w:r>
          </w:p>
        </w:tc>
        <w:tc>
          <w:tcPr>
            <w:tcW w:w="1586" w:type="dxa"/>
            <w:shd w:val="clear" w:color="auto" w:fill="auto"/>
            <w:tcMar>
              <w:top w:w="0" w:type="dxa"/>
              <w:left w:w="108" w:type="dxa"/>
              <w:bottom w:w="0" w:type="dxa"/>
              <w:right w:w="108" w:type="dxa"/>
            </w:tcMar>
            <w:vAlign w:val="center"/>
          </w:tcPr>
          <w:p w14:paraId="2373EA7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25,810.48</w:t>
            </w:r>
          </w:p>
        </w:tc>
        <w:tc>
          <w:tcPr>
            <w:tcW w:w="1586" w:type="dxa"/>
            <w:shd w:val="clear" w:color="auto" w:fill="auto"/>
            <w:tcMar>
              <w:top w:w="0" w:type="dxa"/>
              <w:left w:w="108" w:type="dxa"/>
              <w:bottom w:w="0" w:type="dxa"/>
              <w:right w:w="108" w:type="dxa"/>
            </w:tcMar>
            <w:vAlign w:val="center"/>
          </w:tcPr>
          <w:p w14:paraId="30F70F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12,186.05</w:t>
            </w:r>
          </w:p>
        </w:tc>
        <w:tc>
          <w:tcPr>
            <w:tcW w:w="1883" w:type="dxa"/>
            <w:shd w:val="clear" w:color="auto" w:fill="auto"/>
            <w:tcMar>
              <w:top w:w="0" w:type="dxa"/>
              <w:left w:w="108" w:type="dxa"/>
              <w:bottom w:w="0" w:type="dxa"/>
              <w:right w:w="108" w:type="dxa"/>
            </w:tcMar>
            <w:vAlign w:val="center"/>
          </w:tcPr>
          <w:p w14:paraId="11086F0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89.44%</w:t>
            </w:r>
          </w:p>
        </w:tc>
      </w:tr>
      <w:tr w:rsidR="006416B0" w:rsidRPr="00B4515A" w14:paraId="7633476C"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76FB9F38"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营业成本</w:t>
            </w:r>
          </w:p>
        </w:tc>
        <w:tc>
          <w:tcPr>
            <w:tcW w:w="1584" w:type="dxa"/>
            <w:shd w:val="clear" w:color="auto" w:fill="auto"/>
            <w:tcMar>
              <w:top w:w="0" w:type="dxa"/>
              <w:left w:w="108" w:type="dxa"/>
              <w:bottom w:w="0" w:type="dxa"/>
              <w:right w:w="108" w:type="dxa"/>
            </w:tcMar>
            <w:vAlign w:val="center"/>
          </w:tcPr>
          <w:p w14:paraId="2E18151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10,157.66</w:t>
            </w:r>
          </w:p>
        </w:tc>
        <w:tc>
          <w:tcPr>
            <w:tcW w:w="1586" w:type="dxa"/>
            <w:shd w:val="clear" w:color="auto" w:fill="auto"/>
            <w:tcMar>
              <w:top w:w="0" w:type="dxa"/>
              <w:left w:w="108" w:type="dxa"/>
              <w:bottom w:w="0" w:type="dxa"/>
              <w:right w:w="108" w:type="dxa"/>
            </w:tcMar>
            <w:vAlign w:val="center"/>
          </w:tcPr>
          <w:p w14:paraId="6CEED76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14,634.68</w:t>
            </w:r>
          </w:p>
        </w:tc>
        <w:tc>
          <w:tcPr>
            <w:tcW w:w="1586" w:type="dxa"/>
            <w:shd w:val="clear" w:color="auto" w:fill="auto"/>
            <w:tcMar>
              <w:top w:w="0" w:type="dxa"/>
              <w:left w:w="108" w:type="dxa"/>
              <w:bottom w:w="0" w:type="dxa"/>
              <w:right w:w="108" w:type="dxa"/>
            </w:tcMar>
            <w:vAlign w:val="center"/>
          </w:tcPr>
          <w:p w14:paraId="21CB149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4,477.02</w:t>
            </w:r>
          </w:p>
        </w:tc>
        <w:tc>
          <w:tcPr>
            <w:tcW w:w="1883" w:type="dxa"/>
            <w:shd w:val="clear" w:color="auto" w:fill="auto"/>
            <w:tcMar>
              <w:top w:w="0" w:type="dxa"/>
              <w:left w:w="108" w:type="dxa"/>
              <w:bottom w:w="0" w:type="dxa"/>
              <w:right w:w="108" w:type="dxa"/>
            </w:tcMar>
            <w:vAlign w:val="center"/>
          </w:tcPr>
          <w:p w14:paraId="06E0B95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44.08%</w:t>
            </w:r>
          </w:p>
        </w:tc>
      </w:tr>
      <w:tr w:rsidR="006416B0" w:rsidRPr="00B4515A" w14:paraId="405A8398"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2847EE0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营业利润</w:t>
            </w:r>
          </w:p>
        </w:tc>
        <w:tc>
          <w:tcPr>
            <w:tcW w:w="1584" w:type="dxa"/>
            <w:shd w:val="clear" w:color="auto" w:fill="auto"/>
            <w:tcMar>
              <w:top w:w="0" w:type="dxa"/>
              <w:left w:w="108" w:type="dxa"/>
              <w:bottom w:w="0" w:type="dxa"/>
              <w:right w:w="108" w:type="dxa"/>
            </w:tcMar>
            <w:vAlign w:val="center"/>
          </w:tcPr>
          <w:p w14:paraId="6A8241E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-15,190.48</w:t>
            </w:r>
          </w:p>
        </w:tc>
        <w:tc>
          <w:tcPr>
            <w:tcW w:w="1586" w:type="dxa"/>
            <w:shd w:val="clear" w:color="auto" w:fill="auto"/>
            <w:tcMar>
              <w:top w:w="0" w:type="dxa"/>
              <w:left w:w="108" w:type="dxa"/>
              <w:bottom w:w="0" w:type="dxa"/>
              <w:right w:w="108" w:type="dxa"/>
            </w:tcMar>
            <w:vAlign w:val="center"/>
          </w:tcPr>
          <w:p w14:paraId="222714D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-14,796.74</w:t>
            </w:r>
          </w:p>
        </w:tc>
        <w:tc>
          <w:tcPr>
            <w:tcW w:w="1586" w:type="dxa"/>
            <w:shd w:val="clear" w:color="auto" w:fill="auto"/>
            <w:tcMar>
              <w:top w:w="0" w:type="dxa"/>
              <w:left w:w="108" w:type="dxa"/>
              <w:bottom w:w="0" w:type="dxa"/>
              <w:right w:w="108" w:type="dxa"/>
            </w:tcMar>
            <w:vAlign w:val="center"/>
          </w:tcPr>
          <w:p w14:paraId="5057080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393.73</w:t>
            </w:r>
          </w:p>
        </w:tc>
        <w:tc>
          <w:tcPr>
            <w:tcW w:w="1883" w:type="dxa"/>
            <w:shd w:val="clear" w:color="auto" w:fill="auto"/>
            <w:tcMar>
              <w:top w:w="0" w:type="dxa"/>
              <w:left w:w="108" w:type="dxa"/>
              <w:bottom w:w="0" w:type="dxa"/>
              <w:right w:w="108" w:type="dxa"/>
            </w:tcMar>
            <w:vAlign w:val="center"/>
          </w:tcPr>
          <w:p w14:paraId="35DB7D1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2.59%</w:t>
            </w:r>
          </w:p>
        </w:tc>
      </w:tr>
      <w:tr w:rsidR="006416B0" w:rsidRPr="00B4515A" w14:paraId="5E84C427"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6B77267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利润总额</w:t>
            </w:r>
          </w:p>
        </w:tc>
        <w:tc>
          <w:tcPr>
            <w:tcW w:w="1584" w:type="dxa"/>
            <w:shd w:val="clear" w:color="auto" w:fill="auto"/>
            <w:tcMar>
              <w:top w:w="0" w:type="dxa"/>
              <w:left w:w="108" w:type="dxa"/>
              <w:bottom w:w="0" w:type="dxa"/>
              <w:right w:w="108" w:type="dxa"/>
            </w:tcMar>
            <w:vAlign w:val="center"/>
          </w:tcPr>
          <w:p w14:paraId="550AE78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-15,164.66</w:t>
            </w:r>
          </w:p>
        </w:tc>
        <w:tc>
          <w:tcPr>
            <w:tcW w:w="1586" w:type="dxa"/>
            <w:shd w:val="clear" w:color="auto" w:fill="auto"/>
            <w:tcMar>
              <w:top w:w="0" w:type="dxa"/>
              <w:left w:w="108" w:type="dxa"/>
              <w:bottom w:w="0" w:type="dxa"/>
              <w:right w:w="108" w:type="dxa"/>
            </w:tcMar>
            <w:vAlign w:val="center"/>
          </w:tcPr>
          <w:p w14:paraId="1E606F6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-14,784.62</w:t>
            </w:r>
          </w:p>
        </w:tc>
        <w:tc>
          <w:tcPr>
            <w:tcW w:w="1586" w:type="dxa"/>
            <w:shd w:val="clear" w:color="auto" w:fill="auto"/>
            <w:tcMar>
              <w:top w:w="0" w:type="dxa"/>
              <w:left w:w="108" w:type="dxa"/>
              <w:bottom w:w="0" w:type="dxa"/>
              <w:right w:w="108" w:type="dxa"/>
            </w:tcMar>
            <w:vAlign w:val="center"/>
          </w:tcPr>
          <w:p w14:paraId="749F4C1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380.04</w:t>
            </w:r>
          </w:p>
        </w:tc>
        <w:tc>
          <w:tcPr>
            <w:tcW w:w="1883" w:type="dxa"/>
            <w:shd w:val="clear" w:color="auto" w:fill="auto"/>
            <w:tcMar>
              <w:top w:w="0" w:type="dxa"/>
              <w:left w:w="108" w:type="dxa"/>
              <w:bottom w:w="0" w:type="dxa"/>
              <w:right w:w="108" w:type="dxa"/>
            </w:tcMar>
            <w:vAlign w:val="center"/>
          </w:tcPr>
          <w:p w14:paraId="1E37D21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2.51%</w:t>
            </w:r>
          </w:p>
        </w:tc>
      </w:tr>
      <w:tr w:rsidR="006416B0" w:rsidRPr="00B4515A" w14:paraId="41584197"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266604A8"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净利润</w:t>
            </w:r>
          </w:p>
        </w:tc>
        <w:tc>
          <w:tcPr>
            <w:tcW w:w="1584" w:type="dxa"/>
            <w:shd w:val="clear" w:color="auto" w:fill="auto"/>
            <w:tcMar>
              <w:top w:w="0" w:type="dxa"/>
              <w:left w:w="108" w:type="dxa"/>
              <w:bottom w:w="0" w:type="dxa"/>
              <w:right w:w="108" w:type="dxa"/>
            </w:tcMar>
            <w:vAlign w:val="center"/>
          </w:tcPr>
          <w:p w14:paraId="32CD578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-14,586.00</w:t>
            </w:r>
          </w:p>
        </w:tc>
        <w:tc>
          <w:tcPr>
            <w:tcW w:w="1586" w:type="dxa"/>
            <w:shd w:val="clear" w:color="auto" w:fill="auto"/>
            <w:tcMar>
              <w:top w:w="0" w:type="dxa"/>
              <w:left w:w="108" w:type="dxa"/>
              <w:bottom w:w="0" w:type="dxa"/>
              <w:right w:w="108" w:type="dxa"/>
            </w:tcMar>
            <w:vAlign w:val="center"/>
          </w:tcPr>
          <w:p w14:paraId="0AA2CBB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-14,205.96</w:t>
            </w:r>
          </w:p>
        </w:tc>
        <w:tc>
          <w:tcPr>
            <w:tcW w:w="1586" w:type="dxa"/>
            <w:shd w:val="clear" w:color="auto" w:fill="auto"/>
            <w:tcMar>
              <w:top w:w="0" w:type="dxa"/>
              <w:left w:w="108" w:type="dxa"/>
              <w:bottom w:w="0" w:type="dxa"/>
              <w:right w:w="108" w:type="dxa"/>
            </w:tcMar>
            <w:vAlign w:val="center"/>
          </w:tcPr>
          <w:p w14:paraId="226E6C9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380.04</w:t>
            </w:r>
          </w:p>
        </w:tc>
        <w:tc>
          <w:tcPr>
            <w:tcW w:w="1883" w:type="dxa"/>
            <w:shd w:val="clear" w:color="auto" w:fill="auto"/>
            <w:tcMar>
              <w:top w:w="0" w:type="dxa"/>
              <w:left w:w="108" w:type="dxa"/>
              <w:bottom w:w="0" w:type="dxa"/>
              <w:right w:w="108" w:type="dxa"/>
            </w:tcMar>
            <w:vAlign w:val="center"/>
          </w:tcPr>
          <w:p w14:paraId="0147FA4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2.61%</w:t>
            </w:r>
          </w:p>
        </w:tc>
      </w:tr>
      <w:tr w:rsidR="006416B0" w:rsidRPr="00B4515A" w14:paraId="52019A57"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71D91D9D"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归属于母公司所有者的净利润</w:t>
            </w:r>
          </w:p>
        </w:tc>
        <w:tc>
          <w:tcPr>
            <w:tcW w:w="1584" w:type="dxa"/>
            <w:shd w:val="clear" w:color="auto" w:fill="auto"/>
            <w:tcMar>
              <w:top w:w="0" w:type="dxa"/>
              <w:left w:w="108" w:type="dxa"/>
              <w:bottom w:w="0" w:type="dxa"/>
              <w:right w:w="108" w:type="dxa"/>
            </w:tcMar>
            <w:vAlign w:val="center"/>
          </w:tcPr>
          <w:p w14:paraId="3151FA9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-9,784.31</w:t>
            </w:r>
          </w:p>
        </w:tc>
        <w:tc>
          <w:tcPr>
            <w:tcW w:w="1586" w:type="dxa"/>
            <w:shd w:val="clear" w:color="auto" w:fill="auto"/>
            <w:tcMar>
              <w:top w:w="0" w:type="dxa"/>
              <w:left w:w="108" w:type="dxa"/>
              <w:bottom w:w="0" w:type="dxa"/>
              <w:right w:w="108" w:type="dxa"/>
            </w:tcMar>
            <w:vAlign w:val="center"/>
          </w:tcPr>
          <w:p w14:paraId="31070B5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-9,443.36</w:t>
            </w:r>
          </w:p>
        </w:tc>
        <w:tc>
          <w:tcPr>
            <w:tcW w:w="1586" w:type="dxa"/>
            <w:shd w:val="clear" w:color="auto" w:fill="auto"/>
            <w:tcMar>
              <w:top w:w="0" w:type="dxa"/>
              <w:left w:w="108" w:type="dxa"/>
              <w:bottom w:w="0" w:type="dxa"/>
              <w:right w:w="108" w:type="dxa"/>
            </w:tcMar>
            <w:vAlign w:val="center"/>
          </w:tcPr>
          <w:p w14:paraId="764B8B1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340.95</w:t>
            </w:r>
          </w:p>
        </w:tc>
        <w:tc>
          <w:tcPr>
            <w:tcW w:w="1883" w:type="dxa"/>
            <w:shd w:val="clear" w:color="auto" w:fill="auto"/>
            <w:tcMar>
              <w:top w:w="0" w:type="dxa"/>
              <w:left w:w="108" w:type="dxa"/>
              <w:bottom w:w="0" w:type="dxa"/>
              <w:right w:w="108" w:type="dxa"/>
            </w:tcMar>
            <w:vAlign w:val="center"/>
          </w:tcPr>
          <w:p w14:paraId="4B247DF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3.48%</w:t>
            </w:r>
          </w:p>
        </w:tc>
      </w:tr>
      <w:tr w:rsidR="006416B0" w:rsidRPr="00B4515A" w14:paraId="425F3145" w14:textId="77777777" w:rsidTr="00031627">
        <w:trPr>
          <w:trHeight w:val="340"/>
          <w:jc w:val="center"/>
        </w:trPr>
        <w:tc>
          <w:tcPr>
            <w:tcW w:w="8999" w:type="dxa"/>
            <w:gridSpan w:val="5"/>
            <w:shd w:val="clear" w:color="auto" w:fill="auto"/>
            <w:tcMar>
              <w:top w:w="0" w:type="dxa"/>
              <w:left w:w="108" w:type="dxa"/>
              <w:bottom w:w="0" w:type="dxa"/>
              <w:right w:w="108" w:type="dxa"/>
            </w:tcMar>
            <w:vAlign w:val="center"/>
          </w:tcPr>
          <w:p w14:paraId="228AD02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2020 </w:t>
            </w:r>
            <w:r w:rsidRPr="00B4515A">
              <w:rPr>
                <w:rFonts w:ascii="Times New Roman" w:eastAsiaTheme="minorEastAsia" w:hAnsi="Times New Roman" w:cs="Times New Roman" w:hint="eastAsia"/>
                <w:b/>
                <w:bCs/>
                <w:color w:val="000000"/>
                <w:sz w:val="21"/>
                <w:szCs w:val="21"/>
              </w:rPr>
              <w:t>年度</w:t>
            </w:r>
          </w:p>
        </w:tc>
      </w:tr>
      <w:tr w:rsidR="006416B0" w:rsidRPr="00B4515A" w14:paraId="30DBC817" w14:textId="77777777" w:rsidTr="00031627">
        <w:trPr>
          <w:trHeight w:val="340"/>
          <w:jc w:val="center"/>
        </w:trPr>
        <w:tc>
          <w:tcPr>
            <w:tcW w:w="2360" w:type="dxa"/>
            <w:vMerge w:val="restart"/>
            <w:shd w:val="clear" w:color="auto" w:fill="auto"/>
            <w:tcMar>
              <w:top w:w="0" w:type="dxa"/>
              <w:left w:w="108" w:type="dxa"/>
              <w:bottom w:w="0" w:type="dxa"/>
              <w:right w:w="108" w:type="dxa"/>
            </w:tcMar>
            <w:vAlign w:val="center"/>
          </w:tcPr>
          <w:p w14:paraId="58F1EF2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584" w:type="dxa"/>
            <w:shd w:val="clear" w:color="auto" w:fill="auto"/>
            <w:tcMar>
              <w:top w:w="0" w:type="dxa"/>
              <w:left w:w="108" w:type="dxa"/>
              <w:bottom w:w="0" w:type="dxa"/>
              <w:right w:w="108" w:type="dxa"/>
            </w:tcMar>
            <w:vAlign w:val="center"/>
          </w:tcPr>
          <w:p w14:paraId="5470386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交易前</w:t>
            </w:r>
          </w:p>
        </w:tc>
        <w:tc>
          <w:tcPr>
            <w:tcW w:w="1586" w:type="dxa"/>
            <w:shd w:val="clear" w:color="auto" w:fill="auto"/>
            <w:tcMar>
              <w:top w:w="0" w:type="dxa"/>
              <w:left w:w="108" w:type="dxa"/>
              <w:bottom w:w="0" w:type="dxa"/>
              <w:right w:w="108" w:type="dxa"/>
            </w:tcMar>
            <w:vAlign w:val="center"/>
          </w:tcPr>
          <w:p w14:paraId="7031B39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交易后</w:t>
            </w:r>
          </w:p>
          <w:p w14:paraId="3DC2B93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（备考）</w:t>
            </w:r>
          </w:p>
        </w:tc>
        <w:tc>
          <w:tcPr>
            <w:tcW w:w="3469" w:type="dxa"/>
            <w:gridSpan w:val="2"/>
            <w:shd w:val="clear" w:color="auto" w:fill="auto"/>
            <w:tcMar>
              <w:top w:w="0" w:type="dxa"/>
              <w:left w:w="108" w:type="dxa"/>
              <w:bottom w:w="0" w:type="dxa"/>
              <w:right w:w="108" w:type="dxa"/>
            </w:tcMar>
            <w:vAlign w:val="center"/>
          </w:tcPr>
          <w:p w14:paraId="7247357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变化情况</w:t>
            </w:r>
          </w:p>
        </w:tc>
      </w:tr>
      <w:tr w:rsidR="006416B0" w:rsidRPr="00B4515A" w14:paraId="17B23D87" w14:textId="77777777" w:rsidTr="00031627">
        <w:trPr>
          <w:trHeight w:val="340"/>
          <w:jc w:val="center"/>
        </w:trPr>
        <w:tc>
          <w:tcPr>
            <w:tcW w:w="2360" w:type="dxa"/>
            <w:vMerge/>
            <w:shd w:val="clear" w:color="auto" w:fill="auto"/>
            <w:tcMar>
              <w:top w:w="0" w:type="dxa"/>
              <w:left w:w="108" w:type="dxa"/>
              <w:bottom w:w="0" w:type="dxa"/>
              <w:right w:w="108" w:type="dxa"/>
            </w:tcMar>
            <w:vAlign w:val="center"/>
          </w:tcPr>
          <w:p w14:paraId="7A97DF83"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1584" w:type="dxa"/>
            <w:shd w:val="clear" w:color="auto" w:fill="auto"/>
            <w:tcMar>
              <w:top w:w="0" w:type="dxa"/>
              <w:left w:w="108" w:type="dxa"/>
              <w:bottom w:w="0" w:type="dxa"/>
              <w:right w:w="108" w:type="dxa"/>
            </w:tcMar>
            <w:vAlign w:val="center"/>
          </w:tcPr>
          <w:p w14:paraId="2F66978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586" w:type="dxa"/>
            <w:shd w:val="clear" w:color="auto" w:fill="auto"/>
            <w:tcMar>
              <w:top w:w="0" w:type="dxa"/>
              <w:left w:w="108" w:type="dxa"/>
              <w:bottom w:w="0" w:type="dxa"/>
              <w:right w:w="108" w:type="dxa"/>
            </w:tcMar>
            <w:vAlign w:val="center"/>
          </w:tcPr>
          <w:p w14:paraId="0DD0087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586" w:type="dxa"/>
            <w:shd w:val="clear" w:color="auto" w:fill="auto"/>
            <w:tcMar>
              <w:top w:w="0" w:type="dxa"/>
              <w:left w:w="108" w:type="dxa"/>
              <w:bottom w:w="0" w:type="dxa"/>
              <w:right w:w="108" w:type="dxa"/>
            </w:tcMar>
            <w:vAlign w:val="center"/>
          </w:tcPr>
          <w:p w14:paraId="00E1585C"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金额</w:t>
            </w:r>
          </w:p>
        </w:tc>
        <w:tc>
          <w:tcPr>
            <w:tcW w:w="1883" w:type="dxa"/>
            <w:shd w:val="clear" w:color="auto" w:fill="auto"/>
            <w:tcMar>
              <w:top w:w="0" w:type="dxa"/>
              <w:left w:w="108" w:type="dxa"/>
              <w:bottom w:w="0" w:type="dxa"/>
              <w:right w:w="108" w:type="dxa"/>
            </w:tcMar>
            <w:vAlign w:val="center"/>
          </w:tcPr>
          <w:p w14:paraId="60076B7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变化率</w:t>
            </w:r>
          </w:p>
        </w:tc>
      </w:tr>
      <w:tr w:rsidR="006416B0" w:rsidRPr="00B4515A" w14:paraId="24069EA6"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2BEF10B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营业收入</w:t>
            </w:r>
          </w:p>
        </w:tc>
        <w:tc>
          <w:tcPr>
            <w:tcW w:w="1584" w:type="dxa"/>
            <w:shd w:val="clear" w:color="auto" w:fill="auto"/>
            <w:tcMar>
              <w:top w:w="0" w:type="dxa"/>
              <w:left w:w="108" w:type="dxa"/>
              <w:bottom w:w="0" w:type="dxa"/>
              <w:right w:w="108" w:type="dxa"/>
            </w:tcMar>
            <w:vAlign w:val="center"/>
          </w:tcPr>
          <w:p w14:paraId="0D6086C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120,721.15</w:t>
            </w:r>
          </w:p>
        </w:tc>
        <w:tc>
          <w:tcPr>
            <w:tcW w:w="1586" w:type="dxa"/>
            <w:shd w:val="clear" w:color="auto" w:fill="auto"/>
            <w:tcMar>
              <w:top w:w="0" w:type="dxa"/>
              <w:left w:w="108" w:type="dxa"/>
              <w:bottom w:w="0" w:type="dxa"/>
              <w:right w:w="108" w:type="dxa"/>
            </w:tcMar>
            <w:vAlign w:val="center"/>
          </w:tcPr>
          <w:p w14:paraId="4B1E914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162,630.87</w:t>
            </w:r>
          </w:p>
        </w:tc>
        <w:tc>
          <w:tcPr>
            <w:tcW w:w="1586" w:type="dxa"/>
            <w:shd w:val="clear" w:color="auto" w:fill="auto"/>
            <w:tcMar>
              <w:top w:w="0" w:type="dxa"/>
              <w:left w:w="108" w:type="dxa"/>
              <w:bottom w:w="0" w:type="dxa"/>
              <w:right w:w="108" w:type="dxa"/>
            </w:tcMar>
            <w:vAlign w:val="center"/>
          </w:tcPr>
          <w:p w14:paraId="6EB716B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41,909.72</w:t>
            </w:r>
          </w:p>
        </w:tc>
        <w:tc>
          <w:tcPr>
            <w:tcW w:w="1883" w:type="dxa"/>
            <w:shd w:val="clear" w:color="auto" w:fill="auto"/>
            <w:tcMar>
              <w:top w:w="0" w:type="dxa"/>
              <w:left w:w="108" w:type="dxa"/>
              <w:bottom w:w="0" w:type="dxa"/>
              <w:right w:w="108" w:type="dxa"/>
            </w:tcMar>
            <w:vAlign w:val="center"/>
          </w:tcPr>
          <w:p w14:paraId="00F076B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34.72%</w:t>
            </w:r>
          </w:p>
        </w:tc>
      </w:tr>
      <w:tr w:rsidR="006416B0" w:rsidRPr="00B4515A" w14:paraId="757C93A5"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2D01162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营业成本</w:t>
            </w:r>
          </w:p>
        </w:tc>
        <w:tc>
          <w:tcPr>
            <w:tcW w:w="1584" w:type="dxa"/>
            <w:shd w:val="clear" w:color="auto" w:fill="auto"/>
            <w:tcMar>
              <w:top w:w="0" w:type="dxa"/>
              <w:left w:w="108" w:type="dxa"/>
              <w:bottom w:w="0" w:type="dxa"/>
              <w:right w:w="108" w:type="dxa"/>
            </w:tcMar>
            <w:vAlign w:val="center"/>
          </w:tcPr>
          <w:p w14:paraId="1DBCB9D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82,040.26</w:t>
            </w:r>
          </w:p>
        </w:tc>
        <w:tc>
          <w:tcPr>
            <w:tcW w:w="1586" w:type="dxa"/>
            <w:shd w:val="clear" w:color="auto" w:fill="auto"/>
            <w:tcMar>
              <w:top w:w="0" w:type="dxa"/>
              <w:left w:w="108" w:type="dxa"/>
              <w:bottom w:w="0" w:type="dxa"/>
              <w:right w:w="108" w:type="dxa"/>
            </w:tcMar>
            <w:vAlign w:val="center"/>
          </w:tcPr>
          <w:p w14:paraId="6C31539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96,822.48</w:t>
            </w:r>
          </w:p>
        </w:tc>
        <w:tc>
          <w:tcPr>
            <w:tcW w:w="1586" w:type="dxa"/>
            <w:shd w:val="clear" w:color="auto" w:fill="auto"/>
            <w:tcMar>
              <w:top w:w="0" w:type="dxa"/>
              <w:left w:w="108" w:type="dxa"/>
              <w:bottom w:w="0" w:type="dxa"/>
              <w:right w:w="108" w:type="dxa"/>
            </w:tcMar>
            <w:vAlign w:val="center"/>
          </w:tcPr>
          <w:p w14:paraId="3B61979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14,782.22</w:t>
            </w:r>
          </w:p>
        </w:tc>
        <w:tc>
          <w:tcPr>
            <w:tcW w:w="1883" w:type="dxa"/>
            <w:shd w:val="clear" w:color="auto" w:fill="auto"/>
            <w:tcMar>
              <w:top w:w="0" w:type="dxa"/>
              <w:left w:w="108" w:type="dxa"/>
              <w:bottom w:w="0" w:type="dxa"/>
              <w:right w:w="108" w:type="dxa"/>
            </w:tcMar>
            <w:vAlign w:val="center"/>
          </w:tcPr>
          <w:p w14:paraId="2A00A31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18.02%</w:t>
            </w:r>
          </w:p>
        </w:tc>
      </w:tr>
      <w:tr w:rsidR="006416B0" w:rsidRPr="00B4515A" w14:paraId="15278192"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4739244A"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营业利润</w:t>
            </w:r>
          </w:p>
        </w:tc>
        <w:tc>
          <w:tcPr>
            <w:tcW w:w="1584" w:type="dxa"/>
            <w:shd w:val="clear" w:color="auto" w:fill="auto"/>
            <w:tcMar>
              <w:top w:w="0" w:type="dxa"/>
              <w:left w:w="108" w:type="dxa"/>
              <w:bottom w:w="0" w:type="dxa"/>
              <w:right w:w="108" w:type="dxa"/>
            </w:tcMar>
            <w:vAlign w:val="center"/>
          </w:tcPr>
          <w:p w14:paraId="763214C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-160,274.33</w:t>
            </w:r>
          </w:p>
        </w:tc>
        <w:tc>
          <w:tcPr>
            <w:tcW w:w="1586" w:type="dxa"/>
            <w:shd w:val="clear" w:color="auto" w:fill="auto"/>
            <w:tcMar>
              <w:top w:w="0" w:type="dxa"/>
              <w:left w:w="108" w:type="dxa"/>
              <w:bottom w:w="0" w:type="dxa"/>
              <w:right w:w="108" w:type="dxa"/>
            </w:tcMar>
            <w:vAlign w:val="center"/>
          </w:tcPr>
          <w:p w14:paraId="7A53233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-155,847.49</w:t>
            </w:r>
          </w:p>
        </w:tc>
        <w:tc>
          <w:tcPr>
            <w:tcW w:w="1586" w:type="dxa"/>
            <w:shd w:val="clear" w:color="auto" w:fill="auto"/>
            <w:tcMar>
              <w:top w:w="0" w:type="dxa"/>
              <w:left w:w="108" w:type="dxa"/>
              <w:bottom w:w="0" w:type="dxa"/>
              <w:right w:w="108" w:type="dxa"/>
            </w:tcMar>
            <w:vAlign w:val="center"/>
          </w:tcPr>
          <w:p w14:paraId="627A5BB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4,426.84</w:t>
            </w:r>
          </w:p>
        </w:tc>
        <w:tc>
          <w:tcPr>
            <w:tcW w:w="1883" w:type="dxa"/>
            <w:shd w:val="clear" w:color="auto" w:fill="auto"/>
            <w:tcMar>
              <w:top w:w="0" w:type="dxa"/>
              <w:left w:w="108" w:type="dxa"/>
              <w:bottom w:w="0" w:type="dxa"/>
              <w:right w:w="108" w:type="dxa"/>
            </w:tcMar>
            <w:vAlign w:val="center"/>
          </w:tcPr>
          <w:p w14:paraId="0B1DE6A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2.76%</w:t>
            </w:r>
          </w:p>
        </w:tc>
      </w:tr>
      <w:tr w:rsidR="006416B0" w:rsidRPr="00B4515A" w14:paraId="6E76E9F3"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27A2882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利润总额</w:t>
            </w:r>
          </w:p>
        </w:tc>
        <w:tc>
          <w:tcPr>
            <w:tcW w:w="1584" w:type="dxa"/>
            <w:shd w:val="clear" w:color="auto" w:fill="auto"/>
            <w:tcMar>
              <w:top w:w="0" w:type="dxa"/>
              <w:left w:w="108" w:type="dxa"/>
              <w:bottom w:w="0" w:type="dxa"/>
              <w:right w:w="108" w:type="dxa"/>
            </w:tcMar>
            <w:vAlign w:val="center"/>
          </w:tcPr>
          <w:p w14:paraId="214DBF9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-168,793.47</w:t>
            </w:r>
          </w:p>
        </w:tc>
        <w:tc>
          <w:tcPr>
            <w:tcW w:w="1586" w:type="dxa"/>
            <w:shd w:val="clear" w:color="auto" w:fill="auto"/>
            <w:tcMar>
              <w:top w:w="0" w:type="dxa"/>
              <w:left w:w="108" w:type="dxa"/>
              <w:bottom w:w="0" w:type="dxa"/>
              <w:right w:w="108" w:type="dxa"/>
            </w:tcMar>
            <w:vAlign w:val="center"/>
          </w:tcPr>
          <w:p w14:paraId="3EBB0C7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-164,212.51</w:t>
            </w:r>
          </w:p>
        </w:tc>
        <w:tc>
          <w:tcPr>
            <w:tcW w:w="1586" w:type="dxa"/>
            <w:shd w:val="clear" w:color="auto" w:fill="auto"/>
            <w:tcMar>
              <w:top w:w="0" w:type="dxa"/>
              <w:left w:w="108" w:type="dxa"/>
              <w:bottom w:w="0" w:type="dxa"/>
              <w:right w:w="108" w:type="dxa"/>
            </w:tcMar>
            <w:vAlign w:val="center"/>
          </w:tcPr>
          <w:p w14:paraId="28DB306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4,580.96</w:t>
            </w:r>
          </w:p>
        </w:tc>
        <w:tc>
          <w:tcPr>
            <w:tcW w:w="1883" w:type="dxa"/>
            <w:shd w:val="clear" w:color="auto" w:fill="auto"/>
            <w:tcMar>
              <w:top w:w="0" w:type="dxa"/>
              <w:left w:w="108" w:type="dxa"/>
              <w:bottom w:w="0" w:type="dxa"/>
              <w:right w:w="108" w:type="dxa"/>
            </w:tcMar>
            <w:vAlign w:val="center"/>
          </w:tcPr>
          <w:p w14:paraId="7BDD28E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2.71%</w:t>
            </w:r>
          </w:p>
        </w:tc>
      </w:tr>
      <w:tr w:rsidR="006416B0" w:rsidRPr="00B4515A" w14:paraId="3B140C9D"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62FA0CC8"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净利润</w:t>
            </w:r>
          </w:p>
        </w:tc>
        <w:tc>
          <w:tcPr>
            <w:tcW w:w="1584" w:type="dxa"/>
            <w:shd w:val="clear" w:color="auto" w:fill="auto"/>
            <w:tcMar>
              <w:top w:w="0" w:type="dxa"/>
              <w:left w:w="108" w:type="dxa"/>
              <w:bottom w:w="0" w:type="dxa"/>
              <w:right w:w="108" w:type="dxa"/>
            </w:tcMar>
            <w:vAlign w:val="center"/>
          </w:tcPr>
          <w:p w14:paraId="2DC9381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-173,763.40</w:t>
            </w:r>
          </w:p>
        </w:tc>
        <w:tc>
          <w:tcPr>
            <w:tcW w:w="1586" w:type="dxa"/>
            <w:shd w:val="clear" w:color="auto" w:fill="auto"/>
            <w:tcMar>
              <w:top w:w="0" w:type="dxa"/>
              <w:left w:w="108" w:type="dxa"/>
              <w:bottom w:w="0" w:type="dxa"/>
              <w:right w:w="108" w:type="dxa"/>
            </w:tcMar>
            <w:vAlign w:val="center"/>
          </w:tcPr>
          <w:p w14:paraId="1B797F4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-169,182.44</w:t>
            </w:r>
          </w:p>
        </w:tc>
        <w:tc>
          <w:tcPr>
            <w:tcW w:w="1586" w:type="dxa"/>
            <w:shd w:val="clear" w:color="auto" w:fill="auto"/>
            <w:tcMar>
              <w:top w:w="0" w:type="dxa"/>
              <w:left w:w="108" w:type="dxa"/>
              <w:bottom w:w="0" w:type="dxa"/>
              <w:right w:w="108" w:type="dxa"/>
            </w:tcMar>
            <w:vAlign w:val="center"/>
          </w:tcPr>
          <w:p w14:paraId="1F13C39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4,580.96</w:t>
            </w:r>
          </w:p>
        </w:tc>
        <w:tc>
          <w:tcPr>
            <w:tcW w:w="1883" w:type="dxa"/>
            <w:shd w:val="clear" w:color="auto" w:fill="auto"/>
            <w:tcMar>
              <w:top w:w="0" w:type="dxa"/>
              <w:left w:w="108" w:type="dxa"/>
              <w:bottom w:w="0" w:type="dxa"/>
              <w:right w:w="108" w:type="dxa"/>
            </w:tcMar>
            <w:vAlign w:val="center"/>
          </w:tcPr>
          <w:p w14:paraId="5443760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2.64%</w:t>
            </w:r>
          </w:p>
        </w:tc>
      </w:tr>
      <w:tr w:rsidR="006416B0" w:rsidRPr="00B4515A" w14:paraId="1B1636EE" w14:textId="77777777" w:rsidTr="00031627">
        <w:trPr>
          <w:trHeight w:val="340"/>
          <w:jc w:val="center"/>
        </w:trPr>
        <w:tc>
          <w:tcPr>
            <w:tcW w:w="2360" w:type="dxa"/>
            <w:shd w:val="clear" w:color="auto" w:fill="auto"/>
            <w:tcMar>
              <w:top w:w="0" w:type="dxa"/>
              <w:left w:w="108" w:type="dxa"/>
              <w:bottom w:w="0" w:type="dxa"/>
              <w:right w:w="108" w:type="dxa"/>
            </w:tcMar>
            <w:vAlign w:val="center"/>
          </w:tcPr>
          <w:p w14:paraId="0B34B89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归属于母公司所有者的净利润</w:t>
            </w:r>
          </w:p>
        </w:tc>
        <w:tc>
          <w:tcPr>
            <w:tcW w:w="1584" w:type="dxa"/>
            <w:shd w:val="clear" w:color="auto" w:fill="auto"/>
            <w:tcMar>
              <w:top w:w="0" w:type="dxa"/>
              <w:left w:w="108" w:type="dxa"/>
              <w:bottom w:w="0" w:type="dxa"/>
              <w:right w:w="108" w:type="dxa"/>
            </w:tcMar>
            <w:vAlign w:val="center"/>
          </w:tcPr>
          <w:p w14:paraId="009AD66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-136,381.11</w:t>
            </w:r>
          </w:p>
        </w:tc>
        <w:tc>
          <w:tcPr>
            <w:tcW w:w="1586" w:type="dxa"/>
            <w:shd w:val="clear" w:color="auto" w:fill="auto"/>
            <w:tcMar>
              <w:top w:w="0" w:type="dxa"/>
              <w:left w:w="108" w:type="dxa"/>
              <w:bottom w:w="0" w:type="dxa"/>
              <w:right w:w="108" w:type="dxa"/>
            </w:tcMar>
            <w:vAlign w:val="center"/>
          </w:tcPr>
          <w:p w14:paraId="4F20A4F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-132,112.46</w:t>
            </w:r>
          </w:p>
        </w:tc>
        <w:tc>
          <w:tcPr>
            <w:tcW w:w="1586" w:type="dxa"/>
            <w:shd w:val="clear" w:color="auto" w:fill="auto"/>
            <w:tcMar>
              <w:top w:w="0" w:type="dxa"/>
              <w:left w:w="108" w:type="dxa"/>
              <w:bottom w:w="0" w:type="dxa"/>
              <w:right w:w="108" w:type="dxa"/>
            </w:tcMar>
            <w:vAlign w:val="center"/>
          </w:tcPr>
          <w:p w14:paraId="3266106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4,268.65</w:t>
            </w:r>
          </w:p>
        </w:tc>
        <w:tc>
          <w:tcPr>
            <w:tcW w:w="1883" w:type="dxa"/>
            <w:shd w:val="clear" w:color="auto" w:fill="auto"/>
            <w:tcMar>
              <w:top w:w="0" w:type="dxa"/>
              <w:left w:w="108" w:type="dxa"/>
              <w:bottom w:w="0" w:type="dxa"/>
              <w:right w:w="108" w:type="dxa"/>
            </w:tcMar>
            <w:vAlign w:val="center"/>
          </w:tcPr>
          <w:p w14:paraId="1090B90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3.13%</w:t>
            </w:r>
          </w:p>
        </w:tc>
      </w:tr>
    </w:tbl>
    <w:p w14:paraId="3E45FA97" w14:textId="77777777" w:rsidR="006416B0" w:rsidRPr="00B4515A" w:rsidRDefault="005E58C1" w:rsidP="006100BC">
      <w:pPr>
        <w:pStyle w:val="005"/>
        <w:spacing w:before="120" w:after="120"/>
        <w:ind w:firstLine="480"/>
      </w:pPr>
      <w:r w:rsidRPr="00B4515A">
        <w:rPr>
          <w:rFonts w:hint="eastAsia"/>
        </w:rPr>
        <w:t>本次交易提高了上市公司的收入规模以及盈利水平。上市公司</w:t>
      </w:r>
      <w:r w:rsidRPr="00B4515A">
        <w:t>2021</w:t>
      </w:r>
      <w:r w:rsidRPr="00B4515A">
        <w:rPr>
          <w:rFonts w:hint="eastAsia"/>
        </w:rPr>
        <w:t>年</w:t>
      </w:r>
      <w:r w:rsidRPr="00B4515A">
        <w:t>1-4</w:t>
      </w:r>
      <w:r w:rsidRPr="00B4515A">
        <w:rPr>
          <w:rFonts w:hint="eastAsia"/>
        </w:rPr>
        <w:t>月的备考营业收入、营业利润和归属于母公司所有者的净利润分别为</w:t>
      </w:r>
      <w:r w:rsidRPr="00B4515A">
        <w:t>25,810.48</w:t>
      </w:r>
      <w:r w:rsidRPr="00B4515A">
        <w:rPr>
          <w:rFonts w:hint="eastAsia"/>
        </w:rPr>
        <w:t>万元、</w:t>
      </w:r>
      <w:r w:rsidRPr="00B4515A">
        <w:t>-14,796.74</w:t>
      </w:r>
      <w:r w:rsidRPr="00B4515A">
        <w:rPr>
          <w:rFonts w:hint="eastAsia"/>
        </w:rPr>
        <w:t>万元、</w:t>
      </w:r>
      <w:r w:rsidRPr="00B4515A">
        <w:t>-9,443.36</w:t>
      </w:r>
      <w:r w:rsidRPr="00B4515A">
        <w:rPr>
          <w:rFonts w:hint="eastAsia"/>
        </w:rPr>
        <w:t>万元，较交易前分别上升</w:t>
      </w:r>
      <w:r w:rsidRPr="00B4515A">
        <w:t>89.44%</w:t>
      </w:r>
      <w:r w:rsidRPr="00B4515A">
        <w:rPr>
          <w:rFonts w:hint="eastAsia"/>
        </w:rPr>
        <w:t>、</w:t>
      </w:r>
      <w:r w:rsidRPr="00B4515A">
        <w:t>2.59%</w:t>
      </w:r>
      <w:r w:rsidRPr="00B4515A">
        <w:rPr>
          <w:rFonts w:hint="eastAsia"/>
        </w:rPr>
        <w:t>、</w:t>
      </w:r>
      <w:r w:rsidRPr="00B4515A">
        <w:t>3.48%</w:t>
      </w:r>
      <w:r w:rsidRPr="00B4515A">
        <w:rPr>
          <w:rFonts w:hint="eastAsia"/>
        </w:rPr>
        <w:t>。上市公司</w:t>
      </w:r>
      <w:r w:rsidRPr="00B4515A">
        <w:t>2020</w:t>
      </w:r>
      <w:r w:rsidRPr="00B4515A">
        <w:rPr>
          <w:rFonts w:hint="eastAsia"/>
        </w:rPr>
        <w:t>年度的备考营业收入、营业利润和归属于母公司所有者的净利润分别为</w:t>
      </w:r>
      <w:r w:rsidRPr="00B4515A">
        <w:t>162,630.87</w:t>
      </w:r>
      <w:r w:rsidRPr="00B4515A">
        <w:rPr>
          <w:rFonts w:hint="eastAsia"/>
        </w:rPr>
        <w:t>万元、</w:t>
      </w:r>
      <w:r w:rsidRPr="00B4515A">
        <w:t>-155,847.49</w:t>
      </w:r>
      <w:r w:rsidRPr="00B4515A">
        <w:rPr>
          <w:rFonts w:hint="eastAsia"/>
        </w:rPr>
        <w:t>万元、</w:t>
      </w:r>
      <w:r w:rsidRPr="00B4515A">
        <w:t>-132,112.46</w:t>
      </w:r>
      <w:r w:rsidRPr="00B4515A">
        <w:rPr>
          <w:rFonts w:hint="eastAsia"/>
        </w:rPr>
        <w:t>万元，较交易前分别上升</w:t>
      </w:r>
      <w:r w:rsidRPr="00B4515A">
        <w:t>34.72%</w:t>
      </w:r>
      <w:r w:rsidRPr="00B4515A">
        <w:rPr>
          <w:rFonts w:hint="eastAsia"/>
        </w:rPr>
        <w:t>、</w:t>
      </w:r>
      <w:r w:rsidRPr="00B4515A">
        <w:t>2.76%</w:t>
      </w:r>
      <w:r w:rsidRPr="00B4515A">
        <w:rPr>
          <w:rFonts w:hint="eastAsia"/>
        </w:rPr>
        <w:t>、</w:t>
      </w:r>
      <w:r w:rsidRPr="00B4515A">
        <w:t>3.13%</w:t>
      </w:r>
      <w:r w:rsidRPr="00B4515A">
        <w:rPr>
          <w:rFonts w:hint="eastAsia"/>
        </w:rPr>
        <w:t>。</w:t>
      </w:r>
    </w:p>
    <w:p w14:paraId="1DAB3A31" w14:textId="77777777" w:rsidR="006416B0" w:rsidRPr="00B4515A" w:rsidRDefault="005E58C1" w:rsidP="006100BC">
      <w:pPr>
        <w:pStyle w:val="004"/>
        <w:spacing w:before="120" w:after="120"/>
        <w:ind w:firstLine="482"/>
      </w:pPr>
      <w:r w:rsidRPr="00B4515A">
        <w:t>2</w:t>
      </w:r>
      <w:r w:rsidRPr="00B4515A">
        <w:t>、本次交易前后盈利能力比较分析</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32"/>
        <w:gridCol w:w="2132"/>
        <w:gridCol w:w="2132"/>
        <w:gridCol w:w="2132"/>
      </w:tblGrid>
      <w:tr w:rsidR="006416B0" w:rsidRPr="00B4515A" w14:paraId="1E8568FF" w14:textId="77777777" w:rsidTr="00031627">
        <w:trPr>
          <w:trHeight w:val="340"/>
          <w:jc w:val="center"/>
        </w:trPr>
        <w:tc>
          <w:tcPr>
            <w:tcW w:w="5000" w:type="pct"/>
            <w:gridSpan w:val="4"/>
            <w:shd w:val="clear" w:color="auto" w:fill="auto"/>
            <w:tcMar>
              <w:top w:w="0" w:type="dxa"/>
              <w:left w:w="108" w:type="dxa"/>
              <w:bottom w:w="0" w:type="dxa"/>
              <w:right w:w="108" w:type="dxa"/>
            </w:tcMar>
            <w:vAlign w:val="center"/>
          </w:tcPr>
          <w:p w14:paraId="65D103A3"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r>
      <w:tr w:rsidR="006416B0" w:rsidRPr="00B4515A" w14:paraId="4402E232"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7F19BDD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250" w:type="pct"/>
            <w:shd w:val="clear" w:color="auto" w:fill="auto"/>
            <w:tcMar>
              <w:top w:w="0" w:type="dxa"/>
              <w:left w:w="108" w:type="dxa"/>
              <w:bottom w:w="0" w:type="dxa"/>
              <w:right w:w="108" w:type="dxa"/>
            </w:tcMar>
            <w:vAlign w:val="center"/>
          </w:tcPr>
          <w:p w14:paraId="19961FE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交易前</w:t>
            </w:r>
          </w:p>
        </w:tc>
        <w:tc>
          <w:tcPr>
            <w:tcW w:w="1250" w:type="pct"/>
            <w:shd w:val="clear" w:color="auto" w:fill="auto"/>
            <w:tcMar>
              <w:top w:w="0" w:type="dxa"/>
              <w:left w:w="108" w:type="dxa"/>
              <w:bottom w:w="0" w:type="dxa"/>
              <w:right w:w="108" w:type="dxa"/>
            </w:tcMar>
            <w:vAlign w:val="center"/>
          </w:tcPr>
          <w:p w14:paraId="2F52BF8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交易后（备考）</w:t>
            </w:r>
          </w:p>
        </w:tc>
        <w:tc>
          <w:tcPr>
            <w:tcW w:w="1250" w:type="pct"/>
            <w:shd w:val="clear" w:color="auto" w:fill="auto"/>
            <w:tcMar>
              <w:top w:w="0" w:type="dxa"/>
              <w:left w:w="108" w:type="dxa"/>
              <w:bottom w:w="0" w:type="dxa"/>
              <w:right w:w="108" w:type="dxa"/>
            </w:tcMar>
            <w:vAlign w:val="center"/>
          </w:tcPr>
          <w:p w14:paraId="148B6DE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w:t>
            </w:r>
          </w:p>
        </w:tc>
      </w:tr>
      <w:tr w:rsidR="006416B0" w:rsidRPr="00B4515A" w14:paraId="7A469865"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3DAC7E5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毛利率</w:t>
            </w:r>
          </w:p>
        </w:tc>
        <w:tc>
          <w:tcPr>
            <w:tcW w:w="1250" w:type="pct"/>
            <w:shd w:val="clear" w:color="auto" w:fill="auto"/>
            <w:tcMar>
              <w:top w:w="0" w:type="dxa"/>
              <w:left w:w="108" w:type="dxa"/>
              <w:bottom w:w="0" w:type="dxa"/>
              <w:right w:w="108" w:type="dxa"/>
            </w:tcMar>
            <w:vAlign w:val="center"/>
          </w:tcPr>
          <w:p w14:paraId="1D78ACB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25.45%</w:t>
            </w:r>
          </w:p>
        </w:tc>
        <w:tc>
          <w:tcPr>
            <w:tcW w:w="1250" w:type="pct"/>
            <w:shd w:val="clear" w:color="auto" w:fill="auto"/>
            <w:tcMar>
              <w:top w:w="0" w:type="dxa"/>
              <w:left w:w="108" w:type="dxa"/>
              <w:bottom w:w="0" w:type="dxa"/>
              <w:right w:w="108" w:type="dxa"/>
            </w:tcMar>
            <w:vAlign w:val="center"/>
          </w:tcPr>
          <w:p w14:paraId="39860C9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43.30%</w:t>
            </w:r>
          </w:p>
        </w:tc>
        <w:tc>
          <w:tcPr>
            <w:tcW w:w="1250" w:type="pct"/>
            <w:shd w:val="clear" w:color="auto" w:fill="auto"/>
            <w:tcMar>
              <w:top w:w="0" w:type="dxa"/>
              <w:left w:w="108" w:type="dxa"/>
              <w:bottom w:w="0" w:type="dxa"/>
              <w:right w:w="108" w:type="dxa"/>
            </w:tcMar>
            <w:vAlign w:val="center"/>
          </w:tcPr>
          <w:p w14:paraId="669EEF1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17.85%</w:t>
            </w:r>
          </w:p>
        </w:tc>
      </w:tr>
      <w:tr w:rsidR="006416B0" w:rsidRPr="00B4515A" w14:paraId="707DEDF5"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01515B7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净利率</w:t>
            </w:r>
          </w:p>
        </w:tc>
        <w:tc>
          <w:tcPr>
            <w:tcW w:w="1250" w:type="pct"/>
            <w:shd w:val="clear" w:color="auto" w:fill="auto"/>
            <w:tcMar>
              <w:top w:w="0" w:type="dxa"/>
              <w:left w:w="108" w:type="dxa"/>
              <w:bottom w:w="0" w:type="dxa"/>
              <w:right w:w="108" w:type="dxa"/>
            </w:tcMar>
            <w:vAlign w:val="center"/>
          </w:tcPr>
          <w:p w14:paraId="292FD3E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-71.81%</w:t>
            </w:r>
          </w:p>
        </w:tc>
        <w:tc>
          <w:tcPr>
            <w:tcW w:w="1250" w:type="pct"/>
            <w:shd w:val="clear" w:color="auto" w:fill="auto"/>
            <w:tcMar>
              <w:top w:w="0" w:type="dxa"/>
              <w:left w:w="108" w:type="dxa"/>
              <w:bottom w:w="0" w:type="dxa"/>
              <w:right w:w="108" w:type="dxa"/>
            </w:tcMar>
            <w:vAlign w:val="center"/>
          </w:tcPr>
          <w:p w14:paraId="2AE12AA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-36.59%</w:t>
            </w:r>
          </w:p>
        </w:tc>
        <w:tc>
          <w:tcPr>
            <w:tcW w:w="1250" w:type="pct"/>
            <w:shd w:val="clear" w:color="auto" w:fill="auto"/>
            <w:tcMar>
              <w:top w:w="0" w:type="dxa"/>
              <w:left w:w="108" w:type="dxa"/>
              <w:bottom w:w="0" w:type="dxa"/>
              <w:right w:w="108" w:type="dxa"/>
            </w:tcMar>
            <w:vAlign w:val="center"/>
          </w:tcPr>
          <w:p w14:paraId="1B2EE11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35.23%</w:t>
            </w:r>
          </w:p>
        </w:tc>
      </w:tr>
      <w:tr w:rsidR="006416B0" w:rsidRPr="00B4515A" w14:paraId="7A8B67EB"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2A1EB3D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基本每股收益（元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股）</w:t>
            </w:r>
          </w:p>
        </w:tc>
        <w:tc>
          <w:tcPr>
            <w:tcW w:w="1250" w:type="pct"/>
            <w:shd w:val="clear" w:color="auto" w:fill="auto"/>
            <w:tcMar>
              <w:top w:w="0" w:type="dxa"/>
              <w:left w:w="108" w:type="dxa"/>
              <w:bottom w:w="0" w:type="dxa"/>
              <w:right w:w="108" w:type="dxa"/>
            </w:tcMar>
            <w:vAlign w:val="center"/>
          </w:tcPr>
          <w:p w14:paraId="76E653F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-0.11</w:t>
            </w:r>
          </w:p>
        </w:tc>
        <w:tc>
          <w:tcPr>
            <w:tcW w:w="1250" w:type="pct"/>
            <w:shd w:val="clear" w:color="auto" w:fill="auto"/>
            <w:tcMar>
              <w:top w:w="0" w:type="dxa"/>
              <w:left w:w="108" w:type="dxa"/>
              <w:bottom w:w="0" w:type="dxa"/>
              <w:right w:w="108" w:type="dxa"/>
            </w:tcMar>
            <w:vAlign w:val="center"/>
          </w:tcPr>
          <w:p w14:paraId="7D30E7A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-0.07</w:t>
            </w:r>
          </w:p>
        </w:tc>
        <w:tc>
          <w:tcPr>
            <w:tcW w:w="1250" w:type="pct"/>
            <w:shd w:val="clear" w:color="auto" w:fill="auto"/>
            <w:tcMar>
              <w:top w:w="0" w:type="dxa"/>
              <w:left w:w="108" w:type="dxa"/>
              <w:bottom w:w="0" w:type="dxa"/>
              <w:right w:w="108" w:type="dxa"/>
            </w:tcMar>
            <w:vAlign w:val="center"/>
          </w:tcPr>
          <w:p w14:paraId="5834BED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0.04</w:t>
            </w:r>
          </w:p>
        </w:tc>
      </w:tr>
      <w:tr w:rsidR="006416B0" w:rsidRPr="00B4515A" w14:paraId="170A6102"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11EACB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扣除非经常性损益后的基本每股收益（元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股）</w:t>
            </w:r>
          </w:p>
        </w:tc>
        <w:tc>
          <w:tcPr>
            <w:tcW w:w="1250" w:type="pct"/>
            <w:shd w:val="clear" w:color="auto" w:fill="auto"/>
            <w:tcMar>
              <w:top w:w="0" w:type="dxa"/>
              <w:left w:w="108" w:type="dxa"/>
              <w:bottom w:w="0" w:type="dxa"/>
              <w:right w:w="108" w:type="dxa"/>
            </w:tcMar>
            <w:vAlign w:val="center"/>
          </w:tcPr>
          <w:p w14:paraId="20D3C1C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-0.13</w:t>
            </w:r>
          </w:p>
        </w:tc>
        <w:tc>
          <w:tcPr>
            <w:tcW w:w="1250" w:type="pct"/>
            <w:shd w:val="clear" w:color="auto" w:fill="auto"/>
            <w:tcMar>
              <w:top w:w="0" w:type="dxa"/>
              <w:left w:w="108" w:type="dxa"/>
              <w:bottom w:w="0" w:type="dxa"/>
              <w:right w:w="108" w:type="dxa"/>
            </w:tcMar>
            <w:vAlign w:val="center"/>
          </w:tcPr>
          <w:p w14:paraId="76BD504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-0.08</w:t>
            </w:r>
          </w:p>
        </w:tc>
        <w:tc>
          <w:tcPr>
            <w:tcW w:w="1250" w:type="pct"/>
            <w:shd w:val="clear" w:color="auto" w:fill="auto"/>
            <w:tcMar>
              <w:top w:w="0" w:type="dxa"/>
              <w:left w:w="108" w:type="dxa"/>
              <w:bottom w:w="0" w:type="dxa"/>
              <w:right w:w="108" w:type="dxa"/>
            </w:tcMar>
            <w:vAlign w:val="center"/>
          </w:tcPr>
          <w:p w14:paraId="57BD5FA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0.04</w:t>
            </w:r>
          </w:p>
        </w:tc>
      </w:tr>
      <w:tr w:rsidR="006416B0" w:rsidRPr="00B4515A" w14:paraId="7D4B9D27" w14:textId="77777777" w:rsidTr="00031627">
        <w:trPr>
          <w:trHeight w:val="340"/>
          <w:jc w:val="center"/>
        </w:trPr>
        <w:tc>
          <w:tcPr>
            <w:tcW w:w="5000" w:type="pct"/>
            <w:gridSpan w:val="4"/>
            <w:shd w:val="clear" w:color="auto" w:fill="auto"/>
            <w:tcMar>
              <w:top w:w="0" w:type="dxa"/>
              <w:left w:w="108" w:type="dxa"/>
              <w:bottom w:w="0" w:type="dxa"/>
              <w:right w:w="108" w:type="dxa"/>
            </w:tcMar>
            <w:vAlign w:val="center"/>
          </w:tcPr>
          <w:p w14:paraId="0438421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 xml:space="preserve">2020 </w:t>
            </w:r>
            <w:r w:rsidRPr="00B4515A">
              <w:rPr>
                <w:rFonts w:ascii="Times New Roman" w:eastAsiaTheme="minorEastAsia" w:hAnsi="Times New Roman" w:cs="Times New Roman" w:hint="eastAsia"/>
                <w:b/>
                <w:bCs/>
                <w:color w:val="000000"/>
                <w:sz w:val="21"/>
                <w:szCs w:val="21"/>
              </w:rPr>
              <w:t>年度</w:t>
            </w:r>
          </w:p>
        </w:tc>
      </w:tr>
      <w:tr w:rsidR="006416B0" w:rsidRPr="00B4515A" w14:paraId="49ECACC5"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58D8E19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1250" w:type="pct"/>
            <w:shd w:val="clear" w:color="auto" w:fill="auto"/>
            <w:tcMar>
              <w:top w:w="0" w:type="dxa"/>
              <w:left w:w="108" w:type="dxa"/>
              <w:bottom w:w="0" w:type="dxa"/>
              <w:right w:w="108" w:type="dxa"/>
            </w:tcMar>
            <w:vAlign w:val="center"/>
          </w:tcPr>
          <w:p w14:paraId="13536AF3" w14:textId="77777777" w:rsidR="006416B0" w:rsidRPr="00B4515A" w:rsidRDefault="005E58C1" w:rsidP="005860B4">
            <w:pPr>
              <w:adjustRightInd w:val="0"/>
              <w:snapToGrid w:val="0"/>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交易前</w:t>
            </w:r>
          </w:p>
        </w:tc>
        <w:tc>
          <w:tcPr>
            <w:tcW w:w="1250" w:type="pct"/>
            <w:shd w:val="clear" w:color="auto" w:fill="auto"/>
            <w:tcMar>
              <w:top w:w="0" w:type="dxa"/>
              <w:left w:w="108" w:type="dxa"/>
              <w:bottom w:w="0" w:type="dxa"/>
              <w:right w:w="108" w:type="dxa"/>
            </w:tcMar>
            <w:vAlign w:val="center"/>
          </w:tcPr>
          <w:p w14:paraId="023AA0E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交易后（备考）</w:t>
            </w:r>
          </w:p>
        </w:tc>
        <w:tc>
          <w:tcPr>
            <w:tcW w:w="1250" w:type="pct"/>
            <w:shd w:val="clear" w:color="auto" w:fill="auto"/>
            <w:tcMar>
              <w:top w:w="0" w:type="dxa"/>
              <w:left w:w="108" w:type="dxa"/>
              <w:bottom w:w="0" w:type="dxa"/>
              <w:right w:w="108" w:type="dxa"/>
            </w:tcMar>
            <w:vAlign w:val="center"/>
          </w:tcPr>
          <w:p w14:paraId="1E3A9ED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变化</w:t>
            </w:r>
          </w:p>
        </w:tc>
      </w:tr>
      <w:tr w:rsidR="006416B0" w:rsidRPr="00B4515A" w14:paraId="42593F5E"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17ACEC6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lastRenderedPageBreak/>
              <w:t>毛利率</w:t>
            </w:r>
          </w:p>
        </w:tc>
        <w:tc>
          <w:tcPr>
            <w:tcW w:w="1250" w:type="pct"/>
            <w:shd w:val="clear" w:color="auto" w:fill="auto"/>
            <w:tcMar>
              <w:top w:w="0" w:type="dxa"/>
              <w:left w:w="108" w:type="dxa"/>
              <w:bottom w:w="0" w:type="dxa"/>
              <w:right w:w="108" w:type="dxa"/>
            </w:tcMar>
            <w:vAlign w:val="center"/>
          </w:tcPr>
          <w:p w14:paraId="5FF6791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32.04%</w:t>
            </w:r>
          </w:p>
        </w:tc>
        <w:tc>
          <w:tcPr>
            <w:tcW w:w="1250" w:type="pct"/>
            <w:shd w:val="clear" w:color="auto" w:fill="auto"/>
            <w:tcMar>
              <w:top w:w="0" w:type="dxa"/>
              <w:left w:w="108" w:type="dxa"/>
              <w:bottom w:w="0" w:type="dxa"/>
              <w:right w:w="108" w:type="dxa"/>
            </w:tcMar>
            <w:vAlign w:val="center"/>
          </w:tcPr>
          <w:p w14:paraId="0D907EB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40.46%</w:t>
            </w:r>
          </w:p>
        </w:tc>
        <w:tc>
          <w:tcPr>
            <w:tcW w:w="1250" w:type="pct"/>
            <w:shd w:val="clear" w:color="auto" w:fill="auto"/>
            <w:tcMar>
              <w:top w:w="0" w:type="dxa"/>
              <w:left w:w="108" w:type="dxa"/>
              <w:bottom w:w="0" w:type="dxa"/>
              <w:right w:w="108" w:type="dxa"/>
            </w:tcMar>
            <w:vAlign w:val="center"/>
          </w:tcPr>
          <w:p w14:paraId="7B59E2A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8.42%</w:t>
            </w:r>
          </w:p>
        </w:tc>
      </w:tr>
      <w:tr w:rsidR="0082267A" w:rsidRPr="00B4515A" w14:paraId="38FAE8C4"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74E0C832" w14:textId="77777777" w:rsidR="0082267A" w:rsidRPr="00B4515A" w:rsidRDefault="0082267A"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净利率</w:t>
            </w:r>
          </w:p>
        </w:tc>
        <w:tc>
          <w:tcPr>
            <w:tcW w:w="1250" w:type="pct"/>
            <w:shd w:val="clear" w:color="auto" w:fill="auto"/>
            <w:tcMar>
              <w:top w:w="0" w:type="dxa"/>
              <w:left w:w="108" w:type="dxa"/>
              <w:bottom w:w="0" w:type="dxa"/>
              <w:right w:w="108" w:type="dxa"/>
            </w:tcMar>
            <w:vAlign w:val="center"/>
          </w:tcPr>
          <w:p w14:paraId="6E6D1834" w14:textId="37804D10" w:rsidR="0082267A" w:rsidRPr="00B4515A" w:rsidRDefault="0082267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-112.97%</w:t>
            </w:r>
          </w:p>
        </w:tc>
        <w:tc>
          <w:tcPr>
            <w:tcW w:w="1250" w:type="pct"/>
            <w:shd w:val="clear" w:color="auto" w:fill="auto"/>
            <w:tcMar>
              <w:top w:w="0" w:type="dxa"/>
              <w:left w:w="108" w:type="dxa"/>
              <w:bottom w:w="0" w:type="dxa"/>
              <w:right w:w="108" w:type="dxa"/>
            </w:tcMar>
            <w:vAlign w:val="center"/>
          </w:tcPr>
          <w:p w14:paraId="6A466E69" w14:textId="50191D27" w:rsidR="0082267A" w:rsidRPr="00B4515A" w:rsidRDefault="0082267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-81.23%</w:t>
            </w:r>
          </w:p>
        </w:tc>
        <w:tc>
          <w:tcPr>
            <w:tcW w:w="1250" w:type="pct"/>
            <w:shd w:val="clear" w:color="auto" w:fill="auto"/>
            <w:tcMar>
              <w:top w:w="0" w:type="dxa"/>
              <w:left w:w="108" w:type="dxa"/>
              <w:bottom w:w="0" w:type="dxa"/>
              <w:right w:w="108" w:type="dxa"/>
            </w:tcMar>
            <w:vAlign w:val="center"/>
          </w:tcPr>
          <w:p w14:paraId="2B06A529" w14:textId="6E803FCD" w:rsidR="0082267A" w:rsidRPr="00B4515A" w:rsidRDefault="0082267A"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31.74%</w:t>
            </w:r>
          </w:p>
        </w:tc>
      </w:tr>
      <w:tr w:rsidR="006416B0" w:rsidRPr="00B4515A" w14:paraId="465BA7C1"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0CC07D00"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基本每股收益（元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股）</w:t>
            </w:r>
          </w:p>
        </w:tc>
        <w:tc>
          <w:tcPr>
            <w:tcW w:w="1250" w:type="pct"/>
            <w:shd w:val="clear" w:color="auto" w:fill="auto"/>
            <w:tcMar>
              <w:top w:w="0" w:type="dxa"/>
              <w:left w:w="108" w:type="dxa"/>
              <w:bottom w:w="0" w:type="dxa"/>
              <w:right w:w="108" w:type="dxa"/>
            </w:tcMar>
            <w:vAlign w:val="center"/>
          </w:tcPr>
          <w:p w14:paraId="4F881BA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-1.55</w:t>
            </w:r>
          </w:p>
        </w:tc>
        <w:tc>
          <w:tcPr>
            <w:tcW w:w="1250" w:type="pct"/>
            <w:shd w:val="clear" w:color="auto" w:fill="auto"/>
            <w:tcMar>
              <w:top w:w="0" w:type="dxa"/>
              <w:left w:w="108" w:type="dxa"/>
              <w:bottom w:w="0" w:type="dxa"/>
              <w:right w:w="108" w:type="dxa"/>
            </w:tcMar>
            <w:vAlign w:val="center"/>
          </w:tcPr>
          <w:p w14:paraId="3399A76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-1.01</w:t>
            </w:r>
          </w:p>
        </w:tc>
        <w:tc>
          <w:tcPr>
            <w:tcW w:w="1250" w:type="pct"/>
            <w:shd w:val="clear" w:color="auto" w:fill="auto"/>
            <w:tcMar>
              <w:top w:w="0" w:type="dxa"/>
              <w:left w:w="108" w:type="dxa"/>
              <w:bottom w:w="0" w:type="dxa"/>
              <w:right w:w="108" w:type="dxa"/>
            </w:tcMar>
            <w:vAlign w:val="center"/>
          </w:tcPr>
          <w:p w14:paraId="28B86DD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0.54</w:t>
            </w:r>
          </w:p>
        </w:tc>
      </w:tr>
      <w:tr w:rsidR="006416B0" w:rsidRPr="00B4515A" w14:paraId="6B17BD5F" w14:textId="77777777" w:rsidTr="00031627">
        <w:trPr>
          <w:trHeight w:val="340"/>
          <w:jc w:val="center"/>
        </w:trPr>
        <w:tc>
          <w:tcPr>
            <w:tcW w:w="1250" w:type="pct"/>
            <w:shd w:val="clear" w:color="auto" w:fill="auto"/>
            <w:tcMar>
              <w:top w:w="0" w:type="dxa"/>
              <w:left w:w="108" w:type="dxa"/>
              <w:bottom w:w="0" w:type="dxa"/>
              <w:right w:w="108" w:type="dxa"/>
            </w:tcMar>
            <w:vAlign w:val="center"/>
          </w:tcPr>
          <w:p w14:paraId="453F633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扣除非经常性损益后的基本每股收益（元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股）</w:t>
            </w:r>
          </w:p>
        </w:tc>
        <w:tc>
          <w:tcPr>
            <w:tcW w:w="1250" w:type="pct"/>
            <w:shd w:val="clear" w:color="auto" w:fill="auto"/>
            <w:tcMar>
              <w:top w:w="0" w:type="dxa"/>
              <w:left w:w="108" w:type="dxa"/>
              <w:bottom w:w="0" w:type="dxa"/>
              <w:right w:w="108" w:type="dxa"/>
            </w:tcMar>
            <w:vAlign w:val="center"/>
          </w:tcPr>
          <w:p w14:paraId="2BCF09F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-1.59</w:t>
            </w:r>
          </w:p>
        </w:tc>
        <w:tc>
          <w:tcPr>
            <w:tcW w:w="1250" w:type="pct"/>
            <w:shd w:val="clear" w:color="auto" w:fill="auto"/>
            <w:tcMar>
              <w:top w:w="0" w:type="dxa"/>
              <w:left w:w="108" w:type="dxa"/>
              <w:bottom w:w="0" w:type="dxa"/>
              <w:right w:w="108" w:type="dxa"/>
            </w:tcMar>
            <w:vAlign w:val="center"/>
          </w:tcPr>
          <w:p w14:paraId="40BEAE7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-1.04</w:t>
            </w:r>
          </w:p>
        </w:tc>
        <w:tc>
          <w:tcPr>
            <w:tcW w:w="1250" w:type="pct"/>
            <w:shd w:val="clear" w:color="auto" w:fill="auto"/>
            <w:tcMar>
              <w:top w:w="0" w:type="dxa"/>
              <w:left w:w="108" w:type="dxa"/>
              <w:bottom w:w="0" w:type="dxa"/>
              <w:right w:w="108" w:type="dxa"/>
            </w:tcMar>
            <w:vAlign w:val="center"/>
          </w:tcPr>
          <w:p w14:paraId="6E37BB4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0.55</w:t>
            </w:r>
          </w:p>
        </w:tc>
      </w:tr>
    </w:tbl>
    <w:p w14:paraId="08C8E305" w14:textId="77777777" w:rsidR="006416B0" w:rsidRPr="00B4515A" w:rsidRDefault="005E58C1" w:rsidP="006100BC">
      <w:pPr>
        <w:pStyle w:val="006"/>
        <w:ind w:firstLine="420"/>
      </w:pPr>
      <w:r w:rsidRPr="00B4515A">
        <w:rPr>
          <w:rFonts w:hint="eastAsia"/>
        </w:rPr>
        <w:t>注：</w:t>
      </w:r>
    </w:p>
    <w:p w14:paraId="1DB9F3E3" w14:textId="662BD472" w:rsidR="006416B0" w:rsidRPr="00B4515A" w:rsidRDefault="003855A8" w:rsidP="006100BC">
      <w:pPr>
        <w:pStyle w:val="006"/>
        <w:ind w:firstLine="420"/>
      </w:pPr>
      <w:r w:rsidRPr="00B4515A">
        <w:rPr>
          <w:rFonts w:hint="eastAsia"/>
        </w:rPr>
        <w:t>（</w:t>
      </w:r>
      <w:r w:rsidRPr="00B4515A">
        <w:rPr>
          <w:rFonts w:hint="eastAsia"/>
        </w:rPr>
        <w:t>1</w:t>
      </w:r>
      <w:r w:rsidRPr="00B4515A">
        <w:rPr>
          <w:rFonts w:hint="eastAsia"/>
        </w:rPr>
        <w:t>）</w:t>
      </w:r>
      <w:r w:rsidR="005E58C1" w:rsidRPr="00B4515A">
        <w:rPr>
          <w:rFonts w:hint="eastAsia"/>
        </w:rPr>
        <w:t>毛利率</w:t>
      </w:r>
      <w:r w:rsidR="005E58C1" w:rsidRPr="00B4515A">
        <w:t>=</w:t>
      </w:r>
      <w:r w:rsidR="005E58C1" w:rsidRPr="00B4515A">
        <w:rPr>
          <w:rFonts w:hint="eastAsia"/>
        </w:rPr>
        <w:t>（营业收入</w:t>
      </w:r>
      <w:r w:rsidR="005E58C1" w:rsidRPr="00B4515A">
        <w:t>-</w:t>
      </w:r>
      <w:r w:rsidR="005E58C1" w:rsidRPr="00B4515A">
        <w:rPr>
          <w:rFonts w:hint="eastAsia"/>
        </w:rPr>
        <w:t>营业成本）</w:t>
      </w:r>
      <w:r w:rsidR="005E58C1" w:rsidRPr="00B4515A">
        <w:t>/</w:t>
      </w:r>
      <w:r w:rsidR="005E58C1" w:rsidRPr="00B4515A">
        <w:rPr>
          <w:rFonts w:hint="eastAsia"/>
        </w:rPr>
        <w:t>营业收入</w:t>
      </w:r>
      <w:r w:rsidR="005E58C1" w:rsidRPr="00B4515A">
        <w:t>*100%</w:t>
      </w:r>
      <w:r w:rsidR="005E58C1" w:rsidRPr="00B4515A">
        <w:rPr>
          <w:rFonts w:hint="eastAsia"/>
        </w:rPr>
        <w:t>；</w:t>
      </w:r>
    </w:p>
    <w:p w14:paraId="01CE005E" w14:textId="283820F3" w:rsidR="006416B0" w:rsidRPr="00B4515A" w:rsidRDefault="003855A8" w:rsidP="006100BC">
      <w:pPr>
        <w:pStyle w:val="006"/>
        <w:ind w:firstLine="420"/>
      </w:pPr>
      <w:r w:rsidRPr="00B4515A">
        <w:rPr>
          <w:rFonts w:hint="eastAsia"/>
        </w:rPr>
        <w:t>（</w:t>
      </w:r>
      <w:r w:rsidRPr="00B4515A">
        <w:rPr>
          <w:rFonts w:hint="eastAsia"/>
        </w:rPr>
        <w:t>2</w:t>
      </w:r>
      <w:r w:rsidRPr="00B4515A">
        <w:rPr>
          <w:rFonts w:hint="eastAsia"/>
        </w:rPr>
        <w:t>）</w:t>
      </w:r>
      <w:r w:rsidR="005E58C1" w:rsidRPr="00B4515A">
        <w:rPr>
          <w:rFonts w:hint="eastAsia"/>
        </w:rPr>
        <w:t>净利率</w:t>
      </w:r>
      <w:r w:rsidR="005E58C1" w:rsidRPr="00B4515A">
        <w:t>=</w:t>
      </w:r>
      <w:r w:rsidR="005E58C1" w:rsidRPr="00B4515A">
        <w:rPr>
          <w:rFonts w:hint="eastAsia"/>
        </w:rPr>
        <w:t>归属于母公司股东的净利润</w:t>
      </w:r>
      <w:r w:rsidR="005E58C1" w:rsidRPr="00B4515A">
        <w:t>/</w:t>
      </w:r>
      <w:r w:rsidR="005E58C1" w:rsidRPr="00B4515A">
        <w:rPr>
          <w:rFonts w:hint="eastAsia"/>
        </w:rPr>
        <w:t>营业收入</w:t>
      </w:r>
      <w:r w:rsidR="005E58C1" w:rsidRPr="00B4515A">
        <w:t>*100%</w:t>
      </w:r>
      <w:r w:rsidR="005E58C1" w:rsidRPr="00B4515A">
        <w:rPr>
          <w:rFonts w:hint="eastAsia"/>
        </w:rPr>
        <w:t>；</w:t>
      </w:r>
    </w:p>
    <w:p w14:paraId="56F0D2C4" w14:textId="2B847554" w:rsidR="006416B0" w:rsidRPr="00B4515A" w:rsidRDefault="003855A8" w:rsidP="006100BC">
      <w:pPr>
        <w:pStyle w:val="006"/>
        <w:ind w:firstLine="420"/>
      </w:pPr>
      <w:r w:rsidRPr="00B4515A">
        <w:rPr>
          <w:rFonts w:hint="eastAsia"/>
        </w:rPr>
        <w:t>（</w:t>
      </w:r>
      <w:r w:rsidRPr="00B4515A">
        <w:rPr>
          <w:rFonts w:hint="eastAsia"/>
        </w:rPr>
        <w:t>3</w:t>
      </w:r>
      <w:r w:rsidRPr="00B4515A">
        <w:rPr>
          <w:rFonts w:hint="eastAsia"/>
        </w:rPr>
        <w:t>）</w:t>
      </w:r>
      <w:r w:rsidR="005E58C1" w:rsidRPr="00B4515A">
        <w:rPr>
          <w:rFonts w:hint="eastAsia"/>
        </w:rPr>
        <w:t>基本每股收益</w:t>
      </w:r>
      <w:r w:rsidR="005E58C1" w:rsidRPr="00B4515A">
        <w:t>=</w:t>
      </w:r>
      <w:r w:rsidR="005E58C1" w:rsidRPr="00B4515A">
        <w:rPr>
          <w:rFonts w:hint="eastAsia"/>
        </w:rPr>
        <w:t>归属于普通股股东的当期净利润÷当期发行在外普通股的加权平均数；</w:t>
      </w:r>
    </w:p>
    <w:p w14:paraId="6FD28105" w14:textId="776503BD" w:rsidR="006416B0" w:rsidRPr="00B4515A" w:rsidRDefault="003855A8" w:rsidP="006100BC">
      <w:pPr>
        <w:pStyle w:val="006"/>
        <w:ind w:firstLine="420"/>
      </w:pPr>
      <w:r w:rsidRPr="00B4515A">
        <w:rPr>
          <w:rFonts w:hint="eastAsia"/>
        </w:rPr>
        <w:t>（</w:t>
      </w:r>
      <w:r w:rsidRPr="00B4515A">
        <w:rPr>
          <w:rFonts w:hint="eastAsia"/>
        </w:rPr>
        <w:t>4</w:t>
      </w:r>
      <w:r w:rsidRPr="00B4515A">
        <w:rPr>
          <w:rFonts w:hint="eastAsia"/>
        </w:rPr>
        <w:t>）</w:t>
      </w:r>
      <w:r w:rsidR="005E58C1" w:rsidRPr="00B4515A">
        <w:rPr>
          <w:rFonts w:hint="eastAsia"/>
        </w:rPr>
        <w:t>扣除非经常性损益后的基本每股收益</w:t>
      </w:r>
      <w:r w:rsidR="005E58C1" w:rsidRPr="00B4515A">
        <w:t>=</w:t>
      </w:r>
      <w:r w:rsidR="005E58C1" w:rsidRPr="00B4515A">
        <w:rPr>
          <w:rFonts w:hint="eastAsia"/>
        </w:rPr>
        <w:t>扣除非经常性损益后归属于普通股股东的当期净利润÷当期发行在外普通股的加权平均数。</w:t>
      </w:r>
    </w:p>
    <w:p w14:paraId="79AC8929" w14:textId="49A8934D" w:rsidR="006416B0" w:rsidRPr="00B4515A" w:rsidRDefault="005E58C1" w:rsidP="006100BC">
      <w:pPr>
        <w:pStyle w:val="005"/>
        <w:spacing w:before="120" w:after="120"/>
        <w:ind w:firstLine="480"/>
      </w:pPr>
      <w:r w:rsidRPr="00B4515A">
        <w:rPr>
          <w:rFonts w:hint="eastAsia"/>
        </w:rPr>
        <w:t>本次交易提高了上市公司的盈利能力。上市公司</w:t>
      </w:r>
      <w:r w:rsidRPr="00B4515A">
        <w:t>2021</w:t>
      </w:r>
      <w:r w:rsidRPr="00B4515A">
        <w:rPr>
          <w:rFonts w:hint="eastAsia"/>
        </w:rPr>
        <w:t>年</w:t>
      </w:r>
      <w:r w:rsidRPr="00B4515A">
        <w:t>1-4</w:t>
      </w:r>
      <w:r w:rsidRPr="00B4515A">
        <w:rPr>
          <w:rFonts w:hint="eastAsia"/>
        </w:rPr>
        <w:t>月的备考毛利率、净利率分别为</w:t>
      </w:r>
      <w:r w:rsidRPr="00B4515A">
        <w:rPr>
          <w:color w:val="000000"/>
        </w:rPr>
        <w:t>43.30%</w:t>
      </w:r>
      <w:r w:rsidRPr="00B4515A">
        <w:rPr>
          <w:rFonts w:hint="eastAsia"/>
          <w:color w:val="000000"/>
        </w:rPr>
        <w:t>、</w:t>
      </w:r>
      <w:r w:rsidRPr="00B4515A">
        <w:rPr>
          <w:color w:val="000000"/>
        </w:rPr>
        <w:t>-36.59%</w:t>
      </w:r>
      <w:r w:rsidRPr="00B4515A">
        <w:rPr>
          <w:rFonts w:hint="eastAsia"/>
        </w:rPr>
        <w:t>，较交易前分别上升</w:t>
      </w:r>
      <w:r w:rsidRPr="00B4515A">
        <w:t>17.85%</w:t>
      </w:r>
      <w:r w:rsidRPr="00B4515A">
        <w:rPr>
          <w:rFonts w:hint="eastAsia"/>
        </w:rPr>
        <w:t>、</w:t>
      </w:r>
      <w:r w:rsidRPr="00B4515A">
        <w:t>35.23%</w:t>
      </w:r>
      <w:r w:rsidRPr="00B4515A">
        <w:rPr>
          <w:rFonts w:hint="eastAsia"/>
        </w:rPr>
        <w:t>。上市公司</w:t>
      </w:r>
      <w:r w:rsidRPr="00B4515A">
        <w:t>2020</w:t>
      </w:r>
      <w:r w:rsidRPr="00B4515A">
        <w:rPr>
          <w:rFonts w:hint="eastAsia"/>
        </w:rPr>
        <w:t>年度、</w:t>
      </w:r>
      <w:r w:rsidRPr="00B4515A">
        <w:t>2021</w:t>
      </w:r>
      <w:r w:rsidRPr="00B4515A">
        <w:rPr>
          <w:rFonts w:hint="eastAsia"/>
        </w:rPr>
        <w:t>年</w:t>
      </w:r>
      <w:r w:rsidRPr="00B4515A">
        <w:t>1-4</w:t>
      </w:r>
      <w:r w:rsidRPr="00B4515A">
        <w:rPr>
          <w:rFonts w:hint="eastAsia"/>
        </w:rPr>
        <w:t>月扣除非经常性损益后的基本每股收益分别为</w:t>
      </w:r>
      <w:r w:rsidRPr="00B4515A">
        <w:t>-1.04</w:t>
      </w:r>
      <w:r w:rsidR="0082267A" w:rsidRPr="00B4515A">
        <w:rPr>
          <w:rFonts w:hint="eastAsia"/>
          <w:szCs w:val="24"/>
        </w:rPr>
        <w:t>元</w:t>
      </w:r>
      <w:r w:rsidR="0082267A" w:rsidRPr="00B4515A">
        <w:rPr>
          <w:szCs w:val="24"/>
        </w:rPr>
        <w:t>/</w:t>
      </w:r>
      <w:r w:rsidR="0082267A" w:rsidRPr="00B4515A">
        <w:rPr>
          <w:rFonts w:hint="eastAsia"/>
          <w:szCs w:val="24"/>
        </w:rPr>
        <w:t>股</w:t>
      </w:r>
      <w:r w:rsidRPr="00B4515A">
        <w:rPr>
          <w:rFonts w:hint="eastAsia"/>
        </w:rPr>
        <w:t>、</w:t>
      </w:r>
      <w:r w:rsidRPr="00B4515A">
        <w:t>-0.08</w:t>
      </w:r>
      <w:r w:rsidR="0082267A" w:rsidRPr="00B4515A">
        <w:rPr>
          <w:rFonts w:hint="eastAsia"/>
          <w:szCs w:val="24"/>
        </w:rPr>
        <w:t>元</w:t>
      </w:r>
      <w:r w:rsidR="0082267A" w:rsidRPr="00B4515A">
        <w:rPr>
          <w:szCs w:val="24"/>
        </w:rPr>
        <w:t>/</w:t>
      </w:r>
      <w:r w:rsidR="0082267A" w:rsidRPr="00B4515A">
        <w:rPr>
          <w:rFonts w:hint="eastAsia"/>
          <w:szCs w:val="24"/>
        </w:rPr>
        <w:t>股</w:t>
      </w:r>
      <w:r w:rsidR="00482EBC" w:rsidRPr="00B4515A">
        <w:rPr>
          <w:rFonts w:hint="eastAsia"/>
        </w:rPr>
        <w:t>，较交易前分别上升</w:t>
      </w:r>
      <w:r w:rsidR="00482EBC" w:rsidRPr="00B4515A">
        <w:rPr>
          <w:rFonts w:hint="eastAsia"/>
        </w:rPr>
        <w:t>0</w:t>
      </w:r>
      <w:r w:rsidR="00482EBC" w:rsidRPr="00B4515A">
        <w:t>.55</w:t>
      </w:r>
      <w:r w:rsidR="0082267A" w:rsidRPr="00B4515A">
        <w:rPr>
          <w:rFonts w:hint="eastAsia"/>
          <w:szCs w:val="24"/>
        </w:rPr>
        <w:t>元</w:t>
      </w:r>
      <w:r w:rsidR="0082267A" w:rsidRPr="00B4515A">
        <w:rPr>
          <w:szCs w:val="24"/>
        </w:rPr>
        <w:t>/</w:t>
      </w:r>
      <w:r w:rsidR="0082267A" w:rsidRPr="00B4515A">
        <w:rPr>
          <w:rFonts w:hint="eastAsia"/>
          <w:szCs w:val="24"/>
        </w:rPr>
        <w:t>股</w:t>
      </w:r>
      <w:r w:rsidR="00482EBC" w:rsidRPr="00B4515A">
        <w:rPr>
          <w:rFonts w:hint="eastAsia"/>
        </w:rPr>
        <w:t>、</w:t>
      </w:r>
      <w:r w:rsidR="00482EBC" w:rsidRPr="00B4515A">
        <w:rPr>
          <w:rFonts w:hint="eastAsia"/>
        </w:rPr>
        <w:t>0</w:t>
      </w:r>
      <w:r w:rsidR="00482EBC" w:rsidRPr="00B4515A">
        <w:t>.04</w:t>
      </w:r>
      <w:r w:rsidR="0082267A" w:rsidRPr="00B4515A">
        <w:rPr>
          <w:rFonts w:hint="eastAsia"/>
          <w:szCs w:val="24"/>
        </w:rPr>
        <w:t>元</w:t>
      </w:r>
      <w:r w:rsidR="0082267A" w:rsidRPr="00B4515A">
        <w:rPr>
          <w:szCs w:val="24"/>
        </w:rPr>
        <w:t>/</w:t>
      </w:r>
      <w:r w:rsidR="0082267A" w:rsidRPr="00B4515A">
        <w:rPr>
          <w:rFonts w:hint="eastAsia"/>
          <w:szCs w:val="24"/>
        </w:rPr>
        <w:t>股</w:t>
      </w:r>
      <w:r w:rsidRPr="00B4515A">
        <w:rPr>
          <w:rFonts w:hint="eastAsia"/>
        </w:rPr>
        <w:t>。本次交易将增加上市公司的每股收益，不存在因并购重组交易而导致即期每股收益被摊薄的情况。</w:t>
      </w:r>
    </w:p>
    <w:p w14:paraId="6B16DCE8" w14:textId="77777777" w:rsidR="006416B0" w:rsidRPr="00B4515A" w:rsidRDefault="005E58C1" w:rsidP="006100BC">
      <w:pPr>
        <w:pStyle w:val="003"/>
        <w:spacing w:before="120"/>
        <w:ind w:firstLine="482"/>
      </w:pPr>
      <w:r w:rsidRPr="00B4515A">
        <w:rPr>
          <w:rFonts w:hint="eastAsia"/>
        </w:rPr>
        <w:t>（四）本次交易对上市公司当期每股收益等财务指标和非财务指标影响的分析</w:t>
      </w:r>
    </w:p>
    <w:p w14:paraId="6725A997" w14:textId="77777777" w:rsidR="006416B0" w:rsidRPr="00B4515A" w:rsidRDefault="005E58C1" w:rsidP="006100BC">
      <w:pPr>
        <w:pStyle w:val="004"/>
        <w:spacing w:before="120" w:after="120"/>
        <w:ind w:firstLine="482"/>
      </w:pPr>
      <w:r w:rsidRPr="00B4515A">
        <w:t>1</w:t>
      </w:r>
      <w:r w:rsidRPr="00B4515A">
        <w:t>、本次交易对上市公司主要财务指标的影响</w:t>
      </w:r>
    </w:p>
    <w:p w14:paraId="2AE7E2B1" w14:textId="77777777" w:rsidR="006416B0" w:rsidRPr="00B4515A" w:rsidRDefault="005E58C1" w:rsidP="006100BC">
      <w:pPr>
        <w:pStyle w:val="009"/>
      </w:pPr>
      <w:r w:rsidRPr="00B4515A">
        <w:rPr>
          <w:rFonts w:hint="eastAsia"/>
        </w:rPr>
        <w:t>单位：万元</w:t>
      </w:r>
    </w:p>
    <w:tbl>
      <w:tblPr>
        <w:tblW w:w="5247"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22"/>
        <w:gridCol w:w="1441"/>
        <w:gridCol w:w="1321"/>
        <w:gridCol w:w="1085"/>
        <w:gridCol w:w="1249"/>
        <w:gridCol w:w="1382"/>
        <w:gridCol w:w="1149"/>
      </w:tblGrid>
      <w:tr w:rsidR="006416B0" w:rsidRPr="00B4515A" w14:paraId="0CF086F6" w14:textId="77777777" w:rsidTr="00EE238F">
        <w:trPr>
          <w:trHeight w:val="340"/>
          <w:tblHeader/>
          <w:jc w:val="center"/>
        </w:trPr>
        <w:tc>
          <w:tcPr>
            <w:tcW w:w="739" w:type="pct"/>
            <w:vMerge w:val="restart"/>
            <w:shd w:val="clear" w:color="auto" w:fill="auto"/>
            <w:tcMar>
              <w:top w:w="0" w:type="dxa"/>
              <w:left w:w="108" w:type="dxa"/>
              <w:bottom w:w="0" w:type="dxa"/>
              <w:right w:w="108" w:type="dxa"/>
            </w:tcMar>
            <w:vAlign w:val="center"/>
          </w:tcPr>
          <w:p w14:paraId="1CF07C2A"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项目</w:t>
            </w:r>
          </w:p>
        </w:tc>
        <w:tc>
          <w:tcPr>
            <w:tcW w:w="2149" w:type="pct"/>
            <w:gridSpan w:val="3"/>
            <w:shd w:val="clear" w:color="auto" w:fill="auto"/>
            <w:tcMar>
              <w:top w:w="0" w:type="dxa"/>
              <w:left w:w="108" w:type="dxa"/>
              <w:bottom w:w="0" w:type="dxa"/>
              <w:right w:w="108" w:type="dxa"/>
            </w:tcMar>
            <w:vAlign w:val="center"/>
          </w:tcPr>
          <w:p w14:paraId="50D82542"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4</w:t>
            </w:r>
            <w:r w:rsidRPr="00B4515A">
              <w:rPr>
                <w:rFonts w:ascii="Times New Roman" w:eastAsiaTheme="minorEastAsia" w:hAnsi="Times New Roman" w:cs="Times New Roman" w:hint="eastAsia"/>
                <w:b/>
                <w:bCs/>
                <w:color w:val="000000"/>
                <w:sz w:val="21"/>
                <w:szCs w:val="21"/>
              </w:rPr>
              <w:t>月</w:t>
            </w:r>
            <w:r w:rsidRPr="00B4515A">
              <w:rPr>
                <w:rFonts w:ascii="Times New Roman" w:eastAsiaTheme="minorEastAsia" w:hAnsi="Times New Roman" w:cs="Times New Roman"/>
                <w:b/>
                <w:bCs/>
                <w:color w:val="000000"/>
                <w:sz w:val="21"/>
                <w:szCs w:val="21"/>
              </w:rPr>
              <w:t>30</w:t>
            </w:r>
            <w:r w:rsidRPr="00B4515A">
              <w:rPr>
                <w:rFonts w:ascii="Times New Roman" w:eastAsiaTheme="minorEastAsia" w:hAnsi="Times New Roman" w:cs="Times New Roman" w:hint="eastAsia"/>
                <w:b/>
                <w:bCs/>
                <w:color w:val="000000"/>
                <w:sz w:val="21"/>
                <w:szCs w:val="21"/>
              </w:rPr>
              <w:t>日</w:t>
            </w:r>
          </w:p>
          <w:p w14:paraId="0F1A323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hint="eastAsia"/>
                <w:b/>
                <w:bCs/>
                <w:color w:val="000000"/>
                <w:sz w:val="21"/>
                <w:szCs w:val="21"/>
              </w:rPr>
              <w:t>月</w:t>
            </w:r>
          </w:p>
        </w:tc>
        <w:tc>
          <w:tcPr>
            <w:tcW w:w="2112" w:type="pct"/>
            <w:gridSpan w:val="3"/>
            <w:shd w:val="clear" w:color="auto" w:fill="auto"/>
            <w:tcMar>
              <w:top w:w="0" w:type="dxa"/>
              <w:left w:w="108" w:type="dxa"/>
              <w:bottom w:w="0" w:type="dxa"/>
              <w:right w:w="108" w:type="dxa"/>
            </w:tcMar>
            <w:vAlign w:val="center"/>
          </w:tcPr>
          <w:p w14:paraId="7B0433C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hint="eastAsia"/>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hint="eastAsia"/>
                <w:b/>
                <w:bCs/>
                <w:color w:val="000000"/>
                <w:sz w:val="21"/>
                <w:szCs w:val="21"/>
              </w:rPr>
              <w:t>日</w:t>
            </w:r>
          </w:p>
          <w:p w14:paraId="6B43390D"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hint="eastAsia"/>
                <w:b/>
                <w:bCs/>
                <w:color w:val="000000"/>
                <w:sz w:val="21"/>
                <w:szCs w:val="21"/>
              </w:rPr>
              <w:t>年度</w:t>
            </w:r>
          </w:p>
        </w:tc>
      </w:tr>
      <w:tr w:rsidR="006416B0" w:rsidRPr="00B4515A" w14:paraId="4BE107A2" w14:textId="77777777" w:rsidTr="00EE238F">
        <w:trPr>
          <w:trHeight w:val="340"/>
          <w:tblHeader/>
          <w:jc w:val="center"/>
        </w:trPr>
        <w:tc>
          <w:tcPr>
            <w:tcW w:w="739" w:type="pct"/>
            <w:vMerge/>
            <w:tcMar>
              <w:top w:w="0" w:type="dxa"/>
              <w:left w:w="108" w:type="dxa"/>
              <w:bottom w:w="0" w:type="dxa"/>
              <w:right w:w="108" w:type="dxa"/>
            </w:tcMar>
            <w:vAlign w:val="center"/>
          </w:tcPr>
          <w:p w14:paraId="027639C0" w14:textId="77777777" w:rsidR="006416B0" w:rsidRPr="00B4515A" w:rsidRDefault="006416B0" w:rsidP="005860B4">
            <w:pPr>
              <w:adjustRightInd w:val="0"/>
              <w:snapToGrid w:val="0"/>
              <w:jc w:val="center"/>
              <w:rPr>
                <w:rFonts w:ascii="Times New Roman" w:eastAsiaTheme="minorEastAsia" w:hAnsi="Times New Roman" w:cs="Times New Roman"/>
                <w:color w:val="000000"/>
                <w:sz w:val="21"/>
                <w:szCs w:val="21"/>
              </w:rPr>
            </w:pPr>
          </w:p>
        </w:tc>
        <w:tc>
          <w:tcPr>
            <w:tcW w:w="805" w:type="pct"/>
            <w:shd w:val="clear" w:color="auto" w:fill="auto"/>
            <w:tcMar>
              <w:top w:w="0" w:type="dxa"/>
              <w:left w:w="108" w:type="dxa"/>
              <w:bottom w:w="0" w:type="dxa"/>
              <w:right w:w="108" w:type="dxa"/>
            </w:tcMar>
            <w:vAlign w:val="center"/>
          </w:tcPr>
          <w:p w14:paraId="0C923EF0"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交易前</w:t>
            </w:r>
          </w:p>
          <w:p w14:paraId="61853BE7"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（实际数）</w:t>
            </w:r>
          </w:p>
        </w:tc>
        <w:tc>
          <w:tcPr>
            <w:tcW w:w="738" w:type="pct"/>
            <w:shd w:val="clear" w:color="auto" w:fill="auto"/>
            <w:tcMar>
              <w:top w:w="0" w:type="dxa"/>
              <w:left w:w="108" w:type="dxa"/>
              <w:bottom w:w="0" w:type="dxa"/>
              <w:right w:w="108" w:type="dxa"/>
            </w:tcMar>
            <w:vAlign w:val="center"/>
          </w:tcPr>
          <w:p w14:paraId="4F57FF0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交易后</w:t>
            </w:r>
          </w:p>
          <w:p w14:paraId="7DDF6C3B"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（备考数）</w:t>
            </w:r>
          </w:p>
        </w:tc>
        <w:tc>
          <w:tcPr>
            <w:tcW w:w="606" w:type="pct"/>
            <w:shd w:val="clear" w:color="auto" w:fill="auto"/>
            <w:tcMar>
              <w:top w:w="0" w:type="dxa"/>
              <w:left w:w="108" w:type="dxa"/>
              <w:bottom w:w="0" w:type="dxa"/>
              <w:right w:w="108" w:type="dxa"/>
            </w:tcMar>
            <w:vAlign w:val="center"/>
          </w:tcPr>
          <w:p w14:paraId="7F48189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变动幅度</w:t>
            </w:r>
          </w:p>
        </w:tc>
        <w:tc>
          <w:tcPr>
            <w:tcW w:w="698" w:type="pct"/>
            <w:shd w:val="clear" w:color="auto" w:fill="auto"/>
            <w:tcMar>
              <w:top w:w="0" w:type="dxa"/>
              <w:left w:w="108" w:type="dxa"/>
              <w:bottom w:w="0" w:type="dxa"/>
              <w:right w:w="108" w:type="dxa"/>
            </w:tcMar>
            <w:vAlign w:val="center"/>
          </w:tcPr>
          <w:p w14:paraId="0BE3DD6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交易前</w:t>
            </w:r>
          </w:p>
          <w:p w14:paraId="3FB27B96"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（实际数）</w:t>
            </w:r>
          </w:p>
        </w:tc>
        <w:tc>
          <w:tcPr>
            <w:tcW w:w="772" w:type="pct"/>
            <w:shd w:val="clear" w:color="auto" w:fill="auto"/>
            <w:tcMar>
              <w:top w:w="0" w:type="dxa"/>
              <w:left w:w="108" w:type="dxa"/>
              <w:bottom w:w="0" w:type="dxa"/>
              <w:right w:w="108" w:type="dxa"/>
            </w:tcMar>
            <w:vAlign w:val="center"/>
          </w:tcPr>
          <w:p w14:paraId="3D3BECEE"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交易后</w:t>
            </w:r>
          </w:p>
          <w:p w14:paraId="3EFD2C3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（备考数）</w:t>
            </w:r>
          </w:p>
        </w:tc>
        <w:tc>
          <w:tcPr>
            <w:tcW w:w="642" w:type="pct"/>
            <w:shd w:val="clear" w:color="auto" w:fill="auto"/>
            <w:tcMar>
              <w:top w:w="0" w:type="dxa"/>
              <w:left w:w="108" w:type="dxa"/>
              <w:bottom w:w="0" w:type="dxa"/>
              <w:right w:w="108" w:type="dxa"/>
            </w:tcMar>
            <w:vAlign w:val="center"/>
          </w:tcPr>
          <w:p w14:paraId="22FA2390" w14:textId="77777777" w:rsidR="006100BC"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变动</w:t>
            </w:r>
          </w:p>
          <w:p w14:paraId="11963E4F" w14:textId="71331809"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hint="eastAsia"/>
                <w:b/>
                <w:bCs/>
                <w:color w:val="000000"/>
                <w:sz w:val="21"/>
                <w:szCs w:val="21"/>
              </w:rPr>
              <w:t>幅度</w:t>
            </w:r>
          </w:p>
        </w:tc>
      </w:tr>
      <w:tr w:rsidR="006416B0" w:rsidRPr="00B4515A" w14:paraId="473BCFE2" w14:textId="77777777" w:rsidTr="006100BC">
        <w:trPr>
          <w:trHeight w:val="340"/>
          <w:jc w:val="center"/>
        </w:trPr>
        <w:tc>
          <w:tcPr>
            <w:tcW w:w="739" w:type="pct"/>
            <w:shd w:val="clear" w:color="auto" w:fill="auto"/>
            <w:tcMar>
              <w:top w:w="0" w:type="dxa"/>
              <w:left w:w="108" w:type="dxa"/>
              <w:bottom w:w="0" w:type="dxa"/>
              <w:right w:w="108" w:type="dxa"/>
            </w:tcMar>
            <w:vAlign w:val="center"/>
          </w:tcPr>
          <w:p w14:paraId="12EEAEC4"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资产总额</w:t>
            </w:r>
          </w:p>
        </w:tc>
        <w:tc>
          <w:tcPr>
            <w:tcW w:w="805" w:type="pct"/>
            <w:shd w:val="clear" w:color="auto" w:fill="auto"/>
            <w:tcMar>
              <w:top w:w="0" w:type="dxa"/>
              <w:left w:w="108" w:type="dxa"/>
              <w:bottom w:w="0" w:type="dxa"/>
              <w:right w:w="108" w:type="dxa"/>
            </w:tcMar>
            <w:vAlign w:val="center"/>
          </w:tcPr>
          <w:p w14:paraId="69B351A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298,000.05</w:t>
            </w:r>
          </w:p>
        </w:tc>
        <w:tc>
          <w:tcPr>
            <w:tcW w:w="738" w:type="pct"/>
            <w:shd w:val="clear" w:color="auto" w:fill="auto"/>
            <w:tcMar>
              <w:top w:w="0" w:type="dxa"/>
              <w:left w:w="108" w:type="dxa"/>
              <w:bottom w:w="0" w:type="dxa"/>
              <w:right w:w="108" w:type="dxa"/>
            </w:tcMar>
            <w:vAlign w:val="center"/>
          </w:tcPr>
          <w:p w14:paraId="1F50FD5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538,861.16</w:t>
            </w:r>
          </w:p>
        </w:tc>
        <w:tc>
          <w:tcPr>
            <w:tcW w:w="606" w:type="pct"/>
            <w:shd w:val="clear" w:color="auto" w:fill="auto"/>
            <w:tcMar>
              <w:top w:w="0" w:type="dxa"/>
              <w:left w:w="108" w:type="dxa"/>
              <w:bottom w:w="0" w:type="dxa"/>
              <w:right w:w="108" w:type="dxa"/>
            </w:tcMar>
            <w:vAlign w:val="center"/>
          </w:tcPr>
          <w:p w14:paraId="0114B66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80.83%</w:t>
            </w:r>
          </w:p>
        </w:tc>
        <w:tc>
          <w:tcPr>
            <w:tcW w:w="698" w:type="pct"/>
            <w:shd w:val="clear" w:color="auto" w:fill="auto"/>
            <w:tcMar>
              <w:top w:w="0" w:type="dxa"/>
              <w:left w:w="108" w:type="dxa"/>
              <w:bottom w:w="0" w:type="dxa"/>
              <w:right w:w="108" w:type="dxa"/>
            </w:tcMar>
            <w:vAlign w:val="center"/>
          </w:tcPr>
          <w:p w14:paraId="12A52F5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314,041.93</w:t>
            </w:r>
          </w:p>
        </w:tc>
        <w:tc>
          <w:tcPr>
            <w:tcW w:w="772" w:type="pct"/>
            <w:shd w:val="clear" w:color="auto" w:fill="auto"/>
            <w:tcMar>
              <w:top w:w="0" w:type="dxa"/>
              <w:left w:w="108" w:type="dxa"/>
              <w:bottom w:w="0" w:type="dxa"/>
              <w:right w:w="108" w:type="dxa"/>
            </w:tcMar>
            <w:vAlign w:val="center"/>
          </w:tcPr>
          <w:p w14:paraId="66159B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548,152.06</w:t>
            </w:r>
          </w:p>
        </w:tc>
        <w:tc>
          <w:tcPr>
            <w:tcW w:w="642" w:type="pct"/>
            <w:shd w:val="clear" w:color="auto" w:fill="auto"/>
            <w:tcMar>
              <w:top w:w="0" w:type="dxa"/>
              <w:left w:w="108" w:type="dxa"/>
              <w:bottom w:w="0" w:type="dxa"/>
              <w:right w:w="108" w:type="dxa"/>
            </w:tcMar>
            <w:vAlign w:val="center"/>
          </w:tcPr>
          <w:p w14:paraId="65E96E5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74.55%</w:t>
            </w:r>
          </w:p>
        </w:tc>
      </w:tr>
      <w:tr w:rsidR="006416B0" w:rsidRPr="00B4515A" w14:paraId="504FC97E" w14:textId="77777777" w:rsidTr="006100BC">
        <w:trPr>
          <w:trHeight w:val="340"/>
          <w:jc w:val="center"/>
        </w:trPr>
        <w:tc>
          <w:tcPr>
            <w:tcW w:w="739" w:type="pct"/>
            <w:shd w:val="clear" w:color="auto" w:fill="auto"/>
            <w:tcMar>
              <w:top w:w="0" w:type="dxa"/>
              <w:left w:w="108" w:type="dxa"/>
              <w:bottom w:w="0" w:type="dxa"/>
              <w:right w:w="108" w:type="dxa"/>
            </w:tcMar>
            <w:vAlign w:val="center"/>
          </w:tcPr>
          <w:p w14:paraId="5CA2F2BB"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负债总额</w:t>
            </w:r>
          </w:p>
        </w:tc>
        <w:tc>
          <w:tcPr>
            <w:tcW w:w="805" w:type="pct"/>
            <w:shd w:val="clear" w:color="auto" w:fill="auto"/>
            <w:tcMar>
              <w:top w:w="0" w:type="dxa"/>
              <w:left w:w="108" w:type="dxa"/>
              <w:bottom w:w="0" w:type="dxa"/>
              <w:right w:w="108" w:type="dxa"/>
            </w:tcMar>
            <w:vAlign w:val="center"/>
          </w:tcPr>
          <w:p w14:paraId="7246E3C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364,511.94</w:t>
            </w:r>
          </w:p>
        </w:tc>
        <w:tc>
          <w:tcPr>
            <w:tcW w:w="738" w:type="pct"/>
            <w:shd w:val="clear" w:color="auto" w:fill="auto"/>
            <w:tcMar>
              <w:top w:w="0" w:type="dxa"/>
              <w:left w:w="108" w:type="dxa"/>
              <w:bottom w:w="0" w:type="dxa"/>
              <w:right w:w="108" w:type="dxa"/>
            </w:tcMar>
            <w:vAlign w:val="center"/>
          </w:tcPr>
          <w:p w14:paraId="249CF5B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430,922.12</w:t>
            </w:r>
          </w:p>
        </w:tc>
        <w:tc>
          <w:tcPr>
            <w:tcW w:w="606" w:type="pct"/>
            <w:shd w:val="clear" w:color="auto" w:fill="auto"/>
            <w:tcMar>
              <w:top w:w="0" w:type="dxa"/>
              <w:left w:w="108" w:type="dxa"/>
              <w:bottom w:w="0" w:type="dxa"/>
              <w:right w:w="108" w:type="dxa"/>
            </w:tcMar>
            <w:vAlign w:val="center"/>
          </w:tcPr>
          <w:p w14:paraId="348BAF7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18.22%</w:t>
            </w:r>
          </w:p>
        </w:tc>
        <w:tc>
          <w:tcPr>
            <w:tcW w:w="698" w:type="pct"/>
            <w:shd w:val="clear" w:color="auto" w:fill="auto"/>
            <w:tcMar>
              <w:top w:w="0" w:type="dxa"/>
              <w:left w:w="108" w:type="dxa"/>
              <w:bottom w:w="0" w:type="dxa"/>
              <w:right w:w="108" w:type="dxa"/>
            </w:tcMar>
            <w:vAlign w:val="center"/>
          </w:tcPr>
          <w:p w14:paraId="6DD772B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365,968.92</w:t>
            </w:r>
          </w:p>
        </w:tc>
        <w:tc>
          <w:tcPr>
            <w:tcW w:w="772" w:type="pct"/>
            <w:shd w:val="clear" w:color="auto" w:fill="auto"/>
            <w:tcMar>
              <w:top w:w="0" w:type="dxa"/>
              <w:left w:w="108" w:type="dxa"/>
              <w:bottom w:w="0" w:type="dxa"/>
              <w:right w:w="108" w:type="dxa"/>
            </w:tcMar>
            <w:vAlign w:val="center"/>
          </w:tcPr>
          <w:p w14:paraId="7D580A4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426,008.16</w:t>
            </w:r>
          </w:p>
        </w:tc>
        <w:tc>
          <w:tcPr>
            <w:tcW w:w="642" w:type="pct"/>
            <w:shd w:val="clear" w:color="auto" w:fill="auto"/>
            <w:tcMar>
              <w:top w:w="0" w:type="dxa"/>
              <w:left w:w="108" w:type="dxa"/>
              <w:bottom w:w="0" w:type="dxa"/>
              <w:right w:w="108" w:type="dxa"/>
            </w:tcMar>
            <w:vAlign w:val="center"/>
          </w:tcPr>
          <w:p w14:paraId="358F2A1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16.41%</w:t>
            </w:r>
          </w:p>
        </w:tc>
      </w:tr>
      <w:tr w:rsidR="006416B0" w:rsidRPr="00B4515A" w14:paraId="2BCFAF22" w14:textId="77777777" w:rsidTr="006100BC">
        <w:trPr>
          <w:trHeight w:val="340"/>
          <w:jc w:val="center"/>
        </w:trPr>
        <w:tc>
          <w:tcPr>
            <w:tcW w:w="739" w:type="pct"/>
            <w:shd w:val="clear" w:color="auto" w:fill="auto"/>
            <w:tcMar>
              <w:top w:w="0" w:type="dxa"/>
              <w:left w:w="108" w:type="dxa"/>
              <w:bottom w:w="0" w:type="dxa"/>
              <w:right w:w="108" w:type="dxa"/>
            </w:tcMar>
            <w:vAlign w:val="center"/>
          </w:tcPr>
          <w:p w14:paraId="333079C0" w14:textId="77777777" w:rsidR="006100BC"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归属于母公司所有者</w:t>
            </w:r>
          </w:p>
          <w:p w14:paraId="1FF1C5A3" w14:textId="65BB84DA"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权益</w:t>
            </w:r>
          </w:p>
        </w:tc>
        <w:tc>
          <w:tcPr>
            <w:tcW w:w="805" w:type="pct"/>
            <w:shd w:val="clear" w:color="auto" w:fill="auto"/>
            <w:tcMar>
              <w:top w:w="0" w:type="dxa"/>
              <w:left w:w="108" w:type="dxa"/>
              <w:bottom w:w="0" w:type="dxa"/>
              <w:right w:w="108" w:type="dxa"/>
            </w:tcMar>
            <w:vAlign w:val="center"/>
          </w:tcPr>
          <w:p w14:paraId="1937B00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-140,970.51</w:t>
            </w:r>
          </w:p>
        </w:tc>
        <w:tc>
          <w:tcPr>
            <w:tcW w:w="738" w:type="pct"/>
            <w:shd w:val="clear" w:color="auto" w:fill="auto"/>
            <w:tcMar>
              <w:top w:w="0" w:type="dxa"/>
              <w:left w:w="108" w:type="dxa"/>
              <w:bottom w:w="0" w:type="dxa"/>
              <w:right w:w="108" w:type="dxa"/>
            </w:tcMar>
            <w:vAlign w:val="center"/>
          </w:tcPr>
          <w:p w14:paraId="086967D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29,482.47</w:t>
            </w:r>
          </w:p>
        </w:tc>
        <w:tc>
          <w:tcPr>
            <w:tcW w:w="606" w:type="pct"/>
            <w:shd w:val="clear" w:color="auto" w:fill="auto"/>
            <w:tcMar>
              <w:top w:w="0" w:type="dxa"/>
              <w:left w:w="108" w:type="dxa"/>
              <w:bottom w:w="0" w:type="dxa"/>
              <w:right w:w="108" w:type="dxa"/>
            </w:tcMar>
            <w:vAlign w:val="center"/>
          </w:tcPr>
          <w:p w14:paraId="4EC0A44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120.91%</w:t>
            </w:r>
          </w:p>
        </w:tc>
        <w:tc>
          <w:tcPr>
            <w:tcW w:w="698" w:type="pct"/>
            <w:shd w:val="clear" w:color="auto" w:fill="auto"/>
            <w:tcMar>
              <w:top w:w="0" w:type="dxa"/>
              <w:left w:w="108" w:type="dxa"/>
              <w:bottom w:w="0" w:type="dxa"/>
              <w:right w:w="108" w:type="dxa"/>
            </w:tcMar>
            <w:vAlign w:val="center"/>
          </w:tcPr>
          <w:p w14:paraId="4F6A179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-131,187.30</w:t>
            </w:r>
          </w:p>
        </w:tc>
        <w:tc>
          <w:tcPr>
            <w:tcW w:w="772" w:type="pct"/>
            <w:shd w:val="clear" w:color="auto" w:fill="auto"/>
            <w:tcMar>
              <w:top w:w="0" w:type="dxa"/>
              <w:left w:w="108" w:type="dxa"/>
              <w:bottom w:w="0" w:type="dxa"/>
              <w:right w:w="108" w:type="dxa"/>
            </w:tcMar>
            <w:vAlign w:val="center"/>
          </w:tcPr>
          <w:p w14:paraId="3418151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38,924.73</w:t>
            </w:r>
          </w:p>
        </w:tc>
        <w:tc>
          <w:tcPr>
            <w:tcW w:w="642" w:type="pct"/>
            <w:shd w:val="clear" w:color="auto" w:fill="auto"/>
            <w:tcMar>
              <w:top w:w="0" w:type="dxa"/>
              <w:left w:w="108" w:type="dxa"/>
              <w:bottom w:w="0" w:type="dxa"/>
              <w:right w:w="108" w:type="dxa"/>
            </w:tcMar>
            <w:vAlign w:val="center"/>
          </w:tcPr>
          <w:p w14:paraId="1AEDB1E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129.67%</w:t>
            </w:r>
          </w:p>
        </w:tc>
      </w:tr>
      <w:tr w:rsidR="006416B0" w:rsidRPr="00B4515A" w14:paraId="05A20A0B" w14:textId="77777777" w:rsidTr="006100BC">
        <w:trPr>
          <w:trHeight w:val="340"/>
          <w:jc w:val="center"/>
        </w:trPr>
        <w:tc>
          <w:tcPr>
            <w:tcW w:w="739" w:type="pct"/>
            <w:shd w:val="clear" w:color="auto" w:fill="auto"/>
            <w:tcMar>
              <w:top w:w="0" w:type="dxa"/>
              <w:left w:w="108" w:type="dxa"/>
              <w:bottom w:w="0" w:type="dxa"/>
              <w:right w:w="108" w:type="dxa"/>
            </w:tcMar>
            <w:vAlign w:val="center"/>
          </w:tcPr>
          <w:p w14:paraId="597E839E"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营业收入</w:t>
            </w:r>
          </w:p>
        </w:tc>
        <w:tc>
          <w:tcPr>
            <w:tcW w:w="805" w:type="pct"/>
            <w:shd w:val="clear" w:color="auto" w:fill="auto"/>
            <w:tcMar>
              <w:top w:w="0" w:type="dxa"/>
              <w:left w:w="108" w:type="dxa"/>
              <w:bottom w:w="0" w:type="dxa"/>
              <w:right w:w="108" w:type="dxa"/>
            </w:tcMar>
            <w:vAlign w:val="center"/>
          </w:tcPr>
          <w:p w14:paraId="658C1D3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13,624.42</w:t>
            </w:r>
          </w:p>
        </w:tc>
        <w:tc>
          <w:tcPr>
            <w:tcW w:w="738" w:type="pct"/>
            <w:shd w:val="clear" w:color="auto" w:fill="auto"/>
            <w:tcMar>
              <w:top w:w="0" w:type="dxa"/>
              <w:left w:w="108" w:type="dxa"/>
              <w:bottom w:w="0" w:type="dxa"/>
              <w:right w:w="108" w:type="dxa"/>
            </w:tcMar>
            <w:vAlign w:val="center"/>
          </w:tcPr>
          <w:p w14:paraId="4B489DA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25,810.48</w:t>
            </w:r>
          </w:p>
        </w:tc>
        <w:tc>
          <w:tcPr>
            <w:tcW w:w="606" w:type="pct"/>
            <w:shd w:val="clear" w:color="auto" w:fill="auto"/>
            <w:tcMar>
              <w:top w:w="0" w:type="dxa"/>
              <w:left w:w="108" w:type="dxa"/>
              <w:bottom w:w="0" w:type="dxa"/>
              <w:right w:w="108" w:type="dxa"/>
            </w:tcMar>
            <w:vAlign w:val="center"/>
          </w:tcPr>
          <w:p w14:paraId="3BD4894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89.44%</w:t>
            </w:r>
          </w:p>
        </w:tc>
        <w:tc>
          <w:tcPr>
            <w:tcW w:w="698" w:type="pct"/>
            <w:shd w:val="clear" w:color="auto" w:fill="auto"/>
            <w:tcMar>
              <w:top w:w="0" w:type="dxa"/>
              <w:left w:w="108" w:type="dxa"/>
              <w:bottom w:w="0" w:type="dxa"/>
              <w:right w:w="108" w:type="dxa"/>
            </w:tcMar>
            <w:vAlign w:val="center"/>
          </w:tcPr>
          <w:p w14:paraId="63A417F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120,721.15</w:t>
            </w:r>
          </w:p>
        </w:tc>
        <w:tc>
          <w:tcPr>
            <w:tcW w:w="772" w:type="pct"/>
            <w:shd w:val="clear" w:color="auto" w:fill="auto"/>
            <w:tcMar>
              <w:top w:w="0" w:type="dxa"/>
              <w:left w:w="108" w:type="dxa"/>
              <w:bottom w:w="0" w:type="dxa"/>
              <w:right w:w="108" w:type="dxa"/>
            </w:tcMar>
            <w:vAlign w:val="center"/>
          </w:tcPr>
          <w:p w14:paraId="2937C25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162,630.87</w:t>
            </w:r>
          </w:p>
        </w:tc>
        <w:tc>
          <w:tcPr>
            <w:tcW w:w="642" w:type="pct"/>
            <w:shd w:val="clear" w:color="auto" w:fill="auto"/>
            <w:tcMar>
              <w:top w:w="0" w:type="dxa"/>
              <w:left w:w="108" w:type="dxa"/>
              <w:bottom w:w="0" w:type="dxa"/>
              <w:right w:w="108" w:type="dxa"/>
            </w:tcMar>
            <w:vAlign w:val="center"/>
          </w:tcPr>
          <w:p w14:paraId="5B2716C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34.72%</w:t>
            </w:r>
          </w:p>
        </w:tc>
      </w:tr>
      <w:tr w:rsidR="006416B0" w:rsidRPr="00B4515A" w14:paraId="511F44F5" w14:textId="77777777" w:rsidTr="006100BC">
        <w:trPr>
          <w:trHeight w:val="340"/>
          <w:jc w:val="center"/>
        </w:trPr>
        <w:tc>
          <w:tcPr>
            <w:tcW w:w="739" w:type="pct"/>
            <w:shd w:val="clear" w:color="auto" w:fill="auto"/>
            <w:tcMar>
              <w:top w:w="0" w:type="dxa"/>
              <w:left w:w="108" w:type="dxa"/>
              <w:bottom w:w="0" w:type="dxa"/>
              <w:right w:w="108" w:type="dxa"/>
            </w:tcMar>
            <w:vAlign w:val="center"/>
          </w:tcPr>
          <w:p w14:paraId="3468067D"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营业利润</w:t>
            </w:r>
          </w:p>
        </w:tc>
        <w:tc>
          <w:tcPr>
            <w:tcW w:w="805" w:type="pct"/>
            <w:shd w:val="clear" w:color="auto" w:fill="auto"/>
            <w:tcMar>
              <w:top w:w="0" w:type="dxa"/>
              <w:left w:w="108" w:type="dxa"/>
              <w:bottom w:w="0" w:type="dxa"/>
              <w:right w:w="108" w:type="dxa"/>
            </w:tcMar>
            <w:vAlign w:val="center"/>
          </w:tcPr>
          <w:p w14:paraId="15CDAF9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-15,190.48</w:t>
            </w:r>
          </w:p>
        </w:tc>
        <w:tc>
          <w:tcPr>
            <w:tcW w:w="738" w:type="pct"/>
            <w:shd w:val="clear" w:color="auto" w:fill="auto"/>
            <w:tcMar>
              <w:top w:w="0" w:type="dxa"/>
              <w:left w:w="108" w:type="dxa"/>
              <w:bottom w:w="0" w:type="dxa"/>
              <w:right w:w="108" w:type="dxa"/>
            </w:tcMar>
            <w:vAlign w:val="center"/>
          </w:tcPr>
          <w:p w14:paraId="0ED721C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-14,796.74</w:t>
            </w:r>
          </w:p>
        </w:tc>
        <w:tc>
          <w:tcPr>
            <w:tcW w:w="606" w:type="pct"/>
            <w:shd w:val="clear" w:color="auto" w:fill="auto"/>
            <w:tcMar>
              <w:top w:w="0" w:type="dxa"/>
              <w:left w:w="108" w:type="dxa"/>
              <w:bottom w:w="0" w:type="dxa"/>
              <w:right w:w="108" w:type="dxa"/>
            </w:tcMar>
            <w:vAlign w:val="center"/>
          </w:tcPr>
          <w:p w14:paraId="6E38BAC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2.59%</w:t>
            </w:r>
          </w:p>
        </w:tc>
        <w:tc>
          <w:tcPr>
            <w:tcW w:w="698" w:type="pct"/>
            <w:shd w:val="clear" w:color="auto" w:fill="auto"/>
            <w:tcMar>
              <w:top w:w="0" w:type="dxa"/>
              <w:left w:w="108" w:type="dxa"/>
              <w:bottom w:w="0" w:type="dxa"/>
              <w:right w:w="108" w:type="dxa"/>
            </w:tcMar>
            <w:vAlign w:val="center"/>
          </w:tcPr>
          <w:p w14:paraId="1161F6B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-160,274.33</w:t>
            </w:r>
          </w:p>
        </w:tc>
        <w:tc>
          <w:tcPr>
            <w:tcW w:w="772" w:type="pct"/>
            <w:shd w:val="clear" w:color="auto" w:fill="auto"/>
            <w:tcMar>
              <w:top w:w="0" w:type="dxa"/>
              <w:left w:w="108" w:type="dxa"/>
              <w:bottom w:w="0" w:type="dxa"/>
              <w:right w:w="108" w:type="dxa"/>
            </w:tcMar>
            <w:vAlign w:val="center"/>
          </w:tcPr>
          <w:p w14:paraId="76430B6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-155,847.49</w:t>
            </w:r>
          </w:p>
        </w:tc>
        <w:tc>
          <w:tcPr>
            <w:tcW w:w="642" w:type="pct"/>
            <w:shd w:val="clear" w:color="auto" w:fill="auto"/>
            <w:tcMar>
              <w:top w:w="0" w:type="dxa"/>
              <w:left w:w="108" w:type="dxa"/>
              <w:bottom w:w="0" w:type="dxa"/>
              <w:right w:w="108" w:type="dxa"/>
            </w:tcMar>
            <w:vAlign w:val="center"/>
          </w:tcPr>
          <w:p w14:paraId="0519FD8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2.76%</w:t>
            </w:r>
          </w:p>
        </w:tc>
      </w:tr>
      <w:tr w:rsidR="006416B0" w:rsidRPr="00B4515A" w14:paraId="36ACCA76" w14:textId="77777777" w:rsidTr="006100BC">
        <w:trPr>
          <w:trHeight w:val="340"/>
          <w:jc w:val="center"/>
        </w:trPr>
        <w:tc>
          <w:tcPr>
            <w:tcW w:w="739" w:type="pct"/>
            <w:shd w:val="clear" w:color="auto" w:fill="auto"/>
            <w:tcMar>
              <w:top w:w="0" w:type="dxa"/>
              <w:left w:w="108" w:type="dxa"/>
              <w:bottom w:w="0" w:type="dxa"/>
              <w:right w:w="108" w:type="dxa"/>
            </w:tcMar>
            <w:vAlign w:val="center"/>
          </w:tcPr>
          <w:p w14:paraId="37A557F3"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利润总额</w:t>
            </w:r>
          </w:p>
        </w:tc>
        <w:tc>
          <w:tcPr>
            <w:tcW w:w="805" w:type="pct"/>
            <w:shd w:val="clear" w:color="auto" w:fill="auto"/>
            <w:tcMar>
              <w:top w:w="0" w:type="dxa"/>
              <w:left w:w="108" w:type="dxa"/>
              <w:bottom w:w="0" w:type="dxa"/>
              <w:right w:w="108" w:type="dxa"/>
            </w:tcMar>
            <w:vAlign w:val="center"/>
          </w:tcPr>
          <w:p w14:paraId="5D2BE32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-15,164.66</w:t>
            </w:r>
          </w:p>
        </w:tc>
        <w:tc>
          <w:tcPr>
            <w:tcW w:w="738" w:type="pct"/>
            <w:shd w:val="clear" w:color="auto" w:fill="auto"/>
            <w:tcMar>
              <w:top w:w="0" w:type="dxa"/>
              <w:left w:w="108" w:type="dxa"/>
              <w:bottom w:w="0" w:type="dxa"/>
              <w:right w:w="108" w:type="dxa"/>
            </w:tcMar>
            <w:vAlign w:val="center"/>
          </w:tcPr>
          <w:p w14:paraId="77B68C9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-14,784.62</w:t>
            </w:r>
          </w:p>
        </w:tc>
        <w:tc>
          <w:tcPr>
            <w:tcW w:w="606" w:type="pct"/>
            <w:shd w:val="clear" w:color="auto" w:fill="auto"/>
            <w:tcMar>
              <w:top w:w="0" w:type="dxa"/>
              <w:left w:w="108" w:type="dxa"/>
              <w:bottom w:w="0" w:type="dxa"/>
              <w:right w:w="108" w:type="dxa"/>
            </w:tcMar>
            <w:vAlign w:val="center"/>
          </w:tcPr>
          <w:p w14:paraId="313C378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2.51%</w:t>
            </w:r>
          </w:p>
        </w:tc>
        <w:tc>
          <w:tcPr>
            <w:tcW w:w="698" w:type="pct"/>
            <w:shd w:val="clear" w:color="auto" w:fill="auto"/>
            <w:tcMar>
              <w:top w:w="0" w:type="dxa"/>
              <w:left w:w="108" w:type="dxa"/>
              <w:bottom w:w="0" w:type="dxa"/>
              <w:right w:w="108" w:type="dxa"/>
            </w:tcMar>
            <w:vAlign w:val="center"/>
          </w:tcPr>
          <w:p w14:paraId="6E2AF23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-168,793.47</w:t>
            </w:r>
          </w:p>
        </w:tc>
        <w:tc>
          <w:tcPr>
            <w:tcW w:w="772" w:type="pct"/>
            <w:shd w:val="clear" w:color="auto" w:fill="auto"/>
            <w:tcMar>
              <w:top w:w="0" w:type="dxa"/>
              <w:left w:w="108" w:type="dxa"/>
              <w:bottom w:w="0" w:type="dxa"/>
              <w:right w:w="108" w:type="dxa"/>
            </w:tcMar>
            <w:vAlign w:val="center"/>
          </w:tcPr>
          <w:p w14:paraId="009AD5F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-164,212.51</w:t>
            </w:r>
          </w:p>
        </w:tc>
        <w:tc>
          <w:tcPr>
            <w:tcW w:w="642" w:type="pct"/>
            <w:shd w:val="clear" w:color="auto" w:fill="auto"/>
            <w:tcMar>
              <w:top w:w="0" w:type="dxa"/>
              <w:left w:w="108" w:type="dxa"/>
              <w:bottom w:w="0" w:type="dxa"/>
              <w:right w:w="108" w:type="dxa"/>
            </w:tcMar>
            <w:vAlign w:val="center"/>
          </w:tcPr>
          <w:p w14:paraId="4F1012C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2.71%</w:t>
            </w:r>
          </w:p>
        </w:tc>
      </w:tr>
      <w:tr w:rsidR="006416B0" w:rsidRPr="00B4515A" w14:paraId="0160ED91" w14:textId="77777777" w:rsidTr="006100BC">
        <w:trPr>
          <w:trHeight w:val="340"/>
          <w:jc w:val="center"/>
        </w:trPr>
        <w:tc>
          <w:tcPr>
            <w:tcW w:w="739" w:type="pct"/>
            <w:shd w:val="clear" w:color="auto" w:fill="auto"/>
            <w:tcMar>
              <w:top w:w="0" w:type="dxa"/>
              <w:left w:w="108" w:type="dxa"/>
              <w:bottom w:w="0" w:type="dxa"/>
              <w:right w:w="108" w:type="dxa"/>
            </w:tcMar>
            <w:vAlign w:val="center"/>
          </w:tcPr>
          <w:p w14:paraId="1DDFED55"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归属于母公司所有者的净利润</w:t>
            </w:r>
          </w:p>
        </w:tc>
        <w:tc>
          <w:tcPr>
            <w:tcW w:w="805" w:type="pct"/>
            <w:shd w:val="clear" w:color="auto" w:fill="auto"/>
            <w:tcMar>
              <w:top w:w="0" w:type="dxa"/>
              <w:left w:w="108" w:type="dxa"/>
              <w:bottom w:w="0" w:type="dxa"/>
              <w:right w:w="108" w:type="dxa"/>
            </w:tcMar>
            <w:vAlign w:val="center"/>
          </w:tcPr>
          <w:p w14:paraId="32A08EE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-9,784.31</w:t>
            </w:r>
          </w:p>
        </w:tc>
        <w:tc>
          <w:tcPr>
            <w:tcW w:w="738" w:type="pct"/>
            <w:shd w:val="clear" w:color="auto" w:fill="auto"/>
            <w:tcMar>
              <w:top w:w="0" w:type="dxa"/>
              <w:left w:w="108" w:type="dxa"/>
              <w:bottom w:w="0" w:type="dxa"/>
              <w:right w:w="108" w:type="dxa"/>
            </w:tcMar>
            <w:vAlign w:val="center"/>
          </w:tcPr>
          <w:p w14:paraId="5496F02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-9,443.36</w:t>
            </w:r>
          </w:p>
        </w:tc>
        <w:tc>
          <w:tcPr>
            <w:tcW w:w="606" w:type="pct"/>
            <w:shd w:val="clear" w:color="auto" w:fill="auto"/>
            <w:tcMar>
              <w:top w:w="0" w:type="dxa"/>
              <w:left w:w="108" w:type="dxa"/>
              <w:bottom w:w="0" w:type="dxa"/>
              <w:right w:w="108" w:type="dxa"/>
            </w:tcMar>
            <w:vAlign w:val="center"/>
          </w:tcPr>
          <w:p w14:paraId="3D88303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3.48%</w:t>
            </w:r>
          </w:p>
        </w:tc>
        <w:tc>
          <w:tcPr>
            <w:tcW w:w="698" w:type="pct"/>
            <w:shd w:val="clear" w:color="auto" w:fill="auto"/>
            <w:tcMar>
              <w:top w:w="0" w:type="dxa"/>
              <w:left w:w="108" w:type="dxa"/>
              <w:bottom w:w="0" w:type="dxa"/>
              <w:right w:w="108" w:type="dxa"/>
            </w:tcMar>
            <w:vAlign w:val="center"/>
          </w:tcPr>
          <w:p w14:paraId="2CAF316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-136,381.11</w:t>
            </w:r>
          </w:p>
        </w:tc>
        <w:tc>
          <w:tcPr>
            <w:tcW w:w="772" w:type="pct"/>
            <w:shd w:val="clear" w:color="auto" w:fill="auto"/>
            <w:tcMar>
              <w:top w:w="0" w:type="dxa"/>
              <w:left w:w="108" w:type="dxa"/>
              <w:bottom w:w="0" w:type="dxa"/>
              <w:right w:w="108" w:type="dxa"/>
            </w:tcMar>
            <w:vAlign w:val="center"/>
          </w:tcPr>
          <w:p w14:paraId="5806504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-132,112.46</w:t>
            </w:r>
          </w:p>
        </w:tc>
        <w:tc>
          <w:tcPr>
            <w:tcW w:w="642" w:type="pct"/>
            <w:shd w:val="clear" w:color="auto" w:fill="auto"/>
            <w:tcMar>
              <w:top w:w="0" w:type="dxa"/>
              <w:left w:w="108" w:type="dxa"/>
              <w:bottom w:w="0" w:type="dxa"/>
              <w:right w:w="108" w:type="dxa"/>
            </w:tcMar>
            <w:vAlign w:val="center"/>
          </w:tcPr>
          <w:p w14:paraId="0543495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3.13%</w:t>
            </w:r>
          </w:p>
        </w:tc>
      </w:tr>
      <w:tr w:rsidR="003E700C" w:rsidRPr="00B4515A" w14:paraId="4B206C12" w14:textId="77777777" w:rsidTr="006100BC">
        <w:trPr>
          <w:trHeight w:val="340"/>
          <w:jc w:val="center"/>
        </w:trPr>
        <w:tc>
          <w:tcPr>
            <w:tcW w:w="739" w:type="pct"/>
            <w:shd w:val="clear" w:color="auto" w:fill="auto"/>
            <w:tcMar>
              <w:top w:w="0" w:type="dxa"/>
              <w:left w:w="108" w:type="dxa"/>
              <w:bottom w:w="0" w:type="dxa"/>
              <w:right w:w="108" w:type="dxa"/>
            </w:tcMar>
            <w:vAlign w:val="center"/>
          </w:tcPr>
          <w:p w14:paraId="7E86832D" w14:textId="037CB506" w:rsidR="003E700C" w:rsidRPr="00B4515A" w:rsidRDefault="003E70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资产负债率</w:t>
            </w:r>
          </w:p>
        </w:tc>
        <w:tc>
          <w:tcPr>
            <w:tcW w:w="805" w:type="pct"/>
            <w:shd w:val="clear" w:color="auto" w:fill="auto"/>
            <w:tcMar>
              <w:top w:w="0" w:type="dxa"/>
              <w:left w:w="108" w:type="dxa"/>
              <w:bottom w:w="0" w:type="dxa"/>
              <w:right w:w="108" w:type="dxa"/>
            </w:tcMar>
            <w:vAlign w:val="center"/>
          </w:tcPr>
          <w:p w14:paraId="09635BB3" w14:textId="77777777" w:rsidR="003E700C" w:rsidRPr="00B4515A" w:rsidRDefault="003E70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122.32%</w:t>
            </w:r>
          </w:p>
        </w:tc>
        <w:tc>
          <w:tcPr>
            <w:tcW w:w="738" w:type="pct"/>
            <w:shd w:val="clear" w:color="auto" w:fill="auto"/>
            <w:tcMar>
              <w:top w:w="0" w:type="dxa"/>
              <w:left w:w="108" w:type="dxa"/>
              <w:bottom w:w="0" w:type="dxa"/>
              <w:right w:w="108" w:type="dxa"/>
            </w:tcMar>
            <w:vAlign w:val="center"/>
          </w:tcPr>
          <w:p w14:paraId="43C194E7" w14:textId="77777777" w:rsidR="003E700C" w:rsidRPr="00B4515A" w:rsidRDefault="003E70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79.97%</w:t>
            </w:r>
          </w:p>
        </w:tc>
        <w:tc>
          <w:tcPr>
            <w:tcW w:w="606" w:type="pct"/>
            <w:shd w:val="clear" w:color="auto" w:fill="auto"/>
            <w:tcMar>
              <w:top w:w="0" w:type="dxa"/>
              <w:left w:w="108" w:type="dxa"/>
              <w:bottom w:w="0" w:type="dxa"/>
              <w:right w:w="108" w:type="dxa"/>
            </w:tcMar>
            <w:vAlign w:val="center"/>
          </w:tcPr>
          <w:p w14:paraId="747A4891" w14:textId="62395DBA"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-42.35%</w:t>
            </w:r>
          </w:p>
        </w:tc>
        <w:tc>
          <w:tcPr>
            <w:tcW w:w="698" w:type="pct"/>
            <w:shd w:val="clear" w:color="auto" w:fill="auto"/>
            <w:tcMar>
              <w:top w:w="0" w:type="dxa"/>
              <w:left w:w="108" w:type="dxa"/>
              <w:bottom w:w="0" w:type="dxa"/>
              <w:right w:w="108" w:type="dxa"/>
            </w:tcMar>
            <w:vAlign w:val="center"/>
          </w:tcPr>
          <w:p w14:paraId="123EDD09" w14:textId="77777777" w:rsidR="003E700C" w:rsidRPr="00B4515A" w:rsidRDefault="003E70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116.54%</w:t>
            </w:r>
          </w:p>
        </w:tc>
        <w:tc>
          <w:tcPr>
            <w:tcW w:w="772" w:type="pct"/>
            <w:shd w:val="clear" w:color="auto" w:fill="auto"/>
            <w:tcMar>
              <w:top w:w="0" w:type="dxa"/>
              <w:left w:w="108" w:type="dxa"/>
              <w:bottom w:w="0" w:type="dxa"/>
              <w:right w:w="108" w:type="dxa"/>
            </w:tcMar>
            <w:vAlign w:val="center"/>
          </w:tcPr>
          <w:p w14:paraId="10B26D93" w14:textId="77777777" w:rsidR="003E700C" w:rsidRPr="00B4515A" w:rsidRDefault="003E70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77.72%</w:t>
            </w:r>
          </w:p>
        </w:tc>
        <w:tc>
          <w:tcPr>
            <w:tcW w:w="642" w:type="pct"/>
            <w:shd w:val="clear" w:color="auto" w:fill="auto"/>
            <w:tcMar>
              <w:top w:w="0" w:type="dxa"/>
              <w:left w:w="108" w:type="dxa"/>
              <w:bottom w:w="0" w:type="dxa"/>
              <w:right w:w="108" w:type="dxa"/>
            </w:tcMar>
            <w:vAlign w:val="center"/>
          </w:tcPr>
          <w:p w14:paraId="282268EF" w14:textId="4DCD8B66"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-38.82%</w:t>
            </w:r>
          </w:p>
        </w:tc>
      </w:tr>
      <w:tr w:rsidR="003E700C" w:rsidRPr="00B4515A" w14:paraId="24AF6313" w14:textId="77777777" w:rsidTr="006100BC">
        <w:trPr>
          <w:trHeight w:val="340"/>
          <w:jc w:val="center"/>
        </w:trPr>
        <w:tc>
          <w:tcPr>
            <w:tcW w:w="739" w:type="pct"/>
            <w:shd w:val="clear" w:color="auto" w:fill="auto"/>
            <w:tcMar>
              <w:top w:w="0" w:type="dxa"/>
              <w:left w:w="108" w:type="dxa"/>
              <w:bottom w:w="0" w:type="dxa"/>
              <w:right w:w="108" w:type="dxa"/>
            </w:tcMar>
            <w:vAlign w:val="center"/>
          </w:tcPr>
          <w:p w14:paraId="35DEC0D0" w14:textId="5D6367FB" w:rsidR="003E700C" w:rsidRPr="00B4515A" w:rsidRDefault="003E700C"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毛利率</w:t>
            </w:r>
          </w:p>
        </w:tc>
        <w:tc>
          <w:tcPr>
            <w:tcW w:w="805" w:type="pct"/>
            <w:shd w:val="clear" w:color="auto" w:fill="auto"/>
            <w:tcMar>
              <w:top w:w="0" w:type="dxa"/>
              <w:left w:w="108" w:type="dxa"/>
              <w:bottom w:w="0" w:type="dxa"/>
              <w:right w:w="108" w:type="dxa"/>
            </w:tcMar>
            <w:vAlign w:val="center"/>
          </w:tcPr>
          <w:p w14:paraId="3D97AFF9" w14:textId="77777777" w:rsidR="003E700C" w:rsidRPr="00B4515A" w:rsidRDefault="003E70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25.45%</w:t>
            </w:r>
          </w:p>
        </w:tc>
        <w:tc>
          <w:tcPr>
            <w:tcW w:w="738" w:type="pct"/>
            <w:shd w:val="clear" w:color="auto" w:fill="auto"/>
            <w:tcMar>
              <w:top w:w="0" w:type="dxa"/>
              <w:left w:w="108" w:type="dxa"/>
              <w:bottom w:w="0" w:type="dxa"/>
              <w:right w:w="108" w:type="dxa"/>
            </w:tcMar>
            <w:vAlign w:val="center"/>
          </w:tcPr>
          <w:p w14:paraId="7F46B713" w14:textId="77777777" w:rsidR="003E700C" w:rsidRPr="00B4515A" w:rsidRDefault="003E70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43.30%</w:t>
            </w:r>
          </w:p>
        </w:tc>
        <w:tc>
          <w:tcPr>
            <w:tcW w:w="606" w:type="pct"/>
            <w:shd w:val="clear" w:color="auto" w:fill="auto"/>
            <w:tcMar>
              <w:top w:w="0" w:type="dxa"/>
              <w:left w:w="108" w:type="dxa"/>
              <w:bottom w:w="0" w:type="dxa"/>
              <w:right w:w="108" w:type="dxa"/>
            </w:tcMar>
            <w:vAlign w:val="center"/>
          </w:tcPr>
          <w:p w14:paraId="56EA4904" w14:textId="4998F9B3"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17.85%</w:t>
            </w:r>
          </w:p>
        </w:tc>
        <w:tc>
          <w:tcPr>
            <w:tcW w:w="698" w:type="pct"/>
            <w:shd w:val="clear" w:color="auto" w:fill="auto"/>
            <w:tcMar>
              <w:top w:w="0" w:type="dxa"/>
              <w:left w:w="108" w:type="dxa"/>
              <w:bottom w:w="0" w:type="dxa"/>
              <w:right w:w="108" w:type="dxa"/>
            </w:tcMar>
            <w:vAlign w:val="center"/>
          </w:tcPr>
          <w:p w14:paraId="74FFF4B1" w14:textId="77777777" w:rsidR="003E700C" w:rsidRPr="00B4515A" w:rsidRDefault="003E70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32.04%</w:t>
            </w:r>
          </w:p>
        </w:tc>
        <w:tc>
          <w:tcPr>
            <w:tcW w:w="772" w:type="pct"/>
            <w:shd w:val="clear" w:color="auto" w:fill="auto"/>
            <w:tcMar>
              <w:top w:w="0" w:type="dxa"/>
              <w:left w:w="108" w:type="dxa"/>
              <w:bottom w:w="0" w:type="dxa"/>
              <w:right w:w="108" w:type="dxa"/>
            </w:tcMar>
            <w:vAlign w:val="center"/>
          </w:tcPr>
          <w:p w14:paraId="1A5B2D21" w14:textId="77777777" w:rsidR="003E700C" w:rsidRPr="00B4515A" w:rsidRDefault="003E700C"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40.46%</w:t>
            </w:r>
          </w:p>
        </w:tc>
        <w:tc>
          <w:tcPr>
            <w:tcW w:w="642" w:type="pct"/>
            <w:shd w:val="clear" w:color="auto" w:fill="auto"/>
            <w:tcMar>
              <w:top w:w="0" w:type="dxa"/>
              <w:left w:w="108" w:type="dxa"/>
              <w:bottom w:w="0" w:type="dxa"/>
              <w:right w:w="108" w:type="dxa"/>
            </w:tcMar>
            <w:vAlign w:val="center"/>
          </w:tcPr>
          <w:p w14:paraId="36DF0429" w14:textId="0CB028FD" w:rsidR="003E700C" w:rsidRPr="00B4515A" w:rsidRDefault="003E700C"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8.42%</w:t>
            </w:r>
          </w:p>
        </w:tc>
      </w:tr>
      <w:tr w:rsidR="006416B0" w:rsidRPr="00B4515A" w14:paraId="548B0B1C" w14:textId="77777777" w:rsidTr="006100BC">
        <w:trPr>
          <w:trHeight w:val="340"/>
          <w:jc w:val="center"/>
        </w:trPr>
        <w:tc>
          <w:tcPr>
            <w:tcW w:w="739" w:type="pct"/>
            <w:shd w:val="clear" w:color="auto" w:fill="auto"/>
            <w:tcMar>
              <w:top w:w="0" w:type="dxa"/>
              <w:left w:w="108" w:type="dxa"/>
              <w:bottom w:w="0" w:type="dxa"/>
              <w:right w:w="108" w:type="dxa"/>
            </w:tcMar>
            <w:vAlign w:val="center"/>
          </w:tcPr>
          <w:p w14:paraId="7778A2FF"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lastRenderedPageBreak/>
              <w:t>基本每股收益（元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股）</w:t>
            </w:r>
          </w:p>
        </w:tc>
        <w:tc>
          <w:tcPr>
            <w:tcW w:w="805" w:type="pct"/>
            <w:shd w:val="clear" w:color="auto" w:fill="auto"/>
            <w:tcMar>
              <w:top w:w="0" w:type="dxa"/>
              <w:left w:w="108" w:type="dxa"/>
              <w:bottom w:w="0" w:type="dxa"/>
              <w:right w:w="108" w:type="dxa"/>
            </w:tcMar>
            <w:vAlign w:val="center"/>
          </w:tcPr>
          <w:p w14:paraId="6A11FB55"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                    -0.11 </w:t>
            </w:r>
          </w:p>
          <w:p w14:paraId="4EE3DEE5" w14:textId="77777777" w:rsidR="006416B0" w:rsidRPr="00B4515A" w:rsidRDefault="006416B0" w:rsidP="005860B4">
            <w:pPr>
              <w:adjustRightInd w:val="0"/>
              <w:snapToGrid w:val="0"/>
              <w:jc w:val="right"/>
              <w:rPr>
                <w:rFonts w:ascii="Times New Roman" w:eastAsia="等线" w:hAnsi="Times New Roman" w:cs="Times New Roman"/>
                <w:color w:val="000000"/>
                <w:sz w:val="21"/>
                <w:szCs w:val="21"/>
              </w:rPr>
            </w:pPr>
          </w:p>
        </w:tc>
        <w:tc>
          <w:tcPr>
            <w:tcW w:w="738" w:type="pct"/>
            <w:shd w:val="clear" w:color="auto" w:fill="auto"/>
            <w:tcMar>
              <w:top w:w="0" w:type="dxa"/>
              <w:left w:w="108" w:type="dxa"/>
              <w:bottom w:w="0" w:type="dxa"/>
              <w:right w:w="108" w:type="dxa"/>
            </w:tcMar>
            <w:vAlign w:val="center"/>
          </w:tcPr>
          <w:p w14:paraId="16EACA11"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-0.07</w:t>
            </w:r>
          </w:p>
        </w:tc>
        <w:tc>
          <w:tcPr>
            <w:tcW w:w="606" w:type="pct"/>
            <w:shd w:val="clear" w:color="auto" w:fill="auto"/>
            <w:tcMar>
              <w:top w:w="0" w:type="dxa"/>
              <w:left w:w="108" w:type="dxa"/>
              <w:bottom w:w="0" w:type="dxa"/>
              <w:right w:w="108" w:type="dxa"/>
            </w:tcMar>
            <w:vAlign w:val="center"/>
          </w:tcPr>
          <w:p w14:paraId="48569D9B"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-35.19%</w:t>
            </w:r>
          </w:p>
        </w:tc>
        <w:tc>
          <w:tcPr>
            <w:tcW w:w="698" w:type="pct"/>
            <w:shd w:val="clear" w:color="auto" w:fill="auto"/>
            <w:tcMar>
              <w:top w:w="0" w:type="dxa"/>
              <w:left w:w="108" w:type="dxa"/>
              <w:bottom w:w="0" w:type="dxa"/>
              <w:right w:w="108" w:type="dxa"/>
            </w:tcMar>
            <w:vAlign w:val="center"/>
          </w:tcPr>
          <w:p w14:paraId="3DE91C5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-1.55</w:t>
            </w:r>
          </w:p>
        </w:tc>
        <w:tc>
          <w:tcPr>
            <w:tcW w:w="772" w:type="pct"/>
            <w:shd w:val="clear" w:color="auto" w:fill="auto"/>
            <w:tcMar>
              <w:top w:w="0" w:type="dxa"/>
              <w:left w:w="108" w:type="dxa"/>
              <w:bottom w:w="0" w:type="dxa"/>
              <w:right w:w="108" w:type="dxa"/>
            </w:tcMar>
            <w:vAlign w:val="center"/>
          </w:tcPr>
          <w:p w14:paraId="32F06DE6"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-1.01</w:t>
            </w:r>
          </w:p>
        </w:tc>
        <w:tc>
          <w:tcPr>
            <w:tcW w:w="642" w:type="pct"/>
            <w:shd w:val="clear" w:color="auto" w:fill="auto"/>
            <w:tcMar>
              <w:top w:w="0" w:type="dxa"/>
              <w:left w:w="108" w:type="dxa"/>
              <w:bottom w:w="0" w:type="dxa"/>
              <w:right w:w="108" w:type="dxa"/>
            </w:tcMar>
            <w:vAlign w:val="center"/>
          </w:tcPr>
          <w:p w14:paraId="4CB4F0E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34.96%</w:t>
            </w:r>
          </w:p>
        </w:tc>
      </w:tr>
      <w:tr w:rsidR="006416B0" w:rsidRPr="00B4515A" w14:paraId="60D08042" w14:textId="77777777" w:rsidTr="006100BC">
        <w:trPr>
          <w:trHeight w:val="340"/>
          <w:jc w:val="center"/>
        </w:trPr>
        <w:tc>
          <w:tcPr>
            <w:tcW w:w="739" w:type="pct"/>
            <w:shd w:val="clear" w:color="auto" w:fill="auto"/>
            <w:tcMar>
              <w:top w:w="0" w:type="dxa"/>
              <w:left w:w="108" w:type="dxa"/>
              <w:bottom w:w="0" w:type="dxa"/>
              <w:right w:w="108" w:type="dxa"/>
            </w:tcMar>
            <w:vAlign w:val="center"/>
          </w:tcPr>
          <w:p w14:paraId="753623A9" w14:textId="77777777"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扣非后基本每股收益（元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hint="eastAsia"/>
                <w:color w:val="000000"/>
                <w:sz w:val="21"/>
                <w:szCs w:val="21"/>
              </w:rPr>
              <w:t>股）</w:t>
            </w:r>
          </w:p>
        </w:tc>
        <w:tc>
          <w:tcPr>
            <w:tcW w:w="805" w:type="pct"/>
            <w:shd w:val="clear" w:color="auto" w:fill="auto"/>
            <w:tcMar>
              <w:top w:w="0" w:type="dxa"/>
              <w:left w:w="108" w:type="dxa"/>
              <w:bottom w:w="0" w:type="dxa"/>
              <w:right w:w="108" w:type="dxa"/>
            </w:tcMar>
            <w:vAlign w:val="center"/>
          </w:tcPr>
          <w:p w14:paraId="3902F93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-0.13</w:t>
            </w:r>
          </w:p>
        </w:tc>
        <w:tc>
          <w:tcPr>
            <w:tcW w:w="738" w:type="pct"/>
            <w:shd w:val="clear" w:color="auto" w:fill="auto"/>
            <w:tcMar>
              <w:top w:w="0" w:type="dxa"/>
              <w:left w:w="108" w:type="dxa"/>
              <w:bottom w:w="0" w:type="dxa"/>
              <w:right w:w="108" w:type="dxa"/>
            </w:tcMar>
            <w:vAlign w:val="center"/>
          </w:tcPr>
          <w:p w14:paraId="421F7F5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-0.08</w:t>
            </w:r>
          </w:p>
        </w:tc>
        <w:tc>
          <w:tcPr>
            <w:tcW w:w="606" w:type="pct"/>
            <w:shd w:val="clear" w:color="auto" w:fill="auto"/>
            <w:tcMar>
              <w:top w:w="0" w:type="dxa"/>
              <w:left w:w="108" w:type="dxa"/>
              <w:bottom w:w="0" w:type="dxa"/>
              <w:right w:w="108" w:type="dxa"/>
            </w:tcMar>
            <w:vAlign w:val="center"/>
          </w:tcPr>
          <w:p w14:paraId="4D64BD3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35.00%</w:t>
            </w:r>
          </w:p>
        </w:tc>
        <w:tc>
          <w:tcPr>
            <w:tcW w:w="698" w:type="pct"/>
            <w:shd w:val="clear" w:color="auto" w:fill="auto"/>
            <w:tcMar>
              <w:top w:w="0" w:type="dxa"/>
              <w:left w:w="108" w:type="dxa"/>
              <w:bottom w:w="0" w:type="dxa"/>
              <w:right w:w="108" w:type="dxa"/>
            </w:tcMar>
            <w:vAlign w:val="center"/>
          </w:tcPr>
          <w:p w14:paraId="2CBCB37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-1.59</w:t>
            </w:r>
          </w:p>
        </w:tc>
        <w:tc>
          <w:tcPr>
            <w:tcW w:w="772" w:type="pct"/>
            <w:shd w:val="clear" w:color="auto" w:fill="auto"/>
            <w:tcMar>
              <w:top w:w="0" w:type="dxa"/>
              <w:left w:w="108" w:type="dxa"/>
              <w:bottom w:w="0" w:type="dxa"/>
              <w:right w:w="108" w:type="dxa"/>
            </w:tcMar>
            <w:vAlign w:val="center"/>
          </w:tcPr>
          <w:p w14:paraId="5E3CA73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-1.04</w:t>
            </w:r>
          </w:p>
        </w:tc>
        <w:tc>
          <w:tcPr>
            <w:tcW w:w="642" w:type="pct"/>
            <w:shd w:val="clear" w:color="auto" w:fill="auto"/>
            <w:tcMar>
              <w:top w:w="0" w:type="dxa"/>
              <w:left w:w="108" w:type="dxa"/>
              <w:bottom w:w="0" w:type="dxa"/>
              <w:right w:w="108" w:type="dxa"/>
            </w:tcMar>
            <w:vAlign w:val="center"/>
          </w:tcPr>
          <w:p w14:paraId="57E755B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34.82%</w:t>
            </w:r>
          </w:p>
        </w:tc>
      </w:tr>
      <w:tr w:rsidR="006416B0" w:rsidRPr="00B4515A" w14:paraId="02603105" w14:textId="77777777" w:rsidTr="006100BC">
        <w:trPr>
          <w:trHeight w:val="340"/>
          <w:jc w:val="center"/>
        </w:trPr>
        <w:tc>
          <w:tcPr>
            <w:tcW w:w="739" w:type="pct"/>
            <w:shd w:val="clear" w:color="auto" w:fill="auto"/>
            <w:tcMar>
              <w:top w:w="0" w:type="dxa"/>
              <w:left w:w="108" w:type="dxa"/>
              <w:bottom w:w="0" w:type="dxa"/>
              <w:right w:w="108" w:type="dxa"/>
            </w:tcMar>
            <w:vAlign w:val="center"/>
          </w:tcPr>
          <w:p w14:paraId="39D54CF4" w14:textId="2E0DF626" w:rsidR="006416B0" w:rsidRPr="00B4515A" w:rsidRDefault="005E58C1" w:rsidP="005860B4">
            <w:pPr>
              <w:adjustRightInd w:val="0"/>
              <w:snapToGrid w:val="0"/>
              <w:jc w:val="center"/>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hint="eastAsia"/>
                <w:color w:val="000000"/>
                <w:sz w:val="21"/>
                <w:szCs w:val="21"/>
              </w:rPr>
              <w:t>每股净资产</w:t>
            </w:r>
            <w:r w:rsidR="00FE7BD3" w:rsidRPr="00B4515A">
              <w:rPr>
                <w:rFonts w:cs="Times New Roman" w:hint="eastAsia"/>
                <w:color w:val="000000"/>
                <w:sz w:val="21"/>
                <w:szCs w:val="21"/>
              </w:rPr>
              <w:t>（元</w:t>
            </w:r>
            <w:r w:rsidR="00FE7BD3" w:rsidRPr="00B4515A">
              <w:rPr>
                <w:rFonts w:ascii="Times New Roman" w:hAnsi="Times New Roman" w:cs="Times New Roman"/>
                <w:color w:val="000000"/>
                <w:sz w:val="21"/>
                <w:szCs w:val="21"/>
              </w:rPr>
              <w:t>/</w:t>
            </w:r>
            <w:r w:rsidR="00FE7BD3" w:rsidRPr="00B4515A">
              <w:rPr>
                <w:rFonts w:cs="Times New Roman" w:hint="eastAsia"/>
                <w:color w:val="000000"/>
                <w:sz w:val="21"/>
                <w:szCs w:val="21"/>
              </w:rPr>
              <w:t>股）</w:t>
            </w:r>
          </w:p>
        </w:tc>
        <w:tc>
          <w:tcPr>
            <w:tcW w:w="805" w:type="pct"/>
            <w:shd w:val="clear" w:color="auto" w:fill="auto"/>
            <w:tcMar>
              <w:top w:w="0" w:type="dxa"/>
              <w:left w:w="108" w:type="dxa"/>
              <w:bottom w:w="0" w:type="dxa"/>
              <w:right w:w="108" w:type="dxa"/>
            </w:tcMar>
            <w:vAlign w:val="center"/>
          </w:tcPr>
          <w:p w14:paraId="46F5F27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-1.60</w:t>
            </w:r>
          </w:p>
        </w:tc>
        <w:tc>
          <w:tcPr>
            <w:tcW w:w="738" w:type="pct"/>
            <w:shd w:val="clear" w:color="auto" w:fill="auto"/>
            <w:tcMar>
              <w:top w:w="0" w:type="dxa"/>
              <w:left w:w="108" w:type="dxa"/>
              <w:bottom w:w="0" w:type="dxa"/>
              <w:right w:w="108" w:type="dxa"/>
            </w:tcMar>
            <w:vAlign w:val="center"/>
          </w:tcPr>
          <w:p w14:paraId="6463F0E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0.22</w:t>
            </w:r>
          </w:p>
        </w:tc>
        <w:tc>
          <w:tcPr>
            <w:tcW w:w="606" w:type="pct"/>
            <w:shd w:val="clear" w:color="auto" w:fill="auto"/>
            <w:tcMar>
              <w:top w:w="0" w:type="dxa"/>
              <w:left w:w="108" w:type="dxa"/>
              <w:bottom w:w="0" w:type="dxa"/>
              <w:right w:w="108" w:type="dxa"/>
            </w:tcMar>
            <w:vAlign w:val="center"/>
          </w:tcPr>
          <w:p w14:paraId="691D01A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114.04%</w:t>
            </w:r>
          </w:p>
        </w:tc>
        <w:tc>
          <w:tcPr>
            <w:tcW w:w="698" w:type="pct"/>
            <w:shd w:val="clear" w:color="auto" w:fill="auto"/>
            <w:tcMar>
              <w:top w:w="0" w:type="dxa"/>
              <w:left w:w="108" w:type="dxa"/>
              <w:bottom w:w="0" w:type="dxa"/>
              <w:right w:w="108" w:type="dxa"/>
            </w:tcMar>
            <w:vAlign w:val="center"/>
          </w:tcPr>
          <w:p w14:paraId="18D4CDD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-1.49</w:t>
            </w:r>
          </w:p>
        </w:tc>
        <w:tc>
          <w:tcPr>
            <w:tcW w:w="772" w:type="pct"/>
            <w:shd w:val="clear" w:color="auto" w:fill="auto"/>
            <w:tcMar>
              <w:top w:w="0" w:type="dxa"/>
              <w:left w:w="108" w:type="dxa"/>
              <w:bottom w:w="0" w:type="dxa"/>
              <w:right w:w="108" w:type="dxa"/>
            </w:tcMar>
            <w:vAlign w:val="center"/>
          </w:tcPr>
          <w:p w14:paraId="36EA769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0.30</w:t>
            </w:r>
          </w:p>
        </w:tc>
        <w:tc>
          <w:tcPr>
            <w:tcW w:w="642" w:type="pct"/>
            <w:shd w:val="clear" w:color="auto" w:fill="auto"/>
            <w:tcMar>
              <w:top w:w="0" w:type="dxa"/>
              <w:left w:w="108" w:type="dxa"/>
              <w:bottom w:w="0" w:type="dxa"/>
              <w:right w:w="108" w:type="dxa"/>
            </w:tcMar>
            <w:vAlign w:val="center"/>
          </w:tcPr>
          <w:p w14:paraId="5BD480D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119.92%</w:t>
            </w:r>
          </w:p>
        </w:tc>
      </w:tr>
    </w:tbl>
    <w:p w14:paraId="3F455007" w14:textId="77777777" w:rsidR="006416B0" w:rsidRPr="00B4515A" w:rsidRDefault="005E58C1" w:rsidP="006100BC">
      <w:pPr>
        <w:pStyle w:val="005"/>
        <w:spacing w:before="120" w:after="120"/>
        <w:ind w:firstLine="480"/>
      </w:pPr>
      <w:r w:rsidRPr="00B4515A">
        <w:rPr>
          <w:rFonts w:hint="eastAsia"/>
        </w:rPr>
        <w:t>由上表可见，本次交易完成后，</w:t>
      </w:r>
      <w:r w:rsidRPr="00B4515A">
        <w:t>2020</w:t>
      </w:r>
      <w:r w:rsidRPr="00B4515A">
        <w:rPr>
          <w:rFonts w:hint="eastAsia"/>
        </w:rPr>
        <w:t>年度、</w:t>
      </w:r>
      <w:r w:rsidRPr="00B4515A">
        <w:t>2021</w:t>
      </w:r>
      <w:r w:rsidRPr="00B4515A">
        <w:rPr>
          <w:rFonts w:hint="eastAsia"/>
        </w:rPr>
        <w:t>年</w:t>
      </w:r>
      <w:r w:rsidRPr="00B4515A">
        <w:t>1-4</w:t>
      </w:r>
      <w:r w:rsidRPr="00B4515A">
        <w:rPr>
          <w:rFonts w:hint="eastAsia"/>
        </w:rPr>
        <w:t>月上市公司的总资产、营业收入、净利润、每股收益均有所提升，本次交易有利于增强上市公司财务稳健性和盈利能力。</w:t>
      </w:r>
    </w:p>
    <w:p w14:paraId="611BF3C3" w14:textId="77777777" w:rsidR="006416B0" w:rsidRPr="00B4515A" w:rsidRDefault="005E58C1" w:rsidP="006100BC">
      <w:pPr>
        <w:pStyle w:val="004"/>
        <w:spacing w:before="120" w:after="120"/>
        <w:ind w:firstLine="482"/>
      </w:pPr>
      <w:r w:rsidRPr="00B4515A">
        <w:rPr>
          <w:rFonts w:hint="eastAsia"/>
        </w:rPr>
        <w:t>2</w:t>
      </w:r>
      <w:r w:rsidRPr="00B4515A">
        <w:rPr>
          <w:rFonts w:hint="eastAsia"/>
        </w:rPr>
        <w:t>、</w:t>
      </w:r>
      <w:r w:rsidRPr="00B4515A">
        <w:t>公司应对本次重大资产重组摊薄即期回报采取的措施</w:t>
      </w:r>
    </w:p>
    <w:p w14:paraId="08635ACE" w14:textId="77777777" w:rsidR="006416B0" w:rsidRPr="00B4515A" w:rsidRDefault="005E58C1" w:rsidP="006100BC">
      <w:pPr>
        <w:pStyle w:val="005"/>
        <w:spacing w:before="120" w:after="120"/>
        <w:ind w:firstLine="480"/>
      </w:pPr>
      <w:r w:rsidRPr="00B4515A">
        <w:t>根据测算结果，本次重组完成当年预计不会出现即期回报被摊薄的情况，但并不能完全排除其未来盈利能力不及预期的可能。为维护公司和全体股东的合法权益，公司若出现即期回报被摊薄的情况，公司拟采取以下填补措施，增强公司持续盈利能力</w:t>
      </w:r>
      <w:r w:rsidRPr="00B4515A">
        <w:rPr>
          <w:rFonts w:hint="eastAsia"/>
        </w:rPr>
        <w:t>，公司承诺</w:t>
      </w:r>
      <w:r w:rsidRPr="00B4515A">
        <w:t>：</w:t>
      </w:r>
    </w:p>
    <w:p w14:paraId="669F57F1" w14:textId="77777777" w:rsidR="006416B0" w:rsidRPr="00B4515A" w:rsidRDefault="005E58C1" w:rsidP="006100BC">
      <w:pPr>
        <w:pStyle w:val="005"/>
        <w:spacing w:before="120" w:after="120"/>
        <w:ind w:firstLine="480"/>
      </w:pPr>
      <w:r w:rsidRPr="00B4515A">
        <w:rPr>
          <w:rFonts w:ascii="宋体" w:hAnsi="宋体" w:hint="eastAsia"/>
        </w:rPr>
        <w:t>“</w:t>
      </w:r>
      <w:r w:rsidRPr="00B4515A">
        <w:t>1</w:t>
      </w:r>
      <w:r w:rsidRPr="00B4515A">
        <w:t>、加快与目标公司的整合，增强综合竞争优势和持续盈利能力</w:t>
      </w:r>
    </w:p>
    <w:p w14:paraId="09FDA0DB" w14:textId="77777777" w:rsidR="006416B0" w:rsidRPr="00B4515A" w:rsidRDefault="005E58C1" w:rsidP="006100BC">
      <w:pPr>
        <w:pStyle w:val="005"/>
        <w:spacing w:before="120" w:after="120"/>
        <w:ind w:firstLine="480"/>
      </w:pPr>
      <w:r w:rsidRPr="00B4515A">
        <w:t>本次交易完成后，上市公司将加快对目标公司的整合，充分发挥上市公司与目标公司之间的协同效应，共同增强综合竞争优势，从而提升上市公司及全体股东的长远利益，提高上市公司的可持续发展能力及盈利能力。</w:t>
      </w:r>
    </w:p>
    <w:p w14:paraId="62109F0A" w14:textId="77777777" w:rsidR="006416B0" w:rsidRPr="00B4515A" w:rsidRDefault="005E58C1" w:rsidP="006100BC">
      <w:pPr>
        <w:pStyle w:val="005"/>
        <w:spacing w:before="120" w:after="120"/>
        <w:ind w:firstLine="480"/>
      </w:pPr>
      <w:r w:rsidRPr="00B4515A">
        <w:t>2</w:t>
      </w:r>
      <w:r w:rsidRPr="00B4515A">
        <w:t>、切实履行《业绩承诺与补偿协议》的相关约定</w:t>
      </w:r>
    </w:p>
    <w:p w14:paraId="32B2264A" w14:textId="77777777" w:rsidR="006416B0" w:rsidRPr="00B4515A" w:rsidRDefault="005E58C1" w:rsidP="006100BC">
      <w:pPr>
        <w:pStyle w:val="005"/>
        <w:spacing w:before="120" w:after="120"/>
        <w:ind w:firstLine="480"/>
      </w:pPr>
      <w:r w:rsidRPr="00B4515A">
        <w:rPr>
          <w:rFonts w:hint="eastAsia"/>
        </w:rPr>
        <w:t>为充分维护上市公司及中小股东的利益，上市公司与业绩承诺方签订了</w:t>
      </w:r>
      <w:r w:rsidRPr="00B4515A">
        <w:t>《业绩承诺与补偿协议》</w:t>
      </w:r>
      <w:r w:rsidRPr="00B4515A">
        <w:rPr>
          <w:rFonts w:hint="eastAsia"/>
        </w:rPr>
        <w:t>。</w:t>
      </w:r>
      <w:r w:rsidRPr="00B4515A">
        <w:t>当目标公司出现业绩承诺期内实现净利润低于承诺净利润的情形，上市公司将严格按照《业绩承诺与补偿协议》的相关约定，督促业绩承诺方严格遵照《业绩承诺与补偿协议》履行补偿义务，对上市公司进行补偿，切实维护上市公司广大投资者的利益。</w:t>
      </w:r>
    </w:p>
    <w:p w14:paraId="7773AEAF" w14:textId="77777777" w:rsidR="006416B0" w:rsidRPr="00B4515A" w:rsidRDefault="005E58C1" w:rsidP="006100BC">
      <w:pPr>
        <w:pStyle w:val="005"/>
        <w:spacing w:before="120" w:after="120"/>
        <w:ind w:firstLine="480"/>
      </w:pPr>
      <w:r w:rsidRPr="00B4515A">
        <w:t>3</w:t>
      </w:r>
      <w:r w:rsidRPr="00B4515A">
        <w:rPr>
          <w:rFonts w:hint="eastAsia"/>
        </w:rPr>
        <w:t>、继续完善公司治理，提高公司运营效率</w:t>
      </w:r>
    </w:p>
    <w:p w14:paraId="2C016C8E" w14:textId="77777777" w:rsidR="006416B0" w:rsidRPr="00B4515A" w:rsidRDefault="005E58C1" w:rsidP="006100BC">
      <w:pPr>
        <w:pStyle w:val="005"/>
        <w:spacing w:before="120" w:after="120"/>
        <w:ind w:firstLine="480"/>
      </w:pPr>
      <w:r w:rsidRPr="00B4515A">
        <w:rPr>
          <w:rFonts w:hint="eastAsia"/>
        </w:rPr>
        <w:t>本次交易前，上市公司已经根据《公司法》、《上市公司治理准则》、《企</w:t>
      </w:r>
      <w:r w:rsidRPr="00B4515A">
        <w:rPr>
          <w:rFonts w:hint="eastAsia"/>
        </w:rPr>
        <w:lastRenderedPageBreak/>
        <w:t>业内部控制基本规范》等法律法规，建立了较为完善、健全的公司法人治理结构和内部控制制度管理体系，初步形成了设置合理、运行有效、权责分明、运作良好的公司治理与经营框架，保证了上市公司各项经营活动的正常有序进行。本次交易完成后，上市公司将进一步完善治理结构，进一步提高经营和管理水平，完善并强化投资决策、内部控制程序，加强成本管控，强化执行监督，全面有效地提高上市公司运营效率。</w:t>
      </w:r>
    </w:p>
    <w:p w14:paraId="4DAE5C86" w14:textId="77777777" w:rsidR="006416B0" w:rsidRPr="00B4515A" w:rsidRDefault="005E58C1" w:rsidP="006100BC">
      <w:pPr>
        <w:pStyle w:val="005"/>
        <w:spacing w:before="120" w:after="120"/>
        <w:ind w:firstLine="480"/>
      </w:pPr>
      <w:r w:rsidRPr="00B4515A">
        <w:t>4</w:t>
      </w:r>
      <w:r w:rsidRPr="00B4515A">
        <w:t>、</w:t>
      </w:r>
      <w:r w:rsidRPr="00B4515A">
        <w:rPr>
          <w:rFonts w:hint="eastAsia"/>
        </w:rPr>
        <w:t>严格遵守并不断完善上市公司利润分配政策，强化投资者分红回报</w:t>
      </w:r>
    </w:p>
    <w:p w14:paraId="352071D3" w14:textId="77777777" w:rsidR="006416B0" w:rsidRPr="00B4515A" w:rsidRDefault="005E58C1" w:rsidP="006100BC">
      <w:pPr>
        <w:pStyle w:val="005"/>
        <w:spacing w:before="120" w:after="120"/>
        <w:ind w:firstLine="480"/>
      </w:pPr>
      <w:r w:rsidRPr="00B4515A">
        <w:t>实行积极的利润分配政策。本次交易完成后，上市公司将根据中国证监会《关于进一步落实上市公司现金分红有关事项的通知》及《上市公司监管指引第</w:t>
      </w:r>
      <w:r w:rsidRPr="00B4515A">
        <w:t>3</w:t>
      </w:r>
      <w:r w:rsidRPr="00B4515A">
        <w:t>号</w:t>
      </w:r>
      <w:r w:rsidRPr="00B4515A">
        <w:t>——</w:t>
      </w:r>
      <w:r w:rsidRPr="00B4515A">
        <w:t>上市公司现金分红》等规定，</w:t>
      </w:r>
      <w:r w:rsidRPr="00B4515A">
        <w:rPr>
          <w:rFonts w:hint="eastAsia"/>
        </w:rPr>
        <w:t>严格执行现行分红政策，在符合条件的情况下积极推动对广大股东的利润分配以及现金分红，提升股东回报水平。</w:t>
      </w:r>
    </w:p>
    <w:p w14:paraId="38BB69C5" w14:textId="77777777" w:rsidR="006416B0" w:rsidRPr="00B4515A" w:rsidRDefault="005E58C1" w:rsidP="006100BC">
      <w:pPr>
        <w:pStyle w:val="005"/>
        <w:spacing w:before="120" w:after="120"/>
        <w:ind w:firstLine="480"/>
      </w:pPr>
      <w:r w:rsidRPr="00B4515A">
        <w:t>5</w:t>
      </w:r>
      <w:r w:rsidRPr="00B4515A">
        <w:t>、</w:t>
      </w:r>
      <w:r w:rsidRPr="00B4515A">
        <w:rPr>
          <w:rFonts w:hint="eastAsia"/>
        </w:rPr>
        <w:t>加强募集资金的管理和运用</w:t>
      </w:r>
    </w:p>
    <w:p w14:paraId="08D5744D" w14:textId="29AE458C" w:rsidR="006416B0" w:rsidRPr="00B4515A" w:rsidRDefault="005E58C1" w:rsidP="006100BC">
      <w:pPr>
        <w:pStyle w:val="005"/>
        <w:spacing w:before="120" w:after="120"/>
        <w:ind w:firstLine="480"/>
      </w:pPr>
      <w:r w:rsidRPr="00B4515A">
        <w:t>本次募集配套资金到位后，上市公司将严格按照《上市公司监管指引</w:t>
      </w:r>
      <w:r w:rsidRPr="00B4515A">
        <w:t>2</w:t>
      </w:r>
      <w:r w:rsidRPr="00B4515A">
        <w:t>号</w:t>
      </w:r>
      <w:r w:rsidRPr="00B4515A">
        <w:t>—</w:t>
      </w:r>
      <w:r w:rsidRPr="00B4515A">
        <w:t>上市公司募集资金管理和使用的监管要求》、《上海证券交易所股票上市规则》、以及大唐电信《募集资金使用管理办法》等规定，加强募集资金使用的管理。上市公司董事会将持续监督对募集资金的专户存储，保障募集资金按顺序用于规定的用途，配合</w:t>
      </w:r>
      <w:r w:rsidR="00253111" w:rsidRPr="00B4515A">
        <w:rPr>
          <w:rFonts w:hint="eastAsia"/>
        </w:rPr>
        <w:t>独立财务顾问</w:t>
      </w:r>
      <w:r w:rsidRPr="00B4515A">
        <w:t>等</w:t>
      </w:r>
      <w:r w:rsidR="00253111" w:rsidRPr="00B4515A">
        <w:rPr>
          <w:rFonts w:hint="eastAsia"/>
        </w:rPr>
        <w:t>相关机构</w:t>
      </w:r>
      <w:r w:rsidRPr="00B4515A">
        <w:t>对募集资金使用的检查和监督，以保证募集资金合理规范使用，防范募集资金使用风险，以保证募集资金投资项目的顺利推进，早日实现预期收益。</w:t>
      </w:r>
      <w:r w:rsidRPr="00B4515A">
        <w:rPr>
          <w:rFonts w:ascii="宋体" w:hAnsi="宋体" w:hint="eastAsia"/>
        </w:rPr>
        <w:t>”</w:t>
      </w:r>
    </w:p>
    <w:p w14:paraId="7FDB5741" w14:textId="77777777" w:rsidR="006416B0" w:rsidRPr="00B4515A" w:rsidRDefault="005E58C1" w:rsidP="006100BC">
      <w:pPr>
        <w:pStyle w:val="005"/>
        <w:spacing w:before="120" w:after="120"/>
        <w:ind w:firstLine="480"/>
      </w:pPr>
      <w:r w:rsidRPr="00B4515A">
        <w:t>上市公司全体董事及高级管理人员将忠实、勤勉的履行职责，维护公司和全体股东的合法权益，并对公司填补摊薄即期回报措施能够得到切实履行作出以下承诺：</w:t>
      </w:r>
    </w:p>
    <w:p w14:paraId="1CAF5C0A" w14:textId="77777777" w:rsidR="006416B0" w:rsidRPr="00B4515A" w:rsidRDefault="005E58C1" w:rsidP="006100BC">
      <w:pPr>
        <w:pStyle w:val="005"/>
        <w:spacing w:before="120" w:after="120"/>
        <w:ind w:firstLine="480"/>
      </w:pPr>
      <w:r w:rsidRPr="00B4515A">
        <w:rPr>
          <w:rFonts w:ascii="宋体" w:hAnsi="宋体" w:hint="eastAsia"/>
        </w:rPr>
        <w:t>“</w:t>
      </w:r>
      <w:r w:rsidRPr="00B4515A">
        <w:t>1</w:t>
      </w:r>
      <w:r w:rsidRPr="00B4515A">
        <w:t>、本人承诺忠实、勤勉地履行职责，维护上市公司和全体股东的合法权益。</w:t>
      </w:r>
    </w:p>
    <w:p w14:paraId="0E6AB631" w14:textId="77777777" w:rsidR="006416B0" w:rsidRPr="00B4515A" w:rsidRDefault="005E58C1" w:rsidP="006100BC">
      <w:pPr>
        <w:pStyle w:val="005"/>
        <w:spacing w:before="120" w:after="120"/>
        <w:ind w:firstLine="480"/>
      </w:pPr>
      <w:r w:rsidRPr="00B4515A">
        <w:t>2</w:t>
      </w:r>
      <w:r w:rsidRPr="00B4515A">
        <w:t>、本人承诺不无偿或以不公平条件向其他单位或者个人输送利益，也不采用其他方式损害上市公司利益。</w:t>
      </w:r>
    </w:p>
    <w:p w14:paraId="2EDC1F03" w14:textId="77777777" w:rsidR="006416B0" w:rsidRPr="00B4515A" w:rsidRDefault="005E58C1" w:rsidP="006100BC">
      <w:pPr>
        <w:pStyle w:val="005"/>
        <w:spacing w:before="120" w:after="120"/>
        <w:ind w:firstLine="480"/>
      </w:pPr>
      <w:r w:rsidRPr="00B4515A">
        <w:t>3</w:t>
      </w:r>
      <w:r w:rsidRPr="00B4515A">
        <w:t>、本人承诺对本人的职务消费行为进行约束。</w:t>
      </w:r>
    </w:p>
    <w:p w14:paraId="4D9E8C2F" w14:textId="77777777" w:rsidR="006416B0" w:rsidRPr="00B4515A" w:rsidRDefault="005E58C1" w:rsidP="006100BC">
      <w:pPr>
        <w:pStyle w:val="005"/>
        <w:spacing w:before="120" w:after="120"/>
        <w:ind w:firstLine="480"/>
      </w:pPr>
      <w:r w:rsidRPr="00B4515A">
        <w:lastRenderedPageBreak/>
        <w:t>4</w:t>
      </w:r>
      <w:r w:rsidRPr="00B4515A">
        <w:t>、本人承诺不动用上市公司资产从事与履行职责无关的投资、消费活动。</w:t>
      </w:r>
    </w:p>
    <w:p w14:paraId="5674B599" w14:textId="77777777" w:rsidR="006416B0" w:rsidRPr="00B4515A" w:rsidRDefault="005E58C1" w:rsidP="006100BC">
      <w:pPr>
        <w:pStyle w:val="005"/>
        <w:spacing w:before="120" w:after="120"/>
        <w:ind w:firstLine="480"/>
      </w:pPr>
      <w:r w:rsidRPr="00B4515A">
        <w:t>5</w:t>
      </w:r>
      <w:r w:rsidRPr="00B4515A">
        <w:t>、本人承诺在自身职责和权限范围内，全力促使上市公司董事会或者薪酬与考核委员会制定的薪酬制度与上市公司填补回报措施的执行情况相挂钩。</w:t>
      </w:r>
    </w:p>
    <w:p w14:paraId="56679635" w14:textId="77777777" w:rsidR="006416B0" w:rsidRPr="00B4515A" w:rsidRDefault="005E58C1" w:rsidP="006100BC">
      <w:pPr>
        <w:pStyle w:val="005"/>
        <w:spacing w:before="120" w:after="120"/>
        <w:ind w:firstLine="480"/>
      </w:pPr>
      <w:r w:rsidRPr="00B4515A">
        <w:t>6</w:t>
      </w:r>
      <w:r w:rsidRPr="00B4515A">
        <w:t>、</w:t>
      </w:r>
      <w:r w:rsidRPr="00B4515A">
        <w:rPr>
          <w:rFonts w:hint="eastAsia"/>
        </w:rPr>
        <w:t>若上市公司后续推出股权激励政策，</w:t>
      </w:r>
      <w:r w:rsidRPr="00B4515A">
        <w:t>本人承诺在自身职责和权限范围内，全力促使</w:t>
      </w:r>
      <w:r w:rsidRPr="00B4515A">
        <w:rPr>
          <w:rFonts w:hint="eastAsia"/>
        </w:rPr>
        <w:t>股权激励的</w:t>
      </w:r>
      <w:r w:rsidRPr="00B4515A">
        <w:t>行权条件与上市公司填补回报措施的执行情况相挂钩。</w:t>
      </w:r>
    </w:p>
    <w:p w14:paraId="5EFA511C" w14:textId="77777777" w:rsidR="006416B0" w:rsidRPr="00B4515A" w:rsidRDefault="005E58C1" w:rsidP="006100BC">
      <w:pPr>
        <w:pStyle w:val="005"/>
        <w:spacing w:before="120" w:after="120"/>
        <w:ind w:firstLine="480"/>
      </w:pPr>
      <w:r w:rsidRPr="00B4515A">
        <w:t>7</w:t>
      </w:r>
      <w:r w:rsidRPr="00B4515A">
        <w:t>、</w:t>
      </w:r>
      <w:r w:rsidRPr="00B4515A">
        <w:rPr>
          <w:rFonts w:hint="eastAsia"/>
        </w:rPr>
        <w:t>在中国证监会、上海证券交易所另行发布填补摊薄即期回报措施及其承诺的相关意见及实施细则后，如果上市公司的相关规定及本人承诺与该等规定不符时，本人承诺将立即按照中国证监会及上海证券交易所的规定出具补充承诺，并积极推进上市公司制定新的规定，以符合中国证监会及上海证券交易所的要求。</w:t>
      </w:r>
    </w:p>
    <w:p w14:paraId="4406818E" w14:textId="77777777" w:rsidR="006416B0" w:rsidRPr="00B4515A" w:rsidRDefault="005E58C1" w:rsidP="006100BC">
      <w:pPr>
        <w:pStyle w:val="005"/>
        <w:spacing w:before="120" w:after="120"/>
        <w:ind w:firstLine="480"/>
      </w:pPr>
      <w:r w:rsidRPr="00B4515A">
        <w:t>8</w:t>
      </w:r>
      <w:r w:rsidRPr="00B4515A">
        <w:rPr>
          <w:rFonts w:hint="eastAsia"/>
        </w:rPr>
        <w:t>、</w:t>
      </w:r>
      <w:r w:rsidRPr="00B4515A">
        <w:t>本人承诺切实履行上市公司制定的有关填补回报措施以及本人对此作出的任何有关填补回报措施的承诺，若本人违反该等承诺并给上市公司或者投资者造成损失的，本人愿意依法承担对上市公司或者投资者的补偿责任。</w:t>
      </w:r>
      <w:r w:rsidRPr="00B4515A">
        <w:rPr>
          <w:rFonts w:ascii="宋体" w:hAnsi="宋体" w:hint="eastAsia"/>
        </w:rPr>
        <w:t>”</w:t>
      </w:r>
    </w:p>
    <w:p w14:paraId="48A4EB05" w14:textId="77777777" w:rsidR="006416B0" w:rsidRPr="00B4515A" w:rsidRDefault="005E58C1" w:rsidP="006100BC">
      <w:pPr>
        <w:pStyle w:val="005"/>
        <w:spacing w:before="120" w:after="120"/>
        <w:ind w:firstLine="480"/>
      </w:pPr>
      <w:r w:rsidRPr="00B4515A">
        <w:t>上市公司控股股东为</w:t>
      </w:r>
      <w:r w:rsidRPr="00B4515A">
        <w:rPr>
          <w:rFonts w:hint="eastAsia"/>
        </w:rPr>
        <w:t>电信科学技术研究院有限公司</w:t>
      </w:r>
      <w:r w:rsidRPr="00B4515A">
        <w:t>。为保障公司填补被摊薄即期回报措施能够得到切实履行，维护中小投资者利益，</w:t>
      </w:r>
      <w:r w:rsidRPr="00B4515A">
        <w:rPr>
          <w:rFonts w:hint="eastAsia"/>
        </w:rPr>
        <w:t>电信科学技术研究院有限公司</w:t>
      </w:r>
      <w:r w:rsidRPr="00B4515A">
        <w:t>及其控股股东</w:t>
      </w:r>
      <w:r w:rsidRPr="00B4515A">
        <w:rPr>
          <w:rFonts w:hint="eastAsia"/>
        </w:rPr>
        <w:t>中国信息通信科技集团有限公司分别</w:t>
      </w:r>
      <w:r w:rsidRPr="00B4515A">
        <w:t>做出以下承诺</w:t>
      </w:r>
      <w:r w:rsidRPr="00B4515A">
        <w:rPr>
          <w:rFonts w:hint="eastAsia"/>
        </w:rPr>
        <w:t>。</w:t>
      </w:r>
    </w:p>
    <w:p w14:paraId="79D8EEC3" w14:textId="77777777" w:rsidR="006416B0" w:rsidRPr="00B4515A" w:rsidRDefault="005E58C1" w:rsidP="006100BC">
      <w:pPr>
        <w:pStyle w:val="005"/>
        <w:spacing w:before="120" w:after="120"/>
        <w:ind w:firstLine="480"/>
      </w:pPr>
      <w:r w:rsidRPr="00B4515A">
        <w:rPr>
          <w:rFonts w:hint="eastAsia"/>
        </w:rPr>
        <w:t>电信科学技术研究院承诺：</w:t>
      </w:r>
    </w:p>
    <w:p w14:paraId="124CA7C7" w14:textId="77777777" w:rsidR="006416B0" w:rsidRPr="00B4515A" w:rsidRDefault="005E58C1" w:rsidP="006100BC">
      <w:pPr>
        <w:pStyle w:val="005"/>
        <w:spacing w:before="120" w:after="120"/>
        <w:ind w:firstLine="480"/>
      </w:pPr>
      <w:r w:rsidRPr="00B4515A">
        <w:rPr>
          <w:rFonts w:ascii="宋体" w:hAnsi="宋体" w:hint="eastAsia"/>
        </w:rPr>
        <w:t>“</w:t>
      </w:r>
      <w:r w:rsidRPr="00B4515A">
        <w:rPr>
          <w:rFonts w:hint="eastAsia"/>
        </w:rPr>
        <w:t>1</w:t>
      </w:r>
      <w:r w:rsidRPr="00B4515A">
        <w:rPr>
          <w:rFonts w:hint="eastAsia"/>
        </w:rPr>
        <w:t>、继续保证上市公司的独立性，不越权干预上市公司经营管理活动，不侵占上市公司利益。</w:t>
      </w:r>
    </w:p>
    <w:p w14:paraId="21CD375D" w14:textId="77777777" w:rsidR="006416B0" w:rsidRPr="00B4515A" w:rsidRDefault="005E58C1" w:rsidP="006100BC">
      <w:pPr>
        <w:pStyle w:val="005"/>
        <w:spacing w:before="120" w:after="120"/>
        <w:ind w:firstLine="480"/>
      </w:pPr>
      <w:r w:rsidRPr="00B4515A">
        <w:rPr>
          <w:rFonts w:hint="eastAsia"/>
        </w:rPr>
        <w:t>2</w:t>
      </w:r>
      <w:r w:rsidRPr="00B4515A">
        <w:rPr>
          <w:rFonts w:hint="eastAsia"/>
        </w:rPr>
        <w:t>、自本承诺出具之日起至本次交易实施完毕前，若中国证监会作出关于填补回报措施及其承诺的其他新的监管规定的，且上述承诺不能满足中国证监会该等规定时，承诺届时将按照中国证监会的最新规定出具补充承诺。</w:t>
      </w:r>
    </w:p>
    <w:p w14:paraId="58D1BBDB" w14:textId="77777777" w:rsidR="006416B0" w:rsidRPr="00B4515A" w:rsidRDefault="005E58C1" w:rsidP="006100BC">
      <w:pPr>
        <w:pStyle w:val="005"/>
        <w:spacing w:before="120" w:after="120"/>
        <w:ind w:firstLine="480"/>
      </w:pPr>
      <w:r w:rsidRPr="00B4515A">
        <w:rPr>
          <w:rFonts w:hint="eastAsia"/>
        </w:rPr>
        <w:t>3</w:t>
      </w:r>
      <w:r w:rsidRPr="00B4515A">
        <w:rPr>
          <w:rFonts w:hint="eastAsia"/>
        </w:rPr>
        <w:t>、承诺切实履行上市公司制定的有关防范即期回报被摊薄措施以及本公司对此作出的任何有关防范即期回报被摊薄措施的承诺，若违反该等承诺并给上市公司或者投资者造成损失的，愿意依法承担对上市公司或者投资者的补偿责任。</w:t>
      </w:r>
      <w:r w:rsidRPr="00B4515A">
        <w:rPr>
          <w:rFonts w:ascii="宋体" w:hAnsi="宋体" w:hint="eastAsia"/>
        </w:rPr>
        <w:t>”</w:t>
      </w:r>
    </w:p>
    <w:p w14:paraId="0120AEEF" w14:textId="77777777" w:rsidR="006416B0" w:rsidRPr="00B4515A" w:rsidRDefault="005E58C1" w:rsidP="006100BC">
      <w:pPr>
        <w:pStyle w:val="005"/>
        <w:spacing w:before="120" w:after="120"/>
        <w:ind w:firstLine="480"/>
      </w:pPr>
      <w:r w:rsidRPr="00B4515A">
        <w:rPr>
          <w:rFonts w:hint="eastAsia"/>
        </w:rPr>
        <w:t>中国信息通信科技集团有限公司承诺：</w:t>
      </w:r>
    </w:p>
    <w:p w14:paraId="5DE3A94A" w14:textId="77777777" w:rsidR="006416B0" w:rsidRPr="00B4515A" w:rsidRDefault="005E58C1" w:rsidP="006100BC">
      <w:pPr>
        <w:pStyle w:val="005"/>
        <w:spacing w:before="120" w:after="120"/>
        <w:ind w:firstLine="480"/>
      </w:pPr>
      <w:r w:rsidRPr="00B4515A">
        <w:rPr>
          <w:rFonts w:ascii="宋体" w:hAnsi="宋体" w:hint="eastAsia"/>
        </w:rPr>
        <w:t>“</w:t>
      </w:r>
      <w:r w:rsidRPr="00B4515A">
        <w:rPr>
          <w:rFonts w:hint="eastAsia"/>
        </w:rPr>
        <w:t>1</w:t>
      </w:r>
      <w:r w:rsidRPr="00B4515A">
        <w:rPr>
          <w:rFonts w:hint="eastAsia"/>
        </w:rPr>
        <w:t>、继续保证上市公司的独立性，不越权干预上市公司经营管理活动，不侵占上市公司利益。</w:t>
      </w:r>
    </w:p>
    <w:p w14:paraId="01E26B02" w14:textId="77777777" w:rsidR="006416B0" w:rsidRPr="00B4515A" w:rsidRDefault="005E58C1" w:rsidP="006100BC">
      <w:pPr>
        <w:pStyle w:val="005"/>
        <w:spacing w:before="120" w:after="120"/>
        <w:ind w:firstLine="480"/>
      </w:pPr>
      <w:r w:rsidRPr="00B4515A">
        <w:rPr>
          <w:rFonts w:hint="eastAsia"/>
        </w:rPr>
        <w:lastRenderedPageBreak/>
        <w:t>2</w:t>
      </w:r>
      <w:r w:rsidRPr="00B4515A">
        <w:rPr>
          <w:rFonts w:hint="eastAsia"/>
        </w:rPr>
        <w:t>、自本承诺出具之日起至本次交易实施完毕前，若中国证监会、上海证券交易所作出关于填补回报措施及其承诺的其他新的监管规定的，且上述承诺不能满足中国证监会、上海证券交易所该等规定时，承诺届时将按照中国证监会、上海证券交易所的最新规定出具补充承诺。</w:t>
      </w:r>
    </w:p>
    <w:p w14:paraId="662FD29D" w14:textId="77777777" w:rsidR="006416B0" w:rsidRPr="00B4515A" w:rsidRDefault="005E58C1" w:rsidP="006100BC">
      <w:pPr>
        <w:pStyle w:val="005"/>
        <w:spacing w:before="120" w:after="120"/>
        <w:ind w:firstLine="480"/>
      </w:pPr>
      <w:r w:rsidRPr="00B4515A">
        <w:rPr>
          <w:rFonts w:hint="eastAsia"/>
        </w:rPr>
        <w:t>3</w:t>
      </w:r>
      <w:r w:rsidRPr="00B4515A">
        <w:rPr>
          <w:rFonts w:hint="eastAsia"/>
        </w:rPr>
        <w:t>、承诺切实履行上市公司制定的有关防范即期回报被摊薄措施以及本公司对此作出的任何有关防范即期回报被摊薄措施的承诺，若违反该等承诺并给上市公司或者投资者造成损失的，愿意依法承担对上市公司或者投资者的补偿责任。</w:t>
      </w:r>
      <w:r w:rsidRPr="00B4515A">
        <w:rPr>
          <w:rFonts w:ascii="宋体" w:hAnsi="宋体" w:hint="eastAsia"/>
        </w:rPr>
        <w:t>”</w:t>
      </w:r>
    </w:p>
    <w:p w14:paraId="53AFB54A" w14:textId="77777777" w:rsidR="006416B0" w:rsidRPr="00B4515A" w:rsidRDefault="005E58C1" w:rsidP="006100BC">
      <w:pPr>
        <w:pStyle w:val="004"/>
        <w:spacing w:before="120" w:after="120"/>
        <w:ind w:firstLine="482"/>
      </w:pPr>
      <w:r w:rsidRPr="00B4515A">
        <w:rPr>
          <w:rFonts w:hint="eastAsia"/>
        </w:rPr>
        <w:t>3</w:t>
      </w:r>
      <w:r w:rsidRPr="00B4515A">
        <w:rPr>
          <w:rFonts w:hint="eastAsia"/>
        </w:rPr>
        <w:t>、本次交易对上市公司未来资本性支出的影响</w:t>
      </w:r>
    </w:p>
    <w:p w14:paraId="16CACA14" w14:textId="77777777" w:rsidR="006416B0" w:rsidRPr="00B4515A" w:rsidRDefault="005E58C1" w:rsidP="006100BC">
      <w:pPr>
        <w:pStyle w:val="005"/>
        <w:spacing w:before="120" w:after="120"/>
        <w:ind w:firstLine="480"/>
      </w:pPr>
      <w:r w:rsidRPr="00B4515A">
        <w:t>本次交易完成后，随着公司业务的不断发展，预计上市公司将在业务整合、业务拓展等方面存在一定的资本性支出。本次交易完成后，上市公司将继续凭借其融资渠道及日益改善的融资能力筹集所需资金，满足未来资本性支出的需要。</w:t>
      </w:r>
    </w:p>
    <w:p w14:paraId="7CB70DD8" w14:textId="77777777" w:rsidR="006416B0" w:rsidRPr="00B4515A" w:rsidRDefault="005E58C1" w:rsidP="006100BC">
      <w:pPr>
        <w:pStyle w:val="004"/>
        <w:spacing w:before="120" w:after="120"/>
        <w:ind w:firstLine="482"/>
      </w:pPr>
      <w:r w:rsidRPr="00B4515A">
        <w:t>4</w:t>
      </w:r>
      <w:r w:rsidRPr="00B4515A">
        <w:t>、本次交易涉及的职工安置方案对上市公司的影响</w:t>
      </w:r>
    </w:p>
    <w:p w14:paraId="159B1A99" w14:textId="77777777" w:rsidR="006416B0" w:rsidRPr="00B4515A" w:rsidRDefault="005E58C1" w:rsidP="006100BC">
      <w:pPr>
        <w:pStyle w:val="005"/>
        <w:spacing w:before="120" w:after="120"/>
        <w:ind w:firstLine="480"/>
      </w:pPr>
      <w:r w:rsidRPr="00B4515A">
        <w:t>本次交易完成后，标的公司仍将继续履行其与职工之间的劳动合同，标的公司与其职工之间的劳动关系不发生转移，本次交易不涉及职工安置。</w:t>
      </w:r>
    </w:p>
    <w:p w14:paraId="7A580E42" w14:textId="77777777" w:rsidR="006416B0" w:rsidRPr="00B4515A" w:rsidRDefault="005E58C1" w:rsidP="006100BC">
      <w:pPr>
        <w:pStyle w:val="004"/>
        <w:spacing w:before="120" w:after="120"/>
        <w:ind w:firstLine="482"/>
      </w:pPr>
      <w:r w:rsidRPr="00B4515A">
        <w:t>5</w:t>
      </w:r>
      <w:r w:rsidRPr="00B4515A">
        <w:t>、本次交易成本对上市公司的影响</w:t>
      </w:r>
    </w:p>
    <w:p w14:paraId="65E491AF" w14:textId="77777777" w:rsidR="006100BC" w:rsidRPr="00B4515A" w:rsidRDefault="005E58C1" w:rsidP="006100BC">
      <w:pPr>
        <w:pStyle w:val="005"/>
        <w:spacing w:before="120" w:after="120"/>
        <w:ind w:firstLine="480"/>
      </w:pPr>
      <w:r w:rsidRPr="00B4515A">
        <w:t>本次交易所涉及交易成本主要为交易税费、中介机构费用。交易税费由相关责任方各自依照相关法律法规承担，中介机构费用等按照市场收费水平确定。上述交易成本不会对上市公司造成较大影响。</w:t>
      </w:r>
    </w:p>
    <w:p w14:paraId="1F280066" w14:textId="0CB5D566" w:rsidR="006416B0" w:rsidRPr="00B4515A" w:rsidRDefault="005E58C1" w:rsidP="006100BC">
      <w:pPr>
        <w:pStyle w:val="005"/>
        <w:spacing w:before="120" w:after="120"/>
        <w:ind w:firstLine="480"/>
        <w:rPr>
          <w:rFonts w:eastAsia="黑体"/>
          <w:b/>
          <w:bCs/>
          <w:kern w:val="44"/>
          <w:sz w:val="36"/>
          <w:szCs w:val="36"/>
        </w:rPr>
      </w:pPr>
      <w:r w:rsidRPr="00B4515A">
        <w:rPr>
          <w:szCs w:val="36"/>
        </w:rPr>
        <w:br w:type="page"/>
      </w:r>
    </w:p>
    <w:p w14:paraId="5CA41DCC" w14:textId="77777777" w:rsidR="006416B0" w:rsidRPr="00B4515A" w:rsidRDefault="005E58C1" w:rsidP="002B0582">
      <w:pPr>
        <w:pStyle w:val="001"/>
        <w:spacing w:before="360" w:after="360"/>
      </w:pPr>
      <w:bookmarkStart w:id="327" w:name="_Toc80960576"/>
      <w:r w:rsidRPr="00B4515A">
        <w:lastRenderedPageBreak/>
        <w:t>第十节</w:t>
      </w:r>
      <w:r w:rsidRPr="00B4515A">
        <w:t xml:space="preserve"> </w:t>
      </w:r>
      <w:r w:rsidRPr="00B4515A">
        <w:t>财务会计信息</w:t>
      </w:r>
      <w:bookmarkEnd w:id="327"/>
    </w:p>
    <w:p w14:paraId="1F1805A9" w14:textId="5FA3B4DB" w:rsidR="006416B0" w:rsidRPr="00B4515A" w:rsidRDefault="008C1C67" w:rsidP="006100BC">
      <w:pPr>
        <w:pStyle w:val="002"/>
        <w:spacing w:before="120" w:after="120"/>
        <w:ind w:firstLine="562"/>
      </w:pPr>
      <w:bookmarkStart w:id="328" w:name="_Toc80960577"/>
      <w:r w:rsidRPr="00B4515A">
        <w:t>一、</w:t>
      </w:r>
      <w:r w:rsidR="005E58C1" w:rsidRPr="00B4515A">
        <w:t>标的公司最近两年及一期简要财务报表</w:t>
      </w:r>
      <w:bookmarkEnd w:id="328"/>
    </w:p>
    <w:p w14:paraId="779DE31B" w14:textId="77777777" w:rsidR="006416B0" w:rsidRPr="00B4515A" w:rsidRDefault="005E58C1" w:rsidP="006100BC">
      <w:pPr>
        <w:pStyle w:val="003"/>
        <w:spacing w:before="120"/>
        <w:ind w:firstLine="482"/>
      </w:pPr>
      <w:r w:rsidRPr="00B4515A">
        <w:rPr>
          <w:rFonts w:hint="eastAsia"/>
        </w:rPr>
        <w:t>（一）</w:t>
      </w:r>
      <w:r w:rsidRPr="00B4515A">
        <w:rPr>
          <w:rFonts w:hint="eastAsia"/>
          <w:color w:val="171F46"/>
        </w:rPr>
        <w:t>合并</w:t>
      </w:r>
      <w:r w:rsidRPr="00B4515A">
        <w:rPr>
          <w:rFonts w:hint="eastAsia"/>
        </w:rPr>
        <w:t>资产负债表</w:t>
      </w:r>
    </w:p>
    <w:p w14:paraId="7F1E8448" w14:textId="77777777" w:rsidR="006416B0" w:rsidRPr="00B4515A" w:rsidRDefault="005E58C1"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944"/>
        <w:gridCol w:w="2122"/>
        <w:gridCol w:w="2122"/>
        <w:gridCol w:w="2340"/>
      </w:tblGrid>
      <w:tr w:rsidR="006416B0" w:rsidRPr="00B4515A" w14:paraId="15F23479" w14:textId="77777777" w:rsidTr="006100BC">
        <w:trPr>
          <w:trHeight w:val="340"/>
          <w:tblHeader/>
          <w:jc w:val="center"/>
        </w:trPr>
        <w:tc>
          <w:tcPr>
            <w:tcW w:w="1866" w:type="dxa"/>
            <w:shd w:val="clear" w:color="auto" w:fill="auto"/>
            <w:tcMar>
              <w:top w:w="0" w:type="dxa"/>
              <w:left w:w="108" w:type="dxa"/>
              <w:bottom w:w="0" w:type="dxa"/>
              <w:right w:w="108" w:type="dxa"/>
            </w:tcMar>
            <w:vAlign w:val="center"/>
          </w:tcPr>
          <w:p w14:paraId="50C5B990"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资产</w:t>
            </w:r>
          </w:p>
        </w:tc>
        <w:tc>
          <w:tcPr>
            <w:tcW w:w="2036" w:type="dxa"/>
            <w:shd w:val="clear" w:color="auto" w:fill="auto"/>
            <w:tcMar>
              <w:top w:w="0" w:type="dxa"/>
              <w:left w:w="108" w:type="dxa"/>
              <w:bottom w:w="0" w:type="dxa"/>
              <w:right w:w="108" w:type="dxa"/>
            </w:tcMar>
            <w:vAlign w:val="center"/>
          </w:tcPr>
          <w:p w14:paraId="4C6CA972"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2021.4.30</w:t>
            </w:r>
          </w:p>
        </w:tc>
        <w:tc>
          <w:tcPr>
            <w:tcW w:w="2036" w:type="dxa"/>
            <w:shd w:val="clear" w:color="auto" w:fill="auto"/>
            <w:tcMar>
              <w:top w:w="0" w:type="dxa"/>
              <w:left w:w="108" w:type="dxa"/>
              <w:bottom w:w="0" w:type="dxa"/>
              <w:right w:w="108" w:type="dxa"/>
            </w:tcMar>
            <w:vAlign w:val="center"/>
          </w:tcPr>
          <w:p w14:paraId="7FAD55F9"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2020.12.31</w:t>
            </w:r>
          </w:p>
        </w:tc>
        <w:tc>
          <w:tcPr>
            <w:tcW w:w="2246" w:type="dxa"/>
            <w:shd w:val="clear" w:color="auto" w:fill="auto"/>
            <w:tcMar>
              <w:top w:w="0" w:type="dxa"/>
              <w:left w:w="108" w:type="dxa"/>
              <w:bottom w:w="0" w:type="dxa"/>
              <w:right w:w="108" w:type="dxa"/>
            </w:tcMar>
            <w:vAlign w:val="center"/>
          </w:tcPr>
          <w:p w14:paraId="37C83050"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2019.12.31</w:t>
            </w:r>
          </w:p>
        </w:tc>
      </w:tr>
      <w:tr w:rsidR="006416B0" w:rsidRPr="00B4515A" w14:paraId="6076F1E0"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07D3BD6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流动资产：</w:t>
            </w:r>
          </w:p>
        </w:tc>
        <w:tc>
          <w:tcPr>
            <w:tcW w:w="2036" w:type="dxa"/>
            <w:shd w:val="clear" w:color="auto" w:fill="auto"/>
            <w:tcMar>
              <w:top w:w="0" w:type="dxa"/>
              <w:left w:w="108" w:type="dxa"/>
              <w:bottom w:w="0" w:type="dxa"/>
              <w:right w:w="108" w:type="dxa"/>
            </w:tcMar>
            <w:vAlign w:val="center"/>
          </w:tcPr>
          <w:p w14:paraId="6116022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2036" w:type="dxa"/>
            <w:shd w:val="clear" w:color="auto" w:fill="auto"/>
            <w:tcMar>
              <w:top w:w="0" w:type="dxa"/>
              <w:left w:w="108" w:type="dxa"/>
              <w:bottom w:w="0" w:type="dxa"/>
              <w:right w:w="108" w:type="dxa"/>
            </w:tcMar>
            <w:vAlign w:val="center"/>
          </w:tcPr>
          <w:p w14:paraId="245D043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2246" w:type="dxa"/>
            <w:shd w:val="clear" w:color="auto" w:fill="auto"/>
            <w:tcMar>
              <w:top w:w="0" w:type="dxa"/>
              <w:left w:w="108" w:type="dxa"/>
              <w:bottom w:w="0" w:type="dxa"/>
              <w:right w:w="108" w:type="dxa"/>
            </w:tcMar>
            <w:vAlign w:val="center"/>
          </w:tcPr>
          <w:p w14:paraId="1F782D8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r>
      <w:tr w:rsidR="006416B0" w:rsidRPr="00B4515A" w14:paraId="65201D12"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4E29FEC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货币资金</w:t>
            </w:r>
          </w:p>
        </w:tc>
        <w:tc>
          <w:tcPr>
            <w:tcW w:w="2036" w:type="dxa"/>
            <w:shd w:val="clear" w:color="auto" w:fill="auto"/>
            <w:tcMar>
              <w:top w:w="0" w:type="dxa"/>
              <w:left w:w="108" w:type="dxa"/>
              <w:bottom w:w="0" w:type="dxa"/>
              <w:right w:w="108" w:type="dxa"/>
            </w:tcMar>
            <w:vAlign w:val="center"/>
          </w:tcPr>
          <w:p w14:paraId="3C211C4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60,019.28</w:t>
            </w:r>
          </w:p>
        </w:tc>
        <w:tc>
          <w:tcPr>
            <w:tcW w:w="2036" w:type="dxa"/>
            <w:shd w:val="clear" w:color="auto" w:fill="auto"/>
            <w:tcMar>
              <w:top w:w="0" w:type="dxa"/>
              <w:left w:w="108" w:type="dxa"/>
              <w:bottom w:w="0" w:type="dxa"/>
              <w:right w:w="108" w:type="dxa"/>
            </w:tcMar>
            <w:vAlign w:val="center"/>
          </w:tcPr>
          <w:p w14:paraId="5D46716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8,179.05</w:t>
            </w:r>
          </w:p>
        </w:tc>
        <w:tc>
          <w:tcPr>
            <w:tcW w:w="2246" w:type="dxa"/>
            <w:shd w:val="clear" w:color="auto" w:fill="auto"/>
            <w:tcMar>
              <w:top w:w="0" w:type="dxa"/>
              <w:left w:w="108" w:type="dxa"/>
              <w:bottom w:w="0" w:type="dxa"/>
              <w:right w:w="108" w:type="dxa"/>
            </w:tcMar>
            <w:vAlign w:val="center"/>
          </w:tcPr>
          <w:p w14:paraId="727A9E8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2,702.23</w:t>
            </w:r>
          </w:p>
        </w:tc>
      </w:tr>
      <w:tr w:rsidR="006416B0" w:rsidRPr="00B4515A" w14:paraId="30CC309C"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C0823C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结算备付金</w:t>
            </w:r>
          </w:p>
        </w:tc>
        <w:tc>
          <w:tcPr>
            <w:tcW w:w="2036" w:type="dxa"/>
            <w:shd w:val="clear" w:color="auto" w:fill="auto"/>
            <w:tcMar>
              <w:top w:w="0" w:type="dxa"/>
              <w:left w:w="108" w:type="dxa"/>
              <w:bottom w:w="0" w:type="dxa"/>
              <w:right w:w="108" w:type="dxa"/>
            </w:tcMar>
            <w:vAlign w:val="center"/>
          </w:tcPr>
          <w:p w14:paraId="7F50E31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5D245E0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5738958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79B787A"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47193B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拆出资金</w:t>
            </w:r>
          </w:p>
        </w:tc>
        <w:tc>
          <w:tcPr>
            <w:tcW w:w="2036" w:type="dxa"/>
            <w:shd w:val="clear" w:color="auto" w:fill="auto"/>
            <w:tcMar>
              <w:top w:w="0" w:type="dxa"/>
              <w:left w:w="108" w:type="dxa"/>
              <w:bottom w:w="0" w:type="dxa"/>
              <w:right w:w="108" w:type="dxa"/>
            </w:tcMar>
            <w:vAlign w:val="center"/>
          </w:tcPr>
          <w:p w14:paraId="343D5C9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311565F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1CF5AA8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2BA8E1E"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426990B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交易性金融资产</w:t>
            </w:r>
          </w:p>
        </w:tc>
        <w:tc>
          <w:tcPr>
            <w:tcW w:w="2036" w:type="dxa"/>
            <w:shd w:val="clear" w:color="auto" w:fill="auto"/>
            <w:tcMar>
              <w:top w:w="0" w:type="dxa"/>
              <w:left w:w="108" w:type="dxa"/>
              <w:bottom w:w="0" w:type="dxa"/>
              <w:right w:w="108" w:type="dxa"/>
            </w:tcMar>
            <w:vAlign w:val="center"/>
          </w:tcPr>
          <w:p w14:paraId="66E1F01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04C43E8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779FA64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93E8E88"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09EAE1D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以公允价值计量且其变动计入当期损益的金融资产</w:t>
            </w:r>
          </w:p>
        </w:tc>
        <w:tc>
          <w:tcPr>
            <w:tcW w:w="2036" w:type="dxa"/>
            <w:shd w:val="clear" w:color="auto" w:fill="auto"/>
            <w:tcMar>
              <w:top w:w="0" w:type="dxa"/>
              <w:left w:w="108" w:type="dxa"/>
              <w:bottom w:w="0" w:type="dxa"/>
              <w:right w:w="108" w:type="dxa"/>
            </w:tcMar>
            <w:vAlign w:val="center"/>
          </w:tcPr>
          <w:p w14:paraId="12E7309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A3F631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7CC8AA6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76A746E"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FEED22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衍生金融资产</w:t>
            </w:r>
          </w:p>
        </w:tc>
        <w:tc>
          <w:tcPr>
            <w:tcW w:w="2036" w:type="dxa"/>
            <w:shd w:val="clear" w:color="auto" w:fill="auto"/>
            <w:tcMar>
              <w:top w:w="0" w:type="dxa"/>
              <w:left w:w="108" w:type="dxa"/>
              <w:bottom w:w="0" w:type="dxa"/>
              <w:right w:w="108" w:type="dxa"/>
            </w:tcMar>
            <w:vAlign w:val="center"/>
          </w:tcPr>
          <w:p w14:paraId="7800AE0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D20510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6BD14C5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F4F3E4B"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A017D1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应收票据</w:t>
            </w:r>
          </w:p>
        </w:tc>
        <w:tc>
          <w:tcPr>
            <w:tcW w:w="2036" w:type="dxa"/>
            <w:shd w:val="clear" w:color="auto" w:fill="auto"/>
            <w:tcMar>
              <w:top w:w="0" w:type="dxa"/>
              <w:left w:w="108" w:type="dxa"/>
              <w:bottom w:w="0" w:type="dxa"/>
              <w:right w:w="108" w:type="dxa"/>
            </w:tcMar>
            <w:vAlign w:val="center"/>
          </w:tcPr>
          <w:p w14:paraId="1628F97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2,196.52</w:t>
            </w:r>
          </w:p>
        </w:tc>
        <w:tc>
          <w:tcPr>
            <w:tcW w:w="2036" w:type="dxa"/>
            <w:shd w:val="clear" w:color="auto" w:fill="auto"/>
            <w:tcMar>
              <w:top w:w="0" w:type="dxa"/>
              <w:left w:w="108" w:type="dxa"/>
              <w:bottom w:w="0" w:type="dxa"/>
              <w:right w:w="108" w:type="dxa"/>
            </w:tcMar>
            <w:vAlign w:val="center"/>
          </w:tcPr>
          <w:p w14:paraId="3CF6BB0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2,980.39</w:t>
            </w:r>
          </w:p>
        </w:tc>
        <w:tc>
          <w:tcPr>
            <w:tcW w:w="2246" w:type="dxa"/>
            <w:shd w:val="clear" w:color="auto" w:fill="auto"/>
            <w:tcMar>
              <w:top w:w="0" w:type="dxa"/>
              <w:left w:w="108" w:type="dxa"/>
              <w:bottom w:w="0" w:type="dxa"/>
              <w:right w:w="108" w:type="dxa"/>
            </w:tcMar>
            <w:vAlign w:val="center"/>
          </w:tcPr>
          <w:p w14:paraId="60718D8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1,198.14</w:t>
            </w:r>
          </w:p>
        </w:tc>
      </w:tr>
      <w:tr w:rsidR="006416B0" w:rsidRPr="00B4515A" w14:paraId="7C174B18"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E15C3A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应收账款</w:t>
            </w:r>
          </w:p>
        </w:tc>
        <w:tc>
          <w:tcPr>
            <w:tcW w:w="2036" w:type="dxa"/>
            <w:shd w:val="clear" w:color="auto" w:fill="auto"/>
            <w:tcMar>
              <w:top w:w="0" w:type="dxa"/>
              <w:left w:w="108" w:type="dxa"/>
              <w:bottom w:w="0" w:type="dxa"/>
              <w:right w:w="108" w:type="dxa"/>
            </w:tcMar>
            <w:vAlign w:val="center"/>
          </w:tcPr>
          <w:p w14:paraId="4400843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33,997.25</w:t>
            </w:r>
          </w:p>
        </w:tc>
        <w:tc>
          <w:tcPr>
            <w:tcW w:w="2036" w:type="dxa"/>
            <w:shd w:val="clear" w:color="auto" w:fill="auto"/>
            <w:tcMar>
              <w:top w:w="0" w:type="dxa"/>
              <w:left w:w="108" w:type="dxa"/>
              <w:bottom w:w="0" w:type="dxa"/>
              <w:right w:w="108" w:type="dxa"/>
            </w:tcMar>
            <w:vAlign w:val="center"/>
          </w:tcPr>
          <w:p w14:paraId="62DCE69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30,964.30</w:t>
            </w:r>
          </w:p>
        </w:tc>
        <w:tc>
          <w:tcPr>
            <w:tcW w:w="2246" w:type="dxa"/>
            <w:shd w:val="clear" w:color="auto" w:fill="auto"/>
            <w:tcMar>
              <w:top w:w="0" w:type="dxa"/>
              <w:left w:w="108" w:type="dxa"/>
              <w:bottom w:w="0" w:type="dxa"/>
              <w:right w:w="108" w:type="dxa"/>
            </w:tcMar>
            <w:vAlign w:val="center"/>
          </w:tcPr>
          <w:p w14:paraId="4F86A93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28,971.86</w:t>
            </w:r>
          </w:p>
        </w:tc>
      </w:tr>
      <w:tr w:rsidR="006416B0" w:rsidRPr="00B4515A" w14:paraId="019B4CCC"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4A8D1E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应收款项融资</w:t>
            </w:r>
          </w:p>
        </w:tc>
        <w:tc>
          <w:tcPr>
            <w:tcW w:w="2036" w:type="dxa"/>
            <w:shd w:val="clear" w:color="auto" w:fill="auto"/>
            <w:tcMar>
              <w:top w:w="0" w:type="dxa"/>
              <w:left w:w="108" w:type="dxa"/>
              <w:bottom w:w="0" w:type="dxa"/>
              <w:right w:w="108" w:type="dxa"/>
            </w:tcMar>
            <w:vAlign w:val="center"/>
          </w:tcPr>
          <w:p w14:paraId="7B8A54D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04E519C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641B2D0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AD3AC41"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3DDDED2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预付款项</w:t>
            </w:r>
          </w:p>
        </w:tc>
        <w:tc>
          <w:tcPr>
            <w:tcW w:w="2036" w:type="dxa"/>
            <w:shd w:val="clear" w:color="auto" w:fill="auto"/>
            <w:tcMar>
              <w:top w:w="0" w:type="dxa"/>
              <w:left w:w="108" w:type="dxa"/>
              <w:bottom w:w="0" w:type="dxa"/>
              <w:right w:w="108" w:type="dxa"/>
            </w:tcMar>
            <w:vAlign w:val="center"/>
          </w:tcPr>
          <w:p w14:paraId="05DEB5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3,012.03</w:t>
            </w:r>
          </w:p>
        </w:tc>
        <w:tc>
          <w:tcPr>
            <w:tcW w:w="2036" w:type="dxa"/>
            <w:shd w:val="clear" w:color="auto" w:fill="auto"/>
            <w:tcMar>
              <w:top w:w="0" w:type="dxa"/>
              <w:left w:w="108" w:type="dxa"/>
              <w:bottom w:w="0" w:type="dxa"/>
              <w:right w:w="108" w:type="dxa"/>
            </w:tcMar>
            <w:vAlign w:val="center"/>
          </w:tcPr>
          <w:p w14:paraId="4BDC284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1,290.27</w:t>
            </w:r>
          </w:p>
        </w:tc>
        <w:tc>
          <w:tcPr>
            <w:tcW w:w="2246" w:type="dxa"/>
            <w:shd w:val="clear" w:color="auto" w:fill="auto"/>
            <w:tcMar>
              <w:top w:w="0" w:type="dxa"/>
              <w:left w:w="108" w:type="dxa"/>
              <w:bottom w:w="0" w:type="dxa"/>
              <w:right w:w="108" w:type="dxa"/>
            </w:tcMar>
            <w:vAlign w:val="center"/>
          </w:tcPr>
          <w:p w14:paraId="5801DEF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1,568.45</w:t>
            </w:r>
          </w:p>
        </w:tc>
      </w:tr>
      <w:tr w:rsidR="006416B0" w:rsidRPr="00B4515A" w14:paraId="57EFE55D"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0584237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应收保费</w:t>
            </w:r>
          </w:p>
        </w:tc>
        <w:tc>
          <w:tcPr>
            <w:tcW w:w="2036" w:type="dxa"/>
            <w:shd w:val="clear" w:color="auto" w:fill="auto"/>
            <w:tcMar>
              <w:top w:w="0" w:type="dxa"/>
              <w:left w:w="108" w:type="dxa"/>
              <w:bottom w:w="0" w:type="dxa"/>
              <w:right w:w="108" w:type="dxa"/>
            </w:tcMar>
            <w:vAlign w:val="center"/>
          </w:tcPr>
          <w:p w14:paraId="39523F2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234CFB8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5B5B484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5E761CD"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93F156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应收分保账款</w:t>
            </w:r>
          </w:p>
        </w:tc>
        <w:tc>
          <w:tcPr>
            <w:tcW w:w="2036" w:type="dxa"/>
            <w:shd w:val="clear" w:color="auto" w:fill="auto"/>
            <w:tcMar>
              <w:top w:w="0" w:type="dxa"/>
              <w:left w:w="108" w:type="dxa"/>
              <w:bottom w:w="0" w:type="dxa"/>
              <w:right w:w="108" w:type="dxa"/>
            </w:tcMar>
            <w:vAlign w:val="center"/>
          </w:tcPr>
          <w:p w14:paraId="7423CFA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1CE11F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0380F94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B3B5AD6"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89F9C8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应收分保合同准备金</w:t>
            </w:r>
          </w:p>
        </w:tc>
        <w:tc>
          <w:tcPr>
            <w:tcW w:w="2036" w:type="dxa"/>
            <w:shd w:val="clear" w:color="auto" w:fill="auto"/>
            <w:tcMar>
              <w:top w:w="0" w:type="dxa"/>
              <w:left w:w="108" w:type="dxa"/>
              <w:bottom w:w="0" w:type="dxa"/>
              <w:right w:w="108" w:type="dxa"/>
            </w:tcMar>
            <w:vAlign w:val="center"/>
          </w:tcPr>
          <w:p w14:paraId="3E44196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558FF0D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0E165EB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1D4EE4D"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F186F7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其他应收款</w:t>
            </w:r>
          </w:p>
        </w:tc>
        <w:tc>
          <w:tcPr>
            <w:tcW w:w="2036" w:type="dxa"/>
            <w:shd w:val="clear" w:color="auto" w:fill="auto"/>
            <w:tcMar>
              <w:top w:w="0" w:type="dxa"/>
              <w:left w:w="108" w:type="dxa"/>
              <w:bottom w:w="0" w:type="dxa"/>
              <w:right w:w="108" w:type="dxa"/>
            </w:tcMar>
            <w:vAlign w:val="center"/>
          </w:tcPr>
          <w:p w14:paraId="677A5E5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969.03</w:t>
            </w:r>
          </w:p>
        </w:tc>
        <w:tc>
          <w:tcPr>
            <w:tcW w:w="2036" w:type="dxa"/>
            <w:shd w:val="clear" w:color="auto" w:fill="auto"/>
            <w:tcMar>
              <w:top w:w="0" w:type="dxa"/>
              <w:left w:w="108" w:type="dxa"/>
              <w:bottom w:w="0" w:type="dxa"/>
              <w:right w:w="108" w:type="dxa"/>
            </w:tcMar>
            <w:vAlign w:val="center"/>
          </w:tcPr>
          <w:p w14:paraId="5C81E52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972.36</w:t>
            </w:r>
          </w:p>
        </w:tc>
        <w:tc>
          <w:tcPr>
            <w:tcW w:w="2246" w:type="dxa"/>
            <w:shd w:val="clear" w:color="auto" w:fill="auto"/>
            <w:tcMar>
              <w:top w:w="0" w:type="dxa"/>
              <w:left w:w="108" w:type="dxa"/>
              <w:bottom w:w="0" w:type="dxa"/>
              <w:right w:w="108" w:type="dxa"/>
            </w:tcMar>
            <w:vAlign w:val="center"/>
          </w:tcPr>
          <w:p w14:paraId="7E41EAA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484.18</w:t>
            </w:r>
          </w:p>
        </w:tc>
      </w:tr>
      <w:tr w:rsidR="006416B0" w:rsidRPr="00B4515A" w14:paraId="29830A7F"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0C6D8C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买入返售金融资产</w:t>
            </w:r>
          </w:p>
        </w:tc>
        <w:tc>
          <w:tcPr>
            <w:tcW w:w="2036" w:type="dxa"/>
            <w:shd w:val="clear" w:color="auto" w:fill="auto"/>
            <w:tcMar>
              <w:top w:w="0" w:type="dxa"/>
              <w:left w:w="108" w:type="dxa"/>
              <w:bottom w:w="0" w:type="dxa"/>
              <w:right w:w="108" w:type="dxa"/>
            </w:tcMar>
            <w:vAlign w:val="center"/>
          </w:tcPr>
          <w:p w14:paraId="0776940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6B1A56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6C7D99D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9E53DB5"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33671B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存货</w:t>
            </w:r>
          </w:p>
        </w:tc>
        <w:tc>
          <w:tcPr>
            <w:tcW w:w="2036" w:type="dxa"/>
            <w:shd w:val="clear" w:color="auto" w:fill="auto"/>
            <w:tcMar>
              <w:top w:w="0" w:type="dxa"/>
              <w:left w:w="108" w:type="dxa"/>
              <w:bottom w:w="0" w:type="dxa"/>
              <w:right w:w="108" w:type="dxa"/>
            </w:tcMar>
            <w:vAlign w:val="center"/>
          </w:tcPr>
          <w:p w14:paraId="7AB47F0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17,993.53</w:t>
            </w:r>
          </w:p>
        </w:tc>
        <w:tc>
          <w:tcPr>
            <w:tcW w:w="2036" w:type="dxa"/>
            <w:shd w:val="clear" w:color="auto" w:fill="auto"/>
            <w:tcMar>
              <w:top w:w="0" w:type="dxa"/>
              <w:left w:w="108" w:type="dxa"/>
              <w:bottom w:w="0" w:type="dxa"/>
              <w:right w:w="108" w:type="dxa"/>
            </w:tcMar>
            <w:vAlign w:val="center"/>
          </w:tcPr>
          <w:p w14:paraId="797AD0D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15,250.81</w:t>
            </w:r>
          </w:p>
        </w:tc>
        <w:tc>
          <w:tcPr>
            <w:tcW w:w="2246" w:type="dxa"/>
            <w:shd w:val="clear" w:color="auto" w:fill="auto"/>
            <w:tcMar>
              <w:top w:w="0" w:type="dxa"/>
              <w:left w:w="108" w:type="dxa"/>
              <w:bottom w:w="0" w:type="dxa"/>
              <w:right w:w="108" w:type="dxa"/>
            </w:tcMar>
            <w:vAlign w:val="center"/>
          </w:tcPr>
          <w:p w14:paraId="77AAAE1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12,597.71</w:t>
            </w:r>
          </w:p>
        </w:tc>
      </w:tr>
      <w:tr w:rsidR="006416B0" w:rsidRPr="00B4515A" w14:paraId="2BF42C2D"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A7D401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合同资产</w:t>
            </w:r>
          </w:p>
        </w:tc>
        <w:tc>
          <w:tcPr>
            <w:tcW w:w="2036" w:type="dxa"/>
            <w:shd w:val="clear" w:color="auto" w:fill="auto"/>
            <w:tcMar>
              <w:top w:w="0" w:type="dxa"/>
              <w:left w:w="108" w:type="dxa"/>
              <w:bottom w:w="0" w:type="dxa"/>
              <w:right w:w="108" w:type="dxa"/>
            </w:tcMar>
            <w:vAlign w:val="center"/>
          </w:tcPr>
          <w:p w14:paraId="52117F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0465E72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5461187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098EBF2"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514F94D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持有待售资产</w:t>
            </w:r>
          </w:p>
        </w:tc>
        <w:tc>
          <w:tcPr>
            <w:tcW w:w="2036" w:type="dxa"/>
            <w:shd w:val="clear" w:color="auto" w:fill="auto"/>
            <w:tcMar>
              <w:top w:w="0" w:type="dxa"/>
              <w:left w:w="108" w:type="dxa"/>
              <w:bottom w:w="0" w:type="dxa"/>
              <w:right w:w="108" w:type="dxa"/>
            </w:tcMar>
            <w:vAlign w:val="center"/>
          </w:tcPr>
          <w:p w14:paraId="750EA5F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E010F9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19BF728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CE9E0B4"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5A0936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一年内到期的非流动资产</w:t>
            </w:r>
          </w:p>
        </w:tc>
        <w:tc>
          <w:tcPr>
            <w:tcW w:w="2036" w:type="dxa"/>
            <w:shd w:val="clear" w:color="auto" w:fill="auto"/>
            <w:tcMar>
              <w:top w:w="0" w:type="dxa"/>
              <w:left w:w="108" w:type="dxa"/>
              <w:bottom w:w="0" w:type="dxa"/>
              <w:right w:w="108" w:type="dxa"/>
            </w:tcMar>
            <w:vAlign w:val="center"/>
          </w:tcPr>
          <w:p w14:paraId="5C42E2B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0D00E86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76E0109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184E602"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035E1D8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其他流动资产</w:t>
            </w:r>
          </w:p>
        </w:tc>
        <w:tc>
          <w:tcPr>
            <w:tcW w:w="2036" w:type="dxa"/>
            <w:shd w:val="clear" w:color="auto" w:fill="auto"/>
            <w:tcMar>
              <w:top w:w="0" w:type="dxa"/>
              <w:left w:w="108" w:type="dxa"/>
              <w:bottom w:w="0" w:type="dxa"/>
              <w:right w:w="108" w:type="dxa"/>
            </w:tcMar>
            <w:vAlign w:val="center"/>
          </w:tcPr>
          <w:p w14:paraId="4C9E959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25.23</w:t>
            </w:r>
          </w:p>
        </w:tc>
        <w:tc>
          <w:tcPr>
            <w:tcW w:w="2036" w:type="dxa"/>
            <w:shd w:val="clear" w:color="auto" w:fill="auto"/>
            <w:tcMar>
              <w:top w:w="0" w:type="dxa"/>
              <w:left w:w="108" w:type="dxa"/>
              <w:bottom w:w="0" w:type="dxa"/>
              <w:right w:w="108" w:type="dxa"/>
            </w:tcMar>
            <w:vAlign w:val="center"/>
          </w:tcPr>
          <w:p w14:paraId="7ADE60E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93.73</w:t>
            </w:r>
          </w:p>
        </w:tc>
        <w:tc>
          <w:tcPr>
            <w:tcW w:w="2246" w:type="dxa"/>
            <w:shd w:val="clear" w:color="auto" w:fill="auto"/>
            <w:tcMar>
              <w:top w:w="0" w:type="dxa"/>
              <w:left w:w="108" w:type="dxa"/>
              <w:bottom w:w="0" w:type="dxa"/>
              <w:right w:w="108" w:type="dxa"/>
            </w:tcMar>
            <w:vAlign w:val="center"/>
          </w:tcPr>
          <w:p w14:paraId="403878F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466AE51"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278AB7F"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流动资产合计</w:t>
            </w:r>
          </w:p>
        </w:tc>
        <w:tc>
          <w:tcPr>
            <w:tcW w:w="2036" w:type="dxa"/>
            <w:shd w:val="clear" w:color="auto" w:fill="auto"/>
            <w:tcMar>
              <w:top w:w="0" w:type="dxa"/>
              <w:left w:w="108" w:type="dxa"/>
              <w:bottom w:w="0" w:type="dxa"/>
              <w:right w:w="108" w:type="dxa"/>
            </w:tcMar>
            <w:vAlign w:val="center"/>
          </w:tcPr>
          <w:p w14:paraId="1A582000"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118,212.87</w:t>
            </w:r>
          </w:p>
        </w:tc>
        <w:tc>
          <w:tcPr>
            <w:tcW w:w="2036" w:type="dxa"/>
            <w:shd w:val="clear" w:color="auto" w:fill="auto"/>
            <w:tcMar>
              <w:top w:w="0" w:type="dxa"/>
              <w:left w:w="108" w:type="dxa"/>
              <w:bottom w:w="0" w:type="dxa"/>
              <w:right w:w="108" w:type="dxa"/>
            </w:tcMar>
            <w:vAlign w:val="center"/>
          </w:tcPr>
          <w:p w14:paraId="41D05307"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59,730.91</w:t>
            </w:r>
          </w:p>
        </w:tc>
        <w:tc>
          <w:tcPr>
            <w:tcW w:w="2246" w:type="dxa"/>
            <w:shd w:val="clear" w:color="auto" w:fill="auto"/>
            <w:tcMar>
              <w:top w:w="0" w:type="dxa"/>
              <w:left w:w="108" w:type="dxa"/>
              <w:bottom w:w="0" w:type="dxa"/>
              <w:right w:w="108" w:type="dxa"/>
            </w:tcMar>
            <w:vAlign w:val="center"/>
          </w:tcPr>
          <w:p w14:paraId="700E01C4"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47,522.57</w:t>
            </w:r>
          </w:p>
        </w:tc>
      </w:tr>
      <w:tr w:rsidR="006416B0" w:rsidRPr="00B4515A" w14:paraId="150C763F"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523A4BD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非流动资产：</w:t>
            </w:r>
          </w:p>
        </w:tc>
        <w:tc>
          <w:tcPr>
            <w:tcW w:w="2036" w:type="dxa"/>
            <w:shd w:val="clear" w:color="auto" w:fill="auto"/>
            <w:tcMar>
              <w:top w:w="0" w:type="dxa"/>
              <w:left w:w="108" w:type="dxa"/>
              <w:bottom w:w="0" w:type="dxa"/>
              <w:right w:w="108" w:type="dxa"/>
            </w:tcMar>
            <w:vAlign w:val="center"/>
          </w:tcPr>
          <w:p w14:paraId="217C5EF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3B53AD6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14301E7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F83CFD2"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A21144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发放贷款和垫款</w:t>
            </w:r>
          </w:p>
        </w:tc>
        <w:tc>
          <w:tcPr>
            <w:tcW w:w="2036" w:type="dxa"/>
            <w:shd w:val="clear" w:color="auto" w:fill="auto"/>
            <w:tcMar>
              <w:top w:w="0" w:type="dxa"/>
              <w:left w:w="108" w:type="dxa"/>
              <w:bottom w:w="0" w:type="dxa"/>
              <w:right w:w="108" w:type="dxa"/>
            </w:tcMar>
            <w:vAlign w:val="center"/>
          </w:tcPr>
          <w:p w14:paraId="02137C8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09DECC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0590CFE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B38D5FC"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EC8600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债权投资</w:t>
            </w:r>
          </w:p>
        </w:tc>
        <w:tc>
          <w:tcPr>
            <w:tcW w:w="2036" w:type="dxa"/>
            <w:shd w:val="clear" w:color="auto" w:fill="auto"/>
            <w:tcMar>
              <w:top w:w="0" w:type="dxa"/>
              <w:left w:w="108" w:type="dxa"/>
              <w:bottom w:w="0" w:type="dxa"/>
              <w:right w:w="108" w:type="dxa"/>
            </w:tcMar>
            <w:vAlign w:val="center"/>
          </w:tcPr>
          <w:p w14:paraId="081934A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A06B0E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7DBD88D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AD048B4"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E7611D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可供出售金融资产</w:t>
            </w:r>
          </w:p>
        </w:tc>
        <w:tc>
          <w:tcPr>
            <w:tcW w:w="2036" w:type="dxa"/>
            <w:shd w:val="clear" w:color="auto" w:fill="auto"/>
            <w:tcMar>
              <w:top w:w="0" w:type="dxa"/>
              <w:left w:w="108" w:type="dxa"/>
              <w:bottom w:w="0" w:type="dxa"/>
              <w:right w:w="108" w:type="dxa"/>
            </w:tcMar>
            <w:vAlign w:val="center"/>
          </w:tcPr>
          <w:p w14:paraId="12984C1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77ABCB1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149C4A0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FBC1729"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338205A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其他债权投资</w:t>
            </w:r>
          </w:p>
        </w:tc>
        <w:tc>
          <w:tcPr>
            <w:tcW w:w="2036" w:type="dxa"/>
            <w:shd w:val="clear" w:color="auto" w:fill="auto"/>
            <w:tcMar>
              <w:top w:w="0" w:type="dxa"/>
              <w:left w:w="108" w:type="dxa"/>
              <w:bottom w:w="0" w:type="dxa"/>
              <w:right w:w="108" w:type="dxa"/>
            </w:tcMar>
            <w:vAlign w:val="center"/>
          </w:tcPr>
          <w:p w14:paraId="1E1F662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359DDC0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040DC7F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4E20E91"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0DD132A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持有至到期投资</w:t>
            </w:r>
          </w:p>
        </w:tc>
        <w:tc>
          <w:tcPr>
            <w:tcW w:w="2036" w:type="dxa"/>
            <w:shd w:val="clear" w:color="auto" w:fill="auto"/>
            <w:tcMar>
              <w:top w:w="0" w:type="dxa"/>
              <w:left w:w="108" w:type="dxa"/>
              <w:bottom w:w="0" w:type="dxa"/>
              <w:right w:w="108" w:type="dxa"/>
            </w:tcMar>
            <w:vAlign w:val="center"/>
          </w:tcPr>
          <w:p w14:paraId="2D8FD67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0223E29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35B7526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FF2EF5E"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F55C1E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lastRenderedPageBreak/>
              <w:t>长期应收款</w:t>
            </w:r>
          </w:p>
        </w:tc>
        <w:tc>
          <w:tcPr>
            <w:tcW w:w="2036" w:type="dxa"/>
            <w:shd w:val="clear" w:color="auto" w:fill="auto"/>
            <w:tcMar>
              <w:top w:w="0" w:type="dxa"/>
              <w:left w:w="108" w:type="dxa"/>
              <w:bottom w:w="0" w:type="dxa"/>
              <w:right w:w="108" w:type="dxa"/>
            </w:tcMar>
            <w:vAlign w:val="center"/>
          </w:tcPr>
          <w:p w14:paraId="17FC334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147F08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7FE42F2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6CAACE0"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55D5EC7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长期股权投资</w:t>
            </w:r>
          </w:p>
        </w:tc>
        <w:tc>
          <w:tcPr>
            <w:tcW w:w="2036" w:type="dxa"/>
            <w:shd w:val="clear" w:color="auto" w:fill="auto"/>
            <w:tcMar>
              <w:top w:w="0" w:type="dxa"/>
              <w:left w:w="108" w:type="dxa"/>
              <w:bottom w:w="0" w:type="dxa"/>
              <w:right w:w="108" w:type="dxa"/>
            </w:tcMar>
            <w:vAlign w:val="center"/>
          </w:tcPr>
          <w:p w14:paraId="0ADEAE0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1BC675D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27A2ACC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8E92763"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4856E6C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其他权益工具投资</w:t>
            </w:r>
          </w:p>
        </w:tc>
        <w:tc>
          <w:tcPr>
            <w:tcW w:w="2036" w:type="dxa"/>
            <w:shd w:val="clear" w:color="auto" w:fill="auto"/>
            <w:tcMar>
              <w:top w:w="0" w:type="dxa"/>
              <w:left w:w="108" w:type="dxa"/>
              <w:bottom w:w="0" w:type="dxa"/>
              <w:right w:w="108" w:type="dxa"/>
            </w:tcMar>
            <w:vAlign w:val="center"/>
          </w:tcPr>
          <w:p w14:paraId="48DFBB6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17,931.14</w:t>
            </w:r>
          </w:p>
        </w:tc>
        <w:tc>
          <w:tcPr>
            <w:tcW w:w="2036" w:type="dxa"/>
            <w:shd w:val="clear" w:color="auto" w:fill="auto"/>
            <w:tcMar>
              <w:top w:w="0" w:type="dxa"/>
              <w:left w:w="108" w:type="dxa"/>
              <w:bottom w:w="0" w:type="dxa"/>
              <w:right w:w="108" w:type="dxa"/>
            </w:tcMar>
            <w:vAlign w:val="center"/>
          </w:tcPr>
          <w:p w14:paraId="4A2636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17,931.14</w:t>
            </w:r>
          </w:p>
        </w:tc>
        <w:tc>
          <w:tcPr>
            <w:tcW w:w="2246" w:type="dxa"/>
            <w:shd w:val="clear" w:color="auto" w:fill="auto"/>
            <w:tcMar>
              <w:top w:w="0" w:type="dxa"/>
              <w:left w:w="108" w:type="dxa"/>
              <w:bottom w:w="0" w:type="dxa"/>
              <w:right w:w="108" w:type="dxa"/>
            </w:tcMar>
            <w:vAlign w:val="center"/>
          </w:tcPr>
          <w:p w14:paraId="370DD67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16,577.50</w:t>
            </w:r>
          </w:p>
        </w:tc>
      </w:tr>
      <w:tr w:rsidR="006416B0" w:rsidRPr="00B4515A" w14:paraId="5A4C17AD"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398D57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其他非流动金融资产</w:t>
            </w:r>
          </w:p>
        </w:tc>
        <w:tc>
          <w:tcPr>
            <w:tcW w:w="2036" w:type="dxa"/>
            <w:shd w:val="clear" w:color="auto" w:fill="auto"/>
            <w:tcMar>
              <w:top w:w="0" w:type="dxa"/>
              <w:left w:w="108" w:type="dxa"/>
              <w:bottom w:w="0" w:type="dxa"/>
              <w:right w:w="108" w:type="dxa"/>
            </w:tcMar>
            <w:vAlign w:val="center"/>
          </w:tcPr>
          <w:p w14:paraId="6942CBB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28D106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38BA333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F12A560"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34353F5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投资性房地产</w:t>
            </w:r>
          </w:p>
        </w:tc>
        <w:tc>
          <w:tcPr>
            <w:tcW w:w="2036" w:type="dxa"/>
            <w:shd w:val="clear" w:color="auto" w:fill="auto"/>
            <w:tcMar>
              <w:top w:w="0" w:type="dxa"/>
              <w:left w:w="108" w:type="dxa"/>
              <w:bottom w:w="0" w:type="dxa"/>
              <w:right w:w="108" w:type="dxa"/>
            </w:tcMar>
            <w:vAlign w:val="center"/>
          </w:tcPr>
          <w:p w14:paraId="79CC7B6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34A6BCC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7BA4746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501A43C"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395F4DC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固定资产</w:t>
            </w:r>
          </w:p>
        </w:tc>
        <w:tc>
          <w:tcPr>
            <w:tcW w:w="2036" w:type="dxa"/>
            <w:shd w:val="clear" w:color="auto" w:fill="auto"/>
            <w:tcMar>
              <w:top w:w="0" w:type="dxa"/>
              <w:left w:w="108" w:type="dxa"/>
              <w:bottom w:w="0" w:type="dxa"/>
              <w:right w:w="108" w:type="dxa"/>
            </w:tcMar>
            <w:vAlign w:val="center"/>
          </w:tcPr>
          <w:p w14:paraId="1837DFE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2,921.82</w:t>
            </w:r>
          </w:p>
        </w:tc>
        <w:tc>
          <w:tcPr>
            <w:tcW w:w="2036" w:type="dxa"/>
            <w:shd w:val="clear" w:color="auto" w:fill="auto"/>
            <w:tcMar>
              <w:top w:w="0" w:type="dxa"/>
              <w:left w:w="108" w:type="dxa"/>
              <w:bottom w:w="0" w:type="dxa"/>
              <w:right w:w="108" w:type="dxa"/>
            </w:tcMar>
            <w:vAlign w:val="center"/>
          </w:tcPr>
          <w:p w14:paraId="329475A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3,113.01</w:t>
            </w:r>
          </w:p>
        </w:tc>
        <w:tc>
          <w:tcPr>
            <w:tcW w:w="2246" w:type="dxa"/>
            <w:shd w:val="clear" w:color="auto" w:fill="auto"/>
            <w:tcMar>
              <w:top w:w="0" w:type="dxa"/>
              <w:left w:w="108" w:type="dxa"/>
              <w:bottom w:w="0" w:type="dxa"/>
              <w:right w:w="108" w:type="dxa"/>
            </w:tcMar>
            <w:vAlign w:val="center"/>
          </w:tcPr>
          <w:p w14:paraId="047198D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3,266.19</w:t>
            </w:r>
          </w:p>
        </w:tc>
      </w:tr>
      <w:tr w:rsidR="006416B0" w:rsidRPr="00B4515A" w14:paraId="1C3CE417"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B065EB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在建工程</w:t>
            </w:r>
          </w:p>
        </w:tc>
        <w:tc>
          <w:tcPr>
            <w:tcW w:w="2036" w:type="dxa"/>
            <w:shd w:val="clear" w:color="auto" w:fill="auto"/>
            <w:tcMar>
              <w:top w:w="0" w:type="dxa"/>
              <w:left w:w="108" w:type="dxa"/>
              <w:bottom w:w="0" w:type="dxa"/>
              <w:right w:w="108" w:type="dxa"/>
            </w:tcMar>
            <w:vAlign w:val="center"/>
          </w:tcPr>
          <w:p w14:paraId="3E6DB42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11A441D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204.50</w:t>
            </w:r>
          </w:p>
        </w:tc>
        <w:tc>
          <w:tcPr>
            <w:tcW w:w="2246" w:type="dxa"/>
            <w:shd w:val="clear" w:color="auto" w:fill="auto"/>
            <w:tcMar>
              <w:top w:w="0" w:type="dxa"/>
              <w:left w:w="108" w:type="dxa"/>
              <w:bottom w:w="0" w:type="dxa"/>
              <w:right w:w="108" w:type="dxa"/>
            </w:tcMar>
            <w:vAlign w:val="center"/>
          </w:tcPr>
          <w:p w14:paraId="657D8AA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137.84</w:t>
            </w:r>
          </w:p>
        </w:tc>
      </w:tr>
      <w:tr w:rsidR="006416B0" w:rsidRPr="00B4515A" w14:paraId="33DCA36B"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706FB6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生产性生物资产</w:t>
            </w:r>
          </w:p>
        </w:tc>
        <w:tc>
          <w:tcPr>
            <w:tcW w:w="2036" w:type="dxa"/>
            <w:shd w:val="clear" w:color="auto" w:fill="auto"/>
            <w:tcMar>
              <w:top w:w="0" w:type="dxa"/>
              <w:left w:w="108" w:type="dxa"/>
              <w:bottom w:w="0" w:type="dxa"/>
              <w:right w:w="108" w:type="dxa"/>
            </w:tcMar>
            <w:vAlign w:val="center"/>
          </w:tcPr>
          <w:p w14:paraId="11E78F5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7B72A5D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7850190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9D589CF"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3276082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油气资产</w:t>
            </w:r>
          </w:p>
        </w:tc>
        <w:tc>
          <w:tcPr>
            <w:tcW w:w="2036" w:type="dxa"/>
            <w:shd w:val="clear" w:color="auto" w:fill="auto"/>
            <w:tcMar>
              <w:top w:w="0" w:type="dxa"/>
              <w:left w:w="108" w:type="dxa"/>
              <w:bottom w:w="0" w:type="dxa"/>
              <w:right w:w="108" w:type="dxa"/>
            </w:tcMar>
            <w:vAlign w:val="center"/>
          </w:tcPr>
          <w:p w14:paraId="75248B0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15F7505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4BD29CC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E8DAB53"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4014AC4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使用权资产</w:t>
            </w:r>
          </w:p>
        </w:tc>
        <w:tc>
          <w:tcPr>
            <w:tcW w:w="2036" w:type="dxa"/>
            <w:shd w:val="clear" w:color="auto" w:fill="auto"/>
            <w:tcMar>
              <w:top w:w="0" w:type="dxa"/>
              <w:left w:w="108" w:type="dxa"/>
              <w:bottom w:w="0" w:type="dxa"/>
              <w:right w:w="108" w:type="dxa"/>
            </w:tcMar>
            <w:vAlign w:val="center"/>
          </w:tcPr>
          <w:p w14:paraId="7422171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4,181.32</w:t>
            </w:r>
          </w:p>
        </w:tc>
        <w:tc>
          <w:tcPr>
            <w:tcW w:w="2036" w:type="dxa"/>
            <w:shd w:val="clear" w:color="auto" w:fill="auto"/>
            <w:tcMar>
              <w:top w:w="0" w:type="dxa"/>
              <w:left w:w="108" w:type="dxa"/>
              <w:bottom w:w="0" w:type="dxa"/>
              <w:right w:w="108" w:type="dxa"/>
            </w:tcMar>
            <w:vAlign w:val="center"/>
          </w:tcPr>
          <w:p w14:paraId="5ADC3AB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4DC4B62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B0CFA02"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BF253D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无形资产</w:t>
            </w:r>
          </w:p>
        </w:tc>
        <w:tc>
          <w:tcPr>
            <w:tcW w:w="2036" w:type="dxa"/>
            <w:shd w:val="clear" w:color="auto" w:fill="auto"/>
            <w:tcMar>
              <w:top w:w="0" w:type="dxa"/>
              <w:left w:w="108" w:type="dxa"/>
              <w:bottom w:w="0" w:type="dxa"/>
              <w:right w:w="108" w:type="dxa"/>
            </w:tcMar>
            <w:vAlign w:val="center"/>
          </w:tcPr>
          <w:p w14:paraId="4A880E6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5,316.96</w:t>
            </w:r>
          </w:p>
        </w:tc>
        <w:tc>
          <w:tcPr>
            <w:tcW w:w="2036" w:type="dxa"/>
            <w:shd w:val="clear" w:color="auto" w:fill="auto"/>
            <w:tcMar>
              <w:top w:w="0" w:type="dxa"/>
              <w:left w:w="108" w:type="dxa"/>
              <w:bottom w:w="0" w:type="dxa"/>
              <w:right w:w="108" w:type="dxa"/>
            </w:tcMar>
            <w:vAlign w:val="center"/>
          </w:tcPr>
          <w:p w14:paraId="609DDD2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5,470.80</w:t>
            </w:r>
          </w:p>
        </w:tc>
        <w:tc>
          <w:tcPr>
            <w:tcW w:w="2246" w:type="dxa"/>
            <w:shd w:val="clear" w:color="auto" w:fill="auto"/>
            <w:tcMar>
              <w:top w:w="0" w:type="dxa"/>
              <w:left w:w="108" w:type="dxa"/>
              <w:bottom w:w="0" w:type="dxa"/>
              <w:right w:w="108" w:type="dxa"/>
            </w:tcMar>
            <w:vAlign w:val="center"/>
          </w:tcPr>
          <w:p w14:paraId="23395F6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2,006.23</w:t>
            </w:r>
          </w:p>
        </w:tc>
      </w:tr>
      <w:tr w:rsidR="006416B0" w:rsidRPr="00B4515A" w14:paraId="0F639487"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BDFFC8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开发支出</w:t>
            </w:r>
          </w:p>
        </w:tc>
        <w:tc>
          <w:tcPr>
            <w:tcW w:w="2036" w:type="dxa"/>
            <w:shd w:val="clear" w:color="auto" w:fill="auto"/>
            <w:tcMar>
              <w:top w:w="0" w:type="dxa"/>
              <w:left w:w="108" w:type="dxa"/>
              <w:bottom w:w="0" w:type="dxa"/>
              <w:right w:w="108" w:type="dxa"/>
            </w:tcMar>
            <w:vAlign w:val="center"/>
          </w:tcPr>
          <w:p w14:paraId="0AE7FD7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1,944.83</w:t>
            </w:r>
          </w:p>
        </w:tc>
        <w:tc>
          <w:tcPr>
            <w:tcW w:w="2036" w:type="dxa"/>
            <w:shd w:val="clear" w:color="auto" w:fill="auto"/>
            <w:tcMar>
              <w:top w:w="0" w:type="dxa"/>
              <w:left w:w="108" w:type="dxa"/>
              <w:bottom w:w="0" w:type="dxa"/>
              <w:right w:w="108" w:type="dxa"/>
            </w:tcMar>
            <w:vAlign w:val="center"/>
          </w:tcPr>
          <w:p w14:paraId="00F4B00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648.09</w:t>
            </w:r>
          </w:p>
        </w:tc>
        <w:tc>
          <w:tcPr>
            <w:tcW w:w="2246" w:type="dxa"/>
            <w:shd w:val="clear" w:color="auto" w:fill="auto"/>
            <w:tcMar>
              <w:top w:w="0" w:type="dxa"/>
              <w:left w:w="108" w:type="dxa"/>
              <w:bottom w:w="0" w:type="dxa"/>
              <w:right w:w="108" w:type="dxa"/>
            </w:tcMar>
            <w:vAlign w:val="center"/>
          </w:tcPr>
          <w:p w14:paraId="4610D90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2,363.75</w:t>
            </w:r>
          </w:p>
        </w:tc>
      </w:tr>
      <w:tr w:rsidR="006416B0" w:rsidRPr="00B4515A" w14:paraId="67BD850D"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A45C4F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商誉</w:t>
            </w:r>
          </w:p>
        </w:tc>
        <w:tc>
          <w:tcPr>
            <w:tcW w:w="2036" w:type="dxa"/>
            <w:shd w:val="clear" w:color="auto" w:fill="auto"/>
            <w:tcMar>
              <w:top w:w="0" w:type="dxa"/>
              <w:left w:w="108" w:type="dxa"/>
              <w:bottom w:w="0" w:type="dxa"/>
              <w:right w:w="108" w:type="dxa"/>
            </w:tcMar>
            <w:vAlign w:val="center"/>
          </w:tcPr>
          <w:p w14:paraId="61A18A2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0D3EA96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37F5B21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4195E75"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CA6311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长期待摊费用</w:t>
            </w:r>
          </w:p>
        </w:tc>
        <w:tc>
          <w:tcPr>
            <w:tcW w:w="2036" w:type="dxa"/>
            <w:shd w:val="clear" w:color="auto" w:fill="auto"/>
            <w:tcMar>
              <w:top w:w="0" w:type="dxa"/>
              <w:left w:w="108" w:type="dxa"/>
              <w:bottom w:w="0" w:type="dxa"/>
              <w:right w:w="108" w:type="dxa"/>
            </w:tcMar>
            <w:vAlign w:val="center"/>
          </w:tcPr>
          <w:p w14:paraId="3EB72D3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68.93</w:t>
            </w:r>
          </w:p>
        </w:tc>
        <w:tc>
          <w:tcPr>
            <w:tcW w:w="2036" w:type="dxa"/>
            <w:shd w:val="clear" w:color="auto" w:fill="auto"/>
            <w:tcMar>
              <w:top w:w="0" w:type="dxa"/>
              <w:left w:w="108" w:type="dxa"/>
              <w:bottom w:w="0" w:type="dxa"/>
              <w:right w:w="108" w:type="dxa"/>
            </w:tcMar>
            <w:vAlign w:val="center"/>
          </w:tcPr>
          <w:p w14:paraId="144F087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99.97</w:t>
            </w:r>
          </w:p>
        </w:tc>
        <w:tc>
          <w:tcPr>
            <w:tcW w:w="2246" w:type="dxa"/>
            <w:shd w:val="clear" w:color="auto" w:fill="auto"/>
            <w:tcMar>
              <w:top w:w="0" w:type="dxa"/>
              <w:left w:w="108" w:type="dxa"/>
              <w:bottom w:w="0" w:type="dxa"/>
              <w:right w:w="108" w:type="dxa"/>
            </w:tcMar>
            <w:vAlign w:val="center"/>
          </w:tcPr>
          <w:p w14:paraId="3704F43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132.89</w:t>
            </w:r>
          </w:p>
        </w:tc>
      </w:tr>
      <w:tr w:rsidR="006416B0" w:rsidRPr="00B4515A" w14:paraId="2665D2E3"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C499A1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递延所得税资产</w:t>
            </w:r>
          </w:p>
        </w:tc>
        <w:tc>
          <w:tcPr>
            <w:tcW w:w="2036" w:type="dxa"/>
            <w:shd w:val="clear" w:color="auto" w:fill="auto"/>
            <w:tcMar>
              <w:top w:w="0" w:type="dxa"/>
              <w:left w:w="108" w:type="dxa"/>
              <w:bottom w:w="0" w:type="dxa"/>
              <w:right w:w="108" w:type="dxa"/>
            </w:tcMar>
            <w:vAlign w:val="center"/>
          </w:tcPr>
          <w:p w14:paraId="5EA9AAF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2E119A2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7452C53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0F1D87A"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B580F9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其他非流动资产</w:t>
            </w:r>
          </w:p>
        </w:tc>
        <w:tc>
          <w:tcPr>
            <w:tcW w:w="2036" w:type="dxa"/>
            <w:shd w:val="clear" w:color="auto" w:fill="auto"/>
            <w:tcMar>
              <w:top w:w="0" w:type="dxa"/>
              <w:left w:w="108" w:type="dxa"/>
              <w:bottom w:w="0" w:type="dxa"/>
              <w:right w:w="108" w:type="dxa"/>
            </w:tcMar>
            <w:vAlign w:val="center"/>
          </w:tcPr>
          <w:p w14:paraId="6C5A74A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653B483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2E4D924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8FDCE3C"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090AB7FC"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非流动资产合计</w:t>
            </w:r>
          </w:p>
        </w:tc>
        <w:tc>
          <w:tcPr>
            <w:tcW w:w="2036" w:type="dxa"/>
            <w:shd w:val="clear" w:color="auto" w:fill="auto"/>
            <w:tcMar>
              <w:top w:w="0" w:type="dxa"/>
              <w:left w:w="108" w:type="dxa"/>
              <w:bottom w:w="0" w:type="dxa"/>
              <w:right w:w="108" w:type="dxa"/>
            </w:tcMar>
            <w:vAlign w:val="center"/>
          </w:tcPr>
          <w:p w14:paraId="7B40F52B"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32,365.01</w:t>
            </w:r>
          </w:p>
        </w:tc>
        <w:tc>
          <w:tcPr>
            <w:tcW w:w="2036" w:type="dxa"/>
            <w:shd w:val="clear" w:color="auto" w:fill="auto"/>
            <w:tcMar>
              <w:top w:w="0" w:type="dxa"/>
              <w:left w:w="108" w:type="dxa"/>
              <w:bottom w:w="0" w:type="dxa"/>
              <w:right w:w="108" w:type="dxa"/>
            </w:tcMar>
            <w:vAlign w:val="center"/>
          </w:tcPr>
          <w:p w14:paraId="060A5C6C"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27,467.50</w:t>
            </w:r>
          </w:p>
        </w:tc>
        <w:tc>
          <w:tcPr>
            <w:tcW w:w="2246" w:type="dxa"/>
            <w:shd w:val="clear" w:color="auto" w:fill="auto"/>
            <w:tcMar>
              <w:top w:w="0" w:type="dxa"/>
              <w:left w:w="108" w:type="dxa"/>
              <w:bottom w:w="0" w:type="dxa"/>
              <w:right w:w="108" w:type="dxa"/>
            </w:tcMar>
            <w:vAlign w:val="center"/>
          </w:tcPr>
          <w:p w14:paraId="568860FE"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24,484.41</w:t>
            </w:r>
          </w:p>
        </w:tc>
      </w:tr>
      <w:tr w:rsidR="006416B0" w:rsidRPr="00B4515A" w14:paraId="1B6BBDB6"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4BDDA518"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资产总计</w:t>
            </w:r>
          </w:p>
        </w:tc>
        <w:tc>
          <w:tcPr>
            <w:tcW w:w="2036" w:type="dxa"/>
            <w:shd w:val="clear" w:color="auto" w:fill="auto"/>
            <w:tcMar>
              <w:top w:w="0" w:type="dxa"/>
              <w:left w:w="108" w:type="dxa"/>
              <w:bottom w:w="0" w:type="dxa"/>
              <w:right w:w="108" w:type="dxa"/>
            </w:tcMar>
            <w:vAlign w:val="center"/>
          </w:tcPr>
          <w:p w14:paraId="111366A2"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150,577.88</w:t>
            </w:r>
          </w:p>
        </w:tc>
        <w:tc>
          <w:tcPr>
            <w:tcW w:w="2036" w:type="dxa"/>
            <w:shd w:val="clear" w:color="auto" w:fill="auto"/>
            <w:tcMar>
              <w:top w:w="0" w:type="dxa"/>
              <w:left w:w="108" w:type="dxa"/>
              <w:bottom w:w="0" w:type="dxa"/>
              <w:right w:w="108" w:type="dxa"/>
            </w:tcMar>
            <w:vAlign w:val="center"/>
          </w:tcPr>
          <w:p w14:paraId="30551152"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87,198.41</w:t>
            </w:r>
          </w:p>
        </w:tc>
        <w:tc>
          <w:tcPr>
            <w:tcW w:w="2246" w:type="dxa"/>
            <w:shd w:val="clear" w:color="auto" w:fill="auto"/>
            <w:tcMar>
              <w:top w:w="0" w:type="dxa"/>
              <w:left w:w="108" w:type="dxa"/>
              <w:bottom w:w="0" w:type="dxa"/>
              <w:right w:w="108" w:type="dxa"/>
            </w:tcMar>
            <w:vAlign w:val="center"/>
          </w:tcPr>
          <w:p w14:paraId="4A8640AB"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72,006.98</w:t>
            </w:r>
          </w:p>
        </w:tc>
      </w:tr>
      <w:tr w:rsidR="006416B0" w:rsidRPr="00B4515A" w14:paraId="5BDA96E2"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0F599D9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流动负债：</w:t>
            </w:r>
          </w:p>
        </w:tc>
        <w:tc>
          <w:tcPr>
            <w:tcW w:w="2036" w:type="dxa"/>
            <w:shd w:val="clear" w:color="auto" w:fill="auto"/>
            <w:tcMar>
              <w:top w:w="0" w:type="dxa"/>
              <w:left w:w="108" w:type="dxa"/>
              <w:bottom w:w="0" w:type="dxa"/>
              <w:right w:w="108" w:type="dxa"/>
            </w:tcMar>
            <w:vAlign w:val="center"/>
          </w:tcPr>
          <w:p w14:paraId="7BFEDB8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7B39B78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70432B2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B2BE368"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BDB4CB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短期借款</w:t>
            </w:r>
          </w:p>
        </w:tc>
        <w:tc>
          <w:tcPr>
            <w:tcW w:w="2036" w:type="dxa"/>
            <w:shd w:val="clear" w:color="auto" w:fill="auto"/>
            <w:tcMar>
              <w:top w:w="0" w:type="dxa"/>
              <w:left w:w="108" w:type="dxa"/>
              <w:bottom w:w="0" w:type="dxa"/>
              <w:right w:w="108" w:type="dxa"/>
            </w:tcMar>
            <w:vAlign w:val="center"/>
          </w:tcPr>
          <w:p w14:paraId="571B08E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12,954.23</w:t>
            </w:r>
          </w:p>
        </w:tc>
        <w:tc>
          <w:tcPr>
            <w:tcW w:w="2036" w:type="dxa"/>
            <w:shd w:val="clear" w:color="auto" w:fill="auto"/>
            <w:tcMar>
              <w:top w:w="0" w:type="dxa"/>
              <w:left w:w="108" w:type="dxa"/>
              <w:bottom w:w="0" w:type="dxa"/>
              <w:right w:w="108" w:type="dxa"/>
            </w:tcMar>
            <w:vAlign w:val="center"/>
          </w:tcPr>
          <w:p w14:paraId="4331930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15,953.22</w:t>
            </w:r>
          </w:p>
        </w:tc>
        <w:tc>
          <w:tcPr>
            <w:tcW w:w="2246" w:type="dxa"/>
            <w:shd w:val="clear" w:color="auto" w:fill="auto"/>
            <w:tcMar>
              <w:top w:w="0" w:type="dxa"/>
              <w:left w:w="108" w:type="dxa"/>
              <w:bottom w:w="0" w:type="dxa"/>
              <w:right w:w="108" w:type="dxa"/>
            </w:tcMar>
            <w:vAlign w:val="center"/>
          </w:tcPr>
          <w:p w14:paraId="5FE18EB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9,969.94</w:t>
            </w:r>
          </w:p>
        </w:tc>
      </w:tr>
      <w:tr w:rsidR="006416B0" w:rsidRPr="00B4515A" w14:paraId="1A6BEDBA"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0DBFF51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向中央银行借款</w:t>
            </w:r>
          </w:p>
        </w:tc>
        <w:tc>
          <w:tcPr>
            <w:tcW w:w="2036" w:type="dxa"/>
            <w:shd w:val="clear" w:color="auto" w:fill="auto"/>
            <w:tcMar>
              <w:top w:w="0" w:type="dxa"/>
              <w:left w:w="108" w:type="dxa"/>
              <w:bottom w:w="0" w:type="dxa"/>
              <w:right w:w="108" w:type="dxa"/>
            </w:tcMar>
            <w:vAlign w:val="center"/>
          </w:tcPr>
          <w:p w14:paraId="1829FA7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1D7AD79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0CAE6BD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58A8012"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398BAB2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拆入资金</w:t>
            </w:r>
          </w:p>
        </w:tc>
        <w:tc>
          <w:tcPr>
            <w:tcW w:w="2036" w:type="dxa"/>
            <w:shd w:val="clear" w:color="auto" w:fill="auto"/>
            <w:tcMar>
              <w:top w:w="0" w:type="dxa"/>
              <w:left w:w="108" w:type="dxa"/>
              <w:bottom w:w="0" w:type="dxa"/>
              <w:right w:w="108" w:type="dxa"/>
            </w:tcMar>
            <w:vAlign w:val="center"/>
          </w:tcPr>
          <w:p w14:paraId="3E319B9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102A879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4AA1356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0AEE0D5"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4D5FE93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交易性金融负债</w:t>
            </w:r>
          </w:p>
        </w:tc>
        <w:tc>
          <w:tcPr>
            <w:tcW w:w="2036" w:type="dxa"/>
            <w:shd w:val="clear" w:color="auto" w:fill="auto"/>
            <w:tcMar>
              <w:top w:w="0" w:type="dxa"/>
              <w:left w:w="108" w:type="dxa"/>
              <w:bottom w:w="0" w:type="dxa"/>
              <w:right w:w="108" w:type="dxa"/>
            </w:tcMar>
            <w:vAlign w:val="center"/>
          </w:tcPr>
          <w:p w14:paraId="7383939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19C0E35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17DD526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59B6893"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FF413A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以公允价值计量且其变动计入当期损益的金融负债</w:t>
            </w:r>
          </w:p>
        </w:tc>
        <w:tc>
          <w:tcPr>
            <w:tcW w:w="2036" w:type="dxa"/>
            <w:shd w:val="clear" w:color="auto" w:fill="auto"/>
            <w:tcMar>
              <w:top w:w="0" w:type="dxa"/>
              <w:left w:w="108" w:type="dxa"/>
              <w:bottom w:w="0" w:type="dxa"/>
              <w:right w:w="108" w:type="dxa"/>
            </w:tcMar>
            <w:vAlign w:val="center"/>
          </w:tcPr>
          <w:p w14:paraId="01A4054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0C6B536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0C6C664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A97CFD0"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6079DE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衍生金融负债</w:t>
            </w:r>
          </w:p>
        </w:tc>
        <w:tc>
          <w:tcPr>
            <w:tcW w:w="2036" w:type="dxa"/>
            <w:shd w:val="clear" w:color="auto" w:fill="auto"/>
            <w:tcMar>
              <w:top w:w="0" w:type="dxa"/>
              <w:left w:w="108" w:type="dxa"/>
              <w:bottom w:w="0" w:type="dxa"/>
              <w:right w:w="108" w:type="dxa"/>
            </w:tcMar>
            <w:vAlign w:val="center"/>
          </w:tcPr>
          <w:p w14:paraId="0D4104C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12601A3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0BD94E2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9C692D7"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D0C276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应付票据</w:t>
            </w:r>
          </w:p>
        </w:tc>
        <w:tc>
          <w:tcPr>
            <w:tcW w:w="2036" w:type="dxa"/>
            <w:shd w:val="clear" w:color="auto" w:fill="auto"/>
            <w:tcMar>
              <w:top w:w="0" w:type="dxa"/>
              <w:left w:w="108" w:type="dxa"/>
              <w:bottom w:w="0" w:type="dxa"/>
              <w:right w:w="108" w:type="dxa"/>
            </w:tcMar>
            <w:vAlign w:val="center"/>
          </w:tcPr>
          <w:p w14:paraId="7650167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7979FB9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57B4AFB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9E97A44"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1FC304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应付账款</w:t>
            </w:r>
          </w:p>
        </w:tc>
        <w:tc>
          <w:tcPr>
            <w:tcW w:w="2036" w:type="dxa"/>
            <w:shd w:val="clear" w:color="auto" w:fill="auto"/>
            <w:tcMar>
              <w:top w:w="0" w:type="dxa"/>
              <w:left w:w="108" w:type="dxa"/>
              <w:bottom w:w="0" w:type="dxa"/>
              <w:right w:w="108" w:type="dxa"/>
            </w:tcMar>
            <w:vAlign w:val="center"/>
          </w:tcPr>
          <w:p w14:paraId="22D3E18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41,383.44</w:t>
            </w:r>
          </w:p>
        </w:tc>
        <w:tc>
          <w:tcPr>
            <w:tcW w:w="2036" w:type="dxa"/>
            <w:shd w:val="clear" w:color="auto" w:fill="auto"/>
            <w:tcMar>
              <w:top w:w="0" w:type="dxa"/>
              <w:left w:w="108" w:type="dxa"/>
              <w:bottom w:w="0" w:type="dxa"/>
              <w:right w:w="108" w:type="dxa"/>
            </w:tcMar>
            <w:vAlign w:val="center"/>
          </w:tcPr>
          <w:p w14:paraId="358040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41,060.15</w:t>
            </w:r>
          </w:p>
        </w:tc>
        <w:tc>
          <w:tcPr>
            <w:tcW w:w="2246" w:type="dxa"/>
            <w:shd w:val="clear" w:color="auto" w:fill="auto"/>
            <w:tcMar>
              <w:top w:w="0" w:type="dxa"/>
              <w:left w:w="108" w:type="dxa"/>
              <w:bottom w:w="0" w:type="dxa"/>
              <w:right w:w="108" w:type="dxa"/>
            </w:tcMar>
            <w:vAlign w:val="center"/>
          </w:tcPr>
          <w:p w14:paraId="142DBE4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37,839.63</w:t>
            </w:r>
          </w:p>
        </w:tc>
      </w:tr>
      <w:tr w:rsidR="006416B0" w:rsidRPr="00B4515A" w14:paraId="37631EAD"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4D045FB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预收款项</w:t>
            </w:r>
          </w:p>
        </w:tc>
        <w:tc>
          <w:tcPr>
            <w:tcW w:w="2036" w:type="dxa"/>
            <w:shd w:val="clear" w:color="auto" w:fill="auto"/>
            <w:tcMar>
              <w:top w:w="0" w:type="dxa"/>
              <w:left w:w="108" w:type="dxa"/>
              <w:bottom w:w="0" w:type="dxa"/>
              <w:right w:w="108" w:type="dxa"/>
            </w:tcMar>
            <w:vAlign w:val="center"/>
          </w:tcPr>
          <w:p w14:paraId="3BD7CCB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60D6346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14A5CAD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4,101.36</w:t>
            </w:r>
          </w:p>
        </w:tc>
      </w:tr>
      <w:tr w:rsidR="006416B0" w:rsidRPr="00B4515A" w14:paraId="05C10269"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09CAFC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合同负债</w:t>
            </w:r>
          </w:p>
        </w:tc>
        <w:tc>
          <w:tcPr>
            <w:tcW w:w="2036" w:type="dxa"/>
            <w:shd w:val="clear" w:color="auto" w:fill="auto"/>
            <w:tcMar>
              <w:top w:w="0" w:type="dxa"/>
              <w:left w:w="108" w:type="dxa"/>
              <w:bottom w:w="0" w:type="dxa"/>
              <w:right w:w="108" w:type="dxa"/>
            </w:tcMar>
            <w:vAlign w:val="center"/>
          </w:tcPr>
          <w:p w14:paraId="460F884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8,049.83</w:t>
            </w:r>
          </w:p>
        </w:tc>
        <w:tc>
          <w:tcPr>
            <w:tcW w:w="2036" w:type="dxa"/>
            <w:shd w:val="clear" w:color="auto" w:fill="auto"/>
            <w:tcMar>
              <w:top w:w="0" w:type="dxa"/>
              <w:left w:w="108" w:type="dxa"/>
              <w:bottom w:w="0" w:type="dxa"/>
              <w:right w:w="108" w:type="dxa"/>
            </w:tcMar>
            <w:vAlign w:val="center"/>
          </w:tcPr>
          <w:p w14:paraId="5CED08A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4,150.78</w:t>
            </w:r>
          </w:p>
        </w:tc>
        <w:tc>
          <w:tcPr>
            <w:tcW w:w="2246" w:type="dxa"/>
            <w:shd w:val="clear" w:color="auto" w:fill="auto"/>
            <w:tcMar>
              <w:top w:w="0" w:type="dxa"/>
              <w:left w:w="108" w:type="dxa"/>
              <w:bottom w:w="0" w:type="dxa"/>
              <w:right w:w="108" w:type="dxa"/>
            </w:tcMar>
            <w:vAlign w:val="center"/>
          </w:tcPr>
          <w:p w14:paraId="0C71D33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9FA9307"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58861B4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卖出回购金融资产款</w:t>
            </w:r>
          </w:p>
        </w:tc>
        <w:tc>
          <w:tcPr>
            <w:tcW w:w="2036" w:type="dxa"/>
            <w:shd w:val="clear" w:color="auto" w:fill="auto"/>
            <w:tcMar>
              <w:top w:w="0" w:type="dxa"/>
              <w:left w:w="108" w:type="dxa"/>
              <w:bottom w:w="0" w:type="dxa"/>
              <w:right w:w="108" w:type="dxa"/>
            </w:tcMar>
            <w:vAlign w:val="center"/>
          </w:tcPr>
          <w:p w14:paraId="2BD2832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5FD9C9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2D6D6CF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3FB544B"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CE7561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吸收存款及同业存放</w:t>
            </w:r>
          </w:p>
        </w:tc>
        <w:tc>
          <w:tcPr>
            <w:tcW w:w="2036" w:type="dxa"/>
            <w:shd w:val="clear" w:color="auto" w:fill="auto"/>
            <w:tcMar>
              <w:top w:w="0" w:type="dxa"/>
              <w:left w:w="108" w:type="dxa"/>
              <w:bottom w:w="0" w:type="dxa"/>
              <w:right w:w="108" w:type="dxa"/>
            </w:tcMar>
            <w:vAlign w:val="center"/>
          </w:tcPr>
          <w:p w14:paraId="51DDEB4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997A44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598665C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5750E57"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BDD824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代理买卖证券款</w:t>
            </w:r>
          </w:p>
        </w:tc>
        <w:tc>
          <w:tcPr>
            <w:tcW w:w="2036" w:type="dxa"/>
            <w:shd w:val="clear" w:color="auto" w:fill="auto"/>
            <w:tcMar>
              <w:top w:w="0" w:type="dxa"/>
              <w:left w:w="108" w:type="dxa"/>
              <w:bottom w:w="0" w:type="dxa"/>
              <w:right w:w="108" w:type="dxa"/>
            </w:tcMar>
            <w:vAlign w:val="center"/>
          </w:tcPr>
          <w:p w14:paraId="6BDBF7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70B1A55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6A20C01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D81CA08"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6B3E1F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代理承销证券款</w:t>
            </w:r>
          </w:p>
        </w:tc>
        <w:tc>
          <w:tcPr>
            <w:tcW w:w="2036" w:type="dxa"/>
            <w:shd w:val="clear" w:color="auto" w:fill="auto"/>
            <w:tcMar>
              <w:top w:w="0" w:type="dxa"/>
              <w:left w:w="108" w:type="dxa"/>
              <w:bottom w:w="0" w:type="dxa"/>
              <w:right w:w="108" w:type="dxa"/>
            </w:tcMar>
            <w:vAlign w:val="center"/>
          </w:tcPr>
          <w:p w14:paraId="6DF1A49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6A4319A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2B3CFB4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DEB1D7D"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573087E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应付职工薪酬</w:t>
            </w:r>
          </w:p>
        </w:tc>
        <w:tc>
          <w:tcPr>
            <w:tcW w:w="2036" w:type="dxa"/>
            <w:shd w:val="clear" w:color="auto" w:fill="auto"/>
            <w:tcMar>
              <w:top w:w="0" w:type="dxa"/>
              <w:left w:w="108" w:type="dxa"/>
              <w:bottom w:w="0" w:type="dxa"/>
              <w:right w:w="108" w:type="dxa"/>
            </w:tcMar>
            <w:vAlign w:val="center"/>
          </w:tcPr>
          <w:p w14:paraId="7BDB3B9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4,190.62</w:t>
            </w:r>
          </w:p>
        </w:tc>
        <w:tc>
          <w:tcPr>
            <w:tcW w:w="2036" w:type="dxa"/>
            <w:shd w:val="clear" w:color="auto" w:fill="auto"/>
            <w:tcMar>
              <w:top w:w="0" w:type="dxa"/>
              <w:left w:w="108" w:type="dxa"/>
              <w:bottom w:w="0" w:type="dxa"/>
              <w:right w:w="108" w:type="dxa"/>
            </w:tcMar>
            <w:vAlign w:val="center"/>
          </w:tcPr>
          <w:p w14:paraId="248A7F1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4,226.33</w:t>
            </w:r>
          </w:p>
        </w:tc>
        <w:tc>
          <w:tcPr>
            <w:tcW w:w="2246" w:type="dxa"/>
            <w:shd w:val="clear" w:color="auto" w:fill="auto"/>
            <w:tcMar>
              <w:top w:w="0" w:type="dxa"/>
              <w:left w:w="108" w:type="dxa"/>
              <w:bottom w:w="0" w:type="dxa"/>
              <w:right w:w="108" w:type="dxa"/>
            </w:tcMar>
            <w:vAlign w:val="center"/>
          </w:tcPr>
          <w:p w14:paraId="703AE18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3,677.38</w:t>
            </w:r>
          </w:p>
        </w:tc>
      </w:tr>
      <w:tr w:rsidR="001B704D" w:rsidRPr="00B4515A" w14:paraId="668BEFD4" w14:textId="77777777" w:rsidTr="00EE238F">
        <w:trPr>
          <w:trHeight w:val="340"/>
          <w:jc w:val="center"/>
        </w:trPr>
        <w:tc>
          <w:tcPr>
            <w:tcW w:w="1866" w:type="dxa"/>
            <w:shd w:val="clear" w:color="auto" w:fill="auto"/>
            <w:tcMar>
              <w:top w:w="0" w:type="dxa"/>
              <w:left w:w="108" w:type="dxa"/>
              <w:bottom w:w="0" w:type="dxa"/>
              <w:right w:w="108" w:type="dxa"/>
            </w:tcMar>
            <w:vAlign w:val="center"/>
          </w:tcPr>
          <w:p w14:paraId="5FD6FA48" w14:textId="77777777" w:rsidR="001B704D" w:rsidRPr="00B4515A" w:rsidRDefault="001B704D"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应交税费</w:t>
            </w:r>
          </w:p>
        </w:tc>
        <w:tc>
          <w:tcPr>
            <w:tcW w:w="2036" w:type="dxa"/>
            <w:shd w:val="clear" w:color="auto" w:fill="auto"/>
            <w:tcMar>
              <w:top w:w="0" w:type="dxa"/>
              <w:left w:w="108" w:type="dxa"/>
              <w:bottom w:w="0" w:type="dxa"/>
              <w:right w:w="108" w:type="dxa"/>
            </w:tcMar>
            <w:vAlign w:val="center"/>
          </w:tcPr>
          <w:p w14:paraId="554C8CFF" w14:textId="5D212708" w:rsidR="001B704D" w:rsidRPr="00B4515A" w:rsidRDefault="001B704D"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434.27</w:t>
            </w:r>
          </w:p>
        </w:tc>
        <w:tc>
          <w:tcPr>
            <w:tcW w:w="2036" w:type="dxa"/>
            <w:shd w:val="clear" w:color="auto" w:fill="auto"/>
            <w:tcMar>
              <w:top w:w="0" w:type="dxa"/>
              <w:left w:w="108" w:type="dxa"/>
              <w:bottom w:w="0" w:type="dxa"/>
              <w:right w:w="108" w:type="dxa"/>
            </w:tcMar>
            <w:vAlign w:val="center"/>
          </w:tcPr>
          <w:p w14:paraId="74CA019A" w14:textId="5BE355CA" w:rsidR="001B704D" w:rsidRPr="00B4515A" w:rsidRDefault="001B704D"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1,069.29</w:t>
            </w:r>
          </w:p>
        </w:tc>
        <w:tc>
          <w:tcPr>
            <w:tcW w:w="2246" w:type="dxa"/>
            <w:shd w:val="clear" w:color="auto" w:fill="auto"/>
            <w:tcMar>
              <w:top w:w="0" w:type="dxa"/>
              <w:left w:w="108" w:type="dxa"/>
              <w:bottom w:w="0" w:type="dxa"/>
              <w:right w:w="108" w:type="dxa"/>
            </w:tcMar>
            <w:vAlign w:val="center"/>
          </w:tcPr>
          <w:p w14:paraId="04AC7187" w14:textId="3B5F1833" w:rsidR="001B704D" w:rsidRPr="00B4515A" w:rsidRDefault="001B704D"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1,507.38</w:t>
            </w:r>
          </w:p>
        </w:tc>
      </w:tr>
      <w:tr w:rsidR="006416B0" w:rsidRPr="00B4515A" w14:paraId="34BEB5BB"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17C832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lastRenderedPageBreak/>
              <w:t>其他应付款</w:t>
            </w:r>
          </w:p>
        </w:tc>
        <w:tc>
          <w:tcPr>
            <w:tcW w:w="2036" w:type="dxa"/>
            <w:shd w:val="clear" w:color="auto" w:fill="auto"/>
            <w:tcMar>
              <w:top w:w="0" w:type="dxa"/>
              <w:left w:w="108" w:type="dxa"/>
              <w:bottom w:w="0" w:type="dxa"/>
              <w:right w:w="108" w:type="dxa"/>
            </w:tcMar>
            <w:vAlign w:val="center"/>
          </w:tcPr>
          <w:p w14:paraId="40C0B25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246.58</w:t>
            </w:r>
          </w:p>
        </w:tc>
        <w:tc>
          <w:tcPr>
            <w:tcW w:w="2036" w:type="dxa"/>
            <w:shd w:val="clear" w:color="auto" w:fill="auto"/>
            <w:tcMar>
              <w:top w:w="0" w:type="dxa"/>
              <w:left w:w="108" w:type="dxa"/>
              <w:bottom w:w="0" w:type="dxa"/>
              <w:right w:w="108" w:type="dxa"/>
            </w:tcMar>
            <w:vAlign w:val="center"/>
          </w:tcPr>
          <w:p w14:paraId="3B872D9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175.93</w:t>
            </w:r>
          </w:p>
        </w:tc>
        <w:tc>
          <w:tcPr>
            <w:tcW w:w="2246" w:type="dxa"/>
            <w:shd w:val="clear" w:color="auto" w:fill="auto"/>
            <w:tcMar>
              <w:top w:w="0" w:type="dxa"/>
              <w:left w:w="108" w:type="dxa"/>
              <w:bottom w:w="0" w:type="dxa"/>
              <w:right w:w="108" w:type="dxa"/>
            </w:tcMar>
            <w:vAlign w:val="center"/>
          </w:tcPr>
          <w:p w14:paraId="4BEBEB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32,054.68</w:t>
            </w:r>
          </w:p>
        </w:tc>
      </w:tr>
      <w:tr w:rsidR="006416B0" w:rsidRPr="00B4515A" w14:paraId="527A766E"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34E902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应付手续费及佣金</w:t>
            </w:r>
          </w:p>
        </w:tc>
        <w:tc>
          <w:tcPr>
            <w:tcW w:w="2036" w:type="dxa"/>
            <w:shd w:val="clear" w:color="auto" w:fill="auto"/>
            <w:tcMar>
              <w:top w:w="0" w:type="dxa"/>
              <w:left w:w="108" w:type="dxa"/>
              <w:bottom w:w="0" w:type="dxa"/>
              <w:right w:w="108" w:type="dxa"/>
            </w:tcMar>
            <w:vAlign w:val="center"/>
          </w:tcPr>
          <w:p w14:paraId="47FC7A5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3BED229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1355827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55F13D0"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3F1E2F1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应付分保账款</w:t>
            </w:r>
          </w:p>
        </w:tc>
        <w:tc>
          <w:tcPr>
            <w:tcW w:w="2036" w:type="dxa"/>
            <w:shd w:val="clear" w:color="auto" w:fill="auto"/>
            <w:tcMar>
              <w:top w:w="0" w:type="dxa"/>
              <w:left w:w="108" w:type="dxa"/>
              <w:bottom w:w="0" w:type="dxa"/>
              <w:right w:w="108" w:type="dxa"/>
            </w:tcMar>
            <w:vAlign w:val="center"/>
          </w:tcPr>
          <w:p w14:paraId="0400F94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346882B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286BA9D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0A3D99B"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B87FEA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持有待售负债</w:t>
            </w:r>
          </w:p>
        </w:tc>
        <w:tc>
          <w:tcPr>
            <w:tcW w:w="2036" w:type="dxa"/>
            <w:shd w:val="clear" w:color="auto" w:fill="auto"/>
            <w:tcMar>
              <w:top w:w="0" w:type="dxa"/>
              <w:left w:w="108" w:type="dxa"/>
              <w:bottom w:w="0" w:type="dxa"/>
              <w:right w:w="108" w:type="dxa"/>
            </w:tcMar>
            <w:vAlign w:val="center"/>
          </w:tcPr>
          <w:p w14:paraId="5B425D8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1C0B223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722C82D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2C60030"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8DFDA0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一年内到期的非流动负债</w:t>
            </w:r>
          </w:p>
        </w:tc>
        <w:tc>
          <w:tcPr>
            <w:tcW w:w="2036" w:type="dxa"/>
            <w:shd w:val="clear" w:color="auto" w:fill="auto"/>
            <w:tcMar>
              <w:top w:w="0" w:type="dxa"/>
              <w:left w:w="108" w:type="dxa"/>
              <w:bottom w:w="0" w:type="dxa"/>
              <w:right w:w="108" w:type="dxa"/>
            </w:tcMar>
            <w:vAlign w:val="center"/>
          </w:tcPr>
          <w:p w14:paraId="5EBB829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5A8E1BC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18CD306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1946446"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5101EA1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其他流动负债</w:t>
            </w:r>
          </w:p>
        </w:tc>
        <w:tc>
          <w:tcPr>
            <w:tcW w:w="2036" w:type="dxa"/>
            <w:shd w:val="clear" w:color="auto" w:fill="auto"/>
            <w:tcMar>
              <w:top w:w="0" w:type="dxa"/>
              <w:left w:w="108" w:type="dxa"/>
              <w:bottom w:w="0" w:type="dxa"/>
              <w:right w:w="108" w:type="dxa"/>
            </w:tcMar>
            <w:vAlign w:val="center"/>
          </w:tcPr>
          <w:p w14:paraId="517E0DC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1,046.48</w:t>
            </w:r>
          </w:p>
        </w:tc>
        <w:tc>
          <w:tcPr>
            <w:tcW w:w="2036" w:type="dxa"/>
            <w:shd w:val="clear" w:color="auto" w:fill="auto"/>
            <w:tcMar>
              <w:top w:w="0" w:type="dxa"/>
              <w:left w:w="108" w:type="dxa"/>
              <w:bottom w:w="0" w:type="dxa"/>
              <w:right w:w="108" w:type="dxa"/>
            </w:tcMar>
            <w:vAlign w:val="center"/>
          </w:tcPr>
          <w:p w14:paraId="6BE2950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539.60</w:t>
            </w:r>
          </w:p>
        </w:tc>
        <w:tc>
          <w:tcPr>
            <w:tcW w:w="2246" w:type="dxa"/>
            <w:shd w:val="clear" w:color="auto" w:fill="auto"/>
            <w:tcMar>
              <w:top w:w="0" w:type="dxa"/>
              <w:left w:w="108" w:type="dxa"/>
              <w:bottom w:w="0" w:type="dxa"/>
              <w:right w:w="108" w:type="dxa"/>
            </w:tcMar>
            <w:vAlign w:val="center"/>
          </w:tcPr>
          <w:p w14:paraId="6E7D222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1B704D" w:rsidRPr="00B4515A" w14:paraId="74C94202" w14:textId="77777777" w:rsidTr="00EE238F">
        <w:trPr>
          <w:trHeight w:val="340"/>
          <w:jc w:val="center"/>
        </w:trPr>
        <w:tc>
          <w:tcPr>
            <w:tcW w:w="1866" w:type="dxa"/>
            <w:shd w:val="clear" w:color="auto" w:fill="auto"/>
            <w:tcMar>
              <w:top w:w="0" w:type="dxa"/>
              <w:left w:w="108" w:type="dxa"/>
              <w:bottom w:w="0" w:type="dxa"/>
              <w:right w:w="108" w:type="dxa"/>
            </w:tcMar>
            <w:vAlign w:val="center"/>
          </w:tcPr>
          <w:p w14:paraId="44D7A221" w14:textId="77777777" w:rsidR="001B704D" w:rsidRPr="00B4515A" w:rsidRDefault="001B704D"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流动负债合计</w:t>
            </w:r>
          </w:p>
        </w:tc>
        <w:tc>
          <w:tcPr>
            <w:tcW w:w="2036" w:type="dxa"/>
            <w:shd w:val="clear" w:color="auto" w:fill="auto"/>
            <w:tcMar>
              <w:top w:w="0" w:type="dxa"/>
              <w:left w:w="108" w:type="dxa"/>
              <w:bottom w:w="0" w:type="dxa"/>
              <w:right w:w="108" w:type="dxa"/>
            </w:tcMar>
            <w:vAlign w:val="center"/>
          </w:tcPr>
          <w:p w14:paraId="1F739785" w14:textId="4A3032FF" w:rsidR="001B704D" w:rsidRPr="00B4515A" w:rsidRDefault="001B704D"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68,305.45</w:t>
            </w:r>
          </w:p>
        </w:tc>
        <w:tc>
          <w:tcPr>
            <w:tcW w:w="2036" w:type="dxa"/>
            <w:shd w:val="clear" w:color="auto" w:fill="auto"/>
            <w:tcMar>
              <w:top w:w="0" w:type="dxa"/>
              <w:left w:w="108" w:type="dxa"/>
              <w:bottom w:w="0" w:type="dxa"/>
              <w:right w:w="108" w:type="dxa"/>
            </w:tcMar>
            <w:vAlign w:val="center"/>
          </w:tcPr>
          <w:p w14:paraId="30888064" w14:textId="36212BA4" w:rsidR="001B704D" w:rsidRPr="00B4515A" w:rsidRDefault="001B704D"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67,175.31</w:t>
            </w:r>
          </w:p>
        </w:tc>
        <w:tc>
          <w:tcPr>
            <w:tcW w:w="2246" w:type="dxa"/>
            <w:shd w:val="clear" w:color="auto" w:fill="auto"/>
            <w:tcMar>
              <w:top w:w="0" w:type="dxa"/>
              <w:left w:w="108" w:type="dxa"/>
              <w:bottom w:w="0" w:type="dxa"/>
              <w:right w:w="108" w:type="dxa"/>
            </w:tcMar>
            <w:vAlign w:val="center"/>
          </w:tcPr>
          <w:p w14:paraId="7FB24335" w14:textId="3194059A" w:rsidR="001B704D" w:rsidRPr="00B4515A" w:rsidRDefault="001B704D"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89,150.36</w:t>
            </w:r>
          </w:p>
        </w:tc>
      </w:tr>
      <w:tr w:rsidR="006416B0" w:rsidRPr="00B4515A" w14:paraId="7902A2F0"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7F64D5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非流动负债：</w:t>
            </w:r>
          </w:p>
        </w:tc>
        <w:tc>
          <w:tcPr>
            <w:tcW w:w="2036" w:type="dxa"/>
            <w:shd w:val="clear" w:color="auto" w:fill="auto"/>
            <w:tcMar>
              <w:top w:w="0" w:type="dxa"/>
              <w:left w:w="108" w:type="dxa"/>
              <w:bottom w:w="0" w:type="dxa"/>
              <w:right w:w="108" w:type="dxa"/>
            </w:tcMar>
            <w:vAlign w:val="center"/>
          </w:tcPr>
          <w:p w14:paraId="6F031F1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65CC663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6D79E99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B3E4668"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531B8C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保险合同准备金</w:t>
            </w:r>
          </w:p>
        </w:tc>
        <w:tc>
          <w:tcPr>
            <w:tcW w:w="2036" w:type="dxa"/>
            <w:shd w:val="clear" w:color="auto" w:fill="auto"/>
            <w:tcMar>
              <w:top w:w="0" w:type="dxa"/>
              <w:left w:w="108" w:type="dxa"/>
              <w:bottom w:w="0" w:type="dxa"/>
              <w:right w:w="108" w:type="dxa"/>
            </w:tcMar>
            <w:vAlign w:val="center"/>
          </w:tcPr>
          <w:p w14:paraId="0F8BE57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04EFFC3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05AAF9D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A25F32F"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F1FACD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长期借款</w:t>
            </w:r>
          </w:p>
        </w:tc>
        <w:tc>
          <w:tcPr>
            <w:tcW w:w="2036" w:type="dxa"/>
            <w:shd w:val="clear" w:color="auto" w:fill="auto"/>
            <w:tcMar>
              <w:top w:w="0" w:type="dxa"/>
              <w:left w:w="108" w:type="dxa"/>
              <w:bottom w:w="0" w:type="dxa"/>
              <w:right w:w="108" w:type="dxa"/>
            </w:tcMar>
            <w:vAlign w:val="center"/>
          </w:tcPr>
          <w:p w14:paraId="2D36A2A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2409AAF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21F0B39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B77A6D2"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0CEF115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应付债券</w:t>
            </w:r>
          </w:p>
        </w:tc>
        <w:tc>
          <w:tcPr>
            <w:tcW w:w="2036" w:type="dxa"/>
            <w:shd w:val="clear" w:color="auto" w:fill="auto"/>
            <w:tcMar>
              <w:top w:w="0" w:type="dxa"/>
              <w:left w:w="108" w:type="dxa"/>
              <w:bottom w:w="0" w:type="dxa"/>
              <w:right w:w="108" w:type="dxa"/>
            </w:tcMar>
            <w:vAlign w:val="center"/>
          </w:tcPr>
          <w:p w14:paraId="4A780F9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7AFAF26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0832AF3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C216C11"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58478CB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其中：优先股</w:t>
            </w:r>
          </w:p>
        </w:tc>
        <w:tc>
          <w:tcPr>
            <w:tcW w:w="2036" w:type="dxa"/>
            <w:shd w:val="clear" w:color="auto" w:fill="auto"/>
            <w:tcMar>
              <w:top w:w="0" w:type="dxa"/>
              <w:left w:w="108" w:type="dxa"/>
              <w:bottom w:w="0" w:type="dxa"/>
              <w:right w:w="108" w:type="dxa"/>
            </w:tcMar>
            <w:vAlign w:val="center"/>
          </w:tcPr>
          <w:p w14:paraId="4BEE652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13AB821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35AAFFB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F484D9A"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93BBEC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永续债</w:t>
            </w:r>
          </w:p>
        </w:tc>
        <w:tc>
          <w:tcPr>
            <w:tcW w:w="2036" w:type="dxa"/>
            <w:shd w:val="clear" w:color="auto" w:fill="auto"/>
            <w:tcMar>
              <w:top w:w="0" w:type="dxa"/>
              <w:left w:w="108" w:type="dxa"/>
              <w:bottom w:w="0" w:type="dxa"/>
              <w:right w:w="108" w:type="dxa"/>
            </w:tcMar>
            <w:vAlign w:val="center"/>
          </w:tcPr>
          <w:p w14:paraId="7413138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1AE16BE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54F53D9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DD6CD29"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3D5E9E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租赁负债</w:t>
            </w:r>
          </w:p>
        </w:tc>
        <w:tc>
          <w:tcPr>
            <w:tcW w:w="2036" w:type="dxa"/>
            <w:shd w:val="clear" w:color="auto" w:fill="auto"/>
            <w:tcMar>
              <w:top w:w="0" w:type="dxa"/>
              <w:left w:w="108" w:type="dxa"/>
              <w:bottom w:w="0" w:type="dxa"/>
              <w:right w:w="108" w:type="dxa"/>
            </w:tcMar>
            <w:vAlign w:val="center"/>
          </w:tcPr>
          <w:p w14:paraId="707C394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4,354.24</w:t>
            </w:r>
          </w:p>
        </w:tc>
        <w:tc>
          <w:tcPr>
            <w:tcW w:w="2036" w:type="dxa"/>
            <w:shd w:val="clear" w:color="auto" w:fill="auto"/>
            <w:tcMar>
              <w:top w:w="0" w:type="dxa"/>
              <w:left w:w="108" w:type="dxa"/>
              <w:bottom w:w="0" w:type="dxa"/>
              <w:right w:w="108" w:type="dxa"/>
            </w:tcMar>
            <w:vAlign w:val="center"/>
          </w:tcPr>
          <w:p w14:paraId="68AD851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63D7EE1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16AF925"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4899D0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长期应付款</w:t>
            </w:r>
          </w:p>
        </w:tc>
        <w:tc>
          <w:tcPr>
            <w:tcW w:w="2036" w:type="dxa"/>
            <w:shd w:val="clear" w:color="auto" w:fill="auto"/>
            <w:tcMar>
              <w:top w:w="0" w:type="dxa"/>
              <w:left w:w="108" w:type="dxa"/>
              <w:bottom w:w="0" w:type="dxa"/>
              <w:right w:w="108" w:type="dxa"/>
            </w:tcMar>
            <w:vAlign w:val="center"/>
          </w:tcPr>
          <w:p w14:paraId="0E5AB8A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96A38E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0B15E12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C5A162E"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5FE4DCD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长期应付职工薪酬</w:t>
            </w:r>
          </w:p>
        </w:tc>
        <w:tc>
          <w:tcPr>
            <w:tcW w:w="2036" w:type="dxa"/>
            <w:shd w:val="clear" w:color="auto" w:fill="auto"/>
            <w:tcMar>
              <w:top w:w="0" w:type="dxa"/>
              <w:left w:w="108" w:type="dxa"/>
              <w:bottom w:w="0" w:type="dxa"/>
              <w:right w:w="108" w:type="dxa"/>
            </w:tcMar>
            <w:vAlign w:val="center"/>
          </w:tcPr>
          <w:p w14:paraId="69F8896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7EBD27A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39A865E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3D6A193"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7118C3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预计负债</w:t>
            </w:r>
          </w:p>
        </w:tc>
        <w:tc>
          <w:tcPr>
            <w:tcW w:w="2036" w:type="dxa"/>
            <w:shd w:val="clear" w:color="auto" w:fill="auto"/>
            <w:tcMar>
              <w:top w:w="0" w:type="dxa"/>
              <w:left w:w="108" w:type="dxa"/>
              <w:bottom w:w="0" w:type="dxa"/>
              <w:right w:w="108" w:type="dxa"/>
            </w:tcMar>
            <w:vAlign w:val="center"/>
          </w:tcPr>
          <w:p w14:paraId="773D324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01BFE52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39C7DF8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2C6A23F"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C014DF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递延收益</w:t>
            </w:r>
          </w:p>
        </w:tc>
        <w:tc>
          <w:tcPr>
            <w:tcW w:w="2036" w:type="dxa"/>
            <w:shd w:val="clear" w:color="auto" w:fill="auto"/>
            <w:tcMar>
              <w:top w:w="0" w:type="dxa"/>
              <w:left w:w="108" w:type="dxa"/>
              <w:bottom w:w="0" w:type="dxa"/>
              <w:right w:w="108" w:type="dxa"/>
            </w:tcMar>
            <w:vAlign w:val="center"/>
          </w:tcPr>
          <w:p w14:paraId="79197E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620D8F4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3D3E86D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E97D5EF"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394B05B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递延所得税负债</w:t>
            </w:r>
          </w:p>
        </w:tc>
        <w:tc>
          <w:tcPr>
            <w:tcW w:w="2036" w:type="dxa"/>
            <w:shd w:val="clear" w:color="auto" w:fill="auto"/>
            <w:tcMar>
              <w:top w:w="0" w:type="dxa"/>
              <w:left w:w="108" w:type="dxa"/>
              <w:bottom w:w="0" w:type="dxa"/>
              <w:right w:w="108" w:type="dxa"/>
            </w:tcMar>
            <w:vAlign w:val="center"/>
          </w:tcPr>
          <w:p w14:paraId="0E26BAC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429.45</w:t>
            </w:r>
          </w:p>
        </w:tc>
        <w:tc>
          <w:tcPr>
            <w:tcW w:w="2036" w:type="dxa"/>
            <w:shd w:val="clear" w:color="auto" w:fill="auto"/>
            <w:tcMar>
              <w:top w:w="0" w:type="dxa"/>
              <w:left w:w="108" w:type="dxa"/>
              <w:bottom w:w="0" w:type="dxa"/>
              <w:right w:w="108" w:type="dxa"/>
            </w:tcMar>
            <w:vAlign w:val="center"/>
          </w:tcPr>
          <w:p w14:paraId="7ED8762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429.45</w:t>
            </w:r>
          </w:p>
        </w:tc>
        <w:tc>
          <w:tcPr>
            <w:tcW w:w="2246" w:type="dxa"/>
            <w:shd w:val="clear" w:color="auto" w:fill="auto"/>
            <w:tcMar>
              <w:top w:w="0" w:type="dxa"/>
              <w:left w:w="108" w:type="dxa"/>
              <w:bottom w:w="0" w:type="dxa"/>
              <w:right w:w="108" w:type="dxa"/>
            </w:tcMar>
            <w:vAlign w:val="center"/>
          </w:tcPr>
          <w:p w14:paraId="513A8F4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226.40</w:t>
            </w:r>
          </w:p>
        </w:tc>
      </w:tr>
      <w:tr w:rsidR="006416B0" w:rsidRPr="00B4515A" w14:paraId="62738C7D"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31F719A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其他非流动负债</w:t>
            </w:r>
          </w:p>
        </w:tc>
        <w:tc>
          <w:tcPr>
            <w:tcW w:w="2036" w:type="dxa"/>
            <w:shd w:val="clear" w:color="auto" w:fill="auto"/>
            <w:tcMar>
              <w:top w:w="0" w:type="dxa"/>
              <w:left w:w="108" w:type="dxa"/>
              <w:bottom w:w="0" w:type="dxa"/>
              <w:right w:w="108" w:type="dxa"/>
            </w:tcMar>
            <w:vAlign w:val="center"/>
          </w:tcPr>
          <w:p w14:paraId="6FA0D23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07AE90E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4EF9DBD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E085397"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05E178E5"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非流动负债合计</w:t>
            </w:r>
          </w:p>
        </w:tc>
        <w:tc>
          <w:tcPr>
            <w:tcW w:w="2036" w:type="dxa"/>
            <w:shd w:val="clear" w:color="auto" w:fill="auto"/>
            <w:tcMar>
              <w:top w:w="0" w:type="dxa"/>
              <w:left w:w="108" w:type="dxa"/>
              <w:bottom w:w="0" w:type="dxa"/>
              <w:right w:w="108" w:type="dxa"/>
            </w:tcMar>
            <w:vAlign w:val="center"/>
          </w:tcPr>
          <w:p w14:paraId="35E7A8BB"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4,783.68</w:t>
            </w:r>
          </w:p>
        </w:tc>
        <w:tc>
          <w:tcPr>
            <w:tcW w:w="2036" w:type="dxa"/>
            <w:shd w:val="clear" w:color="auto" w:fill="auto"/>
            <w:tcMar>
              <w:top w:w="0" w:type="dxa"/>
              <w:left w:w="108" w:type="dxa"/>
              <w:bottom w:w="0" w:type="dxa"/>
              <w:right w:w="108" w:type="dxa"/>
            </w:tcMar>
            <w:vAlign w:val="center"/>
          </w:tcPr>
          <w:p w14:paraId="1340E8F9"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429.45</w:t>
            </w:r>
          </w:p>
        </w:tc>
        <w:tc>
          <w:tcPr>
            <w:tcW w:w="2246" w:type="dxa"/>
            <w:shd w:val="clear" w:color="auto" w:fill="auto"/>
            <w:tcMar>
              <w:top w:w="0" w:type="dxa"/>
              <w:left w:w="108" w:type="dxa"/>
              <w:bottom w:w="0" w:type="dxa"/>
              <w:right w:w="108" w:type="dxa"/>
            </w:tcMar>
            <w:vAlign w:val="center"/>
          </w:tcPr>
          <w:p w14:paraId="3C366688"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226.40</w:t>
            </w:r>
          </w:p>
        </w:tc>
      </w:tr>
      <w:tr w:rsidR="001B704D" w:rsidRPr="00B4515A" w14:paraId="2E0A834F" w14:textId="77777777" w:rsidTr="00EE238F">
        <w:trPr>
          <w:trHeight w:val="340"/>
          <w:jc w:val="center"/>
        </w:trPr>
        <w:tc>
          <w:tcPr>
            <w:tcW w:w="1866" w:type="dxa"/>
            <w:shd w:val="clear" w:color="auto" w:fill="auto"/>
            <w:tcMar>
              <w:top w:w="0" w:type="dxa"/>
              <w:left w:w="108" w:type="dxa"/>
              <w:bottom w:w="0" w:type="dxa"/>
              <w:right w:w="108" w:type="dxa"/>
            </w:tcMar>
            <w:vAlign w:val="center"/>
          </w:tcPr>
          <w:p w14:paraId="707B75B5" w14:textId="77777777" w:rsidR="001B704D" w:rsidRPr="00B4515A" w:rsidRDefault="001B704D"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负债合计</w:t>
            </w:r>
          </w:p>
        </w:tc>
        <w:tc>
          <w:tcPr>
            <w:tcW w:w="2036" w:type="dxa"/>
            <w:shd w:val="clear" w:color="auto" w:fill="auto"/>
            <w:tcMar>
              <w:top w:w="0" w:type="dxa"/>
              <w:left w:w="108" w:type="dxa"/>
              <w:bottom w:w="0" w:type="dxa"/>
              <w:right w:w="108" w:type="dxa"/>
            </w:tcMar>
            <w:vAlign w:val="center"/>
          </w:tcPr>
          <w:p w14:paraId="4B5FA740" w14:textId="16A7A250" w:rsidR="001B704D" w:rsidRPr="00B4515A" w:rsidRDefault="001B704D"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73,089.14</w:t>
            </w:r>
          </w:p>
        </w:tc>
        <w:tc>
          <w:tcPr>
            <w:tcW w:w="2036" w:type="dxa"/>
            <w:shd w:val="clear" w:color="auto" w:fill="auto"/>
            <w:tcMar>
              <w:top w:w="0" w:type="dxa"/>
              <w:left w:w="108" w:type="dxa"/>
              <w:bottom w:w="0" w:type="dxa"/>
              <w:right w:w="108" w:type="dxa"/>
            </w:tcMar>
            <w:vAlign w:val="center"/>
          </w:tcPr>
          <w:p w14:paraId="2FA01DE3" w14:textId="380AA7D6" w:rsidR="001B704D" w:rsidRPr="00B4515A" w:rsidRDefault="001B704D"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67,604.76</w:t>
            </w:r>
          </w:p>
        </w:tc>
        <w:tc>
          <w:tcPr>
            <w:tcW w:w="2246" w:type="dxa"/>
            <w:shd w:val="clear" w:color="auto" w:fill="auto"/>
            <w:tcMar>
              <w:top w:w="0" w:type="dxa"/>
              <w:left w:w="108" w:type="dxa"/>
              <w:bottom w:w="0" w:type="dxa"/>
              <w:right w:w="108" w:type="dxa"/>
            </w:tcMar>
            <w:vAlign w:val="center"/>
          </w:tcPr>
          <w:p w14:paraId="2CA76CED" w14:textId="0BD58F3E" w:rsidR="001B704D" w:rsidRPr="00B4515A" w:rsidRDefault="001B704D"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89,376.76</w:t>
            </w:r>
          </w:p>
        </w:tc>
      </w:tr>
      <w:tr w:rsidR="006416B0" w:rsidRPr="00B4515A" w14:paraId="6EB5CA72"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45C44E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所有者权益：</w:t>
            </w:r>
          </w:p>
        </w:tc>
        <w:tc>
          <w:tcPr>
            <w:tcW w:w="2036" w:type="dxa"/>
            <w:shd w:val="clear" w:color="auto" w:fill="auto"/>
            <w:tcMar>
              <w:top w:w="0" w:type="dxa"/>
              <w:left w:w="108" w:type="dxa"/>
              <w:bottom w:w="0" w:type="dxa"/>
              <w:right w:w="108" w:type="dxa"/>
            </w:tcMar>
            <w:vAlign w:val="center"/>
          </w:tcPr>
          <w:p w14:paraId="42CCAF5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16F200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5F2D7A3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A548EA0"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4F24620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实收资本</w:t>
            </w:r>
          </w:p>
        </w:tc>
        <w:tc>
          <w:tcPr>
            <w:tcW w:w="2036" w:type="dxa"/>
            <w:shd w:val="clear" w:color="auto" w:fill="auto"/>
            <w:tcMar>
              <w:top w:w="0" w:type="dxa"/>
              <w:left w:w="108" w:type="dxa"/>
              <w:bottom w:w="0" w:type="dxa"/>
              <w:right w:w="108" w:type="dxa"/>
            </w:tcMar>
            <w:vAlign w:val="center"/>
          </w:tcPr>
          <w:p w14:paraId="41D1DF6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108,382.03</w:t>
            </w:r>
          </w:p>
        </w:tc>
        <w:tc>
          <w:tcPr>
            <w:tcW w:w="2036" w:type="dxa"/>
            <w:shd w:val="clear" w:color="auto" w:fill="auto"/>
            <w:tcMar>
              <w:top w:w="0" w:type="dxa"/>
              <w:left w:w="108" w:type="dxa"/>
              <w:bottom w:w="0" w:type="dxa"/>
              <w:right w:w="108" w:type="dxa"/>
            </w:tcMar>
            <w:vAlign w:val="center"/>
          </w:tcPr>
          <w:p w14:paraId="2B73DD4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64,885.28</w:t>
            </w:r>
          </w:p>
        </w:tc>
        <w:tc>
          <w:tcPr>
            <w:tcW w:w="2246" w:type="dxa"/>
            <w:shd w:val="clear" w:color="auto" w:fill="auto"/>
            <w:tcMar>
              <w:top w:w="0" w:type="dxa"/>
              <w:left w:w="108" w:type="dxa"/>
              <w:bottom w:w="0" w:type="dxa"/>
              <w:right w:w="108" w:type="dxa"/>
            </w:tcMar>
            <w:vAlign w:val="center"/>
          </w:tcPr>
          <w:p w14:paraId="16FD312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38,732.36</w:t>
            </w:r>
          </w:p>
        </w:tc>
      </w:tr>
      <w:tr w:rsidR="006416B0" w:rsidRPr="00B4515A" w14:paraId="435369B4"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8F04C9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其他权益工具</w:t>
            </w:r>
          </w:p>
        </w:tc>
        <w:tc>
          <w:tcPr>
            <w:tcW w:w="2036" w:type="dxa"/>
            <w:shd w:val="clear" w:color="auto" w:fill="auto"/>
            <w:tcMar>
              <w:top w:w="0" w:type="dxa"/>
              <w:left w:w="108" w:type="dxa"/>
              <w:bottom w:w="0" w:type="dxa"/>
              <w:right w:w="108" w:type="dxa"/>
            </w:tcMar>
            <w:vAlign w:val="center"/>
          </w:tcPr>
          <w:p w14:paraId="65B72D1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3F49F5A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136275F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5FF09D0"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20AFF5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其中：优先股</w:t>
            </w:r>
          </w:p>
        </w:tc>
        <w:tc>
          <w:tcPr>
            <w:tcW w:w="2036" w:type="dxa"/>
            <w:shd w:val="clear" w:color="auto" w:fill="auto"/>
            <w:tcMar>
              <w:top w:w="0" w:type="dxa"/>
              <w:left w:w="108" w:type="dxa"/>
              <w:bottom w:w="0" w:type="dxa"/>
              <w:right w:w="108" w:type="dxa"/>
            </w:tcMar>
            <w:vAlign w:val="center"/>
          </w:tcPr>
          <w:p w14:paraId="2AF2D4D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0DB4DE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3847CFE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4461F92"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4283BF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永续债</w:t>
            </w:r>
          </w:p>
        </w:tc>
        <w:tc>
          <w:tcPr>
            <w:tcW w:w="2036" w:type="dxa"/>
            <w:shd w:val="clear" w:color="auto" w:fill="auto"/>
            <w:tcMar>
              <w:top w:w="0" w:type="dxa"/>
              <w:left w:w="108" w:type="dxa"/>
              <w:bottom w:w="0" w:type="dxa"/>
              <w:right w:w="108" w:type="dxa"/>
            </w:tcMar>
            <w:vAlign w:val="center"/>
          </w:tcPr>
          <w:p w14:paraId="66905C0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4B282DD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5F73B07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B3BF96A"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4136096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资本公积</w:t>
            </w:r>
          </w:p>
        </w:tc>
        <w:tc>
          <w:tcPr>
            <w:tcW w:w="2036" w:type="dxa"/>
            <w:shd w:val="clear" w:color="auto" w:fill="auto"/>
            <w:tcMar>
              <w:top w:w="0" w:type="dxa"/>
              <w:left w:w="108" w:type="dxa"/>
              <w:bottom w:w="0" w:type="dxa"/>
              <w:right w:w="108" w:type="dxa"/>
            </w:tcMar>
            <w:vAlign w:val="center"/>
          </w:tcPr>
          <w:p w14:paraId="51141E9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61,747.13</w:t>
            </w:r>
          </w:p>
        </w:tc>
        <w:tc>
          <w:tcPr>
            <w:tcW w:w="2036" w:type="dxa"/>
            <w:shd w:val="clear" w:color="auto" w:fill="auto"/>
            <w:tcMar>
              <w:top w:w="0" w:type="dxa"/>
              <w:left w:w="108" w:type="dxa"/>
              <w:bottom w:w="0" w:type="dxa"/>
              <w:right w:w="108" w:type="dxa"/>
            </w:tcMar>
            <w:vAlign w:val="center"/>
          </w:tcPr>
          <w:p w14:paraId="0BE5929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48,128.88</w:t>
            </w:r>
          </w:p>
        </w:tc>
        <w:tc>
          <w:tcPr>
            <w:tcW w:w="2246" w:type="dxa"/>
            <w:shd w:val="clear" w:color="auto" w:fill="auto"/>
            <w:tcMar>
              <w:top w:w="0" w:type="dxa"/>
              <w:left w:w="108" w:type="dxa"/>
              <w:bottom w:w="0" w:type="dxa"/>
              <w:right w:w="108" w:type="dxa"/>
            </w:tcMar>
            <w:vAlign w:val="center"/>
          </w:tcPr>
          <w:p w14:paraId="0134A21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42,675.80</w:t>
            </w:r>
          </w:p>
        </w:tc>
      </w:tr>
      <w:tr w:rsidR="006416B0" w:rsidRPr="00B4515A" w14:paraId="21D5B9A7"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26DC514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减：库存股</w:t>
            </w:r>
          </w:p>
        </w:tc>
        <w:tc>
          <w:tcPr>
            <w:tcW w:w="2036" w:type="dxa"/>
            <w:shd w:val="clear" w:color="auto" w:fill="auto"/>
            <w:tcMar>
              <w:top w:w="0" w:type="dxa"/>
              <w:left w:w="108" w:type="dxa"/>
              <w:bottom w:w="0" w:type="dxa"/>
              <w:right w:w="108" w:type="dxa"/>
            </w:tcMar>
            <w:vAlign w:val="center"/>
          </w:tcPr>
          <w:p w14:paraId="6D26895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7A71026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5C7579F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B3021A1"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1F3FEDD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其他综合收益</w:t>
            </w:r>
          </w:p>
        </w:tc>
        <w:tc>
          <w:tcPr>
            <w:tcW w:w="2036" w:type="dxa"/>
            <w:shd w:val="clear" w:color="auto" w:fill="auto"/>
            <w:tcMar>
              <w:top w:w="0" w:type="dxa"/>
              <w:left w:w="108" w:type="dxa"/>
              <w:bottom w:w="0" w:type="dxa"/>
              <w:right w:w="108" w:type="dxa"/>
            </w:tcMar>
            <w:vAlign w:val="center"/>
          </w:tcPr>
          <w:p w14:paraId="7295524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2,433.54</w:t>
            </w:r>
          </w:p>
        </w:tc>
        <w:tc>
          <w:tcPr>
            <w:tcW w:w="2036" w:type="dxa"/>
            <w:shd w:val="clear" w:color="auto" w:fill="auto"/>
            <w:tcMar>
              <w:top w:w="0" w:type="dxa"/>
              <w:left w:w="108" w:type="dxa"/>
              <w:bottom w:w="0" w:type="dxa"/>
              <w:right w:w="108" w:type="dxa"/>
            </w:tcMar>
            <w:vAlign w:val="center"/>
          </w:tcPr>
          <w:p w14:paraId="658399C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2,433.54</w:t>
            </w:r>
          </w:p>
        </w:tc>
        <w:tc>
          <w:tcPr>
            <w:tcW w:w="2246" w:type="dxa"/>
            <w:shd w:val="clear" w:color="auto" w:fill="auto"/>
            <w:tcMar>
              <w:top w:w="0" w:type="dxa"/>
              <w:left w:w="108" w:type="dxa"/>
              <w:bottom w:w="0" w:type="dxa"/>
              <w:right w:w="108" w:type="dxa"/>
            </w:tcMar>
            <w:vAlign w:val="center"/>
          </w:tcPr>
          <w:p w14:paraId="04AF7BE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1,282.95</w:t>
            </w:r>
          </w:p>
        </w:tc>
      </w:tr>
      <w:tr w:rsidR="006416B0" w:rsidRPr="00B4515A" w14:paraId="64127DA9"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608714D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专项储备</w:t>
            </w:r>
          </w:p>
        </w:tc>
        <w:tc>
          <w:tcPr>
            <w:tcW w:w="2036" w:type="dxa"/>
            <w:shd w:val="clear" w:color="auto" w:fill="auto"/>
            <w:tcMar>
              <w:top w:w="0" w:type="dxa"/>
              <w:left w:w="108" w:type="dxa"/>
              <w:bottom w:w="0" w:type="dxa"/>
              <w:right w:w="108" w:type="dxa"/>
            </w:tcMar>
            <w:vAlign w:val="center"/>
          </w:tcPr>
          <w:p w14:paraId="3937B03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2870BAC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07B9202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6C3AC00"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346B96E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盈余公积</w:t>
            </w:r>
          </w:p>
        </w:tc>
        <w:tc>
          <w:tcPr>
            <w:tcW w:w="2036" w:type="dxa"/>
            <w:shd w:val="clear" w:color="auto" w:fill="auto"/>
            <w:tcMar>
              <w:top w:w="0" w:type="dxa"/>
              <w:left w:w="108" w:type="dxa"/>
              <w:bottom w:w="0" w:type="dxa"/>
              <w:right w:w="108" w:type="dxa"/>
            </w:tcMar>
            <w:vAlign w:val="center"/>
          </w:tcPr>
          <w:p w14:paraId="1E892C4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681.91</w:t>
            </w:r>
          </w:p>
        </w:tc>
        <w:tc>
          <w:tcPr>
            <w:tcW w:w="2036" w:type="dxa"/>
            <w:shd w:val="clear" w:color="auto" w:fill="auto"/>
            <w:tcMar>
              <w:top w:w="0" w:type="dxa"/>
              <w:left w:w="108" w:type="dxa"/>
              <w:bottom w:w="0" w:type="dxa"/>
              <w:right w:w="108" w:type="dxa"/>
            </w:tcMar>
            <w:vAlign w:val="center"/>
          </w:tcPr>
          <w:p w14:paraId="0F75870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681.91</w:t>
            </w:r>
          </w:p>
        </w:tc>
        <w:tc>
          <w:tcPr>
            <w:tcW w:w="2246" w:type="dxa"/>
            <w:shd w:val="clear" w:color="auto" w:fill="auto"/>
            <w:tcMar>
              <w:top w:w="0" w:type="dxa"/>
              <w:left w:w="108" w:type="dxa"/>
              <w:bottom w:w="0" w:type="dxa"/>
              <w:right w:w="108" w:type="dxa"/>
            </w:tcMar>
            <w:vAlign w:val="center"/>
          </w:tcPr>
          <w:p w14:paraId="2AC8DC9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681.91</w:t>
            </w:r>
          </w:p>
        </w:tc>
      </w:tr>
      <w:tr w:rsidR="006416B0" w:rsidRPr="00B4515A" w14:paraId="6B74D074"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4BAA74B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一般风险准备</w:t>
            </w:r>
          </w:p>
        </w:tc>
        <w:tc>
          <w:tcPr>
            <w:tcW w:w="2036" w:type="dxa"/>
            <w:shd w:val="clear" w:color="auto" w:fill="auto"/>
            <w:tcMar>
              <w:top w:w="0" w:type="dxa"/>
              <w:left w:w="108" w:type="dxa"/>
              <w:bottom w:w="0" w:type="dxa"/>
              <w:right w:w="108" w:type="dxa"/>
            </w:tcMar>
            <w:vAlign w:val="center"/>
          </w:tcPr>
          <w:p w14:paraId="654C359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37AFF88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74DD5E3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1B704D" w:rsidRPr="00B4515A" w14:paraId="736B9A6A" w14:textId="77777777" w:rsidTr="00EE238F">
        <w:trPr>
          <w:trHeight w:val="340"/>
          <w:jc w:val="center"/>
        </w:trPr>
        <w:tc>
          <w:tcPr>
            <w:tcW w:w="1866" w:type="dxa"/>
            <w:shd w:val="clear" w:color="auto" w:fill="auto"/>
            <w:tcMar>
              <w:top w:w="0" w:type="dxa"/>
              <w:left w:w="108" w:type="dxa"/>
              <w:bottom w:w="0" w:type="dxa"/>
              <w:right w:w="108" w:type="dxa"/>
            </w:tcMar>
            <w:vAlign w:val="center"/>
          </w:tcPr>
          <w:p w14:paraId="7B6DD5DE" w14:textId="77777777" w:rsidR="001B704D" w:rsidRPr="00B4515A" w:rsidRDefault="001B704D"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未分配利润</w:t>
            </w:r>
          </w:p>
        </w:tc>
        <w:tc>
          <w:tcPr>
            <w:tcW w:w="2036" w:type="dxa"/>
            <w:shd w:val="clear" w:color="auto" w:fill="auto"/>
            <w:tcMar>
              <w:top w:w="0" w:type="dxa"/>
              <w:left w:w="108" w:type="dxa"/>
              <w:bottom w:w="0" w:type="dxa"/>
              <w:right w:w="108" w:type="dxa"/>
            </w:tcMar>
            <w:vAlign w:val="center"/>
          </w:tcPr>
          <w:p w14:paraId="3FB29CDC" w14:textId="1AE4F07A" w:rsidR="001B704D" w:rsidRPr="00B4515A" w:rsidRDefault="001B704D"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-95,755.87</w:t>
            </w:r>
          </w:p>
        </w:tc>
        <w:tc>
          <w:tcPr>
            <w:tcW w:w="2036" w:type="dxa"/>
            <w:shd w:val="clear" w:color="auto" w:fill="auto"/>
            <w:tcMar>
              <w:top w:w="0" w:type="dxa"/>
              <w:left w:w="108" w:type="dxa"/>
              <w:bottom w:w="0" w:type="dxa"/>
              <w:right w:w="108" w:type="dxa"/>
            </w:tcMar>
            <w:vAlign w:val="center"/>
          </w:tcPr>
          <w:p w14:paraId="42387D76" w14:textId="5BEA3F93" w:rsidR="001B704D" w:rsidRPr="00B4515A" w:rsidRDefault="001B704D"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-96,535.96</w:t>
            </w:r>
          </w:p>
        </w:tc>
        <w:tc>
          <w:tcPr>
            <w:tcW w:w="2246" w:type="dxa"/>
            <w:shd w:val="clear" w:color="auto" w:fill="auto"/>
            <w:tcMar>
              <w:top w:w="0" w:type="dxa"/>
              <w:left w:w="108" w:type="dxa"/>
              <w:bottom w:w="0" w:type="dxa"/>
              <w:right w:w="108" w:type="dxa"/>
            </w:tcMar>
            <w:vAlign w:val="center"/>
          </w:tcPr>
          <w:p w14:paraId="0C31F408" w14:textId="4495E0A4" w:rsidR="001B704D" w:rsidRPr="00B4515A" w:rsidRDefault="001B704D"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-100,742.80</w:t>
            </w:r>
          </w:p>
        </w:tc>
      </w:tr>
      <w:tr w:rsidR="001B704D" w:rsidRPr="00B4515A" w14:paraId="2B157002" w14:textId="77777777" w:rsidTr="00EE238F">
        <w:trPr>
          <w:trHeight w:val="340"/>
          <w:jc w:val="center"/>
        </w:trPr>
        <w:tc>
          <w:tcPr>
            <w:tcW w:w="1866" w:type="dxa"/>
            <w:shd w:val="clear" w:color="auto" w:fill="auto"/>
            <w:tcMar>
              <w:top w:w="0" w:type="dxa"/>
              <w:left w:w="108" w:type="dxa"/>
              <w:bottom w:w="0" w:type="dxa"/>
              <w:right w:w="108" w:type="dxa"/>
            </w:tcMar>
            <w:vAlign w:val="center"/>
          </w:tcPr>
          <w:p w14:paraId="020FC79A" w14:textId="77777777" w:rsidR="001B704D" w:rsidRPr="00B4515A" w:rsidRDefault="001B704D"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归属于母公司所有者权益合计</w:t>
            </w:r>
          </w:p>
        </w:tc>
        <w:tc>
          <w:tcPr>
            <w:tcW w:w="2036" w:type="dxa"/>
            <w:shd w:val="clear" w:color="auto" w:fill="auto"/>
            <w:tcMar>
              <w:top w:w="0" w:type="dxa"/>
              <w:left w:w="108" w:type="dxa"/>
              <w:bottom w:w="0" w:type="dxa"/>
              <w:right w:w="108" w:type="dxa"/>
            </w:tcMar>
            <w:vAlign w:val="center"/>
          </w:tcPr>
          <w:p w14:paraId="3269126C" w14:textId="44D7BF2E" w:rsidR="001B704D" w:rsidRPr="00B4515A" w:rsidRDefault="001B704D"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77,488.74</w:t>
            </w:r>
          </w:p>
        </w:tc>
        <w:tc>
          <w:tcPr>
            <w:tcW w:w="2036" w:type="dxa"/>
            <w:shd w:val="clear" w:color="auto" w:fill="auto"/>
            <w:tcMar>
              <w:top w:w="0" w:type="dxa"/>
              <w:left w:w="108" w:type="dxa"/>
              <w:bottom w:w="0" w:type="dxa"/>
              <w:right w:w="108" w:type="dxa"/>
            </w:tcMar>
            <w:vAlign w:val="center"/>
          </w:tcPr>
          <w:p w14:paraId="03F48AEA" w14:textId="23CE2C1E" w:rsidR="001B704D" w:rsidRPr="00B4515A" w:rsidRDefault="001B704D"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19,593.66</w:t>
            </w:r>
          </w:p>
        </w:tc>
        <w:tc>
          <w:tcPr>
            <w:tcW w:w="2246" w:type="dxa"/>
            <w:shd w:val="clear" w:color="auto" w:fill="auto"/>
            <w:tcMar>
              <w:top w:w="0" w:type="dxa"/>
              <w:left w:w="108" w:type="dxa"/>
              <w:bottom w:w="0" w:type="dxa"/>
              <w:right w:w="108" w:type="dxa"/>
            </w:tcMar>
            <w:vAlign w:val="center"/>
          </w:tcPr>
          <w:p w14:paraId="5781D6AC" w14:textId="377F3DA9" w:rsidR="001B704D" w:rsidRPr="00B4515A" w:rsidRDefault="001B704D"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-17,369.78</w:t>
            </w:r>
          </w:p>
        </w:tc>
      </w:tr>
      <w:tr w:rsidR="006416B0" w:rsidRPr="00B4515A" w14:paraId="4D5F53A8"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7076C94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少数股东权益</w:t>
            </w:r>
          </w:p>
        </w:tc>
        <w:tc>
          <w:tcPr>
            <w:tcW w:w="2036" w:type="dxa"/>
            <w:shd w:val="clear" w:color="auto" w:fill="auto"/>
            <w:tcMar>
              <w:top w:w="0" w:type="dxa"/>
              <w:left w:w="108" w:type="dxa"/>
              <w:bottom w:w="0" w:type="dxa"/>
              <w:right w:w="108" w:type="dxa"/>
            </w:tcMar>
            <w:vAlign w:val="center"/>
          </w:tcPr>
          <w:p w14:paraId="1815813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036" w:type="dxa"/>
            <w:shd w:val="clear" w:color="auto" w:fill="auto"/>
            <w:tcMar>
              <w:top w:w="0" w:type="dxa"/>
              <w:left w:w="108" w:type="dxa"/>
              <w:bottom w:w="0" w:type="dxa"/>
              <w:right w:w="108" w:type="dxa"/>
            </w:tcMar>
            <w:vAlign w:val="center"/>
          </w:tcPr>
          <w:p w14:paraId="0C0BDB2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246" w:type="dxa"/>
            <w:shd w:val="clear" w:color="auto" w:fill="auto"/>
            <w:tcMar>
              <w:top w:w="0" w:type="dxa"/>
              <w:left w:w="108" w:type="dxa"/>
              <w:bottom w:w="0" w:type="dxa"/>
              <w:right w:w="108" w:type="dxa"/>
            </w:tcMar>
            <w:vAlign w:val="center"/>
          </w:tcPr>
          <w:p w14:paraId="3DE3206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1B704D" w:rsidRPr="00B4515A" w14:paraId="159D7E41" w14:textId="77777777" w:rsidTr="00EE238F">
        <w:trPr>
          <w:trHeight w:val="340"/>
          <w:jc w:val="center"/>
        </w:trPr>
        <w:tc>
          <w:tcPr>
            <w:tcW w:w="1866" w:type="dxa"/>
            <w:shd w:val="clear" w:color="auto" w:fill="auto"/>
            <w:tcMar>
              <w:top w:w="0" w:type="dxa"/>
              <w:left w:w="108" w:type="dxa"/>
              <w:bottom w:w="0" w:type="dxa"/>
              <w:right w:w="108" w:type="dxa"/>
            </w:tcMar>
            <w:vAlign w:val="center"/>
          </w:tcPr>
          <w:p w14:paraId="5D192301" w14:textId="77777777" w:rsidR="001B704D" w:rsidRPr="00B4515A" w:rsidRDefault="001B704D"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所有者权益合计</w:t>
            </w:r>
          </w:p>
        </w:tc>
        <w:tc>
          <w:tcPr>
            <w:tcW w:w="2036" w:type="dxa"/>
            <w:shd w:val="clear" w:color="auto" w:fill="auto"/>
            <w:tcMar>
              <w:top w:w="0" w:type="dxa"/>
              <w:left w:w="108" w:type="dxa"/>
              <w:bottom w:w="0" w:type="dxa"/>
              <w:right w:w="108" w:type="dxa"/>
            </w:tcMar>
            <w:vAlign w:val="center"/>
          </w:tcPr>
          <w:p w14:paraId="2860C870" w14:textId="276D502B" w:rsidR="001B704D" w:rsidRPr="00B4515A" w:rsidRDefault="001B704D"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77,488.74</w:t>
            </w:r>
          </w:p>
        </w:tc>
        <w:tc>
          <w:tcPr>
            <w:tcW w:w="2036" w:type="dxa"/>
            <w:shd w:val="clear" w:color="auto" w:fill="auto"/>
            <w:tcMar>
              <w:top w:w="0" w:type="dxa"/>
              <w:left w:w="108" w:type="dxa"/>
              <w:bottom w:w="0" w:type="dxa"/>
              <w:right w:w="108" w:type="dxa"/>
            </w:tcMar>
            <w:vAlign w:val="center"/>
          </w:tcPr>
          <w:p w14:paraId="23F639D2" w14:textId="27A937F2" w:rsidR="001B704D" w:rsidRPr="00B4515A" w:rsidRDefault="001B704D"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19,593.66</w:t>
            </w:r>
          </w:p>
        </w:tc>
        <w:tc>
          <w:tcPr>
            <w:tcW w:w="2246" w:type="dxa"/>
            <w:shd w:val="clear" w:color="auto" w:fill="auto"/>
            <w:tcMar>
              <w:top w:w="0" w:type="dxa"/>
              <w:left w:w="108" w:type="dxa"/>
              <w:bottom w:w="0" w:type="dxa"/>
              <w:right w:w="108" w:type="dxa"/>
            </w:tcMar>
            <w:vAlign w:val="center"/>
          </w:tcPr>
          <w:p w14:paraId="3814EB8E" w14:textId="21D40CD7" w:rsidR="001B704D" w:rsidRPr="00B4515A" w:rsidRDefault="001B704D"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-17,369.78</w:t>
            </w:r>
          </w:p>
        </w:tc>
      </w:tr>
      <w:tr w:rsidR="006416B0" w:rsidRPr="00B4515A" w14:paraId="4DFC51A1" w14:textId="77777777" w:rsidTr="00031627">
        <w:trPr>
          <w:trHeight w:val="340"/>
          <w:jc w:val="center"/>
        </w:trPr>
        <w:tc>
          <w:tcPr>
            <w:tcW w:w="1866" w:type="dxa"/>
            <w:shd w:val="clear" w:color="auto" w:fill="auto"/>
            <w:tcMar>
              <w:top w:w="0" w:type="dxa"/>
              <w:left w:w="108" w:type="dxa"/>
              <w:bottom w:w="0" w:type="dxa"/>
              <w:right w:w="108" w:type="dxa"/>
            </w:tcMar>
            <w:vAlign w:val="center"/>
          </w:tcPr>
          <w:p w14:paraId="56014B05"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lastRenderedPageBreak/>
              <w:t>负债和所有者权益总计</w:t>
            </w:r>
          </w:p>
        </w:tc>
        <w:tc>
          <w:tcPr>
            <w:tcW w:w="2036" w:type="dxa"/>
            <w:shd w:val="clear" w:color="auto" w:fill="auto"/>
            <w:tcMar>
              <w:top w:w="0" w:type="dxa"/>
              <w:left w:w="108" w:type="dxa"/>
              <w:bottom w:w="0" w:type="dxa"/>
              <w:right w:w="108" w:type="dxa"/>
            </w:tcMar>
            <w:vAlign w:val="center"/>
          </w:tcPr>
          <w:p w14:paraId="0AA7DCA1"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150,577.88</w:t>
            </w:r>
          </w:p>
        </w:tc>
        <w:tc>
          <w:tcPr>
            <w:tcW w:w="2036" w:type="dxa"/>
            <w:shd w:val="clear" w:color="auto" w:fill="auto"/>
            <w:tcMar>
              <w:top w:w="0" w:type="dxa"/>
              <w:left w:w="108" w:type="dxa"/>
              <w:bottom w:w="0" w:type="dxa"/>
              <w:right w:w="108" w:type="dxa"/>
            </w:tcMar>
            <w:vAlign w:val="center"/>
          </w:tcPr>
          <w:p w14:paraId="64C7CFD9"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87,198.41</w:t>
            </w:r>
          </w:p>
        </w:tc>
        <w:tc>
          <w:tcPr>
            <w:tcW w:w="2246" w:type="dxa"/>
            <w:shd w:val="clear" w:color="auto" w:fill="auto"/>
            <w:tcMar>
              <w:top w:w="0" w:type="dxa"/>
              <w:left w:w="108" w:type="dxa"/>
              <w:bottom w:w="0" w:type="dxa"/>
              <w:right w:w="108" w:type="dxa"/>
            </w:tcMar>
            <w:vAlign w:val="center"/>
          </w:tcPr>
          <w:p w14:paraId="607D9CFC"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72,006.98</w:t>
            </w:r>
          </w:p>
        </w:tc>
      </w:tr>
    </w:tbl>
    <w:p w14:paraId="1659D3F2" w14:textId="77777777" w:rsidR="002B0582" w:rsidRPr="00B4515A" w:rsidRDefault="002B0582" w:rsidP="006100BC">
      <w:pPr>
        <w:pStyle w:val="009"/>
      </w:pPr>
    </w:p>
    <w:p w14:paraId="63D45E69" w14:textId="77777777" w:rsidR="006416B0" w:rsidRPr="00B4515A" w:rsidRDefault="005E58C1"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678"/>
        <w:gridCol w:w="1950"/>
        <w:gridCol w:w="1950"/>
        <w:gridCol w:w="1950"/>
      </w:tblGrid>
      <w:tr w:rsidR="006416B0" w:rsidRPr="00B4515A" w14:paraId="2C703F5F" w14:textId="77777777" w:rsidTr="006100BC">
        <w:trPr>
          <w:trHeight w:val="340"/>
          <w:tblHeader/>
          <w:jc w:val="center"/>
        </w:trPr>
        <w:tc>
          <w:tcPr>
            <w:tcW w:w="2603" w:type="dxa"/>
            <w:shd w:val="clear" w:color="auto" w:fill="auto"/>
            <w:tcMar>
              <w:top w:w="0" w:type="dxa"/>
              <w:left w:w="108" w:type="dxa"/>
              <w:bottom w:w="0" w:type="dxa"/>
              <w:right w:w="108" w:type="dxa"/>
            </w:tcMar>
            <w:vAlign w:val="center"/>
          </w:tcPr>
          <w:p w14:paraId="6536C293"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负债和所有者权益</w:t>
            </w:r>
          </w:p>
        </w:tc>
        <w:tc>
          <w:tcPr>
            <w:tcW w:w="1896" w:type="dxa"/>
            <w:shd w:val="clear" w:color="auto" w:fill="auto"/>
            <w:tcMar>
              <w:top w:w="0" w:type="dxa"/>
              <w:left w:w="108" w:type="dxa"/>
              <w:bottom w:w="0" w:type="dxa"/>
              <w:right w:w="108" w:type="dxa"/>
            </w:tcMar>
            <w:vAlign w:val="center"/>
          </w:tcPr>
          <w:p w14:paraId="00D378D8"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2021.4.30</w:t>
            </w:r>
          </w:p>
        </w:tc>
        <w:tc>
          <w:tcPr>
            <w:tcW w:w="1896" w:type="dxa"/>
            <w:shd w:val="clear" w:color="auto" w:fill="auto"/>
            <w:tcMar>
              <w:top w:w="0" w:type="dxa"/>
              <w:left w:w="108" w:type="dxa"/>
              <w:bottom w:w="0" w:type="dxa"/>
              <w:right w:w="108" w:type="dxa"/>
            </w:tcMar>
            <w:vAlign w:val="center"/>
          </w:tcPr>
          <w:p w14:paraId="4BCF981C"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2020.12.31</w:t>
            </w:r>
          </w:p>
        </w:tc>
        <w:tc>
          <w:tcPr>
            <w:tcW w:w="1896" w:type="dxa"/>
            <w:shd w:val="clear" w:color="auto" w:fill="auto"/>
            <w:tcMar>
              <w:top w:w="0" w:type="dxa"/>
              <w:left w:w="108" w:type="dxa"/>
              <w:bottom w:w="0" w:type="dxa"/>
              <w:right w:w="108" w:type="dxa"/>
            </w:tcMar>
            <w:vAlign w:val="center"/>
          </w:tcPr>
          <w:p w14:paraId="760B595D"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2019.12.31</w:t>
            </w:r>
          </w:p>
        </w:tc>
      </w:tr>
      <w:tr w:rsidR="006416B0" w:rsidRPr="00B4515A" w14:paraId="5EF6053E"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693BD94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流动负债：</w:t>
            </w:r>
          </w:p>
        </w:tc>
        <w:tc>
          <w:tcPr>
            <w:tcW w:w="1896" w:type="dxa"/>
            <w:shd w:val="clear" w:color="auto" w:fill="auto"/>
            <w:tcMar>
              <w:top w:w="0" w:type="dxa"/>
              <w:left w:w="108" w:type="dxa"/>
              <w:bottom w:w="0" w:type="dxa"/>
              <w:right w:w="108" w:type="dxa"/>
            </w:tcMar>
            <w:vAlign w:val="center"/>
          </w:tcPr>
          <w:p w14:paraId="380B7AB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896" w:type="dxa"/>
            <w:shd w:val="clear" w:color="auto" w:fill="auto"/>
            <w:tcMar>
              <w:top w:w="0" w:type="dxa"/>
              <w:left w:w="108" w:type="dxa"/>
              <w:bottom w:w="0" w:type="dxa"/>
              <w:right w:w="108" w:type="dxa"/>
            </w:tcMar>
            <w:vAlign w:val="center"/>
          </w:tcPr>
          <w:p w14:paraId="2B6FBD5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896" w:type="dxa"/>
            <w:shd w:val="clear" w:color="auto" w:fill="auto"/>
            <w:tcMar>
              <w:top w:w="0" w:type="dxa"/>
              <w:left w:w="108" w:type="dxa"/>
              <w:bottom w:w="0" w:type="dxa"/>
              <w:right w:w="108" w:type="dxa"/>
            </w:tcMar>
            <w:vAlign w:val="center"/>
          </w:tcPr>
          <w:p w14:paraId="78BF539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r>
      <w:tr w:rsidR="006416B0" w:rsidRPr="00B4515A" w14:paraId="03F98185"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1F34097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短期借款</w:t>
            </w:r>
          </w:p>
        </w:tc>
        <w:tc>
          <w:tcPr>
            <w:tcW w:w="1896" w:type="dxa"/>
            <w:shd w:val="clear" w:color="auto" w:fill="auto"/>
            <w:tcMar>
              <w:top w:w="0" w:type="dxa"/>
              <w:left w:w="108" w:type="dxa"/>
              <w:bottom w:w="0" w:type="dxa"/>
              <w:right w:w="108" w:type="dxa"/>
            </w:tcMar>
            <w:vAlign w:val="center"/>
          </w:tcPr>
          <w:p w14:paraId="2A5B1FC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12,954.23</w:t>
            </w:r>
          </w:p>
        </w:tc>
        <w:tc>
          <w:tcPr>
            <w:tcW w:w="1896" w:type="dxa"/>
            <w:shd w:val="clear" w:color="auto" w:fill="auto"/>
            <w:tcMar>
              <w:top w:w="0" w:type="dxa"/>
              <w:left w:w="108" w:type="dxa"/>
              <w:bottom w:w="0" w:type="dxa"/>
              <w:right w:w="108" w:type="dxa"/>
            </w:tcMar>
            <w:vAlign w:val="center"/>
          </w:tcPr>
          <w:p w14:paraId="04DFB69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15,953.22</w:t>
            </w:r>
          </w:p>
        </w:tc>
        <w:tc>
          <w:tcPr>
            <w:tcW w:w="1896" w:type="dxa"/>
            <w:shd w:val="clear" w:color="auto" w:fill="auto"/>
            <w:tcMar>
              <w:top w:w="0" w:type="dxa"/>
              <w:left w:w="108" w:type="dxa"/>
              <w:bottom w:w="0" w:type="dxa"/>
              <w:right w:w="108" w:type="dxa"/>
            </w:tcMar>
            <w:vAlign w:val="center"/>
          </w:tcPr>
          <w:p w14:paraId="156CA4C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9,969.94</w:t>
            </w:r>
          </w:p>
        </w:tc>
      </w:tr>
      <w:tr w:rsidR="006416B0" w:rsidRPr="00B4515A" w14:paraId="14056A80"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15EA730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向中央银行借款</w:t>
            </w:r>
          </w:p>
        </w:tc>
        <w:tc>
          <w:tcPr>
            <w:tcW w:w="1896" w:type="dxa"/>
            <w:shd w:val="clear" w:color="auto" w:fill="auto"/>
            <w:tcMar>
              <w:top w:w="0" w:type="dxa"/>
              <w:left w:w="108" w:type="dxa"/>
              <w:bottom w:w="0" w:type="dxa"/>
              <w:right w:w="108" w:type="dxa"/>
            </w:tcMar>
            <w:vAlign w:val="center"/>
          </w:tcPr>
          <w:p w14:paraId="5E4BB7B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19D4086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76541DB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A57EDC4"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2ED362C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拆入资金</w:t>
            </w:r>
          </w:p>
        </w:tc>
        <w:tc>
          <w:tcPr>
            <w:tcW w:w="1896" w:type="dxa"/>
            <w:shd w:val="clear" w:color="auto" w:fill="auto"/>
            <w:tcMar>
              <w:top w:w="0" w:type="dxa"/>
              <w:left w:w="108" w:type="dxa"/>
              <w:bottom w:w="0" w:type="dxa"/>
              <w:right w:w="108" w:type="dxa"/>
            </w:tcMar>
            <w:vAlign w:val="center"/>
          </w:tcPr>
          <w:p w14:paraId="7E81418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3FBCFFE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0B27C5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D4B6E2A"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A4956D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交易性金融负债</w:t>
            </w:r>
          </w:p>
        </w:tc>
        <w:tc>
          <w:tcPr>
            <w:tcW w:w="1896" w:type="dxa"/>
            <w:shd w:val="clear" w:color="auto" w:fill="auto"/>
            <w:tcMar>
              <w:top w:w="0" w:type="dxa"/>
              <w:left w:w="108" w:type="dxa"/>
              <w:bottom w:w="0" w:type="dxa"/>
              <w:right w:w="108" w:type="dxa"/>
            </w:tcMar>
            <w:vAlign w:val="center"/>
          </w:tcPr>
          <w:p w14:paraId="7A95396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49C78F8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07D97AD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062CAA0"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11CE211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以公允价值计量且其变动计入当期损益的金融负债</w:t>
            </w:r>
          </w:p>
        </w:tc>
        <w:tc>
          <w:tcPr>
            <w:tcW w:w="1896" w:type="dxa"/>
            <w:shd w:val="clear" w:color="auto" w:fill="auto"/>
            <w:tcMar>
              <w:top w:w="0" w:type="dxa"/>
              <w:left w:w="108" w:type="dxa"/>
              <w:bottom w:w="0" w:type="dxa"/>
              <w:right w:w="108" w:type="dxa"/>
            </w:tcMar>
            <w:vAlign w:val="center"/>
          </w:tcPr>
          <w:p w14:paraId="2BD8556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25515FC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3DD35B4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8F3EE66"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19044FA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衍生金融负债</w:t>
            </w:r>
          </w:p>
        </w:tc>
        <w:tc>
          <w:tcPr>
            <w:tcW w:w="1896" w:type="dxa"/>
            <w:shd w:val="clear" w:color="auto" w:fill="auto"/>
            <w:tcMar>
              <w:top w:w="0" w:type="dxa"/>
              <w:left w:w="108" w:type="dxa"/>
              <w:bottom w:w="0" w:type="dxa"/>
              <w:right w:w="108" w:type="dxa"/>
            </w:tcMar>
            <w:vAlign w:val="center"/>
          </w:tcPr>
          <w:p w14:paraId="55710A3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6CA0E70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73CC8AC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A543338"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110D824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应付票据</w:t>
            </w:r>
          </w:p>
        </w:tc>
        <w:tc>
          <w:tcPr>
            <w:tcW w:w="1896" w:type="dxa"/>
            <w:shd w:val="clear" w:color="auto" w:fill="auto"/>
            <w:tcMar>
              <w:top w:w="0" w:type="dxa"/>
              <w:left w:w="108" w:type="dxa"/>
              <w:bottom w:w="0" w:type="dxa"/>
              <w:right w:w="108" w:type="dxa"/>
            </w:tcMar>
            <w:vAlign w:val="center"/>
          </w:tcPr>
          <w:p w14:paraId="4E4B41E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382CBEB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279C82D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1D5BCEC"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B3DBF4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应付账款</w:t>
            </w:r>
          </w:p>
        </w:tc>
        <w:tc>
          <w:tcPr>
            <w:tcW w:w="1896" w:type="dxa"/>
            <w:shd w:val="clear" w:color="auto" w:fill="auto"/>
            <w:tcMar>
              <w:top w:w="0" w:type="dxa"/>
              <w:left w:w="108" w:type="dxa"/>
              <w:bottom w:w="0" w:type="dxa"/>
              <w:right w:w="108" w:type="dxa"/>
            </w:tcMar>
            <w:vAlign w:val="center"/>
          </w:tcPr>
          <w:p w14:paraId="1ADF57F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41,383.44</w:t>
            </w:r>
          </w:p>
        </w:tc>
        <w:tc>
          <w:tcPr>
            <w:tcW w:w="1896" w:type="dxa"/>
            <w:shd w:val="clear" w:color="auto" w:fill="auto"/>
            <w:tcMar>
              <w:top w:w="0" w:type="dxa"/>
              <w:left w:w="108" w:type="dxa"/>
              <w:bottom w:w="0" w:type="dxa"/>
              <w:right w:w="108" w:type="dxa"/>
            </w:tcMar>
            <w:vAlign w:val="center"/>
          </w:tcPr>
          <w:p w14:paraId="053E646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41,060.15</w:t>
            </w:r>
          </w:p>
        </w:tc>
        <w:tc>
          <w:tcPr>
            <w:tcW w:w="1896" w:type="dxa"/>
            <w:shd w:val="clear" w:color="auto" w:fill="auto"/>
            <w:tcMar>
              <w:top w:w="0" w:type="dxa"/>
              <w:left w:w="108" w:type="dxa"/>
              <w:bottom w:w="0" w:type="dxa"/>
              <w:right w:w="108" w:type="dxa"/>
            </w:tcMar>
            <w:vAlign w:val="center"/>
          </w:tcPr>
          <w:p w14:paraId="459F0D8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37,839.63</w:t>
            </w:r>
          </w:p>
        </w:tc>
      </w:tr>
      <w:tr w:rsidR="006416B0" w:rsidRPr="00B4515A" w14:paraId="0783D165"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7FBD5FE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预收款项</w:t>
            </w:r>
          </w:p>
        </w:tc>
        <w:tc>
          <w:tcPr>
            <w:tcW w:w="1896" w:type="dxa"/>
            <w:shd w:val="clear" w:color="auto" w:fill="auto"/>
            <w:tcMar>
              <w:top w:w="0" w:type="dxa"/>
              <w:left w:w="108" w:type="dxa"/>
              <w:bottom w:w="0" w:type="dxa"/>
              <w:right w:w="108" w:type="dxa"/>
            </w:tcMar>
            <w:vAlign w:val="center"/>
          </w:tcPr>
          <w:p w14:paraId="1F152DA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0A84956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1B64DD2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4,101.36</w:t>
            </w:r>
          </w:p>
        </w:tc>
      </w:tr>
      <w:tr w:rsidR="006416B0" w:rsidRPr="00B4515A" w14:paraId="4683B579"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6704CF1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合同负债</w:t>
            </w:r>
          </w:p>
        </w:tc>
        <w:tc>
          <w:tcPr>
            <w:tcW w:w="1896" w:type="dxa"/>
            <w:shd w:val="clear" w:color="auto" w:fill="auto"/>
            <w:tcMar>
              <w:top w:w="0" w:type="dxa"/>
              <w:left w:w="108" w:type="dxa"/>
              <w:bottom w:w="0" w:type="dxa"/>
              <w:right w:w="108" w:type="dxa"/>
            </w:tcMar>
            <w:vAlign w:val="center"/>
          </w:tcPr>
          <w:p w14:paraId="3E8925B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8,049.83</w:t>
            </w:r>
          </w:p>
        </w:tc>
        <w:tc>
          <w:tcPr>
            <w:tcW w:w="1896" w:type="dxa"/>
            <w:shd w:val="clear" w:color="auto" w:fill="auto"/>
            <w:tcMar>
              <w:top w:w="0" w:type="dxa"/>
              <w:left w:w="108" w:type="dxa"/>
              <w:bottom w:w="0" w:type="dxa"/>
              <w:right w:w="108" w:type="dxa"/>
            </w:tcMar>
            <w:vAlign w:val="center"/>
          </w:tcPr>
          <w:p w14:paraId="2E794D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4,150.78</w:t>
            </w:r>
          </w:p>
        </w:tc>
        <w:tc>
          <w:tcPr>
            <w:tcW w:w="1896" w:type="dxa"/>
            <w:shd w:val="clear" w:color="auto" w:fill="auto"/>
            <w:tcMar>
              <w:top w:w="0" w:type="dxa"/>
              <w:left w:w="108" w:type="dxa"/>
              <w:bottom w:w="0" w:type="dxa"/>
              <w:right w:w="108" w:type="dxa"/>
            </w:tcMar>
            <w:vAlign w:val="center"/>
          </w:tcPr>
          <w:p w14:paraId="7E9573A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831D6FF"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5D5C61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卖出回购金融资产款</w:t>
            </w:r>
          </w:p>
        </w:tc>
        <w:tc>
          <w:tcPr>
            <w:tcW w:w="1896" w:type="dxa"/>
            <w:shd w:val="clear" w:color="auto" w:fill="auto"/>
            <w:tcMar>
              <w:top w:w="0" w:type="dxa"/>
              <w:left w:w="108" w:type="dxa"/>
              <w:bottom w:w="0" w:type="dxa"/>
              <w:right w:w="108" w:type="dxa"/>
            </w:tcMar>
            <w:vAlign w:val="center"/>
          </w:tcPr>
          <w:p w14:paraId="351D1FB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3957AF7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73F424B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9C2968D"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2B11F65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吸收存款及同业存放</w:t>
            </w:r>
          </w:p>
        </w:tc>
        <w:tc>
          <w:tcPr>
            <w:tcW w:w="1896" w:type="dxa"/>
            <w:shd w:val="clear" w:color="auto" w:fill="auto"/>
            <w:tcMar>
              <w:top w:w="0" w:type="dxa"/>
              <w:left w:w="108" w:type="dxa"/>
              <w:bottom w:w="0" w:type="dxa"/>
              <w:right w:w="108" w:type="dxa"/>
            </w:tcMar>
            <w:vAlign w:val="center"/>
          </w:tcPr>
          <w:p w14:paraId="6B242B4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659CAA5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4640A9E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074C924"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7916695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代理买卖证券款</w:t>
            </w:r>
          </w:p>
        </w:tc>
        <w:tc>
          <w:tcPr>
            <w:tcW w:w="1896" w:type="dxa"/>
            <w:shd w:val="clear" w:color="auto" w:fill="auto"/>
            <w:tcMar>
              <w:top w:w="0" w:type="dxa"/>
              <w:left w:w="108" w:type="dxa"/>
              <w:bottom w:w="0" w:type="dxa"/>
              <w:right w:w="108" w:type="dxa"/>
            </w:tcMar>
            <w:vAlign w:val="center"/>
          </w:tcPr>
          <w:p w14:paraId="6BD387A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2D078D6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15C84E6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672D5AD"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5B55505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代理承销证券款</w:t>
            </w:r>
          </w:p>
        </w:tc>
        <w:tc>
          <w:tcPr>
            <w:tcW w:w="1896" w:type="dxa"/>
            <w:shd w:val="clear" w:color="auto" w:fill="auto"/>
            <w:tcMar>
              <w:top w:w="0" w:type="dxa"/>
              <w:left w:w="108" w:type="dxa"/>
              <w:bottom w:w="0" w:type="dxa"/>
              <w:right w:w="108" w:type="dxa"/>
            </w:tcMar>
            <w:vAlign w:val="center"/>
          </w:tcPr>
          <w:p w14:paraId="72F88A9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43E9093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E1428E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1085DA5"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3E7C35E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应付职工薪酬</w:t>
            </w:r>
          </w:p>
        </w:tc>
        <w:tc>
          <w:tcPr>
            <w:tcW w:w="1896" w:type="dxa"/>
            <w:shd w:val="clear" w:color="auto" w:fill="auto"/>
            <w:tcMar>
              <w:top w:w="0" w:type="dxa"/>
              <w:left w:w="108" w:type="dxa"/>
              <w:bottom w:w="0" w:type="dxa"/>
              <w:right w:w="108" w:type="dxa"/>
            </w:tcMar>
            <w:vAlign w:val="center"/>
          </w:tcPr>
          <w:p w14:paraId="3E2D840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4,190.62</w:t>
            </w:r>
          </w:p>
        </w:tc>
        <w:tc>
          <w:tcPr>
            <w:tcW w:w="1896" w:type="dxa"/>
            <w:shd w:val="clear" w:color="auto" w:fill="auto"/>
            <w:tcMar>
              <w:top w:w="0" w:type="dxa"/>
              <w:left w:w="108" w:type="dxa"/>
              <w:bottom w:w="0" w:type="dxa"/>
              <w:right w:w="108" w:type="dxa"/>
            </w:tcMar>
            <w:vAlign w:val="center"/>
          </w:tcPr>
          <w:p w14:paraId="732F3D4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4,226.33</w:t>
            </w:r>
          </w:p>
        </w:tc>
        <w:tc>
          <w:tcPr>
            <w:tcW w:w="1896" w:type="dxa"/>
            <w:shd w:val="clear" w:color="auto" w:fill="auto"/>
            <w:tcMar>
              <w:top w:w="0" w:type="dxa"/>
              <w:left w:w="108" w:type="dxa"/>
              <w:bottom w:w="0" w:type="dxa"/>
              <w:right w:w="108" w:type="dxa"/>
            </w:tcMar>
            <w:vAlign w:val="center"/>
          </w:tcPr>
          <w:p w14:paraId="764F088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3,677.38</w:t>
            </w:r>
          </w:p>
        </w:tc>
      </w:tr>
      <w:tr w:rsidR="006416B0" w:rsidRPr="00B4515A" w14:paraId="456D5520"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8FD5AF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应交税费</w:t>
            </w:r>
          </w:p>
        </w:tc>
        <w:tc>
          <w:tcPr>
            <w:tcW w:w="1896" w:type="dxa"/>
            <w:shd w:val="clear" w:color="auto" w:fill="auto"/>
            <w:tcMar>
              <w:top w:w="0" w:type="dxa"/>
              <w:left w:w="108" w:type="dxa"/>
              <w:bottom w:w="0" w:type="dxa"/>
              <w:right w:w="108" w:type="dxa"/>
            </w:tcMar>
            <w:vAlign w:val="center"/>
          </w:tcPr>
          <w:p w14:paraId="3A98396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434.27</w:t>
            </w:r>
          </w:p>
        </w:tc>
        <w:tc>
          <w:tcPr>
            <w:tcW w:w="1896" w:type="dxa"/>
            <w:shd w:val="clear" w:color="auto" w:fill="auto"/>
            <w:tcMar>
              <w:top w:w="0" w:type="dxa"/>
              <w:left w:w="108" w:type="dxa"/>
              <w:bottom w:w="0" w:type="dxa"/>
              <w:right w:w="108" w:type="dxa"/>
            </w:tcMar>
            <w:vAlign w:val="center"/>
          </w:tcPr>
          <w:p w14:paraId="7CE0208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1,069.29</w:t>
            </w:r>
          </w:p>
        </w:tc>
        <w:tc>
          <w:tcPr>
            <w:tcW w:w="1896" w:type="dxa"/>
            <w:shd w:val="clear" w:color="auto" w:fill="auto"/>
            <w:tcMar>
              <w:top w:w="0" w:type="dxa"/>
              <w:left w:w="108" w:type="dxa"/>
              <w:bottom w:w="0" w:type="dxa"/>
              <w:right w:w="108" w:type="dxa"/>
            </w:tcMar>
            <w:vAlign w:val="center"/>
          </w:tcPr>
          <w:p w14:paraId="3D4CC6A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1,507.38</w:t>
            </w:r>
          </w:p>
        </w:tc>
      </w:tr>
      <w:tr w:rsidR="006416B0" w:rsidRPr="00B4515A" w14:paraId="7EE836EB"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0E67746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其他应付款</w:t>
            </w:r>
          </w:p>
        </w:tc>
        <w:tc>
          <w:tcPr>
            <w:tcW w:w="1896" w:type="dxa"/>
            <w:shd w:val="clear" w:color="auto" w:fill="auto"/>
            <w:tcMar>
              <w:top w:w="0" w:type="dxa"/>
              <w:left w:w="108" w:type="dxa"/>
              <w:bottom w:w="0" w:type="dxa"/>
              <w:right w:w="108" w:type="dxa"/>
            </w:tcMar>
            <w:vAlign w:val="center"/>
          </w:tcPr>
          <w:p w14:paraId="31E9941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246.58</w:t>
            </w:r>
          </w:p>
        </w:tc>
        <w:tc>
          <w:tcPr>
            <w:tcW w:w="1896" w:type="dxa"/>
            <w:shd w:val="clear" w:color="auto" w:fill="auto"/>
            <w:tcMar>
              <w:top w:w="0" w:type="dxa"/>
              <w:left w:w="108" w:type="dxa"/>
              <w:bottom w:w="0" w:type="dxa"/>
              <w:right w:w="108" w:type="dxa"/>
            </w:tcMar>
            <w:vAlign w:val="center"/>
          </w:tcPr>
          <w:p w14:paraId="68E24BA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175.93</w:t>
            </w:r>
          </w:p>
        </w:tc>
        <w:tc>
          <w:tcPr>
            <w:tcW w:w="1896" w:type="dxa"/>
            <w:shd w:val="clear" w:color="auto" w:fill="auto"/>
            <w:tcMar>
              <w:top w:w="0" w:type="dxa"/>
              <w:left w:w="108" w:type="dxa"/>
              <w:bottom w:w="0" w:type="dxa"/>
              <w:right w:w="108" w:type="dxa"/>
            </w:tcMar>
            <w:vAlign w:val="center"/>
          </w:tcPr>
          <w:p w14:paraId="4C7D530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32,054.68</w:t>
            </w:r>
          </w:p>
        </w:tc>
      </w:tr>
      <w:tr w:rsidR="006416B0" w:rsidRPr="00B4515A" w14:paraId="0F3F8D6B"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2D8FD8B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应付手续费及佣金</w:t>
            </w:r>
          </w:p>
        </w:tc>
        <w:tc>
          <w:tcPr>
            <w:tcW w:w="1896" w:type="dxa"/>
            <w:shd w:val="clear" w:color="auto" w:fill="auto"/>
            <w:tcMar>
              <w:top w:w="0" w:type="dxa"/>
              <w:left w:w="108" w:type="dxa"/>
              <w:bottom w:w="0" w:type="dxa"/>
              <w:right w:w="108" w:type="dxa"/>
            </w:tcMar>
            <w:vAlign w:val="center"/>
          </w:tcPr>
          <w:p w14:paraId="0279F4B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1BAE039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7DCBD1E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E696B04"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1420EBE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应付分保账款</w:t>
            </w:r>
          </w:p>
        </w:tc>
        <w:tc>
          <w:tcPr>
            <w:tcW w:w="1896" w:type="dxa"/>
            <w:shd w:val="clear" w:color="auto" w:fill="auto"/>
            <w:tcMar>
              <w:top w:w="0" w:type="dxa"/>
              <w:left w:w="108" w:type="dxa"/>
              <w:bottom w:w="0" w:type="dxa"/>
              <w:right w:w="108" w:type="dxa"/>
            </w:tcMar>
            <w:vAlign w:val="center"/>
          </w:tcPr>
          <w:p w14:paraId="4E06F94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7C96C68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3F4B14C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B5A44EF"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6D3B45E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持有待售负债</w:t>
            </w:r>
          </w:p>
        </w:tc>
        <w:tc>
          <w:tcPr>
            <w:tcW w:w="1896" w:type="dxa"/>
            <w:shd w:val="clear" w:color="auto" w:fill="auto"/>
            <w:tcMar>
              <w:top w:w="0" w:type="dxa"/>
              <w:left w:w="108" w:type="dxa"/>
              <w:bottom w:w="0" w:type="dxa"/>
              <w:right w:w="108" w:type="dxa"/>
            </w:tcMar>
            <w:vAlign w:val="center"/>
          </w:tcPr>
          <w:p w14:paraId="15F68E4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2EBC48E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08449D7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FCFEDC7"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6113691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一年内到期的非流动负债</w:t>
            </w:r>
          </w:p>
        </w:tc>
        <w:tc>
          <w:tcPr>
            <w:tcW w:w="1896" w:type="dxa"/>
            <w:shd w:val="clear" w:color="auto" w:fill="auto"/>
            <w:tcMar>
              <w:top w:w="0" w:type="dxa"/>
              <w:left w:w="108" w:type="dxa"/>
              <w:bottom w:w="0" w:type="dxa"/>
              <w:right w:w="108" w:type="dxa"/>
            </w:tcMar>
            <w:vAlign w:val="center"/>
          </w:tcPr>
          <w:p w14:paraId="40B2FF7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2DFEE12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2610711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7EE83C3"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6E1C46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其他流动负债</w:t>
            </w:r>
          </w:p>
        </w:tc>
        <w:tc>
          <w:tcPr>
            <w:tcW w:w="1896" w:type="dxa"/>
            <w:shd w:val="clear" w:color="auto" w:fill="auto"/>
            <w:tcMar>
              <w:top w:w="0" w:type="dxa"/>
              <w:left w:w="108" w:type="dxa"/>
              <w:bottom w:w="0" w:type="dxa"/>
              <w:right w:w="108" w:type="dxa"/>
            </w:tcMar>
            <w:vAlign w:val="center"/>
          </w:tcPr>
          <w:p w14:paraId="5E37BC5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1,046.48</w:t>
            </w:r>
          </w:p>
        </w:tc>
        <w:tc>
          <w:tcPr>
            <w:tcW w:w="1896" w:type="dxa"/>
            <w:shd w:val="clear" w:color="auto" w:fill="auto"/>
            <w:tcMar>
              <w:top w:w="0" w:type="dxa"/>
              <w:left w:w="108" w:type="dxa"/>
              <w:bottom w:w="0" w:type="dxa"/>
              <w:right w:w="108" w:type="dxa"/>
            </w:tcMar>
            <w:vAlign w:val="center"/>
          </w:tcPr>
          <w:p w14:paraId="1B404BA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539.60</w:t>
            </w:r>
          </w:p>
        </w:tc>
        <w:tc>
          <w:tcPr>
            <w:tcW w:w="1896" w:type="dxa"/>
            <w:shd w:val="clear" w:color="auto" w:fill="auto"/>
            <w:tcMar>
              <w:top w:w="0" w:type="dxa"/>
              <w:left w:w="108" w:type="dxa"/>
              <w:bottom w:w="0" w:type="dxa"/>
              <w:right w:w="108" w:type="dxa"/>
            </w:tcMar>
            <w:vAlign w:val="center"/>
          </w:tcPr>
          <w:p w14:paraId="0CA3833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4C7C986"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1441D06B"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流动负债合计</w:t>
            </w:r>
          </w:p>
        </w:tc>
        <w:tc>
          <w:tcPr>
            <w:tcW w:w="1896" w:type="dxa"/>
            <w:shd w:val="clear" w:color="auto" w:fill="auto"/>
            <w:tcMar>
              <w:top w:w="0" w:type="dxa"/>
              <w:left w:w="108" w:type="dxa"/>
              <w:bottom w:w="0" w:type="dxa"/>
              <w:right w:w="108" w:type="dxa"/>
            </w:tcMar>
            <w:vAlign w:val="center"/>
          </w:tcPr>
          <w:p w14:paraId="3BE56706"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68,305.45</w:t>
            </w:r>
          </w:p>
        </w:tc>
        <w:tc>
          <w:tcPr>
            <w:tcW w:w="1896" w:type="dxa"/>
            <w:shd w:val="clear" w:color="auto" w:fill="auto"/>
            <w:tcMar>
              <w:top w:w="0" w:type="dxa"/>
              <w:left w:w="108" w:type="dxa"/>
              <w:bottom w:w="0" w:type="dxa"/>
              <w:right w:w="108" w:type="dxa"/>
            </w:tcMar>
            <w:vAlign w:val="center"/>
          </w:tcPr>
          <w:p w14:paraId="6AAE15F6"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67,175.31</w:t>
            </w:r>
          </w:p>
        </w:tc>
        <w:tc>
          <w:tcPr>
            <w:tcW w:w="1896" w:type="dxa"/>
            <w:shd w:val="clear" w:color="auto" w:fill="auto"/>
            <w:tcMar>
              <w:top w:w="0" w:type="dxa"/>
              <w:left w:w="108" w:type="dxa"/>
              <w:bottom w:w="0" w:type="dxa"/>
              <w:right w:w="108" w:type="dxa"/>
            </w:tcMar>
            <w:vAlign w:val="center"/>
          </w:tcPr>
          <w:p w14:paraId="338D74D4"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89,150.36</w:t>
            </w:r>
          </w:p>
        </w:tc>
      </w:tr>
      <w:tr w:rsidR="006416B0" w:rsidRPr="00B4515A" w14:paraId="44CB706D"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0F8AF1B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非流动负债：</w:t>
            </w:r>
          </w:p>
        </w:tc>
        <w:tc>
          <w:tcPr>
            <w:tcW w:w="1896" w:type="dxa"/>
            <w:shd w:val="clear" w:color="auto" w:fill="auto"/>
            <w:tcMar>
              <w:top w:w="0" w:type="dxa"/>
              <w:left w:w="108" w:type="dxa"/>
              <w:bottom w:w="0" w:type="dxa"/>
              <w:right w:w="108" w:type="dxa"/>
            </w:tcMar>
            <w:vAlign w:val="center"/>
          </w:tcPr>
          <w:p w14:paraId="60680A1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125803E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59B605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06A0936"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BA4CD6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保险合同准备金</w:t>
            </w:r>
          </w:p>
        </w:tc>
        <w:tc>
          <w:tcPr>
            <w:tcW w:w="1896" w:type="dxa"/>
            <w:shd w:val="clear" w:color="auto" w:fill="auto"/>
            <w:tcMar>
              <w:top w:w="0" w:type="dxa"/>
              <w:left w:w="108" w:type="dxa"/>
              <w:bottom w:w="0" w:type="dxa"/>
              <w:right w:w="108" w:type="dxa"/>
            </w:tcMar>
            <w:vAlign w:val="center"/>
          </w:tcPr>
          <w:p w14:paraId="0C67DC8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0783FC2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6D6D97E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B72FE65"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1EF0136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长期借款</w:t>
            </w:r>
          </w:p>
        </w:tc>
        <w:tc>
          <w:tcPr>
            <w:tcW w:w="1896" w:type="dxa"/>
            <w:shd w:val="clear" w:color="auto" w:fill="auto"/>
            <w:tcMar>
              <w:top w:w="0" w:type="dxa"/>
              <w:left w:w="108" w:type="dxa"/>
              <w:bottom w:w="0" w:type="dxa"/>
              <w:right w:w="108" w:type="dxa"/>
            </w:tcMar>
            <w:vAlign w:val="center"/>
          </w:tcPr>
          <w:p w14:paraId="7B24B4B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4A351AE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7256151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614A5AC"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3596650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应付债券</w:t>
            </w:r>
          </w:p>
        </w:tc>
        <w:tc>
          <w:tcPr>
            <w:tcW w:w="1896" w:type="dxa"/>
            <w:shd w:val="clear" w:color="auto" w:fill="auto"/>
            <w:tcMar>
              <w:top w:w="0" w:type="dxa"/>
              <w:left w:w="108" w:type="dxa"/>
              <w:bottom w:w="0" w:type="dxa"/>
              <w:right w:w="108" w:type="dxa"/>
            </w:tcMar>
            <w:vAlign w:val="center"/>
          </w:tcPr>
          <w:p w14:paraId="65AD71A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49EE573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7954F6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125E192"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31247D3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其中：优先股</w:t>
            </w:r>
          </w:p>
        </w:tc>
        <w:tc>
          <w:tcPr>
            <w:tcW w:w="1896" w:type="dxa"/>
            <w:shd w:val="clear" w:color="auto" w:fill="auto"/>
            <w:tcMar>
              <w:top w:w="0" w:type="dxa"/>
              <w:left w:w="108" w:type="dxa"/>
              <w:bottom w:w="0" w:type="dxa"/>
              <w:right w:w="108" w:type="dxa"/>
            </w:tcMar>
            <w:vAlign w:val="center"/>
          </w:tcPr>
          <w:p w14:paraId="5FE5917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050B135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14F1F3E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0F982CC"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54B67E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永续债</w:t>
            </w:r>
          </w:p>
        </w:tc>
        <w:tc>
          <w:tcPr>
            <w:tcW w:w="1896" w:type="dxa"/>
            <w:shd w:val="clear" w:color="auto" w:fill="auto"/>
            <w:tcMar>
              <w:top w:w="0" w:type="dxa"/>
              <w:left w:w="108" w:type="dxa"/>
              <w:bottom w:w="0" w:type="dxa"/>
              <w:right w:w="108" w:type="dxa"/>
            </w:tcMar>
            <w:vAlign w:val="center"/>
          </w:tcPr>
          <w:p w14:paraId="78DE7FF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0ADFAED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42429FC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5B23426"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F1B813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租赁负债</w:t>
            </w:r>
          </w:p>
        </w:tc>
        <w:tc>
          <w:tcPr>
            <w:tcW w:w="1896" w:type="dxa"/>
            <w:shd w:val="clear" w:color="auto" w:fill="auto"/>
            <w:tcMar>
              <w:top w:w="0" w:type="dxa"/>
              <w:left w:w="108" w:type="dxa"/>
              <w:bottom w:w="0" w:type="dxa"/>
              <w:right w:w="108" w:type="dxa"/>
            </w:tcMar>
            <w:vAlign w:val="center"/>
          </w:tcPr>
          <w:p w14:paraId="6D39AC5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4,354.24</w:t>
            </w:r>
          </w:p>
        </w:tc>
        <w:tc>
          <w:tcPr>
            <w:tcW w:w="1896" w:type="dxa"/>
            <w:shd w:val="clear" w:color="auto" w:fill="auto"/>
            <w:tcMar>
              <w:top w:w="0" w:type="dxa"/>
              <w:left w:w="108" w:type="dxa"/>
              <w:bottom w:w="0" w:type="dxa"/>
              <w:right w:w="108" w:type="dxa"/>
            </w:tcMar>
            <w:vAlign w:val="center"/>
          </w:tcPr>
          <w:p w14:paraId="5894913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694CE1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4370388"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08764B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长期应付款</w:t>
            </w:r>
          </w:p>
        </w:tc>
        <w:tc>
          <w:tcPr>
            <w:tcW w:w="1896" w:type="dxa"/>
            <w:shd w:val="clear" w:color="auto" w:fill="auto"/>
            <w:tcMar>
              <w:top w:w="0" w:type="dxa"/>
              <w:left w:w="108" w:type="dxa"/>
              <w:bottom w:w="0" w:type="dxa"/>
              <w:right w:w="108" w:type="dxa"/>
            </w:tcMar>
            <w:vAlign w:val="center"/>
          </w:tcPr>
          <w:p w14:paraId="252F317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1E8AA26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4784943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C0632D4"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0D8F546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长期应付职工薪酬</w:t>
            </w:r>
          </w:p>
        </w:tc>
        <w:tc>
          <w:tcPr>
            <w:tcW w:w="1896" w:type="dxa"/>
            <w:shd w:val="clear" w:color="auto" w:fill="auto"/>
            <w:tcMar>
              <w:top w:w="0" w:type="dxa"/>
              <w:left w:w="108" w:type="dxa"/>
              <w:bottom w:w="0" w:type="dxa"/>
              <w:right w:w="108" w:type="dxa"/>
            </w:tcMar>
            <w:vAlign w:val="center"/>
          </w:tcPr>
          <w:p w14:paraId="4EA668C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610FA22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2FCD24B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8165F6E"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4D8F19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lastRenderedPageBreak/>
              <w:t>预计负债</w:t>
            </w:r>
          </w:p>
        </w:tc>
        <w:tc>
          <w:tcPr>
            <w:tcW w:w="1896" w:type="dxa"/>
            <w:shd w:val="clear" w:color="auto" w:fill="auto"/>
            <w:tcMar>
              <w:top w:w="0" w:type="dxa"/>
              <w:left w:w="108" w:type="dxa"/>
              <w:bottom w:w="0" w:type="dxa"/>
              <w:right w:w="108" w:type="dxa"/>
            </w:tcMar>
            <w:vAlign w:val="center"/>
          </w:tcPr>
          <w:p w14:paraId="51BA04F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685CD43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4C46181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752D808"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D57C03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递延收益</w:t>
            </w:r>
          </w:p>
        </w:tc>
        <w:tc>
          <w:tcPr>
            <w:tcW w:w="1896" w:type="dxa"/>
            <w:shd w:val="clear" w:color="auto" w:fill="auto"/>
            <w:tcMar>
              <w:top w:w="0" w:type="dxa"/>
              <w:left w:w="108" w:type="dxa"/>
              <w:bottom w:w="0" w:type="dxa"/>
              <w:right w:w="108" w:type="dxa"/>
            </w:tcMar>
            <w:vAlign w:val="center"/>
          </w:tcPr>
          <w:p w14:paraId="3A762C9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629872B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0D74DD1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8ADECD7"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20367D7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递延所得税负债</w:t>
            </w:r>
          </w:p>
        </w:tc>
        <w:tc>
          <w:tcPr>
            <w:tcW w:w="1896" w:type="dxa"/>
            <w:shd w:val="clear" w:color="auto" w:fill="auto"/>
            <w:tcMar>
              <w:top w:w="0" w:type="dxa"/>
              <w:left w:w="108" w:type="dxa"/>
              <w:bottom w:w="0" w:type="dxa"/>
              <w:right w:w="108" w:type="dxa"/>
            </w:tcMar>
            <w:vAlign w:val="center"/>
          </w:tcPr>
          <w:p w14:paraId="6578919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429.45</w:t>
            </w:r>
          </w:p>
        </w:tc>
        <w:tc>
          <w:tcPr>
            <w:tcW w:w="1896" w:type="dxa"/>
            <w:shd w:val="clear" w:color="auto" w:fill="auto"/>
            <w:tcMar>
              <w:top w:w="0" w:type="dxa"/>
              <w:left w:w="108" w:type="dxa"/>
              <w:bottom w:w="0" w:type="dxa"/>
              <w:right w:w="108" w:type="dxa"/>
            </w:tcMar>
            <w:vAlign w:val="center"/>
          </w:tcPr>
          <w:p w14:paraId="5D76AA7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429.45</w:t>
            </w:r>
          </w:p>
        </w:tc>
        <w:tc>
          <w:tcPr>
            <w:tcW w:w="1896" w:type="dxa"/>
            <w:shd w:val="clear" w:color="auto" w:fill="auto"/>
            <w:tcMar>
              <w:top w:w="0" w:type="dxa"/>
              <w:left w:w="108" w:type="dxa"/>
              <w:bottom w:w="0" w:type="dxa"/>
              <w:right w:w="108" w:type="dxa"/>
            </w:tcMar>
            <w:vAlign w:val="center"/>
          </w:tcPr>
          <w:p w14:paraId="2C75A7A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226.40</w:t>
            </w:r>
          </w:p>
        </w:tc>
      </w:tr>
      <w:tr w:rsidR="006416B0" w:rsidRPr="00B4515A" w14:paraId="7BBB13D2"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0363C3E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其他非流动负债</w:t>
            </w:r>
          </w:p>
        </w:tc>
        <w:tc>
          <w:tcPr>
            <w:tcW w:w="1896" w:type="dxa"/>
            <w:shd w:val="clear" w:color="auto" w:fill="auto"/>
            <w:tcMar>
              <w:top w:w="0" w:type="dxa"/>
              <w:left w:w="108" w:type="dxa"/>
              <w:bottom w:w="0" w:type="dxa"/>
              <w:right w:w="108" w:type="dxa"/>
            </w:tcMar>
            <w:vAlign w:val="center"/>
          </w:tcPr>
          <w:p w14:paraId="255F5FE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6EF7C8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3C89562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3FAA324"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52F45094"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非流动负债合计</w:t>
            </w:r>
          </w:p>
        </w:tc>
        <w:tc>
          <w:tcPr>
            <w:tcW w:w="1896" w:type="dxa"/>
            <w:shd w:val="clear" w:color="auto" w:fill="auto"/>
            <w:tcMar>
              <w:top w:w="0" w:type="dxa"/>
              <w:left w:w="108" w:type="dxa"/>
              <w:bottom w:w="0" w:type="dxa"/>
              <w:right w:w="108" w:type="dxa"/>
            </w:tcMar>
            <w:vAlign w:val="center"/>
          </w:tcPr>
          <w:p w14:paraId="01C4302F"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4,783.68</w:t>
            </w:r>
          </w:p>
        </w:tc>
        <w:tc>
          <w:tcPr>
            <w:tcW w:w="1896" w:type="dxa"/>
            <w:shd w:val="clear" w:color="auto" w:fill="auto"/>
            <w:tcMar>
              <w:top w:w="0" w:type="dxa"/>
              <w:left w:w="108" w:type="dxa"/>
              <w:bottom w:w="0" w:type="dxa"/>
              <w:right w:w="108" w:type="dxa"/>
            </w:tcMar>
            <w:vAlign w:val="center"/>
          </w:tcPr>
          <w:p w14:paraId="5E793C8F"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429.45</w:t>
            </w:r>
          </w:p>
        </w:tc>
        <w:tc>
          <w:tcPr>
            <w:tcW w:w="1896" w:type="dxa"/>
            <w:shd w:val="clear" w:color="auto" w:fill="auto"/>
            <w:tcMar>
              <w:top w:w="0" w:type="dxa"/>
              <w:left w:w="108" w:type="dxa"/>
              <w:bottom w:w="0" w:type="dxa"/>
              <w:right w:w="108" w:type="dxa"/>
            </w:tcMar>
            <w:vAlign w:val="center"/>
          </w:tcPr>
          <w:p w14:paraId="6C1530B6"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226.40</w:t>
            </w:r>
          </w:p>
        </w:tc>
      </w:tr>
      <w:tr w:rsidR="006416B0" w:rsidRPr="00B4515A" w14:paraId="0874E63E"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1515AA5"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负债合计</w:t>
            </w:r>
          </w:p>
        </w:tc>
        <w:tc>
          <w:tcPr>
            <w:tcW w:w="1896" w:type="dxa"/>
            <w:shd w:val="clear" w:color="auto" w:fill="auto"/>
            <w:tcMar>
              <w:top w:w="0" w:type="dxa"/>
              <w:left w:w="108" w:type="dxa"/>
              <w:bottom w:w="0" w:type="dxa"/>
              <w:right w:w="108" w:type="dxa"/>
            </w:tcMar>
            <w:vAlign w:val="center"/>
          </w:tcPr>
          <w:p w14:paraId="690F391E"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73,089.14</w:t>
            </w:r>
          </w:p>
        </w:tc>
        <w:tc>
          <w:tcPr>
            <w:tcW w:w="1896" w:type="dxa"/>
            <w:shd w:val="clear" w:color="auto" w:fill="auto"/>
            <w:tcMar>
              <w:top w:w="0" w:type="dxa"/>
              <w:left w:w="108" w:type="dxa"/>
              <w:bottom w:w="0" w:type="dxa"/>
              <w:right w:w="108" w:type="dxa"/>
            </w:tcMar>
            <w:vAlign w:val="center"/>
          </w:tcPr>
          <w:p w14:paraId="080F1130"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67,604.76</w:t>
            </w:r>
          </w:p>
        </w:tc>
        <w:tc>
          <w:tcPr>
            <w:tcW w:w="1896" w:type="dxa"/>
            <w:shd w:val="clear" w:color="auto" w:fill="auto"/>
            <w:tcMar>
              <w:top w:w="0" w:type="dxa"/>
              <w:left w:w="108" w:type="dxa"/>
              <w:bottom w:w="0" w:type="dxa"/>
              <w:right w:w="108" w:type="dxa"/>
            </w:tcMar>
            <w:vAlign w:val="center"/>
          </w:tcPr>
          <w:p w14:paraId="45131762"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89,376.76</w:t>
            </w:r>
          </w:p>
        </w:tc>
      </w:tr>
      <w:tr w:rsidR="006416B0" w:rsidRPr="00B4515A" w14:paraId="48BAB35F"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07B1919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所有者权益：</w:t>
            </w:r>
          </w:p>
        </w:tc>
        <w:tc>
          <w:tcPr>
            <w:tcW w:w="1896" w:type="dxa"/>
            <w:shd w:val="clear" w:color="auto" w:fill="auto"/>
            <w:tcMar>
              <w:top w:w="0" w:type="dxa"/>
              <w:left w:w="108" w:type="dxa"/>
              <w:bottom w:w="0" w:type="dxa"/>
              <w:right w:w="108" w:type="dxa"/>
            </w:tcMar>
            <w:vAlign w:val="center"/>
          </w:tcPr>
          <w:p w14:paraId="422C43F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37387EA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0D6076D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0577833"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3D802AF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实收资本</w:t>
            </w:r>
          </w:p>
        </w:tc>
        <w:tc>
          <w:tcPr>
            <w:tcW w:w="1896" w:type="dxa"/>
            <w:shd w:val="clear" w:color="auto" w:fill="auto"/>
            <w:tcMar>
              <w:top w:w="0" w:type="dxa"/>
              <w:left w:w="108" w:type="dxa"/>
              <w:bottom w:w="0" w:type="dxa"/>
              <w:right w:w="108" w:type="dxa"/>
            </w:tcMar>
            <w:vAlign w:val="center"/>
          </w:tcPr>
          <w:p w14:paraId="78FDFFD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108,382.03</w:t>
            </w:r>
          </w:p>
        </w:tc>
        <w:tc>
          <w:tcPr>
            <w:tcW w:w="1896" w:type="dxa"/>
            <w:shd w:val="clear" w:color="auto" w:fill="auto"/>
            <w:tcMar>
              <w:top w:w="0" w:type="dxa"/>
              <w:left w:w="108" w:type="dxa"/>
              <w:bottom w:w="0" w:type="dxa"/>
              <w:right w:w="108" w:type="dxa"/>
            </w:tcMar>
            <w:vAlign w:val="center"/>
          </w:tcPr>
          <w:p w14:paraId="434C52A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64,885.28</w:t>
            </w:r>
          </w:p>
        </w:tc>
        <w:tc>
          <w:tcPr>
            <w:tcW w:w="1896" w:type="dxa"/>
            <w:shd w:val="clear" w:color="auto" w:fill="auto"/>
            <w:tcMar>
              <w:top w:w="0" w:type="dxa"/>
              <w:left w:w="108" w:type="dxa"/>
              <w:bottom w:w="0" w:type="dxa"/>
              <w:right w:w="108" w:type="dxa"/>
            </w:tcMar>
            <w:vAlign w:val="center"/>
          </w:tcPr>
          <w:p w14:paraId="620B235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38,732.36</w:t>
            </w:r>
          </w:p>
        </w:tc>
      </w:tr>
      <w:tr w:rsidR="006416B0" w:rsidRPr="00B4515A" w14:paraId="10D0384E"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16AB343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其他权益工具</w:t>
            </w:r>
          </w:p>
        </w:tc>
        <w:tc>
          <w:tcPr>
            <w:tcW w:w="1896" w:type="dxa"/>
            <w:shd w:val="clear" w:color="auto" w:fill="auto"/>
            <w:tcMar>
              <w:top w:w="0" w:type="dxa"/>
              <w:left w:w="108" w:type="dxa"/>
              <w:bottom w:w="0" w:type="dxa"/>
              <w:right w:w="108" w:type="dxa"/>
            </w:tcMar>
            <w:vAlign w:val="center"/>
          </w:tcPr>
          <w:p w14:paraId="40FDF25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6947232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691CCC2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F31F5DD"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1F0CB6C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其中：优先股</w:t>
            </w:r>
          </w:p>
        </w:tc>
        <w:tc>
          <w:tcPr>
            <w:tcW w:w="1896" w:type="dxa"/>
            <w:shd w:val="clear" w:color="auto" w:fill="auto"/>
            <w:tcMar>
              <w:top w:w="0" w:type="dxa"/>
              <w:left w:w="108" w:type="dxa"/>
              <w:bottom w:w="0" w:type="dxa"/>
              <w:right w:w="108" w:type="dxa"/>
            </w:tcMar>
            <w:vAlign w:val="center"/>
          </w:tcPr>
          <w:p w14:paraId="45CD54E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713EDC8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139E691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8EFB22E"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7AB1F1B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永续债</w:t>
            </w:r>
          </w:p>
        </w:tc>
        <w:tc>
          <w:tcPr>
            <w:tcW w:w="1896" w:type="dxa"/>
            <w:shd w:val="clear" w:color="auto" w:fill="auto"/>
            <w:tcMar>
              <w:top w:w="0" w:type="dxa"/>
              <w:left w:w="108" w:type="dxa"/>
              <w:bottom w:w="0" w:type="dxa"/>
              <w:right w:w="108" w:type="dxa"/>
            </w:tcMar>
            <w:vAlign w:val="center"/>
          </w:tcPr>
          <w:p w14:paraId="17927F1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6A22D3E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527F50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C5F9328"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1E93881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资本公积</w:t>
            </w:r>
          </w:p>
        </w:tc>
        <w:tc>
          <w:tcPr>
            <w:tcW w:w="1896" w:type="dxa"/>
            <w:shd w:val="clear" w:color="auto" w:fill="auto"/>
            <w:tcMar>
              <w:top w:w="0" w:type="dxa"/>
              <w:left w:w="108" w:type="dxa"/>
              <w:bottom w:w="0" w:type="dxa"/>
              <w:right w:w="108" w:type="dxa"/>
            </w:tcMar>
            <w:vAlign w:val="center"/>
          </w:tcPr>
          <w:p w14:paraId="1CD8E47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61,747.13</w:t>
            </w:r>
          </w:p>
        </w:tc>
        <w:tc>
          <w:tcPr>
            <w:tcW w:w="1896" w:type="dxa"/>
            <w:shd w:val="clear" w:color="auto" w:fill="auto"/>
            <w:tcMar>
              <w:top w:w="0" w:type="dxa"/>
              <w:left w:w="108" w:type="dxa"/>
              <w:bottom w:w="0" w:type="dxa"/>
              <w:right w:w="108" w:type="dxa"/>
            </w:tcMar>
            <w:vAlign w:val="center"/>
          </w:tcPr>
          <w:p w14:paraId="47C0E08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48,128.88</w:t>
            </w:r>
          </w:p>
        </w:tc>
        <w:tc>
          <w:tcPr>
            <w:tcW w:w="1896" w:type="dxa"/>
            <w:shd w:val="clear" w:color="auto" w:fill="auto"/>
            <w:tcMar>
              <w:top w:w="0" w:type="dxa"/>
              <w:left w:w="108" w:type="dxa"/>
              <w:bottom w:w="0" w:type="dxa"/>
              <w:right w:w="108" w:type="dxa"/>
            </w:tcMar>
            <w:vAlign w:val="center"/>
          </w:tcPr>
          <w:p w14:paraId="4D7353B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42,675.80</w:t>
            </w:r>
          </w:p>
        </w:tc>
      </w:tr>
      <w:tr w:rsidR="006416B0" w:rsidRPr="00B4515A" w14:paraId="67725DAB"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599D532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减：库存股</w:t>
            </w:r>
          </w:p>
        </w:tc>
        <w:tc>
          <w:tcPr>
            <w:tcW w:w="1896" w:type="dxa"/>
            <w:shd w:val="clear" w:color="auto" w:fill="auto"/>
            <w:tcMar>
              <w:top w:w="0" w:type="dxa"/>
              <w:left w:w="108" w:type="dxa"/>
              <w:bottom w:w="0" w:type="dxa"/>
              <w:right w:w="108" w:type="dxa"/>
            </w:tcMar>
            <w:vAlign w:val="center"/>
          </w:tcPr>
          <w:p w14:paraId="038BCF0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2592A49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05C165F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F868B92"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2980634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其他综合收益</w:t>
            </w:r>
          </w:p>
        </w:tc>
        <w:tc>
          <w:tcPr>
            <w:tcW w:w="1896" w:type="dxa"/>
            <w:shd w:val="clear" w:color="auto" w:fill="auto"/>
            <w:tcMar>
              <w:top w:w="0" w:type="dxa"/>
              <w:left w:w="108" w:type="dxa"/>
              <w:bottom w:w="0" w:type="dxa"/>
              <w:right w:w="108" w:type="dxa"/>
            </w:tcMar>
            <w:vAlign w:val="center"/>
          </w:tcPr>
          <w:p w14:paraId="3D6C914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2,433.54</w:t>
            </w:r>
          </w:p>
        </w:tc>
        <w:tc>
          <w:tcPr>
            <w:tcW w:w="1896" w:type="dxa"/>
            <w:shd w:val="clear" w:color="auto" w:fill="auto"/>
            <w:tcMar>
              <w:top w:w="0" w:type="dxa"/>
              <w:left w:w="108" w:type="dxa"/>
              <w:bottom w:w="0" w:type="dxa"/>
              <w:right w:w="108" w:type="dxa"/>
            </w:tcMar>
            <w:vAlign w:val="center"/>
          </w:tcPr>
          <w:p w14:paraId="090F04E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2,433.54</w:t>
            </w:r>
          </w:p>
        </w:tc>
        <w:tc>
          <w:tcPr>
            <w:tcW w:w="1896" w:type="dxa"/>
            <w:shd w:val="clear" w:color="auto" w:fill="auto"/>
            <w:tcMar>
              <w:top w:w="0" w:type="dxa"/>
              <w:left w:w="108" w:type="dxa"/>
              <w:bottom w:w="0" w:type="dxa"/>
              <w:right w:w="108" w:type="dxa"/>
            </w:tcMar>
            <w:vAlign w:val="center"/>
          </w:tcPr>
          <w:p w14:paraId="203BC1C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1,282.95</w:t>
            </w:r>
          </w:p>
        </w:tc>
      </w:tr>
      <w:tr w:rsidR="006416B0" w:rsidRPr="00B4515A" w14:paraId="57A33791"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57A53F6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专项储备</w:t>
            </w:r>
          </w:p>
        </w:tc>
        <w:tc>
          <w:tcPr>
            <w:tcW w:w="1896" w:type="dxa"/>
            <w:shd w:val="clear" w:color="auto" w:fill="auto"/>
            <w:tcMar>
              <w:top w:w="0" w:type="dxa"/>
              <w:left w:w="108" w:type="dxa"/>
              <w:bottom w:w="0" w:type="dxa"/>
              <w:right w:w="108" w:type="dxa"/>
            </w:tcMar>
            <w:vAlign w:val="center"/>
          </w:tcPr>
          <w:p w14:paraId="797EF4D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1683B77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621541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B34EABE"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2B97874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盈余公积</w:t>
            </w:r>
          </w:p>
        </w:tc>
        <w:tc>
          <w:tcPr>
            <w:tcW w:w="1896" w:type="dxa"/>
            <w:shd w:val="clear" w:color="auto" w:fill="auto"/>
            <w:tcMar>
              <w:top w:w="0" w:type="dxa"/>
              <w:left w:w="108" w:type="dxa"/>
              <w:bottom w:w="0" w:type="dxa"/>
              <w:right w:w="108" w:type="dxa"/>
            </w:tcMar>
            <w:vAlign w:val="center"/>
          </w:tcPr>
          <w:p w14:paraId="6F2D5AD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681.91</w:t>
            </w:r>
          </w:p>
        </w:tc>
        <w:tc>
          <w:tcPr>
            <w:tcW w:w="1896" w:type="dxa"/>
            <w:shd w:val="clear" w:color="auto" w:fill="auto"/>
            <w:tcMar>
              <w:top w:w="0" w:type="dxa"/>
              <w:left w:w="108" w:type="dxa"/>
              <w:bottom w:w="0" w:type="dxa"/>
              <w:right w:w="108" w:type="dxa"/>
            </w:tcMar>
            <w:vAlign w:val="center"/>
          </w:tcPr>
          <w:p w14:paraId="3A032F8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681.91</w:t>
            </w:r>
          </w:p>
        </w:tc>
        <w:tc>
          <w:tcPr>
            <w:tcW w:w="1896" w:type="dxa"/>
            <w:shd w:val="clear" w:color="auto" w:fill="auto"/>
            <w:tcMar>
              <w:top w:w="0" w:type="dxa"/>
              <w:left w:w="108" w:type="dxa"/>
              <w:bottom w:w="0" w:type="dxa"/>
              <w:right w:w="108" w:type="dxa"/>
            </w:tcMar>
            <w:vAlign w:val="center"/>
          </w:tcPr>
          <w:p w14:paraId="2743B2F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681.91</w:t>
            </w:r>
          </w:p>
        </w:tc>
      </w:tr>
      <w:tr w:rsidR="006416B0" w:rsidRPr="00B4515A" w14:paraId="3BF0FC31"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681E6C6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一般风险准备</w:t>
            </w:r>
          </w:p>
        </w:tc>
        <w:tc>
          <w:tcPr>
            <w:tcW w:w="1896" w:type="dxa"/>
            <w:shd w:val="clear" w:color="auto" w:fill="auto"/>
            <w:tcMar>
              <w:top w:w="0" w:type="dxa"/>
              <w:left w:w="108" w:type="dxa"/>
              <w:bottom w:w="0" w:type="dxa"/>
              <w:right w:w="108" w:type="dxa"/>
            </w:tcMar>
            <w:vAlign w:val="center"/>
          </w:tcPr>
          <w:p w14:paraId="72310B6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E9018E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919557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B888F89"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2707B99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未分配利润</w:t>
            </w:r>
          </w:p>
        </w:tc>
        <w:tc>
          <w:tcPr>
            <w:tcW w:w="1896" w:type="dxa"/>
            <w:shd w:val="clear" w:color="auto" w:fill="auto"/>
            <w:tcMar>
              <w:top w:w="0" w:type="dxa"/>
              <w:left w:w="108" w:type="dxa"/>
              <w:bottom w:w="0" w:type="dxa"/>
              <w:right w:w="108" w:type="dxa"/>
            </w:tcMar>
            <w:vAlign w:val="center"/>
          </w:tcPr>
          <w:p w14:paraId="6E67D53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-95,755.87</w:t>
            </w:r>
          </w:p>
        </w:tc>
        <w:tc>
          <w:tcPr>
            <w:tcW w:w="1896" w:type="dxa"/>
            <w:shd w:val="clear" w:color="auto" w:fill="auto"/>
            <w:tcMar>
              <w:top w:w="0" w:type="dxa"/>
              <w:left w:w="108" w:type="dxa"/>
              <w:bottom w:w="0" w:type="dxa"/>
              <w:right w:w="108" w:type="dxa"/>
            </w:tcMar>
            <w:vAlign w:val="center"/>
          </w:tcPr>
          <w:p w14:paraId="206C308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-96,535.96</w:t>
            </w:r>
          </w:p>
        </w:tc>
        <w:tc>
          <w:tcPr>
            <w:tcW w:w="1896" w:type="dxa"/>
            <w:shd w:val="clear" w:color="auto" w:fill="auto"/>
            <w:tcMar>
              <w:top w:w="0" w:type="dxa"/>
              <w:left w:w="108" w:type="dxa"/>
              <w:bottom w:w="0" w:type="dxa"/>
              <w:right w:w="108" w:type="dxa"/>
            </w:tcMar>
            <w:vAlign w:val="center"/>
          </w:tcPr>
          <w:p w14:paraId="718F24E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-100,742.80</w:t>
            </w:r>
          </w:p>
        </w:tc>
      </w:tr>
      <w:tr w:rsidR="006416B0" w:rsidRPr="00B4515A" w14:paraId="32849AFA"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60F742E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归属于母公司所有者权益合计</w:t>
            </w:r>
          </w:p>
        </w:tc>
        <w:tc>
          <w:tcPr>
            <w:tcW w:w="1896" w:type="dxa"/>
            <w:shd w:val="clear" w:color="auto" w:fill="auto"/>
            <w:tcMar>
              <w:top w:w="0" w:type="dxa"/>
              <w:left w:w="108" w:type="dxa"/>
              <w:bottom w:w="0" w:type="dxa"/>
              <w:right w:w="108" w:type="dxa"/>
            </w:tcMar>
            <w:vAlign w:val="center"/>
          </w:tcPr>
          <w:p w14:paraId="08CF54D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77,488.74</w:t>
            </w:r>
          </w:p>
        </w:tc>
        <w:tc>
          <w:tcPr>
            <w:tcW w:w="1896" w:type="dxa"/>
            <w:shd w:val="clear" w:color="auto" w:fill="auto"/>
            <w:tcMar>
              <w:top w:w="0" w:type="dxa"/>
              <w:left w:w="108" w:type="dxa"/>
              <w:bottom w:w="0" w:type="dxa"/>
              <w:right w:w="108" w:type="dxa"/>
            </w:tcMar>
            <w:vAlign w:val="center"/>
          </w:tcPr>
          <w:p w14:paraId="14F7892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19,593.66</w:t>
            </w:r>
          </w:p>
        </w:tc>
        <w:tc>
          <w:tcPr>
            <w:tcW w:w="1896" w:type="dxa"/>
            <w:shd w:val="clear" w:color="auto" w:fill="auto"/>
            <w:tcMar>
              <w:top w:w="0" w:type="dxa"/>
              <w:left w:w="108" w:type="dxa"/>
              <w:bottom w:w="0" w:type="dxa"/>
              <w:right w:w="108" w:type="dxa"/>
            </w:tcMar>
            <w:vAlign w:val="center"/>
          </w:tcPr>
          <w:p w14:paraId="7755D2C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-17,369.78</w:t>
            </w:r>
          </w:p>
        </w:tc>
      </w:tr>
      <w:tr w:rsidR="006416B0" w:rsidRPr="00B4515A" w14:paraId="2CD39C05"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243A2B9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少数股东权益</w:t>
            </w:r>
          </w:p>
        </w:tc>
        <w:tc>
          <w:tcPr>
            <w:tcW w:w="1896" w:type="dxa"/>
            <w:shd w:val="clear" w:color="auto" w:fill="auto"/>
            <w:tcMar>
              <w:top w:w="0" w:type="dxa"/>
              <w:left w:w="108" w:type="dxa"/>
              <w:bottom w:w="0" w:type="dxa"/>
              <w:right w:w="108" w:type="dxa"/>
            </w:tcMar>
            <w:vAlign w:val="center"/>
          </w:tcPr>
          <w:p w14:paraId="66A6C6E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2729423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74DF127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5570E23"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4D15485A"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所有者权益合计</w:t>
            </w:r>
          </w:p>
        </w:tc>
        <w:tc>
          <w:tcPr>
            <w:tcW w:w="1896" w:type="dxa"/>
            <w:shd w:val="clear" w:color="auto" w:fill="auto"/>
            <w:tcMar>
              <w:top w:w="0" w:type="dxa"/>
              <w:left w:w="108" w:type="dxa"/>
              <w:bottom w:w="0" w:type="dxa"/>
              <w:right w:w="108" w:type="dxa"/>
            </w:tcMar>
            <w:vAlign w:val="center"/>
          </w:tcPr>
          <w:p w14:paraId="44858B0C"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77,488.74</w:t>
            </w:r>
          </w:p>
        </w:tc>
        <w:tc>
          <w:tcPr>
            <w:tcW w:w="1896" w:type="dxa"/>
            <w:shd w:val="clear" w:color="auto" w:fill="auto"/>
            <w:tcMar>
              <w:top w:w="0" w:type="dxa"/>
              <w:left w:w="108" w:type="dxa"/>
              <w:bottom w:w="0" w:type="dxa"/>
              <w:right w:w="108" w:type="dxa"/>
            </w:tcMar>
            <w:vAlign w:val="center"/>
          </w:tcPr>
          <w:p w14:paraId="523429D8"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19,593.66</w:t>
            </w:r>
          </w:p>
        </w:tc>
        <w:tc>
          <w:tcPr>
            <w:tcW w:w="1896" w:type="dxa"/>
            <w:shd w:val="clear" w:color="auto" w:fill="auto"/>
            <w:tcMar>
              <w:top w:w="0" w:type="dxa"/>
              <w:left w:w="108" w:type="dxa"/>
              <w:bottom w:w="0" w:type="dxa"/>
              <w:right w:w="108" w:type="dxa"/>
            </w:tcMar>
            <w:vAlign w:val="center"/>
          </w:tcPr>
          <w:p w14:paraId="36361F2F"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-17,369.78</w:t>
            </w:r>
          </w:p>
        </w:tc>
      </w:tr>
      <w:tr w:rsidR="006416B0" w:rsidRPr="00B4515A" w14:paraId="21FDD8D3" w14:textId="77777777" w:rsidTr="00031627">
        <w:trPr>
          <w:trHeight w:val="340"/>
          <w:jc w:val="center"/>
        </w:trPr>
        <w:tc>
          <w:tcPr>
            <w:tcW w:w="2603" w:type="dxa"/>
            <w:shd w:val="clear" w:color="auto" w:fill="auto"/>
            <w:tcMar>
              <w:top w:w="0" w:type="dxa"/>
              <w:left w:w="108" w:type="dxa"/>
              <w:bottom w:w="0" w:type="dxa"/>
              <w:right w:w="108" w:type="dxa"/>
            </w:tcMar>
            <w:vAlign w:val="center"/>
          </w:tcPr>
          <w:p w14:paraId="07C63A2C"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负债和所有者权益总计</w:t>
            </w:r>
          </w:p>
        </w:tc>
        <w:tc>
          <w:tcPr>
            <w:tcW w:w="1896" w:type="dxa"/>
            <w:shd w:val="clear" w:color="auto" w:fill="auto"/>
            <w:tcMar>
              <w:top w:w="0" w:type="dxa"/>
              <w:left w:w="108" w:type="dxa"/>
              <w:bottom w:w="0" w:type="dxa"/>
              <w:right w:w="108" w:type="dxa"/>
            </w:tcMar>
            <w:vAlign w:val="center"/>
          </w:tcPr>
          <w:p w14:paraId="5AB25B36"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150,577.88</w:t>
            </w:r>
          </w:p>
        </w:tc>
        <w:tc>
          <w:tcPr>
            <w:tcW w:w="1896" w:type="dxa"/>
            <w:shd w:val="clear" w:color="auto" w:fill="auto"/>
            <w:tcMar>
              <w:top w:w="0" w:type="dxa"/>
              <w:left w:w="108" w:type="dxa"/>
              <w:bottom w:w="0" w:type="dxa"/>
              <w:right w:w="108" w:type="dxa"/>
            </w:tcMar>
            <w:vAlign w:val="center"/>
          </w:tcPr>
          <w:p w14:paraId="07620D6C"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87,198.41</w:t>
            </w:r>
          </w:p>
        </w:tc>
        <w:tc>
          <w:tcPr>
            <w:tcW w:w="1896" w:type="dxa"/>
            <w:shd w:val="clear" w:color="auto" w:fill="auto"/>
            <w:tcMar>
              <w:top w:w="0" w:type="dxa"/>
              <w:left w:w="108" w:type="dxa"/>
              <w:bottom w:w="0" w:type="dxa"/>
              <w:right w:w="108" w:type="dxa"/>
            </w:tcMar>
            <w:vAlign w:val="center"/>
          </w:tcPr>
          <w:p w14:paraId="57A9A3CD"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72,006.98</w:t>
            </w:r>
          </w:p>
        </w:tc>
      </w:tr>
    </w:tbl>
    <w:p w14:paraId="2273D8F7" w14:textId="77777777" w:rsidR="006416B0" w:rsidRPr="00B4515A" w:rsidRDefault="005E58C1" w:rsidP="006100BC">
      <w:pPr>
        <w:pStyle w:val="003"/>
        <w:spacing w:before="120"/>
        <w:ind w:firstLine="482"/>
      </w:pPr>
      <w:r w:rsidRPr="00B4515A">
        <w:rPr>
          <w:rFonts w:hint="eastAsia"/>
        </w:rPr>
        <w:t>（二）</w:t>
      </w:r>
      <w:r w:rsidRPr="00B4515A">
        <w:rPr>
          <w:rFonts w:hint="eastAsia"/>
          <w:color w:val="171F46"/>
        </w:rPr>
        <w:t>合并</w:t>
      </w:r>
      <w:r w:rsidRPr="00B4515A">
        <w:rPr>
          <w:rFonts w:hint="eastAsia"/>
        </w:rPr>
        <w:t>利润表</w:t>
      </w:r>
    </w:p>
    <w:p w14:paraId="51574C0E" w14:textId="77777777" w:rsidR="006416B0" w:rsidRPr="00B4515A" w:rsidRDefault="005E58C1" w:rsidP="006100BC">
      <w:pPr>
        <w:pStyle w:val="009"/>
        <w:rPr>
          <w:b/>
          <w:bCs/>
        </w:rPr>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801"/>
        <w:gridCol w:w="1909"/>
        <w:gridCol w:w="1909"/>
        <w:gridCol w:w="1909"/>
      </w:tblGrid>
      <w:tr w:rsidR="006416B0" w:rsidRPr="00B4515A" w14:paraId="1E8E340E" w14:textId="77777777" w:rsidTr="006100BC">
        <w:trPr>
          <w:trHeight w:val="340"/>
          <w:tblHeader/>
          <w:jc w:val="center"/>
        </w:trPr>
        <w:tc>
          <w:tcPr>
            <w:tcW w:w="2780" w:type="dxa"/>
            <w:shd w:val="clear" w:color="auto" w:fill="auto"/>
            <w:tcMar>
              <w:top w:w="0" w:type="dxa"/>
              <w:left w:w="108" w:type="dxa"/>
              <w:bottom w:w="0" w:type="dxa"/>
              <w:right w:w="108" w:type="dxa"/>
            </w:tcMar>
            <w:vAlign w:val="center"/>
          </w:tcPr>
          <w:p w14:paraId="1D0D8423"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项目</w:t>
            </w:r>
          </w:p>
        </w:tc>
        <w:tc>
          <w:tcPr>
            <w:tcW w:w="1896" w:type="dxa"/>
            <w:shd w:val="clear" w:color="auto" w:fill="auto"/>
            <w:tcMar>
              <w:top w:w="0" w:type="dxa"/>
              <w:left w:w="108" w:type="dxa"/>
              <w:bottom w:w="0" w:type="dxa"/>
              <w:right w:w="108" w:type="dxa"/>
            </w:tcMar>
            <w:vAlign w:val="center"/>
          </w:tcPr>
          <w:p w14:paraId="2A92FE65"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w:t>
            </w:r>
            <w:r w:rsidRPr="00B4515A">
              <w:rPr>
                <w:rFonts w:ascii="Times New Roman" w:hAnsi="Times New Roman" w:cs="Times New Roman"/>
                <w:b/>
                <w:bCs/>
                <w:color w:val="000000"/>
                <w:sz w:val="21"/>
                <w:szCs w:val="21"/>
              </w:rPr>
              <w:t>年</w:t>
            </w:r>
            <w:r w:rsidRPr="00B4515A">
              <w:rPr>
                <w:rFonts w:ascii="Times New Roman" w:hAnsi="Times New Roman" w:cs="Times New Roman"/>
                <w:b/>
                <w:bCs/>
                <w:color w:val="000000"/>
                <w:sz w:val="21"/>
                <w:szCs w:val="21"/>
              </w:rPr>
              <w:t>1-4</w:t>
            </w:r>
            <w:r w:rsidRPr="00B4515A">
              <w:rPr>
                <w:rFonts w:ascii="Times New Roman" w:hAnsi="Times New Roman" w:cs="Times New Roman"/>
                <w:b/>
                <w:bCs/>
                <w:color w:val="000000"/>
                <w:sz w:val="21"/>
                <w:szCs w:val="21"/>
              </w:rPr>
              <w:t>月</w:t>
            </w:r>
          </w:p>
        </w:tc>
        <w:tc>
          <w:tcPr>
            <w:tcW w:w="1896" w:type="dxa"/>
            <w:shd w:val="clear" w:color="auto" w:fill="auto"/>
            <w:tcMar>
              <w:top w:w="0" w:type="dxa"/>
              <w:left w:w="108" w:type="dxa"/>
              <w:bottom w:w="0" w:type="dxa"/>
              <w:right w:w="108" w:type="dxa"/>
            </w:tcMar>
            <w:vAlign w:val="center"/>
          </w:tcPr>
          <w:p w14:paraId="64362DB3"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w:t>
            </w:r>
            <w:r w:rsidRPr="00B4515A">
              <w:rPr>
                <w:rFonts w:ascii="Times New Roman" w:hAnsi="Times New Roman" w:cs="Times New Roman"/>
                <w:b/>
                <w:bCs/>
                <w:color w:val="000000"/>
                <w:sz w:val="21"/>
                <w:szCs w:val="21"/>
              </w:rPr>
              <w:t>年度</w:t>
            </w:r>
          </w:p>
        </w:tc>
        <w:tc>
          <w:tcPr>
            <w:tcW w:w="1896" w:type="dxa"/>
            <w:shd w:val="clear" w:color="auto" w:fill="auto"/>
            <w:tcMar>
              <w:top w:w="0" w:type="dxa"/>
              <w:left w:w="108" w:type="dxa"/>
              <w:bottom w:w="0" w:type="dxa"/>
              <w:right w:w="108" w:type="dxa"/>
            </w:tcMar>
            <w:vAlign w:val="center"/>
          </w:tcPr>
          <w:p w14:paraId="0D841109"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w:t>
            </w:r>
            <w:r w:rsidRPr="00B4515A">
              <w:rPr>
                <w:rFonts w:ascii="Times New Roman" w:hAnsi="Times New Roman" w:cs="Times New Roman"/>
                <w:b/>
                <w:bCs/>
                <w:color w:val="000000"/>
                <w:sz w:val="21"/>
                <w:szCs w:val="21"/>
              </w:rPr>
              <w:t>年度</w:t>
            </w:r>
          </w:p>
        </w:tc>
      </w:tr>
      <w:tr w:rsidR="006416B0" w:rsidRPr="00B4515A" w14:paraId="59E5D1F0"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506FAFE3"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一、营业总收入</w:t>
            </w:r>
          </w:p>
        </w:tc>
        <w:tc>
          <w:tcPr>
            <w:tcW w:w="1896" w:type="dxa"/>
            <w:shd w:val="clear" w:color="auto" w:fill="auto"/>
            <w:tcMar>
              <w:top w:w="0" w:type="dxa"/>
              <w:left w:w="108" w:type="dxa"/>
              <w:bottom w:w="0" w:type="dxa"/>
              <w:right w:w="108" w:type="dxa"/>
            </w:tcMar>
            <w:vAlign w:val="center"/>
          </w:tcPr>
          <w:p w14:paraId="67BB772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12,758.79</w:t>
            </w:r>
          </w:p>
        </w:tc>
        <w:tc>
          <w:tcPr>
            <w:tcW w:w="1896" w:type="dxa"/>
            <w:shd w:val="clear" w:color="auto" w:fill="auto"/>
            <w:tcMar>
              <w:top w:w="0" w:type="dxa"/>
              <w:left w:w="108" w:type="dxa"/>
              <w:bottom w:w="0" w:type="dxa"/>
              <w:right w:w="108" w:type="dxa"/>
            </w:tcMar>
            <w:vAlign w:val="center"/>
          </w:tcPr>
          <w:p w14:paraId="1DD6C4E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55,282.98</w:t>
            </w:r>
          </w:p>
        </w:tc>
        <w:tc>
          <w:tcPr>
            <w:tcW w:w="1896" w:type="dxa"/>
            <w:shd w:val="clear" w:color="auto" w:fill="auto"/>
            <w:tcMar>
              <w:top w:w="0" w:type="dxa"/>
              <w:left w:w="108" w:type="dxa"/>
              <w:bottom w:w="0" w:type="dxa"/>
              <w:right w:w="108" w:type="dxa"/>
            </w:tcMar>
            <w:vAlign w:val="center"/>
          </w:tcPr>
          <w:p w14:paraId="534D5C9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36,685.37</w:t>
            </w:r>
          </w:p>
        </w:tc>
      </w:tr>
      <w:tr w:rsidR="006416B0" w:rsidRPr="00B4515A" w14:paraId="14F5BA95"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60B3D02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其中：营业收入</w:t>
            </w:r>
          </w:p>
        </w:tc>
        <w:tc>
          <w:tcPr>
            <w:tcW w:w="1896" w:type="dxa"/>
            <w:shd w:val="clear" w:color="auto" w:fill="auto"/>
            <w:tcMar>
              <w:top w:w="0" w:type="dxa"/>
              <w:left w:w="108" w:type="dxa"/>
              <w:bottom w:w="0" w:type="dxa"/>
              <w:right w:w="108" w:type="dxa"/>
            </w:tcMar>
            <w:vAlign w:val="center"/>
          </w:tcPr>
          <w:p w14:paraId="6D4584E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12,758.79</w:t>
            </w:r>
          </w:p>
        </w:tc>
        <w:tc>
          <w:tcPr>
            <w:tcW w:w="1896" w:type="dxa"/>
            <w:shd w:val="clear" w:color="auto" w:fill="auto"/>
            <w:tcMar>
              <w:top w:w="0" w:type="dxa"/>
              <w:left w:w="108" w:type="dxa"/>
              <w:bottom w:w="0" w:type="dxa"/>
              <w:right w:w="108" w:type="dxa"/>
            </w:tcMar>
            <w:vAlign w:val="center"/>
          </w:tcPr>
          <w:p w14:paraId="1F0904E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55,282.98</w:t>
            </w:r>
          </w:p>
        </w:tc>
        <w:tc>
          <w:tcPr>
            <w:tcW w:w="1896" w:type="dxa"/>
            <w:shd w:val="clear" w:color="auto" w:fill="auto"/>
            <w:tcMar>
              <w:top w:w="0" w:type="dxa"/>
              <w:left w:w="108" w:type="dxa"/>
              <w:bottom w:w="0" w:type="dxa"/>
              <w:right w:w="108" w:type="dxa"/>
            </w:tcMar>
            <w:vAlign w:val="center"/>
          </w:tcPr>
          <w:p w14:paraId="380E3AE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36,685.37</w:t>
            </w:r>
          </w:p>
        </w:tc>
      </w:tr>
      <w:tr w:rsidR="006416B0" w:rsidRPr="00B4515A" w14:paraId="3E1F514C"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3203AEBC"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二、营业总成本</w:t>
            </w:r>
          </w:p>
        </w:tc>
        <w:tc>
          <w:tcPr>
            <w:tcW w:w="1896" w:type="dxa"/>
            <w:shd w:val="clear" w:color="auto" w:fill="auto"/>
            <w:tcMar>
              <w:top w:w="0" w:type="dxa"/>
              <w:left w:w="108" w:type="dxa"/>
              <w:bottom w:w="0" w:type="dxa"/>
              <w:right w:w="108" w:type="dxa"/>
            </w:tcMar>
            <w:vAlign w:val="center"/>
          </w:tcPr>
          <w:p w14:paraId="52533C8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11,192.20</w:t>
            </w:r>
          </w:p>
        </w:tc>
        <w:tc>
          <w:tcPr>
            <w:tcW w:w="1896" w:type="dxa"/>
            <w:shd w:val="clear" w:color="auto" w:fill="auto"/>
            <w:tcMar>
              <w:top w:w="0" w:type="dxa"/>
              <w:left w:w="108" w:type="dxa"/>
              <w:bottom w:w="0" w:type="dxa"/>
              <w:right w:w="108" w:type="dxa"/>
            </w:tcMar>
            <w:vAlign w:val="center"/>
          </w:tcPr>
          <w:p w14:paraId="5E453BB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50,265.41</w:t>
            </w:r>
          </w:p>
        </w:tc>
        <w:tc>
          <w:tcPr>
            <w:tcW w:w="1896" w:type="dxa"/>
            <w:shd w:val="clear" w:color="auto" w:fill="auto"/>
            <w:tcMar>
              <w:top w:w="0" w:type="dxa"/>
              <w:left w:w="108" w:type="dxa"/>
              <w:bottom w:w="0" w:type="dxa"/>
              <w:right w:w="108" w:type="dxa"/>
            </w:tcMar>
            <w:vAlign w:val="center"/>
          </w:tcPr>
          <w:p w14:paraId="2111ACC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36,909.87</w:t>
            </w:r>
          </w:p>
        </w:tc>
      </w:tr>
      <w:tr w:rsidR="006416B0" w:rsidRPr="00B4515A" w14:paraId="0E1C9B6E"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527EB11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其中：营业成本</w:t>
            </w:r>
          </w:p>
        </w:tc>
        <w:tc>
          <w:tcPr>
            <w:tcW w:w="1896" w:type="dxa"/>
            <w:shd w:val="clear" w:color="auto" w:fill="auto"/>
            <w:tcMar>
              <w:top w:w="0" w:type="dxa"/>
              <w:left w:w="108" w:type="dxa"/>
              <w:bottom w:w="0" w:type="dxa"/>
              <w:right w:w="108" w:type="dxa"/>
            </w:tcMar>
            <w:vAlign w:val="center"/>
          </w:tcPr>
          <w:p w14:paraId="615DA3F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5,027.65</w:t>
            </w:r>
          </w:p>
        </w:tc>
        <w:tc>
          <w:tcPr>
            <w:tcW w:w="1896" w:type="dxa"/>
            <w:shd w:val="clear" w:color="auto" w:fill="auto"/>
            <w:tcMar>
              <w:top w:w="0" w:type="dxa"/>
              <w:left w:w="108" w:type="dxa"/>
              <w:bottom w:w="0" w:type="dxa"/>
              <w:right w:w="108" w:type="dxa"/>
            </w:tcMar>
            <w:vAlign w:val="center"/>
          </w:tcPr>
          <w:p w14:paraId="6067186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28,085.97</w:t>
            </w:r>
          </w:p>
        </w:tc>
        <w:tc>
          <w:tcPr>
            <w:tcW w:w="1896" w:type="dxa"/>
            <w:shd w:val="clear" w:color="auto" w:fill="auto"/>
            <w:tcMar>
              <w:top w:w="0" w:type="dxa"/>
              <w:left w:w="108" w:type="dxa"/>
              <w:bottom w:w="0" w:type="dxa"/>
              <w:right w:w="108" w:type="dxa"/>
            </w:tcMar>
            <w:vAlign w:val="center"/>
          </w:tcPr>
          <w:p w14:paraId="6E2149E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17,226.00</w:t>
            </w:r>
          </w:p>
        </w:tc>
      </w:tr>
      <w:tr w:rsidR="006416B0" w:rsidRPr="00B4515A" w14:paraId="4353C112"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7A83782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税金及附加</w:t>
            </w:r>
          </w:p>
        </w:tc>
        <w:tc>
          <w:tcPr>
            <w:tcW w:w="1896" w:type="dxa"/>
            <w:shd w:val="clear" w:color="auto" w:fill="auto"/>
            <w:tcMar>
              <w:top w:w="0" w:type="dxa"/>
              <w:left w:w="108" w:type="dxa"/>
              <w:bottom w:w="0" w:type="dxa"/>
              <w:right w:w="108" w:type="dxa"/>
            </w:tcMar>
            <w:vAlign w:val="center"/>
          </w:tcPr>
          <w:p w14:paraId="20A4EB3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92.00</w:t>
            </w:r>
          </w:p>
        </w:tc>
        <w:tc>
          <w:tcPr>
            <w:tcW w:w="1896" w:type="dxa"/>
            <w:shd w:val="clear" w:color="auto" w:fill="auto"/>
            <w:tcMar>
              <w:top w:w="0" w:type="dxa"/>
              <w:left w:w="108" w:type="dxa"/>
              <w:bottom w:w="0" w:type="dxa"/>
              <w:right w:w="108" w:type="dxa"/>
            </w:tcMar>
            <w:vAlign w:val="center"/>
          </w:tcPr>
          <w:p w14:paraId="71E0C42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331.42</w:t>
            </w:r>
          </w:p>
        </w:tc>
        <w:tc>
          <w:tcPr>
            <w:tcW w:w="1896" w:type="dxa"/>
            <w:shd w:val="clear" w:color="auto" w:fill="auto"/>
            <w:tcMar>
              <w:top w:w="0" w:type="dxa"/>
              <w:left w:w="108" w:type="dxa"/>
              <w:bottom w:w="0" w:type="dxa"/>
              <w:right w:w="108" w:type="dxa"/>
            </w:tcMar>
            <w:vAlign w:val="center"/>
          </w:tcPr>
          <w:p w14:paraId="56D1A27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314.51</w:t>
            </w:r>
          </w:p>
        </w:tc>
      </w:tr>
      <w:tr w:rsidR="006416B0" w:rsidRPr="00B4515A" w14:paraId="174BA2DA"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7F22AEB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销售费用</w:t>
            </w:r>
          </w:p>
        </w:tc>
        <w:tc>
          <w:tcPr>
            <w:tcW w:w="1896" w:type="dxa"/>
            <w:shd w:val="clear" w:color="auto" w:fill="auto"/>
            <w:tcMar>
              <w:top w:w="0" w:type="dxa"/>
              <w:left w:w="108" w:type="dxa"/>
              <w:bottom w:w="0" w:type="dxa"/>
              <w:right w:w="108" w:type="dxa"/>
            </w:tcMar>
            <w:vAlign w:val="center"/>
          </w:tcPr>
          <w:p w14:paraId="7094D6B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485.07</w:t>
            </w:r>
          </w:p>
        </w:tc>
        <w:tc>
          <w:tcPr>
            <w:tcW w:w="1896" w:type="dxa"/>
            <w:shd w:val="clear" w:color="auto" w:fill="auto"/>
            <w:tcMar>
              <w:top w:w="0" w:type="dxa"/>
              <w:left w:w="108" w:type="dxa"/>
              <w:bottom w:w="0" w:type="dxa"/>
              <w:right w:w="108" w:type="dxa"/>
            </w:tcMar>
            <w:vAlign w:val="center"/>
          </w:tcPr>
          <w:p w14:paraId="18FE855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1,976.47</w:t>
            </w:r>
          </w:p>
        </w:tc>
        <w:tc>
          <w:tcPr>
            <w:tcW w:w="1896" w:type="dxa"/>
            <w:shd w:val="clear" w:color="auto" w:fill="auto"/>
            <w:tcMar>
              <w:top w:w="0" w:type="dxa"/>
              <w:left w:w="108" w:type="dxa"/>
              <w:bottom w:w="0" w:type="dxa"/>
              <w:right w:w="108" w:type="dxa"/>
            </w:tcMar>
            <w:vAlign w:val="center"/>
          </w:tcPr>
          <w:p w14:paraId="774E70D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2,351.27</w:t>
            </w:r>
          </w:p>
        </w:tc>
      </w:tr>
      <w:tr w:rsidR="006416B0" w:rsidRPr="00B4515A" w14:paraId="77A1C3DE"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4BB3484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管理费用</w:t>
            </w:r>
          </w:p>
        </w:tc>
        <w:tc>
          <w:tcPr>
            <w:tcW w:w="1896" w:type="dxa"/>
            <w:shd w:val="clear" w:color="auto" w:fill="auto"/>
            <w:tcMar>
              <w:top w:w="0" w:type="dxa"/>
              <w:left w:w="108" w:type="dxa"/>
              <w:bottom w:w="0" w:type="dxa"/>
              <w:right w:w="108" w:type="dxa"/>
            </w:tcMar>
            <w:vAlign w:val="center"/>
          </w:tcPr>
          <w:p w14:paraId="37E7D54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1,403.45</w:t>
            </w:r>
          </w:p>
        </w:tc>
        <w:tc>
          <w:tcPr>
            <w:tcW w:w="1896" w:type="dxa"/>
            <w:shd w:val="clear" w:color="auto" w:fill="auto"/>
            <w:tcMar>
              <w:top w:w="0" w:type="dxa"/>
              <w:left w:w="108" w:type="dxa"/>
              <w:bottom w:w="0" w:type="dxa"/>
              <w:right w:w="108" w:type="dxa"/>
            </w:tcMar>
            <w:vAlign w:val="center"/>
          </w:tcPr>
          <w:p w14:paraId="53ED112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4,021.82</w:t>
            </w:r>
          </w:p>
        </w:tc>
        <w:tc>
          <w:tcPr>
            <w:tcW w:w="1896" w:type="dxa"/>
            <w:shd w:val="clear" w:color="auto" w:fill="auto"/>
            <w:tcMar>
              <w:top w:w="0" w:type="dxa"/>
              <w:left w:w="108" w:type="dxa"/>
              <w:bottom w:w="0" w:type="dxa"/>
              <w:right w:w="108" w:type="dxa"/>
            </w:tcMar>
            <w:vAlign w:val="center"/>
          </w:tcPr>
          <w:p w14:paraId="48B8E122" w14:textId="5EFD6A59" w:rsidR="006416B0" w:rsidRPr="00B4515A" w:rsidRDefault="00DF1B66"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4,343.41</w:t>
            </w:r>
          </w:p>
        </w:tc>
      </w:tr>
      <w:tr w:rsidR="006416B0" w:rsidRPr="00B4515A" w14:paraId="73D9E3F3"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13E418C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研发费用</w:t>
            </w:r>
          </w:p>
        </w:tc>
        <w:tc>
          <w:tcPr>
            <w:tcW w:w="1896" w:type="dxa"/>
            <w:shd w:val="clear" w:color="auto" w:fill="auto"/>
            <w:tcMar>
              <w:top w:w="0" w:type="dxa"/>
              <w:left w:w="108" w:type="dxa"/>
              <w:bottom w:w="0" w:type="dxa"/>
              <w:right w:w="108" w:type="dxa"/>
            </w:tcMar>
            <w:vAlign w:val="center"/>
          </w:tcPr>
          <w:p w14:paraId="3097715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3,958.06</w:t>
            </w:r>
          </w:p>
        </w:tc>
        <w:tc>
          <w:tcPr>
            <w:tcW w:w="1896" w:type="dxa"/>
            <w:shd w:val="clear" w:color="auto" w:fill="auto"/>
            <w:tcMar>
              <w:top w:w="0" w:type="dxa"/>
              <w:left w:w="108" w:type="dxa"/>
              <w:bottom w:w="0" w:type="dxa"/>
              <w:right w:w="108" w:type="dxa"/>
            </w:tcMar>
            <w:vAlign w:val="center"/>
          </w:tcPr>
          <w:p w14:paraId="3CE3274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13,456.57</w:t>
            </w:r>
          </w:p>
        </w:tc>
        <w:tc>
          <w:tcPr>
            <w:tcW w:w="1896" w:type="dxa"/>
            <w:shd w:val="clear" w:color="auto" w:fill="auto"/>
            <w:tcMar>
              <w:top w:w="0" w:type="dxa"/>
              <w:left w:w="108" w:type="dxa"/>
              <w:bottom w:w="0" w:type="dxa"/>
              <w:right w:w="108" w:type="dxa"/>
            </w:tcMar>
            <w:vAlign w:val="center"/>
          </w:tcPr>
          <w:p w14:paraId="7166125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10,690.98</w:t>
            </w:r>
          </w:p>
        </w:tc>
      </w:tr>
      <w:tr w:rsidR="006416B0" w:rsidRPr="00B4515A" w14:paraId="6ABF7A2B"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090ACD6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财务费用</w:t>
            </w:r>
          </w:p>
        </w:tc>
        <w:tc>
          <w:tcPr>
            <w:tcW w:w="1896" w:type="dxa"/>
            <w:shd w:val="clear" w:color="auto" w:fill="auto"/>
            <w:tcMar>
              <w:top w:w="0" w:type="dxa"/>
              <w:left w:w="108" w:type="dxa"/>
              <w:bottom w:w="0" w:type="dxa"/>
              <w:right w:w="108" w:type="dxa"/>
            </w:tcMar>
            <w:vAlign w:val="center"/>
          </w:tcPr>
          <w:p w14:paraId="7E76A01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225.97</w:t>
            </w:r>
          </w:p>
        </w:tc>
        <w:tc>
          <w:tcPr>
            <w:tcW w:w="1896" w:type="dxa"/>
            <w:shd w:val="clear" w:color="auto" w:fill="auto"/>
            <w:tcMar>
              <w:top w:w="0" w:type="dxa"/>
              <w:left w:w="108" w:type="dxa"/>
              <w:bottom w:w="0" w:type="dxa"/>
              <w:right w:w="108" w:type="dxa"/>
            </w:tcMar>
            <w:vAlign w:val="center"/>
          </w:tcPr>
          <w:p w14:paraId="27E86A9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2,393.15</w:t>
            </w:r>
          </w:p>
        </w:tc>
        <w:tc>
          <w:tcPr>
            <w:tcW w:w="1896" w:type="dxa"/>
            <w:shd w:val="clear" w:color="auto" w:fill="auto"/>
            <w:tcMar>
              <w:top w:w="0" w:type="dxa"/>
              <w:left w:w="108" w:type="dxa"/>
              <w:bottom w:w="0" w:type="dxa"/>
              <w:right w:w="108" w:type="dxa"/>
            </w:tcMar>
            <w:vAlign w:val="center"/>
          </w:tcPr>
          <w:p w14:paraId="1A4F2EB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1,983.71</w:t>
            </w:r>
          </w:p>
        </w:tc>
      </w:tr>
      <w:tr w:rsidR="006416B0" w:rsidRPr="00B4515A" w14:paraId="4244E36F"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4EBEA81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其中：利息费用</w:t>
            </w:r>
          </w:p>
        </w:tc>
        <w:tc>
          <w:tcPr>
            <w:tcW w:w="1896" w:type="dxa"/>
            <w:shd w:val="clear" w:color="auto" w:fill="auto"/>
            <w:tcMar>
              <w:top w:w="0" w:type="dxa"/>
              <w:left w:w="108" w:type="dxa"/>
              <w:bottom w:w="0" w:type="dxa"/>
              <w:right w:w="108" w:type="dxa"/>
            </w:tcMar>
            <w:vAlign w:val="center"/>
          </w:tcPr>
          <w:p w14:paraId="0343B72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242.96</w:t>
            </w:r>
          </w:p>
        </w:tc>
        <w:tc>
          <w:tcPr>
            <w:tcW w:w="1896" w:type="dxa"/>
            <w:shd w:val="clear" w:color="auto" w:fill="auto"/>
            <w:tcMar>
              <w:top w:w="0" w:type="dxa"/>
              <w:left w:w="108" w:type="dxa"/>
              <w:bottom w:w="0" w:type="dxa"/>
              <w:right w:w="108" w:type="dxa"/>
            </w:tcMar>
            <w:vAlign w:val="center"/>
          </w:tcPr>
          <w:p w14:paraId="57D708F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2,415.09</w:t>
            </w:r>
          </w:p>
        </w:tc>
        <w:tc>
          <w:tcPr>
            <w:tcW w:w="1896" w:type="dxa"/>
            <w:shd w:val="clear" w:color="auto" w:fill="auto"/>
            <w:tcMar>
              <w:top w:w="0" w:type="dxa"/>
              <w:left w:w="108" w:type="dxa"/>
              <w:bottom w:w="0" w:type="dxa"/>
              <w:right w:w="108" w:type="dxa"/>
            </w:tcMar>
            <w:vAlign w:val="center"/>
          </w:tcPr>
          <w:p w14:paraId="6F80FBB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1,991.01</w:t>
            </w:r>
          </w:p>
        </w:tc>
      </w:tr>
      <w:tr w:rsidR="006416B0" w:rsidRPr="00B4515A" w14:paraId="27CEEF15"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67D5F84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利息收入</w:t>
            </w:r>
          </w:p>
        </w:tc>
        <w:tc>
          <w:tcPr>
            <w:tcW w:w="1896" w:type="dxa"/>
            <w:shd w:val="clear" w:color="auto" w:fill="auto"/>
            <w:tcMar>
              <w:top w:w="0" w:type="dxa"/>
              <w:left w:w="108" w:type="dxa"/>
              <w:bottom w:w="0" w:type="dxa"/>
              <w:right w:w="108" w:type="dxa"/>
            </w:tcMar>
            <w:vAlign w:val="center"/>
          </w:tcPr>
          <w:p w14:paraId="16A1DB2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18.84</w:t>
            </w:r>
          </w:p>
        </w:tc>
        <w:tc>
          <w:tcPr>
            <w:tcW w:w="1896" w:type="dxa"/>
            <w:shd w:val="clear" w:color="auto" w:fill="auto"/>
            <w:tcMar>
              <w:top w:w="0" w:type="dxa"/>
              <w:left w:w="108" w:type="dxa"/>
              <w:bottom w:w="0" w:type="dxa"/>
              <w:right w:w="108" w:type="dxa"/>
            </w:tcMar>
            <w:vAlign w:val="center"/>
          </w:tcPr>
          <w:p w14:paraId="5A609B6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32.33</w:t>
            </w:r>
          </w:p>
        </w:tc>
        <w:tc>
          <w:tcPr>
            <w:tcW w:w="1896" w:type="dxa"/>
            <w:shd w:val="clear" w:color="auto" w:fill="auto"/>
            <w:tcMar>
              <w:top w:w="0" w:type="dxa"/>
              <w:left w:w="108" w:type="dxa"/>
              <w:bottom w:w="0" w:type="dxa"/>
              <w:right w:w="108" w:type="dxa"/>
            </w:tcMar>
            <w:vAlign w:val="center"/>
          </w:tcPr>
          <w:p w14:paraId="4737193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13.12</w:t>
            </w:r>
          </w:p>
        </w:tc>
      </w:tr>
      <w:tr w:rsidR="006416B0" w:rsidRPr="00B4515A" w14:paraId="1CA75084"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48B6B08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加：其他收益</w:t>
            </w:r>
          </w:p>
        </w:tc>
        <w:tc>
          <w:tcPr>
            <w:tcW w:w="1896" w:type="dxa"/>
            <w:shd w:val="clear" w:color="auto" w:fill="auto"/>
            <w:tcMar>
              <w:top w:w="0" w:type="dxa"/>
              <w:left w:w="108" w:type="dxa"/>
              <w:bottom w:w="0" w:type="dxa"/>
              <w:right w:w="108" w:type="dxa"/>
            </w:tcMar>
            <w:vAlign w:val="center"/>
          </w:tcPr>
          <w:p w14:paraId="239EF1D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12.76</w:t>
            </w:r>
          </w:p>
        </w:tc>
        <w:tc>
          <w:tcPr>
            <w:tcW w:w="1896" w:type="dxa"/>
            <w:shd w:val="clear" w:color="auto" w:fill="auto"/>
            <w:tcMar>
              <w:top w:w="0" w:type="dxa"/>
              <w:left w:w="108" w:type="dxa"/>
              <w:bottom w:w="0" w:type="dxa"/>
              <w:right w:w="108" w:type="dxa"/>
            </w:tcMar>
            <w:vAlign w:val="center"/>
          </w:tcPr>
          <w:p w14:paraId="23B104A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16.70</w:t>
            </w:r>
          </w:p>
        </w:tc>
        <w:tc>
          <w:tcPr>
            <w:tcW w:w="1896" w:type="dxa"/>
            <w:shd w:val="clear" w:color="auto" w:fill="auto"/>
            <w:tcMar>
              <w:top w:w="0" w:type="dxa"/>
              <w:left w:w="108" w:type="dxa"/>
              <w:bottom w:w="0" w:type="dxa"/>
              <w:right w:w="108" w:type="dxa"/>
            </w:tcMar>
            <w:vAlign w:val="center"/>
          </w:tcPr>
          <w:p w14:paraId="590B2C1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74.02</w:t>
            </w:r>
          </w:p>
        </w:tc>
      </w:tr>
      <w:tr w:rsidR="006416B0" w:rsidRPr="00B4515A" w14:paraId="659465C7"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59C8897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lastRenderedPageBreak/>
              <w:t>投资收益（损失以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ascii="Times New Roman" w:hAnsi="Times New Roman" w:cs="Times New Roman"/>
                <w:color w:val="000000"/>
                <w:sz w:val="21"/>
                <w:szCs w:val="21"/>
              </w:rPr>
              <w:t>号填列）</w:t>
            </w:r>
          </w:p>
        </w:tc>
        <w:tc>
          <w:tcPr>
            <w:tcW w:w="1896" w:type="dxa"/>
            <w:shd w:val="clear" w:color="auto" w:fill="auto"/>
            <w:tcMar>
              <w:top w:w="0" w:type="dxa"/>
              <w:left w:w="108" w:type="dxa"/>
              <w:bottom w:w="0" w:type="dxa"/>
              <w:right w:w="108" w:type="dxa"/>
            </w:tcMar>
            <w:vAlign w:val="center"/>
          </w:tcPr>
          <w:p w14:paraId="7D4F0FF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D257B1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01EFBF8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1,546.32</w:t>
            </w:r>
          </w:p>
        </w:tc>
      </w:tr>
      <w:tr w:rsidR="006416B0" w:rsidRPr="00B4515A" w14:paraId="7159A32B"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0911702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信用减值损失（损失以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ascii="Times New Roman" w:hAnsi="Times New Roman" w:cs="Times New Roman"/>
                <w:color w:val="000000"/>
                <w:sz w:val="21"/>
                <w:szCs w:val="21"/>
              </w:rPr>
              <w:t>号填列）</w:t>
            </w:r>
          </w:p>
        </w:tc>
        <w:tc>
          <w:tcPr>
            <w:tcW w:w="1896" w:type="dxa"/>
            <w:shd w:val="clear" w:color="auto" w:fill="auto"/>
            <w:tcMar>
              <w:top w:w="0" w:type="dxa"/>
              <w:left w:w="108" w:type="dxa"/>
              <w:bottom w:w="0" w:type="dxa"/>
              <w:right w:w="108" w:type="dxa"/>
            </w:tcMar>
            <w:vAlign w:val="center"/>
          </w:tcPr>
          <w:p w14:paraId="7D08E92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-733.29</w:t>
            </w:r>
          </w:p>
        </w:tc>
        <w:tc>
          <w:tcPr>
            <w:tcW w:w="1896" w:type="dxa"/>
            <w:shd w:val="clear" w:color="auto" w:fill="auto"/>
            <w:tcMar>
              <w:top w:w="0" w:type="dxa"/>
              <w:left w:w="108" w:type="dxa"/>
              <w:bottom w:w="0" w:type="dxa"/>
              <w:right w:w="108" w:type="dxa"/>
            </w:tcMar>
            <w:vAlign w:val="center"/>
          </w:tcPr>
          <w:p w14:paraId="59E64F1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-937.43</w:t>
            </w:r>
          </w:p>
        </w:tc>
        <w:tc>
          <w:tcPr>
            <w:tcW w:w="1896" w:type="dxa"/>
            <w:shd w:val="clear" w:color="auto" w:fill="auto"/>
            <w:tcMar>
              <w:top w:w="0" w:type="dxa"/>
              <w:left w:w="108" w:type="dxa"/>
              <w:bottom w:w="0" w:type="dxa"/>
              <w:right w:w="108" w:type="dxa"/>
            </w:tcMar>
            <w:vAlign w:val="center"/>
          </w:tcPr>
          <w:p w14:paraId="73752D5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-539.13</w:t>
            </w:r>
          </w:p>
        </w:tc>
      </w:tr>
      <w:tr w:rsidR="006416B0" w:rsidRPr="00B4515A" w14:paraId="290EF24B"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16D5A1E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资产减值损失（损失以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ascii="Times New Roman" w:hAnsi="Times New Roman" w:cs="Times New Roman"/>
                <w:color w:val="000000"/>
                <w:sz w:val="21"/>
                <w:szCs w:val="21"/>
              </w:rPr>
              <w:t>号填列）</w:t>
            </w:r>
          </w:p>
        </w:tc>
        <w:tc>
          <w:tcPr>
            <w:tcW w:w="1896" w:type="dxa"/>
            <w:shd w:val="clear" w:color="auto" w:fill="auto"/>
            <w:tcMar>
              <w:top w:w="0" w:type="dxa"/>
              <w:left w:w="108" w:type="dxa"/>
              <w:bottom w:w="0" w:type="dxa"/>
              <w:right w:w="108" w:type="dxa"/>
            </w:tcMar>
            <w:vAlign w:val="center"/>
          </w:tcPr>
          <w:p w14:paraId="1CB2044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-52.28</w:t>
            </w:r>
          </w:p>
        </w:tc>
        <w:tc>
          <w:tcPr>
            <w:tcW w:w="1896" w:type="dxa"/>
            <w:shd w:val="clear" w:color="auto" w:fill="auto"/>
            <w:tcMar>
              <w:top w:w="0" w:type="dxa"/>
              <w:left w:w="108" w:type="dxa"/>
              <w:bottom w:w="0" w:type="dxa"/>
              <w:right w:w="108" w:type="dxa"/>
            </w:tcMar>
            <w:vAlign w:val="center"/>
          </w:tcPr>
          <w:p w14:paraId="745BB3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-56.40</w:t>
            </w:r>
          </w:p>
        </w:tc>
        <w:tc>
          <w:tcPr>
            <w:tcW w:w="1896" w:type="dxa"/>
            <w:shd w:val="clear" w:color="auto" w:fill="auto"/>
            <w:tcMar>
              <w:top w:w="0" w:type="dxa"/>
              <w:left w:w="108" w:type="dxa"/>
              <w:bottom w:w="0" w:type="dxa"/>
              <w:right w:w="108" w:type="dxa"/>
            </w:tcMar>
            <w:vAlign w:val="center"/>
          </w:tcPr>
          <w:p w14:paraId="7D00F6F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13.46</w:t>
            </w:r>
          </w:p>
        </w:tc>
      </w:tr>
      <w:tr w:rsidR="006416B0" w:rsidRPr="00B4515A" w14:paraId="0F66900B"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3D71E04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资产处置收益（损失以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ascii="Times New Roman" w:hAnsi="Times New Roman" w:cs="Times New Roman"/>
                <w:color w:val="000000"/>
                <w:sz w:val="21"/>
                <w:szCs w:val="21"/>
              </w:rPr>
              <w:t>号填列）</w:t>
            </w:r>
          </w:p>
        </w:tc>
        <w:tc>
          <w:tcPr>
            <w:tcW w:w="1896" w:type="dxa"/>
            <w:shd w:val="clear" w:color="auto" w:fill="auto"/>
            <w:tcMar>
              <w:top w:w="0" w:type="dxa"/>
              <w:left w:w="108" w:type="dxa"/>
              <w:bottom w:w="0" w:type="dxa"/>
              <w:right w:w="108" w:type="dxa"/>
            </w:tcMar>
            <w:vAlign w:val="center"/>
          </w:tcPr>
          <w:p w14:paraId="54B5734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015790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12.29</w:t>
            </w:r>
          </w:p>
        </w:tc>
        <w:tc>
          <w:tcPr>
            <w:tcW w:w="1896" w:type="dxa"/>
            <w:shd w:val="clear" w:color="auto" w:fill="auto"/>
            <w:tcMar>
              <w:top w:w="0" w:type="dxa"/>
              <w:left w:w="108" w:type="dxa"/>
              <w:bottom w:w="0" w:type="dxa"/>
              <w:right w:w="108" w:type="dxa"/>
            </w:tcMar>
            <w:vAlign w:val="center"/>
          </w:tcPr>
          <w:p w14:paraId="62D1383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3.36</w:t>
            </w:r>
          </w:p>
        </w:tc>
      </w:tr>
      <w:tr w:rsidR="006416B0" w:rsidRPr="00B4515A" w14:paraId="36167E14"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6CB0A559"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三、营业利润（亏损以“-”号填列）</w:t>
            </w:r>
          </w:p>
        </w:tc>
        <w:tc>
          <w:tcPr>
            <w:tcW w:w="1896" w:type="dxa"/>
            <w:shd w:val="clear" w:color="auto" w:fill="auto"/>
            <w:tcMar>
              <w:top w:w="0" w:type="dxa"/>
              <w:left w:w="108" w:type="dxa"/>
              <w:bottom w:w="0" w:type="dxa"/>
              <w:right w:w="108" w:type="dxa"/>
            </w:tcMar>
            <w:vAlign w:val="center"/>
          </w:tcPr>
          <w:p w14:paraId="4FC43FB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793.78</w:t>
            </w:r>
          </w:p>
        </w:tc>
        <w:tc>
          <w:tcPr>
            <w:tcW w:w="1896" w:type="dxa"/>
            <w:shd w:val="clear" w:color="auto" w:fill="auto"/>
            <w:tcMar>
              <w:top w:w="0" w:type="dxa"/>
              <w:left w:w="108" w:type="dxa"/>
              <w:bottom w:w="0" w:type="dxa"/>
              <w:right w:w="108" w:type="dxa"/>
            </w:tcMar>
            <w:vAlign w:val="center"/>
          </w:tcPr>
          <w:p w14:paraId="36CE31F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4,052.72</w:t>
            </w:r>
          </w:p>
        </w:tc>
        <w:tc>
          <w:tcPr>
            <w:tcW w:w="1896" w:type="dxa"/>
            <w:shd w:val="clear" w:color="auto" w:fill="auto"/>
            <w:tcMar>
              <w:top w:w="0" w:type="dxa"/>
              <w:left w:w="108" w:type="dxa"/>
              <w:bottom w:w="0" w:type="dxa"/>
              <w:right w:w="108" w:type="dxa"/>
            </w:tcMar>
            <w:vAlign w:val="center"/>
          </w:tcPr>
          <w:p w14:paraId="1F5FB7A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873.53</w:t>
            </w:r>
          </w:p>
        </w:tc>
      </w:tr>
      <w:tr w:rsidR="006416B0" w:rsidRPr="00B4515A" w14:paraId="0FCAAB89"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17EFA66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加：营业外收入</w:t>
            </w:r>
          </w:p>
        </w:tc>
        <w:tc>
          <w:tcPr>
            <w:tcW w:w="1896" w:type="dxa"/>
            <w:shd w:val="clear" w:color="auto" w:fill="auto"/>
            <w:tcMar>
              <w:top w:w="0" w:type="dxa"/>
              <w:left w:w="108" w:type="dxa"/>
              <w:bottom w:w="0" w:type="dxa"/>
              <w:right w:w="108" w:type="dxa"/>
            </w:tcMar>
            <w:vAlign w:val="center"/>
          </w:tcPr>
          <w:p w14:paraId="5FCE73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1.29</w:t>
            </w:r>
          </w:p>
        </w:tc>
        <w:tc>
          <w:tcPr>
            <w:tcW w:w="1896" w:type="dxa"/>
            <w:shd w:val="clear" w:color="auto" w:fill="auto"/>
            <w:tcMar>
              <w:top w:w="0" w:type="dxa"/>
              <w:left w:w="108" w:type="dxa"/>
              <w:bottom w:w="0" w:type="dxa"/>
              <w:right w:w="108" w:type="dxa"/>
            </w:tcMar>
            <w:vAlign w:val="center"/>
          </w:tcPr>
          <w:p w14:paraId="0E42877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236.50</w:t>
            </w:r>
          </w:p>
        </w:tc>
        <w:tc>
          <w:tcPr>
            <w:tcW w:w="1896" w:type="dxa"/>
            <w:shd w:val="clear" w:color="auto" w:fill="auto"/>
            <w:tcMar>
              <w:top w:w="0" w:type="dxa"/>
              <w:left w:w="108" w:type="dxa"/>
              <w:bottom w:w="0" w:type="dxa"/>
              <w:right w:w="108" w:type="dxa"/>
            </w:tcMar>
            <w:vAlign w:val="center"/>
          </w:tcPr>
          <w:p w14:paraId="2953D2C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4.47</w:t>
            </w:r>
          </w:p>
        </w:tc>
      </w:tr>
      <w:tr w:rsidR="006416B0" w:rsidRPr="00B4515A" w14:paraId="44D55AC1"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6D236EE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减：营业外支出</w:t>
            </w:r>
          </w:p>
        </w:tc>
        <w:tc>
          <w:tcPr>
            <w:tcW w:w="1896" w:type="dxa"/>
            <w:shd w:val="clear" w:color="auto" w:fill="auto"/>
            <w:tcMar>
              <w:top w:w="0" w:type="dxa"/>
              <w:left w:w="108" w:type="dxa"/>
              <w:bottom w:w="0" w:type="dxa"/>
              <w:right w:w="108" w:type="dxa"/>
            </w:tcMar>
            <w:vAlign w:val="center"/>
          </w:tcPr>
          <w:p w14:paraId="036350D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14.99</w:t>
            </w:r>
          </w:p>
        </w:tc>
        <w:tc>
          <w:tcPr>
            <w:tcW w:w="1896" w:type="dxa"/>
            <w:shd w:val="clear" w:color="auto" w:fill="auto"/>
            <w:tcMar>
              <w:top w:w="0" w:type="dxa"/>
              <w:left w:w="108" w:type="dxa"/>
              <w:bottom w:w="0" w:type="dxa"/>
              <w:right w:w="108" w:type="dxa"/>
            </w:tcMar>
            <w:vAlign w:val="center"/>
          </w:tcPr>
          <w:p w14:paraId="1422155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82.37</w:t>
            </w:r>
          </w:p>
        </w:tc>
        <w:tc>
          <w:tcPr>
            <w:tcW w:w="1896" w:type="dxa"/>
            <w:shd w:val="clear" w:color="auto" w:fill="auto"/>
            <w:tcMar>
              <w:top w:w="0" w:type="dxa"/>
              <w:left w:w="108" w:type="dxa"/>
              <w:bottom w:w="0" w:type="dxa"/>
              <w:right w:w="108" w:type="dxa"/>
            </w:tcMar>
            <w:vAlign w:val="center"/>
          </w:tcPr>
          <w:p w14:paraId="7A986E8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61.94</w:t>
            </w:r>
          </w:p>
        </w:tc>
      </w:tr>
      <w:tr w:rsidR="006416B0" w:rsidRPr="00B4515A" w14:paraId="52A471DD"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480787FD"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四、利润总额（亏损总额以“-”号填列）</w:t>
            </w:r>
          </w:p>
        </w:tc>
        <w:tc>
          <w:tcPr>
            <w:tcW w:w="1896" w:type="dxa"/>
            <w:shd w:val="clear" w:color="auto" w:fill="auto"/>
            <w:tcMar>
              <w:top w:w="0" w:type="dxa"/>
              <w:left w:w="108" w:type="dxa"/>
              <w:bottom w:w="0" w:type="dxa"/>
              <w:right w:w="108" w:type="dxa"/>
            </w:tcMar>
            <w:vAlign w:val="center"/>
          </w:tcPr>
          <w:p w14:paraId="63F8C1A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780.09</w:t>
            </w:r>
          </w:p>
        </w:tc>
        <w:tc>
          <w:tcPr>
            <w:tcW w:w="1896" w:type="dxa"/>
            <w:shd w:val="clear" w:color="auto" w:fill="auto"/>
            <w:tcMar>
              <w:top w:w="0" w:type="dxa"/>
              <w:left w:w="108" w:type="dxa"/>
              <w:bottom w:w="0" w:type="dxa"/>
              <w:right w:w="108" w:type="dxa"/>
            </w:tcMar>
            <w:vAlign w:val="center"/>
          </w:tcPr>
          <w:p w14:paraId="5929640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4,206.85</w:t>
            </w:r>
          </w:p>
        </w:tc>
        <w:tc>
          <w:tcPr>
            <w:tcW w:w="1896" w:type="dxa"/>
            <w:shd w:val="clear" w:color="auto" w:fill="auto"/>
            <w:tcMar>
              <w:top w:w="0" w:type="dxa"/>
              <w:left w:w="108" w:type="dxa"/>
              <w:bottom w:w="0" w:type="dxa"/>
              <w:right w:w="108" w:type="dxa"/>
            </w:tcMar>
            <w:vAlign w:val="center"/>
          </w:tcPr>
          <w:p w14:paraId="23F03EC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816.06</w:t>
            </w:r>
          </w:p>
        </w:tc>
      </w:tr>
      <w:tr w:rsidR="006416B0" w:rsidRPr="00B4515A" w14:paraId="353B744C"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09B11FE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减：所得税费用</w:t>
            </w:r>
          </w:p>
        </w:tc>
        <w:tc>
          <w:tcPr>
            <w:tcW w:w="1896" w:type="dxa"/>
            <w:shd w:val="clear" w:color="auto" w:fill="auto"/>
            <w:tcMar>
              <w:top w:w="0" w:type="dxa"/>
              <w:left w:w="108" w:type="dxa"/>
              <w:bottom w:w="0" w:type="dxa"/>
              <w:right w:w="108" w:type="dxa"/>
            </w:tcMar>
            <w:vAlign w:val="center"/>
          </w:tcPr>
          <w:p w14:paraId="6B20A02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5DABDDF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96" w:type="dxa"/>
            <w:shd w:val="clear" w:color="auto" w:fill="auto"/>
            <w:tcMar>
              <w:top w:w="0" w:type="dxa"/>
              <w:left w:w="108" w:type="dxa"/>
              <w:bottom w:w="0" w:type="dxa"/>
              <w:right w:w="108" w:type="dxa"/>
            </w:tcMar>
            <w:vAlign w:val="center"/>
          </w:tcPr>
          <w:p w14:paraId="256F2DC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CA67B55" w14:textId="77777777" w:rsidTr="00031627">
        <w:trPr>
          <w:trHeight w:val="340"/>
          <w:jc w:val="center"/>
        </w:trPr>
        <w:tc>
          <w:tcPr>
            <w:tcW w:w="2780" w:type="dxa"/>
            <w:shd w:val="clear" w:color="auto" w:fill="auto"/>
            <w:tcMar>
              <w:top w:w="0" w:type="dxa"/>
              <w:left w:w="108" w:type="dxa"/>
              <w:bottom w:w="0" w:type="dxa"/>
              <w:right w:w="108" w:type="dxa"/>
            </w:tcMar>
            <w:vAlign w:val="center"/>
          </w:tcPr>
          <w:p w14:paraId="44E95503"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五、净利润（净亏损以“-”号填列）</w:t>
            </w:r>
          </w:p>
        </w:tc>
        <w:tc>
          <w:tcPr>
            <w:tcW w:w="1896" w:type="dxa"/>
            <w:shd w:val="clear" w:color="auto" w:fill="auto"/>
            <w:tcMar>
              <w:top w:w="0" w:type="dxa"/>
              <w:left w:w="108" w:type="dxa"/>
              <w:bottom w:w="0" w:type="dxa"/>
              <w:right w:w="108" w:type="dxa"/>
            </w:tcMar>
            <w:vAlign w:val="center"/>
          </w:tcPr>
          <w:p w14:paraId="466F1FE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780.09</w:t>
            </w:r>
          </w:p>
        </w:tc>
        <w:tc>
          <w:tcPr>
            <w:tcW w:w="1896" w:type="dxa"/>
            <w:shd w:val="clear" w:color="auto" w:fill="auto"/>
            <w:tcMar>
              <w:top w:w="0" w:type="dxa"/>
              <w:left w:w="108" w:type="dxa"/>
              <w:bottom w:w="0" w:type="dxa"/>
              <w:right w:w="108" w:type="dxa"/>
            </w:tcMar>
            <w:vAlign w:val="center"/>
          </w:tcPr>
          <w:p w14:paraId="30284D5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4,206.85</w:t>
            </w:r>
          </w:p>
        </w:tc>
        <w:tc>
          <w:tcPr>
            <w:tcW w:w="1896" w:type="dxa"/>
            <w:shd w:val="clear" w:color="auto" w:fill="auto"/>
            <w:tcMar>
              <w:top w:w="0" w:type="dxa"/>
              <w:left w:w="108" w:type="dxa"/>
              <w:bottom w:w="0" w:type="dxa"/>
              <w:right w:w="108" w:type="dxa"/>
            </w:tcMar>
            <w:vAlign w:val="center"/>
          </w:tcPr>
          <w:p w14:paraId="152AF93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816.06</w:t>
            </w:r>
          </w:p>
        </w:tc>
      </w:tr>
    </w:tbl>
    <w:p w14:paraId="09D63E01" w14:textId="77777777" w:rsidR="006416B0" w:rsidRPr="00B4515A" w:rsidRDefault="005E58C1" w:rsidP="006100BC">
      <w:pPr>
        <w:pStyle w:val="003"/>
        <w:spacing w:before="120"/>
        <w:ind w:firstLine="482"/>
      </w:pPr>
      <w:r w:rsidRPr="00B4515A">
        <w:rPr>
          <w:rFonts w:hint="eastAsia"/>
        </w:rPr>
        <w:t>（三）</w:t>
      </w:r>
      <w:r w:rsidRPr="00B4515A">
        <w:rPr>
          <w:rFonts w:hint="eastAsia"/>
          <w:color w:val="171F46"/>
        </w:rPr>
        <w:t>合并</w:t>
      </w:r>
      <w:r w:rsidRPr="00B4515A">
        <w:rPr>
          <w:rFonts w:hint="eastAsia"/>
        </w:rPr>
        <w:t>现金流量表</w:t>
      </w:r>
    </w:p>
    <w:p w14:paraId="7B1562D5" w14:textId="77777777" w:rsidR="006416B0" w:rsidRPr="00B4515A" w:rsidRDefault="005E58C1"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880"/>
        <w:gridCol w:w="1738"/>
        <w:gridCol w:w="1412"/>
        <w:gridCol w:w="1498"/>
      </w:tblGrid>
      <w:tr w:rsidR="006416B0" w:rsidRPr="00B4515A" w14:paraId="0283119B" w14:textId="77777777" w:rsidTr="006100BC">
        <w:trPr>
          <w:trHeight w:val="340"/>
          <w:tblHeader/>
          <w:jc w:val="center"/>
        </w:trPr>
        <w:tc>
          <w:tcPr>
            <w:tcW w:w="3845" w:type="dxa"/>
            <w:shd w:val="clear" w:color="auto" w:fill="auto"/>
            <w:tcMar>
              <w:top w:w="0" w:type="dxa"/>
              <w:left w:w="108" w:type="dxa"/>
              <w:bottom w:w="0" w:type="dxa"/>
              <w:right w:w="108" w:type="dxa"/>
            </w:tcMar>
            <w:vAlign w:val="center"/>
          </w:tcPr>
          <w:p w14:paraId="7E7D879A" w14:textId="77777777" w:rsidR="006416B0" w:rsidRPr="00B4515A" w:rsidRDefault="005E58C1" w:rsidP="005860B4">
            <w:pPr>
              <w:adjustRightInd w:val="0"/>
              <w:snapToGrid w:val="0"/>
              <w:jc w:val="center"/>
              <w:rPr>
                <w:b/>
                <w:bCs/>
                <w:color w:val="000000"/>
                <w:sz w:val="21"/>
                <w:szCs w:val="21"/>
              </w:rPr>
            </w:pPr>
            <w:r w:rsidRPr="00B4515A">
              <w:rPr>
                <w:rFonts w:hint="eastAsia"/>
                <w:b/>
                <w:bCs/>
                <w:color w:val="000000"/>
                <w:sz w:val="21"/>
                <w:szCs w:val="21"/>
              </w:rPr>
              <w:t>项目</w:t>
            </w:r>
          </w:p>
        </w:tc>
        <w:tc>
          <w:tcPr>
            <w:tcW w:w="1722" w:type="dxa"/>
            <w:shd w:val="clear" w:color="auto" w:fill="auto"/>
            <w:tcMar>
              <w:top w:w="0" w:type="dxa"/>
              <w:left w:w="108" w:type="dxa"/>
              <w:bottom w:w="0" w:type="dxa"/>
              <w:right w:w="108" w:type="dxa"/>
            </w:tcMar>
            <w:vAlign w:val="center"/>
          </w:tcPr>
          <w:p w14:paraId="30C81376"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w:t>
            </w:r>
            <w:r w:rsidRPr="00B4515A">
              <w:rPr>
                <w:rFonts w:ascii="Times New Roman" w:hAnsi="Times New Roman" w:cs="Times New Roman"/>
                <w:b/>
                <w:bCs/>
                <w:color w:val="000000"/>
                <w:sz w:val="21"/>
                <w:szCs w:val="21"/>
              </w:rPr>
              <w:t>年</w:t>
            </w:r>
            <w:r w:rsidRPr="00B4515A">
              <w:rPr>
                <w:rFonts w:ascii="Times New Roman" w:hAnsi="Times New Roman" w:cs="Times New Roman"/>
                <w:b/>
                <w:bCs/>
                <w:color w:val="000000"/>
                <w:sz w:val="21"/>
                <w:szCs w:val="21"/>
              </w:rPr>
              <w:t>1-4</w:t>
            </w:r>
            <w:r w:rsidRPr="00B4515A">
              <w:rPr>
                <w:rFonts w:ascii="Times New Roman" w:hAnsi="Times New Roman" w:cs="Times New Roman"/>
                <w:b/>
                <w:bCs/>
                <w:color w:val="000000"/>
                <w:sz w:val="21"/>
                <w:szCs w:val="21"/>
              </w:rPr>
              <w:t>月</w:t>
            </w:r>
          </w:p>
        </w:tc>
        <w:tc>
          <w:tcPr>
            <w:tcW w:w="1399" w:type="dxa"/>
            <w:shd w:val="clear" w:color="auto" w:fill="auto"/>
            <w:tcMar>
              <w:top w:w="0" w:type="dxa"/>
              <w:left w:w="108" w:type="dxa"/>
              <w:bottom w:w="0" w:type="dxa"/>
              <w:right w:w="108" w:type="dxa"/>
            </w:tcMar>
            <w:vAlign w:val="center"/>
          </w:tcPr>
          <w:p w14:paraId="069F5ABB"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w:t>
            </w:r>
            <w:r w:rsidRPr="00B4515A">
              <w:rPr>
                <w:rFonts w:ascii="Times New Roman" w:hAnsi="Times New Roman" w:cs="Times New Roman"/>
                <w:b/>
                <w:bCs/>
                <w:color w:val="000000"/>
                <w:sz w:val="21"/>
                <w:szCs w:val="21"/>
              </w:rPr>
              <w:t>年度</w:t>
            </w:r>
          </w:p>
        </w:tc>
        <w:tc>
          <w:tcPr>
            <w:tcW w:w="1484" w:type="dxa"/>
            <w:shd w:val="clear" w:color="auto" w:fill="auto"/>
            <w:tcMar>
              <w:top w:w="0" w:type="dxa"/>
              <w:left w:w="108" w:type="dxa"/>
              <w:bottom w:w="0" w:type="dxa"/>
              <w:right w:w="108" w:type="dxa"/>
            </w:tcMar>
            <w:vAlign w:val="center"/>
          </w:tcPr>
          <w:p w14:paraId="2A6868A3"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w:t>
            </w:r>
            <w:r w:rsidRPr="00B4515A">
              <w:rPr>
                <w:rFonts w:ascii="Times New Roman" w:hAnsi="Times New Roman" w:cs="Times New Roman"/>
                <w:b/>
                <w:bCs/>
                <w:color w:val="000000"/>
                <w:sz w:val="21"/>
                <w:szCs w:val="21"/>
              </w:rPr>
              <w:t>年度</w:t>
            </w:r>
          </w:p>
        </w:tc>
      </w:tr>
      <w:tr w:rsidR="006416B0" w:rsidRPr="00B4515A" w14:paraId="15490C39"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7947195C" w14:textId="77777777" w:rsidR="006416B0" w:rsidRPr="00B4515A" w:rsidRDefault="005E58C1" w:rsidP="005860B4">
            <w:pPr>
              <w:adjustRightInd w:val="0"/>
              <w:snapToGrid w:val="0"/>
              <w:rPr>
                <w:b/>
                <w:bCs/>
                <w:color w:val="000000"/>
                <w:sz w:val="21"/>
                <w:szCs w:val="21"/>
              </w:rPr>
            </w:pPr>
            <w:r w:rsidRPr="00B4515A">
              <w:rPr>
                <w:rFonts w:hint="eastAsia"/>
                <w:b/>
                <w:bCs/>
                <w:color w:val="000000"/>
                <w:sz w:val="21"/>
                <w:szCs w:val="21"/>
              </w:rPr>
              <w:t>一、经营活动产生的现金流量</w:t>
            </w:r>
          </w:p>
        </w:tc>
        <w:tc>
          <w:tcPr>
            <w:tcW w:w="1722" w:type="dxa"/>
            <w:shd w:val="clear" w:color="auto" w:fill="auto"/>
            <w:tcMar>
              <w:top w:w="0" w:type="dxa"/>
              <w:left w:w="108" w:type="dxa"/>
              <w:bottom w:w="0" w:type="dxa"/>
              <w:right w:w="108" w:type="dxa"/>
            </w:tcMar>
            <w:vAlign w:val="center"/>
          </w:tcPr>
          <w:p w14:paraId="37A4C52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399" w:type="dxa"/>
            <w:shd w:val="clear" w:color="auto" w:fill="auto"/>
            <w:tcMar>
              <w:top w:w="0" w:type="dxa"/>
              <w:left w:w="108" w:type="dxa"/>
              <w:bottom w:w="0" w:type="dxa"/>
              <w:right w:w="108" w:type="dxa"/>
            </w:tcMar>
            <w:vAlign w:val="center"/>
          </w:tcPr>
          <w:p w14:paraId="472C34C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484" w:type="dxa"/>
            <w:shd w:val="clear" w:color="auto" w:fill="auto"/>
            <w:tcMar>
              <w:top w:w="0" w:type="dxa"/>
              <w:left w:w="108" w:type="dxa"/>
              <w:bottom w:w="0" w:type="dxa"/>
              <w:right w:w="108" w:type="dxa"/>
            </w:tcMar>
            <w:vAlign w:val="center"/>
          </w:tcPr>
          <w:p w14:paraId="05F14DF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r>
      <w:tr w:rsidR="006416B0" w:rsidRPr="00B4515A" w14:paraId="769CF32D"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2E66941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销售商品、提供劳务收到的现金</w:t>
            </w:r>
          </w:p>
        </w:tc>
        <w:tc>
          <w:tcPr>
            <w:tcW w:w="1722" w:type="dxa"/>
            <w:shd w:val="clear" w:color="auto" w:fill="auto"/>
            <w:tcMar>
              <w:top w:w="0" w:type="dxa"/>
              <w:left w:w="108" w:type="dxa"/>
              <w:bottom w:w="0" w:type="dxa"/>
              <w:right w:w="108" w:type="dxa"/>
            </w:tcMar>
            <w:vAlign w:val="center"/>
          </w:tcPr>
          <w:p w14:paraId="304CF93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14,353.42</w:t>
            </w:r>
          </w:p>
        </w:tc>
        <w:tc>
          <w:tcPr>
            <w:tcW w:w="1399" w:type="dxa"/>
            <w:shd w:val="clear" w:color="auto" w:fill="auto"/>
            <w:tcMar>
              <w:top w:w="0" w:type="dxa"/>
              <w:left w:w="108" w:type="dxa"/>
              <w:bottom w:w="0" w:type="dxa"/>
              <w:right w:w="108" w:type="dxa"/>
            </w:tcMar>
            <w:vAlign w:val="center"/>
          </w:tcPr>
          <w:p w14:paraId="1401CDA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54,398.04</w:t>
            </w:r>
          </w:p>
        </w:tc>
        <w:tc>
          <w:tcPr>
            <w:tcW w:w="1484" w:type="dxa"/>
            <w:shd w:val="clear" w:color="auto" w:fill="auto"/>
            <w:tcMar>
              <w:top w:w="0" w:type="dxa"/>
              <w:left w:w="108" w:type="dxa"/>
              <w:bottom w:w="0" w:type="dxa"/>
              <w:right w:w="108" w:type="dxa"/>
            </w:tcMar>
            <w:vAlign w:val="center"/>
          </w:tcPr>
          <w:p w14:paraId="243A961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33,974.59</w:t>
            </w:r>
          </w:p>
        </w:tc>
      </w:tr>
      <w:tr w:rsidR="006416B0" w:rsidRPr="00B4515A" w14:paraId="150F8D37"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7E2A0B1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收到的税费返还</w:t>
            </w:r>
          </w:p>
        </w:tc>
        <w:tc>
          <w:tcPr>
            <w:tcW w:w="1722" w:type="dxa"/>
            <w:shd w:val="clear" w:color="auto" w:fill="auto"/>
            <w:tcMar>
              <w:top w:w="0" w:type="dxa"/>
              <w:left w:w="108" w:type="dxa"/>
              <w:bottom w:w="0" w:type="dxa"/>
              <w:right w:w="108" w:type="dxa"/>
            </w:tcMar>
            <w:vAlign w:val="center"/>
          </w:tcPr>
          <w:p w14:paraId="2DF87A6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99" w:type="dxa"/>
            <w:shd w:val="clear" w:color="auto" w:fill="auto"/>
            <w:tcMar>
              <w:top w:w="0" w:type="dxa"/>
              <w:left w:w="108" w:type="dxa"/>
              <w:bottom w:w="0" w:type="dxa"/>
              <w:right w:w="108" w:type="dxa"/>
            </w:tcMar>
            <w:vAlign w:val="center"/>
          </w:tcPr>
          <w:p w14:paraId="307C7D7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484" w:type="dxa"/>
            <w:shd w:val="clear" w:color="auto" w:fill="auto"/>
            <w:tcMar>
              <w:top w:w="0" w:type="dxa"/>
              <w:left w:w="108" w:type="dxa"/>
              <w:bottom w:w="0" w:type="dxa"/>
              <w:right w:w="108" w:type="dxa"/>
            </w:tcMar>
            <w:vAlign w:val="center"/>
          </w:tcPr>
          <w:p w14:paraId="32E4F81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2.49</w:t>
            </w:r>
          </w:p>
        </w:tc>
      </w:tr>
      <w:tr w:rsidR="006416B0" w:rsidRPr="00B4515A" w14:paraId="48B37080"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10A9233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收到其他与经营活动有关的现金</w:t>
            </w:r>
          </w:p>
        </w:tc>
        <w:tc>
          <w:tcPr>
            <w:tcW w:w="1722" w:type="dxa"/>
            <w:shd w:val="clear" w:color="auto" w:fill="auto"/>
            <w:tcMar>
              <w:top w:w="0" w:type="dxa"/>
              <w:left w:w="108" w:type="dxa"/>
              <w:bottom w:w="0" w:type="dxa"/>
              <w:right w:w="108" w:type="dxa"/>
            </w:tcMar>
            <w:vAlign w:val="center"/>
          </w:tcPr>
          <w:p w14:paraId="43B7C8B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725.10</w:t>
            </w:r>
          </w:p>
        </w:tc>
        <w:tc>
          <w:tcPr>
            <w:tcW w:w="1399" w:type="dxa"/>
            <w:shd w:val="clear" w:color="auto" w:fill="auto"/>
            <w:tcMar>
              <w:top w:w="0" w:type="dxa"/>
              <w:left w:w="108" w:type="dxa"/>
              <w:bottom w:w="0" w:type="dxa"/>
              <w:right w:w="108" w:type="dxa"/>
            </w:tcMar>
            <w:vAlign w:val="center"/>
          </w:tcPr>
          <w:p w14:paraId="7C9C245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1,411.21</w:t>
            </w:r>
          </w:p>
        </w:tc>
        <w:tc>
          <w:tcPr>
            <w:tcW w:w="1484" w:type="dxa"/>
            <w:shd w:val="clear" w:color="auto" w:fill="auto"/>
            <w:tcMar>
              <w:top w:w="0" w:type="dxa"/>
              <w:left w:w="108" w:type="dxa"/>
              <w:bottom w:w="0" w:type="dxa"/>
              <w:right w:w="108" w:type="dxa"/>
            </w:tcMar>
            <w:vAlign w:val="center"/>
          </w:tcPr>
          <w:p w14:paraId="0D2B143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863.30</w:t>
            </w:r>
          </w:p>
        </w:tc>
      </w:tr>
      <w:tr w:rsidR="006416B0" w:rsidRPr="00B4515A" w14:paraId="2BD250AC"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26EFB545"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经营活动现金流入小计</w:t>
            </w:r>
          </w:p>
        </w:tc>
        <w:tc>
          <w:tcPr>
            <w:tcW w:w="1722" w:type="dxa"/>
            <w:shd w:val="clear" w:color="auto" w:fill="auto"/>
            <w:tcMar>
              <w:top w:w="0" w:type="dxa"/>
              <w:left w:w="108" w:type="dxa"/>
              <w:bottom w:w="0" w:type="dxa"/>
              <w:right w:w="108" w:type="dxa"/>
            </w:tcMar>
            <w:vAlign w:val="center"/>
          </w:tcPr>
          <w:p w14:paraId="5509D89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15,078.52</w:t>
            </w:r>
          </w:p>
        </w:tc>
        <w:tc>
          <w:tcPr>
            <w:tcW w:w="1399" w:type="dxa"/>
            <w:shd w:val="clear" w:color="auto" w:fill="auto"/>
            <w:tcMar>
              <w:top w:w="0" w:type="dxa"/>
              <w:left w:w="108" w:type="dxa"/>
              <w:bottom w:w="0" w:type="dxa"/>
              <w:right w:w="108" w:type="dxa"/>
            </w:tcMar>
            <w:vAlign w:val="center"/>
          </w:tcPr>
          <w:p w14:paraId="75C68EA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55,809.26</w:t>
            </w:r>
          </w:p>
        </w:tc>
        <w:tc>
          <w:tcPr>
            <w:tcW w:w="1484" w:type="dxa"/>
            <w:shd w:val="clear" w:color="auto" w:fill="auto"/>
            <w:tcMar>
              <w:top w:w="0" w:type="dxa"/>
              <w:left w:w="108" w:type="dxa"/>
              <w:bottom w:w="0" w:type="dxa"/>
              <w:right w:w="108" w:type="dxa"/>
            </w:tcMar>
            <w:vAlign w:val="center"/>
          </w:tcPr>
          <w:p w14:paraId="5D5BF4F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34,840.39</w:t>
            </w:r>
          </w:p>
        </w:tc>
      </w:tr>
      <w:tr w:rsidR="006416B0" w:rsidRPr="00B4515A" w14:paraId="1CCE8293"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3E6DAA4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购买商品、接受劳务支付的现金</w:t>
            </w:r>
          </w:p>
        </w:tc>
        <w:tc>
          <w:tcPr>
            <w:tcW w:w="1722" w:type="dxa"/>
            <w:shd w:val="clear" w:color="auto" w:fill="auto"/>
            <w:tcMar>
              <w:top w:w="0" w:type="dxa"/>
              <w:left w:w="108" w:type="dxa"/>
              <w:bottom w:w="0" w:type="dxa"/>
              <w:right w:w="108" w:type="dxa"/>
            </w:tcMar>
            <w:vAlign w:val="center"/>
          </w:tcPr>
          <w:p w14:paraId="10295C4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8,353.43</w:t>
            </w:r>
          </w:p>
        </w:tc>
        <w:tc>
          <w:tcPr>
            <w:tcW w:w="1399" w:type="dxa"/>
            <w:shd w:val="clear" w:color="auto" w:fill="auto"/>
            <w:tcMar>
              <w:top w:w="0" w:type="dxa"/>
              <w:left w:w="108" w:type="dxa"/>
              <w:bottom w:w="0" w:type="dxa"/>
              <w:right w:w="108" w:type="dxa"/>
            </w:tcMar>
            <w:vAlign w:val="center"/>
          </w:tcPr>
          <w:p w14:paraId="1DC6C3E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28,129.12</w:t>
            </w:r>
          </w:p>
        </w:tc>
        <w:tc>
          <w:tcPr>
            <w:tcW w:w="1484" w:type="dxa"/>
            <w:shd w:val="clear" w:color="auto" w:fill="auto"/>
            <w:tcMar>
              <w:top w:w="0" w:type="dxa"/>
              <w:left w:w="108" w:type="dxa"/>
              <w:bottom w:w="0" w:type="dxa"/>
              <w:right w:w="108" w:type="dxa"/>
            </w:tcMar>
            <w:vAlign w:val="center"/>
          </w:tcPr>
          <w:p w14:paraId="6D5624C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15,857.10</w:t>
            </w:r>
          </w:p>
        </w:tc>
      </w:tr>
      <w:tr w:rsidR="006416B0" w:rsidRPr="00B4515A" w14:paraId="4BE5B16F"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3973FA9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支付给职工以及为职工支付的现金</w:t>
            </w:r>
          </w:p>
        </w:tc>
        <w:tc>
          <w:tcPr>
            <w:tcW w:w="1722" w:type="dxa"/>
            <w:shd w:val="clear" w:color="auto" w:fill="auto"/>
            <w:tcMar>
              <w:top w:w="0" w:type="dxa"/>
              <w:left w:w="108" w:type="dxa"/>
              <w:bottom w:w="0" w:type="dxa"/>
              <w:right w:w="108" w:type="dxa"/>
            </w:tcMar>
            <w:vAlign w:val="center"/>
          </w:tcPr>
          <w:p w14:paraId="3160A39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5,360.44</w:t>
            </w:r>
          </w:p>
        </w:tc>
        <w:tc>
          <w:tcPr>
            <w:tcW w:w="1399" w:type="dxa"/>
            <w:shd w:val="clear" w:color="auto" w:fill="auto"/>
            <w:tcMar>
              <w:top w:w="0" w:type="dxa"/>
              <w:left w:w="108" w:type="dxa"/>
              <w:bottom w:w="0" w:type="dxa"/>
              <w:right w:w="108" w:type="dxa"/>
            </w:tcMar>
            <w:vAlign w:val="center"/>
          </w:tcPr>
          <w:p w14:paraId="63705E3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16,126.18</w:t>
            </w:r>
          </w:p>
        </w:tc>
        <w:tc>
          <w:tcPr>
            <w:tcW w:w="1484" w:type="dxa"/>
            <w:shd w:val="clear" w:color="auto" w:fill="auto"/>
            <w:tcMar>
              <w:top w:w="0" w:type="dxa"/>
              <w:left w:w="108" w:type="dxa"/>
              <w:bottom w:w="0" w:type="dxa"/>
              <w:right w:w="108" w:type="dxa"/>
            </w:tcMar>
            <w:vAlign w:val="center"/>
          </w:tcPr>
          <w:p w14:paraId="68DB9B6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15,066.68</w:t>
            </w:r>
          </w:p>
        </w:tc>
      </w:tr>
      <w:tr w:rsidR="006416B0" w:rsidRPr="00B4515A" w14:paraId="01CE32AD"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45D4C23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支付的各项税费</w:t>
            </w:r>
          </w:p>
        </w:tc>
        <w:tc>
          <w:tcPr>
            <w:tcW w:w="1722" w:type="dxa"/>
            <w:shd w:val="clear" w:color="auto" w:fill="auto"/>
            <w:tcMar>
              <w:top w:w="0" w:type="dxa"/>
              <w:left w:w="108" w:type="dxa"/>
              <w:bottom w:w="0" w:type="dxa"/>
              <w:right w:w="108" w:type="dxa"/>
            </w:tcMar>
            <w:vAlign w:val="center"/>
          </w:tcPr>
          <w:p w14:paraId="0E2ACDF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1,196.76</w:t>
            </w:r>
          </w:p>
        </w:tc>
        <w:tc>
          <w:tcPr>
            <w:tcW w:w="1399" w:type="dxa"/>
            <w:shd w:val="clear" w:color="auto" w:fill="auto"/>
            <w:tcMar>
              <w:top w:w="0" w:type="dxa"/>
              <w:left w:w="108" w:type="dxa"/>
              <w:bottom w:w="0" w:type="dxa"/>
              <w:right w:w="108" w:type="dxa"/>
            </w:tcMar>
            <w:vAlign w:val="center"/>
          </w:tcPr>
          <w:p w14:paraId="1B2C090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3,405.29</w:t>
            </w:r>
          </w:p>
        </w:tc>
        <w:tc>
          <w:tcPr>
            <w:tcW w:w="1484" w:type="dxa"/>
            <w:shd w:val="clear" w:color="auto" w:fill="auto"/>
            <w:tcMar>
              <w:top w:w="0" w:type="dxa"/>
              <w:left w:w="108" w:type="dxa"/>
              <w:bottom w:w="0" w:type="dxa"/>
              <w:right w:w="108" w:type="dxa"/>
            </w:tcMar>
            <w:vAlign w:val="center"/>
          </w:tcPr>
          <w:p w14:paraId="0362D69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1,838.91</w:t>
            </w:r>
          </w:p>
        </w:tc>
      </w:tr>
      <w:tr w:rsidR="006416B0" w:rsidRPr="00B4515A" w14:paraId="345B3268"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5E7ABA9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支付其他与经营活动有关的现金</w:t>
            </w:r>
          </w:p>
        </w:tc>
        <w:tc>
          <w:tcPr>
            <w:tcW w:w="1722" w:type="dxa"/>
            <w:shd w:val="clear" w:color="auto" w:fill="auto"/>
            <w:tcMar>
              <w:top w:w="0" w:type="dxa"/>
              <w:left w:w="108" w:type="dxa"/>
              <w:bottom w:w="0" w:type="dxa"/>
              <w:right w:w="108" w:type="dxa"/>
            </w:tcMar>
            <w:vAlign w:val="center"/>
          </w:tcPr>
          <w:p w14:paraId="2554FEF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2,284.45</w:t>
            </w:r>
          </w:p>
        </w:tc>
        <w:tc>
          <w:tcPr>
            <w:tcW w:w="1399" w:type="dxa"/>
            <w:shd w:val="clear" w:color="auto" w:fill="auto"/>
            <w:tcMar>
              <w:top w:w="0" w:type="dxa"/>
              <w:left w:w="108" w:type="dxa"/>
              <w:bottom w:w="0" w:type="dxa"/>
              <w:right w:w="108" w:type="dxa"/>
            </w:tcMar>
            <w:vAlign w:val="center"/>
          </w:tcPr>
          <w:p w14:paraId="48C6E90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6,391.75</w:t>
            </w:r>
          </w:p>
        </w:tc>
        <w:tc>
          <w:tcPr>
            <w:tcW w:w="1484" w:type="dxa"/>
            <w:shd w:val="clear" w:color="auto" w:fill="auto"/>
            <w:tcMar>
              <w:top w:w="0" w:type="dxa"/>
              <w:left w:w="108" w:type="dxa"/>
              <w:bottom w:w="0" w:type="dxa"/>
              <w:right w:w="108" w:type="dxa"/>
            </w:tcMar>
            <w:vAlign w:val="center"/>
          </w:tcPr>
          <w:p w14:paraId="11E5B4F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5,979.72</w:t>
            </w:r>
          </w:p>
        </w:tc>
      </w:tr>
      <w:tr w:rsidR="006416B0" w:rsidRPr="00B4515A" w14:paraId="3C840AC3"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29A983BE"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经营活动现金流出小计</w:t>
            </w:r>
          </w:p>
        </w:tc>
        <w:tc>
          <w:tcPr>
            <w:tcW w:w="1722" w:type="dxa"/>
            <w:shd w:val="clear" w:color="auto" w:fill="auto"/>
            <w:tcMar>
              <w:top w:w="0" w:type="dxa"/>
              <w:left w:w="108" w:type="dxa"/>
              <w:bottom w:w="0" w:type="dxa"/>
              <w:right w:w="108" w:type="dxa"/>
            </w:tcMar>
            <w:vAlign w:val="center"/>
          </w:tcPr>
          <w:p w14:paraId="672FE03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17,195.09</w:t>
            </w:r>
          </w:p>
        </w:tc>
        <w:tc>
          <w:tcPr>
            <w:tcW w:w="1399" w:type="dxa"/>
            <w:shd w:val="clear" w:color="auto" w:fill="auto"/>
            <w:tcMar>
              <w:top w:w="0" w:type="dxa"/>
              <w:left w:w="108" w:type="dxa"/>
              <w:bottom w:w="0" w:type="dxa"/>
              <w:right w:w="108" w:type="dxa"/>
            </w:tcMar>
            <w:vAlign w:val="center"/>
          </w:tcPr>
          <w:p w14:paraId="32B8C5A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54,052.35</w:t>
            </w:r>
          </w:p>
        </w:tc>
        <w:tc>
          <w:tcPr>
            <w:tcW w:w="1484" w:type="dxa"/>
            <w:shd w:val="clear" w:color="auto" w:fill="auto"/>
            <w:tcMar>
              <w:top w:w="0" w:type="dxa"/>
              <w:left w:w="108" w:type="dxa"/>
              <w:bottom w:w="0" w:type="dxa"/>
              <w:right w:w="108" w:type="dxa"/>
            </w:tcMar>
            <w:vAlign w:val="center"/>
          </w:tcPr>
          <w:p w14:paraId="7582F87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38,742.42</w:t>
            </w:r>
          </w:p>
        </w:tc>
      </w:tr>
      <w:tr w:rsidR="006416B0" w:rsidRPr="00B4515A" w14:paraId="11255BDD"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309DA099"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经营活动产生的现金流量净额</w:t>
            </w:r>
          </w:p>
        </w:tc>
        <w:tc>
          <w:tcPr>
            <w:tcW w:w="1722" w:type="dxa"/>
            <w:shd w:val="clear" w:color="auto" w:fill="auto"/>
            <w:tcMar>
              <w:top w:w="0" w:type="dxa"/>
              <w:left w:w="108" w:type="dxa"/>
              <w:bottom w:w="0" w:type="dxa"/>
              <w:right w:w="108" w:type="dxa"/>
            </w:tcMar>
            <w:vAlign w:val="center"/>
          </w:tcPr>
          <w:p w14:paraId="2A26EB8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-2,116.56</w:t>
            </w:r>
          </w:p>
        </w:tc>
        <w:tc>
          <w:tcPr>
            <w:tcW w:w="1399" w:type="dxa"/>
            <w:shd w:val="clear" w:color="auto" w:fill="auto"/>
            <w:tcMar>
              <w:top w:w="0" w:type="dxa"/>
              <w:left w:w="108" w:type="dxa"/>
              <w:bottom w:w="0" w:type="dxa"/>
              <w:right w:w="108" w:type="dxa"/>
            </w:tcMar>
            <w:vAlign w:val="center"/>
          </w:tcPr>
          <w:p w14:paraId="322704C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1,756.91</w:t>
            </w:r>
          </w:p>
        </w:tc>
        <w:tc>
          <w:tcPr>
            <w:tcW w:w="1484" w:type="dxa"/>
            <w:shd w:val="clear" w:color="auto" w:fill="auto"/>
            <w:tcMar>
              <w:top w:w="0" w:type="dxa"/>
              <w:left w:w="108" w:type="dxa"/>
              <w:bottom w:w="0" w:type="dxa"/>
              <w:right w:w="108" w:type="dxa"/>
            </w:tcMar>
            <w:vAlign w:val="center"/>
          </w:tcPr>
          <w:p w14:paraId="1DEFBCA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-3,902.03</w:t>
            </w:r>
          </w:p>
        </w:tc>
      </w:tr>
      <w:tr w:rsidR="006416B0" w:rsidRPr="00B4515A" w14:paraId="0846CE3B"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6141F72A" w14:textId="77777777" w:rsidR="006416B0" w:rsidRPr="00B4515A" w:rsidRDefault="005E58C1" w:rsidP="005860B4">
            <w:pPr>
              <w:adjustRightInd w:val="0"/>
              <w:snapToGrid w:val="0"/>
              <w:rPr>
                <w:b/>
                <w:bCs/>
                <w:color w:val="000000"/>
                <w:sz w:val="21"/>
                <w:szCs w:val="21"/>
              </w:rPr>
            </w:pPr>
            <w:r w:rsidRPr="00B4515A">
              <w:rPr>
                <w:rFonts w:hint="eastAsia"/>
                <w:b/>
                <w:bCs/>
                <w:color w:val="000000"/>
                <w:sz w:val="21"/>
                <w:szCs w:val="21"/>
              </w:rPr>
              <w:t>二、投资活动产生的现金流量</w:t>
            </w:r>
          </w:p>
        </w:tc>
        <w:tc>
          <w:tcPr>
            <w:tcW w:w="1722" w:type="dxa"/>
            <w:shd w:val="clear" w:color="auto" w:fill="auto"/>
            <w:tcMar>
              <w:top w:w="0" w:type="dxa"/>
              <w:left w:w="108" w:type="dxa"/>
              <w:bottom w:w="0" w:type="dxa"/>
              <w:right w:w="108" w:type="dxa"/>
            </w:tcMar>
            <w:vAlign w:val="center"/>
          </w:tcPr>
          <w:p w14:paraId="3AB3E3D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399" w:type="dxa"/>
            <w:shd w:val="clear" w:color="auto" w:fill="auto"/>
            <w:tcMar>
              <w:top w:w="0" w:type="dxa"/>
              <w:left w:w="108" w:type="dxa"/>
              <w:bottom w:w="0" w:type="dxa"/>
              <w:right w:w="108" w:type="dxa"/>
            </w:tcMar>
            <w:vAlign w:val="center"/>
          </w:tcPr>
          <w:p w14:paraId="2238AA4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484" w:type="dxa"/>
            <w:shd w:val="clear" w:color="auto" w:fill="auto"/>
            <w:tcMar>
              <w:top w:w="0" w:type="dxa"/>
              <w:left w:w="108" w:type="dxa"/>
              <w:bottom w:w="0" w:type="dxa"/>
              <w:right w:w="108" w:type="dxa"/>
            </w:tcMar>
            <w:vAlign w:val="center"/>
          </w:tcPr>
          <w:p w14:paraId="72E9A40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r>
      <w:tr w:rsidR="006416B0" w:rsidRPr="00B4515A" w14:paraId="5D575CC6"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1F6262B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处置固定资产、无形资产和其他长期资产收回的现金净额</w:t>
            </w:r>
          </w:p>
        </w:tc>
        <w:tc>
          <w:tcPr>
            <w:tcW w:w="1722" w:type="dxa"/>
            <w:shd w:val="clear" w:color="auto" w:fill="auto"/>
            <w:tcMar>
              <w:top w:w="0" w:type="dxa"/>
              <w:left w:w="108" w:type="dxa"/>
              <w:bottom w:w="0" w:type="dxa"/>
              <w:right w:w="108" w:type="dxa"/>
            </w:tcMar>
            <w:vAlign w:val="center"/>
          </w:tcPr>
          <w:p w14:paraId="1C71993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99" w:type="dxa"/>
            <w:shd w:val="clear" w:color="auto" w:fill="auto"/>
            <w:tcMar>
              <w:top w:w="0" w:type="dxa"/>
              <w:left w:w="108" w:type="dxa"/>
              <w:bottom w:w="0" w:type="dxa"/>
              <w:right w:w="108" w:type="dxa"/>
            </w:tcMar>
            <w:vAlign w:val="center"/>
          </w:tcPr>
          <w:p w14:paraId="4D0F963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1.17</w:t>
            </w:r>
          </w:p>
        </w:tc>
        <w:tc>
          <w:tcPr>
            <w:tcW w:w="1484" w:type="dxa"/>
            <w:shd w:val="clear" w:color="auto" w:fill="auto"/>
            <w:tcMar>
              <w:top w:w="0" w:type="dxa"/>
              <w:left w:w="108" w:type="dxa"/>
              <w:bottom w:w="0" w:type="dxa"/>
              <w:right w:w="108" w:type="dxa"/>
            </w:tcMar>
            <w:vAlign w:val="center"/>
          </w:tcPr>
          <w:p w14:paraId="6A01AD0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4.98</w:t>
            </w:r>
          </w:p>
        </w:tc>
      </w:tr>
      <w:tr w:rsidR="006416B0" w:rsidRPr="00B4515A" w14:paraId="6F5693BE"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7B8F0E77"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投资活动现金流入小计</w:t>
            </w:r>
          </w:p>
        </w:tc>
        <w:tc>
          <w:tcPr>
            <w:tcW w:w="1722" w:type="dxa"/>
            <w:shd w:val="clear" w:color="auto" w:fill="auto"/>
            <w:tcMar>
              <w:top w:w="0" w:type="dxa"/>
              <w:left w:w="108" w:type="dxa"/>
              <w:bottom w:w="0" w:type="dxa"/>
              <w:right w:w="108" w:type="dxa"/>
            </w:tcMar>
            <w:vAlign w:val="center"/>
          </w:tcPr>
          <w:p w14:paraId="3A2AD2B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99" w:type="dxa"/>
            <w:shd w:val="clear" w:color="auto" w:fill="auto"/>
            <w:tcMar>
              <w:top w:w="0" w:type="dxa"/>
              <w:left w:w="108" w:type="dxa"/>
              <w:bottom w:w="0" w:type="dxa"/>
              <w:right w:w="108" w:type="dxa"/>
            </w:tcMar>
            <w:vAlign w:val="center"/>
          </w:tcPr>
          <w:p w14:paraId="17E23DC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1.17</w:t>
            </w:r>
          </w:p>
        </w:tc>
        <w:tc>
          <w:tcPr>
            <w:tcW w:w="1484" w:type="dxa"/>
            <w:shd w:val="clear" w:color="auto" w:fill="auto"/>
            <w:tcMar>
              <w:top w:w="0" w:type="dxa"/>
              <w:left w:w="108" w:type="dxa"/>
              <w:bottom w:w="0" w:type="dxa"/>
              <w:right w:w="108" w:type="dxa"/>
            </w:tcMar>
            <w:vAlign w:val="center"/>
          </w:tcPr>
          <w:p w14:paraId="5D67B9F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746.78</w:t>
            </w:r>
          </w:p>
        </w:tc>
      </w:tr>
      <w:tr w:rsidR="006416B0" w:rsidRPr="00B4515A" w14:paraId="6E2D9147"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676EDDC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购建固定资产、无形资产和其他长期资产支付的现金</w:t>
            </w:r>
          </w:p>
        </w:tc>
        <w:tc>
          <w:tcPr>
            <w:tcW w:w="1722" w:type="dxa"/>
            <w:shd w:val="clear" w:color="auto" w:fill="auto"/>
            <w:tcMar>
              <w:top w:w="0" w:type="dxa"/>
              <w:left w:w="108" w:type="dxa"/>
              <w:bottom w:w="0" w:type="dxa"/>
              <w:right w:w="108" w:type="dxa"/>
            </w:tcMar>
            <w:vAlign w:val="center"/>
          </w:tcPr>
          <w:p w14:paraId="233E072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99" w:type="dxa"/>
            <w:shd w:val="clear" w:color="auto" w:fill="auto"/>
            <w:tcMar>
              <w:top w:w="0" w:type="dxa"/>
              <w:left w:w="108" w:type="dxa"/>
              <w:bottom w:w="0" w:type="dxa"/>
              <w:right w:w="108" w:type="dxa"/>
            </w:tcMar>
            <w:vAlign w:val="center"/>
          </w:tcPr>
          <w:p w14:paraId="1DA585C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123.07</w:t>
            </w:r>
          </w:p>
        </w:tc>
        <w:tc>
          <w:tcPr>
            <w:tcW w:w="1484" w:type="dxa"/>
            <w:shd w:val="clear" w:color="auto" w:fill="auto"/>
            <w:tcMar>
              <w:top w:w="0" w:type="dxa"/>
              <w:left w:w="108" w:type="dxa"/>
              <w:bottom w:w="0" w:type="dxa"/>
              <w:right w:w="108" w:type="dxa"/>
            </w:tcMar>
            <w:vAlign w:val="center"/>
          </w:tcPr>
          <w:p w14:paraId="720969D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554.90</w:t>
            </w:r>
          </w:p>
        </w:tc>
      </w:tr>
      <w:tr w:rsidR="006416B0" w:rsidRPr="00B4515A" w14:paraId="5113011B"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652B3186"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投资活动现金流出小计</w:t>
            </w:r>
          </w:p>
        </w:tc>
        <w:tc>
          <w:tcPr>
            <w:tcW w:w="1722" w:type="dxa"/>
            <w:shd w:val="clear" w:color="auto" w:fill="auto"/>
            <w:tcMar>
              <w:top w:w="0" w:type="dxa"/>
              <w:left w:w="108" w:type="dxa"/>
              <w:bottom w:w="0" w:type="dxa"/>
              <w:right w:w="108" w:type="dxa"/>
            </w:tcMar>
            <w:vAlign w:val="center"/>
          </w:tcPr>
          <w:p w14:paraId="4517CEB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99" w:type="dxa"/>
            <w:shd w:val="clear" w:color="auto" w:fill="auto"/>
            <w:tcMar>
              <w:top w:w="0" w:type="dxa"/>
              <w:left w:w="108" w:type="dxa"/>
              <w:bottom w:w="0" w:type="dxa"/>
              <w:right w:w="108" w:type="dxa"/>
            </w:tcMar>
            <w:vAlign w:val="center"/>
          </w:tcPr>
          <w:p w14:paraId="3D618DE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123.07</w:t>
            </w:r>
          </w:p>
        </w:tc>
        <w:tc>
          <w:tcPr>
            <w:tcW w:w="1484" w:type="dxa"/>
            <w:shd w:val="clear" w:color="auto" w:fill="auto"/>
            <w:tcMar>
              <w:top w:w="0" w:type="dxa"/>
              <w:left w:w="108" w:type="dxa"/>
              <w:bottom w:w="0" w:type="dxa"/>
              <w:right w:w="108" w:type="dxa"/>
            </w:tcMar>
            <w:vAlign w:val="center"/>
          </w:tcPr>
          <w:p w14:paraId="628CDD4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554.90</w:t>
            </w:r>
          </w:p>
        </w:tc>
      </w:tr>
      <w:tr w:rsidR="006416B0" w:rsidRPr="00B4515A" w14:paraId="1152B751"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611E47BE" w14:textId="77777777" w:rsidR="006416B0" w:rsidRPr="00B4515A" w:rsidRDefault="005E58C1" w:rsidP="005860B4">
            <w:pPr>
              <w:adjustRightInd w:val="0"/>
              <w:snapToGrid w:val="0"/>
              <w:rPr>
                <w:b/>
                <w:bCs/>
                <w:color w:val="000000"/>
                <w:sz w:val="21"/>
                <w:szCs w:val="21"/>
              </w:rPr>
            </w:pPr>
            <w:r w:rsidRPr="00B4515A">
              <w:rPr>
                <w:rFonts w:hint="eastAsia"/>
                <w:b/>
                <w:bCs/>
                <w:color w:val="000000"/>
                <w:sz w:val="21"/>
                <w:szCs w:val="21"/>
              </w:rPr>
              <w:t>投资活动产生的现金流量净额</w:t>
            </w:r>
          </w:p>
        </w:tc>
        <w:tc>
          <w:tcPr>
            <w:tcW w:w="1722" w:type="dxa"/>
            <w:shd w:val="clear" w:color="auto" w:fill="auto"/>
            <w:tcMar>
              <w:top w:w="0" w:type="dxa"/>
              <w:left w:w="108" w:type="dxa"/>
              <w:bottom w:w="0" w:type="dxa"/>
              <w:right w:w="108" w:type="dxa"/>
            </w:tcMar>
            <w:vAlign w:val="center"/>
          </w:tcPr>
          <w:p w14:paraId="61B3232E"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w:t>
            </w:r>
          </w:p>
        </w:tc>
        <w:tc>
          <w:tcPr>
            <w:tcW w:w="1399" w:type="dxa"/>
            <w:shd w:val="clear" w:color="auto" w:fill="auto"/>
            <w:tcMar>
              <w:top w:w="0" w:type="dxa"/>
              <w:left w:w="108" w:type="dxa"/>
              <w:bottom w:w="0" w:type="dxa"/>
              <w:right w:w="108" w:type="dxa"/>
            </w:tcMar>
            <w:vAlign w:val="center"/>
          </w:tcPr>
          <w:p w14:paraId="30598FC7"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-121.90</w:t>
            </w:r>
          </w:p>
        </w:tc>
        <w:tc>
          <w:tcPr>
            <w:tcW w:w="1484" w:type="dxa"/>
            <w:shd w:val="clear" w:color="auto" w:fill="auto"/>
            <w:tcMar>
              <w:top w:w="0" w:type="dxa"/>
              <w:left w:w="108" w:type="dxa"/>
              <w:bottom w:w="0" w:type="dxa"/>
              <w:right w:w="108" w:type="dxa"/>
            </w:tcMar>
            <w:vAlign w:val="center"/>
          </w:tcPr>
          <w:p w14:paraId="76ED86A1"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191.88</w:t>
            </w:r>
          </w:p>
        </w:tc>
      </w:tr>
      <w:tr w:rsidR="006416B0" w:rsidRPr="00B4515A" w14:paraId="6E1C976D"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2D4F5666" w14:textId="77777777" w:rsidR="006416B0" w:rsidRPr="00B4515A" w:rsidRDefault="005E58C1" w:rsidP="005860B4">
            <w:pPr>
              <w:adjustRightInd w:val="0"/>
              <w:snapToGrid w:val="0"/>
              <w:rPr>
                <w:b/>
                <w:bCs/>
                <w:color w:val="000000"/>
                <w:sz w:val="21"/>
                <w:szCs w:val="21"/>
              </w:rPr>
            </w:pPr>
            <w:r w:rsidRPr="00B4515A">
              <w:rPr>
                <w:rFonts w:hint="eastAsia"/>
                <w:b/>
                <w:bCs/>
                <w:color w:val="000000"/>
                <w:sz w:val="21"/>
                <w:szCs w:val="21"/>
              </w:rPr>
              <w:t>三、筹资活动产生的现金流量</w:t>
            </w:r>
          </w:p>
        </w:tc>
        <w:tc>
          <w:tcPr>
            <w:tcW w:w="1722" w:type="dxa"/>
            <w:shd w:val="clear" w:color="auto" w:fill="auto"/>
            <w:tcMar>
              <w:top w:w="0" w:type="dxa"/>
              <w:left w:w="108" w:type="dxa"/>
              <w:bottom w:w="0" w:type="dxa"/>
              <w:right w:w="108" w:type="dxa"/>
            </w:tcMar>
            <w:vAlign w:val="center"/>
          </w:tcPr>
          <w:p w14:paraId="57B254D4"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 xml:space="preserve">　</w:t>
            </w:r>
          </w:p>
        </w:tc>
        <w:tc>
          <w:tcPr>
            <w:tcW w:w="1399" w:type="dxa"/>
            <w:shd w:val="clear" w:color="auto" w:fill="auto"/>
            <w:tcMar>
              <w:top w:w="0" w:type="dxa"/>
              <w:left w:w="108" w:type="dxa"/>
              <w:bottom w:w="0" w:type="dxa"/>
              <w:right w:w="108" w:type="dxa"/>
            </w:tcMar>
            <w:vAlign w:val="center"/>
          </w:tcPr>
          <w:p w14:paraId="6F6D37AF"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 xml:space="preserve">　</w:t>
            </w:r>
          </w:p>
        </w:tc>
        <w:tc>
          <w:tcPr>
            <w:tcW w:w="1484" w:type="dxa"/>
            <w:shd w:val="clear" w:color="auto" w:fill="auto"/>
            <w:tcMar>
              <w:top w:w="0" w:type="dxa"/>
              <w:left w:w="108" w:type="dxa"/>
              <w:bottom w:w="0" w:type="dxa"/>
              <w:right w:w="108" w:type="dxa"/>
            </w:tcMar>
            <w:vAlign w:val="center"/>
          </w:tcPr>
          <w:p w14:paraId="4BFE1947"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 xml:space="preserve">　</w:t>
            </w:r>
          </w:p>
        </w:tc>
      </w:tr>
      <w:tr w:rsidR="006416B0" w:rsidRPr="00B4515A" w14:paraId="35C40766"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59EA1A3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吸收投资收到的现金</w:t>
            </w:r>
          </w:p>
        </w:tc>
        <w:tc>
          <w:tcPr>
            <w:tcW w:w="1722" w:type="dxa"/>
            <w:shd w:val="clear" w:color="auto" w:fill="auto"/>
            <w:tcMar>
              <w:top w:w="0" w:type="dxa"/>
              <w:left w:w="108" w:type="dxa"/>
              <w:bottom w:w="0" w:type="dxa"/>
              <w:right w:w="108" w:type="dxa"/>
            </w:tcMar>
            <w:vAlign w:val="center"/>
          </w:tcPr>
          <w:p w14:paraId="04FDC13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57,115.00</w:t>
            </w:r>
          </w:p>
        </w:tc>
        <w:tc>
          <w:tcPr>
            <w:tcW w:w="1399" w:type="dxa"/>
            <w:shd w:val="clear" w:color="auto" w:fill="auto"/>
            <w:tcMar>
              <w:top w:w="0" w:type="dxa"/>
              <w:left w:w="108" w:type="dxa"/>
              <w:bottom w:w="0" w:type="dxa"/>
              <w:right w:w="108" w:type="dxa"/>
            </w:tcMar>
            <w:vAlign w:val="center"/>
          </w:tcPr>
          <w:p w14:paraId="15EA757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484" w:type="dxa"/>
            <w:shd w:val="clear" w:color="auto" w:fill="auto"/>
            <w:tcMar>
              <w:top w:w="0" w:type="dxa"/>
              <w:left w:w="108" w:type="dxa"/>
              <w:bottom w:w="0" w:type="dxa"/>
              <w:right w:w="108" w:type="dxa"/>
            </w:tcMar>
            <w:vAlign w:val="center"/>
          </w:tcPr>
          <w:p w14:paraId="5EA9DE5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14B4146"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3C5CB2B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lastRenderedPageBreak/>
              <w:t>取得借款收到的现金</w:t>
            </w:r>
          </w:p>
        </w:tc>
        <w:tc>
          <w:tcPr>
            <w:tcW w:w="1722" w:type="dxa"/>
            <w:shd w:val="clear" w:color="auto" w:fill="auto"/>
            <w:tcMar>
              <w:top w:w="0" w:type="dxa"/>
              <w:left w:w="108" w:type="dxa"/>
              <w:bottom w:w="0" w:type="dxa"/>
              <w:right w:w="108" w:type="dxa"/>
            </w:tcMar>
            <w:vAlign w:val="center"/>
          </w:tcPr>
          <w:p w14:paraId="4B3FF39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2,000.00</w:t>
            </w:r>
          </w:p>
        </w:tc>
        <w:tc>
          <w:tcPr>
            <w:tcW w:w="1399" w:type="dxa"/>
            <w:shd w:val="clear" w:color="auto" w:fill="auto"/>
            <w:tcMar>
              <w:top w:w="0" w:type="dxa"/>
              <w:left w:w="108" w:type="dxa"/>
              <w:bottom w:w="0" w:type="dxa"/>
              <w:right w:w="108" w:type="dxa"/>
            </w:tcMar>
            <w:vAlign w:val="center"/>
          </w:tcPr>
          <w:p w14:paraId="6F709FA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19,816.87</w:t>
            </w:r>
          </w:p>
        </w:tc>
        <w:tc>
          <w:tcPr>
            <w:tcW w:w="1484" w:type="dxa"/>
            <w:shd w:val="clear" w:color="auto" w:fill="auto"/>
            <w:tcMar>
              <w:top w:w="0" w:type="dxa"/>
              <w:left w:w="108" w:type="dxa"/>
              <w:bottom w:w="0" w:type="dxa"/>
              <w:right w:w="108" w:type="dxa"/>
            </w:tcMar>
            <w:vAlign w:val="center"/>
          </w:tcPr>
          <w:p w14:paraId="4EAA960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14,609.94</w:t>
            </w:r>
          </w:p>
        </w:tc>
      </w:tr>
      <w:tr w:rsidR="006416B0" w:rsidRPr="00B4515A" w14:paraId="6F417D0F"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3F13D805"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筹资活动现金流入小计</w:t>
            </w:r>
          </w:p>
        </w:tc>
        <w:tc>
          <w:tcPr>
            <w:tcW w:w="1722" w:type="dxa"/>
            <w:shd w:val="clear" w:color="auto" w:fill="auto"/>
            <w:tcMar>
              <w:top w:w="0" w:type="dxa"/>
              <w:left w:w="108" w:type="dxa"/>
              <w:bottom w:w="0" w:type="dxa"/>
              <w:right w:w="108" w:type="dxa"/>
            </w:tcMar>
            <w:vAlign w:val="center"/>
          </w:tcPr>
          <w:p w14:paraId="77531D7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59,115.00</w:t>
            </w:r>
          </w:p>
        </w:tc>
        <w:tc>
          <w:tcPr>
            <w:tcW w:w="1399" w:type="dxa"/>
            <w:shd w:val="clear" w:color="auto" w:fill="auto"/>
            <w:tcMar>
              <w:top w:w="0" w:type="dxa"/>
              <w:left w:w="108" w:type="dxa"/>
              <w:bottom w:w="0" w:type="dxa"/>
              <w:right w:w="108" w:type="dxa"/>
            </w:tcMar>
            <w:vAlign w:val="center"/>
          </w:tcPr>
          <w:p w14:paraId="4A9F62B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19,816.87</w:t>
            </w:r>
          </w:p>
        </w:tc>
        <w:tc>
          <w:tcPr>
            <w:tcW w:w="1484" w:type="dxa"/>
            <w:shd w:val="clear" w:color="auto" w:fill="auto"/>
            <w:tcMar>
              <w:top w:w="0" w:type="dxa"/>
              <w:left w:w="108" w:type="dxa"/>
              <w:bottom w:w="0" w:type="dxa"/>
              <w:right w:w="108" w:type="dxa"/>
            </w:tcMar>
            <w:vAlign w:val="center"/>
          </w:tcPr>
          <w:p w14:paraId="5F9B98C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14,609.94</w:t>
            </w:r>
          </w:p>
        </w:tc>
      </w:tr>
      <w:tr w:rsidR="006416B0" w:rsidRPr="00B4515A" w14:paraId="6FABDCBA"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3E67961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偿还债务支付的现金</w:t>
            </w:r>
          </w:p>
        </w:tc>
        <w:tc>
          <w:tcPr>
            <w:tcW w:w="1722" w:type="dxa"/>
            <w:shd w:val="clear" w:color="auto" w:fill="auto"/>
            <w:tcMar>
              <w:top w:w="0" w:type="dxa"/>
              <w:left w:w="108" w:type="dxa"/>
              <w:bottom w:w="0" w:type="dxa"/>
              <w:right w:w="108" w:type="dxa"/>
            </w:tcMar>
            <w:vAlign w:val="center"/>
          </w:tcPr>
          <w:p w14:paraId="26F5007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4,998.99</w:t>
            </w:r>
          </w:p>
        </w:tc>
        <w:tc>
          <w:tcPr>
            <w:tcW w:w="1399" w:type="dxa"/>
            <w:shd w:val="clear" w:color="auto" w:fill="auto"/>
            <w:tcMar>
              <w:top w:w="0" w:type="dxa"/>
              <w:left w:w="108" w:type="dxa"/>
              <w:bottom w:w="0" w:type="dxa"/>
              <w:right w:w="108" w:type="dxa"/>
            </w:tcMar>
            <w:vAlign w:val="center"/>
          </w:tcPr>
          <w:p w14:paraId="20208DF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13,833.58</w:t>
            </w:r>
          </w:p>
        </w:tc>
        <w:tc>
          <w:tcPr>
            <w:tcW w:w="1484" w:type="dxa"/>
            <w:shd w:val="clear" w:color="auto" w:fill="auto"/>
            <w:tcMar>
              <w:top w:w="0" w:type="dxa"/>
              <w:left w:w="108" w:type="dxa"/>
              <w:bottom w:w="0" w:type="dxa"/>
              <w:right w:w="108" w:type="dxa"/>
            </w:tcMar>
            <w:vAlign w:val="center"/>
          </w:tcPr>
          <w:p w14:paraId="1BF3B6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8,600.00</w:t>
            </w:r>
          </w:p>
        </w:tc>
      </w:tr>
      <w:tr w:rsidR="006416B0" w:rsidRPr="00B4515A" w14:paraId="7D06F650"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2F3FC22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分配股利、利润或偿付利息支付的现金</w:t>
            </w:r>
          </w:p>
        </w:tc>
        <w:tc>
          <w:tcPr>
            <w:tcW w:w="1722" w:type="dxa"/>
            <w:shd w:val="clear" w:color="auto" w:fill="auto"/>
            <w:tcMar>
              <w:top w:w="0" w:type="dxa"/>
              <w:left w:w="108" w:type="dxa"/>
              <w:bottom w:w="0" w:type="dxa"/>
              <w:right w:w="108" w:type="dxa"/>
            </w:tcMar>
            <w:vAlign w:val="center"/>
          </w:tcPr>
          <w:p w14:paraId="3C094D3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159.21</w:t>
            </w:r>
          </w:p>
        </w:tc>
        <w:tc>
          <w:tcPr>
            <w:tcW w:w="1399" w:type="dxa"/>
            <w:shd w:val="clear" w:color="auto" w:fill="auto"/>
            <w:tcMar>
              <w:top w:w="0" w:type="dxa"/>
              <w:left w:w="108" w:type="dxa"/>
              <w:bottom w:w="0" w:type="dxa"/>
              <w:right w:w="108" w:type="dxa"/>
            </w:tcMar>
            <w:vAlign w:val="center"/>
          </w:tcPr>
          <w:p w14:paraId="4BE4A73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2,421.26</w:t>
            </w:r>
          </w:p>
        </w:tc>
        <w:tc>
          <w:tcPr>
            <w:tcW w:w="1484" w:type="dxa"/>
            <w:shd w:val="clear" w:color="auto" w:fill="auto"/>
            <w:tcMar>
              <w:top w:w="0" w:type="dxa"/>
              <w:left w:w="108" w:type="dxa"/>
              <w:bottom w:w="0" w:type="dxa"/>
              <w:right w:w="108" w:type="dxa"/>
            </w:tcMar>
            <w:vAlign w:val="center"/>
          </w:tcPr>
          <w:p w14:paraId="1DEF366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1,990.83</w:t>
            </w:r>
          </w:p>
        </w:tc>
      </w:tr>
      <w:tr w:rsidR="006416B0" w:rsidRPr="00B4515A" w14:paraId="7B077481"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0F2466A8"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筹资活动现金流出小计</w:t>
            </w:r>
          </w:p>
        </w:tc>
        <w:tc>
          <w:tcPr>
            <w:tcW w:w="1722" w:type="dxa"/>
            <w:shd w:val="clear" w:color="auto" w:fill="auto"/>
            <w:tcMar>
              <w:top w:w="0" w:type="dxa"/>
              <w:left w:w="108" w:type="dxa"/>
              <w:bottom w:w="0" w:type="dxa"/>
              <w:right w:w="108" w:type="dxa"/>
            </w:tcMar>
            <w:vAlign w:val="center"/>
          </w:tcPr>
          <w:p w14:paraId="0282FDC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5,158.20</w:t>
            </w:r>
          </w:p>
        </w:tc>
        <w:tc>
          <w:tcPr>
            <w:tcW w:w="1399" w:type="dxa"/>
            <w:shd w:val="clear" w:color="auto" w:fill="auto"/>
            <w:tcMar>
              <w:top w:w="0" w:type="dxa"/>
              <w:left w:w="108" w:type="dxa"/>
              <w:bottom w:w="0" w:type="dxa"/>
              <w:right w:w="108" w:type="dxa"/>
            </w:tcMar>
            <w:vAlign w:val="center"/>
          </w:tcPr>
          <w:p w14:paraId="764F288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16,254.84</w:t>
            </w:r>
          </w:p>
        </w:tc>
        <w:tc>
          <w:tcPr>
            <w:tcW w:w="1484" w:type="dxa"/>
            <w:shd w:val="clear" w:color="auto" w:fill="auto"/>
            <w:tcMar>
              <w:top w:w="0" w:type="dxa"/>
              <w:left w:w="108" w:type="dxa"/>
              <w:bottom w:w="0" w:type="dxa"/>
              <w:right w:w="108" w:type="dxa"/>
            </w:tcMar>
            <w:vAlign w:val="center"/>
          </w:tcPr>
          <w:p w14:paraId="55D22CA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10,590.83</w:t>
            </w:r>
          </w:p>
        </w:tc>
      </w:tr>
      <w:tr w:rsidR="006416B0" w:rsidRPr="00B4515A" w14:paraId="68146F9F"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680D6C67" w14:textId="77777777" w:rsidR="006416B0" w:rsidRPr="00B4515A" w:rsidRDefault="005E58C1" w:rsidP="005860B4">
            <w:pPr>
              <w:adjustRightInd w:val="0"/>
              <w:snapToGrid w:val="0"/>
              <w:rPr>
                <w:b/>
                <w:bCs/>
                <w:color w:val="000000"/>
                <w:sz w:val="21"/>
                <w:szCs w:val="21"/>
              </w:rPr>
            </w:pPr>
            <w:r w:rsidRPr="00B4515A">
              <w:rPr>
                <w:rFonts w:hint="eastAsia"/>
                <w:b/>
                <w:bCs/>
                <w:color w:val="000000"/>
                <w:sz w:val="21"/>
                <w:szCs w:val="21"/>
              </w:rPr>
              <w:t>筹资活动产生的现金流量净额</w:t>
            </w:r>
          </w:p>
        </w:tc>
        <w:tc>
          <w:tcPr>
            <w:tcW w:w="1722" w:type="dxa"/>
            <w:shd w:val="clear" w:color="auto" w:fill="auto"/>
            <w:tcMar>
              <w:top w:w="0" w:type="dxa"/>
              <w:left w:w="108" w:type="dxa"/>
              <w:bottom w:w="0" w:type="dxa"/>
              <w:right w:w="108" w:type="dxa"/>
            </w:tcMar>
            <w:vAlign w:val="center"/>
          </w:tcPr>
          <w:p w14:paraId="660488DA"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53,956.80</w:t>
            </w:r>
          </w:p>
        </w:tc>
        <w:tc>
          <w:tcPr>
            <w:tcW w:w="1399" w:type="dxa"/>
            <w:shd w:val="clear" w:color="auto" w:fill="auto"/>
            <w:tcMar>
              <w:top w:w="0" w:type="dxa"/>
              <w:left w:w="108" w:type="dxa"/>
              <w:bottom w:w="0" w:type="dxa"/>
              <w:right w:w="108" w:type="dxa"/>
            </w:tcMar>
            <w:vAlign w:val="center"/>
          </w:tcPr>
          <w:p w14:paraId="57030071"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3,562.02</w:t>
            </w:r>
          </w:p>
        </w:tc>
        <w:tc>
          <w:tcPr>
            <w:tcW w:w="1484" w:type="dxa"/>
            <w:shd w:val="clear" w:color="auto" w:fill="auto"/>
            <w:tcMar>
              <w:top w:w="0" w:type="dxa"/>
              <w:left w:w="108" w:type="dxa"/>
              <w:bottom w:w="0" w:type="dxa"/>
              <w:right w:w="108" w:type="dxa"/>
            </w:tcMar>
            <w:vAlign w:val="center"/>
          </w:tcPr>
          <w:p w14:paraId="2934C273"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4,019.11</w:t>
            </w:r>
          </w:p>
        </w:tc>
      </w:tr>
      <w:tr w:rsidR="006416B0" w:rsidRPr="00B4515A" w14:paraId="273C2D03"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730B094A" w14:textId="77777777" w:rsidR="006416B0" w:rsidRPr="00B4515A" w:rsidRDefault="005E58C1" w:rsidP="005860B4">
            <w:pPr>
              <w:adjustRightInd w:val="0"/>
              <w:snapToGrid w:val="0"/>
              <w:rPr>
                <w:b/>
                <w:bCs/>
                <w:color w:val="000000"/>
                <w:sz w:val="21"/>
                <w:szCs w:val="21"/>
              </w:rPr>
            </w:pPr>
            <w:r w:rsidRPr="00B4515A">
              <w:rPr>
                <w:rFonts w:hint="eastAsia"/>
                <w:b/>
                <w:bCs/>
                <w:color w:val="000000"/>
                <w:sz w:val="21"/>
                <w:szCs w:val="21"/>
              </w:rPr>
              <w:t>四、汇率变动对现金及现金等价物的影响</w:t>
            </w:r>
          </w:p>
        </w:tc>
        <w:tc>
          <w:tcPr>
            <w:tcW w:w="1722" w:type="dxa"/>
            <w:shd w:val="clear" w:color="auto" w:fill="auto"/>
            <w:tcMar>
              <w:top w:w="0" w:type="dxa"/>
              <w:left w:w="108" w:type="dxa"/>
              <w:bottom w:w="0" w:type="dxa"/>
              <w:right w:w="108" w:type="dxa"/>
            </w:tcMar>
            <w:vAlign w:val="center"/>
          </w:tcPr>
          <w:p w14:paraId="0970569E"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w:t>
            </w:r>
          </w:p>
        </w:tc>
        <w:tc>
          <w:tcPr>
            <w:tcW w:w="1399" w:type="dxa"/>
            <w:shd w:val="clear" w:color="auto" w:fill="auto"/>
            <w:tcMar>
              <w:top w:w="0" w:type="dxa"/>
              <w:left w:w="108" w:type="dxa"/>
              <w:bottom w:w="0" w:type="dxa"/>
              <w:right w:w="108" w:type="dxa"/>
            </w:tcMar>
            <w:vAlign w:val="center"/>
          </w:tcPr>
          <w:p w14:paraId="35B7B341"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w:t>
            </w:r>
          </w:p>
        </w:tc>
        <w:tc>
          <w:tcPr>
            <w:tcW w:w="1484" w:type="dxa"/>
            <w:shd w:val="clear" w:color="auto" w:fill="auto"/>
            <w:tcMar>
              <w:top w:w="0" w:type="dxa"/>
              <w:left w:w="108" w:type="dxa"/>
              <w:bottom w:w="0" w:type="dxa"/>
              <w:right w:w="108" w:type="dxa"/>
            </w:tcMar>
            <w:vAlign w:val="center"/>
          </w:tcPr>
          <w:p w14:paraId="6364A5DE"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w:t>
            </w:r>
          </w:p>
        </w:tc>
      </w:tr>
      <w:tr w:rsidR="006416B0" w:rsidRPr="00B4515A" w14:paraId="7CAF10DD"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4A978D21" w14:textId="77777777" w:rsidR="006416B0" w:rsidRPr="00B4515A" w:rsidRDefault="005E58C1" w:rsidP="005860B4">
            <w:pPr>
              <w:adjustRightInd w:val="0"/>
              <w:snapToGrid w:val="0"/>
              <w:rPr>
                <w:b/>
                <w:bCs/>
                <w:color w:val="000000"/>
                <w:sz w:val="21"/>
                <w:szCs w:val="21"/>
              </w:rPr>
            </w:pPr>
            <w:r w:rsidRPr="00B4515A">
              <w:rPr>
                <w:rFonts w:hint="eastAsia"/>
                <w:b/>
                <w:bCs/>
                <w:color w:val="000000"/>
                <w:sz w:val="21"/>
                <w:szCs w:val="21"/>
              </w:rPr>
              <w:t>五、现金及现金等价物净增加额</w:t>
            </w:r>
          </w:p>
        </w:tc>
        <w:tc>
          <w:tcPr>
            <w:tcW w:w="1722" w:type="dxa"/>
            <w:shd w:val="clear" w:color="auto" w:fill="auto"/>
            <w:tcMar>
              <w:top w:w="0" w:type="dxa"/>
              <w:left w:w="108" w:type="dxa"/>
              <w:bottom w:w="0" w:type="dxa"/>
              <w:right w:w="108" w:type="dxa"/>
            </w:tcMar>
            <w:vAlign w:val="center"/>
          </w:tcPr>
          <w:p w14:paraId="330DF7F1"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51,840.23</w:t>
            </w:r>
          </w:p>
        </w:tc>
        <w:tc>
          <w:tcPr>
            <w:tcW w:w="1399" w:type="dxa"/>
            <w:shd w:val="clear" w:color="auto" w:fill="auto"/>
            <w:tcMar>
              <w:top w:w="0" w:type="dxa"/>
              <w:left w:w="108" w:type="dxa"/>
              <w:bottom w:w="0" w:type="dxa"/>
              <w:right w:w="108" w:type="dxa"/>
            </w:tcMar>
            <w:vAlign w:val="center"/>
          </w:tcPr>
          <w:p w14:paraId="39EDA0EF"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5,197.03</w:t>
            </w:r>
          </w:p>
        </w:tc>
        <w:tc>
          <w:tcPr>
            <w:tcW w:w="1484" w:type="dxa"/>
            <w:shd w:val="clear" w:color="auto" w:fill="auto"/>
            <w:tcMar>
              <w:top w:w="0" w:type="dxa"/>
              <w:left w:w="108" w:type="dxa"/>
              <w:bottom w:w="0" w:type="dxa"/>
              <w:right w:w="108" w:type="dxa"/>
            </w:tcMar>
            <w:vAlign w:val="center"/>
          </w:tcPr>
          <w:p w14:paraId="6C43B621"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308.96</w:t>
            </w:r>
          </w:p>
        </w:tc>
      </w:tr>
      <w:tr w:rsidR="006416B0" w:rsidRPr="00B4515A" w14:paraId="5C8498BA"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6326D84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加：期初现金及现金等价物余额</w:t>
            </w:r>
          </w:p>
        </w:tc>
        <w:tc>
          <w:tcPr>
            <w:tcW w:w="1722" w:type="dxa"/>
            <w:shd w:val="clear" w:color="auto" w:fill="auto"/>
            <w:tcMar>
              <w:top w:w="0" w:type="dxa"/>
              <w:left w:w="108" w:type="dxa"/>
              <w:bottom w:w="0" w:type="dxa"/>
              <w:right w:w="108" w:type="dxa"/>
            </w:tcMar>
            <w:vAlign w:val="center"/>
          </w:tcPr>
          <w:p w14:paraId="6445296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7,896.74</w:t>
            </w:r>
          </w:p>
        </w:tc>
        <w:tc>
          <w:tcPr>
            <w:tcW w:w="1399" w:type="dxa"/>
            <w:shd w:val="clear" w:color="auto" w:fill="auto"/>
            <w:tcMar>
              <w:top w:w="0" w:type="dxa"/>
              <w:left w:w="108" w:type="dxa"/>
              <w:bottom w:w="0" w:type="dxa"/>
              <w:right w:w="108" w:type="dxa"/>
            </w:tcMar>
            <w:vAlign w:val="center"/>
          </w:tcPr>
          <w:p w14:paraId="4C5386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2,699.70</w:t>
            </w:r>
          </w:p>
        </w:tc>
        <w:tc>
          <w:tcPr>
            <w:tcW w:w="1484" w:type="dxa"/>
            <w:shd w:val="clear" w:color="auto" w:fill="auto"/>
            <w:tcMar>
              <w:top w:w="0" w:type="dxa"/>
              <w:left w:w="108" w:type="dxa"/>
              <w:bottom w:w="0" w:type="dxa"/>
              <w:right w:w="108" w:type="dxa"/>
            </w:tcMar>
            <w:vAlign w:val="center"/>
          </w:tcPr>
          <w:p w14:paraId="3B5239E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2,390.74</w:t>
            </w:r>
          </w:p>
        </w:tc>
      </w:tr>
      <w:tr w:rsidR="006416B0" w:rsidRPr="00B4515A" w14:paraId="4A1558BC" w14:textId="77777777" w:rsidTr="00031627">
        <w:trPr>
          <w:trHeight w:val="340"/>
          <w:jc w:val="center"/>
        </w:trPr>
        <w:tc>
          <w:tcPr>
            <w:tcW w:w="3845" w:type="dxa"/>
            <w:shd w:val="clear" w:color="auto" w:fill="auto"/>
            <w:tcMar>
              <w:top w:w="0" w:type="dxa"/>
              <w:left w:w="108" w:type="dxa"/>
              <w:bottom w:w="0" w:type="dxa"/>
              <w:right w:w="108" w:type="dxa"/>
            </w:tcMar>
            <w:vAlign w:val="center"/>
          </w:tcPr>
          <w:p w14:paraId="65E405CA" w14:textId="77777777" w:rsidR="006416B0" w:rsidRPr="00B4515A" w:rsidRDefault="005E58C1" w:rsidP="005860B4">
            <w:pPr>
              <w:adjustRightInd w:val="0"/>
              <w:snapToGrid w:val="0"/>
              <w:rPr>
                <w:b/>
                <w:bCs/>
                <w:color w:val="000000"/>
                <w:sz w:val="21"/>
                <w:szCs w:val="21"/>
              </w:rPr>
            </w:pPr>
            <w:r w:rsidRPr="00B4515A">
              <w:rPr>
                <w:rFonts w:hint="eastAsia"/>
                <w:b/>
                <w:bCs/>
                <w:color w:val="000000"/>
                <w:sz w:val="21"/>
                <w:szCs w:val="21"/>
              </w:rPr>
              <w:t>六、期末现金及现金等价物余额</w:t>
            </w:r>
          </w:p>
        </w:tc>
        <w:tc>
          <w:tcPr>
            <w:tcW w:w="1722" w:type="dxa"/>
            <w:shd w:val="clear" w:color="auto" w:fill="auto"/>
            <w:tcMar>
              <w:top w:w="0" w:type="dxa"/>
              <w:left w:w="108" w:type="dxa"/>
              <w:bottom w:w="0" w:type="dxa"/>
              <w:right w:w="108" w:type="dxa"/>
            </w:tcMar>
            <w:vAlign w:val="center"/>
          </w:tcPr>
          <w:p w14:paraId="77BEF7A3"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59,736.97</w:t>
            </w:r>
          </w:p>
        </w:tc>
        <w:tc>
          <w:tcPr>
            <w:tcW w:w="1399" w:type="dxa"/>
            <w:shd w:val="clear" w:color="auto" w:fill="auto"/>
            <w:tcMar>
              <w:top w:w="0" w:type="dxa"/>
              <w:left w:w="108" w:type="dxa"/>
              <w:bottom w:w="0" w:type="dxa"/>
              <w:right w:w="108" w:type="dxa"/>
            </w:tcMar>
            <w:vAlign w:val="center"/>
          </w:tcPr>
          <w:p w14:paraId="742F1F93"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7,896.74</w:t>
            </w:r>
          </w:p>
        </w:tc>
        <w:tc>
          <w:tcPr>
            <w:tcW w:w="1484" w:type="dxa"/>
            <w:shd w:val="clear" w:color="auto" w:fill="auto"/>
            <w:tcMar>
              <w:top w:w="0" w:type="dxa"/>
              <w:left w:w="108" w:type="dxa"/>
              <w:bottom w:w="0" w:type="dxa"/>
              <w:right w:w="108" w:type="dxa"/>
            </w:tcMar>
            <w:vAlign w:val="center"/>
          </w:tcPr>
          <w:p w14:paraId="4EDB31E1"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2,699.70</w:t>
            </w:r>
          </w:p>
        </w:tc>
      </w:tr>
    </w:tbl>
    <w:p w14:paraId="2266CF9B" w14:textId="77777777" w:rsidR="006416B0" w:rsidRPr="00B4515A" w:rsidRDefault="005E58C1">
      <w:pPr>
        <w:rPr>
          <w:rFonts w:ascii="Times New Roman" w:hAnsi="Times New Roman" w:cs="Times New Roman"/>
        </w:rPr>
      </w:pPr>
      <w:r w:rsidRPr="00B4515A">
        <w:rPr>
          <w:rFonts w:ascii="Times New Roman" w:hAnsi="Times New Roman" w:cs="Times New Roman"/>
          <w:noProof/>
        </w:rPr>
        <w:drawing>
          <wp:inline distT="0" distB="0" distL="0" distR="0" wp14:anchorId="6F5391D3" wp14:editId="740E42EF">
            <wp:extent cx="1068070" cy="18415"/>
            <wp:effectExtent l="0" t="0" r="0" b="0"/>
            <wp:docPr id="4" name="图片 4" descr="page474image77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474image7710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068070" cy="18415"/>
                    </a:xfrm>
                    <a:prstGeom prst="rect">
                      <a:avLst/>
                    </a:prstGeom>
                    <a:noFill/>
                    <a:ln>
                      <a:noFill/>
                    </a:ln>
                  </pic:spPr>
                </pic:pic>
              </a:graphicData>
            </a:graphic>
          </wp:inline>
        </w:drawing>
      </w:r>
      <w:r w:rsidRPr="00B4515A">
        <w:rPr>
          <w:rFonts w:ascii="Times New Roman" w:hAnsi="Times New Roman" w:cs="Times New Roman"/>
          <w:noProof/>
        </w:rPr>
        <w:drawing>
          <wp:inline distT="0" distB="0" distL="0" distR="0" wp14:anchorId="622AD19E" wp14:editId="1FB891E9">
            <wp:extent cx="1095375" cy="18415"/>
            <wp:effectExtent l="0" t="0" r="0" b="0"/>
            <wp:docPr id="3" name="图片 3" descr="page474image77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474image7758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095375" cy="18415"/>
                    </a:xfrm>
                    <a:prstGeom prst="rect">
                      <a:avLst/>
                    </a:prstGeom>
                    <a:noFill/>
                    <a:ln>
                      <a:noFill/>
                    </a:ln>
                  </pic:spPr>
                </pic:pic>
              </a:graphicData>
            </a:graphic>
          </wp:inline>
        </w:drawing>
      </w:r>
      <w:r w:rsidRPr="00B4515A">
        <w:rPr>
          <w:rFonts w:ascii="Times New Roman" w:hAnsi="Times New Roman" w:cs="Times New Roman"/>
          <w:noProof/>
        </w:rPr>
        <w:drawing>
          <wp:inline distT="0" distB="0" distL="0" distR="0" wp14:anchorId="06C2669F" wp14:editId="6AE7A678">
            <wp:extent cx="1077595" cy="18415"/>
            <wp:effectExtent l="0" t="0" r="0" b="0"/>
            <wp:docPr id="1" name="图片 1" descr="page474image77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age474image7784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077595" cy="18415"/>
                    </a:xfrm>
                    <a:prstGeom prst="rect">
                      <a:avLst/>
                    </a:prstGeom>
                    <a:noFill/>
                    <a:ln>
                      <a:noFill/>
                    </a:ln>
                  </pic:spPr>
                </pic:pic>
              </a:graphicData>
            </a:graphic>
          </wp:inline>
        </w:drawing>
      </w:r>
    </w:p>
    <w:p w14:paraId="5D3744AC" w14:textId="36C84FF8" w:rsidR="006416B0" w:rsidRPr="00B4515A" w:rsidRDefault="008C1C67" w:rsidP="006100BC">
      <w:pPr>
        <w:pStyle w:val="002"/>
        <w:spacing w:before="120" w:after="120"/>
        <w:ind w:firstLine="562"/>
      </w:pPr>
      <w:bookmarkStart w:id="329" w:name="_Toc80960578"/>
      <w:r w:rsidRPr="00B4515A">
        <w:t>二、</w:t>
      </w:r>
      <w:r w:rsidR="005E58C1" w:rsidRPr="00B4515A">
        <w:t>上市公司最近一年及一期的</w:t>
      </w:r>
      <w:r w:rsidR="005E58C1" w:rsidRPr="00B4515A">
        <w:rPr>
          <w:rFonts w:hint="eastAsia"/>
        </w:rPr>
        <w:t>简要</w:t>
      </w:r>
      <w:r w:rsidR="005E58C1" w:rsidRPr="00B4515A">
        <w:t>备考合并财务报表</w:t>
      </w:r>
      <w:bookmarkEnd w:id="329"/>
    </w:p>
    <w:p w14:paraId="2C5272BF" w14:textId="77777777" w:rsidR="006416B0" w:rsidRPr="00B4515A" w:rsidRDefault="005E58C1" w:rsidP="006100BC">
      <w:pPr>
        <w:pStyle w:val="003"/>
        <w:spacing w:before="120"/>
        <w:ind w:firstLine="482"/>
      </w:pPr>
      <w:r w:rsidRPr="00B4515A">
        <w:t>（一）备考财务报表的编制基础</w:t>
      </w:r>
    </w:p>
    <w:p w14:paraId="7208D151" w14:textId="77777777" w:rsidR="006416B0" w:rsidRPr="00B4515A" w:rsidRDefault="005E58C1" w:rsidP="006100BC">
      <w:pPr>
        <w:pStyle w:val="005"/>
        <w:spacing w:before="120" w:after="120"/>
        <w:ind w:firstLine="480"/>
      </w:pPr>
      <w:r w:rsidRPr="00B4515A">
        <w:t>根据已签署的《大唐电信科技股份有限公司与大唐联诚信息系统技术有限公司股东之发行股份购买资产协议》，上市公司拟向电信科学技术研究院有限公司、大唐电信科技产业控股有限公司、湖北长江中信科移动通信技术产业投资基金合伙企业（有限合伙）、中国国有企业结构调整基金股份有限公司、北京金融街资本运营中心发行股份购买其合计持有的大唐联诚信息系统技术有限公司</w:t>
      </w:r>
      <w:r w:rsidRPr="00B4515A">
        <w:t>95.001%</w:t>
      </w:r>
      <w:r w:rsidRPr="00B4515A">
        <w:t>股权</w:t>
      </w:r>
      <w:r w:rsidRPr="00B4515A">
        <w:rPr>
          <w:rFonts w:hint="eastAsia"/>
        </w:rPr>
        <w:t>，</w:t>
      </w:r>
      <w:r w:rsidRPr="00B4515A">
        <w:t>同时向中国信息通信科技集团有限公司非公开发行股份募集配套资金</w:t>
      </w:r>
      <w:r w:rsidRPr="00B4515A">
        <w:t>99,999.999656</w:t>
      </w:r>
      <w:r w:rsidRPr="00B4515A">
        <w:t>万元。上市公司模拟协议确定的重大重组交易完成后的基本架构作为备考会计主体，编制</w:t>
      </w:r>
      <w:r w:rsidRPr="00B4515A">
        <w:t>2020</w:t>
      </w:r>
      <w:r w:rsidRPr="00B4515A">
        <w:t>年</w:t>
      </w:r>
      <w:r w:rsidRPr="00B4515A">
        <w:t>1</w:t>
      </w:r>
      <w:r w:rsidRPr="00B4515A">
        <w:t>月</w:t>
      </w:r>
      <w:r w:rsidRPr="00B4515A">
        <w:t>1</w:t>
      </w:r>
      <w:r w:rsidRPr="00B4515A">
        <w:t>日至</w:t>
      </w:r>
      <w:r w:rsidRPr="00B4515A">
        <w:t>2021</w:t>
      </w:r>
      <w:r w:rsidRPr="00B4515A">
        <w:t>年</w:t>
      </w:r>
      <w:r w:rsidRPr="00B4515A">
        <w:t>4</w:t>
      </w:r>
      <w:r w:rsidRPr="00B4515A">
        <w:t>月</w:t>
      </w:r>
      <w:r w:rsidRPr="00B4515A">
        <w:t>30</w:t>
      </w:r>
      <w:r w:rsidRPr="00B4515A">
        <w:t>日的备考合并财务报表。立信会计师事务所（特殊普通合伙）</w:t>
      </w:r>
      <w:r w:rsidRPr="00B4515A">
        <w:rPr>
          <w:rFonts w:hint="eastAsia"/>
        </w:rPr>
        <w:t>对</w:t>
      </w:r>
      <w:r w:rsidRPr="00B4515A">
        <w:t>备考合并财务报表</w:t>
      </w:r>
      <w:r w:rsidRPr="00B4515A">
        <w:rPr>
          <w:rFonts w:hint="eastAsia"/>
        </w:rPr>
        <w:t>按照《中国注册会计师审阅准则第</w:t>
      </w:r>
      <w:r w:rsidRPr="00B4515A">
        <w:t>2101</w:t>
      </w:r>
      <w:r w:rsidRPr="00B4515A">
        <w:t>号</w:t>
      </w:r>
      <w:r w:rsidRPr="00B4515A">
        <w:t>——</w:t>
      </w:r>
      <w:r w:rsidRPr="00B4515A">
        <w:t>财务报表审阅》的规定</w:t>
      </w:r>
      <w:r w:rsidRPr="00B4515A">
        <w:rPr>
          <w:rFonts w:hint="eastAsia"/>
        </w:rPr>
        <w:t>进行了审阅，并出具了信会师报字</w:t>
      </w:r>
      <w:r w:rsidRPr="00B4515A">
        <w:t>[2021]</w:t>
      </w:r>
      <w:r w:rsidRPr="00B4515A">
        <w:t>第</w:t>
      </w:r>
      <w:r w:rsidRPr="00B4515A">
        <w:t>ZG11653</w:t>
      </w:r>
      <w:r w:rsidRPr="00B4515A">
        <w:t>号</w:t>
      </w:r>
      <w:r w:rsidRPr="00B4515A">
        <w:rPr>
          <w:rFonts w:hint="eastAsia"/>
        </w:rPr>
        <w:t>审阅报告。</w:t>
      </w:r>
    </w:p>
    <w:p w14:paraId="5752F8A6" w14:textId="77777777" w:rsidR="006416B0" w:rsidRPr="00B4515A" w:rsidRDefault="005E58C1" w:rsidP="006100BC">
      <w:pPr>
        <w:pStyle w:val="005"/>
        <w:spacing w:before="120" w:after="120"/>
        <w:ind w:firstLine="480"/>
      </w:pPr>
      <w:r w:rsidRPr="00B4515A">
        <w:t>上市公司</w:t>
      </w:r>
      <w:r w:rsidRPr="00B4515A">
        <w:t>2020</w:t>
      </w:r>
      <w:r w:rsidRPr="00B4515A">
        <w:t>年度的财务报表经立信会计师事务所（特殊普通合伙）审计，并出具了信会师报字</w:t>
      </w:r>
      <w:r w:rsidRPr="00B4515A">
        <w:t>[2021]</w:t>
      </w:r>
      <w:r w:rsidRPr="00B4515A">
        <w:t>第</w:t>
      </w:r>
      <w:r w:rsidRPr="00B4515A">
        <w:t>ZG11031</w:t>
      </w:r>
      <w:r w:rsidRPr="00B4515A">
        <w:t>号标准无保留意见审计报告。</w:t>
      </w:r>
    </w:p>
    <w:p w14:paraId="2519EB9F" w14:textId="77777777" w:rsidR="006416B0" w:rsidRPr="00B4515A" w:rsidRDefault="005E58C1" w:rsidP="006100BC">
      <w:pPr>
        <w:pStyle w:val="005"/>
        <w:spacing w:before="120" w:after="120"/>
        <w:ind w:firstLine="480"/>
      </w:pPr>
      <w:r w:rsidRPr="00B4515A">
        <w:t>大唐联诚信息系统技术有限公司</w:t>
      </w:r>
      <w:r w:rsidRPr="00B4515A">
        <w:t>2019</w:t>
      </w:r>
      <w:r w:rsidRPr="00B4515A">
        <w:t>年</w:t>
      </w:r>
      <w:r w:rsidRPr="00B4515A">
        <w:t>1</w:t>
      </w:r>
      <w:r w:rsidRPr="00B4515A">
        <w:t>月</w:t>
      </w:r>
      <w:r w:rsidRPr="00B4515A">
        <w:t>1</w:t>
      </w:r>
      <w:r w:rsidRPr="00B4515A">
        <w:t>日</w:t>
      </w:r>
      <w:r w:rsidRPr="00B4515A">
        <w:t xml:space="preserve"> </w:t>
      </w:r>
      <w:r w:rsidRPr="00B4515A">
        <w:t>至</w:t>
      </w:r>
      <w:r w:rsidRPr="00B4515A">
        <w:t xml:space="preserve"> 2021</w:t>
      </w:r>
      <w:r w:rsidRPr="00B4515A">
        <w:t>年</w:t>
      </w:r>
      <w:r w:rsidRPr="00B4515A">
        <w:t>4</w:t>
      </w:r>
      <w:r w:rsidRPr="00B4515A">
        <w:t>月</w:t>
      </w:r>
      <w:r w:rsidRPr="00B4515A">
        <w:t>30</w:t>
      </w:r>
      <w:r w:rsidRPr="00B4515A">
        <w:t>日的财务报表经立信会计师事务所（特殊普通合伙）审计，并出具了信会师报字</w:t>
      </w:r>
      <w:r w:rsidRPr="00B4515A">
        <w:t>[2021]</w:t>
      </w:r>
      <w:r w:rsidRPr="00B4515A">
        <w:t>第</w:t>
      </w:r>
      <w:r w:rsidRPr="00B4515A">
        <w:t>ZE21651</w:t>
      </w:r>
      <w:r w:rsidRPr="00B4515A">
        <w:t>号标准无保留意见审计报告。</w:t>
      </w:r>
    </w:p>
    <w:p w14:paraId="6E70FB24" w14:textId="77777777" w:rsidR="006416B0" w:rsidRPr="00B4515A" w:rsidRDefault="005E58C1" w:rsidP="006100BC">
      <w:pPr>
        <w:pStyle w:val="003"/>
        <w:spacing w:before="120"/>
        <w:ind w:firstLine="482"/>
      </w:pPr>
      <w:r w:rsidRPr="00B4515A">
        <w:lastRenderedPageBreak/>
        <w:t>（二）上市公司备考合并财务报表</w:t>
      </w:r>
    </w:p>
    <w:p w14:paraId="7F5F7FBF" w14:textId="3DB0B37D" w:rsidR="006416B0" w:rsidRPr="00B4515A" w:rsidRDefault="005E58C1" w:rsidP="006100BC">
      <w:pPr>
        <w:pStyle w:val="005"/>
        <w:spacing w:before="120" w:after="120"/>
        <w:ind w:firstLine="480"/>
      </w:pPr>
      <w:r w:rsidRPr="00B4515A">
        <w:t>本次交易模拟实施后上市公司备考合并财务数据如下：</w:t>
      </w:r>
    </w:p>
    <w:p w14:paraId="0DB4C357" w14:textId="3EE28672" w:rsidR="006416B0" w:rsidRPr="00B4515A" w:rsidRDefault="005E58C1" w:rsidP="006100BC">
      <w:pPr>
        <w:pStyle w:val="004"/>
        <w:spacing w:before="120" w:after="120"/>
        <w:ind w:firstLine="482"/>
      </w:pPr>
      <w:r w:rsidRPr="00B4515A">
        <w:t>1</w:t>
      </w:r>
      <w:r w:rsidRPr="00B4515A">
        <w:t>、备考合并资产负债表</w:t>
      </w:r>
    </w:p>
    <w:p w14:paraId="6AB6AB4F" w14:textId="134C9A8F" w:rsidR="006416B0" w:rsidRPr="00B4515A" w:rsidRDefault="005E58C1"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944"/>
        <w:gridCol w:w="2292"/>
        <w:gridCol w:w="2292"/>
      </w:tblGrid>
      <w:tr w:rsidR="006416B0" w:rsidRPr="00B4515A" w14:paraId="40DF531A" w14:textId="77777777" w:rsidTr="006100BC">
        <w:trPr>
          <w:trHeight w:val="340"/>
          <w:tblHeader/>
          <w:jc w:val="center"/>
        </w:trPr>
        <w:tc>
          <w:tcPr>
            <w:tcW w:w="3775" w:type="dxa"/>
            <w:shd w:val="clear" w:color="auto" w:fill="auto"/>
            <w:tcMar>
              <w:top w:w="0" w:type="dxa"/>
              <w:left w:w="108" w:type="dxa"/>
              <w:bottom w:w="0" w:type="dxa"/>
              <w:right w:w="108" w:type="dxa"/>
            </w:tcMar>
            <w:vAlign w:val="center"/>
          </w:tcPr>
          <w:p w14:paraId="7CD6D335"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cs="Times New Roman" w:hint="eastAsia"/>
                <w:b/>
                <w:bCs/>
                <w:color w:val="000000" w:themeColor="text1"/>
                <w:sz w:val="21"/>
                <w:szCs w:val="21"/>
              </w:rPr>
              <w:t>资产</w:t>
            </w:r>
          </w:p>
        </w:tc>
        <w:tc>
          <w:tcPr>
            <w:tcW w:w="2194" w:type="dxa"/>
            <w:shd w:val="clear" w:color="auto" w:fill="auto"/>
            <w:tcMar>
              <w:top w:w="0" w:type="dxa"/>
              <w:left w:w="108" w:type="dxa"/>
              <w:bottom w:w="0" w:type="dxa"/>
              <w:right w:w="108" w:type="dxa"/>
            </w:tcMar>
            <w:vAlign w:val="center"/>
          </w:tcPr>
          <w:p w14:paraId="58718C77"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2021.4.30</w:t>
            </w:r>
          </w:p>
        </w:tc>
        <w:tc>
          <w:tcPr>
            <w:tcW w:w="2194" w:type="dxa"/>
            <w:shd w:val="clear" w:color="auto" w:fill="auto"/>
            <w:tcMar>
              <w:top w:w="0" w:type="dxa"/>
              <w:left w:w="108" w:type="dxa"/>
              <w:bottom w:w="0" w:type="dxa"/>
              <w:right w:w="108" w:type="dxa"/>
            </w:tcMar>
            <w:vAlign w:val="center"/>
          </w:tcPr>
          <w:p w14:paraId="1726A6F2" w14:textId="77777777" w:rsidR="006416B0" w:rsidRPr="00B4515A" w:rsidRDefault="005E58C1" w:rsidP="005860B4">
            <w:pPr>
              <w:adjustRightInd w:val="0"/>
              <w:snapToGrid w:val="0"/>
              <w:jc w:val="center"/>
              <w:rPr>
                <w:rFonts w:ascii="Times New Roman" w:hAnsi="Times New Roman" w:cs="Times New Roman"/>
                <w:b/>
                <w:bCs/>
                <w:color w:val="000000" w:themeColor="text1"/>
                <w:sz w:val="21"/>
                <w:szCs w:val="21"/>
              </w:rPr>
            </w:pPr>
            <w:r w:rsidRPr="00B4515A">
              <w:rPr>
                <w:rFonts w:ascii="Times New Roman" w:hAnsi="Times New Roman" w:cs="Times New Roman"/>
                <w:b/>
                <w:bCs/>
                <w:color w:val="000000" w:themeColor="text1"/>
                <w:sz w:val="21"/>
                <w:szCs w:val="21"/>
              </w:rPr>
              <w:t>2020.12.31</w:t>
            </w:r>
          </w:p>
        </w:tc>
      </w:tr>
      <w:tr w:rsidR="006416B0" w:rsidRPr="00B4515A" w14:paraId="670125DD"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5283E75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流动资产：</w:t>
            </w:r>
          </w:p>
        </w:tc>
        <w:tc>
          <w:tcPr>
            <w:tcW w:w="2194" w:type="dxa"/>
            <w:shd w:val="clear" w:color="auto" w:fill="auto"/>
            <w:tcMar>
              <w:top w:w="0" w:type="dxa"/>
              <w:left w:w="108" w:type="dxa"/>
              <w:bottom w:w="0" w:type="dxa"/>
              <w:right w:w="108" w:type="dxa"/>
            </w:tcMar>
            <w:vAlign w:val="center"/>
          </w:tcPr>
          <w:p w14:paraId="294E8E6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2194" w:type="dxa"/>
            <w:shd w:val="clear" w:color="auto" w:fill="auto"/>
            <w:tcMar>
              <w:top w:w="0" w:type="dxa"/>
              <w:left w:w="108" w:type="dxa"/>
              <w:bottom w:w="0" w:type="dxa"/>
              <w:right w:w="108" w:type="dxa"/>
            </w:tcMar>
            <w:vAlign w:val="center"/>
          </w:tcPr>
          <w:p w14:paraId="45B90BA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r>
      <w:tr w:rsidR="006416B0" w:rsidRPr="00B4515A" w14:paraId="432E0D51"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3216767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货币资金</w:t>
            </w:r>
          </w:p>
        </w:tc>
        <w:tc>
          <w:tcPr>
            <w:tcW w:w="2194" w:type="dxa"/>
            <w:shd w:val="clear" w:color="auto" w:fill="auto"/>
            <w:tcMar>
              <w:top w:w="0" w:type="dxa"/>
              <w:left w:w="108" w:type="dxa"/>
              <w:bottom w:w="0" w:type="dxa"/>
              <w:right w:w="108" w:type="dxa"/>
            </w:tcMar>
            <w:vAlign w:val="center"/>
          </w:tcPr>
          <w:p w14:paraId="22CB6B4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77,545.69</w:t>
            </w:r>
          </w:p>
        </w:tc>
        <w:tc>
          <w:tcPr>
            <w:tcW w:w="2194" w:type="dxa"/>
            <w:shd w:val="clear" w:color="auto" w:fill="auto"/>
            <w:tcMar>
              <w:top w:w="0" w:type="dxa"/>
              <w:left w:w="108" w:type="dxa"/>
              <w:bottom w:w="0" w:type="dxa"/>
              <w:right w:w="108" w:type="dxa"/>
            </w:tcMar>
            <w:vAlign w:val="center"/>
          </w:tcPr>
          <w:p w14:paraId="70DF578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38,891.34</w:t>
            </w:r>
          </w:p>
        </w:tc>
      </w:tr>
      <w:tr w:rsidR="006416B0" w:rsidRPr="00B4515A" w14:paraId="47B689C0"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58C1C1A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结算备付金</w:t>
            </w:r>
          </w:p>
        </w:tc>
        <w:tc>
          <w:tcPr>
            <w:tcW w:w="2194" w:type="dxa"/>
            <w:shd w:val="clear" w:color="auto" w:fill="auto"/>
            <w:tcMar>
              <w:top w:w="0" w:type="dxa"/>
              <w:left w:w="108" w:type="dxa"/>
              <w:bottom w:w="0" w:type="dxa"/>
              <w:right w:w="108" w:type="dxa"/>
            </w:tcMar>
            <w:vAlign w:val="center"/>
          </w:tcPr>
          <w:p w14:paraId="1C2F0CB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5407BBA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061C960"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40CF584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拆出资金</w:t>
            </w:r>
          </w:p>
        </w:tc>
        <w:tc>
          <w:tcPr>
            <w:tcW w:w="2194" w:type="dxa"/>
            <w:shd w:val="clear" w:color="auto" w:fill="auto"/>
            <w:tcMar>
              <w:top w:w="0" w:type="dxa"/>
              <w:left w:w="108" w:type="dxa"/>
              <w:bottom w:w="0" w:type="dxa"/>
              <w:right w:w="108" w:type="dxa"/>
            </w:tcMar>
            <w:vAlign w:val="center"/>
          </w:tcPr>
          <w:p w14:paraId="6D7B5BB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07B2C5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83BFE18"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4277165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交易性金融资产</w:t>
            </w:r>
          </w:p>
        </w:tc>
        <w:tc>
          <w:tcPr>
            <w:tcW w:w="2194" w:type="dxa"/>
            <w:shd w:val="clear" w:color="auto" w:fill="auto"/>
            <w:tcMar>
              <w:top w:w="0" w:type="dxa"/>
              <w:left w:w="108" w:type="dxa"/>
              <w:bottom w:w="0" w:type="dxa"/>
              <w:right w:w="108" w:type="dxa"/>
            </w:tcMar>
            <w:vAlign w:val="center"/>
          </w:tcPr>
          <w:p w14:paraId="6DA0860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242D04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AFFCCB7"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508FA63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衍生金融资产</w:t>
            </w:r>
          </w:p>
        </w:tc>
        <w:tc>
          <w:tcPr>
            <w:tcW w:w="2194" w:type="dxa"/>
            <w:shd w:val="clear" w:color="auto" w:fill="auto"/>
            <w:tcMar>
              <w:top w:w="0" w:type="dxa"/>
              <w:left w:w="108" w:type="dxa"/>
              <w:bottom w:w="0" w:type="dxa"/>
              <w:right w:w="108" w:type="dxa"/>
            </w:tcMar>
            <w:vAlign w:val="center"/>
          </w:tcPr>
          <w:p w14:paraId="31E7D74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263BB0F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82DF3FA"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225D670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应收票据</w:t>
            </w:r>
          </w:p>
        </w:tc>
        <w:tc>
          <w:tcPr>
            <w:tcW w:w="2194" w:type="dxa"/>
            <w:shd w:val="clear" w:color="auto" w:fill="auto"/>
            <w:tcMar>
              <w:top w:w="0" w:type="dxa"/>
              <w:left w:w="108" w:type="dxa"/>
              <w:bottom w:w="0" w:type="dxa"/>
              <w:right w:w="108" w:type="dxa"/>
            </w:tcMar>
            <w:vAlign w:val="center"/>
          </w:tcPr>
          <w:p w14:paraId="7446CD4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6,987.11</w:t>
            </w:r>
          </w:p>
        </w:tc>
        <w:tc>
          <w:tcPr>
            <w:tcW w:w="2194" w:type="dxa"/>
            <w:shd w:val="clear" w:color="auto" w:fill="auto"/>
            <w:tcMar>
              <w:top w:w="0" w:type="dxa"/>
              <w:left w:w="108" w:type="dxa"/>
              <w:bottom w:w="0" w:type="dxa"/>
              <w:right w:w="108" w:type="dxa"/>
            </w:tcMar>
            <w:vAlign w:val="center"/>
          </w:tcPr>
          <w:p w14:paraId="5B3F585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4,546.89</w:t>
            </w:r>
          </w:p>
        </w:tc>
      </w:tr>
      <w:tr w:rsidR="006416B0" w:rsidRPr="00B4515A" w14:paraId="40CC1A4A"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05F591E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应收账款</w:t>
            </w:r>
          </w:p>
        </w:tc>
        <w:tc>
          <w:tcPr>
            <w:tcW w:w="2194" w:type="dxa"/>
            <w:shd w:val="clear" w:color="auto" w:fill="auto"/>
            <w:tcMar>
              <w:top w:w="0" w:type="dxa"/>
              <w:left w:w="108" w:type="dxa"/>
              <w:bottom w:w="0" w:type="dxa"/>
              <w:right w:w="108" w:type="dxa"/>
            </w:tcMar>
            <w:vAlign w:val="center"/>
          </w:tcPr>
          <w:p w14:paraId="38EAAA0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72,314.87</w:t>
            </w:r>
          </w:p>
        </w:tc>
        <w:tc>
          <w:tcPr>
            <w:tcW w:w="2194" w:type="dxa"/>
            <w:shd w:val="clear" w:color="auto" w:fill="auto"/>
            <w:tcMar>
              <w:top w:w="0" w:type="dxa"/>
              <w:left w:w="108" w:type="dxa"/>
              <w:bottom w:w="0" w:type="dxa"/>
              <w:right w:w="108" w:type="dxa"/>
            </w:tcMar>
            <w:vAlign w:val="center"/>
          </w:tcPr>
          <w:p w14:paraId="1D898BF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71,126.15</w:t>
            </w:r>
          </w:p>
        </w:tc>
      </w:tr>
      <w:tr w:rsidR="006416B0" w:rsidRPr="00B4515A" w14:paraId="72AEA222"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7119574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应收款项融资</w:t>
            </w:r>
          </w:p>
        </w:tc>
        <w:tc>
          <w:tcPr>
            <w:tcW w:w="2194" w:type="dxa"/>
            <w:shd w:val="clear" w:color="auto" w:fill="auto"/>
            <w:tcMar>
              <w:top w:w="0" w:type="dxa"/>
              <w:left w:w="108" w:type="dxa"/>
              <w:bottom w:w="0" w:type="dxa"/>
              <w:right w:w="108" w:type="dxa"/>
            </w:tcMar>
            <w:vAlign w:val="center"/>
          </w:tcPr>
          <w:p w14:paraId="743558A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D975B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6A51EC5"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308EE90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预付款项</w:t>
            </w:r>
          </w:p>
        </w:tc>
        <w:tc>
          <w:tcPr>
            <w:tcW w:w="2194" w:type="dxa"/>
            <w:shd w:val="clear" w:color="auto" w:fill="auto"/>
            <w:tcMar>
              <w:top w:w="0" w:type="dxa"/>
              <w:left w:w="108" w:type="dxa"/>
              <w:bottom w:w="0" w:type="dxa"/>
              <w:right w:w="108" w:type="dxa"/>
            </w:tcMar>
            <w:vAlign w:val="center"/>
          </w:tcPr>
          <w:p w14:paraId="758EF3A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22,764.28</w:t>
            </w:r>
          </w:p>
        </w:tc>
        <w:tc>
          <w:tcPr>
            <w:tcW w:w="2194" w:type="dxa"/>
            <w:shd w:val="clear" w:color="auto" w:fill="auto"/>
            <w:tcMar>
              <w:top w:w="0" w:type="dxa"/>
              <w:left w:w="108" w:type="dxa"/>
              <w:bottom w:w="0" w:type="dxa"/>
              <w:right w:w="108" w:type="dxa"/>
            </w:tcMar>
            <w:vAlign w:val="center"/>
          </w:tcPr>
          <w:p w14:paraId="08274C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21,537.46</w:t>
            </w:r>
          </w:p>
        </w:tc>
      </w:tr>
      <w:tr w:rsidR="006416B0" w:rsidRPr="00B4515A" w14:paraId="47FECA8F"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679A5E8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应收保费</w:t>
            </w:r>
          </w:p>
        </w:tc>
        <w:tc>
          <w:tcPr>
            <w:tcW w:w="2194" w:type="dxa"/>
            <w:shd w:val="clear" w:color="auto" w:fill="auto"/>
            <w:tcMar>
              <w:top w:w="0" w:type="dxa"/>
              <w:left w:w="108" w:type="dxa"/>
              <w:bottom w:w="0" w:type="dxa"/>
              <w:right w:w="108" w:type="dxa"/>
            </w:tcMar>
            <w:vAlign w:val="center"/>
          </w:tcPr>
          <w:p w14:paraId="28286D2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1EF64E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A86402E"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14ADA53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应收分保账款</w:t>
            </w:r>
          </w:p>
        </w:tc>
        <w:tc>
          <w:tcPr>
            <w:tcW w:w="2194" w:type="dxa"/>
            <w:shd w:val="clear" w:color="auto" w:fill="auto"/>
            <w:tcMar>
              <w:top w:w="0" w:type="dxa"/>
              <w:left w:w="108" w:type="dxa"/>
              <w:bottom w:w="0" w:type="dxa"/>
              <w:right w:w="108" w:type="dxa"/>
            </w:tcMar>
            <w:vAlign w:val="center"/>
          </w:tcPr>
          <w:p w14:paraId="64A823F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2177C32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FD83CAA"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5B58E11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应收分保合同准备金</w:t>
            </w:r>
          </w:p>
        </w:tc>
        <w:tc>
          <w:tcPr>
            <w:tcW w:w="2194" w:type="dxa"/>
            <w:shd w:val="clear" w:color="auto" w:fill="auto"/>
            <w:tcMar>
              <w:top w:w="0" w:type="dxa"/>
              <w:left w:w="108" w:type="dxa"/>
              <w:bottom w:w="0" w:type="dxa"/>
              <w:right w:w="108" w:type="dxa"/>
            </w:tcMar>
            <w:vAlign w:val="center"/>
          </w:tcPr>
          <w:p w14:paraId="7BC08B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24BCF38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BC6EF20"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259C3AC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其他应收款</w:t>
            </w:r>
          </w:p>
        </w:tc>
        <w:tc>
          <w:tcPr>
            <w:tcW w:w="2194" w:type="dxa"/>
            <w:shd w:val="clear" w:color="auto" w:fill="auto"/>
            <w:tcMar>
              <w:top w:w="0" w:type="dxa"/>
              <w:left w:w="108" w:type="dxa"/>
              <w:bottom w:w="0" w:type="dxa"/>
              <w:right w:w="108" w:type="dxa"/>
            </w:tcMar>
            <w:vAlign w:val="center"/>
          </w:tcPr>
          <w:p w14:paraId="7588737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107,779.74</w:t>
            </w:r>
          </w:p>
        </w:tc>
        <w:tc>
          <w:tcPr>
            <w:tcW w:w="2194" w:type="dxa"/>
            <w:shd w:val="clear" w:color="auto" w:fill="auto"/>
            <w:tcMar>
              <w:top w:w="0" w:type="dxa"/>
              <w:left w:w="108" w:type="dxa"/>
              <w:bottom w:w="0" w:type="dxa"/>
              <w:right w:w="108" w:type="dxa"/>
            </w:tcMar>
            <w:vAlign w:val="center"/>
          </w:tcPr>
          <w:p w14:paraId="0EC2370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164,629.43</w:t>
            </w:r>
          </w:p>
        </w:tc>
      </w:tr>
      <w:tr w:rsidR="006416B0" w:rsidRPr="00B4515A" w14:paraId="5DA45E17"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29D06CB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买入返售金融资产</w:t>
            </w:r>
          </w:p>
        </w:tc>
        <w:tc>
          <w:tcPr>
            <w:tcW w:w="2194" w:type="dxa"/>
            <w:shd w:val="clear" w:color="auto" w:fill="auto"/>
            <w:tcMar>
              <w:top w:w="0" w:type="dxa"/>
              <w:left w:w="108" w:type="dxa"/>
              <w:bottom w:w="0" w:type="dxa"/>
              <w:right w:w="108" w:type="dxa"/>
            </w:tcMar>
            <w:vAlign w:val="center"/>
          </w:tcPr>
          <w:p w14:paraId="3BE6F33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260D0C7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F19BB3D"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05BA73E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存货</w:t>
            </w:r>
          </w:p>
        </w:tc>
        <w:tc>
          <w:tcPr>
            <w:tcW w:w="2194" w:type="dxa"/>
            <w:shd w:val="clear" w:color="auto" w:fill="auto"/>
            <w:tcMar>
              <w:top w:w="0" w:type="dxa"/>
              <w:left w:w="108" w:type="dxa"/>
              <w:bottom w:w="0" w:type="dxa"/>
              <w:right w:w="108" w:type="dxa"/>
            </w:tcMar>
            <w:vAlign w:val="center"/>
          </w:tcPr>
          <w:p w14:paraId="5CFDD6D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42,215.29</w:t>
            </w:r>
          </w:p>
        </w:tc>
        <w:tc>
          <w:tcPr>
            <w:tcW w:w="2194" w:type="dxa"/>
            <w:shd w:val="clear" w:color="auto" w:fill="auto"/>
            <w:tcMar>
              <w:top w:w="0" w:type="dxa"/>
              <w:left w:w="108" w:type="dxa"/>
              <w:bottom w:w="0" w:type="dxa"/>
              <w:right w:w="108" w:type="dxa"/>
            </w:tcMar>
            <w:vAlign w:val="center"/>
          </w:tcPr>
          <w:p w14:paraId="1128A39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36,254.14</w:t>
            </w:r>
          </w:p>
        </w:tc>
      </w:tr>
      <w:tr w:rsidR="006416B0" w:rsidRPr="00B4515A" w14:paraId="34E4629C"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7931010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合同资产</w:t>
            </w:r>
          </w:p>
        </w:tc>
        <w:tc>
          <w:tcPr>
            <w:tcW w:w="2194" w:type="dxa"/>
            <w:shd w:val="clear" w:color="auto" w:fill="auto"/>
            <w:tcMar>
              <w:top w:w="0" w:type="dxa"/>
              <w:left w:w="108" w:type="dxa"/>
              <w:bottom w:w="0" w:type="dxa"/>
              <w:right w:w="108" w:type="dxa"/>
            </w:tcMar>
            <w:vAlign w:val="center"/>
          </w:tcPr>
          <w:p w14:paraId="6800682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268.19</w:t>
            </w:r>
          </w:p>
        </w:tc>
        <w:tc>
          <w:tcPr>
            <w:tcW w:w="2194" w:type="dxa"/>
            <w:shd w:val="clear" w:color="auto" w:fill="auto"/>
            <w:tcMar>
              <w:top w:w="0" w:type="dxa"/>
              <w:left w:w="108" w:type="dxa"/>
              <w:bottom w:w="0" w:type="dxa"/>
              <w:right w:w="108" w:type="dxa"/>
            </w:tcMar>
            <w:vAlign w:val="center"/>
          </w:tcPr>
          <w:p w14:paraId="72A812C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116.50</w:t>
            </w:r>
          </w:p>
        </w:tc>
      </w:tr>
      <w:tr w:rsidR="006416B0" w:rsidRPr="00B4515A" w14:paraId="75D63BC7"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38A7D51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持有待售资产</w:t>
            </w:r>
          </w:p>
        </w:tc>
        <w:tc>
          <w:tcPr>
            <w:tcW w:w="2194" w:type="dxa"/>
            <w:shd w:val="clear" w:color="auto" w:fill="auto"/>
            <w:tcMar>
              <w:top w:w="0" w:type="dxa"/>
              <w:left w:w="108" w:type="dxa"/>
              <w:bottom w:w="0" w:type="dxa"/>
              <w:right w:w="108" w:type="dxa"/>
            </w:tcMar>
            <w:vAlign w:val="center"/>
          </w:tcPr>
          <w:p w14:paraId="19A7763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86F6DD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D8CDA6D"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36C03D9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一年内到期的非流动资产</w:t>
            </w:r>
          </w:p>
        </w:tc>
        <w:tc>
          <w:tcPr>
            <w:tcW w:w="2194" w:type="dxa"/>
            <w:shd w:val="clear" w:color="auto" w:fill="auto"/>
            <w:tcMar>
              <w:top w:w="0" w:type="dxa"/>
              <w:left w:w="108" w:type="dxa"/>
              <w:bottom w:w="0" w:type="dxa"/>
              <w:right w:w="108" w:type="dxa"/>
            </w:tcMar>
            <w:vAlign w:val="center"/>
          </w:tcPr>
          <w:p w14:paraId="0807FD9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5991A2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E515DF9"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2FA4716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其他流动资产</w:t>
            </w:r>
          </w:p>
        </w:tc>
        <w:tc>
          <w:tcPr>
            <w:tcW w:w="2194" w:type="dxa"/>
            <w:shd w:val="clear" w:color="auto" w:fill="auto"/>
            <w:tcMar>
              <w:top w:w="0" w:type="dxa"/>
              <w:left w:w="108" w:type="dxa"/>
              <w:bottom w:w="0" w:type="dxa"/>
              <w:right w:w="108" w:type="dxa"/>
            </w:tcMar>
            <w:vAlign w:val="center"/>
          </w:tcPr>
          <w:p w14:paraId="529F1BD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3,489.29</w:t>
            </w:r>
          </w:p>
        </w:tc>
        <w:tc>
          <w:tcPr>
            <w:tcW w:w="2194" w:type="dxa"/>
            <w:shd w:val="clear" w:color="auto" w:fill="auto"/>
            <w:tcMar>
              <w:top w:w="0" w:type="dxa"/>
              <w:left w:w="108" w:type="dxa"/>
              <w:bottom w:w="0" w:type="dxa"/>
              <w:right w:w="108" w:type="dxa"/>
            </w:tcMar>
            <w:vAlign w:val="center"/>
          </w:tcPr>
          <w:p w14:paraId="3CFAD88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3,120.37</w:t>
            </w:r>
          </w:p>
        </w:tc>
      </w:tr>
      <w:tr w:rsidR="006416B0" w:rsidRPr="00B4515A" w14:paraId="18889C38"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128F1CBC"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cs="Times New Roman" w:hint="eastAsia"/>
                <w:b/>
                <w:bCs/>
                <w:color w:val="000000"/>
                <w:sz w:val="21"/>
                <w:szCs w:val="21"/>
              </w:rPr>
              <w:t>流动资产合计</w:t>
            </w:r>
          </w:p>
        </w:tc>
        <w:tc>
          <w:tcPr>
            <w:tcW w:w="2194" w:type="dxa"/>
            <w:shd w:val="clear" w:color="auto" w:fill="auto"/>
            <w:tcMar>
              <w:top w:w="0" w:type="dxa"/>
              <w:left w:w="108" w:type="dxa"/>
              <w:bottom w:w="0" w:type="dxa"/>
              <w:right w:w="108" w:type="dxa"/>
            </w:tcMar>
            <w:vAlign w:val="center"/>
          </w:tcPr>
          <w:p w14:paraId="174E14C4"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333,364.45</w:t>
            </w:r>
          </w:p>
        </w:tc>
        <w:tc>
          <w:tcPr>
            <w:tcW w:w="2194" w:type="dxa"/>
            <w:shd w:val="clear" w:color="auto" w:fill="auto"/>
            <w:tcMar>
              <w:top w:w="0" w:type="dxa"/>
              <w:left w:w="108" w:type="dxa"/>
              <w:bottom w:w="0" w:type="dxa"/>
              <w:right w:w="108" w:type="dxa"/>
            </w:tcMar>
            <w:vAlign w:val="center"/>
          </w:tcPr>
          <w:p w14:paraId="297F6D16"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340,222.27</w:t>
            </w:r>
          </w:p>
        </w:tc>
      </w:tr>
      <w:tr w:rsidR="006416B0" w:rsidRPr="00B4515A" w14:paraId="739B211D"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4BDDBEC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非流动资产：</w:t>
            </w:r>
          </w:p>
        </w:tc>
        <w:tc>
          <w:tcPr>
            <w:tcW w:w="2194" w:type="dxa"/>
            <w:shd w:val="clear" w:color="auto" w:fill="auto"/>
            <w:tcMar>
              <w:top w:w="0" w:type="dxa"/>
              <w:left w:w="108" w:type="dxa"/>
              <w:bottom w:w="0" w:type="dxa"/>
              <w:right w:w="108" w:type="dxa"/>
            </w:tcMar>
            <w:vAlign w:val="center"/>
          </w:tcPr>
          <w:p w14:paraId="14ED89A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77C5A01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A0783E0"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21524D7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发放贷款和垫款</w:t>
            </w:r>
          </w:p>
        </w:tc>
        <w:tc>
          <w:tcPr>
            <w:tcW w:w="2194" w:type="dxa"/>
            <w:shd w:val="clear" w:color="auto" w:fill="auto"/>
            <w:tcMar>
              <w:top w:w="0" w:type="dxa"/>
              <w:left w:w="108" w:type="dxa"/>
              <w:bottom w:w="0" w:type="dxa"/>
              <w:right w:w="108" w:type="dxa"/>
            </w:tcMar>
            <w:vAlign w:val="center"/>
          </w:tcPr>
          <w:p w14:paraId="6D73D3A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0F8AC72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C01DB64"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6D5B1E9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债权投资</w:t>
            </w:r>
          </w:p>
        </w:tc>
        <w:tc>
          <w:tcPr>
            <w:tcW w:w="2194" w:type="dxa"/>
            <w:shd w:val="clear" w:color="auto" w:fill="auto"/>
            <w:tcMar>
              <w:top w:w="0" w:type="dxa"/>
              <w:left w:w="108" w:type="dxa"/>
              <w:bottom w:w="0" w:type="dxa"/>
              <w:right w:w="108" w:type="dxa"/>
            </w:tcMar>
            <w:vAlign w:val="center"/>
          </w:tcPr>
          <w:p w14:paraId="5BB238A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5F33A9B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B3199AE"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4E4A815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其他债权投资</w:t>
            </w:r>
          </w:p>
        </w:tc>
        <w:tc>
          <w:tcPr>
            <w:tcW w:w="2194" w:type="dxa"/>
            <w:shd w:val="clear" w:color="auto" w:fill="auto"/>
            <w:tcMar>
              <w:top w:w="0" w:type="dxa"/>
              <w:left w:w="108" w:type="dxa"/>
              <w:bottom w:w="0" w:type="dxa"/>
              <w:right w:w="108" w:type="dxa"/>
            </w:tcMar>
            <w:vAlign w:val="center"/>
          </w:tcPr>
          <w:p w14:paraId="1B50C3A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046F418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2CE79D5"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78E1868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长期应收款</w:t>
            </w:r>
          </w:p>
        </w:tc>
        <w:tc>
          <w:tcPr>
            <w:tcW w:w="2194" w:type="dxa"/>
            <w:shd w:val="clear" w:color="auto" w:fill="auto"/>
            <w:tcMar>
              <w:top w:w="0" w:type="dxa"/>
              <w:left w:w="108" w:type="dxa"/>
              <w:bottom w:w="0" w:type="dxa"/>
              <w:right w:w="108" w:type="dxa"/>
            </w:tcMar>
            <w:vAlign w:val="center"/>
          </w:tcPr>
          <w:p w14:paraId="7EF376A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5D1B13A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2BB73B3"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7624E41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长期股权投资</w:t>
            </w:r>
          </w:p>
        </w:tc>
        <w:tc>
          <w:tcPr>
            <w:tcW w:w="2194" w:type="dxa"/>
            <w:shd w:val="clear" w:color="auto" w:fill="auto"/>
            <w:tcMar>
              <w:top w:w="0" w:type="dxa"/>
              <w:left w:w="108" w:type="dxa"/>
              <w:bottom w:w="0" w:type="dxa"/>
              <w:right w:w="108" w:type="dxa"/>
            </w:tcMar>
            <w:vAlign w:val="center"/>
          </w:tcPr>
          <w:p w14:paraId="004F9FE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116,725.69</w:t>
            </w:r>
          </w:p>
        </w:tc>
        <w:tc>
          <w:tcPr>
            <w:tcW w:w="2194" w:type="dxa"/>
            <w:shd w:val="clear" w:color="auto" w:fill="auto"/>
            <w:tcMar>
              <w:top w:w="0" w:type="dxa"/>
              <w:left w:w="108" w:type="dxa"/>
              <w:bottom w:w="0" w:type="dxa"/>
              <w:right w:w="108" w:type="dxa"/>
            </w:tcMar>
            <w:vAlign w:val="center"/>
          </w:tcPr>
          <w:p w14:paraId="09B5138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124,426.92</w:t>
            </w:r>
          </w:p>
        </w:tc>
      </w:tr>
      <w:tr w:rsidR="006416B0" w:rsidRPr="00B4515A" w14:paraId="467A886B"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6C523E5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其他权益工具投资</w:t>
            </w:r>
          </w:p>
        </w:tc>
        <w:tc>
          <w:tcPr>
            <w:tcW w:w="2194" w:type="dxa"/>
            <w:shd w:val="clear" w:color="auto" w:fill="auto"/>
            <w:tcMar>
              <w:top w:w="0" w:type="dxa"/>
              <w:left w:w="108" w:type="dxa"/>
              <w:bottom w:w="0" w:type="dxa"/>
              <w:right w:w="108" w:type="dxa"/>
            </w:tcMar>
            <w:vAlign w:val="center"/>
          </w:tcPr>
          <w:p w14:paraId="2A2F1DA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6,097.34</w:t>
            </w:r>
          </w:p>
        </w:tc>
        <w:tc>
          <w:tcPr>
            <w:tcW w:w="2194" w:type="dxa"/>
            <w:shd w:val="clear" w:color="auto" w:fill="auto"/>
            <w:tcMar>
              <w:top w:w="0" w:type="dxa"/>
              <w:left w:w="108" w:type="dxa"/>
              <w:bottom w:w="0" w:type="dxa"/>
              <w:right w:w="108" w:type="dxa"/>
            </w:tcMar>
            <w:vAlign w:val="center"/>
          </w:tcPr>
          <w:p w14:paraId="6C92600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6,097.34</w:t>
            </w:r>
          </w:p>
        </w:tc>
      </w:tr>
      <w:tr w:rsidR="006416B0" w:rsidRPr="00B4515A" w14:paraId="5409F48C"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65D03A3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其他非流动金融资产</w:t>
            </w:r>
          </w:p>
        </w:tc>
        <w:tc>
          <w:tcPr>
            <w:tcW w:w="2194" w:type="dxa"/>
            <w:shd w:val="clear" w:color="auto" w:fill="auto"/>
            <w:tcMar>
              <w:top w:w="0" w:type="dxa"/>
              <w:left w:w="108" w:type="dxa"/>
              <w:bottom w:w="0" w:type="dxa"/>
              <w:right w:w="108" w:type="dxa"/>
            </w:tcMar>
            <w:vAlign w:val="center"/>
          </w:tcPr>
          <w:p w14:paraId="0056963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14CE93D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E968A9A"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1CF7807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投资性房地产</w:t>
            </w:r>
          </w:p>
        </w:tc>
        <w:tc>
          <w:tcPr>
            <w:tcW w:w="2194" w:type="dxa"/>
            <w:shd w:val="clear" w:color="auto" w:fill="auto"/>
            <w:tcMar>
              <w:top w:w="0" w:type="dxa"/>
              <w:left w:w="108" w:type="dxa"/>
              <w:bottom w:w="0" w:type="dxa"/>
              <w:right w:w="108" w:type="dxa"/>
            </w:tcMar>
            <w:vAlign w:val="center"/>
          </w:tcPr>
          <w:p w14:paraId="5E08774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05D59A8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75BD5E6"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20503A6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固定资产</w:t>
            </w:r>
          </w:p>
        </w:tc>
        <w:tc>
          <w:tcPr>
            <w:tcW w:w="2194" w:type="dxa"/>
            <w:shd w:val="clear" w:color="auto" w:fill="auto"/>
            <w:tcMar>
              <w:top w:w="0" w:type="dxa"/>
              <w:left w:w="108" w:type="dxa"/>
              <w:bottom w:w="0" w:type="dxa"/>
              <w:right w:w="108" w:type="dxa"/>
            </w:tcMar>
            <w:vAlign w:val="center"/>
          </w:tcPr>
          <w:p w14:paraId="40DDFA1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41,944.84</w:t>
            </w:r>
          </w:p>
        </w:tc>
        <w:tc>
          <w:tcPr>
            <w:tcW w:w="2194" w:type="dxa"/>
            <w:shd w:val="clear" w:color="auto" w:fill="auto"/>
            <w:tcMar>
              <w:top w:w="0" w:type="dxa"/>
              <w:left w:w="108" w:type="dxa"/>
              <w:bottom w:w="0" w:type="dxa"/>
              <w:right w:w="108" w:type="dxa"/>
            </w:tcMar>
            <w:vAlign w:val="center"/>
          </w:tcPr>
          <w:p w14:paraId="1ED0B27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43,145.02</w:t>
            </w:r>
          </w:p>
        </w:tc>
      </w:tr>
      <w:tr w:rsidR="006416B0" w:rsidRPr="00B4515A" w14:paraId="20B7D924"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2929C1C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在建工程</w:t>
            </w:r>
          </w:p>
        </w:tc>
        <w:tc>
          <w:tcPr>
            <w:tcW w:w="2194" w:type="dxa"/>
            <w:shd w:val="clear" w:color="auto" w:fill="auto"/>
            <w:tcMar>
              <w:top w:w="0" w:type="dxa"/>
              <w:left w:w="108" w:type="dxa"/>
              <w:bottom w:w="0" w:type="dxa"/>
              <w:right w:w="108" w:type="dxa"/>
            </w:tcMar>
            <w:vAlign w:val="center"/>
          </w:tcPr>
          <w:p w14:paraId="41FAE3D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5103FAC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204.50</w:t>
            </w:r>
          </w:p>
        </w:tc>
      </w:tr>
      <w:tr w:rsidR="006416B0" w:rsidRPr="00B4515A" w14:paraId="13767414"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48120CC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lastRenderedPageBreak/>
              <w:t>生产性生物资产</w:t>
            </w:r>
          </w:p>
        </w:tc>
        <w:tc>
          <w:tcPr>
            <w:tcW w:w="2194" w:type="dxa"/>
            <w:shd w:val="clear" w:color="auto" w:fill="auto"/>
            <w:tcMar>
              <w:top w:w="0" w:type="dxa"/>
              <w:left w:w="108" w:type="dxa"/>
              <w:bottom w:w="0" w:type="dxa"/>
              <w:right w:w="108" w:type="dxa"/>
            </w:tcMar>
            <w:vAlign w:val="center"/>
          </w:tcPr>
          <w:p w14:paraId="7781DC5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BEE63C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281D7BA"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424FF23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油气资产</w:t>
            </w:r>
          </w:p>
        </w:tc>
        <w:tc>
          <w:tcPr>
            <w:tcW w:w="2194" w:type="dxa"/>
            <w:shd w:val="clear" w:color="auto" w:fill="auto"/>
            <w:tcMar>
              <w:top w:w="0" w:type="dxa"/>
              <w:left w:w="108" w:type="dxa"/>
              <w:bottom w:w="0" w:type="dxa"/>
              <w:right w:w="108" w:type="dxa"/>
            </w:tcMar>
            <w:vAlign w:val="center"/>
          </w:tcPr>
          <w:p w14:paraId="100CF93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5CC23BE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63A53C5"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6A3DD23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使用权资产</w:t>
            </w:r>
          </w:p>
        </w:tc>
        <w:tc>
          <w:tcPr>
            <w:tcW w:w="2194" w:type="dxa"/>
            <w:shd w:val="clear" w:color="auto" w:fill="auto"/>
            <w:tcMar>
              <w:top w:w="0" w:type="dxa"/>
              <w:left w:w="108" w:type="dxa"/>
              <w:bottom w:w="0" w:type="dxa"/>
              <w:right w:w="108" w:type="dxa"/>
            </w:tcMar>
            <w:vAlign w:val="center"/>
          </w:tcPr>
          <w:p w14:paraId="60B7359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5,612.69</w:t>
            </w:r>
          </w:p>
        </w:tc>
        <w:tc>
          <w:tcPr>
            <w:tcW w:w="2194" w:type="dxa"/>
            <w:shd w:val="clear" w:color="auto" w:fill="auto"/>
            <w:tcMar>
              <w:top w:w="0" w:type="dxa"/>
              <w:left w:w="108" w:type="dxa"/>
              <w:bottom w:w="0" w:type="dxa"/>
              <w:right w:w="108" w:type="dxa"/>
            </w:tcMar>
            <w:vAlign w:val="center"/>
          </w:tcPr>
          <w:p w14:paraId="6F8ED97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D94BA87"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16AC91C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无形资产</w:t>
            </w:r>
          </w:p>
        </w:tc>
        <w:tc>
          <w:tcPr>
            <w:tcW w:w="2194" w:type="dxa"/>
            <w:shd w:val="clear" w:color="auto" w:fill="auto"/>
            <w:tcMar>
              <w:top w:w="0" w:type="dxa"/>
              <w:left w:w="108" w:type="dxa"/>
              <w:bottom w:w="0" w:type="dxa"/>
              <w:right w:w="108" w:type="dxa"/>
            </w:tcMar>
            <w:vAlign w:val="center"/>
          </w:tcPr>
          <w:p w14:paraId="756201C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19,538.29</w:t>
            </w:r>
          </w:p>
        </w:tc>
        <w:tc>
          <w:tcPr>
            <w:tcW w:w="2194" w:type="dxa"/>
            <w:shd w:val="clear" w:color="auto" w:fill="auto"/>
            <w:tcMar>
              <w:top w:w="0" w:type="dxa"/>
              <w:left w:w="108" w:type="dxa"/>
              <w:bottom w:w="0" w:type="dxa"/>
              <w:right w:w="108" w:type="dxa"/>
            </w:tcMar>
            <w:vAlign w:val="center"/>
          </w:tcPr>
          <w:p w14:paraId="4BEBBBE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21,132.74</w:t>
            </w:r>
          </w:p>
        </w:tc>
      </w:tr>
      <w:tr w:rsidR="006416B0" w:rsidRPr="00B4515A" w14:paraId="6780CF9E"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3DC4A19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开发支出</w:t>
            </w:r>
          </w:p>
        </w:tc>
        <w:tc>
          <w:tcPr>
            <w:tcW w:w="2194" w:type="dxa"/>
            <w:shd w:val="clear" w:color="auto" w:fill="auto"/>
            <w:tcMar>
              <w:top w:w="0" w:type="dxa"/>
              <w:left w:w="108" w:type="dxa"/>
              <w:bottom w:w="0" w:type="dxa"/>
              <w:right w:w="108" w:type="dxa"/>
            </w:tcMar>
            <w:vAlign w:val="center"/>
          </w:tcPr>
          <w:p w14:paraId="3B76E6F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12,643.75</w:t>
            </w:r>
          </w:p>
        </w:tc>
        <w:tc>
          <w:tcPr>
            <w:tcW w:w="2194" w:type="dxa"/>
            <w:shd w:val="clear" w:color="auto" w:fill="auto"/>
            <w:tcMar>
              <w:top w:w="0" w:type="dxa"/>
              <w:left w:w="108" w:type="dxa"/>
              <w:bottom w:w="0" w:type="dxa"/>
              <w:right w:w="108" w:type="dxa"/>
            </w:tcMar>
            <w:vAlign w:val="center"/>
          </w:tcPr>
          <w:p w14:paraId="5B87101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9,918.73</w:t>
            </w:r>
          </w:p>
        </w:tc>
      </w:tr>
      <w:tr w:rsidR="006416B0" w:rsidRPr="00B4515A" w14:paraId="6C38A667"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53A9C00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商誉</w:t>
            </w:r>
          </w:p>
        </w:tc>
        <w:tc>
          <w:tcPr>
            <w:tcW w:w="2194" w:type="dxa"/>
            <w:shd w:val="clear" w:color="auto" w:fill="auto"/>
            <w:tcMar>
              <w:top w:w="0" w:type="dxa"/>
              <w:left w:w="108" w:type="dxa"/>
              <w:bottom w:w="0" w:type="dxa"/>
              <w:right w:w="108" w:type="dxa"/>
            </w:tcMar>
            <w:vAlign w:val="center"/>
          </w:tcPr>
          <w:p w14:paraId="3237DDE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154.26</w:t>
            </w:r>
          </w:p>
        </w:tc>
        <w:tc>
          <w:tcPr>
            <w:tcW w:w="2194" w:type="dxa"/>
            <w:shd w:val="clear" w:color="auto" w:fill="auto"/>
            <w:tcMar>
              <w:top w:w="0" w:type="dxa"/>
              <w:left w:w="108" w:type="dxa"/>
              <w:bottom w:w="0" w:type="dxa"/>
              <w:right w:w="108" w:type="dxa"/>
            </w:tcMar>
            <w:vAlign w:val="center"/>
          </w:tcPr>
          <w:p w14:paraId="2447A95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154.26</w:t>
            </w:r>
          </w:p>
        </w:tc>
      </w:tr>
      <w:tr w:rsidR="006416B0" w:rsidRPr="00B4515A" w14:paraId="0E8C4A7E"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5454ACE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长期待摊费用</w:t>
            </w:r>
          </w:p>
        </w:tc>
        <w:tc>
          <w:tcPr>
            <w:tcW w:w="2194" w:type="dxa"/>
            <w:shd w:val="clear" w:color="auto" w:fill="auto"/>
            <w:tcMar>
              <w:top w:w="0" w:type="dxa"/>
              <w:left w:w="108" w:type="dxa"/>
              <w:bottom w:w="0" w:type="dxa"/>
              <w:right w:w="108" w:type="dxa"/>
            </w:tcMar>
            <w:vAlign w:val="center"/>
          </w:tcPr>
          <w:p w14:paraId="4F7A4B4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1,036.83</w:t>
            </w:r>
          </w:p>
        </w:tc>
        <w:tc>
          <w:tcPr>
            <w:tcW w:w="2194" w:type="dxa"/>
            <w:shd w:val="clear" w:color="auto" w:fill="auto"/>
            <w:tcMar>
              <w:top w:w="0" w:type="dxa"/>
              <w:left w:w="108" w:type="dxa"/>
              <w:bottom w:w="0" w:type="dxa"/>
              <w:right w:w="108" w:type="dxa"/>
            </w:tcMar>
            <w:vAlign w:val="center"/>
          </w:tcPr>
          <w:p w14:paraId="21A6941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1,085.21</w:t>
            </w:r>
          </w:p>
        </w:tc>
      </w:tr>
      <w:tr w:rsidR="006416B0" w:rsidRPr="00B4515A" w14:paraId="4F402A99"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37127B3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递延所得税资产</w:t>
            </w:r>
          </w:p>
        </w:tc>
        <w:tc>
          <w:tcPr>
            <w:tcW w:w="2194" w:type="dxa"/>
            <w:shd w:val="clear" w:color="auto" w:fill="auto"/>
            <w:tcMar>
              <w:top w:w="0" w:type="dxa"/>
              <w:left w:w="108" w:type="dxa"/>
              <w:bottom w:w="0" w:type="dxa"/>
              <w:right w:w="108" w:type="dxa"/>
            </w:tcMar>
            <w:vAlign w:val="center"/>
          </w:tcPr>
          <w:p w14:paraId="5B0DFD1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1,743.02</w:t>
            </w:r>
          </w:p>
        </w:tc>
        <w:tc>
          <w:tcPr>
            <w:tcW w:w="2194" w:type="dxa"/>
            <w:shd w:val="clear" w:color="auto" w:fill="auto"/>
            <w:tcMar>
              <w:top w:w="0" w:type="dxa"/>
              <w:left w:w="108" w:type="dxa"/>
              <w:bottom w:w="0" w:type="dxa"/>
              <w:right w:w="108" w:type="dxa"/>
            </w:tcMar>
            <w:vAlign w:val="center"/>
          </w:tcPr>
          <w:p w14:paraId="42B25A5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1,765.06</w:t>
            </w:r>
          </w:p>
        </w:tc>
      </w:tr>
      <w:tr w:rsidR="006416B0" w:rsidRPr="00B4515A" w14:paraId="7B826273"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6BAF008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其他非流动资产</w:t>
            </w:r>
          </w:p>
        </w:tc>
        <w:tc>
          <w:tcPr>
            <w:tcW w:w="2194" w:type="dxa"/>
            <w:shd w:val="clear" w:color="auto" w:fill="auto"/>
            <w:tcMar>
              <w:top w:w="0" w:type="dxa"/>
              <w:left w:w="108" w:type="dxa"/>
              <w:bottom w:w="0" w:type="dxa"/>
              <w:right w:w="108" w:type="dxa"/>
            </w:tcMar>
            <w:vAlign w:val="center"/>
          </w:tcPr>
          <w:p w14:paraId="33B3354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7D1075C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E30329F"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5407C100"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cs="Times New Roman" w:hint="eastAsia"/>
                <w:b/>
                <w:bCs/>
                <w:color w:val="000000"/>
                <w:sz w:val="21"/>
                <w:szCs w:val="21"/>
              </w:rPr>
              <w:t>非流动资产合计</w:t>
            </w:r>
          </w:p>
        </w:tc>
        <w:tc>
          <w:tcPr>
            <w:tcW w:w="2194" w:type="dxa"/>
            <w:shd w:val="clear" w:color="auto" w:fill="auto"/>
            <w:tcMar>
              <w:top w:w="0" w:type="dxa"/>
              <w:left w:w="108" w:type="dxa"/>
              <w:bottom w:w="0" w:type="dxa"/>
              <w:right w:w="108" w:type="dxa"/>
            </w:tcMar>
            <w:vAlign w:val="center"/>
          </w:tcPr>
          <w:p w14:paraId="4883F424"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205,496.71</w:t>
            </w:r>
          </w:p>
        </w:tc>
        <w:tc>
          <w:tcPr>
            <w:tcW w:w="2194" w:type="dxa"/>
            <w:shd w:val="clear" w:color="auto" w:fill="auto"/>
            <w:tcMar>
              <w:top w:w="0" w:type="dxa"/>
              <w:left w:w="108" w:type="dxa"/>
              <w:bottom w:w="0" w:type="dxa"/>
              <w:right w:w="108" w:type="dxa"/>
            </w:tcMar>
            <w:vAlign w:val="center"/>
          </w:tcPr>
          <w:p w14:paraId="0939EC70"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207,929.79</w:t>
            </w:r>
          </w:p>
        </w:tc>
      </w:tr>
      <w:tr w:rsidR="006416B0" w:rsidRPr="00B4515A" w14:paraId="3C0CCDD5" w14:textId="77777777" w:rsidTr="00031627">
        <w:trPr>
          <w:trHeight w:val="340"/>
          <w:jc w:val="center"/>
        </w:trPr>
        <w:tc>
          <w:tcPr>
            <w:tcW w:w="3775" w:type="dxa"/>
            <w:shd w:val="clear" w:color="auto" w:fill="auto"/>
            <w:tcMar>
              <w:top w:w="0" w:type="dxa"/>
              <w:left w:w="108" w:type="dxa"/>
              <w:bottom w:w="0" w:type="dxa"/>
              <w:right w:w="108" w:type="dxa"/>
            </w:tcMar>
            <w:vAlign w:val="center"/>
          </w:tcPr>
          <w:p w14:paraId="6A12BE7F"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cs="Times New Roman" w:hint="eastAsia"/>
                <w:b/>
                <w:bCs/>
                <w:color w:val="000000"/>
                <w:sz w:val="21"/>
                <w:szCs w:val="21"/>
              </w:rPr>
              <w:t>资产总计</w:t>
            </w:r>
          </w:p>
        </w:tc>
        <w:tc>
          <w:tcPr>
            <w:tcW w:w="2194" w:type="dxa"/>
            <w:shd w:val="clear" w:color="auto" w:fill="auto"/>
            <w:tcMar>
              <w:top w:w="0" w:type="dxa"/>
              <w:left w:w="108" w:type="dxa"/>
              <w:bottom w:w="0" w:type="dxa"/>
              <w:right w:w="108" w:type="dxa"/>
            </w:tcMar>
            <w:vAlign w:val="center"/>
          </w:tcPr>
          <w:p w14:paraId="6C230BF0"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538,861.16</w:t>
            </w:r>
          </w:p>
        </w:tc>
        <w:tc>
          <w:tcPr>
            <w:tcW w:w="2194" w:type="dxa"/>
            <w:shd w:val="clear" w:color="auto" w:fill="auto"/>
            <w:tcMar>
              <w:top w:w="0" w:type="dxa"/>
              <w:left w:w="108" w:type="dxa"/>
              <w:bottom w:w="0" w:type="dxa"/>
              <w:right w:w="108" w:type="dxa"/>
            </w:tcMar>
            <w:vAlign w:val="center"/>
          </w:tcPr>
          <w:p w14:paraId="178DF56B"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548,152.06</w:t>
            </w:r>
          </w:p>
        </w:tc>
      </w:tr>
    </w:tbl>
    <w:p w14:paraId="5241348D" w14:textId="77777777" w:rsidR="006416B0" w:rsidRPr="00B4515A" w:rsidRDefault="006416B0">
      <w:pPr>
        <w:spacing w:beforeLines="50" w:before="120" w:line="360" w:lineRule="auto"/>
        <w:rPr>
          <w:rFonts w:asciiTheme="majorEastAsia" w:eastAsiaTheme="majorEastAsia" w:hAnsiTheme="majorEastAsia"/>
          <w:szCs w:val="21"/>
        </w:rPr>
      </w:pP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936"/>
        <w:gridCol w:w="2296"/>
        <w:gridCol w:w="2296"/>
      </w:tblGrid>
      <w:tr w:rsidR="006416B0" w:rsidRPr="00B4515A" w14:paraId="53941BD1" w14:textId="77777777" w:rsidTr="006100BC">
        <w:trPr>
          <w:trHeight w:val="340"/>
          <w:tblHeader/>
          <w:jc w:val="center"/>
        </w:trPr>
        <w:tc>
          <w:tcPr>
            <w:tcW w:w="3761" w:type="dxa"/>
            <w:shd w:val="clear" w:color="auto" w:fill="auto"/>
            <w:tcMar>
              <w:top w:w="0" w:type="dxa"/>
              <w:left w:w="108" w:type="dxa"/>
              <w:bottom w:w="0" w:type="dxa"/>
              <w:right w:w="108" w:type="dxa"/>
            </w:tcMar>
            <w:vAlign w:val="center"/>
          </w:tcPr>
          <w:p w14:paraId="2A89ECB3"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负债和所有者权益</w:t>
            </w:r>
          </w:p>
        </w:tc>
        <w:tc>
          <w:tcPr>
            <w:tcW w:w="2194" w:type="dxa"/>
            <w:shd w:val="clear" w:color="auto" w:fill="auto"/>
            <w:tcMar>
              <w:top w:w="0" w:type="dxa"/>
              <w:left w:w="108" w:type="dxa"/>
              <w:bottom w:w="0" w:type="dxa"/>
              <w:right w:w="108" w:type="dxa"/>
            </w:tcMar>
            <w:vAlign w:val="center"/>
          </w:tcPr>
          <w:p w14:paraId="084A62F3"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2021.4.30</w:t>
            </w:r>
          </w:p>
        </w:tc>
        <w:tc>
          <w:tcPr>
            <w:tcW w:w="2194" w:type="dxa"/>
            <w:shd w:val="clear" w:color="auto" w:fill="auto"/>
            <w:tcMar>
              <w:top w:w="0" w:type="dxa"/>
              <w:left w:w="108" w:type="dxa"/>
              <w:bottom w:w="0" w:type="dxa"/>
              <w:right w:w="108" w:type="dxa"/>
            </w:tcMar>
            <w:vAlign w:val="center"/>
          </w:tcPr>
          <w:p w14:paraId="28C2C88A"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2020.12.31</w:t>
            </w:r>
          </w:p>
        </w:tc>
      </w:tr>
      <w:tr w:rsidR="006416B0" w:rsidRPr="00B4515A" w14:paraId="583A59B9"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73FBF7E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流动负债：</w:t>
            </w:r>
          </w:p>
        </w:tc>
        <w:tc>
          <w:tcPr>
            <w:tcW w:w="2194" w:type="dxa"/>
            <w:shd w:val="clear" w:color="auto" w:fill="auto"/>
            <w:tcMar>
              <w:top w:w="0" w:type="dxa"/>
              <w:left w:w="108" w:type="dxa"/>
              <w:bottom w:w="0" w:type="dxa"/>
              <w:right w:w="108" w:type="dxa"/>
            </w:tcMar>
            <w:vAlign w:val="center"/>
          </w:tcPr>
          <w:p w14:paraId="2462C7C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2194" w:type="dxa"/>
            <w:shd w:val="clear" w:color="auto" w:fill="auto"/>
            <w:tcMar>
              <w:top w:w="0" w:type="dxa"/>
              <w:left w:w="108" w:type="dxa"/>
              <w:bottom w:w="0" w:type="dxa"/>
              <w:right w:w="108" w:type="dxa"/>
            </w:tcMar>
            <w:vAlign w:val="center"/>
          </w:tcPr>
          <w:p w14:paraId="7C976CE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r>
      <w:tr w:rsidR="006416B0" w:rsidRPr="00B4515A" w14:paraId="484330D0"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5190ECD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短期借款</w:t>
            </w:r>
          </w:p>
        </w:tc>
        <w:tc>
          <w:tcPr>
            <w:tcW w:w="2194" w:type="dxa"/>
            <w:shd w:val="clear" w:color="auto" w:fill="auto"/>
            <w:tcMar>
              <w:top w:w="0" w:type="dxa"/>
              <w:left w:w="108" w:type="dxa"/>
              <w:bottom w:w="0" w:type="dxa"/>
              <w:right w:w="108" w:type="dxa"/>
            </w:tcMar>
            <w:vAlign w:val="center"/>
          </w:tcPr>
          <w:p w14:paraId="3FDADDC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79,482.22</w:t>
            </w:r>
          </w:p>
        </w:tc>
        <w:tc>
          <w:tcPr>
            <w:tcW w:w="2194" w:type="dxa"/>
            <w:shd w:val="clear" w:color="auto" w:fill="auto"/>
            <w:tcMar>
              <w:top w:w="0" w:type="dxa"/>
              <w:left w:w="108" w:type="dxa"/>
              <w:bottom w:w="0" w:type="dxa"/>
              <w:right w:w="108" w:type="dxa"/>
            </w:tcMar>
            <w:vAlign w:val="center"/>
          </w:tcPr>
          <w:p w14:paraId="4A7A134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82,750.46</w:t>
            </w:r>
          </w:p>
        </w:tc>
      </w:tr>
      <w:tr w:rsidR="006416B0" w:rsidRPr="00B4515A" w14:paraId="785A2577"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54B46C1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向中央银行借款</w:t>
            </w:r>
          </w:p>
        </w:tc>
        <w:tc>
          <w:tcPr>
            <w:tcW w:w="2194" w:type="dxa"/>
            <w:shd w:val="clear" w:color="auto" w:fill="auto"/>
            <w:tcMar>
              <w:top w:w="0" w:type="dxa"/>
              <w:left w:w="108" w:type="dxa"/>
              <w:bottom w:w="0" w:type="dxa"/>
              <w:right w:w="108" w:type="dxa"/>
            </w:tcMar>
            <w:vAlign w:val="center"/>
          </w:tcPr>
          <w:p w14:paraId="28A4522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2EF7B4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2273F48"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355C470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拆入资金</w:t>
            </w:r>
          </w:p>
        </w:tc>
        <w:tc>
          <w:tcPr>
            <w:tcW w:w="2194" w:type="dxa"/>
            <w:shd w:val="clear" w:color="auto" w:fill="auto"/>
            <w:tcMar>
              <w:top w:w="0" w:type="dxa"/>
              <w:left w:w="108" w:type="dxa"/>
              <w:bottom w:w="0" w:type="dxa"/>
              <w:right w:w="108" w:type="dxa"/>
            </w:tcMar>
            <w:vAlign w:val="center"/>
          </w:tcPr>
          <w:p w14:paraId="301DE10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054EFC0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6533CED"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76B3837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交易性金融负债</w:t>
            </w:r>
          </w:p>
        </w:tc>
        <w:tc>
          <w:tcPr>
            <w:tcW w:w="2194" w:type="dxa"/>
            <w:shd w:val="clear" w:color="auto" w:fill="auto"/>
            <w:tcMar>
              <w:top w:w="0" w:type="dxa"/>
              <w:left w:w="108" w:type="dxa"/>
              <w:bottom w:w="0" w:type="dxa"/>
              <w:right w:w="108" w:type="dxa"/>
            </w:tcMar>
            <w:vAlign w:val="center"/>
          </w:tcPr>
          <w:p w14:paraId="5FC79C6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07C75D4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45874D8"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4254FD6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衍生金融负债</w:t>
            </w:r>
          </w:p>
        </w:tc>
        <w:tc>
          <w:tcPr>
            <w:tcW w:w="2194" w:type="dxa"/>
            <w:shd w:val="clear" w:color="auto" w:fill="auto"/>
            <w:tcMar>
              <w:top w:w="0" w:type="dxa"/>
              <w:left w:w="108" w:type="dxa"/>
              <w:bottom w:w="0" w:type="dxa"/>
              <w:right w:w="108" w:type="dxa"/>
            </w:tcMar>
            <w:vAlign w:val="center"/>
          </w:tcPr>
          <w:p w14:paraId="518B3AA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6556F7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07E71C5"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6087627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应付票据</w:t>
            </w:r>
          </w:p>
        </w:tc>
        <w:tc>
          <w:tcPr>
            <w:tcW w:w="2194" w:type="dxa"/>
            <w:shd w:val="clear" w:color="auto" w:fill="auto"/>
            <w:tcMar>
              <w:top w:w="0" w:type="dxa"/>
              <w:left w:w="108" w:type="dxa"/>
              <w:bottom w:w="0" w:type="dxa"/>
              <w:right w:w="108" w:type="dxa"/>
            </w:tcMar>
            <w:vAlign w:val="center"/>
          </w:tcPr>
          <w:p w14:paraId="44D8C9C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981.59</w:t>
            </w:r>
          </w:p>
        </w:tc>
        <w:tc>
          <w:tcPr>
            <w:tcW w:w="2194" w:type="dxa"/>
            <w:shd w:val="clear" w:color="auto" w:fill="auto"/>
            <w:tcMar>
              <w:top w:w="0" w:type="dxa"/>
              <w:left w:w="108" w:type="dxa"/>
              <w:bottom w:w="0" w:type="dxa"/>
              <w:right w:w="108" w:type="dxa"/>
            </w:tcMar>
            <w:vAlign w:val="center"/>
          </w:tcPr>
          <w:p w14:paraId="4BC144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1,972.11</w:t>
            </w:r>
          </w:p>
        </w:tc>
      </w:tr>
      <w:tr w:rsidR="006416B0" w:rsidRPr="00B4515A" w14:paraId="640C8494"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1DDF707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应付账款</w:t>
            </w:r>
          </w:p>
        </w:tc>
        <w:tc>
          <w:tcPr>
            <w:tcW w:w="2194" w:type="dxa"/>
            <w:shd w:val="clear" w:color="auto" w:fill="auto"/>
            <w:tcMar>
              <w:top w:w="0" w:type="dxa"/>
              <w:left w:w="108" w:type="dxa"/>
              <w:bottom w:w="0" w:type="dxa"/>
              <w:right w:w="108" w:type="dxa"/>
            </w:tcMar>
            <w:vAlign w:val="center"/>
          </w:tcPr>
          <w:p w14:paraId="1FE9DC7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89,950.30</w:t>
            </w:r>
          </w:p>
        </w:tc>
        <w:tc>
          <w:tcPr>
            <w:tcW w:w="2194" w:type="dxa"/>
            <w:shd w:val="clear" w:color="auto" w:fill="auto"/>
            <w:tcMar>
              <w:top w:w="0" w:type="dxa"/>
              <w:left w:w="108" w:type="dxa"/>
              <w:bottom w:w="0" w:type="dxa"/>
              <w:right w:w="108" w:type="dxa"/>
            </w:tcMar>
            <w:vAlign w:val="center"/>
          </w:tcPr>
          <w:p w14:paraId="69BBC8A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93,350.27</w:t>
            </w:r>
          </w:p>
        </w:tc>
      </w:tr>
      <w:tr w:rsidR="006416B0" w:rsidRPr="00B4515A" w14:paraId="7106A3DB"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4F47158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预收款项</w:t>
            </w:r>
          </w:p>
        </w:tc>
        <w:tc>
          <w:tcPr>
            <w:tcW w:w="2194" w:type="dxa"/>
            <w:shd w:val="clear" w:color="auto" w:fill="auto"/>
            <w:tcMar>
              <w:top w:w="0" w:type="dxa"/>
              <w:left w:w="108" w:type="dxa"/>
              <w:bottom w:w="0" w:type="dxa"/>
              <w:right w:w="108" w:type="dxa"/>
            </w:tcMar>
            <w:vAlign w:val="center"/>
          </w:tcPr>
          <w:p w14:paraId="7511CE3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721A6B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94508AA"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26C90AC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合同负债</w:t>
            </w:r>
          </w:p>
        </w:tc>
        <w:tc>
          <w:tcPr>
            <w:tcW w:w="2194" w:type="dxa"/>
            <w:shd w:val="clear" w:color="auto" w:fill="auto"/>
            <w:tcMar>
              <w:top w:w="0" w:type="dxa"/>
              <w:left w:w="108" w:type="dxa"/>
              <w:bottom w:w="0" w:type="dxa"/>
              <w:right w:w="108" w:type="dxa"/>
            </w:tcMar>
            <w:vAlign w:val="center"/>
          </w:tcPr>
          <w:p w14:paraId="09AF8F2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20,787.19</w:t>
            </w:r>
          </w:p>
        </w:tc>
        <w:tc>
          <w:tcPr>
            <w:tcW w:w="2194" w:type="dxa"/>
            <w:shd w:val="clear" w:color="auto" w:fill="auto"/>
            <w:tcMar>
              <w:top w:w="0" w:type="dxa"/>
              <w:left w:w="108" w:type="dxa"/>
              <w:bottom w:w="0" w:type="dxa"/>
              <w:right w:w="108" w:type="dxa"/>
            </w:tcMar>
            <w:vAlign w:val="center"/>
          </w:tcPr>
          <w:p w14:paraId="2F144FC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17,506.13</w:t>
            </w:r>
          </w:p>
        </w:tc>
      </w:tr>
      <w:tr w:rsidR="006416B0" w:rsidRPr="00B4515A" w14:paraId="0F72CFA3"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286A424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卖出回购金融资产款</w:t>
            </w:r>
          </w:p>
        </w:tc>
        <w:tc>
          <w:tcPr>
            <w:tcW w:w="2194" w:type="dxa"/>
            <w:shd w:val="clear" w:color="auto" w:fill="auto"/>
            <w:tcMar>
              <w:top w:w="0" w:type="dxa"/>
              <w:left w:w="108" w:type="dxa"/>
              <w:bottom w:w="0" w:type="dxa"/>
              <w:right w:w="108" w:type="dxa"/>
            </w:tcMar>
            <w:vAlign w:val="center"/>
          </w:tcPr>
          <w:p w14:paraId="0F7D02B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9DF1D4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8FE661D"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4294657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吸收存款及同业存放</w:t>
            </w:r>
          </w:p>
        </w:tc>
        <w:tc>
          <w:tcPr>
            <w:tcW w:w="2194" w:type="dxa"/>
            <w:shd w:val="clear" w:color="auto" w:fill="auto"/>
            <w:tcMar>
              <w:top w:w="0" w:type="dxa"/>
              <w:left w:w="108" w:type="dxa"/>
              <w:bottom w:w="0" w:type="dxa"/>
              <w:right w:w="108" w:type="dxa"/>
            </w:tcMar>
            <w:vAlign w:val="center"/>
          </w:tcPr>
          <w:p w14:paraId="5204C05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1B52F7F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4F1C0B3"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32A03BA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代理买卖证券款</w:t>
            </w:r>
          </w:p>
        </w:tc>
        <w:tc>
          <w:tcPr>
            <w:tcW w:w="2194" w:type="dxa"/>
            <w:shd w:val="clear" w:color="auto" w:fill="auto"/>
            <w:tcMar>
              <w:top w:w="0" w:type="dxa"/>
              <w:left w:w="108" w:type="dxa"/>
              <w:bottom w:w="0" w:type="dxa"/>
              <w:right w:w="108" w:type="dxa"/>
            </w:tcMar>
            <w:vAlign w:val="center"/>
          </w:tcPr>
          <w:p w14:paraId="481D5CB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2979E92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C178721"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097A7CD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代理承销证券款</w:t>
            </w:r>
          </w:p>
        </w:tc>
        <w:tc>
          <w:tcPr>
            <w:tcW w:w="2194" w:type="dxa"/>
            <w:shd w:val="clear" w:color="auto" w:fill="auto"/>
            <w:tcMar>
              <w:top w:w="0" w:type="dxa"/>
              <w:left w:w="108" w:type="dxa"/>
              <w:bottom w:w="0" w:type="dxa"/>
              <w:right w:w="108" w:type="dxa"/>
            </w:tcMar>
            <w:vAlign w:val="center"/>
          </w:tcPr>
          <w:p w14:paraId="3B1396C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798C07E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CEACE70"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7DA7B39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应付职工薪酬</w:t>
            </w:r>
          </w:p>
        </w:tc>
        <w:tc>
          <w:tcPr>
            <w:tcW w:w="2194" w:type="dxa"/>
            <w:shd w:val="clear" w:color="auto" w:fill="auto"/>
            <w:tcMar>
              <w:top w:w="0" w:type="dxa"/>
              <w:left w:w="108" w:type="dxa"/>
              <w:bottom w:w="0" w:type="dxa"/>
              <w:right w:w="108" w:type="dxa"/>
            </w:tcMar>
            <w:vAlign w:val="center"/>
          </w:tcPr>
          <w:p w14:paraId="25A2517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10,449.09</w:t>
            </w:r>
          </w:p>
        </w:tc>
        <w:tc>
          <w:tcPr>
            <w:tcW w:w="2194" w:type="dxa"/>
            <w:shd w:val="clear" w:color="auto" w:fill="auto"/>
            <w:tcMar>
              <w:top w:w="0" w:type="dxa"/>
              <w:left w:w="108" w:type="dxa"/>
              <w:bottom w:w="0" w:type="dxa"/>
              <w:right w:w="108" w:type="dxa"/>
            </w:tcMar>
            <w:vAlign w:val="center"/>
          </w:tcPr>
          <w:p w14:paraId="5F1C54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10,645.86</w:t>
            </w:r>
          </w:p>
        </w:tc>
      </w:tr>
      <w:tr w:rsidR="006416B0" w:rsidRPr="00B4515A" w14:paraId="0338BEF1"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36FE965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应交税费</w:t>
            </w:r>
          </w:p>
        </w:tc>
        <w:tc>
          <w:tcPr>
            <w:tcW w:w="2194" w:type="dxa"/>
            <w:shd w:val="clear" w:color="auto" w:fill="auto"/>
            <w:tcMar>
              <w:top w:w="0" w:type="dxa"/>
              <w:left w:w="108" w:type="dxa"/>
              <w:bottom w:w="0" w:type="dxa"/>
              <w:right w:w="108" w:type="dxa"/>
            </w:tcMar>
            <w:vAlign w:val="center"/>
          </w:tcPr>
          <w:p w14:paraId="5FDAB13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1,346.67</w:t>
            </w:r>
          </w:p>
        </w:tc>
        <w:tc>
          <w:tcPr>
            <w:tcW w:w="2194" w:type="dxa"/>
            <w:shd w:val="clear" w:color="auto" w:fill="auto"/>
            <w:tcMar>
              <w:top w:w="0" w:type="dxa"/>
              <w:left w:w="108" w:type="dxa"/>
              <w:bottom w:w="0" w:type="dxa"/>
              <w:right w:w="108" w:type="dxa"/>
            </w:tcMar>
            <w:vAlign w:val="center"/>
          </w:tcPr>
          <w:p w14:paraId="63CE7A5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2,295.90</w:t>
            </w:r>
          </w:p>
        </w:tc>
      </w:tr>
      <w:tr w:rsidR="006416B0" w:rsidRPr="00B4515A" w14:paraId="7C53092B"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3301DAC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其他应付款</w:t>
            </w:r>
          </w:p>
        </w:tc>
        <w:tc>
          <w:tcPr>
            <w:tcW w:w="2194" w:type="dxa"/>
            <w:shd w:val="clear" w:color="auto" w:fill="auto"/>
            <w:tcMar>
              <w:top w:w="0" w:type="dxa"/>
              <w:left w:w="108" w:type="dxa"/>
              <w:bottom w:w="0" w:type="dxa"/>
              <w:right w:w="108" w:type="dxa"/>
            </w:tcMar>
            <w:vAlign w:val="center"/>
          </w:tcPr>
          <w:p w14:paraId="6932B2C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127,155.70</w:t>
            </w:r>
          </w:p>
        </w:tc>
        <w:tc>
          <w:tcPr>
            <w:tcW w:w="2194" w:type="dxa"/>
            <w:shd w:val="clear" w:color="auto" w:fill="auto"/>
            <w:tcMar>
              <w:top w:w="0" w:type="dxa"/>
              <w:left w:w="108" w:type="dxa"/>
              <w:bottom w:w="0" w:type="dxa"/>
              <w:right w:w="108" w:type="dxa"/>
            </w:tcMar>
            <w:vAlign w:val="center"/>
          </w:tcPr>
          <w:p w14:paraId="590051E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113,818.18</w:t>
            </w:r>
          </w:p>
        </w:tc>
      </w:tr>
      <w:tr w:rsidR="006416B0" w:rsidRPr="00B4515A" w14:paraId="38A3FC90"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1893B94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应付手续费及佣金</w:t>
            </w:r>
          </w:p>
        </w:tc>
        <w:tc>
          <w:tcPr>
            <w:tcW w:w="2194" w:type="dxa"/>
            <w:shd w:val="clear" w:color="auto" w:fill="auto"/>
            <w:tcMar>
              <w:top w:w="0" w:type="dxa"/>
              <w:left w:w="108" w:type="dxa"/>
              <w:bottom w:w="0" w:type="dxa"/>
              <w:right w:w="108" w:type="dxa"/>
            </w:tcMar>
            <w:vAlign w:val="center"/>
          </w:tcPr>
          <w:p w14:paraId="76386A0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6D4985E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58C931E"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061CF8F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应付分保账款</w:t>
            </w:r>
          </w:p>
        </w:tc>
        <w:tc>
          <w:tcPr>
            <w:tcW w:w="2194" w:type="dxa"/>
            <w:shd w:val="clear" w:color="auto" w:fill="auto"/>
            <w:tcMar>
              <w:top w:w="0" w:type="dxa"/>
              <w:left w:w="108" w:type="dxa"/>
              <w:bottom w:w="0" w:type="dxa"/>
              <w:right w:w="108" w:type="dxa"/>
            </w:tcMar>
            <w:vAlign w:val="center"/>
          </w:tcPr>
          <w:p w14:paraId="20877DE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08F6223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D07ECD5"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5CF4C3A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持有待售负债</w:t>
            </w:r>
          </w:p>
        </w:tc>
        <w:tc>
          <w:tcPr>
            <w:tcW w:w="2194" w:type="dxa"/>
            <w:shd w:val="clear" w:color="auto" w:fill="auto"/>
            <w:tcMar>
              <w:top w:w="0" w:type="dxa"/>
              <w:left w:w="108" w:type="dxa"/>
              <w:bottom w:w="0" w:type="dxa"/>
              <w:right w:w="108" w:type="dxa"/>
            </w:tcMar>
            <w:vAlign w:val="center"/>
          </w:tcPr>
          <w:p w14:paraId="3502009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28DE239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224C4CD"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6415A22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一年内到期的非流动负债</w:t>
            </w:r>
          </w:p>
        </w:tc>
        <w:tc>
          <w:tcPr>
            <w:tcW w:w="2194" w:type="dxa"/>
            <w:shd w:val="clear" w:color="auto" w:fill="auto"/>
            <w:tcMar>
              <w:top w:w="0" w:type="dxa"/>
              <w:left w:w="108" w:type="dxa"/>
              <w:bottom w:w="0" w:type="dxa"/>
              <w:right w:w="108" w:type="dxa"/>
            </w:tcMar>
            <w:vAlign w:val="center"/>
          </w:tcPr>
          <w:p w14:paraId="2CFBDA3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33,618.63</w:t>
            </w:r>
          </w:p>
        </w:tc>
        <w:tc>
          <w:tcPr>
            <w:tcW w:w="2194" w:type="dxa"/>
            <w:shd w:val="clear" w:color="auto" w:fill="auto"/>
            <w:tcMar>
              <w:top w:w="0" w:type="dxa"/>
              <w:left w:w="108" w:type="dxa"/>
              <w:bottom w:w="0" w:type="dxa"/>
              <w:right w:w="108" w:type="dxa"/>
            </w:tcMar>
            <w:vAlign w:val="center"/>
          </w:tcPr>
          <w:p w14:paraId="54EE399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34,263.42</w:t>
            </w:r>
          </w:p>
        </w:tc>
      </w:tr>
      <w:tr w:rsidR="006416B0" w:rsidRPr="00B4515A" w14:paraId="449A0552"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679ECFF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其他流动负债</w:t>
            </w:r>
          </w:p>
        </w:tc>
        <w:tc>
          <w:tcPr>
            <w:tcW w:w="2194" w:type="dxa"/>
            <w:shd w:val="clear" w:color="auto" w:fill="auto"/>
            <w:tcMar>
              <w:top w:w="0" w:type="dxa"/>
              <w:left w:w="108" w:type="dxa"/>
              <w:bottom w:w="0" w:type="dxa"/>
              <w:right w:w="108" w:type="dxa"/>
            </w:tcMar>
            <w:vAlign w:val="center"/>
          </w:tcPr>
          <w:p w14:paraId="529D8C0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1,811.95</w:t>
            </w:r>
          </w:p>
        </w:tc>
        <w:tc>
          <w:tcPr>
            <w:tcW w:w="2194" w:type="dxa"/>
            <w:shd w:val="clear" w:color="auto" w:fill="auto"/>
            <w:tcMar>
              <w:top w:w="0" w:type="dxa"/>
              <w:left w:w="108" w:type="dxa"/>
              <w:bottom w:w="0" w:type="dxa"/>
              <w:right w:w="108" w:type="dxa"/>
            </w:tcMar>
            <w:vAlign w:val="center"/>
          </w:tcPr>
          <w:p w14:paraId="0112AD9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1,152.15</w:t>
            </w:r>
          </w:p>
        </w:tc>
      </w:tr>
      <w:tr w:rsidR="006416B0" w:rsidRPr="00B4515A" w14:paraId="0C248E66"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63CAEC9C"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cs="Times New Roman" w:hint="eastAsia"/>
                <w:b/>
                <w:bCs/>
                <w:color w:val="000000"/>
                <w:sz w:val="21"/>
                <w:szCs w:val="21"/>
              </w:rPr>
              <w:t>流动负债合计</w:t>
            </w:r>
          </w:p>
        </w:tc>
        <w:tc>
          <w:tcPr>
            <w:tcW w:w="2194" w:type="dxa"/>
            <w:shd w:val="clear" w:color="auto" w:fill="auto"/>
            <w:tcMar>
              <w:top w:w="0" w:type="dxa"/>
              <w:left w:w="108" w:type="dxa"/>
              <w:bottom w:w="0" w:type="dxa"/>
              <w:right w:w="108" w:type="dxa"/>
            </w:tcMar>
            <w:vAlign w:val="center"/>
          </w:tcPr>
          <w:p w14:paraId="7AE40F75"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365,583.35</w:t>
            </w:r>
          </w:p>
        </w:tc>
        <w:tc>
          <w:tcPr>
            <w:tcW w:w="2194" w:type="dxa"/>
            <w:shd w:val="clear" w:color="auto" w:fill="auto"/>
            <w:tcMar>
              <w:top w:w="0" w:type="dxa"/>
              <w:left w:w="108" w:type="dxa"/>
              <w:bottom w:w="0" w:type="dxa"/>
              <w:right w:w="108" w:type="dxa"/>
            </w:tcMar>
            <w:vAlign w:val="center"/>
          </w:tcPr>
          <w:p w14:paraId="1A320633"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357,754.47</w:t>
            </w:r>
          </w:p>
        </w:tc>
      </w:tr>
      <w:tr w:rsidR="006416B0" w:rsidRPr="00B4515A" w14:paraId="7B1135B6"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7177978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非流动负债：</w:t>
            </w:r>
          </w:p>
        </w:tc>
        <w:tc>
          <w:tcPr>
            <w:tcW w:w="2194" w:type="dxa"/>
            <w:shd w:val="clear" w:color="auto" w:fill="auto"/>
            <w:tcMar>
              <w:top w:w="0" w:type="dxa"/>
              <w:left w:w="108" w:type="dxa"/>
              <w:bottom w:w="0" w:type="dxa"/>
              <w:right w:w="108" w:type="dxa"/>
            </w:tcMar>
            <w:vAlign w:val="center"/>
          </w:tcPr>
          <w:p w14:paraId="13FDD46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0BCAB86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6BE1934"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5E466F5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lastRenderedPageBreak/>
              <w:t>保险合同准备金</w:t>
            </w:r>
          </w:p>
        </w:tc>
        <w:tc>
          <w:tcPr>
            <w:tcW w:w="2194" w:type="dxa"/>
            <w:shd w:val="clear" w:color="auto" w:fill="auto"/>
            <w:tcMar>
              <w:top w:w="0" w:type="dxa"/>
              <w:left w:w="108" w:type="dxa"/>
              <w:bottom w:w="0" w:type="dxa"/>
              <w:right w:w="108" w:type="dxa"/>
            </w:tcMar>
            <w:vAlign w:val="center"/>
          </w:tcPr>
          <w:p w14:paraId="4F2A4FE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2548D91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BFB0DC4"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75D9E0C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长期借款</w:t>
            </w:r>
          </w:p>
        </w:tc>
        <w:tc>
          <w:tcPr>
            <w:tcW w:w="2194" w:type="dxa"/>
            <w:shd w:val="clear" w:color="auto" w:fill="auto"/>
            <w:tcMar>
              <w:top w:w="0" w:type="dxa"/>
              <w:left w:w="108" w:type="dxa"/>
              <w:bottom w:w="0" w:type="dxa"/>
              <w:right w:w="108" w:type="dxa"/>
            </w:tcMar>
            <w:vAlign w:val="center"/>
          </w:tcPr>
          <w:p w14:paraId="4290A93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2B8F0C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0EA4EAB"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794BE68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应付债券</w:t>
            </w:r>
          </w:p>
        </w:tc>
        <w:tc>
          <w:tcPr>
            <w:tcW w:w="2194" w:type="dxa"/>
            <w:shd w:val="clear" w:color="auto" w:fill="auto"/>
            <w:tcMar>
              <w:top w:w="0" w:type="dxa"/>
              <w:left w:w="108" w:type="dxa"/>
              <w:bottom w:w="0" w:type="dxa"/>
              <w:right w:w="108" w:type="dxa"/>
            </w:tcMar>
            <w:vAlign w:val="center"/>
          </w:tcPr>
          <w:p w14:paraId="6FD6B59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1B01035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48F3E84"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07D8A7B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其中：优先股</w:t>
            </w:r>
          </w:p>
        </w:tc>
        <w:tc>
          <w:tcPr>
            <w:tcW w:w="2194" w:type="dxa"/>
            <w:shd w:val="clear" w:color="auto" w:fill="auto"/>
            <w:tcMar>
              <w:top w:w="0" w:type="dxa"/>
              <w:left w:w="108" w:type="dxa"/>
              <w:bottom w:w="0" w:type="dxa"/>
              <w:right w:w="108" w:type="dxa"/>
            </w:tcMar>
            <w:vAlign w:val="center"/>
          </w:tcPr>
          <w:p w14:paraId="1DA7477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56E53B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4046AE1"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665E4B6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永续债</w:t>
            </w:r>
          </w:p>
        </w:tc>
        <w:tc>
          <w:tcPr>
            <w:tcW w:w="2194" w:type="dxa"/>
            <w:shd w:val="clear" w:color="auto" w:fill="auto"/>
            <w:tcMar>
              <w:top w:w="0" w:type="dxa"/>
              <w:left w:w="108" w:type="dxa"/>
              <w:bottom w:w="0" w:type="dxa"/>
              <w:right w:w="108" w:type="dxa"/>
            </w:tcMar>
            <w:vAlign w:val="center"/>
          </w:tcPr>
          <w:p w14:paraId="4A7ECAF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7D3E245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FD340BB"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488514C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租赁负债</w:t>
            </w:r>
          </w:p>
        </w:tc>
        <w:tc>
          <w:tcPr>
            <w:tcW w:w="2194" w:type="dxa"/>
            <w:shd w:val="clear" w:color="auto" w:fill="auto"/>
            <w:tcMar>
              <w:top w:w="0" w:type="dxa"/>
              <w:left w:w="108" w:type="dxa"/>
              <w:bottom w:w="0" w:type="dxa"/>
              <w:right w:w="108" w:type="dxa"/>
            </w:tcMar>
            <w:vAlign w:val="center"/>
          </w:tcPr>
          <w:p w14:paraId="347AE45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5,813.80</w:t>
            </w:r>
          </w:p>
        </w:tc>
        <w:tc>
          <w:tcPr>
            <w:tcW w:w="2194" w:type="dxa"/>
            <w:shd w:val="clear" w:color="auto" w:fill="auto"/>
            <w:tcMar>
              <w:top w:w="0" w:type="dxa"/>
              <w:left w:w="108" w:type="dxa"/>
              <w:bottom w:w="0" w:type="dxa"/>
              <w:right w:w="108" w:type="dxa"/>
            </w:tcMar>
            <w:vAlign w:val="center"/>
          </w:tcPr>
          <w:p w14:paraId="6997CE5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B26AD34"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66674C6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长期应付款</w:t>
            </w:r>
          </w:p>
        </w:tc>
        <w:tc>
          <w:tcPr>
            <w:tcW w:w="2194" w:type="dxa"/>
            <w:shd w:val="clear" w:color="auto" w:fill="auto"/>
            <w:tcMar>
              <w:top w:w="0" w:type="dxa"/>
              <w:left w:w="108" w:type="dxa"/>
              <w:bottom w:w="0" w:type="dxa"/>
              <w:right w:w="108" w:type="dxa"/>
            </w:tcMar>
            <w:vAlign w:val="center"/>
          </w:tcPr>
          <w:p w14:paraId="23EBF39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40,026.92</w:t>
            </w:r>
          </w:p>
        </w:tc>
        <w:tc>
          <w:tcPr>
            <w:tcW w:w="2194" w:type="dxa"/>
            <w:shd w:val="clear" w:color="auto" w:fill="auto"/>
            <w:tcMar>
              <w:top w:w="0" w:type="dxa"/>
              <w:left w:w="108" w:type="dxa"/>
              <w:bottom w:w="0" w:type="dxa"/>
              <w:right w:w="108" w:type="dxa"/>
            </w:tcMar>
            <w:vAlign w:val="center"/>
          </w:tcPr>
          <w:p w14:paraId="2DED140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47,014.42</w:t>
            </w:r>
          </w:p>
        </w:tc>
      </w:tr>
      <w:tr w:rsidR="006416B0" w:rsidRPr="00B4515A" w14:paraId="67C738F8"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15CFA17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长期应付职工薪酬</w:t>
            </w:r>
          </w:p>
        </w:tc>
        <w:tc>
          <w:tcPr>
            <w:tcW w:w="2194" w:type="dxa"/>
            <w:shd w:val="clear" w:color="auto" w:fill="auto"/>
            <w:tcMar>
              <w:top w:w="0" w:type="dxa"/>
              <w:left w:w="108" w:type="dxa"/>
              <w:bottom w:w="0" w:type="dxa"/>
              <w:right w:w="108" w:type="dxa"/>
            </w:tcMar>
            <w:vAlign w:val="center"/>
          </w:tcPr>
          <w:p w14:paraId="597262E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191.52</w:t>
            </w:r>
          </w:p>
        </w:tc>
        <w:tc>
          <w:tcPr>
            <w:tcW w:w="2194" w:type="dxa"/>
            <w:shd w:val="clear" w:color="auto" w:fill="auto"/>
            <w:tcMar>
              <w:top w:w="0" w:type="dxa"/>
              <w:left w:w="108" w:type="dxa"/>
              <w:bottom w:w="0" w:type="dxa"/>
              <w:right w:w="108" w:type="dxa"/>
            </w:tcMar>
            <w:vAlign w:val="center"/>
          </w:tcPr>
          <w:p w14:paraId="1449A18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191.52</w:t>
            </w:r>
          </w:p>
        </w:tc>
      </w:tr>
      <w:tr w:rsidR="006416B0" w:rsidRPr="00B4515A" w14:paraId="58776711"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60E17C6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预计负债</w:t>
            </w:r>
          </w:p>
        </w:tc>
        <w:tc>
          <w:tcPr>
            <w:tcW w:w="2194" w:type="dxa"/>
            <w:shd w:val="clear" w:color="auto" w:fill="auto"/>
            <w:tcMar>
              <w:top w:w="0" w:type="dxa"/>
              <w:left w:w="108" w:type="dxa"/>
              <w:bottom w:w="0" w:type="dxa"/>
              <w:right w:w="108" w:type="dxa"/>
            </w:tcMar>
            <w:vAlign w:val="center"/>
          </w:tcPr>
          <w:p w14:paraId="456D597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3,064.01</w:t>
            </w:r>
          </w:p>
        </w:tc>
        <w:tc>
          <w:tcPr>
            <w:tcW w:w="2194" w:type="dxa"/>
            <w:shd w:val="clear" w:color="auto" w:fill="auto"/>
            <w:tcMar>
              <w:top w:w="0" w:type="dxa"/>
              <w:left w:w="108" w:type="dxa"/>
              <w:bottom w:w="0" w:type="dxa"/>
              <w:right w:w="108" w:type="dxa"/>
            </w:tcMar>
            <w:vAlign w:val="center"/>
          </w:tcPr>
          <w:p w14:paraId="0F0F493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3,959.17</w:t>
            </w:r>
          </w:p>
        </w:tc>
      </w:tr>
      <w:tr w:rsidR="006416B0" w:rsidRPr="00B4515A" w14:paraId="0BD1D497"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77B9CC9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递延收益</w:t>
            </w:r>
          </w:p>
        </w:tc>
        <w:tc>
          <w:tcPr>
            <w:tcW w:w="2194" w:type="dxa"/>
            <w:shd w:val="clear" w:color="auto" w:fill="auto"/>
            <w:tcMar>
              <w:top w:w="0" w:type="dxa"/>
              <w:left w:w="108" w:type="dxa"/>
              <w:bottom w:w="0" w:type="dxa"/>
              <w:right w:w="108" w:type="dxa"/>
            </w:tcMar>
            <w:vAlign w:val="center"/>
          </w:tcPr>
          <w:p w14:paraId="2DEABFC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15,383.97</w:t>
            </w:r>
          </w:p>
        </w:tc>
        <w:tc>
          <w:tcPr>
            <w:tcW w:w="2194" w:type="dxa"/>
            <w:shd w:val="clear" w:color="auto" w:fill="auto"/>
            <w:tcMar>
              <w:top w:w="0" w:type="dxa"/>
              <w:left w:w="108" w:type="dxa"/>
              <w:bottom w:w="0" w:type="dxa"/>
              <w:right w:w="108" w:type="dxa"/>
            </w:tcMar>
            <w:vAlign w:val="center"/>
          </w:tcPr>
          <w:p w14:paraId="21CB358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16,175.79</w:t>
            </w:r>
          </w:p>
        </w:tc>
      </w:tr>
      <w:tr w:rsidR="006416B0" w:rsidRPr="00B4515A" w14:paraId="2577F72E"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0BD5561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递延所得税负债</w:t>
            </w:r>
          </w:p>
        </w:tc>
        <w:tc>
          <w:tcPr>
            <w:tcW w:w="2194" w:type="dxa"/>
            <w:shd w:val="clear" w:color="auto" w:fill="auto"/>
            <w:tcMar>
              <w:top w:w="0" w:type="dxa"/>
              <w:left w:w="108" w:type="dxa"/>
              <w:bottom w:w="0" w:type="dxa"/>
              <w:right w:w="108" w:type="dxa"/>
            </w:tcMar>
            <w:vAlign w:val="center"/>
          </w:tcPr>
          <w:p w14:paraId="12544A6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858.55</w:t>
            </w:r>
          </w:p>
        </w:tc>
        <w:tc>
          <w:tcPr>
            <w:tcW w:w="2194" w:type="dxa"/>
            <w:shd w:val="clear" w:color="auto" w:fill="auto"/>
            <w:tcMar>
              <w:top w:w="0" w:type="dxa"/>
              <w:left w:w="108" w:type="dxa"/>
              <w:bottom w:w="0" w:type="dxa"/>
              <w:right w:w="108" w:type="dxa"/>
            </w:tcMar>
            <w:vAlign w:val="center"/>
          </w:tcPr>
          <w:p w14:paraId="46B83FE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912.80</w:t>
            </w:r>
          </w:p>
        </w:tc>
      </w:tr>
      <w:tr w:rsidR="006416B0" w:rsidRPr="00B4515A" w14:paraId="245C63B0"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0652620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其他非流动负债</w:t>
            </w:r>
          </w:p>
        </w:tc>
        <w:tc>
          <w:tcPr>
            <w:tcW w:w="2194" w:type="dxa"/>
            <w:shd w:val="clear" w:color="auto" w:fill="auto"/>
            <w:tcMar>
              <w:top w:w="0" w:type="dxa"/>
              <w:left w:w="108" w:type="dxa"/>
              <w:bottom w:w="0" w:type="dxa"/>
              <w:right w:w="108" w:type="dxa"/>
            </w:tcMar>
            <w:vAlign w:val="center"/>
          </w:tcPr>
          <w:p w14:paraId="2187508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5F2833E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C7C8F1F"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07691BF3"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cs="Times New Roman" w:hint="eastAsia"/>
                <w:b/>
                <w:bCs/>
                <w:color w:val="000000"/>
                <w:sz w:val="21"/>
                <w:szCs w:val="21"/>
              </w:rPr>
              <w:t>非流动负债合计</w:t>
            </w:r>
          </w:p>
        </w:tc>
        <w:tc>
          <w:tcPr>
            <w:tcW w:w="2194" w:type="dxa"/>
            <w:shd w:val="clear" w:color="auto" w:fill="auto"/>
            <w:tcMar>
              <w:top w:w="0" w:type="dxa"/>
              <w:left w:w="108" w:type="dxa"/>
              <w:bottom w:w="0" w:type="dxa"/>
              <w:right w:w="108" w:type="dxa"/>
            </w:tcMar>
            <w:vAlign w:val="center"/>
          </w:tcPr>
          <w:p w14:paraId="6661F7EA"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65,338.77</w:t>
            </w:r>
          </w:p>
        </w:tc>
        <w:tc>
          <w:tcPr>
            <w:tcW w:w="2194" w:type="dxa"/>
            <w:shd w:val="clear" w:color="auto" w:fill="auto"/>
            <w:tcMar>
              <w:top w:w="0" w:type="dxa"/>
              <w:left w:w="108" w:type="dxa"/>
              <w:bottom w:w="0" w:type="dxa"/>
              <w:right w:w="108" w:type="dxa"/>
            </w:tcMar>
            <w:vAlign w:val="center"/>
          </w:tcPr>
          <w:p w14:paraId="5770C684"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68,253.69</w:t>
            </w:r>
          </w:p>
        </w:tc>
      </w:tr>
      <w:tr w:rsidR="006416B0" w:rsidRPr="00B4515A" w14:paraId="2B18CE1C"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718B5194"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cs="Times New Roman" w:hint="eastAsia"/>
                <w:b/>
                <w:bCs/>
                <w:color w:val="000000"/>
                <w:sz w:val="21"/>
                <w:szCs w:val="21"/>
              </w:rPr>
              <w:t>负债合计</w:t>
            </w:r>
          </w:p>
        </w:tc>
        <w:tc>
          <w:tcPr>
            <w:tcW w:w="2194" w:type="dxa"/>
            <w:shd w:val="clear" w:color="auto" w:fill="auto"/>
            <w:tcMar>
              <w:top w:w="0" w:type="dxa"/>
              <w:left w:w="108" w:type="dxa"/>
              <w:bottom w:w="0" w:type="dxa"/>
              <w:right w:w="108" w:type="dxa"/>
            </w:tcMar>
            <w:vAlign w:val="center"/>
          </w:tcPr>
          <w:p w14:paraId="08C59940"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430,922.12</w:t>
            </w:r>
          </w:p>
        </w:tc>
        <w:tc>
          <w:tcPr>
            <w:tcW w:w="2194" w:type="dxa"/>
            <w:shd w:val="clear" w:color="auto" w:fill="auto"/>
            <w:tcMar>
              <w:top w:w="0" w:type="dxa"/>
              <w:left w:w="108" w:type="dxa"/>
              <w:bottom w:w="0" w:type="dxa"/>
              <w:right w:w="108" w:type="dxa"/>
            </w:tcMar>
            <w:vAlign w:val="center"/>
          </w:tcPr>
          <w:p w14:paraId="1F94D0BE"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426,008.16</w:t>
            </w:r>
          </w:p>
        </w:tc>
      </w:tr>
      <w:tr w:rsidR="006416B0" w:rsidRPr="00B4515A" w14:paraId="290366EA"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71A7CDC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所有者权益：</w:t>
            </w:r>
          </w:p>
        </w:tc>
        <w:tc>
          <w:tcPr>
            <w:tcW w:w="2194" w:type="dxa"/>
            <w:shd w:val="clear" w:color="auto" w:fill="auto"/>
            <w:tcMar>
              <w:top w:w="0" w:type="dxa"/>
              <w:left w:w="108" w:type="dxa"/>
              <w:bottom w:w="0" w:type="dxa"/>
              <w:right w:w="108" w:type="dxa"/>
            </w:tcMar>
            <w:vAlign w:val="center"/>
          </w:tcPr>
          <w:p w14:paraId="4D8E41A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657A89C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D6C5A6B"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028FE28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归属于母公司所有者权益合计</w:t>
            </w:r>
          </w:p>
        </w:tc>
        <w:tc>
          <w:tcPr>
            <w:tcW w:w="2194" w:type="dxa"/>
            <w:shd w:val="clear" w:color="auto" w:fill="auto"/>
            <w:tcMar>
              <w:top w:w="0" w:type="dxa"/>
              <w:left w:w="108" w:type="dxa"/>
              <w:bottom w:w="0" w:type="dxa"/>
              <w:right w:w="108" w:type="dxa"/>
            </w:tcMar>
            <w:vAlign w:val="center"/>
          </w:tcPr>
          <w:p w14:paraId="64F1D50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29,482.47</w:t>
            </w:r>
          </w:p>
        </w:tc>
        <w:tc>
          <w:tcPr>
            <w:tcW w:w="2194" w:type="dxa"/>
            <w:shd w:val="clear" w:color="auto" w:fill="auto"/>
            <w:tcMar>
              <w:top w:w="0" w:type="dxa"/>
              <w:left w:w="108" w:type="dxa"/>
              <w:bottom w:w="0" w:type="dxa"/>
              <w:right w:w="108" w:type="dxa"/>
            </w:tcMar>
            <w:vAlign w:val="center"/>
          </w:tcPr>
          <w:p w14:paraId="2C86E0D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38,924.73</w:t>
            </w:r>
          </w:p>
        </w:tc>
      </w:tr>
      <w:tr w:rsidR="006416B0" w:rsidRPr="00B4515A" w14:paraId="3DAD8967"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50D58B3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少数股东权益</w:t>
            </w:r>
          </w:p>
        </w:tc>
        <w:tc>
          <w:tcPr>
            <w:tcW w:w="2194" w:type="dxa"/>
            <w:shd w:val="clear" w:color="auto" w:fill="auto"/>
            <w:tcMar>
              <w:top w:w="0" w:type="dxa"/>
              <w:left w:w="108" w:type="dxa"/>
              <w:bottom w:w="0" w:type="dxa"/>
              <w:right w:w="108" w:type="dxa"/>
            </w:tcMar>
            <w:vAlign w:val="center"/>
          </w:tcPr>
          <w:p w14:paraId="2B49CC3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78,456.56</w:t>
            </w:r>
          </w:p>
        </w:tc>
        <w:tc>
          <w:tcPr>
            <w:tcW w:w="2194" w:type="dxa"/>
            <w:shd w:val="clear" w:color="auto" w:fill="auto"/>
            <w:tcMar>
              <w:top w:w="0" w:type="dxa"/>
              <w:left w:w="108" w:type="dxa"/>
              <w:bottom w:w="0" w:type="dxa"/>
              <w:right w:w="108" w:type="dxa"/>
            </w:tcMar>
            <w:vAlign w:val="center"/>
          </w:tcPr>
          <w:p w14:paraId="492C25A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83,219.17</w:t>
            </w:r>
          </w:p>
        </w:tc>
      </w:tr>
      <w:tr w:rsidR="006416B0" w:rsidRPr="00B4515A" w14:paraId="2892C141"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457D196C"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cs="Times New Roman" w:hint="eastAsia"/>
                <w:b/>
                <w:bCs/>
                <w:color w:val="000000"/>
                <w:sz w:val="21"/>
                <w:szCs w:val="21"/>
              </w:rPr>
              <w:t>所有者权益合计</w:t>
            </w:r>
          </w:p>
        </w:tc>
        <w:tc>
          <w:tcPr>
            <w:tcW w:w="2194" w:type="dxa"/>
            <w:shd w:val="clear" w:color="auto" w:fill="auto"/>
            <w:tcMar>
              <w:top w:w="0" w:type="dxa"/>
              <w:left w:w="108" w:type="dxa"/>
              <w:bottom w:w="0" w:type="dxa"/>
              <w:right w:w="108" w:type="dxa"/>
            </w:tcMar>
            <w:vAlign w:val="center"/>
          </w:tcPr>
          <w:p w14:paraId="6B451860"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107,939.03</w:t>
            </w:r>
          </w:p>
        </w:tc>
        <w:tc>
          <w:tcPr>
            <w:tcW w:w="2194" w:type="dxa"/>
            <w:shd w:val="clear" w:color="auto" w:fill="auto"/>
            <w:tcMar>
              <w:top w:w="0" w:type="dxa"/>
              <w:left w:w="108" w:type="dxa"/>
              <w:bottom w:w="0" w:type="dxa"/>
              <w:right w:w="108" w:type="dxa"/>
            </w:tcMar>
            <w:vAlign w:val="center"/>
          </w:tcPr>
          <w:p w14:paraId="54C51A67"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122,143.90</w:t>
            </w:r>
          </w:p>
        </w:tc>
      </w:tr>
      <w:tr w:rsidR="006416B0" w:rsidRPr="00B4515A" w14:paraId="14FA0B1A" w14:textId="77777777" w:rsidTr="00031627">
        <w:trPr>
          <w:trHeight w:val="340"/>
          <w:jc w:val="center"/>
        </w:trPr>
        <w:tc>
          <w:tcPr>
            <w:tcW w:w="3761" w:type="dxa"/>
            <w:shd w:val="clear" w:color="auto" w:fill="auto"/>
            <w:tcMar>
              <w:top w:w="0" w:type="dxa"/>
              <w:left w:w="108" w:type="dxa"/>
              <w:bottom w:w="0" w:type="dxa"/>
              <w:right w:w="108" w:type="dxa"/>
            </w:tcMar>
            <w:vAlign w:val="center"/>
          </w:tcPr>
          <w:p w14:paraId="210C9A4E"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cs="Times New Roman" w:hint="eastAsia"/>
                <w:b/>
                <w:bCs/>
                <w:color w:val="000000"/>
                <w:sz w:val="21"/>
                <w:szCs w:val="21"/>
              </w:rPr>
              <w:t>负债和所有者权益总计</w:t>
            </w:r>
          </w:p>
        </w:tc>
        <w:tc>
          <w:tcPr>
            <w:tcW w:w="2194" w:type="dxa"/>
            <w:shd w:val="clear" w:color="auto" w:fill="auto"/>
            <w:tcMar>
              <w:top w:w="0" w:type="dxa"/>
              <w:left w:w="108" w:type="dxa"/>
              <w:bottom w:w="0" w:type="dxa"/>
              <w:right w:w="108" w:type="dxa"/>
            </w:tcMar>
            <w:vAlign w:val="center"/>
          </w:tcPr>
          <w:p w14:paraId="7B8864F2"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538,861.16</w:t>
            </w:r>
          </w:p>
        </w:tc>
        <w:tc>
          <w:tcPr>
            <w:tcW w:w="2194" w:type="dxa"/>
            <w:shd w:val="clear" w:color="auto" w:fill="auto"/>
            <w:tcMar>
              <w:top w:w="0" w:type="dxa"/>
              <w:left w:w="108" w:type="dxa"/>
              <w:bottom w:w="0" w:type="dxa"/>
              <w:right w:w="108" w:type="dxa"/>
            </w:tcMar>
            <w:vAlign w:val="center"/>
          </w:tcPr>
          <w:p w14:paraId="3A95841C"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548,152.06</w:t>
            </w:r>
          </w:p>
        </w:tc>
      </w:tr>
    </w:tbl>
    <w:p w14:paraId="5788B19F" w14:textId="7CD21CF0" w:rsidR="006416B0" w:rsidRPr="00B4515A" w:rsidRDefault="005E58C1" w:rsidP="006100BC">
      <w:pPr>
        <w:pStyle w:val="004"/>
        <w:spacing w:before="120" w:after="120"/>
        <w:ind w:firstLine="482"/>
      </w:pPr>
      <w:r w:rsidRPr="00B4515A">
        <w:t>2</w:t>
      </w:r>
      <w:r w:rsidRPr="00B4515A">
        <w:rPr>
          <w:rFonts w:hint="eastAsia"/>
        </w:rPr>
        <w:t>、备考合并利润表</w:t>
      </w:r>
    </w:p>
    <w:p w14:paraId="3212FE0C" w14:textId="77777777" w:rsidR="006416B0" w:rsidRPr="00B4515A" w:rsidRDefault="005E58C1"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4014"/>
        <w:gridCol w:w="2257"/>
        <w:gridCol w:w="2257"/>
      </w:tblGrid>
      <w:tr w:rsidR="006416B0" w:rsidRPr="00B4515A" w14:paraId="65CD8F8C" w14:textId="77777777" w:rsidTr="006100BC">
        <w:trPr>
          <w:trHeight w:val="340"/>
          <w:tblHeader/>
          <w:jc w:val="center"/>
        </w:trPr>
        <w:tc>
          <w:tcPr>
            <w:tcW w:w="3901" w:type="dxa"/>
            <w:shd w:val="clear" w:color="auto" w:fill="auto"/>
            <w:tcMar>
              <w:top w:w="0" w:type="dxa"/>
              <w:left w:w="108" w:type="dxa"/>
              <w:bottom w:w="0" w:type="dxa"/>
              <w:right w:w="108" w:type="dxa"/>
            </w:tcMar>
            <w:vAlign w:val="center"/>
          </w:tcPr>
          <w:p w14:paraId="1DA8F1AC"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项目</w:t>
            </w:r>
          </w:p>
        </w:tc>
        <w:tc>
          <w:tcPr>
            <w:tcW w:w="2194" w:type="dxa"/>
            <w:shd w:val="clear" w:color="auto" w:fill="auto"/>
            <w:tcMar>
              <w:top w:w="0" w:type="dxa"/>
              <w:left w:w="108" w:type="dxa"/>
              <w:bottom w:w="0" w:type="dxa"/>
              <w:right w:w="108" w:type="dxa"/>
            </w:tcMar>
            <w:vAlign w:val="center"/>
          </w:tcPr>
          <w:p w14:paraId="754C08C1"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w:t>
            </w:r>
            <w:r w:rsidRPr="00B4515A">
              <w:rPr>
                <w:rFonts w:cs="Times New Roman" w:hint="eastAsia"/>
                <w:b/>
                <w:bCs/>
                <w:color w:val="000000"/>
                <w:sz w:val="21"/>
                <w:szCs w:val="21"/>
              </w:rPr>
              <w:t>年</w:t>
            </w:r>
            <w:r w:rsidRPr="00B4515A">
              <w:rPr>
                <w:rFonts w:ascii="Times New Roman" w:hAnsi="Times New Roman" w:cs="Times New Roman"/>
                <w:b/>
                <w:bCs/>
                <w:color w:val="000000"/>
                <w:sz w:val="21"/>
                <w:szCs w:val="21"/>
              </w:rPr>
              <w:t>1-4</w:t>
            </w:r>
            <w:r w:rsidRPr="00B4515A">
              <w:rPr>
                <w:rFonts w:cs="Times New Roman" w:hint="eastAsia"/>
                <w:b/>
                <w:bCs/>
                <w:color w:val="000000"/>
                <w:sz w:val="21"/>
                <w:szCs w:val="21"/>
              </w:rPr>
              <w:t>月</w:t>
            </w:r>
          </w:p>
        </w:tc>
        <w:tc>
          <w:tcPr>
            <w:tcW w:w="2194" w:type="dxa"/>
            <w:shd w:val="clear" w:color="auto" w:fill="auto"/>
            <w:tcMar>
              <w:top w:w="0" w:type="dxa"/>
              <w:left w:w="108" w:type="dxa"/>
              <w:bottom w:w="0" w:type="dxa"/>
              <w:right w:w="108" w:type="dxa"/>
            </w:tcMar>
            <w:vAlign w:val="center"/>
          </w:tcPr>
          <w:p w14:paraId="00F8D9F0"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w:t>
            </w:r>
            <w:r w:rsidRPr="00B4515A">
              <w:rPr>
                <w:rFonts w:cs="Times New Roman" w:hint="eastAsia"/>
                <w:b/>
                <w:bCs/>
                <w:color w:val="000000"/>
                <w:sz w:val="21"/>
                <w:szCs w:val="21"/>
              </w:rPr>
              <w:t>年度</w:t>
            </w:r>
          </w:p>
        </w:tc>
      </w:tr>
      <w:tr w:rsidR="006416B0" w:rsidRPr="00B4515A" w14:paraId="0AFE91FD"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1A08D30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一、营业总收入</w:t>
            </w:r>
          </w:p>
        </w:tc>
        <w:tc>
          <w:tcPr>
            <w:tcW w:w="2194" w:type="dxa"/>
            <w:shd w:val="clear" w:color="auto" w:fill="auto"/>
            <w:tcMar>
              <w:top w:w="0" w:type="dxa"/>
              <w:left w:w="108" w:type="dxa"/>
              <w:bottom w:w="0" w:type="dxa"/>
              <w:right w:w="108" w:type="dxa"/>
            </w:tcMar>
            <w:vAlign w:val="center"/>
          </w:tcPr>
          <w:p w14:paraId="5F9407A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25,810.48</w:t>
            </w:r>
          </w:p>
        </w:tc>
        <w:tc>
          <w:tcPr>
            <w:tcW w:w="2194" w:type="dxa"/>
            <w:shd w:val="clear" w:color="auto" w:fill="auto"/>
            <w:tcMar>
              <w:top w:w="0" w:type="dxa"/>
              <w:left w:w="108" w:type="dxa"/>
              <w:bottom w:w="0" w:type="dxa"/>
              <w:right w:w="108" w:type="dxa"/>
            </w:tcMar>
            <w:vAlign w:val="center"/>
          </w:tcPr>
          <w:p w14:paraId="4CF5C11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162,630.87</w:t>
            </w:r>
          </w:p>
        </w:tc>
      </w:tr>
      <w:tr w:rsidR="006416B0" w:rsidRPr="00B4515A" w14:paraId="0C6EA31D"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6333549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其中：营业收入</w:t>
            </w:r>
          </w:p>
        </w:tc>
        <w:tc>
          <w:tcPr>
            <w:tcW w:w="2194" w:type="dxa"/>
            <w:shd w:val="clear" w:color="auto" w:fill="auto"/>
            <w:tcMar>
              <w:top w:w="0" w:type="dxa"/>
              <w:left w:w="108" w:type="dxa"/>
              <w:bottom w:w="0" w:type="dxa"/>
              <w:right w:w="108" w:type="dxa"/>
            </w:tcMar>
            <w:vAlign w:val="center"/>
          </w:tcPr>
          <w:p w14:paraId="4340780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25,810.48</w:t>
            </w:r>
          </w:p>
        </w:tc>
        <w:tc>
          <w:tcPr>
            <w:tcW w:w="2194" w:type="dxa"/>
            <w:shd w:val="clear" w:color="auto" w:fill="auto"/>
            <w:tcMar>
              <w:top w:w="0" w:type="dxa"/>
              <w:left w:w="108" w:type="dxa"/>
              <w:bottom w:w="0" w:type="dxa"/>
              <w:right w:w="108" w:type="dxa"/>
            </w:tcMar>
            <w:vAlign w:val="center"/>
          </w:tcPr>
          <w:p w14:paraId="1B4A4CB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162,630.87</w:t>
            </w:r>
          </w:p>
        </w:tc>
      </w:tr>
      <w:tr w:rsidR="006416B0" w:rsidRPr="00B4515A" w14:paraId="3DEDB212"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B7448B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利息收入</w:t>
            </w:r>
          </w:p>
        </w:tc>
        <w:tc>
          <w:tcPr>
            <w:tcW w:w="2194" w:type="dxa"/>
            <w:shd w:val="clear" w:color="auto" w:fill="auto"/>
            <w:tcMar>
              <w:top w:w="0" w:type="dxa"/>
              <w:left w:w="108" w:type="dxa"/>
              <w:bottom w:w="0" w:type="dxa"/>
              <w:right w:w="108" w:type="dxa"/>
            </w:tcMar>
            <w:vAlign w:val="center"/>
          </w:tcPr>
          <w:p w14:paraId="071611F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74BAD0E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04EEFCE"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62D5293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已赚保费</w:t>
            </w:r>
          </w:p>
        </w:tc>
        <w:tc>
          <w:tcPr>
            <w:tcW w:w="2194" w:type="dxa"/>
            <w:shd w:val="clear" w:color="auto" w:fill="auto"/>
            <w:tcMar>
              <w:top w:w="0" w:type="dxa"/>
              <w:left w:w="108" w:type="dxa"/>
              <w:bottom w:w="0" w:type="dxa"/>
              <w:right w:w="108" w:type="dxa"/>
            </w:tcMar>
            <w:vAlign w:val="center"/>
          </w:tcPr>
          <w:p w14:paraId="269A0FA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7F580F4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E3519C9"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1F52A9F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手续费及佣金收入</w:t>
            </w:r>
          </w:p>
        </w:tc>
        <w:tc>
          <w:tcPr>
            <w:tcW w:w="2194" w:type="dxa"/>
            <w:shd w:val="clear" w:color="auto" w:fill="auto"/>
            <w:tcMar>
              <w:top w:w="0" w:type="dxa"/>
              <w:left w:w="108" w:type="dxa"/>
              <w:bottom w:w="0" w:type="dxa"/>
              <w:right w:w="108" w:type="dxa"/>
            </w:tcMar>
            <w:vAlign w:val="center"/>
          </w:tcPr>
          <w:p w14:paraId="414E895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7CF7EC6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36DFAE3"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662B234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二、营业总成本</w:t>
            </w:r>
          </w:p>
        </w:tc>
        <w:tc>
          <w:tcPr>
            <w:tcW w:w="2194" w:type="dxa"/>
            <w:shd w:val="clear" w:color="auto" w:fill="auto"/>
            <w:tcMar>
              <w:top w:w="0" w:type="dxa"/>
              <w:left w:w="108" w:type="dxa"/>
              <w:bottom w:w="0" w:type="dxa"/>
              <w:right w:w="108" w:type="dxa"/>
            </w:tcMar>
            <w:vAlign w:val="center"/>
          </w:tcPr>
          <w:p w14:paraId="1FF59D9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33,903.62</w:t>
            </w:r>
          </w:p>
        </w:tc>
        <w:tc>
          <w:tcPr>
            <w:tcW w:w="2194" w:type="dxa"/>
            <w:shd w:val="clear" w:color="auto" w:fill="auto"/>
            <w:tcMar>
              <w:top w:w="0" w:type="dxa"/>
              <w:left w:w="108" w:type="dxa"/>
              <w:bottom w:w="0" w:type="dxa"/>
              <w:right w:w="108" w:type="dxa"/>
            </w:tcMar>
            <w:vAlign w:val="center"/>
          </w:tcPr>
          <w:p w14:paraId="2CAC275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201,559.76</w:t>
            </w:r>
          </w:p>
        </w:tc>
      </w:tr>
      <w:tr w:rsidR="006416B0" w:rsidRPr="00B4515A" w14:paraId="0A426477"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D3EBED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其中：营业成本</w:t>
            </w:r>
          </w:p>
        </w:tc>
        <w:tc>
          <w:tcPr>
            <w:tcW w:w="2194" w:type="dxa"/>
            <w:shd w:val="clear" w:color="auto" w:fill="auto"/>
            <w:tcMar>
              <w:top w:w="0" w:type="dxa"/>
              <w:left w:w="108" w:type="dxa"/>
              <w:bottom w:w="0" w:type="dxa"/>
              <w:right w:w="108" w:type="dxa"/>
            </w:tcMar>
            <w:vAlign w:val="center"/>
          </w:tcPr>
          <w:p w14:paraId="3B2C18E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14,634.68</w:t>
            </w:r>
          </w:p>
        </w:tc>
        <w:tc>
          <w:tcPr>
            <w:tcW w:w="2194" w:type="dxa"/>
            <w:shd w:val="clear" w:color="auto" w:fill="auto"/>
            <w:tcMar>
              <w:top w:w="0" w:type="dxa"/>
              <w:left w:w="108" w:type="dxa"/>
              <w:bottom w:w="0" w:type="dxa"/>
              <w:right w:w="108" w:type="dxa"/>
            </w:tcMar>
            <w:vAlign w:val="center"/>
          </w:tcPr>
          <w:p w14:paraId="25C4CEE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96,822.48</w:t>
            </w:r>
          </w:p>
        </w:tc>
      </w:tr>
      <w:tr w:rsidR="006416B0" w:rsidRPr="00B4515A" w14:paraId="4F5DC0E3"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3014D5F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利息支出</w:t>
            </w:r>
          </w:p>
        </w:tc>
        <w:tc>
          <w:tcPr>
            <w:tcW w:w="2194" w:type="dxa"/>
            <w:shd w:val="clear" w:color="auto" w:fill="auto"/>
            <w:tcMar>
              <w:top w:w="0" w:type="dxa"/>
              <w:left w:w="108" w:type="dxa"/>
              <w:bottom w:w="0" w:type="dxa"/>
              <w:right w:w="108" w:type="dxa"/>
            </w:tcMar>
            <w:vAlign w:val="center"/>
          </w:tcPr>
          <w:p w14:paraId="2A61291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6C713DD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657F895"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5ABD9A6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手续费及佣金支出</w:t>
            </w:r>
          </w:p>
        </w:tc>
        <w:tc>
          <w:tcPr>
            <w:tcW w:w="2194" w:type="dxa"/>
            <w:shd w:val="clear" w:color="auto" w:fill="auto"/>
            <w:tcMar>
              <w:top w:w="0" w:type="dxa"/>
              <w:left w:w="108" w:type="dxa"/>
              <w:bottom w:w="0" w:type="dxa"/>
              <w:right w:w="108" w:type="dxa"/>
            </w:tcMar>
            <w:vAlign w:val="center"/>
          </w:tcPr>
          <w:p w14:paraId="36D96EB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E79EBC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5291BCE"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67E82F3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退保金</w:t>
            </w:r>
          </w:p>
        </w:tc>
        <w:tc>
          <w:tcPr>
            <w:tcW w:w="2194" w:type="dxa"/>
            <w:shd w:val="clear" w:color="auto" w:fill="auto"/>
            <w:tcMar>
              <w:top w:w="0" w:type="dxa"/>
              <w:left w:w="108" w:type="dxa"/>
              <w:bottom w:w="0" w:type="dxa"/>
              <w:right w:w="108" w:type="dxa"/>
            </w:tcMar>
            <w:vAlign w:val="center"/>
          </w:tcPr>
          <w:p w14:paraId="5167341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7F45D5D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EF81A21"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51C75F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赔付支出净额</w:t>
            </w:r>
          </w:p>
        </w:tc>
        <w:tc>
          <w:tcPr>
            <w:tcW w:w="2194" w:type="dxa"/>
            <w:shd w:val="clear" w:color="auto" w:fill="auto"/>
            <w:tcMar>
              <w:top w:w="0" w:type="dxa"/>
              <w:left w:w="108" w:type="dxa"/>
              <w:bottom w:w="0" w:type="dxa"/>
              <w:right w:w="108" w:type="dxa"/>
            </w:tcMar>
            <w:vAlign w:val="center"/>
          </w:tcPr>
          <w:p w14:paraId="2FE7680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5B8F2E8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C3247D1"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2F0F22D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提取保险责任准备金净额</w:t>
            </w:r>
          </w:p>
        </w:tc>
        <w:tc>
          <w:tcPr>
            <w:tcW w:w="2194" w:type="dxa"/>
            <w:shd w:val="clear" w:color="auto" w:fill="auto"/>
            <w:tcMar>
              <w:top w:w="0" w:type="dxa"/>
              <w:left w:w="108" w:type="dxa"/>
              <w:bottom w:w="0" w:type="dxa"/>
              <w:right w:w="108" w:type="dxa"/>
            </w:tcMar>
            <w:vAlign w:val="center"/>
          </w:tcPr>
          <w:p w14:paraId="72B8EE3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B98B3B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0DA56D9"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5FFA17C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保单红利支出</w:t>
            </w:r>
          </w:p>
        </w:tc>
        <w:tc>
          <w:tcPr>
            <w:tcW w:w="2194" w:type="dxa"/>
            <w:shd w:val="clear" w:color="auto" w:fill="auto"/>
            <w:tcMar>
              <w:top w:w="0" w:type="dxa"/>
              <w:left w:w="108" w:type="dxa"/>
              <w:bottom w:w="0" w:type="dxa"/>
              <w:right w:w="108" w:type="dxa"/>
            </w:tcMar>
            <w:vAlign w:val="center"/>
          </w:tcPr>
          <w:p w14:paraId="187035D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23CE6A8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098CAB8"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1342A27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分保费用</w:t>
            </w:r>
          </w:p>
        </w:tc>
        <w:tc>
          <w:tcPr>
            <w:tcW w:w="2194" w:type="dxa"/>
            <w:shd w:val="clear" w:color="auto" w:fill="auto"/>
            <w:tcMar>
              <w:top w:w="0" w:type="dxa"/>
              <w:left w:w="108" w:type="dxa"/>
              <w:bottom w:w="0" w:type="dxa"/>
              <w:right w:w="108" w:type="dxa"/>
            </w:tcMar>
            <w:vAlign w:val="center"/>
          </w:tcPr>
          <w:p w14:paraId="7E5E9A3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0E4E658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C45A11D"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30A5F24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税金及附加</w:t>
            </w:r>
          </w:p>
        </w:tc>
        <w:tc>
          <w:tcPr>
            <w:tcW w:w="2194" w:type="dxa"/>
            <w:shd w:val="clear" w:color="auto" w:fill="auto"/>
            <w:tcMar>
              <w:top w:w="0" w:type="dxa"/>
              <w:left w:w="108" w:type="dxa"/>
              <w:bottom w:w="0" w:type="dxa"/>
              <w:right w:w="108" w:type="dxa"/>
            </w:tcMar>
            <w:vAlign w:val="center"/>
          </w:tcPr>
          <w:p w14:paraId="694C43F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448.64</w:t>
            </w:r>
          </w:p>
        </w:tc>
        <w:tc>
          <w:tcPr>
            <w:tcW w:w="2194" w:type="dxa"/>
            <w:shd w:val="clear" w:color="auto" w:fill="auto"/>
            <w:tcMar>
              <w:top w:w="0" w:type="dxa"/>
              <w:left w:w="108" w:type="dxa"/>
              <w:bottom w:w="0" w:type="dxa"/>
              <w:right w:w="108" w:type="dxa"/>
            </w:tcMar>
            <w:vAlign w:val="center"/>
          </w:tcPr>
          <w:p w14:paraId="2DD8411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1,530.29</w:t>
            </w:r>
          </w:p>
        </w:tc>
      </w:tr>
      <w:tr w:rsidR="006416B0" w:rsidRPr="00B4515A" w14:paraId="1D145D7E"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7642B13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lastRenderedPageBreak/>
              <w:t>销售费用</w:t>
            </w:r>
          </w:p>
        </w:tc>
        <w:tc>
          <w:tcPr>
            <w:tcW w:w="2194" w:type="dxa"/>
            <w:shd w:val="clear" w:color="auto" w:fill="auto"/>
            <w:tcMar>
              <w:top w:w="0" w:type="dxa"/>
              <w:left w:w="108" w:type="dxa"/>
              <w:bottom w:w="0" w:type="dxa"/>
              <w:right w:w="108" w:type="dxa"/>
            </w:tcMar>
            <w:vAlign w:val="center"/>
          </w:tcPr>
          <w:p w14:paraId="7796A45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2,631.76</w:t>
            </w:r>
          </w:p>
        </w:tc>
        <w:tc>
          <w:tcPr>
            <w:tcW w:w="2194" w:type="dxa"/>
            <w:shd w:val="clear" w:color="auto" w:fill="auto"/>
            <w:tcMar>
              <w:top w:w="0" w:type="dxa"/>
              <w:left w:w="108" w:type="dxa"/>
              <w:bottom w:w="0" w:type="dxa"/>
              <w:right w:w="108" w:type="dxa"/>
            </w:tcMar>
            <w:vAlign w:val="center"/>
          </w:tcPr>
          <w:p w14:paraId="692A769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12,453.96</w:t>
            </w:r>
          </w:p>
        </w:tc>
      </w:tr>
      <w:tr w:rsidR="006416B0" w:rsidRPr="00B4515A" w14:paraId="55162DA2"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31536E0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管理费用</w:t>
            </w:r>
          </w:p>
        </w:tc>
        <w:tc>
          <w:tcPr>
            <w:tcW w:w="2194" w:type="dxa"/>
            <w:shd w:val="clear" w:color="auto" w:fill="auto"/>
            <w:tcMar>
              <w:top w:w="0" w:type="dxa"/>
              <w:left w:w="108" w:type="dxa"/>
              <w:bottom w:w="0" w:type="dxa"/>
              <w:right w:w="108" w:type="dxa"/>
            </w:tcMar>
            <w:vAlign w:val="center"/>
          </w:tcPr>
          <w:p w14:paraId="68B213A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5,858.69</w:t>
            </w:r>
          </w:p>
        </w:tc>
        <w:tc>
          <w:tcPr>
            <w:tcW w:w="2194" w:type="dxa"/>
            <w:shd w:val="clear" w:color="auto" w:fill="auto"/>
            <w:tcMar>
              <w:top w:w="0" w:type="dxa"/>
              <w:left w:w="108" w:type="dxa"/>
              <w:bottom w:w="0" w:type="dxa"/>
              <w:right w:w="108" w:type="dxa"/>
            </w:tcMar>
            <w:vAlign w:val="center"/>
          </w:tcPr>
          <w:p w14:paraId="12A8140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33,753.25</w:t>
            </w:r>
          </w:p>
        </w:tc>
      </w:tr>
      <w:tr w:rsidR="006416B0" w:rsidRPr="00B4515A" w14:paraId="5DC82F6E"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4EE183C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研发费用</w:t>
            </w:r>
          </w:p>
        </w:tc>
        <w:tc>
          <w:tcPr>
            <w:tcW w:w="2194" w:type="dxa"/>
            <w:shd w:val="clear" w:color="auto" w:fill="auto"/>
            <w:tcMar>
              <w:top w:w="0" w:type="dxa"/>
              <w:left w:w="108" w:type="dxa"/>
              <w:bottom w:w="0" w:type="dxa"/>
              <w:right w:w="108" w:type="dxa"/>
            </w:tcMar>
            <w:vAlign w:val="center"/>
          </w:tcPr>
          <w:p w14:paraId="3C8A5B8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7,271.69</w:t>
            </w:r>
          </w:p>
        </w:tc>
        <w:tc>
          <w:tcPr>
            <w:tcW w:w="2194" w:type="dxa"/>
            <w:shd w:val="clear" w:color="auto" w:fill="auto"/>
            <w:tcMar>
              <w:top w:w="0" w:type="dxa"/>
              <w:left w:w="108" w:type="dxa"/>
              <w:bottom w:w="0" w:type="dxa"/>
              <w:right w:w="108" w:type="dxa"/>
            </w:tcMar>
            <w:vAlign w:val="center"/>
          </w:tcPr>
          <w:p w14:paraId="22E59D1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42,814.18</w:t>
            </w:r>
          </w:p>
        </w:tc>
      </w:tr>
      <w:tr w:rsidR="006416B0" w:rsidRPr="00B4515A" w14:paraId="2DC0F88C"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63D0720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财务费用</w:t>
            </w:r>
          </w:p>
        </w:tc>
        <w:tc>
          <w:tcPr>
            <w:tcW w:w="2194" w:type="dxa"/>
            <w:shd w:val="clear" w:color="auto" w:fill="auto"/>
            <w:tcMar>
              <w:top w:w="0" w:type="dxa"/>
              <w:left w:w="108" w:type="dxa"/>
              <w:bottom w:w="0" w:type="dxa"/>
              <w:right w:w="108" w:type="dxa"/>
            </w:tcMar>
            <w:vAlign w:val="center"/>
          </w:tcPr>
          <w:p w14:paraId="4EB2E23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3,058.17</w:t>
            </w:r>
          </w:p>
        </w:tc>
        <w:tc>
          <w:tcPr>
            <w:tcW w:w="2194" w:type="dxa"/>
            <w:shd w:val="clear" w:color="auto" w:fill="auto"/>
            <w:tcMar>
              <w:top w:w="0" w:type="dxa"/>
              <w:left w:w="108" w:type="dxa"/>
              <w:bottom w:w="0" w:type="dxa"/>
              <w:right w:w="108" w:type="dxa"/>
            </w:tcMar>
            <w:vAlign w:val="center"/>
          </w:tcPr>
          <w:p w14:paraId="3F9E0F6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14,185.60</w:t>
            </w:r>
          </w:p>
        </w:tc>
      </w:tr>
      <w:tr w:rsidR="006416B0" w:rsidRPr="00B4515A" w14:paraId="26681EC4"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5F0BD37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其中：利息费用</w:t>
            </w:r>
          </w:p>
        </w:tc>
        <w:tc>
          <w:tcPr>
            <w:tcW w:w="2194" w:type="dxa"/>
            <w:shd w:val="clear" w:color="auto" w:fill="auto"/>
            <w:tcMar>
              <w:top w:w="0" w:type="dxa"/>
              <w:left w:w="108" w:type="dxa"/>
              <w:bottom w:w="0" w:type="dxa"/>
              <w:right w:w="108" w:type="dxa"/>
            </w:tcMar>
            <w:vAlign w:val="center"/>
          </w:tcPr>
          <w:p w14:paraId="63BBAC4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4,023.59</w:t>
            </w:r>
          </w:p>
        </w:tc>
        <w:tc>
          <w:tcPr>
            <w:tcW w:w="2194" w:type="dxa"/>
            <w:shd w:val="clear" w:color="auto" w:fill="auto"/>
            <w:tcMar>
              <w:top w:w="0" w:type="dxa"/>
              <w:left w:w="108" w:type="dxa"/>
              <w:bottom w:w="0" w:type="dxa"/>
              <w:right w:w="108" w:type="dxa"/>
            </w:tcMar>
            <w:vAlign w:val="center"/>
          </w:tcPr>
          <w:p w14:paraId="31CD274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13,612.41</w:t>
            </w:r>
          </w:p>
        </w:tc>
      </w:tr>
      <w:tr w:rsidR="006416B0" w:rsidRPr="00B4515A" w14:paraId="08D33202"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3710E7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利息收入</w:t>
            </w:r>
          </w:p>
        </w:tc>
        <w:tc>
          <w:tcPr>
            <w:tcW w:w="2194" w:type="dxa"/>
            <w:shd w:val="clear" w:color="auto" w:fill="auto"/>
            <w:tcMar>
              <w:top w:w="0" w:type="dxa"/>
              <w:left w:w="108" w:type="dxa"/>
              <w:bottom w:w="0" w:type="dxa"/>
              <w:right w:w="108" w:type="dxa"/>
            </w:tcMar>
            <w:vAlign w:val="center"/>
          </w:tcPr>
          <w:p w14:paraId="2345774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1,060.90</w:t>
            </w:r>
          </w:p>
        </w:tc>
        <w:tc>
          <w:tcPr>
            <w:tcW w:w="2194" w:type="dxa"/>
            <w:shd w:val="clear" w:color="auto" w:fill="auto"/>
            <w:tcMar>
              <w:top w:w="0" w:type="dxa"/>
              <w:left w:w="108" w:type="dxa"/>
              <w:bottom w:w="0" w:type="dxa"/>
              <w:right w:w="108" w:type="dxa"/>
            </w:tcMar>
            <w:vAlign w:val="center"/>
          </w:tcPr>
          <w:p w14:paraId="3AFCA1A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308.99</w:t>
            </w:r>
          </w:p>
        </w:tc>
      </w:tr>
      <w:tr w:rsidR="006416B0" w:rsidRPr="00B4515A" w14:paraId="06C3D64E"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2932272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加：其他收益</w:t>
            </w:r>
          </w:p>
        </w:tc>
        <w:tc>
          <w:tcPr>
            <w:tcW w:w="2194" w:type="dxa"/>
            <w:shd w:val="clear" w:color="auto" w:fill="auto"/>
            <w:tcMar>
              <w:top w:w="0" w:type="dxa"/>
              <w:left w:w="108" w:type="dxa"/>
              <w:bottom w:w="0" w:type="dxa"/>
              <w:right w:w="108" w:type="dxa"/>
            </w:tcMar>
            <w:vAlign w:val="center"/>
          </w:tcPr>
          <w:p w14:paraId="041403D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682.53</w:t>
            </w:r>
          </w:p>
        </w:tc>
        <w:tc>
          <w:tcPr>
            <w:tcW w:w="2194" w:type="dxa"/>
            <w:shd w:val="clear" w:color="auto" w:fill="auto"/>
            <w:tcMar>
              <w:top w:w="0" w:type="dxa"/>
              <w:left w:w="108" w:type="dxa"/>
              <w:bottom w:w="0" w:type="dxa"/>
              <w:right w:w="108" w:type="dxa"/>
            </w:tcMar>
            <w:vAlign w:val="center"/>
          </w:tcPr>
          <w:p w14:paraId="0EE51E3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1,707.79</w:t>
            </w:r>
          </w:p>
        </w:tc>
      </w:tr>
      <w:tr w:rsidR="006416B0" w:rsidRPr="00B4515A" w14:paraId="1E90FDD4"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2201310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投资收益（损失以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22C27FF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-7,701.24</w:t>
            </w:r>
          </w:p>
        </w:tc>
        <w:tc>
          <w:tcPr>
            <w:tcW w:w="2194" w:type="dxa"/>
            <w:shd w:val="clear" w:color="auto" w:fill="auto"/>
            <w:tcMar>
              <w:top w:w="0" w:type="dxa"/>
              <w:left w:w="108" w:type="dxa"/>
              <w:bottom w:w="0" w:type="dxa"/>
              <w:right w:w="108" w:type="dxa"/>
            </w:tcMar>
            <w:vAlign w:val="center"/>
          </w:tcPr>
          <w:p w14:paraId="1AB4A0F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3,100.73</w:t>
            </w:r>
          </w:p>
        </w:tc>
      </w:tr>
      <w:tr w:rsidR="006416B0" w:rsidRPr="00B4515A" w14:paraId="3AE542DC"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3B66616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其中：对联营企业和合营企业的投资收益</w:t>
            </w:r>
          </w:p>
        </w:tc>
        <w:tc>
          <w:tcPr>
            <w:tcW w:w="2194" w:type="dxa"/>
            <w:shd w:val="clear" w:color="auto" w:fill="auto"/>
            <w:tcMar>
              <w:top w:w="0" w:type="dxa"/>
              <w:left w:w="108" w:type="dxa"/>
              <w:bottom w:w="0" w:type="dxa"/>
              <w:right w:w="108" w:type="dxa"/>
            </w:tcMar>
            <w:vAlign w:val="center"/>
          </w:tcPr>
          <w:p w14:paraId="61B4109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-7,701.24</w:t>
            </w:r>
          </w:p>
        </w:tc>
        <w:tc>
          <w:tcPr>
            <w:tcW w:w="2194" w:type="dxa"/>
            <w:shd w:val="clear" w:color="auto" w:fill="auto"/>
            <w:tcMar>
              <w:top w:w="0" w:type="dxa"/>
              <w:left w:w="108" w:type="dxa"/>
              <w:bottom w:w="0" w:type="dxa"/>
              <w:right w:w="108" w:type="dxa"/>
            </w:tcMar>
            <w:vAlign w:val="center"/>
          </w:tcPr>
          <w:p w14:paraId="53ECB4E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-12,407.81</w:t>
            </w:r>
          </w:p>
        </w:tc>
      </w:tr>
      <w:tr w:rsidR="006416B0" w:rsidRPr="00B4515A" w14:paraId="735C61D1"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842C13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以摊余成本计量的金融资产终止确认收益</w:t>
            </w:r>
          </w:p>
        </w:tc>
        <w:tc>
          <w:tcPr>
            <w:tcW w:w="2194" w:type="dxa"/>
            <w:shd w:val="clear" w:color="auto" w:fill="auto"/>
            <w:tcMar>
              <w:top w:w="0" w:type="dxa"/>
              <w:left w:w="108" w:type="dxa"/>
              <w:bottom w:w="0" w:type="dxa"/>
              <w:right w:w="108" w:type="dxa"/>
            </w:tcMar>
            <w:vAlign w:val="center"/>
          </w:tcPr>
          <w:p w14:paraId="03FA7BC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B6A2D6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5B6A707"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3A217ED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汇兑收益（损失以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320CF2E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5CE48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93C061C"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B3280F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净敞口套期收益（损失以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2B8AAA9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01BF76C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B012676"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7EC32FE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公允价值变动收益（损失以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21115F3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27EF17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0C5A144"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62D4F5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信用减值损失（损失以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134A7C1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327.97</w:t>
            </w:r>
          </w:p>
        </w:tc>
        <w:tc>
          <w:tcPr>
            <w:tcW w:w="2194" w:type="dxa"/>
            <w:shd w:val="clear" w:color="auto" w:fill="auto"/>
            <w:tcMar>
              <w:top w:w="0" w:type="dxa"/>
              <w:left w:w="108" w:type="dxa"/>
              <w:bottom w:w="0" w:type="dxa"/>
              <w:right w:w="108" w:type="dxa"/>
            </w:tcMar>
            <w:vAlign w:val="center"/>
          </w:tcPr>
          <w:p w14:paraId="2B87B8B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-37,722.30</w:t>
            </w:r>
          </w:p>
        </w:tc>
      </w:tr>
      <w:tr w:rsidR="006416B0" w:rsidRPr="00B4515A" w14:paraId="74E9F2C9"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8C8794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资产减值损失（损失以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0DE289B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-12.86</w:t>
            </w:r>
          </w:p>
        </w:tc>
        <w:tc>
          <w:tcPr>
            <w:tcW w:w="2194" w:type="dxa"/>
            <w:shd w:val="clear" w:color="auto" w:fill="auto"/>
            <w:tcMar>
              <w:top w:w="0" w:type="dxa"/>
              <w:left w:w="108" w:type="dxa"/>
              <w:bottom w:w="0" w:type="dxa"/>
              <w:right w:w="108" w:type="dxa"/>
            </w:tcMar>
            <w:vAlign w:val="center"/>
          </w:tcPr>
          <w:p w14:paraId="46CB00C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-84,066.35</w:t>
            </w:r>
          </w:p>
        </w:tc>
      </w:tr>
      <w:tr w:rsidR="006416B0" w:rsidRPr="00B4515A" w14:paraId="355B434F"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4E140C1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资产处置收益（损失以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721FDC8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B5C775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61.53</w:t>
            </w:r>
          </w:p>
        </w:tc>
      </w:tr>
      <w:tr w:rsidR="006416B0" w:rsidRPr="00B4515A" w14:paraId="4D55F150"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9320D7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三、营业利润（亏损以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603B209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-14,796.74</w:t>
            </w:r>
          </w:p>
        </w:tc>
        <w:tc>
          <w:tcPr>
            <w:tcW w:w="2194" w:type="dxa"/>
            <w:shd w:val="clear" w:color="auto" w:fill="auto"/>
            <w:tcMar>
              <w:top w:w="0" w:type="dxa"/>
              <w:left w:w="108" w:type="dxa"/>
              <w:bottom w:w="0" w:type="dxa"/>
              <w:right w:w="108" w:type="dxa"/>
            </w:tcMar>
            <w:vAlign w:val="center"/>
          </w:tcPr>
          <w:p w14:paraId="575E079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-155,847.49</w:t>
            </w:r>
          </w:p>
        </w:tc>
      </w:tr>
      <w:tr w:rsidR="006416B0" w:rsidRPr="00B4515A" w14:paraId="14379E86"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7517728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加：营业外收入</w:t>
            </w:r>
          </w:p>
        </w:tc>
        <w:tc>
          <w:tcPr>
            <w:tcW w:w="2194" w:type="dxa"/>
            <w:shd w:val="clear" w:color="auto" w:fill="auto"/>
            <w:tcMar>
              <w:top w:w="0" w:type="dxa"/>
              <w:left w:w="108" w:type="dxa"/>
              <w:bottom w:w="0" w:type="dxa"/>
              <w:right w:w="108" w:type="dxa"/>
            </w:tcMar>
            <w:vAlign w:val="center"/>
          </w:tcPr>
          <w:p w14:paraId="1F90ED6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125.99</w:t>
            </w:r>
          </w:p>
        </w:tc>
        <w:tc>
          <w:tcPr>
            <w:tcW w:w="2194" w:type="dxa"/>
            <w:shd w:val="clear" w:color="auto" w:fill="auto"/>
            <w:tcMar>
              <w:top w:w="0" w:type="dxa"/>
              <w:left w:w="108" w:type="dxa"/>
              <w:bottom w:w="0" w:type="dxa"/>
              <w:right w:w="108" w:type="dxa"/>
            </w:tcMar>
            <w:vAlign w:val="center"/>
          </w:tcPr>
          <w:p w14:paraId="15EF310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844.24</w:t>
            </w:r>
          </w:p>
        </w:tc>
      </w:tr>
      <w:tr w:rsidR="006416B0" w:rsidRPr="00B4515A" w14:paraId="1486A345"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34C9462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减：营业外支出</w:t>
            </w:r>
          </w:p>
        </w:tc>
        <w:tc>
          <w:tcPr>
            <w:tcW w:w="2194" w:type="dxa"/>
            <w:shd w:val="clear" w:color="auto" w:fill="auto"/>
            <w:tcMar>
              <w:top w:w="0" w:type="dxa"/>
              <w:left w:w="108" w:type="dxa"/>
              <w:bottom w:w="0" w:type="dxa"/>
              <w:right w:w="108" w:type="dxa"/>
            </w:tcMar>
            <w:vAlign w:val="center"/>
          </w:tcPr>
          <w:p w14:paraId="28945CD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113.87</w:t>
            </w:r>
          </w:p>
        </w:tc>
        <w:tc>
          <w:tcPr>
            <w:tcW w:w="2194" w:type="dxa"/>
            <w:shd w:val="clear" w:color="auto" w:fill="auto"/>
            <w:tcMar>
              <w:top w:w="0" w:type="dxa"/>
              <w:left w:w="108" w:type="dxa"/>
              <w:bottom w:w="0" w:type="dxa"/>
              <w:right w:w="108" w:type="dxa"/>
            </w:tcMar>
            <w:vAlign w:val="center"/>
          </w:tcPr>
          <w:p w14:paraId="5EB9AF4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9,209.26</w:t>
            </w:r>
          </w:p>
        </w:tc>
      </w:tr>
      <w:tr w:rsidR="006416B0" w:rsidRPr="00B4515A" w14:paraId="13477616"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C324B7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四、利润总额（亏损总额以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0084B21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-14,784.62</w:t>
            </w:r>
          </w:p>
        </w:tc>
        <w:tc>
          <w:tcPr>
            <w:tcW w:w="2194" w:type="dxa"/>
            <w:shd w:val="clear" w:color="auto" w:fill="auto"/>
            <w:tcMar>
              <w:top w:w="0" w:type="dxa"/>
              <w:left w:w="108" w:type="dxa"/>
              <w:bottom w:w="0" w:type="dxa"/>
              <w:right w:w="108" w:type="dxa"/>
            </w:tcMar>
            <w:vAlign w:val="center"/>
          </w:tcPr>
          <w:p w14:paraId="7DB13B9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-164,212.51</w:t>
            </w:r>
          </w:p>
        </w:tc>
      </w:tr>
      <w:tr w:rsidR="006416B0" w:rsidRPr="00B4515A" w14:paraId="14C6DBE3"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3789D66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减：所得税费用</w:t>
            </w:r>
          </w:p>
        </w:tc>
        <w:tc>
          <w:tcPr>
            <w:tcW w:w="2194" w:type="dxa"/>
            <w:shd w:val="clear" w:color="auto" w:fill="auto"/>
            <w:tcMar>
              <w:top w:w="0" w:type="dxa"/>
              <w:left w:w="108" w:type="dxa"/>
              <w:bottom w:w="0" w:type="dxa"/>
              <w:right w:w="108" w:type="dxa"/>
            </w:tcMar>
            <w:vAlign w:val="center"/>
          </w:tcPr>
          <w:p w14:paraId="3DF3E26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-578.66</w:t>
            </w:r>
          </w:p>
        </w:tc>
        <w:tc>
          <w:tcPr>
            <w:tcW w:w="2194" w:type="dxa"/>
            <w:shd w:val="clear" w:color="auto" w:fill="auto"/>
            <w:tcMar>
              <w:top w:w="0" w:type="dxa"/>
              <w:left w:w="108" w:type="dxa"/>
              <w:bottom w:w="0" w:type="dxa"/>
              <w:right w:w="108" w:type="dxa"/>
            </w:tcMar>
            <w:vAlign w:val="center"/>
          </w:tcPr>
          <w:p w14:paraId="5042265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4,969.93</w:t>
            </w:r>
          </w:p>
        </w:tc>
      </w:tr>
      <w:tr w:rsidR="006416B0" w:rsidRPr="00B4515A" w14:paraId="57D5E18D"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2BEE50F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五、净利润（净亏损以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70A58BE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-14,205.96</w:t>
            </w:r>
          </w:p>
        </w:tc>
        <w:tc>
          <w:tcPr>
            <w:tcW w:w="2194" w:type="dxa"/>
            <w:shd w:val="clear" w:color="auto" w:fill="auto"/>
            <w:tcMar>
              <w:top w:w="0" w:type="dxa"/>
              <w:left w:w="108" w:type="dxa"/>
              <w:bottom w:w="0" w:type="dxa"/>
              <w:right w:w="108" w:type="dxa"/>
            </w:tcMar>
            <w:vAlign w:val="center"/>
          </w:tcPr>
          <w:p w14:paraId="19F49A7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-169,182.44</w:t>
            </w:r>
          </w:p>
        </w:tc>
      </w:tr>
      <w:tr w:rsidR="006416B0" w:rsidRPr="00B4515A" w14:paraId="5EB5B93D"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433ACBC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（一）按经营持续性分类</w:t>
            </w:r>
          </w:p>
        </w:tc>
        <w:tc>
          <w:tcPr>
            <w:tcW w:w="2194" w:type="dxa"/>
            <w:shd w:val="clear" w:color="auto" w:fill="auto"/>
            <w:tcMar>
              <w:top w:w="0" w:type="dxa"/>
              <w:left w:w="108" w:type="dxa"/>
              <w:bottom w:w="0" w:type="dxa"/>
              <w:right w:w="108" w:type="dxa"/>
            </w:tcMar>
            <w:vAlign w:val="center"/>
          </w:tcPr>
          <w:p w14:paraId="41A80D7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6719AAA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1ABBD5E"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7C9045C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1</w:t>
            </w:r>
            <w:r w:rsidRPr="00B4515A">
              <w:rPr>
                <w:rFonts w:cs="Times New Roman" w:hint="eastAsia"/>
                <w:color w:val="000000"/>
                <w:sz w:val="21"/>
                <w:szCs w:val="21"/>
              </w:rPr>
              <w:t>．持续经营净利润（净亏损以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45D2D83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-14,205.96</w:t>
            </w:r>
          </w:p>
        </w:tc>
        <w:tc>
          <w:tcPr>
            <w:tcW w:w="2194" w:type="dxa"/>
            <w:shd w:val="clear" w:color="auto" w:fill="auto"/>
            <w:tcMar>
              <w:top w:w="0" w:type="dxa"/>
              <w:left w:w="108" w:type="dxa"/>
              <w:bottom w:w="0" w:type="dxa"/>
              <w:right w:w="108" w:type="dxa"/>
            </w:tcMar>
            <w:vAlign w:val="center"/>
          </w:tcPr>
          <w:p w14:paraId="44BD6A8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-169,182.44</w:t>
            </w:r>
          </w:p>
        </w:tc>
      </w:tr>
      <w:tr w:rsidR="006416B0" w:rsidRPr="00B4515A" w14:paraId="72462B02"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248C853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w:t>
            </w:r>
            <w:r w:rsidRPr="00B4515A">
              <w:rPr>
                <w:rFonts w:cs="Times New Roman" w:hint="eastAsia"/>
                <w:color w:val="000000"/>
                <w:sz w:val="21"/>
                <w:szCs w:val="21"/>
              </w:rPr>
              <w:t>．终止经营净利润（净亏损以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3DDF15B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251416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64AE35A"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8ECE6D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（二）按所有权归属分类</w:t>
            </w:r>
          </w:p>
        </w:tc>
        <w:tc>
          <w:tcPr>
            <w:tcW w:w="2194" w:type="dxa"/>
            <w:shd w:val="clear" w:color="auto" w:fill="auto"/>
            <w:tcMar>
              <w:top w:w="0" w:type="dxa"/>
              <w:left w:w="108" w:type="dxa"/>
              <w:bottom w:w="0" w:type="dxa"/>
              <w:right w:w="108" w:type="dxa"/>
            </w:tcMar>
            <w:vAlign w:val="center"/>
          </w:tcPr>
          <w:p w14:paraId="0360640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23E9400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218CB50"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4200C91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1</w:t>
            </w:r>
            <w:r w:rsidRPr="00B4515A">
              <w:rPr>
                <w:rFonts w:cs="Times New Roman" w:hint="eastAsia"/>
                <w:color w:val="000000"/>
                <w:sz w:val="21"/>
                <w:szCs w:val="21"/>
              </w:rPr>
              <w:t>．归属于母公司股东的净利润（净亏损以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33303A1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-9,443.36</w:t>
            </w:r>
          </w:p>
        </w:tc>
        <w:tc>
          <w:tcPr>
            <w:tcW w:w="2194" w:type="dxa"/>
            <w:shd w:val="clear" w:color="auto" w:fill="auto"/>
            <w:tcMar>
              <w:top w:w="0" w:type="dxa"/>
              <w:left w:w="108" w:type="dxa"/>
              <w:bottom w:w="0" w:type="dxa"/>
              <w:right w:w="108" w:type="dxa"/>
            </w:tcMar>
            <w:vAlign w:val="center"/>
          </w:tcPr>
          <w:p w14:paraId="5C30AAE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-132,112.46</w:t>
            </w:r>
          </w:p>
        </w:tc>
      </w:tr>
      <w:tr w:rsidR="006416B0" w:rsidRPr="00B4515A" w14:paraId="6C51762E"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1C3C97C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w:t>
            </w:r>
            <w:r w:rsidRPr="00B4515A">
              <w:rPr>
                <w:rFonts w:cs="Times New Roman" w:hint="eastAsia"/>
                <w:color w:val="000000"/>
                <w:sz w:val="21"/>
                <w:szCs w:val="21"/>
              </w:rPr>
              <w:t>．少数股东损益（净亏损以</w:t>
            </w:r>
            <w:r w:rsidRPr="00B4515A">
              <w:rPr>
                <w:rFonts w:cs="Times New Roman"/>
                <w:color w:val="000000"/>
                <w:sz w:val="21"/>
                <w:szCs w:val="21"/>
              </w:rPr>
              <w:t>“</w:t>
            </w:r>
            <w:r w:rsidRPr="00B4515A">
              <w:rPr>
                <w:rFonts w:ascii="Times New Roman" w:hAnsi="Times New Roman" w:cs="Times New Roman"/>
                <w:color w:val="000000"/>
                <w:sz w:val="21"/>
                <w:szCs w:val="21"/>
              </w:rPr>
              <w:t>-</w:t>
            </w:r>
            <w:r w:rsidRPr="00B4515A">
              <w:rPr>
                <w:rFonts w:cs="Times New Roman"/>
                <w:color w:val="000000"/>
                <w:sz w:val="21"/>
                <w:szCs w:val="21"/>
              </w:rPr>
              <w:t>”</w:t>
            </w:r>
            <w:r w:rsidRPr="00B4515A">
              <w:rPr>
                <w:rFonts w:cs="Times New Roman" w:hint="eastAsia"/>
                <w:color w:val="000000"/>
                <w:sz w:val="21"/>
                <w:szCs w:val="21"/>
              </w:rPr>
              <w:t>号填列）</w:t>
            </w:r>
          </w:p>
        </w:tc>
        <w:tc>
          <w:tcPr>
            <w:tcW w:w="2194" w:type="dxa"/>
            <w:shd w:val="clear" w:color="auto" w:fill="auto"/>
            <w:tcMar>
              <w:top w:w="0" w:type="dxa"/>
              <w:left w:w="108" w:type="dxa"/>
              <w:bottom w:w="0" w:type="dxa"/>
              <w:right w:w="108" w:type="dxa"/>
            </w:tcMar>
            <w:vAlign w:val="center"/>
          </w:tcPr>
          <w:p w14:paraId="5B976D5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-4,762.60</w:t>
            </w:r>
          </w:p>
        </w:tc>
        <w:tc>
          <w:tcPr>
            <w:tcW w:w="2194" w:type="dxa"/>
            <w:shd w:val="clear" w:color="auto" w:fill="auto"/>
            <w:tcMar>
              <w:top w:w="0" w:type="dxa"/>
              <w:left w:w="108" w:type="dxa"/>
              <w:bottom w:w="0" w:type="dxa"/>
              <w:right w:w="108" w:type="dxa"/>
            </w:tcMar>
            <w:vAlign w:val="center"/>
          </w:tcPr>
          <w:p w14:paraId="5B4B218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-37,069.98</w:t>
            </w:r>
          </w:p>
        </w:tc>
      </w:tr>
      <w:tr w:rsidR="006416B0" w:rsidRPr="00B4515A" w14:paraId="2432A56F"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C2FA98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六、其他综合收益的税后净额</w:t>
            </w:r>
          </w:p>
        </w:tc>
        <w:tc>
          <w:tcPr>
            <w:tcW w:w="2194" w:type="dxa"/>
            <w:shd w:val="clear" w:color="auto" w:fill="auto"/>
            <w:tcMar>
              <w:top w:w="0" w:type="dxa"/>
              <w:left w:w="108" w:type="dxa"/>
              <w:bottom w:w="0" w:type="dxa"/>
              <w:right w:w="108" w:type="dxa"/>
            </w:tcMar>
            <w:vAlign w:val="center"/>
          </w:tcPr>
          <w:p w14:paraId="1B86E88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21931FA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2,079.95</w:t>
            </w:r>
          </w:p>
        </w:tc>
      </w:tr>
      <w:tr w:rsidR="006416B0" w:rsidRPr="00B4515A" w14:paraId="203F63AC"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460163A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归属于母公司所有者的其他综合收益的税后净额</w:t>
            </w:r>
          </w:p>
        </w:tc>
        <w:tc>
          <w:tcPr>
            <w:tcW w:w="2194" w:type="dxa"/>
            <w:shd w:val="clear" w:color="auto" w:fill="auto"/>
            <w:tcMar>
              <w:top w:w="0" w:type="dxa"/>
              <w:left w:w="108" w:type="dxa"/>
              <w:bottom w:w="0" w:type="dxa"/>
              <w:right w:w="108" w:type="dxa"/>
            </w:tcMar>
            <w:vAlign w:val="center"/>
          </w:tcPr>
          <w:p w14:paraId="3E58A65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69F2BCB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2,280.36</w:t>
            </w:r>
          </w:p>
        </w:tc>
      </w:tr>
      <w:tr w:rsidR="006416B0" w:rsidRPr="00B4515A" w14:paraId="1AF74E9F"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3ADF7C2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（一）不能重分类进损益的其他综合收益</w:t>
            </w:r>
          </w:p>
        </w:tc>
        <w:tc>
          <w:tcPr>
            <w:tcW w:w="2194" w:type="dxa"/>
            <w:shd w:val="clear" w:color="auto" w:fill="auto"/>
            <w:tcMar>
              <w:top w:w="0" w:type="dxa"/>
              <w:left w:w="108" w:type="dxa"/>
              <w:bottom w:w="0" w:type="dxa"/>
              <w:right w:w="108" w:type="dxa"/>
            </w:tcMar>
            <w:vAlign w:val="center"/>
          </w:tcPr>
          <w:p w14:paraId="2AA9ABC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A2F7DB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2,422.96</w:t>
            </w:r>
          </w:p>
        </w:tc>
      </w:tr>
      <w:tr w:rsidR="006416B0" w:rsidRPr="00B4515A" w14:paraId="33400121"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1C8FDB8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1</w:t>
            </w:r>
            <w:r w:rsidRPr="00B4515A">
              <w:rPr>
                <w:rFonts w:cs="Times New Roman" w:hint="eastAsia"/>
                <w:color w:val="000000"/>
                <w:sz w:val="21"/>
                <w:szCs w:val="21"/>
              </w:rPr>
              <w:t>．重新计量设定受益计划变动额</w:t>
            </w:r>
          </w:p>
        </w:tc>
        <w:tc>
          <w:tcPr>
            <w:tcW w:w="2194" w:type="dxa"/>
            <w:shd w:val="clear" w:color="auto" w:fill="auto"/>
            <w:tcMar>
              <w:top w:w="0" w:type="dxa"/>
              <w:left w:w="108" w:type="dxa"/>
              <w:bottom w:w="0" w:type="dxa"/>
              <w:right w:w="108" w:type="dxa"/>
            </w:tcMar>
            <w:vAlign w:val="center"/>
          </w:tcPr>
          <w:p w14:paraId="55E521C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524EC74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C1A9D2E"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39781F0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w:t>
            </w:r>
            <w:r w:rsidRPr="00B4515A">
              <w:rPr>
                <w:rFonts w:cs="Times New Roman" w:hint="eastAsia"/>
                <w:color w:val="000000"/>
                <w:sz w:val="21"/>
                <w:szCs w:val="21"/>
              </w:rPr>
              <w:t>．权益法下不能转损益的其他综合收益</w:t>
            </w:r>
          </w:p>
        </w:tc>
        <w:tc>
          <w:tcPr>
            <w:tcW w:w="2194" w:type="dxa"/>
            <w:shd w:val="clear" w:color="auto" w:fill="auto"/>
            <w:tcMar>
              <w:top w:w="0" w:type="dxa"/>
              <w:left w:w="108" w:type="dxa"/>
              <w:bottom w:w="0" w:type="dxa"/>
              <w:right w:w="108" w:type="dxa"/>
            </w:tcMar>
            <w:vAlign w:val="center"/>
          </w:tcPr>
          <w:p w14:paraId="504A8FA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5774EFA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A5F75DF"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640CBA7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3</w:t>
            </w:r>
            <w:r w:rsidRPr="00B4515A">
              <w:rPr>
                <w:rFonts w:cs="Times New Roman" w:hint="eastAsia"/>
                <w:color w:val="000000"/>
                <w:sz w:val="21"/>
                <w:szCs w:val="21"/>
              </w:rPr>
              <w:t>．其他权益工具投资公允价值变动</w:t>
            </w:r>
          </w:p>
        </w:tc>
        <w:tc>
          <w:tcPr>
            <w:tcW w:w="2194" w:type="dxa"/>
            <w:shd w:val="clear" w:color="auto" w:fill="auto"/>
            <w:tcMar>
              <w:top w:w="0" w:type="dxa"/>
              <w:left w:w="108" w:type="dxa"/>
              <w:bottom w:w="0" w:type="dxa"/>
              <w:right w:w="108" w:type="dxa"/>
            </w:tcMar>
            <w:vAlign w:val="center"/>
          </w:tcPr>
          <w:p w14:paraId="5759348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1440F0B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2,422.96</w:t>
            </w:r>
          </w:p>
        </w:tc>
      </w:tr>
      <w:tr w:rsidR="006416B0" w:rsidRPr="00B4515A" w14:paraId="0C59D96F"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5B39BA3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4</w:t>
            </w:r>
            <w:r w:rsidRPr="00B4515A">
              <w:rPr>
                <w:rFonts w:cs="Times New Roman" w:hint="eastAsia"/>
                <w:color w:val="000000"/>
                <w:sz w:val="21"/>
                <w:szCs w:val="21"/>
              </w:rPr>
              <w:t>．企业自身信用风险公允价值变动</w:t>
            </w:r>
          </w:p>
        </w:tc>
        <w:tc>
          <w:tcPr>
            <w:tcW w:w="2194" w:type="dxa"/>
            <w:shd w:val="clear" w:color="auto" w:fill="auto"/>
            <w:tcMar>
              <w:top w:w="0" w:type="dxa"/>
              <w:left w:w="108" w:type="dxa"/>
              <w:bottom w:w="0" w:type="dxa"/>
              <w:right w:w="108" w:type="dxa"/>
            </w:tcMar>
            <w:vAlign w:val="center"/>
          </w:tcPr>
          <w:p w14:paraId="50AA81E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846B9F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E40DB15"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6DF7257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（二）将重分类进损益的其他综合收益</w:t>
            </w:r>
          </w:p>
        </w:tc>
        <w:tc>
          <w:tcPr>
            <w:tcW w:w="2194" w:type="dxa"/>
            <w:shd w:val="clear" w:color="auto" w:fill="auto"/>
            <w:tcMar>
              <w:top w:w="0" w:type="dxa"/>
              <w:left w:w="108" w:type="dxa"/>
              <w:bottom w:w="0" w:type="dxa"/>
              <w:right w:w="108" w:type="dxa"/>
            </w:tcMar>
            <w:vAlign w:val="center"/>
          </w:tcPr>
          <w:p w14:paraId="3D65B55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01EA22A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-142.61</w:t>
            </w:r>
          </w:p>
        </w:tc>
      </w:tr>
      <w:tr w:rsidR="006416B0" w:rsidRPr="00B4515A" w14:paraId="166A3D06"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692169C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lastRenderedPageBreak/>
              <w:t>1</w:t>
            </w:r>
            <w:r w:rsidRPr="00B4515A">
              <w:rPr>
                <w:rFonts w:cs="Times New Roman" w:hint="eastAsia"/>
                <w:color w:val="000000"/>
                <w:sz w:val="21"/>
                <w:szCs w:val="21"/>
              </w:rPr>
              <w:t>．权益法下可转损益的其他综合收益</w:t>
            </w:r>
          </w:p>
        </w:tc>
        <w:tc>
          <w:tcPr>
            <w:tcW w:w="2194" w:type="dxa"/>
            <w:shd w:val="clear" w:color="auto" w:fill="auto"/>
            <w:tcMar>
              <w:top w:w="0" w:type="dxa"/>
              <w:left w:w="108" w:type="dxa"/>
              <w:bottom w:w="0" w:type="dxa"/>
              <w:right w:w="108" w:type="dxa"/>
            </w:tcMar>
            <w:vAlign w:val="center"/>
          </w:tcPr>
          <w:p w14:paraId="41E2F9A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B8FCAF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-142.61</w:t>
            </w:r>
          </w:p>
        </w:tc>
      </w:tr>
      <w:tr w:rsidR="006416B0" w:rsidRPr="00B4515A" w14:paraId="3689585A"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4B3DA1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w:t>
            </w:r>
            <w:r w:rsidRPr="00B4515A">
              <w:rPr>
                <w:rFonts w:cs="Times New Roman" w:hint="eastAsia"/>
                <w:color w:val="000000"/>
                <w:sz w:val="21"/>
                <w:szCs w:val="21"/>
              </w:rPr>
              <w:t>．其他债权投资公允价值变动</w:t>
            </w:r>
          </w:p>
        </w:tc>
        <w:tc>
          <w:tcPr>
            <w:tcW w:w="2194" w:type="dxa"/>
            <w:shd w:val="clear" w:color="auto" w:fill="auto"/>
            <w:tcMar>
              <w:top w:w="0" w:type="dxa"/>
              <w:left w:w="108" w:type="dxa"/>
              <w:bottom w:w="0" w:type="dxa"/>
              <w:right w:w="108" w:type="dxa"/>
            </w:tcMar>
            <w:vAlign w:val="center"/>
          </w:tcPr>
          <w:p w14:paraId="02C3303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151DE29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C6F985F"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4E0F3B5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3</w:t>
            </w:r>
            <w:r w:rsidRPr="00B4515A">
              <w:rPr>
                <w:rFonts w:cs="Times New Roman" w:hint="eastAsia"/>
                <w:color w:val="000000"/>
                <w:sz w:val="21"/>
                <w:szCs w:val="21"/>
              </w:rPr>
              <w:t>．金融资产重分类计入其他综合收益的金额</w:t>
            </w:r>
          </w:p>
        </w:tc>
        <w:tc>
          <w:tcPr>
            <w:tcW w:w="2194" w:type="dxa"/>
            <w:shd w:val="clear" w:color="auto" w:fill="auto"/>
            <w:tcMar>
              <w:top w:w="0" w:type="dxa"/>
              <w:left w:w="108" w:type="dxa"/>
              <w:bottom w:w="0" w:type="dxa"/>
              <w:right w:w="108" w:type="dxa"/>
            </w:tcMar>
            <w:vAlign w:val="center"/>
          </w:tcPr>
          <w:p w14:paraId="3964D08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6BA1776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040F955"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50352D1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4</w:t>
            </w:r>
            <w:r w:rsidRPr="00B4515A">
              <w:rPr>
                <w:rFonts w:cs="Times New Roman" w:hint="eastAsia"/>
                <w:color w:val="000000"/>
                <w:sz w:val="21"/>
                <w:szCs w:val="21"/>
              </w:rPr>
              <w:t>．其他债权投资信用减值准备</w:t>
            </w:r>
          </w:p>
        </w:tc>
        <w:tc>
          <w:tcPr>
            <w:tcW w:w="2194" w:type="dxa"/>
            <w:shd w:val="clear" w:color="auto" w:fill="auto"/>
            <w:tcMar>
              <w:top w:w="0" w:type="dxa"/>
              <w:left w:w="108" w:type="dxa"/>
              <w:bottom w:w="0" w:type="dxa"/>
              <w:right w:w="108" w:type="dxa"/>
            </w:tcMar>
            <w:vAlign w:val="center"/>
          </w:tcPr>
          <w:p w14:paraId="230F5DC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1F8DDC1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95336AC"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77A9F45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5</w:t>
            </w:r>
            <w:r w:rsidRPr="00B4515A">
              <w:rPr>
                <w:rFonts w:cs="Times New Roman" w:hint="eastAsia"/>
                <w:color w:val="000000"/>
                <w:sz w:val="21"/>
                <w:szCs w:val="21"/>
              </w:rPr>
              <w:t>．现金流量套期储备</w:t>
            </w:r>
          </w:p>
        </w:tc>
        <w:tc>
          <w:tcPr>
            <w:tcW w:w="2194" w:type="dxa"/>
            <w:shd w:val="clear" w:color="auto" w:fill="auto"/>
            <w:tcMar>
              <w:top w:w="0" w:type="dxa"/>
              <w:left w:w="108" w:type="dxa"/>
              <w:bottom w:w="0" w:type="dxa"/>
              <w:right w:w="108" w:type="dxa"/>
            </w:tcMar>
            <w:vAlign w:val="center"/>
          </w:tcPr>
          <w:p w14:paraId="4E0F8BD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5758A9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E32B162"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1865409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6</w:t>
            </w:r>
            <w:r w:rsidRPr="00B4515A">
              <w:rPr>
                <w:rFonts w:cs="Times New Roman" w:hint="eastAsia"/>
                <w:color w:val="000000"/>
                <w:sz w:val="21"/>
                <w:szCs w:val="21"/>
              </w:rPr>
              <w:t>．外币财务报表折算差额</w:t>
            </w:r>
          </w:p>
        </w:tc>
        <w:tc>
          <w:tcPr>
            <w:tcW w:w="2194" w:type="dxa"/>
            <w:shd w:val="clear" w:color="auto" w:fill="auto"/>
            <w:tcMar>
              <w:top w:w="0" w:type="dxa"/>
              <w:left w:w="108" w:type="dxa"/>
              <w:bottom w:w="0" w:type="dxa"/>
              <w:right w:w="108" w:type="dxa"/>
            </w:tcMar>
            <w:vAlign w:val="center"/>
          </w:tcPr>
          <w:p w14:paraId="7F6B03F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7832BC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F710246"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49CBB26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7</w:t>
            </w:r>
            <w:r w:rsidRPr="00B4515A">
              <w:rPr>
                <w:rFonts w:cs="Times New Roman" w:hint="eastAsia"/>
                <w:color w:val="000000"/>
                <w:sz w:val="21"/>
                <w:szCs w:val="21"/>
              </w:rPr>
              <w:t>．其他</w:t>
            </w:r>
          </w:p>
        </w:tc>
        <w:tc>
          <w:tcPr>
            <w:tcW w:w="2194" w:type="dxa"/>
            <w:shd w:val="clear" w:color="auto" w:fill="auto"/>
            <w:tcMar>
              <w:top w:w="0" w:type="dxa"/>
              <w:left w:w="108" w:type="dxa"/>
              <w:bottom w:w="0" w:type="dxa"/>
              <w:right w:w="108" w:type="dxa"/>
            </w:tcMar>
            <w:vAlign w:val="center"/>
          </w:tcPr>
          <w:p w14:paraId="2687DCE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4533633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7E1BBAA"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0D712F7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归属于少数股东的其他综合收益的税后净额</w:t>
            </w:r>
          </w:p>
        </w:tc>
        <w:tc>
          <w:tcPr>
            <w:tcW w:w="2194" w:type="dxa"/>
            <w:shd w:val="clear" w:color="auto" w:fill="auto"/>
            <w:tcMar>
              <w:top w:w="0" w:type="dxa"/>
              <w:left w:w="108" w:type="dxa"/>
              <w:bottom w:w="0" w:type="dxa"/>
              <w:right w:w="108" w:type="dxa"/>
            </w:tcMar>
            <w:vAlign w:val="center"/>
          </w:tcPr>
          <w:p w14:paraId="4A36C19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2194" w:type="dxa"/>
            <w:shd w:val="clear" w:color="auto" w:fill="auto"/>
            <w:tcMar>
              <w:top w:w="0" w:type="dxa"/>
              <w:left w:w="108" w:type="dxa"/>
              <w:bottom w:w="0" w:type="dxa"/>
              <w:right w:w="108" w:type="dxa"/>
            </w:tcMar>
            <w:vAlign w:val="center"/>
          </w:tcPr>
          <w:p w14:paraId="31AEBEF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-200.41</w:t>
            </w:r>
          </w:p>
        </w:tc>
      </w:tr>
      <w:tr w:rsidR="006416B0" w:rsidRPr="00B4515A" w14:paraId="31B81B14"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49E934B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七、综合收益总额</w:t>
            </w:r>
          </w:p>
        </w:tc>
        <w:tc>
          <w:tcPr>
            <w:tcW w:w="2194" w:type="dxa"/>
            <w:shd w:val="clear" w:color="auto" w:fill="auto"/>
            <w:tcMar>
              <w:top w:w="0" w:type="dxa"/>
              <w:left w:w="108" w:type="dxa"/>
              <w:bottom w:w="0" w:type="dxa"/>
              <w:right w:w="108" w:type="dxa"/>
            </w:tcMar>
            <w:vAlign w:val="center"/>
          </w:tcPr>
          <w:p w14:paraId="1298F12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-14,205.96</w:t>
            </w:r>
          </w:p>
        </w:tc>
        <w:tc>
          <w:tcPr>
            <w:tcW w:w="2194" w:type="dxa"/>
            <w:shd w:val="clear" w:color="auto" w:fill="auto"/>
            <w:tcMar>
              <w:top w:w="0" w:type="dxa"/>
              <w:left w:w="108" w:type="dxa"/>
              <w:bottom w:w="0" w:type="dxa"/>
              <w:right w:w="108" w:type="dxa"/>
            </w:tcMar>
            <w:vAlign w:val="center"/>
          </w:tcPr>
          <w:p w14:paraId="1069463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-167,102.48</w:t>
            </w:r>
          </w:p>
        </w:tc>
      </w:tr>
      <w:tr w:rsidR="006416B0" w:rsidRPr="00B4515A" w14:paraId="74CEC40D"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7EF3995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归属于母公司所有者的综合收益总额</w:t>
            </w:r>
          </w:p>
        </w:tc>
        <w:tc>
          <w:tcPr>
            <w:tcW w:w="2194" w:type="dxa"/>
            <w:shd w:val="clear" w:color="auto" w:fill="auto"/>
            <w:tcMar>
              <w:top w:w="0" w:type="dxa"/>
              <w:left w:w="108" w:type="dxa"/>
              <w:bottom w:w="0" w:type="dxa"/>
              <w:right w:w="108" w:type="dxa"/>
            </w:tcMar>
            <w:vAlign w:val="center"/>
          </w:tcPr>
          <w:p w14:paraId="624E9EF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-9,443.36</w:t>
            </w:r>
          </w:p>
        </w:tc>
        <w:tc>
          <w:tcPr>
            <w:tcW w:w="2194" w:type="dxa"/>
            <w:shd w:val="clear" w:color="auto" w:fill="auto"/>
            <w:tcMar>
              <w:top w:w="0" w:type="dxa"/>
              <w:left w:w="108" w:type="dxa"/>
              <w:bottom w:w="0" w:type="dxa"/>
              <w:right w:w="108" w:type="dxa"/>
            </w:tcMar>
            <w:vAlign w:val="center"/>
          </w:tcPr>
          <w:p w14:paraId="7D34FCA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-129,832.10</w:t>
            </w:r>
          </w:p>
        </w:tc>
      </w:tr>
      <w:tr w:rsidR="006416B0" w:rsidRPr="00B4515A" w14:paraId="48E9E791" w14:textId="77777777" w:rsidTr="00031627">
        <w:trPr>
          <w:trHeight w:val="340"/>
          <w:jc w:val="center"/>
        </w:trPr>
        <w:tc>
          <w:tcPr>
            <w:tcW w:w="3901" w:type="dxa"/>
            <w:shd w:val="clear" w:color="auto" w:fill="auto"/>
            <w:tcMar>
              <w:top w:w="0" w:type="dxa"/>
              <w:left w:w="108" w:type="dxa"/>
              <w:bottom w:w="0" w:type="dxa"/>
              <w:right w:w="108" w:type="dxa"/>
            </w:tcMar>
            <w:vAlign w:val="center"/>
          </w:tcPr>
          <w:p w14:paraId="3B4417F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归属于少数股东的综合收益总额</w:t>
            </w:r>
          </w:p>
        </w:tc>
        <w:tc>
          <w:tcPr>
            <w:tcW w:w="2194" w:type="dxa"/>
            <w:shd w:val="clear" w:color="auto" w:fill="auto"/>
            <w:tcMar>
              <w:top w:w="0" w:type="dxa"/>
              <w:left w:w="108" w:type="dxa"/>
              <w:bottom w:w="0" w:type="dxa"/>
              <w:right w:w="108" w:type="dxa"/>
            </w:tcMar>
            <w:vAlign w:val="center"/>
          </w:tcPr>
          <w:p w14:paraId="3E573DB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-4,762.60</w:t>
            </w:r>
          </w:p>
        </w:tc>
        <w:tc>
          <w:tcPr>
            <w:tcW w:w="2194" w:type="dxa"/>
            <w:shd w:val="clear" w:color="auto" w:fill="auto"/>
            <w:tcMar>
              <w:top w:w="0" w:type="dxa"/>
              <w:left w:w="108" w:type="dxa"/>
              <w:bottom w:w="0" w:type="dxa"/>
              <w:right w:w="108" w:type="dxa"/>
            </w:tcMar>
            <w:vAlign w:val="center"/>
          </w:tcPr>
          <w:p w14:paraId="33E73BB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-37,270.39</w:t>
            </w:r>
          </w:p>
        </w:tc>
      </w:tr>
    </w:tbl>
    <w:p w14:paraId="60DC9C7E" w14:textId="77777777" w:rsidR="006416B0" w:rsidRPr="00B4515A" w:rsidRDefault="005E58C1" w:rsidP="002B0582">
      <w:pPr>
        <w:pStyle w:val="001"/>
        <w:spacing w:before="360" w:after="360"/>
      </w:pPr>
      <w:bookmarkStart w:id="330" w:name="_Toc80960579"/>
      <w:bookmarkStart w:id="331" w:name="_Hlk79189166"/>
      <w:r w:rsidRPr="00B4515A">
        <w:lastRenderedPageBreak/>
        <w:t>第十一节</w:t>
      </w:r>
      <w:r w:rsidRPr="00B4515A">
        <w:t xml:space="preserve"> </w:t>
      </w:r>
      <w:r w:rsidRPr="00B4515A">
        <w:t>同业竞争与关联交易</w:t>
      </w:r>
      <w:bookmarkEnd w:id="330"/>
    </w:p>
    <w:p w14:paraId="00E02963" w14:textId="77777777" w:rsidR="006416B0" w:rsidRPr="00B4515A" w:rsidRDefault="005E58C1" w:rsidP="006100BC">
      <w:pPr>
        <w:pStyle w:val="002"/>
        <w:spacing w:before="120" w:after="120"/>
        <w:ind w:firstLine="562"/>
      </w:pPr>
      <w:bookmarkStart w:id="332" w:name="_Toc80960580"/>
      <w:bookmarkEnd w:id="331"/>
      <w:r w:rsidRPr="00B4515A">
        <w:rPr>
          <w:rFonts w:hint="eastAsia"/>
        </w:rPr>
        <w:t>一</w:t>
      </w:r>
      <w:r w:rsidRPr="00B4515A">
        <w:t>、</w:t>
      </w:r>
      <w:r w:rsidRPr="00B4515A">
        <w:rPr>
          <w:rFonts w:hint="eastAsia"/>
        </w:rPr>
        <w:t>本次交易对同业竞争的影响</w:t>
      </w:r>
      <w:bookmarkEnd w:id="332"/>
    </w:p>
    <w:p w14:paraId="32A05CD5" w14:textId="77777777" w:rsidR="006416B0" w:rsidRPr="00B4515A" w:rsidRDefault="005E58C1" w:rsidP="006100BC">
      <w:pPr>
        <w:pStyle w:val="005"/>
        <w:spacing w:before="120" w:after="120"/>
        <w:ind w:firstLine="480"/>
        <w:rPr>
          <w:sz w:val="21"/>
        </w:rPr>
      </w:pPr>
      <w:r w:rsidRPr="00B4515A">
        <w:t>本次交易前，上市公司控股股东为电信科研院，中国信科集团为电信科研院的控股股东。本次交易完成后，上市公司控股股东为中国信科集团，大唐联诚将成为上市公司的子公司。</w:t>
      </w:r>
    </w:p>
    <w:p w14:paraId="4D16351D" w14:textId="77777777" w:rsidR="006416B0" w:rsidRPr="00B4515A" w:rsidRDefault="005E58C1" w:rsidP="006100BC">
      <w:pPr>
        <w:pStyle w:val="005"/>
        <w:spacing w:before="120" w:after="120"/>
        <w:ind w:firstLine="480"/>
      </w:pPr>
      <w:r w:rsidRPr="00B4515A">
        <w:t>中国信科集团的产业布局主要分为六大板块：光通信、移动通信、智能化应用、光电子和集成电路、网络安全和特通、数据通信。大唐联诚属于中国信科集团内网络安全和特通板块。大唐联诚定位于无线通信技术面向特通信息化领域的应用，拥有完整的特种通信行业科研生产资质，主营业务为立足特种通信行业，提供涵盖定制化无线通信设备和系统应用软件的自主可控整体解决方案。在网络安全和特通板块的无线通信领域，中国信科集团仅有大唐联诚一家企业。</w:t>
      </w:r>
    </w:p>
    <w:p w14:paraId="680087CA" w14:textId="77777777" w:rsidR="006416B0" w:rsidRPr="00B4515A" w:rsidRDefault="005E58C1" w:rsidP="006100BC">
      <w:pPr>
        <w:pStyle w:val="005"/>
        <w:spacing w:before="120" w:after="120"/>
        <w:ind w:firstLine="480"/>
      </w:pPr>
      <w:r w:rsidRPr="00B4515A">
        <w:t>综上，本次交易前，中国信科集团及下属全资、控股子公司及其他可实际控制企业与上市公司主营业务不存在相竞争的业务，本次交易不会导致中国信科集团与上市公司增加同业竞争。</w:t>
      </w:r>
    </w:p>
    <w:p w14:paraId="77664844" w14:textId="77777777" w:rsidR="006416B0" w:rsidRPr="00B4515A" w:rsidRDefault="005E58C1" w:rsidP="006100BC">
      <w:pPr>
        <w:pStyle w:val="005"/>
        <w:spacing w:before="120" w:after="120"/>
        <w:ind w:firstLine="480"/>
      </w:pPr>
      <w:r w:rsidRPr="00B4515A">
        <w:t>中国信科集团已出具《关于避免同业竞争的承诺函》，承诺内容如下：</w:t>
      </w:r>
    </w:p>
    <w:p w14:paraId="29EF4A85" w14:textId="77777777" w:rsidR="006416B0" w:rsidRPr="00B4515A" w:rsidRDefault="005E58C1" w:rsidP="006100BC">
      <w:pPr>
        <w:pStyle w:val="005"/>
        <w:spacing w:before="120" w:after="120"/>
        <w:ind w:firstLine="480"/>
        <w:rPr>
          <w:rFonts w:ascii="宋体" w:hAnsi="宋体"/>
        </w:rPr>
      </w:pPr>
      <w:r w:rsidRPr="00B4515A">
        <w:rPr>
          <w:rFonts w:ascii="宋体" w:hAnsi="宋体"/>
        </w:rPr>
        <w:t>“</w:t>
      </w:r>
    </w:p>
    <w:p w14:paraId="5C0AA6DB" w14:textId="77777777" w:rsidR="006416B0" w:rsidRPr="00B4515A" w:rsidRDefault="005E58C1" w:rsidP="006100BC">
      <w:pPr>
        <w:pStyle w:val="005"/>
        <w:spacing w:before="120" w:after="120"/>
        <w:ind w:firstLine="480"/>
      </w:pPr>
      <w:r w:rsidRPr="00B4515A">
        <w:t>1</w:t>
      </w:r>
      <w:r w:rsidRPr="00B4515A">
        <w:t>、本次交易前，本公司及下属全资、控股子公司及其他可实际控制企业</w:t>
      </w:r>
      <w:r w:rsidRPr="00B4515A">
        <w:t>(</w:t>
      </w:r>
      <w:r w:rsidRPr="00B4515A">
        <w:t>以下统称为</w:t>
      </w:r>
      <w:r w:rsidRPr="00B4515A">
        <w:rPr>
          <w:rFonts w:ascii="宋体" w:hAnsi="宋体"/>
        </w:rPr>
        <w:t>“</w:t>
      </w:r>
      <w:r w:rsidRPr="00B4515A">
        <w:t>本公司及相关企业</w:t>
      </w:r>
      <w:r w:rsidRPr="00B4515A">
        <w:rPr>
          <w:rFonts w:ascii="宋体" w:hAnsi="宋体"/>
        </w:rPr>
        <w:t>”</w:t>
      </w:r>
      <w:r w:rsidRPr="00B4515A">
        <w:t>，不含上市公司及其下属子公司）与上市公司主营业务不存在相竞争的业务，本次交易不会导致本公司与上市公司增加同业竞争。</w:t>
      </w:r>
    </w:p>
    <w:p w14:paraId="1FB017E5" w14:textId="77777777" w:rsidR="006416B0" w:rsidRPr="00B4515A" w:rsidRDefault="005E58C1" w:rsidP="006100BC">
      <w:pPr>
        <w:pStyle w:val="005"/>
        <w:spacing w:before="120" w:after="120"/>
        <w:ind w:firstLine="480"/>
      </w:pPr>
      <w:r w:rsidRPr="00B4515A">
        <w:t>2</w:t>
      </w:r>
      <w:r w:rsidRPr="00B4515A">
        <w:t>、本公司保证绝不利用对上市公司的了解和知悉的信息协助第三方从事、参与或投资与上市公司相竞争的业务或项目。</w:t>
      </w:r>
    </w:p>
    <w:p w14:paraId="41917B17" w14:textId="77777777" w:rsidR="006416B0" w:rsidRPr="00B4515A" w:rsidRDefault="005E58C1" w:rsidP="006100BC">
      <w:pPr>
        <w:pStyle w:val="005"/>
        <w:spacing w:before="120" w:after="120"/>
        <w:ind w:firstLine="480"/>
      </w:pPr>
      <w:r w:rsidRPr="00B4515A">
        <w:t>3</w:t>
      </w:r>
      <w:r w:rsidRPr="00B4515A">
        <w:t>、本承诺函在上市公司合法有效存续且在本公司对上市公司拥有控制权期间持续有效。</w:t>
      </w:r>
    </w:p>
    <w:p w14:paraId="052C0577" w14:textId="77777777" w:rsidR="006416B0" w:rsidRPr="00B4515A" w:rsidRDefault="005E58C1" w:rsidP="006100BC">
      <w:pPr>
        <w:pStyle w:val="005"/>
        <w:spacing w:before="120" w:after="120"/>
        <w:ind w:firstLine="480"/>
        <w:rPr>
          <w:rFonts w:ascii="宋体" w:hAnsi="宋体"/>
        </w:rPr>
      </w:pPr>
      <w:r w:rsidRPr="00B4515A">
        <w:rPr>
          <w:rFonts w:ascii="宋体" w:hAnsi="宋体"/>
        </w:rPr>
        <w:t>”</w:t>
      </w:r>
    </w:p>
    <w:p w14:paraId="04DA4D1F" w14:textId="77777777" w:rsidR="006416B0" w:rsidRPr="00B4515A" w:rsidRDefault="005E58C1" w:rsidP="006100BC">
      <w:pPr>
        <w:pStyle w:val="005"/>
        <w:spacing w:before="120" w:after="120"/>
        <w:ind w:firstLine="480"/>
      </w:pPr>
      <w:r w:rsidRPr="00B4515A">
        <w:t>本次交易不会导致控股股东及关联方与上市公司存在同业竞争或潜在同业</w:t>
      </w:r>
      <w:r w:rsidRPr="00B4515A">
        <w:lastRenderedPageBreak/>
        <w:t>竞争，本次交易不会违反控股股东作出的避免同业竞争的承诺。</w:t>
      </w:r>
    </w:p>
    <w:p w14:paraId="45CD5C27" w14:textId="77777777" w:rsidR="006416B0" w:rsidRPr="00B4515A" w:rsidRDefault="005E58C1" w:rsidP="006100BC">
      <w:pPr>
        <w:pStyle w:val="002"/>
        <w:spacing w:before="120" w:after="120"/>
        <w:ind w:firstLine="562"/>
      </w:pPr>
      <w:bookmarkStart w:id="333" w:name="_Toc80960581"/>
      <w:r w:rsidRPr="00B4515A">
        <w:rPr>
          <w:rFonts w:hint="eastAsia"/>
        </w:rPr>
        <w:t>二、标的公司报告期关联交易情况</w:t>
      </w:r>
      <w:bookmarkEnd w:id="333"/>
    </w:p>
    <w:p w14:paraId="72551F5A" w14:textId="77777777" w:rsidR="006416B0" w:rsidRPr="00B4515A" w:rsidRDefault="005E58C1" w:rsidP="006100BC">
      <w:pPr>
        <w:pStyle w:val="005"/>
        <w:spacing w:before="120" w:after="120"/>
        <w:ind w:firstLine="480"/>
      </w:pPr>
      <w:r w:rsidRPr="00B4515A">
        <w:rPr>
          <w:rFonts w:hint="eastAsia"/>
        </w:rPr>
        <w:t>根据立信会计师事务所（特殊普通合伙）出具的《审计报告》信会师报字</w:t>
      </w:r>
      <w:r w:rsidRPr="00B4515A">
        <w:t>[2021]</w:t>
      </w:r>
      <w:r w:rsidRPr="00B4515A">
        <w:t>第</w:t>
      </w:r>
      <w:r w:rsidRPr="00B4515A">
        <w:t>ZE21466</w:t>
      </w:r>
      <w:r w:rsidRPr="00B4515A">
        <w:t>号</w:t>
      </w:r>
      <w:r w:rsidRPr="00B4515A">
        <w:rPr>
          <w:rFonts w:hint="eastAsia"/>
        </w:rPr>
        <w:t>，本次交易前，标的公司报告期关联交易情况如下：</w:t>
      </w:r>
    </w:p>
    <w:p w14:paraId="46A0C212" w14:textId="77777777" w:rsidR="006416B0" w:rsidRPr="00B4515A" w:rsidRDefault="005E58C1" w:rsidP="006100BC">
      <w:pPr>
        <w:pStyle w:val="003"/>
        <w:spacing w:before="120"/>
        <w:ind w:firstLine="482"/>
      </w:pPr>
      <w:r w:rsidRPr="00B4515A">
        <w:t>（一）关联交易</w:t>
      </w:r>
      <w:r w:rsidRPr="00B4515A">
        <w:rPr>
          <w:rFonts w:hint="eastAsia"/>
        </w:rPr>
        <w:t>情况</w:t>
      </w:r>
    </w:p>
    <w:p w14:paraId="2042087A" w14:textId="23AD1DD9" w:rsidR="006416B0" w:rsidRPr="00B4515A" w:rsidRDefault="008C1C67" w:rsidP="006100BC">
      <w:pPr>
        <w:pStyle w:val="004"/>
        <w:spacing w:before="120" w:after="120"/>
        <w:ind w:firstLine="482"/>
      </w:pPr>
      <w:bookmarkStart w:id="334" w:name="_Toc75169319"/>
      <w:r w:rsidRPr="00B4515A">
        <w:t>1</w:t>
      </w:r>
      <w:r w:rsidRPr="00B4515A">
        <w:t>、</w:t>
      </w:r>
      <w:r w:rsidR="005E58C1" w:rsidRPr="00B4515A">
        <w:t>购销商品、提供和接受劳务的关联交易</w:t>
      </w:r>
      <w:bookmarkEnd w:id="334"/>
    </w:p>
    <w:p w14:paraId="204C054B" w14:textId="77777777" w:rsidR="006416B0" w:rsidRPr="00B4515A" w:rsidRDefault="005E58C1" w:rsidP="006100BC">
      <w:pPr>
        <w:pStyle w:val="005"/>
        <w:spacing w:before="120" w:after="120"/>
        <w:ind w:firstLine="480"/>
      </w:pPr>
      <w:r w:rsidRPr="00B4515A">
        <w:t>（</w:t>
      </w:r>
      <w:r w:rsidRPr="00B4515A">
        <w:t>1</w:t>
      </w:r>
      <w:r w:rsidRPr="00B4515A">
        <w:t>）采购商品</w:t>
      </w:r>
      <w:r w:rsidRPr="00B4515A">
        <w:t>/</w:t>
      </w:r>
      <w:r w:rsidRPr="00B4515A">
        <w:t>接受劳务情况</w:t>
      </w:r>
    </w:p>
    <w:p w14:paraId="1F73C0FA" w14:textId="57F1DC3B" w:rsidR="006416B0" w:rsidRPr="00B4515A" w:rsidRDefault="00D44516" w:rsidP="006100BC">
      <w:pPr>
        <w:pStyle w:val="009"/>
      </w:pPr>
      <w:r w:rsidRPr="00B4515A">
        <w:rPr>
          <w:rFonts w:hint="eastAsia"/>
        </w:rPr>
        <w:t>单位：万元</w:t>
      </w:r>
    </w:p>
    <w:tbl>
      <w:tblPr>
        <w:tblW w:w="513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92"/>
        <w:gridCol w:w="1728"/>
        <w:gridCol w:w="1665"/>
        <w:gridCol w:w="1924"/>
        <w:gridCol w:w="1554"/>
      </w:tblGrid>
      <w:tr w:rsidR="006416B0" w:rsidRPr="00B4515A" w14:paraId="0DD4C1C5" w14:textId="77777777" w:rsidTr="006100BC">
        <w:trPr>
          <w:trHeight w:val="340"/>
          <w:tblHeader/>
          <w:jc w:val="center"/>
        </w:trPr>
        <w:tc>
          <w:tcPr>
            <w:tcW w:w="1893" w:type="dxa"/>
            <w:shd w:val="clear" w:color="auto" w:fill="auto"/>
            <w:tcMar>
              <w:top w:w="0" w:type="dxa"/>
              <w:left w:w="108" w:type="dxa"/>
              <w:bottom w:w="0" w:type="dxa"/>
              <w:right w:w="108" w:type="dxa"/>
            </w:tcMar>
            <w:vAlign w:val="center"/>
          </w:tcPr>
          <w:p w14:paraId="36BEE92C"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关联方</w:t>
            </w:r>
          </w:p>
        </w:tc>
        <w:tc>
          <w:tcPr>
            <w:tcW w:w="1728" w:type="dxa"/>
            <w:shd w:val="clear" w:color="auto" w:fill="auto"/>
            <w:tcMar>
              <w:top w:w="0" w:type="dxa"/>
              <w:left w:w="108" w:type="dxa"/>
              <w:bottom w:w="0" w:type="dxa"/>
              <w:right w:w="108" w:type="dxa"/>
            </w:tcMar>
            <w:vAlign w:val="center"/>
          </w:tcPr>
          <w:p w14:paraId="55041938"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关联交易内容</w:t>
            </w:r>
          </w:p>
        </w:tc>
        <w:tc>
          <w:tcPr>
            <w:tcW w:w="1665" w:type="dxa"/>
            <w:shd w:val="clear" w:color="auto" w:fill="auto"/>
            <w:tcMar>
              <w:top w:w="0" w:type="dxa"/>
              <w:left w:w="108" w:type="dxa"/>
              <w:bottom w:w="0" w:type="dxa"/>
              <w:right w:w="108" w:type="dxa"/>
            </w:tcMar>
            <w:vAlign w:val="center"/>
          </w:tcPr>
          <w:p w14:paraId="19486A30"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w:t>
            </w:r>
            <w:r w:rsidRPr="00B4515A">
              <w:rPr>
                <w:rFonts w:ascii="Times New Roman" w:hAnsi="Times New Roman" w:cs="Times New Roman"/>
                <w:b/>
                <w:bCs/>
                <w:color w:val="000000"/>
                <w:sz w:val="21"/>
                <w:szCs w:val="21"/>
              </w:rPr>
              <w:t>年</w:t>
            </w:r>
            <w:r w:rsidRPr="00B4515A">
              <w:rPr>
                <w:rFonts w:ascii="Times New Roman" w:hAnsi="Times New Roman" w:cs="Times New Roman"/>
                <w:b/>
                <w:bCs/>
                <w:color w:val="000000"/>
                <w:sz w:val="21"/>
                <w:szCs w:val="21"/>
              </w:rPr>
              <w:t>1-4</w:t>
            </w:r>
            <w:r w:rsidRPr="00B4515A">
              <w:rPr>
                <w:rFonts w:ascii="Times New Roman" w:hAnsi="Times New Roman" w:cs="Times New Roman"/>
                <w:b/>
                <w:bCs/>
                <w:color w:val="000000"/>
                <w:sz w:val="21"/>
                <w:szCs w:val="21"/>
              </w:rPr>
              <w:t>月</w:t>
            </w:r>
          </w:p>
        </w:tc>
        <w:tc>
          <w:tcPr>
            <w:tcW w:w="1924" w:type="dxa"/>
            <w:shd w:val="clear" w:color="auto" w:fill="auto"/>
            <w:tcMar>
              <w:top w:w="0" w:type="dxa"/>
              <w:left w:w="108" w:type="dxa"/>
              <w:bottom w:w="0" w:type="dxa"/>
              <w:right w:w="108" w:type="dxa"/>
            </w:tcMar>
            <w:vAlign w:val="center"/>
          </w:tcPr>
          <w:p w14:paraId="0A1E7C0C"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w:t>
            </w:r>
            <w:r w:rsidRPr="00B4515A">
              <w:rPr>
                <w:rFonts w:ascii="Times New Roman" w:hAnsi="Times New Roman" w:cs="Times New Roman"/>
                <w:b/>
                <w:bCs/>
                <w:color w:val="000000"/>
                <w:sz w:val="21"/>
                <w:szCs w:val="21"/>
              </w:rPr>
              <w:t>年度</w:t>
            </w:r>
          </w:p>
        </w:tc>
        <w:tc>
          <w:tcPr>
            <w:tcW w:w="1554" w:type="dxa"/>
            <w:shd w:val="clear" w:color="auto" w:fill="auto"/>
            <w:tcMar>
              <w:top w:w="0" w:type="dxa"/>
              <w:left w:w="108" w:type="dxa"/>
              <w:bottom w:w="0" w:type="dxa"/>
              <w:right w:w="108" w:type="dxa"/>
            </w:tcMar>
            <w:vAlign w:val="center"/>
          </w:tcPr>
          <w:p w14:paraId="4E898C36"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w:t>
            </w:r>
            <w:r w:rsidRPr="00B4515A">
              <w:rPr>
                <w:rFonts w:ascii="Times New Roman" w:hAnsi="Times New Roman" w:cs="Times New Roman"/>
                <w:b/>
                <w:bCs/>
                <w:color w:val="000000"/>
                <w:sz w:val="21"/>
                <w:szCs w:val="21"/>
              </w:rPr>
              <w:t>年度</w:t>
            </w:r>
          </w:p>
        </w:tc>
      </w:tr>
      <w:tr w:rsidR="006416B0" w:rsidRPr="00B4515A" w14:paraId="65AE1093"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361A675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SA100841</w:t>
            </w:r>
          </w:p>
        </w:tc>
        <w:tc>
          <w:tcPr>
            <w:tcW w:w="1728" w:type="dxa"/>
            <w:shd w:val="clear" w:color="auto" w:fill="auto"/>
            <w:tcMar>
              <w:top w:w="0" w:type="dxa"/>
              <w:left w:w="108" w:type="dxa"/>
              <w:bottom w:w="0" w:type="dxa"/>
              <w:right w:w="108" w:type="dxa"/>
            </w:tcMar>
            <w:vAlign w:val="center"/>
          </w:tcPr>
          <w:p w14:paraId="2DFBB7CC"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采购商品</w:t>
            </w:r>
          </w:p>
        </w:tc>
        <w:tc>
          <w:tcPr>
            <w:tcW w:w="1665" w:type="dxa"/>
            <w:shd w:val="clear" w:color="auto" w:fill="auto"/>
            <w:tcMar>
              <w:top w:w="0" w:type="dxa"/>
              <w:left w:w="108" w:type="dxa"/>
              <w:bottom w:w="0" w:type="dxa"/>
              <w:right w:w="108" w:type="dxa"/>
            </w:tcMar>
            <w:vAlign w:val="center"/>
          </w:tcPr>
          <w:p w14:paraId="2CC6C7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924" w:type="dxa"/>
            <w:shd w:val="clear" w:color="auto" w:fill="auto"/>
            <w:tcMar>
              <w:top w:w="0" w:type="dxa"/>
              <w:left w:w="108" w:type="dxa"/>
              <w:bottom w:w="0" w:type="dxa"/>
              <w:right w:w="108" w:type="dxa"/>
            </w:tcMar>
            <w:vAlign w:val="center"/>
          </w:tcPr>
          <w:p w14:paraId="60D6E0A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11.95</w:t>
            </w:r>
          </w:p>
        </w:tc>
        <w:tc>
          <w:tcPr>
            <w:tcW w:w="1554" w:type="dxa"/>
            <w:shd w:val="clear" w:color="auto" w:fill="auto"/>
            <w:tcMar>
              <w:top w:w="0" w:type="dxa"/>
              <w:left w:w="108" w:type="dxa"/>
              <w:bottom w:w="0" w:type="dxa"/>
              <w:right w:w="108" w:type="dxa"/>
            </w:tcMar>
            <w:vAlign w:val="center"/>
          </w:tcPr>
          <w:p w14:paraId="2E7550E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1,083.09</w:t>
            </w:r>
          </w:p>
        </w:tc>
      </w:tr>
      <w:tr w:rsidR="006416B0" w:rsidRPr="00B4515A" w14:paraId="7E6C5802"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61BEC2F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SA100841</w:t>
            </w:r>
          </w:p>
        </w:tc>
        <w:tc>
          <w:tcPr>
            <w:tcW w:w="1728" w:type="dxa"/>
            <w:shd w:val="clear" w:color="auto" w:fill="auto"/>
            <w:tcMar>
              <w:top w:w="0" w:type="dxa"/>
              <w:left w:w="108" w:type="dxa"/>
              <w:bottom w:w="0" w:type="dxa"/>
              <w:right w:w="108" w:type="dxa"/>
            </w:tcMar>
            <w:vAlign w:val="center"/>
          </w:tcPr>
          <w:p w14:paraId="6E4BAA8B"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67DA84A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924" w:type="dxa"/>
            <w:shd w:val="clear" w:color="auto" w:fill="auto"/>
            <w:tcMar>
              <w:top w:w="0" w:type="dxa"/>
              <w:left w:w="108" w:type="dxa"/>
              <w:bottom w:w="0" w:type="dxa"/>
              <w:right w:w="108" w:type="dxa"/>
            </w:tcMar>
            <w:vAlign w:val="center"/>
          </w:tcPr>
          <w:p w14:paraId="451F620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53.21</w:t>
            </w:r>
          </w:p>
        </w:tc>
        <w:tc>
          <w:tcPr>
            <w:tcW w:w="1554" w:type="dxa"/>
            <w:shd w:val="clear" w:color="auto" w:fill="auto"/>
            <w:tcMar>
              <w:top w:w="0" w:type="dxa"/>
              <w:left w:w="108" w:type="dxa"/>
              <w:bottom w:w="0" w:type="dxa"/>
              <w:right w:w="108" w:type="dxa"/>
            </w:tcMar>
            <w:vAlign w:val="center"/>
          </w:tcPr>
          <w:p w14:paraId="6000168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122.64</w:t>
            </w:r>
          </w:p>
        </w:tc>
      </w:tr>
      <w:tr w:rsidR="006416B0" w:rsidRPr="00B4515A" w14:paraId="77137F19"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1D793C5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SA101130</w:t>
            </w:r>
          </w:p>
        </w:tc>
        <w:tc>
          <w:tcPr>
            <w:tcW w:w="1728" w:type="dxa"/>
            <w:shd w:val="clear" w:color="auto" w:fill="auto"/>
            <w:tcMar>
              <w:top w:w="0" w:type="dxa"/>
              <w:left w:w="108" w:type="dxa"/>
              <w:bottom w:w="0" w:type="dxa"/>
              <w:right w:w="108" w:type="dxa"/>
            </w:tcMar>
            <w:vAlign w:val="center"/>
          </w:tcPr>
          <w:p w14:paraId="4F0B9F0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采购商品</w:t>
            </w:r>
          </w:p>
        </w:tc>
        <w:tc>
          <w:tcPr>
            <w:tcW w:w="1665" w:type="dxa"/>
            <w:shd w:val="clear" w:color="auto" w:fill="auto"/>
            <w:tcMar>
              <w:top w:w="0" w:type="dxa"/>
              <w:left w:w="108" w:type="dxa"/>
              <w:bottom w:w="0" w:type="dxa"/>
              <w:right w:w="108" w:type="dxa"/>
            </w:tcMar>
            <w:vAlign w:val="center"/>
          </w:tcPr>
          <w:p w14:paraId="0BDFD05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2.65</w:t>
            </w:r>
          </w:p>
        </w:tc>
        <w:tc>
          <w:tcPr>
            <w:tcW w:w="1924" w:type="dxa"/>
            <w:shd w:val="clear" w:color="auto" w:fill="auto"/>
            <w:tcMar>
              <w:top w:w="0" w:type="dxa"/>
              <w:left w:w="108" w:type="dxa"/>
              <w:bottom w:w="0" w:type="dxa"/>
              <w:right w:w="108" w:type="dxa"/>
            </w:tcMar>
            <w:vAlign w:val="center"/>
          </w:tcPr>
          <w:p w14:paraId="24477C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623.63</w:t>
            </w:r>
          </w:p>
        </w:tc>
        <w:tc>
          <w:tcPr>
            <w:tcW w:w="1554" w:type="dxa"/>
            <w:shd w:val="clear" w:color="auto" w:fill="auto"/>
            <w:tcMar>
              <w:top w:w="0" w:type="dxa"/>
              <w:left w:w="108" w:type="dxa"/>
              <w:bottom w:w="0" w:type="dxa"/>
              <w:right w:w="108" w:type="dxa"/>
            </w:tcMar>
            <w:vAlign w:val="center"/>
          </w:tcPr>
          <w:p w14:paraId="6590979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505FB00"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41FFD1B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SA101130</w:t>
            </w:r>
          </w:p>
        </w:tc>
        <w:tc>
          <w:tcPr>
            <w:tcW w:w="1728" w:type="dxa"/>
            <w:shd w:val="clear" w:color="auto" w:fill="auto"/>
            <w:tcMar>
              <w:top w:w="0" w:type="dxa"/>
              <w:left w:w="108" w:type="dxa"/>
              <w:bottom w:w="0" w:type="dxa"/>
              <w:right w:w="108" w:type="dxa"/>
            </w:tcMar>
            <w:vAlign w:val="center"/>
          </w:tcPr>
          <w:p w14:paraId="0E1D98E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2080731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924" w:type="dxa"/>
            <w:shd w:val="clear" w:color="auto" w:fill="auto"/>
            <w:tcMar>
              <w:top w:w="0" w:type="dxa"/>
              <w:left w:w="108" w:type="dxa"/>
              <w:bottom w:w="0" w:type="dxa"/>
              <w:right w:w="108" w:type="dxa"/>
            </w:tcMar>
            <w:vAlign w:val="center"/>
          </w:tcPr>
          <w:p w14:paraId="7ACC45F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46.70</w:t>
            </w:r>
          </w:p>
        </w:tc>
        <w:tc>
          <w:tcPr>
            <w:tcW w:w="1554" w:type="dxa"/>
            <w:shd w:val="clear" w:color="auto" w:fill="auto"/>
            <w:tcMar>
              <w:top w:w="0" w:type="dxa"/>
              <w:left w:w="108" w:type="dxa"/>
              <w:bottom w:w="0" w:type="dxa"/>
              <w:right w:w="108" w:type="dxa"/>
            </w:tcMar>
            <w:vAlign w:val="center"/>
          </w:tcPr>
          <w:p w14:paraId="09A61F2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8FFA1CD"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117B150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大唐电信科技股份有限公司</w:t>
            </w:r>
          </w:p>
        </w:tc>
        <w:tc>
          <w:tcPr>
            <w:tcW w:w="1728" w:type="dxa"/>
            <w:shd w:val="clear" w:color="auto" w:fill="auto"/>
            <w:tcMar>
              <w:top w:w="0" w:type="dxa"/>
              <w:left w:w="108" w:type="dxa"/>
              <w:bottom w:w="0" w:type="dxa"/>
              <w:right w:w="108" w:type="dxa"/>
            </w:tcMar>
            <w:vAlign w:val="center"/>
          </w:tcPr>
          <w:p w14:paraId="39E37CB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6733A4D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924" w:type="dxa"/>
            <w:shd w:val="clear" w:color="auto" w:fill="auto"/>
            <w:tcMar>
              <w:top w:w="0" w:type="dxa"/>
              <w:left w:w="108" w:type="dxa"/>
              <w:bottom w:w="0" w:type="dxa"/>
              <w:right w:w="108" w:type="dxa"/>
            </w:tcMar>
            <w:vAlign w:val="center"/>
          </w:tcPr>
          <w:p w14:paraId="434870D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554" w:type="dxa"/>
            <w:shd w:val="clear" w:color="auto" w:fill="auto"/>
            <w:tcMar>
              <w:top w:w="0" w:type="dxa"/>
              <w:left w:w="108" w:type="dxa"/>
              <w:bottom w:w="0" w:type="dxa"/>
              <w:right w:w="108" w:type="dxa"/>
            </w:tcMar>
            <w:vAlign w:val="center"/>
          </w:tcPr>
          <w:p w14:paraId="4D1E285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1.59</w:t>
            </w:r>
          </w:p>
        </w:tc>
      </w:tr>
      <w:tr w:rsidR="006416B0" w:rsidRPr="00B4515A" w14:paraId="67EF2623"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21EEEE6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大唐奇安网络科技有限公司</w:t>
            </w:r>
          </w:p>
        </w:tc>
        <w:tc>
          <w:tcPr>
            <w:tcW w:w="1728" w:type="dxa"/>
            <w:shd w:val="clear" w:color="auto" w:fill="auto"/>
            <w:tcMar>
              <w:top w:w="0" w:type="dxa"/>
              <w:left w:w="108" w:type="dxa"/>
              <w:bottom w:w="0" w:type="dxa"/>
              <w:right w:w="108" w:type="dxa"/>
            </w:tcMar>
            <w:vAlign w:val="center"/>
          </w:tcPr>
          <w:p w14:paraId="663D5A8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采购商品</w:t>
            </w:r>
          </w:p>
        </w:tc>
        <w:tc>
          <w:tcPr>
            <w:tcW w:w="1665" w:type="dxa"/>
            <w:shd w:val="clear" w:color="auto" w:fill="auto"/>
            <w:tcMar>
              <w:top w:w="0" w:type="dxa"/>
              <w:left w:w="108" w:type="dxa"/>
              <w:bottom w:w="0" w:type="dxa"/>
              <w:right w:w="108" w:type="dxa"/>
            </w:tcMar>
            <w:vAlign w:val="center"/>
          </w:tcPr>
          <w:p w14:paraId="5AC60CAF" w14:textId="380A5BB5" w:rsidR="006416B0" w:rsidRPr="00B4515A" w:rsidRDefault="006416B0" w:rsidP="005860B4">
            <w:pPr>
              <w:adjustRightInd w:val="0"/>
              <w:snapToGrid w:val="0"/>
              <w:jc w:val="right"/>
              <w:rPr>
                <w:rFonts w:ascii="Times New Roman" w:hAnsi="Times New Roman" w:cs="Times New Roman"/>
                <w:color w:val="000000"/>
                <w:sz w:val="21"/>
                <w:szCs w:val="21"/>
              </w:rPr>
            </w:pPr>
          </w:p>
        </w:tc>
        <w:tc>
          <w:tcPr>
            <w:tcW w:w="1924" w:type="dxa"/>
            <w:shd w:val="clear" w:color="auto" w:fill="auto"/>
            <w:tcMar>
              <w:top w:w="0" w:type="dxa"/>
              <w:left w:w="108" w:type="dxa"/>
              <w:bottom w:w="0" w:type="dxa"/>
              <w:right w:w="108" w:type="dxa"/>
            </w:tcMar>
            <w:vAlign w:val="center"/>
          </w:tcPr>
          <w:p w14:paraId="7AE17F2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998.93</w:t>
            </w:r>
          </w:p>
        </w:tc>
        <w:tc>
          <w:tcPr>
            <w:tcW w:w="1554" w:type="dxa"/>
            <w:shd w:val="clear" w:color="auto" w:fill="auto"/>
            <w:tcMar>
              <w:top w:w="0" w:type="dxa"/>
              <w:left w:w="108" w:type="dxa"/>
              <w:bottom w:w="0" w:type="dxa"/>
              <w:right w:w="108" w:type="dxa"/>
            </w:tcMar>
            <w:vAlign w:val="center"/>
          </w:tcPr>
          <w:p w14:paraId="37D7AC0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9E1C7A1"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5C97034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大唐奇安网络科技有限公司</w:t>
            </w:r>
          </w:p>
        </w:tc>
        <w:tc>
          <w:tcPr>
            <w:tcW w:w="1728" w:type="dxa"/>
            <w:shd w:val="clear" w:color="auto" w:fill="auto"/>
            <w:tcMar>
              <w:top w:w="0" w:type="dxa"/>
              <w:left w:w="108" w:type="dxa"/>
              <w:bottom w:w="0" w:type="dxa"/>
              <w:right w:w="108" w:type="dxa"/>
            </w:tcMar>
            <w:vAlign w:val="center"/>
          </w:tcPr>
          <w:p w14:paraId="286495B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35D0D47E" w14:textId="006D0813"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46.98</w:t>
            </w:r>
          </w:p>
        </w:tc>
        <w:tc>
          <w:tcPr>
            <w:tcW w:w="1924" w:type="dxa"/>
            <w:shd w:val="clear" w:color="auto" w:fill="auto"/>
            <w:tcMar>
              <w:top w:w="0" w:type="dxa"/>
              <w:left w:w="108" w:type="dxa"/>
              <w:bottom w:w="0" w:type="dxa"/>
              <w:right w:w="108" w:type="dxa"/>
            </w:tcMar>
            <w:vAlign w:val="center"/>
          </w:tcPr>
          <w:p w14:paraId="2774AA0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139.81</w:t>
            </w:r>
          </w:p>
        </w:tc>
        <w:tc>
          <w:tcPr>
            <w:tcW w:w="1554" w:type="dxa"/>
            <w:shd w:val="clear" w:color="auto" w:fill="auto"/>
            <w:tcMar>
              <w:top w:w="0" w:type="dxa"/>
              <w:left w:w="108" w:type="dxa"/>
              <w:bottom w:w="0" w:type="dxa"/>
              <w:right w:w="108" w:type="dxa"/>
            </w:tcMar>
            <w:vAlign w:val="center"/>
          </w:tcPr>
          <w:p w14:paraId="41ABE0F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8363863"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65B4674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大唐移动通信设备有限公司</w:t>
            </w:r>
          </w:p>
        </w:tc>
        <w:tc>
          <w:tcPr>
            <w:tcW w:w="1728" w:type="dxa"/>
            <w:shd w:val="clear" w:color="auto" w:fill="auto"/>
            <w:tcMar>
              <w:top w:w="0" w:type="dxa"/>
              <w:left w:w="108" w:type="dxa"/>
              <w:bottom w:w="0" w:type="dxa"/>
              <w:right w:w="108" w:type="dxa"/>
            </w:tcMar>
            <w:vAlign w:val="center"/>
          </w:tcPr>
          <w:p w14:paraId="54EA9E9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采购商品</w:t>
            </w:r>
          </w:p>
        </w:tc>
        <w:tc>
          <w:tcPr>
            <w:tcW w:w="1665" w:type="dxa"/>
            <w:shd w:val="clear" w:color="auto" w:fill="auto"/>
            <w:tcMar>
              <w:top w:w="0" w:type="dxa"/>
              <w:left w:w="108" w:type="dxa"/>
              <w:bottom w:w="0" w:type="dxa"/>
              <w:right w:w="108" w:type="dxa"/>
            </w:tcMar>
            <w:vAlign w:val="center"/>
          </w:tcPr>
          <w:p w14:paraId="47D3604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310.63</w:t>
            </w:r>
          </w:p>
        </w:tc>
        <w:tc>
          <w:tcPr>
            <w:tcW w:w="1924" w:type="dxa"/>
            <w:shd w:val="clear" w:color="auto" w:fill="auto"/>
            <w:tcMar>
              <w:top w:w="0" w:type="dxa"/>
              <w:left w:w="108" w:type="dxa"/>
              <w:bottom w:w="0" w:type="dxa"/>
              <w:right w:w="108" w:type="dxa"/>
            </w:tcMar>
            <w:vAlign w:val="center"/>
          </w:tcPr>
          <w:p w14:paraId="13222219" w14:textId="71DB61CB"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1,261.15</w:t>
            </w:r>
          </w:p>
        </w:tc>
        <w:tc>
          <w:tcPr>
            <w:tcW w:w="1554" w:type="dxa"/>
            <w:shd w:val="clear" w:color="auto" w:fill="auto"/>
            <w:tcMar>
              <w:top w:w="0" w:type="dxa"/>
              <w:left w:w="108" w:type="dxa"/>
              <w:bottom w:w="0" w:type="dxa"/>
              <w:right w:w="108" w:type="dxa"/>
            </w:tcMar>
            <w:vAlign w:val="center"/>
          </w:tcPr>
          <w:p w14:paraId="1F82CE6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1,682.03</w:t>
            </w:r>
          </w:p>
        </w:tc>
      </w:tr>
      <w:tr w:rsidR="006416B0" w:rsidRPr="00B4515A" w14:paraId="5D14A7F3"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531E136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大唐移动通信设备有限公司</w:t>
            </w:r>
          </w:p>
        </w:tc>
        <w:tc>
          <w:tcPr>
            <w:tcW w:w="1728" w:type="dxa"/>
            <w:shd w:val="clear" w:color="auto" w:fill="auto"/>
            <w:tcMar>
              <w:top w:w="0" w:type="dxa"/>
              <w:left w:w="108" w:type="dxa"/>
              <w:bottom w:w="0" w:type="dxa"/>
              <w:right w:w="108" w:type="dxa"/>
            </w:tcMar>
            <w:vAlign w:val="center"/>
          </w:tcPr>
          <w:p w14:paraId="43DBC79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6185A06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924" w:type="dxa"/>
            <w:shd w:val="clear" w:color="auto" w:fill="auto"/>
            <w:tcMar>
              <w:top w:w="0" w:type="dxa"/>
              <w:left w:w="108" w:type="dxa"/>
              <w:bottom w:w="0" w:type="dxa"/>
              <w:right w:w="108" w:type="dxa"/>
            </w:tcMar>
            <w:vAlign w:val="center"/>
          </w:tcPr>
          <w:p w14:paraId="5E67B5D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503.21</w:t>
            </w:r>
          </w:p>
        </w:tc>
        <w:tc>
          <w:tcPr>
            <w:tcW w:w="1554" w:type="dxa"/>
            <w:shd w:val="clear" w:color="auto" w:fill="auto"/>
            <w:tcMar>
              <w:top w:w="0" w:type="dxa"/>
              <w:left w:w="108" w:type="dxa"/>
              <w:bottom w:w="0" w:type="dxa"/>
              <w:right w:w="108" w:type="dxa"/>
            </w:tcMar>
            <w:vAlign w:val="center"/>
          </w:tcPr>
          <w:p w14:paraId="4BB7967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9FF5C83"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7C7C091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大唐终端技术有限公司</w:t>
            </w:r>
          </w:p>
        </w:tc>
        <w:tc>
          <w:tcPr>
            <w:tcW w:w="1728" w:type="dxa"/>
            <w:shd w:val="clear" w:color="auto" w:fill="auto"/>
            <w:tcMar>
              <w:top w:w="0" w:type="dxa"/>
              <w:left w:w="108" w:type="dxa"/>
              <w:bottom w:w="0" w:type="dxa"/>
              <w:right w:w="108" w:type="dxa"/>
            </w:tcMar>
            <w:vAlign w:val="center"/>
          </w:tcPr>
          <w:p w14:paraId="3D7696B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097FF99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924" w:type="dxa"/>
            <w:shd w:val="clear" w:color="auto" w:fill="auto"/>
            <w:tcMar>
              <w:top w:w="0" w:type="dxa"/>
              <w:left w:w="108" w:type="dxa"/>
              <w:bottom w:w="0" w:type="dxa"/>
              <w:right w:w="108" w:type="dxa"/>
            </w:tcMar>
            <w:vAlign w:val="center"/>
          </w:tcPr>
          <w:p w14:paraId="0D95ED6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89.62</w:t>
            </w:r>
          </w:p>
        </w:tc>
        <w:tc>
          <w:tcPr>
            <w:tcW w:w="1554" w:type="dxa"/>
            <w:shd w:val="clear" w:color="auto" w:fill="auto"/>
            <w:tcMar>
              <w:top w:w="0" w:type="dxa"/>
              <w:left w:w="108" w:type="dxa"/>
              <w:bottom w:w="0" w:type="dxa"/>
              <w:right w:w="108" w:type="dxa"/>
            </w:tcMar>
            <w:vAlign w:val="center"/>
          </w:tcPr>
          <w:p w14:paraId="4BC1EF1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89.86</w:t>
            </w:r>
          </w:p>
        </w:tc>
      </w:tr>
      <w:tr w:rsidR="006416B0" w:rsidRPr="00B4515A" w14:paraId="2C3D8241"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048D0F2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大唐终端设备有限公司</w:t>
            </w:r>
          </w:p>
        </w:tc>
        <w:tc>
          <w:tcPr>
            <w:tcW w:w="1728" w:type="dxa"/>
            <w:shd w:val="clear" w:color="auto" w:fill="auto"/>
            <w:tcMar>
              <w:top w:w="0" w:type="dxa"/>
              <w:left w:w="108" w:type="dxa"/>
              <w:bottom w:w="0" w:type="dxa"/>
              <w:right w:w="108" w:type="dxa"/>
            </w:tcMar>
            <w:vAlign w:val="center"/>
          </w:tcPr>
          <w:p w14:paraId="328AB41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采购商品</w:t>
            </w:r>
          </w:p>
        </w:tc>
        <w:tc>
          <w:tcPr>
            <w:tcW w:w="1665" w:type="dxa"/>
            <w:shd w:val="clear" w:color="auto" w:fill="auto"/>
            <w:tcMar>
              <w:top w:w="0" w:type="dxa"/>
              <w:left w:w="108" w:type="dxa"/>
              <w:bottom w:w="0" w:type="dxa"/>
              <w:right w:w="108" w:type="dxa"/>
            </w:tcMar>
            <w:vAlign w:val="center"/>
          </w:tcPr>
          <w:p w14:paraId="0E2BB24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85.35</w:t>
            </w:r>
          </w:p>
        </w:tc>
        <w:tc>
          <w:tcPr>
            <w:tcW w:w="1924" w:type="dxa"/>
            <w:shd w:val="clear" w:color="auto" w:fill="auto"/>
            <w:tcMar>
              <w:top w:w="0" w:type="dxa"/>
              <w:left w:w="108" w:type="dxa"/>
              <w:bottom w:w="0" w:type="dxa"/>
              <w:right w:w="108" w:type="dxa"/>
            </w:tcMar>
            <w:vAlign w:val="center"/>
          </w:tcPr>
          <w:p w14:paraId="3D63BC3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7,697.15</w:t>
            </w:r>
          </w:p>
        </w:tc>
        <w:tc>
          <w:tcPr>
            <w:tcW w:w="1554" w:type="dxa"/>
            <w:shd w:val="clear" w:color="auto" w:fill="auto"/>
            <w:tcMar>
              <w:top w:w="0" w:type="dxa"/>
              <w:left w:w="108" w:type="dxa"/>
              <w:bottom w:w="0" w:type="dxa"/>
              <w:right w:w="108" w:type="dxa"/>
            </w:tcMar>
            <w:vAlign w:val="center"/>
          </w:tcPr>
          <w:p w14:paraId="3638631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2,527.18</w:t>
            </w:r>
          </w:p>
        </w:tc>
      </w:tr>
      <w:tr w:rsidR="006416B0" w:rsidRPr="00B4515A" w14:paraId="3E07D44B"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4EBAD3D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电信科学技术第十研究所有限公司</w:t>
            </w:r>
          </w:p>
        </w:tc>
        <w:tc>
          <w:tcPr>
            <w:tcW w:w="1728" w:type="dxa"/>
            <w:shd w:val="clear" w:color="auto" w:fill="auto"/>
            <w:tcMar>
              <w:top w:w="0" w:type="dxa"/>
              <w:left w:w="108" w:type="dxa"/>
              <w:bottom w:w="0" w:type="dxa"/>
              <w:right w:w="108" w:type="dxa"/>
            </w:tcMar>
            <w:vAlign w:val="center"/>
          </w:tcPr>
          <w:p w14:paraId="705E1CAC"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采购商品</w:t>
            </w:r>
          </w:p>
        </w:tc>
        <w:tc>
          <w:tcPr>
            <w:tcW w:w="1665" w:type="dxa"/>
            <w:shd w:val="clear" w:color="auto" w:fill="auto"/>
            <w:tcMar>
              <w:top w:w="0" w:type="dxa"/>
              <w:left w:w="108" w:type="dxa"/>
              <w:bottom w:w="0" w:type="dxa"/>
              <w:right w:w="108" w:type="dxa"/>
            </w:tcMar>
            <w:vAlign w:val="center"/>
          </w:tcPr>
          <w:p w14:paraId="657EE174" w14:textId="77777777" w:rsidR="006416B0" w:rsidRPr="00B4515A" w:rsidRDefault="006416B0" w:rsidP="005860B4">
            <w:pPr>
              <w:adjustRightInd w:val="0"/>
              <w:snapToGrid w:val="0"/>
              <w:jc w:val="right"/>
              <w:rPr>
                <w:rFonts w:ascii="Times New Roman" w:hAnsi="Times New Roman" w:cs="Times New Roman"/>
                <w:color w:val="000000"/>
                <w:sz w:val="21"/>
                <w:szCs w:val="21"/>
              </w:rPr>
            </w:pPr>
          </w:p>
        </w:tc>
        <w:tc>
          <w:tcPr>
            <w:tcW w:w="1924" w:type="dxa"/>
            <w:shd w:val="clear" w:color="auto" w:fill="auto"/>
            <w:tcMar>
              <w:top w:w="0" w:type="dxa"/>
              <w:left w:w="108" w:type="dxa"/>
              <w:bottom w:w="0" w:type="dxa"/>
              <w:right w:w="108" w:type="dxa"/>
            </w:tcMar>
            <w:vAlign w:val="center"/>
          </w:tcPr>
          <w:p w14:paraId="4F9BF96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192.95</w:t>
            </w:r>
          </w:p>
        </w:tc>
        <w:tc>
          <w:tcPr>
            <w:tcW w:w="1554" w:type="dxa"/>
            <w:shd w:val="clear" w:color="auto" w:fill="auto"/>
            <w:tcMar>
              <w:top w:w="0" w:type="dxa"/>
              <w:left w:w="108" w:type="dxa"/>
              <w:bottom w:w="0" w:type="dxa"/>
              <w:right w:w="108" w:type="dxa"/>
            </w:tcMar>
            <w:vAlign w:val="center"/>
          </w:tcPr>
          <w:p w14:paraId="2DBCC61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777.19</w:t>
            </w:r>
          </w:p>
        </w:tc>
      </w:tr>
      <w:tr w:rsidR="006416B0" w:rsidRPr="00B4515A" w14:paraId="1FA68538"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4D6811B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电信科学技术第十研究所有限公司</w:t>
            </w:r>
          </w:p>
        </w:tc>
        <w:tc>
          <w:tcPr>
            <w:tcW w:w="1728" w:type="dxa"/>
            <w:shd w:val="clear" w:color="auto" w:fill="auto"/>
            <w:tcMar>
              <w:top w:w="0" w:type="dxa"/>
              <w:left w:w="108" w:type="dxa"/>
              <w:bottom w:w="0" w:type="dxa"/>
              <w:right w:w="108" w:type="dxa"/>
            </w:tcMar>
            <w:vAlign w:val="center"/>
          </w:tcPr>
          <w:p w14:paraId="2C7C9CD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43995AD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112.32</w:t>
            </w:r>
          </w:p>
        </w:tc>
        <w:tc>
          <w:tcPr>
            <w:tcW w:w="1924" w:type="dxa"/>
            <w:shd w:val="clear" w:color="auto" w:fill="auto"/>
            <w:tcMar>
              <w:top w:w="0" w:type="dxa"/>
              <w:left w:w="108" w:type="dxa"/>
              <w:bottom w:w="0" w:type="dxa"/>
              <w:right w:w="108" w:type="dxa"/>
            </w:tcMar>
            <w:vAlign w:val="center"/>
          </w:tcPr>
          <w:p w14:paraId="6D3DC9AE" w14:textId="08439EFD"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304.86</w:t>
            </w:r>
          </w:p>
        </w:tc>
        <w:tc>
          <w:tcPr>
            <w:tcW w:w="1554" w:type="dxa"/>
            <w:shd w:val="clear" w:color="auto" w:fill="auto"/>
            <w:tcMar>
              <w:top w:w="0" w:type="dxa"/>
              <w:left w:w="108" w:type="dxa"/>
              <w:bottom w:w="0" w:type="dxa"/>
              <w:right w:w="108" w:type="dxa"/>
            </w:tcMar>
            <w:vAlign w:val="center"/>
          </w:tcPr>
          <w:p w14:paraId="766F1C88" w14:textId="253700B1"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352.70</w:t>
            </w:r>
          </w:p>
        </w:tc>
      </w:tr>
      <w:tr w:rsidR="006416B0" w:rsidRPr="00B4515A" w14:paraId="6783CE16"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525179E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电信科学技术第四研究所有限公司</w:t>
            </w:r>
          </w:p>
        </w:tc>
        <w:tc>
          <w:tcPr>
            <w:tcW w:w="1728" w:type="dxa"/>
            <w:shd w:val="clear" w:color="auto" w:fill="auto"/>
            <w:tcMar>
              <w:top w:w="0" w:type="dxa"/>
              <w:left w:w="108" w:type="dxa"/>
              <w:bottom w:w="0" w:type="dxa"/>
              <w:right w:w="108" w:type="dxa"/>
            </w:tcMar>
            <w:vAlign w:val="center"/>
          </w:tcPr>
          <w:p w14:paraId="1ABE747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178732D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19.44</w:t>
            </w:r>
          </w:p>
        </w:tc>
        <w:tc>
          <w:tcPr>
            <w:tcW w:w="1924" w:type="dxa"/>
            <w:shd w:val="clear" w:color="auto" w:fill="auto"/>
            <w:tcMar>
              <w:top w:w="0" w:type="dxa"/>
              <w:left w:w="108" w:type="dxa"/>
              <w:bottom w:w="0" w:type="dxa"/>
              <w:right w:w="108" w:type="dxa"/>
            </w:tcMar>
            <w:vAlign w:val="center"/>
          </w:tcPr>
          <w:p w14:paraId="38B5C5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21.10</w:t>
            </w:r>
          </w:p>
        </w:tc>
        <w:tc>
          <w:tcPr>
            <w:tcW w:w="1554" w:type="dxa"/>
            <w:shd w:val="clear" w:color="auto" w:fill="auto"/>
            <w:tcMar>
              <w:top w:w="0" w:type="dxa"/>
              <w:left w:w="108" w:type="dxa"/>
              <w:bottom w:w="0" w:type="dxa"/>
              <w:right w:w="108" w:type="dxa"/>
            </w:tcMar>
            <w:vAlign w:val="center"/>
          </w:tcPr>
          <w:p w14:paraId="3077304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23.47</w:t>
            </w:r>
          </w:p>
        </w:tc>
      </w:tr>
      <w:tr w:rsidR="006416B0" w:rsidRPr="00B4515A" w14:paraId="1CD89BC9"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468607F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电信科学技术研究院有限公司</w:t>
            </w:r>
          </w:p>
        </w:tc>
        <w:tc>
          <w:tcPr>
            <w:tcW w:w="1728" w:type="dxa"/>
            <w:shd w:val="clear" w:color="auto" w:fill="auto"/>
            <w:tcMar>
              <w:top w:w="0" w:type="dxa"/>
              <w:left w:w="108" w:type="dxa"/>
              <w:bottom w:w="0" w:type="dxa"/>
              <w:right w:w="108" w:type="dxa"/>
            </w:tcMar>
            <w:vAlign w:val="center"/>
          </w:tcPr>
          <w:p w14:paraId="1EEC971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756D8A6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924" w:type="dxa"/>
            <w:shd w:val="clear" w:color="auto" w:fill="auto"/>
            <w:tcMar>
              <w:top w:w="0" w:type="dxa"/>
              <w:left w:w="108" w:type="dxa"/>
              <w:bottom w:w="0" w:type="dxa"/>
              <w:right w:w="108" w:type="dxa"/>
            </w:tcMar>
            <w:vAlign w:val="center"/>
          </w:tcPr>
          <w:p w14:paraId="06634F9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1.35</w:t>
            </w:r>
          </w:p>
        </w:tc>
        <w:tc>
          <w:tcPr>
            <w:tcW w:w="1554" w:type="dxa"/>
            <w:shd w:val="clear" w:color="auto" w:fill="auto"/>
            <w:tcMar>
              <w:top w:w="0" w:type="dxa"/>
              <w:left w:w="108" w:type="dxa"/>
              <w:bottom w:w="0" w:type="dxa"/>
              <w:right w:w="108" w:type="dxa"/>
            </w:tcMar>
            <w:vAlign w:val="center"/>
          </w:tcPr>
          <w:p w14:paraId="2AF1E48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46.69</w:t>
            </w:r>
          </w:p>
        </w:tc>
      </w:tr>
      <w:tr w:rsidR="006416B0" w:rsidRPr="00B4515A" w14:paraId="153B0762"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3CDD1CD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电信科学技术仪表研究所有限公司</w:t>
            </w:r>
          </w:p>
        </w:tc>
        <w:tc>
          <w:tcPr>
            <w:tcW w:w="1728" w:type="dxa"/>
            <w:shd w:val="clear" w:color="auto" w:fill="auto"/>
            <w:tcMar>
              <w:top w:w="0" w:type="dxa"/>
              <w:left w:w="108" w:type="dxa"/>
              <w:bottom w:w="0" w:type="dxa"/>
              <w:right w:w="108" w:type="dxa"/>
            </w:tcMar>
            <w:vAlign w:val="center"/>
          </w:tcPr>
          <w:p w14:paraId="09A89ED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24E1F75F" w14:textId="4A22434B"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30.53</w:t>
            </w:r>
          </w:p>
        </w:tc>
        <w:tc>
          <w:tcPr>
            <w:tcW w:w="1924" w:type="dxa"/>
            <w:shd w:val="clear" w:color="auto" w:fill="auto"/>
            <w:tcMar>
              <w:top w:w="0" w:type="dxa"/>
              <w:left w:w="108" w:type="dxa"/>
              <w:bottom w:w="0" w:type="dxa"/>
              <w:right w:w="108" w:type="dxa"/>
            </w:tcMar>
            <w:vAlign w:val="center"/>
          </w:tcPr>
          <w:p w14:paraId="0BDBAE8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554" w:type="dxa"/>
            <w:shd w:val="clear" w:color="auto" w:fill="auto"/>
            <w:tcMar>
              <w:top w:w="0" w:type="dxa"/>
              <w:left w:w="108" w:type="dxa"/>
              <w:bottom w:w="0" w:type="dxa"/>
              <w:right w:w="108" w:type="dxa"/>
            </w:tcMar>
            <w:vAlign w:val="center"/>
          </w:tcPr>
          <w:p w14:paraId="05C2978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87.53</w:t>
            </w:r>
          </w:p>
        </w:tc>
      </w:tr>
      <w:tr w:rsidR="006416B0" w:rsidRPr="00B4515A" w14:paraId="5D97C76B"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6A2CE4C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lastRenderedPageBreak/>
              <w:t>联芯科技有限公司</w:t>
            </w:r>
          </w:p>
        </w:tc>
        <w:tc>
          <w:tcPr>
            <w:tcW w:w="1728" w:type="dxa"/>
            <w:shd w:val="clear" w:color="auto" w:fill="auto"/>
            <w:tcMar>
              <w:top w:w="0" w:type="dxa"/>
              <w:left w:w="108" w:type="dxa"/>
              <w:bottom w:w="0" w:type="dxa"/>
              <w:right w:w="108" w:type="dxa"/>
            </w:tcMar>
            <w:vAlign w:val="center"/>
          </w:tcPr>
          <w:p w14:paraId="5750C24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503971B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46.38</w:t>
            </w:r>
          </w:p>
        </w:tc>
        <w:tc>
          <w:tcPr>
            <w:tcW w:w="1924" w:type="dxa"/>
            <w:shd w:val="clear" w:color="auto" w:fill="auto"/>
            <w:tcMar>
              <w:top w:w="0" w:type="dxa"/>
              <w:left w:w="108" w:type="dxa"/>
              <w:bottom w:w="0" w:type="dxa"/>
              <w:right w:w="108" w:type="dxa"/>
            </w:tcMar>
            <w:vAlign w:val="center"/>
          </w:tcPr>
          <w:p w14:paraId="46CD1AA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166.67</w:t>
            </w:r>
          </w:p>
        </w:tc>
        <w:tc>
          <w:tcPr>
            <w:tcW w:w="1554" w:type="dxa"/>
            <w:shd w:val="clear" w:color="auto" w:fill="auto"/>
            <w:tcMar>
              <w:top w:w="0" w:type="dxa"/>
              <w:left w:w="108" w:type="dxa"/>
              <w:bottom w:w="0" w:type="dxa"/>
              <w:right w:w="108" w:type="dxa"/>
            </w:tcMar>
            <w:vAlign w:val="center"/>
          </w:tcPr>
          <w:p w14:paraId="45836A7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137.77</w:t>
            </w:r>
          </w:p>
        </w:tc>
      </w:tr>
      <w:tr w:rsidR="006416B0" w:rsidRPr="00B4515A" w14:paraId="659E1938"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22CA479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数据通信科学技术研究所</w:t>
            </w:r>
          </w:p>
        </w:tc>
        <w:tc>
          <w:tcPr>
            <w:tcW w:w="1728" w:type="dxa"/>
            <w:shd w:val="clear" w:color="auto" w:fill="auto"/>
            <w:tcMar>
              <w:top w:w="0" w:type="dxa"/>
              <w:left w:w="108" w:type="dxa"/>
              <w:bottom w:w="0" w:type="dxa"/>
              <w:right w:w="108" w:type="dxa"/>
            </w:tcMar>
            <w:vAlign w:val="center"/>
          </w:tcPr>
          <w:p w14:paraId="4528242C"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3000830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146.03</w:t>
            </w:r>
          </w:p>
        </w:tc>
        <w:tc>
          <w:tcPr>
            <w:tcW w:w="1924" w:type="dxa"/>
            <w:shd w:val="clear" w:color="auto" w:fill="auto"/>
            <w:tcMar>
              <w:top w:w="0" w:type="dxa"/>
              <w:left w:w="108" w:type="dxa"/>
              <w:bottom w:w="0" w:type="dxa"/>
              <w:right w:w="108" w:type="dxa"/>
            </w:tcMar>
            <w:vAlign w:val="center"/>
          </w:tcPr>
          <w:p w14:paraId="1EB0661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438.10</w:t>
            </w:r>
          </w:p>
        </w:tc>
        <w:tc>
          <w:tcPr>
            <w:tcW w:w="1554" w:type="dxa"/>
            <w:shd w:val="clear" w:color="auto" w:fill="auto"/>
            <w:tcMar>
              <w:top w:w="0" w:type="dxa"/>
              <w:left w:w="108" w:type="dxa"/>
              <w:bottom w:w="0" w:type="dxa"/>
              <w:right w:w="108" w:type="dxa"/>
            </w:tcMar>
            <w:vAlign w:val="center"/>
          </w:tcPr>
          <w:p w14:paraId="704A189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438.10</w:t>
            </w:r>
          </w:p>
        </w:tc>
      </w:tr>
      <w:tr w:rsidR="006416B0" w:rsidRPr="00B4515A" w14:paraId="27604A6D"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7D3A546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西安大唐电信有限公司</w:t>
            </w:r>
          </w:p>
        </w:tc>
        <w:tc>
          <w:tcPr>
            <w:tcW w:w="1728" w:type="dxa"/>
            <w:shd w:val="clear" w:color="auto" w:fill="auto"/>
            <w:tcMar>
              <w:top w:w="0" w:type="dxa"/>
              <w:left w:w="108" w:type="dxa"/>
              <w:bottom w:w="0" w:type="dxa"/>
              <w:right w:w="108" w:type="dxa"/>
            </w:tcMar>
            <w:vAlign w:val="center"/>
          </w:tcPr>
          <w:p w14:paraId="41C401A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17812E2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924" w:type="dxa"/>
            <w:shd w:val="clear" w:color="auto" w:fill="auto"/>
            <w:tcMar>
              <w:top w:w="0" w:type="dxa"/>
              <w:left w:w="108" w:type="dxa"/>
              <w:bottom w:w="0" w:type="dxa"/>
              <w:right w:w="108" w:type="dxa"/>
            </w:tcMar>
            <w:vAlign w:val="center"/>
          </w:tcPr>
          <w:p w14:paraId="51D5568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326.72</w:t>
            </w:r>
          </w:p>
        </w:tc>
        <w:tc>
          <w:tcPr>
            <w:tcW w:w="1554" w:type="dxa"/>
            <w:shd w:val="clear" w:color="auto" w:fill="auto"/>
            <w:tcMar>
              <w:top w:w="0" w:type="dxa"/>
              <w:left w:w="108" w:type="dxa"/>
              <w:bottom w:w="0" w:type="dxa"/>
              <w:right w:w="108" w:type="dxa"/>
            </w:tcMar>
            <w:vAlign w:val="center"/>
          </w:tcPr>
          <w:p w14:paraId="00646AC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100.21</w:t>
            </w:r>
          </w:p>
        </w:tc>
      </w:tr>
      <w:tr w:rsidR="006416B0" w:rsidRPr="00B4515A" w14:paraId="5509134B"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3414090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西安通和电信设备检测有限公司</w:t>
            </w:r>
          </w:p>
        </w:tc>
        <w:tc>
          <w:tcPr>
            <w:tcW w:w="1728" w:type="dxa"/>
            <w:shd w:val="clear" w:color="auto" w:fill="auto"/>
            <w:tcMar>
              <w:top w:w="0" w:type="dxa"/>
              <w:left w:w="108" w:type="dxa"/>
              <w:bottom w:w="0" w:type="dxa"/>
              <w:right w:w="108" w:type="dxa"/>
            </w:tcMar>
            <w:vAlign w:val="center"/>
          </w:tcPr>
          <w:p w14:paraId="7FABE43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005F813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924" w:type="dxa"/>
            <w:shd w:val="clear" w:color="auto" w:fill="auto"/>
            <w:tcMar>
              <w:top w:w="0" w:type="dxa"/>
              <w:left w:w="108" w:type="dxa"/>
              <w:bottom w:w="0" w:type="dxa"/>
              <w:right w:w="108" w:type="dxa"/>
            </w:tcMar>
            <w:vAlign w:val="center"/>
          </w:tcPr>
          <w:p w14:paraId="6AED672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4.01</w:t>
            </w:r>
          </w:p>
        </w:tc>
        <w:tc>
          <w:tcPr>
            <w:tcW w:w="1554" w:type="dxa"/>
            <w:shd w:val="clear" w:color="auto" w:fill="auto"/>
            <w:tcMar>
              <w:top w:w="0" w:type="dxa"/>
              <w:left w:w="108" w:type="dxa"/>
              <w:bottom w:w="0" w:type="dxa"/>
              <w:right w:w="108" w:type="dxa"/>
            </w:tcMar>
            <w:vAlign w:val="center"/>
          </w:tcPr>
          <w:p w14:paraId="309B689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FF5D9A3"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5836104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兴唐通信科技有限公司</w:t>
            </w:r>
          </w:p>
        </w:tc>
        <w:tc>
          <w:tcPr>
            <w:tcW w:w="1728" w:type="dxa"/>
            <w:shd w:val="clear" w:color="auto" w:fill="auto"/>
            <w:tcMar>
              <w:top w:w="0" w:type="dxa"/>
              <w:left w:w="108" w:type="dxa"/>
              <w:bottom w:w="0" w:type="dxa"/>
              <w:right w:w="108" w:type="dxa"/>
            </w:tcMar>
            <w:vAlign w:val="center"/>
          </w:tcPr>
          <w:p w14:paraId="2D1BE43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采购商品</w:t>
            </w:r>
          </w:p>
        </w:tc>
        <w:tc>
          <w:tcPr>
            <w:tcW w:w="1665" w:type="dxa"/>
            <w:shd w:val="clear" w:color="auto" w:fill="auto"/>
            <w:tcMar>
              <w:top w:w="0" w:type="dxa"/>
              <w:left w:w="108" w:type="dxa"/>
              <w:bottom w:w="0" w:type="dxa"/>
              <w:right w:w="108" w:type="dxa"/>
            </w:tcMar>
            <w:vAlign w:val="center"/>
          </w:tcPr>
          <w:p w14:paraId="220FCD9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924" w:type="dxa"/>
            <w:shd w:val="clear" w:color="auto" w:fill="auto"/>
            <w:tcMar>
              <w:top w:w="0" w:type="dxa"/>
              <w:left w:w="108" w:type="dxa"/>
              <w:bottom w:w="0" w:type="dxa"/>
              <w:right w:w="108" w:type="dxa"/>
            </w:tcMar>
            <w:vAlign w:val="center"/>
          </w:tcPr>
          <w:p w14:paraId="534E834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76.27</w:t>
            </w:r>
          </w:p>
        </w:tc>
        <w:tc>
          <w:tcPr>
            <w:tcW w:w="1554" w:type="dxa"/>
            <w:shd w:val="clear" w:color="auto" w:fill="auto"/>
            <w:tcMar>
              <w:top w:w="0" w:type="dxa"/>
              <w:left w:w="108" w:type="dxa"/>
              <w:bottom w:w="0" w:type="dxa"/>
              <w:right w:w="108" w:type="dxa"/>
            </w:tcMar>
            <w:vAlign w:val="center"/>
          </w:tcPr>
          <w:p w14:paraId="0610075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1,266.20</w:t>
            </w:r>
          </w:p>
        </w:tc>
      </w:tr>
      <w:tr w:rsidR="006416B0" w:rsidRPr="00B4515A" w14:paraId="76DFBEA0"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05AB1DE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北京大唐物业管理有限公司</w:t>
            </w:r>
          </w:p>
        </w:tc>
        <w:tc>
          <w:tcPr>
            <w:tcW w:w="1728" w:type="dxa"/>
            <w:shd w:val="clear" w:color="auto" w:fill="auto"/>
            <w:tcMar>
              <w:top w:w="0" w:type="dxa"/>
              <w:left w:w="108" w:type="dxa"/>
              <w:bottom w:w="0" w:type="dxa"/>
              <w:right w:w="108" w:type="dxa"/>
            </w:tcMar>
            <w:vAlign w:val="center"/>
          </w:tcPr>
          <w:p w14:paraId="10A7F38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1636412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19.16</w:t>
            </w:r>
          </w:p>
        </w:tc>
        <w:tc>
          <w:tcPr>
            <w:tcW w:w="1924" w:type="dxa"/>
            <w:shd w:val="clear" w:color="auto" w:fill="auto"/>
            <w:tcMar>
              <w:top w:w="0" w:type="dxa"/>
              <w:left w:w="108" w:type="dxa"/>
              <w:bottom w:w="0" w:type="dxa"/>
              <w:right w:w="108" w:type="dxa"/>
            </w:tcMar>
            <w:vAlign w:val="center"/>
          </w:tcPr>
          <w:p w14:paraId="3A6D8CF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75.42</w:t>
            </w:r>
          </w:p>
        </w:tc>
        <w:tc>
          <w:tcPr>
            <w:tcW w:w="1554" w:type="dxa"/>
            <w:shd w:val="clear" w:color="auto" w:fill="auto"/>
            <w:tcMar>
              <w:top w:w="0" w:type="dxa"/>
              <w:left w:w="108" w:type="dxa"/>
              <w:bottom w:w="0" w:type="dxa"/>
              <w:right w:w="108" w:type="dxa"/>
            </w:tcMar>
            <w:vAlign w:val="center"/>
          </w:tcPr>
          <w:p w14:paraId="17C4E05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55.15</w:t>
            </w:r>
          </w:p>
        </w:tc>
      </w:tr>
      <w:tr w:rsidR="006416B0" w:rsidRPr="00B4515A" w14:paraId="6F403450"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00A0E97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北京通和实益电信科学技术研究所有限公司</w:t>
            </w:r>
          </w:p>
        </w:tc>
        <w:tc>
          <w:tcPr>
            <w:tcW w:w="1728" w:type="dxa"/>
            <w:shd w:val="clear" w:color="auto" w:fill="auto"/>
            <w:tcMar>
              <w:top w:w="0" w:type="dxa"/>
              <w:left w:w="108" w:type="dxa"/>
              <w:bottom w:w="0" w:type="dxa"/>
              <w:right w:w="108" w:type="dxa"/>
            </w:tcMar>
            <w:vAlign w:val="center"/>
          </w:tcPr>
          <w:p w14:paraId="3829AFC8" w14:textId="1F7C688B"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324969E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2.83</w:t>
            </w:r>
          </w:p>
        </w:tc>
        <w:tc>
          <w:tcPr>
            <w:tcW w:w="1924" w:type="dxa"/>
            <w:shd w:val="clear" w:color="auto" w:fill="auto"/>
            <w:tcMar>
              <w:top w:w="0" w:type="dxa"/>
              <w:left w:w="108" w:type="dxa"/>
              <w:bottom w:w="0" w:type="dxa"/>
              <w:right w:w="108" w:type="dxa"/>
            </w:tcMar>
            <w:vAlign w:val="center"/>
          </w:tcPr>
          <w:p w14:paraId="45712EA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554" w:type="dxa"/>
            <w:shd w:val="clear" w:color="auto" w:fill="auto"/>
            <w:tcMar>
              <w:top w:w="0" w:type="dxa"/>
              <w:left w:w="108" w:type="dxa"/>
              <w:bottom w:w="0" w:type="dxa"/>
              <w:right w:w="108" w:type="dxa"/>
            </w:tcMar>
            <w:vAlign w:val="center"/>
          </w:tcPr>
          <w:p w14:paraId="2217345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CBB9A2C"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0D23D62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大唐半导体设计有限公司</w:t>
            </w:r>
          </w:p>
        </w:tc>
        <w:tc>
          <w:tcPr>
            <w:tcW w:w="1728" w:type="dxa"/>
            <w:shd w:val="clear" w:color="auto" w:fill="auto"/>
            <w:tcMar>
              <w:top w:w="0" w:type="dxa"/>
              <w:left w:w="108" w:type="dxa"/>
              <w:bottom w:w="0" w:type="dxa"/>
              <w:right w:w="108" w:type="dxa"/>
            </w:tcMar>
            <w:vAlign w:val="center"/>
          </w:tcPr>
          <w:p w14:paraId="32DC529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采购商品</w:t>
            </w:r>
          </w:p>
        </w:tc>
        <w:tc>
          <w:tcPr>
            <w:tcW w:w="1665" w:type="dxa"/>
            <w:shd w:val="clear" w:color="auto" w:fill="auto"/>
            <w:tcMar>
              <w:top w:w="0" w:type="dxa"/>
              <w:left w:w="108" w:type="dxa"/>
              <w:bottom w:w="0" w:type="dxa"/>
              <w:right w:w="108" w:type="dxa"/>
            </w:tcMar>
            <w:vAlign w:val="center"/>
          </w:tcPr>
          <w:p w14:paraId="4959475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924" w:type="dxa"/>
            <w:shd w:val="clear" w:color="auto" w:fill="auto"/>
            <w:tcMar>
              <w:top w:w="0" w:type="dxa"/>
              <w:left w:w="108" w:type="dxa"/>
              <w:bottom w:w="0" w:type="dxa"/>
              <w:right w:w="108" w:type="dxa"/>
            </w:tcMar>
            <w:vAlign w:val="center"/>
          </w:tcPr>
          <w:p w14:paraId="0111CDD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554" w:type="dxa"/>
            <w:shd w:val="clear" w:color="auto" w:fill="auto"/>
            <w:tcMar>
              <w:top w:w="0" w:type="dxa"/>
              <w:left w:w="108" w:type="dxa"/>
              <w:bottom w:w="0" w:type="dxa"/>
              <w:right w:w="108" w:type="dxa"/>
            </w:tcMar>
            <w:vAlign w:val="center"/>
          </w:tcPr>
          <w:p w14:paraId="231160C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40.36</w:t>
            </w:r>
          </w:p>
        </w:tc>
      </w:tr>
      <w:tr w:rsidR="006416B0" w:rsidRPr="00B4515A" w14:paraId="719F5E54"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74167F6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大唐实创（北京）投资有限公司</w:t>
            </w:r>
          </w:p>
        </w:tc>
        <w:tc>
          <w:tcPr>
            <w:tcW w:w="1728" w:type="dxa"/>
            <w:shd w:val="clear" w:color="auto" w:fill="auto"/>
            <w:tcMar>
              <w:top w:w="0" w:type="dxa"/>
              <w:left w:w="108" w:type="dxa"/>
              <w:bottom w:w="0" w:type="dxa"/>
              <w:right w:w="108" w:type="dxa"/>
            </w:tcMar>
            <w:vAlign w:val="center"/>
          </w:tcPr>
          <w:p w14:paraId="1E23A7B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接受劳务及其他</w:t>
            </w:r>
          </w:p>
        </w:tc>
        <w:tc>
          <w:tcPr>
            <w:tcW w:w="1665" w:type="dxa"/>
            <w:shd w:val="clear" w:color="auto" w:fill="auto"/>
            <w:tcMar>
              <w:top w:w="0" w:type="dxa"/>
              <w:left w:w="108" w:type="dxa"/>
              <w:bottom w:w="0" w:type="dxa"/>
              <w:right w:w="108" w:type="dxa"/>
            </w:tcMar>
            <w:vAlign w:val="center"/>
          </w:tcPr>
          <w:p w14:paraId="58E5914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106.79</w:t>
            </w:r>
          </w:p>
        </w:tc>
        <w:tc>
          <w:tcPr>
            <w:tcW w:w="1924" w:type="dxa"/>
            <w:shd w:val="clear" w:color="auto" w:fill="auto"/>
            <w:tcMar>
              <w:top w:w="0" w:type="dxa"/>
              <w:left w:w="108" w:type="dxa"/>
              <w:bottom w:w="0" w:type="dxa"/>
              <w:right w:w="108" w:type="dxa"/>
            </w:tcMar>
            <w:vAlign w:val="center"/>
          </w:tcPr>
          <w:p w14:paraId="7A028E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276.59</w:t>
            </w:r>
          </w:p>
        </w:tc>
        <w:tc>
          <w:tcPr>
            <w:tcW w:w="1554" w:type="dxa"/>
            <w:shd w:val="clear" w:color="auto" w:fill="auto"/>
            <w:tcMar>
              <w:top w:w="0" w:type="dxa"/>
              <w:left w:w="108" w:type="dxa"/>
              <w:bottom w:w="0" w:type="dxa"/>
              <w:right w:w="108" w:type="dxa"/>
            </w:tcMar>
            <w:vAlign w:val="center"/>
          </w:tcPr>
          <w:p w14:paraId="4F18486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221.07</w:t>
            </w:r>
          </w:p>
        </w:tc>
      </w:tr>
      <w:tr w:rsidR="00F12218" w:rsidRPr="00B4515A" w14:paraId="3A4914CB" w14:textId="77777777" w:rsidTr="006100BC">
        <w:trPr>
          <w:trHeight w:val="340"/>
          <w:jc w:val="center"/>
        </w:trPr>
        <w:tc>
          <w:tcPr>
            <w:tcW w:w="1893" w:type="dxa"/>
            <w:shd w:val="clear" w:color="auto" w:fill="auto"/>
            <w:tcMar>
              <w:top w:w="0" w:type="dxa"/>
              <w:left w:w="108" w:type="dxa"/>
              <w:bottom w:w="0" w:type="dxa"/>
              <w:right w:w="108" w:type="dxa"/>
            </w:tcMar>
            <w:vAlign w:val="center"/>
          </w:tcPr>
          <w:p w14:paraId="15A7129A" w14:textId="37F47AB2" w:rsidR="00F12218" w:rsidRPr="00B4515A" w:rsidRDefault="00F12218"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中信科移动通信技术有限公司</w:t>
            </w:r>
          </w:p>
        </w:tc>
        <w:tc>
          <w:tcPr>
            <w:tcW w:w="1728" w:type="dxa"/>
            <w:shd w:val="clear" w:color="auto" w:fill="auto"/>
            <w:tcMar>
              <w:top w:w="0" w:type="dxa"/>
              <w:left w:w="108" w:type="dxa"/>
              <w:bottom w:w="0" w:type="dxa"/>
              <w:right w:w="108" w:type="dxa"/>
            </w:tcMar>
            <w:vAlign w:val="center"/>
          </w:tcPr>
          <w:p w14:paraId="45816DD2" w14:textId="76CBC12E" w:rsidR="00F12218" w:rsidRPr="00B4515A" w:rsidRDefault="00F12218" w:rsidP="00EE238F">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采购商品</w:t>
            </w:r>
          </w:p>
        </w:tc>
        <w:tc>
          <w:tcPr>
            <w:tcW w:w="1665" w:type="dxa"/>
            <w:shd w:val="clear" w:color="auto" w:fill="auto"/>
            <w:tcMar>
              <w:top w:w="0" w:type="dxa"/>
              <w:left w:w="108" w:type="dxa"/>
              <w:bottom w:w="0" w:type="dxa"/>
              <w:right w:w="108" w:type="dxa"/>
            </w:tcMar>
            <w:vAlign w:val="center"/>
          </w:tcPr>
          <w:p w14:paraId="115EDCE5" w14:textId="09B54195" w:rsidR="00F12218" w:rsidRPr="00B4515A" w:rsidRDefault="00F12218"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924" w:type="dxa"/>
            <w:shd w:val="clear" w:color="auto" w:fill="auto"/>
            <w:tcMar>
              <w:top w:w="0" w:type="dxa"/>
              <w:left w:w="108" w:type="dxa"/>
              <w:bottom w:w="0" w:type="dxa"/>
              <w:right w:w="108" w:type="dxa"/>
            </w:tcMar>
            <w:vAlign w:val="center"/>
          </w:tcPr>
          <w:p w14:paraId="7F4CFB3A" w14:textId="32CA5C61" w:rsidR="00F12218" w:rsidRPr="00B4515A" w:rsidRDefault="00F12218"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120.44</w:t>
            </w:r>
          </w:p>
        </w:tc>
        <w:tc>
          <w:tcPr>
            <w:tcW w:w="1554" w:type="dxa"/>
            <w:shd w:val="clear" w:color="auto" w:fill="auto"/>
            <w:tcMar>
              <w:top w:w="0" w:type="dxa"/>
              <w:left w:w="108" w:type="dxa"/>
              <w:bottom w:w="0" w:type="dxa"/>
              <w:right w:w="108" w:type="dxa"/>
            </w:tcMar>
            <w:vAlign w:val="center"/>
          </w:tcPr>
          <w:p w14:paraId="474EEF8F" w14:textId="09A1AF40" w:rsidR="00F12218" w:rsidRPr="00B4515A" w:rsidRDefault="00F12218"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B8ED37D" w14:textId="77777777" w:rsidTr="006100BC">
        <w:trPr>
          <w:trHeight w:val="340"/>
          <w:jc w:val="center"/>
        </w:trPr>
        <w:tc>
          <w:tcPr>
            <w:tcW w:w="3621" w:type="dxa"/>
            <w:gridSpan w:val="2"/>
            <w:shd w:val="clear" w:color="auto" w:fill="auto"/>
            <w:tcMar>
              <w:top w:w="0" w:type="dxa"/>
              <w:left w:w="108" w:type="dxa"/>
              <w:bottom w:w="0" w:type="dxa"/>
              <w:right w:w="108" w:type="dxa"/>
            </w:tcMar>
            <w:vAlign w:val="center"/>
          </w:tcPr>
          <w:p w14:paraId="09F2A977"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合计</w:t>
            </w:r>
          </w:p>
        </w:tc>
        <w:tc>
          <w:tcPr>
            <w:tcW w:w="1665" w:type="dxa"/>
            <w:shd w:val="clear" w:color="auto" w:fill="auto"/>
            <w:tcMar>
              <w:top w:w="0" w:type="dxa"/>
              <w:left w:w="108" w:type="dxa"/>
              <w:bottom w:w="0" w:type="dxa"/>
              <w:right w:w="108" w:type="dxa"/>
            </w:tcMar>
            <w:vAlign w:val="center"/>
          </w:tcPr>
          <w:p w14:paraId="3D5BF1E7" w14:textId="3AE5B4CB" w:rsidR="006416B0" w:rsidRPr="00B4515A" w:rsidRDefault="001630D6" w:rsidP="005860B4">
            <w:pPr>
              <w:adjustRightInd w:val="0"/>
              <w:snapToGrid w:val="0"/>
              <w:jc w:val="right"/>
              <w:rPr>
                <w:rFonts w:ascii="Times New Roman" w:hAnsi="Times New Roman" w:cs="Times New Roman"/>
                <w:b/>
                <w:color w:val="000000"/>
                <w:sz w:val="21"/>
                <w:szCs w:val="21"/>
              </w:rPr>
            </w:pPr>
            <w:r w:rsidRPr="00B4515A">
              <w:rPr>
                <w:rFonts w:ascii="Times New Roman" w:eastAsia="等线" w:hAnsi="Times New Roman" w:cs="Times New Roman"/>
                <w:b/>
                <w:color w:val="000000"/>
                <w:sz w:val="21"/>
                <w:szCs w:val="21"/>
              </w:rPr>
              <w:t xml:space="preserve">929.10 </w:t>
            </w:r>
            <w:r w:rsidR="005E58C1" w:rsidRPr="00B4515A">
              <w:rPr>
                <w:rFonts w:ascii="Times New Roman" w:eastAsia="等线" w:hAnsi="Times New Roman" w:cs="Times New Roman"/>
                <w:b/>
                <w:color w:val="000000"/>
                <w:sz w:val="21"/>
                <w:szCs w:val="21"/>
              </w:rPr>
              <w:t xml:space="preserve"> </w:t>
            </w:r>
          </w:p>
        </w:tc>
        <w:tc>
          <w:tcPr>
            <w:tcW w:w="1924" w:type="dxa"/>
            <w:shd w:val="clear" w:color="auto" w:fill="auto"/>
            <w:tcMar>
              <w:top w:w="0" w:type="dxa"/>
              <w:left w:w="108" w:type="dxa"/>
              <w:bottom w:w="0" w:type="dxa"/>
              <w:right w:w="108" w:type="dxa"/>
            </w:tcMar>
            <w:vAlign w:val="center"/>
          </w:tcPr>
          <w:p w14:paraId="0B5C0330" w14:textId="1955AF22" w:rsidR="006416B0" w:rsidRPr="00B4515A" w:rsidRDefault="00F12218" w:rsidP="00EE238F">
            <w:pPr>
              <w:jc w:val="right"/>
              <w:rPr>
                <w:rFonts w:ascii="Times New Roman" w:eastAsia="等线" w:hAnsi="Times New Roman" w:cs="Times New Roman"/>
                <w:b/>
                <w:bCs/>
                <w:color w:val="000000"/>
                <w:sz w:val="21"/>
                <w:szCs w:val="21"/>
              </w:rPr>
            </w:pPr>
            <w:r w:rsidRPr="00B4515A">
              <w:rPr>
                <w:rFonts w:ascii="Times New Roman" w:eastAsia="等线" w:hAnsi="Times New Roman" w:cs="Times New Roman"/>
                <w:b/>
                <w:bCs/>
                <w:color w:val="000000"/>
                <w:sz w:val="21"/>
                <w:szCs w:val="21"/>
              </w:rPr>
              <w:t xml:space="preserve">  13,429.84 </w:t>
            </w:r>
          </w:p>
        </w:tc>
        <w:tc>
          <w:tcPr>
            <w:tcW w:w="1554" w:type="dxa"/>
            <w:shd w:val="clear" w:color="auto" w:fill="auto"/>
            <w:tcMar>
              <w:top w:w="0" w:type="dxa"/>
              <w:left w:w="108" w:type="dxa"/>
              <w:bottom w:w="0" w:type="dxa"/>
              <w:right w:w="108" w:type="dxa"/>
            </w:tcMar>
            <w:vAlign w:val="center"/>
          </w:tcPr>
          <w:p w14:paraId="63F2FADD" w14:textId="072C6799"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eastAsia="等线" w:hAnsi="Times New Roman" w:cs="Times New Roman"/>
                <w:b/>
                <w:color w:val="000000"/>
                <w:sz w:val="21"/>
                <w:szCs w:val="21"/>
              </w:rPr>
              <w:t xml:space="preserve"> </w:t>
            </w:r>
            <w:r w:rsidR="001630D6" w:rsidRPr="00B4515A">
              <w:rPr>
                <w:rFonts w:ascii="Times New Roman" w:eastAsia="等线" w:hAnsi="Times New Roman" w:cs="Times New Roman"/>
                <w:b/>
                <w:color w:val="000000"/>
                <w:sz w:val="21"/>
                <w:szCs w:val="21"/>
              </w:rPr>
              <w:t xml:space="preserve"> 9,052.83 </w:t>
            </w:r>
            <w:r w:rsidRPr="00B4515A">
              <w:rPr>
                <w:rFonts w:ascii="Times New Roman" w:eastAsia="等线" w:hAnsi="Times New Roman" w:cs="Times New Roman"/>
                <w:b/>
                <w:color w:val="000000"/>
                <w:sz w:val="21"/>
                <w:szCs w:val="21"/>
              </w:rPr>
              <w:t xml:space="preserve">  </w:t>
            </w:r>
          </w:p>
        </w:tc>
      </w:tr>
      <w:tr w:rsidR="006416B0" w:rsidRPr="00B4515A" w14:paraId="7BF79023" w14:textId="77777777" w:rsidTr="006100BC">
        <w:trPr>
          <w:trHeight w:val="340"/>
          <w:jc w:val="center"/>
        </w:trPr>
        <w:tc>
          <w:tcPr>
            <w:tcW w:w="3621" w:type="dxa"/>
            <w:gridSpan w:val="2"/>
            <w:shd w:val="clear" w:color="auto" w:fill="auto"/>
            <w:tcMar>
              <w:top w:w="0" w:type="dxa"/>
              <w:left w:w="108" w:type="dxa"/>
              <w:bottom w:w="0" w:type="dxa"/>
              <w:right w:w="108" w:type="dxa"/>
            </w:tcMar>
            <w:vAlign w:val="center"/>
          </w:tcPr>
          <w:p w14:paraId="31544F2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占大唐联诚采购总额的比例</w:t>
            </w:r>
          </w:p>
        </w:tc>
        <w:tc>
          <w:tcPr>
            <w:tcW w:w="1665" w:type="dxa"/>
            <w:shd w:val="clear" w:color="auto" w:fill="auto"/>
            <w:tcMar>
              <w:top w:w="0" w:type="dxa"/>
              <w:left w:w="108" w:type="dxa"/>
              <w:bottom w:w="0" w:type="dxa"/>
              <w:right w:w="108" w:type="dxa"/>
            </w:tcMar>
            <w:vAlign w:val="center"/>
          </w:tcPr>
          <w:p w14:paraId="0A6C9469" w14:textId="4D8F0D8E" w:rsidR="006416B0" w:rsidRPr="00B4515A" w:rsidRDefault="001630D6"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13.59%</w:t>
            </w:r>
          </w:p>
        </w:tc>
        <w:tc>
          <w:tcPr>
            <w:tcW w:w="1924" w:type="dxa"/>
            <w:shd w:val="clear" w:color="auto" w:fill="auto"/>
            <w:tcMar>
              <w:top w:w="0" w:type="dxa"/>
              <w:left w:w="108" w:type="dxa"/>
              <w:bottom w:w="0" w:type="dxa"/>
              <w:right w:w="108" w:type="dxa"/>
            </w:tcMar>
            <w:vAlign w:val="center"/>
          </w:tcPr>
          <w:p w14:paraId="02863772" w14:textId="0407EA8A" w:rsidR="006416B0" w:rsidRPr="00B4515A" w:rsidRDefault="001630D6"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45.</w:t>
            </w:r>
            <w:r w:rsidR="00F12218" w:rsidRPr="00B4515A">
              <w:rPr>
                <w:rFonts w:ascii="Times New Roman" w:eastAsia="等线" w:hAnsi="Times New Roman" w:cs="Times New Roman"/>
                <w:color w:val="000000"/>
                <w:sz w:val="21"/>
                <w:szCs w:val="21"/>
              </w:rPr>
              <w:t>79</w:t>
            </w:r>
            <w:r w:rsidRPr="00B4515A">
              <w:rPr>
                <w:rFonts w:ascii="Times New Roman" w:eastAsia="等线" w:hAnsi="Times New Roman" w:cs="Times New Roman"/>
                <w:color w:val="000000"/>
                <w:sz w:val="21"/>
                <w:szCs w:val="21"/>
              </w:rPr>
              <w:t>%</w:t>
            </w:r>
          </w:p>
        </w:tc>
        <w:tc>
          <w:tcPr>
            <w:tcW w:w="1554" w:type="dxa"/>
            <w:shd w:val="clear" w:color="auto" w:fill="auto"/>
            <w:tcMar>
              <w:top w:w="0" w:type="dxa"/>
              <w:left w:w="108" w:type="dxa"/>
              <w:bottom w:w="0" w:type="dxa"/>
              <w:right w:w="108" w:type="dxa"/>
            </w:tcMar>
            <w:vAlign w:val="center"/>
          </w:tcPr>
          <w:p w14:paraId="7209C5D6" w14:textId="3EBD5D77" w:rsidR="006416B0" w:rsidRPr="00B4515A" w:rsidRDefault="001630D6"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39.55%</w:t>
            </w:r>
          </w:p>
        </w:tc>
      </w:tr>
    </w:tbl>
    <w:p w14:paraId="6361871F" w14:textId="60D45D05" w:rsidR="006416B0" w:rsidRPr="00B4515A" w:rsidRDefault="005E58C1" w:rsidP="006100BC">
      <w:pPr>
        <w:pStyle w:val="005"/>
        <w:spacing w:before="120" w:after="120"/>
        <w:ind w:firstLine="480"/>
      </w:pPr>
      <w:r w:rsidRPr="00B4515A">
        <w:rPr>
          <w:rFonts w:hint="eastAsia"/>
        </w:rPr>
        <w:t>报告期内，大唐联诚的关联采购总额占其采购总金额的比例分别为</w:t>
      </w:r>
      <w:r w:rsidR="001630D6" w:rsidRPr="00B4515A">
        <w:t>39.55%</w:t>
      </w:r>
      <w:r w:rsidRPr="00B4515A">
        <w:rPr>
          <w:rFonts w:hint="eastAsia"/>
        </w:rPr>
        <w:t>、</w:t>
      </w:r>
      <w:r w:rsidR="001630D6" w:rsidRPr="00B4515A">
        <w:t>45.</w:t>
      </w:r>
      <w:r w:rsidR="00635882" w:rsidRPr="00B4515A">
        <w:t>79</w:t>
      </w:r>
      <w:r w:rsidR="001630D6" w:rsidRPr="00B4515A">
        <w:t>%</w:t>
      </w:r>
      <w:r w:rsidRPr="00B4515A">
        <w:rPr>
          <w:rFonts w:hint="eastAsia"/>
        </w:rPr>
        <w:t>及</w:t>
      </w:r>
      <w:r w:rsidR="001630D6" w:rsidRPr="00B4515A">
        <w:t>13.59%</w:t>
      </w:r>
      <w:r w:rsidRPr="00B4515A">
        <w:rPr>
          <w:rFonts w:hint="eastAsia"/>
        </w:rPr>
        <w:t>。</w:t>
      </w:r>
      <w:r w:rsidRPr="00B4515A">
        <w:rPr>
          <w:rFonts w:hint="eastAsia"/>
        </w:rPr>
        <w:t>2</w:t>
      </w:r>
      <w:r w:rsidRPr="00B4515A">
        <w:t>020</w:t>
      </w:r>
      <w:r w:rsidRPr="00B4515A">
        <w:rPr>
          <w:rFonts w:hint="eastAsia"/>
        </w:rPr>
        <w:t>年度关联采购主要包括大唐联诚向大唐终端、大唐移动、</w:t>
      </w:r>
      <w:r w:rsidRPr="00B4515A">
        <w:t>SA100841</w:t>
      </w:r>
      <w:r w:rsidRPr="00B4515A">
        <w:rPr>
          <w:rFonts w:hint="eastAsia"/>
        </w:rPr>
        <w:t>和</w:t>
      </w:r>
      <w:r w:rsidRPr="00B4515A">
        <w:t>SA101130</w:t>
      </w:r>
      <w:r w:rsidRPr="00B4515A">
        <w:rPr>
          <w:rFonts w:hint="eastAsia"/>
        </w:rPr>
        <w:t>的采购。</w:t>
      </w:r>
    </w:p>
    <w:p w14:paraId="2F89AC92" w14:textId="40EDA5AA" w:rsidR="006416B0" w:rsidRPr="00B4515A" w:rsidRDefault="005E58C1" w:rsidP="006100BC">
      <w:pPr>
        <w:pStyle w:val="005"/>
        <w:spacing w:before="120" w:after="120"/>
        <w:ind w:firstLine="480"/>
      </w:pPr>
      <w:r w:rsidRPr="00B4515A">
        <w:t>大唐联诚</w:t>
      </w:r>
      <w:r w:rsidRPr="00B4515A">
        <w:t>2019</w:t>
      </w:r>
      <w:r w:rsidRPr="00B4515A">
        <w:t>年</w:t>
      </w:r>
      <w:r w:rsidRPr="00B4515A">
        <w:rPr>
          <w:rFonts w:hint="eastAsia"/>
        </w:rPr>
        <w:t>度、</w:t>
      </w:r>
      <w:r w:rsidRPr="00B4515A">
        <w:t>2020</w:t>
      </w:r>
      <w:r w:rsidRPr="00B4515A">
        <w:t>年</w:t>
      </w:r>
      <w:r w:rsidRPr="00B4515A">
        <w:rPr>
          <w:rFonts w:hint="eastAsia"/>
        </w:rPr>
        <w:t>度</w:t>
      </w:r>
      <w:r w:rsidRPr="00B4515A">
        <w:t>及</w:t>
      </w:r>
      <w:r w:rsidRPr="00B4515A">
        <w:t>2021</w:t>
      </w:r>
      <w:r w:rsidRPr="00B4515A">
        <w:t>年</w:t>
      </w:r>
      <w:r w:rsidRPr="00B4515A">
        <w:t>1-4</w:t>
      </w:r>
      <w:r w:rsidRPr="00B4515A">
        <w:t>月向大唐终端销售产品</w:t>
      </w:r>
      <w:r w:rsidR="00CE510C" w:rsidRPr="00B4515A">
        <w:rPr>
          <w:rFonts w:hint="eastAsia"/>
        </w:rPr>
        <w:t>金额为</w:t>
      </w:r>
      <w:r w:rsidRPr="00B4515A">
        <w:t>1,583.84</w:t>
      </w:r>
      <w:r w:rsidRPr="00B4515A">
        <w:t>万元</w:t>
      </w:r>
      <w:r w:rsidRPr="00B4515A">
        <w:rPr>
          <w:rFonts w:hint="eastAsia"/>
        </w:rPr>
        <w:t>、</w:t>
      </w:r>
      <w:r w:rsidRPr="00B4515A">
        <w:t>5,120.61</w:t>
      </w:r>
      <w:r w:rsidRPr="00B4515A">
        <w:rPr>
          <w:rFonts w:hint="eastAsia"/>
        </w:rPr>
        <w:t>万元及</w:t>
      </w:r>
      <w:r w:rsidRPr="00B4515A">
        <w:t>410.82</w:t>
      </w:r>
      <w:r w:rsidRPr="00B4515A">
        <w:rPr>
          <w:rFonts w:hint="eastAsia"/>
        </w:rPr>
        <w:t>万元</w:t>
      </w:r>
      <w:r w:rsidRPr="00B4515A">
        <w:t>，</w:t>
      </w:r>
      <w:r w:rsidRPr="00B4515A">
        <w:t>2019</w:t>
      </w:r>
      <w:r w:rsidRPr="00B4515A">
        <w:t>年</w:t>
      </w:r>
      <w:r w:rsidRPr="00B4515A">
        <w:rPr>
          <w:rFonts w:hint="eastAsia"/>
        </w:rPr>
        <w:t>度、</w:t>
      </w:r>
      <w:r w:rsidRPr="00B4515A">
        <w:t>2020</w:t>
      </w:r>
      <w:r w:rsidRPr="00B4515A">
        <w:t>年</w:t>
      </w:r>
      <w:r w:rsidRPr="00B4515A">
        <w:rPr>
          <w:rFonts w:hint="eastAsia"/>
        </w:rPr>
        <w:t>度</w:t>
      </w:r>
      <w:r w:rsidRPr="00B4515A">
        <w:t>及</w:t>
      </w:r>
      <w:r w:rsidRPr="00B4515A">
        <w:t>2021</w:t>
      </w:r>
      <w:r w:rsidRPr="00B4515A">
        <w:t>年</w:t>
      </w:r>
      <w:r w:rsidRPr="00B4515A">
        <w:t>1-4</w:t>
      </w:r>
      <w:r w:rsidRPr="00B4515A">
        <w:t>月分别向大唐终端采购产品</w:t>
      </w:r>
      <w:r w:rsidR="00CE510C" w:rsidRPr="00B4515A">
        <w:rPr>
          <w:rFonts w:hint="eastAsia"/>
        </w:rPr>
        <w:t>金额为</w:t>
      </w:r>
      <w:r w:rsidRPr="00B4515A">
        <w:t>2,527.18</w:t>
      </w:r>
      <w:r w:rsidR="00AE7F47" w:rsidRPr="00B4515A">
        <w:rPr>
          <w:rFonts w:hint="eastAsia"/>
        </w:rPr>
        <w:t>万</w:t>
      </w:r>
      <w:r w:rsidRPr="00B4515A">
        <w:rPr>
          <w:rFonts w:hint="eastAsia"/>
        </w:rPr>
        <w:t>元、</w:t>
      </w:r>
      <w:r w:rsidRPr="00B4515A">
        <w:t>7,697.15</w:t>
      </w:r>
      <w:r w:rsidRPr="00B4515A">
        <w:t>万元及</w:t>
      </w:r>
      <w:r w:rsidRPr="00B4515A">
        <w:t>85.35</w:t>
      </w:r>
      <w:r w:rsidRPr="00B4515A">
        <w:t>万元，大唐联诚向大唐终端销售的产品主要为终端产品所需核心元器件。大唐终端利用以上元器件及其自采的印刷电路板、元器件等其他原材料，生产成配套基带板卡和射频板卡，再销售给大唐联诚用于</w:t>
      </w:r>
      <w:r w:rsidRPr="00B4515A">
        <w:rPr>
          <w:rFonts w:hint="eastAsia"/>
        </w:rPr>
        <w:t>某类</w:t>
      </w:r>
      <w:r w:rsidRPr="00B4515A">
        <w:t>终端产品的生产。</w:t>
      </w:r>
    </w:p>
    <w:p w14:paraId="4FAE1DA0" w14:textId="31AF68E9" w:rsidR="006416B0" w:rsidRPr="00B4515A" w:rsidRDefault="005E58C1" w:rsidP="006100BC">
      <w:pPr>
        <w:pStyle w:val="005"/>
        <w:spacing w:before="120" w:after="120"/>
        <w:ind w:firstLine="480"/>
      </w:pPr>
      <w:r w:rsidRPr="00B4515A">
        <w:rPr>
          <w:rFonts w:hint="eastAsia"/>
        </w:rPr>
        <w:t>该</w:t>
      </w:r>
      <w:r w:rsidRPr="00B4515A">
        <w:t>终端产品为</w:t>
      </w:r>
      <w:r w:rsidRPr="00B4515A">
        <w:rPr>
          <w:rFonts w:hint="eastAsia"/>
        </w:rPr>
        <w:t>最终</w:t>
      </w:r>
      <w:r w:rsidRPr="00B4515A">
        <w:t>客户</w:t>
      </w:r>
      <w:r w:rsidRPr="00B4515A">
        <w:rPr>
          <w:rFonts w:hint="eastAsia"/>
        </w:rPr>
        <w:t>在</w:t>
      </w:r>
      <w:r w:rsidRPr="00B4515A">
        <w:t>特定应用场景所设计的专用装备，由于</w:t>
      </w:r>
      <w:r w:rsidRPr="00B4515A">
        <w:rPr>
          <w:rFonts w:hint="eastAsia"/>
        </w:rPr>
        <w:t>此领域范围内</w:t>
      </w:r>
      <w:r w:rsidRPr="00B4515A">
        <w:t>对整机可靠性的要求高，绝大多数的元器件也都必须</w:t>
      </w:r>
      <w:r w:rsidRPr="00B4515A">
        <w:rPr>
          <w:rFonts w:hint="eastAsia"/>
        </w:rPr>
        <w:t>按照最终客户的要求采用特制产品</w:t>
      </w:r>
      <w:r w:rsidRPr="00B4515A">
        <w:t>，</w:t>
      </w:r>
      <w:r w:rsidRPr="00B4515A">
        <w:rPr>
          <w:rFonts w:hint="eastAsia"/>
        </w:rPr>
        <w:t>同时，</w:t>
      </w:r>
      <w:r w:rsidRPr="00B4515A">
        <w:t>由于技术限制等原因，部分核心元器件的生产厂商仅销售给生产整机的企业。因此，须大唐联诚采购</w:t>
      </w:r>
      <w:r w:rsidRPr="00B4515A">
        <w:rPr>
          <w:rFonts w:hint="eastAsia"/>
        </w:rPr>
        <w:t>此类</w:t>
      </w:r>
      <w:r w:rsidRPr="00B4515A">
        <w:t>元器件，发送给大唐终端</w:t>
      </w:r>
      <w:r w:rsidRPr="00B4515A">
        <w:rPr>
          <w:rFonts w:hint="eastAsia"/>
        </w:rPr>
        <w:t>用于</w:t>
      </w:r>
      <w:r w:rsidRPr="00B4515A">
        <w:t>基带板卡和射频板卡</w:t>
      </w:r>
      <w:r w:rsidRPr="00B4515A">
        <w:rPr>
          <w:rFonts w:hint="eastAsia"/>
        </w:rPr>
        <w:t>的生产</w:t>
      </w:r>
      <w:r w:rsidRPr="00B4515A">
        <w:t>。大唐联诚参照</w:t>
      </w:r>
      <w:r w:rsidRPr="00B4515A">
        <w:rPr>
          <w:rFonts w:hint="eastAsia"/>
        </w:rPr>
        <w:t>国家对于此类特种通信领域产品的定价议价</w:t>
      </w:r>
      <w:r w:rsidRPr="00B4515A">
        <w:rPr>
          <w:rFonts w:hint="eastAsia"/>
        </w:rPr>
        <w:lastRenderedPageBreak/>
        <w:t>规则</w:t>
      </w:r>
      <w:r w:rsidRPr="00B4515A">
        <w:t>，在产品成本价基础上加</w:t>
      </w:r>
      <w:r w:rsidRPr="00B4515A">
        <w:t>5%</w:t>
      </w:r>
      <w:r w:rsidRPr="00B4515A">
        <w:t>的利润作为向大唐终端设备有限公司销售产品的价格。</w:t>
      </w:r>
    </w:p>
    <w:p w14:paraId="65B372FE" w14:textId="77777777" w:rsidR="006416B0" w:rsidRPr="00B4515A" w:rsidRDefault="005E58C1" w:rsidP="006100BC">
      <w:pPr>
        <w:pStyle w:val="005"/>
        <w:spacing w:before="120" w:after="120"/>
        <w:ind w:firstLine="480"/>
      </w:pPr>
      <w:r w:rsidRPr="00B4515A">
        <w:t>大唐联诚从大唐终端所购回的配套基带板卡和射频板卡等为定制化非标准的产品。大唐终端在原材料采购成本的基础上，综合考虑其设计、开模、所需人工工时、动力费等成本因素加合理的利润，在双方协商的基础上确定价格。此定价方式与大唐联诚从其他方采购定制产品的定价原则一致，价格合理、公允。</w:t>
      </w:r>
    </w:p>
    <w:p w14:paraId="304F5B62" w14:textId="2A8DE687" w:rsidR="006416B0" w:rsidRPr="00B4515A" w:rsidRDefault="005E58C1" w:rsidP="006100BC">
      <w:pPr>
        <w:pStyle w:val="005"/>
        <w:spacing w:before="120" w:after="120"/>
        <w:ind w:firstLine="480"/>
      </w:pPr>
      <w:r w:rsidRPr="00B4515A">
        <w:rPr>
          <w:rFonts w:hint="eastAsia"/>
        </w:rPr>
        <w:t>本次重组完成后，大唐联诚并入大唐电信合并范围内</w:t>
      </w:r>
      <w:r w:rsidR="00AB15FA" w:rsidRPr="00B4515A">
        <w:rPr>
          <w:rFonts w:hint="eastAsia"/>
        </w:rPr>
        <w:t>，</w:t>
      </w:r>
      <w:r w:rsidRPr="00B4515A">
        <w:rPr>
          <w:rFonts w:hint="eastAsia"/>
        </w:rPr>
        <w:t>大唐联诚与大唐终端的关联交易将抵消。</w:t>
      </w:r>
    </w:p>
    <w:p w14:paraId="6F7181A9" w14:textId="77777777" w:rsidR="006416B0" w:rsidRPr="00B4515A" w:rsidRDefault="005E58C1" w:rsidP="006100BC">
      <w:pPr>
        <w:pStyle w:val="005"/>
        <w:spacing w:before="120" w:after="120"/>
        <w:ind w:firstLine="480"/>
      </w:pPr>
      <w:r w:rsidRPr="00B4515A">
        <w:rPr>
          <w:rFonts w:hint="eastAsia"/>
        </w:rPr>
        <w:t>报告期内，大唐联诚向大唐移动的采购主要包括定制化的元器件及模块。大唐移动根据原材料采购成本、人工成本、制造费用等成本加合理的利润，在双方协商的基础上确定价格。</w:t>
      </w:r>
    </w:p>
    <w:p w14:paraId="70882009" w14:textId="20D1885C" w:rsidR="006416B0" w:rsidRPr="00B4515A" w:rsidRDefault="005E58C1" w:rsidP="006100BC">
      <w:pPr>
        <w:pStyle w:val="005"/>
        <w:spacing w:before="120" w:after="120"/>
        <w:ind w:firstLine="480"/>
      </w:pPr>
      <w:r w:rsidRPr="00B4515A">
        <w:rPr>
          <w:rFonts w:hint="eastAsia"/>
        </w:rPr>
        <w:t>报告期内，大唐联诚向</w:t>
      </w:r>
      <w:r w:rsidRPr="00B4515A">
        <w:t>SA100841</w:t>
      </w:r>
      <w:r w:rsidRPr="00B4515A">
        <w:rPr>
          <w:rFonts w:hint="eastAsia"/>
        </w:rPr>
        <w:t>及</w:t>
      </w:r>
      <w:r w:rsidRPr="00B4515A">
        <w:t>SA101130</w:t>
      </w:r>
      <w:r w:rsidRPr="00B4515A">
        <w:rPr>
          <w:rFonts w:hint="eastAsia"/>
        </w:rPr>
        <w:t>采购的商品主要包括</w:t>
      </w:r>
      <w:r w:rsidR="00AE7F47" w:rsidRPr="00B4515A">
        <w:rPr>
          <w:rFonts w:hint="eastAsia"/>
        </w:rPr>
        <w:t>终端生产所用的关键元器件</w:t>
      </w:r>
      <w:r w:rsidRPr="00B4515A">
        <w:rPr>
          <w:rFonts w:hint="eastAsia"/>
        </w:rPr>
        <w:t>等，是按照定型产品的技术状态来生产的。产品价格为</w:t>
      </w:r>
      <w:r w:rsidRPr="00B4515A">
        <w:t>SA100841</w:t>
      </w:r>
      <w:r w:rsidRPr="00B4515A">
        <w:t>及</w:t>
      </w:r>
      <w:r w:rsidRPr="00B4515A">
        <w:t>SA101130</w:t>
      </w:r>
      <w:r w:rsidRPr="00B4515A">
        <w:rPr>
          <w:rFonts w:hint="eastAsia"/>
        </w:rPr>
        <w:t>根据其生产成本、研发费用分摊及合理利润来确定，且通过了整机产品使用方的价格评审。</w:t>
      </w:r>
    </w:p>
    <w:p w14:paraId="4906FFFB" w14:textId="52EDDD06" w:rsidR="006416B0" w:rsidRPr="00B4515A" w:rsidRDefault="005E58C1" w:rsidP="006100BC">
      <w:pPr>
        <w:pStyle w:val="005"/>
        <w:spacing w:before="120" w:after="120"/>
        <w:ind w:firstLine="480"/>
      </w:pPr>
      <w:r w:rsidRPr="00B4515A">
        <w:t>由于</w:t>
      </w:r>
      <w:r w:rsidRPr="00B4515A">
        <w:rPr>
          <w:rFonts w:hint="eastAsia"/>
        </w:rPr>
        <w:t>大唐联诚</w:t>
      </w:r>
      <w:r w:rsidRPr="00B4515A">
        <w:t>向关联方采购</w:t>
      </w:r>
      <w:r w:rsidRPr="00B4515A">
        <w:rPr>
          <w:rFonts w:hint="eastAsia"/>
        </w:rPr>
        <w:t>的</w:t>
      </w:r>
      <w:r w:rsidRPr="00B4515A">
        <w:t>商品或服务所生产的最终产品为</w:t>
      </w:r>
      <w:r w:rsidRPr="00B4515A">
        <w:rPr>
          <w:rFonts w:hint="eastAsia"/>
        </w:rPr>
        <w:t>专</w:t>
      </w:r>
      <w:r w:rsidRPr="00B4515A">
        <w:t>用设备，采购的产品或服务均为定制产品或开发服务，</w:t>
      </w:r>
      <w:r w:rsidRPr="00B4515A">
        <w:rPr>
          <w:rFonts w:hint="eastAsia"/>
        </w:rPr>
        <w:t>大唐联诚</w:t>
      </w:r>
      <w:r w:rsidRPr="00B4515A">
        <w:t>需与供应商在技术层面深度合作</w:t>
      </w:r>
      <w:r w:rsidRPr="00B4515A">
        <w:rPr>
          <w:rFonts w:hint="eastAsia"/>
        </w:rPr>
        <w:t>；</w:t>
      </w:r>
      <w:r w:rsidRPr="00B4515A">
        <w:t>且由于所处行业的保密性要求等，</w:t>
      </w:r>
      <w:r w:rsidRPr="00B4515A">
        <w:rPr>
          <w:rFonts w:hint="eastAsia"/>
        </w:rPr>
        <w:t>大唐联诚</w:t>
      </w:r>
      <w:r w:rsidRPr="00B4515A">
        <w:t>优先选择</w:t>
      </w:r>
      <w:r w:rsidRPr="00B4515A">
        <w:rPr>
          <w:rFonts w:hint="eastAsia"/>
        </w:rPr>
        <w:t>中国信科</w:t>
      </w:r>
      <w:r w:rsidRPr="00B4515A">
        <w:t>集团内</w:t>
      </w:r>
      <w:r w:rsidRPr="00B4515A">
        <w:rPr>
          <w:rFonts w:hint="eastAsia"/>
        </w:rPr>
        <w:t>的</w:t>
      </w:r>
      <w:r w:rsidRPr="00B4515A">
        <w:t>企业作为合作方。大唐联诚对于核心部件自主设计、生产，将非核心工序外协，合作方按照大唐联诚对产品的整体设计及参数设定等进行加工，满足了特通信息化自主可控的刚需。</w:t>
      </w:r>
      <w:r w:rsidRPr="00B4515A">
        <w:rPr>
          <w:rFonts w:hint="eastAsia"/>
        </w:rPr>
        <w:t>但由于移动通信相技术较成熟，大唐联诚</w:t>
      </w:r>
      <w:r w:rsidR="00CE6404" w:rsidRPr="00B4515A">
        <w:rPr>
          <w:rFonts w:hint="eastAsia"/>
        </w:rPr>
        <w:t>可</w:t>
      </w:r>
      <w:r w:rsidRPr="00B4515A">
        <w:rPr>
          <w:rFonts w:hint="eastAsia"/>
        </w:rPr>
        <w:t>在国内找到其他</w:t>
      </w:r>
      <w:r w:rsidRPr="00B4515A">
        <w:t>供应商</w:t>
      </w:r>
      <w:r w:rsidRPr="00B4515A">
        <w:rPr>
          <w:rFonts w:hint="eastAsia"/>
        </w:rPr>
        <w:t>作为</w:t>
      </w:r>
      <w:r w:rsidRPr="00B4515A">
        <w:t>替代。</w:t>
      </w:r>
      <w:r w:rsidRPr="00B4515A">
        <w:rPr>
          <w:rFonts w:hint="eastAsia"/>
        </w:rPr>
        <w:t>大唐联诚</w:t>
      </w:r>
      <w:r w:rsidR="00CE6404" w:rsidRPr="00B4515A">
        <w:rPr>
          <w:rFonts w:hint="eastAsia"/>
        </w:rPr>
        <w:t>在业务方面</w:t>
      </w:r>
      <w:r w:rsidRPr="00B4515A">
        <w:t>对关联方不存在重大依赖。</w:t>
      </w:r>
    </w:p>
    <w:p w14:paraId="2C972D6E" w14:textId="77777777" w:rsidR="006416B0" w:rsidRPr="00B4515A" w:rsidRDefault="005E58C1" w:rsidP="006100BC">
      <w:pPr>
        <w:pStyle w:val="005"/>
        <w:spacing w:before="120" w:after="120"/>
        <w:ind w:firstLine="480"/>
      </w:pPr>
      <w:r w:rsidRPr="00B4515A">
        <w:rPr>
          <w:rFonts w:hint="eastAsia"/>
        </w:rPr>
        <w:t>（</w:t>
      </w:r>
      <w:r w:rsidRPr="00B4515A">
        <w:rPr>
          <w:rFonts w:hint="eastAsia"/>
        </w:rPr>
        <w:t>2</w:t>
      </w:r>
      <w:r w:rsidRPr="00B4515A">
        <w:rPr>
          <w:rFonts w:hint="eastAsia"/>
        </w:rPr>
        <w:t>）出售商品</w:t>
      </w:r>
      <w:r w:rsidRPr="00B4515A">
        <w:rPr>
          <w:rFonts w:hint="eastAsia"/>
        </w:rPr>
        <w:t>/</w:t>
      </w:r>
      <w:r w:rsidRPr="00B4515A">
        <w:rPr>
          <w:rFonts w:hint="eastAsia"/>
        </w:rPr>
        <w:t>提供劳务情况</w:t>
      </w:r>
    </w:p>
    <w:p w14:paraId="3EB6A85B" w14:textId="6A2E9C7F" w:rsidR="006416B0" w:rsidRPr="00B4515A" w:rsidRDefault="00D44516" w:rsidP="006100BC">
      <w:pPr>
        <w:pStyle w:val="009"/>
      </w:pPr>
      <w:r w:rsidRPr="00B4515A">
        <w:rPr>
          <w:rFonts w:hint="eastAsia"/>
        </w:rPr>
        <w:t>单位：万元</w:t>
      </w:r>
    </w:p>
    <w:tbl>
      <w:tblPr>
        <w:tblW w:w="513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1"/>
        <w:gridCol w:w="1808"/>
        <w:gridCol w:w="1668"/>
        <w:gridCol w:w="1448"/>
        <w:gridCol w:w="1448"/>
      </w:tblGrid>
      <w:tr w:rsidR="006416B0" w:rsidRPr="00B4515A" w14:paraId="420887FD" w14:textId="77777777" w:rsidTr="006100BC">
        <w:trPr>
          <w:trHeight w:val="340"/>
          <w:tblHeader/>
          <w:jc w:val="center"/>
        </w:trPr>
        <w:tc>
          <w:tcPr>
            <w:tcW w:w="2392" w:type="dxa"/>
            <w:shd w:val="clear" w:color="auto" w:fill="auto"/>
            <w:tcMar>
              <w:top w:w="0" w:type="dxa"/>
              <w:left w:w="108" w:type="dxa"/>
              <w:bottom w:w="0" w:type="dxa"/>
              <w:right w:w="108" w:type="dxa"/>
            </w:tcMar>
            <w:vAlign w:val="center"/>
          </w:tcPr>
          <w:p w14:paraId="00658B45"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hint="eastAsia"/>
                <w:b/>
                <w:bCs/>
                <w:color w:val="000000"/>
                <w:sz w:val="21"/>
                <w:szCs w:val="21"/>
              </w:rPr>
              <w:t>关联方</w:t>
            </w:r>
          </w:p>
        </w:tc>
        <w:tc>
          <w:tcPr>
            <w:tcW w:w="1808" w:type="dxa"/>
            <w:shd w:val="clear" w:color="auto" w:fill="auto"/>
            <w:tcMar>
              <w:top w:w="0" w:type="dxa"/>
              <w:left w:w="108" w:type="dxa"/>
              <w:bottom w:w="0" w:type="dxa"/>
              <w:right w:w="108" w:type="dxa"/>
            </w:tcMar>
            <w:vAlign w:val="center"/>
          </w:tcPr>
          <w:p w14:paraId="529C923C"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hint="eastAsia"/>
                <w:b/>
                <w:bCs/>
                <w:color w:val="000000"/>
                <w:sz w:val="21"/>
                <w:szCs w:val="21"/>
              </w:rPr>
              <w:t>关联交易内容</w:t>
            </w:r>
          </w:p>
        </w:tc>
        <w:tc>
          <w:tcPr>
            <w:tcW w:w="1668" w:type="dxa"/>
            <w:shd w:val="clear" w:color="auto" w:fill="auto"/>
            <w:tcMar>
              <w:top w:w="0" w:type="dxa"/>
              <w:left w:w="108" w:type="dxa"/>
              <w:bottom w:w="0" w:type="dxa"/>
              <w:right w:w="108" w:type="dxa"/>
            </w:tcMar>
            <w:vAlign w:val="center"/>
          </w:tcPr>
          <w:p w14:paraId="5BA2DC2B"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w:t>
            </w:r>
            <w:r w:rsidRPr="00B4515A">
              <w:rPr>
                <w:rFonts w:ascii="Times New Roman" w:hAnsi="Times New Roman" w:cs="Times New Roman" w:hint="eastAsia"/>
                <w:b/>
                <w:bCs/>
                <w:color w:val="000000"/>
                <w:sz w:val="21"/>
                <w:szCs w:val="21"/>
              </w:rPr>
              <w:t>年</w:t>
            </w:r>
            <w:r w:rsidRPr="00B4515A">
              <w:rPr>
                <w:rFonts w:ascii="Times New Roman" w:hAnsi="Times New Roman" w:cs="Times New Roman"/>
                <w:b/>
                <w:bCs/>
                <w:color w:val="000000"/>
                <w:sz w:val="21"/>
                <w:szCs w:val="21"/>
              </w:rPr>
              <w:t>1-4</w:t>
            </w:r>
            <w:r w:rsidRPr="00B4515A">
              <w:rPr>
                <w:rFonts w:ascii="Times New Roman" w:hAnsi="Times New Roman" w:cs="Times New Roman" w:hint="eastAsia"/>
                <w:b/>
                <w:bCs/>
                <w:color w:val="000000"/>
                <w:sz w:val="21"/>
                <w:szCs w:val="21"/>
              </w:rPr>
              <w:t>月</w:t>
            </w:r>
          </w:p>
        </w:tc>
        <w:tc>
          <w:tcPr>
            <w:tcW w:w="1448" w:type="dxa"/>
            <w:shd w:val="clear" w:color="auto" w:fill="auto"/>
            <w:tcMar>
              <w:top w:w="0" w:type="dxa"/>
              <w:left w:w="108" w:type="dxa"/>
              <w:bottom w:w="0" w:type="dxa"/>
              <w:right w:w="108" w:type="dxa"/>
            </w:tcMar>
            <w:vAlign w:val="center"/>
          </w:tcPr>
          <w:p w14:paraId="11E533B8"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w:t>
            </w:r>
            <w:r w:rsidRPr="00B4515A">
              <w:rPr>
                <w:rFonts w:ascii="Times New Roman" w:hAnsi="Times New Roman" w:cs="Times New Roman" w:hint="eastAsia"/>
                <w:b/>
                <w:bCs/>
                <w:color w:val="000000"/>
                <w:sz w:val="21"/>
                <w:szCs w:val="21"/>
              </w:rPr>
              <w:t>年度</w:t>
            </w:r>
          </w:p>
        </w:tc>
        <w:tc>
          <w:tcPr>
            <w:tcW w:w="1448" w:type="dxa"/>
            <w:shd w:val="clear" w:color="auto" w:fill="auto"/>
            <w:tcMar>
              <w:top w:w="0" w:type="dxa"/>
              <w:left w:w="108" w:type="dxa"/>
              <w:bottom w:w="0" w:type="dxa"/>
              <w:right w:w="108" w:type="dxa"/>
            </w:tcMar>
            <w:vAlign w:val="center"/>
          </w:tcPr>
          <w:p w14:paraId="20FDC202"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w:t>
            </w:r>
            <w:r w:rsidRPr="00B4515A">
              <w:rPr>
                <w:rFonts w:ascii="Times New Roman" w:hAnsi="Times New Roman" w:cs="Times New Roman" w:hint="eastAsia"/>
                <w:b/>
                <w:bCs/>
                <w:color w:val="000000"/>
                <w:sz w:val="21"/>
                <w:szCs w:val="21"/>
              </w:rPr>
              <w:t>年度</w:t>
            </w:r>
          </w:p>
        </w:tc>
      </w:tr>
      <w:tr w:rsidR="006416B0" w:rsidRPr="00B4515A" w14:paraId="65DF53E4" w14:textId="77777777" w:rsidTr="006100BC">
        <w:trPr>
          <w:trHeight w:val="340"/>
          <w:jc w:val="center"/>
        </w:trPr>
        <w:tc>
          <w:tcPr>
            <w:tcW w:w="2392" w:type="dxa"/>
            <w:shd w:val="clear" w:color="auto" w:fill="auto"/>
            <w:tcMar>
              <w:top w:w="0" w:type="dxa"/>
              <w:left w:w="108" w:type="dxa"/>
              <w:bottom w:w="0" w:type="dxa"/>
              <w:right w:w="108" w:type="dxa"/>
            </w:tcMar>
            <w:vAlign w:val="center"/>
          </w:tcPr>
          <w:p w14:paraId="5C55D6C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hint="eastAsia"/>
                <w:color w:val="000000"/>
                <w:sz w:val="21"/>
                <w:szCs w:val="21"/>
              </w:rPr>
              <w:t>北京大唐高鸿数据网络技术有限公司</w:t>
            </w:r>
          </w:p>
        </w:tc>
        <w:tc>
          <w:tcPr>
            <w:tcW w:w="1808" w:type="dxa"/>
            <w:shd w:val="clear" w:color="auto" w:fill="auto"/>
            <w:tcMar>
              <w:top w:w="0" w:type="dxa"/>
              <w:left w:w="108" w:type="dxa"/>
              <w:bottom w:w="0" w:type="dxa"/>
              <w:right w:w="108" w:type="dxa"/>
            </w:tcMar>
            <w:vAlign w:val="center"/>
          </w:tcPr>
          <w:p w14:paraId="641CFF9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hint="eastAsia"/>
                <w:color w:val="000000"/>
                <w:sz w:val="21"/>
                <w:szCs w:val="21"/>
              </w:rPr>
              <w:t>出售商品</w:t>
            </w:r>
          </w:p>
        </w:tc>
        <w:tc>
          <w:tcPr>
            <w:tcW w:w="1668" w:type="dxa"/>
            <w:shd w:val="clear" w:color="auto" w:fill="auto"/>
            <w:tcMar>
              <w:top w:w="0" w:type="dxa"/>
              <w:left w:w="108" w:type="dxa"/>
              <w:bottom w:w="0" w:type="dxa"/>
              <w:right w:w="108" w:type="dxa"/>
            </w:tcMar>
            <w:vAlign w:val="center"/>
          </w:tcPr>
          <w:p w14:paraId="4785E3E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   </w:t>
            </w:r>
          </w:p>
        </w:tc>
        <w:tc>
          <w:tcPr>
            <w:tcW w:w="1448" w:type="dxa"/>
            <w:shd w:val="clear" w:color="auto" w:fill="auto"/>
            <w:tcMar>
              <w:top w:w="0" w:type="dxa"/>
              <w:left w:w="108" w:type="dxa"/>
              <w:bottom w:w="0" w:type="dxa"/>
              <w:right w:w="108" w:type="dxa"/>
            </w:tcMar>
            <w:vAlign w:val="center"/>
          </w:tcPr>
          <w:p w14:paraId="7685CB0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58.41 </w:t>
            </w:r>
          </w:p>
        </w:tc>
        <w:tc>
          <w:tcPr>
            <w:tcW w:w="1448" w:type="dxa"/>
            <w:shd w:val="clear" w:color="auto" w:fill="auto"/>
            <w:tcMar>
              <w:top w:w="0" w:type="dxa"/>
              <w:left w:w="108" w:type="dxa"/>
              <w:bottom w:w="0" w:type="dxa"/>
              <w:right w:w="108" w:type="dxa"/>
            </w:tcMar>
            <w:vAlign w:val="center"/>
          </w:tcPr>
          <w:p w14:paraId="05CB5D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   </w:t>
            </w:r>
          </w:p>
        </w:tc>
      </w:tr>
      <w:tr w:rsidR="006416B0" w:rsidRPr="00B4515A" w14:paraId="61933281" w14:textId="77777777" w:rsidTr="006100BC">
        <w:trPr>
          <w:trHeight w:val="340"/>
          <w:jc w:val="center"/>
        </w:trPr>
        <w:tc>
          <w:tcPr>
            <w:tcW w:w="2392" w:type="dxa"/>
            <w:shd w:val="clear" w:color="auto" w:fill="auto"/>
            <w:tcMar>
              <w:top w:w="0" w:type="dxa"/>
              <w:left w:w="108" w:type="dxa"/>
              <w:bottom w:w="0" w:type="dxa"/>
              <w:right w:w="108" w:type="dxa"/>
            </w:tcMar>
            <w:vAlign w:val="center"/>
          </w:tcPr>
          <w:p w14:paraId="43A2494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hint="eastAsia"/>
                <w:color w:val="000000"/>
                <w:sz w:val="21"/>
                <w:szCs w:val="21"/>
              </w:rPr>
              <w:t>大唐联仪科技有限公司</w:t>
            </w:r>
          </w:p>
        </w:tc>
        <w:tc>
          <w:tcPr>
            <w:tcW w:w="1808" w:type="dxa"/>
            <w:shd w:val="clear" w:color="auto" w:fill="auto"/>
            <w:tcMar>
              <w:top w:w="0" w:type="dxa"/>
              <w:left w:w="108" w:type="dxa"/>
              <w:bottom w:w="0" w:type="dxa"/>
              <w:right w:w="108" w:type="dxa"/>
            </w:tcMar>
            <w:vAlign w:val="center"/>
          </w:tcPr>
          <w:p w14:paraId="43E17DB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hint="eastAsia"/>
                <w:color w:val="000000"/>
                <w:sz w:val="21"/>
                <w:szCs w:val="21"/>
              </w:rPr>
              <w:t>出售商品</w:t>
            </w:r>
          </w:p>
        </w:tc>
        <w:tc>
          <w:tcPr>
            <w:tcW w:w="1668" w:type="dxa"/>
            <w:shd w:val="clear" w:color="auto" w:fill="auto"/>
            <w:tcMar>
              <w:top w:w="0" w:type="dxa"/>
              <w:left w:w="108" w:type="dxa"/>
              <w:bottom w:w="0" w:type="dxa"/>
              <w:right w:w="108" w:type="dxa"/>
            </w:tcMar>
            <w:vAlign w:val="center"/>
          </w:tcPr>
          <w:p w14:paraId="3CA077F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   </w:t>
            </w:r>
          </w:p>
        </w:tc>
        <w:tc>
          <w:tcPr>
            <w:tcW w:w="1448" w:type="dxa"/>
            <w:shd w:val="clear" w:color="auto" w:fill="auto"/>
            <w:tcMar>
              <w:top w:w="0" w:type="dxa"/>
              <w:left w:w="108" w:type="dxa"/>
              <w:bottom w:w="0" w:type="dxa"/>
              <w:right w:w="108" w:type="dxa"/>
            </w:tcMar>
            <w:vAlign w:val="center"/>
          </w:tcPr>
          <w:p w14:paraId="73266E0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40.71 </w:t>
            </w:r>
          </w:p>
        </w:tc>
        <w:tc>
          <w:tcPr>
            <w:tcW w:w="1448" w:type="dxa"/>
            <w:shd w:val="clear" w:color="auto" w:fill="auto"/>
            <w:tcMar>
              <w:top w:w="0" w:type="dxa"/>
              <w:left w:w="108" w:type="dxa"/>
              <w:bottom w:w="0" w:type="dxa"/>
              <w:right w:w="108" w:type="dxa"/>
            </w:tcMar>
            <w:vAlign w:val="center"/>
          </w:tcPr>
          <w:p w14:paraId="2458110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   </w:t>
            </w:r>
          </w:p>
        </w:tc>
      </w:tr>
      <w:tr w:rsidR="006416B0" w:rsidRPr="00B4515A" w14:paraId="6B5CDCB1" w14:textId="77777777" w:rsidTr="006100BC">
        <w:trPr>
          <w:trHeight w:val="340"/>
          <w:jc w:val="center"/>
        </w:trPr>
        <w:tc>
          <w:tcPr>
            <w:tcW w:w="2392" w:type="dxa"/>
            <w:shd w:val="clear" w:color="auto" w:fill="auto"/>
            <w:tcMar>
              <w:top w:w="0" w:type="dxa"/>
              <w:left w:w="108" w:type="dxa"/>
              <w:bottom w:w="0" w:type="dxa"/>
              <w:right w:w="108" w:type="dxa"/>
            </w:tcMar>
            <w:vAlign w:val="center"/>
          </w:tcPr>
          <w:p w14:paraId="670578B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hint="eastAsia"/>
                <w:color w:val="000000"/>
                <w:sz w:val="21"/>
                <w:szCs w:val="21"/>
              </w:rPr>
              <w:t>大唐奇安网络科技有限公司</w:t>
            </w:r>
          </w:p>
        </w:tc>
        <w:tc>
          <w:tcPr>
            <w:tcW w:w="1808" w:type="dxa"/>
            <w:shd w:val="clear" w:color="auto" w:fill="auto"/>
            <w:tcMar>
              <w:top w:w="0" w:type="dxa"/>
              <w:left w:w="108" w:type="dxa"/>
              <w:bottom w:w="0" w:type="dxa"/>
              <w:right w:w="108" w:type="dxa"/>
            </w:tcMar>
            <w:vAlign w:val="center"/>
          </w:tcPr>
          <w:p w14:paraId="57F42BD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hint="eastAsia"/>
                <w:color w:val="000000"/>
                <w:sz w:val="21"/>
                <w:szCs w:val="21"/>
              </w:rPr>
              <w:t>出售商品</w:t>
            </w:r>
          </w:p>
        </w:tc>
        <w:tc>
          <w:tcPr>
            <w:tcW w:w="1668" w:type="dxa"/>
            <w:shd w:val="clear" w:color="auto" w:fill="auto"/>
            <w:tcMar>
              <w:top w:w="0" w:type="dxa"/>
              <w:left w:w="108" w:type="dxa"/>
              <w:bottom w:w="0" w:type="dxa"/>
              <w:right w:w="108" w:type="dxa"/>
            </w:tcMar>
            <w:vAlign w:val="center"/>
          </w:tcPr>
          <w:p w14:paraId="4D42B58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18.58 </w:t>
            </w:r>
          </w:p>
        </w:tc>
        <w:tc>
          <w:tcPr>
            <w:tcW w:w="1448" w:type="dxa"/>
            <w:shd w:val="clear" w:color="auto" w:fill="auto"/>
            <w:tcMar>
              <w:top w:w="0" w:type="dxa"/>
              <w:left w:w="108" w:type="dxa"/>
              <w:bottom w:w="0" w:type="dxa"/>
              <w:right w:w="108" w:type="dxa"/>
            </w:tcMar>
            <w:vAlign w:val="center"/>
          </w:tcPr>
          <w:p w14:paraId="133A5DB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   </w:t>
            </w:r>
          </w:p>
        </w:tc>
        <w:tc>
          <w:tcPr>
            <w:tcW w:w="1448" w:type="dxa"/>
            <w:shd w:val="clear" w:color="auto" w:fill="auto"/>
            <w:tcMar>
              <w:top w:w="0" w:type="dxa"/>
              <w:left w:w="108" w:type="dxa"/>
              <w:bottom w:w="0" w:type="dxa"/>
              <w:right w:w="108" w:type="dxa"/>
            </w:tcMar>
            <w:vAlign w:val="center"/>
          </w:tcPr>
          <w:p w14:paraId="4129603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   </w:t>
            </w:r>
          </w:p>
        </w:tc>
      </w:tr>
      <w:tr w:rsidR="006416B0" w:rsidRPr="00B4515A" w14:paraId="3E042F4E" w14:textId="77777777" w:rsidTr="006100BC">
        <w:trPr>
          <w:trHeight w:val="340"/>
          <w:jc w:val="center"/>
        </w:trPr>
        <w:tc>
          <w:tcPr>
            <w:tcW w:w="2392" w:type="dxa"/>
            <w:shd w:val="clear" w:color="auto" w:fill="auto"/>
            <w:tcMar>
              <w:top w:w="0" w:type="dxa"/>
              <w:left w:w="108" w:type="dxa"/>
              <w:bottom w:w="0" w:type="dxa"/>
              <w:right w:w="108" w:type="dxa"/>
            </w:tcMar>
            <w:vAlign w:val="center"/>
          </w:tcPr>
          <w:p w14:paraId="648B73C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hint="eastAsia"/>
                <w:color w:val="000000"/>
                <w:sz w:val="21"/>
                <w:szCs w:val="21"/>
              </w:rPr>
              <w:lastRenderedPageBreak/>
              <w:t>大唐终端设备有限公司</w:t>
            </w:r>
          </w:p>
        </w:tc>
        <w:tc>
          <w:tcPr>
            <w:tcW w:w="1808" w:type="dxa"/>
            <w:shd w:val="clear" w:color="auto" w:fill="auto"/>
            <w:tcMar>
              <w:top w:w="0" w:type="dxa"/>
              <w:left w:w="108" w:type="dxa"/>
              <w:bottom w:w="0" w:type="dxa"/>
              <w:right w:w="108" w:type="dxa"/>
            </w:tcMar>
            <w:vAlign w:val="center"/>
          </w:tcPr>
          <w:p w14:paraId="54E56E5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hint="eastAsia"/>
                <w:color w:val="000000"/>
                <w:sz w:val="21"/>
                <w:szCs w:val="21"/>
              </w:rPr>
              <w:t>出售商品</w:t>
            </w:r>
          </w:p>
        </w:tc>
        <w:tc>
          <w:tcPr>
            <w:tcW w:w="1668" w:type="dxa"/>
            <w:shd w:val="clear" w:color="auto" w:fill="auto"/>
            <w:tcMar>
              <w:top w:w="0" w:type="dxa"/>
              <w:left w:w="108" w:type="dxa"/>
              <w:bottom w:w="0" w:type="dxa"/>
              <w:right w:w="108" w:type="dxa"/>
            </w:tcMar>
            <w:vAlign w:val="center"/>
          </w:tcPr>
          <w:p w14:paraId="00C6B94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410.82 </w:t>
            </w:r>
          </w:p>
        </w:tc>
        <w:tc>
          <w:tcPr>
            <w:tcW w:w="1448" w:type="dxa"/>
            <w:shd w:val="clear" w:color="auto" w:fill="auto"/>
            <w:tcMar>
              <w:top w:w="0" w:type="dxa"/>
              <w:left w:w="108" w:type="dxa"/>
              <w:bottom w:w="0" w:type="dxa"/>
              <w:right w:w="108" w:type="dxa"/>
            </w:tcMar>
            <w:vAlign w:val="center"/>
          </w:tcPr>
          <w:p w14:paraId="62BF939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5,120.61 </w:t>
            </w:r>
          </w:p>
        </w:tc>
        <w:tc>
          <w:tcPr>
            <w:tcW w:w="1448" w:type="dxa"/>
            <w:shd w:val="clear" w:color="auto" w:fill="auto"/>
            <w:tcMar>
              <w:top w:w="0" w:type="dxa"/>
              <w:left w:w="108" w:type="dxa"/>
              <w:bottom w:w="0" w:type="dxa"/>
              <w:right w:w="108" w:type="dxa"/>
            </w:tcMar>
            <w:vAlign w:val="center"/>
          </w:tcPr>
          <w:p w14:paraId="6A8CFE4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1,583.84 </w:t>
            </w:r>
          </w:p>
        </w:tc>
      </w:tr>
      <w:tr w:rsidR="006416B0" w:rsidRPr="00B4515A" w14:paraId="560FCAE9" w14:textId="77777777" w:rsidTr="006100BC">
        <w:trPr>
          <w:trHeight w:val="340"/>
          <w:jc w:val="center"/>
        </w:trPr>
        <w:tc>
          <w:tcPr>
            <w:tcW w:w="2392" w:type="dxa"/>
            <w:shd w:val="clear" w:color="auto" w:fill="auto"/>
            <w:tcMar>
              <w:top w:w="0" w:type="dxa"/>
              <w:left w:w="108" w:type="dxa"/>
              <w:bottom w:w="0" w:type="dxa"/>
              <w:right w:w="108" w:type="dxa"/>
            </w:tcMar>
            <w:vAlign w:val="center"/>
          </w:tcPr>
          <w:p w14:paraId="419795A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hint="eastAsia"/>
                <w:color w:val="000000"/>
                <w:sz w:val="21"/>
                <w:szCs w:val="21"/>
              </w:rPr>
              <w:t>兴唐通信科技有限公司</w:t>
            </w:r>
          </w:p>
        </w:tc>
        <w:tc>
          <w:tcPr>
            <w:tcW w:w="1808" w:type="dxa"/>
            <w:shd w:val="clear" w:color="auto" w:fill="auto"/>
            <w:tcMar>
              <w:top w:w="0" w:type="dxa"/>
              <w:left w:w="108" w:type="dxa"/>
              <w:bottom w:w="0" w:type="dxa"/>
              <w:right w:w="108" w:type="dxa"/>
            </w:tcMar>
            <w:vAlign w:val="center"/>
          </w:tcPr>
          <w:p w14:paraId="6F5625F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hint="eastAsia"/>
                <w:color w:val="000000"/>
                <w:sz w:val="21"/>
                <w:szCs w:val="21"/>
              </w:rPr>
              <w:t>出售商品</w:t>
            </w:r>
          </w:p>
        </w:tc>
        <w:tc>
          <w:tcPr>
            <w:tcW w:w="1668" w:type="dxa"/>
            <w:shd w:val="clear" w:color="auto" w:fill="auto"/>
            <w:tcMar>
              <w:top w:w="0" w:type="dxa"/>
              <w:left w:w="108" w:type="dxa"/>
              <w:bottom w:w="0" w:type="dxa"/>
              <w:right w:w="108" w:type="dxa"/>
            </w:tcMar>
            <w:vAlign w:val="center"/>
          </w:tcPr>
          <w:p w14:paraId="56FAD12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73.19 </w:t>
            </w:r>
          </w:p>
        </w:tc>
        <w:tc>
          <w:tcPr>
            <w:tcW w:w="1448" w:type="dxa"/>
            <w:shd w:val="clear" w:color="auto" w:fill="auto"/>
            <w:tcMar>
              <w:top w:w="0" w:type="dxa"/>
              <w:left w:w="108" w:type="dxa"/>
              <w:bottom w:w="0" w:type="dxa"/>
              <w:right w:w="108" w:type="dxa"/>
            </w:tcMar>
            <w:vAlign w:val="center"/>
          </w:tcPr>
          <w:p w14:paraId="6F36214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115.04 </w:t>
            </w:r>
          </w:p>
        </w:tc>
        <w:tc>
          <w:tcPr>
            <w:tcW w:w="1448" w:type="dxa"/>
            <w:shd w:val="clear" w:color="auto" w:fill="auto"/>
            <w:tcMar>
              <w:top w:w="0" w:type="dxa"/>
              <w:left w:w="108" w:type="dxa"/>
              <w:bottom w:w="0" w:type="dxa"/>
              <w:right w:w="108" w:type="dxa"/>
            </w:tcMar>
            <w:vAlign w:val="center"/>
          </w:tcPr>
          <w:p w14:paraId="0AA77A6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344.83 </w:t>
            </w:r>
          </w:p>
        </w:tc>
      </w:tr>
      <w:tr w:rsidR="006416B0" w:rsidRPr="00B4515A" w14:paraId="4A5913CC" w14:textId="77777777" w:rsidTr="006100BC">
        <w:trPr>
          <w:trHeight w:val="340"/>
          <w:jc w:val="center"/>
        </w:trPr>
        <w:tc>
          <w:tcPr>
            <w:tcW w:w="2392" w:type="dxa"/>
            <w:shd w:val="clear" w:color="auto" w:fill="auto"/>
            <w:tcMar>
              <w:top w:w="0" w:type="dxa"/>
              <w:left w:w="108" w:type="dxa"/>
              <w:bottom w:w="0" w:type="dxa"/>
              <w:right w:w="108" w:type="dxa"/>
            </w:tcMar>
            <w:vAlign w:val="center"/>
          </w:tcPr>
          <w:p w14:paraId="36E8326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hint="eastAsia"/>
                <w:color w:val="000000"/>
                <w:sz w:val="21"/>
                <w:szCs w:val="21"/>
              </w:rPr>
              <w:t>西安大唐电信有限公司</w:t>
            </w:r>
          </w:p>
        </w:tc>
        <w:tc>
          <w:tcPr>
            <w:tcW w:w="1808" w:type="dxa"/>
            <w:shd w:val="clear" w:color="auto" w:fill="auto"/>
            <w:tcMar>
              <w:top w:w="0" w:type="dxa"/>
              <w:left w:w="108" w:type="dxa"/>
              <w:bottom w:w="0" w:type="dxa"/>
              <w:right w:w="108" w:type="dxa"/>
            </w:tcMar>
            <w:vAlign w:val="center"/>
          </w:tcPr>
          <w:p w14:paraId="04E2402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hint="eastAsia"/>
                <w:color w:val="000000"/>
                <w:sz w:val="21"/>
                <w:szCs w:val="21"/>
              </w:rPr>
              <w:t>出售商品</w:t>
            </w:r>
          </w:p>
        </w:tc>
        <w:tc>
          <w:tcPr>
            <w:tcW w:w="1668" w:type="dxa"/>
            <w:shd w:val="clear" w:color="auto" w:fill="auto"/>
            <w:tcMar>
              <w:top w:w="0" w:type="dxa"/>
              <w:left w:w="108" w:type="dxa"/>
              <w:bottom w:w="0" w:type="dxa"/>
              <w:right w:w="108" w:type="dxa"/>
            </w:tcMar>
            <w:vAlign w:val="center"/>
          </w:tcPr>
          <w:p w14:paraId="76C414D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30.19 </w:t>
            </w:r>
          </w:p>
        </w:tc>
        <w:tc>
          <w:tcPr>
            <w:tcW w:w="1448" w:type="dxa"/>
            <w:shd w:val="clear" w:color="auto" w:fill="auto"/>
            <w:tcMar>
              <w:top w:w="0" w:type="dxa"/>
              <w:left w:w="108" w:type="dxa"/>
              <w:bottom w:w="0" w:type="dxa"/>
              <w:right w:w="108" w:type="dxa"/>
            </w:tcMar>
            <w:vAlign w:val="center"/>
          </w:tcPr>
          <w:p w14:paraId="5B60AC4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   </w:t>
            </w:r>
          </w:p>
        </w:tc>
        <w:tc>
          <w:tcPr>
            <w:tcW w:w="1448" w:type="dxa"/>
            <w:shd w:val="clear" w:color="auto" w:fill="auto"/>
            <w:tcMar>
              <w:top w:w="0" w:type="dxa"/>
              <w:left w:w="108" w:type="dxa"/>
              <w:bottom w:w="0" w:type="dxa"/>
              <w:right w:w="108" w:type="dxa"/>
            </w:tcMar>
            <w:vAlign w:val="center"/>
          </w:tcPr>
          <w:p w14:paraId="26BD61A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   </w:t>
            </w:r>
          </w:p>
        </w:tc>
      </w:tr>
      <w:tr w:rsidR="006416B0" w:rsidRPr="00B4515A" w14:paraId="4A60C5A5" w14:textId="77777777" w:rsidTr="006100BC">
        <w:trPr>
          <w:trHeight w:val="340"/>
          <w:jc w:val="center"/>
        </w:trPr>
        <w:tc>
          <w:tcPr>
            <w:tcW w:w="2392" w:type="dxa"/>
            <w:shd w:val="clear" w:color="auto" w:fill="auto"/>
            <w:tcMar>
              <w:top w:w="0" w:type="dxa"/>
              <w:left w:w="108" w:type="dxa"/>
              <w:bottom w:w="0" w:type="dxa"/>
              <w:right w:w="108" w:type="dxa"/>
            </w:tcMar>
            <w:vAlign w:val="center"/>
          </w:tcPr>
          <w:p w14:paraId="56594CC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hint="eastAsia"/>
                <w:color w:val="000000"/>
                <w:sz w:val="21"/>
                <w:szCs w:val="21"/>
              </w:rPr>
              <w:t>大唐半导体科技有限公司</w:t>
            </w:r>
          </w:p>
        </w:tc>
        <w:tc>
          <w:tcPr>
            <w:tcW w:w="1808" w:type="dxa"/>
            <w:shd w:val="clear" w:color="auto" w:fill="auto"/>
            <w:tcMar>
              <w:top w:w="0" w:type="dxa"/>
              <w:left w:w="108" w:type="dxa"/>
              <w:bottom w:w="0" w:type="dxa"/>
              <w:right w:w="108" w:type="dxa"/>
            </w:tcMar>
            <w:vAlign w:val="center"/>
          </w:tcPr>
          <w:p w14:paraId="3AE4508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hint="eastAsia"/>
                <w:color w:val="000000"/>
                <w:sz w:val="21"/>
                <w:szCs w:val="21"/>
              </w:rPr>
              <w:t>出售商品</w:t>
            </w:r>
          </w:p>
        </w:tc>
        <w:tc>
          <w:tcPr>
            <w:tcW w:w="1668" w:type="dxa"/>
            <w:shd w:val="clear" w:color="auto" w:fill="auto"/>
            <w:tcMar>
              <w:top w:w="0" w:type="dxa"/>
              <w:left w:w="108" w:type="dxa"/>
              <w:bottom w:w="0" w:type="dxa"/>
              <w:right w:w="108" w:type="dxa"/>
            </w:tcMar>
            <w:vAlign w:val="center"/>
          </w:tcPr>
          <w:p w14:paraId="63F329A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   </w:t>
            </w:r>
          </w:p>
        </w:tc>
        <w:tc>
          <w:tcPr>
            <w:tcW w:w="1448" w:type="dxa"/>
            <w:shd w:val="clear" w:color="auto" w:fill="auto"/>
            <w:tcMar>
              <w:top w:w="0" w:type="dxa"/>
              <w:left w:w="108" w:type="dxa"/>
              <w:bottom w:w="0" w:type="dxa"/>
              <w:right w:w="108" w:type="dxa"/>
            </w:tcMar>
            <w:vAlign w:val="center"/>
          </w:tcPr>
          <w:p w14:paraId="029101B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7.96 </w:t>
            </w:r>
          </w:p>
        </w:tc>
        <w:tc>
          <w:tcPr>
            <w:tcW w:w="1448" w:type="dxa"/>
            <w:shd w:val="clear" w:color="auto" w:fill="auto"/>
            <w:tcMar>
              <w:top w:w="0" w:type="dxa"/>
              <w:left w:w="108" w:type="dxa"/>
              <w:bottom w:w="0" w:type="dxa"/>
              <w:right w:w="108" w:type="dxa"/>
            </w:tcMar>
            <w:vAlign w:val="center"/>
          </w:tcPr>
          <w:p w14:paraId="0FFBCFD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olor w:val="000000"/>
                <w:sz w:val="21"/>
                <w:szCs w:val="21"/>
              </w:rPr>
              <w:t xml:space="preserve">            63.72 </w:t>
            </w:r>
          </w:p>
        </w:tc>
      </w:tr>
      <w:tr w:rsidR="008A4451" w:rsidRPr="00B4515A" w14:paraId="639C91D7" w14:textId="77777777" w:rsidTr="006100BC">
        <w:trPr>
          <w:trHeight w:val="340"/>
          <w:jc w:val="center"/>
        </w:trPr>
        <w:tc>
          <w:tcPr>
            <w:tcW w:w="2392" w:type="dxa"/>
            <w:shd w:val="clear" w:color="auto" w:fill="auto"/>
            <w:tcMar>
              <w:top w:w="0" w:type="dxa"/>
              <w:left w:w="108" w:type="dxa"/>
              <w:bottom w:w="0" w:type="dxa"/>
              <w:right w:w="108" w:type="dxa"/>
            </w:tcMar>
            <w:vAlign w:val="center"/>
          </w:tcPr>
          <w:p w14:paraId="6ADDA2A2" w14:textId="3AD38515" w:rsidR="008A4451" w:rsidRPr="00B4515A" w:rsidRDefault="008A4451" w:rsidP="005860B4">
            <w:pPr>
              <w:adjustRightInd w:val="0"/>
              <w:snapToGrid w:val="0"/>
              <w:rPr>
                <w:rFonts w:ascii="Times New Roman" w:hAnsi="Times New Roman"/>
                <w:color w:val="000000"/>
                <w:sz w:val="21"/>
                <w:szCs w:val="21"/>
              </w:rPr>
            </w:pPr>
            <w:r w:rsidRPr="00B4515A">
              <w:rPr>
                <w:rFonts w:ascii="Times New Roman" w:hAnsi="Times New Roman" w:hint="eastAsia"/>
                <w:color w:val="000000"/>
                <w:sz w:val="21"/>
                <w:szCs w:val="21"/>
              </w:rPr>
              <w:t>电信科学技术第十研究所有限公司</w:t>
            </w:r>
          </w:p>
        </w:tc>
        <w:tc>
          <w:tcPr>
            <w:tcW w:w="1808" w:type="dxa"/>
            <w:shd w:val="clear" w:color="auto" w:fill="auto"/>
            <w:tcMar>
              <w:top w:w="0" w:type="dxa"/>
              <w:left w:w="108" w:type="dxa"/>
              <w:bottom w:w="0" w:type="dxa"/>
              <w:right w:w="108" w:type="dxa"/>
            </w:tcMar>
            <w:vAlign w:val="center"/>
          </w:tcPr>
          <w:p w14:paraId="53B51151" w14:textId="5FA53857" w:rsidR="008A4451" w:rsidRPr="00B4515A" w:rsidRDefault="008A4451" w:rsidP="005860B4">
            <w:pPr>
              <w:adjustRightInd w:val="0"/>
              <w:snapToGrid w:val="0"/>
              <w:jc w:val="center"/>
              <w:rPr>
                <w:rFonts w:ascii="Times New Roman" w:hAnsi="Times New Roman"/>
                <w:color w:val="000000"/>
                <w:sz w:val="21"/>
                <w:szCs w:val="21"/>
              </w:rPr>
            </w:pPr>
            <w:r w:rsidRPr="00B4515A">
              <w:rPr>
                <w:rFonts w:ascii="Times New Roman" w:hAnsi="Times New Roman" w:hint="eastAsia"/>
                <w:color w:val="000000"/>
                <w:sz w:val="21"/>
                <w:szCs w:val="21"/>
              </w:rPr>
              <w:t>出售商品</w:t>
            </w:r>
          </w:p>
        </w:tc>
        <w:tc>
          <w:tcPr>
            <w:tcW w:w="1668" w:type="dxa"/>
            <w:shd w:val="clear" w:color="auto" w:fill="auto"/>
            <w:tcMar>
              <w:top w:w="0" w:type="dxa"/>
              <w:left w:w="108" w:type="dxa"/>
              <w:bottom w:w="0" w:type="dxa"/>
              <w:right w:w="108" w:type="dxa"/>
            </w:tcMar>
            <w:vAlign w:val="center"/>
          </w:tcPr>
          <w:p w14:paraId="646642FD" w14:textId="606F46E8" w:rsidR="008A4451" w:rsidRPr="00B4515A" w:rsidRDefault="008A4451" w:rsidP="005860B4">
            <w:pPr>
              <w:adjustRightInd w:val="0"/>
              <w:snapToGrid w:val="0"/>
              <w:jc w:val="right"/>
              <w:rPr>
                <w:rFonts w:ascii="Times New Roman" w:hAnsi="Times New Roman"/>
                <w:color w:val="000000"/>
                <w:sz w:val="21"/>
                <w:szCs w:val="21"/>
              </w:rPr>
            </w:pPr>
            <w:r w:rsidRPr="00B4515A">
              <w:rPr>
                <w:rFonts w:ascii="Times New Roman" w:eastAsia="等线" w:hAnsi="Times New Roman" w:cs="Times New Roman" w:hint="eastAsia"/>
                <w:color w:val="000000"/>
                <w:sz w:val="21"/>
                <w:szCs w:val="21"/>
              </w:rPr>
              <w:t xml:space="preserve">　</w:t>
            </w:r>
          </w:p>
        </w:tc>
        <w:tc>
          <w:tcPr>
            <w:tcW w:w="1448" w:type="dxa"/>
            <w:shd w:val="clear" w:color="auto" w:fill="auto"/>
            <w:tcMar>
              <w:top w:w="0" w:type="dxa"/>
              <w:left w:w="108" w:type="dxa"/>
              <w:bottom w:w="0" w:type="dxa"/>
              <w:right w:w="108" w:type="dxa"/>
            </w:tcMar>
            <w:vAlign w:val="center"/>
          </w:tcPr>
          <w:p w14:paraId="4224D9B3" w14:textId="2800224D" w:rsidR="008A4451" w:rsidRPr="00B4515A" w:rsidRDefault="008A4451" w:rsidP="005860B4">
            <w:pPr>
              <w:adjustRightInd w:val="0"/>
              <w:snapToGrid w:val="0"/>
              <w:jc w:val="right"/>
              <w:rPr>
                <w:rFonts w:ascii="Times New Roman" w:hAnsi="Times New Roman"/>
                <w:color w:val="000000"/>
                <w:sz w:val="21"/>
                <w:szCs w:val="21"/>
              </w:rPr>
            </w:pPr>
            <w:r w:rsidRPr="00B4515A">
              <w:rPr>
                <w:rFonts w:ascii="Times New Roman" w:eastAsia="等线" w:hAnsi="Times New Roman" w:cs="Times New Roman" w:hint="eastAsia"/>
                <w:color w:val="000000"/>
                <w:sz w:val="21"/>
                <w:szCs w:val="21"/>
              </w:rPr>
              <w:t xml:space="preserve">　</w:t>
            </w:r>
          </w:p>
        </w:tc>
        <w:tc>
          <w:tcPr>
            <w:tcW w:w="1448" w:type="dxa"/>
            <w:shd w:val="clear" w:color="auto" w:fill="auto"/>
            <w:tcMar>
              <w:top w:w="0" w:type="dxa"/>
              <w:left w:w="108" w:type="dxa"/>
              <w:bottom w:w="0" w:type="dxa"/>
              <w:right w:w="108" w:type="dxa"/>
            </w:tcMar>
            <w:vAlign w:val="center"/>
          </w:tcPr>
          <w:p w14:paraId="1AC07030" w14:textId="2830ACA8" w:rsidR="008A4451" w:rsidRPr="00B4515A" w:rsidRDefault="008A4451" w:rsidP="005860B4">
            <w:pPr>
              <w:adjustRightInd w:val="0"/>
              <w:snapToGrid w:val="0"/>
              <w:jc w:val="right"/>
              <w:rPr>
                <w:rFonts w:ascii="Times New Roman" w:hAnsi="Times New Roman"/>
                <w:color w:val="000000"/>
                <w:sz w:val="21"/>
                <w:szCs w:val="21"/>
              </w:rPr>
            </w:pPr>
            <w:r w:rsidRPr="00B4515A">
              <w:rPr>
                <w:rFonts w:ascii="Times New Roman" w:hAnsi="Times New Roman"/>
                <w:color w:val="000000"/>
                <w:sz w:val="21"/>
                <w:szCs w:val="21"/>
              </w:rPr>
              <w:t>1,073.40</w:t>
            </w:r>
          </w:p>
        </w:tc>
      </w:tr>
      <w:tr w:rsidR="006416B0" w:rsidRPr="00B4515A" w14:paraId="5901272C" w14:textId="77777777" w:rsidTr="006100BC">
        <w:trPr>
          <w:trHeight w:val="340"/>
          <w:jc w:val="center"/>
        </w:trPr>
        <w:tc>
          <w:tcPr>
            <w:tcW w:w="4200" w:type="dxa"/>
            <w:gridSpan w:val="2"/>
            <w:shd w:val="clear" w:color="auto" w:fill="auto"/>
            <w:tcMar>
              <w:top w:w="0" w:type="dxa"/>
              <w:left w:w="108" w:type="dxa"/>
              <w:bottom w:w="0" w:type="dxa"/>
              <w:right w:w="108" w:type="dxa"/>
            </w:tcMar>
            <w:vAlign w:val="center"/>
          </w:tcPr>
          <w:p w14:paraId="7D8B1C4F"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hint="eastAsia"/>
                <w:b/>
                <w:color w:val="000000"/>
                <w:sz w:val="21"/>
                <w:szCs w:val="21"/>
              </w:rPr>
              <w:t>合计</w:t>
            </w:r>
          </w:p>
        </w:tc>
        <w:tc>
          <w:tcPr>
            <w:tcW w:w="1668" w:type="dxa"/>
            <w:shd w:val="clear" w:color="auto" w:fill="auto"/>
            <w:tcMar>
              <w:top w:w="0" w:type="dxa"/>
              <w:left w:w="108" w:type="dxa"/>
              <w:bottom w:w="0" w:type="dxa"/>
              <w:right w:w="108" w:type="dxa"/>
            </w:tcMar>
            <w:vAlign w:val="center"/>
          </w:tcPr>
          <w:p w14:paraId="5CCA0CF1"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eastAsia="等线" w:hAnsi="Times New Roman" w:cs="Times New Roman"/>
                <w:b/>
                <w:color w:val="000000"/>
                <w:sz w:val="21"/>
                <w:szCs w:val="21"/>
              </w:rPr>
              <w:t>532.78</w:t>
            </w:r>
          </w:p>
        </w:tc>
        <w:tc>
          <w:tcPr>
            <w:tcW w:w="1448" w:type="dxa"/>
            <w:shd w:val="clear" w:color="auto" w:fill="auto"/>
            <w:tcMar>
              <w:top w:w="0" w:type="dxa"/>
              <w:left w:w="108" w:type="dxa"/>
              <w:bottom w:w="0" w:type="dxa"/>
              <w:right w:w="108" w:type="dxa"/>
            </w:tcMar>
            <w:vAlign w:val="center"/>
          </w:tcPr>
          <w:p w14:paraId="4E5F5856" w14:textId="77777777" w:rsidR="006416B0" w:rsidRPr="00B4515A" w:rsidRDefault="005E58C1" w:rsidP="005860B4">
            <w:pPr>
              <w:adjustRightInd w:val="0"/>
              <w:snapToGrid w:val="0"/>
              <w:jc w:val="right"/>
              <w:rPr>
                <w:rFonts w:ascii="Times New Roman" w:hAnsi="Times New Roman" w:cs="Times New Roman"/>
                <w:b/>
                <w:color w:val="000000"/>
                <w:sz w:val="21"/>
                <w:szCs w:val="21"/>
              </w:rPr>
            </w:pPr>
            <w:r w:rsidRPr="00B4515A">
              <w:rPr>
                <w:rFonts w:ascii="Times New Roman" w:eastAsia="等线" w:hAnsi="Times New Roman" w:cs="Times New Roman"/>
                <w:b/>
                <w:color w:val="000000"/>
                <w:sz w:val="21"/>
                <w:szCs w:val="21"/>
              </w:rPr>
              <w:t>5,342.74</w:t>
            </w:r>
          </w:p>
        </w:tc>
        <w:tc>
          <w:tcPr>
            <w:tcW w:w="1448" w:type="dxa"/>
            <w:shd w:val="clear" w:color="auto" w:fill="auto"/>
            <w:tcMar>
              <w:top w:w="0" w:type="dxa"/>
              <w:left w:w="108" w:type="dxa"/>
              <w:bottom w:w="0" w:type="dxa"/>
              <w:right w:w="108" w:type="dxa"/>
            </w:tcMar>
            <w:vAlign w:val="center"/>
          </w:tcPr>
          <w:p w14:paraId="3ACCAC77" w14:textId="0A45123D" w:rsidR="006416B0" w:rsidRPr="00B4515A" w:rsidRDefault="001630D6" w:rsidP="005860B4">
            <w:pPr>
              <w:adjustRightInd w:val="0"/>
              <w:snapToGrid w:val="0"/>
              <w:jc w:val="right"/>
              <w:rPr>
                <w:rFonts w:ascii="Times New Roman" w:hAnsi="Times New Roman"/>
                <w:b/>
                <w:color w:val="000000"/>
                <w:sz w:val="21"/>
                <w:szCs w:val="21"/>
              </w:rPr>
            </w:pPr>
            <w:r w:rsidRPr="00B4515A">
              <w:rPr>
                <w:rFonts w:ascii="Times New Roman" w:hAnsi="Times New Roman"/>
                <w:b/>
                <w:color w:val="000000"/>
                <w:sz w:val="21"/>
                <w:szCs w:val="21"/>
              </w:rPr>
              <w:t>3,065.78</w:t>
            </w:r>
          </w:p>
        </w:tc>
      </w:tr>
      <w:tr w:rsidR="006416B0" w:rsidRPr="00B4515A" w14:paraId="42887589" w14:textId="77777777" w:rsidTr="006100BC">
        <w:trPr>
          <w:trHeight w:val="340"/>
          <w:jc w:val="center"/>
        </w:trPr>
        <w:tc>
          <w:tcPr>
            <w:tcW w:w="4200" w:type="dxa"/>
            <w:gridSpan w:val="2"/>
            <w:shd w:val="clear" w:color="auto" w:fill="auto"/>
            <w:tcMar>
              <w:top w:w="0" w:type="dxa"/>
              <w:left w:w="108" w:type="dxa"/>
              <w:bottom w:w="0" w:type="dxa"/>
              <w:right w:w="108" w:type="dxa"/>
            </w:tcMar>
            <w:vAlign w:val="center"/>
          </w:tcPr>
          <w:p w14:paraId="1C48A9F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占大唐联诚营业收入的比例</w:t>
            </w:r>
          </w:p>
        </w:tc>
        <w:tc>
          <w:tcPr>
            <w:tcW w:w="1668" w:type="dxa"/>
            <w:shd w:val="clear" w:color="auto" w:fill="auto"/>
            <w:tcMar>
              <w:top w:w="0" w:type="dxa"/>
              <w:left w:w="108" w:type="dxa"/>
              <w:bottom w:w="0" w:type="dxa"/>
              <w:right w:w="108" w:type="dxa"/>
            </w:tcMar>
            <w:vAlign w:val="center"/>
          </w:tcPr>
          <w:p w14:paraId="2AAC25B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4.18%</w:t>
            </w:r>
          </w:p>
        </w:tc>
        <w:tc>
          <w:tcPr>
            <w:tcW w:w="1448" w:type="dxa"/>
            <w:shd w:val="clear" w:color="auto" w:fill="auto"/>
            <w:tcMar>
              <w:top w:w="0" w:type="dxa"/>
              <w:left w:w="108" w:type="dxa"/>
              <w:bottom w:w="0" w:type="dxa"/>
              <w:right w:w="108" w:type="dxa"/>
            </w:tcMar>
            <w:vAlign w:val="center"/>
          </w:tcPr>
          <w:p w14:paraId="292ED86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eastAsia="等线" w:hAnsi="Times New Roman" w:cs="Times New Roman"/>
                <w:color w:val="000000"/>
                <w:sz w:val="21"/>
                <w:szCs w:val="21"/>
              </w:rPr>
              <w:t>9.66%</w:t>
            </w:r>
          </w:p>
        </w:tc>
        <w:tc>
          <w:tcPr>
            <w:tcW w:w="1448" w:type="dxa"/>
            <w:shd w:val="clear" w:color="auto" w:fill="auto"/>
            <w:tcMar>
              <w:top w:w="0" w:type="dxa"/>
              <w:left w:w="108" w:type="dxa"/>
              <w:bottom w:w="0" w:type="dxa"/>
              <w:right w:w="108" w:type="dxa"/>
            </w:tcMar>
            <w:vAlign w:val="center"/>
          </w:tcPr>
          <w:p w14:paraId="4B60324B" w14:textId="77777777" w:rsidR="008A4451" w:rsidRPr="00B4515A" w:rsidRDefault="008A4451" w:rsidP="005860B4">
            <w:pPr>
              <w:adjustRightInd w:val="0"/>
              <w:snapToGrid w:val="0"/>
              <w:jc w:val="right"/>
              <w:rPr>
                <w:rFonts w:ascii="Times New Roman" w:hAnsi="Times New Roman"/>
                <w:color w:val="000000"/>
                <w:sz w:val="21"/>
                <w:szCs w:val="21"/>
              </w:rPr>
            </w:pPr>
            <w:r w:rsidRPr="00B4515A">
              <w:rPr>
                <w:rFonts w:ascii="Times New Roman" w:hAnsi="Times New Roman"/>
                <w:color w:val="000000"/>
                <w:sz w:val="21"/>
                <w:szCs w:val="21"/>
              </w:rPr>
              <w:t>8.36%</w:t>
            </w:r>
          </w:p>
          <w:p w14:paraId="0530F736" w14:textId="5EA83982" w:rsidR="006416B0" w:rsidRPr="00B4515A" w:rsidRDefault="006416B0" w:rsidP="005860B4">
            <w:pPr>
              <w:adjustRightInd w:val="0"/>
              <w:snapToGrid w:val="0"/>
              <w:jc w:val="right"/>
              <w:rPr>
                <w:rFonts w:ascii="Times New Roman" w:hAnsi="Times New Roman"/>
                <w:color w:val="000000"/>
                <w:sz w:val="21"/>
                <w:szCs w:val="21"/>
              </w:rPr>
            </w:pPr>
          </w:p>
        </w:tc>
      </w:tr>
    </w:tbl>
    <w:p w14:paraId="2F2423E2" w14:textId="2D41335A" w:rsidR="006416B0" w:rsidRPr="00B4515A" w:rsidRDefault="005E58C1" w:rsidP="006100BC">
      <w:pPr>
        <w:pStyle w:val="005"/>
        <w:spacing w:before="120" w:after="120"/>
        <w:ind w:firstLine="480"/>
      </w:pPr>
      <w:r w:rsidRPr="00B4515A">
        <w:rPr>
          <w:rFonts w:hint="eastAsia"/>
        </w:rPr>
        <w:t>报告期内，大唐联诚的关联销售总金额占其营业收入的比例分别为</w:t>
      </w:r>
      <w:r w:rsidR="008A4451" w:rsidRPr="00B4515A">
        <w:t>8.36</w:t>
      </w:r>
      <w:r w:rsidRPr="00B4515A">
        <w:t>%</w:t>
      </w:r>
      <w:r w:rsidRPr="00B4515A">
        <w:rPr>
          <w:rFonts w:hint="eastAsia"/>
        </w:rPr>
        <w:t>、</w:t>
      </w:r>
      <w:r w:rsidRPr="00B4515A">
        <w:t>9.66%</w:t>
      </w:r>
      <w:r w:rsidRPr="00B4515A">
        <w:rPr>
          <w:rFonts w:hint="eastAsia"/>
        </w:rPr>
        <w:t>及</w:t>
      </w:r>
      <w:r w:rsidRPr="00B4515A">
        <w:t>4.18%</w:t>
      </w:r>
      <w:r w:rsidRPr="00B4515A">
        <w:rPr>
          <w:rFonts w:hint="eastAsia"/>
        </w:rPr>
        <w:t>，关联销售比例较低。报告期内，大唐联诚的关联销售中主要包括向大唐终端销售元器件。本次重组完成后，大唐联诚并入大唐电信合并范围内</w:t>
      </w:r>
      <w:r w:rsidR="00AB15FA" w:rsidRPr="00B4515A">
        <w:rPr>
          <w:rFonts w:hint="eastAsia"/>
        </w:rPr>
        <w:t>，</w:t>
      </w:r>
      <w:r w:rsidRPr="00B4515A">
        <w:rPr>
          <w:rFonts w:hint="eastAsia"/>
        </w:rPr>
        <w:t>大唐联诚与大唐终端的关联交易将抵消。</w:t>
      </w:r>
    </w:p>
    <w:p w14:paraId="18815D43" w14:textId="77777777" w:rsidR="006416B0" w:rsidRPr="00B4515A" w:rsidRDefault="005E58C1" w:rsidP="006100BC">
      <w:pPr>
        <w:pStyle w:val="005"/>
        <w:spacing w:before="120" w:after="120"/>
        <w:ind w:firstLine="480"/>
      </w:pPr>
      <w:r w:rsidRPr="00B4515A">
        <w:rPr>
          <w:rFonts w:hint="eastAsia"/>
        </w:rPr>
        <w:t>报告期内，</w:t>
      </w:r>
      <w:r w:rsidRPr="00B4515A">
        <w:t>大唐联诚向大唐终端销售的产品主要为终端产品所需核心元器件</w:t>
      </w:r>
      <w:r w:rsidRPr="00B4515A">
        <w:rPr>
          <w:rFonts w:hint="eastAsia"/>
        </w:rPr>
        <w:t>，其销售价格的公允性分析见</w:t>
      </w:r>
      <w:r w:rsidRPr="00B4515A">
        <w:rPr>
          <w:rFonts w:ascii="宋体" w:hAnsi="宋体" w:hint="eastAsia"/>
        </w:rPr>
        <w:t>“</w:t>
      </w:r>
      <w:r w:rsidRPr="00B4515A">
        <w:rPr>
          <w:rFonts w:hint="eastAsia"/>
        </w:rPr>
        <w:t>第十一节</w:t>
      </w:r>
      <w:r w:rsidRPr="00B4515A">
        <w:rPr>
          <w:rFonts w:hint="eastAsia"/>
        </w:rPr>
        <w:t xml:space="preserve"> </w:t>
      </w:r>
      <w:r w:rsidRPr="00B4515A">
        <w:rPr>
          <w:rFonts w:hint="eastAsia"/>
        </w:rPr>
        <w:t>同业竞争与关联交易</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一、</w:t>
      </w:r>
      <w:r w:rsidRPr="00B4515A">
        <w:rPr>
          <w:rFonts w:hint="eastAsia"/>
        </w:rPr>
        <w:tab/>
      </w:r>
      <w:r w:rsidRPr="00B4515A">
        <w:rPr>
          <w:rFonts w:hint="eastAsia"/>
        </w:rPr>
        <w:t>标的公司报告期关联交易情况</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（一）关联交易情况</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1</w:t>
      </w:r>
      <w:r w:rsidRPr="00B4515A">
        <w:rPr>
          <w:rFonts w:hint="eastAsia"/>
        </w:rPr>
        <w:t>、购销商品、提供和接受劳务的关联交易</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w:t>
      </w:r>
      <w:r w:rsidRPr="00B4515A">
        <w:rPr>
          <w:rFonts w:hint="eastAsia"/>
        </w:rPr>
        <w:t>1</w:t>
      </w:r>
      <w:r w:rsidRPr="00B4515A">
        <w:rPr>
          <w:rFonts w:hint="eastAsia"/>
        </w:rPr>
        <w:t>）采购商品</w:t>
      </w:r>
      <w:r w:rsidRPr="00B4515A">
        <w:rPr>
          <w:rFonts w:hint="eastAsia"/>
        </w:rPr>
        <w:t>/</w:t>
      </w:r>
      <w:r w:rsidRPr="00B4515A">
        <w:rPr>
          <w:rFonts w:hint="eastAsia"/>
        </w:rPr>
        <w:t>接受劳务情况</w:t>
      </w:r>
      <w:r w:rsidRPr="00B4515A">
        <w:rPr>
          <w:rFonts w:ascii="宋体" w:hAnsi="宋体" w:hint="eastAsia"/>
        </w:rPr>
        <w:t>”</w:t>
      </w:r>
      <w:r w:rsidRPr="00B4515A">
        <w:rPr>
          <w:rFonts w:hint="eastAsia"/>
        </w:rPr>
        <w:t>。</w:t>
      </w:r>
    </w:p>
    <w:p w14:paraId="35E383BF" w14:textId="71A34695" w:rsidR="006416B0" w:rsidRPr="00B4515A" w:rsidRDefault="00CE510C" w:rsidP="006100BC">
      <w:pPr>
        <w:pStyle w:val="004"/>
        <w:spacing w:before="120" w:after="120"/>
        <w:ind w:firstLine="482"/>
      </w:pPr>
      <w:bookmarkStart w:id="335" w:name="_Toc75169320"/>
      <w:r w:rsidRPr="00B4515A">
        <w:t>2</w:t>
      </w:r>
      <w:r w:rsidR="008C1C67" w:rsidRPr="00B4515A">
        <w:t>、</w:t>
      </w:r>
      <w:r w:rsidR="005E58C1" w:rsidRPr="00B4515A">
        <w:rPr>
          <w:rFonts w:hint="eastAsia"/>
        </w:rPr>
        <w:t>关联租赁</w:t>
      </w:r>
      <w:bookmarkEnd w:id="335"/>
    </w:p>
    <w:p w14:paraId="7441F6E6" w14:textId="395BD9A4" w:rsidR="006416B0" w:rsidRPr="00B4515A" w:rsidRDefault="005E58C1" w:rsidP="006100BC">
      <w:pPr>
        <w:pStyle w:val="005"/>
        <w:spacing w:before="120" w:after="120"/>
        <w:ind w:firstLine="480"/>
      </w:pPr>
      <w:r w:rsidRPr="00B4515A">
        <w:rPr>
          <w:rFonts w:hint="eastAsia"/>
        </w:rPr>
        <w:t>大唐联诚作为承租方：</w:t>
      </w:r>
    </w:p>
    <w:p w14:paraId="21A9BE75" w14:textId="60A05712" w:rsidR="006416B0" w:rsidRPr="00B4515A" w:rsidRDefault="00D44516"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0"/>
        <w:gridCol w:w="1640"/>
        <w:gridCol w:w="1838"/>
        <w:gridCol w:w="1218"/>
        <w:gridCol w:w="1442"/>
      </w:tblGrid>
      <w:tr w:rsidR="006416B0" w:rsidRPr="00B4515A" w14:paraId="2CD73C66" w14:textId="77777777" w:rsidTr="00031627">
        <w:trPr>
          <w:trHeight w:val="340"/>
          <w:jc w:val="center"/>
        </w:trPr>
        <w:tc>
          <w:tcPr>
            <w:tcW w:w="2315" w:type="dxa"/>
            <w:vMerge w:val="restart"/>
            <w:shd w:val="clear" w:color="auto" w:fill="auto"/>
            <w:tcMar>
              <w:top w:w="0" w:type="dxa"/>
              <w:left w:w="108" w:type="dxa"/>
              <w:bottom w:w="0" w:type="dxa"/>
              <w:right w:w="108" w:type="dxa"/>
            </w:tcMar>
            <w:vAlign w:val="center"/>
          </w:tcPr>
          <w:p w14:paraId="07FC4D5F"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出租方名称</w:t>
            </w:r>
          </w:p>
        </w:tc>
        <w:tc>
          <w:tcPr>
            <w:tcW w:w="1588" w:type="dxa"/>
            <w:vMerge w:val="restart"/>
            <w:shd w:val="clear" w:color="auto" w:fill="auto"/>
            <w:tcMar>
              <w:top w:w="0" w:type="dxa"/>
              <w:left w:w="108" w:type="dxa"/>
              <w:bottom w:w="0" w:type="dxa"/>
              <w:right w:w="108" w:type="dxa"/>
            </w:tcMar>
            <w:vAlign w:val="center"/>
          </w:tcPr>
          <w:p w14:paraId="7530F832"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租赁资产种类</w:t>
            </w:r>
          </w:p>
        </w:tc>
        <w:tc>
          <w:tcPr>
            <w:tcW w:w="4357" w:type="dxa"/>
            <w:gridSpan w:val="3"/>
            <w:shd w:val="clear" w:color="auto" w:fill="auto"/>
            <w:tcMar>
              <w:top w:w="0" w:type="dxa"/>
              <w:left w:w="108" w:type="dxa"/>
              <w:bottom w:w="0" w:type="dxa"/>
              <w:right w:w="108" w:type="dxa"/>
            </w:tcMar>
            <w:vAlign w:val="center"/>
          </w:tcPr>
          <w:p w14:paraId="72AE8953"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确认的租赁费</w:t>
            </w:r>
          </w:p>
        </w:tc>
      </w:tr>
      <w:tr w:rsidR="006416B0" w:rsidRPr="00B4515A" w14:paraId="2034CBC6" w14:textId="77777777" w:rsidTr="00031627">
        <w:trPr>
          <w:trHeight w:val="340"/>
          <w:jc w:val="center"/>
        </w:trPr>
        <w:tc>
          <w:tcPr>
            <w:tcW w:w="2315" w:type="dxa"/>
            <w:vMerge/>
            <w:tcMar>
              <w:top w:w="0" w:type="dxa"/>
              <w:left w:w="108" w:type="dxa"/>
              <w:bottom w:w="0" w:type="dxa"/>
              <w:right w:w="108" w:type="dxa"/>
            </w:tcMar>
            <w:vAlign w:val="center"/>
          </w:tcPr>
          <w:p w14:paraId="5834E9A6" w14:textId="77777777" w:rsidR="006416B0" w:rsidRPr="00B4515A" w:rsidRDefault="006416B0" w:rsidP="005860B4">
            <w:pPr>
              <w:adjustRightInd w:val="0"/>
              <w:snapToGrid w:val="0"/>
              <w:rPr>
                <w:rFonts w:ascii="Times New Roman" w:hAnsi="Times New Roman" w:cs="Times New Roman"/>
                <w:b/>
                <w:bCs/>
                <w:color w:val="000000"/>
                <w:sz w:val="21"/>
                <w:szCs w:val="21"/>
              </w:rPr>
            </w:pPr>
          </w:p>
        </w:tc>
        <w:tc>
          <w:tcPr>
            <w:tcW w:w="1588" w:type="dxa"/>
            <w:vMerge/>
            <w:tcMar>
              <w:top w:w="0" w:type="dxa"/>
              <w:left w:w="108" w:type="dxa"/>
              <w:bottom w:w="0" w:type="dxa"/>
              <w:right w:w="108" w:type="dxa"/>
            </w:tcMar>
            <w:vAlign w:val="center"/>
          </w:tcPr>
          <w:p w14:paraId="00F461EC" w14:textId="77777777" w:rsidR="006416B0" w:rsidRPr="00B4515A" w:rsidRDefault="006416B0" w:rsidP="005860B4">
            <w:pPr>
              <w:adjustRightInd w:val="0"/>
              <w:snapToGrid w:val="0"/>
              <w:rPr>
                <w:rFonts w:ascii="Times New Roman" w:hAnsi="Times New Roman" w:cs="Times New Roman"/>
                <w:b/>
                <w:bCs/>
                <w:color w:val="000000"/>
                <w:sz w:val="21"/>
                <w:szCs w:val="21"/>
              </w:rPr>
            </w:pPr>
          </w:p>
        </w:tc>
        <w:tc>
          <w:tcPr>
            <w:tcW w:w="1780" w:type="dxa"/>
            <w:shd w:val="clear" w:color="auto" w:fill="auto"/>
            <w:tcMar>
              <w:top w:w="0" w:type="dxa"/>
              <w:left w:w="108" w:type="dxa"/>
              <w:bottom w:w="0" w:type="dxa"/>
              <w:right w:w="108" w:type="dxa"/>
            </w:tcMar>
            <w:vAlign w:val="center"/>
          </w:tcPr>
          <w:p w14:paraId="3A5D3B54"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w:t>
            </w:r>
            <w:r w:rsidRPr="00B4515A">
              <w:rPr>
                <w:rFonts w:cs="Times New Roman" w:hint="eastAsia"/>
                <w:b/>
                <w:bCs/>
                <w:color w:val="000000"/>
                <w:sz w:val="21"/>
                <w:szCs w:val="21"/>
              </w:rPr>
              <w:t>年度</w:t>
            </w:r>
          </w:p>
        </w:tc>
        <w:tc>
          <w:tcPr>
            <w:tcW w:w="1180" w:type="dxa"/>
            <w:shd w:val="clear" w:color="auto" w:fill="auto"/>
            <w:tcMar>
              <w:top w:w="0" w:type="dxa"/>
              <w:left w:w="108" w:type="dxa"/>
              <w:bottom w:w="0" w:type="dxa"/>
              <w:right w:w="108" w:type="dxa"/>
            </w:tcMar>
            <w:vAlign w:val="center"/>
          </w:tcPr>
          <w:p w14:paraId="25B9DFE2"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w:t>
            </w:r>
            <w:r w:rsidRPr="00B4515A">
              <w:rPr>
                <w:rFonts w:cs="Times New Roman" w:hint="eastAsia"/>
                <w:b/>
                <w:bCs/>
                <w:color w:val="000000"/>
                <w:sz w:val="21"/>
                <w:szCs w:val="21"/>
              </w:rPr>
              <w:t>年度</w:t>
            </w:r>
          </w:p>
        </w:tc>
        <w:tc>
          <w:tcPr>
            <w:tcW w:w="1397" w:type="dxa"/>
            <w:shd w:val="clear" w:color="auto" w:fill="auto"/>
            <w:tcMar>
              <w:top w:w="0" w:type="dxa"/>
              <w:left w:w="108" w:type="dxa"/>
              <w:bottom w:w="0" w:type="dxa"/>
              <w:right w:w="108" w:type="dxa"/>
            </w:tcMar>
            <w:vAlign w:val="center"/>
          </w:tcPr>
          <w:p w14:paraId="66CEA24A"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2018</w:t>
            </w:r>
            <w:r w:rsidRPr="00B4515A">
              <w:rPr>
                <w:rFonts w:cs="Times New Roman" w:hint="eastAsia"/>
                <w:b/>
                <w:bCs/>
                <w:color w:val="000000"/>
                <w:sz w:val="21"/>
                <w:szCs w:val="21"/>
              </w:rPr>
              <w:t>年度</w:t>
            </w:r>
          </w:p>
        </w:tc>
      </w:tr>
      <w:tr w:rsidR="006416B0" w:rsidRPr="00B4515A" w14:paraId="0B7D7A42" w14:textId="77777777" w:rsidTr="00031627">
        <w:trPr>
          <w:trHeight w:val="340"/>
          <w:jc w:val="center"/>
        </w:trPr>
        <w:tc>
          <w:tcPr>
            <w:tcW w:w="2315" w:type="dxa"/>
            <w:shd w:val="clear" w:color="auto" w:fill="auto"/>
            <w:tcMar>
              <w:top w:w="0" w:type="dxa"/>
              <w:left w:w="108" w:type="dxa"/>
              <w:bottom w:w="0" w:type="dxa"/>
              <w:right w:w="108" w:type="dxa"/>
            </w:tcMar>
            <w:vAlign w:val="center"/>
          </w:tcPr>
          <w:p w14:paraId="247A2B1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电信科学技术第十研究所有限公司</w:t>
            </w:r>
          </w:p>
        </w:tc>
        <w:tc>
          <w:tcPr>
            <w:tcW w:w="1588" w:type="dxa"/>
            <w:shd w:val="clear" w:color="auto" w:fill="auto"/>
            <w:tcMar>
              <w:top w:w="0" w:type="dxa"/>
              <w:left w:w="108" w:type="dxa"/>
              <w:bottom w:w="0" w:type="dxa"/>
              <w:right w:w="108" w:type="dxa"/>
            </w:tcMar>
            <w:vAlign w:val="center"/>
          </w:tcPr>
          <w:p w14:paraId="7DD3179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房屋</w:t>
            </w:r>
          </w:p>
        </w:tc>
        <w:tc>
          <w:tcPr>
            <w:tcW w:w="1780" w:type="dxa"/>
            <w:shd w:val="clear" w:color="auto" w:fill="auto"/>
            <w:tcMar>
              <w:top w:w="0" w:type="dxa"/>
              <w:left w:w="108" w:type="dxa"/>
              <w:bottom w:w="0" w:type="dxa"/>
              <w:right w:w="108" w:type="dxa"/>
            </w:tcMar>
            <w:vAlign w:val="center"/>
          </w:tcPr>
          <w:p w14:paraId="263D1C0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219.30</w:t>
            </w:r>
          </w:p>
        </w:tc>
        <w:tc>
          <w:tcPr>
            <w:tcW w:w="1180" w:type="dxa"/>
            <w:shd w:val="clear" w:color="auto" w:fill="auto"/>
            <w:tcMar>
              <w:top w:w="0" w:type="dxa"/>
              <w:left w:w="108" w:type="dxa"/>
              <w:bottom w:w="0" w:type="dxa"/>
              <w:right w:w="108" w:type="dxa"/>
            </w:tcMar>
            <w:vAlign w:val="center"/>
          </w:tcPr>
          <w:p w14:paraId="116A060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219.30</w:t>
            </w:r>
          </w:p>
        </w:tc>
        <w:tc>
          <w:tcPr>
            <w:tcW w:w="1397" w:type="dxa"/>
            <w:shd w:val="clear" w:color="auto" w:fill="auto"/>
            <w:tcMar>
              <w:top w:w="0" w:type="dxa"/>
              <w:left w:w="108" w:type="dxa"/>
              <w:bottom w:w="0" w:type="dxa"/>
              <w:right w:w="108" w:type="dxa"/>
            </w:tcMar>
            <w:vAlign w:val="center"/>
          </w:tcPr>
          <w:p w14:paraId="2B76E6B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73.10</w:t>
            </w:r>
          </w:p>
        </w:tc>
      </w:tr>
      <w:tr w:rsidR="006416B0" w:rsidRPr="00B4515A" w14:paraId="2357FE61" w14:textId="77777777" w:rsidTr="00031627">
        <w:trPr>
          <w:trHeight w:val="340"/>
          <w:jc w:val="center"/>
        </w:trPr>
        <w:tc>
          <w:tcPr>
            <w:tcW w:w="2315" w:type="dxa"/>
            <w:shd w:val="clear" w:color="auto" w:fill="auto"/>
            <w:tcMar>
              <w:top w:w="0" w:type="dxa"/>
              <w:left w:w="108" w:type="dxa"/>
              <w:bottom w:w="0" w:type="dxa"/>
              <w:right w:w="108" w:type="dxa"/>
            </w:tcMar>
            <w:vAlign w:val="center"/>
          </w:tcPr>
          <w:p w14:paraId="67C7FAE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数据通信科学技术研究所</w:t>
            </w:r>
          </w:p>
        </w:tc>
        <w:tc>
          <w:tcPr>
            <w:tcW w:w="1588" w:type="dxa"/>
            <w:shd w:val="clear" w:color="auto" w:fill="auto"/>
            <w:tcMar>
              <w:top w:w="0" w:type="dxa"/>
              <w:left w:w="108" w:type="dxa"/>
              <w:bottom w:w="0" w:type="dxa"/>
              <w:right w:w="108" w:type="dxa"/>
            </w:tcMar>
            <w:vAlign w:val="center"/>
          </w:tcPr>
          <w:p w14:paraId="7DF19AA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房屋</w:t>
            </w:r>
          </w:p>
        </w:tc>
        <w:tc>
          <w:tcPr>
            <w:tcW w:w="1780" w:type="dxa"/>
            <w:shd w:val="clear" w:color="auto" w:fill="auto"/>
            <w:tcMar>
              <w:top w:w="0" w:type="dxa"/>
              <w:left w:w="108" w:type="dxa"/>
              <w:bottom w:w="0" w:type="dxa"/>
              <w:right w:w="108" w:type="dxa"/>
            </w:tcMar>
            <w:vAlign w:val="center"/>
          </w:tcPr>
          <w:p w14:paraId="38C7DD7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438.10</w:t>
            </w:r>
          </w:p>
        </w:tc>
        <w:tc>
          <w:tcPr>
            <w:tcW w:w="1180" w:type="dxa"/>
            <w:shd w:val="clear" w:color="auto" w:fill="auto"/>
            <w:tcMar>
              <w:top w:w="0" w:type="dxa"/>
              <w:left w:w="108" w:type="dxa"/>
              <w:bottom w:w="0" w:type="dxa"/>
              <w:right w:w="108" w:type="dxa"/>
            </w:tcMar>
            <w:vAlign w:val="center"/>
          </w:tcPr>
          <w:p w14:paraId="66886A4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438.10</w:t>
            </w:r>
          </w:p>
        </w:tc>
        <w:tc>
          <w:tcPr>
            <w:tcW w:w="1397" w:type="dxa"/>
            <w:shd w:val="clear" w:color="auto" w:fill="auto"/>
            <w:tcMar>
              <w:top w:w="0" w:type="dxa"/>
              <w:left w:w="108" w:type="dxa"/>
              <w:bottom w:w="0" w:type="dxa"/>
              <w:right w:w="108" w:type="dxa"/>
            </w:tcMar>
            <w:vAlign w:val="center"/>
          </w:tcPr>
          <w:p w14:paraId="1A61571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438.10</w:t>
            </w:r>
          </w:p>
        </w:tc>
      </w:tr>
      <w:tr w:rsidR="006416B0" w:rsidRPr="00B4515A" w14:paraId="5697F811" w14:textId="77777777" w:rsidTr="00031627">
        <w:trPr>
          <w:trHeight w:val="340"/>
          <w:jc w:val="center"/>
        </w:trPr>
        <w:tc>
          <w:tcPr>
            <w:tcW w:w="2315" w:type="dxa"/>
            <w:shd w:val="clear" w:color="auto" w:fill="auto"/>
            <w:tcMar>
              <w:top w:w="0" w:type="dxa"/>
              <w:left w:w="108" w:type="dxa"/>
              <w:bottom w:w="0" w:type="dxa"/>
              <w:right w:w="108" w:type="dxa"/>
            </w:tcMar>
            <w:vAlign w:val="center"/>
          </w:tcPr>
          <w:p w14:paraId="01C698F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联芯科技有限公司</w:t>
            </w:r>
          </w:p>
        </w:tc>
        <w:tc>
          <w:tcPr>
            <w:tcW w:w="1588" w:type="dxa"/>
            <w:shd w:val="clear" w:color="auto" w:fill="auto"/>
            <w:tcMar>
              <w:top w:w="0" w:type="dxa"/>
              <w:left w:w="108" w:type="dxa"/>
              <w:bottom w:w="0" w:type="dxa"/>
              <w:right w:w="108" w:type="dxa"/>
            </w:tcMar>
            <w:vAlign w:val="center"/>
          </w:tcPr>
          <w:p w14:paraId="3AE731B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房屋</w:t>
            </w:r>
          </w:p>
        </w:tc>
        <w:tc>
          <w:tcPr>
            <w:tcW w:w="1780" w:type="dxa"/>
            <w:shd w:val="clear" w:color="auto" w:fill="auto"/>
            <w:tcMar>
              <w:top w:w="0" w:type="dxa"/>
              <w:left w:w="108" w:type="dxa"/>
              <w:bottom w:w="0" w:type="dxa"/>
              <w:right w:w="108" w:type="dxa"/>
            </w:tcMar>
            <w:vAlign w:val="center"/>
          </w:tcPr>
          <w:p w14:paraId="526C231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139.15</w:t>
            </w:r>
          </w:p>
        </w:tc>
        <w:tc>
          <w:tcPr>
            <w:tcW w:w="1180" w:type="dxa"/>
            <w:shd w:val="clear" w:color="auto" w:fill="auto"/>
            <w:tcMar>
              <w:top w:w="0" w:type="dxa"/>
              <w:left w:w="108" w:type="dxa"/>
              <w:bottom w:w="0" w:type="dxa"/>
              <w:right w:w="108" w:type="dxa"/>
            </w:tcMar>
            <w:vAlign w:val="center"/>
          </w:tcPr>
          <w:p w14:paraId="198AE467" w14:textId="2D757D47" w:rsidR="006416B0" w:rsidRPr="00B4515A" w:rsidRDefault="008E35D7"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139.15</w:t>
            </w:r>
          </w:p>
        </w:tc>
        <w:tc>
          <w:tcPr>
            <w:tcW w:w="1397" w:type="dxa"/>
            <w:shd w:val="clear" w:color="auto" w:fill="auto"/>
            <w:tcMar>
              <w:top w:w="0" w:type="dxa"/>
              <w:left w:w="108" w:type="dxa"/>
              <w:bottom w:w="0" w:type="dxa"/>
              <w:right w:w="108" w:type="dxa"/>
            </w:tcMar>
            <w:vAlign w:val="center"/>
          </w:tcPr>
          <w:p w14:paraId="0068FBF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129.39</w:t>
            </w:r>
          </w:p>
        </w:tc>
      </w:tr>
      <w:tr w:rsidR="006416B0" w:rsidRPr="00B4515A" w14:paraId="3D4EF8B3" w14:textId="77777777" w:rsidTr="00031627">
        <w:trPr>
          <w:trHeight w:val="340"/>
          <w:jc w:val="center"/>
        </w:trPr>
        <w:tc>
          <w:tcPr>
            <w:tcW w:w="2315" w:type="dxa"/>
            <w:shd w:val="clear" w:color="auto" w:fill="auto"/>
            <w:tcMar>
              <w:top w:w="0" w:type="dxa"/>
              <w:left w:w="108" w:type="dxa"/>
              <w:bottom w:w="0" w:type="dxa"/>
              <w:right w:w="108" w:type="dxa"/>
            </w:tcMar>
            <w:vAlign w:val="center"/>
          </w:tcPr>
          <w:p w14:paraId="1F14983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电信科学技术第四研究所有限公司</w:t>
            </w:r>
          </w:p>
        </w:tc>
        <w:tc>
          <w:tcPr>
            <w:tcW w:w="1588" w:type="dxa"/>
            <w:shd w:val="clear" w:color="auto" w:fill="auto"/>
            <w:tcMar>
              <w:top w:w="0" w:type="dxa"/>
              <w:left w:w="108" w:type="dxa"/>
              <w:bottom w:w="0" w:type="dxa"/>
              <w:right w:w="108" w:type="dxa"/>
            </w:tcMar>
            <w:vAlign w:val="center"/>
          </w:tcPr>
          <w:p w14:paraId="7421523F"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房屋</w:t>
            </w:r>
          </w:p>
        </w:tc>
        <w:tc>
          <w:tcPr>
            <w:tcW w:w="1780" w:type="dxa"/>
            <w:shd w:val="clear" w:color="auto" w:fill="auto"/>
            <w:tcMar>
              <w:top w:w="0" w:type="dxa"/>
              <w:left w:w="108" w:type="dxa"/>
              <w:bottom w:w="0" w:type="dxa"/>
              <w:right w:w="108" w:type="dxa"/>
            </w:tcMar>
            <w:vAlign w:val="center"/>
          </w:tcPr>
          <w:p w14:paraId="3D5D1EE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13.24</w:t>
            </w:r>
          </w:p>
        </w:tc>
        <w:tc>
          <w:tcPr>
            <w:tcW w:w="1180" w:type="dxa"/>
            <w:shd w:val="clear" w:color="auto" w:fill="auto"/>
            <w:tcMar>
              <w:top w:w="0" w:type="dxa"/>
              <w:left w:w="108" w:type="dxa"/>
              <w:bottom w:w="0" w:type="dxa"/>
              <w:right w:w="108" w:type="dxa"/>
            </w:tcMar>
            <w:vAlign w:val="center"/>
          </w:tcPr>
          <w:p w14:paraId="3877E3B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13.24</w:t>
            </w:r>
          </w:p>
        </w:tc>
        <w:tc>
          <w:tcPr>
            <w:tcW w:w="1397" w:type="dxa"/>
            <w:shd w:val="clear" w:color="auto" w:fill="auto"/>
            <w:tcMar>
              <w:top w:w="0" w:type="dxa"/>
              <w:left w:w="108" w:type="dxa"/>
              <w:bottom w:w="0" w:type="dxa"/>
              <w:right w:w="108" w:type="dxa"/>
            </w:tcMar>
            <w:vAlign w:val="center"/>
          </w:tcPr>
          <w:p w14:paraId="6A6845E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bl>
    <w:p w14:paraId="19A7CAF0" w14:textId="77777777" w:rsidR="006416B0" w:rsidRPr="00B4515A" w:rsidRDefault="005E58C1" w:rsidP="006100BC">
      <w:pPr>
        <w:pStyle w:val="005"/>
        <w:spacing w:before="120" w:after="120"/>
        <w:ind w:firstLine="480"/>
      </w:pPr>
      <w:r w:rsidRPr="00B4515A">
        <w:rPr>
          <w:rFonts w:hint="eastAsia"/>
        </w:rPr>
        <w:t>大唐联诚租赁的房屋全部向关联方租入。大唐联诚与关联方之间的房屋租赁参照房产当地市场价格后协商定价，价格公允。</w:t>
      </w:r>
    </w:p>
    <w:p w14:paraId="55211FD8" w14:textId="33F0A112" w:rsidR="006416B0" w:rsidRPr="00B4515A" w:rsidRDefault="00CE510C" w:rsidP="006100BC">
      <w:pPr>
        <w:pStyle w:val="004"/>
        <w:spacing w:before="120" w:after="120"/>
        <w:ind w:firstLine="482"/>
      </w:pPr>
      <w:bookmarkStart w:id="336" w:name="_Toc75169321"/>
      <w:r w:rsidRPr="00B4515A">
        <w:lastRenderedPageBreak/>
        <w:t>3</w:t>
      </w:r>
      <w:r w:rsidR="008C1C67" w:rsidRPr="00B4515A">
        <w:t>、</w:t>
      </w:r>
      <w:r w:rsidR="005E58C1" w:rsidRPr="00B4515A">
        <w:rPr>
          <w:rFonts w:hint="eastAsia"/>
        </w:rPr>
        <w:t>关联担保情况</w:t>
      </w:r>
      <w:bookmarkEnd w:id="336"/>
    </w:p>
    <w:p w14:paraId="72CF8652" w14:textId="77777777" w:rsidR="006416B0" w:rsidRPr="00B4515A" w:rsidRDefault="005E58C1" w:rsidP="006100BC">
      <w:pPr>
        <w:pStyle w:val="005"/>
        <w:spacing w:before="120" w:after="120"/>
        <w:ind w:firstLine="480"/>
      </w:pPr>
      <w:r w:rsidRPr="00B4515A">
        <w:rPr>
          <w:rFonts w:hint="eastAsia"/>
        </w:rPr>
        <w:t>本公司作为被担保方：</w:t>
      </w:r>
    </w:p>
    <w:p w14:paraId="1E60E45D" w14:textId="69FE13FD" w:rsidR="006416B0" w:rsidRPr="00B4515A" w:rsidRDefault="00D44516"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400"/>
        <w:gridCol w:w="1684"/>
        <w:gridCol w:w="1495"/>
        <w:gridCol w:w="1535"/>
        <w:gridCol w:w="1414"/>
      </w:tblGrid>
      <w:tr w:rsidR="006416B0" w:rsidRPr="00B4515A" w14:paraId="7CE93A8F"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06257EE8"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担保方</w:t>
            </w:r>
          </w:p>
        </w:tc>
        <w:tc>
          <w:tcPr>
            <w:tcW w:w="1624" w:type="dxa"/>
            <w:shd w:val="clear" w:color="auto" w:fill="auto"/>
            <w:tcMar>
              <w:top w:w="0" w:type="dxa"/>
              <w:left w:w="108" w:type="dxa"/>
              <w:bottom w:w="0" w:type="dxa"/>
              <w:right w:w="108" w:type="dxa"/>
            </w:tcMar>
            <w:vAlign w:val="center"/>
          </w:tcPr>
          <w:p w14:paraId="678249D1"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担保金额</w:t>
            </w:r>
          </w:p>
        </w:tc>
        <w:tc>
          <w:tcPr>
            <w:tcW w:w="1442" w:type="dxa"/>
            <w:shd w:val="clear" w:color="auto" w:fill="auto"/>
            <w:tcMar>
              <w:top w:w="0" w:type="dxa"/>
              <w:left w:w="108" w:type="dxa"/>
              <w:bottom w:w="0" w:type="dxa"/>
              <w:right w:w="108" w:type="dxa"/>
            </w:tcMar>
            <w:vAlign w:val="center"/>
          </w:tcPr>
          <w:p w14:paraId="0C56D855"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担保起始日</w:t>
            </w:r>
          </w:p>
        </w:tc>
        <w:tc>
          <w:tcPr>
            <w:tcW w:w="1480" w:type="dxa"/>
            <w:shd w:val="clear" w:color="auto" w:fill="auto"/>
            <w:tcMar>
              <w:top w:w="0" w:type="dxa"/>
              <w:left w:w="108" w:type="dxa"/>
              <w:bottom w:w="0" w:type="dxa"/>
              <w:right w:w="108" w:type="dxa"/>
            </w:tcMar>
            <w:vAlign w:val="center"/>
          </w:tcPr>
          <w:p w14:paraId="7AB5DC96"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担保到期日</w:t>
            </w:r>
          </w:p>
        </w:tc>
        <w:tc>
          <w:tcPr>
            <w:tcW w:w="1363" w:type="dxa"/>
            <w:shd w:val="clear" w:color="auto" w:fill="auto"/>
            <w:tcMar>
              <w:top w:w="0" w:type="dxa"/>
              <w:left w:w="108" w:type="dxa"/>
              <w:bottom w:w="0" w:type="dxa"/>
              <w:right w:w="108" w:type="dxa"/>
            </w:tcMar>
            <w:vAlign w:val="center"/>
          </w:tcPr>
          <w:p w14:paraId="2DDC7109"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担保是否已经履行完毕</w:t>
            </w:r>
          </w:p>
        </w:tc>
      </w:tr>
      <w:tr w:rsidR="006416B0" w:rsidRPr="00B4515A" w14:paraId="6D3D7F8C"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1A788D6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电信科学技术研究院有限公司</w:t>
            </w:r>
          </w:p>
        </w:tc>
        <w:tc>
          <w:tcPr>
            <w:tcW w:w="1624" w:type="dxa"/>
            <w:shd w:val="clear" w:color="auto" w:fill="auto"/>
            <w:tcMar>
              <w:top w:w="0" w:type="dxa"/>
              <w:left w:w="108" w:type="dxa"/>
              <w:bottom w:w="0" w:type="dxa"/>
              <w:right w:w="108" w:type="dxa"/>
            </w:tcMar>
            <w:vAlign w:val="center"/>
          </w:tcPr>
          <w:p w14:paraId="1DD5F2F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20,000.00</w:t>
            </w:r>
          </w:p>
        </w:tc>
        <w:tc>
          <w:tcPr>
            <w:tcW w:w="1442" w:type="dxa"/>
            <w:shd w:val="clear" w:color="auto" w:fill="auto"/>
            <w:tcMar>
              <w:top w:w="0" w:type="dxa"/>
              <w:left w:w="108" w:type="dxa"/>
              <w:bottom w:w="0" w:type="dxa"/>
              <w:right w:w="108" w:type="dxa"/>
            </w:tcMar>
            <w:vAlign w:val="center"/>
          </w:tcPr>
          <w:p w14:paraId="33D62D2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2019/1/1</w:t>
            </w:r>
          </w:p>
        </w:tc>
        <w:tc>
          <w:tcPr>
            <w:tcW w:w="1480" w:type="dxa"/>
            <w:shd w:val="clear" w:color="auto" w:fill="auto"/>
            <w:tcMar>
              <w:top w:w="0" w:type="dxa"/>
              <w:left w:w="108" w:type="dxa"/>
              <w:bottom w:w="0" w:type="dxa"/>
              <w:right w:w="108" w:type="dxa"/>
            </w:tcMar>
            <w:vAlign w:val="center"/>
          </w:tcPr>
          <w:p w14:paraId="3A8EA8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2020/12/31</w:t>
            </w:r>
          </w:p>
        </w:tc>
        <w:tc>
          <w:tcPr>
            <w:tcW w:w="1363" w:type="dxa"/>
            <w:shd w:val="clear" w:color="auto" w:fill="auto"/>
            <w:tcMar>
              <w:top w:w="0" w:type="dxa"/>
              <w:left w:w="108" w:type="dxa"/>
              <w:bottom w:w="0" w:type="dxa"/>
              <w:right w:w="108" w:type="dxa"/>
            </w:tcMar>
            <w:vAlign w:val="center"/>
          </w:tcPr>
          <w:p w14:paraId="0DD987D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是</w:t>
            </w:r>
          </w:p>
        </w:tc>
      </w:tr>
      <w:tr w:rsidR="006416B0" w:rsidRPr="00B4515A" w14:paraId="1589AFFA"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6B53176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电信科学技术研究院有限公司</w:t>
            </w:r>
          </w:p>
        </w:tc>
        <w:tc>
          <w:tcPr>
            <w:tcW w:w="1624" w:type="dxa"/>
            <w:shd w:val="clear" w:color="auto" w:fill="auto"/>
            <w:tcMar>
              <w:top w:w="0" w:type="dxa"/>
              <w:left w:w="108" w:type="dxa"/>
              <w:bottom w:w="0" w:type="dxa"/>
              <w:right w:w="108" w:type="dxa"/>
            </w:tcMar>
            <w:vAlign w:val="center"/>
          </w:tcPr>
          <w:p w14:paraId="6DB5492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20,000.00</w:t>
            </w:r>
          </w:p>
        </w:tc>
        <w:tc>
          <w:tcPr>
            <w:tcW w:w="1442" w:type="dxa"/>
            <w:shd w:val="clear" w:color="auto" w:fill="auto"/>
            <w:tcMar>
              <w:top w:w="0" w:type="dxa"/>
              <w:left w:w="108" w:type="dxa"/>
              <w:bottom w:w="0" w:type="dxa"/>
              <w:right w:w="108" w:type="dxa"/>
            </w:tcMar>
            <w:vAlign w:val="center"/>
          </w:tcPr>
          <w:p w14:paraId="5EC3E6F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2020/1/14</w:t>
            </w:r>
          </w:p>
        </w:tc>
        <w:tc>
          <w:tcPr>
            <w:tcW w:w="1480" w:type="dxa"/>
            <w:shd w:val="clear" w:color="auto" w:fill="auto"/>
            <w:tcMar>
              <w:top w:w="0" w:type="dxa"/>
              <w:left w:w="108" w:type="dxa"/>
              <w:bottom w:w="0" w:type="dxa"/>
              <w:right w:w="108" w:type="dxa"/>
            </w:tcMar>
            <w:vAlign w:val="center"/>
          </w:tcPr>
          <w:p w14:paraId="1C81239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2021/10/26</w:t>
            </w:r>
          </w:p>
        </w:tc>
        <w:tc>
          <w:tcPr>
            <w:tcW w:w="1363" w:type="dxa"/>
            <w:shd w:val="clear" w:color="auto" w:fill="auto"/>
            <w:tcMar>
              <w:top w:w="0" w:type="dxa"/>
              <w:left w:w="108" w:type="dxa"/>
              <w:bottom w:w="0" w:type="dxa"/>
              <w:right w:w="108" w:type="dxa"/>
            </w:tcMar>
            <w:vAlign w:val="center"/>
          </w:tcPr>
          <w:p w14:paraId="213F541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否</w:t>
            </w:r>
          </w:p>
        </w:tc>
      </w:tr>
    </w:tbl>
    <w:p w14:paraId="12C61126" w14:textId="4C68BF01" w:rsidR="006416B0" w:rsidRPr="00B4515A" w:rsidRDefault="00CE510C" w:rsidP="006100BC">
      <w:pPr>
        <w:pStyle w:val="004"/>
        <w:spacing w:before="120" w:after="120"/>
        <w:ind w:firstLine="482"/>
      </w:pPr>
      <w:bookmarkStart w:id="337" w:name="_Toc75169322"/>
      <w:r w:rsidRPr="00B4515A">
        <w:t>4</w:t>
      </w:r>
      <w:r w:rsidR="008C1C67" w:rsidRPr="00B4515A">
        <w:t>、</w:t>
      </w:r>
      <w:r w:rsidR="005E58C1" w:rsidRPr="00B4515A">
        <w:rPr>
          <w:rFonts w:hint="eastAsia"/>
        </w:rPr>
        <w:t>关联方资金拆借</w:t>
      </w:r>
      <w:bookmarkEnd w:id="337"/>
    </w:p>
    <w:p w14:paraId="538CA563" w14:textId="0212CDC5" w:rsidR="006416B0" w:rsidRPr="00B4515A" w:rsidRDefault="00D44516" w:rsidP="006100BC">
      <w:pPr>
        <w:pStyle w:val="009"/>
      </w:pPr>
      <w:r w:rsidRPr="00B4515A">
        <w:rPr>
          <w:rFonts w:hint="eastAsia"/>
        </w:rPr>
        <w:t>单位：万元</w:t>
      </w:r>
    </w:p>
    <w:tbl>
      <w:tblPr>
        <w:tblW w:w="5033"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805"/>
        <w:gridCol w:w="1173"/>
        <w:gridCol w:w="1173"/>
        <w:gridCol w:w="1943"/>
        <w:gridCol w:w="1490"/>
      </w:tblGrid>
      <w:tr w:rsidR="006416B0" w:rsidRPr="00B4515A" w14:paraId="047B38AB"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55B1A4D9" w14:textId="77777777" w:rsidR="006416B0" w:rsidRPr="00B4515A" w:rsidRDefault="005E58C1" w:rsidP="005860B4">
            <w:pPr>
              <w:adjustRightInd w:val="0"/>
              <w:snapToGrid w:val="0"/>
              <w:jc w:val="center"/>
              <w:rPr>
                <w:b/>
                <w:color w:val="000000"/>
                <w:sz w:val="21"/>
                <w:szCs w:val="21"/>
              </w:rPr>
            </w:pPr>
            <w:r w:rsidRPr="00B4515A">
              <w:rPr>
                <w:rFonts w:hint="eastAsia"/>
                <w:b/>
                <w:color w:val="000000"/>
                <w:sz w:val="21"/>
                <w:szCs w:val="21"/>
              </w:rPr>
              <w:t>关联方</w:t>
            </w:r>
          </w:p>
        </w:tc>
        <w:tc>
          <w:tcPr>
            <w:tcW w:w="683" w:type="pct"/>
            <w:shd w:val="clear" w:color="auto" w:fill="auto"/>
            <w:tcMar>
              <w:top w:w="0" w:type="dxa"/>
              <w:left w:w="108" w:type="dxa"/>
              <w:bottom w:w="0" w:type="dxa"/>
              <w:right w:w="108" w:type="dxa"/>
            </w:tcMar>
            <w:vAlign w:val="center"/>
          </w:tcPr>
          <w:p w14:paraId="1B0E0987"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 xml:space="preserve"> </w:t>
            </w:r>
            <w:r w:rsidRPr="00B4515A">
              <w:rPr>
                <w:rFonts w:cs="Times New Roman" w:hint="eastAsia"/>
                <w:b/>
                <w:color w:val="000000"/>
                <w:sz w:val="21"/>
                <w:szCs w:val="21"/>
              </w:rPr>
              <w:t>起始日</w:t>
            </w:r>
            <w:r w:rsidRPr="00B4515A">
              <w:rPr>
                <w:rFonts w:ascii="Times New Roman" w:hAnsi="Times New Roman" w:cs="Times New Roman"/>
                <w:b/>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04903AB7"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 xml:space="preserve"> </w:t>
            </w:r>
            <w:r w:rsidRPr="00B4515A">
              <w:rPr>
                <w:rFonts w:cs="Times New Roman" w:hint="eastAsia"/>
                <w:b/>
                <w:color w:val="000000"/>
                <w:sz w:val="21"/>
                <w:szCs w:val="21"/>
              </w:rPr>
              <w:t>到期日</w:t>
            </w:r>
            <w:r w:rsidRPr="00B4515A">
              <w:rPr>
                <w:rFonts w:ascii="Times New Roman" w:hAnsi="Times New Roman" w:cs="Times New Roman"/>
                <w:b/>
                <w:color w:val="000000"/>
                <w:sz w:val="21"/>
                <w:szCs w:val="21"/>
              </w:rPr>
              <w:t xml:space="preserve"> </w:t>
            </w:r>
          </w:p>
        </w:tc>
        <w:tc>
          <w:tcPr>
            <w:tcW w:w="1132" w:type="pct"/>
            <w:shd w:val="clear" w:color="auto" w:fill="auto"/>
            <w:tcMar>
              <w:top w:w="0" w:type="dxa"/>
              <w:left w:w="108" w:type="dxa"/>
              <w:bottom w:w="0" w:type="dxa"/>
              <w:right w:w="108" w:type="dxa"/>
            </w:tcMar>
            <w:vAlign w:val="center"/>
          </w:tcPr>
          <w:p w14:paraId="2C293A93"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 xml:space="preserve"> </w:t>
            </w:r>
            <w:r w:rsidRPr="00B4515A">
              <w:rPr>
                <w:rFonts w:cs="Times New Roman" w:hint="eastAsia"/>
                <w:b/>
                <w:color w:val="000000"/>
                <w:sz w:val="21"/>
                <w:szCs w:val="21"/>
              </w:rPr>
              <w:t>拆借资金</w:t>
            </w:r>
            <w:r w:rsidRPr="00B4515A">
              <w:rPr>
                <w:rFonts w:ascii="Times New Roman" w:hAnsi="Times New Roman" w:cs="Times New Roman"/>
                <w:b/>
                <w:color w:val="000000"/>
                <w:sz w:val="21"/>
                <w:szCs w:val="21"/>
              </w:rPr>
              <w:t xml:space="preserve"> </w:t>
            </w:r>
          </w:p>
        </w:tc>
        <w:tc>
          <w:tcPr>
            <w:tcW w:w="868" w:type="pct"/>
            <w:shd w:val="clear" w:color="auto" w:fill="auto"/>
            <w:tcMar>
              <w:top w:w="0" w:type="dxa"/>
              <w:left w:w="108" w:type="dxa"/>
              <w:bottom w:w="0" w:type="dxa"/>
              <w:right w:w="108" w:type="dxa"/>
            </w:tcMar>
            <w:vAlign w:val="center"/>
          </w:tcPr>
          <w:p w14:paraId="44B8E6CE"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 xml:space="preserve"> </w:t>
            </w:r>
            <w:r w:rsidRPr="00B4515A">
              <w:rPr>
                <w:rFonts w:cs="Times New Roman" w:hint="eastAsia"/>
                <w:b/>
                <w:color w:val="000000"/>
                <w:sz w:val="21"/>
                <w:szCs w:val="21"/>
              </w:rPr>
              <w:t>说明</w:t>
            </w:r>
            <w:r w:rsidRPr="00B4515A">
              <w:rPr>
                <w:rFonts w:ascii="Times New Roman" w:hAnsi="Times New Roman" w:cs="Times New Roman"/>
                <w:b/>
                <w:color w:val="000000"/>
                <w:sz w:val="21"/>
                <w:szCs w:val="21"/>
              </w:rPr>
              <w:t xml:space="preserve"> </w:t>
            </w:r>
          </w:p>
        </w:tc>
      </w:tr>
      <w:tr w:rsidR="006416B0" w:rsidRPr="00B4515A" w14:paraId="5F488C25"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0639A4B5"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拆入</w:t>
            </w:r>
          </w:p>
        </w:tc>
        <w:tc>
          <w:tcPr>
            <w:tcW w:w="683" w:type="pct"/>
            <w:shd w:val="clear" w:color="auto" w:fill="auto"/>
            <w:tcMar>
              <w:top w:w="0" w:type="dxa"/>
              <w:left w:w="108" w:type="dxa"/>
              <w:bottom w:w="0" w:type="dxa"/>
              <w:right w:w="108" w:type="dxa"/>
            </w:tcMar>
            <w:vAlign w:val="center"/>
          </w:tcPr>
          <w:p w14:paraId="6C706A26"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2FA52F1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132" w:type="pct"/>
            <w:shd w:val="clear" w:color="auto" w:fill="auto"/>
            <w:tcMar>
              <w:top w:w="0" w:type="dxa"/>
              <w:left w:w="108" w:type="dxa"/>
              <w:bottom w:w="0" w:type="dxa"/>
              <w:right w:w="108" w:type="dxa"/>
            </w:tcMar>
            <w:vAlign w:val="center"/>
          </w:tcPr>
          <w:p w14:paraId="6F0B4B0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868" w:type="pct"/>
            <w:shd w:val="clear" w:color="auto" w:fill="auto"/>
            <w:tcMar>
              <w:top w:w="0" w:type="dxa"/>
              <w:left w:w="108" w:type="dxa"/>
              <w:bottom w:w="0" w:type="dxa"/>
              <w:right w:w="108" w:type="dxa"/>
            </w:tcMar>
            <w:vAlign w:val="center"/>
          </w:tcPr>
          <w:p w14:paraId="1F496F8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r>
      <w:tr w:rsidR="006416B0" w:rsidRPr="00B4515A" w14:paraId="18B0E093"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7D355C2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大唐电信科技产业控股有限公司</w:t>
            </w: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031E2A6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2017/12/31</w:t>
            </w:r>
          </w:p>
        </w:tc>
        <w:tc>
          <w:tcPr>
            <w:tcW w:w="683" w:type="pct"/>
            <w:shd w:val="clear" w:color="auto" w:fill="auto"/>
            <w:tcMar>
              <w:top w:w="0" w:type="dxa"/>
              <w:left w:w="108" w:type="dxa"/>
              <w:bottom w:w="0" w:type="dxa"/>
              <w:right w:w="108" w:type="dxa"/>
            </w:tcMar>
            <w:vAlign w:val="center"/>
          </w:tcPr>
          <w:p w14:paraId="374D753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2019/12/31</w:t>
            </w:r>
          </w:p>
        </w:tc>
        <w:tc>
          <w:tcPr>
            <w:tcW w:w="1132" w:type="pct"/>
            <w:shd w:val="clear" w:color="auto" w:fill="auto"/>
            <w:tcMar>
              <w:top w:w="0" w:type="dxa"/>
              <w:left w:w="108" w:type="dxa"/>
              <w:bottom w:w="0" w:type="dxa"/>
              <w:right w:w="108" w:type="dxa"/>
            </w:tcMar>
            <w:vAlign w:val="center"/>
          </w:tcPr>
          <w:p w14:paraId="31971AA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50,000,000.00</w:t>
            </w:r>
          </w:p>
        </w:tc>
        <w:tc>
          <w:tcPr>
            <w:tcW w:w="868" w:type="pct"/>
            <w:shd w:val="clear" w:color="auto" w:fill="auto"/>
            <w:tcMar>
              <w:top w:w="0" w:type="dxa"/>
              <w:left w:w="108" w:type="dxa"/>
              <w:bottom w:w="0" w:type="dxa"/>
              <w:right w:w="108" w:type="dxa"/>
            </w:tcMar>
            <w:vAlign w:val="center"/>
          </w:tcPr>
          <w:p w14:paraId="0CE718D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 xml:space="preserve">4.9875% </w:t>
            </w:r>
          </w:p>
        </w:tc>
      </w:tr>
      <w:tr w:rsidR="006416B0" w:rsidRPr="00B4515A" w14:paraId="2E600F87"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54A4338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大唐电信科技产业控股有限公司</w:t>
            </w: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3A59B0D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2018/5/31</w:t>
            </w:r>
          </w:p>
        </w:tc>
        <w:tc>
          <w:tcPr>
            <w:tcW w:w="683" w:type="pct"/>
            <w:shd w:val="clear" w:color="auto" w:fill="auto"/>
            <w:tcMar>
              <w:top w:w="0" w:type="dxa"/>
              <w:left w:w="108" w:type="dxa"/>
              <w:bottom w:w="0" w:type="dxa"/>
              <w:right w:w="108" w:type="dxa"/>
            </w:tcMar>
            <w:vAlign w:val="center"/>
          </w:tcPr>
          <w:p w14:paraId="1DE2DA9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2019/5/30</w:t>
            </w:r>
          </w:p>
        </w:tc>
        <w:tc>
          <w:tcPr>
            <w:tcW w:w="1132" w:type="pct"/>
            <w:shd w:val="clear" w:color="auto" w:fill="auto"/>
            <w:tcMar>
              <w:top w:w="0" w:type="dxa"/>
              <w:left w:w="108" w:type="dxa"/>
              <w:bottom w:w="0" w:type="dxa"/>
              <w:right w:w="108" w:type="dxa"/>
            </w:tcMar>
            <w:vAlign w:val="center"/>
          </w:tcPr>
          <w:p w14:paraId="22E79CB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16,000,000.00</w:t>
            </w:r>
          </w:p>
        </w:tc>
        <w:tc>
          <w:tcPr>
            <w:tcW w:w="868" w:type="pct"/>
            <w:shd w:val="clear" w:color="auto" w:fill="auto"/>
            <w:tcMar>
              <w:top w:w="0" w:type="dxa"/>
              <w:left w:w="108" w:type="dxa"/>
              <w:bottom w:w="0" w:type="dxa"/>
              <w:right w:w="108" w:type="dxa"/>
            </w:tcMar>
            <w:vAlign w:val="center"/>
          </w:tcPr>
          <w:p w14:paraId="2A738FC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 xml:space="preserve">4.5675% </w:t>
            </w:r>
          </w:p>
        </w:tc>
      </w:tr>
      <w:tr w:rsidR="006416B0" w:rsidRPr="00B4515A" w14:paraId="56B51A66"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36406B0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大唐电信科技产业控股有限公司</w:t>
            </w: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60570C9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2018/8/31</w:t>
            </w:r>
          </w:p>
        </w:tc>
        <w:tc>
          <w:tcPr>
            <w:tcW w:w="683" w:type="pct"/>
            <w:shd w:val="clear" w:color="auto" w:fill="auto"/>
            <w:tcMar>
              <w:top w:w="0" w:type="dxa"/>
              <w:left w:w="108" w:type="dxa"/>
              <w:bottom w:w="0" w:type="dxa"/>
              <w:right w:w="108" w:type="dxa"/>
            </w:tcMar>
            <w:vAlign w:val="center"/>
          </w:tcPr>
          <w:p w14:paraId="0689D76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2019/8/31</w:t>
            </w:r>
          </w:p>
        </w:tc>
        <w:tc>
          <w:tcPr>
            <w:tcW w:w="1132" w:type="pct"/>
            <w:shd w:val="clear" w:color="auto" w:fill="auto"/>
            <w:tcMar>
              <w:top w:w="0" w:type="dxa"/>
              <w:left w:w="108" w:type="dxa"/>
              <w:bottom w:w="0" w:type="dxa"/>
              <w:right w:w="108" w:type="dxa"/>
            </w:tcMar>
            <w:vAlign w:val="center"/>
          </w:tcPr>
          <w:p w14:paraId="7119D4F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10,000,000.00</w:t>
            </w:r>
          </w:p>
        </w:tc>
        <w:tc>
          <w:tcPr>
            <w:tcW w:w="868" w:type="pct"/>
            <w:shd w:val="clear" w:color="auto" w:fill="auto"/>
            <w:tcMar>
              <w:top w:w="0" w:type="dxa"/>
              <w:left w:w="108" w:type="dxa"/>
              <w:bottom w:w="0" w:type="dxa"/>
              <w:right w:w="108" w:type="dxa"/>
            </w:tcMar>
            <w:vAlign w:val="center"/>
          </w:tcPr>
          <w:p w14:paraId="070B472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 xml:space="preserve">4.5675% </w:t>
            </w:r>
          </w:p>
        </w:tc>
      </w:tr>
      <w:tr w:rsidR="006416B0" w:rsidRPr="00B4515A" w14:paraId="6FC86260"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7CC2B19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大唐电信科技产业控股有限公司</w:t>
            </w: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5423D55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2020/6/16</w:t>
            </w:r>
          </w:p>
        </w:tc>
        <w:tc>
          <w:tcPr>
            <w:tcW w:w="683" w:type="pct"/>
            <w:shd w:val="clear" w:color="auto" w:fill="auto"/>
            <w:tcMar>
              <w:top w:w="0" w:type="dxa"/>
              <w:left w:w="108" w:type="dxa"/>
              <w:bottom w:w="0" w:type="dxa"/>
              <w:right w:w="108" w:type="dxa"/>
            </w:tcMar>
            <w:vAlign w:val="center"/>
          </w:tcPr>
          <w:p w14:paraId="7DBBF1D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2020/7/7</w:t>
            </w:r>
          </w:p>
        </w:tc>
        <w:tc>
          <w:tcPr>
            <w:tcW w:w="1132" w:type="pct"/>
            <w:shd w:val="clear" w:color="auto" w:fill="auto"/>
            <w:tcMar>
              <w:top w:w="0" w:type="dxa"/>
              <w:left w:w="108" w:type="dxa"/>
              <w:bottom w:w="0" w:type="dxa"/>
              <w:right w:w="108" w:type="dxa"/>
            </w:tcMar>
            <w:vAlign w:val="center"/>
          </w:tcPr>
          <w:p w14:paraId="2E3AE99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30,000,000.00</w:t>
            </w:r>
          </w:p>
        </w:tc>
        <w:tc>
          <w:tcPr>
            <w:tcW w:w="868" w:type="pct"/>
            <w:shd w:val="clear" w:color="auto" w:fill="auto"/>
            <w:tcMar>
              <w:top w:w="0" w:type="dxa"/>
              <w:left w:w="108" w:type="dxa"/>
              <w:bottom w:w="0" w:type="dxa"/>
              <w:right w:w="108" w:type="dxa"/>
            </w:tcMar>
            <w:vAlign w:val="center"/>
          </w:tcPr>
          <w:p w14:paraId="2520A0DF"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4.3500%</w:t>
            </w:r>
          </w:p>
        </w:tc>
      </w:tr>
      <w:tr w:rsidR="006416B0" w:rsidRPr="00B4515A" w14:paraId="31D86403"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7572F52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大唐电信科技产业控股有限公司</w:t>
            </w: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563307B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2019/12/31</w:t>
            </w:r>
          </w:p>
        </w:tc>
        <w:tc>
          <w:tcPr>
            <w:tcW w:w="683" w:type="pct"/>
            <w:shd w:val="clear" w:color="auto" w:fill="auto"/>
            <w:tcMar>
              <w:top w:w="0" w:type="dxa"/>
              <w:left w:w="108" w:type="dxa"/>
              <w:bottom w:w="0" w:type="dxa"/>
              <w:right w:w="108" w:type="dxa"/>
            </w:tcMar>
            <w:vAlign w:val="center"/>
          </w:tcPr>
          <w:p w14:paraId="7EBC0D1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2020/12/23</w:t>
            </w:r>
          </w:p>
        </w:tc>
        <w:tc>
          <w:tcPr>
            <w:tcW w:w="1132" w:type="pct"/>
            <w:shd w:val="clear" w:color="auto" w:fill="auto"/>
            <w:tcMar>
              <w:top w:w="0" w:type="dxa"/>
              <w:left w:w="108" w:type="dxa"/>
              <w:bottom w:w="0" w:type="dxa"/>
              <w:right w:w="108" w:type="dxa"/>
            </w:tcMar>
            <w:vAlign w:val="center"/>
          </w:tcPr>
          <w:p w14:paraId="0F4FE14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50,000,000.00</w:t>
            </w:r>
          </w:p>
        </w:tc>
        <w:tc>
          <w:tcPr>
            <w:tcW w:w="868" w:type="pct"/>
            <w:shd w:val="clear" w:color="auto" w:fill="auto"/>
            <w:tcMar>
              <w:top w:w="0" w:type="dxa"/>
              <w:left w:w="108" w:type="dxa"/>
              <w:bottom w:w="0" w:type="dxa"/>
              <w:right w:w="108" w:type="dxa"/>
            </w:tcMar>
            <w:vAlign w:val="center"/>
          </w:tcPr>
          <w:p w14:paraId="0681850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 xml:space="preserve">4.7850% </w:t>
            </w:r>
          </w:p>
        </w:tc>
      </w:tr>
      <w:tr w:rsidR="006416B0" w:rsidRPr="00B4515A" w14:paraId="39701D03"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5E88E78F" w14:textId="77777777" w:rsidR="00C721A8" w:rsidRPr="00B4515A" w:rsidRDefault="005E58C1" w:rsidP="005860B4">
            <w:pPr>
              <w:adjustRightInd w:val="0"/>
              <w:snapToGrid w:val="0"/>
              <w:rPr>
                <w:rFonts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电信科学技术研究院有</w:t>
            </w:r>
          </w:p>
          <w:p w14:paraId="381F4E3E" w14:textId="45285136"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限公司</w:t>
            </w: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24096F4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2016/1/26</w:t>
            </w:r>
          </w:p>
        </w:tc>
        <w:tc>
          <w:tcPr>
            <w:tcW w:w="683" w:type="pct"/>
            <w:shd w:val="clear" w:color="auto" w:fill="auto"/>
            <w:tcMar>
              <w:top w:w="0" w:type="dxa"/>
              <w:left w:w="108" w:type="dxa"/>
              <w:bottom w:w="0" w:type="dxa"/>
              <w:right w:w="108" w:type="dxa"/>
            </w:tcMar>
            <w:vAlign w:val="center"/>
          </w:tcPr>
          <w:p w14:paraId="18FEA69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2019/1/25</w:t>
            </w:r>
          </w:p>
        </w:tc>
        <w:tc>
          <w:tcPr>
            <w:tcW w:w="1132" w:type="pct"/>
            <w:shd w:val="clear" w:color="auto" w:fill="auto"/>
            <w:tcMar>
              <w:top w:w="0" w:type="dxa"/>
              <w:left w:w="108" w:type="dxa"/>
              <w:bottom w:w="0" w:type="dxa"/>
              <w:right w:w="108" w:type="dxa"/>
            </w:tcMar>
            <w:vAlign w:val="center"/>
          </w:tcPr>
          <w:p w14:paraId="7C4A111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90,000,000.00</w:t>
            </w:r>
          </w:p>
        </w:tc>
        <w:tc>
          <w:tcPr>
            <w:tcW w:w="868" w:type="pct"/>
            <w:shd w:val="clear" w:color="auto" w:fill="auto"/>
            <w:tcMar>
              <w:top w:w="0" w:type="dxa"/>
              <w:left w:w="108" w:type="dxa"/>
              <w:bottom w:w="0" w:type="dxa"/>
              <w:right w:w="108" w:type="dxa"/>
            </w:tcMar>
            <w:vAlign w:val="center"/>
          </w:tcPr>
          <w:p w14:paraId="407DE96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 xml:space="preserve">4.7500% </w:t>
            </w:r>
          </w:p>
        </w:tc>
      </w:tr>
      <w:tr w:rsidR="006416B0" w:rsidRPr="00B4515A" w14:paraId="1C354D13"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36C04C8D" w14:textId="77777777" w:rsidR="00C721A8" w:rsidRPr="00B4515A" w:rsidRDefault="005E58C1" w:rsidP="005860B4">
            <w:pPr>
              <w:adjustRightInd w:val="0"/>
              <w:snapToGrid w:val="0"/>
              <w:rPr>
                <w:rFonts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电信科学技术研究院有</w:t>
            </w:r>
          </w:p>
          <w:p w14:paraId="1D15DAF4" w14:textId="0A457F1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限公司</w:t>
            </w: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6A7D747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2017/3/13</w:t>
            </w:r>
          </w:p>
        </w:tc>
        <w:tc>
          <w:tcPr>
            <w:tcW w:w="683" w:type="pct"/>
            <w:shd w:val="clear" w:color="auto" w:fill="auto"/>
            <w:tcMar>
              <w:top w:w="0" w:type="dxa"/>
              <w:left w:w="108" w:type="dxa"/>
              <w:bottom w:w="0" w:type="dxa"/>
              <w:right w:w="108" w:type="dxa"/>
            </w:tcMar>
            <w:vAlign w:val="center"/>
          </w:tcPr>
          <w:p w14:paraId="69E9F16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2020/9/12</w:t>
            </w:r>
          </w:p>
        </w:tc>
        <w:tc>
          <w:tcPr>
            <w:tcW w:w="1132" w:type="pct"/>
            <w:shd w:val="clear" w:color="auto" w:fill="auto"/>
            <w:tcMar>
              <w:top w:w="0" w:type="dxa"/>
              <w:left w:w="108" w:type="dxa"/>
              <w:bottom w:w="0" w:type="dxa"/>
              <w:right w:w="108" w:type="dxa"/>
            </w:tcMar>
            <w:vAlign w:val="center"/>
          </w:tcPr>
          <w:p w14:paraId="4EDF56D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56,060,000.00</w:t>
            </w:r>
          </w:p>
        </w:tc>
        <w:tc>
          <w:tcPr>
            <w:tcW w:w="868" w:type="pct"/>
            <w:shd w:val="clear" w:color="auto" w:fill="auto"/>
            <w:tcMar>
              <w:top w:w="0" w:type="dxa"/>
              <w:left w:w="108" w:type="dxa"/>
              <w:bottom w:w="0" w:type="dxa"/>
              <w:right w:w="108" w:type="dxa"/>
            </w:tcMar>
            <w:vAlign w:val="center"/>
          </w:tcPr>
          <w:p w14:paraId="691315B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 xml:space="preserve">4.9875% </w:t>
            </w:r>
          </w:p>
        </w:tc>
      </w:tr>
      <w:tr w:rsidR="006416B0" w:rsidRPr="00B4515A" w14:paraId="569D9101"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27293BDF" w14:textId="77777777" w:rsidR="00C721A8" w:rsidRPr="00B4515A" w:rsidRDefault="005E58C1" w:rsidP="005860B4">
            <w:pPr>
              <w:adjustRightInd w:val="0"/>
              <w:snapToGrid w:val="0"/>
              <w:rPr>
                <w:rFonts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电信科学技术研究院有</w:t>
            </w:r>
          </w:p>
          <w:p w14:paraId="43DA96D6" w14:textId="73EA9B6C"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限公司</w:t>
            </w: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33D96DC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2020/9/12</w:t>
            </w:r>
          </w:p>
        </w:tc>
        <w:tc>
          <w:tcPr>
            <w:tcW w:w="683" w:type="pct"/>
            <w:shd w:val="clear" w:color="auto" w:fill="auto"/>
            <w:tcMar>
              <w:top w:w="0" w:type="dxa"/>
              <w:left w:w="108" w:type="dxa"/>
              <w:bottom w:w="0" w:type="dxa"/>
              <w:right w:w="108" w:type="dxa"/>
            </w:tcMar>
            <w:vAlign w:val="center"/>
          </w:tcPr>
          <w:p w14:paraId="3755438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2020/12/23</w:t>
            </w:r>
          </w:p>
        </w:tc>
        <w:tc>
          <w:tcPr>
            <w:tcW w:w="1132" w:type="pct"/>
            <w:shd w:val="clear" w:color="auto" w:fill="auto"/>
            <w:tcMar>
              <w:top w:w="0" w:type="dxa"/>
              <w:left w:w="108" w:type="dxa"/>
              <w:bottom w:w="0" w:type="dxa"/>
              <w:right w:w="108" w:type="dxa"/>
            </w:tcMar>
            <w:vAlign w:val="center"/>
          </w:tcPr>
          <w:p w14:paraId="5D0D9DB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56,060,000.00</w:t>
            </w:r>
          </w:p>
        </w:tc>
        <w:tc>
          <w:tcPr>
            <w:tcW w:w="868" w:type="pct"/>
            <w:shd w:val="clear" w:color="auto" w:fill="auto"/>
            <w:tcMar>
              <w:top w:w="0" w:type="dxa"/>
              <w:left w:w="108" w:type="dxa"/>
              <w:bottom w:w="0" w:type="dxa"/>
              <w:right w:w="108" w:type="dxa"/>
            </w:tcMar>
            <w:vAlign w:val="center"/>
          </w:tcPr>
          <w:p w14:paraId="6E693ED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8.8500%</w:t>
            </w:r>
          </w:p>
        </w:tc>
      </w:tr>
      <w:tr w:rsidR="006416B0" w:rsidRPr="00B4515A" w14:paraId="15BA639C"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0A596E08" w14:textId="77777777" w:rsidR="00C721A8" w:rsidRPr="00B4515A" w:rsidRDefault="005E58C1" w:rsidP="005860B4">
            <w:pPr>
              <w:adjustRightInd w:val="0"/>
              <w:snapToGrid w:val="0"/>
              <w:rPr>
                <w:rFonts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电信科学技术研究院有</w:t>
            </w:r>
          </w:p>
          <w:p w14:paraId="75D0C2C7" w14:textId="23DEDCAF"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限公司</w:t>
            </w: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64CD505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2015/8/11</w:t>
            </w:r>
          </w:p>
        </w:tc>
        <w:tc>
          <w:tcPr>
            <w:tcW w:w="683" w:type="pct"/>
            <w:shd w:val="clear" w:color="auto" w:fill="auto"/>
            <w:tcMar>
              <w:top w:w="0" w:type="dxa"/>
              <w:left w:w="108" w:type="dxa"/>
              <w:bottom w:w="0" w:type="dxa"/>
              <w:right w:w="108" w:type="dxa"/>
            </w:tcMar>
            <w:vAlign w:val="center"/>
          </w:tcPr>
          <w:p w14:paraId="338F0F5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2020/12/23</w:t>
            </w:r>
          </w:p>
        </w:tc>
        <w:tc>
          <w:tcPr>
            <w:tcW w:w="1132" w:type="pct"/>
            <w:shd w:val="clear" w:color="auto" w:fill="auto"/>
            <w:tcMar>
              <w:top w:w="0" w:type="dxa"/>
              <w:left w:w="108" w:type="dxa"/>
              <w:bottom w:w="0" w:type="dxa"/>
              <w:right w:w="108" w:type="dxa"/>
            </w:tcMar>
            <w:vAlign w:val="center"/>
          </w:tcPr>
          <w:p w14:paraId="124D37C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10,000,000.00</w:t>
            </w:r>
          </w:p>
        </w:tc>
        <w:tc>
          <w:tcPr>
            <w:tcW w:w="868" w:type="pct"/>
            <w:shd w:val="clear" w:color="auto" w:fill="auto"/>
            <w:tcMar>
              <w:top w:w="0" w:type="dxa"/>
              <w:left w:w="108" w:type="dxa"/>
              <w:bottom w:w="0" w:type="dxa"/>
              <w:right w:w="108" w:type="dxa"/>
            </w:tcMar>
            <w:vAlign w:val="center"/>
          </w:tcPr>
          <w:p w14:paraId="3760C03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 xml:space="preserve">5.2250% </w:t>
            </w:r>
          </w:p>
        </w:tc>
      </w:tr>
      <w:tr w:rsidR="006416B0" w:rsidRPr="00B4515A" w14:paraId="5FCE8C44"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37C4ECC2" w14:textId="77777777" w:rsidR="00C721A8" w:rsidRPr="00B4515A" w:rsidRDefault="005E58C1" w:rsidP="005860B4">
            <w:pPr>
              <w:adjustRightInd w:val="0"/>
              <w:snapToGrid w:val="0"/>
              <w:rPr>
                <w:rFonts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电信科学技术研究院有</w:t>
            </w:r>
          </w:p>
          <w:p w14:paraId="2A8C0D8C" w14:textId="18BB9762"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限公司</w:t>
            </w: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59F07E5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2015/8/26</w:t>
            </w:r>
          </w:p>
        </w:tc>
        <w:tc>
          <w:tcPr>
            <w:tcW w:w="683" w:type="pct"/>
            <w:shd w:val="clear" w:color="auto" w:fill="auto"/>
            <w:tcMar>
              <w:top w:w="0" w:type="dxa"/>
              <w:left w:w="108" w:type="dxa"/>
              <w:bottom w:w="0" w:type="dxa"/>
              <w:right w:w="108" w:type="dxa"/>
            </w:tcMar>
            <w:vAlign w:val="center"/>
          </w:tcPr>
          <w:p w14:paraId="7A2B983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2020/12/23</w:t>
            </w:r>
          </w:p>
        </w:tc>
        <w:tc>
          <w:tcPr>
            <w:tcW w:w="1132" w:type="pct"/>
            <w:shd w:val="clear" w:color="auto" w:fill="auto"/>
            <w:tcMar>
              <w:top w:w="0" w:type="dxa"/>
              <w:left w:w="108" w:type="dxa"/>
              <w:bottom w:w="0" w:type="dxa"/>
              <w:right w:w="108" w:type="dxa"/>
            </w:tcMar>
            <w:vAlign w:val="center"/>
          </w:tcPr>
          <w:p w14:paraId="757B29D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80,000,000.00</w:t>
            </w:r>
          </w:p>
        </w:tc>
        <w:tc>
          <w:tcPr>
            <w:tcW w:w="868" w:type="pct"/>
            <w:shd w:val="clear" w:color="auto" w:fill="auto"/>
            <w:tcMar>
              <w:top w:w="0" w:type="dxa"/>
              <w:left w:w="108" w:type="dxa"/>
              <w:bottom w:w="0" w:type="dxa"/>
              <w:right w:w="108" w:type="dxa"/>
            </w:tcMar>
            <w:vAlign w:val="center"/>
          </w:tcPr>
          <w:p w14:paraId="11009E8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 xml:space="preserve">5.2250% </w:t>
            </w:r>
          </w:p>
        </w:tc>
      </w:tr>
      <w:tr w:rsidR="006416B0" w:rsidRPr="00B4515A" w14:paraId="450CCC26"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6FAB5A53" w14:textId="77777777" w:rsidR="00C721A8" w:rsidRPr="00B4515A" w:rsidRDefault="005E58C1" w:rsidP="005860B4">
            <w:pPr>
              <w:adjustRightInd w:val="0"/>
              <w:snapToGrid w:val="0"/>
              <w:rPr>
                <w:rFonts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电信科学技术研究院有</w:t>
            </w:r>
          </w:p>
          <w:p w14:paraId="11E7E3C6" w14:textId="1BB5062F"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限公司</w:t>
            </w: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0819D8F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2018/9/17</w:t>
            </w:r>
          </w:p>
        </w:tc>
        <w:tc>
          <w:tcPr>
            <w:tcW w:w="683" w:type="pct"/>
            <w:shd w:val="clear" w:color="auto" w:fill="auto"/>
            <w:tcMar>
              <w:top w:w="0" w:type="dxa"/>
              <w:left w:w="108" w:type="dxa"/>
              <w:bottom w:w="0" w:type="dxa"/>
              <w:right w:w="108" w:type="dxa"/>
            </w:tcMar>
            <w:vAlign w:val="center"/>
          </w:tcPr>
          <w:p w14:paraId="62A4E10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2020/12/23</w:t>
            </w:r>
          </w:p>
        </w:tc>
        <w:tc>
          <w:tcPr>
            <w:tcW w:w="1132" w:type="pct"/>
            <w:shd w:val="clear" w:color="auto" w:fill="auto"/>
            <w:tcMar>
              <w:top w:w="0" w:type="dxa"/>
              <w:left w:w="108" w:type="dxa"/>
              <w:bottom w:w="0" w:type="dxa"/>
              <w:right w:w="108" w:type="dxa"/>
            </w:tcMar>
            <w:vAlign w:val="center"/>
          </w:tcPr>
          <w:p w14:paraId="6A5ABCC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30,000,000.00</w:t>
            </w:r>
          </w:p>
        </w:tc>
        <w:tc>
          <w:tcPr>
            <w:tcW w:w="868" w:type="pct"/>
            <w:shd w:val="clear" w:color="auto" w:fill="auto"/>
            <w:tcMar>
              <w:top w:w="0" w:type="dxa"/>
              <w:left w:w="108" w:type="dxa"/>
              <w:bottom w:w="0" w:type="dxa"/>
              <w:right w:w="108" w:type="dxa"/>
            </w:tcMar>
            <w:vAlign w:val="center"/>
          </w:tcPr>
          <w:p w14:paraId="360A5287"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 xml:space="preserve">5.2250% </w:t>
            </w:r>
          </w:p>
        </w:tc>
      </w:tr>
      <w:tr w:rsidR="006416B0" w:rsidRPr="00B4515A" w14:paraId="1052C5B4"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0ABAFF6F" w14:textId="77777777" w:rsidR="00C721A8" w:rsidRPr="00B4515A" w:rsidRDefault="005E58C1" w:rsidP="005860B4">
            <w:pPr>
              <w:adjustRightInd w:val="0"/>
              <w:snapToGrid w:val="0"/>
              <w:rPr>
                <w:rFonts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电信科学技术研究院有</w:t>
            </w:r>
          </w:p>
          <w:p w14:paraId="1700B61C" w14:textId="42E60E4E"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限公司</w:t>
            </w:r>
            <w:r w:rsidRPr="00B4515A">
              <w:rPr>
                <w:rFonts w:ascii="Times New Roman" w:hAnsi="Times New Roman" w:cs="Times New Roman"/>
                <w:color w:val="000000"/>
                <w:sz w:val="21"/>
                <w:szCs w:val="21"/>
              </w:rPr>
              <w:t xml:space="preserve"> </w:t>
            </w:r>
          </w:p>
        </w:tc>
        <w:tc>
          <w:tcPr>
            <w:tcW w:w="683" w:type="pct"/>
            <w:shd w:val="clear" w:color="auto" w:fill="auto"/>
            <w:tcMar>
              <w:top w:w="0" w:type="dxa"/>
              <w:left w:w="108" w:type="dxa"/>
              <w:bottom w:w="0" w:type="dxa"/>
              <w:right w:w="108" w:type="dxa"/>
            </w:tcMar>
            <w:vAlign w:val="center"/>
          </w:tcPr>
          <w:p w14:paraId="1156FDA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2019/1/25</w:t>
            </w:r>
          </w:p>
        </w:tc>
        <w:tc>
          <w:tcPr>
            <w:tcW w:w="683" w:type="pct"/>
            <w:shd w:val="clear" w:color="auto" w:fill="auto"/>
            <w:tcMar>
              <w:top w:w="0" w:type="dxa"/>
              <w:left w:w="108" w:type="dxa"/>
              <w:bottom w:w="0" w:type="dxa"/>
              <w:right w:w="108" w:type="dxa"/>
            </w:tcMar>
            <w:vAlign w:val="center"/>
          </w:tcPr>
          <w:p w14:paraId="514DD35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2020/12/23</w:t>
            </w:r>
          </w:p>
        </w:tc>
        <w:tc>
          <w:tcPr>
            <w:tcW w:w="1132" w:type="pct"/>
            <w:shd w:val="clear" w:color="auto" w:fill="auto"/>
            <w:tcMar>
              <w:top w:w="0" w:type="dxa"/>
              <w:left w:w="108" w:type="dxa"/>
              <w:bottom w:w="0" w:type="dxa"/>
              <w:right w:w="108" w:type="dxa"/>
            </w:tcMar>
            <w:vAlign w:val="center"/>
          </w:tcPr>
          <w:p w14:paraId="31B0E0F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90,000,000.00</w:t>
            </w:r>
          </w:p>
        </w:tc>
        <w:tc>
          <w:tcPr>
            <w:tcW w:w="868" w:type="pct"/>
            <w:shd w:val="clear" w:color="auto" w:fill="auto"/>
            <w:tcMar>
              <w:top w:w="0" w:type="dxa"/>
              <w:left w:w="108" w:type="dxa"/>
              <w:bottom w:w="0" w:type="dxa"/>
              <w:right w:w="108" w:type="dxa"/>
            </w:tcMar>
            <w:vAlign w:val="center"/>
          </w:tcPr>
          <w:p w14:paraId="69B2ED9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 xml:space="preserve">4.9875% </w:t>
            </w:r>
          </w:p>
        </w:tc>
      </w:tr>
      <w:tr w:rsidR="006416B0" w:rsidRPr="00B4515A" w14:paraId="264E8B6F" w14:textId="77777777" w:rsidTr="002B0582">
        <w:trPr>
          <w:trHeight w:val="340"/>
          <w:jc w:val="center"/>
        </w:trPr>
        <w:tc>
          <w:tcPr>
            <w:tcW w:w="1634" w:type="pct"/>
            <w:shd w:val="clear" w:color="auto" w:fill="auto"/>
            <w:tcMar>
              <w:top w:w="0" w:type="dxa"/>
              <w:left w:w="108" w:type="dxa"/>
              <w:bottom w:w="0" w:type="dxa"/>
              <w:right w:w="108" w:type="dxa"/>
            </w:tcMar>
            <w:vAlign w:val="center"/>
          </w:tcPr>
          <w:p w14:paraId="5277552B"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大唐电信集团财务有限公司</w:t>
            </w:r>
          </w:p>
        </w:tc>
        <w:tc>
          <w:tcPr>
            <w:tcW w:w="683" w:type="pct"/>
            <w:shd w:val="clear" w:color="auto" w:fill="auto"/>
            <w:tcMar>
              <w:top w:w="0" w:type="dxa"/>
              <w:left w:w="108" w:type="dxa"/>
              <w:bottom w:w="0" w:type="dxa"/>
              <w:right w:w="108" w:type="dxa"/>
            </w:tcMar>
            <w:vAlign w:val="center"/>
          </w:tcPr>
          <w:p w14:paraId="470B371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2021/2/10</w:t>
            </w:r>
          </w:p>
        </w:tc>
        <w:tc>
          <w:tcPr>
            <w:tcW w:w="683" w:type="pct"/>
            <w:shd w:val="clear" w:color="auto" w:fill="auto"/>
            <w:tcMar>
              <w:top w:w="0" w:type="dxa"/>
              <w:left w:w="108" w:type="dxa"/>
              <w:bottom w:w="0" w:type="dxa"/>
              <w:right w:w="108" w:type="dxa"/>
            </w:tcMar>
            <w:vAlign w:val="center"/>
          </w:tcPr>
          <w:p w14:paraId="144DAA2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2022/2/9</w:t>
            </w:r>
          </w:p>
        </w:tc>
        <w:tc>
          <w:tcPr>
            <w:tcW w:w="1132" w:type="pct"/>
            <w:shd w:val="clear" w:color="auto" w:fill="auto"/>
            <w:tcMar>
              <w:top w:w="0" w:type="dxa"/>
              <w:left w:w="108" w:type="dxa"/>
              <w:bottom w:w="0" w:type="dxa"/>
              <w:right w:w="108" w:type="dxa"/>
            </w:tcMar>
            <w:vAlign w:val="center"/>
          </w:tcPr>
          <w:p w14:paraId="0286500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20,000,000.00</w:t>
            </w:r>
          </w:p>
        </w:tc>
        <w:tc>
          <w:tcPr>
            <w:tcW w:w="868" w:type="pct"/>
            <w:shd w:val="clear" w:color="auto" w:fill="auto"/>
            <w:tcMar>
              <w:top w:w="0" w:type="dxa"/>
              <w:left w:w="108" w:type="dxa"/>
              <w:bottom w:w="0" w:type="dxa"/>
              <w:right w:w="108" w:type="dxa"/>
            </w:tcMar>
            <w:vAlign w:val="center"/>
          </w:tcPr>
          <w:p w14:paraId="75B7C6B2"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r w:rsidRPr="00B4515A">
              <w:rPr>
                <w:rFonts w:cs="Times New Roman" w:hint="eastAsia"/>
                <w:color w:val="000000"/>
                <w:sz w:val="21"/>
                <w:szCs w:val="21"/>
              </w:rPr>
              <w:t>利率：</w:t>
            </w:r>
            <w:r w:rsidRPr="00B4515A">
              <w:rPr>
                <w:rFonts w:ascii="Times New Roman" w:hAnsi="Times New Roman" w:cs="Times New Roman"/>
                <w:color w:val="000000"/>
                <w:sz w:val="21"/>
                <w:szCs w:val="21"/>
              </w:rPr>
              <w:t xml:space="preserve">4.5000% </w:t>
            </w:r>
          </w:p>
        </w:tc>
      </w:tr>
    </w:tbl>
    <w:p w14:paraId="2E47F9F7" w14:textId="77777777" w:rsidR="006416B0" w:rsidRPr="00B4515A" w:rsidRDefault="005E58C1" w:rsidP="006100BC">
      <w:pPr>
        <w:pStyle w:val="005"/>
        <w:spacing w:before="120" w:after="120"/>
        <w:ind w:firstLine="480"/>
      </w:pPr>
      <w:r w:rsidRPr="00B4515A">
        <w:rPr>
          <w:rFonts w:hint="eastAsia"/>
        </w:rPr>
        <w:t>报告期内，大唐联诚因生产经营需要，向中国信科集团下属的大唐控股、电信科研院及大唐电信集团财务有限公司借入资金。</w:t>
      </w:r>
    </w:p>
    <w:p w14:paraId="1A4D4E00" w14:textId="77777777" w:rsidR="006416B0" w:rsidRPr="00B4515A" w:rsidRDefault="005E58C1" w:rsidP="006100BC">
      <w:pPr>
        <w:pStyle w:val="005"/>
        <w:spacing w:before="120" w:after="120"/>
        <w:ind w:firstLine="480"/>
      </w:pPr>
      <w:r w:rsidRPr="00B4515A">
        <w:rPr>
          <w:rFonts w:hint="eastAsia"/>
        </w:rPr>
        <w:t>大唐联诚</w:t>
      </w:r>
      <w:r w:rsidRPr="00B4515A">
        <w:rPr>
          <w:rFonts w:hint="eastAsia"/>
        </w:rPr>
        <w:t>2</w:t>
      </w:r>
      <w:r w:rsidRPr="00B4515A">
        <w:t>020</w:t>
      </w:r>
      <w:r w:rsidRPr="00B4515A">
        <w:rPr>
          <w:rFonts w:hint="eastAsia"/>
        </w:rPr>
        <w:t>年</w:t>
      </w:r>
      <w:r w:rsidRPr="00B4515A">
        <w:rPr>
          <w:rFonts w:hint="eastAsia"/>
        </w:rPr>
        <w:t>9</w:t>
      </w:r>
      <w:r w:rsidRPr="00B4515A">
        <w:rPr>
          <w:rFonts w:hint="eastAsia"/>
        </w:rPr>
        <w:t>月</w:t>
      </w:r>
      <w:r w:rsidRPr="00B4515A">
        <w:rPr>
          <w:rFonts w:hint="eastAsia"/>
        </w:rPr>
        <w:t>1</w:t>
      </w:r>
      <w:r w:rsidRPr="00B4515A">
        <w:t>2</w:t>
      </w:r>
      <w:r w:rsidRPr="00B4515A">
        <w:rPr>
          <w:rFonts w:hint="eastAsia"/>
        </w:rPr>
        <w:t>日至</w:t>
      </w:r>
      <w:r w:rsidRPr="00B4515A">
        <w:rPr>
          <w:rFonts w:hint="eastAsia"/>
        </w:rPr>
        <w:t>2</w:t>
      </w:r>
      <w:r w:rsidRPr="00B4515A">
        <w:t>020</w:t>
      </w:r>
      <w:r w:rsidRPr="00B4515A">
        <w:rPr>
          <w:rFonts w:hint="eastAsia"/>
        </w:rPr>
        <w:t>年</w:t>
      </w:r>
      <w:r w:rsidRPr="00B4515A">
        <w:rPr>
          <w:rFonts w:hint="eastAsia"/>
        </w:rPr>
        <w:t>1</w:t>
      </w:r>
      <w:r w:rsidRPr="00B4515A">
        <w:t>2</w:t>
      </w:r>
      <w:r w:rsidRPr="00B4515A">
        <w:rPr>
          <w:rFonts w:hint="eastAsia"/>
        </w:rPr>
        <w:t>月</w:t>
      </w:r>
      <w:r w:rsidRPr="00B4515A">
        <w:rPr>
          <w:rFonts w:hint="eastAsia"/>
        </w:rPr>
        <w:t>2</w:t>
      </w:r>
      <w:r w:rsidRPr="00B4515A">
        <w:t>3</w:t>
      </w:r>
      <w:r w:rsidRPr="00B4515A">
        <w:rPr>
          <w:rFonts w:hint="eastAsia"/>
        </w:rPr>
        <w:t>日向电信科研院拆入的</w:t>
      </w:r>
      <w:r w:rsidRPr="00B4515A">
        <w:rPr>
          <w:rFonts w:hint="eastAsia"/>
        </w:rPr>
        <w:t>5</w:t>
      </w:r>
      <w:r w:rsidRPr="00B4515A">
        <w:t>,606.00</w:t>
      </w:r>
      <w:r w:rsidRPr="00B4515A">
        <w:rPr>
          <w:rFonts w:hint="eastAsia"/>
        </w:rPr>
        <w:lastRenderedPageBreak/>
        <w:t>万元利率为</w:t>
      </w:r>
      <w:r w:rsidRPr="00B4515A">
        <w:rPr>
          <w:rFonts w:hint="eastAsia"/>
        </w:rPr>
        <w:t>8</w:t>
      </w:r>
      <w:r w:rsidRPr="00B4515A">
        <w:t>.85%</w:t>
      </w:r>
      <w:r w:rsidRPr="00B4515A">
        <w:rPr>
          <w:rFonts w:hint="eastAsia"/>
        </w:rPr>
        <w:t>，利率较高。由于大唐联诚在</w:t>
      </w:r>
      <w:r w:rsidRPr="00B4515A">
        <w:rPr>
          <w:rFonts w:hint="eastAsia"/>
        </w:rPr>
        <w:t>2</w:t>
      </w:r>
      <w:r w:rsidRPr="00B4515A">
        <w:t>019</w:t>
      </w:r>
      <w:r w:rsidRPr="00B4515A">
        <w:rPr>
          <w:rFonts w:hint="eastAsia"/>
        </w:rPr>
        <w:t>年</w:t>
      </w:r>
      <w:r w:rsidRPr="00B4515A">
        <w:rPr>
          <w:rFonts w:hint="eastAsia"/>
        </w:rPr>
        <w:t>1</w:t>
      </w:r>
      <w:r w:rsidRPr="00B4515A">
        <w:t>2</w:t>
      </w:r>
      <w:r w:rsidRPr="00B4515A">
        <w:rPr>
          <w:rFonts w:hint="eastAsia"/>
        </w:rPr>
        <w:t>月</w:t>
      </w:r>
      <w:r w:rsidRPr="00B4515A">
        <w:rPr>
          <w:rFonts w:hint="eastAsia"/>
        </w:rPr>
        <w:t>3</w:t>
      </w:r>
      <w:r w:rsidRPr="00B4515A">
        <w:t>1</w:t>
      </w:r>
      <w:r w:rsidRPr="00B4515A">
        <w:rPr>
          <w:rFonts w:hint="eastAsia"/>
        </w:rPr>
        <w:t>日的所有者权益为负值，</w:t>
      </w:r>
      <w:r w:rsidRPr="00B4515A">
        <w:rPr>
          <w:rFonts w:hint="eastAsia"/>
        </w:rPr>
        <w:t>2</w:t>
      </w:r>
      <w:r w:rsidRPr="00B4515A">
        <w:t>019</w:t>
      </w:r>
      <w:r w:rsidRPr="00B4515A">
        <w:rPr>
          <w:rFonts w:hint="eastAsia"/>
        </w:rPr>
        <w:t>年的经营性净现金流为负，独立融资能力较差；中国信科集团为了支持大唐联诚的经营及发展，对于旗下电信科研院</w:t>
      </w:r>
      <w:r w:rsidRPr="00B4515A">
        <w:rPr>
          <w:rFonts w:hint="eastAsia"/>
        </w:rPr>
        <w:t>2</w:t>
      </w:r>
      <w:r w:rsidRPr="00B4515A">
        <w:t>017</w:t>
      </w:r>
      <w:r w:rsidRPr="00B4515A">
        <w:rPr>
          <w:rFonts w:hint="eastAsia"/>
        </w:rPr>
        <w:t>年</w:t>
      </w:r>
      <w:r w:rsidRPr="00B4515A">
        <w:rPr>
          <w:rFonts w:hint="eastAsia"/>
        </w:rPr>
        <w:t>3</w:t>
      </w:r>
      <w:r w:rsidRPr="00B4515A">
        <w:rPr>
          <w:rFonts w:hint="eastAsia"/>
        </w:rPr>
        <w:t>月</w:t>
      </w:r>
      <w:r w:rsidRPr="00B4515A">
        <w:rPr>
          <w:rFonts w:hint="eastAsia"/>
        </w:rPr>
        <w:t>1</w:t>
      </w:r>
      <w:r w:rsidRPr="00B4515A">
        <w:t>3</w:t>
      </w:r>
      <w:r w:rsidRPr="00B4515A">
        <w:rPr>
          <w:rFonts w:hint="eastAsia"/>
        </w:rPr>
        <w:t>日至</w:t>
      </w:r>
      <w:r w:rsidRPr="00B4515A">
        <w:t>2020</w:t>
      </w:r>
      <w:r w:rsidRPr="00B4515A">
        <w:rPr>
          <w:rFonts w:hint="eastAsia"/>
        </w:rPr>
        <w:t>年</w:t>
      </w:r>
      <w:r w:rsidRPr="00B4515A">
        <w:t>9</w:t>
      </w:r>
      <w:r w:rsidRPr="00B4515A">
        <w:rPr>
          <w:rFonts w:hint="eastAsia"/>
        </w:rPr>
        <w:t>月</w:t>
      </w:r>
      <w:r w:rsidRPr="00B4515A">
        <w:t>12</w:t>
      </w:r>
      <w:r w:rsidRPr="00B4515A">
        <w:rPr>
          <w:rFonts w:hint="eastAsia"/>
        </w:rPr>
        <w:t>日借给大唐联诚的</w:t>
      </w:r>
      <w:r w:rsidRPr="00B4515A">
        <w:rPr>
          <w:rFonts w:hint="eastAsia"/>
        </w:rPr>
        <w:t>5</w:t>
      </w:r>
      <w:r w:rsidRPr="00B4515A">
        <w:t>,606.00</w:t>
      </w:r>
      <w:r w:rsidRPr="00B4515A">
        <w:rPr>
          <w:rFonts w:hint="eastAsia"/>
        </w:rPr>
        <w:t>万元借款进行了展期。由于中国信科集团对于此笔展期的借款存在损失的风险，故在当年</w:t>
      </w:r>
      <w:r w:rsidRPr="00B4515A">
        <w:rPr>
          <w:rFonts w:hint="eastAsia"/>
        </w:rPr>
        <w:t>L</w:t>
      </w:r>
      <w:r w:rsidRPr="00B4515A">
        <w:t>PR</w:t>
      </w:r>
      <w:r w:rsidRPr="00B4515A">
        <w:rPr>
          <w:rFonts w:hint="eastAsia"/>
        </w:rPr>
        <w:t>利率</w:t>
      </w:r>
      <w:r w:rsidRPr="00B4515A">
        <w:rPr>
          <w:rFonts w:hint="eastAsia"/>
        </w:rPr>
        <w:t>3</w:t>
      </w:r>
      <w:r w:rsidRPr="00B4515A">
        <w:t>.85%</w:t>
      </w:r>
      <w:r w:rsidRPr="00B4515A">
        <w:rPr>
          <w:rFonts w:hint="eastAsia"/>
        </w:rPr>
        <w:t>的基础上加收了年化</w:t>
      </w:r>
      <w:r w:rsidRPr="00B4515A">
        <w:rPr>
          <w:rFonts w:hint="eastAsia"/>
        </w:rPr>
        <w:t>5</w:t>
      </w:r>
      <w:r w:rsidRPr="00B4515A">
        <w:t>%</w:t>
      </w:r>
      <w:r w:rsidRPr="00B4515A">
        <w:rPr>
          <w:rFonts w:hint="eastAsia"/>
        </w:rPr>
        <w:t>的风险敞口费。</w:t>
      </w:r>
    </w:p>
    <w:p w14:paraId="22B6249A" w14:textId="77777777" w:rsidR="006416B0" w:rsidRPr="00B4515A" w:rsidRDefault="005E58C1" w:rsidP="006100BC">
      <w:pPr>
        <w:pStyle w:val="005"/>
        <w:spacing w:before="120" w:after="120"/>
        <w:ind w:firstLine="480"/>
      </w:pPr>
      <w:r w:rsidRPr="00B4515A">
        <w:rPr>
          <w:rFonts w:hint="eastAsia"/>
        </w:rPr>
        <w:t>除上述展期的贷款外，大唐联诚向关联方借款的利率均参照同期相同借款期限的市场利率进行确定，借款利率公允。</w:t>
      </w:r>
    </w:p>
    <w:p w14:paraId="40A6F02D" w14:textId="48782933" w:rsidR="006416B0" w:rsidRPr="00B4515A" w:rsidRDefault="005E58C1">
      <w:pPr>
        <w:pStyle w:val="Default"/>
        <w:spacing w:beforeLines="50" w:before="120" w:afterLines="50" w:after="120" w:line="360" w:lineRule="auto"/>
        <w:ind w:firstLineChars="200" w:firstLine="480"/>
        <w:jc w:val="both"/>
        <w:rPr>
          <w:rFonts w:ascii="Times New Roman" w:hAnsi="Times New Roman" w:cs="Times New Roman"/>
        </w:rPr>
      </w:pPr>
      <w:r w:rsidRPr="00B4515A">
        <w:rPr>
          <w:rFonts w:ascii="Times New Roman" w:hAnsi="Times New Roman" w:cs="Times New Roman" w:hint="eastAsia"/>
        </w:rPr>
        <w:t>报告期内，大唐联诚不存在被关联方占用资金的情况。</w:t>
      </w:r>
    </w:p>
    <w:p w14:paraId="488F3EA1" w14:textId="326A63EA" w:rsidR="006416B0" w:rsidRPr="00B4515A" w:rsidRDefault="00CE510C" w:rsidP="006100BC">
      <w:pPr>
        <w:pStyle w:val="004"/>
        <w:spacing w:before="120" w:after="120"/>
        <w:ind w:firstLine="482"/>
      </w:pPr>
      <w:bookmarkStart w:id="338" w:name="_Toc75169323"/>
      <w:r w:rsidRPr="00B4515A">
        <w:t>5</w:t>
      </w:r>
      <w:r w:rsidR="008C1C67" w:rsidRPr="00B4515A">
        <w:t>、</w:t>
      </w:r>
      <w:r w:rsidR="005E58C1" w:rsidRPr="00B4515A">
        <w:rPr>
          <w:rFonts w:hint="eastAsia"/>
        </w:rPr>
        <w:t>其他关联交易</w:t>
      </w:r>
      <w:bookmarkEnd w:id="338"/>
    </w:p>
    <w:p w14:paraId="3A6278C3" w14:textId="32C08421" w:rsidR="006416B0" w:rsidRPr="00B4515A" w:rsidRDefault="00D44516"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397"/>
        <w:gridCol w:w="1667"/>
        <w:gridCol w:w="1481"/>
        <w:gridCol w:w="1577"/>
        <w:gridCol w:w="1406"/>
      </w:tblGrid>
      <w:tr w:rsidR="006416B0" w:rsidRPr="00B4515A" w14:paraId="742A00D8"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6EBF953F"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关联方</w:t>
            </w:r>
          </w:p>
        </w:tc>
        <w:tc>
          <w:tcPr>
            <w:tcW w:w="1610" w:type="dxa"/>
            <w:shd w:val="clear" w:color="auto" w:fill="auto"/>
            <w:tcMar>
              <w:top w:w="0" w:type="dxa"/>
              <w:left w:w="108" w:type="dxa"/>
              <w:bottom w:w="0" w:type="dxa"/>
              <w:right w:w="108" w:type="dxa"/>
            </w:tcMar>
            <w:vAlign w:val="center"/>
          </w:tcPr>
          <w:p w14:paraId="46CD8BDF"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关联交易内容</w:t>
            </w:r>
          </w:p>
        </w:tc>
        <w:tc>
          <w:tcPr>
            <w:tcW w:w="1430" w:type="dxa"/>
            <w:shd w:val="clear" w:color="auto" w:fill="auto"/>
            <w:tcMar>
              <w:top w:w="0" w:type="dxa"/>
              <w:left w:w="108" w:type="dxa"/>
              <w:bottom w:w="0" w:type="dxa"/>
              <w:right w:w="108" w:type="dxa"/>
            </w:tcMar>
            <w:vAlign w:val="center"/>
          </w:tcPr>
          <w:p w14:paraId="567BB8C3"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2021.4.30</w:t>
            </w:r>
          </w:p>
        </w:tc>
        <w:tc>
          <w:tcPr>
            <w:tcW w:w="1523" w:type="dxa"/>
            <w:shd w:val="clear" w:color="auto" w:fill="auto"/>
            <w:tcMar>
              <w:top w:w="0" w:type="dxa"/>
              <w:left w:w="108" w:type="dxa"/>
              <w:bottom w:w="0" w:type="dxa"/>
              <w:right w:w="108" w:type="dxa"/>
            </w:tcMar>
            <w:vAlign w:val="center"/>
          </w:tcPr>
          <w:p w14:paraId="636BE701"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2020.12.31</w:t>
            </w:r>
          </w:p>
        </w:tc>
        <w:tc>
          <w:tcPr>
            <w:tcW w:w="1358" w:type="dxa"/>
            <w:shd w:val="clear" w:color="auto" w:fill="auto"/>
            <w:tcMar>
              <w:top w:w="0" w:type="dxa"/>
              <w:left w:w="108" w:type="dxa"/>
              <w:bottom w:w="0" w:type="dxa"/>
              <w:right w:w="108" w:type="dxa"/>
            </w:tcMar>
            <w:vAlign w:val="center"/>
          </w:tcPr>
          <w:p w14:paraId="3D8A0D38"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2019.12.31</w:t>
            </w:r>
          </w:p>
        </w:tc>
      </w:tr>
      <w:tr w:rsidR="006416B0" w:rsidRPr="00B4515A" w14:paraId="64D2BAC8"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0A6F671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610" w:type="dxa"/>
            <w:shd w:val="clear" w:color="auto" w:fill="auto"/>
            <w:tcMar>
              <w:top w:w="0" w:type="dxa"/>
              <w:left w:w="108" w:type="dxa"/>
              <w:bottom w:w="0" w:type="dxa"/>
              <w:right w:w="108" w:type="dxa"/>
            </w:tcMar>
            <w:vAlign w:val="center"/>
          </w:tcPr>
          <w:p w14:paraId="6ED1AFB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存款余额</w:t>
            </w:r>
          </w:p>
        </w:tc>
        <w:tc>
          <w:tcPr>
            <w:tcW w:w="1430" w:type="dxa"/>
            <w:shd w:val="clear" w:color="auto" w:fill="auto"/>
            <w:tcMar>
              <w:top w:w="0" w:type="dxa"/>
              <w:left w:w="108" w:type="dxa"/>
              <w:bottom w:w="0" w:type="dxa"/>
              <w:right w:w="108" w:type="dxa"/>
            </w:tcMar>
            <w:vAlign w:val="center"/>
          </w:tcPr>
          <w:p w14:paraId="7D50118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59,671.89</w:t>
            </w:r>
          </w:p>
        </w:tc>
        <w:tc>
          <w:tcPr>
            <w:tcW w:w="1523" w:type="dxa"/>
            <w:shd w:val="clear" w:color="auto" w:fill="auto"/>
            <w:tcMar>
              <w:top w:w="0" w:type="dxa"/>
              <w:left w:w="108" w:type="dxa"/>
              <w:bottom w:w="0" w:type="dxa"/>
              <w:right w:w="108" w:type="dxa"/>
            </w:tcMar>
            <w:vAlign w:val="center"/>
          </w:tcPr>
          <w:p w14:paraId="03BDF5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7,119.99</w:t>
            </w:r>
          </w:p>
        </w:tc>
        <w:tc>
          <w:tcPr>
            <w:tcW w:w="1358" w:type="dxa"/>
            <w:shd w:val="clear" w:color="auto" w:fill="auto"/>
            <w:tcMar>
              <w:top w:w="0" w:type="dxa"/>
              <w:left w:w="108" w:type="dxa"/>
              <w:bottom w:w="0" w:type="dxa"/>
              <w:right w:w="108" w:type="dxa"/>
            </w:tcMar>
            <w:vAlign w:val="center"/>
          </w:tcPr>
          <w:p w14:paraId="298816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2,634.65</w:t>
            </w:r>
          </w:p>
        </w:tc>
      </w:tr>
    </w:tbl>
    <w:p w14:paraId="0354658C" w14:textId="77777777" w:rsidR="006416B0" w:rsidRPr="00B4515A" w:rsidRDefault="006416B0">
      <w:pPr>
        <w:pStyle w:val="3f6"/>
        <w:spacing w:line="360" w:lineRule="auto"/>
        <w:ind w:left="1429" w:right="231"/>
        <w:jc w:val="right"/>
        <w:rPr>
          <w:rFonts w:eastAsiaTheme="majorEastAsia"/>
          <w:color w:val="000000" w:themeColor="text1"/>
        </w:rPr>
      </w:pPr>
    </w:p>
    <w:p w14:paraId="57C86BFF" w14:textId="093ED243" w:rsidR="006416B0" w:rsidRPr="00B4515A" w:rsidRDefault="00D44516"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403"/>
        <w:gridCol w:w="1672"/>
        <w:gridCol w:w="1656"/>
        <w:gridCol w:w="1512"/>
        <w:gridCol w:w="1285"/>
      </w:tblGrid>
      <w:tr w:rsidR="006416B0" w:rsidRPr="00B4515A" w14:paraId="4F1D5807"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3EE40210"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关联方</w:t>
            </w:r>
          </w:p>
        </w:tc>
        <w:tc>
          <w:tcPr>
            <w:tcW w:w="1610" w:type="dxa"/>
            <w:shd w:val="clear" w:color="auto" w:fill="auto"/>
            <w:tcMar>
              <w:top w:w="0" w:type="dxa"/>
              <w:left w:w="108" w:type="dxa"/>
              <w:bottom w:w="0" w:type="dxa"/>
              <w:right w:w="108" w:type="dxa"/>
            </w:tcMar>
            <w:vAlign w:val="center"/>
          </w:tcPr>
          <w:p w14:paraId="4C2FE3EC"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关联交易内容</w:t>
            </w:r>
          </w:p>
        </w:tc>
        <w:tc>
          <w:tcPr>
            <w:tcW w:w="1595" w:type="dxa"/>
            <w:shd w:val="clear" w:color="auto" w:fill="auto"/>
            <w:tcMar>
              <w:top w:w="0" w:type="dxa"/>
              <w:left w:w="108" w:type="dxa"/>
              <w:bottom w:w="0" w:type="dxa"/>
              <w:right w:w="108" w:type="dxa"/>
            </w:tcMar>
            <w:vAlign w:val="center"/>
          </w:tcPr>
          <w:p w14:paraId="6447B2D8"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w:t>
            </w:r>
            <w:r w:rsidRPr="00B4515A">
              <w:rPr>
                <w:rFonts w:cs="Times New Roman" w:hint="eastAsia"/>
                <w:b/>
                <w:bCs/>
                <w:color w:val="000000"/>
                <w:sz w:val="21"/>
                <w:szCs w:val="21"/>
              </w:rPr>
              <w:t>年</w:t>
            </w:r>
            <w:r w:rsidRPr="00B4515A">
              <w:rPr>
                <w:rFonts w:ascii="Times New Roman" w:hAnsi="Times New Roman" w:cs="Times New Roman"/>
                <w:b/>
                <w:bCs/>
                <w:color w:val="000000"/>
                <w:sz w:val="21"/>
                <w:szCs w:val="21"/>
              </w:rPr>
              <w:t>1-4</w:t>
            </w:r>
            <w:r w:rsidRPr="00B4515A">
              <w:rPr>
                <w:rFonts w:cs="Times New Roman" w:hint="eastAsia"/>
                <w:b/>
                <w:bCs/>
                <w:color w:val="000000"/>
                <w:sz w:val="21"/>
                <w:szCs w:val="21"/>
              </w:rPr>
              <w:t>月</w:t>
            </w:r>
          </w:p>
        </w:tc>
        <w:tc>
          <w:tcPr>
            <w:tcW w:w="1456" w:type="dxa"/>
            <w:shd w:val="clear" w:color="auto" w:fill="auto"/>
            <w:tcMar>
              <w:top w:w="0" w:type="dxa"/>
              <w:left w:w="108" w:type="dxa"/>
              <w:bottom w:w="0" w:type="dxa"/>
              <w:right w:w="108" w:type="dxa"/>
            </w:tcMar>
            <w:vAlign w:val="center"/>
          </w:tcPr>
          <w:p w14:paraId="2DA4E7B4"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w:t>
            </w:r>
            <w:r w:rsidRPr="00B4515A">
              <w:rPr>
                <w:rFonts w:cs="Times New Roman" w:hint="eastAsia"/>
                <w:b/>
                <w:bCs/>
                <w:color w:val="000000"/>
                <w:sz w:val="21"/>
                <w:szCs w:val="21"/>
              </w:rPr>
              <w:t>年度</w:t>
            </w:r>
          </w:p>
        </w:tc>
        <w:tc>
          <w:tcPr>
            <w:tcW w:w="1237" w:type="dxa"/>
            <w:shd w:val="clear" w:color="auto" w:fill="auto"/>
            <w:tcMar>
              <w:top w:w="0" w:type="dxa"/>
              <w:left w:w="108" w:type="dxa"/>
              <w:bottom w:w="0" w:type="dxa"/>
              <w:right w:w="108" w:type="dxa"/>
            </w:tcMar>
            <w:vAlign w:val="center"/>
          </w:tcPr>
          <w:p w14:paraId="2A59B910"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w:t>
            </w:r>
            <w:r w:rsidRPr="00B4515A">
              <w:rPr>
                <w:rFonts w:cs="Times New Roman" w:hint="eastAsia"/>
                <w:b/>
                <w:bCs/>
                <w:color w:val="000000"/>
                <w:sz w:val="21"/>
                <w:szCs w:val="21"/>
              </w:rPr>
              <w:t>年度</w:t>
            </w:r>
          </w:p>
        </w:tc>
      </w:tr>
      <w:tr w:rsidR="006416B0" w:rsidRPr="00B4515A" w14:paraId="36D71534"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33C6EDB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610" w:type="dxa"/>
            <w:shd w:val="clear" w:color="auto" w:fill="auto"/>
            <w:tcMar>
              <w:top w:w="0" w:type="dxa"/>
              <w:left w:w="108" w:type="dxa"/>
              <w:bottom w:w="0" w:type="dxa"/>
              <w:right w:w="108" w:type="dxa"/>
            </w:tcMar>
            <w:vAlign w:val="center"/>
          </w:tcPr>
          <w:p w14:paraId="719B6CC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利息收入</w:t>
            </w:r>
          </w:p>
        </w:tc>
        <w:tc>
          <w:tcPr>
            <w:tcW w:w="1595" w:type="dxa"/>
            <w:shd w:val="clear" w:color="auto" w:fill="auto"/>
            <w:tcMar>
              <w:top w:w="0" w:type="dxa"/>
              <w:left w:w="108" w:type="dxa"/>
              <w:bottom w:w="0" w:type="dxa"/>
              <w:right w:w="108" w:type="dxa"/>
            </w:tcMar>
            <w:vAlign w:val="center"/>
          </w:tcPr>
          <w:p w14:paraId="72A84D6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8.78</w:t>
            </w:r>
          </w:p>
        </w:tc>
        <w:tc>
          <w:tcPr>
            <w:tcW w:w="1456" w:type="dxa"/>
            <w:shd w:val="clear" w:color="auto" w:fill="auto"/>
            <w:tcMar>
              <w:top w:w="0" w:type="dxa"/>
              <w:left w:w="108" w:type="dxa"/>
              <w:bottom w:w="0" w:type="dxa"/>
              <w:right w:w="108" w:type="dxa"/>
            </w:tcMar>
            <w:vAlign w:val="center"/>
          </w:tcPr>
          <w:p w14:paraId="3DAE5D3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20.82</w:t>
            </w:r>
          </w:p>
        </w:tc>
        <w:tc>
          <w:tcPr>
            <w:tcW w:w="1237" w:type="dxa"/>
            <w:shd w:val="clear" w:color="auto" w:fill="auto"/>
            <w:tcMar>
              <w:top w:w="0" w:type="dxa"/>
              <w:left w:w="108" w:type="dxa"/>
              <w:bottom w:w="0" w:type="dxa"/>
              <w:right w:w="108" w:type="dxa"/>
            </w:tcMar>
            <w:vAlign w:val="center"/>
          </w:tcPr>
          <w:p w14:paraId="653B812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9.88</w:t>
            </w:r>
          </w:p>
        </w:tc>
      </w:tr>
      <w:tr w:rsidR="006416B0" w:rsidRPr="00B4515A" w14:paraId="552EF413"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745549C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610" w:type="dxa"/>
            <w:shd w:val="clear" w:color="auto" w:fill="auto"/>
            <w:tcMar>
              <w:top w:w="0" w:type="dxa"/>
              <w:left w:w="108" w:type="dxa"/>
              <w:bottom w:w="0" w:type="dxa"/>
              <w:right w:w="108" w:type="dxa"/>
            </w:tcMar>
            <w:vAlign w:val="center"/>
          </w:tcPr>
          <w:p w14:paraId="06FC21A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利息支出</w:t>
            </w:r>
          </w:p>
        </w:tc>
        <w:tc>
          <w:tcPr>
            <w:tcW w:w="1595" w:type="dxa"/>
            <w:shd w:val="clear" w:color="auto" w:fill="auto"/>
            <w:tcMar>
              <w:top w:w="0" w:type="dxa"/>
              <w:left w:w="108" w:type="dxa"/>
              <w:bottom w:w="0" w:type="dxa"/>
              <w:right w:w="108" w:type="dxa"/>
            </w:tcMar>
            <w:vAlign w:val="center"/>
          </w:tcPr>
          <w:p w14:paraId="11A2B1C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20.25</w:t>
            </w:r>
          </w:p>
        </w:tc>
        <w:tc>
          <w:tcPr>
            <w:tcW w:w="1456" w:type="dxa"/>
            <w:shd w:val="clear" w:color="auto" w:fill="auto"/>
            <w:tcMar>
              <w:top w:w="0" w:type="dxa"/>
              <w:left w:w="108" w:type="dxa"/>
              <w:bottom w:w="0" w:type="dxa"/>
              <w:right w:w="108" w:type="dxa"/>
            </w:tcMar>
            <w:vAlign w:val="center"/>
          </w:tcPr>
          <w:p w14:paraId="298B9B3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237" w:type="dxa"/>
            <w:shd w:val="clear" w:color="auto" w:fill="auto"/>
            <w:tcMar>
              <w:top w:w="0" w:type="dxa"/>
              <w:left w:w="108" w:type="dxa"/>
              <w:bottom w:w="0" w:type="dxa"/>
              <w:right w:w="108" w:type="dxa"/>
            </w:tcMar>
            <w:vAlign w:val="center"/>
          </w:tcPr>
          <w:p w14:paraId="6BCDE74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461BF82"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05564FD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大唐电信科技产业控股有限公司</w:t>
            </w:r>
          </w:p>
        </w:tc>
        <w:tc>
          <w:tcPr>
            <w:tcW w:w="1610" w:type="dxa"/>
            <w:shd w:val="clear" w:color="auto" w:fill="auto"/>
            <w:tcMar>
              <w:top w:w="0" w:type="dxa"/>
              <w:left w:w="108" w:type="dxa"/>
              <w:bottom w:w="0" w:type="dxa"/>
              <w:right w:w="108" w:type="dxa"/>
            </w:tcMar>
            <w:vAlign w:val="center"/>
          </w:tcPr>
          <w:p w14:paraId="5B42149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利息支出</w:t>
            </w:r>
          </w:p>
        </w:tc>
        <w:tc>
          <w:tcPr>
            <w:tcW w:w="1595" w:type="dxa"/>
            <w:shd w:val="clear" w:color="auto" w:fill="auto"/>
            <w:tcMar>
              <w:top w:w="0" w:type="dxa"/>
              <w:left w:w="108" w:type="dxa"/>
              <w:bottom w:w="0" w:type="dxa"/>
              <w:right w:w="108" w:type="dxa"/>
            </w:tcMar>
            <w:vAlign w:val="center"/>
          </w:tcPr>
          <w:p w14:paraId="111CE01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456" w:type="dxa"/>
            <w:shd w:val="clear" w:color="auto" w:fill="auto"/>
            <w:tcMar>
              <w:top w:w="0" w:type="dxa"/>
              <w:left w:w="108" w:type="dxa"/>
              <w:bottom w:w="0" w:type="dxa"/>
              <w:right w:w="108" w:type="dxa"/>
            </w:tcMar>
            <w:vAlign w:val="center"/>
          </w:tcPr>
          <w:p w14:paraId="1BCE8AA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240.22</w:t>
            </w:r>
          </w:p>
        </w:tc>
        <w:tc>
          <w:tcPr>
            <w:tcW w:w="1237" w:type="dxa"/>
            <w:shd w:val="clear" w:color="auto" w:fill="auto"/>
            <w:tcMar>
              <w:top w:w="0" w:type="dxa"/>
              <w:left w:w="108" w:type="dxa"/>
              <w:bottom w:w="0" w:type="dxa"/>
              <w:right w:w="108" w:type="dxa"/>
            </w:tcMar>
            <w:vAlign w:val="center"/>
          </w:tcPr>
          <w:p w14:paraId="5DAA2BD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338.55</w:t>
            </w:r>
          </w:p>
        </w:tc>
      </w:tr>
      <w:tr w:rsidR="006416B0" w:rsidRPr="00B4515A" w14:paraId="6C755D9F"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14FCD29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电信科学技术研究院有限公司</w:t>
            </w:r>
          </w:p>
        </w:tc>
        <w:tc>
          <w:tcPr>
            <w:tcW w:w="1610" w:type="dxa"/>
            <w:shd w:val="clear" w:color="auto" w:fill="auto"/>
            <w:tcMar>
              <w:top w:w="0" w:type="dxa"/>
              <w:left w:w="108" w:type="dxa"/>
              <w:bottom w:w="0" w:type="dxa"/>
              <w:right w:w="108" w:type="dxa"/>
            </w:tcMar>
            <w:vAlign w:val="center"/>
          </w:tcPr>
          <w:p w14:paraId="4227C81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利息支出</w:t>
            </w:r>
          </w:p>
        </w:tc>
        <w:tc>
          <w:tcPr>
            <w:tcW w:w="1595" w:type="dxa"/>
            <w:shd w:val="clear" w:color="auto" w:fill="auto"/>
            <w:tcMar>
              <w:top w:w="0" w:type="dxa"/>
              <w:left w:w="108" w:type="dxa"/>
              <w:bottom w:w="0" w:type="dxa"/>
              <w:right w:w="108" w:type="dxa"/>
            </w:tcMar>
            <w:vAlign w:val="center"/>
          </w:tcPr>
          <w:p w14:paraId="0B330C8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456" w:type="dxa"/>
            <w:shd w:val="clear" w:color="auto" w:fill="auto"/>
            <w:tcMar>
              <w:top w:w="0" w:type="dxa"/>
              <w:left w:w="108" w:type="dxa"/>
              <w:bottom w:w="0" w:type="dxa"/>
              <w:right w:w="108" w:type="dxa"/>
            </w:tcMar>
            <w:vAlign w:val="center"/>
          </w:tcPr>
          <w:p w14:paraId="407403B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1,457.29</w:t>
            </w:r>
          </w:p>
        </w:tc>
        <w:tc>
          <w:tcPr>
            <w:tcW w:w="1237" w:type="dxa"/>
            <w:shd w:val="clear" w:color="auto" w:fill="auto"/>
            <w:tcMar>
              <w:top w:w="0" w:type="dxa"/>
              <w:left w:w="108" w:type="dxa"/>
              <w:bottom w:w="0" w:type="dxa"/>
              <w:right w:w="108" w:type="dxa"/>
            </w:tcMar>
            <w:vAlign w:val="center"/>
          </w:tcPr>
          <w:p w14:paraId="3DBF3C3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1,372.22</w:t>
            </w:r>
          </w:p>
        </w:tc>
      </w:tr>
      <w:tr w:rsidR="006416B0" w:rsidRPr="00B4515A" w14:paraId="344BBAB2"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6D958895" w14:textId="77777777" w:rsidR="006416B0" w:rsidRPr="00B4515A" w:rsidRDefault="005E58C1" w:rsidP="005860B4">
            <w:pPr>
              <w:adjustRightInd w:val="0"/>
              <w:snapToGrid w:val="0"/>
              <w:rPr>
                <w:rFonts w:cs="Times New Roman"/>
                <w:color w:val="000000"/>
                <w:sz w:val="21"/>
                <w:szCs w:val="21"/>
              </w:rPr>
            </w:pPr>
            <w:r w:rsidRPr="00B4515A">
              <w:rPr>
                <w:rFonts w:cs="Times New Roman" w:hint="eastAsia"/>
                <w:color w:val="000000"/>
                <w:sz w:val="21"/>
                <w:szCs w:val="21"/>
              </w:rPr>
              <w:t>中国信息通信科技集团有限公司</w:t>
            </w:r>
          </w:p>
        </w:tc>
        <w:tc>
          <w:tcPr>
            <w:tcW w:w="1610" w:type="dxa"/>
            <w:shd w:val="clear" w:color="auto" w:fill="auto"/>
            <w:tcMar>
              <w:top w:w="0" w:type="dxa"/>
              <w:left w:w="108" w:type="dxa"/>
              <w:bottom w:w="0" w:type="dxa"/>
              <w:right w:w="108" w:type="dxa"/>
            </w:tcMar>
            <w:vAlign w:val="center"/>
          </w:tcPr>
          <w:p w14:paraId="1CA5A4A8" w14:textId="77777777" w:rsidR="006416B0" w:rsidRPr="00B4515A" w:rsidRDefault="005E58C1" w:rsidP="005860B4">
            <w:pPr>
              <w:adjustRightInd w:val="0"/>
              <w:snapToGrid w:val="0"/>
              <w:rPr>
                <w:rFonts w:cs="Times New Roman"/>
                <w:color w:val="000000"/>
                <w:sz w:val="21"/>
                <w:szCs w:val="21"/>
              </w:rPr>
            </w:pPr>
            <w:r w:rsidRPr="00B4515A">
              <w:rPr>
                <w:rFonts w:cs="Times New Roman" w:hint="eastAsia"/>
                <w:color w:val="000000"/>
                <w:sz w:val="21"/>
                <w:szCs w:val="21"/>
              </w:rPr>
              <w:t>合作开发</w:t>
            </w:r>
          </w:p>
        </w:tc>
        <w:tc>
          <w:tcPr>
            <w:tcW w:w="1595" w:type="dxa"/>
            <w:shd w:val="clear" w:color="auto" w:fill="auto"/>
            <w:tcMar>
              <w:top w:w="0" w:type="dxa"/>
              <w:left w:w="108" w:type="dxa"/>
              <w:bottom w:w="0" w:type="dxa"/>
              <w:right w:w="108" w:type="dxa"/>
            </w:tcMar>
            <w:vAlign w:val="center"/>
          </w:tcPr>
          <w:p w14:paraId="19AA837F" w14:textId="77777777" w:rsidR="006416B0" w:rsidRPr="00B4515A" w:rsidRDefault="006416B0" w:rsidP="005860B4">
            <w:pPr>
              <w:adjustRightInd w:val="0"/>
              <w:snapToGrid w:val="0"/>
              <w:jc w:val="right"/>
              <w:rPr>
                <w:rFonts w:ascii="Times New Roman" w:hAnsi="Times New Roman" w:cs="Times New Roman"/>
                <w:color w:val="000000"/>
                <w:sz w:val="21"/>
                <w:szCs w:val="21"/>
              </w:rPr>
            </w:pPr>
          </w:p>
        </w:tc>
        <w:tc>
          <w:tcPr>
            <w:tcW w:w="1456" w:type="dxa"/>
            <w:shd w:val="clear" w:color="auto" w:fill="auto"/>
            <w:tcMar>
              <w:top w:w="0" w:type="dxa"/>
              <w:left w:w="108" w:type="dxa"/>
              <w:bottom w:w="0" w:type="dxa"/>
              <w:right w:w="108" w:type="dxa"/>
            </w:tcMar>
            <w:vAlign w:val="center"/>
          </w:tcPr>
          <w:p w14:paraId="3D83570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1,000.00 </w:t>
            </w:r>
          </w:p>
        </w:tc>
        <w:tc>
          <w:tcPr>
            <w:tcW w:w="1237" w:type="dxa"/>
            <w:shd w:val="clear" w:color="auto" w:fill="auto"/>
            <w:tcMar>
              <w:top w:w="0" w:type="dxa"/>
              <w:left w:w="108" w:type="dxa"/>
              <w:bottom w:w="0" w:type="dxa"/>
              <w:right w:w="108" w:type="dxa"/>
            </w:tcMar>
            <w:vAlign w:val="center"/>
          </w:tcPr>
          <w:p w14:paraId="72AEBB1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3,929.72 </w:t>
            </w:r>
          </w:p>
        </w:tc>
      </w:tr>
      <w:tr w:rsidR="00CD5282" w:rsidRPr="00B4515A" w14:paraId="5A364659"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1270BAC5" w14:textId="0BCB609C" w:rsidR="00CD5282" w:rsidRPr="00B4515A" w:rsidRDefault="00CD5282" w:rsidP="005860B4">
            <w:pPr>
              <w:adjustRightInd w:val="0"/>
              <w:snapToGrid w:val="0"/>
              <w:rPr>
                <w:rFonts w:cs="Times New Roman"/>
                <w:color w:val="000000"/>
                <w:sz w:val="21"/>
                <w:szCs w:val="21"/>
              </w:rPr>
            </w:pPr>
            <w:r w:rsidRPr="00B4515A">
              <w:rPr>
                <w:rFonts w:cs="Times New Roman" w:hint="eastAsia"/>
                <w:color w:val="000000"/>
                <w:sz w:val="21"/>
                <w:szCs w:val="21"/>
              </w:rPr>
              <w:t>电信科学技术第十研究所有限公司</w:t>
            </w:r>
          </w:p>
        </w:tc>
        <w:tc>
          <w:tcPr>
            <w:tcW w:w="1610" w:type="dxa"/>
            <w:shd w:val="clear" w:color="auto" w:fill="auto"/>
            <w:tcMar>
              <w:top w:w="0" w:type="dxa"/>
              <w:left w:w="108" w:type="dxa"/>
              <w:bottom w:w="0" w:type="dxa"/>
              <w:right w:w="108" w:type="dxa"/>
            </w:tcMar>
            <w:vAlign w:val="center"/>
          </w:tcPr>
          <w:p w14:paraId="09B9C2A7" w14:textId="1445FC8B" w:rsidR="00CD5282" w:rsidRPr="00B4515A" w:rsidRDefault="00CD5282" w:rsidP="005860B4">
            <w:pPr>
              <w:adjustRightInd w:val="0"/>
              <w:snapToGrid w:val="0"/>
              <w:rPr>
                <w:rFonts w:cs="Times New Roman"/>
                <w:color w:val="000000"/>
                <w:sz w:val="21"/>
                <w:szCs w:val="21"/>
              </w:rPr>
            </w:pPr>
            <w:r w:rsidRPr="00B4515A">
              <w:rPr>
                <w:rFonts w:cs="Times New Roman" w:hint="eastAsia"/>
                <w:color w:val="000000"/>
                <w:sz w:val="21"/>
                <w:szCs w:val="21"/>
              </w:rPr>
              <w:t>股权转让</w:t>
            </w:r>
          </w:p>
        </w:tc>
        <w:tc>
          <w:tcPr>
            <w:tcW w:w="1595" w:type="dxa"/>
            <w:shd w:val="clear" w:color="auto" w:fill="auto"/>
            <w:tcMar>
              <w:top w:w="0" w:type="dxa"/>
              <w:left w:w="108" w:type="dxa"/>
              <w:bottom w:w="0" w:type="dxa"/>
              <w:right w:w="108" w:type="dxa"/>
            </w:tcMar>
            <w:vAlign w:val="center"/>
          </w:tcPr>
          <w:p w14:paraId="366D4527" w14:textId="302D36BE" w:rsidR="00CD5282" w:rsidRPr="00B4515A" w:rsidRDefault="00CD528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456" w:type="dxa"/>
            <w:shd w:val="clear" w:color="auto" w:fill="auto"/>
            <w:tcMar>
              <w:top w:w="0" w:type="dxa"/>
              <w:left w:w="108" w:type="dxa"/>
              <w:bottom w:w="0" w:type="dxa"/>
              <w:right w:w="108" w:type="dxa"/>
            </w:tcMar>
            <w:vAlign w:val="center"/>
          </w:tcPr>
          <w:p w14:paraId="1902C3C2" w14:textId="5199DFA1" w:rsidR="00CD5282" w:rsidRPr="00B4515A" w:rsidRDefault="00CD528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237" w:type="dxa"/>
            <w:shd w:val="clear" w:color="auto" w:fill="auto"/>
            <w:tcMar>
              <w:top w:w="0" w:type="dxa"/>
              <w:left w:w="108" w:type="dxa"/>
              <w:bottom w:w="0" w:type="dxa"/>
              <w:right w:w="108" w:type="dxa"/>
            </w:tcMar>
            <w:vAlign w:val="center"/>
          </w:tcPr>
          <w:p w14:paraId="1A1CB41C" w14:textId="0F89B460" w:rsidR="00CD5282" w:rsidRPr="00B4515A" w:rsidRDefault="00CD528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1,013.49</w:t>
            </w:r>
          </w:p>
        </w:tc>
      </w:tr>
      <w:tr w:rsidR="00CD5282" w:rsidRPr="00B4515A" w14:paraId="6C39AC9F" w14:textId="77777777" w:rsidTr="00031627">
        <w:trPr>
          <w:trHeight w:val="340"/>
          <w:jc w:val="center"/>
        </w:trPr>
        <w:tc>
          <w:tcPr>
            <w:tcW w:w="2314" w:type="dxa"/>
            <w:shd w:val="clear" w:color="auto" w:fill="auto"/>
            <w:tcMar>
              <w:top w:w="0" w:type="dxa"/>
              <w:left w:w="108" w:type="dxa"/>
              <w:bottom w:w="0" w:type="dxa"/>
              <w:right w:w="108" w:type="dxa"/>
            </w:tcMar>
            <w:vAlign w:val="center"/>
          </w:tcPr>
          <w:p w14:paraId="6F35BCAA" w14:textId="5BF618FE" w:rsidR="00CD5282" w:rsidRPr="00B4515A" w:rsidRDefault="00CD5282" w:rsidP="005860B4">
            <w:pPr>
              <w:adjustRightInd w:val="0"/>
              <w:snapToGrid w:val="0"/>
              <w:rPr>
                <w:rFonts w:cs="Times New Roman"/>
                <w:color w:val="000000"/>
                <w:sz w:val="21"/>
                <w:szCs w:val="21"/>
              </w:rPr>
            </w:pPr>
            <w:r w:rsidRPr="00B4515A">
              <w:rPr>
                <w:rFonts w:cs="Times New Roman" w:hint="eastAsia"/>
                <w:color w:val="000000"/>
                <w:sz w:val="21"/>
                <w:szCs w:val="21"/>
              </w:rPr>
              <w:t>大唐移动通信设备有限公司</w:t>
            </w:r>
          </w:p>
        </w:tc>
        <w:tc>
          <w:tcPr>
            <w:tcW w:w="1610" w:type="dxa"/>
            <w:shd w:val="clear" w:color="auto" w:fill="auto"/>
            <w:tcMar>
              <w:top w:w="0" w:type="dxa"/>
              <w:left w:w="108" w:type="dxa"/>
              <w:bottom w:w="0" w:type="dxa"/>
              <w:right w:w="108" w:type="dxa"/>
            </w:tcMar>
            <w:vAlign w:val="center"/>
          </w:tcPr>
          <w:p w14:paraId="7B93BB04" w14:textId="0B29A078" w:rsidR="00CD5282" w:rsidRPr="00B4515A" w:rsidRDefault="00CD5282" w:rsidP="005860B4">
            <w:pPr>
              <w:adjustRightInd w:val="0"/>
              <w:snapToGrid w:val="0"/>
              <w:rPr>
                <w:rFonts w:cs="Times New Roman"/>
                <w:color w:val="000000"/>
                <w:sz w:val="21"/>
                <w:szCs w:val="21"/>
              </w:rPr>
            </w:pPr>
            <w:r w:rsidRPr="00B4515A">
              <w:rPr>
                <w:rFonts w:cs="Times New Roman" w:hint="eastAsia"/>
                <w:color w:val="000000"/>
                <w:sz w:val="21"/>
                <w:szCs w:val="21"/>
              </w:rPr>
              <w:t>资产转入</w:t>
            </w:r>
          </w:p>
        </w:tc>
        <w:tc>
          <w:tcPr>
            <w:tcW w:w="1595" w:type="dxa"/>
            <w:shd w:val="clear" w:color="auto" w:fill="auto"/>
            <w:tcMar>
              <w:top w:w="0" w:type="dxa"/>
              <w:left w:w="108" w:type="dxa"/>
              <w:bottom w:w="0" w:type="dxa"/>
              <w:right w:w="108" w:type="dxa"/>
            </w:tcMar>
            <w:vAlign w:val="center"/>
          </w:tcPr>
          <w:p w14:paraId="6D7A92FE" w14:textId="1724FDB4" w:rsidR="00CD5282" w:rsidRPr="00B4515A" w:rsidRDefault="00CD528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456" w:type="dxa"/>
            <w:shd w:val="clear" w:color="auto" w:fill="auto"/>
            <w:tcMar>
              <w:top w:w="0" w:type="dxa"/>
              <w:left w:w="108" w:type="dxa"/>
              <w:bottom w:w="0" w:type="dxa"/>
              <w:right w:w="108" w:type="dxa"/>
            </w:tcMar>
            <w:vAlign w:val="center"/>
          </w:tcPr>
          <w:p w14:paraId="126614EF" w14:textId="30D98DFC" w:rsidR="00CD5282" w:rsidRPr="00B4515A" w:rsidRDefault="00CD528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150.59</w:t>
            </w:r>
          </w:p>
        </w:tc>
        <w:tc>
          <w:tcPr>
            <w:tcW w:w="1237" w:type="dxa"/>
            <w:shd w:val="clear" w:color="auto" w:fill="auto"/>
            <w:tcMar>
              <w:top w:w="0" w:type="dxa"/>
              <w:left w:w="108" w:type="dxa"/>
              <w:bottom w:w="0" w:type="dxa"/>
              <w:right w:w="108" w:type="dxa"/>
            </w:tcMar>
            <w:vAlign w:val="center"/>
          </w:tcPr>
          <w:p w14:paraId="713DD5A2" w14:textId="7C895F41" w:rsidR="00CD5282" w:rsidRPr="00B4515A" w:rsidRDefault="00CD528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bl>
    <w:p w14:paraId="5845FCA1" w14:textId="77777777" w:rsidR="006416B0" w:rsidRPr="00B4515A" w:rsidRDefault="005E58C1" w:rsidP="006100BC">
      <w:pPr>
        <w:pStyle w:val="005"/>
        <w:spacing w:before="120" w:after="120"/>
        <w:ind w:firstLine="480"/>
      </w:pPr>
      <w:r w:rsidRPr="00B4515A">
        <w:rPr>
          <w:rFonts w:hint="eastAsia"/>
        </w:rPr>
        <w:t>报告期内，中国信科集团以《项目任务书》形式与大唐联诚持续开展了技术开发合作。为促进中国信科集团特通产业相关技术发展，增加集团各企业特通产业协同力度，增强该领域自主可控波形、自主可控标准的技术实力，中国信科集团与标的公司签署了该技术开发合同。根据该合作研发合同，中国信科集团于</w:t>
      </w:r>
      <w:r w:rsidRPr="00B4515A">
        <w:t>2018</w:t>
      </w:r>
      <w:r w:rsidRPr="00B4515A">
        <w:rPr>
          <w:rFonts w:hint="eastAsia"/>
        </w:rPr>
        <w:t>年至</w:t>
      </w:r>
      <w:r w:rsidRPr="00B4515A">
        <w:t>2020</w:t>
      </w:r>
      <w:r w:rsidRPr="00B4515A">
        <w:rPr>
          <w:rFonts w:hint="eastAsia"/>
        </w:rPr>
        <w:t>年共向标的公司支付了</w:t>
      </w:r>
      <w:r w:rsidRPr="00B4515A">
        <w:t>5,000.00</w:t>
      </w:r>
      <w:r w:rsidRPr="00B4515A">
        <w:rPr>
          <w:rFonts w:hint="eastAsia"/>
        </w:rPr>
        <w:t>万元；约定联诚按期向中国信科</w:t>
      </w:r>
      <w:r w:rsidRPr="00B4515A">
        <w:rPr>
          <w:rFonts w:hint="eastAsia"/>
        </w:rPr>
        <w:lastRenderedPageBreak/>
        <w:t>集团提交《方案设计报告》、《研制总结报告》、《技术总结报告》、《测试报告》及样机等研究开发成果，对于相关知识产权共享。</w:t>
      </w:r>
    </w:p>
    <w:p w14:paraId="0FF98EA6" w14:textId="726F2B31" w:rsidR="006416B0" w:rsidRPr="00B4515A" w:rsidRDefault="005E58C1" w:rsidP="006100BC">
      <w:pPr>
        <w:pStyle w:val="005"/>
        <w:spacing w:before="120" w:after="120"/>
        <w:ind w:firstLine="480"/>
        <w:rPr>
          <w:rFonts w:hAnsi="宋体"/>
        </w:rPr>
      </w:pPr>
      <w:r w:rsidRPr="00B4515A">
        <w:rPr>
          <w:rFonts w:hint="eastAsia"/>
        </w:rPr>
        <w:t>大唐联诚完成相关技术方案和样机的开发及交付工作后，中国信科集团在相关技术成果的基础上，进行进一步研究，推动中国信科集团内特通产业技术布局，解决中国信科集团内特通产业技术平台布局和协同发展问题。合作研发能减少单个企业在研发中的高额投入，降低研发的不确定性；合作研发对于中国信科集团的整体技术进步及产业布局均具有战略意义。该交易具有合理</w:t>
      </w:r>
      <w:r w:rsidRPr="00B4515A">
        <w:rPr>
          <w:rFonts w:hAnsi="宋体" w:hint="eastAsia"/>
        </w:rPr>
        <w:t>性和必要性。</w:t>
      </w:r>
    </w:p>
    <w:p w14:paraId="73E227D4" w14:textId="77777777" w:rsidR="006416B0" w:rsidRPr="00B4515A" w:rsidRDefault="005E58C1" w:rsidP="006100BC">
      <w:pPr>
        <w:pStyle w:val="005"/>
        <w:spacing w:before="120" w:after="120"/>
        <w:ind w:firstLine="480"/>
      </w:pPr>
      <w:r w:rsidRPr="00B4515A">
        <w:rPr>
          <w:rFonts w:hint="eastAsia"/>
        </w:rPr>
        <w:t>中国信科集团根据其重点关注的技术方向，与集团内各通讯行业的公司进行合作研发，集团投入的经费在交易双方对指定技术研发所需投入的估计基础上，协商确定。</w:t>
      </w:r>
    </w:p>
    <w:p w14:paraId="461EF2B1" w14:textId="3618493B" w:rsidR="006416B0" w:rsidRPr="00B4515A" w:rsidRDefault="006100BC" w:rsidP="006100BC">
      <w:pPr>
        <w:pStyle w:val="003"/>
        <w:spacing w:before="120"/>
        <w:ind w:firstLine="482"/>
      </w:pPr>
      <w:r w:rsidRPr="00B4515A">
        <w:t>（</w:t>
      </w:r>
      <w:r w:rsidRPr="00B4515A">
        <w:rPr>
          <w:rFonts w:hint="eastAsia"/>
        </w:rPr>
        <w:t>二</w:t>
      </w:r>
      <w:r w:rsidRPr="00B4515A">
        <w:t>）</w:t>
      </w:r>
      <w:r w:rsidR="005E58C1" w:rsidRPr="00B4515A">
        <w:rPr>
          <w:rFonts w:hint="eastAsia"/>
        </w:rPr>
        <w:t>关联方应收应付款项</w:t>
      </w:r>
    </w:p>
    <w:p w14:paraId="2C5141C0" w14:textId="78F8FD92" w:rsidR="006416B0" w:rsidRPr="00B4515A" w:rsidRDefault="005E58C1" w:rsidP="006100BC">
      <w:pPr>
        <w:pStyle w:val="004"/>
        <w:spacing w:before="120" w:after="120"/>
        <w:ind w:firstLine="482"/>
      </w:pPr>
      <w:r w:rsidRPr="00B4515A">
        <w:rPr>
          <w:rFonts w:hint="eastAsia"/>
        </w:rPr>
        <w:t>1</w:t>
      </w:r>
      <w:r w:rsidRPr="00B4515A">
        <w:rPr>
          <w:rFonts w:hint="eastAsia"/>
        </w:rPr>
        <w:t>、应收项目</w:t>
      </w:r>
    </w:p>
    <w:p w14:paraId="4454273C" w14:textId="26241438" w:rsidR="006416B0" w:rsidRPr="00B4515A" w:rsidRDefault="00D44516" w:rsidP="006100BC">
      <w:pPr>
        <w:pStyle w:val="009"/>
        <w:rPr>
          <w:b/>
          <w:bCs/>
        </w:rPr>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43"/>
        <w:gridCol w:w="1528"/>
        <w:gridCol w:w="979"/>
        <w:gridCol w:w="982"/>
        <w:gridCol w:w="1119"/>
        <w:gridCol w:w="1119"/>
        <w:gridCol w:w="979"/>
        <w:gridCol w:w="979"/>
      </w:tblGrid>
      <w:tr w:rsidR="006416B0" w:rsidRPr="00B4515A" w14:paraId="11A0B70D" w14:textId="77777777" w:rsidTr="00836E3A">
        <w:trPr>
          <w:trHeight w:val="340"/>
          <w:tblHeader/>
          <w:jc w:val="center"/>
        </w:trPr>
        <w:tc>
          <w:tcPr>
            <w:tcW w:w="843" w:type="dxa"/>
            <w:vMerge w:val="restart"/>
            <w:shd w:val="clear" w:color="auto" w:fill="auto"/>
            <w:tcMar>
              <w:top w:w="0" w:type="dxa"/>
              <w:left w:w="108" w:type="dxa"/>
              <w:bottom w:w="0" w:type="dxa"/>
              <w:right w:w="108" w:type="dxa"/>
            </w:tcMar>
            <w:vAlign w:val="center"/>
          </w:tcPr>
          <w:p w14:paraId="6B720362" w14:textId="77777777" w:rsidR="006416B0"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项目名称</w:t>
            </w:r>
          </w:p>
        </w:tc>
        <w:tc>
          <w:tcPr>
            <w:tcW w:w="1528" w:type="dxa"/>
            <w:vMerge w:val="restart"/>
            <w:shd w:val="clear" w:color="auto" w:fill="auto"/>
            <w:tcMar>
              <w:top w:w="0" w:type="dxa"/>
              <w:left w:w="108" w:type="dxa"/>
              <w:bottom w:w="0" w:type="dxa"/>
              <w:right w:w="108" w:type="dxa"/>
            </w:tcMar>
            <w:vAlign w:val="center"/>
          </w:tcPr>
          <w:p w14:paraId="0FF8B799" w14:textId="77777777" w:rsidR="006416B0"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关联方</w:t>
            </w:r>
          </w:p>
        </w:tc>
        <w:tc>
          <w:tcPr>
            <w:tcW w:w="1961" w:type="dxa"/>
            <w:gridSpan w:val="2"/>
            <w:shd w:val="clear" w:color="auto" w:fill="auto"/>
            <w:tcMar>
              <w:top w:w="0" w:type="dxa"/>
              <w:left w:w="108" w:type="dxa"/>
              <w:bottom w:w="0" w:type="dxa"/>
              <w:right w:w="108" w:type="dxa"/>
            </w:tcMar>
            <w:vAlign w:val="center"/>
          </w:tcPr>
          <w:p w14:paraId="53A818C3" w14:textId="77777777" w:rsidR="006416B0" w:rsidRPr="00B4515A" w:rsidRDefault="005E58C1" w:rsidP="006100BC">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2021.4.30</w:t>
            </w:r>
          </w:p>
        </w:tc>
        <w:tc>
          <w:tcPr>
            <w:tcW w:w="2238" w:type="dxa"/>
            <w:gridSpan w:val="2"/>
            <w:shd w:val="clear" w:color="auto" w:fill="auto"/>
            <w:tcMar>
              <w:top w:w="0" w:type="dxa"/>
              <w:left w:w="108" w:type="dxa"/>
              <w:bottom w:w="0" w:type="dxa"/>
              <w:right w:w="108" w:type="dxa"/>
            </w:tcMar>
            <w:vAlign w:val="center"/>
          </w:tcPr>
          <w:p w14:paraId="72CAC2CF" w14:textId="77777777" w:rsidR="006416B0" w:rsidRPr="00B4515A" w:rsidRDefault="005E58C1" w:rsidP="006100BC">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2020.12.31</w:t>
            </w:r>
          </w:p>
        </w:tc>
        <w:tc>
          <w:tcPr>
            <w:tcW w:w="1958" w:type="dxa"/>
            <w:gridSpan w:val="2"/>
            <w:shd w:val="clear" w:color="auto" w:fill="auto"/>
            <w:tcMar>
              <w:top w:w="0" w:type="dxa"/>
              <w:left w:w="108" w:type="dxa"/>
              <w:bottom w:w="0" w:type="dxa"/>
              <w:right w:w="108" w:type="dxa"/>
            </w:tcMar>
            <w:vAlign w:val="center"/>
          </w:tcPr>
          <w:p w14:paraId="67A07476" w14:textId="77777777" w:rsidR="006416B0" w:rsidRPr="00B4515A" w:rsidRDefault="005E58C1" w:rsidP="006100BC">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2019.12.31</w:t>
            </w:r>
          </w:p>
        </w:tc>
      </w:tr>
      <w:tr w:rsidR="006416B0" w:rsidRPr="00B4515A" w14:paraId="45215AA9" w14:textId="77777777" w:rsidTr="00836E3A">
        <w:trPr>
          <w:trHeight w:val="340"/>
          <w:tblHeader/>
          <w:jc w:val="center"/>
        </w:trPr>
        <w:tc>
          <w:tcPr>
            <w:tcW w:w="843" w:type="dxa"/>
            <w:vMerge/>
            <w:tcMar>
              <w:top w:w="0" w:type="dxa"/>
              <w:left w:w="108" w:type="dxa"/>
              <w:bottom w:w="0" w:type="dxa"/>
              <w:right w:w="108" w:type="dxa"/>
            </w:tcMar>
            <w:vAlign w:val="center"/>
          </w:tcPr>
          <w:p w14:paraId="5D9B1B94" w14:textId="77777777" w:rsidR="006416B0" w:rsidRPr="00B4515A" w:rsidRDefault="006416B0" w:rsidP="006100BC">
            <w:pPr>
              <w:adjustRightInd w:val="0"/>
              <w:snapToGrid w:val="0"/>
              <w:jc w:val="center"/>
              <w:rPr>
                <w:b/>
                <w:bCs/>
                <w:color w:val="000000"/>
                <w:sz w:val="21"/>
                <w:szCs w:val="21"/>
              </w:rPr>
            </w:pPr>
          </w:p>
        </w:tc>
        <w:tc>
          <w:tcPr>
            <w:tcW w:w="1528" w:type="dxa"/>
            <w:vMerge/>
            <w:tcMar>
              <w:top w:w="0" w:type="dxa"/>
              <w:left w:w="108" w:type="dxa"/>
              <w:bottom w:w="0" w:type="dxa"/>
              <w:right w:w="108" w:type="dxa"/>
            </w:tcMar>
            <w:vAlign w:val="center"/>
          </w:tcPr>
          <w:p w14:paraId="227DDCE7" w14:textId="77777777" w:rsidR="006416B0" w:rsidRPr="00B4515A" w:rsidRDefault="006416B0" w:rsidP="006100BC">
            <w:pPr>
              <w:adjustRightInd w:val="0"/>
              <w:snapToGrid w:val="0"/>
              <w:jc w:val="center"/>
              <w:rPr>
                <w:b/>
                <w:bCs/>
                <w:color w:val="000000"/>
                <w:sz w:val="21"/>
                <w:szCs w:val="21"/>
              </w:rPr>
            </w:pPr>
          </w:p>
        </w:tc>
        <w:tc>
          <w:tcPr>
            <w:tcW w:w="979" w:type="dxa"/>
            <w:shd w:val="clear" w:color="auto" w:fill="auto"/>
            <w:tcMar>
              <w:top w:w="0" w:type="dxa"/>
              <w:left w:w="108" w:type="dxa"/>
              <w:bottom w:w="0" w:type="dxa"/>
              <w:right w:w="108" w:type="dxa"/>
            </w:tcMar>
            <w:vAlign w:val="center"/>
          </w:tcPr>
          <w:p w14:paraId="0324B258" w14:textId="77777777" w:rsidR="006100BC"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账面</w:t>
            </w:r>
          </w:p>
          <w:p w14:paraId="51903F1E" w14:textId="31DA8774" w:rsidR="006416B0"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余额</w:t>
            </w:r>
          </w:p>
        </w:tc>
        <w:tc>
          <w:tcPr>
            <w:tcW w:w="982" w:type="dxa"/>
            <w:shd w:val="clear" w:color="auto" w:fill="auto"/>
            <w:tcMar>
              <w:top w:w="0" w:type="dxa"/>
              <w:left w:w="108" w:type="dxa"/>
              <w:bottom w:w="0" w:type="dxa"/>
              <w:right w:w="108" w:type="dxa"/>
            </w:tcMar>
            <w:vAlign w:val="center"/>
          </w:tcPr>
          <w:p w14:paraId="278B2A70" w14:textId="77777777" w:rsidR="006100BC"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坏账</w:t>
            </w:r>
          </w:p>
          <w:p w14:paraId="25D23A64" w14:textId="20E7C522" w:rsidR="006416B0"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准备</w:t>
            </w:r>
          </w:p>
        </w:tc>
        <w:tc>
          <w:tcPr>
            <w:tcW w:w="1119" w:type="dxa"/>
            <w:shd w:val="clear" w:color="auto" w:fill="auto"/>
            <w:tcMar>
              <w:top w:w="0" w:type="dxa"/>
              <w:left w:w="108" w:type="dxa"/>
              <w:bottom w:w="0" w:type="dxa"/>
              <w:right w:w="108" w:type="dxa"/>
            </w:tcMar>
            <w:vAlign w:val="center"/>
          </w:tcPr>
          <w:p w14:paraId="768276E6" w14:textId="77777777" w:rsidR="006100BC"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账面</w:t>
            </w:r>
          </w:p>
          <w:p w14:paraId="0D16D5AA" w14:textId="061855B0" w:rsidR="006416B0"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余额</w:t>
            </w:r>
          </w:p>
        </w:tc>
        <w:tc>
          <w:tcPr>
            <w:tcW w:w="1119" w:type="dxa"/>
            <w:shd w:val="clear" w:color="auto" w:fill="auto"/>
            <w:tcMar>
              <w:top w:w="0" w:type="dxa"/>
              <w:left w:w="108" w:type="dxa"/>
              <w:bottom w:w="0" w:type="dxa"/>
              <w:right w:w="108" w:type="dxa"/>
            </w:tcMar>
            <w:vAlign w:val="center"/>
          </w:tcPr>
          <w:p w14:paraId="6E9BE56D" w14:textId="77777777" w:rsidR="006100BC"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坏账</w:t>
            </w:r>
          </w:p>
          <w:p w14:paraId="400F8B3D" w14:textId="6DBD720B" w:rsidR="006416B0"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准备</w:t>
            </w:r>
          </w:p>
        </w:tc>
        <w:tc>
          <w:tcPr>
            <w:tcW w:w="979" w:type="dxa"/>
            <w:shd w:val="clear" w:color="auto" w:fill="auto"/>
            <w:tcMar>
              <w:top w:w="0" w:type="dxa"/>
              <w:left w:w="108" w:type="dxa"/>
              <w:bottom w:w="0" w:type="dxa"/>
              <w:right w:w="108" w:type="dxa"/>
            </w:tcMar>
            <w:vAlign w:val="center"/>
          </w:tcPr>
          <w:p w14:paraId="17CCFC1F" w14:textId="77777777" w:rsidR="006100BC"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账面</w:t>
            </w:r>
          </w:p>
          <w:p w14:paraId="2F5D6AA5" w14:textId="2DF0E8EF" w:rsidR="006416B0"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余额</w:t>
            </w:r>
          </w:p>
        </w:tc>
        <w:tc>
          <w:tcPr>
            <w:tcW w:w="979" w:type="dxa"/>
            <w:shd w:val="clear" w:color="auto" w:fill="auto"/>
            <w:tcMar>
              <w:top w:w="0" w:type="dxa"/>
              <w:left w:w="108" w:type="dxa"/>
              <w:bottom w:w="0" w:type="dxa"/>
              <w:right w:w="108" w:type="dxa"/>
            </w:tcMar>
            <w:vAlign w:val="center"/>
          </w:tcPr>
          <w:p w14:paraId="0E24F118" w14:textId="77777777" w:rsidR="006100BC"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坏账</w:t>
            </w:r>
          </w:p>
          <w:p w14:paraId="2DD0FA5C" w14:textId="3A41D825" w:rsidR="006416B0" w:rsidRPr="00B4515A" w:rsidRDefault="005E58C1" w:rsidP="006100BC">
            <w:pPr>
              <w:adjustRightInd w:val="0"/>
              <w:snapToGrid w:val="0"/>
              <w:jc w:val="center"/>
              <w:rPr>
                <w:b/>
                <w:bCs/>
                <w:color w:val="000000"/>
                <w:sz w:val="21"/>
                <w:szCs w:val="21"/>
              </w:rPr>
            </w:pPr>
            <w:r w:rsidRPr="00B4515A">
              <w:rPr>
                <w:rFonts w:hint="eastAsia"/>
                <w:b/>
                <w:bCs/>
                <w:color w:val="000000"/>
                <w:sz w:val="21"/>
                <w:szCs w:val="21"/>
              </w:rPr>
              <w:t>准备</w:t>
            </w:r>
          </w:p>
        </w:tc>
      </w:tr>
      <w:tr w:rsidR="006416B0" w:rsidRPr="00B4515A" w14:paraId="7A68D19E" w14:textId="77777777" w:rsidTr="00836E3A">
        <w:trPr>
          <w:trHeight w:val="340"/>
          <w:jc w:val="center"/>
        </w:trPr>
        <w:tc>
          <w:tcPr>
            <w:tcW w:w="843" w:type="dxa"/>
            <w:shd w:val="clear" w:color="auto" w:fill="auto"/>
            <w:tcMar>
              <w:top w:w="0" w:type="dxa"/>
              <w:left w:w="108" w:type="dxa"/>
              <w:bottom w:w="0" w:type="dxa"/>
              <w:right w:w="108" w:type="dxa"/>
            </w:tcMar>
            <w:vAlign w:val="center"/>
          </w:tcPr>
          <w:p w14:paraId="2B9FEAED"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应收账款</w:t>
            </w:r>
          </w:p>
        </w:tc>
        <w:tc>
          <w:tcPr>
            <w:tcW w:w="1528" w:type="dxa"/>
            <w:shd w:val="clear" w:color="auto" w:fill="auto"/>
            <w:tcMar>
              <w:top w:w="0" w:type="dxa"/>
              <w:left w:w="108" w:type="dxa"/>
              <w:bottom w:w="0" w:type="dxa"/>
              <w:right w:w="108" w:type="dxa"/>
            </w:tcMar>
            <w:vAlign w:val="center"/>
          </w:tcPr>
          <w:p w14:paraId="31043E4C" w14:textId="77777777" w:rsidR="006416B0" w:rsidRPr="00B4515A" w:rsidRDefault="005E58C1" w:rsidP="005860B4">
            <w:pPr>
              <w:adjustRightInd w:val="0"/>
              <w:snapToGrid w:val="0"/>
              <w:jc w:val="right"/>
              <w:rPr>
                <w:color w:val="000000"/>
                <w:sz w:val="21"/>
                <w:szCs w:val="21"/>
              </w:rPr>
            </w:pPr>
            <w:r w:rsidRPr="00B4515A">
              <w:rPr>
                <w:rFonts w:hint="eastAsia"/>
                <w:color w:val="000000"/>
                <w:sz w:val="21"/>
                <w:szCs w:val="21"/>
              </w:rPr>
              <w:t xml:space="preserve">　</w:t>
            </w:r>
          </w:p>
        </w:tc>
        <w:tc>
          <w:tcPr>
            <w:tcW w:w="979" w:type="dxa"/>
            <w:shd w:val="clear" w:color="auto" w:fill="auto"/>
            <w:tcMar>
              <w:top w:w="0" w:type="dxa"/>
              <w:left w:w="108" w:type="dxa"/>
              <w:bottom w:w="0" w:type="dxa"/>
              <w:right w:w="108" w:type="dxa"/>
            </w:tcMar>
            <w:vAlign w:val="center"/>
          </w:tcPr>
          <w:p w14:paraId="0AD6A5EE"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982" w:type="dxa"/>
            <w:shd w:val="clear" w:color="auto" w:fill="auto"/>
            <w:tcMar>
              <w:top w:w="0" w:type="dxa"/>
              <w:left w:w="108" w:type="dxa"/>
              <w:bottom w:w="0" w:type="dxa"/>
              <w:right w:w="108" w:type="dxa"/>
            </w:tcMar>
            <w:vAlign w:val="center"/>
          </w:tcPr>
          <w:p w14:paraId="67A85767"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1119" w:type="dxa"/>
            <w:shd w:val="clear" w:color="auto" w:fill="auto"/>
            <w:tcMar>
              <w:top w:w="0" w:type="dxa"/>
              <w:left w:w="108" w:type="dxa"/>
              <w:bottom w:w="0" w:type="dxa"/>
              <w:right w:w="108" w:type="dxa"/>
            </w:tcMar>
            <w:vAlign w:val="center"/>
          </w:tcPr>
          <w:p w14:paraId="402DF03F"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1119" w:type="dxa"/>
            <w:shd w:val="clear" w:color="auto" w:fill="auto"/>
            <w:tcMar>
              <w:top w:w="0" w:type="dxa"/>
              <w:left w:w="108" w:type="dxa"/>
              <w:bottom w:w="0" w:type="dxa"/>
              <w:right w:w="108" w:type="dxa"/>
            </w:tcMar>
            <w:vAlign w:val="center"/>
          </w:tcPr>
          <w:p w14:paraId="3D6674F5"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979" w:type="dxa"/>
            <w:shd w:val="clear" w:color="auto" w:fill="auto"/>
            <w:tcMar>
              <w:top w:w="0" w:type="dxa"/>
              <w:left w:w="108" w:type="dxa"/>
              <w:bottom w:w="0" w:type="dxa"/>
              <w:right w:w="108" w:type="dxa"/>
            </w:tcMar>
            <w:vAlign w:val="center"/>
          </w:tcPr>
          <w:p w14:paraId="1EA1AD34"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979" w:type="dxa"/>
            <w:shd w:val="clear" w:color="auto" w:fill="auto"/>
            <w:tcMar>
              <w:top w:w="0" w:type="dxa"/>
              <w:left w:w="108" w:type="dxa"/>
              <w:bottom w:w="0" w:type="dxa"/>
              <w:right w:w="108" w:type="dxa"/>
            </w:tcMar>
            <w:vAlign w:val="center"/>
          </w:tcPr>
          <w:p w14:paraId="3B7E6155"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r>
      <w:tr w:rsidR="006416B0" w:rsidRPr="00B4515A" w14:paraId="35FFFDAB" w14:textId="77777777" w:rsidTr="00836E3A">
        <w:trPr>
          <w:trHeight w:val="340"/>
          <w:jc w:val="center"/>
        </w:trPr>
        <w:tc>
          <w:tcPr>
            <w:tcW w:w="843" w:type="dxa"/>
            <w:shd w:val="clear" w:color="auto" w:fill="auto"/>
            <w:tcMar>
              <w:top w:w="0" w:type="dxa"/>
              <w:left w:w="108" w:type="dxa"/>
              <w:bottom w:w="0" w:type="dxa"/>
              <w:right w:w="108" w:type="dxa"/>
            </w:tcMar>
            <w:vAlign w:val="center"/>
          </w:tcPr>
          <w:p w14:paraId="223E8F24"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1528" w:type="dxa"/>
            <w:shd w:val="clear" w:color="auto" w:fill="auto"/>
            <w:tcMar>
              <w:top w:w="0" w:type="dxa"/>
              <w:left w:w="108" w:type="dxa"/>
              <w:bottom w:w="0" w:type="dxa"/>
              <w:right w:w="108" w:type="dxa"/>
            </w:tcMar>
            <w:vAlign w:val="center"/>
          </w:tcPr>
          <w:p w14:paraId="55060B8E"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大唐终端设备有限公司</w:t>
            </w:r>
          </w:p>
        </w:tc>
        <w:tc>
          <w:tcPr>
            <w:tcW w:w="979" w:type="dxa"/>
            <w:shd w:val="clear" w:color="auto" w:fill="auto"/>
            <w:tcMar>
              <w:top w:w="0" w:type="dxa"/>
              <w:left w:w="108" w:type="dxa"/>
              <w:bottom w:w="0" w:type="dxa"/>
              <w:right w:w="108" w:type="dxa"/>
            </w:tcMar>
            <w:vAlign w:val="center"/>
          </w:tcPr>
          <w:p w14:paraId="63F6184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799.14</w:t>
            </w:r>
          </w:p>
        </w:tc>
        <w:tc>
          <w:tcPr>
            <w:tcW w:w="982" w:type="dxa"/>
            <w:shd w:val="clear" w:color="auto" w:fill="auto"/>
            <w:tcMar>
              <w:top w:w="0" w:type="dxa"/>
              <w:left w:w="108" w:type="dxa"/>
              <w:bottom w:w="0" w:type="dxa"/>
              <w:right w:w="108" w:type="dxa"/>
            </w:tcMar>
            <w:vAlign w:val="center"/>
          </w:tcPr>
          <w:p w14:paraId="730D755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36.20</w:t>
            </w:r>
          </w:p>
        </w:tc>
        <w:tc>
          <w:tcPr>
            <w:tcW w:w="1119" w:type="dxa"/>
            <w:shd w:val="clear" w:color="auto" w:fill="auto"/>
            <w:tcMar>
              <w:top w:w="0" w:type="dxa"/>
              <w:left w:w="108" w:type="dxa"/>
              <w:bottom w:w="0" w:type="dxa"/>
              <w:right w:w="108" w:type="dxa"/>
            </w:tcMar>
            <w:vAlign w:val="center"/>
          </w:tcPr>
          <w:p w14:paraId="665C655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2,243.85</w:t>
            </w:r>
          </w:p>
        </w:tc>
        <w:tc>
          <w:tcPr>
            <w:tcW w:w="1119" w:type="dxa"/>
            <w:shd w:val="clear" w:color="auto" w:fill="auto"/>
            <w:tcMar>
              <w:top w:w="0" w:type="dxa"/>
              <w:left w:w="108" w:type="dxa"/>
              <w:bottom w:w="0" w:type="dxa"/>
              <w:right w:w="108" w:type="dxa"/>
            </w:tcMar>
            <w:vAlign w:val="center"/>
          </w:tcPr>
          <w:p w14:paraId="01A9DFA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41.83</w:t>
            </w:r>
          </w:p>
        </w:tc>
        <w:tc>
          <w:tcPr>
            <w:tcW w:w="979" w:type="dxa"/>
            <w:shd w:val="clear" w:color="auto" w:fill="auto"/>
            <w:tcMar>
              <w:top w:w="0" w:type="dxa"/>
              <w:left w:w="108" w:type="dxa"/>
              <w:bottom w:w="0" w:type="dxa"/>
              <w:right w:w="108" w:type="dxa"/>
            </w:tcMar>
            <w:vAlign w:val="center"/>
          </w:tcPr>
          <w:p w14:paraId="6CF4EF7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448.64</w:t>
            </w:r>
          </w:p>
        </w:tc>
        <w:tc>
          <w:tcPr>
            <w:tcW w:w="979" w:type="dxa"/>
            <w:shd w:val="clear" w:color="auto" w:fill="auto"/>
            <w:tcMar>
              <w:top w:w="0" w:type="dxa"/>
              <w:left w:w="108" w:type="dxa"/>
              <w:bottom w:w="0" w:type="dxa"/>
              <w:right w:w="108" w:type="dxa"/>
            </w:tcMar>
            <w:vAlign w:val="center"/>
          </w:tcPr>
          <w:p w14:paraId="0B93891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4.49</w:t>
            </w:r>
          </w:p>
        </w:tc>
      </w:tr>
      <w:tr w:rsidR="006416B0" w:rsidRPr="00B4515A" w14:paraId="5AD2D6F7" w14:textId="77777777" w:rsidTr="00836E3A">
        <w:trPr>
          <w:trHeight w:val="340"/>
          <w:jc w:val="center"/>
        </w:trPr>
        <w:tc>
          <w:tcPr>
            <w:tcW w:w="843" w:type="dxa"/>
            <w:shd w:val="clear" w:color="auto" w:fill="auto"/>
            <w:tcMar>
              <w:top w:w="0" w:type="dxa"/>
              <w:left w:w="108" w:type="dxa"/>
              <w:bottom w:w="0" w:type="dxa"/>
              <w:right w:w="108" w:type="dxa"/>
            </w:tcMar>
            <w:vAlign w:val="center"/>
          </w:tcPr>
          <w:p w14:paraId="38B364AF"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1528" w:type="dxa"/>
            <w:shd w:val="clear" w:color="auto" w:fill="auto"/>
            <w:tcMar>
              <w:top w:w="0" w:type="dxa"/>
              <w:left w:w="108" w:type="dxa"/>
              <w:bottom w:w="0" w:type="dxa"/>
              <w:right w:w="108" w:type="dxa"/>
            </w:tcMar>
            <w:vAlign w:val="center"/>
          </w:tcPr>
          <w:p w14:paraId="552A6610"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兴唐通信科技有限公司</w:t>
            </w:r>
          </w:p>
        </w:tc>
        <w:tc>
          <w:tcPr>
            <w:tcW w:w="979" w:type="dxa"/>
            <w:shd w:val="clear" w:color="auto" w:fill="auto"/>
            <w:tcMar>
              <w:top w:w="0" w:type="dxa"/>
              <w:left w:w="108" w:type="dxa"/>
              <w:bottom w:w="0" w:type="dxa"/>
              <w:right w:w="108" w:type="dxa"/>
            </w:tcMar>
            <w:vAlign w:val="center"/>
          </w:tcPr>
          <w:p w14:paraId="569A618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2,263.21</w:t>
            </w:r>
          </w:p>
        </w:tc>
        <w:tc>
          <w:tcPr>
            <w:tcW w:w="982" w:type="dxa"/>
            <w:shd w:val="clear" w:color="auto" w:fill="auto"/>
            <w:tcMar>
              <w:top w:w="0" w:type="dxa"/>
              <w:left w:w="108" w:type="dxa"/>
              <w:bottom w:w="0" w:type="dxa"/>
              <w:right w:w="108" w:type="dxa"/>
            </w:tcMar>
            <w:vAlign w:val="center"/>
          </w:tcPr>
          <w:p w14:paraId="7B9B8F1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429.93</w:t>
            </w:r>
          </w:p>
        </w:tc>
        <w:tc>
          <w:tcPr>
            <w:tcW w:w="1119" w:type="dxa"/>
            <w:shd w:val="clear" w:color="auto" w:fill="auto"/>
            <w:tcMar>
              <w:top w:w="0" w:type="dxa"/>
              <w:left w:w="108" w:type="dxa"/>
              <w:bottom w:w="0" w:type="dxa"/>
              <w:right w:w="108" w:type="dxa"/>
            </w:tcMar>
            <w:vAlign w:val="center"/>
          </w:tcPr>
          <w:p w14:paraId="19CC6D0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2,180.50</w:t>
            </w:r>
          </w:p>
        </w:tc>
        <w:tc>
          <w:tcPr>
            <w:tcW w:w="1119" w:type="dxa"/>
            <w:shd w:val="clear" w:color="auto" w:fill="auto"/>
            <w:tcMar>
              <w:top w:w="0" w:type="dxa"/>
              <w:left w:w="108" w:type="dxa"/>
              <w:bottom w:w="0" w:type="dxa"/>
              <w:right w:w="108" w:type="dxa"/>
            </w:tcMar>
            <w:vAlign w:val="center"/>
          </w:tcPr>
          <w:p w14:paraId="527F3DB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327.18</w:t>
            </w:r>
          </w:p>
        </w:tc>
        <w:tc>
          <w:tcPr>
            <w:tcW w:w="979" w:type="dxa"/>
            <w:shd w:val="clear" w:color="auto" w:fill="auto"/>
            <w:tcMar>
              <w:top w:w="0" w:type="dxa"/>
              <w:left w:w="108" w:type="dxa"/>
              <w:bottom w:w="0" w:type="dxa"/>
              <w:right w:w="108" w:type="dxa"/>
            </w:tcMar>
            <w:vAlign w:val="center"/>
          </w:tcPr>
          <w:p w14:paraId="7670958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2,232.00</w:t>
            </w:r>
          </w:p>
        </w:tc>
        <w:tc>
          <w:tcPr>
            <w:tcW w:w="979" w:type="dxa"/>
            <w:shd w:val="clear" w:color="auto" w:fill="auto"/>
            <w:tcMar>
              <w:top w:w="0" w:type="dxa"/>
              <w:left w:w="108" w:type="dxa"/>
              <w:bottom w:w="0" w:type="dxa"/>
              <w:right w:w="108" w:type="dxa"/>
            </w:tcMar>
            <w:vAlign w:val="center"/>
          </w:tcPr>
          <w:p w14:paraId="5826929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137.14</w:t>
            </w:r>
          </w:p>
        </w:tc>
      </w:tr>
      <w:tr w:rsidR="006416B0" w:rsidRPr="00B4515A" w14:paraId="3434A91C" w14:textId="77777777" w:rsidTr="00836E3A">
        <w:trPr>
          <w:trHeight w:val="340"/>
          <w:jc w:val="center"/>
        </w:trPr>
        <w:tc>
          <w:tcPr>
            <w:tcW w:w="843" w:type="dxa"/>
            <w:shd w:val="clear" w:color="auto" w:fill="auto"/>
            <w:tcMar>
              <w:top w:w="0" w:type="dxa"/>
              <w:left w:w="108" w:type="dxa"/>
              <w:bottom w:w="0" w:type="dxa"/>
              <w:right w:w="108" w:type="dxa"/>
            </w:tcMar>
            <w:vAlign w:val="center"/>
          </w:tcPr>
          <w:p w14:paraId="658DA456"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1528" w:type="dxa"/>
            <w:shd w:val="clear" w:color="auto" w:fill="auto"/>
            <w:tcMar>
              <w:top w:w="0" w:type="dxa"/>
              <w:left w:w="108" w:type="dxa"/>
              <w:bottom w:w="0" w:type="dxa"/>
              <w:right w:w="108" w:type="dxa"/>
            </w:tcMar>
            <w:vAlign w:val="center"/>
          </w:tcPr>
          <w:p w14:paraId="05E65295"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大唐奇安网络科技有限公司</w:t>
            </w:r>
          </w:p>
        </w:tc>
        <w:tc>
          <w:tcPr>
            <w:tcW w:w="979" w:type="dxa"/>
            <w:shd w:val="clear" w:color="auto" w:fill="auto"/>
            <w:tcMar>
              <w:top w:w="0" w:type="dxa"/>
              <w:left w:w="108" w:type="dxa"/>
              <w:bottom w:w="0" w:type="dxa"/>
              <w:right w:w="108" w:type="dxa"/>
            </w:tcMar>
            <w:vAlign w:val="center"/>
          </w:tcPr>
          <w:p w14:paraId="6FFAE1B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21.00</w:t>
            </w:r>
          </w:p>
        </w:tc>
        <w:tc>
          <w:tcPr>
            <w:tcW w:w="982" w:type="dxa"/>
            <w:shd w:val="clear" w:color="auto" w:fill="auto"/>
            <w:tcMar>
              <w:top w:w="0" w:type="dxa"/>
              <w:left w:w="108" w:type="dxa"/>
              <w:bottom w:w="0" w:type="dxa"/>
              <w:right w:w="108" w:type="dxa"/>
            </w:tcMar>
            <w:vAlign w:val="center"/>
          </w:tcPr>
          <w:p w14:paraId="06B1FD2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0.21</w:t>
            </w:r>
          </w:p>
        </w:tc>
        <w:tc>
          <w:tcPr>
            <w:tcW w:w="1119" w:type="dxa"/>
            <w:shd w:val="clear" w:color="auto" w:fill="auto"/>
            <w:tcMar>
              <w:top w:w="0" w:type="dxa"/>
              <w:left w:w="108" w:type="dxa"/>
              <w:bottom w:w="0" w:type="dxa"/>
              <w:right w:w="108" w:type="dxa"/>
            </w:tcMar>
            <w:vAlign w:val="center"/>
          </w:tcPr>
          <w:p w14:paraId="754A7D2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19" w:type="dxa"/>
            <w:shd w:val="clear" w:color="auto" w:fill="auto"/>
            <w:tcMar>
              <w:top w:w="0" w:type="dxa"/>
              <w:left w:w="108" w:type="dxa"/>
              <w:bottom w:w="0" w:type="dxa"/>
              <w:right w:w="108" w:type="dxa"/>
            </w:tcMar>
            <w:vAlign w:val="center"/>
          </w:tcPr>
          <w:p w14:paraId="45AFA71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7EAA157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271.27</w:t>
            </w:r>
          </w:p>
        </w:tc>
        <w:tc>
          <w:tcPr>
            <w:tcW w:w="979" w:type="dxa"/>
            <w:shd w:val="clear" w:color="auto" w:fill="auto"/>
            <w:tcMar>
              <w:top w:w="0" w:type="dxa"/>
              <w:left w:w="108" w:type="dxa"/>
              <w:bottom w:w="0" w:type="dxa"/>
              <w:right w:w="108" w:type="dxa"/>
            </w:tcMar>
            <w:vAlign w:val="center"/>
          </w:tcPr>
          <w:p w14:paraId="5E06569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2.71</w:t>
            </w:r>
          </w:p>
        </w:tc>
      </w:tr>
      <w:tr w:rsidR="006416B0" w:rsidRPr="00B4515A" w14:paraId="74B6E812" w14:textId="77777777" w:rsidTr="00836E3A">
        <w:trPr>
          <w:trHeight w:val="340"/>
          <w:jc w:val="center"/>
        </w:trPr>
        <w:tc>
          <w:tcPr>
            <w:tcW w:w="843" w:type="dxa"/>
            <w:shd w:val="clear" w:color="auto" w:fill="auto"/>
            <w:tcMar>
              <w:top w:w="0" w:type="dxa"/>
              <w:left w:w="108" w:type="dxa"/>
              <w:bottom w:w="0" w:type="dxa"/>
              <w:right w:w="108" w:type="dxa"/>
            </w:tcMar>
            <w:vAlign w:val="center"/>
          </w:tcPr>
          <w:p w14:paraId="6348713C"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1528" w:type="dxa"/>
            <w:shd w:val="clear" w:color="auto" w:fill="auto"/>
            <w:tcMar>
              <w:top w:w="0" w:type="dxa"/>
              <w:left w:w="108" w:type="dxa"/>
              <w:bottom w:w="0" w:type="dxa"/>
              <w:right w:w="108" w:type="dxa"/>
            </w:tcMar>
            <w:vAlign w:val="center"/>
          </w:tcPr>
          <w:p w14:paraId="6D2CF15F"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北京大唐高鸿数据网络技术有限公司</w:t>
            </w:r>
          </w:p>
        </w:tc>
        <w:tc>
          <w:tcPr>
            <w:tcW w:w="979" w:type="dxa"/>
            <w:shd w:val="clear" w:color="auto" w:fill="auto"/>
            <w:tcMar>
              <w:top w:w="0" w:type="dxa"/>
              <w:left w:w="108" w:type="dxa"/>
              <w:bottom w:w="0" w:type="dxa"/>
              <w:right w:w="108" w:type="dxa"/>
            </w:tcMar>
            <w:vAlign w:val="center"/>
          </w:tcPr>
          <w:p w14:paraId="7034BCE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82" w:type="dxa"/>
            <w:shd w:val="clear" w:color="auto" w:fill="auto"/>
            <w:tcMar>
              <w:top w:w="0" w:type="dxa"/>
              <w:left w:w="108" w:type="dxa"/>
              <w:bottom w:w="0" w:type="dxa"/>
              <w:right w:w="108" w:type="dxa"/>
            </w:tcMar>
            <w:vAlign w:val="center"/>
          </w:tcPr>
          <w:p w14:paraId="323FB94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19" w:type="dxa"/>
            <w:shd w:val="clear" w:color="auto" w:fill="auto"/>
            <w:tcMar>
              <w:top w:w="0" w:type="dxa"/>
              <w:left w:w="108" w:type="dxa"/>
              <w:bottom w:w="0" w:type="dxa"/>
              <w:right w:w="108" w:type="dxa"/>
            </w:tcMar>
            <w:vAlign w:val="center"/>
          </w:tcPr>
          <w:p w14:paraId="51B34D5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70.13</w:t>
            </w:r>
          </w:p>
        </w:tc>
        <w:tc>
          <w:tcPr>
            <w:tcW w:w="1119" w:type="dxa"/>
            <w:shd w:val="clear" w:color="auto" w:fill="auto"/>
            <w:tcMar>
              <w:top w:w="0" w:type="dxa"/>
              <w:left w:w="108" w:type="dxa"/>
              <w:bottom w:w="0" w:type="dxa"/>
              <w:right w:w="108" w:type="dxa"/>
            </w:tcMar>
            <w:vAlign w:val="center"/>
          </w:tcPr>
          <w:p w14:paraId="66AA715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1.49</w:t>
            </w:r>
          </w:p>
        </w:tc>
        <w:tc>
          <w:tcPr>
            <w:tcW w:w="979" w:type="dxa"/>
            <w:shd w:val="clear" w:color="auto" w:fill="auto"/>
            <w:tcMar>
              <w:top w:w="0" w:type="dxa"/>
              <w:left w:w="108" w:type="dxa"/>
              <w:bottom w:w="0" w:type="dxa"/>
              <w:right w:w="108" w:type="dxa"/>
            </w:tcMar>
            <w:vAlign w:val="center"/>
          </w:tcPr>
          <w:p w14:paraId="33CC2BE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4.13</w:t>
            </w:r>
          </w:p>
        </w:tc>
        <w:tc>
          <w:tcPr>
            <w:tcW w:w="979" w:type="dxa"/>
            <w:shd w:val="clear" w:color="auto" w:fill="auto"/>
            <w:tcMar>
              <w:top w:w="0" w:type="dxa"/>
              <w:left w:w="108" w:type="dxa"/>
              <w:bottom w:w="0" w:type="dxa"/>
              <w:right w:w="108" w:type="dxa"/>
            </w:tcMar>
            <w:vAlign w:val="center"/>
          </w:tcPr>
          <w:p w14:paraId="3ABCB6A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0.41</w:t>
            </w:r>
          </w:p>
        </w:tc>
      </w:tr>
      <w:tr w:rsidR="006416B0" w:rsidRPr="00B4515A" w14:paraId="41C40D60" w14:textId="77777777" w:rsidTr="00836E3A">
        <w:trPr>
          <w:trHeight w:val="340"/>
          <w:jc w:val="center"/>
        </w:trPr>
        <w:tc>
          <w:tcPr>
            <w:tcW w:w="843" w:type="dxa"/>
            <w:shd w:val="clear" w:color="auto" w:fill="auto"/>
            <w:tcMar>
              <w:top w:w="0" w:type="dxa"/>
              <w:left w:w="108" w:type="dxa"/>
              <w:bottom w:w="0" w:type="dxa"/>
              <w:right w:w="108" w:type="dxa"/>
            </w:tcMar>
            <w:vAlign w:val="center"/>
          </w:tcPr>
          <w:p w14:paraId="27F1F37A"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1528" w:type="dxa"/>
            <w:shd w:val="clear" w:color="auto" w:fill="auto"/>
            <w:tcMar>
              <w:top w:w="0" w:type="dxa"/>
              <w:left w:w="108" w:type="dxa"/>
              <w:bottom w:w="0" w:type="dxa"/>
              <w:right w:w="108" w:type="dxa"/>
            </w:tcMar>
            <w:vAlign w:val="center"/>
          </w:tcPr>
          <w:p w14:paraId="08164965"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大唐半导体设计有限公司</w:t>
            </w:r>
          </w:p>
        </w:tc>
        <w:tc>
          <w:tcPr>
            <w:tcW w:w="979" w:type="dxa"/>
            <w:shd w:val="clear" w:color="auto" w:fill="auto"/>
            <w:tcMar>
              <w:top w:w="0" w:type="dxa"/>
              <w:left w:w="108" w:type="dxa"/>
              <w:bottom w:w="0" w:type="dxa"/>
              <w:right w:w="108" w:type="dxa"/>
            </w:tcMar>
            <w:vAlign w:val="center"/>
          </w:tcPr>
          <w:p w14:paraId="5A0A526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82" w:type="dxa"/>
            <w:shd w:val="clear" w:color="auto" w:fill="auto"/>
            <w:tcMar>
              <w:top w:w="0" w:type="dxa"/>
              <w:left w:w="108" w:type="dxa"/>
              <w:bottom w:w="0" w:type="dxa"/>
              <w:right w:w="108" w:type="dxa"/>
            </w:tcMar>
            <w:vAlign w:val="center"/>
          </w:tcPr>
          <w:p w14:paraId="5908016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19" w:type="dxa"/>
            <w:shd w:val="clear" w:color="auto" w:fill="auto"/>
            <w:tcMar>
              <w:top w:w="0" w:type="dxa"/>
              <w:left w:w="108" w:type="dxa"/>
              <w:bottom w:w="0" w:type="dxa"/>
              <w:right w:w="108" w:type="dxa"/>
            </w:tcMar>
            <w:vAlign w:val="center"/>
          </w:tcPr>
          <w:p w14:paraId="232B7B6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19" w:type="dxa"/>
            <w:shd w:val="clear" w:color="auto" w:fill="auto"/>
            <w:tcMar>
              <w:top w:w="0" w:type="dxa"/>
              <w:left w:w="108" w:type="dxa"/>
              <w:bottom w:w="0" w:type="dxa"/>
              <w:right w:w="108" w:type="dxa"/>
            </w:tcMar>
            <w:vAlign w:val="center"/>
          </w:tcPr>
          <w:p w14:paraId="562AF3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48D49BA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15.81</w:t>
            </w:r>
          </w:p>
        </w:tc>
        <w:tc>
          <w:tcPr>
            <w:tcW w:w="979" w:type="dxa"/>
            <w:shd w:val="clear" w:color="auto" w:fill="auto"/>
            <w:tcMar>
              <w:top w:w="0" w:type="dxa"/>
              <w:left w:w="108" w:type="dxa"/>
              <w:bottom w:w="0" w:type="dxa"/>
              <w:right w:w="108" w:type="dxa"/>
            </w:tcMar>
            <w:vAlign w:val="center"/>
          </w:tcPr>
          <w:p w14:paraId="1F635BC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0.16</w:t>
            </w:r>
          </w:p>
        </w:tc>
      </w:tr>
      <w:tr w:rsidR="006416B0" w:rsidRPr="00B4515A" w14:paraId="3C2EA1CD" w14:textId="77777777" w:rsidTr="00836E3A">
        <w:trPr>
          <w:trHeight w:val="340"/>
          <w:jc w:val="center"/>
        </w:trPr>
        <w:tc>
          <w:tcPr>
            <w:tcW w:w="843" w:type="dxa"/>
            <w:shd w:val="clear" w:color="auto" w:fill="auto"/>
            <w:tcMar>
              <w:top w:w="0" w:type="dxa"/>
              <w:left w:w="108" w:type="dxa"/>
              <w:bottom w:w="0" w:type="dxa"/>
              <w:right w:w="108" w:type="dxa"/>
            </w:tcMar>
            <w:vAlign w:val="center"/>
          </w:tcPr>
          <w:p w14:paraId="1941E4EF"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1528" w:type="dxa"/>
            <w:shd w:val="clear" w:color="auto" w:fill="auto"/>
            <w:tcMar>
              <w:top w:w="0" w:type="dxa"/>
              <w:left w:w="108" w:type="dxa"/>
              <w:bottom w:w="0" w:type="dxa"/>
              <w:right w:w="108" w:type="dxa"/>
            </w:tcMar>
            <w:vAlign w:val="center"/>
          </w:tcPr>
          <w:p w14:paraId="0FF85C20"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大唐联仪科技有限公司</w:t>
            </w:r>
          </w:p>
        </w:tc>
        <w:tc>
          <w:tcPr>
            <w:tcW w:w="979" w:type="dxa"/>
            <w:shd w:val="clear" w:color="auto" w:fill="auto"/>
            <w:tcMar>
              <w:top w:w="0" w:type="dxa"/>
              <w:left w:w="108" w:type="dxa"/>
              <w:bottom w:w="0" w:type="dxa"/>
              <w:right w:w="108" w:type="dxa"/>
            </w:tcMar>
            <w:vAlign w:val="center"/>
          </w:tcPr>
          <w:p w14:paraId="45F2ED0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46.00</w:t>
            </w:r>
          </w:p>
        </w:tc>
        <w:tc>
          <w:tcPr>
            <w:tcW w:w="982" w:type="dxa"/>
            <w:shd w:val="clear" w:color="auto" w:fill="auto"/>
            <w:tcMar>
              <w:top w:w="0" w:type="dxa"/>
              <w:left w:w="108" w:type="dxa"/>
              <w:bottom w:w="0" w:type="dxa"/>
              <w:right w:w="108" w:type="dxa"/>
            </w:tcMar>
            <w:vAlign w:val="center"/>
          </w:tcPr>
          <w:p w14:paraId="137CD2C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0.46</w:t>
            </w:r>
          </w:p>
        </w:tc>
        <w:tc>
          <w:tcPr>
            <w:tcW w:w="1119" w:type="dxa"/>
            <w:shd w:val="clear" w:color="auto" w:fill="auto"/>
            <w:tcMar>
              <w:top w:w="0" w:type="dxa"/>
              <w:left w:w="108" w:type="dxa"/>
              <w:bottom w:w="0" w:type="dxa"/>
              <w:right w:w="108" w:type="dxa"/>
            </w:tcMar>
            <w:vAlign w:val="center"/>
          </w:tcPr>
          <w:p w14:paraId="36AE177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46.00</w:t>
            </w:r>
          </w:p>
        </w:tc>
        <w:tc>
          <w:tcPr>
            <w:tcW w:w="1119" w:type="dxa"/>
            <w:shd w:val="clear" w:color="auto" w:fill="auto"/>
            <w:tcMar>
              <w:top w:w="0" w:type="dxa"/>
              <w:left w:w="108" w:type="dxa"/>
              <w:bottom w:w="0" w:type="dxa"/>
              <w:right w:w="108" w:type="dxa"/>
            </w:tcMar>
            <w:vAlign w:val="center"/>
          </w:tcPr>
          <w:p w14:paraId="4FC6486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0.46</w:t>
            </w:r>
          </w:p>
        </w:tc>
        <w:tc>
          <w:tcPr>
            <w:tcW w:w="979" w:type="dxa"/>
            <w:shd w:val="clear" w:color="auto" w:fill="auto"/>
            <w:tcMar>
              <w:top w:w="0" w:type="dxa"/>
              <w:left w:w="108" w:type="dxa"/>
              <w:bottom w:w="0" w:type="dxa"/>
              <w:right w:w="108" w:type="dxa"/>
            </w:tcMar>
            <w:vAlign w:val="center"/>
          </w:tcPr>
          <w:p w14:paraId="04D3948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43F57FA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14458697" w14:textId="77777777" w:rsidTr="00836E3A">
        <w:trPr>
          <w:trHeight w:val="340"/>
          <w:jc w:val="center"/>
        </w:trPr>
        <w:tc>
          <w:tcPr>
            <w:tcW w:w="843" w:type="dxa"/>
            <w:shd w:val="clear" w:color="auto" w:fill="auto"/>
            <w:tcMar>
              <w:top w:w="0" w:type="dxa"/>
              <w:left w:w="108" w:type="dxa"/>
              <w:bottom w:w="0" w:type="dxa"/>
              <w:right w:w="108" w:type="dxa"/>
            </w:tcMar>
            <w:vAlign w:val="center"/>
          </w:tcPr>
          <w:p w14:paraId="64020C8A"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 xml:space="preserve">　</w:t>
            </w:r>
          </w:p>
        </w:tc>
        <w:tc>
          <w:tcPr>
            <w:tcW w:w="1528" w:type="dxa"/>
            <w:shd w:val="clear" w:color="auto" w:fill="auto"/>
            <w:tcMar>
              <w:top w:w="0" w:type="dxa"/>
              <w:left w:w="108" w:type="dxa"/>
              <w:bottom w:w="0" w:type="dxa"/>
              <w:right w:w="108" w:type="dxa"/>
            </w:tcMar>
            <w:vAlign w:val="center"/>
          </w:tcPr>
          <w:p w14:paraId="3DA7E685"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西安大唐电信有限公司</w:t>
            </w:r>
          </w:p>
        </w:tc>
        <w:tc>
          <w:tcPr>
            <w:tcW w:w="979" w:type="dxa"/>
            <w:shd w:val="clear" w:color="auto" w:fill="auto"/>
            <w:tcMar>
              <w:top w:w="0" w:type="dxa"/>
              <w:left w:w="108" w:type="dxa"/>
              <w:bottom w:w="0" w:type="dxa"/>
              <w:right w:w="108" w:type="dxa"/>
            </w:tcMar>
            <w:vAlign w:val="center"/>
          </w:tcPr>
          <w:p w14:paraId="6D4354B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20.47</w:t>
            </w:r>
          </w:p>
        </w:tc>
        <w:tc>
          <w:tcPr>
            <w:tcW w:w="982" w:type="dxa"/>
            <w:shd w:val="clear" w:color="auto" w:fill="auto"/>
            <w:tcMar>
              <w:top w:w="0" w:type="dxa"/>
              <w:left w:w="108" w:type="dxa"/>
              <w:bottom w:w="0" w:type="dxa"/>
              <w:right w:w="108" w:type="dxa"/>
            </w:tcMar>
            <w:vAlign w:val="center"/>
          </w:tcPr>
          <w:p w14:paraId="4B1670A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0.20</w:t>
            </w:r>
          </w:p>
        </w:tc>
        <w:tc>
          <w:tcPr>
            <w:tcW w:w="1119" w:type="dxa"/>
            <w:shd w:val="clear" w:color="auto" w:fill="auto"/>
            <w:tcMar>
              <w:top w:w="0" w:type="dxa"/>
              <w:left w:w="108" w:type="dxa"/>
              <w:bottom w:w="0" w:type="dxa"/>
              <w:right w:w="108" w:type="dxa"/>
            </w:tcMar>
            <w:vAlign w:val="center"/>
          </w:tcPr>
          <w:p w14:paraId="36ECDE6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19" w:type="dxa"/>
            <w:shd w:val="clear" w:color="auto" w:fill="auto"/>
            <w:tcMar>
              <w:top w:w="0" w:type="dxa"/>
              <w:left w:w="108" w:type="dxa"/>
              <w:bottom w:w="0" w:type="dxa"/>
              <w:right w:w="108" w:type="dxa"/>
            </w:tcMar>
            <w:vAlign w:val="center"/>
          </w:tcPr>
          <w:p w14:paraId="381E166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754E2B3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52DD710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AD2993C" w14:textId="77777777" w:rsidTr="00836E3A">
        <w:trPr>
          <w:trHeight w:val="340"/>
          <w:jc w:val="center"/>
        </w:trPr>
        <w:tc>
          <w:tcPr>
            <w:tcW w:w="843" w:type="dxa"/>
            <w:shd w:val="clear" w:color="auto" w:fill="auto"/>
            <w:tcMar>
              <w:top w:w="0" w:type="dxa"/>
              <w:left w:w="108" w:type="dxa"/>
              <w:bottom w:w="0" w:type="dxa"/>
              <w:right w:w="108" w:type="dxa"/>
            </w:tcMar>
            <w:vAlign w:val="center"/>
          </w:tcPr>
          <w:p w14:paraId="4A49040E"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预付账款</w:t>
            </w:r>
          </w:p>
        </w:tc>
        <w:tc>
          <w:tcPr>
            <w:tcW w:w="1528" w:type="dxa"/>
            <w:shd w:val="clear" w:color="auto" w:fill="auto"/>
            <w:tcMar>
              <w:top w:w="0" w:type="dxa"/>
              <w:left w:w="108" w:type="dxa"/>
              <w:bottom w:w="0" w:type="dxa"/>
              <w:right w:w="108" w:type="dxa"/>
            </w:tcMar>
            <w:vAlign w:val="center"/>
          </w:tcPr>
          <w:p w14:paraId="6E2D6593"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979" w:type="dxa"/>
            <w:shd w:val="clear" w:color="auto" w:fill="auto"/>
            <w:tcMar>
              <w:top w:w="0" w:type="dxa"/>
              <w:left w:w="108" w:type="dxa"/>
              <w:bottom w:w="0" w:type="dxa"/>
              <w:right w:w="108" w:type="dxa"/>
            </w:tcMar>
            <w:vAlign w:val="center"/>
          </w:tcPr>
          <w:p w14:paraId="5E9EA61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82" w:type="dxa"/>
            <w:shd w:val="clear" w:color="auto" w:fill="auto"/>
            <w:tcMar>
              <w:top w:w="0" w:type="dxa"/>
              <w:left w:w="108" w:type="dxa"/>
              <w:bottom w:w="0" w:type="dxa"/>
              <w:right w:w="108" w:type="dxa"/>
            </w:tcMar>
            <w:vAlign w:val="center"/>
          </w:tcPr>
          <w:p w14:paraId="0756E3E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19" w:type="dxa"/>
            <w:shd w:val="clear" w:color="auto" w:fill="auto"/>
            <w:tcMar>
              <w:top w:w="0" w:type="dxa"/>
              <w:left w:w="108" w:type="dxa"/>
              <w:bottom w:w="0" w:type="dxa"/>
              <w:right w:w="108" w:type="dxa"/>
            </w:tcMar>
            <w:vAlign w:val="center"/>
          </w:tcPr>
          <w:p w14:paraId="2B72C29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19" w:type="dxa"/>
            <w:shd w:val="clear" w:color="auto" w:fill="auto"/>
            <w:tcMar>
              <w:top w:w="0" w:type="dxa"/>
              <w:left w:w="108" w:type="dxa"/>
              <w:bottom w:w="0" w:type="dxa"/>
              <w:right w:w="108" w:type="dxa"/>
            </w:tcMar>
            <w:vAlign w:val="center"/>
          </w:tcPr>
          <w:p w14:paraId="6C9F8C8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3FDF961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7F8E229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751D0E63" w14:textId="77777777" w:rsidTr="00836E3A">
        <w:trPr>
          <w:trHeight w:val="340"/>
          <w:jc w:val="center"/>
        </w:trPr>
        <w:tc>
          <w:tcPr>
            <w:tcW w:w="843" w:type="dxa"/>
            <w:shd w:val="clear" w:color="auto" w:fill="auto"/>
            <w:tcMar>
              <w:top w:w="0" w:type="dxa"/>
              <w:left w:w="108" w:type="dxa"/>
              <w:bottom w:w="0" w:type="dxa"/>
              <w:right w:w="108" w:type="dxa"/>
            </w:tcMar>
            <w:vAlign w:val="center"/>
          </w:tcPr>
          <w:p w14:paraId="4C4D4F43"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1528" w:type="dxa"/>
            <w:shd w:val="clear" w:color="auto" w:fill="auto"/>
            <w:tcMar>
              <w:top w:w="0" w:type="dxa"/>
              <w:left w:w="108" w:type="dxa"/>
              <w:bottom w:w="0" w:type="dxa"/>
              <w:right w:w="108" w:type="dxa"/>
            </w:tcMar>
            <w:vAlign w:val="center"/>
          </w:tcPr>
          <w:p w14:paraId="4CE6AD95"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大唐移动通信设备有限公司</w:t>
            </w:r>
          </w:p>
        </w:tc>
        <w:tc>
          <w:tcPr>
            <w:tcW w:w="979" w:type="dxa"/>
            <w:shd w:val="clear" w:color="auto" w:fill="auto"/>
            <w:tcMar>
              <w:top w:w="0" w:type="dxa"/>
              <w:left w:w="108" w:type="dxa"/>
              <w:bottom w:w="0" w:type="dxa"/>
              <w:right w:w="108" w:type="dxa"/>
            </w:tcMar>
            <w:vAlign w:val="center"/>
          </w:tcPr>
          <w:p w14:paraId="489E0A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82" w:type="dxa"/>
            <w:shd w:val="clear" w:color="auto" w:fill="auto"/>
            <w:tcMar>
              <w:top w:w="0" w:type="dxa"/>
              <w:left w:w="108" w:type="dxa"/>
              <w:bottom w:w="0" w:type="dxa"/>
              <w:right w:w="108" w:type="dxa"/>
            </w:tcMar>
            <w:vAlign w:val="center"/>
          </w:tcPr>
          <w:p w14:paraId="720DE34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19" w:type="dxa"/>
            <w:shd w:val="clear" w:color="auto" w:fill="auto"/>
            <w:tcMar>
              <w:top w:w="0" w:type="dxa"/>
              <w:left w:w="108" w:type="dxa"/>
              <w:bottom w:w="0" w:type="dxa"/>
              <w:right w:w="108" w:type="dxa"/>
            </w:tcMar>
            <w:vAlign w:val="center"/>
          </w:tcPr>
          <w:p w14:paraId="19D5CC2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19" w:type="dxa"/>
            <w:shd w:val="clear" w:color="auto" w:fill="auto"/>
            <w:tcMar>
              <w:top w:w="0" w:type="dxa"/>
              <w:left w:w="108" w:type="dxa"/>
              <w:bottom w:w="0" w:type="dxa"/>
              <w:right w:w="108" w:type="dxa"/>
            </w:tcMar>
            <w:vAlign w:val="center"/>
          </w:tcPr>
          <w:p w14:paraId="3A04C8A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6492B77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411.38</w:t>
            </w:r>
          </w:p>
        </w:tc>
        <w:tc>
          <w:tcPr>
            <w:tcW w:w="979" w:type="dxa"/>
            <w:shd w:val="clear" w:color="auto" w:fill="auto"/>
            <w:tcMar>
              <w:top w:w="0" w:type="dxa"/>
              <w:left w:w="108" w:type="dxa"/>
              <w:bottom w:w="0" w:type="dxa"/>
              <w:right w:w="108" w:type="dxa"/>
            </w:tcMar>
            <w:vAlign w:val="center"/>
          </w:tcPr>
          <w:p w14:paraId="6B9603C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4.11</w:t>
            </w:r>
          </w:p>
        </w:tc>
      </w:tr>
      <w:tr w:rsidR="006416B0" w:rsidRPr="00B4515A" w14:paraId="7E744E74" w14:textId="77777777" w:rsidTr="00836E3A">
        <w:trPr>
          <w:trHeight w:val="340"/>
          <w:jc w:val="center"/>
        </w:trPr>
        <w:tc>
          <w:tcPr>
            <w:tcW w:w="843" w:type="dxa"/>
            <w:shd w:val="clear" w:color="auto" w:fill="auto"/>
            <w:tcMar>
              <w:top w:w="0" w:type="dxa"/>
              <w:left w:w="108" w:type="dxa"/>
              <w:bottom w:w="0" w:type="dxa"/>
              <w:right w:w="108" w:type="dxa"/>
            </w:tcMar>
            <w:vAlign w:val="center"/>
          </w:tcPr>
          <w:p w14:paraId="76BDE545"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1528" w:type="dxa"/>
            <w:shd w:val="clear" w:color="auto" w:fill="auto"/>
            <w:tcMar>
              <w:top w:w="0" w:type="dxa"/>
              <w:left w:w="108" w:type="dxa"/>
              <w:bottom w:w="0" w:type="dxa"/>
              <w:right w:w="108" w:type="dxa"/>
            </w:tcMar>
            <w:vAlign w:val="center"/>
          </w:tcPr>
          <w:p w14:paraId="6E118B43"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电信科学技术第四研究所有</w:t>
            </w:r>
            <w:r w:rsidRPr="00B4515A">
              <w:rPr>
                <w:rFonts w:hint="eastAsia"/>
                <w:color w:val="000000"/>
                <w:sz w:val="21"/>
                <w:szCs w:val="21"/>
              </w:rPr>
              <w:lastRenderedPageBreak/>
              <w:t>限公司</w:t>
            </w:r>
          </w:p>
        </w:tc>
        <w:tc>
          <w:tcPr>
            <w:tcW w:w="979" w:type="dxa"/>
            <w:shd w:val="clear" w:color="auto" w:fill="auto"/>
            <w:tcMar>
              <w:top w:w="0" w:type="dxa"/>
              <w:left w:w="108" w:type="dxa"/>
              <w:bottom w:w="0" w:type="dxa"/>
              <w:right w:w="108" w:type="dxa"/>
            </w:tcMar>
            <w:vAlign w:val="center"/>
          </w:tcPr>
          <w:p w14:paraId="32188BA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lastRenderedPageBreak/>
              <w:t>7.36</w:t>
            </w:r>
          </w:p>
        </w:tc>
        <w:tc>
          <w:tcPr>
            <w:tcW w:w="982" w:type="dxa"/>
            <w:shd w:val="clear" w:color="auto" w:fill="auto"/>
            <w:tcMar>
              <w:top w:w="0" w:type="dxa"/>
              <w:left w:w="108" w:type="dxa"/>
              <w:bottom w:w="0" w:type="dxa"/>
              <w:right w:w="108" w:type="dxa"/>
            </w:tcMar>
            <w:vAlign w:val="center"/>
          </w:tcPr>
          <w:p w14:paraId="72B1E79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0.20</w:t>
            </w:r>
          </w:p>
        </w:tc>
        <w:tc>
          <w:tcPr>
            <w:tcW w:w="1119" w:type="dxa"/>
            <w:shd w:val="clear" w:color="auto" w:fill="auto"/>
            <w:tcMar>
              <w:top w:w="0" w:type="dxa"/>
              <w:left w:w="108" w:type="dxa"/>
              <w:bottom w:w="0" w:type="dxa"/>
              <w:right w:w="108" w:type="dxa"/>
            </w:tcMar>
            <w:vAlign w:val="center"/>
          </w:tcPr>
          <w:p w14:paraId="2E0F9ED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1.36</w:t>
            </w:r>
          </w:p>
        </w:tc>
        <w:tc>
          <w:tcPr>
            <w:tcW w:w="1119" w:type="dxa"/>
            <w:shd w:val="clear" w:color="auto" w:fill="auto"/>
            <w:tcMar>
              <w:top w:w="0" w:type="dxa"/>
              <w:left w:w="108" w:type="dxa"/>
              <w:bottom w:w="0" w:type="dxa"/>
              <w:right w:w="108" w:type="dxa"/>
            </w:tcMar>
            <w:vAlign w:val="center"/>
          </w:tcPr>
          <w:p w14:paraId="284CB30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0.14</w:t>
            </w:r>
          </w:p>
        </w:tc>
        <w:tc>
          <w:tcPr>
            <w:tcW w:w="979" w:type="dxa"/>
            <w:shd w:val="clear" w:color="auto" w:fill="auto"/>
            <w:tcMar>
              <w:top w:w="0" w:type="dxa"/>
              <w:left w:w="108" w:type="dxa"/>
              <w:bottom w:w="0" w:type="dxa"/>
              <w:right w:w="108" w:type="dxa"/>
            </w:tcMar>
            <w:vAlign w:val="center"/>
          </w:tcPr>
          <w:p w14:paraId="217D247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1.36</w:t>
            </w:r>
          </w:p>
        </w:tc>
        <w:tc>
          <w:tcPr>
            <w:tcW w:w="979" w:type="dxa"/>
            <w:shd w:val="clear" w:color="auto" w:fill="auto"/>
            <w:tcMar>
              <w:top w:w="0" w:type="dxa"/>
              <w:left w:w="108" w:type="dxa"/>
              <w:bottom w:w="0" w:type="dxa"/>
              <w:right w:w="108" w:type="dxa"/>
            </w:tcMar>
            <w:vAlign w:val="center"/>
          </w:tcPr>
          <w:p w14:paraId="58EC5B3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0.01</w:t>
            </w:r>
          </w:p>
        </w:tc>
      </w:tr>
      <w:tr w:rsidR="006416B0" w:rsidRPr="00B4515A" w14:paraId="52A92DA1" w14:textId="77777777" w:rsidTr="00836E3A">
        <w:trPr>
          <w:trHeight w:val="340"/>
          <w:jc w:val="center"/>
        </w:trPr>
        <w:tc>
          <w:tcPr>
            <w:tcW w:w="843" w:type="dxa"/>
            <w:shd w:val="clear" w:color="auto" w:fill="auto"/>
            <w:tcMar>
              <w:top w:w="0" w:type="dxa"/>
              <w:left w:w="108" w:type="dxa"/>
              <w:bottom w:w="0" w:type="dxa"/>
              <w:right w:w="108" w:type="dxa"/>
            </w:tcMar>
            <w:vAlign w:val="center"/>
          </w:tcPr>
          <w:p w14:paraId="4EF2B38C"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lastRenderedPageBreak/>
              <w:t xml:space="preserve">　</w:t>
            </w:r>
          </w:p>
        </w:tc>
        <w:tc>
          <w:tcPr>
            <w:tcW w:w="1528" w:type="dxa"/>
            <w:shd w:val="clear" w:color="auto" w:fill="auto"/>
            <w:tcMar>
              <w:top w:w="0" w:type="dxa"/>
              <w:left w:w="108" w:type="dxa"/>
              <w:bottom w:w="0" w:type="dxa"/>
              <w:right w:w="108" w:type="dxa"/>
            </w:tcMar>
            <w:vAlign w:val="center"/>
          </w:tcPr>
          <w:p w14:paraId="4FDEE1FE"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数据通信科学技术研究所</w:t>
            </w:r>
          </w:p>
        </w:tc>
        <w:tc>
          <w:tcPr>
            <w:tcW w:w="979" w:type="dxa"/>
            <w:shd w:val="clear" w:color="auto" w:fill="auto"/>
            <w:tcMar>
              <w:top w:w="0" w:type="dxa"/>
              <w:left w:w="108" w:type="dxa"/>
              <w:bottom w:w="0" w:type="dxa"/>
              <w:right w:w="108" w:type="dxa"/>
            </w:tcMar>
            <w:vAlign w:val="center"/>
          </w:tcPr>
          <w:p w14:paraId="3490A8D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73.02</w:t>
            </w:r>
          </w:p>
        </w:tc>
        <w:tc>
          <w:tcPr>
            <w:tcW w:w="982" w:type="dxa"/>
            <w:shd w:val="clear" w:color="auto" w:fill="auto"/>
            <w:tcMar>
              <w:top w:w="0" w:type="dxa"/>
              <w:left w:w="108" w:type="dxa"/>
              <w:bottom w:w="0" w:type="dxa"/>
              <w:right w:w="108" w:type="dxa"/>
            </w:tcMar>
            <w:vAlign w:val="center"/>
          </w:tcPr>
          <w:p w14:paraId="2CA9F23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0.73</w:t>
            </w:r>
          </w:p>
        </w:tc>
        <w:tc>
          <w:tcPr>
            <w:tcW w:w="1119" w:type="dxa"/>
            <w:shd w:val="clear" w:color="auto" w:fill="auto"/>
            <w:tcMar>
              <w:top w:w="0" w:type="dxa"/>
              <w:left w:w="108" w:type="dxa"/>
              <w:bottom w:w="0" w:type="dxa"/>
              <w:right w:w="108" w:type="dxa"/>
            </w:tcMar>
            <w:vAlign w:val="center"/>
          </w:tcPr>
          <w:p w14:paraId="0EBEAF2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19" w:type="dxa"/>
            <w:shd w:val="clear" w:color="auto" w:fill="auto"/>
            <w:tcMar>
              <w:top w:w="0" w:type="dxa"/>
              <w:left w:w="108" w:type="dxa"/>
              <w:bottom w:w="0" w:type="dxa"/>
              <w:right w:w="108" w:type="dxa"/>
            </w:tcMar>
            <w:vAlign w:val="center"/>
          </w:tcPr>
          <w:p w14:paraId="44515BD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003CC1D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35E5F9B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3554DC6" w14:textId="77777777" w:rsidTr="00836E3A">
        <w:trPr>
          <w:trHeight w:val="340"/>
          <w:jc w:val="center"/>
        </w:trPr>
        <w:tc>
          <w:tcPr>
            <w:tcW w:w="843" w:type="dxa"/>
            <w:shd w:val="clear" w:color="auto" w:fill="auto"/>
            <w:tcMar>
              <w:top w:w="0" w:type="dxa"/>
              <w:left w:w="108" w:type="dxa"/>
              <w:bottom w:w="0" w:type="dxa"/>
              <w:right w:w="108" w:type="dxa"/>
            </w:tcMar>
            <w:vAlign w:val="center"/>
          </w:tcPr>
          <w:p w14:paraId="3F486D67"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1528" w:type="dxa"/>
            <w:shd w:val="clear" w:color="auto" w:fill="auto"/>
            <w:tcMar>
              <w:top w:w="0" w:type="dxa"/>
              <w:left w:w="108" w:type="dxa"/>
              <w:bottom w:w="0" w:type="dxa"/>
              <w:right w:w="108" w:type="dxa"/>
            </w:tcMar>
            <w:vAlign w:val="center"/>
          </w:tcPr>
          <w:p w14:paraId="5899E22E"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兴唐通信科技有限公司</w:t>
            </w:r>
          </w:p>
        </w:tc>
        <w:tc>
          <w:tcPr>
            <w:tcW w:w="979" w:type="dxa"/>
            <w:shd w:val="clear" w:color="auto" w:fill="auto"/>
            <w:tcMar>
              <w:top w:w="0" w:type="dxa"/>
              <w:left w:w="108" w:type="dxa"/>
              <w:bottom w:w="0" w:type="dxa"/>
              <w:right w:w="108" w:type="dxa"/>
            </w:tcMar>
            <w:vAlign w:val="center"/>
          </w:tcPr>
          <w:p w14:paraId="2286EFC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82" w:type="dxa"/>
            <w:shd w:val="clear" w:color="auto" w:fill="auto"/>
            <w:tcMar>
              <w:top w:w="0" w:type="dxa"/>
              <w:left w:w="108" w:type="dxa"/>
              <w:bottom w:w="0" w:type="dxa"/>
              <w:right w:w="108" w:type="dxa"/>
            </w:tcMar>
            <w:vAlign w:val="center"/>
          </w:tcPr>
          <w:p w14:paraId="2DA982C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19" w:type="dxa"/>
            <w:shd w:val="clear" w:color="auto" w:fill="auto"/>
            <w:tcMar>
              <w:top w:w="0" w:type="dxa"/>
              <w:left w:w="108" w:type="dxa"/>
              <w:bottom w:w="0" w:type="dxa"/>
              <w:right w:w="108" w:type="dxa"/>
            </w:tcMar>
            <w:vAlign w:val="center"/>
          </w:tcPr>
          <w:p w14:paraId="5B0BE6A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19" w:type="dxa"/>
            <w:shd w:val="clear" w:color="auto" w:fill="auto"/>
            <w:tcMar>
              <w:top w:w="0" w:type="dxa"/>
              <w:left w:w="108" w:type="dxa"/>
              <w:bottom w:w="0" w:type="dxa"/>
              <w:right w:w="108" w:type="dxa"/>
            </w:tcMar>
            <w:vAlign w:val="center"/>
          </w:tcPr>
          <w:p w14:paraId="729DBD3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2870A13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0.27</w:t>
            </w:r>
          </w:p>
        </w:tc>
        <w:tc>
          <w:tcPr>
            <w:tcW w:w="979" w:type="dxa"/>
            <w:shd w:val="clear" w:color="auto" w:fill="auto"/>
            <w:tcMar>
              <w:top w:w="0" w:type="dxa"/>
              <w:left w:w="108" w:type="dxa"/>
              <w:bottom w:w="0" w:type="dxa"/>
              <w:right w:w="108" w:type="dxa"/>
            </w:tcMar>
            <w:vAlign w:val="center"/>
          </w:tcPr>
          <w:p w14:paraId="03E5009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0.00</w:t>
            </w:r>
          </w:p>
        </w:tc>
      </w:tr>
      <w:tr w:rsidR="006416B0" w:rsidRPr="00B4515A" w14:paraId="6B86F853" w14:textId="77777777" w:rsidTr="00836E3A">
        <w:trPr>
          <w:trHeight w:val="340"/>
          <w:jc w:val="center"/>
        </w:trPr>
        <w:tc>
          <w:tcPr>
            <w:tcW w:w="843" w:type="dxa"/>
            <w:shd w:val="clear" w:color="auto" w:fill="auto"/>
            <w:tcMar>
              <w:top w:w="0" w:type="dxa"/>
              <w:left w:w="108" w:type="dxa"/>
              <w:bottom w:w="0" w:type="dxa"/>
              <w:right w:w="108" w:type="dxa"/>
            </w:tcMar>
            <w:vAlign w:val="center"/>
          </w:tcPr>
          <w:p w14:paraId="7A954406"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 xml:space="preserve">　</w:t>
            </w:r>
          </w:p>
        </w:tc>
        <w:tc>
          <w:tcPr>
            <w:tcW w:w="1528" w:type="dxa"/>
            <w:shd w:val="clear" w:color="auto" w:fill="auto"/>
            <w:tcMar>
              <w:top w:w="0" w:type="dxa"/>
              <w:left w:w="108" w:type="dxa"/>
              <w:bottom w:w="0" w:type="dxa"/>
              <w:right w:w="108" w:type="dxa"/>
            </w:tcMar>
            <w:vAlign w:val="center"/>
          </w:tcPr>
          <w:p w14:paraId="4B5F82A2" w14:textId="77777777" w:rsidR="006416B0" w:rsidRPr="00B4515A" w:rsidRDefault="005E58C1" w:rsidP="005860B4">
            <w:pPr>
              <w:adjustRightInd w:val="0"/>
              <w:snapToGrid w:val="0"/>
              <w:rPr>
                <w:color w:val="000000"/>
                <w:sz w:val="21"/>
                <w:szCs w:val="21"/>
              </w:rPr>
            </w:pPr>
            <w:r w:rsidRPr="00B4515A">
              <w:rPr>
                <w:rFonts w:hint="eastAsia"/>
                <w:color w:val="000000"/>
                <w:sz w:val="21"/>
                <w:szCs w:val="21"/>
              </w:rPr>
              <w:t>大唐终端设备有限公司</w:t>
            </w:r>
          </w:p>
        </w:tc>
        <w:tc>
          <w:tcPr>
            <w:tcW w:w="979" w:type="dxa"/>
            <w:shd w:val="clear" w:color="auto" w:fill="auto"/>
            <w:tcMar>
              <w:top w:w="0" w:type="dxa"/>
              <w:left w:w="108" w:type="dxa"/>
              <w:bottom w:w="0" w:type="dxa"/>
              <w:right w:w="108" w:type="dxa"/>
            </w:tcMar>
            <w:vAlign w:val="center"/>
          </w:tcPr>
          <w:p w14:paraId="2A23535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378.24</w:t>
            </w:r>
          </w:p>
        </w:tc>
        <w:tc>
          <w:tcPr>
            <w:tcW w:w="982" w:type="dxa"/>
            <w:shd w:val="clear" w:color="auto" w:fill="auto"/>
            <w:tcMar>
              <w:top w:w="0" w:type="dxa"/>
              <w:left w:w="108" w:type="dxa"/>
              <w:bottom w:w="0" w:type="dxa"/>
              <w:right w:w="108" w:type="dxa"/>
            </w:tcMar>
            <w:vAlign w:val="center"/>
          </w:tcPr>
          <w:p w14:paraId="284156A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16.25</w:t>
            </w:r>
          </w:p>
        </w:tc>
        <w:tc>
          <w:tcPr>
            <w:tcW w:w="1119" w:type="dxa"/>
            <w:shd w:val="clear" w:color="auto" w:fill="auto"/>
            <w:tcMar>
              <w:top w:w="0" w:type="dxa"/>
              <w:left w:w="108" w:type="dxa"/>
              <w:bottom w:w="0" w:type="dxa"/>
              <w:right w:w="108" w:type="dxa"/>
            </w:tcMar>
            <w:vAlign w:val="center"/>
          </w:tcPr>
          <w:p w14:paraId="6DA5E58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85.35</w:t>
            </w:r>
          </w:p>
        </w:tc>
        <w:tc>
          <w:tcPr>
            <w:tcW w:w="1119" w:type="dxa"/>
            <w:shd w:val="clear" w:color="auto" w:fill="auto"/>
            <w:tcMar>
              <w:top w:w="0" w:type="dxa"/>
              <w:left w:w="108" w:type="dxa"/>
              <w:bottom w:w="0" w:type="dxa"/>
              <w:right w:w="108" w:type="dxa"/>
            </w:tcMar>
            <w:vAlign w:val="center"/>
          </w:tcPr>
          <w:p w14:paraId="1064953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0.85</w:t>
            </w:r>
          </w:p>
        </w:tc>
        <w:tc>
          <w:tcPr>
            <w:tcW w:w="979" w:type="dxa"/>
            <w:shd w:val="clear" w:color="auto" w:fill="auto"/>
            <w:tcMar>
              <w:top w:w="0" w:type="dxa"/>
              <w:left w:w="108" w:type="dxa"/>
              <w:bottom w:w="0" w:type="dxa"/>
              <w:right w:w="108" w:type="dxa"/>
            </w:tcMar>
            <w:vAlign w:val="center"/>
          </w:tcPr>
          <w:p w14:paraId="7DBC1E3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34DF09C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836E3A" w:rsidRPr="00B4515A" w14:paraId="29C85F74" w14:textId="77777777" w:rsidTr="00836E3A">
        <w:trPr>
          <w:trHeight w:val="340"/>
          <w:jc w:val="center"/>
        </w:trPr>
        <w:tc>
          <w:tcPr>
            <w:tcW w:w="843" w:type="dxa"/>
            <w:shd w:val="clear" w:color="auto" w:fill="auto"/>
            <w:tcMar>
              <w:top w:w="0" w:type="dxa"/>
              <w:left w:w="108" w:type="dxa"/>
              <w:bottom w:w="0" w:type="dxa"/>
              <w:right w:w="108" w:type="dxa"/>
            </w:tcMar>
            <w:vAlign w:val="center"/>
          </w:tcPr>
          <w:p w14:paraId="328F6196" w14:textId="77777777" w:rsidR="00836E3A" w:rsidRPr="00B4515A" w:rsidRDefault="00836E3A" w:rsidP="00836E3A">
            <w:pPr>
              <w:adjustRightInd w:val="0"/>
              <w:snapToGrid w:val="0"/>
              <w:rPr>
                <w:color w:val="000000"/>
                <w:sz w:val="21"/>
                <w:szCs w:val="21"/>
              </w:rPr>
            </w:pPr>
          </w:p>
        </w:tc>
        <w:tc>
          <w:tcPr>
            <w:tcW w:w="1528" w:type="dxa"/>
            <w:shd w:val="clear" w:color="auto" w:fill="auto"/>
            <w:tcMar>
              <w:top w:w="0" w:type="dxa"/>
              <w:left w:w="108" w:type="dxa"/>
              <w:bottom w:w="0" w:type="dxa"/>
              <w:right w:w="108" w:type="dxa"/>
            </w:tcMar>
            <w:vAlign w:val="center"/>
          </w:tcPr>
          <w:p w14:paraId="419F80B3" w14:textId="73CC7223" w:rsidR="00836E3A" w:rsidRPr="00B4515A" w:rsidRDefault="00836E3A" w:rsidP="00836E3A">
            <w:pPr>
              <w:adjustRightInd w:val="0"/>
              <w:snapToGrid w:val="0"/>
              <w:rPr>
                <w:color w:val="000000"/>
                <w:sz w:val="21"/>
                <w:szCs w:val="21"/>
              </w:rPr>
            </w:pPr>
            <w:r w:rsidRPr="00B4515A">
              <w:rPr>
                <w:rFonts w:hint="eastAsia"/>
                <w:color w:val="000000"/>
                <w:sz w:val="21"/>
                <w:szCs w:val="21"/>
              </w:rPr>
              <w:t>中信科移动通信技术有限公司</w:t>
            </w:r>
          </w:p>
        </w:tc>
        <w:tc>
          <w:tcPr>
            <w:tcW w:w="979" w:type="dxa"/>
            <w:shd w:val="clear" w:color="auto" w:fill="auto"/>
            <w:tcMar>
              <w:top w:w="0" w:type="dxa"/>
              <w:left w:w="108" w:type="dxa"/>
              <w:bottom w:w="0" w:type="dxa"/>
              <w:right w:w="108" w:type="dxa"/>
            </w:tcMar>
            <w:vAlign w:val="center"/>
          </w:tcPr>
          <w:p w14:paraId="1F191843" w14:textId="7D695EEB" w:rsidR="00836E3A" w:rsidRPr="00B4515A" w:rsidRDefault="00836E3A" w:rsidP="00836E3A">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12.50 </w:t>
            </w:r>
          </w:p>
        </w:tc>
        <w:tc>
          <w:tcPr>
            <w:tcW w:w="982" w:type="dxa"/>
            <w:shd w:val="clear" w:color="auto" w:fill="auto"/>
            <w:tcMar>
              <w:top w:w="0" w:type="dxa"/>
              <w:left w:w="108" w:type="dxa"/>
              <w:bottom w:w="0" w:type="dxa"/>
              <w:right w:w="108" w:type="dxa"/>
            </w:tcMar>
            <w:vAlign w:val="center"/>
          </w:tcPr>
          <w:p w14:paraId="20C495E3" w14:textId="4F4B5B42" w:rsidR="00836E3A" w:rsidRPr="00B4515A" w:rsidRDefault="00836E3A" w:rsidP="00836E3A">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0.13 </w:t>
            </w:r>
          </w:p>
        </w:tc>
        <w:tc>
          <w:tcPr>
            <w:tcW w:w="1119" w:type="dxa"/>
            <w:shd w:val="clear" w:color="auto" w:fill="auto"/>
            <w:tcMar>
              <w:top w:w="0" w:type="dxa"/>
              <w:left w:w="108" w:type="dxa"/>
              <w:bottom w:w="0" w:type="dxa"/>
              <w:right w:w="108" w:type="dxa"/>
            </w:tcMar>
            <w:vAlign w:val="center"/>
          </w:tcPr>
          <w:p w14:paraId="30B6ED3F" w14:textId="3C5B25BF" w:rsidR="00836E3A" w:rsidRPr="00B4515A" w:rsidRDefault="00836E3A" w:rsidP="00836E3A">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12.50 </w:t>
            </w:r>
          </w:p>
        </w:tc>
        <w:tc>
          <w:tcPr>
            <w:tcW w:w="1119" w:type="dxa"/>
            <w:shd w:val="clear" w:color="auto" w:fill="auto"/>
            <w:tcMar>
              <w:top w:w="0" w:type="dxa"/>
              <w:left w:w="108" w:type="dxa"/>
              <w:bottom w:w="0" w:type="dxa"/>
              <w:right w:w="108" w:type="dxa"/>
            </w:tcMar>
            <w:vAlign w:val="center"/>
          </w:tcPr>
          <w:p w14:paraId="74B8642C" w14:textId="0F0E265A" w:rsidR="00836E3A" w:rsidRPr="00B4515A" w:rsidRDefault="00836E3A" w:rsidP="00836E3A">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0.13 </w:t>
            </w:r>
          </w:p>
        </w:tc>
        <w:tc>
          <w:tcPr>
            <w:tcW w:w="979" w:type="dxa"/>
            <w:shd w:val="clear" w:color="auto" w:fill="auto"/>
            <w:tcMar>
              <w:top w:w="0" w:type="dxa"/>
              <w:left w:w="108" w:type="dxa"/>
              <w:bottom w:w="0" w:type="dxa"/>
              <w:right w:w="108" w:type="dxa"/>
            </w:tcMar>
            <w:vAlign w:val="center"/>
          </w:tcPr>
          <w:p w14:paraId="60E7E777" w14:textId="3155E7B1" w:rsidR="00836E3A" w:rsidRPr="00B4515A" w:rsidRDefault="00836E3A" w:rsidP="00836E3A">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979" w:type="dxa"/>
            <w:shd w:val="clear" w:color="auto" w:fill="auto"/>
            <w:tcMar>
              <w:top w:w="0" w:type="dxa"/>
              <w:left w:w="108" w:type="dxa"/>
              <w:bottom w:w="0" w:type="dxa"/>
              <w:right w:w="108" w:type="dxa"/>
            </w:tcMar>
            <w:vAlign w:val="center"/>
          </w:tcPr>
          <w:p w14:paraId="3BA7A742" w14:textId="47A64E5D" w:rsidR="00836E3A" w:rsidRPr="00B4515A" w:rsidRDefault="00836E3A" w:rsidP="00836E3A">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bl>
    <w:p w14:paraId="4F93B039" w14:textId="77777777" w:rsidR="006416B0" w:rsidRPr="00B4515A" w:rsidRDefault="005E58C1" w:rsidP="006100BC">
      <w:pPr>
        <w:pStyle w:val="004"/>
        <w:spacing w:before="120" w:after="120"/>
        <w:ind w:firstLine="482"/>
      </w:pPr>
      <w:r w:rsidRPr="00B4515A">
        <w:t>2</w:t>
      </w:r>
      <w:r w:rsidRPr="00B4515A">
        <w:rPr>
          <w:rFonts w:hint="eastAsia"/>
        </w:rPr>
        <w:t>、应付项目</w:t>
      </w:r>
    </w:p>
    <w:p w14:paraId="6FDC5478" w14:textId="14C4940D" w:rsidR="006416B0" w:rsidRPr="00B4515A" w:rsidRDefault="00D44516"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94"/>
        <w:gridCol w:w="3419"/>
        <w:gridCol w:w="1364"/>
        <w:gridCol w:w="1337"/>
        <w:gridCol w:w="1314"/>
      </w:tblGrid>
      <w:tr w:rsidR="006416B0" w:rsidRPr="00B4515A" w14:paraId="289D7169"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72A170A8" w14:textId="77777777" w:rsidR="006416B0" w:rsidRPr="00B4515A" w:rsidRDefault="005E58C1" w:rsidP="00C721A8">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hint="eastAsia"/>
                <w:b/>
                <w:color w:val="000000"/>
                <w:sz w:val="21"/>
                <w:szCs w:val="21"/>
              </w:rPr>
              <w:t>项目名称</w:t>
            </w:r>
          </w:p>
        </w:tc>
        <w:tc>
          <w:tcPr>
            <w:tcW w:w="3440" w:type="dxa"/>
            <w:shd w:val="clear" w:color="auto" w:fill="auto"/>
            <w:tcMar>
              <w:top w:w="0" w:type="dxa"/>
              <w:left w:w="108" w:type="dxa"/>
              <w:bottom w:w="0" w:type="dxa"/>
              <w:right w:w="108" w:type="dxa"/>
            </w:tcMar>
            <w:vAlign w:val="center"/>
          </w:tcPr>
          <w:p w14:paraId="366BE0FB" w14:textId="77777777" w:rsidR="006416B0" w:rsidRPr="00B4515A" w:rsidRDefault="005E58C1" w:rsidP="00C721A8">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hint="eastAsia"/>
                <w:b/>
                <w:color w:val="000000"/>
                <w:sz w:val="21"/>
                <w:szCs w:val="21"/>
              </w:rPr>
              <w:t>关联方</w:t>
            </w:r>
          </w:p>
        </w:tc>
        <w:tc>
          <w:tcPr>
            <w:tcW w:w="1371" w:type="dxa"/>
            <w:shd w:val="clear" w:color="auto" w:fill="auto"/>
            <w:tcMar>
              <w:top w:w="0" w:type="dxa"/>
              <w:left w:w="108" w:type="dxa"/>
              <w:bottom w:w="0" w:type="dxa"/>
              <w:right w:w="108" w:type="dxa"/>
            </w:tcMar>
            <w:vAlign w:val="center"/>
          </w:tcPr>
          <w:p w14:paraId="63A2D213" w14:textId="77777777" w:rsidR="006416B0" w:rsidRPr="00B4515A" w:rsidRDefault="005E58C1" w:rsidP="00C721A8">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2021.4.30</w:t>
            </w:r>
          </w:p>
        </w:tc>
        <w:tc>
          <w:tcPr>
            <w:tcW w:w="1344" w:type="dxa"/>
            <w:shd w:val="clear" w:color="auto" w:fill="auto"/>
            <w:tcMar>
              <w:top w:w="0" w:type="dxa"/>
              <w:left w:w="108" w:type="dxa"/>
              <w:bottom w:w="0" w:type="dxa"/>
              <w:right w:w="108" w:type="dxa"/>
            </w:tcMar>
            <w:vAlign w:val="center"/>
          </w:tcPr>
          <w:p w14:paraId="78621B62" w14:textId="77777777" w:rsidR="006416B0" w:rsidRPr="00B4515A" w:rsidRDefault="005E58C1" w:rsidP="00C721A8">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2020.12.31</w:t>
            </w:r>
          </w:p>
        </w:tc>
        <w:tc>
          <w:tcPr>
            <w:tcW w:w="1321" w:type="dxa"/>
            <w:shd w:val="clear" w:color="auto" w:fill="auto"/>
            <w:tcMar>
              <w:top w:w="0" w:type="dxa"/>
              <w:left w:w="108" w:type="dxa"/>
              <w:bottom w:w="0" w:type="dxa"/>
              <w:right w:w="108" w:type="dxa"/>
            </w:tcMar>
            <w:vAlign w:val="center"/>
          </w:tcPr>
          <w:p w14:paraId="66C181CD" w14:textId="77777777" w:rsidR="006416B0" w:rsidRPr="00B4515A" w:rsidRDefault="005E58C1" w:rsidP="00C721A8">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2019.12.31</w:t>
            </w:r>
          </w:p>
        </w:tc>
      </w:tr>
      <w:tr w:rsidR="006416B0" w:rsidRPr="00B4515A" w14:paraId="187BCB55"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3B149E1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应付账款</w:t>
            </w:r>
          </w:p>
        </w:tc>
        <w:tc>
          <w:tcPr>
            <w:tcW w:w="3440" w:type="dxa"/>
            <w:shd w:val="clear" w:color="auto" w:fill="auto"/>
            <w:tcMar>
              <w:top w:w="0" w:type="dxa"/>
              <w:left w:w="108" w:type="dxa"/>
              <w:bottom w:w="0" w:type="dxa"/>
              <w:right w:w="108" w:type="dxa"/>
            </w:tcMar>
            <w:vAlign w:val="center"/>
          </w:tcPr>
          <w:p w14:paraId="210297A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1371" w:type="dxa"/>
            <w:shd w:val="clear" w:color="auto" w:fill="auto"/>
            <w:tcMar>
              <w:top w:w="0" w:type="dxa"/>
              <w:left w:w="108" w:type="dxa"/>
              <w:bottom w:w="0" w:type="dxa"/>
              <w:right w:w="108" w:type="dxa"/>
            </w:tcMar>
            <w:vAlign w:val="center"/>
          </w:tcPr>
          <w:p w14:paraId="7B7FADD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344" w:type="dxa"/>
            <w:shd w:val="clear" w:color="auto" w:fill="auto"/>
            <w:tcMar>
              <w:top w:w="0" w:type="dxa"/>
              <w:left w:w="108" w:type="dxa"/>
              <w:bottom w:w="0" w:type="dxa"/>
              <w:right w:w="108" w:type="dxa"/>
            </w:tcMar>
            <w:vAlign w:val="center"/>
          </w:tcPr>
          <w:p w14:paraId="6C3CED5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1321" w:type="dxa"/>
            <w:shd w:val="clear" w:color="auto" w:fill="auto"/>
            <w:tcMar>
              <w:top w:w="0" w:type="dxa"/>
              <w:left w:w="108" w:type="dxa"/>
              <w:bottom w:w="0" w:type="dxa"/>
              <w:right w:w="108" w:type="dxa"/>
            </w:tcMar>
            <w:vAlign w:val="center"/>
          </w:tcPr>
          <w:p w14:paraId="786A138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r>
      <w:tr w:rsidR="006416B0" w:rsidRPr="00B4515A" w14:paraId="7CE02021"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603432A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4D88020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大唐移动通信设备有限公司</w:t>
            </w:r>
          </w:p>
        </w:tc>
        <w:tc>
          <w:tcPr>
            <w:tcW w:w="1371" w:type="dxa"/>
            <w:shd w:val="clear" w:color="auto" w:fill="auto"/>
            <w:tcMar>
              <w:top w:w="0" w:type="dxa"/>
              <w:left w:w="108" w:type="dxa"/>
              <w:bottom w:w="0" w:type="dxa"/>
              <w:right w:w="108" w:type="dxa"/>
            </w:tcMar>
            <w:vAlign w:val="center"/>
          </w:tcPr>
          <w:p w14:paraId="75C31D8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5,816.67</w:t>
            </w:r>
          </w:p>
        </w:tc>
        <w:tc>
          <w:tcPr>
            <w:tcW w:w="1344" w:type="dxa"/>
            <w:shd w:val="clear" w:color="auto" w:fill="auto"/>
            <w:tcMar>
              <w:top w:w="0" w:type="dxa"/>
              <w:left w:w="108" w:type="dxa"/>
              <w:bottom w:w="0" w:type="dxa"/>
              <w:right w:w="108" w:type="dxa"/>
            </w:tcMar>
            <w:vAlign w:val="center"/>
          </w:tcPr>
          <w:p w14:paraId="5950094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4,806.91</w:t>
            </w:r>
          </w:p>
        </w:tc>
        <w:tc>
          <w:tcPr>
            <w:tcW w:w="1321" w:type="dxa"/>
            <w:shd w:val="clear" w:color="auto" w:fill="auto"/>
            <w:tcMar>
              <w:top w:w="0" w:type="dxa"/>
              <w:left w:w="108" w:type="dxa"/>
              <w:bottom w:w="0" w:type="dxa"/>
              <w:right w:w="108" w:type="dxa"/>
            </w:tcMar>
            <w:vAlign w:val="center"/>
          </w:tcPr>
          <w:p w14:paraId="6E81993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7,069.55</w:t>
            </w:r>
          </w:p>
        </w:tc>
      </w:tr>
      <w:tr w:rsidR="006416B0" w:rsidRPr="00B4515A" w14:paraId="426A1BFA"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3D3D9F1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000C9D4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兴唐通信科技有限公司</w:t>
            </w:r>
          </w:p>
        </w:tc>
        <w:tc>
          <w:tcPr>
            <w:tcW w:w="1371" w:type="dxa"/>
            <w:shd w:val="clear" w:color="auto" w:fill="auto"/>
            <w:tcMar>
              <w:top w:w="0" w:type="dxa"/>
              <w:left w:w="108" w:type="dxa"/>
              <w:bottom w:w="0" w:type="dxa"/>
              <w:right w:w="108" w:type="dxa"/>
            </w:tcMar>
            <w:vAlign w:val="center"/>
          </w:tcPr>
          <w:p w14:paraId="7EFB876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356.32</w:t>
            </w:r>
          </w:p>
        </w:tc>
        <w:tc>
          <w:tcPr>
            <w:tcW w:w="1344" w:type="dxa"/>
            <w:shd w:val="clear" w:color="auto" w:fill="auto"/>
            <w:tcMar>
              <w:top w:w="0" w:type="dxa"/>
              <w:left w:w="108" w:type="dxa"/>
              <w:bottom w:w="0" w:type="dxa"/>
              <w:right w:w="108" w:type="dxa"/>
            </w:tcMar>
            <w:vAlign w:val="center"/>
          </w:tcPr>
          <w:p w14:paraId="1286AB5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356.32</w:t>
            </w:r>
          </w:p>
        </w:tc>
        <w:tc>
          <w:tcPr>
            <w:tcW w:w="1321" w:type="dxa"/>
            <w:shd w:val="clear" w:color="auto" w:fill="auto"/>
            <w:tcMar>
              <w:top w:w="0" w:type="dxa"/>
              <w:left w:w="108" w:type="dxa"/>
              <w:bottom w:w="0" w:type="dxa"/>
              <w:right w:w="108" w:type="dxa"/>
            </w:tcMar>
            <w:vAlign w:val="center"/>
          </w:tcPr>
          <w:p w14:paraId="5367711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744.98</w:t>
            </w:r>
          </w:p>
        </w:tc>
      </w:tr>
      <w:tr w:rsidR="006416B0" w:rsidRPr="00B4515A" w14:paraId="726F2002"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7BC02E7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16C48E7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联芯科技有限公司</w:t>
            </w:r>
          </w:p>
        </w:tc>
        <w:tc>
          <w:tcPr>
            <w:tcW w:w="1371" w:type="dxa"/>
            <w:shd w:val="clear" w:color="auto" w:fill="auto"/>
            <w:tcMar>
              <w:top w:w="0" w:type="dxa"/>
              <w:left w:w="108" w:type="dxa"/>
              <w:bottom w:w="0" w:type="dxa"/>
              <w:right w:w="108" w:type="dxa"/>
            </w:tcMar>
            <w:vAlign w:val="center"/>
          </w:tcPr>
          <w:p w14:paraId="0D9A13E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1,344.29</w:t>
            </w:r>
          </w:p>
        </w:tc>
        <w:tc>
          <w:tcPr>
            <w:tcW w:w="1344" w:type="dxa"/>
            <w:shd w:val="clear" w:color="auto" w:fill="auto"/>
            <w:tcMar>
              <w:top w:w="0" w:type="dxa"/>
              <w:left w:w="108" w:type="dxa"/>
              <w:bottom w:w="0" w:type="dxa"/>
              <w:right w:w="108" w:type="dxa"/>
            </w:tcMar>
            <w:vAlign w:val="center"/>
          </w:tcPr>
          <w:p w14:paraId="6AFAEA0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1,293.73</w:t>
            </w:r>
          </w:p>
        </w:tc>
        <w:tc>
          <w:tcPr>
            <w:tcW w:w="1321" w:type="dxa"/>
            <w:shd w:val="clear" w:color="auto" w:fill="auto"/>
            <w:tcMar>
              <w:top w:w="0" w:type="dxa"/>
              <w:left w:w="108" w:type="dxa"/>
              <w:bottom w:w="0" w:type="dxa"/>
              <w:right w:w="108" w:type="dxa"/>
            </w:tcMar>
            <w:vAlign w:val="center"/>
          </w:tcPr>
          <w:p w14:paraId="36F1B9B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1,142.06</w:t>
            </w:r>
          </w:p>
        </w:tc>
      </w:tr>
      <w:tr w:rsidR="006416B0" w:rsidRPr="00B4515A" w14:paraId="4A9386C0"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2C2BEE3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2C5E15F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电信科学技术研究院有限公司</w:t>
            </w:r>
          </w:p>
        </w:tc>
        <w:tc>
          <w:tcPr>
            <w:tcW w:w="1371" w:type="dxa"/>
            <w:shd w:val="clear" w:color="auto" w:fill="auto"/>
            <w:tcMar>
              <w:top w:w="0" w:type="dxa"/>
              <w:left w:w="108" w:type="dxa"/>
              <w:bottom w:w="0" w:type="dxa"/>
              <w:right w:w="108" w:type="dxa"/>
            </w:tcMar>
            <w:vAlign w:val="center"/>
          </w:tcPr>
          <w:p w14:paraId="307C51E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44" w:type="dxa"/>
            <w:shd w:val="clear" w:color="auto" w:fill="auto"/>
            <w:tcMar>
              <w:top w:w="0" w:type="dxa"/>
              <w:left w:w="108" w:type="dxa"/>
              <w:bottom w:w="0" w:type="dxa"/>
              <w:right w:w="108" w:type="dxa"/>
            </w:tcMar>
            <w:vAlign w:val="center"/>
          </w:tcPr>
          <w:p w14:paraId="2C5E1FB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21" w:type="dxa"/>
            <w:shd w:val="clear" w:color="auto" w:fill="auto"/>
            <w:tcMar>
              <w:top w:w="0" w:type="dxa"/>
              <w:left w:w="108" w:type="dxa"/>
              <w:bottom w:w="0" w:type="dxa"/>
              <w:right w:w="108" w:type="dxa"/>
            </w:tcMar>
            <w:vAlign w:val="center"/>
          </w:tcPr>
          <w:p w14:paraId="31F2CC4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18.00</w:t>
            </w:r>
          </w:p>
        </w:tc>
      </w:tr>
      <w:tr w:rsidR="006416B0" w:rsidRPr="00B4515A" w14:paraId="21CD8225"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18A54E1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18B28AA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数据通信科学技术研究所</w:t>
            </w:r>
          </w:p>
        </w:tc>
        <w:tc>
          <w:tcPr>
            <w:tcW w:w="1371" w:type="dxa"/>
            <w:shd w:val="clear" w:color="auto" w:fill="auto"/>
            <w:tcMar>
              <w:top w:w="0" w:type="dxa"/>
              <w:left w:w="108" w:type="dxa"/>
              <w:bottom w:w="0" w:type="dxa"/>
              <w:right w:w="108" w:type="dxa"/>
            </w:tcMar>
            <w:vAlign w:val="center"/>
          </w:tcPr>
          <w:p w14:paraId="147CD8A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115.00</w:t>
            </w:r>
          </w:p>
        </w:tc>
        <w:tc>
          <w:tcPr>
            <w:tcW w:w="1344" w:type="dxa"/>
            <w:shd w:val="clear" w:color="auto" w:fill="auto"/>
            <w:tcMar>
              <w:top w:w="0" w:type="dxa"/>
              <w:left w:w="108" w:type="dxa"/>
              <w:bottom w:w="0" w:type="dxa"/>
              <w:right w:w="108" w:type="dxa"/>
            </w:tcMar>
            <w:vAlign w:val="center"/>
          </w:tcPr>
          <w:p w14:paraId="1490E8F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21" w:type="dxa"/>
            <w:shd w:val="clear" w:color="auto" w:fill="auto"/>
            <w:tcMar>
              <w:top w:w="0" w:type="dxa"/>
              <w:left w:w="108" w:type="dxa"/>
              <w:bottom w:w="0" w:type="dxa"/>
              <w:right w:w="108" w:type="dxa"/>
            </w:tcMar>
            <w:vAlign w:val="center"/>
          </w:tcPr>
          <w:p w14:paraId="16464B9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654C866"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64068D1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6A5EDE4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大唐半导体设计有限公司</w:t>
            </w:r>
          </w:p>
        </w:tc>
        <w:tc>
          <w:tcPr>
            <w:tcW w:w="1371" w:type="dxa"/>
            <w:shd w:val="clear" w:color="auto" w:fill="auto"/>
            <w:tcMar>
              <w:top w:w="0" w:type="dxa"/>
              <w:left w:w="108" w:type="dxa"/>
              <w:bottom w:w="0" w:type="dxa"/>
              <w:right w:w="108" w:type="dxa"/>
            </w:tcMar>
            <w:vAlign w:val="center"/>
          </w:tcPr>
          <w:p w14:paraId="548140F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44" w:type="dxa"/>
            <w:shd w:val="clear" w:color="auto" w:fill="auto"/>
            <w:tcMar>
              <w:top w:w="0" w:type="dxa"/>
              <w:left w:w="108" w:type="dxa"/>
              <w:bottom w:w="0" w:type="dxa"/>
              <w:right w:w="108" w:type="dxa"/>
            </w:tcMar>
            <w:vAlign w:val="center"/>
          </w:tcPr>
          <w:p w14:paraId="7DA676B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21" w:type="dxa"/>
            <w:shd w:val="clear" w:color="auto" w:fill="auto"/>
            <w:tcMar>
              <w:top w:w="0" w:type="dxa"/>
              <w:left w:w="108" w:type="dxa"/>
              <w:bottom w:w="0" w:type="dxa"/>
              <w:right w:w="108" w:type="dxa"/>
            </w:tcMar>
            <w:vAlign w:val="center"/>
          </w:tcPr>
          <w:p w14:paraId="7625E1C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45.60</w:t>
            </w:r>
          </w:p>
        </w:tc>
      </w:tr>
      <w:tr w:rsidR="006416B0" w:rsidRPr="00B4515A" w14:paraId="1A730392"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1D98B0D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05C431D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电信科学技术仪表研究所有限公司</w:t>
            </w:r>
          </w:p>
        </w:tc>
        <w:tc>
          <w:tcPr>
            <w:tcW w:w="1371" w:type="dxa"/>
            <w:shd w:val="clear" w:color="auto" w:fill="auto"/>
            <w:tcMar>
              <w:top w:w="0" w:type="dxa"/>
              <w:left w:w="108" w:type="dxa"/>
              <w:bottom w:w="0" w:type="dxa"/>
              <w:right w:w="108" w:type="dxa"/>
            </w:tcMar>
            <w:vAlign w:val="center"/>
          </w:tcPr>
          <w:p w14:paraId="52B9F9B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190.70</w:t>
            </w:r>
          </w:p>
        </w:tc>
        <w:tc>
          <w:tcPr>
            <w:tcW w:w="1344" w:type="dxa"/>
            <w:shd w:val="clear" w:color="auto" w:fill="auto"/>
            <w:tcMar>
              <w:top w:w="0" w:type="dxa"/>
              <w:left w:w="108" w:type="dxa"/>
              <w:bottom w:w="0" w:type="dxa"/>
              <w:right w:w="108" w:type="dxa"/>
            </w:tcMar>
            <w:vAlign w:val="center"/>
          </w:tcPr>
          <w:p w14:paraId="43AE138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156.20</w:t>
            </w:r>
          </w:p>
        </w:tc>
        <w:tc>
          <w:tcPr>
            <w:tcW w:w="1321" w:type="dxa"/>
            <w:shd w:val="clear" w:color="auto" w:fill="auto"/>
            <w:tcMar>
              <w:top w:w="0" w:type="dxa"/>
              <w:left w:w="108" w:type="dxa"/>
              <w:bottom w:w="0" w:type="dxa"/>
              <w:right w:w="108" w:type="dxa"/>
            </w:tcMar>
            <w:vAlign w:val="center"/>
          </w:tcPr>
          <w:p w14:paraId="082F524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470.65</w:t>
            </w:r>
          </w:p>
        </w:tc>
      </w:tr>
      <w:tr w:rsidR="006416B0" w:rsidRPr="00B4515A" w14:paraId="24F94B1E"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495CB2D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04466BF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电信科学技术第一研究所有限公司</w:t>
            </w:r>
          </w:p>
        </w:tc>
        <w:tc>
          <w:tcPr>
            <w:tcW w:w="1371" w:type="dxa"/>
            <w:shd w:val="clear" w:color="auto" w:fill="auto"/>
            <w:tcMar>
              <w:top w:w="0" w:type="dxa"/>
              <w:left w:w="108" w:type="dxa"/>
              <w:bottom w:w="0" w:type="dxa"/>
              <w:right w:w="108" w:type="dxa"/>
            </w:tcMar>
            <w:vAlign w:val="center"/>
          </w:tcPr>
          <w:p w14:paraId="1CA834C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52.00</w:t>
            </w:r>
          </w:p>
        </w:tc>
        <w:tc>
          <w:tcPr>
            <w:tcW w:w="1344" w:type="dxa"/>
            <w:shd w:val="clear" w:color="auto" w:fill="auto"/>
            <w:tcMar>
              <w:top w:w="0" w:type="dxa"/>
              <w:left w:w="108" w:type="dxa"/>
              <w:bottom w:w="0" w:type="dxa"/>
              <w:right w:w="108" w:type="dxa"/>
            </w:tcMar>
            <w:vAlign w:val="center"/>
          </w:tcPr>
          <w:p w14:paraId="7BFE690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62.00</w:t>
            </w:r>
          </w:p>
        </w:tc>
        <w:tc>
          <w:tcPr>
            <w:tcW w:w="1321" w:type="dxa"/>
            <w:shd w:val="clear" w:color="auto" w:fill="auto"/>
            <w:tcMar>
              <w:top w:w="0" w:type="dxa"/>
              <w:left w:w="108" w:type="dxa"/>
              <w:bottom w:w="0" w:type="dxa"/>
              <w:right w:w="108" w:type="dxa"/>
            </w:tcMar>
            <w:vAlign w:val="center"/>
          </w:tcPr>
          <w:p w14:paraId="6A10E39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66.24</w:t>
            </w:r>
          </w:p>
        </w:tc>
      </w:tr>
      <w:tr w:rsidR="006416B0" w:rsidRPr="00B4515A" w14:paraId="11908AAE"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0AC3772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07BE979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北京大唐高鸿科技发展有限公司</w:t>
            </w:r>
          </w:p>
        </w:tc>
        <w:tc>
          <w:tcPr>
            <w:tcW w:w="1371" w:type="dxa"/>
            <w:shd w:val="clear" w:color="auto" w:fill="auto"/>
            <w:tcMar>
              <w:top w:w="0" w:type="dxa"/>
              <w:left w:w="108" w:type="dxa"/>
              <w:bottom w:w="0" w:type="dxa"/>
              <w:right w:w="108" w:type="dxa"/>
            </w:tcMar>
            <w:vAlign w:val="center"/>
          </w:tcPr>
          <w:p w14:paraId="35CA4AD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0.66</w:t>
            </w:r>
          </w:p>
        </w:tc>
        <w:tc>
          <w:tcPr>
            <w:tcW w:w="1344" w:type="dxa"/>
            <w:shd w:val="clear" w:color="auto" w:fill="auto"/>
            <w:tcMar>
              <w:top w:w="0" w:type="dxa"/>
              <w:left w:w="108" w:type="dxa"/>
              <w:bottom w:w="0" w:type="dxa"/>
              <w:right w:w="108" w:type="dxa"/>
            </w:tcMar>
            <w:vAlign w:val="center"/>
          </w:tcPr>
          <w:p w14:paraId="2CA5921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69.98</w:t>
            </w:r>
          </w:p>
        </w:tc>
        <w:tc>
          <w:tcPr>
            <w:tcW w:w="1321" w:type="dxa"/>
            <w:shd w:val="clear" w:color="auto" w:fill="auto"/>
            <w:tcMar>
              <w:top w:w="0" w:type="dxa"/>
              <w:left w:w="108" w:type="dxa"/>
              <w:bottom w:w="0" w:type="dxa"/>
              <w:right w:w="108" w:type="dxa"/>
            </w:tcMar>
            <w:vAlign w:val="center"/>
          </w:tcPr>
          <w:p w14:paraId="66E2457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76.98</w:t>
            </w:r>
          </w:p>
        </w:tc>
      </w:tr>
      <w:tr w:rsidR="006416B0" w:rsidRPr="00B4515A" w14:paraId="5EBF5BDB"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7124E68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2FAC1D5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盛耀无线通讯科技（北京）有限公司</w:t>
            </w:r>
          </w:p>
        </w:tc>
        <w:tc>
          <w:tcPr>
            <w:tcW w:w="1371" w:type="dxa"/>
            <w:shd w:val="clear" w:color="auto" w:fill="auto"/>
            <w:tcMar>
              <w:top w:w="0" w:type="dxa"/>
              <w:left w:w="108" w:type="dxa"/>
              <w:bottom w:w="0" w:type="dxa"/>
              <w:right w:w="108" w:type="dxa"/>
            </w:tcMar>
            <w:vAlign w:val="center"/>
          </w:tcPr>
          <w:p w14:paraId="78EF304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1.24</w:t>
            </w:r>
          </w:p>
        </w:tc>
        <w:tc>
          <w:tcPr>
            <w:tcW w:w="1344" w:type="dxa"/>
            <w:shd w:val="clear" w:color="auto" w:fill="auto"/>
            <w:tcMar>
              <w:top w:w="0" w:type="dxa"/>
              <w:left w:w="108" w:type="dxa"/>
              <w:bottom w:w="0" w:type="dxa"/>
              <w:right w:w="108" w:type="dxa"/>
            </w:tcMar>
            <w:vAlign w:val="center"/>
          </w:tcPr>
          <w:p w14:paraId="0B1D110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1.24</w:t>
            </w:r>
          </w:p>
        </w:tc>
        <w:tc>
          <w:tcPr>
            <w:tcW w:w="1321" w:type="dxa"/>
            <w:shd w:val="clear" w:color="auto" w:fill="auto"/>
            <w:tcMar>
              <w:top w:w="0" w:type="dxa"/>
              <w:left w:w="108" w:type="dxa"/>
              <w:bottom w:w="0" w:type="dxa"/>
              <w:right w:w="108" w:type="dxa"/>
            </w:tcMar>
            <w:vAlign w:val="center"/>
          </w:tcPr>
          <w:p w14:paraId="75231A9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1.24</w:t>
            </w:r>
          </w:p>
        </w:tc>
      </w:tr>
      <w:tr w:rsidR="006416B0" w:rsidRPr="00B4515A" w14:paraId="69120147"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6E33D47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556AFFB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大唐终端设备有限公司</w:t>
            </w:r>
          </w:p>
        </w:tc>
        <w:tc>
          <w:tcPr>
            <w:tcW w:w="1371" w:type="dxa"/>
            <w:shd w:val="clear" w:color="auto" w:fill="auto"/>
            <w:tcMar>
              <w:top w:w="0" w:type="dxa"/>
              <w:left w:w="108" w:type="dxa"/>
              <w:bottom w:w="0" w:type="dxa"/>
              <w:right w:w="108" w:type="dxa"/>
            </w:tcMar>
            <w:vAlign w:val="center"/>
          </w:tcPr>
          <w:p w14:paraId="04E1271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2,875.72</w:t>
            </w:r>
          </w:p>
        </w:tc>
        <w:tc>
          <w:tcPr>
            <w:tcW w:w="1344" w:type="dxa"/>
            <w:shd w:val="clear" w:color="auto" w:fill="auto"/>
            <w:tcMar>
              <w:top w:w="0" w:type="dxa"/>
              <w:left w:w="108" w:type="dxa"/>
              <w:bottom w:w="0" w:type="dxa"/>
              <w:right w:w="108" w:type="dxa"/>
            </w:tcMar>
            <w:vAlign w:val="center"/>
          </w:tcPr>
          <w:p w14:paraId="4CA455E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2,653.16</w:t>
            </w:r>
          </w:p>
        </w:tc>
        <w:tc>
          <w:tcPr>
            <w:tcW w:w="1321" w:type="dxa"/>
            <w:shd w:val="clear" w:color="auto" w:fill="auto"/>
            <w:tcMar>
              <w:top w:w="0" w:type="dxa"/>
              <w:left w:w="108" w:type="dxa"/>
              <w:bottom w:w="0" w:type="dxa"/>
              <w:right w:w="108" w:type="dxa"/>
            </w:tcMar>
            <w:vAlign w:val="center"/>
          </w:tcPr>
          <w:p w14:paraId="57801E2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1,352.66</w:t>
            </w:r>
          </w:p>
        </w:tc>
      </w:tr>
      <w:tr w:rsidR="006416B0" w:rsidRPr="00B4515A" w14:paraId="40D823C0"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72C800B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7DCF88D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北京大唐物业管理有限公司</w:t>
            </w:r>
          </w:p>
        </w:tc>
        <w:tc>
          <w:tcPr>
            <w:tcW w:w="1371" w:type="dxa"/>
            <w:shd w:val="clear" w:color="auto" w:fill="auto"/>
            <w:tcMar>
              <w:top w:w="0" w:type="dxa"/>
              <w:left w:w="108" w:type="dxa"/>
              <w:bottom w:w="0" w:type="dxa"/>
              <w:right w:w="108" w:type="dxa"/>
            </w:tcMar>
            <w:vAlign w:val="center"/>
          </w:tcPr>
          <w:p w14:paraId="1DC0F0A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21.51</w:t>
            </w:r>
          </w:p>
        </w:tc>
        <w:tc>
          <w:tcPr>
            <w:tcW w:w="1344" w:type="dxa"/>
            <w:shd w:val="clear" w:color="auto" w:fill="auto"/>
            <w:tcMar>
              <w:top w:w="0" w:type="dxa"/>
              <w:left w:w="108" w:type="dxa"/>
              <w:bottom w:w="0" w:type="dxa"/>
              <w:right w:w="108" w:type="dxa"/>
            </w:tcMar>
            <w:vAlign w:val="center"/>
          </w:tcPr>
          <w:p w14:paraId="0DDDF79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23.82</w:t>
            </w:r>
          </w:p>
        </w:tc>
        <w:tc>
          <w:tcPr>
            <w:tcW w:w="1321" w:type="dxa"/>
            <w:shd w:val="clear" w:color="auto" w:fill="auto"/>
            <w:tcMar>
              <w:top w:w="0" w:type="dxa"/>
              <w:left w:w="108" w:type="dxa"/>
              <w:bottom w:w="0" w:type="dxa"/>
              <w:right w:w="108" w:type="dxa"/>
            </w:tcMar>
            <w:vAlign w:val="center"/>
          </w:tcPr>
          <w:p w14:paraId="17700E0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33.25</w:t>
            </w:r>
          </w:p>
        </w:tc>
      </w:tr>
      <w:tr w:rsidR="006416B0" w:rsidRPr="00B4515A" w14:paraId="26550E8F"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3EE04F7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3E559CD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大唐奇安网络科技有限公司</w:t>
            </w:r>
          </w:p>
        </w:tc>
        <w:tc>
          <w:tcPr>
            <w:tcW w:w="1371" w:type="dxa"/>
            <w:shd w:val="clear" w:color="auto" w:fill="auto"/>
            <w:tcMar>
              <w:top w:w="0" w:type="dxa"/>
              <w:left w:w="108" w:type="dxa"/>
              <w:bottom w:w="0" w:type="dxa"/>
              <w:right w:w="108" w:type="dxa"/>
            </w:tcMar>
            <w:vAlign w:val="center"/>
          </w:tcPr>
          <w:p w14:paraId="756DB8D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868.27</w:t>
            </w:r>
          </w:p>
        </w:tc>
        <w:tc>
          <w:tcPr>
            <w:tcW w:w="1344" w:type="dxa"/>
            <w:shd w:val="clear" w:color="auto" w:fill="auto"/>
            <w:tcMar>
              <w:top w:w="0" w:type="dxa"/>
              <w:left w:w="108" w:type="dxa"/>
              <w:bottom w:w="0" w:type="dxa"/>
              <w:right w:w="108" w:type="dxa"/>
            </w:tcMar>
            <w:vAlign w:val="center"/>
          </w:tcPr>
          <w:p w14:paraId="0D58214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818.47</w:t>
            </w:r>
          </w:p>
        </w:tc>
        <w:tc>
          <w:tcPr>
            <w:tcW w:w="1321" w:type="dxa"/>
            <w:shd w:val="clear" w:color="auto" w:fill="auto"/>
            <w:tcMar>
              <w:top w:w="0" w:type="dxa"/>
              <w:left w:w="108" w:type="dxa"/>
              <w:bottom w:w="0" w:type="dxa"/>
              <w:right w:w="108" w:type="dxa"/>
            </w:tcMar>
            <w:vAlign w:val="center"/>
          </w:tcPr>
          <w:p w14:paraId="0901D50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6ABFDBF5"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281C483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600B054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SA100841</w:t>
            </w:r>
          </w:p>
        </w:tc>
        <w:tc>
          <w:tcPr>
            <w:tcW w:w="1371" w:type="dxa"/>
            <w:shd w:val="clear" w:color="auto" w:fill="auto"/>
            <w:tcMar>
              <w:top w:w="0" w:type="dxa"/>
              <w:left w:w="108" w:type="dxa"/>
              <w:bottom w:w="0" w:type="dxa"/>
              <w:right w:w="108" w:type="dxa"/>
            </w:tcMar>
            <w:vAlign w:val="center"/>
          </w:tcPr>
          <w:p w14:paraId="21D731F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44" w:type="dxa"/>
            <w:shd w:val="clear" w:color="auto" w:fill="auto"/>
            <w:tcMar>
              <w:top w:w="0" w:type="dxa"/>
              <w:left w:w="108" w:type="dxa"/>
              <w:bottom w:w="0" w:type="dxa"/>
              <w:right w:w="108" w:type="dxa"/>
            </w:tcMar>
            <w:vAlign w:val="center"/>
          </w:tcPr>
          <w:p w14:paraId="57A4A62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28.20</w:t>
            </w:r>
          </w:p>
        </w:tc>
        <w:tc>
          <w:tcPr>
            <w:tcW w:w="1321" w:type="dxa"/>
            <w:shd w:val="clear" w:color="auto" w:fill="auto"/>
            <w:tcMar>
              <w:top w:w="0" w:type="dxa"/>
              <w:left w:w="108" w:type="dxa"/>
              <w:bottom w:w="0" w:type="dxa"/>
              <w:right w:w="108" w:type="dxa"/>
            </w:tcMar>
            <w:vAlign w:val="center"/>
          </w:tcPr>
          <w:p w14:paraId="6286DC5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825.85</w:t>
            </w:r>
          </w:p>
        </w:tc>
      </w:tr>
      <w:tr w:rsidR="006416B0" w:rsidRPr="00B4515A" w14:paraId="59DE442C"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5D66247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3292AB2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西安大唐电信有限公司</w:t>
            </w:r>
          </w:p>
        </w:tc>
        <w:tc>
          <w:tcPr>
            <w:tcW w:w="1371" w:type="dxa"/>
            <w:shd w:val="clear" w:color="auto" w:fill="auto"/>
            <w:tcMar>
              <w:top w:w="0" w:type="dxa"/>
              <w:left w:w="108" w:type="dxa"/>
              <w:bottom w:w="0" w:type="dxa"/>
              <w:right w:w="108" w:type="dxa"/>
            </w:tcMar>
            <w:vAlign w:val="center"/>
          </w:tcPr>
          <w:p w14:paraId="3FBBAAB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188.32</w:t>
            </w:r>
          </w:p>
        </w:tc>
        <w:tc>
          <w:tcPr>
            <w:tcW w:w="1344" w:type="dxa"/>
            <w:shd w:val="clear" w:color="auto" w:fill="auto"/>
            <w:tcMar>
              <w:top w:w="0" w:type="dxa"/>
              <w:left w:w="108" w:type="dxa"/>
              <w:bottom w:w="0" w:type="dxa"/>
              <w:right w:w="108" w:type="dxa"/>
            </w:tcMar>
            <w:vAlign w:val="center"/>
          </w:tcPr>
          <w:p w14:paraId="1D90076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203.00</w:t>
            </w:r>
          </w:p>
        </w:tc>
        <w:tc>
          <w:tcPr>
            <w:tcW w:w="1321" w:type="dxa"/>
            <w:shd w:val="clear" w:color="auto" w:fill="auto"/>
            <w:tcMar>
              <w:top w:w="0" w:type="dxa"/>
              <w:left w:w="108" w:type="dxa"/>
              <w:bottom w:w="0" w:type="dxa"/>
              <w:right w:w="108" w:type="dxa"/>
            </w:tcMar>
            <w:vAlign w:val="center"/>
          </w:tcPr>
          <w:p w14:paraId="39785EE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85.45</w:t>
            </w:r>
          </w:p>
        </w:tc>
      </w:tr>
      <w:tr w:rsidR="006416B0" w:rsidRPr="00B4515A" w14:paraId="63762750"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3EEA2DE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38F0535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SA101130</w:t>
            </w:r>
          </w:p>
        </w:tc>
        <w:tc>
          <w:tcPr>
            <w:tcW w:w="1371" w:type="dxa"/>
            <w:shd w:val="clear" w:color="auto" w:fill="auto"/>
            <w:tcMar>
              <w:top w:w="0" w:type="dxa"/>
              <w:left w:w="108" w:type="dxa"/>
              <w:bottom w:w="0" w:type="dxa"/>
              <w:right w:w="108" w:type="dxa"/>
            </w:tcMar>
            <w:vAlign w:val="center"/>
          </w:tcPr>
          <w:p w14:paraId="76BAB2B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707.20</w:t>
            </w:r>
          </w:p>
        </w:tc>
        <w:tc>
          <w:tcPr>
            <w:tcW w:w="1344" w:type="dxa"/>
            <w:shd w:val="clear" w:color="auto" w:fill="auto"/>
            <w:tcMar>
              <w:top w:w="0" w:type="dxa"/>
              <w:left w:w="108" w:type="dxa"/>
              <w:bottom w:w="0" w:type="dxa"/>
              <w:right w:w="108" w:type="dxa"/>
            </w:tcMar>
            <w:vAlign w:val="center"/>
          </w:tcPr>
          <w:p w14:paraId="7367A69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754.20</w:t>
            </w:r>
          </w:p>
        </w:tc>
        <w:tc>
          <w:tcPr>
            <w:tcW w:w="1321" w:type="dxa"/>
            <w:shd w:val="clear" w:color="auto" w:fill="auto"/>
            <w:tcMar>
              <w:top w:w="0" w:type="dxa"/>
              <w:left w:w="108" w:type="dxa"/>
              <w:bottom w:w="0" w:type="dxa"/>
              <w:right w:w="108" w:type="dxa"/>
            </w:tcMar>
            <w:vAlign w:val="center"/>
          </w:tcPr>
          <w:p w14:paraId="6A6FF0C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D07D244"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46CF1A6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1234C24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大唐终端技术有限公司</w:t>
            </w:r>
          </w:p>
        </w:tc>
        <w:tc>
          <w:tcPr>
            <w:tcW w:w="1371" w:type="dxa"/>
            <w:shd w:val="clear" w:color="auto" w:fill="auto"/>
            <w:tcMar>
              <w:top w:w="0" w:type="dxa"/>
              <w:left w:w="108" w:type="dxa"/>
              <w:bottom w:w="0" w:type="dxa"/>
              <w:right w:w="108" w:type="dxa"/>
            </w:tcMar>
            <w:vAlign w:val="center"/>
          </w:tcPr>
          <w:p w14:paraId="0D0ED87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w:t>
            </w:r>
          </w:p>
        </w:tc>
        <w:tc>
          <w:tcPr>
            <w:tcW w:w="1344" w:type="dxa"/>
            <w:shd w:val="clear" w:color="auto" w:fill="auto"/>
            <w:tcMar>
              <w:top w:w="0" w:type="dxa"/>
              <w:left w:w="108" w:type="dxa"/>
              <w:bottom w:w="0" w:type="dxa"/>
              <w:right w:w="108" w:type="dxa"/>
            </w:tcMar>
            <w:vAlign w:val="center"/>
          </w:tcPr>
          <w:p w14:paraId="0D942F6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w:t>
            </w:r>
          </w:p>
        </w:tc>
        <w:tc>
          <w:tcPr>
            <w:tcW w:w="1321" w:type="dxa"/>
            <w:shd w:val="clear" w:color="auto" w:fill="auto"/>
            <w:tcMar>
              <w:top w:w="0" w:type="dxa"/>
              <w:left w:w="108" w:type="dxa"/>
              <w:bottom w:w="0" w:type="dxa"/>
              <w:right w:w="108" w:type="dxa"/>
            </w:tcMar>
            <w:vAlign w:val="center"/>
          </w:tcPr>
          <w:p w14:paraId="08EBE6F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40E6D7C"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101A5A5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5E07803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电信科学技术第十研究所有限公司</w:t>
            </w:r>
          </w:p>
        </w:tc>
        <w:tc>
          <w:tcPr>
            <w:tcW w:w="1371" w:type="dxa"/>
            <w:shd w:val="clear" w:color="auto" w:fill="auto"/>
            <w:tcMar>
              <w:top w:w="0" w:type="dxa"/>
              <w:left w:w="108" w:type="dxa"/>
              <w:bottom w:w="0" w:type="dxa"/>
              <w:right w:w="108" w:type="dxa"/>
            </w:tcMar>
            <w:vAlign w:val="center"/>
          </w:tcPr>
          <w:p w14:paraId="60CE669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146.58</w:t>
            </w:r>
          </w:p>
        </w:tc>
        <w:tc>
          <w:tcPr>
            <w:tcW w:w="1344" w:type="dxa"/>
            <w:shd w:val="clear" w:color="auto" w:fill="auto"/>
            <w:tcMar>
              <w:top w:w="0" w:type="dxa"/>
              <w:left w:w="108" w:type="dxa"/>
              <w:bottom w:w="0" w:type="dxa"/>
              <w:right w:w="108" w:type="dxa"/>
            </w:tcMar>
            <w:vAlign w:val="center"/>
          </w:tcPr>
          <w:p w14:paraId="694299E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801.53</w:t>
            </w:r>
          </w:p>
        </w:tc>
        <w:tc>
          <w:tcPr>
            <w:tcW w:w="1321" w:type="dxa"/>
            <w:shd w:val="clear" w:color="auto" w:fill="auto"/>
            <w:tcMar>
              <w:top w:w="0" w:type="dxa"/>
              <w:left w:w="108" w:type="dxa"/>
              <w:bottom w:w="0" w:type="dxa"/>
              <w:right w:w="108" w:type="dxa"/>
            </w:tcMar>
            <w:vAlign w:val="center"/>
          </w:tcPr>
          <w:p w14:paraId="3B18089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1,153.08</w:t>
            </w:r>
          </w:p>
        </w:tc>
      </w:tr>
      <w:tr w:rsidR="006416B0" w:rsidRPr="00B4515A" w14:paraId="3B916205"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588B05B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686704E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电信科学技术第四研究所有限公司</w:t>
            </w:r>
          </w:p>
        </w:tc>
        <w:tc>
          <w:tcPr>
            <w:tcW w:w="1371" w:type="dxa"/>
            <w:shd w:val="clear" w:color="auto" w:fill="auto"/>
            <w:tcMar>
              <w:top w:w="0" w:type="dxa"/>
              <w:left w:w="108" w:type="dxa"/>
              <w:bottom w:w="0" w:type="dxa"/>
              <w:right w:w="108" w:type="dxa"/>
            </w:tcMar>
            <w:vAlign w:val="center"/>
          </w:tcPr>
          <w:p w14:paraId="5333564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2.59</w:t>
            </w:r>
          </w:p>
        </w:tc>
        <w:tc>
          <w:tcPr>
            <w:tcW w:w="1344" w:type="dxa"/>
            <w:shd w:val="clear" w:color="auto" w:fill="auto"/>
            <w:tcMar>
              <w:top w:w="0" w:type="dxa"/>
              <w:left w:w="108" w:type="dxa"/>
              <w:bottom w:w="0" w:type="dxa"/>
              <w:right w:w="108" w:type="dxa"/>
            </w:tcMar>
            <w:vAlign w:val="center"/>
          </w:tcPr>
          <w:p w14:paraId="7381A52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21" w:type="dxa"/>
            <w:shd w:val="clear" w:color="auto" w:fill="auto"/>
            <w:tcMar>
              <w:top w:w="0" w:type="dxa"/>
              <w:left w:w="108" w:type="dxa"/>
              <w:bottom w:w="0" w:type="dxa"/>
              <w:right w:w="108" w:type="dxa"/>
            </w:tcMar>
            <w:vAlign w:val="center"/>
          </w:tcPr>
          <w:p w14:paraId="4FA9AE5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B938A23"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536A38A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预收款项</w:t>
            </w:r>
          </w:p>
        </w:tc>
        <w:tc>
          <w:tcPr>
            <w:tcW w:w="3440" w:type="dxa"/>
            <w:shd w:val="clear" w:color="auto" w:fill="auto"/>
            <w:tcMar>
              <w:top w:w="0" w:type="dxa"/>
              <w:left w:w="108" w:type="dxa"/>
              <w:bottom w:w="0" w:type="dxa"/>
              <w:right w:w="108" w:type="dxa"/>
            </w:tcMar>
            <w:vAlign w:val="center"/>
          </w:tcPr>
          <w:p w14:paraId="2D0D1D0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西安大唐电信有限公司</w:t>
            </w:r>
          </w:p>
        </w:tc>
        <w:tc>
          <w:tcPr>
            <w:tcW w:w="1371" w:type="dxa"/>
            <w:shd w:val="clear" w:color="auto" w:fill="auto"/>
            <w:tcMar>
              <w:top w:w="0" w:type="dxa"/>
              <w:left w:w="108" w:type="dxa"/>
              <w:bottom w:w="0" w:type="dxa"/>
              <w:right w:w="108" w:type="dxa"/>
            </w:tcMar>
            <w:vAlign w:val="center"/>
          </w:tcPr>
          <w:p w14:paraId="6B1FDA7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44" w:type="dxa"/>
            <w:shd w:val="clear" w:color="auto" w:fill="auto"/>
            <w:tcMar>
              <w:top w:w="0" w:type="dxa"/>
              <w:left w:w="108" w:type="dxa"/>
              <w:bottom w:w="0" w:type="dxa"/>
              <w:right w:w="108" w:type="dxa"/>
            </w:tcMar>
            <w:vAlign w:val="center"/>
          </w:tcPr>
          <w:p w14:paraId="400C7B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13.64</w:t>
            </w:r>
          </w:p>
        </w:tc>
        <w:tc>
          <w:tcPr>
            <w:tcW w:w="1321" w:type="dxa"/>
            <w:shd w:val="clear" w:color="auto" w:fill="auto"/>
            <w:tcMar>
              <w:top w:w="0" w:type="dxa"/>
              <w:left w:w="108" w:type="dxa"/>
              <w:bottom w:w="0" w:type="dxa"/>
              <w:right w:w="108" w:type="dxa"/>
            </w:tcMar>
            <w:vAlign w:val="center"/>
          </w:tcPr>
          <w:p w14:paraId="39E970A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04BF7D0"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762747E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5BFDD43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中国信息通信科技集团有限公司</w:t>
            </w:r>
          </w:p>
        </w:tc>
        <w:tc>
          <w:tcPr>
            <w:tcW w:w="1371" w:type="dxa"/>
            <w:shd w:val="clear" w:color="auto" w:fill="auto"/>
            <w:tcMar>
              <w:top w:w="0" w:type="dxa"/>
              <w:left w:w="108" w:type="dxa"/>
              <w:bottom w:w="0" w:type="dxa"/>
              <w:right w:w="108" w:type="dxa"/>
            </w:tcMar>
            <w:vAlign w:val="center"/>
          </w:tcPr>
          <w:p w14:paraId="33C3FCE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44" w:type="dxa"/>
            <w:shd w:val="clear" w:color="auto" w:fill="auto"/>
            <w:tcMar>
              <w:top w:w="0" w:type="dxa"/>
              <w:left w:w="108" w:type="dxa"/>
              <w:bottom w:w="0" w:type="dxa"/>
              <w:right w:w="108" w:type="dxa"/>
            </w:tcMar>
            <w:vAlign w:val="center"/>
          </w:tcPr>
          <w:p w14:paraId="00CA14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21" w:type="dxa"/>
            <w:shd w:val="clear" w:color="auto" w:fill="auto"/>
            <w:tcMar>
              <w:top w:w="0" w:type="dxa"/>
              <w:left w:w="108" w:type="dxa"/>
              <w:bottom w:w="0" w:type="dxa"/>
              <w:right w:w="108" w:type="dxa"/>
            </w:tcMar>
            <w:vAlign w:val="center"/>
          </w:tcPr>
          <w:p w14:paraId="637FFE4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19.66</w:t>
            </w:r>
          </w:p>
        </w:tc>
      </w:tr>
      <w:tr w:rsidR="006416B0" w:rsidRPr="00B4515A" w14:paraId="2ABEFB09"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3D6EC71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3440" w:type="dxa"/>
            <w:shd w:val="clear" w:color="auto" w:fill="auto"/>
            <w:tcMar>
              <w:top w:w="0" w:type="dxa"/>
              <w:left w:w="108" w:type="dxa"/>
              <w:bottom w:w="0" w:type="dxa"/>
              <w:right w:w="108" w:type="dxa"/>
            </w:tcMar>
            <w:vAlign w:val="center"/>
          </w:tcPr>
          <w:p w14:paraId="5DD7D59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371" w:type="dxa"/>
            <w:shd w:val="clear" w:color="auto" w:fill="auto"/>
            <w:tcMar>
              <w:top w:w="0" w:type="dxa"/>
              <w:left w:w="108" w:type="dxa"/>
              <w:bottom w:w="0" w:type="dxa"/>
              <w:right w:w="108" w:type="dxa"/>
            </w:tcMar>
            <w:vAlign w:val="center"/>
          </w:tcPr>
          <w:p w14:paraId="3C29790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344" w:type="dxa"/>
            <w:shd w:val="clear" w:color="auto" w:fill="auto"/>
            <w:tcMar>
              <w:top w:w="0" w:type="dxa"/>
              <w:left w:w="108" w:type="dxa"/>
              <w:bottom w:w="0" w:type="dxa"/>
              <w:right w:w="108" w:type="dxa"/>
            </w:tcMar>
            <w:vAlign w:val="center"/>
          </w:tcPr>
          <w:p w14:paraId="1E1457A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321" w:type="dxa"/>
            <w:shd w:val="clear" w:color="auto" w:fill="auto"/>
            <w:tcMar>
              <w:top w:w="0" w:type="dxa"/>
              <w:left w:w="108" w:type="dxa"/>
              <w:bottom w:w="0" w:type="dxa"/>
              <w:right w:w="108" w:type="dxa"/>
            </w:tcMar>
            <w:vAlign w:val="center"/>
          </w:tcPr>
          <w:p w14:paraId="0D73B3A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r>
      <w:tr w:rsidR="006416B0" w:rsidRPr="00B4515A" w14:paraId="4AAFACAD"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7BB1500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其他应付</w:t>
            </w:r>
            <w:r w:rsidRPr="00B4515A">
              <w:rPr>
                <w:rFonts w:ascii="Times New Roman" w:hAnsi="Times New Roman" w:cs="Times New Roman" w:hint="eastAsia"/>
                <w:color w:val="000000"/>
                <w:sz w:val="21"/>
                <w:szCs w:val="21"/>
              </w:rPr>
              <w:lastRenderedPageBreak/>
              <w:t>款</w:t>
            </w:r>
          </w:p>
        </w:tc>
        <w:tc>
          <w:tcPr>
            <w:tcW w:w="3440" w:type="dxa"/>
            <w:shd w:val="clear" w:color="auto" w:fill="auto"/>
            <w:tcMar>
              <w:top w:w="0" w:type="dxa"/>
              <w:left w:w="108" w:type="dxa"/>
              <w:bottom w:w="0" w:type="dxa"/>
              <w:right w:w="108" w:type="dxa"/>
            </w:tcMar>
            <w:vAlign w:val="center"/>
          </w:tcPr>
          <w:p w14:paraId="5C58DD0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lastRenderedPageBreak/>
              <w:t xml:space="preserve">　</w:t>
            </w:r>
          </w:p>
        </w:tc>
        <w:tc>
          <w:tcPr>
            <w:tcW w:w="1371" w:type="dxa"/>
            <w:shd w:val="clear" w:color="auto" w:fill="auto"/>
            <w:tcMar>
              <w:top w:w="0" w:type="dxa"/>
              <w:left w:w="108" w:type="dxa"/>
              <w:bottom w:w="0" w:type="dxa"/>
              <w:right w:w="108" w:type="dxa"/>
            </w:tcMar>
            <w:vAlign w:val="center"/>
          </w:tcPr>
          <w:p w14:paraId="5823914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44" w:type="dxa"/>
            <w:shd w:val="clear" w:color="auto" w:fill="auto"/>
            <w:tcMar>
              <w:top w:w="0" w:type="dxa"/>
              <w:left w:w="108" w:type="dxa"/>
              <w:bottom w:w="0" w:type="dxa"/>
              <w:right w:w="108" w:type="dxa"/>
            </w:tcMar>
            <w:vAlign w:val="center"/>
          </w:tcPr>
          <w:p w14:paraId="6789652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321" w:type="dxa"/>
            <w:shd w:val="clear" w:color="auto" w:fill="auto"/>
            <w:tcMar>
              <w:top w:w="0" w:type="dxa"/>
              <w:left w:w="108" w:type="dxa"/>
              <w:bottom w:w="0" w:type="dxa"/>
              <w:right w:w="108" w:type="dxa"/>
            </w:tcMar>
            <w:vAlign w:val="center"/>
          </w:tcPr>
          <w:p w14:paraId="1CFA558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0B08143B" w14:textId="77777777" w:rsidTr="00031627">
        <w:trPr>
          <w:trHeight w:val="340"/>
          <w:jc w:val="center"/>
        </w:trPr>
        <w:tc>
          <w:tcPr>
            <w:tcW w:w="1100" w:type="dxa"/>
            <w:shd w:val="clear" w:color="auto" w:fill="auto"/>
            <w:tcMar>
              <w:top w:w="0" w:type="dxa"/>
              <w:left w:w="108" w:type="dxa"/>
              <w:bottom w:w="0" w:type="dxa"/>
              <w:right w:w="108" w:type="dxa"/>
            </w:tcMar>
            <w:vAlign w:val="center"/>
          </w:tcPr>
          <w:p w14:paraId="50804F2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lastRenderedPageBreak/>
              <w:t xml:space="preserve">　</w:t>
            </w:r>
          </w:p>
        </w:tc>
        <w:tc>
          <w:tcPr>
            <w:tcW w:w="3440" w:type="dxa"/>
            <w:shd w:val="clear" w:color="auto" w:fill="auto"/>
            <w:tcMar>
              <w:top w:w="0" w:type="dxa"/>
              <w:left w:w="108" w:type="dxa"/>
              <w:bottom w:w="0" w:type="dxa"/>
              <w:right w:w="108" w:type="dxa"/>
            </w:tcMar>
            <w:vAlign w:val="center"/>
          </w:tcPr>
          <w:p w14:paraId="6568562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SA100841</w:t>
            </w:r>
          </w:p>
        </w:tc>
        <w:tc>
          <w:tcPr>
            <w:tcW w:w="1371" w:type="dxa"/>
            <w:shd w:val="clear" w:color="auto" w:fill="auto"/>
            <w:tcMar>
              <w:top w:w="0" w:type="dxa"/>
              <w:left w:w="108" w:type="dxa"/>
              <w:bottom w:w="0" w:type="dxa"/>
              <w:right w:w="108" w:type="dxa"/>
            </w:tcMar>
            <w:vAlign w:val="center"/>
          </w:tcPr>
          <w:p w14:paraId="6EBD82E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3.82</w:t>
            </w:r>
          </w:p>
        </w:tc>
        <w:tc>
          <w:tcPr>
            <w:tcW w:w="1344" w:type="dxa"/>
            <w:shd w:val="clear" w:color="auto" w:fill="auto"/>
            <w:tcMar>
              <w:top w:w="0" w:type="dxa"/>
              <w:left w:w="108" w:type="dxa"/>
              <w:bottom w:w="0" w:type="dxa"/>
              <w:right w:w="108" w:type="dxa"/>
            </w:tcMar>
            <w:vAlign w:val="center"/>
          </w:tcPr>
          <w:p w14:paraId="77540AB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3.35</w:t>
            </w:r>
          </w:p>
        </w:tc>
        <w:tc>
          <w:tcPr>
            <w:tcW w:w="1321" w:type="dxa"/>
            <w:shd w:val="clear" w:color="auto" w:fill="auto"/>
            <w:tcMar>
              <w:top w:w="0" w:type="dxa"/>
              <w:left w:w="108" w:type="dxa"/>
              <w:bottom w:w="0" w:type="dxa"/>
              <w:right w:w="108" w:type="dxa"/>
            </w:tcMar>
            <w:vAlign w:val="center"/>
          </w:tcPr>
          <w:p w14:paraId="6E2B37C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bl>
    <w:p w14:paraId="3216013F" w14:textId="77777777" w:rsidR="006416B0" w:rsidRPr="00B4515A" w:rsidRDefault="005E58C1" w:rsidP="006100BC">
      <w:pPr>
        <w:pStyle w:val="002"/>
        <w:spacing w:before="120" w:after="120"/>
        <w:ind w:firstLine="562"/>
      </w:pPr>
      <w:bookmarkStart w:id="339" w:name="_Toc65677833"/>
      <w:bookmarkStart w:id="340" w:name="_Toc80960582"/>
      <w:bookmarkStart w:id="341" w:name="_Hlk79189193"/>
      <w:r w:rsidRPr="00B4515A">
        <w:rPr>
          <w:rFonts w:hint="eastAsia"/>
        </w:rPr>
        <w:t>三、本次交易对关联交易的影响</w:t>
      </w:r>
      <w:bookmarkEnd w:id="339"/>
      <w:bookmarkEnd w:id="340"/>
    </w:p>
    <w:bookmarkEnd w:id="341"/>
    <w:p w14:paraId="113AA063" w14:textId="0352DA7A" w:rsidR="006416B0" w:rsidRPr="00B4515A" w:rsidRDefault="005E58C1" w:rsidP="006100BC">
      <w:pPr>
        <w:pStyle w:val="003"/>
        <w:spacing w:before="120"/>
        <w:ind w:firstLine="482"/>
      </w:pPr>
      <w:r w:rsidRPr="00B4515A">
        <w:t>（一）本次交易构成关联交易</w:t>
      </w:r>
    </w:p>
    <w:p w14:paraId="1127A8EB" w14:textId="7E0C417E" w:rsidR="006416B0" w:rsidRPr="00B4515A" w:rsidRDefault="005E58C1" w:rsidP="006100BC">
      <w:pPr>
        <w:pStyle w:val="005"/>
        <w:spacing w:before="120" w:after="120"/>
        <w:ind w:firstLine="480"/>
      </w:pPr>
      <w:r w:rsidRPr="00B4515A">
        <w:rPr>
          <w:rFonts w:hint="eastAsia"/>
        </w:rPr>
        <w:t>本次发行股份购买资产的交易对方电信科研院是上市公司控股股东，大唐控股为电信科研院全资子公司且持有上市公司</w:t>
      </w:r>
      <w:r w:rsidRPr="00B4515A">
        <w:rPr>
          <w:rFonts w:hint="eastAsia"/>
        </w:rPr>
        <w:t>16.79%</w:t>
      </w:r>
      <w:r w:rsidRPr="00B4515A">
        <w:rPr>
          <w:rFonts w:hint="eastAsia"/>
        </w:rPr>
        <w:t>股份，</w:t>
      </w:r>
      <w:r w:rsidR="00252376" w:rsidRPr="00B4515A">
        <w:rPr>
          <w:rFonts w:hint="eastAsia"/>
        </w:rPr>
        <w:t>长江移动基金</w:t>
      </w:r>
      <w:r w:rsidRPr="00B4515A">
        <w:rPr>
          <w:rFonts w:hint="eastAsia"/>
        </w:rPr>
        <w:t>为中国信科集团施加重大影响的企业；本次募集配套资金的发行对象为中国信科集团，持有上市公司控股股东电信科研院</w:t>
      </w:r>
      <w:r w:rsidRPr="00B4515A">
        <w:rPr>
          <w:rFonts w:hint="eastAsia"/>
        </w:rPr>
        <w:t>100%</w:t>
      </w:r>
      <w:r w:rsidRPr="00B4515A">
        <w:rPr>
          <w:rFonts w:hint="eastAsia"/>
        </w:rPr>
        <w:t>股权。根据《股票上市规则》等法律、法规及规范性文件的规定，电信科研院、大唐控股、</w:t>
      </w:r>
      <w:r w:rsidR="00252376" w:rsidRPr="00B4515A">
        <w:rPr>
          <w:rFonts w:hint="eastAsia"/>
        </w:rPr>
        <w:t>长江移动基金</w:t>
      </w:r>
      <w:r w:rsidRPr="00B4515A">
        <w:rPr>
          <w:rFonts w:hint="eastAsia"/>
        </w:rPr>
        <w:t>、中国信科集团均为公司的关联方。因此本次交易构成关联交易。</w:t>
      </w:r>
    </w:p>
    <w:p w14:paraId="398806A1" w14:textId="77777777" w:rsidR="006416B0" w:rsidRPr="00B4515A" w:rsidRDefault="005E58C1" w:rsidP="006100BC">
      <w:pPr>
        <w:pStyle w:val="005"/>
        <w:spacing w:before="120" w:after="120"/>
        <w:ind w:firstLine="480"/>
        <w:rPr>
          <w:rFonts w:eastAsiaTheme="majorEastAsia"/>
          <w:b/>
        </w:rPr>
      </w:pPr>
      <w:r w:rsidRPr="00B4515A">
        <w:rPr>
          <w:rFonts w:hint="eastAsia"/>
        </w:rPr>
        <w:t>董事会在审议本次交易事项时，关联董事均就相关议案的表决进行了回避，独立董事就该项关联交易发表了事前认可及独立意见，认为本次交易所涉及的资产定价公允，不存在损害大唐电信及其股东合法权益的情形。董事会召集召开及审议表决程序符合有关法律、法规和公司章程的规定。</w:t>
      </w:r>
    </w:p>
    <w:p w14:paraId="32731E5D" w14:textId="77777777" w:rsidR="006416B0" w:rsidRPr="00B4515A" w:rsidRDefault="005E58C1" w:rsidP="006100BC">
      <w:pPr>
        <w:pStyle w:val="003"/>
        <w:spacing w:before="120"/>
        <w:ind w:firstLine="482"/>
      </w:pPr>
      <w:r w:rsidRPr="00B4515A">
        <w:t>（二）本次交易</w:t>
      </w:r>
      <w:r w:rsidRPr="00B4515A">
        <w:rPr>
          <w:rFonts w:hint="eastAsia"/>
        </w:rPr>
        <w:t>完成</w:t>
      </w:r>
      <w:r w:rsidRPr="00B4515A">
        <w:t>后上市公司的关联交易情况</w:t>
      </w:r>
    </w:p>
    <w:p w14:paraId="0560A164" w14:textId="7F7FD62E" w:rsidR="006416B0" w:rsidRPr="00B4515A" w:rsidRDefault="008C1C67" w:rsidP="006100BC">
      <w:pPr>
        <w:pStyle w:val="004"/>
        <w:spacing w:before="120" w:after="120"/>
        <w:ind w:firstLine="482"/>
      </w:pPr>
      <w:bookmarkStart w:id="342" w:name="_Toc75169328"/>
      <w:r w:rsidRPr="00B4515A">
        <w:t>1</w:t>
      </w:r>
      <w:r w:rsidRPr="00B4515A">
        <w:t>、</w:t>
      </w:r>
      <w:r w:rsidR="005E58C1" w:rsidRPr="00B4515A">
        <w:rPr>
          <w:rFonts w:hint="eastAsia"/>
        </w:rPr>
        <w:t>本次交易完成后新增关联方情况</w:t>
      </w:r>
      <w:bookmarkEnd w:id="342"/>
    </w:p>
    <w:p w14:paraId="671C375E" w14:textId="37397BFB" w:rsidR="006416B0" w:rsidRPr="00B4515A" w:rsidRDefault="005E58C1" w:rsidP="006100BC">
      <w:pPr>
        <w:pStyle w:val="005"/>
        <w:spacing w:before="120" w:after="120"/>
        <w:ind w:firstLine="480"/>
      </w:pPr>
      <w:r w:rsidRPr="00B4515A">
        <w:rPr>
          <w:rFonts w:hint="eastAsia"/>
        </w:rPr>
        <w:t>本次交易中，本次发行股份购买资产的发行对象为电信科研院、大唐控股、</w:t>
      </w:r>
      <w:r w:rsidR="00252376" w:rsidRPr="00B4515A">
        <w:rPr>
          <w:rFonts w:hint="eastAsia"/>
        </w:rPr>
        <w:t>长江移动基金</w:t>
      </w:r>
      <w:r w:rsidRPr="00B4515A">
        <w:rPr>
          <w:rFonts w:hint="eastAsia"/>
        </w:rPr>
        <w:t>、结构调整基金、金融街资本。本次交易完成后，除电信科研院、大唐控股在</w:t>
      </w:r>
      <w:r w:rsidRPr="00B4515A">
        <w:rPr>
          <w:rStyle w:val="005Char"/>
          <w:rFonts w:hint="eastAsia"/>
        </w:rPr>
        <w:t>本</w:t>
      </w:r>
      <w:r w:rsidRPr="00B4515A">
        <w:rPr>
          <w:rFonts w:hint="eastAsia"/>
        </w:rPr>
        <w:t>次交易前即为上市公司股东外，前述其余发行对象将成为上市公司新增股东。</w:t>
      </w:r>
    </w:p>
    <w:p w14:paraId="4084FA46" w14:textId="0B0DE6A6" w:rsidR="006416B0" w:rsidRPr="00B4515A" w:rsidRDefault="008C1C67" w:rsidP="006100BC">
      <w:pPr>
        <w:pStyle w:val="004"/>
        <w:spacing w:before="120" w:after="120"/>
        <w:ind w:firstLine="482"/>
      </w:pPr>
      <w:bookmarkStart w:id="343" w:name="_Toc75169329"/>
      <w:bookmarkStart w:id="344" w:name="_Hlk79189212"/>
      <w:r w:rsidRPr="00B4515A">
        <w:t>2</w:t>
      </w:r>
      <w:r w:rsidRPr="00B4515A">
        <w:t>、</w:t>
      </w:r>
      <w:r w:rsidR="005E58C1" w:rsidRPr="00B4515A">
        <w:rPr>
          <w:rFonts w:hint="eastAsia"/>
        </w:rPr>
        <w:t>本次交易完成后</w:t>
      </w:r>
      <w:r w:rsidR="005E58C1" w:rsidRPr="00B4515A">
        <w:t>关联交易情况</w:t>
      </w:r>
      <w:bookmarkEnd w:id="343"/>
    </w:p>
    <w:bookmarkEnd w:id="344"/>
    <w:p w14:paraId="48822333" w14:textId="1EC6383F" w:rsidR="006416B0" w:rsidRPr="00B4515A" w:rsidRDefault="005E58C1" w:rsidP="006100BC">
      <w:pPr>
        <w:pStyle w:val="005"/>
        <w:spacing w:before="120" w:after="120"/>
        <w:ind w:firstLine="480"/>
      </w:pPr>
      <w:r w:rsidRPr="00B4515A">
        <w:t>本次重组完成后，标的公司纳入大唐电信合并范围内，大唐电信及其子公司与标的公司的关联交易金额将在合并报表层面抵消，</w:t>
      </w:r>
      <w:r w:rsidRPr="00B4515A">
        <w:rPr>
          <w:rFonts w:hint="eastAsia"/>
        </w:rPr>
        <w:t>本次交易</w:t>
      </w:r>
      <w:r w:rsidR="004C1392" w:rsidRPr="00B4515A">
        <w:rPr>
          <w:rFonts w:hint="eastAsia"/>
        </w:rPr>
        <w:t>有利于减少上市公司关联交易</w:t>
      </w:r>
      <w:r w:rsidRPr="00B4515A">
        <w:rPr>
          <w:rFonts w:hint="eastAsia"/>
        </w:rPr>
        <w:t>。</w:t>
      </w:r>
    </w:p>
    <w:p w14:paraId="2515526C" w14:textId="1F0A7DF1" w:rsidR="00F974FA" w:rsidRPr="00B4515A" w:rsidRDefault="00F974FA" w:rsidP="006100BC">
      <w:pPr>
        <w:pStyle w:val="005"/>
        <w:spacing w:before="120" w:after="120"/>
        <w:ind w:firstLine="480"/>
      </w:pPr>
      <w:r w:rsidRPr="00B4515A">
        <w:rPr>
          <w:rFonts w:hint="eastAsia"/>
        </w:rPr>
        <w:t>根据立信会计事务所（特殊普通合伙）出具的《大唐电信科技股份有限公司</w:t>
      </w:r>
      <w:r w:rsidRPr="00B4515A">
        <w:t>2020</w:t>
      </w:r>
      <w:r w:rsidRPr="00B4515A">
        <w:rPr>
          <w:rFonts w:hint="eastAsia"/>
        </w:rPr>
        <w:t>审计报告》（信会师报字</w:t>
      </w:r>
      <w:r w:rsidRPr="00B4515A">
        <w:t>[2021]</w:t>
      </w:r>
      <w:r w:rsidRPr="00B4515A">
        <w:rPr>
          <w:rFonts w:hint="eastAsia"/>
        </w:rPr>
        <w:t>第</w:t>
      </w:r>
      <w:r w:rsidRPr="00B4515A">
        <w:t>ZG11031</w:t>
      </w:r>
      <w:r w:rsidRPr="00B4515A">
        <w:rPr>
          <w:rFonts w:hint="eastAsia"/>
        </w:rPr>
        <w:t>号）及按本次交易完成后架构编制的《大唐电信科技股份有限公司备考合并财务报表审阅报告》（信会师报字</w:t>
      </w:r>
      <w:r w:rsidRPr="00B4515A">
        <w:lastRenderedPageBreak/>
        <w:t>[2021]</w:t>
      </w:r>
      <w:r w:rsidRPr="00B4515A">
        <w:rPr>
          <w:rFonts w:hint="eastAsia"/>
        </w:rPr>
        <w:t>第</w:t>
      </w:r>
      <w:r w:rsidRPr="00B4515A">
        <w:t>ZG11653</w:t>
      </w:r>
      <w:r w:rsidRPr="00B4515A">
        <w:rPr>
          <w:rFonts w:hint="eastAsia"/>
        </w:rPr>
        <w:t>号），</w:t>
      </w:r>
      <w:bookmarkStart w:id="345" w:name="_Hlk80973164"/>
      <w:r w:rsidRPr="00B4515A">
        <w:rPr>
          <w:rFonts w:hint="eastAsia"/>
        </w:rPr>
        <w:t>本次交易前后，上市公司关联交易的变化情况如下：</w:t>
      </w:r>
    </w:p>
    <w:p w14:paraId="07E8A01D" w14:textId="771CFE67" w:rsidR="00F974FA" w:rsidRPr="00B4515A" w:rsidRDefault="00D44516"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635"/>
        <w:gridCol w:w="2836"/>
        <w:gridCol w:w="2057"/>
      </w:tblGrid>
      <w:tr w:rsidR="00F974FA" w:rsidRPr="00B4515A" w14:paraId="310BE10F" w14:textId="77777777" w:rsidTr="00C721A8">
        <w:trPr>
          <w:trHeight w:val="340"/>
          <w:tblHeader/>
          <w:jc w:val="center"/>
        </w:trPr>
        <w:tc>
          <w:tcPr>
            <w:tcW w:w="2131" w:type="pct"/>
            <w:vMerge w:val="restart"/>
            <w:shd w:val="clear" w:color="auto" w:fill="auto"/>
            <w:tcMar>
              <w:top w:w="0" w:type="dxa"/>
              <w:left w:w="108" w:type="dxa"/>
              <w:bottom w:w="0" w:type="dxa"/>
              <w:right w:w="108" w:type="dxa"/>
            </w:tcMar>
            <w:vAlign w:val="center"/>
          </w:tcPr>
          <w:p w14:paraId="048A0943" w14:textId="178ADF92" w:rsidR="00F974FA" w:rsidRPr="00B4515A" w:rsidRDefault="00F974FA" w:rsidP="005860B4">
            <w:pPr>
              <w:adjustRightInd w:val="0"/>
              <w:snapToGrid w:val="0"/>
              <w:jc w:val="center"/>
              <w:rPr>
                <w:b/>
                <w:color w:val="000000"/>
                <w:sz w:val="21"/>
                <w:szCs w:val="21"/>
              </w:rPr>
            </w:pPr>
            <w:bookmarkStart w:id="346" w:name="_Hlk80973330"/>
            <w:r w:rsidRPr="00B4515A">
              <w:rPr>
                <w:rFonts w:hint="eastAsia"/>
                <w:b/>
                <w:color w:val="000000"/>
                <w:sz w:val="21"/>
                <w:szCs w:val="21"/>
              </w:rPr>
              <w:t>项目</w:t>
            </w:r>
          </w:p>
        </w:tc>
        <w:tc>
          <w:tcPr>
            <w:tcW w:w="2869" w:type="pct"/>
            <w:gridSpan w:val="2"/>
            <w:shd w:val="clear" w:color="auto" w:fill="auto"/>
            <w:tcMar>
              <w:top w:w="0" w:type="dxa"/>
              <w:left w:w="108" w:type="dxa"/>
              <w:bottom w:w="0" w:type="dxa"/>
              <w:right w:w="108" w:type="dxa"/>
            </w:tcMar>
            <w:vAlign w:val="center"/>
          </w:tcPr>
          <w:p w14:paraId="01972835" w14:textId="140F704F" w:rsidR="00F974FA" w:rsidRPr="00B4515A" w:rsidRDefault="00F974FA" w:rsidP="005860B4">
            <w:pPr>
              <w:adjustRightInd w:val="0"/>
              <w:snapToGrid w:val="0"/>
              <w:jc w:val="center"/>
              <w:rPr>
                <w:b/>
                <w:color w:val="000000"/>
                <w:sz w:val="21"/>
                <w:szCs w:val="21"/>
              </w:rPr>
            </w:pPr>
            <w:r w:rsidRPr="00B4515A">
              <w:rPr>
                <w:rFonts w:ascii="Times New Roman" w:hAnsi="Times New Roman" w:cs="Times New Roman"/>
                <w:b/>
                <w:color w:val="000000"/>
                <w:sz w:val="21"/>
                <w:szCs w:val="21"/>
              </w:rPr>
              <w:t>2020</w:t>
            </w:r>
            <w:r w:rsidRPr="00B4515A">
              <w:rPr>
                <w:rFonts w:hint="eastAsia"/>
                <w:b/>
                <w:color w:val="000000"/>
                <w:sz w:val="21"/>
                <w:szCs w:val="21"/>
              </w:rPr>
              <w:t>年度</w:t>
            </w:r>
          </w:p>
        </w:tc>
      </w:tr>
      <w:tr w:rsidR="00F974FA" w:rsidRPr="00B4515A" w14:paraId="6F98D984" w14:textId="77777777" w:rsidTr="00C721A8">
        <w:trPr>
          <w:trHeight w:val="340"/>
          <w:tblHeader/>
          <w:jc w:val="center"/>
        </w:trPr>
        <w:tc>
          <w:tcPr>
            <w:tcW w:w="2131" w:type="pct"/>
            <w:vMerge/>
            <w:shd w:val="clear" w:color="auto" w:fill="auto"/>
            <w:tcMar>
              <w:top w:w="0" w:type="dxa"/>
              <w:left w:w="108" w:type="dxa"/>
              <w:bottom w:w="0" w:type="dxa"/>
              <w:right w:w="108" w:type="dxa"/>
            </w:tcMar>
            <w:vAlign w:val="center"/>
          </w:tcPr>
          <w:p w14:paraId="2FC5C192" w14:textId="79A67572" w:rsidR="00F974FA" w:rsidRPr="00B4515A" w:rsidRDefault="00F974FA" w:rsidP="005860B4">
            <w:pPr>
              <w:adjustRightInd w:val="0"/>
              <w:snapToGrid w:val="0"/>
              <w:jc w:val="both"/>
              <w:rPr>
                <w:b/>
                <w:color w:val="000000"/>
                <w:sz w:val="21"/>
                <w:szCs w:val="21"/>
              </w:rPr>
            </w:pPr>
          </w:p>
        </w:tc>
        <w:tc>
          <w:tcPr>
            <w:tcW w:w="1663" w:type="pct"/>
            <w:shd w:val="clear" w:color="auto" w:fill="auto"/>
            <w:tcMar>
              <w:top w:w="0" w:type="dxa"/>
              <w:left w:w="108" w:type="dxa"/>
              <w:bottom w:w="0" w:type="dxa"/>
              <w:right w:w="108" w:type="dxa"/>
            </w:tcMar>
            <w:vAlign w:val="center"/>
          </w:tcPr>
          <w:p w14:paraId="509FDA50" w14:textId="0B886C93" w:rsidR="00F974FA" w:rsidRPr="00B4515A" w:rsidRDefault="00F974FA" w:rsidP="005860B4">
            <w:pPr>
              <w:adjustRightInd w:val="0"/>
              <w:snapToGrid w:val="0"/>
              <w:jc w:val="center"/>
              <w:rPr>
                <w:b/>
                <w:color w:val="000000"/>
                <w:sz w:val="21"/>
                <w:szCs w:val="21"/>
              </w:rPr>
            </w:pPr>
            <w:r w:rsidRPr="00B4515A">
              <w:rPr>
                <w:rFonts w:hint="eastAsia"/>
                <w:b/>
                <w:color w:val="000000"/>
                <w:sz w:val="21"/>
                <w:szCs w:val="21"/>
              </w:rPr>
              <w:t>交易前</w:t>
            </w:r>
          </w:p>
        </w:tc>
        <w:tc>
          <w:tcPr>
            <w:tcW w:w="1206" w:type="pct"/>
            <w:shd w:val="clear" w:color="auto" w:fill="auto"/>
            <w:tcMar>
              <w:top w:w="0" w:type="dxa"/>
              <w:left w:w="108" w:type="dxa"/>
              <w:bottom w:w="0" w:type="dxa"/>
              <w:right w:w="108" w:type="dxa"/>
            </w:tcMar>
            <w:vAlign w:val="center"/>
          </w:tcPr>
          <w:p w14:paraId="1F871036" w14:textId="0BBA03B2" w:rsidR="00F974FA" w:rsidRPr="00B4515A" w:rsidRDefault="00F974FA" w:rsidP="00EE238F">
            <w:pPr>
              <w:adjustRightInd w:val="0"/>
              <w:snapToGrid w:val="0"/>
              <w:jc w:val="center"/>
              <w:rPr>
                <w:b/>
                <w:color w:val="000000"/>
                <w:sz w:val="21"/>
                <w:szCs w:val="21"/>
              </w:rPr>
            </w:pPr>
            <w:r w:rsidRPr="00B4515A">
              <w:rPr>
                <w:rFonts w:hint="eastAsia"/>
                <w:b/>
                <w:color w:val="000000"/>
                <w:sz w:val="21"/>
                <w:szCs w:val="21"/>
              </w:rPr>
              <w:t>交易后</w:t>
            </w:r>
          </w:p>
        </w:tc>
      </w:tr>
      <w:tr w:rsidR="00F974FA" w:rsidRPr="00B4515A" w14:paraId="2245ED70" w14:textId="77777777" w:rsidTr="00031627">
        <w:trPr>
          <w:trHeight w:val="340"/>
          <w:jc w:val="center"/>
        </w:trPr>
        <w:tc>
          <w:tcPr>
            <w:tcW w:w="2131" w:type="pct"/>
            <w:shd w:val="clear" w:color="auto" w:fill="auto"/>
            <w:tcMar>
              <w:top w:w="0" w:type="dxa"/>
              <w:left w:w="108" w:type="dxa"/>
              <w:bottom w:w="0" w:type="dxa"/>
              <w:right w:w="108" w:type="dxa"/>
            </w:tcMar>
            <w:vAlign w:val="center"/>
          </w:tcPr>
          <w:p w14:paraId="55DDA0D3" w14:textId="7B19FCE9" w:rsidR="00F974FA" w:rsidRPr="00B4515A" w:rsidRDefault="00F974FA" w:rsidP="005860B4">
            <w:pPr>
              <w:adjustRightInd w:val="0"/>
              <w:snapToGrid w:val="0"/>
              <w:jc w:val="center"/>
              <w:rPr>
                <w:color w:val="000000"/>
                <w:sz w:val="21"/>
                <w:szCs w:val="21"/>
              </w:rPr>
            </w:pPr>
            <w:r w:rsidRPr="00B4515A">
              <w:rPr>
                <w:rFonts w:hint="eastAsia"/>
                <w:color w:val="000000"/>
                <w:sz w:val="21"/>
                <w:szCs w:val="21"/>
              </w:rPr>
              <w:t>销售商品、提供劳务</w:t>
            </w:r>
          </w:p>
        </w:tc>
        <w:tc>
          <w:tcPr>
            <w:tcW w:w="1663" w:type="pct"/>
            <w:shd w:val="clear" w:color="auto" w:fill="auto"/>
            <w:tcMar>
              <w:top w:w="0" w:type="dxa"/>
              <w:left w:w="108" w:type="dxa"/>
              <w:bottom w:w="0" w:type="dxa"/>
              <w:right w:w="108" w:type="dxa"/>
            </w:tcMar>
            <w:vAlign w:val="center"/>
          </w:tcPr>
          <w:p w14:paraId="326FB2DE" w14:textId="192F26BE" w:rsidR="00F974FA" w:rsidRPr="00B4515A" w:rsidRDefault="00F974FA" w:rsidP="006100BC">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22,310.33</w:t>
            </w:r>
          </w:p>
        </w:tc>
        <w:tc>
          <w:tcPr>
            <w:tcW w:w="1206" w:type="pct"/>
            <w:shd w:val="clear" w:color="auto" w:fill="auto"/>
            <w:tcMar>
              <w:top w:w="0" w:type="dxa"/>
              <w:left w:w="108" w:type="dxa"/>
              <w:bottom w:w="0" w:type="dxa"/>
              <w:right w:w="108" w:type="dxa"/>
            </w:tcMar>
            <w:vAlign w:val="center"/>
          </w:tcPr>
          <w:p w14:paraId="022DBDED" w14:textId="0437179C" w:rsidR="00F974FA" w:rsidRPr="00B4515A" w:rsidRDefault="00F974FA" w:rsidP="006100BC">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14,472.72</w:t>
            </w:r>
          </w:p>
        </w:tc>
      </w:tr>
      <w:tr w:rsidR="00F974FA" w:rsidRPr="00B4515A" w14:paraId="7596A4AC" w14:textId="77777777" w:rsidTr="00031627">
        <w:trPr>
          <w:trHeight w:val="340"/>
          <w:jc w:val="center"/>
        </w:trPr>
        <w:tc>
          <w:tcPr>
            <w:tcW w:w="2131" w:type="pct"/>
            <w:shd w:val="clear" w:color="auto" w:fill="auto"/>
            <w:tcMar>
              <w:top w:w="0" w:type="dxa"/>
              <w:left w:w="108" w:type="dxa"/>
              <w:bottom w:w="0" w:type="dxa"/>
              <w:right w:w="108" w:type="dxa"/>
            </w:tcMar>
            <w:vAlign w:val="center"/>
          </w:tcPr>
          <w:p w14:paraId="6FB2B874" w14:textId="176EE8D0" w:rsidR="00F974FA" w:rsidRPr="00B4515A" w:rsidRDefault="00F974FA" w:rsidP="005860B4">
            <w:pPr>
              <w:adjustRightInd w:val="0"/>
              <w:snapToGrid w:val="0"/>
              <w:jc w:val="center"/>
              <w:rPr>
                <w:color w:val="000000"/>
                <w:sz w:val="21"/>
                <w:szCs w:val="21"/>
              </w:rPr>
            </w:pPr>
            <w:r w:rsidRPr="00B4515A">
              <w:rPr>
                <w:rFonts w:hint="eastAsia"/>
                <w:color w:val="000000"/>
                <w:sz w:val="21"/>
                <w:szCs w:val="21"/>
              </w:rPr>
              <w:t>占营业收入比例</w:t>
            </w:r>
          </w:p>
        </w:tc>
        <w:tc>
          <w:tcPr>
            <w:tcW w:w="1663" w:type="pct"/>
            <w:shd w:val="clear" w:color="auto" w:fill="auto"/>
            <w:tcMar>
              <w:top w:w="0" w:type="dxa"/>
              <w:left w:w="108" w:type="dxa"/>
              <w:bottom w:w="0" w:type="dxa"/>
              <w:right w:w="108" w:type="dxa"/>
            </w:tcMar>
            <w:vAlign w:val="center"/>
          </w:tcPr>
          <w:p w14:paraId="365B2105" w14:textId="14E64251" w:rsidR="00F974FA" w:rsidRPr="00B4515A" w:rsidRDefault="00F974FA" w:rsidP="006100BC">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18.48%</w:t>
            </w:r>
          </w:p>
        </w:tc>
        <w:tc>
          <w:tcPr>
            <w:tcW w:w="1206" w:type="pct"/>
            <w:shd w:val="clear" w:color="auto" w:fill="auto"/>
            <w:tcMar>
              <w:top w:w="0" w:type="dxa"/>
              <w:left w:w="108" w:type="dxa"/>
              <w:bottom w:w="0" w:type="dxa"/>
              <w:right w:w="108" w:type="dxa"/>
            </w:tcMar>
            <w:vAlign w:val="center"/>
          </w:tcPr>
          <w:p w14:paraId="610E7F6D" w14:textId="608ACD3A" w:rsidR="00F974FA" w:rsidRPr="00B4515A" w:rsidRDefault="00F974FA" w:rsidP="006100BC">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8.90%</w:t>
            </w:r>
          </w:p>
        </w:tc>
      </w:tr>
      <w:tr w:rsidR="00F974FA" w:rsidRPr="00B4515A" w14:paraId="2E3D9B6F" w14:textId="77777777" w:rsidTr="00031627">
        <w:trPr>
          <w:trHeight w:val="340"/>
          <w:jc w:val="center"/>
        </w:trPr>
        <w:tc>
          <w:tcPr>
            <w:tcW w:w="2131" w:type="pct"/>
            <w:shd w:val="clear" w:color="auto" w:fill="auto"/>
            <w:tcMar>
              <w:top w:w="0" w:type="dxa"/>
              <w:left w:w="108" w:type="dxa"/>
              <w:bottom w:w="0" w:type="dxa"/>
              <w:right w:w="108" w:type="dxa"/>
            </w:tcMar>
            <w:vAlign w:val="center"/>
          </w:tcPr>
          <w:p w14:paraId="2F384E06" w14:textId="47F025ED" w:rsidR="00F974FA" w:rsidRPr="00B4515A" w:rsidRDefault="00F974FA" w:rsidP="005860B4">
            <w:pPr>
              <w:adjustRightInd w:val="0"/>
              <w:snapToGrid w:val="0"/>
              <w:jc w:val="center"/>
              <w:rPr>
                <w:color w:val="000000"/>
                <w:sz w:val="21"/>
                <w:szCs w:val="21"/>
              </w:rPr>
            </w:pPr>
            <w:r w:rsidRPr="00B4515A">
              <w:rPr>
                <w:rFonts w:hint="eastAsia"/>
                <w:color w:val="000000"/>
                <w:sz w:val="21"/>
                <w:szCs w:val="21"/>
              </w:rPr>
              <w:t>购买商品、接受劳务</w:t>
            </w:r>
          </w:p>
        </w:tc>
        <w:tc>
          <w:tcPr>
            <w:tcW w:w="1663" w:type="pct"/>
            <w:shd w:val="clear" w:color="auto" w:fill="auto"/>
            <w:tcMar>
              <w:top w:w="0" w:type="dxa"/>
              <w:left w:w="108" w:type="dxa"/>
              <w:bottom w:w="0" w:type="dxa"/>
              <w:right w:w="108" w:type="dxa"/>
            </w:tcMar>
            <w:vAlign w:val="center"/>
          </w:tcPr>
          <w:p w14:paraId="1E16199E" w14:textId="7381F795" w:rsidR="00F974FA" w:rsidRPr="00B4515A" w:rsidRDefault="00F974FA" w:rsidP="006100BC">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10,054.55</w:t>
            </w:r>
          </w:p>
        </w:tc>
        <w:tc>
          <w:tcPr>
            <w:tcW w:w="1206" w:type="pct"/>
            <w:shd w:val="clear" w:color="auto" w:fill="auto"/>
            <w:tcMar>
              <w:top w:w="0" w:type="dxa"/>
              <w:left w:w="108" w:type="dxa"/>
              <w:bottom w:w="0" w:type="dxa"/>
              <w:right w:w="108" w:type="dxa"/>
            </w:tcMar>
            <w:vAlign w:val="center"/>
          </w:tcPr>
          <w:p w14:paraId="50E18948" w14:textId="13B9292B" w:rsidR="00F974FA" w:rsidRPr="00B4515A" w:rsidRDefault="00DF6C53" w:rsidP="006100BC">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8,967.53</w:t>
            </w:r>
          </w:p>
        </w:tc>
      </w:tr>
      <w:tr w:rsidR="00F974FA" w:rsidRPr="00B4515A" w14:paraId="50AAEBDD" w14:textId="77777777" w:rsidTr="00031627">
        <w:trPr>
          <w:trHeight w:val="340"/>
          <w:jc w:val="center"/>
        </w:trPr>
        <w:tc>
          <w:tcPr>
            <w:tcW w:w="2131" w:type="pct"/>
            <w:shd w:val="clear" w:color="auto" w:fill="auto"/>
            <w:tcMar>
              <w:top w:w="0" w:type="dxa"/>
              <w:left w:w="108" w:type="dxa"/>
              <w:bottom w:w="0" w:type="dxa"/>
              <w:right w:w="108" w:type="dxa"/>
            </w:tcMar>
            <w:vAlign w:val="center"/>
          </w:tcPr>
          <w:p w14:paraId="0C80AD7F" w14:textId="3F4C9335" w:rsidR="00F974FA" w:rsidRPr="00B4515A" w:rsidRDefault="00F974FA" w:rsidP="005860B4">
            <w:pPr>
              <w:adjustRightInd w:val="0"/>
              <w:snapToGrid w:val="0"/>
              <w:jc w:val="center"/>
              <w:rPr>
                <w:color w:val="000000"/>
                <w:sz w:val="21"/>
                <w:szCs w:val="21"/>
              </w:rPr>
            </w:pPr>
            <w:r w:rsidRPr="00B4515A">
              <w:rPr>
                <w:rFonts w:hint="eastAsia"/>
                <w:color w:val="000000"/>
                <w:sz w:val="21"/>
                <w:szCs w:val="21"/>
              </w:rPr>
              <w:t>占营业成本比例</w:t>
            </w:r>
          </w:p>
        </w:tc>
        <w:tc>
          <w:tcPr>
            <w:tcW w:w="1663" w:type="pct"/>
            <w:shd w:val="clear" w:color="auto" w:fill="auto"/>
            <w:tcMar>
              <w:top w:w="0" w:type="dxa"/>
              <w:left w:w="108" w:type="dxa"/>
              <w:bottom w:w="0" w:type="dxa"/>
              <w:right w:w="108" w:type="dxa"/>
            </w:tcMar>
            <w:vAlign w:val="center"/>
          </w:tcPr>
          <w:p w14:paraId="3F8C8F25" w14:textId="77B83071" w:rsidR="00F974FA" w:rsidRPr="00B4515A" w:rsidRDefault="00F974FA" w:rsidP="006100BC">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12.26%</w:t>
            </w:r>
          </w:p>
        </w:tc>
        <w:tc>
          <w:tcPr>
            <w:tcW w:w="1206" w:type="pct"/>
            <w:shd w:val="clear" w:color="auto" w:fill="auto"/>
            <w:tcMar>
              <w:top w:w="0" w:type="dxa"/>
              <w:left w:w="108" w:type="dxa"/>
              <w:bottom w:w="0" w:type="dxa"/>
              <w:right w:w="108" w:type="dxa"/>
            </w:tcMar>
            <w:vAlign w:val="center"/>
          </w:tcPr>
          <w:p w14:paraId="0E5C4627" w14:textId="416D2020" w:rsidR="00F974FA" w:rsidRPr="00B4515A" w:rsidRDefault="00F974FA" w:rsidP="006100BC">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w:t>
            </w:r>
            <w:r w:rsidR="00DF6C53" w:rsidRPr="00B4515A">
              <w:rPr>
                <w:rFonts w:ascii="Times New Roman" w:hAnsi="Times New Roman" w:cs="Times New Roman"/>
                <w:color w:val="000000"/>
                <w:sz w:val="21"/>
                <w:szCs w:val="21"/>
              </w:rPr>
              <w:t>26</w:t>
            </w:r>
            <w:r w:rsidRPr="00B4515A">
              <w:rPr>
                <w:rFonts w:ascii="Times New Roman" w:hAnsi="Times New Roman" w:cs="Times New Roman"/>
                <w:color w:val="000000"/>
                <w:sz w:val="21"/>
                <w:szCs w:val="21"/>
              </w:rPr>
              <w:t>%</w:t>
            </w:r>
          </w:p>
        </w:tc>
      </w:tr>
    </w:tbl>
    <w:bookmarkEnd w:id="346"/>
    <w:p w14:paraId="733A7A7B" w14:textId="26C9790A" w:rsidR="00F974FA" w:rsidRPr="00B4515A" w:rsidRDefault="00F974FA" w:rsidP="006100BC">
      <w:pPr>
        <w:pStyle w:val="005"/>
        <w:spacing w:before="120" w:after="120"/>
        <w:ind w:firstLine="480"/>
      </w:pPr>
      <w:r w:rsidRPr="00B4515A">
        <w:rPr>
          <w:rFonts w:hint="eastAsia"/>
        </w:rPr>
        <w:t>根据上表，本次交易完成后，上市公司关联交易规模及占比均有所下降，</w:t>
      </w:r>
      <w:bookmarkEnd w:id="345"/>
      <w:r w:rsidRPr="00B4515A">
        <w:rPr>
          <w:rFonts w:hint="eastAsia"/>
        </w:rPr>
        <w:t>本次交易有利于上市公司减少关联交易。</w:t>
      </w:r>
    </w:p>
    <w:p w14:paraId="1C5BA0BB" w14:textId="77777777" w:rsidR="006416B0" w:rsidRPr="00B4515A" w:rsidRDefault="005E58C1" w:rsidP="006100BC">
      <w:pPr>
        <w:pStyle w:val="005"/>
        <w:spacing w:before="120" w:after="120"/>
        <w:ind w:firstLine="480"/>
      </w:pPr>
      <w:r w:rsidRPr="00B4515A">
        <w:t>根据立信会计师事务所（特殊普通合伙）出具的信会师报字</w:t>
      </w:r>
      <w:r w:rsidRPr="00B4515A">
        <w:t>[2021]</w:t>
      </w:r>
      <w:r w:rsidRPr="00B4515A">
        <w:rPr>
          <w:rFonts w:hint="eastAsia"/>
        </w:rPr>
        <w:t>第</w:t>
      </w:r>
      <w:r w:rsidRPr="00B4515A">
        <w:t>ZG11653</w:t>
      </w:r>
      <w:r w:rsidRPr="00B4515A">
        <w:t>号《备考审</w:t>
      </w:r>
      <w:r w:rsidRPr="00B4515A">
        <w:rPr>
          <w:rFonts w:hint="eastAsia"/>
        </w:rPr>
        <w:t>阅</w:t>
      </w:r>
      <w:r w:rsidRPr="00B4515A">
        <w:t>报告》，本次交易完成后上市公司关联交易如下：</w:t>
      </w:r>
    </w:p>
    <w:p w14:paraId="0231F789" w14:textId="77777777" w:rsidR="006416B0" w:rsidRPr="00B4515A" w:rsidRDefault="005E58C1" w:rsidP="006100BC">
      <w:pPr>
        <w:pStyle w:val="005"/>
        <w:spacing w:before="120" w:after="120"/>
        <w:ind w:firstLine="480"/>
      </w:pPr>
      <w:bookmarkStart w:id="347" w:name="_Toc75169330"/>
      <w:r w:rsidRPr="00B4515A">
        <w:rPr>
          <w:rFonts w:hint="eastAsia"/>
        </w:rPr>
        <w:t>（</w:t>
      </w:r>
      <w:r w:rsidRPr="00B4515A">
        <w:rPr>
          <w:rFonts w:hint="eastAsia"/>
        </w:rPr>
        <w:t>1</w:t>
      </w:r>
      <w:r w:rsidRPr="00B4515A">
        <w:rPr>
          <w:rFonts w:hint="eastAsia"/>
        </w:rPr>
        <w:t>）</w:t>
      </w:r>
      <w:r w:rsidRPr="00B4515A">
        <w:t>采购商品</w:t>
      </w:r>
      <w:r w:rsidRPr="00B4515A">
        <w:rPr>
          <w:rFonts w:hint="eastAsia"/>
        </w:rPr>
        <w:t>及</w:t>
      </w:r>
      <w:r w:rsidRPr="00B4515A">
        <w:t>接受劳务</w:t>
      </w:r>
      <w:r w:rsidRPr="00B4515A">
        <w:rPr>
          <w:rFonts w:hint="eastAsia"/>
        </w:rPr>
        <w:t>情况</w:t>
      </w:r>
      <w:bookmarkEnd w:id="347"/>
    </w:p>
    <w:p w14:paraId="51F1EED4" w14:textId="1D111CF1" w:rsidR="006416B0" w:rsidRPr="00B4515A" w:rsidRDefault="00D44516"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731"/>
        <w:gridCol w:w="1097"/>
        <w:gridCol w:w="1928"/>
        <w:gridCol w:w="1772"/>
      </w:tblGrid>
      <w:tr w:rsidR="006416B0" w:rsidRPr="00B4515A" w14:paraId="3DFD7FD7"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49640D5D" w14:textId="77777777" w:rsidR="006416B0" w:rsidRPr="00B4515A" w:rsidRDefault="005E58C1" w:rsidP="005860B4">
            <w:pPr>
              <w:adjustRightInd w:val="0"/>
              <w:snapToGrid w:val="0"/>
              <w:jc w:val="center"/>
              <w:rPr>
                <w:b/>
                <w:color w:val="000000"/>
                <w:sz w:val="21"/>
                <w:szCs w:val="21"/>
              </w:rPr>
            </w:pPr>
            <w:r w:rsidRPr="00B4515A">
              <w:rPr>
                <w:rFonts w:hint="eastAsia"/>
                <w:b/>
                <w:color w:val="000000"/>
                <w:sz w:val="21"/>
                <w:szCs w:val="21"/>
              </w:rPr>
              <w:t>关联方</w:t>
            </w:r>
          </w:p>
        </w:tc>
        <w:tc>
          <w:tcPr>
            <w:tcW w:w="1079" w:type="dxa"/>
            <w:shd w:val="clear" w:color="auto" w:fill="auto"/>
            <w:tcMar>
              <w:top w:w="0" w:type="dxa"/>
              <w:left w:w="108" w:type="dxa"/>
              <w:bottom w:w="0" w:type="dxa"/>
              <w:right w:w="108" w:type="dxa"/>
            </w:tcMar>
            <w:vAlign w:val="center"/>
          </w:tcPr>
          <w:p w14:paraId="1E618B2B" w14:textId="77777777" w:rsidR="006416B0" w:rsidRPr="00B4515A" w:rsidRDefault="005E58C1" w:rsidP="005860B4">
            <w:pPr>
              <w:adjustRightInd w:val="0"/>
              <w:snapToGrid w:val="0"/>
              <w:jc w:val="center"/>
              <w:rPr>
                <w:b/>
                <w:color w:val="000000"/>
                <w:sz w:val="21"/>
                <w:szCs w:val="21"/>
              </w:rPr>
            </w:pPr>
            <w:r w:rsidRPr="00B4515A">
              <w:rPr>
                <w:rFonts w:hint="eastAsia"/>
                <w:b/>
                <w:color w:val="000000"/>
                <w:sz w:val="21"/>
                <w:szCs w:val="21"/>
              </w:rPr>
              <w:t>关联交易内容</w:t>
            </w:r>
          </w:p>
        </w:tc>
        <w:tc>
          <w:tcPr>
            <w:tcW w:w="1897" w:type="dxa"/>
            <w:shd w:val="clear" w:color="auto" w:fill="auto"/>
            <w:tcMar>
              <w:top w:w="0" w:type="dxa"/>
              <w:left w:w="108" w:type="dxa"/>
              <w:bottom w:w="0" w:type="dxa"/>
              <w:right w:w="108" w:type="dxa"/>
            </w:tcMar>
            <w:vAlign w:val="center"/>
          </w:tcPr>
          <w:p w14:paraId="1F24B70E"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2021</w:t>
            </w:r>
            <w:r w:rsidRPr="00B4515A">
              <w:rPr>
                <w:rFonts w:cs="Times New Roman" w:hint="eastAsia"/>
                <w:b/>
                <w:color w:val="000000"/>
                <w:sz w:val="21"/>
                <w:szCs w:val="21"/>
              </w:rPr>
              <w:t>年</w:t>
            </w:r>
            <w:r w:rsidRPr="00B4515A">
              <w:rPr>
                <w:rFonts w:ascii="Times New Roman" w:hAnsi="Times New Roman" w:cs="Times New Roman"/>
                <w:b/>
                <w:color w:val="000000"/>
                <w:sz w:val="21"/>
                <w:szCs w:val="21"/>
              </w:rPr>
              <w:t>1-4</w:t>
            </w:r>
            <w:r w:rsidRPr="00B4515A">
              <w:rPr>
                <w:rFonts w:cs="Times New Roman" w:hint="eastAsia"/>
                <w:b/>
                <w:color w:val="000000"/>
                <w:sz w:val="21"/>
                <w:szCs w:val="21"/>
              </w:rPr>
              <w:t>月</w:t>
            </w:r>
          </w:p>
        </w:tc>
        <w:tc>
          <w:tcPr>
            <w:tcW w:w="1743" w:type="dxa"/>
            <w:shd w:val="clear" w:color="auto" w:fill="auto"/>
            <w:tcMar>
              <w:top w:w="0" w:type="dxa"/>
              <w:left w:w="108" w:type="dxa"/>
              <w:bottom w:w="0" w:type="dxa"/>
              <w:right w:w="108" w:type="dxa"/>
            </w:tcMar>
            <w:vAlign w:val="center"/>
          </w:tcPr>
          <w:p w14:paraId="5E8F6408"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2020</w:t>
            </w:r>
            <w:r w:rsidRPr="00B4515A">
              <w:rPr>
                <w:rFonts w:cs="Times New Roman" w:hint="eastAsia"/>
                <w:b/>
                <w:color w:val="000000"/>
                <w:sz w:val="21"/>
                <w:szCs w:val="21"/>
              </w:rPr>
              <w:t>年度</w:t>
            </w:r>
          </w:p>
        </w:tc>
      </w:tr>
      <w:tr w:rsidR="006416B0" w:rsidRPr="00B4515A" w14:paraId="72934000"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411E3B63"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中芯国际集成电路制造有限公司</w:t>
            </w:r>
          </w:p>
        </w:tc>
        <w:tc>
          <w:tcPr>
            <w:tcW w:w="1079" w:type="dxa"/>
            <w:shd w:val="clear" w:color="auto" w:fill="auto"/>
            <w:tcMar>
              <w:top w:w="0" w:type="dxa"/>
              <w:left w:w="108" w:type="dxa"/>
              <w:bottom w:w="0" w:type="dxa"/>
              <w:right w:w="108" w:type="dxa"/>
            </w:tcMar>
            <w:vAlign w:val="center"/>
          </w:tcPr>
          <w:p w14:paraId="3FD92E77"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购买商品</w:t>
            </w:r>
          </w:p>
        </w:tc>
        <w:tc>
          <w:tcPr>
            <w:tcW w:w="1897" w:type="dxa"/>
            <w:shd w:val="clear" w:color="auto" w:fill="auto"/>
            <w:tcMar>
              <w:top w:w="0" w:type="dxa"/>
              <w:left w:w="108" w:type="dxa"/>
              <w:bottom w:w="0" w:type="dxa"/>
              <w:right w:w="108" w:type="dxa"/>
            </w:tcMar>
            <w:vAlign w:val="center"/>
          </w:tcPr>
          <w:p w14:paraId="09D85B7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200.28</w:t>
            </w:r>
          </w:p>
        </w:tc>
        <w:tc>
          <w:tcPr>
            <w:tcW w:w="1743" w:type="dxa"/>
            <w:shd w:val="clear" w:color="auto" w:fill="auto"/>
            <w:tcMar>
              <w:top w:w="0" w:type="dxa"/>
              <w:left w:w="108" w:type="dxa"/>
              <w:bottom w:w="0" w:type="dxa"/>
              <w:right w:w="108" w:type="dxa"/>
            </w:tcMar>
            <w:vAlign w:val="center"/>
          </w:tcPr>
          <w:p w14:paraId="4C3A45C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4,070.40</w:t>
            </w:r>
          </w:p>
        </w:tc>
      </w:tr>
      <w:tr w:rsidR="006416B0" w:rsidRPr="00B4515A" w14:paraId="530A8FCD"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160B2B00"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大唐实创（北京）投资有限公司</w:t>
            </w:r>
          </w:p>
        </w:tc>
        <w:tc>
          <w:tcPr>
            <w:tcW w:w="1079" w:type="dxa"/>
            <w:shd w:val="clear" w:color="auto" w:fill="auto"/>
            <w:tcMar>
              <w:top w:w="0" w:type="dxa"/>
              <w:left w:w="108" w:type="dxa"/>
              <w:bottom w:w="0" w:type="dxa"/>
              <w:right w:w="108" w:type="dxa"/>
            </w:tcMar>
            <w:vAlign w:val="center"/>
          </w:tcPr>
          <w:p w14:paraId="457D6129"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接受劳务</w:t>
            </w:r>
          </w:p>
        </w:tc>
        <w:tc>
          <w:tcPr>
            <w:tcW w:w="1897" w:type="dxa"/>
            <w:shd w:val="clear" w:color="auto" w:fill="auto"/>
            <w:tcMar>
              <w:top w:w="0" w:type="dxa"/>
              <w:left w:w="108" w:type="dxa"/>
              <w:bottom w:w="0" w:type="dxa"/>
              <w:right w:w="108" w:type="dxa"/>
            </w:tcMar>
            <w:vAlign w:val="center"/>
          </w:tcPr>
          <w:p w14:paraId="76054AA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440D733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358.07</w:t>
            </w:r>
          </w:p>
        </w:tc>
      </w:tr>
      <w:tr w:rsidR="006416B0" w:rsidRPr="00B4515A" w14:paraId="4162C66F"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573B7E7E"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数据通信科学技术研究所</w:t>
            </w:r>
          </w:p>
        </w:tc>
        <w:tc>
          <w:tcPr>
            <w:tcW w:w="1079" w:type="dxa"/>
            <w:shd w:val="clear" w:color="auto" w:fill="auto"/>
            <w:tcMar>
              <w:top w:w="0" w:type="dxa"/>
              <w:left w:w="108" w:type="dxa"/>
              <w:bottom w:w="0" w:type="dxa"/>
              <w:right w:w="108" w:type="dxa"/>
            </w:tcMar>
            <w:vAlign w:val="center"/>
          </w:tcPr>
          <w:p w14:paraId="20708B81"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购买商品</w:t>
            </w:r>
          </w:p>
        </w:tc>
        <w:tc>
          <w:tcPr>
            <w:tcW w:w="1897" w:type="dxa"/>
            <w:shd w:val="clear" w:color="auto" w:fill="auto"/>
            <w:tcMar>
              <w:top w:w="0" w:type="dxa"/>
              <w:left w:w="108" w:type="dxa"/>
              <w:bottom w:w="0" w:type="dxa"/>
              <w:right w:w="108" w:type="dxa"/>
            </w:tcMar>
            <w:vAlign w:val="center"/>
          </w:tcPr>
          <w:p w14:paraId="18A4A4A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7F4CD3B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97.84</w:t>
            </w:r>
          </w:p>
        </w:tc>
      </w:tr>
      <w:tr w:rsidR="006416B0" w:rsidRPr="00B4515A" w14:paraId="64A43D79"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05635796"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数据通信科学技术研究所</w:t>
            </w:r>
          </w:p>
        </w:tc>
        <w:tc>
          <w:tcPr>
            <w:tcW w:w="1079" w:type="dxa"/>
            <w:shd w:val="clear" w:color="auto" w:fill="auto"/>
            <w:tcMar>
              <w:top w:w="0" w:type="dxa"/>
              <w:left w:w="108" w:type="dxa"/>
              <w:bottom w:w="0" w:type="dxa"/>
              <w:right w:w="108" w:type="dxa"/>
            </w:tcMar>
            <w:vAlign w:val="center"/>
          </w:tcPr>
          <w:p w14:paraId="4F23BF00"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接受劳务</w:t>
            </w:r>
          </w:p>
        </w:tc>
        <w:tc>
          <w:tcPr>
            <w:tcW w:w="1897" w:type="dxa"/>
            <w:shd w:val="clear" w:color="auto" w:fill="auto"/>
            <w:tcMar>
              <w:top w:w="0" w:type="dxa"/>
              <w:left w:w="108" w:type="dxa"/>
              <w:bottom w:w="0" w:type="dxa"/>
              <w:right w:w="108" w:type="dxa"/>
            </w:tcMar>
            <w:vAlign w:val="center"/>
          </w:tcPr>
          <w:p w14:paraId="296354F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62BF6C2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84.16</w:t>
            </w:r>
          </w:p>
        </w:tc>
      </w:tr>
      <w:tr w:rsidR="006416B0" w:rsidRPr="00B4515A" w14:paraId="23120549"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0BD74518"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烽火通信科技股份有限公司</w:t>
            </w:r>
          </w:p>
        </w:tc>
        <w:tc>
          <w:tcPr>
            <w:tcW w:w="1079" w:type="dxa"/>
            <w:shd w:val="clear" w:color="auto" w:fill="auto"/>
            <w:tcMar>
              <w:top w:w="0" w:type="dxa"/>
              <w:left w:w="108" w:type="dxa"/>
              <w:bottom w:w="0" w:type="dxa"/>
              <w:right w:w="108" w:type="dxa"/>
            </w:tcMar>
            <w:vAlign w:val="center"/>
          </w:tcPr>
          <w:p w14:paraId="5C82600A"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接受劳务</w:t>
            </w:r>
          </w:p>
        </w:tc>
        <w:tc>
          <w:tcPr>
            <w:tcW w:w="1897" w:type="dxa"/>
            <w:shd w:val="clear" w:color="auto" w:fill="auto"/>
            <w:tcMar>
              <w:top w:w="0" w:type="dxa"/>
              <w:left w:w="108" w:type="dxa"/>
              <w:bottom w:w="0" w:type="dxa"/>
              <w:right w:w="108" w:type="dxa"/>
            </w:tcMar>
            <w:vAlign w:val="center"/>
          </w:tcPr>
          <w:p w14:paraId="10AB53E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17BF5AF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202.04</w:t>
            </w:r>
          </w:p>
        </w:tc>
      </w:tr>
      <w:tr w:rsidR="006416B0" w:rsidRPr="00B4515A" w14:paraId="2CD5AD30"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05617A8B"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大唐移动通信设备有限公司</w:t>
            </w:r>
          </w:p>
        </w:tc>
        <w:tc>
          <w:tcPr>
            <w:tcW w:w="1079" w:type="dxa"/>
            <w:shd w:val="clear" w:color="auto" w:fill="auto"/>
            <w:tcMar>
              <w:top w:w="0" w:type="dxa"/>
              <w:left w:w="108" w:type="dxa"/>
              <w:bottom w:w="0" w:type="dxa"/>
              <w:right w:w="108" w:type="dxa"/>
            </w:tcMar>
            <w:vAlign w:val="center"/>
          </w:tcPr>
          <w:p w14:paraId="07A6E2BE"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购买商品</w:t>
            </w:r>
          </w:p>
        </w:tc>
        <w:tc>
          <w:tcPr>
            <w:tcW w:w="1897" w:type="dxa"/>
            <w:shd w:val="clear" w:color="auto" w:fill="auto"/>
            <w:tcMar>
              <w:top w:w="0" w:type="dxa"/>
              <w:left w:w="108" w:type="dxa"/>
              <w:bottom w:w="0" w:type="dxa"/>
              <w:right w:w="108" w:type="dxa"/>
            </w:tcMar>
            <w:vAlign w:val="center"/>
          </w:tcPr>
          <w:p w14:paraId="2855480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310.63</w:t>
            </w:r>
          </w:p>
        </w:tc>
        <w:tc>
          <w:tcPr>
            <w:tcW w:w="1743" w:type="dxa"/>
            <w:shd w:val="clear" w:color="auto" w:fill="auto"/>
            <w:tcMar>
              <w:top w:w="0" w:type="dxa"/>
              <w:left w:w="108" w:type="dxa"/>
              <w:bottom w:w="0" w:type="dxa"/>
              <w:right w:w="108" w:type="dxa"/>
            </w:tcMar>
            <w:vAlign w:val="center"/>
          </w:tcPr>
          <w:p w14:paraId="6AB7EB95" w14:textId="2182EBCB" w:rsidR="006416B0" w:rsidRPr="00B4515A" w:rsidRDefault="00987EA3"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1,401.10</w:t>
            </w:r>
          </w:p>
        </w:tc>
      </w:tr>
      <w:tr w:rsidR="006416B0" w:rsidRPr="00B4515A" w14:paraId="16EFB81D"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1C61E028"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大唐移动通信设备有限公司</w:t>
            </w:r>
          </w:p>
        </w:tc>
        <w:tc>
          <w:tcPr>
            <w:tcW w:w="1079" w:type="dxa"/>
            <w:shd w:val="clear" w:color="auto" w:fill="auto"/>
            <w:tcMar>
              <w:top w:w="0" w:type="dxa"/>
              <w:left w:w="108" w:type="dxa"/>
              <w:bottom w:w="0" w:type="dxa"/>
              <w:right w:w="108" w:type="dxa"/>
            </w:tcMar>
            <w:vAlign w:val="center"/>
          </w:tcPr>
          <w:p w14:paraId="71E13093"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接受劳务</w:t>
            </w:r>
          </w:p>
        </w:tc>
        <w:tc>
          <w:tcPr>
            <w:tcW w:w="1897" w:type="dxa"/>
            <w:shd w:val="clear" w:color="auto" w:fill="auto"/>
            <w:tcMar>
              <w:top w:w="0" w:type="dxa"/>
              <w:left w:w="108" w:type="dxa"/>
              <w:bottom w:w="0" w:type="dxa"/>
              <w:right w:w="108" w:type="dxa"/>
            </w:tcMar>
            <w:vAlign w:val="center"/>
          </w:tcPr>
          <w:p w14:paraId="671173A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238DEDF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503.21</w:t>
            </w:r>
          </w:p>
        </w:tc>
      </w:tr>
      <w:tr w:rsidR="006416B0" w:rsidRPr="00B4515A" w14:paraId="3EB28581"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0576E2AB"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烽火通信科技股份有限公司</w:t>
            </w:r>
          </w:p>
        </w:tc>
        <w:tc>
          <w:tcPr>
            <w:tcW w:w="1079" w:type="dxa"/>
            <w:shd w:val="clear" w:color="auto" w:fill="auto"/>
            <w:tcMar>
              <w:top w:w="0" w:type="dxa"/>
              <w:left w:w="108" w:type="dxa"/>
              <w:bottom w:w="0" w:type="dxa"/>
              <w:right w:w="108" w:type="dxa"/>
            </w:tcMar>
            <w:vAlign w:val="center"/>
          </w:tcPr>
          <w:p w14:paraId="3CE25B17"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购买商品</w:t>
            </w:r>
          </w:p>
        </w:tc>
        <w:tc>
          <w:tcPr>
            <w:tcW w:w="1897" w:type="dxa"/>
            <w:shd w:val="clear" w:color="auto" w:fill="auto"/>
            <w:tcMar>
              <w:top w:w="0" w:type="dxa"/>
              <w:left w:w="108" w:type="dxa"/>
              <w:bottom w:w="0" w:type="dxa"/>
              <w:right w:w="108" w:type="dxa"/>
            </w:tcMar>
            <w:vAlign w:val="center"/>
          </w:tcPr>
          <w:p w14:paraId="52CD583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2ABD640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10.16</w:t>
            </w:r>
          </w:p>
        </w:tc>
      </w:tr>
      <w:tr w:rsidR="006416B0" w:rsidRPr="00B4515A" w14:paraId="647FD153"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61B88B77"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大唐融合信息服务有限公司</w:t>
            </w:r>
          </w:p>
        </w:tc>
        <w:tc>
          <w:tcPr>
            <w:tcW w:w="1079" w:type="dxa"/>
            <w:shd w:val="clear" w:color="auto" w:fill="auto"/>
            <w:tcMar>
              <w:top w:w="0" w:type="dxa"/>
              <w:left w:w="108" w:type="dxa"/>
              <w:bottom w:w="0" w:type="dxa"/>
              <w:right w:w="108" w:type="dxa"/>
            </w:tcMar>
            <w:vAlign w:val="center"/>
          </w:tcPr>
          <w:p w14:paraId="7FCB39C1"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接受劳务</w:t>
            </w:r>
          </w:p>
        </w:tc>
        <w:tc>
          <w:tcPr>
            <w:tcW w:w="1897" w:type="dxa"/>
            <w:shd w:val="clear" w:color="auto" w:fill="auto"/>
            <w:tcMar>
              <w:top w:w="0" w:type="dxa"/>
              <w:left w:w="108" w:type="dxa"/>
              <w:bottom w:w="0" w:type="dxa"/>
              <w:right w:w="108" w:type="dxa"/>
            </w:tcMar>
            <w:vAlign w:val="center"/>
          </w:tcPr>
          <w:p w14:paraId="3273A60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3.11</w:t>
            </w:r>
          </w:p>
        </w:tc>
        <w:tc>
          <w:tcPr>
            <w:tcW w:w="1743" w:type="dxa"/>
            <w:shd w:val="clear" w:color="auto" w:fill="auto"/>
            <w:tcMar>
              <w:top w:w="0" w:type="dxa"/>
              <w:left w:w="108" w:type="dxa"/>
              <w:bottom w:w="0" w:type="dxa"/>
              <w:right w:w="108" w:type="dxa"/>
            </w:tcMar>
            <w:vAlign w:val="center"/>
          </w:tcPr>
          <w:p w14:paraId="19B58A1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12.45</w:t>
            </w:r>
          </w:p>
        </w:tc>
      </w:tr>
      <w:tr w:rsidR="00987EA3" w:rsidRPr="00B4515A" w14:paraId="39A5D2C8"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54E7A7A6" w14:textId="109D2B69" w:rsidR="00987EA3" w:rsidRPr="00B4515A" w:rsidRDefault="00987EA3" w:rsidP="005860B4">
            <w:pPr>
              <w:adjustRightInd w:val="0"/>
              <w:snapToGrid w:val="0"/>
              <w:jc w:val="both"/>
              <w:rPr>
                <w:color w:val="000000"/>
                <w:sz w:val="21"/>
                <w:szCs w:val="21"/>
              </w:rPr>
            </w:pPr>
            <w:r w:rsidRPr="00B4515A">
              <w:rPr>
                <w:rFonts w:hint="eastAsia"/>
                <w:color w:val="000000"/>
                <w:sz w:val="21"/>
                <w:szCs w:val="21"/>
              </w:rPr>
              <w:t>电信科学技术第十研究所有限公司</w:t>
            </w:r>
          </w:p>
        </w:tc>
        <w:tc>
          <w:tcPr>
            <w:tcW w:w="1079" w:type="dxa"/>
            <w:shd w:val="clear" w:color="auto" w:fill="auto"/>
            <w:tcMar>
              <w:top w:w="0" w:type="dxa"/>
              <w:left w:w="108" w:type="dxa"/>
              <w:bottom w:w="0" w:type="dxa"/>
              <w:right w:w="108" w:type="dxa"/>
            </w:tcMar>
            <w:vAlign w:val="center"/>
          </w:tcPr>
          <w:p w14:paraId="5617613F" w14:textId="78972399" w:rsidR="00987EA3" w:rsidRPr="00B4515A" w:rsidRDefault="00987EA3" w:rsidP="005860B4">
            <w:pPr>
              <w:adjustRightInd w:val="0"/>
              <w:snapToGrid w:val="0"/>
              <w:jc w:val="center"/>
              <w:rPr>
                <w:color w:val="000000"/>
                <w:sz w:val="21"/>
                <w:szCs w:val="21"/>
              </w:rPr>
            </w:pPr>
            <w:r w:rsidRPr="00B4515A">
              <w:rPr>
                <w:color w:val="000000"/>
                <w:sz w:val="21"/>
                <w:szCs w:val="21"/>
              </w:rPr>
              <w:t>采购商品</w:t>
            </w:r>
          </w:p>
        </w:tc>
        <w:tc>
          <w:tcPr>
            <w:tcW w:w="1897" w:type="dxa"/>
            <w:shd w:val="clear" w:color="auto" w:fill="auto"/>
            <w:tcMar>
              <w:top w:w="0" w:type="dxa"/>
              <w:left w:w="108" w:type="dxa"/>
              <w:bottom w:w="0" w:type="dxa"/>
              <w:right w:w="108" w:type="dxa"/>
            </w:tcMar>
            <w:vAlign w:val="center"/>
          </w:tcPr>
          <w:p w14:paraId="59FA94D6" w14:textId="5186C24E" w:rsidR="00987EA3" w:rsidRPr="00B4515A" w:rsidRDefault="00987EA3"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7D2CC59B" w14:textId="4AB5E1A3" w:rsidR="00987EA3" w:rsidRPr="00B4515A" w:rsidRDefault="00987EA3"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192.95</w:t>
            </w:r>
          </w:p>
        </w:tc>
      </w:tr>
      <w:tr w:rsidR="006416B0" w:rsidRPr="00B4515A" w14:paraId="3CB97684"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168E3ABE"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北京大唐智能卡技术有限公司</w:t>
            </w:r>
          </w:p>
        </w:tc>
        <w:tc>
          <w:tcPr>
            <w:tcW w:w="1079" w:type="dxa"/>
            <w:shd w:val="clear" w:color="auto" w:fill="auto"/>
            <w:tcMar>
              <w:top w:w="0" w:type="dxa"/>
              <w:left w:w="108" w:type="dxa"/>
              <w:bottom w:w="0" w:type="dxa"/>
              <w:right w:w="108" w:type="dxa"/>
            </w:tcMar>
            <w:vAlign w:val="center"/>
          </w:tcPr>
          <w:p w14:paraId="6970397A"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购买商品</w:t>
            </w:r>
          </w:p>
        </w:tc>
        <w:tc>
          <w:tcPr>
            <w:tcW w:w="1897" w:type="dxa"/>
            <w:shd w:val="clear" w:color="auto" w:fill="auto"/>
            <w:tcMar>
              <w:top w:w="0" w:type="dxa"/>
              <w:left w:w="108" w:type="dxa"/>
              <w:bottom w:w="0" w:type="dxa"/>
              <w:right w:w="108" w:type="dxa"/>
            </w:tcMar>
            <w:vAlign w:val="center"/>
          </w:tcPr>
          <w:p w14:paraId="1159EED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422C68B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4.97</w:t>
            </w:r>
          </w:p>
        </w:tc>
      </w:tr>
      <w:tr w:rsidR="006416B0" w:rsidRPr="00B4515A" w14:paraId="4C93AE49"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3204777A"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合肥大唐存储科技有限公司</w:t>
            </w:r>
          </w:p>
        </w:tc>
        <w:tc>
          <w:tcPr>
            <w:tcW w:w="1079" w:type="dxa"/>
            <w:shd w:val="clear" w:color="auto" w:fill="auto"/>
            <w:tcMar>
              <w:top w:w="0" w:type="dxa"/>
              <w:left w:w="108" w:type="dxa"/>
              <w:bottom w:w="0" w:type="dxa"/>
              <w:right w:w="108" w:type="dxa"/>
            </w:tcMar>
            <w:vAlign w:val="center"/>
          </w:tcPr>
          <w:p w14:paraId="70684EC5"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购买商品</w:t>
            </w:r>
          </w:p>
        </w:tc>
        <w:tc>
          <w:tcPr>
            <w:tcW w:w="1897" w:type="dxa"/>
            <w:shd w:val="clear" w:color="auto" w:fill="auto"/>
            <w:tcMar>
              <w:top w:w="0" w:type="dxa"/>
              <w:left w:w="108" w:type="dxa"/>
              <w:bottom w:w="0" w:type="dxa"/>
              <w:right w:w="108" w:type="dxa"/>
            </w:tcMar>
            <w:vAlign w:val="center"/>
          </w:tcPr>
          <w:p w14:paraId="6CA2D86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3E548C3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8.36</w:t>
            </w:r>
          </w:p>
        </w:tc>
      </w:tr>
      <w:tr w:rsidR="006416B0" w:rsidRPr="00B4515A" w14:paraId="016C5D3F"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589208F9"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中国信息通信科技集团有限公司</w:t>
            </w:r>
          </w:p>
        </w:tc>
        <w:tc>
          <w:tcPr>
            <w:tcW w:w="1079" w:type="dxa"/>
            <w:shd w:val="clear" w:color="auto" w:fill="auto"/>
            <w:tcMar>
              <w:top w:w="0" w:type="dxa"/>
              <w:left w:w="108" w:type="dxa"/>
              <w:bottom w:w="0" w:type="dxa"/>
              <w:right w:w="108" w:type="dxa"/>
            </w:tcMar>
            <w:vAlign w:val="center"/>
          </w:tcPr>
          <w:p w14:paraId="756F2C38"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接受劳务</w:t>
            </w:r>
          </w:p>
        </w:tc>
        <w:tc>
          <w:tcPr>
            <w:tcW w:w="1897" w:type="dxa"/>
            <w:shd w:val="clear" w:color="auto" w:fill="auto"/>
            <w:tcMar>
              <w:top w:w="0" w:type="dxa"/>
              <w:left w:w="108" w:type="dxa"/>
              <w:bottom w:w="0" w:type="dxa"/>
              <w:right w:w="108" w:type="dxa"/>
            </w:tcMar>
            <w:vAlign w:val="center"/>
          </w:tcPr>
          <w:p w14:paraId="4500528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386B24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18.87</w:t>
            </w:r>
          </w:p>
        </w:tc>
      </w:tr>
      <w:tr w:rsidR="006416B0" w:rsidRPr="00B4515A" w14:paraId="1D89EA6D"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3541E86B"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辰芯科技有限公司</w:t>
            </w:r>
          </w:p>
        </w:tc>
        <w:tc>
          <w:tcPr>
            <w:tcW w:w="1079" w:type="dxa"/>
            <w:shd w:val="clear" w:color="auto" w:fill="auto"/>
            <w:tcMar>
              <w:top w:w="0" w:type="dxa"/>
              <w:left w:w="108" w:type="dxa"/>
              <w:bottom w:w="0" w:type="dxa"/>
              <w:right w:w="108" w:type="dxa"/>
            </w:tcMar>
            <w:vAlign w:val="center"/>
          </w:tcPr>
          <w:p w14:paraId="3C7E22FF"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采购商品</w:t>
            </w:r>
          </w:p>
        </w:tc>
        <w:tc>
          <w:tcPr>
            <w:tcW w:w="1897" w:type="dxa"/>
            <w:shd w:val="clear" w:color="auto" w:fill="auto"/>
            <w:tcMar>
              <w:top w:w="0" w:type="dxa"/>
              <w:left w:w="108" w:type="dxa"/>
              <w:bottom w:w="0" w:type="dxa"/>
              <w:right w:w="108" w:type="dxa"/>
            </w:tcMar>
            <w:vAlign w:val="center"/>
          </w:tcPr>
          <w:p w14:paraId="4E11529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099B153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14.87</w:t>
            </w:r>
          </w:p>
        </w:tc>
      </w:tr>
      <w:tr w:rsidR="006416B0" w:rsidRPr="00B4515A" w14:paraId="02C34B7D"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4EF30C59"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辰芯科技有限公司</w:t>
            </w:r>
          </w:p>
        </w:tc>
        <w:tc>
          <w:tcPr>
            <w:tcW w:w="1079" w:type="dxa"/>
            <w:shd w:val="clear" w:color="auto" w:fill="auto"/>
            <w:tcMar>
              <w:top w:w="0" w:type="dxa"/>
              <w:left w:w="108" w:type="dxa"/>
              <w:bottom w:w="0" w:type="dxa"/>
              <w:right w:w="108" w:type="dxa"/>
            </w:tcMar>
            <w:vAlign w:val="center"/>
          </w:tcPr>
          <w:p w14:paraId="5D2D8760"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接受劳务</w:t>
            </w:r>
          </w:p>
        </w:tc>
        <w:tc>
          <w:tcPr>
            <w:tcW w:w="1897" w:type="dxa"/>
            <w:shd w:val="clear" w:color="auto" w:fill="auto"/>
            <w:tcMar>
              <w:top w:w="0" w:type="dxa"/>
              <w:left w:w="108" w:type="dxa"/>
              <w:bottom w:w="0" w:type="dxa"/>
              <w:right w:w="108" w:type="dxa"/>
            </w:tcMar>
            <w:vAlign w:val="center"/>
          </w:tcPr>
          <w:p w14:paraId="36AF4D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7E4D9E6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53.21</w:t>
            </w:r>
          </w:p>
        </w:tc>
      </w:tr>
      <w:tr w:rsidR="006416B0" w:rsidRPr="00B4515A" w14:paraId="2C789578"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19339B02"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宸芯科技有限公司</w:t>
            </w:r>
          </w:p>
        </w:tc>
        <w:tc>
          <w:tcPr>
            <w:tcW w:w="1079" w:type="dxa"/>
            <w:shd w:val="clear" w:color="auto" w:fill="auto"/>
            <w:tcMar>
              <w:top w:w="0" w:type="dxa"/>
              <w:left w:w="108" w:type="dxa"/>
              <w:bottom w:w="0" w:type="dxa"/>
              <w:right w:w="108" w:type="dxa"/>
            </w:tcMar>
            <w:vAlign w:val="center"/>
          </w:tcPr>
          <w:p w14:paraId="6BCE4FBA"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采购商品</w:t>
            </w:r>
          </w:p>
        </w:tc>
        <w:tc>
          <w:tcPr>
            <w:tcW w:w="1897" w:type="dxa"/>
            <w:shd w:val="clear" w:color="auto" w:fill="auto"/>
            <w:tcMar>
              <w:top w:w="0" w:type="dxa"/>
              <w:left w:w="108" w:type="dxa"/>
              <w:bottom w:w="0" w:type="dxa"/>
              <w:right w:w="108" w:type="dxa"/>
            </w:tcMar>
            <w:vAlign w:val="center"/>
          </w:tcPr>
          <w:p w14:paraId="64D585A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2.65</w:t>
            </w:r>
          </w:p>
        </w:tc>
        <w:tc>
          <w:tcPr>
            <w:tcW w:w="1743" w:type="dxa"/>
            <w:shd w:val="clear" w:color="auto" w:fill="auto"/>
            <w:tcMar>
              <w:top w:w="0" w:type="dxa"/>
              <w:left w:w="108" w:type="dxa"/>
              <w:bottom w:w="0" w:type="dxa"/>
              <w:right w:w="108" w:type="dxa"/>
            </w:tcMar>
            <w:vAlign w:val="center"/>
          </w:tcPr>
          <w:p w14:paraId="6E757E3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623.63</w:t>
            </w:r>
          </w:p>
        </w:tc>
      </w:tr>
      <w:tr w:rsidR="006416B0" w:rsidRPr="00B4515A" w14:paraId="5E4ACAD7"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290AF623"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宸芯科技有限公司</w:t>
            </w:r>
          </w:p>
        </w:tc>
        <w:tc>
          <w:tcPr>
            <w:tcW w:w="1079" w:type="dxa"/>
            <w:shd w:val="clear" w:color="auto" w:fill="auto"/>
            <w:tcMar>
              <w:top w:w="0" w:type="dxa"/>
              <w:left w:w="108" w:type="dxa"/>
              <w:bottom w:w="0" w:type="dxa"/>
              <w:right w:w="108" w:type="dxa"/>
            </w:tcMar>
            <w:vAlign w:val="center"/>
          </w:tcPr>
          <w:p w14:paraId="24915284"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接受劳务</w:t>
            </w:r>
          </w:p>
        </w:tc>
        <w:tc>
          <w:tcPr>
            <w:tcW w:w="1897" w:type="dxa"/>
            <w:shd w:val="clear" w:color="auto" w:fill="auto"/>
            <w:tcMar>
              <w:top w:w="0" w:type="dxa"/>
              <w:left w:w="108" w:type="dxa"/>
              <w:bottom w:w="0" w:type="dxa"/>
              <w:right w:w="108" w:type="dxa"/>
            </w:tcMar>
            <w:vAlign w:val="center"/>
          </w:tcPr>
          <w:p w14:paraId="7617557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783682F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46.70</w:t>
            </w:r>
          </w:p>
        </w:tc>
      </w:tr>
      <w:tr w:rsidR="006416B0" w:rsidRPr="00B4515A" w14:paraId="2F8E0A20"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76549236"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大唐奇安网络科技有限公司</w:t>
            </w:r>
          </w:p>
        </w:tc>
        <w:tc>
          <w:tcPr>
            <w:tcW w:w="1079" w:type="dxa"/>
            <w:shd w:val="clear" w:color="auto" w:fill="auto"/>
            <w:tcMar>
              <w:top w:w="0" w:type="dxa"/>
              <w:left w:w="108" w:type="dxa"/>
              <w:bottom w:w="0" w:type="dxa"/>
              <w:right w:w="108" w:type="dxa"/>
            </w:tcMar>
            <w:vAlign w:val="center"/>
          </w:tcPr>
          <w:p w14:paraId="257A2857"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采购商品</w:t>
            </w:r>
          </w:p>
        </w:tc>
        <w:tc>
          <w:tcPr>
            <w:tcW w:w="1897" w:type="dxa"/>
            <w:shd w:val="clear" w:color="auto" w:fill="auto"/>
            <w:tcMar>
              <w:top w:w="0" w:type="dxa"/>
              <w:left w:w="108" w:type="dxa"/>
              <w:bottom w:w="0" w:type="dxa"/>
              <w:right w:w="108" w:type="dxa"/>
            </w:tcMar>
            <w:vAlign w:val="center"/>
          </w:tcPr>
          <w:p w14:paraId="5A6A5BD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46.98</w:t>
            </w:r>
          </w:p>
        </w:tc>
        <w:tc>
          <w:tcPr>
            <w:tcW w:w="1743" w:type="dxa"/>
            <w:shd w:val="clear" w:color="auto" w:fill="auto"/>
            <w:tcMar>
              <w:top w:w="0" w:type="dxa"/>
              <w:left w:w="108" w:type="dxa"/>
              <w:bottom w:w="0" w:type="dxa"/>
              <w:right w:w="108" w:type="dxa"/>
            </w:tcMar>
            <w:vAlign w:val="center"/>
          </w:tcPr>
          <w:p w14:paraId="3D52E0F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998.93</w:t>
            </w:r>
          </w:p>
        </w:tc>
      </w:tr>
      <w:tr w:rsidR="006416B0" w:rsidRPr="00B4515A" w14:paraId="085D15A5"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77273AA6"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大唐奇安网络科技有限公司</w:t>
            </w:r>
          </w:p>
        </w:tc>
        <w:tc>
          <w:tcPr>
            <w:tcW w:w="1079" w:type="dxa"/>
            <w:shd w:val="clear" w:color="auto" w:fill="auto"/>
            <w:tcMar>
              <w:top w:w="0" w:type="dxa"/>
              <w:left w:w="108" w:type="dxa"/>
              <w:bottom w:w="0" w:type="dxa"/>
              <w:right w:w="108" w:type="dxa"/>
            </w:tcMar>
            <w:vAlign w:val="center"/>
          </w:tcPr>
          <w:p w14:paraId="3701E805"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接受劳务</w:t>
            </w:r>
          </w:p>
        </w:tc>
        <w:tc>
          <w:tcPr>
            <w:tcW w:w="1897" w:type="dxa"/>
            <w:shd w:val="clear" w:color="auto" w:fill="auto"/>
            <w:tcMar>
              <w:top w:w="0" w:type="dxa"/>
              <w:left w:w="108" w:type="dxa"/>
              <w:bottom w:w="0" w:type="dxa"/>
              <w:right w:w="108" w:type="dxa"/>
            </w:tcMar>
            <w:vAlign w:val="center"/>
          </w:tcPr>
          <w:p w14:paraId="5F2EC91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20E4E62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139.81</w:t>
            </w:r>
          </w:p>
        </w:tc>
      </w:tr>
      <w:tr w:rsidR="006416B0" w:rsidRPr="00B4515A" w14:paraId="1E9F432C"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7614215F"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电信科学技术研究院有限公司</w:t>
            </w:r>
          </w:p>
        </w:tc>
        <w:tc>
          <w:tcPr>
            <w:tcW w:w="1079" w:type="dxa"/>
            <w:shd w:val="clear" w:color="auto" w:fill="auto"/>
            <w:tcMar>
              <w:top w:w="0" w:type="dxa"/>
              <w:left w:w="108" w:type="dxa"/>
              <w:bottom w:w="0" w:type="dxa"/>
              <w:right w:w="108" w:type="dxa"/>
            </w:tcMar>
            <w:vAlign w:val="center"/>
          </w:tcPr>
          <w:p w14:paraId="7D512FD2"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接受劳务</w:t>
            </w:r>
          </w:p>
        </w:tc>
        <w:tc>
          <w:tcPr>
            <w:tcW w:w="1897" w:type="dxa"/>
            <w:shd w:val="clear" w:color="auto" w:fill="auto"/>
            <w:tcMar>
              <w:top w:w="0" w:type="dxa"/>
              <w:left w:w="108" w:type="dxa"/>
              <w:bottom w:w="0" w:type="dxa"/>
              <w:right w:w="108" w:type="dxa"/>
            </w:tcMar>
            <w:vAlign w:val="center"/>
          </w:tcPr>
          <w:p w14:paraId="2EA4844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78743E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1.35</w:t>
            </w:r>
          </w:p>
        </w:tc>
      </w:tr>
      <w:tr w:rsidR="006416B0" w:rsidRPr="00B4515A" w14:paraId="43F3F6F6"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5EE0BBA2"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lastRenderedPageBreak/>
              <w:t>西安通和电信设备检测有限公司</w:t>
            </w:r>
          </w:p>
        </w:tc>
        <w:tc>
          <w:tcPr>
            <w:tcW w:w="1079" w:type="dxa"/>
            <w:shd w:val="clear" w:color="auto" w:fill="auto"/>
            <w:tcMar>
              <w:top w:w="0" w:type="dxa"/>
              <w:left w:w="108" w:type="dxa"/>
              <w:bottom w:w="0" w:type="dxa"/>
              <w:right w:w="108" w:type="dxa"/>
            </w:tcMar>
            <w:vAlign w:val="center"/>
          </w:tcPr>
          <w:p w14:paraId="6E8B2F15"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接受劳务</w:t>
            </w:r>
          </w:p>
        </w:tc>
        <w:tc>
          <w:tcPr>
            <w:tcW w:w="1897" w:type="dxa"/>
            <w:shd w:val="clear" w:color="auto" w:fill="auto"/>
            <w:tcMar>
              <w:top w:w="0" w:type="dxa"/>
              <w:left w:w="108" w:type="dxa"/>
              <w:bottom w:w="0" w:type="dxa"/>
              <w:right w:w="108" w:type="dxa"/>
            </w:tcMar>
            <w:vAlign w:val="center"/>
          </w:tcPr>
          <w:p w14:paraId="6C9A34C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72E7DC1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4.01</w:t>
            </w:r>
          </w:p>
        </w:tc>
      </w:tr>
      <w:tr w:rsidR="006416B0" w:rsidRPr="00B4515A" w14:paraId="5825BEAC"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01561EA7"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电信科学技术仪表研究所有限公司</w:t>
            </w:r>
          </w:p>
        </w:tc>
        <w:tc>
          <w:tcPr>
            <w:tcW w:w="1079" w:type="dxa"/>
            <w:shd w:val="clear" w:color="auto" w:fill="auto"/>
            <w:tcMar>
              <w:top w:w="0" w:type="dxa"/>
              <w:left w:w="108" w:type="dxa"/>
              <w:bottom w:w="0" w:type="dxa"/>
              <w:right w:w="108" w:type="dxa"/>
            </w:tcMar>
            <w:vAlign w:val="center"/>
          </w:tcPr>
          <w:p w14:paraId="5FE293A1"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采购商品</w:t>
            </w:r>
          </w:p>
        </w:tc>
        <w:tc>
          <w:tcPr>
            <w:tcW w:w="1897" w:type="dxa"/>
            <w:shd w:val="clear" w:color="auto" w:fill="auto"/>
            <w:tcMar>
              <w:top w:w="0" w:type="dxa"/>
              <w:left w:w="108" w:type="dxa"/>
              <w:bottom w:w="0" w:type="dxa"/>
              <w:right w:w="108" w:type="dxa"/>
            </w:tcMar>
            <w:vAlign w:val="center"/>
          </w:tcPr>
          <w:p w14:paraId="124672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30.53</w:t>
            </w:r>
          </w:p>
        </w:tc>
        <w:tc>
          <w:tcPr>
            <w:tcW w:w="1743" w:type="dxa"/>
            <w:shd w:val="clear" w:color="auto" w:fill="auto"/>
            <w:tcMar>
              <w:top w:w="0" w:type="dxa"/>
              <w:left w:w="108" w:type="dxa"/>
              <w:bottom w:w="0" w:type="dxa"/>
              <w:right w:w="108" w:type="dxa"/>
            </w:tcMar>
            <w:vAlign w:val="center"/>
          </w:tcPr>
          <w:p w14:paraId="33AB92A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55AA317"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3B10BA8E" w14:textId="77777777" w:rsidR="006416B0" w:rsidRPr="00B4515A" w:rsidRDefault="005E58C1" w:rsidP="005860B4">
            <w:pPr>
              <w:adjustRightInd w:val="0"/>
              <w:snapToGrid w:val="0"/>
              <w:jc w:val="both"/>
              <w:rPr>
                <w:color w:val="000000"/>
                <w:sz w:val="21"/>
                <w:szCs w:val="21"/>
              </w:rPr>
            </w:pPr>
            <w:r w:rsidRPr="00B4515A">
              <w:rPr>
                <w:rFonts w:hint="eastAsia"/>
                <w:color w:val="000000"/>
                <w:sz w:val="21"/>
                <w:szCs w:val="21"/>
              </w:rPr>
              <w:t>北京通和实益电信科学技术研究所有限公司</w:t>
            </w:r>
          </w:p>
        </w:tc>
        <w:tc>
          <w:tcPr>
            <w:tcW w:w="1079" w:type="dxa"/>
            <w:shd w:val="clear" w:color="auto" w:fill="auto"/>
            <w:tcMar>
              <w:top w:w="0" w:type="dxa"/>
              <w:left w:w="108" w:type="dxa"/>
              <w:bottom w:w="0" w:type="dxa"/>
              <w:right w:w="108" w:type="dxa"/>
            </w:tcMar>
            <w:vAlign w:val="center"/>
          </w:tcPr>
          <w:p w14:paraId="0BD1ACE9" w14:textId="77777777" w:rsidR="006416B0" w:rsidRPr="00B4515A" w:rsidRDefault="005E58C1" w:rsidP="005860B4">
            <w:pPr>
              <w:adjustRightInd w:val="0"/>
              <w:snapToGrid w:val="0"/>
              <w:jc w:val="center"/>
              <w:rPr>
                <w:color w:val="000000"/>
                <w:sz w:val="21"/>
                <w:szCs w:val="21"/>
              </w:rPr>
            </w:pPr>
            <w:r w:rsidRPr="00B4515A">
              <w:rPr>
                <w:rFonts w:hint="eastAsia"/>
                <w:color w:val="000000"/>
                <w:sz w:val="21"/>
                <w:szCs w:val="21"/>
              </w:rPr>
              <w:t>采购商品</w:t>
            </w:r>
          </w:p>
        </w:tc>
        <w:tc>
          <w:tcPr>
            <w:tcW w:w="1897" w:type="dxa"/>
            <w:shd w:val="clear" w:color="auto" w:fill="auto"/>
            <w:tcMar>
              <w:top w:w="0" w:type="dxa"/>
              <w:left w:w="108" w:type="dxa"/>
              <w:bottom w:w="0" w:type="dxa"/>
              <w:right w:w="108" w:type="dxa"/>
            </w:tcMar>
            <w:vAlign w:val="center"/>
          </w:tcPr>
          <w:p w14:paraId="05E3198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2.83</w:t>
            </w:r>
          </w:p>
        </w:tc>
        <w:tc>
          <w:tcPr>
            <w:tcW w:w="1743" w:type="dxa"/>
            <w:shd w:val="clear" w:color="auto" w:fill="auto"/>
            <w:tcMar>
              <w:top w:w="0" w:type="dxa"/>
              <w:left w:w="108" w:type="dxa"/>
              <w:bottom w:w="0" w:type="dxa"/>
              <w:right w:w="108" w:type="dxa"/>
            </w:tcMar>
            <w:vAlign w:val="center"/>
          </w:tcPr>
          <w:p w14:paraId="7456E9F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63CD" w:rsidRPr="00B4515A" w14:paraId="0C3A940A"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10FA7A98" w14:textId="1123F8E2" w:rsidR="006463CD" w:rsidRPr="00B4515A" w:rsidRDefault="006463CD" w:rsidP="005860B4">
            <w:pPr>
              <w:adjustRightInd w:val="0"/>
              <w:snapToGrid w:val="0"/>
              <w:jc w:val="both"/>
              <w:rPr>
                <w:color w:val="000000"/>
                <w:sz w:val="21"/>
                <w:szCs w:val="21"/>
              </w:rPr>
            </w:pPr>
            <w:r w:rsidRPr="00B4515A">
              <w:rPr>
                <w:rFonts w:hint="eastAsia"/>
                <w:color w:val="000000"/>
                <w:sz w:val="21"/>
                <w:szCs w:val="21"/>
              </w:rPr>
              <w:t>中信科移动通信技术股份有限公司</w:t>
            </w:r>
          </w:p>
        </w:tc>
        <w:tc>
          <w:tcPr>
            <w:tcW w:w="1079" w:type="dxa"/>
            <w:shd w:val="clear" w:color="auto" w:fill="auto"/>
            <w:tcMar>
              <w:top w:w="0" w:type="dxa"/>
              <w:left w:w="108" w:type="dxa"/>
              <w:bottom w:w="0" w:type="dxa"/>
              <w:right w:w="108" w:type="dxa"/>
            </w:tcMar>
            <w:vAlign w:val="center"/>
          </w:tcPr>
          <w:p w14:paraId="743DDBD4" w14:textId="05BA39D3" w:rsidR="006463CD" w:rsidRPr="00B4515A" w:rsidRDefault="006463CD" w:rsidP="005860B4">
            <w:pPr>
              <w:adjustRightInd w:val="0"/>
              <w:snapToGrid w:val="0"/>
              <w:jc w:val="center"/>
              <w:rPr>
                <w:color w:val="000000"/>
                <w:sz w:val="21"/>
                <w:szCs w:val="21"/>
              </w:rPr>
            </w:pPr>
            <w:r w:rsidRPr="00B4515A">
              <w:rPr>
                <w:rFonts w:hint="eastAsia"/>
                <w:color w:val="000000"/>
                <w:sz w:val="21"/>
                <w:szCs w:val="21"/>
              </w:rPr>
              <w:t>采购商品</w:t>
            </w:r>
          </w:p>
        </w:tc>
        <w:tc>
          <w:tcPr>
            <w:tcW w:w="1897" w:type="dxa"/>
            <w:shd w:val="clear" w:color="auto" w:fill="auto"/>
            <w:tcMar>
              <w:top w:w="0" w:type="dxa"/>
              <w:left w:w="108" w:type="dxa"/>
              <w:bottom w:w="0" w:type="dxa"/>
              <w:right w:w="108" w:type="dxa"/>
            </w:tcMar>
            <w:vAlign w:val="center"/>
          </w:tcPr>
          <w:p w14:paraId="04274037" w14:textId="0B36C42C" w:rsidR="006463CD" w:rsidRPr="00B4515A" w:rsidRDefault="006463CD"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743" w:type="dxa"/>
            <w:shd w:val="clear" w:color="auto" w:fill="auto"/>
            <w:tcMar>
              <w:top w:w="0" w:type="dxa"/>
              <w:left w:w="108" w:type="dxa"/>
              <w:bottom w:w="0" w:type="dxa"/>
              <w:right w:w="108" w:type="dxa"/>
            </w:tcMar>
            <w:vAlign w:val="center"/>
          </w:tcPr>
          <w:p w14:paraId="70D73C8B" w14:textId="202D65F9" w:rsidR="006463CD" w:rsidRPr="00B4515A" w:rsidRDefault="006463CD"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120.44</w:t>
            </w:r>
          </w:p>
        </w:tc>
      </w:tr>
      <w:tr w:rsidR="006416B0" w:rsidRPr="00B4515A" w14:paraId="1F4452EF" w14:textId="77777777" w:rsidTr="00031627">
        <w:trPr>
          <w:trHeight w:val="340"/>
          <w:jc w:val="center"/>
        </w:trPr>
        <w:tc>
          <w:tcPr>
            <w:tcW w:w="3671" w:type="dxa"/>
            <w:shd w:val="clear" w:color="auto" w:fill="auto"/>
            <w:tcMar>
              <w:top w:w="0" w:type="dxa"/>
              <w:left w:w="108" w:type="dxa"/>
              <w:bottom w:w="0" w:type="dxa"/>
              <w:right w:w="108" w:type="dxa"/>
            </w:tcMar>
            <w:vAlign w:val="center"/>
          </w:tcPr>
          <w:p w14:paraId="412F74A9"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cs="Times New Roman" w:hint="eastAsia"/>
                <w:b/>
                <w:bCs/>
                <w:color w:val="000000"/>
                <w:sz w:val="21"/>
                <w:szCs w:val="21"/>
              </w:rPr>
              <w:t>合计</w:t>
            </w:r>
          </w:p>
        </w:tc>
        <w:tc>
          <w:tcPr>
            <w:tcW w:w="1079" w:type="dxa"/>
            <w:shd w:val="clear" w:color="auto" w:fill="auto"/>
            <w:tcMar>
              <w:top w:w="0" w:type="dxa"/>
              <w:left w:w="108" w:type="dxa"/>
              <w:bottom w:w="0" w:type="dxa"/>
              <w:right w:w="108" w:type="dxa"/>
            </w:tcMar>
            <w:vAlign w:val="center"/>
          </w:tcPr>
          <w:p w14:paraId="549B3FED"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hint="eastAsia"/>
                <w:b/>
                <w:bCs/>
                <w:color w:val="000000"/>
                <w:sz w:val="21"/>
                <w:szCs w:val="21"/>
              </w:rPr>
              <w:t xml:space="preserve">　</w:t>
            </w:r>
          </w:p>
        </w:tc>
        <w:tc>
          <w:tcPr>
            <w:tcW w:w="1897" w:type="dxa"/>
            <w:shd w:val="clear" w:color="auto" w:fill="auto"/>
            <w:tcMar>
              <w:top w:w="0" w:type="dxa"/>
              <w:left w:w="108" w:type="dxa"/>
              <w:bottom w:w="0" w:type="dxa"/>
              <w:right w:w="108" w:type="dxa"/>
            </w:tcMar>
            <w:vAlign w:val="center"/>
          </w:tcPr>
          <w:p w14:paraId="62F03A57"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597.01</w:t>
            </w:r>
          </w:p>
        </w:tc>
        <w:tc>
          <w:tcPr>
            <w:tcW w:w="1743" w:type="dxa"/>
            <w:shd w:val="clear" w:color="auto" w:fill="auto"/>
            <w:tcMar>
              <w:top w:w="0" w:type="dxa"/>
              <w:left w:w="108" w:type="dxa"/>
              <w:bottom w:w="0" w:type="dxa"/>
              <w:right w:w="108" w:type="dxa"/>
            </w:tcMar>
            <w:vAlign w:val="center"/>
          </w:tcPr>
          <w:p w14:paraId="34FB143E" w14:textId="12764CBC" w:rsidR="006416B0" w:rsidRPr="00B4515A" w:rsidRDefault="006463CD"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8,967.53</w:t>
            </w:r>
          </w:p>
        </w:tc>
      </w:tr>
    </w:tbl>
    <w:p w14:paraId="5F4FDA2A" w14:textId="77777777" w:rsidR="006416B0" w:rsidRPr="00B4515A" w:rsidRDefault="005E58C1" w:rsidP="006100BC">
      <w:pPr>
        <w:pStyle w:val="005"/>
        <w:spacing w:before="120" w:after="120"/>
        <w:ind w:firstLine="480"/>
      </w:pPr>
      <w:bookmarkStart w:id="348" w:name="_Toc75169331"/>
      <w:r w:rsidRPr="00B4515A">
        <w:rPr>
          <w:rFonts w:hint="eastAsia"/>
        </w:rPr>
        <w:t>（</w:t>
      </w:r>
      <w:r w:rsidRPr="00B4515A">
        <w:rPr>
          <w:rFonts w:hint="eastAsia"/>
        </w:rPr>
        <w:t>2</w:t>
      </w:r>
      <w:r w:rsidRPr="00B4515A">
        <w:rPr>
          <w:rFonts w:hint="eastAsia"/>
        </w:rPr>
        <w:t>）</w:t>
      </w:r>
      <w:r w:rsidRPr="00B4515A">
        <w:t>出售商品</w:t>
      </w:r>
      <w:r w:rsidRPr="00B4515A">
        <w:rPr>
          <w:rFonts w:hint="eastAsia"/>
        </w:rPr>
        <w:t>及</w:t>
      </w:r>
      <w:r w:rsidRPr="00B4515A">
        <w:t>提供劳务</w:t>
      </w:r>
      <w:r w:rsidRPr="00B4515A">
        <w:rPr>
          <w:rFonts w:hint="eastAsia"/>
        </w:rPr>
        <w:t>情况</w:t>
      </w:r>
      <w:bookmarkEnd w:id="348"/>
    </w:p>
    <w:p w14:paraId="1571536E" w14:textId="142F989B" w:rsidR="006416B0" w:rsidRPr="00B4515A" w:rsidRDefault="00D44516" w:rsidP="006100BC">
      <w:pPr>
        <w:pStyle w:val="009"/>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814"/>
        <w:gridCol w:w="1753"/>
        <w:gridCol w:w="1567"/>
        <w:gridCol w:w="1394"/>
      </w:tblGrid>
      <w:tr w:rsidR="006416B0" w:rsidRPr="00B4515A" w14:paraId="23AB24BC" w14:textId="77777777" w:rsidTr="006100BC">
        <w:trPr>
          <w:trHeight w:val="340"/>
          <w:tblHeader/>
          <w:jc w:val="center"/>
        </w:trPr>
        <w:tc>
          <w:tcPr>
            <w:tcW w:w="3676" w:type="dxa"/>
            <w:shd w:val="clear" w:color="auto" w:fill="auto"/>
            <w:tcMar>
              <w:top w:w="0" w:type="dxa"/>
              <w:left w:w="108" w:type="dxa"/>
              <w:bottom w:w="0" w:type="dxa"/>
              <w:right w:w="108" w:type="dxa"/>
            </w:tcMar>
            <w:vAlign w:val="center"/>
          </w:tcPr>
          <w:p w14:paraId="379A5217"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hint="eastAsia"/>
                <w:b/>
                <w:color w:val="000000"/>
                <w:sz w:val="21"/>
                <w:szCs w:val="21"/>
              </w:rPr>
              <w:t>关联方</w:t>
            </w:r>
          </w:p>
        </w:tc>
        <w:tc>
          <w:tcPr>
            <w:tcW w:w="1690" w:type="dxa"/>
            <w:shd w:val="clear" w:color="auto" w:fill="auto"/>
            <w:tcMar>
              <w:top w:w="0" w:type="dxa"/>
              <w:left w:w="108" w:type="dxa"/>
              <w:bottom w:w="0" w:type="dxa"/>
              <w:right w:w="108" w:type="dxa"/>
            </w:tcMar>
            <w:vAlign w:val="center"/>
          </w:tcPr>
          <w:p w14:paraId="364C1FDC"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hint="eastAsia"/>
                <w:b/>
                <w:color w:val="000000"/>
                <w:sz w:val="21"/>
                <w:szCs w:val="21"/>
              </w:rPr>
              <w:t>关联交易内容</w:t>
            </w:r>
          </w:p>
        </w:tc>
        <w:tc>
          <w:tcPr>
            <w:tcW w:w="1511" w:type="dxa"/>
            <w:shd w:val="clear" w:color="auto" w:fill="auto"/>
            <w:tcMar>
              <w:top w:w="0" w:type="dxa"/>
              <w:left w:w="108" w:type="dxa"/>
              <w:bottom w:w="0" w:type="dxa"/>
              <w:right w:w="108" w:type="dxa"/>
            </w:tcMar>
            <w:vAlign w:val="center"/>
          </w:tcPr>
          <w:p w14:paraId="216F1D28"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2021</w:t>
            </w:r>
            <w:r w:rsidRPr="00B4515A">
              <w:rPr>
                <w:rFonts w:ascii="Times New Roman" w:hAnsi="Times New Roman" w:cs="Times New Roman" w:hint="eastAsia"/>
                <w:b/>
                <w:color w:val="000000"/>
                <w:sz w:val="21"/>
                <w:szCs w:val="21"/>
              </w:rPr>
              <w:t>年</w:t>
            </w:r>
            <w:r w:rsidRPr="00B4515A">
              <w:rPr>
                <w:rFonts w:ascii="Times New Roman" w:hAnsi="Times New Roman" w:cs="Times New Roman"/>
                <w:b/>
                <w:color w:val="000000"/>
                <w:sz w:val="21"/>
                <w:szCs w:val="21"/>
              </w:rPr>
              <w:t>1-4</w:t>
            </w:r>
            <w:r w:rsidRPr="00B4515A">
              <w:rPr>
                <w:rFonts w:ascii="Times New Roman" w:hAnsi="Times New Roman" w:cs="Times New Roman" w:hint="eastAsia"/>
                <w:b/>
                <w:color w:val="000000"/>
                <w:sz w:val="21"/>
                <w:szCs w:val="21"/>
              </w:rPr>
              <w:t>月</w:t>
            </w:r>
          </w:p>
        </w:tc>
        <w:tc>
          <w:tcPr>
            <w:tcW w:w="1344" w:type="dxa"/>
            <w:shd w:val="clear" w:color="auto" w:fill="auto"/>
            <w:tcMar>
              <w:top w:w="0" w:type="dxa"/>
              <w:left w:w="108" w:type="dxa"/>
              <w:bottom w:w="0" w:type="dxa"/>
              <w:right w:w="108" w:type="dxa"/>
            </w:tcMar>
            <w:vAlign w:val="center"/>
          </w:tcPr>
          <w:p w14:paraId="3EBE4007"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2020</w:t>
            </w:r>
            <w:r w:rsidRPr="00B4515A">
              <w:rPr>
                <w:rFonts w:ascii="Times New Roman" w:hAnsi="Times New Roman" w:cs="Times New Roman" w:hint="eastAsia"/>
                <w:b/>
                <w:color w:val="000000"/>
                <w:sz w:val="21"/>
                <w:szCs w:val="21"/>
              </w:rPr>
              <w:t>年度</w:t>
            </w:r>
          </w:p>
        </w:tc>
      </w:tr>
      <w:tr w:rsidR="006416B0" w:rsidRPr="00B4515A" w14:paraId="41171FAE"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77AD121E"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辰芯科技有限公司</w:t>
            </w:r>
          </w:p>
        </w:tc>
        <w:tc>
          <w:tcPr>
            <w:tcW w:w="1690" w:type="dxa"/>
            <w:shd w:val="clear" w:color="auto" w:fill="auto"/>
            <w:tcMar>
              <w:top w:w="0" w:type="dxa"/>
              <w:left w:w="108" w:type="dxa"/>
              <w:bottom w:w="0" w:type="dxa"/>
              <w:right w:w="108" w:type="dxa"/>
            </w:tcMar>
            <w:vAlign w:val="center"/>
          </w:tcPr>
          <w:p w14:paraId="459CF03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销售商品</w:t>
            </w:r>
          </w:p>
        </w:tc>
        <w:tc>
          <w:tcPr>
            <w:tcW w:w="1511" w:type="dxa"/>
            <w:shd w:val="clear" w:color="auto" w:fill="auto"/>
            <w:tcMar>
              <w:top w:w="0" w:type="dxa"/>
              <w:left w:w="108" w:type="dxa"/>
              <w:bottom w:w="0" w:type="dxa"/>
              <w:right w:w="108" w:type="dxa"/>
            </w:tcMar>
            <w:vAlign w:val="center"/>
          </w:tcPr>
          <w:p w14:paraId="30B8A72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1,413.65 </w:t>
            </w:r>
          </w:p>
        </w:tc>
        <w:tc>
          <w:tcPr>
            <w:tcW w:w="1344" w:type="dxa"/>
            <w:shd w:val="clear" w:color="auto" w:fill="auto"/>
            <w:tcMar>
              <w:top w:w="0" w:type="dxa"/>
              <w:left w:w="108" w:type="dxa"/>
              <w:bottom w:w="0" w:type="dxa"/>
              <w:right w:w="108" w:type="dxa"/>
            </w:tcMar>
            <w:vAlign w:val="center"/>
          </w:tcPr>
          <w:p w14:paraId="36F0707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6,784.10 </w:t>
            </w:r>
          </w:p>
        </w:tc>
      </w:tr>
      <w:tr w:rsidR="006416B0" w:rsidRPr="00B4515A" w14:paraId="381B15D2"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2F27349F"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数据通信科学技术研究所</w:t>
            </w:r>
          </w:p>
        </w:tc>
        <w:tc>
          <w:tcPr>
            <w:tcW w:w="1690" w:type="dxa"/>
            <w:shd w:val="clear" w:color="auto" w:fill="auto"/>
            <w:tcMar>
              <w:top w:w="0" w:type="dxa"/>
              <w:left w:w="108" w:type="dxa"/>
              <w:bottom w:w="0" w:type="dxa"/>
              <w:right w:w="108" w:type="dxa"/>
            </w:tcMar>
            <w:vAlign w:val="center"/>
          </w:tcPr>
          <w:p w14:paraId="0E1A8C8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销售商品</w:t>
            </w:r>
          </w:p>
        </w:tc>
        <w:tc>
          <w:tcPr>
            <w:tcW w:w="1511" w:type="dxa"/>
            <w:shd w:val="clear" w:color="auto" w:fill="auto"/>
            <w:tcMar>
              <w:top w:w="0" w:type="dxa"/>
              <w:left w:w="108" w:type="dxa"/>
              <w:bottom w:w="0" w:type="dxa"/>
              <w:right w:w="108" w:type="dxa"/>
            </w:tcMar>
            <w:vAlign w:val="center"/>
          </w:tcPr>
          <w:p w14:paraId="2B8D1B6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1,944.96 </w:t>
            </w:r>
          </w:p>
        </w:tc>
        <w:tc>
          <w:tcPr>
            <w:tcW w:w="1344" w:type="dxa"/>
            <w:shd w:val="clear" w:color="auto" w:fill="auto"/>
            <w:tcMar>
              <w:top w:w="0" w:type="dxa"/>
              <w:left w:w="108" w:type="dxa"/>
              <w:bottom w:w="0" w:type="dxa"/>
              <w:right w:w="108" w:type="dxa"/>
            </w:tcMar>
            <w:vAlign w:val="center"/>
          </w:tcPr>
          <w:p w14:paraId="5F61703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1,710.21 </w:t>
            </w:r>
          </w:p>
        </w:tc>
      </w:tr>
      <w:tr w:rsidR="006416B0" w:rsidRPr="00B4515A" w14:paraId="06E9B453"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0220EE56"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烽火通信科技股份有限公司</w:t>
            </w:r>
          </w:p>
        </w:tc>
        <w:tc>
          <w:tcPr>
            <w:tcW w:w="1690" w:type="dxa"/>
            <w:shd w:val="clear" w:color="auto" w:fill="auto"/>
            <w:tcMar>
              <w:top w:w="0" w:type="dxa"/>
              <w:left w:w="108" w:type="dxa"/>
              <w:bottom w:w="0" w:type="dxa"/>
              <w:right w:w="108" w:type="dxa"/>
            </w:tcMar>
            <w:vAlign w:val="center"/>
          </w:tcPr>
          <w:p w14:paraId="446412F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销售商品</w:t>
            </w:r>
          </w:p>
        </w:tc>
        <w:tc>
          <w:tcPr>
            <w:tcW w:w="1511" w:type="dxa"/>
            <w:shd w:val="clear" w:color="auto" w:fill="auto"/>
            <w:tcMar>
              <w:top w:w="0" w:type="dxa"/>
              <w:left w:w="108" w:type="dxa"/>
              <w:bottom w:w="0" w:type="dxa"/>
              <w:right w:w="108" w:type="dxa"/>
            </w:tcMar>
            <w:vAlign w:val="center"/>
          </w:tcPr>
          <w:p w14:paraId="4E3755C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   </w:t>
            </w:r>
          </w:p>
        </w:tc>
        <w:tc>
          <w:tcPr>
            <w:tcW w:w="1344" w:type="dxa"/>
            <w:shd w:val="clear" w:color="auto" w:fill="auto"/>
            <w:tcMar>
              <w:top w:w="0" w:type="dxa"/>
              <w:left w:w="108" w:type="dxa"/>
              <w:bottom w:w="0" w:type="dxa"/>
              <w:right w:w="108" w:type="dxa"/>
            </w:tcMar>
            <w:vAlign w:val="center"/>
          </w:tcPr>
          <w:p w14:paraId="3BE2CD4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3,949.38 </w:t>
            </w:r>
          </w:p>
        </w:tc>
      </w:tr>
      <w:tr w:rsidR="006416B0" w:rsidRPr="00B4515A" w14:paraId="0FADD4A8"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4EB788FA"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合肥大唐存储科技有限公司</w:t>
            </w:r>
          </w:p>
        </w:tc>
        <w:tc>
          <w:tcPr>
            <w:tcW w:w="1690" w:type="dxa"/>
            <w:shd w:val="clear" w:color="auto" w:fill="auto"/>
            <w:tcMar>
              <w:top w:w="0" w:type="dxa"/>
              <w:left w:w="108" w:type="dxa"/>
              <w:bottom w:w="0" w:type="dxa"/>
              <w:right w:w="108" w:type="dxa"/>
            </w:tcMar>
            <w:vAlign w:val="center"/>
          </w:tcPr>
          <w:p w14:paraId="720EBAD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提供劳务</w:t>
            </w:r>
          </w:p>
        </w:tc>
        <w:tc>
          <w:tcPr>
            <w:tcW w:w="1511" w:type="dxa"/>
            <w:shd w:val="clear" w:color="auto" w:fill="auto"/>
            <w:tcMar>
              <w:top w:w="0" w:type="dxa"/>
              <w:left w:w="108" w:type="dxa"/>
              <w:bottom w:w="0" w:type="dxa"/>
              <w:right w:w="108" w:type="dxa"/>
            </w:tcMar>
            <w:vAlign w:val="center"/>
          </w:tcPr>
          <w:p w14:paraId="3A22595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   </w:t>
            </w:r>
          </w:p>
        </w:tc>
        <w:tc>
          <w:tcPr>
            <w:tcW w:w="1344" w:type="dxa"/>
            <w:shd w:val="clear" w:color="auto" w:fill="auto"/>
            <w:tcMar>
              <w:top w:w="0" w:type="dxa"/>
              <w:left w:w="108" w:type="dxa"/>
              <w:bottom w:w="0" w:type="dxa"/>
              <w:right w:w="108" w:type="dxa"/>
            </w:tcMar>
            <w:vAlign w:val="center"/>
          </w:tcPr>
          <w:p w14:paraId="52C94D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1,800.00 </w:t>
            </w:r>
          </w:p>
        </w:tc>
      </w:tr>
      <w:tr w:rsidR="006416B0" w:rsidRPr="00B4515A" w14:paraId="7C7746FF"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1AC3DF44"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大唐半导体科技有限公司</w:t>
            </w:r>
          </w:p>
        </w:tc>
        <w:tc>
          <w:tcPr>
            <w:tcW w:w="1690" w:type="dxa"/>
            <w:shd w:val="clear" w:color="auto" w:fill="auto"/>
            <w:tcMar>
              <w:top w:w="0" w:type="dxa"/>
              <w:left w:w="108" w:type="dxa"/>
              <w:bottom w:w="0" w:type="dxa"/>
              <w:right w:w="108" w:type="dxa"/>
            </w:tcMar>
            <w:vAlign w:val="center"/>
          </w:tcPr>
          <w:p w14:paraId="6758E9F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销售商品</w:t>
            </w:r>
          </w:p>
        </w:tc>
        <w:tc>
          <w:tcPr>
            <w:tcW w:w="1511" w:type="dxa"/>
            <w:shd w:val="clear" w:color="auto" w:fill="auto"/>
            <w:tcMar>
              <w:top w:w="0" w:type="dxa"/>
              <w:left w:w="108" w:type="dxa"/>
              <w:bottom w:w="0" w:type="dxa"/>
              <w:right w:w="108" w:type="dxa"/>
            </w:tcMar>
            <w:vAlign w:val="center"/>
          </w:tcPr>
          <w:p w14:paraId="5913FC9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   </w:t>
            </w:r>
          </w:p>
        </w:tc>
        <w:tc>
          <w:tcPr>
            <w:tcW w:w="1344" w:type="dxa"/>
            <w:shd w:val="clear" w:color="auto" w:fill="auto"/>
            <w:tcMar>
              <w:top w:w="0" w:type="dxa"/>
              <w:left w:w="108" w:type="dxa"/>
              <w:bottom w:w="0" w:type="dxa"/>
              <w:right w:w="108" w:type="dxa"/>
            </w:tcMar>
            <w:vAlign w:val="center"/>
          </w:tcPr>
          <w:p w14:paraId="6ECE53F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53.76 </w:t>
            </w:r>
          </w:p>
        </w:tc>
      </w:tr>
      <w:tr w:rsidR="006416B0" w:rsidRPr="00B4515A" w14:paraId="705B5685"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06EBADFC"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大唐移动通信设备有限公司</w:t>
            </w:r>
          </w:p>
        </w:tc>
        <w:tc>
          <w:tcPr>
            <w:tcW w:w="1690" w:type="dxa"/>
            <w:shd w:val="clear" w:color="auto" w:fill="auto"/>
            <w:tcMar>
              <w:top w:w="0" w:type="dxa"/>
              <w:left w:w="108" w:type="dxa"/>
              <w:bottom w:w="0" w:type="dxa"/>
              <w:right w:w="108" w:type="dxa"/>
            </w:tcMar>
            <w:vAlign w:val="center"/>
          </w:tcPr>
          <w:p w14:paraId="1A7E4E1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销售商品</w:t>
            </w:r>
          </w:p>
        </w:tc>
        <w:tc>
          <w:tcPr>
            <w:tcW w:w="1511" w:type="dxa"/>
            <w:shd w:val="clear" w:color="auto" w:fill="auto"/>
            <w:tcMar>
              <w:top w:w="0" w:type="dxa"/>
              <w:left w:w="108" w:type="dxa"/>
              <w:bottom w:w="0" w:type="dxa"/>
              <w:right w:w="108" w:type="dxa"/>
            </w:tcMar>
            <w:vAlign w:val="center"/>
          </w:tcPr>
          <w:p w14:paraId="7A860B3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0.16 </w:t>
            </w:r>
          </w:p>
        </w:tc>
        <w:tc>
          <w:tcPr>
            <w:tcW w:w="1344" w:type="dxa"/>
            <w:shd w:val="clear" w:color="auto" w:fill="auto"/>
            <w:tcMar>
              <w:top w:w="0" w:type="dxa"/>
              <w:left w:w="108" w:type="dxa"/>
              <w:bottom w:w="0" w:type="dxa"/>
              <w:right w:w="108" w:type="dxa"/>
            </w:tcMar>
            <w:vAlign w:val="center"/>
          </w:tcPr>
          <w:p w14:paraId="03690E6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18.02 </w:t>
            </w:r>
          </w:p>
        </w:tc>
      </w:tr>
      <w:tr w:rsidR="006416B0" w:rsidRPr="00B4515A" w14:paraId="7AEC1EA7"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7B130DDF"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北京大唐智能卡技术有限公司</w:t>
            </w:r>
          </w:p>
        </w:tc>
        <w:tc>
          <w:tcPr>
            <w:tcW w:w="1690" w:type="dxa"/>
            <w:shd w:val="clear" w:color="auto" w:fill="auto"/>
            <w:tcMar>
              <w:top w:w="0" w:type="dxa"/>
              <w:left w:w="108" w:type="dxa"/>
              <w:bottom w:w="0" w:type="dxa"/>
              <w:right w:w="108" w:type="dxa"/>
            </w:tcMar>
            <w:vAlign w:val="center"/>
          </w:tcPr>
          <w:p w14:paraId="2508110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销售商品</w:t>
            </w:r>
          </w:p>
        </w:tc>
        <w:tc>
          <w:tcPr>
            <w:tcW w:w="1511" w:type="dxa"/>
            <w:shd w:val="clear" w:color="auto" w:fill="auto"/>
            <w:tcMar>
              <w:top w:w="0" w:type="dxa"/>
              <w:left w:w="108" w:type="dxa"/>
              <w:bottom w:w="0" w:type="dxa"/>
              <w:right w:w="108" w:type="dxa"/>
            </w:tcMar>
            <w:vAlign w:val="center"/>
          </w:tcPr>
          <w:p w14:paraId="418244D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   </w:t>
            </w:r>
          </w:p>
        </w:tc>
        <w:tc>
          <w:tcPr>
            <w:tcW w:w="1344" w:type="dxa"/>
            <w:shd w:val="clear" w:color="auto" w:fill="auto"/>
            <w:tcMar>
              <w:top w:w="0" w:type="dxa"/>
              <w:left w:w="108" w:type="dxa"/>
              <w:bottom w:w="0" w:type="dxa"/>
              <w:right w:w="108" w:type="dxa"/>
            </w:tcMar>
            <w:vAlign w:val="center"/>
          </w:tcPr>
          <w:p w14:paraId="3D9792E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25.40 </w:t>
            </w:r>
          </w:p>
        </w:tc>
      </w:tr>
      <w:tr w:rsidR="006416B0" w:rsidRPr="00B4515A" w14:paraId="4500D3B1"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4F60F257"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电信科学技术第十研究所有限公司</w:t>
            </w:r>
          </w:p>
        </w:tc>
        <w:tc>
          <w:tcPr>
            <w:tcW w:w="1690" w:type="dxa"/>
            <w:shd w:val="clear" w:color="auto" w:fill="auto"/>
            <w:tcMar>
              <w:top w:w="0" w:type="dxa"/>
              <w:left w:w="108" w:type="dxa"/>
              <w:bottom w:w="0" w:type="dxa"/>
              <w:right w:w="108" w:type="dxa"/>
            </w:tcMar>
            <w:vAlign w:val="center"/>
          </w:tcPr>
          <w:p w14:paraId="553DCF3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销售商品</w:t>
            </w:r>
          </w:p>
        </w:tc>
        <w:tc>
          <w:tcPr>
            <w:tcW w:w="1511" w:type="dxa"/>
            <w:shd w:val="clear" w:color="auto" w:fill="auto"/>
            <w:tcMar>
              <w:top w:w="0" w:type="dxa"/>
              <w:left w:w="108" w:type="dxa"/>
              <w:bottom w:w="0" w:type="dxa"/>
              <w:right w:w="108" w:type="dxa"/>
            </w:tcMar>
            <w:vAlign w:val="center"/>
          </w:tcPr>
          <w:p w14:paraId="3F445CF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   </w:t>
            </w:r>
          </w:p>
        </w:tc>
        <w:tc>
          <w:tcPr>
            <w:tcW w:w="1344" w:type="dxa"/>
            <w:shd w:val="clear" w:color="auto" w:fill="auto"/>
            <w:tcMar>
              <w:top w:w="0" w:type="dxa"/>
              <w:left w:w="108" w:type="dxa"/>
              <w:bottom w:w="0" w:type="dxa"/>
              <w:right w:w="108" w:type="dxa"/>
            </w:tcMar>
            <w:vAlign w:val="center"/>
          </w:tcPr>
          <w:p w14:paraId="3CAFF2C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24.76 </w:t>
            </w:r>
          </w:p>
        </w:tc>
      </w:tr>
      <w:tr w:rsidR="006416B0" w:rsidRPr="00B4515A" w14:paraId="3298B445"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4BC617A0"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大唐高鸿数据网络技术股份有限公司</w:t>
            </w:r>
          </w:p>
        </w:tc>
        <w:tc>
          <w:tcPr>
            <w:tcW w:w="1690" w:type="dxa"/>
            <w:shd w:val="clear" w:color="auto" w:fill="auto"/>
            <w:tcMar>
              <w:top w:w="0" w:type="dxa"/>
              <w:left w:w="108" w:type="dxa"/>
              <w:bottom w:w="0" w:type="dxa"/>
              <w:right w:w="108" w:type="dxa"/>
            </w:tcMar>
            <w:vAlign w:val="center"/>
          </w:tcPr>
          <w:p w14:paraId="0985254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销售商品</w:t>
            </w:r>
          </w:p>
        </w:tc>
        <w:tc>
          <w:tcPr>
            <w:tcW w:w="1511" w:type="dxa"/>
            <w:shd w:val="clear" w:color="auto" w:fill="auto"/>
            <w:tcMar>
              <w:top w:w="0" w:type="dxa"/>
              <w:left w:w="108" w:type="dxa"/>
              <w:bottom w:w="0" w:type="dxa"/>
              <w:right w:w="108" w:type="dxa"/>
            </w:tcMar>
            <w:vAlign w:val="center"/>
          </w:tcPr>
          <w:p w14:paraId="53F4BC1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   </w:t>
            </w:r>
          </w:p>
        </w:tc>
        <w:tc>
          <w:tcPr>
            <w:tcW w:w="1344" w:type="dxa"/>
            <w:shd w:val="clear" w:color="auto" w:fill="auto"/>
            <w:tcMar>
              <w:top w:w="0" w:type="dxa"/>
              <w:left w:w="108" w:type="dxa"/>
              <w:bottom w:w="0" w:type="dxa"/>
              <w:right w:w="108" w:type="dxa"/>
            </w:tcMar>
            <w:vAlign w:val="center"/>
          </w:tcPr>
          <w:p w14:paraId="6EE06BE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58.41 </w:t>
            </w:r>
          </w:p>
        </w:tc>
      </w:tr>
      <w:tr w:rsidR="006416B0" w:rsidRPr="00B4515A" w14:paraId="471DC137"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274880D4"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大唐联仪科技有限公司</w:t>
            </w:r>
          </w:p>
        </w:tc>
        <w:tc>
          <w:tcPr>
            <w:tcW w:w="1690" w:type="dxa"/>
            <w:shd w:val="clear" w:color="auto" w:fill="auto"/>
            <w:tcMar>
              <w:top w:w="0" w:type="dxa"/>
              <w:left w:w="108" w:type="dxa"/>
              <w:bottom w:w="0" w:type="dxa"/>
              <w:right w:w="108" w:type="dxa"/>
            </w:tcMar>
            <w:vAlign w:val="center"/>
          </w:tcPr>
          <w:p w14:paraId="2382FC9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销售商品</w:t>
            </w:r>
          </w:p>
        </w:tc>
        <w:tc>
          <w:tcPr>
            <w:tcW w:w="1511" w:type="dxa"/>
            <w:shd w:val="clear" w:color="auto" w:fill="auto"/>
            <w:tcMar>
              <w:top w:w="0" w:type="dxa"/>
              <w:left w:w="108" w:type="dxa"/>
              <w:bottom w:w="0" w:type="dxa"/>
              <w:right w:w="108" w:type="dxa"/>
            </w:tcMar>
            <w:vAlign w:val="center"/>
          </w:tcPr>
          <w:p w14:paraId="7321E45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   </w:t>
            </w:r>
          </w:p>
        </w:tc>
        <w:tc>
          <w:tcPr>
            <w:tcW w:w="1344" w:type="dxa"/>
            <w:shd w:val="clear" w:color="auto" w:fill="auto"/>
            <w:tcMar>
              <w:top w:w="0" w:type="dxa"/>
              <w:left w:w="108" w:type="dxa"/>
              <w:bottom w:w="0" w:type="dxa"/>
              <w:right w:w="108" w:type="dxa"/>
            </w:tcMar>
            <w:vAlign w:val="center"/>
          </w:tcPr>
          <w:p w14:paraId="76416DC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40.71 </w:t>
            </w:r>
          </w:p>
        </w:tc>
      </w:tr>
      <w:tr w:rsidR="006416B0" w:rsidRPr="00B4515A" w14:paraId="2D7791EB"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5B8A24EF"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大唐奇安网络科技有限公司</w:t>
            </w:r>
          </w:p>
        </w:tc>
        <w:tc>
          <w:tcPr>
            <w:tcW w:w="1690" w:type="dxa"/>
            <w:shd w:val="clear" w:color="auto" w:fill="auto"/>
            <w:tcMar>
              <w:top w:w="0" w:type="dxa"/>
              <w:left w:w="108" w:type="dxa"/>
              <w:bottom w:w="0" w:type="dxa"/>
              <w:right w:w="108" w:type="dxa"/>
            </w:tcMar>
            <w:vAlign w:val="center"/>
          </w:tcPr>
          <w:p w14:paraId="5DB7C96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销售商品</w:t>
            </w:r>
          </w:p>
        </w:tc>
        <w:tc>
          <w:tcPr>
            <w:tcW w:w="1511" w:type="dxa"/>
            <w:shd w:val="clear" w:color="auto" w:fill="auto"/>
            <w:tcMar>
              <w:top w:w="0" w:type="dxa"/>
              <w:left w:w="108" w:type="dxa"/>
              <w:bottom w:w="0" w:type="dxa"/>
              <w:right w:w="108" w:type="dxa"/>
            </w:tcMar>
            <w:vAlign w:val="center"/>
          </w:tcPr>
          <w:p w14:paraId="6EB55E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18.58 </w:t>
            </w:r>
          </w:p>
        </w:tc>
        <w:tc>
          <w:tcPr>
            <w:tcW w:w="1344" w:type="dxa"/>
            <w:shd w:val="clear" w:color="auto" w:fill="auto"/>
            <w:tcMar>
              <w:top w:w="0" w:type="dxa"/>
              <w:left w:w="108" w:type="dxa"/>
              <w:bottom w:w="0" w:type="dxa"/>
              <w:right w:w="108" w:type="dxa"/>
            </w:tcMar>
            <w:vAlign w:val="center"/>
          </w:tcPr>
          <w:p w14:paraId="3F07E8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   </w:t>
            </w:r>
          </w:p>
        </w:tc>
      </w:tr>
      <w:tr w:rsidR="006416B0" w:rsidRPr="00B4515A" w14:paraId="62777A6D"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5F25AB40"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宸芯科技有限公司</w:t>
            </w:r>
            <w:r w:rsidRPr="00B4515A">
              <w:rPr>
                <w:rFonts w:ascii="Times New Roman" w:hAnsi="Times New Roman" w:cs="Times New Roman"/>
                <w:sz w:val="21"/>
                <w:szCs w:val="21"/>
              </w:rPr>
              <w:t xml:space="preserve"> </w:t>
            </w:r>
          </w:p>
        </w:tc>
        <w:tc>
          <w:tcPr>
            <w:tcW w:w="1690" w:type="dxa"/>
            <w:shd w:val="clear" w:color="auto" w:fill="auto"/>
            <w:tcMar>
              <w:top w:w="0" w:type="dxa"/>
              <w:left w:w="108" w:type="dxa"/>
              <w:bottom w:w="0" w:type="dxa"/>
              <w:right w:w="108" w:type="dxa"/>
            </w:tcMar>
            <w:vAlign w:val="center"/>
          </w:tcPr>
          <w:p w14:paraId="4327B00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销售商品</w:t>
            </w:r>
          </w:p>
        </w:tc>
        <w:tc>
          <w:tcPr>
            <w:tcW w:w="1511" w:type="dxa"/>
            <w:shd w:val="clear" w:color="auto" w:fill="auto"/>
            <w:tcMar>
              <w:top w:w="0" w:type="dxa"/>
              <w:left w:w="108" w:type="dxa"/>
              <w:bottom w:w="0" w:type="dxa"/>
              <w:right w:w="108" w:type="dxa"/>
            </w:tcMar>
            <w:vAlign w:val="center"/>
          </w:tcPr>
          <w:p w14:paraId="64981C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5.48 </w:t>
            </w:r>
          </w:p>
        </w:tc>
        <w:tc>
          <w:tcPr>
            <w:tcW w:w="1344" w:type="dxa"/>
            <w:shd w:val="clear" w:color="auto" w:fill="auto"/>
            <w:tcMar>
              <w:top w:w="0" w:type="dxa"/>
              <w:left w:w="108" w:type="dxa"/>
              <w:bottom w:w="0" w:type="dxa"/>
              <w:right w:w="108" w:type="dxa"/>
            </w:tcMar>
            <w:vAlign w:val="center"/>
          </w:tcPr>
          <w:p w14:paraId="3A9ADF5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   </w:t>
            </w:r>
          </w:p>
        </w:tc>
      </w:tr>
      <w:tr w:rsidR="006416B0" w:rsidRPr="00B4515A" w14:paraId="771530C3"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1CA095AB"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sz w:val="21"/>
                <w:szCs w:val="21"/>
              </w:rPr>
              <w:t>大唐半导体科技有限公司</w:t>
            </w:r>
          </w:p>
        </w:tc>
        <w:tc>
          <w:tcPr>
            <w:tcW w:w="1690" w:type="dxa"/>
            <w:shd w:val="clear" w:color="auto" w:fill="auto"/>
            <w:tcMar>
              <w:top w:w="0" w:type="dxa"/>
              <w:left w:w="108" w:type="dxa"/>
              <w:bottom w:w="0" w:type="dxa"/>
              <w:right w:w="108" w:type="dxa"/>
            </w:tcMar>
            <w:vAlign w:val="center"/>
          </w:tcPr>
          <w:p w14:paraId="579A947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出售商品</w:t>
            </w:r>
          </w:p>
        </w:tc>
        <w:tc>
          <w:tcPr>
            <w:tcW w:w="1511" w:type="dxa"/>
            <w:shd w:val="clear" w:color="auto" w:fill="auto"/>
            <w:tcMar>
              <w:top w:w="0" w:type="dxa"/>
              <w:left w:w="108" w:type="dxa"/>
              <w:bottom w:w="0" w:type="dxa"/>
              <w:right w:w="108" w:type="dxa"/>
            </w:tcMar>
            <w:vAlign w:val="center"/>
          </w:tcPr>
          <w:p w14:paraId="603D8C4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   </w:t>
            </w:r>
          </w:p>
        </w:tc>
        <w:tc>
          <w:tcPr>
            <w:tcW w:w="1344" w:type="dxa"/>
            <w:shd w:val="clear" w:color="auto" w:fill="auto"/>
            <w:tcMar>
              <w:top w:w="0" w:type="dxa"/>
              <w:left w:w="108" w:type="dxa"/>
              <w:bottom w:w="0" w:type="dxa"/>
              <w:right w:w="108" w:type="dxa"/>
            </w:tcMar>
            <w:vAlign w:val="center"/>
          </w:tcPr>
          <w:p w14:paraId="343BD98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sz w:val="21"/>
                <w:szCs w:val="21"/>
              </w:rPr>
              <w:t xml:space="preserve"> 7.96 </w:t>
            </w:r>
          </w:p>
        </w:tc>
      </w:tr>
      <w:tr w:rsidR="006416B0" w:rsidRPr="00B4515A" w14:paraId="5E6C2905" w14:textId="77777777" w:rsidTr="00031627">
        <w:trPr>
          <w:trHeight w:val="340"/>
          <w:jc w:val="center"/>
        </w:trPr>
        <w:tc>
          <w:tcPr>
            <w:tcW w:w="3676" w:type="dxa"/>
            <w:shd w:val="clear" w:color="auto" w:fill="auto"/>
            <w:tcMar>
              <w:top w:w="0" w:type="dxa"/>
              <w:left w:w="108" w:type="dxa"/>
              <w:bottom w:w="0" w:type="dxa"/>
              <w:right w:w="108" w:type="dxa"/>
            </w:tcMar>
            <w:vAlign w:val="center"/>
          </w:tcPr>
          <w:p w14:paraId="02FC9A6F" w14:textId="77777777" w:rsidR="006416B0" w:rsidRPr="00B4515A" w:rsidRDefault="005E58C1" w:rsidP="005860B4">
            <w:pPr>
              <w:adjustRightInd w:val="0"/>
              <w:snapToGrid w:val="0"/>
              <w:jc w:val="center"/>
              <w:rPr>
                <w:rFonts w:ascii="Times New Roman" w:hAnsi="Times New Roman" w:cs="Times New Roman"/>
                <w:b/>
                <w:bCs/>
                <w:color w:val="000000"/>
                <w:sz w:val="21"/>
                <w:szCs w:val="21"/>
              </w:rPr>
            </w:pPr>
            <w:r w:rsidRPr="00B4515A">
              <w:rPr>
                <w:rFonts w:ascii="Times New Roman" w:hAnsi="Times New Roman" w:cs="Times New Roman" w:hint="eastAsia"/>
                <w:b/>
                <w:bCs/>
                <w:color w:val="000000"/>
                <w:sz w:val="21"/>
                <w:szCs w:val="21"/>
              </w:rPr>
              <w:t>合计</w:t>
            </w:r>
          </w:p>
        </w:tc>
        <w:tc>
          <w:tcPr>
            <w:tcW w:w="1690" w:type="dxa"/>
            <w:shd w:val="clear" w:color="auto" w:fill="auto"/>
            <w:tcMar>
              <w:top w:w="0" w:type="dxa"/>
              <w:left w:w="108" w:type="dxa"/>
              <w:bottom w:w="0" w:type="dxa"/>
              <w:right w:w="108" w:type="dxa"/>
            </w:tcMar>
            <w:vAlign w:val="center"/>
          </w:tcPr>
          <w:p w14:paraId="2FBD55E3" w14:textId="77777777" w:rsidR="006416B0" w:rsidRPr="00B4515A" w:rsidRDefault="005E58C1" w:rsidP="005860B4">
            <w:pPr>
              <w:adjustRightInd w:val="0"/>
              <w:snapToGrid w:val="0"/>
              <w:rPr>
                <w:rFonts w:ascii="Times New Roman" w:hAnsi="Times New Roman" w:cs="Times New Roman"/>
                <w:b/>
                <w:bCs/>
                <w:color w:val="000000"/>
                <w:sz w:val="21"/>
                <w:szCs w:val="21"/>
              </w:rPr>
            </w:pPr>
            <w:r w:rsidRPr="00B4515A">
              <w:rPr>
                <w:rFonts w:ascii="Times New Roman" w:hAnsi="Times New Roman" w:cs="Times New Roman" w:hint="eastAsia"/>
                <w:b/>
                <w:bCs/>
                <w:color w:val="000000"/>
                <w:sz w:val="21"/>
                <w:szCs w:val="21"/>
              </w:rPr>
              <w:t xml:space="preserve">　</w:t>
            </w:r>
          </w:p>
        </w:tc>
        <w:tc>
          <w:tcPr>
            <w:tcW w:w="1511" w:type="dxa"/>
            <w:shd w:val="clear" w:color="auto" w:fill="auto"/>
            <w:tcMar>
              <w:top w:w="0" w:type="dxa"/>
              <w:left w:w="108" w:type="dxa"/>
              <w:bottom w:w="0" w:type="dxa"/>
              <w:right w:w="108" w:type="dxa"/>
            </w:tcMar>
            <w:vAlign w:val="center"/>
          </w:tcPr>
          <w:p w14:paraId="0D94BCD6"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3,382.83</w:t>
            </w:r>
          </w:p>
        </w:tc>
        <w:tc>
          <w:tcPr>
            <w:tcW w:w="1344" w:type="dxa"/>
            <w:shd w:val="clear" w:color="auto" w:fill="auto"/>
            <w:tcMar>
              <w:top w:w="0" w:type="dxa"/>
              <w:left w:w="108" w:type="dxa"/>
              <w:bottom w:w="0" w:type="dxa"/>
              <w:right w:w="108" w:type="dxa"/>
            </w:tcMar>
            <w:vAlign w:val="center"/>
          </w:tcPr>
          <w:p w14:paraId="1E1D2048" w14:textId="77777777" w:rsidR="006416B0" w:rsidRPr="00B4515A" w:rsidRDefault="005E58C1" w:rsidP="005860B4">
            <w:pPr>
              <w:adjustRightInd w:val="0"/>
              <w:snapToGrid w:val="0"/>
              <w:jc w:val="right"/>
              <w:rPr>
                <w:rFonts w:ascii="Times New Roman" w:hAnsi="Times New Roman" w:cs="Times New Roman"/>
                <w:b/>
                <w:bCs/>
                <w:color w:val="000000"/>
                <w:sz w:val="21"/>
                <w:szCs w:val="21"/>
              </w:rPr>
            </w:pPr>
            <w:r w:rsidRPr="00B4515A">
              <w:rPr>
                <w:rFonts w:ascii="Times New Roman" w:hAnsi="Times New Roman" w:cs="Times New Roman"/>
                <w:b/>
                <w:bCs/>
                <w:color w:val="000000"/>
                <w:sz w:val="21"/>
                <w:szCs w:val="21"/>
              </w:rPr>
              <w:t>14,472.71</w:t>
            </w:r>
          </w:p>
        </w:tc>
      </w:tr>
    </w:tbl>
    <w:p w14:paraId="0A454A74" w14:textId="77777777" w:rsidR="006416B0" w:rsidRPr="00B4515A" w:rsidRDefault="005E58C1" w:rsidP="006100BC">
      <w:pPr>
        <w:pStyle w:val="005"/>
        <w:spacing w:before="120" w:after="120"/>
        <w:ind w:firstLine="480"/>
      </w:pPr>
      <w:bookmarkStart w:id="349" w:name="_Toc75169332"/>
      <w:r w:rsidRPr="00B4515A">
        <w:t>（</w:t>
      </w:r>
      <w:r w:rsidRPr="00B4515A">
        <w:t>3</w:t>
      </w:r>
      <w:r w:rsidRPr="00B4515A">
        <w:t>）关联担保情况</w:t>
      </w:r>
      <w:bookmarkEnd w:id="349"/>
    </w:p>
    <w:p w14:paraId="1F45FEA9" w14:textId="77777777" w:rsidR="006416B0" w:rsidRPr="00B4515A" w:rsidRDefault="005E58C1" w:rsidP="006100BC">
      <w:pPr>
        <w:pStyle w:val="005"/>
        <w:spacing w:before="120" w:after="120"/>
        <w:ind w:firstLine="480"/>
      </w:pPr>
      <w:r w:rsidRPr="00B4515A">
        <w:rPr>
          <w:rFonts w:hint="eastAsia"/>
        </w:rPr>
        <w:t>1</w:t>
      </w:r>
      <w:r w:rsidRPr="00B4515A">
        <w:rPr>
          <w:rFonts w:hint="eastAsia"/>
        </w:rPr>
        <w:t>）</w:t>
      </w:r>
      <w:r w:rsidRPr="00B4515A">
        <w:t>本公司作为担保方：</w:t>
      </w:r>
    </w:p>
    <w:p w14:paraId="5B476DEA" w14:textId="301F0BA7" w:rsidR="006416B0" w:rsidRPr="00B4515A" w:rsidRDefault="00D44516" w:rsidP="006100BC">
      <w:pPr>
        <w:pStyle w:val="009"/>
      </w:pPr>
      <w:r w:rsidRPr="00B4515A">
        <w:rPr>
          <w:rFonts w:hint="eastAsia"/>
          <w:bCs/>
          <w:kern w:val="0"/>
        </w:rPr>
        <w:t>单位：万元</w:t>
      </w:r>
      <w:r w:rsidR="005E58C1" w:rsidRPr="00B4515A">
        <w:fldChar w:fldCharType="begin"/>
      </w:r>
      <w:r w:rsidR="005E58C1" w:rsidRPr="00B4515A">
        <w:instrText xml:space="preserve"> LINK Excel.Sheet.12 E:\\</w:instrText>
      </w:r>
      <w:r w:rsidR="005E58C1" w:rsidRPr="00B4515A">
        <w:instrText>雍</w:instrText>
      </w:r>
      <w:r w:rsidR="005E58C1" w:rsidRPr="00B4515A">
        <w:instrText>\\</w:instrText>
      </w:r>
      <w:r w:rsidR="005E58C1" w:rsidRPr="00B4515A">
        <w:instrText>附注排版</w:instrText>
      </w:r>
      <w:r w:rsidR="005E58C1" w:rsidRPr="00B4515A">
        <w:instrText>\\2014</w:instrText>
      </w:r>
      <w:r w:rsidR="005E58C1" w:rsidRPr="00B4515A">
        <w:instrText>年年报格式</w:instrText>
      </w:r>
      <w:r w:rsidR="005E58C1" w:rsidRPr="00B4515A">
        <w:instrText>\\</w:instrText>
      </w:r>
      <w:r w:rsidR="005E58C1" w:rsidRPr="00B4515A">
        <w:instrText>附注过渡表</w:instrText>
      </w:r>
      <w:r w:rsidR="005E58C1" w:rsidRPr="00B4515A">
        <w:instrText xml:space="preserve">20150130V0910.xlsx </w:instrText>
      </w:r>
      <w:r w:rsidR="005E58C1" w:rsidRPr="00B4515A">
        <w:instrText>关联方及关联方交易</w:instrText>
      </w:r>
      <w:r w:rsidR="005E58C1" w:rsidRPr="00B4515A">
        <w:instrText>!</w:instrText>
      </w:r>
      <w:r w:rsidR="005E58C1" w:rsidRPr="00B4515A">
        <w:instrText>关联方情况</w:instrText>
      </w:r>
      <w:r w:rsidR="005E58C1" w:rsidRPr="00B4515A">
        <w:instrText xml:space="preserve">9 \f 4 \h \* MERGEFORMAT </w:instrText>
      </w:r>
      <w:r w:rsidR="005E58C1" w:rsidRPr="00B4515A">
        <w:fldChar w:fldCharType="separate"/>
      </w:r>
    </w:p>
    <w:tbl>
      <w:tblPr>
        <w:tblStyle w:val="2fd"/>
        <w:tblW w:w="5000" w:type="pct"/>
        <w:tblInd w:w="-15" w:type="dxa"/>
        <w:tblBorders>
          <w:left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353"/>
        <w:gridCol w:w="1402"/>
        <w:gridCol w:w="1192"/>
        <w:gridCol w:w="1192"/>
        <w:gridCol w:w="1389"/>
      </w:tblGrid>
      <w:tr w:rsidR="006416B0" w:rsidRPr="00B4515A" w14:paraId="2ED8BE24" w14:textId="77777777" w:rsidTr="00031627">
        <w:trPr>
          <w:trHeight w:val="340"/>
          <w:tblHeader/>
        </w:trPr>
        <w:tc>
          <w:tcPr>
            <w:tcW w:w="3255" w:type="dxa"/>
            <w:tcMar>
              <w:top w:w="0" w:type="dxa"/>
              <w:left w:w="108" w:type="dxa"/>
              <w:bottom w:w="0" w:type="dxa"/>
              <w:right w:w="108" w:type="dxa"/>
            </w:tcMar>
            <w:vAlign w:val="center"/>
          </w:tcPr>
          <w:p w14:paraId="5E507FA6"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被担保方</w:t>
            </w:r>
          </w:p>
        </w:tc>
        <w:tc>
          <w:tcPr>
            <w:tcW w:w="1362" w:type="dxa"/>
            <w:tcMar>
              <w:top w:w="0" w:type="dxa"/>
              <w:left w:w="108" w:type="dxa"/>
              <w:bottom w:w="0" w:type="dxa"/>
              <w:right w:w="108" w:type="dxa"/>
            </w:tcMar>
            <w:vAlign w:val="center"/>
          </w:tcPr>
          <w:p w14:paraId="513DF4BF"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担保金额</w:t>
            </w:r>
          </w:p>
        </w:tc>
        <w:tc>
          <w:tcPr>
            <w:tcW w:w="1158" w:type="dxa"/>
            <w:tcMar>
              <w:top w:w="0" w:type="dxa"/>
              <w:left w:w="108" w:type="dxa"/>
              <w:bottom w:w="0" w:type="dxa"/>
              <w:right w:w="108" w:type="dxa"/>
            </w:tcMar>
            <w:vAlign w:val="center"/>
          </w:tcPr>
          <w:p w14:paraId="771EF0B9" w14:textId="77777777" w:rsidR="006100BC"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担保起</w:t>
            </w:r>
          </w:p>
          <w:p w14:paraId="50E31D60" w14:textId="7905F1B9"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始日</w:t>
            </w:r>
          </w:p>
        </w:tc>
        <w:tc>
          <w:tcPr>
            <w:tcW w:w="1158" w:type="dxa"/>
            <w:tcMar>
              <w:top w:w="0" w:type="dxa"/>
              <w:left w:w="108" w:type="dxa"/>
              <w:bottom w:w="0" w:type="dxa"/>
              <w:right w:w="108" w:type="dxa"/>
            </w:tcMar>
            <w:vAlign w:val="center"/>
          </w:tcPr>
          <w:p w14:paraId="7417449C" w14:textId="77777777" w:rsidR="006100BC"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担保到</w:t>
            </w:r>
          </w:p>
          <w:p w14:paraId="33EACB7C" w14:textId="3BAFFEFF"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期日</w:t>
            </w:r>
          </w:p>
        </w:tc>
        <w:tc>
          <w:tcPr>
            <w:tcW w:w="1349" w:type="dxa"/>
            <w:tcMar>
              <w:top w:w="0" w:type="dxa"/>
              <w:left w:w="108" w:type="dxa"/>
              <w:bottom w:w="0" w:type="dxa"/>
              <w:right w:w="108" w:type="dxa"/>
            </w:tcMar>
            <w:vAlign w:val="center"/>
          </w:tcPr>
          <w:p w14:paraId="518D2532"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担保是否已经履行完毕</w:t>
            </w:r>
          </w:p>
        </w:tc>
      </w:tr>
      <w:tr w:rsidR="006416B0" w:rsidRPr="00B4515A" w14:paraId="651962B0" w14:textId="77777777" w:rsidTr="00031627">
        <w:trPr>
          <w:trHeight w:val="340"/>
        </w:trPr>
        <w:tc>
          <w:tcPr>
            <w:tcW w:w="3255" w:type="dxa"/>
            <w:tcMar>
              <w:top w:w="0" w:type="dxa"/>
              <w:left w:w="108" w:type="dxa"/>
              <w:bottom w:w="0" w:type="dxa"/>
              <w:right w:w="108" w:type="dxa"/>
            </w:tcMar>
            <w:vAlign w:val="center"/>
          </w:tcPr>
          <w:p w14:paraId="4C032FC9"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江苏安防科技有限公司</w:t>
            </w:r>
          </w:p>
        </w:tc>
        <w:tc>
          <w:tcPr>
            <w:tcW w:w="1362" w:type="dxa"/>
            <w:tcMar>
              <w:top w:w="0" w:type="dxa"/>
              <w:left w:w="108" w:type="dxa"/>
              <w:bottom w:w="0" w:type="dxa"/>
              <w:right w:w="108" w:type="dxa"/>
            </w:tcMar>
            <w:vAlign w:val="center"/>
          </w:tcPr>
          <w:p w14:paraId="314D2184"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1,000.00</w:t>
            </w:r>
          </w:p>
        </w:tc>
        <w:tc>
          <w:tcPr>
            <w:tcW w:w="1158" w:type="dxa"/>
            <w:tcMar>
              <w:top w:w="0" w:type="dxa"/>
              <w:left w:w="108" w:type="dxa"/>
              <w:bottom w:w="0" w:type="dxa"/>
              <w:right w:w="108" w:type="dxa"/>
            </w:tcMar>
            <w:vAlign w:val="center"/>
          </w:tcPr>
          <w:p w14:paraId="770B8337"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2020/7/28</w:t>
            </w:r>
          </w:p>
        </w:tc>
        <w:tc>
          <w:tcPr>
            <w:tcW w:w="1158" w:type="dxa"/>
            <w:tcMar>
              <w:top w:w="0" w:type="dxa"/>
              <w:left w:w="108" w:type="dxa"/>
              <w:bottom w:w="0" w:type="dxa"/>
              <w:right w:w="108" w:type="dxa"/>
            </w:tcMar>
            <w:vAlign w:val="center"/>
          </w:tcPr>
          <w:p w14:paraId="0FB5D303"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2021/7/17</w:t>
            </w:r>
          </w:p>
        </w:tc>
        <w:tc>
          <w:tcPr>
            <w:tcW w:w="1349" w:type="dxa"/>
            <w:tcMar>
              <w:top w:w="0" w:type="dxa"/>
              <w:left w:w="108" w:type="dxa"/>
              <w:bottom w:w="0" w:type="dxa"/>
              <w:right w:w="108" w:type="dxa"/>
            </w:tcMar>
            <w:vAlign w:val="center"/>
          </w:tcPr>
          <w:p w14:paraId="4D6CE1A5"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否</w:t>
            </w:r>
          </w:p>
        </w:tc>
      </w:tr>
      <w:tr w:rsidR="006416B0" w:rsidRPr="00B4515A" w14:paraId="5D35D0B1" w14:textId="77777777" w:rsidTr="00031627">
        <w:trPr>
          <w:trHeight w:val="340"/>
        </w:trPr>
        <w:tc>
          <w:tcPr>
            <w:tcW w:w="3255" w:type="dxa"/>
            <w:tcMar>
              <w:top w:w="0" w:type="dxa"/>
              <w:left w:w="108" w:type="dxa"/>
              <w:bottom w:w="0" w:type="dxa"/>
              <w:right w:w="108" w:type="dxa"/>
            </w:tcMar>
            <w:vAlign w:val="center"/>
          </w:tcPr>
          <w:p w14:paraId="19EBDB6C"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江苏安防科技有限公司</w:t>
            </w:r>
          </w:p>
        </w:tc>
        <w:tc>
          <w:tcPr>
            <w:tcW w:w="1362" w:type="dxa"/>
            <w:tcMar>
              <w:top w:w="0" w:type="dxa"/>
              <w:left w:w="108" w:type="dxa"/>
              <w:bottom w:w="0" w:type="dxa"/>
              <w:right w:w="108" w:type="dxa"/>
            </w:tcMar>
            <w:vAlign w:val="center"/>
          </w:tcPr>
          <w:p w14:paraId="084D7DC7"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500.00</w:t>
            </w:r>
          </w:p>
        </w:tc>
        <w:tc>
          <w:tcPr>
            <w:tcW w:w="1158" w:type="dxa"/>
            <w:tcMar>
              <w:top w:w="0" w:type="dxa"/>
              <w:left w:w="108" w:type="dxa"/>
              <w:bottom w:w="0" w:type="dxa"/>
              <w:right w:w="108" w:type="dxa"/>
            </w:tcMar>
            <w:vAlign w:val="center"/>
          </w:tcPr>
          <w:p w14:paraId="1FDEEFF8"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2020/7/27</w:t>
            </w:r>
          </w:p>
        </w:tc>
        <w:tc>
          <w:tcPr>
            <w:tcW w:w="1158" w:type="dxa"/>
            <w:tcMar>
              <w:top w:w="0" w:type="dxa"/>
              <w:left w:w="108" w:type="dxa"/>
              <w:bottom w:w="0" w:type="dxa"/>
              <w:right w:w="108" w:type="dxa"/>
            </w:tcMar>
            <w:vAlign w:val="center"/>
          </w:tcPr>
          <w:p w14:paraId="46A8CB2B"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2021/7/20</w:t>
            </w:r>
          </w:p>
        </w:tc>
        <w:tc>
          <w:tcPr>
            <w:tcW w:w="1349" w:type="dxa"/>
            <w:tcMar>
              <w:top w:w="0" w:type="dxa"/>
              <w:left w:w="108" w:type="dxa"/>
              <w:bottom w:w="0" w:type="dxa"/>
              <w:right w:w="108" w:type="dxa"/>
            </w:tcMar>
            <w:vAlign w:val="center"/>
          </w:tcPr>
          <w:p w14:paraId="548714CD"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否</w:t>
            </w:r>
          </w:p>
        </w:tc>
      </w:tr>
      <w:tr w:rsidR="006416B0" w:rsidRPr="00B4515A" w14:paraId="0190B4C6" w14:textId="77777777" w:rsidTr="00031627">
        <w:trPr>
          <w:trHeight w:val="340"/>
        </w:trPr>
        <w:tc>
          <w:tcPr>
            <w:tcW w:w="3255" w:type="dxa"/>
            <w:tcMar>
              <w:top w:w="0" w:type="dxa"/>
              <w:left w:w="108" w:type="dxa"/>
              <w:bottom w:w="0" w:type="dxa"/>
              <w:right w:w="108" w:type="dxa"/>
            </w:tcMar>
            <w:vAlign w:val="center"/>
          </w:tcPr>
          <w:p w14:paraId="7493F66E"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江苏安防科技有限公司</w:t>
            </w:r>
          </w:p>
        </w:tc>
        <w:tc>
          <w:tcPr>
            <w:tcW w:w="1362" w:type="dxa"/>
            <w:tcMar>
              <w:top w:w="0" w:type="dxa"/>
              <w:left w:w="108" w:type="dxa"/>
              <w:bottom w:w="0" w:type="dxa"/>
              <w:right w:w="108" w:type="dxa"/>
            </w:tcMar>
            <w:vAlign w:val="center"/>
          </w:tcPr>
          <w:p w14:paraId="6B61DBE2"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3,000.00</w:t>
            </w:r>
          </w:p>
        </w:tc>
        <w:tc>
          <w:tcPr>
            <w:tcW w:w="1158" w:type="dxa"/>
            <w:tcMar>
              <w:top w:w="0" w:type="dxa"/>
              <w:left w:w="108" w:type="dxa"/>
              <w:bottom w:w="0" w:type="dxa"/>
              <w:right w:w="108" w:type="dxa"/>
            </w:tcMar>
            <w:vAlign w:val="center"/>
          </w:tcPr>
          <w:p w14:paraId="243D6C1B"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2020/8/21</w:t>
            </w:r>
          </w:p>
        </w:tc>
        <w:tc>
          <w:tcPr>
            <w:tcW w:w="1158" w:type="dxa"/>
            <w:tcMar>
              <w:top w:w="0" w:type="dxa"/>
              <w:left w:w="108" w:type="dxa"/>
              <w:bottom w:w="0" w:type="dxa"/>
              <w:right w:w="108" w:type="dxa"/>
            </w:tcMar>
            <w:vAlign w:val="center"/>
          </w:tcPr>
          <w:p w14:paraId="63691D26"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2021/8/20</w:t>
            </w:r>
          </w:p>
        </w:tc>
        <w:tc>
          <w:tcPr>
            <w:tcW w:w="1349" w:type="dxa"/>
            <w:tcMar>
              <w:top w:w="0" w:type="dxa"/>
              <w:left w:w="108" w:type="dxa"/>
              <w:bottom w:w="0" w:type="dxa"/>
              <w:right w:w="108" w:type="dxa"/>
            </w:tcMar>
            <w:vAlign w:val="center"/>
          </w:tcPr>
          <w:p w14:paraId="529036BC"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否</w:t>
            </w:r>
          </w:p>
        </w:tc>
      </w:tr>
      <w:tr w:rsidR="006416B0" w:rsidRPr="00B4515A" w14:paraId="78BF3909" w14:textId="77777777" w:rsidTr="00031627">
        <w:trPr>
          <w:trHeight w:val="340"/>
        </w:trPr>
        <w:tc>
          <w:tcPr>
            <w:tcW w:w="3255" w:type="dxa"/>
            <w:tcMar>
              <w:top w:w="0" w:type="dxa"/>
              <w:left w:w="108" w:type="dxa"/>
              <w:bottom w:w="0" w:type="dxa"/>
              <w:right w:w="108" w:type="dxa"/>
            </w:tcMar>
            <w:vAlign w:val="center"/>
          </w:tcPr>
          <w:p w14:paraId="2773C7AE"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江苏安防科技有限公司</w:t>
            </w:r>
          </w:p>
        </w:tc>
        <w:tc>
          <w:tcPr>
            <w:tcW w:w="1362" w:type="dxa"/>
            <w:tcMar>
              <w:top w:w="0" w:type="dxa"/>
              <w:left w:w="108" w:type="dxa"/>
              <w:bottom w:w="0" w:type="dxa"/>
              <w:right w:w="108" w:type="dxa"/>
            </w:tcMar>
            <w:vAlign w:val="center"/>
          </w:tcPr>
          <w:p w14:paraId="1FC01716"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2,500.00</w:t>
            </w:r>
          </w:p>
        </w:tc>
        <w:tc>
          <w:tcPr>
            <w:tcW w:w="1158" w:type="dxa"/>
            <w:tcMar>
              <w:top w:w="0" w:type="dxa"/>
              <w:left w:w="108" w:type="dxa"/>
              <w:bottom w:w="0" w:type="dxa"/>
              <w:right w:w="108" w:type="dxa"/>
            </w:tcMar>
            <w:vAlign w:val="center"/>
          </w:tcPr>
          <w:p w14:paraId="274260CD"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2020/9/16</w:t>
            </w:r>
          </w:p>
        </w:tc>
        <w:tc>
          <w:tcPr>
            <w:tcW w:w="1158" w:type="dxa"/>
            <w:tcMar>
              <w:top w:w="0" w:type="dxa"/>
              <w:left w:w="108" w:type="dxa"/>
              <w:bottom w:w="0" w:type="dxa"/>
              <w:right w:w="108" w:type="dxa"/>
            </w:tcMar>
            <w:vAlign w:val="center"/>
          </w:tcPr>
          <w:p w14:paraId="38886457"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2021/9/16</w:t>
            </w:r>
          </w:p>
        </w:tc>
        <w:tc>
          <w:tcPr>
            <w:tcW w:w="1349" w:type="dxa"/>
            <w:tcMar>
              <w:top w:w="0" w:type="dxa"/>
              <w:left w:w="108" w:type="dxa"/>
              <w:bottom w:w="0" w:type="dxa"/>
              <w:right w:w="108" w:type="dxa"/>
            </w:tcMar>
            <w:vAlign w:val="center"/>
          </w:tcPr>
          <w:p w14:paraId="637E20DA"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否</w:t>
            </w:r>
          </w:p>
        </w:tc>
      </w:tr>
    </w:tbl>
    <w:p w14:paraId="1467B6D3" w14:textId="69D64CE2" w:rsidR="006416B0" w:rsidRPr="00B4515A" w:rsidRDefault="005E58C1" w:rsidP="006100BC">
      <w:pPr>
        <w:pStyle w:val="005"/>
        <w:spacing w:before="120" w:after="120"/>
        <w:ind w:firstLine="480"/>
      </w:pPr>
      <w:r w:rsidRPr="00B4515A">
        <w:rPr>
          <w:rFonts w:eastAsiaTheme="majorEastAsia"/>
        </w:rPr>
        <w:fldChar w:fldCharType="end"/>
      </w:r>
      <w:r w:rsidRPr="00B4515A">
        <w:rPr>
          <w:rFonts w:hint="eastAsia"/>
        </w:rPr>
        <w:t>2</w:t>
      </w:r>
      <w:r w:rsidRPr="00B4515A">
        <w:rPr>
          <w:rFonts w:hint="eastAsia"/>
        </w:rPr>
        <w:t>）</w:t>
      </w:r>
      <w:r w:rsidRPr="00B4515A">
        <w:t>本公司作为被担保方：</w:t>
      </w:r>
    </w:p>
    <w:p w14:paraId="69DD82C8" w14:textId="7B5FEC69" w:rsidR="006416B0" w:rsidRPr="00B4515A" w:rsidRDefault="00D44516" w:rsidP="006100BC">
      <w:pPr>
        <w:pStyle w:val="009"/>
      </w:pPr>
      <w:r w:rsidRPr="00B4515A">
        <w:rPr>
          <w:rFonts w:hint="eastAsia"/>
          <w:bCs/>
          <w:kern w:val="0"/>
        </w:rPr>
        <w:t>单位：万元</w:t>
      </w:r>
      <w:r w:rsidR="005E58C1" w:rsidRPr="00B4515A">
        <w:fldChar w:fldCharType="begin"/>
      </w:r>
      <w:r w:rsidR="005E58C1" w:rsidRPr="00B4515A">
        <w:instrText xml:space="preserve"> LINK Excel.Sheet.12 E:\\</w:instrText>
      </w:r>
      <w:r w:rsidR="005E58C1" w:rsidRPr="00B4515A">
        <w:instrText>雍</w:instrText>
      </w:r>
      <w:r w:rsidR="005E58C1" w:rsidRPr="00B4515A">
        <w:instrText>\\</w:instrText>
      </w:r>
      <w:r w:rsidR="005E58C1" w:rsidRPr="00B4515A">
        <w:instrText>附注排版</w:instrText>
      </w:r>
      <w:r w:rsidR="005E58C1" w:rsidRPr="00B4515A">
        <w:instrText>\\2014</w:instrText>
      </w:r>
      <w:r w:rsidR="005E58C1" w:rsidRPr="00B4515A">
        <w:instrText>年年报格式</w:instrText>
      </w:r>
      <w:r w:rsidR="005E58C1" w:rsidRPr="00B4515A">
        <w:instrText>\\</w:instrText>
      </w:r>
      <w:r w:rsidR="005E58C1" w:rsidRPr="00B4515A">
        <w:instrText>附注过渡表</w:instrText>
      </w:r>
      <w:r w:rsidR="005E58C1" w:rsidRPr="00B4515A">
        <w:instrText xml:space="preserve">20150130V0910.xlsx </w:instrText>
      </w:r>
      <w:r w:rsidR="005E58C1" w:rsidRPr="00B4515A">
        <w:instrText>关联方及关联方交易</w:instrText>
      </w:r>
      <w:r w:rsidR="005E58C1" w:rsidRPr="00B4515A">
        <w:instrText>!</w:instrText>
      </w:r>
      <w:r w:rsidR="005E58C1" w:rsidRPr="00B4515A">
        <w:instrText>关联方情况</w:instrText>
      </w:r>
      <w:r w:rsidR="005E58C1" w:rsidRPr="00B4515A">
        <w:instrText xml:space="preserve">10 \f 4 \h \* MERGEFORMAT </w:instrText>
      </w:r>
      <w:r w:rsidR="005E58C1" w:rsidRPr="00B4515A">
        <w:fldChar w:fldCharType="separate"/>
      </w:r>
    </w:p>
    <w:tbl>
      <w:tblPr>
        <w:tblStyle w:val="2fd"/>
        <w:tblW w:w="5075" w:type="pct"/>
        <w:tblInd w:w="-1" w:type="dxa"/>
        <w:tblBorders>
          <w:left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93"/>
        <w:gridCol w:w="1558"/>
        <w:gridCol w:w="1510"/>
        <w:gridCol w:w="1471"/>
        <w:gridCol w:w="1524"/>
      </w:tblGrid>
      <w:tr w:rsidR="006416B0" w:rsidRPr="00B4515A" w14:paraId="3A338E85" w14:textId="77777777" w:rsidTr="00031627">
        <w:trPr>
          <w:tblHeader/>
        </w:trPr>
        <w:tc>
          <w:tcPr>
            <w:tcW w:w="2518" w:type="dxa"/>
            <w:tcMar>
              <w:top w:w="0" w:type="dxa"/>
              <w:left w:w="108" w:type="dxa"/>
              <w:bottom w:w="0" w:type="dxa"/>
              <w:right w:w="108" w:type="dxa"/>
            </w:tcMar>
            <w:vAlign w:val="center"/>
          </w:tcPr>
          <w:p w14:paraId="71EF3375"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担保方</w:t>
            </w:r>
          </w:p>
        </w:tc>
        <w:tc>
          <w:tcPr>
            <w:tcW w:w="1513" w:type="dxa"/>
            <w:tcMar>
              <w:top w:w="0" w:type="dxa"/>
              <w:left w:w="108" w:type="dxa"/>
              <w:bottom w:w="0" w:type="dxa"/>
              <w:right w:w="108" w:type="dxa"/>
            </w:tcMar>
            <w:vAlign w:val="center"/>
          </w:tcPr>
          <w:p w14:paraId="0095F290"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担保金额</w:t>
            </w:r>
          </w:p>
        </w:tc>
        <w:tc>
          <w:tcPr>
            <w:tcW w:w="1466" w:type="dxa"/>
            <w:tcMar>
              <w:top w:w="0" w:type="dxa"/>
              <w:left w:w="108" w:type="dxa"/>
              <w:bottom w:w="0" w:type="dxa"/>
              <w:right w:w="108" w:type="dxa"/>
            </w:tcMar>
            <w:vAlign w:val="center"/>
          </w:tcPr>
          <w:p w14:paraId="138736E3"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担保起始日</w:t>
            </w:r>
          </w:p>
        </w:tc>
        <w:tc>
          <w:tcPr>
            <w:tcW w:w="1429" w:type="dxa"/>
            <w:tcMar>
              <w:top w:w="0" w:type="dxa"/>
              <w:left w:w="108" w:type="dxa"/>
              <w:bottom w:w="0" w:type="dxa"/>
              <w:right w:w="108" w:type="dxa"/>
            </w:tcMar>
            <w:vAlign w:val="center"/>
          </w:tcPr>
          <w:p w14:paraId="45515B43"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担保到期日</w:t>
            </w:r>
          </w:p>
        </w:tc>
        <w:tc>
          <w:tcPr>
            <w:tcW w:w="1480" w:type="dxa"/>
            <w:tcMar>
              <w:top w:w="0" w:type="dxa"/>
              <w:left w:w="108" w:type="dxa"/>
              <w:bottom w:w="0" w:type="dxa"/>
              <w:right w:w="108" w:type="dxa"/>
            </w:tcMar>
            <w:vAlign w:val="center"/>
          </w:tcPr>
          <w:p w14:paraId="5D26F28A"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担保是否已经履行完毕</w:t>
            </w:r>
          </w:p>
        </w:tc>
      </w:tr>
      <w:tr w:rsidR="006416B0" w:rsidRPr="00B4515A" w14:paraId="77B27468" w14:textId="77777777" w:rsidTr="00031627">
        <w:tc>
          <w:tcPr>
            <w:tcW w:w="2518" w:type="dxa"/>
            <w:tcMar>
              <w:top w:w="0" w:type="dxa"/>
              <w:left w:w="108" w:type="dxa"/>
              <w:bottom w:w="0" w:type="dxa"/>
              <w:right w:w="108" w:type="dxa"/>
            </w:tcMar>
            <w:vAlign w:val="center"/>
          </w:tcPr>
          <w:p w14:paraId="66EF5DDB"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电信科学技术研究院有限</w:t>
            </w:r>
            <w:r w:rsidRPr="00B4515A">
              <w:rPr>
                <w:rFonts w:ascii="Times New Roman" w:eastAsiaTheme="majorEastAsia" w:hAnsi="Times New Roman" w:cs="Times New Roman"/>
                <w:sz w:val="21"/>
                <w:szCs w:val="21"/>
              </w:rPr>
              <w:lastRenderedPageBreak/>
              <w:t>公司</w:t>
            </w:r>
          </w:p>
        </w:tc>
        <w:tc>
          <w:tcPr>
            <w:tcW w:w="1513" w:type="dxa"/>
            <w:tcMar>
              <w:top w:w="0" w:type="dxa"/>
              <w:left w:w="108" w:type="dxa"/>
              <w:bottom w:w="0" w:type="dxa"/>
              <w:right w:w="108" w:type="dxa"/>
            </w:tcMar>
            <w:vAlign w:val="center"/>
          </w:tcPr>
          <w:p w14:paraId="07F076B9"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lastRenderedPageBreak/>
              <w:t>16,871.62</w:t>
            </w:r>
          </w:p>
        </w:tc>
        <w:tc>
          <w:tcPr>
            <w:tcW w:w="1466" w:type="dxa"/>
            <w:tcMar>
              <w:top w:w="0" w:type="dxa"/>
              <w:left w:w="108" w:type="dxa"/>
              <w:bottom w:w="0" w:type="dxa"/>
              <w:right w:w="108" w:type="dxa"/>
            </w:tcMar>
            <w:vAlign w:val="center"/>
          </w:tcPr>
          <w:p w14:paraId="2F075AB8"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2020/6/29</w:t>
            </w:r>
          </w:p>
        </w:tc>
        <w:tc>
          <w:tcPr>
            <w:tcW w:w="1429" w:type="dxa"/>
            <w:tcMar>
              <w:top w:w="0" w:type="dxa"/>
              <w:left w:w="108" w:type="dxa"/>
              <w:bottom w:w="0" w:type="dxa"/>
              <w:right w:w="108" w:type="dxa"/>
            </w:tcMar>
            <w:vAlign w:val="center"/>
          </w:tcPr>
          <w:p w14:paraId="48301192"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2023/6/28</w:t>
            </w:r>
          </w:p>
        </w:tc>
        <w:tc>
          <w:tcPr>
            <w:tcW w:w="1480" w:type="dxa"/>
            <w:tcMar>
              <w:top w:w="0" w:type="dxa"/>
              <w:left w:w="108" w:type="dxa"/>
              <w:bottom w:w="0" w:type="dxa"/>
              <w:right w:w="108" w:type="dxa"/>
            </w:tcMar>
            <w:vAlign w:val="center"/>
          </w:tcPr>
          <w:p w14:paraId="771EE7E0"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否</w:t>
            </w:r>
          </w:p>
        </w:tc>
      </w:tr>
    </w:tbl>
    <w:p w14:paraId="79684ACF" w14:textId="70F04F11" w:rsidR="006416B0" w:rsidRPr="00B4515A" w:rsidRDefault="005E58C1" w:rsidP="006100BC">
      <w:pPr>
        <w:pStyle w:val="005"/>
        <w:spacing w:before="120" w:after="120"/>
        <w:ind w:firstLine="480"/>
      </w:pPr>
      <w:r w:rsidRPr="00B4515A">
        <w:lastRenderedPageBreak/>
        <w:fldChar w:fldCharType="end"/>
      </w:r>
      <w:bookmarkStart w:id="350" w:name="_Toc75169333"/>
      <w:r w:rsidRPr="00B4515A">
        <w:t>（</w:t>
      </w:r>
      <w:r w:rsidRPr="00B4515A">
        <w:t>4</w:t>
      </w:r>
      <w:r w:rsidRPr="00B4515A">
        <w:t>）关联方资金拆借</w:t>
      </w:r>
      <w:bookmarkEnd w:id="350"/>
    </w:p>
    <w:p w14:paraId="080EE6C1" w14:textId="00EAECBE" w:rsidR="006416B0" w:rsidRPr="00B4515A" w:rsidRDefault="00D44516" w:rsidP="006100BC">
      <w:pPr>
        <w:pStyle w:val="009"/>
        <w:rPr>
          <w:rFonts w:eastAsiaTheme="majorEastAsia"/>
        </w:rPr>
      </w:pPr>
      <w:r w:rsidRPr="00B4515A">
        <w:rPr>
          <w:rFonts w:hint="eastAsia"/>
        </w:rPr>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270"/>
        <w:gridCol w:w="1299"/>
        <w:gridCol w:w="1369"/>
        <w:gridCol w:w="1265"/>
        <w:gridCol w:w="1325"/>
      </w:tblGrid>
      <w:tr w:rsidR="006416B0" w:rsidRPr="00B4515A" w14:paraId="4A59F8ED" w14:textId="77777777" w:rsidTr="006100BC">
        <w:trPr>
          <w:trHeight w:val="340"/>
          <w:tblHeader/>
          <w:jc w:val="center"/>
        </w:trPr>
        <w:tc>
          <w:tcPr>
            <w:tcW w:w="3109" w:type="dxa"/>
            <w:shd w:val="clear" w:color="auto" w:fill="auto"/>
            <w:tcMar>
              <w:top w:w="0" w:type="dxa"/>
              <w:left w:w="108" w:type="dxa"/>
              <w:bottom w:w="0" w:type="dxa"/>
              <w:right w:w="108" w:type="dxa"/>
            </w:tcMar>
            <w:vAlign w:val="center"/>
          </w:tcPr>
          <w:p w14:paraId="3EB73BE7"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关联方</w:t>
            </w:r>
          </w:p>
        </w:tc>
        <w:tc>
          <w:tcPr>
            <w:tcW w:w="1235" w:type="dxa"/>
            <w:shd w:val="clear" w:color="auto" w:fill="auto"/>
            <w:tcMar>
              <w:top w:w="0" w:type="dxa"/>
              <w:left w:w="108" w:type="dxa"/>
              <w:bottom w:w="0" w:type="dxa"/>
              <w:right w:w="108" w:type="dxa"/>
            </w:tcMar>
            <w:vAlign w:val="center"/>
          </w:tcPr>
          <w:p w14:paraId="1681D2D4"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拆借金额</w:t>
            </w:r>
          </w:p>
        </w:tc>
        <w:tc>
          <w:tcPr>
            <w:tcW w:w="1302" w:type="dxa"/>
            <w:shd w:val="clear" w:color="auto" w:fill="auto"/>
            <w:tcMar>
              <w:top w:w="0" w:type="dxa"/>
              <w:left w:w="108" w:type="dxa"/>
              <w:bottom w:w="0" w:type="dxa"/>
              <w:right w:w="108" w:type="dxa"/>
            </w:tcMar>
            <w:vAlign w:val="center"/>
          </w:tcPr>
          <w:p w14:paraId="0D81D48D"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起始日</w:t>
            </w:r>
          </w:p>
        </w:tc>
        <w:tc>
          <w:tcPr>
            <w:tcW w:w="1203" w:type="dxa"/>
            <w:shd w:val="clear" w:color="auto" w:fill="auto"/>
            <w:tcMar>
              <w:top w:w="0" w:type="dxa"/>
              <w:left w:w="108" w:type="dxa"/>
              <w:bottom w:w="0" w:type="dxa"/>
              <w:right w:w="108" w:type="dxa"/>
            </w:tcMar>
            <w:vAlign w:val="center"/>
          </w:tcPr>
          <w:p w14:paraId="48C3EE47"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到期日</w:t>
            </w:r>
          </w:p>
        </w:tc>
        <w:tc>
          <w:tcPr>
            <w:tcW w:w="1260" w:type="dxa"/>
            <w:shd w:val="clear" w:color="auto" w:fill="auto"/>
            <w:tcMar>
              <w:top w:w="0" w:type="dxa"/>
              <w:left w:w="108" w:type="dxa"/>
              <w:bottom w:w="0" w:type="dxa"/>
              <w:right w:w="108" w:type="dxa"/>
            </w:tcMar>
            <w:vAlign w:val="center"/>
          </w:tcPr>
          <w:p w14:paraId="1F98F775"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说明</w:t>
            </w:r>
          </w:p>
        </w:tc>
      </w:tr>
      <w:tr w:rsidR="006416B0" w:rsidRPr="00B4515A" w14:paraId="60CEB730"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78AF897D"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拆入</w:t>
            </w:r>
          </w:p>
        </w:tc>
        <w:tc>
          <w:tcPr>
            <w:tcW w:w="1235" w:type="dxa"/>
            <w:shd w:val="clear" w:color="auto" w:fill="auto"/>
            <w:tcMar>
              <w:top w:w="0" w:type="dxa"/>
              <w:left w:w="108" w:type="dxa"/>
              <w:bottom w:w="0" w:type="dxa"/>
              <w:right w:w="108" w:type="dxa"/>
            </w:tcMar>
            <w:vAlign w:val="center"/>
          </w:tcPr>
          <w:p w14:paraId="013A881C"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302" w:type="dxa"/>
            <w:shd w:val="clear" w:color="auto" w:fill="auto"/>
            <w:tcMar>
              <w:top w:w="0" w:type="dxa"/>
              <w:left w:w="108" w:type="dxa"/>
              <w:bottom w:w="0" w:type="dxa"/>
              <w:right w:w="108" w:type="dxa"/>
            </w:tcMar>
            <w:vAlign w:val="center"/>
          </w:tcPr>
          <w:p w14:paraId="3D844BDA"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203" w:type="dxa"/>
            <w:shd w:val="clear" w:color="auto" w:fill="auto"/>
            <w:tcMar>
              <w:top w:w="0" w:type="dxa"/>
              <w:left w:w="108" w:type="dxa"/>
              <w:bottom w:w="0" w:type="dxa"/>
              <w:right w:w="108" w:type="dxa"/>
            </w:tcMar>
            <w:vAlign w:val="center"/>
          </w:tcPr>
          <w:p w14:paraId="175EAE16"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c>
          <w:tcPr>
            <w:tcW w:w="1260" w:type="dxa"/>
            <w:shd w:val="clear" w:color="auto" w:fill="auto"/>
            <w:tcMar>
              <w:top w:w="0" w:type="dxa"/>
              <w:left w:w="108" w:type="dxa"/>
              <w:bottom w:w="0" w:type="dxa"/>
              <w:right w:w="108" w:type="dxa"/>
            </w:tcMar>
            <w:vAlign w:val="center"/>
          </w:tcPr>
          <w:p w14:paraId="2649304D"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w:t>
            </w:r>
          </w:p>
        </w:tc>
      </w:tr>
      <w:tr w:rsidR="006416B0" w:rsidRPr="00B4515A" w14:paraId="51844CC2"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755695A2"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15B768F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500.00</w:t>
            </w:r>
          </w:p>
        </w:tc>
        <w:tc>
          <w:tcPr>
            <w:tcW w:w="1302" w:type="dxa"/>
            <w:shd w:val="clear" w:color="auto" w:fill="auto"/>
            <w:tcMar>
              <w:top w:w="0" w:type="dxa"/>
              <w:left w:w="108" w:type="dxa"/>
              <w:bottom w:w="0" w:type="dxa"/>
              <w:right w:w="108" w:type="dxa"/>
            </w:tcMar>
            <w:vAlign w:val="center"/>
          </w:tcPr>
          <w:p w14:paraId="3842314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2019/5/22</w:t>
            </w:r>
          </w:p>
        </w:tc>
        <w:tc>
          <w:tcPr>
            <w:tcW w:w="1203" w:type="dxa"/>
            <w:shd w:val="clear" w:color="auto" w:fill="auto"/>
            <w:tcMar>
              <w:top w:w="0" w:type="dxa"/>
              <w:left w:w="108" w:type="dxa"/>
              <w:bottom w:w="0" w:type="dxa"/>
              <w:right w:w="108" w:type="dxa"/>
            </w:tcMar>
            <w:vAlign w:val="center"/>
          </w:tcPr>
          <w:p w14:paraId="5E696C6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2020/1/8</w:t>
            </w:r>
          </w:p>
        </w:tc>
        <w:tc>
          <w:tcPr>
            <w:tcW w:w="1260" w:type="dxa"/>
            <w:shd w:val="clear" w:color="auto" w:fill="auto"/>
            <w:tcMar>
              <w:top w:w="0" w:type="dxa"/>
              <w:left w:w="108" w:type="dxa"/>
              <w:bottom w:w="0" w:type="dxa"/>
              <w:right w:w="108" w:type="dxa"/>
            </w:tcMar>
            <w:vAlign w:val="center"/>
          </w:tcPr>
          <w:p w14:paraId="0D71603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21363B21"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5B818C36"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13ECD66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5,000.00</w:t>
            </w:r>
          </w:p>
        </w:tc>
        <w:tc>
          <w:tcPr>
            <w:tcW w:w="1302" w:type="dxa"/>
            <w:shd w:val="clear" w:color="auto" w:fill="auto"/>
            <w:tcMar>
              <w:top w:w="0" w:type="dxa"/>
              <w:left w:w="108" w:type="dxa"/>
              <w:bottom w:w="0" w:type="dxa"/>
              <w:right w:w="108" w:type="dxa"/>
            </w:tcMar>
            <w:vAlign w:val="center"/>
          </w:tcPr>
          <w:p w14:paraId="7FE8E3C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2019/9/26</w:t>
            </w:r>
          </w:p>
        </w:tc>
        <w:tc>
          <w:tcPr>
            <w:tcW w:w="1203" w:type="dxa"/>
            <w:shd w:val="clear" w:color="auto" w:fill="auto"/>
            <w:tcMar>
              <w:top w:w="0" w:type="dxa"/>
              <w:left w:w="108" w:type="dxa"/>
              <w:bottom w:w="0" w:type="dxa"/>
              <w:right w:w="108" w:type="dxa"/>
            </w:tcMar>
            <w:vAlign w:val="center"/>
          </w:tcPr>
          <w:p w14:paraId="247777B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2020/9/2</w:t>
            </w:r>
          </w:p>
        </w:tc>
        <w:tc>
          <w:tcPr>
            <w:tcW w:w="1260" w:type="dxa"/>
            <w:shd w:val="clear" w:color="auto" w:fill="auto"/>
            <w:tcMar>
              <w:top w:w="0" w:type="dxa"/>
              <w:left w:w="108" w:type="dxa"/>
              <w:bottom w:w="0" w:type="dxa"/>
              <w:right w:w="108" w:type="dxa"/>
            </w:tcMar>
            <w:vAlign w:val="center"/>
          </w:tcPr>
          <w:p w14:paraId="1638EF0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2925BE4C"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38873030"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35507B0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5,000.00</w:t>
            </w:r>
          </w:p>
        </w:tc>
        <w:tc>
          <w:tcPr>
            <w:tcW w:w="1302" w:type="dxa"/>
            <w:shd w:val="clear" w:color="auto" w:fill="auto"/>
            <w:tcMar>
              <w:top w:w="0" w:type="dxa"/>
              <w:left w:w="108" w:type="dxa"/>
              <w:bottom w:w="0" w:type="dxa"/>
              <w:right w:w="108" w:type="dxa"/>
            </w:tcMar>
            <w:vAlign w:val="center"/>
          </w:tcPr>
          <w:p w14:paraId="6B8D84D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2019/9/29</w:t>
            </w:r>
          </w:p>
        </w:tc>
        <w:tc>
          <w:tcPr>
            <w:tcW w:w="1203" w:type="dxa"/>
            <w:shd w:val="clear" w:color="auto" w:fill="auto"/>
            <w:tcMar>
              <w:top w:w="0" w:type="dxa"/>
              <w:left w:w="108" w:type="dxa"/>
              <w:bottom w:w="0" w:type="dxa"/>
              <w:right w:w="108" w:type="dxa"/>
            </w:tcMar>
            <w:vAlign w:val="center"/>
          </w:tcPr>
          <w:p w14:paraId="2F2E84F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2020/9/7</w:t>
            </w:r>
          </w:p>
        </w:tc>
        <w:tc>
          <w:tcPr>
            <w:tcW w:w="1260" w:type="dxa"/>
            <w:shd w:val="clear" w:color="auto" w:fill="auto"/>
            <w:tcMar>
              <w:top w:w="0" w:type="dxa"/>
              <w:left w:w="108" w:type="dxa"/>
              <w:bottom w:w="0" w:type="dxa"/>
              <w:right w:w="108" w:type="dxa"/>
            </w:tcMar>
            <w:vAlign w:val="center"/>
          </w:tcPr>
          <w:p w14:paraId="26AF2B8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219DF8AE"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280244CD"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7A16221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3,500.00</w:t>
            </w:r>
          </w:p>
        </w:tc>
        <w:tc>
          <w:tcPr>
            <w:tcW w:w="1302" w:type="dxa"/>
            <w:shd w:val="clear" w:color="auto" w:fill="auto"/>
            <w:tcMar>
              <w:top w:w="0" w:type="dxa"/>
              <w:left w:w="108" w:type="dxa"/>
              <w:bottom w:w="0" w:type="dxa"/>
              <w:right w:w="108" w:type="dxa"/>
            </w:tcMar>
            <w:vAlign w:val="center"/>
          </w:tcPr>
          <w:p w14:paraId="3E27DB3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2019/9/6</w:t>
            </w:r>
          </w:p>
        </w:tc>
        <w:tc>
          <w:tcPr>
            <w:tcW w:w="1203" w:type="dxa"/>
            <w:shd w:val="clear" w:color="auto" w:fill="auto"/>
            <w:tcMar>
              <w:top w:w="0" w:type="dxa"/>
              <w:left w:w="108" w:type="dxa"/>
              <w:bottom w:w="0" w:type="dxa"/>
              <w:right w:w="108" w:type="dxa"/>
            </w:tcMar>
            <w:vAlign w:val="center"/>
          </w:tcPr>
          <w:p w14:paraId="1A11089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2020/8/7</w:t>
            </w:r>
          </w:p>
        </w:tc>
        <w:tc>
          <w:tcPr>
            <w:tcW w:w="1260" w:type="dxa"/>
            <w:shd w:val="clear" w:color="auto" w:fill="auto"/>
            <w:tcMar>
              <w:top w:w="0" w:type="dxa"/>
              <w:left w:w="108" w:type="dxa"/>
              <w:bottom w:w="0" w:type="dxa"/>
              <w:right w:w="108" w:type="dxa"/>
            </w:tcMar>
            <w:vAlign w:val="center"/>
          </w:tcPr>
          <w:p w14:paraId="1A82A91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2680097B"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4459E176"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472B32D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4,000.00</w:t>
            </w:r>
          </w:p>
        </w:tc>
        <w:tc>
          <w:tcPr>
            <w:tcW w:w="1302" w:type="dxa"/>
            <w:shd w:val="clear" w:color="auto" w:fill="auto"/>
            <w:tcMar>
              <w:top w:w="0" w:type="dxa"/>
              <w:left w:w="108" w:type="dxa"/>
              <w:bottom w:w="0" w:type="dxa"/>
              <w:right w:w="108" w:type="dxa"/>
            </w:tcMar>
            <w:vAlign w:val="center"/>
          </w:tcPr>
          <w:p w14:paraId="5F49A30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2019/9/18</w:t>
            </w:r>
          </w:p>
        </w:tc>
        <w:tc>
          <w:tcPr>
            <w:tcW w:w="1203" w:type="dxa"/>
            <w:shd w:val="clear" w:color="auto" w:fill="auto"/>
            <w:tcMar>
              <w:top w:w="0" w:type="dxa"/>
              <w:left w:w="108" w:type="dxa"/>
              <w:bottom w:w="0" w:type="dxa"/>
              <w:right w:w="108" w:type="dxa"/>
            </w:tcMar>
            <w:vAlign w:val="center"/>
          </w:tcPr>
          <w:p w14:paraId="26FFAC8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2020/8/4</w:t>
            </w:r>
          </w:p>
        </w:tc>
        <w:tc>
          <w:tcPr>
            <w:tcW w:w="1260" w:type="dxa"/>
            <w:shd w:val="clear" w:color="auto" w:fill="auto"/>
            <w:tcMar>
              <w:top w:w="0" w:type="dxa"/>
              <w:left w:w="108" w:type="dxa"/>
              <w:bottom w:w="0" w:type="dxa"/>
              <w:right w:w="108" w:type="dxa"/>
            </w:tcMar>
            <w:vAlign w:val="center"/>
          </w:tcPr>
          <w:p w14:paraId="398B0D0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507CF366"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18F88D27"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124BC00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3,000.00</w:t>
            </w:r>
          </w:p>
        </w:tc>
        <w:tc>
          <w:tcPr>
            <w:tcW w:w="1302" w:type="dxa"/>
            <w:shd w:val="clear" w:color="auto" w:fill="auto"/>
            <w:tcMar>
              <w:top w:w="0" w:type="dxa"/>
              <w:left w:w="108" w:type="dxa"/>
              <w:bottom w:w="0" w:type="dxa"/>
              <w:right w:w="108" w:type="dxa"/>
            </w:tcMar>
            <w:vAlign w:val="center"/>
          </w:tcPr>
          <w:p w14:paraId="7F1187A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2019/9/23</w:t>
            </w:r>
          </w:p>
        </w:tc>
        <w:tc>
          <w:tcPr>
            <w:tcW w:w="1203" w:type="dxa"/>
            <w:shd w:val="clear" w:color="auto" w:fill="auto"/>
            <w:tcMar>
              <w:top w:w="0" w:type="dxa"/>
              <w:left w:w="108" w:type="dxa"/>
              <w:bottom w:w="0" w:type="dxa"/>
              <w:right w:w="108" w:type="dxa"/>
            </w:tcMar>
            <w:vAlign w:val="center"/>
          </w:tcPr>
          <w:p w14:paraId="5E8D1E3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2020/8/12</w:t>
            </w:r>
          </w:p>
        </w:tc>
        <w:tc>
          <w:tcPr>
            <w:tcW w:w="1260" w:type="dxa"/>
            <w:shd w:val="clear" w:color="auto" w:fill="auto"/>
            <w:tcMar>
              <w:top w:w="0" w:type="dxa"/>
              <w:left w:w="108" w:type="dxa"/>
              <w:bottom w:w="0" w:type="dxa"/>
              <w:right w:w="108" w:type="dxa"/>
            </w:tcMar>
            <w:vAlign w:val="center"/>
          </w:tcPr>
          <w:p w14:paraId="66CC8E5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4AF7B00E"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64926373"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5EFE12F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4,500.00</w:t>
            </w:r>
          </w:p>
        </w:tc>
        <w:tc>
          <w:tcPr>
            <w:tcW w:w="1302" w:type="dxa"/>
            <w:shd w:val="clear" w:color="auto" w:fill="auto"/>
            <w:tcMar>
              <w:top w:w="0" w:type="dxa"/>
              <w:left w:w="108" w:type="dxa"/>
              <w:bottom w:w="0" w:type="dxa"/>
              <w:right w:w="108" w:type="dxa"/>
            </w:tcMar>
            <w:vAlign w:val="center"/>
          </w:tcPr>
          <w:p w14:paraId="542B301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2019/12/16</w:t>
            </w:r>
          </w:p>
        </w:tc>
        <w:tc>
          <w:tcPr>
            <w:tcW w:w="1203" w:type="dxa"/>
            <w:shd w:val="clear" w:color="auto" w:fill="auto"/>
            <w:tcMar>
              <w:top w:w="0" w:type="dxa"/>
              <w:left w:w="108" w:type="dxa"/>
              <w:bottom w:w="0" w:type="dxa"/>
              <w:right w:w="108" w:type="dxa"/>
            </w:tcMar>
            <w:vAlign w:val="center"/>
          </w:tcPr>
          <w:p w14:paraId="17E043A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2020/12/15</w:t>
            </w:r>
          </w:p>
        </w:tc>
        <w:tc>
          <w:tcPr>
            <w:tcW w:w="1260" w:type="dxa"/>
            <w:shd w:val="clear" w:color="auto" w:fill="auto"/>
            <w:tcMar>
              <w:top w:w="0" w:type="dxa"/>
              <w:left w:w="108" w:type="dxa"/>
              <w:bottom w:w="0" w:type="dxa"/>
              <w:right w:w="108" w:type="dxa"/>
            </w:tcMar>
            <w:vAlign w:val="center"/>
          </w:tcPr>
          <w:p w14:paraId="118F8BE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6CACFF29"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1B29E254"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30DC70C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1,500.00</w:t>
            </w:r>
          </w:p>
        </w:tc>
        <w:tc>
          <w:tcPr>
            <w:tcW w:w="1302" w:type="dxa"/>
            <w:shd w:val="clear" w:color="auto" w:fill="auto"/>
            <w:tcMar>
              <w:top w:w="0" w:type="dxa"/>
              <w:left w:w="108" w:type="dxa"/>
              <w:bottom w:w="0" w:type="dxa"/>
              <w:right w:w="108" w:type="dxa"/>
            </w:tcMar>
            <w:vAlign w:val="center"/>
          </w:tcPr>
          <w:p w14:paraId="13E062D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2019/12/19</w:t>
            </w:r>
          </w:p>
        </w:tc>
        <w:tc>
          <w:tcPr>
            <w:tcW w:w="1203" w:type="dxa"/>
            <w:shd w:val="clear" w:color="auto" w:fill="auto"/>
            <w:tcMar>
              <w:top w:w="0" w:type="dxa"/>
              <w:left w:w="108" w:type="dxa"/>
              <w:bottom w:w="0" w:type="dxa"/>
              <w:right w:w="108" w:type="dxa"/>
            </w:tcMar>
            <w:vAlign w:val="center"/>
          </w:tcPr>
          <w:p w14:paraId="223C509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2020/12/18</w:t>
            </w:r>
          </w:p>
        </w:tc>
        <w:tc>
          <w:tcPr>
            <w:tcW w:w="1260" w:type="dxa"/>
            <w:shd w:val="clear" w:color="auto" w:fill="auto"/>
            <w:tcMar>
              <w:top w:w="0" w:type="dxa"/>
              <w:left w:w="108" w:type="dxa"/>
              <w:bottom w:w="0" w:type="dxa"/>
              <w:right w:w="108" w:type="dxa"/>
            </w:tcMar>
            <w:vAlign w:val="center"/>
          </w:tcPr>
          <w:p w14:paraId="7EED323B"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517C393F"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43C5C04E"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146F464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3,000.00</w:t>
            </w:r>
          </w:p>
        </w:tc>
        <w:tc>
          <w:tcPr>
            <w:tcW w:w="1302" w:type="dxa"/>
            <w:shd w:val="clear" w:color="auto" w:fill="auto"/>
            <w:tcMar>
              <w:top w:w="0" w:type="dxa"/>
              <w:left w:w="108" w:type="dxa"/>
              <w:bottom w:w="0" w:type="dxa"/>
              <w:right w:w="108" w:type="dxa"/>
            </w:tcMar>
            <w:vAlign w:val="center"/>
          </w:tcPr>
          <w:p w14:paraId="0BE7F8B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2019/12/25</w:t>
            </w:r>
          </w:p>
        </w:tc>
        <w:tc>
          <w:tcPr>
            <w:tcW w:w="1203" w:type="dxa"/>
            <w:shd w:val="clear" w:color="auto" w:fill="auto"/>
            <w:tcMar>
              <w:top w:w="0" w:type="dxa"/>
              <w:left w:w="108" w:type="dxa"/>
              <w:bottom w:w="0" w:type="dxa"/>
              <w:right w:w="108" w:type="dxa"/>
            </w:tcMar>
            <w:vAlign w:val="center"/>
          </w:tcPr>
          <w:p w14:paraId="5D3E80E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2020/11/10</w:t>
            </w:r>
          </w:p>
        </w:tc>
        <w:tc>
          <w:tcPr>
            <w:tcW w:w="1260" w:type="dxa"/>
            <w:shd w:val="clear" w:color="auto" w:fill="auto"/>
            <w:tcMar>
              <w:top w:w="0" w:type="dxa"/>
              <w:left w:w="108" w:type="dxa"/>
              <w:bottom w:w="0" w:type="dxa"/>
              <w:right w:w="108" w:type="dxa"/>
            </w:tcMar>
            <w:vAlign w:val="center"/>
          </w:tcPr>
          <w:p w14:paraId="41E38BEF"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20FE39EC"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25AD1588"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7C1FCE9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1,000.00</w:t>
            </w:r>
          </w:p>
        </w:tc>
        <w:tc>
          <w:tcPr>
            <w:tcW w:w="1302" w:type="dxa"/>
            <w:shd w:val="clear" w:color="auto" w:fill="auto"/>
            <w:tcMar>
              <w:top w:w="0" w:type="dxa"/>
              <w:left w:w="108" w:type="dxa"/>
              <w:bottom w:w="0" w:type="dxa"/>
              <w:right w:w="108" w:type="dxa"/>
            </w:tcMar>
            <w:vAlign w:val="center"/>
          </w:tcPr>
          <w:p w14:paraId="6B46061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2020/4/3</w:t>
            </w:r>
          </w:p>
        </w:tc>
        <w:tc>
          <w:tcPr>
            <w:tcW w:w="1203" w:type="dxa"/>
            <w:shd w:val="clear" w:color="auto" w:fill="auto"/>
            <w:tcMar>
              <w:top w:w="0" w:type="dxa"/>
              <w:left w:w="108" w:type="dxa"/>
              <w:bottom w:w="0" w:type="dxa"/>
              <w:right w:w="108" w:type="dxa"/>
            </w:tcMar>
            <w:vAlign w:val="center"/>
          </w:tcPr>
          <w:p w14:paraId="7864B53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2021/4/2</w:t>
            </w:r>
          </w:p>
        </w:tc>
        <w:tc>
          <w:tcPr>
            <w:tcW w:w="1260" w:type="dxa"/>
            <w:shd w:val="clear" w:color="auto" w:fill="auto"/>
            <w:tcMar>
              <w:top w:w="0" w:type="dxa"/>
              <w:left w:w="108" w:type="dxa"/>
              <w:bottom w:w="0" w:type="dxa"/>
              <w:right w:w="108" w:type="dxa"/>
            </w:tcMar>
            <w:vAlign w:val="center"/>
          </w:tcPr>
          <w:p w14:paraId="4A89BC0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39CF93A3"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5400D81E"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3F6FD86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1,000.00</w:t>
            </w:r>
          </w:p>
        </w:tc>
        <w:tc>
          <w:tcPr>
            <w:tcW w:w="1302" w:type="dxa"/>
            <w:shd w:val="clear" w:color="auto" w:fill="auto"/>
            <w:tcMar>
              <w:top w:w="0" w:type="dxa"/>
              <w:left w:w="108" w:type="dxa"/>
              <w:bottom w:w="0" w:type="dxa"/>
              <w:right w:w="108" w:type="dxa"/>
            </w:tcMar>
            <w:vAlign w:val="center"/>
          </w:tcPr>
          <w:p w14:paraId="40CCE72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2021/4/8</w:t>
            </w:r>
          </w:p>
        </w:tc>
        <w:tc>
          <w:tcPr>
            <w:tcW w:w="1203" w:type="dxa"/>
            <w:shd w:val="clear" w:color="auto" w:fill="auto"/>
            <w:tcMar>
              <w:top w:w="0" w:type="dxa"/>
              <w:left w:w="108" w:type="dxa"/>
              <w:bottom w:w="0" w:type="dxa"/>
              <w:right w:w="108" w:type="dxa"/>
            </w:tcMar>
            <w:vAlign w:val="center"/>
          </w:tcPr>
          <w:p w14:paraId="0FCC2B1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2022/4/7</w:t>
            </w:r>
          </w:p>
        </w:tc>
        <w:tc>
          <w:tcPr>
            <w:tcW w:w="1260" w:type="dxa"/>
            <w:shd w:val="clear" w:color="auto" w:fill="auto"/>
            <w:tcMar>
              <w:top w:w="0" w:type="dxa"/>
              <w:left w:w="108" w:type="dxa"/>
              <w:bottom w:w="0" w:type="dxa"/>
              <w:right w:w="108" w:type="dxa"/>
            </w:tcMar>
            <w:vAlign w:val="center"/>
          </w:tcPr>
          <w:p w14:paraId="269EEBF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未偿还</w:t>
            </w:r>
          </w:p>
        </w:tc>
      </w:tr>
      <w:tr w:rsidR="006416B0" w:rsidRPr="00B4515A" w14:paraId="319D1630"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6B5FA86F"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4FCD8A7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4,000.00</w:t>
            </w:r>
          </w:p>
        </w:tc>
        <w:tc>
          <w:tcPr>
            <w:tcW w:w="1302" w:type="dxa"/>
            <w:shd w:val="clear" w:color="auto" w:fill="auto"/>
            <w:tcMar>
              <w:top w:w="0" w:type="dxa"/>
              <w:left w:w="108" w:type="dxa"/>
              <w:bottom w:w="0" w:type="dxa"/>
              <w:right w:w="108" w:type="dxa"/>
            </w:tcMar>
            <w:vAlign w:val="center"/>
          </w:tcPr>
          <w:p w14:paraId="1B45862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2020/8/6</w:t>
            </w:r>
          </w:p>
        </w:tc>
        <w:tc>
          <w:tcPr>
            <w:tcW w:w="1203" w:type="dxa"/>
            <w:shd w:val="clear" w:color="auto" w:fill="auto"/>
            <w:tcMar>
              <w:top w:w="0" w:type="dxa"/>
              <w:left w:w="108" w:type="dxa"/>
              <w:bottom w:w="0" w:type="dxa"/>
              <w:right w:w="108" w:type="dxa"/>
            </w:tcMar>
            <w:vAlign w:val="center"/>
          </w:tcPr>
          <w:p w14:paraId="5537F28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2021/8/5</w:t>
            </w:r>
          </w:p>
        </w:tc>
        <w:tc>
          <w:tcPr>
            <w:tcW w:w="1260" w:type="dxa"/>
            <w:shd w:val="clear" w:color="auto" w:fill="auto"/>
            <w:tcMar>
              <w:top w:w="0" w:type="dxa"/>
              <w:left w:w="108" w:type="dxa"/>
              <w:bottom w:w="0" w:type="dxa"/>
              <w:right w:w="108" w:type="dxa"/>
            </w:tcMar>
            <w:vAlign w:val="center"/>
          </w:tcPr>
          <w:p w14:paraId="5E605B5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未偿还</w:t>
            </w:r>
          </w:p>
        </w:tc>
      </w:tr>
      <w:tr w:rsidR="006416B0" w:rsidRPr="00B4515A" w14:paraId="329FFF76"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7268F365"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3F4E603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2,500.00</w:t>
            </w:r>
          </w:p>
        </w:tc>
        <w:tc>
          <w:tcPr>
            <w:tcW w:w="1302" w:type="dxa"/>
            <w:shd w:val="clear" w:color="auto" w:fill="auto"/>
            <w:tcMar>
              <w:top w:w="0" w:type="dxa"/>
              <w:left w:w="108" w:type="dxa"/>
              <w:bottom w:w="0" w:type="dxa"/>
              <w:right w:w="108" w:type="dxa"/>
            </w:tcMar>
            <w:vAlign w:val="center"/>
          </w:tcPr>
          <w:p w14:paraId="3CCE78B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2020/8/11</w:t>
            </w:r>
          </w:p>
        </w:tc>
        <w:tc>
          <w:tcPr>
            <w:tcW w:w="1203" w:type="dxa"/>
            <w:shd w:val="clear" w:color="auto" w:fill="auto"/>
            <w:tcMar>
              <w:top w:w="0" w:type="dxa"/>
              <w:left w:w="108" w:type="dxa"/>
              <w:bottom w:w="0" w:type="dxa"/>
              <w:right w:w="108" w:type="dxa"/>
            </w:tcMar>
            <w:vAlign w:val="center"/>
          </w:tcPr>
          <w:p w14:paraId="57F9268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2021/8/10</w:t>
            </w:r>
          </w:p>
        </w:tc>
        <w:tc>
          <w:tcPr>
            <w:tcW w:w="1260" w:type="dxa"/>
            <w:shd w:val="clear" w:color="auto" w:fill="auto"/>
            <w:tcMar>
              <w:top w:w="0" w:type="dxa"/>
              <w:left w:w="108" w:type="dxa"/>
              <w:bottom w:w="0" w:type="dxa"/>
              <w:right w:w="108" w:type="dxa"/>
            </w:tcMar>
            <w:vAlign w:val="center"/>
          </w:tcPr>
          <w:p w14:paraId="0C479EB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未偿还</w:t>
            </w:r>
          </w:p>
        </w:tc>
      </w:tr>
      <w:tr w:rsidR="006416B0" w:rsidRPr="00B4515A" w14:paraId="5C20E362"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3F1821D1"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1BD6218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3,000.00</w:t>
            </w:r>
          </w:p>
        </w:tc>
        <w:tc>
          <w:tcPr>
            <w:tcW w:w="1302" w:type="dxa"/>
            <w:shd w:val="clear" w:color="auto" w:fill="auto"/>
            <w:tcMar>
              <w:top w:w="0" w:type="dxa"/>
              <w:left w:w="108" w:type="dxa"/>
              <w:bottom w:w="0" w:type="dxa"/>
              <w:right w:w="108" w:type="dxa"/>
            </w:tcMar>
            <w:vAlign w:val="center"/>
          </w:tcPr>
          <w:p w14:paraId="00CFE56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2020/8/14</w:t>
            </w:r>
          </w:p>
        </w:tc>
        <w:tc>
          <w:tcPr>
            <w:tcW w:w="1203" w:type="dxa"/>
            <w:shd w:val="clear" w:color="auto" w:fill="auto"/>
            <w:tcMar>
              <w:top w:w="0" w:type="dxa"/>
              <w:left w:w="108" w:type="dxa"/>
              <w:bottom w:w="0" w:type="dxa"/>
              <w:right w:w="108" w:type="dxa"/>
            </w:tcMar>
            <w:vAlign w:val="center"/>
          </w:tcPr>
          <w:p w14:paraId="42A1235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2021/8/13</w:t>
            </w:r>
          </w:p>
        </w:tc>
        <w:tc>
          <w:tcPr>
            <w:tcW w:w="1260" w:type="dxa"/>
            <w:shd w:val="clear" w:color="auto" w:fill="auto"/>
            <w:tcMar>
              <w:top w:w="0" w:type="dxa"/>
              <w:left w:w="108" w:type="dxa"/>
              <w:bottom w:w="0" w:type="dxa"/>
              <w:right w:w="108" w:type="dxa"/>
            </w:tcMar>
            <w:vAlign w:val="center"/>
          </w:tcPr>
          <w:p w14:paraId="3AD6C3C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未偿还</w:t>
            </w:r>
          </w:p>
        </w:tc>
      </w:tr>
      <w:tr w:rsidR="006416B0" w:rsidRPr="00B4515A" w14:paraId="18CA7D78"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74C014BE"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07E8BDA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4,500.00</w:t>
            </w:r>
          </w:p>
        </w:tc>
        <w:tc>
          <w:tcPr>
            <w:tcW w:w="1302" w:type="dxa"/>
            <w:shd w:val="clear" w:color="auto" w:fill="auto"/>
            <w:tcMar>
              <w:top w:w="0" w:type="dxa"/>
              <w:left w:w="108" w:type="dxa"/>
              <w:bottom w:w="0" w:type="dxa"/>
              <w:right w:w="108" w:type="dxa"/>
            </w:tcMar>
            <w:vAlign w:val="center"/>
          </w:tcPr>
          <w:p w14:paraId="06C16B0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2020/12/16</w:t>
            </w:r>
          </w:p>
        </w:tc>
        <w:tc>
          <w:tcPr>
            <w:tcW w:w="1203" w:type="dxa"/>
            <w:shd w:val="clear" w:color="auto" w:fill="auto"/>
            <w:tcMar>
              <w:top w:w="0" w:type="dxa"/>
              <w:left w:w="108" w:type="dxa"/>
              <w:bottom w:w="0" w:type="dxa"/>
              <w:right w:w="108" w:type="dxa"/>
            </w:tcMar>
            <w:vAlign w:val="center"/>
          </w:tcPr>
          <w:p w14:paraId="45344CA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2021/12/15</w:t>
            </w:r>
          </w:p>
        </w:tc>
        <w:tc>
          <w:tcPr>
            <w:tcW w:w="1260" w:type="dxa"/>
            <w:shd w:val="clear" w:color="auto" w:fill="auto"/>
            <w:tcMar>
              <w:top w:w="0" w:type="dxa"/>
              <w:left w:w="108" w:type="dxa"/>
              <w:bottom w:w="0" w:type="dxa"/>
              <w:right w:w="108" w:type="dxa"/>
            </w:tcMar>
            <w:vAlign w:val="center"/>
          </w:tcPr>
          <w:p w14:paraId="026C88D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未偿还</w:t>
            </w:r>
          </w:p>
        </w:tc>
      </w:tr>
      <w:tr w:rsidR="006416B0" w:rsidRPr="00B4515A" w14:paraId="591BFE4A"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2B3C2483"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3D517DB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1,500.00</w:t>
            </w:r>
          </w:p>
        </w:tc>
        <w:tc>
          <w:tcPr>
            <w:tcW w:w="1302" w:type="dxa"/>
            <w:shd w:val="clear" w:color="auto" w:fill="auto"/>
            <w:tcMar>
              <w:top w:w="0" w:type="dxa"/>
              <w:left w:w="108" w:type="dxa"/>
              <w:bottom w:w="0" w:type="dxa"/>
              <w:right w:w="108" w:type="dxa"/>
            </w:tcMar>
            <w:vAlign w:val="center"/>
          </w:tcPr>
          <w:p w14:paraId="7A51DF2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2020/12/22</w:t>
            </w:r>
          </w:p>
        </w:tc>
        <w:tc>
          <w:tcPr>
            <w:tcW w:w="1203" w:type="dxa"/>
            <w:shd w:val="clear" w:color="auto" w:fill="auto"/>
            <w:tcMar>
              <w:top w:w="0" w:type="dxa"/>
              <w:left w:w="108" w:type="dxa"/>
              <w:bottom w:w="0" w:type="dxa"/>
              <w:right w:w="108" w:type="dxa"/>
            </w:tcMar>
            <w:vAlign w:val="center"/>
          </w:tcPr>
          <w:p w14:paraId="31EAC20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2021/12/21</w:t>
            </w:r>
          </w:p>
        </w:tc>
        <w:tc>
          <w:tcPr>
            <w:tcW w:w="1260" w:type="dxa"/>
            <w:shd w:val="clear" w:color="auto" w:fill="auto"/>
            <w:tcMar>
              <w:top w:w="0" w:type="dxa"/>
              <w:left w:w="108" w:type="dxa"/>
              <w:bottom w:w="0" w:type="dxa"/>
              <w:right w:w="108" w:type="dxa"/>
            </w:tcMar>
            <w:vAlign w:val="center"/>
          </w:tcPr>
          <w:p w14:paraId="162308F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未偿还</w:t>
            </w:r>
          </w:p>
        </w:tc>
      </w:tr>
      <w:tr w:rsidR="006416B0" w:rsidRPr="00B4515A" w14:paraId="6146286D"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21F741D0"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25A495B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500.00</w:t>
            </w:r>
          </w:p>
        </w:tc>
        <w:tc>
          <w:tcPr>
            <w:tcW w:w="1302" w:type="dxa"/>
            <w:shd w:val="clear" w:color="auto" w:fill="auto"/>
            <w:tcMar>
              <w:top w:w="0" w:type="dxa"/>
              <w:left w:w="108" w:type="dxa"/>
              <w:bottom w:w="0" w:type="dxa"/>
              <w:right w:w="108" w:type="dxa"/>
            </w:tcMar>
            <w:vAlign w:val="center"/>
          </w:tcPr>
          <w:p w14:paraId="361150F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2020/1/10</w:t>
            </w:r>
          </w:p>
        </w:tc>
        <w:tc>
          <w:tcPr>
            <w:tcW w:w="1203" w:type="dxa"/>
            <w:shd w:val="clear" w:color="auto" w:fill="auto"/>
            <w:tcMar>
              <w:top w:w="0" w:type="dxa"/>
              <w:left w:w="108" w:type="dxa"/>
              <w:bottom w:w="0" w:type="dxa"/>
              <w:right w:w="108" w:type="dxa"/>
            </w:tcMar>
            <w:vAlign w:val="center"/>
          </w:tcPr>
          <w:p w14:paraId="515B333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2021/1/9</w:t>
            </w:r>
          </w:p>
        </w:tc>
        <w:tc>
          <w:tcPr>
            <w:tcW w:w="1260" w:type="dxa"/>
            <w:shd w:val="clear" w:color="auto" w:fill="auto"/>
            <w:tcMar>
              <w:top w:w="0" w:type="dxa"/>
              <w:left w:w="108" w:type="dxa"/>
              <w:bottom w:w="0" w:type="dxa"/>
              <w:right w:w="108" w:type="dxa"/>
            </w:tcMar>
            <w:vAlign w:val="center"/>
          </w:tcPr>
          <w:p w14:paraId="32C8ED5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4093EA0C"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5B89C72C"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4FAABA3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500.00</w:t>
            </w:r>
          </w:p>
        </w:tc>
        <w:tc>
          <w:tcPr>
            <w:tcW w:w="1302" w:type="dxa"/>
            <w:shd w:val="clear" w:color="auto" w:fill="auto"/>
            <w:tcMar>
              <w:top w:w="0" w:type="dxa"/>
              <w:left w:w="108" w:type="dxa"/>
              <w:bottom w:w="0" w:type="dxa"/>
              <w:right w:w="108" w:type="dxa"/>
            </w:tcMar>
            <w:vAlign w:val="center"/>
          </w:tcPr>
          <w:p w14:paraId="63B620D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2021/2/5</w:t>
            </w:r>
          </w:p>
        </w:tc>
        <w:tc>
          <w:tcPr>
            <w:tcW w:w="1203" w:type="dxa"/>
            <w:shd w:val="clear" w:color="auto" w:fill="auto"/>
            <w:tcMar>
              <w:top w:w="0" w:type="dxa"/>
              <w:left w:w="108" w:type="dxa"/>
              <w:bottom w:w="0" w:type="dxa"/>
              <w:right w:w="108" w:type="dxa"/>
            </w:tcMar>
            <w:vAlign w:val="center"/>
          </w:tcPr>
          <w:p w14:paraId="5D171B5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2022/2/4</w:t>
            </w:r>
          </w:p>
        </w:tc>
        <w:tc>
          <w:tcPr>
            <w:tcW w:w="1260" w:type="dxa"/>
            <w:shd w:val="clear" w:color="auto" w:fill="auto"/>
            <w:tcMar>
              <w:top w:w="0" w:type="dxa"/>
              <w:left w:w="108" w:type="dxa"/>
              <w:bottom w:w="0" w:type="dxa"/>
              <w:right w:w="108" w:type="dxa"/>
            </w:tcMar>
            <w:vAlign w:val="center"/>
          </w:tcPr>
          <w:p w14:paraId="5A81CCA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3129DB3E"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0586929F"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16B3A37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5,000.00</w:t>
            </w:r>
          </w:p>
        </w:tc>
        <w:tc>
          <w:tcPr>
            <w:tcW w:w="1302" w:type="dxa"/>
            <w:shd w:val="clear" w:color="auto" w:fill="auto"/>
            <w:tcMar>
              <w:top w:w="0" w:type="dxa"/>
              <w:left w:w="108" w:type="dxa"/>
              <w:bottom w:w="0" w:type="dxa"/>
              <w:right w:w="108" w:type="dxa"/>
            </w:tcMar>
            <w:vAlign w:val="center"/>
          </w:tcPr>
          <w:p w14:paraId="0492236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2020/9/4</w:t>
            </w:r>
          </w:p>
        </w:tc>
        <w:tc>
          <w:tcPr>
            <w:tcW w:w="1203" w:type="dxa"/>
            <w:shd w:val="clear" w:color="auto" w:fill="auto"/>
            <w:tcMar>
              <w:top w:w="0" w:type="dxa"/>
              <w:left w:w="108" w:type="dxa"/>
              <w:bottom w:w="0" w:type="dxa"/>
              <w:right w:w="108" w:type="dxa"/>
            </w:tcMar>
            <w:vAlign w:val="center"/>
          </w:tcPr>
          <w:p w14:paraId="7565223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2021/9/3</w:t>
            </w:r>
          </w:p>
        </w:tc>
        <w:tc>
          <w:tcPr>
            <w:tcW w:w="1260" w:type="dxa"/>
            <w:shd w:val="clear" w:color="auto" w:fill="auto"/>
            <w:tcMar>
              <w:top w:w="0" w:type="dxa"/>
              <w:left w:w="108" w:type="dxa"/>
              <w:bottom w:w="0" w:type="dxa"/>
              <w:right w:w="108" w:type="dxa"/>
            </w:tcMar>
            <w:vAlign w:val="center"/>
          </w:tcPr>
          <w:p w14:paraId="43DDDB1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未偿还</w:t>
            </w:r>
          </w:p>
        </w:tc>
      </w:tr>
      <w:tr w:rsidR="006416B0" w:rsidRPr="00B4515A" w14:paraId="27310081"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2DCC989D"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1D0796A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5,000.00</w:t>
            </w:r>
          </w:p>
        </w:tc>
        <w:tc>
          <w:tcPr>
            <w:tcW w:w="1302" w:type="dxa"/>
            <w:shd w:val="clear" w:color="auto" w:fill="auto"/>
            <w:tcMar>
              <w:top w:w="0" w:type="dxa"/>
              <w:left w:w="108" w:type="dxa"/>
              <w:bottom w:w="0" w:type="dxa"/>
              <w:right w:w="108" w:type="dxa"/>
            </w:tcMar>
            <w:vAlign w:val="center"/>
          </w:tcPr>
          <w:p w14:paraId="472A5EE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2020/9/10</w:t>
            </w:r>
          </w:p>
        </w:tc>
        <w:tc>
          <w:tcPr>
            <w:tcW w:w="1203" w:type="dxa"/>
            <w:shd w:val="clear" w:color="auto" w:fill="auto"/>
            <w:tcMar>
              <w:top w:w="0" w:type="dxa"/>
              <w:left w:w="108" w:type="dxa"/>
              <w:bottom w:w="0" w:type="dxa"/>
              <w:right w:w="108" w:type="dxa"/>
            </w:tcMar>
            <w:vAlign w:val="center"/>
          </w:tcPr>
          <w:p w14:paraId="3F888C0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2021/9/9</w:t>
            </w:r>
          </w:p>
        </w:tc>
        <w:tc>
          <w:tcPr>
            <w:tcW w:w="1260" w:type="dxa"/>
            <w:shd w:val="clear" w:color="auto" w:fill="auto"/>
            <w:tcMar>
              <w:top w:w="0" w:type="dxa"/>
              <w:left w:w="108" w:type="dxa"/>
              <w:bottom w:w="0" w:type="dxa"/>
              <w:right w:w="108" w:type="dxa"/>
            </w:tcMar>
            <w:vAlign w:val="center"/>
          </w:tcPr>
          <w:p w14:paraId="7470D1E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未偿还</w:t>
            </w:r>
          </w:p>
        </w:tc>
      </w:tr>
      <w:tr w:rsidR="006416B0" w:rsidRPr="00B4515A" w14:paraId="103F7370"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1DED2544"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2DBB515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3,000.00</w:t>
            </w:r>
          </w:p>
        </w:tc>
        <w:tc>
          <w:tcPr>
            <w:tcW w:w="1302" w:type="dxa"/>
            <w:shd w:val="clear" w:color="auto" w:fill="auto"/>
            <w:tcMar>
              <w:top w:w="0" w:type="dxa"/>
              <w:left w:w="108" w:type="dxa"/>
              <w:bottom w:w="0" w:type="dxa"/>
              <w:right w:w="108" w:type="dxa"/>
            </w:tcMar>
            <w:vAlign w:val="center"/>
          </w:tcPr>
          <w:p w14:paraId="062CFDF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2020/11/16</w:t>
            </w:r>
          </w:p>
        </w:tc>
        <w:tc>
          <w:tcPr>
            <w:tcW w:w="1203" w:type="dxa"/>
            <w:shd w:val="clear" w:color="auto" w:fill="auto"/>
            <w:tcMar>
              <w:top w:w="0" w:type="dxa"/>
              <w:left w:w="108" w:type="dxa"/>
              <w:bottom w:w="0" w:type="dxa"/>
              <w:right w:w="108" w:type="dxa"/>
            </w:tcMar>
            <w:vAlign w:val="center"/>
          </w:tcPr>
          <w:p w14:paraId="07184B9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2021/11/15</w:t>
            </w:r>
          </w:p>
        </w:tc>
        <w:tc>
          <w:tcPr>
            <w:tcW w:w="1260" w:type="dxa"/>
            <w:shd w:val="clear" w:color="auto" w:fill="auto"/>
            <w:tcMar>
              <w:top w:w="0" w:type="dxa"/>
              <w:left w:w="108" w:type="dxa"/>
              <w:bottom w:w="0" w:type="dxa"/>
              <w:right w:w="108" w:type="dxa"/>
            </w:tcMar>
            <w:vAlign w:val="center"/>
          </w:tcPr>
          <w:p w14:paraId="4A17DB2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未偿还</w:t>
            </w:r>
          </w:p>
        </w:tc>
      </w:tr>
      <w:tr w:rsidR="006416B0" w:rsidRPr="00B4515A" w14:paraId="1D01C9CC"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6D3C445C"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大唐电信集团财务有限公司</w:t>
            </w:r>
          </w:p>
        </w:tc>
        <w:tc>
          <w:tcPr>
            <w:tcW w:w="1235" w:type="dxa"/>
            <w:shd w:val="clear" w:color="auto" w:fill="auto"/>
            <w:tcMar>
              <w:top w:w="0" w:type="dxa"/>
              <w:left w:w="108" w:type="dxa"/>
              <w:bottom w:w="0" w:type="dxa"/>
              <w:right w:w="108" w:type="dxa"/>
            </w:tcMar>
            <w:vAlign w:val="center"/>
          </w:tcPr>
          <w:p w14:paraId="3C1771D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2,000.00</w:t>
            </w:r>
          </w:p>
        </w:tc>
        <w:tc>
          <w:tcPr>
            <w:tcW w:w="1302" w:type="dxa"/>
            <w:shd w:val="clear" w:color="auto" w:fill="auto"/>
            <w:tcMar>
              <w:top w:w="0" w:type="dxa"/>
              <w:left w:w="108" w:type="dxa"/>
              <w:bottom w:w="0" w:type="dxa"/>
              <w:right w:w="108" w:type="dxa"/>
            </w:tcMar>
            <w:vAlign w:val="center"/>
          </w:tcPr>
          <w:p w14:paraId="6A77E94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2021/2/10</w:t>
            </w:r>
          </w:p>
        </w:tc>
        <w:tc>
          <w:tcPr>
            <w:tcW w:w="1203" w:type="dxa"/>
            <w:shd w:val="clear" w:color="auto" w:fill="auto"/>
            <w:tcMar>
              <w:top w:w="0" w:type="dxa"/>
              <w:left w:w="108" w:type="dxa"/>
              <w:bottom w:w="0" w:type="dxa"/>
              <w:right w:w="108" w:type="dxa"/>
            </w:tcMar>
            <w:vAlign w:val="center"/>
          </w:tcPr>
          <w:p w14:paraId="153C1E6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2022/2/9</w:t>
            </w:r>
          </w:p>
        </w:tc>
        <w:tc>
          <w:tcPr>
            <w:tcW w:w="1260" w:type="dxa"/>
            <w:shd w:val="clear" w:color="auto" w:fill="auto"/>
            <w:tcMar>
              <w:top w:w="0" w:type="dxa"/>
              <w:left w:w="108" w:type="dxa"/>
              <w:bottom w:w="0" w:type="dxa"/>
              <w:right w:w="108" w:type="dxa"/>
            </w:tcMar>
            <w:vAlign w:val="center"/>
          </w:tcPr>
          <w:p w14:paraId="3E6753AC"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未偿还</w:t>
            </w:r>
          </w:p>
        </w:tc>
      </w:tr>
      <w:tr w:rsidR="006416B0" w:rsidRPr="00B4515A" w14:paraId="71051E56"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68A7688E"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大唐电信投资有限公司</w:t>
            </w:r>
          </w:p>
        </w:tc>
        <w:tc>
          <w:tcPr>
            <w:tcW w:w="1235" w:type="dxa"/>
            <w:shd w:val="clear" w:color="auto" w:fill="auto"/>
            <w:tcMar>
              <w:top w:w="0" w:type="dxa"/>
              <w:left w:w="108" w:type="dxa"/>
              <w:bottom w:w="0" w:type="dxa"/>
              <w:right w:w="108" w:type="dxa"/>
            </w:tcMar>
            <w:vAlign w:val="center"/>
          </w:tcPr>
          <w:p w14:paraId="7962FA6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2,400.00</w:t>
            </w:r>
          </w:p>
        </w:tc>
        <w:tc>
          <w:tcPr>
            <w:tcW w:w="1302" w:type="dxa"/>
            <w:shd w:val="clear" w:color="auto" w:fill="auto"/>
            <w:tcMar>
              <w:top w:w="0" w:type="dxa"/>
              <w:left w:w="108" w:type="dxa"/>
              <w:bottom w:w="0" w:type="dxa"/>
              <w:right w:w="108" w:type="dxa"/>
            </w:tcMar>
            <w:vAlign w:val="center"/>
          </w:tcPr>
          <w:p w14:paraId="652E4EE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2020/6/15</w:t>
            </w:r>
          </w:p>
        </w:tc>
        <w:tc>
          <w:tcPr>
            <w:tcW w:w="1203" w:type="dxa"/>
            <w:shd w:val="clear" w:color="auto" w:fill="auto"/>
            <w:tcMar>
              <w:top w:w="0" w:type="dxa"/>
              <w:left w:w="108" w:type="dxa"/>
              <w:bottom w:w="0" w:type="dxa"/>
              <w:right w:w="108" w:type="dxa"/>
            </w:tcMar>
            <w:vAlign w:val="center"/>
          </w:tcPr>
          <w:p w14:paraId="3C9631B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2020/7/1</w:t>
            </w:r>
          </w:p>
        </w:tc>
        <w:tc>
          <w:tcPr>
            <w:tcW w:w="1260" w:type="dxa"/>
            <w:shd w:val="clear" w:color="auto" w:fill="auto"/>
            <w:tcMar>
              <w:top w:w="0" w:type="dxa"/>
              <w:left w:w="108" w:type="dxa"/>
              <w:bottom w:w="0" w:type="dxa"/>
              <w:right w:w="108" w:type="dxa"/>
            </w:tcMar>
            <w:vAlign w:val="center"/>
          </w:tcPr>
          <w:p w14:paraId="68FDF0A0"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78F250AC"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6C69BEE1"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大唐电信科技产业控股有限公司</w:t>
            </w:r>
          </w:p>
        </w:tc>
        <w:tc>
          <w:tcPr>
            <w:tcW w:w="1235" w:type="dxa"/>
            <w:shd w:val="clear" w:color="auto" w:fill="auto"/>
            <w:tcMar>
              <w:top w:w="0" w:type="dxa"/>
              <w:left w:w="108" w:type="dxa"/>
              <w:bottom w:w="0" w:type="dxa"/>
              <w:right w:w="108" w:type="dxa"/>
            </w:tcMar>
            <w:vAlign w:val="center"/>
          </w:tcPr>
          <w:p w14:paraId="2FCC9E7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40,000.00</w:t>
            </w:r>
          </w:p>
        </w:tc>
        <w:tc>
          <w:tcPr>
            <w:tcW w:w="1302" w:type="dxa"/>
            <w:shd w:val="clear" w:color="auto" w:fill="auto"/>
            <w:tcMar>
              <w:top w:w="0" w:type="dxa"/>
              <w:left w:w="108" w:type="dxa"/>
              <w:bottom w:w="0" w:type="dxa"/>
              <w:right w:w="108" w:type="dxa"/>
            </w:tcMar>
            <w:vAlign w:val="center"/>
          </w:tcPr>
          <w:p w14:paraId="57E84E9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2020/4/28</w:t>
            </w:r>
          </w:p>
        </w:tc>
        <w:tc>
          <w:tcPr>
            <w:tcW w:w="1203" w:type="dxa"/>
            <w:shd w:val="clear" w:color="auto" w:fill="auto"/>
            <w:tcMar>
              <w:top w:w="0" w:type="dxa"/>
              <w:left w:w="108" w:type="dxa"/>
              <w:bottom w:w="0" w:type="dxa"/>
              <w:right w:w="108" w:type="dxa"/>
            </w:tcMar>
            <w:vAlign w:val="center"/>
          </w:tcPr>
          <w:p w14:paraId="061CC1E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2020/9/27</w:t>
            </w:r>
          </w:p>
        </w:tc>
        <w:tc>
          <w:tcPr>
            <w:tcW w:w="1260" w:type="dxa"/>
            <w:shd w:val="clear" w:color="auto" w:fill="auto"/>
            <w:tcMar>
              <w:top w:w="0" w:type="dxa"/>
              <w:left w:w="108" w:type="dxa"/>
              <w:bottom w:w="0" w:type="dxa"/>
              <w:right w:w="108" w:type="dxa"/>
            </w:tcMar>
            <w:vAlign w:val="center"/>
          </w:tcPr>
          <w:p w14:paraId="18470E0A"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76B08F61"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030DDBC9"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中国信息通信科技集团有限公司</w:t>
            </w:r>
          </w:p>
        </w:tc>
        <w:tc>
          <w:tcPr>
            <w:tcW w:w="1235" w:type="dxa"/>
            <w:shd w:val="clear" w:color="auto" w:fill="auto"/>
            <w:tcMar>
              <w:top w:w="0" w:type="dxa"/>
              <w:left w:w="108" w:type="dxa"/>
              <w:bottom w:w="0" w:type="dxa"/>
              <w:right w:w="108" w:type="dxa"/>
            </w:tcMar>
            <w:vAlign w:val="center"/>
          </w:tcPr>
          <w:p w14:paraId="45B566E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1,800.00</w:t>
            </w:r>
          </w:p>
        </w:tc>
        <w:tc>
          <w:tcPr>
            <w:tcW w:w="1302" w:type="dxa"/>
            <w:shd w:val="clear" w:color="auto" w:fill="auto"/>
            <w:tcMar>
              <w:top w:w="0" w:type="dxa"/>
              <w:left w:w="108" w:type="dxa"/>
              <w:bottom w:w="0" w:type="dxa"/>
              <w:right w:w="108" w:type="dxa"/>
            </w:tcMar>
            <w:vAlign w:val="center"/>
          </w:tcPr>
          <w:p w14:paraId="5B390D8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2020/12/15</w:t>
            </w:r>
          </w:p>
        </w:tc>
        <w:tc>
          <w:tcPr>
            <w:tcW w:w="1203" w:type="dxa"/>
            <w:shd w:val="clear" w:color="auto" w:fill="auto"/>
            <w:tcMar>
              <w:top w:w="0" w:type="dxa"/>
              <w:left w:w="108" w:type="dxa"/>
              <w:bottom w:w="0" w:type="dxa"/>
              <w:right w:w="108" w:type="dxa"/>
            </w:tcMar>
            <w:vAlign w:val="center"/>
          </w:tcPr>
          <w:p w14:paraId="36C7BBB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2021/12/14</w:t>
            </w:r>
          </w:p>
        </w:tc>
        <w:tc>
          <w:tcPr>
            <w:tcW w:w="1260" w:type="dxa"/>
            <w:shd w:val="clear" w:color="auto" w:fill="auto"/>
            <w:tcMar>
              <w:top w:w="0" w:type="dxa"/>
              <w:left w:w="108" w:type="dxa"/>
              <w:bottom w:w="0" w:type="dxa"/>
              <w:right w:w="108" w:type="dxa"/>
            </w:tcMar>
            <w:vAlign w:val="center"/>
          </w:tcPr>
          <w:p w14:paraId="277961FB"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未偿还</w:t>
            </w:r>
          </w:p>
        </w:tc>
      </w:tr>
      <w:tr w:rsidR="006416B0" w:rsidRPr="00B4515A" w14:paraId="2EA3B08E"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051576A7"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中国信息通信科技集团有限公司</w:t>
            </w:r>
          </w:p>
        </w:tc>
        <w:tc>
          <w:tcPr>
            <w:tcW w:w="1235" w:type="dxa"/>
            <w:shd w:val="clear" w:color="auto" w:fill="auto"/>
            <w:tcMar>
              <w:top w:w="0" w:type="dxa"/>
              <w:left w:w="108" w:type="dxa"/>
              <w:bottom w:w="0" w:type="dxa"/>
              <w:right w:w="108" w:type="dxa"/>
            </w:tcMar>
            <w:vAlign w:val="center"/>
          </w:tcPr>
          <w:p w14:paraId="2375860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13,200.00</w:t>
            </w:r>
          </w:p>
        </w:tc>
        <w:tc>
          <w:tcPr>
            <w:tcW w:w="1302" w:type="dxa"/>
            <w:shd w:val="clear" w:color="auto" w:fill="auto"/>
            <w:tcMar>
              <w:top w:w="0" w:type="dxa"/>
              <w:left w:w="108" w:type="dxa"/>
              <w:bottom w:w="0" w:type="dxa"/>
              <w:right w:w="108" w:type="dxa"/>
            </w:tcMar>
            <w:vAlign w:val="center"/>
          </w:tcPr>
          <w:p w14:paraId="6EA2F46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2021/3/24</w:t>
            </w:r>
          </w:p>
        </w:tc>
        <w:tc>
          <w:tcPr>
            <w:tcW w:w="1203" w:type="dxa"/>
            <w:shd w:val="clear" w:color="auto" w:fill="auto"/>
            <w:tcMar>
              <w:top w:w="0" w:type="dxa"/>
              <w:left w:w="108" w:type="dxa"/>
              <w:bottom w:w="0" w:type="dxa"/>
              <w:right w:w="108" w:type="dxa"/>
            </w:tcMar>
            <w:vAlign w:val="center"/>
          </w:tcPr>
          <w:p w14:paraId="7C87396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2022/3/23</w:t>
            </w:r>
          </w:p>
        </w:tc>
        <w:tc>
          <w:tcPr>
            <w:tcW w:w="1260" w:type="dxa"/>
            <w:shd w:val="clear" w:color="auto" w:fill="auto"/>
            <w:tcMar>
              <w:top w:w="0" w:type="dxa"/>
              <w:left w:w="108" w:type="dxa"/>
              <w:bottom w:w="0" w:type="dxa"/>
              <w:right w:w="108" w:type="dxa"/>
            </w:tcMar>
            <w:vAlign w:val="center"/>
          </w:tcPr>
          <w:p w14:paraId="6AB14B53"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未偿还</w:t>
            </w:r>
          </w:p>
        </w:tc>
      </w:tr>
      <w:tr w:rsidR="006416B0" w:rsidRPr="00B4515A" w14:paraId="07DC1A9B"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58B905A9"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大唐电信科技产业控股有限公司</w:t>
            </w:r>
          </w:p>
        </w:tc>
        <w:tc>
          <w:tcPr>
            <w:tcW w:w="1235" w:type="dxa"/>
            <w:shd w:val="clear" w:color="auto" w:fill="auto"/>
            <w:tcMar>
              <w:top w:w="0" w:type="dxa"/>
              <w:left w:w="108" w:type="dxa"/>
              <w:bottom w:w="0" w:type="dxa"/>
              <w:right w:w="108" w:type="dxa"/>
            </w:tcMar>
            <w:vAlign w:val="center"/>
          </w:tcPr>
          <w:p w14:paraId="4D1B089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5,000.00</w:t>
            </w:r>
          </w:p>
        </w:tc>
        <w:tc>
          <w:tcPr>
            <w:tcW w:w="1302" w:type="dxa"/>
            <w:shd w:val="clear" w:color="auto" w:fill="auto"/>
            <w:tcMar>
              <w:top w:w="0" w:type="dxa"/>
              <w:left w:w="108" w:type="dxa"/>
              <w:bottom w:w="0" w:type="dxa"/>
              <w:right w:w="108" w:type="dxa"/>
            </w:tcMar>
            <w:vAlign w:val="center"/>
          </w:tcPr>
          <w:p w14:paraId="2124C3A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2017/12/31</w:t>
            </w:r>
          </w:p>
        </w:tc>
        <w:tc>
          <w:tcPr>
            <w:tcW w:w="1203" w:type="dxa"/>
            <w:shd w:val="clear" w:color="auto" w:fill="auto"/>
            <w:tcMar>
              <w:top w:w="0" w:type="dxa"/>
              <w:left w:w="108" w:type="dxa"/>
              <w:bottom w:w="0" w:type="dxa"/>
              <w:right w:w="108" w:type="dxa"/>
            </w:tcMar>
            <w:vAlign w:val="center"/>
          </w:tcPr>
          <w:p w14:paraId="1A718AE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2019/12/31</w:t>
            </w:r>
          </w:p>
        </w:tc>
        <w:tc>
          <w:tcPr>
            <w:tcW w:w="1260" w:type="dxa"/>
            <w:shd w:val="clear" w:color="auto" w:fill="auto"/>
            <w:tcMar>
              <w:top w:w="0" w:type="dxa"/>
              <w:left w:w="108" w:type="dxa"/>
              <w:bottom w:w="0" w:type="dxa"/>
              <w:right w:w="108" w:type="dxa"/>
            </w:tcMar>
            <w:vAlign w:val="center"/>
          </w:tcPr>
          <w:p w14:paraId="10EA4EC2"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1556804C"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21F573A4"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大唐电信科技产业控股有限公司</w:t>
            </w:r>
          </w:p>
        </w:tc>
        <w:tc>
          <w:tcPr>
            <w:tcW w:w="1235" w:type="dxa"/>
            <w:shd w:val="clear" w:color="auto" w:fill="auto"/>
            <w:tcMar>
              <w:top w:w="0" w:type="dxa"/>
              <w:left w:w="108" w:type="dxa"/>
              <w:bottom w:w="0" w:type="dxa"/>
              <w:right w:w="108" w:type="dxa"/>
            </w:tcMar>
            <w:vAlign w:val="center"/>
          </w:tcPr>
          <w:p w14:paraId="6062316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1,600.00</w:t>
            </w:r>
          </w:p>
        </w:tc>
        <w:tc>
          <w:tcPr>
            <w:tcW w:w="1302" w:type="dxa"/>
            <w:shd w:val="clear" w:color="auto" w:fill="auto"/>
            <w:tcMar>
              <w:top w:w="0" w:type="dxa"/>
              <w:left w:w="108" w:type="dxa"/>
              <w:bottom w:w="0" w:type="dxa"/>
              <w:right w:w="108" w:type="dxa"/>
            </w:tcMar>
            <w:vAlign w:val="center"/>
          </w:tcPr>
          <w:p w14:paraId="320EC3B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2018/5/31</w:t>
            </w:r>
          </w:p>
        </w:tc>
        <w:tc>
          <w:tcPr>
            <w:tcW w:w="1203" w:type="dxa"/>
            <w:shd w:val="clear" w:color="auto" w:fill="auto"/>
            <w:tcMar>
              <w:top w:w="0" w:type="dxa"/>
              <w:left w:w="108" w:type="dxa"/>
              <w:bottom w:w="0" w:type="dxa"/>
              <w:right w:w="108" w:type="dxa"/>
            </w:tcMar>
            <w:vAlign w:val="center"/>
          </w:tcPr>
          <w:p w14:paraId="7B77284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2019/5/30</w:t>
            </w:r>
          </w:p>
        </w:tc>
        <w:tc>
          <w:tcPr>
            <w:tcW w:w="1260" w:type="dxa"/>
            <w:shd w:val="clear" w:color="auto" w:fill="auto"/>
            <w:tcMar>
              <w:top w:w="0" w:type="dxa"/>
              <w:left w:w="108" w:type="dxa"/>
              <w:bottom w:w="0" w:type="dxa"/>
              <w:right w:w="108" w:type="dxa"/>
            </w:tcMar>
            <w:vAlign w:val="center"/>
          </w:tcPr>
          <w:p w14:paraId="2550519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192E737B"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32849BCF"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大唐电信科技产业控股有限公司</w:t>
            </w:r>
          </w:p>
        </w:tc>
        <w:tc>
          <w:tcPr>
            <w:tcW w:w="1235" w:type="dxa"/>
            <w:shd w:val="clear" w:color="auto" w:fill="auto"/>
            <w:tcMar>
              <w:top w:w="0" w:type="dxa"/>
              <w:left w:w="108" w:type="dxa"/>
              <w:bottom w:w="0" w:type="dxa"/>
              <w:right w:w="108" w:type="dxa"/>
            </w:tcMar>
            <w:vAlign w:val="center"/>
          </w:tcPr>
          <w:p w14:paraId="245A108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1,000.00</w:t>
            </w:r>
          </w:p>
        </w:tc>
        <w:tc>
          <w:tcPr>
            <w:tcW w:w="1302" w:type="dxa"/>
            <w:shd w:val="clear" w:color="auto" w:fill="auto"/>
            <w:tcMar>
              <w:top w:w="0" w:type="dxa"/>
              <w:left w:w="108" w:type="dxa"/>
              <w:bottom w:w="0" w:type="dxa"/>
              <w:right w:w="108" w:type="dxa"/>
            </w:tcMar>
            <w:vAlign w:val="center"/>
          </w:tcPr>
          <w:p w14:paraId="2E387A4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2018/8/31</w:t>
            </w:r>
          </w:p>
        </w:tc>
        <w:tc>
          <w:tcPr>
            <w:tcW w:w="1203" w:type="dxa"/>
            <w:shd w:val="clear" w:color="auto" w:fill="auto"/>
            <w:tcMar>
              <w:top w:w="0" w:type="dxa"/>
              <w:left w:w="108" w:type="dxa"/>
              <w:bottom w:w="0" w:type="dxa"/>
              <w:right w:w="108" w:type="dxa"/>
            </w:tcMar>
            <w:vAlign w:val="center"/>
          </w:tcPr>
          <w:p w14:paraId="47B71BC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2019/8/31</w:t>
            </w:r>
          </w:p>
        </w:tc>
        <w:tc>
          <w:tcPr>
            <w:tcW w:w="1260" w:type="dxa"/>
            <w:shd w:val="clear" w:color="auto" w:fill="auto"/>
            <w:tcMar>
              <w:top w:w="0" w:type="dxa"/>
              <w:left w:w="108" w:type="dxa"/>
              <w:bottom w:w="0" w:type="dxa"/>
              <w:right w:w="108" w:type="dxa"/>
            </w:tcMar>
            <w:vAlign w:val="center"/>
          </w:tcPr>
          <w:p w14:paraId="56B281E8"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62C9824C"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2610F320"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大唐电信科技产业控股有限公司</w:t>
            </w:r>
          </w:p>
        </w:tc>
        <w:tc>
          <w:tcPr>
            <w:tcW w:w="1235" w:type="dxa"/>
            <w:shd w:val="clear" w:color="auto" w:fill="auto"/>
            <w:tcMar>
              <w:top w:w="0" w:type="dxa"/>
              <w:left w:w="108" w:type="dxa"/>
              <w:bottom w:w="0" w:type="dxa"/>
              <w:right w:w="108" w:type="dxa"/>
            </w:tcMar>
            <w:vAlign w:val="center"/>
          </w:tcPr>
          <w:p w14:paraId="734BEA5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3,000.00</w:t>
            </w:r>
          </w:p>
        </w:tc>
        <w:tc>
          <w:tcPr>
            <w:tcW w:w="1302" w:type="dxa"/>
            <w:shd w:val="clear" w:color="auto" w:fill="auto"/>
            <w:tcMar>
              <w:top w:w="0" w:type="dxa"/>
              <w:left w:w="108" w:type="dxa"/>
              <w:bottom w:w="0" w:type="dxa"/>
              <w:right w:w="108" w:type="dxa"/>
            </w:tcMar>
            <w:vAlign w:val="center"/>
          </w:tcPr>
          <w:p w14:paraId="426AE68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2020/6/16</w:t>
            </w:r>
          </w:p>
        </w:tc>
        <w:tc>
          <w:tcPr>
            <w:tcW w:w="1203" w:type="dxa"/>
            <w:shd w:val="clear" w:color="auto" w:fill="auto"/>
            <w:tcMar>
              <w:top w:w="0" w:type="dxa"/>
              <w:left w:w="108" w:type="dxa"/>
              <w:bottom w:w="0" w:type="dxa"/>
              <w:right w:w="108" w:type="dxa"/>
            </w:tcMar>
            <w:vAlign w:val="center"/>
          </w:tcPr>
          <w:p w14:paraId="1A1A7C8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2020/7/7</w:t>
            </w:r>
          </w:p>
        </w:tc>
        <w:tc>
          <w:tcPr>
            <w:tcW w:w="1260" w:type="dxa"/>
            <w:shd w:val="clear" w:color="auto" w:fill="auto"/>
            <w:tcMar>
              <w:top w:w="0" w:type="dxa"/>
              <w:left w:w="108" w:type="dxa"/>
              <w:bottom w:w="0" w:type="dxa"/>
              <w:right w:w="108" w:type="dxa"/>
            </w:tcMar>
            <w:vAlign w:val="center"/>
          </w:tcPr>
          <w:p w14:paraId="0527CBFE"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17004C12"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67989232"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大唐电信科技产业控股有限公司</w:t>
            </w:r>
          </w:p>
        </w:tc>
        <w:tc>
          <w:tcPr>
            <w:tcW w:w="1235" w:type="dxa"/>
            <w:shd w:val="clear" w:color="auto" w:fill="auto"/>
            <w:tcMar>
              <w:top w:w="0" w:type="dxa"/>
              <w:left w:w="108" w:type="dxa"/>
              <w:bottom w:w="0" w:type="dxa"/>
              <w:right w:w="108" w:type="dxa"/>
            </w:tcMar>
            <w:vAlign w:val="center"/>
          </w:tcPr>
          <w:p w14:paraId="632D7A4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5,000.00</w:t>
            </w:r>
          </w:p>
        </w:tc>
        <w:tc>
          <w:tcPr>
            <w:tcW w:w="1302" w:type="dxa"/>
            <w:shd w:val="clear" w:color="auto" w:fill="auto"/>
            <w:tcMar>
              <w:top w:w="0" w:type="dxa"/>
              <w:left w:w="108" w:type="dxa"/>
              <w:bottom w:w="0" w:type="dxa"/>
              <w:right w:w="108" w:type="dxa"/>
            </w:tcMar>
            <w:vAlign w:val="center"/>
          </w:tcPr>
          <w:p w14:paraId="62B8E82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2019/12/31</w:t>
            </w:r>
          </w:p>
        </w:tc>
        <w:tc>
          <w:tcPr>
            <w:tcW w:w="1203" w:type="dxa"/>
            <w:shd w:val="clear" w:color="auto" w:fill="auto"/>
            <w:tcMar>
              <w:top w:w="0" w:type="dxa"/>
              <w:left w:w="108" w:type="dxa"/>
              <w:bottom w:w="0" w:type="dxa"/>
              <w:right w:w="108" w:type="dxa"/>
            </w:tcMar>
            <w:vAlign w:val="center"/>
          </w:tcPr>
          <w:p w14:paraId="6AAE413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2020/12/23</w:t>
            </w:r>
          </w:p>
        </w:tc>
        <w:tc>
          <w:tcPr>
            <w:tcW w:w="1260" w:type="dxa"/>
            <w:shd w:val="clear" w:color="auto" w:fill="auto"/>
            <w:tcMar>
              <w:top w:w="0" w:type="dxa"/>
              <w:left w:w="108" w:type="dxa"/>
              <w:bottom w:w="0" w:type="dxa"/>
              <w:right w:w="108" w:type="dxa"/>
            </w:tcMar>
            <w:vAlign w:val="center"/>
          </w:tcPr>
          <w:p w14:paraId="3A096F51"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0AF15F83"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0173199F"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电信科学技术研究院有限公司</w:t>
            </w:r>
          </w:p>
        </w:tc>
        <w:tc>
          <w:tcPr>
            <w:tcW w:w="1235" w:type="dxa"/>
            <w:shd w:val="clear" w:color="auto" w:fill="auto"/>
            <w:tcMar>
              <w:top w:w="0" w:type="dxa"/>
              <w:left w:w="108" w:type="dxa"/>
              <w:bottom w:w="0" w:type="dxa"/>
              <w:right w:w="108" w:type="dxa"/>
            </w:tcMar>
            <w:vAlign w:val="center"/>
          </w:tcPr>
          <w:p w14:paraId="37AA9C6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9,000.00</w:t>
            </w:r>
          </w:p>
        </w:tc>
        <w:tc>
          <w:tcPr>
            <w:tcW w:w="1302" w:type="dxa"/>
            <w:shd w:val="clear" w:color="auto" w:fill="auto"/>
            <w:tcMar>
              <w:top w:w="0" w:type="dxa"/>
              <w:left w:w="108" w:type="dxa"/>
              <w:bottom w:w="0" w:type="dxa"/>
              <w:right w:w="108" w:type="dxa"/>
            </w:tcMar>
            <w:vAlign w:val="center"/>
          </w:tcPr>
          <w:p w14:paraId="273E619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2016/1/26</w:t>
            </w:r>
          </w:p>
        </w:tc>
        <w:tc>
          <w:tcPr>
            <w:tcW w:w="1203" w:type="dxa"/>
            <w:shd w:val="clear" w:color="auto" w:fill="auto"/>
            <w:tcMar>
              <w:top w:w="0" w:type="dxa"/>
              <w:left w:w="108" w:type="dxa"/>
              <w:bottom w:w="0" w:type="dxa"/>
              <w:right w:w="108" w:type="dxa"/>
            </w:tcMar>
            <w:vAlign w:val="center"/>
          </w:tcPr>
          <w:p w14:paraId="1F32210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2019/1/25</w:t>
            </w:r>
          </w:p>
        </w:tc>
        <w:tc>
          <w:tcPr>
            <w:tcW w:w="1260" w:type="dxa"/>
            <w:shd w:val="clear" w:color="auto" w:fill="auto"/>
            <w:tcMar>
              <w:top w:w="0" w:type="dxa"/>
              <w:left w:w="108" w:type="dxa"/>
              <w:bottom w:w="0" w:type="dxa"/>
              <w:right w:w="108" w:type="dxa"/>
            </w:tcMar>
            <w:vAlign w:val="center"/>
          </w:tcPr>
          <w:p w14:paraId="61295D6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4F55B9D4"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68E9DA50"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lastRenderedPageBreak/>
              <w:t>电信科学技术研究院有限公司</w:t>
            </w:r>
          </w:p>
        </w:tc>
        <w:tc>
          <w:tcPr>
            <w:tcW w:w="1235" w:type="dxa"/>
            <w:shd w:val="clear" w:color="auto" w:fill="auto"/>
            <w:tcMar>
              <w:top w:w="0" w:type="dxa"/>
              <w:left w:w="108" w:type="dxa"/>
              <w:bottom w:w="0" w:type="dxa"/>
              <w:right w:w="108" w:type="dxa"/>
            </w:tcMar>
            <w:vAlign w:val="center"/>
          </w:tcPr>
          <w:p w14:paraId="6E6911F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3,000.00</w:t>
            </w:r>
          </w:p>
        </w:tc>
        <w:tc>
          <w:tcPr>
            <w:tcW w:w="1302" w:type="dxa"/>
            <w:shd w:val="clear" w:color="auto" w:fill="auto"/>
            <w:tcMar>
              <w:top w:w="0" w:type="dxa"/>
              <w:left w:w="108" w:type="dxa"/>
              <w:bottom w:w="0" w:type="dxa"/>
              <w:right w:w="108" w:type="dxa"/>
            </w:tcMar>
            <w:vAlign w:val="center"/>
          </w:tcPr>
          <w:p w14:paraId="4FE327F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2015/9/18</w:t>
            </w:r>
          </w:p>
        </w:tc>
        <w:tc>
          <w:tcPr>
            <w:tcW w:w="1203" w:type="dxa"/>
            <w:shd w:val="clear" w:color="auto" w:fill="auto"/>
            <w:tcMar>
              <w:top w:w="0" w:type="dxa"/>
              <w:left w:w="108" w:type="dxa"/>
              <w:bottom w:w="0" w:type="dxa"/>
              <w:right w:w="108" w:type="dxa"/>
            </w:tcMar>
            <w:vAlign w:val="center"/>
          </w:tcPr>
          <w:p w14:paraId="5880221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2018/9/17</w:t>
            </w:r>
          </w:p>
        </w:tc>
        <w:tc>
          <w:tcPr>
            <w:tcW w:w="1260" w:type="dxa"/>
            <w:shd w:val="clear" w:color="auto" w:fill="auto"/>
            <w:tcMar>
              <w:top w:w="0" w:type="dxa"/>
              <w:left w:w="108" w:type="dxa"/>
              <w:bottom w:w="0" w:type="dxa"/>
              <w:right w:w="108" w:type="dxa"/>
            </w:tcMar>
            <w:vAlign w:val="center"/>
          </w:tcPr>
          <w:p w14:paraId="46A8A884"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62F52E1F"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26C6C6BE"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电信科学技术研究院有限公司</w:t>
            </w:r>
          </w:p>
        </w:tc>
        <w:tc>
          <w:tcPr>
            <w:tcW w:w="1235" w:type="dxa"/>
            <w:shd w:val="clear" w:color="auto" w:fill="auto"/>
            <w:tcMar>
              <w:top w:w="0" w:type="dxa"/>
              <w:left w:w="108" w:type="dxa"/>
              <w:bottom w:w="0" w:type="dxa"/>
              <w:right w:w="108" w:type="dxa"/>
            </w:tcMar>
            <w:vAlign w:val="center"/>
          </w:tcPr>
          <w:p w14:paraId="32C340D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5,606.00</w:t>
            </w:r>
          </w:p>
        </w:tc>
        <w:tc>
          <w:tcPr>
            <w:tcW w:w="1302" w:type="dxa"/>
            <w:shd w:val="clear" w:color="auto" w:fill="auto"/>
            <w:tcMar>
              <w:top w:w="0" w:type="dxa"/>
              <w:left w:w="108" w:type="dxa"/>
              <w:bottom w:w="0" w:type="dxa"/>
              <w:right w:w="108" w:type="dxa"/>
            </w:tcMar>
            <w:vAlign w:val="center"/>
          </w:tcPr>
          <w:p w14:paraId="079C2FF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2017/3/13</w:t>
            </w:r>
          </w:p>
        </w:tc>
        <w:tc>
          <w:tcPr>
            <w:tcW w:w="1203" w:type="dxa"/>
            <w:shd w:val="clear" w:color="auto" w:fill="auto"/>
            <w:tcMar>
              <w:top w:w="0" w:type="dxa"/>
              <w:left w:w="108" w:type="dxa"/>
              <w:bottom w:w="0" w:type="dxa"/>
              <w:right w:w="108" w:type="dxa"/>
            </w:tcMar>
            <w:vAlign w:val="center"/>
          </w:tcPr>
          <w:p w14:paraId="0DE8A36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2020/9/12</w:t>
            </w:r>
          </w:p>
        </w:tc>
        <w:tc>
          <w:tcPr>
            <w:tcW w:w="1260" w:type="dxa"/>
            <w:shd w:val="clear" w:color="auto" w:fill="auto"/>
            <w:tcMar>
              <w:top w:w="0" w:type="dxa"/>
              <w:left w:w="108" w:type="dxa"/>
              <w:bottom w:w="0" w:type="dxa"/>
              <w:right w:w="108" w:type="dxa"/>
            </w:tcMar>
            <w:vAlign w:val="center"/>
          </w:tcPr>
          <w:p w14:paraId="30D127EB"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06CEFCB0"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72F74D99"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电信科学技术研究院有限公司</w:t>
            </w:r>
          </w:p>
        </w:tc>
        <w:tc>
          <w:tcPr>
            <w:tcW w:w="1235" w:type="dxa"/>
            <w:shd w:val="clear" w:color="auto" w:fill="auto"/>
            <w:tcMar>
              <w:top w:w="0" w:type="dxa"/>
              <w:left w:w="108" w:type="dxa"/>
              <w:bottom w:w="0" w:type="dxa"/>
              <w:right w:w="108" w:type="dxa"/>
            </w:tcMar>
            <w:vAlign w:val="center"/>
          </w:tcPr>
          <w:p w14:paraId="1468EDD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5,606.00</w:t>
            </w:r>
          </w:p>
        </w:tc>
        <w:tc>
          <w:tcPr>
            <w:tcW w:w="1302" w:type="dxa"/>
            <w:shd w:val="clear" w:color="auto" w:fill="auto"/>
            <w:tcMar>
              <w:top w:w="0" w:type="dxa"/>
              <w:left w:w="108" w:type="dxa"/>
              <w:bottom w:w="0" w:type="dxa"/>
              <w:right w:w="108" w:type="dxa"/>
            </w:tcMar>
            <w:vAlign w:val="center"/>
          </w:tcPr>
          <w:p w14:paraId="1878B29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2020/9/12</w:t>
            </w:r>
          </w:p>
        </w:tc>
        <w:tc>
          <w:tcPr>
            <w:tcW w:w="1203" w:type="dxa"/>
            <w:shd w:val="clear" w:color="auto" w:fill="auto"/>
            <w:tcMar>
              <w:top w:w="0" w:type="dxa"/>
              <w:left w:w="108" w:type="dxa"/>
              <w:bottom w:w="0" w:type="dxa"/>
              <w:right w:w="108" w:type="dxa"/>
            </w:tcMar>
            <w:vAlign w:val="center"/>
          </w:tcPr>
          <w:p w14:paraId="6968E74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2020/12/23</w:t>
            </w:r>
          </w:p>
        </w:tc>
        <w:tc>
          <w:tcPr>
            <w:tcW w:w="1260" w:type="dxa"/>
            <w:shd w:val="clear" w:color="auto" w:fill="auto"/>
            <w:tcMar>
              <w:top w:w="0" w:type="dxa"/>
              <w:left w:w="108" w:type="dxa"/>
              <w:bottom w:w="0" w:type="dxa"/>
              <w:right w:w="108" w:type="dxa"/>
            </w:tcMar>
            <w:vAlign w:val="center"/>
          </w:tcPr>
          <w:p w14:paraId="787DA27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0CDC290A"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4DC0A1CF"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电信科学技术研究院有限公司</w:t>
            </w:r>
          </w:p>
        </w:tc>
        <w:tc>
          <w:tcPr>
            <w:tcW w:w="1235" w:type="dxa"/>
            <w:shd w:val="clear" w:color="auto" w:fill="auto"/>
            <w:tcMar>
              <w:top w:w="0" w:type="dxa"/>
              <w:left w:w="108" w:type="dxa"/>
              <w:bottom w:w="0" w:type="dxa"/>
              <w:right w:w="108" w:type="dxa"/>
            </w:tcMar>
            <w:vAlign w:val="center"/>
          </w:tcPr>
          <w:p w14:paraId="720C730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1,000.00</w:t>
            </w:r>
          </w:p>
        </w:tc>
        <w:tc>
          <w:tcPr>
            <w:tcW w:w="1302" w:type="dxa"/>
            <w:shd w:val="clear" w:color="auto" w:fill="auto"/>
            <w:tcMar>
              <w:top w:w="0" w:type="dxa"/>
              <w:left w:w="108" w:type="dxa"/>
              <w:bottom w:w="0" w:type="dxa"/>
              <w:right w:w="108" w:type="dxa"/>
            </w:tcMar>
            <w:vAlign w:val="center"/>
          </w:tcPr>
          <w:p w14:paraId="62A6359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2015/8/11</w:t>
            </w:r>
          </w:p>
        </w:tc>
        <w:tc>
          <w:tcPr>
            <w:tcW w:w="1203" w:type="dxa"/>
            <w:shd w:val="clear" w:color="auto" w:fill="auto"/>
            <w:tcMar>
              <w:top w:w="0" w:type="dxa"/>
              <w:left w:w="108" w:type="dxa"/>
              <w:bottom w:w="0" w:type="dxa"/>
              <w:right w:w="108" w:type="dxa"/>
            </w:tcMar>
            <w:vAlign w:val="center"/>
          </w:tcPr>
          <w:p w14:paraId="1D632F3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2020/12/23</w:t>
            </w:r>
          </w:p>
        </w:tc>
        <w:tc>
          <w:tcPr>
            <w:tcW w:w="1260" w:type="dxa"/>
            <w:shd w:val="clear" w:color="auto" w:fill="auto"/>
            <w:tcMar>
              <w:top w:w="0" w:type="dxa"/>
              <w:left w:w="108" w:type="dxa"/>
              <w:bottom w:w="0" w:type="dxa"/>
              <w:right w:w="108" w:type="dxa"/>
            </w:tcMar>
            <w:vAlign w:val="center"/>
          </w:tcPr>
          <w:p w14:paraId="0117E5EB"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0456C712"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751F0EBE"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电信科学技术研究院有限公司</w:t>
            </w:r>
          </w:p>
        </w:tc>
        <w:tc>
          <w:tcPr>
            <w:tcW w:w="1235" w:type="dxa"/>
            <w:shd w:val="clear" w:color="auto" w:fill="auto"/>
            <w:tcMar>
              <w:top w:w="0" w:type="dxa"/>
              <w:left w:w="108" w:type="dxa"/>
              <w:bottom w:w="0" w:type="dxa"/>
              <w:right w:w="108" w:type="dxa"/>
            </w:tcMar>
            <w:vAlign w:val="center"/>
          </w:tcPr>
          <w:p w14:paraId="4385778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8,000.00</w:t>
            </w:r>
          </w:p>
        </w:tc>
        <w:tc>
          <w:tcPr>
            <w:tcW w:w="1302" w:type="dxa"/>
            <w:shd w:val="clear" w:color="auto" w:fill="auto"/>
            <w:tcMar>
              <w:top w:w="0" w:type="dxa"/>
              <w:left w:w="108" w:type="dxa"/>
              <w:bottom w:w="0" w:type="dxa"/>
              <w:right w:w="108" w:type="dxa"/>
            </w:tcMar>
            <w:vAlign w:val="center"/>
          </w:tcPr>
          <w:p w14:paraId="7246AEC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2015/8/26</w:t>
            </w:r>
          </w:p>
        </w:tc>
        <w:tc>
          <w:tcPr>
            <w:tcW w:w="1203" w:type="dxa"/>
            <w:shd w:val="clear" w:color="auto" w:fill="auto"/>
            <w:tcMar>
              <w:top w:w="0" w:type="dxa"/>
              <w:left w:w="108" w:type="dxa"/>
              <w:bottom w:w="0" w:type="dxa"/>
              <w:right w:w="108" w:type="dxa"/>
            </w:tcMar>
            <w:vAlign w:val="center"/>
          </w:tcPr>
          <w:p w14:paraId="1CAC38D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2020/12/23</w:t>
            </w:r>
          </w:p>
        </w:tc>
        <w:tc>
          <w:tcPr>
            <w:tcW w:w="1260" w:type="dxa"/>
            <w:shd w:val="clear" w:color="auto" w:fill="auto"/>
            <w:tcMar>
              <w:top w:w="0" w:type="dxa"/>
              <w:left w:w="108" w:type="dxa"/>
              <w:bottom w:w="0" w:type="dxa"/>
              <w:right w:w="108" w:type="dxa"/>
            </w:tcMar>
            <w:vAlign w:val="center"/>
          </w:tcPr>
          <w:p w14:paraId="160CCE65"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549D3FF8"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101FB0DE"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电信科学技术研究院有限公司</w:t>
            </w:r>
          </w:p>
        </w:tc>
        <w:tc>
          <w:tcPr>
            <w:tcW w:w="1235" w:type="dxa"/>
            <w:shd w:val="clear" w:color="auto" w:fill="auto"/>
            <w:tcMar>
              <w:top w:w="0" w:type="dxa"/>
              <w:left w:w="108" w:type="dxa"/>
              <w:bottom w:w="0" w:type="dxa"/>
              <w:right w:w="108" w:type="dxa"/>
            </w:tcMar>
            <w:vAlign w:val="center"/>
          </w:tcPr>
          <w:p w14:paraId="2AD0F86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3,000.00</w:t>
            </w:r>
          </w:p>
        </w:tc>
        <w:tc>
          <w:tcPr>
            <w:tcW w:w="1302" w:type="dxa"/>
            <w:shd w:val="clear" w:color="auto" w:fill="auto"/>
            <w:tcMar>
              <w:top w:w="0" w:type="dxa"/>
              <w:left w:w="108" w:type="dxa"/>
              <w:bottom w:w="0" w:type="dxa"/>
              <w:right w:w="108" w:type="dxa"/>
            </w:tcMar>
            <w:vAlign w:val="center"/>
          </w:tcPr>
          <w:p w14:paraId="2DD5A93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2018/9/17</w:t>
            </w:r>
          </w:p>
        </w:tc>
        <w:tc>
          <w:tcPr>
            <w:tcW w:w="1203" w:type="dxa"/>
            <w:shd w:val="clear" w:color="auto" w:fill="auto"/>
            <w:tcMar>
              <w:top w:w="0" w:type="dxa"/>
              <w:left w:w="108" w:type="dxa"/>
              <w:bottom w:w="0" w:type="dxa"/>
              <w:right w:w="108" w:type="dxa"/>
            </w:tcMar>
            <w:vAlign w:val="center"/>
          </w:tcPr>
          <w:p w14:paraId="78CA304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2020/12/23</w:t>
            </w:r>
          </w:p>
        </w:tc>
        <w:tc>
          <w:tcPr>
            <w:tcW w:w="1260" w:type="dxa"/>
            <w:shd w:val="clear" w:color="auto" w:fill="auto"/>
            <w:tcMar>
              <w:top w:w="0" w:type="dxa"/>
              <w:left w:w="108" w:type="dxa"/>
              <w:bottom w:w="0" w:type="dxa"/>
              <w:right w:w="108" w:type="dxa"/>
            </w:tcMar>
            <w:vAlign w:val="center"/>
          </w:tcPr>
          <w:p w14:paraId="7FAAC039"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r w:rsidR="006416B0" w:rsidRPr="00B4515A" w14:paraId="57F0BF3F" w14:textId="77777777" w:rsidTr="00031627">
        <w:trPr>
          <w:trHeight w:val="340"/>
          <w:jc w:val="center"/>
        </w:trPr>
        <w:tc>
          <w:tcPr>
            <w:tcW w:w="3109" w:type="dxa"/>
            <w:shd w:val="clear" w:color="auto" w:fill="auto"/>
            <w:tcMar>
              <w:top w:w="0" w:type="dxa"/>
              <w:left w:w="108" w:type="dxa"/>
              <w:bottom w:w="0" w:type="dxa"/>
              <w:right w:w="108" w:type="dxa"/>
            </w:tcMar>
            <w:vAlign w:val="center"/>
          </w:tcPr>
          <w:p w14:paraId="2FABF146"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电信科学技术研究院有限公司</w:t>
            </w:r>
          </w:p>
        </w:tc>
        <w:tc>
          <w:tcPr>
            <w:tcW w:w="1235" w:type="dxa"/>
            <w:shd w:val="clear" w:color="auto" w:fill="auto"/>
            <w:tcMar>
              <w:top w:w="0" w:type="dxa"/>
              <w:left w:w="108" w:type="dxa"/>
              <w:bottom w:w="0" w:type="dxa"/>
              <w:right w:w="108" w:type="dxa"/>
            </w:tcMar>
            <w:vAlign w:val="center"/>
          </w:tcPr>
          <w:p w14:paraId="7253DEA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9,000.00</w:t>
            </w:r>
          </w:p>
        </w:tc>
        <w:tc>
          <w:tcPr>
            <w:tcW w:w="1302" w:type="dxa"/>
            <w:shd w:val="clear" w:color="auto" w:fill="auto"/>
            <w:tcMar>
              <w:top w:w="0" w:type="dxa"/>
              <w:left w:w="108" w:type="dxa"/>
              <w:bottom w:w="0" w:type="dxa"/>
              <w:right w:w="108" w:type="dxa"/>
            </w:tcMar>
            <w:vAlign w:val="center"/>
          </w:tcPr>
          <w:p w14:paraId="1691667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2019/1/25</w:t>
            </w:r>
          </w:p>
        </w:tc>
        <w:tc>
          <w:tcPr>
            <w:tcW w:w="1203" w:type="dxa"/>
            <w:shd w:val="clear" w:color="auto" w:fill="auto"/>
            <w:tcMar>
              <w:top w:w="0" w:type="dxa"/>
              <w:left w:w="108" w:type="dxa"/>
              <w:bottom w:w="0" w:type="dxa"/>
              <w:right w:w="108" w:type="dxa"/>
            </w:tcMar>
            <w:vAlign w:val="center"/>
          </w:tcPr>
          <w:p w14:paraId="6313B25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color w:val="000000"/>
                <w:sz w:val="21"/>
                <w:szCs w:val="21"/>
              </w:rPr>
              <w:t>2020/12/23</w:t>
            </w:r>
          </w:p>
        </w:tc>
        <w:tc>
          <w:tcPr>
            <w:tcW w:w="1260" w:type="dxa"/>
            <w:shd w:val="clear" w:color="auto" w:fill="auto"/>
            <w:tcMar>
              <w:top w:w="0" w:type="dxa"/>
              <w:left w:w="108" w:type="dxa"/>
              <w:bottom w:w="0" w:type="dxa"/>
              <w:right w:w="108" w:type="dxa"/>
            </w:tcMar>
            <w:vAlign w:val="center"/>
          </w:tcPr>
          <w:p w14:paraId="05ACF99D" w14:textId="77777777" w:rsidR="006416B0" w:rsidRPr="00B4515A" w:rsidRDefault="005E58C1" w:rsidP="005860B4">
            <w:pPr>
              <w:adjustRightInd w:val="0"/>
              <w:snapToGrid w:val="0"/>
              <w:jc w:val="center"/>
              <w:rPr>
                <w:rFonts w:ascii="Times New Roman" w:hAnsi="Times New Roman" w:cs="Times New Roman"/>
                <w:color w:val="000000"/>
                <w:sz w:val="21"/>
                <w:szCs w:val="21"/>
              </w:rPr>
            </w:pPr>
            <w:r w:rsidRPr="00B4515A">
              <w:rPr>
                <w:rFonts w:cs="Times New Roman" w:hint="eastAsia"/>
                <w:color w:val="000000"/>
                <w:sz w:val="21"/>
                <w:szCs w:val="21"/>
              </w:rPr>
              <w:t>已偿还</w:t>
            </w:r>
          </w:p>
        </w:tc>
      </w:tr>
    </w:tbl>
    <w:p w14:paraId="49E5AB1A" w14:textId="5FD3DEBB" w:rsidR="006416B0" w:rsidRPr="00B4515A" w:rsidRDefault="005E58C1" w:rsidP="006100BC">
      <w:pPr>
        <w:pStyle w:val="005"/>
        <w:spacing w:before="120" w:after="120"/>
        <w:ind w:firstLine="480"/>
      </w:pPr>
      <w:r w:rsidRPr="00B4515A">
        <w:t>关联方利息支出</w:t>
      </w:r>
    </w:p>
    <w:p w14:paraId="0AE1EEC6" w14:textId="0ECFA30E" w:rsidR="006416B0" w:rsidRPr="00B4515A" w:rsidRDefault="00D44516" w:rsidP="006100BC">
      <w:pPr>
        <w:pStyle w:val="009"/>
      </w:pPr>
      <w:r w:rsidRPr="00B4515A">
        <w:rPr>
          <w:bCs/>
          <w:kern w:val="0"/>
        </w:rPr>
        <w:t>单位：万元</w:t>
      </w:r>
      <w:r w:rsidR="005E58C1" w:rsidRPr="00B4515A">
        <w:fldChar w:fldCharType="begin"/>
      </w:r>
      <w:r w:rsidR="005E58C1" w:rsidRPr="00B4515A">
        <w:instrText xml:space="preserve"> LINK Excel.Sheet.12 "D:\\</w:instrText>
      </w:r>
      <w:r w:rsidR="005E58C1" w:rsidRPr="00B4515A">
        <w:instrText>立信</w:instrText>
      </w:r>
      <w:r w:rsidR="005E58C1" w:rsidRPr="00B4515A">
        <w:instrText>\\2021\\</w:instrText>
      </w:r>
      <w:r w:rsidR="005E58C1" w:rsidRPr="00B4515A">
        <w:instrText>调整系统</w:instrText>
      </w:r>
      <w:r w:rsidR="005E58C1" w:rsidRPr="00B4515A">
        <w:instrText>\\00</w:instrText>
      </w:r>
      <w:r w:rsidR="005E58C1" w:rsidRPr="00B4515A">
        <w:instrText>调整系统</w:instrText>
      </w:r>
      <w:r w:rsidR="005E58C1" w:rsidRPr="00B4515A">
        <w:instrText>-</w:instrText>
      </w:r>
      <w:r w:rsidR="005E58C1" w:rsidRPr="00B4515A">
        <w:instrText>大唐电信科技股份有限公司（合并）</w:instrText>
      </w:r>
      <w:r w:rsidR="005E58C1" w:rsidRPr="00B4515A">
        <w:instrText>-4.2.xlsx" "</w:instrText>
      </w:r>
      <w:r w:rsidR="005E58C1" w:rsidRPr="00B4515A">
        <w:instrText>关联方及关联方交易</w:instrText>
      </w:r>
      <w:r w:rsidR="005E58C1" w:rsidRPr="00B4515A">
        <w:instrText>!</w:instrText>
      </w:r>
      <w:r w:rsidR="005E58C1" w:rsidRPr="00B4515A">
        <w:instrText>关联</w:instrText>
      </w:r>
      <w:r w:rsidR="005E58C1" w:rsidRPr="00B4515A">
        <w:instrText xml:space="preserve">1" \a \f 4 \h  \* MERGEFORMAT </w:instrText>
      </w:r>
      <w:r w:rsidR="005E58C1" w:rsidRPr="00B4515A">
        <w:fldChar w:fldCharType="separate"/>
      </w:r>
    </w:p>
    <w:tbl>
      <w:tblPr>
        <w:tblStyle w:val="2fd"/>
        <w:tblW w:w="4895" w:type="pct"/>
        <w:tblInd w:w="9" w:type="dxa"/>
        <w:tblBorders>
          <w:left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09"/>
        <w:gridCol w:w="2084"/>
        <w:gridCol w:w="2056"/>
      </w:tblGrid>
      <w:tr w:rsidR="006416B0" w:rsidRPr="00B4515A" w14:paraId="5B033C79" w14:textId="77777777" w:rsidTr="00031627">
        <w:trPr>
          <w:trHeight w:val="340"/>
          <w:tblHeader/>
        </w:trPr>
        <w:tc>
          <w:tcPr>
            <w:tcW w:w="4087" w:type="dxa"/>
            <w:tcMar>
              <w:top w:w="0" w:type="dxa"/>
              <w:left w:w="108" w:type="dxa"/>
              <w:bottom w:w="0" w:type="dxa"/>
              <w:right w:w="108" w:type="dxa"/>
            </w:tcMar>
            <w:vAlign w:val="center"/>
          </w:tcPr>
          <w:p w14:paraId="1891CBBE"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关联方</w:t>
            </w:r>
          </w:p>
        </w:tc>
        <w:tc>
          <w:tcPr>
            <w:tcW w:w="2024" w:type="dxa"/>
            <w:tcMar>
              <w:top w:w="0" w:type="dxa"/>
              <w:left w:w="108" w:type="dxa"/>
              <w:bottom w:w="0" w:type="dxa"/>
              <w:right w:w="108" w:type="dxa"/>
            </w:tcMar>
            <w:vAlign w:val="center"/>
          </w:tcPr>
          <w:p w14:paraId="2C41F923"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2021</w:t>
            </w:r>
            <w:r w:rsidRPr="00B4515A">
              <w:rPr>
                <w:rFonts w:ascii="Times New Roman" w:eastAsiaTheme="majorEastAsia" w:hAnsi="Times New Roman" w:cs="Times New Roman"/>
                <w:b/>
                <w:sz w:val="21"/>
                <w:szCs w:val="21"/>
              </w:rPr>
              <w:t>年</w:t>
            </w:r>
            <w:r w:rsidRPr="00B4515A">
              <w:rPr>
                <w:rFonts w:ascii="Times New Roman" w:eastAsiaTheme="majorEastAsia" w:hAnsi="Times New Roman" w:cs="Times New Roman"/>
                <w:b/>
                <w:sz w:val="21"/>
                <w:szCs w:val="21"/>
              </w:rPr>
              <w:t>1-4</w:t>
            </w:r>
            <w:r w:rsidRPr="00B4515A">
              <w:rPr>
                <w:rFonts w:ascii="Times New Roman" w:eastAsiaTheme="majorEastAsia" w:hAnsi="Times New Roman" w:cs="Times New Roman"/>
                <w:b/>
                <w:sz w:val="21"/>
                <w:szCs w:val="21"/>
              </w:rPr>
              <w:t>月</w:t>
            </w:r>
          </w:p>
        </w:tc>
        <w:tc>
          <w:tcPr>
            <w:tcW w:w="1997" w:type="dxa"/>
            <w:tcMar>
              <w:top w:w="0" w:type="dxa"/>
              <w:left w:w="108" w:type="dxa"/>
              <w:bottom w:w="0" w:type="dxa"/>
              <w:right w:w="108" w:type="dxa"/>
            </w:tcMar>
            <w:vAlign w:val="center"/>
          </w:tcPr>
          <w:p w14:paraId="79FF87A2"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2020</w:t>
            </w:r>
            <w:r w:rsidRPr="00B4515A">
              <w:rPr>
                <w:rFonts w:ascii="Times New Roman" w:eastAsiaTheme="majorEastAsia" w:hAnsi="Times New Roman" w:cs="Times New Roman"/>
                <w:b/>
                <w:sz w:val="21"/>
                <w:szCs w:val="21"/>
              </w:rPr>
              <w:t>年度</w:t>
            </w:r>
          </w:p>
        </w:tc>
      </w:tr>
      <w:tr w:rsidR="006416B0" w:rsidRPr="00B4515A" w14:paraId="6B27F40F" w14:textId="77777777" w:rsidTr="00031627">
        <w:trPr>
          <w:trHeight w:val="340"/>
        </w:trPr>
        <w:tc>
          <w:tcPr>
            <w:tcW w:w="4087" w:type="dxa"/>
            <w:tcMar>
              <w:top w:w="0" w:type="dxa"/>
              <w:left w:w="108" w:type="dxa"/>
              <w:bottom w:w="0" w:type="dxa"/>
              <w:right w:w="108" w:type="dxa"/>
            </w:tcMar>
            <w:vAlign w:val="center"/>
          </w:tcPr>
          <w:p w14:paraId="2633DA15"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cs="Times New Roman" w:hint="eastAsia"/>
                <w:sz w:val="21"/>
                <w:szCs w:val="21"/>
              </w:rPr>
              <w:t>大唐电信科技产业控股有限公司</w:t>
            </w:r>
          </w:p>
        </w:tc>
        <w:tc>
          <w:tcPr>
            <w:tcW w:w="2024" w:type="dxa"/>
            <w:tcMar>
              <w:top w:w="0" w:type="dxa"/>
              <w:left w:w="108" w:type="dxa"/>
              <w:bottom w:w="0" w:type="dxa"/>
              <w:right w:w="108" w:type="dxa"/>
            </w:tcMar>
            <w:vAlign w:val="center"/>
          </w:tcPr>
          <w:p w14:paraId="2E420F3A"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w:t>
            </w:r>
          </w:p>
        </w:tc>
        <w:tc>
          <w:tcPr>
            <w:tcW w:w="1997" w:type="dxa"/>
            <w:tcMar>
              <w:top w:w="0" w:type="dxa"/>
              <w:left w:w="108" w:type="dxa"/>
              <w:bottom w:w="0" w:type="dxa"/>
              <w:right w:w="108" w:type="dxa"/>
            </w:tcMar>
            <w:vAlign w:val="center"/>
          </w:tcPr>
          <w:p w14:paraId="374EF55E"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719.57</w:t>
            </w:r>
          </w:p>
        </w:tc>
      </w:tr>
      <w:tr w:rsidR="003C2245" w:rsidRPr="00B4515A" w14:paraId="2E39043D" w14:textId="77777777" w:rsidTr="00031627">
        <w:trPr>
          <w:trHeight w:val="340"/>
        </w:trPr>
        <w:tc>
          <w:tcPr>
            <w:tcW w:w="4087" w:type="dxa"/>
            <w:tcMar>
              <w:top w:w="0" w:type="dxa"/>
              <w:left w:w="108" w:type="dxa"/>
              <w:bottom w:w="0" w:type="dxa"/>
              <w:right w:w="108" w:type="dxa"/>
            </w:tcMar>
            <w:vAlign w:val="center"/>
          </w:tcPr>
          <w:p w14:paraId="1F104E92" w14:textId="123FF527" w:rsidR="003C2245" w:rsidRPr="00B4515A" w:rsidRDefault="003C2245" w:rsidP="005860B4">
            <w:pPr>
              <w:adjustRightInd w:val="0"/>
              <w:snapToGrid w:val="0"/>
              <w:rPr>
                <w:rFonts w:cs="Times New Roman"/>
                <w:sz w:val="21"/>
                <w:szCs w:val="21"/>
              </w:rPr>
            </w:pPr>
            <w:r w:rsidRPr="00B4515A">
              <w:rPr>
                <w:rFonts w:cs="Times New Roman" w:hint="eastAsia"/>
                <w:sz w:val="21"/>
                <w:szCs w:val="21"/>
              </w:rPr>
              <w:t>电信科学技术研究院有限公司</w:t>
            </w:r>
          </w:p>
        </w:tc>
        <w:tc>
          <w:tcPr>
            <w:tcW w:w="2024" w:type="dxa"/>
            <w:tcMar>
              <w:top w:w="0" w:type="dxa"/>
              <w:left w:w="108" w:type="dxa"/>
              <w:bottom w:w="0" w:type="dxa"/>
              <w:right w:w="108" w:type="dxa"/>
            </w:tcMar>
            <w:vAlign w:val="center"/>
          </w:tcPr>
          <w:p w14:paraId="4FA2F18F" w14:textId="2BA83F76" w:rsidR="003C2245" w:rsidRPr="00B4515A" w:rsidRDefault="003C2245"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hint="eastAsia"/>
                <w:sz w:val="21"/>
                <w:szCs w:val="21"/>
              </w:rPr>
              <w:t>-</w:t>
            </w:r>
          </w:p>
        </w:tc>
        <w:tc>
          <w:tcPr>
            <w:tcW w:w="1997" w:type="dxa"/>
            <w:tcMar>
              <w:top w:w="0" w:type="dxa"/>
              <w:left w:w="108" w:type="dxa"/>
              <w:bottom w:w="0" w:type="dxa"/>
              <w:right w:w="108" w:type="dxa"/>
            </w:tcMar>
            <w:vAlign w:val="center"/>
          </w:tcPr>
          <w:p w14:paraId="3919CF78" w14:textId="30F7C0B2" w:rsidR="003C2245" w:rsidRPr="00B4515A" w:rsidRDefault="003C2245"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1,457.29</w:t>
            </w:r>
          </w:p>
        </w:tc>
      </w:tr>
      <w:tr w:rsidR="006416B0" w:rsidRPr="00B4515A" w14:paraId="0211A025" w14:textId="77777777" w:rsidTr="00031627">
        <w:trPr>
          <w:trHeight w:val="340"/>
        </w:trPr>
        <w:tc>
          <w:tcPr>
            <w:tcW w:w="4087" w:type="dxa"/>
            <w:tcMar>
              <w:top w:w="0" w:type="dxa"/>
              <w:left w:w="108" w:type="dxa"/>
              <w:bottom w:w="0" w:type="dxa"/>
              <w:right w:w="108" w:type="dxa"/>
            </w:tcMar>
            <w:vAlign w:val="center"/>
          </w:tcPr>
          <w:p w14:paraId="76CAC647"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cs="Times New Roman" w:hint="eastAsia"/>
                <w:sz w:val="21"/>
                <w:szCs w:val="21"/>
              </w:rPr>
              <w:t>大唐电信集团财务有限公司</w:t>
            </w:r>
          </w:p>
        </w:tc>
        <w:tc>
          <w:tcPr>
            <w:tcW w:w="2024" w:type="dxa"/>
            <w:tcMar>
              <w:top w:w="0" w:type="dxa"/>
              <w:left w:w="108" w:type="dxa"/>
              <w:bottom w:w="0" w:type="dxa"/>
              <w:right w:w="108" w:type="dxa"/>
            </w:tcMar>
            <w:vAlign w:val="center"/>
          </w:tcPr>
          <w:p w14:paraId="5C25821C"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252.64</w:t>
            </w:r>
          </w:p>
        </w:tc>
        <w:tc>
          <w:tcPr>
            <w:tcW w:w="1997" w:type="dxa"/>
            <w:tcMar>
              <w:top w:w="0" w:type="dxa"/>
              <w:left w:w="108" w:type="dxa"/>
              <w:bottom w:w="0" w:type="dxa"/>
              <w:right w:w="108" w:type="dxa"/>
            </w:tcMar>
            <w:vAlign w:val="center"/>
          </w:tcPr>
          <w:p w14:paraId="25FD50CD"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1,433.95</w:t>
            </w:r>
          </w:p>
        </w:tc>
      </w:tr>
      <w:tr w:rsidR="006416B0" w:rsidRPr="00B4515A" w14:paraId="1E44F47B" w14:textId="77777777" w:rsidTr="00031627">
        <w:trPr>
          <w:trHeight w:val="340"/>
        </w:trPr>
        <w:tc>
          <w:tcPr>
            <w:tcW w:w="4087" w:type="dxa"/>
            <w:tcMar>
              <w:top w:w="0" w:type="dxa"/>
              <w:left w:w="108" w:type="dxa"/>
              <w:bottom w:w="0" w:type="dxa"/>
              <w:right w:w="108" w:type="dxa"/>
            </w:tcMar>
            <w:vAlign w:val="center"/>
          </w:tcPr>
          <w:p w14:paraId="79394C7B"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cs="Times New Roman" w:hint="eastAsia"/>
                <w:sz w:val="21"/>
                <w:szCs w:val="21"/>
              </w:rPr>
              <w:t>中国信息通信科技集团有限公司</w:t>
            </w:r>
          </w:p>
        </w:tc>
        <w:tc>
          <w:tcPr>
            <w:tcW w:w="2024" w:type="dxa"/>
            <w:tcMar>
              <w:top w:w="0" w:type="dxa"/>
              <w:left w:w="108" w:type="dxa"/>
              <w:bottom w:w="0" w:type="dxa"/>
              <w:right w:w="108" w:type="dxa"/>
            </w:tcMar>
            <w:vAlign w:val="center"/>
          </w:tcPr>
          <w:p w14:paraId="26380EDD" w14:textId="5F6A8B5B" w:rsidR="006416B0" w:rsidRPr="00B4515A" w:rsidRDefault="003C2245"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211.08</w:t>
            </w:r>
          </w:p>
        </w:tc>
        <w:tc>
          <w:tcPr>
            <w:tcW w:w="1997" w:type="dxa"/>
            <w:tcMar>
              <w:top w:w="0" w:type="dxa"/>
              <w:left w:w="108" w:type="dxa"/>
              <w:bottom w:w="0" w:type="dxa"/>
              <w:right w:w="108" w:type="dxa"/>
            </w:tcMar>
            <w:vAlign w:val="center"/>
          </w:tcPr>
          <w:p w14:paraId="4F9EE85C"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19.53</w:t>
            </w:r>
          </w:p>
        </w:tc>
      </w:tr>
      <w:tr w:rsidR="006416B0" w:rsidRPr="00B4515A" w14:paraId="1267CFC9" w14:textId="77777777" w:rsidTr="00031627">
        <w:trPr>
          <w:trHeight w:val="340"/>
        </w:trPr>
        <w:tc>
          <w:tcPr>
            <w:tcW w:w="4087" w:type="dxa"/>
            <w:tcMar>
              <w:top w:w="0" w:type="dxa"/>
              <w:left w:w="108" w:type="dxa"/>
              <w:bottom w:w="0" w:type="dxa"/>
              <w:right w:w="108" w:type="dxa"/>
            </w:tcMar>
            <w:vAlign w:val="center"/>
          </w:tcPr>
          <w:p w14:paraId="5663CB1B"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cs="Times New Roman" w:hint="eastAsia"/>
                <w:sz w:val="21"/>
                <w:szCs w:val="21"/>
              </w:rPr>
              <w:t>大唐电信投资有限公司</w:t>
            </w:r>
          </w:p>
        </w:tc>
        <w:tc>
          <w:tcPr>
            <w:tcW w:w="2024" w:type="dxa"/>
            <w:tcMar>
              <w:top w:w="0" w:type="dxa"/>
              <w:left w:w="108" w:type="dxa"/>
              <w:bottom w:w="0" w:type="dxa"/>
              <w:right w:w="108" w:type="dxa"/>
            </w:tcMar>
            <w:vAlign w:val="center"/>
          </w:tcPr>
          <w:p w14:paraId="4D739C08"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w:t>
            </w:r>
          </w:p>
        </w:tc>
        <w:tc>
          <w:tcPr>
            <w:tcW w:w="1997" w:type="dxa"/>
            <w:tcMar>
              <w:top w:w="0" w:type="dxa"/>
              <w:left w:w="108" w:type="dxa"/>
              <w:bottom w:w="0" w:type="dxa"/>
              <w:right w:w="108" w:type="dxa"/>
            </w:tcMar>
            <w:vAlign w:val="center"/>
          </w:tcPr>
          <w:p w14:paraId="6735B4D9"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6.40</w:t>
            </w:r>
          </w:p>
        </w:tc>
      </w:tr>
      <w:tr w:rsidR="006416B0" w:rsidRPr="00B4515A" w14:paraId="39D0AAB2" w14:textId="77777777" w:rsidTr="00031627">
        <w:trPr>
          <w:trHeight w:val="340"/>
        </w:trPr>
        <w:tc>
          <w:tcPr>
            <w:tcW w:w="4087" w:type="dxa"/>
            <w:tcMar>
              <w:top w:w="0" w:type="dxa"/>
              <w:left w:w="108" w:type="dxa"/>
              <w:bottom w:w="0" w:type="dxa"/>
              <w:right w:w="108" w:type="dxa"/>
            </w:tcMar>
            <w:vAlign w:val="center"/>
          </w:tcPr>
          <w:p w14:paraId="339B1B86" w14:textId="77777777" w:rsidR="006416B0" w:rsidRPr="00B4515A" w:rsidRDefault="005E58C1" w:rsidP="005860B4">
            <w:pPr>
              <w:adjustRightInd w:val="0"/>
              <w:snapToGrid w:val="0"/>
              <w:jc w:val="center"/>
              <w:rPr>
                <w:rFonts w:ascii="Times New Roman" w:eastAsiaTheme="majorEastAsia" w:hAnsi="Times New Roman" w:cs="Times New Roman"/>
                <w:b/>
                <w:bCs/>
                <w:sz w:val="21"/>
                <w:szCs w:val="21"/>
              </w:rPr>
            </w:pPr>
            <w:r w:rsidRPr="00B4515A">
              <w:rPr>
                <w:rFonts w:ascii="Times New Roman" w:eastAsiaTheme="majorEastAsia" w:hAnsi="Times New Roman" w:cs="Times New Roman" w:hint="eastAsia"/>
                <w:b/>
                <w:bCs/>
                <w:sz w:val="21"/>
                <w:szCs w:val="21"/>
              </w:rPr>
              <w:t>合计</w:t>
            </w:r>
          </w:p>
        </w:tc>
        <w:tc>
          <w:tcPr>
            <w:tcW w:w="2024" w:type="dxa"/>
            <w:tcMar>
              <w:top w:w="0" w:type="dxa"/>
              <w:left w:w="108" w:type="dxa"/>
              <w:bottom w:w="0" w:type="dxa"/>
              <w:right w:w="108" w:type="dxa"/>
            </w:tcMar>
            <w:vAlign w:val="center"/>
          </w:tcPr>
          <w:p w14:paraId="607BC4C9" w14:textId="157111B4" w:rsidR="006416B0" w:rsidRPr="00B4515A" w:rsidRDefault="003C2245" w:rsidP="005860B4">
            <w:pPr>
              <w:adjustRightInd w:val="0"/>
              <w:snapToGrid w:val="0"/>
              <w:jc w:val="right"/>
              <w:rPr>
                <w:rFonts w:ascii="Times New Roman" w:eastAsiaTheme="majorEastAsia" w:hAnsi="Times New Roman" w:cs="Times New Roman"/>
                <w:b/>
                <w:bCs/>
                <w:sz w:val="21"/>
                <w:szCs w:val="21"/>
              </w:rPr>
            </w:pPr>
            <w:r w:rsidRPr="00B4515A">
              <w:rPr>
                <w:rFonts w:ascii="Times New Roman" w:hAnsi="Times New Roman" w:cs="Times New Roman"/>
                <w:b/>
                <w:bCs/>
                <w:sz w:val="21"/>
                <w:szCs w:val="21"/>
              </w:rPr>
              <w:t>463.72</w:t>
            </w:r>
          </w:p>
        </w:tc>
        <w:tc>
          <w:tcPr>
            <w:tcW w:w="1997" w:type="dxa"/>
            <w:tcMar>
              <w:top w:w="0" w:type="dxa"/>
              <w:left w:w="108" w:type="dxa"/>
              <w:bottom w:w="0" w:type="dxa"/>
              <w:right w:w="108" w:type="dxa"/>
            </w:tcMar>
            <w:vAlign w:val="center"/>
          </w:tcPr>
          <w:p w14:paraId="07393C73" w14:textId="2DC0F298" w:rsidR="006416B0" w:rsidRPr="00B4515A" w:rsidRDefault="003C2245" w:rsidP="005860B4">
            <w:pPr>
              <w:adjustRightInd w:val="0"/>
              <w:snapToGrid w:val="0"/>
              <w:jc w:val="right"/>
              <w:rPr>
                <w:rFonts w:ascii="Times New Roman" w:eastAsiaTheme="majorEastAsia" w:hAnsi="Times New Roman" w:cs="Times New Roman"/>
                <w:b/>
                <w:bCs/>
                <w:sz w:val="21"/>
                <w:szCs w:val="21"/>
              </w:rPr>
            </w:pPr>
            <w:r w:rsidRPr="00B4515A">
              <w:rPr>
                <w:rFonts w:ascii="Times New Roman" w:hAnsi="Times New Roman" w:cs="Times New Roman"/>
                <w:b/>
                <w:bCs/>
                <w:sz w:val="21"/>
                <w:szCs w:val="21"/>
              </w:rPr>
              <w:t>3,636.74</w:t>
            </w:r>
          </w:p>
        </w:tc>
      </w:tr>
    </w:tbl>
    <w:p w14:paraId="1CAC2613" w14:textId="71363AC0" w:rsidR="006416B0" w:rsidRPr="00B4515A" w:rsidRDefault="005E58C1" w:rsidP="006100BC">
      <w:pPr>
        <w:pStyle w:val="005"/>
        <w:spacing w:before="120" w:after="120"/>
        <w:ind w:firstLine="480"/>
      </w:pPr>
      <w:r w:rsidRPr="00B4515A">
        <w:fldChar w:fldCharType="end"/>
      </w:r>
      <w:bookmarkStart w:id="351" w:name="_Toc75169334"/>
      <w:r w:rsidRPr="00B4515A">
        <w:t>（</w:t>
      </w:r>
      <w:r w:rsidRPr="00B4515A">
        <w:t>5</w:t>
      </w:r>
      <w:r w:rsidRPr="00B4515A">
        <w:t>）关联方资产转让、债务重组情况</w:t>
      </w:r>
      <w:bookmarkEnd w:id="351"/>
    </w:p>
    <w:p w14:paraId="133D6F10" w14:textId="2BBB1664" w:rsidR="006416B0" w:rsidRPr="00B4515A" w:rsidRDefault="00D44516" w:rsidP="006100BC">
      <w:pPr>
        <w:pStyle w:val="009"/>
        <w:rPr>
          <w:bCs/>
        </w:rPr>
      </w:pPr>
      <w:r w:rsidRPr="00B4515A">
        <w:rPr>
          <w:bCs/>
          <w:kern w:val="0"/>
        </w:rPr>
        <w:t>单位：万元</w:t>
      </w:r>
      <w:r w:rsidR="005E58C1" w:rsidRPr="00B4515A">
        <w:rPr>
          <w:b/>
        </w:rPr>
        <w:fldChar w:fldCharType="begin"/>
      </w:r>
      <w:r w:rsidR="005E58C1" w:rsidRPr="00B4515A">
        <w:instrText xml:space="preserve"> LINK Excel.Sheet.12 E:\\</w:instrText>
      </w:r>
      <w:r w:rsidR="005E58C1" w:rsidRPr="00B4515A">
        <w:instrText>雍</w:instrText>
      </w:r>
      <w:r w:rsidR="005E58C1" w:rsidRPr="00B4515A">
        <w:instrText>\\</w:instrText>
      </w:r>
      <w:r w:rsidR="005E58C1" w:rsidRPr="00B4515A">
        <w:instrText>附注排版</w:instrText>
      </w:r>
      <w:r w:rsidR="005E58C1" w:rsidRPr="00B4515A">
        <w:instrText>\\2014</w:instrText>
      </w:r>
      <w:r w:rsidR="005E58C1" w:rsidRPr="00B4515A">
        <w:instrText>年年报格式</w:instrText>
      </w:r>
      <w:r w:rsidR="005E58C1" w:rsidRPr="00B4515A">
        <w:instrText>\\</w:instrText>
      </w:r>
      <w:r w:rsidR="005E58C1" w:rsidRPr="00B4515A">
        <w:instrText>附注过渡表</w:instrText>
      </w:r>
      <w:r w:rsidR="005E58C1" w:rsidRPr="00B4515A">
        <w:instrText xml:space="preserve">20150130V0910.xlsx </w:instrText>
      </w:r>
      <w:r w:rsidR="005E58C1" w:rsidRPr="00B4515A">
        <w:instrText>关联方及关联方交易</w:instrText>
      </w:r>
      <w:r w:rsidR="005E58C1" w:rsidRPr="00B4515A">
        <w:instrText>!</w:instrText>
      </w:r>
      <w:r w:rsidR="005E58C1" w:rsidRPr="00B4515A">
        <w:instrText>关联方情况</w:instrText>
      </w:r>
      <w:r w:rsidR="005E58C1" w:rsidRPr="00B4515A">
        <w:instrText xml:space="preserve">12 \f 4 \h \* MERGEFORMAT </w:instrText>
      </w:r>
      <w:r w:rsidR="005E58C1" w:rsidRPr="00B4515A">
        <w:rPr>
          <w:b/>
        </w:rPr>
        <w:fldChar w:fldCharType="separate"/>
      </w:r>
    </w:p>
    <w:tbl>
      <w:tblPr>
        <w:tblStyle w:val="2fd"/>
        <w:tblW w:w="5008" w:type="pct"/>
        <w:tblInd w:w="-19" w:type="dxa"/>
        <w:tblBorders>
          <w:left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640"/>
        <w:gridCol w:w="1682"/>
        <w:gridCol w:w="1781"/>
        <w:gridCol w:w="1439"/>
      </w:tblGrid>
      <w:tr w:rsidR="006416B0" w:rsidRPr="00B4515A" w14:paraId="58B5FEFB" w14:textId="77777777" w:rsidTr="00031627">
        <w:trPr>
          <w:trHeight w:val="340"/>
          <w:tblHeader/>
        </w:trPr>
        <w:tc>
          <w:tcPr>
            <w:tcW w:w="3543" w:type="dxa"/>
            <w:tcMar>
              <w:top w:w="0" w:type="dxa"/>
              <w:left w:w="108" w:type="dxa"/>
              <w:bottom w:w="0" w:type="dxa"/>
              <w:right w:w="108" w:type="dxa"/>
            </w:tcMar>
            <w:vAlign w:val="center"/>
          </w:tcPr>
          <w:p w14:paraId="36DA6938"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关联方</w:t>
            </w:r>
          </w:p>
        </w:tc>
        <w:tc>
          <w:tcPr>
            <w:tcW w:w="1637" w:type="dxa"/>
            <w:tcMar>
              <w:top w:w="0" w:type="dxa"/>
              <w:left w:w="108" w:type="dxa"/>
              <w:bottom w:w="0" w:type="dxa"/>
              <w:right w:w="108" w:type="dxa"/>
            </w:tcMar>
            <w:vAlign w:val="center"/>
          </w:tcPr>
          <w:p w14:paraId="740349DB"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关联交易内容</w:t>
            </w:r>
          </w:p>
        </w:tc>
        <w:tc>
          <w:tcPr>
            <w:tcW w:w="1734" w:type="dxa"/>
            <w:tcMar>
              <w:top w:w="0" w:type="dxa"/>
              <w:left w:w="108" w:type="dxa"/>
              <w:bottom w:w="0" w:type="dxa"/>
              <w:right w:w="108" w:type="dxa"/>
            </w:tcMar>
            <w:vAlign w:val="center"/>
          </w:tcPr>
          <w:p w14:paraId="3D353F75"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2021</w:t>
            </w:r>
            <w:r w:rsidRPr="00B4515A">
              <w:rPr>
                <w:rFonts w:ascii="Times New Roman" w:eastAsiaTheme="majorEastAsia" w:hAnsi="Times New Roman" w:cs="Times New Roman"/>
                <w:b/>
                <w:sz w:val="21"/>
                <w:szCs w:val="21"/>
              </w:rPr>
              <w:t>年</w:t>
            </w:r>
            <w:r w:rsidRPr="00B4515A">
              <w:rPr>
                <w:rFonts w:ascii="Times New Roman" w:eastAsiaTheme="majorEastAsia" w:hAnsi="Times New Roman" w:cs="Times New Roman"/>
                <w:b/>
                <w:sz w:val="21"/>
                <w:szCs w:val="21"/>
              </w:rPr>
              <w:t>1-4</w:t>
            </w:r>
            <w:r w:rsidRPr="00B4515A">
              <w:rPr>
                <w:rFonts w:ascii="Times New Roman" w:eastAsiaTheme="majorEastAsia" w:hAnsi="Times New Roman" w:cs="Times New Roman"/>
                <w:b/>
                <w:sz w:val="21"/>
                <w:szCs w:val="21"/>
              </w:rPr>
              <w:t>月</w:t>
            </w:r>
          </w:p>
        </w:tc>
        <w:tc>
          <w:tcPr>
            <w:tcW w:w="1401" w:type="dxa"/>
            <w:tcMar>
              <w:top w:w="0" w:type="dxa"/>
              <w:left w:w="108" w:type="dxa"/>
              <w:bottom w:w="0" w:type="dxa"/>
              <w:right w:w="108" w:type="dxa"/>
            </w:tcMar>
            <w:vAlign w:val="center"/>
          </w:tcPr>
          <w:p w14:paraId="3ED050BC"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2020</w:t>
            </w:r>
            <w:r w:rsidRPr="00B4515A">
              <w:rPr>
                <w:rFonts w:ascii="Times New Roman" w:eastAsiaTheme="majorEastAsia" w:hAnsi="Times New Roman" w:cs="Times New Roman"/>
                <w:b/>
                <w:sz w:val="21"/>
                <w:szCs w:val="21"/>
              </w:rPr>
              <w:t>年度</w:t>
            </w:r>
          </w:p>
        </w:tc>
      </w:tr>
      <w:tr w:rsidR="006416B0" w:rsidRPr="00B4515A" w14:paraId="418B7C52" w14:textId="77777777" w:rsidTr="00031627">
        <w:trPr>
          <w:trHeight w:val="340"/>
        </w:trPr>
        <w:tc>
          <w:tcPr>
            <w:tcW w:w="3543" w:type="dxa"/>
            <w:tcMar>
              <w:top w:w="0" w:type="dxa"/>
              <w:left w:w="108" w:type="dxa"/>
              <w:bottom w:w="0" w:type="dxa"/>
              <w:right w:w="108" w:type="dxa"/>
            </w:tcMar>
            <w:vAlign w:val="center"/>
          </w:tcPr>
          <w:p w14:paraId="5903D659"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上海立可芯半导体科技有限公司</w:t>
            </w:r>
          </w:p>
        </w:tc>
        <w:tc>
          <w:tcPr>
            <w:tcW w:w="1637" w:type="dxa"/>
            <w:tcMar>
              <w:top w:w="0" w:type="dxa"/>
              <w:left w:w="108" w:type="dxa"/>
              <w:bottom w:w="0" w:type="dxa"/>
              <w:right w:w="108" w:type="dxa"/>
            </w:tcMar>
            <w:vAlign w:val="center"/>
          </w:tcPr>
          <w:p w14:paraId="0342F525"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资产转让</w:t>
            </w:r>
          </w:p>
        </w:tc>
        <w:tc>
          <w:tcPr>
            <w:tcW w:w="1734" w:type="dxa"/>
            <w:tcMar>
              <w:top w:w="0" w:type="dxa"/>
              <w:left w:w="108" w:type="dxa"/>
              <w:bottom w:w="0" w:type="dxa"/>
              <w:right w:w="108" w:type="dxa"/>
            </w:tcMar>
            <w:vAlign w:val="center"/>
          </w:tcPr>
          <w:p w14:paraId="3AC333A1" w14:textId="77777777" w:rsidR="006416B0" w:rsidRPr="00B4515A" w:rsidRDefault="006416B0" w:rsidP="005860B4">
            <w:pPr>
              <w:adjustRightInd w:val="0"/>
              <w:snapToGrid w:val="0"/>
              <w:jc w:val="right"/>
              <w:rPr>
                <w:rFonts w:ascii="Times New Roman" w:eastAsiaTheme="majorEastAsia" w:hAnsi="Times New Roman" w:cs="Times New Roman"/>
                <w:sz w:val="21"/>
                <w:szCs w:val="21"/>
              </w:rPr>
            </w:pPr>
          </w:p>
        </w:tc>
        <w:tc>
          <w:tcPr>
            <w:tcW w:w="1401" w:type="dxa"/>
            <w:tcMar>
              <w:top w:w="0" w:type="dxa"/>
              <w:left w:w="108" w:type="dxa"/>
              <w:bottom w:w="0" w:type="dxa"/>
              <w:right w:w="108" w:type="dxa"/>
            </w:tcMar>
            <w:vAlign w:val="center"/>
          </w:tcPr>
          <w:p w14:paraId="6DA08141"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 xml:space="preserve">   110.57 </w:t>
            </w:r>
          </w:p>
        </w:tc>
      </w:tr>
      <w:tr w:rsidR="006416B0" w:rsidRPr="00B4515A" w14:paraId="41C56592" w14:textId="77777777" w:rsidTr="00031627">
        <w:trPr>
          <w:trHeight w:val="340"/>
        </w:trPr>
        <w:tc>
          <w:tcPr>
            <w:tcW w:w="3543" w:type="dxa"/>
            <w:tcMar>
              <w:top w:w="0" w:type="dxa"/>
              <w:left w:w="108" w:type="dxa"/>
              <w:bottom w:w="0" w:type="dxa"/>
              <w:right w:w="108" w:type="dxa"/>
            </w:tcMar>
            <w:vAlign w:val="center"/>
          </w:tcPr>
          <w:p w14:paraId="1F2D2A3C"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大唐半导体科技有限公司</w:t>
            </w:r>
          </w:p>
        </w:tc>
        <w:tc>
          <w:tcPr>
            <w:tcW w:w="1637" w:type="dxa"/>
            <w:tcMar>
              <w:top w:w="0" w:type="dxa"/>
              <w:left w:w="108" w:type="dxa"/>
              <w:bottom w:w="0" w:type="dxa"/>
              <w:right w:w="108" w:type="dxa"/>
            </w:tcMar>
            <w:vAlign w:val="center"/>
          </w:tcPr>
          <w:p w14:paraId="22BA0E79"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sz w:val="21"/>
                <w:szCs w:val="21"/>
              </w:rPr>
              <w:t>资产转让</w:t>
            </w:r>
          </w:p>
        </w:tc>
        <w:tc>
          <w:tcPr>
            <w:tcW w:w="1734" w:type="dxa"/>
            <w:tcMar>
              <w:top w:w="0" w:type="dxa"/>
              <w:left w:w="108" w:type="dxa"/>
              <w:bottom w:w="0" w:type="dxa"/>
              <w:right w:w="108" w:type="dxa"/>
            </w:tcMar>
            <w:vAlign w:val="center"/>
          </w:tcPr>
          <w:p w14:paraId="56CA0728" w14:textId="77777777" w:rsidR="006416B0" w:rsidRPr="00B4515A" w:rsidRDefault="006416B0" w:rsidP="005860B4">
            <w:pPr>
              <w:adjustRightInd w:val="0"/>
              <w:snapToGrid w:val="0"/>
              <w:jc w:val="right"/>
              <w:rPr>
                <w:rFonts w:ascii="Times New Roman" w:eastAsiaTheme="majorEastAsia" w:hAnsi="Times New Roman" w:cs="Times New Roman"/>
                <w:sz w:val="21"/>
                <w:szCs w:val="21"/>
              </w:rPr>
            </w:pPr>
          </w:p>
        </w:tc>
        <w:tc>
          <w:tcPr>
            <w:tcW w:w="1401" w:type="dxa"/>
            <w:tcMar>
              <w:top w:w="0" w:type="dxa"/>
              <w:left w:w="108" w:type="dxa"/>
              <w:bottom w:w="0" w:type="dxa"/>
              <w:right w:w="108" w:type="dxa"/>
            </w:tcMar>
            <w:vAlign w:val="center"/>
          </w:tcPr>
          <w:p w14:paraId="1F816326"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 xml:space="preserve">     2.03 </w:t>
            </w:r>
          </w:p>
        </w:tc>
      </w:tr>
      <w:tr w:rsidR="006416B0" w:rsidRPr="00B4515A" w14:paraId="434FAC0F" w14:textId="77777777" w:rsidTr="00031627">
        <w:trPr>
          <w:trHeight w:val="340"/>
        </w:trPr>
        <w:tc>
          <w:tcPr>
            <w:tcW w:w="3543" w:type="dxa"/>
            <w:tcMar>
              <w:top w:w="0" w:type="dxa"/>
              <w:left w:w="108" w:type="dxa"/>
              <w:bottom w:w="0" w:type="dxa"/>
              <w:right w:w="108" w:type="dxa"/>
            </w:tcMar>
            <w:vAlign w:val="center"/>
          </w:tcPr>
          <w:p w14:paraId="4CD677CB" w14:textId="77777777" w:rsidR="006416B0" w:rsidRPr="00B4515A" w:rsidRDefault="005E58C1" w:rsidP="005860B4">
            <w:pPr>
              <w:adjustRightInd w:val="0"/>
              <w:snapToGrid w:val="0"/>
              <w:rPr>
                <w:rFonts w:ascii="Times New Roman" w:eastAsiaTheme="majorEastAsia" w:hAnsi="Times New Roman" w:cs="Times New Roman"/>
                <w:sz w:val="21"/>
                <w:szCs w:val="21"/>
              </w:rPr>
            </w:pPr>
            <w:r w:rsidRPr="00B4515A">
              <w:rPr>
                <w:rFonts w:ascii="Times New Roman" w:eastAsiaTheme="majorEastAsia" w:hAnsi="Times New Roman" w:cs="Times New Roman" w:hint="eastAsia"/>
                <w:sz w:val="21"/>
                <w:szCs w:val="21"/>
              </w:rPr>
              <w:t>大唐移动通信设备有限公司</w:t>
            </w:r>
          </w:p>
        </w:tc>
        <w:tc>
          <w:tcPr>
            <w:tcW w:w="1637" w:type="dxa"/>
            <w:tcMar>
              <w:top w:w="0" w:type="dxa"/>
              <w:left w:w="108" w:type="dxa"/>
              <w:bottom w:w="0" w:type="dxa"/>
              <w:right w:w="108" w:type="dxa"/>
            </w:tcMar>
            <w:vAlign w:val="center"/>
          </w:tcPr>
          <w:p w14:paraId="5ABE73D9"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ascii="Times New Roman" w:eastAsiaTheme="majorEastAsia" w:hAnsi="Times New Roman" w:cs="Times New Roman" w:hint="eastAsia"/>
                <w:sz w:val="21"/>
                <w:szCs w:val="21"/>
              </w:rPr>
              <w:t>资产转入</w:t>
            </w:r>
          </w:p>
        </w:tc>
        <w:tc>
          <w:tcPr>
            <w:tcW w:w="1734" w:type="dxa"/>
            <w:tcMar>
              <w:top w:w="0" w:type="dxa"/>
              <w:left w:w="108" w:type="dxa"/>
              <w:bottom w:w="0" w:type="dxa"/>
              <w:right w:w="108" w:type="dxa"/>
            </w:tcMar>
            <w:vAlign w:val="center"/>
          </w:tcPr>
          <w:p w14:paraId="576F2226" w14:textId="77777777" w:rsidR="006416B0" w:rsidRPr="00B4515A" w:rsidRDefault="006416B0" w:rsidP="005860B4">
            <w:pPr>
              <w:adjustRightInd w:val="0"/>
              <w:snapToGrid w:val="0"/>
              <w:jc w:val="right"/>
              <w:rPr>
                <w:rFonts w:ascii="Times New Roman" w:eastAsiaTheme="majorEastAsia" w:hAnsi="Times New Roman" w:cs="Times New Roman"/>
                <w:sz w:val="21"/>
                <w:szCs w:val="21"/>
              </w:rPr>
            </w:pPr>
          </w:p>
        </w:tc>
        <w:tc>
          <w:tcPr>
            <w:tcW w:w="1401" w:type="dxa"/>
            <w:tcMar>
              <w:top w:w="0" w:type="dxa"/>
              <w:left w:w="108" w:type="dxa"/>
              <w:bottom w:w="0" w:type="dxa"/>
              <w:right w:w="108" w:type="dxa"/>
            </w:tcMar>
            <w:vAlign w:val="center"/>
          </w:tcPr>
          <w:p w14:paraId="5D7DEF3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150.59</w:t>
            </w:r>
          </w:p>
        </w:tc>
      </w:tr>
    </w:tbl>
    <w:p w14:paraId="62889E6D" w14:textId="77777777" w:rsidR="006416B0" w:rsidRPr="00B4515A" w:rsidRDefault="005E58C1" w:rsidP="006100BC">
      <w:pPr>
        <w:pStyle w:val="005"/>
        <w:spacing w:before="120" w:after="120"/>
        <w:ind w:firstLine="480"/>
      </w:pPr>
      <w:r w:rsidRPr="00B4515A">
        <w:fldChar w:fldCharType="end"/>
      </w:r>
      <w:bookmarkStart w:id="352" w:name="_Toc75169335"/>
      <w:r w:rsidRPr="00B4515A">
        <w:t>（</w:t>
      </w:r>
      <w:r w:rsidRPr="00B4515A">
        <w:t>6</w:t>
      </w:r>
      <w:r w:rsidRPr="00B4515A">
        <w:t>）其他关联交易情况</w:t>
      </w:r>
      <w:bookmarkEnd w:id="352"/>
    </w:p>
    <w:p w14:paraId="2E32B9C7" w14:textId="77777777" w:rsidR="006416B0" w:rsidRPr="00B4515A" w:rsidRDefault="005E58C1" w:rsidP="006100BC">
      <w:pPr>
        <w:pStyle w:val="005"/>
        <w:spacing w:before="120" w:after="120"/>
        <w:ind w:firstLine="480"/>
      </w:pPr>
      <w:r w:rsidRPr="00B4515A">
        <w:t>1</w:t>
      </w:r>
      <w:r w:rsidRPr="00B4515A">
        <w:t>）提供其他劳务</w:t>
      </w:r>
    </w:p>
    <w:p w14:paraId="6B0DDCA2" w14:textId="7244C7C0" w:rsidR="006416B0" w:rsidRPr="00B4515A" w:rsidRDefault="00D44516" w:rsidP="006100BC">
      <w:pPr>
        <w:pStyle w:val="009"/>
      </w:pPr>
      <w:r w:rsidRPr="00B4515A">
        <w:rPr>
          <w:bCs/>
          <w:kern w:val="0"/>
        </w:rPr>
        <w:t>单位：万元</w:t>
      </w:r>
      <w:r w:rsidR="005E58C1" w:rsidRPr="00B4515A">
        <w:fldChar w:fldCharType="begin"/>
      </w:r>
      <w:r w:rsidR="005E58C1" w:rsidRPr="00B4515A">
        <w:instrText xml:space="preserve"> LINK Excel.Sheet.12 E:\\</w:instrText>
      </w:r>
      <w:r w:rsidR="005E58C1" w:rsidRPr="00B4515A">
        <w:instrText>雍</w:instrText>
      </w:r>
      <w:r w:rsidR="005E58C1" w:rsidRPr="00B4515A">
        <w:instrText>\\</w:instrText>
      </w:r>
      <w:r w:rsidR="005E58C1" w:rsidRPr="00B4515A">
        <w:instrText>附注排版</w:instrText>
      </w:r>
      <w:r w:rsidR="005E58C1" w:rsidRPr="00B4515A">
        <w:instrText>\\2014</w:instrText>
      </w:r>
      <w:r w:rsidR="005E58C1" w:rsidRPr="00B4515A">
        <w:instrText>年年报格式</w:instrText>
      </w:r>
      <w:r w:rsidR="005E58C1" w:rsidRPr="00B4515A">
        <w:instrText>\\</w:instrText>
      </w:r>
      <w:r w:rsidR="005E58C1" w:rsidRPr="00B4515A">
        <w:instrText>附注过渡表</w:instrText>
      </w:r>
      <w:r w:rsidR="005E58C1" w:rsidRPr="00B4515A">
        <w:instrText xml:space="preserve">20150130V0910.xlsx </w:instrText>
      </w:r>
      <w:r w:rsidR="005E58C1" w:rsidRPr="00B4515A">
        <w:instrText>关联方及关联方交易</w:instrText>
      </w:r>
      <w:r w:rsidR="005E58C1" w:rsidRPr="00B4515A">
        <w:instrText>!</w:instrText>
      </w:r>
      <w:r w:rsidR="005E58C1" w:rsidRPr="00B4515A">
        <w:instrText>关联方情况</w:instrText>
      </w:r>
      <w:r w:rsidR="005E58C1" w:rsidRPr="00B4515A">
        <w:instrText xml:space="preserve">7 \f 4 \h \* MERGEFORMAT </w:instrText>
      </w:r>
      <w:r w:rsidR="005E58C1" w:rsidRPr="00B4515A">
        <w:fldChar w:fldCharType="separate"/>
      </w:r>
    </w:p>
    <w:tbl>
      <w:tblPr>
        <w:tblStyle w:val="2fd"/>
        <w:tblW w:w="5000" w:type="pct"/>
        <w:jc w:val="center"/>
        <w:tblBorders>
          <w:left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4"/>
        <w:gridCol w:w="2539"/>
        <w:gridCol w:w="1603"/>
        <w:gridCol w:w="1412"/>
      </w:tblGrid>
      <w:tr w:rsidR="006416B0" w:rsidRPr="00B4515A" w14:paraId="604D0B3D" w14:textId="77777777" w:rsidTr="00031627">
        <w:trPr>
          <w:trHeight w:val="340"/>
          <w:tblHeader/>
          <w:jc w:val="center"/>
        </w:trPr>
        <w:tc>
          <w:tcPr>
            <w:tcW w:w="2888" w:type="dxa"/>
            <w:tcMar>
              <w:top w:w="0" w:type="dxa"/>
              <w:left w:w="108" w:type="dxa"/>
              <w:bottom w:w="0" w:type="dxa"/>
              <w:right w:w="108" w:type="dxa"/>
            </w:tcMar>
            <w:vAlign w:val="center"/>
          </w:tcPr>
          <w:p w14:paraId="0DD62EC9"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hint="eastAsia"/>
                <w:b/>
                <w:sz w:val="21"/>
                <w:szCs w:val="21"/>
              </w:rPr>
              <w:t>关联方</w:t>
            </w:r>
          </w:p>
        </w:tc>
        <w:tc>
          <w:tcPr>
            <w:tcW w:w="2466" w:type="dxa"/>
            <w:tcMar>
              <w:top w:w="0" w:type="dxa"/>
              <w:left w:w="108" w:type="dxa"/>
              <w:bottom w:w="0" w:type="dxa"/>
              <w:right w:w="108" w:type="dxa"/>
            </w:tcMar>
            <w:vAlign w:val="center"/>
          </w:tcPr>
          <w:p w14:paraId="6CCD9947"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hint="eastAsia"/>
                <w:b/>
                <w:sz w:val="21"/>
                <w:szCs w:val="21"/>
              </w:rPr>
              <w:t>关联交易内容</w:t>
            </w:r>
          </w:p>
        </w:tc>
        <w:tc>
          <w:tcPr>
            <w:tcW w:w="1557" w:type="dxa"/>
            <w:tcMar>
              <w:top w:w="0" w:type="dxa"/>
              <w:left w:w="108" w:type="dxa"/>
              <w:bottom w:w="0" w:type="dxa"/>
              <w:right w:w="108" w:type="dxa"/>
            </w:tcMar>
            <w:vAlign w:val="center"/>
          </w:tcPr>
          <w:p w14:paraId="267E24D7"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2021</w:t>
            </w:r>
            <w:r w:rsidRPr="00B4515A">
              <w:rPr>
                <w:rFonts w:ascii="Times New Roman" w:eastAsiaTheme="majorEastAsia" w:hAnsi="Times New Roman" w:cs="Times New Roman" w:hint="eastAsia"/>
                <w:b/>
                <w:sz w:val="21"/>
                <w:szCs w:val="21"/>
              </w:rPr>
              <w:t>年</w:t>
            </w:r>
            <w:r w:rsidRPr="00B4515A">
              <w:rPr>
                <w:rFonts w:ascii="Times New Roman" w:eastAsiaTheme="majorEastAsia" w:hAnsi="Times New Roman" w:cs="Times New Roman"/>
                <w:b/>
                <w:sz w:val="21"/>
                <w:szCs w:val="21"/>
              </w:rPr>
              <w:t>1-4</w:t>
            </w:r>
            <w:r w:rsidRPr="00B4515A">
              <w:rPr>
                <w:rFonts w:ascii="Times New Roman" w:eastAsiaTheme="majorEastAsia" w:hAnsi="Times New Roman" w:cs="Times New Roman" w:hint="eastAsia"/>
                <w:b/>
                <w:sz w:val="21"/>
                <w:szCs w:val="21"/>
              </w:rPr>
              <w:t>月</w:t>
            </w:r>
          </w:p>
        </w:tc>
        <w:tc>
          <w:tcPr>
            <w:tcW w:w="1371" w:type="dxa"/>
            <w:tcMar>
              <w:top w:w="0" w:type="dxa"/>
              <w:left w:w="108" w:type="dxa"/>
              <w:bottom w:w="0" w:type="dxa"/>
              <w:right w:w="108" w:type="dxa"/>
            </w:tcMar>
            <w:vAlign w:val="center"/>
          </w:tcPr>
          <w:p w14:paraId="5058233F" w14:textId="77777777" w:rsidR="006416B0" w:rsidRPr="00B4515A" w:rsidRDefault="005E58C1" w:rsidP="005860B4">
            <w:pPr>
              <w:adjustRightInd w:val="0"/>
              <w:snapToGrid w:val="0"/>
              <w:jc w:val="center"/>
              <w:rPr>
                <w:rFonts w:ascii="Times New Roman" w:eastAsiaTheme="majorEastAsia" w:hAnsi="Times New Roman" w:cs="Times New Roman"/>
                <w:b/>
                <w:sz w:val="21"/>
                <w:szCs w:val="21"/>
              </w:rPr>
            </w:pPr>
            <w:r w:rsidRPr="00B4515A">
              <w:rPr>
                <w:rFonts w:ascii="Times New Roman" w:eastAsiaTheme="majorEastAsia" w:hAnsi="Times New Roman" w:cs="Times New Roman"/>
                <w:b/>
                <w:sz w:val="21"/>
                <w:szCs w:val="21"/>
              </w:rPr>
              <w:t>2020</w:t>
            </w:r>
            <w:r w:rsidRPr="00B4515A">
              <w:rPr>
                <w:rFonts w:ascii="Times New Roman" w:eastAsiaTheme="majorEastAsia" w:hAnsi="Times New Roman" w:cs="Times New Roman" w:hint="eastAsia"/>
                <w:b/>
                <w:sz w:val="21"/>
                <w:szCs w:val="21"/>
              </w:rPr>
              <w:t>年度</w:t>
            </w:r>
          </w:p>
        </w:tc>
      </w:tr>
      <w:tr w:rsidR="006416B0" w:rsidRPr="00B4515A" w14:paraId="63153730" w14:textId="77777777" w:rsidTr="00031627">
        <w:trPr>
          <w:trHeight w:val="340"/>
          <w:jc w:val="center"/>
        </w:trPr>
        <w:tc>
          <w:tcPr>
            <w:tcW w:w="2888" w:type="dxa"/>
            <w:tcMar>
              <w:top w:w="0" w:type="dxa"/>
              <w:left w:w="108" w:type="dxa"/>
              <w:bottom w:w="0" w:type="dxa"/>
              <w:right w:w="108" w:type="dxa"/>
            </w:tcMar>
            <w:vAlign w:val="center"/>
          </w:tcPr>
          <w:p w14:paraId="06B51DD2"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hint="eastAsia"/>
                <w:sz w:val="21"/>
                <w:szCs w:val="21"/>
              </w:rPr>
              <w:t>辰芯科技有限公司</w:t>
            </w:r>
          </w:p>
        </w:tc>
        <w:tc>
          <w:tcPr>
            <w:tcW w:w="2466" w:type="dxa"/>
            <w:tcMar>
              <w:top w:w="0" w:type="dxa"/>
              <w:left w:w="108" w:type="dxa"/>
              <w:bottom w:w="0" w:type="dxa"/>
              <w:right w:w="108" w:type="dxa"/>
            </w:tcMar>
            <w:vAlign w:val="center"/>
          </w:tcPr>
          <w:p w14:paraId="6D45C206"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hint="eastAsia"/>
                <w:sz w:val="21"/>
                <w:szCs w:val="21"/>
              </w:rPr>
              <w:t>房租、水电、物业费等</w:t>
            </w:r>
          </w:p>
        </w:tc>
        <w:tc>
          <w:tcPr>
            <w:tcW w:w="1557" w:type="dxa"/>
            <w:tcMar>
              <w:top w:w="0" w:type="dxa"/>
              <w:left w:w="108" w:type="dxa"/>
              <w:bottom w:w="0" w:type="dxa"/>
              <w:right w:w="108" w:type="dxa"/>
            </w:tcMar>
            <w:vAlign w:val="center"/>
          </w:tcPr>
          <w:p w14:paraId="28315DFC"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96.76</w:t>
            </w:r>
          </w:p>
        </w:tc>
        <w:tc>
          <w:tcPr>
            <w:tcW w:w="1371" w:type="dxa"/>
            <w:tcMar>
              <w:top w:w="0" w:type="dxa"/>
              <w:left w:w="108" w:type="dxa"/>
              <w:bottom w:w="0" w:type="dxa"/>
              <w:right w:w="108" w:type="dxa"/>
            </w:tcMar>
            <w:vAlign w:val="center"/>
          </w:tcPr>
          <w:p w14:paraId="08EF657E"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742.71</w:t>
            </w:r>
          </w:p>
        </w:tc>
      </w:tr>
      <w:tr w:rsidR="006416B0" w:rsidRPr="00B4515A" w14:paraId="5EDD55EE" w14:textId="77777777" w:rsidTr="00031627">
        <w:trPr>
          <w:trHeight w:val="340"/>
          <w:jc w:val="center"/>
        </w:trPr>
        <w:tc>
          <w:tcPr>
            <w:tcW w:w="2888" w:type="dxa"/>
            <w:tcMar>
              <w:top w:w="0" w:type="dxa"/>
              <w:left w:w="108" w:type="dxa"/>
              <w:bottom w:w="0" w:type="dxa"/>
              <w:right w:w="108" w:type="dxa"/>
            </w:tcMar>
            <w:vAlign w:val="center"/>
          </w:tcPr>
          <w:p w14:paraId="3FF310EB"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hint="eastAsia"/>
                <w:sz w:val="21"/>
                <w:szCs w:val="21"/>
              </w:rPr>
              <w:t>大唐半导体科技有限公司</w:t>
            </w:r>
          </w:p>
        </w:tc>
        <w:tc>
          <w:tcPr>
            <w:tcW w:w="2466" w:type="dxa"/>
            <w:tcMar>
              <w:top w:w="0" w:type="dxa"/>
              <w:left w:w="108" w:type="dxa"/>
              <w:bottom w:w="0" w:type="dxa"/>
              <w:right w:w="108" w:type="dxa"/>
            </w:tcMar>
            <w:vAlign w:val="center"/>
          </w:tcPr>
          <w:p w14:paraId="6ADCD119"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hint="eastAsia"/>
                <w:sz w:val="21"/>
                <w:szCs w:val="21"/>
              </w:rPr>
              <w:t>房租、水电、物业费等</w:t>
            </w:r>
          </w:p>
        </w:tc>
        <w:tc>
          <w:tcPr>
            <w:tcW w:w="1557" w:type="dxa"/>
            <w:tcMar>
              <w:top w:w="0" w:type="dxa"/>
              <w:left w:w="108" w:type="dxa"/>
              <w:bottom w:w="0" w:type="dxa"/>
              <w:right w:w="108" w:type="dxa"/>
            </w:tcMar>
            <w:vAlign w:val="center"/>
          </w:tcPr>
          <w:p w14:paraId="344EA218"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112.37</w:t>
            </w:r>
          </w:p>
        </w:tc>
        <w:tc>
          <w:tcPr>
            <w:tcW w:w="1371" w:type="dxa"/>
            <w:tcMar>
              <w:top w:w="0" w:type="dxa"/>
              <w:left w:w="108" w:type="dxa"/>
              <w:bottom w:w="0" w:type="dxa"/>
              <w:right w:w="108" w:type="dxa"/>
            </w:tcMar>
            <w:vAlign w:val="center"/>
          </w:tcPr>
          <w:p w14:paraId="47AD4FDB"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233.08</w:t>
            </w:r>
          </w:p>
        </w:tc>
      </w:tr>
      <w:tr w:rsidR="006416B0" w:rsidRPr="00B4515A" w14:paraId="5BD298E0" w14:textId="77777777" w:rsidTr="00031627">
        <w:trPr>
          <w:trHeight w:val="340"/>
          <w:jc w:val="center"/>
        </w:trPr>
        <w:tc>
          <w:tcPr>
            <w:tcW w:w="2888" w:type="dxa"/>
            <w:tcMar>
              <w:top w:w="0" w:type="dxa"/>
              <w:left w:w="108" w:type="dxa"/>
              <w:bottom w:w="0" w:type="dxa"/>
              <w:right w:w="108" w:type="dxa"/>
            </w:tcMar>
            <w:vAlign w:val="center"/>
          </w:tcPr>
          <w:p w14:paraId="6C366F57"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hint="eastAsia"/>
                <w:sz w:val="21"/>
                <w:szCs w:val="21"/>
              </w:rPr>
              <w:t>数据通信科学技术研究所</w:t>
            </w:r>
          </w:p>
        </w:tc>
        <w:tc>
          <w:tcPr>
            <w:tcW w:w="2466" w:type="dxa"/>
            <w:tcMar>
              <w:top w:w="0" w:type="dxa"/>
              <w:left w:w="108" w:type="dxa"/>
              <w:bottom w:w="0" w:type="dxa"/>
              <w:right w:w="108" w:type="dxa"/>
            </w:tcMar>
            <w:vAlign w:val="center"/>
          </w:tcPr>
          <w:p w14:paraId="7F5A3B50"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hint="eastAsia"/>
                <w:sz w:val="21"/>
                <w:szCs w:val="21"/>
              </w:rPr>
              <w:t>房租、水电、物业费等</w:t>
            </w:r>
          </w:p>
        </w:tc>
        <w:tc>
          <w:tcPr>
            <w:tcW w:w="1557" w:type="dxa"/>
            <w:tcMar>
              <w:top w:w="0" w:type="dxa"/>
              <w:left w:w="108" w:type="dxa"/>
              <w:bottom w:w="0" w:type="dxa"/>
              <w:right w:w="108" w:type="dxa"/>
            </w:tcMar>
            <w:vAlign w:val="center"/>
          </w:tcPr>
          <w:p w14:paraId="43A25CAE"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145.93</w:t>
            </w:r>
          </w:p>
        </w:tc>
        <w:tc>
          <w:tcPr>
            <w:tcW w:w="1371" w:type="dxa"/>
            <w:tcMar>
              <w:top w:w="0" w:type="dxa"/>
              <w:left w:w="108" w:type="dxa"/>
              <w:bottom w:w="0" w:type="dxa"/>
              <w:right w:w="108" w:type="dxa"/>
            </w:tcMar>
            <w:vAlign w:val="center"/>
          </w:tcPr>
          <w:p w14:paraId="46CA5959"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608.45</w:t>
            </w:r>
          </w:p>
        </w:tc>
      </w:tr>
      <w:tr w:rsidR="006416B0" w:rsidRPr="00B4515A" w14:paraId="0A044B23" w14:textId="77777777" w:rsidTr="00031627">
        <w:trPr>
          <w:trHeight w:val="340"/>
          <w:jc w:val="center"/>
        </w:trPr>
        <w:tc>
          <w:tcPr>
            <w:tcW w:w="2888" w:type="dxa"/>
            <w:tcMar>
              <w:top w:w="0" w:type="dxa"/>
              <w:left w:w="108" w:type="dxa"/>
              <w:bottom w:w="0" w:type="dxa"/>
              <w:right w:w="108" w:type="dxa"/>
            </w:tcMar>
            <w:vAlign w:val="center"/>
          </w:tcPr>
          <w:p w14:paraId="393FB8A5"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hint="eastAsia"/>
                <w:sz w:val="21"/>
                <w:szCs w:val="21"/>
              </w:rPr>
              <w:t>南京大唐泰科投资管理有限公司</w:t>
            </w:r>
          </w:p>
        </w:tc>
        <w:tc>
          <w:tcPr>
            <w:tcW w:w="2466" w:type="dxa"/>
            <w:tcMar>
              <w:top w:w="0" w:type="dxa"/>
              <w:left w:w="108" w:type="dxa"/>
              <w:bottom w:w="0" w:type="dxa"/>
              <w:right w:w="108" w:type="dxa"/>
            </w:tcMar>
            <w:vAlign w:val="center"/>
          </w:tcPr>
          <w:p w14:paraId="5C9B61AA"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hint="eastAsia"/>
                <w:sz w:val="21"/>
                <w:szCs w:val="21"/>
              </w:rPr>
              <w:t>房租、水电、物业费等</w:t>
            </w:r>
          </w:p>
        </w:tc>
        <w:tc>
          <w:tcPr>
            <w:tcW w:w="1557" w:type="dxa"/>
            <w:tcMar>
              <w:top w:w="0" w:type="dxa"/>
              <w:left w:w="108" w:type="dxa"/>
              <w:bottom w:w="0" w:type="dxa"/>
              <w:right w:w="108" w:type="dxa"/>
            </w:tcMar>
            <w:vAlign w:val="center"/>
          </w:tcPr>
          <w:p w14:paraId="4FFE9AC9"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7.42</w:t>
            </w:r>
          </w:p>
        </w:tc>
        <w:tc>
          <w:tcPr>
            <w:tcW w:w="1371" w:type="dxa"/>
            <w:tcMar>
              <w:top w:w="0" w:type="dxa"/>
              <w:left w:w="108" w:type="dxa"/>
              <w:bottom w:w="0" w:type="dxa"/>
              <w:right w:w="108" w:type="dxa"/>
            </w:tcMar>
            <w:vAlign w:val="center"/>
          </w:tcPr>
          <w:p w14:paraId="7584FDAA"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w:t>
            </w:r>
          </w:p>
        </w:tc>
      </w:tr>
      <w:tr w:rsidR="006416B0" w:rsidRPr="00B4515A" w14:paraId="2CE5F5DF" w14:textId="77777777" w:rsidTr="00031627">
        <w:trPr>
          <w:trHeight w:val="340"/>
          <w:jc w:val="center"/>
        </w:trPr>
        <w:tc>
          <w:tcPr>
            <w:tcW w:w="2888" w:type="dxa"/>
            <w:tcMar>
              <w:top w:w="0" w:type="dxa"/>
              <w:left w:w="108" w:type="dxa"/>
              <w:bottom w:w="0" w:type="dxa"/>
              <w:right w:w="108" w:type="dxa"/>
            </w:tcMar>
            <w:vAlign w:val="center"/>
          </w:tcPr>
          <w:p w14:paraId="61C3323D"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hint="eastAsia"/>
                <w:sz w:val="21"/>
                <w:szCs w:val="21"/>
              </w:rPr>
              <w:t>北京大唐智能卡技术有限公司</w:t>
            </w:r>
          </w:p>
        </w:tc>
        <w:tc>
          <w:tcPr>
            <w:tcW w:w="2466" w:type="dxa"/>
            <w:tcMar>
              <w:top w:w="0" w:type="dxa"/>
              <w:left w:w="108" w:type="dxa"/>
              <w:bottom w:w="0" w:type="dxa"/>
              <w:right w:w="108" w:type="dxa"/>
            </w:tcMar>
            <w:vAlign w:val="center"/>
          </w:tcPr>
          <w:p w14:paraId="186B34AA"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hint="eastAsia"/>
                <w:sz w:val="21"/>
                <w:szCs w:val="21"/>
              </w:rPr>
              <w:t>房租、水电、物业费等</w:t>
            </w:r>
          </w:p>
        </w:tc>
        <w:tc>
          <w:tcPr>
            <w:tcW w:w="1557" w:type="dxa"/>
            <w:tcMar>
              <w:top w:w="0" w:type="dxa"/>
              <w:left w:w="108" w:type="dxa"/>
              <w:bottom w:w="0" w:type="dxa"/>
              <w:right w:w="108" w:type="dxa"/>
            </w:tcMar>
            <w:vAlign w:val="center"/>
          </w:tcPr>
          <w:p w14:paraId="63D023D0"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23.90</w:t>
            </w:r>
          </w:p>
        </w:tc>
        <w:tc>
          <w:tcPr>
            <w:tcW w:w="1371" w:type="dxa"/>
            <w:tcMar>
              <w:top w:w="0" w:type="dxa"/>
              <w:left w:w="108" w:type="dxa"/>
              <w:bottom w:w="0" w:type="dxa"/>
              <w:right w:w="108" w:type="dxa"/>
            </w:tcMar>
            <w:vAlign w:val="center"/>
          </w:tcPr>
          <w:p w14:paraId="42FADC65"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109.78</w:t>
            </w:r>
          </w:p>
        </w:tc>
      </w:tr>
      <w:tr w:rsidR="006416B0" w:rsidRPr="00B4515A" w14:paraId="3082A042" w14:textId="77777777" w:rsidTr="00031627">
        <w:trPr>
          <w:trHeight w:val="340"/>
          <w:jc w:val="center"/>
        </w:trPr>
        <w:tc>
          <w:tcPr>
            <w:tcW w:w="2888" w:type="dxa"/>
            <w:tcMar>
              <w:top w:w="0" w:type="dxa"/>
              <w:left w:w="108" w:type="dxa"/>
              <w:bottom w:w="0" w:type="dxa"/>
              <w:right w:w="108" w:type="dxa"/>
            </w:tcMar>
            <w:vAlign w:val="center"/>
          </w:tcPr>
          <w:p w14:paraId="0D162410"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hint="eastAsia"/>
                <w:sz w:val="21"/>
                <w:szCs w:val="21"/>
              </w:rPr>
              <w:t>合肥大唐存储科技有限公司</w:t>
            </w:r>
          </w:p>
        </w:tc>
        <w:tc>
          <w:tcPr>
            <w:tcW w:w="2466" w:type="dxa"/>
            <w:tcMar>
              <w:top w:w="0" w:type="dxa"/>
              <w:left w:w="108" w:type="dxa"/>
              <w:bottom w:w="0" w:type="dxa"/>
              <w:right w:w="108" w:type="dxa"/>
            </w:tcMar>
            <w:vAlign w:val="center"/>
          </w:tcPr>
          <w:p w14:paraId="25722832"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hint="eastAsia"/>
                <w:sz w:val="21"/>
                <w:szCs w:val="21"/>
              </w:rPr>
              <w:t>房租、水电、物业费等</w:t>
            </w:r>
          </w:p>
        </w:tc>
        <w:tc>
          <w:tcPr>
            <w:tcW w:w="1557" w:type="dxa"/>
            <w:tcMar>
              <w:top w:w="0" w:type="dxa"/>
              <w:left w:w="108" w:type="dxa"/>
              <w:bottom w:w="0" w:type="dxa"/>
              <w:right w:w="108" w:type="dxa"/>
            </w:tcMar>
            <w:vAlign w:val="center"/>
          </w:tcPr>
          <w:p w14:paraId="277CCA5A"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47.35</w:t>
            </w:r>
          </w:p>
        </w:tc>
        <w:tc>
          <w:tcPr>
            <w:tcW w:w="1371" w:type="dxa"/>
            <w:tcMar>
              <w:top w:w="0" w:type="dxa"/>
              <w:left w:w="108" w:type="dxa"/>
              <w:bottom w:w="0" w:type="dxa"/>
              <w:right w:w="108" w:type="dxa"/>
            </w:tcMar>
            <w:vAlign w:val="center"/>
          </w:tcPr>
          <w:p w14:paraId="796B9D68"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53.40</w:t>
            </w:r>
          </w:p>
        </w:tc>
      </w:tr>
      <w:tr w:rsidR="006416B0" w:rsidRPr="00B4515A" w14:paraId="0D1CA5B7" w14:textId="77777777" w:rsidTr="00031627">
        <w:trPr>
          <w:trHeight w:val="340"/>
          <w:jc w:val="center"/>
        </w:trPr>
        <w:tc>
          <w:tcPr>
            <w:tcW w:w="2888" w:type="dxa"/>
            <w:tcMar>
              <w:top w:w="0" w:type="dxa"/>
              <w:left w:w="108" w:type="dxa"/>
              <w:bottom w:w="0" w:type="dxa"/>
              <w:right w:w="108" w:type="dxa"/>
            </w:tcMar>
            <w:vAlign w:val="center"/>
          </w:tcPr>
          <w:p w14:paraId="1E4AD906"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hint="eastAsia"/>
                <w:sz w:val="21"/>
                <w:szCs w:val="21"/>
              </w:rPr>
              <w:t>大唐投资控股发展（上海）有限公司</w:t>
            </w:r>
          </w:p>
        </w:tc>
        <w:tc>
          <w:tcPr>
            <w:tcW w:w="2466" w:type="dxa"/>
            <w:tcMar>
              <w:top w:w="0" w:type="dxa"/>
              <w:left w:w="108" w:type="dxa"/>
              <w:bottom w:w="0" w:type="dxa"/>
              <w:right w:w="108" w:type="dxa"/>
            </w:tcMar>
            <w:vAlign w:val="center"/>
          </w:tcPr>
          <w:p w14:paraId="387474E0"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hint="eastAsia"/>
                <w:sz w:val="21"/>
                <w:szCs w:val="21"/>
              </w:rPr>
              <w:t>房租、水电、物业费等</w:t>
            </w:r>
          </w:p>
        </w:tc>
        <w:tc>
          <w:tcPr>
            <w:tcW w:w="1557" w:type="dxa"/>
            <w:tcMar>
              <w:top w:w="0" w:type="dxa"/>
              <w:left w:w="108" w:type="dxa"/>
              <w:bottom w:w="0" w:type="dxa"/>
              <w:right w:w="108" w:type="dxa"/>
            </w:tcMar>
            <w:vAlign w:val="center"/>
          </w:tcPr>
          <w:p w14:paraId="66B489F8"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5.53</w:t>
            </w:r>
          </w:p>
        </w:tc>
        <w:tc>
          <w:tcPr>
            <w:tcW w:w="1371" w:type="dxa"/>
            <w:tcMar>
              <w:top w:w="0" w:type="dxa"/>
              <w:left w:w="108" w:type="dxa"/>
              <w:bottom w:w="0" w:type="dxa"/>
              <w:right w:w="108" w:type="dxa"/>
            </w:tcMar>
            <w:vAlign w:val="center"/>
          </w:tcPr>
          <w:p w14:paraId="371DCBB5"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15.23</w:t>
            </w:r>
          </w:p>
        </w:tc>
      </w:tr>
      <w:tr w:rsidR="006416B0" w:rsidRPr="00B4515A" w14:paraId="63289D4C" w14:textId="77777777" w:rsidTr="00031627">
        <w:trPr>
          <w:trHeight w:val="340"/>
          <w:jc w:val="center"/>
        </w:trPr>
        <w:tc>
          <w:tcPr>
            <w:tcW w:w="2888" w:type="dxa"/>
            <w:tcMar>
              <w:top w:w="0" w:type="dxa"/>
              <w:left w:w="108" w:type="dxa"/>
              <w:bottom w:w="0" w:type="dxa"/>
              <w:right w:w="108" w:type="dxa"/>
            </w:tcMar>
            <w:vAlign w:val="center"/>
          </w:tcPr>
          <w:p w14:paraId="1F0E117C"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hint="eastAsia"/>
                <w:sz w:val="21"/>
                <w:szCs w:val="21"/>
              </w:rPr>
              <w:t>大唐实创（北京）投资有限公</w:t>
            </w:r>
            <w:r w:rsidRPr="00B4515A">
              <w:rPr>
                <w:rFonts w:hint="eastAsia"/>
                <w:sz w:val="21"/>
                <w:szCs w:val="21"/>
              </w:rPr>
              <w:lastRenderedPageBreak/>
              <w:t>司</w:t>
            </w:r>
          </w:p>
        </w:tc>
        <w:tc>
          <w:tcPr>
            <w:tcW w:w="2466" w:type="dxa"/>
            <w:tcMar>
              <w:top w:w="0" w:type="dxa"/>
              <w:left w:w="108" w:type="dxa"/>
              <w:bottom w:w="0" w:type="dxa"/>
              <w:right w:w="108" w:type="dxa"/>
            </w:tcMar>
            <w:vAlign w:val="center"/>
          </w:tcPr>
          <w:p w14:paraId="79C177C4"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hint="eastAsia"/>
                <w:sz w:val="21"/>
                <w:szCs w:val="21"/>
              </w:rPr>
              <w:lastRenderedPageBreak/>
              <w:t>房租、水电、物业费等</w:t>
            </w:r>
          </w:p>
        </w:tc>
        <w:tc>
          <w:tcPr>
            <w:tcW w:w="1557" w:type="dxa"/>
            <w:tcMar>
              <w:top w:w="0" w:type="dxa"/>
              <w:left w:w="108" w:type="dxa"/>
              <w:bottom w:w="0" w:type="dxa"/>
              <w:right w:w="108" w:type="dxa"/>
            </w:tcMar>
            <w:vAlign w:val="center"/>
          </w:tcPr>
          <w:p w14:paraId="0E1CA37A"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2.27</w:t>
            </w:r>
          </w:p>
        </w:tc>
        <w:tc>
          <w:tcPr>
            <w:tcW w:w="1371" w:type="dxa"/>
            <w:tcMar>
              <w:top w:w="0" w:type="dxa"/>
              <w:left w:w="108" w:type="dxa"/>
              <w:bottom w:w="0" w:type="dxa"/>
              <w:right w:w="108" w:type="dxa"/>
            </w:tcMar>
            <w:vAlign w:val="center"/>
          </w:tcPr>
          <w:p w14:paraId="7BB829CD"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6.20</w:t>
            </w:r>
          </w:p>
        </w:tc>
      </w:tr>
      <w:tr w:rsidR="006416B0" w:rsidRPr="00B4515A" w14:paraId="39995A5F" w14:textId="77777777" w:rsidTr="00031627">
        <w:trPr>
          <w:trHeight w:val="340"/>
          <w:jc w:val="center"/>
        </w:trPr>
        <w:tc>
          <w:tcPr>
            <w:tcW w:w="2888" w:type="dxa"/>
            <w:tcMar>
              <w:top w:w="0" w:type="dxa"/>
              <w:left w:w="108" w:type="dxa"/>
              <w:bottom w:w="0" w:type="dxa"/>
              <w:right w:w="108" w:type="dxa"/>
            </w:tcMar>
            <w:vAlign w:val="center"/>
          </w:tcPr>
          <w:p w14:paraId="28276851"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hint="eastAsia"/>
                <w:sz w:val="21"/>
                <w:szCs w:val="21"/>
              </w:rPr>
              <w:lastRenderedPageBreak/>
              <w:t>大唐移动通信设备有限公司</w:t>
            </w:r>
          </w:p>
        </w:tc>
        <w:tc>
          <w:tcPr>
            <w:tcW w:w="2466" w:type="dxa"/>
            <w:tcMar>
              <w:top w:w="0" w:type="dxa"/>
              <w:left w:w="108" w:type="dxa"/>
              <w:bottom w:w="0" w:type="dxa"/>
              <w:right w:w="108" w:type="dxa"/>
            </w:tcMar>
            <w:vAlign w:val="center"/>
          </w:tcPr>
          <w:p w14:paraId="0AD9C0FF"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hint="eastAsia"/>
                <w:sz w:val="21"/>
                <w:szCs w:val="21"/>
              </w:rPr>
              <w:t>房租、水电、物业费等</w:t>
            </w:r>
          </w:p>
        </w:tc>
        <w:tc>
          <w:tcPr>
            <w:tcW w:w="1557" w:type="dxa"/>
            <w:tcMar>
              <w:top w:w="0" w:type="dxa"/>
              <w:left w:w="108" w:type="dxa"/>
              <w:bottom w:w="0" w:type="dxa"/>
              <w:right w:w="108" w:type="dxa"/>
            </w:tcMar>
            <w:vAlign w:val="center"/>
          </w:tcPr>
          <w:p w14:paraId="5ECDBABF"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8.13</w:t>
            </w:r>
          </w:p>
        </w:tc>
        <w:tc>
          <w:tcPr>
            <w:tcW w:w="1371" w:type="dxa"/>
            <w:tcMar>
              <w:top w:w="0" w:type="dxa"/>
              <w:left w:w="108" w:type="dxa"/>
              <w:bottom w:w="0" w:type="dxa"/>
              <w:right w:w="108" w:type="dxa"/>
            </w:tcMar>
            <w:vAlign w:val="center"/>
          </w:tcPr>
          <w:p w14:paraId="15820F80"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16.44</w:t>
            </w:r>
          </w:p>
        </w:tc>
      </w:tr>
      <w:tr w:rsidR="006416B0" w:rsidRPr="00B4515A" w14:paraId="636609C9" w14:textId="77777777" w:rsidTr="00031627">
        <w:trPr>
          <w:trHeight w:val="340"/>
          <w:jc w:val="center"/>
        </w:trPr>
        <w:tc>
          <w:tcPr>
            <w:tcW w:w="2888" w:type="dxa"/>
            <w:tcMar>
              <w:top w:w="0" w:type="dxa"/>
              <w:left w:w="108" w:type="dxa"/>
              <w:bottom w:w="0" w:type="dxa"/>
              <w:right w:w="108" w:type="dxa"/>
            </w:tcMar>
            <w:vAlign w:val="center"/>
          </w:tcPr>
          <w:p w14:paraId="4B2CC32E"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hint="eastAsia"/>
                <w:sz w:val="21"/>
                <w:szCs w:val="21"/>
              </w:rPr>
              <w:t>上海立可芯半导体科技有限公司</w:t>
            </w:r>
          </w:p>
        </w:tc>
        <w:tc>
          <w:tcPr>
            <w:tcW w:w="2466" w:type="dxa"/>
            <w:tcMar>
              <w:top w:w="0" w:type="dxa"/>
              <w:left w:w="108" w:type="dxa"/>
              <w:bottom w:w="0" w:type="dxa"/>
              <w:right w:w="108" w:type="dxa"/>
            </w:tcMar>
            <w:vAlign w:val="center"/>
          </w:tcPr>
          <w:p w14:paraId="0F489F4B"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hint="eastAsia"/>
                <w:sz w:val="21"/>
                <w:szCs w:val="21"/>
              </w:rPr>
              <w:t>房租、水电、物业费等</w:t>
            </w:r>
          </w:p>
        </w:tc>
        <w:tc>
          <w:tcPr>
            <w:tcW w:w="1557" w:type="dxa"/>
            <w:tcMar>
              <w:top w:w="0" w:type="dxa"/>
              <w:left w:w="108" w:type="dxa"/>
              <w:bottom w:w="0" w:type="dxa"/>
              <w:right w:w="108" w:type="dxa"/>
            </w:tcMar>
            <w:vAlign w:val="center"/>
          </w:tcPr>
          <w:p w14:paraId="7013C314"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7.63</w:t>
            </w:r>
          </w:p>
        </w:tc>
        <w:tc>
          <w:tcPr>
            <w:tcW w:w="1371" w:type="dxa"/>
            <w:tcMar>
              <w:top w:w="0" w:type="dxa"/>
              <w:left w:w="108" w:type="dxa"/>
              <w:bottom w:w="0" w:type="dxa"/>
              <w:right w:w="108" w:type="dxa"/>
            </w:tcMar>
            <w:vAlign w:val="center"/>
          </w:tcPr>
          <w:p w14:paraId="412FD75E"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26.89</w:t>
            </w:r>
          </w:p>
        </w:tc>
      </w:tr>
      <w:tr w:rsidR="006416B0" w:rsidRPr="00B4515A" w14:paraId="0177BEBA" w14:textId="77777777" w:rsidTr="00031627">
        <w:trPr>
          <w:trHeight w:val="340"/>
          <w:jc w:val="center"/>
        </w:trPr>
        <w:tc>
          <w:tcPr>
            <w:tcW w:w="2888" w:type="dxa"/>
            <w:tcMar>
              <w:top w:w="0" w:type="dxa"/>
              <w:left w:w="108" w:type="dxa"/>
              <w:bottom w:w="0" w:type="dxa"/>
              <w:right w:w="108" w:type="dxa"/>
            </w:tcMar>
            <w:vAlign w:val="center"/>
          </w:tcPr>
          <w:p w14:paraId="5C925FA6" w14:textId="77777777" w:rsidR="006416B0" w:rsidRPr="00B4515A" w:rsidRDefault="005E58C1" w:rsidP="005860B4">
            <w:pPr>
              <w:adjustRightInd w:val="0"/>
              <w:snapToGrid w:val="0"/>
              <w:jc w:val="left"/>
              <w:rPr>
                <w:rFonts w:ascii="Times New Roman" w:eastAsiaTheme="majorEastAsia" w:hAnsi="Times New Roman" w:cs="Times New Roman"/>
                <w:sz w:val="21"/>
                <w:szCs w:val="21"/>
              </w:rPr>
            </w:pPr>
            <w:r w:rsidRPr="00B4515A">
              <w:rPr>
                <w:rFonts w:hint="eastAsia"/>
                <w:sz w:val="21"/>
                <w:szCs w:val="21"/>
              </w:rPr>
              <w:t>宸芯科技有限公司</w:t>
            </w:r>
          </w:p>
        </w:tc>
        <w:tc>
          <w:tcPr>
            <w:tcW w:w="2466" w:type="dxa"/>
            <w:tcMar>
              <w:top w:w="0" w:type="dxa"/>
              <w:left w:w="108" w:type="dxa"/>
              <w:bottom w:w="0" w:type="dxa"/>
              <w:right w:w="108" w:type="dxa"/>
            </w:tcMar>
            <w:vAlign w:val="center"/>
          </w:tcPr>
          <w:p w14:paraId="766C5844" w14:textId="77777777" w:rsidR="006416B0" w:rsidRPr="00B4515A" w:rsidRDefault="005E58C1" w:rsidP="005860B4">
            <w:pPr>
              <w:adjustRightInd w:val="0"/>
              <w:snapToGrid w:val="0"/>
              <w:jc w:val="center"/>
              <w:rPr>
                <w:rFonts w:ascii="Times New Roman" w:eastAsiaTheme="majorEastAsia" w:hAnsi="Times New Roman" w:cs="Times New Roman"/>
                <w:sz w:val="21"/>
                <w:szCs w:val="21"/>
              </w:rPr>
            </w:pPr>
            <w:r w:rsidRPr="00B4515A">
              <w:rPr>
                <w:rFonts w:hint="eastAsia"/>
                <w:sz w:val="21"/>
                <w:szCs w:val="21"/>
              </w:rPr>
              <w:t>房租、水电、物业费等</w:t>
            </w:r>
          </w:p>
        </w:tc>
        <w:tc>
          <w:tcPr>
            <w:tcW w:w="1557" w:type="dxa"/>
            <w:tcMar>
              <w:top w:w="0" w:type="dxa"/>
              <w:left w:w="108" w:type="dxa"/>
              <w:bottom w:w="0" w:type="dxa"/>
              <w:right w:w="108" w:type="dxa"/>
            </w:tcMar>
            <w:vAlign w:val="center"/>
          </w:tcPr>
          <w:p w14:paraId="3583174C"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118.87</w:t>
            </w:r>
          </w:p>
        </w:tc>
        <w:tc>
          <w:tcPr>
            <w:tcW w:w="1371" w:type="dxa"/>
            <w:tcMar>
              <w:top w:w="0" w:type="dxa"/>
              <w:left w:w="108" w:type="dxa"/>
              <w:bottom w:w="0" w:type="dxa"/>
              <w:right w:w="108" w:type="dxa"/>
            </w:tcMar>
            <w:vAlign w:val="center"/>
          </w:tcPr>
          <w:p w14:paraId="01219C59" w14:textId="77777777" w:rsidR="006416B0" w:rsidRPr="00B4515A" w:rsidRDefault="005E58C1" w:rsidP="005860B4">
            <w:pPr>
              <w:adjustRightInd w:val="0"/>
              <w:snapToGrid w:val="0"/>
              <w:jc w:val="right"/>
              <w:rPr>
                <w:rFonts w:ascii="Times New Roman" w:eastAsiaTheme="majorEastAsia" w:hAnsi="Times New Roman" w:cs="Times New Roman"/>
                <w:sz w:val="21"/>
                <w:szCs w:val="21"/>
              </w:rPr>
            </w:pPr>
            <w:r w:rsidRPr="00B4515A">
              <w:rPr>
                <w:rFonts w:ascii="Times New Roman" w:hAnsi="Times New Roman" w:cs="Times New Roman"/>
                <w:sz w:val="21"/>
                <w:szCs w:val="21"/>
              </w:rPr>
              <w:t>-</w:t>
            </w:r>
          </w:p>
        </w:tc>
      </w:tr>
      <w:tr w:rsidR="006416B0" w:rsidRPr="00B4515A" w14:paraId="1EE2B339" w14:textId="77777777" w:rsidTr="00031627">
        <w:trPr>
          <w:trHeight w:val="340"/>
          <w:jc w:val="center"/>
        </w:trPr>
        <w:tc>
          <w:tcPr>
            <w:tcW w:w="2888" w:type="dxa"/>
            <w:tcMar>
              <w:top w:w="0" w:type="dxa"/>
              <w:left w:w="108" w:type="dxa"/>
              <w:bottom w:w="0" w:type="dxa"/>
              <w:right w:w="108" w:type="dxa"/>
            </w:tcMar>
            <w:vAlign w:val="center"/>
          </w:tcPr>
          <w:p w14:paraId="344038B9" w14:textId="77777777" w:rsidR="006100BC" w:rsidRPr="00B4515A" w:rsidRDefault="005E58C1" w:rsidP="005860B4">
            <w:pPr>
              <w:adjustRightInd w:val="0"/>
              <w:snapToGrid w:val="0"/>
              <w:jc w:val="center"/>
              <w:rPr>
                <w:sz w:val="21"/>
                <w:szCs w:val="21"/>
              </w:rPr>
            </w:pPr>
            <w:r w:rsidRPr="00B4515A">
              <w:rPr>
                <w:rFonts w:hint="eastAsia"/>
                <w:sz w:val="21"/>
                <w:szCs w:val="21"/>
              </w:rPr>
              <w:t>中国信息通信科技集团有限</w:t>
            </w:r>
          </w:p>
          <w:p w14:paraId="69DCA87B" w14:textId="1ECCD060" w:rsidR="006416B0" w:rsidRPr="00B4515A" w:rsidRDefault="005E58C1" w:rsidP="005860B4">
            <w:pPr>
              <w:adjustRightInd w:val="0"/>
              <w:snapToGrid w:val="0"/>
              <w:jc w:val="center"/>
              <w:rPr>
                <w:sz w:val="21"/>
                <w:szCs w:val="21"/>
              </w:rPr>
            </w:pPr>
            <w:r w:rsidRPr="00B4515A">
              <w:rPr>
                <w:rFonts w:hint="eastAsia"/>
                <w:sz w:val="21"/>
                <w:szCs w:val="21"/>
              </w:rPr>
              <w:t>公司</w:t>
            </w:r>
          </w:p>
        </w:tc>
        <w:tc>
          <w:tcPr>
            <w:tcW w:w="2466" w:type="dxa"/>
            <w:tcMar>
              <w:top w:w="0" w:type="dxa"/>
              <w:left w:w="108" w:type="dxa"/>
              <w:bottom w:w="0" w:type="dxa"/>
              <w:right w:w="108" w:type="dxa"/>
            </w:tcMar>
            <w:vAlign w:val="center"/>
          </w:tcPr>
          <w:p w14:paraId="513863E3" w14:textId="77777777" w:rsidR="006416B0" w:rsidRPr="00B4515A" w:rsidRDefault="005E58C1" w:rsidP="005860B4">
            <w:pPr>
              <w:adjustRightInd w:val="0"/>
              <w:snapToGrid w:val="0"/>
              <w:jc w:val="center"/>
              <w:rPr>
                <w:sz w:val="21"/>
                <w:szCs w:val="21"/>
              </w:rPr>
            </w:pPr>
            <w:r w:rsidRPr="00B4515A">
              <w:rPr>
                <w:sz w:val="21"/>
                <w:szCs w:val="21"/>
              </w:rPr>
              <w:t>合作开发</w:t>
            </w:r>
          </w:p>
        </w:tc>
        <w:tc>
          <w:tcPr>
            <w:tcW w:w="1557" w:type="dxa"/>
            <w:tcMar>
              <w:top w:w="0" w:type="dxa"/>
              <w:left w:w="108" w:type="dxa"/>
              <w:bottom w:w="0" w:type="dxa"/>
              <w:right w:w="108" w:type="dxa"/>
            </w:tcMar>
            <w:vAlign w:val="center"/>
          </w:tcPr>
          <w:p w14:paraId="7B5CEDF4"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w:t>
            </w:r>
          </w:p>
        </w:tc>
        <w:tc>
          <w:tcPr>
            <w:tcW w:w="1371" w:type="dxa"/>
            <w:tcMar>
              <w:top w:w="0" w:type="dxa"/>
              <w:left w:w="108" w:type="dxa"/>
              <w:bottom w:w="0" w:type="dxa"/>
              <w:right w:w="108" w:type="dxa"/>
            </w:tcMar>
            <w:vAlign w:val="center"/>
          </w:tcPr>
          <w:p w14:paraId="37219876"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1,000.00</w:t>
            </w:r>
          </w:p>
        </w:tc>
      </w:tr>
      <w:tr w:rsidR="006416B0" w:rsidRPr="00B4515A" w14:paraId="7132A74D" w14:textId="77777777" w:rsidTr="00031627">
        <w:trPr>
          <w:trHeight w:val="340"/>
          <w:jc w:val="center"/>
        </w:trPr>
        <w:tc>
          <w:tcPr>
            <w:tcW w:w="2888" w:type="dxa"/>
            <w:tcMar>
              <w:top w:w="0" w:type="dxa"/>
              <w:left w:w="108" w:type="dxa"/>
              <w:bottom w:w="0" w:type="dxa"/>
              <w:right w:w="108" w:type="dxa"/>
            </w:tcMar>
            <w:vAlign w:val="center"/>
          </w:tcPr>
          <w:p w14:paraId="7A0248B4" w14:textId="77777777" w:rsidR="006416B0" w:rsidRPr="00B4515A" w:rsidRDefault="005E58C1" w:rsidP="005860B4">
            <w:pPr>
              <w:adjustRightInd w:val="0"/>
              <w:snapToGrid w:val="0"/>
              <w:jc w:val="center"/>
              <w:rPr>
                <w:rFonts w:ascii="Times New Roman" w:eastAsiaTheme="majorEastAsia" w:hAnsi="Times New Roman" w:cs="Times New Roman"/>
                <w:b/>
                <w:bCs/>
                <w:sz w:val="21"/>
                <w:szCs w:val="21"/>
              </w:rPr>
            </w:pPr>
            <w:r w:rsidRPr="00B4515A">
              <w:rPr>
                <w:rFonts w:eastAsiaTheme="majorEastAsia" w:hint="eastAsia"/>
                <w:b/>
                <w:bCs/>
                <w:sz w:val="21"/>
                <w:szCs w:val="21"/>
              </w:rPr>
              <w:t>合计</w:t>
            </w:r>
          </w:p>
        </w:tc>
        <w:tc>
          <w:tcPr>
            <w:tcW w:w="2466" w:type="dxa"/>
            <w:tcMar>
              <w:top w:w="0" w:type="dxa"/>
              <w:left w:w="108" w:type="dxa"/>
              <w:bottom w:w="0" w:type="dxa"/>
              <w:right w:w="108" w:type="dxa"/>
            </w:tcMar>
            <w:vAlign w:val="center"/>
          </w:tcPr>
          <w:p w14:paraId="44AC07AB" w14:textId="77777777" w:rsidR="006416B0" w:rsidRPr="00B4515A" w:rsidRDefault="006416B0" w:rsidP="005860B4">
            <w:pPr>
              <w:adjustRightInd w:val="0"/>
              <w:snapToGrid w:val="0"/>
              <w:jc w:val="center"/>
              <w:rPr>
                <w:rFonts w:ascii="Times New Roman" w:eastAsiaTheme="majorEastAsia" w:hAnsi="Times New Roman" w:cs="Times New Roman"/>
                <w:b/>
                <w:bCs/>
                <w:sz w:val="21"/>
                <w:szCs w:val="21"/>
              </w:rPr>
            </w:pPr>
          </w:p>
        </w:tc>
        <w:tc>
          <w:tcPr>
            <w:tcW w:w="1557" w:type="dxa"/>
            <w:tcMar>
              <w:top w:w="0" w:type="dxa"/>
              <w:left w:w="108" w:type="dxa"/>
              <w:bottom w:w="0" w:type="dxa"/>
              <w:right w:w="108" w:type="dxa"/>
            </w:tcMar>
            <w:vAlign w:val="center"/>
          </w:tcPr>
          <w:p w14:paraId="16AF02B7" w14:textId="77777777" w:rsidR="006416B0" w:rsidRPr="00B4515A" w:rsidRDefault="005E58C1" w:rsidP="005860B4">
            <w:pPr>
              <w:adjustRightInd w:val="0"/>
              <w:snapToGrid w:val="0"/>
              <w:jc w:val="right"/>
              <w:rPr>
                <w:rFonts w:ascii="Times New Roman" w:eastAsiaTheme="majorEastAsia" w:hAnsi="Times New Roman" w:cs="Times New Roman"/>
                <w:b/>
                <w:bCs/>
                <w:sz w:val="21"/>
                <w:szCs w:val="21"/>
              </w:rPr>
            </w:pPr>
            <w:r w:rsidRPr="00B4515A">
              <w:rPr>
                <w:rFonts w:ascii="Times New Roman" w:eastAsia="等线" w:hAnsi="Times New Roman" w:cs="Times New Roman"/>
                <w:b/>
                <w:bCs/>
                <w:sz w:val="21"/>
                <w:szCs w:val="21"/>
              </w:rPr>
              <w:t>576.16</w:t>
            </w:r>
          </w:p>
        </w:tc>
        <w:tc>
          <w:tcPr>
            <w:tcW w:w="1371" w:type="dxa"/>
            <w:tcMar>
              <w:top w:w="0" w:type="dxa"/>
              <w:left w:w="108" w:type="dxa"/>
              <w:bottom w:w="0" w:type="dxa"/>
              <w:right w:w="108" w:type="dxa"/>
            </w:tcMar>
            <w:vAlign w:val="center"/>
          </w:tcPr>
          <w:p w14:paraId="5307E6EB" w14:textId="77777777" w:rsidR="006416B0" w:rsidRPr="00B4515A" w:rsidRDefault="005E58C1" w:rsidP="005860B4">
            <w:pPr>
              <w:adjustRightInd w:val="0"/>
              <w:snapToGrid w:val="0"/>
              <w:jc w:val="right"/>
              <w:rPr>
                <w:rFonts w:ascii="Times New Roman" w:eastAsiaTheme="majorEastAsia" w:hAnsi="Times New Roman" w:cs="Times New Roman"/>
                <w:b/>
                <w:bCs/>
                <w:sz w:val="21"/>
                <w:szCs w:val="21"/>
              </w:rPr>
            </w:pPr>
            <w:r w:rsidRPr="00B4515A">
              <w:rPr>
                <w:rFonts w:ascii="Times New Roman" w:eastAsia="等线" w:hAnsi="Times New Roman" w:cs="Times New Roman"/>
                <w:b/>
                <w:bCs/>
                <w:sz w:val="21"/>
                <w:szCs w:val="21"/>
              </w:rPr>
              <w:t>2,812.18</w:t>
            </w:r>
          </w:p>
        </w:tc>
      </w:tr>
    </w:tbl>
    <w:p w14:paraId="731D189C" w14:textId="3262AB13" w:rsidR="006416B0" w:rsidRPr="00B4515A" w:rsidRDefault="005E58C1" w:rsidP="006100BC">
      <w:pPr>
        <w:pStyle w:val="005"/>
        <w:spacing w:before="120" w:after="120"/>
        <w:ind w:firstLine="480"/>
      </w:pPr>
      <w:r w:rsidRPr="00B4515A">
        <w:fldChar w:fldCharType="end"/>
      </w:r>
      <w:r w:rsidRPr="00B4515A">
        <w:t>2</w:t>
      </w:r>
      <w:r w:rsidRPr="00B4515A">
        <w:t>）接受其他劳务</w:t>
      </w:r>
    </w:p>
    <w:p w14:paraId="3E461D4C" w14:textId="243F55B3" w:rsidR="006416B0" w:rsidRPr="00B4515A" w:rsidRDefault="00D44516" w:rsidP="006100BC">
      <w:pPr>
        <w:pStyle w:val="009"/>
      </w:pPr>
      <w:r w:rsidRPr="00B4515A">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977"/>
        <w:gridCol w:w="2531"/>
        <w:gridCol w:w="1610"/>
        <w:gridCol w:w="1410"/>
      </w:tblGrid>
      <w:tr w:rsidR="006416B0" w:rsidRPr="00B4515A" w14:paraId="0398969A" w14:textId="77777777" w:rsidTr="006100BC">
        <w:trPr>
          <w:trHeight w:val="340"/>
          <w:tblHeader/>
          <w:jc w:val="center"/>
        </w:trPr>
        <w:tc>
          <w:tcPr>
            <w:tcW w:w="2898" w:type="dxa"/>
            <w:shd w:val="clear" w:color="auto" w:fill="auto"/>
            <w:tcMar>
              <w:top w:w="0" w:type="dxa"/>
              <w:left w:w="108" w:type="dxa"/>
              <w:bottom w:w="0" w:type="dxa"/>
              <w:right w:w="108" w:type="dxa"/>
            </w:tcMar>
            <w:vAlign w:val="center"/>
          </w:tcPr>
          <w:p w14:paraId="22DEB392" w14:textId="77777777" w:rsidR="006416B0" w:rsidRPr="00B4515A" w:rsidRDefault="005E58C1" w:rsidP="00C721A8">
            <w:pPr>
              <w:keepNext/>
              <w:adjustRightInd w:val="0"/>
              <w:snapToGrid w:val="0"/>
              <w:jc w:val="center"/>
              <w:rPr>
                <w:rFonts w:ascii="Times New Roman" w:eastAsiaTheme="majorEastAsia" w:hAnsi="Times New Roman" w:cs="Times New Roman"/>
                <w:b/>
                <w:color w:val="000000"/>
                <w:sz w:val="21"/>
                <w:szCs w:val="21"/>
              </w:rPr>
            </w:pPr>
            <w:r w:rsidRPr="00B4515A">
              <w:rPr>
                <w:rFonts w:ascii="Times New Roman" w:eastAsiaTheme="majorEastAsia" w:hAnsi="Times New Roman" w:cs="Times New Roman" w:hint="eastAsia"/>
                <w:b/>
                <w:color w:val="000000"/>
                <w:sz w:val="21"/>
                <w:szCs w:val="21"/>
              </w:rPr>
              <w:t>关联方</w:t>
            </w:r>
          </w:p>
        </w:tc>
        <w:tc>
          <w:tcPr>
            <w:tcW w:w="2464" w:type="dxa"/>
            <w:shd w:val="clear" w:color="auto" w:fill="auto"/>
            <w:tcMar>
              <w:top w:w="0" w:type="dxa"/>
              <w:left w:w="108" w:type="dxa"/>
              <w:bottom w:w="0" w:type="dxa"/>
              <w:right w:w="108" w:type="dxa"/>
            </w:tcMar>
            <w:vAlign w:val="center"/>
          </w:tcPr>
          <w:p w14:paraId="549B9C0A" w14:textId="77777777" w:rsidR="006416B0" w:rsidRPr="00B4515A" w:rsidRDefault="005E58C1" w:rsidP="00C721A8">
            <w:pPr>
              <w:keepNext/>
              <w:adjustRightInd w:val="0"/>
              <w:snapToGrid w:val="0"/>
              <w:jc w:val="center"/>
              <w:rPr>
                <w:rFonts w:ascii="Times New Roman" w:eastAsiaTheme="majorEastAsia" w:hAnsi="Times New Roman" w:cs="Times New Roman"/>
                <w:b/>
                <w:color w:val="000000"/>
                <w:sz w:val="21"/>
                <w:szCs w:val="21"/>
              </w:rPr>
            </w:pPr>
            <w:r w:rsidRPr="00B4515A">
              <w:rPr>
                <w:rFonts w:ascii="Times New Roman" w:eastAsiaTheme="majorEastAsia" w:hAnsi="Times New Roman" w:cs="Times New Roman" w:hint="eastAsia"/>
                <w:b/>
                <w:color w:val="000000"/>
                <w:sz w:val="21"/>
                <w:szCs w:val="21"/>
              </w:rPr>
              <w:t>关联交易内容</w:t>
            </w:r>
          </w:p>
        </w:tc>
        <w:tc>
          <w:tcPr>
            <w:tcW w:w="1567" w:type="dxa"/>
            <w:shd w:val="clear" w:color="auto" w:fill="auto"/>
            <w:tcMar>
              <w:top w:w="0" w:type="dxa"/>
              <w:left w:w="108" w:type="dxa"/>
              <w:bottom w:w="0" w:type="dxa"/>
              <w:right w:w="108" w:type="dxa"/>
            </w:tcMar>
            <w:vAlign w:val="center"/>
          </w:tcPr>
          <w:p w14:paraId="70BE07B8" w14:textId="77777777" w:rsidR="006416B0" w:rsidRPr="00B4515A" w:rsidRDefault="005E58C1" w:rsidP="00C721A8">
            <w:pPr>
              <w:keepNext/>
              <w:adjustRightInd w:val="0"/>
              <w:snapToGrid w:val="0"/>
              <w:jc w:val="center"/>
              <w:rPr>
                <w:rFonts w:ascii="Times New Roman" w:eastAsiaTheme="majorEastAsia" w:hAnsi="Times New Roman" w:cs="Times New Roman"/>
                <w:b/>
                <w:color w:val="000000"/>
                <w:sz w:val="21"/>
                <w:szCs w:val="21"/>
              </w:rPr>
            </w:pPr>
            <w:r w:rsidRPr="00B4515A">
              <w:rPr>
                <w:rFonts w:ascii="Times New Roman" w:eastAsiaTheme="majorEastAsia" w:hAnsi="Times New Roman" w:cs="Times New Roman"/>
                <w:b/>
                <w:color w:val="000000"/>
                <w:sz w:val="21"/>
                <w:szCs w:val="21"/>
              </w:rPr>
              <w:t>2021</w:t>
            </w:r>
            <w:r w:rsidRPr="00B4515A">
              <w:rPr>
                <w:rFonts w:ascii="Times New Roman" w:eastAsiaTheme="majorEastAsia" w:hAnsi="Times New Roman" w:cs="Times New Roman" w:hint="eastAsia"/>
                <w:b/>
                <w:color w:val="000000"/>
                <w:sz w:val="21"/>
                <w:szCs w:val="21"/>
              </w:rPr>
              <w:t>年</w:t>
            </w:r>
            <w:r w:rsidRPr="00B4515A">
              <w:rPr>
                <w:rFonts w:ascii="Times New Roman" w:eastAsiaTheme="majorEastAsia" w:hAnsi="Times New Roman" w:cs="Times New Roman"/>
                <w:b/>
                <w:color w:val="000000"/>
                <w:sz w:val="21"/>
                <w:szCs w:val="21"/>
              </w:rPr>
              <w:t>1-4</w:t>
            </w:r>
            <w:r w:rsidRPr="00B4515A">
              <w:rPr>
                <w:rFonts w:ascii="Times New Roman" w:eastAsiaTheme="majorEastAsia" w:hAnsi="Times New Roman" w:cs="Times New Roman" w:hint="eastAsia"/>
                <w:b/>
                <w:color w:val="000000"/>
                <w:sz w:val="21"/>
                <w:szCs w:val="21"/>
              </w:rPr>
              <w:t>月</w:t>
            </w:r>
          </w:p>
        </w:tc>
        <w:tc>
          <w:tcPr>
            <w:tcW w:w="1372" w:type="dxa"/>
            <w:shd w:val="clear" w:color="auto" w:fill="auto"/>
            <w:tcMar>
              <w:top w:w="0" w:type="dxa"/>
              <w:left w:w="108" w:type="dxa"/>
              <w:bottom w:w="0" w:type="dxa"/>
              <w:right w:w="108" w:type="dxa"/>
            </w:tcMar>
            <w:vAlign w:val="center"/>
          </w:tcPr>
          <w:p w14:paraId="453B00C0" w14:textId="77777777" w:rsidR="006416B0" w:rsidRPr="00B4515A" w:rsidRDefault="005E58C1" w:rsidP="00C721A8">
            <w:pPr>
              <w:keepNext/>
              <w:adjustRightInd w:val="0"/>
              <w:snapToGrid w:val="0"/>
              <w:jc w:val="center"/>
              <w:rPr>
                <w:rFonts w:ascii="Times New Roman" w:eastAsiaTheme="majorEastAsia" w:hAnsi="Times New Roman" w:cs="Times New Roman"/>
                <w:b/>
                <w:color w:val="000000"/>
                <w:sz w:val="21"/>
                <w:szCs w:val="21"/>
              </w:rPr>
            </w:pPr>
            <w:r w:rsidRPr="00B4515A">
              <w:rPr>
                <w:rFonts w:ascii="Times New Roman" w:eastAsiaTheme="majorEastAsia" w:hAnsi="Times New Roman" w:cs="Times New Roman"/>
                <w:b/>
                <w:color w:val="000000"/>
                <w:sz w:val="21"/>
                <w:szCs w:val="21"/>
              </w:rPr>
              <w:t>2020</w:t>
            </w:r>
            <w:r w:rsidRPr="00B4515A">
              <w:rPr>
                <w:rFonts w:ascii="Times New Roman" w:eastAsiaTheme="majorEastAsia" w:hAnsi="Times New Roman" w:cs="Times New Roman" w:hint="eastAsia"/>
                <w:b/>
                <w:color w:val="000000"/>
                <w:sz w:val="21"/>
                <w:szCs w:val="21"/>
              </w:rPr>
              <w:t>年度</w:t>
            </w:r>
          </w:p>
        </w:tc>
      </w:tr>
      <w:tr w:rsidR="00823E74" w:rsidRPr="00B4515A" w14:paraId="268D3B07" w14:textId="77777777" w:rsidTr="00031627">
        <w:trPr>
          <w:trHeight w:val="340"/>
          <w:jc w:val="center"/>
        </w:trPr>
        <w:tc>
          <w:tcPr>
            <w:tcW w:w="2898" w:type="dxa"/>
            <w:shd w:val="clear" w:color="auto" w:fill="auto"/>
            <w:tcMar>
              <w:top w:w="0" w:type="dxa"/>
              <w:left w:w="108" w:type="dxa"/>
              <w:bottom w:w="0" w:type="dxa"/>
              <w:right w:w="108" w:type="dxa"/>
            </w:tcMar>
            <w:vAlign w:val="center"/>
          </w:tcPr>
          <w:p w14:paraId="0FD6450D" w14:textId="77777777" w:rsidR="00823E74" w:rsidRPr="00B4515A" w:rsidRDefault="00823E74" w:rsidP="005860B4">
            <w:pPr>
              <w:adjustRightInd w:val="0"/>
              <w:snapToGrid w:val="0"/>
              <w:jc w:val="both"/>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大唐实创（北京）投资有限公司</w:t>
            </w:r>
          </w:p>
        </w:tc>
        <w:tc>
          <w:tcPr>
            <w:tcW w:w="2464" w:type="dxa"/>
            <w:shd w:val="clear" w:color="auto" w:fill="auto"/>
            <w:tcMar>
              <w:top w:w="0" w:type="dxa"/>
              <w:left w:w="108" w:type="dxa"/>
              <w:bottom w:w="0" w:type="dxa"/>
              <w:right w:w="108" w:type="dxa"/>
            </w:tcMar>
            <w:vAlign w:val="center"/>
          </w:tcPr>
          <w:p w14:paraId="2A23B28E" w14:textId="77777777" w:rsidR="00823E74" w:rsidRPr="00B4515A" w:rsidRDefault="00823E74"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房租、水电、物业费等</w:t>
            </w:r>
          </w:p>
        </w:tc>
        <w:tc>
          <w:tcPr>
            <w:tcW w:w="1567" w:type="dxa"/>
            <w:shd w:val="clear" w:color="auto" w:fill="auto"/>
            <w:tcMar>
              <w:top w:w="0" w:type="dxa"/>
              <w:left w:w="108" w:type="dxa"/>
              <w:bottom w:w="0" w:type="dxa"/>
              <w:right w:w="108" w:type="dxa"/>
            </w:tcMar>
            <w:vAlign w:val="center"/>
          </w:tcPr>
          <w:p w14:paraId="3685B938" w14:textId="2E3B5004" w:rsidR="00823E74" w:rsidRPr="00B4515A" w:rsidRDefault="00823E74"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246.85</w:t>
            </w:r>
          </w:p>
        </w:tc>
        <w:tc>
          <w:tcPr>
            <w:tcW w:w="1372" w:type="dxa"/>
            <w:shd w:val="clear" w:color="auto" w:fill="auto"/>
            <w:tcMar>
              <w:top w:w="0" w:type="dxa"/>
              <w:left w:w="108" w:type="dxa"/>
              <w:bottom w:w="0" w:type="dxa"/>
              <w:right w:w="108" w:type="dxa"/>
            </w:tcMar>
            <w:vAlign w:val="center"/>
          </w:tcPr>
          <w:p w14:paraId="431F65B2" w14:textId="3479791A" w:rsidR="00823E74" w:rsidRPr="00B4515A" w:rsidRDefault="00823E74"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832.17</w:t>
            </w:r>
          </w:p>
        </w:tc>
      </w:tr>
      <w:tr w:rsidR="006416B0" w:rsidRPr="00B4515A" w14:paraId="084F5C09" w14:textId="77777777" w:rsidTr="00031627">
        <w:trPr>
          <w:trHeight w:val="340"/>
          <w:jc w:val="center"/>
        </w:trPr>
        <w:tc>
          <w:tcPr>
            <w:tcW w:w="2898" w:type="dxa"/>
            <w:shd w:val="clear" w:color="auto" w:fill="auto"/>
            <w:tcMar>
              <w:top w:w="0" w:type="dxa"/>
              <w:left w:w="108" w:type="dxa"/>
              <w:bottom w:w="0" w:type="dxa"/>
              <w:right w:w="108" w:type="dxa"/>
            </w:tcMar>
            <w:vAlign w:val="center"/>
          </w:tcPr>
          <w:p w14:paraId="131E3B76" w14:textId="77777777" w:rsidR="006416B0" w:rsidRPr="00B4515A" w:rsidRDefault="005E58C1" w:rsidP="005860B4">
            <w:pPr>
              <w:adjustRightInd w:val="0"/>
              <w:snapToGrid w:val="0"/>
              <w:jc w:val="both"/>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电信科学技术第十研究所有限公司</w:t>
            </w:r>
          </w:p>
        </w:tc>
        <w:tc>
          <w:tcPr>
            <w:tcW w:w="2464" w:type="dxa"/>
            <w:shd w:val="clear" w:color="auto" w:fill="auto"/>
            <w:tcMar>
              <w:top w:w="0" w:type="dxa"/>
              <w:left w:w="108" w:type="dxa"/>
              <w:bottom w:w="0" w:type="dxa"/>
              <w:right w:w="108" w:type="dxa"/>
            </w:tcMar>
            <w:vAlign w:val="center"/>
          </w:tcPr>
          <w:p w14:paraId="09DBCF06"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房租、水电、物业费等</w:t>
            </w:r>
          </w:p>
        </w:tc>
        <w:tc>
          <w:tcPr>
            <w:tcW w:w="1567" w:type="dxa"/>
            <w:shd w:val="clear" w:color="auto" w:fill="auto"/>
            <w:tcMar>
              <w:top w:w="0" w:type="dxa"/>
              <w:left w:w="108" w:type="dxa"/>
              <w:bottom w:w="0" w:type="dxa"/>
              <w:right w:w="108" w:type="dxa"/>
            </w:tcMar>
            <w:vAlign w:val="center"/>
          </w:tcPr>
          <w:p w14:paraId="50A1D2A6"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156.40</w:t>
            </w:r>
          </w:p>
        </w:tc>
        <w:tc>
          <w:tcPr>
            <w:tcW w:w="1372" w:type="dxa"/>
            <w:shd w:val="clear" w:color="auto" w:fill="auto"/>
            <w:tcMar>
              <w:top w:w="0" w:type="dxa"/>
              <w:left w:w="108" w:type="dxa"/>
              <w:bottom w:w="0" w:type="dxa"/>
              <w:right w:w="108" w:type="dxa"/>
            </w:tcMar>
            <w:vAlign w:val="center"/>
          </w:tcPr>
          <w:p w14:paraId="6B1B105B" w14:textId="3327B782" w:rsidR="006416B0" w:rsidRPr="00B4515A" w:rsidRDefault="00823E74"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591.03</w:t>
            </w:r>
          </w:p>
        </w:tc>
      </w:tr>
      <w:tr w:rsidR="006416B0" w:rsidRPr="00B4515A" w14:paraId="1CE4B068" w14:textId="77777777" w:rsidTr="00031627">
        <w:trPr>
          <w:trHeight w:val="340"/>
          <w:jc w:val="center"/>
        </w:trPr>
        <w:tc>
          <w:tcPr>
            <w:tcW w:w="2898" w:type="dxa"/>
            <w:shd w:val="clear" w:color="auto" w:fill="auto"/>
            <w:tcMar>
              <w:top w:w="0" w:type="dxa"/>
              <w:left w:w="108" w:type="dxa"/>
              <w:bottom w:w="0" w:type="dxa"/>
              <w:right w:w="108" w:type="dxa"/>
            </w:tcMar>
            <w:vAlign w:val="center"/>
          </w:tcPr>
          <w:p w14:paraId="678A8B2D" w14:textId="77777777" w:rsidR="006416B0" w:rsidRPr="00B4515A" w:rsidRDefault="005E58C1" w:rsidP="005860B4">
            <w:pPr>
              <w:adjustRightInd w:val="0"/>
              <w:snapToGrid w:val="0"/>
              <w:jc w:val="both"/>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北京大唐物业管理有限公司</w:t>
            </w:r>
          </w:p>
        </w:tc>
        <w:tc>
          <w:tcPr>
            <w:tcW w:w="2464" w:type="dxa"/>
            <w:shd w:val="clear" w:color="auto" w:fill="auto"/>
            <w:tcMar>
              <w:top w:w="0" w:type="dxa"/>
              <w:left w:w="108" w:type="dxa"/>
              <w:bottom w:w="0" w:type="dxa"/>
              <w:right w:w="108" w:type="dxa"/>
            </w:tcMar>
            <w:vAlign w:val="center"/>
          </w:tcPr>
          <w:p w14:paraId="490A293F"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房租、水电、物业费等</w:t>
            </w:r>
          </w:p>
        </w:tc>
        <w:tc>
          <w:tcPr>
            <w:tcW w:w="1567" w:type="dxa"/>
            <w:shd w:val="clear" w:color="auto" w:fill="auto"/>
            <w:tcMar>
              <w:top w:w="0" w:type="dxa"/>
              <w:left w:w="108" w:type="dxa"/>
              <w:bottom w:w="0" w:type="dxa"/>
              <w:right w:w="108" w:type="dxa"/>
            </w:tcMar>
            <w:vAlign w:val="center"/>
          </w:tcPr>
          <w:p w14:paraId="25DD1EF2"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19.16</w:t>
            </w:r>
          </w:p>
        </w:tc>
        <w:tc>
          <w:tcPr>
            <w:tcW w:w="1372" w:type="dxa"/>
            <w:shd w:val="clear" w:color="auto" w:fill="auto"/>
            <w:tcMar>
              <w:top w:w="0" w:type="dxa"/>
              <w:left w:w="108" w:type="dxa"/>
              <w:bottom w:w="0" w:type="dxa"/>
              <w:right w:w="108" w:type="dxa"/>
            </w:tcMar>
            <w:vAlign w:val="center"/>
          </w:tcPr>
          <w:p w14:paraId="2EF8E136"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110.78</w:t>
            </w:r>
          </w:p>
        </w:tc>
      </w:tr>
      <w:tr w:rsidR="006416B0" w:rsidRPr="00B4515A" w14:paraId="301DEEA2" w14:textId="77777777" w:rsidTr="00031627">
        <w:trPr>
          <w:trHeight w:val="340"/>
          <w:jc w:val="center"/>
        </w:trPr>
        <w:tc>
          <w:tcPr>
            <w:tcW w:w="2898" w:type="dxa"/>
            <w:shd w:val="clear" w:color="auto" w:fill="auto"/>
            <w:tcMar>
              <w:top w:w="0" w:type="dxa"/>
              <w:left w:w="108" w:type="dxa"/>
              <w:bottom w:w="0" w:type="dxa"/>
              <w:right w:w="108" w:type="dxa"/>
            </w:tcMar>
            <w:vAlign w:val="center"/>
          </w:tcPr>
          <w:p w14:paraId="0C504CD1" w14:textId="77777777" w:rsidR="006416B0" w:rsidRPr="00B4515A" w:rsidRDefault="005E58C1" w:rsidP="005860B4">
            <w:pPr>
              <w:adjustRightInd w:val="0"/>
              <w:snapToGrid w:val="0"/>
              <w:jc w:val="both"/>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电信科学技术第五研究所有限公司</w:t>
            </w:r>
          </w:p>
        </w:tc>
        <w:tc>
          <w:tcPr>
            <w:tcW w:w="2464" w:type="dxa"/>
            <w:shd w:val="clear" w:color="auto" w:fill="auto"/>
            <w:tcMar>
              <w:top w:w="0" w:type="dxa"/>
              <w:left w:w="108" w:type="dxa"/>
              <w:bottom w:w="0" w:type="dxa"/>
              <w:right w:w="108" w:type="dxa"/>
            </w:tcMar>
            <w:vAlign w:val="center"/>
          </w:tcPr>
          <w:p w14:paraId="7F9FA8E4"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房租、水电、物业费等</w:t>
            </w:r>
          </w:p>
        </w:tc>
        <w:tc>
          <w:tcPr>
            <w:tcW w:w="1567" w:type="dxa"/>
            <w:shd w:val="clear" w:color="auto" w:fill="auto"/>
            <w:tcMar>
              <w:top w:w="0" w:type="dxa"/>
              <w:left w:w="108" w:type="dxa"/>
              <w:bottom w:w="0" w:type="dxa"/>
              <w:right w:w="108" w:type="dxa"/>
            </w:tcMar>
            <w:vAlign w:val="center"/>
          </w:tcPr>
          <w:p w14:paraId="2B1F3129"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w:t>
            </w:r>
          </w:p>
        </w:tc>
        <w:tc>
          <w:tcPr>
            <w:tcW w:w="1372" w:type="dxa"/>
            <w:shd w:val="clear" w:color="auto" w:fill="auto"/>
            <w:tcMar>
              <w:top w:w="0" w:type="dxa"/>
              <w:left w:w="108" w:type="dxa"/>
              <w:bottom w:w="0" w:type="dxa"/>
              <w:right w:w="108" w:type="dxa"/>
            </w:tcMar>
            <w:vAlign w:val="center"/>
          </w:tcPr>
          <w:p w14:paraId="66ADAEF6"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18.08</w:t>
            </w:r>
          </w:p>
        </w:tc>
      </w:tr>
      <w:tr w:rsidR="006416B0" w:rsidRPr="00B4515A" w14:paraId="71E0724A" w14:textId="77777777" w:rsidTr="00031627">
        <w:trPr>
          <w:trHeight w:val="340"/>
          <w:jc w:val="center"/>
        </w:trPr>
        <w:tc>
          <w:tcPr>
            <w:tcW w:w="2898" w:type="dxa"/>
            <w:shd w:val="clear" w:color="auto" w:fill="auto"/>
            <w:tcMar>
              <w:top w:w="0" w:type="dxa"/>
              <w:left w:w="108" w:type="dxa"/>
              <w:bottom w:w="0" w:type="dxa"/>
              <w:right w:w="108" w:type="dxa"/>
            </w:tcMar>
            <w:vAlign w:val="center"/>
          </w:tcPr>
          <w:p w14:paraId="07587979" w14:textId="77777777" w:rsidR="006416B0" w:rsidRPr="00B4515A" w:rsidRDefault="005E58C1" w:rsidP="005860B4">
            <w:pPr>
              <w:adjustRightInd w:val="0"/>
              <w:snapToGrid w:val="0"/>
              <w:jc w:val="both"/>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电信科学技术研究院有限公司</w:t>
            </w:r>
          </w:p>
        </w:tc>
        <w:tc>
          <w:tcPr>
            <w:tcW w:w="2464" w:type="dxa"/>
            <w:shd w:val="clear" w:color="auto" w:fill="auto"/>
            <w:tcMar>
              <w:top w:w="0" w:type="dxa"/>
              <w:left w:w="108" w:type="dxa"/>
              <w:bottom w:w="0" w:type="dxa"/>
              <w:right w:w="108" w:type="dxa"/>
            </w:tcMar>
            <w:vAlign w:val="center"/>
          </w:tcPr>
          <w:p w14:paraId="6838C868"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房租、水电、物业费等</w:t>
            </w:r>
          </w:p>
        </w:tc>
        <w:tc>
          <w:tcPr>
            <w:tcW w:w="1567" w:type="dxa"/>
            <w:shd w:val="clear" w:color="auto" w:fill="auto"/>
            <w:tcMar>
              <w:top w:w="0" w:type="dxa"/>
              <w:left w:w="108" w:type="dxa"/>
              <w:bottom w:w="0" w:type="dxa"/>
              <w:right w:w="108" w:type="dxa"/>
            </w:tcMar>
            <w:vAlign w:val="center"/>
          </w:tcPr>
          <w:p w14:paraId="656D397C"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w:t>
            </w:r>
          </w:p>
        </w:tc>
        <w:tc>
          <w:tcPr>
            <w:tcW w:w="1372" w:type="dxa"/>
            <w:shd w:val="clear" w:color="auto" w:fill="auto"/>
            <w:tcMar>
              <w:top w:w="0" w:type="dxa"/>
              <w:left w:w="108" w:type="dxa"/>
              <w:bottom w:w="0" w:type="dxa"/>
              <w:right w:w="108" w:type="dxa"/>
            </w:tcMar>
            <w:vAlign w:val="center"/>
          </w:tcPr>
          <w:p w14:paraId="2A4345FB"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1.11</w:t>
            </w:r>
          </w:p>
        </w:tc>
      </w:tr>
      <w:tr w:rsidR="006416B0" w:rsidRPr="00B4515A" w14:paraId="245A7FB2" w14:textId="77777777" w:rsidTr="00031627">
        <w:trPr>
          <w:trHeight w:val="340"/>
          <w:jc w:val="center"/>
        </w:trPr>
        <w:tc>
          <w:tcPr>
            <w:tcW w:w="2898" w:type="dxa"/>
            <w:shd w:val="clear" w:color="auto" w:fill="auto"/>
            <w:tcMar>
              <w:top w:w="0" w:type="dxa"/>
              <w:left w:w="108" w:type="dxa"/>
              <w:bottom w:w="0" w:type="dxa"/>
              <w:right w:w="108" w:type="dxa"/>
            </w:tcMar>
            <w:vAlign w:val="center"/>
          </w:tcPr>
          <w:p w14:paraId="4A8D855B" w14:textId="77777777" w:rsidR="006416B0" w:rsidRPr="00B4515A" w:rsidRDefault="005E58C1" w:rsidP="005860B4">
            <w:pPr>
              <w:adjustRightInd w:val="0"/>
              <w:snapToGrid w:val="0"/>
              <w:jc w:val="both"/>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数据通信科学技术研究所</w:t>
            </w:r>
          </w:p>
        </w:tc>
        <w:tc>
          <w:tcPr>
            <w:tcW w:w="2464" w:type="dxa"/>
            <w:shd w:val="clear" w:color="auto" w:fill="auto"/>
            <w:tcMar>
              <w:top w:w="0" w:type="dxa"/>
              <w:left w:w="108" w:type="dxa"/>
              <w:bottom w:w="0" w:type="dxa"/>
              <w:right w:w="108" w:type="dxa"/>
            </w:tcMar>
            <w:vAlign w:val="center"/>
          </w:tcPr>
          <w:p w14:paraId="3241D34B"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房租、水电、物业费等</w:t>
            </w:r>
          </w:p>
        </w:tc>
        <w:tc>
          <w:tcPr>
            <w:tcW w:w="1567" w:type="dxa"/>
            <w:shd w:val="clear" w:color="auto" w:fill="auto"/>
            <w:tcMar>
              <w:top w:w="0" w:type="dxa"/>
              <w:left w:w="108" w:type="dxa"/>
              <w:bottom w:w="0" w:type="dxa"/>
              <w:right w:w="108" w:type="dxa"/>
            </w:tcMar>
            <w:vAlign w:val="center"/>
          </w:tcPr>
          <w:p w14:paraId="2253B8EB"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146.03</w:t>
            </w:r>
          </w:p>
        </w:tc>
        <w:tc>
          <w:tcPr>
            <w:tcW w:w="1372" w:type="dxa"/>
            <w:shd w:val="clear" w:color="auto" w:fill="auto"/>
            <w:tcMar>
              <w:top w:w="0" w:type="dxa"/>
              <w:left w:w="108" w:type="dxa"/>
              <w:bottom w:w="0" w:type="dxa"/>
              <w:right w:w="108" w:type="dxa"/>
            </w:tcMar>
            <w:vAlign w:val="center"/>
          </w:tcPr>
          <w:p w14:paraId="00E9CC97"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438.10</w:t>
            </w:r>
          </w:p>
        </w:tc>
      </w:tr>
      <w:tr w:rsidR="006416B0" w:rsidRPr="00B4515A" w14:paraId="5B5CD5C5" w14:textId="77777777" w:rsidTr="00031627">
        <w:trPr>
          <w:trHeight w:val="340"/>
          <w:jc w:val="center"/>
        </w:trPr>
        <w:tc>
          <w:tcPr>
            <w:tcW w:w="2898" w:type="dxa"/>
            <w:shd w:val="clear" w:color="auto" w:fill="auto"/>
            <w:tcMar>
              <w:top w:w="0" w:type="dxa"/>
              <w:left w:w="108" w:type="dxa"/>
              <w:bottom w:w="0" w:type="dxa"/>
              <w:right w:w="108" w:type="dxa"/>
            </w:tcMar>
            <w:vAlign w:val="center"/>
          </w:tcPr>
          <w:p w14:paraId="3EE1840A" w14:textId="77777777" w:rsidR="006416B0" w:rsidRPr="00B4515A" w:rsidRDefault="005E58C1" w:rsidP="005860B4">
            <w:pPr>
              <w:adjustRightInd w:val="0"/>
              <w:snapToGrid w:val="0"/>
              <w:jc w:val="both"/>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电信科学技术第四研究所有限公司</w:t>
            </w:r>
          </w:p>
        </w:tc>
        <w:tc>
          <w:tcPr>
            <w:tcW w:w="2464" w:type="dxa"/>
            <w:shd w:val="clear" w:color="auto" w:fill="auto"/>
            <w:tcMar>
              <w:top w:w="0" w:type="dxa"/>
              <w:left w:w="108" w:type="dxa"/>
              <w:bottom w:w="0" w:type="dxa"/>
              <w:right w:w="108" w:type="dxa"/>
            </w:tcMar>
            <w:vAlign w:val="center"/>
          </w:tcPr>
          <w:p w14:paraId="6C9357B2" w14:textId="77777777" w:rsidR="006416B0" w:rsidRPr="00B4515A" w:rsidRDefault="005E58C1" w:rsidP="005860B4">
            <w:pPr>
              <w:adjustRightInd w:val="0"/>
              <w:snapToGrid w:val="0"/>
              <w:jc w:val="center"/>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hint="eastAsia"/>
                <w:color w:val="000000"/>
                <w:sz w:val="21"/>
                <w:szCs w:val="21"/>
              </w:rPr>
              <w:t>接受其他劳务</w:t>
            </w:r>
          </w:p>
        </w:tc>
        <w:tc>
          <w:tcPr>
            <w:tcW w:w="1567" w:type="dxa"/>
            <w:shd w:val="clear" w:color="auto" w:fill="auto"/>
            <w:tcMar>
              <w:top w:w="0" w:type="dxa"/>
              <w:left w:w="108" w:type="dxa"/>
              <w:bottom w:w="0" w:type="dxa"/>
              <w:right w:w="108" w:type="dxa"/>
            </w:tcMar>
            <w:vAlign w:val="center"/>
          </w:tcPr>
          <w:p w14:paraId="6B984AF0"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19.44</w:t>
            </w:r>
          </w:p>
        </w:tc>
        <w:tc>
          <w:tcPr>
            <w:tcW w:w="1372" w:type="dxa"/>
            <w:shd w:val="clear" w:color="auto" w:fill="auto"/>
            <w:tcMar>
              <w:top w:w="0" w:type="dxa"/>
              <w:left w:w="108" w:type="dxa"/>
              <w:bottom w:w="0" w:type="dxa"/>
              <w:right w:w="108" w:type="dxa"/>
            </w:tcMar>
            <w:vAlign w:val="center"/>
          </w:tcPr>
          <w:p w14:paraId="4C7FBC04" w14:textId="77777777" w:rsidR="006416B0" w:rsidRPr="00B4515A" w:rsidRDefault="005E58C1" w:rsidP="005860B4">
            <w:pPr>
              <w:adjustRightInd w:val="0"/>
              <w:snapToGrid w:val="0"/>
              <w:jc w:val="right"/>
              <w:rPr>
                <w:rFonts w:ascii="Times New Roman" w:eastAsiaTheme="majorEastAsia" w:hAnsi="Times New Roman" w:cs="Times New Roman"/>
                <w:color w:val="000000"/>
                <w:sz w:val="21"/>
                <w:szCs w:val="21"/>
              </w:rPr>
            </w:pPr>
            <w:r w:rsidRPr="00B4515A">
              <w:rPr>
                <w:rFonts w:ascii="Times New Roman" w:eastAsiaTheme="majorEastAsia" w:hAnsi="Times New Roman" w:cs="Times New Roman"/>
                <w:color w:val="000000"/>
                <w:sz w:val="21"/>
                <w:szCs w:val="21"/>
              </w:rPr>
              <w:t>21.10</w:t>
            </w:r>
          </w:p>
        </w:tc>
      </w:tr>
      <w:tr w:rsidR="00823E74" w:rsidRPr="00B4515A" w14:paraId="7684895E" w14:textId="77777777" w:rsidTr="00031627">
        <w:trPr>
          <w:trHeight w:val="340"/>
          <w:jc w:val="center"/>
        </w:trPr>
        <w:tc>
          <w:tcPr>
            <w:tcW w:w="2898" w:type="dxa"/>
            <w:shd w:val="clear" w:color="auto" w:fill="auto"/>
            <w:tcMar>
              <w:top w:w="0" w:type="dxa"/>
              <w:left w:w="108" w:type="dxa"/>
              <w:bottom w:w="0" w:type="dxa"/>
              <w:right w:w="108" w:type="dxa"/>
            </w:tcMar>
            <w:vAlign w:val="center"/>
          </w:tcPr>
          <w:p w14:paraId="1381CB20" w14:textId="77777777" w:rsidR="00823E74" w:rsidRPr="00B4515A" w:rsidRDefault="00823E74" w:rsidP="005860B4">
            <w:pPr>
              <w:adjustRightInd w:val="0"/>
              <w:snapToGrid w:val="0"/>
              <w:jc w:val="center"/>
              <w:rPr>
                <w:rFonts w:ascii="Times New Roman" w:eastAsiaTheme="majorEastAsia" w:hAnsi="Times New Roman" w:cs="Times New Roman"/>
                <w:b/>
                <w:bCs/>
                <w:color w:val="000000"/>
                <w:sz w:val="21"/>
                <w:szCs w:val="21"/>
              </w:rPr>
            </w:pPr>
            <w:r w:rsidRPr="00B4515A">
              <w:rPr>
                <w:rFonts w:ascii="Times New Roman" w:eastAsiaTheme="majorEastAsia" w:hAnsi="Times New Roman" w:cs="Times New Roman" w:hint="eastAsia"/>
                <w:b/>
                <w:bCs/>
                <w:color w:val="000000"/>
                <w:sz w:val="21"/>
                <w:szCs w:val="21"/>
              </w:rPr>
              <w:t>合计</w:t>
            </w:r>
          </w:p>
        </w:tc>
        <w:tc>
          <w:tcPr>
            <w:tcW w:w="2464" w:type="dxa"/>
            <w:shd w:val="clear" w:color="auto" w:fill="auto"/>
            <w:tcMar>
              <w:top w:w="0" w:type="dxa"/>
              <w:left w:w="108" w:type="dxa"/>
              <w:bottom w:w="0" w:type="dxa"/>
              <w:right w:w="108" w:type="dxa"/>
            </w:tcMar>
            <w:vAlign w:val="center"/>
          </w:tcPr>
          <w:p w14:paraId="755A34F5" w14:textId="77777777" w:rsidR="00823E74" w:rsidRPr="00B4515A" w:rsidRDefault="00823E74" w:rsidP="005860B4">
            <w:pPr>
              <w:adjustRightInd w:val="0"/>
              <w:snapToGrid w:val="0"/>
              <w:rPr>
                <w:rFonts w:ascii="Times New Roman" w:eastAsiaTheme="majorEastAsia" w:hAnsi="Times New Roman" w:cs="Times New Roman"/>
                <w:b/>
                <w:bCs/>
                <w:color w:val="000000"/>
                <w:sz w:val="21"/>
                <w:szCs w:val="21"/>
              </w:rPr>
            </w:pPr>
            <w:r w:rsidRPr="00B4515A">
              <w:rPr>
                <w:rFonts w:ascii="Times New Roman" w:eastAsiaTheme="majorEastAsia" w:hAnsi="Times New Roman" w:cs="Times New Roman" w:hint="eastAsia"/>
                <w:b/>
                <w:bCs/>
                <w:color w:val="000000"/>
                <w:sz w:val="21"/>
                <w:szCs w:val="21"/>
              </w:rPr>
              <w:t xml:space="preserve">　</w:t>
            </w:r>
          </w:p>
        </w:tc>
        <w:tc>
          <w:tcPr>
            <w:tcW w:w="1567" w:type="dxa"/>
            <w:shd w:val="clear" w:color="auto" w:fill="auto"/>
            <w:tcMar>
              <w:top w:w="0" w:type="dxa"/>
              <w:left w:w="108" w:type="dxa"/>
              <w:bottom w:w="0" w:type="dxa"/>
              <w:right w:w="108" w:type="dxa"/>
            </w:tcMar>
            <w:vAlign w:val="center"/>
          </w:tcPr>
          <w:p w14:paraId="20AE8CE6" w14:textId="15B7C0A2" w:rsidR="00823E74" w:rsidRPr="00B4515A" w:rsidRDefault="00823E74" w:rsidP="005860B4">
            <w:pPr>
              <w:adjustRightInd w:val="0"/>
              <w:snapToGrid w:val="0"/>
              <w:jc w:val="right"/>
              <w:rPr>
                <w:rFonts w:ascii="Times New Roman" w:eastAsiaTheme="majorEastAsia" w:hAnsi="Times New Roman" w:cs="Times New Roman"/>
                <w:b/>
                <w:bCs/>
                <w:color w:val="000000"/>
                <w:sz w:val="21"/>
                <w:szCs w:val="21"/>
              </w:rPr>
            </w:pPr>
            <w:r w:rsidRPr="00B4515A">
              <w:rPr>
                <w:rFonts w:ascii="Times New Roman" w:eastAsiaTheme="majorEastAsia" w:hAnsi="Times New Roman" w:cs="Times New Roman"/>
                <w:b/>
                <w:bCs/>
                <w:color w:val="000000"/>
                <w:sz w:val="21"/>
                <w:szCs w:val="21"/>
              </w:rPr>
              <w:t>587.88</w:t>
            </w:r>
          </w:p>
        </w:tc>
        <w:tc>
          <w:tcPr>
            <w:tcW w:w="1372" w:type="dxa"/>
            <w:shd w:val="clear" w:color="auto" w:fill="auto"/>
            <w:tcMar>
              <w:top w:w="0" w:type="dxa"/>
              <w:left w:w="108" w:type="dxa"/>
              <w:bottom w:w="0" w:type="dxa"/>
              <w:right w:w="108" w:type="dxa"/>
            </w:tcMar>
            <w:vAlign w:val="center"/>
          </w:tcPr>
          <w:p w14:paraId="63600AA0" w14:textId="4565C87D" w:rsidR="00823E74" w:rsidRPr="00B4515A" w:rsidRDefault="00823E74" w:rsidP="005860B4">
            <w:pPr>
              <w:adjustRightInd w:val="0"/>
              <w:snapToGrid w:val="0"/>
              <w:jc w:val="right"/>
              <w:rPr>
                <w:rFonts w:ascii="Times New Roman" w:eastAsiaTheme="majorEastAsia" w:hAnsi="Times New Roman" w:cs="Times New Roman"/>
                <w:b/>
                <w:bCs/>
                <w:color w:val="000000"/>
                <w:sz w:val="21"/>
                <w:szCs w:val="21"/>
              </w:rPr>
            </w:pPr>
            <w:r w:rsidRPr="00B4515A">
              <w:rPr>
                <w:rFonts w:ascii="Times New Roman" w:eastAsiaTheme="majorEastAsia" w:hAnsi="Times New Roman" w:cs="Times New Roman"/>
                <w:b/>
                <w:bCs/>
                <w:color w:val="000000"/>
                <w:sz w:val="21"/>
                <w:szCs w:val="21"/>
              </w:rPr>
              <w:t>2,012.37</w:t>
            </w:r>
          </w:p>
        </w:tc>
      </w:tr>
    </w:tbl>
    <w:p w14:paraId="5596D4E8" w14:textId="77777777" w:rsidR="006416B0" w:rsidRPr="00B4515A" w:rsidRDefault="005E58C1" w:rsidP="006100BC">
      <w:pPr>
        <w:pStyle w:val="003"/>
        <w:spacing w:before="120"/>
        <w:ind w:firstLine="482"/>
      </w:pPr>
      <w:r w:rsidRPr="00B4515A">
        <w:t>（</w:t>
      </w:r>
      <w:r w:rsidRPr="00B4515A">
        <w:rPr>
          <w:rFonts w:hint="eastAsia"/>
        </w:rPr>
        <w:t>三</w:t>
      </w:r>
      <w:r w:rsidRPr="00B4515A">
        <w:t>）本次交易</w:t>
      </w:r>
      <w:r w:rsidRPr="00B4515A">
        <w:rPr>
          <w:rFonts w:hint="eastAsia"/>
        </w:rPr>
        <w:t>完成</w:t>
      </w:r>
      <w:r w:rsidRPr="00B4515A">
        <w:t>后上市公司关联</w:t>
      </w:r>
      <w:r w:rsidRPr="00B4515A">
        <w:rPr>
          <w:rFonts w:hint="eastAsia"/>
        </w:rPr>
        <w:t>方应收应付款项</w:t>
      </w:r>
      <w:r w:rsidRPr="00B4515A">
        <w:t>情况</w:t>
      </w:r>
    </w:p>
    <w:p w14:paraId="1672A891" w14:textId="6FB0D7F4" w:rsidR="006416B0" w:rsidRPr="00B4515A" w:rsidRDefault="005E58C1" w:rsidP="006100BC">
      <w:pPr>
        <w:pStyle w:val="004"/>
        <w:spacing w:before="120" w:after="120"/>
        <w:ind w:firstLine="482"/>
      </w:pPr>
      <w:r w:rsidRPr="00B4515A">
        <w:t>1</w:t>
      </w:r>
      <w:r w:rsidRPr="00B4515A">
        <w:rPr>
          <w:rFonts w:hint="eastAsia"/>
        </w:rPr>
        <w:t>、</w:t>
      </w:r>
      <w:r w:rsidRPr="00B4515A">
        <w:t>本次交易</w:t>
      </w:r>
      <w:r w:rsidRPr="00B4515A">
        <w:rPr>
          <w:rFonts w:hint="eastAsia"/>
        </w:rPr>
        <w:t>完成</w:t>
      </w:r>
      <w:r w:rsidRPr="00B4515A">
        <w:t>后上市公司关联</w:t>
      </w:r>
      <w:r w:rsidRPr="00B4515A">
        <w:rPr>
          <w:rFonts w:hint="eastAsia"/>
        </w:rPr>
        <w:t>方应收款项</w:t>
      </w:r>
      <w:r w:rsidRPr="00B4515A">
        <w:t>情况</w:t>
      </w:r>
    </w:p>
    <w:p w14:paraId="6E5995D0" w14:textId="79112F13" w:rsidR="007A0EFF" w:rsidRPr="00B4515A" w:rsidRDefault="00D44516" w:rsidP="006100BC">
      <w:pPr>
        <w:pStyle w:val="009"/>
      </w:pPr>
      <w:r w:rsidRPr="00B4515A">
        <w:t>单位：万元</w:t>
      </w:r>
    </w:p>
    <w:tbl>
      <w:tblPr>
        <w:tblW w:w="513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4"/>
        <w:gridCol w:w="3497"/>
        <w:gridCol w:w="1123"/>
        <w:gridCol w:w="1120"/>
        <w:gridCol w:w="1179"/>
        <w:gridCol w:w="1170"/>
      </w:tblGrid>
      <w:tr w:rsidR="006416B0" w:rsidRPr="00B4515A" w14:paraId="36F749A9" w14:textId="77777777" w:rsidTr="00377920">
        <w:trPr>
          <w:trHeight w:val="340"/>
          <w:tblHeader/>
          <w:jc w:val="center"/>
        </w:trPr>
        <w:tc>
          <w:tcPr>
            <w:tcW w:w="674" w:type="dxa"/>
            <w:vMerge w:val="restart"/>
            <w:shd w:val="clear" w:color="auto" w:fill="auto"/>
            <w:tcMar>
              <w:top w:w="0" w:type="dxa"/>
              <w:left w:w="108" w:type="dxa"/>
              <w:bottom w:w="0" w:type="dxa"/>
              <w:right w:w="108" w:type="dxa"/>
            </w:tcMar>
            <w:vAlign w:val="center"/>
          </w:tcPr>
          <w:p w14:paraId="0E49B439" w14:textId="77777777" w:rsidR="006100BC" w:rsidRPr="00B4515A" w:rsidRDefault="005E58C1" w:rsidP="005860B4">
            <w:pPr>
              <w:adjustRightInd w:val="0"/>
              <w:snapToGrid w:val="0"/>
              <w:jc w:val="center"/>
              <w:rPr>
                <w:rFonts w:cs="Times New Roman"/>
                <w:b/>
                <w:color w:val="000000"/>
                <w:sz w:val="21"/>
                <w:szCs w:val="21"/>
              </w:rPr>
            </w:pPr>
            <w:r w:rsidRPr="00B4515A">
              <w:rPr>
                <w:rFonts w:cs="Times New Roman" w:hint="eastAsia"/>
                <w:b/>
                <w:color w:val="000000"/>
                <w:sz w:val="21"/>
                <w:szCs w:val="21"/>
              </w:rPr>
              <w:t>项目</w:t>
            </w:r>
          </w:p>
          <w:p w14:paraId="47B985D0" w14:textId="3C93AAA6"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名称</w:t>
            </w:r>
          </w:p>
        </w:tc>
        <w:tc>
          <w:tcPr>
            <w:tcW w:w="3497" w:type="dxa"/>
            <w:vMerge w:val="restart"/>
            <w:shd w:val="clear" w:color="auto" w:fill="auto"/>
            <w:tcMar>
              <w:top w:w="0" w:type="dxa"/>
              <w:left w:w="108" w:type="dxa"/>
              <w:bottom w:w="0" w:type="dxa"/>
              <w:right w:w="108" w:type="dxa"/>
            </w:tcMar>
            <w:vAlign w:val="center"/>
          </w:tcPr>
          <w:p w14:paraId="334F4CD0"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关联方</w:t>
            </w:r>
          </w:p>
        </w:tc>
        <w:tc>
          <w:tcPr>
            <w:tcW w:w="2243" w:type="dxa"/>
            <w:gridSpan w:val="2"/>
            <w:shd w:val="clear" w:color="auto" w:fill="auto"/>
            <w:tcMar>
              <w:top w:w="0" w:type="dxa"/>
              <w:left w:w="108" w:type="dxa"/>
              <w:bottom w:w="0" w:type="dxa"/>
              <w:right w:w="108" w:type="dxa"/>
            </w:tcMar>
            <w:vAlign w:val="center"/>
          </w:tcPr>
          <w:p w14:paraId="04428FA6"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2021.4.30</w:t>
            </w:r>
          </w:p>
        </w:tc>
        <w:tc>
          <w:tcPr>
            <w:tcW w:w="2349" w:type="dxa"/>
            <w:gridSpan w:val="2"/>
            <w:shd w:val="clear" w:color="auto" w:fill="auto"/>
            <w:tcMar>
              <w:top w:w="0" w:type="dxa"/>
              <w:left w:w="108" w:type="dxa"/>
              <w:bottom w:w="0" w:type="dxa"/>
              <w:right w:w="108" w:type="dxa"/>
            </w:tcMar>
            <w:vAlign w:val="center"/>
          </w:tcPr>
          <w:p w14:paraId="088D7CBE"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2020.12.31</w:t>
            </w:r>
          </w:p>
        </w:tc>
      </w:tr>
      <w:tr w:rsidR="006416B0" w:rsidRPr="00B4515A" w14:paraId="0BACFF73" w14:textId="77777777" w:rsidTr="00377920">
        <w:trPr>
          <w:trHeight w:val="340"/>
          <w:tblHeader/>
          <w:jc w:val="center"/>
        </w:trPr>
        <w:tc>
          <w:tcPr>
            <w:tcW w:w="674" w:type="dxa"/>
            <w:vMerge/>
            <w:tcMar>
              <w:top w:w="0" w:type="dxa"/>
              <w:left w:w="108" w:type="dxa"/>
              <w:bottom w:w="0" w:type="dxa"/>
              <w:right w:w="108" w:type="dxa"/>
            </w:tcMar>
            <w:vAlign w:val="center"/>
          </w:tcPr>
          <w:p w14:paraId="47D19A8E" w14:textId="77777777" w:rsidR="006416B0" w:rsidRPr="00B4515A" w:rsidRDefault="006416B0" w:rsidP="005860B4">
            <w:pPr>
              <w:adjustRightInd w:val="0"/>
              <w:snapToGrid w:val="0"/>
              <w:rPr>
                <w:rFonts w:ascii="Times New Roman" w:hAnsi="Times New Roman" w:cs="Times New Roman"/>
                <w:b/>
                <w:color w:val="000000"/>
                <w:sz w:val="21"/>
                <w:szCs w:val="21"/>
              </w:rPr>
            </w:pPr>
          </w:p>
        </w:tc>
        <w:tc>
          <w:tcPr>
            <w:tcW w:w="3497" w:type="dxa"/>
            <w:vMerge/>
            <w:tcMar>
              <w:top w:w="0" w:type="dxa"/>
              <w:left w:w="108" w:type="dxa"/>
              <w:bottom w:w="0" w:type="dxa"/>
              <w:right w:w="108" w:type="dxa"/>
            </w:tcMar>
            <w:vAlign w:val="center"/>
          </w:tcPr>
          <w:p w14:paraId="4F232256" w14:textId="77777777" w:rsidR="006416B0" w:rsidRPr="00B4515A" w:rsidRDefault="006416B0" w:rsidP="005860B4">
            <w:pPr>
              <w:adjustRightInd w:val="0"/>
              <w:snapToGrid w:val="0"/>
              <w:rPr>
                <w:rFonts w:ascii="Times New Roman" w:hAnsi="Times New Roman" w:cs="Times New Roman"/>
                <w:b/>
                <w:color w:val="000000"/>
                <w:sz w:val="21"/>
                <w:szCs w:val="21"/>
              </w:rPr>
            </w:pPr>
          </w:p>
        </w:tc>
        <w:tc>
          <w:tcPr>
            <w:tcW w:w="1123" w:type="dxa"/>
            <w:shd w:val="clear" w:color="auto" w:fill="auto"/>
            <w:tcMar>
              <w:top w:w="0" w:type="dxa"/>
              <w:left w:w="108" w:type="dxa"/>
              <w:bottom w:w="0" w:type="dxa"/>
              <w:right w:w="108" w:type="dxa"/>
            </w:tcMar>
            <w:vAlign w:val="center"/>
          </w:tcPr>
          <w:p w14:paraId="11E91489"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账面余额</w:t>
            </w:r>
          </w:p>
        </w:tc>
        <w:tc>
          <w:tcPr>
            <w:tcW w:w="1120" w:type="dxa"/>
            <w:shd w:val="clear" w:color="auto" w:fill="auto"/>
            <w:tcMar>
              <w:top w:w="0" w:type="dxa"/>
              <w:left w:w="108" w:type="dxa"/>
              <w:bottom w:w="0" w:type="dxa"/>
              <w:right w:w="108" w:type="dxa"/>
            </w:tcMar>
            <w:vAlign w:val="center"/>
          </w:tcPr>
          <w:p w14:paraId="35C596B3"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坏账准备</w:t>
            </w:r>
          </w:p>
        </w:tc>
        <w:tc>
          <w:tcPr>
            <w:tcW w:w="1179" w:type="dxa"/>
            <w:shd w:val="clear" w:color="auto" w:fill="auto"/>
            <w:tcMar>
              <w:top w:w="0" w:type="dxa"/>
              <w:left w:w="108" w:type="dxa"/>
              <w:bottom w:w="0" w:type="dxa"/>
              <w:right w:w="108" w:type="dxa"/>
            </w:tcMar>
            <w:vAlign w:val="center"/>
          </w:tcPr>
          <w:p w14:paraId="78331D14"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账面余额</w:t>
            </w:r>
          </w:p>
        </w:tc>
        <w:tc>
          <w:tcPr>
            <w:tcW w:w="1170" w:type="dxa"/>
            <w:shd w:val="clear" w:color="auto" w:fill="auto"/>
            <w:tcMar>
              <w:top w:w="0" w:type="dxa"/>
              <w:left w:w="108" w:type="dxa"/>
              <w:bottom w:w="0" w:type="dxa"/>
              <w:right w:w="108" w:type="dxa"/>
            </w:tcMar>
            <w:vAlign w:val="center"/>
          </w:tcPr>
          <w:p w14:paraId="5BEF701D"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坏账准备</w:t>
            </w:r>
          </w:p>
        </w:tc>
      </w:tr>
      <w:tr w:rsidR="003C2245" w:rsidRPr="00B4515A" w14:paraId="27B979EB" w14:textId="77777777" w:rsidTr="00377920">
        <w:trPr>
          <w:trHeight w:val="340"/>
          <w:jc w:val="center"/>
        </w:trPr>
        <w:tc>
          <w:tcPr>
            <w:tcW w:w="674" w:type="dxa"/>
            <w:shd w:val="clear" w:color="auto" w:fill="auto"/>
            <w:tcMar>
              <w:top w:w="0" w:type="dxa"/>
              <w:left w:w="108" w:type="dxa"/>
              <w:bottom w:w="0" w:type="dxa"/>
              <w:right w:w="108" w:type="dxa"/>
            </w:tcMar>
            <w:vAlign w:val="center"/>
          </w:tcPr>
          <w:p w14:paraId="3D21541E" w14:textId="1E8ECFFC" w:rsidR="003C2245" w:rsidRPr="00B4515A" w:rsidRDefault="003C2245" w:rsidP="005860B4">
            <w:pPr>
              <w:adjustRightInd w:val="0"/>
              <w:snapToGrid w:val="0"/>
              <w:rPr>
                <w:rFonts w:ascii="Times New Roman" w:hAnsi="Times New Roman" w:cs="Times New Roman"/>
                <w:color w:val="000000"/>
                <w:sz w:val="21"/>
                <w:szCs w:val="21"/>
              </w:rPr>
            </w:pPr>
            <w:r w:rsidRPr="00B4515A">
              <w:rPr>
                <w:rFonts w:cs="Times New Roman"/>
                <w:color w:val="000000"/>
                <w:sz w:val="21"/>
                <w:szCs w:val="21"/>
              </w:rPr>
              <w:t>应收账款</w:t>
            </w:r>
          </w:p>
        </w:tc>
        <w:tc>
          <w:tcPr>
            <w:tcW w:w="3497" w:type="dxa"/>
            <w:shd w:val="clear" w:color="auto" w:fill="auto"/>
            <w:tcMar>
              <w:top w:w="0" w:type="dxa"/>
              <w:left w:w="108" w:type="dxa"/>
              <w:bottom w:w="0" w:type="dxa"/>
              <w:right w:w="108" w:type="dxa"/>
            </w:tcMar>
            <w:vAlign w:val="center"/>
          </w:tcPr>
          <w:p w14:paraId="42A4C4C3" w14:textId="77777777" w:rsidR="003C2245" w:rsidRPr="00B4515A" w:rsidRDefault="003C2245" w:rsidP="005860B4">
            <w:pPr>
              <w:adjustRightInd w:val="0"/>
              <w:snapToGrid w:val="0"/>
              <w:rPr>
                <w:rFonts w:cs="Times New Roman"/>
                <w:color w:val="000000"/>
                <w:sz w:val="21"/>
                <w:szCs w:val="21"/>
              </w:rPr>
            </w:pPr>
          </w:p>
        </w:tc>
        <w:tc>
          <w:tcPr>
            <w:tcW w:w="1123" w:type="dxa"/>
            <w:shd w:val="clear" w:color="auto" w:fill="auto"/>
            <w:tcMar>
              <w:top w:w="0" w:type="dxa"/>
              <w:left w:w="108" w:type="dxa"/>
              <w:bottom w:w="0" w:type="dxa"/>
              <w:right w:w="108" w:type="dxa"/>
            </w:tcMar>
            <w:vAlign w:val="center"/>
          </w:tcPr>
          <w:p w14:paraId="461D39B7" w14:textId="77777777" w:rsidR="003C2245" w:rsidRPr="00B4515A" w:rsidRDefault="003C2245" w:rsidP="005860B4">
            <w:pPr>
              <w:adjustRightInd w:val="0"/>
              <w:snapToGrid w:val="0"/>
              <w:jc w:val="right"/>
              <w:rPr>
                <w:rFonts w:ascii="Times New Roman" w:hAnsi="Times New Roman" w:cs="Times New Roman"/>
                <w:color w:val="000000"/>
                <w:sz w:val="21"/>
                <w:szCs w:val="21"/>
              </w:rPr>
            </w:pPr>
          </w:p>
        </w:tc>
        <w:tc>
          <w:tcPr>
            <w:tcW w:w="1120" w:type="dxa"/>
            <w:shd w:val="clear" w:color="auto" w:fill="auto"/>
            <w:tcMar>
              <w:top w:w="0" w:type="dxa"/>
              <w:left w:w="108" w:type="dxa"/>
              <w:bottom w:w="0" w:type="dxa"/>
              <w:right w:w="108" w:type="dxa"/>
            </w:tcMar>
            <w:vAlign w:val="center"/>
          </w:tcPr>
          <w:p w14:paraId="6A3C0941" w14:textId="77777777" w:rsidR="003C2245" w:rsidRPr="00B4515A" w:rsidRDefault="003C2245" w:rsidP="005860B4">
            <w:pPr>
              <w:adjustRightInd w:val="0"/>
              <w:snapToGrid w:val="0"/>
              <w:jc w:val="right"/>
              <w:rPr>
                <w:rFonts w:ascii="Times New Roman" w:hAnsi="Times New Roman" w:cs="Times New Roman"/>
                <w:color w:val="000000"/>
                <w:sz w:val="21"/>
                <w:szCs w:val="21"/>
              </w:rPr>
            </w:pPr>
          </w:p>
        </w:tc>
        <w:tc>
          <w:tcPr>
            <w:tcW w:w="1179" w:type="dxa"/>
            <w:shd w:val="clear" w:color="auto" w:fill="auto"/>
            <w:tcMar>
              <w:top w:w="0" w:type="dxa"/>
              <w:left w:w="108" w:type="dxa"/>
              <w:bottom w:w="0" w:type="dxa"/>
              <w:right w:w="108" w:type="dxa"/>
            </w:tcMar>
            <w:vAlign w:val="center"/>
          </w:tcPr>
          <w:p w14:paraId="1C3BF269" w14:textId="77777777" w:rsidR="003C2245" w:rsidRPr="00B4515A" w:rsidRDefault="003C2245" w:rsidP="005860B4">
            <w:pPr>
              <w:adjustRightInd w:val="0"/>
              <w:snapToGrid w:val="0"/>
              <w:jc w:val="right"/>
              <w:rPr>
                <w:rFonts w:ascii="Times New Roman" w:hAnsi="Times New Roman" w:cs="Times New Roman"/>
                <w:color w:val="000000"/>
                <w:sz w:val="21"/>
                <w:szCs w:val="21"/>
              </w:rPr>
            </w:pPr>
          </w:p>
        </w:tc>
        <w:tc>
          <w:tcPr>
            <w:tcW w:w="1170" w:type="dxa"/>
            <w:shd w:val="clear" w:color="auto" w:fill="auto"/>
            <w:tcMar>
              <w:top w:w="0" w:type="dxa"/>
              <w:left w:w="108" w:type="dxa"/>
              <w:bottom w:w="0" w:type="dxa"/>
              <w:right w:w="108" w:type="dxa"/>
            </w:tcMar>
            <w:vAlign w:val="center"/>
          </w:tcPr>
          <w:p w14:paraId="42CF59EC" w14:textId="77777777" w:rsidR="003C2245" w:rsidRPr="00B4515A" w:rsidRDefault="003C2245" w:rsidP="005860B4">
            <w:pPr>
              <w:adjustRightInd w:val="0"/>
              <w:snapToGrid w:val="0"/>
              <w:jc w:val="right"/>
              <w:rPr>
                <w:rFonts w:ascii="Times New Roman" w:hAnsi="Times New Roman" w:cs="Times New Roman"/>
                <w:color w:val="000000"/>
                <w:sz w:val="21"/>
                <w:szCs w:val="21"/>
              </w:rPr>
            </w:pPr>
          </w:p>
        </w:tc>
      </w:tr>
      <w:tr w:rsidR="008E35D7" w:rsidRPr="00B4515A" w14:paraId="7CBC7571" w14:textId="77777777" w:rsidTr="00377920">
        <w:trPr>
          <w:trHeight w:val="340"/>
          <w:jc w:val="center"/>
        </w:trPr>
        <w:tc>
          <w:tcPr>
            <w:tcW w:w="674" w:type="dxa"/>
            <w:shd w:val="clear" w:color="auto" w:fill="auto"/>
            <w:tcMar>
              <w:top w:w="0" w:type="dxa"/>
              <w:left w:w="108" w:type="dxa"/>
              <w:bottom w:w="0" w:type="dxa"/>
              <w:right w:w="108" w:type="dxa"/>
            </w:tcMar>
            <w:vAlign w:val="center"/>
          </w:tcPr>
          <w:p w14:paraId="06D09C5F" w14:textId="77777777" w:rsidR="008E35D7" w:rsidRPr="00B4515A" w:rsidRDefault="008E35D7"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0C0BA7D4" w14:textId="77777777" w:rsidR="008E35D7" w:rsidRPr="00B4515A" w:rsidRDefault="008E35D7"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宸芯科技有限公司</w:t>
            </w:r>
          </w:p>
        </w:tc>
        <w:tc>
          <w:tcPr>
            <w:tcW w:w="1123" w:type="dxa"/>
            <w:shd w:val="clear" w:color="auto" w:fill="auto"/>
            <w:tcMar>
              <w:top w:w="0" w:type="dxa"/>
              <w:left w:w="108" w:type="dxa"/>
              <w:bottom w:w="0" w:type="dxa"/>
              <w:right w:w="108" w:type="dxa"/>
            </w:tcMar>
            <w:vAlign w:val="center"/>
          </w:tcPr>
          <w:p w14:paraId="36323626" w14:textId="406C06A7" w:rsidR="008E35D7" w:rsidRPr="00B4515A" w:rsidRDefault="008E35D7"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r w:rsidRPr="00B4515A">
              <w:rPr>
                <w:rFonts w:ascii="Times New Roman" w:hAnsi="Times New Roman" w:cs="Times New Roman" w:hint="eastAsia"/>
                <w:color w:val="000000"/>
                <w:sz w:val="21"/>
                <w:szCs w:val="21"/>
              </w:rPr>
              <w:t>129.56</w:t>
            </w:r>
          </w:p>
        </w:tc>
        <w:tc>
          <w:tcPr>
            <w:tcW w:w="1120" w:type="dxa"/>
            <w:shd w:val="clear" w:color="auto" w:fill="auto"/>
            <w:tcMar>
              <w:top w:w="0" w:type="dxa"/>
              <w:left w:w="108" w:type="dxa"/>
              <w:bottom w:w="0" w:type="dxa"/>
              <w:right w:w="108" w:type="dxa"/>
            </w:tcMar>
            <w:vAlign w:val="center"/>
          </w:tcPr>
          <w:p w14:paraId="3F542A3E" w14:textId="6322A846" w:rsidR="008E35D7" w:rsidRPr="00B4515A" w:rsidRDefault="008E35D7"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r w:rsidRPr="00B4515A">
              <w:rPr>
                <w:rFonts w:ascii="Times New Roman" w:hAnsi="Times New Roman" w:cs="Times New Roman" w:hint="eastAsia"/>
                <w:color w:val="000000"/>
                <w:sz w:val="21"/>
                <w:szCs w:val="21"/>
              </w:rPr>
              <w:t>0.65</w:t>
            </w:r>
          </w:p>
        </w:tc>
        <w:tc>
          <w:tcPr>
            <w:tcW w:w="1179" w:type="dxa"/>
            <w:shd w:val="clear" w:color="auto" w:fill="auto"/>
            <w:tcMar>
              <w:top w:w="0" w:type="dxa"/>
              <w:left w:w="108" w:type="dxa"/>
              <w:bottom w:w="0" w:type="dxa"/>
              <w:right w:w="108" w:type="dxa"/>
            </w:tcMar>
            <w:vAlign w:val="center"/>
          </w:tcPr>
          <w:p w14:paraId="1AE56F95" w14:textId="075D2EBB" w:rsidR="008E35D7" w:rsidRPr="00B4515A" w:rsidRDefault="008E35D7"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r w:rsidRPr="00B4515A">
              <w:rPr>
                <w:rFonts w:ascii="Times New Roman" w:hAnsi="Times New Roman" w:cs="Times New Roman" w:hint="eastAsia"/>
                <w:color w:val="000000"/>
                <w:sz w:val="21"/>
                <w:szCs w:val="21"/>
              </w:rPr>
              <w:t>-</w:t>
            </w:r>
          </w:p>
        </w:tc>
        <w:tc>
          <w:tcPr>
            <w:tcW w:w="1170" w:type="dxa"/>
            <w:shd w:val="clear" w:color="auto" w:fill="auto"/>
            <w:tcMar>
              <w:top w:w="0" w:type="dxa"/>
              <w:left w:w="108" w:type="dxa"/>
              <w:bottom w:w="0" w:type="dxa"/>
              <w:right w:w="108" w:type="dxa"/>
            </w:tcMar>
            <w:vAlign w:val="center"/>
          </w:tcPr>
          <w:p w14:paraId="6EF65F8C" w14:textId="68BEA039" w:rsidR="008E35D7" w:rsidRPr="00B4515A" w:rsidRDefault="008E35D7"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r w:rsidRPr="00B4515A">
              <w:rPr>
                <w:rFonts w:ascii="Times New Roman" w:hAnsi="Times New Roman" w:cs="Times New Roman" w:hint="eastAsia"/>
                <w:color w:val="000000"/>
                <w:sz w:val="21"/>
                <w:szCs w:val="21"/>
              </w:rPr>
              <w:t>-</w:t>
            </w:r>
          </w:p>
        </w:tc>
      </w:tr>
      <w:tr w:rsidR="006416B0" w:rsidRPr="00B4515A" w14:paraId="68A90978" w14:textId="77777777" w:rsidTr="00377920">
        <w:trPr>
          <w:trHeight w:val="340"/>
          <w:jc w:val="center"/>
        </w:trPr>
        <w:tc>
          <w:tcPr>
            <w:tcW w:w="674" w:type="dxa"/>
            <w:shd w:val="clear" w:color="auto" w:fill="auto"/>
            <w:tcMar>
              <w:top w:w="0" w:type="dxa"/>
              <w:left w:w="108" w:type="dxa"/>
              <w:bottom w:w="0" w:type="dxa"/>
              <w:right w:w="108" w:type="dxa"/>
            </w:tcMar>
            <w:vAlign w:val="center"/>
          </w:tcPr>
          <w:p w14:paraId="64F26C5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4333C61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北京大唐智能卡技术有限公司</w:t>
            </w:r>
          </w:p>
        </w:tc>
        <w:tc>
          <w:tcPr>
            <w:tcW w:w="1123" w:type="dxa"/>
            <w:shd w:val="clear" w:color="auto" w:fill="auto"/>
            <w:tcMar>
              <w:top w:w="0" w:type="dxa"/>
              <w:left w:w="108" w:type="dxa"/>
              <w:bottom w:w="0" w:type="dxa"/>
              <w:right w:w="108" w:type="dxa"/>
            </w:tcMar>
            <w:vAlign w:val="center"/>
          </w:tcPr>
          <w:p w14:paraId="34430A7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18.32</w:t>
            </w:r>
          </w:p>
        </w:tc>
        <w:tc>
          <w:tcPr>
            <w:tcW w:w="1120" w:type="dxa"/>
            <w:shd w:val="clear" w:color="auto" w:fill="auto"/>
            <w:tcMar>
              <w:top w:w="0" w:type="dxa"/>
              <w:left w:w="108" w:type="dxa"/>
              <w:bottom w:w="0" w:type="dxa"/>
              <w:right w:w="108" w:type="dxa"/>
            </w:tcMar>
            <w:vAlign w:val="center"/>
          </w:tcPr>
          <w:p w14:paraId="0AF5543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0.37</w:t>
            </w:r>
          </w:p>
        </w:tc>
        <w:tc>
          <w:tcPr>
            <w:tcW w:w="1179" w:type="dxa"/>
            <w:shd w:val="clear" w:color="auto" w:fill="auto"/>
            <w:tcMar>
              <w:top w:w="0" w:type="dxa"/>
              <w:left w:w="108" w:type="dxa"/>
              <w:bottom w:w="0" w:type="dxa"/>
              <w:right w:w="108" w:type="dxa"/>
            </w:tcMar>
            <w:vAlign w:val="center"/>
          </w:tcPr>
          <w:p w14:paraId="00ACABC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18.32</w:t>
            </w:r>
          </w:p>
        </w:tc>
        <w:tc>
          <w:tcPr>
            <w:tcW w:w="1170" w:type="dxa"/>
            <w:shd w:val="clear" w:color="auto" w:fill="auto"/>
            <w:tcMar>
              <w:top w:w="0" w:type="dxa"/>
              <w:left w:w="108" w:type="dxa"/>
              <w:bottom w:w="0" w:type="dxa"/>
              <w:right w:w="108" w:type="dxa"/>
            </w:tcMar>
            <w:vAlign w:val="center"/>
          </w:tcPr>
          <w:p w14:paraId="7B46DD6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0.09</w:t>
            </w:r>
          </w:p>
        </w:tc>
      </w:tr>
      <w:tr w:rsidR="006416B0" w:rsidRPr="00B4515A" w14:paraId="30CDD344" w14:textId="77777777" w:rsidTr="00377920">
        <w:trPr>
          <w:trHeight w:val="340"/>
          <w:jc w:val="center"/>
        </w:trPr>
        <w:tc>
          <w:tcPr>
            <w:tcW w:w="674" w:type="dxa"/>
            <w:shd w:val="clear" w:color="auto" w:fill="auto"/>
            <w:tcMar>
              <w:top w:w="0" w:type="dxa"/>
              <w:left w:w="108" w:type="dxa"/>
              <w:bottom w:w="0" w:type="dxa"/>
              <w:right w:w="108" w:type="dxa"/>
            </w:tcMar>
            <w:vAlign w:val="center"/>
          </w:tcPr>
          <w:p w14:paraId="37DD1D6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38BEE0D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电信科学技术第十研究所有限公司</w:t>
            </w:r>
          </w:p>
        </w:tc>
        <w:tc>
          <w:tcPr>
            <w:tcW w:w="1123" w:type="dxa"/>
            <w:shd w:val="clear" w:color="auto" w:fill="auto"/>
            <w:tcMar>
              <w:top w:w="0" w:type="dxa"/>
              <w:left w:w="108" w:type="dxa"/>
              <w:bottom w:w="0" w:type="dxa"/>
              <w:right w:w="108" w:type="dxa"/>
            </w:tcMar>
            <w:vAlign w:val="center"/>
          </w:tcPr>
          <w:p w14:paraId="0DC3CCA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455.39</w:t>
            </w:r>
          </w:p>
        </w:tc>
        <w:tc>
          <w:tcPr>
            <w:tcW w:w="1120" w:type="dxa"/>
            <w:shd w:val="clear" w:color="auto" w:fill="auto"/>
            <w:tcMar>
              <w:top w:w="0" w:type="dxa"/>
              <w:left w:w="108" w:type="dxa"/>
              <w:bottom w:w="0" w:type="dxa"/>
              <w:right w:w="108" w:type="dxa"/>
            </w:tcMar>
            <w:vAlign w:val="center"/>
          </w:tcPr>
          <w:p w14:paraId="2B8EFFE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455.39</w:t>
            </w:r>
          </w:p>
        </w:tc>
        <w:tc>
          <w:tcPr>
            <w:tcW w:w="1179" w:type="dxa"/>
            <w:shd w:val="clear" w:color="auto" w:fill="auto"/>
            <w:tcMar>
              <w:top w:w="0" w:type="dxa"/>
              <w:left w:w="108" w:type="dxa"/>
              <w:bottom w:w="0" w:type="dxa"/>
              <w:right w:w="108" w:type="dxa"/>
            </w:tcMar>
            <w:vAlign w:val="center"/>
          </w:tcPr>
          <w:p w14:paraId="27FB331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455.39</w:t>
            </w:r>
          </w:p>
        </w:tc>
        <w:tc>
          <w:tcPr>
            <w:tcW w:w="1170" w:type="dxa"/>
            <w:shd w:val="clear" w:color="auto" w:fill="auto"/>
            <w:tcMar>
              <w:top w:w="0" w:type="dxa"/>
              <w:left w:w="108" w:type="dxa"/>
              <w:bottom w:w="0" w:type="dxa"/>
              <w:right w:w="108" w:type="dxa"/>
            </w:tcMar>
            <w:vAlign w:val="center"/>
          </w:tcPr>
          <w:p w14:paraId="6AE3660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455.39</w:t>
            </w:r>
          </w:p>
        </w:tc>
      </w:tr>
      <w:tr w:rsidR="006416B0" w:rsidRPr="00B4515A" w14:paraId="0AD07B5F" w14:textId="77777777" w:rsidTr="00377920">
        <w:trPr>
          <w:trHeight w:val="340"/>
          <w:jc w:val="center"/>
        </w:trPr>
        <w:tc>
          <w:tcPr>
            <w:tcW w:w="674" w:type="dxa"/>
            <w:shd w:val="clear" w:color="auto" w:fill="auto"/>
            <w:tcMar>
              <w:top w:w="0" w:type="dxa"/>
              <w:left w:w="108" w:type="dxa"/>
              <w:bottom w:w="0" w:type="dxa"/>
              <w:right w:w="108" w:type="dxa"/>
            </w:tcMar>
            <w:vAlign w:val="center"/>
          </w:tcPr>
          <w:p w14:paraId="632E9E8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0E83D40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大唐高鸿数据网络技术股份有限公司</w:t>
            </w:r>
          </w:p>
        </w:tc>
        <w:tc>
          <w:tcPr>
            <w:tcW w:w="1123" w:type="dxa"/>
            <w:shd w:val="clear" w:color="auto" w:fill="auto"/>
            <w:tcMar>
              <w:top w:w="0" w:type="dxa"/>
              <w:left w:w="108" w:type="dxa"/>
              <w:bottom w:w="0" w:type="dxa"/>
              <w:right w:w="108" w:type="dxa"/>
            </w:tcMar>
            <w:vAlign w:val="center"/>
          </w:tcPr>
          <w:p w14:paraId="726981C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169.93</w:t>
            </w:r>
          </w:p>
        </w:tc>
        <w:tc>
          <w:tcPr>
            <w:tcW w:w="1120" w:type="dxa"/>
            <w:shd w:val="clear" w:color="auto" w:fill="auto"/>
            <w:tcMar>
              <w:top w:w="0" w:type="dxa"/>
              <w:left w:w="108" w:type="dxa"/>
              <w:bottom w:w="0" w:type="dxa"/>
              <w:right w:w="108" w:type="dxa"/>
            </w:tcMar>
            <w:vAlign w:val="center"/>
          </w:tcPr>
          <w:p w14:paraId="54A4B7D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93.03</w:t>
            </w:r>
          </w:p>
        </w:tc>
        <w:tc>
          <w:tcPr>
            <w:tcW w:w="1179" w:type="dxa"/>
            <w:shd w:val="clear" w:color="auto" w:fill="auto"/>
            <w:tcMar>
              <w:top w:w="0" w:type="dxa"/>
              <w:left w:w="108" w:type="dxa"/>
              <w:bottom w:w="0" w:type="dxa"/>
              <w:right w:w="108" w:type="dxa"/>
            </w:tcMar>
            <w:vAlign w:val="center"/>
          </w:tcPr>
          <w:p w14:paraId="4E2C7E9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240.06</w:t>
            </w:r>
          </w:p>
        </w:tc>
        <w:tc>
          <w:tcPr>
            <w:tcW w:w="1170" w:type="dxa"/>
            <w:shd w:val="clear" w:color="auto" w:fill="auto"/>
            <w:tcMar>
              <w:top w:w="0" w:type="dxa"/>
              <w:left w:w="108" w:type="dxa"/>
              <w:bottom w:w="0" w:type="dxa"/>
              <w:right w:w="108" w:type="dxa"/>
            </w:tcMar>
            <w:vAlign w:val="center"/>
          </w:tcPr>
          <w:p w14:paraId="1C01C43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94.52</w:t>
            </w:r>
          </w:p>
        </w:tc>
      </w:tr>
      <w:tr w:rsidR="006416B0" w:rsidRPr="00B4515A" w14:paraId="30C8DAEE" w14:textId="77777777" w:rsidTr="00377920">
        <w:trPr>
          <w:trHeight w:val="340"/>
          <w:jc w:val="center"/>
        </w:trPr>
        <w:tc>
          <w:tcPr>
            <w:tcW w:w="674" w:type="dxa"/>
            <w:shd w:val="clear" w:color="auto" w:fill="auto"/>
            <w:tcMar>
              <w:top w:w="0" w:type="dxa"/>
              <w:left w:w="108" w:type="dxa"/>
              <w:bottom w:w="0" w:type="dxa"/>
              <w:right w:w="108" w:type="dxa"/>
            </w:tcMar>
            <w:vAlign w:val="center"/>
          </w:tcPr>
          <w:p w14:paraId="7B19B0B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239E62E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大唐移动通信设备有限公司</w:t>
            </w:r>
          </w:p>
        </w:tc>
        <w:tc>
          <w:tcPr>
            <w:tcW w:w="1123" w:type="dxa"/>
            <w:shd w:val="clear" w:color="auto" w:fill="auto"/>
            <w:tcMar>
              <w:top w:w="0" w:type="dxa"/>
              <w:left w:w="108" w:type="dxa"/>
              <w:bottom w:w="0" w:type="dxa"/>
              <w:right w:w="108" w:type="dxa"/>
            </w:tcMar>
            <w:vAlign w:val="center"/>
          </w:tcPr>
          <w:p w14:paraId="0E4632A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247.04</w:t>
            </w:r>
          </w:p>
        </w:tc>
        <w:tc>
          <w:tcPr>
            <w:tcW w:w="1120" w:type="dxa"/>
            <w:shd w:val="clear" w:color="auto" w:fill="auto"/>
            <w:tcMar>
              <w:top w:w="0" w:type="dxa"/>
              <w:left w:w="108" w:type="dxa"/>
              <w:bottom w:w="0" w:type="dxa"/>
              <w:right w:w="108" w:type="dxa"/>
            </w:tcMar>
            <w:vAlign w:val="center"/>
          </w:tcPr>
          <w:p w14:paraId="36131E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238.22</w:t>
            </w:r>
          </w:p>
        </w:tc>
        <w:tc>
          <w:tcPr>
            <w:tcW w:w="1179" w:type="dxa"/>
            <w:shd w:val="clear" w:color="auto" w:fill="auto"/>
            <w:tcMar>
              <w:top w:w="0" w:type="dxa"/>
              <w:left w:w="108" w:type="dxa"/>
              <w:bottom w:w="0" w:type="dxa"/>
              <w:right w:w="108" w:type="dxa"/>
            </w:tcMar>
            <w:vAlign w:val="center"/>
          </w:tcPr>
          <w:p w14:paraId="1684B29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247.26</w:t>
            </w:r>
          </w:p>
        </w:tc>
        <w:tc>
          <w:tcPr>
            <w:tcW w:w="1170" w:type="dxa"/>
            <w:shd w:val="clear" w:color="auto" w:fill="auto"/>
            <w:tcMar>
              <w:top w:w="0" w:type="dxa"/>
              <w:left w:w="108" w:type="dxa"/>
              <w:bottom w:w="0" w:type="dxa"/>
              <w:right w:w="108" w:type="dxa"/>
            </w:tcMar>
            <w:vAlign w:val="center"/>
          </w:tcPr>
          <w:p w14:paraId="7BC432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238.22</w:t>
            </w:r>
          </w:p>
        </w:tc>
      </w:tr>
      <w:tr w:rsidR="006416B0" w:rsidRPr="00B4515A" w14:paraId="480141EE" w14:textId="77777777" w:rsidTr="00377920">
        <w:trPr>
          <w:trHeight w:val="340"/>
          <w:jc w:val="center"/>
        </w:trPr>
        <w:tc>
          <w:tcPr>
            <w:tcW w:w="674" w:type="dxa"/>
            <w:shd w:val="clear" w:color="auto" w:fill="auto"/>
            <w:tcMar>
              <w:top w:w="0" w:type="dxa"/>
              <w:left w:w="108" w:type="dxa"/>
              <w:bottom w:w="0" w:type="dxa"/>
              <w:right w:w="108" w:type="dxa"/>
            </w:tcMar>
            <w:vAlign w:val="center"/>
          </w:tcPr>
          <w:p w14:paraId="2483A4E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695A97A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电信科学技术第四研究所有限公司</w:t>
            </w:r>
          </w:p>
        </w:tc>
        <w:tc>
          <w:tcPr>
            <w:tcW w:w="1123" w:type="dxa"/>
            <w:shd w:val="clear" w:color="auto" w:fill="auto"/>
            <w:tcMar>
              <w:top w:w="0" w:type="dxa"/>
              <w:left w:w="108" w:type="dxa"/>
              <w:bottom w:w="0" w:type="dxa"/>
              <w:right w:w="108" w:type="dxa"/>
            </w:tcMar>
            <w:vAlign w:val="center"/>
          </w:tcPr>
          <w:p w14:paraId="537891B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44.34</w:t>
            </w:r>
          </w:p>
        </w:tc>
        <w:tc>
          <w:tcPr>
            <w:tcW w:w="1120" w:type="dxa"/>
            <w:shd w:val="clear" w:color="auto" w:fill="auto"/>
            <w:tcMar>
              <w:top w:w="0" w:type="dxa"/>
              <w:left w:w="108" w:type="dxa"/>
              <w:bottom w:w="0" w:type="dxa"/>
              <w:right w:w="108" w:type="dxa"/>
            </w:tcMar>
            <w:vAlign w:val="center"/>
          </w:tcPr>
          <w:p w14:paraId="537A441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44.34</w:t>
            </w:r>
          </w:p>
        </w:tc>
        <w:tc>
          <w:tcPr>
            <w:tcW w:w="1179" w:type="dxa"/>
            <w:shd w:val="clear" w:color="auto" w:fill="auto"/>
            <w:tcMar>
              <w:top w:w="0" w:type="dxa"/>
              <w:left w:w="108" w:type="dxa"/>
              <w:bottom w:w="0" w:type="dxa"/>
              <w:right w:w="108" w:type="dxa"/>
            </w:tcMar>
            <w:vAlign w:val="center"/>
          </w:tcPr>
          <w:p w14:paraId="1491F0F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44.34</w:t>
            </w:r>
          </w:p>
        </w:tc>
        <w:tc>
          <w:tcPr>
            <w:tcW w:w="1170" w:type="dxa"/>
            <w:shd w:val="clear" w:color="auto" w:fill="auto"/>
            <w:tcMar>
              <w:top w:w="0" w:type="dxa"/>
              <w:left w:w="108" w:type="dxa"/>
              <w:bottom w:w="0" w:type="dxa"/>
              <w:right w:w="108" w:type="dxa"/>
            </w:tcMar>
            <w:vAlign w:val="center"/>
          </w:tcPr>
          <w:p w14:paraId="3DD5A3F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44.34</w:t>
            </w:r>
          </w:p>
        </w:tc>
      </w:tr>
      <w:tr w:rsidR="006416B0" w:rsidRPr="00B4515A" w14:paraId="1EBF5F42" w14:textId="77777777" w:rsidTr="00377920">
        <w:trPr>
          <w:trHeight w:val="340"/>
          <w:jc w:val="center"/>
        </w:trPr>
        <w:tc>
          <w:tcPr>
            <w:tcW w:w="674" w:type="dxa"/>
            <w:shd w:val="clear" w:color="auto" w:fill="auto"/>
            <w:tcMar>
              <w:top w:w="0" w:type="dxa"/>
              <w:left w:w="108" w:type="dxa"/>
              <w:bottom w:w="0" w:type="dxa"/>
              <w:right w:w="108" w:type="dxa"/>
            </w:tcMar>
            <w:vAlign w:val="center"/>
          </w:tcPr>
          <w:p w14:paraId="734B2E8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264621C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电信科学技术第一研究所有限公司</w:t>
            </w:r>
          </w:p>
        </w:tc>
        <w:tc>
          <w:tcPr>
            <w:tcW w:w="1123" w:type="dxa"/>
            <w:shd w:val="clear" w:color="auto" w:fill="auto"/>
            <w:tcMar>
              <w:top w:w="0" w:type="dxa"/>
              <w:left w:w="108" w:type="dxa"/>
              <w:bottom w:w="0" w:type="dxa"/>
              <w:right w:w="108" w:type="dxa"/>
            </w:tcMar>
            <w:vAlign w:val="center"/>
          </w:tcPr>
          <w:p w14:paraId="6B89C20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30.00</w:t>
            </w:r>
          </w:p>
        </w:tc>
        <w:tc>
          <w:tcPr>
            <w:tcW w:w="1120" w:type="dxa"/>
            <w:shd w:val="clear" w:color="auto" w:fill="auto"/>
            <w:tcMar>
              <w:top w:w="0" w:type="dxa"/>
              <w:left w:w="108" w:type="dxa"/>
              <w:bottom w:w="0" w:type="dxa"/>
              <w:right w:w="108" w:type="dxa"/>
            </w:tcMar>
            <w:vAlign w:val="center"/>
          </w:tcPr>
          <w:p w14:paraId="1EE65DD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15.00</w:t>
            </w:r>
          </w:p>
        </w:tc>
        <w:tc>
          <w:tcPr>
            <w:tcW w:w="1179" w:type="dxa"/>
            <w:shd w:val="clear" w:color="auto" w:fill="auto"/>
            <w:tcMar>
              <w:top w:w="0" w:type="dxa"/>
              <w:left w:w="108" w:type="dxa"/>
              <w:bottom w:w="0" w:type="dxa"/>
              <w:right w:w="108" w:type="dxa"/>
            </w:tcMar>
            <w:vAlign w:val="center"/>
          </w:tcPr>
          <w:p w14:paraId="06ABCBE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30.00</w:t>
            </w:r>
          </w:p>
        </w:tc>
        <w:tc>
          <w:tcPr>
            <w:tcW w:w="1170" w:type="dxa"/>
            <w:shd w:val="clear" w:color="auto" w:fill="auto"/>
            <w:tcMar>
              <w:top w:w="0" w:type="dxa"/>
              <w:left w:w="108" w:type="dxa"/>
              <w:bottom w:w="0" w:type="dxa"/>
              <w:right w:w="108" w:type="dxa"/>
            </w:tcMar>
            <w:vAlign w:val="center"/>
          </w:tcPr>
          <w:p w14:paraId="07BAA7A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15.00</w:t>
            </w:r>
          </w:p>
        </w:tc>
      </w:tr>
      <w:tr w:rsidR="006416B0" w:rsidRPr="00B4515A" w14:paraId="5AA9A5C2" w14:textId="77777777" w:rsidTr="00377920">
        <w:trPr>
          <w:trHeight w:val="340"/>
          <w:jc w:val="center"/>
        </w:trPr>
        <w:tc>
          <w:tcPr>
            <w:tcW w:w="674" w:type="dxa"/>
            <w:shd w:val="clear" w:color="auto" w:fill="auto"/>
            <w:tcMar>
              <w:top w:w="0" w:type="dxa"/>
              <w:left w:w="108" w:type="dxa"/>
              <w:bottom w:w="0" w:type="dxa"/>
              <w:right w:w="108" w:type="dxa"/>
            </w:tcMar>
            <w:vAlign w:val="center"/>
          </w:tcPr>
          <w:p w14:paraId="2EB61E6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1BB9FEF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国家无线电频谱管理研究所有限公</w:t>
            </w:r>
            <w:r w:rsidRPr="00B4515A">
              <w:rPr>
                <w:rFonts w:cs="Times New Roman" w:hint="eastAsia"/>
                <w:color w:val="000000"/>
                <w:sz w:val="21"/>
                <w:szCs w:val="21"/>
              </w:rPr>
              <w:lastRenderedPageBreak/>
              <w:t>司</w:t>
            </w:r>
          </w:p>
        </w:tc>
        <w:tc>
          <w:tcPr>
            <w:tcW w:w="1123" w:type="dxa"/>
            <w:shd w:val="clear" w:color="auto" w:fill="auto"/>
            <w:tcMar>
              <w:top w:w="0" w:type="dxa"/>
              <w:left w:w="108" w:type="dxa"/>
              <w:bottom w:w="0" w:type="dxa"/>
              <w:right w:w="108" w:type="dxa"/>
            </w:tcMar>
            <w:vAlign w:val="center"/>
          </w:tcPr>
          <w:p w14:paraId="4976E22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lastRenderedPageBreak/>
              <w:t>16.75</w:t>
            </w:r>
          </w:p>
        </w:tc>
        <w:tc>
          <w:tcPr>
            <w:tcW w:w="1120" w:type="dxa"/>
            <w:shd w:val="clear" w:color="auto" w:fill="auto"/>
            <w:tcMar>
              <w:top w:w="0" w:type="dxa"/>
              <w:left w:w="108" w:type="dxa"/>
              <w:bottom w:w="0" w:type="dxa"/>
              <w:right w:w="108" w:type="dxa"/>
            </w:tcMar>
            <w:vAlign w:val="center"/>
          </w:tcPr>
          <w:p w14:paraId="70CEFA9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16.75</w:t>
            </w:r>
          </w:p>
        </w:tc>
        <w:tc>
          <w:tcPr>
            <w:tcW w:w="1179" w:type="dxa"/>
            <w:shd w:val="clear" w:color="auto" w:fill="auto"/>
            <w:tcMar>
              <w:top w:w="0" w:type="dxa"/>
              <w:left w:w="108" w:type="dxa"/>
              <w:bottom w:w="0" w:type="dxa"/>
              <w:right w:w="108" w:type="dxa"/>
            </w:tcMar>
            <w:vAlign w:val="center"/>
          </w:tcPr>
          <w:p w14:paraId="4F7129F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16.75</w:t>
            </w:r>
          </w:p>
        </w:tc>
        <w:tc>
          <w:tcPr>
            <w:tcW w:w="1170" w:type="dxa"/>
            <w:shd w:val="clear" w:color="auto" w:fill="auto"/>
            <w:tcMar>
              <w:top w:w="0" w:type="dxa"/>
              <w:left w:w="108" w:type="dxa"/>
              <w:bottom w:w="0" w:type="dxa"/>
              <w:right w:w="108" w:type="dxa"/>
            </w:tcMar>
            <w:vAlign w:val="center"/>
          </w:tcPr>
          <w:p w14:paraId="43637C7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16.75</w:t>
            </w:r>
          </w:p>
        </w:tc>
      </w:tr>
      <w:tr w:rsidR="006416B0" w:rsidRPr="00B4515A" w14:paraId="3B0D1F7A" w14:textId="77777777" w:rsidTr="00377920">
        <w:trPr>
          <w:trHeight w:val="340"/>
          <w:jc w:val="center"/>
        </w:trPr>
        <w:tc>
          <w:tcPr>
            <w:tcW w:w="674" w:type="dxa"/>
            <w:shd w:val="clear" w:color="auto" w:fill="auto"/>
            <w:tcMar>
              <w:top w:w="0" w:type="dxa"/>
              <w:left w:w="108" w:type="dxa"/>
              <w:bottom w:w="0" w:type="dxa"/>
              <w:right w:w="108" w:type="dxa"/>
            </w:tcMar>
            <w:vAlign w:val="center"/>
          </w:tcPr>
          <w:p w14:paraId="3948F1D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lastRenderedPageBreak/>
              <w:t xml:space="preserve">　</w:t>
            </w:r>
          </w:p>
        </w:tc>
        <w:tc>
          <w:tcPr>
            <w:tcW w:w="3497" w:type="dxa"/>
            <w:shd w:val="clear" w:color="auto" w:fill="auto"/>
            <w:tcMar>
              <w:top w:w="0" w:type="dxa"/>
              <w:left w:w="108" w:type="dxa"/>
              <w:bottom w:w="0" w:type="dxa"/>
              <w:right w:w="108" w:type="dxa"/>
            </w:tcMar>
            <w:vAlign w:val="center"/>
          </w:tcPr>
          <w:p w14:paraId="3E72DAA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大唐实创（北京）投资有限公司</w:t>
            </w:r>
          </w:p>
        </w:tc>
        <w:tc>
          <w:tcPr>
            <w:tcW w:w="1123" w:type="dxa"/>
            <w:shd w:val="clear" w:color="auto" w:fill="auto"/>
            <w:tcMar>
              <w:top w:w="0" w:type="dxa"/>
              <w:left w:w="108" w:type="dxa"/>
              <w:bottom w:w="0" w:type="dxa"/>
              <w:right w:w="108" w:type="dxa"/>
            </w:tcMar>
            <w:vAlign w:val="center"/>
          </w:tcPr>
          <w:p w14:paraId="573B748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3.50</w:t>
            </w:r>
          </w:p>
        </w:tc>
        <w:tc>
          <w:tcPr>
            <w:tcW w:w="1120" w:type="dxa"/>
            <w:shd w:val="clear" w:color="auto" w:fill="auto"/>
            <w:tcMar>
              <w:top w:w="0" w:type="dxa"/>
              <w:left w:w="108" w:type="dxa"/>
              <w:bottom w:w="0" w:type="dxa"/>
              <w:right w:w="108" w:type="dxa"/>
            </w:tcMar>
            <w:vAlign w:val="center"/>
          </w:tcPr>
          <w:p w14:paraId="1EF1ADB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3.50</w:t>
            </w:r>
          </w:p>
        </w:tc>
        <w:tc>
          <w:tcPr>
            <w:tcW w:w="1179" w:type="dxa"/>
            <w:shd w:val="clear" w:color="auto" w:fill="auto"/>
            <w:tcMar>
              <w:top w:w="0" w:type="dxa"/>
              <w:left w:w="108" w:type="dxa"/>
              <w:bottom w:w="0" w:type="dxa"/>
              <w:right w:w="108" w:type="dxa"/>
            </w:tcMar>
            <w:vAlign w:val="center"/>
          </w:tcPr>
          <w:p w14:paraId="38A317E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3.50</w:t>
            </w:r>
          </w:p>
        </w:tc>
        <w:tc>
          <w:tcPr>
            <w:tcW w:w="1170" w:type="dxa"/>
            <w:shd w:val="clear" w:color="auto" w:fill="auto"/>
            <w:tcMar>
              <w:top w:w="0" w:type="dxa"/>
              <w:left w:w="108" w:type="dxa"/>
              <w:bottom w:w="0" w:type="dxa"/>
              <w:right w:w="108" w:type="dxa"/>
            </w:tcMar>
            <w:vAlign w:val="center"/>
          </w:tcPr>
          <w:p w14:paraId="63D9F15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3.50</w:t>
            </w:r>
          </w:p>
        </w:tc>
      </w:tr>
      <w:tr w:rsidR="006416B0" w:rsidRPr="00B4515A" w14:paraId="6B4E7026" w14:textId="77777777" w:rsidTr="00377920">
        <w:trPr>
          <w:trHeight w:val="340"/>
          <w:jc w:val="center"/>
        </w:trPr>
        <w:tc>
          <w:tcPr>
            <w:tcW w:w="674" w:type="dxa"/>
            <w:shd w:val="clear" w:color="auto" w:fill="auto"/>
            <w:tcMar>
              <w:top w:w="0" w:type="dxa"/>
              <w:left w:w="108" w:type="dxa"/>
              <w:bottom w:w="0" w:type="dxa"/>
              <w:right w:w="108" w:type="dxa"/>
            </w:tcMar>
            <w:vAlign w:val="center"/>
          </w:tcPr>
          <w:p w14:paraId="017D68F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433140F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电信科学技术第五研究所有限公司</w:t>
            </w:r>
          </w:p>
        </w:tc>
        <w:tc>
          <w:tcPr>
            <w:tcW w:w="1123" w:type="dxa"/>
            <w:shd w:val="clear" w:color="auto" w:fill="auto"/>
            <w:tcMar>
              <w:top w:w="0" w:type="dxa"/>
              <w:left w:w="108" w:type="dxa"/>
              <w:bottom w:w="0" w:type="dxa"/>
              <w:right w:w="108" w:type="dxa"/>
            </w:tcMar>
            <w:vAlign w:val="center"/>
          </w:tcPr>
          <w:p w14:paraId="5396577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2.29</w:t>
            </w:r>
          </w:p>
        </w:tc>
        <w:tc>
          <w:tcPr>
            <w:tcW w:w="1120" w:type="dxa"/>
            <w:shd w:val="clear" w:color="auto" w:fill="auto"/>
            <w:tcMar>
              <w:top w:w="0" w:type="dxa"/>
              <w:left w:w="108" w:type="dxa"/>
              <w:bottom w:w="0" w:type="dxa"/>
              <w:right w:w="108" w:type="dxa"/>
            </w:tcMar>
            <w:vAlign w:val="center"/>
          </w:tcPr>
          <w:p w14:paraId="49A7433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0.69</w:t>
            </w:r>
          </w:p>
        </w:tc>
        <w:tc>
          <w:tcPr>
            <w:tcW w:w="1179" w:type="dxa"/>
            <w:shd w:val="clear" w:color="auto" w:fill="auto"/>
            <w:tcMar>
              <w:top w:w="0" w:type="dxa"/>
              <w:left w:w="108" w:type="dxa"/>
              <w:bottom w:w="0" w:type="dxa"/>
              <w:right w:w="108" w:type="dxa"/>
            </w:tcMar>
            <w:vAlign w:val="center"/>
          </w:tcPr>
          <w:p w14:paraId="30CA183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2.29</w:t>
            </w:r>
          </w:p>
        </w:tc>
        <w:tc>
          <w:tcPr>
            <w:tcW w:w="1170" w:type="dxa"/>
            <w:shd w:val="clear" w:color="auto" w:fill="auto"/>
            <w:tcMar>
              <w:top w:w="0" w:type="dxa"/>
              <w:left w:w="108" w:type="dxa"/>
              <w:bottom w:w="0" w:type="dxa"/>
              <w:right w:w="108" w:type="dxa"/>
            </w:tcMar>
            <w:vAlign w:val="center"/>
          </w:tcPr>
          <w:p w14:paraId="540F557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0.69</w:t>
            </w:r>
          </w:p>
        </w:tc>
      </w:tr>
      <w:tr w:rsidR="006416B0" w:rsidRPr="00B4515A" w14:paraId="6F5A6C1E" w14:textId="77777777" w:rsidTr="00377920">
        <w:trPr>
          <w:trHeight w:val="340"/>
          <w:jc w:val="center"/>
        </w:trPr>
        <w:tc>
          <w:tcPr>
            <w:tcW w:w="674" w:type="dxa"/>
            <w:shd w:val="clear" w:color="auto" w:fill="auto"/>
            <w:tcMar>
              <w:top w:w="0" w:type="dxa"/>
              <w:left w:w="108" w:type="dxa"/>
              <w:bottom w:w="0" w:type="dxa"/>
              <w:right w:w="108" w:type="dxa"/>
            </w:tcMar>
            <w:vAlign w:val="center"/>
          </w:tcPr>
          <w:p w14:paraId="3B314B4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6D22BF9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西安翠华通信技术有限公司</w:t>
            </w:r>
          </w:p>
        </w:tc>
        <w:tc>
          <w:tcPr>
            <w:tcW w:w="1123" w:type="dxa"/>
            <w:shd w:val="clear" w:color="auto" w:fill="auto"/>
            <w:tcMar>
              <w:top w:w="0" w:type="dxa"/>
              <w:left w:w="108" w:type="dxa"/>
              <w:bottom w:w="0" w:type="dxa"/>
              <w:right w:w="108" w:type="dxa"/>
            </w:tcMar>
            <w:vAlign w:val="center"/>
          </w:tcPr>
          <w:p w14:paraId="691CA59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1.08</w:t>
            </w:r>
          </w:p>
        </w:tc>
        <w:tc>
          <w:tcPr>
            <w:tcW w:w="1120" w:type="dxa"/>
            <w:shd w:val="clear" w:color="auto" w:fill="auto"/>
            <w:tcMar>
              <w:top w:w="0" w:type="dxa"/>
              <w:left w:w="108" w:type="dxa"/>
              <w:bottom w:w="0" w:type="dxa"/>
              <w:right w:w="108" w:type="dxa"/>
            </w:tcMar>
            <w:vAlign w:val="center"/>
          </w:tcPr>
          <w:p w14:paraId="0B08C85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1.08</w:t>
            </w:r>
          </w:p>
        </w:tc>
        <w:tc>
          <w:tcPr>
            <w:tcW w:w="1179" w:type="dxa"/>
            <w:shd w:val="clear" w:color="auto" w:fill="auto"/>
            <w:tcMar>
              <w:top w:w="0" w:type="dxa"/>
              <w:left w:w="108" w:type="dxa"/>
              <w:bottom w:w="0" w:type="dxa"/>
              <w:right w:w="108" w:type="dxa"/>
            </w:tcMar>
            <w:vAlign w:val="center"/>
          </w:tcPr>
          <w:p w14:paraId="6AFAF74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1.08</w:t>
            </w:r>
          </w:p>
        </w:tc>
        <w:tc>
          <w:tcPr>
            <w:tcW w:w="1170" w:type="dxa"/>
            <w:shd w:val="clear" w:color="auto" w:fill="auto"/>
            <w:tcMar>
              <w:top w:w="0" w:type="dxa"/>
              <w:left w:w="108" w:type="dxa"/>
              <w:bottom w:w="0" w:type="dxa"/>
              <w:right w:w="108" w:type="dxa"/>
            </w:tcMar>
            <w:vAlign w:val="center"/>
          </w:tcPr>
          <w:p w14:paraId="38ECCBF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1.08</w:t>
            </w:r>
          </w:p>
        </w:tc>
      </w:tr>
      <w:tr w:rsidR="006416B0" w:rsidRPr="00B4515A" w14:paraId="04D8FFC0" w14:textId="77777777" w:rsidTr="00377920">
        <w:trPr>
          <w:trHeight w:val="340"/>
          <w:jc w:val="center"/>
        </w:trPr>
        <w:tc>
          <w:tcPr>
            <w:tcW w:w="674" w:type="dxa"/>
            <w:shd w:val="clear" w:color="auto" w:fill="auto"/>
            <w:tcMar>
              <w:top w:w="0" w:type="dxa"/>
              <w:left w:w="108" w:type="dxa"/>
              <w:bottom w:w="0" w:type="dxa"/>
              <w:right w:w="108" w:type="dxa"/>
            </w:tcMar>
            <w:vAlign w:val="center"/>
          </w:tcPr>
          <w:p w14:paraId="7AF2B87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4C9C0AA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大唐半导体科技有限公司</w:t>
            </w:r>
          </w:p>
        </w:tc>
        <w:tc>
          <w:tcPr>
            <w:tcW w:w="1123" w:type="dxa"/>
            <w:shd w:val="clear" w:color="auto" w:fill="auto"/>
            <w:tcMar>
              <w:top w:w="0" w:type="dxa"/>
              <w:left w:w="108" w:type="dxa"/>
              <w:bottom w:w="0" w:type="dxa"/>
              <w:right w:w="108" w:type="dxa"/>
            </w:tcMar>
            <w:vAlign w:val="center"/>
          </w:tcPr>
          <w:p w14:paraId="19512C3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56.49</w:t>
            </w:r>
          </w:p>
        </w:tc>
        <w:tc>
          <w:tcPr>
            <w:tcW w:w="1120" w:type="dxa"/>
            <w:shd w:val="clear" w:color="auto" w:fill="auto"/>
            <w:tcMar>
              <w:top w:w="0" w:type="dxa"/>
              <w:left w:w="108" w:type="dxa"/>
              <w:bottom w:w="0" w:type="dxa"/>
              <w:right w:w="108" w:type="dxa"/>
            </w:tcMar>
            <w:vAlign w:val="center"/>
          </w:tcPr>
          <w:p w14:paraId="5A191BE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0.28</w:t>
            </w:r>
          </w:p>
        </w:tc>
        <w:tc>
          <w:tcPr>
            <w:tcW w:w="1179" w:type="dxa"/>
            <w:shd w:val="clear" w:color="auto" w:fill="auto"/>
            <w:tcMar>
              <w:top w:w="0" w:type="dxa"/>
              <w:left w:w="108" w:type="dxa"/>
              <w:bottom w:w="0" w:type="dxa"/>
              <w:right w:w="108" w:type="dxa"/>
            </w:tcMar>
            <w:vAlign w:val="center"/>
          </w:tcPr>
          <w:p w14:paraId="104F7CE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16.94</w:t>
            </w:r>
          </w:p>
        </w:tc>
        <w:tc>
          <w:tcPr>
            <w:tcW w:w="1170" w:type="dxa"/>
            <w:shd w:val="clear" w:color="auto" w:fill="auto"/>
            <w:tcMar>
              <w:top w:w="0" w:type="dxa"/>
              <w:left w:w="108" w:type="dxa"/>
              <w:bottom w:w="0" w:type="dxa"/>
              <w:right w:w="108" w:type="dxa"/>
            </w:tcMar>
            <w:vAlign w:val="center"/>
          </w:tcPr>
          <w:p w14:paraId="54776E8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0.08</w:t>
            </w:r>
          </w:p>
        </w:tc>
      </w:tr>
      <w:tr w:rsidR="006416B0" w:rsidRPr="00B4515A" w14:paraId="422048A6" w14:textId="77777777" w:rsidTr="00377920">
        <w:trPr>
          <w:trHeight w:val="340"/>
          <w:jc w:val="center"/>
        </w:trPr>
        <w:tc>
          <w:tcPr>
            <w:tcW w:w="674" w:type="dxa"/>
            <w:shd w:val="clear" w:color="auto" w:fill="auto"/>
            <w:tcMar>
              <w:top w:w="0" w:type="dxa"/>
              <w:left w:w="108" w:type="dxa"/>
              <w:bottom w:w="0" w:type="dxa"/>
              <w:right w:w="108" w:type="dxa"/>
            </w:tcMar>
            <w:vAlign w:val="center"/>
          </w:tcPr>
          <w:p w14:paraId="13D82B2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66FBB50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江苏安防科技有限公司</w:t>
            </w:r>
          </w:p>
        </w:tc>
        <w:tc>
          <w:tcPr>
            <w:tcW w:w="1123" w:type="dxa"/>
            <w:shd w:val="clear" w:color="auto" w:fill="auto"/>
            <w:tcMar>
              <w:top w:w="0" w:type="dxa"/>
              <w:left w:w="108" w:type="dxa"/>
              <w:bottom w:w="0" w:type="dxa"/>
              <w:right w:w="108" w:type="dxa"/>
            </w:tcMar>
            <w:vAlign w:val="center"/>
          </w:tcPr>
          <w:p w14:paraId="615BD8A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242.38</w:t>
            </w:r>
          </w:p>
        </w:tc>
        <w:tc>
          <w:tcPr>
            <w:tcW w:w="1120" w:type="dxa"/>
            <w:shd w:val="clear" w:color="auto" w:fill="auto"/>
            <w:tcMar>
              <w:top w:w="0" w:type="dxa"/>
              <w:left w:w="108" w:type="dxa"/>
              <w:bottom w:w="0" w:type="dxa"/>
              <w:right w:w="108" w:type="dxa"/>
            </w:tcMar>
            <w:vAlign w:val="center"/>
          </w:tcPr>
          <w:p w14:paraId="1B93711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12.12</w:t>
            </w:r>
          </w:p>
        </w:tc>
        <w:tc>
          <w:tcPr>
            <w:tcW w:w="1179" w:type="dxa"/>
            <w:shd w:val="clear" w:color="auto" w:fill="auto"/>
            <w:tcMar>
              <w:top w:w="0" w:type="dxa"/>
              <w:left w:w="108" w:type="dxa"/>
              <w:bottom w:w="0" w:type="dxa"/>
              <w:right w:w="108" w:type="dxa"/>
            </w:tcMar>
            <w:vAlign w:val="center"/>
          </w:tcPr>
          <w:p w14:paraId="02661A7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253.08</w:t>
            </w:r>
          </w:p>
        </w:tc>
        <w:tc>
          <w:tcPr>
            <w:tcW w:w="1170" w:type="dxa"/>
            <w:shd w:val="clear" w:color="auto" w:fill="auto"/>
            <w:tcMar>
              <w:top w:w="0" w:type="dxa"/>
              <w:left w:w="108" w:type="dxa"/>
              <w:bottom w:w="0" w:type="dxa"/>
              <w:right w:w="108" w:type="dxa"/>
            </w:tcMar>
            <w:vAlign w:val="center"/>
          </w:tcPr>
          <w:p w14:paraId="2212B11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12.65</w:t>
            </w:r>
          </w:p>
        </w:tc>
      </w:tr>
      <w:tr w:rsidR="006416B0" w:rsidRPr="00B4515A" w14:paraId="5E934EF5" w14:textId="77777777" w:rsidTr="00377920">
        <w:trPr>
          <w:trHeight w:val="340"/>
          <w:jc w:val="center"/>
        </w:trPr>
        <w:tc>
          <w:tcPr>
            <w:tcW w:w="674" w:type="dxa"/>
            <w:shd w:val="clear" w:color="auto" w:fill="auto"/>
            <w:tcMar>
              <w:top w:w="0" w:type="dxa"/>
              <w:left w:w="108" w:type="dxa"/>
              <w:bottom w:w="0" w:type="dxa"/>
              <w:right w:w="108" w:type="dxa"/>
            </w:tcMar>
            <w:vAlign w:val="center"/>
          </w:tcPr>
          <w:p w14:paraId="6B8FE6D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0A988EF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辰芯科技有限公司</w:t>
            </w:r>
          </w:p>
        </w:tc>
        <w:tc>
          <w:tcPr>
            <w:tcW w:w="1123" w:type="dxa"/>
            <w:shd w:val="clear" w:color="auto" w:fill="auto"/>
            <w:tcMar>
              <w:top w:w="0" w:type="dxa"/>
              <w:left w:w="108" w:type="dxa"/>
              <w:bottom w:w="0" w:type="dxa"/>
              <w:right w:w="108" w:type="dxa"/>
            </w:tcMar>
            <w:vAlign w:val="center"/>
          </w:tcPr>
          <w:p w14:paraId="19B17C1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26.37</w:t>
            </w:r>
          </w:p>
        </w:tc>
        <w:tc>
          <w:tcPr>
            <w:tcW w:w="1120" w:type="dxa"/>
            <w:shd w:val="clear" w:color="auto" w:fill="auto"/>
            <w:tcMar>
              <w:top w:w="0" w:type="dxa"/>
              <w:left w:w="108" w:type="dxa"/>
              <w:bottom w:w="0" w:type="dxa"/>
              <w:right w:w="108" w:type="dxa"/>
            </w:tcMar>
            <w:vAlign w:val="center"/>
          </w:tcPr>
          <w:p w14:paraId="48F32AF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0.13</w:t>
            </w:r>
          </w:p>
        </w:tc>
        <w:tc>
          <w:tcPr>
            <w:tcW w:w="1179" w:type="dxa"/>
            <w:shd w:val="clear" w:color="auto" w:fill="auto"/>
            <w:tcMar>
              <w:top w:w="0" w:type="dxa"/>
              <w:left w:w="108" w:type="dxa"/>
              <w:bottom w:w="0" w:type="dxa"/>
              <w:right w:w="108" w:type="dxa"/>
            </w:tcMar>
            <w:vAlign w:val="center"/>
          </w:tcPr>
          <w:p w14:paraId="33C43C0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70" w:type="dxa"/>
            <w:shd w:val="clear" w:color="auto" w:fill="auto"/>
            <w:tcMar>
              <w:top w:w="0" w:type="dxa"/>
              <w:left w:w="108" w:type="dxa"/>
              <w:bottom w:w="0" w:type="dxa"/>
              <w:right w:w="108" w:type="dxa"/>
            </w:tcMar>
            <w:vAlign w:val="center"/>
          </w:tcPr>
          <w:p w14:paraId="0A40449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CA9F39F" w14:textId="77777777" w:rsidTr="00377920">
        <w:trPr>
          <w:trHeight w:val="340"/>
          <w:jc w:val="center"/>
        </w:trPr>
        <w:tc>
          <w:tcPr>
            <w:tcW w:w="674" w:type="dxa"/>
            <w:shd w:val="clear" w:color="auto" w:fill="auto"/>
            <w:tcMar>
              <w:top w:w="0" w:type="dxa"/>
              <w:left w:w="108" w:type="dxa"/>
              <w:bottom w:w="0" w:type="dxa"/>
              <w:right w:w="108" w:type="dxa"/>
            </w:tcMar>
            <w:vAlign w:val="center"/>
          </w:tcPr>
          <w:p w14:paraId="5448F68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0E25831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大唐奇安网络科技有限公司</w:t>
            </w:r>
          </w:p>
        </w:tc>
        <w:tc>
          <w:tcPr>
            <w:tcW w:w="1123" w:type="dxa"/>
            <w:shd w:val="clear" w:color="auto" w:fill="auto"/>
            <w:tcMar>
              <w:top w:w="0" w:type="dxa"/>
              <w:left w:w="108" w:type="dxa"/>
              <w:bottom w:w="0" w:type="dxa"/>
              <w:right w:w="108" w:type="dxa"/>
            </w:tcMar>
            <w:vAlign w:val="center"/>
          </w:tcPr>
          <w:p w14:paraId="5023B79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21.00</w:t>
            </w:r>
          </w:p>
        </w:tc>
        <w:tc>
          <w:tcPr>
            <w:tcW w:w="1120" w:type="dxa"/>
            <w:shd w:val="clear" w:color="auto" w:fill="auto"/>
            <w:tcMar>
              <w:top w:w="0" w:type="dxa"/>
              <w:left w:w="108" w:type="dxa"/>
              <w:bottom w:w="0" w:type="dxa"/>
              <w:right w:w="108" w:type="dxa"/>
            </w:tcMar>
            <w:vAlign w:val="center"/>
          </w:tcPr>
          <w:p w14:paraId="0547F83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0.11</w:t>
            </w:r>
          </w:p>
        </w:tc>
        <w:tc>
          <w:tcPr>
            <w:tcW w:w="1179" w:type="dxa"/>
            <w:shd w:val="clear" w:color="auto" w:fill="auto"/>
            <w:tcMar>
              <w:top w:w="0" w:type="dxa"/>
              <w:left w:w="108" w:type="dxa"/>
              <w:bottom w:w="0" w:type="dxa"/>
              <w:right w:w="108" w:type="dxa"/>
            </w:tcMar>
            <w:vAlign w:val="center"/>
          </w:tcPr>
          <w:p w14:paraId="3509812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70" w:type="dxa"/>
            <w:shd w:val="clear" w:color="auto" w:fill="auto"/>
            <w:tcMar>
              <w:top w:w="0" w:type="dxa"/>
              <w:left w:w="108" w:type="dxa"/>
              <w:bottom w:w="0" w:type="dxa"/>
              <w:right w:w="108" w:type="dxa"/>
            </w:tcMar>
            <w:vAlign w:val="center"/>
          </w:tcPr>
          <w:p w14:paraId="48ACEA6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BA38608" w14:textId="77777777" w:rsidTr="00377920">
        <w:trPr>
          <w:trHeight w:val="340"/>
          <w:jc w:val="center"/>
        </w:trPr>
        <w:tc>
          <w:tcPr>
            <w:tcW w:w="674" w:type="dxa"/>
            <w:shd w:val="clear" w:color="auto" w:fill="auto"/>
            <w:tcMar>
              <w:top w:w="0" w:type="dxa"/>
              <w:left w:w="108" w:type="dxa"/>
              <w:bottom w:w="0" w:type="dxa"/>
              <w:right w:w="108" w:type="dxa"/>
            </w:tcMar>
            <w:vAlign w:val="center"/>
          </w:tcPr>
          <w:p w14:paraId="0EF3F20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3F99CE0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数据通信科学技术研究所</w:t>
            </w:r>
          </w:p>
        </w:tc>
        <w:tc>
          <w:tcPr>
            <w:tcW w:w="1123" w:type="dxa"/>
            <w:shd w:val="clear" w:color="auto" w:fill="auto"/>
            <w:tcMar>
              <w:top w:w="0" w:type="dxa"/>
              <w:left w:w="108" w:type="dxa"/>
              <w:bottom w:w="0" w:type="dxa"/>
              <w:right w:w="108" w:type="dxa"/>
            </w:tcMar>
            <w:vAlign w:val="center"/>
          </w:tcPr>
          <w:p w14:paraId="0A813B8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2,263.21</w:t>
            </w:r>
          </w:p>
        </w:tc>
        <w:tc>
          <w:tcPr>
            <w:tcW w:w="1120" w:type="dxa"/>
            <w:shd w:val="clear" w:color="auto" w:fill="auto"/>
            <w:tcMar>
              <w:top w:w="0" w:type="dxa"/>
              <w:left w:w="108" w:type="dxa"/>
              <w:bottom w:w="0" w:type="dxa"/>
              <w:right w:w="108" w:type="dxa"/>
            </w:tcMar>
            <w:vAlign w:val="center"/>
          </w:tcPr>
          <w:p w14:paraId="1AD4AB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107.34</w:t>
            </w:r>
          </w:p>
        </w:tc>
        <w:tc>
          <w:tcPr>
            <w:tcW w:w="1179" w:type="dxa"/>
            <w:shd w:val="clear" w:color="auto" w:fill="auto"/>
            <w:tcMar>
              <w:top w:w="0" w:type="dxa"/>
              <w:left w:w="108" w:type="dxa"/>
              <w:bottom w:w="0" w:type="dxa"/>
              <w:right w:w="108" w:type="dxa"/>
            </w:tcMar>
            <w:vAlign w:val="center"/>
          </w:tcPr>
          <w:p w14:paraId="6BCC5BE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2,180.50</w:t>
            </w:r>
          </w:p>
        </w:tc>
        <w:tc>
          <w:tcPr>
            <w:tcW w:w="1170" w:type="dxa"/>
            <w:shd w:val="clear" w:color="auto" w:fill="auto"/>
            <w:tcMar>
              <w:top w:w="0" w:type="dxa"/>
              <w:left w:w="108" w:type="dxa"/>
              <w:bottom w:w="0" w:type="dxa"/>
              <w:right w:w="108" w:type="dxa"/>
            </w:tcMar>
            <w:vAlign w:val="center"/>
          </w:tcPr>
          <w:p w14:paraId="19ED9CC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77.19</w:t>
            </w:r>
          </w:p>
        </w:tc>
      </w:tr>
      <w:tr w:rsidR="006416B0" w:rsidRPr="00B4515A" w14:paraId="20EBD9D1" w14:textId="77777777" w:rsidTr="00377920">
        <w:trPr>
          <w:trHeight w:val="340"/>
          <w:jc w:val="center"/>
        </w:trPr>
        <w:tc>
          <w:tcPr>
            <w:tcW w:w="674" w:type="dxa"/>
            <w:shd w:val="clear" w:color="auto" w:fill="auto"/>
            <w:tcMar>
              <w:top w:w="0" w:type="dxa"/>
              <w:left w:w="108" w:type="dxa"/>
              <w:bottom w:w="0" w:type="dxa"/>
              <w:right w:w="108" w:type="dxa"/>
            </w:tcMar>
            <w:vAlign w:val="center"/>
          </w:tcPr>
          <w:p w14:paraId="5B59CCA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1F0D042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大唐联仪科技有限公司</w:t>
            </w:r>
          </w:p>
        </w:tc>
        <w:tc>
          <w:tcPr>
            <w:tcW w:w="1123" w:type="dxa"/>
            <w:shd w:val="clear" w:color="auto" w:fill="auto"/>
            <w:tcMar>
              <w:top w:w="0" w:type="dxa"/>
              <w:left w:w="108" w:type="dxa"/>
              <w:bottom w:w="0" w:type="dxa"/>
              <w:right w:w="108" w:type="dxa"/>
            </w:tcMar>
            <w:vAlign w:val="center"/>
          </w:tcPr>
          <w:p w14:paraId="51650BB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46.00</w:t>
            </w:r>
          </w:p>
        </w:tc>
        <w:tc>
          <w:tcPr>
            <w:tcW w:w="1120" w:type="dxa"/>
            <w:shd w:val="clear" w:color="auto" w:fill="auto"/>
            <w:tcMar>
              <w:top w:w="0" w:type="dxa"/>
              <w:left w:w="108" w:type="dxa"/>
              <w:bottom w:w="0" w:type="dxa"/>
              <w:right w:w="108" w:type="dxa"/>
            </w:tcMar>
            <w:vAlign w:val="center"/>
          </w:tcPr>
          <w:p w14:paraId="2C7EF9C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0.23</w:t>
            </w:r>
          </w:p>
        </w:tc>
        <w:tc>
          <w:tcPr>
            <w:tcW w:w="1179" w:type="dxa"/>
            <w:shd w:val="clear" w:color="auto" w:fill="auto"/>
            <w:tcMar>
              <w:top w:w="0" w:type="dxa"/>
              <w:left w:w="108" w:type="dxa"/>
              <w:bottom w:w="0" w:type="dxa"/>
              <w:right w:w="108" w:type="dxa"/>
            </w:tcMar>
            <w:vAlign w:val="center"/>
          </w:tcPr>
          <w:p w14:paraId="1E41AED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70" w:type="dxa"/>
            <w:shd w:val="clear" w:color="auto" w:fill="auto"/>
            <w:tcMar>
              <w:top w:w="0" w:type="dxa"/>
              <w:left w:w="108" w:type="dxa"/>
              <w:bottom w:w="0" w:type="dxa"/>
              <w:right w:w="108" w:type="dxa"/>
            </w:tcMar>
            <w:vAlign w:val="center"/>
          </w:tcPr>
          <w:p w14:paraId="58DC92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8251947" w14:textId="77777777" w:rsidTr="00377920">
        <w:trPr>
          <w:trHeight w:val="340"/>
          <w:jc w:val="center"/>
        </w:trPr>
        <w:tc>
          <w:tcPr>
            <w:tcW w:w="674" w:type="dxa"/>
            <w:shd w:val="clear" w:color="auto" w:fill="auto"/>
            <w:tcMar>
              <w:top w:w="0" w:type="dxa"/>
              <w:left w:w="108" w:type="dxa"/>
              <w:bottom w:w="0" w:type="dxa"/>
              <w:right w:w="108" w:type="dxa"/>
            </w:tcMar>
            <w:vAlign w:val="center"/>
          </w:tcPr>
          <w:p w14:paraId="130FE0B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632BE83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大唐投资控股发展（上海）有限公司</w:t>
            </w:r>
          </w:p>
        </w:tc>
        <w:tc>
          <w:tcPr>
            <w:tcW w:w="1123" w:type="dxa"/>
            <w:shd w:val="clear" w:color="auto" w:fill="auto"/>
            <w:tcMar>
              <w:top w:w="0" w:type="dxa"/>
              <w:left w:w="108" w:type="dxa"/>
              <w:bottom w:w="0" w:type="dxa"/>
              <w:right w:w="108" w:type="dxa"/>
            </w:tcMar>
            <w:vAlign w:val="center"/>
          </w:tcPr>
          <w:p w14:paraId="2678D19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5.53</w:t>
            </w:r>
          </w:p>
        </w:tc>
        <w:tc>
          <w:tcPr>
            <w:tcW w:w="1120" w:type="dxa"/>
            <w:shd w:val="clear" w:color="auto" w:fill="auto"/>
            <w:tcMar>
              <w:top w:w="0" w:type="dxa"/>
              <w:left w:w="108" w:type="dxa"/>
              <w:bottom w:w="0" w:type="dxa"/>
              <w:right w:w="108" w:type="dxa"/>
            </w:tcMar>
            <w:vAlign w:val="center"/>
          </w:tcPr>
          <w:p w14:paraId="040C48A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0.03</w:t>
            </w:r>
          </w:p>
        </w:tc>
        <w:tc>
          <w:tcPr>
            <w:tcW w:w="1179" w:type="dxa"/>
            <w:shd w:val="clear" w:color="auto" w:fill="auto"/>
            <w:tcMar>
              <w:top w:w="0" w:type="dxa"/>
              <w:left w:w="108" w:type="dxa"/>
              <w:bottom w:w="0" w:type="dxa"/>
              <w:right w:w="108" w:type="dxa"/>
            </w:tcMar>
            <w:vAlign w:val="center"/>
          </w:tcPr>
          <w:p w14:paraId="664BB8C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70" w:type="dxa"/>
            <w:shd w:val="clear" w:color="auto" w:fill="auto"/>
            <w:tcMar>
              <w:top w:w="0" w:type="dxa"/>
              <w:left w:w="108" w:type="dxa"/>
              <w:bottom w:w="0" w:type="dxa"/>
              <w:right w:w="108" w:type="dxa"/>
            </w:tcMar>
            <w:vAlign w:val="center"/>
          </w:tcPr>
          <w:p w14:paraId="01FCBE8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07A0E98" w14:textId="77777777" w:rsidTr="00377920">
        <w:trPr>
          <w:trHeight w:val="340"/>
          <w:jc w:val="center"/>
        </w:trPr>
        <w:tc>
          <w:tcPr>
            <w:tcW w:w="674" w:type="dxa"/>
            <w:shd w:val="clear" w:color="auto" w:fill="auto"/>
            <w:tcMar>
              <w:top w:w="0" w:type="dxa"/>
              <w:left w:w="108" w:type="dxa"/>
              <w:bottom w:w="0" w:type="dxa"/>
              <w:right w:w="108" w:type="dxa"/>
            </w:tcMar>
            <w:vAlign w:val="center"/>
          </w:tcPr>
          <w:p w14:paraId="22479E6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预付款项</w:t>
            </w:r>
          </w:p>
        </w:tc>
        <w:tc>
          <w:tcPr>
            <w:tcW w:w="3497" w:type="dxa"/>
            <w:shd w:val="clear" w:color="auto" w:fill="auto"/>
            <w:tcMar>
              <w:top w:w="0" w:type="dxa"/>
              <w:left w:w="108" w:type="dxa"/>
              <w:bottom w:w="0" w:type="dxa"/>
              <w:right w:w="108" w:type="dxa"/>
            </w:tcMar>
            <w:vAlign w:val="center"/>
          </w:tcPr>
          <w:p w14:paraId="3094853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1123" w:type="dxa"/>
            <w:shd w:val="clear" w:color="auto" w:fill="auto"/>
            <w:tcMar>
              <w:top w:w="0" w:type="dxa"/>
              <w:left w:w="108" w:type="dxa"/>
              <w:bottom w:w="0" w:type="dxa"/>
              <w:right w:w="108" w:type="dxa"/>
            </w:tcMar>
            <w:vAlign w:val="center"/>
          </w:tcPr>
          <w:p w14:paraId="4CC7B13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20" w:type="dxa"/>
            <w:shd w:val="clear" w:color="auto" w:fill="auto"/>
            <w:tcMar>
              <w:top w:w="0" w:type="dxa"/>
              <w:left w:w="108" w:type="dxa"/>
              <w:bottom w:w="0" w:type="dxa"/>
              <w:right w:w="108" w:type="dxa"/>
            </w:tcMar>
            <w:vAlign w:val="center"/>
          </w:tcPr>
          <w:p w14:paraId="23E5D50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79" w:type="dxa"/>
            <w:shd w:val="clear" w:color="auto" w:fill="auto"/>
            <w:tcMar>
              <w:top w:w="0" w:type="dxa"/>
              <w:left w:w="108" w:type="dxa"/>
              <w:bottom w:w="0" w:type="dxa"/>
              <w:right w:w="108" w:type="dxa"/>
            </w:tcMar>
            <w:vAlign w:val="center"/>
          </w:tcPr>
          <w:p w14:paraId="432A762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70" w:type="dxa"/>
            <w:shd w:val="clear" w:color="auto" w:fill="auto"/>
            <w:tcMar>
              <w:top w:w="0" w:type="dxa"/>
              <w:left w:w="108" w:type="dxa"/>
              <w:bottom w:w="0" w:type="dxa"/>
              <w:right w:w="108" w:type="dxa"/>
            </w:tcMar>
            <w:vAlign w:val="center"/>
          </w:tcPr>
          <w:p w14:paraId="4F02FB9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5D7CD27A" w14:textId="77777777" w:rsidTr="00377920">
        <w:trPr>
          <w:trHeight w:val="340"/>
          <w:jc w:val="center"/>
        </w:trPr>
        <w:tc>
          <w:tcPr>
            <w:tcW w:w="674" w:type="dxa"/>
            <w:shd w:val="clear" w:color="auto" w:fill="auto"/>
            <w:tcMar>
              <w:top w:w="0" w:type="dxa"/>
              <w:left w:w="108" w:type="dxa"/>
              <w:bottom w:w="0" w:type="dxa"/>
              <w:right w:w="108" w:type="dxa"/>
            </w:tcMar>
            <w:vAlign w:val="center"/>
          </w:tcPr>
          <w:p w14:paraId="258EAF0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6DDDF9F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大唐电信（天津）科技产业园有限公司</w:t>
            </w:r>
          </w:p>
        </w:tc>
        <w:tc>
          <w:tcPr>
            <w:tcW w:w="1123" w:type="dxa"/>
            <w:shd w:val="clear" w:color="auto" w:fill="auto"/>
            <w:tcMar>
              <w:top w:w="0" w:type="dxa"/>
              <w:left w:w="108" w:type="dxa"/>
              <w:bottom w:w="0" w:type="dxa"/>
              <w:right w:w="108" w:type="dxa"/>
            </w:tcMar>
            <w:vAlign w:val="center"/>
          </w:tcPr>
          <w:p w14:paraId="77CB185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3,649.62</w:t>
            </w:r>
          </w:p>
        </w:tc>
        <w:tc>
          <w:tcPr>
            <w:tcW w:w="1120" w:type="dxa"/>
            <w:shd w:val="clear" w:color="auto" w:fill="auto"/>
            <w:tcMar>
              <w:top w:w="0" w:type="dxa"/>
              <w:left w:w="108" w:type="dxa"/>
              <w:bottom w:w="0" w:type="dxa"/>
              <w:right w:w="108" w:type="dxa"/>
            </w:tcMar>
            <w:vAlign w:val="center"/>
          </w:tcPr>
          <w:p w14:paraId="4572015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988.59</w:t>
            </w:r>
          </w:p>
        </w:tc>
        <w:tc>
          <w:tcPr>
            <w:tcW w:w="1179" w:type="dxa"/>
            <w:shd w:val="clear" w:color="auto" w:fill="auto"/>
            <w:tcMar>
              <w:top w:w="0" w:type="dxa"/>
              <w:left w:w="108" w:type="dxa"/>
              <w:bottom w:w="0" w:type="dxa"/>
              <w:right w:w="108" w:type="dxa"/>
            </w:tcMar>
            <w:vAlign w:val="center"/>
          </w:tcPr>
          <w:p w14:paraId="41AA864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3,509.51</w:t>
            </w:r>
          </w:p>
        </w:tc>
        <w:tc>
          <w:tcPr>
            <w:tcW w:w="1170" w:type="dxa"/>
            <w:shd w:val="clear" w:color="auto" w:fill="auto"/>
            <w:tcMar>
              <w:top w:w="0" w:type="dxa"/>
              <w:left w:w="108" w:type="dxa"/>
              <w:bottom w:w="0" w:type="dxa"/>
              <w:right w:w="108" w:type="dxa"/>
            </w:tcMar>
            <w:vAlign w:val="center"/>
          </w:tcPr>
          <w:p w14:paraId="45EE2E8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959.50</w:t>
            </w:r>
          </w:p>
        </w:tc>
      </w:tr>
      <w:tr w:rsidR="004C1392" w:rsidRPr="00B4515A" w14:paraId="60905FB8" w14:textId="77777777" w:rsidTr="00377920">
        <w:trPr>
          <w:trHeight w:val="340"/>
          <w:jc w:val="center"/>
        </w:trPr>
        <w:tc>
          <w:tcPr>
            <w:tcW w:w="674" w:type="dxa"/>
            <w:shd w:val="clear" w:color="auto" w:fill="auto"/>
            <w:tcMar>
              <w:top w:w="0" w:type="dxa"/>
              <w:left w:w="108" w:type="dxa"/>
              <w:bottom w:w="0" w:type="dxa"/>
              <w:right w:w="108" w:type="dxa"/>
            </w:tcMar>
            <w:vAlign w:val="center"/>
          </w:tcPr>
          <w:p w14:paraId="18A38ACF" w14:textId="77777777" w:rsidR="004C1392" w:rsidRPr="00B4515A" w:rsidRDefault="004C1392"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5510DDAC" w14:textId="77777777" w:rsidR="004C1392" w:rsidRPr="00B4515A" w:rsidRDefault="004C1392"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大唐高鸿数据网络技术股份有限公司</w:t>
            </w:r>
          </w:p>
        </w:tc>
        <w:tc>
          <w:tcPr>
            <w:tcW w:w="1123" w:type="dxa"/>
            <w:shd w:val="clear" w:color="auto" w:fill="auto"/>
            <w:tcMar>
              <w:top w:w="0" w:type="dxa"/>
              <w:left w:w="108" w:type="dxa"/>
              <w:bottom w:w="0" w:type="dxa"/>
              <w:right w:w="108" w:type="dxa"/>
            </w:tcMar>
            <w:vAlign w:val="center"/>
          </w:tcPr>
          <w:p w14:paraId="0314EB5A" w14:textId="6CC941BE" w:rsidR="004C1392" w:rsidRPr="00B4515A" w:rsidRDefault="004C139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4.00</w:t>
            </w:r>
          </w:p>
        </w:tc>
        <w:tc>
          <w:tcPr>
            <w:tcW w:w="1120" w:type="dxa"/>
            <w:shd w:val="clear" w:color="auto" w:fill="auto"/>
            <w:tcMar>
              <w:top w:w="0" w:type="dxa"/>
              <w:left w:w="108" w:type="dxa"/>
              <w:bottom w:w="0" w:type="dxa"/>
              <w:right w:w="108" w:type="dxa"/>
            </w:tcMar>
            <w:vAlign w:val="center"/>
          </w:tcPr>
          <w:p w14:paraId="54958355" w14:textId="7FEC0A29" w:rsidR="004C1392" w:rsidRPr="00B4515A" w:rsidRDefault="004C139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4.00</w:t>
            </w:r>
          </w:p>
        </w:tc>
        <w:tc>
          <w:tcPr>
            <w:tcW w:w="1179" w:type="dxa"/>
            <w:shd w:val="clear" w:color="auto" w:fill="auto"/>
            <w:tcMar>
              <w:top w:w="0" w:type="dxa"/>
              <w:left w:w="108" w:type="dxa"/>
              <w:bottom w:w="0" w:type="dxa"/>
              <w:right w:w="108" w:type="dxa"/>
            </w:tcMar>
            <w:vAlign w:val="center"/>
          </w:tcPr>
          <w:p w14:paraId="06DC3119" w14:textId="1D4EB5B7" w:rsidR="004C1392" w:rsidRPr="00B4515A" w:rsidRDefault="004C139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4.00</w:t>
            </w:r>
          </w:p>
        </w:tc>
        <w:tc>
          <w:tcPr>
            <w:tcW w:w="1170" w:type="dxa"/>
            <w:shd w:val="clear" w:color="auto" w:fill="auto"/>
            <w:tcMar>
              <w:top w:w="0" w:type="dxa"/>
              <w:left w:w="108" w:type="dxa"/>
              <w:bottom w:w="0" w:type="dxa"/>
              <w:right w:w="108" w:type="dxa"/>
            </w:tcMar>
            <w:vAlign w:val="center"/>
          </w:tcPr>
          <w:p w14:paraId="48542EB3" w14:textId="6F9DF9D4" w:rsidR="004C1392" w:rsidRPr="00B4515A" w:rsidRDefault="004C139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4.00</w:t>
            </w:r>
          </w:p>
        </w:tc>
      </w:tr>
      <w:tr w:rsidR="006416B0" w:rsidRPr="00B4515A" w14:paraId="00B86CED" w14:textId="77777777" w:rsidTr="00377920">
        <w:trPr>
          <w:trHeight w:val="340"/>
          <w:jc w:val="center"/>
        </w:trPr>
        <w:tc>
          <w:tcPr>
            <w:tcW w:w="674" w:type="dxa"/>
            <w:shd w:val="clear" w:color="auto" w:fill="auto"/>
            <w:tcMar>
              <w:top w:w="0" w:type="dxa"/>
              <w:left w:w="108" w:type="dxa"/>
              <w:bottom w:w="0" w:type="dxa"/>
              <w:right w:w="108" w:type="dxa"/>
            </w:tcMar>
            <w:vAlign w:val="center"/>
          </w:tcPr>
          <w:p w14:paraId="1DB4F5C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4244B3C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北京大唐物业管理有限公司</w:t>
            </w:r>
          </w:p>
        </w:tc>
        <w:tc>
          <w:tcPr>
            <w:tcW w:w="1123" w:type="dxa"/>
            <w:shd w:val="clear" w:color="auto" w:fill="auto"/>
            <w:tcMar>
              <w:top w:w="0" w:type="dxa"/>
              <w:left w:w="108" w:type="dxa"/>
              <w:bottom w:w="0" w:type="dxa"/>
              <w:right w:w="108" w:type="dxa"/>
            </w:tcMar>
            <w:vAlign w:val="center"/>
          </w:tcPr>
          <w:p w14:paraId="60B1716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22.17</w:t>
            </w:r>
          </w:p>
        </w:tc>
        <w:tc>
          <w:tcPr>
            <w:tcW w:w="1120" w:type="dxa"/>
            <w:shd w:val="clear" w:color="auto" w:fill="auto"/>
            <w:tcMar>
              <w:top w:w="0" w:type="dxa"/>
              <w:left w:w="108" w:type="dxa"/>
              <w:bottom w:w="0" w:type="dxa"/>
              <w:right w:w="108" w:type="dxa"/>
            </w:tcMar>
            <w:vAlign w:val="center"/>
          </w:tcPr>
          <w:p w14:paraId="1259027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0.11</w:t>
            </w:r>
          </w:p>
        </w:tc>
        <w:tc>
          <w:tcPr>
            <w:tcW w:w="1179" w:type="dxa"/>
            <w:shd w:val="clear" w:color="auto" w:fill="auto"/>
            <w:tcMar>
              <w:top w:w="0" w:type="dxa"/>
              <w:left w:w="108" w:type="dxa"/>
              <w:bottom w:w="0" w:type="dxa"/>
              <w:right w:w="108" w:type="dxa"/>
            </w:tcMar>
            <w:vAlign w:val="center"/>
          </w:tcPr>
          <w:p w14:paraId="7BBF8A7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22.17</w:t>
            </w:r>
          </w:p>
        </w:tc>
        <w:tc>
          <w:tcPr>
            <w:tcW w:w="1170" w:type="dxa"/>
            <w:shd w:val="clear" w:color="auto" w:fill="auto"/>
            <w:tcMar>
              <w:top w:w="0" w:type="dxa"/>
              <w:left w:w="108" w:type="dxa"/>
              <w:bottom w:w="0" w:type="dxa"/>
              <w:right w:w="108" w:type="dxa"/>
            </w:tcMar>
            <w:vAlign w:val="center"/>
          </w:tcPr>
          <w:p w14:paraId="7E2F896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0.11</w:t>
            </w:r>
          </w:p>
        </w:tc>
      </w:tr>
      <w:tr w:rsidR="006416B0" w:rsidRPr="00B4515A" w14:paraId="360078DA" w14:textId="77777777" w:rsidTr="00377920">
        <w:trPr>
          <w:trHeight w:val="340"/>
          <w:jc w:val="center"/>
        </w:trPr>
        <w:tc>
          <w:tcPr>
            <w:tcW w:w="674" w:type="dxa"/>
            <w:shd w:val="clear" w:color="auto" w:fill="auto"/>
            <w:tcMar>
              <w:top w:w="0" w:type="dxa"/>
              <w:left w:w="108" w:type="dxa"/>
              <w:bottom w:w="0" w:type="dxa"/>
              <w:right w:w="108" w:type="dxa"/>
            </w:tcMar>
            <w:vAlign w:val="center"/>
          </w:tcPr>
          <w:p w14:paraId="3E376E7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6F9628D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大唐实创（北京）投资有限公司</w:t>
            </w:r>
          </w:p>
        </w:tc>
        <w:tc>
          <w:tcPr>
            <w:tcW w:w="1123" w:type="dxa"/>
            <w:shd w:val="clear" w:color="auto" w:fill="auto"/>
            <w:tcMar>
              <w:top w:w="0" w:type="dxa"/>
              <w:left w:w="108" w:type="dxa"/>
              <w:bottom w:w="0" w:type="dxa"/>
              <w:right w:w="108" w:type="dxa"/>
            </w:tcMar>
            <w:vAlign w:val="center"/>
          </w:tcPr>
          <w:p w14:paraId="6EAABD3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6.05</w:t>
            </w:r>
          </w:p>
        </w:tc>
        <w:tc>
          <w:tcPr>
            <w:tcW w:w="1120" w:type="dxa"/>
            <w:shd w:val="clear" w:color="auto" w:fill="auto"/>
            <w:tcMar>
              <w:top w:w="0" w:type="dxa"/>
              <w:left w:w="108" w:type="dxa"/>
              <w:bottom w:w="0" w:type="dxa"/>
              <w:right w:w="108" w:type="dxa"/>
            </w:tcMar>
            <w:vAlign w:val="center"/>
          </w:tcPr>
          <w:p w14:paraId="2728D40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0.03</w:t>
            </w:r>
          </w:p>
        </w:tc>
        <w:tc>
          <w:tcPr>
            <w:tcW w:w="1179" w:type="dxa"/>
            <w:shd w:val="clear" w:color="auto" w:fill="auto"/>
            <w:tcMar>
              <w:top w:w="0" w:type="dxa"/>
              <w:left w:w="108" w:type="dxa"/>
              <w:bottom w:w="0" w:type="dxa"/>
              <w:right w:w="108" w:type="dxa"/>
            </w:tcMar>
            <w:vAlign w:val="center"/>
          </w:tcPr>
          <w:p w14:paraId="645BA2B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70" w:type="dxa"/>
            <w:shd w:val="clear" w:color="auto" w:fill="auto"/>
            <w:tcMar>
              <w:top w:w="0" w:type="dxa"/>
              <w:left w:w="108" w:type="dxa"/>
              <w:bottom w:w="0" w:type="dxa"/>
              <w:right w:w="108" w:type="dxa"/>
            </w:tcMar>
            <w:vAlign w:val="center"/>
          </w:tcPr>
          <w:p w14:paraId="2A7DC52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29F7B458" w14:textId="77777777" w:rsidTr="00377920">
        <w:trPr>
          <w:trHeight w:val="340"/>
          <w:jc w:val="center"/>
        </w:trPr>
        <w:tc>
          <w:tcPr>
            <w:tcW w:w="674" w:type="dxa"/>
            <w:shd w:val="clear" w:color="auto" w:fill="auto"/>
            <w:tcMar>
              <w:top w:w="0" w:type="dxa"/>
              <w:left w:w="108" w:type="dxa"/>
              <w:bottom w:w="0" w:type="dxa"/>
              <w:right w:w="108" w:type="dxa"/>
            </w:tcMar>
            <w:vAlign w:val="center"/>
          </w:tcPr>
          <w:p w14:paraId="4B29125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01B0A67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电信科学技术第十研究所有限公司</w:t>
            </w:r>
          </w:p>
        </w:tc>
        <w:tc>
          <w:tcPr>
            <w:tcW w:w="1123" w:type="dxa"/>
            <w:shd w:val="clear" w:color="auto" w:fill="auto"/>
            <w:tcMar>
              <w:top w:w="0" w:type="dxa"/>
              <w:left w:w="108" w:type="dxa"/>
              <w:bottom w:w="0" w:type="dxa"/>
              <w:right w:w="108" w:type="dxa"/>
            </w:tcMar>
            <w:vAlign w:val="center"/>
          </w:tcPr>
          <w:p w14:paraId="70EDD79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16.73</w:t>
            </w:r>
          </w:p>
        </w:tc>
        <w:tc>
          <w:tcPr>
            <w:tcW w:w="1120" w:type="dxa"/>
            <w:shd w:val="clear" w:color="auto" w:fill="auto"/>
            <w:tcMar>
              <w:top w:w="0" w:type="dxa"/>
              <w:left w:w="108" w:type="dxa"/>
              <w:bottom w:w="0" w:type="dxa"/>
              <w:right w:w="108" w:type="dxa"/>
            </w:tcMar>
            <w:vAlign w:val="center"/>
          </w:tcPr>
          <w:p w14:paraId="6F7407C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0.08</w:t>
            </w:r>
          </w:p>
        </w:tc>
        <w:tc>
          <w:tcPr>
            <w:tcW w:w="1179" w:type="dxa"/>
            <w:shd w:val="clear" w:color="auto" w:fill="auto"/>
            <w:tcMar>
              <w:top w:w="0" w:type="dxa"/>
              <w:left w:w="108" w:type="dxa"/>
              <w:bottom w:w="0" w:type="dxa"/>
              <w:right w:w="108" w:type="dxa"/>
            </w:tcMar>
            <w:vAlign w:val="center"/>
          </w:tcPr>
          <w:p w14:paraId="515B6B4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181.67</w:t>
            </w:r>
          </w:p>
        </w:tc>
        <w:tc>
          <w:tcPr>
            <w:tcW w:w="1170" w:type="dxa"/>
            <w:shd w:val="clear" w:color="auto" w:fill="auto"/>
            <w:tcMar>
              <w:top w:w="0" w:type="dxa"/>
              <w:left w:w="108" w:type="dxa"/>
              <w:bottom w:w="0" w:type="dxa"/>
              <w:right w:w="108" w:type="dxa"/>
            </w:tcMar>
            <w:vAlign w:val="center"/>
          </w:tcPr>
          <w:p w14:paraId="3B2F8B1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0.91</w:t>
            </w:r>
          </w:p>
        </w:tc>
      </w:tr>
      <w:tr w:rsidR="006416B0" w:rsidRPr="00B4515A" w14:paraId="73979129" w14:textId="77777777" w:rsidTr="00377920">
        <w:trPr>
          <w:trHeight w:val="340"/>
          <w:jc w:val="center"/>
        </w:trPr>
        <w:tc>
          <w:tcPr>
            <w:tcW w:w="674" w:type="dxa"/>
            <w:shd w:val="clear" w:color="auto" w:fill="auto"/>
            <w:tcMar>
              <w:top w:w="0" w:type="dxa"/>
              <w:left w:w="108" w:type="dxa"/>
              <w:bottom w:w="0" w:type="dxa"/>
              <w:right w:w="108" w:type="dxa"/>
            </w:tcMar>
            <w:vAlign w:val="center"/>
          </w:tcPr>
          <w:p w14:paraId="1ECE564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6CD0D87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数据通信科学技术研究所</w:t>
            </w:r>
          </w:p>
        </w:tc>
        <w:tc>
          <w:tcPr>
            <w:tcW w:w="1123" w:type="dxa"/>
            <w:shd w:val="clear" w:color="auto" w:fill="auto"/>
            <w:tcMar>
              <w:top w:w="0" w:type="dxa"/>
              <w:left w:w="108" w:type="dxa"/>
              <w:bottom w:w="0" w:type="dxa"/>
              <w:right w:w="108" w:type="dxa"/>
            </w:tcMar>
            <w:vAlign w:val="center"/>
          </w:tcPr>
          <w:p w14:paraId="230DB5B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872.30</w:t>
            </w:r>
          </w:p>
        </w:tc>
        <w:tc>
          <w:tcPr>
            <w:tcW w:w="1120" w:type="dxa"/>
            <w:shd w:val="clear" w:color="auto" w:fill="auto"/>
            <w:tcMar>
              <w:top w:w="0" w:type="dxa"/>
              <w:left w:w="108" w:type="dxa"/>
              <w:bottom w:w="0" w:type="dxa"/>
              <w:right w:w="108" w:type="dxa"/>
            </w:tcMar>
            <w:vAlign w:val="center"/>
          </w:tcPr>
          <w:p w14:paraId="6001B90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4.36</w:t>
            </w:r>
          </w:p>
        </w:tc>
        <w:tc>
          <w:tcPr>
            <w:tcW w:w="1179" w:type="dxa"/>
            <w:shd w:val="clear" w:color="auto" w:fill="auto"/>
            <w:tcMar>
              <w:top w:w="0" w:type="dxa"/>
              <w:left w:w="108" w:type="dxa"/>
              <w:bottom w:w="0" w:type="dxa"/>
              <w:right w:w="108" w:type="dxa"/>
            </w:tcMar>
            <w:vAlign w:val="center"/>
          </w:tcPr>
          <w:p w14:paraId="3D24F3B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67.10</w:t>
            </w:r>
          </w:p>
        </w:tc>
        <w:tc>
          <w:tcPr>
            <w:tcW w:w="1170" w:type="dxa"/>
            <w:shd w:val="clear" w:color="auto" w:fill="auto"/>
            <w:tcMar>
              <w:top w:w="0" w:type="dxa"/>
              <w:left w:w="108" w:type="dxa"/>
              <w:bottom w:w="0" w:type="dxa"/>
              <w:right w:w="108" w:type="dxa"/>
            </w:tcMar>
            <w:vAlign w:val="center"/>
          </w:tcPr>
          <w:p w14:paraId="4DA5FAE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0.34</w:t>
            </w:r>
          </w:p>
        </w:tc>
      </w:tr>
      <w:tr w:rsidR="00377920" w:rsidRPr="00B4515A" w14:paraId="10240A88" w14:textId="77777777" w:rsidTr="00377920">
        <w:trPr>
          <w:trHeight w:val="340"/>
          <w:jc w:val="center"/>
        </w:trPr>
        <w:tc>
          <w:tcPr>
            <w:tcW w:w="674" w:type="dxa"/>
            <w:shd w:val="clear" w:color="auto" w:fill="auto"/>
            <w:tcMar>
              <w:top w:w="0" w:type="dxa"/>
              <w:left w:w="108" w:type="dxa"/>
              <w:bottom w:w="0" w:type="dxa"/>
              <w:right w:w="108" w:type="dxa"/>
            </w:tcMar>
            <w:vAlign w:val="center"/>
          </w:tcPr>
          <w:p w14:paraId="14935D7A" w14:textId="77777777" w:rsidR="00377920" w:rsidRPr="00B4515A" w:rsidRDefault="00377920" w:rsidP="00377920">
            <w:pPr>
              <w:adjustRightInd w:val="0"/>
              <w:snapToGrid w:val="0"/>
              <w:rPr>
                <w:rFonts w:ascii="Times New Roman" w:hAnsi="Times New Roman" w:cs="Times New Roman"/>
                <w:color w:val="000000"/>
                <w:sz w:val="21"/>
                <w:szCs w:val="21"/>
              </w:rPr>
            </w:pPr>
          </w:p>
        </w:tc>
        <w:tc>
          <w:tcPr>
            <w:tcW w:w="3497" w:type="dxa"/>
            <w:shd w:val="clear" w:color="auto" w:fill="auto"/>
            <w:tcMar>
              <w:top w:w="0" w:type="dxa"/>
              <w:left w:w="108" w:type="dxa"/>
              <w:bottom w:w="0" w:type="dxa"/>
              <w:right w:w="108" w:type="dxa"/>
            </w:tcMar>
            <w:vAlign w:val="center"/>
          </w:tcPr>
          <w:p w14:paraId="7475C7CA" w14:textId="435C4A58" w:rsidR="00377920" w:rsidRPr="00B4515A" w:rsidRDefault="00377920" w:rsidP="00377920">
            <w:pPr>
              <w:adjustRightInd w:val="0"/>
              <w:snapToGrid w:val="0"/>
              <w:rPr>
                <w:rFonts w:cs="Times New Roman"/>
                <w:color w:val="000000"/>
                <w:sz w:val="21"/>
                <w:szCs w:val="21"/>
              </w:rPr>
            </w:pPr>
            <w:r w:rsidRPr="00B4515A">
              <w:rPr>
                <w:rFonts w:cs="Times New Roman" w:hint="eastAsia"/>
                <w:color w:val="000000"/>
                <w:sz w:val="21"/>
                <w:szCs w:val="21"/>
              </w:rPr>
              <w:t>中信科移动通信技术股份有限公司</w:t>
            </w:r>
          </w:p>
        </w:tc>
        <w:tc>
          <w:tcPr>
            <w:tcW w:w="1123" w:type="dxa"/>
            <w:shd w:val="clear" w:color="auto" w:fill="auto"/>
            <w:tcMar>
              <w:top w:w="0" w:type="dxa"/>
              <w:left w:w="108" w:type="dxa"/>
              <w:bottom w:w="0" w:type="dxa"/>
              <w:right w:w="108" w:type="dxa"/>
            </w:tcMar>
            <w:vAlign w:val="center"/>
          </w:tcPr>
          <w:p w14:paraId="657E929B" w14:textId="4C2E3D0D" w:rsidR="00377920" w:rsidRPr="00B4515A" w:rsidRDefault="00377920" w:rsidP="00377920">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12.50</w:t>
            </w:r>
          </w:p>
        </w:tc>
        <w:tc>
          <w:tcPr>
            <w:tcW w:w="1120" w:type="dxa"/>
            <w:shd w:val="clear" w:color="auto" w:fill="auto"/>
            <w:tcMar>
              <w:top w:w="0" w:type="dxa"/>
              <w:left w:w="108" w:type="dxa"/>
              <w:bottom w:w="0" w:type="dxa"/>
              <w:right w:w="108" w:type="dxa"/>
            </w:tcMar>
            <w:vAlign w:val="center"/>
          </w:tcPr>
          <w:p w14:paraId="43CB38D2" w14:textId="24E8F8B6" w:rsidR="00377920" w:rsidRPr="00B4515A" w:rsidRDefault="00377920" w:rsidP="00377920">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0.13</w:t>
            </w:r>
          </w:p>
        </w:tc>
        <w:tc>
          <w:tcPr>
            <w:tcW w:w="1179" w:type="dxa"/>
            <w:shd w:val="clear" w:color="auto" w:fill="auto"/>
            <w:tcMar>
              <w:top w:w="0" w:type="dxa"/>
              <w:left w:w="108" w:type="dxa"/>
              <w:bottom w:w="0" w:type="dxa"/>
              <w:right w:w="108" w:type="dxa"/>
            </w:tcMar>
            <w:vAlign w:val="center"/>
          </w:tcPr>
          <w:p w14:paraId="664FBB6F" w14:textId="189A218E" w:rsidR="00377920" w:rsidRPr="00B4515A" w:rsidRDefault="00377920" w:rsidP="00377920">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12.50</w:t>
            </w:r>
          </w:p>
        </w:tc>
        <w:tc>
          <w:tcPr>
            <w:tcW w:w="1170" w:type="dxa"/>
            <w:shd w:val="clear" w:color="auto" w:fill="auto"/>
            <w:tcMar>
              <w:top w:w="0" w:type="dxa"/>
              <w:left w:w="108" w:type="dxa"/>
              <w:bottom w:w="0" w:type="dxa"/>
              <w:right w:w="108" w:type="dxa"/>
            </w:tcMar>
            <w:vAlign w:val="center"/>
          </w:tcPr>
          <w:p w14:paraId="1BD687CA" w14:textId="6C060A58" w:rsidR="00377920" w:rsidRPr="00B4515A" w:rsidRDefault="00377920" w:rsidP="00377920">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0.13</w:t>
            </w:r>
          </w:p>
        </w:tc>
      </w:tr>
      <w:tr w:rsidR="006416B0" w:rsidRPr="00B4515A" w14:paraId="1C2380D6" w14:textId="77777777" w:rsidTr="00377920">
        <w:trPr>
          <w:trHeight w:val="340"/>
          <w:jc w:val="center"/>
        </w:trPr>
        <w:tc>
          <w:tcPr>
            <w:tcW w:w="674" w:type="dxa"/>
            <w:shd w:val="clear" w:color="auto" w:fill="auto"/>
            <w:tcMar>
              <w:top w:w="0" w:type="dxa"/>
              <w:left w:w="108" w:type="dxa"/>
              <w:bottom w:w="0" w:type="dxa"/>
              <w:right w:w="108" w:type="dxa"/>
            </w:tcMar>
            <w:vAlign w:val="center"/>
          </w:tcPr>
          <w:p w14:paraId="18A8CDE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其他应收款</w:t>
            </w:r>
          </w:p>
        </w:tc>
        <w:tc>
          <w:tcPr>
            <w:tcW w:w="3497" w:type="dxa"/>
            <w:shd w:val="clear" w:color="auto" w:fill="auto"/>
            <w:tcMar>
              <w:top w:w="0" w:type="dxa"/>
              <w:left w:w="108" w:type="dxa"/>
              <w:bottom w:w="0" w:type="dxa"/>
              <w:right w:w="108" w:type="dxa"/>
            </w:tcMar>
            <w:vAlign w:val="center"/>
          </w:tcPr>
          <w:p w14:paraId="1EEFE21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1123" w:type="dxa"/>
            <w:shd w:val="clear" w:color="auto" w:fill="auto"/>
            <w:tcMar>
              <w:top w:w="0" w:type="dxa"/>
              <w:left w:w="108" w:type="dxa"/>
              <w:bottom w:w="0" w:type="dxa"/>
              <w:right w:w="108" w:type="dxa"/>
            </w:tcMar>
            <w:vAlign w:val="center"/>
          </w:tcPr>
          <w:p w14:paraId="73C0AD7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20" w:type="dxa"/>
            <w:shd w:val="clear" w:color="auto" w:fill="auto"/>
            <w:tcMar>
              <w:top w:w="0" w:type="dxa"/>
              <w:left w:w="108" w:type="dxa"/>
              <w:bottom w:w="0" w:type="dxa"/>
              <w:right w:w="108" w:type="dxa"/>
            </w:tcMar>
            <w:vAlign w:val="center"/>
          </w:tcPr>
          <w:p w14:paraId="41CCBCA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79" w:type="dxa"/>
            <w:shd w:val="clear" w:color="auto" w:fill="auto"/>
            <w:tcMar>
              <w:top w:w="0" w:type="dxa"/>
              <w:left w:w="108" w:type="dxa"/>
              <w:bottom w:w="0" w:type="dxa"/>
              <w:right w:w="108" w:type="dxa"/>
            </w:tcMar>
            <w:vAlign w:val="center"/>
          </w:tcPr>
          <w:p w14:paraId="666D17B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70" w:type="dxa"/>
            <w:shd w:val="clear" w:color="auto" w:fill="auto"/>
            <w:tcMar>
              <w:top w:w="0" w:type="dxa"/>
              <w:left w:w="108" w:type="dxa"/>
              <w:bottom w:w="0" w:type="dxa"/>
              <w:right w:w="108" w:type="dxa"/>
            </w:tcMar>
            <w:vAlign w:val="center"/>
          </w:tcPr>
          <w:p w14:paraId="0233E6A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41BB4877" w14:textId="77777777" w:rsidTr="00377920">
        <w:trPr>
          <w:trHeight w:val="340"/>
          <w:jc w:val="center"/>
        </w:trPr>
        <w:tc>
          <w:tcPr>
            <w:tcW w:w="674" w:type="dxa"/>
            <w:shd w:val="clear" w:color="auto" w:fill="auto"/>
            <w:tcMar>
              <w:top w:w="0" w:type="dxa"/>
              <w:left w:w="108" w:type="dxa"/>
              <w:bottom w:w="0" w:type="dxa"/>
              <w:right w:w="108" w:type="dxa"/>
            </w:tcMar>
            <w:vAlign w:val="center"/>
          </w:tcPr>
          <w:p w14:paraId="19125D20"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708B54C3" w14:textId="77777777" w:rsidR="006416B0" w:rsidRPr="00B4515A" w:rsidRDefault="005E58C1" w:rsidP="005860B4">
            <w:pPr>
              <w:adjustRightInd w:val="0"/>
              <w:snapToGrid w:val="0"/>
              <w:jc w:val="both"/>
              <w:rPr>
                <w:rFonts w:ascii="Times New Roman" w:hAnsi="Times New Roman" w:cs="Times New Roman"/>
                <w:color w:val="000000"/>
                <w:sz w:val="21"/>
                <w:szCs w:val="21"/>
              </w:rPr>
            </w:pPr>
            <w:r w:rsidRPr="00B4515A">
              <w:rPr>
                <w:rFonts w:cs="Times New Roman" w:hint="eastAsia"/>
                <w:color w:val="000000"/>
                <w:sz w:val="21"/>
                <w:szCs w:val="21"/>
              </w:rPr>
              <w:t>中国信息通信科技集团有限公司</w:t>
            </w:r>
          </w:p>
        </w:tc>
        <w:tc>
          <w:tcPr>
            <w:tcW w:w="1123" w:type="dxa"/>
            <w:shd w:val="clear" w:color="auto" w:fill="auto"/>
            <w:tcMar>
              <w:top w:w="0" w:type="dxa"/>
              <w:left w:w="108" w:type="dxa"/>
              <w:bottom w:w="0" w:type="dxa"/>
              <w:right w:w="108" w:type="dxa"/>
            </w:tcMar>
            <w:vAlign w:val="center"/>
          </w:tcPr>
          <w:p w14:paraId="2C3FA943" w14:textId="5E2780A4" w:rsidR="006416B0" w:rsidRPr="00B4515A" w:rsidRDefault="000034F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100,000.00 </w:t>
            </w:r>
          </w:p>
        </w:tc>
        <w:tc>
          <w:tcPr>
            <w:tcW w:w="1120" w:type="dxa"/>
            <w:shd w:val="clear" w:color="auto" w:fill="auto"/>
            <w:tcMar>
              <w:top w:w="0" w:type="dxa"/>
              <w:left w:w="108" w:type="dxa"/>
              <w:bottom w:w="0" w:type="dxa"/>
              <w:right w:w="108" w:type="dxa"/>
            </w:tcMar>
            <w:vAlign w:val="center"/>
          </w:tcPr>
          <w:p w14:paraId="214D42E3" w14:textId="2C7F0219" w:rsidR="006416B0" w:rsidRPr="00B4515A" w:rsidRDefault="000034F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179" w:type="dxa"/>
            <w:shd w:val="clear" w:color="auto" w:fill="auto"/>
            <w:tcMar>
              <w:top w:w="0" w:type="dxa"/>
              <w:left w:w="108" w:type="dxa"/>
              <w:bottom w:w="0" w:type="dxa"/>
              <w:right w:w="108" w:type="dxa"/>
            </w:tcMar>
            <w:vAlign w:val="center"/>
          </w:tcPr>
          <w:p w14:paraId="2C0BC63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100,000.00</w:t>
            </w:r>
          </w:p>
        </w:tc>
        <w:tc>
          <w:tcPr>
            <w:tcW w:w="1170" w:type="dxa"/>
            <w:shd w:val="clear" w:color="auto" w:fill="auto"/>
            <w:tcMar>
              <w:top w:w="0" w:type="dxa"/>
              <w:left w:w="108" w:type="dxa"/>
              <w:bottom w:w="0" w:type="dxa"/>
              <w:right w:w="108" w:type="dxa"/>
            </w:tcMar>
            <w:vAlign w:val="center"/>
          </w:tcPr>
          <w:p w14:paraId="5AC1392D" w14:textId="1F804FDA" w:rsidR="006416B0" w:rsidRPr="00B4515A" w:rsidRDefault="000034F2"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7A0EFF" w:rsidRPr="00B4515A" w14:paraId="5DB63C7C" w14:textId="77777777" w:rsidTr="00377920">
        <w:trPr>
          <w:trHeight w:val="340"/>
          <w:jc w:val="center"/>
        </w:trPr>
        <w:tc>
          <w:tcPr>
            <w:tcW w:w="674" w:type="dxa"/>
            <w:shd w:val="clear" w:color="auto" w:fill="auto"/>
            <w:tcMar>
              <w:top w:w="0" w:type="dxa"/>
              <w:left w:w="108" w:type="dxa"/>
              <w:bottom w:w="0" w:type="dxa"/>
              <w:right w:w="108" w:type="dxa"/>
            </w:tcMar>
            <w:vAlign w:val="center"/>
          </w:tcPr>
          <w:p w14:paraId="48D7E442" w14:textId="77777777" w:rsidR="007A0EFF" w:rsidRPr="00B4515A" w:rsidRDefault="007A0EFF"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1D5C8874" w14:textId="77777777" w:rsidR="007A0EFF" w:rsidRPr="00B4515A" w:rsidRDefault="007A0EFF"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周浩</w:t>
            </w:r>
          </w:p>
        </w:tc>
        <w:tc>
          <w:tcPr>
            <w:tcW w:w="1123" w:type="dxa"/>
            <w:shd w:val="clear" w:color="auto" w:fill="auto"/>
            <w:tcMar>
              <w:top w:w="0" w:type="dxa"/>
              <w:left w:w="108" w:type="dxa"/>
              <w:bottom w:w="0" w:type="dxa"/>
              <w:right w:w="108" w:type="dxa"/>
            </w:tcMar>
            <w:vAlign w:val="center"/>
          </w:tcPr>
          <w:p w14:paraId="01EB80C4" w14:textId="1A863DBE" w:rsidR="007A0EFF" w:rsidRPr="00B4515A" w:rsidRDefault="007A0EFF"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8,526.00 </w:t>
            </w:r>
          </w:p>
        </w:tc>
        <w:tc>
          <w:tcPr>
            <w:tcW w:w="1120" w:type="dxa"/>
            <w:shd w:val="clear" w:color="auto" w:fill="auto"/>
            <w:tcMar>
              <w:top w:w="0" w:type="dxa"/>
              <w:left w:w="108" w:type="dxa"/>
              <w:bottom w:w="0" w:type="dxa"/>
              <w:right w:w="108" w:type="dxa"/>
            </w:tcMar>
            <w:vAlign w:val="center"/>
          </w:tcPr>
          <w:p w14:paraId="42B7A2A4" w14:textId="2AFB6217" w:rsidR="007A0EFF" w:rsidRPr="00B4515A" w:rsidRDefault="007A0EFF"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7,796.00 </w:t>
            </w:r>
          </w:p>
        </w:tc>
        <w:tc>
          <w:tcPr>
            <w:tcW w:w="1179" w:type="dxa"/>
            <w:shd w:val="clear" w:color="auto" w:fill="auto"/>
            <w:tcMar>
              <w:top w:w="0" w:type="dxa"/>
              <w:left w:w="108" w:type="dxa"/>
              <w:bottom w:w="0" w:type="dxa"/>
              <w:right w:w="108" w:type="dxa"/>
            </w:tcMar>
            <w:vAlign w:val="center"/>
          </w:tcPr>
          <w:p w14:paraId="19E73357" w14:textId="08EECB73" w:rsidR="007A0EFF" w:rsidRPr="00B4515A" w:rsidRDefault="007A0EFF"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8,526.00 </w:t>
            </w:r>
          </w:p>
        </w:tc>
        <w:tc>
          <w:tcPr>
            <w:tcW w:w="1170" w:type="dxa"/>
            <w:shd w:val="clear" w:color="auto" w:fill="auto"/>
            <w:tcMar>
              <w:top w:w="0" w:type="dxa"/>
              <w:left w:w="108" w:type="dxa"/>
              <w:bottom w:w="0" w:type="dxa"/>
              <w:right w:w="108" w:type="dxa"/>
            </w:tcMar>
            <w:vAlign w:val="center"/>
          </w:tcPr>
          <w:p w14:paraId="55A95F34" w14:textId="4BFFAC01" w:rsidR="007A0EFF" w:rsidRPr="00B4515A" w:rsidRDefault="007A0EFF"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7,796.00 </w:t>
            </w:r>
          </w:p>
        </w:tc>
      </w:tr>
      <w:tr w:rsidR="007A0EFF" w:rsidRPr="00B4515A" w14:paraId="0710FCA0" w14:textId="77777777" w:rsidTr="00377920">
        <w:trPr>
          <w:trHeight w:val="340"/>
          <w:jc w:val="center"/>
        </w:trPr>
        <w:tc>
          <w:tcPr>
            <w:tcW w:w="674" w:type="dxa"/>
            <w:shd w:val="clear" w:color="auto" w:fill="auto"/>
            <w:tcMar>
              <w:top w:w="0" w:type="dxa"/>
              <w:left w:w="108" w:type="dxa"/>
              <w:bottom w:w="0" w:type="dxa"/>
              <w:right w:w="108" w:type="dxa"/>
            </w:tcMar>
            <w:vAlign w:val="center"/>
          </w:tcPr>
          <w:p w14:paraId="333B3EC9" w14:textId="77777777" w:rsidR="007A0EFF" w:rsidRPr="00B4515A" w:rsidRDefault="007A0EFF"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02E4616A" w14:textId="77777777" w:rsidR="007A0EFF" w:rsidRPr="00B4515A" w:rsidRDefault="007A0EFF"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陈勇</w:t>
            </w:r>
          </w:p>
        </w:tc>
        <w:tc>
          <w:tcPr>
            <w:tcW w:w="1123" w:type="dxa"/>
            <w:shd w:val="clear" w:color="auto" w:fill="auto"/>
            <w:tcMar>
              <w:top w:w="0" w:type="dxa"/>
              <w:left w:w="108" w:type="dxa"/>
              <w:bottom w:w="0" w:type="dxa"/>
              <w:right w:w="108" w:type="dxa"/>
            </w:tcMar>
            <w:vAlign w:val="center"/>
          </w:tcPr>
          <w:p w14:paraId="0E79E26C" w14:textId="2A76892B" w:rsidR="007A0EFF" w:rsidRPr="00B4515A" w:rsidRDefault="007A0EFF"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8,526.00 </w:t>
            </w:r>
          </w:p>
        </w:tc>
        <w:tc>
          <w:tcPr>
            <w:tcW w:w="1120" w:type="dxa"/>
            <w:shd w:val="clear" w:color="auto" w:fill="auto"/>
            <w:tcMar>
              <w:top w:w="0" w:type="dxa"/>
              <w:left w:w="108" w:type="dxa"/>
              <w:bottom w:w="0" w:type="dxa"/>
              <w:right w:w="108" w:type="dxa"/>
            </w:tcMar>
            <w:vAlign w:val="center"/>
          </w:tcPr>
          <w:p w14:paraId="74F00494" w14:textId="2078F231" w:rsidR="007A0EFF" w:rsidRPr="00B4515A" w:rsidRDefault="007A0EFF"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7,796.00 </w:t>
            </w:r>
          </w:p>
        </w:tc>
        <w:tc>
          <w:tcPr>
            <w:tcW w:w="1179" w:type="dxa"/>
            <w:shd w:val="clear" w:color="auto" w:fill="auto"/>
            <w:tcMar>
              <w:top w:w="0" w:type="dxa"/>
              <w:left w:w="108" w:type="dxa"/>
              <w:bottom w:w="0" w:type="dxa"/>
              <w:right w:w="108" w:type="dxa"/>
            </w:tcMar>
            <w:vAlign w:val="center"/>
          </w:tcPr>
          <w:p w14:paraId="36EC8D37" w14:textId="5AF004C9" w:rsidR="007A0EFF" w:rsidRPr="00B4515A" w:rsidRDefault="007A0EFF"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8,526.00 </w:t>
            </w:r>
          </w:p>
        </w:tc>
        <w:tc>
          <w:tcPr>
            <w:tcW w:w="1170" w:type="dxa"/>
            <w:shd w:val="clear" w:color="auto" w:fill="auto"/>
            <w:tcMar>
              <w:top w:w="0" w:type="dxa"/>
              <w:left w:w="108" w:type="dxa"/>
              <w:bottom w:w="0" w:type="dxa"/>
              <w:right w:w="108" w:type="dxa"/>
            </w:tcMar>
            <w:vAlign w:val="center"/>
          </w:tcPr>
          <w:p w14:paraId="2BF23CBE" w14:textId="3CB657F6" w:rsidR="007A0EFF" w:rsidRPr="00B4515A" w:rsidRDefault="007A0EFF"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7,796.00 </w:t>
            </w:r>
          </w:p>
        </w:tc>
      </w:tr>
      <w:tr w:rsidR="006416B0" w:rsidRPr="00B4515A" w14:paraId="49D3331C" w14:textId="77777777" w:rsidTr="00377920">
        <w:trPr>
          <w:trHeight w:val="340"/>
          <w:jc w:val="center"/>
        </w:trPr>
        <w:tc>
          <w:tcPr>
            <w:tcW w:w="674" w:type="dxa"/>
            <w:shd w:val="clear" w:color="auto" w:fill="auto"/>
            <w:tcMar>
              <w:top w:w="0" w:type="dxa"/>
              <w:left w:w="108" w:type="dxa"/>
              <w:bottom w:w="0" w:type="dxa"/>
              <w:right w:w="108" w:type="dxa"/>
            </w:tcMar>
            <w:vAlign w:val="center"/>
          </w:tcPr>
          <w:p w14:paraId="31B8310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023EE95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西安大唐监控技术有限公司</w:t>
            </w:r>
          </w:p>
        </w:tc>
        <w:tc>
          <w:tcPr>
            <w:tcW w:w="1123" w:type="dxa"/>
            <w:shd w:val="clear" w:color="auto" w:fill="auto"/>
            <w:tcMar>
              <w:top w:w="0" w:type="dxa"/>
              <w:left w:w="108" w:type="dxa"/>
              <w:bottom w:w="0" w:type="dxa"/>
              <w:right w:w="108" w:type="dxa"/>
            </w:tcMar>
            <w:vAlign w:val="center"/>
          </w:tcPr>
          <w:p w14:paraId="428B514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491.61</w:t>
            </w:r>
          </w:p>
        </w:tc>
        <w:tc>
          <w:tcPr>
            <w:tcW w:w="1120" w:type="dxa"/>
            <w:shd w:val="clear" w:color="auto" w:fill="auto"/>
            <w:tcMar>
              <w:top w:w="0" w:type="dxa"/>
              <w:left w:w="108" w:type="dxa"/>
              <w:bottom w:w="0" w:type="dxa"/>
              <w:right w:w="108" w:type="dxa"/>
            </w:tcMar>
            <w:vAlign w:val="center"/>
          </w:tcPr>
          <w:p w14:paraId="75B8F47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481.96</w:t>
            </w:r>
          </w:p>
        </w:tc>
        <w:tc>
          <w:tcPr>
            <w:tcW w:w="1179" w:type="dxa"/>
            <w:shd w:val="clear" w:color="auto" w:fill="auto"/>
            <w:tcMar>
              <w:top w:w="0" w:type="dxa"/>
              <w:left w:w="108" w:type="dxa"/>
              <w:bottom w:w="0" w:type="dxa"/>
              <w:right w:w="108" w:type="dxa"/>
            </w:tcMar>
            <w:vAlign w:val="center"/>
          </w:tcPr>
          <w:p w14:paraId="53887A5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491.61</w:t>
            </w:r>
          </w:p>
        </w:tc>
        <w:tc>
          <w:tcPr>
            <w:tcW w:w="1170" w:type="dxa"/>
            <w:shd w:val="clear" w:color="auto" w:fill="auto"/>
            <w:tcMar>
              <w:top w:w="0" w:type="dxa"/>
              <w:left w:w="108" w:type="dxa"/>
              <w:bottom w:w="0" w:type="dxa"/>
              <w:right w:w="108" w:type="dxa"/>
            </w:tcMar>
            <w:vAlign w:val="center"/>
          </w:tcPr>
          <w:p w14:paraId="35CB0D8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481.96</w:t>
            </w:r>
          </w:p>
        </w:tc>
      </w:tr>
      <w:tr w:rsidR="006416B0" w:rsidRPr="00B4515A" w14:paraId="387D620F" w14:textId="77777777" w:rsidTr="00377920">
        <w:trPr>
          <w:trHeight w:val="340"/>
          <w:jc w:val="center"/>
        </w:trPr>
        <w:tc>
          <w:tcPr>
            <w:tcW w:w="674" w:type="dxa"/>
            <w:shd w:val="clear" w:color="auto" w:fill="auto"/>
            <w:tcMar>
              <w:top w:w="0" w:type="dxa"/>
              <w:left w:w="108" w:type="dxa"/>
              <w:bottom w:w="0" w:type="dxa"/>
              <w:right w:w="108" w:type="dxa"/>
            </w:tcMar>
            <w:vAlign w:val="center"/>
          </w:tcPr>
          <w:p w14:paraId="465C9A0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698EDF9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北京大唐智能卡技术有限公司</w:t>
            </w:r>
          </w:p>
        </w:tc>
        <w:tc>
          <w:tcPr>
            <w:tcW w:w="1123" w:type="dxa"/>
            <w:shd w:val="clear" w:color="auto" w:fill="auto"/>
            <w:tcMar>
              <w:top w:w="0" w:type="dxa"/>
              <w:left w:w="108" w:type="dxa"/>
              <w:bottom w:w="0" w:type="dxa"/>
              <w:right w:w="108" w:type="dxa"/>
            </w:tcMar>
            <w:vAlign w:val="center"/>
          </w:tcPr>
          <w:p w14:paraId="292512F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345.51</w:t>
            </w:r>
          </w:p>
        </w:tc>
        <w:tc>
          <w:tcPr>
            <w:tcW w:w="1120" w:type="dxa"/>
            <w:shd w:val="clear" w:color="auto" w:fill="auto"/>
            <w:tcMar>
              <w:top w:w="0" w:type="dxa"/>
              <w:left w:w="108" w:type="dxa"/>
              <w:bottom w:w="0" w:type="dxa"/>
              <w:right w:w="108" w:type="dxa"/>
            </w:tcMar>
            <w:vAlign w:val="center"/>
          </w:tcPr>
          <w:p w14:paraId="0E54E5B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45.52</w:t>
            </w:r>
          </w:p>
        </w:tc>
        <w:tc>
          <w:tcPr>
            <w:tcW w:w="1179" w:type="dxa"/>
            <w:shd w:val="clear" w:color="auto" w:fill="auto"/>
            <w:tcMar>
              <w:top w:w="0" w:type="dxa"/>
              <w:left w:w="108" w:type="dxa"/>
              <w:bottom w:w="0" w:type="dxa"/>
              <w:right w:w="108" w:type="dxa"/>
            </w:tcMar>
            <w:vAlign w:val="center"/>
          </w:tcPr>
          <w:p w14:paraId="69FD9DD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319.34</w:t>
            </w:r>
          </w:p>
        </w:tc>
        <w:tc>
          <w:tcPr>
            <w:tcW w:w="1170" w:type="dxa"/>
            <w:shd w:val="clear" w:color="auto" w:fill="auto"/>
            <w:tcMar>
              <w:top w:w="0" w:type="dxa"/>
              <w:left w:w="108" w:type="dxa"/>
              <w:bottom w:w="0" w:type="dxa"/>
              <w:right w:w="108" w:type="dxa"/>
            </w:tcMar>
            <w:vAlign w:val="center"/>
          </w:tcPr>
          <w:p w14:paraId="419CD3F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45.39</w:t>
            </w:r>
          </w:p>
        </w:tc>
      </w:tr>
      <w:tr w:rsidR="006416B0" w:rsidRPr="00B4515A" w14:paraId="4D1693D1" w14:textId="77777777" w:rsidTr="00377920">
        <w:trPr>
          <w:trHeight w:val="340"/>
          <w:jc w:val="center"/>
        </w:trPr>
        <w:tc>
          <w:tcPr>
            <w:tcW w:w="674" w:type="dxa"/>
            <w:shd w:val="clear" w:color="auto" w:fill="auto"/>
            <w:tcMar>
              <w:top w:w="0" w:type="dxa"/>
              <w:left w:w="108" w:type="dxa"/>
              <w:bottom w:w="0" w:type="dxa"/>
              <w:right w:w="108" w:type="dxa"/>
            </w:tcMar>
            <w:vAlign w:val="center"/>
          </w:tcPr>
          <w:p w14:paraId="3D27A86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3575224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大唐半导体科技有限公司</w:t>
            </w:r>
          </w:p>
        </w:tc>
        <w:tc>
          <w:tcPr>
            <w:tcW w:w="1123" w:type="dxa"/>
            <w:shd w:val="clear" w:color="auto" w:fill="auto"/>
            <w:tcMar>
              <w:top w:w="0" w:type="dxa"/>
              <w:left w:w="108" w:type="dxa"/>
              <w:bottom w:w="0" w:type="dxa"/>
              <w:right w:w="108" w:type="dxa"/>
            </w:tcMar>
            <w:vAlign w:val="center"/>
          </w:tcPr>
          <w:p w14:paraId="69B1F9D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34.66</w:t>
            </w:r>
          </w:p>
        </w:tc>
        <w:tc>
          <w:tcPr>
            <w:tcW w:w="1120" w:type="dxa"/>
            <w:shd w:val="clear" w:color="auto" w:fill="auto"/>
            <w:tcMar>
              <w:top w:w="0" w:type="dxa"/>
              <w:left w:w="108" w:type="dxa"/>
              <w:bottom w:w="0" w:type="dxa"/>
              <w:right w:w="108" w:type="dxa"/>
            </w:tcMar>
            <w:vAlign w:val="center"/>
          </w:tcPr>
          <w:p w14:paraId="6BCA1EA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0.20</w:t>
            </w:r>
          </w:p>
        </w:tc>
        <w:tc>
          <w:tcPr>
            <w:tcW w:w="1179" w:type="dxa"/>
            <w:shd w:val="clear" w:color="auto" w:fill="auto"/>
            <w:tcMar>
              <w:top w:w="0" w:type="dxa"/>
              <w:left w:w="108" w:type="dxa"/>
              <w:bottom w:w="0" w:type="dxa"/>
              <w:right w:w="108" w:type="dxa"/>
            </w:tcMar>
            <w:vAlign w:val="center"/>
          </w:tcPr>
          <w:p w14:paraId="4406779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2.07</w:t>
            </w:r>
          </w:p>
        </w:tc>
        <w:tc>
          <w:tcPr>
            <w:tcW w:w="1170" w:type="dxa"/>
            <w:shd w:val="clear" w:color="auto" w:fill="auto"/>
            <w:tcMar>
              <w:top w:w="0" w:type="dxa"/>
              <w:left w:w="108" w:type="dxa"/>
              <w:bottom w:w="0" w:type="dxa"/>
              <w:right w:w="108" w:type="dxa"/>
            </w:tcMar>
            <w:vAlign w:val="center"/>
          </w:tcPr>
          <w:p w14:paraId="4727633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0.04</w:t>
            </w:r>
          </w:p>
        </w:tc>
      </w:tr>
      <w:tr w:rsidR="006416B0" w:rsidRPr="00B4515A" w14:paraId="7A2A144F" w14:textId="77777777" w:rsidTr="00377920">
        <w:trPr>
          <w:trHeight w:val="340"/>
          <w:jc w:val="center"/>
        </w:trPr>
        <w:tc>
          <w:tcPr>
            <w:tcW w:w="674" w:type="dxa"/>
            <w:shd w:val="clear" w:color="auto" w:fill="auto"/>
            <w:tcMar>
              <w:top w:w="0" w:type="dxa"/>
              <w:left w:w="108" w:type="dxa"/>
              <w:bottom w:w="0" w:type="dxa"/>
              <w:right w:w="108" w:type="dxa"/>
            </w:tcMar>
            <w:vAlign w:val="center"/>
          </w:tcPr>
          <w:p w14:paraId="76319A6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67FD6DA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大唐网络有限公司</w:t>
            </w:r>
          </w:p>
        </w:tc>
        <w:tc>
          <w:tcPr>
            <w:tcW w:w="1123" w:type="dxa"/>
            <w:shd w:val="clear" w:color="auto" w:fill="auto"/>
            <w:tcMar>
              <w:top w:w="0" w:type="dxa"/>
              <w:left w:w="108" w:type="dxa"/>
              <w:bottom w:w="0" w:type="dxa"/>
              <w:right w:w="108" w:type="dxa"/>
            </w:tcMar>
            <w:vAlign w:val="center"/>
          </w:tcPr>
          <w:p w14:paraId="0065AD9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140.24</w:t>
            </w:r>
          </w:p>
        </w:tc>
        <w:tc>
          <w:tcPr>
            <w:tcW w:w="1120" w:type="dxa"/>
            <w:shd w:val="clear" w:color="auto" w:fill="auto"/>
            <w:tcMar>
              <w:top w:w="0" w:type="dxa"/>
              <w:left w:w="108" w:type="dxa"/>
              <w:bottom w:w="0" w:type="dxa"/>
              <w:right w:w="108" w:type="dxa"/>
            </w:tcMar>
            <w:vAlign w:val="center"/>
          </w:tcPr>
          <w:p w14:paraId="57C22E1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134.19</w:t>
            </w:r>
          </w:p>
        </w:tc>
        <w:tc>
          <w:tcPr>
            <w:tcW w:w="1179" w:type="dxa"/>
            <w:shd w:val="clear" w:color="auto" w:fill="auto"/>
            <w:tcMar>
              <w:top w:w="0" w:type="dxa"/>
              <w:left w:w="108" w:type="dxa"/>
              <w:bottom w:w="0" w:type="dxa"/>
              <w:right w:w="108" w:type="dxa"/>
            </w:tcMar>
            <w:vAlign w:val="center"/>
          </w:tcPr>
          <w:p w14:paraId="4F6FCC5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140.24</w:t>
            </w:r>
          </w:p>
        </w:tc>
        <w:tc>
          <w:tcPr>
            <w:tcW w:w="1170" w:type="dxa"/>
            <w:shd w:val="clear" w:color="auto" w:fill="auto"/>
            <w:tcMar>
              <w:top w:w="0" w:type="dxa"/>
              <w:left w:w="108" w:type="dxa"/>
              <w:bottom w:w="0" w:type="dxa"/>
              <w:right w:w="108" w:type="dxa"/>
            </w:tcMar>
            <w:vAlign w:val="center"/>
          </w:tcPr>
          <w:p w14:paraId="0EFF7B4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134.19</w:t>
            </w:r>
          </w:p>
        </w:tc>
      </w:tr>
      <w:tr w:rsidR="006416B0" w:rsidRPr="00B4515A" w14:paraId="0137F0BF" w14:textId="77777777" w:rsidTr="00377920">
        <w:trPr>
          <w:trHeight w:val="340"/>
          <w:jc w:val="center"/>
        </w:trPr>
        <w:tc>
          <w:tcPr>
            <w:tcW w:w="674" w:type="dxa"/>
            <w:shd w:val="clear" w:color="auto" w:fill="auto"/>
            <w:tcMar>
              <w:top w:w="0" w:type="dxa"/>
              <w:left w:w="108" w:type="dxa"/>
              <w:bottom w:w="0" w:type="dxa"/>
              <w:right w:w="108" w:type="dxa"/>
            </w:tcMar>
            <w:vAlign w:val="center"/>
          </w:tcPr>
          <w:p w14:paraId="3B5A04A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497" w:type="dxa"/>
            <w:shd w:val="clear" w:color="auto" w:fill="auto"/>
            <w:tcMar>
              <w:top w:w="0" w:type="dxa"/>
              <w:left w:w="108" w:type="dxa"/>
              <w:bottom w:w="0" w:type="dxa"/>
              <w:right w:w="108" w:type="dxa"/>
            </w:tcMar>
            <w:vAlign w:val="center"/>
          </w:tcPr>
          <w:p w14:paraId="0771282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电信科学技术第十研究所有限公司</w:t>
            </w:r>
          </w:p>
        </w:tc>
        <w:tc>
          <w:tcPr>
            <w:tcW w:w="1123" w:type="dxa"/>
            <w:shd w:val="clear" w:color="auto" w:fill="auto"/>
            <w:tcMar>
              <w:top w:w="0" w:type="dxa"/>
              <w:left w:w="108" w:type="dxa"/>
              <w:bottom w:w="0" w:type="dxa"/>
              <w:right w:w="108" w:type="dxa"/>
            </w:tcMar>
            <w:vAlign w:val="center"/>
          </w:tcPr>
          <w:p w14:paraId="1B1E1D7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6.90</w:t>
            </w:r>
          </w:p>
        </w:tc>
        <w:tc>
          <w:tcPr>
            <w:tcW w:w="1120" w:type="dxa"/>
            <w:shd w:val="clear" w:color="auto" w:fill="auto"/>
            <w:tcMar>
              <w:top w:w="0" w:type="dxa"/>
              <w:left w:w="108" w:type="dxa"/>
              <w:bottom w:w="0" w:type="dxa"/>
              <w:right w:w="108" w:type="dxa"/>
            </w:tcMar>
            <w:vAlign w:val="center"/>
          </w:tcPr>
          <w:p w14:paraId="6D5D01A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0.34</w:t>
            </w:r>
          </w:p>
        </w:tc>
        <w:tc>
          <w:tcPr>
            <w:tcW w:w="1179" w:type="dxa"/>
            <w:shd w:val="clear" w:color="auto" w:fill="auto"/>
            <w:tcMar>
              <w:top w:w="0" w:type="dxa"/>
              <w:left w:w="108" w:type="dxa"/>
              <w:bottom w:w="0" w:type="dxa"/>
              <w:right w:w="108" w:type="dxa"/>
            </w:tcMar>
            <w:vAlign w:val="center"/>
          </w:tcPr>
          <w:p w14:paraId="2415FA1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6.90</w:t>
            </w:r>
          </w:p>
        </w:tc>
        <w:tc>
          <w:tcPr>
            <w:tcW w:w="1170" w:type="dxa"/>
            <w:shd w:val="clear" w:color="auto" w:fill="auto"/>
            <w:tcMar>
              <w:top w:w="0" w:type="dxa"/>
              <w:left w:w="108" w:type="dxa"/>
              <w:bottom w:w="0" w:type="dxa"/>
              <w:right w:w="108" w:type="dxa"/>
            </w:tcMar>
            <w:vAlign w:val="center"/>
          </w:tcPr>
          <w:p w14:paraId="7A28906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0.34</w:t>
            </w:r>
          </w:p>
        </w:tc>
      </w:tr>
    </w:tbl>
    <w:p w14:paraId="6E161755" w14:textId="73DB850A" w:rsidR="006416B0" w:rsidRPr="00B4515A" w:rsidRDefault="005E58C1" w:rsidP="006100BC">
      <w:pPr>
        <w:pStyle w:val="004"/>
        <w:spacing w:before="120" w:after="120"/>
        <w:ind w:firstLine="482"/>
      </w:pPr>
      <w:r w:rsidRPr="00B4515A">
        <w:t>2</w:t>
      </w:r>
      <w:r w:rsidRPr="00B4515A">
        <w:rPr>
          <w:rFonts w:hint="eastAsia"/>
        </w:rPr>
        <w:t>、本次交易完成后上市公司关联方应付款项情况</w:t>
      </w:r>
    </w:p>
    <w:p w14:paraId="478BC599" w14:textId="18EBFCFA" w:rsidR="007A0EFF" w:rsidRPr="00B4515A" w:rsidRDefault="00D44516" w:rsidP="006100BC">
      <w:pPr>
        <w:pStyle w:val="009"/>
      </w:pPr>
      <w:r w:rsidRPr="00B4515A">
        <w:t>单位：万元</w:t>
      </w:r>
    </w:p>
    <w:tbl>
      <w:tblPr>
        <w:tblW w:w="5103"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618"/>
        <w:gridCol w:w="3760"/>
        <w:gridCol w:w="1446"/>
        <w:gridCol w:w="1880"/>
      </w:tblGrid>
      <w:tr w:rsidR="006416B0" w:rsidRPr="00B4515A" w14:paraId="240CCDEF" w14:textId="77777777" w:rsidTr="00C721A8">
        <w:trPr>
          <w:trHeight w:val="340"/>
          <w:tblHeader/>
          <w:jc w:val="center"/>
        </w:trPr>
        <w:tc>
          <w:tcPr>
            <w:tcW w:w="1618" w:type="dxa"/>
            <w:shd w:val="clear" w:color="auto" w:fill="auto"/>
            <w:tcMar>
              <w:top w:w="0" w:type="dxa"/>
              <w:left w:w="108" w:type="dxa"/>
              <w:bottom w:w="0" w:type="dxa"/>
              <w:right w:w="108" w:type="dxa"/>
            </w:tcMar>
            <w:vAlign w:val="center"/>
          </w:tcPr>
          <w:p w14:paraId="608A111C"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项目名称</w:t>
            </w:r>
          </w:p>
        </w:tc>
        <w:tc>
          <w:tcPr>
            <w:tcW w:w="3760" w:type="dxa"/>
            <w:shd w:val="clear" w:color="auto" w:fill="auto"/>
            <w:tcMar>
              <w:top w:w="0" w:type="dxa"/>
              <w:left w:w="108" w:type="dxa"/>
              <w:bottom w:w="0" w:type="dxa"/>
              <w:right w:w="108" w:type="dxa"/>
            </w:tcMar>
            <w:vAlign w:val="center"/>
          </w:tcPr>
          <w:p w14:paraId="2BBF5B7B"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cs="Times New Roman" w:hint="eastAsia"/>
                <w:b/>
                <w:color w:val="000000"/>
                <w:sz w:val="21"/>
                <w:szCs w:val="21"/>
              </w:rPr>
              <w:t>关联方</w:t>
            </w:r>
          </w:p>
        </w:tc>
        <w:tc>
          <w:tcPr>
            <w:tcW w:w="1446" w:type="dxa"/>
            <w:shd w:val="clear" w:color="auto" w:fill="auto"/>
            <w:tcMar>
              <w:top w:w="0" w:type="dxa"/>
              <w:left w:w="108" w:type="dxa"/>
              <w:bottom w:w="0" w:type="dxa"/>
              <w:right w:w="108" w:type="dxa"/>
            </w:tcMar>
            <w:vAlign w:val="center"/>
          </w:tcPr>
          <w:p w14:paraId="67253E45"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2021.4.30</w:t>
            </w:r>
          </w:p>
        </w:tc>
        <w:tc>
          <w:tcPr>
            <w:tcW w:w="1880" w:type="dxa"/>
            <w:shd w:val="clear" w:color="auto" w:fill="auto"/>
            <w:tcMar>
              <w:top w:w="0" w:type="dxa"/>
              <w:left w:w="108" w:type="dxa"/>
              <w:bottom w:w="0" w:type="dxa"/>
              <w:right w:w="108" w:type="dxa"/>
            </w:tcMar>
            <w:vAlign w:val="center"/>
          </w:tcPr>
          <w:p w14:paraId="1AD2CCF0" w14:textId="77777777" w:rsidR="006416B0" w:rsidRPr="00B4515A" w:rsidRDefault="005E58C1" w:rsidP="005860B4">
            <w:pPr>
              <w:adjustRightInd w:val="0"/>
              <w:snapToGrid w:val="0"/>
              <w:jc w:val="center"/>
              <w:rPr>
                <w:rFonts w:ascii="Times New Roman" w:hAnsi="Times New Roman" w:cs="Times New Roman"/>
                <w:b/>
                <w:color w:val="000000"/>
                <w:sz w:val="21"/>
                <w:szCs w:val="21"/>
              </w:rPr>
            </w:pPr>
            <w:r w:rsidRPr="00B4515A">
              <w:rPr>
                <w:rFonts w:ascii="Times New Roman" w:hAnsi="Times New Roman" w:cs="Times New Roman"/>
                <w:b/>
                <w:color w:val="000000"/>
                <w:sz w:val="21"/>
                <w:szCs w:val="21"/>
              </w:rPr>
              <w:t>2020.12.31</w:t>
            </w:r>
          </w:p>
        </w:tc>
      </w:tr>
      <w:tr w:rsidR="006416B0" w:rsidRPr="00B4515A" w14:paraId="3F601250"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1A450CE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应付账款</w:t>
            </w:r>
          </w:p>
        </w:tc>
        <w:tc>
          <w:tcPr>
            <w:tcW w:w="3760" w:type="dxa"/>
            <w:shd w:val="clear" w:color="auto" w:fill="auto"/>
            <w:tcMar>
              <w:top w:w="0" w:type="dxa"/>
              <w:left w:w="108" w:type="dxa"/>
              <w:bottom w:w="0" w:type="dxa"/>
              <w:right w:w="108" w:type="dxa"/>
            </w:tcMar>
            <w:vAlign w:val="center"/>
          </w:tcPr>
          <w:p w14:paraId="660C29B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1446" w:type="dxa"/>
            <w:shd w:val="clear" w:color="auto" w:fill="auto"/>
            <w:tcMar>
              <w:top w:w="0" w:type="dxa"/>
              <w:left w:w="108" w:type="dxa"/>
              <w:bottom w:w="0" w:type="dxa"/>
              <w:right w:w="108" w:type="dxa"/>
            </w:tcMar>
            <w:vAlign w:val="center"/>
          </w:tcPr>
          <w:p w14:paraId="7BAA509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1880" w:type="dxa"/>
            <w:shd w:val="clear" w:color="auto" w:fill="auto"/>
            <w:tcMar>
              <w:top w:w="0" w:type="dxa"/>
              <w:left w:w="108" w:type="dxa"/>
              <w:bottom w:w="0" w:type="dxa"/>
              <w:right w:w="108" w:type="dxa"/>
            </w:tcMar>
            <w:vAlign w:val="center"/>
          </w:tcPr>
          <w:p w14:paraId="4FE2804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r>
      <w:tr w:rsidR="006416B0" w:rsidRPr="00B4515A" w14:paraId="1BD8DE29"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63AB5DD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lastRenderedPageBreak/>
              <w:t xml:space="preserve">　</w:t>
            </w:r>
          </w:p>
        </w:tc>
        <w:tc>
          <w:tcPr>
            <w:tcW w:w="3760" w:type="dxa"/>
            <w:shd w:val="clear" w:color="auto" w:fill="auto"/>
            <w:tcMar>
              <w:top w:w="0" w:type="dxa"/>
              <w:left w:w="108" w:type="dxa"/>
              <w:bottom w:w="0" w:type="dxa"/>
              <w:right w:w="108" w:type="dxa"/>
            </w:tcMar>
            <w:vAlign w:val="center"/>
          </w:tcPr>
          <w:p w14:paraId="403B74E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电信科学技术研究院有限公司</w:t>
            </w:r>
          </w:p>
        </w:tc>
        <w:tc>
          <w:tcPr>
            <w:tcW w:w="1446" w:type="dxa"/>
            <w:shd w:val="clear" w:color="auto" w:fill="auto"/>
            <w:tcMar>
              <w:top w:w="0" w:type="dxa"/>
              <w:left w:w="108" w:type="dxa"/>
              <w:bottom w:w="0" w:type="dxa"/>
              <w:right w:w="108" w:type="dxa"/>
            </w:tcMar>
            <w:vAlign w:val="center"/>
          </w:tcPr>
          <w:p w14:paraId="440037B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10,634.64</w:t>
            </w:r>
          </w:p>
        </w:tc>
        <w:tc>
          <w:tcPr>
            <w:tcW w:w="1880" w:type="dxa"/>
            <w:shd w:val="clear" w:color="auto" w:fill="auto"/>
            <w:tcMar>
              <w:top w:w="0" w:type="dxa"/>
              <w:left w:w="108" w:type="dxa"/>
              <w:bottom w:w="0" w:type="dxa"/>
              <w:right w:w="108" w:type="dxa"/>
            </w:tcMar>
            <w:vAlign w:val="center"/>
          </w:tcPr>
          <w:p w14:paraId="5766BFC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10,634.64</w:t>
            </w:r>
          </w:p>
        </w:tc>
      </w:tr>
      <w:tr w:rsidR="006416B0" w:rsidRPr="00B4515A" w14:paraId="224F0DFB"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69CF97B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5BFB687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中芯国际集成电路制造有限公司</w:t>
            </w:r>
          </w:p>
        </w:tc>
        <w:tc>
          <w:tcPr>
            <w:tcW w:w="1446" w:type="dxa"/>
            <w:shd w:val="clear" w:color="auto" w:fill="auto"/>
            <w:tcMar>
              <w:top w:w="0" w:type="dxa"/>
              <w:left w:w="108" w:type="dxa"/>
              <w:bottom w:w="0" w:type="dxa"/>
              <w:right w:w="108" w:type="dxa"/>
            </w:tcMar>
            <w:vAlign w:val="center"/>
          </w:tcPr>
          <w:p w14:paraId="56E3B78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67.70</w:t>
            </w:r>
          </w:p>
        </w:tc>
        <w:tc>
          <w:tcPr>
            <w:tcW w:w="1880" w:type="dxa"/>
            <w:shd w:val="clear" w:color="auto" w:fill="auto"/>
            <w:tcMar>
              <w:top w:w="0" w:type="dxa"/>
              <w:left w:w="108" w:type="dxa"/>
              <w:bottom w:w="0" w:type="dxa"/>
              <w:right w:w="108" w:type="dxa"/>
            </w:tcMar>
            <w:vAlign w:val="center"/>
          </w:tcPr>
          <w:p w14:paraId="7903CFF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375.87</w:t>
            </w:r>
          </w:p>
        </w:tc>
      </w:tr>
      <w:tr w:rsidR="006416B0" w:rsidRPr="00B4515A" w14:paraId="46A42111"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4DD80D6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7487239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大唐移动通信设备有限公司</w:t>
            </w:r>
          </w:p>
        </w:tc>
        <w:tc>
          <w:tcPr>
            <w:tcW w:w="1446" w:type="dxa"/>
            <w:shd w:val="clear" w:color="auto" w:fill="auto"/>
            <w:tcMar>
              <w:top w:w="0" w:type="dxa"/>
              <w:left w:w="108" w:type="dxa"/>
              <w:bottom w:w="0" w:type="dxa"/>
              <w:right w:w="108" w:type="dxa"/>
            </w:tcMar>
            <w:vAlign w:val="center"/>
          </w:tcPr>
          <w:p w14:paraId="7F6D961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6,642.00</w:t>
            </w:r>
          </w:p>
        </w:tc>
        <w:tc>
          <w:tcPr>
            <w:tcW w:w="1880" w:type="dxa"/>
            <w:shd w:val="clear" w:color="auto" w:fill="auto"/>
            <w:tcMar>
              <w:top w:w="0" w:type="dxa"/>
              <w:left w:w="108" w:type="dxa"/>
              <w:bottom w:w="0" w:type="dxa"/>
              <w:right w:w="108" w:type="dxa"/>
            </w:tcMar>
            <w:vAlign w:val="center"/>
          </w:tcPr>
          <w:p w14:paraId="2A241E1E"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5,662.38</w:t>
            </w:r>
          </w:p>
        </w:tc>
      </w:tr>
      <w:tr w:rsidR="006416B0" w:rsidRPr="00B4515A" w14:paraId="04C35708"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21955D8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7A328B9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北京大唐智能卡技术有限公司</w:t>
            </w:r>
          </w:p>
        </w:tc>
        <w:tc>
          <w:tcPr>
            <w:tcW w:w="1446" w:type="dxa"/>
            <w:shd w:val="clear" w:color="auto" w:fill="auto"/>
            <w:tcMar>
              <w:top w:w="0" w:type="dxa"/>
              <w:left w:w="108" w:type="dxa"/>
              <w:bottom w:w="0" w:type="dxa"/>
              <w:right w:w="108" w:type="dxa"/>
            </w:tcMar>
            <w:vAlign w:val="center"/>
          </w:tcPr>
          <w:p w14:paraId="00210D0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2.25</w:t>
            </w:r>
          </w:p>
        </w:tc>
        <w:tc>
          <w:tcPr>
            <w:tcW w:w="1880" w:type="dxa"/>
            <w:shd w:val="clear" w:color="auto" w:fill="auto"/>
            <w:tcMar>
              <w:top w:w="0" w:type="dxa"/>
              <w:left w:w="108" w:type="dxa"/>
              <w:bottom w:w="0" w:type="dxa"/>
              <w:right w:w="108" w:type="dxa"/>
            </w:tcMar>
            <w:vAlign w:val="center"/>
          </w:tcPr>
          <w:p w14:paraId="0EFC6BE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792.42</w:t>
            </w:r>
          </w:p>
        </w:tc>
      </w:tr>
      <w:tr w:rsidR="006416B0" w:rsidRPr="00B4515A" w14:paraId="47E3AA67"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54EE89E7"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5E2D579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西安翠华通信技术有限公司</w:t>
            </w:r>
          </w:p>
        </w:tc>
        <w:tc>
          <w:tcPr>
            <w:tcW w:w="1446" w:type="dxa"/>
            <w:shd w:val="clear" w:color="auto" w:fill="auto"/>
            <w:tcMar>
              <w:top w:w="0" w:type="dxa"/>
              <w:left w:w="108" w:type="dxa"/>
              <w:bottom w:w="0" w:type="dxa"/>
              <w:right w:w="108" w:type="dxa"/>
            </w:tcMar>
            <w:vAlign w:val="center"/>
          </w:tcPr>
          <w:p w14:paraId="0C8509E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225.27</w:t>
            </w:r>
          </w:p>
        </w:tc>
        <w:tc>
          <w:tcPr>
            <w:tcW w:w="1880" w:type="dxa"/>
            <w:shd w:val="clear" w:color="auto" w:fill="auto"/>
            <w:tcMar>
              <w:top w:w="0" w:type="dxa"/>
              <w:left w:w="108" w:type="dxa"/>
              <w:bottom w:w="0" w:type="dxa"/>
              <w:right w:w="108" w:type="dxa"/>
            </w:tcMar>
            <w:vAlign w:val="center"/>
          </w:tcPr>
          <w:p w14:paraId="66D9AD8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225.27</w:t>
            </w:r>
          </w:p>
        </w:tc>
      </w:tr>
      <w:tr w:rsidR="006416B0" w:rsidRPr="00B4515A" w14:paraId="2FC9CED7"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040D036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0247E23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大唐高鸿数据网络技术股份有限公司</w:t>
            </w:r>
          </w:p>
        </w:tc>
        <w:tc>
          <w:tcPr>
            <w:tcW w:w="1446" w:type="dxa"/>
            <w:shd w:val="clear" w:color="auto" w:fill="auto"/>
            <w:tcMar>
              <w:top w:w="0" w:type="dxa"/>
              <w:left w:w="108" w:type="dxa"/>
              <w:bottom w:w="0" w:type="dxa"/>
              <w:right w:w="108" w:type="dxa"/>
            </w:tcMar>
            <w:vAlign w:val="center"/>
          </w:tcPr>
          <w:p w14:paraId="1ABEAF2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0.66</w:t>
            </w:r>
          </w:p>
        </w:tc>
        <w:tc>
          <w:tcPr>
            <w:tcW w:w="1880" w:type="dxa"/>
            <w:shd w:val="clear" w:color="auto" w:fill="auto"/>
            <w:tcMar>
              <w:top w:w="0" w:type="dxa"/>
              <w:left w:w="108" w:type="dxa"/>
              <w:bottom w:w="0" w:type="dxa"/>
              <w:right w:w="108" w:type="dxa"/>
            </w:tcMar>
            <w:vAlign w:val="center"/>
          </w:tcPr>
          <w:p w14:paraId="20531E9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69.98</w:t>
            </w:r>
          </w:p>
        </w:tc>
      </w:tr>
      <w:tr w:rsidR="006416B0" w:rsidRPr="00B4515A" w14:paraId="1243CC28"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6C10E03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5E76EDE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数据通信科学技术研究所</w:t>
            </w:r>
          </w:p>
        </w:tc>
        <w:tc>
          <w:tcPr>
            <w:tcW w:w="1446" w:type="dxa"/>
            <w:shd w:val="clear" w:color="auto" w:fill="auto"/>
            <w:tcMar>
              <w:top w:w="0" w:type="dxa"/>
              <w:left w:w="108" w:type="dxa"/>
              <w:bottom w:w="0" w:type="dxa"/>
              <w:right w:w="108" w:type="dxa"/>
            </w:tcMar>
            <w:vAlign w:val="center"/>
          </w:tcPr>
          <w:p w14:paraId="1391B93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509.35</w:t>
            </w:r>
          </w:p>
        </w:tc>
        <w:tc>
          <w:tcPr>
            <w:tcW w:w="1880" w:type="dxa"/>
            <w:shd w:val="clear" w:color="auto" w:fill="auto"/>
            <w:tcMar>
              <w:top w:w="0" w:type="dxa"/>
              <w:left w:w="108" w:type="dxa"/>
              <w:bottom w:w="0" w:type="dxa"/>
              <w:right w:w="108" w:type="dxa"/>
            </w:tcMar>
            <w:vAlign w:val="center"/>
          </w:tcPr>
          <w:p w14:paraId="587B6E5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394.35</w:t>
            </w:r>
          </w:p>
        </w:tc>
      </w:tr>
      <w:tr w:rsidR="006416B0" w:rsidRPr="00B4515A" w14:paraId="289DADCC"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4DFBCCE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4FEFD65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西安大唐监控技术有限公司</w:t>
            </w:r>
          </w:p>
        </w:tc>
        <w:tc>
          <w:tcPr>
            <w:tcW w:w="1446" w:type="dxa"/>
            <w:shd w:val="clear" w:color="auto" w:fill="auto"/>
            <w:tcMar>
              <w:top w:w="0" w:type="dxa"/>
              <w:left w:w="108" w:type="dxa"/>
              <w:bottom w:w="0" w:type="dxa"/>
              <w:right w:w="108" w:type="dxa"/>
            </w:tcMar>
            <w:vAlign w:val="center"/>
          </w:tcPr>
          <w:p w14:paraId="3EFE921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24.15</w:t>
            </w:r>
          </w:p>
        </w:tc>
        <w:tc>
          <w:tcPr>
            <w:tcW w:w="1880" w:type="dxa"/>
            <w:shd w:val="clear" w:color="auto" w:fill="auto"/>
            <w:tcMar>
              <w:top w:w="0" w:type="dxa"/>
              <w:left w:w="108" w:type="dxa"/>
              <w:bottom w:w="0" w:type="dxa"/>
              <w:right w:w="108" w:type="dxa"/>
            </w:tcMar>
            <w:vAlign w:val="center"/>
          </w:tcPr>
          <w:p w14:paraId="47371E9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24.15</w:t>
            </w:r>
          </w:p>
        </w:tc>
      </w:tr>
      <w:tr w:rsidR="006416B0" w:rsidRPr="00B4515A" w14:paraId="78182085"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4421394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499E842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电信科学技术仪表研究所有限公司</w:t>
            </w:r>
          </w:p>
        </w:tc>
        <w:tc>
          <w:tcPr>
            <w:tcW w:w="1446" w:type="dxa"/>
            <w:shd w:val="clear" w:color="auto" w:fill="auto"/>
            <w:tcMar>
              <w:top w:w="0" w:type="dxa"/>
              <w:left w:w="108" w:type="dxa"/>
              <w:bottom w:w="0" w:type="dxa"/>
              <w:right w:w="108" w:type="dxa"/>
            </w:tcMar>
            <w:vAlign w:val="center"/>
          </w:tcPr>
          <w:p w14:paraId="613F8FB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190.70</w:t>
            </w:r>
          </w:p>
        </w:tc>
        <w:tc>
          <w:tcPr>
            <w:tcW w:w="1880" w:type="dxa"/>
            <w:shd w:val="clear" w:color="auto" w:fill="auto"/>
            <w:tcMar>
              <w:top w:w="0" w:type="dxa"/>
              <w:left w:w="108" w:type="dxa"/>
              <w:bottom w:w="0" w:type="dxa"/>
              <w:right w:w="108" w:type="dxa"/>
            </w:tcMar>
            <w:vAlign w:val="center"/>
          </w:tcPr>
          <w:p w14:paraId="5E798CB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156.20</w:t>
            </w:r>
          </w:p>
        </w:tc>
      </w:tr>
      <w:tr w:rsidR="006416B0" w:rsidRPr="00B4515A" w14:paraId="27A64D92"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50A4789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50B21C0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电信科学技术第四研究所有限公司</w:t>
            </w:r>
          </w:p>
        </w:tc>
        <w:tc>
          <w:tcPr>
            <w:tcW w:w="1446" w:type="dxa"/>
            <w:shd w:val="clear" w:color="auto" w:fill="auto"/>
            <w:tcMar>
              <w:top w:w="0" w:type="dxa"/>
              <w:left w:w="108" w:type="dxa"/>
              <w:bottom w:w="0" w:type="dxa"/>
              <w:right w:w="108" w:type="dxa"/>
            </w:tcMar>
            <w:vAlign w:val="center"/>
          </w:tcPr>
          <w:p w14:paraId="5BEA321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15.15</w:t>
            </w:r>
          </w:p>
        </w:tc>
        <w:tc>
          <w:tcPr>
            <w:tcW w:w="1880" w:type="dxa"/>
            <w:shd w:val="clear" w:color="auto" w:fill="auto"/>
            <w:tcMar>
              <w:top w:w="0" w:type="dxa"/>
              <w:left w:w="108" w:type="dxa"/>
              <w:bottom w:w="0" w:type="dxa"/>
              <w:right w:w="108" w:type="dxa"/>
            </w:tcMar>
            <w:vAlign w:val="center"/>
          </w:tcPr>
          <w:p w14:paraId="428FF49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15.15</w:t>
            </w:r>
          </w:p>
        </w:tc>
      </w:tr>
      <w:tr w:rsidR="006416B0" w:rsidRPr="00B4515A" w14:paraId="09B987CB"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31FAAD4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78D69BC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电信科学技术第一研究所有限公司</w:t>
            </w:r>
          </w:p>
        </w:tc>
        <w:tc>
          <w:tcPr>
            <w:tcW w:w="1446" w:type="dxa"/>
            <w:shd w:val="clear" w:color="auto" w:fill="auto"/>
            <w:tcMar>
              <w:top w:w="0" w:type="dxa"/>
              <w:left w:w="108" w:type="dxa"/>
              <w:bottom w:w="0" w:type="dxa"/>
              <w:right w:w="108" w:type="dxa"/>
            </w:tcMar>
            <w:vAlign w:val="center"/>
          </w:tcPr>
          <w:p w14:paraId="5C237F2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53.89</w:t>
            </w:r>
          </w:p>
        </w:tc>
        <w:tc>
          <w:tcPr>
            <w:tcW w:w="1880" w:type="dxa"/>
            <w:shd w:val="clear" w:color="auto" w:fill="auto"/>
            <w:tcMar>
              <w:top w:w="0" w:type="dxa"/>
              <w:left w:w="108" w:type="dxa"/>
              <w:bottom w:w="0" w:type="dxa"/>
              <w:right w:w="108" w:type="dxa"/>
            </w:tcMar>
            <w:vAlign w:val="center"/>
          </w:tcPr>
          <w:p w14:paraId="58D1F53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63.89</w:t>
            </w:r>
          </w:p>
        </w:tc>
      </w:tr>
      <w:tr w:rsidR="006416B0" w:rsidRPr="00B4515A" w14:paraId="544737DB"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2D9B226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3384ABD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烽火通信科技股份有限公司</w:t>
            </w:r>
          </w:p>
        </w:tc>
        <w:tc>
          <w:tcPr>
            <w:tcW w:w="1446" w:type="dxa"/>
            <w:shd w:val="clear" w:color="auto" w:fill="auto"/>
            <w:tcMar>
              <w:top w:w="0" w:type="dxa"/>
              <w:left w:w="108" w:type="dxa"/>
              <w:bottom w:w="0" w:type="dxa"/>
              <w:right w:w="108" w:type="dxa"/>
            </w:tcMar>
            <w:vAlign w:val="center"/>
          </w:tcPr>
          <w:p w14:paraId="03C0C40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343.26</w:t>
            </w:r>
          </w:p>
        </w:tc>
        <w:tc>
          <w:tcPr>
            <w:tcW w:w="1880" w:type="dxa"/>
            <w:shd w:val="clear" w:color="auto" w:fill="auto"/>
            <w:tcMar>
              <w:top w:w="0" w:type="dxa"/>
              <w:left w:w="108" w:type="dxa"/>
              <w:bottom w:w="0" w:type="dxa"/>
              <w:right w:w="108" w:type="dxa"/>
            </w:tcMar>
            <w:vAlign w:val="center"/>
          </w:tcPr>
          <w:p w14:paraId="152C01A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128.18</w:t>
            </w:r>
          </w:p>
        </w:tc>
      </w:tr>
      <w:tr w:rsidR="006416B0" w:rsidRPr="00B4515A" w14:paraId="2EDBB911"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4B36B98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0D7767C0"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合肥大唐存储科技有限公司</w:t>
            </w:r>
          </w:p>
        </w:tc>
        <w:tc>
          <w:tcPr>
            <w:tcW w:w="1446" w:type="dxa"/>
            <w:shd w:val="clear" w:color="auto" w:fill="auto"/>
            <w:tcMar>
              <w:top w:w="0" w:type="dxa"/>
              <w:left w:w="108" w:type="dxa"/>
              <w:bottom w:w="0" w:type="dxa"/>
              <w:right w:w="108" w:type="dxa"/>
            </w:tcMar>
            <w:vAlign w:val="center"/>
          </w:tcPr>
          <w:p w14:paraId="38D3FB1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5.40</w:t>
            </w:r>
          </w:p>
        </w:tc>
        <w:tc>
          <w:tcPr>
            <w:tcW w:w="1880" w:type="dxa"/>
            <w:shd w:val="clear" w:color="auto" w:fill="auto"/>
            <w:tcMar>
              <w:top w:w="0" w:type="dxa"/>
              <w:left w:w="108" w:type="dxa"/>
              <w:bottom w:w="0" w:type="dxa"/>
              <w:right w:w="108" w:type="dxa"/>
            </w:tcMar>
            <w:vAlign w:val="center"/>
          </w:tcPr>
          <w:p w14:paraId="37540F4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B6CD1B6"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3E578E9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40058F9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大唐实创（北京）投资有限公司</w:t>
            </w:r>
          </w:p>
        </w:tc>
        <w:tc>
          <w:tcPr>
            <w:tcW w:w="1446" w:type="dxa"/>
            <w:shd w:val="clear" w:color="auto" w:fill="auto"/>
            <w:tcMar>
              <w:top w:w="0" w:type="dxa"/>
              <w:left w:w="108" w:type="dxa"/>
              <w:bottom w:w="0" w:type="dxa"/>
              <w:right w:w="108" w:type="dxa"/>
            </w:tcMar>
            <w:vAlign w:val="center"/>
          </w:tcPr>
          <w:p w14:paraId="30628D2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14.30</w:t>
            </w:r>
          </w:p>
        </w:tc>
        <w:tc>
          <w:tcPr>
            <w:tcW w:w="1880" w:type="dxa"/>
            <w:shd w:val="clear" w:color="auto" w:fill="auto"/>
            <w:tcMar>
              <w:top w:w="0" w:type="dxa"/>
              <w:left w:w="108" w:type="dxa"/>
              <w:bottom w:w="0" w:type="dxa"/>
              <w:right w:w="108" w:type="dxa"/>
            </w:tcMar>
            <w:vAlign w:val="center"/>
          </w:tcPr>
          <w:p w14:paraId="4FCE610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6416B0" w:rsidRPr="00B4515A" w14:paraId="3294CEC9"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58B6053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59F3D1F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电信科学技术第十研究所有限公司</w:t>
            </w:r>
          </w:p>
        </w:tc>
        <w:tc>
          <w:tcPr>
            <w:tcW w:w="1446" w:type="dxa"/>
            <w:shd w:val="clear" w:color="auto" w:fill="auto"/>
            <w:tcMar>
              <w:top w:w="0" w:type="dxa"/>
              <w:left w:w="108" w:type="dxa"/>
              <w:bottom w:w="0" w:type="dxa"/>
              <w:right w:w="108" w:type="dxa"/>
            </w:tcMar>
            <w:vAlign w:val="center"/>
          </w:tcPr>
          <w:p w14:paraId="79CBFF7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128.30</w:t>
            </w:r>
          </w:p>
        </w:tc>
        <w:tc>
          <w:tcPr>
            <w:tcW w:w="1880" w:type="dxa"/>
            <w:shd w:val="clear" w:color="auto" w:fill="auto"/>
            <w:tcMar>
              <w:top w:w="0" w:type="dxa"/>
              <w:left w:w="108" w:type="dxa"/>
              <w:bottom w:w="0" w:type="dxa"/>
              <w:right w:w="108" w:type="dxa"/>
            </w:tcMar>
            <w:vAlign w:val="center"/>
          </w:tcPr>
          <w:p w14:paraId="22159F8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801.53</w:t>
            </w:r>
          </w:p>
        </w:tc>
      </w:tr>
      <w:tr w:rsidR="006416B0" w:rsidRPr="00B4515A" w14:paraId="44F21E3E"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11CDD45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20577628"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大唐奇安网络科技有限公司</w:t>
            </w:r>
          </w:p>
        </w:tc>
        <w:tc>
          <w:tcPr>
            <w:tcW w:w="1446" w:type="dxa"/>
            <w:shd w:val="clear" w:color="auto" w:fill="auto"/>
            <w:tcMar>
              <w:top w:w="0" w:type="dxa"/>
              <w:left w:w="108" w:type="dxa"/>
              <w:bottom w:w="0" w:type="dxa"/>
              <w:right w:w="108" w:type="dxa"/>
            </w:tcMar>
            <w:vAlign w:val="center"/>
          </w:tcPr>
          <w:p w14:paraId="565C95A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868.27</w:t>
            </w:r>
          </w:p>
        </w:tc>
        <w:tc>
          <w:tcPr>
            <w:tcW w:w="1880" w:type="dxa"/>
            <w:shd w:val="clear" w:color="auto" w:fill="auto"/>
            <w:tcMar>
              <w:top w:w="0" w:type="dxa"/>
              <w:left w:w="108" w:type="dxa"/>
              <w:bottom w:w="0" w:type="dxa"/>
              <w:right w:w="108" w:type="dxa"/>
            </w:tcMar>
            <w:vAlign w:val="center"/>
          </w:tcPr>
          <w:p w14:paraId="38E504B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818.47</w:t>
            </w:r>
          </w:p>
        </w:tc>
      </w:tr>
      <w:tr w:rsidR="006416B0" w:rsidRPr="00B4515A" w14:paraId="50905BCE"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177F1AD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0235C70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辰芯科技有限公司</w:t>
            </w:r>
          </w:p>
        </w:tc>
        <w:tc>
          <w:tcPr>
            <w:tcW w:w="1446" w:type="dxa"/>
            <w:shd w:val="clear" w:color="auto" w:fill="auto"/>
            <w:tcMar>
              <w:top w:w="0" w:type="dxa"/>
              <w:left w:w="108" w:type="dxa"/>
              <w:bottom w:w="0" w:type="dxa"/>
              <w:right w:w="108" w:type="dxa"/>
            </w:tcMar>
            <w:vAlign w:val="center"/>
          </w:tcPr>
          <w:p w14:paraId="642058D6"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80" w:type="dxa"/>
            <w:shd w:val="clear" w:color="auto" w:fill="auto"/>
            <w:tcMar>
              <w:top w:w="0" w:type="dxa"/>
              <w:left w:w="108" w:type="dxa"/>
              <w:bottom w:w="0" w:type="dxa"/>
              <w:right w:w="108" w:type="dxa"/>
            </w:tcMar>
            <w:vAlign w:val="center"/>
          </w:tcPr>
          <w:p w14:paraId="47FD040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28.20</w:t>
            </w:r>
          </w:p>
        </w:tc>
      </w:tr>
      <w:tr w:rsidR="006416B0" w:rsidRPr="00B4515A" w14:paraId="259290F5"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4D1ED0D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323DB9BE"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宸芯科技有限公司</w:t>
            </w:r>
          </w:p>
        </w:tc>
        <w:tc>
          <w:tcPr>
            <w:tcW w:w="1446" w:type="dxa"/>
            <w:shd w:val="clear" w:color="auto" w:fill="auto"/>
            <w:tcMar>
              <w:top w:w="0" w:type="dxa"/>
              <w:left w:w="108" w:type="dxa"/>
              <w:bottom w:w="0" w:type="dxa"/>
              <w:right w:w="108" w:type="dxa"/>
            </w:tcMar>
            <w:vAlign w:val="center"/>
          </w:tcPr>
          <w:p w14:paraId="050B835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707.20</w:t>
            </w:r>
          </w:p>
        </w:tc>
        <w:tc>
          <w:tcPr>
            <w:tcW w:w="1880" w:type="dxa"/>
            <w:shd w:val="clear" w:color="auto" w:fill="auto"/>
            <w:tcMar>
              <w:top w:w="0" w:type="dxa"/>
              <w:left w:w="108" w:type="dxa"/>
              <w:bottom w:w="0" w:type="dxa"/>
              <w:right w:w="108" w:type="dxa"/>
            </w:tcMar>
            <w:vAlign w:val="center"/>
          </w:tcPr>
          <w:p w14:paraId="25BB82B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754.20</w:t>
            </w:r>
          </w:p>
        </w:tc>
      </w:tr>
      <w:tr w:rsidR="006416B0" w:rsidRPr="00B4515A" w14:paraId="12185665"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02CFBEC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合同负债</w:t>
            </w:r>
          </w:p>
        </w:tc>
        <w:tc>
          <w:tcPr>
            <w:tcW w:w="3760" w:type="dxa"/>
            <w:shd w:val="clear" w:color="auto" w:fill="auto"/>
            <w:tcMar>
              <w:top w:w="0" w:type="dxa"/>
              <w:left w:w="108" w:type="dxa"/>
              <w:bottom w:w="0" w:type="dxa"/>
              <w:right w:w="108" w:type="dxa"/>
            </w:tcMar>
            <w:vAlign w:val="center"/>
          </w:tcPr>
          <w:p w14:paraId="76D5AAF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1446" w:type="dxa"/>
            <w:shd w:val="clear" w:color="auto" w:fill="auto"/>
            <w:tcMar>
              <w:top w:w="0" w:type="dxa"/>
              <w:left w:w="108" w:type="dxa"/>
              <w:bottom w:w="0" w:type="dxa"/>
              <w:right w:w="108" w:type="dxa"/>
            </w:tcMar>
            <w:vAlign w:val="center"/>
          </w:tcPr>
          <w:p w14:paraId="7E0D5A37" w14:textId="3A59441F" w:rsidR="006416B0" w:rsidRPr="00B4515A" w:rsidRDefault="006416B0" w:rsidP="005860B4">
            <w:pPr>
              <w:adjustRightInd w:val="0"/>
              <w:snapToGrid w:val="0"/>
              <w:jc w:val="right"/>
              <w:rPr>
                <w:rFonts w:ascii="Times New Roman" w:hAnsi="Times New Roman" w:cs="Times New Roman"/>
                <w:color w:val="000000"/>
                <w:sz w:val="21"/>
                <w:szCs w:val="21"/>
              </w:rPr>
            </w:pPr>
          </w:p>
        </w:tc>
        <w:tc>
          <w:tcPr>
            <w:tcW w:w="1880" w:type="dxa"/>
            <w:shd w:val="clear" w:color="auto" w:fill="auto"/>
            <w:tcMar>
              <w:top w:w="0" w:type="dxa"/>
              <w:left w:w="108" w:type="dxa"/>
              <w:bottom w:w="0" w:type="dxa"/>
              <w:right w:w="108" w:type="dxa"/>
            </w:tcMar>
            <w:vAlign w:val="center"/>
          </w:tcPr>
          <w:p w14:paraId="614AEAA3" w14:textId="0D97253E" w:rsidR="006416B0" w:rsidRPr="00B4515A" w:rsidRDefault="006416B0" w:rsidP="005860B4">
            <w:pPr>
              <w:adjustRightInd w:val="0"/>
              <w:snapToGrid w:val="0"/>
              <w:jc w:val="right"/>
              <w:rPr>
                <w:rFonts w:ascii="Times New Roman" w:hAnsi="Times New Roman" w:cs="Times New Roman"/>
                <w:color w:val="000000"/>
                <w:sz w:val="21"/>
                <w:szCs w:val="21"/>
              </w:rPr>
            </w:pPr>
          </w:p>
        </w:tc>
      </w:tr>
      <w:tr w:rsidR="00F974FA" w:rsidRPr="00B4515A" w14:paraId="0022240F"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4AB718BD" w14:textId="77777777" w:rsidR="00F974FA" w:rsidRPr="00B4515A" w:rsidRDefault="00F974FA"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6D3CDF67" w14:textId="77777777" w:rsidR="00F974FA" w:rsidRPr="00B4515A" w:rsidRDefault="00F974FA"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辰芯科技有限公司</w:t>
            </w:r>
          </w:p>
        </w:tc>
        <w:tc>
          <w:tcPr>
            <w:tcW w:w="1446" w:type="dxa"/>
            <w:shd w:val="clear" w:color="auto" w:fill="auto"/>
            <w:tcMar>
              <w:top w:w="0" w:type="dxa"/>
              <w:left w:w="108" w:type="dxa"/>
              <w:bottom w:w="0" w:type="dxa"/>
              <w:right w:w="108" w:type="dxa"/>
            </w:tcMar>
            <w:vAlign w:val="center"/>
          </w:tcPr>
          <w:p w14:paraId="53535CF7" w14:textId="7A7C760A" w:rsidR="00F974FA" w:rsidRPr="00B4515A" w:rsidRDefault="00F974FA"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863.37</w:t>
            </w:r>
          </w:p>
        </w:tc>
        <w:tc>
          <w:tcPr>
            <w:tcW w:w="1880" w:type="dxa"/>
            <w:shd w:val="clear" w:color="auto" w:fill="auto"/>
            <w:tcMar>
              <w:top w:w="0" w:type="dxa"/>
              <w:left w:w="108" w:type="dxa"/>
              <w:bottom w:w="0" w:type="dxa"/>
              <w:right w:w="108" w:type="dxa"/>
            </w:tcMar>
            <w:vAlign w:val="center"/>
          </w:tcPr>
          <w:p w14:paraId="402254F5" w14:textId="13C95885" w:rsidR="00F974FA" w:rsidRPr="00B4515A" w:rsidRDefault="00F974FA"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450.68</w:t>
            </w:r>
          </w:p>
        </w:tc>
      </w:tr>
      <w:tr w:rsidR="006416B0" w:rsidRPr="00B4515A" w14:paraId="24EE59FD"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38CDF9E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50F85A4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宸芯科技有限公司</w:t>
            </w:r>
          </w:p>
        </w:tc>
        <w:tc>
          <w:tcPr>
            <w:tcW w:w="1446" w:type="dxa"/>
            <w:shd w:val="clear" w:color="auto" w:fill="auto"/>
            <w:tcMar>
              <w:top w:w="0" w:type="dxa"/>
              <w:left w:w="108" w:type="dxa"/>
              <w:bottom w:w="0" w:type="dxa"/>
              <w:right w:w="108" w:type="dxa"/>
            </w:tcMar>
            <w:vAlign w:val="center"/>
          </w:tcPr>
          <w:p w14:paraId="62AC0B5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721.85</w:t>
            </w:r>
          </w:p>
        </w:tc>
        <w:tc>
          <w:tcPr>
            <w:tcW w:w="1880" w:type="dxa"/>
            <w:shd w:val="clear" w:color="auto" w:fill="auto"/>
            <w:tcMar>
              <w:top w:w="0" w:type="dxa"/>
              <w:left w:w="108" w:type="dxa"/>
              <w:bottom w:w="0" w:type="dxa"/>
              <w:right w:w="108" w:type="dxa"/>
            </w:tcMar>
            <w:vAlign w:val="center"/>
          </w:tcPr>
          <w:p w14:paraId="7D3CEA1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408.32</w:t>
            </w:r>
          </w:p>
        </w:tc>
      </w:tr>
      <w:tr w:rsidR="006416B0" w:rsidRPr="00B4515A" w14:paraId="74C0FC47"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66FF17B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633D113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大唐半导体科技有限公司</w:t>
            </w:r>
          </w:p>
        </w:tc>
        <w:tc>
          <w:tcPr>
            <w:tcW w:w="1446" w:type="dxa"/>
            <w:shd w:val="clear" w:color="auto" w:fill="auto"/>
            <w:tcMar>
              <w:top w:w="0" w:type="dxa"/>
              <w:left w:w="108" w:type="dxa"/>
              <w:bottom w:w="0" w:type="dxa"/>
              <w:right w:w="108" w:type="dxa"/>
            </w:tcMar>
            <w:vAlign w:val="center"/>
          </w:tcPr>
          <w:p w14:paraId="38CAF12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8.20</w:t>
            </w:r>
          </w:p>
        </w:tc>
        <w:tc>
          <w:tcPr>
            <w:tcW w:w="1880" w:type="dxa"/>
            <w:shd w:val="clear" w:color="auto" w:fill="auto"/>
            <w:tcMar>
              <w:top w:w="0" w:type="dxa"/>
              <w:left w:w="108" w:type="dxa"/>
              <w:bottom w:w="0" w:type="dxa"/>
              <w:right w:w="108" w:type="dxa"/>
            </w:tcMar>
            <w:vAlign w:val="center"/>
          </w:tcPr>
          <w:p w14:paraId="5C92548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13.92</w:t>
            </w:r>
          </w:p>
        </w:tc>
      </w:tr>
      <w:tr w:rsidR="006416B0" w:rsidRPr="00B4515A" w14:paraId="599A3BC5"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2A9B361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1F75F0D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大唐电信节能服务有限公司</w:t>
            </w:r>
          </w:p>
        </w:tc>
        <w:tc>
          <w:tcPr>
            <w:tcW w:w="1446" w:type="dxa"/>
            <w:shd w:val="clear" w:color="auto" w:fill="auto"/>
            <w:tcMar>
              <w:top w:w="0" w:type="dxa"/>
              <w:left w:w="108" w:type="dxa"/>
              <w:bottom w:w="0" w:type="dxa"/>
              <w:right w:w="108" w:type="dxa"/>
            </w:tcMar>
            <w:vAlign w:val="center"/>
          </w:tcPr>
          <w:p w14:paraId="0AA5003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0.03</w:t>
            </w:r>
          </w:p>
        </w:tc>
        <w:tc>
          <w:tcPr>
            <w:tcW w:w="1880" w:type="dxa"/>
            <w:shd w:val="clear" w:color="auto" w:fill="auto"/>
            <w:tcMar>
              <w:top w:w="0" w:type="dxa"/>
              <w:left w:w="108" w:type="dxa"/>
              <w:bottom w:w="0" w:type="dxa"/>
              <w:right w:w="108" w:type="dxa"/>
            </w:tcMar>
            <w:vAlign w:val="center"/>
          </w:tcPr>
          <w:p w14:paraId="7706C400"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0.03</w:t>
            </w:r>
          </w:p>
        </w:tc>
      </w:tr>
      <w:tr w:rsidR="006416B0" w:rsidRPr="00B4515A" w14:paraId="4F24EA29"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0CF3D38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0105B4A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合肥大唐存储科技有限公司</w:t>
            </w:r>
          </w:p>
        </w:tc>
        <w:tc>
          <w:tcPr>
            <w:tcW w:w="1446" w:type="dxa"/>
            <w:shd w:val="clear" w:color="auto" w:fill="auto"/>
            <w:tcMar>
              <w:top w:w="0" w:type="dxa"/>
              <w:left w:w="108" w:type="dxa"/>
              <w:bottom w:w="0" w:type="dxa"/>
              <w:right w:w="108" w:type="dxa"/>
            </w:tcMar>
            <w:vAlign w:val="center"/>
          </w:tcPr>
          <w:p w14:paraId="52F0851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1,681.17</w:t>
            </w:r>
          </w:p>
        </w:tc>
        <w:tc>
          <w:tcPr>
            <w:tcW w:w="1880" w:type="dxa"/>
            <w:shd w:val="clear" w:color="auto" w:fill="auto"/>
            <w:tcMar>
              <w:top w:w="0" w:type="dxa"/>
              <w:left w:w="108" w:type="dxa"/>
              <w:bottom w:w="0" w:type="dxa"/>
              <w:right w:w="108" w:type="dxa"/>
            </w:tcMar>
            <w:vAlign w:val="center"/>
          </w:tcPr>
          <w:p w14:paraId="702ED16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1,681.17</w:t>
            </w:r>
          </w:p>
        </w:tc>
      </w:tr>
      <w:tr w:rsidR="006416B0" w:rsidRPr="00B4515A" w14:paraId="63B02A78"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5637FD23"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3CF7042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江苏安防科技有限公司</w:t>
            </w:r>
          </w:p>
        </w:tc>
        <w:tc>
          <w:tcPr>
            <w:tcW w:w="1446" w:type="dxa"/>
            <w:shd w:val="clear" w:color="auto" w:fill="auto"/>
            <w:tcMar>
              <w:top w:w="0" w:type="dxa"/>
              <w:left w:w="108" w:type="dxa"/>
              <w:bottom w:w="0" w:type="dxa"/>
              <w:right w:w="108" w:type="dxa"/>
            </w:tcMar>
            <w:vAlign w:val="center"/>
          </w:tcPr>
          <w:p w14:paraId="6B6811B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0.69</w:t>
            </w:r>
          </w:p>
        </w:tc>
        <w:tc>
          <w:tcPr>
            <w:tcW w:w="1880" w:type="dxa"/>
            <w:shd w:val="clear" w:color="auto" w:fill="auto"/>
            <w:tcMar>
              <w:top w:w="0" w:type="dxa"/>
              <w:left w:w="108" w:type="dxa"/>
              <w:bottom w:w="0" w:type="dxa"/>
              <w:right w:w="108" w:type="dxa"/>
            </w:tcMar>
            <w:vAlign w:val="center"/>
          </w:tcPr>
          <w:p w14:paraId="127D158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0.69</w:t>
            </w:r>
          </w:p>
        </w:tc>
      </w:tr>
      <w:tr w:rsidR="006416B0" w:rsidRPr="00B4515A" w14:paraId="2E0A638C"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785A278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35ABD33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数据通信科学技术研究所</w:t>
            </w:r>
          </w:p>
        </w:tc>
        <w:tc>
          <w:tcPr>
            <w:tcW w:w="1446" w:type="dxa"/>
            <w:shd w:val="clear" w:color="auto" w:fill="auto"/>
            <w:tcMar>
              <w:top w:w="0" w:type="dxa"/>
              <w:left w:w="108" w:type="dxa"/>
              <w:bottom w:w="0" w:type="dxa"/>
              <w:right w:w="108" w:type="dxa"/>
            </w:tcMar>
            <w:vAlign w:val="center"/>
          </w:tcPr>
          <w:p w14:paraId="1BD1D49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96.31</w:t>
            </w:r>
          </w:p>
        </w:tc>
        <w:tc>
          <w:tcPr>
            <w:tcW w:w="1880" w:type="dxa"/>
            <w:shd w:val="clear" w:color="auto" w:fill="auto"/>
            <w:tcMar>
              <w:top w:w="0" w:type="dxa"/>
              <w:left w:w="108" w:type="dxa"/>
              <w:bottom w:w="0" w:type="dxa"/>
              <w:right w:w="108" w:type="dxa"/>
            </w:tcMar>
            <w:vAlign w:val="center"/>
          </w:tcPr>
          <w:p w14:paraId="5BD5A43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96.31</w:t>
            </w:r>
          </w:p>
        </w:tc>
      </w:tr>
      <w:tr w:rsidR="006416B0" w:rsidRPr="00B4515A" w14:paraId="24B31503"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5F99ABD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其他应付款</w:t>
            </w:r>
          </w:p>
        </w:tc>
        <w:tc>
          <w:tcPr>
            <w:tcW w:w="3760" w:type="dxa"/>
            <w:shd w:val="clear" w:color="auto" w:fill="auto"/>
            <w:tcMar>
              <w:top w:w="0" w:type="dxa"/>
              <w:left w:w="108" w:type="dxa"/>
              <w:bottom w:w="0" w:type="dxa"/>
              <w:right w:w="108" w:type="dxa"/>
            </w:tcMar>
            <w:vAlign w:val="center"/>
          </w:tcPr>
          <w:p w14:paraId="2562BAA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1446" w:type="dxa"/>
            <w:shd w:val="clear" w:color="auto" w:fill="auto"/>
            <w:tcMar>
              <w:top w:w="0" w:type="dxa"/>
              <w:left w:w="108" w:type="dxa"/>
              <w:bottom w:w="0" w:type="dxa"/>
              <w:right w:w="108" w:type="dxa"/>
            </w:tcMar>
            <w:vAlign w:val="center"/>
          </w:tcPr>
          <w:p w14:paraId="579FD7E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c>
          <w:tcPr>
            <w:tcW w:w="1880" w:type="dxa"/>
            <w:shd w:val="clear" w:color="auto" w:fill="auto"/>
            <w:tcMar>
              <w:top w:w="0" w:type="dxa"/>
              <w:left w:w="108" w:type="dxa"/>
              <w:bottom w:w="0" w:type="dxa"/>
              <w:right w:w="108" w:type="dxa"/>
            </w:tcMar>
            <w:vAlign w:val="center"/>
          </w:tcPr>
          <w:p w14:paraId="2A29E7E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w:t>
            </w:r>
          </w:p>
        </w:tc>
      </w:tr>
      <w:tr w:rsidR="00F974FA" w:rsidRPr="00B4515A" w14:paraId="07339D08"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0539EA7C" w14:textId="77777777" w:rsidR="00F974FA" w:rsidRPr="00B4515A" w:rsidRDefault="00F974FA"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19E55B16" w14:textId="77777777" w:rsidR="00F974FA" w:rsidRPr="00B4515A" w:rsidRDefault="00F974FA"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电信科学技术研究院有限公司</w:t>
            </w:r>
          </w:p>
        </w:tc>
        <w:tc>
          <w:tcPr>
            <w:tcW w:w="1446" w:type="dxa"/>
            <w:shd w:val="clear" w:color="auto" w:fill="auto"/>
            <w:tcMar>
              <w:top w:w="0" w:type="dxa"/>
              <w:left w:w="108" w:type="dxa"/>
              <w:bottom w:w="0" w:type="dxa"/>
              <w:right w:w="108" w:type="dxa"/>
            </w:tcMar>
            <w:vAlign w:val="center"/>
          </w:tcPr>
          <w:p w14:paraId="0EE40BC6" w14:textId="2E559599" w:rsidR="00F974FA" w:rsidRPr="00B4515A" w:rsidRDefault="00F974FA"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13,762.83 </w:t>
            </w:r>
          </w:p>
        </w:tc>
        <w:tc>
          <w:tcPr>
            <w:tcW w:w="1880" w:type="dxa"/>
            <w:shd w:val="clear" w:color="auto" w:fill="auto"/>
            <w:tcMar>
              <w:top w:w="0" w:type="dxa"/>
              <w:left w:w="108" w:type="dxa"/>
              <w:bottom w:w="0" w:type="dxa"/>
              <w:right w:w="108" w:type="dxa"/>
            </w:tcMar>
            <w:vAlign w:val="center"/>
          </w:tcPr>
          <w:p w14:paraId="5DA467EB" w14:textId="2458D9AA" w:rsidR="00F974FA" w:rsidRPr="00B4515A" w:rsidRDefault="00F974FA"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13,762.83 </w:t>
            </w:r>
          </w:p>
        </w:tc>
      </w:tr>
      <w:tr w:rsidR="00F974FA" w:rsidRPr="00B4515A" w14:paraId="58E81404"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621BFCA4" w14:textId="77777777" w:rsidR="00F974FA" w:rsidRPr="00B4515A" w:rsidRDefault="00F974FA"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66B81D61" w14:textId="77777777" w:rsidR="00F974FA" w:rsidRPr="00B4515A" w:rsidRDefault="00F974FA"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中国信息通信科技集团有限公司</w:t>
            </w:r>
          </w:p>
        </w:tc>
        <w:tc>
          <w:tcPr>
            <w:tcW w:w="1446" w:type="dxa"/>
            <w:shd w:val="clear" w:color="auto" w:fill="auto"/>
            <w:tcMar>
              <w:top w:w="0" w:type="dxa"/>
              <w:left w:w="108" w:type="dxa"/>
              <w:bottom w:w="0" w:type="dxa"/>
              <w:right w:w="108" w:type="dxa"/>
            </w:tcMar>
            <w:vAlign w:val="center"/>
          </w:tcPr>
          <w:p w14:paraId="404C1178" w14:textId="7FA30261" w:rsidR="00F974FA" w:rsidRPr="00B4515A" w:rsidRDefault="00F974FA"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55,248.63 </w:t>
            </w:r>
          </w:p>
        </w:tc>
        <w:tc>
          <w:tcPr>
            <w:tcW w:w="1880" w:type="dxa"/>
            <w:shd w:val="clear" w:color="auto" w:fill="auto"/>
            <w:tcMar>
              <w:top w:w="0" w:type="dxa"/>
              <w:left w:w="108" w:type="dxa"/>
              <w:bottom w:w="0" w:type="dxa"/>
              <w:right w:w="108" w:type="dxa"/>
            </w:tcMar>
            <w:vAlign w:val="center"/>
          </w:tcPr>
          <w:p w14:paraId="4146EC67" w14:textId="28100B19" w:rsidR="00F974FA" w:rsidRPr="00B4515A" w:rsidRDefault="00F974FA"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 xml:space="preserve"> 41,819.53 </w:t>
            </w:r>
          </w:p>
        </w:tc>
      </w:tr>
      <w:tr w:rsidR="006416B0" w:rsidRPr="00B4515A" w14:paraId="1B92DEAE"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5A54CD2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024FE42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大唐恩智浦半导体有限公司</w:t>
            </w:r>
          </w:p>
        </w:tc>
        <w:tc>
          <w:tcPr>
            <w:tcW w:w="1446" w:type="dxa"/>
            <w:shd w:val="clear" w:color="auto" w:fill="auto"/>
            <w:tcMar>
              <w:top w:w="0" w:type="dxa"/>
              <w:left w:w="108" w:type="dxa"/>
              <w:bottom w:w="0" w:type="dxa"/>
              <w:right w:w="108" w:type="dxa"/>
            </w:tcMar>
            <w:vAlign w:val="center"/>
          </w:tcPr>
          <w:p w14:paraId="4DF09DD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0.82</w:t>
            </w:r>
          </w:p>
        </w:tc>
        <w:tc>
          <w:tcPr>
            <w:tcW w:w="1880" w:type="dxa"/>
            <w:shd w:val="clear" w:color="auto" w:fill="auto"/>
            <w:tcMar>
              <w:top w:w="0" w:type="dxa"/>
              <w:left w:w="108" w:type="dxa"/>
              <w:bottom w:w="0" w:type="dxa"/>
              <w:right w:w="108" w:type="dxa"/>
            </w:tcMar>
            <w:vAlign w:val="center"/>
          </w:tcPr>
          <w:p w14:paraId="22E3E34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0.82</w:t>
            </w:r>
          </w:p>
        </w:tc>
      </w:tr>
      <w:tr w:rsidR="006416B0" w:rsidRPr="00B4515A" w14:paraId="5B23B343"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6C75826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7319081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大唐电信科技产业控股有限公司</w:t>
            </w:r>
          </w:p>
        </w:tc>
        <w:tc>
          <w:tcPr>
            <w:tcW w:w="1446" w:type="dxa"/>
            <w:shd w:val="clear" w:color="auto" w:fill="auto"/>
            <w:tcMar>
              <w:top w:w="0" w:type="dxa"/>
              <w:left w:w="108" w:type="dxa"/>
              <w:bottom w:w="0" w:type="dxa"/>
              <w:right w:w="108" w:type="dxa"/>
            </w:tcMar>
            <w:vAlign w:val="center"/>
          </w:tcPr>
          <w:p w14:paraId="2258C75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3,490.73</w:t>
            </w:r>
          </w:p>
        </w:tc>
        <w:tc>
          <w:tcPr>
            <w:tcW w:w="1880" w:type="dxa"/>
            <w:shd w:val="clear" w:color="auto" w:fill="auto"/>
            <w:tcMar>
              <w:top w:w="0" w:type="dxa"/>
              <w:left w:w="108" w:type="dxa"/>
              <w:bottom w:w="0" w:type="dxa"/>
              <w:right w:w="108" w:type="dxa"/>
            </w:tcMar>
            <w:vAlign w:val="center"/>
          </w:tcPr>
          <w:p w14:paraId="42E4B5E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3,490.73</w:t>
            </w:r>
          </w:p>
        </w:tc>
      </w:tr>
      <w:tr w:rsidR="006416B0" w:rsidRPr="00B4515A" w14:paraId="559F48A3"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03A108B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53D7A26D"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大唐电信节能服务有限公司</w:t>
            </w:r>
          </w:p>
        </w:tc>
        <w:tc>
          <w:tcPr>
            <w:tcW w:w="1446" w:type="dxa"/>
            <w:shd w:val="clear" w:color="auto" w:fill="auto"/>
            <w:tcMar>
              <w:top w:w="0" w:type="dxa"/>
              <w:left w:w="108" w:type="dxa"/>
              <w:bottom w:w="0" w:type="dxa"/>
              <w:right w:w="108" w:type="dxa"/>
            </w:tcMar>
            <w:vAlign w:val="center"/>
          </w:tcPr>
          <w:p w14:paraId="127F22E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194.61</w:t>
            </w:r>
          </w:p>
        </w:tc>
        <w:tc>
          <w:tcPr>
            <w:tcW w:w="1880" w:type="dxa"/>
            <w:shd w:val="clear" w:color="auto" w:fill="auto"/>
            <w:tcMar>
              <w:top w:w="0" w:type="dxa"/>
              <w:left w:w="108" w:type="dxa"/>
              <w:bottom w:w="0" w:type="dxa"/>
              <w:right w:w="108" w:type="dxa"/>
            </w:tcMar>
            <w:vAlign w:val="center"/>
          </w:tcPr>
          <w:p w14:paraId="326B336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194.61</w:t>
            </w:r>
          </w:p>
        </w:tc>
      </w:tr>
      <w:tr w:rsidR="006416B0" w:rsidRPr="00B4515A" w14:paraId="6B172D72"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5AB26FB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0A751C9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北京大唐物业管理有限公司</w:t>
            </w:r>
          </w:p>
        </w:tc>
        <w:tc>
          <w:tcPr>
            <w:tcW w:w="1446" w:type="dxa"/>
            <w:shd w:val="clear" w:color="auto" w:fill="auto"/>
            <w:tcMar>
              <w:top w:w="0" w:type="dxa"/>
              <w:left w:w="108" w:type="dxa"/>
              <w:bottom w:w="0" w:type="dxa"/>
              <w:right w:w="108" w:type="dxa"/>
            </w:tcMar>
            <w:vAlign w:val="center"/>
          </w:tcPr>
          <w:p w14:paraId="49D6CDE2"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11.51</w:t>
            </w:r>
          </w:p>
        </w:tc>
        <w:tc>
          <w:tcPr>
            <w:tcW w:w="1880" w:type="dxa"/>
            <w:shd w:val="clear" w:color="auto" w:fill="auto"/>
            <w:tcMar>
              <w:top w:w="0" w:type="dxa"/>
              <w:left w:w="108" w:type="dxa"/>
              <w:bottom w:w="0" w:type="dxa"/>
              <w:right w:w="108" w:type="dxa"/>
            </w:tcMar>
            <w:vAlign w:val="center"/>
          </w:tcPr>
          <w:p w14:paraId="50A528B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11.51</w:t>
            </w:r>
          </w:p>
        </w:tc>
      </w:tr>
      <w:tr w:rsidR="006416B0" w:rsidRPr="00B4515A" w14:paraId="4B95C8E2"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7337671F"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2F7C021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数据通信科学技术研究所</w:t>
            </w:r>
          </w:p>
        </w:tc>
        <w:tc>
          <w:tcPr>
            <w:tcW w:w="1446" w:type="dxa"/>
            <w:shd w:val="clear" w:color="auto" w:fill="auto"/>
            <w:tcMar>
              <w:top w:w="0" w:type="dxa"/>
              <w:left w:w="108" w:type="dxa"/>
              <w:bottom w:w="0" w:type="dxa"/>
              <w:right w:w="108" w:type="dxa"/>
            </w:tcMar>
            <w:vAlign w:val="center"/>
          </w:tcPr>
          <w:p w14:paraId="43688FC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68.54</w:t>
            </w:r>
          </w:p>
        </w:tc>
        <w:tc>
          <w:tcPr>
            <w:tcW w:w="1880" w:type="dxa"/>
            <w:shd w:val="clear" w:color="auto" w:fill="auto"/>
            <w:tcMar>
              <w:top w:w="0" w:type="dxa"/>
              <w:left w:w="108" w:type="dxa"/>
              <w:bottom w:w="0" w:type="dxa"/>
              <w:right w:w="108" w:type="dxa"/>
            </w:tcMar>
            <w:vAlign w:val="center"/>
          </w:tcPr>
          <w:p w14:paraId="1D61CA2C"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68.54</w:t>
            </w:r>
          </w:p>
        </w:tc>
      </w:tr>
      <w:tr w:rsidR="006416B0" w:rsidRPr="00B4515A" w14:paraId="20B7DB15"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4C486A3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111F408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大唐移动通信设备有限公司</w:t>
            </w:r>
          </w:p>
        </w:tc>
        <w:tc>
          <w:tcPr>
            <w:tcW w:w="1446" w:type="dxa"/>
            <w:shd w:val="clear" w:color="auto" w:fill="auto"/>
            <w:tcMar>
              <w:top w:w="0" w:type="dxa"/>
              <w:left w:w="108" w:type="dxa"/>
              <w:bottom w:w="0" w:type="dxa"/>
              <w:right w:w="108" w:type="dxa"/>
            </w:tcMar>
            <w:vAlign w:val="center"/>
          </w:tcPr>
          <w:p w14:paraId="76FA791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57.48</w:t>
            </w:r>
          </w:p>
        </w:tc>
        <w:tc>
          <w:tcPr>
            <w:tcW w:w="1880" w:type="dxa"/>
            <w:shd w:val="clear" w:color="auto" w:fill="auto"/>
            <w:tcMar>
              <w:top w:w="0" w:type="dxa"/>
              <w:left w:w="108" w:type="dxa"/>
              <w:bottom w:w="0" w:type="dxa"/>
              <w:right w:w="108" w:type="dxa"/>
            </w:tcMar>
            <w:vAlign w:val="center"/>
          </w:tcPr>
          <w:p w14:paraId="02054F1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56.64</w:t>
            </w:r>
          </w:p>
        </w:tc>
      </w:tr>
      <w:tr w:rsidR="006416B0" w:rsidRPr="00B4515A" w14:paraId="111223A4"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485C712C"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1D6E8CD6"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大唐网络有限公司</w:t>
            </w:r>
          </w:p>
        </w:tc>
        <w:tc>
          <w:tcPr>
            <w:tcW w:w="1446" w:type="dxa"/>
            <w:shd w:val="clear" w:color="auto" w:fill="auto"/>
            <w:tcMar>
              <w:top w:w="0" w:type="dxa"/>
              <w:left w:w="108" w:type="dxa"/>
              <w:bottom w:w="0" w:type="dxa"/>
              <w:right w:w="108" w:type="dxa"/>
            </w:tcMar>
            <w:vAlign w:val="center"/>
          </w:tcPr>
          <w:p w14:paraId="351DBE24"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14.00</w:t>
            </w:r>
          </w:p>
        </w:tc>
        <w:tc>
          <w:tcPr>
            <w:tcW w:w="1880" w:type="dxa"/>
            <w:shd w:val="clear" w:color="auto" w:fill="auto"/>
            <w:tcMar>
              <w:top w:w="0" w:type="dxa"/>
              <w:left w:w="108" w:type="dxa"/>
              <w:bottom w:w="0" w:type="dxa"/>
              <w:right w:w="108" w:type="dxa"/>
            </w:tcMar>
            <w:vAlign w:val="center"/>
          </w:tcPr>
          <w:p w14:paraId="5114411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14.00</w:t>
            </w:r>
          </w:p>
        </w:tc>
      </w:tr>
      <w:tr w:rsidR="006416B0" w:rsidRPr="00B4515A" w14:paraId="0A0AB515"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7FEE0FF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6AE731D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电信科学技术第十研究所有限公司</w:t>
            </w:r>
          </w:p>
        </w:tc>
        <w:tc>
          <w:tcPr>
            <w:tcW w:w="1446" w:type="dxa"/>
            <w:shd w:val="clear" w:color="auto" w:fill="auto"/>
            <w:tcMar>
              <w:top w:w="0" w:type="dxa"/>
              <w:left w:w="108" w:type="dxa"/>
              <w:bottom w:w="0" w:type="dxa"/>
              <w:right w:w="108" w:type="dxa"/>
            </w:tcMar>
            <w:vAlign w:val="center"/>
          </w:tcPr>
          <w:p w14:paraId="427037CF"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41.83</w:t>
            </w:r>
          </w:p>
        </w:tc>
        <w:tc>
          <w:tcPr>
            <w:tcW w:w="1880" w:type="dxa"/>
            <w:shd w:val="clear" w:color="auto" w:fill="auto"/>
            <w:tcMar>
              <w:top w:w="0" w:type="dxa"/>
              <w:left w:w="108" w:type="dxa"/>
              <w:bottom w:w="0" w:type="dxa"/>
              <w:right w:w="108" w:type="dxa"/>
            </w:tcMar>
            <w:vAlign w:val="center"/>
          </w:tcPr>
          <w:p w14:paraId="6619E24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152.52</w:t>
            </w:r>
          </w:p>
        </w:tc>
      </w:tr>
      <w:tr w:rsidR="006416B0" w:rsidRPr="00B4515A" w14:paraId="479E0436"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57D1A0B2"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200EC41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大唐高鸿数据网络技术股份有限公司</w:t>
            </w:r>
          </w:p>
        </w:tc>
        <w:tc>
          <w:tcPr>
            <w:tcW w:w="1446" w:type="dxa"/>
            <w:shd w:val="clear" w:color="auto" w:fill="auto"/>
            <w:tcMar>
              <w:top w:w="0" w:type="dxa"/>
              <w:left w:w="108" w:type="dxa"/>
              <w:bottom w:w="0" w:type="dxa"/>
              <w:right w:w="108" w:type="dxa"/>
            </w:tcMar>
            <w:vAlign w:val="center"/>
          </w:tcPr>
          <w:p w14:paraId="7185E173"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130.72</w:t>
            </w:r>
          </w:p>
        </w:tc>
        <w:tc>
          <w:tcPr>
            <w:tcW w:w="1880" w:type="dxa"/>
            <w:shd w:val="clear" w:color="auto" w:fill="auto"/>
            <w:tcMar>
              <w:top w:w="0" w:type="dxa"/>
              <w:left w:w="108" w:type="dxa"/>
              <w:bottom w:w="0" w:type="dxa"/>
              <w:right w:w="108" w:type="dxa"/>
            </w:tcMar>
            <w:vAlign w:val="center"/>
          </w:tcPr>
          <w:p w14:paraId="3826E7F9"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130.72</w:t>
            </w:r>
          </w:p>
        </w:tc>
      </w:tr>
      <w:tr w:rsidR="006416B0" w:rsidRPr="00B4515A" w14:paraId="0CEDE5B3"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141473C5"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lastRenderedPageBreak/>
              <w:t xml:space="preserve">　</w:t>
            </w:r>
          </w:p>
        </w:tc>
        <w:tc>
          <w:tcPr>
            <w:tcW w:w="3760" w:type="dxa"/>
            <w:shd w:val="clear" w:color="auto" w:fill="auto"/>
            <w:tcMar>
              <w:top w:w="0" w:type="dxa"/>
              <w:left w:w="108" w:type="dxa"/>
              <w:bottom w:w="0" w:type="dxa"/>
              <w:right w:w="108" w:type="dxa"/>
            </w:tcMar>
            <w:vAlign w:val="center"/>
          </w:tcPr>
          <w:p w14:paraId="6FAA1279"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大唐实创（北京）投资有限公司</w:t>
            </w:r>
          </w:p>
        </w:tc>
        <w:tc>
          <w:tcPr>
            <w:tcW w:w="1446" w:type="dxa"/>
            <w:shd w:val="clear" w:color="auto" w:fill="auto"/>
            <w:tcMar>
              <w:top w:w="0" w:type="dxa"/>
              <w:left w:w="108" w:type="dxa"/>
              <w:bottom w:w="0" w:type="dxa"/>
              <w:right w:w="108" w:type="dxa"/>
            </w:tcMar>
            <w:vAlign w:val="center"/>
          </w:tcPr>
          <w:p w14:paraId="6A9397DA"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31.93</w:t>
            </w:r>
          </w:p>
        </w:tc>
        <w:tc>
          <w:tcPr>
            <w:tcW w:w="1880" w:type="dxa"/>
            <w:shd w:val="clear" w:color="auto" w:fill="auto"/>
            <w:tcMar>
              <w:top w:w="0" w:type="dxa"/>
              <w:left w:w="108" w:type="dxa"/>
              <w:bottom w:w="0" w:type="dxa"/>
              <w:right w:w="108" w:type="dxa"/>
            </w:tcMar>
            <w:vAlign w:val="center"/>
          </w:tcPr>
          <w:p w14:paraId="3B35759D"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12.05</w:t>
            </w:r>
          </w:p>
        </w:tc>
      </w:tr>
      <w:tr w:rsidR="006416B0" w:rsidRPr="00B4515A" w14:paraId="5A18C57A"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1D91B97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7A845E2B"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合肥大唐存储科技有限公司</w:t>
            </w:r>
          </w:p>
        </w:tc>
        <w:tc>
          <w:tcPr>
            <w:tcW w:w="1446" w:type="dxa"/>
            <w:shd w:val="clear" w:color="auto" w:fill="auto"/>
            <w:tcMar>
              <w:top w:w="0" w:type="dxa"/>
              <w:left w:w="108" w:type="dxa"/>
              <w:bottom w:w="0" w:type="dxa"/>
              <w:right w:w="108" w:type="dxa"/>
            </w:tcMar>
            <w:vAlign w:val="center"/>
          </w:tcPr>
          <w:p w14:paraId="431D9F51"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24.00</w:t>
            </w:r>
          </w:p>
        </w:tc>
        <w:tc>
          <w:tcPr>
            <w:tcW w:w="1880" w:type="dxa"/>
            <w:shd w:val="clear" w:color="auto" w:fill="auto"/>
            <w:tcMar>
              <w:top w:w="0" w:type="dxa"/>
              <w:left w:w="108" w:type="dxa"/>
              <w:bottom w:w="0" w:type="dxa"/>
              <w:right w:w="108" w:type="dxa"/>
            </w:tcMar>
            <w:vAlign w:val="center"/>
          </w:tcPr>
          <w:p w14:paraId="6275BE77"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12.00</w:t>
            </w:r>
          </w:p>
        </w:tc>
      </w:tr>
      <w:tr w:rsidR="006416B0" w:rsidRPr="00B4515A" w14:paraId="7EEC0B2D"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035CC8E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19939811"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烽火通信科技股份有限公司</w:t>
            </w:r>
          </w:p>
        </w:tc>
        <w:tc>
          <w:tcPr>
            <w:tcW w:w="1446" w:type="dxa"/>
            <w:shd w:val="clear" w:color="auto" w:fill="auto"/>
            <w:tcMar>
              <w:top w:w="0" w:type="dxa"/>
              <w:left w:w="108" w:type="dxa"/>
              <w:bottom w:w="0" w:type="dxa"/>
              <w:right w:w="108" w:type="dxa"/>
            </w:tcMar>
            <w:vAlign w:val="center"/>
          </w:tcPr>
          <w:p w14:paraId="4E3D715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187.17</w:t>
            </w:r>
          </w:p>
        </w:tc>
        <w:tc>
          <w:tcPr>
            <w:tcW w:w="1880" w:type="dxa"/>
            <w:shd w:val="clear" w:color="auto" w:fill="auto"/>
            <w:tcMar>
              <w:top w:w="0" w:type="dxa"/>
              <w:left w:w="108" w:type="dxa"/>
              <w:bottom w:w="0" w:type="dxa"/>
              <w:right w:w="108" w:type="dxa"/>
            </w:tcMar>
            <w:vAlign w:val="center"/>
          </w:tcPr>
          <w:p w14:paraId="26329E35"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187.17</w:t>
            </w:r>
          </w:p>
        </w:tc>
      </w:tr>
      <w:tr w:rsidR="006416B0" w:rsidRPr="00B4515A" w14:paraId="2E48894F" w14:textId="77777777" w:rsidTr="00C721A8">
        <w:trPr>
          <w:trHeight w:val="340"/>
          <w:jc w:val="center"/>
        </w:trPr>
        <w:tc>
          <w:tcPr>
            <w:tcW w:w="1618" w:type="dxa"/>
            <w:shd w:val="clear" w:color="auto" w:fill="auto"/>
            <w:tcMar>
              <w:top w:w="0" w:type="dxa"/>
              <w:left w:w="108" w:type="dxa"/>
              <w:bottom w:w="0" w:type="dxa"/>
              <w:right w:w="108" w:type="dxa"/>
            </w:tcMar>
            <w:vAlign w:val="center"/>
          </w:tcPr>
          <w:p w14:paraId="4075B8D4"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ascii="Times New Roman" w:hAnsi="Times New Roman" w:cs="Times New Roman" w:hint="eastAsia"/>
                <w:color w:val="000000"/>
                <w:sz w:val="21"/>
                <w:szCs w:val="21"/>
              </w:rPr>
              <w:t xml:space="preserve">　</w:t>
            </w:r>
          </w:p>
        </w:tc>
        <w:tc>
          <w:tcPr>
            <w:tcW w:w="3760" w:type="dxa"/>
            <w:shd w:val="clear" w:color="auto" w:fill="auto"/>
            <w:tcMar>
              <w:top w:w="0" w:type="dxa"/>
              <w:left w:w="108" w:type="dxa"/>
              <w:bottom w:w="0" w:type="dxa"/>
              <w:right w:w="108" w:type="dxa"/>
            </w:tcMar>
            <w:vAlign w:val="center"/>
          </w:tcPr>
          <w:p w14:paraId="7F40840A" w14:textId="77777777" w:rsidR="006416B0" w:rsidRPr="00B4515A" w:rsidRDefault="005E58C1" w:rsidP="005860B4">
            <w:pPr>
              <w:adjustRightInd w:val="0"/>
              <w:snapToGrid w:val="0"/>
              <w:rPr>
                <w:rFonts w:ascii="Times New Roman" w:hAnsi="Times New Roman" w:cs="Times New Roman"/>
                <w:color w:val="000000"/>
                <w:sz w:val="21"/>
                <w:szCs w:val="21"/>
              </w:rPr>
            </w:pPr>
            <w:r w:rsidRPr="00B4515A">
              <w:rPr>
                <w:rFonts w:cs="Times New Roman" w:hint="eastAsia"/>
                <w:color w:val="000000"/>
                <w:sz w:val="21"/>
                <w:szCs w:val="21"/>
              </w:rPr>
              <w:t>辰芯科技有限公司</w:t>
            </w:r>
          </w:p>
        </w:tc>
        <w:tc>
          <w:tcPr>
            <w:tcW w:w="1446" w:type="dxa"/>
            <w:shd w:val="clear" w:color="auto" w:fill="auto"/>
            <w:tcMar>
              <w:top w:w="0" w:type="dxa"/>
              <w:left w:w="108" w:type="dxa"/>
              <w:bottom w:w="0" w:type="dxa"/>
              <w:right w:w="108" w:type="dxa"/>
            </w:tcMar>
            <w:vAlign w:val="center"/>
          </w:tcPr>
          <w:p w14:paraId="69166A78"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3.82</w:t>
            </w:r>
          </w:p>
        </w:tc>
        <w:tc>
          <w:tcPr>
            <w:tcW w:w="1880" w:type="dxa"/>
            <w:shd w:val="clear" w:color="auto" w:fill="auto"/>
            <w:tcMar>
              <w:top w:w="0" w:type="dxa"/>
              <w:left w:w="108" w:type="dxa"/>
              <w:bottom w:w="0" w:type="dxa"/>
              <w:right w:w="108" w:type="dxa"/>
            </w:tcMar>
            <w:vAlign w:val="center"/>
          </w:tcPr>
          <w:p w14:paraId="1BFF5ABB" w14:textId="77777777" w:rsidR="006416B0" w:rsidRPr="00B4515A" w:rsidRDefault="005E58C1" w:rsidP="005860B4">
            <w:pPr>
              <w:adjustRightInd w:val="0"/>
              <w:snapToGrid w:val="0"/>
              <w:jc w:val="right"/>
              <w:rPr>
                <w:rFonts w:ascii="Times New Roman" w:hAnsi="Times New Roman" w:cs="Times New Roman"/>
                <w:color w:val="000000"/>
                <w:sz w:val="21"/>
                <w:szCs w:val="21"/>
              </w:rPr>
            </w:pPr>
            <w:r w:rsidRPr="00B4515A">
              <w:rPr>
                <w:rFonts w:ascii="Times New Roman" w:hAnsi="Times New Roman" w:cs="Times New Roman"/>
                <w:color w:val="000000"/>
                <w:sz w:val="21"/>
                <w:szCs w:val="21"/>
              </w:rPr>
              <w:t>3.35</w:t>
            </w:r>
          </w:p>
        </w:tc>
      </w:tr>
    </w:tbl>
    <w:p w14:paraId="341371B1" w14:textId="77777777" w:rsidR="006416B0" w:rsidRPr="00B4515A" w:rsidRDefault="005E58C1" w:rsidP="006100BC">
      <w:pPr>
        <w:pStyle w:val="003"/>
        <w:spacing w:before="120"/>
        <w:ind w:firstLine="482"/>
      </w:pPr>
      <w:r w:rsidRPr="00B4515A">
        <w:t>（</w:t>
      </w:r>
      <w:r w:rsidRPr="00B4515A">
        <w:rPr>
          <w:rFonts w:hint="eastAsia"/>
        </w:rPr>
        <w:t>四</w:t>
      </w:r>
      <w:r w:rsidRPr="00B4515A">
        <w:t>）本次交易完成后减少和规范关联交易的措施</w:t>
      </w:r>
    </w:p>
    <w:p w14:paraId="68FD5D8D" w14:textId="77777777" w:rsidR="006416B0" w:rsidRPr="00B4515A" w:rsidRDefault="005E58C1" w:rsidP="006100BC">
      <w:pPr>
        <w:pStyle w:val="005"/>
        <w:spacing w:before="120" w:after="120"/>
        <w:ind w:firstLine="480"/>
      </w:pPr>
      <w:r w:rsidRPr="00B4515A">
        <w:t>（</w:t>
      </w:r>
      <w:r w:rsidRPr="00B4515A">
        <w:t>1</w:t>
      </w:r>
      <w:r w:rsidRPr="00B4515A">
        <w:t>）上市公司现行的关联交易制度</w:t>
      </w:r>
    </w:p>
    <w:p w14:paraId="5AFAEAA6" w14:textId="18841EB6" w:rsidR="006416B0" w:rsidRPr="00B4515A" w:rsidRDefault="005E58C1" w:rsidP="006100BC">
      <w:pPr>
        <w:pStyle w:val="005"/>
        <w:spacing w:before="120" w:after="120"/>
        <w:ind w:firstLine="480"/>
      </w:pPr>
      <w:r w:rsidRPr="00B4515A">
        <w:t>截至</w:t>
      </w:r>
      <w:r w:rsidR="00776E2F" w:rsidRPr="00B4515A">
        <w:rPr>
          <w:rFonts w:hint="eastAsia"/>
        </w:rPr>
        <w:t>本报告书</w:t>
      </w:r>
      <w:r w:rsidRPr="00B4515A">
        <w:t>出具之日，大唐电信制定了较为完善的《关联交易管理办法》，明确了大唐电信关联交易的基本原则和内部决策程序，以保证大唐电信与关联方之间发生的关联交易符合公平、公正、公开的原则，确保关联交易行为不损害大唐电信及全体股东的利益。</w:t>
      </w:r>
    </w:p>
    <w:p w14:paraId="6708C8E1" w14:textId="77777777" w:rsidR="006416B0" w:rsidRPr="00B4515A" w:rsidRDefault="005E58C1" w:rsidP="006100BC">
      <w:pPr>
        <w:pStyle w:val="005"/>
        <w:spacing w:before="120" w:after="120"/>
        <w:ind w:firstLine="480"/>
      </w:pPr>
      <w:r w:rsidRPr="00B4515A">
        <w:t>（</w:t>
      </w:r>
      <w:r w:rsidRPr="00B4515A">
        <w:t>2</w:t>
      </w:r>
      <w:r w:rsidRPr="00B4515A">
        <w:t>）关于减少并规范关联交易的承诺</w:t>
      </w:r>
    </w:p>
    <w:p w14:paraId="570F5320" w14:textId="77777777" w:rsidR="006416B0" w:rsidRPr="00B4515A" w:rsidRDefault="005E58C1" w:rsidP="00C721A8">
      <w:pPr>
        <w:pStyle w:val="005"/>
        <w:spacing w:before="120" w:after="120"/>
        <w:ind w:firstLine="456"/>
        <w:rPr>
          <w:spacing w:val="-6"/>
        </w:rPr>
      </w:pPr>
      <w:r w:rsidRPr="00B4515A">
        <w:rPr>
          <w:spacing w:val="-6"/>
        </w:rPr>
        <w:t>为进一步减少和规范关联交易，维护上市公司及中小股东的合法权益，控股股东电信科研院、控股股东的股东中国信科集团，以及本次交易的交易对方分别出具承诺。</w:t>
      </w:r>
    </w:p>
    <w:p w14:paraId="01F4E857" w14:textId="77777777" w:rsidR="006416B0" w:rsidRPr="00B4515A" w:rsidRDefault="005E58C1" w:rsidP="006100BC">
      <w:pPr>
        <w:pStyle w:val="005"/>
        <w:spacing w:before="120" w:after="120"/>
        <w:ind w:firstLine="480"/>
      </w:pPr>
      <w:r w:rsidRPr="00B4515A">
        <w:t>其中，上市公司控股股东电信科研院承诺如下：</w:t>
      </w:r>
    </w:p>
    <w:p w14:paraId="2B8212CB" w14:textId="77777777" w:rsidR="006416B0" w:rsidRPr="00B4515A" w:rsidRDefault="005E58C1" w:rsidP="006100BC">
      <w:pPr>
        <w:pStyle w:val="005"/>
        <w:spacing w:before="120" w:after="120"/>
        <w:ind w:firstLine="480"/>
      </w:pPr>
      <w:r w:rsidRPr="00B4515A">
        <w:rPr>
          <w:rFonts w:ascii="宋体" w:hAnsi="宋体"/>
        </w:rPr>
        <w:t>“</w:t>
      </w:r>
      <w:r w:rsidRPr="00B4515A">
        <w:t>1</w:t>
      </w:r>
      <w:r w:rsidRPr="00B4515A">
        <w:t>、本公司将尽可能地避免和减少与大唐电信（含其全资及控股子公司，下同）的关联交易；对无法避免或者有合理原因而发生的关联交易，将遵循平等、自愿、公平的原则，按照合理和正常的商业交易条件进行，并保证不通过关联交易损害大唐电信及其他股东的合法权益。</w:t>
      </w:r>
    </w:p>
    <w:p w14:paraId="3817D0A3" w14:textId="77777777" w:rsidR="006416B0" w:rsidRPr="00B4515A" w:rsidRDefault="005E58C1" w:rsidP="006100BC">
      <w:pPr>
        <w:pStyle w:val="005"/>
        <w:spacing w:before="120" w:after="120"/>
        <w:ind w:firstLine="480"/>
      </w:pPr>
      <w:r w:rsidRPr="00B4515A">
        <w:t>2</w:t>
      </w:r>
      <w:r w:rsidRPr="00B4515A">
        <w:t>、本公司在作为大唐电信控股股东期间，将不会以借款、代偿款项、要求提供担保或者其他任何方式非法占用大唐电信的资金或资产，不会利用其控制地位影响大唐电信的独立性，以确保大唐电信的规范运作。</w:t>
      </w:r>
    </w:p>
    <w:p w14:paraId="04ABD45C" w14:textId="77777777" w:rsidR="006416B0" w:rsidRPr="00B4515A" w:rsidRDefault="005E58C1" w:rsidP="006100BC">
      <w:pPr>
        <w:pStyle w:val="005"/>
        <w:spacing w:before="120" w:after="120"/>
        <w:ind w:firstLine="480"/>
      </w:pPr>
      <w:r w:rsidRPr="00B4515A">
        <w:t>3</w:t>
      </w:r>
      <w:r w:rsidRPr="00B4515A">
        <w:t>、对于无法避免或者有合理原因而发生的关联交易，本公司将严格按照有关法律、法规、规范性文件以及大唐电信的章程和关联交易决策制度等规定，在大唐电信董事会、股东大会对相关关联交易事项进行表决时，继续严格履行关联董事、关联股东回避表决的义务。</w:t>
      </w:r>
    </w:p>
    <w:p w14:paraId="4EFE8A6A" w14:textId="77777777" w:rsidR="006416B0" w:rsidRPr="00B4515A" w:rsidRDefault="005E58C1" w:rsidP="006100BC">
      <w:pPr>
        <w:pStyle w:val="005"/>
        <w:spacing w:before="120" w:after="120"/>
        <w:ind w:firstLine="480"/>
      </w:pPr>
      <w:r w:rsidRPr="00B4515A">
        <w:t>4</w:t>
      </w:r>
      <w:r w:rsidRPr="00B4515A">
        <w:t>、因本公司违反本承诺函，导致大唐电信遭受损失的，本公司将对由此给</w:t>
      </w:r>
      <w:r w:rsidRPr="00B4515A">
        <w:lastRenderedPageBreak/>
        <w:t>大唐电信造成的全部损失做出全面、及时和足额的赔偿，并保证积极消除由此造成的任何不利影响。</w:t>
      </w:r>
      <w:r w:rsidRPr="00B4515A">
        <w:rPr>
          <w:rFonts w:ascii="宋体" w:hAnsi="宋体"/>
        </w:rPr>
        <w:t>”</w:t>
      </w:r>
    </w:p>
    <w:p w14:paraId="1610D8CE" w14:textId="77777777" w:rsidR="006416B0" w:rsidRPr="00B4515A" w:rsidRDefault="005E58C1" w:rsidP="006100BC">
      <w:pPr>
        <w:pStyle w:val="005"/>
        <w:spacing w:before="120" w:after="120"/>
        <w:ind w:firstLine="480"/>
      </w:pPr>
      <w:r w:rsidRPr="00B4515A">
        <w:t>上市公司控股股东电信科研院的股东中国信科集团承诺如下：</w:t>
      </w:r>
    </w:p>
    <w:p w14:paraId="1F5A1794" w14:textId="77777777" w:rsidR="006416B0" w:rsidRPr="00B4515A" w:rsidRDefault="005E58C1" w:rsidP="006100BC">
      <w:pPr>
        <w:pStyle w:val="005"/>
        <w:spacing w:before="120" w:after="120"/>
        <w:ind w:firstLine="480"/>
      </w:pPr>
      <w:r w:rsidRPr="00B4515A">
        <w:rPr>
          <w:rFonts w:ascii="宋体" w:hAnsi="宋体"/>
        </w:rPr>
        <w:t>“</w:t>
      </w:r>
      <w:r w:rsidRPr="00B4515A">
        <w:t>1</w:t>
      </w:r>
      <w:r w:rsidRPr="00B4515A">
        <w:t>、本公司将尽可能地避免和减少与大唐电信（含其全资及控股子公司，下同）的关联交易；对无法避免或者有合理原因而发生的关联交易，将遵循平等、自愿、公平的原则，按照合理和正常的商业交易条件进行，并保证不通过关联交易损害大唐电信及其他股东的合法权益。</w:t>
      </w:r>
    </w:p>
    <w:p w14:paraId="5E4739D8" w14:textId="77777777" w:rsidR="006416B0" w:rsidRPr="00B4515A" w:rsidRDefault="005E58C1" w:rsidP="006100BC">
      <w:pPr>
        <w:pStyle w:val="005"/>
        <w:spacing w:before="120" w:after="120"/>
        <w:ind w:firstLine="480"/>
      </w:pPr>
      <w:r w:rsidRPr="00B4515A">
        <w:t>2</w:t>
      </w:r>
      <w:r w:rsidRPr="00B4515A">
        <w:t>、本公司在间接控股大唐电信期间，将不会以借款、代偿款项、要求提供担保或者其他任何方式非法占用大唐电信的资金或资产，不会利用其控制地位影响大唐电信的独立性，以确保大唐电信的规范运作。</w:t>
      </w:r>
    </w:p>
    <w:p w14:paraId="6D82EC55" w14:textId="77777777" w:rsidR="006416B0" w:rsidRPr="00B4515A" w:rsidRDefault="005E58C1" w:rsidP="006100BC">
      <w:pPr>
        <w:pStyle w:val="005"/>
        <w:spacing w:before="120" w:after="120"/>
        <w:ind w:firstLine="480"/>
      </w:pPr>
      <w:r w:rsidRPr="00B4515A">
        <w:t>3</w:t>
      </w:r>
      <w:r w:rsidRPr="00B4515A">
        <w:t>、对于无法避免或者有合理原因而发生的关联交易，本公司将严格按照有关法律、法规、规范性文件以及大唐电信的章程和关联交易决策制度等规定，在大唐电信董事会、股东大会对相关关联交易事项进行表决时，继续严格履行关联董事、关联股东回避表决的义务。</w:t>
      </w:r>
    </w:p>
    <w:p w14:paraId="52B1630D" w14:textId="77777777" w:rsidR="006416B0" w:rsidRPr="00B4515A" w:rsidRDefault="005E58C1" w:rsidP="006100BC">
      <w:pPr>
        <w:pStyle w:val="005"/>
        <w:spacing w:before="120" w:after="120"/>
        <w:ind w:firstLine="480"/>
      </w:pPr>
      <w:r w:rsidRPr="00B4515A">
        <w:t>4</w:t>
      </w:r>
      <w:r w:rsidRPr="00B4515A">
        <w:t>、因本公司违反本承诺函，导致大唐电信遭受损失的，本公司将对由此给大唐电信造成的全部损失做出全面、及时和足额的赔偿，并保证积极消除由此造成的任何不利影响。</w:t>
      </w:r>
      <w:r w:rsidRPr="00B4515A">
        <w:rPr>
          <w:rFonts w:ascii="宋体" w:hAnsi="宋体"/>
        </w:rPr>
        <w:t>”</w:t>
      </w:r>
    </w:p>
    <w:p w14:paraId="7A31D265" w14:textId="77777777" w:rsidR="006416B0" w:rsidRPr="00B4515A" w:rsidRDefault="005E58C1" w:rsidP="006100BC">
      <w:pPr>
        <w:pStyle w:val="005"/>
        <w:spacing w:before="120" w:after="120"/>
        <w:ind w:firstLine="480"/>
      </w:pPr>
      <w:r w:rsidRPr="00B4515A">
        <w:t>本次发行股份购买资产的其他交易对方承诺如下：</w:t>
      </w:r>
    </w:p>
    <w:p w14:paraId="64616360" w14:textId="77777777" w:rsidR="006416B0" w:rsidRPr="00B4515A" w:rsidRDefault="005E58C1" w:rsidP="006100BC">
      <w:pPr>
        <w:pStyle w:val="005"/>
        <w:spacing w:before="120" w:after="120"/>
        <w:ind w:firstLine="480"/>
        <w:rPr>
          <w:color w:val="000000"/>
        </w:rPr>
      </w:pPr>
      <w:r w:rsidRPr="00B4515A">
        <w:rPr>
          <w:rFonts w:ascii="宋体" w:hAnsi="宋体"/>
          <w:color w:val="000000"/>
        </w:rPr>
        <w:t>“</w:t>
      </w:r>
      <w:r w:rsidRPr="00B4515A">
        <w:rPr>
          <w:color w:val="000000"/>
        </w:rPr>
        <w:t>1</w:t>
      </w:r>
      <w:r w:rsidRPr="00B4515A">
        <w:rPr>
          <w:color w:val="000000"/>
        </w:rPr>
        <w:t>、本公司</w:t>
      </w:r>
      <w:r w:rsidRPr="00B4515A">
        <w:rPr>
          <w:color w:val="000000"/>
        </w:rPr>
        <w:t>/</w:t>
      </w:r>
      <w:r w:rsidRPr="00B4515A">
        <w:rPr>
          <w:color w:val="000000"/>
        </w:rPr>
        <w:t>本企业将尽可能地避免和减少与大唐电信（含其全资及控股子公司，下同）的关联交易；对无法避免或者有合理原因而发生的关联交易，将遵循平等、自愿、公平的原则，按照合理和正常的商业交易条件进行，并保证不通过关联交易损害大唐电信及其他股东的合法权益。</w:t>
      </w:r>
    </w:p>
    <w:p w14:paraId="072E4F4B" w14:textId="77777777" w:rsidR="006416B0" w:rsidRPr="00B4515A" w:rsidRDefault="005E58C1" w:rsidP="006100BC">
      <w:pPr>
        <w:pStyle w:val="005"/>
        <w:spacing w:before="120" w:after="120"/>
        <w:ind w:firstLine="480"/>
        <w:rPr>
          <w:color w:val="000000"/>
        </w:rPr>
      </w:pPr>
      <w:r w:rsidRPr="00B4515A">
        <w:rPr>
          <w:color w:val="000000"/>
        </w:rPr>
        <w:t>2</w:t>
      </w:r>
      <w:r w:rsidRPr="00B4515A">
        <w:rPr>
          <w:color w:val="000000"/>
        </w:rPr>
        <w:t>、本公司</w:t>
      </w:r>
      <w:r w:rsidRPr="00B4515A">
        <w:rPr>
          <w:color w:val="000000"/>
        </w:rPr>
        <w:t>/</w:t>
      </w:r>
      <w:r w:rsidRPr="00B4515A">
        <w:rPr>
          <w:color w:val="000000"/>
        </w:rPr>
        <w:t>本企业在作为大唐电信股东期间，将不会以借款、代偿款项、要求提供担保或者其他任何方式非法占用大唐电信的资金或资产，不会利用其股东地位影响大唐电信的独立性，以确保大唐电信的规范运作。</w:t>
      </w:r>
    </w:p>
    <w:p w14:paraId="16A49590" w14:textId="77777777" w:rsidR="006416B0" w:rsidRPr="00B4515A" w:rsidRDefault="005E58C1" w:rsidP="006100BC">
      <w:pPr>
        <w:pStyle w:val="005"/>
        <w:spacing w:before="120" w:after="120"/>
        <w:ind w:firstLine="480"/>
        <w:rPr>
          <w:color w:val="000000"/>
        </w:rPr>
      </w:pPr>
      <w:r w:rsidRPr="00B4515A">
        <w:rPr>
          <w:color w:val="000000"/>
        </w:rPr>
        <w:t>3</w:t>
      </w:r>
      <w:r w:rsidRPr="00B4515A">
        <w:rPr>
          <w:color w:val="000000"/>
        </w:rPr>
        <w:t>、对于无法避免或者有合理原因而发生的关联交易，本公司</w:t>
      </w:r>
      <w:r w:rsidRPr="00B4515A">
        <w:rPr>
          <w:color w:val="000000"/>
        </w:rPr>
        <w:t>/</w:t>
      </w:r>
      <w:r w:rsidRPr="00B4515A">
        <w:rPr>
          <w:color w:val="000000"/>
        </w:rPr>
        <w:t>本企业将严格按照有关法律、法规、规范性文件以及大唐电信的章程和关联交易决策制度等规</w:t>
      </w:r>
      <w:r w:rsidRPr="00B4515A">
        <w:rPr>
          <w:color w:val="000000"/>
        </w:rPr>
        <w:lastRenderedPageBreak/>
        <w:t>定，在大唐电信董事会、股东大会对相关关联交易事项进行表决时，继续严格履行关联董事、关联股东回避表决的义务。</w:t>
      </w:r>
    </w:p>
    <w:p w14:paraId="430A7A52" w14:textId="77777777" w:rsidR="006416B0" w:rsidRPr="00B4515A" w:rsidRDefault="005E58C1" w:rsidP="006100BC">
      <w:pPr>
        <w:pStyle w:val="005"/>
        <w:spacing w:before="120" w:after="120"/>
        <w:ind w:firstLine="480"/>
      </w:pPr>
      <w:r w:rsidRPr="00B4515A">
        <w:rPr>
          <w:color w:val="000000"/>
        </w:rPr>
        <w:t>4</w:t>
      </w:r>
      <w:r w:rsidRPr="00B4515A">
        <w:rPr>
          <w:color w:val="000000"/>
        </w:rPr>
        <w:t>、因本公司</w:t>
      </w:r>
      <w:r w:rsidRPr="00B4515A">
        <w:rPr>
          <w:color w:val="000000"/>
        </w:rPr>
        <w:t>/</w:t>
      </w:r>
      <w:r w:rsidRPr="00B4515A">
        <w:rPr>
          <w:color w:val="000000"/>
        </w:rPr>
        <w:t>本企业违反本承诺函，导致大唐电信遭受损失的，本公司</w:t>
      </w:r>
      <w:r w:rsidRPr="00B4515A">
        <w:rPr>
          <w:color w:val="000000"/>
        </w:rPr>
        <w:t>/</w:t>
      </w:r>
      <w:r w:rsidRPr="00B4515A">
        <w:rPr>
          <w:color w:val="000000"/>
        </w:rPr>
        <w:t>本企业将对由此给大唐电信造成的全部损失做出全面、及时和足额的赔偿，并保证积极消除由此造成的任何不利影响。</w:t>
      </w:r>
      <w:r w:rsidRPr="00B4515A">
        <w:rPr>
          <w:rFonts w:ascii="宋体" w:hAnsi="宋体"/>
        </w:rPr>
        <w:t>”</w:t>
      </w:r>
    </w:p>
    <w:p w14:paraId="040380CC" w14:textId="77777777" w:rsidR="006416B0" w:rsidRPr="00B4515A" w:rsidRDefault="005E58C1" w:rsidP="006100BC">
      <w:pPr>
        <w:pStyle w:val="005"/>
        <w:spacing w:before="120" w:after="120"/>
        <w:ind w:firstLine="480"/>
      </w:pPr>
      <w:r w:rsidRPr="00B4515A">
        <w:rPr>
          <w:color w:val="000000"/>
        </w:rPr>
        <w:t>综上所述，对于本次交易完成后可能发生的关联交易，上市公司、电信科研院、中国信科集团及本次发行股份购买资产的其他交易对方均已向上市公司出具了减少和规范关联交易的承诺函，为本次交易完成后可能发生的关联交易的公平性、公允性和合理性提供了保障</w:t>
      </w:r>
      <w:r w:rsidRPr="00B4515A">
        <w:rPr>
          <w:rFonts w:hint="eastAsia"/>
          <w:color w:val="000000"/>
        </w:rPr>
        <w:t>。</w:t>
      </w:r>
    </w:p>
    <w:p w14:paraId="0941FDF6" w14:textId="77777777" w:rsidR="006416B0" w:rsidRPr="00B4515A" w:rsidRDefault="005E58C1" w:rsidP="002B0582">
      <w:pPr>
        <w:pStyle w:val="001"/>
        <w:spacing w:before="360" w:after="360"/>
      </w:pPr>
      <w:bookmarkStart w:id="353" w:name="_Toc80960583"/>
      <w:r w:rsidRPr="00B4515A">
        <w:lastRenderedPageBreak/>
        <w:t>第</w:t>
      </w:r>
      <w:r w:rsidRPr="00B4515A">
        <w:rPr>
          <w:rFonts w:hint="eastAsia"/>
        </w:rPr>
        <w:t>十二节</w:t>
      </w:r>
      <w:r w:rsidRPr="00B4515A">
        <w:t xml:space="preserve"> </w:t>
      </w:r>
      <w:r w:rsidRPr="00B4515A">
        <w:rPr>
          <w:rFonts w:hint="eastAsia"/>
        </w:rPr>
        <w:t>风险</w:t>
      </w:r>
      <w:r w:rsidRPr="00B4515A">
        <w:t>因素</w:t>
      </w:r>
      <w:bookmarkEnd w:id="282"/>
      <w:bookmarkEnd w:id="353"/>
    </w:p>
    <w:p w14:paraId="43B8781F" w14:textId="15C261E6" w:rsidR="006416B0" w:rsidRPr="00B4515A" w:rsidRDefault="005E58C1" w:rsidP="006100BC">
      <w:pPr>
        <w:pStyle w:val="005"/>
        <w:spacing w:before="120" w:after="120"/>
        <w:ind w:firstLine="480"/>
      </w:pPr>
      <w:r w:rsidRPr="00B4515A">
        <w:rPr>
          <w:rFonts w:hint="eastAsia"/>
        </w:rPr>
        <w:t>投资者在评价本次重大资产重组时，除</w:t>
      </w:r>
      <w:r w:rsidR="00776E2F" w:rsidRPr="00B4515A">
        <w:rPr>
          <w:rFonts w:hint="eastAsia"/>
        </w:rPr>
        <w:t>本报告书</w:t>
      </w:r>
      <w:r w:rsidRPr="00B4515A">
        <w:rPr>
          <w:rFonts w:hint="eastAsia"/>
        </w:rPr>
        <w:t>的其他内容和与</w:t>
      </w:r>
      <w:r w:rsidR="00776E2F" w:rsidRPr="00B4515A">
        <w:rPr>
          <w:rFonts w:hint="eastAsia"/>
        </w:rPr>
        <w:t>本报告书</w:t>
      </w:r>
      <w:r w:rsidRPr="00B4515A">
        <w:rPr>
          <w:rFonts w:hint="eastAsia"/>
        </w:rPr>
        <w:t>同时披露的相关文件外，还应考虑下述各项风险因素：</w:t>
      </w:r>
    </w:p>
    <w:p w14:paraId="16E5081E" w14:textId="77777777" w:rsidR="006416B0" w:rsidRPr="00B4515A" w:rsidRDefault="005E58C1" w:rsidP="006100BC">
      <w:pPr>
        <w:pStyle w:val="002"/>
        <w:spacing w:before="120" w:after="120"/>
        <w:ind w:firstLine="562"/>
      </w:pPr>
      <w:bookmarkStart w:id="354" w:name="_Toc80960584"/>
      <w:r w:rsidRPr="00B4515A">
        <w:rPr>
          <w:rFonts w:hint="eastAsia"/>
        </w:rPr>
        <w:t>一、与本次交易相关的风险</w:t>
      </w:r>
      <w:bookmarkEnd w:id="354"/>
    </w:p>
    <w:p w14:paraId="6B752BFB" w14:textId="77777777" w:rsidR="006416B0" w:rsidRPr="00B4515A" w:rsidRDefault="005E58C1" w:rsidP="006100BC">
      <w:pPr>
        <w:pStyle w:val="003"/>
        <w:spacing w:before="120"/>
        <w:ind w:firstLine="482"/>
      </w:pPr>
      <w:r w:rsidRPr="00B4515A">
        <w:rPr>
          <w:rFonts w:hint="eastAsia"/>
        </w:rPr>
        <w:t>（一）本次交易被暂停、中止或取消的风险</w:t>
      </w:r>
    </w:p>
    <w:p w14:paraId="09252829" w14:textId="77777777" w:rsidR="006416B0" w:rsidRPr="00B4515A" w:rsidRDefault="005E58C1" w:rsidP="006100BC">
      <w:pPr>
        <w:pStyle w:val="005"/>
        <w:spacing w:before="120" w:after="120"/>
        <w:ind w:firstLine="480"/>
      </w:pPr>
      <w:r w:rsidRPr="00B4515A">
        <w:rPr>
          <w:rFonts w:hint="eastAsia"/>
        </w:rPr>
        <w:t>本次重组存在如下被暂停、中止或取消的风险：</w:t>
      </w:r>
    </w:p>
    <w:p w14:paraId="718256A0" w14:textId="77777777" w:rsidR="006416B0" w:rsidRPr="00B4515A" w:rsidRDefault="005E58C1" w:rsidP="006100BC">
      <w:pPr>
        <w:pStyle w:val="005"/>
        <w:spacing w:before="120" w:after="120"/>
        <w:ind w:firstLine="480"/>
      </w:pPr>
      <w:r w:rsidRPr="00B4515A">
        <w:t>1</w:t>
      </w:r>
      <w:r w:rsidRPr="00B4515A">
        <w:rPr>
          <w:rFonts w:hint="eastAsia"/>
        </w:rPr>
        <w:t>、本次重组存在因上市公司股价的异常波动或异常交易可能涉嫌内幕交易，而被暂停、中止或取消的风险。</w:t>
      </w:r>
    </w:p>
    <w:p w14:paraId="30423EFF" w14:textId="77777777" w:rsidR="006416B0" w:rsidRPr="00B4515A" w:rsidRDefault="005E58C1" w:rsidP="006100BC">
      <w:pPr>
        <w:pStyle w:val="005"/>
        <w:spacing w:before="120" w:after="120"/>
        <w:ind w:firstLine="480"/>
      </w:pPr>
      <w:r w:rsidRPr="00B4515A">
        <w:t>2</w:t>
      </w:r>
      <w:r w:rsidRPr="00B4515A">
        <w:rPr>
          <w:rFonts w:hint="eastAsia"/>
        </w:rPr>
        <w:t>、本次重组尚需股东大会审议通过，若无法通过上市公司股东大会审议，则本次交易有被终止或取消的风险。</w:t>
      </w:r>
    </w:p>
    <w:p w14:paraId="787794AD" w14:textId="77777777" w:rsidR="006416B0" w:rsidRPr="00B4515A" w:rsidRDefault="005E58C1" w:rsidP="006100BC">
      <w:pPr>
        <w:pStyle w:val="005"/>
        <w:spacing w:before="120" w:after="120"/>
        <w:ind w:firstLine="480"/>
      </w:pPr>
      <w:r w:rsidRPr="00B4515A">
        <w:t>3</w:t>
      </w:r>
      <w:r w:rsidRPr="00B4515A">
        <w:rPr>
          <w:rFonts w:hint="eastAsia"/>
        </w:rPr>
        <w:t>、在本次交易审核过程中，交易各方可能需根据监管机构的要求不断完善交易方案，如交易各方无法就完善交易方案的措施达成一致，则本次交易存在中止的可能。</w:t>
      </w:r>
    </w:p>
    <w:p w14:paraId="1E8F9B19" w14:textId="77777777" w:rsidR="006416B0" w:rsidRPr="00B4515A" w:rsidRDefault="005E58C1" w:rsidP="006100BC">
      <w:pPr>
        <w:pStyle w:val="005"/>
        <w:spacing w:before="120" w:after="120"/>
        <w:ind w:firstLine="480"/>
      </w:pPr>
      <w:r w:rsidRPr="00B4515A">
        <w:rPr>
          <w:rFonts w:hint="eastAsia"/>
        </w:rPr>
        <w:t>若本次重组因上述某种原因或其他原因被暂停、中止或取消，而上市公司又计划重新启动重组，则交易定价及其他交易条件都可能较本报告书中披露的重组方案发生重大变化，提请投资者注意投资风险。</w:t>
      </w:r>
    </w:p>
    <w:p w14:paraId="063DD771" w14:textId="77777777" w:rsidR="006416B0" w:rsidRPr="00B4515A" w:rsidRDefault="005E58C1" w:rsidP="006100BC">
      <w:pPr>
        <w:pStyle w:val="003"/>
        <w:spacing w:before="120"/>
        <w:ind w:firstLine="482"/>
      </w:pPr>
      <w:r w:rsidRPr="00B4515A">
        <w:rPr>
          <w:rFonts w:hint="eastAsia"/>
        </w:rPr>
        <w:t>（二）审批风险</w:t>
      </w:r>
    </w:p>
    <w:p w14:paraId="0D7EB6DC" w14:textId="77777777" w:rsidR="006416B0" w:rsidRPr="00B4515A" w:rsidRDefault="005E58C1" w:rsidP="006100BC">
      <w:pPr>
        <w:pStyle w:val="005"/>
        <w:spacing w:before="120" w:after="120"/>
        <w:ind w:firstLine="480"/>
      </w:pPr>
      <w:r w:rsidRPr="00B4515A">
        <w:rPr>
          <w:rFonts w:hint="eastAsia"/>
        </w:rPr>
        <w:t>本次交易尚需履行多项审批程序，包括但不限于国资监管机构的批准、上市公司股东大会的批准、中国证监会的核准等。本次交易能否取得上述批准或核准并最终得以成功实施的时间面临着不确定性，存在无法通过审批而导致交易失败的风险。</w:t>
      </w:r>
    </w:p>
    <w:p w14:paraId="5139E139" w14:textId="77777777" w:rsidR="006416B0" w:rsidRPr="00B4515A" w:rsidRDefault="005E58C1" w:rsidP="006100BC">
      <w:pPr>
        <w:pStyle w:val="003"/>
        <w:spacing w:before="120"/>
        <w:ind w:firstLine="482"/>
      </w:pPr>
      <w:r w:rsidRPr="00B4515A">
        <w:rPr>
          <w:rFonts w:hint="eastAsia"/>
        </w:rPr>
        <w:t>（三）交易标的估值风险</w:t>
      </w:r>
    </w:p>
    <w:p w14:paraId="3482369A" w14:textId="77777777" w:rsidR="006416B0" w:rsidRPr="00B4515A" w:rsidRDefault="005E58C1" w:rsidP="006100BC">
      <w:pPr>
        <w:pStyle w:val="005"/>
        <w:spacing w:before="120" w:after="120"/>
        <w:ind w:firstLine="480"/>
      </w:pPr>
      <w:r w:rsidRPr="00B4515A">
        <w:rPr>
          <w:rFonts w:hint="eastAsia"/>
        </w:rPr>
        <w:t>本次交易中，标的资产的交易价格根据具有证券、期货相关业务资格的资产评估机构出具并经有权部门备案的评估报告的评估结果确定。</w:t>
      </w:r>
    </w:p>
    <w:p w14:paraId="02758532" w14:textId="77777777" w:rsidR="006416B0" w:rsidRPr="00B4515A" w:rsidRDefault="005E58C1" w:rsidP="006100BC">
      <w:pPr>
        <w:pStyle w:val="005"/>
        <w:spacing w:before="120" w:after="120"/>
        <w:ind w:firstLine="480"/>
      </w:pPr>
      <w:r w:rsidRPr="00B4515A">
        <w:rPr>
          <w:rFonts w:hint="eastAsia"/>
        </w:rPr>
        <w:t>鉴于资产评估中的分析、判断和结论受相关假设和限定条件的限制，本次评</w:t>
      </w:r>
      <w:r w:rsidRPr="00B4515A">
        <w:rPr>
          <w:rFonts w:hint="eastAsia"/>
        </w:rPr>
        <w:lastRenderedPageBreak/>
        <w:t>估中包含的相关假设、限定条件及特别事项等因素的不可预期变动，可能将对评估结果的准确性造成一定影响。提请广大投资者注意本次交易标的资产的估值风险。</w:t>
      </w:r>
    </w:p>
    <w:p w14:paraId="71837B12" w14:textId="77777777" w:rsidR="006416B0" w:rsidRPr="00B4515A" w:rsidRDefault="005E58C1" w:rsidP="006100BC">
      <w:pPr>
        <w:pStyle w:val="003"/>
        <w:spacing w:before="120"/>
        <w:ind w:firstLine="482"/>
      </w:pPr>
      <w:r w:rsidRPr="00B4515A">
        <w:rPr>
          <w:rFonts w:hint="eastAsia"/>
        </w:rPr>
        <w:t>（四）本次募集配套资金审批及实施风险</w:t>
      </w:r>
    </w:p>
    <w:p w14:paraId="5C154C50" w14:textId="77777777" w:rsidR="006416B0" w:rsidRPr="00B4515A" w:rsidRDefault="005E58C1" w:rsidP="006100BC">
      <w:pPr>
        <w:pStyle w:val="005"/>
        <w:spacing w:before="120" w:after="120"/>
        <w:ind w:firstLine="480"/>
      </w:pPr>
      <w:r w:rsidRPr="00B4515A">
        <w:rPr>
          <w:rFonts w:hint="eastAsia"/>
        </w:rPr>
        <w:t>本次募集配套资金需经中国证监会核准。能否取得中国证监会核准，以及最终取得中国证监会核准的时间存在不确定性。在募集配套资金未能实施的情形下，公司将以自筹资金方式解决，将在一定程度上增加公司的财务费用，影响公司盈利能力。提请投资者注意相关风险。</w:t>
      </w:r>
    </w:p>
    <w:p w14:paraId="381D83B0" w14:textId="77777777" w:rsidR="006416B0" w:rsidRPr="00B4515A" w:rsidRDefault="005E58C1" w:rsidP="006100BC">
      <w:pPr>
        <w:pStyle w:val="003"/>
        <w:spacing w:before="120"/>
        <w:ind w:firstLine="482"/>
        <w:rPr>
          <w:rFonts w:ascii="Arial" w:hAnsi="Arial" w:cs="Arial"/>
        </w:rPr>
      </w:pPr>
      <w:r w:rsidRPr="00B4515A">
        <w:rPr>
          <w:rFonts w:hint="eastAsia"/>
        </w:rPr>
        <w:t>（五）本次重组涉及的相关信息豁免披露相关的风险</w:t>
      </w:r>
    </w:p>
    <w:p w14:paraId="5F51BC9F" w14:textId="77777777" w:rsidR="006416B0" w:rsidRPr="00B4515A" w:rsidRDefault="005E58C1" w:rsidP="006100BC">
      <w:pPr>
        <w:pStyle w:val="005"/>
        <w:spacing w:before="120" w:after="120"/>
        <w:ind w:firstLine="480"/>
      </w:pPr>
      <w:r w:rsidRPr="00B4515A">
        <w:rPr>
          <w:rFonts w:hint="eastAsia"/>
        </w:rPr>
        <w:t>本次交易的标的公司涉及特种通信产品业务，对外信息披露需履行保守国家秘密的义务，本次交易根据国家相关法律法规进行了涉密信息脱密处理。</w:t>
      </w:r>
    </w:p>
    <w:p w14:paraId="5DBDF6C1" w14:textId="77777777" w:rsidR="006416B0" w:rsidRPr="00B4515A" w:rsidRDefault="005E58C1" w:rsidP="006100BC">
      <w:pPr>
        <w:pStyle w:val="005"/>
        <w:spacing w:before="120" w:after="120"/>
        <w:ind w:firstLine="480"/>
      </w:pPr>
      <w:r w:rsidRPr="00B4515A">
        <w:rPr>
          <w:rFonts w:hint="eastAsia"/>
        </w:rPr>
        <w:t>为了保护投资者利益，除根据相关规定需要脱密处理或申请豁免披露信息外，上市公司不以保密为由规避依法应当予以公开披露的信息。本报告书信息披露符合中国证监会和上交所关于重大资产重组信息披露的要求，公司保证本报告书披露内容的真实、准确、完整。</w:t>
      </w:r>
    </w:p>
    <w:p w14:paraId="5BB01F88" w14:textId="77777777" w:rsidR="006416B0" w:rsidRPr="00B4515A" w:rsidRDefault="005E58C1" w:rsidP="006100BC">
      <w:pPr>
        <w:pStyle w:val="005"/>
        <w:spacing w:before="120" w:after="120"/>
        <w:ind w:firstLine="480"/>
      </w:pPr>
      <w:r w:rsidRPr="00B4515A">
        <w:rPr>
          <w:rFonts w:hint="eastAsia"/>
        </w:rPr>
        <w:t>上述因特种企业行业特殊规定而采取的信息披露处理方式，可能导致投资者阅读本报告书时对部分信息了解不够充分，影响投资者的价值判断，提请广大投资者注意。</w:t>
      </w:r>
    </w:p>
    <w:p w14:paraId="0EB680F2" w14:textId="77777777" w:rsidR="006416B0" w:rsidRPr="00B4515A" w:rsidRDefault="005E58C1" w:rsidP="006100BC">
      <w:pPr>
        <w:pStyle w:val="003"/>
        <w:spacing w:before="120"/>
        <w:ind w:firstLine="482"/>
      </w:pPr>
      <w:r w:rsidRPr="00B4515A">
        <w:rPr>
          <w:rFonts w:hint="eastAsia"/>
        </w:rPr>
        <w:t>（六）本次交易的整合风险</w:t>
      </w:r>
    </w:p>
    <w:p w14:paraId="0A7D83E8" w14:textId="77777777" w:rsidR="006416B0" w:rsidRPr="00B4515A" w:rsidRDefault="005E58C1" w:rsidP="006100BC">
      <w:pPr>
        <w:pStyle w:val="004"/>
        <w:spacing w:before="120" w:after="120"/>
        <w:ind w:firstLine="482"/>
      </w:pPr>
      <w:r w:rsidRPr="00B4515A">
        <w:t>1</w:t>
      </w:r>
      <w:r w:rsidRPr="00B4515A">
        <w:rPr>
          <w:rFonts w:hint="eastAsia"/>
        </w:rPr>
        <w:t>、业务整合风险</w:t>
      </w:r>
    </w:p>
    <w:p w14:paraId="0C3A1368" w14:textId="77777777" w:rsidR="006416B0" w:rsidRPr="00B4515A" w:rsidRDefault="005E58C1" w:rsidP="006100BC">
      <w:pPr>
        <w:pStyle w:val="005"/>
        <w:spacing w:before="120" w:after="120"/>
        <w:ind w:firstLine="480"/>
      </w:pPr>
      <w:r w:rsidRPr="00B4515A">
        <w:rPr>
          <w:rStyle w:val="005Char"/>
          <w:rFonts w:hint="eastAsia"/>
        </w:rPr>
        <w:t>本次交易前，上市公司主营业务主要分为集成电路设计、信息通信安全等业务。本次交易完成后，大唐联诚将成为上市公司的子公司，上市公司将向特种通信领域布局，构建</w:t>
      </w:r>
      <w:r w:rsidRPr="00B4515A">
        <w:rPr>
          <w:rStyle w:val="005Char"/>
          <w:rFonts w:ascii="宋体" w:hAnsi="宋体" w:hint="eastAsia"/>
        </w:rPr>
        <w:t>“</w:t>
      </w:r>
      <w:r w:rsidRPr="00B4515A">
        <w:rPr>
          <w:rStyle w:val="005Char"/>
          <w:rFonts w:hint="eastAsia"/>
        </w:rPr>
        <w:t>安全芯片</w:t>
      </w:r>
      <w:r w:rsidRPr="00B4515A">
        <w:rPr>
          <w:rStyle w:val="005Char"/>
        </w:rPr>
        <w:t>+</w:t>
      </w:r>
      <w:r w:rsidRPr="00B4515A">
        <w:rPr>
          <w:rStyle w:val="005Char"/>
          <w:rFonts w:hint="eastAsia"/>
        </w:rPr>
        <w:t>特种通信</w:t>
      </w:r>
      <w:r w:rsidRPr="00B4515A">
        <w:rPr>
          <w:rStyle w:val="005Char"/>
          <w:rFonts w:ascii="宋体" w:hAnsi="宋体" w:hint="eastAsia"/>
        </w:rPr>
        <w:t>”</w:t>
      </w:r>
      <w:r w:rsidRPr="00B4515A">
        <w:rPr>
          <w:rStyle w:val="005Char"/>
          <w:rFonts w:hint="eastAsia"/>
        </w:rPr>
        <w:t>的整体产业格局。上市公司与大唐联诚之间能否顺利实现整合取决于双方的业务互补性、互通性，也受到具体人员、理念、工作习惯等众多因素的影响，能否发挥合并优势具有一定的不确定性。若上述整合无法顺利完成，将影响本次交易协同效应的发挥，并且整合过程中可能</w:t>
      </w:r>
      <w:r w:rsidRPr="00B4515A">
        <w:rPr>
          <w:rFonts w:hint="eastAsia"/>
        </w:rPr>
        <w:t>会对两家公司的正常业务发展产生影响。</w:t>
      </w:r>
    </w:p>
    <w:p w14:paraId="2B073222" w14:textId="77777777" w:rsidR="006416B0" w:rsidRPr="00B4515A" w:rsidRDefault="005E58C1" w:rsidP="006100BC">
      <w:pPr>
        <w:pStyle w:val="004"/>
        <w:spacing w:before="120" w:after="120"/>
        <w:ind w:firstLine="482"/>
      </w:pPr>
      <w:r w:rsidRPr="00B4515A">
        <w:lastRenderedPageBreak/>
        <w:t>2</w:t>
      </w:r>
      <w:r w:rsidRPr="00B4515A">
        <w:rPr>
          <w:rFonts w:hint="eastAsia"/>
        </w:rPr>
        <w:t>、人员整合风险</w:t>
      </w:r>
    </w:p>
    <w:p w14:paraId="4E1B026A" w14:textId="77777777" w:rsidR="006416B0" w:rsidRPr="00B4515A" w:rsidRDefault="005E58C1" w:rsidP="006100BC">
      <w:pPr>
        <w:pStyle w:val="005"/>
        <w:spacing w:before="120" w:after="120"/>
        <w:ind w:firstLine="480"/>
      </w:pPr>
      <w:r w:rsidRPr="00B4515A">
        <w:rPr>
          <w:rFonts w:hint="eastAsia"/>
        </w:rPr>
        <w:t>上市公司与标的公司的经营管理方式存在一定差异，上市公司能否在短时间内完成整合、或整合效果能否达到预期具有不确定性，如人员整合不及预期，则可能会带来人才流失的风险，从而对标的公司的盈利能力和上市公司运营带来负面影响。</w:t>
      </w:r>
    </w:p>
    <w:p w14:paraId="7D3881F5" w14:textId="77777777" w:rsidR="006416B0" w:rsidRPr="00B4515A" w:rsidRDefault="005E58C1" w:rsidP="006100BC">
      <w:pPr>
        <w:pStyle w:val="004"/>
        <w:spacing w:before="120" w:after="120"/>
        <w:ind w:firstLine="482"/>
      </w:pPr>
      <w:r w:rsidRPr="00B4515A">
        <w:t>3</w:t>
      </w:r>
      <w:r w:rsidRPr="00B4515A">
        <w:rPr>
          <w:rFonts w:hint="eastAsia"/>
        </w:rPr>
        <w:t>、管理风险</w:t>
      </w:r>
    </w:p>
    <w:p w14:paraId="7BDE91F4" w14:textId="77777777" w:rsidR="006416B0" w:rsidRPr="00B4515A" w:rsidRDefault="005E58C1" w:rsidP="006100BC">
      <w:pPr>
        <w:pStyle w:val="005"/>
        <w:spacing w:before="120" w:after="120"/>
        <w:ind w:firstLine="480"/>
      </w:pPr>
      <w:r w:rsidRPr="00B4515A">
        <w:rPr>
          <w:rFonts w:hint="eastAsia"/>
        </w:rPr>
        <w:t>交易完成后上市公司资产、业务、人员规模将进一步扩大，对上市公司原有管理和治理格局产生一定影响，对上市公司经营管理提出了更高的要求，包括组织架构、管理制度、内部控制、激励机制和人才建设等方面，从而给公司的经营管理带来一定风险。</w:t>
      </w:r>
    </w:p>
    <w:p w14:paraId="24924AE2" w14:textId="77777777" w:rsidR="006416B0" w:rsidRPr="00B4515A" w:rsidRDefault="005E58C1" w:rsidP="006100BC">
      <w:pPr>
        <w:pStyle w:val="003"/>
        <w:spacing w:before="120"/>
        <w:ind w:firstLine="482"/>
      </w:pPr>
      <w:r w:rsidRPr="00B4515A">
        <w:rPr>
          <w:rFonts w:hint="eastAsia"/>
        </w:rPr>
        <w:t>（七）关联交易风险</w:t>
      </w:r>
    </w:p>
    <w:p w14:paraId="1B4F82B7" w14:textId="77777777" w:rsidR="006416B0" w:rsidRPr="00B4515A" w:rsidRDefault="005E58C1" w:rsidP="006100BC">
      <w:pPr>
        <w:pStyle w:val="005"/>
        <w:spacing w:before="120" w:after="120"/>
        <w:ind w:firstLine="480"/>
      </w:pPr>
      <w:r w:rsidRPr="00B4515A">
        <w:rPr>
          <w:rFonts w:hint="eastAsia"/>
        </w:rPr>
        <w:t>上市公司将尽量避免或减少与关联人之间的关联交易。对于无法避免的关联交易，上市公司将遵循公平、公正、公开及等价有偿的原则，切实履行信息披露及关联交易决策的相关规定，不损害全体股东特别是中小股东的合法权益。</w:t>
      </w:r>
    </w:p>
    <w:p w14:paraId="54566C50" w14:textId="77777777" w:rsidR="006416B0" w:rsidRPr="00B4515A" w:rsidRDefault="005E58C1" w:rsidP="006100BC">
      <w:pPr>
        <w:pStyle w:val="005"/>
        <w:spacing w:before="120" w:after="120"/>
        <w:ind w:firstLine="480"/>
      </w:pPr>
      <w:r w:rsidRPr="00B4515A">
        <w:rPr>
          <w:rFonts w:hint="eastAsia"/>
        </w:rPr>
        <w:t>为避免和消除可能出现的公司股东利用其地位而从事损害本公司或公司其他股东利益的情形，保护中小股东的利益，公司将继续严格执行《上市规则》《公司章程》等法规、制度，保证公司与关联人所发生的关联交易合法、公允和公平。</w:t>
      </w:r>
    </w:p>
    <w:p w14:paraId="12861DFE" w14:textId="77777777" w:rsidR="006416B0" w:rsidRPr="00B4515A" w:rsidRDefault="005E58C1" w:rsidP="006100BC">
      <w:pPr>
        <w:pStyle w:val="005"/>
        <w:spacing w:before="120" w:after="120"/>
        <w:ind w:firstLine="480"/>
      </w:pPr>
      <w:r w:rsidRPr="00B4515A">
        <w:rPr>
          <w:rFonts w:hint="eastAsia"/>
        </w:rPr>
        <w:t>为进一步减少和规范关联交易，维护上市公司及中小股东的合法权益，控股股东电信科研院、控股股东的股东中国信科集团，以及本次交易的交易对方分别出具了关于规范和减少关联交易的承诺，具体参见</w:t>
      </w:r>
      <w:r w:rsidRPr="00B4515A">
        <w:rPr>
          <w:rFonts w:hint="eastAsia"/>
        </w:rPr>
        <w:t xml:space="preserve"> </w:t>
      </w:r>
      <w:r w:rsidRPr="00B4515A">
        <w:rPr>
          <w:rFonts w:ascii="宋体" w:hAnsi="宋体" w:hint="eastAsia"/>
        </w:rPr>
        <w:t>“</w:t>
      </w:r>
      <w:r w:rsidRPr="00B4515A">
        <w:rPr>
          <w:rFonts w:hint="eastAsia"/>
        </w:rPr>
        <w:t>第十一节</w:t>
      </w:r>
      <w:r w:rsidRPr="00B4515A">
        <w:rPr>
          <w:rFonts w:hint="eastAsia"/>
        </w:rPr>
        <w:t xml:space="preserve"> </w:t>
      </w:r>
      <w:r w:rsidRPr="00B4515A">
        <w:rPr>
          <w:rFonts w:hint="eastAsia"/>
        </w:rPr>
        <w:t>同业竞争与关联交易</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三、本次交易对关联交易的影响</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（三）本次交易完成后规范和减少关联交易的措施</w:t>
      </w:r>
      <w:r w:rsidRPr="00B4515A">
        <w:rPr>
          <w:rFonts w:ascii="宋体" w:hAnsi="宋体" w:hint="eastAsia"/>
        </w:rPr>
        <w:t>”</w:t>
      </w:r>
      <w:r w:rsidRPr="00B4515A">
        <w:rPr>
          <w:rFonts w:hint="eastAsia"/>
        </w:rPr>
        <w:t>。</w:t>
      </w:r>
    </w:p>
    <w:p w14:paraId="3E396673" w14:textId="77777777" w:rsidR="006416B0" w:rsidRPr="00B4515A" w:rsidRDefault="005E58C1" w:rsidP="006100BC">
      <w:pPr>
        <w:pStyle w:val="002"/>
        <w:spacing w:before="120" w:after="120"/>
        <w:ind w:firstLine="562"/>
      </w:pPr>
      <w:bookmarkStart w:id="355" w:name="_Toc80960585"/>
      <w:r w:rsidRPr="00B4515A">
        <w:rPr>
          <w:rFonts w:hint="eastAsia"/>
        </w:rPr>
        <w:t>二、与标的公司相关的风险</w:t>
      </w:r>
      <w:bookmarkEnd w:id="355"/>
    </w:p>
    <w:p w14:paraId="3B1C2710" w14:textId="77777777" w:rsidR="006416B0" w:rsidRPr="00B4515A" w:rsidRDefault="005E58C1" w:rsidP="006100BC">
      <w:pPr>
        <w:pStyle w:val="003"/>
        <w:spacing w:before="120"/>
        <w:ind w:firstLine="482"/>
      </w:pPr>
      <w:r w:rsidRPr="00B4515A">
        <w:rPr>
          <w:rFonts w:hint="eastAsia"/>
        </w:rPr>
        <w:t>（一）技术风险</w:t>
      </w:r>
    </w:p>
    <w:p w14:paraId="4213701F" w14:textId="77777777" w:rsidR="006416B0" w:rsidRPr="00B4515A" w:rsidRDefault="005E58C1" w:rsidP="006100BC">
      <w:pPr>
        <w:pStyle w:val="004"/>
        <w:spacing w:before="120" w:after="120"/>
        <w:ind w:firstLine="482"/>
      </w:pPr>
      <w:r w:rsidRPr="00B4515A">
        <w:t>1</w:t>
      </w:r>
      <w:r w:rsidRPr="00B4515A">
        <w:rPr>
          <w:rFonts w:hint="eastAsia"/>
        </w:rPr>
        <w:t>、产品研发风险</w:t>
      </w:r>
    </w:p>
    <w:p w14:paraId="7EC130E5" w14:textId="77777777" w:rsidR="006416B0" w:rsidRPr="00B4515A" w:rsidRDefault="005E58C1" w:rsidP="006100BC">
      <w:pPr>
        <w:pStyle w:val="005"/>
        <w:spacing w:before="120" w:after="120"/>
        <w:ind w:firstLine="480"/>
      </w:pPr>
      <w:r w:rsidRPr="00B4515A">
        <w:rPr>
          <w:rFonts w:hint="eastAsia"/>
        </w:rPr>
        <w:t>标的公司所处的特种通信行业属于技术密集型行业，技术更新及产品迭代较快，面向客户的型号研制需经过严格的试验和检验程序，研制生命周期长，产品</w:t>
      </w:r>
      <w:r w:rsidRPr="00B4515A">
        <w:rPr>
          <w:rFonts w:hint="eastAsia"/>
        </w:rPr>
        <w:lastRenderedPageBreak/>
        <w:t>研发先期投入较大。若标的公司未来研制的新产品未通过型号鉴定并最终定型，或新产品的研发周期太长，又或带来的收益不能消化投入的研发费用，持续的高研发投入则会削弱标的公司的盈利能力，对标的公司经营业绩造成不利影响。</w:t>
      </w:r>
      <w:r w:rsidRPr="00B4515A">
        <w:t xml:space="preserve"> </w:t>
      </w:r>
    </w:p>
    <w:p w14:paraId="547DC703" w14:textId="77777777" w:rsidR="006416B0" w:rsidRPr="00B4515A" w:rsidRDefault="005E58C1" w:rsidP="006100BC">
      <w:pPr>
        <w:pStyle w:val="004"/>
        <w:spacing w:before="120" w:after="120"/>
        <w:ind w:firstLine="482"/>
      </w:pPr>
      <w:r w:rsidRPr="00B4515A">
        <w:t>2</w:t>
      </w:r>
      <w:r w:rsidRPr="00B4515A">
        <w:rPr>
          <w:rFonts w:hint="eastAsia"/>
        </w:rPr>
        <w:t>、核心技术人员流失的风险</w:t>
      </w:r>
    </w:p>
    <w:p w14:paraId="7848A7D0" w14:textId="5B6B48C8" w:rsidR="006416B0" w:rsidRPr="00B4515A" w:rsidRDefault="005E58C1" w:rsidP="006100BC">
      <w:pPr>
        <w:pStyle w:val="005"/>
        <w:spacing w:before="120" w:after="120"/>
        <w:ind w:firstLine="480"/>
      </w:pPr>
      <w:r w:rsidRPr="00B4515A">
        <w:rPr>
          <w:rFonts w:hint="eastAsia"/>
        </w:rPr>
        <w:t>标的公司所处行业为技术密集型，核心技术人员的稳定对其技术创新、保持业绩增长具有重要意义，虽然大唐联诚已通过股权激励等方式凝聚团队，但随着行业的快速发展，行业内竞争加剧，对技术人才的争夺将更加激烈。若未来标的公司的部分核心技术人员流失，将会对其生产经营造成不利影响。</w:t>
      </w:r>
    </w:p>
    <w:p w14:paraId="0B85060D" w14:textId="77777777" w:rsidR="008A4C24" w:rsidRPr="00B4515A" w:rsidRDefault="008A4C24" w:rsidP="006100BC">
      <w:pPr>
        <w:pStyle w:val="004"/>
        <w:spacing w:before="120" w:after="120"/>
        <w:ind w:firstLine="482"/>
      </w:pPr>
      <w:r w:rsidRPr="00B4515A">
        <w:rPr>
          <w:rFonts w:hint="eastAsia"/>
        </w:rPr>
        <w:t>3</w:t>
      </w:r>
      <w:r w:rsidRPr="00B4515A">
        <w:rPr>
          <w:rFonts w:hint="eastAsia"/>
        </w:rPr>
        <w:t>、存货减值的风险</w:t>
      </w:r>
    </w:p>
    <w:p w14:paraId="3DD41060" w14:textId="0945C5AA" w:rsidR="008A4C24" w:rsidRPr="00B4515A" w:rsidRDefault="008A4C24" w:rsidP="006100BC">
      <w:pPr>
        <w:pStyle w:val="005"/>
        <w:spacing w:before="120" w:after="120"/>
        <w:ind w:firstLine="480"/>
      </w:pPr>
      <w:r w:rsidRPr="00B4515A">
        <w:rPr>
          <w:rFonts w:hint="eastAsia"/>
        </w:rPr>
        <w:t>报告期各期末，标的公司存货账面价值分别为</w:t>
      </w:r>
      <w:r w:rsidRPr="00B4515A">
        <w:t>12,597.71</w:t>
      </w:r>
      <w:r w:rsidRPr="00B4515A">
        <w:rPr>
          <w:rFonts w:hint="eastAsia"/>
        </w:rPr>
        <w:t>万元、</w:t>
      </w:r>
      <w:r w:rsidRPr="00B4515A">
        <w:t>15,250.81</w:t>
      </w:r>
      <w:r w:rsidRPr="00B4515A">
        <w:rPr>
          <w:rFonts w:hint="eastAsia"/>
        </w:rPr>
        <w:t>万元和</w:t>
      </w:r>
      <w:r w:rsidRPr="00B4515A">
        <w:t>17,993.53</w:t>
      </w:r>
      <w:r w:rsidRPr="00B4515A">
        <w:t>万元，占资产总额的比例分别为</w:t>
      </w:r>
      <w:r w:rsidRPr="00B4515A">
        <w:t>17.50%</w:t>
      </w:r>
      <w:r w:rsidRPr="00B4515A">
        <w:rPr>
          <w:rFonts w:hint="eastAsia"/>
        </w:rPr>
        <w:t>、</w:t>
      </w:r>
      <w:r w:rsidRPr="00B4515A">
        <w:t>17.49%</w:t>
      </w:r>
      <w:r w:rsidRPr="00B4515A">
        <w:rPr>
          <w:rFonts w:hint="eastAsia"/>
        </w:rPr>
        <w:t>、</w:t>
      </w:r>
      <w:r w:rsidRPr="00B4515A">
        <w:t>11.95%</w:t>
      </w:r>
      <w:r w:rsidRPr="00B4515A">
        <w:rPr>
          <w:rFonts w:hint="eastAsia"/>
        </w:rPr>
        <w:t>。标的</w:t>
      </w:r>
      <w:r w:rsidRPr="00B4515A">
        <w:t>公司主要根据客户订单以及需求确定原材料采购计划和生产计划，并为及时响应客户需求，保持必要的库存规模。未来，随着生产规模的不断扩大，</w:t>
      </w:r>
      <w:r w:rsidRPr="00B4515A">
        <w:rPr>
          <w:rFonts w:hint="eastAsia"/>
        </w:rPr>
        <w:t>标的</w:t>
      </w:r>
      <w:r w:rsidRPr="00B4515A">
        <w:t>公司存货可能相应增加，如客户的生产经营发生重大不利变化，无法继续执行订单或库存与预测出现较大偏差，客户无法有效消化，可能导致</w:t>
      </w:r>
      <w:r w:rsidRPr="00B4515A">
        <w:rPr>
          <w:rFonts w:hint="eastAsia"/>
        </w:rPr>
        <w:t>标的</w:t>
      </w:r>
      <w:r w:rsidRPr="00B4515A">
        <w:t>公司存货的可变现净值降低，进而带来存货减值的风险。</w:t>
      </w:r>
    </w:p>
    <w:p w14:paraId="165ABBB8" w14:textId="77777777" w:rsidR="006416B0" w:rsidRPr="00B4515A" w:rsidRDefault="005E58C1" w:rsidP="006100BC">
      <w:pPr>
        <w:pStyle w:val="003"/>
        <w:spacing w:before="120"/>
        <w:ind w:firstLine="482"/>
      </w:pPr>
      <w:r w:rsidRPr="00B4515A">
        <w:rPr>
          <w:rFonts w:hint="eastAsia"/>
        </w:rPr>
        <w:t>（二）经营风险</w:t>
      </w:r>
    </w:p>
    <w:p w14:paraId="31E03DB6" w14:textId="77777777" w:rsidR="006416B0" w:rsidRPr="00B4515A" w:rsidRDefault="005E58C1" w:rsidP="006100BC">
      <w:pPr>
        <w:pStyle w:val="004"/>
        <w:spacing w:before="120" w:after="120"/>
        <w:ind w:firstLine="482"/>
      </w:pPr>
      <w:r w:rsidRPr="00B4515A">
        <w:t>1</w:t>
      </w:r>
      <w:r w:rsidRPr="00B4515A">
        <w:rPr>
          <w:rFonts w:hint="eastAsia"/>
        </w:rPr>
        <w:t>、生产经营资质到期后不能续期的风险</w:t>
      </w:r>
    </w:p>
    <w:p w14:paraId="02AC4DFB" w14:textId="77777777" w:rsidR="006416B0" w:rsidRPr="00B4515A" w:rsidRDefault="005E58C1" w:rsidP="006100BC">
      <w:pPr>
        <w:pStyle w:val="005"/>
        <w:spacing w:before="120" w:after="120"/>
        <w:ind w:firstLine="480"/>
      </w:pPr>
      <w:r w:rsidRPr="00B4515A">
        <w:rPr>
          <w:rFonts w:hint="eastAsia"/>
        </w:rPr>
        <w:t>标的公司所处的特种通信领域，需具备相应的资质才能开展研发、生产和销售。目前，大唐联诚已具备研发、生产和销售现有产品及服务的相关资质证书，上述资质到期后，大唐联诚将根据相关规定申请续期。但是，存在上述资质到期后未能及时续期或者申请续期未通过的风险，这将会对大唐联诚的生产经营造成不利影响。</w:t>
      </w:r>
    </w:p>
    <w:p w14:paraId="27384803" w14:textId="77777777" w:rsidR="006416B0" w:rsidRPr="00B4515A" w:rsidRDefault="005E58C1" w:rsidP="006100BC">
      <w:pPr>
        <w:pStyle w:val="004"/>
        <w:spacing w:before="120" w:after="120"/>
        <w:ind w:firstLine="482"/>
      </w:pPr>
      <w:r w:rsidRPr="00B4515A">
        <w:t>2</w:t>
      </w:r>
      <w:r w:rsidRPr="00B4515A">
        <w:rPr>
          <w:rFonts w:hint="eastAsia"/>
        </w:rPr>
        <w:t>、产业政策风险</w:t>
      </w:r>
    </w:p>
    <w:p w14:paraId="352F6CEA" w14:textId="77777777" w:rsidR="006416B0" w:rsidRPr="00B4515A" w:rsidRDefault="005E58C1" w:rsidP="006100BC">
      <w:pPr>
        <w:pStyle w:val="005"/>
        <w:spacing w:before="120" w:after="120"/>
        <w:ind w:firstLine="480"/>
      </w:pPr>
      <w:r w:rsidRPr="00B4515A">
        <w:rPr>
          <w:rFonts w:hint="eastAsia"/>
        </w:rPr>
        <w:t>标的公司所处的特种通信领域，受特通领域政策的影响较大。近年来，我国在特通领域领域的投入不断增加，政策支持力度不断提升，但若未来产业政策出现不利于标的公司业务发展的变化，则将会对其经营造成不利影响。</w:t>
      </w:r>
    </w:p>
    <w:p w14:paraId="777224F8" w14:textId="77777777" w:rsidR="006416B0" w:rsidRPr="00B4515A" w:rsidRDefault="005E58C1" w:rsidP="006100BC">
      <w:pPr>
        <w:pStyle w:val="004"/>
        <w:spacing w:before="120" w:after="120"/>
        <w:ind w:firstLine="482"/>
      </w:pPr>
      <w:r w:rsidRPr="00B4515A">
        <w:lastRenderedPageBreak/>
        <w:t>3</w:t>
      </w:r>
      <w:r w:rsidRPr="00B4515A">
        <w:rPr>
          <w:rFonts w:hint="eastAsia"/>
        </w:rPr>
        <w:t>、市场竞争加剧风险</w:t>
      </w:r>
    </w:p>
    <w:p w14:paraId="710147BC" w14:textId="77777777" w:rsidR="006416B0" w:rsidRPr="00B4515A" w:rsidRDefault="005E58C1" w:rsidP="006100BC">
      <w:pPr>
        <w:pStyle w:val="005"/>
        <w:spacing w:before="120" w:after="120"/>
        <w:ind w:firstLine="480"/>
      </w:pPr>
      <w:r w:rsidRPr="00B4515A">
        <w:rPr>
          <w:rFonts w:hint="eastAsia"/>
        </w:rPr>
        <w:t>大唐联诚的主营业务为立足</w:t>
      </w:r>
      <w:r w:rsidRPr="00B4515A">
        <w:rPr>
          <w:rFonts w:hint="eastAsia"/>
          <w:bCs/>
        </w:rPr>
        <w:t>特种</w:t>
      </w:r>
      <w:r w:rsidRPr="00B4515A">
        <w:rPr>
          <w:rFonts w:hint="eastAsia"/>
        </w:rPr>
        <w:t>通信领域，依托</w:t>
      </w:r>
      <w:r w:rsidRPr="00B4515A">
        <w:t>3G/4G/5G</w:t>
      </w:r>
      <w:r w:rsidRPr="00B4515A">
        <w:rPr>
          <w:rFonts w:hint="eastAsia"/>
        </w:rPr>
        <w:t>无线移动通信技术，通过技术创新，提供涵盖定制化无线通信设备和系统应用软件的自主可控整体解决方案。大唐联诚提供的产品和技术服务属于特种通信行业范畴。</w:t>
      </w:r>
    </w:p>
    <w:p w14:paraId="5929EB0F" w14:textId="77777777" w:rsidR="006416B0" w:rsidRPr="00B4515A" w:rsidRDefault="005E58C1" w:rsidP="006100BC">
      <w:pPr>
        <w:pStyle w:val="005"/>
        <w:spacing w:before="120" w:after="120"/>
        <w:ind w:firstLine="480"/>
      </w:pPr>
      <w:r w:rsidRPr="00B4515A">
        <w:rPr>
          <w:rFonts w:hint="eastAsia"/>
        </w:rPr>
        <w:t>近年来，国家先后颁布一系列鼓励性政策，支持优势企业进入特通信息化相关产业链条。未来，特种通信行业的市场竞争将会日趋激烈，若标的公司不能保持持续研发能力、扩大经营规模，不能准确把握市场需求变化趋势并及时调整市场竞争策略，则难以保持市场竞争力，市场竞争地位也会被削弱，市场份额相应下降，会对其经营业绩造成不利影响。</w:t>
      </w:r>
    </w:p>
    <w:p w14:paraId="382B90B7" w14:textId="77777777" w:rsidR="006416B0" w:rsidRPr="00B4515A" w:rsidRDefault="005E58C1" w:rsidP="006100BC">
      <w:pPr>
        <w:pStyle w:val="004"/>
        <w:spacing w:before="120" w:after="120"/>
        <w:ind w:firstLine="482"/>
      </w:pPr>
      <w:r w:rsidRPr="00B4515A">
        <w:t>4</w:t>
      </w:r>
      <w:r w:rsidRPr="00B4515A">
        <w:rPr>
          <w:rFonts w:hint="eastAsia"/>
        </w:rPr>
        <w:t>、产品质量控制风险</w:t>
      </w:r>
    </w:p>
    <w:p w14:paraId="7A5B9664" w14:textId="77777777" w:rsidR="006416B0" w:rsidRPr="00B4515A" w:rsidRDefault="005E58C1" w:rsidP="006100BC">
      <w:pPr>
        <w:pStyle w:val="005"/>
        <w:spacing w:before="120" w:after="120"/>
        <w:ind w:firstLine="480"/>
      </w:pPr>
      <w:r w:rsidRPr="00B4515A">
        <w:rPr>
          <w:rFonts w:hint="eastAsia"/>
        </w:rPr>
        <w:t>标的公司处于</w:t>
      </w:r>
      <w:r w:rsidRPr="00B4515A">
        <w:rPr>
          <w:rFonts w:hint="eastAsia"/>
          <w:bCs/>
        </w:rPr>
        <w:t>特种</w:t>
      </w:r>
      <w:r w:rsidRPr="00B4515A">
        <w:rPr>
          <w:rFonts w:hint="eastAsia"/>
        </w:rPr>
        <w:t>通信领域，客户非常重视产品的稳定性、可靠性，对产品质量的要求较高，若由于不可预见的因素导致标的公司的产品质量出现问题，则大唐联诚的生产经营、市场信誉等将会受到不利影响。</w:t>
      </w:r>
    </w:p>
    <w:p w14:paraId="26A57955" w14:textId="77777777" w:rsidR="006416B0" w:rsidRPr="00B4515A" w:rsidRDefault="005E58C1" w:rsidP="006100BC">
      <w:pPr>
        <w:pStyle w:val="004"/>
        <w:spacing w:before="120" w:after="120"/>
        <w:ind w:firstLine="482"/>
      </w:pPr>
      <w:r w:rsidRPr="00B4515A">
        <w:t>5</w:t>
      </w:r>
      <w:r w:rsidRPr="00B4515A">
        <w:rPr>
          <w:rFonts w:hint="eastAsia"/>
        </w:rPr>
        <w:t>、客户集中度较高风险</w:t>
      </w:r>
    </w:p>
    <w:p w14:paraId="352C8739" w14:textId="77777777" w:rsidR="006416B0" w:rsidRPr="00B4515A" w:rsidRDefault="005E58C1" w:rsidP="006100BC">
      <w:pPr>
        <w:pStyle w:val="005"/>
        <w:spacing w:before="120" w:after="120"/>
        <w:ind w:firstLine="480"/>
      </w:pPr>
      <w:r w:rsidRPr="00B4515A">
        <w:rPr>
          <w:rFonts w:hint="eastAsia"/>
        </w:rPr>
        <w:t>报告期内，标的公司均从事</w:t>
      </w:r>
      <w:r w:rsidRPr="00B4515A">
        <w:rPr>
          <w:rFonts w:hint="eastAsia"/>
          <w:bCs/>
        </w:rPr>
        <w:t>特种</w:t>
      </w:r>
      <w:r w:rsidRPr="00B4515A">
        <w:rPr>
          <w:rFonts w:hint="eastAsia"/>
        </w:rPr>
        <w:t>通信相关业务，标的公司存在向前五大客户销售占同期营业收入的比例超过</w:t>
      </w:r>
      <w:r w:rsidRPr="00B4515A">
        <w:t>60%</w:t>
      </w:r>
      <w:r w:rsidRPr="00B4515A">
        <w:rPr>
          <w:rFonts w:hint="eastAsia"/>
        </w:rPr>
        <w:t>的情况。标的公司客户集中度较高，主要系行业的特殊性，合格供应商准入资质及名录范围所致。本次重组完成后，如果我国宏观经济形势未来出现较大波动、</w:t>
      </w:r>
      <w:r w:rsidRPr="00B4515A">
        <w:rPr>
          <w:rFonts w:hint="eastAsia"/>
          <w:bCs/>
        </w:rPr>
        <w:t>特种</w:t>
      </w:r>
      <w:r w:rsidRPr="00B4515A">
        <w:rPr>
          <w:rFonts w:hint="eastAsia"/>
        </w:rPr>
        <w:t>通信产品采购速度放缓，将可能对公司的业务发展产生不利影响。公司存在客户集中度较高风险。</w:t>
      </w:r>
    </w:p>
    <w:p w14:paraId="084C6B47" w14:textId="77777777" w:rsidR="006416B0" w:rsidRPr="00B4515A" w:rsidRDefault="005E58C1" w:rsidP="006100BC">
      <w:pPr>
        <w:pStyle w:val="004"/>
        <w:spacing w:before="120" w:after="120"/>
        <w:ind w:firstLine="482"/>
      </w:pPr>
      <w:r w:rsidRPr="00B4515A">
        <w:t>6</w:t>
      </w:r>
      <w:r w:rsidRPr="00B4515A">
        <w:rPr>
          <w:rFonts w:hint="eastAsia"/>
        </w:rPr>
        <w:t>、税收政策风险</w:t>
      </w:r>
    </w:p>
    <w:p w14:paraId="2FF8EA07" w14:textId="77777777" w:rsidR="006416B0" w:rsidRPr="00B4515A" w:rsidRDefault="005E58C1" w:rsidP="006100BC">
      <w:pPr>
        <w:pStyle w:val="005"/>
        <w:spacing w:before="120" w:after="120"/>
        <w:ind w:firstLine="480"/>
      </w:pPr>
      <w:r w:rsidRPr="00B4515A">
        <w:rPr>
          <w:rFonts w:hint="eastAsia"/>
        </w:rPr>
        <w:t>本次注入的标的公司为高新技术企业，若其不能持续满足高新技术企业的认定要求，将导致该标的公司及上市公司无法享受税收优惠，从而给上市公司未来业绩水平造成不利影响。</w:t>
      </w:r>
    </w:p>
    <w:p w14:paraId="6C6D2418" w14:textId="77777777" w:rsidR="006416B0" w:rsidRPr="00B4515A" w:rsidRDefault="005E58C1" w:rsidP="006100BC">
      <w:pPr>
        <w:pStyle w:val="002"/>
        <w:spacing w:before="120" w:after="120"/>
        <w:ind w:firstLine="562"/>
      </w:pPr>
      <w:bookmarkStart w:id="356" w:name="_Toc80960586"/>
      <w:r w:rsidRPr="00B4515A">
        <w:rPr>
          <w:rFonts w:hint="eastAsia"/>
        </w:rPr>
        <w:t>三、其他风险</w:t>
      </w:r>
      <w:bookmarkEnd w:id="356"/>
    </w:p>
    <w:p w14:paraId="320EA3DB" w14:textId="77777777" w:rsidR="006416B0" w:rsidRPr="00B4515A" w:rsidRDefault="005E58C1" w:rsidP="006100BC">
      <w:pPr>
        <w:pStyle w:val="003"/>
        <w:spacing w:before="120"/>
        <w:ind w:firstLine="482"/>
      </w:pPr>
      <w:r w:rsidRPr="00B4515A">
        <w:rPr>
          <w:rFonts w:hint="eastAsia"/>
        </w:rPr>
        <w:t>（一）股价波动风险</w:t>
      </w:r>
    </w:p>
    <w:p w14:paraId="76B0DB34" w14:textId="77777777" w:rsidR="006416B0" w:rsidRPr="00B4515A" w:rsidRDefault="005E58C1" w:rsidP="006100BC">
      <w:pPr>
        <w:pStyle w:val="005"/>
        <w:spacing w:before="120" w:after="120"/>
        <w:ind w:firstLine="480"/>
      </w:pPr>
      <w:r w:rsidRPr="00B4515A">
        <w:rPr>
          <w:rFonts w:hint="eastAsia"/>
        </w:rPr>
        <w:t>上市公司股票价格不仅取决于公司的盈利水平及发展前景，也受到市场供求关系、国家经济政策调整、利率和汇率的变化、股票市场投机行为以及投资者心</w:t>
      </w:r>
      <w:r w:rsidRPr="00B4515A">
        <w:rPr>
          <w:rFonts w:hint="eastAsia"/>
        </w:rPr>
        <w:lastRenderedPageBreak/>
        <w:t>理预期等各种不可预测因素的影响，从而使上市公司股票的价格偏离其价值。除此之外，国内外宏观经济环境、国家宏观经济政策的制定、资本市场运行状况和投资者预期等各方面因素都会对股票价格产生影响。本次重组交易的实施完成需要较长的时间，在此期间上市公司的股票价格可能会出现较大波动，提请投资者注意本次交易中股票价格波动导致的投资风险。</w:t>
      </w:r>
    </w:p>
    <w:p w14:paraId="79D64123" w14:textId="77777777" w:rsidR="006416B0" w:rsidRPr="00B4515A" w:rsidRDefault="005E58C1" w:rsidP="006100BC">
      <w:pPr>
        <w:pStyle w:val="003"/>
        <w:spacing w:before="120"/>
        <w:ind w:firstLine="482"/>
      </w:pPr>
      <w:r w:rsidRPr="00B4515A">
        <w:rPr>
          <w:rFonts w:hint="eastAsia"/>
        </w:rPr>
        <w:t>（二）诉讼风险</w:t>
      </w:r>
    </w:p>
    <w:p w14:paraId="2B8DE79C" w14:textId="77777777" w:rsidR="006416B0" w:rsidRPr="00B4515A" w:rsidRDefault="005E58C1" w:rsidP="006100BC">
      <w:pPr>
        <w:pStyle w:val="005"/>
        <w:spacing w:before="120" w:after="120"/>
        <w:ind w:firstLine="480"/>
      </w:pPr>
      <w:r w:rsidRPr="00B4515A">
        <w:rPr>
          <w:rFonts w:hint="eastAsia"/>
        </w:rPr>
        <w:t>上市公司目前发生了多起诉讼案件，案件是否取得胜诉存在不确定性，我方起诉案件胜诉后对方有无可供执行的财产亦存在不确定性，我方被诉案件若败诉后则面临赔付的风险。公司将强化对已发生诉讼案件的应对策略和事后妥善处理措施，充分利用法律手段维护自身权益，尽最大可能收回欠款，避免损失扩大。</w:t>
      </w:r>
    </w:p>
    <w:p w14:paraId="7DFB03F1" w14:textId="7DA1546B" w:rsidR="006416B0" w:rsidRPr="00B4515A" w:rsidRDefault="006416B0">
      <w:pPr>
        <w:rPr>
          <w:rFonts w:ascii="Times New Roman" w:hAnsi="Times New Roman" w:cs="Times New Roman"/>
        </w:rPr>
      </w:pPr>
    </w:p>
    <w:p w14:paraId="21D31E34" w14:textId="77777777" w:rsidR="006416B0" w:rsidRPr="00B4515A" w:rsidRDefault="005E58C1" w:rsidP="002B0582">
      <w:pPr>
        <w:pStyle w:val="001"/>
        <w:spacing w:before="360" w:after="360"/>
      </w:pPr>
      <w:bookmarkStart w:id="357" w:name="_Toc65492117"/>
      <w:bookmarkStart w:id="358" w:name="_Toc80960587"/>
      <w:r w:rsidRPr="00B4515A">
        <w:lastRenderedPageBreak/>
        <w:t>第</w:t>
      </w:r>
      <w:r w:rsidRPr="00B4515A">
        <w:rPr>
          <w:rFonts w:hint="eastAsia"/>
        </w:rPr>
        <w:t>十三</w:t>
      </w:r>
      <w:r w:rsidRPr="00B4515A">
        <w:t>节</w:t>
      </w:r>
      <w:r w:rsidRPr="00B4515A">
        <w:t xml:space="preserve"> </w:t>
      </w:r>
      <w:r w:rsidRPr="00B4515A">
        <w:t>其他重要事项</w:t>
      </w:r>
      <w:bookmarkEnd w:id="357"/>
      <w:bookmarkEnd w:id="358"/>
    </w:p>
    <w:p w14:paraId="3B3A68DD" w14:textId="77777777" w:rsidR="006416B0" w:rsidRPr="00B4515A" w:rsidRDefault="005E58C1" w:rsidP="006100BC">
      <w:pPr>
        <w:pStyle w:val="002"/>
        <w:spacing w:before="120" w:after="120"/>
        <w:ind w:firstLine="562"/>
      </w:pPr>
      <w:bookmarkStart w:id="359" w:name="_Toc65492118"/>
      <w:bookmarkStart w:id="360" w:name="_Toc80960588"/>
      <w:r w:rsidRPr="00B4515A">
        <w:rPr>
          <w:rFonts w:hint="eastAsia"/>
        </w:rPr>
        <w:t>一、</w:t>
      </w:r>
      <w:bookmarkStart w:id="361" w:name="_Hlk530005378"/>
      <w:bookmarkEnd w:id="359"/>
      <w:r w:rsidRPr="00B4515A">
        <w:rPr>
          <w:rFonts w:hint="eastAsia"/>
        </w:rPr>
        <w:t>本次交易完成后上市公司资金、资产占用及对外担保情况</w:t>
      </w:r>
      <w:bookmarkEnd w:id="360"/>
    </w:p>
    <w:p w14:paraId="4AD5B40F" w14:textId="77777777" w:rsidR="006416B0" w:rsidRPr="00B4515A" w:rsidRDefault="005E58C1" w:rsidP="006100BC">
      <w:pPr>
        <w:pStyle w:val="005"/>
        <w:spacing w:before="120" w:after="120"/>
        <w:ind w:firstLine="480"/>
      </w:pPr>
      <w:r w:rsidRPr="00B4515A">
        <w:t>本次交易完成后，公司的实际控制人未发生变化，公司不存在因本次交易导致资金、资产被控股股东、实际控制人或其他关联人占用的情形，亦不存在为控股股东、实际控制人及其关联人提供担保的情形。</w:t>
      </w:r>
    </w:p>
    <w:p w14:paraId="0369921F" w14:textId="77777777" w:rsidR="006416B0" w:rsidRPr="00B4515A" w:rsidRDefault="005E58C1" w:rsidP="006100BC">
      <w:pPr>
        <w:pStyle w:val="002"/>
        <w:spacing w:before="120" w:after="120"/>
        <w:ind w:firstLine="562"/>
      </w:pPr>
      <w:bookmarkStart w:id="362" w:name="_Toc65492119"/>
      <w:bookmarkStart w:id="363" w:name="_Toc80960589"/>
      <w:bookmarkEnd w:id="361"/>
      <w:r w:rsidRPr="00B4515A">
        <w:rPr>
          <w:rFonts w:hint="eastAsia"/>
        </w:rPr>
        <w:t>二、</w:t>
      </w:r>
      <w:bookmarkEnd w:id="362"/>
      <w:r w:rsidRPr="00B4515A">
        <w:rPr>
          <w:rFonts w:hint="eastAsia"/>
        </w:rPr>
        <w:t>本次交易对上市公司负债结构的影响</w:t>
      </w:r>
      <w:bookmarkEnd w:id="363"/>
    </w:p>
    <w:p w14:paraId="04176D9B" w14:textId="5C43480B" w:rsidR="006416B0" w:rsidRPr="00B4515A" w:rsidRDefault="005E58C1" w:rsidP="006100BC">
      <w:pPr>
        <w:pStyle w:val="005"/>
        <w:spacing w:before="120" w:after="120"/>
        <w:ind w:firstLine="480"/>
      </w:pPr>
      <w:r w:rsidRPr="00B4515A">
        <w:t>本次交易前，上市公司截至</w:t>
      </w:r>
      <w:r w:rsidRPr="00B4515A">
        <w:t>2021</w:t>
      </w:r>
      <w:r w:rsidRPr="00B4515A">
        <w:t>年</w:t>
      </w:r>
      <w:r w:rsidRPr="00B4515A">
        <w:t>4</w:t>
      </w:r>
      <w:r w:rsidRPr="00B4515A">
        <w:t>月</w:t>
      </w:r>
      <w:r w:rsidRPr="00B4515A">
        <w:t>30</w:t>
      </w:r>
      <w:r w:rsidRPr="00B4515A">
        <w:t>日的资产负债率为</w:t>
      </w:r>
      <w:r w:rsidRPr="00B4515A">
        <w:t>122.32%</w:t>
      </w:r>
      <w:r w:rsidRPr="00B4515A">
        <w:t>；根据备考合并财务报表，本次交易完成后，上市公司资产负债率将下降至</w:t>
      </w:r>
      <w:r w:rsidRPr="00B4515A">
        <w:t>79.97%</w:t>
      </w:r>
      <w:r w:rsidRPr="00B4515A">
        <w:t>，本次交易有利于改善上市公司资产负债率，提升上市公司的偿债能力。</w:t>
      </w:r>
    </w:p>
    <w:p w14:paraId="11D48B95" w14:textId="77777777" w:rsidR="006416B0" w:rsidRPr="00B4515A" w:rsidRDefault="005E58C1" w:rsidP="006100BC">
      <w:pPr>
        <w:pStyle w:val="005"/>
        <w:spacing w:before="120" w:after="120"/>
        <w:ind w:firstLine="480"/>
      </w:pPr>
      <w:r w:rsidRPr="00B4515A">
        <w:t>本次交易对上市公司资产负债率和偿债能力的影响分析具体参见</w:t>
      </w:r>
      <w:r w:rsidRPr="00B4515A">
        <w:rPr>
          <w:rFonts w:ascii="宋体" w:hAnsi="宋体" w:hint="eastAsia"/>
        </w:rPr>
        <w:t>“</w:t>
      </w:r>
      <w:r w:rsidRPr="00B4515A">
        <w:t>第九章</w:t>
      </w:r>
      <w:r w:rsidRPr="00B4515A">
        <w:t xml:space="preserve"> </w:t>
      </w:r>
      <w:r w:rsidRPr="00B4515A">
        <w:t>管理层讨论与分析</w:t>
      </w:r>
      <w:r w:rsidRPr="00B4515A">
        <w:rPr>
          <w:rFonts w:ascii="宋体" w:hAnsi="宋体" w:hint="eastAsia"/>
        </w:rPr>
        <w:t>”</w:t>
      </w:r>
      <w:r w:rsidRPr="00B4515A">
        <w:t>之</w:t>
      </w:r>
      <w:r w:rsidRPr="00B4515A">
        <w:rPr>
          <w:rFonts w:ascii="宋体" w:hAnsi="宋体" w:hint="eastAsia"/>
        </w:rPr>
        <w:t>“</w:t>
      </w:r>
      <w:r w:rsidRPr="00B4515A">
        <w:t>五、本次交易对上市公司持续经营能、未来发展前景影响和上市公司当期每股收益等财务指标和非财务指标影响的分析</w:t>
      </w:r>
      <w:r w:rsidRPr="00B4515A">
        <w:rPr>
          <w:rFonts w:ascii="宋体" w:hAnsi="宋体" w:hint="eastAsia"/>
        </w:rPr>
        <w:t>”</w:t>
      </w:r>
      <w:r w:rsidRPr="00B4515A">
        <w:t>之</w:t>
      </w:r>
      <w:r w:rsidRPr="00B4515A">
        <w:rPr>
          <w:rFonts w:ascii="宋体" w:hAnsi="宋体" w:hint="eastAsia"/>
        </w:rPr>
        <w:t>“</w:t>
      </w:r>
      <w:r w:rsidRPr="00B4515A">
        <w:t>（二）交易完成后的财务状况分析</w:t>
      </w:r>
      <w:r w:rsidRPr="00B4515A">
        <w:rPr>
          <w:rFonts w:ascii="宋体" w:hAnsi="宋体" w:hint="eastAsia"/>
        </w:rPr>
        <w:t>”</w:t>
      </w:r>
      <w:r w:rsidRPr="00B4515A">
        <w:t>之</w:t>
      </w:r>
      <w:r w:rsidRPr="00B4515A">
        <w:rPr>
          <w:rFonts w:ascii="宋体" w:hAnsi="宋体" w:hint="eastAsia"/>
        </w:rPr>
        <w:t>“</w:t>
      </w:r>
      <w:r w:rsidRPr="00B4515A">
        <w:t>3</w:t>
      </w:r>
      <w:r w:rsidRPr="00B4515A">
        <w:t>、偿债指标和营运能力的分析</w:t>
      </w:r>
      <w:r w:rsidRPr="00B4515A">
        <w:rPr>
          <w:rFonts w:ascii="宋体" w:hAnsi="宋体" w:hint="eastAsia"/>
        </w:rPr>
        <w:t>”</w:t>
      </w:r>
      <w:r w:rsidRPr="00B4515A">
        <w:t>。</w:t>
      </w:r>
    </w:p>
    <w:p w14:paraId="21FB966B" w14:textId="77777777" w:rsidR="006416B0" w:rsidRPr="00B4515A" w:rsidRDefault="005E58C1" w:rsidP="006100BC">
      <w:pPr>
        <w:pStyle w:val="002"/>
        <w:spacing w:before="120" w:after="120"/>
        <w:ind w:firstLine="562"/>
      </w:pPr>
      <w:bookmarkStart w:id="364" w:name="_Toc65492120"/>
      <w:bookmarkStart w:id="365" w:name="_Toc2883267"/>
      <w:bookmarkStart w:id="366" w:name="_Toc80960590"/>
      <w:r w:rsidRPr="00B4515A">
        <w:rPr>
          <w:rFonts w:hint="eastAsia"/>
        </w:rPr>
        <w:t>三、</w:t>
      </w:r>
      <w:bookmarkStart w:id="367" w:name="_Hlk530005385"/>
      <w:bookmarkEnd w:id="364"/>
      <w:r w:rsidRPr="00B4515A">
        <w:rPr>
          <w:rFonts w:hint="eastAsia"/>
        </w:rPr>
        <w:t>上市</w:t>
      </w:r>
      <w:r w:rsidRPr="00B4515A">
        <w:t>公司最近</w:t>
      </w:r>
      <w:r w:rsidRPr="00B4515A">
        <w:t>12</w:t>
      </w:r>
      <w:r w:rsidRPr="00B4515A">
        <w:t>个月重大资产购买或出售情况</w:t>
      </w:r>
      <w:bookmarkEnd w:id="365"/>
      <w:bookmarkEnd w:id="366"/>
    </w:p>
    <w:p w14:paraId="4BC63EB1" w14:textId="77777777" w:rsidR="006416B0" w:rsidRPr="00B4515A" w:rsidRDefault="005E58C1" w:rsidP="006100BC">
      <w:pPr>
        <w:pStyle w:val="005"/>
        <w:spacing w:before="120" w:after="120"/>
        <w:ind w:firstLine="480"/>
      </w:pPr>
      <w:r w:rsidRPr="00B4515A">
        <w:rPr>
          <w:rFonts w:hint="eastAsia"/>
        </w:rPr>
        <w:t>在公司审议本次重大资产重组的董事会召开日前</w:t>
      </w:r>
      <w:r w:rsidRPr="00B4515A">
        <w:t>12</w:t>
      </w:r>
      <w:r w:rsidRPr="00B4515A">
        <w:rPr>
          <w:rFonts w:hint="eastAsia"/>
        </w:rPr>
        <w:t>个月内，公司</w:t>
      </w:r>
      <w:r w:rsidRPr="00B4515A">
        <w:t>重大资产购买或出售</w:t>
      </w:r>
      <w:r w:rsidRPr="00B4515A">
        <w:rPr>
          <w:rFonts w:hint="eastAsia"/>
        </w:rPr>
        <w:t>情况如下：</w:t>
      </w:r>
    </w:p>
    <w:p w14:paraId="0F5FF282" w14:textId="77777777" w:rsidR="006416B0" w:rsidRPr="00B4515A" w:rsidRDefault="005E58C1" w:rsidP="006100BC">
      <w:pPr>
        <w:pStyle w:val="003"/>
        <w:spacing w:before="120"/>
        <w:ind w:firstLine="482"/>
      </w:pPr>
      <w:r w:rsidRPr="00B4515A">
        <w:rPr>
          <w:rFonts w:hint="eastAsia"/>
        </w:rPr>
        <w:t>（一）公司向间接控股股东转让出售房产</w:t>
      </w:r>
    </w:p>
    <w:p w14:paraId="6EE70F69" w14:textId="77777777" w:rsidR="006416B0" w:rsidRPr="00B4515A" w:rsidRDefault="005E58C1" w:rsidP="006100BC">
      <w:pPr>
        <w:pStyle w:val="005"/>
        <w:spacing w:before="120" w:after="120"/>
        <w:ind w:firstLine="480"/>
      </w:pPr>
      <w:r w:rsidRPr="00B4515A">
        <w:t>2020</w:t>
      </w:r>
      <w:r w:rsidRPr="00B4515A">
        <w:rPr>
          <w:rFonts w:hint="eastAsia"/>
        </w:rPr>
        <w:t>年</w:t>
      </w:r>
      <w:r w:rsidRPr="00B4515A">
        <w:t>6</w:t>
      </w:r>
      <w:r w:rsidRPr="00B4515A">
        <w:rPr>
          <w:rFonts w:hint="eastAsia"/>
        </w:rPr>
        <w:t>月</w:t>
      </w:r>
      <w:r w:rsidRPr="00B4515A">
        <w:t>16</w:t>
      </w:r>
      <w:r w:rsidRPr="00B4515A">
        <w:rPr>
          <w:rFonts w:hint="eastAsia"/>
        </w:rPr>
        <w:t>日，公司第七届董事会第四十八次会议审议通过《关于向集团转让联芯科技房产的议案》，同意公司全资子公司联芯科技向公司间接控股股东中国信科集团转让其拥有的上海市浦东新区房产，转让价格为含税价</w:t>
      </w:r>
      <w:r w:rsidRPr="00B4515A">
        <w:t>56,816.80</w:t>
      </w:r>
      <w:r w:rsidRPr="00B4515A">
        <w:rPr>
          <w:rFonts w:hint="eastAsia"/>
        </w:rPr>
        <w:t>万元。本次关联交易不构成《重组管理办法》规定的重大资产重组。交易对方中国信科集团为本公司的间接控股股东，根据《上海证券交易所股票上市规则》的规定，本次交易构成了上市公司的关联交易。此项交易已由公司</w:t>
      </w:r>
      <w:r w:rsidRPr="00B4515A">
        <w:t>2020</w:t>
      </w:r>
      <w:r w:rsidRPr="00B4515A">
        <w:rPr>
          <w:rFonts w:hint="eastAsia"/>
        </w:rPr>
        <w:t>年</w:t>
      </w:r>
      <w:r w:rsidRPr="00B4515A">
        <w:t>7</w:t>
      </w:r>
      <w:r w:rsidRPr="00B4515A">
        <w:rPr>
          <w:rFonts w:hint="eastAsia"/>
        </w:rPr>
        <w:t>月</w:t>
      </w:r>
      <w:r w:rsidRPr="00B4515A">
        <w:t>2</w:t>
      </w:r>
      <w:r w:rsidRPr="00B4515A">
        <w:rPr>
          <w:rFonts w:hint="eastAsia"/>
        </w:rPr>
        <w:t>日召开的</w:t>
      </w:r>
      <w:r w:rsidRPr="00B4515A">
        <w:t>2020</w:t>
      </w:r>
      <w:r w:rsidRPr="00B4515A">
        <w:rPr>
          <w:rFonts w:hint="eastAsia"/>
        </w:rPr>
        <w:t>年第二次临时股东大会决议通过。</w:t>
      </w:r>
    </w:p>
    <w:p w14:paraId="3147131A" w14:textId="77777777" w:rsidR="006416B0" w:rsidRPr="00B4515A" w:rsidRDefault="005E58C1" w:rsidP="006100BC">
      <w:pPr>
        <w:pStyle w:val="003"/>
        <w:spacing w:before="120"/>
        <w:ind w:firstLine="482"/>
      </w:pPr>
      <w:r w:rsidRPr="00B4515A">
        <w:rPr>
          <w:rFonts w:hint="eastAsia"/>
        </w:rPr>
        <w:lastRenderedPageBreak/>
        <w:t>（二）公司控股子公司增资及参股公司部分股权转让</w:t>
      </w:r>
    </w:p>
    <w:p w14:paraId="0EB48BEA" w14:textId="77777777" w:rsidR="006416B0" w:rsidRPr="00B4515A" w:rsidRDefault="005E58C1" w:rsidP="006100BC">
      <w:pPr>
        <w:pStyle w:val="005"/>
        <w:spacing w:before="120" w:after="120"/>
        <w:ind w:firstLine="480"/>
      </w:pPr>
      <w:r w:rsidRPr="00B4515A">
        <w:t>2020</w:t>
      </w:r>
      <w:r w:rsidRPr="00B4515A">
        <w:rPr>
          <w:rFonts w:hint="eastAsia"/>
        </w:rPr>
        <w:t>年</w:t>
      </w:r>
      <w:r w:rsidRPr="00B4515A">
        <w:t>9</w:t>
      </w:r>
      <w:r w:rsidRPr="00B4515A">
        <w:rPr>
          <w:rFonts w:hint="eastAsia"/>
        </w:rPr>
        <w:t>月</w:t>
      </w:r>
      <w:r w:rsidRPr="00B4515A">
        <w:t>19</w:t>
      </w:r>
      <w:r w:rsidRPr="00B4515A">
        <w:rPr>
          <w:rFonts w:hint="eastAsia"/>
        </w:rPr>
        <w:t>日，大唐电信公告《大唐电信科技股份有限公司控股子公司增资及参股公司部分股权转让之重大资产重组暨关联交易报告书（草案）（修订稿）》。公司下属企业大唐恩智浦通过在北交所以公开挂牌的方式引入徐州汽车基金，并由其对大唐恩智浦现金增资</w:t>
      </w:r>
      <w:r w:rsidRPr="00B4515A">
        <w:t>1,683</w:t>
      </w:r>
      <w:r w:rsidRPr="00B4515A">
        <w:rPr>
          <w:rFonts w:hint="eastAsia"/>
        </w:rPr>
        <w:t>万美元，占增资后大唐恩智浦</w:t>
      </w:r>
      <w:r w:rsidRPr="00B4515A">
        <w:t>27.41%</w:t>
      </w:r>
      <w:r w:rsidRPr="00B4515A">
        <w:rPr>
          <w:rFonts w:hint="eastAsia"/>
        </w:rPr>
        <w:t>股权；同时大唐恩智浦原股东恩智浦按其持股比例对大唐恩智浦同比例现金增资</w:t>
      </w:r>
      <w:r w:rsidRPr="00B4515A">
        <w:t>1,617</w:t>
      </w:r>
      <w:r w:rsidRPr="00B4515A">
        <w:rPr>
          <w:rFonts w:hint="eastAsia"/>
        </w:rPr>
        <w:t>万美元，占增资后大唐恩智浦</w:t>
      </w:r>
      <w:r w:rsidRPr="00B4515A">
        <w:t>26.33%</w:t>
      </w:r>
      <w:r w:rsidRPr="00B4515A">
        <w:rPr>
          <w:rFonts w:hint="eastAsia"/>
        </w:rPr>
        <w:t>股权，加上恩智浦在增资前拥有的大唐恩智浦的股权，恩智浦合计占增资后大唐恩智浦的</w:t>
      </w:r>
      <w:r w:rsidRPr="00B4515A">
        <w:t>49%</w:t>
      </w:r>
      <w:r w:rsidRPr="00B4515A">
        <w:rPr>
          <w:rFonts w:hint="eastAsia"/>
        </w:rPr>
        <w:t>股权。公司下属企业江苏安防通过在北交所以公开挂牌的方式引入徐州智安基金，并由其对江苏安防现金增资</w:t>
      </w:r>
      <w:r w:rsidRPr="00B4515A">
        <w:t>13,500</w:t>
      </w:r>
      <w:r w:rsidRPr="00B4515A">
        <w:rPr>
          <w:rFonts w:hint="eastAsia"/>
        </w:rPr>
        <w:t>万元人民币，占增资后江苏安防</w:t>
      </w:r>
      <w:r w:rsidRPr="00B4515A">
        <w:t>24.83%</w:t>
      </w:r>
      <w:r w:rsidRPr="00B4515A">
        <w:rPr>
          <w:rFonts w:hint="eastAsia"/>
        </w:rPr>
        <w:t>的股权。本次增资完成后，大唐恩智浦与江苏安防不再纳入本公司合并报表范围。公司下属企业联芯科技通过在北交所以公开挂牌的方式向联合体转让其所持有的宸芯科技</w:t>
      </w:r>
      <w:r w:rsidRPr="00B4515A">
        <w:t>15%</w:t>
      </w:r>
      <w:r w:rsidRPr="00B4515A">
        <w:rPr>
          <w:rFonts w:hint="eastAsia"/>
        </w:rPr>
        <w:t>股权。联合体成员为浙江制造基金合伙企业（有限合伙）、深圳市红马全晟投资中心（有限合伙）、北京楚星融智咨询有限公司、日照宸睿联合一期股权投资管理中心（有限合伙）、南京翎贲昭离股权投资合伙企业（有限合伙）、天津维致瑾企业管理咨询中心（有限合伙）、创新创业新动能股权投资基金（湖北）合伙企业（有限合伙）、北京紫岩连合科技有限公司。本次转让前联芯科技持有宸芯科技</w:t>
      </w:r>
      <w:r w:rsidRPr="00B4515A">
        <w:t>17.23%</w:t>
      </w:r>
      <w:r w:rsidRPr="00B4515A">
        <w:rPr>
          <w:rFonts w:hint="eastAsia"/>
        </w:rPr>
        <w:t>股权，本次转让后，联芯科技持有宸芯科技</w:t>
      </w:r>
      <w:r w:rsidRPr="00B4515A">
        <w:t>2.23%</w:t>
      </w:r>
      <w:r w:rsidRPr="00B4515A">
        <w:rPr>
          <w:rFonts w:hint="eastAsia"/>
        </w:rPr>
        <w:t>股权。上述交易属于《重组管理办法》第十二条所规定的重大资产重组情形，已按照相关规定履行必要的决策审批流程。</w:t>
      </w:r>
      <w:r w:rsidRPr="00B4515A">
        <w:t>2020</w:t>
      </w:r>
      <w:r w:rsidRPr="00B4515A">
        <w:rPr>
          <w:rFonts w:hint="eastAsia"/>
        </w:rPr>
        <w:t>年</w:t>
      </w:r>
      <w:r w:rsidRPr="00B4515A">
        <w:t>9</w:t>
      </w:r>
      <w:r w:rsidRPr="00B4515A">
        <w:rPr>
          <w:rFonts w:hint="eastAsia"/>
        </w:rPr>
        <w:t>月</w:t>
      </w:r>
      <w:r w:rsidRPr="00B4515A">
        <w:t>30</w:t>
      </w:r>
      <w:r w:rsidRPr="00B4515A">
        <w:rPr>
          <w:rFonts w:hint="eastAsia"/>
        </w:rPr>
        <w:t>日，大唐恩智浦办理完毕本次大唐恩智浦增资扩股的工商变更登记手续；</w:t>
      </w:r>
      <w:r w:rsidRPr="00B4515A">
        <w:t>2020</w:t>
      </w:r>
      <w:r w:rsidRPr="00B4515A">
        <w:rPr>
          <w:rFonts w:hint="eastAsia"/>
        </w:rPr>
        <w:t>年</w:t>
      </w:r>
      <w:r w:rsidRPr="00B4515A">
        <w:t>12</w:t>
      </w:r>
      <w:r w:rsidRPr="00B4515A">
        <w:rPr>
          <w:rFonts w:hint="eastAsia"/>
        </w:rPr>
        <w:t>月</w:t>
      </w:r>
      <w:r w:rsidRPr="00B4515A">
        <w:t>4</w:t>
      </w:r>
      <w:r w:rsidRPr="00B4515A">
        <w:rPr>
          <w:rFonts w:hint="eastAsia"/>
        </w:rPr>
        <w:t>日，江苏安防办理完毕本次江苏安防增资扩股的工商变更登记手续；</w:t>
      </w:r>
      <w:r w:rsidRPr="00B4515A">
        <w:t>2020</w:t>
      </w:r>
      <w:r w:rsidRPr="00B4515A">
        <w:rPr>
          <w:rFonts w:hint="eastAsia"/>
        </w:rPr>
        <w:t>年</w:t>
      </w:r>
      <w:r w:rsidRPr="00B4515A">
        <w:t>10</w:t>
      </w:r>
      <w:r w:rsidRPr="00B4515A">
        <w:rPr>
          <w:rFonts w:hint="eastAsia"/>
        </w:rPr>
        <w:t>月</w:t>
      </w:r>
      <w:r w:rsidRPr="00B4515A">
        <w:t>30</w:t>
      </w:r>
      <w:r w:rsidRPr="00B4515A">
        <w:rPr>
          <w:rFonts w:hint="eastAsia"/>
        </w:rPr>
        <w:t>日，宸芯科技办理完毕本次股权转让的工商变更登记手续。</w:t>
      </w:r>
    </w:p>
    <w:p w14:paraId="3F683DB7" w14:textId="77777777" w:rsidR="006416B0" w:rsidRPr="00B4515A" w:rsidRDefault="005E58C1" w:rsidP="006100BC">
      <w:pPr>
        <w:pStyle w:val="003"/>
        <w:spacing w:before="120"/>
        <w:ind w:firstLine="482"/>
      </w:pPr>
      <w:r w:rsidRPr="00B4515A">
        <w:rPr>
          <w:rFonts w:hint="eastAsia"/>
        </w:rPr>
        <w:t>（三）北京大唐永盛科技发展有限公司增资</w:t>
      </w:r>
    </w:p>
    <w:p w14:paraId="1D1467AE" w14:textId="77777777" w:rsidR="006416B0" w:rsidRPr="00B4515A" w:rsidRDefault="005E58C1" w:rsidP="006100BC">
      <w:pPr>
        <w:pStyle w:val="005"/>
        <w:spacing w:before="120" w:after="120"/>
        <w:ind w:firstLine="480"/>
      </w:pPr>
      <w:r w:rsidRPr="00B4515A">
        <w:t>2020</w:t>
      </w:r>
      <w:r w:rsidRPr="00B4515A">
        <w:rPr>
          <w:rFonts w:hint="eastAsia"/>
        </w:rPr>
        <w:t>年</w:t>
      </w:r>
      <w:r w:rsidRPr="00B4515A">
        <w:t>11</w:t>
      </w:r>
      <w:r w:rsidRPr="00B4515A">
        <w:rPr>
          <w:rFonts w:hint="eastAsia"/>
        </w:rPr>
        <w:t>月</w:t>
      </w:r>
      <w:r w:rsidRPr="00B4515A">
        <w:t>24</w:t>
      </w:r>
      <w:r w:rsidRPr="00B4515A">
        <w:rPr>
          <w:rFonts w:hint="eastAsia"/>
        </w:rPr>
        <w:t>日，经公司第七届董事会第五十五次会议审议，通过《关于大唐永盛增资扩股事项的议案》，同意公司参股子公司北京大唐永盛科技发展有限公司股东变更及引入战略投资人进行增资。</w:t>
      </w:r>
      <w:r w:rsidRPr="00B4515A">
        <w:t>2021</w:t>
      </w:r>
      <w:r w:rsidRPr="00B4515A">
        <w:rPr>
          <w:rFonts w:hint="eastAsia"/>
        </w:rPr>
        <w:t>年</w:t>
      </w:r>
      <w:r w:rsidRPr="00B4515A">
        <w:t>1</w:t>
      </w:r>
      <w:r w:rsidRPr="00B4515A">
        <w:rPr>
          <w:rFonts w:hint="eastAsia"/>
        </w:rPr>
        <w:t>月</w:t>
      </w:r>
      <w:r w:rsidRPr="00B4515A">
        <w:t>27</w:t>
      </w:r>
      <w:r w:rsidRPr="00B4515A">
        <w:rPr>
          <w:rFonts w:hint="eastAsia"/>
        </w:rPr>
        <w:t>日，北京大唐永盛科技发展有限公司完成本次增资扩股的工商变更登记。</w:t>
      </w:r>
      <w:bookmarkEnd w:id="367"/>
    </w:p>
    <w:p w14:paraId="32DA3BA7" w14:textId="77777777" w:rsidR="006416B0" w:rsidRPr="00B4515A" w:rsidRDefault="005E58C1" w:rsidP="006100BC">
      <w:pPr>
        <w:pStyle w:val="003"/>
        <w:spacing w:before="120"/>
        <w:ind w:firstLine="482"/>
      </w:pPr>
      <w:r w:rsidRPr="00B4515A">
        <w:rPr>
          <w:rFonts w:hint="eastAsia"/>
        </w:rPr>
        <w:lastRenderedPageBreak/>
        <w:t>（四）</w:t>
      </w:r>
      <w:r w:rsidRPr="00B4515A">
        <w:t>大唐微电子技术有限公司</w:t>
      </w:r>
      <w:r w:rsidRPr="00B4515A">
        <w:rPr>
          <w:rFonts w:hint="eastAsia"/>
        </w:rPr>
        <w:t>增资</w:t>
      </w:r>
    </w:p>
    <w:p w14:paraId="792F4D68" w14:textId="6EBEC673" w:rsidR="006416B0" w:rsidRPr="00B4515A" w:rsidRDefault="005E58C1" w:rsidP="006100BC">
      <w:pPr>
        <w:pStyle w:val="005"/>
        <w:spacing w:before="120" w:after="120"/>
        <w:ind w:firstLine="480"/>
      </w:pPr>
      <w:r w:rsidRPr="00B4515A">
        <w:t>2021</w:t>
      </w:r>
      <w:r w:rsidRPr="00B4515A">
        <w:rPr>
          <w:rFonts w:hint="eastAsia"/>
        </w:rPr>
        <w:t>年</w:t>
      </w:r>
      <w:r w:rsidRPr="00B4515A">
        <w:rPr>
          <w:rFonts w:hint="eastAsia"/>
        </w:rPr>
        <w:t>6</w:t>
      </w:r>
      <w:r w:rsidRPr="00B4515A">
        <w:rPr>
          <w:rFonts w:hint="eastAsia"/>
        </w:rPr>
        <w:t>月</w:t>
      </w:r>
      <w:r w:rsidRPr="00B4515A">
        <w:rPr>
          <w:rFonts w:hint="eastAsia"/>
        </w:rPr>
        <w:t>9</w:t>
      </w:r>
      <w:r w:rsidRPr="00B4515A">
        <w:rPr>
          <w:rFonts w:hint="eastAsia"/>
        </w:rPr>
        <w:t>日，大唐电信公告《</w:t>
      </w:r>
      <w:r w:rsidRPr="00B4515A">
        <w:t>大唐电信科技股份有限公司控股子公司增资之重大资产重组报告书（草案）</w:t>
      </w:r>
      <w:r w:rsidRPr="00B4515A">
        <w:rPr>
          <w:rFonts w:hint="eastAsia"/>
        </w:rPr>
        <w:t>》，公司下属企业</w:t>
      </w:r>
      <w:r w:rsidRPr="00B4515A">
        <w:t>大唐微电子技术有限公司</w:t>
      </w:r>
      <w:r w:rsidRPr="00B4515A">
        <w:rPr>
          <w:rFonts w:hint="eastAsia"/>
        </w:rPr>
        <w:t>拟引入国新建信基金现金增资，增资总金额为人民币</w:t>
      </w:r>
      <w:r w:rsidRPr="00B4515A">
        <w:rPr>
          <w:rFonts w:hint="eastAsia"/>
        </w:rPr>
        <w:t>40,000</w:t>
      </w:r>
      <w:r w:rsidRPr="00B4515A">
        <w:rPr>
          <w:rFonts w:hint="eastAsia"/>
        </w:rPr>
        <w:t>万元，增资资金用于偿还银行贷款等有息金融负债，实施市场化债转股。上述交易</w:t>
      </w:r>
      <w:r w:rsidRPr="00B4515A">
        <w:t>构成《重组管理办法》第十二条所规定的重大资产重组情形</w:t>
      </w:r>
      <w:r w:rsidRPr="00B4515A">
        <w:rPr>
          <w:rFonts w:hint="eastAsia"/>
        </w:rPr>
        <w:t>。</w:t>
      </w:r>
      <w:r w:rsidR="00686A63" w:rsidRPr="00B4515A">
        <w:rPr>
          <w:rFonts w:hint="eastAsia"/>
        </w:rPr>
        <w:t>前述重组草案及相关议案已经公司第八届董事会第二次会议及</w:t>
      </w:r>
      <w:r w:rsidR="00686A63" w:rsidRPr="00B4515A">
        <w:t>2021</w:t>
      </w:r>
      <w:r w:rsidR="00686A63" w:rsidRPr="00B4515A">
        <w:t>年第二次临时股东大会审议通过。</w:t>
      </w:r>
    </w:p>
    <w:p w14:paraId="26B98385" w14:textId="77777777" w:rsidR="006416B0" w:rsidRPr="00B4515A" w:rsidRDefault="005E58C1" w:rsidP="006100BC">
      <w:pPr>
        <w:pStyle w:val="003"/>
        <w:spacing w:before="120"/>
        <w:ind w:firstLine="482"/>
      </w:pPr>
      <w:r w:rsidRPr="00B4515A">
        <w:rPr>
          <w:rFonts w:hint="eastAsia"/>
        </w:rPr>
        <w:t>（五）</w:t>
      </w:r>
      <w:r w:rsidRPr="00B4515A">
        <w:t>联芯科技</w:t>
      </w:r>
      <w:r w:rsidRPr="00B4515A">
        <w:rPr>
          <w:rFonts w:hint="eastAsia"/>
        </w:rPr>
        <w:t>转让参股</w:t>
      </w:r>
      <w:r w:rsidRPr="00B4515A">
        <w:t>公司</w:t>
      </w:r>
      <w:r w:rsidRPr="00B4515A">
        <w:rPr>
          <w:rFonts w:hint="eastAsia"/>
        </w:rPr>
        <w:t>部分股权</w:t>
      </w:r>
    </w:p>
    <w:p w14:paraId="35F75F28" w14:textId="27D0221D" w:rsidR="006416B0" w:rsidRPr="00B4515A" w:rsidRDefault="005E58C1" w:rsidP="006100BC">
      <w:pPr>
        <w:pStyle w:val="005"/>
        <w:spacing w:before="120" w:after="120"/>
        <w:ind w:firstLine="480"/>
        <w:rPr>
          <w:b/>
        </w:rPr>
      </w:pPr>
      <w:r w:rsidRPr="00B4515A">
        <w:t>2021</w:t>
      </w:r>
      <w:r w:rsidRPr="00B4515A">
        <w:rPr>
          <w:rFonts w:hint="eastAsia"/>
        </w:rPr>
        <w:t>年</w:t>
      </w:r>
      <w:r w:rsidRPr="00B4515A">
        <w:t>7</w:t>
      </w:r>
      <w:r w:rsidRPr="00B4515A">
        <w:rPr>
          <w:rFonts w:hint="eastAsia"/>
        </w:rPr>
        <w:t>月</w:t>
      </w:r>
      <w:r w:rsidRPr="00B4515A">
        <w:t>3</w:t>
      </w:r>
      <w:r w:rsidRPr="00B4515A">
        <w:rPr>
          <w:rFonts w:hint="eastAsia"/>
        </w:rPr>
        <w:t>日，大唐电信公告《</w:t>
      </w:r>
      <w:r w:rsidRPr="00B4515A">
        <w:t>大唐电信科技股份有限公司间接参股公司部分股权转让之重大资产重组预案</w:t>
      </w:r>
      <w:r w:rsidRPr="00B4515A">
        <w:rPr>
          <w:rFonts w:hint="eastAsia"/>
        </w:rPr>
        <w:t>》，</w:t>
      </w:r>
      <w:r w:rsidRPr="00B4515A">
        <w:t>公司下属企业联芯科技拟通过在广东联合产权交易中心以公开挂牌的方式转让参股公司瓴盛科技有限</w:t>
      </w:r>
      <w:r w:rsidRPr="00B4515A">
        <w:rPr>
          <w:rFonts w:hint="eastAsia"/>
        </w:rPr>
        <w:t>公司</w:t>
      </w:r>
      <w:r w:rsidRPr="00B4515A">
        <w:rPr>
          <w:rFonts w:hint="eastAsia"/>
        </w:rPr>
        <w:t>6</w:t>
      </w:r>
      <w:r w:rsidRPr="00B4515A">
        <w:t>.701%</w:t>
      </w:r>
      <w:r w:rsidRPr="00B4515A">
        <w:t>的股权。</w:t>
      </w:r>
      <w:r w:rsidRPr="00B4515A">
        <w:t xml:space="preserve"> </w:t>
      </w:r>
      <w:r w:rsidRPr="00B4515A">
        <w:t>本次交易完成前后，瓴盛科技有限</w:t>
      </w:r>
      <w:r w:rsidRPr="00B4515A">
        <w:rPr>
          <w:rFonts w:hint="eastAsia"/>
        </w:rPr>
        <w:t>公司</w:t>
      </w:r>
      <w:r w:rsidRPr="00B4515A">
        <w:t>持续为公司间接参股公司，公司合并报表范围未发生变化。</w:t>
      </w:r>
      <w:r w:rsidRPr="00B4515A">
        <w:rPr>
          <w:rFonts w:hint="eastAsia"/>
        </w:rPr>
        <w:t>上述交易</w:t>
      </w:r>
      <w:r w:rsidRPr="00B4515A">
        <w:t>构成《重组管理办法》第十二条所规定的重大资产重组情形</w:t>
      </w:r>
      <w:r w:rsidRPr="00B4515A">
        <w:rPr>
          <w:rFonts w:hint="eastAsia"/>
        </w:rPr>
        <w:t>。前述重组预案及相关议案已经公司第八届董事会第三次会议审议通过。</w:t>
      </w:r>
    </w:p>
    <w:p w14:paraId="6E0A5333" w14:textId="77777777" w:rsidR="006416B0" w:rsidRPr="00B4515A" w:rsidRDefault="005E58C1" w:rsidP="006100BC">
      <w:pPr>
        <w:pStyle w:val="002"/>
        <w:spacing w:before="120" w:after="120"/>
        <w:ind w:firstLine="562"/>
      </w:pPr>
      <w:bookmarkStart w:id="368" w:name="_Toc65492121"/>
      <w:bookmarkStart w:id="369" w:name="_Toc80960591"/>
      <w:r w:rsidRPr="00B4515A">
        <w:rPr>
          <w:rFonts w:hint="eastAsia"/>
        </w:rPr>
        <w:t>四、</w:t>
      </w:r>
      <w:bookmarkEnd w:id="368"/>
      <w:r w:rsidRPr="00B4515A">
        <w:t>本次交易对公司治理机制的影响</w:t>
      </w:r>
      <w:bookmarkEnd w:id="369"/>
    </w:p>
    <w:p w14:paraId="1D26CB48" w14:textId="77777777" w:rsidR="006416B0" w:rsidRPr="00B4515A" w:rsidRDefault="005E58C1" w:rsidP="006100BC">
      <w:pPr>
        <w:pStyle w:val="005"/>
        <w:spacing w:before="120" w:after="120"/>
        <w:ind w:firstLine="480"/>
      </w:pPr>
      <w:r w:rsidRPr="00B4515A">
        <w:rPr>
          <w:rFonts w:hint="eastAsia"/>
        </w:rPr>
        <w:t>本次交易前，公司严格按照《公司法》、《证券法》、《上市公司治理准则》及《上市规则》等有关法律法规以及中国证监会的要求规范运作，建立了完善的法人治理结构和独立运营的经营机制。</w:t>
      </w:r>
    </w:p>
    <w:p w14:paraId="74515774" w14:textId="77777777" w:rsidR="006416B0" w:rsidRPr="00B4515A" w:rsidRDefault="005E58C1" w:rsidP="006100BC">
      <w:pPr>
        <w:pStyle w:val="005"/>
        <w:spacing w:before="120" w:after="120"/>
        <w:ind w:firstLine="480"/>
      </w:pPr>
      <w:r w:rsidRPr="00B4515A">
        <w:rPr>
          <w:rFonts w:hint="eastAsia"/>
        </w:rPr>
        <w:t>本次交易完成后，公司将依据相关法律法规的要求进一步完善公司治理结构，健全内部管理制度，提高公司规范运作水平。本次交易不会对上市公司的治理机制产生重大不利影响。</w:t>
      </w:r>
    </w:p>
    <w:p w14:paraId="6F94F639" w14:textId="77777777" w:rsidR="006416B0" w:rsidRPr="00B4515A" w:rsidRDefault="005E58C1" w:rsidP="006100BC">
      <w:pPr>
        <w:pStyle w:val="002"/>
        <w:spacing w:before="120" w:after="120"/>
        <w:ind w:firstLine="562"/>
      </w:pPr>
      <w:bookmarkStart w:id="370" w:name="_Toc65492122"/>
      <w:bookmarkStart w:id="371" w:name="_Toc80960592"/>
      <w:bookmarkStart w:id="372" w:name="_Hlk530005404"/>
      <w:r w:rsidRPr="00B4515A">
        <w:rPr>
          <w:rFonts w:hint="eastAsia"/>
        </w:rPr>
        <w:t>五、</w:t>
      </w:r>
      <w:bookmarkEnd w:id="370"/>
      <w:r w:rsidRPr="00B4515A">
        <w:t>本次交易后公司的现金分红政策及相应安排、董事会对上述情况的说明</w:t>
      </w:r>
      <w:bookmarkEnd w:id="371"/>
    </w:p>
    <w:p w14:paraId="40B6D6ED" w14:textId="77777777" w:rsidR="006416B0" w:rsidRPr="00B4515A" w:rsidRDefault="005E58C1" w:rsidP="006100BC">
      <w:pPr>
        <w:pStyle w:val="003"/>
        <w:spacing w:before="120"/>
        <w:ind w:firstLine="482"/>
      </w:pPr>
      <w:r w:rsidRPr="00B4515A">
        <w:rPr>
          <w:rFonts w:hint="eastAsia"/>
        </w:rPr>
        <w:t>（</w:t>
      </w:r>
      <w:r w:rsidRPr="00B4515A">
        <w:t>一</w:t>
      </w:r>
      <w:r w:rsidRPr="00B4515A">
        <w:rPr>
          <w:rFonts w:hint="eastAsia"/>
        </w:rPr>
        <w:t>）</w:t>
      </w:r>
      <w:r w:rsidRPr="00B4515A">
        <w:t>现行《公司章程》中关于上市公司利润分配政策的规定</w:t>
      </w:r>
    </w:p>
    <w:p w14:paraId="4160236E" w14:textId="77777777" w:rsidR="006416B0" w:rsidRPr="00B4515A" w:rsidRDefault="005E58C1" w:rsidP="008C1C67">
      <w:pPr>
        <w:pStyle w:val="005"/>
        <w:spacing w:before="120" w:after="120"/>
        <w:ind w:firstLine="480"/>
        <w:rPr>
          <w:b/>
          <w:bCs/>
        </w:rPr>
      </w:pPr>
      <w:r w:rsidRPr="00B4515A">
        <w:rPr>
          <w:rFonts w:hint="eastAsia"/>
        </w:rPr>
        <w:t>大唐电信《公司章程》中有关利润分配政策的规定如下：</w:t>
      </w:r>
    </w:p>
    <w:p w14:paraId="203C0AEE" w14:textId="77777777" w:rsidR="006416B0" w:rsidRPr="00B4515A" w:rsidRDefault="005E58C1" w:rsidP="006100BC">
      <w:pPr>
        <w:pStyle w:val="005"/>
        <w:spacing w:before="120" w:after="120"/>
        <w:ind w:firstLine="480"/>
      </w:pPr>
      <w:r w:rsidRPr="00B4515A">
        <w:rPr>
          <w:rFonts w:ascii="宋体" w:hAnsi="宋体" w:hint="eastAsia"/>
        </w:rPr>
        <w:t>“</w:t>
      </w:r>
      <w:r w:rsidRPr="00B4515A">
        <w:rPr>
          <w:rFonts w:hint="eastAsia"/>
        </w:rPr>
        <w:t>第一百九十条</w:t>
      </w:r>
      <w:r w:rsidRPr="00B4515A">
        <w:rPr>
          <w:rFonts w:hint="eastAsia"/>
        </w:rPr>
        <w:t xml:space="preserve"> </w:t>
      </w:r>
      <w:r w:rsidRPr="00B4515A">
        <w:rPr>
          <w:rFonts w:hint="eastAsia"/>
        </w:rPr>
        <w:t>公司利润分配政策的基本原则：</w:t>
      </w:r>
    </w:p>
    <w:p w14:paraId="3A7C0961" w14:textId="77777777" w:rsidR="006416B0" w:rsidRPr="00B4515A" w:rsidRDefault="005E58C1" w:rsidP="006100BC">
      <w:pPr>
        <w:pStyle w:val="005"/>
        <w:spacing w:before="120" w:after="120"/>
        <w:ind w:firstLine="480"/>
      </w:pPr>
      <w:r w:rsidRPr="00B4515A">
        <w:rPr>
          <w:rFonts w:hint="eastAsia"/>
        </w:rPr>
        <w:lastRenderedPageBreak/>
        <w:t>（一）公司充分考虑对投资者的回报，每年按当年实现的合并报表可供分配利润规定比例向股东分配股利；</w:t>
      </w:r>
    </w:p>
    <w:p w14:paraId="43809B90" w14:textId="77777777" w:rsidR="006416B0" w:rsidRPr="00B4515A" w:rsidRDefault="005E58C1" w:rsidP="006100BC">
      <w:pPr>
        <w:pStyle w:val="005"/>
        <w:spacing w:before="120" w:after="120"/>
        <w:ind w:firstLine="480"/>
      </w:pPr>
      <w:r w:rsidRPr="00B4515A">
        <w:rPr>
          <w:rFonts w:hint="eastAsia"/>
        </w:rPr>
        <w:t>（二）公司的利润分配政策保持连续性和稳定性，同时兼顾公司的长远利益、全体股东的整体利益及公司的可持续发展；</w:t>
      </w:r>
    </w:p>
    <w:p w14:paraId="37DCCE89" w14:textId="77777777" w:rsidR="006416B0" w:rsidRPr="00B4515A" w:rsidRDefault="005E58C1" w:rsidP="006100BC">
      <w:pPr>
        <w:pStyle w:val="005"/>
        <w:spacing w:before="120" w:after="120"/>
        <w:ind w:firstLine="480"/>
      </w:pPr>
      <w:r w:rsidRPr="00B4515A">
        <w:rPr>
          <w:rFonts w:hint="eastAsia"/>
        </w:rPr>
        <w:t>（三）公司优先采用现金分红的利润分配方式。</w:t>
      </w:r>
    </w:p>
    <w:p w14:paraId="2CEC34D6" w14:textId="77777777" w:rsidR="006416B0" w:rsidRPr="00B4515A" w:rsidRDefault="005E58C1" w:rsidP="006100BC">
      <w:pPr>
        <w:pStyle w:val="005"/>
        <w:spacing w:before="120" w:after="120"/>
        <w:ind w:firstLine="480"/>
      </w:pPr>
      <w:r w:rsidRPr="00B4515A">
        <w:rPr>
          <w:rFonts w:hint="eastAsia"/>
        </w:rPr>
        <w:t>第一百九十一条</w:t>
      </w:r>
      <w:r w:rsidRPr="00B4515A">
        <w:rPr>
          <w:rFonts w:hint="eastAsia"/>
        </w:rPr>
        <w:t xml:space="preserve"> </w:t>
      </w:r>
      <w:r w:rsidRPr="00B4515A">
        <w:rPr>
          <w:rFonts w:hint="eastAsia"/>
        </w:rPr>
        <w:t>公司利润分配具体政策如下：</w:t>
      </w:r>
    </w:p>
    <w:p w14:paraId="7CB3D220" w14:textId="77777777" w:rsidR="006416B0" w:rsidRPr="00B4515A" w:rsidRDefault="005E58C1" w:rsidP="006100BC">
      <w:pPr>
        <w:pStyle w:val="005"/>
        <w:spacing w:before="120" w:after="120"/>
        <w:ind w:firstLine="480"/>
      </w:pPr>
      <w:r w:rsidRPr="00B4515A">
        <w:rPr>
          <w:rFonts w:hint="eastAsia"/>
        </w:rPr>
        <w:t>（一）利润分配的形式：公司采用现金、股票或者现金与股票相结合的方式分配股利。在有条件的情况下，公司可以进行中期利润分配。</w:t>
      </w:r>
    </w:p>
    <w:p w14:paraId="19911468" w14:textId="77777777" w:rsidR="006416B0" w:rsidRPr="00B4515A" w:rsidRDefault="005E58C1" w:rsidP="006100BC">
      <w:pPr>
        <w:pStyle w:val="005"/>
        <w:spacing w:before="120" w:after="120"/>
        <w:ind w:firstLine="480"/>
      </w:pPr>
      <w:r w:rsidRPr="00B4515A">
        <w:rPr>
          <w:rFonts w:hint="eastAsia"/>
        </w:rPr>
        <w:t>（二）公司现金分红的具体条件和比例：</w:t>
      </w:r>
    </w:p>
    <w:p w14:paraId="6DC89A24" w14:textId="77777777" w:rsidR="006416B0" w:rsidRPr="00B4515A" w:rsidRDefault="005E58C1" w:rsidP="006100BC">
      <w:pPr>
        <w:pStyle w:val="005"/>
        <w:spacing w:before="120" w:after="120"/>
        <w:ind w:firstLine="480"/>
      </w:pPr>
      <w:r w:rsidRPr="00B4515A">
        <w:rPr>
          <w:rFonts w:hint="eastAsia"/>
        </w:rPr>
        <w:t>除特殊情况外，公司在当年盈利且累计未分配利润为正的情况下，采取现金方式分配股利，每年以现金方式分配的利润不少于合并报表可供分配利润的</w:t>
      </w:r>
      <w:r w:rsidRPr="00B4515A">
        <w:rPr>
          <w:rFonts w:hint="eastAsia"/>
        </w:rPr>
        <w:t>15%</w:t>
      </w:r>
      <w:r w:rsidRPr="00B4515A">
        <w:rPr>
          <w:rFonts w:hint="eastAsia"/>
        </w:rPr>
        <w:t>。</w:t>
      </w:r>
    </w:p>
    <w:p w14:paraId="43CE5868" w14:textId="77777777" w:rsidR="006416B0" w:rsidRPr="00B4515A" w:rsidRDefault="005E58C1" w:rsidP="006100BC">
      <w:pPr>
        <w:pStyle w:val="005"/>
        <w:spacing w:before="120" w:after="120"/>
        <w:ind w:firstLine="480"/>
      </w:pPr>
      <w:r w:rsidRPr="00B4515A">
        <w:rPr>
          <w:rFonts w:hint="eastAsia"/>
        </w:rPr>
        <w:t>特殊情况是指：当年每股累计可供分配利润低于</w:t>
      </w:r>
      <w:r w:rsidRPr="00B4515A">
        <w:rPr>
          <w:rFonts w:hint="eastAsia"/>
        </w:rPr>
        <w:t>0.1</w:t>
      </w:r>
      <w:r w:rsidRPr="00B4515A">
        <w:rPr>
          <w:rFonts w:hint="eastAsia"/>
        </w:rPr>
        <w:t>元。</w:t>
      </w:r>
    </w:p>
    <w:p w14:paraId="5E225509" w14:textId="77777777" w:rsidR="006416B0" w:rsidRPr="00B4515A" w:rsidRDefault="005E58C1" w:rsidP="006100BC">
      <w:pPr>
        <w:pStyle w:val="005"/>
        <w:spacing w:before="120" w:after="120"/>
        <w:ind w:firstLine="480"/>
      </w:pPr>
      <w:r w:rsidRPr="00B4515A">
        <w:rPr>
          <w:rFonts w:hint="eastAsia"/>
        </w:rPr>
        <w:t>（三）公司发放股票股利的具体条件：</w:t>
      </w:r>
    </w:p>
    <w:p w14:paraId="66253081" w14:textId="77777777" w:rsidR="006416B0" w:rsidRPr="00B4515A" w:rsidRDefault="005E58C1" w:rsidP="006100BC">
      <w:pPr>
        <w:pStyle w:val="005"/>
        <w:spacing w:before="120" w:after="120"/>
        <w:ind w:firstLine="480"/>
      </w:pPr>
      <w:r w:rsidRPr="00B4515A">
        <w:rPr>
          <w:rFonts w:hint="eastAsia"/>
        </w:rPr>
        <w:t>公司在经营情况良好，并且董事会认为公司股票价格与公司股本规模不匹配、发放股票股利有利于公司全体股东整体利益时，可以在满足上述现金分红的条件下，提出股票股利分配预案。</w:t>
      </w:r>
    </w:p>
    <w:p w14:paraId="3BC2B6D4" w14:textId="77777777" w:rsidR="006416B0" w:rsidRPr="00B4515A" w:rsidRDefault="005E58C1" w:rsidP="006100BC">
      <w:pPr>
        <w:pStyle w:val="005"/>
        <w:spacing w:before="120" w:after="120"/>
        <w:ind w:firstLine="480"/>
      </w:pPr>
      <w:r w:rsidRPr="00B4515A">
        <w:rPr>
          <w:rFonts w:hint="eastAsia"/>
        </w:rPr>
        <w:t>第一百九十二条</w:t>
      </w:r>
      <w:r w:rsidRPr="00B4515A">
        <w:rPr>
          <w:rFonts w:hint="eastAsia"/>
        </w:rPr>
        <w:t xml:space="preserve"> </w:t>
      </w:r>
      <w:r w:rsidRPr="00B4515A">
        <w:rPr>
          <w:rFonts w:hint="eastAsia"/>
        </w:rPr>
        <w:t>公司利润分配方案的审议程序：</w:t>
      </w:r>
    </w:p>
    <w:p w14:paraId="37ECC76C" w14:textId="77777777" w:rsidR="006416B0" w:rsidRPr="00B4515A" w:rsidRDefault="005E58C1" w:rsidP="006100BC">
      <w:pPr>
        <w:pStyle w:val="005"/>
        <w:spacing w:before="120" w:after="120"/>
        <w:ind w:firstLine="480"/>
      </w:pPr>
      <w:r w:rsidRPr="00B4515A">
        <w:rPr>
          <w:rFonts w:hint="eastAsia"/>
        </w:rPr>
        <w:t>（一）公司的利润分配方案由公司经理拟定后提交公司董事会、监事会审议。董事会就利润分配方案的合理性进行充分讨论，形成专项决议后提交股东大会审议。审议利润分配方案时，公司为股东提供网络投票方式。</w:t>
      </w:r>
    </w:p>
    <w:p w14:paraId="11AB3D00" w14:textId="77777777" w:rsidR="006416B0" w:rsidRPr="00B4515A" w:rsidRDefault="005E58C1" w:rsidP="006100BC">
      <w:pPr>
        <w:pStyle w:val="005"/>
        <w:spacing w:before="120" w:after="120"/>
        <w:ind w:firstLine="480"/>
      </w:pPr>
      <w:r w:rsidRPr="00B4515A">
        <w:rPr>
          <w:rFonts w:hint="eastAsia"/>
        </w:rPr>
        <w:t>（二）公司因前述第一百九十一条规定的特殊情况而不进行现金分红时，董事会就不进行现金分红的具体原因、公司留存收益的确切用途及预计投资收益等事项进行专项说明，经独立董事发表意见后提交股东大会审议，并在公司指定媒体上予以披露。</w:t>
      </w:r>
    </w:p>
    <w:p w14:paraId="714FD667" w14:textId="77777777" w:rsidR="006416B0" w:rsidRPr="00B4515A" w:rsidRDefault="005E58C1" w:rsidP="006100BC">
      <w:pPr>
        <w:pStyle w:val="005"/>
        <w:spacing w:before="120" w:after="120"/>
        <w:ind w:firstLine="480"/>
      </w:pPr>
      <w:r w:rsidRPr="00B4515A">
        <w:rPr>
          <w:rFonts w:hint="eastAsia"/>
        </w:rPr>
        <w:t>第一百九十三条</w:t>
      </w:r>
      <w:r w:rsidRPr="00B4515A">
        <w:rPr>
          <w:rFonts w:hint="eastAsia"/>
        </w:rPr>
        <w:t xml:space="preserve"> </w:t>
      </w:r>
      <w:r w:rsidRPr="00B4515A">
        <w:rPr>
          <w:rFonts w:hint="eastAsia"/>
        </w:rPr>
        <w:t>公司利润分配方案的实施：</w:t>
      </w:r>
    </w:p>
    <w:p w14:paraId="1EE13078" w14:textId="77777777" w:rsidR="006416B0" w:rsidRPr="00B4515A" w:rsidRDefault="005E58C1" w:rsidP="006100BC">
      <w:pPr>
        <w:pStyle w:val="005"/>
        <w:spacing w:before="120" w:after="120"/>
        <w:ind w:firstLine="480"/>
      </w:pPr>
      <w:r w:rsidRPr="00B4515A">
        <w:rPr>
          <w:rFonts w:hint="eastAsia"/>
        </w:rPr>
        <w:t>公司股东大会对利润分配方案作出决议后，董事会须在股东大会召开后两个</w:t>
      </w:r>
      <w:r w:rsidRPr="00B4515A">
        <w:rPr>
          <w:rFonts w:hint="eastAsia"/>
        </w:rPr>
        <w:lastRenderedPageBreak/>
        <w:t>月内完成股利（或股份）的派发事项。</w:t>
      </w:r>
    </w:p>
    <w:p w14:paraId="400D3998" w14:textId="77777777" w:rsidR="006416B0" w:rsidRPr="00B4515A" w:rsidRDefault="005E58C1" w:rsidP="006100BC">
      <w:pPr>
        <w:pStyle w:val="005"/>
        <w:spacing w:before="120" w:after="120"/>
        <w:ind w:firstLine="480"/>
      </w:pPr>
      <w:r w:rsidRPr="00B4515A">
        <w:rPr>
          <w:rFonts w:hint="eastAsia"/>
        </w:rPr>
        <w:t>第一百九十四条</w:t>
      </w:r>
      <w:r w:rsidRPr="00B4515A">
        <w:rPr>
          <w:rFonts w:hint="eastAsia"/>
        </w:rPr>
        <w:t xml:space="preserve"> </w:t>
      </w:r>
      <w:r w:rsidRPr="00B4515A">
        <w:rPr>
          <w:rFonts w:hint="eastAsia"/>
        </w:rPr>
        <w:t>公司利润分配政策的变更：</w:t>
      </w:r>
    </w:p>
    <w:p w14:paraId="5667596E" w14:textId="77777777" w:rsidR="006416B0" w:rsidRPr="00B4515A" w:rsidRDefault="005E58C1" w:rsidP="006100BC">
      <w:pPr>
        <w:pStyle w:val="005"/>
        <w:spacing w:before="120" w:after="120"/>
        <w:ind w:firstLine="480"/>
      </w:pPr>
      <w:r w:rsidRPr="00B4515A">
        <w:rPr>
          <w:rFonts w:hint="eastAsia"/>
        </w:rPr>
        <w:t>如遇到战争、自然灾害等不可抗力、或者公司外部经营环境变化并对公司生产经营造成重大影响，或公司自身经营状况发生较大变化时，公司可对利润分配政策进行调整。</w:t>
      </w:r>
    </w:p>
    <w:p w14:paraId="55DEA94D" w14:textId="77777777" w:rsidR="006416B0" w:rsidRPr="00B4515A" w:rsidRDefault="005E58C1" w:rsidP="006100BC">
      <w:pPr>
        <w:pStyle w:val="005"/>
        <w:spacing w:before="120" w:after="120"/>
        <w:ind w:firstLine="480"/>
      </w:pPr>
      <w:r w:rsidRPr="00B4515A">
        <w:rPr>
          <w:rFonts w:hint="eastAsia"/>
        </w:rPr>
        <w:t>公司调整利润分配政策应由董事会做出专题论述，详细论证调整理由，形成书面论证报告并经独立董事审议后提交股东大会特别决议通过。审议利润分配政策变更事项时，公司为股东提供网络投票方式。</w:t>
      </w:r>
      <w:r w:rsidRPr="00B4515A">
        <w:rPr>
          <w:rFonts w:ascii="宋体" w:hAnsi="宋体" w:hint="eastAsia"/>
        </w:rPr>
        <w:t>”</w:t>
      </w:r>
    </w:p>
    <w:p w14:paraId="5A11CEBB" w14:textId="77777777" w:rsidR="006416B0" w:rsidRPr="00B4515A" w:rsidRDefault="005E58C1" w:rsidP="006100BC">
      <w:pPr>
        <w:pStyle w:val="003"/>
        <w:spacing w:before="120"/>
        <w:ind w:firstLine="482"/>
      </w:pPr>
      <w:r w:rsidRPr="00B4515A">
        <w:rPr>
          <w:rFonts w:hint="eastAsia"/>
        </w:rPr>
        <w:t>（二）</w:t>
      </w:r>
      <w:r w:rsidRPr="00B4515A">
        <w:t>本次交易后，上市公司现金分红安排</w:t>
      </w:r>
    </w:p>
    <w:p w14:paraId="7834BB04" w14:textId="77777777" w:rsidR="006416B0" w:rsidRPr="00B4515A" w:rsidRDefault="005E58C1" w:rsidP="006100BC">
      <w:pPr>
        <w:pStyle w:val="005"/>
        <w:spacing w:before="120" w:after="120"/>
        <w:ind w:firstLine="480"/>
      </w:pPr>
      <w:r w:rsidRPr="00B4515A">
        <w:t>公司现行分红政策及《公司章程》规定符合《上市公司监管指引第</w:t>
      </w:r>
      <w:r w:rsidRPr="00B4515A">
        <w:t>3</w:t>
      </w:r>
      <w:r w:rsidRPr="00B4515A">
        <w:t>号</w:t>
      </w:r>
      <w:r w:rsidRPr="00B4515A">
        <w:t>——</w:t>
      </w:r>
      <w:r w:rsidRPr="00B4515A">
        <w:t>上市公司现金分红》相关规定。本次交易后，公司的现金分红政策将继续按照法律法规的相关规定以及《公司章程》中关于现金分红的相关约定履行，给予全体股东合理的投资回报。</w:t>
      </w:r>
    </w:p>
    <w:p w14:paraId="19F7758D" w14:textId="77777777" w:rsidR="006416B0" w:rsidRPr="00B4515A" w:rsidRDefault="005E58C1" w:rsidP="006100BC">
      <w:pPr>
        <w:pStyle w:val="002"/>
        <w:spacing w:before="120" w:after="120"/>
        <w:ind w:firstLine="562"/>
      </w:pPr>
      <w:bookmarkStart w:id="373" w:name="_Toc80960593"/>
      <w:r w:rsidRPr="00B4515A">
        <w:t>六、本次交易涉及的相关主体买卖上市公司股票的自查情况</w:t>
      </w:r>
      <w:bookmarkEnd w:id="373"/>
    </w:p>
    <w:p w14:paraId="456567AE" w14:textId="77777777" w:rsidR="006416B0" w:rsidRPr="00B4515A" w:rsidRDefault="005E58C1" w:rsidP="006100BC">
      <w:pPr>
        <w:pStyle w:val="005"/>
        <w:spacing w:before="120" w:after="120"/>
        <w:ind w:firstLine="480"/>
      </w:pPr>
      <w:r w:rsidRPr="00B4515A">
        <w:rPr>
          <w:rFonts w:hint="eastAsia"/>
        </w:rPr>
        <w:t>上市公司已及时向上交所上报了内幕信息知情人名单。因本次交易及相关事项，上市公司股票自</w:t>
      </w:r>
      <w:r w:rsidRPr="00B4515A">
        <w:t>2021</w:t>
      </w:r>
      <w:r w:rsidRPr="00B4515A">
        <w:rPr>
          <w:rFonts w:hint="eastAsia"/>
        </w:rPr>
        <w:t>年</w:t>
      </w:r>
      <w:r w:rsidRPr="00B4515A">
        <w:t>4</w:t>
      </w:r>
      <w:r w:rsidRPr="00B4515A">
        <w:rPr>
          <w:rFonts w:hint="eastAsia"/>
        </w:rPr>
        <w:t>月</w:t>
      </w:r>
      <w:r w:rsidRPr="00B4515A">
        <w:t>26</w:t>
      </w:r>
      <w:r w:rsidRPr="00B4515A">
        <w:rPr>
          <w:rFonts w:hint="eastAsia"/>
        </w:rPr>
        <w:t>日起停牌，根据《重组管理办法》、《关于规范上市公司信息披露及相关各方行为的通知》等文件的规定，上市公司对本次交易相关方及有关人员在上市公司本次重组申请股票停牌日前六个月至本报告书披露前一日止买卖上市公司股票的情况进行自查，自查范围包括：上市公司及其董事、监事、高级管理人员以及有关知情人员；目标公司及其董事、监事、高级管理人员；本次交易对方及相关知情人员；为本次重组提供服务的相关中介机构及具体业务经办人员；其他知悉本次交易内幕信息的法人和自然人，以及上述自然人关系密切的家庭成员，包括配偶、父母及年满</w:t>
      </w:r>
      <w:r w:rsidRPr="00B4515A">
        <w:rPr>
          <w:rFonts w:hint="eastAsia"/>
        </w:rPr>
        <w:t>18</w:t>
      </w:r>
      <w:r w:rsidRPr="00B4515A">
        <w:rPr>
          <w:rFonts w:hint="eastAsia"/>
        </w:rPr>
        <w:t>周岁的子女。</w:t>
      </w:r>
    </w:p>
    <w:p w14:paraId="5E4766A9" w14:textId="77777777" w:rsidR="006416B0" w:rsidRPr="00B4515A" w:rsidRDefault="005E58C1" w:rsidP="006100BC">
      <w:pPr>
        <w:pStyle w:val="005"/>
        <w:spacing w:before="120" w:after="120"/>
        <w:ind w:firstLine="480"/>
      </w:pPr>
      <w:r w:rsidRPr="00B4515A">
        <w:rPr>
          <w:rFonts w:hint="eastAsia"/>
        </w:rPr>
        <w:t>上市公司将在取得中国证券登记结算有限责任公司上海分公司查询结果后向交易所提交自查报告和查询结果文件，并进行信息披露。</w:t>
      </w:r>
    </w:p>
    <w:p w14:paraId="743A432C" w14:textId="77777777" w:rsidR="006416B0" w:rsidRPr="00B4515A" w:rsidRDefault="005E58C1" w:rsidP="006100BC">
      <w:pPr>
        <w:pStyle w:val="002"/>
        <w:spacing w:before="120" w:after="120"/>
        <w:ind w:firstLine="562"/>
      </w:pPr>
      <w:bookmarkStart w:id="374" w:name="_Toc80960594"/>
      <w:r w:rsidRPr="00B4515A">
        <w:lastRenderedPageBreak/>
        <w:t>七、本次重组对中小投资者权益保护的安排</w:t>
      </w:r>
      <w:bookmarkEnd w:id="374"/>
    </w:p>
    <w:p w14:paraId="7A2FF0C2" w14:textId="77777777" w:rsidR="006416B0" w:rsidRPr="00B4515A" w:rsidRDefault="005E58C1" w:rsidP="006100BC">
      <w:pPr>
        <w:pStyle w:val="003"/>
        <w:spacing w:before="120"/>
        <w:ind w:firstLine="482"/>
      </w:pPr>
      <w:r w:rsidRPr="00B4515A">
        <w:rPr>
          <w:rFonts w:hint="eastAsia"/>
        </w:rPr>
        <w:t>（一）严格履行上市公司信息披露义务</w:t>
      </w:r>
    </w:p>
    <w:p w14:paraId="1C343365" w14:textId="77777777" w:rsidR="006416B0" w:rsidRPr="00B4515A" w:rsidRDefault="005E58C1" w:rsidP="006100BC">
      <w:pPr>
        <w:pStyle w:val="005"/>
        <w:spacing w:before="120" w:after="120"/>
        <w:ind w:firstLine="480"/>
      </w:pPr>
      <w:r w:rsidRPr="00B4515A">
        <w:rPr>
          <w:rFonts w:hint="eastAsia"/>
        </w:rPr>
        <w:t>公司及相关信息披露义务人将严格按照《重组管理办法》、《上市公司信息披露管理办法》等相关法律法规的要求履行信息披露义务，公平地向所有投资者披露可能对上市公司股票交易价格产生较大影响的重大事件。本报告书披露后，公司将继续严格履行信息披露义务，按照相关法规的要求，及时、准确、公平地向所有投资者披露可能对上市公司股票交易价格产生较大影响的重大事件以及本次交易的进展情况。</w:t>
      </w:r>
    </w:p>
    <w:p w14:paraId="19A47958" w14:textId="77777777" w:rsidR="006416B0" w:rsidRPr="00B4515A" w:rsidRDefault="005E58C1" w:rsidP="006100BC">
      <w:pPr>
        <w:pStyle w:val="003"/>
        <w:spacing w:before="120"/>
        <w:ind w:firstLine="482"/>
      </w:pPr>
      <w:r w:rsidRPr="00B4515A">
        <w:rPr>
          <w:rFonts w:hint="eastAsia"/>
        </w:rPr>
        <w:t>（二）严格履行上市公司审议及表决程序</w:t>
      </w:r>
    </w:p>
    <w:p w14:paraId="55CFDBAA" w14:textId="77777777" w:rsidR="006416B0" w:rsidRPr="00B4515A" w:rsidRDefault="005E58C1" w:rsidP="006100BC">
      <w:pPr>
        <w:pStyle w:val="005"/>
        <w:spacing w:before="120" w:after="120"/>
        <w:ind w:firstLine="480"/>
      </w:pPr>
      <w:r w:rsidRPr="00B4515A">
        <w:rPr>
          <w:rStyle w:val="005Char"/>
          <w:rFonts w:hint="eastAsia"/>
        </w:rPr>
        <w:t>公司在本次交易进程中严格遵守《公司法》、《重组管理办法》等相关法律法规</w:t>
      </w:r>
      <w:r w:rsidRPr="00B4515A">
        <w:rPr>
          <w:rFonts w:hint="eastAsia"/>
        </w:rPr>
        <w:t>的要求，严格履行相关审议程序。本次交易构成关联交易，其实施将执行法律法规以及公司内部对于关联交易的审批程序。本次交易的议案关联方董事均回避表决，并取得独立董事对本次交易的事前认可意见及独立意见。本次交易的议案将提交公司股东大会并由非关联股东予以表决。</w:t>
      </w:r>
    </w:p>
    <w:p w14:paraId="222AF987" w14:textId="77777777" w:rsidR="006416B0" w:rsidRPr="00B4515A" w:rsidRDefault="005E58C1" w:rsidP="006100BC">
      <w:pPr>
        <w:pStyle w:val="003"/>
        <w:spacing w:before="120"/>
        <w:ind w:firstLine="482"/>
      </w:pPr>
      <w:r w:rsidRPr="00B4515A">
        <w:rPr>
          <w:rFonts w:hint="eastAsia"/>
        </w:rPr>
        <w:t>（三）股东大会提供网络投票平台</w:t>
      </w:r>
    </w:p>
    <w:p w14:paraId="65B371AE" w14:textId="77777777" w:rsidR="006416B0" w:rsidRPr="00B4515A" w:rsidRDefault="005E58C1" w:rsidP="006100BC">
      <w:pPr>
        <w:pStyle w:val="005"/>
        <w:spacing w:before="120" w:after="120"/>
        <w:ind w:firstLine="480"/>
      </w:pPr>
      <w:r w:rsidRPr="00B4515A">
        <w:rPr>
          <w:rFonts w:hint="eastAsia"/>
        </w:rPr>
        <w:t>公司董事会将在审议本次交易方案的股东大会召开前发布提示性公告，提醒全体股东参加审议本次交易方案的股东大会会议。公司将根据中国证监会《关于加强社会公众股股东权益保护的若干规定》等有关规定，就本次交易方案的表决提供网络投票平台，为股东参加股东大会提供便利。股东可以参加现场投票，也可以直接通过网络进行投票表决。</w:t>
      </w:r>
    </w:p>
    <w:p w14:paraId="301CFE8C" w14:textId="77777777" w:rsidR="006416B0" w:rsidRPr="00B4515A" w:rsidRDefault="005E58C1" w:rsidP="006100BC">
      <w:pPr>
        <w:pStyle w:val="003"/>
        <w:spacing w:before="120"/>
        <w:ind w:firstLine="482"/>
      </w:pPr>
      <w:r w:rsidRPr="00B4515A">
        <w:rPr>
          <w:rFonts w:hint="eastAsia"/>
        </w:rPr>
        <w:t>（四）确保本次交易的定价公允</w:t>
      </w:r>
    </w:p>
    <w:p w14:paraId="635E0EA2" w14:textId="77777777" w:rsidR="006416B0" w:rsidRPr="00B4515A" w:rsidRDefault="005E58C1" w:rsidP="006100BC">
      <w:pPr>
        <w:pStyle w:val="005"/>
        <w:spacing w:before="120" w:after="120"/>
        <w:ind w:firstLine="480"/>
      </w:pPr>
      <w:r w:rsidRPr="00B4515A">
        <w:rPr>
          <w:rFonts w:hint="eastAsia"/>
        </w:rPr>
        <w:t>上市公司已聘请审计机构、评估机构对标的资产进行审计、评估，并经国务院国资委核准的评估结果为基础确定交易价格，以确保标的资产的定价公允合理。上市公司独立董事已对标的资产评估定价的公允性发表独立意见。上市公司已聘请独立财务顾问和法律顾问对本次交易的实施过程、资产过户事宜和相关后续事项的合规性及风险进行核查，并发表明确的意见。</w:t>
      </w:r>
    </w:p>
    <w:p w14:paraId="2A644B86" w14:textId="77777777" w:rsidR="006416B0" w:rsidRPr="00B4515A" w:rsidRDefault="005E58C1" w:rsidP="006100BC">
      <w:pPr>
        <w:pStyle w:val="003"/>
        <w:spacing w:before="120"/>
        <w:ind w:firstLine="482"/>
      </w:pPr>
      <w:r w:rsidRPr="00B4515A">
        <w:rPr>
          <w:rFonts w:hint="eastAsia"/>
        </w:rPr>
        <w:lastRenderedPageBreak/>
        <w:t>（五）股份锁定安排</w:t>
      </w:r>
    </w:p>
    <w:p w14:paraId="64B21205" w14:textId="77777777" w:rsidR="006416B0" w:rsidRPr="00B4515A" w:rsidRDefault="005E58C1" w:rsidP="006100BC">
      <w:pPr>
        <w:pStyle w:val="005"/>
        <w:spacing w:before="120" w:after="120"/>
        <w:ind w:firstLine="480"/>
      </w:pPr>
      <w:r w:rsidRPr="00B4515A">
        <w:rPr>
          <w:rFonts w:hint="eastAsia"/>
        </w:rPr>
        <w:t>本次交易中对交易对方所获得的上市公司新增股份进行了锁定安排，详见本报告书</w:t>
      </w:r>
      <w:r w:rsidRPr="00B4515A">
        <w:rPr>
          <w:rFonts w:ascii="宋体" w:hAnsi="宋体" w:hint="eastAsia"/>
        </w:rPr>
        <w:t>“</w:t>
      </w:r>
      <w:r w:rsidRPr="00B4515A">
        <w:rPr>
          <w:rFonts w:hint="eastAsia"/>
        </w:rPr>
        <w:t>重大事项提示</w:t>
      </w:r>
      <w:r w:rsidRPr="00B4515A">
        <w:rPr>
          <w:rFonts w:ascii="宋体" w:hAnsi="宋体" w:hint="eastAsia"/>
        </w:rPr>
        <w:t>”</w:t>
      </w:r>
      <w:r w:rsidRPr="00B4515A">
        <w:rPr>
          <w:rFonts w:hint="eastAsia"/>
        </w:rPr>
        <w:t>之</w:t>
      </w:r>
      <w:r w:rsidRPr="00B4515A">
        <w:rPr>
          <w:rFonts w:ascii="宋体" w:hAnsi="宋体" w:hint="eastAsia"/>
        </w:rPr>
        <w:t>“</w:t>
      </w:r>
      <w:r w:rsidRPr="00B4515A">
        <w:rPr>
          <w:rFonts w:hint="eastAsia"/>
        </w:rPr>
        <w:t>五、发行股份购买资产的情况</w:t>
      </w:r>
      <w:r w:rsidRPr="00B4515A">
        <w:rPr>
          <w:rFonts w:ascii="宋体" w:hAnsi="宋体" w:hint="eastAsia"/>
        </w:rPr>
        <w:t>”</w:t>
      </w:r>
      <w:r w:rsidRPr="00B4515A">
        <w:rPr>
          <w:rFonts w:hint="eastAsia"/>
        </w:rPr>
        <w:t>相关内容。</w:t>
      </w:r>
    </w:p>
    <w:p w14:paraId="1E6A2874" w14:textId="77777777" w:rsidR="006416B0" w:rsidRPr="00B4515A" w:rsidRDefault="005E58C1" w:rsidP="006100BC">
      <w:pPr>
        <w:pStyle w:val="003"/>
        <w:spacing w:before="120"/>
        <w:ind w:firstLine="482"/>
      </w:pPr>
      <w:r w:rsidRPr="00B4515A">
        <w:rPr>
          <w:rFonts w:hint="eastAsia"/>
        </w:rPr>
        <w:t>（六）</w:t>
      </w:r>
      <w:r w:rsidRPr="00B4515A">
        <w:t>本次重组摊薄即期回报情况及相关填补措施</w:t>
      </w:r>
    </w:p>
    <w:p w14:paraId="699EAD6D" w14:textId="7A2F2685" w:rsidR="006416B0" w:rsidRPr="00B4515A" w:rsidRDefault="005E58C1" w:rsidP="006100BC">
      <w:pPr>
        <w:pStyle w:val="005"/>
        <w:spacing w:before="120" w:after="120"/>
        <w:ind w:firstLine="480"/>
      </w:pPr>
      <w:r w:rsidRPr="00B4515A">
        <w:t>根据立信会计事务所（特殊普通合伙）出具的《</w:t>
      </w:r>
      <w:r w:rsidRPr="00B4515A">
        <w:rPr>
          <w:rFonts w:hint="eastAsia"/>
        </w:rPr>
        <w:t>大唐电信科技股份有限公司</w:t>
      </w:r>
      <w:r w:rsidRPr="00B4515A">
        <w:t>2020</w:t>
      </w:r>
      <w:r w:rsidRPr="00B4515A">
        <w:rPr>
          <w:rFonts w:hint="eastAsia"/>
        </w:rPr>
        <w:t>审计报告</w:t>
      </w:r>
      <w:r w:rsidRPr="00B4515A">
        <w:t>》（</w:t>
      </w:r>
      <w:r w:rsidRPr="00B4515A">
        <w:rPr>
          <w:rFonts w:hint="eastAsia"/>
        </w:rPr>
        <w:t>信会师报字［</w:t>
      </w:r>
      <w:r w:rsidRPr="00B4515A">
        <w:t>2021</w:t>
      </w:r>
      <w:r w:rsidRPr="00B4515A">
        <w:rPr>
          <w:rFonts w:hint="eastAsia"/>
        </w:rPr>
        <w:t>］第</w:t>
      </w:r>
      <w:r w:rsidRPr="00B4515A">
        <w:t>ZG11031</w:t>
      </w:r>
      <w:r w:rsidRPr="00B4515A">
        <w:rPr>
          <w:rFonts w:hint="eastAsia"/>
        </w:rPr>
        <w:t>号</w:t>
      </w:r>
      <w:r w:rsidRPr="00B4515A">
        <w:t>）和按本次交易完成后架构编制的上市公司《</w:t>
      </w:r>
      <w:r w:rsidRPr="00B4515A">
        <w:rPr>
          <w:rFonts w:hint="eastAsia"/>
        </w:rPr>
        <w:t>大唐电信科技股份有限公司</w:t>
      </w:r>
      <w:r w:rsidRPr="00B4515A">
        <w:t>备考合并财务报表</w:t>
      </w:r>
      <w:r w:rsidRPr="00B4515A">
        <w:rPr>
          <w:rFonts w:hint="eastAsia"/>
        </w:rPr>
        <w:t>审阅</w:t>
      </w:r>
      <w:r w:rsidRPr="00B4515A">
        <w:t>报告》（</w:t>
      </w:r>
      <w:r w:rsidRPr="00B4515A">
        <w:rPr>
          <w:rFonts w:hint="eastAsia"/>
        </w:rPr>
        <w:t>信会师报字［</w:t>
      </w:r>
      <w:r w:rsidRPr="00B4515A">
        <w:t>2021</w:t>
      </w:r>
      <w:r w:rsidRPr="00B4515A">
        <w:rPr>
          <w:rFonts w:hint="eastAsia"/>
        </w:rPr>
        <w:t>］第</w:t>
      </w:r>
      <w:r w:rsidRPr="00B4515A">
        <w:t>ZG11653</w:t>
      </w:r>
      <w:r w:rsidRPr="00B4515A">
        <w:rPr>
          <w:rFonts w:hint="eastAsia"/>
        </w:rPr>
        <w:t>号</w:t>
      </w:r>
      <w:r w:rsidRPr="00B4515A">
        <w:t>），本次交易完成前后上市公司近一年一期的主要财务指标情况比较如下：</w:t>
      </w:r>
    </w:p>
    <w:p w14:paraId="07700CC9" w14:textId="77777777" w:rsidR="006416B0" w:rsidRPr="00B4515A" w:rsidRDefault="005E58C1" w:rsidP="006100BC">
      <w:pPr>
        <w:pStyle w:val="009"/>
      </w:pPr>
      <w:r w:rsidRPr="00B4515A">
        <w:t>单位：万元</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773"/>
        <w:gridCol w:w="1467"/>
        <w:gridCol w:w="1322"/>
        <w:gridCol w:w="1465"/>
        <w:gridCol w:w="1501"/>
      </w:tblGrid>
      <w:tr w:rsidR="006416B0" w:rsidRPr="00B4515A" w14:paraId="15764749" w14:textId="77777777" w:rsidTr="00031627">
        <w:trPr>
          <w:trHeight w:val="340"/>
          <w:jc w:val="center"/>
        </w:trPr>
        <w:tc>
          <w:tcPr>
            <w:tcW w:w="1626" w:type="pct"/>
            <w:vMerge w:val="restart"/>
            <w:shd w:val="clear" w:color="auto" w:fill="auto"/>
            <w:tcMar>
              <w:top w:w="0" w:type="dxa"/>
              <w:left w:w="108" w:type="dxa"/>
              <w:bottom w:w="0" w:type="dxa"/>
              <w:right w:w="108" w:type="dxa"/>
            </w:tcMar>
            <w:vAlign w:val="center"/>
          </w:tcPr>
          <w:p w14:paraId="5A89DA78"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项目</w:t>
            </w:r>
          </w:p>
        </w:tc>
        <w:tc>
          <w:tcPr>
            <w:tcW w:w="1635" w:type="pct"/>
            <w:gridSpan w:val="2"/>
            <w:shd w:val="clear" w:color="auto" w:fill="auto"/>
            <w:tcMar>
              <w:top w:w="0" w:type="dxa"/>
              <w:left w:w="108" w:type="dxa"/>
              <w:bottom w:w="0" w:type="dxa"/>
              <w:right w:w="108" w:type="dxa"/>
            </w:tcMar>
            <w:vAlign w:val="center"/>
          </w:tcPr>
          <w:p w14:paraId="758F119F"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1-4</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w:t>
            </w:r>
          </w:p>
          <w:p w14:paraId="0CA3ED69"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2021</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4</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30</w:t>
            </w:r>
            <w:r w:rsidRPr="00B4515A">
              <w:rPr>
                <w:rFonts w:ascii="Times New Roman" w:eastAsiaTheme="minorEastAsia" w:hAnsi="Times New Roman" w:cs="Times New Roman"/>
                <w:b/>
                <w:bCs/>
                <w:color w:val="000000"/>
                <w:sz w:val="21"/>
                <w:szCs w:val="21"/>
              </w:rPr>
              <w:t>日</w:t>
            </w:r>
          </w:p>
        </w:tc>
        <w:tc>
          <w:tcPr>
            <w:tcW w:w="1739" w:type="pct"/>
            <w:gridSpan w:val="2"/>
            <w:shd w:val="clear" w:color="auto" w:fill="auto"/>
            <w:tcMar>
              <w:top w:w="0" w:type="dxa"/>
              <w:left w:w="108" w:type="dxa"/>
              <w:bottom w:w="0" w:type="dxa"/>
              <w:right w:w="108" w:type="dxa"/>
            </w:tcMar>
            <w:vAlign w:val="center"/>
          </w:tcPr>
          <w:p w14:paraId="07D7974F" w14:textId="77777777" w:rsidR="006416B0" w:rsidRPr="00B4515A" w:rsidRDefault="005E58C1" w:rsidP="005860B4">
            <w:pPr>
              <w:adjustRightInd w:val="0"/>
              <w:snapToGrid w:val="0"/>
              <w:jc w:val="center"/>
              <w:rPr>
                <w:rFonts w:ascii="Times New Roman" w:eastAsiaTheme="minorEastAsia"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年度</w:t>
            </w:r>
            <w:r w:rsidRPr="00B4515A">
              <w:rPr>
                <w:rFonts w:ascii="Times New Roman" w:eastAsiaTheme="minorEastAsia" w:hAnsi="Times New Roman" w:cs="Times New Roman"/>
                <w:b/>
                <w:bCs/>
                <w:color w:val="000000"/>
                <w:sz w:val="21"/>
                <w:szCs w:val="21"/>
              </w:rPr>
              <w:t>/</w:t>
            </w:r>
          </w:p>
          <w:p w14:paraId="74D4741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2020</w:t>
            </w:r>
            <w:r w:rsidRPr="00B4515A">
              <w:rPr>
                <w:rFonts w:ascii="Times New Roman" w:eastAsiaTheme="minorEastAsia" w:hAnsi="Times New Roman" w:cs="Times New Roman"/>
                <w:b/>
                <w:bCs/>
                <w:color w:val="000000"/>
                <w:sz w:val="21"/>
                <w:szCs w:val="21"/>
              </w:rPr>
              <w:t>年</w:t>
            </w:r>
            <w:r w:rsidRPr="00B4515A">
              <w:rPr>
                <w:rFonts w:ascii="Times New Roman" w:eastAsiaTheme="minorEastAsia" w:hAnsi="Times New Roman" w:cs="Times New Roman"/>
                <w:b/>
                <w:bCs/>
                <w:color w:val="000000"/>
                <w:sz w:val="21"/>
                <w:szCs w:val="21"/>
              </w:rPr>
              <w:t>12</w:t>
            </w:r>
            <w:r w:rsidRPr="00B4515A">
              <w:rPr>
                <w:rFonts w:ascii="Times New Roman" w:eastAsiaTheme="minorEastAsia" w:hAnsi="Times New Roman" w:cs="Times New Roman"/>
                <w:b/>
                <w:bCs/>
                <w:color w:val="000000"/>
                <w:sz w:val="21"/>
                <w:szCs w:val="21"/>
              </w:rPr>
              <w:t>月</w:t>
            </w:r>
            <w:r w:rsidRPr="00B4515A">
              <w:rPr>
                <w:rFonts w:ascii="Times New Roman" w:eastAsiaTheme="minorEastAsia" w:hAnsi="Times New Roman" w:cs="Times New Roman"/>
                <w:b/>
                <w:bCs/>
                <w:color w:val="000000"/>
                <w:sz w:val="21"/>
                <w:szCs w:val="21"/>
              </w:rPr>
              <w:t>31</w:t>
            </w:r>
            <w:r w:rsidRPr="00B4515A">
              <w:rPr>
                <w:rFonts w:ascii="Times New Roman" w:eastAsiaTheme="minorEastAsia" w:hAnsi="Times New Roman" w:cs="Times New Roman"/>
                <w:b/>
                <w:bCs/>
                <w:color w:val="000000"/>
                <w:sz w:val="21"/>
                <w:szCs w:val="21"/>
              </w:rPr>
              <w:t>日</w:t>
            </w:r>
          </w:p>
        </w:tc>
      </w:tr>
      <w:tr w:rsidR="006416B0" w:rsidRPr="00B4515A" w14:paraId="67B0CB84" w14:textId="77777777" w:rsidTr="00031627">
        <w:trPr>
          <w:trHeight w:val="340"/>
          <w:jc w:val="center"/>
        </w:trPr>
        <w:tc>
          <w:tcPr>
            <w:tcW w:w="1626" w:type="pct"/>
            <w:vMerge/>
            <w:tcMar>
              <w:top w:w="0" w:type="dxa"/>
              <w:left w:w="108" w:type="dxa"/>
              <w:bottom w:w="0" w:type="dxa"/>
              <w:right w:w="108" w:type="dxa"/>
            </w:tcMar>
            <w:vAlign w:val="center"/>
          </w:tcPr>
          <w:p w14:paraId="75998685" w14:textId="77777777" w:rsidR="006416B0" w:rsidRPr="00B4515A" w:rsidRDefault="006416B0" w:rsidP="005860B4">
            <w:pPr>
              <w:adjustRightInd w:val="0"/>
              <w:snapToGrid w:val="0"/>
              <w:jc w:val="center"/>
              <w:rPr>
                <w:rFonts w:ascii="Times New Roman" w:eastAsiaTheme="minorEastAsia" w:hAnsi="Times New Roman" w:cs="Times New Roman"/>
                <w:b/>
                <w:bCs/>
                <w:color w:val="000000"/>
                <w:sz w:val="21"/>
                <w:szCs w:val="21"/>
              </w:rPr>
            </w:pPr>
          </w:p>
        </w:tc>
        <w:tc>
          <w:tcPr>
            <w:tcW w:w="860" w:type="pct"/>
            <w:shd w:val="clear" w:color="auto" w:fill="auto"/>
            <w:tcMar>
              <w:top w:w="0" w:type="dxa"/>
              <w:left w:w="108" w:type="dxa"/>
              <w:bottom w:w="0" w:type="dxa"/>
              <w:right w:w="108" w:type="dxa"/>
            </w:tcMar>
            <w:vAlign w:val="center"/>
          </w:tcPr>
          <w:p w14:paraId="1DCA95B4"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实际数</w:t>
            </w:r>
          </w:p>
        </w:tc>
        <w:tc>
          <w:tcPr>
            <w:tcW w:w="775" w:type="pct"/>
            <w:shd w:val="clear" w:color="auto" w:fill="auto"/>
            <w:tcMar>
              <w:top w:w="0" w:type="dxa"/>
              <w:left w:w="108" w:type="dxa"/>
              <w:bottom w:w="0" w:type="dxa"/>
              <w:right w:w="108" w:type="dxa"/>
            </w:tcMar>
            <w:vAlign w:val="center"/>
          </w:tcPr>
          <w:p w14:paraId="7FDDD7C1"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备考数</w:t>
            </w:r>
          </w:p>
        </w:tc>
        <w:tc>
          <w:tcPr>
            <w:tcW w:w="859" w:type="pct"/>
            <w:shd w:val="clear" w:color="auto" w:fill="auto"/>
            <w:tcMar>
              <w:top w:w="0" w:type="dxa"/>
              <w:left w:w="108" w:type="dxa"/>
              <w:bottom w:w="0" w:type="dxa"/>
              <w:right w:w="108" w:type="dxa"/>
            </w:tcMar>
            <w:vAlign w:val="center"/>
          </w:tcPr>
          <w:p w14:paraId="7CAAFE3F"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实际数</w:t>
            </w:r>
          </w:p>
        </w:tc>
        <w:tc>
          <w:tcPr>
            <w:tcW w:w="880" w:type="pct"/>
            <w:shd w:val="clear" w:color="auto" w:fill="auto"/>
            <w:tcMar>
              <w:top w:w="0" w:type="dxa"/>
              <w:left w:w="108" w:type="dxa"/>
              <w:bottom w:w="0" w:type="dxa"/>
              <w:right w:w="108" w:type="dxa"/>
            </w:tcMar>
            <w:vAlign w:val="center"/>
          </w:tcPr>
          <w:p w14:paraId="46E8AFE5" w14:textId="77777777" w:rsidR="006416B0" w:rsidRPr="00B4515A" w:rsidRDefault="005E58C1" w:rsidP="005860B4">
            <w:pPr>
              <w:adjustRightInd w:val="0"/>
              <w:snapToGrid w:val="0"/>
              <w:jc w:val="center"/>
              <w:rPr>
                <w:rFonts w:ascii="Times New Roman" w:eastAsiaTheme="minorEastAsia" w:hAnsi="Times New Roman" w:cs="Times New Roman"/>
                <w:b/>
                <w:bCs/>
                <w:color w:val="000000"/>
                <w:sz w:val="21"/>
                <w:szCs w:val="21"/>
              </w:rPr>
            </w:pPr>
            <w:r w:rsidRPr="00B4515A">
              <w:rPr>
                <w:rFonts w:ascii="Times New Roman" w:eastAsiaTheme="minorEastAsia" w:hAnsi="Times New Roman" w:cs="Times New Roman"/>
                <w:b/>
                <w:bCs/>
                <w:color w:val="000000"/>
                <w:sz w:val="21"/>
                <w:szCs w:val="21"/>
              </w:rPr>
              <w:t>备考数</w:t>
            </w:r>
          </w:p>
        </w:tc>
      </w:tr>
      <w:tr w:rsidR="006416B0" w:rsidRPr="00B4515A" w14:paraId="0B3B32D5"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047C734E"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资产总额</w:t>
            </w:r>
          </w:p>
        </w:tc>
        <w:tc>
          <w:tcPr>
            <w:tcW w:w="860" w:type="pct"/>
            <w:shd w:val="clear" w:color="auto" w:fill="auto"/>
            <w:tcMar>
              <w:top w:w="0" w:type="dxa"/>
              <w:left w:w="108" w:type="dxa"/>
              <w:bottom w:w="0" w:type="dxa"/>
              <w:right w:w="108" w:type="dxa"/>
            </w:tcMar>
            <w:vAlign w:val="center"/>
          </w:tcPr>
          <w:p w14:paraId="35601D7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298,000.05</w:t>
            </w:r>
          </w:p>
        </w:tc>
        <w:tc>
          <w:tcPr>
            <w:tcW w:w="775" w:type="pct"/>
            <w:shd w:val="clear" w:color="auto" w:fill="auto"/>
            <w:tcMar>
              <w:top w:w="0" w:type="dxa"/>
              <w:left w:w="108" w:type="dxa"/>
              <w:bottom w:w="0" w:type="dxa"/>
              <w:right w:w="108" w:type="dxa"/>
            </w:tcMar>
            <w:vAlign w:val="center"/>
          </w:tcPr>
          <w:p w14:paraId="43579641"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 xml:space="preserve">538,861.16 </w:t>
            </w:r>
          </w:p>
        </w:tc>
        <w:tc>
          <w:tcPr>
            <w:tcW w:w="859" w:type="pct"/>
            <w:shd w:val="clear" w:color="auto" w:fill="auto"/>
            <w:tcMar>
              <w:top w:w="0" w:type="dxa"/>
              <w:left w:w="108" w:type="dxa"/>
              <w:bottom w:w="0" w:type="dxa"/>
              <w:right w:w="108" w:type="dxa"/>
            </w:tcMar>
            <w:vAlign w:val="center"/>
          </w:tcPr>
          <w:p w14:paraId="122C19A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314,041.93</w:t>
            </w:r>
          </w:p>
        </w:tc>
        <w:tc>
          <w:tcPr>
            <w:tcW w:w="880" w:type="pct"/>
            <w:shd w:val="clear" w:color="auto" w:fill="auto"/>
            <w:tcMar>
              <w:top w:w="0" w:type="dxa"/>
              <w:left w:w="108" w:type="dxa"/>
              <w:bottom w:w="0" w:type="dxa"/>
              <w:right w:w="108" w:type="dxa"/>
            </w:tcMar>
            <w:vAlign w:val="center"/>
          </w:tcPr>
          <w:p w14:paraId="40E0CD9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 xml:space="preserve">548,152.06 </w:t>
            </w:r>
          </w:p>
        </w:tc>
      </w:tr>
      <w:tr w:rsidR="006416B0" w:rsidRPr="00B4515A" w14:paraId="551A0105"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7919D238"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归属母公司股东所有者权益</w:t>
            </w:r>
          </w:p>
        </w:tc>
        <w:tc>
          <w:tcPr>
            <w:tcW w:w="860" w:type="pct"/>
            <w:shd w:val="clear" w:color="auto" w:fill="auto"/>
            <w:tcMar>
              <w:top w:w="0" w:type="dxa"/>
              <w:left w:w="108" w:type="dxa"/>
              <w:bottom w:w="0" w:type="dxa"/>
              <w:right w:w="108" w:type="dxa"/>
            </w:tcMar>
            <w:vAlign w:val="center"/>
          </w:tcPr>
          <w:p w14:paraId="6EA29B1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-140,970.51</w:t>
            </w:r>
          </w:p>
        </w:tc>
        <w:tc>
          <w:tcPr>
            <w:tcW w:w="775" w:type="pct"/>
            <w:shd w:val="clear" w:color="auto" w:fill="auto"/>
            <w:tcMar>
              <w:top w:w="0" w:type="dxa"/>
              <w:left w:w="108" w:type="dxa"/>
              <w:bottom w:w="0" w:type="dxa"/>
              <w:right w:w="108" w:type="dxa"/>
            </w:tcMar>
            <w:vAlign w:val="center"/>
          </w:tcPr>
          <w:p w14:paraId="6F23A43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 xml:space="preserve">29,482.47 </w:t>
            </w:r>
          </w:p>
        </w:tc>
        <w:tc>
          <w:tcPr>
            <w:tcW w:w="859" w:type="pct"/>
            <w:shd w:val="clear" w:color="auto" w:fill="auto"/>
            <w:tcMar>
              <w:top w:w="0" w:type="dxa"/>
              <w:left w:w="108" w:type="dxa"/>
              <w:bottom w:w="0" w:type="dxa"/>
              <w:right w:w="108" w:type="dxa"/>
            </w:tcMar>
            <w:vAlign w:val="center"/>
          </w:tcPr>
          <w:p w14:paraId="4560492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-131,187.30</w:t>
            </w:r>
          </w:p>
        </w:tc>
        <w:tc>
          <w:tcPr>
            <w:tcW w:w="880" w:type="pct"/>
            <w:shd w:val="clear" w:color="auto" w:fill="auto"/>
            <w:tcMar>
              <w:top w:w="0" w:type="dxa"/>
              <w:left w:w="108" w:type="dxa"/>
              <w:bottom w:w="0" w:type="dxa"/>
              <w:right w:w="108" w:type="dxa"/>
            </w:tcMar>
            <w:vAlign w:val="center"/>
          </w:tcPr>
          <w:p w14:paraId="19E3D97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 xml:space="preserve">38,924.73 </w:t>
            </w:r>
          </w:p>
        </w:tc>
      </w:tr>
      <w:tr w:rsidR="006416B0" w:rsidRPr="00B4515A" w14:paraId="174DBFDC"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61A5FA66"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营业收入</w:t>
            </w:r>
          </w:p>
        </w:tc>
        <w:tc>
          <w:tcPr>
            <w:tcW w:w="860" w:type="pct"/>
            <w:shd w:val="clear" w:color="auto" w:fill="auto"/>
            <w:tcMar>
              <w:top w:w="0" w:type="dxa"/>
              <w:left w:w="108" w:type="dxa"/>
              <w:bottom w:w="0" w:type="dxa"/>
              <w:right w:w="108" w:type="dxa"/>
            </w:tcMar>
            <w:vAlign w:val="center"/>
          </w:tcPr>
          <w:p w14:paraId="3784163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13,624.42</w:t>
            </w:r>
          </w:p>
        </w:tc>
        <w:tc>
          <w:tcPr>
            <w:tcW w:w="775" w:type="pct"/>
            <w:shd w:val="clear" w:color="auto" w:fill="auto"/>
            <w:tcMar>
              <w:top w:w="0" w:type="dxa"/>
              <w:left w:w="108" w:type="dxa"/>
              <w:bottom w:w="0" w:type="dxa"/>
              <w:right w:w="108" w:type="dxa"/>
            </w:tcMar>
            <w:vAlign w:val="center"/>
          </w:tcPr>
          <w:p w14:paraId="6155ED50"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 xml:space="preserve">25,810.48 </w:t>
            </w:r>
          </w:p>
        </w:tc>
        <w:tc>
          <w:tcPr>
            <w:tcW w:w="859" w:type="pct"/>
            <w:shd w:val="clear" w:color="auto" w:fill="auto"/>
            <w:tcMar>
              <w:top w:w="0" w:type="dxa"/>
              <w:left w:w="108" w:type="dxa"/>
              <w:bottom w:w="0" w:type="dxa"/>
              <w:right w:w="108" w:type="dxa"/>
            </w:tcMar>
            <w:vAlign w:val="center"/>
          </w:tcPr>
          <w:p w14:paraId="387DF705"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120,721.15</w:t>
            </w:r>
          </w:p>
        </w:tc>
        <w:tc>
          <w:tcPr>
            <w:tcW w:w="880" w:type="pct"/>
            <w:shd w:val="clear" w:color="auto" w:fill="auto"/>
            <w:tcMar>
              <w:top w:w="0" w:type="dxa"/>
              <w:left w:w="108" w:type="dxa"/>
              <w:bottom w:w="0" w:type="dxa"/>
              <w:right w:w="108" w:type="dxa"/>
            </w:tcMar>
            <w:vAlign w:val="center"/>
          </w:tcPr>
          <w:p w14:paraId="537A564E"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 xml:space="preserve">162,630.87 </w:t>
            </w:r>
          </w:p>
        </w:tc>
      </w:tr>
      <w:tr w:rsidR="006416B0" w:rsidRPr="00B4515A" w14:paraId="10B83D64"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1CC62661"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利润总额</w:t>
            </w:r>
          </w:p>
        </w:tc>
        <w:tc>
          <w:tcPr>
            <w:tcW w:w="860" w:type="pct"/>
            <w:shd w:val="clear" w:color="auto" w:fill="auto"/>
            <w:tcMar>
              <w:top w:w="0" w:type="dxa"/>
              <w:left w:w="108" w:type="dxa"/>
              <w:bottom w:w="0" w:type="dxa"/>
              <w:right w:w="108" w:type="dxa"/>
            </w:tcMar>
            <w:vAlign w:val="center"/>
          </w:tcPr>
          <w:p w14:paraId="78BB0757"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-15,164.66</w:t>
            </w:r>
          </w:p>
        </w:tc>
        <w:tc>
          <w:tcPr>
            <w:tcW w:w="775" w:type="pct"/>
            <w:shd w:val="clear" w:color="auto" w:fill="auto"/>
            <w:tcMar>
              <w:top w:w="0" w:type="dxa"/>
              <w:left w:w="108" w:type="dxa"/>
              <w:bottom w:w="0" w:type="dxa"/>
              <w:right w:w="108" w:type="dxa"/>
            </w:tcMar>
            <w:vAlign w:val="center"/>
          </w:tcPr>
          <w:p w14:paraId="3A1585F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 xml:space="preserve">-14,784.62 </w:t>
            </w:r>
          </w:p>
        </w:tc>
        <w:tc>
          <w:tcPr>
            <w:tcW w:w="859" w:type="pct"/>
            <w:shd w:val="clear" w:color="auto" w:fill="auto"/>
            <w:tcMar>
              <w:top w:w="0" w:type="dxa"/>
              <w:left w:w="108" w:type="dxa"/>
              <w:bottom w:w="0" w:type="dxa"/>
              <w:right w:w="108" w:type="dxa"/>
            </w:tcMar>
            <w:vAlign w:val="center"/>
          </w:tcPr>
          <w:p w14:paraId="66C1748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-168,793.47</w:t>
            </w:r>
          </w:p>
        </w:tc>
        <w:tc>
          <w:tcPr>
            <w:tcW w:w="880" w:type="pct"/>
            <w:shd w:val="clear" w:color="auto" w:fill="auto"/>
            <w:tcMar>
              <w:top w:w="0" w:type="dxa"/>
              <w:left w:w="108" w:type="dxa"/>
              <w:bottom w:w="0" w:type="dxa"/>
              <w:right w:w="108" w:type="dxa"/>
            </w:tcMar>
            <w:vAlign w:val="center"/>
          </w:tcPr>
          <w:p w14:paraId="26A12FE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 xml:space="preserve">-164,212.51 </w:t>
            </w:r>
          </w:p>
        </w:tc>
      </w:tr>
      <w:tr w:rsidR="006416B0" w:rsidRPr="00B4515A" w14:paraId="4E84A56B"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0717D1D7"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归属母公司股东所有者净利润</w:t>
            </w:r>
          </w:p>
        </w:tc>
        <w:tc>
          <w:tcPr>
            <w:tcW w:w="860" w:type="pct"/>
            <w:shd w:val="clear" w:color="auto" w:fill="auto"/>
            <w:tcMar>
              <w:top w:w="0" w:type="dxa"/>
              <w:left w:w="108" w:type="dxa"/>
              <w:bottom w:w="0" w:type="dxa"/>
              <w:right w:w="108" w:type="dxa"/>
            </w:tcMar>
            <w:vAlign w:val="center"/>
          </w:tcPr>
          <w:p w14:paraId="37D9D48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-9,784.31</w:t>
            </w:r>
          </w:p>
        </w:tc>
        <w:tc>
          <w:tcPr>
            <w:tcW w:w="775" w:type="pct"/>
            <w:shd w:val="clear" w:color="auto" w:fill="auto"/>
            <w:tcMar>
              <w:top w:w="0" w:type="dxa"/>
              <w:left w:w="108" w:type="dxa"/>
              <w:bottom w:w="0" w:type="dxa"/>
              <w:right w:w="108" w:type="dxa"/>
            </w:tcMar>
            <w:vAlign w:val="center"/>
          </w:tcPr>
          <w:p w14:paraId="3ABB64C9"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 xml:space="preserve">-9,443.36 </w:t>
            </w:r>
          </w:p>
        </w:tc>
        <w:tc>
          <w:tcPr>
            <w:tcW w:w="859" w:type="pct"/>
            <w:shd w:val="clear" w:color="auto" w:fill="auto"/>
            <w:tcMar>
              <w:top w:w="0" w:type="dxa"/>
              <w:left w:w="108" w:type="dxa"/>
              <w:bottom w:w="0" w:type="dxa"/>
              <w:right w:w="108" w:type="dxa"/>
            </w:tcMar>
            <w:vAlign w:val="center"/>
          </w:tcPr>
          <w:p w14:paraId="421644C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-136,381.11</w:t>
            </w:r>
          </w:p>
        </w:tc>
        <w:tc>
          <w:tcPr>
            <w:tcW w:w="880" w:type="pct"/>
            <w:shd w:val="clear" w:color="auto" w:fill="auto"/>
            <w:tcMar>
              <w:top w:w="0" w:type="dxa"/>
              <w:left w:w="108" w:type="dxa"/>
              <w:bottom w:w="0" w:type="dxa"/>
              <w:right w:w="108" w:type="dxa"/>
            </w:tcMar>
            <w:vAlign w:val="center"/>
          </w:tcPr>
          <w:p w14:paraId="6B58F38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 xml:space="preserve">-132,112.46 </w:t>
            </w:r>
          </w:p>
        </w:tc>
      </w:tr>
      <w:tr w:rsidR="006416B0" w:rsidRPr="00B4515A" w14:paraId="1AE2756B" w14:textId="77777777" w:rsidTr="00031627">
        <w:trPr>
          <w:trHeight w:val="340"/>
          <w:jc w:val="center"/>
        </w:trPr>
        <w:tc>
          <w:tcPr>
            <w:tcW w:w="1626" w:type="pct"/>
            <w:shd w:val="clear" w:color="auto" w:fill="auto"/>
            <w:tcMar>
              <w:top w:w="0" w:type="dxa"/>
              <w:left w:w="108" w:type="dxa"/>
              <w:bottom w:w="0" w:type="dxa"/>
              <w:right w:w="108" w:type="dxa"/>
            </w:tcMar>
            <w:vAlign w:val="center"/>
          </w:tcPr>
          <w:p w14:paraId="51CAC613"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扣非后归属母公司股东所有者净利润</w:t>
            </w:r>
          </w:p>
        </w:tc>
        <w:tc>
          <w:tcPr>
            <w:tcW w:w="860" w:type="pct"/>
            <w:shd w:val="clear" w:color="auto" w:fill="auto"/>
            <w:tcMar>
              <w:top w:w="0" w:type="dxa"/>
              <w:left w:w="108" w:type="dxa"/>
              <w:bottom w:w="0" w:type="dxa"/>
              <w:right w:w="108" w:type="dxa"/>
            </w:tcMar>
            <w:vAlign w:val="center"/>
          </w:tcPr>
          <w:p w14:paraId="6B1D965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-11,083.58</w:t>
            </w:r>
          </w:p>
        </w:tc>
        <w:tc>
          <w:tcPr>
            <w:tcW w:w="775" w:type="pct"/>
            <w:shd w:val="clear" w:color="auto" w:fill="auto"/>
            <w:tcMar>
              <w:top w:w="0" w:type="dxa"/>
              <w:left w:w="108" w:type="dxa"/>
              <w:bottom w:w="0" w:type="dxa"/>
              <w:right w:w="108" w:type="dxa"/>
            </w:tcMar>
            <w:vAlign w:val="center"/>
          </w:tcPr>
          <w:p w14:paraId="691CDCAB"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-10,729.62 </w:t>
            </w:r>
          </w:p>
        </w:tc>
        <w:tc>
          <w:tcPr>
            <w:tcW w:w="859" w:type="pct"/>
            <w:shd w:val="clear" w:color="auto" w:fill="auto"/>
            <w:tcMar>
              <w:top w:w="0" w:type="dxa"/>
              <w:left w:w="108" w:type="dxa"/>
              <w:bottom w:w="0" w:type="dxa"/>
              <w:right w:w="108" w:type="dxa"/>
            </w:tcMar>
            <w:vAlign w:val="center"/>
          </w:tcPr>
          <w:p w14:paraId="134A8954"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-140,462.32</w:t>
            </w:r>
          </w:p>
        </w:tc>
        <w:tc>
          <w:tcPr>
            <w:tcW w:w="880" w:type="pct"/>
            <w:shd w:val="clear" w:color="auto" w:fill="auto"/>
            <w:tcMar>
              <w:top w:w="0" w:type="dxa"/>
              <w:left w:w="108" w:type="dxa"/>
              <w:bottom w:w="0" w:type="dxa"/>
              <w:right w:w="108" w:type="dxa"/>
            </w:tcMar>
            <w:vAlign w:val="center"/>
          </w:tcPr>
          <w:p w14:paraId="2D832300" w14:textId="77777777" w:rsidR="006416B0" w:rsidRPr="00B4515A" w:rsidRDefault="005E58C1" w:rsidP="005860B4">
            <w:pPr>
              <w:adjustRightInd w:val="0"/>
              <w:snapToGrid w:val="0"/>
              <w:jc w:val="right"/>
              <w:rPr>
                <w:rFonts w:ascii="Times New Roman" w:eastAsia="等线" w:hAnsi="Times New Roman" w:cs="Times New Roman"/>
                <w:color w:val="000000"/>
                <w:sz w:val="21"/>
                <w:szCs w:val="21"/>
              </w:rPr>
            </w:pPr>
            <w:r w:rsidRPr="00B4515A">
              <w:rPr>
                <w:rFonts w:ascii="Times New Roman" w:eastAsia="等线" w:hAnsi="Times New Roman" w:cs="Times New Roman"/>
                <w:color w:val="000000"/>
                <w:sz w:val="21"/>
                <w:szCs w:val="21"/>
              </w:rPr>
              <w:t xml:space="preserve">-136,354.04 </w:t>
            </w:r>
          </w:p>
        </w:tc>
      </w:tr>
      <w:tr w:rsidR="006416B0" w:rsidRPr="00B4515A" w14:paraId="00F674FE" w14:textId="77777777" w:rsidTr="00EE238F">
        <w:trPr>
          <w:trHeight w:val="340"/>
          <w:jc w:val="center"/>
        </w:trPr>
        <w:tc>
          <w:tcPr>
            <w:tcW w:w="1626" w:type="pct"/>
            <w:shd w:val="clear" w:color="auto" w:fill="auto"/>
            <w:tcMar>
              <w:top w:w="0" w:type="dxa"/>
              <w:left w:w="108" w:type="dxa"/>
              <w:bottom w:w="0" w:type="dxa"/>
              <w:right w:w="108" w:type="dxa"/>
            </w:tcMar>
            <w:vAlign w:val="center"/>
          </w:tcPr>
          <w:p w14:paraId="7CBF491B"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基本每股收益（元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股）</w:t>
            </w:r>
          </w:p>
        </w:tc>
        <w:tc>
          <w:tcPr>
            <w:tcW w:w="860" w:type="pct"/>
            <w:shd w:val="clear" w:color="auto" w:fill="auto"/>
            <w:tcMar>
              <w:top w:w="0" w:type="dxa"/>
              <w:left w:w="108" w:type="dxa"/>
              <w:bottom w:w="0" w:type="dxa"/>
              <w:right w:w="108" w:type="dxa"/>
            </w:tcMar>
            <w:vAlign w:val="center"/>
          </w:tcPr>
          <w:p w14:paraId="51649CB3"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-0.11</w:t>
            </w:r>
          </w:p>
        </w:tc>
        <w:tc>
          <w:tcPr>
            <w:tcW w:w="775" w:type="pct"/>
            <w:shd w:val="clear" w:color="auto" w:fill="auto"/>
            <w:tcMar>
              <w:top w:w="0" w:type="dxa"/>
              <w:left w:w="108" w:type="dxa"/>
              <w:bottom w:w="0" w:type="dxa"/>
              <w:right w:w="108" w:type="dxa"/>
            </w:tcMar>
            <w:vAlign w:val="center"/>
          </w:tcPr>
          <w:p w14:paraId="1BDC5DAA" w14:textId="41E23165"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-0.07</w:t>
            </w:r>
          </w:p>
        </w:tc>
        <w:tc>
          <w:tcPr>
            <w:tcW w:w="859" w:type="pct"/>
            <w:shd w:val="clear" w:color="auto" w:fill="auto"/>
            <w:tcMar>
              <w:top w:w="0" w:type="dxa"/>
              <w:left w:w="108" w:type="dxa"/>
              <w:bottom w:w="0" w:type="dxa"/>
              <w:right w:w="108" w:type="dxa"/>
            </w:tcMar>
            <w:vAlign w:val="center"/>
          </w:tcPr>
          <w:p w14:paraId="7002060A"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-1.55</w:t>
            </w:r>
          </w:p>
        </w:tc>
        <w:tc>
          <w:tcPr>
            <w:tcW w:w="880" w:type="pct"/>
            <w:shd w:val="clear" w:color="auto" w:fill="auto"/>
            <w:tcMar>
              <w:top w:w="0" w:type="dxa"/>
              <w:left w:w="108" w:type="dxa"/>
              <w:bottom w:w="0" w:type="dxa"/>
              <w:right w:w="108" w:type="dxa"/>
            </w:tcMar>
            <w:vAlign w:val="center"/>
          </w:tcPr>
          <w:p w14:paraId="18AEB22F" w14:textId="62E0DEEE"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-1.01</w:t>
            </w:r>
          </w:p>
        </w:tc>
      </w:tr>
      <w:tr w:rsidR="006416B0" w:rsidRPr="00B4515A" w14:paraId="78AA49E8" w14:textId="77777777" w:rsidTr="00EE238F">
        <w:trPr>
          <w:trHeight w:val="340"/>
          <w:jc w:val="center"/>
        </w:trPr>
        <w:tc>
          <w:tcPr>
            <w:tcW w:w="1626" w:type="pct"/>
            <w:shd w:val="clear" w:color="auto" w:fill="auto"/>
            <w:tcMar>
              <w:top w:w="0" w:type="dxa"/>
              <w:left w:w="108" w:type="dxa"/>
              <w:bottom w:w="0" w:type="dxa"/>
              <w:right w:w="108" w:type="dxa"/>
            </w:tcMar>
            <w:vAlign w:val="center"/>
          </w:tcPr>
          <w:p w14:paraId="09F2E56E"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扣除非经常性损益后的基本每股收益（元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股）</w:t>
            </w:r>
          </w:p>
        </w:tc>
        <w:tc>
          <w:tcPr>
            <w:tcW w:w="860" w:type="pct"/>
            <w:shd w:val="clear" w:color="auto" w:fill="auto"/>
            <w:tcMar>
              <w:top w:w="0" w:type="dxa"/>
              <w:left w:w="108" w:type="dxa"/>
              <w:bottom w:w="0" w:type="dxa"/>
              <w:right w:w="108" w:type="dxa"/>
            </w:tcMar>
            <w:vAlign w:val="center"/>
          </w:tcPr>
          <w:p w14:paraId="4658666F"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-0.13</w:t>
            </w:r>
          </w:p>
        </w:tc>
        <w:tc>
          <w:tcPr>
            <w:tcW w:w="775" w:type="pct"/>
            <w:shd w:val="clear" w:color="auto" w:fill="auto"/>
            <w:tcMar>
              <w:top w:w="0" w:type="dxa"/>
              <w:left w:w="108" w:type="dxa"/>
              <w:bottom w:w="0" w:type="dxa"/>
              <w:right w:w="108" w:type="dxa"/>
            </w:tcMar>
            <w:vAlign w:val="center"/>
          </w:tcPr>
          <w:p w14:paraId="485E7B84" w14:textId="7BAFD082"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-0.08</w:t>
            </w:r>
          </w:p>
        </w:tc>
        <w:tc>
          <w:tcPr>
            <w:tcW w:w="859" w:type="pct"/>
            <w:shd w:val="clear" w:color="auto" w:fill="auto"/>
            <w:tcMar>
              <w:top w:w="0" w:type="dxa"/>
              <w:left w:w="108" w:type="dxa"/>
              <w:bottom w:w="0" w:type="dxa"/>
              <w:right w:w="108" w:type="dxa"/>
            </w:tcMar>
            <w:vAlign w:val="center"/>
          </w:tcPr>
          <w:p w14:paraId="6BB5482C"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-1.59</w:t>
            </w:r>
          </w:p>
        </w:tc>
        <w:tc>
          <w:tcPr>
            <w:tcW w:w="880" w:type="pct"/>
            <w:shd w:val="clear" w:color="auto" w:fill="auto"/>
            <w:tcMar>
              <w:top w:w="0" w:type="dxa"/>
              <w:left w:w="108" w:type="dxa"/>
              <w:bottom w:w="0" w:type="dxa"/>
              <w:right w:w="108" w:type="dxa"/>
            </w:tcMar>
            <w:vAlign w:val="center"/>
          </w:tcPr>
          <w:p w14:paraId="249EBC4B" w14:textId="5EE38E05"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-1.04</w:t>
            </w:r>
          </w:p>
        </w:tc>
      </w:tr>
      <w:tr w:rsidR="006416B0" w:rsidRPr="00B4515A" w14:paraId="45F8E404" w14:textId="77777777" w:rsidTr="00EE238F">
        <w:trPr>
          <w:trHeight w:val="340"/>
          <w:jc w:val="center"/>
        </w:trPr>
        <w:tc>
          <w:tcPr>
            <w:tcW w:w="1626" w:type="pct"/>
            <w:shd w:val="clear" w:color="auto" w:fill="auto"/>
            <w:tcMar>
              <w:top w:w="0" w:type="dxa"/>
              <w:left w:w="108" w:type="dxa"/>
              <w:bottom w:w="0" w:type="dxa"/>
              <w:right w:w="108" w:type="dxa"/>
            </w:tcMar>
            <w:vAlign w:val="center"/>
          </w:tcPr>
          <w:p w14:paraId="37E2401E"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稀释每股收益（元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股）</w:t>
            </w:r>
          </w:p>
        </w:tc>
        <w:tc>
          <w:tcPr>
            <w:tcW w:w="860" w:type="pct"/>
            <w:shd w:val="clear" w:color="auto" w:fill="auto"/>
            <w:tcMar>
              <w:top w:w="0" w:type="dxa"/>
              <w:left w:w="108" w:type="dxa"/>
              <w:bottom w:w="0" w:type="dxa"/>
              <w:right w:w="108" w:type="dxa"/>
            </w:tcMar>
            <w:vAlign w:val="center"/>
          </w:tcPr>
          <w:p w14:paraId="7DC29C08"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-0.11</w:t>
            </w:r>
          </w:p>
        </w:tc>
        <w:tc>
          <w:tcPr>
            <w:tcW w:w="775" w:type="pct"/>
            <w:shd w:val="clear" w:color="auto" w:fill="auto"/>
            <w:tcMar>
              <w:top w:w="0" w:type="dxa"/>
              <w:left w:w="108" w:type="dxa"/>
              <w:bottom w:w="0" w:type="dxa"/>
              <w:right w:w="108" w:type="dxa"/>
            </w:tcMar>
            <w:vAlign w:val="center"/>
          </w:tcPr>
          <w:p w14:paraId="2DE8D6A5" w14:textId="6610B46B"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-0.07</w:t>
            </w:r>
          </w:p>
        </w:tc>
        <w:tc>
          <w:tcPr>
            <w:tcW w:w="859" w:type="pct"/>
            <w:shd w:val="clear" w:color="auto" w:fill="auto"/>
            <w:tcMar>
              <w:top w:w="0" w:type="dxa"/>
              <w:left w:w="108" w:type="dxa"/>
              <w:bottom w:w="0" w:type="dxa"/>
              <w:right w:w="108" w:type="dxa"/>
            </w:tcMar>
            <w:vAlign w:val="center"/>
          </w:tcPr>
          <w:p w14:paraId="587F359B"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-1.55</w:t>
            </w:r>
          </w:p>
        </w:tc>
        <w:tc>
          <w:tcPr>
            <w:tcW w:w="880" w:type="pct"/>
            <w:shd w:val="clear" w:color="auto" w:fill="auto"/>
            <w:tcMar>
              <w:top w:w="0" w:type="dxa"/>
              <w:left w:w="108" w:type="dxa"/>
              <w:bottom w:w="0" w:type="dxa"/>
              <w:right w:w="108" w:type="dxa"/>
            </w:tcMar>
            <w:vAlign w:val="center"/>
          </w:tcPr>
          <w:p w14:paraId="233867F5" w14:textId="039AD5A1"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-1.01</w:t>
            </w:r>
          </w:p>
        </w:tc>
      </w:tr>
      <w:tr w:rsidR="006416B0" w:rsidRPr="00B4515A" w14:paraId="6480BF6C" w14:textId="77777777" w:rsidTr="00EE238F">
        <w:trPr>
          <w:trHeight w:val="340"/>
          <w:jc w:val="center"/>
        </w:trPr>
        <w:tc>
          <w:tcPr>
            <w:tcW w:w="1626" w:type="pct"/>
            <w:shd w:val="clear" w:color="auto" w:fill="auto"/>
            <w:tcMar>
              <w:top w:w="0" w:type="dxa"/>
              <w:left w:w="108" w:type="dxa"/>
              <w:bottom w:w="0" w:type="dxa"/>
              <w:right w:w="108" w:type="dxa"/>
            </w:tcMar>
            <w:vAlign w:val="center"/>
          </w:tcPr>
          <w:p w14:paraId="78504843" w14:textId="77777777" w:rsidR="006416B0" w:rsidRPr="00B4515A" w:rsidRDefault="005E58C1" w:rsidP="005860B4">
            <w:pPr>
              <w:adjustRightInd w:val="0"/>
              <w:snapToGrid w:val="0"/>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扣除非经常性损益后的稀释每股收益（元</w:t>
            </w:r>
            <w:r w:rsidRPr="00B4515A">
              <w:rPr>
                <w:rFonts w:ascii="Times New Roman" w:eastAsiaTheme="minorEastAsia" w:hAnsi="Times New Roman" w:cs="Times New Roman"/>
                <w:color w:val="000000"/>
                <w:sz w:val="21"/>
                <w:szCs w:val="21"/>
              </w:rPr>
              <w:t>/</w:t>
            </w:r>
            <w:r w:rsidRPr="00B4515A">
              <w:rPr>
                <w:rFonts w:ascii="Times New Roman" w:eastAsiaTheme="minorEastAsia" w:hAnsi="Times New Roman" w:cs="Times New Roman"/>
                <w:color w:val="000000"/>
                <w:sz w:val="21"/>
                <w:szCs w:val="21"/>
              </w:rPr>
              <w:t>股）</w:t>
            </w:r>
          </w:p>
        </w:tc>
        <w:tc>
          <w:tcPr>
            <w:tcW w:w="860" w:type="pct"/>
            <w:shd w:val="clear" w:color="auto" w:fill="auto"/>
            <w:tcMar>
              <w:top w:w="0" w:type="dxa"/>
              <w:left w:w="108" w:type="dxa"/>
              <w:bottom w:w="0" w:type="dxa"/>
              <w:right w:w="108" w:type="dxa"/>
            </w:tcMar>
            <w:vAlign w:val="center"/>
          </w:tcPr>
          <w:p w14:paraId="3AF1383D"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-0.13</w:t>
            </w:r>
          </w:p>
        </w:tc>
        <w:tc>
          <w:tcPr>
            <w:tcW w:w="775" w:type="pct"/>
            <w:shd w:val="clear" w:color="auto" w:fill="auto"/>
            <w:tcMar>
              <w:top w:w="0" w:type="dxa"/>
              <w:left w:w="108" w:type="dxa"/>
              <w:bottom w:w="0" w:type="dxa"/>
              <w:right w:w="108" w:type="dxa"/>
            </w:tcMar>
            <w:vAlign w:val="center"/>
          </w:tcPr>
          <w:p w14:paraId="5307466A" w14:textId="7B2FF67F"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-0.07</w:t>
            </w:r>
          </w:p>
        </w:tc>
        <w:tc>
          <w:tcPr>
            <w:tcW w:w="859" w:type="pct"/>
            <w:shd w:val="clear" w:color="auto" w:fill="auto"/>
            <w:tcMar>
              <w:top w:w="0" w:type="dxa"/>
              <w:left w:w="108" w:type="dxa"/>
              <w:bottom w:w="0" w:type="dxa"/>
              <w:right w:w="108" w:type="dxa"/>
            </w:tcMar>
            <w:vAlign w:val="center"/>
          </w:tcPr>
          <w:p w14:paraId="59252A92" w14:textId="77777777"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Theme="minorEastAsia" w:hAnsi="Times New Roman" w:cs="Times New Roman"/>
                <w:color w:val="000000"/>
                <w:sz w:val="21"/>
                <w:szCs w:val="21"/>
              </w:rPr>
              <w:t>-1.59</w:t>
            </w:r>
          </w:p>
        </w:tc>
        <w:tc>
          <w:tcPr>
            <w:tcW w:w="880" w:type="pct"/>
            <w:shd w:val="clear" w:color="auto" w:fill="auto"/>
            <w:tcMar>
              <w:top w:w="0" w:type="dxa"/>
              <w:left w:w="108" w:type="dxa"/>
              <w:bottom w:w="0" w:type="dxa"/>
              <w:right w:w="108" w:type="dxa"/>
            </w:tcMar>
            <w:vAlign w:val="center"/>
          </w:tcPr>
          <w:p w14:paraId="01DF099F" w14:textId="631BBECD" w:rsidR="006416B0" w:rsidRPr="00B4515A" w:rsidRDefault="005E58C1" w:rsidP="005860B4">
            <w:pPr>
              <w:adjustRightInd w:val="0"/>
              <w:snapToGrid w:val="0"/>
              <w:jc w:val="right"/>
              <w:rPr>
                <w:rFonts w:ascii="Times New Roman" w:eastAsiaTheme="minorEastAsia" w:hAnsi="Times New Roman" w:cs="Times New Roman"/>
                <w:color w:val="000000"/>
                <w:sz w:val="21"/>
                <w:szCs w:val="21"/>
              </w:rPr>
            </w:pPr>
            <w:r w:rsidRPr="00B4515A">
              <w:rPr>
                <w:rFonts w:ascii="Times New Roman" w:eastAsia="等线" w:hAnsi="Times New Roman" w:cs="Times New Roman"/>
                <w:color w:val="000000"/>
                <w:sz w:val="21"/>
                <w:szCs w:val="21"/>
              </w:rPr>
              <w:t>-1.04</w:t>
            </w:r>
          </w:p>
        </w:tc>
      </w:tr>
    </w:tbl>
    <w:p w14:paraId="3A3C87F3" w14:textId="77777777" w:rsidR="006416B0" w:rsidRPr="00B4515A" w:rsidRDefault="005E58C1" w:rsidP="006100BC">
      <w:pPr>
        <w:pStyle w:val="006"/>
        <w:ind w:firstLine="420"/>
      </w:pPr>
      <w:r w:rsidRPr="00B4515A">
        <w:rPr>
          <w:rFonts w:hint="eastAsia"/>
        </w:rPr>
        <w:t>注：大唐电信</w:t>
      </w:r>
      <w:r w:rsidRPr="00B4515A">
        <w:t>2021</w:t>
      </w:r>
      <w:r w:rsidRPr="00B4515A">
        <w:t>年</w:t>
      </w:r>
      <w:r w:rsidRPr="00B4515A">
        <w:t>1-4</w:t>
      </w:r>
      <w:r w:rsidRPr="00B4515A">
        <w:t>月</w:t>
      </w:r>
      <w:r w:rsidRPr="00B4515A">
        <w:t>/2021</w:t>
      </w:r>
      <w:r w:rsidRPr="00B4515A">
        <w:t>年</w:t>
      </w:r>
      <w:r w:rsidRPr="00B4515A">
        <w:t>4</w:t>
      </w:r>
      <w:r w:rsidRPr="00B4515A">
        <w:t>月</w:t>
      </w:r>
      <w:r w:rsidRPr="00B4515A">
        <w:t>30</w:t>
      </w:r>
      <w:r w:rsidRPr="00B4515A">
        <w:t>日</w:t>
      </w:r>
      <w:r w:rsidRPr="00B4515A">
        <w:rPr>
          <w:rFonts w:hint="eastAsia"/>
        </w:rPr>
        <w:t>数据未经审计</w:t>
      </w:r>
    </w:p>
    <w:p w14:paraId="3F384D78" w14:textId="77777777" w:rsidR="006416B0" w:rsidRPr="00B4515A" w:rsidRDefault="005E58C1" w:rsidP="006100BC">
      <w:pPr>
        <w:pStyle w:val="005"/>
        <w:spacing w:before="120" w:after="120"/>
        <w:ind w:firstLine="480"/>
      </w:pPr>
      <w:r w:rsidRPr="00B4515A">
        <w:t>根据上表，本次交易后上市公司每股收益将较交易前有所升高。本次重大资产重组提升了上市公司的盈利能力，上市公司将注入盈利能力更强、增长前景较好的业务，上市公司股东利益将得到充分保障。</w:t>
      </w:r>
    </w:p>
    <w:p w14:paraId="6E00C66A" w14:textId="77777777" w:rsidR="006416B0" w:rsidRPr="00B4515A" w:rsidRDefault="005E58C1" w:rsidP="006100BC">
      <w:pPr>
        <w:pStyle w:val="005"/>
        <w:spacing w:before="120" w:after="120"/>
        <w:ind w:firstLine="480"/>
      </w:pPr>
      <w:r w:rsidRPr="00B4515A">
        <w:t>根据测算结果，本次重组完成当年预计不会出现即期回报被摊薄的情况，但并不能完全排除其未来盈利能力不及预期的可能。为维护公司和全体股东的合法权益，公司若出现即期回报被摊薄的情况，公司拟采取以下填补措施，增强公司持续盈利能力</w:t>
      </w:r>
      <w:r w:rsidRPr="00B4515A">
        <w:rPr>
          <w:rFonts w:hint="eastAsia"/>
        </w:rPr>
        <w:t>，公司承诺</w:t>
      </w:r>
      <w:r w:rsidRPr="00B4515A">
        <w:t>：</w:t>
      </w:r>
    </w:p>
    <w:p w14:paraId="2EC8B7D6" w14:textId="77777777" w:rsidR="006416B0" w:rsidRPr="00B4515A" w:rsidRDefault="005E58C1" w:rsidP="006100BC">
      <w:pPr>
        <w:pStyle w:val="005"/>
        <w:spacing w:before="120" w:after="120"/>
        <w:ind w:firstLine="480"/>
      </w:pPr>
      <w:r w:rsidRPr="00B4515A">
        <w:rPr>
          <w:rFonts w:ascii="宋体" w:hAnsi="宋体" w:hint="eastAsia"/>
        </w:rPr>
        <w:lastRenderedPageBreak/>
        <w:t>“</w:t>
      </w:r>
      <w:r w:rsidRPr="00B4515A">
        <w:t>1</w:t>
      </w:r>
      <w:r w:rsidRPr="00B4515A">
        <w:t>、加快与目标公司的整合，增强综合竞争优势和持续盈利能力</w:t>
      </w:r>
    </w:p>
    <w:p w14:paraId="654152CC" w14:textId="77777777" w:rsidR="006416B0" w:rsidRPr="00B4515A" w:rsidRDefault="005E58C1" w:rsidP="006100BC">
      <w:pPr>
        <w:pStyle w:val="005"/>
        <w:spacing w:before="120" w:after="120"/>
        <w:ind w:firstLine="480"/>
      </w:pPr>
      <w:r w:rsidRPr="00B4515A">
        <w:t>本次交易完成后，上市公司将加快对目标公司的整合，充分发挥上市公司与目标公司之间的协同效应，共同增强综合竞争优势，从而提升上市公司及全体股东的长远利益，提高上市公司的可持续发展能力及盈利能力。</w:t>
      </w:r>
    </w:p>
    <w:p w14:paraId="161255F2" w14:textId="77777777" w:rsidR="006416B0" w:rsidRPr="00B4515A" w:rsidRDefault="005E58C1" w:rsidP="006100BC">
      <w:pPr>
        <w:pStyle w:val="005"/>
        <w:spacing w:before="120" w:after="120"/>
        <w:ind w:firstLine="480"/>
      </w:pPr>
      <w:r w:rsidRPr="00B4515A">
        <w:t>2</w:t>
      </w:r>
      <w:r w:rsidRPr="00B4515A">
        <w:t>、切实履行《业绩承诺与补偿协议》的相关约定</w:t>
      </w:r>
    </w:p>
    <w:p w14:paraId="5877E5BA" w14:textId="77777777" w:rsidR="006416B0" w:rsidRPr="00B4515A" w:rsidRDefault="005E58C1" w:rsidP="006100BC">
      <w:pPr>
        <w:pStyle w:val="005"/>
        <w:spacing w:before="120" w:after="120"/>
        <w:ind w:firstLine="480"/>
      </w:pPr>
      <w:r w:rsidRPr="00B4515A">
        <w:rPr>
          <w:rFonts w:hint="eastAsia"/>
        </w:rPr>
        <w:t>为充分维护上市公司及中小股东的利益，上市公司与业绩承诺方签订了</w:t>
      </w:r>
      <w:r w:rsidRPr="00B4515A">
        <w:t>《业绩承诺与补偿协议》</w:t>
      </w:r>
      <w:r w:rsidRPr="00B4515A">
        <w:rPr>
          <w:rFonts w:hint="eastAsia"/>
        </w:rPr>
        <w:t>。</w:t>
      </w:r>
      <w:r w:rsidRPr="00B4515A">
        <w:t>当目标公司出现业绩承诺期内实现净利润低于承诺净利润的情形，上市公司将严格按照《业绩承诺与补偿协议》的相关约定，督促业绩承诺方严格遵照《业绩承诺与补偿协议》履行补偿义务，对上市公司进行补偿，切实维护上市公司广大投资者的利益。</w:t>
      </w:r>
    </w:p>
    <w:p w14:paraId="0AB4EEFC" w14:textId="77777777" w:rsidR="006416B0" w:rsidRPr="00B4515A" w:rsidRDefault="005E58C1" w:rsidP="006100BC">
      <w:pPr>
        <w:pStyle w:val="005"/>
        <w:spacing w:before="120" w:after="120"/>
        <w:ind w:firstLine="480"/>
      </w:pPr>
      <w:r w:rsidRPr="00B4515A">
        <w:rPr>
          <w:rFonts w:hint="eastAsia"/>
        </w:rPr>
        <w:t>3</w:t>
      </w:r>
      <w:r w:rsidRPr="00B4515A">
        <w:rPr>
          <w:rFonts w:hint="eastAsia"/>
        </w:rPr>
        <w:t>、继续完善公司治理，提高公司运营效率</w:t>
      </w:r>
    </w:p>
    <w:p w14:paraId="5A40E7ED" w14:textId="77777777" w:rsidR="006416B0" w:rsidRPr="00B4515A" w:rsidRDefault="005E58C1" w:rsidP="006100BC">
      <w:pPr>
        <w:pStyle w:val="005"/>
        <w:spacing w:before="120" w:after="120"/>
        <w:ind w:firstLine="480"/>
      </w:pPr>
      <w:r w:rsidRPr="00B4515A">
        <w:rPr>
          <w:rFonts w:hint="eastAsia"/>
        </w:rPr>
        <w:t>本次交易前，上市公司已经根据《公司法》、《上市公司治理准则》、《企业内部控制基本规范》等法律法规，建立了较为完善、健全的公司法人治理结构和内部控制制度管理体系，初步形成了设置合理、运行有效、权责分明、运作良好的公司治理与经营框架，保证了上市公司各项经营活动的正常有序进行。本次交易完成后，上市公司将进一步完善治理结构，进一步提高经营和管理水平，完善并强化投资决策、内部控制程序，加强成本管控，强化执行监督，全面有效地提高上市公司运营效率。</w:t>
      </w:r>
    </w:p>
    <w:p w14:paraId="070E59A6" w14:textId="77777777" w:rsidR="006416B0" w:rsidRPr="00B4515A" w:rsidRDefault="005E58C1" w:rsidP="006100BC">
      <w:pPr>
        <w:pStyle w:val="005"/>
        <w:spacing w:before="120" w:after="120"/>
        <w:ind w:firstLine="480"/>
      </w:pPr>
      <w:r w:rsidRPr="00B4515A">
        <w:t>4</w:t>
      </w:r>
      <w:r w:rsidRPr="00B4515A">
        <w:t>、</w:t>
      </w:r>
      <w:r w:rsidRPr="00B4515A">
        <w:rPr>
          <w:rFonts w:hint="eastAsia"/>
        </w:rPr>
        <w:t>严格遵守并不断完善上市公司利润分配政策，强化投资者分红回报</w:t>
      </w:r>
    </w:p>
    <w:p w14:paraId="4C91F405" w14:textId="77777777" w:rsidR="006416B0" w:rsidRPr="00B4515A" w:rsidRDefault="005E58C1" w:rsidP="006100BC">
      <w:pPr>
        <w:pStyle w:val="005"/>
        <w:spacing w:before="120" w:after="120"/>
        <w:ind w:firstLine="480"/>
      </w:pPr>
      <w:r w:rsidRPr="00B4515A">
        <w:t>实行积极的利润分配政策。本次交易完成后，上市公司将根据中国证监会《关于进一步落实上市公司现金分红有关事项的通知》及《上市公司监管指引第</w:t>
      </w:r>
      <w:r w:rsidRPr="00B4515A">
        <w:t>3</w:t>
      </w:r>
      <w:r w:rsidRPr="00B4515A">
        <w:t>号</w:t>
      </w:r>
      <w:r w:rsidRPr="00B4515A">
        <w:t>——</w:t>
      </w:r>
      <w:r w:rsidRPr="00B4515A">
        <w:t>上市公司现金分红》等规定，</w:t>
      </w:r>
      <w:r w:rsidRPr="00B4515A">
        <w:rPr>
          <w:rFonts w:hint="eastAsia"/>
        </w:rPr>
        <w:t>严格执行现行分红政策，在符合条件的情况下积极推动对广大股东的利润分配以及现金分红，提升股东回报水平。</w:t>
      </w:r>
    </w:p>
    <w:p w14:paraId="164B3EEF" w14:textId="77777777" w:rsidR="006416B0" w:rsidRPr="00B4515A" w:rsidRDefault="005E58C1" w:rsidP="006100BC">
      <w:pPr>
        <w:pStyle w:val="005"/>
        <w:spacing w:before="120" w:after="120"/>
        <w:ind w:firstLine="480"/>
      </w:pPr>
      <w:r w:rsidRPr="00B4515A">
        <w:t>5</w:t>
      </w:r>
      <w:r w:rsidRPr="00B4515A">
        <w:t>、</w:t>
      </w:r>
      <w:r w:rsidRPr="00B4515A">
        <w:rPr>
          <w:rFonts w:hint="eastAsia"/>
        </w:rPr>
        <w:t>加强募集资金的管理和运用</w:t>
      </w:r>
    </w:p>
    <w:p w14:paraId="5FBA0581" w14:textId="2376CDFB" w:rsidR="006416B0" w:rsidRPr="00B4515A" w:rsidRDefault="005E58C1" w:rsidP="006100BC">
      <w:pPr>
        <w:pStyle w:val="005"/>
        <w:spacing w:before="120" w:after="120"/>
        <w:ind w:firstLine="480"/>
      </w:pPr>
      <w:r w:rsidRPr="00B4515A">
        <w:t>本次募集配套资金到位后，上市公司将严格按照《上市公司监管指引</w:t>
      </w:r>
      <w:r w:rsidRPr="00B4515A">
        <w:t>2</w:t>
      </w:r>
      <w:r w:rsidRPr="00B4515A">
        <w:t>号</w:t>
      </w:r>
      <w:r w:rsidRPr="00B4515A">
        <w:t>—</w:t>
      </w:r>
      <w:r w:rsidRPr="00B4515A">
        <w:t>上市公司募集资金管理和使用的监管要求》、《上海证券交易所股票上市规则》、以及大唐电信《募集资金使用管理办法》等规定，加强募集资金使用的管理。上</w:t>
      </w:r>
      <w:r w:rsidRPr="00B4515A">
        <w:lastRenderedPageBreak/>
        <w:t>市公司董事会将持续监督对募集资金的专户存储，保障募集资金按顺序用于规定的用途，配合</w:t>
      </w:r>
      <w:r w:rsidR="00253111" w:rsidRPr="00B4515A">
        <w:rPr>
          <w:rFonts w:hint="eastAsia"/>
        </w:rPr>
        <w:t>独立财务顾问</w:t>
      </w:r>
      <w:r w:rsidR="00253111" w:rsidRPr="00B4515A">
        <w:t>等</w:t>
      </w:r>
      <w:r w:rsidR="00253111" w:rsidRPr="00B4515A">
        <w:rPr>
          <w:rFonts w:hint="eastAsia"/>
        </w:rPr>
        <w:t>相关机构</w:t>
      </w:r>
      <w:r w:rsidRPr="00B4515A">
        <w:t>对募集资金使用的检查和监督，以保证募集资金合理规范使用，防范募集资金使用风险，以保证募集资金投资项目的顺利推进，早日实现预期收益。</w:t>
      </w:r>
      <w:r w:rsidRPr="00B4515A">
        <w:rPr>
          <w:rFonts w:ascii="宋体" w:hAnsi="宋体" w:hint="eastAsia"/>
        </w:rPr>
        <w:t>”</w:t>
      </w:r>
    </w:p>
    <w:p w14:paraId="7E7205EB" w14:textId="77777777" w:rsidR="006416B0" w:rsidRPr="00B4515A" w:rsidRDefault="005E58C1" w:rsidP="006100BC">
      <w:pPr>
        <w:pStyle w:val="005"/>
        <w:spacing w:before="120" w:after="120"/>
        <w:ind w:firstLine="480"/>
      </w:pPr>
      <w:r w:rsidRPr="00B4515A">
        <w:t>上市公司全体董事及高级管理人员将忠实、勤勉的履行职责，维护公司和全体股东的合法权益，并对公司填补摊薄即期回报措施能够得到切实履行作出以下承诺：</w:t>
      </w:r>
    </w:p>
    <w:p w14:paraId="775A0353" w14:textId="77777777" w:rsidR="006416B0" w:rsidRPr="00B4515A" w:rsidRDefault="005E58C1" w:rsidP="006100BC">
      <w:pPr>
        <w:pStyle w:val="005"/>
        <w:spacing w:before="120" w:after="120"/>
        <w:ind w:firstLine="480"/>
      </w:pPr>
      <w:r w:rsidRPr="00B4515A">
        <w:rPr>
          <w:rFonts w:ascii="宋体" w:hAnsi="宋体" w:hint="eastAsia"/>
        </w:rPr>
        <w:t>“</w:t>
      </w:r>
      <w:r w:rsidRPr="00B4515A">
        <w:t>1</w:t>
      </w:r>
      <w:r w:rsidRPr="00B4515A">
        <w:t>、本人承诺忠实、勤勉地履行职责，维护上市公司和全体股东的合法权益。</w:t>
      </w:r>
    </w:p>
    <w:p w14:paraId="533E8A33" w14:textId="77777777" w:rsidR="006416B0" w:rsidRPr="00B4515A" w:rsidRDefault="005E58C1" w:rsidP="006100BC">
      <w:pPr>
        <w:pStyle w:val="005"/>
        <w:spacing w:before="120" w:after="120"/>
        <w:ind w:firstLine="480"/>
      </w:pPr>
      <w:r w:rsidRPr="00B4515A">
        <w:t>2</w:t>
      </w:r>
      <w:r w:rsidRPr="00B4515A">
        <w:t>、本人承诺不无偿或以不公平条件向其他单位或者个人输送利益，也不采用其他方式损害上市公司利益。</w:t>
      </w:r>
    </w:p>
    <w:p w14:paraId="2148BAE5" w14:textId="77777777" w:rsidR="006416B0" w:rsidRPr="00B4515A" w:rsidRDefault="005E58C1" w:rsidP="006100BC">
      <w:pPr>
        <w:pStyle w:val="005"/>
        <w:spacing w:before="120" w:after="120"/>
        <w:ind w:firstLine="480"/>
      </w:pPr>
      <w:r w:rsidRPr="00B4515A">
        <w:t>3</w:t>
      </w:r>
      <w:r w:rsidRPr="00B4515A">
        <w:t>、本人承诺对本人的职务消费行为进行约束。</w:t>
      </w:r>
    </w:p>
    <w:p w14:paraId="7E369A09" w14:textId="77777777" w:rsidR="006416B0" w:rsidRPr="00B4515A" w:rsidRDefault="005E58C1" w:rsidP="006100BC">
      <w:pPr>
        <w:pStyle w:val="005"/>
        <w:spacing w:before="120" w:after="120"/>
        <w:ind w:firstLine="480"/>
      </w:pPr>
      <w:r w:rsidRPr="00B4515A">
        <w:t>4</w:t>
      </w:r>
      <w:r w:rsidRPr="00B4515A">
        <w:t>、本人承诺不动用上市公司资产从事与履行职责无关的投资、消费活动。</w:t>
      </w:r>
    </w:p>
    <w:p w14:paraId="0FC049FA" w14:textId="77777777" w:rsidR="006416B0" w:rsidRPr="00B4515A" w:rsidRDefault="005E58C1" w:rsidP="006100BC">
      <w:pPr>
        <w:pStyle w:val="005"/>
        <w:spacing w:before="120" w:after="120"/>
        <w:ind w:firstLine="480"/>
      </w:pPr>
      <w:r w:rsidRPr="00B4515A">
        <w:t>5</w:t>
      </w:r>
      <w:r w:rsidRPr="00B4515A">
        <w:t>、本人承诺在自身职责和权限范围内，全力促使上市公司董事会或者薪酬与考核委员会制定的薪酬制度与上市公司填补回报措施的执行情况相挂钩。</w:t>
      </w:r>
    </w:p>
    <w:p w14:paraId="5EE2B54A" w14:textId="77777777" w:rsidR="006416B0" w:rsidRPr="00B4515A" w:rsidRDefault="005E58C1" w:rsidP="006100BC">
      <w:pPr>
        <w:pStyle w:val="005"/>
        <w:spacing w:before="120" w:after="120"/>
        <w:ind w:firstLine="480"/>
      </w:pPr>
      <w:r w:rsidRPr="00B4515A">
        <w:t>6</w:t>
      </w:r>
      <w:r w:rsidRPr="00B4515A">
        <w:t>、</w:t>
      </w:r>
      <w:r w:rsidRPr="00B4515A">
        <w:rPr>
          <w:rFonts w:hint="eastAsia"/>
        </w:rPr>
        <w:t>若上市公司后续推出股权激励政策，</w:t>
      </w:r>
      <w:r w:rsidRPr="00B4515A">
        <w:t>本人承诺在自身职责和权限范围内，全力促使</w:t>
      </w:r>
      <w:r w:rsidRPr="00B4515A">
        <w:rPr>
          <w:rFonts w:hint="eastAsia"/>
        </w:rPr>
        <w:t>股权激励的</w:t>
      </w:r>
      <w:r w:rsidRPr="00B4515A">
        <w:t>行权条件与上市公司填补回报措施的执行情况相挂钩。</w:t>
      </w:r>
    </w:p>
    <w:p w14:paraId="3A51BDF0" w14:textId="77777777" w:rsidR="006416B0" w:rsidRPr="00B4515A" w:rsidRDefault="005E58C1" w:rsidP="006100BC">
      <w:pPr>
        <w:pStyle w:val="005"/>
        <w:spacing w:before="120" w:after="120"/>
        <w:ind w:firstLine="480"/>
      </w:pPr>
      <w:r w:rsidRPr="00B4515A">
        <w:t>7</w:t>
      </w:r>
      <w:r w:rsidRPr="00B4515A">
        <w:t>、</w:t>
      </w:r>
      <w:r w:rsidRPr="00B4515A">
        <w:rPr>
          <w:rFonts w:hint="eastAsia"/>
        </w:rPr>
        <w:t>在中国证监会、上海证券交易所另行发布填补摊薄即期回报措施及其承诺的相关意见及实施细则后，如果上市公司的相关规定及本人承诺与该等规定不符时，本人承诺将立即按照中国证监会及上海证券交易所的规定出具补充承诺，并积极推进上市公司制定新的规定，以符合中国证监会及上海证券交易所的要求。</w:t>
      </w:r>
    </w:p>
    <w:p w14:paraId="6CF062CC" w14:textId="77777777" w:rsidR="006416B0" w:rsidRPr="00B4515A" w:rsidRDefault="005E58C1" w:rsidP="006100BC">
      <w:pPr>
        <w:pStyle w:val="005"/>
        <w:spacing w:before="120" w:after="120"/>
        <w:ind w:firstLine="480"/>
      </w:pPr>
      <w:r w:rsidRPr="00B4515A">
        <w:rPr>
          <w:rFonts w:hint="eastAsia"/>
        </w:rPr>
        <w:t>8</w:t>
      </w:r>
      <w:r w:rsidRPr="00B4515A">
        <w:rPr>
          <w:rFonts w:hint="eastAsia"/>
        </w:rPr>
        <w:t>、</w:t>
      </w:r>
      <w:r w:rsidRPr="00B4515A">
        <w:t>本人承诺切实履行上市公司制定的有关填补回报措施以及本人对此作出的任何有关填补回报措施的承诺，若本人违反该等承诺并给上市公司或者投资者造成损失的，本人愿意依法承担对上市公司或者投资者的补偿责任。</w:t>
      </w:r>
      <w:r w:rsidRPr="00B4515A">
        <w:rPr>
          <w:rFonts w:ascii="宋体" w:hAnsi="宋体" w:hint="eastAsia"/>
        </w:rPr>
        <w:t>”</w:t>
      </w:r>
    </w:p>
    <w:p w14:paraId="5D0B184E" w14:textId="77777777" w:rsidR="006416B0" w:rsidRPr="00B4515A" w:rsidRDefault="005E58C1" w:rsidP="006100BC">
      <w:pPr>
        <w:pStyle w:val="005"/>
        <w:spacing w:before="120" w:after="120"/>
        <w:ind w:firstLine="480"/>
      </w:pPr>
      <w:r w:rsidRPr="00B4515A">
        <w:t>上市公司控股股东为</w:t>
      </w:r>
      <w:r w:rsidRPr="00B4515A">
        <w:rPr>
          <w:rFonts w:hint="eastAsia"/>
        </w:rPr>
        <w:t>电信科学技术研究院有限公司</w:t>
      </w:r>
      <w:r w:rsidRPr="00B4515A">
        <w:t>。为保障公司填补被摊薄即期回报措施能够得到切实履行，维护中小投资者利益，</w:t>
      </w:r>
      <w:r w:rsidRPr="00B4515A">
        <w:rPr>
          <w:rFonts w:hint="eastAsia"/>
        </w:rPr>
        <w:t>电信科学技术研究院有限公司</w:t>
      </w:r>
      <w:r w:rsidRPr="00B4515A">
        <w:t>及其控股股东</w:t>
      </w:r>
      <w:r w:rsidRPr="00B4515A">
        <w:rPr>
          <w:rFonts w:hint="eastAsia"/>
        </w:rPr>
        <w:t>中国信息通信科技集团有限公司分别</w:t>
      </w:r>
      <w:r w:rsidRPr="00B4515A">
        <w:t>做出以下承诺</w:t>
      </w:r>
      <w:r w:rsidRPr="00B4515A">
        <w:rPr>
          <w:rFonts w:hint="eastAsia"/>
        </w:rPr>
        <w:t>。</w:t>
      </w:r>
    </w:p>
    <w:p w14:paraId="0DB04D45" w14:textId="77777777" w:rsidR="006416B0" w:rsidRPr="00B4515A" w:rsidRDefault="005E58C1" w:rsidP="006100BC">
      <w:pPr>
        <w:pStyle w:val="005"/>
        <w:spacing w:before="120" w:after="120"/>
        <w:ind w:firstLine="480"/>
      </w:pPr>
      <w:r w:rsidRPr="00B4515A">
        <w:rPr>
          <w:rFonts w:hint="eastAsia"/>
        </w:rPr>
        <w:lastRenderedPageBreak/>
        <w:t>电信科学技术研究院承诺：</w:t>
      </w:r>
    </w:p>
    <w:p w14:paraId="3F90F6E1" w14:textId="77777777" w:rsidR="006416B0" w:rsidRPr="00B4515A" w:rsidRDefault="005E58C1" w:rsidP="006100BC">
      <w:pPr>
        <w:pStyle w:val="005"/>
        <w:spacing w:before="120" w:after="120"/>
        <w:ind w:firstLine="480"/>
      </w:pPr>
      <w:r w:rsidRPr="00B4515A">
        <w:rPr>
          <w:rFonts w:ascii="宋体" w:hAnsi="宋体" w:hint="eastAsia"/>
        </w:rPr>
        <w:t>“</w:t>
      </w:r>
      <w:r w:rsidRPr="00B4515A">
        <w:rPr>
          <w:rFonts w:hint="eastAsia"/>
        </w:rPr>
        <w:t>1</w:t>
      </w:r>
      <w:r w:rsidRPr="00B4515A">
        <w:rPr>
          <w:rFonts w:hint="eastAsia"/>
        </w:rPr>
        <w:t>、继续保证上市公司的独立性，不越权干预上市公司经营管理活动，不侵占上市公司利益。</w:t>
      </w:r>
    </w:p>
    <w:p w14:paraId="375BF306" w14:textId="77777777" w:rsidR="006416B0" w:rsidRPr="00B4515A" w:rsidRDefault="005E58C1" w:rsidP="006100BC">
      <w:pPr>
        <w:pStyle w:val="005"/>
        <w:spacing w:before="120" w:after="120"/>
        <w:ind w:firstLine="480"/>
      </w:pPr>
      <w:r w:rsidRPr="00B4515A">
        <w:rPr>
          <w:rFonts w:hint="eastAsia"/>
        </w:rPr>
        <w:t>2</w:t>
      </w:r>
      <w:r w:rsidRPr="00B4515A">
        <w:rPr>
          <w:rFonts w:hint="eastAsia"/>
        </w:rPr>
        <w:t>、自本承诺出具之日起至本次交易实施完毕前，若中国证监会作出关于填补回报措施及其承诺的其他新的监管规定的，且上述承诺不能满足中国证监会该等规定时，承诺届时将按照中国证监会的最新规定出具补充承诺。</w:t>
      </w:r>
    </w:p>
    <w:p w14:paraId="5D870C7D" w14:textId="77777777" w:rsidR="006416B0" w:rsidRPr="00B4515A" w:rsidRDefault="005E58C1" w:rsidP="006100BC">
      <w:pPr>
        <w:pStyle w:val="005"/>
        <w:spacing w:before="120" w:after="120"/>
        <w:ind w:firstLine="480"/>
      </w:pPr>
      <w:r w:rsidRPr="00B4515A">
        <w:rPr>
          <w:rFonts w:hint="eastAsia"/>
        </w:rPr>
        <w:t>3</w:t>
      </w:r>
      <w:r w:rsidRPr="00B4515A">
        <w:rPr>
          <w:rFonts w:hint="eastAsia"/>
        </w:rPr>
        <w:t>、承诺切实履行上市公司制定的有关防范即期回报被摊薄措施以及本公司对此作出的任何有关防范即期回报被摊薄措施的承诺，若违反该等承诺并给上市公司或者投资者造成损失的，愿意依法承担对上市公司或者投资者的补偿责任。</w:t>
      </w:r>
      <w:r w:rsidRPr="00B4515A">
        <w:rPr>
          <w:rFonts w:ascii="宋体" w:hAnsi="宋体" w:hint="eastAsia"/>
        </w:rPr>
        <w:t>”</w:t>
      </w:r>
    </w:p>
    <w:p w14:paraId="20F6F30D" w14:textId="77777777" w:rsidR="006416B0" w:rsidRPr="00B4515A" w:rsidRDefault="005E58C1" w:rsidP="006100BC">
      <w:pPr>
        <w:pStyle w:val="005"/>
        <w:spacing w:before="120" w:after="120"/>
        <w:ind w:firstLine="480"/>
      </w:pPr>
      <w:r w:rsidRPr="00B4515A">
        <w:rPr>
          <w:rFonts w:hint="eastAsia"/>
        </w:rPr>
        <w:t>中国信息通信科技集团有限公司承诺：</w:t>
      </w:r>
    </w:p>
    <w:p w14:paraId="3CD6F2D2" w14:textId="77777777" w:rsidR="006416B0" w:rsidRPr="00B4515A" w:rsidRDefault="005E58C1" w:rsidP="006100BC">
      <w:pPr>
        <w:pStyle w:val="005"/>
        <w:spacing w:before="120" w:after="120"/>
        <w:ind w:firstLine="480"/>
      </w:pPr>
      <w:r w:rsidRPr="00B4515A">
        <w:rPr>
          <w:rFonts w:ascii="宋体" w:hAnsi="宋体" w:hint="eastAsia"/>
        </w:rPr>
        <w:t>“</w:t>
      </w:r>
      <w:r w:rsidRPr="00B4515A">
        <w:rPr>
          <w:rFonts w:hint="eastAsia"/>
        </w:rPr>
        <w:t>1</w:t>
      </w:r>
      <w:r w:rsidRPr="00B4515A">
        <w:rPr>
          <w:rFonts w:hint="eastAsia"/>
        </w:rPr>
        <w:t>、继续保证上市公司的独立性，不越权干预上市公司经营管理活动，不侵占上市公司利益。</w:t>
      </w:r>
    </w:p>
    <w:p w14:paraId="1D2E2581" w14:textId="77777777" w:rsidR="006416B0" w:rsidRPr="00B4515A" w:rsidRDefault="005E58C1" w:rsidP="006100BC">
      <w:pPr>
        <w:pStyle w:val="005"/>
        <w:spacing w:before="120" w:after="120"/>
        <w:ind w:firstLine="480"/>
      </w:pPr>
      <w:r w:rsidRPr="00B4515A">
        <w:rPr>
          <w:rFonts w:hint="eastAsia"/>
        </w:rPr>
        <w:t>2</w:t>
      </w:r>
      <w:r w:rsidRPr="00B4515A">
        <w:rPr>
          <w:rFonts w:hint="eastAsia"/>
        </w:rPr>
        <w:t>、自本承诺出具之日起至本次交易实施完毕前，若中国证监会、上海证券交易所作出关于填补回报措施及其承诺的其他新的监管规定的，且上述承诺不能满足中国证监会、上海证券交易所该等规定时，承诺届时将按照中国证监会、上海证券交易所的最新规定出具补充承诺。</w:t>
      </w:r>
    </w:p>
    <w:p w14:paraId="0E6176B8" w14:textId="77777777" w:rsidR="006416B0" w:rsidRPr="00B4515A" w:rsidRDefault="005E58C1" w:rsidP="006100BC">
      <w:pPr>
        <w:pStyle w:val="005"/>
        <w:spacing w:before="120" w:after="120"/>
        <w:ind w:firstLine="480"/>
      </w:pPr>
      <w:r w:rsidRPr="00B4515A">
        <w:rPr>
          <w:rFonts w:hint="eastAsia"/>
        </w:rPr>
        <w:t>3</w:t>
      </w:r>
      <w:r w:rsidRPr="00B4515A">
        <w:rPr>
          <w:rFonts w:hint="eastAsia"/>
        </w:rPr>
        <w:t>、承诺切实履行上市公司制定的有关防范即期回报被摊薄措施以及本公司对此作出的任何有关防范即期回报被摊薄措施的承诺，若违反该等承诺并给上市公司或者投资者造成损失的，愿意依法承担对上市公司或者投资者的补偿责任。</w:t>
      </w:r>
      <w:r w:rsidRPr="00B4515A">
        <w:rPr>
          <w:rFonts w:ascii="宋体" w:hAnsi="宋体" w:hint="eastAsia"/>
        </w:rPr>
        <w:t>”</w:t>
      </w:r>
    </w:p>
    <w:p w14:paraId="4C1434CE" w14:textId="77777777" w:rsidR="006416B0" w:rsidRPr="00B4515A" w:rsidRDefault="005E58C1" w:rsidP="006100BC">
      <w:pPr>
        <w:pStyle w:val="002"/>
        <w:spacing w:before="120" w:after="120"/>
        <w:ind w:firstLine="562"/>
      </w:pPr>
      <w:bookmarkStart w:id="375" w:name="_Toc80960595"/>
      <w:r w:rsidRPr="00B4515A">
        <w:t>八、上市公司股票停牌前股价波动未达到</w:t>
      </w:r>
      <w:r w:rsidRPr="00B4515A">
        <w:t>20%</w:t>
      </w:r>
      <w:r w:rsidRPr="00B4515A">
        <w:t>的说明</w:t>
      </w:r>
      <w:bookmarkEnd w:id="375"/>
    </w:p>
    <w:p w14:paraId="3E3A9302" w14:textId="77777777" w:rsidR="006416B0" w:rsidRPr="00B4515A" w:rsidRDefault="005E58C1" w:rsidP="006100BC">
      <w:pPr>
        <w:pStyle w:val="005"/>
        <w:spacing w:before="120" w:after="120"/>
        <w:ind w:firstLine="480"/>
      </w:pPr>
      <w:r w:rsidRPr="00B4515A">
        <w:rPr>
          <w:rFonts w:hint="eastAsia"/>
        </w:rPr>
        <w:t>按照《关于规范上市公司信息披露及相关各方行为的通知》（证监公司字［</w:t>
      </w:r>
      <w:r w:rsidRPr="00B4515A">
        <w:t>2007</w:t>
      </w:r>
      <w:r w:rsidRPr="00B4515A">
        <w:rPr>
          <w:rFonts w:hint="eastAsia"/>
        </w:rPr>
        <w:t>］</w:t>
      </w:r>
      <w:r w:rsidRPr="00B4515A">
        <w:t>128</w:t>
      </w:r>
      <w:r w:rsidRPr="00B4515A">
        <w:rPr>
          <w:rFonts w:hint="eastAsia"/>
        </w:rPr>
        <w:t>号）等法律法规的要求，上市公司对股票连续停牌前股价波动的情况进行了自查，结果如下：</w:t>
      </w:r>
    </w:p>
    <w:p w14:paraId="68269B33" w14:textId="77777777" w:rsidR="006416B0" w:rsidRPr="00B4515A" w:rsidRDefault="005E58C1" w:rsidP="006100BC">
      <w:pPr>
        <w:pStyle w:val="005"/>
        <w:spacing w:before="120" w:after="120"/>
        <w:ind w:firstLine="480"/>
      </w:pPr>
      <w:r w:rsidRPr="00B4515A">
        <w:rPr>
          <w:rFonts w:hint="eastAsia"/>
        </w:rPr>
        <w:t>上市公司因筹划以发行股份的方式购买大唐联诚信息系统技术有限公司全体股东所持其全部股权并募集配套资金，</w:t>
      </w:r>
      <w:r w:rsidRPr="00B4515A">
        <w:rPr>
          <w:rFonts w:hint="eastAsia"/>
          <w:sz w:val="23"/>
          <w:szCs w:val="23"/>
        </w:rPr>
        <w:t>经向上海证券交易所申请，上市公司</w:t>
      </w:r>
      <w:r w:rsidRPr="00B4515A">
        <w:rPr>
          <w:rFonts w:hint="eastAsia"/>
        </w:rPr>
        <w:t>股票自</w:t>
      </w:r>
      <w:r w:rsidRPr="00B4515A">
        <w:t>2021</w:t>
      </w:r>
      <w:r w:rsidRPr="00B4515A">
        <w:rPr>
          <w:rFonts w:hint="eastAsia"/>
        </w:rPr>
        <w:t>年</w:t>
      </w:r>
      <w:r w:rsidRPr="00B4515A">
        <w:t>4</w:t>
      </w:r>
      <w:r w:rsidRPr="00B4515A">
        <w:rPr>
          <w:rFonts w:hint="eastAsia"/>
        </w:rPr>
        <w:t>月</w:t>
      </w:r>
      <w:r w:rsidRPr="00B4515A">
        <w:t>26</w:t>
      </w:r>
      <w:r w:rsidRPr="00B4515A">
        <w:rPr>
          <w:rFonts w:hint="eastAsia"/>
        </w:rPr>
        <w:t>日开市起开始停牌。本次停牌前一交易日（</w:t>
      </w:r>
      <w:r w:rsidRPr="00B4515A">
        <w:t>2021</w:t>
      </w:r>
      <w:r w:rsidRPr="00B4515A">
        <w:rPr>
          <w:rFonts w:hint="eastAsia"/>
        </w:rPr>
        <w:t>年</w:t>
      </w:r>
      <w:r w:rsidRPr="00B4515A">
        <w:t>4</w:t>
      </w:r>
      <w:r w:rsidRPr="00B4515A">
        <w:rPr>
          <w:rFonts w:hint="eastAsia"/>
        </w:rPr>
        <w:t>月</w:t>
      </w:r>
      <w:r w:rsidRPr="00B4515A">
        <w:t>23</w:t>
      </w:r>
      <w:r w:rsidRPr="00B4515A">
        <w:rPr>
          <w:rFonts w:hint="eastAsia"/>
        </w:rPr>
        <w:t>日）收盘价格为</w:t>
      </w:r>
      <w:r w:rsidRPr="00B4515A">
        <w:t>6.10</w:t>
      </w:r>
      <w:r w:rsidRPr="00B4515A">
        <w:rPr>
          <w:rFonts w:hint="eastAsia"/>
        </w:rPr>
        <w:t>元</w:t>
      </w:r>
      <w:r w:rsidRPr="00B4515A">
        <w:t>/</w:t>
      </w:r>
      <w:r w:rsidRPr="00B4515A">
        <w:rPr>
          <w:rFonts w:hint="eastAsia"/>
        </w:rPr>
        <w:t>股，本次停牌前第</w:t>
      </w:r>
      <w:r w:rsidRPr="00B4515A">
        <w:t>21</w:t>
      </w:r>
      <w:r w:rsidRPr="00B4515A">
        <w:rPr>
          <w:rFonts w:hint="eastAsia"/>
        </w:rPr>
        <w:t>个交易日（</w:t>
      </w:r>
      <w:r w:rsidRPr="00B4515A">
        <w:t>2021</w:t>
      </w:r>
      <w:r w:rsidRPr="00B4515A">
        <w:rPr>
          <w:rFonts w:hint="eastAsia"/>
        </w:rPr>
        <w:t>年</w:t>
      </w:r>
      <w:r w:rsidRPr="00B4515A">
        <w:t>3</w:t>
      </w:r>
      <w:r w:rsidRPr="00B4515A">
        <w:rPr>
          <w:rFonts w:hint="eastAsia"/>
        </w:rPr>
        <w:t>月</w:t>
      </w:r>
      <w:r w:rsidRPr="00B4515A">
        <w:t>25</w:t>
      </w:r>
      <w:r w:rsidRPr="00B4515A">
        <w:rPr>
          <w:rFonts w:hint="eastAsia"/>
        </w:rPr>
        <w:t>日）收</w:t>
      </w:r>
      <w:r w:rsidRPr="00B4515A">
        <w:rPr>
          <w:rFonts w:hint="eastAsia"/>
        </w:rPr>
        <w:lastRenderedPageBreak/>
        <w:t>盘价格为</w:t>
      </w:r>
      <w:r w:rsidRPr="00B4515A">
        <w:t>6.74</w:t>
      </w:r>
      <w:r w:rsidRPr="00B4515A">
        <w:rPr>
          <w:rFonts w:hint="eastAsia"/>
        </w:rPr>
        <w:t>元</w:t>
      </w:r>
      <w:r w:rsidRPr="00B4515A">
        <w:t>/</w:t>
      </w:r>
      <w:r w:rsidRPr="00B4515A">
        <w:rPr>
          <w:rFonts w:hint="eastAsia"/>
        </w:rPr>
        <w:t>股，本次交易公告停牌前</w:t>
      </w:r>
      <w:r w:rsidRPr="00B4515A">
        <w:t>20</w:t>
      </w:r>
      <w:r w:rsidRPr="00B4515A">
        <w:rPr>
          <w:rFonts w:hint="eastAsia"/>
        </w:rPr>
        <w:t>个交易日内（即</w:t>
      </w:r>
      <w:r w:rsidRPr="00B4515A">
        <w:t>2021</w:t>
      </w:r>
      <w:r w:rsidRPr="00B4515A">
        <w:rPr>
          <w:rFonts w:hint="eastAsia"/>
        </w:rPr>
        <w:t>年</w:t>
      </w:r>
      <w:r w:rsidRPr="00B4515A">
        <w:t>3</w:t>
      </w:r>
      <w:r w:rsidRPr="00B4515A">
        <w:rPr>
          <w:rFonts w:hint="eastAsia"/>
        </w:rPr>
        <w:t>月</w:t>
      </w:r>
      <w:r w:rsidRPr="00B4515A">
        <w:t>26</w:t>
      </w:r>
      <w:r w:rsidRPr="00B4515A">
        <w:rPr>
          <w:rFonts w:hint="eastAsia"/>
        </w:rPr>
        <w:t>日至</w:t>
      </w:r>
      <w:r w:rsidRPr="00B4515A">
        <w:t>2021</w:t>
      </w:r>
      <w:r w:rsidRPr="00B4515A">
        <w:rPr>
          <w:rFonts w:hint="eastAsia"/>
        </w:rPr>
        <w:t>年</w:t>
      </w:r>
      <w:r w:rsidRPr="00B4515A">
        <w:t>4</w:t>
      </w:r>
      <w:r w:rsidRPr="00B4515A">
        <w:rPr>
          <w:rFonts w:hint="eastAsia"/>
        </w:rPr>
        <w:t>月</w:t>
      </w:r>
      <w:r w:rsidRPr="00B4515A">
        <w:t>23</w:t>
      </w:r>
      <w:r w:rsidRPr="00B4515A">
        <w:rPr>
          <w:rFonts w:hint="eastAsia"/>
        </w:rPr>
        <w:t>日期间），本公司股票收盘价格累计跌幅为</w:t>
      </w:r>
      <w:r w:rsidRPr="00B4515A">
        <w:t>9.50%</w:t>
      </w:r>
      <w:r w:rsidRPr="00B4515A">
        <w:rPr>
          <w:rFonts w:hint="eastAsia"/>
        </w:rPr>
        <w:t>，上证综合指数（代码：</w:t>
      </w:r>
      <w:r w:rsidRPr="00B4515A">
        <w:t>000001.SH</w:t>
      </w:r>
      <w:r w:rsidRPr="00B4515A">
        <w:rPr>
          <w:rFonts w:hint="eastAsia"/>
        </w:rPr>
        <w:t>）累计涨幅为</w:t>
      </w:r>
      <w:r w:rsidRPr="00B4515A">
        <w:t>3.29%</w:t>
      </w:r>
      <w:r w:rsidRPr="00B4515A">
        <w:rPr>
          <w:rFonts w:hint="eastAsia"/>
        </w:rPr>
        <w:t>，证监会计算机通信和电子设备（代码：</w:t>
      </w:r>
      <w:r w:rsidRPr="00B4515A">
        <w:t>883136.WI</w:t>
      </w:r>
      <w:r w:rsidRPr="00B4515A">
        <w:rPr>
          <w:rFonts w:hint="eastAsia"/>
        </w:rPr>
        <w:t>）累计涨幅为</w:t>
      </w:r>
      <w:r w:rsidRPr="00B4515A">
        <w:t>7.79%</w:t>
      </w:r>
      <w:r w:rsidRPr="00B4515A">
        <w:rPr>
          <w:rFonts w:hint="eastAsia"/>
        </w:rPr>
        <w:t>。</w:t>
      </w:r>
    </w:p>
    <w:tbl>
      <w:tblPr>
        <w:tblStyle w:val="TableGrid"/>
        <w:tblW w:w="5000"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36" w:type="dxa"/>
          <w:left w:w="108" w:type="dxa"/>
          <w:right w:w="108" w:type="dxa"/>
        </w:tblCellMar>
        <w:tblLook w:val="04A0" w:firstRow="1" w:lastRow="0" w:firstColumn="1" w:lastColumn="0" w:noHBand="0" w:noVBand="1"/>
      </w:tblPr>
      <w:tblGrid>
        <w:gridCol w:w="2191"/>
        <w:gridCol w:w="2264"/>
        <w:gridCol w:w="2545"/>
        <w:gridCol w:w="1528"/>
      </w:tblGrid>
      <w:tr w:rsidR="006416B0" w:rsidRPr="00B4515A" w14:paraId="300CD974" w14:textId="77777777" w:rsidTr="006100BC">
        <w:trPr>
          <w:trHeight w:val="340"/>
          <w:tblHeader/>
          <w:jc w:val="center"/>
        </w:trPr>
        <w:tc>
          <w:tcPr>
            <w:tcW w:w="2136" w:type="dxa"/>
            <w:shd w:val="clear" w:color="auto" w:fill="auto"/>
            <w:tcMar>
              <w:top w:w="0" w:type="dxa"/>
              <w:left w:w="108" w:type="dxa"/>
              <w:bottom w:w="0" w:type="dxa"/>
              <w:right w:w="108" w:type="dxa"/>
            </w:tcMar>
            <w:vAlign w:val="center"/>
          </w:tcPr>
          <w:p w14:paraId="2C1CEDD0"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股价</w:t>
            </w:r>
            <w:r w:rsidRPr="00B4515A">
              <w:rPr>
                <w:rFonts w:ascii="Times New Roman" w:hAnsi="Times New Roman" w:cs="Times New Roman"/>
                <w:b/>
                <w:sz w:val="21"/>
                <w:szCs w:val="21"/>
              </w:rPr>
              <w:t>/</w:t>
            </w:r>
            <w:r w:rsidRPr="00B4515A">
              <w:rPr>
                <w:rFonts w:ascii="Times New Roman" w:hAnsi="Times New Roman" w:cs="Times New Roman"/>
                <w:b/>
                <w:sz w:val="21"/>
                <w:szCs w:val="21"/>
              </w:rPr>
              <w:t>指数</w:t>
            </w:r>
          </w:p>
        </w:tc>
        <w:tc>
          <w:tcPr>
            <w:tcW w:w="2206" w:type="dxa"/>
            <w:shd w:val="clear" w:color="auto" w:fill="auto"/>
            <w:tcMar>
              <w:top w:w="0" w:type="dxa"/>
              <w:left w:w="108" w:type="dxa"/>
              <w:bottom w:w="0" w:type="dxa"/>
              <w:right w:w="108" w:type="dxa"/>
            </w:tcMar>
            <w:vAlign w:val="center"/>
          </w:tcPr>
          <w:p w14:paraId="504B4C56" w14:textId="085476B9" w:rsidR="006416B0" w:rsidRPr="00B4515A" w:rsidRDefault="005E58C1" w:rsidP="006100BC">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股票停牌前</w:t>
            </w:r>
            <w:r w:rsidRPr="00B4515A">
              <w:rPr>
                <w:rFonts w:ascii="Times New Roman" w:hAnsi="Times New Roman" w:cs="Times New Roman"/>
                <w:b/>
                <w:sz w:val="21"/>
                <w:szCs w:val="21"/>
              </w:rPr>
              <w:t>21</w:t>
            </w:r>
            <w:r w:rsidRPr="00B4515A">
              <w:rPr>
                <w:rFonts w:ascii="Times New Roman" w:hAnsi="Times New Roman" w:cs="Times New Roman"/>
                <w:b/>
                <w:sz w:val="21"/>
                <w:szCs w:val="21"/>
              </w:rPr>
              <w:t>个交易日</w:t>
            </w:r>
            <w:r w:rsidRPr="00B4515A">
              <w:rPr>
                <w:rFonts w:ascii="Times New Roman" w:hAnsi="Times New Roman" w:cs="Times New Roman"/>
                <w:b/>
                <w:sz w:val="21"/>
                <w:szCs w:val="21"/>
              </w:rPr>
              <w:t>2021</w:t>
            </w:r>
            <w:r w:rsidRPr="00B4515A">
              <w:rPr>
                <w:rFonts w:ascii="Times New Roman" w:hAnsi="Times New Roman" w:cs="Times New Roman"/>
                <w:b/>
                <w:sz w:val="21"/>
                <w:szCs w:val="21"/>
              </w:rPr>
              <w:t>年</w:t>
            </w:r>
            <w:r w:rsidRPr="00B4515A">
              <w:rPr>
                <w:rFonts w:ascii="Times New Roman" w:hAnsi="Times New Roman" w:cs="Times New Roman"/>
                <w:b/>
                <w:sz w:val="21"/>
                <w:szCs w:val="21"/>
              </w:rPr>
              <w:t>3</w:t>
            </w:r>
            <w:r w:rsidRPr="00B4515A">
              <w:rPr>
                <w:rFonts w:ascii="Times New Roman" w:hAnsi="Times New Roman" w:cs="Times New Roman"/>
                <w:b/>
                <w:sz w:val="21"/>
                <w:szCs w:val="21"/>
              </w:rPr>
              <w:t>月</w:t>
            </w:r>
            <w:r w:rsidRPr="00B4515A">
              <w:rPr>
                <w:rFonts w:ascii="Times New Roman" w:hAnsi="Times New Roman" w:cs="Times New Roman"/>
                <w:b/>
                <w:sz w:val="21"/>
                <w:szCs w:val="21"/>
              </w:rPr>
              <w:t>25</w:t>
            </w:r>
            <w:r w:rsidRPr="00B4515A">
              <w:rPr>
                <w:rFonts w:ascii="Times New Roman" w:hAnsi="Times New Roman" w:cs="Times New Roman"/>
                <w:b/>
                <w:sz w:val="21"/>
                <w:szCs w:val="21"/>
              </w:rPr>
              <w:t>日</w:t>
            </w:r>
          </w:p>
        </w:tc>
        <w:tc>
          <w:tcPr>
            <w:tcW w:w="2480" w:type="dxa"/>
            <w:shd w:val="clear" w:color="auto" w:fill="auto"/>
            <w:tcMar>
              <w:top w:w="0" w:type="dxa"/>
              <w:left w:w="108" w:type="dxa"/>
              <w:bottom w:w="0" w:type="dxa"/>
              <w:right w:w="108" w:type="dxa"/>
            </w:tcMar>
            <w:vAlign w:val="center"/>
          </w:tcPr>
          <w:p w14:paraId="73BC5662"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股票停牌前</w:t>
            </w:r>
            <w:r w:rsidRPr="00B4515A">
              <w:rPr>
                <w:rFonts w:ascii="Times New Roman" w:hAnsi="Times New Roman" w:cs="Times New Roman"/>
                <w:b/>
                <w:sz w:val="21"/>
                <w:szCs w:val="21"/>
              </w:rPr>
              <w:t>1</w:t>
            </w:r>
            <w:r w:rsidRPr="00B4515A">
              <w:rPr>
                <w:rFonts w:ascii="Times New Roman" w:hAnsi="Times New Roman" w:cs="Times New Roman"/>
                <w:b/>
                <w:sz w:val="21"/>
                <w:szCs w:val="21"/>
              </w:rPr>
              <w:t>个交易日</w:t>
            </w:r>
          </w:p>
          <w:p w14:paraId="1B4AD0F6"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2021</w:t>
            </w:r>
            <w:r w:rsidRPr="00B4515A">
              <w:rPr>
                <w:rFonts w:ascii="Times New Roman" w:hAnsi="Times New Roman" w:cs="Times New Roman"/>
                <w:b/>
                <w:sz w:val="21"/>
                <w:szCs w:val="21"/>
              </w:rPr>
              <w:t>年</w:t>
            </w:r>
            <w:r w:rsidRPr="00B4515A">
              <w:rPr>
                <w:rFonts w:ascii="Times New Roman" w:hAnsi="Times New Roman" w:cs="Times New Roman"/>
                <w:b/>
                <w:sz w:val="21"/>
                <w:szCs w:val="21"/>
              </w:rPr>
              <w:t>4</w:t>
            </w:r>
            <w:r w:rsidRPr="00B4515A">
              <w:rPr>
                <w:rFonts w:ascii="Times New Roman" w:hAnsi="Times New Roman" w:cs="Times New Roman"/>
                <w:b/>
                <w:sz w:val="21"/>
                <w:szCs w:val="21"/>
              </w:rPr>
              <w:t>月</w:t>
            </w:r>
            <w:r w:rsidRPr="00B4515A">
              <w:rPr>
                <w:rFonts w:ascii="Times New Roman" w:hAnsi="Times New Roman" w:cs="Times New Roman"/>
                <w:b/>
                <w:sz w:val="21"/>
                <w:szCs w:val="21"/>
              </w:rPr>
              <w:t>23</w:t>
            </w:r>
            <w:r w:rsidRPr="00B4515A">
              <w:rPr>
                <w:rFonts w:ascii="Times New Roman" w:hAnsi="Times New Roman" w:cs="Times New Roman"/>
                <w:b/>
                <w:sz w:val="21"/>
                <w:szCs w:val="21"/>
              </w:rPr>
              <w:t>日</w:t>
            </w:r>
          </w:p>
        </w:tc>
        <w:tc>
          <w:tcPr>
            <w:tcW w:w="1489" w:type="dxa"/>
            <w:shd w:val="clear" w:color="auto" w:fill="auto"/>
            <w:tcMar>
              <w:top w:w="0" w:type="dxa"/>
              <w:left w:w="108" w:type="dxa"/>
              <w:bottom w:w="0" w:type="dxa"/>
              <w:right w:w="108" w:type="dxa"/>
            </w:tcMar>
            <w:vAlign w:val="center"/>
          </w:tcPr>
          <w:p w14:paraId="203F1B73" w14:textId="77777777" w:rsidR="006416B0" w:rsidRPr="00B4515A" w:rsidRDefault="005E58C1" w:rsidP="005860B4">
            <w:pPr>
              <w:adjustRightInd w:val="0"/>
              <w:snapToGrid w:val="0"/>
              <w:jc w:val="center"/>
              <w:rPr>
                <w:rFonts w:ascii="Times New Roman" w:hAnsi="Times New Roman" w:cs="Times New Roman"/>
                <w:b/>
                <w:sz w:val="21"/>
                <w:szCs w:val="21"/>
              </w:rPr>
            </w:pPr>
            <w:r w:rsidRPr="00B4515A">
              <w:rPr>
                <w:rFonts w:ascii="Times New Roman" w:hAnsi="Times New Roman" w:cs="Times New Roman"/>
                <w:b/>
                <w:sz w:val="21"/>
                <w:szCs w:val="21"/>
              </w:rPr>
              <w:t>涨跌幅</w:t>
            </w:r>
          </w:p>
        </w:tc>
      </w:tr>
      <w:tr w:rsidR="006416B0" w:rsidRPr="00B4515A" w14:paraId="2F0EB238" w14:textId="77777777" w:rsidTr="00031627">
        <w:trPr>
          <w:trHeight w:val="340"/>
          <w:jc w:val="center"/>
        </w:trPr>
        <w:tc>
          <w:tcPr>
            <w:tcW w:w="2136" w:type="dxa"/>
            <w:shd w:val="clear" w:color="auto" w:fill="auto"/>
            <w:tcMar>
              <w:top w:w="0" w:type="dxa"/>
              <w:left w:w="108" w:type="dxa"/>
              <w:bottom w:w="0" w:type="dxa"/>
              <w:right w:w="108" w:type="dxa"/>
            </w:tcMar>
            <w:vAlign w:val="center"/>
          </w:tcPr>
          <w:p w14:paraId="77FF065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大唐电信（元</w:t>
            </w:r>
            <w:r w:rsidRPr="00B4515A">
              <w:rPr>
                <w:rFonts w:ascii="Times New Roman" w:hAnsi="Times New Roman" w:cs="Times New Roman"/>
                <w:sz w:val="21"/>
                <w:szCs w:val="21"/>
              </w:rPr>
              <w:t>/</w:t>
            </w:r>
            <w:r w:rsidRPr="00B4515A">
              <w:rPr>
                <w:rFonts w:ascii="Times New Roman" w:hAnsi="Times New Roman" w:cs="Times New Roman"/>
                <w:sz w:val="21"/>
                <w:szCs w:val="21"/>
              </w:rPr>
              <w:t>股）</w:t>
            </w:r>
          </w:p>
        </w:tc>
        <w:tc>
          <w:tcPr>
            <w:tcW w:w="2206" w:type="dxa"/>
            <w:shd w:val="clear" w:color="auto" w:fill="auto"/>
            <w:tcMar>
              <w:top w:w="0" w:type="dxa"/>
              <w:left w:w="108" w:type="dxa"/>
              <w:bottom w:w="0" w:type="dxa"/>
              <w:right w:w="108" w:type="dxa"/>
            </w:tcMar>
            <w:vAlign w:val="center"/>
          </w:tcPr>
          <w:p w14:paraId="0DA3113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6.74</w:t>
            </w:r>
          </w:p>
        </w:tc>
        <w:tc>
          <w:tcPr>
            <w:tcW w:w="2480" w:type="dxa"/>
            <w:shd w:val="clear" w:color="auto" w:fill="auto"/>
            <w:tcMar>
              <w:top w:w="0" w:type="dxa"/>
              <w:left w:w="108" w:type="dxa"/>
              <w:bottom w:w="0" w:type="dxa"/>
              <w:right w:w="108" w:type="dxa"/>
            </w:tcMar>
            <w:vAlign w:val="center"/>
          </w:tcPr>
          <w:p w14:paraId="43D8747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6.10</w:t>
            </w:r>
          </w:p>
        </w:tc>
        <w:tc>
          <w:tcPr>
            <w:tcW w:w="1489" w:type="dxa"/>
            <w:shd w:val="clear" w:color="auto" w:fill="auto"/>
            <w:tcMar>
              <w:top w:w="0" w:type="dxa"/>
              <w:left w:w="108" w:type="dxa"/>
              <w:bottom w:w="0" w:type="dxa"/>
              <w:right w:w="108" w:type="dxa"/>
            </w:tcMar>
            <w:vAlign w:val="center"/>
          </w:tcPr>
          <w:p w14:paraId="61F92BB5"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-9.50%</w:t>
            </w:r>
          </w:p>
        </w:tc>
      </w:tr>
      <w:tr w:rsidR="006416B0" w:rsidRPr="00B4515A" w14:paraId="2DDC3BCD" w14:textId="77777777" w:rsidTr="00031627">
        <w:trPr>
          <w:trHeight w:val="340"/>
          <w:jc w:val="center"/>
        </w:trPr>
        <w:tc>
          <w:tcPr>
            <w:tcW w:w="2136" w:type="dxa"/>
            <w:shd w:val="clear" w:color="auto" w:fill="auto"/>
            <w:tcMar>
              <w:top w:w="0" w:type="dxa"/>
              <w:left w:w="108" w:type="dxa"/>
              <w:bottom w:w="0" w:type="dxa"/>
              <w:right w:w="108" w:type="dxa"/>
            </w:tcMar>
            <w:vAlign w:val="center"/>
          </w:tcPr>
          <w:p w14:paraId="61D7E4A9"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上证综合指数</w:t>
            </w:r>
          </w:p>
        </w:tc>
        <w:tc>
          <w:tcPr>
            <w:tcW w:w="2206" w:type="dxa"/>
            <w:shd w:val="clear" w:color="auto" w:fill="auto"/>
            <w:tcMar>
              <w:top w:w="0" w:type="dxa"/>
              <w:left w:w="108" w:type="dxa"/>
              <w:bottom w:w="0" w:type="dxa"/>
              <w:right w:w="108" w:type="dxa"/>
            </w:tcMar>
            <w:vAlign w:val="center"/>
          </w:tcPr>
          <w:p w14:paraId="326C0AD3"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3,363.59</w:t>
            </w:r>
          </w:p>
        </w:tc>
        <w:tc>
          <w:tcPr>
            <w:tcW w:w="2480" w:type="dxa"/>
            <w:shd w:val="clear" w:color="auto" w:fill="auto"/>
            <w:tcMar>
              <w:top w:w="0" w:type="dxa"/>
              <w:left w:w="108" w:type="dxa"/>
              <w:bottom w:w="0" w:type="dxa"/>
              <w:right w:w="108" w:type="dxa"/>
            </w:tcMar>
            <w:vAlign w:val="center"/>
          </w:tcPr>
          <w:p w14:paraId="75E81BE9"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3,474.17</w:t>
            </w:r>
          </w:p>
        </w:tc>
        <w:tc>
          <w:tcPr>
            <w:tcW w:w="1489" w:type="dxa"/>
            <w:shd w:val="clear" w:color="auto" w:fill="auto"/>
            <w:tcMar>
              <w:top w:w="0" w:type="dxa"/>
              <w:left w:w="108" w:type="dxa"/>
              <w:bottom w:w="0" w:type="dxa"/>
              <w:right w:w="108" w:type="dxa"/>
            </w:tcMar>
            <w:vAlign w:val="center"/>
          </w:tcPr>
          <w:p w14:paraId="6483C2FC"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3.29%</w:t>
            </w:r>
          </w:p>
        </w:tc>
      </w:tr>
      <w:tr w:rsidR="006416B0" w:rsidRPr="00B4515A" w14:paraId="5BFDBE14" w14:textId="77777777" w:rsidTr="00031627">
        <w:trPr>
          <w:trHeight w:val="340"/>
          <w:jc w:val="center"/>
        </w:trPr>
        <w:tc>
          <w:tcPr>
            <w:tcW w:w="2136" w:type="dxa"/>
            <w:shd w:val="clear" w:color="auto" w:fill="auto"/>
            <w:tcMar>
              <w:top w:w="0" w:type="dxa"/>
              <w:left w:w="108" w:type="dxa"/>
              <w:bottom w:w="0" w:type="dxa"/>
              <w:right w:w="108" w:type="dxa"/>
            </w:tcMar>
            <w:vAlign w:val="center"/>
          </w:tcPr>
          <w:p w14:paraId="74EF03C8"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证监会计算机通信和电子设备</w:t>
            </w:r>
          </w:p>
        </w:tc>
        <w:tc>
          <w:tcPr>
            <w:tcW w:w="2206" w:type="dxa"/>
            <w:shd w:val="clear" w:color="auto" w:fill="auto"/>
            <w:tcMar>
              <w:top w:w="0" w:type="dxa"/>
              <w:left w:w="108" w:type="dxa"/>
              <w:bottom w:w="0" w:type="dxa"/>
              <w:right w:w="108" w:type="dxa"/>
            </w:tcMar>
            <w:vAlign w:val="center"/>
          </w:tcPr>
          <w:p w14:paraId="1071077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3,369.79</w:t>
            </w:r>
          </w:p>
        </w:tc>
        <w:tc>
          <w:tcPr>
            <w:tcW w:w="2480" w:type="dxa"/>
            <w:shd w:val="clear" w:color="auto" w:fill="auto"/>
            <w:tcMar>
              <w:top w:w="0" w:type="dxa"/>
              <w:left w:w="108" w:type="dxa"/>
              <w:bottom w:w="0" w:type="dxa"/>
              <w:right w:w="108" w:type="dxa"/>
            </w:tcMar>
            <w:vAlign w:val="center"/>
          </w:tcPr>
          <w:p w14:paraId="5B384B2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3,632.24</w:t>
            </w:r>
          </w:p>
        </w:tc>
        <w:tc>
          <w:tcPr>
            <w:tcW w:w="1489" w:type="dxa"/>
            <w:shd w:val="clear" w:color="auto" w:fill="auto"/>
            <w:tcMar>
              <w:top w:w="0" w:type="dxa"/>
              <w:left w:w="108" w:type="dxa"/>
              <w:bottom w:w="0" w:type="dxa"/>
              <w:right w:w="108" w:type="dxa"/>
            </w:tcMar>
            <w:vAlign w:val="center"/>
          </w:tcPr>
          <w:p w14:paraId="19A7F8BA"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7.79%</w:t>
            </w:r>
          </w:p>
        </w:tc>
      </w:tr>
      <w:tr w:rsidR="006416B0" w:rsidRPr="00B4515A" w14:paraId="746E8159" w14:textId="77777777" w:rsidTr="00031627">
        <w:trPr>
          <w:trHeight w:val="340"/>
          <w:jc w:val="center"/>
        </w:trPr>
        <w:tc>
          <w:tcPr>
            <w:tcW w:w="2136" w:type="dxa"/>
            <w:shd w:val="clear" w:color="auto" w:fill="auto"/>
            <w:tcMar>
              <w:top w:w="0" w:type="dxa"/>
              <w:left w:w="108" w:type="dxa"/>
              <w:bottom w:w="0" w:type="dxa"/>
              <w:right w:w="108" w:type="dxa"/>
            </w:tcMar>
            <w:vAlign w:val="center"/>
          </w:tcPr>
          <w:p w14:paraId="3071DC2F"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剔除大盘因素影响</w:t>
            </w:r>
          </w:p>
        </w:tc>
        <w:tc>
          <w:tcPr>
            <w:tcW w:w="2206" w:type="dxa"/>
            <w:shd w:val="clear" w:color="auto" w:fill="auto"/>
            <w:tcMar>
              <w:top w:w="0" w:type="dxa"/>
              <w:left w:w="108" w:type="dxa"/>
              <w:bottom w:w="0" w:type="dxa"/>
              <w:right w:w="108" w:type="dxa"/>
            </w:tcMar>
            <w:vAlign w:val="center"/>
          </w:tcPr>
          <w:p w14:paraId="1B18C58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w:t>
            </w:r>
          </w:p>
        </w:tc>
        <w:tc>
          <w:tcPr>
            <w:tcW w:w="2480" w:type="dxa"/>
            <w:shd w:val="clear" w:color="auto" w:fill="auto"/>
            <w:tcMar>
              <w:top w:w="0" w:type="dxa"/>
              <w:left w:w="108" w:type="dxa"/>
              <w:bottom w:w="0" w:type="dxa"/>
              <w:right w:w="108" w:type="dxa"/>
            </w:tcMar>
            <w:vAlign w:val="center"/>
          </w:tcPr>
          <w:p w14:paraId="205E8657"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w:t>
            </w:r>
          </w:p>
        </w:tc>
        <w:tc>
          <w:tcPr>
            <w:tcW w:w="1489" w:type="dxa"/>
            <w:shd w:val="clear" w:color="auto" w:fill="auto"/>
            <w:tcMar>
              <w:top w:w="0" w:type="dxa"/>
              <w:left w:w="108" w:type="dxa"/>
              <w:bottom w:w="0" w:type="dxa"/>
              <w:right w:w="108" w:type="dxa"/>
            </w:tcMar>
            <w:vAlign w:val="center"/>
          </w:tcPr>
          <w:p w14:paraId="65547738"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-12.78%</w:t>
            </w:r>
          </w:p>
        </w:tc>
      </w:tr>
      <w:tr w:rsidR="006416B0" w:rsidRPr="00B4515A" w14:paraId="6C697685" w14:textId="77777777" w:rsidTr="00031627">
        <w:trPr>
          <w:trHeight w:val="340"/>
          <w:jc w:val="center"/>
        </w:trPr>
        <w:tc>
          <w:tcPr>
            <w:tcW w:w="2136" w:type="dxa"/>
            <w:shd w:val="clear" w:color="auto" w:fill="auto"/>
            <w:tcMar>
              <w:top w:w="0" w:type="dxa"/>
              <w:left w:w="108" w:type="dxa"/>
              <w:bottom w:w="0" w:type="dxa"/>
              <w:right w:w="108" w:type="dxa"/>
            </w:tcMar>
            <w:vAlign w:val="center"/>
          </w:tcPr>
          <w:p w14:paraId="4E6523A6" w14:textId="77777777" w:rsidR="006416B0" w:rsidRPr="00B4515A" w:rsidRDefault="005E58C1" w:rsidP="005860B4">
            <w:pPr>
              <w:adjustRightInd w:val="0"/>
              <w:snapToGrid w:val="0"/>
              <w:rPr>
                <w:rFonts w:ascii="Times New Roman" w:hAnsi="Times New Roman" w:cs="Times New Roman"/>
                <w:sz w:val="21"/>
                <w:szCs w:val="21"/>
              </w:rPr>
            </w:pPr>
            <w:r w:rsidRPr="00B4515A">
              <w:rPr>
                <w:rFonts w:ascii="Times New Roman" w:hAnsi="Times New Roman" w:cs="Times New Roman"/>
                <w:sz w:val="21"/>
                <w:szCs w:val="21"/>
              </w:rPr>
              <w:t>剔除同行业板块因素影响</w:t>
            </w:r>
          </w:p>
        </w:tc>
        <w:tc>
          <w:tcPr>
            <w:tcW w:w="2206" w:type="dxa"/>
            <w:shd w:val="clear" w:color="auto" w:fill="auto"/>
            <w:tcMar>
              <w:top w:w="0" w:type="dxa"/>
              <w:left w:w="108" w:type="dxa"/>
              <w:bottom w:w="0" w:type="dxa"/>
              <w:right w:w="108" w:type="dxa"/>
            </w:tcMar>
            <w:vAlign w:val="center"/>
          </w:tcPr>
          <w:p w14:paraId="19157BF0"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w:t>
            </w:r>
          </w:p>
        </w:tc>
        <w:tc>
          <w:tcPr>
            <w:tcW w:w="2480" w:type="dxa"/>
            <w:shd w:val="clear" w:color="auto" w:fill="auto"/>
            <w:tcMar>
              <w:top w:w="0" w:type="dxa"/>
              <w:left w:w="108" w:type="dxa"/>
              <w:bottom w:w="0" w:type="dxa"/>
              <w:right w:w="108" w:type="dxa"/>
            </w:tcMar>
            <w:vAlign w:val="center"/>
          </w:tcPr>
          <w:p w14:paraId="6840577D"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w:t>
            </w:r>
          </w:p>
        </w:tc>
        <w:tc>
          <w:tcPr>
            <w:tcW w:w="1489" w:type="dxa"/>
            <w:shd w:val="clear" w:color="auto" w:fill="auto"/>
            <w:tcMar>
              <w:top w:w="0" w:type="dxa"/>
              <w:left w:w="108" w:type="dxa"/>
              <w:bottom w:w="0" w:type="dxa"/>
              <w:right w:w="108" w:type="dxa"/>
            </w:tcMar>
            <w:vAlign w:val="center"/>
          </w:tcPr>
          <w:p w14:paraId="0769442F" w14:textId="77777777" w:rsidR="006416B0" w:rsidRPr="00B4515A" w:rsidRDefault="005E58C1" w:rsidP="005860B4">
            <w:pPr>
              <w:adjustRightInd w:val="0"/>
              <w:snapToGrid w:val="0"/>
              <w:jc w:val="right"/>
              <w:rPr>
                <w:rFonts w:ascii="Times New Roman" w:hAnsi="Times New Roman" w:cs="Times New Roman"/>
                <w:sz w:val="21"/>
                <w:szCs w:val="21"/>
              </w:rPr>
            </w:pPr>
            <w:r w:rsidRPr="00B4515A">
              <w:rPr>
                <w:rFonts w:ascii="Times New Roman" w:hAnsi="Times New Roman" w:cs="Times New Roman"/>
                <w:sz w:val="21"/>
                <w:szCs w:val="21"/>
              </w:rPr>
              <w:t>-17.28%</w:t>
            </w:r>
          </w:p>
        </w:tc>
      </w:tr>
    </w:tbl>
    <w:p w14:paraId="24F4B60B" w14:textId="77777777" w:rsidR="006416B0" w:rsidRPr="00B4515A" w:rsidRDefault="005E58C1" w:rsidP="006100BC">
      <w:pPr>
        <w:pStyle w:val="005"/>
        <w:spacing w:before="120" w:after="120"/>
        <w:ind w:firstLine="480"/>
      </w:pPr>
      <w:r w:rsidRPr="00B4515A">
        <w:rPr>
          <w:rFonts w:hint="eastAsia"/>
        </w:rPr>
        <w:t>按照《关于规范上市公司信息披露及相关各方行为的通知》（证监公司字［</w:t>
      </w:r>
      <w:r w:rsidRPr="00B4515A">
        <w:t>2007</w:t>
      </w:r>
      <w:r w:rsidRPr="00B4515A">
        <w:rPr>
          <w:rFonts w:hint="eastAsia"/>
        </w:rPr>
        <w:t>］</w:t>
      </w:r>
      <w:r w:rsidRPr="00B4515A">
        <w:t>128</w:t>
      </w:r>
      <w:r w:rsidRPr="00B4515A">
        <w:rPr>
          <w:rFonts w:hint="eastAsia"/>
        </w:rPr>
        <w:t>号）第五条的相关规定，剔除大盘因素和同行业板块因素影响，即剔除上证综合指数（代码：</w:t>
      </w:r>
      <w:r w:rsidRPr="00B4515A">
        <w:t>000001.SH</w:t>
      </w:r>
      <w:r w:rsidRPr="00B4515A">
        <w:rPr>
          <w:rFonts w:hint="eastAsia"/>
        </w:rPr>
        <w:t>）和证监会计算机通信和电子设备（代码：</w:t>
      </w:r>
      <w:r w:rsidRPr="00B4515A">
        <w:t>883136.WI</w:t>
      </w:r>
      <w:r w:rsidRPr="00B4515A">
        <w:rPr>
          <w:rFonts w:hint="eastAsia"/>
        </w:rPr>
        <w:t>）因素影响后，本公司股价在本次停牌前</w:t>
      </w:r>
      <w:r w:rsidRPr="00B4515A">
        <w:t>20</w:t>
      </w:r>
      <w:r w:rsidRPr="00B4515A">
        <w:rPr>
          <w:rFonts w:hint="eastAsia"/>
        </w:rPr>
        <w:t>个交易日内累计涨跌幅均未超过</w:t>
      </w:r>
      <w:r w:rsidRPr="00B4515A">
        <w:t>20%</w:t>
      </w:r>
      <w:r w:rsidRPr="00B4515A">
        <w:rPr>
          <w:rFonts w:hint="eastAsia"/>
        </w:rPr>
        <w:t>，未构成异常波动情况。</w:t>
      </w:r>
    </w:p>
    <w:p w14:paraId="5AF882DC" w14:textId="77777777" w:rsidR="006416B0" w:rsidRPr="00B4515A" w:rsidRDefault="005E58C1" w:rsidP="006100BC">
      <w:pPr>
        <w:pStyle w:val="002"/>
        <w:spacing w:before="120" w:after="120"/>
        <w:ind w:firstLine="562"/>
      </w:pPr>
      <w:bookmarkStart w:id="376" w:name="_Toc80960596"/>
      <w:r w:rsidRPr="00B4515A">
        <w:t>九、</w:t>
      </w:r>
      <w:r w:rsidRPr="00B4515A">
        <w:rPr>
          <w:rFonts w:hint="eastAsia"/>
        </w:rPr>
        <w:t>上市公司控股股东及其一致行动人对本次重组的原则性意见</w:t>
      </w:r>
      <w:bookmarkEnd w:id="376"/>
    </w:p>
    <w:p w14:paraId="0AC11AFA" w14:textId="77777777" w:rsidR="006416B0" w:rsidRPr="00B4515A" w:rsidRDefault="005E58C1" w:rsidP="006100BC">
      <w:pPr>
        <w:pStyle w:val="005"/>
        <w:spacing w:before="120" w:after="120"/>
        <w:ind w:firstLine="480"/>
      </w:pPr>
      <w:r w:rsidRPr="00B4515A">
        <w:rPr>
          <w:rFonts w:hint="eastAsia"/>
        </w:rPr>
        <w:t>针对本次交易，电信科研院及一致行动人大唐控股已出具《关于大唐电信科技股份有限公司发行股份购买资产并募集配套资金暨关联交易的原则性意见》，原则同意上市公司本次重组。</w:t>
      </w:r>
    </w:p>
    <w:p w14:paraId="2D348F43" w14:textId="77777777" w:rsidR="006416B0" w:rsidRPr="00B4515A" w:rsidRDefault="005E58C1" w:rsidP="006100BC">
      <w:pPr>
        <w:pStyle w:val="002"/>
        <w:spacing w:before="120" w:after="120"/>
        <w:ind w:firstLine="562"/>
      </w:pPr>
      <w:bookmarkStart w:id="377" w:name="_Toc80960597"/>
      <w:r w:rsidRPr="00B4515A">
        <w:t>十、</w:t>
      </w:r>
      <w:r w:rsidRPr="00B4515A">
        <w:rPr>
          <w:rFonts w:hint="eastAsia"/>
        </w:rPr>
        <w:t>上市公司的董事、监事、高级管理人员、控股股东及其一致行动人自本次重组复牌之日起至实施完毕期间的股份减持计划</w:t>
      </w:r>
      <w:bookmarkEnd w:id="377"/>
    </w:p>
    <w:p w14:paraId="5468B7C8" w14:textId="77777777" w:rsidR="006416B0" w:rsidRPr="00B4515A" w:rsidRDefault="005E58C1" w:rsidP="006100BC">
      <w:pPr>
        <w:pStyle w:val="005"/>
        <w:spacing w:before="120" w:after="120"/>
        <w:ind w:firstLine="480"/>
      </w:pPr>
      <w:r w:rsidRPr="00B4515A">
        <w:rPr>
          <w:rFonts w:hint="eastAsia"/>
        </w:rPr>
        <w:t>根据控股股东电信科研院及其一致行动人大唐控股出具的承诺函，控股股东及其一致行动人自本次重组复牌之日起至实施完毕期间不存在减持公司股份的计划。</w:t>
      </w:r>
    </w:p>
    <w:p w14:paraId="505F6792" w14:textId="77777777" w:rsidR="006416B0" w:rsidRPr="00B4515A" w:rsidRDefault="005E58C1" w:rsidP="006100BC">
      <w:pPr>
        <w:pStyle w:val="005"/>
        <w:spacing w:before="120" w:after="120"/>
        <w:ind w:firstLine="480"/>
      </w:pPr>
      <w:r w:rsidRPr="00B4515A">
        <w:rPr>
          <w:rFonts w:hint="eastAsia"/>
        </w:rPr>
        <w:t>根据上市公司董事、监事、高级管理人员出具的承诺函，上市公司董事、监事、高级管理人员自本次重组复牌之日起至实施完毕期间不存在减持公司股份的计划。</w:t>
      </w:r>
    </w:p>
    <w:p w14:paraId="771525CD" w14:textId="77777777" w:rsidR="006416B0" w:rsidRPr="00B4515A" w:rsidRDefault="005E58C1" w:rsidP="006100BC">
      <w:pPr>
        <w:pStyle w:val="002"/>
        <w:spacing w:before="120" w:after="120"/>
        <w:ind w:firstLine="562"/>
      </w:pPr>
      <w:bookmarkStart w:id="378" w:name="_Toc80960598"/>
      <w:r w:rsidRPr="00B4515A">
        <w:lastRenderedPageBreak/>
        <w:t>十一、关于本次重组相关主体是否存在依据《关于加强与上市公司重大资产重组相关股票异常交易监管的暂行规定》第十三条不得参与上市公司重大资产重组情形的说明</w:t>
      </w:r>
      <w:bookmarkEnd w:id="378"/>
    </w:p>
    <w:p w14:paraId="01581A8B" w14:textId="77777777" w:rsidR="006416B0" w:rsidRPr="00B4515A" w:rsidRDefault="005E58C1" w:rsidP="006100BC">
      <w:pPr>
        <w:pStyle w:val="005"/>
        <w:spacing w:before="120" w:after="120"/>
        <w:ind w:firstLine="480"/>
      </w:pPr>
      <w:r w:rsidRPr="00B4515A">
        <w:rPr>
          <w:rFonts w:hint="eastAsia"/>
        </w:rPr>
        <w:t>经核查，上市公司的董事、监事、高级管理人员，上市公司控股股东的董事、监事、高级管理人员，交易对方的董事、监事、高级管理人员，参与本次资产重组的其他主体，不存在因涉嫌本次交易相关的内幕交易被立案调查或者立案侦查的情况，最近</w:t>
      </w:r>
      <w:r w:rsidRPr="00B4515A">
        <w:t>36</w:t>
      </w:r>
      <w:r w:rsidRPr="00B4515A">
        <w:rPr>
          <w:rFonts w:hint="eastAsia"/>
        </w:rPr>
        <w:t>个月内不存在因与重大资产重组相关的内幕交易被中国证监会作出行政处罚或者司法机关依法追究刑事责任的情形。</w:t>
      </w:r>
    </w:p>
    <w:p w14:paraId="2BFEFDB8" w14:textId="77777777" w:rsidR="006416B0" w:rsidRPr="00B4515A" w:rsidRDefault="005E58C1" w:rsidP="006100BC">
      <w:pPr>
        <w:pStyle w:val="005"/>
        <w:spacing w:before="120" w:after="120"/>
        <w:ind w:firstLine="480"/>
      </w:pPr>
      <w:r w:rsidRPr="00B4515A">
        <w:rPr>
          <w:rFonts w:hint="eastAsia"/>
        </w:rPr>
        <w:t>综上，本次交易的相关主体不存在《关于加强与上市公司重大资产重组相关股票异常交易监管的暂行规定》第十三条规定的不得参与上市公司重大资产重组的情形。</w:t>
      </w:r>
    </w:p>
    <w:p w14:paraId="705850A9" w14:textId="2B5B5D6B" w:rsidR="006416B0" w:rsidRPr="00B4515A" w:rsidRDefault="006416B0">
      <w:pPr>
        <w:rPr>
          <w:rFonts w:ascii="Times New Roman" w:hAnsi="Times New Roman" w:cs="Times New Roman"/>
        </w:rPr>
      </w:pPr>
    </w:p>
    <w:p w14:paraId="071B606B" w14:textId="77777777" w:rsidR="006416B0" w:rsidRPr="00B4515A" w:rsidRDefault="005E58C1" w:rsidP="002B0582">
      <w:pPr>
        <w:pStyle w:val="001"/>
        <w:spacing w:before="360" w:after="360"/>
      </w:pPr>
      <w:bookmarkStart w:id="379" w:name="_Toc65492123"/>
      <w:bookmarkStart w:id="380" w:name="_Toc80960599"/>
      <w:bookmarkEnd w:id="372"/>
      <w:r w:rsidRPr="00B4515A">
        <w:lastRenderedPageBreak/>
        <w:t>第</w:t>
      </w:r>
      <w:r w:rsidRPr="00B4515A">
        <w:rPr>
          <w:rFonts w:hint="eastAsia"/>
        </w:rPr>
        <w:t>十四</w:t>
      </w:r>
      <w:r w:rsidRPr="00B4515A">
        <w:t>节</w:t>
      </w:r>
      <w:bookmarkStart w:id="381" w:name="_Hlk530005444"/>
      <w:r w:rsidRPr="00B4515A">
        <w:t xml:space="preserve"> </w:t>
      </w:r>
      <w:r w:rsidRPr="00B4515A">
        <w:t>独立董事</w:t>
      </w:r>
      <w:bookmarkEnd w:id="381"/>
      <w:r w:rsidRPr="00B4515A">
        <w:rPr>
          <w:rFonts w:hint="eastAsia"/>
        </w:rPr>
        <w:t>及相关中介</w:t>
      </w:r>
      <w:r w:rsidRPr="00B4515A">
        <w:t>意见</w:t>
      </w:r>
      <w:bookmarkEnd w:id="379"/>
      <w:bookmarkEnd w:id="380"/>
    </w:p>
    <w:p w14:paraId="404E8BDD" w14:textId="77777777" w:rsidR="006416B0" w:rsidRPr="00B4515A" w:rsidRDefault="005E58C1" w:rsidP="006100BC">
      <w:pPr>
        <w:pStyle w:val="002"/>
        <w:spacing w:before="120" w:after="120"/>
        <w:ind w:firstLine="562"/>
      </w:pPr>
      <w:bookmarkStart w:id="382" w:name="_Toc80960600"/>
      <w:r w:rsidRPr="00B4515A">
        <w:t>一、上市公司独立董事意见</w:t>
      </w:r>
      <w:bookmarkEnd w:id="382"/>
    </w:p>
    <w:p w14:paraId="20587075" w14:textId="76B9816E" w:rsidR="006416B0" w:rsidRPr="00B4515A" w:rsidRDefault="005E58C1" w:rsidP="006100BC">
      <w:pPr>
        <w:pStyle w:val="005"/>
        <w:spacing w:before="120" w:after="120"/>
        <w:ind w:firstLine="480"/>
      </w:pPr>
      <w:r w:rsidRPr="00B4515A">
        <w:t>根据《关于在上市公司建立独立董事制度的指导意见》《上市公司治理准则》《中华人民共和国公司法》和《公司章程》有关规定，作为大唐电信科技股份有限公司</w:t>
      </w:r>
      <w:r w:rsidRPr="00B4515A">
        <w:rPr>
          <w:rFonts w:hint="eastAsia"/>
        </w:rPr>
        <w:t>（</w:t>
      </w:r>
      <w:r w:rsidRPr="00B4515A">
        <w:t>以下简称</w:t>
      </w:r>
      <w:r w:rsidRPr="00B4515A">
        <w:rPr>
          <w:rFonts w:ascii="宋体" w:hAnsi="宋体" w:hint="eastAsia"/>
        </w:rPr>
        <w:t>“</w:t>
      </w:r>
      <w:r w:rsidRPr="00B4515A">
        <w:t>公司</w:t>
      </w:r>
      <w:r w:rsidRPr="00B4515A">
        <w:rPr>
          <w:rFonts w:ascii="宋体" w:hAnsi="宋体" w:hint="eastAsia"/>
        </w:rPr>
        <w:t>”</w:t>
      </w:r>
      <w:r w:rsidRPr="00B4515A">
        <w:t>或</w:t>
      </w:r>
      <w:r w:rsidRPr="00B4515A">
        <w:rPr>
          <w:rFonts w:ascii="宋体" w:hAnsi="宋体" w:hint="eastAsia"/>
        </w:rPr>
        <w:t>“</w:t>
      </w:r>
      <w:r w:rsidRPr="00B4515A">
        <w:t>上市公司</w:t>
      </w:r>
      <w:r w:rsidRPr="00B4515A">
        <w:rPr>
          <w:rFonts w:ascii="宋体" w:hAnsi="宋体" w:hint="eastAsia"/>
        </w:rPr>
        <w:t>”</w:t>
      </w:r>
      <w:r w:rsidRPr="00B4515A">
        <w:rPr>
          <w:rFonts w:hint="eastAsia"/>
        </w:rPr>
        <w:t>）</w:t>
      </w:r>
      <w:r w:rsidRPr="00B4515A">
        <w:t>的独立董事，我们本着勤勉尽责的态度认真阅读了公司提供的第</w:t>
      </w:r>
      <w:r w:rsidRPr="00B4515A">
        <w:rPr>
          <w:rFonts w:hint="eastAsia"/>
        </w:rPr>
        <w:t>八</w:t>
      </w:r>
      <w:r w:rsidRPr="00B4515A">
        <w:t>届董事会</w:t>
      </w:r>
      <w:r w:rsidRPr="00B4515A">
        <w:rPr>
          <w:rFonts w:hint="eastAsia"/>
        </w:rPr>
        <w:t>第</w:t>
      </w:r>
      <w:r w:rsidR="00AA1F94" w:rsidRPr="00B4515A">
        <w:rPr>
          <w:rFonts w:hint="eastAsia"/>
        </w:rPr>
        <w:t>五</w:t>
      </w:r>
      <w:r w:rsidRPr="00B4515A">
        <w:rPr>
          <w:rFonts w:hint="eastAsia"/>
        </w:rPr>
        <w:t>次会</w:t>
      </w:r>
      <w:r w:rsidRPr="00B4515A">
        <w:t>议相关资料，基于个人独立判断，对公司发行股份购买资产并募集配套资金暨关联交易发表独立意见如下</w:t>
      </w:r>
      <w:r w:rsidRPr="00B4515A">
        <w:rPr>
          <w:rFonts w:hint="eastAsia"/>
        </w:rPr>
        <w:t>：</w:t>
      </w:r>
    </w:p>
    <w:p w14:paraId="7BDF03CE" w14:textId="77777777" w:rsidR="006416B0" w:rsidRPr="00B4515A" w:rsidRDefault="005E58C1" w:rsidP="006100BC">
      <w:pPr>
        <w:pStyle w:val="005"/>
        <w:spacing w:before="120" w:after="120"/>
        <w:ind w:firstLine="480"/>
      </w:pPr>
      <w:r w:rsidRPr="00B4515A">
        <w:t>一、</w:t>
      </w:r>
      <w:r w:rsidRPr="00B4515A">
        <w:rPr>
          <w:rFonts w:hint="eastAsia"/>
        </w:rPr>
        <w:t>公司已提前向我们提供本次会议相关议案并已征得我们的事前认可。</w:t>
      </w:r>
    </w:p>
    <w:p w14:paraId="35A1E4BB" w14:textId="77777777" w:rsidR="006416B0" w:rsidRPr="00B4515A" w:rsidRDefault="005E58C1" w:rsidP="006100BC">
      <w:pPr>
        <w:pStyle w:val="005"/>
        <w:spacing w:before="120" w:after="120"/>
        <w:ind w:firstLine="480"/>
      </w:pPr>
      <w:r w:rsidRPr="00B4515A">
        <w:t>二、根据《上市公司重大资产重组管理办法》的相关规定，本次交易构成重大资产重组，公司符合《中华人民共和国证券法》</w:t>
      </w:r>
      <w:r w:rsidRPr="00B4515A">
        <w:rPr>
          <w:rFonts w:hint="eastAsia"/>
        </w:rPr>
        <w:t>、</w:t>
      </w:r>
      <w:r w:rsidRPr="00B4515A">
        <w:t>《上市公司重大资产重组管理办法</w:t>
      </w:r>
      <w:r w:rsidRPr="00B4515A">
        <w:rPr>
          <w:rFonts w:hint="eastAsia"/>
        </w:rPr>
        <w:t>》、</w:t>
      </w:r>
      <w:r w:rsidRPr="00B4515A">
        <w:t>《关于规范上市公司重大资产重组若干问题的规定》等规定的上市公司重大资产重组的各项法定条件。</w:t>
      </w:r>
    </w:p>
    <w:p w14:paraId="1ED0AD2E" w14:textId="77777777" w:rsidR="006416B0" w:rsidRPr="00B4515A" w:rsidRDefault="005E58C1" w:rsidP="006100BC">
      <w:pPr>
        <w:pStyle w:val="005"/>
        <w:spacing w:before="120" w:after="120"/>
        <w:ind w:firstLine="480"/>
      </w:pPr>
      <w:r w:rsidRPr="00B4515A">
        <w:rPr>
          <w:rFonts w:hint="eastAsia"/>
        </w:rPr>
        <w:t>三</w:t>
      </w:r>
      <w:r w:rsidRPr="00B4515A">
        <w:t>、</w:t>
      </w:r>
      <w:r w:rsidRPr="00B4515A">
        <w:rPr>
          <w:rFonts w:hint="eastAsia"/>
        </w:rPr>
        <w:t>本次发行股份购买资产的交易对方中，电信科学技术研究院有限公司为公司控股股东，大唐电信科技产业控股有限公司为公司控股股东的一致行动人，湖北长江中信科移动通信技术产业投资基金合伙企业（有限合伙）为公司控股股东电信科学技术研究院有限公司的控股股东中国信息通信科技集团有限公司施加重大影响的企业，募集配套资金的发行对象中国信息通信科技集团有限公司持有公司控股股东电信科学技术研究院有限公司</w:t>
      </w:r>
      <w:r w:rsidRPr="00B4515A">
        <w:t>100%</w:t>
      </w:r>
      <w:r w:rsidRPr="00B4515A">
        <w:rPr>
          <w:rFonts w:hint="eastAsia"/>
        </w:rPr>
        <w:t>股权，为公司关联方，本次交易构成关联交易。公司董事会的召集、召开、表决程序及方式符合《中华人民共和国公司法》等相关法律、法规、规范性文件和《公司章程》的规定，表决结果合法、有效。</w:t>
      </w:r>
    </w:p>
    <w:p w14:paraId="46908FFB" w14:textId="77777777" w:rsidR="006416B0" w:rsidRPr="00B4515A" w:rsidRDefault="005E58C1" w:rsidP="006100BC">
      <w:pPr>
        <w:pStyle w:val="005"/>
        <w:spacing w:before="120" w:after="120"/>
        <w:ind w:firstLine="480"/>
      </w:pPr>
      <w:r w:rsidRPr="00B4515A">
        <w:rPr>
          <w:rFonts w:hint="eastAsia"/>
        </w:rPr>
        <w:t>四</w:t>
      </w:r>
      <w:r w:rsidRPr="00B4515A">
        <w:t>、本次交易方案以及公司为本次交易编制的《大唐电信科技股份有限公司发行股份购买资产并募集配套资金暨关联交易报告书（草案）》及其摘要、交易各方</w:t>
      </w:r>
      <w:r w:rsidRPr="00B4515A">
        <w:rPr>
          <w:rFonts w:hint="eastAsia"/>
        </w:rPr>
        <w:t>为本次交易</w:t>
      </w:r>
      <w:r w:rsidRPr="00B4515A">
        <w:t>签署的附条件生效</w:t>
      </w:r>
      <w:r w:rsidRPr="00B4515A">
        <w:rPr>
          <w:rFonts w:hint="eastAsia"/>
        </w:rPr>
        <w:t>的协议</w:t>
      </w:r>
      <w:r w:rsidRPr="00B4515A">
        <w:t>符合相关法律法规规定，具有可行性，不存在损害公司及公司股东利益的情形。</w:t>
      </w:r>
    </w:p>
    <w:p w14:paraId="32F07AF5" w14:textId="77777777" w:rsidR="006416B0" w:rsidRPr="00B4515A" w:rsidRDefault="005E58C1" w:rsidP="006100BC">
      <w:pPr>
        <w:pStyle w:val="005"/>
        <w:spacing w:before="120" w:after="120"/>
        <w:ind w:firstLine="480"/>
      </w:pPr>
      <w:r w:rsidRPr="00B4515A">
        <w:rPr>
          <w:rFonts w:hint="eastAsia"/>
        </w:rPr>
        <w:t>五</w:t>
      </w:r>
      <w:r w:rsidRPr="00B4515A">
        <w:t>、公司本次交易标的资产</w:t>
      </w:r>
      <w:r w:rsidRPr="00B4515A">
        <w:rPr>
          <w:rFonts w:hint="eastAsia"/>
        </w:rPr>
        <w:t>的交易作</w:t>
      </w:r>
      <w:r w:rsidRPr="00B4515A">
        <w:t>价以具有相关业务资格的评估机构对截</w:t>
      </w:r>
      <w:r w:rsidRPr="00B4515A">
        <w:lastRenderedPageBreak/>
        <w:t>至评估基准日</w:t>
      </w:r>
      <w:r w:rsidRPr="00B4515A">
        <w:rPr>
          <w:rFonts w:hint="eastAsia"/>
        </w:rPr>
        <w:t>的</w:t>
      </w:r>
      <w:r w:rsidRPr="00B4515A">
        <w:t>标的资产进行评估的评估值为基础形成，本次交易的定价原则和方法恰当、合理，定价公允，不存在损害公司及全体股东利益的情形。</w:t>
      </w:r>
    </w:p>
    <w:p w14:paraId="4EA9DCA0" w14:textId="77777777" w:rsidR="006416B0" w:rsidRPr="00B4515A" w:rsidRDefault="005E58C1" w:rsidP="006100BC">
      <w:pPr>
        <w:pStyle w:val="005"/>
        <w:spacing w:before="120" w:after="120"/>
        <w:ind w:firstLine="480"/>
      </w:pPr>
      <w:r w:rsidRPr="00B4515A">
        <w:rPr>
          <w:rFonts w:hint="eastAsia"/>
        </w:rPr>
        <w:t>六</w:t>
      </w:r>
      <w:r w:rsidRPr="00B4515A">
        <w:t>、承担本次交易审计与评估工作的中介机构具有相关业务资格</w:t>
      </w:r>
      <w:r w:rsidRPr="00B4515A">
        <w:rPr>
          <w:rFonts w:hint="eastAsia"/>
        </w:rPr>
        <w:t>；</w:t>
      </w:r>
      <w:r w:rsidRPr="00B4515A">
        <w:t>本次重大资产</w:t>
      </w:r>
      <w:r w:rsidRPr="00B4515A">
        <w:rPr>
          <w:rFonts w:hint="eastAsia"/>
        </w:rPr>
        <w:t>的</w:t>
      </w:r>
      <w:r w:rsidRPr="00B4515A">
        <w:t>审计与评估机构及其经办人员与本次交易各方及公司均没有现实的及预期的利益或冲突，具有充分的独立性，由其出具报告符合客观、公正、独立的原则和要求。</w:t>
      </w:r>
    </w:p>
    <w:p w14:paraId="6581B4DF" w14:textId="77777777" w:rsidR="006416B0" w:rsidRPr="00B4515A" w:rsidRDefault="005E58C1" w:rsidP="006100BC">
      <w:pPr>
        <w:pStyle w:val="005"/>
        <w:spacing w:before="120" w:after="120"/>
        <w:ind w:firstLine="480"/>
      </w:pPr>
      <w:r w:rsidRPr="00B4515A">
        <w:rPr>
          <w:rFonts w:hint="eastAsia"/>
        </w:rPr>
        <w:t>七</w:t>
      </w:r>
      <w:r w:rsidRPr="00B4515A">
        <w:t>、本次重组有利于改善公司财务状况，增强持续经营能力，有利于公司突出主业、增强抗风险能力，并且不会影响公司的独立性，不会形成新的同业竞争，符合公司和全体股东的利益。</w:t>
      </w:r>
    </w:p>
    <w:p w14:paraId="3C04CB8B" w14:textId="770AB439" w:rsidR="006416B0" w:rsidRPr="00B4515A" w:rsidRDefault="005E58C1" w:rsidP="006100BC">
      <w:pPr>
        <w:pStyle w:val="005"/>
        <w:spacing w:before="120" w:after="120"/>
        <w:ind w:firstLine="480"/>
      </w:pPr>
      <w:r w:rsidRPr="00B4515A">
        <w:rPr>
          <w:rFonts w:hint="eastAsia"/>
        </w:rPr>
        <w:t>八、本次交易尚需多项条件满足后方可完成，包括但不限于公司股东大会审议通过本次交易方案等议案以及有关国有资产监督管理部门、中国证监会批准本次交易相关事宜。</w:t>
      </w:r>
    </w:p>
    <w:p w14:paraId="1F0168FE" w14:textId="77777777" w:rsidR="006416B0" w:rsidRPr="00B4515A" w:rsidRDefault="005E58C1" w:rsidP="006100BC">
      <w:pPr>
        <w:pStyle w:val="005"/>
        <w:spacing w:before="120" w:after="120"/>
        <w:ind w:firstLine="480"/>
      </w:pPr>
      <w:r w:rsidRPr="00B4515A">
        <w:t>综上所述，本次重组目前已履行各项程序符合法律法规规定，本次重组有利于上市公司业务的发展及业绩的提升，保护了上市公司独立性，不会损害其他非关联股东特别是中小股东的利益。</w:t>
      </w:r>
    </w:p>
    <w:p w14:paraId="1425956B" w14:textId="77777777" w:rsidR="006416B0" w:rsidRPr="00B4515A" w:rsidRDefault="005E58C1" w:rsidP="006100BC">
      <w:pPr>
        <w:pStyle w:val="002"/>
        <w:spacing w:before="120" w:after="120"/>
        <w:ind w:firstLine="562"/>
      </w:pPr>
      <w:bookmarkStart w:id="383" w:name="_Toc80960601"/>
      <w:r w:rsidRPr="00B4515A">
        <w:t>二、独立财务顾问意见</w:t>
      </w:r>
      <w:bookmarkEnd w:id="383"/>
    </w:p>
    <w:p w14:paraId="00E1E5BE" w14:textId="77777777" w:rsidR="006416B0" w:rsidRPr="00B4515A" w:rsidRDefault="005E58C1" w:rsidP="006100BC">
      <w:pPr>
        <w:pStyle w:val="005"/>
        <w:spacing w:before="120" w:after="120"/>
        <w:ind w:firstLine="480"/>
      </w:pPr>
      <w:r w:rsidRPr="00B4515A">
        <w:rPr>
          <w:rFonts w:hint="eastAsia"/>
        </w:rPr>
        <w:t>本公司聘请中银证券作为本次重组的独立财务顾问。中银证券作为大唐电信的独立财务顾问，按照《公司法》《证券法》《重组办法》《上市公司并购重组财务顾问业务管理办法》《上市公司重大资产重组财务顾问业务指引（试行）》《上市规则》等法律法规的规定和中国证监会的要求，通过尽职调查和对《大唐电信科技股份有限公司发行股份购买资产并募集配套资金暨关联交易报告书》等信息披露文件的审慎核查，并与大唐电信、大唐电信聘请的律师、审计机构、评估机构等经过充分沟通后，中银证券认为：</w:t>
      </w:r>
    </w:p>
    <w:p w14:paraId="75376284" w14:textId="77777777" w:rsidR="006416B0" w:rsidRPr="00B4515A" w:rsidRDefault="005E58C1" w:rsidP="006100BC">
      <w:pPr>
        <w:pStyle w:val="005"/>
        <w:spacing w:before="120" w:after="120"/>
        <w:ind w:firstLine="480"/>
      </w:pPr>
      <w:r w:rsidRPr="00B4515A">
        <w:t>1</w:t>
      </w:r>
      <w:r w:rsidRPr="00B4515A">
        <w:t>、本次交易符合《公司法》、《证券法》、《重组管理办法》、《若干问题的规定》、《上市规则》和《格式准则第</w:t>
      </w:r>
      <w:r w:rsidRPr="00B4515A">
        <w:t xml:space="preserve"> 26 </w:t>
      </w:r>
      <w:r w:rsidRPr="00B4515A">
        <w:t>号》等法律、法规及规范性文件的规定。相关信息披露文件的编制符合相关法律、法规和规范性文件的要求，未发现存在虚假记载、误导性陈述或者重大遗漏的情况</w:t>
      </w:r>
      <w:r w:rsidRPr="00B4515A">
        <w:rPr>
          <w:rFonts w:hint="eastAsia"/>
        </w:rPr>
        <w:t>；</w:t>
      </w:r>
    </w:p>
    <w:p w14:paraId="68CB6082" w14:textId="77777777" w:rsidR="006416B0" w:rsidRPr="00B4515A" w:rsidRDefault="005E58C1" w:rsidP="006100BC">
      <w:pPr>
        <w:pStyle w:val="005"/>
        <w:spacing w:before="120" w:after="120"/>
        <w:ind w:firstLine="480"/>
      </w:pPr>
      <w:r w:rsidRPr="00B4515A">
        <w:rPr>
          <w:rFonts w:hint="eastAsia"/>
        </w:rPr>
        <w:t>2</w:t>
      </w:r>
      <w:r w:rsidRPr="00B4515A">
        <w:rPr>
          <w:rFonts w:hint="eastAsia"/>
        </w:rPr>
        <w:t>、本次交易不构成《重组管理办法》第十三条规定的重组上市；</w:t>
      </w:r>
    </w:p>
    <w:p w14:paraId="5D4238A9" w14:textId="77777777" w:rsidR="006416B0" w:rsidRPr="00B4515A" w:rsidRDefault="005E58C1" w:rsidP="006100BC">
      <w:pPr>
        <w:pStyle w:val="005"/>
        <w:spacing w:before="120" w:after="120"/>
        <w:ind w:firstLine="480"/>
      </w:pPr>
      <w:r w:rsidRPr="00B4515A">
        <w:lastRenderedPageBreak/>
        <w:t>3</w:t>
      </w:r>
      <w:r w:rsidRPr="00B4515A">
        <w:t>、本次交易不存在《上市公司证券发行管理办法》第三十九条规定的</w:t>
      </w:r>
      <w:r w:rsidRPr="00B4515A">
        <w:rPr>
          <w:rFonts w:hint="eastAsia"/>
        </w:rPr>
        <w:t>不</w:t>
      </w:r>
      <w:r w:rsidRPr="00B4515A">
        <w:t>得非公开发行股票的情形</w:t>
      </w:r>
      <w:r w:rsidRPr="00B4515A">
        <w:rPr>
          <w:rFonts w:hint="eastAsia"/>
        </w:rPr>
        <w:t>；</w:t>
      </w:r>
    </w:p>
    <w:p w14:paraId="508498A4" w14:textId="77777777" w:rsidR="006416B0" w:rsidRPr="00B4515A" w:rsidRDefault="005E58C1" w:rsidP="006100BC">
      <w:pPr>
        <w:pStyle w:val="005"/>
        <w:spacing w:before="120" w:after="120"/>
        <w:ind w:firstLine="480"/>
      </w:pPr>
      <w:r w:rsidRPr="00B4515A">
        <w:rPr>
          <w:rFonts w:hint="eastAsia"/>
        </w:rPr>
        <w:t>4</w:t>
      </w:r>
      <w:r w:rsidRPr="00B4515A">
        <w:rPr>
          <w:rFonts w:hint="eastAsia"/>
        </w:rPr>
        <w:t>、</w:t>
      </w:r>
      <w:r w:rsidRPr="00B4515A">
        <w:t>本次发行股份购买资产的股票定价原则符合《</w:t>
      </w:r>
      <w:r w:rsidRPr="00B4515A">
        <w:rPr>
          <w:rFonts w:hint="eastAsia"/>
        </w:rPr>
        <w:t>上市公司证券发行管理办法</w:t>
      </w:r>
      <w:r w:rsidRPr="00B4515A">
        <w:t>》、《重组管理办法》等相关规定，股份发行定价合规，不存在损害股东利益，尤其是中小股东利益的情形</w:t>
      </w:r>
      <w:r w:rsidRPr="00B4515A">
        <w:rPr>
          <w:rFonts w:hint="eastAsia"/>
        </w:rPr>
        <w:t>；</w:t>
      </w:r>
    </w:p>
    <w:p w14:paraId="09E09EFA" w14:textId="77777777" w:rsidR="006416B0" w:rsidRPr="00B4515A" w:rsidRDefault="005E58C1" w:rsidP="006100BC">
      <w:pPr>
        <w:pStyle w:val="005"/>
        <w:spacing w:before="120" w:after="120"/>
        <w:ind w:firstLine="480"/>
      </w:pPr>
      <w:r w:rsidRPr="00B4515A">
        <w:rPr>
          <w:rFonts w:hint="eastAsia"/>
        </w:rPr>
        <w:t>5</w:t>
      </w:r>
      <w:r w:rsidRPr="00B4515A">
        <w:rPr>
          <w:rFonts w:hint="eastAsia"/>
        </w:rPr>
        <w:t>、</w:t>
      </w:r>
      <w:r w:rsidRPr="00B4515A">
        <w:rPr>
          <w:rFonts w:hint="eastAsia"/>
          <w:color w:val="000000"/>
        </w:rPr>
        <w:t>本次交易，</w:t>
      </w:r>
      <w:r w:rsidRPr="00B4515A">
        <w:rPr>
          <w:rFonts w:hint="eastAsia"/>
        </w:rPr>
        <w:t>资产评估机构</w:t>
      </w:r>
      <w:r w:rsidRPr="00B4515A">
        <w:rPr>
          <w:color w:val="000000"/>
        </w:rPr>
        <w:t>对拟购买资产进行评估所采用的评估方法适当，评估假设前提、重要评估参数取值合理，拟注入资产的预期收益估计谨慎、具有可实现性，能够科学、合理、客</w:t>
      </w:r>
      <w:r w:rsidRPr="00B4515A">
        <w:t>观地体现本次交易中拟购买资产的价值</w:t>
      </w:r>
      <w:r w:rsidRPr="00B4515A">
        <w:rPr>
          <w:rFonts w:hint="eastAsia"/>
        </w:rPr>
        <w:t>；</w:t>
      </w:r>
    </w:p>
    <w:p w14:paraId="093F96AB" w14:textId="77777777" w:rsidR="006416B0" w:rsidRPr="00B4515A" w:rsidRDefault="005E58C1" w:rsidP="006100BC">
      <w:pPr>
        <w:pStyle w:val="005"/>
        <w:spacing w:before="120" w:after="120"/>
        <w:ind w:firstLine="480"/>
      </w:pPr>
      <w:r w:rsidRPr="00B4515A">
        <w:rPr>
          <w:rFonts w:hint="eastAsia"/>
        </w:rPr>
        <w:t>6</w:t>
      </w:r>
      <w:r w:rsidRPr="00B4515A">
        <w:rPr>
          <w:rFonts w:hint="eastAsia"/>
        </w:rPr>
        <w:t>、</w:t>
      </w:r>
      <w:r w:rsidRPr="00B4515A">
        <w:rPr>
          <w:color w:val="000000"/>
        </w:rPr>
        <w:t>本次交易完成后上市公司的盈利能力得到增强，财务状况得到改善，本次交易有利于上市公司的持</w:t>
      </w:r>
      <w:r w:rsidRPr="00B4515A">
        <w:t>续发展，不存在损害股东合法权益，尤其是中小股东的合法权益的问题</w:t>
      </w:r>
      <w:r w:rsidRPr="00B4515A">
        <w:rPr>
          <w:rFonts w:hint="eastAsia"/>
        </w:rPr>
        <w:t>；</w:t>
      </w:r>
    </w:p>
    <w:p w14:paraId="6783DA49" w14:textId="77777777" w:rsidR="006416B0" w:rsidRPr="00B4515A" w:rsidRDefault="005E58C1" w:rsidP="006100BC">
      <w:pPr>
        <w:pStyle w:val="005"/>
        <w:spacing w:before="120" w:after="120"/>
        <w:ind w:firstLine="480"/>
      </w:pPr>
      <w:r w:rsidRPr="00B4515A">
        <w:rPr>
          <w:rFonts w:hint="eastAsia"/>
        </w:rPr>
        <w:t>7</w:t>
      </w:r>
      <w:r w:rsidRPr="00B4515A">
        <w:rPr>
          <w:rFonts w:hint="eastAsia"/>
        </w:rPr>
        <w:t>、</w:t>
      </w:r>
      <w:r w:rsidRPr="00B4515A">
        <w:t>本次交易有利于完善上市公司拓展未来成长空间，提升上市公司现有业务规模和盈利水平，增强上市公司的持续经营能力，健全完善公司治理机制，符合《上市公司治理准则》的要求</w:t>
      </w:r>
      <w:r w:rsidRPr="00B4515A">
        <w:rPr>
          <w:rFonts w:hint="eastAsia"/>
        </w:rPr>
        <w:t>；</w:t>
      </w:r>
    </w:p>
    <w:p w14:paraId="485A1D40" w14:textId="77777777" w:rsidR="006416B0" w:rsidRPr="00B4515A" w:rsidRDefault="005E58C1" w:rsidP="006100BC">
      <w:pPr>
        <w:pStyle w:val="005"/>
        <w:spacing w:before="120" w:after="120"/>
        <w:ind w:firstLine="480"/>
      </w:pPr>
      <w:r w:rsidRPr="00B4515A">
        <w:rPr>
          <w:rFonts w:hint="eastAsia"/>
        </w:rPr>
        <w:t>8</w:t>
      </w:r>
      <w:r w:rsidRPr="00B4515A">
        <w:rPr>
          <w:rFonts w:hint="eastAsia"/>
        </w:rPr>
        <w:t>、</w:t>
      </w:r>
      <w:r w:rsidRPr="00B4515A">
        <w:t>根据交易合同约定的资产交付安排，本次交易不存在上市公司在发行股份后不能及时获得对价的风险；相关的违约责任切实有效，有利于保护上市公司全体股东的利益</w:t>
      </w:r>
      <w:r w:rsidRPr="00B4515A">
        <w:rPr>
          <w:rFonts w:hint="eastAsia"/>
        </w:rPr>
        <w:t>；</w:t>
      </w:r>
    </w:p>
    <w:p w14:paraId="44210E52" w14:textId="77777777" w:rsidR="006416B0" w:rsidRPr="00B4515A" w:rsidRDefault="005E58C1" w:rsidP="006100BC">
      <w:pPr>
        <w:pStyle w:val="005"/>
        <w:spacing w:before="120" w:after="120"/>
        <w:ind w:firstLine="480"/>
      </w:pPr>
      <w:r w:rsidRPr="00B4515A">
        <w:rPr>
          <w:rFonts w:hint="eastAsia"/>
        </w:rPr>
        <w:t>9</w:t>
      </w:r>
      <w:r w:rsidRPr="00B4515A">
        <w:rPr>
          <w:rFonts w:hint="eastAsia"/>
        </w:rPr>
        <w:t>、</w:t>
      </w:r>
      <w:r w:rsidRPr="00B4515A">
        <w:rPr>
          <w:color w:val="000000"/>
        </w:rPr>
        <w:t>本次交易对方与上市公司签署的《业绩补偿协议》</w:t>
      </w:r>
      <w:r w:rsidRPr="00B4515A">
        <w:t>已就标的公司实际净利润不足承诺净利润情况的补偿措施进行了约定，该等补偿安排切实可行性、合理性，不会损害上市公司股东利益，尤其是中小股东利益</w:t>
      </w:r>
      <w:r w:rsidRPr="00B4515A">
        <w:rPr>
          <w:rFonts w:hint="eastAsia"/>
        </w:rPr>
        <w:t>；</w:t>
      </w:r>
    </w:p>
    <w:p w14:paraId="432F331C" w14:textId="77777777" w:rsidR="006416B0" w:rsidRPr="00B4515A" w:rsidRDefault="005E58C1" w:rsidP="006100BC">
      <w:pPr>
        <w:pStyle w:val="005"/>
        <w:spacing w:before="120" w:after="120"/>
        <w:ind w:firstLine="480"/>
      </w:pPr>
      <w:r w:rsidRPr="00B4515A">
        <w:rPr>
          <w:rFonts w:hint="eastAsia"/>
        </w:rPr>
        <w:t>1</w:t>
      </w:r>
      <w:r w:rsidRPr="00B4515A">
        <w:t>0</w:t>
      </w:r>
      <w:r w:rsidRPr="00B4515A">
        <w:rPr>
          <w:rFonts w:hint="eastAsia"/>
        </w:rPr>
        <w:t>、本</w:t>
      </w:r>
      <w:r w:rsidRPr="00B4515A">
        <w:t>独立财务顾问认为</w:t>
      </w:r>
      <w:r w:rsidRPr="00B4515A">
        <w:rPr>
          <w:rFonts w:hint="eastAsia"/>
        </w:rPr>
        <w:t>标的公司不存在控股股东、实际控制人及其关联方非经营性资金占用的问题；</w:t>
      </w:r>
    </w:p>
    <w:p w14:paraId="04C8926A" w14:textId="77777777" w:rsidR="006416B0" w:rsidRPr="00B4515A" w:rsidRDefault="005E58C1" w:rsidP="006100BC">
      <w:pPr>
        <w:pStyle w:val="005"/>
        <w:spacing w:before="120" w:after="120"/>
        <w:ind w:firstLine="480"/>
      </w:pPr>
      <w:r w:rsidRPr="00B4515A">
        <w:rPr>
          <w:rFonts w:hint="eastAsia"/>
        </w:rPr>
        <w:t>1</w:t>
      </w:r>
      <w:r w:rsidRPr="00B4515A">
        <w:t>1</w:t>
      </w:r>
      <w:r w:rsidRPr="00B4515A">
        <w:rPr>
          <w:rFonts w:hint="eastAsia"/>
        </w:rPr>
        <w:t>、</w:t>
      </w:r>
      <w:r w:rsidRPr="00B4515A">
        <w:t>大唐电信对于本次重组摊薄即期回报的分析具有合理性，并制定了填补可能被摊薄即期回报的措施，上市公司控股股东以及董事、高级管理人员己出具了相关承诺，符合《国务院办公厅关于进一步加强资本市场中小投资者合法权益保护工作的意见》、《国务院关于进一步促进资本市场健康发展的若干意见》和中国证券监督管理委员会《关于首发及再融资、重大资产重组摊薄即期回报有关事项的指导意见》的有关规定，有利于保护中小投资者的合法权益</w:t>
      </w:r>
      <w:r w:rsidRPr="00B4515A">
        <w:rPr>
          <w:rFonts w:hint="eastAsia"/>
        </w:rPr>
        <w:t>；</w:t>
      </w:r>
    </w:p>
    <w:p w14:paraId="1DA5ACCC" w14:textId="77777777" w:rsidR="006416B0" w:rsidRPr="00B4515A" w:rsidRDefault="005E58C1" w:rsidP="006100BC">
      <w:pPr>
        <w:pStyle w:val="005"/>
        <w:spacing w:before="120" w:after="120"/>
        <w:ind w:firstLine="480"/>
      </w:pPr>
      <w:r w:rsidRPr="00B4515A">
        <w:rPr>
          <w:rFonts w:hint="eastAsia"/>
        </w:rPr>
        <w:lastRenderedPageBreak/>
        <w:t>1</w:t>
      </w:r>
      <w:r w:rsidRPr="00B4515A">
        <w:t>2</w:t>
      </w:r>
      <w:r w:rsidRPr="00B4515A">
        <w:rPr>
          <w:rFonts w:hint="eastAsia"/>
        </w:rPr>
        <w:t>、本次交易中本独立财务顾问不存在直接或间接有偿聘请第三方的行为，</w:t>
      </w:r>
      <w:r w:rsidRPr="00B4515A">
        <w:rPr>
          <w:rFonts w:hint="eastAsia"/>
          <w:color w:val="000000"/>
        </w:rPr>
        <w:t>大唐</w:t>
      </w:r>
      <w:r w:rsidRPr="00B4515A">
        <w:rPr>
          <w:color w:val="000000"/>
        </w:rPr>
        <w:t>电信</w:t>
      </w:r>
      <w:r w:rsidRPr="00B4515A">
        <w:rPr>
          <w:rFonts w:hint="eastAsia"/>
        </w:rPr>
        <w:t>除聘请独立财务顾问、律师事务所、会计师事务所、资产评估机构以外，不存在直接或间接有偿聘请其他第三方的行为，符合《关于加强证券公司在投资银行类业务中聘请第三方等廉洁从业风险防控的意见》的相关规定。</w:t>
      </w:r>
    </w:p>
    <w:p w14:paraId="77E2E21A" w14:textId="77777777" w:rsidR="006416B0" w:rsidRPr="00B4515A" w:rsidRDefault="005E58C1" w:rsidP="006100BC">
      <w:pPr>
        <w:pStyle w:val="002"/>
        <w:spacing w:before="120" w:after="120"/>
        <w:ind w:firstLine="562"/>
      </w:pPr>
      <w:bookmarkStart w:id="384" w:name="_Toc80960602"/>
      <w:r w:rsidRPr="00B4515A">
        <w:t>三、法律顾问意见</w:t>
      </w:r>
      <w:bookmarkEnd w:id="384"/>
    </w:p>
    <w:p w14:paraId="5608F109" w14:textId="77777777" w:rsidR="006416B0" w:rsidRPr="00B4515A" w:rsidRDefault="005E58C1" w:rsidP="006100BC">
      <w:pPr>
        <w:pStyle w:val="005"/>
        <w:spacing w:before="120" w:after="120"/>
        <w:ind w:firstLine="480"/>
      </w:pPr>
      <w:r w:rsidRPr="00B4515A">
        <w:rPr>
          <w:rFonts w:hint="eastAsia"/>
        </w:rPr>
        <w:t>本公司聘请</w:t>
      </w:r>
      <w:r w:rsidRPr="00B4515A">
        <w:t>北京德恒律师事务所</w:t>
      </w:r>
      <w:r w:rsidRPr="00B4515A">
        <w:rPr>
          <w:rFonts w:hint="eastAsia"/>
        </w:rPr>
        <w:t>作为本次交易的法律顾问。法律顾问严格按照《公司法》、《证券法》、《重组管理办法》、《若干问题的规定》、《上市规则》等法律、法规和规定以及中国证监会的相关要求，通过尽职调查和对大唐电信本次重组报告书等信息披露文件的审慎核查后认为：</w:t>
      </w:r>
    </w:p>
    <w:p w14:paraId="3013CE32" w14:textId="77777777" w:rsidR="006416B0" w:rsidRPr="00B4515A" w:rsidRDefault="005E58C1" w:rsidP="006100BC">
      <w:pPr>
        <w:pStyle w:val="005"/>
        <w:spacing w:before="120" w:after="120"/>
        <w:ind w:firstLine="480"/>
      </w:pPr>
      <w:r w:rsidRPr="00B4515A">
        <w:t>（一）本次交易的方案符合法律法规、规范性文件的规定。</w:t>
      </w:r>
    </w:p>
    <w:p w14:paraId="02DA2B89" w14:textId="77777777" w:rsidR="006416B0" w:rsidRPr="00B4515A" w:rsidRDefault="005E58C1" w:rsidP="006100BC">
      <w:pPr>
        <w:pStyle w:val="005"/>
        <w:spacing w:before="120" w:after="120"/>
        <w:ind w:firstLine="480"/>
      </w:pPr>
      <w:r w:rsidRPr="00B4515A">
        <w:t>（二）本次交易的相关主体均依法设立并有效存续，具备本次交易的主体资格。</w:t>
      </w:r>
    </w:p>
    <w:p w14:paraId="06C4D24F" w14:textId="77777777" w:rsidR="006416B0" w:rsidRPr="00B4515A" w:rsidRDefault="005E58C1" w:rsidP="006100BC">
      <w:pPr>
        <w:pStyle w:val="005"/>
        <w:spacing w:before="120" w:after="120"/>
        <w:ind w:firstLine="480"/>
      </w:pPr>
      <w:r w:rsidRPr="00B4515A">
        <w:t>（三）本次交易涉及的《发行股份购买资产协议》《发行股份购买资产协议</w:t>
      </w:r>
      <w:r w:rsidRPr="00B4515A">
        <w:rPr>
          <w:rFonts w:hint="eastAsia"/>
        </w:rPr>
        <w:t>之补充协议</w:t>
      </w:r>
      <w:r w:rsidRPr="00B4515A">
        <w:t>》《股份认购协议》《股份认购协议</w:t>
      </w:r>
      <w:r w:rsidRPr="00B4515A">
        <w:rPr>
          <w:rFonts w:hint="eastAsia"/>
        </w:rPr>
        <w:t>之补充协议</w:t>
      </w:r>
      <w:r w:rsidRPr="00B4515A">
        <w:t>》《业绩承诺与补偿协议》主体合格、内容合法，经各方正式签署并且在约定的相关条件全部成就时生效。</w:t>
      </w:r>
    </w:p>
    <w:p w14:paraId="47C4C245" w14:textId="77777777" w:rsidR="006416B0" w:rsidRPr="00B4515A" w:rsidRDefault="005E58C1" w:rsidP="006100BC">
      <w:pPr>
        <w:pStyle w:val="005"/>
        <w:spacing w:before="120" w:after="120"/>
        <w:ind w:firstLine="480"/>
      </w:pPr>
      <w:r w:rsidRPr="00B4515A">
        <w:t>（四）除尚需取得的批准和授权外，本次交易已履行现阶段应当履行的批准或授权程序，已经取得的相关批准或授权程序合法有效。</w:t>
      </w:r>
    </w:p>
    <w:p w14:paraId="625DA9EC" w14:textId="77777777" w:rsidR="006416B0" w:rsidRPr="00B4515A" w:rsidRDefault="005E58C1" w:rsidP="006100BC">
      <w:pPr>
        <w:pStyle w:val="005"/>
        <w:spacing w:before="120" w:after="120"/>
        <w:ind w:firstLine="480"/>
      </w:pPr>
      <w:r w:rsidRPr="00B4515A">
        <w:t>（五）本次交易构成重大资产重组但不构成重组上市，本次交易符合《重组管理办法》《发行管理办法》等法律法规、规范性文件规定的实质性条件。</w:t>
      </w:r>
    </w:p>
    <w:p w14:paraId="3E4C9D9F" w14:textId="77777777" w:rsidR="006416B0" w:rsidRPr="00B4515A" w:rsidRDefault="005E58C1" w:rsidP="006100BC">
      <w:pPr>
        <w:pStyle w:val="005"/>
        <w:spacing w:before="120" w:after="120"/>
        <w:ind w:firstLine="480"/>
      </w:pPr>
      <w:r w:rsidRPr="00B4515A">
        <w:t>（六）本次交易购买的标的资产权属清晰，未设有质押权或其他任何第三方权益，亦未被司法机关查封或冻结，注入大唐电信不存在实质性法律障碍。</w:t>
      </w:r>
    </w:p>
    <w:p w14:paraId="1C47C344" w14:textId="77777777" w:rsidR="006416B0" w:rsidRPr="00B4515A" w:rsidRDefault="005E58C1" w:rsidP="006100BC">
      <w:pPr>
        <w:pStyle w:val="005"/>
        <w:spacing w:before="120" w:after="120"/>
        <w:ind w:firstLine="480"/>
      </w:pPr>
      <w:r w:rsidRPr="00B4515A">
        <w:t>（七）本次交易不涉及债权债务处理，符合有关法律、行政法规的规定。</w:t>
      </w:r>
    </w:p>
    <w:p w14:paraId="081ACDC4" w14:textId="77777777" w:rsidR="006416B0" w:rsidRPr="00B4515A" w:rsidRDefault="005E58C1" w:rsidP="006100BC">
      <w:pPr>
        <w:pStyle w:val="005"/>
        <w:spacing w:before="120" w:after="120"/>
        <w:ind w:firstLine="480"/>
      </w:pPr>
      <w:r w:rsidRPr="00B4515A">
        <w:t>（八）本次交易构成关联交易，本次交易完成后不会新增同业竞争。</w:t>
      </w:r>
    </w:p>
    <w:p w14:paraId="07548550" w14:textId="0927419E" w:rsidR="006416B0" w:rsidRPr="00B4515A" w:rsidRDefault="005E58C1" w:rsidP="006100BC">
      <w:pPr>
        <w:pStyle w:val="005"/>
        <w:spacing w:before="120" w:after="120"/>
        <w:ind w:firstLine="480"/>
      </w:pPr>
      <w:r w:rsidRPr="00B4515A">
        <w:t>（九）</w:t>
      </w:r>
      <w:r w:rsidR="00FA19C9" w:rsidRPr="00B4515A">
        <w:rPr>
          <w:rFonts w:hint="eastAsia"/>
        </w:rPr>
        <w:t>大唐电信已履行了重大事项的披露义务。</w:t>
      </w:r>
    </w:p>
    <w:p w14:paraId="508B0EE0" w14:textId="77777777" w:rsidR="006416B0" w:rsidRPr="00B4515A" w:rsidRDefault="005E58C1" w:rsidP="006100BC">
      <w:pPr>
        <w:pStyle w:val="005"/>
        <w:spacing w:before="120" w:after="120"/>
        <w:ind w:firstLine="480"/>
      </w:pPr>
      <w:r w:rsidRPr="00B4515A">
        <w:t>（十）参与本次交易的证券服务机构具有合法的执业资质，具有为本次交易</w:t>
      </w:r>
      <w:r w:rsidRPr="00B4515A">
        <w:lastRenderedPageBreak/>
        <w:t>提供服务的法律资格。</w:t>
      </w:r>
    </w:p>
    <w:p w14:paraId="01C685CA" w14:textId="77777777" w:rsidR="006416B0" w:rsidRPr="00B4515A" w:rsidRDefault="005E58C1" w:rsidP="006100BC">
      <w:pPr>
        <w:pStyle w:val="005"/>
        <w:spacing w:before="120" w:after="120"/>
        <w:ind w:firstLine="480"/>
      </w:pPr>
      <w:r w:rsidRPr="00B4515A">
        <w:t>（十一）在取得所有应获得的批准、核准后，大唐电信实施本次交易不存在重大法律障碍。</w:t>
      </w:r>
      <w:bookmarkStart w:id="385" w:name="_Toc65492124"/>
    </w:p>
    <w:p w14:paraId="380744C4" w14:textId="6B1B8CEA" w:rsidR="006416B0" w:rsidRPr="00B4515A" w:rsidRDefault="006416B0"/>
    <w:p w14:paraId="09E5D765" w14:textId="77777777" w:rsidR="006416B0" w:rsidRPr="00B4515A" w:rsidRDefault="005E58C1" w:rsidP="002B0582">
      <w:pPr>
        <w:pStyle w:val="001"/>
        <w:spacing w:before="360" w:after="360"/>
      </w:pPr>
      <w:bookmarkStart w:id="386" w:name="_Toc80960603"/>
      <w:r w:rsidRPr="00B4515A">
        <w:lastRenderedPageBreak/>
        <w:t>第十五节</w:t>
      </w:r>
      <w:r w:rsidRPr="00B4515A">
        <w:t xml:space="preserve"> </w:t>
      </w:r>
      <w:r w:rsidRPr="00B4515A">
        <w:t>本次交易相关证券服务机构及经办人员情况</w:t>
      </w:r>
      <w:bookmarkEnd w:id="386"/>
    </w:p>
    <w:p w14:paraId="5184ED0C" w14:textId="77777777" w:rsidR="006416B0" w:rsidRPr="00B4515A" w:rsidRDefault="005E58C1" w:rsidP="006100BC">
      <w:pPr>
        <w:pStyle w:val="002"/>
        <w:spacing w:before="120" w:after="120"/>
        <w:ind w:firstLine="562"/>
      </w:pPr>
      <w:bookmarkStart w:id="387" w:name="_Toc80960604"/>
      <w:r w:rsidRPr="00B4515A">
        <w:t>一、独立财务顾问</w:t>
      </w:r>
      <w:r w:rsidRPr="00B4515A">
        <w:rPr>
          <w:rFonts w:hint="eastAsia"/>
        </w:rPr>
        <w:t>：中银国际证券</w:t>
      </w:r>
      <w:r w:rsidRPr="00B4515A">
        <w:t>股份有限公司</w:t>
      </w:r>
      <w:bookmarkEnd w:id="387"/>
    </w:p>
    <w:p w14:paraId="7386B767" w14:textId="77777777" w:rsidR="006416B0" w:rsidRPr="00B4515A" w:rsidRDefault="005E58C1" w:rsidP="006100BC">
      <w:pPr>
        <w:pStyle w:val="005"/>
        <w:spacing w:before="120" w:after="120"/>
        <w:ind w:firstLine="480"/>
      </w:pPr>
      <w:r w:rsidRPr="00B4515A">
        <w:t>地址：上海市浦东新区银城中路</w:t>
      </w:r>
      <w:r w:rsidRPr="00B4515A">
        <w:t>200</w:t>
      </w:r>
      <w:r w:rsidRPr="00B4515A">
        <w:t>号中银大厦</w:t>
      </w:r>
      <w:r w:rsidRPr="00B4515A">
        <w:t>39</w:t>
      </w:r>
      <w:r w:rsidRPr="00B4515A">
        <w:t>层</w:t>
      </w:r>
    </w:p>
    <w:p w14:paraId="1236E6A7" w14:textId="77777777" w:rsidR="006416B0" w:rsidRPr="00B4515A" w:rsidRDefault="005E58C1" w:rsidP="006100BC">
      <w:pPr>
        <w:pStyle w:val="005"/>
        <w:spacing w:before="120" w:after="120"/>
        <w:ind w:firstLine="480"/>
      </w:pPr>
      <w:r w:rsidRPr="00B4515A">
        <w:t>法定代表人：宁敏</w:t>
      </w:r>
    </w:p>
    <w:p w14:paraId="5F3B4E70" w14:textId="77777777" w:rsidR="006416B0" w:rsidRPr="00B4515A" w:rsidRDefault="005E58C1" w:rsidP="006100BC">
      <w:pPr>
        <w:pStyle w:val="005"/>
        <w:spacing w:before="120" w:after="120"/>
        <w:ind w:firstLine="480"/>
      </w:pPr>
      <w:r w:rsidRPr="00B4515A">
        <w:t>电话：</w:t>
      </w:r>
      <w:r w:rsidRPr="00B4515A">
        <w:t>021-20328000</w:t>
      </w:r>
    </w:p>
    <w:p w14:paraId="013CFA41" w14:textId="77777777" w:rsidR="006416B0" w:rsidRPr="00B4515A" w:rsidRDefault="005E58C1" w:rsidP="006100BC">
      <w:pPr>
        <w:pStyle w:val="005"/>
        <w:spacing w:before="120" w:after="120"/>
        <w:ind w:firstLine="480"/>
      </w:pPr>
      <w:r w:rsidRPr="00B4515A">
        <w:t>传真：</w:t>
      </w:r>
      <w:r w:rsidRPr="00B4515A">
        <w:t>021-58883554</w:t>
      </w:r>
    </w:p>
    <w:p w14:paraId="1B5941BE" w14:textId="77777777" w:rsidR="006416B0" w:rsidRPr="00B4515A" w:rsidRDefault="005E58C1" w:rsidP="006100BC">
      <w:pPr>
        <w:pStyle w:val="005"/>
        <w:spacing w:before="120" w:after="120"/>
        <w:ind w:firstLine="480"/>
      </w:pPr>
      <w:r w:rsidRPr="00B4515A">
        <w:t>项目主办人：吴宗博、</w:t>
      </w:r>
      <w:r w:rsidRPr="00B4515A">
        <w:rPr>
          <w:rFonts w:hint="eastAsia"/>
        </w:rPr>
        <w:t>王伟夫</w:t>
      </w:r>
    </w:p>
    <w:p w14:paraId="4A3BDD5B" w14:textId="77777777" w:rsidR="006416B0" w:rsidRPr="00B4515A" w:rsidRDefault="005E58C1" w:rsidP="006100BC">
      <w:pPr>
        <w:pStyle w:val="002"/>
        <w:spacing w:before="120" w:after="120"/>
        <w:ind w:firstLine="562"/>
      </w:pPr>
      <w:bookmarkStart w:id="388" w:name="_Toc80960605"/>
      <w:bookmarkStart w:id="389" w:name="OLE_LINK5"/>
      <w:bookmarkStart w:id="390" w:name="OLE_LINK6"/>
      <w:r w:rsidRPr="00B4515A">
        <w:t>二、律师事务所：北京德恒律师事务所</w:t>
      </w:r>
      <w:bookmarkEnd w:id="388"/>
    </w:p>
    <w:p w14:paraId="75A7CE66" w14:textId="77777777" w:rsidR="006416B0" w:rsidRPr="00B4515A" w:rsidRDefault="005E58C1" w:rsidP="006100BC">
      <w:pPr>
        <w:pStyle w:val="005"/>
        <w:spacing w:before="120" w:after="120"/>
        <w:ind w:firstLine="480"/>
      </w:pPr>
      <w:r w:rsidRPr="00B4515A">
        <w:t>地址：北京市西城区金融街</w:t>
      </w:r>
      <w:r w:rsidRPr="00B4515A">
        <w:t>19</w:t>
      </w:r>
      <w:r w:rsidRPr="00B4515A">
        <w:t>号富凯大厦</w:t>
      </w:r>
      <w:r w:rsidRPr="00B4515A">
        <w:t>B</w:t>
      </w:r>
      <w:r w:rsidRPr="00B4515A">
        <w:t>座</w:t>
      </w:r>
      <w:r w:rsidRPr="00B4515A">
        <w:t>12</w:t>
      </w:r>
      <w:r w:rsidRPr="00B4515A">
        <w:t>层</w:t>
      </w:r>
    </w:p>
    <w:p w14:paraId="41A61B96" w14:textId="77777777" w:rsidR="006416B0" w:rsidRPr="00B4515A" w:rsidRDefault="005E58C1" w:rsidP="006100BC">
      <w:pPr>
        <w:pStyle w:val="005"/>
        <w:spacing w:before="120" w:after="120"/>
        <w:ind w:firstLine="480"/>
      </w:pPr>
      <w:r w:rsidRPr="00B4515A">
        <w:t>机构负责人：王丽</w:t>
      </w:r>
    </w:p>
    <w:p w14:paraId="1C7D1F23" w14:textId="77777777" w:rsidR="006416B0" w:rsidRPr="00B4515A" w:rsidRDefault="005E58C1" w:rsidP="006100BC">
      <w:pPr>
        <w:pStyle w:val="005"/>
        <w:spacing w:before="120" w:after="120"/>
        <w:ind w:firstLine="480"/>
      </w:pPr>
      <w:r w:rsidRPr="00B4515A">
        <w:t>电话：</w:t>
      </w:r>
      <w:r w:rsidRPr="00B4515A">
        <w:t>010-52682888</w:t>
      </w:r>
    </w:p>
    <w:p w14:paraId="07204CCC" w14:textId="77777777" w:rsidR="006416B0" w:rsidRPr="00B4515A" w:rsidRDefault="005E58C1" w:rsidP="006100BC">
      <w:pPr>
        <w:pStyle w:val="005"/>
        <w:spacing w:before="120" w:after="120"/>
        <w:ind w:firstLine="480"/>
      </w:pPr>
      <w:r w:rsidRPr="00B4515A">
        <w:t>传真：</w:t>
      </w:r>
      <w:r w:rsidRPr="00B4515A">
        <w:t>010-52682999</w:t>
      </w:r>
    </w:p>
    <w:p w14:paraId="7D2EE1BB" w14:textId="77777777" w:rsidR="006416B0" w:rsidRPr="00B4515A" w:rsidRDefault="005E58C1" w:rsidP="006100BC">
      <w:pPr>
        <w:pStyle w:val="005"/>
        <w:spacing w:before="120" w:after="120"/>
        <w:ind w:firstLine="480"/>
      </w:pPr>
      <w:r w:rsidRPr="00B4515A">
        <w:t>经办律师：杨昕炜、全志文</w:t>
      </w:r>
    </w:p>
    <w:p w14:paraId="0A96C8E9" w14:textId="77777777" w:rsidR="006416B0" w:rsidRPr="00B4515A" w:rsidRDefault="005E58C1" w:rsidP="006100BC">
      <w:pPr>
        <w:pStyle w:val="002"/>
        <w:spacing w:before="120" w:after="120"/>
        <w:ind w:firstLine="562"/>
      </w:pPr>
      <w:bookmarkStart w:id="391" w:name="_Toc80960606"/>
      <w:bookmarkEnd w:id="389"/>
      <w:bookmarkEnd w:id="390"/>
      <w:r w:rsidRPr="00B4515A">
        <w:t>三、审计机构：立信会计师事务所（特殊普通合伙）</w:t>
      </w:r>
      <w:bookmarkEnd w:id="391"/>
    </w:p>
    <w:p w14:paraId="55A63D6D" w14:textId="77777777" w:rsidR="006416B0" w:rsidRPr="00B4515A" w:rsidRDefault="005E58C1" w:rsidP="006100BC">
      <w:pPr>
        <w:pStyle w:val="005"/>
        <w:spacing w:before="120" w:after="120"/>
        <w:ind w:firstLine="480"/>
      </w:pPr>
      <w:r w:rsidRPr="00B4515A">
        <w:t>地址：上海市南京东路</w:t>
      </w:r>
      <w:r w:rsidRPr="00B4515A">
        <w:t>61</w:t>
      </w:r>
      <w:r w:rsidRPr="00B4515A">
        <w:t>号</w:t>
      </w:r>
      <w:r w:rsidRPr="00B4515A">
        <w:t>4</w:t>
      </w:r>
      <w:r w:rsidRPr="00B4515A">
        <w:t>楼</w:t>
      </w:r>
    </w:p>
    <w:p w14:paraId="658F73EF" w14:textId="77777777" w:rsidR="006416B0" w:rsidRPr="00B4515A" w:rsidRDefault="005E58C1" w:rsidP="006100BC">
      <w:pPr>
        <w:pStyle w:val="005"/>
        <w:spacing w:before="120" w:after="120"/>
        <w:ind w:firstLine="480"/>
      </w:pPr>
      <w:r w:rsidRPr="00B4515A">
        <w:t>机构负责人：</w:t>
      </w:r>
      <w:r w:rsidRPr="00B4515A">
        <w:rPr>
          <w:rFonts w:hint="eastAsia"/>
        </w:rPr>
        <w:t>杨志国</w:t>
      </w:r>
    </w:p>
    <w:p w14:paraId="4B5F82E5" w14:textId="77777777" w:rsidR="006416B0" w:rsidRPr="00B4515A" w:rsidRDefault="005E58C1" w:rsidP="006100BC">
      <w:pPr>
        <w:pStyle w:val="005"/>
        <w:spacing w:before="120" w:after="120"/>
        <w:ind w:firstLine="480"/>
      </w:pPr>
      <w:r w:rsidRPr="00B4515A">
        <w:t>电话：</w:t>
      </w:r>
      <w:r w:rsidRPr="00B4515A">
        <w:t>021-23282801</w:t>
      </w:r>
    </w:p>
    <w:p w14:paraId="2A2D7AB0" w14:textId="77777777" w:rsidR="006416B0" w:rsidRPr="00B4515A" w:rsidRDefault="005E58C1" w:rsidP="006100BC">
      <w:pPr>
        <w:pStyle w:val="005"/>
        <w:spacing w:before="120" w:after="120"/>
        <w:ind w:firstLine="480"/>
      </w:pPr>
      <w:r w:rsidRPr="00B4515A">
        <w:t>传真：</w:t>
      </w:r>
      <w:r w:rsidRPr="00B4515A">
        <w:t>021-23282801</w:t>
      </w:r>
    </w:p>
    <w:p w14:paraId="2DC87034" w14:textId="77777777" w:rsidR="006416B0" w:rsidRPr="00B4515A" w:rsidRDefault="005E58C1" w:rsidP="006100BC">
      <w:pPr>
        <w:pStyle w:val="005"/>
        <w:spacing w:before="120" w:after="120"/>
        <w:ind w:firstLine="480"/>
      </w:pPr>
      <w:r w:rsidRPr="00B4515A">
        <w:t>经办注册会计师：陈勇波、汪平平</w:t>
      </w:r>
    </w:p>
    <w:p w14:paraId="7D85528E" w14:textId="77777777" w:rsidR="006416B0" w:rsidRPr="00B4515A" w:rsidRDefault="005E58C1" w:rsidP="006100BC">
      <w:pPr>
        <w:pStyle w:val="002"/>
        <w:spacing w:before="120" w:after="120"/>
        <w:ind w:firstLine="562"/>
      </w:pPr>
      <w:bookmarkStart w:id="392" w:name="_Toc80960607"/>
      <w:r w:rsidRPr="00B4515A">
        <w:rPr>
          <w:rFonts w:hint="eastAsia"/>
        </w:rPr>
        <w:t>四</w:t>
      </w:r>
      <w:r w:rsidRPr="00B4515A">
        <w:t>、</w:t>
      </w:r>
      <w:r w:rsidRPr="00B4515A">
        <w:rPr>
          <w:rFonts w:hint="eastAsia"/>
        </w:rPr>
        <w:t>备考审阅机构</w:t>
      </w:r>
      <w:r w:rsidRPr="00B4515A">
        <w:t>：立信会计师事务所（特殊普通合伙）</w:t>
      </w:r>
      <w:bookmarkEnd w:id="392"/>
    </w:p>
    <w:p w14:paraId="7EBCFF5A" w14:textId="77777777" w:rsidR="006416B0" w:rsidRPr="00B4515A" w:rsidRDefault="005E58C1" w:rsidP="006100BC">
      <w:pPr>
        <w:pStyle w:val="005"/>
        <w:spacing w:before="120" w:after="120"/>
        <w:ind w:firstLine="480"/>
      </w:pPr>
      <w:r w:rsidRPr="00B4515A">
        <w:t>地址：上海市南京东路</w:t>
      </w:r>
      <w:r w:rsidRPr="00B4515A">
        <w:t>61</w:t>
      </w:r>
      <w:r w:rsidRPr="00B4515A">
        <w:t>号</w:t>
      </w:r>
      <w:r w:rsidRPr="00B4515A">
        <w:t>4</w:t>
      </w:r>
      <w:r w:rsidRPr="00B4515A">
        <w:t>楼</w:t>
      </w:r>
    </w:p>
    <w:p w14:paraId="339D23F2" w14:textId="77777777" w:rsidR="006416B0" w:rsidRPr="00B4515A" w:rsidRDefault="005E58C1" w:rsidP="006100BC">
      <w:pPr>
        <w:pStyle w:val="005"/>
        <w:spacing w:before="120" w:after="120"/>
        <w:ind w:firstLine="480"/>
      </w:pPr>
      <w:r w:rsidRPr="00B4515A">
        <w:t>机构负责人：</w:t>
      </w:r>
      <w:r w:rsidRPr="00B4515A">
        <w:rPr>
          <w:rFonts w:hint="eastAsia"/>
        </w:rPr>
        <w:t>杨志国</w:t>
      </w:r>
    </w:p>
    <w:p w14:paraId="2E78C552" w14:textId="77777777" w:rsidR="006416B0" w:rsidRPr="00B4515A" w:rsidRDefault="005E58C1" w:rsidP="006100BC">
      <w:pPr>
        <w:pStyle w:val="005"/>
        <w:spacing w:before="120" w:after="120"/>
        <w:ind w:firstLine="480"/>
      </w:pPr>
      <w:r w:rsidRPr="00B4515A">
        <w:lastRenderedPageBreak/>
        <w:t>电话：</w:t>
      </w:r>
      <w:r w:rsidRPr="00B4515A">
        <w:t>021-23282801</w:t>
      </w:r>
    </w:p>
    <w:p w14:paraId="6A369C6D" w14:textId="77777777" w:rsidR="006416B0" w:rsidRPr="00B4515A" w:rsidRDefault="005E58C1" w:rsidP="006100BC">
      <w:pPr>
        <w:pStyle w:val="005"/>
        <w:spacing w:before="120" w:after="120"/>
        <w:ind w:firstLine="480"/>
      </w:pPr>
      <w:r w:rsidRPr="00B4515A">
        <w:t>传真：</w:t>
      </w:r>
      <w:r w:rsidRPr="00B4515A">
        <w:t>021-23282801</w:t>
      </w:r>
    </w:p>
    <w:p w14:paraId="4C1BDFEF" w14:textId="77777777" w:rsidR="006416B0" w:rsidRPr="00B4515A" w:rsidRDefault="005E58C1" w:rsidP="006100BC">
      <w:pPr>
        <w:pStyle w:val="005"/>
        <w:spacing w:before="120" w:after="120"/>
        <w:ind w:firstLine="480"/>
      </w:pPr>
      <w:r w:rsidRPr="00B4515A">
        <w:t>经办注册会计师：蔡晓丽</w:t>
      </w:r>
      <w:r w:rsidRPr="00B4515A">
        <w:rPr>
          <w:rFonts w:hint="eastAsia"/>
        </w:rPr>
        <w:t>、修军</w:t>
      </w:r>
    </w:p>
    <w:p w14:paraId="646AA199" w14:textId="77777777" w:rsidR="006416B0" w:rsidRPr="00B4515A" w:rsidRDefault="005E58C1" w:rsidP="006100BC">
      <w:pPr>
        <w:pStyle w:val="002"/>
        <w:spacing w:before="120" w:after="120"/>
        <w:ind w:firstLine="562"/>
      </w:pPr>
      <w:bookmarkStart w:id="393" w:name="_Toc80960608"/>
      <w:r w:rsidRPr="00B4515A">
        <w:rPr>
          <w:rFonts w:hint="eastAsia"/>
        </w:rPr>
        <w:t>五</w:t>
      </w:r>
      <w:r w:rsidRPr="00B4515A">
        <w:t>、资产评估机构：上海东洲资产评估有限公司</w:t>
      </w:r>
      <w:bookmarkEnd w:id="393"/>
    </w:p>
    <w:p w14:paraId="69C65940" w14:textId="77777777" w:rsidR="006416B0" w:rsidRPr="00B4515A" w:rsidRDefault="005E58C1" w:rsidP="006100BC">
      <w:pPr>
        <w:pStyle w:val="005"/>
        <w:spacing w:before="120" w:after="120"/>
        <w:ind w:firstLine="480"/>
      </w:pPr>
      <w:r w:rsidRPr="00B4515A">
        <w:t>地址：上海市奉贤区化学工业区奉贤分区目华路</w:t>
      </w:r>
      <w:r w:rsidRPr="00B4515A">
        <w:t>8</w:t>
      </w:r>
      <w:r w:rsidRPr="00B4515A">
        <w:t>号</w:t>
      </w:r>
      <w:r w:rsidRPr="00B4515A">
        <w:t>401</w:t>
      </w:r>
      <w:r w:rsidRPr="00B4515A">
        <w:t>室</w:t>
      </w:r>
    </w:p>
    <w:p w14:paraId="795AD0F3" w14:textId="77777777" w:rsidR="006416B0" w:rsidRPr="00B4515A" w:rsidRDefault="005E58C1" w:rsidP="006100BC">
      <w:pPr>
        <w:pStyle w:val="005"/>
        <w:spacing w:before="120" w:after="120"/>
        <w:ind w:firstLine="480"/>
      </w:pPr>
      <w:r w:rsidRPr="00B4515A">
        <w:rPr>
          <w:rFonts w:hint="eastAsia"/>
        </w:rPr>
        <w:t>法定代表人：</w:t>
      </w:r>
      <w:r w:rsidRPr="00B4515A">
        <w:t>王小敏</w:t>
      </w:r>
    </w:p>
    <w:p w14:paraId="2C0EFF47" w14:textId="77777777" w:rsidR="006416B0" w:rsidRPr="00B4515A" w:rsidRDefault="005E58C1" w:rsidP="006100BC">
      <w:pPr>
        <w:pStyle w:val="005"/>
        <w:spacing w:before="120" w:after="120"/>
        <w:ind w:firstLine="480"/>
      </w:pPr>
      <w:r w:rsidRPr="00B4515A">
        <w:t>电话：</w:t>
      </w:r>
      <w:r w:rsidRPr="00B4515A">
        <w:t>021-52402166</w:t>
      </w:r>
    </w:p>
    <w:p w14:paraId="56640A27" w14:textId="77777777" w:rsidR="006416B0" w:rsidRPr="00B4515A" w:rsidRDefault="005E58C1" w:rsidP="006100BC">
      <w:pPr>
        <w:pStyle w:val="005"/>
        <w:spacing w:before="120" w:after="120"/>
        <w:ind w:firstLine="480"/>
      </w:pPr>
      <w:r w:rsidRPr="00B4515A">
        <w:t>传真：</w:t>
      </w:r>
      <w:r w:rsidRPr="00B4515A">
        <w:t>86-21-62252086</w:t>
      </w:r>
    </w:p>
    <w:p w14:paraId="56E65F52" w14:textId="77777777" w:rsidR="006416B0" w:rsidRPr="00B4515A" w:rsidRDefault="005E58C1" w:rsidP="006100BC">
      <w:pPr>
        <w:pStyle w:val="005"/>
        <w:spacing w:before="120" w:after="120"/>
        <w:ind w:firstLine="480"/>
      </w:pPr>
      <w:r w:rsidRPr="00B4515A">
        <w:t>经办资产评估师：李崇、郝正</w:t>
      </w:r>
    </w:p>
    <w:p w14:paraId="5EE3AEDE" w14:textId="77777777" w:rsidR="006416B0" w:rsidRPr="00B4515A" w:rsidRDefault="005E58C1" w:rsidP="006100BC">
      <w:pPr>
        <w:pStyle w:val="002"/>
        <w:spacing w:before="120" w:after="120"/>
        <w:ind w:firstLine="562"/>
      </w:pPr>
      <w:bookmarkStart w:id="394" w:name="_Toc80960609"/>
      <w:r w:rsidRPr="00B4515A">
        <w:rPr>
          <w:rFonts w:hint="eastAsia"/>
        </w:rPr>
        <w:t>六</w:t>
      </w:r>
      <w:r w:rsidRPr="00B4515A">
        <w:t>、资产评估机构：</w:t>
      </w:r>
      <w:r w:rsidRPr="00B4515A">
        <w:rPr>
          <w:rFonts w:hint="eastAsia"/>
        </w:rPr>
        <w:t>中资资产评估</w:t>
      </w:r>
      <w:r w:rsidRPr="00B4515A">
        <w:t>有限公司</w:t>
      </w:r>
      <w:bookmarkEnd w:id="394"/>
    </w:p>
    <w:p w14:paraId="5FB871EF" w14:textId="77777777" w:rsidR="006416B0" w:rsidRPr="00B4515A" w:rsidRDefault="005E58C1" w:rsidP="006100BC">
      <w:pPr>
        <w:pStyle w:val="005"/>
        <w:spacing w:before="120" w:after="120"/>
        <w:ind w:firstLine="480"/>
      </w:pPr>
      <w:r w:rsidRPr="00B4515A">
        <w:t>地址：</w:t>
      </w:r>
      <w:r w:rsidRPr="00B4515A">
        <w:rPr>
          <w:rFonts w:hint="eastAsia"/>
        </w:rPr>
        <w:t>北京市海淀区首体南路</w:t>
      </w:r>
      <w:r w:rsidRPr="00B4515A">
        <w:rPr>
          <w:rFonts w:hint="eastAsia"/>
        </w:rPr>
        <w:t>2</w:t>
      </w:r>
      <w:r w:rsidRPr="00B4515A">
        <w:t>2</w:t>
      </w:r>
      <w:r w:rsidRPr="00B4515A">
        <w:rPr>
          <w:rFonts w:hint="eastAsia"/>
        </w:rPr>
        <w:t>号国兴大厦</w:t>
      </w:r>
      <w:r w:rsidRPr="00B4515A">
        <w:rPr>
          <w:rFonts w:hint="eastAsia"/>
        </w:rPr>
        <w:t>1</w:t>
      </w:r>
      <w:r w:rsidRPr="00B4515A">
        <w:t>7</w:t>
      </w:r>
      <w:r w:rsidRPr="00B4515A">
        <w:rPr>
          <w:rFonts w:hint="eastAsia"/>
        </w:rPr>
        <w:t>层</w:t>
      </w:r>
      <w:r w:rsidRPr="00B4515A">
        <w:rPr>
          <w:rFonts w:hint="eastAsia"/>
        </w:rPr>
        <w:t>A</w:t>
      </w:r>
      <w:r w:rsidRPr="00B4515A">
        <w:t>1</w:t>
      </w:r>
    </w:p>
    <w:p w14:paraId="41F7BE42" w14:textId="77777777" w:rsidR="006416B0" w:rsidRPr="00B4515A" w:rsidRDefault="005E58C1" w:rsidP="006100BC">
      <w:pPr>
        <w:pStyle w:val="005"/>
        <w:spacing w:before="120" w:after="120"/>
        <w:ind w:firstLine="480"/>
      </w:pPr>
      <w:r w:rsidRPr="00B4515A">
        <w:rPr>
          <w:rFonts w:hint="eastAsia"/>
        </w:rPr>
        <w:t>法定代表人</w:t>
      </w:r>
      <w:r w:rsidRPr="00B4515A">
        <w:t>：</w:t>
      </w:r>
      <w:r w:rsidRPr="00B4515A">
        <w:rPr>
          <w:rFonts w:hint="eastAsia"/>
        </w:rPr>
        <w:t>张宏新</w:t>
      </w:r>
    </w:p>
    <w:p w14:paraId="584ABB0C" w14:textId="77777777" w:rsidR="006416B0" w:rsidRPr="00B4515A" w:rsidRDefault="005E58C1" w:rsidP="006100BC">
      <w:pPr>
        <w:pStyle w:val="005"/>
        <w:spacing w:before="120" w:after="120"/>
        <w:ind w:firstLine="480"/>
      </w:pPr>
      <w:r w:rsidRPr="00B4515A">
        <w:t>电话：</w:t>
      </w:r>
      <w:r w:rsidRPr="00B4515A">
        <w:t>010-88357080</w:t>
      </w:r>
    </w:p>
    <w:p w14:paraId="45F6A9BB" w14:textId="77777777" w:rsidR="006416B0" w:rsidRPr="00B4515A" w:rsidRDefault="005E58C1" w:rsidP="006100BC">
      <w:pPr>
        <w:pStyle w:val="005"/>
        <w:spacing w:before="120" w:after="120"/>
        <w:ind w:firstLine="480"/>
      </w:pPr>
      <w:r w:rsidRPr="00B4515A">
        <w:t>传真：</w:t>
      </w:r>
      <w:r w:rsidRPr="00B4515A">
        <w:t>010-88357169</w:t>
      </w:r>
    </w:p>
    <w:p w14:paraId="22DA33C4" w14:textId="77777777" w:rsidR="006416B0" w:rsidRPr="00B4515A" w:rsidRDefault="005E58C1" w:rsidP="006100BC">
      <w:pPr>
        <w:pStyle w:val="005"/>
        <w:spacing w:before="120" w:after="120"/>
        <w:ind w:firstLine="480"/>
      </w:pPr>
      <w:r w:rsidRPr="00B4515A">
        <w:t>经办资产评估师：邸雪筠、张杰</w:t>
      </w:r>
    </w:p>
    <w:p w14:paraId="2800AEF6" w14:textId="77777777" w:rsidR="006416B0" w:rsidRPr="00B4515A" w:rsidRDefault="006416B0">
      <w:pPr>
        <w:rPr>
          <w:rFonts w:ascii="Times New Roman" w:eastAsia="黑体" w:hAnsi="Times New Roman" w:cs="Times New Roman"/>
          <w:b/>
          <w:bCs/>
          <w:kern w:val="44"/>
          <w:sz w:val="36"/>
          <w:szCs w:val="36"/>
        </w:rPr>
      </w:pPr>
    </w:p>
    <w:p w14:paraId="3D44D528" w14:textId="77777777" w:rsidR="006416B0" w:rsidRPr="00B4515A" w:rsidRDefault="005E58C1">
      <w:pPr>
        <w:rPr>
          <w:rFonts w:ascii="Times New Roman" w:eastAsia="黑体" w:hAnsi="Times New Roman" w:cs="Times New Roman"/>
          <w:b/>
          <w:bCs/>
          <w:kern w:val="44"/>
          <w:sz w:val="36"/>
          <w:szCs w:val="36"/>
        </w:rPr>
      </w:pPr>
      <w:r w:rsidRPr="00B4515A">
        <w:rPr>
          <w:rFonts w:ascii="Times New Roman" w:hAnsi="Times New Roman" w:cs="Times New Roman"/>
          <w:szCs w:val="36"/>
        </w:rPr>
        <w:br w:type="page"/>
      </w:r>
    </w:p>
    <w:p w14:paraId="14B22571" w14:textId="7E0261BA" w:rsidR="006416B0" w:rsidRPr="00B4515A" w:rsidRDefault="005E58C1" w:rsidP="002B0582">
      <w:pPr>
        <w:pStyle w:val="001"/>
        <w:spacing w:before="360" w:after="360"/>
      </w:pPr>
      <w:bookmarkStart w:id="395" w:name="_Toc80960610"/>
      <w:r w:rsidRPr="00B4515A">
        <w:lastRenderedPageBreak/>
        <w:t>第</w:t>
      </w:r>
      <w:r w:rsidRPr="00B4515A">
        <w:rPr>
          <w:rFonts w:hint="eastAsia"/>
        </w:rPr>
        <w:t>十六</w:t>
      </w:r>
      <w:r w:rsidRPr="00B4515A">
        <w:t>节</w:t>
      </w:r>
      <w:bookmarkStart w:id="396" w:name="_Hlk530005457"/>
      <w:r w:rsidRPr="00B4515A">
        <w:t xml:space="preserve"> </w:t>
      </w:r>
      <w:r w:rsidRPr="00B4515A">
        <w:rPr>
          <w:rFonts w:hint="eastAsia"/>
        </w:rPr>
        <w:t>声明与承诺</w:t>
      </w:r>
      <w:bookmarkEnd w:id="385"/>
      <w:bookmarkEnd w:id="395"/>
      <w:bookmarkEnd w:id="396"/>
    </w:p>
    <w:p w14:paraId="11532596" w14:textId="77777777" w:rsidR="006416B0" w:rsidRPr="00B4515A" w:rsidRDefault="005E58C1">
      <w:pPr>
        <w:pStyle w:val="20"/>
        <w:spacing w:before="0" w:after="0" w:line="360" w:lineRule="auto"/>
        <w:ind w:firstLineChars="200" w:firstLine="562"/>
        <w:rPr>
          <w:rFonts w:ascii="Times New Roman" w:hAnsi="Times New Roman" w:cs="Times New Roman"/>
          <w:sz w:val="28"/>
          <w:szCs w:val="28"/>
        </w:rPr>
      </w:pPr>
      <w:bookmarkStart w:id="397" w:name="_Toc80960611"/>
      <w:r w:rsidRPr="00B4515A">
        <w:rPr>
          <w:rFonts w:ascii="Times New Roman" w:hAnsi="Times New Roman" w:cs="Times New Roman" w:hint="eastAsia"/>
          <w:sz w:val="28"/>
          <w:szCs w:val="28"/>
        </w:rPr>
        <w:t>一、上市公司及全体董事、监事、高级管理人员声明</w:t>
      </w:r>
      <w:bookmarkEnd w:id="397"/>
    </w:p>
    <w:p w14:paraId="3DD5B48C" w14:textId="1BD11ECF" w:rsidR="006416B0" w:rsidRPr="00B4515A" w:rsidRDefault="005E58C1" w:rsidP="008C1C67">
      <w:pPr>
        <w:pStyle w:val="005"/>
        <w:spacing w:before="120" w:after="120"/>
        <w:ind w:firstLine="480"/>
        <w:rPr>
          <w:color w:val="000000"/>
        </w:rPr>
      </w:pPr>
      <w:r w:rsidRPr="00B4515A">
        <w:rPr>
          <w:rFonts w:hint="eastAsia"/>
          <w:color w:val="000000"/>
        </w:rPr>
        <w:t>本公司全体董事、监事、高级管理人员承诺《</w:t>
      </w:r>
      <w:r w:rsidRPr="00B4515A">
        <w:rPr>
          <w:color w:val="000000"/>
        </w:rPr>
        <w:t>大唐电信科技股份有限公司发行股份购买资产并募集配套资金暨关联交易报告书（草案）</w:t>
      </w:r>
      <w:r w:rsidRPr="00B4515A">
        <w:rPr>
          <w:rFonts w:hint="eastAsia"/>
          <w:color w:val="000000"/>
        </w:rPr>
        <w:t>》及其摘要，以及本公司所出具的相关申请文件不存在虚假记载、误导性陈述或重大遗漏，并对其真实性、准确性和完整性承担个别和连带的法律责任。</w:t>
      </w:r>
    </w:p>
    <w:p w14:paraId="4A7C3C85" w14:textId="77777777" w:rsidR="006416B0" w:rsidRPr="00B4515A" w:rsidRDefault="006416B0">
      <w:pPr>
        <w:spacing w:beforeLines="50" w:before="120" w:afterLines="50" w:after="120" w:line="360" w:lineRule="auto"/>
        <w:rPr>
          <w:rFonts w:asciiTheme="minorEastAsia" w:hAnsiTheme="minorEastAsia" w:cs="Times New Roman"/>
          <w:b/>
          <w:bCs/>
        </w:rPr>
      </w:pPr>
    </w:p>
    <w:p w14:paraId="1B2A961B" w14:textId="77777777" w:rsidR="006416B0" w:rsidRPr="00B4515A" w:rsidRDefault="005E58C1">
      <w:pPr>
        <w:spacing w:beforeLines="50" w:before="120" w:afterLines="50" w:after="120" w:line="360" w:lineRule="auto"/>
        <w:rPr>
          <w:rFonts w:asciiTheme="minorEastAsia" w:hAnsiTheme="minorEastAsia" w:cs="Times New Roman"/>
        </w:rPr>
      </w:pPr>
      <w:r w:rsidRPr="00B4515A">
        <w:rPr>
          <w:rFonts w:asciiTheme="minorEastAsia" w:hAnsiTheme="minorEastAsia" w:cs="Times New Roman" w:hint="eastAsia"/>
          <w:b/>
          <w:bCs/>
        </w:rPr>
        <w:t>全体董事签名：</w:t>
      </w:r>
    </w:p>
    <w:p w14:paraId="4BCD50D7" w14:textId="77777777" w:rsidR="006416B0" w:rsidRPr="00B4515A" w:rsidRDefault="006416B0">
      <w:pPr>
        <w:spacing w:beforeLines="50" w:before="120" w:afterLines="50" w:after="120"/>
        <w:rPr>
          <w:rFonts w:asciiTheme="minorEastAsia" w:hAnsiTheme="minorEastAsia" w:cs="Times New Roman"/>
        </w:rPr>
      </w:pPr>
    </w:p>
    <w:p w14:paraId="1EA32971" w14:textId="77777777" w:rsidR="006416B0" w:rsidRPr="00B4515A" w:rsidRDefault="006416B0">
      <w:pPr>
        <w:spacing w:beforeLines="50" w:before="120" w:afterLines="50" w:after="120"/>
        <w:rPr>
          <w:rFonts w:asciiTheme="minorEastAsia" w:hAnsiTheme="minorEastAsia" w:cs="Times New Roman"/>
        </w:rPr>
      </w:pPr>
    </w:p>
    <w:p w14:paraId="747985A7" w14:textId="77777777" w:rsidR="006416B0" w:rsidRPr="00B4515A" w:rsidRDefault="005E58C1">
      <w:pPr>
        <w:spacing w:beforeLines="50" w:before="120" w:afterLines="50" w:after="120"/>
        <w:rPr>
          <w:rFonts w:ascii="Times New Roman" w:hAnsi="Times New Roman" w:cs="Times New Roman"/>
        </w:rPr>
      </w:pPr>
      <w:r w:rsidRPr="00B4515A">
        <w:rPr>
          <w:rFonts w:ascii="Times New Roman" w:hAnsi="Times New Roman" w:cs="Times New Roman"/>
        </w:rPr>
        <w:t>___________                ___________              ___________</w:t>
      </w:r>
    </w:p>
    <w:p w14:paraId="75093AF2" w14:textId="77777777" w:rsidR="006416B0" w:rsidRPr="00B4515A" w:rsidRDefault="005E58C1">
      <w:pPr>
        <w:spacing w:beforeLines="50" w:before="120" w:afterLines="50" w:after="120"/>
        <w:ind w:firstLineChars="100" w:firstLine="240"/>
        <w:rPr>
          <w:rFonts w:ascii="Times New Roman" w:hAnsi="Times New Roman" w:cs="Times New Roman"/>
        </w:rPr>
      </w:pPr>
      <w:r w:rsidRPr="00B4515A">
        <w:rPr>
          <w:rFonts w:ascii="Times New Roman" w:hAnsi="Times New Roman" w:cs="Times New Roman" w:hint="eastAsia"/>
        </w:rPr>
        <w:t>雷信生</w:t>
      </w:r>
      <w:r w:rsidRPr="00B4515A">
        <w:rPr>
          <w:rFonts w:ascii="Times New Roman" w:hAnsi="Times New Roman" w:cs="Times New Roman"/>
        </w:rPr>
        <w:t xml:space="preserve">                     </w:t>
      </w:r>
      <w:r w:rsidRPr="00B4515A">
        <w:rPr>
          <w:rFonts w:ascii="Times New Roman" w:hAnsi="Times New Roman" w:cs="Times New Roman" w:hint="eastAsia"/>
        </w:rPr>
        <w:t>马建成</w:t>
      </w:r>
      <w:r w:rsidRPr="00B4515A">
        <w:rPr>
          <w:rFonts w:ascii="Times New Roman" w:hAnsi="Times New Roman" w:cs="Times New Roman"/>
        </w:rPr>
        <w:t xml:space="preserve">                    </w:t>
      </w:r>
      <w:r w:rsidRPr="00B4515A">
        <w:rPr>
          <w:rFonts w:ascii="Times New Roman" w:hAnsi="Times New Roman" w:cs="Times New Roman" w:hint="eastAsia"/>
        </w:rPr>
        <w:t>马</w:t>
      </w:r>
      <w:r w:rsidRPr="00B4515A">
        <w:rPr>
          <w:rFonts w:ascii="Times New Roman" w:hAnsi="Times New Roman" w:cs="Times New Roman" w:hint="eastAsia"/>
        </w:rPr>
        <w:t xml:space="preserve"> </w:t>
      </w:r>
      <w:r w:rsidRPr="00B4515A">
        <w:rPr>
          <w:rFonts w:ascii="Times New Roman" w:hAnsi="Times New Roman" w:cs="Times New Roman" w:hint="eastAsia"/>
        </w:rPr>
        <w:t>超</w:t>
      </w:r>
      <w:r w:rsidRPr="00B4515A">
        <w:rPr>
          <w:rFonts w:ascii="Times New Roman" w:hAnsi="Times New Roman" w:cs="Times New Roman"/>
        </w:rPr>
        <w:t xml:space="preserve">                                      </w:t>
      </w:r>
    </w:p>
    <w:p w14:paraId="7E2749AD" w14:textId="77777777" w:rsidR="006416B0" w:rsidRPr="00B4515A" w:rsidRDefault="006416B0">
      <w:pPr>
        <w:spacing w:beforeLines="50" w:before="120" w:afterLines="50" w:after="120"/>
        <w:rPr>
          <w:rFonts w:ascii="Times New Roman" w:hAnsi="Times New Roman" w:cs="Times New Roman"/>
        </w:rPr>
      </w:pPr>
    </w:p>
    <w:p w14:paraId="4442641D" w14:textId="77777777" w:rsidR="006416B0" w:rsidRPr="00B4515A" w:rsidRDefault="006416B0">
      <w:pPr>
        <w:spacing w:beforeLines="50" w:before="120" w:afterLines="50" w:after="120"/>
        <w:rPr>
          <w:rFonts w:ascii="Times New Roman" w:hAnsi="Times New Roman" w:cs="Times New Roman"/>
        </w:rPr>
      </w:pPr>
    </w:p>
    <w:p w14:paraId="42078686" w14:textId="77777777" w:rsidR="006416B0" w:rsidRPr="00B4515A" w:rsidRDefault="005E58C1">
      <w:pPr>
        <w:spacing w:beforeLines="50" w:before="120" w:afterLines="50" w:after="120"/>
        <w:rPr>
          <w:rFonts w:ascii="Times New Roman" w:hAnsi="Times New Roman" w:cs="Times New Roman"/>
        </w:rPr>
      </w:pPr>
      <w:r w:rsidRPr="00B4515A">
        <w:rPr>
          <w:rFonts w:ascii="Times New Roman" w:hAnsi="Times New Roman" w:cs="Times New Roman"/>
        </w:rPr>
        <w:t>___________                ___________              ___________</w:t>
      </w:r>
    </w:p>
    <w:p w14:paraId="35C0A24A" w14:textId="77777777" w:rsidR="006416B0" w:rsidRPr="00B4515A" w:rsidRDefault="005E58C1">
      <w:pPr>
        <w:spacing w:beforeLines="50" w:before="120" w:afterLines="50" w:after="120"/>
        <w:ind w:firstLineChars="100" w:firstLine="240"/>
        <w:rPr>
          <w:rFonts w:ascii="Times New Roman" w:hAnsi="Times New Roman" w:cs="Times New Roman"/>
        </w:rPr>
      </w:pPr>
      <w:r w:rsidRPr="00B4515A">
        <w:rPr>
          <w:rFonts w:ascii="Times New Roman" w:hAnsi="Times New Roman" w:cs="Times New Roman" w:hint="eastAsia"/>
        </w:rPr>
        <w:t>谢德平</w:t>
      </w:r>
      <w:r w:rsidRPr="00B4515A">
        <w:rPr>
          <w:rFonts w:ascii="Times New Roman" w:hAnsi="Times New Roman" w:cs="Times New Roman"/>
        </w:rPr>
        <w:t xml:space="preserve">                     </w:t>
      </w:r>
      <w:r w:rsidRPr="00B4515A">
        <w:rPr>
          <w:rFonts w:ascii="Times New Roman" w:hAnsi="Times New Roman" w:cs="Times New Roman" w:hint="eastAsia"/>
        </w:rPr>
        <w:t>宗文龙</w:t>
      </w:r>
      <w:r w:rsidRPr="00B4515A">
        <w:rPr>
          <w:rFonts w:ascii="Times New Roman" w:hAnsi="Times New Roman" w:cs="Times New Roman"/>
        </w:rPr>
        <w:t xml:space="preserve">                   </w:t>
      </w:r>
      <w:r w:rsidRPr="00B4515A">
        <w:rPr>
          <w:rFonts w:ascii="Times New Roman" w:hAnsi="Times New Roman" w:cs="Times New Roman" w:hint="eastAsia"/>
        </w:rPr>
        <w:t>李可杰</w:t>
      </w:r>
      <w:r w:rsidRPr="00B4515A">
        <w:rPr>
          <w:rFonts w:ascii="Times New Roman" w:hAnsi="Times New Roman" w:cs="Times New Roman"/>
        </w:rPr>
        <w:t xml:space="preserve">  </w:t>
      </w:r>
    </w:p>
    <w:p w14:paraId="3A1EC208" w14:textId="77777777" w:rsidR="006416B0" w:rsidRPr="00B4515A" w:rsidRDefault="006416B0">
      <w:pPr>
        <w:spacing w:beforeLines="50" w:before="120" w:afterLines="50" w:after="120"/>
        <w:rPr>
          <w:rFonts w:asciiTheme="minorEastAsia" w:hAnsiTheme="minorEastAsia" w:cs="Times New Roman"/>
        </w:rPr>
      </w:pPr>
    </w:p>
    <w:p w14:paraId="49067BE1" w14:textId="77777777" w:rsidR="006416B0" w:rsidRPr="00B4515A" w:rsidRDefault="006416B0">
      <w:pPr>
        <w:spacing w:beforeLines="50" w:before="120" w:afterLines="50" w:after="120"/>
        <w:rPr>
          <w:rFonts w:asciiTheme="minorEastAsia" w:hAnsiTheme="minorEastAsia" w:cs="Times New Roman"/>
        </w:rPr>
      </w:pPr>
    </w:p>
    <w:p w14:paraId="18CB51D0" w14:textId="77777777" w:rsidR="006416B0" w:rsidRPr="00B4515A" w:rsidRDefault="005E58C1">
      <w:pPr>
        <w:spacing w:beforeLines="50" w:before="120" w:afterLines="50" w:after="120"/>
        <w:rPr>
          <w:rFonts w:ascii="Times New Roman" w:hAnsi="Times New Roman" w:cs="Times New Roman"/>
        </w:rPr>
      </w:pPr>
      <w:r w:rsidRPr="00B4515A">
        <w:rPr>
          <w:rFonts w:ascii="Times New Roman" w:hAnsi="Times New Roman" w:cs="Times New Roman"/>
        </w:rPr>
        <w:t xml:space="preserve">___________                </w:t>
      </w:r>
    </w:p>
    <w:p w14:paraId="4B0E61B1" w14:textId="77777777" w:rsidR="006416B0" w:rsidRPr="00B4515A" w:rsidRDefault="005E58C1">
      <w:pPr>
        <w:spacing w:beforeLines="50" w:before="120" w:afterLines="50" w:after="120"/>
        <w:ind w:firstLineChars="100" w:firstLine="240"/>
        <w:rPr>
          <w:rFonts w:ascii="Times New Roman" w:hAnsi="Times New Roman" w:cs="Times New Roman"/>
        </w:rPr>
      </w:pPr>
      <w:r w:rsidRPr="00B4515A">
        <w:rPr>
          <w:rFonts w:ascii="Times New Roman" w:hAnsi="Times New Roman" w:cs="Times New Roman" w:hint="eastAsia"/>
        </w:rPr>
        <w:t>杨放春</w:t>
      </w:r>
      <w:r w:rsidRPr="00B4515A">
        <w:rPr>
          <w:rFonts w:ascii="Times New Roman" w:hAnsi="Times New Roman" w:cs="Times New Roman"/>
        </w:rPr>
        <w:t xml:space="preserve">                  </w:t>
      </w:r>
    </w:p>
    <w:p w14:paraId="01C6A7EF" w14:textId="77777777" w:rsidR="006416B0" w:rsidRPr="00B4515A" w:rsidRDefault="006416B0">
      <w:pPr>
        <w:spacing w:beforeLines="50" w:before="120" w:afterLines="50" w:after="120"/>
        <w:rPr>
          <w:rFonts w:asciiTheme="minorEastAsia" w:hAnsiTheme="minorEastAsia" w:cs="Times New Roman"/>
        </w:rPr>
      </w:pPr>
    </w:p>
    <w:p w14:paraId="3D252D21" w14:textId="77777777" w:rsidR="006416B0" w:rsidRPr="00B4515A" w:rsidRDefault="005E58C1" w:rsidP="008C1C67">
      <w:pPr>
        <w:pStyle w:val="005"/>
        <w:spacing w:before="120" w:after="120"/>
        <w:ind w:firstLineChars="0" w:firstLine="0"/>
        <w:jc w:val="right"/>
      </w:pPr>
      <w:r w:rsidRPr="00B4515A">
        <w:rPr>
          <w:rFonts w:hint="eastAsia"/>
        </w:rPr>
        <w:t>大唐电信科技股份有限公司</w:t>
      </w:r>
    </w:p>
    <w:p w14:paraId="56411265" w14:textId="77777777" w:rsidR="006416B0" w:rsidRPr="00B4515A" w:rsidRDefault="006416B0" w:rsidP="008C1C67">
      <w:pPr>
        <w:pStyle w:val="005"/>
        <w:spacing w:before="120" w:after="120"/>
        <w:ind w:firstLineChars="0" w:firstLine="0"/>
        <w:jc w:val="right"/>
      </w:pPr>
    </w:p>
    <w:p w14:paraId="196BA182" w14:textId="77777777" w:rsidR="006416B0" w:rsidRPr="00B4515A" w:rsidRDefault="005E58C1" w:rsidP="008C1C67">
      <w:pPr>
        <w:pStyle w:val="005"/>
        <w:spacing w:before="120" w:after="120"/>
        <w:ind w:firstLineChars="0" w:firstLine="0"/>
        <w:jc w:val="right"/>
      </w:pPr>
      <w:r w:rsidRPr="00B4515A">
        <w:t>年</w:t>
      </w:r>
      <w:r w:rsidRPr="00B4515A">
        <w:t xml:space="preserve">  </w:t>
      </w:r>
      <w:r w:rsidRPr="00B4515A">
        <w:t>月</w:t>
      </w:r>
      <w:r w:rsidRPr="00B4515A">
        <w:t xml:space="preserve">  </w:t>
      </w:r>
      <w:r w:rsidRPr="00B4515A">
        <w:t>日</w:t>
      </w:r>
    </w:p>
    <w:p w14:paraId="511FB285" w14:textId="77777777" w:rsidR="006416B0" w:rsidRPr="00B4515A" w:rsidRDefault="005E58C1">
      <w:pPr>
        <w:spacing w:beforeLines="50" w:before="120" w:afterLines="50" w:after="120" w:line="360" w:lineRule="auto"/>
        <w:ind w:firstLineChars="200" w:firstLine="480"/>
        <w:rPr>
          <w:rFonts w:ascii="黑体" w:eastAsia="黑体" w:hAnsi="黑体" w:cs="Times New Roman"/>
          <w:b/>
          <w:bCs/>
          <w:sz w:val="28"/>
          <w:szCs w:val="28"/>
        </w:rPr>
      </w:pPr>
      <w:r w:rsidRPr="00B4515A">
        <w:br w:type="page"/>
      </w:r>
      <w:r w:rsidRPr="00B4515A">
        <w:rPr>
          <w:rFonts w:ascii="Times New Roman" w:eastAsia="黑体" w:hAnsi="Times New Roman" w:cs="Times New Roman" w:hint="eastAsia"/>
          <w:b/>
          <w:bCs/>
          <w:sz w:val="28"/>
          <w:szCs w:val="28"/>
        </w:rPr>
        <w:lastRenderedPageBreak/>
        <w:t>一、上市公司及全体董事、监事、高级管理人员声明</w:t>
      </w:r>
    </w:p>
    <w:p w14:paraId="48107E4B" w14:textId="433FB4A8" w:rsidR="006416B0" w:rsidRPr="00B4515A" w:rsidRDefault="005E58C1">
      <w:pPr>
        <w:pStyle w:val="005"/>
        <w:spacing w:before="120" w:after="120"/>
        <w:ind w:firstLine="480"/>
        <w:rPr>
          <w:color w:val="000000"/>
        </w:rPr>
      </w:pPr>
      <w:r w:rsidRPr="00B4515A">
        <w:rPr>
          <w:rFonts w:hint="eastAsia"/>
          <w:color w:val="000000"/>
        </w:rPr>
        <w:t>本公司全体董事、监事、高级管理人员承诺《</w:t>
      </w:r>
      <w:r w:rsidRPr="00B4515A">
        <w:rPr>
          <w:color w:val="000000"/>
        </w:rPr>
        <w:t>大唐电信科技股份有限公司发行股份购买资产并募集配套资金暨关联交易报告书（草案）</w:t>
      </w:r>
      <w:r w:rsidRPr="00B4515A">
        <w:rPr>
          <w:rFonts w:hint="eastAsia"/>
          <w:color w:val="000000"/>
        </w:rPr>
        <w:t>》及其摘要，以及本公司所出具的相关申请文件不存在虚假记载、误导性陈述或重大遗漏，并对其真实性、准确性和完整性承担个别和连带的法律责任。</w:t>
      </w:r>
    </w:p>
    <w:p w14:paraId="3BC9E541" w14:textId="77777777" w:rsidR="006416B0" w:rsidRPr="00B4515A" w:rsidRDefault="006416B0">
      <w:pPr>
        <w:spacing w:beforeLines="50" w:before="120" w:afterLines="50" w:after="120" w:line="360" w:lineRule="auto"/>
        <w:rPr>
          <w:rFonts w:asciiTheme="minorEastAsia" w:hAnsiTheme="minorEastAsia" w:cs="Times New Roman"/>
          <w:b/>
          <w:bCs/>
        </w:rPr>
      </w:pPr>
    </w:p>
    <w:p w14:paraId="4B6CB891" w14:textId="77777777" w:rsidR="006416B0" w:rsidRPr="00B4515A" w:rsidRDefault="005E58C1">
      <w:pPr>
        <w:spacing w:beforeLines="50" w:before="120" w:afterLines="50" w:after="120" w:line="360" w:lineRule="auto"/>
        <w:rPr>
          <w:rFonts w:asciiTheme="minorEastAsia" w:hAnsiTheme="minorEastAsia" w:cs="Times New Roman"/>
        </w:rPr>
      </w:pPr>
      <w:r w:rsidRPr="00B4515A">
        <w:rPr>
          <w:rFonts w:asciiTheme="minorEastAsia" w:hAnsiTheme="minorEastAsia" w:cs="Times New Roman" w:hint="eastAsia"/>
          <w:b/>
          <w:bCs/>
        </w:rPr>
        <w:t>全体监事签名：</w:t>
      </w:r>
    </w:p>
    <w:p w14:paraId="24F1773B" w14:textId="77777777" w:rsidR="006416B0" w:rsidRPr="00B4515A" w:rsidRDefault="006416B0">
      <w:pPr>
        <w:spacing w:beforeLines="50" w:before="120" w:afterLines="50" w:after="120"/>
        <w:rPr>
          <w:rFonts w:asciiTheme="minorEastAsia" w:hAnsiTheme="minorEastAsia" w:cs="Times New Roman"/>
        </w:rPr>
      </w:pPr>
    </w:p>
    <w:p w14:paraId="5E77E321" w14:textId="77777777" w:rsidR="006416B0" w:rsidRPr="00B4515A" w:rsidRDefault="006416B0">
      <w:pPr>
        <w:spacing w:beforeLines="50" w:before="120" w:afterLines="50" w:after="120"/>
        <w:rPr>
          <w:rFonts w:asciiTheme="minorEastAsia" w:hAnsiTheme="minorEastAsia" w:cs="Times New Roman"/>
        </w:rPr>
      </w:pPr>
    </w:p>
    <w:p w14:paraId="38515AE1" w14:textId="77777777" w:rsidR="006416B0" w:rsidRPr="00B4515A" w:rsidRDefault="006416B0">
      <w:pPr>
        <w:spacing w:beforeLines="50" w:before="120" w:afterLines="50" w:after="120"/>
        <w:rPr>
          <w:rFonts w:asciiTheme="minorEastAsia" w:hAnsiTheme="minorEastAsia" w:cs="Times New Roman"/>
        </w:rPr>
      </w:pPr>
    </w:p>
    <w:p w14:paraId="2418472D" w14:textId="77777777" w:rsidR="006416B0" w:rsidRPr="00B4515A" w:rsidRDefault="005E58C1">
      <w:pPr>
        <w:spacing w:beforeLines="50" w:before="120" w:afterLines="50" w:after="120"/>
        <w:rPr>
          <w:rFonts w:asciiTheme="minorEastAsia" w:hAnsiTheme="minorEastAsia" w:cs="Times New Roman"/>
        </w:rPr>
      </w:pPr>
      <w:r w:rsidRPr="00B4515A">
        <w:rPr>
          <w:rFonts w:ascii="Times New Roman" w:hAnsi="Times New Roman" w:cs="Times New Roman"/>
        </w:rPr>
        <w:t>___________</w:t>
      </w:r>
      <w:r w:rsidRPr="00B4515A">
        <w:rPr>
          <w:rFonts w:asciiTheme="minorEastAsia" w:hAnsiTheme="minorEastAsia" w:cs="Times New Roman"/>
        </w:rPr>
        <w:t xml:space="preserve">               </w:t>
      </w:r>
      <w:r w:rsidRPr="00B4515A">
        <w:rPr>
          <w:rFonts w:ascii="Times New Roman" w:hAnsi="Times New Roman" w:cs="Times New Roman"/>
        </w:rPr>
        <w:t>___________</w:t>
      </w:r>
      <w:r w:rsidRPr="00B4515A">
        <w:rPr>
          <w:rFonts w:asciiTheme="minorEastAsia" w:hAnsiTheme="minorEastAsia" w:cs="Times New Roman"/>
        </w:rPr>
        <w:t xml:space="preserve">              </w:t>
      </w:r>
      <w:r w:rsidRPr="00B4515A">
        <w:rPr>
          <w:rFonts w:ascii="Times New Roman" w:hAnsi="Times New Roman" w:cs="Times New Roman"/>
        </w:rPr>
        <w:t>___________</w:t>
      </w:r>
    </w:p>
    <w:p w14:paraId="526F503B" w14:textId="77777777" w:rsidR="006416B0" w:rsidRPr="00B4515A" w:rsidRDefault="005E58C1">
      <w:pPr>
        <w:spacing w:beforeLines="50" w:before="120" w:afterLines="50" w:after="120"/>
        <w:ind w:firstLineChars="150" w:firstLine="360"/>
        <w:rPr>
          <w:rFonts w:asciiTheme="minorEastAsia" w:hAnsiTheme="minorEastAsia" w:cs="Times New Roman"/>
        </w:rPr>
      </w:pPr>
      <w:r w:rsidRPr="00B4515A">
        <w:rPr>
          <w:rFonts w:asciiTheme="minorEastAsia" w:hAnsiTheme="minorEastAsia" w:cs="Times New Roman" w:hint="eastAsia"/>
        </w:rPr>
        <w:t>段茂忠</w:t>
      </w:r>
      <w:r w:rsidRPr="00B4515A">
        <w:rPr>
          <w:rFonts w:asciiTheme="minorEastAsia" w:hAnsiTheme="minorEastAsia" w:cs="Times New Roman"/>
        </w:rPr>
        <w:t xml:space="preserve">                   </w:t>
      </w:r>
      <w:r w:rsidRPr="00B4515A">
        <w:rPr>
          <w:rFonts w:asciiTheme="minorEastAsia" w:hAnsiTheme="minorEastAsia" w:cs="Times New Roman" w:hint="eastAsia"/>
        </w:rPr>
        <w:t>邵晓夏</w:t>
      </w:r>
      <w:r w:rsidRPr="00B4515A">
        <w:rPr>
          <w:rFonts w:asciiTheme="minorEastAsia" w:hAnsiTheme="minorEastAsia" w:cs="Times New Roman"/>
        </w:rPr>
        <w:t xml:space="preserve">                    </w:t>
      </w:r>
      <w:r w:rsidRPr="00B4515A">
        <w:rPr>
          <w:rFonts w:asciiTheme="minorEastAsia" w:hAnsiTheme="minorEastAsia" w:cs="Times New Roman" w:hint="eastAsia"/>
        </w:rPr>
        <w:t>戎 玉</w:t>
      </w:r>
    </w:p>
    <w:p w14:paraId="1365BAD5" w14:textId="77777777" w:rsidR="006416B0" w:rsidRPr="00B4515A" w:rsidRDefault="006416B0">
      <w:pPr>
        <w:spacing w:beforeLines="50" w:before="120" w:afterLines="50" w:after="120"/>
        <w:ind w:firstLineChars="250" w:firstLine="600"/>
        <w:rPr>
          <w:rFonts w:asciiTheme="minorEastAsia" w:hAnsiTheme="minorEastAsia" w:cs="Times New Roman"/>
        </w:rPr>
      </w:pPr>
    </w:p>
    <w:p w14:paraId="40BD3739" w14:textId="77777777" w:rsidR="006416B0" w:rsidRPr="00B4515A" w:rsidRDefault="006416B0">
      <w:pPr>
        <w:spacing w:beforeLines="50" w:before="120" w:afterLines="50" w:after="120"/>
        <w:rPr>
          <w:rFonts w:asciiTheme="minorEastAsia" w:hAnsiTheme="minorEastAsia" w:cs="Times New Roman"/>
        </w:rPr>
      </w:pPr>
    </w:p>
    <w:p w14:paraId="35FC683D" w14:textId="77777777" w:rsidR="006416B0" w:rsidRPr="00B4515A" w:rsidRDefault="005E58C1">
      <w:pPr>
        <w:spacing w:beforeLines="50" w:before="120" w:afterLines="50" w:after="120"/>
        <w:ind w:firstLineChars="250" w:firstLine="600"/>
        <w:rPr>
          <w:rFonts w:asciiTheme="minorEastAsia" w:hAnsiTheme="minorEastAsia" w:cs="Times New Roman"/>
        </w:rPr>
      </w:pPr>
      <w:r w:rsidRPr="00B4515A">
        <w:rPr>
          <w:rFonts w:asciiTheme="minorEastAsia" w:hAnsiTheme="minorEastAsia" w:cs="Times New Roman"/>
        </w:rPr>
        <w:t xml:space="preserve">                    </w:t>
      </w:r>
    </w:p>
    <w:p w14:paraId="2F37C088" w14:textId="77777777" w:rsidR="006416B0" w:rsidRPr="00B4515A" w:rsidRDefault="006416B0">
      <w:pPr>
        <w:spacing w:beforeLines="50" w:before="120" w:afterLines="50" w:after="120"/>
        <w:ind w:firstLineChars="250" w:firstLine="600"/>
        <w:rPr>
          <w:rFonts w:asciiTheme="minorEastAsia" w:hAnsiTheme="minorEastAsia" w:cs="Times New Roman"/>
        </w:rPr>
      </w:pPr>
    </w:p>
    <w:p w14:paraId="08E1E91E" w14:textId="77777777" w:rsidR="006416B0" w:rsidRPr="00B4515A" w:rsidRDefault="006416B0">
      <w:pPr>
        <w:spacing w:beforeLines="50" w:before="120" w:afterLines="50" w:after="120"/>
        <w:rPr>
          <w:rFonts w:asciiTheme="minorEastAsia" w:hAnsiTheme="minorEastAsia" w:cs="Times New Roman"/>
        </w:rPr>
      </w:pPr>
    </w:p>
    <w:p w14:paraId="5DB8D0DB" w14:textId="77777777" w:rsidR="006416B0" w:rsidRPr="00B4515A" w:rsidRDefault="006416B0">
      <w:pPr>
        <w:spacing w:beforeLines="50" w:before="120" w:afterLines="50" w:after="120"/>
        <w:rPr>
          <w:rFonts w:asciiTheme="minorEastAsia" w:hAnsiTheme="minorEastAsia" w:cs="Times New Roman"/>
        </w:rPr>
      </w:pPr>
    </w:p>
    <w:p w14:paraId="16313ACD" w14:textId="77777777" w:rsidR="006416B0" w:rsidRPr="00B4515A" w:rsidRDefault="005E58C1" w:rsidP="008C1C67">
      <w:pPr>
        <w:pStyle w:val="005"/>
        <w:spacing w:before="120" w:after="120"/>
        <w:ind w:firstLineChars="0" w:firstLine="0"/>
        <w:jc w:val="right"/>
      </w:pPr>
      <w:r w:rsidRPr="00B4515A">
        <w:rPr>
          <w:rFonts w:hint="eastAsia"/>
        </w:rPr>
        <w:t>大唐电信科技股份有限公司</w:t>
      </w:r>
    </w:p>
    <w:p w14:paraId="79A98AC2" w14:textId="77777777" w:rsidR="006416B0" w:rsidRPr="00B4515A" w:rsidRDefault="006416B0" w:rsidP="008C1C67">
      <w:pPr>
        <w:pStyle w:val="005"/>
        <w:spacing w:before="120" w:after="120"/>
        <w:ind w:firstLineChars="0" w:firstLine="0"/>
        <w:jc w:val="right"/>
      </w:pPr>
    </w:p>
    <w:p w14:paraId="783D2ED5" w14:textId="77777777" w:rsidR="006416B0" w:rsidRPr="00B4515A" w:rsidRDefault="005E58C1" w:rsidP="008C1C67">
      <w:pPr>
        <w:pStyle w:val="005"/>
        <w:spacing w:before="120" w:after="120"/>
        <w:ind w:firstLineChars="0" w:firstLine="0"/>
        <w:jc w:val="right"/>
      </w:pPr>
      <w:r w:rsidRPr="00B4515A">
        <w:t>年</w:t>
      </w:r>
      <w:r w:rsidRPr="00B4515A">
        <w:t xml:space="preserve">  </w:t>
      </w:r>
      <w:r w:rsidRPr="00B4515A">
        <w:t>月</w:t>
      </w:r>
      <w:r w:rsidRPr="00B4515A">
        <w:t xml:space="preserve">  </w:t>
      </w:r>
      <w:r w:rsidRPr="00B4515A">
        <w:t>日</w:t>
      </w:r>
    </w:p>
    <w:p w14:paraId="5E3A930B" w14:textId="77777777" w:rsidR="006416B0" w:rsidRPr="00B4515A" w:rsidRDefault="005E58C1">
      <w:pPr>
        <w:rPr>
          <w:rFonts w:ascii="Times New Roman" w:hAnsi="Times New Roman" w:cs="Times New Roman"/>
          <w:color w:val="000000"/>
        </w:rPr>
      </w:pPr>
      <w:r w:rsidRPr="00B4515A">
        <w:rPr>
          <w:rFonts w:ascii="Times New Roman" w:hAnsi="Times New Roman" w:cs="Times New Roman"/>
          <w:color w:val="000000"/>
        </w:rPr>
        <w:br w:type="page"/>
      </w:r>
    </w:p>
    <w:p w14:paraId="0827FBF8" w14:textId="2B219AE3" w:rsidR="006416B0" w:rsidRPr="00B4515A" w:rsidRDefault="005E58C1" w:rsidP="00907B6E">
      <w:pPr>
        <w:spacing w:beforeLines="50" w:before="120" w:afterLines="50" w:after="120" w:line="360" w:lineRule="auto"/>
        <w:ind w:firstLineChars="200" w:firstLine="562"/>
        <w:rPr>
          <w:rFonts w:ascii="Times New Roman" w:eastAsia="黑体" w:hAnsi="Times New Roman" w:cs="Times New Roman"/>
          <w:b/>
          <w:bCs/>
          <w:sz w:val="28"/>
          <w:szCs w:val="28"/>
        </w:rPr>
      </w:pPr>
      <w:r w:rsidRPr="00B4515A">
        <w:rPr>
          <w:rFonts w:ascii="Times New Roman" w:eastAsia="黑体" w:hAnsi="Times New Roman" w:cs="Times New Roman" w:hint="eastAsia"/>
          <w:b/>
          <w:bCs/>
          <w:sz w:val="28"/>
          <w:szCs w:val="28"/>
        </w:rPr>
        <w:lastRenderedPageBreak/>
        <w:t>一、上市公司及全体董事、监事、高级管理人员声明</w:t>
      </w:r>
    </w:p>
    <w:p w14:paraId="00FA0CF3" w14:textId="34EE75BE" w:rsidR="006416B0" w:rsidRPr="00B4515A" w:rsidRDefault="005E58C1">
      <w:pPr>
        <w:pStyle w:val="005"/>
        <w:spacing w:before="120" w:after="120"/>
        <w:ind w:firstLine="480"/>
        <w:rPr>
          <w:color w:val="000000"/>
        </w:rPr>
      </w:pPr>
      <w:r w:rsidRPr="00B4515A">
        <w:rPr>
          <w:rFonts w:hint="eastAsia"/>
          <w:color w:val="000000"/>
        </w:rPr>
        <w:t>本公司全体董事、监事、高级管理人员承诺《</w:t>
      </w:r>
      <w:r w:rsidRPr="00B4515A">
        <w:rPr>
          <w:color w:val="000000"/>
        </w:rPr>
        <w:t>大唐电信科技股份有限公司发行股份购买资产并募集配套资金暨关联交易报告书（草案）</w:t>
      </w:r>
      <w:r w:rsidRPr="00B4515A">
        <w:rPr>
          <w:rFonts w:hint="eastAsia"/>
          <w:color w:val="000000"/>
        </w:rPr>
        <w:t>》及其摘要，以及本公司所出具的相关申请文件不存在虚假记载、误导性陈述或重大遗漏，并对其真实性、准确性和完整性承担个别和连带的法律责任。</w:t>
      </w:r>
    </w:p>
    <w:p w14:paraId="13CF6E11" w14:textId="77777777" w:rsidR="006416B0" w:rsidRPr="00B4515A" w:rsidRDefault="006416B0">
      <w:pPr>
        <w:rPr>
          <w:rFonts w:ascii="Times New Roman" w:hAnsi="Times New Roman" w:cs="Times New Roman"/>
          <w:b/>
          <w:bCs/>
        </w:rPr>
      </w:pPr>
    </w:p>
    <w:p w14:paraId="17BE46F7" w14:textId="77777777" w:rsidR="006416B0" w:rsidRPr="00B4515A" w:rsidRDefault="005E58C1">
      <w:pPr>
        <w:rPr>
          <w:rFonts w:ascii="Times New Roman" w:hAnsi="Times New Roman" w:cs="Times New Roman"/>
        </w:rPr>
      </w:pPr>
      <w:r w:rsidRPr="00B4515A">
        <w:rPr>
          <w:rFonts w:ascii="Times New Roman" w:hAnsi="Times New Roman" w:cs="Times New Roman" w:hint="eastAsia"/>
          <w:b/>
          <w:bCs/>
        </w:rPr>
        <w:t>其他高级管理人员签名：</w:t>
      </w:r>
    </w:p>
    <w:p w14:paraId="79B526F7" w14:textId="77777777" w:rsidR="006416B0" w:rsidRPr="00B4515A" w:rsidRDefault="006416B0">
      <w:pPr>
        <w:spacing w:beforeLines="50" w:before="120" w:afterLines="50" w:after="120"/>
        <w:rPr>
          <w:rFonts w:ascii="Times New Roman" w:hAnsi="Times New Roman" w:cs="Times New Roman"/>
        </w:rPr>
      </w:pPr>
    </w:p>
    <w:p w14:paraId="35A4C0E3" w14:textId="77777777" w:rsidR="006416B0" w:rsidRPr="00B4515A" w:rsidRDefault="006416B0">
      <w:pPr>
        <w:spacing w:beforeLines="50" w:before="120" w:afterLines="50" w:after="120"/>
        <w:rPr>
          <w:rFonts w:ascii="Times New Roman" w:hAnsi="Times New Roman" w:cs="Times New Roman"/>
        </w:rPr>
      </w:pPr>
    </w:p>
    <w:p w14:paraId="0C889CF5" w14:textId="77777777" w:rsidR="006416B0" w:rsidRPr="00B4515A" w:rsidRDefault="005E58C1">
      <w:pPr>
        <w:spacing w:beforeLines="50" w:before="120" w:afterLines="50" w:after="120"/>
        <w:ind w:firstLineChars="100" w:firstLine="240"/>
      </w:pPr>
      <w:r w:rsidRPr="00B4515A">
        <w:t>___________               ___________            ___________</w:t>
      </w:r>
    </w:p>
    <w:p w14:paraId="6FFA2A55" w14:textId="77777777" w:rsidR="006416B0" w:rsidRPr="00B4515A" w:rsidRDefault="005E58C1">
      <w:pPr>
        <w:spacing w:beforeLines="50" w:before="120" w:afterLines="50" w:after="120"/>
        <w:ind w:firstLineChars="200" w:firstLine="480"/>
      </w:pPr>
      <w:r w:rsidRPr="00B4515A">
        <w:rPr>
          <w:rFonts w:hint="eastAsia"/>
        </w:rPr>
        <w:t>蒋 昆</w:t>
      </w:r>
      <w:r w:rsidRPr="00B4515A">
        <w:t xml:space="preserve">                     欧阳国玉                </w:t>
      </w:r>
      <w:r w:rsidRPr="00B4515A">
        <w:rPr>
          <w:rFonts w:hint="eastAsia"/>
        </w:rPr>
        <w:t>王韶莉</w:t>
      </w:r>
    </w:p>
    <w:p w14:paraId="6B36FC15" w14:textId="77777777" w:rsidR="006416B0" w:rsidRPr="00B4515A" w:rsidRDefault="006416B0">
      <w:pPr>
        <w:spacing w:beforeLines="50" w:before="120" w:afterLines="50" w:after="120"/>
      </w:pPr>
    </w:p>
    <w:p w14:paraId="37719F8D" w14:textId="77777777" w:rsidR="006416B0" w:rsidRPr="00B4515A" w:rsidRDefault="006416B0">
      <w:pPr>
        <w:spacing w:beforeLines="50" w:before="120" w:afterLines="50" w:after="120"/>
      </w:pPr>
    </w:p>
    <w:p w14:paraId="1D02A9AF" w14:textId="77777777" w:rsidR="006416B0" w:rsidRPr="00B4515A" w:rsidRDefault="005E58C1">
      <w:pPr>
        <w:spacing w:beforeLines="50" w:before="120" w:afterLines="50" w:after="120"/>
        <w:ind w:firstLineChars="100" w:firstLine="240"/>
      </w:pPr>
      <w:r w:rsidRPr="00B4515A">
        <w:t xml:space="preserve">___________                         </w:t>
      </w:r>
    </w:p>
    <w:p w14:paraId="0A3460AA" w14:textId="77777777" w:rsidR="006416B0" w:rsidRPr="00B4515A" w:rsidRDefault="005E58C1">
      <w:pPr>
        <w:spacing w:beforeLines="50" w:before="120" w:afterLines="50" w:after="120"/>
        <w:ind w:firstLineChars="200" w:firstLine="480"/>
        <w:rPr>
          <w:rFonts w:asciiTheme="minorEastAsia" w:hAnsiTheme="minorEastAsia" w:cs="Times New Roman"/>
        </w:rPr>
      </w:pPr>
      <w:r w:rsidRPr="00B4515A">
        <w:rPr>
          <w:rFonts w:hint="eastAsia"/>
        </w:rPr>
        <w:t>商利平</w:t>
      </w:r>
      <w:r w:rsidRPr="00B4515A">
        <w:t xml:space="preserve">                      </w:t>
      </w:r>
      <w:r w:rsidRPr="00B4515A">
        <w:rPr>
          <w:rFonts w:ascii="Times New Roman" w:hAnsi="Times New Roman"/>
        </w:rPr>
        <w:t xml:space="preserve">      </w:t>
      </w:r>
    </w:p>
    <w:p w14:paraId="166D152E" w14:textId="77777777" w:rsidR="006416B0" w:rsidRPr="00B4515A" w:rsidRDefault="006416B0">
      <w:pPr>
        <w:spacing w:beforeLines="50" w:before="120" w:afterLines="50" w:after="120"/>
        <w:rPr>
          <w:rFonts w:asciiTheme="minorEastAsia" w:hAnsiTheme="minorEastAsia" w:cs="Times New Roman"/>
        </w:rPr>
      </w:pPr>
    </w:p>
    <w:p w14:paraId="71D23AC2" w14:textId="77777777" w:rsidR="006416B0" w:rsidRPr="00B4515A" w:rsidRDefault="006416B0">
      <w:pPr>
        <w:spacing w:beforeLines="50" w:before="120" w:afterLines="50" w:after="120"/>
        <w:rPr>
          <w:rFonts w:asciiTheme="minorEastAsia" w:hAnsiTheme="minorEastAsia" w:cs="Times New Roman"/>
        </w:rPr>
      </w:pPr>
    </w:p>
    <w:p w14:paraId="29251565" w14:textId="77777777" w:rsidR="006416B0" w:rsidRPr="00B4515A" w:rsidRDefault="005E58C1" w:rsidP="008C1C67">
      <w:pPr>
        <w:pStyle w:val="005"/>
        <w:spacing w:before="120" w:after="120"/>
        <w:ind w:firstLineChars="0" w:firstLine="0"/>
        <w:jc w:val="right"/>
      </w:pPr>
      <w:r w:rsidRPr="00B4515A">
        <w:rPr>
          <w:rFonts w:hint="eastAsia"/>
        </w:rPr>
        <w:t>大唐电信科技股份有限公司</w:t>
      </w:r>
    </w:p>
    <w:p w14:paraId="0EB29358" w14:textId="77777777" w:rsidR="006416B0" w:rsidRPr="00B4515A" w:rsidRDefault="006416B0" w:rsidP="008C1C67">
      <w:pPr>
        <w:pStyle w:val="005"/>
        <w:spacing w:before="120" w:after="120"/>
        <w:ind w:firstLineChars="0" w:firstLine="0"/>
        <w:jc w:val="right"/>
      </w:pPr>
    </w:p>
    <w:p w14:paraId="73CB4DAA" w14:textId="77777777" w:rsidR="006416B0" w:rsidRPr="00B4515A" w:rsidRDefault="005E58C1" w:rsidP="008C1C67">
      <w:pPr>
        <w:pStyle w:val="005"/>
        <w:spacing w:before="120" w:after="120"/>
        <w:ind w:firstLineChars="0" w:firstLine="0"/>
        <w:jc w:val="right"/>
      </w:pPr>
      <w:r w:rsidRPr="00B4515A">
        <w:t>年</w:t>
      </w:r>
      <w:r w:rsidRPr="00B4515A">
        <w:t xml:space="preserve">  </w:t>
      </w:r>
      <w:r w:rsidRPr="00B4515A">
        <w:t>月</w:t>
      </w:r>
      <w:r w:rsidRPr="00B4515A">
        <w:t xml:space="preserve">  </w:t>
      </w:r>
      <w:r w:rsidRPr="00B4515A">
        <w:t>日</w:t>
      </w:r>
    </w:p>
    <w:p w14:paraId="596F6386" w14:textId="77777777" w:rsidR="006416B0" w:rsidRPr="00B4515A" w:rsidRDefault="005E58C1">
      <w:pPr>
        <w:rPr>
          <w:rFonts w:ascii="Times New Roman" w:hAnsi="Times New Roman" w:cs="Times New Roman"/>
        </w:rPr>
      </w:pPr>
      <w:r w:rsidRPr="00B4515A">
        <w:rPr>
          <w:rFonts w:ascii="Times New Roman" w:hAnsi="Times New Roman" w:cs="Times New Roman"/>
        </w:rPr>
        <w:br w:type="page"/>
      </w:r>
    </w:p>
    <w:p w14:paraId="695C9F1A" w14:textId="2DE116C3" w:rsidR="00E737F8" w:rsidRPr="00B4515A" w:rsidRDefault="00E737F8" w:rsidP="0004078E">
      <w:pPr>
        <w:pStyle w:val="20"/>
        <w:spacing w:before="0" w:after="0" w:line="360" w:lineRule="auto"/>
        <w:ind w:firstLineChars="200" w:firstLine="562"/>
        <w:rPr>
          <w:rFonts w:ascii="Times New Roman" w:hAnsi="Times New Roman" w:cs="Times New Roman"/>
          <w:sz w:val="28"/>
          <w:szCs w:val="28"/>
        </w:rPr>
      </w:pPr>
      <w:bookmarkStart w:id="398" w:name="_Toc77436298"/>
      <w:bookmarkStart w:id="399" w:name="_Toc80960612"/>
      <w:bookmarkStart w:id="400" w:name="_GoBack"/>
      <w:bookmarkEnd w:id="400"/>
      <w:r w:rsidRPr="00B4515A">
        <w:rPr>
          <w:rFonts w:ascii="Times New Roman" w:hAnsi="Times New Roman" w:cs="Times New Roman" w:hint="eastAsia"/>
          <w:sz w:val="28"/>
          <w:szCs w:val="28"/>
        </w:rPr>
        <w:lastRenderedPageBreak/>
        <w:t>二、独立财务顾问声明</w:t>
      </w:r>
      <w:bookmarkEnd w:id="398"/>
      <w:bookmarkEnd w:id="399"/>
    </w:p>
    <w:p w14:paraId="2150861C" w14:textId="1B5623FA" w:rsidR="00E737F8" w:rsidRPr="00B4515A" w:rsidRDefault="00E737F8" w:rsidP="008C1C67">
      <w:pPr>
        <w:pStyle w:val="005"/>
        <w:spacing w:before="120" w:after="120"/>
        <w:ind w:firstLine="480"/>
        <w:rPr>
          <w:rFonts w:cs="宋体"/>
          <w:color w:val="000000"/>
        </w:rPr>
      </w:pPr>
      <w:r w:rsidRPr="00B4515A">
        <w:rPr>
          <w:rFonts w:cs="宋体" w:hint="eastAsia"/>
          <w:color w:val="000000"/>
        </w:rPr>
        <w:t>中银国际证券股份有限公司（以下简称</w:t>
      </w:r>
      <w:r w:rsidRPr="00B4515A">
        <w:rPr>
          <w:rFonts w:ascii="宋体" w:hAnsi="宋体" w:cs="宋体" w:hint="eastAsia"/>
          <w:color w:val="000000"/>
        </w:rPr>
        <w:t>“</w:t>
      </w:r>
      <w:r w:rsidRPr="00B4515A">
        <w:rPr>
          <w:rFonts w:cs="宋体" w:hint="eastAsia"/>
          <w:color w:val="000000"/>
        </w:rPr>
        <w:t>本公司</w:t>
      </w:r>
      <w:r w:rsidRPr="00B4515A">
        <w:rPr>
          <w:rFonts w:ascii="宋体" w:hAnsi="宋体" w:cs="宋体" w:hint="eastAsia"/>
          <w:color w:val="000000"/>
        </w:rPr>
        <w:t>”</w:t>
      </w:r>
      <w:r w:rsidRPr="00B4515A">
        <w:rPr>
          <w:rFonts w:cs="宋体" w:hint="eastAsia"/>
          <w:color w:val="000000"/>
        </w:rPr>
        <w:t>）及本公司经办人员同意《大唐电信科技股份有限公司发行股份购买资产并募集配套资金暨关联交易报告书（草案）》及其摘要引用本公司出具的独立财务顾问报告的内容，且所引用内容已经本公司及本公司经办人员审阅，确认《大唐电信科技股份有限公司发行股份购买资产并募集配套资金暨关联交易报告书（草案）》及其摘要不致因引用前述内容而出现虚假记载、误导性陈述或者重大遗漏，并对其真实性、准确性和完整性承担相应的法律责任。</w:t>
      </w:r>
    </w:p>
    <w:p w14:paraId="29359599" w14:textId="77777777" w:rsidR="00E737F8" w:rsidRPr="00B4515A" w:rsidRDefault="00E737F8" w:rsidP="008C1C67">
      <w:pPr>
        <w:pStyle w:val="005"/>
        <w:spacing w:before="120" w:after="120"/>
        <w:ind w:firstLine="480"/>
        <w:rPr>
          <w:rFonts w:cs="宋体"/>
          <w:color w:val="000000"/>
        </w:rPr>
      </w:pPr>
    </w:p>
    <w:p w14:paraId="07B8D59E" w14:textId="77777777" w:rsidR="00E737F8" w:rsidRPr="00B4515A" w:rsidRDefault="00E737F8" w:rsidP="008C1C67">
      <w:pPr>
        <w:pStyle w:val="005"/>
        <w:spacing w:before="120" w:after="120"/>
        <w:ind w:firstLine="480"/>
        <w:rPr>
          <w:rFonts w:cs="宋体"/>
          <w:color w:val="000000"/>
        </w:rPr>
      </w:pPr>
    </w:p>
    <w:p w14:paraId="58E7C95E" w14:textId="77777777" w:rsidR="00E737F8" w:rsidRPr="00B4515A" w:rsidRDefault="00E737F8" w:rsidP="00E737F8">
      <w:pPr>
        <w:spacing w:beforeLines="50" w:before="120" w:afterLines="50" w:after="120"/>
        <w:ind w:firstLineChars="200" w:firstLine="482"/>
        <w:rPr>
          <w:rFonts w:cs="Times New Roman"/>
          <w:b/>
        </w:rPr>
      </w:pPr>
      <w:r w:rsidRPr="00B4515A">
        <w:rPr>
          <w:rFonts w:cs="Times New Roman" w:hint="eastAsia"/>
          <w:b/>
          <w:lang w:bidi="ar"/>
        </w:rPr>
        <w:t>法定代表人或授权代表：</w:t>
      </w:r>
      <w:r w:rsidRPr="00B4515A">
        <w:rPr>
          <w:rFonts w:ascii="Times New Roman" w:hAnsi="Times New Roman" w:cs="Times New Roman"/>
          <w:lang w:bidi="ar"/>
        </w:rPr>
        <w:t xml:space="preserve">___________                    </w:t>
      </w:r>
    </w:p>
    <w:p w14:paraId="4F24F31D" w14:textId="77777777" w:rsidR="00E737F8" w:rsidRPr="00B4515A" w:rsidRDefault="00E737F8" w:rsidP="008C1C67">
      <w:pPr>
        <w:pStyle w:val="005"/>
        <w:spacing w:before="120" w:after="120"/>
        <w:ind w:firstLineChars="1400" w:firstLine="3360"/>
        <w:rPr>
          <w:color w:val="000000"/>
        </w:rPr>
      </w:pPr>
      <w:r w:rsidRPr="00B4515A">
        <w:rPr>
          <w:rFonts w:hint="eastAsia"/>
          <w:lang w:bidi="ar"/>
        </w:rPr>
        <w:t>宁</w:t>
      </w:r>
      <w:r w:rsidRPr="00B4515A">
        <w:rPr>
          <w:lang w:bidi="ar"/>
        </w:rPr>
        <w:t xml:space="preserve"> </w:t>
      </w:r>
      <w:r w:rsidRPr="00B4515A">
        <w:rPr>
          <w:rFonts w:hint="eastAsia"/>
          <w:lang w:bidi="ar"/>
        </w:rPr>
        <w:t>敏</w:t>
      </w:r>
      <w:r w:rsidRPr="00B4515A">
        <w:rPr>
          <w:lang w:bidi="ar"/>
        </w:rPr>
        <w:t xml:space="preserve">     </w:t>
      </w:r>
    </w:p>
    <w:p w14:paraId="578F82D0" w14:textId="77777777" w:rsidR="00E737F8" w:rsidRPr="00B4515A" w:rsidRDefault="00E737F8" w:rsidP="00E737F8">
      <w:pPr>
        <w:spacing w:beforeLines="50" w:before="120" w:afterLines="50" w:after="120" w:line="360" w:lineRule="auto"/>
        <w:rPr>
          <w:rFonts w:cs="Times New Roman"/>
          <w:b/>
        </w:rPr>
      </w:pPr>
    </w:p>
    <w:p w14:paraId="379A5941" w14:textId="77777777" w:rsidR="00E737F8" w:rsidRPr="00B4515A" w:rsidRDefault="00E737F8" w:rsidP="00E737F8">
      <w:pPr>
        <w:spacing w:beforeLines="50" w:before="120" w:afterLines="50" w:after="120"/>
        <w:ind w:firstLineChars="200" w:firstLine="482"/>
        <w:rPr>
          <w:rFonts w:ascii="Times New Roman" w:hAnsi="Times New Roman" w:cs="Times New Roman"/>
        </w:rPr>
      </w:pPr>
      <w:r w:rsidRPr="00B4515A">
        <w:rPr>
          <w:rFonts w:cs="Times New Roman" w:hint="eastAsia"/>
          <w:b/>
          <w:lang w:eastAsia="zh-Hans" w:bidi="ar"/>
        </w:rPr>
        <w:t>独立</w:t>
      </w:r>
      <w:r w:rsidRPr="00B4515A">
        <w:rPr>
          <w:rFonts w:cs="Times New Roman" w:hint="eastAsia"/>
          <w:b/>
          <w:lang w:bidi="ar"/>
        </w:rPr>
        <w:t>财务顾问主办人：</w:t>
      </w:r>
      <w:r w:rsidRPr="00B4515A">
        <w:rPr>
          <w:rFonts w:ascii="Times New Roman" w:hAnsi="Times New Roman" w:cs="Times New Roman"/>
          <w:lang w:bidi="ar"/>
        </w:rPr>
        <w:t xml:space="preserve">___________       ___________              </w:t>
      </w:r>
    </w:p>
    <w:p w14:paraId="375ED779" w14:textId="77777777" w:rsidR="00E737F8" w:rsidRPr="00B4515A" w:rsidRDefault="00E737F8" w:rsidP="00E737F8">
      <w:pPr>
        <w:spacing w:beforeLines="50" w:before="120" w:afterLines="50" w:after="120"/>
        <w:ind w:firstLineChars="1300" w:firstLine="3120"/>
        <w:rPr>
          <w:rFonts w:ascii="Times New Roman" w:hAnsi="Times New Roman" w:cs="Times New Roman"/>
        </w:rPr>
      </w:pPr>
      <w:r w:rsidRPr="00B4515A">
        <w:rPr>
          <w:rFonts w:ascii="Times New Roman" w:hAnsi="Times New Roman" w:cs="Times New Roman" w:hint="eastAsia"/>
          <w:lang w:bidi="ar"/>
        </w:rPr>
        <w:t>吴宗博</w:t>
      </w:r>
      <w:r w:rsidRPr="00B4515A">
        <w:rPr>
          <w:rFonts w:ascii="Times New Roman" w:hAnsi="Times New Roman" w:cs="Times New Roman"/>
          <w:lang w:bidi="ar"/>
        </w:rPr>
        <w:t xml:space="preserve">            </w:t>
      </w:r>
      <w:r w:rsidRPr="00B4515A">
        <w:rPr>
          <w:rFonts w:ascii="Times New Roman" w:hAnsi="Times New Roman" w:cs="Times New Roman" w:hint="eastAsia"/>
          <w:lang w:bidi="ar"/>
        </w:rPr>
        <w:t>王伟夫</w:t>
      </w:r>
    </w:p>
    <w:p w14:paraId="4C7D1406" w14:textId="77777777" w:rsidR="00E737F8" w:rsidRPr="00B4515A" w:rsidRDefault="00E737F8" w:rsidP="00E737F8">
      <w:pPr>
        <w:spacing w:beforeLines="50" w:before="120" w:afterLines="50" w:after="120"/>
        <w:rPr>
          <w:rFonts w:cs="Times New Roman"/>
          <w:b/>
        </w:rPr>
      </w:pPr>
    </w:p>
    <w:p w14:paraId="75760690" w14:textId="77777777" w:rsidR="00E737F8" w:rsidRPr="00B4515A" w:rsidRDefault="00E737F8" w:rsidP="00E737F8">
      <w:pPr>
        <w:pStyle w:val="04"/>
        <w:spacing w:before="120" w:after="120"/>
        <w:ind w:firstLine="482"/>
        <w:rPr>
          <w:u w:val="single"/>
        </w:rPr>
      </w:pPr>
      <w:r w:rsidRPr="00B4515A">
        <w:rPr>
          <w:rFonts w:ascii="宋体" w:eastAsia="宋体" w:hAnsi="宋体" w:cs="Times New Roman"/>
          <w:b/>
          <w:kern w:val="0"/>
          <w:lang w:eastAsia="zh-Hans" w:bidi="ar"/>
        </w:rPr>
        <w:t>项目协办人：</w:t>
      </w:r>
      <w:r w:rsidRPr="00B4515A">
        <w:rPr>
          <w:color w:val="000000"/>
          <w:u w:val="single"/>
        </w:rPr>
        <w:t xml:space="preserve">        </w:t>
      </w:r>
      <w:r w:rsidRPr="00B4515A">
        <w:t xml:space="preserve">   </w:t>
      </w:r>
      <w:r w:rsidRPr="00B4515A">
        <w:rPr>
          <w:u w:val="single"/>
        </w:rPr>
        <w:t xml:space="preserve">  </w:t>
      </w:r>
      <w:r w:rsidRPr="00B4515A">
        <w:rPr>
          <w:color w:val="000000"/>
          <w:u w:val="single"/>
        </w:rPr>
        <w:t xml:space="preserve">      </w:t>
      </w:r>
      <w:r w:rsidRPr="00B4515A">
        <w:t xml:space="preserve">   </w:t>
      </w:r>
      <w:r w:rsidRPr="00B4515A">
        <w:rPr>
          <w:u w:val="single"/>
        </w:rPr>
        <w:t xml:space="preserve">        </w:t>
      </w:r>
      <w:r w:rsidRPr="00B4515A">
        <w:t xml:space="preserve">   </w:t>
      </w:r>
      <w:r w:rsidRPr="00B4515A">
        <w:rPr>
          <w:u w:val="single"/>
        </w:rPr>
        <w:t xml:space="preserve">         </w:t>
      </w:r>
      <w:r w:rsidRPr="00B4515A">
        <w:t xml:space="preserve">  </w:t>
      </w:r>
      <w:r w:rsidRPr="00B4515A">
        <w:rPr>
          <w:u w:val="single"/>
        </w:rPr>
        <w:t xml:space="preserve">         </w:t>
      </w:r>
    </w:p>
    <w:p w14:paraId="4BE6C117" w14:textId="77777777" w:rsidR="00E737F8" w:rsidRPr="00B4515A" w:rsidRDefault="00E737F8" w:rsidP="00E737F8">
      <w:pPr>
        <w:pStyle w:val="04"/>
        <w:spacing w:before="120" w:after="120"/>
        <w:ind w:firstLine="480"/>
      </w:pPr>
      <w:r w:rsidRPr="00B4515A">
        <w:t xml:space="preserve">             </w:t>
      </w:r>
      <w:r w:rsidRPr="00B4515A">
        <w:rPr>
          <w:rFonts w:cs="Arial" w:hint="eastAsia"/>
        </w:rPr>
        <w:t>李高鑫</w:t>
      </w:r>
      <w:r w:rsidRPr="00B4515A">
        <w:t xml:space="preserve">     </w:t>
      </w:r>
      <w:r w:rsidRPr="00B4515A">
        <w:rPr>
          <w:rFonts w:cs="Arial" w:hint="eastAsia"/>
        </w:rPr>
        <w:t>李瑞君</w:t>
      </w:r>
      <w:r w:rsidRPr="00B4515A">
        <w:rPr>
          <w:rFonts w:cs="Arial" w:hint="eastAsia"/>
        </w:rPr>
        <w:t xml:space="preserve"> </w:t>
      </w:r>
      <w:r w:rsidRPr="00B4515A">
        <w:rPr>
          <w:rFonts w:cs="Arial"/>
        </w:rPr>
        <w:t xml:space="preserve">     </w:t>
      </w:r>
      <w:r w:rsidRPr="00B4515A">
        <w:rPr>
          <w:rFonts w:cs="Arial" w:hint="eastAsia"/>
        </w:rPr>
        <w:t>李蕊</w:t>
      </w:r>
      <w:r w:rsidRPr="00B4515A">
        <w:rPr>
          <w:rFonts w:cs="Arial" w:hint="eastAsia"/>
        </w:rPr>
        <w:t xml:space="preserve"> </w:t>
      </w:r>
      <w:r w:rsidRPr="00B4515A">
        <w:rPr>
          <w:rFonts w:cs="Arial"/>
        </w:rPr>
        <w:t xml:space="preserve">     </w:t>
      </w:r>
      <w:r w:rsidRPr="00B4515A">
        <w:rPr>
          <w:rFonts w:cs="Arial" w:hint="eastAsia"/>
        </w:rPr>
        <w:t>胡剧琴</w:t>
      </w:r>
      <w:r w:rsidRPr="00B4515A">
        <w:rPr>
          <w:rFonts w:cs="Arial" w:hint="eastAsia"/>
        </w:rPr>
        <w:t xml:space="preserve"> </w:t>
      </w:r>
      <w:r w:rsidRPr="00B4515A">
        <w:rPr>
          <w:rFonts w:cs="Arial"/>
        </w:rPr>
        <w:t xml:space="preserve">      </w:t>
      </w:r>
      <w:r w:rsidRPr="00B4515A">
        <w:rPr>
          <w:rFonts w:cs="Arial" w:hint="eastAsia"/>
        </w:rPr>
        <w:t>钟超</w:t>
      </w:r>
    </w:p>
    <w:p w14:paraId="6E8A7614" w14:textId="77777777" w:rsidR="00E737F8" w:rsidRPr="00B4515A" w:rsidRDefault="00E737F8" w:rsidP="00E737F8">
      <w:pPr>
        <w:spacing w:beforeLines="50" w:before="120" w:afterLines="50" w:after="120"/>
        <w:rPr>
          <w:rFonts w:cs="Times New Roman"/>
          <w:b/>
        </w:rPr>
      </w:pPr>
    </w:p>
    <w:p w14:paraId="50E0DE97" w14:textId="77777777" w:rsidR="00E737F8" w:rsidRPr="00B4515A" w:rsidRDefault="00E737F8" w:rsidP="00E737F8">
      <w:pPr>
        <w:spacing w:beforeLines="50" w:before="120" w:afterLines="50" w:after="120"/>
        <w:ind w:firstLineChars="1400" w:firstLine="3360"/>
        <w:rPr>
          <w:rFonts w:ascii="Times New Roman" w:hAnsi="Times New Roman" w:cs="Times New Roman"/>
        </w:rPr>
      </w:pPr>
      <w:r w:rsidRPr="00B4515A">
        <w:rPr>
          <w:rFonts w:ascii="Times New Roman" w:hAnsi="Times New Roman" w:cs="Times New Roman"/>
          <w:lang w:bidi="ar"/>
        </w:rPr>
        <w:t xml:space="preserve">                </w:t>
      </w:r>
    </w:p>
    <w:p w14:paraId="5DC83479" w14:textId="77777777" w:rsidR="00E737F8" w:rsidRPr="00B4515A" w:rsidRDefault="00E737F8" w:rsidP="00E737F8">
      <w:pPr>
        <w:spacing w:beforeLines="50" w:before="120" w:afterLines="50" w:after="120" w:line="360" w:lineRule="auto"/>
        <w:rPr>
          <w:rFonts w:cs="Times New Roman"/>
        </w:rPr>
      </w:pPr>
    </w:p>
    <w:p w14:paraId="6491FC31" w14:textId="77777777" w:rsidR="00E737F8" w:rsidRPr="00B4515A" w:rsidRDefault="00E737F8" w:rsidP="00E737F8">
      <w:pPr>
        <w:spacing w:beforeLines="50" w:before="120" w:afterLines="50" w:after="120"/>
        <w:ind w:firstLineChars="500" w:firstLine="1200"/>
        <w:rPr>
          <w:rFonts w:ascii="Times New Roman" w:hAnsi="Times New Roman" w:cs="Times New Roman"/>
        </w:rPr>
      </w:pPr>
      <w:r w:rsidRPr="00B4515A">
        <w:rPr>
          <w:rFonts w:ascii="Times New Roman" w:hAnsi="Times New Roman" w:cs="Times New Roman"/>
          <w:lang w:bidi="ar"/>
        </w:rPr>
        <w:t xml:space="preserve">                                                         </w:t>
      </w:r>
    </w:p>
    <w:p w14:paraId="4F84D5C4" w14:textId="77777777" w:rsidR="00E737F8" w:rsidRPr="00B4515A" w:rsidRDefault="00E737F8" w:rsidP="008C1C67">
      <w:pPr>
        <w:pStyle w:val="005"/>
        <w:spacing w:before="120" w:after="120"/>
        <w:ind w:firstLineChars="0" w:firstLine="0"/>
        <w:jc w:val="right"/>
      </w:pPr>
      <w:r w:rsidRPr="00B4515A">
        <w:rPr>
          <w:rFonts w:cs="宋体" w:hint="eastAsia"/>
          <w:color w:val="000000"/>
        </w:rPr>
        <w:t>中银国际证券股份有限公司</w:t>
      </w:r>
    </w:p>
    <w:p w14:paraId="3609A49C" w14:textId="77777777" w:rsidR="00E737F8" w:rsidRPr="00B4515A" w:rsidRDefault="00E737F8" w:rsidP="008C1C67">
      <w:pPr>
        <w:pStyle w:val="005"/>
        <w:spacing w:before="120" w:after="120"/>
        <w:ind w:firstLineChars="0" w:firstLine="0"/>
        <w:jc w:val="right"/>
      </w:pPr>
    </w:p>
    <w:p w14:paraId="2AFCB76F" w14:textId="77777777" w:rsidR="00E737F8" w:rsidRPr="00B4515A" w:rsidRDefault="00E737F8" w:rsidP="008C1C67">
      <w:pPr>
        <w:pStyle w:val="005"/>
        <w:spacing w:before="120" w:after="120"/>
        <w:ind w:firstLineChars="0" w:firstLine="0"/>
        <w:jc w:val="right"/>
      </w:pPr>
      <w:r w:rsidRPr="00B4515A">
        <w:rPr>
          <w:rFonts w:cs="宋体" w:hint="eastAsia"/>
        </w:rPr>
        <w:t>年</w:t>
      </w:r>
      <w:r w:rsidRPr="00B4515A">
        <w:t xml:space="preserve">  </w:t>
      </w:r>
      <w:r w:rsidRPr="00B4515A">
        <w:rPr>
          <w:rFonts w:cs="宋体" w:hint="eastAsia"/>
        </w:rPr>
        <w:t>月</w:t>
      </w:r>
      <w:r w:rsidRPr="00B4515A">
        <w:t xml:space="preserve">  </w:t>
      </w:r>
      <w:r w:rsidRPr="00B4515A">
        <w:rPr>
          <w:rFonts w:cs="宋体" w:hint="eastAsia"/>
        </w:rPr>
        <w:t>日</w:t>
      </w:r>
    </w:p>
    <w:p w14:paraId="3C15F118" w14:textId="77777777" w:rsidR="00E737F8" w:rsidRPr="00B4515A" w:rsidRDefault="00E737F8" w:rsidP="00E737F8"/>
    <w:p w14:paraId="473D1749" w14:textId="2FAA2884" w:rsidR="006416B0" w:rsidRPr="00B4515A" w:rsidRDefault="005E58C1" w:rsidP="0004078E">
      <w:pPr>
        <w:pStyle w:val="20"/>
        <w:spacing w:before="0" w:after="0" w:line="360" w:lineRule="auto"/>
        <w:ind w:firstLineChars="200" w:firstLine="562"/>
        <w:rPr>
          <w:rFonts w:ascii="Times New Roman" w:hAnsi="Times New Roman" w:cs="Times New Roman"/>
          <w:sz w:val="24"/>
          <w:szCs w:val="24"/>
        </w:rPr>
      </w:pPr>
      <w:bookmarkStart w:id="401" w:name="_Toc80960613"/>
      <w:r w:rsidRPr="00B4515A">
        <w:rPr>
          <w:rFonts w:ascii="Times New Roman" w:hAnsi="Times New Roman" w:cs="Times New Roman" w:hint="eastAsia"/>
          <w:sz w:val="28"/>
          <w:szCs w:val="28"/>
        </w:rPr>
        <w:lastRenderedPageBreak/>
        <w:t>三、法律</w:t>
      </w:r>
      <w:r w:rsidRPr="00B4515A">
        <w:rPr>
          <w:rFonts w:ascii="Times New Roman" w:hAnsi="Times New Roman" w:cs="Times New Roman"/>
          <w:sz w:val="28"/>
          <w:szCs w:val="28"/>
        </w:rPr>
        <w:t>顾问声明</w:t>
      </w:r>
      <w:bookmarkEnd w:id="401"/>
    </w:p>
    <w:p w14:paraId="0DB313FB" w14:textId="4C74F22D" w:rsidR="006416B0" w:rsidRPr="00B4515A" w:rsidRDefault="005E58C1" w:rsidP="008C1C67">
      <w:pPr>
        <w:pStyle w:val="005"/>
        <w:spacing w:before="120" w:after="120"/>
        <w:ind w:firstLine="480"/>
        <w:rPr>
          <w:color w:val="000000"/>
        </w:rPr>
      </w:pPr>
      <w:r w:rsidRPr="00B4515A">
        <w:rPr>
          <w:color w:val="000000"/>
        </w:rPr>
        <w:t>北京</w:t>
      </w:r>
      <w:r w:rsidRPr="00B4515A">
        <w:rPr>
          <w:rFonts w:hint="eastAsia"/>
          <w:color w:val="000000"/>
        </w:rPr>
        <w:t>德恒</w:t>
      </w:r>
      <w:r w:rsidRPr="00B4515A">
        <w:rPr>
          <w:color w:val="000000"/>
        </w:rPr>
        <w:t>律师事务所</w:t>
      </w:r>
      <w:r w:rsidRPr="00B4515A">
        <w:rPr>
          <w:rFonts w:hint="eastAsia"/>
          <w:color w:val="000000"/>
        </w:rPr>
        <w:t>（</w:t>
      </w:r>
      <w:r w:rsidRPr="00B4515A">
        <w:rPr>
          <w:color w:val="000000"/>
        </w:rPr>
        <w:t>以下简称</w:t>
      </w:r>
      <w:r w:rsidRPr="00B4515A">
        <w:rPr>
          <w:rFonts w:ascii="宋体" w:hAnsi="宋体" w:hint="eastAsia"/>
          <w:color w:val="000000"/>
        </w:rPr>
        <w:t>“</w:t>
      </w:r>
      <w:r w:rsidRPr="00B4515A">
        <w:rPr>
          <w:color w:val="000000"/>
        </w:rPr>
        <w:t>本所</w:t>
      </w:r>
      <w:r w:rsidRPr="00B4515A">
        <w:rPr>
          <w:rFonts w:ascii="宋体" w:hAnsi="宋体" w:hint="eastAsia"/>
          <w:color w:val="000000"/>
        </w:rPr>
        <w:t>”</w:t>
      </w:r>
      <w:r w:rsidRPr="00B4515A">
        <w:rPr>
          <w:rFonts w:hint="eastAsia"/>
          <w:color w:val="000000"/>
        </w:rPr>
        <w:t>）</w:t>
      </w:r>
      <w:r w:rsidRPr="00B4515A">
        <w:rPr>
          <w:color w:val="000000"/>
        </w:rPr>
        <w:t>及本所经办律师同意大唐电信科技股份有限公司在《</w:t>
      </w:r>
      <w:r w:rsidRPr="00B4515A">
        <w:rPr>
          <w:rFonts w:hint="eastAsia"/>
          <w:color w:val="000000"/>
        </w:rPr>
        <w:t>大唐电信科技股份有限公司发行股份购买资产并募集配套资金暨关联交易报告书（草案）</w:t>
      </w:r>
      <w:r w:rsidRPr="00B4515A">
        <w:rPr>
          <w:color w:val="000000"/>
        </w:rPr>
        <w:t>》及其摘要中援引本所出具的《</w:t>
      </w:r>
      <w:r w:rsidRPr="00B4515A">
        <w:rPr>
          <w:rFonts w:hint="eastAsia"/>
          <w:color w:val="000000"/>
        </w:rPr>
        <w:t>北京德恒律师事务所关于大唐电信科技股份有限公司发行股份购买资产并募集配套资金暨关联交易之法律意见</w:t>
      </w:r>
      <w:r w:rsidRPr="00B4515A">
        <w:rPr>
          <w:color w:val="000000"/>
        </w:rPr>
        <w:t>》</w:t>
      </w:r>
      <w:r w:rsidRPr="00B4515A">
        <w:rPr>
          <w:rFonts w:hint="eastAsia"/>
          <w:color w:val="000000"/>
        </w:rPr>
        <w:t>（</w:t>
      </w:r>
      <w:r w:rsidRPr="00B4515A">
        <w:rPr>
          <w:color w:val="000000"/>
        </w:rPr>
        <w:t>以下简称</w:t>
      </w:r>
      <w:r w:rsidRPr="00B4515A">
        <w:rPr>
          <w:rFonts w:ascii="宋体" w:hAnsi="宋体" w:hint="eastAsia"/>
          <w:color w:val="000000"/>
        </w:rPr>
        <w:t>“</w:t>
      </w:r>
      <w:r w:rsidRPr="00B4515A">
        <w:rPr>
          <w:color w:val="000000"/>
        </w:rPr>
        <w:t>《法律意见书》</w:t>
      </w:r>
      <w:r w:rsidRPr="00B4515A">
        <w:rPr>
          <w:rFonts w:ascii="宋体" w:hAnsi="宋体" w:hint="eastAsia"/>
          <w:color w:val="000000"/>
        </w:rPr>
        <w:t>”</w:t>
      </w:r>
      <w:r w:rsidRPr="00B4515A">
        <w:rPr>
          <w:rFonts w:hint="eastAsia"/>
          <w:color w:val="000000"/>
        </w:rPr>
        <w:t>）</w:t>
      </w:r>
      <w:r w:rsidRPr="00B4515A">
        <w:rPr>
          <w:color w:val="000000"/>
        </w:rPr>
        <w:t>的相关内容，本所已对《</w:t>
      </w:r>
      <w:r w:rsidRPr="00B4515A">
        <w:rPr>
          <w:rFonts w:hint="eastAsia"/>
          <w:color w:val="000000"/>
        </w:rPr>
        <w:t>大唐电信科技股份有限公司发行股份购买资产并募集配套资金暨关联交易报告书（草案）</w:t>
      </w:r>
      <w:r w:rsidRPr="00B4515A">
        <w:rPr>
          <w:color w:val="000000"/>
        </w:rPr>
        <w:t>》及其摘要中引用本所出具的《法律意见书》的相关内容进行了审阅，确认《</w:t>
      </w:r>
      <w:r w:rsidRPr="00B4515A">
        <w:rPr>
          <w:rFonts w:hint="eastAsia"/>
          <w:color w:val="000000"/>
        </w:rPr>
        <w:t>大唐电信科技股份有限公司发行股份购买资产并募集配套资金暨关联交易报告书（草案）</w:t>
      </w:r>
      <w:r w:rsidRPr="00B4515A">
        <w:rPr>
          <w:color w:val="000000"/>
        </w:rPr>
        <w:t>》及其摘要不致因上述引用内容而出现虚假记载、误导性陈述或重大遗漏，并对其真实性、准确性和完整性承担相应的法律责任。</w:t>
      </w:r>
    </w:p>
    <w:p w14:paraId="2A123590" w14:textId="77777777" w:rsidR="006416B0" w:rsidRPr="00B4515A" w:rsidRDefault="006416B0">
      <w:pPr>
        <w:spacing w:beforeLines="50" w:before="120" w:afterLines="50" w:after="120"/>
        <w:rPr>
          <w:rFonts w:asciiTheme="minorEastAsia" w:hAnsiTheme="minorEastAsia" w:cs="Times New Roman"/>
          <w:b/>
          <w:bCs/>
        </w:rPr>
      </w:pPr>
    </w:p>
    <w:p w14:paraId="179DA3B1" w14:textId="77777777" w:rsidR="006416B0" w:rsidRPr="00B4515A" w:rsidRDefault="005E58C1">
      <w:pPr>
        <w:spacing w:beforeLines="50" w:before="120" w:afterLines="50" w:after="120"/>
        <w:rPr>
          <w:rFonts w:ascii="Times New Roman" w:hAnsi="Times New Roman" w:cs="Times New Roman"/>
        </w:rPr>
      </w:pPr>
      <w:r w:rsidRPr="00B4515A">
        <w:rPr>
          <w:rFonts w:asciiTheme="minorEastAsia" w:hAnsiTheme="minorEastAsia" w:cs="Times New Roman" w:hint="eastAsia"/>
          <w:b/>
          <w:bCs/>
        </w:rPr>
        <w:t>单位负责人：</w:t>
      </w:r>
      <w:r w:rsidRPr="00B4515A">
        <w:rPr>
          <w:rFonts w:ascii="Times New Roman" w:hAnsi="Times New Roman" w:cs="Times New Roman"/>
        </w:rPr>
        <w:t xml:space="preserve">___________                          </w:t>
      </w:r>
    </w:p>
    <w:p w14:paraId="159D70A1" w14:textId="77777777" w:rsidR="006416B0" w:rsidRPr="00B4515A" w:rsidRDefault="005E58C1">
      <w:pPr>
        <w:spacing w:beforeLines="50" w:before="120" w:afterLines="50" w:after="120"/>
        <w:ind w:firstLineChars="700" w:firstLine="1680"/>
        <w:rPr>
          <w:rFonts w:ascii="Times New Roman" w:hAnsi="Times New Roman" w:cs="Times New Roman"/>
        </w:rPr>
      </w:pPr>
      <w:r w:rsidRPr="00B4515A">
        <w:rPr>
          <w:rFonts w:ascii="Times New Roman" w:hAnsi="Times New Roman" w:cs="Times New Roman" w:hint="eastAsia"/>
        </w:rPr>
        <w:t>王</w:t>
      </w:r>
      <w:r w:rsidRPr="00B4515A">
        <w:rPr>
          <w:rFonts w:ascii="Times New Roman" w:hAnsi="Times New Roman" w:cs="Times New Roman" w:hint="eastAsia"/>
        </w:rPr>
        <w:t xml:space="preserve"> </w:t>
      </w:r>
      <w:r w:rsidRPr="00B4515A">
        <w:rPr>
          <w:rFonts w:ascii="Times New Roman" w:hAnsi="Times New Roman" w:cs="Times New Roman" w:hint="eastAsia"/>
        </w:rPr>
        <w:t>丽</w:t>
      </w:r>
      <w:r w:rsidRPr="00B4515A">
        <w:rPr>
          <w:rFonts w:ascii="Times New Roman" w:hAnsi="Times New Roman" w:cs="Times New Roman"/>
        </w:rPr>
        <w:t xml:space="preserve">                   </w:t>
      </w:r>
    </w:p>
    <w:p w14:paraId="53F69439" w14:textId="77777777" w:rsidR="006416B0" w:rsidRPr="00B4515A" w:rsidRDefault="006416B0">
      <w:pPr>
        <w:spacing w:beforeLines="50" w:before="120" w:afterLines="50" w:after="120"/>
        <w:rPr>
          <w:rFonts w:asciiTheme="minorEastAsia" w:hAnsiTheme="minorEastAsia" w:cs="Times New Roman"/>
          <w:b/>
          <w:bCs/>
        </w:rPr>
      </w:pPr>
    </w:p>
    <w:p w14:paraId="35A13057" w14:textId="77777777" w:rsidR="006416B0" w:rsidRPr="00B4515A" w:rsidRDefault="005E58C1">
      <w:pPr>
        <w:spacing w:beforeLines="50" w:before="120" w:afterLines="50" w:after="120"/>
        <w:rPr>
          <w:rFonts w:asciiTheme="minorEastAsia" w:hAnsiTheme="minorEastAsia" w:cs="Times New Roman"/>
          <w:b/>
          <w:bCs/>
        </w:rPr>
      </w:pPr>
      <w:r w:rsidRPr="00B4515A">
        <w:rPr>
          <w:rFonts w:asciiTheme="minorEastAsia" w:hAnsiTheme="minorEastAsia" w:cs="Times New Roman" w:hint="eastAsia"/>
          <w:b/>
          <w:bCs/>
        </w:rPr>
        <w:t>经办律师</w:t>
      </w:r>
      <w:r w:rsidRPr="00B4515A">
        <w:rPr>
          <w:rFonts w:asciiTheme="minorEastAsia" w:hAnsiTheme="minorEastAsia" w:cs="Times New Roman"/>
          <w:b/>
          <w:bCs/>
        </w:rPr>
        <w:t xml:space="preserve">:   </w:t>
      </w:r>
      <w:r w:rsidRPr="00B4515A">
        <w:rPr>
          <w:rFonts w:ascii="Times New Roman" w:hAnsi="Times New Roman" w:cs="Times New Roman"/>
        </w:rPr>
        <w:t xml:space="preserve">___________         ___________           </w:t>
      </w:r>
    </w:p>
    <w:p w14:paraId="03C84716" w14:textId="77777777" w:rsidR="006416B0" w:rsidRPr="00B4515A" w:rsidRDefault="005E58C1">
      <w:pPr>
        <w:spacing w:beforeLines="50" w:before="120" w:afterLines="50" w:after="120"/>
        <w:rPr>
          <w:rFonts w:ascii="Times New Roman" w:hAnsi="Times New Roman" w:cs="Times New Roman"/>
        </w:rPr>
      </w:pPr>
      <w:r w:rsidRPr="00B4515A">
        <w:rPr>
          <w:rFonts w:ascii="Times New Roman" w:hAnsi="Times New Roman" w:cs="Times New Roman"/>
        </w:rPr>
        <w:t xml:space="preserve">              </w:t>
      </w:r>
      <w:r w:rsidRPr="00B4515A">
        <w:rPr>
          <w:rFonts w:ascii="Times New Roman" w:hAnsi="Times New Roman" w:cs="Times New Roman" w:hint="eastAsia"/>
        </w:rPr>
        <w:t>杨昕炜</w:t>
      </w:r>
      <w:r w:rsidRPr="00B4515A">
        <w:rPr>
          <w:rFonts w:ascii="Times New Roman" w:hAnsi="Times New Roman" w:cs="Times New Roman"/>
        </w:rPr>
        <w:t xml:space="preserve">               </w:t>
      </w:r>
      <w:r w:rsidRPr="00B4515A">
        <w:rPr>
          <w:rFonts w:ascii="Times New Roman" w:hAnsi="Times New Roman" w:cs="Times New Roman" w:hint="eastAsia"/>
        </w:rPr>
        <w:t>全志文</w:t>
      </w:r>
    </w:p>
    <w:p w14:paraId="355BC36D" w14:textId="77777777" w:rsidR="006416B0" w:rsidRPr="00B4515A" w:rsidRDefault="006416B0">
      <w:pPr>
        <w:spacing w:beforeLines="50" w:before="120" w:afterLines="50" w:after="120" w:line="360" w:lineRule="auto"/>
        <w:rPr>
          <w:rFonts w:asciiTheme="minorEastAsia" w:hAnsiTheme="minorEastAsia" w:cs="Times New Roman"/>
        </w:rPr>
      </w:pPr>
    </w:p>
    <w:p w14:paraId="1C64FB6D" w14:textId="77777777" w:rsidR="006416B0" w:rsidRPr="00B4515A" w:rsidRDefault="005E58C1">
      <w:pPr>
        <w:spacing w:beforeLines="50" w:before="120" w:afterLines="50" w:after="120"/>
        <w:ind w:firstLineChars="500" w:firstLine="1200"/>
        <w:rPr>
          <w:rFonts w:ascii="Times New Roman" w:hAnsi="Times New Roman" w:cs="Times New Roman"/>
        </w:rPr>
      </w:pPr>
      <w:r w:rsidRPr="00B4515A">
        <w:rPr>
          <w:rFonts w:ascii="Times New Roman" w:hAnsi="Times New Roman" w:cs="Times New Roman"/>
        </w:rPr>
        <w:t xml:space="preserve">                                                         </w:t>
      </w:r>
    </w:p>
    <w:p w14:paraId="690E3B5E" w14:textId="77777777" w:rsidR="006416B0" w:rsidRPr="00B4515A" w:rsidRDefault="005E58C1" w:rsidP="008C1C67">
      <w:pPr>
        <w:pStyle w:val="005"/>
        <w:spacing w:before="120" w:after="120"/>
        <w:ind w:firstLineChars="0" w:firstLine="0"/>
        <w:jc w:val="right"/>
      </w:pPr>
      <w:r w:rsidRPr="00B4515A">
        <w:rPr>
          <w:color w:val="000000"/>
        </w:rPr>
        <w:t>北京</w:t>
      </w:r>
      <w:r w:rsidRPr="00B4515A">
        <w:rPr>
          <w:rFonts w:hint="eastAsia"/>
          <w:color w:val="000000"/>
        </w:rPr>
        <w:t>德恒</w:t>
      </w:r>
      <w:r w:rsidRPr="00B4515A">
        <w:rPr>
          <w:color w:val="000000"/>
        </w:rPr>
        <w:t>律师事务所</w:t>
      </w:r>
    </w:p>
    <w:p w14:paraId="62087CE2" w14:textId="77777777" w:rsidR="006416B0" w:rsidRPr="00B4515A" w:rsidRDefault="006416B0" w:rsidP="008C1C67">
      <w:pPr>
        <w:pStyle w:val="005"/>
        <w:spacing w:before="120" w:after="120"/>
        <w:ind w:firstLineChars="0" w:firstLine="0"/>
        <w:jc w:val="right"/>
      </w:pPr>
    </w:p>
    <w:p w14:paraId="7AABCDFA" w14:textId="77777777" w:rsidR="006416B0" w:rsidRPr="00B4515A" w:rsidRDefault="005E58C1" w:rsidP="008C1C67">
      <w:pPr>
        <w:pStyle w:val="005"/>
        <w:spacing w:before="120" w:after="120"/>
        <w:ind w:firstLineChars="0" w:firstLine="0"/>
        <w:jc w:val="right"/>
      </w:pPr>
      <w:r w:rsidRPr="00B4515A">
        <w:t>年</w:t>
      </w:r>
      <w:r w:rsidRPr="00B4515A">
        <w:t xml:space="preserve">  </w:t>
      </w:r>
      <w:r w:rsidRPr="00B4515A">
        <w:t>月</w:t>
      </w:r>
      <w:r w:rsidRPr="00B4515A">
        <w:t xml:space="preserve">  </w:t>
      </w:r>
      <w:r w:rsidRPr="00B4515A">
        <w:t>日</w:t>
      </w:r>
    </w:p>
    <w:p w14:paraId="2C09F4E5" w14:textId="77777777" w:rsidR="006416B0" w:rsidRPr="00B4515A" w:rsidRDefault="006416B0" w:rsidP="008C1C67">
      <w:pPr>
        <w:pStyle w:val="005"/>
        <w:spacing w:before="120" w:after="120"/>
        <w:ind w:firstLineChars="0" w:firstLine="0"/>
        <w:jc w:val="right"/>
      </w:pPr>
    </w:p>
    <w:p w14:paraId="1504BF73" w14:textId="77777777" w:rsidR="006416B0" w:rsidRPr="00B4515A" w:rsidRDefault="005E58C1">
      <w:pPr>
        <w:rPr>
          <w:rFonts w:ascii="Times New Roman" w:hAnsi="Times New Roman" w:cs="Times New Roman"/>
        </w:rPr>
      </w:pPr>
      <w:r w:rsidRPr="00B4515A">
        <w:rPr>
          <w:rFonts w:ascii="Times New Roman" w:hAnsi="Times New Roman" w:cs="Times New Roman"/>
        </w:rPr>
        <w:br w:type="page"/>
      </w:r>
    </w:p>
    <w:p w14:paraId="7231527A" w14:textId="59C32D35" w:rsidR="006416B0" w:rsidRPr="00B4515A" w:rsidRDefault="005E58C1" w:rsidP="0004078E">
      <w:pPr>
        <w:pStyle w:val="20"/>
        <w:spacing w:before="0" w:after="0" w:line="360" w:lineRule="auto"/>
        <w:ind w:firstLineChars="200" w:firstLine="562"/>
        <w:rPr>
          <w:rFonts w:ascii="Times New Roman" w:hAnsi="Times New Roman" w:cs="Times New Roman"/>
          <w:sz w:val="24"/>
          <w:szCs w:val="24"/>
        </w:rPr>
      </w:pPr>
      <w:bookmarkStart w:id="402" w:name="_Toc80960614"/>
      <w:r w:rsidRPr="00B4515A">
        <w:rPr>
          <w:rFonts w:ascii="Times New Roman" w:hAnsi="Times New Roman" w:cs="Times New Roman" w:hint="eastAsia"/>
          <w:sz w:val="28"/>
          <w:szCs w:val="28"/>
        </w:rPr>
        <w:lastRenderedPageBreak/>
        <w:t>四、审计机构</w:t>
      </w:r>
      <w:r w:rsidRPr="00B4515A">
        <w:rPr>
          <w:rFonts w:ascii="Times New Roman" w:hAnsi="Times New Roman" w:cs="Times New Roman"/>
          <w:sz w:val="28"/>
          <w:szCs w:val="28"/>
        </w:rPr>
        <w:t>声明</w:t>
      </w:r>
      <w:bookmarkEnd w:id="402"/>
    </w:p>
    <w:p w14:paraId="6935F8E5" w14:textId="6C079761" w:rsidR="006416B0" w:rsidRPr="00B4515A" w:rsidRDefault="005E58C1" w:rsidP="008C1C67">
      <w:pPr>
        <w:pStyle w:val="005"/>
        <w:spacing w:before="120" w:after="120"/>
        <w:ind w:firstLine="480"/>
        <w:rPr>
          <w:color w:val="000000"/>
        </w:rPr>
      </w:pPr>
      <w:r w:rsidRPr="00B4515A">
        <w:rPr>
          <w:color w:val="000000"/>
        </w:rPr>
        <w:t>立信会计师事务所</w:t>
      </w:r>
      <w:r w:rsidRPr="00B4515A">
        <w:rPr>
          <w:rFonts w:hint="eastAsia"/>
          <w:color w:val="000000"/>
        </w:rPr>
        <w:t>（</w:t>
      </w:r>
      <w:r w:rsidRPr="00B4515A">
        <w:rPr>
          <w:color w:val="000000"/>
        </w:rPr>
        <w:t>特殊普通合伙</w:t>
      </w:r>
      <w:r w:rsidRPr="00B4515A">
        <w:rPr>
          <w:rFonts w:hint="eastAsia"/>
          <w:color w:val="000000"/>
        </w:rPr>
        <w:t>）（</w:t>
      </w:r>
      <w:r w:rsidRPr="00B4515A">
        <w:rPr>
          <w:color w:val="000000"/>
        </w:rPr>
        <w:t>以下简称</w:t>
      </w:r>
      <w:r w:rsidRPr="00B4515A">
        <w:rPr>
          <w:rFonts w:ascii="宋体" w:hAnsi="宋体" w:hint="eastAsia"/>
          <w:color w:val="000000"/>
        </w:rPr>
        <w:t>“</w:t>
      </w:r>
      <w:r w:rsidRPr="00B4515A">
        <w:rPr>
          <w:color w:val="000000"/>
        </w:rPr>
        <w:t>本所</w:t>
      </w:r>
      <w:r w:rsidRPr="00B4515A">
        <w:rPr>
          <w:rFonts w:ascii="宋体" w:hAnsi="宋体" w:hint="eastAsia"/>
          <w:color w:val="000000"/>
        </w:rPr>
        <w:t>”</w:t>
      </w:r>
      <w:r w:rsidRPr="00B4515A">
        <w:rPr>
          <w:rFonts w:hint="eastAsia"/>
          <w:color w:val="000000"/>
        </w:rPr>
        <w:t>）</w:t>
      </w:r>
      <w:r w:rsidRPr="00B4515A">
        <w:rPr>
          <w:color w:val="000000"/>
        </w:rPr>
        <w:t>及本所经办注册会计师同意大唐电信科技股份有限公司在《</w:t>
      </w:r>
      <w:r w:rsidRPr="00B4515A">
        <w:rPr>
          <w:rFonts w:hint="eastAsia"/>
          <w:color w:val="000000"/>
        </w:rPr>
        <w:t>大唐电信科技股份有限公司发行股份购买资产并募集配套资金暨关联交易报告书（草案）</w:t>
      </w:r>
      <w:r w:rsidRPr="00B4515A">
        <w:rPr>
          <w:color w:val="000000"/>
        </w:rPr>
        <w:t>》及其摘要中援引本所出具的审计报告的相关内容，并保证大唐电信科技股份有限公司前述文件中引用的本所出具的审计报告的相关内容已经本所审阅，确认《</w:t>
      </w:r>
      <w:r w:rsidRPr="00B4515A">
        <w:rPr>
          <w:rFonts w:hint="eastAsia"/>
          <w:color w:val="000000"/>
        </w:rPr>
        <w:t>大唐电信科技股份有限公司发行股份购买资产并募集配套资金暨关联交易报告书（草案）</w:t>
      </w:r>
      <w:r w:rsidRPr="00B4515A">
        <w:rPr>
          <w:color w:val="000000"/>
        </w:rPr>
        <w:t>》及其摘要不致因上述内容而出现虚假记载、误导性陈述或重大遗漏，并对其真实性、准确性和完整性承担相应的法律责任。</w:t>
      </w:r>
    </w:p>
    <w:p w14:paraId="569A5CA8" w14:textId="77777777" w:rsidR="006416B0" w:rsidRPr="00B4515A" w:rsidRDefault="006416B0" w:rsidP="008C1C67">
      <w:pPr>
        <w:pStyle w:val="005"/>
        <w:spacing w:before="120" w:after="120"/>
        <w:ind w:firstLine="480"/>
        <w:rPr>
          <w:color w:val="000000"/>
        </w:rPr>
      </w:pPr>
    </w:p>
    <w:p w14:paraId="7AE16F58" w14:textId="77777777" w:rsidR="006416B0" w:rsidRPr="00B4515A" w:rsidRDefault="006416B0">
      <w:pPr>
        <w:spacing w:beforeLines="50" w:before="120" w:afterLines="50" w:after="120"/>
        <w:rPr>
          <w:rFonts w:asciiTheme="minorEastAsia" w:hAnsiTheme="minorEastAsia" w:cs="Times New Roman"/>
          <w:b/>
          <w:bCs/>
        </w:rPr>
      </w:pPr>
    </w:p>
    <w:p w14:paraId="35798CC3" w14:textId="77777777" w:rsidR="006416B0" w:rsidRPr="00B4515A" w:rsidRDefault="005E58C1">
      <w:pPr>
        <w:spacing w:beforeLines="50" w:before="120" w:afterLines="50" w:after="120"/>
        <w:rPr>
          <w:rFonts w:ascii="Times New Roman" w:hAnsi="Times New Roman" w:cs="Times New Roman"/>
        </w:rPr>
      </w:pPr>
      <w:r w:rsidRPr="00B4515A">
        <w:rPr>
          <w:rFonts w:asciiTheme="minorEastAsia" w:hAnsiTheme="minorEastAsia" w:cs="Times New Roman" w:hint="eastAsia"/>
          <w:b/>
          <w:bCs/>
        </w:rPr>
        <w:t>会计师事务所负责人：</w:t>
      </w:r>
      <w:r w:rsidRPr="00B4515A">
        <w:rPr>
          <w:rFonts w:ascii="Times New Roman" w:hAnsi="Times New Roman" w:cs="Times New Roman"/>
        </w:rPr>
        <w:t xml:space="preserve">___________                          </w:t>
      </w:r>
    </w:p>
    <w:p w14:paraId="1319F02E" w14:textId="77777777" w:rsidR="006416B0" w:rsidRPr="00B4515A" w:rsidRDefault="005E58C1">
      <w:pPr>
        <w:spacing w:beforeLines="50" w:before="120" w:afterLines="50" w:after="120"/>
        <w:ind w:firstLineChars="700" w:firstLine="1680"/>
        <w:rPr>
          <w:rFonts w:ascii="Times New Roman" w:hAnsi="Times New Roman" w:cs="Times New Roman"/>
        </w:rPr>
      </w:pPr>
      <w:r w:rsidRPr="00B4515A">
        <w:rPr>
          <w:rFonts w:ascii="Times New Roman" w:hAnsi="Times New Roman" w:cs="Times New Roman"/>
        </w:rPr>
        <w:t xml:space="preserve">        </w:t>
      </w:r>
      <w:r w:rsidRPr="00B4515A">
        <w:rPr>
          <w:rFonts w:ascii="Times New Roman" w:hAnsi="Times New Roman" w:cs="Times New Roman" w:hint="eastAsia"/>
        </w:rPr>
        <w:t>杨志国</w:t>
      </w:r>
    </w:p>
    <w:p w14:paraId="651FD84B" w14:textId="77777777" w:rsidR="006416B0" w:rsidRPr="00B4515A" w:rsidRDefault="006416B0">
      <w:pPr>
        <w:spacing w:beforeLines="50" w:before="120" w:afterLines="50" w:after="120"/>
        <w:rPr>
          <w:rFonts w:asciiTheme="minorEastAsia" w:hAnsiTheme="minorEastAsia" w:cs="Times New Roman"/>
          <w:b/>
          <w:bCs/>
        </w:rPr>
      </w:pPr>
    </w:p>
    <w:p w14:paraId="11B9AF4F" w14:textId="77777777" w:rsidR="006416B0" w:rsidRPr="00B4515A" w:rsidRDefault="005E58C1">
      <w:pPr>
        <w:spacing w:beforeLines="50" w:before="120" w:afterLines="50" w:after="120"/>
        <w:rPr>
          <w:rFonts w:asciiTheme="minorEastAsia" w:hAnsiTheme="minorEastAsia" w:cs="Times New Roman"/>
          <w:b/>
          <w:bCs/>
        </w:rPr>
      </w:pPr>
      <w:r w:rsidRPr="00B4515A">
        <w:rPr>
          <w:rFonts w:asciiTheme="minorEastAsia" w:hAnsiTheme="minorEastAsia" w:cs="Times New Roman"/>
          <w:b/>
          <w:bCs/>
        </w:rPr>
        <w:t>经办注册会计师</w:t>
      </w:r>
      <w:r w:rsidRPr="00B4515A">
        <w:rPr>
          <w:rFonts w:asciiTheme="minorEastAsia" w:hAnsiTheme="minorEastAsia" w:cs="Times New Roman" w:hint="eastAsia"/>
          <w:b/>
          <w:bCs/>
        </w:rPr>
        <w:t>：</w:t>
      </w:r>
      <w:r w:rsidRPr="00B4515A">
        <w:rPr>
          <w:rFonts w:asciiTheme="minorEastAsia" w:hAnsiTheme="minorEastAsia" w:cs="Times New Roman"/>
          <w:b/>
          <w:bCs/>
        </w:rPr>
        <w:t xml:space="preserve">    </w:t>
      </w:r>
      <w:r w:rsidRPr="00B4515A">
        <w:rPr>
          <w:rFonts w:ascii="Times New Roman" w:hAnsi="Times New Roman" w:cs="Times New Roman"/>
        </w:rPr>
        <w:t xml:space="preserve">___________         ___________           </w:t>
      </w:r>
    </w:p>
    <w:p w14:paraId="1B87190E" w14:textId="77777777" w:rsidR="006416B0" w:rsidRPr="00B4515A" w:rsidRDefault="005E58C1">
      <w:pPr>
        <w:spacing w:beforeLines="50" w:before="120" w:afterLines="50" w:after="120"/>
        <w:rPr>
          <w:rFonts w:ascii="Times New Roman" w:hAnsi="Times New Roman" w:cs="Times New Roman"/>
        </w:rPr>
      </w:pPr>
      <w:r w:rsidRPr="00B4515A">
        <w:rPr>
          <w:rFonts w:ascii="Times New Roman" w:hAnsi="Times New Roman" w:cs="Times New Roman"/>
        </w:rPr>
        <w:t xml:space="preserve">                      </w:t>
      </w:r>
      <w:r w:rsidRPr="00B4515A">
        <w:t>陈勇波</w:t>
      </w:r>
      <w:r w:rsidRPr="00B4515A">
        <w:rPr>
          <w:rFonts w:hint="eastAsia"/>
        </w:rPr>
        <w:t xml:space="preserve"> </w:t>
      </w:r>
      <w:r w:rsidRPr="00B4515A">
        <w:t xml:space="preserve">             汪平平</w:t>
      </w:r>
    </w:p>
    <w:p w14:paraId="28D90022" w14:textId="77777777" w:rsidR="006416B0" w:rsidRPr="00B4515A" w:rsidRDefault="006416B0">
      <w:pPr>
        <w:spacing w:beforeLines="50" w:before="120" w:afterLines="50" w:after="120" w:line="360" w:lineRule="auto"/>
        <w:rPr>
          <w:rFonts w:asciiTheme="minorEastAsia" w:hAnsiTheme="minorEastAsia" w:cs="Times New Roman"/>
        </w:rPr>
      </w:pPr>
    </w:p>
    <w:p w14:paraId="27E6EE39" w14:textId="77777777" w:rsidR="006416B0" w:rsidRPr="00B4515A" w:rsidRDefault="005E58C1">
      <w:pPr>
        <w:spacing w:beforeLines="50" w:before="120" w:afterLines="50" w:after="120"/>
        <w:ind w:firstLineChars="500" w:firstLine="1200"/>
        <w:rPr>
          <w:rFonts w:ascii="Times New Roman" w:hAnsi="Times New Roman" w:cs="Times New Roman"/>
        </w:rPr>
      </w:pPr>
      <w:r w:rsidRPr="00B4515A">
        <w:rPr>
          <w:rFonts w:ascii="Times New Roman" w:hAnsi="Times New Roman" w:cs="Times New Roman"/>
        </w:rPr>
        <w:t xml:space="preserve">                                                         </w:t>
      </w:r>
    </w:p>
    <w:p w14:paraId="614DBA53" w14:textId="77777777" w:rsidR="006416B0" w:rsidRPr="00B4515A" w:rsidRDefault="005E58C1" w:rsidP="008C1C67">
      <w:pPr>
        <w:pStyle w:val="005"/>
        <w:spacing w:before="120" w:after="120"/>
        <w:ind w:firstLineChars="0" w:firstLine="0"/>
        <w:jc w:val="right"/>
        <w:rPr>
          <w:color w:val="000000"/>
        </w:rPr>
      </w:pPr>
      <w:r w:rsidRPr="00B4515A">
        <w:rPr>
          <w:color w:val="000000"/>
        </w:rPr>
        <w:t>立信会计师事务所</w:t>
      </w:r>
      <w:r w:rsidRPr="00B4515A">
        <w:rPr>
          <w:rFonts w:hint="eastAsia"/>
          <w:color w:val="000000"/>
        </w:rPr>
        <w:t>（</w:t>
      </w:r>
      <w:r w:rsidRPr="00B4515A">
        <w:rPr>
          <w:color w:val="000000"/>
        </w:rPr>
        <w:t>特殊普通合伙</w:t>
      </w:r>
      <w:r w:rsidRPr="00B4515A">
        <w:rPr>
          <w:rFonts w:hint="eastAsia"/>
          <w:color w:val="000000"/>
        </w:rPr>
        <w:t>）</w:t>
      </w:r>
    </w:p>
    <w:p w14:paraId="7DF1F623" w14:textId="77777777" w:rsidR="006416B0" w:rsidRPr="00B4515A" w:rsidRDefault="006416B0" w:rsidP="008C1C67">
      <w:pPr>
        <w:pStyle w:val="005"/>
        <w:spacing w:before="120" w:after="120"/>
        <w:ind w:firstLineChars="0" w:firstLine="0"/>
        <w:jc w:val="right"/>
        <w:rPr>
          <w:color w:val="000000"/>
        </w:rPr>
      </w:pPr>
    </w:p>
    <w:p w14:paraId="467CA3CF" w14:textId="77777777" w:rsidR="006416B0" w:rsidRPr="00B4515A" w:rsidRDefault="005E58C1" w:rsidP="008C1C67">
      <w:pPr>
        <w:pStyle w:val="005"/>
        <w:spacing w:before="120" w:after="120"/>
        <w:ind w:firstLineChars="0" w:firstLine="0"/>
        <w:jc w:val="right"/>
        <w:rPr>
          <w:color w:val="000000"/>
        </w:rPr>
      </w:pPr>
      <w:r w:rsidRPr="00B4515A">
        <w:rPr>
          <w:rFonts w:hint="eastAsia"/>
          <w:color w:val="000000"/>
        </w:rPr>
        <w:t>年</w:t>
      </w:r>
      <w:r w:rsidRPr="00B4515A">
        <w:rPr>
          <w:color w:val="000000"/>
        </w:rPr>
        <w:t xml:space="preserve">  </w:t>
      </w:r>
      <w:r w:rsidRPr="00B4515A">
        <w:rPr>
          <w:rFonts w:hint="eastAsia"/>
          <w:color w:val="000000"/>
        </w:rPr>
        <w:t>月</w:t>
      </w:r>
      <w:r w:rsidRPr="00B4515A">
        <w:rPr>
          <w:color w:val="000000"/>
        </w:rPr>
        <w:t xml:space="preserve">  </w:t>
      </w:r>
      <w:r w:rsidRPr="00B4515A">
        <w:rPr>
          <w:rFonts w:hint="eastAsia"/>
          <w:color w:val="000000"/>
        </w:rPr>
        <w:t>日</w:t>
      </w:r>
    </w:p>
    <w:p w14:paraId="36A52939" w14:textId="77777777" w:rsidR="006416B0" w:rsidRPr="00B4515A" w:rsidRDefault="005E58C1">
      <w:pPr>
        <w:rPr>
          <w:rFonts w:ascii="Times New Roman" w:hAnsi="Times New Roman" w:cs="Times New Roman"/>
          <w:color w:val="000000"/>
        </w:rPr>
      </w:pPr>
      <w:r w:rsidRPr="00B4515A">
        <w:rPr>
          <w:color w:val="000000"/>
        </w:rPr>
        <w:br w:type="page"/>
      </w:r>
    </w:p>
    <w:p w14:paraId="792B2E32" w14:textId="3D9A0BCB" w:rsidR="006416B0" w:rsidRPr="00B4515A" w:rsidRDefault="005E58C1" w:rsidP="0004078E">
      <w:pPr>
        <w:pStyle w:val="20"/>
        <w:spacing w:before="0" w:after="0" w:line="360" w:lineRule="auto"/>
        <w:ind w:firstLineChars="200" w:firstLine="562"/>
        <w:rPr>
          <w:rFonts w:ascii="Times New Roman" w:hAnsi="Times New Roman" w:cs="Times New Roman"/>
          <w:sz w:val="24"/>
          <w:szCs w:val="24"/>
        </w:rPr>
      </w:pPr>
      <w:bookmarkStart w:id="403" w:name="_Toc80960615"/>
      <w:r w:rsidRPr="00B4515A">
        <w:rPr>
          <w:rFonts w:ascii="Times New Roman" w:hAnsi="Times New Roman" w:cs="Times New Roman" w:hint="eastAsia"/>
          <w:sz w:val="28"/>
          <w:szCs w:val="28"/>
        </w:rPr>
        <w:lastRenderedPageBreak/>
        <w:t>五、备考审阅机构</w:t>
      </w:r>
      <w:r w:rsidRPr="00B4515A">
        <w:rPr>
          <w:rFonts w:ascii="Times New Roman" w:hAnsi="Times New Roman" w:cs="Times New Roman"/>
          <w:sz w:val="28"/>
          <w:szCs w:val="28"/>
        </w:rPr>
        <w:t>声明</w:t>
      </w:r>
      <w:bookmarkEnd w:id="403"/>
    </w:p>
    <w:p w14:paraId="089820BD" w14:textId="0FA2B148" w:rsidR="006416B0" w:rsidRPr="00B4515A" w:rsidRDefault="005E58C1" w:rsidP="008C1C67">
      <w:pPr>
        <w:pStyle w:val="005"/>
        <w:spacing w:before="120" w:after="120"/>
        <w:ind w:firstLine="480"/>
        <w:rPr>
          <w:color w:val="000000"/>
        </w:rPr>
      </w:pPr>
      <w:r w:rsidRPr="00B4515A">
        <w:rPr>
          <w:color w:val="000000"/>
        </w:rPr>
        <w:t>立信会计师事务所</w:t>
      </w:r>
      <w:r w:rsidRPr="00B4515A">
        <w:rPr>
          <w:rFonts w:hint="eastAsia"/>
          <w:color w:val="000000"/>
        </w:rPr>
        <w:t>（</w:t>
      </w:r>
      <w:r w:rsidRPr="00B4515A">
        <w:rPr>
          <w:color w:val="000000"/>
        </w:rPr>
        <w:t>特殊普通合伙</w:t>
      </w:r>
      <w:r w:rsidRPr="00B4515A">
        <w:rPr>
          <w:rFonts w:hint="eastAsia"/>
          <w:color w:val="000000"/>
        </w:rPr>
        <w:t>）（</w:t>
      </w:r>
      <w:r w:rsidRPr="00B4515A">
        <w:rPr>
          <w:color w:val="000000"/>
        </w:rPr>
        <w:t>以下简称</w:t>
      </w:r>
      <w:r w:rsidRPr="00B4515A">
        <w:rPr>
          <w:rFonts w:ascii="宋体" w:hAnsi="宋体" w:hint="eastAsia"/>
          <w:color w:val="000000"/>
        </w:rPr>
        <w:t>“</w:t>
      </w:r>
      <w:r w:rsidRPr="00B4515A">
        <w:rPr>
          <w:color w:val="000000"/>
        </w:rPr>
        <w:t>本所</w:t>
      </w:r>
      <w:r w:rsidRPr="00B4515A">
        <w:rPr>
          <w:rFonts w:ascii="宋体" w:hAnsi="宋体" w:hint="eastAsia"/>
          <w:color w:val="000000"/>
        </w:rPr>
        <w:t>”</w:t>
      </w:r>
      <w:r w:rsidRPr="00B4515A">
        <w:rPr>
          <w:rFonts w:hint="eastAsia"/>
          <w:color w:val="000000"/>
        </w:rPr>
        <w:t>）</w:t>
      </w:r>
      <w:r w:rsidRPr="00B4515A">
        <w:rPr>
          <w:color w:val="000000"/>
        </w:rPr>
        <w:t>及本所经办注册会计师同意大唐电信科技股份有限公司在《</w:t>
      </w:r>
      <w:r w:rsidRPr="00B4515A">
        <w:rPr>
          <w:rFonts w:hint="eastAsia"/>
          <w:color w:val="000000"/>
        </w:rPr>
        <w:t>大唐电信科技股份有限公司发行股份购买资产并募集配套资金暨关联交易报告书（草案）</w:t>
      </w:r>
      <w:r w:rsidRPr="00B4515A">
        <w:rPr>
          <w:color w:val="000000"/>
        </w:rPr>
        <w:t>》及其摘要中援引本所出具的审计报告的相关内容，并保证大唐电信科技股份有限公司前述文件中引用的本所出具的审计报告的相关内容已经本所审阅，确认《</w:t>
      </w:r>
      <w:r w:rsidRPr="00B4515A">
        <w:rPr>
          <w:rFonts w:hint="eastAsia"/>
          <w:color w:val="000000"/>
        </w:rPr>
        <w:t>大唐电信科技股份有限公司发行股份购买资产并募集配套资金暨关联交易报告书（草案）</w:t>
      </w:r>
      <w:r w:rsidRPr="00B4515A">
        <w:rPr>
          <w:color w:val="000000"/>
        </w:rPr>
        <w:t>》及其摘要不致因上述内容而出现虚假记载、误导性陈述或重大遗漏，并对其真实性、准确性和完整性承担相应的法律责任。</w:t>
      </w:r>
    </w:p>
    <w:p w14:paraId="4F2CADC7" w14:textId="77777777" w:rsidR="006416B0" w:rsidRPr="00B4515A" w:rsidRDefault="006416B0" w:rsidP="008C1C67">
      <w:pPr>
        <w:pStyle w:val="005"/>
        <w:spacing w:before="120" w:after="120"/>
        <w:ind w:firstLine="480"/>
        <w:rPr>
          <w:color w:val="000000"/>
        </w:rPr>
      </w:pPr>
    </w:p>
    <w:p w14:paraId="00139133" w14:textId="77777777" w:rsidR="006416B0" w:rsidRPr="00B4515A" w:rsidRDefault="006416B0">
      <w:pPr>
        <w:spacing w:beforeLines="50" w:before="120" w:afterLines="50" w:after="120"/>
        <w:rPr>
          <w:rFonts w:asciiTheme="minorEastAsia" w:hAnsiTheme="minorEastAsia" w:cs="Times New Roman"/>
          <w:b/>
          <w:bCs/>
        </w:rPr>
      </w:pPr>
    </w:p>
    <w:p w14:paraId="09B60635" w14:textId="77777777" w:rsidR="006416B0" w:rsidRPr="00B4515A" w:rsidRDefault="005E58C1">
      <w:pPr>
        <w:spacing w:beforeLines="50" w:before="120" w:afterLines="50" w:after="120"/>
        <w:rPr>
          <w:rFonts w:ascii="Times New Roman" w:hAnsi="Times New Roman" w:cs="Times New Roman"/>
        </w:rPr>
      </w:pPr>
      <w:r w:rsidRPr="00B4515A">
        <w:rPr>
          <w:rFonts w:asciiTheme="minorEastAsia" w:hAnsiTheme="minorEastAsia" w:cs="Times New Roman" w:hint="eastAsia"/>
          <w:b/>
          <w:bCs/>
        </w:rPr>
        <w:t>会计师事务所负责人：</w:t>
      </w:r>
      <w:r w:rsidRPr="00B4515A">
        <w:rPr>
          <w:rFonts w:ascii="Times New Roman" w:hAnsi="Times New Roman" w:cs="Times New Roman"/>
        </w:rPr>
        <w:t xml:space="preserve">___________                          </w:t>
      </w:r>
    </w:p>
    <w:p w14:paraId="2718C6F8" w14:textId="77777777" w:rsidR="006416B0" w:rsidRPr="00B4515A" w:rsidRDefault="005E58C1">
      <w:pPr>
        <w:spacing w:beforeLines="50" w:before="120" w:afterLines="50" w:after="120"/>
        <w:ind w:firstLineChars="700" w:firstLine="1680"/>
        <w:rPr>
          <w:rFonts w:ascii="Times New Roman" w:hAnsi="Times New Roman" w:cs="Times New Roman"/>
        </w:rPr>
      </w:pPr>
      <w:r w:rsidRPr="00B4515A">
        <w:rPr>
          <w:rFonts w:ascii="Times New Roman" w:hAnsi="Times New Roman" w:cs="Times New Roman"/>
        </w:rPr>
        <w:t xml:space="preserve">        </w:t>
      </w:r>
      <w:r w:rsidRPr="00B4515A">
        <w:rPr>
          <w:rFonts w:ascii="Times New Roman" w:hAnsi="Times New Roman" w:cs="Times New Roman" w:hint="eastAsia"/>
        </w:rPr>
        <w:t>杨志国</w:t>
      </w:r>
    </w:p>
    <w:p w14:paraId="7C95E390" w14:textId="77777777" w:rsidR="006416B0" w:rsidRPr="00B4515A" w:rsidRDefault="006416B0">
      <w:pPr>
        <w:spacing w:beforeLines="50" w:before="120" w:afterLines="50" w:after="120"/>
        <w:rPr>
          <w:rFonts w:asciiTheme="minorEastAsia" w:hAnsiTheme="minorEastAsia" w:cs="Times New Roman"/>
          <w:b/>
          <w:bCs/>
        </w:rPr>
      </w:pPr>
    </w:p>
    <w:p w14:paraId="1D480047" w14:textId="77777777" w:rsidR="006416B0" w:rsidRPr="00B4515A" w:rsidRDefault="005E58C1">
      <w:pPr>
        <w:spacing w:beforeLines="50" w:before="120" w:afterLines="50" w:after="120"/>
        <w:rPr>
          <w:rFonts w:asciiTheme="minorEastAsia" w:hAnsiTheme="minorEastAsia" w:cs="Times New Roman"/>
          <w:b/>
          <w:bCs/>
        </w:rPr>
      </w:pPr>
      <w:r w:rsidRPr="00B4515A">
        <w:rPr>
          <w:rFonts w:asciiTheme="minorEastAsia" w:hAnsiTheme="minorEastAsia" w:cs="Times New Roman"/>
          <w:b/>
          <w:bCs/>
        </w:rPr>
        <w:t>经办注册会计师</w:t>
      </w:r>
      <w:r w:rsidRPr="00B4515A">
        <w:rPr>
          <w:rFonts w:asciiTheme="minorEastAsia" w:hAnsiTheme="minorEastAsia" w:cs="Times New Roman" w:hint="eastAsia"/>
          <w:b/>
          <w:bCs/>
        </w:rPr>
        <w:t>：</w:t>
      </w:r>
      <w:r w:rsidRPr="00B4515A">
        <w:rPr>
          <w:rFonts w:asciiTheme="minorEastAsia" w:hAnsiTheme="minorEastAsia" w:cs="Times New Roman"/>
          <w:b/>
          <w:bCs/>
        </w:rPr>
        <w:t xml:space="preserve">    </w:t>
      </w:r>
      <w:r w:rsidRPr="00B4515A">
        <w:rPr>
          <w:rFonts w:ascii="Times New Roman" w:hAnsi="Times New Roman" w:cs="Times New Roman"/>
        </w:rPr>
        <w:t xml:space="preserve">___________         ___________           </w:t>
      </w:r>
    </w:p>
    <w:p w14:paraId="6E3F6C19" w14:textId="77777777" w:rsidR="006416B0" w:rsidRPr="00B4515A" w:rsidRDefault="005E58C1">
      <w:pPr>
        <w:spacing w:beforeLines="50" w:before="120" w:afterLines="50" w:after="120"/>
        <w:rPr>
          <w:rFonts w:ascii="Times New Roman" w:hAnsi="Times New Roman" w:cs="Times New Roman"/>
        </w:rPr>
      </w:pPr>
      <w:r w:rsidRPr="00B4515A">
        <w:rPr>
          <w:rFonts w:ascii="Times New Roman" w:hAnsi="Times New Roman" w:cs="Times New Roman"/>
        </w:rPr>
        <w:t xml:space="preserve">                      </w:t>
      </w:r>
      <w:r w:rsidRPr="00B4515A">
        <w:rPr>
          <w:rFonts w:ascii="Times New Roman" w:hAnsi="Times New Roman" w:cs="Times New Roman"/>
        </w:rPr>
        <w:t>蔡晓丽</w:t>
      </w:r>
      <w:r w:rsidRPr="00B4515A">
        <w:rPr>
          <w:rFonts w:hint="eastAsia"/>
        </w:rPr>
        <w:t xml:space="preserve"> </w:t>
      </w:r>
      <w:r w:rsidRPr="00B4515A">
        <w:t xml:space="preserve">              </w:t>
      </w:r>
      <w:r w:rsidRPr="00B4515A">
        <w:rPr>
          <w:rFonts w:hint="eastAsia"/>
        </w:rPr>
        <w:t>修 军</w:t>
      </w:r>
    </w:p>
    <w:p w14:paraId="1222DFCA" w14:textId="77777777" w:rsidR="006416B0" w:rsidRPr="00B4515A" w:rsidRDefault="006416B0">
      <w:pPr>
        <w:spacing w:beforeLines="50" w:before="120" w:afterLines="50" w:after="120" w:line="360" w:lineRule="auto"/>
        <w:rPr>
          <w:rFonts w:asciiTheme="minorEastAsia" w:hAnsiTheme="minorEastAsia" w:cs="Times New Roman"/>
        </w:rPr>
      </w:pPr>
    </w:p>
    <w:p w14:paraId="5EF000A7" w14:textId="77777777" w:rsidR="006416B0" w:rsidRPr="00B4515A" w:rsidRDefault="005E58C1">
      <w:pPr>
        <w:spacing w:beforeLines="50" w:before="120" w:afterLines="50" w:after="120"/>
        <w:ind w:firstLineChars="500" w:firstLine="1200"/>
        <w:rPr>
          <w:rFonts w:ascii="Times New Roman" w:hAnsi="Times New Roman" w:cs="Times New Roman"/>
        </w:rPr>
      </w:pPr>
      <w:r w:rsidRPr="00B4515A">
        <w:rPr>
          <w:rFonts w:ascii="Times New Roman" w:hAnsi="Times New Roman" w:cs="Times New Roman"/>
        </w:rPr>
        <w:t xml:space="preserve">                                                         </w:t>
      </w:r>
    </w:p>
    <w:p w14:paraId="3855F051" w14:textId="77777777" w:rsidR="006416B0" w:rsidRPr="00B4515A" w:rsidRDefault="005E58C1" w:rsidP="008C1C67">
      <w:pPr>
        <w:pStyle w:val="005"/>
        <w:spacing w:before="120" w:after="120"/>
        <w:ind w:firstLineChars="0" w:firstLine="0"/>
        <w:jc w:val="right"/>
        <w:rPr>
          <w:color w:val="000000"/>
        </w:rPr>
      </w:pPr>
      <w:r w:rsidRPr="00B4515A">
        <w:rPr>
          <w:color w:val="000000"/>
        </w:rPr>
        <w:t>立信会计师事务所</w:t>
      </w:r>
      <w:r w:rsidRPr="00B4515A">
        <w:rPr>
          <w:rFonts w:hint="eastAsia"/>
          <w:color w:val="000000"/>
        </w:rPr>
        <w:t>（</w:t>
      </w:r>
      <w:r w:rsidRPr="00B4515A">
        <w:rPr>
          <w:color w:val="000000"/>
        </w:rPr>
        <w:t>特殊普通合伙</w:t>
      </w:r>
      <w:r w:rsidRPr="00B4515A">
        <w:rPr>
          <w:rFonts w:hint="eastAsia"/>
          <w:color w:val="000000"/>
        </w:rPr>
        <w:t>）</w:t>
      </w:r>
    </w:p>
    <w:p w14:paraId="53F1319C" w14:textId="77777777" w:rsidR="006416B0" w:rsidRPr="00B4515A" w:rsidRDefault="006416B0" w:rsidP="008C1C67">
      <w:pPr>
        <w:pStyle w:val="005"/>
        <w:spacing w:before="120" w:after="120"/>
        <w:ind w:firstLineChars="0" w:firstLine="0"/>
        <w:jc w:val="right"/>
        <w:rPr>
          <w:color w:val="000000"/>
        </w:rPr>
      </w:pPr>
    </w:p>
    <w:p w14:paraId="670913DF" w14:textId="77777777" w:rsidR="006416B0" w:rsidRPr="00B4515A" w:rsidRDefault="005E58C1" w:rsidP="008C1C67">
      <w:pPr>
        <w:pStyle w:val="005"/>
        <w:spacing w:before="120" w:after="120"/>
        <w:ind w:firstLineChars="0" w:firstLine="0"/>
        <w:jc w:val="right"/>
        <w:rPr>
          <w:color w:val="000000"/>
        </w:rPr>
      </w:pPr>
      <w:r w:rsidRPr="00B4515A">
        <w:rPr>
          <w:rFonts w:hint="eastAsia"/>
          <w:color w:val="000000"/>
        </w:rPr>
        <w:t>年</w:t>
      </w:r>
      <w:r w:rsidRPr="00B4515A">
        <w:rPr>
          <w:color w:val="000000"/>
        </w:rPr>
        <w:t xml:space="preserve">  </w:t>
      </w:r>
      <w:r w:rsidRPr="00B4515A">
        <w:rPr>
          <w:rFonts w:hint="eastAsia"/>
          <w:color w:val="000000"/>
        </w:rPr>
        <w:t>月</w:t>
      </w:r>
      <w:r w:rsidRPr="00B4515A">
        <w:rPr>
          <w:color w:val="000000"/>
        </w:rPr>
        <w:t xml:space="preserve">  </w:t>
      </w:r>
      <w:r w:rsidRPr="00B4515A">
        <w:rPr>
          <w:rFonts w:hint="eastAsia"/>
          <w:color w:val="000000"/>
        </w:rPr>
        <w:t>日</w:t>
      </w:r>
    </w:p>
    <w:p w14:paraId="624C48EC" w14:textId="77777777" w:rsidR="006416B0" w:rsidRPr="00B4515A" w:rsidRDefault="005E58C1">
      <w:pPr>
        <w:rPr>
          <w:rFonts w:ascii="Times New Roman" w:hAnsi="Times New Roman" w:cs="Times New Roman"/>
        </w:rPr>
      </w:pPr>
      <w:r w:rsidRPr="00B4515A">
        <w:rPr>
          <w:rFonts w:ascii="Times New Roman" w:hAnsi="Times New Roman" w:cs="Times New Roman"/>
        </w:rPr>
        <w:br w:type="page"/>
      </w:r>
    </w:p>
    <w:p w14:paraId="239669B1" w14:textId="16726504" w:rsidR="006416B0" w:rsidRPr="00B4515A" w:rsidRDefault="005E58C1" w:rsidP="0004078E">
      <w:pPr>
        <w:pStyle w:val="20"/>
        <w:spacing w:before="0" w:after="0" w:line="360" w:lineRule="auto"/>
        <w:ind w:firstLineChars="200" w:firstLine="562"/>
        <w:rPr>
          <w:rFonts w:ascii="Times New Roman" w:hAnsi="Times New Roman" w:cs="Times New Roman"/>
          <w:sz w:val="24"/>
          <w:szCs w:val="24"/>
        </w:rPr>
      </w:pPr>
      <w:bookmarkStart w:id="404" w:name="_Toc80960616"/>
      <w:r w:rsidRPr="00B4515A">
        <w:rPr>
          <w:rFonts w:ascii="Cambria" w:hAnsi="Cambria" w:cs="Cambria" w:hint="eastAsia"/>
          <w:sz w:val="28"/>
          <w:szCs w:val="28"/>
        </w:rPr>
        <w:lastRenderedPageBreak/>
        <w:t>六</w:t>
      </w:r>
      <w:r w:rsidRPr="00B4515A">
        <w:rPr>
          <w:rFonts w:ascii="Times New Roman" w:hAnsi="Times New Roman" w:cs="Times New Roman" w:hint="eastAsia"/>
          <w:sz w:val="28"/>
          <w:szCs w:val="28"/>
        </w:rPr>
        <w:t>、资产评估机构</w:t>
      </w:r>
      <w:r w:rsidRPr="00B4515A">
        <w:rPr>
          <w:rFonts w:ascii="Times New Roman" w:hAnsi="Times New Roman" w:cs="Times New Roman"/>
          <w:sz w:val="28"/>
          <w:szCs w:val="28"/>
        </w:rPr>
        <w:t>声明</w:t>
      </w:r>
      <w:bookmarkEnd w:id="404"/>
    </w:p>
    <w:p w14:paraId="5C616A9D" w14:textId="11B016B3" w:rsidR="006416B0" w:rsidRPr="00B4515A" w:rsidRDefault="005E58C1" w:rsidP="008C1C67">
      <w:pPr>
        <w:pStyle w:val="005"/>
        <w:spacing w:before="120" w:after="120"/>
        <w:ind w:firstLine="480"/>
        <w:rPr>
          <w:color w:val="000000"/>
        </w:rPr>
      </w:pPr>
      <w:r w:rsidRPr="00B4515A">
        <w:rPr>
          <w:color w:val="000000"/>
        </w:rPr>
        <w:t>上海东洲资产评估有限公司</w:t>
      </w:r>
      <w:r w:rsidRPr="00B4515A">
        <w:rPr>
          <w:rFonts w:hint="eastAsia"/>
          <w:color w:val="000000"/>
        </w:rPr>
        <w:t>（</w:t>
      </w:r>
      <w:r w:rsidRPr="00B4515A">
        <w:rPr>
          <w:color w:val="000000"/>
        </w:rPr>
        <w:t>以下简称</w:t>
      </w:r>
      <w:r w:rsidRPr="00B4515A">
        <w:rPr>
          <w:rFonts w:ascii="宋体" w:hAnsi="宋体" w:hint="eastAsia"/>
          <w:color w:val="000000"/>
        </w:rPr>
        <w:t>“</w:t>
      </w:r>
      <w:r w:rsidRPr="00B4515A">
        <w:rPr>
          <w:color w:val="000000"/>
        </w:rPr>
        <w:t>本公司</w:t>
      </w:r>
      <w:r w:rsidRPr="00B4515A">
        <w:rPr>
          <w:rFonts w:ascii="宋体" w:hAnsi="宋体" w:hint="eastAsia"/>
          <w:color w:val="000000"/>
        </w:rPr>
        <w:t>”</w:t>
      </w:r>
      <w:r w:rsidRPr="00B4515A">
        <w:rPr>
          <w:rFonts w:hint="eastAsia"/>
          <w:color w:val="000000"/>
        </w:rPr>
        <w:t>）</w:t>
      </w:r>
      <w:r w:rsidRPr="00B4515A">
        <w:rPr>
          <w:color w:val="000000"/>
        </w:rPr>
        <w:t>及本公司经办人员同意大唐电信科技股份有限公司在《</w:t>
      </w:r>
      <w:r w:rsidRPr="00B4515A">
        <w:rPr>
          <w:rFonts w:hint="eastAsia"/>
          <w:color w:val="000000"/>
        </w:rPr>
        <w:t>大唐电信科技股份有限公司发行股份购买资产并募集配套资金暨关联交易报告书（草案）</w:t>
      </w:r>
      <w:r w:rsidRPr="00B4515A">
        <w:rPr>
          <w:color w:val="000000"/>
        </w:rPr>
        <w:t>》及其摘要中援引本公司出具的资产评估报告的相关内容，并保证大唐电信科技股份有限公司在前述文件中引用的本公司出具的资产评估报告的相关内容已经本公司审阅，《</w:t>
      </w:r>
      <w:r w:rsidRPr="00B4515A">
        <w:rPr>
          <w:rFonts w:hint="eastAsia"/>
          <w:color w:val="000000"/>
        </w:rPr>
        <w:t>大唐电信科技股份有限公司发行股份购买资产并募集配套资金暨关联交易报告书（草案）</w:t>
      </w:r>
      <w:r w:rsidRPr="00B4515A">
        <w:rPr>
          <w:color w:val="000000"/>
        </w:rPr>
        <w:t>》及其摘要不致因上述内容而出现虚假记载、误导性陈述或重大遗漏，并对其真实性、准确性和完整性承担相应的法律责任。</w:t>
      </w:r>
    </w:p>
    <w:p w14:paraId="2043F589" w14:textId="77777777" w:rsidR="006416B0" w:rsidRPr="00B4515A" w:rsidRDefault="006416B0" w:rsidP="008C1C67">
      <w:pPr>
        <w:pStyle w:val="005"/>
        <w:spacing w:before="120" w:after="120"/>
        <w:ind w:firstLine="480"/>
        <w:rPr>
          <w:color w:val="000000"/>
        </w:rPr>
      </w:pPr>
    </w:p>
    <w:p w14:paraId="6A2F3CD8" w14:textId="77777777" w:rsidR="006416B0" w:rsidRPr="00B4515A" w:rsidRDefault="006416B0">
      <w:pPr>
        <w:spacing w:beforeLines="50" w:before="120" w:afterLines="50" w:after="120"/>
        <w:rPr>
          <w:rFonts w:asciiTheme="minorEastAsia" w:hAnsiTheme="minorEastAsia" w:cs="Times New Roman"/>
          <w:b/>
          <w:bCs/>
        </w:rPr>
      </w:pPr>
    </w:p>
    <w:p w14:paraId="313E0D86" w14:textId="77777777" w:rsidR="006416B0" w:rsidRPr="00B4515A" w:rsidRDefault="005E58C1">
      <w:pPr>
        <w:spacing w:beforeLines="50" w:before="120" w:afterLines="50" w:after="120"/>
        <w:ind w:firstLineChars="250" w:firstLine="602"/>
        <w:rPr>
          <w:rFonts w:ascii="Times New Roman" w:hAnsi="Times New Roman" w:cs="Times New Roman"/>
        </w:rPr>
      </w:pPr>
      <w:r w:rsidRPr="00B4515A">
        <w:rPr>
          <w:rFonts w:asciiTheme="minorEastAsia" w:hAnsiTheme="minorEastAsia" w:cs="Times New Roman" w:hint="eastAsia"/>
          <w:b/>
          <w:bCs/>
        </w:rPr>
        <w:t xml:space="preserve">法定代表人： </w:t>
      </w:r>
      <w:r w:rsidRPr="00B4515A">
        <w:rPr>
          <w:rFonts w:asciiTheme="minorEastAsia" w:hAnsiTheme="minorEastAsia" w:cs="Times New Roman"/>
          <w:b/>
          <w:bCs/>
        </w:rPr>
        <w:t xml:space="preserve">   </w:t>
      </w:r>
      <w:r w:rsidRPr="00B4515A">
        <w:rPr>
          <w:rFonts w:ascii="Times New Roman" w:hAnsi="Times New Roman" w:cs="Times New Roman"/>
        </w:rPr>
        <w:t xml:space="preserve">___________                          </w:t>
      </w:r>
    </w:p>
    <w:p w14:paraId="3499AC77" w14:textId="77777777" w:rsidR="006416B0" w:rsidRPr="00B4515A" w:rsidRDefault="005E58C1">
      <w:pPr>
        <w:spacing w:beforeLines="50" w:before="120" w:afterLines="50" w:after="120"/>
        <w:ind w:firstLineChars="700" w:firstLine="1680"/>
        <w:rPr>
          <w:rFonts w:ascii="Times New Roman" w:hAnsi="Times New Roman" w:cs="Times New Roman"/>
        </w:rPr>
      </w:pPr>
      <w:r w:rsidRPr="00B4515A">
        <w:rPr>
          <w:rFonts w:ascii="Times New Roman" w:hAnsi="Times New Roman" w:cs="Times New Roman"/>
        </w:rPr>
        <w:t xml:space="preserve">         </w:t>
      </w:r>
      <w:r w:rsidRPr="00B4515A">
        <w:rPr>
          <w:rFonts w:ascii="Times New Roman" w:hAnsi="Times New Roman" w:cs="Times New Roman"/>
        </w:rPr>
        <w:t>王小敏</w:t>
      </w:r>
    </w:p>
    <w:p w14:paraId="067A2275" w14:textId="77777777" w:rsidR="006416B0" w:rsidRPr="00B4515A" w:rsidRDefault="006416B0">
      <w:pPr>
        <w:spacing w:beforeLines="50" w:before="120" w:afterLines="50" w:after="120"/>
        <w:rPr>
          <w:rFonts w:asciiTheme="minorEastAsia" w:hAnsiTheme="minorEastAsia" w:cs="Times New Roman"/>
          <w:b/>
          <w:bCs/>
        </w:rPr>
      </w:pPr>
    </w:p>
    <w:p w14:paraId="16889216" w14:textId="77777777" w:rsidR="006416B0" w:rsidRPr="00B4515A" w:rsidRDefault="005E58C1">
      <w:pPr>
        <w:spacing w:beforeLines="50" w:before="120" w:afterLines="50" w:after="120"/>
        <w:ind w:firstLineChars="200" w:firstLine="482"/>
        <w:rPr>
          <w:rFonts w:asciiTheme="minorEastAsia" w:hAnsiTheme="minorEastAsia" w:cs="Times New Roman"/>
          <w:b/>
          <w:bCs/>
        </w:rPr>
      </w:pPr>
      <w:r w:rsidRPr="00B4515A">
        <w:rPr>
          <w:rFonts w:asciiTheme="minorEastAsia" w:hAnsiTheme="minorEastAsia" w:cs="Times New Roman"/>
          <w:b/>
          <w:bCs/>
        </w:rPr>
        <w:t xml:space="preserve">经办资产评估师 </w:t>
      </w:r>
      <w:r w:rsidRPr="00B4515A">
        <w:rPr>
          <w:rFonts w:asciiTheme="minorEastAsia" w:hAnsiTheme="minorEastAsia" w:cs="Times New Roman" w:hint="eastAsia"/>
          <w:b/>
          <w:bCs/>
        </w:rPr>
        <w:t>：</w:t>
      </w:r>
      <w:r w:rsidRPr="00B4515A">
        <w:rPr>
          <w:rFonts w:asciiTheme="minorEastAsia" w:hAnsiTheme="minorEastAsia" w:cs="Times New Roman"/>
          <w:b/>
          <w:bCs/>
        </w:rPr>
        <w:t xml:space="preserve">    </w:t>
      </w:r>
      <w:r w:rsidRPr="00B4515A">
        <w:rPr>
          <w:rFonts w:ascii="Times New Roman" w:hAnsi="Times New Roman" w:cs="Times New Roman"/>
        </w:rPr>
        <w:t xml:space="preserve">___________         ___________           </w:t>
      </w:r>
    </w:p>
    <w:p w14:paraId="10591695" w14:textId="77777777" w:rsidR="006416B0" w:rsidRPr="00B4515A" w:rsidRDefault="005E58C1">
      <w:pPr>
        <w:spacing w:beforeLines="50" w:before="120" w:afterLines="50" w:after="120"/>
        <w:rPr>
          <w:rFonts w:ascii="Times New Roman" w:hAnsi="Times New Roman" w:cs="Times New Roman"/>
        </w:rPr>
      </w:pPr>
      <w:r w:rsidRPr="00B4515A">
        <w:rPr>
          <w:rFonts w:ascii="Times New Roman" w:hAnsi="Times New Roman" w:cs="Times New Roman"/>
        </w:rPr>
        <w:t xml:space="preserve">                            </w:t>
      </w:r>
      <w:r w:rsidRPr="00B4515A">
        <w:rPr>
          <w:rFonts w:ascii="Times New Roman" w:hAnsi="Times New Roman" w:cs="Times New Roman"/>
        </w:rPr>
        <w:t>李</w:t>
      </w:r>
      <w:r w:rsidRPr="00B4515A">
        <w:rPr>
          <w:rFonts w:ascii="Times New Roman" w:hAnsi="Times New Roman" w:cs="Times New Roman" w:hint="eastAsia"/>
        </w:rPr>
        <w:t xml:space="preserve"> </w:t>
      </w:r>
      <w:r w:rsidRPr="00B4515A">
        <w:rPr>
          <w:rFonts w:ascii="Times New Roman" w:hAnsi="Times New Roman" w:cs="Times New Roman"/>
        </w:rPr>
        <w:t>崇</w:t>
      </w:r>
      <w:r w:rsidRPr="00B4515A">
        <w:rPr>
          <w:rFonts w:ascii="Times New Roman" w:hAnsi="Times New Roman" w:cs="Times New Roman" w:hint="eastAsia"/>
        </w:rPr>
        <w:t xml:space="preserve"> </w:t>
      </w:r>
      <w:r w:rsidRPr="00B4515A">
        <w:rPr>
          <w:rFonts w:ascii="Times New Roman" w:hAnsi="Times New Roman" w:cs="Times New Roman"/>
        </w:rPr>
        <w:t xml:space="preserve">              </w:t>
      </w:r>
      <w:r w:rsidRPr="00B4515A">
        <w:rPr>
          <w:rFonts w:ascii="Times New Roman" w:hAnsi="Times New Roman" w:cs="Times New Roman"/>
        </w:rPr>
        <w:t>郝</w:t>
      </w:r>
      <w:r w:rsidRPr="00B4515A">
        <w:rPr>
          <w:rFonts w:ascii="Times New Roman" w:hAnsi="Times New Roman" w:cs="Times New Roman" w:hint="eastAsia"/>
        </w:rPr>
        <w:t xml:space="preserve"> </w:t>
      </w:r>
      <w:r w:rsidRPr="00B4515A">
        <w:rPr>
          <w:rFonts w:ascii="Times New Roman" w:hAnsi="Times New Roman" w:cs="Times New Roman"/>
        </w:rPr>
        <w:t>正</w:t>
      </w:r>
    </w:p>
    <w:p w14:paraId="44C41BA2" w14:textId="77777777" w:rsidR="006416B0" w:rsidRPr="00B4515A" w:rsidRDefault="006416B0">
      <w:pPr>
        <w:spacing w:beforeLines="50" w:before="120" w:afterLines="50" w:after="120" w:line="360" w:lineRule="auto"/>
        <w:rPr>
          <w:rFonts w:asciiTheme="minorEastAsia" w:hAnsiTheme="minorEastAsia" w:cs="Times New Roman"/>
        </w:rPr>
      </w:pPr>
    </w:p>
    <w:p w14:paraId="3264F6F6" w14:textId="77777777" w:rsidR="006416B0" w:rsidRPr="00B4515A" w:rsidRDefault="005E58C1">
      <w:pPr>
        <w:spacing w:beforeLines="50" w:before="120" w:afterLines="50" w:after="120"/>
        <w:ind w:firstLineChars="500" w:firstLine="1200"/>
        <w:rPr>
          <w:rFonts w:ascii="Times New Roman" w:hAnsi="Times New Roman" w:cs="Times New Roman"/>
        </w:rPr>
      </w:pPr>
      <w:r w:rsidRPr="00B4515A">
        <w:rPr>
          <w:rFonts w:ascii="Times New Roman" w:hAnsi="Times New Roman" w:cs="Times New Roman"/>
        </w:rPr>
        <w:t xml:space="preserve">                                                         </w:t>
      </w:r>
    </w:p>
    <w:p w14:paraId="6662FE6D" w14:textId="77777777" w:rsidR="006416B0" w:rsidRPr="00B4515A" w:rsidRDefault="005E58C1" w:rsidP="008C1C67">
      <w:pPr>
        <w:pStyle w:val="005"/>
        <w:spacing w:before="120" w:after="120"/>
        <w:ind w:firstLineChars="0" w:firstLine="0"/>
        <w:jc w:val="right"/>
        <w:rPr>
          <w:color w:val="000000"/>
        </w:rPr>
      </w:pPr>
      <w:r w:rsidRPr="00B4515A">
        <w:rPr>
          <w:color w:val="000000"/>
        </w:rPr>
        <w:t>上海东洲资产评估有限公司</w:t>
      </w:r>
      <w:r w:rsidRPr="00B4515A">
        <w:rPr>
          <w:color w:val="000000"/>
        </w:rPr>
        <w:t xml:space="preserve"> </w:t>
      </w:r>
    </w:p>
    <w:p w14:paraId="7EC78B3D" w14:textId="77777777" w:rsidR="006416B0" w:rsidRPr="00B4515A" w:rsidRDefault="006416B0" w:rsidP="008C1C67">
      <w:pPr>
        <w:pStyle w:val="005"/>
        <w:spacing w:before="120" w:after="120"/>
        <w:ind w:firstLineChars="0" w:firstLine="0"/>
        <w:jc w:val="right"/>
        <w:rPr>
          <w:color w:val="000000"/>
        </w:rPr>
      </w:pPr>
    </w:p>
    <w:p w14:paraId="483595BA" w14:textId="77777777" w:rsidR="006416B0" w:rsidRPr="00B4515A" w:rsidRDefault="005E58C1" w:rsidP="008C1C67">
      <w:pPr>
        <w:pStyle w:val="005"/>
        <w:spacing w:before="120" w:after="120"/>
        <w:ind w:firstLineChars="0" w:firstLine="0"/>
        <w:jc w:val="right"/>
        <w:rPr>
          <w:color w:val="000000"/>
        </w:rPr>
      </w:pPr>
      <w:r w:rsidRPr="00B4515A">
        <w:rPr>
          <w:rFonts w:hint="eastAsia"/>
          <w:color w:val="000000"/>
        </w:rPr>
        <w:t>年</w:t>
      </w:r>
      <w:r w:rsidRPr="00B4515A">
        <w:rPr>
          <w:color w:val="000000"/>
        </w:rPr>
        <w:t xml:space="preserve">  </w:t>
      </w:r>
      <w:r w:rsidRPr="00B4515A">
        <w:rPr>
          <w:rFonts w:hint="eastAsia"/>
          <w:color w:val="000000"/>
        </w:rPr>
        <w:t>月</w:t>
      </w:r>
      <w:r w:rsidRPr="00B4515A">
        <w:rPr>
          <w:color w:val="000000"/>
        </w:rPr>
        <w:t xml:space="preserve">  </w:t>
      </w:r>
      <w:r w:rsidRPr="00B4515A">
        <w:rPr>
          <w:rFonts w:hint="eastAsia"/>
          <w:color w:val="000000"/>
        </w:rPr>
        <w:t>日</w:t>
      </w:r>
    </w:p>
    <w:p w14:paraId="4ABDD012" w14:textId="77777777" w:rsidR="006416B0" w:rsidRPr="00B4515A" w:rsidRDefault="005E58C1">
      <w:pPr>
        <w:rPr>
          <w:rFonts w:ascii="Times New Roman" w:hAnsi="Times New Roman" w:cs="Times New Roman"/>
          <w:color w:val="000000"/>
        </w:rPr>
      </w:pPr>
      <w:r w:rsidRPr="00B4515A">
        <w:rPr>
          <w:color w:val="000000"/>
        </w:rPr>
        <w:br w:type="page"/>
      </w:r>
    </w:p>
    <w:p w14:paraId="6EE411A9" w14:textId="3929DF90" w:rsidR="006416B0" w:rsidRPr="00B4515A" w:rsidRDefault="005E58C1" w:rsidP="0004078E">
      <w:pPr>
        <w:pStyle w:val="20"/>
        <w:spacing w:before="0" w:after="0" w:line="360" w:lineRule="auto"/>
        <w:ind w:firstLineChars="200" w:firstLine="562"/>
        <w:rPr>
          <w:rFonts w:ascii="Times New Roman" w:hAnsi="Times New Roman" w:cs="Times New Roman"/>
          <w:sz w:val="24"/>
          <w:szCs w:val="24"/>
        </w:rPr>
      </w:pPr>
      <w:bookmarkStart w:id="405" w:name="_Toc80960617"/>
      <w:r w:rsidRPr="00B4515A">
        <w:rPr>
          <w:rFonts w:ascii="Cambria" w:hAnsi="Cambria" w:cs="Cambria" w:hint="eastAsia"/>
          <w:sz w:val="28"/>
          <w:szCs w:val="28"/>
        </w:rPr>
        <w:lastRenderedPageBreak/>
        <w:t>七</w:t>
      </w:r>
      <w:r w:rsidRPr="00B4515A">
        <w:rPr>
          <w:rFonts w:ascii="Times New Roman" w:hAnsi="Times New Roman" w:cs="Times New Roman" w:hint="eastAsia"/>
          <w:sz w:val="28"/>
          <w:szCs w:val="28"/>
        </w:rPr>
        <w:t>、资产评估机构</w:t>
      </w:r>
      <w:r w:rsidRPr="00B4515A">
        <w:rPr>
          <w:rFonts w:ascii="Times New Roman" w:hAnsi="Times New Roman" w:cs="Times New Roman"/>
          <w:sz w:val="28"/>
          <w:szCs w:val="28"/>
        </w:rPr>
        <w:t>声明</w:t>
      </w:r>
      <w:bookmarkEnd w:id="405"/>
    </w:p>
    <w:p w14:paraId="3E867967" w14:textId="19C8A96F" w:rsidR="006416B0" w:rsidRPr="00B4515A" w:rsidRDefault="005E58C1" w:rsidP="008C1C67">
      <w:pPr>
        <w:pStyle w:val="005"/>
        <w:spacing w:before="120" w:after="120"/>
        <w:ind w:firstLine="480"/>
        <w:rPr>
          <w:color w:val="000000"/>
        </w:rPr>
      </w:pPr>
      <w:r w:rsidRPr="00B4515A">
        <w:rPr>
          <w:rFonts w:hint="eastAsia"/>
          <w:color w:val="000000"/>
        </w:rPr>
        <w:t>中资资产评估</w:t>
      </w:r>
      <w:r w:rsidRPr="00B4515A">
        <w:rPr>
          <w:color w:val="000000"/>
        </w:rPr>
        <w:t>有限公司</w:t>
      </w:r>
      <w:r w:rsidRPr="00B4515A">
        <w:rPr>
          <w:rFonts w:hint="eastAsia"/>
          <w:color w:val="000000"/>
        </w:rPr>
        <w:t>（</w:t>
      </w:r>
      <w:r w:rsidRPr="00B4515A">
        <w:rPr>
          <w:color w:val="000000"/>
        </w:rPr>
        <w:t>以下简称</w:t>
      </w:r>
      <w:r w:rsidRPr="00B4515A">
        <w:rPr>
          <w:rFonts w:ascii="宋体" w:hAnsi="宋体" w:hint="eastAsia"/>
          <w:color w:val="000000"/>
        </w:rPr>
        <w:t>“</w:t>
      </w:r>
      <w:r w:rsidRPr="00B4515A">
        <w:rPr>
          <w:color w:val="000000"/>
        </w:rPr>
        <w:t>本公司</w:t>
      </w:r>
      <w:r w:rsidRPr="00B4515A">
        <w:rPr>
          <w:rFonts w:ascii="宋体" w:hAnsi="宋体" w:hint="eastAsia"/>
          <w:color w:val="000000"/>
        </w:rPr>
        <w:t>”</w:t>
      </w:r>
      <w:r w:rsidRPr="00B4515A">
        <w:rPr>
          <w:rFonts w:hint="eastAsia"/>
          <w:color w:val="000000"/>
        </w:rPr>
        <w:t>）</w:t>
      </w:r>
      <w:r w:rsidRPr="00B4515A">
        <w:rPr>
          <w:color w:val="000000"/>
        </w:rPr>
        <w:t>及本公司经办人员同意大唐电信科技股份有限公司在《</w:t>
      </w:r>
      <w:r w:rsidRPr="00B4515A">
        <w:rPr>
          <w:rFonts w:hint="eastAsia"/>
          <w:color w:val="000000"/>
        </w:rPr>
        <w:t>大唐电信科技股份有限公司发行股份购买资产并募集配套资金暨关联交易报告书（草案）</w:t>
      </w:r>
      <w:r w:rsidRPr="00B4515A">
        <w:rPr>
          <w:color w:val="000000"/>
        </w:rPr>
        <w:t>》及其摘要中援引本公司出具的资产评估报告的相关内容，并保证大唐电信科技股份有限公司在前述文件中引用的本公司出具的资产评估报告的相关内容已经本公司审阅，《</w:t>
      </w:r>
      <w:r w:rsidRPr="00B4515A">
        <w:rPr>
          <w:rFonts w:hint="eastAsia"/>
          <w:color w:val="000000"/>
        </w:rPr>
        <w:t>大唐电信科技股份有限公司发行股份购买资产并募集配套资金暨关联交易报告书（草案）</w:t>
      </w:r>
      <w:r w:rsidRPr="00B4515A">
        <w:rPr>
          <w:color w:val="000000"/>
        </w:rPr>
        <w:t>》及其摘要不致因上述内容而出现虚假记载、误导性陈述或重大遗漏，并对其真实性、准确性和完整性承担相应的法律责任。</w:t>
      </w:r>
    </w:p>
    <w:p w14:paraId="47EC4BBE" w14:textId="77777777" w:rsidR="006416B0" w:rsidRPr="00B4515A" w:rsidRDefault="006416B0" w:rsidP="008C1C67">
      <w:pPr>
        <w:pStyle w:val="005"/>
        <w:spacing w:before="120" w:after="120"/>
        <w:ind w:firstLine="480"/>
        <w:rPr>
          <w:color w:val="000000"/>
        </w:rPr>
      </w:pPr>
    </w:p>
    <w:p w14:paraId="4F22A45F" w14:textId="77777777" w:rsidR="006416B0" w:rsidRPr="00B4515A" w:rsidRDefault="006416B0">
      <w:pPr>
        <w:spacing w:beforeLines="50" w:before="120" w:afterLines="50" w:after="120"/>
        <w:rPr>
          <w:rFonts w:asciiTheme="minorEastAsia" w:hAnsiTheme="minorEastAsia" w:cs="Times New Roman"/>
          <w:b/>
          <w:bCs/>
        </w:rPr>
      </w:pPr>
    </w:p>
    <w:p w14:paraId="7F089D03" w14:textId="77777777" w:rsidR="006416B0" w:rsidRPr="00B4515A" w:rsidRDefault="005E58C1">
      <w:pPr>
        <w:spacing w:beforeLines="50" w:before="120" w:afterLines="50" w:after="120"/>
        <w:ind w:firstLineChars="250" w:firstLine="602"/>
        <w:rPr>
          <w:rFonts w:ascii="Times New Roman" w:hAnsi="Times New Roman" w:cs="Times New Roman"/>
        </w:rPr>
      </w:pPr>
      <w:r w:rsidRPr="00B4515A">
        <w:rPr>
          <w:rFonts w:asciiTheme="minorEastAsia" w:hAnsiTheme="minorEastAsia" w:cs="Times New Roman" w:hint="eastAsia"/>
          <w:b/>
          <w:bCs/>
        </w:rPr>
        <w:t xml:space="preserve">法定代表人： </w:t>
      </w:r>
      <w:r w:rsidRPr="00B4515A">
        <w:rPr>
          <w:rFonts w:asciiTheme="minorEastAsia" w:hAnsiTheme="minorEastAsia" w:cs="Times New Roman"/>
          <w:b/>
          <w:bCs/>
        </w:rPr>
        <w:t xml:space="preserve">   </w:t>
      </w:r>
      <w:r w:rsidRPr="00B4515A">
        <w:rPr>
          <w:rFonts w:ascii="Times New Roman" w:hAnsi="Times New Roman" w:cs="Times New Roman"/>
        </w:rPr>
        <w:t xml:space="preserve">___________                          </w:t>
      </w:r>
    </w:p>
    <w:p w14:paraId="087C6764" w14:textId="77777777" w:rsidR="006416B0" w:rsidRPr="00B4515A" w:rsidRDefault="005E58C1">
      <w:pPr>
        <w:spacing w:beforeLines="50" w:before="120" w:afterLines="50" w:after="120"/>
        <w:ind w:firstLineChars="700" w:firstLine="1680"/>
        <w:rPr>
          <w:rFonts w:ascii="Times New Roman" w:hAnsi="Times New Roman" w:cs="Times New Roman"/>
        </w:rPr>
      </w:pPr>
      <w:r w:rsidRPr="00B4515A">
        <w:rPr>
          <w:rFonts w:ascii="Times New Roman" w:hAnsi="Times New Roman" w:cs="Times New Roman"/>
        </w:rPr>
        <w:t xml:space="preserve">         </w:t>
      </w:r>
      <w:r w:rsidRPr="00B4515A">
        <w:rPr>
          <w:rFonts w:ascii="Times New Roman" w:hAnsi="Times New Roman" w:cs="Times New Roman" w:hint="eastAsia"/>
        </w:rPr>
        <w:t>张宏新</w:t>
      </w:r>
    </w:p>
    <w:p w14:paraId="27971F00" w14:textId="77777777" w:rsidR="006416B0" w:rsidRPr="00B4515A" w:rsidRDefault="006416B0">
      <w:pPr>
        <w:spacing w:beforeLines="50" w:before="120" w:afterLines="50" w:after="120"/>
        <w:rPr>
          <w:rFonts w:asciiTheme="minorEastAsia" w:hAnsiTheme="minorEastAsia" w:cs="Times New Roman"/>
          <w:b/>
          <w:bCs/>
        </w:rPr>
      </w:pPr>
    </w:p>
    <w:p w14:paraId="6B8D1B43" w14:textId="77777777" w:rsidR="006416B0" w:rsidRPr="00B4515A" w:rsidRDefault="005E58C1">
      <w:pPr>
        <w:spacing w:beforeLines="50" w:before="120" w:afterLines="50" w:after="120"/>
        <w:ind w:firstLineChars="200" w:firstLine="482"/>
        <w:rPr>
          <w:rFonts w:asciiTheme="minorEastAsia" w:hAnsiTheme="minorEastAsia" w:cs="Times New Roman"/>
          <w:b/>
          <w:bCs/>
        </w:rPr>
      </w:pPr>
      <w:r w:rsidRPr="00B4515A">
        <w:rPr>
          <w:rFonts w:asciiTheme="minorEastAsia" w:hAnsiTheme="minorEastAsia" w:cs="Times New Roman"/>
          <w:b/>
          <w:bCs/>
        </w:rPr>
        <w:t xml:space="preserve">经办资产评估师 </w:t>
      </w:r>
      <w:r w:rsidRPr="00B4515A">
        <w:rPr>
          <w:rFonts w:asciiTheme="minorEastAsia" w:hAnsiTheme="minorEastAsia" w:cs="Times New Roman" w:hint="eastAsia"/>
          <w:b/>
          <w:bCs/>
        </w:rPr>
        <w:t>：</w:t>
      </w:r>
      <w:r w:rsidRPr="00B4515A">
        <w:rPr>
          <w:rFonts w:asciiTheme="minorEastAsia" w:hAnsiTheme="minorEastAsia" w:cs="Times New Roman"/>
          <w:b/>
          <w:bCs/>
        </w:rPr>
        <w:t xml:space="preserve">    </w:t>
      </w:r>
      <w:r w:rsidRPr="00B4515A">
        <w:rPr>
          <w:rFonts w:ascii="Times New Roman" w:hAnsi="Times New Roman" w:cs="Times New Roman"/>
        </w:rPr>
        <w:t xml:space="preserve">___________         ___________           </w:t>
      </w:r>
    </w:p>
    <w:p w14:paraId="1F5BD87F" w14:textId="77777777" w:rsidR="006416B0" w:rsidRPr="00B4515A" w:rsidRDefault="005E58C1">
      <w:pPr>
        <w:spacing w:beforeLines="50" w:before="120" w:afterLines="50" w:after="120"/>
        <w:rPr>
          <w:rFonts w:ascii="Times New Roman" w:hAnsi="Times New Roman" w:cs="Times New Roman"/>
        </w:rPr>
      </w:pPr>
      <w:r w:rsidRPr="00B4515A">
        <w:rPr>
          <w:rFonts w:ascii="Times New Roman" w:hAnsi="Times New Roman" w:cs="Times New Roman"/>
        </w:rPr>
        <w:t xml:space="preserve">                            </w:t>
      </w:r>
      <w:r w:rsidRPr="00B4515A">
        <w:rPr>
          <w:rFonts w:ascii="Times New Roman" w:hAnsi="Times New Roman" w:cs="Times New Roman"/>
        </w:rPr>
        <w:t>邸雪筠</w:t>
      </w:r>
      <w:r w:rsidRPr="00B4515A">
        <w:rPr>
          <w:rFonts w:ascii="Times New Roman" w:hAnsi="Times New Roman" w:cs="Times New Roman" w:hint="eastAsia"/>
        </w:rPr>
        <w:t xml:space="preserve"> </w:t>
      </w:r>
      <w:r w:rsidRPr="00B4515A">
        <w:rPr>
          <w:rFonts w:ascii="Times New Roman" w:hAnsi="Times New Roman" w:cs="Times New Roman"/>
        </w:rPr>
        <w:t xml:space="preserve">              </w:t>
      </w:r>
      <w:r w:rsidRPr="00B4515A">
        <w:rPr>
          <w:rFonts w:ascii="Times New Roman" w:hAnsi="Times New Roman" w:cs="Times New Roman"/>
        </w:rPr>
        <w:t>张</w:t>
      </w:r>
      <w:r w:rsidRPr="00B4515A">
        <w:rPr>
          <w:rFonts w:ascii="Times New Roman" w:hAnsi="Times New Roman" w:cs="Times New Roman" w:hint="eastAsia"/>
        </w:rPr>
        <w:t xml:space="preserve"> </w:t>
      </w:r>
      <w:r w:rsidRPr="00B4515A">
        <w:rPr>
          <w:rFonts w:ascii="Times New Roman" w:hAnsi="Times New Roman" w:cs="Times New Roman"/>
        </w:rPr>
        <w:t>杰</w:t>
      </w:r>
    </w:p>
    <w:p w14:paraId="218D3D0E" w14:textId="77777777" w:rsidR="006416B0" w:rsidRPr="00B4515A" w:rsidRDefault="006416B0">
      <w:pPr>
        <w:spacing w:beforeLines="50" w:before="120" w:afterLines="50" w:after="120" w:line="360" w:lineRule="auto"/>
        <w:rPr>
          <w:rFonts w:asciiTheme="minorEastAsia" w:hAnsiTheme="minorEastAsia" w:cs="Times New Roman"/>
        </w:rPr>
      </w:pPr>
    </w:p>
    <w:p w14:paraId="426C0F6A" w14:textId="77777777" w:rsidR="006416B0" w:rsidRPr="00B4515A" w:rsidRDefault="005E58C1">
      <w:pPr>
        <w:spacing w:beforeLines="50" w:before="120" w:afterLines="50" w:after="120"/>
        <w:ind w:firstLineChars="500" w:firstLine="1200"/>
        <w:rPr>
          <w:rFonts w:ascii="Times New Roman" w:hAnsi="Times New Roman" w:cs="Times New Roman"/>
        </w:rPr>
      </w:pPr>
      <w:r w:rsidRPr="00B4515A">
        <w:rPr>
          <w:rFonts w:ascii="Times New Roman" w:hAnsi="Times New Roman" w:cs="Times New Roman"/>
        </w:rPr>
        <w:t xml:space="preserve">                                                         </w:t>
      </w:r>
    </w:p>
    <w:p w14:paraId="46981A5E" w14:textId="77777777" w:rsidR="006416B0" w:rsidRPr="00B4515A" w:rsidRDefault="005E58C1" w:rsidP="008C1C67">
      <w:pPr>
        <w:pStyle w:val="005"/>
        <w:spacing w:before="120" w:after="120"/>
        <w:ind w:firstLineChars="0" w:firstLine="0"/>
        <w:jc w:val="right"/>
        <w:rPr>
          <w:color w:val="000000"/>
        </w:rPr>
      </w:pPr>
      <w:r w:rsidRPr="00B4515A">
        <w:rPr>
          <w:rFonts w:hint="eastAsia"/>
          <w:color w:val="000000"/>
        </w:rPr>
        <w:t>中资资产评估</w:t>
      </w:r>
      <w:r w:rsidRPr="00B4515A">
        <w:rPr>
          <w:color w:val="000000"/>
        </w:rPr>
        <w:t>有限公司</w:t>
      </w:r>
      <w:r w:rsidRPr="00B4515A">
        <w:rPr>
          <w:color w:val="000000"/>
        </w:rPr>
        <w:t xml:space="preserve"> </w:t>
      </w:r>
    </w:p>
    <w:p w14:paraId="54385F37" w14:textId="77777777" w:rsidR="006416B0" w:rsidRPr="00B4515A" w:rsidRDefault="006416B0" w:rsidP="008C1C67">
      <w:pPr>
        <w:pStyle w:val="005"/>
        <w:spacing w:before="120" w:after="120"/>
        <w:ind w:firstLineChars="0" w:firstLine="0"/>
        <w:jc w:val="right"/>
        <w:rPr>
          <w:color w:val="000000"/>
        </w:rPr>
      </w:pPr>
    </w:p>
    <w:p w14:paraId="11A99D5F" w14:textId="77777777" w:rsidR="006416B0" w:rsidRPr="00B4515A" w:rsidRDefault="005E58C1" w:rsidP="008C1C67">
      <w:pPr>
        <w:pStyle w:val="005"/>
        <w:spacing w:before="120" w:after="120"/>
        <w:ind w:firstLineChars="0" w:firstLine="0"/>
        <w:jc w:val="right"/>
        <w:rPr>
          <w:color w:val="000000"/>
        </w:rPr>
      </w:pPr>
      <w:r w:rsidRPr="00B4515A">
        <w:rPr>
          <w:rFonts w:hint="eastAsia"/>
          <w:color w:val="000000"/>
        </w:rPr>
        <w:t>年</w:t>
      </w:r>
      <w:r w:rsidRPr="00B4515A">
        <w:rPr>
          <w:color w:val="000000"/>
        </w:rPr>
        <w:t xml:space="preserve">  </w:t>
      </w:r>
      <w:r w:rsidRPr="00B4515A">
        <w:rPr>
          <w:rFonts w:hint="eastAsia"/>
          <w:color w:val="000000"/>
        </w:rPr>
        <w:t>月</w:t>
      </w:r>
      <w:r w:rsidRPr="00B4515A">
        <w:rPr>
          <w:color w:val="000000"/>
        </w:rPr>
        <w:t xml:space="preserve">  </w:t>
      </w:r>
      <w:r w:rsidRPr="00B4515A">
        <w:rPr>
          <w:rFonts w:hint="eastAsia"/>
          <w:color w:val="000000"/>
        </w:rPr>
        <w:t>日</w:t>
      </w:r>
    </w:p>
    <w:p w14:paraId="3306F791" w14:textId="77777777" w:rsidR="006416B0" w:rsidRPr="00B4515A" w:rsidRDefault="006416B0" w:rsidP="008C1C67">
      <w:pPr>
        <w:pStyle w:val="005"/>
        <w:spacing w:before="120" w:after="120"/>
        <w:ind w:firstLineChars="0" w:firstLine="0"/>
        <w:rPr>
          <w:color w:val="000000"/>
        </w:rPr>
      </w:pPr>
    </w:p>
    <w:p w14:paraId="2D54360A" w14:textId="77777777" w:rsidR="006416B0" w:rsidRPr="00B4515A" w:rsidRDefault="005E58C1">
      <w:pPr>
        <w:rPr>
          <w:color w:val="000000"/>
        </w:rPr>
      </w:pPr>
      <w:r w:rsidRPr="00B4515A">
        <w:rPr>
          <w:color w:val="000000"/>
        </w:rPr>
        <w:br w:type="page"/>
      </w:r>
    </w:p>
    <w:p w14:paraId="12A9F899" w14:textId="77777777" w:rsidR="006416B0" w:rsidRPr="00B4515A" w:rsidRDefault="005E58C1" w:rsidP="002B0582">
      <w:pPr>
        <w:pStyle w:val="001"/>
        <w:spacing w:before="360" w:after="360"/>
      </w:pPr>
      <w:bookmarkStart w:id="406" w:name="_Toc80960618"/>
      <w:r w:rsidRPr="00B4515A">
        <w:lastRenderedPageBreak/>
        <w:t>第</w:t>
      </w:r>
      <w:r w:rsidRPr="00B4515A">
        <w:rPr>
          <w:rFonts w:hint="eastAsia"/>
        </w:rPr>
        <w:t>十七</w:t>
      </w:r>
      <w:r w:rsidRPr="00B4515A">
        <w:t>节</w:t>
      </w:r>
      <w:r w:rsidRPr="00B4515A">
        <w:rPr>
          <w:rFonts w:hint="eastAsia"/>
        </w:rPr>
        <w:t xml:space="preserve"> </w:t>
      </w:r>
      <w:r w:rsidRPr="00B4515A">
        <w:t>备查文件及地点</w:t>
      </w:r>
      <w:bookmarkEnd w:id="406"/>
    </w:p>
    <w:p w14:paraId="1DB2CCB1" w14:textId="77777777" w:rsidR="006416B0" w:rsidRPr="00B4515A" w:rsidRDefault="005E58C1" w:rsidP="006100BC">
      <w:pPr>
        <w:pStyle w:val="002"/>
        <w:spacing w:before="120" w:after="120"/>
        <w:ind w:firstLine="562"/>
      </w:pPr>
      <w:bookmarkStart w:id="407" w:name="_Toc80960619"/>
      <w:r w:rsidRPr="00B4515A">
        <w:t>一、备查文件</w:t>
      </w:r>
      <w:bookmarkEnd w:id="407"/>
    </w:p>
    <w:p w14:paraId="6F63643C" w14:textId="77777777" w:rsidR="006416B0" w:rsidRPr="00B4515A" w:rsidRDefault="005E58C1" w:rsidP="006100BC">
      <w:pPr>
        <w:spacing w:line="360" w:lineRule="auto"/>
        <w:ind w:firstLineChars="200" w:firstLine="480"/>
        <w:rPr>
          <w:rFonts w:ascii="Times New Roman" w:hAnsi="Times New Roman" w:cs="Times New Roman"/>
          <w:color w:val="000000"/>
        </w:rPr>
      </w:pPr>
      <w:r w:rsidRPr="00B4515A">
        <w:rPr>
          <w:rFonts w:ascii="Times New Roman" w:hAnsi="Times New Roman" w:cs="Times New Roman" w:hint="eastAsia"/>
          <w:color w:val="000000"/>
        </w:rPr>
        <w:t>（</w:t>
      </w:r>
      <w:r w:rsidRPr="00B4515A">
        <w:rPr>
          <w:rFonts w:ascii="Times New Roman" w:hAnsi="Times New Roman" w:cs="Times New Roman"/>
          <w:color w:val="000000"/>
        </w:rPr>
        <w:t>一</w:t>
      </w:r>
      <w:r w:rsidRPr="00B4515A">
        <w:rPr>
          <w:rFonts w:ascii="Times New Roman" w:hAnsi="Times New Roman" w:cs="Times New Roman" w:hint="eastAsia"/>
          <w:color w:val="000000"/>
        </w:rPr>
        <w:t>）</w:t>
      </w:r>
      <w:r w:rsidRPr="00B4515A">
        <w:rPr>
          <w:rFonts w:ascii="Times New Roman" w:hAnsi="Times New Roman" w:cs="Times New Roman"/>
          <w:color w:val="000000"/>
        </w:rPr>
        <w:t>大唐电信关于本次交易的董事会决议文件</w:t>
      </w:r>
      <w:r w:rsidRPr="00B4515A">
        <w:rPr>
          <w:rFonts w:ascii="Times New Roman" w:hAnsi="Times New Roman" w:cs="Times New Roman" w:hint="eastAsia"/>
          <w:color w:val="000000"/>
        </w:rPr>
        <w:t>；</w:t>
      </w:r>
    </w:p>
    <w:p w14:paraId="53094C01" w14:textId="77777777" w:rsidR="006416B0" w:rsidRPr="00B4515A" w:rsidRDefault="005E58C1" w:rsidP="006100BC">
      <w:pPr>
        <w:spacing w:line="360" w:lineRule="auto"/>
        <w:ind w:firstLineChars="200" w:firstLine="480"/>
        <w:rPr>
          <w:rFonts w:ascii="Times New Roman" w:hAnsi="Times New Roman" w:cs="Times New Roman"/>
          <w:color w:val="000000"/>
        </w:rPr>
      </w:pPr>
      <w:r w:rsidRPr="00B4515A">
        <w:rPr>
          <w:rFonts w:ascii="Times New Roman" w:hAnsi="Times New Roman" w:cs="Times New Roman" w:hint="eastAsia"/>
          <w:color w:val="000000"/>
        </w:rPr>
        <w:t>（</w:t>
      </w:r>
      <w:r w:rsidRPr="00B4515A">
        <w:rPr>
          <w:rFonts w:ascii="Times New Roman" w:hAnsi="Times New Roman" w:cs="Times New Roman"/>
          <w:color w:val="000000"/>
        </w:rPr>
        <w:t>二</w:t>
      </w:r>
      <w:r w:rsidRPr="00B4515A">
        <w:rPr>
          <w:rFonts w:ascii="Times New Roman" w:hAnsi="Times New Roman" w:cs="Times New Roman" w:hint="eastAsia"/>
          <w:color w:val="000000"/>
        </w:rPr>
        <w:t>）</w:t>
      </w:r>
      <w:r w:rsidRPr="00B4515A">
        <w:rPr>
          <w:rFonts w:ascii="Times New Roman" w:hAnsi="Times New Roman" w:cs="Times New Roman"/>
          <w:color w:val="000000"/>
        </w:rPr>
        <w:t>大唐电信独立董事关于本次交易的独立董事意见</w:t>
      </w:r>
      <w:r w:rsidRPr="00B4515A">
        <w:rPr>
          <w:rFonts w:ascii="Times New Roman" w:hAnsi="Times New Roman" w:cs="Times New Roman" w:hint="eastAsia"/>
          <w:color w:val="000000"/>
        </w:rPr>
        <w:t>；</w:t>
      </w:r>
    </w:p>
    <w:p w14:paraId="26B5A618" w14:textId="77777777" w:rsidR="006416B0" w:rsidRPr="00B4515A" w:rsidRDefault="005E58C1" w:rsidP="006100BC">
      <w:pPr>
        <w:spacing w:line="360" w:lineRule="auto"/>
        <w:ind w:firstLineChars="200" w:firstLine="480"/>
        <w:rPr>
          <w:rFonts w:ascii="Times New Roman" w:hAnsi="Times New Roman" w:cs="Times New Roman"/>
          <w:color w:val="000000"/>
        </w:rPr>
      </w:pPr>
      <w:r w:rsidRPr="00B4515A">
        <w:rPr>
          <w:rFonts w:ascii="Times New Roman" w:hAnsi="Times New Roman" w:cs="Times New Roman" w:hint="eastAsia"/>
          <w:color w:val="000000"/>
        </w:rPr>
        <w:t>（</w:t>
      </w:r>
      <w:r w:rsidRPr="00B4515A">
        <w:rPr>
          <w:rFonts w:ascii="Times New Roman" w:hAnsi="Times New Roman" w:cs="Times New Roman"/>
          <w:color w:val="000000"/>
        </w:rPr>
        <w:t>三</w:t>
      </w:r>
      <w:r w:rsidRPr="00B4515A">
        <w:rPr>
          <w:rFonts w:ascii="Times New Roman" w:hAnsi="Times New Roman" w:cs="Times New Roman" w:hint="eastAsia"/>
          <w:color w:val="000000"/>
        </w:rPr>
        <w:t>）</w:t>
      </w:r>
      <w:r w:rsidRPr="00B4515A">
        <w:rPr>
          <w:rFonts w:ascii="Times New Roman" w:hAnsi="Times New Roman" w:cs="Times New Roman"/>
          <w:color w:val="000000"/>
        </w:rPr>
        <w:t>大唐电信与交易对方、标的公司签订的协议</w:t>
      </w:r>
      <w:r w:rsidRPr="00B4515A">
        <w:rPr>
          <w:rFonts w:ascii="Times New Roman" w:hAnsi="Times New Roman" w:cs="Times New Roman" w:hint="eastAsia"/>
          <w:color w:val="000000"/>
        </w:rPr>
        <w:t>；</w:t>
      </w:r>
    </w:p>
    <w:p w14:paraId="21B1B77E" w14:textId="77777777" w:rsidR="006416B0" w:rsidRPr="00B4515A" w:rsidRDefault="005E58C1" w:rsidP="006100BC">
      <w:pPr>
        <w:spacing w:line="360" w:lineRule="auto"/>
        <w:ind w:firstLineChars="200" w:firstLine="480"/>
        <w:rPr>
          <w:rFonts w:ascii="Times New Roman" w:hAnsi="Times New Roman" w:cs="Times New Roman"/>
          <w:color w:val="000000"/>
        </w:rPr>
      </w:pPr>
      <w:r w:rsidRPr="00B4515A">
        <w:rPr>
          <w:rFonts w:ascii="Times New Roman" w:hAnsi="Times New Roman" w:cs="Times New Roman" w:hint="eastAsia"/>
          <w:color w:val="000000"/>
        </w:rPr>
        <w:t>（</w:t>
      </w:r>
      <w:r w:rsidRPr="00B4515A">
        <w:rPr>
          <w:rFonts w:ascii="Times New Roman" w:hAnsi="Times New Roman" w:cs="Times New Roman"/>
          <w:color w:val="000000"/>
        </w:rPr>
        <w:t>四</w:t>
      </w:r>
      <w:r w:rsidRPr="00B4515A">
        <w:rPr>
          <w:rFonts w:ascii="Times New Roman" w:hAnsi="Times New Roman" w:cs="Times New Roman" w:hint="eastAsia"/>
          <w:color w:val="000000"/>
        </w:rPr>
        <w:t>）</w:t>
      </w:r>
      <w:r w:rsidRPr="00B4515A">
        <w:rPr>
          <w:rFonts w:ascii="Times New Roman" w:hAnsi="Times New Roman" w:cs="Times New Roman"/>
          <w:color w:val="000000"/>
        </w:rPr>
        <w:t>审计机构为本次交易出具的标的公司审计报告</w:t>
      </w:r>
      <w:r w:rsidRPr="00B4515A">
        <w:rPr>
          <w:rFonts w:ascii="Times New Roman" w:hAnsi="Times New Roman" w:cs="Times New Roman" w:hint="eastAsia"/>
          <w:color w:val="000000"/>
        </w:rPr>
        <w:t>；</w:t>
      </w:r>
    </w:p>
    <w:p w14:paraId="39D92F45" w14:textId="77777777" w:rsidR="006416B0" w:rsidRPr="00B4515A" w:rsidRDefault="005E58C1" w:rsidP="006100BC">
      <w:pPr>
        <w:spacing w:line="360" w:lineRule="auto"/>
        <w:ind w:firstLineChars="200" w:firstLine="480"/>
        <w:rPr>
          <w:rFonts w:ascii="Times New Roman" w:hAnsi="Times New Roman" w:cs="Times New Roman"/>
          <w:color w:val="000000"/>
        </w:rPr>
      </w:pPr>
      <w:r w:rsidRPr="00B4515A">
        <w:rPr>
          <w:rFonts w:ascii="Times New Roman" w:hAnsi="Times New Roman" w:cs="Times New Roman" w:hint="eastAsia"/>
          <w:color w:val="000000"/>
        </w:rPr>
        <w:t>（</w:t>
      </w:r>
      <w:r w:rsidRPr="00B4515A">
        <w:rPr>
          <w:rFonts w:ascii="Times New Roman" w:hAnsi="Times New Roman" w:cs="Times New Roman"/>
          <w:color w:val="000000"/>
        </w:rPr>
        <w:t>五</w:t>
      </w:r>
      <w:r w:rsidRPr="00B4515A">
        <w:rPr>
          <w:rFonts w:ascii="Times New Roman" w:hAnsi="Times New Roman" w:cs="Times New Roman" w:hint="eastAsia"/>
          <w:color w:val="000000"/>
        </w:rPr>
        <w:t>）</w:t>
      </w:r>
      <w:r w:rsidRPr="00B4515A">
        <w:rPr>
          <w:rFonts w:ascii="Times New Roman" w:hAnsi="Times New Roman" w:cs="Times New Roman"/>
          <w:color w:val="000000"/>
        </w:rPr>
        <w:t>审计机构为本次交易出具的备考合并财务报表审阅报告</w:t>
      </w:r>
      <w:r w:rsidRPr="00B4515A">
        <w:rPr>
          <w:rFonts w:ascii="Times New Roman" w:hAnsi="Times New Roman" w:cs="Times New Roman" w:hint="eastAsia"/>
          <w:color w:val="000000"/>
        </w:rPr>
        <w:t>；</w:t>
      </w:r>
    </w:p>
    <w:p w14:paraId="5BF74361" w14:textId="77777777" w:rsidR="006416B0" w:rsidRPr="00B4515A" w:rsidRDefault="005E58C1" w:rsidP="006100BC">
      <w:pPr>
        <w:spacing w:line="360" w:lineRule="auto"/>
        <w:ind w:firstLineChars="200" w:firstLine="480"/>
        <w:rPr>
          <w:rFonts w:ascii="Times New Roman" w:hAnsi="Times New Roman" w:cs="Times New Roman"/>
          <w:color w:val="000000"/>
        </w:rPr>
      </w:pPr>
      <w:r w:rsidRPr="00B4515A">
        <w:rPr>
          <w:rFonts w:ascii="Times New Roman" w:hAnsi="Times New Roman" w:cs="Times New Roman" w:hint="eastAsia"/>
          <w:color w:val="000000"/>
        </w:rPr>
        <w:t>（</w:t>
      </w:r>
      <w:r w:rsidRPr="00B4515A">
        <w:rPr>
          <w:rFonts w:ascii="Times New Roman" w:hAnsi="Times New Roman" w:cs="Times New Roman"/>
          <w:color w:val="000000"/>
        </w:rPr>
        <w:t>六</w:t>
      </w:r>
      <w:r w:rsidRPr="00B4515A">
        <w:rPr>
          <w:rFonts w:ascii="Times New Roman" w:hAnsi="Times New Roman" w:cs="Times New Roman" w:hint="eastAsia"/>
          <w:color w:val="000000"/>
        </w:rPr>
        <w:t>）</w:t>
      </w:r>
      <w:r w:rsidRPr="00B4515A">
        <w:rPr>
          <w:rFonts w:ascii="Times New Roman" w:hAnsi="Times New Roman" w:cs="Times New Roman"/>
          <w:color w:val="000000"/>
        </w:rPr>
        <w:t>评估机构为本次交易出具的资产评估报告</w:t>
      </w:r>
      <w:r w:rsidRPr="00B4515A">
        <w:rPr>
          <w:rFonts w:ascii="Times New Roman" w:hAnsi="Times New Roman" w:cs="Times New Roman" w:hint="eastAsia"/>
          <w:color w:val="000000"/>
        </w:rPr>
        <w:t>；</w:t>
      </w:r>
    </w:p>
    <w:p w14:paraId="37E0CDDC" w14:textId="77777777" w:rsidR="006416B0" w:rsidRPr="00B4515A" w:rsidRDefault="005E58C1" w:rsidP="006100BC">
      <w:pPr>
        <w:spacing w:line="360" w:lineRule="auto"/>
        <w:ind w:firstLineChars="200" w:firstLine="480"/>
        <w:rPr>
          <w:rFonts w:ascii="Times New Roman" w:hAnsi="Times New Roman" w:cs="Times New Roman"/>
          <w:color w:val="000000"/>
        </w:rPr>
      </w:pPr>
      <w:r w:rsidRPr="00B4515A">
        <w:rPr>
          <w:rFonts w:ascii="Times New Roman" w:hAnsi="Times New Roman" w:cs="Times New Roman" w:hint="eastAsia"/>
          <w:color w:val="000000"/>
        </w:rPr>
        <w:t>（</w:t>
      </w:r>
      <w:r w:rsidRPr="00B4515A">
        <w:rPr>
          <w:rFonts w:ascii="Times New Roman" w:hAnsi="Times New Roman" w:cs="Times New Roman"/>
          <w:color w:val="000000"/>
        </w:rPr>
        <w:t>七</w:t>
      </w:r>
      <w:r w:rsidRPr="00B4515A">
        <w:rPr>
          <w:rFonts w:ascii="Times New Roman" w:hAnsi="Times New Roman" w:cs="Times New Roman" w:hint="eastAsia"/>
          <w:color w:val="000000"/>
        </w:rPr>
        <w:t>）法律顾问</w:t>
      </w:r>
      <w:r w:rsidRPr="00B4515A">
        <w:rPr>
          <w:rFonts w:ascii="Times New Roman" w:hAnsi="Times New Roman" w:cs="Times New Roman"/>
          <w:color w:val="000000"/>
        </w:rPr>
        <w:t>为本次交易出具的法律意见书</w:t>
      </w:r>
      <w:r w:rsidRPr="00B4515A">
        <w:rPr>
          <w:rFonts w:ascii="Times New Roman" w:hAnsi="Times New Roman" w:cs="Times New Roman" w:hint="eastAsia"/>
          <w:color w:val="000000"/>
        </w:rPr>
        <w:t>；</w:t>
      </w:r>
    </w:p>
    <w:p w14:paraId="464640CC" w14:textId="77777777" w:rsidR="006416B0" w:rsidRPr="00B4515A" w:rsidRDefault="005E58C1" w:rsidP="006100BC">
      <w:pPr>
        <w:spacing w:line="360" w:lineRule="auto"/>
        <w:ind w:firstLineChars="200" w:firstLine="480"/>
        <w:rPr>
          <w:rFonts w:ascii="Times New Roman" w:hAnsi="Times New Roman" w:cs="Times New Roman"/>
          <w:color w:val="000000"/>
        </w:rPr>
      </w:pPr>
      <w:r w:rsidRPr="00B4515A">
        <w:rPr>
          <w:rFonts w:ascii="Times New Roman" w:hAnsi="Times New Roman" w:cs="Times New Roman" w:hint="eastAsia"/>
          <w:color w:val="000000"/>
        </w:rPr>
        <w:t>（</w:t>
      </w:r>
      <w:r w:rsidRPr="00B4515A">
        <w:rPr>
          <w:rFonts w:ascii="Times New Roman" w:hAnsi="Times New Roman" w:cs="Times New Roman"/>
          <w:color w:val="000000"/>
        </w:rPr>
        <w:t>八</w:t>
      </w:r>
      <w:r w:rsidRPr="00B4515A">
        <w:rPr>
          <w:rFonts w:ascii="Times New Roman" w:hAnsi="Times New Roman" w:cs="Times New Roman" w:hint="eastAsia"/>
          <w:color w:val="000000"/>
        </w:rPr>
        <w:t>）</w:t>
      </w:r>
      <w:r w:rsidRPr="00B4515A">
        <w:rPr>
          <w:rFonts w:ascii="Times New Roman" w:hAnsi="Times New Roman" w:cs="Times New Roman"/>
          <w:color w:val="000000"/>
        </w:rPr>
        <w:t>独立财务顾问为本次交易出具的独立财务顾问报告</w:t>
      </w:r>
      <w:r w:rsidRPr="00B4515A">
        <w:rPr>
          <w:rFonts w:ascii="Times New Roman" w:hAnsi="Times New Roman" w:cs="Times New Roman" w:hint="eastAsia"/>
          <w:color w:val="000000"/>
        </w:rPr>
        <w:t>；</w:t>
      </w:r>
    </w:p>
    <w:p w14:paraId="10309DB7" w14:textId="77777777" w:rsidR="006416B0" w:rsidRPr="00B4515A" w:rsidRDefault="005E58C1" w:rsidP="006100BC">
      <w:pPr>
        <w:spacing w:line="360" w:lineRule="auto"/>
        <w:ind w:firstLineChars="200" w:firstLine="480"/>
        <w:rPr>
          <w:rFonts w:ascii="Times New Roman" w:hAnsi="Times New Roman" w:cs="Times New Roman"/>
          <w:color w:val="000000"/>
        </w:rPr>
      </w:pPr>
      <w:r w:rsidRPr="00B4515A">
        <w:rPr>
          <w:rFonts w:ascii="Times New Roman" w:hAnsi="Times New Roman" w:cs="Times New Roman" w:hint="eastAsia"/>
          <w:color w:val="000000"/>
        </w:rPr>
        <w:t>（</w:t>
      </w:r>
      <w:r w:rsidRPr="00B4515A">
        <w:rPr>
          <w:rFonts w:ascii="Times New Roman" w:hAnsi="Times New Roman" w:cs="Times New Roman"/>
          <w:color w:val="000000"/>
        </w:rPr>
        <w:t>九</w:t>
      </w:r>
      <w:r w:rsidRPr="00B4515A">
        <w:rPr>
          <w:rFonts w:ascii="Times New Roman" w:hAnsi="Times New Roman" w:cs="Times New Roman" w:hint="eastAsia"/>
          <w:color w:val="000000"/>
        </w:rPr>
        <w:t>）</w:t>
      </w:r>
      <w:r w:rsidRPr="00B4515A">
        <w:rPr>
          <w:rFonts w:ascii="Times New Roman" w:hAnsi="Times New Roman" w:cs="Times New Roman"/>
          <w:color w:val="000000"/>
        </w:rPr>
        <w:t>其他与本次交易有关的重要文件</w:t>
      </w:r>
      <w:r w:rsidRPr="00B4515A">
        <w:rPr>
          <w:rFonts w:ascii="Times New Roman" w:hAnsi="Times New Roman" w:cs="Times New Roman" w:hint="eastAsia"/>
          <w:color w:val="000000"/>
        </w:rPr>
        <w:t>。</w:t>
      </w:r>
    </w:p>
    <w:p w14:paraId="341F3386" w14:textId="77777777" w:rsidR="006416B0" w:rsidRPr="00B4515A" w:rsidRDefault="005E58C1" w:rsidP="006100BC">
      <w:pPr>
        <w:pStyle w:val="002"/>
        <w:spacing w:before="120" w:after="120"/>
        <w:ind w:firstLine="562"/>
      </w:pPr>
      <w:bookmarkStart w:id="408" w:name="_Toc80960620"/>
      <w:r w:rsidRPr="00B4515A">
        <w:rPr>
          <w:rFonts w:hint="eastAsia"/>
        </w:rPr>
        <w:t>二、备查地点</w:t>
      </w:r>
      <w:bookmarkEnd w:id="408"/>
    </w:p>
    <w:p w14:paraId="2C085E71" w14:textId="77777777" w:rsidR="006416B0" w:rsidRPr="00B4515A" w:rsidRDefault="005E58C1" w:rsidP="006100BC">
      <w:pPr>
        <w:pStyle w:val="005"/>
        <w:spacing w:beforeLines="0" w:before="0" w:afterLines="0" w:after="0"/>
        <w:ind w:firstLine="480"/>
      </w:pPr>
      <w:r w:rsidRPr="00B4515A">
        <w:t>投资者可在本报告书刊登后至本次交易完成前的每周一至周五上午</w:t>
      </w:r>
      <w:r w:rsidRPr="00B4515A">
        <w:t>9:00-11:00</w:t>
      </w:r>
      <w:r w:rsidRPr="00B4515A">
        <w:t>，下午</w:t>
      </w:r>
      <w:r w:rsidRPr="00B4515A">
        <w:t>3:00-5:00</w:t>
      </w:r>
      <w:r w:rsidRPr="00B4515A">
        <w:t>，于下列地点查阅上述文件</w:t>
      </w:r>
      <w:r w:rsidRPr="00B4515A">
        <w:rPr>
          <w:rFonts w:hint="eastAsia"/>
        </w:rPr>
        <w:t>：</w:t>
      </w:r>
    </w:p>
    <w:p w14:paraId="581BE8D2" w14:textId="77777777" w:rsidR="006416B0" w:rsidRPr="00B4515A" w:rsidRDefault="005E58C1" w:rsidP="006100BC">
      <w:pPr>
        <w:pStyle w:val="005"/>
        <w:spacing w:beforeLines="0" w:before="0" w:afterLines="0" w:after="0"/>
        <w:ind w:firstLine="480"/>
      </w:pPr>
      <w:r w:rsidRPr="00B4515A">
        <w:rPr>
          <w:rFonts w:hint="eastAsia"/>
        </w:rPr>
        <w:t>（</w:t>
      </w:r>
      <w:r w:rsidRPr="00B4515A">
        <w:t>一</w:t>
      </w:r>
      <w:r w:rsidRPr="00B4515A">
        <w:rPr>
          <w:rFonts w:hint="eastAsia"/>
        </w:rPr>
        <w:t>）</w:t>
      </w:r>
      <w:r w:rsidRPr="00B4515A">
        <w:t>大唐电信科技股份有限公司</w:t>
      </w:r>
    </w:p>
    <w:p w14:paraId="41BF9CFA" w14:textId="554F9F25" w:rsidR="006416B0" w:rsidRPr="00B4515A" w:rsidRDefault="005E58C1" w:rsidP="006100BC">
      <w:pPr>
        <w:pStyle w:val="005"/>
        <w:spacing w:beforeLines="0" w:before="0" w:afterLines="0" w:after="0"/>
        <w:ind w:firstLine="480"/>
      </w:pPr>
      <w:r w:rsidRPr="00B4515A">
        <w:t>联系地址</w:t>
      </w:r>
      <w:r w:rsidRPr="00B4515A">
        <w:rPr>
          <w:rFonts w:hint="eastAsia"/>
        </w:rPr>
        <w:t>：</w:t>
      </w:r>
      <w:r w:rsidRPr="00B4515A">
        <w:t>北京市海淀区永嘉北路</w:t>
      </w:r>
      <w:r w:rsidRPr="00B4515A">
        <w:t>6</w:t>
      </w:r>
      <w:r w:rsidRPr="00B4515A">
        <w:t>号</w:t>
      </w:r>
      <w:r w:rsidR="00654268" w:rsidRPr="00B4515A">
        <w:t>5</w:t>
      </w:r>
      <w:r w:rsidR="00654268" w:rsidRPr="00B4515A">
        <w:t>幢</w:t>
      </w:r>
    </w:p>
    <w:p w14:paraId="6EF5F0BE" w14:textId="77777777" w:rsidR="006416B0" w:rsidRPr="00B4515A" w:rsidRDefault="005E58C1" w:rsidP="006100BC">
      <w:pPr>
        <w:pStyle w:val="005"/>
        <w:spacing w:beforeLines="0" w:before="0" w:afterLines="0" w:after="0"/>
        <w:ind w:firstLine="480"/>
      </w:pPr>
      <w:r w:rsidRPr="00B4515A">
        <w:t>电</w:t>
      </w:r>
      <w:r w:rsidRPr="00B4515A">
        <w:t xml:space="preserve"> </w:t>
      </w:r>
      <w:r w:rsidRPr="00B4515A">
        <w:t>话</w:t>
      </w:r>
      <w:r w:rsidRPr="00B4515A">
        <w:rPr>
          <w:rFonts w:hint="eastAsia"/>
        </w:rPr>
        <w:t>：（</w:t>
      </w:r>
      <w:r w:rsidRPr="00B4515A">
        <w:t>010</w:t>
      </w:r>
      <w:r w:rsidRPr="00B4515A">
        <w:rPr>
          <w:rFonts w:hint="eastAsia"/>
        </w:rPr>
        <w:t>）</w:t>
      </w:r>
      <w:r w:rsidRPr="00B4515A">
        <w:t>58919172</w:t>
      </w:r>
    </w:p>
    <w:p w14:paraId="6C21A5A0" w14:textId="77777777" w:rsidR="006416B0" w:rsidRPr="00B4515A" w:rsidRDefault="005E58C1" w:rsidP="006100BC">
      <w:pPr>
        <w:pStyle w:val="005"/>
        <w:spacing w:beforeLines="0" w:before="0" w:afterLines="0" w:after="0"/>
        <w:ind w:firstLine="480"/>
      </w:pPr>
      <w:r w:rsidRPr="00B4515A">
        <w:t>传</w:t>
      </w:r>
      <w:r w:rsidRPr="00B4515A">
        <w:t xml:space="preserve"> </w:t>
      </w:r>
      <w:r w:rsidRPr="00B4515A">
        <w:t>真</w:t>
      </w:r>
      <w:r w:rsidRPr="00B4515A">
        <w:rPr>
          <w:rFonts w:hint="eastAsia"/>
        </w:rPr>
        <w:t>：（</w:t>
      </w:r>
      <w:r w:rsidRPr="00B4515A">
        <w:t>010</w:t>
      </w:r>
      <w:r w:rsidRPr="00B4515A">
        <w:rPr>
          <w:rFonts w:hint="eastAsia"/>
        </w:rPr>
        <w:t>）</w:t>
      </w:r>
      <w:r w:rsidRPr="00B4515A">
        <w:t>58919173</w:t>
      </w:r>
    </w:p>
    <w:p w14:paraId="61DBEE06" w14:textId="77777777" w:rsidR="006416B0" w:rsidRPr="00B4515A" w:rsidRDefault="005E58C1" w:rsidP="006100BC">
      <w:pPr>
        <w:pStyle w:val="005"/>
        <w:spacing w:beforeLines="0" w:before="0" w:afterLines="0" w:after="0"/>
        <w:ind w:firstLine="480"/>
      </w:pPr>
      <w:r w:rsidRPr="00B4515A">
        <w:t>联</w:t>
      </w:r>
      <w:r w:rsidRPr="00B4515A">
        <w:t xml:space="preserve"> </w:t>
      </w:r>
      <w:r w:rsidRPr="00B4515A">
        <w:t>系</w:t>
      </w:r>
      <w:r w:rsidRPr="00B4515A">
        <w:t xml:space="preserve"> </w:t>
      </w:r>
      <w:r w:rsidRPr="00B4515A">
        <w:t>人</w:t>
      </w:r>
      <w:r w:rsidRPr="00B4515A">
        <w:rPr>
          <w:rFonts w:hint="eastAsia"/>
        </w:rPr>
        <w:t>：王清宇</w:t>
      </w:r>
    </w:p>
    <w:p w14:paraId="4D47429B" w14:textId="77777777" w:rsidR="006416B0" w:rsidRPr="00B4515A" w:rsidRDefault="005E58C1" w:rsidP="006100BC">
      <w:pPr>
        <w:pStyle w:val="005"/>
        <w:spacing w:beforeLines="0" w:before="0" w:afterLines="0" w:after="0"/>
        <w:ind w:firstLine="480"/>
      </w:pPr>
      <w:r w:rsidRPr="00B4515A">
        <w:rPr>
          <w:rFonts w:hint="eastAsia"/>
        </w:rPr>
        <w:t>（</w:t>
      </w:r>
      <w:r w:rsidRPr="00B4515A">
        <w:t>二</w:t>
      </w:r>
      <w:r w:rsidRPr="00B4515A">
        <w:rPr>
          <w:rFonts w:hint="eastAsia"/>
        </w:rPr>
        <w:t>）中银国际证券</w:t>
      </w:r>
      <w:r w:rsidRPr="00B4515A">
        <w:t>股份有限公司</w:t>
      </w:r>
    </w:p>
    <w:p w14:paraId="41D319C3" w14:textId="77777777" w:rsidR="006416B0" w:rsidRPr="00B4515A" w:rsidRDefault="005E58C1" w:rsidP="006100BC">
      <w:pPr>
        <w:pStyle w:val="005"/>
        <w:spacing w:beforeLines="0" w:before="0" w:afterLines="0" w:after="0"/>
        <w:ind w:firstLine="480"/>
      </w:pPr>
      <w:r w:rsidRPr="00B4515A">
        <w:t>联系地址</w:t>
      </w:r>
      <w:r w:rsidRPr="00B4515A">
        <w:rPr>
          <w:rFonts w:hint="eastAsia"/>
        </w:rPr>
        <w:t>：</w:t>
      </w:r>
      <w:r w:rsidRPr="00B4515A">
        <w:rPr>
          <w:rFonts w:ascii="Arial" w:hAnsi="Arial" w:cs="Arial"/>
        </w:rPr>
        <w:t>上海市浦东新区银</w:t>
      </w:r>
      <w:r w:rsidRPr="00B4515A">
        <w:rPr>
          <w:rFonts w:hint="eastAsia"/>
        </w:rPr>
        <w:t>城中路</w:t>
      </w:r>
      <w:r w:rsidRPr="00B4515A">
        <w:t>200</w:t>
      </w:r>
      <w:r w:rsidRPr="00B4515A">
        <w:rPr>
          <w:rFonts w:hint="eastAsia"/>
        </w:rPr>
        <w:t>号中银大厦</w:t>
      </w:r>
      <w:r w:rsidRPr="00B4515A">
        <w:t>39</w:t>
      </w:r>
      <w:r w:rsidRPr="00B4515A">
        <w:rPr>
          <w:rFonts w:hint="eastAsia"/>
        </w:rPr>
        <w:t>层</w:t>
      </w:r>
    </w:p>
    <w:p w14:paraId="5A90256E" w14:textId="77777777" w:rsidR="006416B0" w:rsidRPr="00B4515A" w:rsidRDefault="005E58C1" w:rsidP="006100BC">
      <w:pPr>
        <w:pStyle w:val="005"/>
        <w:spacing w:beforeLines="0" w:before="0" w:afterLines="0" w:after="0"/>
        <w:ind w:firstLine="480"/>
      </w:pPr>
      <w:r w:rsidRPr="00B4515A">
        <w:t>电</w:t>
      </w:r>
      <w:r w:rsidRPr="00B4515A">
        <w:t xml:space="preserve"> </w:t>
      </w:r>
      <w:r w:rsidRPr="00B4515A">
        <w:t>话</w:t>
      </w:r>
      <w:r w:rsidRPr="00B4515A">
        <w:rPr>
          <w:rFonts w:hint="eastAsia"/>
        </w:rPr>
        <w:t>：</w:t>
      </w:r>
      <w:r w:rsidRPr="00B4515A">
        <w:t>021-20328000</w:t>
      </w:r>
    </w:p>
    <w:p w14:paraId="66F8D3C3" w14:textId="77777777" w:rsidR="006416B0" w:rsidRPr="00B4515A" w:rsidRDefault="005E58C1" w:rsidP="006100BC">
      <w:pPr>
        <w:pStyle w:val="005"/>
        <w:spacing w:beforeLines="0" w:before="0" w:afterLines="0" w:after="0"/>
        <w:ind w:firstLine="480"/>
      </w:pPr>
      <w:r w:rsidRPr="00B4515A">
        <w:t>传</w:t>
      </w:r>
      <w:r w:rsidRPr="00B4515A">
        <w:t xml:space="preserve"> </w:t>
      </w:r>
      <w:r w:rsidRPr="00B4515A">
        <w:t>真</w:t>
      </w:r>
      <w:r w:rsidRPr="00B4515A">
        <w:rPr>
          <w:rFonts w:hint="eastAsia"/>
        </w:rPr>
        <w:t>：</w:t>
      </w:r>
      <w:r w:rsidRPr="00B4515A">
        <w:t>021-58883554</w:t>
      </w:r>
    </w:p>
    <w:p w14:paraId="72E0C1C5" w14:textId="77777777" w:rsidR="006416B0" w:rsidRPr="00B4515A" w:rsidRDefault="005E58C1" w:rsidP="006100BC">
      <w:pPr>
        <w:pStyle w:val="005"/>
        <w:spacing w:beforeLines="0" w:before="0" w:afterLines="0" w:after="0"/>
        <w:ind w:firstLine="480"/>
      </w:pPr>
      <w:r w:rsidRPr="00B4515A">
        <w:t>联</w:t>
      </w:r>
      <w:r w:rsidRPr="00B4515A">
        <w:t xml:space="preserve"> </w:t>
      </w:r>
      <w:r w:rsidRPr="00B4515A">
        <w:t>系</w:t>
      </w:r>
      <w:r w:rsidRPr="00B4515A">
        <w:t xml:space="preserve"> </w:t>
      </w:r>
      <w:r w:rsidRPr="00B4515A">
        <w:t>人</w:t>
      </w:r>
      <w:r w:rsidRPr="00B4515A">
        <w:rPr>
          <w:rFonts w:hint="eastAsia"/>
        </w:rPr>
        <w:t>：吴宗博、王伟夫</w:t>
      </w:r>
    </w:p>
    <w:p w14:paraId="33768BEB" w14:textId="77777777" w:rsidR="006416B0" w:rsidRPr="00B4515A" w:rsidRDefault="005E58C1" w:rsidP="006100BC">
      <w:pPr>
        <w:pStyle w:val="005"/>
        <w:spacing w:before="120" w:after="120"/>
        <w:ind w:firstLine="480"/>
      </w:pPr>
      <w:r w:rsidRPr="00B4515A">
        <w:br w:type="page"/>
      </w:r>
    </w:p>
    <w:p w14:paraId="65E278D5" w14:textId="277769C6" w:rsidR="006416B0" w:rsidRPr="00B4515A" w:rsidRDefault="005E58C1">
      <w:pPr>
        <w:spacing w:before="100" w:beforeAutospacing="1" w:after="100" w:afterAutospacing="1" w:line="360" w:lineRule="auto"/>
      </w:pPr>
      <w:r w:rsidRPr="00B4515A">
        <w:rPr>
          <w:rFonts w:hint="eastAsia"/>
        </w:rPr>
        <w:lastRenderedPageBreak/>
        <w:t>（</w:t>
      </w:r>
      <w:r w:rsidRPr="00B4515A">
        <w:t>本页无正文，为《</w:t>
      </w:r>
      <w:r w:rsidRPr="00B4515A">
        <w:rPr>
          <w:rFonts w:hint="eastAsia"/>
        </w:rPr>
        <w:t>大唐电信科技股份有限公司发行股份购买资产并募集配套资金暨关联交易报告书（草案）</w:t>
      </w:r>
      <w:r w:rsidRPr="00B4515A">
        <w:t>》之盖章页</w:t>
      </w:r>
      <w:r w:rsidRPr="00B4515A">
        <w:rPr>
          <w:rFonts w:hint="eastAsia"/>
        </w:rPr>
        <w:t>）</w:t>
      </w:r>
    </w:p>
    <w:p w14:paraId="3C4261A4" w14:textId="77777777" w:rsidR="006416B0" w:rsidRPr="00B4515A" w:rsidRDefault="006416B0">
      <w:pPr>
        <w:spacing w:before="100" w:beforeAutospacing="1" w:after="100" w:afterAutospacing="1"/>
      </w:pPr>
    </w:p>
    <w:p w14:paraId="59A89762" w14:textId="77777777" w:rsidR="006416B0" w:rsidRPr="00B4515A" w:rsidRDefault="00641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14:paraId="33C47D65" w14:textId="4B552D01" w:rsidR="006416B0" w:rsidRPr="00B4515A" w:rsidRDefault="00641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14:paraId="140B49A9" w14:textId="77777777" w:rsidR="006416B0" w:rsidRPr="00B4515A" w:rsidRDefault="00641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14:paraId="10159431" w14:textId="77777777" w:rsidR="006416B0" w:rsidRPr="00B4515A" w:rsidRDefault="00641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14:paraId="26E2CD55" w14:textId="77777777" w:rsidR="006416B0" w:rsidRPr="00B4515A" w:rsidRDefault="00641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14:paraId="65EBEBD3" w14:textId="77777777" w:rsidR="006416B0" w:rsidRPr="00B4515A" w:rsidRDefault="00641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14:paraId="26C2F577" w14:textId="77777777" w:rsidR="006416B0" w:rsidRPr="00B4515A" w:rsidRDefault="00641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14:paraId="204F9AB8" w14:textId="77777777" w:rsidR="006416B0" w:rsidRPr="00B4515A" w:rsidRDefault="00641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14:paraId="28EF3912" w14:textId="77777777" w:rsidR="006416B0" w:rsidRPr="00B4515A" w:rsidRDefault="00641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80"/>
      </w:pPr>
    </w:p>
    <w:p w14:paraId="7C6D322A" w14:textId="77777777" w:rsidR="006416B0" w:rsidRPr="00B4515A" w:rsidRDefault="005E5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pPr>
      <w:r w:rsidRPr="00B4515A">
        <w:t>大唐电信科技股份有限公司</w:t>
      </w:r>
    </w:p>
    <w:p w14:paraId="042A722B" w14:textId="77777777" w:rsidR="006416B0" w:rsidRDefault="005E58C1">
      <w:pPr>
        <w:spacing w:before="100" w:beforeAutospacing="1" w:after="100" w:afterAutospacing="1" w:line="360" w:lineRule="auto"/>
        <w:jc w:val="right"/>
      </w:pPr>
      <w:r w:rsidRPr="00B4515A">
        <w:t>年</w:t>
      </w:r>
      <w:r w:rsidRPr="00B4515A">
        <w:rPr>
          <w:rFonts w:hint="eastAsia"/>
        </w:rPr>
        <w:t xml:space="preserve"> </w:t>
      </w:r>
      <w:r w:rsidRPr="00B4515A">
        <w:t xml:space="preserve"> 月</w:t>
      </w:r>
      <w:r w:rsidRPr="00B4515A">
        <w:rPr>
          <w:rFonts w:ascii="Times New Roman" w:hAnsi="Times New Roman" w:cs="Times New Roman"/>
        </w:rPr>
        <w:t xml:space="preserve">  </w:t>
      </w:r>
      <w:r w:rsidRPr="00B4515A">
        <w:t>日</w:t>
      </w:r>
    </w:p>
    <w:sectPr w:rsidR="006416B0" w:rsidSect="00031627">
      <w:pgSz w:w="11906" w:h="16838"/>
      <w:pgMar w:top="1440" w:right="1797" w:bottom="1440" w:left="1797" w:header="851" w:footer="992" w:gutter="0"/>
      <w:cols w:space="425"/>
      <w:docGrid w:linePitch="357" w:charSpace="42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D3101C" w14:textId="77777777" w:rsidR="000374A4" w:rsidRDefault="000374A4">
      <w:r>
        <w:separator/>
      </w:r>
    </w:p>
  </w:endnote>
  <w:endnote w:type="continuationSeparator" w:id="0">
    <w:p w14:paraId="322AC5DC" w14:textId="77777777" w:rsidR="000374A4" w:rsidRDefault="00037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Sans Serif">
    <w:altName w:val="Segoe Print"/>
    <w:charset w:val="00"/>
    <w:family w:val="swiss"/>
    <w:pitch w:val="default"/>
    <w:sig w:usb0="00000000"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CG Times">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S Reference Sans Serif">
    <w:panose1 w:val="020B0604030504040204"/>
    <w:charset w:val="00"/>
    <w:family w:val="swiss"/>
    <w:pitch w:val="variable"/>
    <w:sig w:usb0="20000287" w:usb1="00000000" w:usb2="00000000" w:usb3="00000000" w:csb0="000001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昆仑楷体">
    <w:altName w:val="黑体"/>
    <w:charset w:val="86"/>
    <w:family w:val="modern"/>
    <w:pitch w:val="default"/>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Helvetica Neue">
    <w:altName w:val="Times New Roman"/>
    <w:charset w:val="00"/>
    <w:family w:val="auto"/>
    <w:pitch w:val="default"/>
    <w:sig w:usb0="00000000" w:usb1="00000000"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701AA" w14:textId="677714B3" w:rsidR="002B0582" w:rsidRPr="00031627" w:rsidRDefault="002B0582" w:rsidP="00031627">
    <w:pPr>
      <w:pStyle w:val="a7"/>
      <w:spacing w:before="0"/>
      <w:ind w:left="0"/>
      <w:jc w:val="center"/>
      <w:rPr>
        <w:rFonts w:ascii="Times New Roman" w:hAnsi="Times New Roman" w:cs="Times New Roman"/>
        <w:sz w:val="21"/>
        <w:szCs w:val="21"/>
      </w:rPr>
    </w:pPr>
    <w:r w:rsidRPr="00031627">
      <w:rPr>
        <w:rFonts w:ascii="Times New Roman" w:hAnsi="Times New Roman" w:cs="Times New Roman" w:hint="eastAsia"/>
        <w:sz w:val="21"/>
        <w:szCs w:val="21"/>
        <w:lang w:eastAsia="zh-CN"/>
      </w:rPr>
      <w:t>1-1-1-</w:t>
    </w:r>
    <w:r w:rsidRPr="00031627">
      <w:rPr>
        <w:rFonts w:ascii="Times New Roman" w:hAnsi="Times New Roman" w:cs="Times New Roman"/>
        <w:sz w:val="21"/>
        <w:szCs w:val="21"/>
      </w:rPr>
      <w:fldChar w:fldCharType="begin"/>
    </w:r>
    <w:r w:rsidRPr="00031627">
      <w:rPr>
        <w:rFonts w:ascii="Times New Roman" w:hAnsi="Times New Roman" w:cs="Times New Roman"/>
        <w:sz w:val="21"/>
        <w:szCs w:val="21"/>
      </w:rPr>
      <w:instrText xml:space="preserve"> PAGE   \* MERGEFORMAT </w:instrText>
    </w:r>
    <w:r w:rsidRPr="00031627">
      <w:rPr>
        <w:rFonts w:ascii="Times New Roman" w:hAnsi="Times New Roman" w:cs="Times New Roman"/>
        <w:sz w:val="21"/>
        <w:szCs w:val="21"/>
      </w:rPr>
      <w:fldChar w:fldCharType="separate"/>
    </w:r>
    <w:r w:rsidR="0004078E" w:rsidRPr="0004078E">
      <w:rPr>
        <w:rFonts w:ascii="Times New Roman" w:hAnsi="Times New Roman" w:cs="Times New Roman"/>
        <w:noProof/>
        <w:sz w:val="21"/>
        <w:szCs w:val="21"/>
        <w:lang w:val="zh-CN"/>
      </w:rPr>
      <w:t>354</w:t>
    </w:r>
    <w:r w:rsidRPr="00031627">
      <w:rPr>
        <w:rFonts w:ascii="Times New Roman" w:hAnsi="Times New Roman" w:cs="Times New Roman"/>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0AD98" w14:textId="77777777" w:rsidR="000374A4" w:rsidRDefault="000374A4">
      <w:r>
        <w:separator/>
      </w:r>
    </w:p>
  </w:footnote>
  <w:footnote w:type="continuationSeparator" w:id="0">
    <w:p w14:paraId="08C4640C" w14:textId="77777777" w:rsidR="000374A4" w:rsidRDefault="000374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CE08D" w14:textId="58C7482B" w:rsidR="002B0582" w:rsidRPr="00EE238F" w:rsidRDefault="00EE238F" w:rsidP="00EE238F">
    <w:pPr>
      <w:pBdr>
        <w:bottom w:val="single" w:sz="4" w:space="1" w:color="auto"/>
      </w:pBdr>
      <w:jc w:val="center"/>
      <w:rPr>
        <w:sz w:val="21"/>
        <w:szCs w:val="21"/>
      </w:rPr>
    </w:pPr>
    <w:r w:rsidRPr="00EE238F">
      <w:rPr>
        <w:rFonts w:hint="eastAsia"/>
        <w:sz w:val="21"/>
        <w:szCs w:val="21"/>
      </w:rPr>
      <w:t>大唐电信科技股份有限公司发行股份购买资产并募集配套资金暨关联交易报告书（草案）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858D0D"/>
    <w:multiLevelType w:val="singleLevel"/>
    <w:tmpl w:val="AF858D0D"/>
    <w:lvl w:ilvl="0">
      <w:start w:val="1"/>
      <w:numFmt w:val="chineseCounting"/>
      <w:suff w:val="nothing"/>
      <w:lvlText w:val="（%1）"/>
      <w:lvlJc w:val="left"/>
      <w:rPr>
        <w:rFonts w:hint="eastAsia"/>
      </w:rPr>
    </w:lvl>
  </w:abstractNum>
  <w:abstractNum w:abstractNumId="1">
    <w:nsid w:val="BF61F5BC"/>
    <w:multiLevelType w:val="singleLevel"/>
    <w:tmpl w:val="BF61F5BC"/>
    <w:lvl w:ilvl="0">
      <w:start w:val="1"/>
      <w:numFmt w:val="chineseCounting"/>
      <w:suff w:val="nothing"/>
      <w:lvlText w:val="%1、"/>
      <w:lvlJc w:val="left"/>
      <w:rPr>
        <w:rFonts w:hint="eastAsia"/>
      </w:rPr>
    </w:lvl>
  </w:abstractNum>
  <w:abstractNum w:abstractNumId="2">
    <w:nsid w:val="F7FB4C2C"/>
    <w:multiLevelType w:val="singleLevel"/>
    <w:tmpl w:val="F7FB4C2C"/>
    <w:lvl w:ilvl="0">
      <w:start w:val="1"/>
      <w:numFmt w:val="chineseCounting"/>
      <w:suff w:val="nothing"/>
      <w:lvlText w:val="%1、"/>
      <w:lvlJc w:val="left"/>
      <w:rPr>
        <w:rFonts w:hint="eastAsia"/>
      </w:rPr>
    </w:lvl>
  </w:abstractNum>
  <w:abstractNum w:abstractNumId="3">
    <w:nsid w:val="00000007"/>
    <w:multiLevelType w:val="multilevel"/>
    <w:tmpl w:val="00000007"/>
    <w:lvl w:ilvl="0">
      <w:start w:val="1"/>
      <w:numFmt w:val="decimal"/>
      <w:suff w:val="space"/>
      <w:lvlText w:val="%1、"/>
      <w:lvlJc w:val="left"/>
      <w:pPr>
        <w:ind w:left="1800" w:hanging="360"/>
      </w:pPr>
      <w:rPr>
        <w:rFonts w:hint="eastAsia"/>
        <w:b w:val="0"/>
        <w:bCs w:val="0"/>
        <w:i w:val="0"/>
        <w:iCs w:val="0"/>
        <w:caps w:val="0"/>
        <w:smallCaps w:val="0"/>
        <w:strike w:val="0"/>
        <w:dstrike w:val="0"/>
        <w:vanish w:val="0"/>
        <w:color w:val="000000"/>
        <w:spacing w:val="0"/>
        <w:position w:val="0"/>
        <w:u w:val="none"/>
        <w:vertAlign w:val="baseline"/>
      </w:rPr>
    </w:lvl>
    <w:lvl w:ilvl="1">
      <w:start w:val="1"/>
      <w:numFmt w:val="decimal"/>
      <w:isLgl/>
      <w:suff w:val="space"/>
      <w:lvlText w:val="%1.%2 "/>
      <w:lvlJc w:val="left"/>
      <w:pPr>
        <w:ind w:left="360" w:hanging="360"/>
      </w:pPr>
      <w:rPr>
        <w:rFonts w:eastAsia="楷体_GB2312" w:cs="Times New Roman" w:hint="eastAsia"/>
        <w:b w:val="0"/>
        <w:bCs w:val="0"/>
        <w:i w:val="0"/>
        <w:iCs w:val="0"/>
        <w:caps w:val="0"/>
        <w:smallCaps w:val="0"/>
        <w:strike w:val="0"/>
        <w:dstrike w:val="0"/>
        <w:vanish w:val="0"/>
        <w:color w:val="000000"/>
        <w:spacing w:val="0"/>
        <w:position w:val="0"/>
        <w:sz w:val="24"/>
        <w:u w:val="none"/>
        <w:vertAlign w:val="baseline"/>
      </w:rPr>
    </w:lvl>
    <w:lvl w:ilvl="2">
      <w:start w:val="1"/>
      <w:numFmt w:val="decimal"/>
      <w:pStyle w:val="zhengwen1"/>
      <w:suff w:val="space"/>
      <w:lvlText w:val="%1.%2.%3 "/>
      <w:lvlJc w:val="left"/>
      <w:pPr>
        <w:ind w:left="0" w:firstLine="0"/>
      </w:p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4">
    <w:nsid w:val="08AFB84C"/>
    <w:multiLevelType w:val="singleLevel"/>
    <w:tmpl w:val="08AFB84C"/>
    <w:lvl w:ilvl="0">
      <w:start w:val="5"/>
      <w:numFmt w:val="chineseCounting"/>
      <w:suff w:val="space"/>
      <w:lvlText w:val="第%1节"/>
      <w:lvlJc w:val="left"/>
      <w:rPr>
        <w:rFonts w:hint="eastAsia"/>
        <w:lang w:val="en-US"/>
      </w:rPr>
    </w:lvl>
  </w:abstractNum>
  <w:abstractNum w:abstractNumId="5">
    <w:nsid w:val="115810E3"/>
    <w:multiLevelType w:val="multilevel"/>
    <w:tmpl w:val="115810E3"/>
    <w:lvl w:ilvl="0">
      <w:start w:val="1"/>
      <w:numFmt w:val="chineseCountingThousand"/>
      <w:pStyle w:val="11"/>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6">
    <w:nsid w:val="19FD2E9B"/>
    <w:multiLevelType w:val="multilevel"/>
    <w:tmpl w:val="19FD2E9B"/>
    <w:lvl w:ilvl="0">
      <w:start w:val="1"/>
      <w:numFmt w:val="chineseCounting"/>
      <w:lvlText w:val="%1、"/>
      <w:lvlJc w:val="left"/>
      <w:pPr>
        <w:ind w:left="709" w:hanging="709"/>
      </w:pPr>
    </w:lvl>
    <w:lvl w:ilvl="1">
      <w:start w:val="1"/>
      <w:numFmt w:val="chineseCountingThousand"/>
      <w:pStyle w:val="2"/>
      <w:lvlText w:val="(%2)"/>
      <w:lvlJc w:val="left"/>
      <w:pPr>
        <w:ind w:left="851" w:hanging="709"/>
      </w:pPr>
    </w:lvl>
    <w:lvl w:ilvl="2">
      <w:start w:val="1"/>
      <w:numFmt w:val="decimal"/>
      <w:pStyle w:val="3"/>
      <w:lvlText w:val="%3、"/>
      <w:lvlJc w:val="left"/>
      <w:pPr>
        <w:ind w:left="56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34BD66C5"/>
    <w:multiLevelType w:val="multilevel"/>
    <w:tmpl w:val="34BD66C5"/>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BA25313"/>
    <w:multiLevelType w:val="multilevel"/>
    <w:tmpl w:val="4BA25313"/>
    <w:lvl w:ilvl="0">
      <w:start w:val="1"/>
      <w:numFmt w:val="chineseCounting"/>
      <w:lvlText w:val="%1、"/>
      <w:lvlJc w:val="left"/>
      <w:pPr>
        <w:ind w:left="709" w:hanging="709"/>
      </w:pPr>
    </w:lvl>
    <w:lvl w:ilvl="1">
      <w:start w:val="1"/>
      <w:numFmt w:val="chineseCountingThousand"/>
      <w:lvlText w:val="(%2)"/>
      <w:lvlJc w:val="left"/>
      <w:pPr>
        <w:ind w:left="709" w:hanging="709"/>
      </w:pPr>
    </w:lvl>
    <w:lvl w:ilvl="2">
      <w:start w:val="1"/>
      <w:numFmt w:val="decimal"/>
      <w:lvlText w:val="%3、"/>
      <w:lvlJc w:val="left"/>
      <w:pPr>
        <w:ind w:left="1276"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53285B05"/>
    <w:multiLevelType w:val="multilevel"/>
    <w:tmpl w:val="53285B05"/>
    <w:lvl w:ilvl="0">
      <w:start w:val="1"/>
      <w:numFmt w:val="japaneseCounting"/>
      <w:lvlText w:val="%1、"/>
      <w:lvlJc w:val="left"/>
      <w:pPr>
        <w:ind w:left="1004" w:hanging="72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0">
    <w:nsid w:val="54AB7553"/>
    <w:multiLevelType w:val="singleLevel"/>
    <w:tmpl w:val="54AB7553"/>
    <w:lvl w:ilvl="0">
      <w:start w:val="1"/>
      <w:numFmt w:val="chineseCounting"/>
      <w:suff w:val="nothing"/>
      <w:lvlText w:val="%1、"/>
      <w:lvlJc w:val="left"/>
      <w:pPr>
        <w:ind w:left="0" w:firstLine="0"/>
      </w:pPr>
    </w:lvl>
  </w:abstractNum>
  <w:num w:numId="1">
    <w:abstractNumId w:val="3"/>
  </w:num>
  <w:num w:numId="2">
    <w:abstractNumId w:val="6"/>
  </w:num>
  <w:num w:numId="3">
    <w:abstractNumId w:val="5"/>
  </w:num>
  <w:num w:numId="4">
    <w:abstractNumId w:val="2"/>
  </w:num>
  <w:num w:numId="5">
    <w:abstractNumId w:val="0"/>
  </w:num>
  <w:num w:numId="6">
    <w:abstractNumId w:val="7"/>
  </w:num>
  <w:num w:numId="7">
    <w:abstractNumId w:val="4"/>
  </w:num>
  <w:num w:numId="8">
    <w:abstractNumId w:val="1"/>
  </w:num>
  <w:num w:numId="9">
    <w:abstractNumId w:val="10"/>
    <w:lvlOverride w:ilvl="0">
      <w:startOverride w:val="1"/>
    </w:lvlOverride>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hideGrammaticalErrors/>
  <w:documentProtection w:edit="readOnly" w:enforcement="0"/>
  <w:defaultTabStop w:val="420"/>
  <w:drawingGridHorizontalSpacing w:val="261"/>
  <w:drawingGridVerticalSpacing w:val="357"/>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272"/>
    <w:rsid w:val="000002C6"/>
    <w:rsid w:val="000003E0"/>
    <w:rsid w:val="0000040E"/>
    <w:rsid w:val="00000A8E"/>
    <w:rsid w:val="00000D9A"/>
    <w:rsid w:val="000013BF"/>
    <w:rsid w:val="0000156B"/>
    <w:rsid w:val="00001B83"/>
    <w:rsid w:val="00002DE9"/>
    <w:rsid w:val="00002F5B"/>
    <w:rsid w:val="00003128"/>
    <w:rsid w:val="000031AA"/>
    <w:rsid w:val="000034F2"/>
    <w:rsid w:val="000035A4"/>
    <w:rsid w:val="000045A1"/>
    <w:rsid w:val="00004BFC"/>
    <w:rsid w:val="00005860"/>
    <w:rsid w:val="00005971"/>
    <w:rsid w:val="000064E0"/>
    <w:rsid w:val="00006759"/>
    <w:rsid w:val="00006AE5"/>
    <w:rsid w:val="00006B2D"/>
    <w:rsid w:val="00006C58"/>
    <w:rsid w:val="00007689"/>
    <w:rsid w:val="000077E4"/>
    <w:rsid w:val="00007872"/>
    <w:rsid w:val="000078B2"/>
    <w:rsid w:val="00007C24"/>
    <w:rsid w:val="00007DCA"/>
    <w:rsid w:val="000101F2"/>
    <w:rsid w:val="00010537"/>
    <w:rsid w:val="000106D6"/>
    <w:rsid w:val="00010FF7"/>
    <w:rsid w:val="0001131D"/>
    <w:rsid w:val="00011883"/>
    <w:rsid w:val="00011C32"/>
    <w:rsid w:val="00014453"/>
    <w:rsid w:val="000144E7"/>
    <w:rsid w:val="00014F57"/>
    <w:rsid w:val="000151BC"/>
    <w:rsid w:val="00015A69"/>
    <w:rsid w:val="00015E2D"/>
    <w:rsid w:val="0001642A"/>
    <w:rsid w:val="0001643F"/>
    <w:rsid w:val="00017027"/>
    <w:rsid w:val="00017102"/>
    <w:rsid w:val="00017286"/>
    <w:rsid w:val="00017568"/>
    <w:rsid w:val="0001762A"/>
    <w:rsid w:val="0002024B"/>
    <w:rsid w:val="00020501"/>
    <w:rsid w:val="000207C8"/>
    <w:rsid w:val="00020EEF"/>
    <w:rsid w:val="000214BC"/>
    <w:rsid w:val="000214E4"/>
    <w:rsid w:val="00021FB2"/>
    <w:rsid w:val="000221FD"/>
    <w:rsid w:val="00022449"/>
    <w:rsid w:val="000229F1"/>
    <w:rsid w:val="00023330"/>
    <w:rsid w:val="00023A66"/>
    <w:rsid w:val="00023EDE"/>
    <w:rsid w:val="0002410B"/>
    <w:rsid w:val="000247BB"/>
    <w:rsid w:val="000248AA"/>
    <w:rsid w:val="00024992"/>
    <w:rsid w:val="00024A88"/>
    <w:rsid w:val="00024BB2"/>
    <w:rsid w:val="00025997"/>
    <w:rsid w:val="00025C99"/>
    <w:rsid w:val="00025E8D"/>
    <w:rsid w:val="0002604E"/>
    <w:rsid w:val="00026688"/>
    <w:rsid w:val="00026FD2"/>
    <w:rsid w:val="0002710C"/>
    <w:rsid w:val="00027492"/>
    <w:rsid w:val="0002755D"/>
    <w:rsid w:val="00027645"/>
    <w:rsid w:val="0002775A"/>
    <w:rsid w:val="00027AD7"/>
    <w:rsid w:val="00027E3E"/>
    <w:rsid w:val="000300E1"/>
    <w:rsid w:val="000307C3"/>
    <w:rsid w:val="0003089A"/>
    <w:rsid w:val="000308CC"/>
    <w:rsid w:val="000308EF"/>
    <w:rsid w:val="00030E81"/>
    <w:rsid w:val="0003103E"/>
    <w:rsid w:val="00031531"/>
    <w:rsid w:val="00031627"/>
    <w:rsid w:val="00031A58"/>
    <w:rsid w:val="00032520"/>
    <w:rsid w:val="00032A57"/>
    <w:rsid w:val="00033539"/>
    <w:rsid w:val="00033A01"/>
    <w:rsid w:val="00033CAA"/>
    <w:rsid w:val="00034390"/>
    <w:rsid w:val="00034655"/>
    <w:rsid w:val="0003469D"/>
    <w:rsid w:val="000348DE"/>
    <w:rsid w:val="00034B79"/>
    <w:rsid w:val="00034B7D"/>
    <w:rsid w:val="00034C20"/>
    <w:rsid w:val="00034D40"/>
    <w:rsid w:val="00034DB5"/>
    <w:rsid w:val="00034F52"/>
    <w:rsid w:val="00035F45"/>
    <w:rsid w:val="00036433"/>
    <w:rsid w:val="000364B3"/>
    <w:rsid w:val="00036913"/>
    <w:rsid w:val="00037238"/>
    <w:rsid w:val="000374A4"/>
    <w:rsid w:val="000374C2"/>
    <w:rsid w:val="000376F1"/>
    <w:rsid w:val="000378FA"/>
    <w:rsid w:val="00037B88"/>
    <w:rsid w:val="00037F48"/>
    <w:rsid w:val="00040388"/>
    <w:rsid w:val="0004078E"/>
    <w:rsid w:val="000409D6"/>
    <w:rsid w:val="00040A06"/>
    <w:rsid w:val="00040F6B"/>
    <w:rsid w:val="0004140F"/>
    <w:rsid w:val="000415BA"/>
    <w:rsid w:val="000418E2"/>
    <w:rsid w:val="00041CB1"/>
    <w:rsid w:val="00042399"/>
    <w:rsid w:val="000427D5"/>
    <w:rsid w:val="00042D7C"/>
    <w:rsid w:val="00043096"/>
    <w:rsid w:val="0004386C"/>
    <w:rsid w:val="00043922"/>
    <w:rsid w:val="0004458E"/>
    <w:rsid w:val="000448D7"/>
    <w:rsid w:val="0004492C"/>
    <w:rsid w:val="00044A8A"/>
    <w:rsid w:val="00044D7B"/>
    <w:rsid w:val="00044ECE"/>
    <w:rsid w:val="000454C4"/>
    <w:rsid w:val="00045536"/>
    <w:rsid w:val="00045A8A"/>
    <w:rsid w:val="00045EBB"/>
    <w:rsid w:val="00045EE5"/>
    <w:rsid w:val="00046114"/>
    <w:rsid w:val="0004618D"/>
    <w:rsid w:val="000461EE"/>
    <w:rsid w:val="000467A0"/>
    <w:rsid w:val="0004695F"/>
    <w:rsid w:val="0004759C"/>
    <w:rsid w:val="00047A1B"/>
    <w:rsid w:val="00050AF3"/>
    <w:rsid w:val="00050C1B"/>
    <w:rsid w:val="00050F22"/>
    <w:rsid w:val="00051109"/>
    <w:rsid w:val="00051629"/>
    <w:rsid w:val="00051BC2"/>
    <w:rsid w:val="000521AE"/>
    <w:rsid w:val="00052704"/>
    <w:rsid w:val="0005297B"/>
    <w:rsid w:val="00052AE2"/>
    <w:rsid w:val="00052B93"/>
    <w:rsid w:val="00052BFB"/>
    <w:rsid w:val="00052F2D"/>
    <w:rsid w:val="00053001"/>
    <w:rsid w:val="000531E2"/>
    <w:rsid w:val="0005321D"/>
    <w:rsid w:val="0005328B"/>
    <w:rsid w:val="000533EC"/>
    <w:rsid w:val="000537C4"/>
    <w:rsid w:val="00053AB4"/>
    <w:rsid w:val="00053D6C"/>
    <w:rsid w:val="00054002"/>
    <w:rsid w:val="000540E5"/>
    <w:rsid w:val="0005471F"/>
    <w:rsid w:val="00054742"/>
    <w:rsid w:val="00055306"/>
    <w:rsid w:val="00055652"/>
    <w:rsid w:val="00056282"/>
    <w:rsid w:val="0005659F"/>
    <w:rsid w:val="00056BFC"/>
    <w:rsid w:val="00060027"/>
    <w:rsid w:val="00060035"/>
    <w:rsid w:val="0006044E"/>
    <w:rsid w:val="00060FE0"/>
    <w:rsid w:val="0006156E"/>
    <w:rsid w:val="0006165E"/>
    <w:rsid w:val="000618F9"/>
    <w:rsid w:val="00061A9A"/>
    <w:rsid w:val="00061F3E"/>
    <w:rsid w:val="00062612"/>
    <w:rsid w:val="000628A7"/>
    <w:rsid w:val="000629D2"/>
    <w:rsid w:val="00062B0C"/>
    <w:rsid w:val="00062F08"/>
    <w:rsid w:val="000639C5"/>
    <w:rsid w:val="00063BB8"/>
    <w:rsid w:val="00063FDD"/>
    <w:rsid w:val="0006437E"/>
    <w:rsid w:val="000643B1"/>
    <w:rsid w:val="00064B47"/>
    <w:rsid w:val="00064CB0"/>
    <w:rsid w:val="00064CBA"/>
    <w:rsid w:val="00064CEA"/>
    <w:rsid w:val="00064FCF"/>
    <w:rsid w:val="00065283"/>
    <w:rsid w:val="00065779"/>
    <w:rsid w:val="000657E7"/>
    <w:rsid w:val="00065860"/>
    <w:rsid w:val="00065EC4"/>
    <w:rsid w:val="0006621F"/>
    <w:rsid w:val="00066442"/>
    <w:rsid w:val="000666D7"/>
    <w:rsid w:val="00066968"/>
    <w:rsid w:val="00066C82"/>
    <w:rsid w:val="000677A2"/>
    <w:rsid w:val="00067A9F"/>
    <w:rsid w:val="00067C6B"/>
    <w:rsid w:val="00070262"/>
    <w:rsid w:val="00070629"/>
    <w:rsid w:val="00070A24"/>
    <w:rsid w:val="000710BC"/>
    <w:rsid w:val="00071528"/>
    <w:rsid w:val="0007159B"/>
    <w:rsid w:val="000715DA"/>
    <w:rsid w:val="00071B3B"/>
    <w:rsid w:val="00071B53"/>
    <w:rsid w:val="00071C47"/>
    <w:rsid w:val="0007267D"/>
    <w:rsid w:val="00072D5E"/>
    <w:rsid w:val="00072EC6"/>
    <w:rsid w:val="00073775"/>
    <w:rsid w:val="000739F6"/>
    <w:rsid w:val="0007469D"/>
    <w:rsid w:val="0007481D"/>
    <w:rsid w:val="00074F9A"/>
    <w:rsid w:val="00075B7E"/>
    <w:rsid w:val="00075C3E"/>
    <w:rsid w:val="00076448"/>
    <w:rsid w:val="0007664D"/>
    <w:rsid w:val="000768F0"/>
    <w:rsid w:val="00076AA1"/>
    <w:rsid w:val="000772D6"/>
    <w:rsid w:val="000774F9"/>
    <w:rsid w:val="00077BC6"/>
    <w:rsid w:val="00077C3E"/>
    <w:rsid w:val="00077DAE"/>
    <w:rsid w:val="00080114"/>
    <w:rsid w:val="000803E5"/>
    <w:rsid w:val="00080A4C"/>
    <w:rsid w:val="00080C62"/>
    <w:rsid w:val="00080DC3"/>
    <w:rsid w:val="0008241C"/>
    <w:rsid w:val="000827F8"/>
    <w:rsid w:val="00082AAF"/>
    <w:rsid w:val="000832A0"/>
    <w:rsid w:val="000835F5"/>
    <w:rsid w:val="00083960"/>
    <w:rsid w:val="0008410C"/>
    <w:rsid w:val="0008429B"/>
    <w:rsid w:val="00084835"/>
    <w:rsid w:val="00084B7C"/>
    <w:rsid w:val="00084BE1"/>
    <w:rsid w:val="0008533C"/>
    <w:rsid w:val="000853C2"/>
    <w:rsid w:val="000856F2"/>
    <w:rsid w:val="000857DC"/>
    <w:rsid w:val="00087A2F"/>
    <w:rsid w:val="00087AB0"/>
    <w:rsid w:val="0009023F"/>
    <w:rsid w:val="00090341"/>
    <w:rsid w:val="000907E4"/>
    <w:rsid w:val="00090E3C"/>
    <w:rsid w:val="0009181D"/>
    <w:rsid w:val="00092038"/>
    <w:rsid w:val="0009255E"/>
    <w:rsid w:val="00092579"/>
    <w:rsid w:val="00092870"/>
    <w:rsid w:val="000928B8"/>
    <w:rsid w:val="00093034"/>
    <w:rsid w:val="000932E7"/>
    <w:rsid w:val="000932F6"/>
    <w:rsid w:val="000934EF"/>
    <w:rsid w:val="00093545"/>
    <w:rsid w:val="00093655"/>
    <w:rsid w:val="00093B55"/>
    <w:rsid w:val="00093FEF"/>
    <w:rsid w:val="00094242"/>
    <w:rsid w:val="00094C62"/>
    <w:rsid w:val="0009528E"/>
    <w:rsid w:val="00095E8A"/>
    <w:rsid w:val="00095EE4"/>
    <w:rsid w:val="00096495"/>
    <w:rsid w:val="00096C22"/>
    <w:rsid w:val="00096DE1"/>
    <w:rsid w:val="000970CC"/>
    <w:rsid w:val="0009774E"/>
    <w:rsid w:val="00097BB1"/>
    <w:rsid w:val="00097E9F"/>
    <w:rsid w:val="000A0130"/>
    <w:rsid w:val="000A015B"/>
    <w:rsid w:val="000A05F1"/>
    <w:rsid w:val="000A071D"/>
    <w:rsid w:val="000A1193"/>
    <w:rsid w:val="000A1C33"/>
    <w:rsid w:val="000A1FF8"/>
    <w:rsid w:val="000A2818"/>
    <w:rsid w:val="000A296C"/>
    <w:rsid w:val="000A2B71"/>
    <w:rsid w:val="000A2CBF"/>
    <w:rsid w:val="000A2F97"/>
    <w:rsid w:val="000A365F"/>
    <w:rsid w:val="000A38A2"/>
    <w:rsid w:val="000A3AD4"/>
    <w:rsid w:val="000A42EB"/>
    <w:rsid w:val="000A4C1C"/>
    <w:rsid w:val="000A4F87"/>
    <w:rsid w:val="000A53DF"/>
    <w:rsid w:val="000A542D"/>
    <w:rsid w:val="000A577D"/>
    <w:rsid w:val="000A63DD"/>
    <w:rsid w:val="000A64E4"/>
    <w:rsid w:val="000A6582"/>
    <w:rsid w:val="000A6645"/>
    <w:rsid w:val="000A694C"/>
    <w:rsid w:val="000A6B72"/>
    <w:rsid w:val="000A6E99"/>
    <w:rsid w:val="000A7D08"/>
    <w:rsid w:val="000B02A0"/>
    <w:rsid w:val="000B0717"/>
    <w:rsid w:val="000B0775"/>
    <w:rsid w:val="000B0908"/>
    <w:rsid w:val="000B0927"/>
    <w:rsid w:val="000B115A"/>
    <w:rsid w:val="000B1303"/>
    <w:rsid w:val="000B134B"/>
    <w:rsid w:val="000B14F6"/>
    <w:rsid w:val="000B18DD"/>
    <w:rsid w:val="000B225A"/>
    <w:rsid w:val="000B2468"/>
    <w:rsid w:val="000B2B30"/>
    <w:rsid w:val="000B2D29"/>
    <w:rsid w:val="000B2E42"/>
    <w:rsid w:val="000B31E5"/>
    <w:rsid w:val="000B31E6"/>
    <w:rsid w:val="000B325A"/>
    <w:rsid w:val="000B3CF1"/>
    <w:rsid w:val="000B3DE8"/>
    <w:rsid w:val="000B4454"/>
    <w:rsid w:val="000B46AA"/>
    <w:rsid w:val="000B4BAD"/>
    <w:rsid w:val="000B4D0B"/>
    <w:rsid w:val="000B4D27"/>
    <w:rsid w:val="000B4ECC"/>
    <w:rsid w:val="000B66C1"/>
    <w:rsid w:val="000B6C0E"/>
    <w:rsid w:val="000B7D7C"/>
    <w:rsid w:val="000B7DD0"/>
    <w:rsid w:val="000C0173"/>
    <w:rsid w:val="000C0BAC"/>
    <w:rsid w:val="000C123A"/>
    <w:rsid w:val="000C17B6"/>
    <w:rsid w:val="000C1942"/>
    <w:rsid w:val="000C1F02"/>
    <w:rsid w:val="000C24BF"/>
    <w:rsid w:val="000C2503"/>
    <w:rsid w:val="000C2F9F"/>
    <w:rsid w:val="000C3214"/>
    <w:rsid w:val="000C3737"/>
    <w:rsid w:val="000C38B3"/>
    <w:rsid w:val="000C3A78"/>
    <w:rsid w:val="000C4433"/>
    <w:rsid w:val="000C4ADC"/>
    <w:rsid w:val="000C4B6C"/>
    <w:rsid w:val="000C5657"/>
    <w:rsid w:val="000C5ACE"/>
    <w:rsid w:val="000C653F"/>
    <w:rsid w:val="000C6C25"/>
    <w:rsid w:val="000C7135"/>
    <w:rsid w:val="000C77C2"/>
    <w:rsid w:val="000C79DA"/>
    <w:rsid w:val="000C7F62"/>
    <w:rsid w:val="000D013C"/>
    <w:rsid w:val="000D0AC7"/>
    <w:rsid w:val="000D14B2"/>
    <w:rsid w:val="000D1674"/>
    <w:rsid w:val="000D1768"/>
    <w:rsid w:val="000D1B84"/>
    <w:rsid w:val="000D1CB7"/>
    <w:rsid w:val="000D1D7B"/>
    <w:rsid w:val="000D21DE"/>
    <w:rsid w:val="000D2AD9"/>
    <w:rsid w:val="000D2DDF"/>
    <w:rsid w:val="000D2F2D"/>
    <w:rsid w:val="000D3457"/>
    <w:rsid w:val="000D3B11"/>
    <w:rsid w:val="000D3ED2"/>
    <w:rsid w:val="000D423F"/>
    <w:rsid w:val="000D44F8"/>
    <w:rsid w:val="000D4888"/>
    <w:rsid w:val="000D4AC0"/>
    <w:rsid w:val="000D4C01"/>
    <w:rsid w:val="000D4DCB"/>
    <w:rsid w:val="000D5CB9"/>
    <w:rsid w:val="000D6209"/>
    <w:rsid w:val="000D62AE"/>
    <w:rsid w:val="000D63F8"/>
    <w:rsid w:val="000D64D4"/>
    <w:rsid w:val="000D6D0B"/>
    <w:rsid w:val="000D6DF4"/>
    <w:rsid w:val="000D72A1"/>
    <w:rsid w:val="000D78A3"/>
    <w:rsid w:val="000E05EE"/>
    <w:rsid w:val="000E07B0"/>
    <w:rsid w:val="000E0A1E"/>
    <w:rsid w:val="000E1161"/>
    <w:rsid w:val="000E1183"/>
    <w:rsid w:val="000E2839"/>
    <w:rsid w:val="000E2F70"/>
    <w:rsid w:val="000E36BA"/>
    <w:rsid w:val="000E36F9"/>
    <w:rsid w:val="000E43D8"/>
    <w:rsid w:val="000E44F5"/>
    <w:rsid w:val="000E46ED"/>
    <w:rsid w:val="000E4D46"/>
    <w:rsid w:val="000E4E3D"/>
    <w:rsid w:val="000E55DC"/>
    <w:rsid w:val="000E59A3"/>
    <w:rsid w:val="000E5BD5"/>
    <w:rsid w:val="000E6A81"/>
    <w:rsid w:val="000E6C50"/>
    <w:rsid w:val="000E7080"/>
    <w:rsid w:val="000E76D8"/>
    <w:rsid w:val="000E7CC6"/>
    <w:rsid w:val="000E7F0F"/>
    <w:rsid w:val="000F07F6"/>
    <w:rsid w:val="000F16AF"/>
    <w:rsid w:val="000F1A1A"/>
    <w:rsid w:val="000F1FEF"/>
    <w:rsid w:val="000F2306"/>
    <w:rsid w:val="000F27C0"/>
    <w:rsid w:val="000F3306"/>
    <w:rsid w:val="000F3C44"/>
    <w:rsid w:val="000F45A3"/>
    <w:rsid w:val="000F51C3"/>
    <w:rsid w:val="000F57E0"/>
    <w:rsid w:val="000F5B96"/>
    <w:rsid w:val="000F5C41"/>
    <w:rsid w:val="000F5C76"/>
    <w:rsid w:val="000F5EF5"/>
    <w:rsid w:val="000F618D"/>
    <w:rsid w:val="000F68C8"/>
    <w:rsid w:val="000F69EC"/>
    <w:rsid w:val="000F6CD5"/>
    <w:rsid w:val="000F6CE2"/>
    <w:rsid w:val="000F6FBA"/>
    <w:rsid w:val="000F737C"/>
    <w:rsid w:val="00100305"/>
    <w:rsid w:val="0010034C"/>
    <w:rsid w:val="0010042D"/>
    <w:rsid w:val="001004F9"/>
    <w:rsid w:val="00100737"/>
    <w:rsid w:val="001009BD"/>
    <w:rsid w:val="00100D81"/>
    <w:rsid w:val="00100F72"/>
    <w:rsid w:val="00101D06"/>
    <w:rsid w:val="00102EAC"/>
    <w:rsid w:val="00103300"/>
    <w:rsid w:val="0010338B"/>
    <w:rsid w:val="001036F9"/>
    <w:rsid w:val="001047D9"/>
    <w:rsid w:val="00104892"/>
    <w:rsid w:val="00104D78"/>
    <w:rsid w:val="00105181"/>
    <w:rsid w:val="0010557F"/>
    <w:rsid w:val="0010565D"/>
    <w:rsid w:val="00105A36"/>
    <w:rsid w:val="00105DC9"/>
    <w:rsid w:val="001061CC"/>
    <w:rsid w:val="0010626B"/>
    <w:rsid w:val="00107260"/>
    <w:rsid w:val="00107366"/>
    <w:rsid w:val="00107521"/>
    <w:rsid w:val="001079D1"/>
    <w:rsid w:val="00107E6A"/>
    <w:rsid w:val="00110183"/>
    <w:rsid w:val="00110639"/>
    <w:rsid w:val="0011115E"/>
    <w:rsid w:val="00111338"/>
    <w:rsid w:val="0011153D"/>
    <w:rsid w:val="00111689"/>
    <w:rsid w:val="00111FBD"/>
    <w:rsid w:val="0011219C"/>
    <w:rsid w:val="00112620"/>
    <w:rsid w:val="00112740"/>
    <w:rsid w:val="00112B68"/>
    <w:rsid w:val="00113161"/>
    <w:rsid w:val="00113609"/>
    <w:rsid w:val="00113C88"/>
    <w:rsid w:val="00113CA5"/>
    <w:rsid w:val="00113CBF"/>
    <w:rsid w:val="00114072"/>
    <w:rsid w:val="00114216"/>
    <w:rsid w:val="00114246"/>
    <w:rsid w:val="00114883"/>
    <w:rsid w:val="00114B2C"/>
    <w:rsid w:val="00115556"/>
    <w:rsid w:val="00115D71"/>
    <w:rsid w:val="00115EB6"/>
    <w:rsid w:val="00116177"/>
    <w:rsid w:val="00116228"/>
    <w:rsid w:val="001166DA"/>
    <w:rsid w:val="00116BE8"/>
    <w:rsid w:val="00117308"/>
    <w:rsid w:val="0011759E"/>
    <w:rsid w:val="001207D0"/>
    <w:rsid w:val="0012108B"/>
    <w:rsid w:val="00121567"/>
    <w:rsid w:val="0012176E"/>
    <w:rsid w:val="00121931"/>
    <w:rsid w:val="00121ADC"/>
    <w:rsid w:val="00122529"/>
    <w:rsid w:val="00122595"/>
    <w:rsid w:val="00122630"/>
    <w:rsid w:val="001238F3"/>
    <w:rsid w:val="001239E1"/>
    <w:rsid w:val="00124BC3"/>
    <w:rsid w:val="00124C84"/>
    <w:rsid w:val="001251D3"/>
    <w:rsid w:val="0012532D"/>
    <w:rsid w:val="001253F8"/>
    <w:rsid w:val="00125D2A"/>
    <w:rsid w:val="0012661E"/>
    <w:rsid w:val="001267F1"/>
    <w:rsid w:val="001270D4"/>
    <w:rsid w:val="00127282"/>
    <w:rsid w:val="0013008B"/>
    <w:rsid w:val="0013034A"/>
    <w:rsid w:val="0013077A"/>
    <w:rsid w:val="0013139E"/>
    <w:rsid w:val="0013169E"/>
    <w:rsid w:val="001316E5"/>
    <w:rsid w:val="00131E00"/>
    <w:rsid w:val="0013201C"/>
    <w:rsid w:val="001322E1"/>
    <w:rsid w:val="0013235D"/>
    <w:rsid w:val="0013250E"/>
    <w:rsid w:val="00132695"/>
    <w:rsid w:val="00132C86"/>
    <w:rsid w:val="00132EE6"/>
    <w:rsid w:val="00133350"/>
    <w:rsid w:val="0013341C"/>
    <w:rsid w:val="0013342D"/>
    <w:rsid w:val="00133581"/>
    <w:rsid w:val="00133F3F"/>
    <w:rsid w:val="001340B2"/>
    <w:rsid w:val="00134256"/>
    <w:rsid w:val="00134790"/>
    <w:rsid w:val="00134A2E"/>
    <w:rsid w:val="00134E6A"/>
    <w:rsid w:val="00134F8F"/>
    <w:rsid w:val="00135056"/>
    <w:rsid w:val="00135102"/>
    <w:rsid w:val="00135112"/>
    <w:rsid w:val="00136236"/>
    <w:rsid w:val="00136285"/>
    <w:rsid w:val="00136308"/>
    <w:rsid w:val="00136998"/>
    <w:rsid w:val="00136E57"/>
    <w:rsid w:val="00137328"/>
    <w:rsid w:val="00137C80"/>
    <w:rsid w:val="001407DB"/>
    <w:rsid w:val="001410DB"/>
    <w:rsid w:val="00141A05"/>
    <w:rsid w:val="00141B12"/>
    <w:rsid w:val="0014209E"/>
    <w:rsid w:val="00142991"/>
    <w:rsid w:val="00142E71"/>
    <w:rsid w:val="0014310C"/>
    <w:rsid w:val="001439F2"/>
    <w:rsid w:val="00143E18"/>
    <w:rsid w:val="001440D7"/>
    <w:rsid w:val="0014458B"/>
    <w:rsid w:val="001447A1"/>
    <w:rsid w:val="00145BF5"/>
    <w:rsid w:val="0014647C"/>
    <w:rsid w:val="001466FE"/>
    <w:rsid w:val="00146835"/>
    <w:rsid w:val="001471EE"/>
    <w:rsid w:val="00147488"/>
    <w:rsid w:val="001474B1"/>
    <w:rsid w:val="00150440"/>
    <w:rsid w:val="001505D2"/>
    <w:rsid w:val="00150A02"/>
    <w:rsid w:val="00150DAA"/>
    <w:rsid w:val="0015103D"/>
    <w:rsid w:val="00151416"/>
    <w:rsid w:val="0015143E"/>
    <w:rsid w:val="001515CA"/>
    <w:rsid w:val="001519D2"/>
    <w:rsid w:val="001521BA"/>
    <w:rsid w:val="00152628"/>
    <w:rsid w:val="001527CD"/>
    <w:rsid w:val="00152B01"/>
    <w:rsid w:val="00152BE2"/>
    <w:rsid w:val="0015342E"/>
    <w:rsid w:val="001534B4"/>
    <w:rsid w:val="00153578"/>
    <w:rsid w:val="00154485"/>
    <w:rsid w:val="00154722"/>
    <w:rsid w:val="001559FE"/>
    <w:rsid w:val="00155F29"/>
    <w:rsid w:val="001560B7"/>
    <w:rsid w:val="001562B2"/>
    <w:rsid w:val="001568C3"/>
    <w:rsid w:val="00157095"/>
    <w:rsid w:val="00157D29"/>
    <w:rsid w:val="00161356"/>
    <w:rsid w:val="001619AC"/>
    <w:rsid w:val="00162797"/>
    <w:rsid w:val="00162BF5"/>
    <w:rsid w:val="00162CC3"/>
    <w:rsid w:val="00162D76"/>
    <w:rsid w:val="00162E8D"/>
    <w:rsid w:val="00162F85"/>
    <w:rsid w:val="001630D6"/>
    <w:rsid w:val="00163270"/>
    <w:rsid w:val="001636B4"/>
    <w:rsid w:val="001637CF"/>
    <w:rsid w:val="0016397F"/>
    <w:rsid w:val="001644C1"/>
    <w:rsid w:val="00164A4E"/>
    <w:rsid w:val="00164A5F"/>
    <w:rsid w:val="00164AB4"/>
    <w:rsid w:val="001658E5"/>
    <w:rsid w:val="001659BB"/>
    <w:rsid w:val="00165B8F"/>
    <w:rsid w:val="00165D0E"/>
    <w:rsid w:val="0016611A"/>
    <w:rsid w:val="0016754B"/>
    <w:rsid w:val="001704D8"/>
    <w:rsid w:val="00170781"/>
    <w:rsid w:val="00170D40"/>
    <w:rsid w:val="00170F85"/>
    <w:rsid w:val="001710E8"/>
    <w:rsid w:val="00171103"/>
    <w:rsid w:val="00171137"/>
    <w:rsid w:val="0017128E"/>
    <w:rsid w:val="001712BE"/>
    <w:rsid w:val="00171989"/>
    <w:rsid w:val="00172073"/>
    <w:rsid w:val="001723E6"/>
    <w:rsid w:val="0017291F"/>
    <w:rsid w:val="00172BC3"/>
    <w:rsid w:val="0017321F"/>
    <w:rsid w:val="00173549"/>
    <w:rsid w:val="001740AC"/>
    <w:rsid w:val="00174992"/>
    <w:rsid w:val="00174A9F"/>
    <w:rsid w:val="00174B30"/>
    <w:rsid w:val="00174E98"/>
    <w:rsid w:val="00174F81"/>
    <w:rsid w:val="001752BC"/>
    <w:rsid w:val="00175A04"/>
    <w:rsid w:val="001765B5"/>
    <w:rsid w:val="001765E5"/>
    <w:rsid w:val="00176B75"/>
    <w:rsid w:val="00176BEF"/>
    <w:rsid w:val="00176E10"/>
    <w:rsid w:val="00177841"/>
    <w:rsid w:val="00177C11"/>
    <w:rsid w:val="00177CD6"/>
    <w:rsid w:val="00180147"/>
    <w:rsid w:val="001801F9"/>
    <w:rsid w:val="00180335"/>
    <w:rsid w:val="00180952"/>
    <w:rsid w:val="00180A35"/>
    <w:rsid w:val="00180E3D"/>
    <w:rsid w:val="00180F3A"/>
    <w:rsid w:val="0018133E"/>
    <w:rsid w:val="0018207A"/>
    <w:rsid w:val="001824D1"/>
    <w:rsid w:val="001827B9"/>
    <w:rsid w:val="00182883"/>
    <w:rsid w:val="001832A6"/>
    <w:rsid w:val="00184ACA"/>
    <w:rsid w:val="001859C2"/>
    <w:rsid w:val="0018620A"/>
    <w:rsid w:val="001863B0"/>
    <w:rsid w:val="00186542"/>
    <w:rsid w:val="001867C2"/>
    <w:rsid w:val="0018682A"/>
    <w:rsid w:val="001869BD"/>
    <w:rsid w:val="0018727D"/>
    <w:rsid w:val="0018757A"/>
    <w:rsid w:val="00187931"/>
    <w:rsid w:val="001900B3"/>
    <w:rsid w:val="001901F8"/>
    <w:rsid w:val="0019060A"/>
    <w:rsid w:val="00190D11"/>
    <w:rsid w:val="00190F29"/>
    <w:rsid w:val="0019159D"/>
    <w:rsid w:val="0019170A"/>
    <w:rsid w:val="00191B41"/>
    <w:rsid w:val="00191CA4"/>
    <w:rsid w:val="00191D58"/>
    <w:rsid w:val="00192187"/>
    <w:rsid w:val="00192192"/>
    <w:rsid w:val="00193211"/>
    <w:rsid w:val="00193377"/>
    <w:rsid w:val="00193390"/>
    <w:rsid w:val="00193CCD"/>
    <w:rsid w:val="001946E3"/>
    <w:rsid w:val="00194B41"/>
    <w:rsid w:val="001957F4"/>
    <w:rsid w:val="00196511"/>
    <w:rsid w:val="0019698D"/>
    <w:rsid w:val="0019713B"/>
    <w:rsid w:val="0019750A"/>
    <w:rsid w:val="001979C3"/>
    <w:rsid w:val="00197CA4"/>
    <w:rsid w:val="00197EDC"/>
    <w:rsid w:val="001A04DC"/>
    <w:rsid w:val="001A0608"/>
    <w:rsid w:val="001A0700"/>
    <w:rsid w:val="001A0AA0"/>
    <w:rsid w:val="001A0CC9"/>
    <w:rsid w:val="001A0CF9"/>
    <w:rsid w:val="001A0D1D"/>
    <w:rsid w:val="001A1D72"/>
    <w:rsid w:val="001A3450"/>
    <w:rsid w:val="001A35B3"/>
    <w:rsid w:val="001A35C5"/>
    <w:rsid w:val="001A35C6"/>
    <w:rsid w:val="001A3B77"/>
    <w:rsid w:val="001A3D32"/>
    <w:rsid w:val="001A3D52"/>
    <w:rsid w:val="001A3F85"/>
    <w:rsid w:val="001A41CF"/>
    <w:rsid w:val="001A41D8"/>
    <w:rsid w:val="001A46AD"/>
    <w:rsid w:val="001A48FA"/>
    <w:rsid w:val="001A510C"/>
    <w:rsid w:val="001A650F"/>
    <w:rsid w:val="001A6A0C"/>
    <w:rsid w:val="001A7324"/>
    <w:rsid w:val="001A7548"/>
    <w:rsid w:val="001A7A89"/>
    <w:rsid w:val="001B0BF1"/>
    <w:rsid w:val="001B1A46"/>
    <w:rsid w:val="001B2089"/>
    <w:rsid w:val="001B208D"/>
    <w:rsid w:val="001B2159"/>
    <w:rsid w:val="001B23F3"/>
    <w:rsid w:val="001B24C9"/>
    <w:rsid w:val="001B362C"/>
    <w:rsid w:val="001B3670"/>
    <w:rsid w:val="001B368B"/>
    <w:rsid w:val="001B3866"/>
    <w:rsid w:val="001B4128"/>
    <w:rsid w:val="001B430B"/>
    <w:rsid w:val="001B46B1"/>
    <w:rsid w:val="001B48C4"/>
    <w:rsid w:val="001B510E"/>
    <w:rsid w:val="001B5259"/>
    <w:rsid w:val="001B608E"/>
    <w:rsid w:val="001B65E0"/>
    <w:rsid w:val="001B6B6E"/>
    <w:rsid w:val="001B6E1A"/>
    <w:rsid w:val="001B6F61"/>
    <w:rsid w:val="001B6FF0"/>
    <w:rsid w:val="001B7007"/>
    <w:rsid w:val="001B704D"/>
    <w:rsid w:val="001B768E"/>
    <w:rsid w:val="001C0401"/>
    <w:rsid w:val="001C068F"/>
    <w:rsid w:val="001C16A9"/>
    <w:rsid w:val="001C16D8"/>
    <w:rsid w:val="001C1A2F"/>
    <w:rsid w:val="001C1DF7"/>
    <w:rsid w:val="001C1E39"/>
    <w:rsid w:val="001C20D5"/>
    <w:rsid w:val="001C2353"/>
    <w:rsid w:val="001C2B18"/>
    <w:rsid w:val="001C2EED"/>
    <w:rsid w:val="001C2FC4"/>
    <w:rsid w:val="001C340A"/>
    <w:rsid w:val="001C37E3"/>
    <w:rsid w:val="001C4356"/>
    <w:rsid w:val="001C46F5"/>
    <w:rsid w:val="001C4735"/>
    <w:rsid w:val="001C4825"/>
    <w:rsid w:val="001C5086"/>
    <w:rsid w:val="001C583E"/>
    <w:rsid w:val="001C59B6"/>
    <w:rsid w:val="001C6C08"/>
    <w:rsid w:val="001C72FA"/>
    <w:rsid w:val="001C7624"/>
    <w:rsid w:val="001C795A"/>
    <w:rsid w:val="001D03CB"/>
    <w:rsid w:val="001D07BA"/>
    <w:rsid w:val="001D0AE1"/>
    <w:rsid w:val="001D0C89"/>
    <w:rsid w:val="001D0DF6"/>
    <w:rsid w:val="001D0F2F"/>
    <w:rsid w:val="001D103D"/>
    <w:rsid w:val="001D1AF3"/>
    <w:rsid w:val="001D1F94"/>
    <w:rsid w:val="001D2360"/>
    <w:rsid w:val="001D23D7"/>
    <w:rsid w:val="001D2488"/>
    <w:rsid w:val="001D2601"/>
    <w:rsid w:val="001D27B6"/>
    <w:rsid w:val="001D287A"/>
    <w:rsid w:val="001D2EF0"/>
    <w:rsid w:val="001D310E"/>
    <w:rsid w:val="001D31F1"/>
    <w:rsid w:val="001D3306"/>
    <w:rsid w:val="001D4EEE"/>
    <w:rsid w:val="001D5B28"/>
    <w:rsid w:val="001D60FB"/>
    <w:rsid w:val="001D65A5"/>
    <w:rsid w:val="001D6FCE"/>
    <w:rsid w:val="001D75FF"/>
    <w:rsid w:val="001D77AF"/>
    <w:rsid w:val="001D7AD2"/>
    <w:rsid w:val="001D7B55"/>
    <w:rsid w:val="001D7E2B"/>
    <w:rsid w:val="001D7F69"/>
    <w:rsid w:val="001E0199"/>
    <w:rsid w:val="001E07D4"/>
    <w:rsid w:val="001E0E6F"/>
    <w:rsid w:val="001E0EAE"/>
    <w:rsid w:val="001E107E"/>
    <w:rsid w:val="001E1141"/>
    <w:rsid w:val="001E1BE5"/>
    <w:rsid w:val="001E229B"/>
    <w:rsid w:val="001E22F6"/>
    <w:rsid w:val="001E2450"/>
    <w:rsid w:val="001E2C24"/>
    <w:rsid w:val="001E404C"/>
    <w:rsid w:val="001E42B7"/>
    <w:rsid w:val="001E437E"/>
    <w:rsid w:val="001E443D"/>
    <w:rsid w:val="001E4446"/>
    <w:rsid w:val="001E53B5"/>
    <w:rsid w:val="001E7756"/>
    <w:rsid w:val="001E78D0"/>
    <w:rsid w:val="001E7F00"/>
    <w:rsid w:val="001F01E5"/>
    <w:rsid w:val="001F01EC"/>
    <w:rsid w:val="001F0893"/>
    <w:rsid w:val="001F0E31"/>
    <w:rsid w:val="001F1930"/>
    <w:rsid w:val="001F198B"/>
    <w:rsid w:val="001F19AB"/>
    <w:rsid w:val="001F1C08"/>
    <w:rsid w:val="001F26C8"/>
    <w:rsid w:val="001F2A00"/>
    <w:rsid w:val="001F31F2"/>
    <w:rsid w:val="001F34A7"/>
    <w:rsid w:val="001F3EFE"/>
    <w:rsid w:val="001F436C"/>
    <w:rsid w:val="001F4970"/>
    <w:rsid w:val="001F5D17"/>
    <w:rsid w:val="001F623D"/>
    <w:rsid w:val="001F6716"/>
    <w:rsid w:val="001F6868"/>
    <w:rsid w:val="001F699B"/>
    <w:rsid w:val="001F6B58"/>
    <w:rsid w:val="001F6E8E"/>
    <w:rsid w:val="001F6F52"/>
    <w:rsid w:val="001F7384"/>
    <w:rsid w:val="001F7551"/>
    <w:rsid w:val="001F76E5"/>
    <w:rsid w:val="00200766"/>
    <w:rsid w:val="002007C5"/>
    <w:rsid w:val="00201300"/>
    <w:rsid w:val="002013D6"/>
    <w:rsid w:val="0020186B"/>
    <w:rsid w:val="0020194B"/>
    <w:rsid w:val="00201C23"/>
    <w:rsid w:val="00202313"/>
    <w:rsid w:val="00202CAB"/>
    <w:rsid w:val="002034AA"/>
    <w:rsid w:val="00203925"/>
    <w:rsid w:val="00203AF1"/>
    <w:rsid w:val="00203D5E"/>
    <w:rsid w:val="0020411D"/>
    <w:rsid w:val="002042BE"/>
    <w:rsid w:val="002047A4"/>
    <w:rsid w:val="00204CE3"/>
    <w:rsid w:val="00204D15"/>
    <w:rsid w:val="00204FCA"/>
    <w:rsid w:val="00205498"/>
    <w:rsid w:val="002058E4"/>
    <w:rsid w:val="00205A4E"/>
    <w:rsid w:val="00205F59"/>
    <w:rsid w:val="002062A9"/>
    <w:rsid w:val="0020643E"/>
    <w:rsid w:val="00206AF4"/>
    <w:rsid w:val="00207306"/>
    <w:rsid w:val="00207318"/>
    <w:rsid w:val="00207644"/>
    <w:rsid w:val="0020791F"/>
    <w:rsid w:val="00210164"/>
    <w:rsid w:val="00211EC0"/>
    <w:rsid w:val="00212B3B"/>
    <w:rsid w:val="00212BCD"/>
    <w:rsid w:val="00212C5F"/>
    <w:rsid w:val="00212DCC"/>
    <w:rsid w:val="00213BC3"/>
    <w:rsid w:val="00213C9A"/>
    <w:rsid w:val="002141B1"/>
    <w:rsid w:val="00214753"/>
    <w:rsid w:val="002149C2"/>
    <w:rsid w:val="00214F4C"/>
    <w:rsid w:val="00215AE5"/>
    <w:rsid w:val="00215CC3"/>
    <w:rsid w:val="002168A5"/>
    <w:rsid w:val="00216ADB"/>
    <w:rsid w:val="0021711B"/>
    <w:rsid w:val="00217638"/>
    <w:rsid w:val="00217E2E"/>
    <w:rsid w:val="00220839"/>
    <w:rsid w:val="002210D1"/>
    <w:rsid w:val="00221671"/>
    <w:rsid w:val="00221F10"/>
    <w:rsid w:val="0022210F"/>
    <w:rsid w:val="002221BE"/>
    <w:rsid w:val="002221EA"/>
    <w:rsid w:val="002224D8"/>
    <w:rsid w:val="002225A6"/>
    <w:rsid w:val="002226F7"/>
    <w:rsid w:val="00222CB5"/>
    <w:rsid w:val="002232AC"/>
    <w:rsid w:val="00223C06"/>
    <w:rsid w:val="00224874"/>
    <w:rsid w:val="00224C2E"/>
    <w:rsid w:val="00224C48"/>
    <w:rsid w:val="00225CFC"/>
    <w:rsid w:val="00225DAF"/>
    <w:rsid w:val="00226C09"/>
    <w:rsid w:val="00226DE2"/>
    <w:rsid w:val="00227115"/>
    <w:rsid w:val="002272B0"/>
    <w:rsid w:val="00227B7F"/>
    <w:rsid w:val="00227DB2"/>
    <w:rsid w:val="00230115"/>
    <w:rsid w:val="00230FF2"/>
    <w:rsid w:val="00231590"/>
    <w:rsid w:val="00231B04"/>
    <w:rsid w:val="00232631"/>
    <w:rsid w:val="00232725"/>
    <w:rsid w:val="00232A23"/>
    <w:rsid w:val="00232D5B"/>
    <w:rsid w:val="00232E05"/>
    <w:rsid w:val="00233A73"/>
    <w:rsid w:val="00233B6B"/>
    <w:rsid w:val="00233E7C"/>
    <w:rsid w:val="00233F05"/>
    <w:rsid w:val="002341B9"/>
    <w:rsid w:val="002345F1"/>
    <w:rsid w:val="002346EA"/>
    <w:rsid w:val="00234799"/>
    <w:rsid w:val="00234B0B"/>
    <w:rsid w:val="002353CC"/>
    <w:rsid w:val="0023569C"/>
    <w:rsid w:val="002356FD"/>
    <w:rsid w:val="00235748"/>
    <w:rsid w:val="00235A40"/>
    <w:rsid w:val="00235CE5"/>
    <w:rsid w:val="002361EB"/>
    <w:rsid w:val="0023642D"/>
    <w:rsid w:val="00236534"/>
    <w:rsid w:val="00236F7E"/>
    <w:rsid w:val="0023714F"/>
    <w:rsid w:val="00237266"/>
    <w:rsid w:val="0023747F"/>
    <w:rsid w:val="002379E3"/>
    <w:rsid w:val="002403C1"/>
    <w:rsid w:val="00240A9A"/>
    <w:rsid w:val="00240AF7"/>
    <w:rsid w:val="00241E14"/>
    <w:rsid w:val="00242356"/>
    <w:rsid w:val="0024260B"/>
    <w:rsid w:val="002430FA"/>
    <w:rsid w:val="00243447"/>
    <w:rsid w:val="002435E3"/>
    <w:rsid w:val="002439E2"/>
    <w:rsid w:val="00243D10"/>
    <w:rsid w:val="0024421F"/>
    <w:rsid w:val="002449F0"/>
    <w:rsid w:val="002459AC"/>
    <w:rsid w:val="00245B9C"/>
    <w:rsid w:val="00246316"/>
    <w:rsid w:val="0024654E"/>
    <w:rsid w:val="00246A1A"/>
    <w:rsid w:val="00246BB1"/>
    <w:rsid w:val="00246D97"/>
    <w:rsid w:val="00246ECF"/>
    <w:rsid w:val="0024706E"/>
    <w:rsid w:val="00247279"/>
    <w:rsid w:val="002475F0"/>
    <w:rsid w:val="00247C52"/>
    <w:rsid w:val="00247FBD"/>
    <w:rsid w:val="00250605"/>
    <w:rsid w:val="002507AE"/>
    <w:rsid w:val="00250861"/>
    <w:rsid w:val="00250AC5"/>
    <w:rsid w:val="00250F10"/>
    <w:rsid w:val="0025110F"/>
    <w:rsid w:val="00251508"/>
    <w:rsid w:val="00251511"/>
    <w:rsid w:val="00251562"/>
    <w:rsid w:val="002518BB"/>
    <w:rsid w:val="002518D2"/>
    <w:rsid w:val="00251B37"/>
    <w:rsid w:val="00251D84"/>
    <w:rsid w:val="00252045"/>
    <w:rsid w:val="00252376"/>
    <w:rsid w:val="00253111"/>
    <w:rsid w:val="0025316B"/>
    <w:rsid w:val="002535BD"/>
    <w:rsid w:val="00253636"/>
    <w:rsid w:val="00253924"/>
    <w:rsid w:val="00253D0F"/>
    <w:rsid w:val="00253E0F"/>
    <w:rsid w:val="00254510"/>
    <w:rsid w:val="0025461B"/>
    <w:rsid w:val="00254637"/>
    <w:rsid w:val="00254B2E"/>
    <w:rsid w:val="00255403"/>
    <w:rsid w:val="00255DC6"/>
    <w:rsid w:val="00255EE6"/>
    <w:rsid w:val="00255F7C"/>
    <w:rsid w:val="002562B4"/>
    <w:rsid w:val="0025643C"/>
    <w:rsid w:val="002567A2"/>
    <w:rsid w:val="0025680E"/>
    <w:rsid w:val="00256D2E"/>
    <w:rsid w:val="00257578"/>
    <w:rsid w:val="00257979"/>
    <w:rsid w:val="00257AC9"/>
    <w:rsid w:val="0026016D"/>
    <w:rsid w:val="0026025B"/>
    <w:rsid w:val="00260354"/>
    <w:rsid w:val="00260368"/>
    <w:rsid w:val="002613F7"/>
    <w:rsid w:val="0026158A"/>
    <w:rsid w:val="002619F2"/>
    <w:rsid w:val="00261D0B"/>
    <w:rsid w:val="002621B1"/>
    <w:rsid w:val="002622B6"/>
    <w:rsid w:val="002624F0"/>
    <w:rsid w:val="002628C2"/>
    <w:rsid w:val="002631F0"/>
    <w:rsid w:val="002634DC"/>
    <w:rsid w:val="0026385B"/>
    <w:rsid w:val="00263A55"/>
    <w:rsid w:val="00263DDE"/>
    <w:rsid w:val="002642F0"/>
    <w:rsid w:val="0026432F"/>
    <w:rsid w:val="00264C46"/>
    <w:rsid w:val="0026579B"/>
    <w:rsid w:val="0026595F"/>
    <w:rsid w:val="00265BC0"/>
    <w:rsid w:val="00265EFE"/>
    <w:rsid w:val="002667C2"/>
    <w:rsid w:val="00267591"/>
    <w:rsid w:val="00267C95"/>
    <w:rsid w:val="00267E77"/>
    <w:rsid w:val="00267FA0"/>
    <w:rsid w:val="00270366"/>
    <w:rsid w:val="002707B2"/>
    <w:rsid w:val="00270F0D"/>
    <w:rsid w:val="00270FDA"/>
    <w:rsid w:val="002717C1"/>
    <w:rsid w:val="00271DE0"/>
    <w:rsid w:val="002725F9"/>
    <w:rsid w:val="002731E2"/>
    <w:rsid w:val="0027379D"/>
    <w:rsid w:val="00273A73"/>
    <w:rsid w:val="00273CEB"/>
    <w:rsid w:val="00273D58"/>
    <w:rsid w:val="0027403A"/>
    <w:rsid w:val="00274133"/>
    <w:rsid w:val="00274D52"/>
    <w:rsid w:val="002752B1"/>
    <w:rsid w:val="0027566E"/>
    <w:rsid w:val="0027625D"/>
    <w:rsid w:val="0027635A"/>
    <w:rsid w:val="002763AC"/>
    <w:rsid w:val="00276437"/>
    <w:rsid w:val="00276447"/>
    <w:rsid w:val="00276559"/>
    <w:rsid w:val="00276AE8"/>
    <w:rsid w:val="00276BB8"/>
    <w:rsid w:val="00277024"/>
    <w:rsid w:val="00277696"/>
    <w:rsid w:val="002803D2"/>
    <w:rsid w:val="0028077F"/>
    <w:rsid w:val="002809B2"/>
    <w:rsid w:val="00280BC2"/>
    <w:rsid w:val="00280DE0"/>
    <w:rsid w:val="00280E5B"/>
    <w:rsid w:val="00280F12"/>
    <w:rsid w:val="002812DA"/>
    <w:rsid w:val="002813AD"/>
    <w:rsid w:val="00281564"/>
    <w:rsid w:val="002818B5"/>
    <w:rsid w:val="00281C13"/>
    <w:rsid w:val="00282173"/>
    <w:rsid w:val="00282264"/>
    <w:rsid w:val="00282BAD"/>
    <w:rsid w:val="0028311C"/>
    <w:rsid w:val="002832D8"/>
    <w:rsid w:val="00283541"/>
    <w:rsid w:val="002837E3"/>
    <w:rsid w:val="00283A6C"/>
    <w:rsid w:val="00283C4A"/>
    <w:rsid w:val="00283CA2"/>
    <w:rsid w:val="00283DCA"/>
    <w:rsid w:val="00283FA8"/>
    <w:rsid w:val="00284050"/>
    <w:rsid w:val="00284281"/>
    <w:rsid w:val="002844FC"/>
    <w:rsid w:val="00284797"/>
    <w:rsid w:val="00284F59"/>
    <w:rsid w:val="00285216"/>
    <w:rsid w:val="002852A3"/>
    <w:rsid w:val="00285646"/>
    <w:rsid w:val="002865ED"/>
    <w:rsid w:val="00286A38"/>
    <w:rsid w:val="00286C6E"/>
    <w:rsid w:val="00287C31"/>
    <w:rsid w:val="00287E5A"/>
    <w:rsid w:val="00287F6D"/>
    <w:rsid w:val="00290889"/>
    <w:rsid w:val="002913EA"/>
    <w:rsid w:val="0029162B"/>
    <w:rsid w:val="002916DB"/>
    <w:rsid w:val="002917C4"/>
    <w:rsid w:val="00291920"/>
    <w:rsid w:val="00291BC8"/>
    <w:rsid w:val="00291C15"/>
    <w:rsid w:val="00292311"/>
    <w:rsid w:val="002924BB"/>
    <w:rsid w:val="00292A16"/>
    <w:rsid w:val="00292A56"/>
    <w:rsid w:val="00292C7A"/>
    <w:rsid w:val="00292FE7"/>
    <w:rsid w:val="0029345F"/>
    <w:rsid w:val="00294988"/>
    <w:rsid w:val="00294A7F"/>
    <w:rsid w:val="00294C1D"/>
    <w:rsid w:val="00294EEA"/>
    <w:rsid w:val="0029529A"/>
    <w:rsid w:val="002954C1"/>
    <w:rsid w:val="00295916"/>
    <w:rsid w:val="00295A38"/>
    <w:rsid w:val="00295E51"/>
    <w:rsid w:val="00295FCE"/>
    <w:rsid w:val="002960A2"/>
    <w:rsid w:val="002A00A8"/>
    <w:rsid w:val="002A1030"/>
    <w:rsid w:val="002A1465"/>
    <w:rsid w:val="002A1510"/>
    <w:rsid w:val="002A2295"/>
    <w:rsid w:val="002A24E4"/>
    <w:rsid w:val="002A25F1"/>
    <w:rsid w:val="002A2627"/>
    <w:rsid w:val="002A27F9"/>
    <w:rsid w:val="002A296B"/>
    <w:rsid w:val="002A2C00"/>
    <w:rsid w:val="002A2DD9"/>
    <w:rsid w:val="002A30E6"/>
    <w:rsid w:val="002A3157"/>
    <w:rsid w:val="002A36C5"/>
    <w:rsid w:val="002A39AF"/>
    <w:rsid w:val="002A43D8"/>
    <w:rsid w:val="002A4755"/>
    <w:rsid w:val="002A5974"/>
    <w:rsid w:val="002A5C1E"/>
    <w:rsid w:val="002A5C48"/>
    <w:rsid w:val="002A5D8F"/>
    <w:rsid w:val="002A5E70"/>
    <w:rsid w:val="002A607F"/>
    <w:rsid w:val="002A617C"/>
    <w:rsid w:val="002A62FA"/>
    <w:rsid w:val="002A684A"/>
    <w:rsid w:val="002A6D4F"/>
    <w:rsid w:val="002A707A"/>
    <w:rsid w:val="002A70EE"/>
    <w:rsid w:val="002A732B"/>
    <w:rsid w:val="002A79EB"/>
    <w:rsid w:val="002B015D"/>
    <w:rsid w:val="002B0582"/>
    <w:rsid w:val="002B0704"/>
    <w:rsid w:val="002B1277"/>
    <w:rsid w:val="002B1328"/>
    <w:rsid w:val="002B1C25"/>
    <w:rsid w:val="002B24AE"/>
    <w:rsid w:val="002B251F"/>
    <w:rsid w:val="002B254F"/>
    <w:rsid w:val="002B2645"/>
    <w:rsid w:val="002B26D0"/>
    <w:rsid w:val="002B2C1A"/>
    <w:rsid w:val="002B2D2C"/>
    <w:rsid w:val="002B3142"/>
    <w:rsid w:val="002B3340"/>
    <w:rsid w:val="002B34DC"/>
    <w:rsid w:val="002B3746"/>
    <w:rsid w:val="002B38C8"/>
    <w:rsid w:val="002B3D1E"/>
    <w:rsid w:val="002B4321"/>
    <w:rsid w:val="002B4B88"/>
    <w:rsid w:val="002B51A6"/>
    <w:rsid w:val="002B536F"/>
    <w:rsid w:val="002B5664"/>
    <w:rsid w:val="002B5A42"/>
    <w:rsid w:val="002B6118"/>
    <w:rsid w:val="002B6345"/>
    <w:rsid w:val="002B767C"/>
    <w:rsid w:val="002C03BD"/>
    <w:rsid w:val="002C043A"/>
    <w:rsid w:val="002C10C3"/>
    <w:rsid w:val="002C1137"/>
    <w:rsid w:val="002C1447"/>
    <w:rsid w:val="002C14EA"/>
    <w:rsid w:val="002C1633"/>
    <w:rsid w:val="002C1A66"/>
    <w:rsid w:val="002C1DFD"/>
    <w:rsid w:val="002C2338"/>
    <w:rsid w:val="002C2DC4"/>
    <w:rsid w:val="002C2EBE"/>
    <w:rsid w:val="002C2F00"/>
    <w:rsid w:val="002C357A"/>
    <w:rsid w:val="002C37DE"/>
    <w:rsid w:val="002C3923"/>
    <w:rsid w:val="002C3B88"/>
    <w:rsid w:val="002C4073"/>
    <w:rsid w:val="002C4396"/>
    <w:rsid w:val="002C4803"/>
    <w:rsid w:val="002C4A1B"/>
    <w:rsid w:val="002C4E07"/>
    <w:rsid w:val="002C50B6"/>
    <w:rsid w:val="002C5440"/>
    <w:rsid w:val="002C583D"/>
    <w:rsid w:val="002C586F"/>
    <w:rsid w:val="002C5A78"/>
    <w:rsid w:val="002C5B5F"/>
    <w:rsid w:val="002C5DEF"/>
    <w:rsid w:val="002C6178"/>
    <w:rsid w:val="002C6C8F"/>
    <w:rsid w:val="002C70A4"/>
    <w:rsid w:val="002C7342"/>
    <w:rsid w:val="002C7FC0"/>
    <w:rsid w:val="002D0523"/>
    <w:rsid w:val="002D060D"/>
    <w:rsid w:val="002D07B4"/>
    <w:rsid w:val="002D0DB2"/>
    <w:rsid w:val="002D0EB5"/>
    <w:rsid w:val="002D1193"/>
    <w:rsid w:val="002D1197"/>
    <w:rsid w:val="002D268D"/>
    <w:rsid w:val="002D29C6"/>
    <w:rsid w:val="002D2B81"/>
    <w:rsid w:val="002D2C65"/>
    <w:rsid w:val="002D2D4D"/>
    <w:rsid w:val="002D3174"/>
    <w:rsid w:val="002D37DA"/>
    <w:rsid w:val="002D3B4B"/>
    <w:rsid w:val="002D3F15"/>
    <w:rsid w:val="002D408C"/>
    <w:rsid w:val="002D4247"/>
    <w:rsid w:val="002D441F"/>
    <w:rsid w:val="002D4530"/>
    <w:rsid w:val="002D4744"/>
    <w:rsid w:val="002D4C7C"/>
    <w:rsid w:val="002D529F"/>
    <w:rsid w:val="002D5CEE"/>
    <w:rsid w:val="002D5DA5"/>
    <w:rsid w:val="002D6AE2"/>
    <w:rsid w:val="002D6F0F"/>
    <w:rsid w:val="002D76F1"/>
    <w:rsid w:val="002D7779"/>
    <w:rsid w:val="002D7CB3"/>
    <w:rsid w:val="002E0AFC"/>
    <w:rsid w:val="002E0DF3"/>
    <w:rsid w:val="002E16E3"/>
    <w:rsid w:val="002E1D63"/>
    <w:rsid w:val="002E268B"/>
    <w:rsid w:val="002E2B3A"/>
    <w:rsid w:val="002E36A7"/>
    <w:rsid w:val="002E385B"/>
    <w:rsid w:val="002E4152"/>
    <w:rsid w:val="002E51F6"/>
    <w:rsid w:val="002E5917"/>
    <w:rsid w:val="002E5B9A"/>
    <w:rsid w:val="002E5BD9"/>
    <w:rsid w:val="002E5C53"/>
    <w:rsid w:val="002E5E47"/>
    <w:rsid w:val="002E6C54"/>
    <w:rsid w:val="002E6CFB"/>
    <w:rsid w:val="002E7038"/>
    <w:rsid w:val="002E7058"/>
    <w:rsid w:val="002E7221"/>
    <w:rsid w:val="002E7745"/>
    <w:rsid w:val="002E7BC5"/>
    <w:rsid w:val="002E7E14"/>
    <w:rsid w:val="002F0372"/>
    <w:rsid w:val="002F037A"/>
    <w:rsid w:val="002F0530"/>
    <w:rsid w:val="002F065E"/>
    <w:rsid w:val="002F0800"/>
    <w:rsid w:val="002F08B0"/>
    <w:rsid w:val="002F0BBF"/>
    <w:rsid w:val="002F0C5E"/>
    <w:rsid w:val="002F0C64"/>
    <w:rsid w:val="002F12C0"/>
    <w:rsid w:val="002F15F0"/>
    <w:rsid w:val="002F1988"/>
    <w:rsid w:val="002F1A86"/>
    <w:rsid w:val="002F1CB0"/>
    <w:rsid w:val="002F1ED4"/>
    <w:rsid w:val="002F2012"/>
    <w:rsid w:val="002F26C7"/>
    <w:rsid w:val="002F29AA"/>
    <w:rsid w:val="002F2A9F"/>
    <w:rsid w:val="002F2C14"/>
    <w:rsid w:val="002F2C5A"/>
    <w:rsid w:val="002F3695"/>
    <w:rsid w:val="002F4ED3"/>
    <w:rsid w:val="002F51F3"/>
    <w:rsid w:val="002F6046"/>
    <w:rsid w:val="002F6460"/>
    <w:rsid w:val="002F6637"/>
    <w:rsid w:val="002F6C86"/>
    <w:rsid w:val="002F6CA3"/>
    <w:rsid w:val="002F6DC6"/>
    <w:rsid w:val="002F711C"/>
    <w:rsid w:val="002F796B"/>
    <w:rsid w:val="002F7AF8"/>
    <w:rsid w:val="003006FC"/>
    <w:rsid w:val="0030095D"/>
    <w:rsid w:val="00300A42"/>
    <w:rsid w:val="00300B0F"/>
    <w:rsid w:val="00300BC9"/>
    <w:rsid w:val="00300C07"/>
    <w:rsid w:val="00300E8A"/>
    <w:rsid w:val="00300EA3"/>
    <w:rsid w:val="00301046"/>
    <w:rsid w:val="00301247"/>
    <w:rsid w:val="003015D6"/>
    <w:rsid w:val="00301FA0"/>
    <w:rsid w:val="0030298B"/>
    <w:rsid w:val="00302B0E"/>
    <w:rsid w:val="00302BE1"/>
    <w:rsid w:val="00302C19"/>
    <w:rsid w:val="00303519"/>
    <w:rsid w:val="0030375D"/>
    <w:rsid w:val="00303885"/>
    <w:rsid w:val="00303A9B"/>
    <w:rsid w:val="00303E44"/>
    <w:rsid w:val="00303F84"/>
    <w:rsid w:val="003044F4"/>
    <w:rsid w:val="00304519"/>
    <w:rsid w:val="00304951"/>
    <w:rsid w:val="00304D07"/>
    <w:rsid w:val="003056C0"/>
    <w:rsid w:val="00305CF0"/>
    <w:rsid w:val="00306D1F"/>
    <w:rsid w:val="00306D94"/>
    <w:rsid w:val="00307864"/>
    <w:rsid w:val="00307BB3"/>
    <w:rsid w:val="00307EEF"/>
    <w:rsid w:val="003100CE"/>
    <w:rsid w:val="00310880"/>
    <w:rsid w:val="0031091F"/>
    <w:rsid w:val="00310CD7"/>
    <w:rsid w:val="00311273"/>
    <w:rsid w:val="00311868"/>
    <w:rsid w:val="0031188D"/>
    <w:rsid w:val="00311989"/>
    <w:rsid w:val="00311E67"/>
    <w:rsid w:val="00311F96"/>
    <w:rsid w:val="003124D8"/>
    <w:rsid w:val="00312B82"/>
    <w:rsid w:val="00312EA2"/>
    <w:rsid w:val="00313418"/>
    <w:rsid w:val="003136F2"/>
    <w:rsid w:val="00313780"/>
    <w:rsid w:val="00313DA3"/>
    <w:rsid w:val="00314650"/>
    <w:rsid w:val="00314816"/>
    <w:rsid w:val="003152AD"/>
    <w:rsid w:val="00315582"/>
    <w:rsid w:val="0031566E"/>
    <w:rsid w:val="003158FF"/>
    <w:rsid w:val="00316A8C"/>
    <w:rsid w:val="00316B18"/>
    <w:rsid w:val="00316E98"/>
    <w:rsid w:val="00317AF4"/>
    <w:rsid w:val="00317B85"/>
    <w:rsid w:val="00317BD2"/>
    <w:rsid w:val="00320061"/>
    <w:rsid w:val="00320213"/>
    <w:rsid w:val="00320404"/>
    <w:rsid w:val="003205FD"/>
    <w:rsid w:val="003213FF"/>
    <w:rsid w:val="00322430"/>
    <w:rsid w:val="0032264D"/>
    <w:rsid w:val="003227AF"/>
    <w:rsid w:val="00322BF3"/>
    <w:rsid w:val="00322FDC"/>
    <w:rsid w:val="00323103"/>
    <w:rsid w:val="00323131"/>
    <w:rsid w:val="0032334E"/>
    <w:rsid w:val="00323ADB"/>
    <w:rsid w:val="00324272"/>
    <w:rsid w:val="00324293"/>
    <w:rsid w:val="00324982"/>
    <w:rsid w:val="00324A3A"/>
    <w:rsid w:val="00324E5A"/>
    <w:rsid w:val="00324FCE"/>
    <w:rsid w:val="00325319"/>
    <w:rsid w:val="003256C5"/>
    <w:rsid w:val="00325C35"/>
    <w:rsid w:val="003261BA"/>
    <w:rsid w:val="0032644B"/>
    <w:rsid w:val="003265DC"/>
    <w:rsid w:val="00326A65"/>
    <w:rsid w:val="00327299"/>
    <w:rsid w:val="0032761E"/>
    <w:rsid w:val="0032770D"/>
    <w:rsid w:val="0032789F"/>
    <w:rsid w:val="00327A46"/>
    <w:rsid w:val="00327CF3"/>
    <w:rsid w:val="00327D91"/>
    <w:rsid w:val="003301F4"/>
    <w:rsid w:val="00330711"/>
    <w:rsid w:val="0033089B"/>
    <w:rsid w:val="00330E08"/>
    <w:rsid w:val="003319C0"/>
    <w:rsid w:val="00331BC5"/>
    <w:rsid w:val="00331FA3"/>
    <w:rsid w:val="003328C3"/>
    <w:rsid w:val="003330A0"/>
    <w:rsid w:val="0033338C"/>
    <w:rsid w:val="00333B37"/>
    <w:rsid w:val="00333C31"/>
    <w:rsid w:val="00334B4D"/>
    <w:rsid w:val="003350F2"/>
    <w:rsid w:val="003357B7"/>
    <w:rsid w:val="0033596E"/>
    <w:rsid w:val="00335D1B"/>
    <w:rsid w:val="00335EAC"/>
    <w:rsid w:val="00335EBA"/>
    <w:rsid w:val="00336C94"/>
    <w:rsid w:val="0033736A"/>
    <w:rsid w:val="00337574"/>
    <w:rsid w:val="003378ED"/>
    <w:rsid w:val="00340005"/>
    <w:rsid w:val="003401DD"/>
    <w:rsid w:val="003404ED"/>
    <w:rsid w:val="00340523"/>
    <w:rsid w:val="00340942"/>
    <w:rsid w:val="00341038"/>
    <w:rsid w:val="003413E5"/>
    <w:rsid w:val="0034172C"/>
    <w:rsid w:val="00341820"/>
    <w:rsid w:val="0034187D"/>
    <w:rsid w:val="003422D8"/>
    <w:rsid w:val="0034251B"/>
    <w:rsid w:val="003426B6"/>
    <w:rsid w:val="00342DCE"/>
    <w:rsid w:val="003430C6"/>
    <w:rsid w:val="003431A3"/>
    <w:rsid w:val="00343A2F"/>
    <w:rsid w:val="00343BAA"/>
    <w:rsid w:val="00343F68"/>
    <w:rsid w:val="003441C6"/>
    <w:rsid w:val="00344234"/>
    <w:rsid w:val="00344330"/>
    <w:rsid w:val="00344332"/>
    <w:rsid w:val="0034553F"/>
    <w:rsid w:val="00345C57"/>
    <w:rsid w:val="00345FC9"/>
    <w:rsid w:val="003469DF"/>
    <w:rsid w:val="0034727D"/>
    <w:rsid w:val="003476AF"/>
    <w:rsid w:val="00347750"/>
    <w:rsid w:val="00347BFA"/>
    <w:rsid w:val="003506BD"/>
    <w:rsid w:val="003507A0"/>
    <w:rsid w:val="00350BAC"/>
    <w:rsid w:val="003510AD"/>
    <w:rsid w:val="00351198"/>
    <w:rsid w:val="003511D6"/>
    <w:rsid w:val="003515D8"/>
    <w:rsid w:val="00351B78"/>
    <w:rsid w:val="00351D33"/>
    <w:rsid w:val="00351D81"/>
    <w:rsid w:val="003526E7"/>
    <w:rsid w:val="0035273E"/>
    <w:rsid w:val="00353414"/>
    <w:rsid w:val="00353E62"/>
    <w:rsid w:val="003543BB"/>
    <w:rsid w:val="00354528"/>
    <w:rsid w:val="003549FD"/>
    <w:rsid w:val="00355184"/>
    <w:rsid w:val="003555F0"/>
    <w:rsid w:val="00355F89"/>
    <w:rsid w:val="00356A22"/>
    <w:rsid w:val="00356E65"/>
    <w:rsid w:val="00357039"/>
    <w:rsid w:val="003570E9"/>
    <w:rsid w:val="003574EE"/>
    <w:rsid w:val="00357842"/>
    <w:rsid w:val="00357F84"/>
    <w:rsid w:val="00360136"/>
    <w:rsid w:val="00360EEB"/>
    <w:rsid w:val="00360EFC"/>
    <w:rsid w:val="00361046"/>
    <w:rsid w:val="00361693"/>
    <w:rsid w:val="003625E4"/>
    <w:rsid w:val="00362D0C"/>
    <w:rsid w:val="00363322"/>
    <w:rsid w:val="00363390"/>
    <w:rsid w:val="00364167"/>
    <w:rsid w:val="00364348"/>
    <w:rsid w:val="0036472F"/>
    <w:rsid w:val="00364A34"/>
    <w:rsid w:val="00364BEF"/>
    <w:rsid w:val="00365810"/>
    <w:rsid w:val="0036635A"/>
    <w:rsid w:val="003663B5"/>
    <w:rsid w:val="003663D4"/>
    <w:rsid w:val="00366CB5"/>
    <w:rsid w:val="00367267"/>
    <w:rsid w:val="003702C7"/>
    <w:rsid w:val="0037065F"/>
    <w:rsid w:val="003706B5"/>
    <w:rsid w:val="00370D39"/>
    <w:rsid w:val="00371745"/>
    <w:rsid w:val="0037194B"/>
    <w:rsid w:val="00371C68"/>
    <w:rsid w:val="00372009"/>
    <w:rsid w:val="0037201E"/>
    <w:rsid w:val="0037235F"/>
    <w:rsid w:val="00372DE8"/>
    <w:rsid w:val="003735E6"/>
    <w:rsid w:val="003736DA"/>
    <w:rsid w:val="003744D5"/>
    <w:rsid w:val="003749A2"/>
    <w:rsid w:val="00374B43"/>
    <w:rsid w:val="00374FF6"/>
    <w:rsid w:val="00374FFF"/>
    <w:rsid w:val="0037550B"/>
    <w:rsid w:val="003757CB"/>
    <w:rsid w:val="00375874"/>
    <w:rsid w:val="00375D69"/>
    <w:rsid w:val="0037622C"/>
    <w:rsid w:val="0037625E"/>
    <w:rsid w:val="003769A1"/>
    <w:rsid w:val="0037709F"/>
    <w:rsid w:val="003770BC"/>
    <w:rsid w:val="00377920"/>
    <w:rsid w:val="00377F6E"/>
    <w:rsid w:val="0038036F"/>
    <w:rsid w:val="0038044E"/>
    <w:rsid w:val="0038048E"/>
    <w:rsid w:val="0038051F"/>
    <w:rsid w:val="00380524"/>
    <w:rsid w:val="00380F09"/>
    <w:rsid w:val="0038143C"/>
    <w:rsid w:val="00381942"/>
    <w:rsid w:val="00381EA5"/>
    <w:rsid w:val="00382200"/>
    <w:rsid w:val="0038235E"/>
    <w:rsid w:val="0038251D"/>
    <w:rsid w:val="00382F61"/>
    <w:rsid w:val="0038304A"/>
    <w:rsid w:val="00384019"/>
    <w:rsid w:val="0038494C"/>
    <w:rsid w:val="00384977"/>
    <w:rsid w:val="00384DEE"/>
    <w:rsid w:val="0038542D"/>
    <w:rsid w:val="003855A8"/>
    <w:rsid w:val="00385669"/>
    <w:rsid w:val="003857B2"/>
    <w:rsid w:val="003862CC"/>
    <w:rsid w:val="003867FC"/>
    <w:rsid w:val="00387061"/>
    <w:rsid w:val="003870AB"/>
    <w:rsid w:val="0038726E"/>
    <w:rsid w:val="00387968"/>
    <w:rsid w:val="00387B56"/>
    <w:rsid w:val="00387F18"/>
    <w:rsid w:val="00387F91"/>
    <w:rsid w:val="00390055"/>
    <w:rsid w:val="00390231"/>
    <w:rsid w:val="00390774"/>
    <w:rsid w:val="00390ED3"/>
    <w:rsid w:val="00390F85"/>
    <w:rsid w:val="003911A9"/>
    <w:rsid w:val="00391ECA"/>
    <w:rsid w:val="00391FCE"/>
    <w:rsid w:val="00392A33"/>
    <w:rsid w:val="00392BE1"/>
    <w:rsid w:val="00392ED9"/>
    <w:rsid w:val="00393050"/>
    <w:rsid w:val="003932BC"/>
    <w:rsid w:val="00393C06"/>
    <w:rsid w:val="00393CDD"/>
    <w:rsid w:val="00393EA9"/>
    <w:rsid w:val="003942F6"/>
    <w:rsid w:val="00394777"/>
    <w:rsid w:val="00394D6A"/>
    <w:rsid w:val="0039507A"/>
    <w:rsid w:val="003950EC"/>
    <w:rsid w:val="003957AA"/>
    <w:rsid w:val="00396530"/>
    <w:rsid w:val="0039680A"/>
    <w:rsid w:val="00396A7E"/>
    <w:rsid w:val="003975C1"/>
    <w:rsid w:val="0039787D"/>
    <w:rsid w:val="00397D9E"/>
    <w:rsid w:val="003A0207"/>
    <w:rsid w:val="003A02B9"/>
    <w:rsid w:val="003A113B"/>
    <w:rsid w:val="003A164C"/>
    <w:rsid w:val="003A1667"/>
    <w:rsid w:val="003A18DB"/>
    <w:rsid w:val="003A19D6"/>
    <w:rsid w:val="003A1E62"/>
    <w:rsid w:val="003A1F86"/>
    <w:rsid w:val="003A1F87"/>
    <w:rsid w:val="003A22B8"/>
    <w:rsid w:val="003A233B"/>
    <w:rsid w:val="003A2C81"/>
    <w:rsid w:val="003A3C31"/>
    <w:rsid w:val="003A3DF0"/>
    <w:rsid w:val="003A3F2B"/>
    <w:rsid w:val="003A44E7"/>
    <w:rsid w:val="003A4C86"/>
    <w:rsid w:val="003A4DD7"/>
    <w:rsid w:val="003A61FF"/>
    <w:rsid w:val="003A6250"/>
    <w:rsid w:val="003A62A0"/>
    <w:rsid w:val="003A6EC7"/>
    <w:rsid w:val="003A6F76"/>
    <w:rsid w:val="003A761D"/>
    <w:rsid w:val="003A78FD"/>
    <w:rsid w:val="003A7A4C"/>
    <w:rsid w:val="003A7D7A"/>
    <w:rsid w:val="003B014C"/>
    <w:rsid w:val="003B0512"/>
    <w:rsid w:val="003B0533"/>
    <w:rsid w:val="003B0EE9"/>
    <w:rsid w:val="003B118D"/>
    <w:rsid w:val="003B1766"/>
    <w:rsid w:val="003B18BA"/>
    <w:rsid w:val="003B18BE"/>
    <w:rsid w:val="003B1AFE"/>
    <w:rsid w:val="003B21DE"/>
    <w:rsid w:val="003B26B2"/>
    <w:rsid w:val="003B2C7B"/>
    <w:rsid w:val="003B321A"/>
    <w:rsid w:val="003B3229"/>
    <w:rsid w:val="003B34CB"/>
    <w:rsid w:val="003B361F"/>
    <w:rsid w:val="003B3648"/>
    <w:rsid w:val="003B39F0"/>
    <w:rsid w:val="003B3B3C"/>
    <w:rsid w:val="003B3C1B"/>
    <w:rsid w:val="003B47A3"/>
    <w:rsid w:val="003B4AD5"/>
    <w:rsid w:val="003B4D30"/>
    <w:rsid w:val="003B56AE"/>
    <w:rsid w:val="003B5A2A"/>
    <w:rsid w:val="003B5FAB"/>
    <w:rsid w:val="003B61B3"/>
    <w:rsid w:val="003B64B0"/>
    <w:rsid w:val="003B65CE"/>
    <w:rsid w:val="003B6DD0"/>
    <w:rsid w:val="003B6FC0"/>
    <w:rsid w:val="003C03D1"/>
    <w:rsid w:val="003C075A"/>
    <w:rsid w:val="003C0888"/>
    <w:rsid w:val="003C0956"/>
    <w:rsid w:val="003C0B28"/>
    <w:rsid w:val="003C0D33"/>
    <w:rsid w:val="003C106E"/>
    <w:rsid w:val="003C12C4"/>
    <w:rsid w:val="003C1F6B"/>
    <w:rsid w:val="003C2245"/>
    <w:rsid w:val="003C29A1"/>
    <w:rsid w:val="003C29DD"/>
    <w:rsid w:val="003C3945"/>
    <w:rsid w:val="003C3A70"/>
    <w:rsid w:val="003C3C6C"/>
    <w:rsid w:val="003C4261"/>
    <w:rsid w:val="003C42E6"/>
    <w:rsid w:val="003C43F6"/>
    <w:rsid w:val="003C4533"/>
    <w:rsid w:val="003C4AAE"/>
    <w:rsid w:val="003C4D44"/>
    <w:rsid w:val="003C5CE1"/>
    <w:rsid w:val="003C6591"/>
    <w:rsid w:val="003C659B"/>
    <w:rsid w:val="003C6BBB"/>
    <w:rsid w:val="003C6C78"/>
    <w:rsid w:val="003C6E76"/>
    <w:rsid w:val="003C70B9"/>
    <w:rsid w:val="003C7B1C"/>
    <w:rsid w:val="003C7C70"/>
    <w:rsid w:val="003D0F32"/>
    <w:rsid w:val="003D11C9"/>
    <w:rsid w:val="003D1589"/>
    <w:rsid w:val="003D19FE"/>
    <w:rsid w:val="003D1C70"/>
    <w:rsid w:val="003D1C9C"/>
    <w:rsid w:val="003D1ECC"/>
    <w:rsid w:val="003D212F"/>
    <w:rsid w:val="003D2547"/>
    <w:rsid w:val="003D261B"/>
    <w:rsid w:val="003D2B3C"/>
    <w:rsid w:val="003D354A"/>
    <w:rsid w:val="003D3676"/>
    <w:rsid w:val="003D4099"/>
    <w:rsid w:val="003D40B3"/>
    <w:rsid w:val="003D5700"/>
    <w:rsid w:val="003D5A3F"/>
    <w:rsid w:val="003D6A33"/>
    <w:rsid w:val="003D6C02"/>
    <w:rsid w:val="003D6E06"/>
    <w:rsid w:val="003D6F1F"/>
    <w:rsid w:val="003E008E"/>
    <w:rsid w:val="003E0CFA"/>
    <w:rsid w:val="003E0E6A"/>
    <w:rsid w:val="003E0F9E"/>
    <w:rsid w:val="003E10B8"/>
    <w:rsid w:val="003E13A4"/>
    <w:rsid w:val="003E13C4"/>
    <w:rsid w:val="003E150D"/>
    <w:rsid w:val="003E1642"/>
    <w:rsid w:val="003E1B2A"/>
    <w:rsid w:val="003E224F"/>
    <w:rsid w:val="003E2A46"/>
    <w:rsid w:val="003E2E0B"/>
    <w:rsid w:val="003E2FB4"/>
    <w:rsid w:val="003E34A8"/>
    <w:rsid w:val="003E35FB"/>
    <w:rsid w:val="003E3767"/>
    <w:rsid w:val="003E3A0A"/>
    <w:rsid w:val="003E45C4"/>
    <w:rsid w:val="003E49DB"/>
    <w:rsid w:val="003E5022"/>
    <w:rsid w:val="003E52CD"/>
    <w:rsid w:val="003E57FD"/>
    <w:rsid w:val="003E5951"/>
    <w:rsid w:val="003E600B"/>
    <w:rsid w:val="003E6197"/>
    <w:rsid w:val="003E63D8"/>
    <w:rsid w:val="003E6552"/>
    <w:rsid w:val="003E678A"/>
    <w:rsid w:val="003E6D6D"/>
    <w:rsid w:val="003E6DED"/>
    <w:rsid w:val="003E700C"/>
    <w:rsid w:val="003E71E7"/>
    <w:rsid w:val="003E7B77"/>
    <w:rsid w:val="003E7CA6"/>
    <w:rsid w:val="003E7D37"/>
    <w:rsid w:val="003F00F9"/>
    <w:rsid w:val="003F01D2"/>
    <w:rsid w:val="003F0672"/>
    <w:rsid w:val="003F076D"/>
    <w:rsid w:val="003F095A"/>
    <w:rsid w:val="003F0A40"/>
    <w:rsid w:val="003F0D8A"/>
    <w:rsid w:val="003F10A2"/>
    <w:rsid w:val="003F10D1"/>
    <w:rsid w:val="003F140F"/>
    <w:rsid w:val="003F1441"/>
    <w:rsid w:val="003F1E04"/>
    <w:rsid w:val="003F2535"/>
    <w:rsid w:val="003F3229"/>
    <w:rsid w:val="003F3654"/>
    <w:rsid w:val="003F3E04"/>
    <w:rsid w:val="003F3EC4"/>
    <w:rsid w:val="003F4169"/>
    <w:rsid w:val="003F46F1"/>
    <w:rsid w:val="003F572A"/>
    <w:rsid w:val="003F5793"/>
    <w:rsid w:val="003F5DFD"/>
    <w:rsid w:val="003F6AF2"/>
    <w:rsid w:val="003F6C42"/>
    <w:rsid w:val="003F6D59"/>
    <w:rsid w:val="003F6F01"/>
    <w:rsid w:val="003F6F44"/>
    <w:rsid w:val="003F7F96"/>
    <w:rsid w:val="004003BF"/>
    <w:rsid w:val="00400422"/>
    <w:rsid w:val="00400581"/>
    <w:rsid w:val="00400796"/>
    <w:rsid w:val="00401459"/>
    <w:rsid w:val="004015DE"/>
    <w:rsid w:val="00401812"/>
    <w:rsid w:val="00402410"/>
    <w:rsid w:val="00402922"/>
    <w:rsid w:val="00402AB5"/>
    <w:rsid w:val="00402DD7"/>
    <w:rsid w:val="00403438"/>
    <w:rsid w:val="00403490"/>
    <w:rsid w:val="00404725"/>
    <w:rsid w:val="0040485A"/>
    <w:rsid w:val="00405534"/>
    <w:rsid w:val="004061D9"/>
    <w:rsid w:val="0040636A"/>
    <w:rsid w:val="0040667D"/>
    <w:rsid w:val="00406FAA"/>
    <w:rsid w:val="0040716E"/>
    <w:rsid w:val="004071C9"/>
    <w:rsid w:val="004071DE"/>
    <w:rsid w:val="004079F9"/>
    <w:rsid w:val="004109AB"/>
    <w:rsid w:val="0041142A"/>
    <w:rsid w:val="004117C7"/>
    <w:rsid w:val="00411B14"/>
    <w:rsid w:val="00411D82"/>
    <w:rsid w:val="00411E82"/>
    <w:rsid w:val="0041200E"/>
    <w:rsid w:val="00412596"/>
    <w:rsid w:val="00412CFE"/>
    <w:rsid w:val="00412D81"/>
    <w:rsid w:val="00412DC2"/>
    <w:rsid w:val="00413098"/>
    <w:rsid w:val="00413DAD"/>
    <w:rsid w:val="00413F5E"/>
    <w:rsid w:val="00413F67"/>
    <w:rsid w:val="004141C6"/>
    <w:rsid w:val="00414252"/>
    <w:rsid w:val="004146EE"/>
    <w:rsid w:val="004150A8"/>
    <w:rsid w:val="00415162"/>
    <w:rsid w:val="00415B48"/>
    <w:rsid w:val="00415CCC"/>
    <w:rsid w:val="004160EA"/>
    <w:rsid w:val="004163F6"/>
    <w:rsid w:val="00416719"/>
    <w:rsid w:val="004168CC"/>
    <w:rsid w:val="0041739E"/>
    <w:rsid w:val="00417711"/>
    <w:rsid w:val="004177B6"/>
    <w:rsid w:val="00417988"/>
    <w:rsid w:val="00417DBB"/>
    <w:rsid w:val="00417E67"/>
    <w:rsid w:val="004204C3"/>
    <w:rsid w:val="00421167"/>
    <w:rsid w:val="00421A9B"/>
    <w:rsid w:val="00421F90"/>
    <w:rsid w:val="00422B0F"/>
    <w:rsid w:val="004230FD"/>
    <w:rsid w:val="004232A7"/>
    <w:rsid w:val="00423315"/>
    <w:rsid w:val="004234CC"/>
    <w:rsid w:val="00423694"/>
    <w:rsid w:val="004239B2"/>
    <w:rsid w:val="004241D8"/>
    <w:rsid w:val="004244E5"/>
    <w:rsid w:val="0042468C"/>
    <w:rsid w:val="004248B6"/>
    <w:rsid w:val="0042503C"/>
    <w:rsid w:val="0042527D"/>
    <w:rsid w:val="0042566F"/>
    <w:rsid w:val="00425862"/>
    <w:rsid w:val="0042589A"/>
    <w:rsid w:val="004259BE"/>
    <w:rsid w:val="00425EC7"/>
    <w:rsid w:val="004265EF"/>
    <w:rsid w:val="00426BE8"/>
    <w:rsid w:val="00426CB6"/>
    <w:rsid w:val="00427579"/>
    <w:rsid w:val="0042768A"/>
    <w:rsid w:val="00427941"/>
    <w:rsid w:val="00430187"/>
    <w:rsid w:val="004307EF"/>
    <w:rsid w:val="00431D67"/>
    <w:rsid w:val="00431FD2"/>
    <w:rsid w:val="00432017"/>
    <w:rsid w:val="0043292C"/>
    <w:rsid w:val="004329C6"/>
    <w:rsid w:val="00432DFA"/>
    <w:rsid w:val="00432F21"/>
    <w:rsid w:val="0043334D"/>
    <w:rsid w:val="004337DA"/>
    <w:rsid w:val="00433885"/>
    <w:rsid w:val="00433DBD"/>
    <w:rsid w:val="00434353"/>
    <w:rsid w:val="004343CD"/>
    <w:rsid w:val="00434846"/>
    <w:rsid w:val="004353B7"/>
    <w:rsid w:val="004355CA"/>
    <w:rsid w:val="00435647"/>
    <w:rsid w:val="004356B1"/>
    <w:rsid w:val="00435A62"/>
    <w:rsid w:val="00436622"/>
    <w:rsid w:val="00436AD5"/>
    <w:rsid w:val="00436AE7"/>
    <w:rsid w:val="00436CA2"/>
    <w:rsid w:val="00437084"/>
    <w:rsid w:val="0043740A"/>
    <w:rsid w:val="00437617"/>
    <w:rsid w:val="00437754"/>
    <w:rsid w:val="0043779E"/>
    <w:rsid w:val="00437B3D"/>
    <w:rsid w:val="00440278"/>
    <w:rsid w:val="0044027A"/>
    <w:rsid w:val="00440BE9"/>
    <w:rsid w:val="00440E82"/>
    <w:rsid w:val="00440F94"/>
    <w:rsid w:val="004410CC"/>
    <w:rsid w:val="00441FE2"/>
    <w:rsid w:val="0044241A"/>
    <w:rsid w:val="00442543"/>
    <w:rsid w:val="00442917"/>
    <w:rsid w:val="00442C47"/>
    <w:rsid w:val="00442DC1"/>
    <w:rsid w:val="00442E2C"/>
    <w:rsid w:val="00443091"/>
    <w:rsid w:val="004439C4"/>
    <w:rsid w:val="00443A94"/>
    <w:rsid w:val="004446CA"/>
    <w:rsid w:val="00444ABE"/>
    <w:rsid w:val="00445770"/>
    <w:rsid w:val="004457CF"/>
    <w:rsid w:val="00445B3D"/>
    <w:rsid w:val="00445B46"/>
    <w:rsid w:val="00445D90"/>
    <w:rsid w:val="00445E32"/>
    <w:rsid w:val="00445E70"/>
    <w:rsid w:val="004464A1"/>
    <w:rsid w:val="00446E71"/>
    <w:rsid w:val="00447161"/>
    <w:rsid w:val="004479D5"/>
    <w:rsid w:val="00447DCB"/>
    <w:rsid w:val="004500A6"/>
    <w:rsid w:val="0045014B"/>
    <w:rsid w:val="00450547"/>
    <w:rsid w:val="00450BE5"/>
    <w:rsid w:val="00450C42"/>
    <w:rsid w:val="00450E8F"/>
    <w:rsid w:val="00451883"/>
    <w:rsid w:val="00452627"/>
    <w:rsid w:val="0045299A"/>
    <w:rsid w:val="00452A4E"/>
    <w:rsid w:val="00453043"/>
    <w:rsid w:val="004538E5"/>
    <w:rsid w:val="00453975"/>
    <w:rsid w:val="00453E59"/>
    <w:rsid w:val="00453F68"/>
    <w:rsid w:val="00453FD3"/>
    <w:rsid w:val="00454768"/>
    <w:rsid w:val="004547B2"/>
    <w:rsid w:val="004547F3"/>
    <w:rsid w:val="00454B6A"/>
    <w:rsid w:val="0045511F"/>
    <w:rsid w:val="00455631"/>
    <w:rsid w:val="00455D15"/>
    <w:rsid w:val="00456E56"/>
    <w:rsid w:val="00456EBA"/>
    <w:rsid w:val="00457009"/>
    <w:rsid w:val="004570C2"/>
    <w:rsid w:val="004579E4"/>
    <w:rsid w:val="00457A4D"/>
    <w:rsid w:val="00457B69"/>
    <w:rsid w:val="004605FA"/>
    <w:rsid w:val="0046067E"/>
    <w:rsid w:val="00460A65"/>
    <w:rsid w:val="00460AD5"/>
    <w:rsid w:val="00460B8E"/>
    <w:rsid w:val="00460C0A"/>
    <w:rsid w:val="00460CDB"/>
    <w:rsid w:val="0046110F"/>
    <w:rsid w:val="004613C1"/>
    <w:rsid w:val="00461812"/>
    <w:rsid w:val="004619D4"/>
    <w:rsid w:val="00461ADB"/>
    <w:rsid w:val="00462090"/>
    <w:rsid w:val="004628E7"/>
    <w:rsid w:val="00462DA9"/>
    <w:rsid w:val="0046464D"/>
    <w:rsid w:val="00464AC3"/>
    <w:rsid w:val="00465524"/>
    <w:rsid w:val="00465A16"/>
    <w:rsid w:val="00466458"/>
    <w:rsid w:val="004668FD"/>
    <w:rsid w:val="00466FA0"/>
    <w:rsid w:val="004671FA"/>
    <w:rsid w:val="00467FDE"/>
    <w:rsid w:val="004703DE"/>
    <w:rsid w:val="004705BA"/>
    <w:rsid w:val="00470D3F"/>
    <w:rsid w:val="00470E62"/>
    <w:rsid w:val="004711D2"/>
    <w:rsid w:val="00471C07"/>
    <w:rsid w:val="00471C9D"/>
    <w:rsid w:val="00471FD1"/>
    <w:rsid w:val="00472393"/>
    <w:rsid w:val="004730B8"/>
    <w:rsid w:val="00473288"/>
    <w:rsid w:val="004734E4"/>
    <w:rsid w:val="004735A3"/>
    <w:rsid w:val="0047367D"/>
    <w:rsid w:val="004738D7"/>
    <w:rsid w:val="00474396"/>
    <w:rsid w:val="0047455E"/>
    <w:rsid w:val="00474A99"/>
    <w:rsid w:val="00474F7D"/>
    <w:rsid w:val="00475088"/>
    <w:rsid w:val="00475408"/>
    <w:rsid w:val="00475BA6"/>
    <w:rsid w:val="00475D97"/>
    <w:rsid w:val="00475FBA"/>
    <w:rsid w:val="004763B1"/>
    <w:rsid w:val="0047709B"/>
    <w:rsid w:val="0048020C"/>
    <w:rsid w:val="0048043B"/>
    <w:rsid w:val="00480874"/>
    <w:rsid w:val="00480BF2"/>
    <w:rsid w:val="0048121D"/>
    <w:rsid w:val="004812A2"/>
    <w:rsid w:val="00481A83"/>
    <w:rsid w:val="00481B84"/>
    <w:rsid w:val="00481EE1"/>
    <w:rsid w:val="00482E64"/>
    <w:rsid w:val="00482EBC"/>
    <w:rsid w:val="00482EEB"/>
    <w:rsid w:val="004832C1"/>
    <w:rsid w:val="0048376B"/>
    <w:rsid w:val="00483A20"/>
    <w:rsid w:val="00483A75"/>
    <w:rsid w:val="00484072"/>
    <w:rsid w:val="0048438C"/>
    <w:rsid w:val="00484478"/>
    <w:rsid w:val="004844FD"/>
    <w:rsid w:val="0048506C"/>
    <w:rsid w:val="00485136"/>
    <w:rsid w:val="00485335"/>
    <w:rsid w:val="00485D7E"/>
    <w:rsid w:val="00486317"/>
    <w:rsid w:val="00486B5C"/>
    <w:rsid w:val="00486BB7"/>
    <w:rsid w:val="00486D3F"/>
    <w:rsid w:val="00486DAE"/>
    <w:rsid w:val="00486E3B"/>
    <w:rsid w:val="00486EBA"/>
    <w:rsid w:val="00486FE6"/>
    <w:rsid w:val="00487055"/>
    <w:rsid w:val="0048747A"/>
    <w:rsid w:val="00487795"/>
    <w:rsid w:val="00487A52"/>
    <w:rsid w:val="00487B19"/>
    <w:rsid w:val="00487D2A"/>
    <w:rsid w:val="00487E0E"/>
    <w:rsid w:val="0049002D"/>
    <w:rsid w:val="00490771"/>
    <w:rsid w:val="00490792"/>
    <w:rsid w:val="004907F3"/>
    <w:rsid w:val="00490E38"/>
    <w:rsid w:val="00491946"/>
    <w:rsid w:val="00491C0F"/>
    <w:rsid w:val="0049210C"/>
    <w:rsid w:val="00492453"/>
    <w:rsid w:val="00492679"/>
    <w:rsid w:val="00492740"/>
    <w:rsid w:val="00492A99"/>
    <w:rsid w:val="004939BD"/>
    <w:rsid w:val="00493B09"/>
    <w:rsid w:val="00493BF9"/>
    <w:rsid w:val="00493E7C"/>
    <w:rsid w:val="00494090"/>
    <w:rsid w:val="0049426C"/>
    <w:rsid w:val="00494275"/>
    <w:rsid w:val="0049445D"/>
    <w:rsid w:val="004946AF"/>
    <w:rsid w:val="00494943"/>
    <w:rsid w:val="00494A4B"/>
    <w:rsid w:val="00494C6F"/>
    <w:rsid w:val="00494EB8"/>
    <w:rsid w:val="00495478"/>
    <w:rsid w:val="004959EE"/>
    <w:rsid w:val="00495E82"/>
    <w:rsid w:val="004960D5"/>
    <w:rsid w:val="00496583"/>
    <w:rsid w:val="00496597"/>
    <w:rsid w:val="004966DA"/>
    <w:rsid w:val="004974E8"/>
    <w:rsid w:val="00497CD9"/>
    <w:rsid w:val="00497D41"/>
    <w:rsid w:val="004A144F"/>
    <w:rsid w:val="004A1552"/>
    <w:rsid w:val="004A17D3"/>
    <w:rsid w:val="004A31A7"/>
    <w:rsid w:val="004A337C"/>
    <w:rsid w:val="004A35BB"/>
    <w:rsid w:val="004A37CA"/>
    <w:rsid w:val="004A388D"/>
    <w:rsid w:val="004A3AAE"/>
    <w:rsid w:val="004A4304"/>
    <w:rsid w:val="004A53D0"/>
    <w:rsid w:val="004A5C15"/>
    <w:rsid w:val="004A602B"/>
    <w:rsid w:val="004A61B4"/>
    <w:rsid w:val="004A6724"/>
    <w:rsid w:val="004A6778"/>
    <w:rsid w:val="004A68B6"/>
    <w:rsid w:val="004A6BBF"/>
    <w:rsid w:val="004A76D3"/>
    <w:rsid w:val="004A791F"/>
    <w:rsid w:val="004A79C8"/>
    <w:rsid w:val="004A7C75"/>
    <w:rsid w:val="004A7CCE"/>
    <w:rsid w:val="004B002A"/>
    <w:rsid w:val="004B02FE"/>
    <w:rsid w:val="004B06EF"/>
    <w:rsid w:val="004B08B9"/>
    <w:rsid w:val="004B111D"/>
    <w:rsid w:val="004B1831"/>
    <w:rsid w:val="004B196A"/>
    <w:rsid w:val="004B1B97"/>
    <w:rsid w:val="004B1EA4"/>
    <w:rsid w:val="004B34C0"/>
    <w:rsid w:val="004B3AD5"/>
    <w:rsid w:val="004B3DF7"/>
    <w:rsid w:val="004B40A3"/>
    <w:rsid w:val="004B43A2"/>
    <w:rsid w:val="004B48A9"/>
    <w:rsid w:val="004B4AD8"/>
    <w:rsid w:val="004B5104"/>
    <w:rsid w:val="004B5364"/>
    <w:rsid w:val="004B53F2"/>
    <w:rsid w:val="004B5EF2"/>
    <w:rsid w:val="004B62BF"/>
    <w:rsid w:val="004B647F"/>
    <w:rsid w:val="004B6607"/>
    <w:rsid w:val="004B6852"/>
    <w:rsid w:val="004B68B9"/>
    <w:rsid w:val="004B6950"/>
    <w:rsid w:val="004B6A2C"/>
    <w:rsid w:val="004B6C66"/>
    <w:rsid w:val="004B7101"/>
    <w:rsid w:val="004B75A3"/>
    <w:rsid w:val="004C0497"/>
    <w:rsid w:val="004C0750"/>
    <w:rsid w:val="004C09A5"/>
    <w:rsid w:val="004C0DAA"/>
    <w:rsid w:val="004C1169"/>
    <w:rsid w:val="004C1360"/>
    <w:rsid w:val="004C1392"/>
    <w:rsid w:val="004C1ADC"/>
    <w:rsid w:val="004C1DFD"/>
    <w:rsid w:val="004C212D"/>
    <w:rsid w:val="004C33F3"/>
    <w:rsid w:val="004C3481"/>
    <w:rsid w:val="004C3579"/>
    <w:rsid w:val="004C37C9"/>
    <w:rsid w:val="004C38B8"/>
    <w:rsid w:val="004C3AB4"/>
    <w:rsid w:val="004C4A44"/>
    <w:rsid w:val="004C50BE"/>
    <w:rsid w:val="004C5426"/>
    <w:rsid w:val="004C5934"/>
    <w:rsid w:val="004C5AF1"/>
    <w:rsid w:val="004C5C45"/>
    <w:rsid w:val="004C5FB7"/>
    <w:rsid w:val="004C61ED"/>
    <w:rsid w:val="004C6A05"/>
    <w:rsid w:val="004C73E3"/>
    <w:rsid w:val="004C75D1"/>
    <w:rsid w:val="004C7848"/>
    <w:rsid w:val="004C7AFF"/>
    <w:rsid w:val="004C7FBA"/>
    <w:rsid w:val="004D0388"/>
    <w:rsid w:val="004D05B1"/>
    <w:rsid w:val="004D0688"/>
    <w:rsid w:val="004D0E89"/>
    <w:rsid w:val="004D101C"/>
    <w:rsid w:val="004D15C2"/>
    <w:rsid w:val="004D16A6"/>
    <w:rsid w:val="004D1BB4"/>
    <w:rsid w:val="004D20DB"/>
    <w:rsid w:val="004D24ED"/>
    <w:rsid w:val="004D280C"/>
    <w:rsid w:val="004D2843"/>
    <w:rsid w:val="004D32B7"/>
    <w:rsid w:val="004D365F"/>
    <w:rsid w:val="004D3CC0"/>
    <w:rsid w:val="004D4068"/>
    <w:rsid w:val="004D4726"/>
    <w:rsid w:val="004D47A5"/>
    <w:rsid w:val="004D54C0"/>
    <w:rsid w:val="004D64EB"/>
    <w:rsid w:val="004D6851"/>
    <w:rsid w:val="004D6C0B"/>
    <w:rsid w:val="004D6E90"/>
    <w:rsid w:val="004D71EC"/>
    <w:rsid w:val="004D7487"/>
    <w:rsid w:val="004D77EA"/>
    <w:rsid w:val="004D78B7"/>
    <w:rsid w:val="004D7DCC"/>
    <w:rsid w:val="004D7E93"/>
    <w:rsid w:val="004E0040"/>
    <w:rsid w:val="004E033D"/>
    <w:rsid w:val="004E0BB3"/>
    <w:rsid w:val="004E13AA"/>
    <w:rsid w:val="004E1457"/>
    <w:rsid w:val="004E1728"/>
    <w:rsid w:val="004E19ED"/>
    <w:rsid w:val="004E225A"/>
    <w:rsid w:val="004E2450"/>
    <w:rsid w:val="004E2ACA"/>
    <w:rsid w:val="004E2C2E"/>
    <w:rsid w:val="004E3251"/>
    <w:rsid w:val="004E33EC"/>
    <w:rsid w:val="004E383A"/>
    <w:rsid w:val="004E3A41"/>
    <w:rsid w:val="004E40E7"/>
    <w:rsid w:val="004E4843"/>
    <w:rsid w:val="004E497C"/>
    <w:rsid w:val="004E49F7"/>
    <w:rsid w:val="004E4F68"/>
    <w:rsid w:val="004E5316"/>
    <w:rsid w:val="004E53E3"/>
    <w:rsid w:val="004E5968"/>
    <w:rsid w:val="004E5E48"/>
    <w:rsid w:val="004E5E6B"/>
    <w:rsid w:val="004E600E"/>
    <w:rsid w:val="004E654C"/>
    <w:rsid w:val="004E686D"/>
    <w:rsid w:val="004E6CA2"/>
    <w:rsid w:val="004E70C9"/>
    <w:rsid w:val="004E7407"/>
    <w:rsid w:val="004E7B2C"/>
    <w:rsid w:val="004E7B9F"/>
    <w:rsid w:val="004E7BEA"/>
    <w:rsid w:val="004E7E28"/>
    <w:rsid w:val="004E7E9C"/>
    <w:rsid w:val="004F03A5"/>
    <w:rsid w:val="004F0717"/>
    <w:rsid w:val="004F0D04"/>
    <w:rsid w:val="004F10A2"/>
    <w:rsid w:val="004F127E"/>
    <w:rsid w:val="004F13E9"/>
    <w:rsid w:val="004F179D"/>
    <w:rsid w:val="004F1B5D"/>
    <w:rsid w:val="004F1DD7"/>
    <w:rsid w:val="004F1E23"/>
    <w:rsid w:val="004F209A"/>
    <w:rsid w:val="004F24BC"/>
    <w:rsid w:val="004F28BE"/>
    <w:rsid w:val="004F2A99"/>
    <w:rsid w:val="004F31E0"/>
    <w:rsid w:val="004F34FB"/>
    <w:rsid w:val="004F3969"/>
    <w:rsid w:val="004F3D28"/>
    <w:rsid w:val="004F3E3B"/>
    <w:rsid w:val="004F3FF1"/>
    <w:rsid w:val="004F448D"/>
    <w:rsid w:val="004F46DC"/>
    <w:rsid w:val="004F4740"/>
    <w:rsid w:val="004F48B8"/>
    <w:rsid w:val="004F50DA"/>
    <w:rsid w:val="004F5955"/>
    <w:rsid w:val="004F59B3"/>
    <w:rsid w:val="004F59E1"/>
    <w:rsid w:val="004F5A8E"/>
    <w:rsid w:val="004F61E5"/>
    <w:rsid w:val="004F6FE6"/>
    <w:rsid w:val="004F7808"/>
    <w:rsid w:val="00500610"/>
    <w:rsid w:val="00500C7F"/>
    <w:rsid w:val="00500EB9"/>
    <w:rsid w:val="005010A8"/>
    <w:rsid w:val="00501767"/>
    <w:rsid w:val="005018E6"/>
    <w:rsid w:val="00501E0E"/>
    <w:rsid w:val="00501E9F"/>
    <w:rsid w:val="00501FB3"/>
    <w:rsid w:val="0050219C"/>
    <w:rsid w:val="005022E6"/>
    <w:rsid w:val="005027FC"/>
    <w:rsid w:val="005028A7"/>
    <w:rsid w:val="00502AEE"/>
    <w:rsid w:val="00503487"/>
    <w:rsid w:val="00503B1F"/>
    <w:rsid w:val="00504391"/>
    <w:rsid w:val="005044D8"/>
    <w:rsid w:val="00504B59"/>
    <w:rsid w:val="00504DE2"/>
    <w:rsid w:val="005050C1"/>
    <w:rsid w:val="00505271"/>
    <w:rsid w:val="00505457"/>
    <w:rsid w:val="00505B5B"/>
    <w:rsid w:val="00505B60"/>
    <w:rsid w:val="00506286"/>
    <w:rsid w:val="00506998"/>
    <w:rsid w:val="00506E1B"/>
    <w:rsid w:val="0050771E"/>
    <w:rsid w:val="00507C11"/>
    <w:rsid w:val="005111F1"/>
    <w:rsid w:val="0051170D"/>
    <w:rsid w:val="005118F5"/>
    <w:rsid w:val="005119FA"/>
    <w:rsid w:val="00511B15"/>
    <w:rsid w:val="00511D7A"/>
    <w:rsid w:val="00512341"/>
    <w:rsid w:val="00512B40"/>
    <w:rsid w:val="00512DAC"/>
    <w:rsid w:val="00512DDD"/>
    <w:rsid w:val="005130BF"/>
    <w:rsid w:val="00513848"/>
    <w:rsid w:val="00513E41"/>
    <w:rsid w:val="00513EB5"/>
    <w:rsid w:val="00514C2D"/>
    <w:rsid w:val="00514F87"/>
    <w:rsid w:val="00515047"/>
    <w:rsid w:val="00515978"/>
    <w:rsid w:val="00515C7C"/>
    <w:rsid w:val="00516391"/>
    <w:rsid w:val="00516648"/>
    <w:rsid w:val="00516802"/>
    <w:rsid w:val="00516A8A"/>
    <w:rsid w:val="00516DBC"/>
    <w:rsid w:val="00517B20"/>
    <w:rsid w:val="00517BB7"/>
    <w:rsid w:val="0052000F"/>
    <w:rsid w:val="005200B7"/>
    <w:rsid w:val="00520249"/>
    <w:rsid w:val="00520AAB"/>
    <w:rsid w:val="005218F4"/>
    <w:rsid w:val="00521900"/>
    <w:rsid w:val="00521D76"/>
    <w:rsid w:val="00521EC0"/>
    <w:rsid w:val="00522123"/>
    <w:rsid w:val="00522264"/>
    <w:rsid w:val="0052239D"/>
    <w:rsid w:val="00522A40"/>
    <w:rsid w:val="00522CD5"/>
    <w:rsid w:val="00523364"/>
    <w:rsid w:val="00523485"/>
    <w:rsid w:val="00523F23"/>
    <w:rsid w:val="005241FD"/>
    <w:rsid w:val="005242B7"/>
    <w:rsid w:val="0052462B"/>
    <w:rsid w:val="0052494D"/>
    <w:rsid w:val="005253FD"/>
    <w:rsid w:val="00525863"/>
    <w:rsid w:val="005258BB"/>
    <w:rsid w:val="00525958"/>
    <w:rsid w:val="005266B4"/>
    <w:rsid w:val="00526F7B"/>
    <w:rsid w:val="005272A8"/>
    <w:rsid w:val="0052759E"/>
    <w:rsid w:val="0053060C"/>
    <w:rsid w:val="0053066A"/>
    <w:rsid w:val="0053066D"/>
    <w:rsid w:val="005308D4"/>
    <w:rsid w:val="005315BA"/>
    <w:rsid w:val="005317DD"/>
    <w:rsid w:val="00531AB1"/>
    <w:rsid w:val="0053275A"/>
    <w:rsid w:val="00532829"/>
    <w:rsid w:val="00532C25"/>
    <w:rsid w:val="00532FD8"/>
    <w:rsid w:val="005331A2"/>
    <w:rsid w:val="005338B9"/>
    <w:rsid w:val="00533EEC"/>
    <w:rsid w:val="00533F6B"/>
    <w:rsid w:val="00534045"/>
    <w:rsid w:val="0053464F"/>
    <w:rsid w:val="00534C24"/>
    <w:rsid w:val="00534EFF"/>
    <w:rsid w:val="005354CA"/>
    <w:rsid w:val="0053565F"/>
    <w:rsid w:val="005356F8"/>
    <w:rsid w:val="00535A5B"/>
    <w:rsid w:val="00535DC4"/>
    <w:rsid w:val="00535EB3"/>
    <w:rsid w:val="00535F8C"/>
    <w:rsid w:val="0053631D"/>
    <w:rsid w:val="005368AF"/>
    <w:rsid w:val="005370AB"/>
    <w:rsid w:val="00537467"/>
    <w:rsid w:val="00537B92"/>
    <w:rsid w:val="005400A1"/>
    <w:rsid w:val="005402C1"/>
    <w:rsid w:val="005403D1"/>
    <w:rsid w:val="005406EA"/>
    <w:rsid w:val="00540735"/>
    <w:rsid w:val="00540F1C"/>
    <w:rsid w:val="00541CA1"/>
    <w:rsid w:val="005424BE"/>
    <w:rsid w:val="0054323A"/>
    <w:rsid w:val="00543510"/>
    <w:rsid w:val="00543858"/>
    <w:rsid w:val="00543F96"/>
    <w:rsid w:val="005444C2"/>
    <w:rsid w:val="00544BFD"/>
    <w:rsid w:val="00545ADD"/>
    <w:rsid w:val="005461D4"/>
    <w:rsid w:val="00546229"/>
    <w:rsid w:val="005465E2"/>
    <w:rsid w:val="00546A6E"/>
    <w:rsid w:val="00546CDA"/>
    <w:rsid w:val="00547674"/>
    <w:rsid w:val="00547675"/>
    <w:rsid w:val="00547809"/>
    <w:rsid w:val="005478F1"/>
    <w:rsid w:val="00547ABE"/>
    <w:rsid w:val="00547AD7"/>
    <w:rsid w:val="00547B33"/>
    <w:rsid w:val="005502A5"/>
    <w:rsid w:val="0055074E"/>
    <w:rsid w:val="00550919"/>
    <w:rsid w:val="00550A2A"/>
    <w:rsid w:val="00550AB8"/>
    <w:rsid w:val="00550C53"/>
    <w:rsid w:val="00550CFA"/>
    <w:rsid w:val="00550DDA"/>
    <w:rsid w:val="005515A3"/>
    <w:rsid w:val="00552056"/>
    <w:rsid w:val="0055210D"/>
    <w:rsid w:val="005522A8"/>
    <w:rsid w:val="005525CA"/>
    <w:rsid w:val="005525E7"/>
    <w:rsid w:val="00552BCA"/>
    <w:rsid w:val="00552D23"/>
    <w:rsid w:val="00552E9D"/>
    <w:rsid w:val="00552EA6"/>
    <w:rsid w:val="005532C1"/>
    <w:rsid w:val="00553629"/>
    <w:rsid w:val="00554802"/>
    <w:rsid w:val="0055493C"/>
    <w:rsid w:val="005555B4"/>
    <w:rsid w:val="0055589A"/>
    <w:rsid w:val="00555AB6"/>
    <w:rsid w:val="00555CB4"/>
    <w:rsid w:val="00555CE5"/>
    <w:rsid w:val="00556A4D"/>
    <w:rsid w:val="005574AD"/>
    <w:rsid w:val="005576CB"/>
    <w:rsid w:val="00557919"/>
    <w:rsid w:val="00557A84"/>
    <w:rsid w:val="00557D8D"/>
    <w:rsid w:val="0056024A"/>
    <w:rsid w:val="00560D7F"/>
    <w:rsid w:val="005618BC"/>
    <w:rsid w:val="0056191F"/>
    <w:rsid w:val="00561BD6"/>
    <w:rsid w:val="00561D42"/>
    <w:rsid w:val="005621EC"/>
    <w:rsid w:val="0056225C"/>
    <w:rsid w:val="00562EA5"/>
    <w:rsid w:val="005636CF"/>
    <w:rsid w:val="00563D05"/>
    <w:rsid w:val="00564338"/>
    <w:rsid w:val="0056468D"/>
    <w:rsid w:val="00564DED"/>
    <w:rsid w:val="00565866"/>
    <w:rsid w:val="00566168"/>
    <w:rsid w:val="00566227"/>
    <w:rsid w:val="0056693F"/>
    <w:rsid w:val="00566D0D"/>
    <w:rsid w:val="00567071"/>
    <w:rsid w:val="005672BD"/>
    <w:rsid w:val="005675A2"/>
    <w:rsid w:val="0056792A"/>
    <w:rsid w:val="0057065A"/>
    <w:rsid w:val="00570873"/>
    <w:rsid w:val="00570A1D"/>
    <w:rsid w:val="00570CBB"/>
    <w:rsid w:val="0057164A"/>
    <w:rsid w:val="00571955"/>
    <w:rsid w:val="00572055"/>
    <w:rsid w:val="005720BB"/>
    <w:rsid w:val="005724C6"/>
    <w:rsid w:val="00573141"/>
    <w:rsid w:val="00573216"/>
    <w:rsid w:val="0057396C"/>
    <w:rsid w:val="00573C95"/>
    <w:rsid w:val="0057469F"/>
    <w:rsid w:val="00574BA8"/>
    <w:rsid w:val="00575814"/>
    <w:rsid w:val="00575905"/>
    <w:rsid w:val="00575CB6"/>
    <w:rsid w:val="005762CD"/>
    <w:rsid w:val="00576343"/>
    <w:rsid w:val="0057656C"/>
    <w:rsid w:val="0057725E"/>
    <w:rsid w:val="005777BB"/>
    <w:rsid w:val="00577A6C"/>
    <w:rsid w:val="00577BC1"/>
    <w:rsid w:val="0058019D"/>
    <w:rsid w:val="0058026A"/>
    <w:rsid w:val="0058116A"/>
    <w:rsid w:val="005813EC"/>
    <w:rsid w:val="005818E0"/>
    <w:rsid w:val="00582054"/>
    <w:rsid w:val="0058214C"/>
    <w:rsid w:val="00582184"/>
    <w:rsid w:val="0058257F"/>
    <w:rsid w:val="00582D1D"/>
    <w:rsid w:val="00583652"/>
    <w:rsid w:val="005839C8"/>
    <w:rsid w:val="0058486B"/>
    <w:rsid w:val="00584D11"/>
    <w:rsid w:val="00584E29"/>
    <w:rsid w:val="00585253"/>
    <w:rsid w:val="005854A3"/>
    <w:rsid w:val="005858EA"/>
    <w:rsid w:val="00585937"/>
    <w:rsid w:val="00585E8D"/>
    <w:rsid w:val="005860B4"/>
    <w:rsid w:val="005862F3"/>
    <w:rsid w:val="00586434"/>
    <w:rsid w:val="005864AB"/>
    <w:rsid w:val="00586677"/>
    <w:rsid w:val="00586AB4"/>
    <w:rsid w:val="00586B3B"/>
    <w:rsid w:val="00586C58"/>
    <w:rsid w:val="0058744D"/>
    <w:rsid w:val="00587CF6"/>
    <w:rsid w:val="00587F3D"/>
    <w:rsid w:val="00587FD3"/>
    <w:rsid w:val="0059008C"/>
    <w:rsid w:val="005901BA"/>
    <w:rsid w:val="00590BD3"/>
    <w:rsid w:val="00590C13"/>
    <w:rsid w:val="00591115"/>
    <w:rsid w:val="00591737"/>
    <w:rsid w:val="00591BA0"/>
    <w:rsid w:val="00591E29"/>
    <w:rsid w:val="00591EEF"/>
    <w:rsid w:val="005920FC"/>
    <w:rsid w:val="0059256E"/>
    <w:rsid w:val="00592649"/>
    <w:rsid w:val="00592ED3"/>
    <w:rsid w:val="00593410"/>
    <w:rsid w:val="00593625"/>
    <w:rsid w:val="00594556"/>
    <w:rsid w:val="0059473E"/>
    <w:rsid w:val="00594D5B"/>
    <w:rsid w:val="0059542A"/>
    <w:rsid w:val="00595480"/>
    <w:rsid w:val="005954DC"/>
    <w:rsid w:val="00595F67"/>
    <w:rsid w:val="005963A5"/>
    <w:rsid w:val="005969D7"/>
    <w:rsid w:val="00596C16"/>
    <w:rsid w:val="00597350"/>
    <w:rsid w:val="0059759B"/>
    <w:rsid w:val="00597C75"/>
    <w:rsid w:val="00597D79"/>
    <w:rsid w:val="00597E38"/>
    <w:rsid w:val="00597E54"/>
    <w:rsid w:val="00597F05"/>
    <w:rsid w:val="005A0427"/>
    <w:rsid w:val="005A1107"/>
    <w:rsid w:val="005A1243"/>
    <w:rsid w:val="005A1AD3"/>
    <w:rsid w:val="005A1DA9"/>
    <w:rsid w:val="005A2598"/>
    <w:rsid w:val="005A2782"/>
    <w:rsid w:val="005A290D"/>
    <w:rsid w:val="005A2CD5"/>
    <w:rsid w:val="005A3ADD"/>
    <w:rsid w:val="005A3E90"/>
    <w:rsid w:val="005A45D3"/>
    <w:rsid w:val="005A4E47"/>
    <w:rsid w:val="005A4E4F"/>
    <w:rsid w:val="005A4E5E"/>
    <w:rsid w:val="005A4F56"/>
    <w:rsid w:val="005A503A"/>
    <w:rsid w:val="005A5159"/>
    <w:rsid w:val="005A5A60"/>
    <w:rsid w:val="005A5C1F"/>
    <w:rsid w:val="005A5F3B"/>
    <w:rsid w:val="005A5FBB"/>
    <w:rsid w:val="005A5FD8"/>
    <w:rsid w:val="005A6D82"/>
    <w:rsid w:val="005A7240"/>
    <w:rsid w:val="005A75D9"/>
    <w:rsid w:val="005A7A22"/>
    <w:rsid w:val="005A7D3C"/>
    <w:rsid w:val="005B02D2"/>
    <w:rsid w:val="005B07BC"/>
    <w:rsid w:val="005B15D1"/>
    <w:rsid w:val="005B187F"/>
    <w:rsid w:val="005B1B49"/>
    <w:rsid w:val="005B1FF8"/>
    <w:rsid w:val="005B20A6"/>
    <w:rsid w:val="005B20B7"/>
    <w:rsid w:val="005B2346"/>
    <w:rsid w:val="005B26E1"/>
    <w:rsid w:val="005B398F"/>
    <w:rsid w:val="005B5119"/>
    <w:rsid w:val="005B51A1"/>
    <w:rsid w:val="005B5421"/>
    <w:rsid w:val="005B5AE1"/>
    <w:rsid w:val="005B5AFA"/>
    <w:rsid w:val="005B5BB9"/>
    <w:rsid w:val="005B60F1"/>
    <w:rsid w:val="005B6575"/>
    <w:rsid w:val="005B692F"/>
    <w:rsid w:val="005B6975"/>
    <w:rsid w:val="005B6A37"/>
    <w:rsid w:val="005C02B2"/>
    <w:rsid w:val="005C03C8"/>
    <w:rsid w:val="005C09E7"/>
    <w:rsid w:val="005C0D6A"/>
    <w:rsid w:val="005C1024"/>
    <w:rsid w:val="005C13FF"/>
    <w:rsid w:val="005C1C22"/>
    <w:rsid w:val="005C299E"/>
    <w:rsid w:val="005C29B7"/>
    <w:rsid w:val="005C2A87"/>
    <w:rsid w:val="005C2AB4"/>
    <w:rsid w:val="005C2E43"/>
    <w:rsid w:val="005C320D"/>
    <w:rsid w:val="005C357E"/>
    <w:rsid w:val="005C366A"/>
    <w:rsid w:val="005C3870"/>
    <w:rsid w:val="005C42B4"/>
    <w:rsid w:val="005C43CB"/>
    <w:rsid w:val="005C44AB"/>
    <w:rsid w:val="005C4B48"/>
    <w:rsid w:val="005C504B"/>
    <w:rsid w:val="005C57CB"/>
    <w:rsid w:val="005C5EC5"/>
    <w:rsid w:val="005C60E9"/>
    <w:rsid w:val="005C60F5"/>
    <w:rsid w:val="005C6208"/>
    <w:rsid w:val="005C797D"/>
    <w:rsid w:val="005C7E59"/>
    <w:rsid w:val="005C7FC9"/>
    <w:rsid w:val="005D0DD7"/>
    <w:rsid w:val="005D100C"/>
    <w:rsid w:val="005D1326"/>
    <w:rsid w:val="005D18FE"/>
    <w:rsid w:val="005D1EDC"/>
    <w:rsid w:val="005D24CB"/>
    <w:rsid w:val="005D2769"/>
    <w:rsid w:val="005D31C8"/>
    <w:rsid w:val="005D33F4"/>
    <w:rsid w:val="005D3501"/>
    <w:rsid w:val="005D3A12"/>
    <w:rsid w:val="005D41E2"/>
    <w:rsid w:val="005D4902"/>
    <w:rsid w:val="005D4BF5"/>
    <w:rsid w:val="005D50BF"/>
    <w:rsid w:val="005D5483"/>
    <w:rsid w:val="005D5999"/>
    <w:rsid w:val="005D5BE6"/>
    <w:rsid w:val="005D6061"/>
    <w:rsid w:val="005D64C8"/>
    <w:rsid w:val="005D691E"/>
    <w:rsid w:val="005D6D73"/>
    <w:rsid w:val="005D6F43"/>
    <w:rsid w:val="005D71B9"/>
    <w:rsid w:val="005D73DD"/>
    <w:rsid w:val="005E03CA"/>
    <w:rsid w:val="005E0D67"/>
    <w:rsid w:val="005E0EB6"/>
    <w:rsid w:val="005E115B"/>
    <w:rsid w:val="005E1EAF"/>
    <w:rsid w:val="005E20B0"/>
    <w:rsid w:val="005E35BD"/>
    <w:rsid w:val="005E3D4B"/>
    <w:rsid w:val="005E3EBB"/>
    <w:rsid w:val="005E3FD7"/>
    <w:rsid w:val="005E4743"/>
    <w:rsid w:val="005E476A"/>
    <w:rsid w:val="005E49E6"/>
    <w:rsid w:val="005E4A3D"/>
    <w:rsid w:val="005E4D32"/>
    <w:rsid w:val="005E5184"/>
    <w:rsid w:val="005E53CF"/>
    <w:rsid w:val="005E576A"/>
    <w:rsid w:val="005E58C1"/>
    <w:rsid w:val="005E58CE"/>
    <w:rsid w:val="005E665D"/>
    <w:rsid w:val="005E66FF"/>
    <w:rsid w:val="005E6FE5"/>
    <w:rsid w:val="005E7D4C"/>
    <w:rsid w:val="005E7EBF"/>
    <w:rsid w:val="005F013A"/>
    <w:rsid w:val="005F01DB"/>
    <w:rsid w:val="005F0639"/>
    <w:rsid w:val="005F0FF0"/>
    <w:rsid w:val="005F11BC"/>
    <w:rsid w:val="005F18D6"/>
    <w:rsid w:val="005F1A2E"/>
    <w:rsid w:val="005F1E95"/>
    <w:rsid w:val="005F1FCE"/>
    <w:rsid w:val="005F24FB"/>
    <w:rsid w:val="005F2720"/>
    <w:rsid w:val="005F2B38"/>
    <w:rsid w:val="005F2EDB"/>
    <w:rsid w:val="005F38A1"/>
    <w:rsid w:val="005F3F5D"/>
    <w:rsid w:val="005F473E"/>
    <w:rsid w:val="005F4881"/>
    <w:rsid w:val="005F4EBC"/>
    <w:rsid w:val="005F526B"/>
    <w:rsid w:val="005F5300"/>
    <w:rsid w:val="005F5BA7"/>
    <w:rsid w:val="005F5CB2"/>
    <w:rsid w:val="005F61BD"/>
    <w:rsid w:val="005F61BE"/>
    <w:rsid w:val="005F6606"/>
    <w:rsid w:val="005F6DA9"/>
    <w:rsid w:val="005F6F79"/>
    <w:rsid w:val="005F7339"/>
    <w:rsid w:val="005F734A"/>
    <w:rsid w:val="005F792C"/>
    <w:rsid w:val="006000D5"/>
    <w:rsid w:val="006003AD"/>
    <w:rsid w:val="00600964"/>
    <w:rsid w:val="00601466"/>
    <w:rsid w:val="00601BCA"/>
    <w:rsid w:val="00601CF8"/>
    <w:rsid w:val="00602FA6"/>
    <w:rsid w:val="0060316A"/>
    <w:rsid w:val="0060374F"/>
    <w:rsid w:val="006038E0"/>
    <w:rsid w:val="00604B4F"/>
    <w:rsid w:val="00604D4A"/>
    <w:rsid w:val="006055CB"/>
    <w:rsid w:val="006059A4"/>
    <w:rsid w:val="00605A54"/>
    <w:rsid w:val="00605A93"/>
    <w:rsid w:val="00605DC5"/>
    <w:rsid w:val="00606322"/>
    <w:rsid w:val="0060676F"/>
    <w:rsid w:val="00606842"/>
    <w:rsid w:val="00606C71"/>
    <w:rsid w:val="00606C91"/>
    <w:rsid w:val="0060754A"/>
    <w:rsid w:val="00607BFA"/>
    <w:rsid w:val="006100BC"/>
    <w:rsid w:val="006101B7"/>
    <w:rsid w:val="006105EE"/>
    <w:rsid w:val="0061103E"/>
    <w:rsid w:val="0061134C"/>
    <w:rsid w:val="00611B09"/>
    <w:rsid w:val="006126EB"/>
    <w:rsid w:val="00612F5F"/>
    <w:rsid w:val="0061300A"/>
    <w:rsid w:val="0061303B"/>
    <w:rsid w:val="006133DF"/>
    <w:rsid w:val="00613407"/>
    <w:rsid w:val="00613705"/>
    <w:rsid w:val="006137E6"/>
    <w:rsid w:val="00613BAD"/>
    <w:rsid w:val="0061456F"/>
    <w:rsid w:val="00615973"/>
    <w:rsid w:val="00616048"/>
    <w:rsid w:val="0061649A"/>
    <w:rsid w:val="006165CF"/>
    <w:rsid w:val="006166C1"/>
    <w:rsid w:val="006172E3"/>
    <w:rsid w:val="00617ABB"/>
    <w:rsid w:val="00617B9A"/>
    <w:rsid w:val="00617C17"/>
    <w:rsid w:val="006203F8"/>
    <w:rsid w:val="006204FB"/>
    <w:rsid w:val="00620CF2"/>
    <w:rsid w:val="00620D1E"/>
    <w:rsid w:val="00620E6B"/>
    <w:rsid w:val="00620F6D"/>
    <w:rsid w:val="00620F8F"/>
    <w:rsid w:val="0062160D"/>
    <w:rsid w:val="00621A3E"/>
    <w:rsid w:val="00622102"/>
    <w:rsid w:val="006225E3"/>
    <w:rsid w:val="0062263C"/>
    <w:rsid w:val="00622BB6"/>
    <w:rsid w:val="0062314B"/>
    <w:rsid w:val="0062395E"/>
    <w:rsid w:val="00623FC5"/>
    <w:rsid w:val="0062423D"/>
    <w:rsid w:val="006244EA"/>
    <w:rsid w:val="00624BBA"/>
    <w:rsid w:val="00624D4F"/>
    <w:rsid w:val="00624DBE"/>
    <w:rsid w:val="00625219"/>
    <w:rsid w:val="0062566D"/>
    <w:rsid w:val="00626030"/>
    <w:rsid w:val="006263C1"/>
    <w:rsid w:val="0062682B"/>
    <w:rsid w:val="00627B9C"/>
    <w:rsid w:val="00630080"/>
    <w:rsid w:val="00630654"/>
    <w:rsid w:val="00630D40"/>
    <w:rsid w:val="00630D87"/>
    <w:rsid w:val="00630DD2"/>
    <w:rsid w:val="00630F78"/>
    <w:rsid w:val="0063150B"/>
    <w:rsid w:val="006315AF"/>
    <w:rsid w:val="006317AD"/>
    <w:rsid w:val="006317CE"/>
    <w:rsid w:val="00631D7D"/>
    <w:rsid w:val="00631E0C"/>
    <w:rsid w:val="00631E15"/>
    <w:rsid w:val="00632BCD"/>
    <w:rsid w:val="00633767"/>
    <w:rsid w:val="00633D93"/>
    <w:rsid w:val="0063406F"/>
    <w:rsid w:val="00634146"/>
    <w:rsid w:val="006345FC"/>
    <w:rsid w:val="0063522F"/>
    <w:rsid w:val="00635468"/>
    <w:rsid w:val="00635869"/>
    <w:rsid w:val="00635882"/>
    <w:rsid w:val="0063619C"/>
    <w:rsid w:val="00636331"/>
    <w:rsid w:val="00636BA3"/>
    <w:rsid w:val="00637218"/>
    <w:rsid w:val="0063734C"/>
    <w:rsid w:val="00637819"/>
    <w:rsid w:val="00637AB1"/>
    <w:rsid w:val="0064095D"/>
    <w:rsid w:val="00640AE8"/>
    <w:rsid w:val="00640F66"/>
    <w:rsid w:val="00641062"/>
    <w:rsid w:val="006410DA"/>
    <w:rsid w:val="006416B0"/>
    <w:rsid w:val="006416B9"/>
    <w:rsid w:val="00641996"/>
    <w:rsid w:val="00641CB3"/>
    <w:rsid w:val="00642098"/>
    <w:rsid w:val="006420D6"/>
    <w:rsid w:val="006420FA"/>
    <w:rsid w:val="006423A9"/>
    <w:rsid w:val="00642BEA"/>
    <w:rsid w:val="00642DD4"/>
    <w:rsid w:val="00642F4D"/>
    <w:rsid w:val="0064307A"/>
    <w:rsid w:val="006439A5"/>
    <w:rsid w:val="00643A92"/>
    <w:rsid w:val="00643B23"/>
    <w:rsid w:val="00643CD5"/>
    <w:rsid w:val="00643EEC"/>
    <w:rsid w:val="00644A38"/>
    <w:rsid w:val="00645261"/>
    <w:rsid w:val="006463CD"/>
    <w:rsid w:val="00646B8F"/>
    <w:rsid w:val="00647020"/>
    <w:rsid w:val="00647D50"/>
    <w:rsid w:val="00650310"/>
    <w:rsid w:val="00650511"/>
    <w:rsid w:val="00650963"/>
    <w:rsid w:val="006509E4"/>
    <w:rsid w:val="00650B5B"/>
    <w:rsid w:val="006511CD"/>
    <w:rsid w:val="00651639"/>
    <w:rsid w:val="0065164A"/>
    <w:rsid w:val="006517AC"/>
    <w:rsid w:val="00651960"/>
    <w:rsid w:val="00651987"/>
    <w:rsid w:val="00651C00"/>
    <w:rsid w:val="00651C8B"/>
    <w:rsid w:val="00651CB1"/>
    <w:rsid w:val="00651DC0"/>
    <w:rsid w:val="00651E76"/>
    <w:rsid w:val="006524A7"/>
    <w:rsid w:val="006530FF"/>
    <w:rsid w:val="006535B0"/>
    <w:rsid w:val="00653A0B"/>
    <w:rsid w:val="00653B80"/>
    <w:rsid w:val="00654268"/>
    <w:rsid w:val="00654B72"/>
    <w:rsid w:val="00654D8D"/>
    <w:rsid w:val="00654E5C"/>
    <w:rsid w:val="00654F7C"/>
    <w:rsid w:val="00655157"/>
    <w:rsid w:val="00655A78"/>
    <w:rsid w:val="00655B6D"/>
    <w:rsid w:val="00656122"/>
    <w:rsid w:val="00656AD2"/>
    <w:rsid w:val="00656C8D"/>
    <w:rsid w:val="00657414"/>
    <w:rsid w:val="0065754E"/>
    <w:rsid w:val="006600D6"/>
    <w:rsid w:val="00661342"/>
    <w:rsid w:val="00661998"/>
    <w:rsid w:val="00661CF8"/>
    <w:rsid w:val="00662009"/>
    <w:rsid w:val="0066240E"/>
    <w:rsid w:val="00662AFF"/>
    <w:rsid w:val="00662E4E"/>
    <w:rsid w:val="00662FC7"/>
    <w:rsid w:val="0066320E"/>
    <w:rsid w:val="00663BA8"/>
    <w:rsid w:val="0066405E"/>
    <w:rsid w:val="00664076"/>
    <w:rsid w:val="006640B8"/>
    <w:rsid w:val="00664C95"/>
    <w:rsid w:val="00664CFB"/>
    <w:rsid w:val="00664E7C"/>
    <w:rsid w:val="00665270"/>
    <w:rsid w:val="00665AF6"/>
    <w:rsid w:val="00665C24"/>
    <w:rsid w:val="00665D8A"/>
    <w:rsid w:val="006667D6"/>
    <w:rsid w:val="00666D63"/>
    <w:rsid w:val="00666ED3"/>
    <w:rsid w:val="0066797B"/>
    <w:rsid w:val="006679C3"/>
    <w:rsid w:val="0067032D"/>
    <w:rsid w:val="0067089F"/>
    <w:rsid w:val="00670A3E"/>
    <w:rsid w:val="006710D4"/>
    <w:rsid w:val="0067132A"/>
    <w:rsid w:val="00671473"/>
    <w:rsid w:val="00671518"/>
    <w:rsid w:val="00671522"/>
    <w:rsid w:val="00671806"/>
    <w:rsid w:val="00672020"/>
    <w:rsid w:val="006721A7"/>
    <w:rsid w:val="0067227C"/>
    <w:rsid w:val="00672638"/>
    <w:rsid w:val="00672ABD"/>
    <w:rsid w:val="00673128"/>
    <w:rsid w:val="006735A0"/>
    <w:rsid w:val="00673BDA"/>
    <w:rsid w:val="0067409C"/>
    <w:rsid w:val="00674A84"/>
    <w:rsid w:val="00674D54"/>
    <w:rsid w:val="00675F2B"/>
    <w:rsid w:val="006761BE"/>
    <w:rsid w:val="006766CB"/>
    <w:rsid w:val="006768F9"/>
    <w:rsid w:val="00676D85"/>
    <w:rsid w:val="006771E3"/>
    <w:rsid w:val="006779E9"/>
    <w:rsid w:val="00677D15"/>
    <w:rsid w:val="006800B2"/>
    <w:rsid w:val="0068015B"/>
    <w:rsid w:val="006803BF"/>
    <w:rsid w:val="0068059E"/>
    <w:rsid w:val="00680D2F"/>
    <w:rsid w:val="0068106B"/>
    <w:rsid w:val="00681262"/>
    <w:rsid w:val="00681AAB"/>
    <w:rsid w:val="00682342"/>
    <w:rsid w:val="00682D18"/>
    <w:rsid w:val="00682E02"/>
    <w:rsid w:val="006831C7"/>
    <w:rsid w:val="006831E3"/>
    <w:rsid w:val="00683482"/>
    <w:rsid w:val="006838D9"/>
    <w:rsid w:val="006839B4"/>
    <w:rsid w:val="00683CD6"/>
    <w:rsid w:val="00683F0B"/>
    <w:rsid w:val="00684174"/>
    <w:rsid w:val="00684248"/>
    <w:rsid w:val="00684356"/>
    <w:rsid w:val="0068454D"/>
    <w:rsid w:val="00684F92"/>
    <w:rsid w:val="006854B7"/>
    <w:rsid w:val="00685511"/>
    <w:rsid w:val="00685573"/>
    <w:rsid w:val="006857CA"/>
    <w:rsid w:val="0068582A"/>
    <w:rsid w:val="00685D13"/>
    <w:rsid w:val="00685DDE"/>
    <w:rsid w:val="006860E1"/>
    <w:rsid w:val="006868B0"/>
    <w:rsid w:val="00686A63"/>
    <w:rsid w:val="00686D18"/>
    <w:rsid w:val="00687320"/>
    <w:rsid w:val="00687373"/>
    <w:rsid w:val="0068750B"/>
    <w:rsid w:val="00687548"/>
    <w:rsid w:val="0068759F"/>
    <w:rsid w:val="00687873"/>
    <w:rsid w:val="00687BAD"/>
    <w:rsid w:val="006901D5"/>
    <w:rsid w:val="006906BC"/>
    <w:rsid w:val="00692D1A"/>
    <w:rsid w:val="00692D49"/>
    <w:rsid w:val="006936D2"/>
    <w:rsid w:val="006937C0"/>
    <w:rsid w:val="00693863"/>
    <w:rsid w:val="0069466E"/>
    <w:rsid w:val="006947EA"/>
    <w:rsid w:val="00694BE2"/>
    <w:rsid w:val="00694D4E"/>
    <w:rsid w:val="00694F32"/>
    <w:rsid w:val="00695515"/>
    <w:rsid w:val="00695559"/>
    <w:rsid w:val="00696205"/>
    <w:rsid w:val="006963DE"/>
    <w:rsid w:val="00697121"/>
    <w:rsid w:val="006974F1"/>
    <w:rsid w:val="00697899"/>
    <w:rsid w:val="006979C6"/>
    <w:rsid w:val="00697D36"/>
    <w:rsid w:val="006A03A4"/>
    <w:rsid w:val="006A0811"/>
    <w:rsid w:val="006A0AB8"/>
    <w:rsid w:val="006A0B8A"/>
    <w:rsid w:val="006A126C"/>
    <w:rsid w:val="006A16DA"/>
    <w:rsid w:val="006A1894"/>
    <w:rsid w:val="006A2069"/>
    <w:rsid w:val="006A210B"/>
    <w:rsid w:val="006A2443"/>
    <w:rsid w:val="006A2510"/>
    <w:rsid w:val="006A30D8"/>
    <w:rsid w:val="006A3C48"/>
    <w:rsid w:val="006A3E1F"/>
    <w:rsid w:val="006A443E"/>
    <w:rsid w:val="006A53C5"/>
    <w:rsid w:val="006A54C2"/>
    <w:rsid w:val="006A576A"/>
    <w:rsid w:val="006A5782"/>
    <w:rsid w:val="006A582D"/>
    <w:rsid w:val="006A588A"/>
    <w:rsid w:val="006A5BFE"/>
    <w:rsid w:val="006A5C8D"/>
    <w:rsid w:val="006A610B"/>
    <w:rsid w:val="006A64A9"/>
    <w:rsid w:val="006A64B2"/>
    <w:rsid w:val="006A6633"/>
    <w:rsid w:val="006A66C7"/>
    <w:rsid w:val="006A6790"/>
    <w:rsid w:val="006A67FB"/>
    <w:rsid w:val="006A778D"/>
    <w:rsid w:val="006A7818"/>
    <w:rsid w:val="006A7FAD"/>
    <w:rsid w:val="006B02E5"/>
    <w:rsid w:val="006B0313"/>
    <w:rsid w:val="006B0359"/>
    <w:rsid w:val="006B10F7"/>
    <w:rsid w:val="006B126E"/>
    <w:rsid w:val="006B150D"/>
    <w:rsid w:val="006B247A"/>
    <w:rsid w:val="006B2FEC"/>
    <w:rsid w:val="006B35BD"/>
    <w:rsid w:val="006B3722"/>
    <w:rsid w:val="006B3835"/>
    <w:rsid w:val="006B3D04"/>
    <w:rsid w:val="006B3FE8"/>
    <w:rsid w:val="006B41AB"/>
    <w:rsid w:val="006B45B5"/>
    <w:rsid w:val="006B50DB"/>
    <w:rsid w:val="006B51B2"/>
    <w:rsid w:val="006B5225"/>
    <w:rsid w:val="006B54ED"/>
    <w:rsid w:val="006B58E0"/>
    <w:rsid w:val="006B58F6"/>
    <w:rsid w:val="006B598D"/>
    <w:rsid w:val="006B5B2F"/>
    <w:rsid w:val="006B5D5F"/>
    <w:rsid w:val="006B5F34"/>
    <w:rsid w:val="006B6031"/>
    <w:rsid w:val="006B663D"/>
    <w:rsid w:val="006B6951"/>
    <w:rsid w:val="006B746B"/>
    <w:rsid w:val="006C0010"/>
    <w:rsid w:val="006C03B6"/>
    <w:rsid w:val="006C0527"/>
    <w:rsid w:val="006C0925"/>
    <w:rsid w:val="006C0C2F"/>
    <w:rsid w:val="006C0DFA"/>
    <w:rsid w:val="006C11E2"/>
    <w:rsid w:val="006C2482"/>
    <w:rsid w:val="006C25F5"/>
    <w:rsid w:val="006C2906"/>
    <w:rsid w:val="006C2CAF"/>
    <w:rsid w:val="006C305B"/>
    <w:rsid w:val="006C3133"/>
    <w:rsid w:val="006C337D"/>
    <w:rsid w:val="006C3904"/>
    <w:rsid w:val="006C4671"/>
    <w:rsid w:val="006C5049"/>
    <w:rsid w:val="006C5619"/>
    <w:rsid w:val="006C57A7"/>
    <w:rsid w:val="006C61DE"/>
    <w:rsid w:val="006C6225"/>
    <w:rsid w:val="006C6843"/>
    <w:rsid w:val="006C6CAF"/>
    <w:rsid w:val="006C6D64"/>
    <w:rsid w:val="006C70FA"/>
    <w:rsid w:val="006C7649"/>
    <w:rsid w:val="006C7A74"/>
    <w:rsid w:val="006D0423"/>
    <w:rsid w:val="006D05DB"/>
    <w:rsid w:val="006D0D4B"/>
    <w:rsid w:val="006D0E9D"/>
    <w:rsid w:val="006D1630"/>
    <w:rsid w:val="006D1C13"/>
    <w:rsid w:val="006D1D21"/>
    <w:rsid w:val="006D209F"/>
    <w:rsid w:val="006D2204"/>
    <w:rsid w:val="006D2208"/>
    <w:rsid w:val="006D2363"/>
    <w:rsid w:val="006D3382"/>
    <w:rsid w:val="006D3B40"/>
    <w:rsid w:val="006D3CF1"/>
    <w:rsid w:val="006D45E9"/>
    <w:rsid w:val="006D468C"/>
    <w:rsid w:val="006D4AE7"/>
    <w:rsid w:val="006D4B7D"/>
    <w:rsid w:val="006D5073"/>
    <w:rsid w:val="006D5A76"/>
    <w:rsid w:val="006D5E6F"/>
    <w:rsid w:val="006D6245"/>
    <w:rsid w:val="006D6F4D"/>
    <w:rsid w:val="006D702A"/>
    <w:rsid w:val="006D740A"/>
    <w:rsid w:val="006D7734"/>
    <w:rsid w:val="006D7C30"/>
    <w:rsid w:val="006D7D8D"/>
    <w:rsid w:val="006D7F04"/>
    <w:rsid w:val="006E02AF"/>
    <w:rsid w:val="006E1603"/>
    <w:rsid w:val="006E19F5"/>
    <w:rsid w:val="006E2830"/>
    <w:rsid w:val="006E2AC8"/>
    <w:rsid w:val="006E30B4"/>
    <w:rsid w:val="006E387D"/>
    <w:rsid w:val="006E38B0"/>
    <w:rsid w:val="006E3D32"/>
    <w:rsid w:val="006E47D9"/>
    <w:rsid w:val="006E47DE"/>
    <w:rsid w:val="006E4CE0"/>
    <w:rsid w:val="006E4FA5"/>
    <w:rsid w:val="006E5559"/>
    <w:rsid w:val="006E5A28"/>
    <w:rsid w:val="006E5AF5"/>
    <w:rsid w:val="006E5F32"/>
    <w:rsid w:val="006E64D3"/>
    <w:rsid w:val="006E65DF"/>
    <w:rsid w:val="006E728C"/>
    <w:rsid w:val="006E731C"/>
    <w:rsid w:val="006E7896"/>
    <w:rsid w:val="006E7D5E"/>
    <w:rsid w:val="006F0256"/>
    <w:rsid w:val="006F02E1"/>
    <w:rsid w:val="006F03D7"/>
    <w:rsid w:val="006F03E3"/>
    <w:rsid w:val="006F0770"/>
    <w:rsid w:val="006F0FAC"/>
    <w:rsid w:val="006F1C6A"/>
    <w:rsid w:val="006F2060"/>
    <w:rsid w:val="006F275D"/>
    <w:rsid w:val="006F2B37"/>
    <w:rsid w:val="006F2C05"/>
    <w:rsid w:val="006F323A"/>
    <w:rsid w:val="006F355A"/>
    <w:rsid w:val="006F3D36"/>
    <w:rsid w:val="006F4345"/>
    <w:rsid w:val="006F4561"/>
    <w:rsid w:val="006F4761"/>
    <w:rsid w:val="006F4D2A"/>
    <w:rsid w:val="006F51FC"/>
    <w:rsid w:val="006F5758"/>
    <w:rsid w:val="006F58B3"/>
    <w:rsid w:val="006F5935"/>
    <w:rsid w:val="006F5AF1"/>
    <w:rsid w:val="006F5DB9"/>
    <w:rsid w:val="006F5DD7"/>
    <w:rsid w:val="006F6053"/>
    <w:rsid w:val="006F606A"/>
    <w:rsid w:val="006F6085"/>
    <w:rsid w:val="006F61EC"/>
    <w:rsid w:val="006F63BB"/>
    <w:rsid w:val="006F63F4"/>
    <w:rsid w:val="006F6555"/>
    <w:rsid w:val="006F6698"/>
    <w:rsid w:val="006F7407"/>
    <w:rsid w:val="006F76E9"/>
    <w:rsid w:val="006F7933"/>
    <w:rsid w:val="007006B9"/>
    <w:rsid w:val="00700814"/>
    <w:rsid w:val="007015CB"/>
    <w:rsid w:val="00701DB0"/>
    <w:rsid w:val="007030B0"/>
    <w:rsid w:val="00703156"/>
    <w:rsid w:val="00703159"/>
    <w:rsid w:val="007036D5"/>
    <w:rsid w:val="00703CD9"/>
    <w:rsid w:val="00704173"/>
    <w:rsid w:val="0070469D"/>
    <w:rsid w:val="00704B62"/>
    <w:rsid w:val="00704C71"/>
    <w:rsid w:val="0070548D"/>
    <w:rsid w:val="00705E7D"/>
    <w:rsid w:val="00706414"/>
    <w:rsid w:val="00706481"/>
    <w:rsid w:val="007067C4"/>
    <w:rsid w:val="0070739D"/>
    <w:rsid w:val="00710022"/>
    <w:rsid w:val="00710BD5"/>
    <w:rsid w:val="00711612"/>
    <w:rsid w:val="007116E6"/>
    <w:rsid w:val="007119D4"/>
    <w:rsid w:val="00711A04"/>
    <w:rsid w:val="00711F49"/>
    <w:rsid w:val="0071235A"/>
    <w:rsid w:val="007125A9"/>
    <w:rsid w:val="00712ACD"/>
    <w:rsid w:val="00713086"/>
    <w:rsid w:val="0071339A"/>
    <w:rsid w:val="0071354E"/>
    <w:rsid w:val="00713770"/>
    <w:rsid w:val="00713F58"/>
    <w:rsid w:val="00714627"/>
    <w:rsid w:val="00714C64"/>
    <w:rsid w:val="007151BA"/>
    <w:rsid w:val="0071532F"/>
    <w:rsid w:val="007153F0"/>
    <w:rsid w:val="007155E7"/>
    <w:rsid w:val="00715999"/>
    <w:rsid w:val="00715A2B"/>
    <w:rsid w:val="00715D85"/>
    <w:rsid w:val="00715EDA"/>
    <w:rsid w:val="00716053"/>
    <w:rsid w:val="007169AF"/>
    <w:rsid w:val="00717124"/>
    <w:rsid w:val="007173D0"/>
    <w:rsid w:val="007176C7"/>
    <w:rsid w:val="00720262"/>
    <w:rsid w:val="007208D2"/>
    <w:rsid w:val="00720CE8"/>
    <w:rsid w:val="00720FBB"/>
    <w:rsid w:val="00721199"/>
    <w:rsid w:val="00721396"/>
    <w:rsid w:val="007218E5"/>
    <w:rsid w:val="00721BC0"/>
    <w:rsid w:val="00722361"/>
    <w:rsid w:val="0072277E"/>
    <w:rsid w:val="00722826"/>
    <w:rsid w:val="0072292B"/>
    <w:rsid w:val="00722ED7"/>
    <w:rsid w:val="00723011"/>
    <w:rsid w:val="00723577"/>
    <w:rsid w:val="00723BFC"/>
    <w:rsid w:val="0072424A"/>
    <w:rsid w:val="0072486A"/>
    <w:rsid w:val="007248C9"/>
    <w:rsid w:val="00724CFC"/>
    <w:rsid w:val="007256A3"/>
    <w:rsid w:val="007261E6"/>
    <w:rsid w:val="00726B95"/>
    <w:rsid w:val="00726FCA"/>
    <w:rsid w:val="007279CE"/>
    <w:rsid w:val="00727A3C"/>
    <w:rsid w:val="00730076"/>
    <w:rsid w:val="00730130"/>
    <w:rsid w:val="00730C72"/>
    <w:rsid w:val="007312FE"/>
    <w:rsid w:val="0073197E"/>
    <w:rsid w:val="00731A7A"/>
    <w:rsid w:val="00731F3C"/>
    <w:rsid w:val="00731FFE"/>
    <w:rsid w:val="00732328"/>
    <w:rsid w:val="00732498"/>
    <w:rsid w:val="007327D0"/>
    <w:rsid w:val="0073295E"/>
    <w:rsid w:val="00732A9C"/>
    <w:rsid w:val="00732B02"/>
    <w:rsid w:val="0073328F"/>
    <w:rsid w:val="007333CD"/>
    <w:rsid w:val="007339DF"/>
    <w:rsid w:val="00733AD0"/>
    <w:rsid w:val="00734C96"/>
    <w:rsid w:val="00734E3D"/>
    <w:rsid w:val="007351EF"/>
    <w:rsid w:val="007351F6"/>
    <w:rsid w:val="00735990"/>
    <w:rsid w:val="00735BB2"/>
    <w:rsid w:val="00735F00"/>
    <w:rsid w:val="007360E6"/>
    <w:rsid w:val="00736574"/>
    <w:rsid w:val="00736774"/>
    <w:rsid w:val="007370F4"/>
    <w:rsid w:val="00737221"/>
    <w:rsid w:val="00737869"/>
    <w:rsid w:val="00737A22"/>
    <w:rsid w:val="00737CBB"/>
    <w:rsid w:val="007405F8"/>
    <w:rsid w:val="00740F49"/>
    <w:rsid w:val="007419CB"/>
    <w:rsid w:val="007419D0"/>
    <w:rsid w:val="00741F12"/>
    <w:rsid w:val="00741F2E"/>
    <w:rsid w:val="007420D1"/>
    <w:rsid w:val="0074285A"/>
    <w:rsid w:val="0074306E"/>
    <w:rsid w:val="00743D59"/>
    <w:rsid w:val="007446DB"/>
    <w:rsid w:val="007447E4"/>
    <w:rsid w:val="00744875"/>
    <w:rsid w:val="00744AF8"/>
    <w:rsid w:val="00745A98"/>
    <w:rsid w:val="0074614E"/>
    <w:rsid w:val="00746788"/>
    <w:rsid w:val="00746941"/>
    <w:rsid w:val="007469E5"/>
    <w:rsid w:val="00746D14"/>
    <w:rsid w:val="00746D90"/>
    <w:rsid w:val="007470A7"/>
    <w:rsid w:val="007470AA"/>
    <w:rsid w:val="0074733F"/>
    <w:rsid w:val="00747DD8"/>
    <w:rsid w:val="007502A9"/>
    <w:rsid w:val="00750CCF"/>
    <w:rsid w:val="00750F7F"/>
    <w:rsid w:val="00751401"/>
    <w:rsid w:val="007514C9"/>
    <w:rsid w:val="00751A31"/>
    <w:rsid w:val="00751A77"/>
    <w:rsid w:val="00751C47"/>
    <w:rsid w:val="00752360"/>
    <w:rsid w:val="007526CC"/>
    <w:rsid w:val="00752933"/>
    <w:rsid w:val="00753327"/>
    <w:rsid w:val="0075376B"/>
    <w:rsid w:val="007539C4"/>
    <w:rsid w:val="00753D97"/>
    <w:rsid w:val="007543EE"/>
    <w:rsid w:val="007545DC"/>
    <w:rsid w:val="0075485A"/>
    <w:rsid w:val="00755420"/>
    <w:rsid w:val="0075553B"/>
    <w:rsid w:val="007569C9"/>
    <w:rsid w:val="007576EF"/>
    <w:rsid w:val="00757B38"/>
    <w:rsid w:val="00757F9D"/>
    <w:rsid w:val="0076010D"/>
    <w:rsid w:val="007603E7"/>
    <w:rsid w:val="00760DB4"/>
    <w:rsid w:val="00760EE4"/>
    <w:rsid w:val="007610C6"/>
    <w:rsid w:val="00761315"/>
    <w:rsid w:val="0076153F"/>
    <w:rsid w:val="00761BF6"/>
    <w:rsid w:val="00761CC8"/>
    <w:rsid w:val="00761CF4"/>
    <w:rsid w:val="00761FA2"/>
    <w:rsid w:val="007628B7"/>
    <w:rsid w:val="00762A4C"/>
    <w:rsid w:val="00762FB7"/>
    <w:rsid w:val="0076305D"/>
    <w:rsid w:val="00763439"/>
    <w:rsid w:val="0076371B"/>
    <w:rsid w:val="00763A3F"/>
    <w:rsid w:val="00763A80"/>
    <w:rsid w:val="007642F2"/>
    <w:rsid w:val="00765565"/>
    <w:rsid w:val="007658BB"/>
    <w:rsid w:val="00765A1B"/>
    <w:rsid w:val="00765EDD"/>
    <w:rsid w:val="00766053"/>
    <w:rsid w:val="0076637C"/>
    <w:rsid w:val="0076639E"/>
    <w:rsid w:val="0076691F"/>
    <w:rsid w:val="00766ACC"/>
    <w:rsid w:val="00767286"/>
    <w:rsid w:val="00767796"/>
    <w:rsid w:val="007705B3"/>
    <w:rsid w:val="007708AC"/>
    <w:rsid w:val="00771475"/>
    <w:rsid w:val="007714BA"/>
    <w:rsid w:val="00771BAB"/>
    <w:rsid w:val="00772219"/>
    <w:rsid w:val="00772283"/>
    <w:rsid w:val="0077294A"/>
    <w:rsid w:val="00773632"/>
    <w:rsid w:val="00773699"/>
    <w:rsid w:val="00773B9A"/>
    <w:rsid w:val="00773C9D"/>
    <w:rsid w:val="0077419B"/>
    <w:rsid w:val="007742A7"/>
    <w:rsid w:val="00774558"/>
    <w:rsid w:val="0077468A"/>
    <w:rsid w:val="00774718"/>
    <w:rsid w:val="007748CA"/>
    <w:rsid w:val="00774A19"/>
    <w:rsid w:val="00775220"/>
    <w:rsid w:val="007762B8"/>
    <w:rsid w:val="007766B5"/>
    <w:rsid w:val="00776A72"/>
    <w:rsid w:val="00776B32"/>
    <w:rsid w:val="00776B4F"/>
    <w:rsid w:val="00776E2F"/>
    <w:rsid w:val="007773E0"/>
    <w:rsid w:val="00777985"/>
    <w:rsid w:val="007802B2"/>
    <w:rsid w:val="00780748"/>
    <w:rsid w:val="00780C60"/>
    <w:rsid w:val="00780F08"/>
    <w:rsid w:val="0078106A"/>
    <w:rsid w:val="00781586"/>
    <w:rsid w:val="007820E9"/>
    <w:rsid w:val="00782411"/>
    <w:rsid w:val="00782486"/>
    <w:rsid w:val="00782B38"/>
    <w:rsid w:val="00782CA2"/>
    <w:rsid w:val="00783332"/>
    <w:rsid w:val="007833C3"/>
    <w:rsid w:val="007836F2"/>
    <w:rsid w:val="0078460C"/>
    <w:rsid w:val="00784A22"/>
    <w:rsid w:val="00784A30"/>
    <w:rsid w:val="00784BB0"/>
    <w:rsid w:val="00784DA8"/>
    <w:rsid w:val="00784FE0"/>
    <w:rsid w:val="0078517B"/>
    <w:rsid w:val="00785952"/>
    <w:rsid w:val="00786ECC"/>
    <w:rsid w:val="007876EA"/>
    <w:rsid w:val="00787959"/>
    <w:rsid w:val="007907B1"/>
    <w:rsid w:val="00790CCC"/>
    <w:rsid w:val="00790F94"/>
    <w:rsid w:val="007912E1"/>
    <w:rsid w:val="007915B4"/>
    <w:rsid w:val="00791D02"/>
    <w:rsid w:val="00791F04"/>
    <w:rsid w:val="007925C2"/>
    <w:rsid w:val="00792F48"/>
    <w:rsid w:val="00793042"/>
    <w:rsid w:val="007936EF"/>
    <w:rsid w:val="00793A06"/>
    <w:rsid w:val="0079422A"/>
    <w:rsid w:val="007943E6"/>
    <w:rsid w:val="00794759"/>
    <w:rsid w:val="0079563F"/>
    <w:rsid w:val="00795CFF"/>
    <w:rsid w:val="00796460"/>
    <w:rsid w:val="0079704F"/>
    <w:rsid w:val="00797A2D"/>
    <w:rsid w:val="00797F08"/>
    <w:rsid w:val="007A00B7"/>
    <w:rsid w:val="007A01A5"/>
    <w:rsid w:val="007A0422"/>
    <w:rsid w:val="007A07A4"/>
    <w:rsid w:val="007A0882"/>
    <w:rsid w:val="007A08D4"/>
    <w:rsid w:val="007A0A46"/>
    <w:rsid w:val="007A0B96"/>
    <w:rsid w:val="007A0DFD"/>
    <w:rsid w:val="007A0EFF"/>
    <w:rsid w:val="007A1458"/>
    <w:rsid w:val="007A1791"/>
    <w:rsid w:val="007A1A5E"/>
    <w:rsid w:val="007A2836"/>
    <w:rsid w:val="007A2B4F"/>
    <w:rsid w:val="007A2C16"/>
    <w:rsid w:val="007A2CA1"/>
    <w:rsid w:val="007A33DE"/>
    <w:rsid w:val="007A34FA"/>
    <w:rsid w:val="007A39CB"/>
    <w:rsid w:val="007A417A"/>
    <w:rsid w:val="007A42C4"/>
    <w:rsid w:val="007A466B"/>
    <w:rsid w:val="007A46FC"/>
    <w:rsid w:val="007A47D6"/>
    <w:rsid w:val="007A4995"/>
    <w:rsid w:val="007A4F60"/>
    <w:rsid w:val="007A4F79"/>
    <w:rsid w:val="007A5270"/>
    <w:rsid w:val="007A61AA"/>
    <w:rsid w:val="007A61BF"/>
    <w:rsid w:val="007A6EF8"/>
    <w:rsid w:val="007A7320"/>
    <w:rsid w:val="007A7440"/>
    <w:rsid w:val="007A7654"/>
    <w:rsid w:val="007A7FC4"/>
    <w:rsid w:val="007B004A"/>
    <w:rsid w:val="007B0468"/>
    <w:rsid w:val="007B06BC"/>
    <w:rsid w:val="007B0CF7"/>
    <w:rsid w:val="007B12BD"/>
    <w:rsid w:val="007B1ADA"/>
    <w:rsid w:val="007B1B92"/>
    <w:rsid w:val="007B1D2E"/>
    <w:rsid w:val="007B1E36"/>
    <w:rsid w:val="007B1F1B"/>
    <w:rsid w:val="007B29C3"/>
    <w:rsid w:val="007B2A14"/>
    <w:rsid w:val="007B2F50"/>
    <w:rsid w:val="007B3079"/>
    <w:rsid w:val="007B3405"/>
    <w:rsid w:val="007B3733"/>
    <w:rsid w:val="007B3828"/>
    <w:rsid w:val="007B3C47"/>
    <w:rsid w:val="007B3DC1"/>
    <w:rsid w:val="007B4583"/>
    <w:rsid w:val="007B4719"/>
    <w:rsid w:val="007B4C5A"/>
    <w:rsid w:val="007B50CC"/>
    <w:rsid w:val="007B5119"/>
    <w:rsid w:val="007B5266"/>
    <w:rsid w:val="007B5471"/>
    <w:rsid w:val="007B5D60"/>
    <w:rsid w:val="007B5EBF"/>
    <w:rsid w:val="007B6739"/>
    <w:rsid w:val="007B6E8F"/>
    <w:rsid w:val="007B769F"/>
    <w:rsid w:val="007B77B1"/>
    <w:rsid w:val="007B78EA"/>
    <w:rsid w:val="007C072D"/>
    <w:rsid w:val="007C0773"/>
    <w:rsid w:val="007C0B0E"/>
    <w:rsid w:val="007C0C41"/>
    <w:rsid w:val="007C138F"/>
    <w:rsid w:val="007C152E"/>
    <w:rsid w:val="007C188E"/>
    <w:rsid w:val="007C1BD1"/>
    <w:rsid w:val="007C1E1D"/>
    <w:rsid w:val="007C2044"/>
    <w:rsid w:val="007C21D6"/>
    <w:rsid w:val="007C29F5"/>
    <w:rsid w:val="007C3562"/>
    <w:rsid w:val="007C3853"/>
    <w:rsid w:val="007C3AF0"/>
    <w:rsid w:val="007C3B5C"/>
    <w:rsid w:val="007C3C5A"/>
    <w:rsid w:val="007C4425"/>
    <w:rsid w:val="007C458D"/>
    <w:rsid w:val="007C47A3"/>
    <w:rsid w:val="007C5072"/>
    <w:rsid w:val="007C59E8"/>
    <w:rsid w:val="007C5E89"/>
    <w:rsid w:val="007C61F2"/>
    <w:rsid w:val="007C62A2"/>
    <w:rsid w:val="007C6B49"/>
    <w:rsid w:val="007C6BED"/>
    <w:rsid w:val="007C74C8"/>
    <w:rsid w:val="007D0120"/>
    <w:rsid w:val="007D17EF"/>
    <w:rsid w:val="007D1F70"/>
    <w:rsid w:val="007D27DC"/>
    <w:rsid w:val="007D2B2B"/>
    <w:rsid w:val="007D2B4C"/>
    <w:rsid w:val="007D2D5D"/>
    <w:rsid w:val="007D2F65"/>
    <w:rsid w:val="007D356F"/>
    <w:rsid w:val="007D3934"/>
    <w:rsid w:val="007D400B"/>
    <w:rsid w:val="007D4270"/>
    <w:rsid w:val="007D44C9"/>
    <w:rsid w:val="007D470C"/>
    <w:rsid w:val="007D4956"/>
    <w:rsid w:val="007D4CE3"/>
    <w:rsid w:val="007D4F66"/>
    <w:rsid w:val="007D592A"/>
    <w:rsid w:val="007D5D6F"/>
    <w:rsid w:val="007D6D22"/>
    <w:rsid w:val="007D7629"/>
    <w:rsid w:val="007D7809"/>
    <w:rsid w:val="007D7A37"/>
    <w:rsid w:val="007D7C0D"/>
    <w:rsid w:val="007D7DF2"/>
    <w:rsid w:val="007E02D3"/>
    <w:rsid w:val="007E03FC"/>
    <w:rsid w:val="007E0473"/>
    <w:rsid w:val="007E04BF"/>
    <w:rsid w:val="007E060D"/>
    <w:rsid w:val="007E09D8"/>
    <w:rsid w:val="007E0BD9"/>
    <w:rsid w:val="007E112D"/>
    <w:rsid w:val="007E18D7"/>
    <w:rsid w:val="007E1AE4"/>
    <w:rsid w:val="007E29B5"/>
    <w:rsid w:val="007E2C98"/>
    <w:rsid w:val="007E2E7F"/>
    <w:rsid w:val="007E2F38"/>
    <w:rsid w:val="007E32AB"/>
    <w:rsid w:val="007E3B09"/>
    <w:rsid w:val="007E3C49"/>
    <w:rsid w:val="007E3DA0"/>
    <w:rsid w:val="007E3DAF"/>
    <w:rsid w:val="007E4B32"/>
    <w:rsid w:val="007E521E"/>
    <w:rsid w:val="007E53F3"/>
    <w:rsid w:val="007E5408"/>
    <w:rsid w:val="007E55E9"/>
    <w:rsid w:val="007E5AEC"/>
    <w:rsid w:val="007E66A5"/>
    <w:rsid w:val="007E66EF"/>
    <w:rsid w:val="007E713A"/>
    <w:rsid w:val="007E754B"/>
    <w:rsid w:val="007E784E"/>
    <w:rsid w:val="007E7CAD"/>
    <w:rsid w:val="007E7F66"/>
    <w:rsid w:val="007F01D4"/>
    <w:rsid w:val="007F06E5"/>
    <w:rsid w:val="007F06EB"/>
    <w:rsid w:val="007F0B03"/>
    <w:rsid w:val="007F0E93"/>
    <w:rsid w:val="007F1A6E"/>
    <w:rsid w:val="007F1BC7"/>
    <w:rsid w:val="007F1BDD"/>
    <w:rsid w:val="007F2162"/>
    <w:rsid w:val="007F2908"/>
    <w:rsid w:val="007F2E33"/>
    <w:rsid w:val="007F353F"/>
    <w:rsid w:val="007F408F"/>
    <w:rsid w:val="007F41AB"/>
    <w:rsid w:val="007F4A52"/>
    <w:rsid w:val="007F4B18"/>
    <w:rsid w:val="007F505C"/>
    <w:rsid w:val="007F55DC"/>
    <w:rsid w:val="007F579F"/>
    <w:rsid w:val="007F5B6A"/>
    <w:rsid w:val="007F6691"/>
    <w:rsid w:val="007F67F0"/>
    <w:rsid w:val="007F6D1D"/>
    <w:rsid w:val="007F720A"/>
    <w:rsid w:val="007F76BC"/>
    <w:rsid w:val="007F77B5"/>
    <w:rsid w:val="007F7FCA"/>
    <w:rsid w:val="008004CD"/>
    <w:rsid w:val="008004D8"/>
    <w:rsid w:val="00801101"/>
    <w:rsid w:val="00801170"/>
    <w:rsid w:val="00801492"/>
    <w:rsid w:val="008016E2"/>
    <w:rsid w:val="008017EF"/>
    <w:rsid w:val="00801C67"/>
    <w:rsid w:val="00801CB4"/>
    <w:rsid w:val="00802461"/>
    <w:rsid w:val="0080314B"/>
    <w:rsid w:val="00803649"/>
    <w:rsid w:val="008038B7"/>
    <w:rsid w:val="0080399E"/>
    <w:rsid w:val="00803B21"/>
    <w:rsid w:val="00803FF4"/>
    <w:rsid w:val="00804579"/>
    <w:rsid w:val="00804A4D"/>
    <w:rsid w:val="00805487"/>
    <w:rsid w:val="00805A5C"/>
    <w:rsid w:val="00805BB0"/>
    <w:rsid w:val="00805BF2"/>
    <w:rsid w:val="008060DB"/>
    <w:rsid w:val="008061AD"/>
    <w:rsid w:val="00806307"/>
    <w:rsid w:val="00806B78"/>
    <w:rsid w:val="00806F5F"/>
    <w:rsid w:val="008073E7"/>
    <w:rsid w:val="00807439"/>
    <w:rsid w:val="00807561"/>
    <w:rsid w:val="008075E6"/>
    <w:rsid w:val="0080773A"/>
    <w:rsid w:val="0080790D"/>
    <w:rsid w:val="00807BE0"/>
    <w:rsid w:val="00807D67"/>
    <w:rsid w:val="00807E4B"/>
    <w:rsid w:val="008107D2"/>
    <w:rsid w:val="00810A2E"/>
    <w:rsid w:val="00810D46"/>
    <w:rsid w:val="00811576"/>
    <w:rsid w:val="00811817"/>
    <w:rsid w:val="00811CA8"/>
    <w:rsid w:val="00812070"/>
    <w:rsid w:val="008120AA"/>
    <w:rsid w:val="008123AF"/>
    <w:rsid w:val="0081242E"/>
    <w:rsid w:val="00812A41"/>
    <w:rsid w:val="00812B9D"/>
    <w:rsid w:val="00812D10"/>
    <w:rsid w:val="00813509"/>
    <w:rsid w:val="00813827"/>
    <w:rsid w:val="00813D5E"/>
    <w:rsid w:val="008147A5"/>
    <w:rsid w:val="00815031"/>
    <w:rsid w:val="0081506B"/>
    <w:rsid w:val="00815BA0"/>
    <w:rsid w:val="00816A98"/>
    <w:rsid w:val="00816AF4"/>
    <w:rsid w:val="00816D27"/>
    <w:rsid w:val="00816DDD"/>
    <w:rsid w:val="00816E90"/>
    <w:rsid w:val="00817292"/>
    <w:rsid w:val="00817326"/>
    <w:rsid w:val="008176E9"/>
    <w:rsid w:val="00817A50"/>
    <w:rsid w:val="00817BE7"/>
    <w:rsid w:val="008201AB"/>
    <w:rsid w:val="00820250"/>
    <w:rsid w:val="00820302"/>
    <w:rsid w:val="00820879"/>
    <w:rsid w:val="00820C92"/>
    <w:rsid w:val="00820D27"/>
    <w:rsid w:val="00821000"/>
    <w:rsid w:val="008211ED"/>
    <w:rsid w:val="00821267"/>
    <w:rsid w:val="008218D4"/>
    <w:rsid w:val="00821AC1"/>
    <w:rsid w:val="0082242D"/>
    <w:rsid w:val="0082267A"/>
    <w:rsid w:val="0082301A"/>
    <w:rsid w:val="00823495"/>
    <w:rsid w:val="008239AE"/>
    <w:rsid w:val="00823AFC"/>
    <w:rsid w:val="00823E74"/>
    <w:rsid w:val="00823ED1"/>
    <w:rsid w:val="00823EFE"/>
    <w:rsid w:val="0082467E"/>
    <w:rsid w:val="008248F2"/>
    <w:rsid w:val="0082501C"/>
    <w:rsid w:val="008256C6"/>
    <w:rsid w:val="00825762"/>
    <w:rsid w:val="0082625C"/>
    <w:rsid w:val="00826271"/>
    <w:rsid w:val="00826316"/>
    <w:rsid w:val="0082649A"/>
    <w:rsid w:val="0082658B"/>
    <w:rsid w:val="0082703C"/>
    <w:rsid w:val="008272E0"/>
    <w:rsid w:val="008277AD"/>
    <w:rsid w:val="008300FC"/>
    <w:rsid w:val="008304AD"/>
    <w:rsid w:val="00830A35"/>
    <w:rsid w:val="00830E5E"/>
    <w:rsid w:val="00830F83"/>
    <w:rsid w:val="00831ADE"/>
    <w:rsid w:val="0083262D"/>
    <w:rsid w:val="0083324B"/>
    <w:rsid w:val="00833937"/>
    <w:rsid w:val="00833C02"/>
    <w:rsid w:val="00833ED1"/>
    <w:rsid w:val="0083407C"/>
    <w:rsid w:val="0083431F"/>
    <w:rsid w:val="008343B2"/>
    <w:rsid w:val="00834546"/>
    <w:rsid w:val="00834D22"/>
    <w:rsid w:val="00835342"/>
    <w:rsid w:val="008355C1"/>
    <w:rsid w:val="0083573D"/>
    <w:rsid w:val="00835AF7"/>
    <w:rsid w:val="00835CB3"/>
    <w:rsid w:val="0083689D"/>
    <w:rsid w:val="00836E3A"/>
    <w:rsid w:val="0083705D"/>
    <w:rsid w:val="00837158"/>
    <w:rsid w:val="008373E1"/>
    <w:rsid w:val="00837D53"/>
    <w:rsid w:val="00840AE6"/>
    <w:rsid w:val="00840ECB"/>
    <w:rsid w:val="00840F43"/>
    <w:rsid w:val="008415BA"/>
    <w:rsid w:val="008428D4"/>
    <w:rsid w:val="00842C3D"/>
    <w:rsid w:val="00842FAE"/>
    <w:rsid w:val="008430B3"/>
    <w:rsid w:val="008436DF"/>
    <w:rsid w:val="00843A76"/>
    <w:rsid w:val="00843CB1"/>
    <w:rsid w:val="00843FDB"/>
    <w:rsid w:val="0084404F"/>
    <w:rsid w:val="00844785"/>
    <w:rsid w:val="008447AE"/>
    <w:rsid w:val="008448D1"/>
    <w:rsid w:val="00844C50"/>
    <w:rsid w:val="00844CE0"/>
    <w:rsid w:val="00845119"/>
    <w:rsid w:val="00845F6E"/>
    <w:rsid w:val="008462E2"/>
    <w:rsid w:val="00846314"/>
    <w:rsid w:val="00846374"/>
    <w:rsid w:val="008464E1"/>
    <w:rsid w:val="008468E9"/>
    <w:rsid w:val="00846BB0"/>
    <w:rsid w:val="00846C61"/>
    <w:rsid w:val="00846D45"/>
    <w:rsid w:val="00846F05"/>
    <w:rsid w:val="00847101"/>
    <w:rsid w:val="00847480"/>
    <w:rsid w:val="0084759B"/>
    <w:rsid w:val="008478CC"/>
    <w:rsid w:val="00847CFB"/>
    <w:rsid w:val="00850B4B"/>
    <w:rsid w:val="00850BF1"/>
    <w:rsid w:val="00850D09"/>
    <w:rsid w:val="00851B74"/>
    <w:rsid w:val="00852079"/>
    <w:rsid w:val="008522F5"/>
    <w:rsid w:val="0085255C"/>
    <w:rsid w:val="00852D4F"/>
    <w:rsid w:val="00852F9A"/>
    <w:rsid w:val="0085357A"/>
    <w:rsid w:val="00853797"/>
    <w:rsid w:val="00853AE0"/>
    <w:rsid w:val="00853D47"/>
    <w:rsid w:val="0085430E"/>
    <w:rsid w:val="008544D2"/>
    <w:rsid w:val="008546BE"/>
    <w:rsid w:val="0085485A"/>
    <w:rsid w:val="00854F3F"/>
    <w:rsid w:val="00855661"/>
    <w:rsid w:val="00855767"/>
    <w:rsid w:val="0085658D"/>
    <w:rsid w:val="00857283"/>
    <w:rsid w:val="00857332"/>
    <w:rsid w:val="00860072"/>
    <w:rsid w:val="00860257"/>
    <w:rsid w:val="008602D9"/>
    <w:rsid w:val="008604AA"/>
    <w:rsid w:val="00860CA5"/>
    <w:rsid w:val="00860E1E"/>
    <w:rsid w:val="008610AB"/>
    <w:rsid w:val="008612FB"/>
    <w:rsid w:val="00861468"/>
    <w:rsid w:val="00861743"/>
    <w:rsid w:val="00861E57"/>
    <w:rsid w:val="00863154"/>
    <w:rsid w:val="008632DE"/>
    <w:rsid w:val="00863690"/>
    <w:rsid w:val="00863D52"/>
    <w:rsid w:val="00863D69"/>
    <w:rsid w:val="0086405F"/>
    <w:rsid w:val="008646AC"/>
    <w:rsid w:val="00864B2C"/>
    <w:rsid w:val="00864CE9"/>
    <w:rsid w:val="00864DD3"/>
    <w:rsid w:val="00865293"/>
    <w:rsid w:val="0086591A"/>
    <w:rsid w:val="00866057"/>
    <w:rsid w:val="00866338"/>
    <w:rsid w:val="008663BB"/>
    <w:rsid w:val="008664FA"/>
    <w:rsid w:val="00866849"/>
    <w:rsid w:val="00867227"/>
    <w:rsid w:val="00867A37"/>
    <w:rsid w:val="00867FEC"/>
    <w:rsid w:val="008700D6"/>
    <w:rsid w:val="00870327"/>
    <w:rsid w:val="008703F2"/>
    <w:rsid w:val="008706C8"/>
    <w:rsid w:val="00870706"/>
    <w:rsid w:val="00870D67"/>
    <w:rsid w:val="00870E16"/>
    <w:rsid w:val="0087127E"/>
    <w:rsid w:val="008712E7"/>
    <w:rsid w:val="00871657"/>
    <w:rsid w:val="008718AA"/>
    <w:rsid w:val="00871DB9"/>
    <w:rsid w:val="00872046"/>
    <w:rsid w:val="00872239"/>
    <w:rsid w:val="008726B7"/>
    <w:rsid w:val="0087358D"/>
    <w:rsid w:val="008736E1"/>
    <w:rsid w:val="00873720"/>
    <w:rsid w:val="008738B5"/>
    <w:rsid w:val="00873FAE"/>
    <w:rsid w:val="00874036"/>
    <w:rsid w:val="00874704"/>
    <w:rsid w:val="0087515D"/>
    <w:rsid w:val="00875398"/>
    <w:rsid w:val="0087546A"/>
    <w:rsid w:val="0087578B"/>
    <w:rsid w:val="00875EC0"/>
    <w:rsid w:val="00875EC9"/>
    <w:rsid w:val="008762B5"/>
    <w:rsid w:val="008765A7"/>
    <w:rsid w:val="008766BD"/>
    <w:rsid w:val="008767F2"/>
    <w:rsid w:val="008769C3"/>
    <w:rsid w:val="00876D40"/>
    <w:rsid w:val="008773D3"/>
    <w:rsid w:val="0087744C"/>
    <w:rsid w:val="008774FE"/>
    <w:rsid w:val="00877AA7"/>
    <w:rsid w:val="00877CC2"/>
    <w:rsid w:val="00877CEB"/>
    <w:rsid w:val="00877DF3"/>
    <w:rsid w:val="00877E81"/>
    <w:rsid w:val="0088018C"/>
    <w:rsid w:val="00880376"/>
    <w:rsid w:val="00880579"/>
    <w:rsid w:val="008805EE"/>
    <w:rsid w:val="00881358"/>
    <w:rsid w:val="00881835"/>
    <w:rsid w:val="00881A87"/>
    <w:rsid w:val="0088222C"/>
    <w:rsid w:val="008826A7"/>
    <w:rsid w:val="0088285D"/>
    <w:rsid w:val="00882C52"/>
    <w:rsid w:val="008830A2"/>
    <w:rsid w:val="00883CC0"/>
    <w:rsid w:val="00883DFD"/>
    <w:rsid w:val="008840E7"/>
    <w:rsid w:val="008847E0"/>
    <w:rsid w:val="0088485C"/>
    <w:rsid w:val="00884CBC"/>
    <w:rsid w:val="00884F2F"/>
    <w:rsid w:val="00885493"/>
    <w:rsid w:val="00885DFA"/>
    <w:rsid w:val="008860D5"/>
    <w:rsid w:val="0088634E"/>
    <w:rsid w:val="00886954"/>
    <w:rsid w:val="0088763F"/>
    <w:rsid w:val="00887A3D"/>
    <w:rsid w:val="00890A0F"/>
    <w:rsid w:val="00890BF4"/>
    <w:rsid w:val="00890F5C"/>
    <w:rsid w:val="008910A8"/>
    <w:rsid w:val="0089138B"/>
    <w:rsid w:val="008919D4"/>
    <w:rsid w:val="00891B7B"/>
    <w:rsid w:val="00891E37"/>
    <w:rsid w:val="00892462"/>
    <w:rsid w:val="008933CE"/>
    <w:rsid w:val="0089342E"/>
    <w:rsid w:val="00893C1C"/>
    <w:rsid w:val="0089417D"/>
    <w:rsid w:val="0089418F"/>
    <w:rsid w:val="008948B6"/>
    <w:rsid w:val="008948CD"/>
    <w:rsid w:val="00894A3F"/>
    <w:rsid w:val="00894FB3"/>
    <w:rsid w:val="00894FF9"/>
    <w:rsid w:val="00895C32"/>
    <w:rsid w:val="00895DB8"/>
    <w:rsid w:val="00895FC9"/>
    <w:rsid w:val="008962FB"/>
    <w:rsid w:val="00896E44"/>
    <w:rsid w:val="0089784D"/>
    <w:rsid w:val="00897D17"/>
    <w:rsid w:val="00897D91"/>
    <w:rsid w:val="008A0433"/>
    <w:rsid w:val="008A0E3A"/>
    <w:rsid w:val="008A1159"/>
    <w:rsid w:val="008A17AF"/>
    <w:rsid w:val="008A1911"/>
    <w:rsid w:val="008A1BD2"/>
    <w:rsid w:val="008A22C0"/>
    <w:rsid w:val="008A263B"/>
    <w:rsid w:val="008A3095"/>
    <w:rsid w:val="008A381C"/>
    <w:rsid w:val="008A39DF"/>
    <w:rsid w:val="008A3CE8"/>
    <w:rsid w:val="008A4251"/>
    <w:rsid w:val="008A4451"/>
    <w:rsid w:val="008A4973"/>
    <w:rsid w:val="008A4A2A"/>
    <w:rsid w:val="008A4AAC"/>
    <w:rsid w:val="008A4C24"/>
    <w:rsid w:val="008A5559"/>
    <w:rsid w:val="008A58F2"/>
    <w:rsid w:val="008A59B0"/>
    <w:rsid w:val="008A5B54"/>
    <w:rsid w:val="008A6057"/>
    <w:rsid w:val="008A675E"/>
    <w:rsid w:val="008A6D08"/>
    <w:rsid w:val="008A6E84"/>
    <w:rsid w:val="008A78C3"/>
    <w:rsid w:val="008A7C39"/>
    <w:rsid w:val="008A7CA3"/>
    <w:rsid w:val="008B076B"/>
    <w:rsid w:val="008B0876"/>
    <w:rsid w:val="008B0F6F"/>
    <w:rsid w:val="008B158D"/>
    <w:rsid w:val="008B195C"/>
    <w:rsid w:val="008B1B78"/>
    <w:rsid w:val="008B1DE7"/>
    <w:rsid w:val="008B1EEB"/>
    <w:rsid w:val="008B2467"/>
    <w:rsid w:val="008B2757"/>
    <w:rsid w:val="008B33C8"/>
    <w:rsid w:val="008B39AD"/>
    <w:rsid w:val="008B3ADA"/>
    <w:rsid w:val="008B4A20"/>
    <w:rsid w:val="008B4BC1"/>
    <w:rsid w:val="008B4CBF"/>
    <w:rsid w:val="008B5720"/>
    <w:rsid w:val="008B5CD0"/>
    <w:rsid w:val="008B6628"/>
    <w:rsid w:val="008B66CA"/>
    <w:rsid w:val="008B7052"/>
    <w:rsid w:val="008B7585"/>
    <w:rsid w:val="008B766C"/>
    <w:rsid w:val="008B7770"/>
    <w:rsid w:val="008B7B23"/>
    <w:rsid w:val="008C0346"/>
    <w:rsid w:val="008C05AC"/>
    <w:rsid w:val="008C08AC"/>
    <w:rsid w:val="008C09E3"/>
    <w:rsid w:val="008C1223"/>
    <w:rsid w:val="008C161D"/>
    <w:rsid w:val="008C1632"/>
    <w:rsid w:val="008C1785"/>
    <w:rsid w:val="008C19ED"/>
    <w:rsid w:val="008C1C67"/>
    <w:rsid w:val="008C2BDD"/>
    <w:rsid w:val="008C35C9"/>
    <w:rsid w:val="008C36DA"/>
    <w:rsid w:val="008C3735"/>
    <w:rsid w:val="008C3852"/>
    <w:rsid w:val="008C3BC2"/>
    <w:rsid w:val="008C3CFB"/>
    <w:rsid w:val="008C3D1A"/>
    <w:rsid w:val="008C440D"/>
    <w:rsid w:val="008C452C"/>
    <w:rsid w:val="008C45F0"/>
    <w:rsid w:val="008C4653"/>
    <w:rsid w:val="008C46C9"/>
    <w:rsid w:val="008C47B4"/>
    <w:rsid w:val="008C4BA5"/>
    <w:rsid w:val="008C5293"/>
    <w:rsid w:val="008C5970"/>
    <w:rsid w:val="008C6319"/>
    <w:rsid w:val="008C644E"/>
    <w:rsid w:val="008C7143"/>
    <w:rsid w:val="008C71DA"/>
    <w:rsid w:val="008D07A8"/>
    <w:rsid w:val="008D0EC7"/>
    <w:rsid w:val="008D0F54"/>
    <w:rsid w:val="008D1EE2"/>
    <w:rsid w:val="008D2959"/>
    <w:rsid w:val="008D2F34"/>
    <w:rsid w:val="008D30B8"/>
    <w:rsid w:val="008D369E"/>
    <w:rsid w:val="008D3EC3"/>
    <w:rsid w:val="008D3F4D"/>
    <w:rsid w:val="008D40A2"/>
    <w:rsid w:val="008D5045"/>
    <w:rsid w:val="008D61DA"/>
    <w:rsid w:val="008D690B"/>
    <w:rsid w:val="008D6AA3"/>
    <w:rsid w:val="008D6F60"/>
    <w:rsid w:val="008D7280"/>
    <w:rsid w:val="008D7969"/>
    <w:rsid w:val="008D7AD1"/>
    <w:rsid w:val="008D7BCA"/>
    <w:rsid w:val="008D7F54"/>
    <w:rsid w:val="008E0245"/>
    <w:rsid w:val="008E051A"/>
    <w:rsid w:val="008E086E"/>
    <w:rsid w:val="008E0EC0"/>
    <w:rsid w:val="008E0FCD"/>
    <w:rsid w:val="008E139A"/>
    <w:rsid w:val="008E2111"/>
    <w:rsid w:val="008E23FF"/>
    <w:rsid w:val="008E28A4"/>
    <w:rsid w:val="008E2ACF"/>
    <w:rsid w:val="008E2B71"/>
    <w:rsid w:val="008E35D7"/>
    <w:rsid w:val="008E37D7"/>
    <w:rsid w:val="008E38BA"/>
    <w:rsid w:val="008E3A17"/>
    <w:rsid w:val="008E4355"/>
    <w:rsid w:val="008E45BA"/>
    <w:rsid w:val="008E4BA8"/>
    <w:rsid w:val="008E4CA7"/>
    <w:rsid w:val="008E4F61"/>
    <w:rsid w:val="008E53CD"/>
    <w:rsid w:val="008E54B5"/>
    <w:rsid w:val="008E584F"/>
    <w:rsid w:val="008E5C4F"/>
    <w:rsid w:val="008E5C8C"/>
    <w:rsid w:val="008E5E3A"/>
    <w:rsid w:val="008E5F3F"/>
    <w:rsid w:val="008E6596"/>
    <w:rsid w:val="008E6818"/>
    <w:rsid w:val="008E6E1A"/>
    <w:rsid w:val="008E78F6"/>
    <w:rsid w:val="008E7E27"/>
    <w:rsid w:val="008F0600"/>
    <w:rsid w:val="008F0686"/>
    <w:rsid w:val="008F1287"/>
    <w:rsid w:val="008F176D"/>
    <w:rsid w:val="008F1797"/>
    <w:rsid w:val="008F2938"/>
    <w:rsid w:val="008F3453"/>
    <w:rsid w:val="008F36FC"/>
    <w:rsid w:val="008F3ABC"/>
    <w:rsid w:val="008F3BBE"/>
    <w:rsid w:val="008F3F0E"/>
    <w:rsid w:val="008F4036"/>
    <w:rsid w:val="008F4896"/>
    <w:rsid w:val="008F4927"/>
    <w:rsid w:val="008F526E"/>
    <w:rsid w:val="008F52D7"/>
    <w:rsid w:val="008F560A"/>
    <w:rsid w:val="008F56CB"/>
    <w:rsid w:val="008F6F9A"/>
    <w:rsid w:val="008F75F4"/>
    <w:rsid w:val="008F766E"/>
    <w:rsid w:val="008F780B"/>
    <w:rsid w:val="008F7AB7"/>
    <w:rsid w:val="008F7C0F"/>
    <w:rsid w:val="00900273"/>
    <w:rsid w:val="0090096D"/>
    <w:rsid w:val="00900AC2"/>
    <w:rsid w:val="00900B9C"/>
    <w:rsid w:val="00900CBE"/>
    <w:rsid w:val="00900EE3"/>
    <w:rsid w:val="00901612"/>
    <w:rsid w:val="0090178F"/>
    <w:rsid w:val="00901CB9"/>
    <w:rsid w:val="00901D50"/>
    <w:rsid w:val="009021AF"/>
    <w:rsid w:val="00902426"/>
    <w:rsid w:val="00902490"/>
    <w:rsid w:val="00902D62"/>
    <w:rsid w:val="009036F9"/>
    <w:rsid w:val="00903876"/>
    <w:rsid w:val="00903B44"/>
    <w:rsid w:val="00903D8A"/>
    <w:rsid w:val="00903F80"/>
    <w:rsid w:val="0090430A"/>
    <w:rsid w:val="0090486C"/>
    <w:rsid w:val="00905BBA"/>
    <w:rsid w:val="00905E15"/>
    <w:rsid w:val="00905FCE"/>
    <w:rsid w:val="009060C6"/>
    <w:rsid w:val="00906403"/>
    <w:rsid w:val="009067C7"/>
    <w:rsid w:val="009068A1"/>
    <w:rsid w:val="00906D79"/>
    <w:rsid w:val="00906EBD"/>
    <w:rsid w:val="00907469"/>
    <w:rsid w:val="00907A0B"/>
    <w:rsid w:val="00907A99"/>
    <w:rsid w:val="00907B6E"/>
    <w:rsid w:val="00910740"/>
    <w:rsid w:val="00910C2D"/>
    <w:rsid w:val="009117AA"/>
    <w:rsid w:val="0091193D"/>
    <w:rsid w:val="00912246"/>
    <w:rsid w:val="009123EA"/>
    <w:rsid w:val="009124A6"/>
    <w:rsid w:val="009129B4"/>
    <w:rsid w:val="00912BFF"/>
    <w:rsid w:val="00912F3E"/>
    <w:rsid w:val="0091392D"/>
    <w:rsid w:val="00914848"/>
    <w:rsid w:val="00914864"/>
    <w:rsid w:val="00914A37"/>
    <w:rsid w:val="00914D56"/>
    <w:rsid w:val="00915130"/>
    <w:rsid w:val="0091531E"/>
    <w:rsid w:val="00916999"/>
    <w:rsid w:val="00917114"/>
    <w:rsid w:val="00917132"/>
    <w:rsid w:val="00917338"/>
    <w:rsid w:val="009176EF"/>
    <w:rsid w:val="00917CC9"/>
    <w:rsid w:val="00917E92"/>
    <w:rsid w:val="0092038F"/>
    <w:rsid w:val="00920762"/>
    <w:rsid w:val="00920B31"/>
    <w:rsid w:val="00921DB5"/>
    <w:rsid w:val="00922780"/>
    <w:rsid w:val="00922AA5"/>
    <w:rsid w:val="00922E4E"/>
    <w:rsid w:val="0092386C"/>
    <w:rsid w:val="00923AAD"/>
    <w:rsid w:val="00923D2B"/>
    <w:rsid w:val="009245DE"/>
    <w:rsid w:val="0092480B"/>
    <w:rsid w:val="00924C0B"/>
    <w:rsid w:val="009250BC"/>
    <w:rsid w:val="00925361"/>
    <w:rsid w:val="00925761"/>
    <w:rsid w:val="009258CF"/>
    <w:rsid w:val="00925B79"/>
    <w:rsid w:val="00926707"/>
    <w:rsid w:val="00926E1C"/>
    <w:rsid w:val="00926E97"/>
    <w:rsid w:val="009273C6"/>
    <w:rsid w:val="00927A70"/>
    <w:rsid w:val="00927F2A"/>
    <w:rsid w:val="009308CE"/>
    <w:rsid w:val="00930994"/>
    <w:rsid w:val="009316AF"/>
    <w:rsid w:val="00932A35"/>
    <w:rsid w:val="00932A3D"/>
    <w:rsid w:val="009330B2"/>
    <w:rsid w:val="009332F7"/>
    <w:rsid w:val="009333BA"/>
    <w:rsid w:val="0093350D"/>
    <w:rsid w:val="00933591"/>
    <w:rsid w:val="0093371F"/>
    <w:rsid w:val="009337EA"/>
    <w:rsid w:val="0093382C"/>
    <w:rsid w:val="00933EE5"/>
    <w:rsid w:val="0093409E"/>
    <w:rsid w:val="00934290"/>
    <w:rsid w:val="009342E5"/>
    <w:rsid w:val="00934B01"/>
    <w:rsid w:val="00934E4E"/>
    <w:rsid w:val="00935277"/>
    <w:rsid w:val="00935566"/>
    <w:rsid w:val="009355C3"/>
    <w:rsid w:val="00935659"/>
    <w:rsid w:val="00935C1A"/>
    <w:rsid w:val="0093604C"/>
    <w:rsid w:val="00936ABA"/>
    <w:rsid w:val="00936B22"/>
    <w:rsid w:val="009370E3"/>
    <w:rsid w:val="00937155"/>
    <w:rsid w:val="009372CB"/>
    <w:rsid w:val="00937413"/>
    <w:rsid w:val="00937603"/>
    <w:rsid w:val="0093769D"/>
    <w:rsid w:val="0093785C"/>
    <w:rsid w:val="00937AAE"/>
    <w:rsid w:val="00940831"/>
    <w:rsid w:val="00940ABA"/>
    <w:rsid w:val="00941085"/>
    <w:rsid w:val="009410EE"/>
    <w:rsid w:val="009416E6"/>
    <w:rsid w:val="00941E51"/>
    <w:rsid w:val="00941F61"/>
    <w:rsid w:val="00942525"/>
    <w:rsid w:val="009427C0"/>
    <w:rsid w:val="009428EB"/>
    <w:rsid w:val="00942934"/>
    <w:rsid w:val="00942B12"/>
    <w:rsid w:val="00942EE6"/>
    <w:rsid w:val="00942EF6"/>
    <w:rsid w:val="009431F1"/>
    <w:rsid w:val="00943249"/>
    <w:rsid w:val="0094332A"/>
    <w:rsid w:val="009435D4"/>
    <w:rsid w:val="00943AD7"/>
    <w:rsid w:val="00944460"/>
    <w:rsid w:val="009448E6"/>
    <w:rsid w:val="00945407"/>
    <w:rsid w:val="00945733"/>
    <w:rsid w:val="00945D87"/>
    <w:rsid w:val="00945ECA"/>
    <w:rsid w:val="009461E9"/>
    <w:rsid w:val="00946212"/>
    <w:rsid w:val="009464BF"/>
    <w:rsid w:val="009464E1"/>
    <w:rsid w:val="009465B8"/>
    <w:rsid w:val="00946845"/>
    <w:rsid w:val="00946929"/>
    <w:rsid w:val="0094694D"/>
    <w:rsid w:val="0094790E"/>
    <w:rsid w:val="00947F52"/>
    <w:rsid w:val="0095023E"/>
    <w:rsid w:val="009507A2"/>
    <w:rsid w:val="009509A3"/>
    <w:rsid w:val="0095148A"/>
    <w:rsid w:val="00951581"/>
    <w:rsid w:val="00951A08"/>
    <w:rsid w:val="00951C3A"/>
    <w:rsid w:val="00952615"/>
    <w:rsid w:val="009527F7"/>
    <w:rsid w:val="009529B4"/>
    <w:rsid w:val="00952B51"/>
    <w:rsid w:val="00952BF4"/>
    <w:rsid w:val="009531B5"/>
    <w:rsid w:val="00953524"/>
    <w:rsid w:val="009536AC"/>
    <w:rsid w:val="00953DCB"/>
    <w:rsid w:val="00954681"/>
    <w:rsid w:val="00954A75"/>
    <w:rsid w:val="00954AF5"/>
    <w:rsid w:val="00954D36"/>
    <w:rsid w:val="00954F00"/>
    <w:rsid w:val="0095578F"/>
    <w:rsid w:val="00955822"/>
    <w:rsid w:val="00955F09"/>
    <w:rsid w:val="009560A6"/>
    <w:rsid w:val="00956636"/>
    <w:rsid w:val="00956CF7"/>
    <w:rsid w:val="009573CA"/>
    <w:rsid w:val="0095776B"/>
    <w:rsid w:val="009577E0"/>
    <w:rsid w:val="0095784F"/>
    <w:rsid w:val="009579EC"/>
    <w:rsid w:val="00957A8A"/>
    <w:rsid w:val="00957A9E"/>
    <w:rsid w:val="00957E67"/>
    <w:rsid w:val="00957F90"/>
    <w:rsid w:val="00957FD9"/>
    <w:rsid w:val="00960027"/>
    <w:rsid w:val="009600D1"/>
    <w:rsid w:val="009602EB"/>
    <w:rsid w:val="00960FF6"/>
    <w:rsid w:val="00961143"/>
    <w:rsid w:val="00962469"/>
    <w:rsid w:val="00962E0B"/>
    <w:rsid w:val="0096320C"/>
    <w:rsid w:val="0096355F"/>
    <w:rsid w:val="009636A7"/>
    <w:rsid w:val="009637D9"/>
    <w:rsid w:val="00963977"/>
    <w:rsid w:val="0096466B"/>
    <w:rsid w:val="0096476F"/>
    <w:rsid w:val="0096574C"/>
    <w:rsid w:val="00965967"/>
    <w:rsid w:val="0096605F"/>
    <w:rsid w:val="00966470"/>
    <w:rsid w:val="0096647B"/>
    <w:rsid w:val="00966831"/>
    <w:rsid w:val="0096692C"/>
    <w:rsid w:val="009676A5"/>
    <w:rsid w:val="00967B06"/>
    <w:rsid w:val="00967D36"/>
    <w:rsid w:val="00967E2C"/>
    <w:rsid w:val="00970656"/>
    <w:rsid w:val="009711E8"/>
    <w:rsid w:val="00971660"/>
    <w:rsid w:val="00971992"/>
    <w:rsid w:val="009719B7"/>
    <w:rsid w:val="00971F42"/>
    <w:rsid w:val="00972007"/>
    <w:rsid w:val="009720C8"/>
    <w:rsid w:val="0097235E"/>
    <w:rsid w:val="009728B8"/>
    <w:rsid w:val="00972A24"/>
    <w:rsid w:val="00972A38"/>
    <w:rsid w:val="00972B84"/>
    <w:rsid w:val="00972C49"/>
    <w:rsid w:val="00972E03"/>
    <w:rsid w:val="009736B4"/>
    <w:rsid w:val="00973910"/>
    <w:rsid w:val="00973C5F"/>
    <w:rsid w:val="00973FC2"/>
    <w:rsid w:val="00974174"/>
    <w:rsid w:val="009746B0"/>
    <w:rsid w:val="00974EBF"/>
    <w:rsid w:val="009751B9"/>
    <w:rsid w:val="009751BB"/>
    <w:rsid w:val="0097556E"/>
    <w:rsid w:val="0097583D"/>
    <w:rsid w:val="00975FB6"/>
    <w:rsid w:val="00976204"/>
    <w:rsid w:val="00976278"/>
    <w:rsid w:val="009770F1"/>
    <w:rsid w:val="00977166"/>
    <w:rsid w:val="00977683"/>
    <w:rsid w:val="0097775D"/>
    <w:rsid w:val="00980515"/>
    <w:rsid w:val="009807FB"/>
    <w:rsid w:val="00981533"/>
    <w:rsid w:val="00981582"/>
    <w:rsid w:val="00981B58"/>
    <w:rsid w:val="00981DED"/>
    <w:rsid w:val="0098290A"/>
    <w:rsid w:val="00982A4B"/>
    <w:rsid w:val="00982A64"/>
    <w:rsid w:val="00982AB2"/>
    <w:rsid w:val="00982CE1"/>
    <w:rsid w:val="00983C6B"/>
    <w:rsid w:val="00983E4B"/>
    <w:rsid w:val="00984B4F"/>
    <w:rsid w:val="00984BA8"/>
    <w:rsid w:val="0098517F"/>
    <w:rsid w:val="009851E0"/>
    <w:rsid w:val="00985892"/>
    <w:rsid w:val="009858C6"/>
    <w:rsid w:val="009859BE"/>
    <w:rsid w:val="0098606A"/>
    <w:rsid w:val="00986164"/>
    <w:rsid w:val="00986346"/>
    <w:rsid w:val="00986E8F"/>
    <w:rsid w:val="00987516"/>
    <w:rsid w:val="00987756"/>
    <w:rsid w:val="00987AF3"/>
    <w:rsid w:val="00987DA7"/>
    <w:rsid w:val="00987EA3"/>
    <w:rsid w:val="009904FE"/>
    <w:rsid w:val="009907D3"/>
    <w:rsid w:val="009908F4"/>
    <w:rsid w:val="00990D94"/>
    <w:rsid w:val="00990E95"/>
    <w:rsid w:val="00990E9B"/>
    <w:rsid w:val="00990EB3"/>
    <w:rsid w:val="00991511"/>
    <w:rsid w:val="0099197E"/>
    <w:rsid w:val="00991C80"/>
    <w:rsid w:val="00992A22"/>
    <w:rsid w:val="009932E1"/>
    <w:rsid w:val="00993522"/>
    <w:rsid w:val="0099361A"/>
    <w:rsid w:val="00993C2E"/>
    <w:rsid w:val="00994447"/>
    <w:rsid w:val="00994572"/>
    <w:rsid w:val="00994650"/>
    <w:rsid w:val="00994AA1"/>
    <w:rsid w:val="00994FD7"/>
    <w:rsid w:val="0099516B"/>
    <w:rsid w:val="00995247"/>
    <w:rsid w:val="00995388"/>
    <w:rsid w:val="00995A41"/>
    <w:rsid w:val="00995CB3"/>
    <w:rsid w:val="00995F00"/>
    <w:rsid w:val="00995F98"/>
    <w:rsid w:val="009960CD"/>
    <w:rsid w:val="00996353"/>
    <w:rsid w:val="00996D85"/>
    <w:rsid w:val="00996E7E"/>
    <w:rsid w:val="00997401"/>
    <w:rsid w:val="009976A4"/>
    <w:rsid w:val="00997BA0"/>
    <w:rsid w:val="009A00FE"/>
    <w:rsid w:val="009A0115"/>
    <w:rsid w:val="009A066B"/>
    <w:rsid w:val="009A1199"/>
    <w:rsid w:val="009A1C42"/>
    <w:rsid w:val="009A1DDF"/>
    <w:rsid w:val="009A20DB"/>
    <w:rsid w:val="009A2162"/>
    <w:rsid w:val="009A2258"/>
    <w:rsid w:val="009A2505"/>
    <w:rsid w:val="009A257F"/>
    <w:rsid w:val="009A2652"/>
    <w:rsid w:val="009A2CAE"/>
    <w:rsid w:val="009A36F4"/>
    <w:rsid w:val="009A3B9D"/>
    <w:rsid w:val="009A3BFC"/>
    <w:rsid w:val="009A3C11"/>
    <w:rsid w:val="009A4091"/>
    <w:rsid w:val="009A4348"/>
    <w:rsid w:val="009A4C0C"/>
    <w:rsid w:val="009A5007"/>
    <w:rsid w:val="009A5CF9"/>
    <w:rsid w:val="009A5D0E"/>
    <w:rsid w:val="009A5FCC"/>
    <w:rsid w:val="009A61A5"/>
    <w:rsid w:val="009A626D"/>
    <w:rsid w:val="009A635B"/>
    <w:rsid w:val="009A659D"/>
    <w:rsid w:val="009A68BD"/>
    <w:rsid w:val="009A6C55"/>
    <w:rsid w:val="009A7291"/>
    <w:rsid w:val="009A7EAB"/>
    <w:rsid w:val="009B007C"/>
    <w:rsid w:val="009B0488"/>
    <w:rsid w:val="009B0682"/>
    <w:rsid w:val="009B0AE8"/>
    <w:rsid w:val="009B0EDA"/>
    <w:rsid w:val="009B12BD"/>
    <w:rsid w:val="009B140B"/>
    <w:rsid w:val="009B1633"/>
    <w:rsid w:val="009B16C9"/>
    <w:rsid w:val="009B18B2"/>
    <w:rsid w:val="009B1956"/>
    <w:rsid w:val="009B29C0"/>
    <w:rsid w:val="009B2C73"/>
    <w:rsid w:val="009B2DE1"/>
    <w:rsid w:val="009B2DFA"/>
    <w:rsid w:val="009B2EC1"/>
    <w:rsid w:val="009B383A"/>
    <w:rsid w:val="009B38CB"/>
    <w:rsid w:val="009B3C57"/>
    <w:rsid w:val="009B41BA"/>
    <w:rsid w:val="009B4850"/>
    <w:rsid w:val="009B4F6D"/>
    <w:rsid w:val="009B56A7"/>
    <w:rsid w:val="009B56E5"/>
    <w:rsid w:val="009B5867"/>
    <w:rsid w:val="009B5A7E"/>
    <w:rsid w:val="009B651E"/>
    <w:rsid w:val="009B67FC"/>
    <w:rsid w:val="009B6E5E"/>
    <w:rsid w:val="009B78CC"/>
    <w:rsid w:val="009B78E2"/>
    <w:rsid w:val="009B7BFB"/>
    <w:rsid w:val="009B7D40"/>
    <w:rsid w:val="009C001B"/>
    <w:rsid w:val="009C0339"/>
    <w:rsid w:val="009C0B94"/>
    <w:rsid w:val="009C1345"/>
    <w:rsid w:val="009C14D0"/>
    <w:rsid w:val="009C1657"/>
    <w:rsid w:val="009C1829"/>
    <w:rsid w:val="009C2608"/>
    <w:rsid w:val="009C26D1"/>
    <w:rsid w:val="009C2B35"/>
    <w:rsid w:val="009C3030"/>
    <w:rsid w:val="009C3393"/>
    <w:rsid w:val="009C36A1"/>
    <w:rsid w:val="009C3864"/>
    <w:rsid w:val="009C3C85"/>
    <w:rsid w:val="009C3DEB"/>
    <w:rsid w:val="009C45E5"/>
    <w:rsid w:val="009C4696"/>
    <w:rsid w:val="009C47E5"/>
    <w:rsid w:val="009C4901"/>
    <w:rsid w:val="009C4B85"/>
    <w:rsid w:val="009C4D45"/>
    <w:rsid w:val="009C51F0"/>
    <w:rsid w:val="009C5BD8"/>
    <w:rsid w:val="009C6507"/>
    <w:rsid w:val="009C6577"/>
    <w:rsid w:val="009C6610"/>
    <w:rsid w:val="009C6C40"/>
    <w:rsid w:val="009C711C"/>
    <w:rsid w:val="009C7613"/>
    <w:rsid w:val="009C7985"/>
    <w:rsid w:val="009C7B9A"/>
    <w:rsid w:val="009C7F3C"/>
    <w:rsid w:val="009D0578"/>
    <w:rsid w:val="009D0D4A"/>
    <w:rsid w:val="009D116A"/>
    <w:rsid w:val="009D14E1"/>
    <w:rsid w:val="009D1D54"/>
    <w:rsid w:val="009D1F8C"/>
    <w:rsid w:val="009D2B5F"/>
    <w:rsid w:val="009D2D51"/>
    <w:rsid w:val="009D38A7"/>
    <w:rsid w:val="009D3E0B"/>
    <w:rsid w:val="009D4516"/>
    <w:rsid w:val="009D46F0"/>
    <w:rsid w:val="009D481F"/>
    <w:rsid w:val="009D4A52"/>
    <w:rsid w:val="009D591D"/>
    <w:rsid w:val="009D6039"/>
    <w:rsid w:val="009D6A1A"/>
    <w:rsid w:val="009D6CAB"/>
    <w:rsid w:val="009D6CCA"/>
    <w:rsid w:val="009D6D14"/>
    <w:rsid w:val="009D6DBC"/>
    <w:rsid w:val="009D6F46"/>
    <w:rsid w:val="009D751C"/>
    <w:rsid w:val="009D7786"/>
    <w:rsid w:val="009D7D66"/>
    <w:rsid w:val="009E0A30"/>
    <w:rsid w:val="009E1219"/>
    <w:rsid w:val="009E20FA"/>
    <w:rsid w:val="009E286F"/>
    <w:rsid w:val="009E2F4F"/>
    <w:rsid w:val="009E2FE3"/>
    <w:rsid w:val="009E3075"/>
    <w:rsid w:val="009E3508"/>
    <w:rsid w:val="009E37B6"/>
    <w:rsid w:val="009E3A9F"/>
    <w:rsid w:val="009E4ACB"/>
    <w:rsid w:val="009E4FD0"/>
    <w:rsid w:val="009E51B2"/>
    <w:rsid w:val="009E5336"/>
    <w:rsid w:val="009E5824"/>
    <w:rsid w:val="009E5B88"/>
    <w:rsid w:val="009E66D3"/>
    <w:rsid w:val="009E6700"/>
    <w:rsid w:val="009E68CC"/>
    <w:rsid w:val="009E6E68"/>
    <w:rsid w:val="009E71F3"/>
    <w:rsid w:val="009E740B"/>
    <w:rsid w:val="009E7ED0"/>
    <w:rsid w:val="009F0973"/>
    <w:rsid w:val="009F0C57"/>
    <w:rsid w:val="009F0FCF"/>
    <w:rsid w:val="009F0FE7"/>
    <w:rsid w:val="009F1086"/>
    <w:rsid w:val="009F10B9"/>
    <w:rsid w:val="009F150B"/>
    <w:rsid w:val="009F1766"/>
    <w:rsid w:val="009F23F9"/>
    <w:rsid w:val="009F2452"/>
    <w:rsid w:val="009F2C34"/>
    <w:rsid w:val="009F3155"/>
    <w:rsid w:val="009F34DD"/>
    <w:rsid w:val="009F386E"/>
    <w:rsid w:val="009F3C03"/>
    <w:rsid w:val="009F4482"/>
    <w:rsid w:val="009F4749"/>
    <w:rsid w:val="009F4DA7"/>
    <w:rsid w:val="009F52B9"/>
    <w:rsid w:val="009F57AF"/>
    <w:rsid w:val="009F5B96"/>
    <w:rsid w:val="009F5C31"/>
    <w:rsid w:val="009F5DCF"/>
    <w:rsid w:val="009F639C"/>
    <w:rsid w:val="009F6541"/>
    <w:rsid w:val="009F68A8"/>
    <w:rsid w:val="009F697F"/>
    <w:rsid w:val="009F6DDF"/>
    <w:rsid w:val="009F7723"/>
    <w:rsid w:val="009F7A17"/>
    <w:rsid w:val="009F7CF4"/>
    <w:rsid w:val="009F7F3B"/>
    <w:rsid w:val="00A004AA"/>
    <w:rsid w:val="00A00757"/>
    <w:rsid w:val="00A008BA"/>
    <w:rsid w:val="00A00D6B"/>
    <w:rsid w:val="00A00EAE"/>
    <w:rsid w:val="00A02159"/>
    <w:rsid w:val="00A02550"/>
    <w:rsid w:val="00A028F6"/>
    <w:rsid w:val="00A02A71"/>
    <w:rsid w:val="00A036AA"/>
    <w:rsid w:val="00A036B5"/>
    <w:rsid w:val="00A03EED"/>
    <w:rsid w:val="00A03F0B"/>
    <w:rsid w:val="00A041B9"/>
    <w:rsid w:val="00A04434"/>
    <w:rsid w:val="00A04B0F"/>
    <w:rsid w:val="00A0589C"/>
    <w:rsid w:val="00A0597C"/>
    <w:rsid w:val="00A06266"/>
    <w:rsid w:val="00A06772"/>
    <w:rsid w:val="00A068C6"/>
    <w:rsid w:val="00A06BAF"/>
    <w:rsid w:val="00A0709F"/>
    <w:rsid w:val="00A07358"/>
    <w:rsid w:val="00A07884"/>
    <w:rsid w:val="00A07B78"/>
    <w:rsid w:val="00A07EDC"/>
    <w:rsid w:val="00A10723"/>
    <w:rsid w:val="00A1107E"/>
    <w:rsid w:val="00A113D2"/>
    <w:rsid w:val="00A117E4"/>
    <w:rsid w:val="00A12109"/>
    <w:rsid w:val="00A134E1"/>
    <w:rsid w:val="00A138E3"/>
    <w:rsid w:val="00A13A39"/>
    <w:rsid w:val="00A13A66"/>
    <w:rsid w:val="00A13FD1"/>
    <w:rsid w:val="00A14006"/>
    <w:rsid w:val="00A146C6"/>
    <w:rsid w:val="00A14A2B"/>
    <w:rsid w:val="00A14BE6"/>
    <w:rsid w:val="00A1507C"/>
    <w:rsid w:val="00A150F0"/>
    <w:rsid w:val="00A158A2"/>
    <w:rsid w:val="00A16450"/>
    <w:rsid w:val="00A16B51"/>
    <w:rsid w:val="00A16D76"/>
    <w:rsid w:val="00A16FEA"/>
    <w:rsid w:val="00A176D5"/>
    <w:rsid w:val="00A177AB"/>
    <w:rsid w:val="00A17883"/>
    <w:rsid w:val="00A17947"/>
    <w:rsid w:val="00A17B1D"/>
    <w:rsid w:val="00A17DCC"/>
    <w:rsid w:val="00A17F91"/>
    <w:rsid w:val="00A2050B"/>
    <w:rsid w:val="00A20E48"/>
    <w:rsid w:val="00A218EC"/>
    <w:rsid w:val="00A21F76"/>
    <w:rsid w:val="00A22CFA"/>
    <w:rsid w:val="00A22E1E"/>
    <w:rsid w:val="00A22F25"/>
    <w:rsid w:val="00A2337C"/>
    <w:rsid w:val="00A23D83"/>
    <w:rsid w:val="00A244A4"/>
    <w:rsid w:val="00A24A12"/>
    <w:rsid w:val="00A24A90"/>
    <w:rsid w:val="00A24B1C"/>
    <w:rsid w:val="00A2535E"/>
    <w:rsid w:val="00A2553A"/>
    <w:rsid w:val="00A2555A"/>
    <w:rsid w:val="00A2622D"/>
    <w:rsid w:val="00A269AC"/>
    <w:rsid w:val="00A26B43"/>
    <w:rsid w:val="00A26CB5"/>
    <w:rsid w:val="00A3008E"/>
    <w:rsid w:val="00A303AC"/>
    <w:rsid w:val="00A30AB1"/>
    <w:rsid w:val="00A3102D"/>
    <w:rsid w:val="00A31CCE"/>
    <w:rsid w:val="00A324DE"/>
    <w:rsid w:val="00A324F3"/>
    <w:rsid w:val="00A32532"/>
    <w:rsid w:val="00A326AE"/>
    <w:rsid w:val="00A32F2C"/>
    <w:rsid w:val="00A3304E"/>
    <w:rsid w:val="00A33080"/>
    <w:rsid w:val="00A33082"/>
    <w:rsid w:val="00A3328C"/>
    <w:rsid w:val="00A332A1"/>
    <w:rsid w:val="00A332EB"/>
    <w:rsid w:val="00A33552"/>
    <w:rsid w:val="00A337AB"/>
    <w:rsid w:val="00A33CD8"/>
    <w:rsid w:val="00A34164"/>
    <w:rsid w:val="00A343E2"/>
    <w:rsid w:val="00A34619"/>
    <w:rsid w:val="00A34D78"/>
    <w:rsid w:val="00A34EA4"/>
    <w:rsid w:val="00A350D4"/>
    <w:rsid w:val="00A351B0"/>
    <w:rsid w:val="00A355F8"/>
    <w:rsid w:val="00A3573C"/>
    <w:rsid w:val="00A35945"/>
    <w:rsid w:val="00A35989"/>
    <w:rsid w:val="00A35CAD"/>
    <w:rsid w:val="00A35D86"/>
    <w:rsid w:val="00A364EF"/>
    <w:rsid w:val="00A36BEA"/>
    <w:rsid w:val="00A36CEF"/>
    <w:rsid w:val="00A36DC4"/>
    <w:rsid w:val="00A37145"/>
    <w:rsid w:val="00A373D8"/>
    <w:rsid w:val="00A37840"/>
    <w:rsid w:val="00A379EF"/>
    <w:rsid w:val="00A37ABC"/>
    <w:rsid w:val="00A40073"/>
    <w:rsid w:val="00A40448"/>
    <w:rsid w:val="00A404DB"/>
    <w:rsid w:val="00A405ED"/>
    <w:rsid w:val="00A40C0B"/>
    <w:rsid w:val="00A40E6C"/>
    <w:rsid w:val="00A4103F"/>
    <w:rsid w:val="00A418EC"/>
    <w:rsid w:val="00A41924"/>
    <w:rsid w:val="00A4251D"/>
    <w:rsid w:val="00A4270C"/>
    <w:rsid w:val="00A42951"/>
    <w:rsid w:val="00A42CA7"/>
    <w:rsid w:val="00A42E42"/>
    <w:rsid w:val="00A42F7A"/>
    <w:rsid w:val="00A42FB7"/>
    <w:rsid w:val="00A430B5"/>
    <w:rsid w:val="00A43204"/>
    <w:rsid w:val="00A43265"/>
    <w:rsid w:val="00A4341B"/>
    <w:rsid w:val="00A43901"/>
    <w:rsid w:val="00A4391C"/>
    <w:rsid w:val="00A439A3"/>
    <w:rsid w:val="00A43BDE"/>
    <w:rsid w:val="00A4446F"/>
    <w:rsid w:val="00A44CEB"/>
    <w:rsid w:val="00A44FF1"/>
    <w:rsid w:val="00A4553F"/>
    <w:rsid w:val="00A45F49"/>
    <w:rsid w:val="00A46078"/>
    <w:rsid w:val="00A46528"/>
    <w:rsid w:val="00A4668B"/>
    <w:rsid w:val="00A4692D"/>
    <w:rsid w:val="00A46A2C"/>
    <w:rsid w:val="00A477D5"/>
    <w:rsid w:val="00A47848"/>
    <w:rsid w:val="00A501DA"/>
    <w:rsid w:val="00A50786"/>
    <w:rsid w:val="00A50B08"/>
    <w:rsid w:val="00A51060"/>
    <w:rsid w:val="00A51179"/>
    <w:rsid w:val="00A517CC"/>
    <w:rsid w:val="00A51DF2"/>
    <w:rsid w:val="00A51EAF"/>
    <w:rsid w:val="00A52F02"/>
    <w:rsid w:val="00A535E1"/>
    <w:rsid w:val="00A5399A"/>
    <w:rsid w:val="00A539F5"/>
    <w:rsid w:val="00A53FCE"/>
    <w:rsid w:val="00A54019"/>
    <w:rsid w:val="00A540FB"/>
    <w:rsid w:val="00A548D3"/>
    <w:rsid w:val="00A54FFE"/>
    <w:rsid w:val="00A55959"/>
    <w:rsid w:val="00A55A1D"/>
    <w:rsid w:val="00A55A74"/>
    <w:rsid w:val="00A55A85"/>
    <w:rsid w:val="00A5605B"/>
    <w:rsid w:val="00A56356"/>
    <w:rsid w:val="00A56F3B"/>
    <w:rsid w:val="00A57487"/>
    <w:rsid w:val="00A57A6C"/>
    <w:rsid w:val="00A61096"/>
    <w:rsid w:val="00A612F2"/>
    <w:rsid w:val="00A616BB"/>
    <w:rsid w:val="00A620EE"/>
    <w:rsid w:val="00A622B4"/>
    <w:rsid w:val="00A63313"/>
    <w:rsid w:val="00A6392B"/>
    <w:rsid w:val="00A63AE3"/>
    <w:rsid w:val="00A63CE2"/>
    <w:rsid w:val="00A64E2A"/>
    <w:rsid w:val="00A6559C"/>
    <w:rsid w:val="00A65744"/>
    <w:rsid w:val="00A65B2A"/>
    <w:rsid w:val="00A66243"/>
    <w:rsid w:val="00A66280"/>
    <w:rsid w:val="00A66E58"/>
    <w:rsid w:val="00A67135"/>
    <w:rsid w:val="00A67EDA"/>
    <w:rsid w:val="00A7080C"/>
    <w:rsid w:val="00A71046"/>
    <w:rsid w:val="00A71223"/>
    <w:rsid w:val="00A712BA"/>
    <w:rsid w:val="00A719B6"/>
    <w:rsid w:val="00A72090"/>
    <w:rsid w:val="00A720D0"/>
    <w:rsid w:val="00A72189"/>
    <w:rsid w:val="00A73EF8"/>
    <w:rsid w:val="00A75003"/>
    <w:rsid w:val="00A754E9"/>
    <w:rsid w:val="00A75608"/>
    <w:rsid w:val="00A75723"/>
    <w:rsid w:val="00A766FE"/>
    <w:rsid w:val="00A7683D"/>
    <w:rsid w:val="00A76AC0"/>
    <w:rsid w:val="00A76BB1"/>
    <w:rsid w:val="00A7707D"/>
    <w:rsid w:val="00A772C0"/>
    <w:rsid w:val="00A7731C"/>
    <w:rsid w:val="00A7766F"/>
    <w:rsid w:val="00A776B8"/>
    <w:rsid w:val="00A776F5"/>
    <w:rsid w:val="00A77CA6"/>
    <w:rsid w:val="00A77EB1"/>
    <w:rsid w:val="00A77F37"/>
    <w:rsid w:val="00A802DB"/>
    <w:rsid w:val="00A80C4A"/>
    <w:rsid w:val="00A80F78"/>
    <w:rsid w:val="00A8129A"/>
    <w:rsid w:val="00A8191D"/>
    <w:rsid w:val="00A82795"/>
    <w:rsid w:val="00A82C48"/>
    <w:rsid w:val="00A82DD2"/>
    <w:rsid w:val="00A8305C"/>
    <w:rsid w:val="00A830F8"/>
    <w:rsid w:val="00A83218"/>
    <w:rsid w:val="00A837D6"/>
    <w:rsid w:val="00A83AC3"/>
    <w:rsid w:val="00A83E31"/>
    <w:rsid w:val="00A849FE"/>
    <w:rsid w:val="00A8564D"/>
    <w:rsid w:val="00A85708"/>
    <w:rsid w:val="00A85CC4"/>
    <w:rsid w:val="00A85E8A"/>
    <w:rsid w:val="00A85F8F"/>
    <w:rsid w:val="00A86590"/>
    <w:rsid w:val="00A86938"/>
    <w:rsid w:val="00A869AE"/>
    <w:rsid w:val="00A869FD"/>
    <w:rsid w:val="00A871F4"/>
    <w:rsid w:val="00A87319"/>
    <w:rsid w:val="00A90750"/>
    <w:rsid w:val="00A907C4"/>
    <w:rsid w:val="00A9081B"/>
    <w:rsid w:val="00A90F05"/>
    <w:rsid w:val="00A90FB4"/>
    <w:rsid w:val="00A91B74"/>
    <w:rsid w:val="00A91DAF"/>
    <w:rsid w:val="00A91DD7"/>
    <w:rsid w:val="00A92555"/>
    <w:rsid w:val="00A92B9D"/>
    <w:rsid w:val="00A9305C"/>
    <w:rsid w:val="00A931CA"/>
    <w:rsid w:val="00A93365"/>
    <w:rsid w:val="00A935D7"/>
    <w:rsid w:val="00A937A8"/>
    <w:rsid w:val="00A93A32"/>
    <w:rsid w:val="00A93A99"/>
    <w:rsid w:val="00A93AA9"/>
    <w:rsid w:val="00A93AAB"/>
    <w:rsid w:val="00A93C5C"/>
    <w:rsid w:val="00A93D58"/>
    <w:rsid w:val="00A93F13"/>
    <w:rsid w:val="00A95109"/>
    <w:rsid w:val="00A9525F"/>
    <w:rsid w:val="00A9527F"/>
    <w:rsid w:val="00A952DF"/>
    <w:rsid w:val="00A9550C"/>
    <w:rsid w:val="00A95F4C"/>
    <w:rsid w:val="00A96588"/>
    <w:rsid w:val="00A96980"/>
    <w:rsid w:val="00A96B60"/>
    <w:rsid w:val="00A97093"/>
    <w:rsid w:val="00A976A7"/>
    <w:rsid w:val="00AA00AA"/>
    <w:rsid w:val="00AA03EF"/>
    <w:rsid w:val="00AA0BB6"/>
    <w:rsid w:val="00AA0D59"/>
    <w:rsid w:val="00AA1127"/>
    <w:rsid w:val="00AA1517"/>
    <w:rsid w:val="00AA1538"/>
    <w:rsid w:val="00AA1823"/>
    <w:rsid w:val="00AA1C71"/>
    <w:rsid w:val="00AA1F94"/>
    <w:rsid w:val="00AA206A"/>
    <w:rsid w:val="00AA2176"/>
    <w:rsid w:val="00AA258D"/>
    <w:rsid w:val="00AA262D"/>
    <w:rsid w:val="00AA26F9"/>
    <w:rsid w:val="00AA277D"/>
    <w:rsid w:val="00AA30DE"/>
    <w:rsid w:val="00AA312C"/>
    <w:rsid w:val="00AA34BA"/>
    <w:rsid w:val="00AA39FA"/>
    <w:rsid w:val="00AA3E83"/>
    <w:rsid w:val="00AA48BD"/>
    <w:rsid w:val="00AA4D3F"/>
    <w:rsid w:val="00AA5163"/>
    <w:rsid w:val="00AA5181"/>
    <w:rsid w:val="00AA55E7"/>
    <w:rsid w:val="00AA5E44"/>
    <w:rsid w:val="00AA62B5"/>
    <w:rsid w:val="00AA6387"/>
    <w:rsid w:val="00AA66E9"/>
    <w:rsid w:val="00AA7F11"/>
    <w:rsid w:val="00AB021C"/>
    <w:rsid w:val="00AB0667"/>
    <w:rsid w:val="00AB0888"/>
    <w:rsid w:val="00AB1460"/>
    <w:rsid w:val="00AB15FA"/>
    <w:rsid w:val="00AB192D"/>
    <w:rsid w:val="00AB1BE1"/>
    <w:rsid w:val="00AB1EBF"/>
    <w:rsid w:val="00AB372C"/>
    <w:rsid w:val="00AB3BE4"/>
    <w:rsid w:val="00AB42AD"/>
    <w:rsid w:val="00AB4F5F"/>
    <w:rsid w:val="00AB5C63"/>
    <w:rsid w:val="00AB5D19"/>
    <w:rsid w:val="00AB5E29"/>
    <w:rsid w:val="00AB5EEE"/>
    <w:rsid w:val="00AB5FA8"/>
    <w:rsid w:val="00AB6736"/>
    <w:rsid w:val="00AB7051"/>
    <w:rsid w:val="00AB7419"/>
    <w:rsid w:val="00AC00D7"/>
    <w:rsid w:val="00AC0C48"/>
    <w:rsid w:val="00AC0D4A"/>
    <w:rsid w:val="00AC142A"/>
    <w:rsid w:val="00AC1668"/>
    <w:rsid w:val="00AC1967"/>
    <w:rsid w:val="00AC198C"/>
    <w:rsid w:val="00AC1A31"/>
    <w:rsid w:val="00AC1B67"/>
    <w:rsid w:val="00AC27ED"/>
    <w:rsid w:val="00AC285C"/>
    <w:rsid w:val="00AC3266"/>
    <w:rsid w:val="00AC34B0"/>
    <w:rsid w:val="00AC34EC"/>
    <w:rsid w:val="00AC36F0"/>
    <w:rsid w:val="00AC3947"/>
    <w:rsid w:val="00AC39F5"/>
    <w:rsid w:val="00AC3D3C"/>
    <w:rsid w:val="00AC41D2"/>
    <w:rsid w:val="00AC44FE"/>
    <w:rsid w:val="00AC4660"/>
    <w:rsid w:val="00AC4E63"/>
    <w:rsid w:val="00AC52FB"/>
    <w:rsid w:val="00AC5A57"/>
    <w:rsid w:val="00AC5D8C"/>
    <w:rsid w:val="00AC5E92"/>
    <w:rsid w:val="00AC6779"/>
    <w:rsid w:val="00AC6EBC"/>
    <w:rsid w:val="00AC7006"/>
    <w:rsid w:val="00AC752E"/>
    <w:rsid w:val="00AC7A65"/>
    <w:rsid w:val="00AD0089"/>
    <w:rsid w:val="00AD0360"/>
    <w:rsid w:val="00AD0592"/>
    <w:rsid w:val="00AD05FB"/>
    <w:rsid w:val="00AD0702"/>
    <w:rsid w:val="00AD0A92"/>
    <w:rsid w:val="00AD1081"/>
    <w:rsid w:val="00AD10C3"/>
    <w:rsid w:val="00AD11F6"/>
    <w:rsid w:val="00AD1467"/>
    <w:rsid w:val="00AD1BA5"/>
    <w:rsid w:val="00AD248D"/>
    <w:rsid w:val="00AD2B10"/>
    <w:rsid w:val="00AD2D2E"/>
    <w:rsid w:val="00AD38EE"/>
    <w:rsid w:val="00AD3F6B"/>
    <w:rsid w:val="00AD4618"/>
    <w:rsid w:val="00AD4637"/>
    <w:rsid w:val="00AD47C9"/>
    <w:rsid w:val="00AD4E00"/>
    <w:rsid w:val="00AD5BB7"/>
    <w:rsid w:val="00AD5E4C"/>
    <w:rsid w:val="00AD64A4"/>
    <w:rsid w:val="00AD67D5"/>
    <w:rsid w:val="00AD6B02"/>
    <w:rsid w:val="00AD6CD1"/>
    <w:rsid w:val="00AD6D1C"/>
    <w:rsid w:val="00AD6EA7"/>
    <w:rsid w:val="00AD7A0A"/>
    <w:rsid w:val="00AD7CCB"/>
    <w:rsid w:val="00AE0412"/>
    <w:rsid w:val="00AE042B"/>
    <w:rsid w:val="00AE0B64"/>
    <w:rsid w:val="00AE0B75"/>
    <w:rsid w:val="00AE0BE6"/>
    <w:rsid w:val="00AE0F60"/>
    <w:rsid w:val="00AE1006"/>
    <w:rsid w:val="00AE1068"/>
    <w:rsid w:val="00AE14D8"/>
    <w:rsid w:val="00AE1885"/>
    <w:rsid w:val="00AE1A58"/>
    <w:rsid w:val="00AE1D5A"/>
    <w:rsid w:val="00AE20A7"/>
    <w:rsid w:val="00AE20CD"/>
    <w:rsid w:val="00AE257C"/>
    <w:rsid w:val="00AE2BE0"/>
    <w:rsid w:val="00AE2EEF"/>
    <w:rsid w:val="00AE31E3"/>
    <w:rsid w:val="00AE34AC"/>
    <w:rsid w:val="00AE3579"/>
    <w:rsid w:val="00AE35B0"/>
    <w:rsid w:val="00AE35BA"/>
    <w:rsid w:val="00AE3E61"/>
    <w:rsid w:val="00AE4399"/>
    <w:rsid w:val="00AE45B4"/>
    <w:rsid w:val="00AE50E3"/>
    <w:rsid w:val="00AE513C"/>
    <w:rsid w:val="00AE5463"/>
    <w:rsid w:val="00AE56B8"/>
    <w:rsid w:val="00AE6116"/>
    <w:rsid w:val="00AE6E90"/>
    <w:rsid w:val="00AE6FDB"/>
    <w:rsid w:val="00AE737F"/>
    <w:rsid w:val="00AE7712"/>
    <w:rsid w:val="00AE7806"/>
    <w:rsid w:val="00AE7BC9"/>
    <w:rsid w:val="00AE7F47"/>
    <w:rsid w:val="00AF059F"/>
    <w:rsid w:val="00AF0775"/>
    <w:rsid w:val="00AF0FC4"/>
    <w:rsid w:val="00AF1347"/>
    <w:rsid w:val="00AF13A8"/>
    <w:rsid w:val="00AF1C1F"/>
    <w:rsid w:val="00AF1E92"/>
    <w:rsid w:val="00AF1F08"/>
    <w:rsid w:val="00AF275E"/>
    <w:rsid w:val="00AF2C82"/>
    <w:rsid w:val="00AF2D23"/>
    <w:rsid w:val="00AF3337"/>
    <w:rsid w:val="00AF35BF"/>
    <w:rsid w:val="00AF3C0A"/>
    <w:rsid w:val="00AF40E3"/>
    <w:rsid w:val="00AF410D"/>
    <w:rsid w:val="00AF4544"/>
    <w:rsid w:val="00AF4B87"/>
    <w:rsid w:val="00AF4D01"/>
    <w:rsid w:val="00AF4F07"/>
    <w:rsid w:val="00AF54AB"/>
    <w:rsid w:val="00AF577F"/>
    <w:rsid w:val="00AF5EB3"/>
    <w:rsid w:val="00AF61A5"/>
    <w:rsid w:val="00AF6496"/>
    <w:rsid w:val="00AF664C"/>
    <w:rsid w:val="00AF67A0"/>
    <w:rsid w:val="00AF775D"/>
    <w:rsid w:val="00AF7B22"/>
    <w:rsid w:val="00AF7E49"/>
    <w:rsid w:val="00B0054D"/>
    <w:rsid w:val="00B00568"/>
    <w:rsid w:val="00B0056A"/>
    <w:rsid w:val="00B008E8"/>
    <w:rsid w:val="00B00A89"/>
    <w:rsid w:val="00B00CE8"/>
    <w:rsid w:val="00B00E4D"/>
    <w:rsid w:val="00B00EA6"/>
    <w:rsid w:val="00B01059"/>
    <w:rsid w:val="00B015F8"/>
    <w:rsid w:val="00B01735"/>
    <w:rsid w:val="00B01A24"/>
    <w:rsid w:val="00B01C07"/>
    <w:rsid w:val="00B01D7A"/>
    <w:rsid w:val="00B0206F"/>
    <w:rsid w:val="00B0241C"/>
    <w:rsid w:val="00B0263F"/>
    <w:rsid w:val="00B02791"/>
    <w:rsid w:val="00B02FD9"/>
    <w:rsid w:val="00B03DC3"/>
    <w:rsid w:val="00B03FE7"/>
    <w:rsid w:val="00B049E4"/>
    <w:rsid w:val="00B04D01"/>
    <w:rsid w:val="00B057C5"/>
    <w:rsid w:val="00B058B5"/>
    <w:rsid w:val="00B0591C"/>
    <w:rsid w:val="00B05BCE"/>
    <w:rsid w:val="00B05FFC"/>
    <w:rsid w:val="00B060DC"/>
    <w:rsid w:val="00B06713"/>
    <w:rsid w:val="00B0719A"/>
    <w:rsid w:val="00B071A3"/>
    <w:rsid w:val="00B0728F"/>
    <w:rsid w:val="00B075CA"/>
    <w:rsid w:val="00B075F6"/>
    <w:rsid w:val="00B07A2E"/>
    <w:rsid w:val="00B07C7F"/>
    <w:rsid w:val="00B07F11"/>
    <w:rsid w:val="00B103B4"/>
    <w:rsid w:val="00B105CF"/>
    <w:rsid w:val="00B1060D"/>
    <w:rsid w:val="00B10C2F"/>
    <w:rsid w:val="00B10D7D"/>
    <w:rsid w:val="00B1125C"/>
    <w:rsid w:val="00B11559"/>
    <w:rsid w:val="00B11641"/>
    <w:rsid w:val="00B117A7"/>
    <w:rsid w:val="00B11943"/>
    <w:rsid w:val="00B11F4E"/>
    <w:rsid w:val="00B1282B"/>
    <w:rsid w:val="00B12BF8"/>
    <w:rsid w:val="00B12D23"/>
    <w:rsid w:val="00B133E1"/>
    <w:rsid w:val="00B139AD"/>
    <w:rsid w:val="00B13C49"/>
    <w:rsid w:val="00B13E1D"/>
    <w:rsid w:val="00B13F92"/>
    <w:rsid w:val="00B141A1"/>
    <w:rsid w:val="00B144B0"/>
    <w:rsid w:val="00B154C2"/>
    <w:rsid w:val="00B155BC"/>
    <w:rsid w:val="00B15BB9"/>
    <w:rsid w:val="00B15DDC"/>
    <w:rsid w:val="00B16472"/>
    <w:rsid w:val="00B1647E"/>
    <w:rsid w:val="00B16959"/>
    <w:rsid w:val="00B16960"/>
    <w:rsid w:val="00B16A3C"/>
    <w:rsid w:val="00B17247"/>
    <w:rsid w:val="00B17B97"/>
    <w:rsid w:val="00B20273"/>
    <w:rsid w:val="00B20412"/>
    <w:rsid w:val="00B20437"/>
    <w:rsid w:val="00B20776"/>
    <w:rsid w:val="00B21286"/>
    <w:rsid w:val="00B22B71"/>
    <w:rsid w:val="00B22EB1"/>
    <w:rsid w:val="00B23D76"/>
    <w:rsid w:val="00B23F67"/>
    <w:rsid w:val="00B2439C"/>
    <w:rsid w:val="00B243CE"/>
    <w:rsid w:val="00B2470D"/>
    <w:rsid w:val="00B2491C"/>
    <w:rsid w:val="00B24979"/>
    <w:rsid w:val="00B24B59"/>
    <w:rsid w:val="00B25A4F"/>
    <w:rsid w:val="00B25DC3"/>
    <w:rsid w:val="00B25E08"/>
    <w:rsid w:val="00B260A4"/>
    <w:rsid w:val="00B264C1"/>
    <w:rsid w:val="00B26742"/>
    <w:rsid w:val="00B26772"/>
    <w:rsid w:val="00B26A89"/>
    <w:rsid w:val="00B27104"/>
    <w:rsid w:val="00B27AD5"/>
    <w:rsid w:val="00B27D17"/>
    <w:rsid w:val="00B30703"/>
    <w:rsid w:val="00B30C2F"/>
    <w:rsid w:val="00B30F45"/>
    <w:rsid w:val="00B32732"/>
    <w:rsid w:val="00B3301C"/>
    <w:rsid w:val="00B337A0"/>
    <w:rsid w:val="00B33869"/>
    <w:rsid w:val="00B3398B"/>
    <w:rsid w:val="00B33A9B"/>
    <w:rsid w:val="00B33E62"/>
    <w:rsid w:val="00B340F1"/>
    <w:rsid w:val="00B34C9A"/>
    <w:rsid w:val="00B3515A"/>
    <w:rsid w:val="00B35FCF"/>
    <w:rsid w:val="00B35FDD"/>
    <w:rsid w:val="00B3640E"/>
    <w:rsid w:val="00B364AE"/>
    <w:rsid w:val="00B3655A"/>
    <w:rsid w:val="00B365DE"/>
    <w:rsid w:val="00B3679A"/>
    <w:rsid w:val="00B36BD9"/>
    <w:rsid w:val="00B372EC"/>
    <w:rsid w:val="00B37301"/>
    <w:rsid w:val="00B37C16"/>
    <w:rsid w:val="00B37CEC"/>
    <w:rsid w:val="00B37DDE"/>
    <w:rsid w:val="00B40057"/>
    <w:rsid w:val="00B402E0"/>
    <w:rsid w:val="00B4087C"/>
    <w:rsid w:val="00B40986"/>
    <w:rsid w:val="00B40BCE"/>
    <w:rsid w:val="00B40BE1"/>
    <w:rsid w:val="00B40C45"/>
    <w:rsid w:val="00B41153"/>
    <w:rsid w:val="00B411DF"/>
    <w:rsid w:val="00B41484"/>
    <w:rsid w:val="00B41858"/>
    <w:rsid w:val="00B4280A"/>
    <w:rsid w:val="00B4312B"/>
    <w:rsid w:val="00B43A38"/>
    <w:rsid w:val="00B43BBC"/>
    <w:rsid w:val="00B43D42"/>
    <w:rsid w:val="00B43FE8"/>
    <w:rsid w:val="00B4428A"/>
    <w:rsid w:val="00B44317"/>
    <w:rsid w:val="00B44844"/>
    <w:rsid w:val="00B4515A"/>
    <w:rsid w:val="00B45275"/>
    <w:rsid w:val="00B45800"/>
    <w:rsid w:val="00B45A90"/>
    <w:rsid w:val="00B46274"/>
    <w:rsid w:val="00B47748"/>
    <w:rsid w:val="00B5025A"/>
    <w:rsid w:val="00B50F16"/>
    <w:rsid w:val="00B510FB"/>
    <w:rsid w:val="00B5194B"/>
    <w:rsid w:val="00B51A2C"/>
    <w:rsid w:val="00B51DA4"/>
    <w:rsid w:val="00B51ED1"/>
    <w:rsid w:val="00B521BC"/>
    <w:rsid w:val="00B5245F"/>
    <w:rsid w:val="00B524E6"/>
    <w:rsid w:val="00B52751"/>
    <w:rsid w:val="00B52796"/>
    <w:rsid w:val="00B53179"/>
    <w:rsid w:val="00B532AF"/>
    <w:rsid w:val="00B5368E"/>
    <w:rsid w:val="00B53900"/>
    <w:rsid w:val="00B5409E"/>
    <w:rsid w:val="00B54422"/>
    <w:rsid w:val="00B5446C"/>
    <w:rsid w:val="00B54712"/>
    <w:rsid w:val="00B5500B"/>
    <w:rsid w:val="00B55440"/>
    <w:rsid w:val="00B554A9"/>
    <w:rsid w:val="00B556ED"/>
    <w:rsid w:val="00B557A7"/>
    <w:rsid w:val="00B55D93"/>
    <w:rsid w:val="00B55E42"/>
    <w:rsid w:val="00B55E58"/>
    <w:rsid w:val="00B55F8D"/>
    <w:rsid w:val="00B55FCF"/>
    <w:rsid w:val="00B562AD"/>
    <w:rsid w:val="00B566F4"/>
    <w:rsid w:val="00B56C0F"/>
    <w:rsid w:val="00B56C5C"/>
    <w:rsid w:val="00B57085"/>
    <w:rsid w:val="00B57296"/>
    <w:rsid w:val="00B575EF"/>
    <w:rsid w:val="00B57989"/>
    <w:rsid w:val="00B600E5"/>
    <w:rsid w:val="00B6019C"/>
    <w:rsid w:val="00B608F8"/>
    <w:rsid w:val="00B60C73"/>
    <w:rsid w:val="00B61D0E"/>
    <w:rsid w:val="00B61F05"/>
    <w:rsid w:val="00B62061"/>
    <w:rsid w:val="00B62349"/>
    <w:rsid w:val="00B626C2"/>
    <w:rsid w:val="00B626FC"/>
    <w:rsid w:val="00B62B3E"/>
    <w:rsid w:val="00B62E29"/>
    <w:rsid w:val="00B63BB1"/>
    <w:rsid w:val="00B63E94"/>
    <w:rsid w:val="00B64567"/>
    <w:rsid w:val="00B64A8B"/>
    <w:rsid w:val="00B6507B"/>
    <w:rsid w:val="00B6578E"/>
    <w:rsid w:val="00B6587D"/>
    <w:rsid w:val="00B65A68"/>
    <w:rsid w:val="00B66564"/>
    <w:rsid w:val="00B66AB1"/>
    <w:rsid w:val="00B66E6D"/>
    <w:rsid w:val="00B675F0"/>
    <w:rsid w:val="00B678E7"/>
    <w:rsid w:val="00B67930"/>
    <w:rsid w:val="00B70C19"/>
    <w:rsid w:val="00B70D5C"/>
    <w:rsid w:val="00B71C1D"/>
    <w:rsid w:val="00B71D79"/>
    <w:rsid w:val="00B721E3"/>
    <w:rsid w:val="00B72364"/>
    <w:rsid w:val="00B72633"/>
    <w:rsid w:val="00B72E55"/>
    <w:rsid w:val="00B736F8"/>
    <w:rsid w:val="00B73713"/>
    <w:rsid w:val="00B7427C"/>
    <w:rsid w:val="00B745EB"/>
    <w:rsid w:val="00B74800"/>
    <w:rsid w:val="00B74AE5"/>
    <w:rsid w:val="00B74C37"/>
    <w:rsid w:val="00B74C8E"/>
    <w:rsid w:val="00B7595D"/>
    <w:rsid w:val="00B75C1F"/>
    <w:rsid w:val="00B766C3"/>
    <w:rsid w:val="00B76B25"/>
    <w:rsid w:val="00B76EF4"/>
    <w:rsid w:val="00B77E9F"/>
    <w:rsid w:val="00B80059"/>
    <w:rsid w:val="00B8035B"/>
    <w:rsid w:val="00B80C88"/>
    <w:rsid w:val="00B81242"/>
    <w:rsid w:val="00B815E7"/>
    <w:rsid w:val="00B81AFC"/>
    <w:rsid w:val="00B81BEF"/>
    <w:rsid w:val="00B81C48"/>
    <w:rsid w:val="00B82260"/>
    <w:rsid w:val="00B82271"/>
    <w:rsid w:val="00B8303C"/>
    <w:rsid w:val="00B8382C"/>
    <w:rsid w:val="00B83990"/>
    <w:rsid w:val="00B83B8F"/>
    <w:rsid w:val="00B840FB"/>
    <w:rsid w:val="00B8414C"/>
    <w:rsid w:val="00B84222"/>
    <w:rsid w:val="00B844C8"/>
    <w:rsid w:val="00B8526C"/>
    <w:rsid w:val="00B87C01"/>
    <w:rsid w:val="00B90AA6"/>
    <w:rsid w:val="00B90EBC"/>
    <w:rsid w:val="00B92452"/>
    <w:rsid w:val="00B9259C"/>
    <w:rsid w:val="00B927A4"/>
    <w:rsid w:val="00B927AD"/>
    <w:rsid w:val="00B92AE8"/>
    <w:rsid w:val="00B93129"/>
    <w:rsid w:val="00B94036"/>
    <w:rsid w:val="00B94861"/>
    <w:rsid w:val="00B94AC2"/>
    <w:rsid w:val="00B94C17"/>
    <w:rsid w:val="00B94E9B"/>
    <w:rsid w:val="00B954BF"/>
    <w:rsid w:val="00B95BD5"/>
    <w:rsid w:val="00B95FEE"/>
    <w:rsid w:val="00B965E5"/>
    <w:rsid w:val="00B966D5"/>
    <w:rsid w:val="00B96BCA"/>
    <w:rsid w:val="00B97810"/>
    <w:rsid w:val="00B97E33"/>
    <w:rsid w:val="00BA0535"/>
    <w:rsid w:val="00BA11B8"/>
    <w:rsid w:val="00BA1319"/>
    <w:rsid w:val="00BA13C4"/>
    <w:rsid w:val="00BA1B7F"/>
    <w:rsid w:val="00BA24C7"/>
    <w:rsid w:val="00BA277B"/>
    <w:rsid w:val="00BA2D18"/>
    <w:rsid w:val="00BA3D91"/>
    <w:rsid w:val="00BA3E61"/>
    <w:rsid w:val="00BA4123"/>
    <w:rsid w:val="00BA4294"/>
    <w:rsid w:val="00BA47E4"/>
    <w:rsid w:val="00BA4E33"/>
    <w:rsid w:val="00BA52B6"/>
    <w:rsid w:val="00BA5B00"/>
    <w:rsid w:val="00BA61A4"/>
    <w:rsid w:val="00BA6770"/>
    <w:rsid w:val="00BA6884"/>
    <w:rsid w:val="00BA6E71"/>
    <w:rsid w:val="00BA71D4"/>
    <w:rsid w:val="00BA78E6"/>
    <w:rsid w:val="00BA7C1A"/>
    <w:rsid w:val="00BA7CE0"/>
    <w:rsid w:val="00BA7D5A"/>
    <w:rsid w:val="00BB007E"/>
    <w:rsid w:val="00BB0135"/>
    <w:rsid w:val="00BB0377"/>
    <w:rsid w:val="00BB0575"/>
    <w:rsid w:val="00BB0743"/>
    <w:rsid w:val="00BB1239"/>
    <w:rsid w:val="00BB1A2C"/>
    <w:rsid w:val="00BB1D0A"/>
    <w:rsid w:val="00BB1D2D"/>
    <w:rsid w:val="00BB1DE6"/>
    <w:rsid w:val="00BB2A63"/>
    <w:rsid w:val="00BB2E07"/>
    <w:rsid w:val="00BB2EE7"/>
    <w:rsid w:val="00BB3F03"/>
    <w:rsid w:val="00BB40B8"/>
    <w:rsid w:val="00BB4429"/>
    <w:rsid w:val="00BB4543"/>
    <w:rsid w:val="00BB4AFA"/>
    <w:rsid w:val="00BB4DD3"/>
    <w:rsid w:val="00BB5375"/>
    <w:rsid w:val="00BB54F8"/>
    <w:rsid w:val="00BB5A3E"/>
    <w:rsid w:val="00BB5C14"/>
    <w:rsid w:val="00BB687D"/>
    <w:rsid w:val="00BB790A"/>
    <w:rsid w:val="00BB7C83"/>
    <w:rsid w:val="00BB7CD4"/>
    <w:rsid w:val="00BB7E31"/>
    <w:rsid w:val="00BC02B4"/>
    <w:rsid w:val="00BC106A"/>
    <w:rsid w:val="00BC12FF"/>
    <w:rsid w:val="00BC180D"/>
    <w:rsid w:val="00BC1EB7"/>
    <w:rsid w:val="00BC23A9"/>
    <w:rsid w:val="00BC2DA2"/>
    <w:rsid w:val="00BC331D"/>
    <w:rsid w:val="00BC3473"/>
    <w:rsid w:val="00BC35DB"/>
    <w:rsid w:val="00BC3CB1"/>
    <w:rsid w:val="00BC3E3D"/>
    <w:rsid w:val="00BC4131"/>
    <w:rsid w:val="00BC41E1"/>
    <w:rsid w:val="00BC4D93"/>
    <w:rsid w:val="00BC52CF"/>
    <w:rsid w:val="00BC57EB"/>
    <w:rsid w:val="00BC5841"/>
    <w:rsid w:val="00BC5CDB"/>
    <w:rsid w:val="00BC60FB"/>
    <w:rsid w:val="00BC660A"/>
    <w:rsid w:val="00BC66B8"/>
    <w:rsid w:val="00BC69F9"/>
    <w:rsid w:val="00BC6E90"/>
    <w:rsid w:val="00BC7E72"/>
    <w:rsid w:val="00BD0109"/>
    <w:rsid w:val="00BD0225"/>
    <w:rsid w:val="00BD02C3"/>
    <w:rsid w:val="00BD0FB0"/>
    <w:rsid w:val="00BD14D9"/>
    <w:rsid w:val="00BD1879"/>
    <w:rsid w:val="00BD2B4F"/>
    <w:rsid w:val="00BD2D3C"/>
    <w:rsid w:val="00BD3144"/>
    <w:rsid w:val="00BD3989"/>
    <w:rsid w:val="00BD40B0"/>
    <w:rsid w:val="00BD4B1E"/>
    <w:rsid w:val="00BD4C58"/>
    <w:rsid w:val="00BD51D2"/>
    <w:rsid w:val="00BD5335"/>
    <w:rsid w:val="00BD595E"/>
    <w:rsid w:val="00BD5EB7"/>
    <w:rsid w:val="00BD6036"/>
    <w:rsid w:val="00BD61C6"/>
    <w:rsid w:val="00BD6374"/>
    <w:rsid w:val="00BD6826"/>
    <w:rsid w:val="00BD6ED0"/>
    <w:rsid w:val="00BD7103"/>
    <w:rsid w:val="00BD7B8D"/>
    <w:rsid w:val="00BD7D5F"/>
    <w:rsid w:val="00BE10DD"/>
    <w:rsid w:val="00BE1B04"/>
    <w:rsid w:val="00BE27CC"/>
    <w:rsid w:val="00BE2D93"/>
    <w:rsid w:val="00BE33EB"/>
    <w:rsid w:val="00BE3F03"/>
    <w:rsid w:val="00BE4060"/>
    <w:rsid w:val="00BE46B1"/>
    <w:rsid w:val="00BE4EE9"/>
    <w:rsid w:val="00BE5332"/>
    <w:rsid w:val="00BE5476"/>
    <w:rsid w:val="00BE5ACA"/>
    <w:rsid w:val="00BE6127"/>
    <w:rsid w:val="00BE64DA"/>
    <w:rsid w:val="00BE65FE"/>
    <w:rsid w:val="00BE6B96"/>
    <w:rsid w:val="00BE6D0F"/>
    <w:rsid w:val="00BE7067"/>
    <w:rsid w:val="00BE734C"/>
    <w:rsid w:val="00BE74CC"/>
    <w:rsid w:val="00BE7B0D"/>
    <w:rsid w:val="00BF0259"/>
    <w:rsid w:val="00BF057D"/>
    <w:rsid w:val="00BF090A"/>
    <w:rsid w:val="00BF138F"/>
    <w:rsid w:val="00BF22CF"/>
    <w:rsid w:val="00BF2C56"/>
    <w:rsid w:val="00BF308E"/>
    <w:rsid w:val="00BF3670"/>
    <w:rsid w:val="00BF45A4"/>
    <w:rsid w:val="00BF4820"/>
    <w:rsid w:val="00BF5948"/>
    <w:rsid w:val="00BF62A3"/>
    <w:rsid w:val="00BF6EA5"/>
    <w:rsid w:val="00BF78B5"/>
    <w:rsid w:val="00BF7E4B"/>
    <w:rsid w:val="00C006B6"/>
    <w:rsid w:val="00C00AE9"/>
    <w:rsid w:val="00C00BE3"/>
    <w:rsid w:val="00C01170"/>
    <w:rsid w:val="00C01249"/>
    <w:rsid w:val="00C014C2"/>
    <w:rsid w:val="00C01685"/>
    <w:rsid w:val="00C01945"/>
    <w:rsid w:val="00C021DD"/>
    <w:rsid w:val="00C02462"/>
    <w:rsid w:val="00C0264C"/>
    <w:rsid w:val="00C02741"/>
    <w:rsid w:val="00C02AEB"/>
    <w:rsid w:val="00C02F75"/>
    <w:rsid w:val="00C035A0"/>
    <w:rsid w:val="00C038BF"/>
    <w:rsid w:val="00C03C64"/>
    <w:rsid w:val="00C0492E"/>
    <w:rsid w:val="00C04E62"/>
    <w:rsid w:val="00C04ECF"/>
    <w:rsid w:val="00C04FB6"/>
    <w:rsid w:val="00C05090"/>
    <w:rsid w:val="00C055D3"/>
    <w:rsid w:val="00C05D67"/>
    <w:rsid w:val="00C06887"/>
    <w:rsid w:val="00C069AC"/>
    <w:rsid w:val="00C06B0D"/>
    <w:rsid w:val="00C06DDE"/>
    <w:rsid w:val="00C06FA1"/>
    <w:rsid w:val="00C070F2"/>
    <w:rsid w:val="00C07D58"/>
    <w:rsid w:val="00C1067B"/>
    <w:rsid w:val="00C10AC8"/>
    <w:rsid w:val="00C10C85"/>
    <w:rsid w:val="00C110A3"/>
    <w:rsid w:val="00C110E1"/>
    <w:rsid w:val="00C114F1"/>
    <w:rsid w:val="00C11A30"/>
    <w:rsid w:val="00C11C02"/>
    <w:rsid w:val="00C11FFD"/>
    <w:rsid w:val="00C120E5"/>
    <w:rsid w:val="00C12678"/>
    <w:rsid w:val="00C12908"/>
    <w:rsid w:val="00C12DC3"/>
    <w:rsid w:val="00C12E72"/>
    <w:rsid w:val="00C12FAE"/>
    <w:rsid w:val="00C13131"/>
    <w:rsid w:val="00C135DB"/>
    <w:rsid w:val="00C137D3"/>
    <w:rsid w:val="00C13DEB"/>
    <w:rsid w:val="00C143D1"/>
    <w:rsid w:val="00C148BE"/>
    <w:rsid w:val="00C149C6"/>
    <w:rsid w:val="00C151D9"/>
    <w:rsid w:val="00C1529B"/>
    <w:rsid w:val="00C1564B"/>
    <w:rsid w:val="00C15F19"/>
    <w:rsid w:val="00C16394"/>
    <w:rsid w:val="00C1686F"/>
    <w:rsid w:val="00C16982"/>
    <w:rsid w:val="00C169E2"/>
    <w:rsid w:val="00C16D56"/>
    <w:rsid w:val="00C16EC8"/>
    <w:rsid w:val="00C17278"/>
    <w:rsid w:val="00C17337"/>
    <w:rsid w:val="00C2021E"/>
    <w:rsid w:val="00C2033E"/>
    <w:rsid w:val="00C203C4"/>
    <w:rsid w:val="00C20B4C"/>
    <w:rsid w:val="00C20EEE"/>
    <w:rsid w:val="00C20F1D"/>
    <w:rsid w:val="00C2112C"/>
    <w:rsid w:val="00C220D9"/>
    <w:rsid w:val="00C22A0B"/>
    <w:rsid w:val="00C22A64"/>
    <w:rsid w:val="00C22D72"/>
    <w:rsid w:val="00C22EAA"/>
    <w:rsid w:val="00C2384D"/>
    <w:rsid w:val="00C23E24"/>
    <w:rsid w:val="00C24458"/>
    <w:rsid w:val="00C24527"/>
    <w:rsid w:val="00C24A9B"/>
    <w:rsid w:val="00C266ED"/>
    <w:rsid w:val="00C26BCB"/>
    <w:rsid w:val="00C27332"/>
    <w:rsid w:val="00C277EA"/>
    <w:rsid w:val="00C27952"/>
    <w:rsid w:val="00C27DA9"/>
    <w:rsid w:val="00C27F85"/>
    <w:rsid w:val="00C30013"/>
    <w:rsid w:val="00C300EB"/>
    <w:rsid w:val="00C31231"/>
    <w:rsid w:val="00C32AEE"/>
    <w:rsid w:val="00C32F21"/>
    <w:rsid w:val="00C3376A"/>
    <w:rsid w:val="00C33A3E"/>
    <w:rsid w:val="00C34412"/>
    <w:rsid w:val="00C34961"/>
    <w:rsid w:val="00C35074"/>
    <w:rsid w:val="00C358D9"/>
    <w:rsid w:val="00C35995"/>
    <w:rsid w:val="00C359D8"/>
    <w:rsid w:val="00C35A5D"/>
    <w:rsid w:val="00C35D5D"/>
    <w:rsid w:val="00C363B9"/>
    <w:rsid w:val="00C36D6E"/>
    <w:rsid w:val="00C37060"/>
    <w:rsid w:val="00C370D4"/>
    <w:rsid w:val="00C3780C"/>
    <w:rsid w:val="00C4000D"/>
    <w:rsid w:val="00C40123"/>
    <w:rsid w:val="00C40707"/>
    <w:rsid w:val="00C4096D"/>
    <w:rsid w:val="00C40D09"/>
    <w:rsid w:val="00C40F42"/>
    <w:rsid w:val="00C4117F"/>
    <w:rsid w:val="00C413C5"/>
    <w:rsid w:val="00C41510"/>
    <w:rsid w:val="00C41EF8"/>
    <w:rsid w:val="00C4262E"/>
    <w:rsid w:val="00C42E26"/>
    <w:rsid w:val="00C43114"/>
    <w:rsid w:val="00C441C7"/>
    <w:rsid w:val="00C443FE"/>
    <w:rsid w:val="00C4483E"/>
    <w:rsid w:val="00C44926"/>
    <w:rsid w:val="00C4496E"/>
    <w:rsid w:val="00C44C16"/>
    <w:rsid w:val="00C44D3A"/>
    <w:rsid w:val="00C45138"/>
    <w:rsid w:val="00C451F5"/>
    <w:rsid w:val="00C45832"/>
    <w:rsid w:val="00C4607C"/>
    <w:rsid w:val="00C47304"/>
    <w:rsid w:val="00C47A83"/>
    <w:rsid w:val="00C47DFC"/>
    <w:rsid w:val="00C501D6"/>
    <w:rsid w:val="00C5092B"/>
    <w:rsid w:val="00C510A6"/>
    <w:rsid w:val="00C510CE"/>
    <w:rsid w:val="00C5151D"/>
    <w:rsid w:val="00C5181B"/>
    <w:rsid w:val="00C5196F"/>
    <w:rsid w:val="00C51A35"/>
    <w:rsid w:val="00C52054"/>
    <w:rsid w:val="00C52299"/>
    <w:rsid w:val="00C52458"/>
    <w:rsid w:val="00C526ED"/>
    <w:rsid w:val="00C52E06"/>
    <w:rsid w:val="00C52F1C"/>
    <w:rsid w:val="00C52F84"/>
    <w:rsid w:val="00C53047"/>
    <w:rsid w:val="00C53356"/>
    <w:rsid w:val="00C53666"/>
    <w:rsid w:val="00C53C06"/>
    <w:rsid w:val="00C53C7B"/>
    <w:rsid w:val="00C54547"/>
    <w:rsid w:val="00C54767"/>
    <w:rsid w:val="00C550AB"/>
    <w:rsid w:val="00C553AD"/>
    <w:rsid w:val="00C55498"/>
    <w:rsid w:val="00C55548"/>
    <w:rsid w:val="00C5599D"/>
    <w:rsid w:val="00C55EC7"/>
    <w:rsid w:val="00C560D4"/>
    <w:rsid w:val="00C56B50"/>
    <w:rsid w:val="00C574BB"/>
    <w:rsid w:val="00C5766D"/>
    <w:rsid w:val="00C5771E"/>
    <w:rsid w:val="00C57A1F"/>
    <w:rsid w:val="00C60095"/>
    <w:rsid w:val="00C6079F"/>
    <w:rsid w:val="00C60C87"/>
    <w:rsid w:val="00C60CDE"/>
    <w:rsid w:val="00C60DB9"/>
    <w:rsid w:val="00C61C32"/>
    <w:rsid w:val="00C61D21"/>
    <w:rsid w:val="00C624EE"/>
    <w:rsid w:val="00C62622"/>
    <w:rsid w:val="00C62669"/>
    <w:rsid w:val="00C6312D"/>
    <w:rsid w:val="00C63902"/>
    <w:rsid w:val="00C63CA3"/>
    <w:rsid w:val="00C63E37"/>
    <w:rsid w:val="00C64824"/>
    <w:rsid w:val="00C648E2"/>
    <w:rsid w:val="00C64990"/>
    <w:rsid w:val="00C64ED6"/>
    <w:rsid w:val="00C65253"/>
    <w:rsid w:val="00C654AD"/>
    <w:rsid w:val="00C66182"/>
    <w:rsid w:val="00C665E8"/>
    <w:rsid w:val="00C677E3"/>
    <w:rsid w:val="00C677F3"/>
    <w:rsid w:val="00C67D8B"/>
    <w:rsid w:val="00C7064E"/>
    <w:rsid w:val="00C712AB"/>
    <w:rsid w:val="00C71611"/>
    <w:rsid w:val="00C71D13"/>
    <w:rsid w:val="00C71EB8"/>
    <w:rsid w:val="00C71F25"/>
    <w:rsid w:val="00C721A8"/>
    <w:rsid w:val="00C728F1"/>
    <w:rsid w:val="00C7292E"/>
    <w:rsid w:val="00C72D66"/>
    <w:rsid w:val="00C72E4E"/>
    <w:rsid w:val="00C72EBD"/>
    <w:rsid w:val="00C72FF0"/>
    <w:rsid w:val="00C7329A"/>
    <w:rsid w:val="00C73863"/>
    <w:rsid w:val="00C73B06"/>
    <w:rsid w:val="00C73CA6"/>
    <w:rsid w:val="00C74761"/>
    <w:rsid w:val="00C74C72"/>
    <w:rsid w:val="00C75F1C"/>
    <w:rsid w:val="00C75F3A"/>
    <w:rsid w:val="00C76332"/>
    <w:rsid w:val="00C7647F"/>
    <w:rsid w:val="00C76752"/>
    <w:rsid w:val="00C76934"/>
    <w:rsid w:val="00C77182"/>
    <w:rsid w:val="00C7733A"/>
    <w:rsid w:val="00C774D4"/>
    <w:rsid w:val="00C777DF"/>
    <w:rsid w:val="00C77F9B"/>
    <w:rsid w:val="00C806EA"/>
    <w:rsid w:val="00C80F39"/>
    <w:rsid w:val="00C80F43"/>
    <w:rsid w:val="00C81409"/>
    <w:rsid w:val="00C815DA"/>
    <w:rsid w:val="00C81B4D"/>
    <w:rsid w:val="00C81C88"/>
    <w:rsid w:val="00C81CA7"/>
    <w:rsid w:val="00C81D07"/>
    <w:rsid w:val="00C81D88"/>
    <w:rsid w:val="00C822C6"/>
    <w:rsid w:val="00C82458"/>
    <w:rsid w:val="00C82B5C"/>
    <w:rsid w:val="00C82C05"/>
    <w:rsid w:val="00C832C1"/>
    <w:rsid w:val="00C83D38"/>
    <w:rsid w:val="00C8484D"/>
    <w:rsid w:val="00C84C34"/>
    <w:rsid w:val="00C853B6"/>
    <w:rsid w:val="00C853E7"/>
    <w:rsid w:val="00C854DE"/>
    <w:rsid w:val="00C8556F"/>
    <w:rsid w:val="00C8590B"/>
    <w:rsid w:val="00C85B99"/>
    <w:rsid w:val="00C85D4A"/>
    <w:rsid w:val="00C86076"/>
    <w:rsid w:val="00C86246"/>
    <w:rsid w:val="00C86A92"/>
    <w:rsid w:val="00C86BB1"/>
    <w:rsid w:val="00C86D72"/>
    <w:rsid w:val="00C86E1A"/>
    <w:rsid w:val="00C8709F"/>
    <w:rsid w:val="00C874B2"/>
    <w:rsid w:val="00C875D2"/>
    <w:rsid w:val="00C9011A"/>
    <w:rsid w:val="00C903CB"/>
    <w:rsid w:val="00C904CC"/>
    <w:rsid w:val="00C911D3"/>
    <w:rsid w:val="00C91CB6"/>
    <w:rsid w:val="00C92BD2"/>
    <w:rsid w:val="00C92EDF"/>
    <w:rsid w:val="00C93C00"/>
    <w:rsid w:val="00C93C0D"/>
    <w:rsid w:val="00C942B4"/>
    <w:rsid w:val="00C9457A"/>
    <w:rsid w:val="00C9461D"/>
    <w:rsid w:val="00C946A6"/>
    <w:rsid w:val="00C94D4C"/>
    <w:rsid w:val="00C9551C"/>
    <w:rsid w:val="00C95F84"/>
    <w:rsid w:val="00C96134"/>
    <w:rsid w:val="00CA0109"/>
    <w:rsid w:val="00CA07C9"/>
    <w:rsid w:val="00CA0A7E"/>
    <w:rsid w:val="00CA0A88"/>
    <w:rsid w:val="00CA0AC3"/>
    <w:rsid w:val="00CA18EB"/>
    <w:rsid w:val="00CA194C"/>
    <w:rsid w:val="00CA1CA7"/>
    <w:rsid w:val="00CA204A"/>
    <w:rsid w:val="00CA279E"/>
    <w:rsid w:val="00CA2E4A"/>
    <w:rsid w:val="00CA3DFE"/>
    <w:rsid w:val="00CA3F9F"/>
    <w:rsid w:val="00CA4557"/>
    <w:rsid w:val="00CA52C5"/>
    <w:rsid w:val="00CA5414"/>
    <w:rsid w:val="00CA564D"/>
    <w:rsid w:val="00CA5654"/>
    <w:rsid w:val="00CA5A16"/>
    <w:rsid w:val="00CA5D3E"/>
    <w:rsid w:val="00CA627D"/>
    <w:rsid w:val="00CA6E93"/>
    <w:rsid w:val="00CA728F"/>
    <w:rsid w:val="00CA7693"/>
    <w:rsid w:val="00CA7A39"/>
    <w:rsid w:val="00CB0A5F"/>
    <w:rsid w:val="00CB0DAA"/>
    <w:rsid w:val="00CB0EF9"/>
    <w:rsid w:val="00CB11CD"/>
    <w:rsid w:val="00CB1718"/>
    <w:rsid w:val="00CB1D1F"/>
    <w:rsid w:val="00CB1FF1"/>
    <w:rsid w:val="00CB220B"/>
    <w:rsid w:val="00CB22F3"/>
    <w:rsid w:val="00CB2AD0"/>
    <w:rsid w:val="00CB2DED"/>
    <w:rsid w:val="00CB2DF3"/>
    <w:rsid w:val="00CB31B3"/>
    <w:rsid w:val="00CB31C5"/>
    <w:rsid w:val="00CB3CC2"/>
    <w:rsid w:val="00CB46E7"/>
    <w:rsid w:val="00CB4741"/>
    <w:rsid w:val="00CB514F"/>
    <w:rsid w:val="00CB52DF"/>
    <w:rsid w:val="00CB54DA"/>
    <w:rsid w:val="00CB58BB"/>
    <w:rsid w:val="00CB58CB"/>
    <w:rsid w:val="00CB5E8A"/>
    <w:rsid w:val="00CB6399"/>
    <w:rsid w:val="00CB6A5D"/>
    <w:rsid w:val="00CB6DB9"/>
    <w:rsid w:val="00CB7099"/>
    <w:rsid w:val="00CB75C9"/>
    <w:rsid w:val="00CB761E"/>
    <w:rsid w:val="00CB7D15"/>
    <w:rsid w:val="00CC0062"/>
    <w:rsid w:val="00CC02DB"/>
    <w:rsid w:val="00CC0304"/>
    <w:rsid w:val="00CC0450"/>
    <w:rsid w:val="00CC049E"/>
    <w:rsid w:val="00CC07E3"/>
    <w:rsid w:val="00CC08FD"/>
    <w:rsid w:val="00CC154C"/>
    <w:rsid w:val="00CC1CF3"/>
    <w:rsid w:val="00CC1D22"/>
    <w:rsid w:val="00CC1ED3"/>
    <w:rsid w:val="00CC20A0"/>
    <w:rsid w:val="00CC215C"/>
    <w:rsid w:val="00CC2322"/>
    <w:rsid w:val="00CC28E4"/>
    <w:rsid w:val="00CC2B94"/>
    <w:rsid w:val="00CC3396"/>
    <w:rsid w:val="00CC35BC"/>
    <w:rsid w:val="00CC362E"/>
    <w:rsid w:val="00CC3F20"/>
    <w:rsid w:val="00CC3FA9"/>
    <w:rsid w:val="00CC4184"/>
    <w:rsid w:val="00CC4977"/>
    <w:rsid w:val="00CC54AB"/>
    <w:rsid w:val="00CC5854"/>
    <w:rsid w:val="00CC5E4E"/>
    <w:rsid w:val="00CC5F02"/>
    <w:rsid w:val="00CC6303"/>
    <w:rsid w:val="00CC63E3"/>
    <w:rsid w:val="00CC6787"/>
    <w:rsid w:val="00CC687C"/>
    <w:rsid w:val="00CC745C"/>
    <w:rsid w:val="00CC74F3"/>
    <w:rsid w:val="00CC76C5"/>
    <w:rsid w:val="00CC76E5"/>
    <w:rsid w:val="00CC76ED"/>
    <w:rsid w:val="00CC7728"/>
    <w:rsid w:val="00CC79C5"/>
    <w:rsid w:val="00CC7AC9"/>
    <w:rsid w:val="00CC7ADF"/>
    <w:rsid w:val="00CC7D68"/>
    <w:rsid w:val="00CC7EA0"/>
    <w:rsid w:val="00CD00A7"/>
    <w:rsid w:val="00CD0485"/>
    <w:rsid w:val="00CD0850"/>
    <w:rsid w:val="00CD0865"/>
    <w:rsid w:val="00CD0C39"/>
    <w:rsid w:val="00CD0E4A"/>
    <w:rsid w:val="00CD115E"/>
    <w:rsid w:val="00CD1171"/>
    <w:rsid w:val="00CD1434"/>
    <w:rsid w:val="00CD1972"/>
    <w:rsid w:val="00CD1B74"/>
    <w:rsid w:val="00CD1D0A"/>
    <w:rsid w:val="00CD1D49"/>
    <w:rsid w:val="00CD1E90"/>
    <w:rsid w:val="00CD1F1C"/>
    <w:rsid w:val="00CD2350"/>
    <w:rsid w:val="00CD244B"/>
    <w:rsid w:val="00CD2891"/>
    <w:rsid w:val="00CD2A85"/>
    <w:rsid w:val="00CD2F7C"/>
    <w:rsid w:val="00CD30F7"/>
    <w:rsid w:val="00CD344E"/>
    <w:rsid w:val="00CD3459"/>
    <w:rsid w:val="00CD49D4"/>
    <w:rsid w:val="00CD4B5C"/>
    <w:rsid w:val="00CD4FCF"/>
    <w:rsid w:val="00CD5282"/>
    <w:rsid w:val="00CD5561"/>
    <w:rsid w:val="00CD55DF"/>
    <w:rsid w:val="00CD572F"/>
    <w:rsid w:val="00CD5735"/>
    <w:rsid w:val="00CD5C7A"/>
    <w:rsid w:val="00CD6017"/>
    <w:rsid w:val="00CD7520"/>
    <w:rsid w:val="00CD75ED"/>
    <w:rsid w:val="00CD7F11"/>
    <w:rsid w:val="00CD7F21"/>
    <w:rsid w:val="00CE0F70"/>
    <w:rsid w:val="00CE0FE9"/>
    <w:rsid w:val="00CE1382"/>
    <w:rsid w:val="00CE1AED"/>
    <w:rsid w:val="00CE1DA0"/>
    <w:rsid w:val="00CE2324"/>
    <w:rsid w:val="00CE2801"/>
    <w:rsid w:val="00CE37E3"/>
    <w:rsid w:val="00CE510C"/>
    <w:rsid w:val="00CE531D"/>
    <w:rsid w:val="00CE5AD7"/>
    <w:rsid w:val="00CE620F"/>
    <w:rsid w:val="00CE6404"/>
    <w:rsid w:val="00CE664F"/>
    <w:rsid w:val="00CE714A"/>
    <w:rsid w:val="00CE73D9"/>
    <w:rsid w:val="00CE73F1"/>
    <w:rsid w:val="00CE73FC"/>
    <w:rsid w:val="00CE787E"/>
    <w:rsid w:val="00CE79A9"/>
    <w:rsid w:val="00CE7F98"/>
    <w:rsid w:val="00CF01A9"/>
    <w:rsid w:val="00CF05DE"/>
    <w:rsid w:val="00CF1C9A"/>
    <w:rsid w:val="00CF1FDF"/>
    <w:rsid w:val="00CF2CB8"/>
    <w:rsid w:val="00CF3879"/>
    <w:rsid w:val="00CF446A"/>
    <w:rsid w:val="00CF4BD5"/>
    <w:rsid w:val="00CF4CA8"/>
    <w:rsid w:val="00CF4F61"/>
    <w:rsid w:val="00CF4F83"/>
    <w:rsid w:val="00CF5F43"/>
    <w:rsid w:val="00CF60CB"/>
    <w:rsid w:val="00CF63A4"/>
    <w:rsid w:val="00CF67C4"/>
    <w:rsid w:val="00CF6B60"/>
    <w:rsid w:val="00CF7112"/>
    <w:rsid w:val="00CF722F"/>
    <w:rsid w:val="00CF7521"/>
    <w:rsid w:val="00CF75B1"/>
    <w:rsid w:val="00CF78D9"/>
    <w:rsid w:val="00CF79A0"/>
    <w:rsid w:val="00CF7FA3"/>
    <w:rsid w:val="00D0013B"/>
    <w:rsid w:val="00D004A6"/>
    <w:rsid w:val="00D00E6B"/>
    <w:rsid w:val="00D010AD"/>
    <w:rsid w:val="00D0134F"/>
    <w:rsid w:val="00D0136C"/>
    <w:rsid w:val="00D01ADF"/>
    <w:rsid w:val="00D01E36"/>
    <w:rsid w:val="00D02789"/>
    <w:rsid w:val="00D029FA"/>
    <w:rsid w:val="00D02AC9"/>
    <w:rsid w:val="00D03530"/>
    <w:rsid w:val="00D03B24"/>
    <w:rsid w:val="00D03CE6"/>
    <w:rsid w:val="00D041EF"/>
    <w:rsid w:val="00D0485C"/>
    <w:rsid w:val="00D04AE5"/>
    <w:rsid w:val="00D0538B"/>
    <w:rsid w:val="00D053FC"/>
    <w:rsid w:val="00D059AF"/>
    <w:rsid w:val="00D05AF7"/>
    <w:rsid w:val="00D06001"/>
    <w:rsid w:val="00D0612A"/>
    <w:rsid w:val="00D06F4F"/>
    <w:rsid w:val="00D07144"/>
    <w:rsid w:val="00D07278"/>
    <w:rsid w:val="00D07837"/>
    <w:rsid w:val="00D07B92"/>
    <w:rsid w:val="00D07E05"/>
    <w:rsid w:val="00D103CD"/>
    <w:rsid w:val="00D10A30"/>
    <w:rsid w:val="00D1148A"/>
    <w:rsid w:val="00D1199D"/>
    <w:rsid w:val="00D121E0"/>
    <w:rsid w:val="00D12465"/>
    <w:rsid w:val="00D1261F"/>
    <w:rsid w:val="00D12B1D"/>
    <w:rsid w:val="00D12DDF"/>
    <w:rsid w:val="00D12E87"/>
    <w:rsid w:val="00D13528"/>
    <w:rsid w:val="00D137FD"/>
    <w:rsid w:val="00D1394A"/>
    <w:rsid w:val="00D13C7B"/>
    <w:rsid w:val="00D13CA3"/>
    <w:rsid w:val="00D14A5E"/>
    <w:rsid w:val="00D15757"/>
    <w:rsid w:val="00D15B24"/>
    <w:rsid w:val="00D163CA"/>
    <w:rsid w:val="00D1651C"/>
    <w:rsid w:val="00D16865"/>
    <w:rsid w:val="00D16AC4"/>
    <w:rsid w:val="00D16B09"/>
    <w:rsid w:val="00D17066"/>
    <w:rsid w:val="00D176D8"/>
    <w:rsid w:val="00D201A9"/>
    <w:rsid w:val="00D20480"/>
    <w:rsid w:val="00D20683"/>
    <w:rsid w:val="00D208D2"/>
    <w:rsid w:val="00D209CC"/>
    <w:rsid w:val="00D2107A"/>
    <w:rsid w:val="00D216B4"/>
    <w:rsid w:val="00D216E0"/>
    <w:rsid w:val="00D220C5"/>
    <w:rsid w:val="00D22599"/>
    <w:rsid w:val="00D22AB8"/>
    <w:rsid w:val="00D22D05"/>
    <w:rsid w:val="00D22D78"/>
    <w:rsid w:val="00D2341B"/>
    <w:rsid w:val="00D23A5F"/>
    <w:rsid w:val="00D23C0C"/>
    <w:rsid w:val="00D23DE2"/>
    <w:rsid w:val="00D23E96"/>
    <w:rsid w:val="00D23FF5"/>
    <w:rsid w:val="00D240A5"/>
    <w:rsid w:val="00D24386"/>
    <w:rsid w:val="00D246F7"/>
    <w:rsid w:val="00D2517B"/>
    <w:rsid w:val="00D266FD"/>
    <w:rsid w:val="00D267A8"/>
    <w:rsid w:val="00D26D11"/>
    <w:rsid w:val="00D26DA9"/>
    <w:rsid w:val="00D27686"/>
    <w:rsid w:val="00D2780E"/>
    <w:rsid w:val="00D27A29"/>
    <w:rsid w:val="00D27E61"/>
    <w:rsid w:val="00D27EFE"/>
    <w:rsid w:val="00D30044"/>
    <w:rsid w:val="00D302EA"/>
    <w:rsid w:val="00D306CA"/>
    <w:rsid w:val="00D3149A"/>
    <w:rsid w:val="00D31ED0"/>
    <w:rsid w:val="00D31F62"/>
    <w:rsid w:val="00D326E5"/>
    <w:rsid w:val="00D3319F"/>
    <w:rsid w:val="00D33336"/>
    <w:rsid w:val="00D33E9C"/>
    <w:rsid w:val="00D341F7"/>
    <w:rsid w:val="00D34303"/>
    <w:rsid w:val="00D34BD9"/>
    <w:rsid w:val="00D34C13"/>
    <w:rsid w:val="00D34D97"/>
    <w:rsid w:val="00D3520B"/>
    <w:rsid w:val="00D356A2"/>
    <w:rsid w:val="00D3571E"/>
    <w:rsid w:val="00D35DA8"/>
    <w:rsid w:val="00D35E47"/>
    <w:rsid w:val="00D362F0"/>
    <w:rsid w:val="00D36536"/>
    <w:rsid w:val="00D36753"/>
    <w:rsid w:val="00D36F66"/>
    <w:rsid w:val="00D378CC"/>
    <w:rsid w:val="00D37FA0"/>
    <w:rsid w:val="00D40672"/>
    <w:rsid w:val="00D4076C"/>
    <w:rsid w:val="00D40922"/>
    <w:rsid w:val="00D40A85"/>
    <w:rsid w:val="00D40B98"/>
    <w:rsid w:val="00D41178"/>
    <w:rsid w:val="00D413BD"/>
    <w:rsid w:val="00D415C1"/>
    <w:rsid w:val="00D415D3"/>
    <w:rsid w:val="00D41B0F"/>
    <w:rsid w:val="00D41CF0"/>
    <w:rsid w:val="00D4210A"/>
    <w:rsid w:val="00D42C88"/>
    <w:rsid w:val="00D42F7A"/>
    <w:rsid w:val="00D42F91"/>
    <w:rsid w:val="00D43376"/>
    <w:rsid w:val="00D433E7"/>
    <w:rsid w:val="00D439FA"/>
    <w:rsid w:val="00D43F2F"/>
    <w:rsid w:val="00D44109"/>
    <w:rsid w:val="00D44381"/>
    <w:rsid w:val="00D44516"/>
    <w:rsid w:val="00D445F0"/>
    <w:rsid w:val="00D448F1"/>
    <w:rsid w:val="00D44962"/>
    <w:rsid w:val="00D44C48"/>
    <w:rsid w:val="00D44E97"/>
    <w:rsid w:val="00D44E9B"/>
    <w:rsid w:val="00D44EEF"/>
    <w:rsid w:val="00D4595F"/>
    <w:rsid w:val="00D45C16"/>
    <w:rsid w:val="00D45CDF"/>
    <w:rsid w:val="00D45E39"/>
    <w:rsid w:val="00D46012"/>
    <w:rsid w:val="00D464D7"/>
    <w:rsid w:val="00D469AB"/>
    <w:rsid w:val="00D46B05"/>
    <w:rsid w:val="00D46F1E"/>
    <w:rsid w:val="00D4703B"/>
    <w:rsid w:val="00D4760F"/>
    <w:rsid w:val="00D47C15"/>
    <w:rsid w:val="00D47F72"/>
    <w:rsid w:val="00D50436"/>
    <w:rsid w:val="00D505EA"/>
    <w:rsid w:val="00D519BB"/>
    <w:rsid w:val="00D51ECA"/>
    <w:rsid w:val="00D528BD"/>
    <w:rsid w:val="00D52921"/>
    <w:rsid w:val="00D529B2"/>
    <w:rsid w:val="00D52DBC"/>
    <w:rsid w:val="00D532FE"/>
    <w:rsid w:val="00D53655"/>
    <w:rsid w:val="00D53D5F"/>
    <w:rsid w:val="00D54847"/>
    <w:rsid w:val="00D54A88"/>
    <w:rsid w:val="00D55101"/>
    <w:rsid w:val="00D55626"/>
    <w:rsid w:val="00D559AE"/>
    <w:rsid w:val="00D55B47"/>
    <w:rsid w:val="00D563C3"/>
    <w:rsid w:val="00D56670"/>
    <w:rsid w:val="00D5794F"/>
    <w:rsid w:val="00D57EFE"/>
    <w:rsid w:val="00D6000A"/>
    <w:rsid w:val="00D60530"/>
    <w:rsid w:val="00D60646"/>
    <w:rsid w:val="00D608B4"/>
    <w:rsid w:val="00D613EA"/>
    <w:rsid w:val="00D616A3"/>
    <w:rsid w:val="00D61BAC"/>
    <w:rsid w:val="00D61C8F"/>
    <w:rsid w:val="00D61D5B"/>
    <w:rsid w:val="00D62474"/>
    <w:rsid w:val="00D62525"/>
    <w:rsid w:val="00D62A1D"/>
    <w:rsid w:val="00D62C18"/>
    <w:rsid w:val="00D62ED4"/>
    <w:rsid w:val="00D631BC"/>
    <w:rsid w:val="00D633CB"/>
    <w:rsid w:val="00D642E1"/>
    <w:rsid w:val="00D648CC"/>
    <w:rsid w:val="00D64DFE"/>
    <w:rsid w:val="00D65149"/>
    <w:rsid w:val="00D6525E"/>
    <w:rsid w:val="00D65485"/>
    <w:rsid w:val="00D65626"/>
    <w:rsid w:val="00D65831"/>
    <w:rsid w:val="00D6588C"/>
    <w:rsid w:val="00D659C5"/>
    <w:rsid w:val="00D65A36"/>
    <w:rsid w:val="00D65D81"/>
    <w:rsid w:val="00D66226"/>
    <w:rsid w:val="00D664F1"/>
    <w:rsid w:val="00D6652B"/>
    <w:rsid w:val="00D66F98"/>
    <w:rsid w:val="00D671EB"/>
    <w:rsid w:val="00D672D4"/>
    <w:rsid w:val="00D673C0"/>
    <w:rsid w:val="00D67CB9"/>
    <w:rsid w:val="00D70188"/>
    <w:rsid w:val="00D70670"/>
    <w:rsid w:val="00D70828"/>
    <w:rsid w:val="00D70B76"/>
    <w:rsid w:val="00D70BEB"/>
    <w:rsid w:val="00D72ABB"/>
    <w:rsid w:val="00D73729"/>
    <w:rsid w:val="00D73A4C"/>
    <w:rsid w:val="00D73E8E"/>
    <w:rsid w:val="00D741DE"/>
    <w:rsid w:val="00D74666"/>
    <w:rsid w:val="00D74B20"/>
    <w:rsid w:val="00D74D0A"/>
    <w:rsid w:val="00D74FC5"/>
    <w:rsid w:val="00D75437"/>
    <w:rsid w:val="00D75628"/>
    <w:rsid w:val="00D757A8"/>
    <w:rsid w:val="00D757DE"/>
    <w:rsid w:val="00D75D61"/>
    <w:rsid w:val="00D76D72"/>
    <w:rsid w:val="00D806D4"/>
    <w:rsid w:val="00D80BA8"/>
    <w:rsid w:val="00D81010"/>
    <w:rsid w:val="00D81231"/>
    <w:rsid w:val="00D8127A"/>
    <w:rsid w:val="00D81318"/>
    <w:rsid w:val="00D81C4E"/>
    <w:rsid w:val="00D81F33"/>
    <w:rsid w:val="00D8208B"/>
    <w:rsid w:val="00D822A1"/>
    <w:rsid w:val="00D82714"/>
    <w:rsid w:val="00D82758"/>
    <w:rsid w:val="00D8284E"/>
    <w:rsid w:val="00D8299C"/>
    <w:rsid w:val="00D82B53"/>
    <w:rsid w:val="00D8315F"/>
    <w:rsid w:val="00D838BF"/>
    <w:rsid w:val="00D83B62"/>
    <w:rsid w:val="00D83E91"/>
    <w:rsid w:val="00D84064"/>
    <w:rsid w:val="00D84F16"/>
    <w:rsid w:val="00D8526F"/>
    <w:rsid w:val="00D85D5B"/>
    <w:rsid w:val="00D85F7F"/>
    <w:rsid w:val="00D864D2"/>
    <w:rsid w:val="00D86556"/>
    <w:rsid w:val="00D86E19"/>
    <w:rsid w:val="00D86FDB"/>
    <w:rsid w:val="00D8708C"/>
    <w:rsid w:val="00D87374"/>
    <w:rsid w:val="00D875EF"/>
    <w:rsid w:val="00D876CA"/>
    <w:rsid w:val="00D87716"/>
    <w:rsid w:val="00D87738"/>
    <w:rsid w:val="00D87FB4"/>
    <w:rsid w:val="00D90114"/>
    <w:rsid w:val="00D90794"/>
    <w:rsid w:val="00D90AB6"/>
    <w:rsid w:val="00D90D5A"/>
    <w:rsid w:val="00D91A52"/>
    <w:rsid w:val="00D91D01"/>
    <w:rsid w:val="00D924B6"/>
    <w:rsid w:val="00D92667"/>
    <w:rsid w:val="00D929D8"/>
    <w:rsid w:val="00D92E04"/>
    <w:rsid w:val="00D931BC"/>
    <w:rsid w:val="00D933BB"/>
    <w:rsid w:val="00D934BF"/>
    <w:rsid w:val="00D9373C"/>
    <w:rsid w:val="00D93995"/>
    <w:rsid w:val="00D93D2D"/>
    <w:rsid w:val="00D94158"/>
    <w:rsid w:val="00D942ED"/>
    <w:rsid w:val="00D9463F"/>
    <w:rsid w:val="00D9481F"/>
    <w:rsid w:val="00D94F05"/>
    <w:rsid w:val="00D95232"/>
    <w:rsid w:val="00D95901"/>
    <w:rsid w:val="00D96F89"/>
    <w:rsid w:val="00D97295"/>
    <w:rsid w:val="00D976ED"/>
    <w:rsid w:val="00D97F24"/>
    <w:rsid w:val="00DA045D"/>
    <w:rsid w:val="00DA08F0"/>
    <w:rsid w:val="00DA0B96"/>
    <w:rsid w:val="00DA0C77"/>
    <w:rsid w:val="00DA132C"/>
    <w:rsid w:val="00DA1F8C"/>
    <w:rsid w:val="00DA2C4B"/>
    <w:rsid w:val="00DA331C"/>
    <w:rsid w:val="00DA3D4F"/>
    <w:rsid w:val="00DA41F9"/>
    <w:rsid w:val="00DA4832"/>
    <w:rsid w:val="00DA52A6"/>
    <w:rsid w:val="00DA52C9"/>
    <w:rsid w:val="00DA54C8"/>
    <w:rsid w:val="00DA6517"/>
    <w:rsid w:val="00DA69FD"/>
    <w:rsid w:val="00DA728E"/>
    <w:rsid w:val="00DA7B8C"/>
    <w:rsid w:val="00DA7F57"/>
    <w:rsid w:val="00DB036D"/>
    <w:rsid w:val="00DB0949"/>
    <w:rsid w:val="00DB0C84"/>
    <w:rsid w:val="00DB1287"/>
    <w:rsid w:val="00DB1300"/>
    <w:rsid w:val="00DB13AB"/>
    <w:rsid w:val="00DB19E1"/>
    <w:rsid w:val="00DB1CD1"/>
    <w:rsid w:val="00DB2014"/>
    <w:rsid w:val="00DB2327"/>
    <w:rsid w:val="00DB25AA"/>
    <w:rsid w:val="00DB2BF2"/>
    <w:rsid w:val="00DB4351"/>
    <w:rsid w:val="00DB4396"/>
    <w:rsid w:val="00DB47A3"/>
    <w:rsid w:val="00DB524E"/>
    <w:rsid w:val="00DB53C6"/>
    <w:rsid w:val="00DB565E"/>
    <w:rsid w:val="00DB659E"/>
    <w:rsid w:val="00DB6A9F"/>
    <w:rsid w:val="00DB6C0E"/>
    <w:rsid w:val="00DB79B3"/>
    <w:rsid w:val="00DB7BD4"/>
    <w:rsid w:val="00DB7E16"/>
    <w:rsid w:val="00DC0727"/>
    <w:rsid w:val="00DC0752"/>
    <w:rsid w:val="00DC0876"/>
    <w:rsid w:val="00DC0DB5"/>
    <w:rsid w:val="00DC0DDC"/>
    <w:rsid w:val="00DC0E0D"/>
    <w:rsid w:val="00DC1332"/>
    <w:rsid w:val="00DC1384"/>
    <w:rsid w:val="00DC141A"/>
    <w:rsid w:val="00DC1D00"/>
    <w:rsid w:val="00DC1DF5"/>
    <w:rsid w:val="00DC1DFC"/>
    <w:rsid w:val="00DC1FF5"/>
    <w:rsid w:val="00DC27F4"/>
    <w:rsid w:val="00DC2BE4"/>
    <w:rsid w:val="00DC2D2A"/>
    <w:rsid w:val="00DC3520"/>
    <w:rsid w:val="00DC3990"/>
    <w:rsid w:val="00DC3FC2"/>
    <w:rsid w:val="00DC45E0"/>
    <w:rsid w:val="00DC4CF9"/>
    <w:rsid w:val="00DC514F"/>
    <w:rsid w:val="00DC5D9A"/>
    <w:rsid w:val="00DC6001"/>
    <w:rsid w:val="00DC624A"/>
    <w:rsid w:val="00DC6527"/>
    <w:rsid w:val="00DC6B87"/>
    <w:rsid w:val="00DC6CBA"/>
    <w:rsid w:val="00DC6FE0"/>
    <w:rsid w:val="00DC7066"/>
    <w:rsid w:val="00DC70ED"/>
    <w:rsid w:val="00DC71FF"/>
    <w:rsid w:val="00DC76BC"/>
    <w:rsid w:val="00DD0B92"/>
    <w:rsid w:val="00DD0D15"/>
    <w:rsid w:val="00DD0E07"/>
    <w:rsid w:val="00DD178D"/>
    <w:rsid w:val="00DD1911"/>
    <w:rsid w:val="00DD1E59"/>
    <w:rsid w:val="00DD3153"/>
    <w:rsid w:val="00DD3703"/>
    <w:rsid w:val="00DD38A6"/>
    <w:rsid w:val="00DD39D7"/>
    <w:rsid w:val="00DD3A96"/>
    <w:rsid w:val="00DD3B1A"/>
    <w:rsid w:val="00DD3E9C"/>
    <w:rsid w:val="00DD43E3"/>
    <w:rsid w:val="00DD48AA"/>
    <w:rsid w:val="00DD4AD8"/>
    <w:rsid w:val="00DD53A4"/>
    <w:rsid w:val="00DD5495"/>
    <w:rsid w:val="00DD5BC2"/>
    <w:rsid w:val="00DD5DDB"/>
    <w:rsid w:val="00DD5DF7"/>
    <w:rsid w:val="00DD5E6C"/>
    <w:rsid w:val="00DD623F"/>
    <w:rsid w:val="00DD6D3E"/>
    <w:rsid w:val="00DD6F34"/>
    <w:rsid w:val="00DD7D14"/>
    <w:rsid w:val="00DE0F5C"/>
    <w:rsid w:val="00DE1EB4"/>
    <w:rsid w:val="00DE2A1F"/>
    <w:rsid w:val="00DE2CFC"/>
    <w:rsid w:val="00DE3829"/>
    <w:rsid w:val="00DE3B4B"/>
    <w:rsid w:val="00DE41B4"/>
    <w:rsid w:val="00DE5925"/>
    <w:rsid w:val="00DE5C81"/>
    <w:rsid w:val="00DE5F44"/>
    <w:rsid w:val="00DE5F52"/>
    <w:rsid w:val="00DE5F7E"/>
    <w:rsid w:val="00DE60CB"/>
    <w:rsid w:val="00DE64F9"/>
    <w:rsid w:val="00DE67BE"/>
    <w:rsid w:val="00DE6C1C"/>
    <w:rsid w:val="00DE6C6F"/>
    <w:rsid w:val="00DE6D02"/>
    <w:rsid w:val="00DE7427"/>
    <w:rsid w:val="00DE7628"/>
    <w:rsid w:val="00DE775B"/>
    <w:rsid w:val="00DF025C"/>
    <w:rsid w:val="00DF0741"/>
    <w:rsid w:val="00DF0EA9"/>
    <w:rsid w:val="00DF13C2"/>
    <w:rsid w:val="00DF13E4"/>
    <w:rsid w:val="00DF1A72"/>
    <w:rsid w:val="00DF1B66"/>
    <w:rsid w:val="00DF1BA2"/>
    <w:rsid w:val="00DF1C64"/>
    <w:rsid w:val="00DF1C80"/>
    <w:rsid w:val="00DF1F27"/>
    <w:rsid w:val="00DF23DF"/>
    <w:rsid w:val="00DF26D5"/>
    <w:rsid w:val="00DF28F0"/>
    <w:rsid w:val="00DF2D53"/>
    <w:rsid w:val="00DF2EA1"/>
    <w:rsid w:val="00DF3200"/>
    <w:rsid w:val="00DF3D96"/>
    <w:rsid w:val="00DF4687"/>
    <w:rsid w:val="00DF48CB"/>
    <w:rsid w:val="00DF4F25"/>
    <w:rsid w:val="00DF5526"/>
    <w:rsid w:val="00DF5800"/>
    <w:rsid w:val="00DF58D3"/>
    <w:rsid w:val="00DF598A"/>
    <w:rsid w:val="00DF5E45"/>
    <w:rsid w:val="00DF6683"/>
    <w:rsid w:val="00DF672D"/>
    <w:rsid w:val="00DF6782"/>
    <w:rsid w:val="00DF68FD"/>
    <w:rsid w:val="00DF6C53"/>
    <w:rsid w:val="00DF72E6"/>
    <w:rsid w:val="00DF7DC2"/>
    <w:rsid w:val="00DF7E30"/>
    <w:rsid w:val="00DF7FA0"/>
    <w:rsid w:val="00E001D0"/>
    <w:rsid w:val="00E001FB"/>
    <w:rsid w:val="00E007D0"/>
    <w:rsid w:val="00E00EFF"/>
    <w:rsid w:val="00E01026"/>
    <w:rsid w:val="00E01119"/>
    <w:rsid w:val="00E018C2"/>
    <w:rsid w:val="00E01A42"/>
    <w:rsid w:val="00E01B41"/>
    <w:rsid w:val="00E024E8"/>
    <w:rsid w:val="00E02AAB"/>
    <w:rsid w:val="00E02B00"/>
    <w:rsid w:val="00E02BE8"/>
    <w:rsid w:val="00E03A6B"/>
    <w:rsid w:val="00E03EA3"/>
    <w:rsid w:val="00E040C1"/>
    <w:rsid w:val="00E04180"/>
    <w:rsid w:val="00E04EDC"/>
    <w:rsid w:val="00E050DE"/>
    <w:rsid w:val="00E051F5"/>
    <w:rsid w:val="00E05ED5"/>
    <w:rsid w:val="00E06471"/>
    <w:rsid w:val="00E06707"/>
    <w:rsid w:val="00E06D65"/>
    <w:rsid w:val="00E07789"/>
    <w:rsid w:val="00E07BD8"/>
    <w:rsid w:val="00E07D9A"/>
    <w:rsid w:val="00E1090B"/>
    <w:rsid w:val="00E10EE5"/>
    <w:rsid w:val="00E112B5"/>
    <w:rsid w:val="00E113E8"/>
    <w:rsid w:val="00E11991"/>
    <w:rsid w:val="00E125BC"/>
    <w:rsid w:val="00E12AC3"/>
    <w:rsid w:val="00E13244"/>
    <w:rsid w:val="00E13C8C"/>
    <w:rsid w:val="00E14DBF"/>
    <w:rsid w:val="00E15264"/>
    <w:rsid w:val="00E156B1"/>
    <w:rsid w:val="00E15F8F"/>
    <w:rsid w:val="00E165CD"/>
    <w:rsid w:val="00E170AC"/>
    <w:rsid w:val="00E17175"/>
    <w:rsid w:val="00E172A8"/>
    <w:rsid w:val="00E172B5"/>
    <w:rsid w:val="00E172DA"/>
    <w:rsid w:val="00E176B2"/>
    <w:rsid w:val="00E17EB8"/>
    <w:rsid w:val="00E17FD9"/>
    <w:rsid w:val="00E20061"/>
    <w:rsid w:val="00E206E7"/>
    <w:rsid w:val="00E215D2"/>
    <w:rsid w:val="00E217A3"/>
    <w:rsid w:val="00E2192E"/>
    <w:rsid w:val="00E21AC0"/>
    <w:rsid w:val="00E21E41"/>
    <w:rsid w:val="00E22086"/>
    <w:rsid w:val="00E22D54"/>
    <w:rsid w:val="00E23105"/>
    <w:rsid w:val="00E235DC"/>
    <w:rsid w:val="00E23661"/>
    <w:rsid w:val="00E23B6B"/>
    <w:rsid w:val="00E23DD5"/>
    <w:rsid w:val="00E24096"/>
    <w:rsid w:val="00E2442A"/>
    <w:rsid w:val="00E244A6"/>
    <w:rsid w:val="00E2469F"/>
    <w:rsid w:val="00E24CF1"/>
    <w:rsid w:val="00E25222"/>
    <w:rsid w:val="00E25655"/>
    <w:rsid w:val="00E2584A"/>
    <w:rsid w:val="00E25AC4"/>
    <w:rsid w:val="00E26331"/>
    <w:rsid w:val="00E263B5"/>
    <w:rsid w:val="00E278BD"/>
    <w:rsid w:val="00E30078"/>
    <w:rsid w:val="00E301DC"/>
    <w:rsid w:val="00E30258"/>
    <w:rsid w:val="00E3027E"/>
    <w:rsid w:val="00E30A5C"/>
    <w:rsid w:val="00E310D1"/>
    <w:rsid w:val="00E31B95"/>
    <w:rsid w:val="00E31C18"/>
    <w:rsid w:val="00E320C9"/>
    <w:rsid w:val="00E32310"/>
    <w:rsid w:val="00E328C4"/>
    <w:rsid w:val="00E328DE"/>
    <w:rsid w:val="00E32CB8"/>
    <w:rsid w:val="00E33091"/>
    <w:rsid w:val="00E33376"/>
    <w:rsid w:val="00E33537"/>
    <w:rsid w:val="00E33963"/>
    <w:rsid w:val="00E33A8C"/>
    <w:rsid w:val="00E33C8E"/>
    <w:rsid w:val="00E33F24"/>
    <w:rsid w:val="00E346F9"/>
    <w:rsid w:val="00E34847"/>
    <w:rsid w:val="00E34F44"/>
    <w:rsid w:val="00E354BF"/>
    <w:rsid w:val="00E35BD8"/>
    <w:rsid w:val="00E35E6A"/>
    <w:rsid w:val="00E35FC5"/>
    <w:rsid w:val="00E361FE"/>
    <w:rsid w:val="00E3662E"/>
    <w:rsid w:val="00E36682"/>
    <w:rsid w:val="00E36C14"/>
    <w:rsid w:val="00E371FC"/>
    <w:rsid w:val="00E40CC2"/>
    <w:rsid w:val="00E40ED3"/>
    <w:rsid w:val="00E41306"/>
    <w:rsid w:val="00E42232"/>
    <w:rsid w:val="00E42DAB"/>
    <w:rsid w:val="00E43049"/>
    <w:rsid w:val="00E43054"/>
    <w:rsid w:val="00E4470E"/>
    <w:rsid w:val="00E44B0A"/>
    <w:rsid w:val="00E44FD7"/>
    <w:rsid w:val="00E458E6"/>
    <w:rsid w:val="00E459B1"/>
    <w:rsid w:val="00E45B77"/>
    <w:rsid w:val="00E45D36"/>
    <w:rsid w:val="00E465AD"/>
    <w:rsid w:val="00E46E0A"/>
    <w:rsid w:val="00E47157"/>
    <w:rsid w:val="00E477D6"/>
    <w:rsid w:val="00E47D21"/>
    <w:rsid w:val="00E47E46"/>
    <w:rsid w:val="00E5019B"/>
    <w:rsid w:val="00E513F4"/>
    <w:rsid w:val="00E51B38"/>
    <w:rsid w:val="00E51C93"/>
    <w:rsid w:val="00E5220C"/>
    <w:rsid w:val="00E525D2"/>
    <w:rsid w:val="00E526C5"/>
    <w:rsid w:val="00E52913"/>
    <w:rsid w:val="00E5303E"/>
    <w:rsid w:val="00E53322"/>
    <w:rsid w:val="00E53585"/>
    <w:rsid w:val="00E535B4"/>
    <w:rsid w:val="00E536EF"/>
    <w:rsid w:val="00E53AC3"/>
    <w:rsid w:val="00E540EA"/>
    <w:rsid w:val="00E5485D"/>
    <w:rsid w:val="00E54B4A"/>
    <w:rsid w:val="00E54D74"/>
    <w:rsid w:val="00E55333"/>
    <w:rsid w:val="00E55EE6"/>
    <w:rsid w:val="00E56310"/>
    <w:rsid w:val="00E5650E"/>
    <w:rsid w:val="00E566FF"/>
    <w:rsid w:val="00E56CD4"/>
    <w:rsid w:val="00E56F5E"/>
    <w:rsid w:val="00E570BB"/>
    <w:rsid w:val="00E574E7"/>
    <w:rsid w:val="00E57532"/>
    <w:rsid w:val="00E57611"/>
    <w:rsid w:val="00E57D94"/>
    <w:rsid w:val="00E601C1"/>
    <w:rsid w:val="00E60359"/>
    <w:rsid w:val="00E60390"/>
    <w:rsid w:val="00E60BBC"/>
    <w:rsid w:val="00E60FBE"/>
    <w:rsid w:val="00E61137"/>
    <w:rsid w:val="00E61296"/>
    <w:rsid w:val="00E6172E"/>
    <w:rsid w:val="00E61A36"/>
    <w:rsid w:val="00E61FF7"/>
    <w:rsid w:val="00E628E1"/>
    <w:rsid w:val="00E62D86"/>
    <w:rsid w:val="00E62E67"/>
    <w:rsid w:val="00E630C8"/>
    <w:rsid w:val="00E634DD"/>
    <w:rsid w:val="00E63FC0"/>
    <w:rsid w:val="00E6465B"/>
    <w:rsid w:val="00E646CE"/>
    <w:rsid w:val="00E64838"/>
    <w:rsid w:val="00E6484A"/>
    <w:rsid w:val="00E65109"/>
    <w:rsid w:val="00E65265"/>
    <w:rsid w:val="00E65753"/>
    <w:rsid w:val="00E657A3"/>
    <w:rsid w:val="00E659C8"/>
    <w:rsid w:val="00E65B88"/>
    <w:rsid w:val="00E65DBB"/>
    <w:rsid w:val="00E665EA"/>
    <w:rsid w:val="00E66A31"/>
    <w:rsid w:val="00E66F6A"/>
    <w:rsid w:val="00E66F81"/>
    <w:rsid w:val="00E67047"/>
    <w:rsid w:val="00E676A6"/>
    <w:rsid w:val="00E70135"/>
    <w:rsid w:val="00E701BF"/>
    <w:rsid w:val="00E70BEF"/>
    <w:rsid w:val="00E7127F"/>
    <w:rsid w:val="00E71502"/>
    <w:rsid w:val="00E715F9"/>
    <w:rsid w:val="00E71862"/>
    <w:rsid w:val="00E72092"/>
    <w:rsid w:val="00E729BF"/>
    <w:rsid w:val="00E729DA"/>
    <w:rsid w:val="00E72A4E"/>
    <w:rsid w:val="00E733B7"/>
    <w:rsid w:val="00E73657"/>
    <w:rsid w:val="00E737F8"/>
    <w:rsid w:val="00E73987"/>
    <w:rsid w:val="00E74111"/>
    <w:rsid w:val="00E74446"/>
    <w:rsid w:val="00E74812"/>
    <w:rsid w:val="00E74C0E"/>
    <w:rsid w:val="00E74E43"/>
    <w:rsid w:val="00E750EC"/>
    <w:rsid w:val="00E75413"/>
    <w:rsid w:val="00E76166"/>
    <w:rsid w:val="00E761BE"/>
    <w:rsid w:val="00E76EFB"/>
    <w:rsid w:val="00E76F1C"/>
    <w:rsid w:val="00E76F58"/>
    <w:rsid w:val="00E77298"/>
    <w:rsid w:val="00E77601"/>
    <w:rsid w:val="00E77E64"/>
    <w:rsid w:val="00E77FA0"/>
    <w:rsid w:val="00E809EE"/>
    <w:rsid w:val="00E80B3F"/>
    <w:rsid w:val="00E8142B"/>
    <w:rsid w:val="00E81459"/>
    <w:rsid w:val="00E8151D"/>
    <w:rsid w:val="00E81A2C"/>
    <w:rsid w:val="00E81BE6"/>
    <w:rsid w:val="00E81FF0"/>
    <w:rsid w:val="00E8243A"/>
    <w:rsid w:val="00E82AE4"/>
    <w:rsid w:val="00E82F70"/>
    <w:rsid w:val="00E832A9"/>
    <w:rsid w:val="00E83928"/>
    <w:rsid w:val="00E83938"/>
    <w:rsid w:val="00E83AF3"/>
    <w:rsid w:val="00E83C78"/>
    <w:rsid w:val="00E83CBC"/>
    <w:rsid w:val="00E83D0B"/>
    <w:rsid w:val="00E842B3"/>
    <w:rsid w:val="00E84743"/>
    <w:rsid w:val="00E84854"/>
    <w:rsid w:val="00E8485B"/>
    <w:rsid w:val="00E85BDA"/>
    <w:rsid w:val="00E85E8C"/>
    <w:rsid w:val="00E863FE"/>
    <w:rsid w:val="00E86BBD"/>
    <w:rsid w:val="00E8703F"/>
    <w:rsid w:val="00E8708E"/>
    <w:rsid w:val="00E877A3"/>
    <w:rsid w:val="00E9039C"/>
    <w:rsid w:val="00E9055A"/>
    <w:rsid w:val="00E90AA4"/>
    <w:rsid w:val="00E91040"/>
    <w:rsid w:val="00E919A9"/>
    <w:rsid w:val="00E91BA7"/>
    <w:rsid w:val="00E91D80"/>
    <w:rsid w:val="00E9207F"/>
    <w:rsid w:val="00E922EA"/>
    <w:rsid w:val="00E92AFE"/>
    <w:rsid w:val="00E92D74"/>
    <w:rsid w:val="00E9336B"/>
    <w:rsid w:val="00E936F3"/>
    <w:rsid w:val="00E94A0E"/>
    <w:rsid w:val="00E94A46"/>
    <w:rsid w:val="00E94F00"/>
    <w:rsid w:val="00E95408"/>
    <w:rsid w:val="00E9585B"/>
    <w:rsid w:val="00E95F91"/>
    <w:rsid w:val="00E95FC5"/>
    <w:rsid w:val="00E967E9"/>
    <w:rsid w:val="00E96B04"/>
    <w:rsid w:val="00E97593"/>
    <w:rsid w:val="00E975EC"/>
    <w:rsid w:val="00EA02DC"/>
    <w:rsid w:val="00EA08D9"/>
    <w:rsid w:val="00EA0C30"/>
    <w:rsid w:val="00EA0E74"/>
    <w:rsid w:val="00EA1443"/>
    <w:rsid w:val="00EA1555"/>
    <w:rsid w:val="00EA1A20"/>
    <w:rsid w:val="00EA1B6C"/>
    <w:rsid w:val="00EA1D7E"/>
    <w:rsid w:val="00EA1F53"/>
    <w:rsid w:val="00EA2214"/>
    <w:rsid w:val="00EA22B5"/>
    <w:rsid w:val="00EA2B93"/>
    <w:rsid w:val="00EA30C2"/>
    <w:rsid w:val="00EA3128"/>
    <w:rsid w:val="00EA3373"/>
    <w:rsid w:val="00EA34FF"/>
    <w:rsid w:val="00EA3A43"/>
    <w:rsid w:val="00EA3C51"/>
    <w:rsid w:val="00EA3FF4"/>
    <w:rsid w:val="00EA47FC"/>
    <w:rsid w:val="00EA58AB"/>
    <w:rsid w:val="00EA59D8"/>
    <w:rsid w:val="00EA5BA0"/>
    <w:rsid w:val="00EA602C"/>
    <w:rsid w:val="00EA6250"/>
    <w:rsid w:val="00EA6804"/>
    <w:rsid w:val="00EA69FF"/>
    <w:rsid w:val="00EA6AC9"/>
    <w:rsid w:val="00EA7044"/>
    <w:rsid w:val="00EA7863"/>
    <w:rsid w:val="00EA79F9"/>
    <w:rsid w:val="00EA7F63"/>
    <w:rsid w:val="00EB00A7"/>
    <w:rsid w:val="00EB051D"/>
    <w:rsid w:val="00EB1016"/>
    <w:rsid w:val="00EB116D"/>
    <w:rsid w:val="00EB137C"/>
    <w:rsid w:val="00EB141A"/>
    <w:rsid w:val="00EB1968"/>
    <w:rsid w:val="00EB1976"/>
    <w:rsid w:val="00EB1E44"/>
    <w:rsid w:val="00EB27BC"/>
    <w:rsid w:val="00EB2902"/>
    <w:rsid w:val="00EB2C26"/>
    <w:rsid w:val="00EB2DF5"/>
    <w:rsid w:val="00EB2F5E"/>
    <w:rsid w:val="00EB3739"/>
    <w:rsid w:val="00EB39D4"/>
    <w:rsid w:val="00EB3A8B"/>
    <w:rsid w:val="00EB3AA2"/>
    <w:rsid w:val="00EB3DE7"/>
    <w:rsid w:val="00EB40EC"/>
    <w:rsid w:val="00EB4B42"/>
    <w:rsid w:val="00EB53E7"/>
    <w:rsid w:val="00EB5AD6"/>
    <w:rsid w:val="00EB641D"/>
    <w:rsid w:val="00EB6804"/>
    <w:rsid w:val="00EB6CCD"/>
    <w:rsid w:val="00EB6DEA"/>
    <w:rsid w:val="00EB6ECE"/>
    <w:rsid w:val="00EB6FAD"/>
    <w:rsid w:val="00EB7772"/>
    <w:rsid w:val="00EB7933"/>
    <w:rsid w:val="00EB7F36"/>
    <w:rsid w:val="00EC04BC"/>
    <w:rsid w:val="00EC0597"/>
    <w:rsid w:val="00EC0607"/>
    <w:rsid w:val="00EC08A0"/>
    <w:rsid w:val="00EC0A18"/>
    <w:rsid w:val="00EC0CB8"/>
    <w:rsid w:val="00EC0CF0"/>
    <w:rsid w:val="00EC0E53"/>
    <w:rsid w:val="00EC12D9"/>
    <w:rsid w:val="00EC14C6"/>
    <w:rsid w:val="00EC190C"/>
    <w:rsid w:val="00EC246A"/>
    <w:rsid w:val="00EC3EFC"/>
    <w:rsid w:val="00EC438D"/>
    <w:rsid w:val="00EC4A34"/>
    <w:rsid w:val="00EC4D9F"/>
    <w:rsid w:val="00EC4E69"/>
    <w:rsid w:val="00EC5388"/>
    <w:rsid w:val="00EC5584"/>
    <w:rsid w:val="00EC5761"/>
    <w:rsid w:val="00EC5C42"/>
    <w:rsid w:val="00EC62A9"/>
    <w:rsid w:val="00EC6490"/>
    <w:rsid w:val="00EC66D7"/>
    <w:rsid w:val="00EC71A0"/>
    <w:rsid w:val="00EC7456"/>
    <w:rsid w:val="00EC7875"/>
    <w:rsid w:val="00EC79EA"/>
    <w:rsid w:val="00EC7E9C"/>
    <w:rsid w:val="00ED01BC"/>
    <w:rsid w:val="00ED037E"/>
    <w:rsid w:val="00ED03F4"/>
    <w:rsid w:val="00ED083E"/>
    <w:rsid w:val="00ED0B27"/>
    <w:rsid w:val="00ED0F8E"/>
    <w:rsid w:val="00ED18DE"/>
    <w:rsid w:val="00ED1CD9"/>
    <w:rsid w:val="00ED1E01"/>
    <w:rsid w:val="00ED2573"/>
    <w:rsid w:val="00ED2EB7"/>
    <w:rsid w:val="00ED46F6"/>
    <w:rsid w:val="00ED4DDE"/>
    <w:rsid w:val="00ED5821"/>
    <w:rsid w:val="00ED5838"/>
    <w:rsid w:val="00ED590A"/>
    <w:rsid w:val="00ED5BA8"/>
    <w:rsid w:val="00ED61C5"/>
    <w:rsid w:val="00ED66B2"/>
    <w:rsid w:val="00ED711D"/>
    <w:rsid w:val="00ED72BF"/>
    <w:rsid w:val="00ED7E50"/>
    <w:rsid w:val="00ED7F2F"/>
    <w:rsid w:val="00EE045D"/>
    <w:rsid w:val="00EE063D"/>
    <w:rsid w:val="00EE1025"/>
    <w:rsid w:val="00EE1AE6"/>
    <w:rsid w:val="00EE1E79"/>
    <w:rsid w:val="00EE238F"/>
    <w:rsid w:val="00EE28A6"/>
    <w:rsid w:val="00EE3372"/>
    <w:rsid w:val="00EE342F"/>
    <w:rsid w:val="00EE3897"/>
    <w:rsid w:val="00EE4026"/>
    <w:rsid w:val="00EE467B"/>
    <w:rsid w:val="00EE4942"/>
    <w:rsid w:val="00EE5085"/>
    <w:rsid w:val="00EE55DA"/>
    <w:rsid w:val="00EE562A"/>
    <w:rsid w:val="00EE5D3D"/>
    <w:rsid w:val="00EE6231"/>
    <w:rsid w:val="00EE69D0"/>
    <w:rsid w:val="00EE6BEE"/>
    <w:rsid w:val="00EE7378"/>
    <w:rsid w:val="00EE7915"/>
    <w:rsid w:val="00EE799B"/>
    <w:rsid w:val="00EE7E76"/>
    <w:rsid w:val="00EF00ED"/>
    <w:rsid w:val="00EF091E"/>
    <w:rsid w:val="00EF0E9F"/>
    <w:rsid w:val="00EF0F04"/>
    <w:rsid w:val="00EF1066"/>
    <w:rsid w:val="00EF11B6"/>
    <w:rsid w:val="00EF13A9"/>
    <w:rsid w:val="00EF1F67"/>
    <w:rsid w:val="00EF2085"/>
    <w:rsid w:val="00EF2F70"/>
    <w:rsid w:val="00EF3069"/>
    <w:rsid w:val="00EF3478"/>
    <w:rsid w:val="00EF3F3A"/>
    <w:rsid w:val="00EF4412"/>
    <w:rsid w:val="00EF48D9"/>
    <w:rsid w:val="00EF4DAF"/>
    <w:rsid w:val="00EF4F64"/>
    <w:rsid w:val="00EF681D"/>
    <w:rsid w:val="00EF6B43"/>
    <w:rsid w:val="00EF6C01"/>
    <w:rsid w:val="00EF6EC6"/>
    <w:rsid w:val="00EF7EC1"/>
    <w:rsid w:val="00F007D8"/>
    <w:rsid w:val="00F00A21"/>
    <w:rsid w:val="00F01719"/>
    <w:rsid w:val="00F01ACD"/>
    <w:rsid w:val="00F02469"/>
    <w:rsid w:val="00F025A5"/>
    <w:rsid w:val="00F0262A"/>
    <w:rsid w:val="00F02709"/>
    <w:rsid w:val="00F029F0"/>
    <w:rsid w:val="00F02DEF"/>
    <w:rsid w:val="00F02E67"/>
    <w:rsid w:val="00F0376A"/>
    <w:rsid w:val="00F039FB"/>
    <w:rsid w:val="00F0447D"/>
    <w:rsid w:val="00F046DC"/>
    <w:rsid w:val="00F0487F"/>
    <w:rsid w:val="00F04D45"/>
    <w:rsid w:val="00F05926"/>
    <w:rsid w:val="00F05957"/>
    <w:rsid w:val="00F0649B"/>
    <w:rsid w:val="00F069EC"/>
    <w:rsid w:val="00F06B53"/>
    <w:rsid w:val="00F06FBD"/>
    <w:rsid w:val="00F0721C"/>
    <w:rsid w:val="00F07905"/>
    <w:rsid w:val="00F079E1"/>
    <w:rsid w:val="00F07E66"/>
    <w:rsid w:val="00F102AD"/>
    <w:rsid w:val="00F10881"/>
    <w:rsid w:val="00F118CD"/>
    <w:rsid w:val="00F1194B"/>
    <w:rsid w:val="00F12218"/>
    <w:rsid w:val="00F124D0"/>
    <w:rsid w:val="00F12895"/>
    <w:rsid w:val="00F13292"/>
    <w:rsid w:val="00F133D4"/>
    <w:rsid w:val="00F13CB0"/>
    <w:rsid w:val="00F13FE1"/>
    <w:rsid w:val="00F14580"/>
    <w:rsid w:val="00F1475C"/>
    <w:rsid w:val="00F15267"/>
    <w:rsid w:val="00F15282"/>
    <w:rsid w:val="00F152EB"/>
    <w:rsid w:val="00F15788"/>
    <w:rsid w:val="00F158F1"/>
    <w:rsid w:val="00F15B60"/>
    <w:rsid w:val="00F16506"/>
    <w:rsid w:val="00F16A42"/>
    <w:rsid w:val="00F16AF7"/>
    <w:rsid w:val="00F16F43"/>
    <w:rsid w:val="00F17993"/>
    <w:rsid w:val="00F17BD0"/>
    <w:rsid w:val="00F20448"/>
    <w:rsid w:val="00F206E5"/>
    <w:rsid w:val="00F2093C"/>
    <w:rsid w:val="00F209A7"/>
    <w:rsid w:val="00F20C3F"/>
    <w:rsid w:val="00F20CF9"/>
    <w:rsid w:val="00F2112B"/>
    <w:rsid w:val="00F211D8"/>
    <w:rsid w:val="00F21934"/>
    <w:rsid w:val="00F22088"/>
    <w:rsid w:val="00F221B1"/>
    <w:rsid w:val="00F2221A"/>
    <w:rsid w:val="00F22922"/>
    <w:rsid w:val="00F22E1E"/>
    <w:rsid w:val="00F23152"/>
    <w:rsid w:val="00F23970"/>
    <w:rsid w:val="00F23EC5"/>
    <w:rsid w:val="00F2477C"/>
    <w:rsid w:val="00F24D02"/>
    <w:rsid w:val="00F24DA7"/>
    <w:rsid w:val="00F24F69"/>
    <w:rsid w:val="00F252BF"/>
    <w:rsid w:val="00F2538C"/>
    <w:rsid w:val="00F25DC0"/>
    <w:rsid w:val="00F25F0A"/>
    <w:rsid w:val="00F26152"/>
    <w:rsid w:val="00F2624D"/>
    <w:rsid w:val="00F265F2"/>
    <w:rsid w:val="00F26E26"/>
    <w:rsid w:val="00F26E3E"/>
    <w:rsid w:val="00F27157"/>
    <w:rsid w:val="00F2735C"/>
    <w:rsid w:val="00F27FE4"/>
    <w:rsid w:val="00F303F0"/>
    <w:rsid w:val="00F30520"/>
    <w:rsid w:val="00F306AD"/>
    <w:rsid w:val="00F30776"/>
    <w:rsid w:val="00F3094C"/>
    <w:rsid w:val="00F3098D"/>
    <w:rsid w:val="00F30C92"/>
    <w:rsid w:val="00F31501"/>
    <w:rsid w:val="00F31EDB"/>
    <w:rsid w:val="00F31FF1"/>
    <w:rsid w:val="00F32360"/>
    <w:rsid w:val="00F325F2"/>
    <w:rsid w:val="00F329CF"/>
    <w:rsid w:val="00F33299"/>
    <w:rsid w:val="00F33703"/>
    <w:rsid w:val="00F3396E"/>
    <w:rsid w:val="00F33E0E"/>
    <w:rsid w:val="00F33FD4"/>
    <w:rsid w:val="00F344A6"/>
    <w:rsid w:val="00F34700"/>
    <w:rsid w:val="00F34C00"/>
    <w:rsid w:val="00F352AF"/>
    <w:rsid w:val="00F352B0"/>
    <w:rsid w:val="00F35345"/>
    <w:rsid w:val="00F35407"/>
    <w:rsid w:val="00F3548C"/>
    <w:rsid w:val="00F35727"/>
    <w:rsid w:val="00F35E2B"/>
    <w:rsid w:val="00F362A3"/>
    <w:rsid w:val="00F362EA"/>
    <w:rsid w:val="00F36351"/>
    <w:rsid w:val="00F363B3"/>
    <w:rsid w:val="00F36CCF"/>
    <w:rsid w:val="00F37061"/>
    <w:rsid w:val="00F37107"/>
    <w:rsid w:val="00F3732C"/>
    <w:rsid w:val="00F379BE"/>
    <w:rsid w:val="00F37BD4"/>
    <w:rsid w:val="00F37DD8"/>
    <w:rsid w:val="00F40622"/>
    <w:rsid w:val="00F408F6"/>
    <w:rsid w:val="00F41001"/>
    <w:rsid w:val="00F41181"/>
    <w:rsid w:val="00F411CE"/>
    <w:rsid w:val="00F419B3"/>
    <w:rsid w:val="00F41BC6"/>
    <w:rsid w:val="00F42B1D"/>
    <w:rsid w:val="00F431A0"/>
    <w:rsid w:val="00F434C1"/>
    <w:rsid w:val="00F43C63"/>
    <w:rsid w:val="00F441BA"/>
    <w:rsid w:val="00F4429E"/>
    <w:rsid w:val="00F44B10"/>
    <w:rsid w:val="00F44D75"/>
    <w:rsid w:val="00F44E8F"/>
    <w:rsid w:val="00F453EC"/>
    <w:rsid w:val="00F45FB8"/>
    <w:rsid w:val="00F466FF"/>
    <w:rsid w:val="00F46ADD"/>
    <w:rsid w:val="00F473C8"/>
    <w:rsid w:val="00F47989"/>
    <w:rsid w:val="00F47BA9"/>
    <w:rsid w:val="00F500F5"/>
    <w:rsid w:val="00F505E9"/>
    <w:rsid w:val="00F5091A"/>
    <w:rsid w:val="00F50F1C"/>
    <w:rsid w:val="00F522B5"/>
    <w:rsid w:val="00F523D1"/>
    <w:rsid w:val="00F530BF"/>
    <w:rsid w:val="00F535E4"/>
    <w:rsid w:val="00F53D1E"/>
    <w:rsid w:val="00F54330"/>
    <w:rsid w:val="00F54AF5"/>
    <w:rsid w:val="00F55594"/>
    <w:rsid w:val="00F555F6"/>
    <w:rsid w:val="00F562C3"/>
    <w:rsid w:val="00F56BA1"/>
    <w:rsid w:val="00F56ED0"/>
    <w:rsid w:val="00F57693"/>
    <w:rsid w:val="00F577F1"/>
    <w:rsid w:val="00F578B6"/>
    <w:rsid w:val="00F57AC9"/>
    <w:rsid w:val="00F57D43"/>
    <w:rsid w:val="00F6061F"/>
    <w:rsid w:val="00F60814"/>
    <w:rsid w:val="00F60D52"/>
    <w:rsid w:val="00F6170C"/>
    <w:rsid w:val="00F61912"/>
    <w:rsid w:val="00F61B40"/>
    <w:rsid w:val="00F6259C"/>
    <w:rsid w:val="00F625D6"/>
    <w:rsid w:val="00F62C59"/>
    <w:rsid w:val="00F63E2F"/>
    <w:rsid w:val="00F64218"/>
    <w:rsid w:val="00F6494B"/>
    <w:rsid w:val="00F6522C"/>
    <w:rsid w:val="00F652FE"/>
    <w:rsid w:val="00F65950"/>
    <w:rsid w:val="00F65B9A"/>
    <w:rsid w:val="00F65C97"/>
    <w:rsid w:val="00F65FBE"/>
    <w:rsid w:val="00F66573"/>
    <w:rsid w:val="00F6677B"/>
    <w:rsid w:val="00F66B68"/>
    <w:rsid w:val="00F670FD"/>
    <w:rsid w:val="00F6733B"/>
    <w:rsid w:val="00F6791A"/>
    <w:rsid w:val="00F67C80"/>
    <w:rsid w:val="00F67E90"/>
    <w:rsid w:val="00F70167"/>
    <w:rsid w:val="00F702DA"/>
    <w:rsid w:val="00F70836"/>
    <w:rsid w:val="00F70D43"/>
    <w:rsid w:val="00F70F93"/>
    <w:rsid w:val="00F71AE2"/>
    <w:rsid w:val="00F71B7B"/>
    <w:rsid w:val="00F71E94"/>
    <w:rsid w:val="00F73280"/>
    <w:rsid w:val="00F73282"/>
    <w:rsid w:val="00F73319"/>
    <w:rsid w:val="00F74B1B"/>
    <w:rsid w:val="00F751D2"/>
    <w:rsid w:val="00F75582"/>
    <w:rsid w:val="00F76115"/>
    <w:rsid w:val="00F761CC"/>
    <w:rsid w:val="00F762E5"/>
    <w:rsid w:val="00F76400"/>
    <w:rsid w:val="00F7665D"/>
    <w:rsid w:val="00F7667C"/>
    <w:rsid w:val="00F76C73"/>
    <w:rsid w:val="00F77436"/>
    <w:rsid w:val="00F774AD"/>
    <w:rsid w:val="00F77668"/>
    <w:rsid w:val="00F776E9"/>
    <w:rsid w:val="00F779B9"/>
    <w:rsid w:val="00F8046E"/>
    <w:rsid w:val="00F804B8"/>
    <w:rsid w:val="00F8153A"/>
    <w:rsid w:val="00F8158C"/>
    <w:rsid w:val="00F818A8"/>
    <w:rsid w:val="00F81FB8"/>
    <w:rsid w:val="00F8205F"/>
    <w:rsid w:val="00F82768"/>
    <w:rsid w:val="00F82DB3"/>
    <w:rsid w:val="00F82EC1"/>
    <w:rsid w:val="00F83227"/>
    <w:rsid w:val="00F834DB"/>
    <w:rsid w:val="00F83957"/>
    <w:rsid w:val="00F84128"/>
    <w:rsid w:val="00F84288"/>
    <w:rsid w:val="00F844B0"/>
    <w:rsid w:val="00F8461F"/>
    <w:rsid w:val="00F84CC8"/>
    <w:rsid w:val="00F84CF0"/>
    <w:rsid w:val="00F84F89"/>
    <w:rsid w:val="00F8526D"/>
    <w:rsid w:val="00F85C9C"/>
    <w:rsid w:val="00F860EC"/>
    <w:rsid w:val="00F862D4"/>
    <w:rsid w:val="00F86470"/>
    <w:rsid w:val="00F864C4"/>
    <w:rsid w:val="00F866DB"/>
    <w:rsid w:val="00F872B3"/>
    <w:rsid w:val="00F87A66"/>
    <w:rsid w:val="00F87CC8"/>
    <w:rsid w:val="00F87DA0"/>
    <w:rsid w:val="00F9056B"/>
    <w:rsid w:val="00F9058D"/>
    <w:rsid w:val="00F90BE8"/>
    <w:rsid w:val="00F912B3"/>
    <w:rsid w:val="00F915CC"/>
    <w:rsid w:val="00F915E9"/>
    <w:rsid w:val="00F91B2E"/>
    <w:rsid w:val="00F926A7"/>
    <w:rsid w:val="00F92938"/>
    <w:rsid w:val="00F9298A"/>
    <w:rsid w:val="00F93148"/>
    <w:rsid w:val="00F93281"/>
    <w:rsid w:val="00F93326"/>
    <w:rsid w:val="00F93419"/>
    <w:rsid w:val="00F93526"/>
    <w:rsid w:val="00F935D1"/>
    <w:rsid w:val="00F93E5A"/>
    <w:rsid w:val="00F948F3"/>
    <w:rsid w:val="00F94B78"/>
    <w:rsid w:val="00F95036"/>
    <w:rsid w:val="00F953FA"/>
    <w:rsid w:val="00F95ABE"/>
    <w:rsid w:val="00F95F05"/>
    <w:rsid w:val="00F963B6"/>
    <w:rsid w:val="00F964DD"/>
    <w:rsid w:val="00F96501"/>
    <w:rsid w:val="00F97090"/>
    <w:rsid w:val="00F97146"/>
    <w:rsid w:val="00F974FA"/>
    <w:rsid w:val="00F97678"/>
    <w:rsid w:val="00F977E6"/>
    <w:rsid w:val="00F979E7"/>
    <w:rsid w:val="00F97C12"/>
    <w:rsid w:val="00F97E4A"/>
    <w:rsid w:val="00F97F7E"/>
    <w:rsid w:val="00FA000F"/>
    <w:rsid w:val="00FA099A"/>
    <w:rsid w:val="00FA0E52"/>
    <w:rsid w:val="00FA0E8B"/>
    <w:rsid w:val="00FA1714"/>
    <w:rsid w:val="00FA19C9"/>
    <w:rsid w:val="00FA1E0E"/>
    <w:rsid w:val="00FA2DE8"/>
    <w:rsid w:val="00FA30AC"/>
    <w:rsid w:val="00FA31F5"/>
    <w:rsid w:val="00FA3955"/>
    <w:rsid w:val="00FA3958"/>
    <w:rsid w:val="00FA3AB9"/>
    <w:rsid w:val="00FA40E8"/>
    <w:rsid w:val="00FA429C"/>
    <w:rsid w:val="00FA48C5"/>
    <w:rsid w:val="00FA4D9D"/>
    <w:rsid w:val="00FA525B"/>
    <w:rsid w:val="00FA5478"/>
    <w:rsid w:val="00FA5963"/>
    <w:rsid w:val="00FA5A0E"/>
    <w:rsid w:val="00FA5C56"/>
    <w:rsid w:val="00FA5FDC"/>
    <w:rsid w:val="00FA6203"/>
    <w:rsid w:val="00FA63F0"/>
    <w:rsid w:val="00FA63F6"/>
    <w:rsid w:val="00FA64D6"/>
    <w:rsid w:val="00FA6FDC"/>
    <w:rsid w:val="00FA6FE0"/>
    <w:rsid w:val="00FA70A5"/>
    <w:rsid w:val="00FA7566"/>
    <w:rsid w:val="00FA76D0"/>
    <w:rsid w:val="00FA7A7A"/>
    <w:rsid w:val="00FA7B85"/>
    <w:rsid w:val="00FA7E47"/>
    <w:rsid w:val="00FB03B0"/>
    <w:rsid w:val="00FB1001"/>
    <w:rsid w:val="00FB194F"/>
    <w:rsid w:val="00FB2AA2"/>
    <w:rsid w:val="00FB2F47"/>
    <w:rsid w:val="00FB30EB"/>
    <w:rsid w:val="00FB30F8"/>
    <w:rsid w:val="00FB3161"/>
    <w:rsid w:val="00FB34E2"/>
    <w:rsid w:val="00FB3545"/>
    <w:rsid w:val="00FB3B10"/>
    <w:rsid w:val="00FB3F20"/>
    <w:rsid w:val="00FB4883"/>
    <w:rsid w:val="00FB4891"/>
    <w:rsid w:val="00FB4933"/>
    <w:rsid w:val="00FB49B5"/>
    <w:rsid w:val="00FB5B85"/>
    <w:rsid w:val="00FB63B1"/>
    <w:rsid w:val="00FB6738"/>
    <w:rsid w:val="00FB67D1"/>
    <w:rsid w:val="00FB6D79"/>
    <w:rsid w:val="00FB7006"/>
    <w:rsid w:val="00FB7047"/>
    <w:rsid w:val="00FB7525"/>
    <w:rsid w:val="00FB7CC1"/>
    <w:rsid w:val="00FB7D24"/>
    <w:rsid w:val="00FB7ED9"/>
    <w:rsid w:val="00FC03C1"/>
    <w:rsid w:val="00FC06B8"/>
    <w:rsid w:val="00FC092E"/>
    <w:rsid w:val="00FC0F65"/>
    <w:rsid w:val="00FC140E"/>
    <w:rsid w:val="00FC1860"/>
    <w:rsid w:val="00FC1A3B"/>
    <w:rsid w:val="00FC1C0A"/>
    <w:rsid w:val="00FC24B0"/>
    <w:rsid w:val="00FC2935"/>
    <w:rsid w:val="00FC2C6A"/>
    <w:rsid w:val="00FC2D62"/>
    <w:rsid w:val="00FC2F8B"/>
    <w:rsid w:val="00FC347A"/>
    <w:rsid w:val="00FC34D0"/>
    <w:rsid w:val="00FC3653"/>
    <w:rsid w:val="00FC44ED"/>
    <w:rsid w:val="00FC45B0"/>
    <w:rsid w:val="00FC47F6"/>
    <w:rsid w:val="00FC493F"/>
    <w:rsid w:val="00FC4A01"/>
    <w:rsid w:val="00FC4E0D"/>
    <w:rsid w:val="00FC5129"/>
    <w:rsid w:val="00FC51E0"/>
    <w:rsid w:val="00FC51E5"/>
    <w:rsid w:val="00FC6367"/>
    <w:rsid w:val="00FC6750"/>
    <w:rsid w:val="00FC69DB"/>
    <w:rsid w:val="00FC753D"/>
    <w:rsid w:val="00FC7623"/>
    <w:rsid w:val="00FC77BC"/>
    <w:rsid w:val="00FC7896"/>
    <w:rsid w:val="00FC7A24"/>
    <w:rsid w:val="00FD077C"/>
    <w:rsid w:val="00FD0930"/>
    <w:rsid w:val="00FD169C"/>
    <w:rsid w:val="00FD2339"/>
    <w:rsid w:val="00FD236C"/>
    <w:rsid w:val="00FD2688"/>
    <w:rsid w:val="00FD295A"/>
    <w:rsid w:val="00FD405A"/>
    <w:rsid w:val="00FD4141"/>
    <w:rsid w:val="00FD4694"/>
    <w:rsid w:val="00FD474F"/>
    <w:rsid w:val="00FD4919"/>
    <w:rsid w:val="00FD49BD"/>
    <w:rsid w:val="00FD4F8B"/>
    <w:rsid w:val="00FD505B"/>
    <w:rsid w:val="00FD51FF"/>
    <w:rsid w:val="00FD52D0"/>
    <w:rsid w:val="00FD5778"/>
    <w:rsid w:val="00FD6398"/>
    <w:rsid w:val="00FD64DD"/>
    <w:rsid w:val="00FD6BDD"/>
    <w:rsid w:val="00FD71EE"/>
    <w:rsid w:val="00FD73ED"/>
    <w:rsid w:val="00FE01D0"/>
    <w:rsid w:val="00FE028B"/>
    <w:rsid w:val="00FE03F8"/>
    <w:rsid w:val="00FE1282"/>
    <w:rsid w:val="00FE1925"/>
    <w:rsid w:val="00FE1AB9"/>
    <w:rsid w:val="00FE1EE1"/>
    <w:rsid w:val="00FE2179"/>
    <w:rsid w:val="00FE24C2"/>
    <w:rsid w:val="00FE2692"/>
    <w:rsid w:val="00FE2FB0"/>
    <w:rsid w:val="00FE3149"/>
    <w:rsid w:val="00FE3550"/>
    <w:rsid w:val="00FE38A4"/>
    <w:rsid w:val="00FE4700"/>
    <w:rsid w:val="00FE4E6F"/>
    <w:rsid w:val="00FE4ED9"/>
    <w:rsid w:val="00FE50EC"/>
    <w:rsid w:val="00FE5443"/>
    <w:rsid w:val="00FE5630"/>
    <w:rsid w:val="00FE5903"/>
    <w:rsid w:val="00FE67B9"/>
    <w:rsid w:val="00FE6B22"/>
    <w:rsid w:val="00FE6F25"/>
    <w:rsid w:val="00FE7338"/>
    <w:rsid w:val="00FE7935"/>
    <w:rsid w:val="00FE793E"/>
    <w:rsid w:val="00FE7BD3"/>
    <w:rsid w:val="00FE7F46"/>
    <w:rsid w:val="00FF0499"/>
    <w:rsid w:val="00FF051A"/>
    <w:rsid w:val="00FF0636"/>
    <w:rsid w:val="00FF07EE"/>
    <w:rsid w:val="00FF0CEC"/>
    <w:rsid w:val="00FF14A5"/>
    <w:rsid w:val="00FF292C"/>
    <w:rsid w:val="00FF2DA2"/>
    <w:rsid w:val="00FF31FE"/>
    <w:rsid w:val="00FF32E7"/>
    <w:rsid w:val="00FF343A"/>
    <w:rsid w:val="00FF37E9"/>
    <w:rsid w:val="00FF3C0F"/>
    <w:rsid w:val="00FF41DD"/>
    <w:rsid w:val="00FF4554"/>
    <w:rsid w:val="00FF4B12"/>
    <w:rsid w:val="00FF582D"/>
    <w:rsid w:val="00FF5E1D"/>
    <w:rsid w:val="00FF5E6C"/>
    <w:rsid w:val="00FF6C74"/>
    <w:rsid w:val="00FF6CA4"/>
    <w:rsid w:val="00FF6F7E"/>
    <w:rsid w:val="00FF7064"/>
    <w:rsid w:val="00FF77CB"/>
    <w:rsid w:val="00FF793D"/>
    <w:rsid w:val="00FF7FC7"/>
    <w:rsid w:val="086870EB"/>
    <w:rsid w:val="11566A67"/>
    <w:rsid w:val="18D65F02"/>
    <w:rsid w:val="1DB45800"/>
    <w:rsid w:val="1EDC3420"/>
    <w:rsid w:val="29DD2B7A"/>
    <w:rsid w:val="2EF278B5"/>
    <w:rsid w:val="30C051DC"/>
    <w:rsid w:val="35C07DEF"/>
    <w:rsid w:val="375C7DFE"/>
    <w:rsid w:val="44BB2D49"/>
    <w:rsid w:val="5A56134E"/>
    <w:rsid w:val="677F61A6"/>
    <w:rsid w:val="6F75546C"/>
    <w:rsid w:val="70841049"/>
    <w:rsid w:val="747559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82C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footnote reference" w:qFormat="1"/>
    <w:lsdException w:name="annotation reference" w:uiPriority="0" w:qFormat="1"/>
    <w:lsdException w:name="page number" w:uiPriority="0" w:qFormat="1"/>
    <w:lsdException w:name="endnote reference" w:qFormat="1"/>
    <w:lsdException w:name="endnote text" w:qFormat="1"/>
    <w:lsdException w:name="table of authorities" w:unhideWhenUsed="0"/>
    <w:lsdException w:name="List" w:semiHidden="0" w:unhideWhenUsed="0" w:qFormat="1"/>
    <w:lsdException w:name="List Bullet" w:unhideWhenUsed="0"/>
    <w:lsdException w:name="List 2" w:uiPriority="0"/>
    <w:lsdException w:name="Title" w:semiHidden="0" w:unhideWhenUsed="0" w:qFormat="1"/>
    <w:lsdException w:name="Default Paragraph Font" w:uiPriority="1" w:qFormat="1"/>
    <w:lsdException w:name="Body Text" w:qFormat="1"/>
    <w:lsdException w:name="Body Text Indent" w:qFormat="1"/>
    <w:lsdException w:name="List Continue 2" w:unhideWhenUsed="0"/>
    <w:lsdException w:name="List Continue 3" w:unhideWhenUsed="0"/>
    <w:lsdException w:name="List Continue 4" w:unhideWhenUsed="0"/>
    <w:lsdException w:name="List Continue 5" w:unhideWhenUsed="0"/>
    <w:lsdException w:name="Subtitle" w:semiHidden="0" w:unhideWhenUsed="0" w:qFormat="1"/>
    <w:lsdException w:name="Date" w:qFormat="1"/>
    <w:lsdException w:name="Body Text First Indent" w:qFormat="1"/>
    <w:lsdException w:name="Body Text 2" w:qFormat="1"/>
    <w:lsdException w:name="Body Text 3" w:uiPriority="0"/>
    <w:lsdException w:name="Body Text Indent 2" w:qFormat="1"/>
    <w:lsdException w:name="Body Text Indent 3"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qFormat="1"/>
    <w:lsdException w:name="Normal Table" w:qFormat="1"/>
    <w:lsdException w:name="annotation subject" w:qFormat="1"/>
    <w:lsdException w:name="Table Colorful 1" w:uiPriority="0" w:qFormat="1"/>
    <w:lsdException w:name="Balloon Text" w:qFormat="1"/>
    <w:lsdException w:name="Table Grid" w:uiPriority="39"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qFormat="1"/>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a">
    <w:name w:val="Normal"/>
    <w:semiHidden/>
    <w:qFormat/>
    <w:rsid w:val="008C1C67"/>
    <w:rPr>
      <w:rFonts w:ascii="宋体" w:hAnsi="宋体" w:cs="宋体"/>
      <w:sz w:val="24"/>
      <w:szCs w:val="24"/>
    </w:rPr>
  </w:style>
  <w:style w:type="paragraph" w:styleId="1">
    <w:name w:val="heading 1"/>
    <w:basedOn w:val="a"/>
    <w:next w:val="a"/>
    <w:link w:val="1Char"/>
    <w:semiHidden/>
    <w:qFormat/>
    <w:pPr>
      <w:keepNext/>
      <w:keepLines/>
      <w:spacing w:before="40" w:after="40" w:line="480" w:lineRule="auto"/>
      <w:jc w:val="center"/>
      <w:outlineLvl w:val="0"/>
    </w:pPr>
    <w:rPr>
      <w:rFonts w:eastAsia="黑体"/>
      <w:b/>
      <w:bCs/>
      <w:kern w:val="44"/>
      <w:sz w:val="36"/>
      <w:szCs w:val="44"/>
    </w:rPr>
  </w:style>
  <w:style w:type="paragraph" w:styleId="20">
    <w:name w:val="heading 2"/>
    <w:basedOn w:val="a"/>
    <w:next w:val="a"/>
    <w:link w:val="2Char"/>
    <w:semiHidden/>
    <w:qFormat/>
    <w:pPr>
      <w:keepNext/>
      <w:keepLines/>
      <w:spacing w:before="140" w:after="140" w:line="416" w:lineRule="auto"/>
      <w:outlineLvl w:val="1"/>
    </w:pPr>
    <w:rPr>
      <w:rFonts w:asciiTheme="majorHAnsi" w:eastAsia="黑体" w:hAnsiTheme="majorHAnsi" w:cstheme="majorBidi"/>
      <w:b/>
      <w:bCs/>
      <w:sz w:val="32"/>
      <w:szCs w:val="32"/>
    </w:rPr>
  </w:style>
  <w:style w:type="paragraph" w:styleId="30">
    <w:name w:val="heading 3"/>
    <w:basedOn w:val="a"/>
    <w:next w:val="a"/>
    <w:link w:val="3Char"/>
    <w:semiHidden/>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qFormat/>
    <w:pPr>
      <w:keepNext/>
      <w:keepLines/>
      <w:spacing w:before="280" w:after="290" w:line="376" w:lineRule="auto"/>
      <w:outlineLvl w:val="4"/>
    </w:pPr>
    <w:rPr>
      <w:rFonts w:ascii="Times New Roman" w:hAnsi="Times New Roman" w:cs="Times New Roman"/>
      <w:b/>
      <w:bCs/>
      <w:sz w:val="28"/>
      <w:szCs w:val="28"/>
    </w:rPr>
  </w:style>
  <w:style w:type="paragraph" w:styleId="6">
    <w:name w:val="heading 6"/>
    <w:basedOn w:val="a"/>
    <w:next w:val="a"/>
    <w:link w:val="6Char"/>
    <w:semiHidden/>
    <w:qFormat/>
    <w:pPr>
      <w:keepNext/>
      <w:keepLines/>
      <w:spacing w:before="240" w:after="64" w:line="320" w:lineRule="auto"/>
      <w:outlineLvl w:val="5"/>
    </w:pPr>
    <w:rPr>
      <w:rFonts w:ascii="等线 Light" w:eastAsia="等线 Light" w:hAnsi="等线 Light" w:cs="Times New Roman"/>
      <w:b/>
      <w:bCs/>
    </w:rPr>
  </w:style>
  <w:style w:type="paragraph" w:styleId="7">
    <w:name w:val="heading 7"/>
    <w:basedOn w:val="a"/>
    <w:next w:val="a"/>
    <w:link w:val="7Char"/>
    <w:uiPriority w:val="99"/>
    <w:semiHidden/>
    <w:qFormat/>
    <w:pPr>
      <w:outlineLvl w:val="6"/>
    </w:pPr>
    <w:rPr>
      <w:rFonts w:ascii="Calibri" w:hAnsi="Calibri" w:cs="Times New Roman"/>
      <w:b/>
      <w:smallCaps/>
      <w:color w:val="C0504D" w:themeColor="accent2"/>
      <w:spacing w:val="10"/>
    </w:rPr>
  </w:style>
  <w:style w:type="paragraph" w:styleId="8">
    <w:name w:val="heading 8"/>
    <w:basedOn w:val="a"/>
    <w:next w:val="a"/>
    <w:link w:val="8Char"/>
    <w:uiPriority w:val="99"/>
    <w:semiHidden/>
    <w:qFormat/>
    <w:pPr>
      <w:outlineLvl w:val="7"/>
    </w:pPr>
    <w:rPr>
      <w:rFonts w:ascii="Calibri" w:hAnsi="Calibri" w:cs="Times New Roman"/>
      <w:b/>
      <w:i/>
      <w:smallCaps/>
      <w:color w:val="943634" w:themeColor="accent2" w:themeShade="BF"/>
    </w:rPr>
  </w:style>
  <w:style w:type="paragraph" w:styleId="9">
    <w:name w:val="heading 9"/>
    <w:basedOn w:val="a"/>
    <w:next w:val="a"/>
    <w:link w:val="9Char"/>
    <w:uiPriority w:val="99"/>
    <w:semiHidden/>
    <w:qFormat/>
    <w:pPr>
      <w:outlineLvl w:val="8"/>
    </w:pPr>
    <w:rPr>
      <w:rFonts w:ascii="Calibri" w:hAnsi="Calibri" w:cs="Times New Roman"/>
      <w:b/>
      <w:i/>
      <w:smallCaps/>
      <w:color w:val="632423" w:themeColor="accent2"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1260"/>
    </w:pPr>
  </w:style>
  <w:style w:type="paragraph" w:styleId="80">
    <w:name w:val="index 8"/>
    <w:basedOn w:val="a"/>
    <w:next w:val="a"/>
    <w:uiPriority w:val="99"/>
    <w:semiHidden/>
    <w:qFormat/>
    <w:pPr>
      <w:ind w:left="1680" w:hanging="210"/>
    </w:pPr>
  </w:style>
  <w:style w:type="paragraph" w:styleId="a3">
    <w:name w:val="Normal Indent"/>
    <w:basedOn w:val="a"/>
    <w:link w:val="Char"/>
    <w:uiPriority w:val="99"/>
    <w:semiHidden/>
    <w:qFormat/>
    <w:pPr>
      <w:ind w:firstLine="420"/>
    </w:pPr>
    <w:rPr>
      <w:rFonts w:ascii="Times New Roman" w:hAnsi="Times New Roman" w:cs="Times New Roman"/>
      <w:szCs w:val="20"/>
    </w:rPr>
  </w:style>
  <w:style w:type="paragraph" w:styleId="a4">
    <w:name w:val="caption"/>
    <w:basedOn w:val="a"/>
    <w:next w:val="a"/>
    <w:uiPriority w:val="99"/>
    <w:semiHidden/>
    <w:qFormat/>
    <w:rPr>
      <w:rFonts w:ascii="Calibri" w:hAnsi="Calibri" w:cs="Times New Roman"/>
      <w:b/>
      <w:bCs/>
      <w:caps/>
      <w:sz w:val="16"/>
      <w:szCs w:val="18"/>
    </w:rPr>
  </w:style>
  <w:style w:type="paragraph" w:styleId="50">
    <w:name w:val="index 5"/>
    <w:basedOn w:val="a"/>
    <w:next w:val="a"/>
    <w:uiPriority w:val="99"/>
    <w:semiHidden/>
    <w:qFormat/>
    <w:pPr>
      <w:ind w:left="1050" w:hanging="210"/>
    </w:pPr>
  </w:style>
  <w:style w:type="paragraph" w:styleId="a5">
    <w:name w:val="Document Map"/>
    <w:basedOn w:val="a"/>
    <w:link w:val="Char0"/>
    <w:uiPriority w:val="99"/>
    <w:semiHidden/>
    <w:qFormat/>
    <w:rPr>
      <w:sz w:val="18"/>
      <w:szCs w:val="18"/>
    </w:rPr>
  </w:style>
  <w:style w:type="paragraph" w:styleId="a6">
    <w:name w:val="annotation text"/>
    <w:basedOn w:val="a"/>
    <w:link w:val="Char1"/>
    <w:uiPriority w:val="99"/>
    <w:semiHidden/>
    <w:qFormat/>
  </w:style>
  <w:style w:type="paragraph" w:styleId="60">
    <w:name w:val="index 6"/>
    <w:basedOn w:val="a"/>
    <w:next w:val="a"/>
    <w:uiPriority w:val="99"/>
    <w:semiHidden/>
    <w:qFormat/>
    <w:pPr>
      <w:ind w:left="1260" w:hanging="210"/>
    </w:pPr>
  </w:style>
  <w:style w:type="paragraph" w:styleId="31">
    <w:name w:val="Body Text 3"/>
    <w:basedOn w:val="a"/>
    <w:link w:val="3Char0"/>
    <w:semiHidden/>
    <w:pPr>
      <w:tabs>
        <w:tab w:val="right" w:pos="2340"/>
        <w:tab w:val="right" w:pos="3060"/>
        <w:tab w:val="right" w:pos="3960"/>
        <w:tab w:val="right" w:pos="4680"/>
        <w:tab w:val="right" w:pos="5580"/>
        <w:tab w:val="right" w:pos="6300"/>
        <w:tab w:val="right" w:pos="6840"/>
        <w:tab w:val="right" w:pos="7560"/>
        <w:tab w:val="right" w:pos="8460"/>
        <w:tab w:val="right" w:pos="9180"/>
      </w:tabs>
      <w:snapToGrid w:val="0"/>
      <w:spacing w:line="400" w:lineRule="exact"/>
      <w:ind w:right="18"/>
    </w:pPr>
    <w:rPr>
      <w:rFonts w:asciiTheme="minorHAnsi" w:eastAsia="楷体" w:hAnsiTheme="minorHAnsi" w:cstheme="minorBidi"/>
      <w:kern w:val="2"/>
      <w:szCs w:val="21"/>
    </w:rPr>
  </w:style>
  <w:style w:type="paragraph" w:styleId="a7">
    <w:name w:val="Body Text"/>
    <w:basedOn w:val="a"/>
    <w:link w:val="Char2"/>
    <w:uiPriority w:val="99"/>
    <w:semiHidden/>
    <w:qFormat/>
    <w:pPr>
      <w:spacing w:before="134"/>
      <w:ind w:left="240"/>
    </w:pPr>
    <w:rPr>
      <w:lang w:eastAsia="en-US"/>
    </w:rPr>
  </w:style>
  <w:style w:type="paragraph" w:styleId="a8">
    <w:name w:val="Body Text Indent"/>
    <w:basedOn w:val="a"/>
    <w:link w:val="Char3"/>
    <w:uiPriority w:val="99"/>
    <w:semiHidden/>
    <w:qFormat/>
    <w:pPr>
      <w:spacing w:line="360" w:lineRule="auto"/>
      <w:ind w:left="1080"/>
    </w:pPr>
    <w:rPr>
      <w:rFonts w:cs="Times New Roman"/>
      <w:szCs w:val="20"/>
    </w:rPr>
  </w:style>
  <w:style w:type="paragraph" w:styleId="21">
    <w:name w:val="List 2"/>
    <w:basedOn w:val="a"/>
    <w:semiHidden/>
    <w:pPr>
      <w:spacing w:line="400" w:lineRule="atLeast"/>
      <w:ind w:left="840" w:hanging="420"/>
    </w:pPr>
    <w:rPr>
      <w:rFonts w:asciiTheme="minorHAnsi" w:eastAsiaTheme="minorEastAsia" w:hAnsiTheme="minorHAnsi" w:cstheme="minorBidi"/>
      <w:kern w:val="2"/>
      <w:sz w:val="21"/>
      <w:szCs w:val="20"/>
    </w:rPr>
  </w:style>
  <w:style w:type="paragraph" w:styleId="40">
    <w:name w:val="index 4"/>
    <w:basedOn w:val="a"/>
    <w:next w:val="a"/>
    <w:uiPriority w:val="99"/>
    <w:semiHidden/>
    <w:qFormat/>
    <w:pPr>
      <w:ind w:left="840" w:hanging="210"/>
    </w:pPr>
  </w:style>
  <w:style w:type="paragraph" w:styleId="51">
    <w:name w:val="toc 5"/>
    <w:basedOn w:val="a"/>
    <w:next w:val="a"/>
    <w:uiPriority w:val="39"/>
    <w:qFormat/>
    <w:pPr>
      <w:ind w:left="840"/>
    </w:pPr>
  </w:style>
  <w:style w:type="paragraph" w:styleId="32">
    <w:name w:val="toc 3"/>
    <w:basedOn w:val="a"/>
    <w:next w:val="a"/>
    <w:uiPriority w:val="39"/>
    <w:qFormat/>
    <w:pPr>
      <w:ind w:leftChars="400" w:left="840"/>
    </w:pPr>
  </w:style>
  <w:style w:type="paragraph" w:styleId="a9">
    <w:name w:val="Plain Text"/>
    <w:basedOn w:val="a"/>
    <w:link w:val="Char4"/>
    <w:uiPriority w:val="99"/>
    <w:semiHidden/>
    <w:qFormat/>
    <w:rPr>
      <w:rFonts w:hAnsi="Courier New" w:cs="Times New Roman"/>
      <w:szCs w:val="20"/>
    </w:rPr>
  </w:style>
  <w:style w:type="paragraph" w:styleId="81">
    <w:name w:val="toc 8"/>
    <w:basedOn w:val="a"/>
    <w:next w:val="a"/>
    <w:uiPriority w:val="39"/>
    <w:qFormat/>
    <w:pPr>
      <w:ind w:left="1470"/>
    </w:pPr>
  </w:style>
  <w:style w:type="paragraph" w:styleId="33">
    <w:name w:val="index 3"/>
    <w:basedOn w:val="a"/>
    <w:next w:val="a"/>
    <w:uiPriority w:val="99"/>
    <w:semiHidden/>
    <w:qFormat/>
    <w:pPr>
      <w:ind w:left="630" w:hanging="210"/>
    </w:pPr>
  </w:style>
  <w:style w:type="paragraph" w:styleId="aa">
    <w:name w:val="Date"/>
    <w:basedOn w:val="a"/>
    <w:next w:val="a"/>
    <w:link w:val="Char5"/>
    <w:uiPriority w:val="99"/>
    <w:semiHidden/>
    <w:qFormat/>
    <w:rPr>
      <w:sz w:val="28"/>
    </w:rPr>
  </w:style>
  <w:style w:type="paragraph" w:styleId="22">
    <w:name w:val="Body Text Indent 2"/>
    <w:basedOn w:val="a"/>
    <w:link w:val="2Char0"/>
    <w:uiPriority w:val="99"/>
    <w:semiHidden/>
    <w:qFormat/>
    <w:pPr>
      <w:spacing w:after="120" w:line="480" w:lineRule="auto"/>
      <w:ind w:leftChars="200" w:left="420"/>
    </w:pPr>
  </w:style>
  <w:style w:type="paragraph" w:styleId="ab">
    <w:name w:val="endnote text"/>
    <w:basedOn w:val="a"/>
    <w:link w:val="Char6"/>
    <w:uiPriority w:val="99"/>
    <w:semiHidden/>
    <w:qFormat/>
    <w:pPr>
      <w:snapToGrid w:val="0"/>
    </w:pPr>
  </w:style>
  <w:style w:type="paragraph" w:styleId="ac">
    <w:name w:val="Balloon Text"/>
    <w:basedOn w:val="a"/>
    <w:link w:val="Char7"/>
    <w:uiPriority w:val="99"/>
    <w:semiHidden/>
    <w:qFormat/>
    <w:rPr>
      <w:sz w:val="18"/>
      <w:szCs w:val="18"/>
    </w:rPr>
  </w:style>
  <w:style w:type="paragraph" w:styleId="ad">
    <w:name w:val="footer"/>
    <w:basedOn w:val="a"/>
    <w:link w:val="Char8"/>
    <w:uiPriority w:val="99"/>
    <w:semiHidden/>
    <w:qFormat/>
    <w:pPr>
      <w:tabs>
        <w:tab w:val="center" w:pos="4153"/>
        <w:tab w:val="right" w:pos="8306"/>
      </w:tabs>
      <w:snapToGrid w:val="0"/>
    </w:pPr>
    <w:rPr>
      <w:sz w:val="18"/>
      <w:szCs w:val="18"/>
    </w:rPr>
  </w:style>
  <w:style w:type="paragraph" w:styleId="ae">
    <w:name w:val="header"/>
    <w:basedOn w:val="a"/>
    <w:link w:val="Char9"/>
    <w:uiPriority w:val="99"/>
    <w:semiHidden/>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link w:val="1Char0"/>
    <w:uiPriority w:val="39"/>
    <w:qFormat/>
    <w:rsid w:val="003319C0"/>
    <w:pPr>
      <w:tabs>
        <w:tab w:val="right" w:leader="dot" w:pos="8302"/>
      </w:tabs>
      <w:spacing w:line="360" w:lineRule="auto"/>
      <w:jc w:val="both"/>
    </w:pPr>
    <w:rPr>
      <w:rFonts w:ascii="Times New Roman" w:hAnsi="Times New Roman"/>
      <w:b/>
    </w:rPr>
  </w:style>
  <w:style w:type="paragraph" w:styleId="41">
    <w:name w:val="toc 4"/>
    <w:basedOn w:val="a"/>
    <w:next w:val="a"/>
    <w:uiPriority w:val="39"/>
    <w:qFormat/>
    <w:pPr>
      <w:ind w:left="630"/>
    </w:pPr>
  </w:style>
  <w:style w:type="paragraph" w:styleId="af">
    <w:name w:val="index heading"/>
    <w:basedOn w:val="a"/>
    <w:next w:val="12"/>
    <w:uiPriority w:val="99"/>
    <w:semiHidden/>
    <w:qFormat/>
  </w:style>
  <w:style w:type="paragraph" w:styleId="12">
    <w:name w:val="index 1"/>
    <w:basedOn w:val="a"/>
    <w:next w:val="a"/>
    <w:uiPriority w:val="99"/>
    <w:semiHidden/>
    <w:qFormat/>
  </w:style>
  <w:style w:type="paragraph" w:styleId="af0">
    <w:name w:val="Subtitle"/>
    <w:basedOn w:val="a"/>
    <w:next w:val="a"/>
    <w:link w:val="Chara"/>
    <w:uiPriority w:val="99"/>
    <w:semiHidden/>
    <w:qFormat/>
    <w:pPr>
      <w:spacing w:after="720"/>
      <w:jc w:val="right"/>
    </w:pPr>
    <w:rPr>
      <w:rFonts w:asciiTheme="majorHAnsi" w:eastAsiaTheme="majorEastAsia" w:hAnsiTheme="majorHAnsi" w:cstheme="majorBidi"/>
    </w:rPr>
  </w:style>
  <w:style w:type="paragraph" w:styleId="af1">
    <w:name w:val="List"/>
    <w:basedOn w:val="a"/>
    <w:uiPriority w:val="99"/>
    <w:semiHidden/>
    <w:qFormat/>
    <w:pPr>
      <w:ind w:left="420" w:hanging="420"/>
    </w:pPr>
    <w:rPr>
      <w:rFonts w:ascii="Times New Roman" w:hAnsi="Times New Roman" w:cs="Times New Roman"/>
      <w:szCs w:val="20"/>
    </w:rPr>
  </w:style>
  <w:style w:type="paragraph" w:styleId="af2">
    <w:name w:val="footnote text"/>
    <w:basedOn w:val="a"/>
    <w:link w:val="Charb"/>
    <w:uiPriority w:val="99"/>
    <w:semiHidden/>
    <w:qFormat/>
    <w:pPr>
      <w:snapToGrid w:val="0"/>
    </w:pPr>
    <w:rPr>
      <w:sz w:val="18"/>
      <w:szCs w:val="18"/>
    </w:rPr>
  </w:style>
  <w:style w:type="paragraph" w:styleId="61">
    <w:name w:val="toc 6"/>
    <w:basedOn w:val="a"/>
    <w:next w:val="a"/>
    <w:uiPriority w:val="39"/>
    <w:qFormat/>
    <w:pPr>
      <w:ind w:left="1050"/>
    </w:pPr>
  </w:style>
  <w:style w:type="paragraph" w:styleId="34">
    <w:name w:val="Body Text Indent 3"/>
    <w:basedOn w:val="a"/>
    <w:link w:val="3Char1"/>
    <w:uiPriority w:val="99"/>
    <w:semiHidden/>
    <w:qFormat/>
    <w:pPr>
      <w:snapToGrid w:val="0"/>
      <w:spacing w:line="360" w:lineRule="auto"/>
      <w:ind w:firstLineChars="210" w:firstLine="502"/>
    </w:pPr>
    <w:rPr>
      <w:rFonts w:ascii="Calibri" w:hAnsi="Calibri" w:cs="Times New Roman"/>
      <w:sz w:val="16"/>
      <w:szCs w:val="20"/>
    </w:rPr>
  </w:style>
  <w:style w:type="paragraph" w:styleId="71">
    <w:name w:val="index 7"/>
    <w:basedOn w:val="a"/>
    <w:next w:val="a"/>
    <w:uiPriority w:val="99"/>
    <w:semiHidden/>
    <w:qFormat/>
    <w:pPr>
      <w:ind w:left="1470" w:hanging="210"/>
    </w:pPr>
  </w:style>
  <w:style w:type="paragraph" w:styleId="90">
    <w:name w:val="index 9"/>
    <w:basedOn w:val="a"/>
    <w:next w:val="a"/>
    <w:uiPriority w:val="99"/>
    <w:semiHidden/>
    <w:qFormat/>
    <w:pPr>
      <w:ind w:left="1890" w:hanging="210"/>
    </w:pPr>
  </w:style>
  <w:style w:type="paragraph" w:styleId="af3">
    <w:name w:val="table of figures"/>
    <w:basedOn w:val="a"/>
    <w:next w:val="a"/>
    <w:uiPriority w:val="99"/>
    <w:semiHidden/>
    <w:qFormat/>
    <w:pPr>
      <w:ind w:left="420" w:hanging="420"/>
    </w:pPr>
  </w:style>
  <w:style w:type="paragraph" w:styleId="23">
    <w:name w:val="toc 2"/>
    <w:basedOn w:val="a"/>
    <w:next w:val="a"/>
    <w:link w:val="2Char1"/>
    <w:uiPriority w:val="39"/>
    <w:qFormat/>
    <w:rsid w:val="003319C0"/>
    <w:pPr>
      <w:tabs>
        <w:tab w:val="right" w:leader="dot" w:pos="8302"/>
      </w:tabs>
      <w:spacing w:line="360" w:lineRule="auto"/>
      <w:ind w:leftChars="200" w:left="200"/>
      <w:jc w:val="both"/>
    </w:pPr>
    <w:rPr>
      <w:rFonts w:ascii="Times New Roman" w:hAnsi="Times New Roman" w:cs="Arial"/>
      <w:bCs/>
    </w:rPr>
  </w:style>
  <w:style w:type="paragraph" w:styleId="91">
    <w:name w:val="toc 9"/>
    <w:basedOn w:val="a"/>
    <w:next w:val="a"/>
    <w:uiPriority w:val="39"/>
    <w:qFormat/>
    <w:pPr>
      <w:ind w:left="1680"/>
    </w:pPr>
  </w:style>
  <w:style w:type="paragraph" w:styleId="24">
    <w:name w:val="Body Text 2"/>
    <w:basedOn w:val="a"/>
    <w:link w:val="2Char2"/>
    <w:uiPriority w:val="99"/>
    <w:semiHidden/>
    <w:qFormat/>
    <w:pPr>
      <w:spacing w:after="120" w:line="480" w:lineRule="auto"/>
    </w:pPr>
  </w:style>
  <w:style w:type="paragraph" w:styleId="HTML">
    <w:name w:val="HTML Preformatted"/>
    <w:basedOn w:val="a"/>
    <w:link w:val="HTMLChar"/>
    <w:uiPriority w:val="99"/>
    <w:semiHidde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f4">
    <w:name w:val="Normal (Web)"/>
    <w:basedOn w:val="a"/>
    <w:link w:val="Charc"/>
    <w:uiPriority w:val="99"/>
    <w:semiHidden/>
    <w:qFormat/>
    <w:pPr>
      <w:spacing w:before="100" w:beforeAutospacing="1" w:after="100" w:afterAutospacing="1"/>
    </w:pPr>
  </w:style>
  <w:style w:type="paragraph" w:styleId="25">
    <w:name w:val="index 2"/>
    <w:basedOn w:val="a"/>
    <w:next w:val="a"/>
    <w:uiPriority w:val="99"/>
    <w:semiHidden/>
    <w:qFormat/>
    <w:pPr>
      <w:ind w:left="420" w:hanging="210"/>
    </w:pPr>
  </w:style>
  <w:style w:type="paragraph" w:styleId="af5">
    <w:name w:val="Title"/>
    <w:basedOn w:val="a"/>
    <w:next w:val="a"/>
    <w:link w:val="Chard"/>
    <w:uiPriority w:val="99"/>
    <w:semiHidden/>
    <w:qFormat/>
    <w:pPr>
      <w:pBdr>
        <w:top w:val="single" w:sz="12" w:space="1" w:color="C0504D" w:themeColor="accent2"/>
      </w:pBdr>
      <w:jc w:val="right"/>
    </w:pPr>
    <w:rPr>
      <w:rFonts w:ascii="Calibri" w:hAnsi="Calibri" w:cs="Times New Roman"/>
      <w:smallCaps/>
      <w:sz w:val="48"/>
      <w:szCs w:val="48"/>
    </w:rPr>
  </w:style>
  <w:style w:type="paragraph" w:styleId="af6">
    <w:name w:val="annotation subject"/>
    <w:basedOn w:val="a6"/>
    <w:next w:val="a6"/>
    <w:link w:val="Chare"/>
    <w:uiPriority w:val="99"/>
    <w:semiHidden/>
    <w:qFormat/>
    <w:rPr>
      <w:b/>
      <w:bCs/>
    </w:rPr>
  </w:style>
  <w:style w:type="paragraph" w:styleId="af7">
    <w:name w:val="Body Text First Indent"/>
    <w:basedOn w:val="a7"/>
    <w:link w:val="Charf"/>
    <w:uiPriority w:val="99"/>
    <w:semiHidden/>
    <w:qFormat/>
    <w:pPr>
      <w:suppressAutoHyphens/>
      <w:spacing w:before="0" w:after="120"/>
      <w:ind w:left="0" w:firstLine="283"/>
      <w:jc w:val="both"/>
    </w:pPr>
    <w:rPr>
      <w:rFonts w:ascii="Calibri" w:hAnsi="Calibri" w:cs="Times New Roman"/>
      <w:kern w:val="1"/>
      <w:sz w:val="21"/>
      <w:szCs w:val="20"/>
      <w:lang w:eastAsia="ar-SA"/>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Colorful 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af9">
    <w:name w:val="Light Shading"/>
    <w:basedOn w:val="a1"/>
    <w:uiPriority w:val="60"/>
    <w:pPr>
      <w:spacing w:line="400" w:lineRule="atLeast"/>
    </w:pPr>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Grid 1 Accent 1"/>
    <w:basedOn w:val="a1"/>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afa">
    <w:name w:val="Strong"/>
    <w:uiPriority w:val="22"/>
    <w:semiHidden/>
    <w:qFormat/>
    <w:rPr>
      <w:b/>
      <w:bCs/>
    </w:rPr>
  </w:style>
  <w:style w:type="character" w:styleId="afb">
    <w:name w:val="endnote reference"/>
    <w:basedOn w:val="a0"/>
    <w:uiPriority w:val="99"/>
    <w:semiHidden/>
    <w:qFormat/>
    <w:rPr>
      <w:vertAlign w:val="superscript"/>
    </w:rPr>
  </w:style>
  <w:style w:type="character" w:styleId="afc">
    <w:name w:val="page number"/>
    <w:basedOn w:val="a0"/>
    <w:semiHidden/>
    <w:qFormat/>
  </w:style>
  <w:style w:type="character" w:styleId="afd">
    <w:name w:val="FollowedHyperlink"/>
    <w:semiHidden/>
    <w:qFormat/>
    <w:rPr>
      <w:color w:val="5D5D5D"/>
      <w:u w:val="none"/>
    </w:rPr>
  </w:style>
  <w:style w:type="character" w:styleId="afe">
    <w:name w:val="Emphasis"/>
    <w:uiPriority w:val="20"/>
    <w:semiHidden/>
    <w:qFormat/>
    <w:rPr>
      <w:b/>
      <w:i/>
      <w:spacing w:val="10"/>
    </w:rPr>
  </w:style>
  <w:style w:type="character" w:styleId="aff">
    <w:name w:val="Hyperlink"/>
    <w:basedOn w:val="a0"/>
    <w:uiPriority w:val="99"/>
    <w:qFormat/>
    <w:rPr>
      <w:color w:val="0000FF" w:themeColor="hyperlink"/>
      <w:u w:val="single"/>
    </w:rPr>
  </w:style>
  <w:style w:type="character" w:styleId="aff0">
    <w:name w:val="annotation reference"/>
    <w:basedOn w:val="a0"/>
    <w:semiHidden/>
    <w:qFormat/>
    <w:rPr>
      <w:sz w:val="21"/>
      <w:szCs w:val="21"/>
    </w:rPr>
  </w:style>
  <w:style w:type="character" w:styleId="aff1">
    <w:name w:val="footnote reference"/>
    <w:basedOn w:val="a0"/>
    <w:uiPriority w:val="99"/>
    <w:semiHidden/>
    <w:qFormat/>
    <w:rPr>
      <w:vertAlign w:val="superscript"/>
    </w:rPr>
  </w:style>
  <w:style w:type="character" w:customStyle="1" w:styleId="1Char">
    <w:name w:val="标题 1 Char"/>
    <w:basedOn w:val="a0"/>
    <w:link w:val="1"/>
    <w:semiHidden/>
    <w:qFormat/>
    <w:rsid w:val="008C1C67"/>
    <w:rPr>
      <w:rFonts w:ascii="宋体" w:eastAsia="黑体" w:hAnsi="宋体" w:cs="宋体"/>
      <w:b/>
      <w:bCs/>
      <w:kern w:val="44"/>
      <w:sz w:val="36"/>
      <w:szCs w:val="44"/>
    </w:rPr>
  </w:style>
  <w:style w:type="character" w:customStyle="1" w:styleId="2Char">
    <w:name w:val="标题 2 Char"/>
    <w:basedOn w:val="a0"/>
    <w:link w:val="20"/>
    <w:semiHidden/>
    <w:qFormat/>
    <w:rsid w:val="008C1C67"/>
    <w:rPr>
      <w:rFonts w:asciiTheme="majorHAnsi" w:eastAsia="黑体" w:hAnsiTheme="majorHAnsi" w:cstheme="majorBidi"/>
      <w:b/>
      <w:bCs/>
      <w:sz w:val="32"/>
      <w:szCs w:val="32"/>
    </w:rPr>
  </w:style>
  <w:style w:type="character" w:customStyle="1" w:styleId="3Char">
    <w:name w:val="标题 3 Char"/>
    <w:basedOn w:val="a0"/>
    <w:link w:val="30"/>
    <w:semiHidden/>
    <w:qFormat/>
    <w:rsid w:val="008C1C67"/>
    <w:rPr>
      <w:rFonts w:ascii="宋体" w:hAnsi="宋体" w:cs="宋体"/>
      <w:b/>
      <w:bCs/>
      <w:sz w:val="32"/>
      <w:szCs w:val="32"/>
    </w:rPr>
  </w:style>
  <w:style w:type="character" w:customStyle="1" w:styleId="4Char">
    <w:name w:val="标题 4 Char"/>
    <w:basedOn w:val="a0"/>
    <w:link w:val="4"/>
    <w:uiPriority w:val="9"/>
    <w:semiHidden/>
    <w:qFormat/>
    <w:rsid w:val="008C1C67"/>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qFormat/>
    <w:rsid w:val="008C1C67"/>
    <w:rPr>
      <w:b/>
      <w:bCs/>
      <w:sz w:val="28"/>
      <w:szCs w:val="28"/>
    </w:rPr>
  </w:style>
  <w:style w:type="character" w:customStyle="1" w:styleId="6Char">
    <w:name w:val="标题 6 Char"/>
    <w:basedOn w:val="a0"/>
    <w:link w:val="6"/>
    <w:semiHidden/>
    <w:qFormat/>
    <w:rsid w:val="008C1C67"/>
    <w:rPr>
      <w:rFonts w:ascii="等线 Light" w:eastAsia="等线 Light" w:hAnsi="等线 Light"/>
      <w:b/>
      <w:bCs/>
      <w:sz w:val="24"/>
      <w:szCs w:val="24"/>
    </w:rPr>
  </w:style>
  <w:style w:type="character" w:customStyle="1" w:styleId="7Char">
    <w:name w:val="标题 7 Char"/>
    <w:basedOn w:val="a0"/>
    <w:link w:val="7"/>
    <w:uiPriority w:val="99"/>
    <w:semiHidden/>
    <w:qFormat/>
    <w:rsid w:val="008C1C67"/>
    <w:rPr>
      <w:rFonts w:ascii="Calibri" w:hAnsi="Calibri"/>
      <w:b/>
      <w:smallCaps/>
      <w:color w:val="C0504D" w:themeColor="accent2"/>
      <w:spacing w:val="10"/>
      <w:sz w:val="24"/>
      <w:szCs w:val="24"/>
    </w:rPr>
  </w:style>
  <w:style w:type="character" w:customStyle="1" w:styleId="8Char">
    <w:name w:val="标题 8 Char"/>
    <w:basedOn w:val="a0"/>
    <w:link w:val="8"/>
    <w:uiPriority w:val="99"/>
    <w:semiHidden/>
    <w:qFormat/>
    <w:rsid w:val="008C1C67"/>
    <w:rPr>
      <w:rFonts w:ascii="Calibri" w:hAnsi="Calibri"/>
      <w:b/>
      <w:i/>
      <w:smallCaps/>
      <w:color w:val="943634" w:themeColor="accent2" w:themeShade="BF"/>
      <w:sz w:val="24"/>
      <w:szCs w:val="24"/>
    </w:rPr>
  </w:style>
  <w:style w:type="character" w:customStyle="1" w:styleId="9Char">
    <w:name w:val="标题 9 Char"/>
    <w:basedOn w:val="a0"/>
    <w:link w:val="9"/>
    <w:uiPriority w:val="99"/>
    <w:semiHidden/>
    <w:qFormat/>
    <w:rsid w:val="008C1C67"/>
    <w:rPr>
      <w:rFonts w:ascii="Calibri" w:hAnsi="Calibri"/>
      <w:b/>
      <w:i/>
      <w:smallCaps/>
      <w:color w:val="632423" w:themeColor="accent2" w:themeShade="80"/>
      <w:sz w:val="24"/>
      <w:szCs w:val="24"/>
    </w:rPr>
  </w:style>
  <w:style w:type="character" w:customStyle="1" w:styleId="Char">
    <w:name w:val="正文缩进 Char"/>
    <w:link w:val="a3"/>
    <w:uiPriority w:val="99"/>
    <w:semiHidden/>
    <w:qFormat/>
    <w:rsid w:val="008C1C67"/>
    <w:rPr>
      <w:sz w:val="24"/>
    </w:rPr>
  </w:style>
  <w:style w:type="character" w:customStyle="1" w:styleId="Char0">
    <w:name w:val="文档结构图 Char"/>
    <w:basedOn w:val="a0"/>
    <w:link w:val="a5"/>
    <w:uiPriority w:val="99"/>
    <w:semiHidden/>
    <w:qFormat/>
    <w:rsid w:val="008C1C67"/>
    <w:rPr>
      <w:rFonts w:ascii="宋体" w:hAnsi="宋体" w:cs="宋体"/>
      <w:sz w:val="18"/>
      <w:szCs w:val="18"/>
    </w:rPr>
  </w:style>
  <w:style w:type="character" w:customStyle="1" w:styleId="Char1">
    <w:name w:val="批注文字 Char"/>
    <w:basedOn w:val="a0"/>
    <w:link w:val="a6"/>
    <w:uiPriority w:val="99"/>
    <w:semiHidden/>
    <w:qFormat/>
    <w:rsid w:val="008C1C67"/>
    <w:rPr>
      <w:rFonts w:ascii="宋体" w:hAnsi="宋体" w:cs="宋体"/>
      <w:sz w:val="24"/>
      <w:szCs w:val="24"/>
    </w:rPr>
  </w:style>
  <w:style w:type="character" w:customStyle="1" w:styleId="Char2">
    <w:name w:val="正文文本 Char"/>
    <w:basedOn w:val="a0"/>
    <w:link w:val="a7"/>
    <w:uiPriority w:val="99"/>
    <w:semiHidden/>
    <w:qFormat/>
    <w:rsid w:val="008C1C67"/>
    <w:rPr>
      <w:rFonts w:ascii="宋体" w:hAnsi="宋体" w:cs="宋体"/>
      <w:sz w:val="24"/>
      <w:szCs w:val="24"/>
      <w:lang w:eastAsia="en-US"/>
    </w:rPr>
  </w:style>
  <w:style w:type="character" w:customStyle="1" w:styleId="Char3">
    <w:name w:val="正文文本缩进 Char"/>
    <w:basedOn w:val="a0"/>
    <w:link w:val="a8"/>
    <w:uiPriority w:val="99"/>
    <w:semiHidden/>
    <w:qFormat/>
    <w:rsid w:val="008C1C67"/>
    <w:rPr>
      <w:rFonts w:ascii="宋体" w:hAnsi="宋体"/>
      <w:sz w:val="24"/>
    </w:rPr>
  </w:style>
  <w:style w:type="character" w:customStyle="1" w:styleId="Char4">
    <w:name w:val="纯文本 Char"/>
    <w:basedOn w:val="a0"/>
    <w:link w:val="a9"/>
    <w:uiPriority w:val="99"/>
    <w:semiHidden/>
    <w:qFormat/>
    <w:rsid w:val="008C1C67"/>
    <w:rPr>
      <w:rFonts w:ascii="宋体" w:hAnsi="Courier New"/>
      <w:sz w:val="24"/>
    </w:rPr>
  </w:style>
  <w:style w:type="character" w:customStyle="1" w:styleId="Char5">
    <w:name w:val="日期 Char"/>
    <w:link w:val="aa"/>
    <w:uiPriority w:val="99"/>
    <w:semiHidden/>
    <w:qFormat/>
    <w:rsid w:val="008C1C67"/>
    <w:rPr>
      <w:rFonts w:ascii="宋体" w:hAnsi="宋体" w:cs="宋体"/>
      <w:sz w:val="28"/>
      <w:szCs w:val="24"/>
    </w:rPr>
  </w:style>
  <w:style w:type="character" w:customStyle="1" w:styleId="2Char0">
    <w:name w:val="正文文本缩进 2 Char"/>
    <w:link w:val="22"/>
    <w:uiPriority w:val="99"/>
    <w:semiHidden/>
    <w:qFormat/>
    <w:rsid w:val="008C1C67"/>
    <w:rPr>
      <w:rFonts w:ascii="宋体" w:hAnsi="宋体" w:cs="宋体"/>
      <w:sz w:val="24"/>
      <w:szCs w:val="24"/>
    </w:rPr>
  </w:style>
  <w:style w:type="character" w:customStyle="1" w:styleId="Char6">
    <w:name w:val="尾注文本 Char"/>
    <w:basedOn w:val="a0"/>
    <w:link w:val="ab"/>
    <w:uiPriority w:val="99"/>
    <w:semiHidden/>
    <w:qFormat/>
    <w:rsid w:val="008C1C67"/>
    <w:rPr>
      <w:rFonts w:ascii="宋体" w:hAnsi="宋体" w:cs="宋体"/>
      <w:sz w:val="24"/>
      <w:szCs w:val="24"/>
    </w:rPr>
  </w:style>
  <w:style w:type="character" w:customStyle="1" w:styleId="Char7">
    <w:name w:val="批注框文本 Char"/>
    <w:basedOn w:val="a0"/>
    <w:link w:val="ac"/>
    <w:uiPriority w:val="99"/>
    <w:semiHidden/>
    <w:qFormat/>
    <w:rsid w:val="008C1C67"/>
    <w:rPr>
      <w:rFonts w:ascii="宋体" w:hAnsi="宋体" w:cs="宋体"/>
      <w:sz w:val="18"/>
      <w:szCs w:val="18"/>
    </w:rPr>
  </w:style>
  <w:style w:type="character" w:customStyle="1" w:styleId="Char8">
    <w:name w:val="页脚 Char"/>
    <w:basedOn w:val="a0"/>
    <w:link w:val="ad"/>
    <w:uiPriority w:val="99"/>
    <w:semiHidden/>
    <w:qFormat/>
    <w:rsid w:val="008C1C67"/>
    <w:rPr>
      <w:rFonts w:ascii="宋体" w:hAnsi="宋体" w:cs="宋体"/>
      <w:sz w:val="18"/>
      <w:szCs w:val="18"/>
    </w:rPr>
  </w:style>
  <w:style w:type="character" w:customStyle="1" w:styleId="Char9">
    <w:name w:val="页眉 Char"/>
    <w:basedOn w:val="a0"/>
    <w:link w:val="ae"/>
    <w:uiPriority w:val="99"/>
    <w:semiHidden/>
    <w:qFormat/>
    <w:rsid w:val="008C1C67"/>
    <w:rPr>
      <w:rFonts w:ascii="宋体" w:hAnsi="宋体" w:cs="宋体"/>
      <w:sz w:val="18"/>
      <w:szCs w:val="18"/>
    </w:rPr>
  </w:style>
  <w:style w:type="character" w:customStyle="1" w:styleId="1Char0">
    <w:name w:val="目录 1 Char"/>
    <w:basedOn w:val="a0"/>
    <w:link w:val="10"/>
    <w:uiPriority w:val="39"/>
    <w:semiHidden/>
    <w:qFormat/>
    <w:rsid w:val="003319C0"/>
    <w:rPr>
      <w:rFonts w:cs="宋体"/>
      <w:b/>
      <w:sz w:val="24"/>
      <w:szCs w:val="24"/>
    </w:rPr>
  </w:style>
  <w:style w:type="character" w:customStyle="1" w:styleId="Chara">
    <w:name w:val="副标题 Char"/>
    <w:basedOn w:val="a0"/>
    <w:link w:val="af0"/>
    <w:uiPriority w:val="99"/>
    <w:semiHidden/>
    <w:qFormat/>
    <w:rsid w:val="008C1C67"/>
    <w:rPr>
      <w:rFonts w:asciiTheme="majorHAnsi" w:eastAsiaTheme="majorEastAsia" w:hAnsiTheme="majorHAnsi" w:cstheme="majorBidi"/>
      <w:sz w:val="24"/>
      <w:szCs w:val="24"/>
    </w:rPr>
  </w:style>
  <w:style w:type="character" w:customStyle="1" w:styleId="Charb">
    <w:name w:val="脚注文本 Char"/>
    <w:basedOn w:val="a0"/>
    <w:link w:val="af2"/>
    <w:uiPriority w:val="99"/>
    <w:semiHidden/>
    <w:qFormat/>
    <w:rsid w:val="008C1C67"/>
    <w:rPr>
      <w:rFonts w:ascii="宋体" w:hAnsi="宋体" w:cs="宋体"/>
      <w:sz w:val="18"/>
      <w:szCs w:val="18"/>
    </w:rPr>
  </w:style>
  <w:style w:type="character" w:customStyle="1" w:styleId="3Char1">
    <w:name w:val="正文文本缩进 3 Char"/>
    <w:link w:val="34"/>
    <w:uiPriority w:val="99"/>
    <w:semiHidden/>
    <w:qFormat/>
    <w:rsid w:val="008C1C67"/>
    <w:rPr>
      <w:rFonts w:ascii="Calibri" w:hAnsi="Calibri"/>
      <w:sz w:val="16"/>
    </w:rPr>
  </w:style>
  <w:style w:type="character" w:customStyle="1" w:styleId="2Char1">
    <w:name w:val="目录 2 Char"/>
    <w:basedOn w:val="a0"/>
    <w:link w:val="23"/>
    <w:uiPriority w:val="39"/>
    <w:semiHidden/>
    <w:qFormat/>
    <w:rsid w:val="003319C0"/>
    <w:rPr>
      <w:rFonts w:cs="Arial"/>
      <w:bCs/>
      <w:sz w:val="24"/>
      <w:szCs w:val="24"/>
    </w:rPr>
  </w:style>
  <w:style w:type="character" w:customStyle="1" w:styleId="2Char2">
    <w:name w:val="正文文本 2 Char"/>
    <w:link w:val="24"/>
    <w:uiPriority w:val="99"/>
    <w:semiHidden/>
    <w:qFormat/>
    <w:rsid w:val="008C1C67"/>
    <w:rPr>
      <w:rFonts w:ascii="宋体" w:hAnsi="宋体" w:cs="宋体"/>
      <w:sz w:val="24"/>
      <w:szCs w:val="24"/>
    </w:rPr>
  </w:style>
  <w:style w:type="character" w:customStyle="1" w:styleId="HTMLChar">
    <w:name w:val="HTML 预设格式 Char"/>
    <w:basedOn w:val="a0"/>
    <w:link w:val="HTML"/>
    <w:uiPriority w:val="99"/>
    <w:semiHidden/>
    <w:qFormat/>
    <w:rsid w:val="008C1C67"/>
    <w:rPr>
      <w:rFonts w:ascii="宋体" w:hAnsi="宋体" w:cs="宋体"/>
      <w:sz w:val="24"/>
      <w:szCs w:val="24"/>
    </w:rPr>
  </w:style>
  <w:style w:type="character" w:customStyle="1" w:styleId="Charc">
    <w:name w:val="普通(网站) Char"/>
    <w:link w:val="af4"/>
    <w:uiPriority w:val="99"/>
    <w:semiHidden/>
    <w:qFormat/>
    <w:locked/>
    <w:rsid w:val="008C1C67"/>
    <w:rPr>
      <w:rFonts w:ascii="宋体" w:hAnsi="宋体" w:cs="宋体"/>
      <w:sz w:val="24"/>
      <w:szCs w:val="24"/>
    </w:rPr>
  </w:style>
  <w:style w:type="character" w:customStyle="1" w:styleId="Chard">
    <w:name w:val="标题 Char"/>
    <w:basedOn w:val="a0"/>
    <w:link w:val="af5"/>
    <w:uiPriority w:val="99"/>
    <w:semiHidden/>
    <w:qFormat/>
    <w:rsid w:val="008C1C67"/>
    <w:rPr>
      <w:rFonts w:ascii="Calibri" w:hAnsi="Calibri"/>
      <w:smallCaps/>
      <w:sz w:val="48"/>
      <w:szCs w:val="48"/>
    </w:rPr>
  </w:style>
  <w:style w:type="character" w:customStyle="1" w:styleId="Chare">
    <w:name w:val="批注主题 Char"/>
    <w:basedOn w:val="Char1"/>
    <w:link w:val="af6"/>
    <w:uiPriority w:val="99"/>
    <w:semiHidden/>
    <w:qFormat/>
    <w:rsid w:val="008C1C67"/>
    <w:rPr>
      <w:rFonts w:ascii="宋体" w:hAnsi="宋体" w:cs="宋体"/>
      <w:b/>
      <w:bCs/>
      <w:sz w:val="24"/>
      <w:szCs w:val="24"/>
    </w:rPr>
  </w:style>
  <w:style w:type="character" w:customStyle="1" w:styleId="Charf">
    <w:name w:val="正文首行缩进 Char"/>
    <w:link w:val="af7"/>
    <w:uiPriority w:val="99"/>
    <w:semiHidden/>
    <w:qFormat/>
    <w:rsid w:val="008C1C67"/>
    <w:rPr>
      <w:rFonts w:ascii="Calibri" w:hAnsi="Calibri"/>
      <w:kern w:val="1"/>
      <w:sz w:val="21"/>
      <w:lang w:eastAsia="ar-SA"/>
    </w:rPr>
  </w:style>
  <w:style w:type="paragraph" w:styleId="aff2">
    <w:name w:val="List Paragraph"/>
    <w:basedOn w:val="a"/>
    <w:uiPriority w:val="34"/>
    <w:semiHidden/>
    <w:qFormat/>
    <w:pPr>
      <w:ind w:firstLineChars="200" w:firstLine="420"/>
    </w:pPr>
  </w:style>
  <w:style w:type="character" w:customStyle="1" w:styleId="fontstyle01">
    <w:name w:val="fontstyle01"/>
    <w:basedOn w:val="a0"/>
    <w:semiHidden/>
    <w:qFormat/>
    <w:rPr>
      <w:rFonts w:ascii="宋体" w:eastAsia="宋体" w:hAnsi="宋体" w:hint="eastAsia"/>
      <w:color w:val="000000"/>
      <w:sz w:val="24"/>
      <w:szCs w:val="24"/>
    </w:rPr>
  </w:style>
  <w:style w:type="character" w:customStyle="1" w:styleId="fontstyle21">
    <w:name w:val="fontstyle21"/>
    <w:basedOn w:val="a0"/>
    <w:semiHidden/>
    <w:qFormat/>
    <w:rPr>
      <w:rFonts w:ascii="Times New Roman" w:hAnsi="Times New Roman" w:cs="Times New Roman" w:hint="default"/>
      <w:color w:val="000000"/>
      <w:sz w:val="24"/>
      <w:szCs w:val="24"/>
    </w:rPr>
  </w:style>
  <w:style w:type="character" w:customStyle="1" w:styleId="fontstyle11">
    <w:name w:val="fontstyle11"/>
    <w:basedOn w:val="a0"/>
    <w:semiHidden/>
    <w:qFormat/>
    <w:rPr>
      <w:rFonts w:ascii="Times New Roman" w:hAnsi="Times New Roman" w:cs="Times New Roman" w:hint="default"/>
      <w:color w:val="000000"/>
      <w:sz w:val="24"/>
      <w:szCs w:val="24"/>
    </w:rPr>
  </w:style>
  <w:style w:type="paragraph" w:customStyle="1" w:styleId="Default">
    <w:name w:val="Default"/>
    <w:uiPriority w:val="99"/>
    <w:semiHidden/>
    <w:qFormat/>
    <w:pPr>
      <w:widowControl w:val="0"/>
      <w:autoSpaceDE w:val="0"/>
      <w:autoSpaceDN w:val="0"/>
      <w:adjustRightInd w:val="0"/>
    </w:pPr>
    <w:rPr>
      <w:rFonts w:ascii="宋体" w:hAnsiTheme="minorHAnsi" w:cs="宋体"/>
      <w:color w:val="000000"/>
      <w:sz w:val="24"/>
      <w:szCs w:val="24"/>
    </w:rPr>
  </w:style>
  <w:style w:type="table" w:customStyle="1" w:styleId="14">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
    <w:name w:val="网格型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semiHidden/>
    <w:qFormat/>
    <w:rPr>
      <w:sz w:val="22"/>
      <w:lang w:eastAsia="en-US"/>
    </w:rPr>
  </w:style>
  <w:style w:type="table" w:customStyle="1" w:styleId="35">
    <w:name w:val="网格型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
    <w:name w:val="TOC 标题1"/>
    <w:basedOn w:val="1"/>
    <w:next w:val="a"/>
    <w:uiPriority w:val="99"/>
    <w:semiHidden/>
    <w:qFormat/>
    <w:p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datem">
    <w:name w:val="date_m"/>
    <w:semiHidden/>
    <w:qFormat/>
    <w:rPr>
      <w:color w:val="A1A1A1"/>
      <w:sz w:val="18"/>
      <w:szCs w:val="18"/>
    </w:rPr>
  </w:style>
  <w:style w:type="character" w:customStyle="1" w:styleId="15">
    <w:name w:val="日期字符1"/>
    <w:uiPriority w:val="99"/>
    <w:semiHidden/>
    <w:qFormat/>
    <w:rPr>
      <w:rFonts w:ascii="Times New Roman" w:eastAsia="宋体" w:hAnsi="Times New Roman" w:cs="Times New Roman"/>
      <w:sz w:val="21"/>
      <w:szCs w:val="22"/>
    </w:rPr>
  </w:style>
  <w:style w:type="character" w:customStyle="1" w:styleId="aff3">
    <w:name w:val="批注文字 字符"/>
    <w:uiPriority w:val="99"/>
    <w:semiHidden/>
    <w:qFormat/>
    <w:locked/>
    <w:rPr>
      <w:kern w:val="2"/>
      <w:sz w:val="21"/>
    </w:rPr>
  </w:style>
  <w:style w:type="character" w:customStyle="1" w:styleId="210">
    <w:name w:val="正文文本缩进 2字符1"/>
    <w:uiPriority w:val="99"/>
    <w:semiHidden/>
    <w:qFormat/>
    <w:rPr>
      <w:rFonts w:ascii="Times New Roman" w:eastAsia="宋体" w:hAnsi="Times New Roman" w:cs="Times New Roman"/>
      <w:sz w:val="21"/>
      <w:szCs w:val="22"/>
    </w:rPr>
  </w:style>
  <w:style w:type="character" w:customStyle="1" w:styleId="16">
    <w:name w:val="页眉字符1"/>
    <w:uiPriority w:val="99"/>
    <w:semiHidden/>
    <w:qFormat/>
    <w:rPr>
      <w:rFonts w:ascii="Times New Roman" w:eastAsia="宋体" w:hAnsi="Times New Roman" w:cs="Times New Roman"/>
      <w:sz w:val="18"/>
      <w:szCs w:val="18"/>
    </w:rPr>
  </w:style>
  <w:style w:type="character" w:customStyle="1" w:styleId="17">
    <w:name w:val="批注文字字符1"/>
    <w:uiPriority w:val="99"/>
    <w:semiHidden/>
    <w:qFormat/>
    <w:rPr>
      <w:rFonts w:ascii="Times New Roman" w:eastAsia="宋体" w:hAnsi="Times New Roman" w:cs="Times New Roman"/>
      <w:sz w:val="21"/>
      <w:szCs w:val="22"/>
    </w:rPr>
  </w:style>
  <w:style w:type="character" w:customStyle="1" w:styleId="zhengwen1Char1">
    <w:name w:val="zhengwen1 Char1"/>
    <w:link w:val="zhengwen1"/>
    <w:semiHidden/>
    <w:qFormat/>
    <w:rsid w:val="008C1C67"/>
    <w:rPr>
      <w:rFonts w:ascii="楷体_GB2312" w:eastAsia="楷体_GB2312" w:hAnsi="宋体" w:cs="宋体"/>
      <w:sz w:val="24"/>
      <w:szCs w:val="24"/>
    </w:rPr>
  </w:style>
  <w:style w:type="paragraph" w:customStyle="1" w:styleId="zhengwen1">
    <w:name w:val="zhengwen1"/>
    <w:basedOn w:val="a"/>
    <w:link w:val="zhengwen1Char1"/>
    <w:semiHidden/>
    <w:qFormat/>
    <w:pPr>
      <w:numPr>
        <w:ilvl w:val="2"/>
        <w:numId w:val="1"/>
      </w:numPr>
      <w:spacing w:beforeLines="50" w:afterLines="50"/>
    </w:pPr>
    <w:rPr>
      <w:rFonts w:ascii="楷体_GB2312" w:eastAsia="楷体_GB2312"/>
    </w:rPr>
  </w:style>
  <w:style w:type="character" w:customStyle="1" w:styleId="18">
    <w:name w:val="批注框文本字符1"/>
    <w:uiPriority w:val="99"/>
    <w:semiHidden/>
    <w:qFormat/>
    <w:rPr>
      <w:rFonts w:ascii="宋体" w:eastAsia="宋体" w:hAnsi="Times New Roman" w:cs="Times New Roman"/>
      <w:sz w:val="18"/>
      <w:szCs w:val="18"/>
    </w:rPr>
  </w:style>
  <w:style w:type="character" w:customStyle="1" w:styleId="font01">
    <w:name w:val="font01"/>
    <w:semiHidden/>
    <w:qFormat/>
    <w:rPr>
      <w:rFonts w:ascii="MS Sans Serif" w:eastAsia="MS Sans Serif" w:hAnsi="MS Sans Serif" w:cs="MS Sans Serif" w:hint="default"/>
      <w:color w:val="000000"/>
      <w:sz w:val="24"/>
      <w:szCs w:val="24"/>
      <w:u w:val="none"/>
    </w:rPr>
  </w:style>
  <w:style w:type="character" w:customStyle="1" w:styleId="txtm">
    <w:name w:val="txt_m"/>
    <w:semiHidden/>
    <w:qFormat/>
  </w:style>
  <w:style w:type="character" w:customStyle="1" w:styleId="spanlast">
    <w:name w:val="spanlast"/>
    <w:semiHidden/>
    <w:qFormat/>
    <w:rPr>
      <w:color w:val="B20200"/>
    </w:rPr>
  </w:style>
  <w:style w:type="character" w:customStyle="1" w:styleId="19">
    <w:name w:val="批注主题字符1"/>
    <w:uiPriority w:val="99"/>
    <w:semiHidden/>
    <w:qFormat/>
    <w:rPr>
      <w:rFonts w:ascii="Times New Roman" w:eastAsia="宋体" w:hAnsi="Times New Roman" w:cs="Times New Roman"/>
      <w:b/>
      <w:bCs/>
      <w:sz w:val="21"/>
      <w:szCs w:val="22"/>
    </w:rPr>
  </w:style>
  <w:style w:type="character" w:customStyle="1" w:styleId="211">
    <w:name w:val="正文文本 2字符1"/>
    <w:uiPriority w:val="99"/>
    <w:semiHidden/>
    <w:qFormat/>
    <w:rPr>
      <w:kern w:val="2"/>
      <w:sz w:val="21"/>
    </w:rPr>
  </w:style>
  <w:style w:type="character" w:customStyle="1" w:styleId="1a">
    <w:name w:val="页脚字符1"/>
    <w:uiPriority w:val="99"/>
    <w:semiHidden/>
    <w:qFormat/>
    <w:rPr>
      <w:rFonts w:ascii="Times New Roman" w:eastAsia="宋体" w:hAnsi="Times New Roman" w:cs="Times New Roman"/>
      <w:sz w:val="18"/>
      <w:szCs w:val="18"/>
    </w:rPr>
  </w:style>
  <w:style w:type="character" w:customStyle="1" w:styleId="Char10">
    <w:name w:val="批注主题 Char1"/>
    <w:basedOn w:val="Char1"/>
    <w:uiPriority w:val="99"/>
    <w:semiHidden/>
    <w:qFormat/>
    <w:rPr>
      <w:rFonts w:ascii="宋体" w:hAnsi="宋体" w:cs="宋体"/>
      <w:b/>
      <w:bCs/>
      <w:sz w:val="24"/>
      <w:szCs w:val="24"/>
    </w:rPr>
  </w:style>
  <w:style w:type="character" w:customStyle="1" w:styleId="1b">
    <w:name w:val="批注主题 字符1"/>
    <w:basedOn w:val="Char1"/>
    <w:uiPriority w:val="99"/>
    <w:semiHidden/>
    <w:qFormat/>
    <w:rPr>
      <w:rFonts w:ascii="宋体" w:hAnsi="宋体" w:cs="宋体"/>
      <w:b/>
      <w:bCs/>
      <w:sz w:val="24"/>
      <w:szCs w:val="24"/>
    </w:rPr>
  </w:style>
  <w:style w:type="character" w:customStyle="1" w:styleId="2Char10">
    <w:name w:val="正文文本缩进 2 Char1"/>
    <w:basedOn w:val="a0"/>
    <w:uiPriority w:val="99"/>
    <w:semiHidden/>
    <w:qFormat/>
  </w:style>
  <w:style w:type="character" w:customStyle="1" w:styleId="212">
    <w:name w:val="正文文本缩进 2 字符1"/>
    <w:basedOn w:val="a0"/>
    <w:uiPriority w:val="99"/>
    <w:semiHidden/>
    <w:qFormat/>
  </w:style>
  <w:style w:type="character" w:customStyle="1" w:styleId="Char11">
    <w:name w:val="页眉 Char1"/>
    <w:basedOn w:val="a0"/>
    <w:uiPriority w:val="99"/>
    <w:semiHidden/>
    <w:qFormat/>
    <w:rPr>
      <w:sz w:val="18"/>
      <w:szCs w:val="18"/>
    </w:rPr>
  </w:style>
  <w:style w:type="character" w:customStyle="1" w:styleId="1c">
    <w:name w:val="页眉 字符1"/>
    <w:basedOn w:val="a0"/>
    <w:uiPriority w:val="99"/>
    <w:semiHidden/>
    <w:qFormat/>
    <w:rPr>
      <w:sz w:val="18"/>
      <w:szCs w:val="18"/>
    </w:rPr>
  </w:style>
  <w:style w:type="character" w:customStyle="1" w:styleId="2Char11">
    <w:name w:val="正文文本 2 Char1"/>
    <w:basedOn w:val="a0"/>
    <w:semiHidden/>
    <w:qFormat/>
  </w:style>
  <w:style w:type="character" w:customStyle="1" w:styleId="213">
    <w:name w:val="正文文本 2 字符1"/>
    <w:basedOn w:val="a0"/>
    <w:uiPriority w:val="99"/>
    <w:semiHidden/>
    <w:qFormat/>
  </w:style>
  <w:style w:type="character" w:customStyle="1" w:styleId="Char12">
    <w:name w:val="脚注文本 Char1"/>
    <w:basedOn w:val="a0"/>
    <w:uiPriority w:val="99"/>
    <w:semiHidden/>
    <w:qFormat/>
    <w:rPr>
      <w:sz w:val="18"/>
      <w:szCs w:val="18"/>
    </w:rPr>
  </w:style>
  <w:style w:type="character" w:customStyle="1" w:styleId="1d">
    <w:name w:val="脚注文本 字符1"/>
    <w:basedOn w:val="a0"/>
    <w:uiPriority w:val="99"/>
    <w:semiHidden/>
    <w:qFormat/>
    <w:rPr>
      <w:sz w:val="18"/>
      <w:szCs w:val="18"/>
    </w:rPr>
  </w:style>
  <w:style w:type="character" w:customStyle="1" w:styleId="Char13">
    <w:name w:val="批注框文本 Char1"/>
    <w:basedOn w:val="a0"/>
    <w:uiPriority w:val="99"/>
    <w:semiHidden/>
    <w:qFormat/>
    <w:rPr>
      <w:sz w:val="18"/>
      <w:szCs w:val="18"/>
    </w:rPr>
  </w:style>
  <w:style w:type="character" w:customStyle="1" w:styleId="1e">
    <w:name w:val="批注框文本 字符1"/>
    <w:basedOn w:val="a0"/>
    <w:uiPriority w:val="99"/>
    <w:semiHidden/>
    <w:qFormat/>
    <w:rPr>
      <w:sz w:val="18"/>
      <w:szCs w:val="18"/>
    </w:rPr>
  </w:style>
  <w:style w:type="character" w:customStyle="1" w:styleId="Char14">
    <w:name w:val="页脚 Char1"/>
    <w:basedOn w:val="a0"/>
    <w:uiPriority w:val="99"/>
    <w:semiHidden/>
    <w:qFormat/>
    <w:rPr>
      <w:sz w:val="18"/>
      <w:szCs w:val="18"/>
    </w:rPr>
  </w:style>
  <w:style w:type="character" w:customStyle="1" w:styleId="1f">
    <w:name w:val="页脚 字符1"/>
    <w:basedOn w:val="a0"/>
    <w:uiPriority w:val="99"/>
    <w:semiHidden/>
    <w:qFormat/>
    <w:rPr>
      <w:sz w:val="18"/>
      <w:szCs w:val="18"/>
    </w:rPr>
  </w:style>
  <w:style w:type="character" w:customStyle="1" w:styleId="Char15">
    <w:name w:val="日期 Char1"/>
    <w:basedOn w:val="a0"/>
    <w:uiPriority w:val="99"/>
    <w:semiHidden/>
    <w:qFormat/>
  </w:style>
  <w:style w:type="character" w:customStyle="1" w:styleId="1f0">
    <w:name w:val="日期 字符1"/>
    <w:basedOn w:val="a0"/>
    <w:uiPriority w:val="99"/>
    <w:semiHidden/>
    <w:qFormat/>
  </w:style>
  <w:style w:type="paragraph" w:customStyle="1" w:styleId="a10">
    <w:name w:val="a1"/>
    <w:basedOn w:val="a"/>
    <w:uiPriority w:val="99"/>
    <w:semiHidden/>
    <w:qFormat/>
    <w:pPr>
      <w:keepNext/>
      <w:keepLines/>
      <w:spacing w:before="260" w:after="260" w:line="415" w:lineRule="auto"/>
      <w:ind w:left="360" w:hanging="360"/>
      <w:outlineLvl w:val="1"/>
    </w:pPr>
    <w:rPr>
      <w:rFonts w:ascii="Arial" w:eastAsia="楷体_GB2312" w:hAnsi="Arial"/>
      <w:b/>
      <w:bCs/>
      <w:sz w:val="28"/>
      <w:szCs w:val="20"/>
    </w:rPr>
  </w:style>
  <w:style w:type="paragraph" w:customStyle="1" w:styleId="27">
    <w:name w:val="列出段落2"/>
    <w:basedOn w:val="a"/>
    <w:uiPriority w:val="99"/>
    <w:semiHidden/>
    <w:qFormat/>
    <w:pPr>
      <w:ind w:firstLineChars="200" w:firstLine="420"/>
    </w:pPr>
    <w:rPr>
      <w:rFonts w:ascii="Times New Roman" w:hAnsi="Times New Roman" w:cs="Times New Roman"/>
    </w:rPr>
  </w:style>
  <w:style w:type="paragraph" w:customStyle="1" w:styleId="-31">
    <w:name w:val="浅色列表 - 强调文字颜色 31"/>
    <w:uiPriority w:val="62"/>
    <w:semiHidden/>
    <w:qFormat/>
    <w:rPr>
      <w:kern w:val="2"/>
      <w:sz w:val="21"/>
    </w:rPr>
  </w:style>
  <w:style w:type="paragraph" w:customStyle="1" w:styleId="-310">
    <w:name w:val="彩色底纹 - 强调文字颜色 31"/>
    <w:basedOn w:val="a"/>
    <w:uiPriority w:val="34"/>
    <w:semiHidden/>
    <w:qFormat/>
    <w:pPr>
      <w:ind w:firstLineChars="200" w:firstLine="420"/>
    </w:pPr>
    <w:rPr>
      <w:rFonts w:ascii="Times New Roman" w:hAnsi="Times New Roman" w:cs="Times New Roman"/>
    </w:rPr>
  </w:style>
  <w:style w:type="paragraph" w:customStyle="1" w:styleId="36">
    <w:name w:val="列出段落3"/>
    <w:basedOn w:val="a"/>
    <w:uiPriority w:val="99"/>
    <w:semiHidden/>
    <w:qFormat/>
    <w:pPr>
      <w:ind w:firstLineChars="200" w:firstLine="420"/>
    </w:pPr>
    <w:rPr>
      <w:rFonts w:ascii="Times New Roman" w:hAnsi="Times New Roman" w:cs="Times New Roman"/>
    </w:rPr>
  </w:style>
  <w:style w:type="paragraph" w:customStyle="1" w:styleId="Body1">
    <w:name w:val="Body 1"/>
    <w:basedOn w:val="a"/>
    <w:uiPriority w:val="99"/>
    <w:semiHidden/>
    <w:qFormat/>
    <w:pPr>
      <w:spacing w:after="140" w:line="288" w:lineRule="auto"/>
      <w:ind w:left="680"/>
    </w:pPr>
    <w:rPr>
      <w:rFonts w:ascii="Arial" w:hAnsi="Arial" w:cs="Times New Roman"/>
      <w:kern w:val="20"/>
      <w:sz w:val="20"/>
      <w:lang w:val="en-GB" w:eastAsia="en-US"/>
    </w:rPr>
  </w:style>
  <w:style w:type="paragraph" w:customStyle="1" w:styleId="1-10">
    <w:name w:val="标题1-1"/>
    <w:basedOn w:val="20"/>
    <w:uiPriority w:val="99"/>
    <w:semiHidden/>
    <w:qFormat/>
    <w:pPr>
      <w:spacing w:before="100" w:after="100" w:line="413" w:lineRule="auto"/>
      <w:ind w:left="1800" w:hanging="360"/>
      <w:jc w:val="center"/>
    </w:pPr>
    <w:rPr>
      <w:rFonts w:ascii="Arial" w:eastAsia="楷体_GB2312" w:hAnsi="Arial" w:cs="Times New Roman"/>
    </w:rPr>
  </w:style>
  <w:style w:type="paragraph" w:customStyle="1" w:styleId="E-norm">
    <w:name w:val="E-norm"/>
    <w:basedOn w:val="a"/>
    <w:uiPriority w:val="99"/>
    <w:semiHidden/>
    <w:qFormat/>
    <w:pPr>
      <w:adjustRightInd w:val="0"/>
      <w:textAlignment w:val="baseline"/>
    </w:pPr>
    <w:rPr>
      <w:rFonts w:ascii="Times New Roman" w:eastAsia="MingLiU" w:hAnsi="Times New Roman" w:cs="Times New Roman"/>
      <w:szCs w:val="20"/>
      <w:lang w:val="en-GB" w:eastAsia="zh-TW"/>
    </w:rPr>
  </w:style>
  <w:style w:type="paragraph" w:customStyle="1" w:styleId="1f1">
    <w:name w:val="修订1"/>
    <w:uiPriority w:val="99"/>
    <w:semiHidden/>
    <w:qFormat/>
    <w:rPr>
      <w:kern w:val="2"/>
      <w:sz w:val="21"/>
    </w:rPr>
  </w:style>
  <w:style w:type="paragraph" w:customStyle="1" w:styleId="-311">
    <w:name w:val="深色列表 - 强调文字颜色 31"/>
    <w:uiPriority w:val="71"/>
    <w:semiHidden/>
    <w:qFormat/>
    <w:rPr>
      <w:kern w:val="2"/>
      <w:sz w:val="21"/>
    </w:rPr>
  </w:style>
  <w:style w:type="paragraph" w:customStyle="1" w:styleId="CharChar1CharCharCharCharCharCharCharCharCharCharCharCharCharChar">
    <w:name w:val="Char Char1 Char Char Char Char Char Char Char Char Char Char Char Char Char Char"/>
    <w:basedOn w:val="a"/>
    <w:uiPriority w:val="99"/>
    <w:semiHidden/>
    <w:qFormat/>
    <w:pPr>
      <w:spacing w:beforeLines="100" w:after="160" w:line="240" w:lineRule="exact"/>
    </w:pPr>
    <w:rPr>
      <w:rFonts w:ascii="Times New Roman" w:hAnsi="Times New Roman" w:cs="Times New Roman"/>
    </w:rPr>
  </w:style>
  <w:style w:type="paragraph" w:customStyle="1" w:styleId="1-41">
    <w:name w:val="中等深浅列表 1 - 强调文字颜色 41"/>
    <w:uiPriority w:val="71"/>
    <w:semiHidden/>
    <w:qFormat/>
    <w:rPr>
      <w:kern w:val="2"/>
      <w:sz w:val="21"/>
    </w:rPr>
  </w:style>
  <w:style w:type="paragraph" w:customStyle="1" w:styleId="p0">
    <w:name w:val="p0"/>
    <w:basedOn w:val="a"/>
    <w:uiPriority w:val="99"/>
    <w:semiHidden/>
    <w:qFormat/>
    <w:pPr>
      <w:spacing w:after="240"/>
    </w:pPr>
    <w:rPr>
      <w:rFonts w:ascii="CG Times" w:hAnsi="CG Times"/>
    </w:rPr>
  </w:style>
  <w:style w:type="paragraph" w:customStyle="1" w:styleId="Style7">
    <w:name w:val="_Style 7"/>
    <w:basedOn w:val="a"/>
    <w:uiPriority w:val="99"/>
    <w:semiHidden/>
    <w:qFormat/>
    <w:rPr>
      <w:rFonts w:ascii="Tahoma" w:hAnsi="Tahoma" w:cs="Times New Roman"/>
      <w:szCs w:val="20"/>
    </w:rPr>
  </w:style>
  <w:style w:type="paragraph" w:customStyle="1" w:styleId="CharCharCharChar">
    <w:name w:val="Char Char Char Char"/>
    <w:basedOn w:val="a"/>
    <w:uiPriority w:val="99"/>
    <w:semiHidden/>
    <w:qFormat/>
    <w:pPr>
      <w:tabs>
        <w:tab w:val="left" w:pos="360"/>
      </w:tabs>
    </w:pPr>
    <w:rPr>
      <w:rFonts w:ascii="Times New Roman" w:hAnsi="Times New Roman" w:cs="Times New Roman"/>
    </w:rPr>
  </w:style>
  <w:style w:type="paragraph" w:customStyle="1" w:styleId="aff4">
    <w:name w:val="中文文本"/>
    <w:basedOn w:val="a"/>
    <w:uiPriority w:val="99"/>
    <w:semiHidden/>
    <w:qFormat/>
    <w:pPr>
      <w:autoSpaceDE w:val="0"/>
      <w:autoSpaceDN w:val="0"/>
      <w:adjustRightInd w:val="0"/>
      <w:spacing w:before="120" w:after="120"/>
    </w:pPr>
    <w:rPr>
      <w:rFonts w:ascii="Times New Roman" w:hAnsi="Times New Roman" w:cs="Times New Roman"/>
      <w:szCs w:val="20"/>
    </w:rPr>
  </w:style>
  <w:style w:type="paragraph" w:customStyle="1" w:styleId="1f2">
    <w:name w:val="列出段落1"/>
    <w:basedOn w:val="a"/>
    <w:uiPriority w:val="99"/>
    <w:semiHidden/>
    <w:qFormat/>
    <w:pPr>
      <w:ind w:firstLineChars="200" w:firstLine="420"/>
    </w:pPr>
    <w:rPr>
      <w:rFonts w:ascii="Times New Roman" w:hAnsi="Times New Roman" w:cs="Times New Roman"/>
    </w:rPr>
  </w:style>
  <w:style w:type="table" w:customStyle="1" w:styleId="120">
    <w:name w:val="网格型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1"/>
    <w:basedOn w:val="a"/>
    <w:next w:val="a"/>
    <w:uiPriority w:val="99"/>
    <w:semiHidden/>
    <w:qFormat/>
    <w:pPr>
      <w:ind w:leftChars="400" w:left="840"/>
    </w:pPr>
    <w:rPr>
      <w:rFonts w:ascii="Times New Roman" w:hAnsi="Times New Roman" w:cs="Times New Roman"/>
      <w:szCs w:val="20"/>
    </w:rPr>
  </w:style>
  <w:style w:type="character" w:customStyle="1" w:styleId="nlkfqirnlfjer1dfgzxcyiuro">
    <w:name w:val="nlkfqirnlfjer1dfgzxcyiuro"/>
    <w:semiHidden/>
  </w:style>
  <w:style w:type="character" w:customStyle="1" w:styleId="text-click-color">
    <w:name w:val="text-click-color"/>
    <w:basedOn w:val="a0"/>
    <w:semiHidden/>
    <w:qFormat/>
  </w:style>
  <w:style w:type="table" w:customStyle="1" w:styleId="214">
    <w:name w:val="网格型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批注文字 字符1"/>
    <w:basedOn w:val="a0"/>
    <w:uiPriority w:val="99"/>
    <w:semiHidden/>
    <w:qFormat/>
  </w:style>
  <w:style w:type="table" w:customStyle="1" w:styleId="72">
    <w:name w:val="网格型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正文文本 (2)_"/>
    <w:basedOn w:val="a0"/>
    <w:link w:val="29"/>
    <w:semiHidden/>
    <w:qFormat/>
    <w:rsid w:val="008C1C67"/>
    <w:rPr>
      <w:rFonts w:ascii="宋体" w:hAnsi="宋体" w:cs="宋体"/>
      <w:sz w:val="22"/>
      <w:szCs w:val="24"/>
      <w:shd w:val="clear" w:color="auto" w:fill="FFFFFF"/>
    </w:rPr>
  </w:style>
  <w:style w:type="paragraph" w:customStyle="1" w:styleId="29">
    <w:name w:val="正文文本 (2)"/>
    <w:basedOn w:val="a"/>
    <w:link w:val="28"/>
    <w:semiHidden/>
    <w:qFormat/>
    <w:pPr>
      <w:shd w:val="clear" w:color="auto" w:fill="FFFFFF"/>
      <w:spacing w:before="540" w:after="60" w:line="475" w:lineRule="exact"/>
      <w:jc w:val="distribute"/>
    </w:pPr>
    <w:rPr>
      <w:sz w:val="22"/>
    </w:rPr>
  </w:style>
  <w:style w:type="character" w:customStyle="1" w:styleId="210pt">
    <w:name w:val="正文文本 (2) + 10 pt"/>
    <w:basedOn w:val="28"/>
    <w:semiHidden/>
    <w:qFormat/>
    <w:rPr>
      <w:rFonts w:ascii="宋体" w:eastAsia="宋体" w:hAnsi="宋体" w:cs="宋体"/>
      <w:b/>
      <w:bCs/>
      <w:color w:val="000000"/>
      <w:spacing w:val="20"/>
      <w:w w:val="100"/>
      <w:position w:val="0"/>
      <w:sz w:val="20"/>
      <w:szCs w:val="20"/>
      <w:shd w:val="clear" w:color="auto" w:fill="FFFFFF"/>
      <w:lang w:val="zh-TW" w:eastAsia="zh-TW" w:bidi="zh-TW"/>
    </w:rPr>
  </w:style>
  <w:style w:type="character" w:customStyle="1" w:styleId="2ArialUnicodeMS">
    <w:name w:val="正文文本 (2) + Arial Unicode MS"/>
    <w:basedOn w:val="28"/>
    <w:semiHidden/>
    <w:qFormat/>
    <w:rPr>
      <w:rFonts w:ascii="Arial Unicode MS" w:eastAsia="Arial Unicode MS" w:hAnsi="Arial Unicode MS" w:cs="Arial Unicode MS"/>
      <w:b/>
      <w:bCs/>
      <w:color w:val="000000"/>
      <w:spacing w:val="0"/>
      <w:w w:val="100"/>
      <w:position w:val="0"/>
      <w:sz w:val="19"/>
      <w:szCs w:val="19"/>
      <w:u w:val="none"/>
      <w:shd w:val="clear" w:color="auto" w:fill="FFFFFF"/>
      <w:lang w:val="en-US" w:eastAsia="en-US" w:bidi="en-US"/>
    </w:rPr>
  </w:style>
  <w:style w:type="character" w:customStyle="1" w:styleId="4Exact">
    <w:name w:val="正文文本 (4) Exact"/>
    <w:basedOn w:val="a0"/>
    <w:semiHidden/>
    <w:qFormat/>
    <w:rPr>
      <w:rFonts w:ascii="宋体" w:eastAsia="宋体" w:hAnsi="宋体" w:cs="宋体"/>
      <w:w w:val="100"/>
      <w:sz w:val="26"/>
      <w:szCs w:val="26"/>
      <w:u w:val="none"/>
      <w:lang w:val="en-US" w:eastAsia="en-US" w:bidi="en-US"/>
    </w:rPr>
  </w:style>
  <w:style w:type="character" w:customStyle="1" w:styleId="37">
    <w:name w:val="正文文本 (3)_"/>
    <w:basedOn w:val="a0"/>
    <w:link w:val="38"/>
    <w:semiHidden/>
    <w:qFormat/>
    <w:rsid w:val="008C1C67"/>
    <w:rPr>
      <w:rFonts w:ascii="宋体" w:hAnsi="宋体" w:cs="宋体"/>
      <w:sz w:val="48"/>
      <w:szCs w:val="48"/>
      <w:shd w:val="clear" w:color="auto" w:fill="FFFFFF"/>
    </w:rPr>
  </w:style>
  <w:style w:type="paragraph" w:customStyle="1" w:styleId="38">
    <w:name w:val="正文文本 (3)"/>
    <w:basedOn w:val="a"/>
    <w:link w:val="37"/>
    <w:semiHidden/>
    <w:qFormat/>
    <w:pPr>
      <w:shd w:val="clear" w:color="auto" w:fill="FFFFFF"/>
      <w:spacing w:after="480" w:line="0" w:lineRule="atLeast"/>
    </w:pPr>
    <w:rPr>
      <w:sz w:val="48"/>
      <w:szCs w:val="48"/>
    </w:rPr>
  </w:style>
  <w:style w:type="character" w:customStyle="1" w:styleId="43">
    <w:name w:val="正文文本 (4)_"/>
    <w:basedOn w:val="a0"/>
    <w:link w:val="44"/>
    <w:semiHidden/>
    <w:qFormat/>
    <w:rsid w:val="008C1C67"/>
    <w:rPr>
      <w:rFonts w:ascii="宋体" w:hAnsi="宋体" w:cs="宋体"/>
      <w:sz w:val="26"/>
      <w:szCs w:val="26"/>
      <w:shd w:val="clear" w:color="auto" w:fill="FFFFFF"/>
      <w:lang w:eastAsia="en-US" w:bidi="en-US"/>
    </w:rPr>
  </w:style>
  <w:style w:type="paragraph" w:customStyle="1" w:styleId="44">
    <w:name w:val="正文文本 (4)"/>
    <w:basedOn w:val="a"/>
    <w:link w:val="43"/>
    <w:semiHidden/>
    <w:qFormat/>
    <w:pPr>
      <w:shd w:val="clear" w:color="auto" w:fill="FFFFFF"/>
      <w:spacing w:before="480" w:after="480" w:line="0" w:lineRule="atLeast"/>
      <w:jc w:val="right"/>
    </w:pPr>
    <w:rPr>
      <w:sz w:val="26"/>
      <w:szCs w:val="26"/>
      <w:lang w:eastAsia="en-US" w:bidi="en-US"/>
    </w:rPr>
  </w:style>
  <w:style w:type="character" w:customStyle="1" w:styleId="410pt">
    <w:name w:val="正文文本 (4) + 10 pt"/>
    <w:basedOn w:val="43"/>
    <w:semiHidden/>
    <w:qFormat/>
    <w:rPr>
      <w:rFonts w:ascii="宋体" w:eastAsia="宋体" w:hAnsi="宋体" w:cs="宋体"/>
      <w:b/>
      <w:bCs/>
      <w:color w:val="000000"/>
      <w:spacing w:val="0"/>
      <w:position w:val="0"/>
      <w:sz w:val="20"/>
      <w:szCs w:val="20"/>
      <w:shd w:val="clear" w:color="auto" w:fill="FFFFFF"/>
      <w:lang w:eastAsia="en-US" w:bidi="en-US"/>
    </w:rPr>
  </w:style>
  <w:style w:type="character" w:customStyle="1" w:styleId="53">
    <w:name w:val="正文文本 (5)_"/>
    <w:basedOn w:val="a0"/>
    <w:semiHidden/>
    <w:qFormat/>
    <w:rPr>
      <w:rFonts w:ascii="宋体" w:eastAsia="宋体" w:hAnsi="宋体" w:cs="宋体"/>
      <w:sz w:val="20"/>
      <w:szCs w:val="20"/>
      <w:u w:val="none"/>
    </w:rPr>
  </w:style>
  <w:style w:type="character" w:customStyle="1" w:styleId="63">
    <w:name w:val="正文文本 (6)"/>
    <w:basedOn w:val="a0"/>
    <w:semiHidden/>
    <w:qFormat/>
    <w:rPr>
      <w:rFonts w:ascii="宋体" w:eastAsia="宋体" w:hAnsi="宋体" w:cs="宋体"/>
      <w:sz w:val="36"/>
      <w:szCs w:val="36"/>
      <w:u w:val="none"/>
    </w:rPr>
  </w:style>
  <w:style w:type="character" w:customStyle="1" w:styleId="73">
    <w:name w:val="正文文本 (7)_"/>
    <w:basedOn w:val="a0"/>
    <w:semiHidden/>
    <w:qFormat/>
    <w:rPr>
      <w:rFonts w:ascii="宋体" w:eastAsia="宋体" w:hAnsi="宋体" w:cs="宋体"/>
      <w:spacing w:val="30"/>
      <w:sz w:val="30"/>
      <w:szCs w:val="30"/>
      <w:u w:val="none"/>
    </w:rPr>
  </w:style>
  <w:style w:type="character" w:customStyle="1" w:styleId="74">
    <w:name w:val="正文文本 (7)"/>
    <w:basedOn w:val="73"/>
    <w:semiHidden/>
    <w:qFormat/>
    <w:rPr>
      <w:rFonts w:ascii="宋体" w:eastAsia="宋体" w:hAnsi="宋体" w:cs="宋体"/>
      <w:color w:val="000000"/>
      <w:spacing w:val="30"/>
      <w:w w:val="100"/>
      <w:position w:val="0"/>
      <w:sz w:val="30"/>
      <w:szCs w:val="30"/>
      <w:u w:val="single"/>
      <w:lang w:val="zh-TW" w:eastAsia="zh-TW" w:bidi="zh-TW"/>
    </w:rPr>
  </w:style>
  <w:style w:type="character" w:customStyle="1" w:styleId="83">
    <w:name w:val="正文文本 (8)_"/>
    <w:basedOn w:val="a0"/>
    <w:semiHidden/>
    <w:qFormat/>
    <w:rPr>
      <w:rFonts w:ascii="Arial Unicode MS" w:eastAsia="Arial Unicode MS" w:hAnsi="Arial Unicode MS" w:cs="Arial Unicode MS"/>
      <w:spacing w:val="10"/>
      <w:sz w:val="15"/>
      <w:szCs w:val="15"/>
      <w:u w:val="none"/>
      <w:lang w:val="en-US" w:eastAsia="en-US" w:bidi="en-US"/>
    </w:rPr>
  </w:style>
  <w:style w:type="character" w:customStyle="1" w:styleId="84">
    <w:name w:val="正文文本 (8)"/>
    <w:basedOn w:val="83"/>
    <w:semiHidden/>
    <w:qFormat/>
    <w:rPr>
      <w:rFonts w:ascii="Arial Unicode MS" w:eastAsia="Arial Unicode MS" w:hAnsi="Arial Unicode MS" w:cs="Arial Unicode MS"/>
      <w:color w:val="000000"/>
      <w:spacing w:val="10"/>
      <w:w w:val="100"/>
      <w:position w:val="0"/>
      <w:sz w:val="15"/>
      <w:szCs w:val="15"/>
      <w:u w:val="none"/>
      <w:lang w:val="en-US" w:eastAsia="en-US" w:bidi="en-US"/>
    </w:rPr>
  </w:style>
  <w:style w:type="character" w:customStyle="1" w:styleId="8MSReferenceSansSerif">
    <w:name w:val="正文文本 (8) + MS Reference Sans Serif"/>
    <w:basedOn w:val="83"/>
    <w:semiHidden/>
    <w:qFormat/>
    <w:rPr>
      <w:rFonts w:ascii="MS Reference Sans Serif" w:eastAsia="MS Reference Sans Serif" w:hAnsi="MS Reference Sans Serif" w:cs="MS Reference Sans Serif"/>
      <w:color w:val="000000"/>
      <w:spacing w:val="0"/>
      <w:w w:val="100"/>
      <w:position w:val="0"/>
      <w:sz w:val="15"/>
      <w:szCs w:val="15"/>
      <w:u w:val="none"/>
      <w:lang w:val="zh-TW" w:eastAsia="zh-TW" w:bidi="zh-TW"/>
    </w:rPr>
  </w:style>
  <w:style w:type="character" w:customStyle="1" w:styleId="1f5">
    <w:name w:val="标题 #1_"/>
    <w:basedOn w:val="a0"/>
    <w:semiHidden/>
    <w:qFormat/>
    <w:rPr>
      <w:rFonts w:ascii="宋体" w:eastAsia="宋体" w:hAnsi="宋体" w:cs="宋体"/>
      <w:sz w:val="32"/>
      <w:szCs w:val="32"/>
      <w:u w:val="none"/>
    </w:rPr>
  </w:style>
  <w:style w:type="character" w:customStyle="1" w:styleId="aff5">
    <w:name w:val="页眉或页脚_"/>
    <w:basedOn w:val="a0"/>
    <w:semiHidden/>
    <w:qFormat/>
    <w:rPr>
      <w:rFonts w:ascii="宋体" w:eastAsia="宋体" w:hAnsi="宋体" w:cs="宋体"/>
      <w:sz w:val="18"/>
      <w:szCs w:val="18"/>
      <w:u w:val="none"/>
    </w:rPr>
  </w:style>
  <w:style w:type="character" w:customStyle="1" w:styleId="aff6">
    <w:name w:val="页眉或页脚"/>
    <w:basedOn w:val="aff5"/>
    <w:semiHidden/>
    <w:qFormat/>
    <w:rPr>
      <w:rFonts w:ascii="宋体" w:eastAsia="宋体" w:hAnsi="宋体" w:cs="宋体"/>
      <w:color w:val="000000"/>
      <w:spacing w:val="0"/>
      <w:w w:val="100"/>
      <w:position w:val="0"/>
      <w:sz w:val="18"/>
      <w:szCs w:val="18"/>
      <w:u w:val="none"/>
      <w:lang w:val="zh-TW" w:eastAsia="zh-TW" w:bidi="zh-TW"/>
    </w:rPr>
  </w:style>
  <w:style w:type="character" w:customStyle="1" w:styleId="Sylfaen">
    <w:name w:val="页眉或页脚 + Sylfaen"/>
    <w:basedOn w:val="aff5"/>
    <w:semiHidden/>
    <w:qFormat/>
    <w:rPr>
      <w:rFonts w:ascii="Sylfaen" w:eastAsia="Sylfaen" w:hAnsi="Sylfaen" w:cs="Sylfaen"/>
      <w:color w:val="000000"/>
      <w:spacing w:val="0"/>
      <w:w w:val="100"/>
      <w:position w:val="0"/>
      <w:sz w:val="20"/>
      <w:szCs w:val="20"/>
      <w:u w:val="none"/>
      <w:lang w:val="en-US" w:eastAsia="en-US" w:bidi="en-US"/>
    </w:rPr>
  </w:style>
  <w:style w:type="character" w:customStyle="1" w:styleId="93">
    <w:name w:val="正文文本 (9)_"/>
    <w:basedOn w:val="a0"/>
    <w:link w:val="94"/>
    <w:semiHidden/>
    <w:qFormat/>
    <w:rsid w:val="008C1C67"/>
    <w:rPr>
      <w:rFonts w:ascii="宋体" w:hAnsi="宋体" w:cs="宋体"/>
      <w:sz w:val="28"/>
      <w:szCs w:val="28"/>
      <w:shd w:val="clear" w:color="auto" w:fill="FFFFFF"/>
    </w:rPr>
  </w:style>
  <w:style w:type="paragraph" w:customStyle="1" w:styleId="94">
    <w:name w:val="正文文本 (9)"/>
    <w:basedOn w:val="a"/>
    <w:link w:val="93"/>
    <w:semiHidden/>
    <w:qFormat/>
    <w:pPr>
      <w:shd w:val="clear" w:color="auto" w:fill="FFFFFF"/>
      <w:spacing w:before="420" w:after="420" w:line="0" w:lineRule="atLeast"/>
      <w:jc w:val="distribute"/>
    </w:pPr>
    <w:rPr>
      <w:sz w:val="28"/>
      <w:szCs w:val="28"/>
    </w:rPr>
  </w:style>
  <w:style w:type="character" w:customStyle="1" w:styleId="101">
    <w:name w:val="正文文本 (10)_"/>
    <w:basedOn w:val="a0"/>
    <w:semiHidden/>
    <w:qFormat/>
    <w:rPr>
      <w:rFonts w:ascii="宋体" w:eastAsia="宋体" w:hAnsi="宋体" w:cs="宋体"/>
      <w:b/>
      <w:bCs/>
      <w:spacing w:val="10"/>
      <w:sz w:val="22"/>
      <w:szCs w:val="22"/>
      <w:u w:val="none"/>
    </w:rPr>
  </w:style>
  <w:style w:type="character" w:customStyle="1" w:styleId="2a">
    <w:name w:val="标题 #2_"/>
    <w:basedOn w:val="a0"/>
    <w:link w:val="2b"/>
    <w:semiHidden/>
    <w:rsid w:val="008C1C67"/>
    <w:rPr>
      <w:rFonts w:ascii="宋体" w:hAnsi="宋体" w:cs="宋体"/>
      <w:sz w:val="28"/>
      <w:szCs w:val="28"/>
      <w:shd w:val="clear" w:color="auto" w:fill="FFFFFF"/>
    </w:rPr>
  </w:style>
  <w:style w:type="paragraph" w:customStyle="1" w:styleId="2b">
    <w:name w:val="标题 #2"/>
    <w:basedOn w:val="a"/>
    <w:link w:val="2a"/>
    <w:semiHidden/>
    <w:qFormat/>
    <w:pPr>
      <w:shd w:val="clear" w:color="auto" w:fill="FFFFFF"/>
      <w:spacing w:before="180" w:after="420" w:line="0" w:lineRule="atLeast"/>
      <w:jc w:val="distribute"/>
      <w:outlineLvl w:val="1"/>
    </w:pPr>
    <w:rPr>
      <w:sz w:val="28"/>
      <w:szCs w:val="28"/>
    </w:rPr>
  </w:style>
  <w:style w:type="character" w:customStyle="1" w:styleId="2115pt">
    <w:name w:val="正文文本 (2) + 11.5 pt"/>
    <w:basedOn w:val="28"/>
    <w:semiHidden/>
    <w:qFormat/>
    <w:rPr>
      <w:rFonts w:ascii="宋体" w:eastAsia="宋体" w:hAnsi="宋体" w:cs="宋体"/>
      <w:color w:val="000000"/>
      <w:spacing w:val="0"/>
      <w:w w:val="100"/>
      <w:position w:val="0"/>
      <w:sz w:val="23"/>
      <w:szCs w:val="23"/>
      <w:u w:val="none"/>
      <w:shd w:val="clear" w:color="auto" w:fill="FFFFFF"/>
      <w:lang w:val="en-US" w:eastAsia="en-US" w:bidi="en-US"/>
    </w:rPr>
  </w:style>
  <w:style w:type="character" w:customStyle="1" w:styleId="112">
    <w:name w:val="正文文本 (11)_"/>
    <w:basedOn w:val="a0"/>
    <w:link w:val="113"/>
    <w:semiHidden/>
    <w:rsid w:val="008C1C67"/>
    <w:rPr>
      <w:rFonts w:ascii="宋体" w:hAnsi="宋体" w:cs="宋体"/>
      <w:sz w:val="28"/>
      <w:szCs w:val="28"/>
      <w:shd w:val="clear" w:color="auto" w:fill="FFFFFF"/>
    </w:rPr>
  </w:style>
  <w:style w:type="paragraph" w:customStyle="1" w:styleId="113">
    <w:name w:val="正文文本 (11)"/>
    <w:basedOn w:val="a"/>
    <w:link w:val="112"/>
    <w:semiHidden/>
    <w:qFormat/>
    <w:pPr>
      <w:shd w:val="clear" w:color="auto" w:fill="FFFFFF"/>
      <w:spacing w:before="180" w:after="420" w:line="0" w:lineRule="atLeast"/>
      <w:ind w:firstLine="560"/>
      <w:jc w:val="distribute"/>
    </w:pPr>
    <w:rPr>
      <w:sz w:val="28"/>
      <w:szCs w:val="28"/>
    </w:rPr>
  </w:style>
  <w:style w:type="character" w:customStyle="1" w:styleId="210pt0">
    <w:name w:val="目录 (2) + 10 pt"/>
    <w:basedOn w:val="1Char0"/>
    <w:semiHidden/>
    <w:qFormat/>
    <w:rPr>
      <w:rFonts w:ascii="Arial" w:eastAsia="宋体" w:hAnsi="Arial" w:cs="宋体"/>
      <w:b/>
      <w:color w:val="000000"/>
      <w:spacing w:val="0"/>
      <w:w w:val="100"/>
      <w:position w:val="0"/>
      <w:sz w:val="20"/>
      <w:szCs w:val="20"/>
      <w:lang w:val="zh-TW" w:eastAsia="zh-TW" w:bidi="zh-TW"/>
    </w:rPr>
  </w:style>
  <w:style w:type="character" w:customStyle="1" w:styleId="121">
    <w:name w:val="标题 #1 (2)_"/>
    <w:basedOn w:val="a0"/>
    <w:link w:val="122"/>
    <w:semiHidden/>
    <w:rsid w:val="008C1C67"/>
    <w:rPr>
      <w:rFonts w:ascii="宋体" w:hAnsi="宋体" w:cs="宋体"/>
      <w:spacing w:val="30"/>
      <w:sz w:val="30"/>
      <w:szCs w:val="30"/>
      <w:shd w:val="clear" w:color="auto" w:fill="FFFFFF"/>
    </w:rPr>
  </w:style>
  <w:style w:type="paragraph" w:customStyle="1" w:styleId="122">
    <w:name w:val="标题 #1 (2)"/>
    <w:basedOn w:val="a"/>
    <w:link w:val="121"/>
    <w:semiHidden/>
    <w:qFormat/>
    <w:pPr>
      <w:shd w:val="clear" w:color="auto" w:fill="FFFFFF"/>
      <w:spacing w:after="540" w:line="0" w:lineRule="atLeast"/>
      <w:jc w:val="center"/>
      <w:outlineLvl w:val="0"/>
    </w:pPr>
    <w:rPr>
      <w:spacing w:val="30"/>
      <w:sz w:val="30"/>
      <w:szCs w:val="30"/>
    </w:rPr>
  </w:style>
  <w:style w:type="character" w:customStyle="1" w:styleId="213pt">
    <w:name w:val="正文文本 (2) + 13 pt"/>
    <w:basedOn w:val="28"/>
    <w:semiHidden/>
    <w:qFormat/>
    <w:rPr>
      <w:rFonts w:ascii="宋体" w:eastAsia="宋体" w:hAnsi="宋体" w:cs="宋体"/>
      <w:b/>
      <w:bCs/>
      <w:color w:val="000000"/>
      <w:spacing w:val="0"/>
      <w:w w:val="100"/>
      <w:position w:val="0"/>
      <w:sz w:val="26"/>
      <w:szCs w:val="26"/>
      <w:u w:val="none"/>
      <w:shd w:val="clear" w:color="auto" w:fill="FFFFFF"/>
      <w:lang w:val="en-US" w:eastAsia="en-US" w:bidi="en-US"/>
    </w:rPr>
  </w:style>
  <w:style w:type="character" w:customStyle="1" w:styleId="14Exact">
    <w:name w:val="正文文本 (14) Exact"/>
    <w:basedOn w:val="a0"/>
    <w:link w:val="140"/>
    <w:semiHidden/>
    <w:rsid w:val="008C1C67"/>
    <w:rPr>
      <w:rFonts w:ascii="宋体" w:hAnsi="宋体" w:cs="宋体"/>
      <w:sz w:val="19"/>
      <w:szCs w:val="19"/>
      <w:shd w:val="clear" w:color="auto" w:fill="FFFFFF"/>
    </w:rPr>
  </w:style>
  <w:style w:type="paragraph" w:customStyle="1" w:styleId="140">
    <w:name w:val="正文文本 (14)"/>
    <w:basedOn w:val="a"/>
    <w:link w:val="14Exact"/>
    <w:semiHidden/>
    <w:qFormat/>
    <w:pPr>
      <w:shd w:val="clear" w:color="auto" w:fill="FFFFFF"/>
      <w:spacing w:line="0" w:lineRule="atLeast"/>
    </w:pPr>
    <w:rPr>
      <w:sz w:val="19"/>
      <w:szCs w:val="19"/>
    </w:rPr>
  </w:style>
  <w:style w:type="character" w:customStyle="1" w:styleId="15Exact">
    <w:name w:val="正文文本 (15) Exact"/>
    <w:basedOn w:val="a0"/>
    <w:semiHidden/>
    <w:qFormat/>
    <w:rPr>
      <w:rFonts w:ascii="宋体" w:eastAsia="宋体" w:hAnsi="宋体" w:cs="宋体"/>
      <w:sz w:val="13"/>
      <w:szCs w:val="13"/>
      <w:u w:val="none"/>
    </w:rPr>
  </w:style>
  <w:style w:type="character" w:customStyle="1" w:styleId="16Exact">
    <w:name w:val="正文文本 (16) Exact"/>
    <w:basedOn w:val="a0"/>
    <w:semiHidden/>
    <w:rPr>
      <w:rFonts w:ascii="宋体" w:eastAsia="宋体" w:hAnsi="宋体" w:cs="宋体"/>
      <w:sz w:val="15"/>
      <w:szCs w:val="15"/>
      <w:u w:val="none"/>
    </w:rPr>
  </w:style>
  <w:style w:type="character" w:customStyle="1" w:styleId="142ptExact">
    <w:name w:val="正文文本 (14) + 间距 2 pt Exact"/>
    <w:basedOn w:val="14Exact"/>
    <w:semiHidden/>
    <w:qFormat/>
    <w:rPr>
      <w:rFonts w:ascii="宋体" w:eastAsia="宋体" w:hAnsi="宋体" w:cs="宋体"/>
      <w:color w:val="000000"/>
      <w:spacing w:val="40"/>
      <w:w w:val="100"/>
      <w:position w:val="0"/>
      <w:sz w:val="19"/>
      <w:szCs w:val="19"/>
      <w:shd w:val="clear" w:color="auto" w:fill="FFFFFF"/>
      <w:lang w:val="zh-TW" w:eastAsia="zh-TW" w:bidi="zh-TW"/>
    </w:rPr>
  </w:style>
  <w:style w:type="character" w:customStyle="1" w:styleId="123">
    <w:name w:val="正文文本 (12)_"/>
    <w:basedOn w:val="a0"/>
    <w:link w:val="124"/>
    <w:semiHidden/>
    <w:qFormat/>
    <w:rsid w:val="008C1C67"/>
    <w:rPr>
      <w:rFonts w:ascii="宋体" w:hAnsi="宋体" w:cs="宋体"/>
      <w:sz w:val="23"/>
      <w:szCs w:val="23"/>
      <w:shd w:val="clear" w:color="auto" w:fill="FFFFFF"/>
      <w:lang w:eastAsia="en-US" w:bidi="en-US"/>
    </w:rPr>
  </w:style>
  <w:style w:type="paragraph" w:customStyle="1" w:styleId="124">
    <w:name w:val="正文文本 (12)"/>
    <w:basedOn w:val="a"/>
    <w:link w:val="123"/>
    <w:semiHidden/>
    <w:qFormat/>
    <w:pPr>
      <w:shd w:val="clear" w:color="auto" w:fill="FFFFFF"/>
      <w:spacing w:before="300" w:after="300" w:line="0" w:lineRule="atLeast"/>
      <w:ind w:firstLine="520"/>
    </w:pPr>
    <w:rPr>
      <w:sz w:val="23"/>
      <w:szCs w:val="23"/>
      <w:lang w:eastAsia="en-US" w:bidi="en-US"/>
    </w:rPr>
  </w:style>
  <w:style w:type="character" w:customStyle="1" w:styleId="1211pt">
    <w:name w:val="正文文本 (12) + 11 pt"/>
    <w:basedOn w:val="123"/>
    <w:semiHidden/>
    <w:qFormat/>
    <w:rPr>
      <w:rFonts w:ascii="宋体" w:eastAsia="宋体" w:hAnsi="宋体" w:cs="宋体"/>
      <w:color w:val="000000"/>
      <w:spacing w:val="0"/>
      <w:position w:val="0"/>
      <w:sz w:val="22"/>
      <w:szCs w:val="22"/>
      <w:shd w:val="clear" w:color="auto" w:fill="FFFFFF"/>
      <w:lang w:val="zh-TW" w:eastAsia="zh-TW" w:bidi="zh-TW"/>
    </w:rPr>
  </w:style>
  <w:style w:type="character" w:customStyle="1" w:styleId="39">
    <w:name w:val="标题 #3_"/>
    <w:basedOn w:val="a0"/>
    <w:link w:val="3a"/>
    <w:semiHidden/>
    <w:qFormat/>
    <w:rsid w:val="008C1C67"/>
    <w:rPr>
      <w:rFonts w:ascii="宋体" w:hAnsi="宋体" w:cs="宋体"/>
      <w:b/>
      <w:bCs/>
      <w:sz w:val="24"/>
      <w:szCs w:val="24"/>
      <w:shd w:val="clear" w:color="auto" w:fill="FFFFFF"/>
    </w:rPr>
  </w:style>
  <w:style w:type="paragraph" w:customStyle="1" w:styleId="3a">
    <w:name w:val="标题 #3"/>
    <w:basedOn w:val="a"/>
    <w:link w:val="39"/>
    <w:semiHidden/>
    <w:qFormat/>
    <w:pPr>
      <w:shd w:val="clear" w:color="auto" w:fill="FFFFFF"/>
      <w:spacing w:before="420" w:after="300" w:line="0" w:lineRule="atLeast"/>
      <w:jc w:val="distribute"/>
      <w:outlineLvl w:val="2"/>
    </w:pPr>
    <w:rPr>
      <w:b/>
      <w:bCs/>
    </w:rPr>
  </w:style>
  <w:style w:type="character" w:customStyle="1" w:styleId="130">
    <w:name w:val="正文文本 (13)_"/>
    <w:basedOn w:val="a0"/>
    <w:semiHidden/>
    <w:qFormat/>
    <w:rPr>
      <w:rFonts w:ascii="宋体" w:eastAsia="宋体" w:hAnsi="宋体" w:cs="宋体"/>
      <w:b/>
      <w:bCs/>
      <w:u w:val="none"/>
    </w:rPr>
  </w:style>
  <w:style w:type="character" w:customStyle="1" w:styleId="150">
    <w:name w:val="正文文本 (15)_"/>
    <w:basedOn w:val="a0"/>
    <w:link w:val="151"/>
    <w:semiHidden/>
    <w:qFormat/>
    <w:rsid w:val="008C1C67"/>
    <w:rPr>
      <w:rFonts w:ascii="宋体" w:hAnsi="宋体" w:cs="宋体"/>
      <w:sz w:val="13"/>
      <w:szCs w:val="13"/>
      <w:shd w:val="clear" w:color="auto" w:fill="FFFFFF"/>
    </w:rPr>
  </w:style>
  <w:style w:type="paragraph" w:customStyle="1" w:styleId="151">
    <w:name w:val="正文文本 (15)"/>
    <w:basedOn w:val="a"/>
    <w:link w:val="150"/>
    <w:semiHidden/>
    <w:qFormat/>
    <w:pPr>
      <w:shd w:val="clear" w:color="auto" w:fill="FFFFFF"/>
      <w:spacing w:after="540" w:line="0" w:lineRule="atLeast"/>
      <w:jc w:val="distribute"/>
    </w:pPr>
    <w:rPr>
      <w:sz w:val="13"/>
      <w:szCs w:val="13"/>
    </w:rPr>
  </w:style>
  <w:style w:type="character" w:customStyle="1" w:styleId="2c">
    <w:name w:val="表格标题 (2)_"/>
    <w:basedOn w:val="a0"/>
    <w:link w:val="2d"/>
    <w:semiHidden/>
    <w:qFormat/>
    <w:rsid w:val="008C1C67"/>
    <w:rPr>
      <w:rFonts w:ascii="宋体" w:hAnsi="宋体" w:cs="宋体"/>
      <w:b/>
      <w:bCs/>
      <w:sz w:val="24"/>
      <w:szCs w:val="24"/>
      <w:shd w:val="clear" w:color="auto" w:fill="FFFFFF"/>
    </w:rPr>
  </w:style>
  <w:style w:type="paragraph" w:customStyle="1" w:styleId="2d">
    <w:name w:val="表格标题 (2)"/>
    <w:basedOn w:val="a"/>
    <w:link w:val="2c"/>
    <w:semiHidden/>
    <w:qFormat/>
    <w:pPr>
      <w:shd w:val="clear" w:color="auto" w:fill="FFFFFF"/>
      <w:spacing w:line="0" w:lineRule="atLeast"/>
    </w:pPr>
    <w:rPr>
      <w:b/>
      <w:bCs/>
    </w:rPr>
  </w:style>
  <w:style w:type="character" w:customStyle="1" w:styleId="320">
    <w:name w:val="标题 #3 (2)_"/>
    <w:basedOn w:val="a0"/>
    <w:link w:val="321"/>
    <w:semiHidden/>
    <w:rsid w:val="008C1C67"/>
    <w:rPr>
      <w:rFonts w:ascii="宋体" w:hAnsi="宋体" w:cs="宋体"/>
      <w:b/>
      <w:bCs/>
      <w:spacing w:val="10"/>
      <w:sz w:val="22"/>
      <w:szCs w:val="24"/>
      <w:shd w:val="clear" w:color="auto" w:fill="FFFFFF"/>
    </w:rPr>
  </w:style>
  <w:style w:type="paragraph" w:customStyle="1" w:styleId="321">
    <w:name w:val="标题 #3 (2)"/>
    <w:basedOn w:val="a"/>
    <w:link w:val="320"/>
    <w:semiHidden/>
    <w:qFormat/>
    <w:pPr>
      <w:shd w:val="clear" w:color="auto" w:fill="FFFFFF"/>
      <w:spacing w:before="60" w:line="0" w:lineRule="atLeast"/>
      <w:jc w:val="distribute"/>
      <w:outlineLvl w:val="2"/>
    </w:pPr>
    <w:rPr>
      <w:b/>
      <w:bCs/>
      <w:spacing w:val="10"/>
      <w:sz w:val="22"/>
    </w:rPr>
  </w:style>
  <w:style w:type="character" w:customStyle="1" w:styleId="aff7">
    <w:name w:val="表格标题_"/>
    <w:basedOn w:val="a0"/>
    <w:link w:val="aff8"/>
    <w:semiHidden/>
    <w:qFormat/>
    <w:rsid w:val="008C1C67"/>
    <w:rPr>
      <w:rFonts w:ascii="宋体" w:hAnsi="宋体" w:cs="宋体"/>
      <w:b/>
      <w:bCs/>
      <w:spacing w:val="10"/>
      <w:sz w:val="22"/>
      <w:szCs w:val="24"/>
      <w:shd w:val="clear" w:color="auto" w:fill="FFFFFF"/>
    </w:rPr>
  </w:style>
  <w:style w:type="paragraph" w:customStyle="1" w:styleId="aff8">
    <w:name w:val="表格标题"/>
    <w:basedOn w:val="a"/>
    <w:link w:val="aff7"/>
    <w:semiHidden/>
    <w:qFormat/>
    <w:pPr>
      <w:shd w:val="clear" w:color="auto" w:fill="FFFFFF"/>
      <w:spacing w:line="480" w:lineRule="exact"/>
      <w:ind w:firstLine="500"/>
    </w:pPr>
    <w:rPr>
      <w:b/>
      <w:bCs/>
      <w:spacing w:val="10"/>
      <w:sz w:val="22"/>
    </w:rPr>
  </w:style>
  <w:style w:type="character" w:customStyle="1" w:styleId="22pt">
    <w:name w:val="正文文本 (2) + 间距 2 pt"/>
    <w:basedOn w:val="28"/>
    <w:semiHidden/>
    <w:qFormat/>
    <w:rPr>
      <w:rFonts w:ascii="宋体" w:eastAsia="宋体" w:hAnsi="宋体" w:cs="宋体"/>
      <w:color w:val="000000"/>
      <w:spacing w:val="50"/>
      <w:w w:val="100"/>
      <w:position w:val="0"/>
      <w:sz w:val="22"/>
      <w:szCs w:val="22"/>
      <w:u w:val="none"/>
      <w:shd w:val="clear" w:color="auto" w:fill="FFFFFF"/>
      <w:lang w:val="zh-TW" w:eastAsia="zh-TW" w:bidi="zh-TW"/>
    </w:rPr>
  </w:style>
  <w:style w:type="character" w:customStyle="1" w:styleId="3b">
    <w:name w:val="表格标题 (3)_"/>
    <w:basedOn w:val="a0"/>
    <w:link w:val="3c"/>
    <w:semiHidden/>
    <w:qFormat/>
    <w:rsid w:val="008C1C67"/>
    <w:rPr>
      <w:rFonts w:ascii="宋体" w:hAnsi="宋体" w:cs="宋体"/>
      <w:sz w:val="22"/>
      <w:szCs w:val="24"/>
      <w:shd w:val="clear" w:color="auto" w:fill="FFFFFF"/>
    </w:rPr>
  </w:style>
  <w:style w:type="paragraph" w:customStyle="1" w:styleId="3c">
    <w:name w:val="表格标题 (3)"/>
    <w:basedOn w:val="a"/>
    <w:link w:val="3b"/>
    <w:semiHidden/>
    <w:qFormat/>
    <w:pPr>
      <w:shd w:val="clear" w:color="auto" w:fill="FFFFFF"/>
      <w:spacing w:line="0" w:lineRule="atLeast"/>
    </w:pPr>
    <w:rPr>
      <w:sz w:val="22"/>
    </w:rPr>
  </w:style>
  <w:style w:type="character" w:customStyle="1" w:styleId="45">
    <w:name w:val="表格标题 (4)_"/>
    <w:basedOn w:val="a0"/>
    <w:link w:val="46"/>
    <w:semiHidden/>
    <w:qFormat/>
    <w:rsid w:val="008C1C67"/>
    <w:rPr>
      <w:rFonts w:ascii="宋体" w:hAnsi="宋体" w:cs="宋体"/>
      <w:sz w:val="24"/>
      <w:szCs w:val="24"/>
      <w:shd w:val="clear" w:color="auto" w:fill="FFFFFF"/>
    </w:rPr>
  </w:style>
  <w:style w:type="paragraph" w:customStyle="1" w:styleId="46">
    <w:name w:val="表格标题 (4)"/>
    <w:basedOn w:val="a"/>
    <w:link w:val="45"/>
    <w:semiHidden/>
    <w:qFormat/>
    <w:pPr>
      <w:shd w:val="clear" w:color="auto" w:fill="FFFFFF"/>
      <w:spacing w:line="0" w:lineRule="atLeast"/>
    </w:pPr>
  </w:style>
  <w:style w:type="character" w:customStyle="1" w:styleId="214pt">
    <w:name w:val="正文文本 (2) + 14 pt"/>
    <w:basedOn w:val="28"/>
    <w:semiHidden/>
    <w:qFormat/>
    <w:rPr>
      <w:rFonts w:ascii="宋体" w:eastAsia="宋体" w:hAnsi="宋体" w:cs="宋体"/>
      <w:color w:val="000000"/>
      <w:spacing w:val="0"/>
      <w:w w:val="100"/>
      <w:position w:val="0"/>
      <w:sz w:val="28"/>
      <w:szCs w:val="28"/>
      <w:u w:val="none"/>
      <w:shd w:val="clear" w:color="auto" w:fill="FFFFFF"/>
      <w:lang w:val="zh-TW" w:eastAsia="zh-TW" w:bidi="zh-TW"/>
    </w:rPr>
  </w:style>
  <w:style w:type="character" w:customStyle="1" w:styleId="11pt">
    <w:name w:val="标题 #1 + 间距 1 pt"/>
    <w:basedOn w:val="1f5"/>
    <w:semiHidden/>
    <w:rPr>
      <w:rFonts w:ascii="宋体" w:eastAsia="宋体" w:hAnsi="宋体" w:cs="宋体"/>
      <w:color w:val="000000"/>
      <w:spacing w:val="20"/>
      <w:w w:val="100"/>
      <w:position w:val="0"/>
      <w:sz w:val="32"/>
      <w:szCs w:val="32"/>
      <w:u w:val="none"/>
      <w:lang w:val="zh-TW" w:eastAsia="zh-TW" w:bidi="zh-TW"/>
    </w:rPr>
  </w:style>
  <w:style w:type="character" w:customStyle="1" w:styleId="107pt">
    <w:name w:val="正文文本 (10) + 间距 7 pt"/>
    <w:basedOn w:val="101"/>
    <w:semiHidden/>
    <w:qFormat/>
    <w:rPr>
      <w:rFonts w:ascii="宋体" w:eastAsia="宋体" w:hAnsi="宋体" w:cs="宋体"/>
      <w:b/>
      <w:bCs/>
      <w:color w:val="000000"/>
      <w:spacing w:val="150"/>
      <w:w w:val="100"/>
      <w:position w:val="0"/>
      <w:sz w:val="22"/>
      <w:szCs w:val="22"/>
      <w:u w:val="none"/>
      <w:lang w:val="zh-TW" w:eastAsia="zh-TW" w:bidi="zh-TW"/>
    </w:rPr>
  </w:style>
  <w:style w:type="character" w:customStyle="1" w:styleId="5Exact">
    <w:name w:val="正文文本 (5) Exact"/>
    <w:basedOn w:val="a0"/>
    <w:semiHidden/>
    <w:qFormat/>
    <w:rPr>
      <w:rFonts w:ascii="宋体" w:eastAsia="宋体" w:hAnsi="宋体" w:cs="宋体"/>
      <w:sz w:val="20"/>
      <w:szCs w:val="20"/>
      <w:u w:val="none"/>
    </w:rPr>
  </w:style>
  <w:style w:type="character" w:customStyle="1" w:styleId="147pt">
    <w:name w:val="正文文本 (14) + 7 pt"/>
    <w:basedOn w:val="14Exact"/>
    <w:semiHidden/>
    <w:rPr>
      <w:rFonts w:ascii="宋体" w:eastAsia="宋体" w:hAnsi="宋体" w:cs="宋体"/>
      <w:color w:val="000000"/>
      <w:spacing w:val="0"/>
      <w:w w:val="200"/>
      <w:position w:val="0"/>
      <w:sz w:val="14"/>
      <w:szCs w:val="14"/>
      <w:shd w:val="clear" w:color="auto" w:fill="FFFFFF"/>
      <w:lang w:val="en-US" w:eastAsia="en-US" w:bidi="en-US"/>
    </w:rPr>
  </w:style>
  <w:style w:type="character" w:customStyle="1" w:styleId="295pt">
    <w:name w:val="正文文本 (2) + 9.5 pt"/>
    <w:basedOn w:val="28"/>
    <w:semiHidden/>
    <w:qFormat/>
    <w:rPr>
      <w:rFonts w:ascii="宋体" w:eastAsia="宋体" w:hAnsi="宋体" w:cs="宋体"/>
      <w:b/>
      <w:bCs/>
      <w:color w:val="000000"/>
      <w:spacing w:val="0"/>
      <w:w w:val="100"/>
      <w:position w:val="0"/>
      <w:sz w:val="19"/>
      <w:szCs w:val="19"/>
      <w:u w:val="none"/>
      <w:shd w:val="clear" w:color="auto" w:fill="FFFFFF"/>
      <w:lang w:val="en-US" w:eastAsia="en-US" w:bidi="en-US"/>
    </w:rPr>
  </w:style>
  <w:style w:type="character" w:customStyle="1" w:styleId="275pt">
    <w:name w:val="正文文本 (2) + 7.5 pt"/>
    <w:basedOn w:val="28"/>
    <w:semiHidden/>
    <w:qFormat/>
    <w:rPr>
      <w:rFonts w:ascii="宋体" w:eastAsia="宋体" w:hAnsi="宋体" w:cs="宋体"/>
      <w:color w:val="000000"/>
      <w:spacing w:val="0"/>
      <w:w w:val="100"/>
      <w:position w:val="0"/>
      <w:sz w:val="15"/>
      <w:szCs w:val="15"/>
      <w:u w:val="none"/>
      <w:shd w:val="clear" w:color="auto" w:fill="FFFFFF"/>
      <w:lang w:val="zh-TW" w:eastAsia="zh-TW" w:bidi="zh-TW"/>
    </w:rPr>
  </w:style>
  <w:style w:type="character" w:customStyle="1" w:styleId="285pt">
    <w:name w:val="正文文本 (2) + 8.5 pt"/>
    <w:basedOn w:val="28"/>
    <w:semiHidden/>
    <w:rPr>
      <w:rFonts w:ascii="宋体" w:eastAsia="宋体" w:hAnsi="宋体" w:cs="宋体"/>
      <w:color w:val="000000"/>
      <w:spacing w:val="0"/>
      <w:w w:val="100"/>
      <w:position w:val="0"/>
      <w:sz w:val="17"/>
      <w:szCs w:val="17"/>
      <w:u w:val="none"/>
      <w:shd w:val="clear" w:color="auto" w:fill="FFFFFF"/>
      <w:lang w:val="en-US" w:eastAsia="en-US" w:bidi="en-US"/>
    </w:rPr>
  </w:style>
  <w:style w:type="character" w:customStyle="1" w:styleId="514pt">
    <w:name w:val="正文文本 (5) + 14 pt"/>
    <w:basedOn w:val="53"/>
    <w:semiHidden/>
    <w:qFormat/>
    <w:rPr>
      <w:rFonts w:ascii="宋体" w:eastAsia="宋体" w:hAnsi="宋体" w:cs="宋体"/>
      <w:color w:val="000000"/>
      <w:spacing w:val="0"/>
      <w:w w:val="100"/>
      <w:position w:val="0"/>
      <w:sz w:val="28"/>
      <w:szCs w:val="28"/>
      <w:u w:val="none"/>
      <w:lang w:val="zh-TW" w:eastAsia="zh-TW" w:bidi="zh-TW"/>
    </w:rPr>
  </w:style>
  <w:style w:type="character" w:customStyle="1" w:styleId="220pt">
    <w:name w:val="正文文本 (2) + 20 pt"/>
    <w:basedOn w:val="28"/>
    <w:semiHidden/>
    <w:qFormat/>
    <w:rPr>
      <w:rFonts w:ascii="宋体" w:eastAsia="宋体" w:hAnsi="宋体" w:cs="宋体"/>
      <w:color w:val="000000"/>
      <w:spacing w:val="280"/>
      <w:w w:val="150"/>
      <w:position w:val="0"/>
      <w:sz w:val="40"/>
      <w:szCs w:val="40"/>
      <w:u w:val="none"/>
      <w:shd w:val="clear" w:color="auto" w:fill="FFFFFF"/>
      <w:lang w:val="zh-TW" w:eastAsia="zh-TW" w:bidi="zh-TW"/>
    </w:rPr>
  </w:style>
  <w:style w:type="character" w:customStyle="1" w:styleId="2Impact">
    <w:name w:val="正文文本 (2) + Impact"/>
    <w:basedOn w:val="28"/>
    <w:semiHidden/>
    <w:rPr>
      <w:rFonts w:ascii="Impact" w:eastAsia="Impact" w:hAnsi="Impact" w:cs="Impact"/>
      <w:color w:val="000000"/>
      <w:spacing w:val="0"/>
      <w:w w:val="100"/>
      <w:position w:val="0"/>
      <w:sz w:val="15"/>
      <w:szCs w:val="15"/>
      <w:u w:val="none"/>
      <w:shd w:val="clear" w:color="auto" w:fill="FFFFFF"/>
      <w:lang w:val="en-US" w:eastAsia="en-US" w:bidi="en-US"/>
    </w:rPr>
  </w:style>
  <w:style w:type="character" w:customStyle="1" w:styleId="100pt">
    <w:name w:val="正文文本 (10) + 间距 0 pt"/>
    <w:basedOn w:val="101"/>
    <w:semiHidden/>
    <w:qFormat/>
    <w:rPr>
      <w:rFonts w:ascii="宋体" w:eastAsia="宋体" w:hAnsi="宋体" w:cs="宋体"/>
      <w:b/>
      <w:bCs/>
      <w:color w:val="000000"/>
      <w:spacing w:val="0"/>
      <w:w w:val="100"/>
      <w:position w:val="0"/>
      <w:sz w:val="22"/>
      <w:szCs w:val="22"/>
      <w:u w:val="none"/>
      <w:lang w:val="zh-TW" w:eastAsia="zh-TW" w:bidi="zh-TW"/>
    </w:rPr>
  </w:style>
  <w:style w:type="character" w:customStyle="1" w:styleId="85pt">
    <w:name w:val="页眉或页脚 + 8.5 pt"/>
    <w:basedOn w:val="aff5"/>
    <w:semiHidden/>
    <w:qFormat/>
    <w:rPr>
      <w:rFonts w:ascii="宋体" w:eastAsia="宋体" w:hAnsi="宋体" w:cs="宋体"/>
      <w:color w:val="000000"/>
      <w:spacing w:val="0"/>
      <w:w w:val="100"/>
      <w:position w:val="0"/>
      <w:sz w:val="17"/>
      <w:szCs w:val="17"/>
      <w:u w:val="none"/>
      <w:lang w:val="zh-TW" w:eastAsia="zh-TW" w:bidi="zh-TW"/>
    </w:rPr>
  </w:style>
  <w:style w:type="character" w:customStyle="1" w:styleId="2-1pt">
    <w:name w:val="正文文本 (2) + 间距 -1 pt"/>
    <w:basedOn w:val="28"/>
    <w:semiHidden/>
    <w:rPr>
      <w:rFonts w:ascii="宋体" w:eastAsia="宋体" w:hAnsi="宋体" w:cs="宋体"/>
      <w:color w:val="000000"/>
      <w:spacing w:val="-20"/>
      <w:w w:val="100"/>
      <w:position w:val="0"/>
      <w:sz w:val="22"/>
      <w:szCs w:val="22"/>
      <w:u w:val="none"/>
      <w:shd w:val="clear" w:color="auto" w:fill="FFFFFF"/>
      <w:lang w:val="zh-TW" w:eastAsia="zh-TW" w:bidi="zh-TW"/>
    </w:rPr>
  </w:style>
  <w:style w:type="character" w:customStyle="1" w:styleId="2e">
    <w:name w:val="图片标题 (2)_"/>
    <w:basedOn w:val="a0"/>
    <w:semiHidden/>
    <w:qFormat/>
    <w:rPr>
      <w:rFonts w:ascii="宋体" w:eastAsia="宋体" w:hAnsi="宋体" w:cs="宋体"/>
      <w:sz w:val="20"/>
      <w:szCs w:val="20"/>
      <w:u w:val="none"/>
    </w:rPr>
  </w:style>
  <w:style w:type="character" w:customStyle="1" w:styleId="2f">
    <w:name w:val="图片标题 (2)"/>
    <w:basedOn w:val="2e"/>
    <w:semiHidden/>
    <w:qFormat/>
    <w:rPr>
      <w:rFonts w:ascii="宋体" w:eastAsia="宋体" w:hAnsi="宋体" w:cs="宋体"/>
      <w:color w:val="000000"/>
      <w:spacing w:val="0"/>
      <w:w w:val="100"/>
      <w:position w:val="0"/>
      <w:sz w:val="20"/>
      <w:szCs w:val="20"/>
      <w:u w:val="none"/>
      <w:lang w:val="zh-TW" w:eastAsia="zh-TW" w:bidi="zh-TW"/>
    </w:rPr>
  </w:style>
  <w:style w:type="character" w:customStyle="1" w:styleId="213pt0">
    <w:name w:val="图片标题 (2) + 13 pt"/>
    <w:basedOn w:val="2e"/>
    <w:semiHidden/>
    <w:rPr>
      <w:rFonts w:ascii="宋体" w:eastAsia="宋体" w:hAnsi="宋体" w:cs="宋体"/>
      <w:b/>
      <w:bCs/>
      <w:color w:val="000000"/>
      <w:spacing w:val="0"/>
      <w:w w:val="100"/>
      <w:position w:val="0"/>
      <w:sz w:val="26"/>
      <w:szCs w:val="26"/>
      <w:u w:val="none"/>
      <w:lang w:val="en-US" w:eastAsia="en-US" w:bidi="en-US"/>
    </w:rPr>
  </w:style>
  <w:style w:type="character" w:customStyle="1" w:styleId="3d">
    <w:name w:val="图片标题 (3)_"/>
    <w:basedOn w:val="a0"/>
    <w:semiHidden/>
    <w:qFormat/>
    <w:rPr>
      <w:rFonts w:ascii="宋体" w:eastAsia="宋体" w:hAnsi="宋体" w:cs="宋体"/>
      <w:w w:val="80"/>
      <w:sz w:val="21"/>
      <w:szCs w:val="21"/>
      <w:u w:val="none"/>
    </w:rPr>
  </w:style>
  <w:style w:type="character" w:customStyle="1" w:styleId="3e">
    <w:name w:val="图片标题 (3)"/>
    <w:basedOn w:val="3d"/>
    <w:semiHidden/>
    <w:qFormat/>
    <w:rPr>
      <w:rFonts w:ascii="宋体" w:eastAsia="宋体" w:hAnsi="宋体" w:cs="宋体"/>
      <w:color w:val="000000"/>
      <w:spacing w:val="0"/>
      <w:w w:val="80"/>
      <w:position w:val="0"/>
      <w:sz w:val="21"/>
      <w:szCs w:val="21"/>
      <w:u w:val="none"/>
      <w:lang w:val="zh-TW" w:eastAsia="zh-TW" w:bidi="zh-TW"/>
    </w:rPr>
  </w:style>
  <w:style w:type="character" w:customStyle="1" w:styleId="47">
    <w:name w:val="图片标题 (4)_"/>
    <w:basedOn w:val="a0"/>
    <w:link w:val="48"/>
    <w:semiHidden/>
    <w:qFormat/>
    <w:rsid w:val="008C1C67"/>
    <w:rPr>
      <w:rFonts w:ascii="宋体" w:hAnsi="宋体" w:cs="宋体"/>
      <w:b/>
      <w:bCs/>
      <w:sz w:val="24"/>
      <w:szCs w:val="24"/>
      <w:shd w:val="clear" w:color="auto" w:fill="FFFFFF"/>
    </w:rPr>
  </w:style>
  <w:style w:type="paragraph" w:customStyle="1" w:styleId="48">
    <w:name w:val="图片标题 (4)"/>
    <w:basedOn w:val="a"/>
    <w:link w:val="47"/>
    <w:semiHidden/>
    <w:qFormat/>
    <w:pPr>
      <w:shd w:val="clear" w:color="auto" w:fill="FFFFFF"/>
      <w:spacing w:before="240" w:line="0" w:lineRule="atLeast"/>
      <w:jc w:val="distribute"/>
    </w:pPr>
    <w:rPr>
      <w:b/>
      <w:bCs/>
    </w:rPr>
  </w:style>
  <w:style w:type="character" w:customStyle="1" w:styleId="5Exact0">
    <w:name w:val="图片标题 (5) Exact"/>
    <w:basedOn w:val="a0"/>
    <w:link w:val="54"/>
    <w:semiHidden/>
    <w:qFormat/>
    <w:rsid w:val="008C1C67"/>
    <w:rPr>
      <w:rFonts w:ascii="宋体" w:hAnsi="宋体" w:cs="宋体"/>
      <w:b/>
      <w:bCs/>
      <w:spacing w:val="-10"/>
      <w:sz w:val="18"/>
      <w:szCs w:val="18"/>
      <w:shd w:val="clear" w:color="auto" w:fill="FFFFFF"/>
    </w:rPr>
  </w:style>
  <w:style w:type="paragraph" w:customStyle="1" w:styleId="54">
    <w:name w:val="图片标题 (5)"/>
    <w:basedOn w:val="a"/>
    <w:link w:val="5Exact0"/>
    <w:semiHidden/>
    <w:qFormat/>
    <w:pPr>
      <w:shd w:val="clear" w:color="auto" w:fill="FFFFFF"/>
      <w:spacing w:line="0" w:lineRule="atLeast"/>
    </w:pPr>
    <w:rPr>
      <w:b/>
      <w:bCs/>
      <w:spacing w:val="-10"/>
      <w:sz w:val="18"/>
      <w:szCs w:val="18"/>
    </w:rPr>
  </w:style>
  <w:style w:type="character" w:customStyle="1" w:styleId="Exact">
    <w:name w:val="图片标题 Exact"/>
    <w:basedOn w:val="a0"/>
    <w:link w:val="aff9"/>
    <w:semiHidden/>
    <w:qFormat/>
    <w:rsid w:val="008C1C67"/>
    <w:rPr>
      <w:rFonts w:ascii="宋体" w:hAnsi="宋体" w:cs="宋体"/>
      <w:sz w:val="17"/>
      <w:szCs w:val="17"/>
      <w:shd w:val="clear" w:color="auto" w:fill="FFFFFF"/>
      <w:lang w:eastAsia="en-US" w:bidi="en-US"/>
    </w:rPr>
  </w:style>
  <w:style w:type="paragraph" w:customStyle="1" w:styleId="aff9">
    <w:name w:val="图片标题"/>
    <w:basedOn w:val="a"/>
    <w:link w:val="Exact"/>
    <w:semiHidden/>
    <w:qFormat/>
    <w:pPr>
      <w:shd w:val="clear" w:color="auto" w:fill="FFFFFF"/>
      <w:spacing w:line="0" w:lineRule="atLeast"/>
      <w:jc w:val="distribute"/>
    </w:pPr>
    <w:rPr>
      <w:sz w:val="17"/>
      <w:szCs w:val="17"/>
      <w:lang w:eastAsia="en-US" w:bidi="en-US"/>
    </w:rPr>
  </w:style>
  <w:style w:type="character" w:customStyle="1" w:styleId="Consolas">
    <w:name w:val="图片标题 + Consolas"/>
    <w:basedOn w:val="Exact"/>
    <w:semiHidden/>
    <w:qFormat/>
    <w:rPr>
      <w:rFonts w:ascii="Consolas" w:eastAsia="Consolas" w:hAnsi="Consolas" w:cs="Consolas"/>
      <w:b/>
      <w:bCs/>
      <w:color w:val="000000"/>
      <w:spacing w:val="0"/>
      <w:w w:val="100"/>
      <w:position w:val="0"/>
      <w:sz w:val="18"/>
      <w:szCs w:val="18"/>
      <w:shd w:val="clear" w:color="auto" w:fill="FFFFFF"/>
      <w:lang w:eastAsia="en-US" w:bidi="en-US"/>
    </w:rPr>
  </w:style>
  <w:style w:type="character" w:customStyle="1" w:styleId="55">
    <w:name w:val="表格标题 (5)_"/>
    <w:basedOn w:val="a0"/>
    <w:semiHidden/>
    <w:qFormat/>
    <w:rPr>
      <w:rFonts w:ascii="宋体" w:eastAsia="宋体" w:hAnsi="宋体" w:cs="宋体"/>
      <w:b/>
      <w:bCs/>
      <w:spacing w:val="-10"/>
      <w:sz w:val="18"/>
      <w:szCs w:val="18"/>
      <w:u w:val="none"/>
    </w:rPr>
  </w:style>
  <w:style w:type="character" w:customStyle="1" w:styleId="56">
    <w:name w:val="表格标题 (5)"/>
    <w:basedOn w:val="55"/>
    <w:semiHidden/>
    <w:qFormat/>
    <w:rPr>
      <w:rFonts w:ascii="宋体" w:eastAsia="宋体" w:hAnsi="宋体" w:cs="宋体"/>
      <w:b/>
      <w:bCs/>
      <w:color w:val="000000"/>
      <w:spacing w:val="-10"/>
      <w:w w:val="100"/>
      <w:position w:val="0"/>
      <w:sz w:val="18"/>
      <w:szCs w:val="18"/>
      <w:u w:val="none"/>
      <w:lang w:val="zh-TW" w:eastAsia="zh-TW" w:bidi="zh-TW"/>
    </w:rPr>
  </w:style>
  <w:style w:type="character" w:customStyle="1" w:styleId="513pt">
    <w:name w:val="正文文本 (5) + 13 pt"/>
    <w:basedOn w:val="53"/>
    <w:semiHidden/>
    <w:qFormat/>
    <w:rPr>
      <w:rFonts w:ascii="宋体" w:eastAsia="宋体" w:hAnsi="宋体" w:cs="宋体"/>
      <w:b/>
      <w:bCs/>
      <w:color w:val="000000"/>
      <w:spacing w:val="0"/>
      <w:w w:val="100"/>
      <w:position w:val="0"/>
      <w:sz w:val="26"/>
      <w:szCs w:val="26"/>
      <w:u w:val="none"/>
      <w:lang w:val="en-US" w:eastAsia="en-US" w:bidi="en-US"/>
    </w:rPr>
  </w:style>
  <w:style w:type="character" w:customStyle="1" w:styleId="21pt">
    <w:name w:val="正文文本 (2) + 间距 1 pt"/>
    <w:basedOn w:val="28"/>
    <w:semiHidden/>
    <w:qFormat/>
    <w:rPr>
      <w:rFonts w:ascii="宋体" w:eastAsia="宋体" w:hAnsi="宋体" w:cs="宋体"/>
      <w:color w:val="000000"/>
      <w:spacing w:val="30"/>
      <w:w w:val="100"/>
      <w:position w:val="0"/>
      <w:sz w:val="22"/>
      <w:szCs w:val="22"/>
      <w:u w:val="none"/>
      <w:shd w:val="clear" w:color="auto" w:fill="FFFFFF"/>
      <w:lang w:val="zh-TW" w:eastAsia="zh-TW" w:bidi="zh-TW"/>
    </w:rPr>
  </w:style>
  <w:style w:type="character" w:customStyle="1" w:styleId="20pt">
    <w:name w:val="标题 #2 + 间距 0 pt"/>
    <w:basedOn w:val="2a"/>
    <w:semiHidden/>
    <w:qFormat/>
    <w:rPr>
      <w:rFonts w:ascii="宋体" w:eastAsia="宋体" w:hAnsi="宋体" w:cs="宋体"/>
      <w:color w:val="000000"/>
      <w:spacing w:val="-10"/>
      <w:w w:val="100"/>
      <w:position w:val="0"/>
      <w:sz w:val="28"/>
      <w:szCs w:val="28"/>
      <w:shd w:val="clear" w:color="auto" w:fill="FFFFFF"/>
      <w:lang w:val="zh-TW" w:eastAsia="zh-TW" w:bidi="zh-TW"/>
    </w:rPr>
  </w:style>
  <w:style w:type="character" w:customStyle="1" w:styleId="131">
    <w:name w:val="标题 #1 (3)_"/>
    <w:basedOn w:val="a0"/>
    <w:link w:val="132"/>
    <w:semiHidden/>
    <w:qFormat/>
    <w:rsid w:val="008C1C67"/>
    <w:rPr>
      <w:rFonts w:ascii="宋体" w:hAnsi="宋体" w:cs="宋体"/>
      <w:spacing w:val="-10"/>
      <w:sz w:val="28"/>
      <w:szCs w:val="28"/>
      <w:shd w:val="clear" w:color="auto" w:fill="FFFFFF"/>
    </w:rPr>
  </w:style>
  <w:style w:type="paragraph" w:customStyle="1" w:styleId="132">
    <w:name w:val="标题 #1 (3)"/>
    <w:basedOn w:val="a"/>
    <w:link w:val="131"/>
    <w:semiHidden/>
    <w:qFormat/>
    <w:pPr>
      <w:shd w:val="clear" w:color="auto" w:fill="FFFFFF"/>
      <w:spacing w:after="660" w:line="0" w:lineRule="atLeast"/>
      <w:jc w:val="center"/>
      <w:outlineLvl w:val="0"/>
    </w:pPr>
    <w:rPr>
      <w:spacing w:val="-10"/>
      <w:sz w:val="28"/>
      <w:szCs w:val="28"/>
    </w:rPr>
  </w:style>
  <w:style w:type="character" w:customStyle="1" w:styleId="131pt">
    <w:name w:val="标题 #1 (3) + 间距 1 pt"/>
    <w:basedOn w:val="131"/>
    <w:semiHidden/>
    <w:qFormat/>
    <w:rPr>
      <w:rFonts w:ascii="宋体" w:eastAsia="宋体" w:hAnsi="宋体" w:cs="宋体"/>
      <w:color w:val="000000"/>
      <w:spacing w:val="30"/>
      <w:w w:val="100"/>
      <w:position w:val="0"/>
      <w:sz w:val="28"/>
      <w:szCs w:val="28"/>
      <w:shd w:val="clear" w:color="auto" w:fill="FFFFFF"/>
      <w:lang w:val="zh-TW" w:eastAsia="zh-TW" w:bidi="zh-TW"/>
    </w:rPr>
  </w:style>
  <w:style w:type="character" w:customStyle="1" w:styleId="131pt0">
    <w:name w:val="正文文本 (13) + 间距 1 pt"/>
    <w:basedOn w:val="130"/>
    <w:semiHidden/>
    <w:qFormat/>
    <w:rPr>
      <w:rFonts w:ascii="宋体" w:eastAsia="宋体" w:hAnsi="宋体" w:cs="宋体"/>
      <w:b/>
      <w:bCs/>
      <w:color w:val="000000"/>
      <w:spacing w:val="20"/>
      <w:w w:val="100"/>
      <w:position w:val="0"/>
      <w:sz w:val="24"/>
      <w:szCs w:val="24"/>
      <w:u w:val="none"/>
      <w:lang w:val="zh-TW" w:eastAsia="zh-TW" w:bidi="zh-TW"/>
    </w:rPr>
  </w:style>
  <w:style w:type="character" w:customStyle="1" w:styleId="13Exact">
    <w:name w:val="正文文本 (13) Exact"/>
    <w:basedOn w:val="a0"/>
    <w:semiHidden/>
    <w:qFormat/>
    <w:rPr>
      <w:rFonts w:ascii="宋体" w:eastAsia="宋体" w:hAnsi="宋体" w:cs="宋体"/>
      <w:b/>
      <w:bCs/>
      <w:u w:val="none"/>
    </w:rPr>
  </w:style>
  <w:style w:type="character" w:customStyle="1" w:styleId="3Exact">
    <w:name w:val="标题 #3 Exact"/>
    <w:basedOn w:val="a0"/>
    <w:semiHidden/>
    <w:qFormat/>
    <w:rPr>
      <w:rFonts w:ascii="宋体" w:eastAsia="宋体" w:hAnsi="宋体" w:cs="宋体"/>
      <w:b/>
      <w:bCs/>
      <w:u w:val="none"/>
    </w:rPr>
  </w:style>
  <w:style w:type="character" w:customStyle="1" w:styleId="4Exact0">
    <w:name w:val="表格标题 (4) Exact"/>
    <w:basedOn w:val="a0"/>
    <w:semiHidden/>
    <w:qFormat/>
    <w:rPr>
      <w:rFonts w:ascii="宋体" w:eastAsia="宋体" w:hAnsi="宋体" w:cs="宋体"/>
      <w:sz w:val="20"/>
      <w:szCs w:val="20"/>
      <w:u w:val="none"/>
    </w:rPr>
  </w:style>
  <w:style w:type="character" w:customStyle="1" w:styleId="160">
    <w:name w:val="正文文本 (16)_"/>
    <w:basedOn w:val="a0"/>
    <w:link w:val="161"/>
    <w:semiHidden/>
    <w:qFormat/>
    <w:rsid w:val="008C1C67"/>
    <w:rPr>
      <w:rFonts w:ascii="宋体" w:hAnsi="宋体" w:cs="宋体"/>
      <w:sz w:val="15"/>
      <w:szCs w:val="15"/>
      <w:shd w:val="clear" w:color="auto" w:fill="FFFFFF"/>
    </w:rPr>
  </w:style>
  <w:style w:type="paragraph" w:customStyle="1" w:styleId="161">
    <w:name w:val="正文文本 (16)"/>
    <w:basedOn w:val="a"/>
    <w:link w:val="160"/>
    <w:semiHidden/>
    <w:qFormat/>
    <w:pPr>
      <w:shd w:val="clear" w:color="auto" w:fill="FFFFFF"/>
      <w:spacing w:line="0" w:lineRule="atLeast"/>
    </w:pPr>
    <w:rPr>
      <w:sz w:val="15"/>
      <w:szCs w:val="15"/>
    </w:rPr>
  </w:style>
  <w:style w:type="character" w:customStyle="1" w:styleId="138pt">
    <w:name w:val="正文文本 (13) + 间距 8 pt"/>
    <w:basedOn w:val="130"/>
    <w:semiHidden/>
    <w:qFormat/>
    <w:rPr>
      <w:rFonts w:ascii="宋体" w:eastAsia="宋体" w:hAnsi="宋体" w:cs="宋体"/>
      <w:b/>
      <w:bCs/>
      <w:color w:val="000000"/>
      <w:spacing w:val="160"/>
      <w:w w:val="100"/>
      <w:position w:val="0"/>
      <w:sz w:val="24"/>
      <w:szCs w:val="24"/>
      <w:u w:val="none"/>
      <w:lang w:val="zh-TW" w:eastAsia="zh-TW" w:bidi="zh-TW"/>
    </w:rPr>
  </w:style>
  <w:style w:type="character" w:customStyle="1" w:styleId="64">
    <w:name w:val="表格标题 (6)_"/>
    <w:basedOn w:val="a0"/>
    <w:link w:val="65"/>
    <w:semiHidden/>
    <w:qFormat/>
    <w:rsid w:val="008C1C67"/>
    <w:rPr>
      <w:rFonts w:ascii="宋体" w:hAnsi="宋体" w:cs="宋体"/>
      <w:sz w:val="28"/>
      <w:szCs w:val="28"/>
      <w:shd w:val="clear" w:color="auto" w:fill="FFFFFF"/>
    </w:rPr>
  </w:style>
  <w:style w:type="paragraph" w:customStyle="1" w:styleId="65">
    <w:name w:val="表格标题 (6)"/>
    <w:basedOn w:val="a"/>
    <w:link w:val="64"/>
    <w:semiHidden/>
    <w:qFormat/>
    <w:pPr>
      <w:shd w:val="clear" w:color="auto" w:fill="FFFFFF"/>
      <w:spacing w:line="408" w:lineRule="exact"/>
      <w:jc w:val="right"/>
    </w:pPr>
    <w:rPr>
      <w:sz w:val="28"/>
      <w:szCs w:val="28"/>
    </w:rPr>
  </w:style>
  <w:style w:type="character" w:customStyle="1" w:styleId="170">
    <w:name w:val="正文文本 (17)_"/>
    <w:basedOn w:val="a0"/>
    <w:link w:val="171"/>
    <w:semiHidden/>
    <w:qFormat/>
    <w:rsid w:val="008C1C67"/>
    <w:rPr>
      <w:rFonts w:ascii="宋体" w:hAnsi="宋体" w:cs="宋体"/>
      <w:spacing w:val="10"/>
      <w:sz w:val="19"/>
      <w:szCs w:val="19"/>
      <w:shd w:val="clear" w:color="auto" w:fill="FFFFFF"/>
      <w:lang w:eastAsia="en-US" w:bidi="en-US"/>
    </w:rPr>
  </w:style>
  <w:style w:type="paragraph" w:customStyle="1" w:styleId="171">
    <w:name w:val="正文文本 (17)"/>
    <w:basedOn w:val="a"/>
    <w:link w:val="170"/>
    <w:semiHidden/>
    <w:qFormat/>
    <w:pPr>
      <w:shd w:val="clear" w:color="auto" w:fill="FFFFFF"/>
      <w:spacing w:line="408" w:lineRule="exact"/>
      <w:ind w:firstLine="560"/>
    </w:pPr>
    <w:rPr>
      <w:spacing w:val="10"/>
      <w:sz w:val="19"/>
      <w:szCs w:val="19"/>
      <w:lang w:eastAsia="en-US" w:bidi="en-US"/>
    </w:rPr>
  </w:style>
  <w:style w:type="character" w:customStyle="1" w:styleId="3115pt">
    <w:name w:val="表格标题 (3) + 11.5 pt"/>
    <w:basedOn w:val="3b"/>
    <w:semiHidden/>
    <w:qFormat/>
    <w:rPr>
      <w:rFonts w:ascii="宋体" w:eastAsia="宋体" w:hAnsi="宋体" w:cs="宋体"/>
      <w:color w:val="000000"/>
      <w:spacing w:val="0"/>
      <w:w w:val="100"/>
      <w:position w:val="0"/>
      <w:sz w:val="23"/>
      <w:szCs w:val="23"/>
      <w:shd w:val="clear" w:color="auto" w:fill="FFFFFF"/>
      <w:lang w:val="en-US" w:eastAsia="en-US" w:bidi="en-US"/>
    </w:rPr>
  </w:style>
  <w:style w:type="character" w:customStyle="1" w:styleId="31pt">
    <w:name w:val="标题 #3 + 间距 1 pt"/>
    <w:basedOn w:val="39"/>
    <w:semiHidden/>
    <w:qFormat/>
    <w:rPr>
      <w:rFonts w:ascii="宋体" w:eastAsia="宋体" w:hAnsi="宋体" w:cs="宋体"/>
      <w:b/>
      <w:bCs/>
      <w:color w:val="000000"/>
      <w:spacing w:val="30"/>
      <w:w w:val="100"/>
      <w:position w:val="0"/>
      <w:sz w:val="24"/>
      <w:szCs w:val="24"/>
      <w:shd w:val="clear" w:color="auto" w:fill="FFFFFF"/>
      <w:lang w:val="zh-TW" w:eastAsia="zh-TW" w:bidi="zh-TW"/>
    </w:rPr>
  </w:style>
  <w:style w:type="character" w:customStyle="1" w:styleId="102">
    <w:name w:val="正文文本 (10)"/>
    <w:basedOn w:val="101"/>
    <w:semiHidden/>
    <w:qFormat/>
    <w:rPr>
      <w:rFonts w:ascii="宋体" w:eastAsia="宋体" w:hAnsi="宋体" w:cs="宋体"/>
      <w:b/>
      <w:bCs/>
      <w:color w:val="000000"/>
      <w:spacing w:val="10"/>
      <w:w w:val="100"/>
      <w:position w:val="0"/>
      <w:sz w:val="22"/>
      <w:szCs w:val="22"/>
      <w:u w:val="none"/>
      <w:lang w:val="zh-TW" w:eastAsia="zh-TW" w:bidi="zh-TW"/>
    </w:rPr>
  </w:style>
  <w:style w:type="character" w:customStyle="1" w:styleId="51pt">
    <w:name w:val="正文文本 (5) + 间距 1 pt"/>
    <w:basedOn w:val="53"/>
    <w:semiHidden/>
    <w:qFormat/>
    <w:rPr>
      <w:rFonts w:ascii="宋体" w:eastAsia="宋体" w:hAnsi="宋体" w:cs="宋体"/>
      <w:color w:val="000000"/>
      <w:spacing w:val="30"/>
      <w:w w:val="100"/>
      <w:position w:val="0"/>
      <w:sz w:val="20"/>
      <w:szCs w:val="20"/>
      <w:u w:val="none"/>
      <w:lang w:val="zh-TW" w:eastAsia="zh-TW" w:bidi="zh-TW"/>
    </w:rPr>
  </w:style>
  <w:style w:type="character" w:customStyle="1" w:styleId="57">
    <w:name w:val="正文文本 (5)"/>
    <w:basedOn w:val="53"/>
    <w:semiHidden/>
    <w:qFormat/>
    <w:rPr>
      <w:rFonts w:ascii="宋体" w:eastAsia="宋体" w:hAnsi="宋体" w:cs="宋体"/>
      <w:color w:val="000000"/>
      <w:spacing w:val="0"/>
      <w:w w:val="100"/>
      <w:position w:val="0"/>
      <w:sz w:val="20"/>
      <w:szCs w:val="20"/>
      <w:u w:val="single"/>
      <w:lang w:val="zh-TW" w:eastAsia="zh-TW" w:bidi="zh-TW"/>
    </w:rPr>
  </w:style>
  <w:style w:type="character" w:customStyle="1" w:styleId="60pt">
    <w:name w:val="表格标题 (6) + 间距 0 pt"/>
    <w:basedOn w:val="64"/>
    <w:semiHidden/>
    <w:qFormat/>
    <w:rPr>
      <w:rFonts w:ascii="宋体" w:eastAsia="宋体" w:hAnsi="宋体" w:cs="宋体"/>
      <w:color w:val="000000"/>
      <w:spacing w:val="-10"/>
      <w:w w:val="100"/>
      <w:position w:val="0"/>
      <w:sz w:val="28"/>
      <w:szCs w:val="28"/>
      <w:shd w:val="clear" w:color="auto" w:fill="FFFFFF"/>
      <w:lang w:val="zh-TW" w:eastAsia="zh-TW" w:bidi="zh-TW"/>
    </w:rPr>
  </w:style>
  <w:style w:type="character" w:customStyle="1" w:styleId="4Exact1">
    <w:name w:val="图片标题 (4) Exact"/>
    <w:basedOn w:val="a0"/>
    <w:semiHidden/>
    <w:qFormat/>
    <w:rPr>
      <w:rFonts w:ascii="宋体" w:eastAsia="宋体" w:hAnsi="宋体" w:cs="宋体"/>
      <w:b/>
      <w:bCs/>
      <w:u w:val="none"/>
    </w:rPr>
  </w:style>
  <w:style w:type="character" w:customStyle="1" w:styleId="4PalatinoLinotypeExact">
    <w:name w:val="图片标题 (4) + Palatino Linotype Exact"/>
    <w:basedOn w:val="47"/>
    <w:semiHidden/>
    <w:qFormat/>
    <w:rPr>
      <w:rFonts w:ascii="Palatino Linotype" w:eastAsia="Palatino Linotype" w:hAnsi="Palatino Linotype" w:cs="Palatino Linotype"/>
      <w:b/>
      <w:bCs/>
      <w:color w:val="000000"/>
      <w:spacing w:val="0"/>
      <w:w w:val="100"/>
      <w:position w:val="0"/>
      <w:sz w:val="24"/>
      <w:szCs w:val="24"/>
      <w:shd w:val="clear" w:color="auto" w:fill="FFFFFF"/>
      <w:lang w:val="en-US" w:eastAsia="en-US" w:bidi="en-US"/>
    </w:rPr>
  </w:style>
  <w:style w:type="character" w:customStyle="1" w:styleId="18Exact">
    <w:name w:val="正文文本 (18) Exact"/>
    <w:basedOn w:val="a0"/>
    <w:link w:val="180"/>
    <w:semiHidden/>
    <w:qFormat/>
    <w:rsid w:val="008C1C67"/>
    <w:rPr>
      <w:rFonts w:ascii="宋体" w:hAnsi="宋体" w:cs="宋体"/>
      <w:spacing w:val="-50"/>
      <w:w w:val="150"/>
      <w:sz w:val="36"/>
      <w:szCs w:val="36"/>
      <w:shd w:val="clear" w:color="auto" w:fill="FFFFFF"/>
    </w:rPr>
  </w:style>
  <w:style w:type="paragraph" w:customStyle="1" w:styleId="180">
    <w:name w:val="正文文本 (18)"/>
    <w:basedOn w:val="a"/>
    <w:link w:val="18Exact"/>
    <w:semiHidden/>
    <w:qFormat/>
    <w:pPr>
      <w:shd w:val="clear" w:color="auto" w:fill="FFFFFF"/>
      <w:spacing w:after="120" w:line="0" w:lineRule="atLeast"/>
    </w:pPr>
    <w:rPr>
      <w:spacing w:val="-50"/>
      <w:w w:val="150"/>
      <w:sz w:val="36"/>
      <w:szCs w:val="36"/>
    </w:rPr>
  </w:style>
  <w:style w:type="character" w:customStyle="1" w:styleId="1f6">
    <w:name w:val="标题 #1"/>
    <w:basedOn w:val="1f5"/>
    <w:semiHidden/>
    <w:qFormat/>
    <w:rPr>
      <w:rFonts w:ascii="宋体" w:eastAsia="宋体" w:hAnsi="宋体" w:cs="宋体"/>
      <w:color w:val="000000"/>
      <w:spacing w:val="0"/>
      <w:w w:val="100"/>
      <w:position w:val="0"/>
      <w:sz w:val="32"/>
      <w:szCs w:val="32"/>
      <w:u w:val="none"/>
      <w:lang w:val="zh-TW" w:eastAsia="zh-TW" w:bidi="zh-TW"/>
    </w:rPr>
  </w:style>
  <w:style w:type="character" w:customStyle="1" w:styleId="133">
    <w:name w:val="正文文本 (13)"/>
    <w:basedOn w:val="130"/>
    <w:semiHidden/>
    <w:qFormat/>
    <w:rPr>
      <w:rFonts w:ascii="宋体" w:eastAsia="宋体" w:hAnsi="宋体" w:cs="宋体"/>
      <w:b/>
      <w:bCs/>
      <w:color w:val="000000"/>
      <w:spacing w:val="0"/>
      <w:w w:val="100"/>
      <w:position w:val="0"/>
      <w:sz w:val="24"/>
      <w:szCs w:val="24"/>
      <w:u w:val="none"/>
      <w:lang w:val="zh-TW" w:eastAsia="zh-TW" w:bidi="zh-TW"/>
    </w:rPr>
  </w:style>
  <w:style w:type="character" w:customStyle="1" w:styleId="190">
    <w:name w:val="正文文本 (19)_"/>
    <w:basedOn w:val="a0"/>
    <w:semiHidden/>
    <w:qFormat/>
    <w:rPr>
      <w:rFonts w:ascii="宋体" w:eastAsia="宋体" w:hAnsi="宋体" w:cs="宋体"/>
      <w:i/>
      <w:iCs/>
      <w:sz w:val="62"/>
      <w:szCs w:val="62"/>
      <w:u w:val="none"/>
    </w:rPr>
  </w:style>
  <w:style w:type="character" w:customStyle="1" w:styleId="191">
    <w:name w:val="正文文本 (19)"/>
    <w:basedOn w:val="190"/>
    <w:semiHidden/>
    <w:qFormat/>
    <w:rPr>
      <w:rFonts w:ascii="宋体" w:eastAsia="宋体" w:hAnsi="宋体" w:cs="宋体"/>
      <w:i/>
      <w:iCs/>
      <w:color w:val="000000"/>
      <w:spacing w:val="0"/>
      <w:w w:val="100"/>
      <w:position w:val="0"/>
      <w:sz w:val="62"/>
      <w:szCs w:val="62"/>
      <w:u w:val="none"/>
      <w:lang w:val="zh-TW" w:eastAsia="zh-TW" w:bidi="zh-TW"/>
    </w:rPr>
  </w:style>
  <w:style w:type="character" w:customStyle="1" w:styleId="220">
    <w:name w:val="标题 #2 (2)_"/>
    <w:basedOn w:val="a0"/>
    <w:semiHidden/>
    <w:qFormat/>
    <w:rPr>
      <w:rFonts w:ascii="宋体" w:eastAsia="宋体" w:hAnsi="宋体" w:cs="宋体"/>
      <w:sz w:val="32"/>
      <w:szCs w:val="32"/>
      <w:u w:val="none"/>
    </w:rPr>
  </w:style>
  <w:style w:type="character" w:customStyle="1" w:styleId="221">
    <w:name w:val="标题 #2 (2)"/>
    <w:basedOn w:val="220"/>
    <w:semiHidden/>
    <w:qFormat/>
    <w:rPr>
      <w:rFonts w:ascii="宋体" w:eastAsia="宋体" w:hAnsi="宋体" w:cs="宋体"/>
      <w:color w:val="000000"/>
      <w:spacing w:val="0"/>
      <w:w w:val="100"/>
      <w:position w:val="0"/>
      <w:sz w:val="32"/>
      <w:szCs w:val="32"/>
      <w:u w:val="none"/>
      <w:lang w:val="zh-TW" w:eastAsia="zh-TW" w:bidi="zh-TW"/>
    </w:rPr>
  </w:style>
  <w:style w:type="character" w:customStyle="1" w:styleId="13PalatinoLinotype">
    <w:name w:val="正文文本 (13) + Palatino Linotype"/>
    <w:basedOn w:val="130"/>
    <w:semiHidden/>
    <w:qFormat/>
    <w:rPr>
      <w:rFonts w:ascii="Palatino Linotype" w:eastAsia="Palatino Linotype" w:hAnsi="Palatino Linotype" w:cs="Palatino Linotype"/>
      <w:b/>
      <w:bCs/>
      <w:color w:val="000000"/>
      <w:spacing w:val="0"/>
      <w:w w:val="100"/>
      <w:position w:val="0"/>
      <w:sz w:val="24"/>
      <w:szCs w:val="24"/>
      <w:u w:val="none"/>
      <w:lang w:val="en-US" w:eastAsia="en-US" w:bidi="en-US"/>
    </w:rPr>
  </w:style>
  <w:style w:type="character" w:customStyle="1" w:styleId="90pt">
    <w:name w:val="正文文本 (9) + 间距 0 pt"/>
    <w:basedOn w:val="93"/>
    <w:semiHidden/>
    <w:qFormat/>
    <w:rPr>
      <w:rFonts w:ascii="宋体" w:eastAsia="宋体" w:hAnsi="宋体" w:cs="宋体"/>
      <w:color w:val="000000"/>
      <w:spacing w:val="-10"/>
      <w:w w:val="100"/>
      <w:position w:val="0"/>
      <w:sz w:val="28"/>
      <w:szCs w:val="28"/>
      <w:shd w:val="clear" w:color="auto" w:fill="FFFFFF"/>
      <w:lang w:val="zh-TW" w:eastAsia="zh-TW" w:bidi="zh-TW"/>
    </w:rPr>
  </w:style>
  <w:style w:type="paragraph" w:customStyle="1" w:styleId="114">
    <w:name w:val="修订11"/>
    <w:hidden/>
    <w:uiPriority w:val="71"/>
    <w:qFormat/>
    <w:rPr>
      <w:rFonts w:asciiTheme="minorHAnsi" w:eastAsiaTheme="minorEastAsia" w:hAnsiTheme="minorHAnsi" w:cstheme="minorBidi"/>
      <w:kern w:val="2"/>
      <w:sz w:val="21"/>
      <w:szCs w:val="22"/>
    </w:rPr>
  </w:style>
  <w:style w:type="character" w:customStyle="1" w:styleId="Charf0">
    <w:name w:val="正文格式 Char"/>
    <w:link w:val="affa"/>
    <w:semiHidden/>
    <w:qFormat/>
    <w:rsid w:val="008C1C67"/>
    <w:rPr>
      <w:rFonts w:ascii="宋体" w:hAnsi="宋体" w:cs="宋体"/>
      <w:sz w:val="24"/>
      <w:szCs w:val="24"/>
    </w:rPr>
  </w:style>
  <w:style w:type="paragraph" w:customStyle="1" w:styleId="affa">
    <w:name w:val="正文格式"/>
    <w:basedOn w:val="a"/>
    <w:link w:val="Charf0"/>
    <w:semiHidden/>
    <w:qFormat/>
    <w:pPr>
      <w:adjustRightInd w:val="0"/>
      <w:spacing w:beforeLines="30" w:afterLines="30" w:line="360" w:lineRule="auto"/>
      <w:ind w:firstLineChars="200" w:firstLine="480"/>
      <w:textAlignment w:val="baseline"/>
    </w:pPr>
  </w:style>
  <w:style w:type="character" w:styleId="affb">
    <w:name w:val="Placeholder Text"/>
    <w:basedOn w:val="a0"/>
    <w:uiPriority w:val="99"/>
    <w:semiHidden/>
    <w:qFormat/>
    <w:rPr>
      <w:color w:val="808080"/>
    </w:rPr>
  </w:style>
  <w:style w:type="paragraph" w:styleId="affc">
    <w:name w:val="No Spacing"/>
    <w:basedOn w:val="a"/>
    <w:link w:val="Charf1"/>
    <w:uiPriority w:val="1"/>
    <w:semiHidden/>
    <w:qFormat/>
    <w:rPr>
      <w:rFonts w:ascii="Calibri" w:hAnsi="Calibri" w:cs="Times New Roman"/>
    </w:rPr>
  </w:style>
  <w:style w:type="character" w:customStyle="1" w:styleId="Charf1">
    <w:name w:val="无间隔 Char"/>
    <w:basedOn w:val="a0"/>
    <w:link w:val="affc"/>
    <w:uiPriority w:val="1"/>
    <w:semiHidden/>
    <w:qFormat/>
    <w:rsid w:val="008C1C67"/>
    <w:rPr>
      <w:rFonts w:ascii="Calibri" w:hAnsi="Calibri"/>
      <w:sz w:val="24"/>
      <w:szCs w:val="24"/>
    </w:rPr>
  </w:style>
  <w:style w:type="paragraph" w:styleId="affd">
    <w:name w:val="Quote"/>
    <w:basedOn w:val="a"/>
    <w:next w:val="a"/>
    <w:link w:val="Charf2"/>
    <w:uiPriority w:val="29"/>
    <w:semiHidden/>
    <w:qFormat/>
    <w:rPr>
      <w:rFonts w:ascii="Calibri" w:hAnsi="Calibri" w:cs="Times New Roman"/>
      <w:i/>
    </w:rPr>
  </w:style>
  <w:style w:type="character" w:customStyle="1" w:styleId="Charf2">
    <w:name w:val="引用 Char"/>
    <w:basedOn w:val="a0"/>
    <w:link w:val="affd"/>
    <w:uiPriority w:val="29"/>
    <w:semiHidden/>
    <w:qFormat/>
    <w:rsid w:val="008C1C67"/>
    <w:rPr>
      <w:rFonts w:ascii="Calibri" w:hAnsi="Calibri"/>
      <w:i/>
      <w:sz w:val="24"/>
      <w:szCs w:val="24"/>
    </w:rPr>
  </w:style>
  <w:style w:type="paragraph" w:styleId="affe">
    <w:name w:val="Intense Quote"/>
    <w:basedOn w:val="a"/>
    <w:next w:val="a"/>
    <w:link w:val="Charf3"/>
    <w:uiPriority w:val="30"/>
    <w:semiHidden/>
    <w:qFormat/>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rFonts w:ascii="Calibri" w:hAnsi="Calibri" w:cs="Times New Roman"/>
      <w:b/>
      <w:i/>
      <w:color w:val="FFFFFF" w:themeColor="background1"/>
    </w:rPr>
  </w:style>
  <w:style w:type="character" w:customStyle="1" w:styleId="Charf3">
    <w:name w:val="明显引用 Char"/>
    <w:basedOn w:val="a0"/>
    <w:link w:val="affe"/>
    <w:uiPriority w:val="30"/>
    <w:semiHidden/>
    <w:qFormat/>
    <w:rsid w:val="008C1C67"/>
    <w:rPr>
      <w:rFonts w:ascii="Calibri" w:hAnsi="Calibri"/>
      <w:b/>
      <w:i/>
      <w:color w:val="FFFFFF" w:themeColor="background1"/>
      <w:sz w:val="24"/>
      <w:szCs w:val="24"/>
      <w:shd w:val="clear" w:color="auto" w:fill="C0504D" w:themeFill="accent2"/>
    </w:rPr>
  </w:style>
  <w:style w:type="character" w:customStyle="1" w:styleId="1f7">
    <w:name w:val="不明显强调1"/>
    <w:uiPriority w:val="19"/>
    <w:semiHidden/>
    <w:qFormat/>
    <w:rPr>
      <w:i/>
    </w:rPr>
  </w:style>
  <w:style w:type="character" w:customStyle="1" w:styleId="1f8">
    <w:name w:val="明显强调1"/>
    <w:uiPriority w:val="21"/>
    <w:semiHidden/>
    <w:qFormat/>
    <w:rPr>
      <w:b/>
      <w:i/>
      <w:color w:val="C0504D" w:themeColor="accent2"/>
      <w:spacing w:val="10"/>
    </w:rPr>
  </w:style>
  <w:style w:type="character" w:customStyle="1" w:styleId="1f9">
    <w:name w:val="不明显参考1"/>
    <w:uiPriority w:val="31"/>
    <w:semiHidden/>
    <w:qFormat/>
    <w:rPr>
      <w:b/>
    </w:rPr>
  </w:style>
  <w:style w:type="character" w:customStyle="1" w:styleId="1fa">
    <w:name w:val="明显参考1"/>
    <w:uiPriority w:val="32"/>
    <w:semiHidden/>
    <w:qFormat/>
    <w:rPr>
      <w:b/>
      <w:bCs/>
      <w:smallCaps/>
      <w:spacing w:val="5"/>
      <w:sz w:val="22"/>
      <w:szCs w:val="22"/>
      <w:u w:val="single"/>
    </w:rPr>
  </w:style>
  <w:style w:type="character" w:customStyle="1" w:styleId="1fb">
    <w:name w:val="书籍标题1"/>
    <w:uiPriority w:val="33"/>
    <w:semiHidden/>
    <w:qFormat/>
    <w:rPr>
      <w:rFonts w:asciiTheme="majorHAnsi" w:eastAsiaTheme="majorEastAsia" w:hAnsiTheme="majorHAnsi" w:cstheme="majorBidi"/>
      <w:i/>
      <w:iCs/>
      <w:sz w:val="20"/>
      <w:szCs w:val="20"/>
    </w:rPr>
  </w:style>
  <w:style w:type="paragraph" w:customStyle="1" w:styleId="1fc">
    <w:name w:val="目录标题1"/>
    <w:basedOn w:val="1"/>
    <w:next w:val="a"/>
    <w:uiPriority w:val="39"/>
    <w:semiHidden/>
    <w:qFormat/>
    <w:pPr>
      <w:keepNext w:val="0"/>
      <w:keepLines w:val="0"/>
      <w:spacing w:before="300" w:line="240" w:lineRule="auto"/>
      <w:jc w:val="left"/>
      <w:outlineLvl w:val="9"/>
    </w:pPr>
    <w:rPr>
      <w:rFonts w:ascii="Calibri" w:eastAsia="宋体" w:hAnsi="Calibri" w:cs="Times New Roman"/>
      <w:b w:val="0"/>
      <w:bCs w:val="0"/>
      <w:smallCaps/>
      <w:spacing w:val="5"/>
      <w:kern w:val="2"/>
      <w:sz w:val="32"/>
      <w:szCs w:val="32"/>
      <w:lang w:bidi="en-US"/>
    </w:rPr>
  </w:style>
  <w:style w:type="paragraph" w:customStyle="1" w:styleId="1fd">
    <w:name w:val="样式1"/>
    <w:basedOn w:val="1"/>
    <w:link w:val="1CharChar"/>
    <w:semiHidden/>
    <w:qFormat/>
    <w:pPr>
      <w:adjustRightInd w:val="0"/>
      <w:spacing w:before="240" w:after="240" w:line="440" w:lineRule="exact"/>
      <w:ind w:firstLineChars="200" w:firstLine="482"/>
      <w:textAlignment w:val="baseline"/>
    </w:pPr>
    <w:rPr>
      <w:rFonts w:hAnsi="黑体" w:cs="Times New Roman"/>
      <w:b w:val="0"/>
      <w:bCs w:val="0"/>
      <w:sz w:val="24"/>
    </w:rPr>
  </w:style>
  <w:style w:type="character" w:customStyle="1" w:styleId="1CharChar">
    <w:name w:val="样式1 Char Char"/>
    <w:link w:val="1fd"/>
    <w:semiHidden/>
    <w:qFormat/>
    <w:rsid w:val="008C1C67"/>
    <w:rPr>
      <w:rFonts w:ascii="宋体" w:eastAsia="黑体" w:hAnsi="黑体"/>
      <w:kern w:val="44"/>
      <w:sz w:val="24"/>
      <w:szCs w:val="44"/>
    </w:rPr>
  </w:style>
  <w:style w:type="paragraph" w:customStyle="1" w:styleId="2f0">
    <w:name w:val="样式2"/>
    <w:basedOn w:val="20"/>
    <w:link w:val="2CharChar"/>
    <w:semiHidden/>
    <w:qFormat/>
    <w:pPr>
      <w:adjustRightInd w:val="0"/>
      <w:spacing w:before="240" w:after="240" w:line="440" w:lineRule="exact"/>
      <w:ind w:firstLineChars="200" w:firstLine="482"/>
      <w:textAlignment w:val="baseline"/>
    </w:pPr>
    <w:rPr>
      <w:rFonts w:ascii="Cambria" w:eastAsia="宋体" w:hAnsi="Cambria" w:cs="Times New Roman"/>
      <w:b w:val="0"/>
      <w:sz w:val="24"/>
      <w:szCs w:val="24"/>
    </w:rPr>
  </w:style>
  <w:style w:type="character" w:customStyle="1" w:styleId="2CharChar">
    <w:name w:val="样式2 Char Char"/>
    <w:link w:val="2f0"/>
    <w:semiHidden/>
    <w:qFormat/>
    <w:rsid w:val="008C1C67"/>
    <w:rPr>
      <w:rFonts w:ascii="Cambria" w:hAnsi="Cambria"/>
      <w:bCs/>
      <w:sz w:val="24"/>
      <w:szCs w:val="24"/>
    </w:rPr>
  </w:style>
  <w:style w:type="paragraph" w:customStyle="1" w:styleId="3f">
    <w:name w:val="样式3"/>
    <w:basedOn w:val="30"/>
    <w:link w:val="3CharChar"/>
    <w:semiHidden/>
    <w:qFormat/>
    <w:pPr>
      <w:adjustRightInd w:val="0"/>
      <w:spacing w:before="240" w:after="240" w:line="440" w:lineRule="exact"/>
      <w:ind w:firstLineChars="200" w:firstLine="482"/>
      <w:textAlignment w:val="baseline"/>
    </w:pPr>
    <w:rPr>
      <w:rFonts w:ascii="Times New Roman" w:hAnsi="Times New Roman" w:cs="Times New Roman"/>
      <w:b w:val="0"/>
      <w:color w:val="000000"/>
      <w:sz w:val="24"/>
    </w:rPr>
  </w:style>
  <w:style w:type="character" w:customStyle="1" w:styleId="3CharChar">
    <w:name w:val="样式3 Char Char"/>
    <w:link w:val="3f"/>
    <w:semiHidden/>
    <w:qFormat/>
    <w:rsid w:val="008C1C67"/>
    <w:rPr>
      <w:bCs/>
      <w:color w:val="000000"/>
      <w:sz w:val="24"/>
      <w:szCs w:val="32"/>
    </w:rPr>
  </w:style>
  <w:style w:type="paragraph" w:customStyle="1" w:styleId="-51">
    <w:name w:val="浅色列表 - 强调文字颜色 51"/>
    <w:basedOn w:val="a"/>
    <w:uiPriority w:val="34"/>
    <w:semiHidden/>
    <w:qFormat/>
    <w:pPr>
      <w:ind w:firstLineChars="200" w:firstLine="420"/>
    </w:pPr>
    <w:rPr>
      <w:rFonts w:ascii="Calibri" w:hAnsi="Calibri" w:cs="Times New Roman"/>
    </w:rPr>
  </w:style>
  <w:style w:type="paragraph" w:customStyle="1" w:styleId="1fe">
    <w:name w:val="大标题1"/>
    <w:basedOn w:val="a"/>
    <w:uiPriority w:val="99"/>
    <w:semiHidden/>
    <w:qFormat/>
    <w:pPr>
      <w:spacing w:line="360" w:lineRule="auto"/>
      <w:jc w:val="center"/>
    </w:pPr>
    <w:rPr>
      <w:rFonts w:ascii="黑体" w:eastAsia="黑体" w:hAnsi="黑体" w:cs="Times New Roman"/>
      <w:b/>
      <w:sz w:val="28"/>
      <w:szCs w:val="28"/>
    </w:rPr>
  </w:style>
  <w:style w:type="paragraph" w:customStyle="1" w:styleId="afff">
    <w:name w:val="正文标题一"/>
    <w:basedOn w:val="a"/>
    <w:uiPriority w:val="99"/>
    <w:semiHidden/>
    <w:qFormat/>
    <w:pPr>
      <w:spacing w:line="360" w:lineRule="auto"/>
      <w:ind w:firstLine="465"/>
    </w:pPr>
    <w:rPr>
      <w:rFonts w:ascii="Times New Roman" w:hAnsi="Times New Roman" w:cs="Times New Roman"/>
      <w:b/>
    </w:rPr>
  </w:style>
  <w:style w:type="paragraph" w:customStyle="1" w:styleId="afff0">
    <w:name w:val="正文标题（一）"/>
    <w:basedOn w:val="a"/>
    <w:uiPriority w:val="99"/>
    <w:semiHidden/>
    <w:qFormat/>
    <w:pPr>
      <w:spacing w:line="360" w:lineRule="auto"/>
      <w:ind w:firstLine="465"/>
    </w:pPr>
    <w:rPr>
      <w:rFonts w:ascii="Times New Roman" w:hAnsi="Times New Roman" w:cs="Times New Roman"/>
      <w:b/>
    </w:rPr>
  </w:style>
  <w:style w:type="paragraph" w:customStyle="1" w:styleId="afff1">
    <w:name w:val="附件"/>
    <w:basedOn w:val="afff"/>
    <w:uiPriority w:val="99"/>
    <w:semiHidden/>
    <w:qFormat/>
    <w:pPr>
      <w:ind w:firstLine="0"/>
    </w:pPr>
  </w:style>
  <w:style w:type="table" w:customStyle="1" w:styleId="134">
    <w:name w:val="网格型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网格型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
    <w:name w:val="Table Normal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
    <w:name w:val="网格型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网格型8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1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网格型9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网格型10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网格型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网格型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网格型1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
    <w:name w:val="Table Normal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0">
    <w:name w:val="网格型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网格型1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网格型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型11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网格型9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网格型10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网格型13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网格型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网格型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网格型1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网格型11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
    <w:name w:val="Table Normal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0">
    <w:name w:val="网格型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网格型1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网格型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网格型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5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网格型6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网格型7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网格型8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型11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网格型9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网格型10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网格型13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网格型14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网格型15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网格型16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
    <w:name w:val="Table Normal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0">
    <w:name w:val="网格型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网格型1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网格型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网格型8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网格型11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网格型10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网格型13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网格型14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
    <w:name w:val="未处理的提及1"/>
    <w:basedOn w:val="a0"/>
    <w:uiPriority w:val="99"/>
    <w:semiHidden/>
    <w:qFormat/>
    <w:rPr>
      <w:color w:val="605E5C"/>
      <w:shd w:val="clear" w:color="auto" w:fill="E1DFDD"/>
    </w:rPr>
  </w:style>
  <w:style w:type="paragraph" w:customStyle="1" w:styleId="ParaCharCharCharCharCharCharChar">
    <w:name w:val="默认段落字体 Para Char Char Char Char Char Char Char"/>
    <w:basedOn w:val="a"/>
    <w:uiPriority w:val="99"/>
    <w:semiHidden/>
    <w:qFormat/>
    <w:rPr>
      <w:rFonts w:ascii="Tahoma" w:hAnsi="Tahoma" w:cs="Times New Roman"/>
      <w:szCs w:val="20"/>
    </w:rPr>
  </w:style>
  <w:style w:type="paragraph" w:customStyle="1" w:styleId="CharCharCharCharCharCharChar">
    <w:name w:val="Char Char Char Char Char Char Char"/>
    <w:basedOn w:val="a"/>
    <w:uiPriority w:val="99"/>
    <w:semiHidden/>
    <w:qFormat/>
    <w:pPr>
      <w:spacing w:after="160" w:line="240" w:lineRule="exact"/>
    </w:pPr>
    <w:rPr>
      <w:rFonts w:ascii="Verdana" w:hAnsi="Verdana" w:cs="Times New Roman"/>
      <w:sz w:val="20"/>
      <w:szCs w:val="20"/>
      <w:lang w:eastAsia="en-US"/>
    </w:rPr>
  </w:style>
  <w:style w:type="paragraph" w:customStyle="1" w:styleId="Charf4">
    <w:name w:val="Char"/>
    <w:basedOn w:val="a"/>
    <w:uiPriority w:val="99"/>
    <w:semiHidden/>
    <w:qFormat/>
    <w:rPr>
      <w:rFonts w:ascii="Tahoma" w:hAnsi="Tahoma" w:cs="Times New Roman"/>
      <w:szCs w:val="20"/>
    </w:rPr>
  </w:style>
  <w:style w:type="paragraph" w:customStyle="1" w:styleId="ParaChar">
    <w:name w:val="默认段落字体 Para Char"/>
    <w:basedOn w:val="a"/>
    <w:uiPriority w:val="99"/>
    <w:semiHidden/>
    <w:qFormat/>
    <w:pPr>
      <w:tabs>
        <w:tab w:val="left" w:pos="360"/>
      </w:tabs>
      <w:spacing w:before="312" w:after="312" w:line="360" w:lineRule="auto"/>
    </w:pPr>
    <w:rPr>
      <w:rFonts w:ascii="Times New Roman" w:hAnsi="Times New Roman" w:cs="Times New Roman"/>
      <w:szCs w:val="20"/>
    </w:rPr>
  </w:style>
  <w:style w:type="character" w:customStyle="1" w:styleId="afff2">
    <w:name w:val="页脚 字符"/>
    <w:uiPriority w:val="99"/>
    <w:semiHidden/>
    <w:qFormat/>
    <w:rPr>
      <w:kern w:val="2"/>
      <w:sz w:val="18"/>
      <w:szCs w:val="18"/>
    </w:rPr>
  </w:style>
  <w:style w:type="paragraph" w:customStyle="1" w:styleId="1-21">
    <w:name w:val="中等深浅网格 1 - 强调文字颜色 21"/>
    <w:basedOn w:val="a"/>
    <w:uiPriority w:val="34"/>
    <w:semiHidden/>
    <w:qFormat/>
    <w:pPr>
      <w:ind w:firstLineChars="200" w:firstLine="420"/>
    </w:pPr>
    <w:rPr>
      <w:rFonts w:ascii="Cambria" w:hAnsi="Cambria" w:cs="Times New Roman"/>
    </w:rPr>
  </w:style>
  <w:style w:type="paragraph" w:customStyle="1" w:styleId="-312">
    <w:name w:val="深色列表 - 着色 31"/>
    <w:hidden/>
    <w:uiPriority w:val="71"/>
    <w:qFormat/>
    <w:rPr>
      <w:kern w:val="2"/>
      <w:sz w:val="21"/>
      <w:szCs w:val="24"/>
    </w:rPr>
  </w:style>
  <w:style w:type="character" w:customStyle="1" w:styleId="afff3">
    <w:name w:val="日期 字符"/>
    <w:uiPriority w:val="99"/>
    <w:semiHidden/>
    <w:qFormat/>
    <w:rPr>
      <w:kern w:val="2"/>
      <w:sz w:val="21"/>
      <w:szCs w:val="24"/>
    </w:rPr>
  </w:style>
  <w:style w:type="table" w:customStyle="1" w:styleId="115">
    <w:name w:val="网格型1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
    <w:name w:val="Table Normal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0">
    <w:name w:val="网格型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网格型1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
    <w:name w:val="Table Normal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0">
    <w:name w:val="网格型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网格型1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网格型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网格型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网格型5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网格型6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网格型7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网格型8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网格型11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网格型9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网格型10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网格型13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网格型15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网格型16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
    <w:name w:val="Table Normal1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0">
    <w:name w:val="网格型2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网格型11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网格型3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网格型1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网格型2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网格型5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网格型6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网格型7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8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网格型111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网格型9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网格型10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13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网格型14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网格型17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网格型18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
    <w:name w:val="Table Normal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
    <w:name w:val="网格型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网格型1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网格型1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网格型2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网格型5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网格型6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网格型7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网格型8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网格型1112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网格型9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网格型10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网格型13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网格型14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网格型15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网格型16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网格型19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网格型110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
    <w:name w:val="Table Normal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
    <w:name w:val="网格型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网格型11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网格型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网格型5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网格型6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网格型7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网格型8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网格型111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网格型9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网格型10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网格型13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网格型14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网格型15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网格型16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
    <w:name w:val="Table Normal1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
    <w:name w:val="网格型2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网格型11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网格型1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网格型2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网格型5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网格型6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网格型7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网格型8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网格型111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网格型9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网格型10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网格型13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网格型14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彩色型 1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
    <w:name w:val="网格型3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未处理的提及2"/>
    <w:basedOn w:val="a0"/>
    <w:uiPriority w:val="99"/>
    <w:semiHidden/>
    <w:qFormat/>
    <w:rPr>
      <w:color w:val="605E5C"/>
      <w:shd w:val="clear" w:color="auto" w:fill="E1DFDD"/>
    </w:rPr>
  </w:style>
  <w:style w:type="character" w:customStyle="1" w:styleId="3f0">
    <w:name w:val="未处理的提及3"/>
    <w:basedOn w:val="a0"/>
    <w:uiPriority w:val="99"/>
    <w:semiHidden/>
    <w:qFormat/>
    <w:rPr>
      <w:color w:val="605E5C"/>
      <w:shd w:val="clear" w:color="auto" w:fill="E1DFDD"/>
    </w:rPr>
  </w:style>
  <w:style w:type="table" w:customStyle="1" w:styleId="270">
    <w:name w:val="网格型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网格型2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网格型11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6">
    <w:name w:val="Table Normal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90">
    <w:name w:val="网格型2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网格型11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网格型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网格型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网格型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网格型5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网格型6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网格型7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网格型8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网格型11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网格型9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网格型10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13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3">
    <w:name w:val="Table Normal1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3">
    <w:name w:val="网格型2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网格型11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网格型1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网格型2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网格型5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网格型6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网格型7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网格型8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网格型111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网格型9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网格型10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网格型13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网格型14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网格型17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网格型18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2">
    <w:name w:val="Table Normal12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2">
    <w:name w:val="网格型2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网格型113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网格型12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网格型2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网格型6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网格型7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网格型8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网格型1112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网格型9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网格型102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网格型132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网格型142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网格型15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网格型16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网格型19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网格型110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2">
    <w:name w:val="Table Normal13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2">
    <w:name w:val="网格型24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网格型114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网格型12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网格型21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网格型5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网格型63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网格型73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网格型83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网格型1113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网格型93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网格型103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网格型133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网格型143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网格型15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网格型16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2">
    <w:name w:val="Table Normal11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2">
    <w:name w:val="网格型2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网格型112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网格型12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网格型21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网格型5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网格型61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网格型71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网格型8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网格型1111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网格型9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网格型101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网格型131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网格型141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彩色型 12"/>
    <w:basedOn w:val="a1"/>
    <w:qFormat/>
    <w:locked/>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1">
    <w:name w:val="网格型11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网格型20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1">
    <w:name w:val="Table Normal1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1">
    <w:name w:val="网格型2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网格型11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1">
    <w:name w:val="Table Normal1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1">
    <w:name w:val="网格型2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网格型11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网格型1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网格型2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网格型3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网格型5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网格型6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网格型7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网格型8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网格型1114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网格型9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网格型10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网格型13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网格型14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网格型15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网格型16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1">
    <w:name w:val="Table Normal1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1">
    <w:name w:val="网格型2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网格型112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网格型12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网格型2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网格型5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网格型6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网格型7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网格型8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网格型11112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网格型9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网格型10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网格型13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网格型14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网格型17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网格型18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1">
    <w:name w:val="Table Normal12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1">
    <w:name w:val="网格型2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网格型113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网格型12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网格型2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网格型5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网格型6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网格型7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网格型8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网格型1112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网格型9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网格型102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网格型132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网格型142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网格型15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网格型16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网格型19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网格型110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1">
    <w:name w:val="Table Normal13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1">
    <w:name w:val="网格型24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网格型114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网格型12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网格型21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网格型31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网格型5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网格型63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网格型73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网格型83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网格型1113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网格型93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网格型103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网格型133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网格型143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网格型15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网格型16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
    <w:name w:val="Table Normal2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1">
    <w:name w:val="Table Normal11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1">
    <w:name w:val="网格型2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网格型112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网格型12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网格型21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网格型31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网格型5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网格型61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网格型71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网格型8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网格型1111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网格型9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网格型101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网格型131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网格型141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型 11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1">
    <w:name w:val="网格型33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网格型3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网格型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网格型12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7">
    <w:name w:val="Table Normal1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100">
    <w:name w:val="网格型2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网格型111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网格型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网格型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网格型5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网格型7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网格型8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网格型111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网格型9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网格型10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网格型13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网格型14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网格型15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网格型16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4">
    <w:name w:val="Table Normal1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4">
    <w:name w:val="网格型2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网格型11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网格型1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网格型2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网格型5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网格型6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网格型7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网格型8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网格型111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网格型9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网格型10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网格型13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网格型14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网格型17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网格型18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3">
    <w:name w:val="Table Normal12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3">
    <w:name w:val="网格型2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网格型113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网格型12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网格型2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网格型5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网格型6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网格型7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网格型8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网格型1112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网格型9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网格型102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网格型132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网格型142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网格型15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网格型16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网格型19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网格型110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
    <w:name w:val="Table Normal4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3">
    <w:name w:val="Table Normal13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3">
    <w:name w:val="网格型24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网格型114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网格型12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网格型21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网格型5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网格型63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网格型73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网格型83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网格型1113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网格型93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网格型103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网格型133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网格型143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网格型15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网格型16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3">
    <w:name w:val="Table Normal11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3">
    <w:name w:val="网格型2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网格型112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网格型12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网格型21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网格型5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网格型61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网格型71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网格型8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网格型1111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网格型9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网格型101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网格型131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网格型141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彩色型 13"/>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2">
    <w:name w:val="网格型115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网格型20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
    <w:name w:val="Table Normal5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2">
    <w:name w:val="Table Normal14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2">
    <w:name w:val="网格型25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网格型116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
    <w:name w:val="Table Normal6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2">
    <w:name w:val="Table Normal15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2">
    <w:name w:val="网格型26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网格型117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网格型124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网格型214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网格型314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网格型54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网格型64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网格型74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网格型84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网格型1114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网格型94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网格型104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网格型134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网格型144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网格型15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网格型163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2">
    <w:name w:val="Table Normal112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2">
    <w:name w:val="网格型22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网格型112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网格型12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网格型21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网格型5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网格型61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网格型71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网格型81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网格型11112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2">
    <w:name w:val="网格型91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
    <w:name w:val="网格型1012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网格型1312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网格型1412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网格型17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网格型18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2">
    <w:name w:val="Table Normal12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2">
    <w:name w:val="网格型2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网格型113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网格型12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网格型21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网格型5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网格型62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网格型72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网格型82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网格型1112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网格型92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网格型102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网格型132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网格型142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网格型15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网格型16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网格型19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网格型110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2">
    <w:name w:val="Table Normal13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2">
    <w:name w:val="网格型24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网格型114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网格型12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网格型21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网格型31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网格型5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网格型63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网格型73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网格型83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网格型1113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网格型93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网格型103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网格型133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网格型143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网格型15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网格型162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2">
    <w:name w:val="Table Normal21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2">
    <w:name w:val="Table Normal111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2">
    <w:name w:val="网格型22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网格型1121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网格型121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网格型211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网格型311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网格型51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网格型611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网格型711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网格型81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网格型11111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网格型91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网格型1011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网格型1311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网格型1411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彩色型 112"/>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2">
    <w:name w:val="网格型33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网格型33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网格型20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3">
    <w:name w:val="Table Normal5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3">
    <w:name w:val="Table Normal14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400">
    <w:name w:val="网格型4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网格型12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8">
    <w:name w:val="Table Normal18"/>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17">
    <w:name w:val="网格型2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网格型11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3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5">
    <w:name w:val="正文文本缩进 2字符2"/>
    <w:basedOn w:val="a0"/>
    <w:uiPriority w:val="99"/>
    <w:semiHidden/>
    <w:qFormat/>
    <w:rPr>
      <w:sz w:val="21"/>
      <w:szCs w:val="22"/>
    </w:rPr>
  </w:style>
  <w:style w:type="character" w:customStyle="1" w:styleId="226">
    <w:name w:val="正文文本 2字符2"/>
    <w:basedOn w:val="a0"/>
    <w:uiPriority w:val="99"/>
    <w:semiHidden/>
    <w:qFormat/>
    <w:rPr>
      <w:sz w:val="21"/>
      <w:szCs w:val="22"/>
    </w:rPr>
  </w:style>
  <w:style w:type="character" w:customStyle="1" w:styleId="2f2">
    <w:name w:val="日期字符2"/>
    <w:basedOn w:val="a0"/>
    <w:uiPriority w:val="99"/>
    <w:semiHidden/>
    <w:qFormat/>
    <w:rPr>
      <w:sz w:val="21"/>
      <w:szCs w:val="22"/>
    </w:rPr>
  </w:style>
  <w:style w:type="table" w:customStyle="1" w:styleId="128">
    <w:name w:val="网格型12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网格型21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网格型5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网格型6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网格型7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网格型8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网格型1118"/>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网格型9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网格型10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网格型13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网格型14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网格型15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网格型16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5">
    <w:name w:val="Table Normal1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50">
    <w:name w:val="网格型2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网格型11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1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网格型2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网格型5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网格型6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网格型7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网格型8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网格型111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网格型9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网格型10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网格型13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网格型14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网格型17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网格型18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
    <w:name w:val="Table Normal3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4">
    <w:name w:val="Table Normal12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4">
    <w:name w:val="网格型2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网格型12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网格型2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网格型5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网格型6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网格型7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网格型8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网格型1112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网格型9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
    <w:name w:val="网格型102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网格型132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
    <w:name w:val="网格型142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网格型15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网格型16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网格型19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网格型110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4">
    <w:name w:val="Table Normal4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4">
    <w:name w:val="Table Normal13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4">
    <w:name w:val="网格型24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网格型12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网格型21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网格型5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网格型63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网格型73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网格型83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网格型1113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网格型93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网格型103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网格型133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网格型143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4">
    <w:name w:val="网格型15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
    <w:name w:val="网格型16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4">
    <w:name w:val="Table Normal2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4">
    <w:name w:val="Table Normal11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4">
    <w:name w:val="网格型2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网格型112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网格型12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网格型21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网格型5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网格型61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网格型71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网格型8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网格型1111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网格型9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网格型101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网格型131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网格型141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彩色型 14"/>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3">
    <w:name w:val="网格型115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网格型20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4">
    <w:name w:val="Table Normal5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4">
    <w:name w:val="Table Normal14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3">
    <w:name w:val="网格型25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网格型116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
    <w:name w:val="Table Normal6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3">
    <w:name w:val="Table Normal15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3">
    <w:name w:val="网格型26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网格型117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网格型124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网格型214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网格型314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网格型54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网格型64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网格型74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
    <w:name w:val="网格型84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网格型1114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网格型94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3">
    <w:name w:val="网格型104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网格型134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网格型144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网格型15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网格型163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3">
    <w:name w:val="Table Normal22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3">
    <w:name w:val="Table Normal112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3">
    <w:name w:val="网格型22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网格型112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网格型12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
    <w:name w:val="网格型21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网格型5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网格型61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网格型71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
    <w:name w:val="网格型81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网格型11112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3">
    <w:name w:val="网格型91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3">
    <w:name w:val="网格型1012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网格型1312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3">
    <w:name w:val="网格型1412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网格型17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网格型18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
    <w:name w:val="Table Normal3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3">
    <w:name w:val="Table Normal12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3">
    <w:name w:val="网格型2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网格型113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网格型3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网格型12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网格型21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
    <w:name w:val="网格型31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网格型5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网格型62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网格型72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网格型82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网格型1112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网格型92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网格型102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网格型132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网格型142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网格型15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网格型16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网格型19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
    <w:name w:val="网格型110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3">
    <w:name w:val="Table Normal4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3">
    <w:name w:val="Table Normal13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3">
    <w:name w:val="网格型24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网格型114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网格型34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网格型12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网格型21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3">
    <w:name w:val="网格型31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网格型43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网格型5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网格型63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网格型73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网格型83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网格型1113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网格型93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网格型103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网格型133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网格型143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网格型15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网格型162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3">
    <w:name w:val="Table Normal21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3">
    <w:name w:val="Table Normal111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3">
    <w:name w:val="网格型22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网格型1121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网格型32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网格型121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
    <w:name w:val="网格型211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3">
    <w:name w:val="网格型311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网格型51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网格型611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网格型711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网格型81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网格型11111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
    <w:name w:val="网格型91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
    <w:name w:val="网格型1011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网格型1311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网格型1411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彩色型 113"/>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3">
    <w:name w:val="网格型33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3">
    <w:name w:val="不明显强调2"/>
    <w:uiPriority w:val="19"/>
    <w:semiHidden/>
    <w:qFormat/>
    <w:rPr>
      <w:i/>
    </w:rPr>
  </w:style>
  <w:style w:type="character" w:customStyle="1" w:styleId="2f4">
    <w:name w:val="明显强调2"/>
    <w:uiPriority w:val="21"/>
    <w:semiHidden/>
    <w:qFormat/>
    <w:rPr>
      <w:b/>
      <w:i/>
      <w:color w:val="ED7D31"/>
      <w:spacing w:val="10"/>
    </w:rPr>
  </w:style>
  <w:style w:type="character" w:customStyle="1" w:styleId="2f5">
    <w:name w:val="不明显参考2"/>
    <w:uiPriority w:val="31"/>
    <w:semiHidden/>
    <w:qFormat/>
    <w:rPr>
      <w:b/>
    </w:rPr>
  </w:style>
  <w:style w:type="character" w:customStyle="1" w:styleId="2f6">
    <w:name w:val="明显参考2"/>
    <w:uiPriority w:val="32"/>
    <w:semiHidden/>
    <w:qFormat/>
    <w:rPr>
      <w:b/>
      <w:bCs/>
      <w:smallCaps/>
      <w:spacing w:val="5"/>
      <w:sz w:val="22"/>
      <w:szCs w:val="22"/>
      <w:u w:val="single"/>
    </w:rPr>
  </w:style>
  <w:style w:type="character" w:customStyle="1" w:styleId="2f7">
    <w:name w:val="书籍标题2"/>
    <w:uiPriority w:val="33"/>
    <w:semiHidden/>
    <w:qFormat/>
    <w:rPr>
      <w:rFonts w:ascii="Calibri Light" w:eastAsia="宋体" w:hAnsi="Calibri Light" w:cs="Times New Roman"/>
      <w:i/>
      <w:iCs/>
      <w:sz w:val="20"/>
      <w:szCs w:val="20"/>
    </w:rPr>
  </w:style>
  <w:style w:type="character" w:customStyle="1" w:styleId="3f1">
    <w:name w:val="明显强调3"/>
    <w:basedOn w:val="a0"/>
    <w:uiPriority w:val="21"/>
    <w:semiHidden/>
    <w:qFormat/>
    <w:rPr>
      <w:i/>
      <w:iCs/>
      <w:color w:val="4F81BD" w:themeColor="accent1"/>
    </w:rPr>
  </w:style>
  <w:style w:type="character" w:customStyle="1" w:styleId="3f2">
    <w:name w:val="书籍标题3"/>
    <w:basedOn w:val="a0"/>
    <w:uiPriority w:val="33"/>
    <w:semiHidden/>
    <w:qFormat/>
    <w:rPr>
      <w:b/>
      <w:bCs/>
      <w:i/>
      <w:iCs/>
      <w:spacing w:val="5"/>
    </w:rPr>
  </w:style>
  <w:style w:type="table" w:customStyle="1" w:styleId="271">
    <w:name w:val="网格型2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网格型28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网格型20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网格型20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标题 11"/>
    <w:basedOn w:val="a"/>
    <w:next w:val="a"/>
    <w:uiPriority w:val="9"/>
    <w:semiHidden/>
    <w:qFormat/>
    <w:pPr>
      <w:keepNext/>
      <w:keepLines/>
      <w:spacing w:before="340" w:after="330" w:line="578" w:lineRule="auto"/>
      <w:outlineLvl w:val="0"/>
    </w:pPr>
    <w:rPr>
      <w:b/>
      <w:bCs/>
      <w:kern w:val="44"/>
      <w:sz w:val="44"/>
      <w:szCs w:val="44"/>
    </w:rPr>
  </w:style>
  <w:style w:type="paragraph" w:customStyle="1" w:styleId="318">
    <w:name w:val="标题 31"/>
    <w:basedOn w:val="a"/>
    <w:next w:val="a"/>
    <w:uiPriority w:val="9"/>
    <w:semiHidden/>
    <w:qFormat/>
    <w:pPr>
      <w:keepNext/>
      <w:keepLines/>
      <w:spacing w:before="260" w:after="260" w:line="416" w:lineRule="auto"/>
      <w:outlineLvl w:val="2"/>
    </w:pPr>
    <w:rPr>
      <w:b/>
      <w:bCs/>
      <w:sz w:val="32"/>
      <w:szCs w:val="32"/>
    </w:rPr>
  </w:style>
  <w:style w:type="paragraph" w:customStyle="1" w:styleId="416">
    <w:name w:val="标题 41"/>
    <w:basedOn w:val="a"/>
    <w:next w:val="a"/>
    <w:uiPriority w:val="9"/>
    <w:semiHidden/>
    <w:qFormat/>
    <w:pPr>
      <w:keepNext/>
      <w:keepLines/>
      <w:spacing w:before="280" w:after="290" w:line="376" w:lineRule="auto"/>
      <w:outlineLvl w:val="3"/>
    </w:pPr>
    <w:rPr>
      <w:rFonts w:ascii="Cambria" w:hAnsi="Cambria" w:cs="Times New Roman"/>
      <w:b/>
      <w:bCs/>
      <w:sz w:val="28"/>
      <w:szCs w:val="28"/>
    </w:rPr>
  </w:style>
  <w:style w:type="paragraph" w:customStyle="1" w:styleId="716">
    <w:name w:val="标题 71"/>
    <w:basedOn w:val="a"/>
    <w:next w:val="a"/>
    <w:uiPriority w:val="9"/>
    <w:semiHidden/>
    <w:qFormat/>
    <w:pPr>
      <w:outlineLvl w:val="6"/>
    </w:pPr>
    <w:rPr>
      <w:rFonts w:ascii="Calibri" w:hAnsi="Calibri" w:cs="Times New Roman"/>
      <w:b/>
      <w:smallCaps/>
      <w:color w:val="C0504D"/>
      <w:spacing w:val="10"/>
    </w:rPr>
  </w:style>
  <w:style w:type="paragraph" w:customStyle="1" w:styleId="816">
    <w:name w:val="标题 81"/>
    <w:basedOn w:val="a"/>
    <w:next w:val="a"/>
    <w:uiPriority w:val="9"/>
    <w:semiHidden/>
    <w:qFormat/>
    <w:pPr>
      <w:outlineLvl w:val="7"/>
    </w:pPr>
    <w:rPr>
      <w:rFonts w:ascii="Calibri" w:hAnsi="Calibri" w:cs="Times New Roman"/>
      <w:b/>
      <w:i/>
      <w:smallCaps/>
      <w:color w:val="943634"/>
    </w:rPr>
  </w:style>
  <w:style w:type="paragraph" w:customStyle="1" w:styleId="916">
    <w:name w:val="标题 91"/>
    <w:basedOn w:val="a"/>
    <w:next w:val="a"/>
    <w:uiPriority w:val="9"/>
    <w:semiHidden/>
    <w:qFormat/>
    <w:pPr>
      <w:outlineLvl w:val="8"/>
    </w:pPr>
    <w:rPr>
      <w:rFonts w:ascii="Calibri" w:hAnsi="Calibri" w:cs="Times New Roman"/>
      <w:b/>
      <w:i/>
      <w:smallCaps/>
      <w:color w:val="622423"/>
    </w:rPr>
  </w:style>
  <w:style w:type="paragraph" w:customStyle="1" w:styleId="1ff0">
    <w:name w:val="页眉1"/>
    <w:basedOn w:val="a"/>
    <w:next w:val="ae"/>
    <w:link w:val="afff4"/>
    <w:uiPriority w:val="99"/>
    <w:semiHidden/>
    <w:qFormat/>
    <w:pPr>
      <w:pBdr>
        <w:bottom w:val="single" w:sz="6" w:space="1" w:color="auto"/>
      </w:pBdr>
      <w:tabs>
        <w:tab w:val="center" w:pos="4153"/>
        <w:tab w:val="right" w:pos="8306"/>
      </w:tabs>
      <w:snapToGrid w:val="0"/>
      <w:jc w:val="center"/>
    </w:pPr>
    <w:rPr>
      <w:sz w:val="18"/>
      <w:szCs w:val="18"/>
    </w:rPr>
  </w:style>
  <w:style w:type="character" w:customStyle="1" w:styleId="afff4">
    <w:name w:val="页眉 字符"/>
    <w:basedOn w:val="a0"/>
    <w:link w:val="1ff0"/>
    <w:uiPriority w:val="99"/>
    <w:semiHidden/>
    <w:qFormat/>
    <w:rsid w:val="008C1C67"/>
    <w:rPr>
      <w:rFonts w:ascii="宋体" w:hAnsi="宋体" w:cs="宋体"/>
      <w:sz w:val="18"/>
      <w:szCs w:val="18"/>
    </w:rPr>
  </w:style>
  <w:style w:type="paragraph" w:customStyle="1" w:styleId="1ff1">
    <w:name w:val="页脚1"/>
    <w:basedOn w:val="a"/>
    <w:next w:val="ad"/>
    <w:link w:val="2f8"/>
    <w:uiPriority w:val="99"/>
    <w:semiHidden/>
    <w:qFormat/>
    <w:pPr>
      <w:tabs>
        <w:tab w:val="center" w:pos="4153"/>
        <w:tab w:val="right" w:pos="8306"/>
      </w:tabs>
      <w:snapToGrid w:val="0"/>
    </w:pPr>
    <w:rPr>
      <w:sz w:val="18"/>
      <w:szCs w:val="18"/>
    </w:rPr>
  </w:style>
  <w:style w:type="character" w:customStyle="1" w:styleId="2f8">
    <w:name w:val="页脚 字符2"/>
    <w:basedOn w:val="a0"/>
    <w:link w:val="1ff1"/>
    <w:uiPriority w:val="99"/>
    <w:semiHidden/>
    <w:qFormat/>
    <w:rsid w:val="008C1C67"/>
    <w:rPr>
      <w:rFonts w:ascii="宋体" w:hAnsi="宋体" w:cs="宋体"/>
      <w:sz w:val="18"/>
      <w:szCs w:val="18"/>
    </w:rPr>
  </w:style>
  <w:style w:type="table" w:customStyle="1" w:styleId="129">
    <w:name w:val="网格型12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文档结构图1"/>
    <w:basedOn w:val="a"/>
    <w:next w:val="a5"/>
    <w:link w:val="afff5"/>
    <w:uiPriority w:val="99"/>
    <w:semiHidden/>
    <w:qFormat/>
    <w:rPr>
      <w:sz w:val="18"/>
      <w:szCs w:val="18"/>
    </w:rPr>
  </w:style>
  <w:style w:type="character" w:customStyle="1" w:styleId="afff5">
    <w:name w:val="文档结构图 字符"/>
    <w:basedOn w:val="a0"/>
    <w:link w:val="1ff2"/>
    <w:uiPriority w:val="99"/>
    <w:semiHidden/>
    <w:qFormat/>
    <w:rsid w:val="008C1C67"/>
    <w:rPr>
      <w:rFonts w:ascii="宋体" w:hAnsi="宋体" w:cs="宋体"/>
      <w:sz w:val="18"/>
      <w:szCs w:val="18"/>
    </w:rPr>
  </w:style>
  <w:style w:type="paragraph" w:customStyle="1" w:styleId="1ff3">
    <w:name w:val="列表段落1"/>
    <w:basedOn w:val="a"/>
    <w:next w:val="aff2"/>
    <w:uiPriority w:val="34"/>
    <w:semiHidden/>
    <w:qFormat/>
    <w:pPr>
      <w:ind w:firstLineChars="200" w:firstLine="420"/>
    </w:pPr>
  </w:style>
  <w:style w:type="paragraph" w:customStyle="1" w:styleId="1ff4">
    <w:name w:val="批注主题1"/>
    <w:basedOn w:val="a6"/>
    <w:next w:val="a6"/>
    <w:uiPriority w:val="99"/>
    <w:semiHidden/>
    <w:qFormat/>
    <w:rPr>
      <w:b/>
      <w:bCs/>
    </w:rPr>
  </w:style>
  <w:style w:type="table" w:customStyle="1" w:styleId="TableNormal10">
    <w:name w:val="Table Normal10"/>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9">
    <w:name w:val="Table Normal19"/>
    <w:uiPriority w:val="2"/>
    <w:semiHidden/>
    <w:unhideWhenUsed/>
    <w:qFormat/>
    <w:pPr>
      <w:widowControl w:val="0"/>
    </w:pPr>
    <w:rPr>
      <w:sz w:val="22"/>
      <w:lang w:eastAsia="en-US"/>
    </w:rPr>
    <w:tblPr>
      <w:tblCellMar>
        <w:top w:w="0" w:type="dxa"/>
        <w:left w:w="0" w:type="dxa"/>
        <w:bottom w:w="0" w:type="dxa"/>
        <w:right w:w="0" w:type="dxa"/>
      </w:tblCellMar>
    </w:tblPr>
  </w:style>
  <w:style w:type="paragraph" w:customStyle="1" w:styleId="1ff5">
    <w:name w:val="脚注文本1"/>
    <w:basedOn w:val="a"/>
    <w:next w:val="af2"/>
    <w:link w:val="afff6"/>
    <w:uiPriority w:val="99"/>
    <w:semiHidden/>
    <w:qFormat/>
    <w:pPr>
      <w:snapToGrid w:val="0"/>
    </w:pPr>
    <w:rPr>
      <w:sz w:val="18"/>
      <w:szCs w:val="18"/>
    </w:rPr>
  </w:style>
  <w:style w:type="character" w:customStyle="1" w:styleId="afff6">
    <w:name w:val="脚注文本 字符"/>
    <w:basedOn w:val="a0"/>
    <w:link w:val="1ff5"/>
    <w:uiPriority w:val="99"/>
    <w:semiHidden/>
    <w:qFormat/>
    <w:rsid w:val="008C1C67"/>
    <w:rPr>
      <w:rFonts w:ascii="宋体" w:hAnsi="宋体" w:cs="宋体"/>
      <w:sz w:val="18"/>
      <w:szCs w:val="18"/>
    </w:rPr>
  </w:style>
  <w:style w:type="table" w:customStyle="1" w:styleId="219">
    <w:name w:val="网格型21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网格型111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6">
    <w:name w:val="正文文本1"/>
    <w:basedOn w:val="a"/>
    <w:next w:val="a7"/>
    <w:link w:val="afff7"/>
    <w:semiHidden/>
    <w:qFormat/>
    <w:pPr>
      <w:spacing w:before="134"/>
      <w:ind w:left="240"/>
    </w:pPr>
    <w:rPr>
      <w:lang w:eastAsia="en-US"/>
    </w:rPr>
  </w:style>
  <w:style w:type="character" w:customStyle="1" w:styleId="afff7">
    <w:name w:val="正文文本 字符"/>
    <w:basedOn w:val="a0"/>
    <w:link w:val="1ff6"/>
    <w:semiHidden/>
    <w:qFormat/>
    <w:rsid w:val="008C1C67"/>
    <w:rPr>
      <w:rFonts w:ascii="宋体" w:hAnsi="宋体" w:cs="宋体"/>
      <w:sz w:val="24"/>
      <w:szCs w:val="24"/>
      <w:lang w:eastAsia="en-US"/>
    </w:rPr>
  </w:style>
  <w:style w:type="table" w:customStyle="1" w:styleId="3180">
    <w:name w:val="网格型31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标题11"/>
    <w:basedOn w:val="1"/>
    <w:next w:val="a"/>
    <w:uiPriority w:val="39"/>
    <w:semiHidden/>
    <w:qFormat/>
  </w:style>
  <w:style w:type="paragraph" w:customStyle="1" w:styleId="TOC110">
    <w:name w:val="TOC 11"/>
    <w:basedOn w:val="a"/>
    <w:next w:val="a"/>
    <w:uiPriority w:val="39"/>
    <w:semiHidden/>
    <w:qFormat/>
    <w:pPr>
      <w:tabs>
        <w:tab w:val="right" w:leader="dot" w:pos="8302"/>
      </w:tabs>
    </w:pPr>
    <w:rPr>
      <w:rFonts w:ascii="Arial" w:hAnsi="Arial"/>
      <w:b/>
    </w:rPr>
  </w:style>
  <w:style w:type="paragraph" w:customStyle="1" w:styleId="TOC31">
    <w:name w:val="TOC 31"/>
    <w:basedOn w:val="a"/>
    <w:next w:val="a"/>
    <w:uiPriority w:val="39"/>
    <w:semiHidden/>
    <w:qFormat/>
    <w:pPr>
      <w:ind w:leftChars="400" w:left="840"/>
    </w:pPr>
  </w:style>
  <w:style w:type="character" w:customStyle="1" w:styleId="1ff7">
    <w:name w:val="超链接1"/>
    <w:basedOn w:val="a0"/>
    <w:uiPriority w:val="99"/>
    <w:semiHidden/>
    <w:qFormat/>
    <w:rPr>
      <w:color w:val="0000FF"/>
      <w:u w:val="single"/>
    </w:rPr>
  </w:style>
  <w:style w:type="paragraph" w:customStyle="1" w:styleId="21a">
    <w:name w:val="正文文本缩进 21"/>
    <w:basedOn w:val="a"/>
    <w:next w:val="22"/>
    <w:uiPriority w:val="99"/>
    <w:semiHidden/>
    <w:qFormat/>
    <w:pPr>
      <w:spacing w:after="120" w:line="480" w:lineRule="auto"/>
      <w:ind w:leftChars="200" w:left="420"/>
    </w:pPr>
  </w:style>
  <w:style w:type="paragraph" w:customStyle="1" w:styleId="21b">
    <w:name w:val="正文文本 21"/>
    <w:basedOn w:val="a"/>
    <w:next w:val="24"/>
    <w:uiPriority w:val="99"/>
    <w:semiHidden/>
    <w:qFormat/>
    <w:pPr>
      <w:spacing w:after="120" w:line="480" w:lineRule="auto"/>
    </w:pPr>
  </w:style>
  <w:style w:type="paragraph" w:customStyle="1" w:styleId="1ff8">
    <w:name w:val="日期1"/>
    <w:basedOn w:val="a"/>
    <w:next w:val="a"/>
    <w:uiPriority w:val="99"/>
    <w:semiHidden/>
    <w:qFormat/>
    <w:rPr>
      <w:sz w:val="28"/>
    </w:rPr>
  </w:style>
  <w:style w:type="table" w:customStyle="1" w:styleId="12100">
    <w:name w:val="网格型12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网格型21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网格型31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网格型5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网格型6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网格型7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网格型8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网格型11110"/>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网格型9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71">
    <w:name w:val="TOC 71"/>
    <w:basedOn w:val="a"/>
    <w:next w:val="a"/>
    <w:uiPriority w:val="39"/>
    <w:semiHidden/>
    <w:qFormat/>
    <w:pPr>
      <w:ind w:left="1260"/>
    </w:pPr>
  </w:style>
  <w:style w:type="paragraph" w:customStyle="1" w:styleId="817">
    <w:name w:val="索引 81"/>
    <w:basedOn w:val="a"/>
    <w:next w:val="a"/>
    <w:uiPriority w:val="99"/>
    <w:semiHidden/>
    <w:qFormat/>
    <w:pPr>
      <w:ind w:left="1680" w:hanging="210"/>
    </w:pPr>
  </w:style>
  <w:style w:type="paragraph" w:customStyle="1" w:styleId="516">
    <w:name w:val="索引 51"/>
    <w:basedOn w:val="a"/>
    <w:next w:val="a"/>
    <w:uiPriority w:val="99"/>
    <w:semiHidden/>
    <w:qFormat/>
    <w:pPr>
      <w:ind w:left="1050" w:hanging="210"/>
    </w:pPr>
  </w:style>
  <w:style w:type="paragraph" w:customStyle="1" w:styleId="616">
    <w:name w:val="索引 61"/>
    <w:basedOn w:val="a"/>
    <w:next w:val="a"/>
    <w:uiPriority w:val="99"/>
    <w:semiHidden/>
    <w:qFormat/>
    <w:pPr>
      <w:ind w:left="1260" w:hanging="210"/>
    </w:pPr>
  </w:style>
  <w:style w:type="paragraph" w:customStyle="1" w:styleId="417">
    <w:name w:val="索引 41"/>
    <w:basedOn w:val="a"/>
    <w:next w:val="a"/>
    <w:uiPriority w:val="99"/>
    <w:semiHidden/>
    <w:qFormat/>
    <w:pPr>
      <w:ind w:left="840" w:hanging="210"/>
    </w:pPr>
  </w:style>
  <w:style w:type="paragraph" w:customStyle="1" w:styleId="TOC51">
    <w:name w:val="TOC 51"/>
    <w:basedOn w:val="a"/>
    <w:next w:val="a"/>
    <w:uiPriority w:val="39"/>
    <w:semiHidden/>
    <w:qFormat/>
    <w:pPr>
      <w:ind w:left="840"/>
    </w:pPr>
  </w:style>
  <w:style w:type="paragraph" w:customStyle="1" w:styleId="TOC81">
    <w:name w:val="TOC 81"/>
    <w:basedOn w:val="a"/>
    <w:next w:val="a"/>
    <w:uiPriority w:val="39"/>
    <w:semiHidden/>
    <w:qFormat/>
    <w:pPr>
      <w:ind w:left="1470"/>
    </w:pPr>
  </w:style>
  <w:style w:type="paragraph" w:customStyle="1" w:styleId="31a">
    <w:name w:val="索引 31"/>
    <w:basedOn w:val="a"/>
    <w:next w:val="a"/>
    <w:uiPriority w:val="99"/>
    <w:semiHidden/>
    <w:qFormat/>
    <w:pPr>
      <w:ind w:left="630" w:hanging="210"/>
    </w:pPr>
  </w:style>
  <w:style w:type="paragraph" w:customStyle="1" w:styleId="1ff9">
    <w:name w:val="尾注文本1"/>
    <w:basedOn w:val="a"/>
    <w:next w:val="ab"/>
    <w:link w:val="afff8"/>
    <w:uiPriority w:val="99"/>
    <w:semiHidden/>
    <w:qFormat/>
    <w:pPr>
      <w:snapToGrid w:val="0"/>
    </w:pPr>
  </w:style>
  <w:style w:type="character" w:customStyle="1" w:styleId="afff8">
    <w:name w:val="尾注文本 字符"/>
    <w:basedOn w:val="a0"/>
    <w:link w:val="1ff9"/>
    <w:uiPriority w:val="99"/>
    <w:semiHidden/>
    <w:qFormat/>
    <w:rsid w:val="008C1C67"/>
    <w:rPr>
      <w:rFonts w:ascii="宋体" w:hAnsi="宋体" w:cs="宋体"/>
      <w:sz w:val="24"/>
      <w:szCs w:val="24"/>
    </w:rPr>
  </w:style>
  <w:style w:type="paragraph" w:customStyle="1" w:styleId="TOC41">
    <w:name w:val="TOC 41"/>
    <w:basedOn w:val="a"/>
    <w:next w:val="a"/>
    <w:uiPriority w:val="39"/>
    <w:semiHidden/>
    <w:qFormat/>
    <w:pPr>
      <w:ind w:left="630"/>
    </w:pPr>
  </w:style>
  <w:style w:type="paragraph" w:customStyle="1" w:styleId="11b">
    <w:name w:val="索引 11"/>
    <w:basedOn w:val="a"/>
    <w:next w:val="a"/>
    <w:uiPriority w:val="99"/>
    <w:semiHidden/>
    <w:qFormat/>
  </w:style>
  <w:style w:type="paragraph" w:customStyle="1" w:styleId="1ffa">
    <w:name w:val="索引标题1"/>
    <w:basedOn w:val="a"/>
    <w:next w:val="12"/>
    <w:uiPriority w:val="99"/>
    <w:semiHidden/>
    <w:qFormat/>
  </w:style>
  <w:style w:type="paragraph" w:customStyle="1" w:styleId="1ffb">
    <w:name w:val="副标题1"/>
    <w:basedOn w:val="a"/>
    <w:next w:val="a"/>
    <w:uiPriority w:val="11"/>
    <w:semiHidden/>
    <w:qFormat/>
    <w:pPr>
      <w:spacing w:after="720"/>
      <w:jc w:val="right"/>
    </w:pPr>
    <w:rPr>
      <w:rFonts w:ascii="Cambria" w:hAnsi="Cambria" w:cs="Times New Roman"/>
    </w:rPr>
  </w:style>
  <w:style w:type="paragraph" w:customStyle="1" w:styleId="TOC61">
    <w:name w:val="TOC 61"/>
    <w:basedOn w:val="a"/>
    <w:next w:val="a"/>
    <w:uiPriority w:val="39"/>
    <w:semiHidden/>
    <w:qFormat/>
    <w:pPr>
      <w:ind w:left="1050"/>
    </w:pPr>
  </w:style>
  <w:style w:type="paragraph" w:customStyle="1" w:styleId="717">
    <w:name w:val="索引 71"/>
    <w:basedOn w:val="a"/>
    <w:next w:val="a"/>
    <w:uiPriority w:val="99"/>
    <w:semiHidden/>
    <w:qFormat/>
    <w:pPr>
      <w:ind w:left="1470" w:hanging="210"/>
    </w:pPr>
  </w:style>
  <w:style w:type="paragraph" w:customStyle="1" w:styleId="917">
    <w:name w:val="索引 91"/>
    <w:basedOn w:val="a"/>
    <w:next w:val="a"/>
    <w:uiPriority w:val="99"/>
    <w:semiHidden/>
    <w:qFormat/>
    <w:pPr>
      <w:ind w:left="1890" w:hanging="210"/>
    </w:pPr>
  </w:style>
  <w:style w:type="paragraph" w:customStyle="1" w:styleId="1ffc">
    <w:name w:val="图表目录1"/>
    <w:basedOn w:val="a"/>
    <w:next w:val="a"/>
    <w:uiPriority w:val="99"/>
    <w:semiHidden/>
    <w:qFormat/>
    <w:pPr>
      <w:ind w:left="420" w:hanging="420"/>
    </w:pPr>
  </w:style>
  <w:style w:type="paragraph" w:customStyle="1" w:styleId="TOC91">
    <w:name w:val="TOC 91"/>
    <w:basedOn w:val="a"/>
    <w:next w:val="a"/>
    <w:uiPriority w:val="39"/>
    <w:semiHidden/>
    <w:qFormat/>
    <w:pPr>
      <w:ind w:left="1680"/>
    </w:pPr>
  </w:style>
  <w:style w:type="paragraph" w:customStyle="1" w:styleId="21c">
    <w:name w:val="索引 21"/>
    <w:basedOn w:val="a"/>
    <w:next w:val="a"/>
    <w:uiPriority w:val="99"/>
    <w:semiHidden/>
    <w:qFormat/>
    <w:pPr>
      <w:ind w:left="420" w:hanging="210"/>
    </w:pPr>
  </w:style>
  <w:style w:type="paragraph" w:customStyle="1" w:styleId="1ffd">
    <w:name w:val="标题1"/>
    <w:basedOn w:val="a"/>
    <w:next w:val="a"/>
    <w:uiPriority w:val="99"/>
    <w:semiHidden/>
    <w:qFormat/>
    <w:pPr>
      <w:pBdr>
        <w:top w:val="single" w:sz="12" w:space="1" w:color="C0504D"/>
      </w:pBdr>
      <w:jc w:val="right"/>
    </w:pPr>
    <w:rPr>
      <w:rFonts w:ascii="Calibri" w:hAnsi="Calibri" w:cs="Times New Roman"/>
      <w:smallCaps/>
      <w:sz w:val="48"/>
      <w:szCs w:val="48"/>
    </w:rPr>
  </w:style>
  <w:style w:type="table" w:customStyle="1" w:styleId="108">
    <w:name w:val="网格型108"/>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e">
    <w:name w:val="明显引用1"/>
    <w:basedOn w:val="a"/>
    <w:next w:val="a"/>
    <w:uiPriority w:val="30"/>
    <w:semiHidden/>
    <w:qFormat/>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Calibri" w:hAnsi="Calibri" w:cs="Times New Roman"/>
      <w:b/>
      <w:i/>
      <w:color w:val="FFFFFF"/>
    </w:rPr>
  </w:style>
  <w:style w:type="table" w:customStyle="1" w:styleId="138">
    <w:name w:val="网格型138"/>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网格型148"/>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网格型15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网格型16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6">
    <w:name w:val="Table Normal1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60">
    <w:name w:val="网格型2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网格型11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网格型1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网格型2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网格型4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网格型5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0">
    <w:name w:val="网格型6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0">
    <w:name w:val="网格型7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0">
    <w:name w:val="网格型8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网格型1111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0">
    <w:name w:val="网格型9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
    <w:name w:val="网格型10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网格型13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网格型14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网格型17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网格型18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5">
    <w:name w:val="Table Normal3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5">
    <w:name w:val="Table Normal12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5">
    <w:name w:val="网格型2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网格型113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网格型3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网格型12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网格型2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网格型5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网格型6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网格型7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
    <w:name w:val="网格型8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
    <w:name w:val="网格型1112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5">
    <w:name w:val="网格型9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5">
    <w:name w:val="网格型102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
    <w:name w:val="网格型132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5">
    <w:name w:val="网格型142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网格型15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网格型16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网格型19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网格型110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5">
    <w:name w:val="Table Normal4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5">
    <w:name w:val="Table Normal13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5">
    <w:name w:val="网格型24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网格型114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
    <w:name w:val="网格型12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网格型21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5">
    <w:name w:val="网格型31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网格型5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网格型63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网格型73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5">
    <w:name w:val="网格型83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网格型1113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5">
    <w:name w:val="网格型93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5">
    <w:name w:val="网格型103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网格型133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5">
    <w:name w:val="网格型143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5">
    <w:name w:val="网格型15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5">
    <w:name w:val="网格型16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5">
    <w:name w:val="Table Normal2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5">
    <w:name w:val="Table Normal11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5">
    <w:name w:val="网格型2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网格型112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
    <w:name w:val="网格型12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网格型21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网格型31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网格型5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
    <w:name w:val="网格型61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网格型71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5">
    <w:name w:val="网格型8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网格型1111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5">
    <w:name w:val="网格型9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5">
    <w:name w:val="网格型101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5">
    <w:name w:val="网格型131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5">
    <w:name w:val="网格型141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彩色型 15"/>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4">
    <w:name w:val="网格型115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网格型20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5">
    <w:name w:val="Table Normal5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5">
    <w:name w:val="Table Normal14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4">
    <w:name w:val="网格型25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
    <w:name w:val="网格型116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4">
    <w:name w:val="Table Normal6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4">
    <w:name w:val="Table Normal15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4">
    <w:name w:val="网格型26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4">
    <w:name w:val="网格型117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
    <w:name w:val="网格型124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网格型214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
    <w:name w:val="网格型314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4">
    <w:name w:val="网格型54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4">
    <w:name w:val="网格型64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4">
    <w:name w:val="网格型74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4">
    <w:name w:val="网格型84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4">
    <w:name w:val="网格型1114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4">
    <w:name w:val="网格型94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4">
    <w:name w:val="网格型104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网格型134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4">
    <w:name w:val="网格型144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网格型15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网格型163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4">
    <w:name w:val="Table Normal22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4">
    <w:name w:val="Table Normal112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4">
    <w:name w:val="网格型22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4">
    <w:name w:val="网格型112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
    <w:name w:val="网格型12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4">
    <w:name w:val="网格型21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网格型31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
    <w:name w:val="网格型5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
    <w:name w:val="网格型61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网格型71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4">
    <w:name w:val="网格型81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网格型11112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4">
    <w:name w:val="网格型91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4">
    <w:name w:val="网格型1012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4">
    <w:name w:val="网格型1312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4">
    <w:name w:val="网格型1412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网格型17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网格型18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4">
    <w:name w:val="Table Normal3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4">
    <w:name w:val="Table Normal12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4">
    <w:name w:val="网格型2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网格型113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网格型3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网格型12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
    <w:name w:val="网格型21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4">
    <w:name w:val="网格型31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网格型5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网格型62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网格型72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
    <w:name w:val="网格型82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网格型1112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网格型92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
    <w:name w:val="网格型102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网格型132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
    <w:name w:val="网格型142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网格型15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网格型16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网格型19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4">
    <w:name w:val="网格型110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4">
    <w:name w:val="Table Normal4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4">
    <w:name w:val="Table Normal13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4">
    <w:name w:val="网格型24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网格型114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4">
    <w:name w:val="网格型34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4">
    <w:name w:val="网格型12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
    <w:name w:val="网格型21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4">
    <w:name w:val="网格型31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4">
    <w:name w:val="网格型43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网格型5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4">
    <w:name w:val="网格型63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4">
    <w:name w:val="网格型73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4">
    <w:name w:val="网格型83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4">
    <w:name w:val="网格型1113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4">
    <w:name w:val="网格型93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4">
    <w:name w:val="网格型103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4">
    <w:name w:val="网格型133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4">
    <w:name w:val="网格型143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
    <w:name w:val="网格型15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
    <w:name w:val="网格型162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4">
    <w:name w:val="Table Normal21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4">
    <w:name w:val="Table Normal111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4">
    <w:name w:val="网格型22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网格型1121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4">
    <w:name w:val="网格型32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
    <w:name w:val="网格型121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4">
    <w:name w:val="网格型211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4">
    <w:name w:val="网格型311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4">
    <w:name w:val="网格型51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4">
    <w:name w:val="网格型611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网格型711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4">
    <w:name w:val="网格型81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4">
    <w:name w:val="网格型11111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4">
    <w:name w:val="网格型91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4">
    <w:name w:val="网格型1011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4">
    <w:name w:val="网格型1311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4">
    <w:name w:val="网格型1411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彩色型 114"/>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4">
    <w:name w:val="网格型33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
    <w:name w:val="标题 1 字符1"/>
    <w:basedOn w:val="a0"/>
    <w:uiPriority w:val="9"/>
    <w:semiHidden/>
    <w:qFormat/>
    <w:rPr>
      <w:b/>
      <w:bCs/>
      <w:kern w:val="44"/>
      <w:sz w:val="44"/>
      <w:szCs w:val="44"/>
    </w:rPr>
  </w:style>
  <w:style w:type="character" w:customStyle="1" w:styleId="31b">
    <w:name w:val="标题 3 字符1"/>
    <w:basedOn w:val="a0"/>
    <w:uiPriority w:val="9"/>
    <w:semiHidden/>
    <w:qFormat/>
    <w:rPr>
      <w:b/>
      <w:bCs/>
      <w:sz w:val="32"/>
      <w:szCs w:val="32"/>
    </w:rPr>
  </w:style>
  <w:style w:type="character" w:customStyle="1" w:styleId="418">
    <w:name w:val="标题 4 字符1"/>
    <w:basedOn w:val="a0"/>
    <w:uiPriority w:val="9"/>
    <w:semiHidden/>
    <w:qFormat/>
    <w:rPr>
      <w:rFonts w:ascii="等线 Light" w:eastAsia="等线 Light" w:hAnsi="等线 Light" w:cs="Times New Roman"/>
      <w:b/>
      <w:bCs/>
      <w:sz w:val="28"/>
      <w:szCs w:val="28"/>
    </w:rPr>
  </w:style>
  <w:style w:type="character" w:customStyle="1" w:styleId="718">
    <w:name w:val="标题 7 字符1"/>
    <w:basedOn w:val="a0"/>
    <w:uiPriority w:val="9"/>
    <w:semiHidden/>
    <w:qFormat/>
    <w:rPr>
      <w:b/>
      <w:bCs/>
      <w:sz w:val="24"/>
      <w:szCs w:val="24"/>
    </w:rPr>
  </w:style>
  <w:style w:type="character" w:customStyle="1" w:styleId="818">
    <w:name w:val="标题 8 字符1"/>
    <w:basedOn w:val="a0"/>
    <w:uiPriority w:val="9"/>
    <w:semiHidden/>
    <w:qFormat/>
    <w:rPr>
      <w:rFonts w:ascii="等线 Light" w:eastAsia="等线 Light" w:hAnsi="等线 Light" w:cs="Times New Roman"/>
      <w:sz w:val="24"/>
      <w:szCs w:val="24"/>
    </w:rPr>
  </w:style>
  <w:style w:type="character" w:customStyle="1" w:styleId="918">
    <w:name w:val="标题 9 字符1"/>
    <w:basedOn w:val="a0"/>
    <w:uiPriority w:val="9"/>
    <w:semiHidden/>
    <w:qFormat/>
    <w:rPr>
      <w:rFonts w:ascii="等线 Light" w:eastAsia="等线 Light" w:hAnsi="等线 Light" w:cs="Times New Roman"/>
      <w:szCs w:val="21"/>
    </w:rPr>
  </w:style>
  <w:style w:type="character" w:customStyle="1" w:styleId="Char20">
    <w:name w:val="批注主题 Char2"/>
    <w:basedOn w:val="Char1"/>
    <w:uiPriority w:val="99"/>
    <w:semiHidden/>
    <w:qFormat/>
    <w:rPr>
      <w:rFonts w:ascii="宋体" w:hAnsi="宋体" w:cs="宋体"/>
      <w:b/>
      <w:bCs/>
      <w:sz w:val="24"/>
      <w:szCs w:val="24"/>
    </w:rPr>
  </w:style>
  <w:style w:type="character" w:customStyle="1" w:styleId="2f9">
    <w:name w:val="批注主题 字符2"/>
    <w:basedOn w:val="Char1"/>
    <w:uiPriority w:val="99"/>
    <w:semiHidden/>
    <w:qFormat/>
    <w:rPr>
      <w:rFonts w:ascii="宋体" w:hAnsi="宋体" w:cs="宋体"/>
      <w:b/>
      <w:bCs/>
      <w:sz w:val="24"/>
      <w:szCs w:val="24"/>
    </w:rPr>
  </w:style>
  <w:style w:type="character" w:customStyle="1" w:styleId="2Char20">
    <w:name w:val="正文文本 2 Char2"/>
    <w:basedOn w:val="a0"/>
    <w:semiHidden/>
    <w:qFormat/>
  </w:style>
  <w:style w:type="character" w:customStyle="1" w:styleId="227">
    <w:name w:val="正文文本 2 字符2"/>
    <w:basedOn w:val="a0"/>
    <w:uiPriority w:val="99"/>
    <w:semiHidden/>
    <w:qFormat/>
  </w:style>
  <w:style w:type="character" w:customStyle="1" w:styleId="Char21">
    <w:name w:val="日期 Char2"/>
    <w:basedOn w:val="a0"/>
    <w:semiHidden/>
    <w:qFormat/>
  </w:style>
  <w:style w:type="character" w:customStyle="1" w:styleId="3f3">
    <w:name w:val="日期 字符3"/>
    <w:basedOn w:val="a0"/>
    <w:uiPriority w:val="99"/>
    <w:semiHidden/>
    <w:qFormat/>
  </w:style>
  <w:style w:type="character" w:customStyle="1" w:styleId="2Char21">
    <w:name w:val="正文文本缩进 2 Char2"/>
    <w:basedOn w:val="a0"/>
    <w:semiHidden/>
    <w:qFormat/>
  </w:style>
  <w:style w:type="character" w:customStyle="1" w:styleId="228">
    <w:name w:val="正文文本缩进 2 字符2"/>
    <w:basedOn w:val="a0"/>
    <w:uiPriority w:val="99"/>
    <w:semiHidden/>
    <w:qFormat/>
  </w:style>
  <w:style w:type="character" w:customStyle="1" w:styleId="Char16">
    <w:name w:val="副标题 Char1"/>
    <w:basedOn w:val="a0"/>
    <w:uiPriority w:val="11"/>
    <w:semiHidden/>
    <w:qFormat/>
    <w:rPr>
      <w:rFonts w:ascii="等线 Light" w:eastAsia="宋体" w:hAnsi="等线 Light" w:cs="Times New Roman"/>
      <w:b/>
      <w:bCs/>
      <w:kern w:val="28"/>
      <w:sz w:val="32"/>
      <w:szCs w:val="32"/>
    </w:rPr>
  </w:style>
  <w:style w:type="character" w:customStyle="1" w:styleId="1fff">
    <w:name w:val="副标题 字符1"/>
    <w:basedOn w:val="a0"/>
    <w:uiPriority w:val="11"/>
    <w:semiHidden/>
    <w:qFormat/>
    <w:rPr>
      <w:b/>
      <w:bCs/>
      <w:kern w:val="28"/>
      <w:sz w:val="32"/>
      <w:szCs w:val="32"/>
    </w:rPr>
  </w:style>
  <w:style w:type="character" w:customStyle="1" w:styleId="Char17">
    <w:name w:val="标题 Char1"/>
    <w:basedOn w:val="a0"/>
    <w:uiPriority w:val="10"/>
    <w:semiHidden/>
    <w:qFormat/>
    <w:rPr>
      <w:rFonts w:ascii="等线 Light" w:eastAsia="宋体" w:hAnsi="等线 Light" w:cs="Times New Roman"/>
      <w:b/>
      <w:bCs/>
      <w:sz w:val="32"/>
      <w:szCs w:val="32"/>
    </w:rPr>
  </w:style>
  <w:style w:type="character" w:customStyle="1" w:styleId="1fff0">
    <w:name w:val="标题 字符1"/>
    <w:basedOn w:val="a0"/>
    <w:uiPriority w:val="10"/>
    <w:semiHidden/>
    <w:qFormat/>
    <w:rPr>
      <w:rFonts w:ascii="等线 Light" w:eastAsia="等线 Light" w:hAnsi="等线 Light" w:cs="Times New Roman"/>
      <w:b/>
      <w:bCs/>
      <w:sz w:val="32"/>
      <w:szCs w:val="32"/>
    </w:rPr>
  </w:style>
  <w:style w:type="character" w:customStyle="1" w:styleId="Char18">
    <w:name w:val="明显引用 Char1"/>
    <w:basedOn w:val="a0"/>
    <w:uiPriority w:val="30"/>
    <w:semiHidden/>
    <w:qFormat/>
    <w:rPr>
      <w:i/>
      <w:iCs/>
      <w:color w:val="4472C4"/>
    </w:rPr>
  </w:style>
  <w:style w:type="character" w:customStyle="1" w:styleId="1fff1">
    <w:name w:val="明显引用 字符1"/>
    <w:basedOn w:val="a0"/>
    <w:uiPriority w:val="30"/>
    <w:semiHidden/>
    <w:qFormat/>
    <w:rPr>
      <w:i/>
      <w:iCs/>
      <w:color w:val="4472C4"/>
    </w:rPr>
  </w:style>
  <w:style w:type="table" w:customStyle="1" w:styleId="1300">
    <w:name w:val="网格型13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网格型13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网格型20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网格型5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网格型14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0">
    <w:name w:val="Table Normal110"/>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00">
    <w:name w:val="网格型22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网格型112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网格型32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网格型21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网格型5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网格型6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网格型7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网格型8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
    <w:name w:val="网格型11117"/>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网格型9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网格型109"/>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网格型1310"/>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网格型149"/>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网格型15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网格型16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7">
    <w:name w:val="Table Normal11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70">
    <w:name w:val="网格型2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网格型112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
    <w:name w:val="网格型121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网格型211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网格型31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网格型4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网格型5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网格型6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0">
    <w:name w:val="网格型7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0">
    <w:name w:val="网格型8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网格型11118"/>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0">
    <w:name w:val="网格型9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7">
    <w:name w:val="网格型101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网格型131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7">
    <w:name w:val="网格型141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网格型17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网格型18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6">
    <w:name w:val="Table Normal3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6">
    <w:name w:val="Table Normal12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6">
    <w:name w:val="网格型2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网格型113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网格型3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网格型2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6">
    <w:name w:val="网格型3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网格型5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6">
    <w:name w:val="网格型6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网格型7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6">
    <w:name w:val="网格型8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6">
    <w:name w:val="网格型1112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6">
    <w:name w:val="网格型9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6">
    <w:name w:val="网格型102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网格型132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6">
    <w:name w:val="网格型142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网格型15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网格型16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网格型19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网格型110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6">
    <w:name w:val="Table Normal4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6">
    <w:name w:val="Table Normal13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6">
    <w:name w:val="网格型24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0">
    <w:name w:val="网格型114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6">
    <w:name w:val="网格型34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6">
    <w:name w:val="网格型12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
    <w:name w:val="网格型21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6">
    <w:name w:val="网格型31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网格型43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6">
    <w:name w:val="网格型5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6">
    <w:name w:val="网格型63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
    <w:name w:val="网格型73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6">
    <w:name w:val="网格型83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6">
    <w:name w:val="网格型1113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6">
    <w:name w:val="网格型93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6">
    <w:name w:val="网格型103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6">
    <w:name w:val="网格型133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6">
    <w:name w:val="网格型143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6">
    <w:name w:val="网格型15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6">
    <w:name w:val="网格型16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6">
    <w:name w:val="Table Normal2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6">
    <w:name w:val="Table Normal11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6">
    <w:name w:val="网格型2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网格型112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6">
    <w:name w:val="网格型3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
    <w:name w:val="网格型12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6">
    <w:name w:val="网格型21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
    <w:name w:val="网格型31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
    <w:name w:val="网格型5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
    <w:name w:val="网格型61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网格型71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6">
    <w:name w:val="网格型8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
    <w:name w:val="网格型11111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6">
    <w:name w:val="网格型9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6">
    <w:name w:val="网格型101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6">
    <w:name w:val="网格型131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6">
    <w:name w:val="网格型141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彩色型 16"/>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5">
    <w:name w:val="网格型115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7">
    <w:name w:val="网格型20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6">
    <w:name w:val="Table Normal5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6">
    <w:name w:val="Table Normal14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5">
    <w:name w:val="网格型25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5">
    <w:name w:val="网格型116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5">
    <w:name w:val="Table Normal6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5">
    <w:name w:val="Table Normal15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5">
    <w:name w:val="网格型26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5">
    <w:name w:val="网格型117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网格型35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5">
    <w:name w:val="网格型124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网格型214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
    <w:name w:val="网格型314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5">
    <w:name w:val="网格型54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5">
    <w:name w:val="网格型64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
    <w:name w:val="网格型74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5">
    <w:name w:val="网格型84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5">
    <w:name w:val="网格型1114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5">
    <w:name w:val="网格型94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5">
    <w:name w:val="网格型104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5">
    <w:name w:val="网格型134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5">
    <w:name w:val="网格型144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5">
    <w:name w:val="网格型15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5">
    <w:name w:val="网格型163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5">
    <w:name w:val="Table Normal22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5">
    <w:name w:val="Table Normal112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5">
    <w:name w:val="网格型22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5">
    <w:name w:val="网格型112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5">
    <w:name w:val="网格型12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5">
    <w:name w:val="网格型21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5">
    <w:name w:val="网格型31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5">
    <w:name w:val="网格型5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5">
    <w:name w:val="网格型61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网格型71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5">
    <w:name w:val="网格型81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5">
    <w:name w:val="网格型11112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5">
    <w:name w:val="网格型91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5">
    <w:name w:val="网格型1012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5">
    <w:name w:val="网格型1312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5">
    <w:name w:val="网格型1412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网格型17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5">
    <w:name w:val="网格型18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5">
    <w:name w:val="Table Normal3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5">
    <w:name w:val="Table Normal12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5">
    <w:name w:val="网格型2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网格型113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5">
    <w:name w:val="网格型3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5">
    <w:name w:val="网格型12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5">
    <w:name w:val="网格型21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5">
    <w:name w:val="网格型31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5">
    <w:name w:val="网格型5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5">
    <w:name w:val="网格型62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网格型72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5">
    <w:name w:val="网格型82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5">
    <w:name w:val="网格型1112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5">
    <w:name w:val="网格型92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5">
    <w:name w:val="网格型102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5">
    <w:name w:val="网格型132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5">
    <w:name w:val="网格型142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5">
    <w:name w:val="网格型15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5">
    <w:name w:val="网格型16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5">
    <w:name w:val="网格型19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5">
    <w:name w:val="网格型110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5">
    <w:name w:val="Table Normal4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5">
    <w:name w:val="Table Normal13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5">
    <w:name w:val="网格型24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网格型114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5">
    <w:name w:val="网格型34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5">
    <w:name w:val="网格型12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5">
    <w:name w:val="网格型21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5">
    <w:name w:val="网格型31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5">
    <w:name w:val="网格型43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5">
    <w:name w:val="网格型5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5">
    <w:name w:val="网格型63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5">
    <w:name w:val="网格型73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5">
    <w:name w:val="网格型83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5">
    <w:name w:val="网格型1113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5">
    <w:name w:val="网格型93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5">
    <w:name w:val="网格型103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5">
    <w:name w:val="网格型133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5">
    <w:name w:val="网格型143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5">
    <w:name w:val="网格型15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5">
    <w:name w:val="网格型162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5">
    <w:name w:val="Table Normal21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5">
    <w:name w:val="Table Normal111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5">
    <w:name w:val="网格型22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5">
    <w:name w:val="网格型1121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5">
    <w:name w:val="网格型32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5">
    <w:name w:val="网格型121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5">
    <w:name w:val="网格型211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5">
    <w:name w:val="网格型311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
    <w:name w:val="网格型41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5">
    <w:name w:val="网格型51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5">
    <w:name w:val="网格型611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网格型711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5">
    <w:name w:val="网格型81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5">
    <w:name w:val="网格型11111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5">
    <w:name w:val="网格型91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5">
    <w:name w:val="网格型1011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5">
    <w:name w:val="网格型1311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5">
    <w:name w:val="网格型1411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彩色型 115"/>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5">
    <w:name w:val="网格型33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a">
    <w:name w:val="未处理的提及4"/>
    <w:basedOn w:val="a0"/>
    <w:uiPriority w:val="99"/>
    <w:semiHidden/>
    <w:qFormat/>
    <w:rPr>
      <w:color w:val="605E5C"/>
      <w:shd w:val="clear" w:color="auto" w:fill="E1DFDD"/>
    </w:rPr>
  </w:style>
  <w:style w:type="table" w:customStyle="1" w:styleId="272">
    <w:name w:val="网格型27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网格型28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网格型29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网格型20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网格型6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网格型20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网格型7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网格型20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
    <w:name w:val="网格型20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5">
    <w:name w:val="网格型20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6">
    <w:name w:val="网格型20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7">
    <w:name w:val="网格型201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8">
    <w:name w:val="网格型2011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网格型8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网格型15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8">
    <w:name w:val="Table Normal118"/>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80">
    <w:name w:val="网格型22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网格型112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网格型32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
    <w:name w:val="网格型121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网格型211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网格型311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网格型41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网格型5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网格型61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网格型71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0">
    <w:name w:val="网格型81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网格型11119"/>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网格型91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0">
    <w:name w:val="网格型1010"/>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8">
    <w:name w:val="网格型1318"/>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0">
    <w:name w:val="网格型1410"/>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网格型15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0">
    <w:name w:val="网格型16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9">
    <w:name w:val="Table Normal29"/>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9">
    <w:name w:val="Table Normal119"/>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9">
    <w:name w:val="网格型22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9">
    <w:name w:val="网格型112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
    <w:name w:val="网格型32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网格型121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网格型211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9">
    <w:name w:val="网格型311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网格型41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网格型51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
    <w:name w:val="网格型61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0">
    <w:name w:val="网格型71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80">
    <w:name w:val="网格型81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网格型111110"/>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网格型91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8">
    <w:name w:val="网格型1018"/>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9">
    <w:name w:val="网格型1319"/>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8">
    <w:name w:val="网格型1418"/>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网格型17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网格型18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7">
    <w:name w:val="Table Normal12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7">
    <w:name w:val="网格型2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网格型113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网格型33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
    <w:name w:val="网格型12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网格型21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网格型31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网格型5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7">
    <w:name w:val="网格型62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网格型72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7">
    <w:name w:val="网格型82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7">
    <w:name w:val="网格型11127"/>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7">
    <w:name w:val="网格型92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7">
    <w:name w:val="网格型102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7">
    <w:name w:val="网格型132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7">
    <w:name w:val="网格型142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7">
    <w:name w:val="网格型15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7">
    <w:name w:val="网格型16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网格型19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网格型110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7">
    <w:name w:val="Table Normal4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7">
    <w:name w:val="Table Normal13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7">
    <w:name w:val="网格型24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网格型114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网格型34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7">
    <w:name w:val="网格型12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7">
    <w:name w:val="网格型21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网格型31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网格型43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7">
    <w:name w:val="网格型5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7">
    <w:name w:val="网格型63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7">
    <w:name w:val="网格型73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7">
    <w:name w:val="网格型83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7">
    <w:name w:val="网格型11137"/>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7">
    <w:name w:val="网格型93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7">
    <w:name w:val="网格型103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网格型133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7">
    <w:name w:val="网格型143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7">
    <w:name w:val="网格型15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7">
    <w:name w:val="网格型162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7">
    <w:name w:val="Table Normal21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7">
    <w:name w:val="Table Normal111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7">
    <w:name w:val="网格型22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7">
    <w:name w:val="网格型112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7">
    <w:name w:val="网格型32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7">
    <w:name w:val="网格型121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7">
    <w:name w:val="网格型211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7">
    <w:name w:val="网格型311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网格型41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7">
    <w:name w:val="网格型51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
    <w:name w:val="网格型61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7">
    <w:name w:val="网格型71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7">
    <w:name w:val="网格型81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
    <w:name w:val="网格型111117"/>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7">
    <w:name w:val="网格型91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7">
    <w:name w:val="网格型1011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7">
    <w:name w:val="网格型1311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7">
    <w:name w:val="网格型1411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彩色型 17"/>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6">
    <w:name w:val="网格型115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9">
    <w:name w:val="网格型20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7">
    <w:name w:val="Table Normal5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7">
    <w:name w:val="Table Normal14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6">
    <w:name w:val="网格型25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6">
    <w:name w:val="网格型116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6">
    <w:name w:val="Table Normal6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6">
    <w:name w:val="Table Normal15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6">
    <w:name w:val="网格型26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6">
    <w:name w:val="网格型117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网格型35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6">
    <w:name w:val="网格型124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网格型214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6">
    <w:name w:val="网格型314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网格型44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6">
    <w:name w:val="网格型54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6">
    <w:name w:val="网格型64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6">
    <w:name w:val="网格型74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6">
    <w:name w:val="网格型84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6">
    <w:name w:val="网格型1114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6">
    <w:name w:val="网格型94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6">
    <w:name w:val="网格型104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6">
    <w:name w:val="网格型134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6">
    <w:name w:val="网格型144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6">
    <w:name w:val="网格型15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6">
    <w:name w:val="网格型163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6">
    <w:name w:val="Table Normal22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6">
    <w:name w:val="Table Normal112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6">
    <w:name w:val="网格型22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6">
    <w:name w:val="网格型112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6">
    <w:name w:val="网格型32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6">
    <w:name w:val="网格型12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网格型21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6">
    <w:name w:val="网格型31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
    <w:name w:val="网格型41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6">
    <w:name w:val="网格型5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6">
    <w:name w:val="网格型61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
    <w:name w:val="网格型71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6">
    <w:name w:val="网格型81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6">
    <w:name w:val="网格型11112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6">
    <w:name w:val="网格型91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6">
    <w:name w:val="网格型1012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6">
    <w:name w:val="网格型1312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6">
    <w:name w:val="网格型1412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网格型17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6">
    <w:name w:val="网格型18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6">
    <w:name w:val="Table Normal3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6">
    <w:name w:val="Table Normal12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6">
    <w:name w:val="网格型2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网格型113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6">
    <w:name w:val="网格型3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6">
    <w:name w:val="网格型12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6">
    <w:name w:val="网格型21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6">
    <w:name w:val="网格型31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6">
    <w:name w:val="网格型42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6">
    <w:name w:val="网格型5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6">
    <w:name w:val="网格型62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网格型72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6">
    <w:name w:val="网格型82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6">
    <w:name w:val="网格型11121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6">
    <w:name w:val="网格型92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6">
    <w:name w:val="网格型102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6">
    <w:name w:val="网格型132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6">
    <w:name w:val="网格型142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6">
    <w:name w:val="网格型15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6">
    <w:name w:val="网格型16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6">
    <w:name w:val="网格型19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6">
    <w:name w:val="网格型110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6">
    <w:name w:val="Table Normal4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6">
    <w:name w:val="Table Normal13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6">
    <w:name w:val="网格型24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网格型114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6">
    <w:name w:val="网格型34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6">
    <w:name w:val="网格型12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6">
    <w:name w:val="网格型21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6">
    <w:name w:val="网格型31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6">
    <w:name w:val="网格型43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6">
    <w:name w:val="网格型5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6">
    <w:name w:val="网格型63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6">
    <w:name w:val="网格型73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6">
    <w:name w:val="网格型83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6">
    <w:name w:val="网格型11131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6">
    <w:name w:val="网格型93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6">
    <w:name w:val="网格型103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6">
    <w:name w:val="网格型133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6">
    <w:name w:val="网格型143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6">
    <w:name w:val="网格型15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6">
    <w:name w:val="网格型162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6">
    <w:name w:val="Table Normal21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6">
    <w:name w:val="Table Normal111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6">
    <w:name w:val="网格型22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6">
    <w:name w:val="网格型1121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6">
    <w:name w:val="网格型32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6">
    <w:name w:val="网格型121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6">
    <w:name w:val="网格型211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6">
    <w:name w:val="网格型311116"/>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6">
    <w:name w:val="网格型41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6">
    <w:name w:val="网格型51116"/>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6">
    <w:name w:val="网格型61116"/>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
    <w:name w:val="网格型71116"/>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6">
    <w:name w:val="网格型81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6">
    <w:name w:val="网格型1111116"/>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6">
    <w:name w:val="网格型91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6">
    <w:name w:val="网格型1011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6">
    <w:name w:val="网格型1311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6">
    <w:name w:val="网格型1411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彩色型 116"/>
    <w:basedOn w:val="a1"/>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6">
    <w:name w:val="网格型3326"/>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网格型27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网格型28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网格型118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61">
    <w:name w:val="Table Normal16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92">
    <w:name w:val="网格型292"/>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网格型119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网格型36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网格型125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网格型215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网格型315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型55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网格型6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网格型75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网格型8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网格型1115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网格型9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网格型10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网格型13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网格型14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网格型15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网格型164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31">
    <w:name w:val="Table Normal1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31">
    <w:name w:val="网格型22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网格型112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网格型121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网格型2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网格型3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网格型5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网格型61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网格型71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
    <w:name w:val="网格型8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网格型11113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网格型9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网格型10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网格型13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网格型14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网格型17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网格型18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21">
    <w:name w:val="Table Normal12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21">
    <w:name w:val="网格型23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网格型113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网格型3332"/>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网格型12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网格型21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网格型31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网格型5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网格型62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网格型72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网格型8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网格型1112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网格型9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
    <w:name w:val="网格型102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网格型132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1">
    <w:name w:val="网格型142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网格型15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网格型16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网格型19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网格型110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1">
    <w:name w:val="Table Normal4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21">
    <w:name w:val="Table Normal13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21">
    <w:name w:val="网格型24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网格型114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网格型34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网格型123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网格型213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1">
    <w:name w:val="网格型313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网格型43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网格型53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网格型63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网格型73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
    <w:name w:val="网格型83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网格型1113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
    <w:name w:val="网格型93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网格型103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网格型133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
    <w:name w:val="网格型143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1">
    <w:name w:val="网格型15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1">
    <w:name w:val="网格型162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1">
    <w:name w:val="Table Normal2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21">
    <w:name w:val="Table Normal11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21">
    <w:name w:val="网格型22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网格型112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网格型32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网格型121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
    <w:name w:val="网格型211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
    <w:name w:val="网格型311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网格型51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网格型61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网格型71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
    <w:name w:val="网格型81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网格型11111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
    <w:name w:val="网格型91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
    <w:name w:val="网格型101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网格型131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网格型141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a">
    <w:name w:val="彩色型 121"/>
    <w:basedOn w:val="a1"/>
    <w:locked/>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11">
    <w:name w:val="网格型115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网格型20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1">
    <w:name w:val="Table Normal5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11">
    <w:name w:val="Table Normal14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11">
    <w:name w:val="网格型25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网格型116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1">
    <w:name w:val="Table Normal6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11">
    <w:name w:val="Table Normal15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11">
    <w:name w:val="网格型26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网格型117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网格型35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网格型124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网格型214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网格型3141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网格型541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网格型64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网格型74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1">
    <w:name w:val="网格型84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网格型1114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1">
    <w:name w:val="网格型94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1">
    <w:name w:val="网格型104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1">
    <w:name w:val="网格型134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
    <w:name w:val="网格型144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网格型15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网格型163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11">
    <w:name w:val="Table Normal112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11">
    <w:name w:val="网格型22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网格型112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网格型12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网格型21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网格型31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网格型5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网格型61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网格型71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网格型81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1">
    <w:name w:val="网格型11112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1">
    <w:name w:val="网格型91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1">
    <w:name w:val="网格型1012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
    <w:name w:val="网格型1312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
    <w:name w:val="网格型1412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网格型17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网格型18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11">
    <w:name w:val="Table Normal12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11">
    <w:name w:val="网格型2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网格型113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网格型3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网格型12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网格型21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网格型31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网格型5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网格型62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网格型72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网格型82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网格型1112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网格型92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网格型102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网格型132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网格型142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网格型15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网格型16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网格型19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网格型110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1">
    <w:name w:val="Table Normal4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11">
    <w:name w:val="Table Normal13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11">
    <w:name w:val="网格型24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网格型114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网格型34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网格型12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网格型21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1">
    <w:name w:val="网格型31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网格型43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网格型5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网格型63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
    <w:name w:val="网格型73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网格型83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
    <w:name w:val="网格型1113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
    <w:name w:val="网格型93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
    <w:name w:val="网格型103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
    <w:name w:val="网格型133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
    <w:name w:val="网格型143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网格型15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网格型162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1">
    <w:name w:val="Table Normal21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11">
    <w:name w:val="Table Normal111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11">
    <w:name w:val="网格型22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网格型1121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网格型32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网格型121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网格型211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网格型311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网格型41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网格型51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网格型611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网格型711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网格型81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网格型11111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网格型91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网格型1011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
    <w:name w:val="网格型1311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网格型1411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彩色型 111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11">
    <w:name w:val="网格型33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网格型30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网格型37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网格型120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1">
    <w:name w:val="Table Normal8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71">
    <w:name w:val="Table Normal17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101">
    <w:name w:val="网格型210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网格型1110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网格型38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网格型12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网格型2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网格型3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网格型4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网格型5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网格型6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网格型7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网格型8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网格型1116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网格型9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网格型106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网格型136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网格型146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网格型15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网格型16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41">
    <w:name w:val="Table Normal11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41">
    <w:name w:val="网格型2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网格型112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网格型3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网格型12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网格型21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网格型31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网格型41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网格型5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
    <w:name w:val="网格型61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网格型71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1">
    <w:name w:val="网格型81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网格型11114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网格型91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
    <w:name w:val="网格型10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
    <w:name w:val="网格型13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1">
    <w:name w:val="网格型14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网格型17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网格型18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31">
    <w:name w:val="Table Normal12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31">
    <w:name w:val="网格型23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网格型113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网格型3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
    <w:name w:val="网格型12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网格型2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网格型3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网格型5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网格型62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网格型72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
    <w:name w:val="网格型8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1">
    <w:name w:val="网格型1112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1">
    <w:name w:val="网格型9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1">
    <w:name w:val="网格型102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网格型132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1">
    <w:name w:val="网格型142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1">
    <w:name w:val="网格型15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网格型16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网格型19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网格型110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1">
    <w:name w:val="Table Normal4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31">
    <w:name w:val="Table Normal13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31">
    <w:name w:val="网格型24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网格型114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网格型34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1">
    <w:name w:val="网格型123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
    <w:name w:val="网格型213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1">
    <w:name w:val="网格型313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网格型43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1">
    <w:name w:val="网格型53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1">
    <w:name w:val="网格型63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1">
    <w:name w:val="网格型73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1">
    <w:name w:val="网格型83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1">
    <w:name w:val="网格型11133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1">
    <w:name w:val="网格型93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1">
    <w:name w:val="网格型103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1">
    <w:name w:val="网格型133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1">
    <w:name w:val="网格型143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1">
    <w:name w:val="网格型15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1">
    <w:name w:val="网格型162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1">
    <w:name w:val="Table Normal2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31">
    <w:name w:val="Table Normal11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31">
    <w:name w:val="网格型2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1">
    <w:name w:val="网格型112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网格型3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1">
    <w:name w:val="网格型12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1">
    <w:name w:val="网格型21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
    <w:name w:val="网格型31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网格型41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网格型5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1">
    <w:name w:val="网格型61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
    <w:name w:val="网格型71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1">
    <w:name w:val="网格型81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1">
    <w:name w:val="网格型11111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1">
    <w:name w:val="网格型91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1">
    <w:name w:val="网格型101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1">
    <w:name w:val="网格型131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1">
    <w:name w:val="网格型141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a">
    <w:name w:val="彩色型 13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21">
    <w:name w:val="网格型115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网格型20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1">
    <w:name w:val="Table Normal5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21">
    <w:name w:val="Table Normal14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21">
    <w:name w:val="网格型25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网格型116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1">
    <w:name w:val="Table Normal6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21">
    <w:name w:val="Table Normal15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21">
    <w:name w:val="网格型26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1">
    <w:name w:val="网格型117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网格型35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1">
    <w:name w:val="网格型124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网格型214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1">
    <w:name w:val="网格型314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网格型44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1">
    <w:name w:val="网格型54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1">
    <w:name w:val="网格型64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1">
    <w:name w:val="网格型74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1">
    <w:name w:val="网格型84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
    <w:name w:val="网格型1114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1">
    <w:name w:val="网格型94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1">
    <w:name w:val="网格型104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1">
    <w:name w:val="网格型134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1">
    <w:name w:val="网格型144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
    <w:name w:val="网格型153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
    <w:name w:val="网格型163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1">
    <w:name w:val="Table Normal22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21">
    <w:name w:val="Table Normal112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21">
    <w:name w:val="网格型22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1">
    <w:name w:val="网格型1122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1">
    <w:name w:val="网格型32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1">
    <w:name w:val="网格型121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1">
    <w:name w:val="网格型211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1">
    <w:name w:val="网格型311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网格型41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1">
    <w:name w:val="网格型51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1">
    <w:name w:val="网格型612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
    <w:name w:val="网格型712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1">
    <w:name w:val="网格型81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1">
    <w:name w:val="网格型11112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21">
    <w:name w:val="网格型91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1">
    <w:name w:val="网格型1012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1">
    <w:name w:val="网格型1312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1">
    <w:name w:val="网格型1412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网格型17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网格型18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1">
    <w:name w:val="Table Normal3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21">
    <w:name w:val="Table Normal12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21">
    <w:name w:val="网格型23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网格型113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网格型33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网格型122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网格型212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1">
    <w:name w:val="网格型312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网格型42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网格型52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网格型62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网格型72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
    <w:name w:val="网格型82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
    <w:name w:val="网格型11121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
    <w:name w:val="网格型92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
    <w:name w:val="网格型102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
    <w:name w:val="网格型132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
    <w:name w:val="网格型142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
    <w:name w:val="网格型15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
    <w:name w:val="网格型16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1">
    <w:name w:val="网格型19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1">
    <w:name w:val="网格型110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1">
    <w:name w:val="Table Normal4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21">
    <w:name w:val="Table Normal13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21">
    <w:name w:val="网格型24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
    <w:name w:val="网格型114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1">
    <w:name w:val="网格型34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网格型123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
    <w:name w:val="网格型213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1">
    <w:name w:val="网格型313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网格型43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
    <w:name w:val="网格型53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
    <w:name w:val="网格型63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
    <w:name w:val="网格型73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
    <w:name w:val="网格型83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
    <w:name w:val="网格型11131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
    <w:name w:val="网格型93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
    <w:name w:val="网格型103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
    <w:name w:val="网格型133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
    <w:name w:val="网格型143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
    <w:name w:val="网格型152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
    <w:name w:val="网格型162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21">
    <w:name w:val="Table Normal21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21">
    <w:name w:val="Table Normal111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21">
    <w:name w:val="网格型22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网格型1121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
    <w:name w:val="网格型32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
    <w:name w:val="网格型121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
    <w:name w:val="网格型211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1">
    <w:name w:val="网格型311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
    <w:name w:val="网格型411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
    <w:name w:val="网格型51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
    <w:name w:val="网格型611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
    <w:name w:val="网格型711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
    <w:name w:val="网格型811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
    <w:name w:val="网格型1111112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
    <w:name w:val="网格型911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
    <w:name w:val="网格型1011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
    <w:name w:val="网格型1311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
    <w:name w:val="网格型1411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彩色型 112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21">
    <w:name w:val="网格型33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网格型33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网格型39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网格型20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31">
    <w:name w:val="Table Normal5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31">
    <w:name w:val="Table Normal14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401">
    <w:name w:val="网格型40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网格型12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1">
    <w:name w:val="Table Normal9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81">
    <w:name w:val="Table Normal18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171">
    <w:name w:val="网格型217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网格型111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网格型310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网格型128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网格型218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网格型317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网格型47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网格型57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网格型6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网格型7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网格型87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网格型1118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网格型97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1">
    <w:name w:val="网格型107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
    <w:name w:val="网格型137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网格型147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网格型15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网格型16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1">
    <w:name w:val="Table Normal2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51">
    <w:name w:val="Table Normal11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51">
    <w:name w:val="网格型2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1">
    <w:name w:val="网格型112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网格型3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1">
    <w:name w:val="网格型12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网格型21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1">
    <w:name w:val="网格型31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网格型41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网格型5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1">
    <w:name w:val="网格型61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网格型71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1">
    <w:name w:val="网格型81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1">
    <w:name w:val="网格型11115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网格型91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1">
    <w:name w:val="网格型101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
    <w:name w:val="网格型131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1">
    <w:name w:val="网格型141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网格型17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网格型18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1">
    <w:name w:val="Table Normal3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41">
    <w:name w:val="Table Normal12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41">
    <w:name w:val="网格型2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网格型113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1">
    <w:name w:val="网格型3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
    <w:name w:val="网格型12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网格型21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1">
    <w:name w:val="网格型31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网格型42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1">
    <w:name w:val="网格型5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1">
    <w:name w:val="网格型62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1">
    <w:name w:val="网格型72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1">
    <w:name w:val="网格型82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1">
    <w:name w:val="网格型11124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1">
    <w:name w:val="网格型92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1">
    <w:name w:val="网格型102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1">
    <w:name w:val="网格型132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1">
    <w:name w:val="网格型142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1">
    <w:name w:val="网格型15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1">
    <w:name w:val="网格型16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网格型19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1">
    <w:name w:val="网格型110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41">
    <w:name w:val="Table Normal4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41">
    <w:name w:val="Table Normal13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41">
    <w:name w:val="网格型24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1">
    <w:name w:val="网格型114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1">
    <w:name w:val="网格型34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1">
    <w:name w:val="网格型12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1">
    <w:name w:val="网格型21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1">
    <w:name w:val="网格型31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网格型43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网格型5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1">
    <w:name w:val="网格型63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1">
    <w:name w:val="网格型73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1">
    <w:name w:val="网格型83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1">
    <w:name w:val="网格型11134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1">
    <w:name w:val="网格型93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1">
    <w:name w:val="网格型103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1">
    <w:name w:val="网格型133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1">
    <w:name w:val="网格型143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41">
    <w:name w:val="网格型15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1">
    <w:name w:val="网格型162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41">
    <w:name w:val="Table Normal21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41">
    <w:name w:val="Table Normal111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41">
    <w:name w:val="网格型22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1">
    <w:name w:val="网格型1121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1">
    <w:name w:val="网格型32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网格型121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网格型211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1">
    <w:name w:val="网格型311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网格型411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网格型51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1">
    <w:name w:val="网格型611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网格型711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1">
    <w:name w:val="网格型811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
    <w:name w:val="网格型111114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1">
    <w:name w:val="网格型911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1">
    <w:name w:val="网格型101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1">
    <w:name w:val="网格型131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1">
    <w:name w:val="网格型141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9">
    <w:name w:val="彩色型 14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31">
    <w:name w:val="网格型115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网格型20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41">
    <w:name w:val="Table Normal5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41">
    <w:name w:val="Table Normal14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31">
    <w:name w:val="网格型25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1">
    <w:name w:val="网格型116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1">
    <w:name w:val="Table Normal6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31">
    <w:name w:val="Table Normal15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31">
    <w:name w:val="网格型26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1">
    <w:name w:val="网格型117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1">
    <w:name w:val="网格型35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1">
    <w:name w:val="网格型124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1">
    <w:name w:val="网格型214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1">
    <w:name w:val="网格型314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网格型44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1">
    <w:name w:val="网格型54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1">
    <w:name w:val="网格型64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1">
    <w:name w:val="网格型74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1">
    <w:name w:val="网格型84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1">
    <w:name w:val="网格型1114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1">
    <w:name w:val="网格型94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31">
    <w:name w:val="网格型104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1">
    <w:name w:val="网格型134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1">
    <w:name w:val="网格型144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1">
    <w:name w:val="网格型153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1">
    <w:name w:val="网格型163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31">
    <w:name w:val="Table Normal22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31">
    <w:name w:val="Table Normal112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31">
    <w:name w:val="网格型22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1">
    <w:name w:val="网格型1122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1">
    <w:name w:val="网格型32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网格型12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1">
    <w:name w:val="网格型21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1">
    <w:name w:val="网格型31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1">
    <w:name w:val="网格型41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1">
    <w:name w:val="网格型5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1">
    <w:name w:val="网格型612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
    <w:name w:val="网格型712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1">
    <w:name w:val="网格型81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1">
    <w:name w:val="网格型11112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31">
    <w:name w:val="网格型91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31">
    <w:name w:val="网格型1012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1">
    <w:name w:val="网格型1312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31">
    <w:name w:val="网格型1412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
    <w:name w:val="网格型17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1">
    <w:name w:val="网格型18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1">
    <w:name w:val="Table Normal3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31">
    <w:name w:val="Table Normal12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31">
    <w:name w:val="网格型2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1">
    <w:name w:val="网格型113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网格型3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1">
    <w:name w:val="网格型12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1">
    <w:name w:val="网格型21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1">
    <w:name w:val="网格型31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1">
    <w:name w:val="网格型42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1">
    <w:name w:val="网格型5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1">
    <w:name w:val="网格型62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1">
    <w:name w:val="网格型72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1">
    <w:name w:val="网格型82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1">
    <w:name w:val="网格型11121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1">
    <w:name w:val="网格型92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1">
    <w:name w:val="网格型102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1">
    <w:name w:val="网格型132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1">
    <w:name w:val="网格型142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1">
    <w:name w:val="网格型15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1">
    <w:name w:val="网格型16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1">
    <w:name w:val="网格型19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1">
    <w:name w:val="网格型110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31">
    <w:name w:val="Table Normal4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31">
    <w:name w:val="Table Normal13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31">
    <w:name w:val="网格型24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1">
    <w:name w:val="网格型114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1">
    <w:name w:val="网格型34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1">
    <w:name w:val="网格型12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1">
    <w:name w:val="网格型21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31">
    <w:name w:val="网格型31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1">
    <w:name w:val="网格型43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1">
    <w:name w:val="网格型5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1">
    <w:name w:val="网格型63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1">
    <w:name w:val="网格型73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1">
    <w:name w:val="网格型83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1">
    <w:name w:val="网格型11131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1">
    <w:name w:val="网格型93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1">
    <w:name w:val="网格型103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1">
    <w:name w:val="网格型133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1">
    <w:name w:val="网格型143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1">
    <w:name w:val="网格型15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1">
    <w:name w:val="网格型162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31">
    <w:name w:val="Table Normal21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31">
    <w:name w:val="Table Normal111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31">
    <w:name w:val="网格型22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1">
    <w:name w:val="网格型1121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1">
    <w:name w:val="网格型32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1">
    <w:name w:val="网格型121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1">
    <w:name w:val="网格型211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31">
    <w:name w:val="网格型311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网格型411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1">
    <w:name w:val="网格型51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1">
    <w:name w:val="网格型611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网格型711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1">
    <w:name w:val="网格型811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
    <w:name w:val="网格型111111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1">
    <w:name w:val="网格型911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1">
    <w:name w:val="网格型1011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1">
    <w:name w:val="网格型1311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1">
    <w:name w:val="网格型1411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彩色型 113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31">
    <w:name w:val="网格型33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网格型27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网格型28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1">
    <w:name w:val="网格型20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1">
    <w:name w:val="网格型20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网格型48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1">
    <w:name w:val="网格型129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
    <w:name w:val="Table Normal10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91">
    <w:name w:val="Table Normal19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191">
    <w:name w:val="网格型219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网格型1119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网格型318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1">
    <w:name w:val="网格型1210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网格型2110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网格型319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网格型49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网格型58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网格型68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网格型78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网格型88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网格型11110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网格型98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1">
    <w:name w:val="网格型108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网格型138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1">
    <w:name w:val="网格型148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网格型157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1">
    <w:name w:val="网格型16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61">
    <w:name w:val="Table Normal116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61">
    <w:name w:val="网格型22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1">
    <w:name w:val="网格型112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1">
    <w:name w:val="网格型32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1">
    <w:name w:val="网格型12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网格型21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1">
    <w:name w:val="网格型31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网格型41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1">
    <w:name w:val="网格型5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1">
    <w:name w:val="网格型61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网格型71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1">
    <w:name w:val="网格型81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
    <w:name w:val="网格型11116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网格型91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1">
    <w:name w:val="网格型1016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1">
    <w:name w:val="网格型1316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1">
    <w:name w:val="网格型1416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网格型17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网格型18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51">
    <w:name w:val="Table Normal3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51">
    <w:name w:val="Table Normal12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51">
    <w:name w:val="网格型2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1">
    <w:name w:val="网格型113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1">
    <w:name w:val="网格型33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1">
    <w:name w:val="网格型12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网格型21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1">
    <w:name w:val="网格型31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1">
    <w:name w:val="网格型42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1">
    <w:name w:val="网格型5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1">
    <w:name w:val="网格型62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1">
    <w:name w:val="网格型72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1">
    <w:name w:val="网格型82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1">
    <w:name w:val="网格型11125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51">
    <w:name w:val="网格型92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51">
    <w:name w:val="网格型102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1">
    <w:name w:val="网格型132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51">
    <w:name w:val="网格型142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1">
    <w:name w:val="网格型15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1">
    <w:name w:val="网格型16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网格型19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1">
    <w:name w:val="网格型110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51">
    <w:name w:val="Table Normal4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51">
    <w:name w:val="Table Normal13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51">
    <w:name w:val="网格型24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1">
    <w:name w:val="网格型114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1">
    <w:name w:val="网格型34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1">
    <w:name w:val="网格型12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1">
    <w:name w:val="网格型21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51">
    <w:name w:val="网格型31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1">
    <w:name w:val="网格型43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1">
    <w:name w:val="网格型5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1">
    <w:name w:val="网格型63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1">
    <w:name w:val="网格型73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51">
    <w:name w:val="网格型83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1">
    <w:name w:val="网格型11135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51">
    <w:name w:val="网格型93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51">
    <w:name w:val="网格型103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1">
    <w:name w:val="网格型133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51">
    <w:name w:val="网格型143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51">
    <w:name w:val="网格型15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51">
    <w:name w:val="网格型162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51">
    <w:name w:val="Table Normal21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51">
    <w:name w:val="Table Normal111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51">
    <w:name w:val="网格型22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1">
    <w:name w:val="网格型1121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1">
    <w:name w:val="网格型32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1">
    <w:name w:val="网格型121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1">
    <w:name w:val="网格型211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1">
    <w:name w:val="网格型311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a">
    <w:name w:val="修订2"/>
    <w:hidden/>
    <w:uiPriority w:val="99"/>
    <w:semiHidden/>
    <w:qFormat/>
    <w:rPr>
      <w:rFonts w:asciiTheme="minorHAnsi" w:eastAsiaTheme="minorEastAsia" w:hAnsiTheme="minorHAnsi" w:cstheme="minorBidi"/>
      <w:kern w:val="2"/>
      <w:sz w:val="21"/>
      <w:szCs w:val="22"/>
    </w:rPr>
  </w:style>
  <w:style w:type="character" w:customStyle="1" w:styleId="3Char10">
    <w:name w:val="正文文本缩进 3 Char1"/>
    <w:uiPriority w:val="99"/>
    <w:semiHidden/>
    <w:rPr>
      <w:rFonts w:eastAsia="仿宋"/>
      <w:sz w:val="16"/>
      <w:szCs w:val="16"/>
    </w:rPr>
  </w:style>
  <w:style w:type="character" w:customStyle="1" w:styleId="1fff2">
    <w:name w:val="正文文本首行缩进 字符1"/>
    <w:uiPriority w:val="99"/>
    <w:semiHidden/>
    <w:rPr>
      <w:rFonts w:ascii="Times New Roman" w:eastAsia="仿宋" w:hAnsi="Times New Roman" w:cs="Times New Roman"/>
      <w:kern w:val="2"/>
      <w:sz w:val="28"/>
      <w:szCs w:val="22"/>
    </w:rPr>
  </w:style>
  <w:style w:type="character" w:customStyle="1" w:styleId="10Char1">
    <w:name w:val="样式10 Char1"/>
    <w:link w:val="10a"/>
    <w:semiHidden/>
    <w:qFormat/>
    <w:rsid w:val="008C1C67"/>
    <w:rPr>
      <w:rFonts w:ascii="Cambria" w:eastAsia="仿宋" w:hAnsi="Cambria"/>
      <w:sz w:val="21"/>
      <w:szCs w:val="21"/>
      <w:lang w:val="zh-CN" w:eastAsia="ar-SA"/>
    </w:rPr>
  </w:style>
  <w:style w:type="paragraph" w:customStyle="1" w:styleId="10a">
    <w:name w:val="样式10"/>
    <w:basedOn w:val="ae"/>
    <w:link w:val="10Char1"/>
    <w:semiHidden/>
    <w:qFormat/>
    <w:pPr>
      <w:pBdr>
        <w:bottom w:val="double" w:sz="0" w:space="1" w:color="000000"/>
      </w:pBdr>
      <w:tabs>
        <w:tab w:val="clear" w:pos="4153"/>
        <w:tab w:val="clear" w:pos="8306"/>
        <w:tab w:val="left" w:pos="3114"/>
        <w:tab w:val="center" w:pos="4432"/>
      </w:tabs>
      <w:suppressAutoHyphens/>
      <w:ind w:firstLine="560"/>
    </w:pPr>
    <w:rPr>
      <w:rFonts w:ascii="Cambria" w:eastAsia="仿宋" w:hAnsi="Cambria" w:cs="Times New Roman"/>
      <w:sz w:val="21"/>
      <w:szCs w:val="21"/>
      <w:lang w:val="zh-CN" w:eastAsia="ar-SA"/>
    </w:rPr>
  </w:style>
  <w:style w:type="character" w:customStyle="1" w:styleId="13Char">
    <w:name w:val="样式13 Char"/>
    <w:link w:val="13a"/>
    <w:semiHidden/>
    <w:rsid w:val="008C1C67"/>
    <w:rPr>
      <w:rFonts w:ascii="仿宋_GB2312" w:eastAsia="仿宋_GB2312" w:hAnsi="Arial Narrow" w:cs="仿宋_GB2312"/>
      <w:b/>
      <w:bCs/>
      <w:sz w:val="28"/>
      <w:szCs w:val="28"/>
      <w:lang w:val="zh-CN" w:eastAsia="ar-SA"/>
    </w:rPr>
  </w:style>
  <w:style w:type="paragraph" w:customStyle="1" w:styleId="13a">
    <w:name w:val="样式13"/>
    <w:basedOn w:val="5"/>
    <w:link w:val="13Char"/>
    <w:semiHidden/>
    <w:qFormat/>
    <w:pPr>
      <w:suppressAutoHyphens/>
      <w:snapToGrid w:val="0"/>
      <w:spacing w:before="0" w:after="0" w:line="300" w:lineRule="auto"/>
      <w:ind w:firstLine="561"/>
    </w:pPr>
    <w:rPr>
      <w:rFonts w:ascii="仿宋_GB2312" w:eastAsia="仿宋_GB2312" w:hAnsi="Arial Narrow" w:cs="仿宋_GB2312"/>
      <w:lang w:val="zh-CN" w:eastAsia="ar-SA"/>
    </w:rPr>
  </w:style>
  <w:style w:type="character" w:customStyle="1" w:styleId="zwChar">
    <w:name w:val="zw Char"/>
    <w:link w:val="zw"/>
    <w:semiHidden/>
    <w:rsid w:val="008C1C67"/>
    <w:rPr>
      <w:rFonts w:ascii="Arial Narrow" w:eastAsia="昆仑楷体" w:hAnsi="Calibri"/>
      <w:sz w:val="28"/>
    </w:rPr>
  </w:style>
  <w:style w:type="paragraph" w:customStyle="1" w:styleId="zw">
    <w:name w:val="zw"/>
    <w:basedOn w:val="a"/>
    <w:link w:val="zwChar"/>
    <w:semiHidden/>
    <w:qFormat/>
    <w:pPr>
      <w:adjustRightInd w:val="0"/>
      <w:spacing w:line="440" w:lineRule="atLeast"/>
      <w:ind w:firstLineChars="210" w:firstLine="601"/>
      <w:textAlignment w:val="baseline"/>
    </w:pPr>
    <w:rPr>
      <w:rFonts w:ascii="Arial Narrow" w:eastAsia="昆仑楷体" w:hAnsi="Calibri" w:cs="Times New Roman"/>
      <w:sz w:val="28"/>
      <w:szCs w:val="20"/>
    </w:rPr>
  </w:style>
  <w:style w:type="character" w:customStyle="1" w:styleId="WW-">
    <w:name w:val="WW-默认段落字体"/>
    <w:semiHidden/>
  </w:style>
  <w:style w:type="character" w:customStyle="1" w:styleId="Char19">
    <w:name w:val="文档结构图 Char1"/>
    <w:uiPriority w:val="99"/>
    <w:semiHidden/>
    <w:rPr>
      <w:rFonts w:ascii="宋体" w:eastAsia="宋体"/>
      <w:sz w:val="18"/>
      <w:szCs w:val="18"/>
    </w:rPr>
  </w:style>
  <w:style w:type="character" w:customStyle="1" w:styleId="Char1a">
    <w:name w:val="批注文字 Char1"/>
    <w:uiPriority w:val="99"/>
    <w:semiHidden/>
    <w:rPr>
      <w:rFonts w:eastAsia="仿宋"/>
      <w:sz w:val="28"/>
    </w:rPr>
  </w:style>
  <w:style w:type="character" w:customStyle="1" w:styleId="Charf5">
    <w:name w:val="中企华 Char"/>
    <w:link w:val="afff9"/>
    <w:semiHidden/>
    <w:rsid w:val="008C1C67"/>
    <w:rPr>
      <w:rFonts w:ascii="Arial Narrow" w:eastAsia="仿宋_GB2312" w:hAnsi="Arial Narrow" w:cs="Arial Narrow"/>
      <w:sz w:val="28"/>
      <w:szCs w:val="28"/>
    </w:rPr>
  </w:style>
  <w:style w:type="paragraph" w:customStyle="1" w:styleId="afff9">
    <w:name w:val="中企华"/>
    <w:basedOn w:val="a"/>
    <w:link w:val="Charf5"/>
    <w:semiHidden/>
    <w:qFormat/>
    <w:pPr>
      <w:snapToGrid w:val="0"/>
      <w:spacing w:line="300" w:lineRule="auto"/>
      <w:ind w:firstLineChars="200" w:firstLine="560"/>
    </w:pPr>
    <w:rPr>
      <w:rFonts w:ascii="Arial Narrow" w:eastAsia="仿宋_GB2312" w:hAnsi="Arial Narrow" w:cs="Arial Narrow"/>
      <w:sz w:val="28"/>
      <w:szCs w:val="28"/>
    </w:rPr>
  </w:style>
  <w:style w:type="character" w:customStyle="1" w:styleId="font31">
    <w:name w:val="font31"/>
    <w:semiHidden/>
    <w:qFormat/>
    <w:rPr>
      <w:rFonts w:ascii="宋体" w:eastAsia="宋体" w:hAnsi="宋体" w:cs="宋体" w:hint="eastAsia"/>
      <w:color w:val="000000"/>
      <w:sz w:val="20"/>
      <w:szCs w:val="20"/>
      <w:u w:val="none"/>
    </w:rPr>
  </w:style>
  <w:style w:type="character" w:customStyle="1" w:styleId="2Char12">
    <w:name w:val="标题 2 Char1"/>
    <w:semiHidden/>
    <w:rPr>
      <w:rFonts w:ascii="仿宋_GB2312" w:eastAsia="仿宋_GB2312" w:hAnsi="Cambria"/>
      <w:b/>
      <w:bCs/>
      <w:kern w:val="2"/>
      <w:sz w:val="28"/>
      <w:szCs w:val="32"/>
    </w:rPr>
  </w:style>
  <w:style w:type="character" w:customStyle="1" w:styleId="15Char">
    <w:name w:val="样式15 Char"/>
    <w:basedOn w:val="10Char1"/>
    <w:link w:val="15a"/>
    <w:semiHidden/>
    <w:rsid w:val="008C1C67"/>
    <w:rPr>
      <w:rFonts w:ascii="Cambria" w:eastAsia="仿宋" w:hAnsi="Cambria"/>
      <w:sz w:val="21"/>
      <w:szCs w:val="21"/>
      <w:lang w:val="zh-CN" w:eastAsia="ar-SA"/>
    </w:rPr>
  </w:style>
  <w:style w:type="paragraph" w:customStyle="1" w:styleId="15a">
    <w:name w:val="样式15"/>
    <w:basedOn w:val="10a"/>
    <w:link w:val="15Char"/>
    <w:semiHidden/>
    <w:qFormat/>
    <w:pPr>
      <w:pBdr>
        <w:bottom w:val="none" w:sz="0" w:space="0" w:color="auto"/>
      </w:pBdr>
    </w:pPr>
  </w:style>
  <w:style w:type="character" w:customStyle="1" w:styleId="14Char">
    <w:name w:val="样式14 Char"/>
    <w:link w:val="14a"/>
    <w:semiHidden/>
    <w:rsid w:val="008C1C67"/>
    <w:rPr>
      <w:rFonts w:ascii="Arial Narrow" w:eastAsia="仿宋_GB2312" w:hAnsi="Arial Narrow" w:cs="仿宋_GB2312"/>
      <w:sz w:val="28"/>
      <w:szCs w:val="28"/>
      <w:lang w:val="zh-CN" w:eastAsia="ar-SA"/>
    </w:rPr>
  </w:style>
  <w:style w:type="paragraph" w:customStyle="1" w:styleId="14a">
    <w:name w:val="样式14"/>
    <w:basedOn w:val="a"/>
    <w:link w:val="14Char"/>
    <w:semiHidden/>
    <w:qFormat/>
    <w:pPr>
      <w:pBdr>
        <w:bottom w:val="double" w:sz="4" w:space="1" w:color="auto"/>
      </w:pBdr>
      <w:suppressAutoHyphens/>
      <w:snapToGrid w:val="0"/>
      <w:spacing w:line="300" w:lineRule="auto"/>
      <w:ind w:firstLine="560"/>
    </w:pPr>
    <w:rPr>
      <w:rFonts w:ascii="Arial Narrow" w:eastAsia="仿宋_GB2312" w:hAnsi="Arial Narrow" w:cs="仿宋_GB2312"/>
      <w:sz w:val="28"/>
      <w:szCs w:val="28"/>
      <w:lang w:val="zh-CN" w:eastAsia="ar-SA"/>
    </w:rPr>
  </w:style>
  <w:style w:type="character" w:customStyle="1" w:styleId="1fff3">
    <w:name w:val="纯文本 字符1"/>
    <w:uiPriority w:val="99"/>
    <w:semiHidden/>
    <w:rPr>
      <w:rFonts w:ascii="宋体" w:hAnsi="Courier New" w:cs="Courier New"/>
      <w:kern w:val="2"/>
      <w:sz w:val="21"/>
      <w:szCs w:val="21"/>
    </w:rPr>
  </w:style>
  <w:style w:type="character" w:customStyle="1" w:styleId="font41">
    <w:name w:val="font41"/>
    <w:semiHidden/>
    <w:qFormat/>
    <w:rPr>
      <w:rFonts w:ascii="仿宋_GB2312" w:eastAsia="仿宋_GB2312" w:cs="仿宋_GB2312" w:hint="eastAsia"/>
      <w:color w:val="000000"/>
      <w:sz w:val="21"/>
      <w:szCs w:val="21"/>
      <w:u w:val="none"/>
    </w:rPr>
  </w:style>
  <w:style w:type="character" w:customStyle="1" w:styleId="16Char">
    <w:name w:val="样式16 Char"/>
    <w:link w:val="16a"/>
    <w:semiHidden/>
    <w:rsid w:val="008C1C67"/>
    <w:rPr>
      <w:rFonts w:ascii="Arial Narrow" w:eastAsia="仿宋_GB2312" w:hAnsi="Arial Narrow" w:cs="仿宋_GB2312"/>
      <w:sz w:val="18"/>
      <w:szCs w:val="18"/>
      <w:lang w:val="zh-CN" w:eastAsia="ar-SA"/>
    </w:rPr>
  </w:style>
  <w:style w:type="paragraph" w:customStyle="1" w:styleId="16a">
    <w:name w:val="样式16"/>
    <w:basedOn w:val="ad"/>
    <w:link w:val="16Char"/>
    <w:semiHidden/>
    <w:qFormat/>
    <w:rPr>
      <w:rFonts w:ascii="Arial Narrow" w:eastAsia="仿宋_GB2312" w:hAnsi="Arial Narrow" w:cs="仿宋_GB2312"/>
      <w:lang w:val="zh-CN" w:eastAsia="ar-SA"/>
    </w:rPr>
  </w:style>
  <w:style w:type="character" w:customStyle="1" w:styleId="font11">
    <w:name w:val="font11"/>
    <w:semiHidden/>
    <w:qFormat/>
    <w:rPr>
      <w:rFonts w:ascii="宋体" w:eastAsia="宋体" w:hAnsi="宋体" w:cs="宋体" w:hint="eastAsia"/>
      <w:b/>
      <w:color w:val="000000"/>
      <w:sz w:val="20"/>
      <w:szCs w:val="20"/>
      <w:u w:val="none"/>
    </w:rPr>
  </w:style>
  <w:style w:type="character" w:customStyle="1" w:styleId="3Char2">
    <w:name w:val="正文文本缩进 3 Char2"/>
    <w:basedOn w:val="a0"/>
    <w:uiPriority w:val="99"/>
    <w:semiHidden/>
    <w:rPr>
      <w:rFonts w:asciiTheme="minorHAnsi" w:eastAsiaTheme="minorEastAsia" w:hAnsiTheme="minorHAnsi" w:cstheme="minorBidi"/>
      <w:kern w:val="2"/>
      <w:sz w:val="16"/>
      <w:szCs w:val="16"/>
    </w:rPr>
  </w:style>
  <w:style w:type="character" w:customStyle="1" w:styleId="Char1b">
    <w:name w:val="正文首行缩进 Char1"/>
    <w:basedOn w:val="Char2"/>
    <w:uiPriority w:val="99"/>
    <w:semiHidden/>
    <w:rPr>
      <w:rFonts w:asciiTheme="minorHAnsi" w:eastAsiaTheme="minorEastAsia" w:hAnsiTheme="minorHAnsi" w:cstheme="minorBidi"/>
      <w:kern w:val="2"/>
      <w:sz w:val="21"/>
      <w:szCs w:val="22"/>
      <w:lang w:eastAsia="en-US"/>
    </w:rPr>
  </w:style>
  <w:style w:type="paragraph" w:customStyle="1" w:styleId="afffa">
    <w:name w:val="标签"/>
    <w:basedOn w:val="a"/>
    <w:uiPriority w:val="99"/>
    <w:semiHidden/>
    <w:qFormat/>
    <w:pPr>
      <w:suppressLineNumbers/>
      <w:suppressAutoHyphens/>
      <w:snapToGrid w:val="0"/>
      <w:spacing w:before="120" w:after="120" w:line="300" w:lineRule="auto"/>
      <w:ind w:firstLine="560"/>
    </w:pPr>
    <w:rPr>
      <w:rFonts w:ascii="Arial Narrow" w:eastAsia="仿宋_GB2312" w:hAnsi="Arial Narrow" w:cs="Tahoma"/>
      <w:i/>
      <w:iCs/>
      <w:lang w:val="zh-CN" w:eastAsia="ar-SA"/>
    </w:rPr>
  </w:style>
  <w:style w:type="paragraph" w:customStyle="1" w:styleId="8a">
    <w:name w:val="样式8"/>
    <w:basedOn w:val="ae"/>
    <w:uiPriority w:val="99"/>
    <w:semiHidden/>
    <w:qFormat/>
    <w:pPr>
      <w:pBdr>
        <w:bottom w:val="double" w:sz="0" w:space="1" w:color="000000"/>
      </w:pBdr>
      <w:tabs>
        <w:tab w:val="clear" w:pos="4153"/>
        <w:tab w:val="clear" w:pos="8306"/>
        <w:tab w:val="left" w:pos="3114"/>
        <w:tab w:val="center" w:pos="4432"/>
      </w:tabs>
      <w:suppressAutoHyphens/>
      <w:ind w:firstLine="560"/>
      <w:jc w:val="left"/>
    </w:pPr>
    <w:rPr>
      <w:rFonts w:ascii="Cambria" w:hAnsi="Cambria" w:cs="Times New Roman"/>
      <w:sz w:val="21"/>
      <w:szCs w:val="21"/>
      <w:lang w:val="zh-CN" w:eastAsia="ar-SA"/>
    </w:rPr>
  </w:style>
  <w:style w:type="paragraph" w:customStyle="1" w:styleId="H1">
    <w:name w:val="H1"/>
    <w:basedOn w:val="1"/>
    <w:uiPriority w:val="99"/>
    <w:semiHidden/>
    <w:qFormat/>
    <w:pPr>
      <w:keepNext w:val="0"/>
      <w:keepLines w:val="0"/>
      <w:tabs>
        <w:tab w:val="left" w:pos="432"/>
      </w:tabs>
      <w:suppressAutoHyphens/>
      <w:overflowPunct w:val="0"/>
      <w:autoSpaceDE w:val="0"/>
      <w:adjustRightInd w:val="0"/>
      <w:snapToGrid w:val="0"/>
      <w:spacing w:beforeLines="150" w:afterLines="150" w:line="360" w:lineRule="atLeast"/>
      <w:ind w:left="432" w:right="57" w:hanging="432"/>
      <w:textAlignment w:val="baseline"/>
      <w:outlineLvl w:val="9"/>
    </w:pPr>
    <w:rPr>
      <w:rFonts w:ascii="黑体" w:hAnsi="Times New Roman" w:cs="Times New Roman"/>
      <w:b w:val="0"/>
      <w:kern w:val="0"/>
      <w:sz w:val="30"/>
      <w:szCs w:val="20"/>
      <w:lang w:val="zh-CN" w:eastAsia="ar-SA"/>
    </w:rPr>
  </w:style>
  <w:style w:type="paragraph" w:customStyle="1" w:styleId="12a">
    <w:name w:val="样式12"/>
    <w:basedOn w:val="ae"/>
    <w:uiPriority w:val="99"/>
    <w:semiHidden/>
    <w:qFormat/>
    <w:pPr>
      <w:pBdr>
        <w:bottom w:val="none" w:sz="0" w:space="0" w:color="auto"/>
      </w:pBdr>
      <w:tabs>
        <w:tab w:val="clear" w:pos="4153"/>
        <w:tab w:val="clear" w:pos="8306"/>
        <w:tab w:val="left" w:pos="3114"/>
        <w:tab w:val="center" w:pos="4432"/>
      </w:tabs>
      <w:suppressAutoHyphens/>
      <w:ind w:firstLine="560"/>
      <w:jc w:val="left"/>
    </w:pPr>
    <w:rPr>
      <w:rFonts w:ascii="Cambria" w:hAnsi="Cambria" w:cs="Times New Roman"/>
      <w:sz w:val="21"/>
      <w:szCs w:val="21"/>
      <w:lang w:val="zh-CN" w:eastAsia="ar-SA"/>
    </w:rPr>
  </w:style>
  <w:style w:type="paragraph" w:customStyle="1" w:styleId="afffb">
    <w:name w:val="目录"/>
    <w:basedOn w:val="a"/>
    <w:uiPriority w:val="99"/>
    <w:semiHidden/>
    <w:qFormat/>
    <w:pPr>
      <w:suppressLineNumbers/>
      <w:suppressAutoHyphens/>
      <w:snapToGrid w:val="0"/>
      <w:spacing w:line="300" w:lineRule="auto"/>
      <w:ind w:firstLine="560"/>
    </w:pPr>
    <w:rPr>
      <w:rFonts w:ascii="Arial Narrow" w:eastAsia="仿宋_GB2312" w:hAnsi="Arial Narrow" w:cs="Tahoma"/>
      <w:sz w:val="28"/>
      <w:szCs w:val="28"/>
      <w:lang w:val="zh-CN" w:eastAsia="ar-SA"/>
    </w:rPr>
  </w:style>
  <w:style w:type="paragraph" w:customStyle="1" w:styleId="2fb">
    <w:name w:val="标题2"/>
    <w:basedOn w:val="a"/>
    <w:next w:val="a7"/>
    <w:uiPriority w:val="99"/>
    <w:semiHidden/>
    <w:qFormat/>
    <w:pPr>
      <w:keepNext/>
      <w:suppressAutoHyphens/>
      <w:snapToGrid w:val="0"/>
      <w:spacing w:before="240" w:after="120" w:line="300" w:lineRule="auto"/>
      <w:ind w:firstLine="560"/>
    </w:pPr>
    <w:rPr>
      <w:rFonts w:ascii="Arial" w:hAnsi="Arial" w:cs="Tahoma"/>
      <w:sz w:val="28"/>
      <w:szCs w:val="28"/>
      <w:lang w:val="zh-CN" w:eastAsia="ar-SA"/>
    </w:rPr>
  </w:style>
  <w:style w:type="paragraph" w:customStyle="1" w:styleId="2fc">
    <w:name w:val="2"/>
    <w:basedOn w:val="a"/>
    <w:uiPriority w:val="99"/>
    <w:semiHidden/>
    <w:qFormat/>
    <w:pPr>
      <w:spacing w:line="300" w:lineRule="auto"/>
      <w:ind w:firstLineChars="210" w:firstLine="210"/>
    </w:pPr>
    <w:rPr>
      <w:rFonts w:ascii="Tahoma" w:hAnsi="Tahoma" w:cs="Times New Roman"/>
      <w:szCs w:val="20"/>
    </w:rPr>
  </w:style>
  <w:style w:type="paragraph" w:customStyle="1" w:styleId="afffc">
    <w:name w:val="表格内容"/>
    <w:basedOn w:val="a"/>
    <w:uiPriority w:val="99"/>
    <w:semiHidden/>
    <w:qFormat/>
    <w:pPr>
      <w:suppressLineNumbers/>
      <w:suppressAutoHyphens/>
      <w:snapToGrid w:val="0"/>
      <w:spacing w:line="300" w:lineRule="auto"/>
      <w:ind w:firstLine="560"/>
    </w:pPr>
    <w:rPr>
      <w:rFonts w:ascii="Arial Narrow" w:eastAsia="仿宋_GB2312" w:hAnsi="Arial Narrow" w:cs="仿宋_GB2312"/>
      <w:sz w:val="28"/>
      <w:szCs w:val="28"/>
      <w:lang w:val="zh-CN" w:eastAsia="ar-SA"/>
    </w:rPr>
  </w:style>
  <w:style w:type="paragraph" w:customStyle="1" w:styleId="fig">
    <w:name w:val="fig"/>
    <w:basedOn w:val="a"/>
    <w:uiPriority w:val="99"/>
    <w:semiHidden/>
    <w:qFormat/>
    <w:pPr>
      <w:adjustRightInd w:val="0"/>
      <w:snapToGrid w:val="0"/>
      <w:spacing w:line="384" w:lineRule="auto"/>
      <w:ind w:firstLineChars="300" w:firstLine="630"/>
    </w:pPr>
    <w:rPr>
      <w:rFonts w:cs="Times New Roman"/>
      <w:szCs w:val="20"/>
    </w:rPr>
  </w:style>
  <w:style w:type="paragraph" w:customStyle="1" w:styleId="4b">
    <w:name w:val="样式4"/>
    <w:basedOn w:val="ad"/>
    <w:uiPriority w:val="99"/>
    <w:semiHidden/>
    <w:qFormat/>
  </w:style>
  <w:style w:type="paragraph" w:customStyle="1" w:styleId="HeadingDate">
    <w:name w:val="Heading Date"/>
    <w:basedOn w:val="ae"/>
    <w:uiPriority w:val="99"/>
    <w:semiHidden/>
    <w:qFormat/>
    <w:pPr>
      <w:pBdr>
        <w:bottom w:val="none" w:sz="0" w:space="0" w:color="auto"/>
      </w:pBdr>
      <w:tabs>
        <w:tab w:val="clear" w:pos="4153"/>
        <w:tab w:val="clear" w:pos="8306"/>
        <w:tab w:val="center" w:pos="4680"/>
        <w:tab w:val="right" w:pos="9360"/>
      </w:tabs>
      <w:snapToGrid/>
      <w:spacing w:line="300" w:lineRule="auto"/>
      <w:ind w:left="576" w:firstLineChars="210" w:firstLine="210"/>
      <w:jc w:val="left"/>
    </w:pPr>
    <w:rPr>
      <w:rFonts w:ascii="Cambria" w:eastAsia="Calibri" w:hAnsi="Cambria" w:cs="Times New Roman"/>
      <w:caps/>
      <w:color w:val="000000"/>
      <w:sz w:val="16"/>
      <w:szCs w:val="22"/>
      <w:lang w:eastAsia="en-US"/>
    </w:rPr>
  </w:style>
  <w:style w:type="paragraph" w:customStyle="1" w:styleId="5a">
    <w:name w:val="样式5"/>
    <w:basedOn w:val="ad"/>
    <w:uiPriority w:val="99"/>
    <w:semiHidden/>
    <w:qFormat/>
  </w:style>
  <w:style w:type="paragraph" w:customStyle="1" w:styleId="xl78">
    <w:name w:val="xl78"/>
    <w:basedOn w:val="a"/>
    <w:uiPriority w:val="99"/>
    <w:semiHidden/>
    <w:qFormat/>
    <w:pPr>
      <w:shd w:val="clear" w:color="auto" w:fill="FFFFFF"/>
      <w:spacing w:before="100" w:beforeAutospacing="1" w:after="100" w:afterAutospacing="1"/>
      <w:jc w:val="right"/>
    </w:pPr>
    <w:rPr>
      <w:rFonts w:ascii="仿宋_GB2312" w:eastAsia="仿宋_GB2312" w:hAnsi="Arial Unicode MS" w:cs="Arial Unicode MS" w:hint="eastAsia"/>
      <w:sz w:val="20"/>
      <w:szCs w:val="20"/>
    </w:rPr>
  </w:style>
  <w:style w:type="paragraph" w:customStyle="1" w:styleId="9a">
    <w:name w:val="样式9"/>
    <w:basedOn w:val="ad"/>
    <w:uiPriority w:val="99"/>
    <w:semiHidden/>
    <w:qFormat/>
  </w:style>
  <w:style w:type="paragraph" w:customStyle="1" w:styleId="xl59">
    <w:name w:val="xl59"/>
    <w:basedOn w:val="a"/>
    <w:uiPriority w:val="99"/>
    <w:semiHidden/>
    <w:qFormat/>
    <w:pPr>
      <w:pBdr>
        <w:left w:val="single" w:sz="4" w:space="0" w:color="auto"/>
        <w:bottom w:val="single" w:sz="4" w:space="0" w:color="auto"/>
        <w:right w:val="single" w:sz="4" w:space="0" w:color="auto"/>
      </w:pBdr>
      <w:spacing w:before="100" w:beforeAutospacing="1" w:after="100" w:afterAutospacing="1" w:line="300" w:lineRule="auto"/>
      <w:ind w:firstLineChars="210" w:firstLine="210"/>
      <w:textAlignment w:val="center"/>
    </w:pPr>
    <w:rPr>
      <w:rFonts w:ascii="Arial Narrow" w:hAnsi="Arial Narrow" w:cs="Times New Roman"/>
      <w:sz w:val="18"/>
      <w:szCs w:val="20"/>
    </w:rPr>
  </w:style>
  <w:style w:type="paragraph" w:customStyle="1" w:styleId="CharCharChar">
    <w:name w:val="Char Char Char"/>
    <w:basedOn w:val="a"/>
    <w:uiPriority w:val="99"/>
    <w:semiHidden/>
    <w:qFormat/>
    <w:pPr>
      <w:spacing w:line="300" w:lineRule="auto"/>
      <w:ind w:firstLineChars="210" w:firstLine="210"/>
    </w:pPr>
    <w:rPr>
      <w:rFonts w:ascii="Tahoma" w:hAnsi="Tahoma" w:cs="Times New Roman"/>
      <w:szCs w:val="20"/>
    </w:rPr>
  </w:style>
  <w:style w:type="paragraph" w:customStyle="1" w:styleId="CM5">
    <w:name w:val="CM5"/>
    <w:basedOn w:val="Default"/>
    <w:next w:val="Default"/>
    <w:uiPriority w:val="99"/>
    <w:semiHidden/>
    <w:qFormat/>
  </w:style>
  <w:style w:type="paragraph" w:customStyle="1" w:styleId="WW-0">
    <w:name w:val="WW-正文缩进"/>
    <w:basedOn w:val="a"/>
    <w:uiPriority w:val="99"/>
    <w:semiHidden/>
    <w:qFormat/>
    <w:pPr>
      <w:suppressAutoHyphens/>
      <w:overflowPunct w:val="0"/>
      <w:autoSpaceDE w:val="0"/>
      <w:spacing w:line="300" w:lineRule="auto"/>
      <w:ind w:firstLine="556"/>
      <w:textAlignment w:val="baseline"/>
    </w:pPr>
    <w:rPr>
      <w:rFonts w:ascii="仿宋_GB2312" w:eastAsia="仿宋_GB2312" w:hAnsi="仿宋_GB2312" w:cs="Times New Roman"/>
      <w:kern w:val="1"/>
      <w:sz w:val="28"/>
      <w:szCs w:val="20"/>
      <w:lang w:eastAsia="ar-SA"/>
    </w:rPr>
  </w:style>
  <w:style w:type="paragraph" w:customStyle="1" w:styleId="CharChar1Char">
    <w:name w:val="Char Char1 Char"/>
    <w:basedOn w:val="a5"/>
    <w:uiPriority w:val="99"/>
    <w:semiHidden/>
    <w:qFormat/>
  </w:style>
  <w:style w:type="paragraph" w:customStyle="1" w:styleId="font5">
    <w:name w:val="font5"/>
    <w:basedOn w:val="a"/>
    <w:uiPriority w:val="99"/>
    <w:semiHidden/>
    <w:qFormat/>
    <w:pPr>
      <w:spacing w:before="100" w:beforeAutospacing="1" w:after="100" w:afterAutospacing="1" w:line="300" w:lineRule="auto"/>
      <w:ind w:firstLineChars="210" w:firstLine="210"/>
    </w:pPr>
    <w:rPr>
      <w:rFonts w:cs="Times New Roman"/>
      <w:sz w:val="18"/>
      <w:szCs w:val="20"/>
    </w:rPr>
  </w:style>
  <w:style w:type="paragraph" w:customStyle="1" w:styleId="6a">
    <w:name w:val="样式6"/>
    <w:basedOn w:val="ae"/>
    <w:uiPriority w:val="99"/>
    <w:semiHidden/>
    <w:qFormat/>
    <w:pPr>
      <w:pBdr>
        <w:bottom w:val="double" w:sz="16" w:space="1" w:color="800000"/>
      </w:pBdr>
      <w:tabs>
        <w:tab w:val="clear" w:pos="4153"/>
        <w:tab w:val="clear" w:pos="8306"/>
        <w:tab w:val="left" w:pos="3114"/>
        <w:tab w:val="center" w:pos="4432"/>
      </w:tabs>
      <w:suppressAutoHyphens/>
      <w:ind w:firstLine="360"/>
      <w:jc w:val="left"/>
    </w:pPr>
    <w:rPr>
      <w:rFonts w:ascii="Cambria" w:hAnsi="Cambria" w:cs="Times New Roman"/>
      <w:sz w:val="21"/>
      <w:szCs w:val="21"/>
      <w:lang w:val="zh-CN" w:eastAsia="ar-SA"/>
    </w:rPr>
  </w:style>
  <w:style w:type="paragraph" w:customStyle="1" w:styleId="FDE21B788D38428EBB88308E46662AE9">
    <w:name w:val="FDE21B788D38428EBB88308E46662AE9"/>
    <w:uiPriority w:val="99"/>
    <w:semiHidden/>
    <w:qFormat/>
    <w:pPr>
      <w:spacing w:after="200" w:line="276" w:lineRule="auto"/>
      <w:ind w:firstLineChars="210" w:firstLine="210"/>
    </w:pPr>
    <w:rPr>
      <w:rFonts w:ascii="Calibri" w:hAnsi="Calibri"/>
      <w:sz w:val="22"/>
      <w:szCs w:val="22"/>
      <w:lang w:eastAsia="en-US"/>
    </w:rPr>
  </w:style>
  <w:style w:type="paragraph" w:customStyle="1" w:styleId="afffd">
    <w:name w:val="小标题"/>
    <w:basedOn w:val="a"/>
    <w:uiPriority w:val="99"/>
    <w:semiHidden/>
    <w:qFormat/>
    <w:pPr>
      <w:autoSpaceDE w:val="0"/>
      <w:autoSpaceDN w:val="0"/>
      <w:adjustRightInd w:val="0"/>
      <w:spacing w:before="360" w:after="360" w:line="440" w:lineRule="atLeast"/>
      <w:ind w:firstLineChars="210" w:firstLine="210"/>
      <w:textAlignment w:val="baseline"/>
    </w:pPr>
    <w:rPr>
      <w:rFonts w:ascii="黑体" w:eastAsia="黑体" w:hAnsi="Times New Roman" w:cs="Times New Roman"/>
      <w:b/>
      <w:spacing w:val="5"/>
      <w:sz w:val="32"/>
      <w:szCs w:val="20"/>
    </w:rPr>
  </w:style>
  <w:style w:type="paragraph" w:customStyle="1" w:styleId="CM2">
    <w:name w:val="CM2"/>
    <w:basedOn w:val="Default"/>
    <w:next w:val="Default"/>
    <w:uiPriority w:val="99"/>
    <w:semiHidden/>
    <w:qFormat/>
  </w:style>
  <w:style w:type="paragraph" w:customStyle="1" w:styleId="5b">
    <w:name w:val="正文5"/>
    <w:basedOn w:val="22"/>
    <w:uiPriority w:val="99"/>
    <w:semiHidden/>
    <w:qFormat/>
    <w:pPr>
      <w:spacing w:after="0" w:line="360" w:lineRule="auto"/>
      <w:ind w:leftChars="0" w:left="0" w:firstLineChars="210" w:firstLine="539"/>
    </w:pPr>
    <w:rPr>
      <w:rFonts w:ascii="Calibri" w:hAnsi="Calibri" w:cs="Times New Roman"/>
    </w:rPr>
  </w:style>
  <w:style w:type="paragraph" w:customStyle="1" w:styleId="3f4">
    <w:name w:val="标题3"/>
    <w:basedOn w:val="30"/>
    <w:uiPriority w:val="99"/>
    <w:semiHidden/>
    <w:qFormat/>
    <w:pPr>
      <w:suppressAutoHyphens/>
      <w:adjustRightInd w:val="0"/>
      <w:snapToGrid w:val="0"/>
      <w:spacing w:before="0" w:after="0" w:line="300" w:lineRule="auto"/>
      <w:ind w:firstLine="560"/>
    </w:pPr>
    <w:rPr>
      <w:rFonts w:ascii="仿宋_GB2312" w:eastAsia="仿宋_GB2312" w:hAnsi="Calibri" w:cs="Times New Roman"/>
      <w:b w:val="0"/>
      <w:bCs w:val="0"/>
      <w:snapToGrid w:val="0"/>
      <w:sz w:val="28"/>
      <w:szCs w:val="22"/>
    </w:rPr>
  </w:style>
  <w:style w:type="paragraph" w:customStyle="1" w:styleId="6AE78B3643DD4987A7BC90F412BB57A5">
    <w:name w:val="6AE78B3643DD4987A7BC90F412BB57A5"/>
    <w:uiPriority w:val="99"/>
    <w:semiHidden/>
    <w:qFormat/>
    <w:pPr>
      <w:spacing w:after="200" w:line="276" w:lineRule="auto"/>
      <w:ind w:firstLineChars="210" w:firstLine="210"/>
    </w:pPr>
    <w:rPr>
      <w:rFonts w:ascii="Calibri" w:hAnsi="Calibri"/>
      <w:sz w:val="22"/>
      <w:szCs w:val="22"/>
      <w:lang w:eastAsia="en-US"/>
    </w:rPr>
  </w:style>
  <w:style w:type="paragraph" w:customStyle="1" w:styleId="msonormal0">
    <w:name w:val="msonormal"/>
    <w:basedOn w:val="a"/>
    <w:uiPriority w:val="99"/>
    <w:semiHidden/>
    <w:qFormat/>
    <w:pPr>
      <w:suppressAutoHyphens/>
      <w:spacing w:before="280" w:after="280"/>
    </w:pPr>
    <w:rPr>
      <w:lang w:eastAsia="ar-SA"/>
    </w:rPr>
  </w:style>
  <w:style w:type="paragraph" w:customStyle="1" w:styleId="11d">
    <w:name w:val="样式11"/>
    <w:basedOn w:val="ad"/>
    <w:uiPriority w:val="99"/>
    <w:semiHidden/>
    <w:qFormat/>
  </w:style>
  <w:style w:type="paragraph" w:customStyle="1" w:styleId="TOC2">
    <w:name w:val="TOC 标题2"/>
    <w:basedOn w:val="1"/>
    <w:next w:val="a"/>
    <w:uiPriority w:val="99"/>
    <w:semiHidden/>
    <w:qFormat/>
    <w:pPr>
      <w:tabs>
        <w:tab w:val="left" w:pos="432"/>
      </w:tabs>
      <w:suppressAutoHyphens/>
      <w:overflowPunct w:val="0"/>
      <w:autoSpaceDE w:val="0"/>
      <w:adjustRightInd w:val="0"/>
      <w:snapToGrid w:val="0"/>
      <w:spacing w:beforeLines="150" w:afterLines="150" w:line="276" w:lineRule="auto"/>
      <w:ind w:left="432" w:hanging="432"/>
      <w:textAlignment w:val="baseline"/>
      <w:outlineLvl w:val="9"/>
    </w:pPr>
    <w:rPr>
      <w:rFonts w:ascii="Cambria" w:eastAsia="宋体" w:hAnsi="Cambria" w:cs="Times New Roman"/>
      <w:b w:val="0"/>
      <w:bCs w:val="0"/>
      <w:color w:val="376092"/>
      <w:kern w:val="0"/>
      <w:sz w:val="28"/>
      <w:szCs w:val="28"/>
      <w:lang w:val="zh-CN" w:eastAsia="ar-SA"/>
    </w:rPr>
  </w:style>
  <w:style w:type="paragraph" w:customStyle="1" w:styleId="3f5">
    <w:name w:val="修订3"/>
    <w:hidden/>
    <w:uiPriority w:val="99"/>
    <w:semiHidden/>
    <w:qFormat/>
    <w:rPr>
      <w:rFonts w:asciiTheme="minorHAnsi" w:eastAsiaTheme="minorEastAsia" w:hAnsiTheme="minorHAnsi" w:cstheme="minorBidi"/>
      <w:kern w:val="2"/>
      <w:sz w:val="21"/>
      <w:szCs w:val="22"/>
    </w:rPr>
  </w:style>
  <w:style w:type="character" w:customStyle="1" w:styleId="5c">
    <w:name w:val="未处理的提及5"/>
    <w:basedOn w:val="a0"/>
    <w:uiPriority w:val="99"/>
    <w:semiHidden/>
    <w:rPr>
      <w:color w:val="605E5C"/>
      <w:shd w:val="clear" w:color="auto" w:fill="E1DFDD"/>
    </w:rPr>
  </w:style>
  <w:style w:type="paragraph" w:customStyle="1" w:styleId="005">
    <w:name w:val="005正文"/>
    <w:basedOn w:val="a"/>
    <w:link w:val="005Char"/>
    <w:rsid w:val="008C1C67"/>
    <w:pPr>
      <w:widowControl w:val="0"/>
      <w:spacing w:beforeLines="50" w:before="50" w:afterLines="50" w:after="50" w:line="360" w:lineRule="auto"/>
      <w:ind w:firstLineChars="200" w:firstLine="200"/>
      <w:jc w:val="both"/>
    </w:pPr>
    <w:rPr>
      <w:rFonts w:ascii="Times New Roman" w:hAnsi="Times New Roman" w:cs="Times New Roman"/>
      <w:kern w:val="2"/>
      <w:szCs w:val="22"/>
    </w:rPr>
  </w:style>
  <w:style w:type="character" w:customStyle="1" w:styleId="005Char">
    <w:name w:val="005正文 Char"/>
    <w:link w:val="005"/>
    <w:qFormat/>
    <w:rsid w:val="008C1C67"/>
    <w:rPr>
      <w:kern w:val="2"/>
      <w:sz w:val="24"/>
      <w:szCs w:val="22"/>
    </w:rPr>
  </w:style>
  <w:style w:type="paragraph" w:customStyle="1" w:styleId="paragraph">
    <w:name w:val="paragraph"/>
    <w:basedOn w:val="a"/>
    <w:semiHidden/>
    <w:pPr>
      <w:spacing w:before="100" w:beforeAutospacing="1" w:after="100" w:afterAutospacing="1"/>
    </w:pPr>
  </w:style>
  <w:style w:type="table" w:customStyle="1" w:styleId="TableGrid">
    <w:name w:val="TableGrid"/>
    <w:rPr>
      <w:rFonts w:asciiTheme="minorHAnsi" w:eastAsiaTheme="minorEastAsia" w:hAnsiTheme="minorHAnsi" w:cstheme="minorBidi"/>
      <w:kern w:val="2"/>
      <w:sz w:val="21"/>
      <w:szCs w:val="24"/>
    </w:rPr>
    <w:tblPr>
      <w:tblCellMar>
        <w:top w:w="0" w:type="dxa"/>
        <w:left w:w="0" w:type="dxa"/>
        <w:bottom w:w="0" w:type="dxa"/>
        <w:right w:w="0" w:type="dxa"/>
      </w:tblCellMar>
    </w:tblPr>
  </w:style>
  <w:style w:type="character" w:customStyle="1" w:styleId="ZWChar0">
    <w:name w:val="ZW Char"/>
    <w:link w:val="ZW0"/>
    <w:semiHidden/>
    <w:qFormat/>
    <w:rsid w:val="008C1C67"/>
    <w:rPr>
      <w:rFonts w:ascii="Arial Narrow" w:eastAsia="昆仑楷体"/>
      <w:sz w:val="28"/>
    </w:rPr>
  </w:style>
  <w:style w:type="paragraph" w:customStyle="1" w:styleId="ZW0">
    <w:name w:val="ZW"/>
    <w:basedOn w:val="a"/>
    <w:link w:val="ZWChar0"/>
    <w:semiHidden/>
    <w:qFormat/>
    <w:pPr>
      <w:widowControl w:val="0"/>
      <w:adjustRightInd w:val="0"/>
      <w:spacing w:line="440" w:lineRule="atLeast"/>
      <w:ind w:firstLine="601"/>
      <w:jc w:val="both"/>
      <w:textAlignment w:val="baseline"/>
    </w:pPr>
    <w:rPr>
      <w:rFonts w:ascii="Arial Narrow" w:eastAsia="昆仑楷体" w:hAnsi="Times New Roman" w:cs="Times New Roman"/>
      <w:sz w:val="28"/>
      <w:szCs w:val="20"/>
    </w:rPr>
  </w:style>
  <w:style w:type="table" w:customStyle="1" w:styleId="afffe">
    <w:name w:val="东洲报告表格样式"/>
    <w:basedOn w:val="a1"/>
    <w:uiPriority w:val="99"/>
    <w:qFormat/>
    <w:tblPr>
      <w:tblBorders>
        <w:top w:val="single" w:sz="8" w:space="0" w:color="auto"/>
        <w:bottom w:val="single" w:sz="8" w:space="0" w:color="auto"/>
        <w:insideH w:val="dotted" w:sz="4" w:space="0" w:color="auto"/>
        <w:insideV w:val="dotted" w:sz="4" w:space="0" w:color="auto"/>
      </w:tblBorders>
    </w:tblPr>
    <w:tcPr>
      <w:vAlign w:val="center"/>
    </w:tcPr>
    <w:tblStylePr w:type="firstRow">
      <w:tblPr/>
      <w:trPr>
        <w:tblHeader/>
      </w:trPr>
    </w:tblStylePr>
  </w:style>
  <w:style w:type="paragraph" w:customStyle="1" w:styleId="1fff4">
    <w:name w:val="立信附注标题 [1级]"/>
    <w:next w:val="a"/>
    <w:link w:val="1Char1"/>
    <w:semiHidden/>
    <w:qFormat/>
    <w:pPr>
      <w:widowControl w:val="0"/>
      <w:tabs>
        <w:tab w:val="left" w:pos="714"/>
        <w:tab w:val="left" w:pos="850"/>
      </w:tabs>
      <w:adjustRightInd w:val="0"/>
      <w:snapToGrid w:val="0"/>
      <w:spacing w:line="400" w:lineRule="atLeast"/>
      <w:ind w:left="709" w:hanging="709"/>
      <w:jc w:val="both"/>
      <w:outlineLvl w:val="0"/>
    </w:pPr>
    <w:rPr>
      <w:b/>
      <w:color w:val="000000"/>
      <w:kern w:val="2"/>
      <w:sz w:val="21"/>
      <w:szCs w:val="21"/>
    </w:rPr>
  </w:style>
  <w:style w:type="paragraph" w:customStyle="1" w:styleId="2">
    <w:name w:val="立信附注标题 [2级]"/>
    <w:next w:val="a"/>
    <w:link w:val="2Char3"/>
    <w:semiHidden/>
    <w:qFormat/>
    <w:pPr>
      <w:widowControl w:val="0"/>
      <w:numPr>
        <w:ilvl w:val="1"/>
        <w:numId w:val="2"/>
      </w:numPr>
      <w:tabs>
        <w:tab w:val="left" w:pos="714"/>
        <w:tab w:val="left" w:pos="850"/>
      </w:tabs>
      <w:adjustRightInd w:val="0"/>
      <w:snapToGrid w:val="0"/>
      <w:spacing w:line="400" w:lineRule="atLeast"/>
      <w:jc w:val="both"/>
      <w:outlineLvl w:val="1"/>
    </w:pPr>
    <w:rPr>
      <w:b/>
      <w:color w:val="000000"/>
      <w:kern w:val="2"/>
      <w:sz w:val="21"/>
      <w:szCs w:val="21"/>
    </w:rPr>
  </w:style>
  <w:style w:type="character" w:customStyle="1" w:styleId="2Char3">
    <w:name w:val="立信附注标题 [2级] Char"/>
    <w:basedOn w:val="a0"/>
    <w:link w:val="2"/>
    <w:semiHidden/>
    <w:qFormat/>
    <w:rsid w:val="008C1C67"/>
    <w:rPr>
      <w:b/>
      <w:color w:val="000000"/>
      <w:kern w:val="2"/>
      <w:sz w:val="21"/>
      <w:szCs w:val="21"/>
    </w:rPr>
  </w:style>
  <w:style w:type="paragraph" w:customStyle="1" w:styleId="3">
    <w:name w:val="立信附注标题 [3级]"/>
    <w:next w:val="a"/>
    <w:link w:val="3Char3"/>
    <w:semiHidden/>
    <w:qFormat/>
    <w:pPr>
      <w:widowControl w:val="0"/>
      <w:numPr>
        <w:ilvl w:val="2"/>
        <w:numId w:val="2"/>
      </w:numPr>
      <w:tabs>
        <w:tab w:val="left" w:pos="0"/>
      </w:tabs>
      <w:adjustRightInd w:val="0"/>
      <w:snapToGrid w:val="0"/>
      <w:spacing w:line="400" w:lineRule="atLeast"/>
      <w:jc w:val="both"/>
      <w:outlineLvl w:val="2"/>
    </w:pPr>
    <w:rPr>
      <w:b/>
      <w:color w:val="000000"/>
      <w:kern w:val="2"/>
      <w:sz w:val="21"/>
      <w:szCs w:val="21"/>
    </w:rPr>
  </w:style>
  <w:style w:type="table" w:customStyle="1" w:styleId="2fd">
    <w:name w:val="立信年报表格 [2级]"/>
    <w:basedOn w:val="a1"/>
    <w:qFormat/>
    <w:pPr>
      <w:jc w:val="both"/>
    </w:pPr>
    <w:rPr>
      <w:color w:val="000000"/>
      <w:sz w:val="18"/>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character" w:customStyle="1" w:styleId="3Char3">
    <w:name w:val="立信附注标题 [3级] Char"/>
    <w:basedOn w:val="a0"/>
    <w:link w:val="3"/>
    <w:semiHidden/>
    <w:qFormat/>
    <w:rsid w:val="008C1C67"/>
    <w:rPr>
      <w:b/>
      <w:color w:val="000000"/>
      <w:kern w:val="2"/>
      <w:sz w:val="21"/>
      <w:szCs w:val="21"/>
    </w:rPr>
  </w:style>
  <w:style w:type="paragraph" w:customStyle="1" w:styleId="3f6">
    <w:name w:val="立信附注正文 [3级]"/>
    <w:link w:val="3Char4"/>
    <w:semiHidden/>
    <w:qFormat/>
    <w:pPr>
      <w:widowControl w:val="0"/>
      <w:tabs>
        <w:tab w:val="left" w:pos="0"/>
      </w:tabs>
      <w:adjustRightInd w:val="0"/>
      <w:snapToGrid w:val="0"/>
      <w:spacing w:line="400" w:lineRule="atLeast"/>
      <w:ind w:left="1276"/>
      <w:jc w:val="both"/>
    </w:pPr>
    <w:rPr>
      <w:color w:val="000000"/>
      <w:kern w:val="2"/>
      <w:sz w:val="21"/>
      <w:szCs w:val="21"/>
    </w:rPr>
  </w:style>
  <w:style w:type="character" w:customStyle="1" w:styleId="3Char4">
    <w:name w:val="立信附注正文 [3级] Char"/>
    <w:basedOn w:val="a0"/>
    <w:link w:val="3f6"/>
    <w:semiHidden/>
    <w:qFormat/>
    <w:rsid w:val="008C1C67"/>
    <w:rPr>
      <w:color w:val="000000"/>
      <w:kern w:val="2"/>
      <w:sz w:val="21"/>
      <w:szCs w:val="21"/>
    </w:rPr>
  </w:style>
  <w:style w:type="paragraph" w:customStyle="1" w:styleId="g">
    <w:name w:val="g表格首行"/>
    <w:basedOn w:val="a"/>
    <w:link w:val="g0"/>
    <w:semiHidden/>
    <w:qFormat/>
    <w:locked/>
    <w:pPr>
      <w:snapToGrid w:val="0"/>
      <w:jc w:val="center"/>
    </w:pPr>
    <w:rPr>
      <w:rFonts w:ascii="仿宋" w:eastAsia="等线" w:hAnsi="仿宋"/>
      <w:b/>
      <w:color w:val="000000"/>
      <w:sz w:val="20"/>
      <w:szCs w:val="20"/>
    </w:rPr>
  </w:style>
  <w:style w:type="character" w:customStyle="1" w:styleId="g0">
    <w:name w:val="g表格首行 字符"/>
    <w:link w:val="g"/>
    <w:semiHidden/>
    <w:rsid w:val="008C1C67"/>
    <w:rPr>
      <w:rFonts w:ascii="仿宋" w:eastAsia="等线" w:hAnsi="仿宋" w:cs="宋体"/>
      <w:b/>
      <w:color w:val="000000"/>
    </w:rPr>
  </w:style>
  <w:style w:type="character" w:customStyle="1" w:styleId="3Char0">
    <w:name w:val="正文文本 3 Char"/>
    <w:basedOn w:val="a0"/>
    <w:link w:val="31"/>
    <w:semiHidden/>
    <w:rsid w:val="008C1C67"/>
    <w:rPr>
      <w:rFonts w:asciiTheme="minorHAnsi" w:eastAsia="楷体" w:hAnsiTheme="minorHAnsi" w:cstheme="minorBidi"/>
      <w:kern w:val="2"/>
      <w:sz w:val="24"/>
      <w:szCs w:val="21"/>
    </w:rPr>
  </w:style>
  <w:style w:type="paragraph" w:customStyle="1" w:styleId="1fff5">
    <w:name w:val="批注框文本1"/>
    <w:basedOn w:val="a"/>
    <w:semiHidden/>
    <w:pPr>
      <w:spacing w:line="400" w:lineRule="atLeast"/>
    </w:pPr>
    <w:rPr>
      <w:rFonts w:asciiTheme="minorHAnsi" w:eastAsiaTheme="minorEastAsia" w:hAnsiTheme="minorHAnsi" w:cstheme="minorBidi"/>
      <w:kern w:val="2"/>
      <w:sz w:val="18"/>
      <w:szCs w:val="18"/>
    </w:rPr>
  </w:style>
  <w:style w:type="table" w:customStyle="1" w:styleId="affff">
    <w:name w:val="立信专用格式"/>
    <w:basedOn w:val="a1"/>
    <w:uiPriority w:val="99"/>
    <w:pPr>
      <w:spacing w:line="400" w:lineRule="exact"/>
    </w:pPr>
    <w:rPr>
      <w:rFonts w:asciiTheme="minorHAnsi" w:eastAsiaTheme="minorEastAsia" w:hAnsiTheme="minorHAnsi" w:cstheme="minorBidi"/>
      <w:kern w:val="2"/>
      <w:sz w:val="21"/>
      <w:szCs w:val="21"/>
    </w:rPr>
    <w:tblPr>
      <w:tblBorders>
        <w:top w:val="single" w:sz="12" w:space="0" w:color="auto"/>
        <w:bottom w:val="single" w:sz="12" w:space="0" w:color="auto"/>
        <w:insideH w:val="dotted" w:sz="4" w:space="0" w:color="auto"/>
        <w:insideV w:val="dotted" w:sz="4" w:space="0" w:color="auto"/>
      </w:tblBorders>
    </w:tblPr>
  </w:style>
  <w:style w:type="table" w:customStyle="1" w:styleId="2fe">
    <w:name w:val="立信年报表格[2级]"/>
    <w:basedOn w:val="a1"/>
    <w:pPr>
      <w:spacing w:line="400" w:lineRule="atLeast"/>
    </w:pPr>
    <w:rPr>
      <w:rFonts w:ascii="宋体" w:hAnsi="宋体" w:cstheme="minorBidi"/>
      <w:kern w:val="2"/>
      <w:sz w:val="18"/>
      <w:szCs w:val="21"/>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character" w:customStyle="1" w:styleId="1Char1">
    <w:name w:val="立信附注标题 [1级] Char"/>
    <w:basedOn w:val="a0"/>
    <w:link w:val="1fff4"/>
    <w:semiHidden/>
    <w:rsid w:val="008C1C67"/>
    <w:rPr>
      <w:b/>
      <w:color w:val="000000"/>
      <w:kern w:val="2"/>
      <w:sz w:val="21"/>
      <w:szCs w:val="21"/>
    </w:rPr>
  </w:style>
  <w:style w:type="paragraph" w:customStyle="1" w:styleId="2ff">
    <w:name w:val="立信附注正文 [2级]"/>
    <w:link w:val="2Char4"/>
    <w:semiHidden/>
    <w:qFormat/>
    <w:pPr>
      <w:widowControl w:val="0"/>
      <w:tabs>
        <w:tab w:val="left" w:pos="0"/>
      </w:tabs>
      <w:adjustRightInd w:val="0"/>
      <w:snapToGrid w:val="0"/>
      <w:spacing w:line="400" w:lineRule="atLeast"/>
      <w:ind w:left="714"/>
      <w:jc w:val="both"/>
    </w:pPr>
    <w:rPr>
      <w:color w:val="000000"/>
      <w:kern w:val="2"/>
      <w:sz w:val="21"/>
      <w:szCs w:val="21"/>
    </w:rPr>
  </w:style>
  <w:style w:type="character" w:customStyle="1" w:styleId="2Char4">
    <w:name w:val="立信附注正文 [2级] Char"/>
    <w:basedOn w:val="a0"/>
    <w:link w:val="2ff"/>
    <w:semiHidden/>
    <w:qFormat/>
    <w:rsid w:val="008C1C67"/>
    <w:rPr>
      <w:color w:val="000000"/>
      <w:kern w:val="2"/>
      <w:sz w:val="21"/>
      <w:szCs w:val="21"/>
    </w:rPr>
  </w:style>
  <w:style w:type="table" w:customStyle="1" w:styleId="3f7">
    <w:name w:val="立信年报表格 [3级]"/>
    <w:basedOn w:val="a1"/>
    <w:pPr>
      <w:spacing w:line="400" w:lineRule="atLeast"/>
      <w:jc w:val="both"/>
    </w:pPr>
    <w:rPr>
      <w:color w:val="000000"/>
      <w:kern w:val="2"/>
      <w:sz w:val="18"/>
      <w:szCs w:val="21"/>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1fff6">
    <w:name w:val="立信附注正文 [1级]"/>
    <w:link w:val="1Char2"/>
    <w:semiHidden/>
    <w:qFormat/>
    <w:pPr>
      <w:widowControl w:val="0"/>
      <w:tabs>
        <w:tab w:val="left" w:pos="0"/>
      </w:tabs>
      <w:adjustRightInd w:val="0"/>
      <w:snapToGrid w:val="0"/>
      <w:spacing w:line="400" w:lineRule="atLeast"/>
      <w:ind w:firstLine="567"/>
      <w:jc w:val="both"/>
    </w:pPr>
    <w:rPr>
      <w:color w:val="000000"/>
      <w:kern w:val="2"/>
      <w:sz w:val="28"/>
      <w:szCs w:val="21"/>
    </w:rPr>
  </w:style>
  <w:style w:type="character" w:customStyle="1" w:styleId="1Char2">
    <w:name w:val="立信附注正文 [1级] Char"/>
    <w:basedOn w:val="a0"/>
    <w:link w:val="1fff6"/>
    <w:semiHidden/>
    <w:qFormat/>
    <w:rsid w:val="008C1C67"/>
    <w:rPr>
      <w:color w:val="000000"/>
      <w:kern w:val="2"/>
      <w:sz w:val="28"/>
      <w:szCs w:val="21"/>
    </w:rPr>
  </w:style>
  <w:style w:type="table" w:customStyle="1" w:styleId="affff0">
    <w:name w:val="立信年报表格"/>
    <w:basedOn w:val="a1"/>
    <w:pPr>
      <w:spacing w:line="400" w:lineRule="atLeast"/>
      <w:jc w:val="both"/>
    </w:pPr>
    <w:rPr>
      <w:rFonts w:asciiTheme="minorHAnsi" w:eastAsiaTheme="minorEastAsia" w:hAnsiTheme="minorHAnsi" w:cstheme="minorBidi"/>
      <w:color w:val="000000"/>
      <w:kern w:val="2"/>
      <w:sz w:val="18"/>
      <w:szCs w:val="21"/>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affff1">
    <w:name w:val="附注三级正文"/>
    <w:basedOn w:val="a"/>
    <w:semiHidden/>
    <w:pPr>
      <w:widowControl w:val="0"/>
      <w:tabs>
        <w:tab w:val="left" w:pos="630"/>
      </w:tabs>
      <w:adjustRightInd w:val="0"/>
      <w:snapToGrid w:val="0"/>
      <w:spacing w:line="400" w:lineRule="atLeast"/>
      <w:ind w:leftChars="600" w:left="1260"/>
      <w:jc w:val="both"/>
    </w:pPr>
    <w:rPr>
      <w:rFonts w:cs="Times New Roman"/>
      <w:kern w:val="2"/>
      <w:sz w:val="21"/>
      <w:szCs w:val="21"/>
    </w:rPr>
  </w:style>
  <w:style w:type="paragraph" w:customStyle="1" w:styleId="affff2">
    <w:name w:val="附注二级正文"/>
    <w:basedOn w:val="a"/>
    <w:link w:val="Charf6"/>
    <w:semiHidden/>
    <w:pPr>
      <w:widowControl w:val="0"/>
      <w:adjustRightInd w:val="0"/>
      <w:snapToGrid w:val="0"/>
      <w:spacing w:line="400" w:lineRule="atLeast"/>
      <w:ind w:leftChars="342" w:left="718"/>
      <w:jc w:val="both"/>
    </w:pPr>
    <w:rPr>
      <w:rFonts w:cs="Times New Roman"/>
      <w:kern w:val="2"/>
      <w:sz w:val="21"/>
      <w:szCs w:val="21"/>
    </w:rPr>
  </w:style>
  <w:style w:type="character" w:customStyle="1" w:styleId="Charf6">
    <w:name w:val="附注二级正文 Char"/>
    <w:link w:val="affff2"/>
    <w:semiHidden/>
    <w:rsid w:val="008C1C67"/>
    <w:rPr>
      <w:rFonts w:ascii="宋体" w:hAnsi="宋体"/>
      <w:kern w:val="2"/>
      <w:sz w:val="21"/>
      <w:szCs w:val="21"/>
    </w:rPr>
  </w:style>
  <w:style w:type="paragraph" w:customStyle="1" w:styleId="11">
    <w:name w:val="审计报告标题1 [1级]"/>
    <w:link w:val="11Char"/>
    <w:semiHidden/>
    <w:pPr>
      <w:numPr>
        <w:numId w:val="3"/>
      </w:numPr>
      <w:adjustRightInd w:val="0"/>
      <w:snapToGrid w:val="0"/>
      <w:spacing w:line="400" w:lineRule="atLeast"/>
    </w:pPr>
    <w:rPr>
      <w:rFonts w:ascii="宋体" w:hAnsi="宋体" w:cstheme="minorBidi"/>
      <w:b/>
      <w:kern w:val="2"/>
      <w:sz w:val="28"/>
      <w:szCs w:val="21"/>
    </w:rPr>
  </w:style>
  <w:style w:type="character" w:customStyle="1" w:styleId="11Char">
    <w:name w:val="审计报告标题1 [1级] Char"/>
    <w:basedOn w:val="a0"/>
    <w:link w:val="11"/>
    <w:semiHidden/>
    <w:rsid w:val="008C1C67"/>
    <w:rPr>
      <w:rFonts w:ascii="宋体" w:hAnsi="宋体" w:cstheme="minorBidi"/>
      <w:b/>
      <w:kern w:val="2"/>
      <w:sz w:val="28"/>
      <w:szCs w:val="21"/>
    </w:rPr>
  </w:style>
  <w:style w:type="paragraph" w:customStyle="1" w:styleId="affff3">
    <w:name w:val="表格内"/>
    <w:basedOn w:val="a"/>
    <w:link w:val="Charf7"/>
    <w:semiHidden/>
    <w:qFormat/>
    <w:pPr>
      <w:widowControl w:val="0"/>
      <w:adjustRightInd w:val="0"/>
      <w:jc w:val="center"/>
      <w:textAlignment w:val="baseline"/>
    </w:pPr>
    <w:rPr>
      <w:rFonts w:asciiTheme="minorHAnsi" w:eastAsia="仿宋" w:hAnsiTheme="minorHAnsi" w:cstheme="minorBidi"/>
      <w:sz w:val="15"/>
      <w:szCs w:val="21"/>
    </w:rPr>
  </w:style>
  <w:style w:type="character" w:customStyle="1" w:styleId="Charf7">
    <w:name w:val="表格内 Char"/>
    <w:basedOn w:val="a0"/>
    <w:link w:val="affff3"/>
    <w:semiHidden/>
    <w:qFormat/>
    <w:rsid w:val="008C1C67"/>
    <w:rPr>
      <w:rFonts w:asciiTheme="minorHAnsi" w:eastAsia="仿宋" w:hAnsiTheme="minorHAnsi" w:cstheme="minorBidi"/>
      <w:sz w:val="15"/>
      <w:szCs w:val="21"/>
    </w:rPr>
  </w:style>
  <w:style w:type="character" w:customStyle="1" w:styleId="-Char">
    <w:name w:val="正文-东洲常标 Char"/>
    <w:basedOn w:val="a0"/>
    <w:link w:val="-"/>
    <w:semiHidden/>
    <w:qFormat/>
    <w:locked/>
    <w:rsid w:val="008C1C67"/>
    <w:rPr>
      <w:rFonts w:ascii="宋体" w:hAnsi="宋体" w:cs="Arial"/>
      <w:kern w:val="2"/>
      <w:sz w:val="24"/>
      <w:szCs w:val="24"/>
    </w:rPr>
  </w:style>
  <w:style w:type="paragraph" w:customStyle="1" w:styleId="-">
    <w:name w:val="正文-东洲常标"/>
    <w:basedOn w:val="a"/>
    <w:link w:val="-Char"/>
    <w:semiHidden/>
    <w:qFormat/>
    <w:pPr>
      <w:widowControl w:val="0"/>
      <w:adjustRightInd w:val="0"/>
      <w:snapToGrid w:val="0"/>
      <w:spacing w:afterLines="25" w:line="360" w:lineRule="auto"/>
      <w:ind w:firstLineChars="200" w:firstLine="200"/>
      <w:jc w:val="both"/>
    </w:pPr>
    <w:rPr>
      <w:rFonts w:cs="Arial"/>
      <w:kern w:val="2"/>
    </w:rPr>
  </w:style>
  <w:style w:type="table" w:customStyle="1" w:styleId="-0">
    <w:name w:val="表格-东洲标准"/>
    <w:basedOn w:val="a1"/>
    <w:uiPriority w:val="99"/>
    <w:qFormat/>
    <w:pPr>
      <w:adjustRightInd w:val="0"/>
      <w:snapToGrid w:val="0"/>
      <w:jc w:val="center"/>
    </w:pPr>
    <w:rPr>
      <w:rFonts w:ascii="宋体" w:hAnsi="宋体"/>
      <w:sz w:val="18"/>
    </w:rPr>
    <w:tblPr>
      <w:tblBorders>
        <w:top w:val="single" w:sz="8" w:space="0" w:color="auto"/>
        <w:left w:val="single" w:sz="6" w:space="0" w:color="auto"/>
        <w:bottom w:val="single" w:sz="8" w:space="0" w:color="auto"/>
        <w:right w:val="single" w:sz="6" w:space="0" w:color="auto"/>
        <w:insideH w:val="single" w:sz="6" w:space="0" w:color="auto"/>
        <w:insideV w:val="single" w:sz="6" w:space="0" w:color="auto"/>
      </w:tblBorders>
    </w:tblPr>
    <w:tcPr>
      <w:vAlign w:val="center"/>
    </w:tcPr>
    <w:tblStylePr w:type="firstRow">
      <w:pPr>
        <w:wordWrap/>
        <w:adjustRightInd w:val="0"/>
        <w:snapToGrid w:val="0"/>
        <w:spacing w:beforeLines="0" w:before="100" w:beforeAutospacing="1" w:afterLines="0" w:after="100" w:afterAutospacing="1" w:line="420" w:lineRule="auto"/>
      </w:pPr>
      <w:rPr>
        <w:rFonts w:ascii="黑体" w:eastAsia="宋体" w:hAnsi="黑体" w:cstheme="majorBidi" w:hint="eastAsia"/>
        <w:b/>
        <w:bCs/>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spacing w:beforeLines="0" w:before="0" w:beforeAutospacing="0" w:afterLines="0" w:after="0" w:afterAutospacing="0" w:line="240" w:lineRule="auto"/>
      </w:pPr>
      <w:rPr>
        <w:rFonts w:asciiTheme="majorHAnsi" w:eastAsia="宋体" w:hAnsiTheme="majorHAnsi" w:cstheme="majorBidi" w:hint="default"/>
        <w:b w:val="0"/>
        <w:bCs/>
        <w:sz w:val="18"/>
        <w:szCs w:val="18"/>
      </w:rPr>
      <w:tblPr/>
      <w:tcPr>
        <w:tcBorders>
          <w:top w:val="single" w:sz="4" w:space="0" w:color="auto"/>
          <w:left w:val="single" w:sz="4" w:space="0" w:color="auto"/>
          <w:bottom w:val="single" w:sz="4" w:space="0" w:color="auto"/>
          <w:right w:val="single" w:sz="4" w:space="0" w:color="auto"/>
          <w:insideH w:val="nil"/>
          <w:insideV w:val="single" w:sz="4" w:space="0" w:color="auto"/>
        </w:tcBorders>
      </w:tcPr>
    </w:tblStylePr>
    <w:tblStylePr w:type="firstCol">
      <w:rPr>
        <w:rFonts w:ascii="宋体" w:eastAsia="宋体" w:hAnsi="宋体" w:cstheme="majorBidi" w:hint="eastAsia"/>
        <w:b w:val="0"/>
        <w:bCs/>
        <w:i w:val="0"/>
        <w:sz w:val="18"/>
        <w:szCs w:val="18"/>
      </w:rPr>
    </w:tblStylePr>
    <w:tblStylePr w:type="lastCol">
      <w:rPr>
        <w:rFonts w:asciiTheme="majorHAnsi" w:eastAsia="宋体" w:hAnsiTheme="majorHAnsi" w:cstheme="majorBidi" w:hint="default"/>
        <w:b w:val="0"/>
        <w:bCs/>
        <w:sz w:val="18"/>
        <w:szCs w:val="18"/>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ascii="宋体" w:eastAsia="宋体" w:hAnsi="宋体" w:hint="eastAsia"/>
        <w:sz w:val="18"/>
        <w:szCs w:val="18"/>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2Vert">
      <w:rPr>
        <w:rFonts w:ascii="宋体" w:eastAsia="宋体" w:hAnsi="宋体" w:hint="eastAsia"/>
        <w:b w:val="0"/>
        <w:sz w:val="18"/>
        <w:szCs w:val="18"/>
      </w:rPr>
    </w:tblStylePr>
    <w:tblStylePr w:type="band1Horz">
      <w:rPr>
        <w:rFonts w:ascii="宋体" w:eastAsia="宋体" w:hAnsi="宋体" w:hint="eastAsia"/>
        <w:sz w:val="18"/>
        <w:szCs w:val="18"/>
      </w:rPr>
      <w:tblPr/>
      <w:tcPr>
        <w:tcBorders>
          <w:top w:val="single" w:sz="4" w:space="0" w:color="auto"/>
          <w:left w:val="single" w:sz="4" w:space="0" w:color="auto"/>
          <w:bottom w:val="single" w:sz="4" w:space="0" w:color="auto"/>
          <w:right w:val="single" w:sz="4" w:space="0" w:color="auto"/>
          <w:insideV w:val="single" w:sz="4" w:space="0" w:color="auto"/>
        </w:tcBorders>
      </w:tcPr>
    </w:tblStylePr>
    <w:tblStylePr w:type="band2Horz">
      <w:rPr>
        <w:rFonts w:ascii="宋体" w:eastAsia="宋体" w:hAnsi="宋体" w:hint="eastAsia"/>
        <w:sz w:val="18"/>
        <w:szCs w:val="18"/>
      </w:rPr>
      <w:tblPr/>
      <w:tcPr>
        <w:tcBorders>
          <w:top w:val="single" w:sz="4" w:space="0" w:color="auto"/>
          <w:left w:val="single" w:sz="4" w:space="0" w:color="auto"/>
          <w:bottom w:val="single" w:sz="4" w:space="0" w:color="auto"/>
          <w:right w:val="single" w:sz="4" w:space="0" w:color="auto"/>
          <w:insideV w:val="single" w:sz="4" w:space="0" w:color="auto"/>
        </w:tcBorders>
      </w:tcPr>
    </w:tblStylePr>
  </w:style>
  <w:style w:type="table" w:customStyle="1" w:styleId="26110">
    <w:name w:val="立信年报表格 [2级]611"/>
    <w:basedOn w:val="a1"/>
    <w:qFormat/>
    <w:pPr>
      <w:jc w:val="both"/>
    </w:pPr>
    <w:rPr>
      <w:color w:val="000000"/>
      <w:kern w:val="2"/>
      <w:sz w:val="18"/>
      <w:szCs w:val="22"/>
    </w:rPr>
    <w:tblPr>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paragraph" w:customStyle="1" w:styleId="affff4">
    <w:name w:val="表上单位"/>
    <w:basedOn w:val="a"/>
    <w:link w:val="Charf8"/>
    <w:semiHidden/>
    <w:qFormat/>
    <w:rsid w:val="00E65DBB"/>
    <w:pPr>
      <w:widowControl w:val="0"/>
      <w:adjustRightInd w:val="0"/>
      <w:snapToGrid w:val="0"/>
      <w:spacing w:line="360" w:lineRule="auto"/>
      <w:jc w:val="right"/>
    </w:pPr>
    <w:rPr>
      <w:rFonts w:cs="Times New Roman"/>
      <w:kern w:val="2"/>
      <w:sz w:val="18"/>
    </w:rPr>
  </w:style>
  <w:style w:type="character" w:customStyle="1" w:styleId="Charf8">
    <w:name w:val="表上单位 Char"/>
    <w:basedOn w:val="a0"/>
    <w:link w:val="affff4"/>
    <w:semiHidden/>
    <w:qFormat/>
    <w:rsid w:val="008C1C67"/>
    <w:rPr>
      <w:rFonts w:ascii="宋体" w:hAnsi="宋体"/>
      <w:kern w:val="2"/>
      <w:sz w:val="18"/>
      <w:szCs w:val="24"/>
    </w:rPr>
  </w:style>
  <w:style w:type="character" w:customStyle="1" w:styleId="6b">
    <w:name w:val="未处理的提及6"/>
    <w:basedOn w:val="a0"/>
    <w:uiPriority w:val="99"/>
    <w:semiHidden/>
    <w:rsid w:val="007915B4"/>
    <w:rPr>
      <w:color w:val="605E5C"/>
      <w:shd w:val="clear" w:color="auto" w:fill="E1DFDD"/>
    </w:rPr>
  </w:style>
  <w:style w:type="paragraph" w:styleId="affff5">
    <w:name w:val="Revision"/>
    <w:hidden/>
    <w:uiPriority w:val="99"/>
    <w:semiHidden/>
    <w:rsid w:val="00F974FA"/>
    <w:rPr>
      <w:rFonts w:ascii="宋体" w:hAnsi="宋体" w:cs="宋体"/>
      <w:sz w:val="24"/>
      <w:szCs w:val="24"/>
    </w:rPr>
  </w:style>
  <w:style w:type="paragraph" w:customStyle="1" w:styleId="04">
    <w:name w:val="04内文"/>
    <w:semiHidden/>
    <w:qFormat/>
    <w:rsid w:val="00E737F8"/>
    <w:pPr>
      <w:widowControl w:val="0"/>
      <w:adjustRightInd w:val="0"/>
      <w:snapToGrid w:val="0"/>
      <w:spacing w:beforeLines="50" w:before="50" w:afterLines="50" w:after="50" w:line="360" w:lineRule="auto"/>
      <w:ind w:firstLineChars="200" w:firstLine="200"/>
      <w:jc w:val="both"/>
    </w:pPr>
    <w:rPr>
      <w:rFonts w:asciiTheme="minorHAnsi" w:eastAsiaTheme="minorEastAsia" w:hAnsiTheme="minorHAnsi" w:cstheme="minorBidi"/>
      <w:kern w:val="2"/>
      <w:sz w:val="24"/>
      <w:szCs w:val="24"/>
    </w:rPr>
  </w:style>
  <w:style w:type="paragraph" w:customStyle="1" w:styleId="001">
    <w:name w:val="001一级标题"/>
    <w:basedOn w:val="a"/>
    <w:rsid w:val="002B0582"/>
    <w:pPr>
      <w:keepNext/>
      <w:keepLines/>
      <w:pageBreakBefore/>
      <w:widowControl w:val="0"/>
      <w:spacing w:beforeLines="150" w:before="150" w:afterLines="150" w:after="150" w:line="360" w:lineRule="auto"/>
      <w:jc w:val="center"/>
      <w:outlineLvl w:val="0"/>
    </w:pPr>
    <w:rPr>
      <w:rFonts w:ascii="Times New Roman" w:eastAsia="黑体" w:hAnsi="Times New Roman" w:cs="Times New Roman"/>
      <w:b/>
      <w:bCs/>
      <w:kern w:val="2"/>
      <w:sz w:val="32"/>
      <w:szCs w:val="28"/>
      <w:lang w:val="x-none" w:eastAsia="x-none"/>
    </w:rPr>
  </w:style>
  <w:style w:type="paragraph" w:customStyle="1" w:styleId="002">
    <w:name w:val="002二级标题"/>
    <w:rsid w:val="005860B4"/>
    <w:pPr>
      <w:keepNext/>
      <w:keepLines/>
      <w:spacing w:beforeLines="50" w:before="50" w:afterLines="50" w:after="50" w:line="360" w:lineRule="auto"/>
      <w:ind w:firstLineChars="200" w:firstLine="200"/>
      <w:jc w:val="both"/>
      <w:outlineLvl w:val="1"/>
    </w:pPr>
    <w:rPr>
      <w:rFonts w:eastAsia="黑体"/>
      <w:b/>
      <w:bCs/>
      <w:kern w:val="2"/>
      <w:sz w:val="28"/>
      <w:szCs w:val="28"/>
    </w:rPr>
  </w:style>
  <w:style w:type="paragraph" w:customStyle="1" w:styleId="003">
    <w:name w:val="003三级标题"/>
    <w:rsid w:val="005860B4"/>
    <w:pPr>
      <w:keepNext/>
      <w:keepLines/>
      <w:spacing w:beforeLines="50" w:before="50" w:line="360" w:lineRule="auto"/>
      <w:ind w:firstLineChars="200" w:firstLine="200"/>
      <w:outlineLvl w:val="2"/>
    </w:pPr>
    <w:rPr>
      <w:b/>
      <w:bCs/>
      <w:kern w:val="2"/>
      <w:sz w:val="24"/>
      <w:szCs w:val="28"/>
    </w:rPr>
  </w:style>
  <w:style w:type="paragraph" w:customStyle="1" w:styleId="004">
    <w:name w:val="004四级标题"/>
    <w:basedOn w:val="002"/>
    <w:rsid w:val="00031627"/>
    <w:pPr>
      <w:outlineLvl w:val="3"/>
    </w:pPr>
    <w:rPr>
      <w:rFonts w:eastAsia="宋体"/>
      <w:sz w:val="24"/>
    </w:rPr>
  </w:style>
  <w:style w:type="paragraph" w:customStyle="1" w:styleId="006">
    <w:name w:val="006备注"/>
    <w:basedOn w:val="a"/>
    <w:rsid w:val="005860B4"/>
    <w:pPr>
      <w:widowControl w:val="0"/>
      <w:adjustRightInd w:val="0"/>
      <w:ind w:firstLineChars="200" w:firstLine="200"/>
      <w:jc w:val="both"/>
    </w:pPr>
    <w:rPr>
      <w:rFonts w:ascii="Times New Roman" w:hAnsi="Times New Roman" w:cs="Arial"/>
      <w:bCs/>
      <w:kern w:val="2"/>
      <w:sz w:val="21"/>
      <w:szCs w:val="22"/>
    </w:rPr>
  </w:style>
  <w:style w:type="paragraph" w:customStyle="1" w:styleId="009">
    <w:name w:val="009单位"/>
    <w:rsid w:val="008C1C67"/>
    <w:pPr>
      <w:keepNext/>
      <w:jc w:val="right"/>
    </w:pPr>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footnote reference" w:qFormat="1"/>
    <w:lsdException w:name="annotation reference" w:uiPriority="0" w:qFormat="1"/>
    <w:lsdException w:name="page number" w:uiPriority="0" w:qFormat="1"/>
    <w:lsdException w:name="endnote reference" w:qFormat="1"/>
    <w:lsdException w:name="endnote text" w:qFormat="1"/>
    <w:lsdException w:name="table of authorities" w:unhideWhenUsed="0"/>
    <w:lsdException w:name="List" w:semiHidden="0" w:unhideWhenUsed="0" w:qFormat="1"/>
    <w:lsdException w:name="List Bullet" w:unhideWhenUsed="0"/>
    <w:lsdException w:name="List 2" w:uiPriority="0"/>
    <w:lsdException w:name="Title" w:semiHidden="0" w:unhideWhenUsed="0" w:qFormat="1"/>
    <w:lsdException w:name="Default Paragraph Font" w:uiPriority="1" w:qFormat="1"/>
    <w:lsdException w:name="Body Text" w:qFormat="1"/>
    <w:lsdException w:name="Body Text Indent" w:qFormat="1"/>
    <w:lsdException w:name="List Continue 2" w:unhideWhenUsed="0"/>
    <w:lsdException w:name="List Continue 3" w:unhideWhenUsed="0"/>
    <w:lsdException w:name="List Continue 4" w:unhideWhenUsed="0"/>
    <w:lsdException w:name="List Continue 5" w:unhideWhenUsed="0"/>
    <w:lsdException w:name="Subtitle" w:semiHidden="0" w:unhideWhenUsed="0" w:qFormat="1"/>
    <w:lsdException w:name="Date" w:qFormat="1"/>
    <w:lsdException w:name="Body Text First Indent" w:qFormat="1"/>
    <w:lsdException w:name="Body Text 2" w:qFormat="1"/>
    <w:lsdException w:name="Body Text 3" w:uiPriority="0"/>
    <w:lsdException w:name="Body Text Indent 2" w:qFormat="1"/>
    <w:lsdException w:name="Body Text Indent 3"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qFormat="1"/>
    <w:lsdException w:name="Normal Table" w:qFormat="1"/>
    <w:lsdException w:name="annotation subject" w:qFormat="1"/>
    <w:lsdException w:name="Table Colorful 1" w:uiPriority="0" w:qFormat="1"/>
    <w:lsdException w:name="Balloon Text" w:qFormat="1"/>
    <w:lsdException w:name="Table Grid" w:uiPriority="39"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qFormat="1"/>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a">
    <w:name w:val="Normal"/>
    <w:semiHidden/>
    <w:qFormat/>
    <w:rsid w:val="008C1C67"/>
    <w:rPr>
      <w:rFonts w:ascii="宋体" w:hAnsi="宋体" w:cs="宋体"/>
      <w:sz w:val="24"/>
      <w:szCs w:val="24"/>
    </w:rPr>
  </w:style>
  <w:style w:type="paragraph" w:styleId="1">
    <w:name w:val="heading 1"/>
    <w:basedOn w:val="a"/>
    <w:next w:val="a"/>
    <w:link w:val="1Char"/>
    <w:semiHidden/>
    <w:qFormat/>
    <w:pPr>
      <w:keepNext/>
      <w:keepLines/>
      <w:spacing w:before="40" w:after="40" w:line="480" w:lineRule="auto"/>
      <w:jc w:val="center"/>
      <w:outlineLvl w:val="0"/>
    </w:pPr>
    <w:rPr>
      <w:rFonts w:eastAsia="黑体"/>
      <w:b/>
      <w:bCs/>
      <w:kern w:val="44"/>
      <w:sz w:val="36"/>
      <w:szCs w:val="44"/>
    </w:rPr>
  </w:style>
  <w:style w:type="paragraph" w:styleId="20">
    <w:name w:val="heading 2"/>
    <w:basedOn w:val="a"/>
    <w:next w:val="a"/>
    <w:link w:val="2Char"/>
    <w:semiHidden/>
    <w:qFormat/>
    <w:pPr>
      <w:keepNext/>
      <w:keepLines/>
      <w:spacing w:before="140" w:after="140" w:line="416" w:lineRule="auto"/>
      <w:outlineLvl w:val="1"/>
    </w:pPr>
    <w:rPr>
      <w:rFonts w:asciiTheme="majorHAnsi" w:eastAsia="黑体" w:hAnsiTheme="majorHAnsi" w:cstheme="majorBidi"/>
      <w:b/>
      <w:bCs/>
      <w:sz w:val="32"/>
      <w:szCs w:val="32"/>
    </w:rPr>
  </w:style>
  <w:style w:type="paragraph" w:styleId="30">
    <w:name w:val="heading 3"/>
    <w:basedOn w:val="a"/>
    <w:next w:val="a"/>
    <w:link w:val="3Char"/>
    <w:semiHidden/>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qFormat/>
    <w:pPr>
      <w:keepNext/>
      <w:keepLines/>
      <w:spacing w:before="280" w:after="290" w:line="376" w:lineRule="auto"/>
      <w:outlineLvl w:val="4"/>
    </w:pPr>
    <w:rPr>
      <w:rFonts w:ascii="Times New Roman" w:hAnsi="Times New Roman" w:cs="Times New Roman"/>
      <w:b/>
      <w:bCs/>
      <w:sz w:val="28"/>
      <w:szCs w:val="28"/>
    </w:rPr>
  </w:style>
  <w:style w:type="paragraph" w:styleId="6">
    <w:name w:val="heading 6"/>
    <w:basedOn w:val="a"/>
    <w:next w:val="a"/>
    <w:link w:val="6Char"/>
    <w:semiHidden/>
    <w:qFormat/>
    <w:pPr>
      <w:keepNext/>
      <w:keepLines/>
      <w:spacing w:before="240" w:after="64" w:line="320" w:lineRule="auto"/>
      <w:outlineLvl w:val="5"/>
    </w:pPr>
    <w:rPr>
      <w:rFonts w:ascii="等线 Light" w:eastAsia="等线 Light" w:hAnsi="等线 Light" w:cs="Times New Roman"/>
      <w:b/>
      <w:bCs/>
    </w:rPr>
  </w:style>
  <w:style w:type="paragraph" w:styleId="7">
    <w:name w:val="heading 7"/>
    <w:basedOn w:val="a"/>
    <w:next w:val="a"/>
    <w:link w:val="7Char"/>
    <w:uiPriority w:val="99"/>
    <w:semiHidden/>
    <w:qFormat/>
    <w:pPr>
      <w:outlineLvl w:val="6"/>
    </w:pPr>
    <w:rPr>
      <w:rFonts w:ascii="Calibri" w:hAnsi="Calibri" w:cs="Times New Roman"/>
      <w:b/>
      <w:smallCaps/>
      <w:color w:val="C0504D" w:themeColor="accent2"/>
      <w:spacing w:val="10"/>
    </w:rPr>
  </w:style>
  <w:style w:type="paragraph" w:styleId="8">
    <w:name w:val="heading 8"/>
    <w:basedOn w:val="a"/>
    <w:next w:val="a"/>
    <w:link w:val="8Char"/>
    <w:uiPriority w:val="99"/>
    <w:semiHidden/>
    <w:qFormat/>
    <w:pPr>
      <w:outlineLvl w:val="7"/>
    </w:pPr>
    <w:rPr>
      <w:rFonts w:ascii="Calibri" w:hAnsi="Calibri" w:cs="Times New Roman"/>
      <w:b/>
      <w:i/>
      <w:smallCaps/>
      <w:color w:val="943634" w:themeColor="accent2" w:themeShade="BF"/>
    </w:rPr>
  </w:style>
  <w:style w:type="paragraph" w:styleId="9">
    <w:name w:val="heading 9"/>
    <w:basedOn w:val="a"/>
    <w:next w:val="a"/>
    <w:link w:val="9Char"/>
    <w:uiPriority w:val="99"/>
    <w:semiHidden/>
    <w:qFormat/>
    <w:pPr>
      <w:outlineLvl w:val="8"/>
    </w:pPr>
    <w:rPr>
      <w:rFonts w:ascii="Calibri" w:hAnsi="Calibri" w:cs="Times New Roman"/>
      <w:b/>
      <w:i/>
      <w:smallCaps/>
      <w:color w:val="632423" w:themeColor="accent2"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ind w:left="1260"/>
    </w:pPr>
  </w:style>
  <w:style w:type="paragraph" w:styleId="80">
    <w:name w:val="index 8"/>
    <w:basedOn w:val="a"/>
    <w:next w:val="a"/>
    <w:uiPriority w:val="99"/>
    <w:semiHidden/>
    <w:qFormat/>
    <w:pPr>
      <w:ind w:left="1680" w:hanging="210"/>
    </w:pPr>
  </w:style>
  <w:style w:type="paragraph" w:styleId="a3">
    <w:name w:val="Normal Indent"/>
    <w:basedOn w:val="a"/>
    <w:link w:val="Char"/>
    <w:uiPriority w:val="99"/>
    <w:semiHidden/>
    <w:qFormat/>
    <w:pPr>
      <w:ind w:firstLine="420"/>
    </w:pPr>
    <w:rPr>
      <w:rFonts w:ascii="Times New Roman" w:hAnsi="Times New Roman" w:cs="Times New Roman"/>
      <w:szCs w:val="20"/>
    </w:rPr>
  </w:style>
  <w:style w:type="paragraph" w:styleId="a4">
    <w:name w:val="caption"/>
    <w:basedOn w:val="a"/>
    <w:next w:val="a"/>
    <w:uiPriority w:val="99"/>
    <w:semiHidden/>
    <w:qFormat/>
    <w:rPr>
      <w:rFonts w:ascii="Calibri" w:hAnsi="Calibri" w:cs="Times New Roman"/>
      <w:b/>
      <w:bCs/>
      <w:caps/>
      <w:sz w:val="16"/>
      <w:szCs w:val="18"/>
    </w:rPr>
  </w:style>
  <w:style w:type="paragraph" w:styleId="50">
    <w:name w:val="index 5"/>
    <w:basedOn w:val="a"/>
    <w:next w:val="a"/>
    <w:uiPriority w:val="99"/>
    <w:semiHidden/>
    <w:qFormat/>
    <w:pPr>
      <w:ind w:left="1050" w:hanging="210"/>
    </w:pPr>
  </w:style>
  <w:style w:type="paragraph" w:styleId="a5">
    <w:name w:val="Document Map"/>
    <w:basedOn w:val="a"/>
    <w:link w:val="Char0"/>
    <w:uiPriority w:val="99"/>
    <w:semiHidden/>
    <w:qFormat/>
    <w:rPr>
      <w:sz w:val="18"/>
      <w:szCs w:val="18"/>
    </w:rPr>
  </w:style>
  <w:style w:type="paragraph" w:styleId="a6">
    <w:name w:val="annotation text"/>
    <w:basedOn w:val="a"/>
    <w:link w:val="Char1"/>
    <w:uiPriority w:val="99"/>
    <w:semiHidden/>
    <w:qFormat/>
  </w:style>
  <w:style w:type="paragraph" w:styleId="60">
    <w:name w:val="index 6"/>
    <w:basedOn w:val="a"/>
    <w:next w:val="a"/>
    <w:uiPriority w:val="99"/>
    <w:semiHidden/>
    <w:qFormat/>
    <w:pPr>
      <w:ind w:left="1260" w:hanging="210"/>
    </w:pPr>
  </w:style>
  <w:style w:type="paragraph" w:styleId="31">
    <w:name w:val="Body Text 3"/>
    <w:basedOn w:val="a"/>
    <w:link w:val="3Char0"/>
    <w:semiHidden/>
    <w:pPr>
      <w:tabs>
        <w:tab w:val="right" w:pos="2340"/>
        <w:tab w:val="right" w:pos="3060"/>
        <w:tab w:val="right" w:pos="3960"/>
        <w:tab w:val="right" w:pos="4680"/>
        <w:tab w:val="right" w:pos="5580"/>
        <w:tab w:val="right" w:pos="6300"/>
        <w:tab w:val="right" w:pos="6840"/>
        <w:tab w:val="right" w:pos="7560"/>
        <w:tab w:val="right" w:pos="8460"/>
        <w:tab w:val="right" w:pos="9180"/>
      </w:tabs>
      <w:snapToGrid w:val="0"/>
      <w:spacing w:line="400" w:lineRule="exact"/>
      <w:ind w:right="18"/>
    </w:pPr>
    <w:rPr>
      <w:rFonts w:asciiTheme="minorHAnsi" w:eastAsia="楷体" w:hAnsiTheme="minorHAnsi" w:cstheme="minorBidi"/>
      <w:kern w:val="2"/>
      <w:szCs w:val="21"/>
    </w:rPr>
  </w:style>
  <w:style w:type="paragraph" w:styleId="a7">
    <w:name w:val="Body Text"/>
    <w:basedOn w:val="a"/>
    <w:link w:val="Char2"/>
    <w:uiPriority w:val="99"/>
    <w:semiHidden/>
    <w:qFormat/>
    <w:pPr>
      <w:spacing w:before="134"/>
      <w:ind w:left="240"/>
    </w:pPr>
    <w:rPr>
      <w:lang w:eastAsia="en-US"/>
    </w:rPr>
  </w:style>
  <w:style w:type="paragraph" w:styleId="a8">
    <w:name w:val="Body Text Indent"/>
    <w:basedOn w:val="a"/>
    <w:link w:val="Char3"/>
    <w:uiPriority w:val="99"/>
    <w:semiHidden/>
    <w:qFormat/>
    <w:pPr>
      <w:spacing w:line="360" w:lineRule="auto"/>
      <w:ind w:left="1080"/>
    </w:pPr>
    <w:rPr>
      <w:rFonts w:cs="Times New Roman"/>
      <w:szCs w:val="20"/>
    </w:rPr>
  </w:style>
  <w:style w:type="paragraph" w:styleId="21">
    <w:name w:val="List 2"/>
    <w:basedOn w:val="a"/>
    <w:semiHidden/>
    <w:pPr>
      <w:spacing w:line="400" w:lineRule="atLeast"/>
      <w:ind w:left="840" w:hanging="420"/>
    </w:pPr>
    <w:rPr>
      <w:rFonts w:asciiTheme="minorHAnsi" w:eastAsiaTheme="minorEastAsia" w:hAnsiTheme="minorHAnsi" w:cstheme="minorBidi"/>
      <w:kern w:val="2"/>
      <w:sz w:val="21"/>
      <w:szCs w:val="20"/>
    </w:rPr>
  </w:style>
  <w:style w:type="paragraph" w:styleId="40">
    <w:name w:val="index 4"/>
    <w:basedOn w:val="a"/>
    <w:next w:val="a"/>
    <w:uiPriority w:val="99"/>
    <w:semiHidden/>
    <w:qFormat/>
    <w:pPr>
      <w:ind w:left="840" w:hanging="210"/>
    </w:pPr>
  </w:style>
  <w:style w:type="paragraph" w:styleId="51">
    <w:name w:val="toc 5"/>
    <w:basedOn w:val="a"/>
    <w:next w:val="a"/>
    <w:uiPriority w:val="39"/>
    <w:qFormat/>
    <w:pPr>
      <w:ind w:left="840"/>
    </w:pPr>
  </w:style>
  <w:style w:type="paragraph" w:styleId="32">
    <w:name w:val="toc 3"/>
    <w:basedOn w:val="a"/>
    <w:next w:val="a"/>
    <w:uiPriority w:val="39"/>
    <w:qFormat/>
    <w:pPr>
      <w:ind w:leftChars="400" w:left="840"/>
    </w:pPr>
  </w:style>
  <w:style w:type="paragraph" w:styleId="a9">
    <w:name w:val="Plain Text"/>
    <w:basedOn w:val="a"/>
    <w:link w:val="Char4"/>
    <w:uiPriority w:val="99"/>
    <w:semiHidden/>
    <w:qFormat/>
    <w:rPr>
      <w:rFonts w:hAnsi="Courier New" w:cs="Times New Roman"/>
      <w:szCs w:val="20"/>
    </w:rPr>
  </w:style>
  <w:style w:type="paragraph" w:styleId="81">
    <w:name w:val="toc 8"/>
    <w:basedOn w:val="a"/>
    <w:next w:val="a"/>
    <w:uiPriority w:val="39"/>
    <w:qFormat/>
    <w:pPr>
      <w:ind w:left="1470"/>
    </w:pPr>
  </w:style>
  <w:style w:type="paragraph" w:styleId="33">
    <w:name w:val="index 3"/>
    <w:basedOn w:val="a"/>
    <w:next w:val="a"/>
    <w:uiPriority w:val="99"/>
    <w:semiHidden/>
    <w:qFormat/>
    <w:pPr>
      <w:ind w:left="630" w:hanging="210"/>
    </w:pPr>
  </w:style>
  <w:style w:type="paragraph" w:styleId="aa">
    <w:name w:val="Date"/>
    <w:basedOn w:val="a"/>
    <w:next w:val="a"/>
    <w:link w:val="Char5"/>
    <w:uiPriority w:val="99"/>
    <w:semiHidden/>
    <w:qFormat/>
    <w:rPr>
      <w:sz w:val="28"/>
    </w:rPr>
  </w:style>
  <w:style w:type="paragraph" w:styleId="22">
    <w:name w:val="Body Text Indent 2"/>
    <w:basedOn w:val="a"/>
    <w:link w:val="2Char0"/>
    <w:uiPriority w:val="99"/>
    <w:semiHidden/>
    <w:qFormat/>
    <w:pPr>
      <w:spacing w:after="120" w:line="480" w:lineRule="auto"/>
      <w:ind w:leftChars="200" w:left="420"/>
    </w:pPr>
  </w:style>
  <w:style w:type="paragraph" w:styleId="ab">
    <w:name w:val="endnote text"/>
    <w:basedOn w:val="a"/>
    <w:link w:val="Char6"/>
    <w:uiPriority w:val="99"/>
    <w:semiHidden/>
    <w:qFormat/>
    <w:pPr>
      <w:snapToGrid w:val="0"/>
    </w:pPr>
  </w:style>
  <w:style w:type="paragraph" w:styleId="ac">
    <w:name w:val="Balloon Text"/>
    <w:basedOn w:val="a"/>
    <w:link w:val="Char7"/>
    <w:uiPriority w:val="99"/>
    <w:semiHidden/>
    <w:qFormat/>
    <w:rPr>
      <w:sz w:val="18"/>
      <w:szCs w:val="18"/>
    </w:rPr>
  </w:style>
  <w:style w:type="paragraph" w:styleId="ad">
    <w:name w:val="footer"/>
    <w:basedOn w:val="a"/>
    <w:link w:val="Char8"/>
    <w:uiPriority w:val="99"/>
    <w:semiHidden/>
    <w:qFormat/>
    <w:pPr>
      <w:tabs>
        <w:tab w:val="center" w:pos="4153"/>
        <w:tab w:val="right" w:pos="8306"/>
      </w:tabs>
      <w:snapToGrid w:val="0"/>
    </w:pPr>
    <w:rPr>
      <w:sz w:val="18"/>
      <w:szCs w:val="18"/>
    </w:rPr>
  </w:style>
  <w:style w:type="paragraph" w:styleId="ae">
    <w:name w:val="header"/>
    <w:basedOn w:val="a"/>
    <w:link w:val="Char9"/>
    <w:uiPriority w:val="99"/>
    <w:semiHidden/>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link w:val="1Char0"/>
    <w:uiPriority w:val="39"/>
    <w:qFormat/>
    <w:rsid w:val="003319C0"/>
    <w:pPr>
      <w:tabs>
        <w:tab w:val="right" w:leader="dot" w:pos="8302"/>
      </w:tabs>
      <w:spacing w:line="360" w:lineRule="auto"/>
      <w:jc w:val="both"/>
    </w:pPr>
    <w:rPr>
      <w:rFonts w:ascii="Times New Roman" w:hAnsi="Times New Roman"/>
      <w:b/>
    </w:rPr>
  </w:style>
  <w:style w:type="paragraph" w:styleId="41">
    <w:name w:val="toc 4"/>
    <w:basedOn w:val="a"/>
    <w:next w:val="a"/>
    <w:uiPriority w:val="39"/>
    <w:qFormat/>
    <w:pPr>
      <w:ind w:left="630"/>
    </w:pPr>
  </w:style>
  <w:style w:type="paragraph" w:styleId="af">
    <w:name w:val="index heading"/>
    <w:basedOn w:val="a"/>
    <w:next w:val="12"/>
    <w:uiPriority w:val="99"/>
    <w:semiHidden/>
    <w:qFormat/>
  </w:style>
  <w:style w:type="paragraph" w:styleId="12">
    <w:name w:val="index 1"/>
    <w:basedOn w:val="a"/>
    <w:next w:val="a"/>
    <w:uiPriority w:val="99"/>
    <w:semiHidden/>
    <w:qFormat/>
  </w:style>
  <w:style w:type="paragraph" w:styleId="af0">
    <w:name w:val="Subtitle"/>
    <w:basedOn w:val="a"/>
    <w:next w:val="a"/>
    <w:link w:val="Chara"/>
    <w:uiPriority w:val="99"/>
    <w:semiHidden/>
    <w:qFormat/>
    <w:pPr>
      <w:spacing w:after="720"/>
      <w:jc w:val="right"/>
    </w:pPr>
    <w:rPr>
      <w:rFonts w:asciiTheme="majorHAnsi" w:eastAsiaTheme="majorEastAsia" w:hAnsiTheme="majorHAnsi" w:cstheme="majorBidi"/>
    </w:rPr>
  </w:style>
  <w:style w:type="paragraph" w:styleId="af1">
    <w:name w:val="List"/>
    <w:basedOn w:val="a"/>
    <w:uiPriority w:val="99"/>
    <w:semiHidden/>
    <w:qFormat/>
    <w:pPr>
      <w:ind w:left="420" w:hanging="420"/>
    </w:pPr>
    <w:rPr>
      <w:rFonts w:ascii="Times New Roman" w:hAnsi="Times New Roman" w:cs="Times New Roman"/>
      <w:szCs w:val="20"/>
    </w:rPr>
  </w:style>
  <w:style w:type="paragraph" w:styleId="af2">
    <w:name w:val="footnote text"/>
    <w:basedOn w:val="a"/>
    <w:link w:val="Charb"/>
    <w:uiPriority w:val="99"/>
    <w:semiHidden/>
    <w:qFormat/>
    <w:pPr>
      <w:snapToGrid w:val="0"/>
    </w:pPr>
    <w:rPr>
      <w:sz w:val="18"/>
      <w:szCs w:val="18"/>
    </w:rPr>
  </w:style>
  <w:style w:type="paragraph" w:styleId="61">
    <w:name w:val="toc 6"/>
    <w:basedOn w:val="a"/>
    <w:next w:val="a"/>
    <w:uiPriority w:val="39"/>
    <w:qFormat/>
    <w:pPr>
      <w:ind w:left="1050"/>
    </w:pPr>
  </w:style>
  <w:style w:type="paragraph" w:styleId="34">
    <w:name w:val="Body Text Indent 3"/>
    <w:basedOn w:val="a"/>
    <w:link w:val="3Char1"/>
    <w:uiPriority w:val="99"/>
    <w:semiHidden/>
    <w:qFormat/>
    <w:pPr>
      <w:snapToGrid w:val="0"/>
      <w:spacing w:line="360" w:lineRule="auto"/>
      <w:ind w:firstLineChars="210" w:firstLine="502"/>
    </w:pPr>
    <w:rPr>
      <w:rFonts w:ascii="Calibri" w:hAnsi="Calibri" w:cs="Times New Roman"/>
      <w:sz w:val="16"/>
      <w:szCs w:val="20"/>
    </w:rPr>
  </w:style>
  <w:style w:type="paragraph" w:styleId="71">
    <w:name w:val="index 7"/>
    <w:basedOn w:val="a"/>
    <w:next w:val="a"/>
    <w:uiPriority w:val="99"/>
    <w:semiHidden/>
    <w:qFormat/>
    <w:pPr>
      <w:ind w:left="1470" w:hanging="210"/>
    </w:pPr>
  </w:style>
  <w:style w:type="paragraph" w:styleId="90">
    <w:name w:val="index 9"/>
    <w:basedOn w:val="a"/>
    <w:next w:val="a"/>
    <w:uiPriority w:val="99"/>
    <w:semiHidden/>
    <w:qFormat/>
    <w:pPr>
      <w:ind w:left="1890" w:hanging="210"/>
    </w:pPr>
  </w:style>
  <w:style w:type="paragraph" w:styleId="af3">
    <w:name w:val="table of figures"/>
    <w:basedOn w:val="a"/>
    <w:next w:val="a"/>
    <w:uiPriority w:val="99"/>
    <w:semiHidden/>
    <w:qFormat/>
    <w:pPr>
      <w:ind w:left="420" w:hanging="420"/>
    </w:pPr>
  </w:style>
  <w:style w:type="paragraph" w:styleId="23">
    <w:name w:val="toc 2"/>
    <w:basedOn w:val="a"/>
    <w:next w:val="a"/>
    <w:link w:val="2Char1"/>
    <w:uiPriority w:val="39"/>
    <w:qFormat/>
    <w:rsid w:val="003319C0"/>
    <w:pPr>
      <w:tabs>
        <w:tab w:val="right" w:leader="dot" w:pos="8302"/>
      </w:tabs>
      <w:spacing w:line="360" w:lineRule="auto"/>
      <w:ind w:leftChars="200" w:left="200"/>
      <w:jc w:val="both"/>
    </w:pPr>
    <w:rPr>
      <w:rFonts w:ascii="Times New Roman" w:hAnsi="Times New Roman" w:cs="Arial"/>
      <w:bCs/>
    </w:rPr>
  </w:style>
  <w:style w:type="paragraph" w:styleId="91">
    <w:name w:val="toc 9"/>
    <w:basedOn w:val="a"/>
    <w:next w:val="a"/>
    <w:uiPriority w:val="39"/>
    <w:qFormat/>
    <w:pPr>
      <w:ind w:left="1680"/>
    </w:pPr>
  </w:style>
  <w:style w:type="paragraph" w:styleId="24">
    <w:name w:val="Body Text 2"/>
    <w:basedOn w:val="a"/>
    <w:link w:val="2Char2"/>
    <w:uiPriority w:val="99"/>
    <w:semiHidden/>
    <w:qFormat/>
    <w:pPr>
      <w:spacing w:after="120" w:line="480" w:lineRule="auto"/>
    </w:pPr>
  </w:style>
  <w:style w:type="paragraph" w:styleId="HTML">
    <w:name w:val="HTML Preformatted"/>
    <w:basedOn w:val="a"/>
    <w:link w:val="HTMLChar"/>
    <w:uiPriority w:val="99"/>
    <w:semiHidde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f4">
    <w:name w:val="Normal (Web)"/>
    <w:basedOn w:val="a"/>
    <w:link w:val="Charc"/>
    <w:uiPriority w:val="99"/>
    <w:semiHidden/>
    <w:qFormat/>
    <w:pPr>
      <w:spacing w:before="100" w:beforeAutospacing="1" w:after="100" w:afterAutospacing="1"/>
    </w:pPr>
  </w:style>
  <w:style w:type="paragraph" w:styleId="25">
    <w:name w:val="index 2"/>
    <w:basedOn w:val="a"/>
    <w:next w:val="a"/>
    <w:uiPriority w:val="99"/>
    <w:semiHidden/>
    <w:qFormat/>
    <w:pPr>
      <w:ind w:left="420" w:hanging="210"/>
    </w:pPr>
  </w:style>
  <w:style w:type="paragraph" w:styleId="af5">
    <w:name w:val="Title"/>
    <w:basedOn w:val="a"/>
    <w:next w:val="a"/>
    <w:link w:val="Chard"/>
    <w:uiPriority w:val="99"/>
    <w:semiHidden/>
    <w:qFormat/>
    <w:pPr>
      <w:pBdr>
        <w:top w:val="single" w:sz="12" w:space="1" w:color="C0504D" w:themeColor="accent2"/>
      </w:pBdr>
      <w:jc w:val="right"/>
    </w:pPr>
    <w:rPr>
      <w:rFonts w:ascii="Calibri" w:hAnsi="Calibri" w:cs="Times New Roman"/>
      <w:smallCaps/>
      <w:sz w:val="48"/>
      <w:szCs w:val="48"/>
    </w:rPr>
  </w:style>
  <w:style w:type="paragraph" w:styleId="af6">
    <w:name w:val="annotation subject"/>
    <w:basedOn w:val="a6"/>
    <w:next w:val="a6"/>
    <w:link w:val="Chare"/>
    <w:uiPriority w:val="99"/>
    <w:semiHidden/>
    <w:qFormat/>
    <w:rPr>
      <w:b/>
      <w:bCs/>
    </w:rPr>
  </w:style>
  <w:style w:type="paragraph" w:styleId="af7">
    <w:name w:val="Body Text First Indent"/>
    <w:basedOn w:val="a7"/>
    <w:link w:val="Charf"/>
    <w:uiPriority w:val="99"/>
    <w:semiHidden/>
    <w:qFormat/>
    <w:pPr>
      <w:suppressAutoHyphens/>
      <w:spacing w:before="0" w:after="120"/>
      <w:ind w:left="0" w:firstLine="283"/>
      <w:jc w:val="both"/>
    </w:pPr>
    <w:rPr>
      <w:rFonts w:ascii="Calibri" w:hAnsi="Calibri" w:cs="Times New Roman"/>
      <w:kern w:val="1"/>
      <w:sz w:val="21"/>
      <w:szCs w:val="20"/>
      <w:lang w:eastAsia="ar-SA"/>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Colorful 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af9">
    <w:name w:val="Light Shading"/>
    <w:basedOn w:val="a1"/>
    <w:uiPriority w:val="60"/>
    <w:pPr>
      <w:spacing w:line="400" w:lineRule="atLeast"/>
    </w:pPr>
    <w:rPr>
      <w:rFonts w:asciiTheme="minorHAnsi" w:eastAsiaTheme="minorEastAsia" w:hAnsiTheme="minorHAnsi" w:cstheme="minorBidi"/>
      <w:color w:val="000000" w:themeColor="text1" w:themeShade="BF"/>
      <w:kern w:val="2"/>
      <w:sz w:val="21"/>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Grid 1 Accent 1"/>
    <w:basedOn w:val="a1"/>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afa">
    <w:name w:val="Strong"/>
    <w:uiPriority w:val="22"/>
    <w:semiHidden/>
    <w:qFormat/>
    <w:rPr>
      <w:b/>
      <w:bCs/>
    </w:rPr>
  </w:style>
  <w:style w:type="character" w:styleId="afb">
    <w:name w:val="endnote reference"/>
    <w:basedOn w:val="a0"/>
    <w:uiPriority w:val="99"/>
    <w:semiHidden/>
    <w:qFormat/>
    <w:rPr>
      <w:vertAlign w:val="superscript"/>
    </w:rPr>
  </w:style>
  <w:style w:type="character" w:styleId="afc">
    <w:name w:val="page number"/>
    <w:basedOn w:val="a0"/>
    <w:semiHidden/>
    <w:qFormat/>
  </w:style>
  <w:style w:type="character" w:styleId="afd">
    <w:name w:val="FollowedHyperlink"/>
    <w:semiHidden/>
    <w:qFormat/>
    <w:rPr>
      <w:color w:val="5D5D5D"/>
      <w:u w:val="none"/>
    </w:rPr>
  </w:style>
  <w:style w:type="character" w:styleId="afe">
    <w:name w:val="Emphasis"/>
    <w:uiPriority w:val="20"/>
    <w:semiHidden/>
    <w:qFormat/>
    <w:rPr>
      <w:b/>
      <w:i/>
      <w:spacing w:val="10"/>
    </w:rPr>
  </w:style>
  <w:style w:type="character" w:styleId="aff">
    <w:name w:val="Hyperlink"/>
    <w:basedOn w:val="a0"/>
    <w:uiPriority w:val="99"/>
    <w:qFormat/>
    <w:rPr>
      <w:color w:val="0000FF" w:themeColor="hyperlink"/>
      <w:u w:val="single"/>
    </w:rPr>
  </w:style>
  <w:style w:type="character" w:styleId="aff0">
    <w:name w:val="annotation reference"/>
    <w:basedOn w:val="a0"/>
    <w:semiHidden/>
    <w:qFormat/>
    <w:rPr>
      <w:sz w:val="21"/>
      <w:szCs w:val="21"/>
    </w:rPr>
  </w:style>
  <w:style w:type="character" w:styleId="aff1">
    <w:name w:val="footnote reference"/>
    <w:basedOn w:val="a0"/>
    <w:uiPriority w:val="99"/>
    <w:semiHidden/>
    <w:qFormat/>
    <w:rPr>
      <w:vertAlign w:val="superscript"/>
    </w:rPr>
  </w:style>
  <w:style w:type="character" w:customStyle="1" w:styleId="1Char">
    <w:name w:val="标题 1 Char"/>
    <w:basedOn w:val="a0"/>
    <w:link w:val="1"/>
    <w:semiHidden/>
    <w:qFormat/>
    <w:rsid w:val="008C1C67"/>
    <w:rPr>
      <w:rFonts w:ascii="宋体" w:eastAsia="黑体" w:hAnsi="宋体" w:cs="宋体"/>
      <w:b/>
      <w:bCs/>
      <w:kern w:val="44"/>
      <w:sz w:val="36"/>
      <w:szCs w:val="44"/>
    </w:rPr>
  </w:style>
  <w:style w:type="character" w:customStyle="1" w:styleId="2Char">
    <w:name w:val="标题 2 Char"/>
    <w:basedOn w:val="a0"/>
    <w:link w:val="20"/>
    <w:semiHidden/>
    <w:qFormat/>
    <w:rsid w:val="008C1C67"/>
    <w:rPr>
      <w:rFonts w:asciiTheme="majorHAnsi" w:eastAsia="黑体" w:hAnsiTheme="majorHAnsi" w:cstheme="majorBidi"/>
      <w:b/>
      <w:bCs/>
      <w:sz w:val="32"/>
      <w:szCs w:val="32"/>
    </w:rPr>
  </w:style>
  <w:style w:type="character" w:customStyle="1" w:styleId="3Char">
    <w:name w:val="标题 3 Char"/>
    <w:basedOn w:val="a0"/>
    <w:link w:val="30"/>
    <w:semiHidden/>
    <w:qFormat/>
    <w:rsid w:val="008C1C67"/>
    <w:rPr>
      <w:rFonts w:ascii="宋体" w:hAnsi="宋体" w:cs="宋体"/>
      <w:b/>
      <w:bCs/>
      <w:sz w:val="32"/>
      <w:szCs w:val="32"/>
    </w:rPr>
  </w:style>
  <w:style w:type="character" w:customStyle="1" w:styleId="4Char">
    <w:name w:val="标题 4 Char"/>
    <w:basedOn w:val="a0"/>
    <w:link w:val="4"/>
    <w:uiPriority w:val="9"/>
    <w:semiHidden/>
    <w:qFormat/>
    <w:rsid w:val="008C1C67"/>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qFormat/>
    <w:rsid w:val="008C1C67"/>
    <w:rPr>
      <w:b/>
      <w:bCs/>
      <w:sz w:val="28"/>
      <w:szCs w:val="28"/>
    </w:rPr>
  </w:style>
  <w:style w:type="character" w:customStyle="1" w:styleId="6Char">
    <w:name w:val="标题 6 Char"/>
    <w:basedOn w:val="a0"/>
    <w:link w:val="6"/>
    <w:semiHidden/>
    <w:qFormat/>
    <w:rsid w:val="008C1C67"/>
    <w:rPr>
      <w:rFonts w:ascii="等线 Light" w:eastAsia="等线 Light" w:hAnsi="等线 Light"/>
      <w:b/>
      <w:bCs/>
      <w:sz w:val="24"/>
      <w:szCs w:val="24"/>
    </w:rPr>
  </w:style>
  <w:style w:type="character" w:customStyle="1" w:styleId="7Char">
    <w:name w:val="标题 7 Char"/>
    <w:basedOn w:val="a0"/>
    <w:link w:val="7"/>
    <w:uiPriority w:val="99"/>
    <w:semiHidden/>
    <w:qFormat/>
    <w:rsid w:val="008C1C67"/>
    <w:rPr>
      <w:rFonts w:ascii="Calibri" w:hAnsi="Calibri"/>
      <w:b/>
      <w:smallCaps/>
      <w:color w:val="C0504D" w:themeColor="accent2"/>
      <w:spacing w:val="10"/>
      <w:sz w:val="24"/>
      <w:szCs w:val="24"/>
    </w:rPr>
  </w:style>
  <w:style w:type="character" w:customStyle="1" w:styleId="8Char">
    <w:name w:val="标题 8 Char"/>
    <w:basedOn w:val="a0"/>
    <w:link w:val="8"/>
    <w:uiPriority w:val="99"/>
    <w:semiHidden/>
    <w:qFormat/>
    <w:rsid w:val="008C1C67"/>
    <w:rPr>
      <w:rFonts w:ascii="Calibri" w:hAnsi="Calibri"/>
      <w:b/>
      <w:i/>
      <w:smallCaps/>
      <w:color w:val="943634" w:themeColor="accent2" w:themeShade="BF"/>
      <w:sz w:val="24"/>
      <w:szCs w:val="24"/>
    </w:rPr>
  </w:style>
  <w:style w:type="character" w:customStyle="1" w:styleId="9Char">
    <w:name w:val="标题 9 Char"/>
    <w:basedOn w:val="a0"/>
    <w:link w:val="9"/>
    <w:uiPriority w:val="99"/>
    <w:semiHidden/>
    <w:qFormat/>
    <w:rsid w:val="008C1C67"/>
    <w:rPr>
      <w:rFonts w:ascii="Calibri" w:hAnsi="Calibri"/>
      <w:b/>
      <w:i/>
      <w:smallCaps/>
      <w:color w:val="632423" w:themeColor="accent2" w:themeShade="80"/>
      <w:sz w:val="24"/>
      <w:szCs w:val="24"/>
    </w:rPr>
  </w:style>
  <w:style w:type="character" w:customStyle="1" w:styleId="Char">
    <w:name w:val="正文缩进 Char"/>
    <w:link w:val="a3"/>
    <w:uiPriority w:val="99"/>
    <w:semiHidden/>
    <w:qFormat/>
    <w:rsid w:val="008C1C67"/>
    <w:rPr>
      <w:sz w:val="24"/>
    </w:rPr>
  </w:style>
  <w:style w:type="character" w:customStyle="1" w:styleId="Char0">
    <w:name w:val="文档结构图 Char"/>
    <w:basedOn w:val="a0"/>
    <w:link w:val="a5"/>
    <w:uiPriority w:val="99"/>
    <w:semiHidden/>
    <w:qFormat/>
    <w:rsid w:val="008C1C67"/>
    <w:rPr>
      <w:rFonts w:ascii="宋体" w:hAnsi="宋体" w:cs="宋体"/>
      <w:sz w:val="18"/>
      <w:szCs w:val="18"/>
    </w:rPr>
  </w:style>
  <w:style w:type="character" w:customStyle="1" w:styleId="Char1">
    <w:name w:val="批注文字 Char"/>
    <w:basedOn w:val="a0"/>
    <w:link w:val="a6"/>
    <w:uiPriority w:val="99"/>
    <w:semiHidden/>
    <w:qFormat/>
    <w:rsid w:val="008C1C67"/>
    <w:rPr>
      <w:rFonts w:ascii="宋体" w:hAnsi="宋体" w:cs="宋体"/>
      <w:sz w:val="24"/>
      <w:szCs w:val="24"/>
    </w:rPr>
  </w:style>
  <w:style w:type="character" w:customStyle="1" w:styleId="Char2">
    <w:name w:val="正文文本 Char"/>
    <w:basedOn w:val="a0"/>
    <w:link w:val="a7"/>
    <w:uiPriority w:val="99"/>
    <w:semiHidden/>
    <w:qFormat/>
    <w:rsid w:val="008C1C67"/>
    <w:rPr>
      <w:rFonts w:ascii="宋体" w:hAnsi="宋体" w:cs="宋体"/>
      <w:sz w:val="24"/>
      <w:szCs w:val="24"/>
      <w:lang w:eastAsia="en-US"/>
    </w:rPr>
  </w:style>
  <w:style w:type="character" w:customStyle="1" w:styleId="Char3">
    <w:name w:val="正文文本缩进 Char"/>
    <w:basedOn w:val="a0"/>
    <w:link w:val="a8"/>
    <w:uiPriority w:val="99"/>
    <w:semiHidden/>
    <w:qFormat/>
    <w:rsid w:val="008C1C67"/>
    <w:rPr>
      <w:rFonts w:ascii="宋体" w:hAnsi="宋体"/>
      <w:sz w:val="24"/>
    </w:rPr>
  </w:style>
  <w:style w:type="character" w:customStyle="1" w:styleId="Char4">
    <w:name w:val="纯文本 Char"/>
    <w:basedOn w:val="a0"/>
    <w:link w:val="a9"/>
    <w:uiPriority w:val="99"/>
    <w:semiHidden/>
    <w:qFormat/>
    <w:rsid w:val="008C1C67"/>
    <w:rPr>
      <w:rFonts w:ascii="宋体" w:hAnsi="Courier New"/>
      <w:sz w:val="24"/>
    </w:rPr>
  </w:style>
  <w:style w:type="character" w:customStyle="1" w:styleId="Char5">
    <w:name w:val="日期 Char"/>
    <w:link w:val="aa"/>
    <w:uiPriority w:val="99"/>
    <w:semiHidden/>
    <w:qFormat/>
    <w:rsid w:val="008C1C67"/>
    <w:rPr>
      <w:rFonts w:ascii="宋体" w:hAnsi="宋体" w:cs="宋体"/>
      <w:sz w:val="28"/>
      <w:szCs w:val="24"/>
    </w:rPr>
  </w:style>
  <w:style w:type="character" w:customStyle="1" w:styleId="2Char0">
    <w:name w:val="正文文本缩进 2 Char"/>
    <w:link w:val="22"/>
    <w:uiPriority w:val="99"/>
    <w:semiHidden/>
    <w:qFormat/>
    <w:rsid w:val="008C1C67"/>
    <w:rPr>
      <w:rFonts w:ascii="宋体" w:hAnsi="宋体" w:cs="宋体"/>
      <w:sz w:val="24"/>
      <w:szCs w:val="24"/>
    </w:rPr>
  </w:style>
  <w:style w:type="character" w:customStyle="1" w:styleId="Char6">
    <w:name w:val="尾注文本 Char"/>
    <w:basedOn w:val="a0"/>
    <w:link w:val="ab"/>
    <w:uiPriority w:val="99"/>
    <w:semiHidden/>
    <w:qFormat/>
    <w:rsid w:val="008C1C67"/>
    <w:rPr>
      <w:rFonts w:ascii="宋体" w:hAnsi="宋体" w:cs="宋体"/>
      <w:sz w:val="24"/>
      <w:szCs w:val="24"/>
    </w:rPr>
  </w:style>
  <w:style w:type="character" w:customStyle="1" w:styleId="Char7">
    <w:name w:val="批注框文本 Char"/>
    <w:basedOn w:val="a0"/>
    <w:link w:val="ac"/>
    <w:uiPriority w:val="99"/>
    <w:semiHidden/>
    <w:qFormat/>
    <w:rsid w:val="008C1C67"/>
    <w:rPr>
      <w:rFonts w:ascii="宋体" w:hAnsi="宋体" w:cs="宋体"/>
      <w:sz w:val="18"/>
      <w:szCs w:val="18"/>
    </w:rPr>
  </w:style>
  <w:style w:type="character" w:customStyle="1" w:styleId="Char8">
    <w:name w:val="页脚 Char"/>
    <w:basedOn w:val="a0"/>
    <w:link w:val="ad"/>
    <w:uiPriority w:val="99"/>
    <w:semiHidden/>
    <w:qFormat/>
    <w:rsid w:val="008C1C67"/>
    <w:rPr>
      <w:rFonts w:ascii="宋体" w:hAnsi="宋体" w:cs="宋体"/>
      <w:sz w:val="18"/>
      <w:szCs w:val="18"/>
    </w:rPr>
  </w:style>
  <w:style w:type="character" w:customStyle="1" w:styleId="Char9">
    <w:name w:val="页眉 Char"/>
    <w:basedOn w:val="a0"/>
    <w:link w:val="ae"/>
    <w:uiPriority w:val="99"/>
    <w:semiHidden/>
    <w:qFormat/>
    <w:rsid w:val="008C1C67"/>
    <w:rPr>
      <w:rFonts w:ascii="宋体" w:hAnsi="宋体" w:cs="宋体"/>
      <w:sz w:val="18"/>
      <w:szCs w:val="18"/>
    </w:rPr>
  </w:style>
  <w:style w:type="character" w:customStyle="1" w:styleId="1Char0">
    <w:name w:val="目录 1 Char"/>
    <w:basedOn w:val="a0"/>
    <w:link w:val="10"/>
    <w:uiPriority w:val="39"/>
    <w:semiHidden/>
    <w:qFormat/>
    <w:rsid w:val="003319C0"/>
    <w:rPr>
      <w:rFonts w:cs="宋体"/>
      <w:b/>
      <w:sz w:val="24"/>
      <w:szCs w:val="24"/>
    </w:rPr>
  </w:style>
  <w:style w:type="character" w:customStyle="1" w:styleId="Chara">
    <w:name w:val="副标题 Char"/>
    <w:basedOn w:val="a0"/>
    <w:link w:val="af0"/>
    <w:uiPriority w:val="99"/>
    <w:semiHidden/>
    <w:qFormat/>
    <w:rsid w:val="008C1C67"/>
    <w:rPr>
      <w:rFonts w:asciiTheme="majorHAnsi" w:eastAsiaTheme="majorEastAsia" w:hAnsiTheme="majorHAnsi" w:cstheme="majorBidi"/>
      <w:sz w:val="24"/>
      <w:szCs w:val="24"/>
    </w:rPr>
  </w:style>
  <w:style w:type="character" w:customStyle="1" w:styleId="Charb">
    <w:name w:val="脚注文本 Char"/>
    <w:basedOn w:val="a0"/>
    <w:link w:val="af2"/>
    <w:uiPriority w:val="99"/>
    <w:semiHidden/>
    <w:qFormat/>
    <w:rsid w:val="008C1C67"/>
    <w:rPr>
      <w:rFonts w:ascii="宋体" w:hAnsi="宋体" w:cs="宋体"/>
      <w:sz w:val="18"/>
      <w:szCs w:val="18"/>
    </w:rPr>
  </w:style>
  <w:style w:type="character" w:customStyle="1" w:styleId="3Char1">
    <w:name w:val="正文文本缩进 3 Char"/>
    <w:link w:val="34"/>
    <w:uiPriority w:val="99"/>
    <w:semiHidden/>
    <w:qFormat/>
    <w:rsid w:val="008C1C67"/>
    <w:rPr>
      <w:rFonts w:ascii="Calibri" w:hAnsi="Calibri"/>
      <w:sz w:val="16"/>
    </w:rPr>
  </w:style>
  <w:style w:type="character" w:customStyle="1" w:styleId="2Char1">
    <w:name w:val="目录 2 Char"/>
    <w:basedOn w:val="a0"/>
    <w:link w:val="23"/>
    <w:uiPriority w:val="39"/>
    <w:semiHidden/>
    <w:qFormat/>
    <w:rsid w:val="003319C0"/>
    <w:rPr>
      <w:rFonts w:cs="Arial"/>
      <w:bCs/>
      <w:sz w:val="24"/>
      <w:szCs w:val="24"/>
    </w:rPr>
  </w:style>
  <w:style w:type="character" w:customStyle="1" w:styleId="2Char2">
    <w:name w:val="正文文本 2 Char"/>
    <w:link w:val="24"/>
    <w:uiPriority w:val="99"/>
    <w:semiHidden/>
    <w:qFormat/>
    <w:rsid w:val="008C1C67"/>
    <w:rPr>
      <w:rFonts w:ascii="宋体" w:hAnsi="宋体" w:cs="宋体"/>
      <w:sz w:val="24"/>
      <w:szCs w:val="24"/>
    </w:rPr>
  </w:style>
  <w:style w:type="character" w:customStyle="1" w:styleId="HTMLChar">
    <w:name w:val="HTML 预设格式 Char"/>
    <w:basedOn w:val="a0"/>
    <w:link w:val="HTML"/>
    <w:uiPriority w:val="99"/>
    <w:semiHidden/>
    <w:qFormat/>
    <w:rsid w:val="008C1C67"/>
    <w:rPr>
      <w:rFonts w:ascii="宋体" w:hAnsi="宋体" w:cs="宋体"/>
      <w:sz w:val="24"/>
      <w:szCs w:val="24"/>
    </w:rPr>
  </w:style>
  <w:style w:type="character" w:customStyle="1" w:styleId="Charc">
    <w:name w:val="普通(网站) Char"/>
    <w:link w:val="af4"/>
    <w:uiPriority w:val="99"/>
    <w:semiHidden/>
    <w:qFormat/>
    <w:locked/>
    <w:rsid w:val="008C1C67"/>
    <w:rPr>
      <w:rFonts w:ascii="宋体" w:hAnsi="宋体" w:cs="宋体"/>
      <w:sz w:val="24"/>
      <w:szCs w:val="24"/>
    </w:rPr>
  </w:style>
  <w:style w:type="character" w:customStyle="1" w:styleId="Chard">
    <w:name w:val="标题 Char"/>
    <w:basedOn w:val="a0"/>
    <w:link w:val="af5"/>
    <w:uiPriority w:val="99"/>
    <w:semiHidden/>
    <w:qFormat/>
    <w:rsid w:val="008C1C67"/>
    <w:rPr>
      <w:rFonts w:ascii="Calibri" w:hAnsi="Calibri"/>
      <w:smallCaps/>
      <w:sz w:val="48"/>
      <w:szCs w:val="48"/>
    </w:rPr>
  </w:style>
  <w:style w:type="character" w:customStyle="1" w:styleId="Chare">
    <w:name w:val="批注主题 Char"/>
    <w:basedOn w:val="Char1"/>
    <w:link w:val="af6"/>
    <w:uiPriority w:val="99"/>
    <w:semiHidden/>
    <w:qFormat/>
    <w:rsid w:val="008C1C67"/>
    <w:rPr>
      <w:rFonts w:ascii="宋体" w:hAnsi="宋体" w:cs="宋体"/>
      <w:b/>
      <w:bCs/>
      <w:sz w:val="24"/>
      <w:szCs w:val="24"/>
    </w:rPr>
  </w:style>
  <w:style w:type="character" w:customStyle="1" w:styleId="Charf">
    <w:name w:val="正文首行缩进 Char"/>
    <w:link w:val="af7"/>
    <w:uiPriority w:val="99"/>
    <w:semiHidden/>
    <w:qFormat/>
    <w:rsid w:val="008C1C67"/>
    <w:rPr>
      <w:rFonts w:ascii="Calibri" w:hAnsi="Calibri"/>
      <w:kern w:val="1"/>
      <w:sz w:val="21"/>
      <w:lang w:eastAsia="ar-SA"/>
    </w:rPr>
  </w:style>
  <w:style w:type="paragraph" w:styleId="aff2">
    <w:name w:val="List Paragraph"/>
    <w:basedOn w:val="a"/>
    <w:uiPriority w:val="34"/>
    <w:semiHidden/>
    <w:qFormat/>
    <w:pPr>
      <w:ind w:firstLineChars="200" w:firstLine="420"/>
    </w:pPr>
  </w:style>
  <w:style w:type="character" w:customStyle="1" w:styleId="fontstyle01">
    <w:name w:val="fontstyle01"/>
    <w:basedOn w:val="a0"/>
    <w:semiHidden/>
    <w:qFormat/>
    <w:rPr>
      <w:rFonts w:ascii="宋体" w:eastAsia="宋体" w:hAnsi="宋体" w:hint="eastAsia"/>
      <w:color w:val="000000"/>
      <w:sz w:val="24"/>
      <w:szCs w:val="24"/>
    </w:rPr>
  </w:style>
  <w:style w:type="character" w:customStyle="1" w:styleId="fontstyle21">
    <w:name w:val="fontstyle21"/>
    <w:basedOn w:val="a0"/>
    <w:semiHidden/>
    <w:qFormat/>
    <w:rPr>
      <w:rFonts w:ascii="Times New Roman" w:hAnsi="Times New Roman" w:cs="Times New Roman" w:hint="default"/>
      <w:color w:val="000000"/>
      <w:sz w:val="24"/>
      <w:szCs w:val="24"/>
    </w:rPr>
  </w:style>
  <w:style w:type="character" w:customStyle="1" w:styleId="fontstyle11">
    <w:name w:val="fontstyle11"/>
    <w:basedOn w:val="a0"/>
    <w:semiHidden/>
    <w:qFormat/>
    <w:rPr>
      <w:rFonts w:ascii="Times New Roman" w:hAnsi="Times New Roman" w:cs="Times New Roman" w:hint="default"/>
      <w:color w:val="000000"/>
      <w:sz w:val="24"/>
      <w:szCs w:val="24"/>
    </w:rPr>
  </w:style>
  <w:style w:type="paragraph" w:customStyle="1" w:styleId="Default">
    <w:name w:val="Default"/>
    <w:uiPriority w:val="99"/>
    <w:semiHidden/>
    <w:qFormat/>
    <w:pPr>
      <w:widowControl w:val="0"/>
      <w:autoSpaceDE w:val="0"/>
      <w:autoSpaceDN w:val="0"/>
      <w:adjustRightInd w:val="0"/>
    </w:pPr>
    <w:rPr>
      <w:rFonts w:ascii="宋体" w:hAnsiTheme="minorHAnsi" w:cs="宋体"/>
      <w:color w:val="000000"/>
      <w:sz w:val="24"/>
      <w:szCs w:val="24"/>
    </w:rPr>
  </w:style>
  <w:style w:type="table" w:customStyle="1" w:styleId="14">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
    <w:name w:val="网格型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semiHidden/>
    <w:qFormat/>
    <w:rPr>
      <w:sz w:val="22"/>
      <w:lang w:eastAsia="en-US"/>
    </w:rPr>
  </w:style>
  <w:style w:type="table" w:customStyle="1" w:styleId="35">
    <w:name w:val="网格型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
    <w:name w:val="TOC 标题1"/>
    <w:basedOn w:val="1"/>
    <w:next w:val="a"/>
    <w:uiPriority w:val="99"/>
    <w:semiHidden/>
    <w:qFormat/>
    <w:p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datem">
    <w:name w:val="date_m"/>
    <w:semiHidden/>
    <w:qFormat/>
    <w:rPr>
      <w:color w:val="A1A1A1"/>
      <w:sz w:val="18"/>
      <w:szCs w:val="18"/>
    </w:rPr>
  </w:style>
  <w:style w:type="character" w:customStyle="1" w:styleId="15">
    <w:name w:val="日期字符1"/>
    <w:uiPriority w:val="99"/>
    <w:semiHidden/>
    <w:qFormat/>
    <w:rPr>
      <w:rFonts w:ascii="Times New Roman" w:eastAsia="宋体" w:hAnsi="Times New Roman" w:cs="Times New Roman"/>
      <w:sz w:val="21"/>
      <w:szCs w:val="22"/>
    </w:rPr>
  </w:style>
  <w:style w:type="character" w:customStyle="1" w:styleId="aff3">
    <w:name w:val="批注文字 字符"/>
    <w:uiPriority w:val="99"/>
    <w:semiHidden/>
    <w:qFormat/>
    <w:locked/>
    <w:rPr>
      <w:kern w:val="2"/>
      <w:sz w:val="21"/>
    </w:rPr>
  </w:style>
  <w:style w:type="character" w:customStyle="1" w:styleId="210">
    <w:name w:val="正文文本缩进 2字符1"/>
    <w:uiPriority w:val="99"/>
    <w:semiHidden/>
    <w:qFormat/>
    <w:rPr>
      <w:rFonts w:ascii="Times New Roman" w:eastAsia="宋体" w:hAnsi="Times New Roman" w:cs="Times New Roman"/>
      <w:sz w:val="21"/>
      <w:szCs w:val="22"/>
    </w:rPr>
  </w:style>
  <w:style w:type="character" w:customStyle="1" w:styleId="16">
    <w:name w:val="页眉字符1"/>
    <w:uiPriority w:val="99"/>
    <w:semiHidden/>
    <w:qFormat/>
    <w:rPr>
      <w:rFonts w:ascii="Times New Roman" w:eastAsia="宋体" w:hAnsi="Times New Roman" w:cs="Times New Roman"/>
      <w:sz w:val="18"/>
      <w:szCs w:val="18"/>
    </w:rPr>
  </w:style>
  <w:style w:type="character" w:customStyle="1" w:styleId="17">
    <w:name w:val="批注文字字符1"/>
    <w:uiPriority w:val="99"/>
    <w:semiHidden/>
    <w:qFormat/>
    <w:rPr>
      <w:rFonts w:ascii="Times New Roman" w:eastAsia="宋体" w:hAnsi="Times New Roman" w:cs="Times New Roman"/>
      <w:sz w:val="21"/>
      <w:szCs w:val="22"/>
    </w:rPr>
  </w:style>
  <w:style w:type="character" w:customStyle="1" w:styleId="zhengwen1Char1">
    <w:name w:val="zhengwen1 Char1"/>
    <w:link w:val="zhengwen1"/>
    <w:semiHidden/>
    <w:qFormat/>
    <w:rsid w:val="008C1C67"/>
    <w:rPr>
      <w:rFonts w:ascii="楷体_GB2312" w:eastAsia="楷体_GB2312" w:hAnsi="宋体" w:cs="宋体"/>
      <w:sz w:val="24"/>
      <w:szCs w:val="24"/>
    </w:rPr>
  </w:style>
  <w:style w:type="paragraph" w:customStyle="1" w:styleId="zhengwen1">
    <w:name w:val="zhengwen1"/>
    <w:basedOn w:val="a"/>
    <w:link w:val="zhengwen1Char1"/>
    <w:semiHidden/>
    <w:qFormat/>
    <w:pPr>
      <w:numPr>
        <w:ilvl w:val="2"/>
        <w:numId w:val="1"/>
      </w:numPr>
      <w:spacing w:beforeLines="50" w:afterLines="50"/>
    </w:pPr>
    <w:rPr>
      <w:rFonts w:ascii="楷体_GB2312" w:eastAsia="楷体_GB2312"/>
    </w:rPr>
  </w:style>
  <w:style w:type="character" w:customStyle="1" w:styleId="18">
    <w:name w:val="批注框文本字符1"/>
    <w:uiPriority w:val="99"/>
    <w:semiHidden/>
    <w:qFormat/>
    <w:rPr>
      <w:rFonts w:ascii="宋体" w:eastAsia="宋体" w:hAnsi="Times New Roman" w:cs="Times New Roman"/>
      <w:sz w:val="18"/>
      <w:szCs w:val="18"/>
    </w:rPr>
  </w:style>
  <w:style w:type="character" w:customStyle="1" w:styleId="font01">
    <w:name w:val="font01"/>
    <w:semiHidden/>
    <w:qFormat/>
    <w:rPr>
      <w:rFonts w:ascii="MS Sans Serif" w:eastAsia="MS Sans Serif" w:hAnsi="MS Sans Serif" w:cs="MS Sans Serif" w:hint="default"/>
      <w:color w:val="000000"/>
      <w:sz w:val="24"/>
      <w:szCs w:val="24"/>
      <w:u w:val="none"/>
    </w:rPr>
  </w:style>
  <w:style w:type="character" w:customStyle="1" w:styleId="txtm">
    <w:name w:val="txt_m"/>
    <w:semiHidden/>
    <w:qFormat/>
  </w:style>
  <w:style w:type="character" w:customStyle="1" w:styleId="spanlast">
    <w:name w:val="spanlast"/>
    <w:semiHidden/>
    <w:qFormat/>
    <w:rPr>
      <w:color w:val="B20200"/>
    </w:rPr>
  </w:style>
  <w:style w:type="character" w:customStyle="1" w:styleId="19">
    <w:name w:val="批注主题字符1"/>
    <w:uiPriority w:val="99"/>
    <w:semiHidden/>
    <w:qFormat/>
    <w:rPr>
      <w:rFonts w:ascii="Times New Roman" w:eastAsia="宋体" w:hAnsi="Times New Roman" w:cs="Times New Roman"/>
      <w:b/>
      <w:bCs/>
      <w:sz w:val="21"/>
      <w:szCs w:val="22"/>
    </w:rPr>
  </w:style>
  <w:style w:type="character" w:customStyle="1" w:styleId="211">
    <w:name w:val="正文文本 2字符1"/>
    <w:uiPriority w:val="99"/>
    <w:semiHidden/>
    <w:qFormat/>
    <w:rPr>
      <w:kern w:val="2"/>
      <w:sz w:val="21"/>
    </w:rPr>
  </w:style>
  <w:style w:type="character" w:customStyle="1" w:styleId="1a">
    <w:name w:val="页脚字符1"/>
    <w:uiPriority w:val="99"/>
    <w:semiHidden/>
    <w:qFormat/>
    <w:rPr>
      <w:rFonts w:ascii="Times New Roman" w:eastAsia="宋体" w:hAnsi="Times New Roman" w:cs="Times New Roman"/>
      <w:sz w:val="18"/>
      <w:szCs w:val="18"/>
    </w:rPr>
  </w:style>
  <w:style w:type="character" w:customStyle="1" w:styleId="Char10">
    <w:name w:val="批注主题 Char1"/>
    <w:basedOn w:val="Char1"/>
    <w:uiPriority w:val="99"/>
    <w:semiHidden/>
    <w:qFormat/>
    <w:rPr>
      <w:rFonts w:ascii="宋体" w:hAnsi="宋体" w:cs="宋体"/>
      <w:b/>
      <w:bCs/>
      <w:sz w:val="24"/>
      <w:szCs w:val="24"/>
    </w:rPr>
  </w:style>
  <w:style w:type="character" w:customStyle="1" w:styleId="1b">
    <w:name w:val="批注主题 字符1"/>
    <w:basedOn w:val="Char1"/>
    <w:uiPriority w:val="99"/>
    <w:semiHidden/>
    <w:qFormat/>
    <w:rPr>
      <w:rFonts w:ascii="宋体" w:hAnsi="宋体" w:cs="宋体"/>
      <w:b/>
      <w:bCs/>
      <w:sz w:val="24"/>
      <w:szCs w:val="24"/>
    </w:rPr>
  </w:style>
  <w:style w:type="character" w:customStyle="1" w:styleId="2Char10">
    <w:name w:val="正文文本缩进 2 Char1"/>
    <w:basedOn w:val="a0"/>
    <w:uiPriority w:val="99"/>
    <w:semiHidden/>
    <w:qFormat/>
  </w:style>
  <w:style w:type="character" w:customStyle="1" w:styleId="212">
    <w:name w:val="正文文本缩进 2 字符1"/>
    <w:basedOn w:val="a0"/>
    <w:uiPriority w:val="99"/>
    <w:semiHidden/>
    <w:qFormat/>
  </w:style>
  <w:style w:type="character" w:customStyle="1" w:styleId="Char11">
    <w:name w:val="页眉 Char1"/>
    <w:basedOn w:val="a0"/>
    <w:uiPriority w:val="99"/>
    <w:semiHidden/>
    <w:qFormat/>
    <w:rPr>
      <w:sz w:val="18"/>
      <w:szCs w:val="18"/>
    </w:rPr>
  </w:style>
  <w:style w:type="character" w:customStyle="1" w:styleId="1c">
    <w:name w:val="页眉 字符1"/>
    <w:basedOn w:val="a0"/>
    <w:uiPriority w:val="99"/>
    <w:semiHidden/>
    <w:qFormat/>
    <w:rPr>
      <w:sz w:val="18"/>
      <w:szCs w:val="18"/>
    </w:rPr>
  </w:style>
  <w:style w:type="character" w:customStyle="1" w:styleId="2Char11">
    <w:name w:val="正文文本 2 Char1"/>
    <w:basedOn w:val="a0"/>
    <w:semiHidden/>
    <w:qFormat/>
  </w:style>
  <w:style w:type="character" w:customStyle="1" w:styleId="213">
    <w:name w:val="正文文本 2 字符1"/>
    <w:basedOn w:val="a0"/>
    <w:uiPriority w:val="99"/>
    <w:semiHidden/>
    <w:qFormat/>
  </w:style>
  <w:style w:type="character" w:customStyle="1" w:styleId="Char12">
    <w:name w:val="脚注文本 Char1"/>
    <w:basedOn w:val="a0"/>
    <w:uiPriority w:val="99"/>
    <w:semiHidden/>
    <w:qFormat/>
    <w:rPr>
      <w:sz w:val="18"/>
      <w:szCs w:val="18"/>
    </w:rPr>
  </w:style>
  <w:style w:type="character" w:customStyle="1" w:styleId="1d">
    <w:name w:val="脚注文本 字符1"/>
    <w:basedOn w:val="a0"/>
    <w:uiPriority w:val="99"/>
    <w:semiHidden/>
    <w:qFormat/>
    <w:rPr>
      <w:sz w:val="18"/>
      <w:szCs w:val="18"/>
    </w:rPr>
  </w:style>
  <w:style w:type="character" w:customStyle="1" w:styleId="Char13">
    <w:name w:val="批注框文本 Char1"/>
    <w:basedOn w:val="a0"/>
    <w:uiPriority w:val="99"/>
    <w:semiHidden/>
    <w:qFormat/>
    <w:rPr>
      <w:sz w:val="18"/>
      <w:szCs w:val="18"/>
    </w:rPr>
  </w:style>
  <w:style w:type="character" w:customStyle="1" w:styleId="1e">
    <w:name w:val="批注框文本 字符1"/>
    <w:basedOn w:val="a0"/>
    <w:uiPriority w:val="99"/>
    <w:semiHidden/>
    <w:qFormat/>
    <w:rPr>
      <w:sz w:val="18"/>
      <w:szCs w:val="18"/>
    </w:rPr>
  </w:style>
  <w:style w:type="character" w:customStyle="1" w:styleId="Char14">
    <w:name w:val="页脚 Char1"/>
    <w:basedOn w:val="a0"/>
    <w:uiPriority w:val="99"/>
    <w:semiHidden/>
    <w:qFormat/>
    <w:rPr>
      <w:sz w:val="18"/>
      <w:szCs w:val="18"/>
    </w:rPr>
  </w:style>
  <w:style w:type="character" w:customStyle="1" w:styleId="1f">
    <w:name w:val="页脚 字符1"/>
    <w:basedOn w:val="a0"/>
    <w:uiPriority w:val="99"/>
    <w:semiHidden/>
    <w:qFormat/>
    <w:rPr>
      <w:sz w:val="18"/>
      <w:szCs w:val="18"/>
    </w:rPr>
  </w:style>
  <w:style w:type="character" w:customStyle="1" w:styleId="Char15">
    <w:name w:val="日期 Char1"/>
    <w:basedOn w:val="a0"/>
    <w:uiPriority w:val="99"/>
    <w:semiHidden/>
    <w:qFormat/>
  </w:style>
  <w:style w:type="character" w:customStyle="1" w:styleId="1f0">
    <w:name w:val="日期 字符1"/>
    <w:basedOn w:val="a0"/>
    <w:uiPriority w:val="99"/>
    <w:semiHidden/>
    <w:qFormat/>
  </w:style>
  <w:style w:type="paragraph" w:customStyle="1" w:styleId="a10">
    <w:name w:val="a1"/>
    <w:basedOn w:val="a"/>
    <w:uiPriority w:val="99"/>
    <w:semiHidden/>
    <w:qFormat/>
    <w:pPr>
      <w:keepNext/>
      <w:keepLines/>
      <w:spacing w:before="260" w:after="260" w:line="415" w:lineRule="auto"/>
      <w:ind w:left="360" w:hanging="360"/>
      <w:outlineLvl w:val="1"/>
    </w:pPr>
    <w:rPr>
      <w:rFonts w:ascii="Arial" w:eastAsia="楷体_GB2312" w:hAnsi="Arial"/>
      <w:b/>
      <w:bCs/>
      <w:sz w:val="28"/>
      <w:szCs w:val="20"/>
    </w:rPr>
  </w:style>
  <w:style w:type="paragraph" w:customStyle="1" w:styleId="27">
    <w:name w:val="列出段落2"/>
    <w:basedOn w:val="a"/>
    <w:uiPriority w:val="99"/>
    <w:semiHidden/>
    <w:qFormat/>
    <w:pPr>
      <w:ind w:firstLineChars="200" w:firstLine="420"/>
    </w:pPr>
    <w:rPr>
      <w:rFonts w:ascii="Times New Roman" w:hAnsi="Times New Roman" w:cs="Times New Roman"/>
    </w:rPr>
  </w:style>
  <w:style w:type="paragraph" w:customStyle="1" w:styleId="-31">
    <w:name w:val="浅色列表 - 强调文字颜色 31"/>
    <w:uiPriority w:val="62"/>
    <w:semiHidden/>
    <w:qFormat/>
    <w:rPr>
      <w:kern w:val="2"/>
      <w:sz w:val="21"/>
    </w:rPr>
  </w:style>
  <w:style w:type="paragraph" w:customStyle="1" w:styleId="-310">
    <w:name w:val="彩色底纹 - 强调文字颜色 31"/>
    <w:basedOn w:val="a"/>
    <w:uiPriority w:val="34"/>
    <w:semiHidden/>
    <w:qFormat/>
    <w:pPr>
      <w:ind w:firstLineChars="200" w:firstLine="420"/>
    </w:pPr>
    <w:rPr>
      <w:rFonts w:ascii="Times New Roman" w:hAnsi="Times New Roman" w:cs="Times New Roman"/>
    </w:rPr>
  </w:style>
  <w:style w:type="paragraph" w:customStyle="1" w:styleId="36">
    <w:name w:val="列出段落3"/>
    <w:basedOn w:val="a"/>
    <w:uiPriority w:val="99"/>
    <w:semiHidden/>
    <w:qFormat/>
    <w:pPr>
      <w:ind w:firstLineChars="200" w:firstLine="420"/>
    </w:pPr>
    <w:rPr>
      <w:rFonts w:ascii="Times New Roman" w:hAnsi="Times New Roman" w:cs="Times New Roman"/>
    </w:rPr>
  </w:style>
  <w:style w:type="paragraph" w:customStyle="1" w:styleId="Body1">
    <w:name w:val="Body 1"/>
    <w:basedOn w:val="a"/>
    <w:uiPriority w:val="99"/>
    <w:semiHidden/>
    <w:qFormat/>
    <w:pPr>
      <w:spacing w:after="140" w:line="288" w:lineRule="auto"/>
      <w:ind w:left="680"/>
    </w:pPr>
    <w:rPr>
      <w:rFonts w:ascii="Arial" w:hAnsi="Arial" w:cs="Times New Roman"/>
      <w:kern w:val="20"/>
      <w:sz w:val="20"/>
      <w:lang w:val="en-GB" w:eastAsia="en-US"/>
    </w:rPr>
  </w:style>
  <w:style w:type="paragraph" w:customStyle="1" w:styleId="1-10">
    <w:name w:val="标题1-1"/>
    <w:basedOn w:val="20"/>
    <w:uiPriority w:val="99"/>
    <w:semiHidden/>
    <w:qFormat/>
    <w:pPr>
      <w:spacing w:before="100" w:after="100" w:line="413" w:lineRule="auto"/>
      <w:ind w:left="1800" w:hanging="360"/>
      <w:jc w:val="center"/>
    </w:pPr>
    <w:rPr>
      <w:rFonts w:ascii="Arial" w:eastAsia="楷体_GB2312" w:hAnsi="Arial" w:cs="Times New Roman"/>
    </w:rPr>
  </w:style>
  <w:style w:type="paragraph" w:customStyle="1" w:styleId="E-norm">
    <w:name w:val="E-norm"/>
    <w:basedOn w:val="a"/>
    <w:uiPriority w:val="99"/>
    <w:semiHidden/>
    <w:qFormat/>
    <w:pPr>
      <w:adjustRightInd w:val="0"/>
      <w:textAlignment w:val="baseline"/>
    </w:pPr>
    <w:rPr>
      <w:rFonts w:ascii="Times New Roman" w:eastAsia="MingLiU" w:hAnsi="Times New Roman" w:cs="Times New Roman"/>
      <w:szCs w:val="20"/>
      <w:lang w:val="en-GB" w:eastAsia="zh-TW"/>
    </w:rPr>
  </w:style>
  <w:style w:type="paragraph" w:customStyle="1" w:styleId="1f1">
    <w:name w:val="修订1"/>
    <w:uiPriority w:val="99"/>
    <w:semiHidden/>
    <w:qFormat/>
    <w:rPr>
      <w:kern w:val="2"/>
      <w:sz w:val="21"/>
    </w:rPr>
  </w:style>
  <w:style w:type="paragraph" w:customStyle="1" w:styleId="-311">
    <w:name w:val="深色列表 - 强调文字颜色 31"/>
    <w:uiPriority w:val="71"/>
    <w:semiHidden/>
    <w:qFormat/>
    <w:rPr>
      <w:kern w:val="2"/>
      <w:sz w:val="21"/>
    </w:rPr>
  </w:style>
  <w:style w:type="paragraph" w:customStyle="1" w:styleId="CharChar1CharCharCharCharCharCharCharCharCharCharCharCharCharChar">
    <w:name w:val="Char Char1 Char Char Char Char Char Char Char Char Char Char Char Char Char Char"/>
    <w:basedOn w:val="a"/>
    <w:uiPriority w:val="99"/>
    <w:semiHidden/>
    <w:qFormat/>
    <w:pPr>
      <w:spacing w:beforeLines="100" w:after="160" w:line="240" w:lineRule="exact"/>
    </w:pPr>
    <w:rPr>
      <w:rFonts w:ascii="Times New Roman" w:hAnsi="Times New Roman" w:cs="Times New Roman"/>
    </w:rPr>
  </w:style>
  <w:style w:type="paragraph" w:customStyle="1" w:styleId="1-41">
    <w:name w:val="中等深浅列表 1 - 强调文字颜色 41"/>
    <w:uiPriority w:val="71"/>
    <w:semiHidden/>
    <w:qFormat/>
    <w:rPr>
      <w:kern w:val="2"/>
      <w:sz w:val="21"/>
    </w:rPr>
  </w:style>
  <w:style w:type="paragraph" w:customStyle="1" w:styleId="p0">
    <w:name w:val="p0"/>
    <w:basedOn w:val="a"/>
    <w:uiPriority w:val="99"/>
    <w:semiHidden/>
    <w:qFormat/>
    <w:pPr>
      <w:spacing w:after="240"/>
    </w:pPr>
    <w:rPr>
      <w:rFonts w:ascii="CG Times" w:hAnsi="CG Times"/>
    </w:rPr>
  </w:style>
  <w:style w:type="paragraph" w:customStyle="1" w:styleId="Style7">
    <w:name w:val="_Style 7"/>
    <w:basedOn w:val="a"/>
    <w:uiPriority w:val="99"/>
    <w:semiHidden/>
    <w:qFormat/>
    <w:rPr>
      <w:rFonts w:ascii="Tahoma" w:hAnsi="Tahoma" w:cs="Times New Roman"/>
      <w:szCs w:val="20"/>
    </w:rPr>
  </w:style>
  <w:style w:type="paragraph" w:customStyle="1" w:styleId="CharCharCharChar">
    <w:name w:val="Char Char Char Char"/>
    <w:basedOn w:val="a"/>
    <w:uiPriority w:val="99"/>
    <w:semiHidden/>
    <w:qFormat/>
    <w:pPr>
      <w:tabs>
        <w:tab w:val="left" w:pos="360"/>
      </w:tabs>
    </w:pPr>
    <w:rPr>
      <w:rFonts w:ascii="Times New Roman" w:hAnsi="Times New Roman" w:cs="Times New Roman"/>
    </w:rPr>
  </w:style>
  <w:style w:type="paragraph" w:customStyle="1" w:styleId="aff4">
    <w:name w:val="中文文本"/>
    <w:basedOn w:val="a"/>
    <w:uiPriority w:val="99"/>
    <w:semiHidden/>
    <w:qFormat/>
    <w:pPr>
      <w:autoSpaceDE w:val="0"/>
      <w:autoSpaceDN w:val="0"/>
      <w:adjustRightInd w:val="0"/>
      <w:spacing w:before="120" w:after="120"/>
    </w:pPr>
    <w:rPr>
      <w:rFonts w:ascii="Times New Roman" w:hAnsi="Times New Roman" w:cs="Times New Roman"/>
      <w:szCs w:val="20"/>
    </w:rPr>
  </w:style>
  <w:style w:type="paragraph" w:customStyle="1" w:styleId="1f2">
    <w:name w:val="列出段落1"/>
    <w:basedOn w:val="a"/>
    <w:uiPriority w:val="99"/>
    <w:semiHidden/>
    <w:qFormat/>
    <w:pPr>
      <w:ind w:firstLineChars="200" w:firstLine="420"/>
    </w:pPr>
    <w:rPr>
      <w:rFonts w:ascii="Times New Roman" w:hAnsi="Times New Roman" w:cs="Times New Roman"/>
    </w:rPr>
  </w:style>
  <w:style w:type="table" w:customStyle="1" w:styleId="120">
    <w:name w:val="网格型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1"/>
    <w:basedOn w:val="a"/>
    <w:next w:val="a"/>
    <w:uiPriority w:val="99"/>
    <w:semiHidden/>
    <w:qFormat/>
    <w:pPr>
      <w:ind w:leftChars="400" w:left="840"/>
    </w:pPr>
    <w:rPr>
      <w:rFonts w:ascii="Times New Roman" w:hAnsi="Times New Roman" w:cs="Times New Roman"/>
      <w:szCs w:val="20"/>
    </w:rPr>
  </w:style>
  <w:style w:type="character" w:customStyle="1" w:styleId="nlkfqirnlfjer1dfgzxcyiuro">
    <w:name w:val="nlkfqirnlfjer1dfgzxcyiuro"/>
    <w:semiHidden/>
  </w:style>
  <w:style w:type="character" w:customStyle="1" w:styleId="text-click-color">
    <w:name w:val="text-click-color"/>
    <w:basedOn w:val="a0"/>
    <w:semiHidden/>
    <w:qFormat/>
  </w:style>
  <w:style w:type="table" w:customStyle="1" w:styleId="214">
    <w:name w:val="网格型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批注文字 字符1"/>
    <w:basedOn w:val="a0"/>
    <w:uiPriority w:val="99"/>
    <w:semiHidden/>
    <w:qFormat/>
  </w:style>
  <w:style w:type="table" w:customStyle="1" w:styleId="72">
    <w:name w:val="网格型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正文文本 (2)_"/>
    <w:basedOn w:val="a0"/>
    <w:link w:val="29"/>
    <w:semiHidden/>
    <w:qFormat/>
    <w:rsid w:val="008C1C67"/>
    <w:rPr>
      <w:rFonts w:ascii="宋体" w:hAnsi="宋体" w:cs="宋体"/>
      <w:sz w:val="22"/>
      <w:szCs w:val="24"/>
      <w:shd w:val="clear" w:color="auto" w:fill="FFFFFF"/>
    </w:rPr>
  </w:style>
  <w:style w:type="paragraph" w:customStyle="1" w:styleId="29">
    <w:name w:val="正文文本 (2)"/>
    <w:basedOn w:val="a"/>
    <w:link w:val="28"/>
    <w:semiHidden/>
    <w:qFormat/>
    <w:pPr>
      <w:shd w:val="clear" w:color="auto" w:fill="FFFFFF"/>
      <w:spacing w:before="540" w:after="60" w:line="475" w:lineRule="exact"/>
      <w:jc w:val="distribute"/>
    </w:pPr>
    <w:rPr>
      <w:sz w:val="22"/>
    </w:rPr>
  </w:style>
  <w:style w:type="character" w:customStyle="1" w:styleId="210pt">
    <w:name w:val="正文文本 (2) + 10 pt"/>
    <w:basedOn w:val="28"/>
    <w:semiHidden/>
    <w:qFormat/>
    <w:rPr>
      <w:rFonts w:ascii="宋体" w:eastAsia="宋体" w:hAnsi="宋体" w:cs="宋体"/>
      <w:b/>
      <w:bCs/>
      <w:color w:val="000000"/>
      <w:spacing w:val="20"/>
      <w:w w:val="100"/>
      <w:position w:val="0"/>
      <w:sz w:val="20"/>
      <w:szCs w:val="20"/>
      <w:shd w:val="clear" w:color="auto" w:fill="FFFFFF"/>
      <w:lang w:val="zh-TW" w:eastAsia="zh-TW" w:bidi="zh-TW"/>
    </w:rPr>
  </w:style>
  <w:style w:type="character" w:customStyle="1" w:styleId="2ArialUnicodeMS">
    <w:name w:val="正文文本 (2) + Arial Unicode MS"/>
    <w:basedOn w:val="28"/>
    <w:semiHidden/>
    <w:qFormat/>
    <w:rPr>
      <w:rFonts w:ascii="Arial Unicode MS" w:eastAsia="Arial Unicode MS" w:hAnsi="Arial Unicode MS" w:cs="Arial Unicode MS"/>
      <w:b/>
      <w:bCs/>
      <w:color w:val="000000"/>
      <w:spacing w:val="0"/>
      <w:w w:val="100"/>
      <w:position w:val="0"/>
      <w:sz w:val="19"/>
      <w:szCs w:val="19"/>
      <w:u w:val="none"/>
      <w:shd w:val="clear" w:color="auto" w:fill="FFFFFF"/>
      <w:lang w:val="en-US" w:eastAsia="en-US" w:bidi="en-US"/>
    </w:rPr>
  </w:style>
  <w:style w:type="character" w:customStyle="1" w:styleId="4Exact">
    <w:name w:val="正文文本 (4) Exact"/>
    <w:basedOn w:val="a0"/>
    <w:semiHidden/>
    <w:qFormat/>
    <w:rPr>
      <w:rFonts w:ascii="宋体" w:eastAsia="宋体" w:hAnsi="宋体" w:cs="宋体"/>
      <w:w w:val="100"/>
      <w:sz w:val="26"/>
      <w:szCs w:val="26"/>
      <w:u w:val="none"/>
      <w:lang w:val="en-US" w:eastAsia="en-US" w:bidi="en-US"/>
    </w:rPr>
  </w:style>
  <w:style w:type="character" w:customStyle="1" w:styleId="37">
    <w:name w:val="正文文本 (3)_"/>
    <w:basedOn w:val="a0"/>
    <w:link w:val="38"/>
    <w:semiHidden/>
    <w:qFormat/>
    <w:rsid w:val="008C1C67"/>
    <w:rPr>
      <w:rFonts w:ascii="宋体" w:hAnsi="宋体" w:cs="宋体"/>
      <w:sz w:val="48"/>
      <w:szCs w:val="48"/>
      <w:shd w:val="clear" w:color="auto" w:fill="FFFFFF"/>
    </w:rPr>
  </w:style>
  <w:style w:type="paragraph" w:customStyle="1" w:styleId="38">
    <w:name w:val="正文文本 (3)"/>
    <w:basedOn w:val="a"/>
    <w:link w:val="37"/>
    <w:semiHidden/>
    <w:qFormat/>
    <w:pPr>
      <w:shd w:val="clear" w:color="auto" w:fill="FFFFFF"/>
      <w:spacing w:after="480" w:line="0" w:lineRule="atLeast"/>
    </w:pPr>
    <w:rPr>
      <w:sz w:val="48"/>
      <w:szCs w:val="48"/>
    </w:rPr>
  </w:style>
  <w:style w:type="character" w:customStyle="1" w:styleId="43">
    <w:name w:val="正文文本 (4)_"/>
    <w:basedOn w:val="a0"/>
    <w:link w:val="44"/>
    <w:semiHidden/>
    <w:qFormat/>
    <w:rsid w:val="008C1C67"/>
    <w:rPr>
      <w:rFonts w:ascii="宋体" w:hAnsi="宋体" w:cs="宋体"/>
      <w:sz w:val="26"/>
      <w:szCs w:val="26"/>
      <w:shd w:val="clear" w:color="auto" w:fill="FFFFFF"/>
      <w:lang w:eastAsia="en-US" w:bidi="en-US"/>
    </w:rPr>
  </w:style>
  <w:style w:type="paragraph" w:customStyle="1" w:styleId="44">
    <w:name w:val="正文文本 (4)"/>
    <w:basedOn w:val="a"/>
    <w:link w:val="43"/>
    <w:semiHidden/>
    <w:qFormat/>
    <w:pPr>
      <w:shd w:val="clear" w:color="auto" w:fill="FFFFFF"/>
      <w:spacing w:before="480" w:after="480" w:line="0" w:lineRule="atLeast"/>
      <w:jc w:val="right"/>
    </w:pPr>
    <w:rPr>
      <w:sz w:val="26"/>
      <w:szCs w:val="26"/>
      <w:lang w:eastAsia="en-US" w:bidi="en-US"/>
    </w:rPr>
  </w:style>
  <w:style w:type="character" w:customStyle="1" w:styleId="410pt">
    <w:name w:val="正文文本 (4) + 10 pt"/>
    <w:basedOn w:val="43"/>
    <w:semiHidden/>
    <w:qFormat/>
    <w:rPr>
      <w:rFonts w:ascii="宋体" w:eastAsia="宋体" w:hAnsi="宋体" w:cs="宋体"/>
      <w:b/>
      <w:bCs/>
      <w:color w:val="000000"/>
      <w:spacing w:val="0"/>
      <w:position w:val="0"/>
      <w:sz w:val="20"/>
      <w:szCs w:val="20"/>
      <w:shd w:val="clear" w:color="auto" w:fill="FFFFFF"/>
      <w:lang w:eastAsia="en-US" w:bidi="en-US"/>
    </w:rPr>
  </w:style>
  <w:style w:type="character" w:customStyle="1" w:styleId="53">
    <w:name w:val="正文文本 (5)_"/>
    <w:basedOn w:val="a0"/>
    <w:semiHidden/>
    <w:qFormat/>
    <w:rPr>
      <w:rFonts w:ascii="宋体" w:eastAsia="宋体" w:hAnsi="宋体" w:cs="宋体"/>
      <w:sz w:val="20"/>
      <w:szCs w:val="20"/>
      <w:u w:val="none"/>
    </w:rPr>
  </w:style>
  <w:style w:type="character" w:customStyle="1" w:styleId="63">
    <w:name w:val="正文文本 (6)"/>
    <w:basedOn w:val="a0"/>
    <w:semiHidden/>
    <w:qFormat/>
    <w:rPr>
      <w:rFonts w:ascii="宋体" w:eastAsia="宋体" w:hAnsi="宋体" w:cs="宋体"/>
      <w:sz w:val="36"/>
      <w:szCs w:val="36"/>
      <w:u w:val="none"/>
    </w:rPr>
  </w:style>
  <w:style w:type="character" w:customStyle="1" w:styleId="73">
    <w:name w:val="正文文本 (7)_"/>
    <w:basedOn w:val="a0"/>
    <w:semiHidden/>
    <w:qFormat/>
    <w:rPr>
      <w:rFonts w:ascii="宋体" w:eastAsia="宋体" w:hAnsi="宋体" w:cs="宋体"/>
      <w:spacing w:val="30"/>
      <w:sz w:val="30"/>
      <w:szCs w:val="30"/>
      <w:u w:val="none"/>
    </w:rPr>
  </w:style>
  <w:style w:type="character" w:customStyle="1" w:styleId="74">
    <w:name w:val="正文文本 (7)"/>
    <w:basedOn w:val="73"/>
    <w:semiHidden/>
    <w:qFormat/>
    <w:rPr>
      <w:rFonts w:ascii="宋体" w:eastAsia="宋体" w:hAnsi="宋体" w:cs="宋体"/>
      <w:color w:val="000000"/>
      <w:spacing w:val="30"/>
      <w:w w:val="100"/>
      <w:position w:val="0"/>
      <w:sz w:val="30"/>
      <w:szCs w:val="30"/>
      <w:u w:val="single"/>
      <w:lang w:val="zh-TW" w:eastAsia="zh-TW" w:bidi="zh-TW"/>
    </w:rPr>
  </w:style>
  <w:style w:type="character" w:customStyle="1" w:styleId="83">
    <w:name w:val="正文文本 (8)_"/>
    <w:basedOn w:val="a0"/>
    <w:semiHidden/>
    <w:qFormat/>
    <w:rPr>
      <w:rFonts w:ascii="Arial Unicode MS" w:eastAsia="Arial Unicode MS" w:hAnsi="Arial Unicode MS" w:cs="Arial Unicode MS"/>
      <w:spacing w:val="10"/>
      <w:sz w:val="15"/>
      <w:szCs w:val="15"/>
      <w:u w:val="none"/>
      <w:lang w:val="en-US" w:eastAsia="en-US" w:bidi="en-US"/>
    </w:rPr>
  </w:style>
  <w:style w:type="character" w:customStyle="1" w:styleId="84">
    <w:name w:val="正文文本 (8)"/>
    <w:basedOn w:val="83"/>
    <w:semiHidden/>
    <w:qFormat/>
    <w:rPr>
      <w:rFonts w:ascii="Arial Unicode MS" w:eastAsia="Arial Unicode MS" w:hAnsi="Arial Unicode MS" w:cs="Arial Unicode MS"/>
      <w:color w:val="000000"/>
      <w:spacing w:val="10"/>
      <w:w w:val="100"/>
      <w:position w:val="0"/>
      <w:sz w:val="15"/>
      <w:szCs w:val="15"/>
      <w:u w:val="none"/>
      <w:lang w:val="en-US" w:eastAsia="en-US" w:bidi="en-US"/>
    </w:rPr>
  </w:style>
  <w:style w:type="character" w:customStyle="1" w:styleId="8MSReferenceSansSerif">
    <w:name w:val="正文文本 (8) + MS Reference Sans Serif"/>
    <w:basedOn w:val="83"/>
    <w:semiHidden/>
    <w:qFormat/>
    <w:rPr>
      <w:rFonts w:ascii="MS Reference Sans Serif" w:eastAsia="MS Reference Sans Serif" w:hAnsi="MS Reference Sans Serif" w:cs="MS Reference Sans Serif"/>
      <w:color w:val="000000"/>
      <w:spacing w:val="0"/>
      <w:w w:val="100"/>
      <w:position w:val="0"/>
      <w:sz w:val="15"/>
      <w:szCs w:val="15"/>
      <w:u w:val="none"/>
      <w:lang w:val="zh-TW" w:eastAsia="zh-TW" w:bidi="zh-TW"/>
    </w:rPr>
  </w:style>
  <w:style w:type="character" w:customStyle="1" w:styleId="1f5">
    <w:name w:val="标题 #1_"/>
    <w:basedOn w:val="a0"/>
    <w:semiHidden/>
    <w:qFormat/>
    <w:rPr>
      <w:rFonts w:ascii="宋体" w:eastAsia="宋体" w:hAnsi="宋体" w:cs="宋体"/>
      <w:sz w:val="32"/>
      <w:szCs w:val="32"/>
      <w:u w:val="none"/>
    </w:rPr>
  </w:style>
  <w:style w:type="character" w:customStyle="1" w:styleId="aff5">
    <w:name w:val="页眉或页脚_"/>
    <w:basedOn w:val="a0"/>
    <w:semiHidden/>
    <w:qFormat/>
    <w:rPr>
      <w:rFonts w:ascii="宋体" w:eastAsia="宋体" w:hAnsi="宋体" w:cs="宋体"/>
      <w:sz w:val="18"/>
      <w:szCs w:val="18"/>
      <w:u w:val="none"/>
    </w:rPr>
  </w:style>
  <w:style w:type="character" w:customStyle="1" w:styleId="aff6">
    <w:name w:val="页眉或页脚"/>
    <w:basedOn w:val="aff5"/>
    <w:semiHidden/>
    <w:qFormat/>
    <w:rPr>
      <w:rFonts w:ascii="宋体" w:eastAsia="宋体" w:hAnsi="宋体" w:cs="宋体"/>
      <w:color w:val="000000"/>
      <w:spacing w:val="0"/>
      <w:w w:val="100"/>
      <w:position w:val="0"/>
      <w:sz w:val="18"/>
      <w:szCs w:val="18"/>
      <w:u w:val="none"/>
      <w:lang w:val="zh-TW" w:eastAsia="zh-TW" w:bidi="zh-TW"/>
    </w:rPr>
  </w:style>
  <w:style w:type="character" w:customStyle="1" w:styleId="Sylfaen">
    <w:name w:val="页眉或页脚 + Sylfaen"/>
    <w:basedOn w:val="aff5"/>
    <w:semiHidden/>
    <w:qFormat/>
    <w:rPr>
      <w:rFonts w:ascii="Sylfaen" w:eastAsia="Sylfaen" w:hAnsi="Sylfaen" w:cs="Sylfaen"/>
      <w:color w:val="000000"/>
      <w:spacing w:val="0"/>
      <w:w w:val="100"/>
      <w:position w:val="0"/>
      <w:sz w:val="20"/>
      <w:szCs w:val="20"/>
      <w:u w:val="none"/>
      <w:lang w:val="en-US" w:eastAsia="en-US" w:bidi="en-US"/>
    </w:rPr>
  </w:style>
  <w:style w:type="character" w:customStyle="1" w:styleId="93">
    <w:name w:val="正文文本 (9)_"/>
    <w:basedOn w:val="a0"/>
    <w:link w:val="94"/>
    <w:semiHidden/>
    <w:qFormat/>
    <w:rsid w:val="008C1C67"/>
    <w:rPr>
      <w:rFonts w:ascii="宋体" w:hAnsi="宋体" w:cs="宋体"/>
      <w:sz w:val="28"/>
      <w:szCs w:val="28"/>
      <w:shd w:val="clear" w:color="auto" w:fill="FFFFFF"/>
    </w:rPr>
  </w:style>
  <w:style w:type="paragraph" w:customStyle="1" w:styleId="94">
    <w:name w:val="正文文本 (9)"/>
    <w:basedOn w:val="a"/>
    <w:link w:val="93"/>
    <w:semiHidden/>
    <w:qFormat/>
    <w:pPr>
      <w:shd w:val="clear" w:color="auto" w:fill="FFFFFF"/>
      <w:spacing w:before="420" w:after="420" w:line="0" w:lineRule="atLeast"/>
      <w:jc w:val="distribute"/>
    </w:pPr>
    <w:rPr>
      <w:sz w:val="28"/>
      <w:szCs w:val="28"/>
    </w:rPr>
  </w:style>
  <w:style w:type="character" w:customStyle="1" w:styleId="101">
    <w:name w:val="正文文本 (10)_"/>
    <w:basedOn w:val="a0"/>
    <w:semiHidden/>
    <w:qFormat/>
    <w:rPr>
      <w:rFonts w:ascii="宋体" w:eastAsia="宋体" w:hAnsi="宋体" w:cs="宋体"/>
      <w:b/>
      <w:bCs/>
      <w:spacing w:val="10"/>
      <w:sz w:val="22"/>
      <w:szCs w:val="22"/>
      <w:u w:val="none"/>
    </w:rPr>
  </w:style>
  <w:style w:type="character" w:customStyle="1" w:styleId="2a">
    <w:name w:val="标题 #2_"/>
    <w:basedOn w:val="a0"/>
    <w:link w:val="2b"/>
    <w:semiHidden/>
    <w:rsid w:val="008C1C67"/>
    <w:rPr>
      <w:rFonts w:ascii="宋体" w:hAnsi="宋体" w:cs="宋体"/>
      <w:sz w:val="28"/>
      <w:szCs w:val="28"/>
      <w:shd w:val="clear" w:color="auto" w:fill="FFFFFF"/>
    </w:rPr>
  </w:style>
  <w:style w:type="paragraph" w:customStyle="1" w:styleId="2b">
    <w:name w:val="标题 #2"/>
    <w:basedOn w:val="a"/>
    <w:link w:val="2a"/>
    <w:semiHidden/>
    <w:qFormat/>
    <w:pPr>
      <w:shd w:val="clear" w:color="auto" w:fill="FFFFFF"/>
      <w:spacing w:before="180" w:after="420" w:line="0" w:lineRule="atLeast"/>
      <w:jc w:val="distribute"/>
      <w:outlineLvl w:val="1"/>
    </w:pPr>
    <w:rPr>
      <w:sz w:val="28"/>
      <w:szCs w:val="28"/>
    </w:rPr>
  </w:style>
  <w:style w:type="character" w:customStyle="1" w:styleId="2115pt">
    <w:name w:val="正文文本 (2) + 11.5 pt"/>
    <w:basedOn w:val="28"/>
    <w:semiHidden/>
    <w:qFormat/>
    <w:rPr>
      <w:rFonts w:ascii="宋体" w:eastAsia="宋体" w:hAnsi="宋体" w:cs="宋体"/>
      <w:color w:val="000000"/>
      <w:spacing w:val="0"/>
      <w:w w:val="100"/>
      <w:position w:val="0"/>
      <w:sz w:val="23"/>
      <w:szCs w:val="23"/>
      <w:u w:val="none"/>
      <w:shd w:val="clear" w:color="auto" w:fill="FFFFFF"/>
      <w:lang w:val="en-US" w:eastAsia="en-US" w:bidi="en-US"/>
    </w:rPr>
  </w:style>
  <w:style w:type="character" w:customStyle="1" w:styleId="112">
    <w:name w:val="正文文本 (11)_"/>
    <w:basedOn w:val="a0"/>
    <w:link w:val="113"/>
    <w:semiHidden/>
    <w:rsid w:val="008C1C67"/>
    <w:rPr>
      <w:rFonts w:ascii="宋体" w:hAnsi="宋体" w:cs="宋体"/>
      <w:sz w:val="28"/>
      <w:szCs w:val="28"/>
      <w:shd w:val="clear" w:color="auto" w:fill="FFFFFF"/>
    </w:rPr>
  </w:style>
  <w:style w:type="paragraph" w:customStyle="1" w:styleId="113">
    <w:name w:val="正文文本 (11)"/>
    <w:basedOn w:val="a"/>
    <w:link w:val="112"/>
    <w:semiHidden/>
    <w:qFormat/>
    <w:pPr>
      <w:shd w:val="clear" w:color="auto" w:fill="FFFFFF"/>
      <w:spacing w:before="180" w:after="420" w:line="0" w:lineRule="atLeast"/>
      <w:ind w:firstLine="560"/>
      <w:jc w:val="distribute"/>
    </w:pPr>
    <w:rPr>
      <w:sz w:val="28"/>
      <w:szCs w:val="28"/>
    </w:rPr>
  </w:style>
  <w:style w:type="character" w:customStyle="1" w:styleId="210pt0">
    <w:name w:val="目录 (2) + 10 pt"/>
    <w:basedOn w:val="1Char0"/>
    <w:semiHidden/>
    <w:qFormat/>
    <w:rPr>
      <w:rFonts w:ascii="Arial" w:eastAsia="宋体" w:hAnsi="Arial" w:cs="宋体"/>
      <w:b/>
      <w:color w:val="000000"/>
      <w:spacing w:val="0"/>
      <w:w w:val="100"/>
      <w:position w:val="0"/>
      <w:sz w:val="20"/>
      <w:szCs w:val="20"/>
      <w:lang w:val="zh-TW" w:eastAsia="zh-TW" w:bidi="zh-TW"/>
    </w:rPr>
  </w:style>
  <w:style w:type="character" w:customStyle="1" w:styleId="121">
    <w:name w:val="标题 #1 (2)_"/>
    <w:basedOn w:val="a0"/>
    <w:link w:val="122"/>
    <w:semiHidden/>
    <w:rsid w:val="008C1C67"/>
    <w:rPr>
      <w:rFonts w:ascii="宋体" w:hAnsi="宋体" w:cs="宋体"/>
      <w:spacing w:val="30"/>
      <w:sz w:val="30"/>
      <w:szCs w:val="30"/>
      <w:shd w:val="clear" w:color="auto" w:fill="FFFFFF"/>
    </w:rPr>
  </w:style>
  <w:style w:type="paragraph" w:customStyle="1" w:styleId="122">
    <w:name w:val="标题 #1 (2)"/>
    <w:basedOn w:val="a"/>
    <w:link w:val="121"/>
    <w:semiHidden/>
    <w:qFormat/>
    <w:pPr>
      <w:shd w:val="clear" w:color="auto" w:fill="FFFFFF"/>
      <w:spacing w:after="540" w:line="0" w:lineRule="atLeast"/>
      <w:jc w:val="center"/>
      <w:outlineLvl w:val="0"/>
    </w:pPr>
    <w:rPr>
      <w:spacing w:val="30"/>
      <w:sz w:val="30"/>
      <w:szCs w:val="30"/>
    </w:rPr>
  </w:style>
  <w:style w:type="character" w:customStyle="1" w:styleId="213pt">
    <w:name w:val="正文文本 (2) + 13 pt"/>
    <w:basedOn w:val="28"/>
    <w:semiHidden/>
    <w:qFormat/>
    <w:rPr>
      <w:rFonts w:ascii="宋体" w:eastAsia="宋体" w:hAnsi="宋体" w:cs="宋体"/>
      <w:b/>
      <w:bCs/>
      <w:color w:val="000000"/>
      <w:spacing w:val="0"/>
      <w:w w:val="100"/>
      <w:position w:val="0"/>
      <w:sz w:val="26"/>
      <w:szCs w:val="26"/>
      <w:u w:val="none"/>
      <w:shd w:val="clear" w:color="auto" w:fill="FFFFFF"/>
      <w:lang w:val="en-US" w:eastAsia="en-US" w:bidi="en-US"/>
    </w:rPr>
  </w:style>
  <w:style w:type="character" w:customStyle="1" w:styleId="14Exact">
    <w:name w:val="正文文本 (14) Exact"/>
    <w:basedOn w:val="a0"/>
    <w:link w:val="140"/>
    <w:semiHidden/>
    <w:rsid w:val="008C1C67"/>
    <w:rPr>
      <w:rFonts w:ascii="宋体" w:hAnsi="宋体" w:cs="宋体"/>
      <w:sz w:val="19"/>
      <w:szCs w:val="19"/>
      <w:shd w:val="clear" w:color="auto" w:fill="FFFFFF"/>
    </w:rPr>
  </w:style>
  <w:style w:type="paragraph" w:customStyle="1" w:styleId="140">
    <w:name w:val="正文文本 (14)"/>
    <w:basedOn w:val="a"/>
    <w:link w:val="14Exact"/>
    <w:semiHidden/>
    <w:qFormat/>
    <w:pPr>
      <w:shd w:val="clear" w:color="auto" w:fill="FFFFFF"/>
      <w:spacing w:line="0" w:lineRule="atLeast"/>
    </w:pPr>
    <w:rPr>
      <w:sz w:val="19"/>
      <w:szCs w:val="19"/>
    </w:rPr>
  </w:style>
  <w:style w:type="character" w:customStyle="1" w:styleId="15Exact">
    <w:name w:val="正文文本 (15) Exact"/>
    <w:basedOn w:val="a0"/>
    <w:semiHidden/>
    <w:qFormat/>
    <w:rPr>
      <w:rFonts w:ascii="宋体" w:eastAsia="宋体" w:hAnsi="宋体" w:cs="宋体"/>
      <w:sz w:val="13"/>
      <w:szCs w:val="13"/>
      <w:u w:val="none"/>
    </w:rPr>
  </w:style>
  <w:style w:type="character" w:customStyle="1" w:styleId="16Exact">
    <w:name w:val="正文文本 (16) Exact"/>
    <w:basedOn w:val="a0"/>
    <w:semiHidden/>
    <w:rPr>
      <w:rFonts w:ascii="宋体" w:eastAsia="宋体" w:hAnsi="宋体" w:cs="宋体"/>
      <w:sz w:val="15"/>
      <w:szCs w:val="15"/>
      <w:u w:val="none"/>
    </w:rPr>
  </w:style>
  <w:style w:type="character" w:customStyle="1" w:styleId="142ptExact">
    <w:name w:val="正文文本 (14) + 间距 2 pt Exact"/>
    <w:basedOn w:val="14Exact"/>
    <w:semiHidden/>
    <w:qFormat/>
    <w:rPr>
      <w:rFonts w:ascii="宋体" w:eastAsia="宋体" w:hAnsi="宋体" w:cs="宋体"/>
      <w:color w:val="000000"/>
      <w:spacing w:val="40"/>
      <w:w w:val="100"/>
      <w:position w:val="0"/>
      <w:sz w:val="19"/>
      <w:szCs w:val="19"/>
      <w:shd w:val="clear" w:color="auto" w:fill="FFFFFF"/>
      <w:lang w:val="zh-TW" w:eastAsia="zh-TW" w:bidi="zh-TW"/>
    </w:rPr>
  </w:style>
  <w:style w:type="character" w:customStyle="1" w:styleId="123">
    <w:name w:val="正文文本 (12)_"/>
    <w:basedOn w:val="a0"/>
    <w:link w:val="124"/>
    <w:semiHidden/>
    <w:qFormat/>
    <w:rsid w:val="008C1C67"/>
    <w:rPr>
      <w:rFonts w:ascii="宋体" w:hAnsi="宋体" w:cs="宋体"/>
      <w:sz w:val="23"/>
      <w:szCs w:val="23"/>
      <w:shd w:val="clear" w:color="auto" w:fill="FFFFFF"/>
      <w:lang w:eastAsia="en-US" w:bidi="en-US"/>
    </w:rPr>
  </w:style>
  <w:style w:type="paragraph" w:customStyle="1" w:styleId="124">
    <w:name w:val="正文文本 (12)"/>
    <w:basedOn w:val="a"/>
    <w:link w:val="123"/>
    <w:semiHidden/>
    <w:qFormat/>
    <w:pPr>
      <w:shd w:val="clear" w:color="auto" w:fill="FFFFFF"/>
      <w:spacing w:before="300" w:after="300" w:line="0" w:lineRule="atLeast"/>
      <w:ind w:firstLine="520"/>
    </w:pPr>
    <w:rPr>
      <w:sz w:val="23"/>
      <w:szCs w:val="23"/>
      <w:lang w:eastAsia="en-US" w:bidi="en-US"/>
    </w:rPr>
  </w:style>
  <w:style w:type="character" w:customStyle="1" w:styleId="1211pt">
    <w:name w:val="正文文本 (12) + 11 pt"/>
    <w:basedOn w:val="123"/>
    <w:semiHidden/>
    <w:qFormat/>
    <w:rPr>
      <w:rFonts w:ascii="宋体" w:eastAsia="宋体" w:hAnsi="宋体" w:cs="宋体"/>
      <w:color w:val="000000"/>
      <w:spacing w:val="0"/>
      <w:position w:val="0"/>
      <w:sz w:val="22"/>
      <w:szCs w:val="22"/>
      <w:shd w:val="clear" w:color="auto" w:fill="FFFFFF"/>
      <w:lang w:val="zh-TW" w:eastAsia="zh-TW" w:bidi="zh-TW"/>
    </w:rPr>
  </w:style>
  <w:style w:type="character" w:customStyle="1" w:styleId="39">
    <w:name w:val="标题 #3_"/>
    <w:basedOn w:val="a0"/>
    <w:link w:val="3a"/>
    <w:semiHidden/>
    <w:qFormat/>
    <w:rsid w:val="008C1C67"/>
    <w:rPr>
      <w:rFonts w:ascii="宋体" w:hAnsi="宋体" w:cs="宋体"/>
      <w:b/>
      <w:bCs/>
      <w:sz w:val="24"/>
      <w:szCs w:val="24"/>
      <w:shd w:val="clear" w:color="auto" w:fill="FFFFFF"/>
    </w:rPr>
  </w:style>
  <w:style w:type="paragraph" w:customStyle="1" w:styleId="3a">
    <w:name w:val="标题 #3"/>
    <w:basedOn w:val="a"/>
    <w:link w:val="39"/>
    <w:semiHidden/>
    <w:qFormat/>
    <w:pPr>
      <w:shd w:val="clear" w:color="auto" w:fill="FFFFFF"/>
      <w:spacing w:before="420" w:after="300" w:line="0" w:lineRule="atLeast"/>
      <w:jc w:val="distribute"/>
      <w:outlineLvl w:val="2"/>
    </w:pPr>
    <w:rPr>
      <w:b/>
      <w:bCs/>
    </w:rPr>
  </w:style>
  <w:style w:type="character" w:customStyle="1" w:styleId="130">
    <w:name w:val="正文文本 (13)_"/>
    <w:basedOn w:val="a0"/>
    <w:semiHidden/>
    <w:qFormat/>
    <w:rPr>
      <w:rFonts w:ascii="宋体" w:eastAsia="宋体" w:hAnsi="宋体" w:cs="宋体"/>
      <w:b/>
      <w:bCs/>
      <w:u w:val="none"/>
    </w:rPr>
  </w:style>
  <w:style w:type="character" w:customStyle="1" w:styleId="150">
    <w:name w:val="正文文本 (15)_"/>
    <w:basedOn w:val="a0"/>
    <w:link w:val="151"/>
    <w:semiHidden/>
    <w:qFormat/>
    <w:rsid w:val="008C1C67"/>
    <w:rPr>
      <w:rFonts w:ascii="宋体" w:hAnsi="宋体" w:cs="宋体"/>
      <w:sz w:val="13"/>
      <w:szCs w:val="13"/>
      <w:shd w:val="clear" w:color="auto" w:fill="FFFFFF"/>
    </w:rPr>
  </w:style>
  <w:style w:type="paragraph" w:customStyle="1" w:styleId="151">
    <w:name w:val="正文文本 (15)"/>
    <w:basedOn w:val="a"/>
    <w:link w:val="150"/>
    <w:semiHidden/>
    <w:qFormat/>
    <w:pPr>
      <w:shd w:val="clear" w:color="auto" w:fill="FFFFFF"/>
      <w:spacing w:after="540" w:line="0" w:lineRule="atLeast"/>
      <w:jc w:val="distribute"/>
    </w:pPr>
    <w:rPr>
      <w:sz w:val="13"/>
      <w:szCs w:val="13"/>
    </w:rPr>
  </w:style>
  <w:style w:type="character" w:customStyle="1" w:styleId="2c">
    <w:name w:val="表格标题 (2)_"/>
    <w:basedOn w:val="a0"/>
    <w:link w:val="2d"/>
    <w:semiHidden/>
    <w:qFormat/>
    <w:rsid w:val="008C1C67"/>
    <w:rPr>
      <w:rFonts w:ascii="宋体" w:hAnsi="宋体" w:cs="宋体"/>
      <w:b/>
      <w:bCs/>
      <w:sz w:val="24"/>
      <w:szCs w:val="24"/>
      <w:shd w:val="clear" w:color="auto" w:fill="FFFFFF"/>
    </w:rPr>
  </w:style>
  <w:style w:type="paragraph" w:customStyle="1" w:styleId="2d">
    <w:name w:val="表格标题 (2)"/>
    <w:basedOn w:val="a"/>
    <w:link w:val="2c"/>
    <w:semiHidden/>
    <w:qFormat/>
    <w:pPr>
      <w:shd w:val="clear" w:color="auto" w:fill="FFFFFF"/>
      <w:spacing w:line="0" w:lineRule="atLeast"/>
    </w:pPr>
    <w:rPr>
      <w:b/>
      <w:bCs/>
    </w:rPr>
  </w:style>
  <w:style w:type="character" w:customStyle="1" w:styleId="320">
    <w:name w:val="标题 #3 (2)_"/>
    <w:basedOn w:val="a0"/>
    <w:link w:val="321"/>
    <w:semiHidden/>
    <w:rsid w:val="008C1C67"/>
    <w:rPr>
      <w:rFonts w:ascii="宋体" w:hAnsi="宋体" w:cs="宋体"/>
      <w:b/>
      <w:bCs/>
      <w:spacing w:val="10"/>
      <w:sz w:val="22"/>
      <w:szCs w:val="24"/>
      <w:shd w:val="clear" w:color="auto" w:fill="FFFFFF"/>
    </w:rPr>
  </w:style>
  <w:style w:type="paragraph" w:customStyle="1" w:styleId="321">
    <w:name w:val="标题 #3 (2)"/>
    <w:basedOn w:val="a"/>
    <w:link w:val="320"/>
    <w:semiHidden/>
    <w:qFormat/>
    <w:pPr>
      <w:shd w:val="clear" w:color="auto" w:fill="FFFFFF"/>
      <w:spacing w:before="60" w:line="0" w:lineRule="atLeast"/>
      <w:jc w:val="distribute"/>
      <w:outlineLvl w:val="2"/>
    </w:pPr>
    <w:rPr>
      <w:b/>
      <w:bCs/>
      <w:spacing w:val="10"/>
      <w:sz w:val="22"/>
    </w:rPr>
  </w:style>
  <w:style w:type="character" w:customStyle="1" w:styleId="aff7">
    <w:name w:val="表格标题_"/>
    <w:basedOn w:val="a0"/>
    <w:link w:val="aff8"/>
    <w:semiHidden/>
    <w:qFormat/>
    <w:rsid w:val="008C1C67"/>
    <w:rPr>
      <w:rFonts w:ascii="宋体" w:hAnsi="宋体" w:cs="宋体"/>
      <w:b/>
      <w:bCs/>
      <w:spacing w:val="10"/>
      <w:sz w:val="22"/>
      <w:szCs w:val="24"/>
      <w:shd w:val="clear" w:color="auto" w:fill="FFFFFF"/>
    </w:rPr>
  </w:style>
  <w:style w:type="paragraph" w:customStyle="1" w:styleId="aff8">
    <w:name w:val="表格标题"/>
    <w:basedOn w:val="a"/>
    <w:link w:val="aff7"/>
    <w:semiHidden/>
    <w:qFormat/>
    <w:pPr>
      <w:shd w:val="clear" w:color="auto" w:fill="FFFFFF"/>
      <w:spacing w:line="480" w:lineRule="exact"/>
      <w:ind w:firstLine="500"/>
    </w:pPr>
    <w:rPr>
      <w:b/>
      <w:bCs/>
      <w:spacing w:val="10"/>
      <w:sz w:val="22"/>
    </w:rPr>
  </w:style>
  <w:style w:type="character" w:customStyle="1" w:styleId="22pt">
    <w:name w:val="正文文本 (2) + 间距 2 pt"/>
    <w:basedOn w:val="28"/>
    <w:semiHidden/>
    <w:qFormat/>
    <w:rPr>
      <w:rFonts w:ascii="宋体" w:eastAsia="宋体" w:hAnsi="宋体" w:cs="宋体"/>
      <w:color w:val="000000"/>
      <w:spacing w:val="50"/>
      <w:w w:val="100"/>
      <w:position w:val="0"/>
      <w:sz w:val="22"/>
      <w:szCs w:val="22"/>
      <w:u w:val="none"/>
      <w:shd w:val="clear" w:color="auto" w:fill="FFFFFF"/>
      <w:lang w:val="zh-TW" w:eastAsia="zh-TW" w:bidi="zh-TW"/>
    </w:rPr>
  </w:style>
  <w:style w:type="character" w:customStyle="1" w:styleId="3b">
    <w:name w:val="表格标题 (3)_"/>
    <w:basedOn w:val="a0"/>
    <w:link w:val="3c"/>
    <w:semiHidden/>
    <w:qFormat/>
    <w:rsid w:val="008C1C67"/>
    <w:rPr>
      <w:rFonts w:ascii="宋体" w:hAnsi="宋体" w:cs="宋体"/>
      <w:sz w:val="22"/>
      <w:szCs w:val="24"/>
      <w:shd w:val="clear" w:color="auto" w:fill="FFFFFF"/>
    </w:rPr>
  </w:style>
  <w:style w:type="paragraph" w:customStyle="1" w:styleId="3c">
    <w:name w:val="表格标题 (3)"/>
    <w:basedOn w:val="a"/>
    <w:link w:val="3b"/>
    <w:semiHidden/>
    <w:qFormat/>
    <w:pPr>
      <w:shd w:val="clear" w:color="auto" w:fill="FFFFFF"/>
      <w:spacing w:line="0" w:lineRule="atLeast"/>
    </w:pPr>
    <w:rPr>
      <w:sz w:val="22"/>
    </w:rPr>
  </w:style>
  <w:style w:type="character" w:customStyle="1" w:styleId="45">
    <w:name w:val="表格标题 (4)_"/>
    <w:basedOn w:val="a0"/>
    <w:link w:val="46"/>
    <w:semiHidden/>
    <w:qFormat/>
    <w:rsid w:val="008C1C67"/>
    <w:rPr>
      <w:rFonts w:ascii="宋体" w:hAnsi="宋体" w:cs="宋体"/>
      <w:sz w:val="24"/>
      <w:szCs w:val="24"/>
      <w:shd w:val="clear" w:color="auto" w:fill="FFFFFF"/>
    </w:rPr>
  </w:style>
  <w:style w:type="paragraph" w:customStyle="1" w:styleId="46">
    <w:name w:val="表格标题 (4)"/>
    <w:basedOn w:val="a"/>
    <w:link w:val="45"/>
    <w:semiHidden/>
    <w:qFormat/>
    <w:pPr>
      <w:shd w:val="clear" w:color="auto" w:fill="FFFFFF"/>
      <w:spacing w:line="0" w:lineRule="atLeast"/>
    </w:pPr>
  </w:style>
  <w:style w:type="character" w:customStyle="1" w:styleId="214pt">
    <w:name w:val="正文文本 (2) + 14 pt"/>
    <w:basedOn w:val="28"/>
    <w:semiHidden/>
    <w:qFormat/>
    <w:rPr>
      <w:rFonts w:ascii="宋体" w:eastAsia="宋体" w:hAnsi="宋体" w:cs="宋体"/>
      <w:color w:val="000000"/>
      <w:spacing w:val="0"/>
      <w:w w:val="100"/>
      <w:position w:val="0"/>
      <w:sz w:val="28"/>
      <w:szCs w:val="28"/>
      <w:u w:val="none"/>
      <w:shd w:val="clear" w:color="auto" w:fill="FFFFFF"/>
      <w:lang w:val="zh-TW" w:eastAsia="zh-TW" w:bidi="zh-TW"/>
    </w:rPr>
  </w:style>
  <w:style w:type="character" w:customStyle="1" w:styleId="11pt">
    <w:name w:val="标题 #1 + 间距 1 pt"/>
    <w:basedOn w:val="1f5"/>
    <w:semiHidden/>
    <w:rPr>
      <w:rFonts w:ascii="宋体" w:eastAsia="宋体" w:hAnsi="宋体" w:cs="宋体"/>
      <w:color w:val="000000"/>
      <w:spacing w:val="20"/>
      <w:w w:val="100"/>
      <w:position w:val="0"/>
      <w:sz w:val="32"/>
      <w:szCs w:val="32"/>
      <w:u w:val="none"/>
      <w:lang w:val="zh-TW" w:eastAsia="zh-TW" w:bidi="zh-TW"/>
    </w:rPr>
  </w:style>
  <w:style w:type="character" w:customStyle="1" w:styleId="107pt">
    <w:name w:val="正文文本 (10) + 间距 7 pt"/>
    <w:basedOn w:val="101"/>
    <w:semiHidden/>
    <w:qFormat/>
    <w:rPr>
      <w:rFonts w:ascii="宋体" w:eastAsia="宋体" w:hAnsi="宋体" w:cs="宋体"/>
      <w:b/>
      <w:bCs/>
      <w:color w:val="000000"/>
      <w:spacing w:val="150"/>
      <w:w w:val="100"/>
      <w:position w:val="0"/>
      <w:sz w:val="22"/>
      <w:szCs w:val="22"/>
      <w:u w:val="none"/>
      <w:lang w:val="zh-TW" w:eastAsia="zh-TW" w:bidi="zh-TW"/>
    </w:rPr>
  </w:style>
  <w:style w:type="character" w:customStyle="1" w:styleId="5Exact">
    <w:name w:val="正文文本 (5) Exact"/>
    <w:basedOn w:val="a0"/>
    <w:semiHidden/>
    <w:qFormat/>
    <w:rPr>
      <w:rFonts w:ascii="宋体" w:eastAsia="宋体" w:hAnsi="宋体" w:cs="宋体"/>
      <w:sz w:val="20"/>
      <w:szCs w:val="20"/>
      <w:u w:val="none"/>
    </w:rPr>
  </w:style>
  <w:style w:type="character" w:customStyle="1" w:styleId="147pt">
    <w:name w:val="正文文本 (14) + 7 pt"/>
    <w:basedOn w:val="14Exact"/>
    <w:semiHidden/>
    <w:rPr>
      <w:rFonts w:ascii="宋体" w:eastAsia="宋体" w:hAnsi="宋体" w:cs="宋体"/>
      <w:color w:val="000000"/>
      <w:spacing w:val="0"/>
      <w:w w:val="200"/>
      <w:position w:val="0"/>
      <w:sz w:val="14"/>
      <w:szCs w:val="14"/>
      <w:shd w:val="clear" w:color="auto" w:fill="FFFFFF"/>
      <w:lang w:val="en-US" w:eastAsia="en-US" w:bidi="en-US"/>
    </w:rPr>
  </w:style>
  <w:style w:type="character" w:customStyle="1" w:styleId="295pt">
    <w:name w:val="正文文本 (2) + 9.5 pt"/>
    <w:basedOn w:val="28"/>
    <w:semiHidden/>
    <w:qFormat/>
    <w:rPr>
      <w:rFonts w:ascii="宋体" w:eastAsia="宋体" w:hAnsi="宋体" w:cs="宋体"/>
      <w:b/>
      <w:bCs/>
      <w:color w:val="000000"/>
      <w:spacing w:val="0"/>
      <w:w w:val="100"/>
      <w:position w:val="0"/>
      <w:sz w:val="19"/>
      <w:szCs w:val="19"/>
      <w:u w:val="none"/>
      <w:shd w:val="clear" w:color="auto" w:fill="FFFFFF"/>
      <w:lang w:val="en-US" w:eastAsia="en-US" w:bidi="en-US"/>
    </w:rPr>
  </w:style>
  <w:style w:type="character" w:customStyle="1" w:styleId="275pt">
    <w:name w:val="正文文本 (2) + 7.5 pt"/>
    <w:basedOn w:val="28"/>
    <w:semiHidden/>
    <w:qFormat/>
    <w:rPr>
      <w:rFonts w:ascii="宋体" w:eastAsia="宋体" w:hAnsi="宋体" w:cs="宋体"/>
      <w:color w:val="000000"/>
      <w:spacing w:val="0"/>
      <w:w w:val="100"/>
      <w:position w:val="0"/>
      <w:sz w:val="15"/>
      <w:szCs w:val="15"/>
      <w:u w:val="none"/>
      <w:shd w:val="clear" w:color="auto" w:fill="FFFFFF"/>
      <w:lang w:val="zh-TW" w:eastAsia="zh-TW" w:bidi="zh-TW"/>
    </w:rPr>
  </w:style>
  <w:style w:type="character" w:customStyle="1" w:styleId="285pt">
    <w:name w:val="正文文本 (2) + 8.5 pt"/>
    <w:basedOn w:val="28"/>
    <w:semiHidden/>
    <w:rPr>
      <w:rFonts w:ascii="宋体" w:eastAsia="宋体" w:hAnsi="宋体" w:cs="宋体"/>
      <w:color w:val="000000"/>
      <w:spacing w:val="0"/>
      <w:w w:val="100"/>
      <w:position w:val="0"/>
      <w:sz w:val="17"/>
      <w:szCs w:val="17"/>
      <w:u w:val="none"/>
      <w:shd w:val="clear" w:color="auto" w:fill="FFFFFF"/>
      <w:lang w:val="en-US" w:eastAsia="en-US" w:bidi="en-US"/>
    </w:rPr>
  </w:style>
  <w:style w:type="character" w:customStyle="1" w:styleId="514pt">
    <w:name w:val="正文文本 (5) + 14 pt"/>
    <w:basedOn w:val="53"/>
    <w:semiHidden/>
    <w:qFormat/>
    <w:rPr>
      <w:rFonts w:ascii="宋体" w:eastAsia="宋体" w:hAnsi="宋体" w:cs="宋体"/>
      <w:color w:val="000000"/>
      <w:spacing w:val="0"/>
      <w:w w:val="100"/>
      <w:position w:val="0"/>
      <w:sz w:val="28"/>
      <w:szCs w:val="28"/>
      <w:u w:val="none"/>
      <w:lang w:val="zh-TW" w:eastAsia="zh-TW" w:bidi="zh-TW"/>
    </w:rPr>
  </w:style>
  <w:style w:type="character" w:customStyle="1" w:styleId="220pt">
    <w:name w:val="正文文本 (2) + 20 pt"/>
    <w:basedOn w:val="28"/>
    <w:semiHidden/>
    <w:qFormat/>
    <w:rPr>
      <w:rFonts w:ascii="宋体" w:eastAsia="宋体" w:hAnsi="宋体" w:cs="宋体"/>
      <w:color w:val="000000"/>
      <w:spacing w:val="280"/>
      <w:w w:val="150"/>
      <w:position w:val="0"/>
      <w:sz w:val="40"/>
      <w:szCs w:val="40"/>
      <w:u w:val="none"/>
      <w:shd w:val="clear" w:color="auto" w:fill="FFFFFF"/>
      <w:lang w:val="zh-TW" w:eastAsia="zh-TW" w:bidi="zh-TW"/>
    </w:rPr>
  </w:style>
  <w:style w:type="character" w:customStyle="1" w:styleId="2Impact">
    <w:name w:val="正文文本 (2) + Impact"/>
    <w:basedOn w:val="28"/>
    <w:semiHidden/>
    <w:rPr>
      <w:rFonts w:ascii="Impact" w:eastAsia="Impact" w:hAnsi="Impact" w:cs="Impact"/>
      <w:color w:val="000000"/>
      <w:spacing w:val="0"/>
      <w:w w:val="100"/>
      <w:position w:val="0"/>
      <w:sz w:val="15"/>
      <w:szCs w:val="15"/>
      <w:u w:val="none"/>
      <w:shd w:val="clear" w:color="auto" w:fill="FFFFFF"/>
      <w:lang w:val="en-US" w:eastAsia="en-US" w:bidi="en-US"/>
    </w:rPr>
  </w:style>
  <w:style w:type="character" w:customStyle="1" w:styleId="100pt">
    <w:name w:val="正文文本 (10) + 间距 0 pt"/>
    <w:basedOn w:val="101"/>
    <w:semiHidden/>
    <w:qFormat/>
    <w:rPr>
      <w:rFonts w:ascii="宋体" w:eastAsia="宋体" w:hAnsi="宋体" w:cs="宋体"/>
      <w:b/>
      <w:bCs/>
      <w:color w:val="000000"/>
      <w:spacing w:val="0"/>
      <w:w w:val="100"/>
      <w:position w:val="0"/>
      <w:sz w:val="22"/>
      <w:szCs w:val="22"/>
      <w:u w:val="none"/>
      <w:lang w:val="zh-TW" w:eastAsia="zh-TW" w:bidi="zh-TW"/>
    </w:rPr>
  </w:style>
  <w:style w:type="character" w:customStyle="1" w:styleId="85pt">
    <w:name w:val="页眉或页脚 + 8.5 pt"/>
    <w:basedOn w:val="aff5"/>
    <w:semiHidden/>
    <w:qFormat/>
    <w:rPr>
      <w:rFonts w:ascii="宋体" w:eastAsia="宋体" w:hAnsi="宋体" w:cs="宋体"/>
      <w:color w:val="000000"/>
      <w:spacing w:val="0"/>
      <w:w w:val="100"/>
      <w:position w:val="0"/>
      <w:sz w:val="17"/>
      <w:szCs w:val="17"/>
      <w:u w:val="none"/>
      <w:lang w:val="zh-TW" w:eastAsia="zh-TW" w:bidi="zh-TW"/>
    </w:rPr>
  </w:style>
  <w:style w:type="character" w:customStyle="1" w:styleId="2-1pt">
    <w:name w:val="正文文本 (2) + 间距 -1 pt"/>
    <w:basedOn w:val="28"/>
    <w:semiHidden/>
    <w:rPr>
      <w:rFonts w:ascii="宋体" w:eastAsia="宋体" w:hAnsi="宋体" w:cs="宋体"/>
      <w:color w:val="000000"/>
      <w:spacing w:val="-20"/>
      <w:w w:val="100"/>
      <w:position w:val="0"/>
      <w:sz w:val="22"/>
      <w:szCs w:val="22"/>
      <w:u w:val="none"/>
      <w:shd w:val="clear" w:color="auto" w:fill="FFFFFF"/>
      <w:lang w:val="zh-TW" w:eastAsia="zh-TW" w:bidi="zh-TW"/>
    </w:rPr>
  </w:style>
  <w:style w:type="character" w:customStyle="1" w:styleId="2e">
    <w:name w:val="图片标题 (2)_"/>
    <w:basedOn w:val="a0"/>
    <w:semiHidden/>
    <w:qFormat/>
    <w:rPr>
      <w:rFonts w:ascii="宋体" w:eastAsia="宋体" w:hAnsi="宋体" w:cs="宋体"/>
      <w:sz w:val="20"/>
      <w:szCs w:val="20"/>
      <w:u w:val="none"/>
    </w:rPr>
  </w:style>
  <w:style w:type="character" w:customStyle="1" w:styleId="2f">
    <w:name w:val="图片标题 (2)"/>
    <w:basedOn w:val="2e"/>
    <w:semiHidden/>
    <w:qFormat/>
    <w:rPr>
      <w:rFonts w:ascii="宋体" w:eastAsia="宋体" w:hAnsi="宋体" w:cs="宋体"/>
      <w:color w:val="000000"/>
      <w:spacing w:val="0"/>
      <w:w w:val="100"/>
      <w:position w:val="0"/>
      <w:sz w:val="20"/>
      <w:szCs w:val="20"/>
      <w:u w:val="none"/>
      <w:lang w:val="zh-TW" w:eastAsia="zh-TW" w:bidi="zh-TW"/>
    </w:rPr>
  </w:style>
  <w:style w:type="character" w:customStyle="1" w:styleId="213pt0">
    <w:name w:val="图片标题 (2) + 13 pt"/>
    <w:basedOn w:val="2e"/>
    <w:semiHidden/>
    <w:rPr>
      <w:rFonts w:ascii="宋体" w:eastAsia="宋体" w:hAnsi="宋体" w:cs="宋体"/>
      <w:b/>
      <w:bCs/>
      <w:color w:val="000000"/>
      <w:spacing w:val="0"/>
      <w:w w:val="100"/>
      <w:position w:val="0"/>
      <w:sz w:val="26"/>
      <w:szCs w:val="26"/>
      <w:u w:val="none"/>
      <w:lang w:val="en-US" w:eastAsia="en-US" w:bidi="en-US"/>
    </w:rPr>
  </w:style>
  <w:style w:type="character" w:customStyle="1" w:styleId="3d">
    <w:name w:val="图片标题 (3)_"/>
    <w:basedOn w:val="a0"/>
    <w:semiHidden/>
    <w:qFormat/>
    <w:rPr>
      <w:rFonts w:ascii="宋体" w:eastAsia="宋体" w:hAnsi="宋体" w:cs="宋体"/>
      <w:w w:val="80"/>
      <w:sz w:val="21"/>
      <w:szCs w:val="21"/>
      <w:u w:val="none"/>
    </w:rPr>
  </w:style>
  <w:style w:type="character" w:customStyle="1" w:styleId="3e">
    <w:name w:val="图片标题 (3)"/>
    <w:basedOn w:val="3d"/>
    <w:semiHidden/>
    <w:qFormat/>
    <w:rPr>
      <w:rFonts w:ascii="宋体" w:eastAsia="宋体" w:hAnsi="宋体" w:cs="宋体"/>
      <w:color w:val="000000"/>
      <w:spacing w:val="0"/>
      <w:w w:val="80"/>
      <w:position w:val="0"/>
      <w:sz w:val="21"/>
      <w:szCs w:val="21"/>
      <w:u w:val="none"/>
      <w:lang w:val="zh-TW" w:eastAsia="zh-TW" w:bidi="zh-TW"/>
    </w:rPr>
  </w:style>
  <w:style w:type="character" w:customStyle="1" w:styleId="47">
    <w:name w:val="图片标题 (4)_"/>
    <w:basedOn w:val="a0"/>
    <w:link w:val="48"/>
    <w:semiHidden/>
    <w:qFormat/>
    <w:rsid w:val="008C1C67"/>
    <w:rPr>
      <w:rFonts w:ascii="宋体" w:hAnsi="宋体" w:cs="宋体"/>
      <w:b/>
      <w:bCs/>
      <w:sz w:val="24"/>
      <w:szCs w:val="24"/>
      <w:shd w:val="clear" w:color="auto" w:fill="FFFFFF"/>
    </w:rPr>
  </w:style>
  <w:style w:type="paragraph" w:customStyle="1" w:styleId="48">
    <w:name w:val="图片标题 (4)"/>
    <w:basedOn w:val="a"/>
    <w:link w:val="47"/>
    <w:semiHidden/>
    <w:qFormat/>
    <w:pPr>
      <w:shd w:val="clear" w:color="auto" w:fill="FFFFFF"/>
      <w:spacing w:before="240" w:line="0" w:lineRule="atLeast"/>
      <w:jc w:val="distribute"/>
    </w:pPr>
    <w:rPr>
      <w:b/>
      <w:bCs/>
    </w:rPr>
  </w:style>
  <w:style w:type="character" w:customStyle="1" w:styleId="5Exact0">
    <w:name w:val="图片标题 (5) Exact"/>
    <w:basedOn w:val="a0"/>
    <w:link w:val="54"/>
    <w:semiHidden/>
    <w:qFormat/>
    <w:rsid w:val="008C1C67"/>
    <w:rPr>
      <w:rFonts w:ascii="宋体" w:hAnsi="宋体" w:cs="宋体"/>
      <w:b/>
      <w:bCs/>
      <w:spacing w:val="-10"/>
      <w:sz w:val="18"/>
      <w:szCs w:val="18"/>
      <w:shd w:val="clear" w:color="auto" w:fill="FFFFFF"/>
    </w:rPr>
  </w:style>
  <w:style w:type="paragraph" w:customStyle="1" w:styleId="54">
    <w:name w:val="图片标题 (5)"/>
    <w:basedOn w:val="a"/>
    <w:link w:val="5Exact0"/>
    <w:semiHidden/>
    <w:qFormat/>
    <w:pPr>
      <w:shd w:val="clear" w:color="auto" w:fill="FFFFFF"/>
      <w:spacing w:line="0" w:lineRule="atLeast"/>
    </w:pPr>
    <w:rPr>
      <w:b/>
      <w:bCs/>
      <w:spacing w:val="-10"/>
      <w:sz w:val="18"/>
      <w:szCs w:val="18"/>
    </w:rPr>
  </w:style>
  <w:style w:type="character" w:customStyle="1" w:styleId="Exact">
    <w:name w:val="图片标题 Exact"/>
    <w:basedOn w:val="a0"/>
    <w:link w:val="aff9"/>
    <w:semiHidden/>
    <w:qFormat/>
    <w:rsid w:val="008C1C67"/>
    <w:rPr>
      <w:rFonts w:ascii="宋体" w:hAnsi="宋体" w:cs="宋体"/>
      <w:sz w:val="17"/>
      <w:szCs w:val="17"/>
      <w:shd w:val="clear" w:color="auto" w:fill="FFFFFF"/>
      <w:lang w:eastAsia="en-US" w:bidi="en-US"/>
    </w:rPr>
  </w:style>
  <w:style w:type="paragraph" w:customStyle="1" w:styleId="aff9">
    <w:name w:val="图片标题"/>
    <w:basedOn w:val="a"/>
    <w:link w:val="Exact"/>
    <w:semiHidden/>
    <w:qFormat/>
    <w:pPr>
      <w:shd w:val="clear" w:color="auto" w:fill="FFFFFF"/>
      <w:spacing w:line="0" w:lineRule="atLeast"/>
      <w:jc w:val="distribute"/>
    </w:pPr>
    <w:rPr>
      <w:sz w:val="17"/>
      <w:szCs w:val="17"/>
      <w:lang w:eastAsia="en-US" w:bidi="en-US"/>
    </w:rPr>
  </w:style>
  <w:style w:type="character" w:customStyle="1" w:styleId="Consolas">
    <w:name w:val="图片标题 + Consolas"/>
    <w:basedOn w:val="Exact"/>
    <w:semiHidden/>
    <w:qFormat/>
    <w:rPr>
      <w:rFonts w:ascii="Consolas" w:eastAsia="Consolas" w:hAnsi="Consolas" w:cs="Consolas"/>
      <w:b/>
      <w:bCs/>
      <w:color w:val="000000"/>
      <w:spacing w:val="0"/>
      <w:w w:val="100"/>
      <w:position w:val="0"/>
      <w:sz w:val="18"/>
      <w:szCs w:val="18"/>
      <w:shd w:val="clear" w:color="auto" w:fill="FFFFFF"/>
      <w:lang w:eastAsia="en-US" w:bidi="en-US"/>
    </w:rPr>
  </w:style>
  <w:style w:type="character" w:customStyle="1" w:styleId="55">
    <w:name w:val="表格标题 (5)_"/>
    <w:basedOn w:val="a0"/>
    <w:semiHidden/>
    <w:qFormat/>
    <w:rPr>
      <w:rFonts w:ascii="宋体" w:eastAsia="宋体" w:hAnsi="宋体" w:cs="宋体"/>
      <w:b/>
      <w:bCs/>
      <w:spacing w:val="-10"/>
      <w:sz w:val="18"/>
      <w:szCs w:val="18"/>
      <w:u w:val="none"/>
    </w:rPr>
  </w:style>
  <w:style w:type="character" w:customStyle="1" w:styleId="56">
    <w:name w:val="表格标题 (5)"/>
    <w:basedOn w:val="55"/>
    <w:semiHidden/>
    <w:qFormat/>
    <w:rPr>
      <w:rFonts w:ascii="宋体" w:eastAsia="宋体" w:hAnsi="宋体" w:cs="宋体"/>
      <w:b/>
      <w:bCs/>
      <w:color w:val="000000"/>
      <w:spacing w:val="-10"/>
      <w:w w:val="100"/>
      <w:position w:val="0"/>
      <w:sz w:val="18"/>
      <w:szCs w:val="18"/>
      <w:u w:val="none"/>
      <w:lang w:val="zh-TW" w:eastAsia="zh-TW" w:bidi="zh-TW"/>
    </w:rPr>
  </w:style>
  <w:style w:type="character" w:customStyle="1" w:styleId="513pt">
    <w:name w:val="正文文本 (5) + 13 pt"/>
    <w:basedOn w:val="53"/>
    <w:semiHidden/>
    <w:qFormat/>
    <w:rPr>
      <w:rFonts w:ascii="宋体" w:eastAsia="宋体" w:hAnsi="宋体" w:cs="宋体"/>
      <w:b/>
      <w:bCs/>
      <w:color w:val="000000"/>
      <w:spacing w:val="0"/>
      <w:w w:val="100"/>
      <w:position w:val="0"/>
      <w:sz w:val="26"/>
      <w:szCs w:val="26"/>
      <w:u w:val="none"/>
      <w:lang w:val="en-US" w:eastAsia="en-US" w:bidi="en-US"/>
    </w:rPr>
  </w:style>
  <w:style w:type="character" w:customStyle="1" w:styleId="21pt">
    <w:name w:val="正文文本 (2) + 间距 1 pt"/>
    <w:basedOn w:val="28"/>
    <w:semiHidden/>
    <w:qFormat/>
    <w:rPr>
      <w:rFonts w:ascii="宋体" w:eastAsia="宋体" w:hAnsi="宋体" w:cs="宋体"/>
      <w:color w:val="000000"/>
      <w:spacing w:val="30"/>
      <w:w w:val="100"/>
      <w:position w:val="0"/>
      <w:sz w:val="22"/>
      <w:szCs w:val="22"/>
      <w:u w:val="none"/>
      <w:shd w:val="clear" w:color="auto" w:fill="FFFFFF"/>
      <w:lang w:val="zh-TW" w:eastAsia="zh-TW" w:bidi="zh-TW"/>
    </w:rPr>
  </w:style>
  <w:style w:type="character" w:customStyle="1" w:styleId="20pt">
    <w:name w:val="标题 #2 + 间距 0 pt"/>
    <w:basedOn w:val="2a"/>
    <w:semiHidden/>
    <w:qFormat/>
    <w:rPr>
      <w:rFonts w:ascii="宋体" w:eastAsia="宋体" w:hAnsi="宋体" w:cs="宋体"/>
      <w:color w:val="000000"/>
      <w:spacing w:val="-10"/>
      <w:w w:val="100"/>
      <w:position w:val="0"/>
      <w:sz w:val="28"/>
      <w:szCs w:val="28"/>
      <w:shd w:val="clear" w:color="auto" w:fill="FFFFFF"/>
      <w:lang w:val="zh-TW" w:eastAsia="zh-TW" w:bidi="zh-TW"/>
    </w:rPr>
  </w:style>
  <w:style w:type="character" w:customStyle="1" w:styleId="131">
    <w:name w:val="标题 #1 (3)_"/>
    <w:basedOn w:val="a0"/>
    <w:link w:val="132"/>
    <w:semiHidden/>
    <w:qFormat/>
    <w:rsid w:val="008C1C67"/>
    <w:rPr>
      <w:rFonts w:ascii="宋体" w:hAnsi="宋体" w:cs="宋体"/>
      <w:spacing w:val="-10"/>
      <w:sz w:val="28"/>
      <w:szCs w:val="28"/>
      <w:shd w:val="clear" w:color="auto" w:fill="FFFFFF"/>
    </w:rPr>
  </w:style>
  <w:style w:type="paragraph" w:customStyle="1" w:styleId="132">
    <w:name w:val="标题 #1 (3)"/>
    <w:basedOn w:val="a"/>
    <w:link w:val="131"/>
    <w:semiHidden/>
    <w:qFormat/>
    <w:pPr>
      <w:shd w:val="clear" w:color="auto" w:fill="FFFFFF"/>
      <w:spacing w:after="660" w:line="0" w:lineRule="atLeast"/>
      <w:jc w:val="center"/>
      <w:outlineLvl w:val="0"/>
    </w:pPr>
    <w:rPr>
      <w:spacing w:val="-10"/>
      <w:sz w:val="28"/>
      <w:szCs w:val="28"/>
    </w:rPr>
  </w:style>
  <w:style w:type="character" w:customStyle="1" w:styleId="131pt">
    <w:name w:val="标题 #1 (3) + 间距 1 pt"/>
    <w:basedOn w:val="131"/>
    <w:semiHidden/>
    <w:qFormat/>
    <w:rPr>
      <w:rFonts w:ascii="宋体" w:eastAsia="宋体" w:hAnsi="宋体" w:cs="宋体"/>
      <w:color w:val="000000"/>
      <w:spacing w:val="30"/>
      <w:w w:val="100"/>
      <w:position w:val="0"/>
      <w:sz w:val="28"/>
      <w:szCs w:val="28"/>
      <w:shd w:val="clear" w:color="auto" w:fill="FFFFFF"/>
      <w:lang w:val="zh-TW" w:eastAsia="zh-TW" w:bidi="zh-TW"/>
    </w:rPr>
  </w:style>
  <w:style w:type="character" w:customStyle="1" w:styleId="131pt0">
    <w:name w:val="正文文本 (13) + 间距 1 pt"/>
    <w:basedOn w:val="130"/>
    <w:semiHidden/>
    <w:qFormat/>
    <w:rPr>
      <w:rFonts w:ascii="宋体" w:eastAsia="宋体" w:hAnsi="宋体" w:cs="宋体"/>
      <w:b/>
      <w:bCs/>
      <w:color w:val="000000"/>
      <w:spacing w:val="20"/>
      <w:w w:val="100"/>
      <w:position w:val="0"/>
      <w:sz w:val="24"/>
      <w:szCs w:val="24"/>
      <w:u w:val="none"/>
      <w:lang w:val="zh-TW" w:eastAsia="zh-TW" w:bidi="zh-TW"/>
    </w:rPr>
  </w:style>
  <w:style w:type="character" w:customStyle="1" w:styleId="13Exact">
    <w:name w:val="正文文本 (13) Exact"/>
    <w:basedOn w:val="a0"/>
    <w:semiHidden/>
    <w:qFormat/>
    <w:rPr>
      <w:rFonts w:ascii="宋体" w:eastAsia="宋体" w:hAnsi="宋体" w:cs="宋体"/>
      <w:b/>
      <w:bCs/>
      <w:u w:val="none"/>
    </w:rPr>
  </w:style>
  <w:style w:type="character" w:customStyle="1" w:styleId="3Exact">
    <w:name w:val="标题 #3 Exact"/>
    <w:basedOn w:val="a0"/>
    <w:semiHidden/>
    <w:qFormat/>
    <w:rPr>
      <w:rFonts w:ascii="宋体" w:eastAsia="宋体" w:hAnsi="宋体" w:cs="宋体"/>
      <w:b/>
      <w:bCs/>
      <w:u w:val="none"/>
    </w:rPr>
  </w:style>
  <w:style w:type="character" w:customStyle="1" w:styleId="4Exact0">
    <w:name w:val="表格标题 (4) Exact"/>
    <w:basedOn w:val="a0"/>
    <w:semiHidden/>
    <w:qFormat/>
    <w:rPr>
      <w:rFonts w:ascii="宋体" w:eastAsia="宋体" w:hAnsi="宋体" w:cs="宋体"/>
      <w:sz w:val="20"/>
      <w:szCs w:val="20"/>
      <w:u w:val="none"/>
    </w:rPr>
  </w:style>
  <w:style w:type="character" w:customStyle="1" w:styleId="160">
    <w:name w:val="正文文本 (16)_"/>
    <w:basedOn w:val="a0"/>
    <w:link w:val="161"/>
    <w:semiHidden/>
    <w:qFormat/>
    <w:rsid w:val="008C1C67"/>
    <w:rPr>
      <w:rFonts w:ascii="宋体" w:hAnsi="宋体" w:cs="宋体"/>
      <w:sz w:val="15"/>
      <w:szCs w:val="15"/>
      <w:shd w:val="clear" w:color="auto" w:fill="FFFFFF"/>
    </w:rPr>
  </w:style>
  <w:style w:type="paragraph" w:customStyle="1" w:styleId="161">
    <w:name w:val="正文文本 (16)"/>
    <w:basedOn w:val="a"/>
    <w:link w:val="160"/>
    <w:semiHidden/>
    <w:qFormat/>
    <w:pPr>
      <w:shd w:val="clear" w:color="auto" w:fill="FFFFFF"/>
      <w:spacing w:line="0" w:lineRule="atLeast"/>
    </w:pPr>
    <w:rPr>
      <w:sz w:val="15"/>
      <w:szCs w:val="15"/>
    </w:rPr>
  </w:style>
  <w:style w:type="character" w:customStyle="1" w:styleId="138pt">
    <w:name w:val="正文文本 (13) + 间距 8 pt"/>
    <w:basedOn w:val="130"/>
    <w:semiHidden/>
    <w:qFormat/>
    <w:rPr>
      <w:rFonts w:ascii="宋体" w:eastAsia="宋体" w:hAnsi="宋体" w:cs="宋体"/>
      <w:b/>
      <w:bCs/>
      <w:color w:val="000000"/>
      <w:spacing w:val="160"/>
      <w:w w:val="100"/>
      <w:position w:val="0"/>
      <w:sz w:val="24"/>
      <w:szCs w:val="24"/>
      <w:u w:val="none"/>
      <w:lang w:val="zh-TW" w:eastAsia="zh-TW" w:bidi="zh-TW"/>
    </w:rPr>
  </w:style>
  <w:style w:type="character" w:customStyle="1" w:styleId="64">
    <w:name w:val="表格标题 (6)_"/>
    <w:basedOn w:val="a0"/>
    <w:link w:val="65"/>
    <w:semiHidden/>
    <w:qFormat/>
    <w:rsid w:val="008C1C67"/>
    <w:rPr>
      <w:rFonts w:ascii="宋体" w:hAnsi="宋体" w:cs="宋体"/>
      <w:sz w:val="28"/>
      <w:szCs w:val="28"/>
      <w:shd w:val="clear" w:color="auto" w:fill="FFFFFF"/>
    </w:rPr>
  </w:style>
  <w:style w:type="paragraph" w:customStyle="1" w:styleId="65">
    <w:name w:val="表格标题 (6)"/>
    <w:basedOn w:val="a"/>
    <w:link w:val="64"/>
    <w:semiHidden/>
    <w:qFormat/>
    <w:pPr>
      <w:shd w:val="clear" w:color="auto" w:fill="FFFFFF"/>
      <w:spacing w:line="408" w:lineRule="exact"/>
      <w:jc w:val="right"/>
    </w:pPr>
    <w:rPr>
      <w:sz w:val="28"/>
      <w:szCs w:val="28"/>
    </w:rPr>
  </w:style>
  <w:style w:type="character" w:customStyle="1" w:styleId="170">
    <w:name w:val="正文文本 (17)_"/>
    <w:basedOn w:val="a0"/>
    <w:link w:val="171"/>
    <w:semiHidden/>
    <w:qFormat/>
    <w:rsid w:val="008C1C67"/>
    <w:rPr>
      <w:rFonts w:ascii="宋体" w:hAnsi="宋体" w:cs="宋体"/>
      <w:spacing w:val="10"/>
      <w:sz w:val="19"/>
      <w:szCs w:val="19"/>
      <w:shd w:val="clear" w:color="auto" w:fill="FFFFFF"/>
      <w:lang w:eastAsia="en-US" w:bidi="en-US"/>
    </w:rPr>
  </w:style>
  <w:style w:type="paragraph" w:customStyle="1" w:styleId="171">
    <w:name w:val="正文文本 (17)"/>
    <w:basedOn w:val="a"/>
    <w:link w:val="170"/>
    <w:semiHidden/>
    <w:qFormat/>
    <w:pPr>
      <w:shd w:val="clear" w:color="auto" w:fill="FFFFFF"/>
      <w:spacing w:line="408" w:lineRule="exact"/>
      <w:ind w:firstLine="560"/>
    </w:pPr>
    <w:rPr>
      <w:spacing w:val="10"/>
      <w:sz w:val="19"/>
      <w:szCs w:val="19"/>
      <w:lang w:eastAsia="en-US" w:bidi="en-US"/>
    </w:rPr>
  </w:style>
  <w:style w:type="character" w:customStyle="1" w:styleId="3115pt">
    <w:name w:val="表格标题 (3) + 11.5 pt"/>
    <w:basedOn w:val="3b"/>
    <w:semiHidden/>
    <w:qFormat/>
    <w:rPr>
      <w:rFonts w:ascii="宋体" w:eastAsia="宋体" w:hAnsi="宋体" w:cs="宋体"/>
      <w:color w:val="000000"/>
      <w:spacing w:val="0"/>
      <w:w w:val="100"/>
      <w:position w:val="0"/>
      <w:sz w:val="23"/>
      <w:szCs w:val="23"/>
      <w:shd w:val="clear" w:color="auto" w:fill="FFFFFF"/>
      <w:lang w:val="en-US" w:eastAsia="en-US" w:bidi="en-US"/>
    </w:rPr>
  </w:style>
  <w:style w:type="character" w:customStyle="1" w:styleId="31pt">
    <w:name w:val="标题 #3 + 间距 1 pt"/>
    <w:basedOn w:val="39"/>
    <w:semiHidden/>
    <w:qFormat/>
    <w:rPr>
      <w:rFonts w:ascii="宋体" w:eastAsia="宋体" w:hAnsi="宋体" w:cs="宋体"/>
      <w:b/>
      <w:bCs/>
      <w:color w:val="000000"/>
      <w:spacing w:val="30"/>
      <w:w w:val="100"/>
      <w:position w:val="0"/>
      <w:sz w:val="24"/>
      <w:szCs w:val="24"/>
      <w:shd w:val="clear" w:color="auto" w:fill="FFFFFF"/>
      <w:lang w:val="zh-TW" w:eastAsia="zh-TW" w:bidi="zh-TW"/>
    </w:rPr>
  </w:style>
  <w:style w:type="character" w:customStyle="1" w:styleId="102">
    <w:name w:val="正文文本 (10)"/>
    <w:basedOn w:val="101"/>
    <w:semiHidden/>
    <w:qFormat/>
    <w:rPr>
      <w:rFonts w:ascii="宋体" w:eastAsia="宋体" w:hAnsi="宋体" w:cs="宋体"/>
      <w:b/>
      <w:bCs/>
      <w:color w:val="000000"/>
      <w:spacing w:val="10"/>
      <w:w w:val="100"/>
      <w:position w:val="0"/>
      <w:sz w:val="22"/>
      <w:szCs w:val="22"/>
      <w:u w:val="none"/>
      <w:lang w:val="zh-TW" w:eastAsia="zh-TW" w:bidi="zh-TW"/>
    </w:rPr>
  </w:style>
  <w:style w:type="character" w:customStyle="1" w:styleId="51pt">
    <w:name w:val="正文文本 (5) + 间距 1 pt"/>
    <w:basedOn w:val="53"/>
    <w:semiHidden/>
    <w:qFormat/>
    <w:rPr>
      <w:rFonts w:ascii="宋体" w:eastAsia="宋体" w:hAnsi="宋体" w:cs="宋体"/>
      <w:color w:val="000000"/>
      <w:spacing w:val="30"/>
      <w:w w:val="100"/>
      <w:position w:val="0"/>
      <w:sz w:val="20"/>
      <w:szCs w:val="20"/>
      <w:u w:val="none"/>
      <w:lang w:val="zh-TW" w:eastAsia="zh-TW" w:bidi="zh-TW"/>
    </w:rPr>
  </w:style>
  <w:style w:type="character" w:customStyle="1" w:styleId="57">
    <w:name w:val="正文文本 (5)"/>
    <w:basedOn w:val="53"/>
    <w:semiHidden/>
    <w:qFormat/>
    <w:rPr>
      <w:rFonts w:ascii="宋体" w:eastAsia="宋体" w:hAnsi="宋体" w:cs="宋体"/>
      <w:color w:val="000000"/>
      <w:spacing w:val="0"/>
      <w:w w:val="100"/>
      <w:position w:val="0"/>
      <w:sz w:val="20"/>
      <w:szCs w:val="20"/>
      <w:u w:val="single"/>
      <w:lang w:val="zh-TW" w:eastAsia="zh-TW" w:bidi="zh-TW"/>
    </w:rPr>
  </w:style>
  <w:style w:type="character" w:customStyle="1" w:styleId="60pt">
    <w:name w:val="表格标题 (6) + 间距 0 pt"/>
    <w:basedOn w:val="64"/>
    <w:semiHidden/>
    <w:qFormat/>
    <w:rPr>
      <w:rFonts w:ascii="宋体" w:eastAsia="宋体" w:hAnsi="宋体" w:cs="宋体"/>
      <w:color w:val="000000"/>
      <w:spacing w:val="-10"/>
      <w:w w:val="100"/>
      <w:position w:val="0"/>
      <w:sz w:val="28"/>
      <w:szCs w:val="28"/>
      <w:shd w:val="clear" w:color="auto" w:fill="FFFFFF"/>
      <w:lang w:val="zh-TW" w:eastAsia="zh-TW" w:bidi="zh-TW"/>
    </w:rPr>
  </w:style>
  <w:style w:type="character" w:customStyle="1" w:styleId="4Exact1">
    <w:name w:val="图片标题 (4) Exact"/>
    <w:basedOn w:val="a0"/>
    <w:semiHidden/>
    <w:qFormat/>
    <w:rPr>
      <w:rFonts w:ascii="宋体" w:eastAsia="宋体" w:hAnsi="宋体" w:cs="宋体"/>
      <w:b/>
      <w:bCs/>
      <w:u w:val="none"/>
    </w:rPr>
  </w:style>
  <w:style w:type="character" w:customStyle="1" w:styleId="4PalatinoLinotypeExact">
    <w:name w:val="图片标题 (4) + Palatino Linotype Exact"/>
    <w:basedOn w:val="47"/>
    <w:semiHidden/>
    <w:qFormat/>
    <w:rPr>
      <w:rFonts w:ascii="Palatino Linotype" w:eastAsia="Palatino Linotype" w:hAnsi="Palatino Linotype" w:cs="Palatino Linotype"/>
      <w:b/>
      <w:bCs/>
      <w:color w:val="000000"/>
      <w:spacing w:val="0"/>
      <w:w w:val="100"/>
      <w:position w:val="0"/>
      <w:sz w:val="24"/>
      <w:szCs w:val="24"/>
      <w:shd w:val="clear" w:color="auto" w:fill="FFFFFF"/>
      <w:lang w:val="en-US" w:eastAsia="en-US" w:bidi="en-US"/>
    </w:rPr>
  </w:style>
  <w:style w:type="character" w:customStyle="1" w:styleId="18Exact">
    <w:name w:val="正文文本 (18) Exact"/>
    <w:basedOn w:val="a0"/>
    <w:link w:val="180"/>
    <w:semiHidden/>
    <w:qFormat/>
    <w:rsid w:val="008C1C67"/>
    <w:rPr>
      <w:rFonts w:ascii="宋体" w:hAnsi="宋体" w:cs="宋体"/>
      <w:spacing w:val="-50"/>
      <w:w w:val="150"/>
      <w:sz w:val="36"/>
      <w:szCs w:val="36"/>
      <w:shd w:val="clear" w:color="auto" w:fill="FFFFFF"/>
    </w:rPr>
  </w:style>
  <w:style w:type="paragraph" w:customStyle="1" w:styleId="180">
    <w:name w:val="正文文本 (18)"/>
    <w:basedOn w:val="a"/>
    <w:link w:val="18Exact"/>
    <w:semiHidden/>
    <w:qFormat/>
    <w:pPr>
      <w:shd w:val="clear" w:color="auto" w:fill="FFFFFF"/>
      <w:spacing w:after="120" w:line="0" w:lineRule="atLeast"/>
    </w:pPr>
    <w:rPr>
      <w:spacing w:val="-50"/>
      <w:w w:val="150"/>
      <w:sz w:val="36"/>
      <w:szCs w:val="36"/>
    </w:rPr>
  </w:style>
  <w:style w:type="character" w:customStyle="1" w:styleId="1f6">
    <w:name w:val="标题 #1"/>
    <w:basedOn w:val="1f5"/>
    <w:semiHidden/>
    <w:qFormat/>
    <w:rPr>
      <w:rFonts w:ascii="宋体" w:eastAsia="宋体" w:hAnsi="宋体" w:cs="宋体"/>
      <w:color w:val="000000"/>
      <w:spacing w:val="0"/>
      <w:w w:val="100"/>
      <w:position w:val="0"/>
      <w:sz w:val="32"/>
      <w:szCs w:val="32"/>
      <w:u w:val="none"/>
      <w:lang w:val="zh-TW" w:eastAsia="zh-TW" w:bidi="zh-TW"/>
    </w:rPr>
  </w:style>
  <w:style w:type="character" w:customStyle="1" w:styleId="133">
    <w:name w:val="正文文本 (13)"/>
    <w:basedOn w:val="130"/>
    <w:semiHidden/>
    <w:qFormat/>
    <w:rPr>
      <w:rFonts w:ascii="宋体" w:eastAsia="宋体" w:hAnsi="宋体" w:cs="宋体"/>
      <w:b/>
      <w:bCs/>
      <w:color w:val="000000"/>
      <w:spacing w:val="0"/>
      <w:w w:val="100"/>
      <w:position w:val="0"/>
      <w:sz w:val="24"/>
      <w:szCs w:val="24"/>
      <w:u w:val="none"/>
      <w:lang w:val="zh-TW" w:eastAsia="zh-TW" w:bidi="zh-TW"/>
    </w:rPr>
  </w:style>
  <w:style w:type="character" w:customStyle="1" w:styleId="190">
    <w:name w:val="正文文本 (19)_"/>
    <w:basedOn w:val="a0"/>
    <w:semiHidden/>
    <w:qFormat/>
    <w:rPr>
      <w:rFonts w:ascii="宋体" w:eastAsia="宋体" w:hAnsi="宋体" w:cs="宋体"/>
      <w:i/>
      <w:iCs/>
      <w:sz w:val="62"/>
      <w:szCs w:val="62"/>
      <w:u w:val="none"/>
    </w:rPr>
  </w:style>
  <w:style w:type="character" w:customStyle="1" w:styleId="191">
    <w:name w:val="正文文本 (19)"/>
    <w:basedOn w:val="190"/>
    <w:semiHidden/>
    <w:qFormat/>
    <w:rPr>
      <w:rFonts w:ascii="宋体" w:eastAsia="宋体" w:hAnsi="宋体" w:cs="宋体"/>
      <w:i/>
      <w:iCs/>
      <w:color w:val="000000"/>
      <w:spacing w:val="0"/>
      <w:w w:val="100"/>
      <w:position w:val="0"/>
      <w:sz w:val="62"/>
      <w:szCs w:val="62"/>
      <w:u w:val="none"/>
      <w:lang w:val="zh-TW" w:eastAsia="zh-TW" w:bidi="zh-TW"/>
    </w:rPr>
  </w:style>
  <w:style w:type="character" w:customStyle="1" w:styleId="220">
    <w:name w:val="标题 #2 (2)_"/>
    <w:basedOn w:val="a0"/>
    <w:semiHidden/>
    <w:qFormat/>
    <w:rPr>
      <w:rFonts w:ascii="宋体" w:eastAsia="宋体" w:hAnsi="宋体" w:cs="宋体"/>
      <w:sz w:val="32"/>
      <w:szCs w:val="32"/>
      <w:u w:val="none"/>
    </w:rPr>
  </w:style>
  <w:style w:type="character" w:customStyle="1" w:styleId="221">
    <w:name w:val="标题 #2 (2)"/>
    <w:basedOn w:val="220"/>
    <w:semiHidden/>
    <w:qFormat/>
    <w:rPr>
      <w:rFonts w:ascii="宋体" w:eastAsia="宋体" w:hAnsi="宋体" w:cs="宋体"/>
      <w:color w:val="000000"/>
      <w:spacing w:val="0"/>
      <w:w w:val="100"/>
      <w:position w:val="0"/>
      <w:sz w:val="32"/>
      <w:szCs w:val="32"/>
      <w:u w:val="none"/>
      <w:lang w:val="zh-TW" w:eastAsia="zh-TW" w:bidi="zh-TW"/>
    </w:rPr>
  </w:style>
  <w:style w:type="character" w:customStyle="1" w:styleId="13PalatinoLinotype">
    <w:name w:val="正文文本 (13) + Palatino Linotype"/>
    <w:basedOn w:val="130"/>
    <w:semiHidden/>
    <w:qFormat/>
    <w:rPr>
      <w:rFonts w:ascii="Palatino Linotype" w:eastAsia="Palatino Linotype" w:hAnsi="Palatino Linotype" w:cs="Palatino Linotype"/>
      <w:b/>
      <w:bCs/>
      <w:color w:val="000000"/>
      <w:spacing w:val="0"/>
      <w:w w:val="100"/>
      <w:position w:val="0"/>
      <w:sz w:val="24"/>
      <w:szCs w:val="24"/>
      <w:u w:val="none"/>
      <w:lang w:val="en-US" w:eastAsia="en-US" w:bidi="en-US"/>
    </w:rPr>
  </w:style>
  <w:style w:type="character" w:customStyle="1" w:styleId="90pt">
    <w:name w:val="正文文本 (9) + 间距 0 pt"/>
    <w:basedOn w:val="93"/>
    <w:semiHidden/>
    <w:qFormat/>
    <w:rPr>
      <w:rFonts w:ascii="宋体" w:eastAsia="宋体" w:hAnsi="宋体" w:cs="宋体"/>
      <w:color w:val="000000"/>
      <w:spacing w:val="-10"/>
      <w:w w:val="100"/>
      <w:position w:val="0"/>
      <w:sz w:val="28"/>
      <w:szCs w:val="28"/>
      <w:shd w:val="clear" w:color="auto" w:fill="FFFFFF"/>
      <w:lang w:val="zh-TW" w:eastAsia="zh-TW" w:bidi="zh-TW"/>
    </w:rPr>
  </w:style>
  <w:style w:type="paragraph" w:customStyle="1" w:styleId="114">
    <w:name w:val="修订11"/>
    <w:hidden/>
    <w:uiPriority w:val="71"/>
    <w:qFormat/>
    <w:rPr>
      <w:rFonts w:asciiTheme="minorHAnsi" w:eastAsiaTheme="minorEastAsia" w:hAnsiTheme="minorHAnsi" w:cstheme="minorBidi"/>
      <w:kern w:val="2"/>
      <w:sz w:val="21"/>
      <w:szCs w:val="22"/>
    </w:rPr>
  </w:style>
  <w:style w:type="character" w:customStyle="1" w:styleId="Charf0">
    <w:name w:val="正文格式 Char"/>
    <w:link w:val="affa"/>
    <w:semiHidden/>
    <w:qFormat/>
    <w:rsid w:val="008C1C67"/>
    <w:rPr>
      <w:rFonts w:ascii="宋体" w:hAnsi="宋体" w:cs="宋体"/>
      <w:sz w:val="24"/>
      <w:szCs w:val="24"/>
    </w:rPr>
  </w:style>
  <w:style w:type="paragraph" w:customStyle="1" w:styleId="affa">
    <w:name w:val="正文格式"/>
    <w:basedOn w:val="a"/>
    <w:link w:val="Charf0"/>
    <w:semiHidden/>
    <w:qFormat/>
    <w:pPr>
      <w:adjustRightInd w:val="0"/>
      <w:spacing w:beforeLines="30" w:afterLines="30" w:line="360" w:lineRule="auto"/>
      <w:ind w:firstLineChars="200" w:firstLine="480"/>
      <w:textAlignment w:val="baseline"/>
    </w:pPr>
  </w:style>
  <w:style w:type="character" w:styleId="affb">
    <w:name w:val="Placeholder Text"/>
    <w:basedOn w:val="a0"/>
    <w:uiPriority w:val="99"/>
    <w:semiHidden/>
    <w:qFormat/>
    <w:rPr>
      <w:color w:val="808080"/>
    </w:rPr>
  </w:style>
  <w:style w:type="paragraph" w:styleId="affc">
    <w:name w:val="No Spacing"/>
    <w:basedOn w:val="a"/>
    <w:link w:val="Charf1"/>
    <w:uiPriority w:val="1"/>
    <w:semiHidden/>
    <w:qFormat/>
    <w:rPr>
      <w:rFonts w:ascii="Calibri" w:hAnsi="Calibri" w:cs="Times New Roman"/>
    </w:rPr>
  </w:style>
  <w:style w:type="character" w:customStyle="1" w:styleId="Charf1">
    <w:name w:val="无间隔 Char"/>
    <w:basedOn w:val="a0"/>
    <w:link w:val="affc"/>
    <w:uiPriority w:val="1"/>
    <w:semiHidden/>
    <w:qFormat/>
    <w:rsid w:val="008C1C67"/>
    <w:rPr>
      <w:rFonts w:ascii="Calibri" w:hAnsi="Calibri"/>
      <w:sz w:val="24"/>
      <w:szCs w:val="24"/>
    </w:rPr>
  </w:style>
  <w:style w:type="paragraph" w:styleId="affd">
    <w:name w:val="Quote"/>
    <w:basedOn w:val="a"/>
    <w:next w:val="a"/>
    <w:link w:val="Charf2"/>
    <w:uiPriority w:val="29"/>
    <w:semiHidden/>
    <w:qFormat/>
    <w:rPr>
      <w:rFonts w:ascii="Calibri" w:hAnsi="Calibri" w:cs="Times New Roman"/>
      <w:i/>
    </w:rPr>
  </w:style>
  <w:style w:type="character" w:customStyle="1" w:styleId="Charf2">
    <w:name w:val="引用 Char"/>
    <w:basedOn w:val="a0"/>
    <w:link w:val="affd"/>
    <w:uiPriority w:val="29"/>
    <w:semiHidden/>
    <w:qFormat/>
    <w:rsid w:val="008C1C67"/>
    <w:rPr>
      <w:rFonts w:ascii="Calibri" w:hAnsi="Calibri"/>
      <w:i/>
      <w:sz w:val="24"/>
      <w:szCs w:val="24"/>
    </w:rPr>
  </w:style>
  <w:style w:type="paragraph" w:styleId="affe">
    <w:name w:val="Intense Quote"/>
    <w:basedOn w:val="a"/>
    <w:next w:val="a"/>
    <w:link w:val="Charf3"/>
    <w:uiPriority w:val="30"/>
    <w:semiHidden/>
    <w:qFormat/>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rFonts w:ascii="Calibri" w:hAnsi="Calibri" w:cs="Times New Roman"/>
      <w:b/>
      <w:i/>
      <w:color w:val="FFFFFF" w:themeColor="background1"/>
    </w:rPr>
  </w:style>
  <w:style w:type="character" w:customStyle="1" w:styleId="Charf3">
    <w:name w:val="明显引用 Char"/>
    <w:basedOn w:val="a0"/>
    <w:link w:val="affe"/>
    <w:uiPriority w:val="30"/>
    <w:semiHidden/>
    <w:qFormat/>
    <w:rsid w:val="008C1C67"/>
    <w:rPr>
      <w:rFonts w:ascii="Calibri" w:hAnsi="Calibri"/>
      <w:b/>
      <w:i/>
      <w:color w:val="FFFFFF" w:themeColor="background1"/>
      <w:sz w:val="24"/>
      <w:szCs w:val="24"/>
      <w:shd w:val="clear" w:color="auto" w:fill="C0504D" w:themeFill="accent2"/>
    </w:rPr>
  </w:style>
  <w:style w:type="character" w:customStyle="1" w:styleId="1f7">
    <w:name w:val="不明显强调1"/>
    <w:uiPriority w:val="19"/>
    <w:semiHidden/>
    <w:qFormat/>
    <w:rPr>
      <w:i/>
    </w:rPr>
  </w:style>
  <w:style w:type="character" w:customStyle="1" w:styleId="1f8">
    <w:name w:val="明显强调1"/>
    <w:uiPriority w:val="21"/>
    <w:semiHidden/>
    <w:qFormat/>
    <w:rPr>
      <w:b/>
      <w:i/>
      <w:color w:val="C0504D" w:themeColor="accent2"/>
      <w:spacing w:val="10"/>
    </w:rPr>
  </w:style>
  <w:style w:type="character" w:customStyle="1" w:styleId="1f9">
    <w:name w:val="不明显参考1"/>
    <w:uiPriority w:val="31"/>
    <w:semiHidden/>
    <w:qFormat/>
    <w:rPr>
      <w:b/>
    </w:rPr>
  </w:style>
  <w:style w:type="character" w:customStyle="1" w:styleId="1fa">
    <w:name w:val="明显参考1"/>
    <w:uiPriority w:val="32"/>
    <w:semiHidden/>
    <w:qFormat/>
    <w:rPr>
      <w:b/>
      <w:bCs/>
      <w:smallCaps/>
      <w:spacing w:val="5"/>
      <w:sz w:val="22"/>
      <w:szCs w:val="22"/>
      <w:u w:val="single"/>
    </w:rPr>
  </w:style>
  <w:style w:type="character" w:customStyle="1" w:styleId="1fb">
    <w:name w:val="书籍标题1"/>
    <w:uiPriority w:val="33"/>
    <w:semiHidden/>
    <w:qFormat/>
    <w:rPr>
      <w:rFonts w:asciiTheme="majorHAnsi" w:eastAsiaTheme="majorEastAsia" w:hAnsiTheme="majorHAnsi" w:cstheme="majorBidi"/>
      <w:i/>
      <w:iCs/>
      <w:sz w:val="20"/>
      <w:szCs w:val="20"/>
    </w:rPr>
  </w:style>
  <w:style w:type="paragraph" w:customStyle="1" w:styleId="1fc">
    <w:name w:val="目录标题1"/>
    <w:basedOn w:val="1"/>
    <w:next w:val="a"/>
    <w:uiPriority w:val="39"/>
    <w:semiHidden/>
    <w:qFormat/>
    <w:pPr>
      <w:keepNext w:val="0"/>
      <w:keepLines w:val="0"/>
      <w:spacing w:before="300" w:line="240" w:lineRule="auto"/>
      <w:jc w:val="left"/>
      <w:outlineLvl w:val="9"/>
    </w:pPr>
    <w:rPr>
      <w:rFonts w:ascii="Calibri" w:eastAsia="宋体" w:hAnsi="Calibri" w:cs="Times New Roman"/>
      <w:b w:val="0"/>
      <w:bCs w:val="0"/>
      <w:smallCaps/>
      <w:spacing w:val="5"/>
      <w:kern w:val="2"/>
      <w:sz w:val="32"/>
      <w:szCs w:val="32"/>
      <w:lang w:bidi="en-US"/>
    </w:rPr>
  </w:style>
  <w:style w:type="paragraph" w:customStyle="1" w:styleId="1fd">
    <w:name w:val="样式1"/>
    <w:basedOn w:val="1"/>
    <w:link w:val="1CharChar"/>
    <w:semiHidden/>
    <w:qFormat/>
    <w:pPr>
      <w:adjustRightInd w:val="0"/>
      <w:spacing w:before="240" w:after="240" w:line="440" w:lineRule="exact"/>
      <w:ind w:firstLineChars="200" w:firstLine="482"/>
      <w:textAlignment w:val="baseline"/>
    </w:pPr>
    <w:rPr>
      <w:rFonts w:hAnsi="黑体" w:cs="Times New Roman"/>
      <w:b w:val="0"/>
      <w:bCs w:val="0"/>
      <w:sz w:val="24"/>
    </w:rPr>
  </w:style>
  <w:style w:type="character" w:customStyle="1" w:styleId="1CharChar">
    <w:name w:val="样式1 Char Char"/>
    <w:link w:val="1fd"/>
    <w:semiHidden/>
    <w:qFormat/>
    <w:rsid w:val="008C1C67"/>
    <w:rPr>
      <w:rFonts w:ascii="宋体" w:eastAsia="黑体" w:hAnsi="黑体"/>
      <w:kern w:val="44"/>
      <w:sz w:val="24"/>
      <w:szCs w:val="44"/>
    </w:rPr>
  </w:style>
  <w:style w:type="paragraph" w:customStyle="1" w:styleId="2f0">
    <w:name w:val="样式2"/>
    <w:basedOn w:val="20"/>
    <w:link w:val="2CharChar"/>
    <w:semiHidden/>
    <w:qFormat/>
    <w:pPr>
      <w:adjustRightInd w:val="0"/>
      <w:spacing w:before="240" w:after="240" w:line="440" w:lineRule="exact"/>
      <w:ind w:firstLineChars="200" w:firstLine="482"/>
      <w:textAlignment w:val="baseline"/>
    </w:pPr>
    <w:rPr>
      <w:rFonts w:ascii="Cambria" w:eastAsia="宋体" w:hAnsi="Cambria" w:cs="Times New Roman"/>
      <w:b w:val="0"/>
      <w:sz w:val="24"/>
      <w:szCs w:val="24"/>
    </w:rPr>
  </w:style>
  <w:style w:type="character" w:customStyle="1" w:styleId="2CharChar">
    <w:name w:val="样式2 Char Char"/>
    <w:link w:val="2f0"/>
    <w:semiHidden/>
    <w:qFormat/>
    <w:rsid w:val="008C1C67"/>
    <w:rPr>
      <w:rFonts w:ascii="Cambria" w:hAnsi="Cambria"/>
      <w:bCs/>
      <w:sz w:val="24"/>
      <w:szCs w:val="24"/>
    </w:rPr>
  </w:style>
  <w:style w:type="paragraph" w:customStyle="1" w:styleId="3f">
    <w:name w:val="样式3"/>
    <w:basedOn w:val="30"/>
    <w:link w:val="3CharChar"/>
    <w:semiHidden/>
    <w:qFormat/>
    <w:pPr>
      <w:adjustRightInd w:val="0"/>
      <w:spacing w:before="240" w:after="240" w:line="440" w:lineRule="exact"/>
      <w:ind w:firstLineChars="200" w:firstLine="482"/>
      <w:textAlignment w:val="baseline"/>
    </w:pPr>
    <w:rPr>
      <w:rFonts w:ascii="Times New Roman" w:hAnsi="Times New Roman" w:cs="Times New Roman"/>
      <w:b w:val="0"/>
      <w:color w:val="000000"/>
      <w:sz w:val="24"/>
    </w:rPr>
  </w:style>
  <w:style w:type="character" w:customStyle="1" w:styleId="3CharChar">
    <w:name w:val="样式3 Char Char"/>
    <w:link w:val="3f"/>
    <w:semiHidden/>
    <w:qFormat/>
    <w:rsid w:val="008C1C67"/>
    <w:rPr>
      <w:bCs/>
      <w:color w:val="000000"/>
      <w:sz w:val="24"/>
      <w:szCs w:val="32"/>
    </w:rPr>
  </w:style>
  <w:style w:type="paragraph" w:customStyle="1" w:styleId="-51">
    <w:name w:val="浅色列表 - 强调文字颜色 51"/>
    <w:basedOn w:val="a"/>
    <w:uiPriority w:val="34"/>
    <w:semiHidden/>
    <w:qFormat/>
    <w:pPr>
      <w:ind w:firstLineChars="200" w:firstLine="420"/>
    </w:pPr>
    <w:rPr>
      <w:rFonts w:ascii="Calibri" w:hAnsi="Calibri" w:cs="Times New Roman"/>
    </w:rPr>
  </w:style>
  <w:style w:type="paragraph" w:customStyle="1" w:styleId="1fe">
    <w:name w:val="大标题1"/>
    <w:basedOn w:val="a"/>
    <w:uiPriority w:val="99"/>
    <w:semiHidden/>
    <w:qFormat/>
    <w:pPr>
      <w:spacing w:line="360" w:lineRule="auto"/>
      <w:jc w:val="center"/>
    </w:pPr>
    <w:rPr>
      <w:rFonts w:ascii="黑体" w:eastAsia="黑体" w:hAnsi="黑体" w:cs="Times New Roman"/>
      <w:b/>
      <w:sz w:val="28"/>
      <w:szCs w:val="28"/>
    </w:rPr>
  </w:style>
  <w:style w:type="paragraph" w:customStyle="1" w:styleId="afff">
    <w:name w:val="正文标题一"/>
    <w:basedOn w:val="a"/>
    <w:uiPriority w:val="99"/>
    <w:semiHidden/>
    <w:qFormat/>
    <w:pPr>
      <w:spacing w:line="360" w:lineRule="auto"/>
      <w:ind w:firstLine="465"/>
    </w:pPr>
    <w:rPr>
      <w:rFonts w:ascii="Times New Roman" w:hAnsi="Times New Roman" w:cs="Times New Roman"/>
      <w:b/>
    </w:rPr>
  </w:style>
  <w:style w:type="paragraph" w:customStyle="1" w:styleId="afff0">
    <w:name w:val="正文标题（一）"/>
    <w:basedOn w:val="a"/>
    <w:uiPriority w:val="99"/>
    <w:semiHidden/>
    <w:qFormat/>
    <w:pPr>
      <w:spacing w:line="360" w:lineRule="auto"/>
      <w:ind w:firstLine="465"/>
    </w:pPr>
    <w:rPr>
      <w:rFonts w:ascii="Times New Roman" w:hAnsi="Times New Roman" w:cs="Times New Roman"/>
      <w:b/>
    </w:rPr>
  </w:style>
  <w:style w:type="paragraph" w:customStyle="1" w:styleId="afff1">
    <w:name w:val="附件"/>
    <w:basedOn w:val="afff"/>
    <w:uiPriority w:val="99"/>
    <w:semiHidden/>
    <w:qFormat/>
    <w:pPr>
      <w:ind w:firstLine="0"/>
    </w:pPr>
  </w:style>
  <w:style w:type="table" w:customStyle="1" w:styleId="134">
    <w:name w:val="网格型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网格型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
    <w:name w:val="Table Normal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
    <w:name w:val="网格型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网格型8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1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网格型9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网格型10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网格型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网格型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网格型1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
    <w:name w:val="Table Normal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0">
    <w:name w:val="网格型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网格型1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网格型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型11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网格型9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网格型10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网格型13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网格型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网格型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网格型1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网格型11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
    <w:name w:val="Table Normal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0">
    <w:name w:val="网格型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网格型1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网格型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网格型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5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网格型6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网格型7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网格型8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型11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网格型9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网格型10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网格型13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网格型14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网格型15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网格型16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
    <w:name w:val="Table Normal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0">
    <w:name w:val="网格型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网格型1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网格型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网格型8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网格型11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网格型10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网格型13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网格型14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
    <w:name w:val="未处理的提及1"/>
    <w:basedOn w:val="a0"/>
    <w:uiPriority w:val="99"/>
    <w:semiHidden/>
    <w:qFormat/>
    <w:rPr>
      <w:color w:val="605E5C"/>
      <w:shd w:val="clear" w:color="auto" w:fill="E1DFDD"/>
    </w:rPr>
  </w:style>
  <w:style w:type="paragraph" w:customStyle="1" w:styleId="ParaCharCharCharCharCharCharChar">
    <w:name w:val="默认段落字体 Para Char Char Char Char Char Char Char"/>
    <w:basedOn w:val="a"/>
    <w:uiPriority w:val="99"/>
    <w:semiHidden/>
    <w:qFormat/>
    <w:rPr>
      <w:rFonts w:ascii="Tahoma" w:hAnsi="Tahoma" w:cs="Times New Roman"/>
      <w:szCs w:val="20"/>
    </w:rPr>
  </w:style>
  <w:style w:type="paragraph" w:customStyle="1" w:styleId="CharCharCharCharCharCharChar">
    <w:name w:val="Char Char Char Char Char Char Char"/>
    <w:basedOn w:val="a"/>
    <w:uiPriority w:val="99"/>
    <w:semiHidden/>
    <w:qFormat/>
    <w:pPr>
      <w:spacing w:after="160" w:line="240" w:lineRule="exact"/>
    </w:pPr>
    <w:rPr>
      <w:rFonts w:ascii="Verdana" w:hAnsi="Verdana" w:cs="Times New Roman"/>
      <w:sz w:val="20"/>
      <w:szCs w:val="20"/>
      <w:lang w:eastAsia="en-US"/>
    </w:rPr>
  </w:style>
  <w:style w:type="paragraph" w:customStyle="1" w:styleId="Charf4">
    <w:name w:val="Char"/>
    <w:basedOn w:val="a"/>
    <w:uiPriority w:val="99"/>
    <w:semiHidden/>
    <w:qFormat/>
    <w:rPr>
      <w:rFonts w:ascii="Tahoma" w:hAnsi="Tahoma" w:cs="Times New Roman"/>
      <w:szCs w:val="20"/>
    </w:rPr>
  </w:style>
  <w:style w:type="paragraph" w:customStyle="1" w:styleId="ParaChar">
    <w:name w:val="默认段落字体 Para Char"/>
    <w:basedOn w:val="a"/>
    <w:uiPriority w:val="99"/>
    <w:semiHidden/>
    <w:qFormat/>
    <w:pPr>
      <w:tabs>
        <w:tab w:val="left" w:pos="360"/>
      </w:tabs>
      <w:spacing w:before="312" w:after="312" w:line="360" w:lineRule="auto"/>
    </w:pPr>
    <w:rPr>
      <w:rFonts w:ascii="Times New Roman" w:hAnsi="Times New Roman" w:cs="Times New Roman"/>
      <w:szCs w:val="20"/>
    </w:rPr>
  </w:style>
  <w:style w:type="character" w:customStyle="1" w:styleId="afff2">
    <w:name w:val="页脚 字符"/>
    <w:uiPriority w:val="99"/>
    <w:semiHidden/>
    <w:qFormat/>
    <w:rPr>
      <w:kern w:val="2"/>
      <w:sz w:val="18"/>
      <w:szCs w:val="18"/>
    </w:rPr>
  </w:style>
  <w:style w:type="paragraph" w:customStyle="1" w:styleId="1-21">
    <w:name w:val="中等深浅网格 1 - 强调文字颜色 21"/>
    <w:basedOn w:val="a"/>
    <w:uiPriority w:val="34"/>
    <w:semiHidden/>
    <w:qFormat/>
    <w:pPr>
      <w:ind w:firstLineChars="200" w:firstLine="420"/>
    </w:pPr>
    <w:rPr>
      <w:rFonts w:ascii="Cambria" w:hAnsi="Cambria" w:cs="Times New Roman"/>
    </w:rPr>
  </w:style>
  <w:style w:type="paragraph" w:customStyle="1" w:styleId="-312">
    <w:name w:val="深色列表 - 着色 31"/>
    <w:hidden/>
    <w:uiPriority w:val="71"/>
    <w:qFormat/>
    <w:rPr>
      <w:kern w:val="2"/>
      <w:sz w:val="21"/>
      <w:szCs w:val="24"/>
    </w:rPr>
  </w:style>
  <w:style w:type="character" w:customStyle="1" w:styleId="afff3">
    <w:name w:val="日期 字符"/>
    <w:uiPriority w:val="99"/>
    <w:semiHidden/>
    <w:qFormat/>
    <w:rPr>
      <w:kern w:val="2"/>
      <w:sz w:val="21"/>
      <w:szCs w:val="24"/>
    </w:rPr>
  </w:style>
  <w:style w:type="table" w:customStyle="1" w:styleId="115">
    <w:name w:val="网格型1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
    <w:name w:val="Table Normal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0">
    <w:name w:val="网格型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网格型1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
    <w:name w:val="Table Normal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0">
    <w:name w:val="网格型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网格型1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网格型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网格型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网格型5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网格型6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网格型7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网格型8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网格型11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网格型9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网格型10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网格型13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网格型15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网格型16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
    <w:name w:val="Table Normal1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0">
    <w:name w:val="网格型2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网格型11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网格型3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网格型1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网格型2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网格型5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网格型6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网格型7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8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网格型111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网格型9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网格型10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13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网格型14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网格型17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网格型18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
    <w:name w:val="Table Normal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
    <w:name w:val="网格型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网格型1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网格型1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网格型2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网格型4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网格型5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网格型6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网格型7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网格型8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网格型1112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网格型9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网格型10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网格型13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网格型14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网格型15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网格型16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网格型19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网格型110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
    <w:name w:val="Table Normal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
    <w:name w:val="网格型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网格型11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网格型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网格型5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网格型6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网格型7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网格型8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网格型111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网格型9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网格型10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网格型13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网格型14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网格型15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网格型16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
    <w:name w:val="Table Normal1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
    <w:name w:val="网格型2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网格型11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网格型1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网格型2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网格型5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网格型6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网格型7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网格型8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网格型111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网格型9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网格型10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网格型13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网格型14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彩色型 1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
    <w:name w:val="网格型3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未处理的提及2"/>
    <w:basedOn w:val="a0"/>
    <w:uiPriority w:val="99"/>
    <w:semiHidden/>
    <w:qFormat/>
    <w:rPr>
      <w:color w:val="605E5C"/>
      <w:shd w:val="clear" w:color="auto" w:fill="E1DFDD"/>
    </w:rPr>
  </w:style>
  <w:style w:type="character" w:customStyle="1" w:styleId="3f0">
    <w:name w:val="未处理的提及3"/>
    <w:basedOn w:val="a0"/>
    <w:uiPriority w:val="99"/>
    <w:semiHidden/>
    <w:qFormat/>
    <w:rPr>
      <w:color w:val="605E5C"/>
      <w:shd w:val="clear" w:color="auto" w:fill="E1DFDD"/>
    </w:rPr>
  </w:style>
  <w:style w:type="table" w:customStyle="1" w:styleId="270">
    <w:name w:val="网格型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网格型2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网格型11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6">
    <w:name w:val="Table Normal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90">
    <w:name w:val="网格型2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网格型11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网格型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网格型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网格型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网格型5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网格型6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网格型7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网格型8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网格型11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网格型9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网格型10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网格型13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3">
    <w:name w:val="Table Normal1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3">
    <w:name w:val="网格型2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网格型11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网格型1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网格型2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网格型5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网格型6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网格型7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网格型8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网格型111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网格型9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网格型10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网格型13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网格型14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网格型17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网格型18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2">
    <w:name w:val="Table Normal12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2">
    <w:name w:val="网格型2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网格型113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网格型3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网格型12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网格型2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网格型6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网格型7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网格型8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网格型1112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网格型9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网格型102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网格型132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网格型142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网格型15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网格型16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网格型19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网格型110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2">
    <w:name w:val="Table Normal13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2">
    <w:name w:val="网格型24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网格型114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网格型12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网格型21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网格型5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网格型63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网格型73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网格型83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网格型1113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网格型93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网格型103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网格型133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网格型143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网格型15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网格型16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2">
    <w:name w:val="Table Normal11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2">
    <w:name w:val="网格型2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网格型112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网格型12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网格型21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网格型5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网格型61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网格型71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网格型8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网格型1111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网格型9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网格型101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网格型131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网格型141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彩色型 12"/>
    <w:basedOn w:val="a1"/>
    <w:qFormat/>
    <w:locked/>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1">
    <w:name w:val="网格型11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网格型20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1">
    <w:name w:val="Table Normal1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1">
    <w:name w:val="网格型2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网格型11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1">
    <w:name w:val="Table Normal1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1">
    <w:name w:val="网格型2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网格型11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网格型1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网格型2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网格型3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网格型5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网格型6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网格型7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网格型8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网格型1114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网格型9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网格型10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网格型13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网格型14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网格型15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网格型16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1">
    <w:name w:val="Table Normal1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1">
    <w:name w:val="网格型2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网格型112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网格型12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网格型2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网格型5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网格型6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网格型7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网格型8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网格型11112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网格型9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网格型10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网格型13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网格型14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网格型17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网格型18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1">
    <w:name w:val="Table Normal12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1">
    <w:name w:val="网格型2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网格型113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网格型12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网格型2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网格型5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网格型6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网格型7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网格型8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网格型1112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网格型9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网格型102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网格型132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网格型142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网格型15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网格型16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网格型19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网格型110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1">
    <w:name w:val="Table Normal13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1">
    <w:name w:val="网格型24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网格型114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网格型34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网格型12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网格型21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网格型31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网格型5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网格型63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网格型73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网格型83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网格型1113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网格型93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网格型103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网格型133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网格型143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网格型15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网格型16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
    <w:name w:val="Table Normal2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1">
    <w:name w:val="Table Normal11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1">
    <w:name w:val="网格型2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网格型112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网格型12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网格型21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网格型31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网格型5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网格型61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网格型71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网格型8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网格型1111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网格型9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网格型101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网格型131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网格型141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型 11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1">
    <w:name w:val="网格型33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网格型3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网格型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网格型12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7">
    <w:name w:val="Table Normal1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100">
    <w:name w:val="网格型2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网格型111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网格型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网格型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网格型5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网格型7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网格型8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网格型111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网格型9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网格型10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网格型13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网格型14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网格型15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网格型16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4">
    <w:name w:val="Table Normal1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4">
    <w:name w:val="网格型2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网格型11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网格型3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网格型1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网格型2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网格型3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网格型5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网格型6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网格型7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网格型8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网格型111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网格型9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网格型10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网格型13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网格型14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网格型17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网格型18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3">
    <w:name w:val="Table Normal12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3">
    <w:name w:val="网格型2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网格型113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网格型12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网格型2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网格型3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网格型5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网格型6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网格型7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网格型8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网格型1112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网格型9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网格型102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网格型132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网格型142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网格型15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网格型16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网格型19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网格型110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
    <w:name w:val="Table Normal4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3">
    <w:name w:val="Table Normal13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3">
    <w:name w:val="网格型24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网格型114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网格型34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网格型12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网格型21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网格型5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网格型63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网格型73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网格型83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网格型1113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网格型93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网格型103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网格型133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网格型143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网格型15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网格型16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3">
    <w:name w:val="Table Normal11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3">
    <w:name w:val="网格型2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网格型112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网格型3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网格型12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网格型21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网格型5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网格型61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网格型71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网格型8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网格型1111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网格型9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网格型101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网格型131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网格型141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彩色型 13"/>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2">
    <w:name w:val="网格型115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网格型20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
    <w:name w:val="Table Normal5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2">
    <w:name w:val="Table Normal14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2">
    <w:name w:val="网格型25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网格型116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
    <w:name w:val="Table Normal6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2">
    <w:name w:val="Table Normal15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2">
    <w:name w:val="网格型26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网格型117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网格型124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网格型214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网格型314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网格型54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网格型64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网格型74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网格型84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网格型1114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网格型94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网格型104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网格型134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网格型144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网格型153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网格型163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2">
    <w:name w:val="Table Normal112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2">
    <w:name w:val="网格型22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网格型112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网格型32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网格型12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网格型21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网格型51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网格型61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网格型712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网格型81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网格型11112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2">
    <w:name w:val="网格型912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
    <w:name w:val="网格型1012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网格型1312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网格型1412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网格型17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网格型18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2">
    <w:name w:val="Table Normal12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2">
    <w:name w:val="网格型2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网格型113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网格型3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网格型12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网格型21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网格型5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网格型62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网格型72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网格型82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网格型1112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网格型92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网格型102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网格型132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网格型142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网格型15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网格型16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网格型19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网格型110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2">
    <w:name w:val="Table Normal13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2">
    <w:name w:val="网格型24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网格型114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网格型12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网格型21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网格型31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网格型53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网格型63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网格型73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网格型83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网格型1113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网格型93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网格型103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网格型133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网格型143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网格型152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网格型162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2">
    <w:name w:val="Table Normal21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2">
    <w:name w:val="Table Normal11112"/>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2">
    <w:name w:val="网格型22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网格型1121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
    <w:name w:val="网格型121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网格型211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网格型311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网格型5111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
    <w:name w:val="网格型611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网格型7111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网格型81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
    <w:name w:val="网格型11111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网格型91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网格型1011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网格型1311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网格型141112"/>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彩色型 112"/>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2">
    <w:name w:val="网格型332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网格型33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网格型20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3">
    <w:name w:val="Table Normal5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3">
    <w:name w:val="Table Normal14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400">
    <w:name w:val="网格型4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网格型12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8">
    <w:name w:val="Table Normal18"/>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17">
    <w:name w:val="网格型2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网格型11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网格型3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5">
    <w:name w:val="正文文本缩进 2字符2"/>
    <w:basedOn w:val="a0"/>
    <w:uiPriority w:val="99"/>
    <w:semiHidden/>
    <w:qFormat/>
    <w:rPr>
      <w:sz w:val="21"/>
      <w:szCs w:val="22"/>
    </w:rPr>
  </w:style>
  <w:style w:type="character" w:customStyle="1" w:styleId="226">
    <w:name w:val="正文文本 2字符2"/>
    <w:basedOn w:val="a0"/>
    <w:uiPriority w:val="99"/>
    <w:semiHidden/>
    <w:qFormat/>
    <w:rPr>
      <w:sz w:val="21"/>
      <w:szCs w:val="22"/>
    </w:rPr>
  </w:style>
  <w:style w:type="character" w:customStyle="1" w:styleId="2f2">
    <w:name w:val="日期字符2"/>
    <w:basedOn w:val="a0"/>
    <w:uiPriority w:val="99"/>
    <w:semiHidden/>
    <w:qFormat/>
    <w:rPr>
      <w:sz w:val="21"/>
      <w:szCs w:val="22"/>
    </w:rPr>
  </w:style>
  <w:style w:type="table" w:customStyle="1" w:styleId="128">
    <w:name w:val="网格型12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网格型21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网格型5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网格型6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网格型7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网格型8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网格型1118"/>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网格型9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网格型10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网格型13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网格型14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网格型15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网格型16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5">
    <w:name w:val="Table Normal1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50">
    <w:name w:val="网格型2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网格型11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网格型3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1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网格型2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网格型5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网格型6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网格型7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网格型8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网格型111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网格型9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
    <w:name w:val="网格型10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网格型13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网格型14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网格型17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网格型18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
    <w:name w:val="Table Normal3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4">
    <w:name w:val="Table Normal12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4">
    <w:name w:val="网格型2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网格型12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网格型2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网格型5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网格型6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网格型7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网格型8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网格型1112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网格型9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
    <w:name w:val="网格型102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网格型132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
    <w:name w:val="网格型142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网格型15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网格型16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网格型19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网格型110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4">
    <w:name w:val="Table Normal4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4">
    <w:name w:val="Table Normal13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4">
    <w:name w:val="网格型24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网格型12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网格型21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网格型5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网格型63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网格型73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网格型83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网格型1113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网格型93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网格型103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网格型133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网格型143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4">
    <w:name w:val="网格型15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
    <w:name w:val="网格型16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4">
    <w:name w:val="Table Normal2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4">
    <w:name w:val="Table Normal11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4">
    <w:name w:val="网格型2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网格型112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网格型12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网格型21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网格型5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网格型61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网格型71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网格型8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网格型1111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网格型9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网格型101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网格型131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网格型141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彩色型 14"/>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3">
    <w:name w:val="网格型115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网格型20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4">
    <w:name w:val="Table Normal5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4">
    <w:name w:val="Table Normal14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3">
    <w:name w:val="网格型25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网格型116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
    <w:name w:val="Table Normal6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3">
    <w:name w:val="Table Normal15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3">
    <w:name w:val="网格型26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网格型117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网格型124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网格型214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网格型314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网格型54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网格型64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网格型74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
    <w:name w:val="网格型84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网格型1114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网格型94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3">
    <w:name w:val="网格型104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网格型134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网格型144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网格型153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网格型163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3">
    <w:name w:val="Table Normal22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3">
    <w:name w:val="Table Normal112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3">
    <w:name w:val="网格型22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网格型112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网格型12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
    <w:name w:val="网格型21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网格型51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网格型61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网格型712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
    <w:name w:val="网格型81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网格型11112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3">
    <w:name w:val="网格型912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3">
    <w:name w:val="网格型1012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网格型1312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3">
    <w:name w:val="网格型1412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网格型17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网格型18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
    <w:name w:val="Table Normal3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3">
    <w:name w:val="Table Normal12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3">
    <w:name w:val="网格型2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网格型113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网格型3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网格型12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网格型21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
    <w:name w:val="网格型31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网格型5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网格型62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网格型72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网格型82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网格型1112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网格型92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网格型102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网格型132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网格型142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网格型15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网格型16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网格型19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
    <w:name w:val="网格型110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3">
    <w:name w:val="Table Normal4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3">
    <w:name w:val="Table Normal13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3">
    <w:name w:val="网格型24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网格型114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网格型34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网格型12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网格型21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3">
    <w:name w:val="网格型31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网格型43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网格型53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网格型63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网格型73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网格型83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网格型1113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网格型93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网格型103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网格型133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网格型143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网格型152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网格型162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3">
    <w:name w:val="Table Normal21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3">
    <w:name w:val="Table Normal11113"/>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3">
    <w:name w:val="网格型22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网格型1121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
    <w:name w:val="网格型32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网格型121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
    <w:name w:val="网格型211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3">
    <w:name w:val="网格型311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网格型5111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网格型611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网格型7111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网格型81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网格型11111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
    <w:name w:val="网格型91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
    <w:name w:val="网格型1011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网格型1311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网格型141113"/>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彩色型 113"/>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3">
    <w:name w:val="网格型332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3">
    <w:name w:val="不明显强调2"/>
    <w:uiPriority w:val="19"/>
    <w:semiHidden/>
    <w:qFormat/>
    <w:rPr>
      <w:i/>
    </w:rPr>
  </w:style>
  <w:style w:type="character" w:customStyle="1" w:styleId="2f4">
    <w:name w:val="明显强调2"/>
    <w:uiPriority w:val="21"/>
    <w:semiHidden/>
    <w:qFormat/>
    <w:rPr>
      <w:b/>
      <w:i/>
      <w:color w:val="ED7D31"/>
      <w:spacing w:val="10"/>
    </w:rPr>
  </w:style>
  <w:style w:type="character" w:customStyle="1" w:styleId="2f5">
    <w:name w:val="不明显参考2"/>
    <w:uiPriority w:val="31"/>
    <w:semiHidden/>
    <w:qFormat/>
    <w:rPr>
      <w:b/>
    </w:rPr>
  </w:style>
  <w:style w:type="character" w:customStyle="1" w:styleId="2f6">
    <w:name w:val="明显参考2"/>
    <w:uiPriority w:val="32"/>
    <w:semiHidden/>
    <w:qFormat/>
    <w:rPr>
      <w:b/>
      <w:bCs/>
      <w:smallCaps/>
      <w:spacing w:val="5"/>
      <w:sz w:val="22"/>
      <w:szCs w:val="22"/>
      <w:u w:val="single"/>
    </w:rPr>
  </w:style>
  <w:style w:type="character" w:customStyle="1" w:styleId="2f7">
    <w:name w:val="书籍标题2"/>
    <w:uiPriority w:val="33"/>
    <w:semiHidden/>
    <w:qFormat/>
    <w:rPr>
      <w:rFonts w:ascii="Calibri Light" w:eastAsia="宋体" w:hAnsi="Calibri Light" w:cs="Times New Roman"/>
      <w:i/>
      <w:iCs/>
      <w:sz w:val="20"/>
      <w:szCs w:val="20"/>
    </w:rPr>
  </w:style>
  <w:style w:type="character" w:customStyle="1" w:styleId="3f1">
    <w:name w:val="明显强调3"/>
    <w:basedOn w:val="a0"/>
    <w:uiPriority w:val="21"/>
    <w:semiHidden/>
    <w:qFormat/>
    <w:rPr>
      <w:i/>
      <w:iCs/>
      <w:color w:val="4F81BD" w:themeColor="accent1"/>
    </w:rPr>
  </w:style>
  <w:style w:type="character" w:customStyle="1" w:styleId="3f2">
    <w:name w:val="书籍标题3"/>
    <w:basedOn w:val="a0"/>
    <w:uiPriority w:val="33"/>
    <w:semiHidden/>
    <w:qFormat/>
    <w:rPr>
      <w:b/>
      <w:bCs/>
      <w:i/>
      <w:iCs/>
      <w:spacing w:val="5"/>
    </w:rPr>
  </w:style>
  <w:style w:type="table" w:customStyle="1" w:styleId="271">
    <w:name w:val="网格型2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网格型28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网格型20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网格型20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标题 11"/>
    <w:basedOn w:val="a"/>
    <w:next w:val="a"/>
    <w:uiPriority w:val="9"/>
    <w:semiHidden/>
    <w:qFormat/>
    <w:pPr>
      <w:keepNext/>
      <w:keepLines/>
      <w:spacing w:before="340" w:after="330" w:line="578" w:lineRule="auto"/>
      <w:outlineLvl w:val="0"/>
    </w:pPr>
    <w:rPr>
      <w:b/>
      <w:bCs/>
      <w:kern w:val="44"/>
      <w:sz w:val="44"/>
      <w:szCs w:val="44"/>
    </w:rPr>
  </w:style>
  <w:style w:type="paragraph" w:customStyle="1" w:styleId="318">
    <w:name w:val="标题 31"/>
    <w:basedOn w:val="a"/>
    <w:next w:val="a"/>
    <w:uiPriority w:val="9"/>
    <w:semiHidden/>
    <w:qFormat/>
    <w:pPr>
      <w:keepNext/>
      <w:keepLines/>
      <w:spacing w:before="260" w:after="260" w:line="416" w:lineRule="auto"/>
      <w:outlineLvl w:val="2"/>
    </w:pPr>
    <w:rPr>
      <w:b/>
      <w:bCs/>
      <w:sz w:val="32"/>
      <w:szCs w:val="32"/>
    </w:rPr>
  </w:style>
  <w:style w:type="paragraph" w:customStyle="1" w:styleId="416">
    <w:name w:val="标题 41"/>
    <w:basedOn w:val="a"/>
    <w:next w:val="a"/>
    <w:uiPriority w:val="9"/>
    <w:semiHidden/>
    <w:qFormat/>
    <w:pPr>
      <w:keepNext/>
      <w:keepLines/>
      <w:spacing w:before="280" w:after="290" w:line="376" w:lineRule="auto"/>
      <w:outlineLvl w:val="3"/>
    </w:pPr>
    <w:rPr>
      <w:rFonts w:ascii="Cambria" w:hAnsi="Cambria" w:cs="Times New Roman"/>
      <w:b/>
      <w:bCs/>
      <w:sz w:val="28"/>
      <w:szCs w:val="28"/>
    </w:rPr>
  </w:style>
  <w:style w:type="paragraph" w:customStyle="1" w:styleId="716">
    <w:name w:val="标题 71"/>
    <w:basedOn w:val="a"/>
    <w:next w:val="a"/>
    <w:uiPriority w:val="9"/>
    <w:semiHidden/>
    <w:qFormat/>
    <w:pPr>
      <w:outlineLvl w:val="6"/>
    </w:pPr>
    <w:rPr>
      <w:rFonts w:ascii="Calibri" w:hAnsi="Calibri" w:cs="Times New Roman"/>
      <w:b/>
      <w:smallCaps/>
      <w:color w:val="C0504D"/>
      <w:spacing w:val="10"/>
    </w:rPr>
  </w:style>
  <w:style w:type="paragraph" w:customStyle="1" w:styleId="816">
    <w:name w:val="标题 81"/>
    <w:basedOn w:val="a"/>
    <w:next w:val="a"/>
    <w:uiPriority w:val="9"/>
    <w:semiHidden/>
    <w:qFormat/>
    <w:pPr>
      <w:outlineLvl w:val="7"/>
    </w:pPr>
    <w:rPr>
      <w:rFonts w:ascii="Calibri" w:hAnsi="Calibri" w:cs="Times New Roman"/>
      <w:b/>
      <w:i/>
      <w:smallCaps/>
      <w:color w:val="943634"/>
    </w:rPr>
  </w:style>
  <w:style w:type="paragraph" w:customStyle="1" w:styleId="916">
    <w:name w:val="标题 91"/>
    <w:basedOn w:val="a"/>
    <w:next w:val="a"/>
    <w:uiPriority w:val="9"/>
    <w:semiHidden/>
    <w:qFormat/>
    <w:pPr>
      <w:outlineLvl w:val="8"/>
    </w:pPr>
    <w:rPr>
      <w:rFonts w:ascii="Calibri" w:hAnsi="Calibri" w:cs="Times New Roman"/>
      <w:b/>
      <w:i/>
      <w:smallCaps/>
      <w:color w:val="622423"/>
    </w:rPr>
  </w:style>
  <w:style w:type="paragraph" w:customStyle="1" w:styleId="1ff0">
    <w:name w:val="页眉1"/>
    <w:basedOn w:val="a"/>
    <w:next w:val="ae"/>
    <w:link w:val="afff4"/>
    <w:uiPriority w:val="99"/>
    <w:semiHidden/>
    <w:qFormat/>
    <w:pPr>
      <w:pBdr>
        <w:bottom w:val="single" w:sz="6" w:space="1" w:color="auto"/>
      </w:pBdr>
      <w:tabs>
        <w:tab w:val="center" w:pos="4153"/>
        <w:tab w:val="right" w:pos="8306"/>
      </w:tabs>
      <w:snapToGrid w:val="0"/>
      <w:jc w:val="center"/>
    </w:pPr>
    <w:rPr>
      <w:sz w:val="18"/>
      <w:szCs w:val="18"/>
    </w:rPr>
  </w:style>
  <w:style w:type="character" w:customStyle="1" w:styleId="afff4">
    <w:name w:val="页眉 字符"/>
    <w:basedOn w:val="a0"/>
    <w:link w:val="1ff0"/>
    <w:uiPriority w:val="99"/>
    <w:semiHidden/>
    <w:qFormat/>
    <w:rsid w:val="008C1C67"/>
    <w:rPr>
      <w:rFonts w:ascii="宋体" w:hAnsi="宋体" w:cs="宋体"/>
      <w:sz w:val="18"/>
      <w:szCs w:val="18"/>
    </w:rPr>
  </w:style>
  <w:style w:type="paragraph" w:customStyle="1" w:styleId="1ff1">
    <w:name w:val="页脚1"/>
    <w:basedOn w:val="a"/>
    <w:next w:val="ad"/>
    <w:link w:val="2f8"/>
    <w:uiPriority w:val="99"/>
    <w:semiHidden/>
    <w:qFormat/>
    <w:pPr>
      <w:tabs>
        <w:tab w:val="center" w:pos="4153"/>
        <w:tab w:val="right" w:pos="8306"/>
      </w:tabs>
      <w:snapToGrid w:val="0"/>
    </w:pPr>
    <w:rPr>
      <w:sz w:val="18"/>
      <w:szCs w:val="18"/>
    </w:rPr>
  </w:style>
  <w:style w:type="character" w:customStyle="1" w:styleId="2f8">
    <w:name w:val="页脚 字符2"/>
    <w:basedOn w:val="a0"/>
    <w:link w:val="1ff1"/>
    <w:uiPriority w:val="99"/>
    <w:semiHidden/>
    <w:qFormat/>
    <w:rsid w:val="008C1C67"/>
    <w:rPr>
      <w:rFonts w:ascii="宋体" w:hAnsi="宋体" w:cs="宋体"/>
      <w:sz w:val="18"/>
      <w:szCs w:val="18"/>
    </w:rPr>
  </w:style>
  <w:style w:type="table" w:customStyle="1" w:styleId="129">
    <w:name w:val="网格型12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文档结构图1"/>
    <w:basedOn w:val="a"/>
    <w:next w:val="a5"/>
    <w:link w:val="afff5"/>
    <w:uiPriority w:val="99"/>
    <w:semiHidden/>
    <w:qFormat/>
    <w:rPr>
      <w:sz w:val="18"/>
      <w:szCs w:val="18"/>
    </w:rPr>
  </w:style>
  <w:style w:type="character" w:customStyle="1" w:styleId="afff5">
    <w:name w:val="文档结构图 字符"/>
    <w:basedOn w:val="a0"/>
    <w:link w:val="1ff2"/>
    <w:uiPriority w:val="99"/>
    <w:semiHidden/>
    <w:qFormat/>
    <w:rsid w:val="008C1C67"/>
    <w:rPr>
      <w:rFonts w:ascii="宋体" w:hAnsi="宋体" w:cs="宋体"/>
      <w:sz w:val="18"/>
      <w:szCs w:val="18"/>
    </w:rPr>
  </w:style>
  <w:style w:type="paragraph" w:customStyle="1" w:styleId="1ff3">
    <w:name w:val="列表段落1"/>
    <w:basedOn w:val="a"/>
    <w:next w:val="aff2"/>
    <w:uiPriority w:val="34"/>
    <w:semiHidden/>
    <w:qFormat/>
    <w:pPr>
      <w:ind w:firstLineChars="200" w:firstLine="420"/>
    </w:pPr>
  </w:style>
  <w:style w:type="paragraph" w:customStyle="1" w:styleId="1ff4">
    <w:name w:val="批注主题1"/>
    <w:basedOn w:val="a6"/>
    <w:next w:val="a6"/>
    <w:uiPriority w:val="99"/>
    <w:semiHidden/>
    <w:qFormat/>
    <w:rPr>
      <w:b/>
      <w:bCs/>
    </w:rPr>
  </w:style>
  <w:style w:type="table" w:customStyle="1" w:styleId="TableNormal10">
    <w:name w:val="Table Normal10"/>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9">
    <w:name w:val="Table Normal19"/>
    <w:uiPriority w:val="2"/>
    <w:semiHidden/>
    <w:unhideWhenUsed/>
    <w:qFormat/>
    <w:pPr>
      <w:widowControl w:val="0"/>
    </w:pPr>
    <w:rPr>
      <w:sz w:val="22"/>
      <w:lang w:eastAsia="en-US"/>
    </w:rPr>
    <w:tblPr>
      <w:tblCellMar>
        <w:top w:w="0" w:type="dxa"/>
        <w:left w:w="0" w:type="dxa"/>
        <w:bottom w:w="0" w:type="dxa"/>
        <w:right w:w="0" w:type="dxa"/>
      </w:tblCellMar>
    </w:tblPr>
  </w:style>
  <w:style w:type="paragraph" w:customStyle="1" w:styleId="1ff5">
    <w:name w:val="脚注文本1"/>
    <w:basedOn w:val="a"/>
    <w:next w:val="af2"/>
    <w:link w:val="afff6"/>
    <w:uiPriority w:val="99"/>
    <w:semiHidden/>
    <w:qFormat/>
    <w:pPr>
      <w:snapToGrid w:val="0"/>
    </w:pPr>
    <w:rPr>
      <w:sz w:val="18"/>
      <w:szCs w:val="18"/>
    </w:rPr>
  </w:style>
  <w:style w:type="character" w:customStyle="1" w:styleId="afff6">
    <w:name w:val="脚注文本 字符"/>
    <w:basedOn w:val="a0"/>
    <w:link w:val="1ff5"/>
    <w:uiPriority w:val="99"/>
    <w:semiHidden/>
    <w:qFormat/>
    <w:rsid w:val="008C1C67"/>
    <w:rPr>
      <w:rFonts w:ascii="宋体" w:hAnsi="宋体" w:cs="宋体"/>
      <w:sz w:val="18"/>
      <w:szCs w:val="18"/>
    </w:rPr>
  </w:style>
  <w:style w:type="table" w:customStyle="1" w:styleId="219">
    <w:name w:val="网格型21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网格型111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6">
    <w:name w:val="正文文本1"/>
    <w:basedOn w:val="a"/>
    <w:next w:val="a7"/>
    <w:link w:val="afff7"/>
    <w:semiHidden/>
    <w:qFormat/>
    <w:pPr>
      <w:spacing w:before="134"/>
      <w:ind w:left="240"/>
    </w:pPr>
    <w:rPr>
      <w:lang w:eastAsia="en-US"/>
    </w:rPr>
  </w:style>
  <w:style w:type="character" w:customStyle="1" w:styleId="afff7">
    <w:name w:val="正文文本 字符"/>
    <w:basedOn w:val="a0"/>
    <w:link w:val="1ff6"/>
    <w:semiHidden/>
    <w:qFormat/>
    <w:rsid w:val="008C1C67"/>
    <w:rPr>
      <w:rFonts w:ascii="宋体" w:hAnsi="宋体" w:cs="宋体"/>
      <w:sz w:val="24"/>
      <w:szCs w:val="24"/>
      <w:lang w:eastAsia="en-US"/>
    </w:rPr>
  </w:style>
  <w:style w:type="table" w:customStyle="1" w:styleId="3180">
    <w:name w:val="网格型31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标题11"/>
    <w:basedOn w:val="1"/>
    <w:next w:val="a"/>
    <w:uiPriority w:val="39"/>
    <w:semiHidden/>
    <w:qFormat/>
  </w:style>
  <w:style w:type="paragraph" w:customStyle="1" w:styleId="TOC110">
    <w:name w:val="TOC 11"/>
    <w:basedOn w:val="a"/>
    <w:next w:val="a"/>
    <w:uiPriority w:val="39"/>
    <w:semiHidden/>
    <w:qFormat/>
    <w:pPr>
      <w:tabs>
        <w:tab w:val="right" w:leader="dot" w:pos="8302"/>
      </w:tabs>
    </w:pPr>
    <w:rPr>
      <w:rFonts w:ascii="Arial" w:hAnsi="Arial"/>
      <w:b/>
    </w:rPr>
  </w:style>
  <w:style w:type="paragraph" w:customStyle="1" w:styleId="TOC31">
    <w:name w:val="TOC 31"/>
    <w:basedOn w:val="a"/>
    <w:next w:val="a"/>
    <w:uiPriority w:val="39"/>
    <w:semiHidden/>
    <w:qFormat/>
    <w:pPr>
      <w:ind w:leftChars="400" w:left="840"/>
    </w:pPr>
  </w:style>
  <w:style w:type="character" w:customStyle="1" w:styleId="1ff7">
    <w:name w:val="超链接1"/>
    <w:basedOn w:val="a0"/>
    <w:uiPriority w:val="99"/>
    <w:semiHidden/>
    <w:qFormat/>
    <w:rPr>
      <w:color w:val="0000FF"/>
      <w:u w:val="single"/>
    </w:rPr>
  </w:style>
  <w:style w:type="paragraph" w:customStyle="1" w:styleId="21a">
    <w:name w:val="正文文本缩进 21"/>
    <w:basedOn w:val="a"/>
    <w:next w:val="22"/>
    <w:uiPriority w:val="99"/>
    <w:semiHidden/>
    <w:qFormat/>
    <w:pPr>
      <w:spacing w:after="120" w:line="480" w:lineRule="auto"/>
      <w:ind w:leftChars="200" w:left="420"/>
    </w:pPr>
  </w:style>
  <w:style w:type="paragraph" w:customStyle="1" w:styleId="21b">
    <w:name w:val="正文文本 21"/>
    <w:basedOn w:val="a"/>
    <w:next w:val="24"/>
    <w:uiPriority w:val="99"/>
    <w:semiHidden/>
    <w:qFormat/>
    <w:pPr>
      <w:spacing w:after="120" w:line="480" w:lineRule="auto"/>
    </w:pPr>
  </w:style>
  <w:style w:type="paragraph" w:customStyle="1" w:styleId="1ff8">
    <w:name w:val="日期1"/>
    <w:basedOn w:val="a"/>
    <w:next w:val="a"/>
    <w:uiPriority w:val="99"/>
    <w:semiHidden/>
    <w:qFormat/>
    <w:rPr>
      <w:sz w:val="28"/>
    </w:rPr>
  </w:style>
  <w:style w:type="table" w:customStyle="1" w:styleId="12100">
    <w:name w:val="网格型12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网格型21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网格型31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网格型4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网格型5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网格型6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网格型7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网格型8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网格型11110"/>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网格型9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71">
    <w:name w:val="TOC 71"/>
    <w:basedOn w:val="a"/>
    <w:next w:val="a"/>
    <w:uiPriority w:val="39"/>
    <w:semiHidden/>
    <w:qFormat/>
    <w:pPr>
      <w:ind w:left="1260"/>
    </w:pPr>
  </w:style>
  <w:style w:type="paragraph" w:customStyle="1" w:styleId="817">
    <w:name w:val="索引 81"/>
    <w:basedOn w:val="a"/>
    <w:next w:val="a"/>
    <w:uiPriority w:val="99"/>
    <w:semiHidden/>
    <w:qFormat/>
    <w:pPr>
      <w:ind w:left="1680" w:hanging="210"/>
    </w:pPr>
  </w:style>
  <w:style w:type="paragraph" w:customStyle="1" w:styleId="516">
    <w:name w:val="索引 51"/>
    <w:basedOn w:val="a"/>
    <w:next w:val="a"/>
    <w:uiPriority w:val="99"/>
    <w:semiHidden/>
    <w:qFormat/>
    <w:pPr>
      <w:ind w:left="1050" w:hanging="210"/>
    </w:pPr>
  </w:style>
  <w:style w:type="paragraph" w:customStyle="1" w:styleId="616">
    <w:name w:val="索引 61"/>
    <w:basedOn w:val="a"/>
    <w:next w:val="a"/>
    <w:uiPriority w:val="99"/>
    <w:semiHidden/>
    <w:qFormat/>
    <w:pPr>
      <w:ind w:left="1260" w:hanging="210"/>
    </w:pPr>
  </w:style>
  <w:style w:type="paragraph" w:customStyle="1" w:styleId="417">
    <w:name w:val="索引 41"/>
    <w:basedOn w:val="a"/>
    <w:next w:val="a"/>
    <w:uiPriority w:val="99"/>
    <w:semiHidden/>
    <w:qFormat/>
    <w:pPr>
      <w:ind w:left="840" w:hanging="210"/>
    </w:pPr>
  </w:style>
  <w:style w:type="paragraph" w:customStyle="1" w:styleId="TOC51">
    <w:name w:val="TOC 51"/>
    <w:basedOn w:val="a"/>
    <w:next w:val="a"/>
    <w:uiPriority w:val="39"/>
    <w:semiHidden/>
    <w:qFormat/>
    <w:pPr>
      <w:ind w:left="840"/>
    </w:pPr>
  </w:style>
  <w:style w:type="paragraph" w:customStyle="1" w:styleId="TOC81">
    <w:name w:val="TOC 81"/>
    <w:basedOn w:val="a"/>
    <w:next w:val="a"/>
    <w:uiPriority w:val="39"/>
    <w:semiHidden/>
    <w:qFormat/>
    <w:pPr>
      <w:ind w:left="1470"/>
    </w:pPr>
  </w:style>
  <w:style w:type="paragraph" w:customStyle="1" w:styleId="31a">
    <w:name w:val="索引 31"/>
    <w:basedOn w:val="a"/>
    <w:next w:val="a"/>
    <w:uiPriority w:val="99"/>
    <w:semiHidden/>
    <w:qFormat/>
    <w:pPr>
      <w:ind w:left="630" w:hanging="210"/>
    </w:pPr>
  </w:style>
  <w:style w:type="paragraph" w:customStyle="1" w:styleId="1ff9">
    <w:name w:val="尾注文本1"/>
    <w:basedOn w:val="a"/>
    <w:next w:val="ab"/>
    <w:link w:val="afff8"/>
    <w:uiPriority w:val="99"/>
    <w:semiHidden/>
    <w:qFormat/>
    <w:pPr>
      <w:snapToGrid w:val="0"/>
    </w:pPr>
  </w:style>
  <w:style w:type="character" w:customStyle="1" w:styleId="afff8">
    <w:name w:val="尾注文本 字符"/>
    <w:basedOn w:val="a0"/>
    <w:link w:val="1ff9"/>
    <w:uiPriority w:val="99"/>
    <w:semiHidden/>
    <w:qFormat/>
    <w:rsid w:val="008C1C67"/>
    <w:rPr>
      <w:rFonts w:ascii="宋体" w:hAnsi="宋体" w:cs="宋体"/>
      <w:sz w:val="24"/>
      <w:szCs w:val="24"/>
    </w:rPr>
  </w:style>
  <w:style w:type="paragraph" w:customStyle="1" w:styleId="TOC41">
    <w:name w:val="TOC 41"/>
    <w:basedOn w:val="a"/>
    <w:next w:val="a"/>
    <w:uiPriority w:val="39"/>
    <w:semiHidden/>
    <w:qFormat/>
    <w:pPr>
      <w:ind w:left="630"/>
    </w:pPr>
  </w:style>
  <w:style w:type="paragraph" w:customStyle="1" w:styleId="11b">
    <w:name w:val="索引 11"/>
    <w:basedOn w:val="a"/>
    <w:next w:val="a"/>
    <w:uiPriority w:val="99"/>
    <w:semiHidden/>
    <w:qFormat/>
  </w:style>
  <w:style w:type="paragraph" w:customStyle="1" w:styleId="1ffa">
    <w:name w:val="索引标题1"/>
    <w:basedOn w:val="a"/>
    <w:next w:val="12"/>
    <w:uiPriority w:val="99"/>
    <w:semiHidden/>
    <w:qFormat/>
  </w:style>
  <w:style w:type="paragraph" w:customStyle="1" w:styleId="1ffb">
    <w:name w:val="副标题1"/>
    <w:basedOn w:val="a"/>
    <w:next w:val="a"/>
    <w:uiPriority w:val="11"/>
    <w:semiHidden/>
    <w:qFormat/>
    <w:pPr>
      <w:spacing w:after="720"/>
      <w:jc w:val="right"/>
    </w:pPr>
    <w:rPr>
      <w:rFonts w:ascii="Cambria" w:hAnsi="Cambria" w:cs="Times New Roman"/>
    </w:rPr>
  </w:style>
  <w:style w:type="paragraph" w:customStyle="1" w:styleId="TOC61">
    <w:name w:val="TOC 61"/>
    <w:basedOn w:val="a"/>
    <w:next w:val="a"/>
    <w:uiPriority w:val="39"/>
    <w:semiHidden/>
    <w:qFormat/>
    <w:pPr>
      <w:ind w:left="1050"/>
    </w:pPr>
  </w:style>
  <w:style w:type="paragraph" w:customStyle="1" w:styleId="717">
    <w:name w:val="索引 71"/>
    <w:basedOn w:val="a"/>
    <w:next w:val="a"/>
    <w:uiPriority w:val="99"/>
    <w:semiHidden/>
    <w:qFormat/>
    <w:pPr>
      <w:ind w:left="1470" w:hanging="210"/>
    </w:pPr>
  </w:style>
  <w:style w:type="paragraph" w:customStyle="1" w:styleId="917">
    <w:name w:val="索引 91"/>
    <w:basedOn w:val="a"/>
    <w:next w:val="a"/>
    <w:uiPriority w:val="99"/>
    <w:semiHidden/>
    <w:qFormat/>
    <w:pPr>
      <w:ind w:left="1890" w:hanging="210"/>
    </w:pPr>
  </w:style>
  <w:style w:type="paragraph" w:customStyle="1" w:styleId="1ffc">
    <w:name w:val="图表目录1"/>
    <w:basedOn w:val="a"/>
    <w:next w:val="a"/>
    <w:uiPriority w:val="99"/>
    <w:semiHidden/>
    <w:qFormat/>
    <w:pPr>
      <w:ind w:left="420" w:hanging="420"/>
    </w:pPr>
  </w:style>
  <w:style w:type="paragraph" w:customStyle="1" w:styleId="TOC91">
    <w:name w:val="TOC 91"/>
    <w:basedOn w:val="a"/>
    <w:next w:val="a"/>
    <w:uiPriority w:val="39"/>
    <w:semiHidden/>
    <w:qFormat/>
    <w:pPr>
      <w:ind w:left="1680"/>
    </w:pPr>
  </w:style>
  <w:style w:type="paragraph" w:customStyle="1" w:styleId="21c">
    <w:name w:val="索引 21"/>
    <w:basedOn w:val="a"/>
    <w:next w:val="a"/>
    <w:uiPriority w:val="99"/>
    <w:semiHidden/>
    <w:qFormat/>
    <w:pPr>
      <w:ind w:left="420" w:hanging="210"/>
    </w:pPr>
  </w:style>
  <w:style w:type="paragraph" w:customStyle="1" w:styleId="1ffd">
    <w:name w:val="标题1"/>
    <w:basedOn w:val="a"/>
    <w:next w:val="a"/>
    <w:uiPriority w:val="99"/>
    <w:semiHidden/>
    <w:qFormat/>
    <w:pPr>
      <w:pBdr>
        <w:top w:val="single" w:sz="12" w:space="1" w:color="C0504D"/>
      </w:pBdr>
      <w:jc w:val="right"/>
    </w:pPr>
    <w:rPr>
      <w:rFonts w:ascii="Calibri" w:hAnsi="Calibri" w:cs="Times New Roman"/>
      <w:smallCaps/>
      <w:sz w:val="48"/>
      <w:szCs w:val="48"/>
    </w:rPr>
  </w:style>
  <w:style w:type="table" w:customStyle="1" w:styleId="108">
    <w:name w:val="网格型108"/>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e">
    <w:name w:val="明显引用1"/>
    <w:basedOn w:val="a"/>
    <w:next w:val="a"/>
    <w:uiPriority w:val="30"/>
    <w:semiHidden/>
    <w:qFormat/>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Calibri" w:hAnsi="Calibri" w:cs="Times New Roman"/>
      <w:b/>
      <w:i/>
      <w:color w:val="FFFFFF"/>
    </w:rPr>
  </w:style>
  <w:style w:type="table" w:customStyle="1" w:styleId="138">
    <w:name w:val="网格型138"/>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网格型148"/>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网格型15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网格型16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6">
    <w:name w:val="Table Normal1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60">
    <w:name w:val="网格型2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网格型11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网格型1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网格型2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网格型4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网格型5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0">
    <w:name w:val="网格型6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0">
    <w:name w:val="网格型7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0">
    <w:name w:val="网格型8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网格型1111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0">
    <w:name w:val="网格型9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
    <w:name w:val="网格型10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网格型13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网格型14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网格型17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网格型18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5">
    <w:name w:val="Table Normal3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5">
    <w:name w:val="Table Normal12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5">
    <w:name w:val="网格型2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网格型113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网格型3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网格型12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网格型2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网格型5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网格型6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网格型7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
    <w:name w:val="网格型8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
    <w:name w:val="网格型1112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5">
    <w:name w:val="网格型9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5">
    <w:name w:val="网格型102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
    <w:name w:val="网格型132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5">
    <w:name w:val="网格型142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网格型15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网格型16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网格型19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网格型110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5">
    <w:name w:val="Table Normal4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5">
    <w:name w:val="Table Normal13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5">
    <w:name w:val="网格型24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网格型114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
    <w:name w:val="网格型12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网格型21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5">
    <w:name w:val="网格型31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网格型5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网格型63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网格型73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5">
    <w:name w:val="网格型83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网格型1113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5">
    <w:name w:val="网格型93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5">
    <w:name w:val="网格型103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网格型133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5">
    <w:name w:val="网格型143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5">
    <w:name w:val="网格型15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5">
    <w:name w:val="网格型16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5">
    <w:name w:val="Table Normal2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5">
    <w:name w:val="Table Normal11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5">
    <w:name w:val="网格型2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网格型112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
    <w:name w:val="网格型12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网格型21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
    <w:name w:val="网格型31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网格型5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
    <w:name w:val="网格型61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网格型71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5">
    <w:name w:val="网格型8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网格型1111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5">
    <w:name w:val="网格型9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5">
    <w:name w:val="网格型101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5">
    <w:name w:val="网格型131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5">
    <w:name w:val="网格型141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彩色型 15"/>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4">
    <w:name w:val="网格型115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网格型20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5">
    <w:name w:val="Table Normal5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5">
    <w:name w:val="Table Normal14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4">
    <w:name w:val="网格型25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
    <w:name w:val="网格型116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4">
    <w:name w:val="Table Normal6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4">
    <w:name w:val="Table Normal15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4">
    <w:name w:val="网格型26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4">
    <w:name w:val="网格型117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
    <w:name w:val="网格型124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网格型214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4">
    <w:name w:val="网格型314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4">
    <w:name w:val="网格型54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4">
    <w:name w:val="网格型64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4">
    <w:name w:val="网格型74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4">
    <w:name w:val="网格型84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4">
    <w:name w:val="网格型1114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4">
    <w:name w:val="网格型94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4">
    <w:name w:val="网格型104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网格型134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4">
    <w:name w:val="网格型144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网格型153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网格型163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4">
    <w:name w:val="Table Normal22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4">
    <w:name w:val="Table Normal112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4">
    <w:name w:val="网格型22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4">
    <w:name w:val="网格型112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
    <w:name w:val="网格型12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4">
    <w:name w:val="网格型21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网格型31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
    <w:name w:val="网格型51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
    <w:name w:val="网格型61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网格型712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4">
    <w:name w:val="网格型81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网格型11112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4">
    <w:name w:val="网格型912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4">
    <w:name w:val="网格型1012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4">
    <w:name w:val="网格型1312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4">
    <w:name w:val="网格型1412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网格型17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网格型18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4">
    <w:name w:val="Table Normal3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4">
    <w:name w:val="Table Normal12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4">
    <w:name w:val="网格型2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网格型113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网格型3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网格型12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
    <w:name w:val="网格型21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4">
    <w:name w:val="网格型31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网格型5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网格型62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网格型72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
    <w:name w:val="网格型82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网格型1112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网格型92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
    <w:name w:val="网格型102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网格型132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
    <w:name w:val="网格型142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网格型15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网格型16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网格型19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4">
    <w:name w:val="网格型110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4">
    <w:name w:val="Table Normal4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4">
    <w:name w:val="Table Normal13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4">
    <w:name w:val="网格型24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网格型114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4">
    <w:name w:val="网格型34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4">
    <w:name w:val="网格型12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
    <w:name w:val="网格型21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4">
    <w:name w:val="网格型31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4">
    <w:name w:val="网格型43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网格型53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4">
    <w:name w:val="网格型63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4">
    <w:name w:val="网格型73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4">
    <w:name w:val="网格型83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4">
    <w:name w:val="网格型1113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4">
    <w:name w:val="网格型93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4">
    <w:name w:val="网格型103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4">
    <w:name w:val="网格型133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4">
    <w:name w:val="网格型143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
    <w:name w:val="网格型152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
    <w:name w:val="网格型162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4">
    <w:name w:val="Table Normal21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4">
    <w:name w:val="Table Normal11114"/>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4">
    <w:name w:val="网格型22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网格型1121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4">
    <w:name w:val="网格型32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
    <w:name w:val="网格型121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4">
    <w:name w:val="网格型211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4">
    <w:name w:val="网格型311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4">
    <w:name w:val="网格型5111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4">
    <w:name w:val="网格型611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网格型7111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4">
    <w:name w:val="网格型81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4">
    <w:name w:val="网格型11111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4">
    <w:name w:val="网格型91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4">
    <w:name w:val="网格型1011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4">
    <w:name w:val="网格型1311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4">
    <w:name w:val="网格型141114"/>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彩色型 114"/>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4">
    <w:name w:val="网格型3324"/>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
    <w:name w:val="标题 1 字符1"/>
    <w:basedOn w:val="a0"/>
    <w:uiPriority w:val="9"/>
    <w:semiHidden/>
    <w:qFormat/>
    <w:rPr>
      <w:b/>
      <w:bCs/>
      <w:kern w:val="44"/>
      <w:sz w:val="44"/>
      <w:szCs w:val="44"/>
    </w:rPr>
  </w:style>
  <w:style w:type="character" w:customStyle="1" w:styleId="31b">
    <w:name w:val="标题 3 字符1"/>
    <w:basedOn w:val="a0"/>
    <w:uiPriority w:val="9"/>
    <w:semiHidden/>
    <w:qFormat/>
    <w:rPr>
      <w:b/>
      <w:bCs/>
      <w:sz w:val="32"/>
      <w:szCs w:val="32"/>
    </w:rPr>
  </w:style>
  <w:style w:type="character" w:customStyle="1" w:styleId="418">
    <w:name w:val="标题 4 字符1"/>
    <w:basedOn w:val="a0"/>
    <w:uiPriority w:val="9"/>
    <w:semiHidden/>
    <w:qFormat/>
    <w:rPr>
      <w:rFonts w:ascii="等线 Light" w:eastAsia="等线 Light" w:hAnsi="等线 Light" w:cs="Times New Roman"/>
      <w:b/>
      <w:bCs/>
      <w:sz w:val="28"/>
      <w:szCs w:val="28"/>
    </w:rPr>
  </w:style>
  <w:style w:type="character" w:customStyle="1" w:styleId="718">
    <w:name w:val="标题 7 字符1"/>
    <w:basedOn w:val="a0"/>
    <w:uiPriority w:val="9"/>
    <w:semiHidden/>
    <w:qFormat/>
    <w:rPr>
      <w:b/>
      <w:bCs/>
      <w:sz w:val="24"/>
      <w:szCs w:val="24"/>
    </w:rPr>
  </w:style>
  <w:style w:type="character" w:customStyle="1" w:styleId="818">
    <w:name w:val="标题 8 字符1"/>
    <w:basedOn w:val="a0"/>
    <w:uiPriority w:val="9"/>
    <w:semiHidden/>
    <w:qFormat/>
    <w:rPr>
      <w:rFonts w:ascii="等线 Light" w:eastAsia="等线 Light" w:hAnsi="等线 Light" w:cs="Times New Roman"/>
      <w:sz w:val="24"/>
      <w:szCs w:val="24"/>
    </w:rPr>
  </w:style>
  <w:style w:type="character" w:customStyle="1" w:styleId="918">
    <w:name w:val="标题 9 字符1"/>
    <w:basedOn w:val="a0"/>
    <w:uiPriority w:val="9"/>
    <w:semiHidden/>
    <w:qFormat/>
    <w:rPr>
      <w:rFonts w:ascii="等线 Light" w:eastAsia="等线 Light" w:hAnsi="等线 Light" w:cs="Times New Roman"/>
      <w:szCs w:val="21"/>
    </w:rPr>
  </w:style>
  <w:style w:type="character" w:customStyle="1" w:styleId="Char20">
    <w:name w:val="批注主题 Char2"/>
    <w:basedOn w:val="Char1"/>
    <w:uiPriority w:val="99"/>
    <w:semiHidden/>
    <w:qFormat/>
    <w:rPr>
      <w:rFonts w:ascii="宋体" w:hAnsi="宋体" w:cs="宋体"/>
      <w:b/>
      <w:bCs/>
      <w:sz w:val="24"/>
      <w:szCs w:val="24"/>
    </w:rPr>
  </w:style>
  <w:style w:type="character" w:customStyle="1" w:styleId="2f9">
    <w:name w:val="批注主题 字符2"/>
    <w:basedOn w:val="Char1"/>
    <w:uiPriority w:val="99"/>
    <w:semiHidden/>
    <w:qFormat/>
    <w:rPr>
      <w:rFonts w:ascii="宋体" w:hAnsi="宋体" w:cs="宋体"/>
      <w:b/>
      <w:bCs/>
      <w:sz w:val="24"/>
      <w:szCs w:val="24"/>
    </w:rPr>
  </w:style>
  <w:style w:type="character" w:customStyle="1" w:styleId="2Char20">
    <w:name w:val="正文文本 2 Char2"/>
    <w:basedOn w:val="a0"/>
    <w:semiHidden/>
    <w:qFormat/>
  </w:style>
  <w:style w:type="character" w:customStyle="1" w:styleId="227">
    <w:name w:val="正文文本 2 字符2"/>
    <w:basedOn w:val="a0"/>
    <w:uiPriority w:val="99"/>
    <w:semiHidden/>
    <w:qFormat/>
  </w:style>
  <w:style w:type="character" w:customStyle="1" w:styleId="Char21">
    <w:name w:val="日期 Char2"/>
    <w:basedOn w:val="a0"/>
    <w:semiHidden/>
    <w:qFormat/>
  </w:style>
  <w:style w:type="character" w:customStyle="1" w:styleId="3f3">
    <w:name w:val="日期 字符3"/>
    <w:basedOn w:val="a0"/>
    <w:uiPriority w:val="99"/>
    <w:semiHidden/>
    <w:qFormat/>
  </w:style>
  <w:style w:type="character" w:customStyle="1" w:styleId="2Char21">
    <w:name w:val="正文文本缩进 2 Char2"/>
    <w:basedOn w:val="a0"/>
    <w:semiHidden/>
    <w:qFormat/>
  </w:style>
  <w:style w:type="character" w:customStyle="1" w:styleId="228">
    <w:name w:val="正文文本缩进 2 字符2"/>
    <w:basedOn w:val="a0"/>
    <w:uiPriority w:val="99"/>
    <w:semiHidden/>
    <w:qFormat/>
  </w:style>
  <w:style w:type="character" w:customStyle="1" w:styleId="Char16">
    <w:name w:val="副标题 Char1"/>
    <w:basedOn w:val="a0"/>
    <w:uiPriority w:val="11"/>
    <w:semiHidden/>
    <w:qFormat/>
    <w:rPr>
      <w:rFonts w:ascii="等线 Light" w:eastAsia="宋体" w:hAnsi="等线 Light" w:cs="Times New Roman"/>
      <w:b/>
      <w:bCs/>
      <w:kern w:val="28"/>
      <w:sz w:val="32"/>
      <w:szCs w:val="32"/>
    </w:rPr>
  </w:style>
  <w:style w:type="character" w:customStyle="1" w:styleId="1fff">
    <w:name w:val="副标题 字符1"/>
    <w:basedOn w:val="a0"/>
    <w:uiPriority w:val="11"/>
    <w:semiHidden/>
    <w:qFormat/>
    <w:rPr>
      <w:b/>
      <w:bCs/>
      <w:kern w:val="28"/>
      <w:sz w:val="32"/>
      <w:szCs w:val="32"/>
    </w:rPr>
  </w:style>
  <w:style w:type="character" w:customStyle="1" w:styleId="Char17">
    <w:name w:val="标题 Char1"/>
    <w:basedOn w:val="a0"/>
    <w:uiPriority w:val="10"/>
    <w:semiHidden/>
    <w:qFormat/>
    <w:rPr>
      <w:rFonts w:ascii="等线 Light" w:eastAsia="宋体" w:hAnsi="等线 Light" w:cs="Times New Roman"/>
      <w:b/>
      <w:bCs/>
      <w:sz w:val="32"/>
      <w:szCs w:val="32"/>
    </w:rPr>
  </w:style>
  <w:style w:type="character" w:customStyle="1" w:styleId="1fff0">
    <w:name w:val="标题 字符1"/>
    <w:basedOn w:val="a0"/>
    <w:uiPriority w:val="10"/>
    <w:semiHidden/>
    <w:qFormat/>
    <w:rPr>
      <w:rFonts w:ascii="等线 Light" w:eastAsia="等线 Light" w:hAnsi="等线 Light" w:cs="Times New Roman"/>
      <w:b/>
      <w:bCs/>
      <w:sz w:val="32"/>
      <w:szCs w:val="32"/>
    </w:rPr>
  </w:style>
  <w:style w:type="character" w:customStyle="1" w:styleId="Char18">
    <w:name w:val="明显引用 Char1"/>
    <w:basedOn w:val="a0"/>
    <w:uiPriority w:val="30"/>
    <w:semiHidden/>
    <w:qFormat/>
    <w:rPr>
      <w:i/>
      <w:iCs/>
      <w:color w:val="4472C4"/>
    </w:rPr>
  </w:style>
  <w:style w:type="character" w:customStyle="1" w:styleId="1fff1">
    <w:name w:val="明显引用 字符1"/>
    <w:basedOn w:val="a0"/>
    <w:uiPriority w:val="30"/>
    <w:semiHidden/>
    <w:qFormat/>
    <w:rPr>
      <w:i/>
      <w:iCs/>
      <w:color w:val="4472C4"/>
    </w:rPr>
  </w:style>
  <w:style w:type="table" w:customStyle="1" w:styleId="1300">
    <w:name w:val="网格型13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网格型13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网格型201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网格型5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网格型14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0">
    <w:name w:val="Table Normal110"/>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00">
    <w:name w:val="网格型22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网格型112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网格型32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网格型21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网格型5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网格型6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网格型7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网格型8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
    <w:name w:val="网格型11117"/>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网格型9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网格型109"/>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网格型1310"/>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网格型149"/>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网格型15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网格型16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7">
    <w:name w:val="Table Normal11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70">
    <w:name w:val="网格型2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网格型112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
    <w:name w:val="网格型121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网格型211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网格型31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网格型4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网格型5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网格型6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0">
    <w:name w:val="网格型7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0">
    <w:name w:val="网格型8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网格型11118"/>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0">
    <w:name w:val="网格型9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7">
    <w:name w:val="网格型101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网格型131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7">
    <w:name w:val="网格型141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网格型17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网格型18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6">
    <w:name w:val="Table Normal3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6">
    <w:name w:val="Table Normal12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6">
    <w:name w:val="网格型2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网格型113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网格型3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网格型2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6">
    <w:name w:val="网格型3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网格型5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6">
    <w:name w:val="网格型6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网格型7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6">
    <w:name w:val="网格型8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6">
    <w:name w:val="网格型1112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6">
    <w:name w:val="网格型9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6">
    <w:name w:val="网格型102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网格型132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6">
    <w:name w:val="网格型142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网格型15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网格型16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网格型19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网格型110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6">
    <w:name w:val="Table Normal4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6">
    <w:name w:val="Table Normal13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6">
    <w:name w:val="网格型24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0">
    <w:name w:val="网格型114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6">
    <w:name w:val="网格型34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6">
    <w:name w:val="网格型12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
    <w:name w:val="网格型21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6">
    <w:name w:val="网格型31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网格型43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6">
    <w:name w:val="网格型5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6">
    <w:name w:val="网格型63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
    <w:name w:val="网格型73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6">
    <w:name w:val="网格型83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6">
    <w:name w:val="网格型1113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6">
    <w:name w:val="网格型93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6">
    <w:name w:val="网格型103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6">
    <w:name w:val="网格型133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6">
    <w:name w:val="网格型143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6">
    <w:name w:val="网格型15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6">
    <w:name w:val="网格型16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6">
    <w:name w:val="Table Normal2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6">
    <w:name w:val="Table Normal11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6">
    <w:name w:val="网格型2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网格型112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6">
    <w:name w:val="网格型3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
    <w:name w:val="网格型12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6">
    <w:name w:val="网格型21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6">
    <w:name w:val="网格型31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
    <w:name w:val="网格型5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
    <w:name w:val="网格型61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网格型71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6">
    <w:name w:val="网格型8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
    <w:name w:val="网格型11111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6">
    <w:name w:val="网格型9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6">
    <w:name w:val="网格型101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6">
    <w:name w:val="网格型131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6">
    <w:name w:val="网格型141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彩色型 16"/>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5">
    <w:name w:val="网格型115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7">
    <w:name w:val="网格型20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6">
    <w:name w:val="Table Normal5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6">
    <w:name w:val="Table Normal14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5">
    <w:name w:val="网格型25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5">
    <w:name w:val="网格型116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5">
    <w:name w:val="Table Normal6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5">
    <w:name w:val="Table Normal15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5">
    <w:name w:val="网格型26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5">
    <w:name w:val="网格型117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网格型35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5">
    <w:name w:val="网格型124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网格型214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5">
    <w:name w:val="网格型314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5">
    <w:name w:val="网格型54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5">
    <w:name w:val="网格型64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
    <w:name w:val="网格型74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5">
    <w:name w:val="网格型84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5">
    <w:name w:val="网格型1114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5">
    <w:name w:val="网格型94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5">
    <w:name w:val="网格型104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5">
    <w:name w:val="网格型134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5">
    <w:name w:val="网格型144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5">
    <w:name w:val="网格型153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5">
    <w:name w:val="网格型163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5">
    <w:name w:val="Table Normal22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5">
    <w:name w:val="Table Normal112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5">
    <w:name w:val="网格型22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5">
    <w:name w:val="网格型112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5">
    <w:name w:val="网格型12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5">
    <w:name w:val="网格型21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5">
    <w:name w:val="网格型31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5">
    <w:name w:val="网格型51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5">
    <w:name w:val="网格型61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网格型712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5">
    <w:name w:val="网格型81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5">
    <w:name w:val="网格型11112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5">
    <w:name w:val="网格型912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5">
    <w:name w:val="网格型1012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5">
    <w:name w:val="网格型1312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5">
    <w:name w:val="网格型1412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网格型17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5">
    <w:name w:val="网格型18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5">
    <w:name w:val="Table Normal3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5">
    <w:name w:val="Table Normal12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5">
    <w:name w:val="网格型2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网格型113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5">
    <w:name w:val="网格型3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5">
    <w:name w:val="网格型12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5">
    <w:name w:val="网格型21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5">
    <w:name w:val="网格型31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5">
    <w:name w:val="网格型5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5">
    <w:name w:val="网格型62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网格型72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5">
    <w:name w:val="网格型82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5">
    <w:name w:val="网格型1112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5">
    <w:name w:val="网格型92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5">
    <w:name w:val="网格型102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5">
    <w:name w:val="网格型132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5">
    <w:name w:val="网格型142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5">
    <w:name w:val="网格型15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5">
    <w:name w:val="网格型16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5">
    <w:name w:val="网格型19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5">
    <w:name w:val="网格型110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5">
    <w:name w:val="Table Normal4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5">
    <w:name w:val="Table Normal13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5">
    <w:name w:val="网格型24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网格型114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5">
    <w:name w:val="网格型34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5">
    <w:name w:val="网格型12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5">
    <w:name w:val="网格型21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5">
    <w:name w:val="网格型31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5">
    <w:name w:val="网格型43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5">
    <w:name w:val="网格型53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5">
    <w:name w:val="网格型63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5">
    <w:name w:val="网格型73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5">
    <w:name w:val="网格型83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5">
    <w:name w:val="网格型1113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5">
    <w:name w:val="网格型93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5">
    <w:name w:val="网格型103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5">
    <w:name w:val="网格型133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5">
    <w:name w:val="网格型143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5">
    <w:name w:val="网格型152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5">
    <w:name w:val="网格型162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5">
    <w:name w:val="Table Normal21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5">
    <w:name w:val="Table Normal11115"/>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5">
    <w:name w:val="网格型22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5">
    <w:name w:val="网格型1121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5">
    <w:name w:val="网格型32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5">
    <w:name w:val="网格型121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5">
    <w:name w:val="网格型211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5">
    <w:name w:val="网格型311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5">
    <w:name w:val="网格型41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5">
    <w:name w:val="网格型5111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5">
    <w:name w:val="网格型611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网格型71115"/>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5">
    <w:name w:val="网格型81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5">
    <w:name w:val="网格型11111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5">
    <w:name w:val="网格型91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5">
    <w:name w:val="网格型1011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5">
    <w:name w:val="网格型1311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5">
    <w:name w:val="网格型141115"/>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彩色型 115"/>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5">
    <w:name w:val="网格型3325"/>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a">
    <w:name w:val="未处理的提及4"/>
    <w:basedOn w:val="a0"/>
    <w:uiPriority w:val="99"/>
    <w:semiHidden/>
    <w:qFormat/>
    <w:rPr>
      <w:color w:val="605E5C"/>
      <w:shd w:val="clear" w:color="auto" w:fill="E1DFDD"/>
    </w:rPr>
  </w:style>
  <w:style w:type="table" w:customStyle="1" w:styleId="272">
    <w:name w:val="网格型27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网格型28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网格型29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网格型20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网格型6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网格型20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网格型7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网格型20113"/>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
    <w:name w:val="网格型2011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5">
    <w:name w:val="网格型20115"/>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6">
    <w:name w:val="网格型20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7">
    <w:name w:val="网格型201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8">
    <w:name w:val="网格型2011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网格型8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网格型15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8">
    <w:name w:val="Table Normal118"/>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80">
    <w:name w:val="网格型22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网格型112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网格型32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
    <w:name w:val="网格型121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网格型211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网格型311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网格型41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网格型5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网格型61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网格型710"/>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0">
    <w:name w:val="网格型81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网格型11119"/>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网格型910"/>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0">
    <w:name w:val="网格型1010"/>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8">
    <w:name w:val="网格型1318"/>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0">
    <w:name w:val="网格型1410"/>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网格型15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0">
    <w:name w:val="网格型16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9">
    <w:name w:val="Table Normal29"/>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9">
    <w:name w:val="Table Normal119"/>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9">
    <w:name w:val="网格型22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9">
    <w:name w:val="网格型1129"/>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
    <w:name w:val="网格型32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网格型121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网格型21110"/>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9">
    <w:name w:val="网格型3119"/>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网格型41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网格型51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
    <w:name w:val="网格型61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0">
    <w:name w:val="网格型718"/>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80">
    <w:name w:val="网格型81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网格型111110"/>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网格型918"/>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8">
    <w:name w:val="网格型1018"/>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9">
    <w:name w:val="网格型1319"/>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8">
    <w:name w:val="网格型1418"/>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网格型17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网格型18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7">
    <w:name w:val="Table Normal12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7">
    <w:name w:val="网格型2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网格型113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网格型338"/>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
    <w:name w:val="网格型12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网格型21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网格型31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网格型5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7">
    <w:name w:val="网格型62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网格型72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7">
    <w:name w:val="网格型82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7">
    <w:name w:val="网格型11127"/>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7">
    <w:name w:val="网格型92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7">
    <w:name w:val="网格型102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7">
    <w:name w:val="网格型132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7">
    <w:name w:val="网格型142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7">
    <w:name w:val="网格型15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7">
    <w:name w:val="网格型16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网格型19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网格型110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7">
    <w:name w:val="Table Normal4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7">
    <w:name w:val="Table Normal13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7">
    <w:name w:val="网格型24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网格型114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网格型34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7">
    <w:name w:val="网格型12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7">
    <w:name w:val="网格型21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网格型31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网格型43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7">
    <w:name w:val="网格型53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7">
    <w:name w:val="网格型63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7">
    <w:name w:val="网格型73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7">
    <w:name w:val="网格型83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7">
    <w:name w:val="网格型11137"/>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7">
    <w:name w:val="网格型93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7">
    <w:name w:val="网格型103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网格型133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7">
    <w:name w:val="网格型143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7">
    <w:name w:val="网格型152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7">
    <w:name w:val="网格型162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7">
    <w:name w:val="Table Normal21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7">
    <w:name w:val="Table Normal111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7">
    <w:name w:val="网格型22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7">
    <w:name w:val="网格型112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7">
    <w:name w:val="网格型32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7">
    <w:name w:val="网格型121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7">
    <w:name w:val="网格型211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7">
    <w:name w:val="网格型311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7">
    <w:name w:val="网格型41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7">
    <w:name w:val="网格型5117"/>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
    <w:name w:val="网格型61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7">
    <w:name w:val="网格型7117"/>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7">
    <w:name w:val="网格型81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
    <w:name w:val="网格型111117"/>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7">
    <w:name w:val="网格型9117"/>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7">
    <w:name w:val="网格型1011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7">
    <w:name w:val="网格型1311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7">
    <w:name w:val="网格型14117"/>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彩色型 17"/>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6">
    <w:name w:val="网格型115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9">
    <w:name w:val="网格型209"/>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7">
    <w:name w:val="Table Normal5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7">
    <w:name w:val="Table Normal147"/>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6">
    <w:name w:val="网格型25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6">
    <w:name w:val="网格型116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6">
    <w:name w:val="Table Normal6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6">
    <w:name w:val="Table Normal15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6">
    <w:name w:val="网格型26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6">
    <w:name w:val="网格型117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网格型35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6">
    <w:name w:val="网格型124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网格型214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6">
    <w:name w:val="网格型314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网格型44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6">
    <w:name w:val="网格型54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6">
    <w:name w:val="网格型64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6">
    <w:name w:val="网格型74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6">
    <w:name w:val="网格型84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6">
    <w:name w:val="网格型1114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6">
    <w:name w:val="网格型94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6">
    <w:name w:val="网格型104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6">
    <w:name w:val="网格型134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6">
    <w:name w:val="网格型144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6">
    <w:name w:val="网格型153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6">
    <w:name w:val="网格型163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6">
    <w:name w:val="Table Normal22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6">
    <w:name w:val="Table Normal112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6">
    <w:name w:val="网格型22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6">
    <w:name w:val="网格型112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6">
    <w:name w:val="网格型32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6">
    <w:name w:val="网格型12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6">
    <w:name w:val="网格型21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6">
    <w:name w:val="网格型31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6">
    <w:name w:val="网格型41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6">
    <w:name w:val="网格型512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6">
    <w:name w:val="网格型61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
    <w:name w:val="网格型712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6">
    <w:name w:val="网格型81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6">
    <w:name w:val="网格型11112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6">
    <w:name w:val="网格型912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6">
    <w:name w:val="网格型1012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6">
    <w:name w:val="网格型1312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6">
    <w:name w:val="网格型1412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网格型17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6">
    <w:name w:val="网格型18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6">
    <w:name w:val="Table Normal3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6">
    <w:name w:val="Table Normal12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6">
    <w:name w:val="网格型2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网格型113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6">
    <w:name w:val="网格型3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6">
    <w:name w:val="网格型12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6">
    <w:name w:val="网格型21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6">
    <w:name w:val="网格型31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6">
    <w:name w:val="网格型42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6">
    <w:name w:val="网格型5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6">
    <w:name w:val="网格型62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网格型72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6">
    <w:name w:val="网格型82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6">
    <w:name w:val="网格型11121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6">
    <w:name w:val="网格型92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6">
    <w:name w:val="网格型102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6">
    <w:name w:val="网格型132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6">
    <w:name w:val="网格型142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6">
    <w:name w:val="网格型15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6">
    <w:name w:val="网格型16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6">
    <w:name w:val="网格型19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6">
    <w:name w:val="网格型110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6">
    <w:name w:val="Table Normal4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6">
    <w:name w:val="Table Normal13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6">
    <w:name w:val="网格型24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网格型114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6">
    <w:name w:val="网格型34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6">
    <w:name w:val="网格型12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6">
    <w:name w:val="网格型21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6">
    <w:name w:val="网格型31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6">
    <w:name w:val="网格型43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6">
    <w:name w:val="网格型53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6">
    <w:name w:val="网格型63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6">
    <w:name w:val="网格型73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6">
    <w:name w:val="网格型83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6">
    <w:name w:val="网格型11131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6">
    <w:name w:val="网格型93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6">
    <w:name w:val="网格型103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6">
    <w:name w:val="网格型133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6">
    <w:name w:val="网格型143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6">
    <w:name w:val="网格型152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6">
    <w:name w:val="网格型162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6">
    <w:name w:val="Table Normal21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6">
    <w:name w:val="Table Normal11116"/>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6">
    <w:name w:val="网格型22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6">
    <w:name w:val="网格型112116"/>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6">
    <w:name w:val="网格型32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6">
    <w:name w:val="网格型121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6">
    <w:name w:val="网格型211116"/>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6">
    <w:name w:val="网格型311116"/>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6">
    <w:name w:val="网格型41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6">
    <w:name w:val="网格型51116"/>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6">
    <w:name w:val="网格型61116"/>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
    <w:name w:val="网格型71116"/>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6">
    <w:name w:val="网格型81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6">
    <w:name w:val="网格型1111116"/>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6">
    <w:name w:val="网格型91116"/>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6">
    <w:name w:val="网格型1011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6">
    <w:name w:val="网格型1311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6">
    <w:name w:val="网格型141116"/>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彩色型 116"/>
    <w:basedOn w:val="a1"/>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6">
    <w:name w:val="网格型3326"/>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网格型27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网格型28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网格型118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61">
    <w:name w:val="Table Normal16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92">
    <w:name w:val="网格型292"/>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网格型119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网格型36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网格型125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网格型215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网格型315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型55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网格型6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网格型75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网格型8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网格型1115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网格型9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网格型10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网格型13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网格型14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网格型15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网格型164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31">
    <w:name w:val="Table Normal1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31">
    <w:name w:val="网格型22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网格型112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网格型121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网格型2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网格型3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网格型5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网格型61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网格型71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
    <w:name w:val="网格型8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网格型11113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网格型9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网格型10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网格型13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网格型14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网格型17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网格型18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21">
    <w:name w:val="Table Normal12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21">
    <w:name w:val="网格型23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网格型113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网格型3332"/>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网格型12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网格型21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网格型31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网格型5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网格型62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网格型72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网格型8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网格型1112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网格型9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
    <w:name w:val="网格型102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网格型132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1">
    <w:name w:val="网格型142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网格型15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网格型16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网格型19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网格型110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1">
    <w:name w:val="Table Normal4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21">
    <w:name w:val="Table Normal13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21">
    <w:name w:val="网格型24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网格型114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网格型34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网格型123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网格型213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1">
    <w:name w:val="网格型313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网格型43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网格型53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网格型63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网格型73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
    <w:name w:val="网格型83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网格型1113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1">
    <w:name w:val="网格型93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网格型103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网格型133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
    <w:name w:val="网格型143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1">
    <w:name w:val="网格型15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1">
    <w:name w:val="网格型162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1">
    <w:name w:val="Table Normal2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21">
    <w:name w:val="Table Normal11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21">
    <w:name w:val="网格型22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网格型112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网格型32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网格型121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
    <w:name w:val="网格型211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1">
    <w:name w:val="网格型311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网格型51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网格型61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网格型71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
    <w:name w:val="网格型81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网格型11111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1">
    <w:name w:val="网格型91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1">
    <w:name w:val="网格型101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网格型131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网格型141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a">
    <w:name w:val="彩色型 121"/>
    <w:basedOn w:val="a1"/>
    <w:locked/>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11">
    <w:name w:val="网格型115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网格型2012"/>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1">
    <w:name w:val="Table Normal5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11">
    <w:name w:val="Table Normal14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11">
    <w:name w:val="网格型25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网格型116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1">
    <w:name w:val="Table Normal6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11">
    <w:name w:val="Table Normal15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11">
    <w:name w:val="网格型26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网格型117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网格型35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网格型124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网格型214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网格型3141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网格型541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网格型64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网格型74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1">
    <w:name w:val="网格型84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网格型1114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1">
    <w:name w:val="网格型94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1">
    <w:name w:val="网格型104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1">
    <w:name w:val="网格型134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
    <w:name w:val="网格型144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网格型15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网格型163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11">
    <w:name w:val="Table Normal112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11">
    <w:name w:val="网格型22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网格型112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网格型32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网格型12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网格型21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网格型31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网格型51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网格型61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网格型712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网格型81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1">
    <w:name w:val="网格型11112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1">
    <w:name w:val="网格型912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1">
    <w:name w:val="网格型1012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
    <w:name w:val="网格型1312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
    <w:name w:val="网格型1412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网格型17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网格型18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11">
    <w:name w:val="Table Normal12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11">
    <w:name w:val="网格型2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网格型113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网格型3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网格型12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网格型21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网格型31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网格型5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网格型62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网格型72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网格型82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网格型1112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网格型92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网格型102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网格型132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网格型142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网格型15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网格型16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网格型19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网格型110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1">
    <w:name w:val="Table Normal4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11">
    <w:name w:val="Table Normal13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11">
    <w:name w:val="网格型24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网格型114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网格型34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1">
    <w:name w:val="网格型12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网格型21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1">
    <w:name w:val="网格型31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1">
    <w:name w:val="网格型43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网格型53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1">
    <w:name w:val="网格型63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
    <w:name w:val="网格型73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
    <w:name w:val="网格型83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1">
    <w:name w:val="网格型1113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1">
    <w:name w:val="网格型93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1">
    <w:name w:val="网格型103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1">
    <w:name w:val="网格型133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1">
    <w:name w:val="网格型143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网格型152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网格型162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1">
    <w:name w:val="Table Normal21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11">
    <w:name w:val="Table Normal11111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11">
    <w:name w:val="网格型22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网格型1121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网格型32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网格型121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网格型211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网格型311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网格型41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网格型5111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网格型611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网格型7111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网格型81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网格型111111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1">
    <w:name w:val="网格型91111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1">
    <w:name w:val="网格型1011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
    <w:name w:val="网格型1311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网格型141111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彩色型 111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11">
    <w:name w:val="网格型332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网格型30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网格型37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网格型120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1">
    <w:name w:val="Table Normal8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71">
    <w:name w:val="Table Normal17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101">
    <w:name w:val="网格型210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网格型1110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网格型38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网格型12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网格型2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网格型3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网格型4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网格型5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网格型6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网格型7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网格型8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网格型1116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网格型9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网格型106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网格型136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网格型146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网格型15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网格型16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41">
    <w:name w:val="Table Normal11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41">
    <w:name w:val="网格型2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网格型112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网格型3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网格型12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网格型21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
    <w:name w:val="网格型31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网格型41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网格型5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
    <w:name w:val="网格型61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网格型71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1">
    <w:name w:val="网格型81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网格型11114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网格型91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
    <w:name w:val="网格型10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
    <w:name w:val="网格型13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1">
    <w:name w:val="网格型14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网格型17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网格型18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31">
    <w:name w:val="Table Normal12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31">
    <w:name w:val="网格型23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网格型113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网格型3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1">
    <w:name w:val="网格型12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网格型2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网格型3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网格型5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网格型62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网格型72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
    <w:name w:val="网格型8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1">
    <w:name w:val="网格型1112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1">
    <w:name w:val="网格型9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1">
    <w:name w:val="网格型102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网格型132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1">
    <w:name w:val="网格型142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1">
    <w:name w:val="网格型15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网格型16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网格型19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网格型110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1">
    <w:name w:val="Table Normal4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31">
    <w:name w:val="Table Normal13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31">
    <w:name w:val="网格型24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网格型114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网格型34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1">
    <w:name w:val="网格型123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
    <w:name w:val="网格型213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1">
    <w:name w:val="网格型313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网格型43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1">
    <w:name w:val="网格型533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1">
    <w:name w:val="网格型63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1">
    <w:name w:val="网格型733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1">
    <w:name w:val="网格型83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1">
    <w:name w:val="网格型11133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1">
    <w:name w:val="网格型93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1">
    <w:name w:val="网格型103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1">
    <w:name w:val="网格型133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1">
    <w:name w:val="网格型143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1">
    <w:name w:val="网格型15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1">
    <w:name w:val="网格型162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1">
    <w:name w:val="Table Normal2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31">
    <w:name w:val="Table Normal11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31">
    <w:name w:val="网格型2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1">
    <w:name w:val="网格型112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网格型3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1">
    <w:name w:val="网格型12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1">
    <w:name w:val="网格型21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
    <w:name w:val="网格型31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网格型41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网格型5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1">
    <w:name w:val="网格型61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
    <w:name w:val="网格型71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1">
    <w:name w:val="网格型81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1">
    <w:name w:val="网格型11111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1">
    <w:name w:val="网格型91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1">
    <w:name w:val="网格型101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1">
    <w:name w:val="网格型131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1">
    <w:name w:val="网格型141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a">
    <w:name w:val="彩色型 13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21">
    <w:name w:val="网格型115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网格型20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1">
    <w:name w:val="Table Normal5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21">
    <w:name w:val="Table Normal14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21">
    <w:name w:val="网格型25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网格型116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1">
    <w:name w:val="Table Normal6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21">
    <w:name w:val="Table Normal15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21">
    <w:name w:val="网格型26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1">
    <w:name w:val="网格型117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网格型35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1">
    <w:name w:val="网格型124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网格型214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1">
    <w:name w:val="网格型314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网格型44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1">
    <w:name w:val="网格型54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1">
    <w:name w:val="网格型64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1">
    <w:name w:val="网格型74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1">
    <w:name w:val="网格型84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
    <w:name w:val="网格型1114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1">
    <w:name w:val="网格型94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1">
    <w:name w:val="网格型104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1">
    <w:name w:val="网格型134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1">
    <w:name w:val="网格型144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
    <w:name w:val="网格型153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1">
    <w:name w:val="网格型163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1">
    <w:name w:val="Table Normal22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21">
    <w:name w:val="Table Normal112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21">
    <w:name w:val="网格型22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1">
    <w:name w:val="网格型1122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1">
    <w:name w:val="网格型32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1">
    <w:name w:val="网格型121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1">
    <w:name w:val="网格型211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1">
    <w:name w:val="网格型311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网格型41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1">
    <w:name w:val="网格型512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1">
    <w:name w:val="网格型612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
    <w:name w:val="网格型712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1">
    <w:name w:val="网格型81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1">
    <w:name w:val="网格型11112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21">
    <w:name w:val="网格型912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1">
    <w:name w:val="网格型1012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1">
    <w:name w:val="网格型1312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1">
    <w:name w:val="网格型1412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网格型17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网格型18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1">
    <w:name w:val="Table Normal3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21">
    <w:name w:val="Table Normal12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21">
    <w:name w:val="网格型23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网格型113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网格型33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网格型122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网格型212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1">
    <w:name w:val="网格型312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网格型42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网格型52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网格型62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网格型72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
    <w:name w:val="网格型82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
    <w:name w:val="网格型11121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1">
    <w:name w:val="网格型92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1">
    <w:name w:val="网格型102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1">
    <w:name w:val="网格型132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1">
    <w:name w:val="网格型142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
    <w:name w:val="网格型15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
    <w:name w:val="网格型16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1">
    <w:name w:val="网格型19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1">
    <w:name w:val="网格型110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1">
    <w:name w:val="Table Normal4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21">
    <w:name w:val="Table Normal13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21">
    <w:name w:val="网格型24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
    <w:name w:val="网格型114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1">
    <w:name w:val="网格型34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网格型123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1">
    <w:name w:val="网格型213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1">
    <w:name w:val="网格型31312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1">
    <w:name w:val="网格型43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1">
    <w:name w:val="网格型53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1">
    <w:name w:val="网格型63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1">
    <w:name w:val="网格型7312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1">
    <w:name w:val="网格型83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1">
    <w:name w:val="网格型111312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1">
    <w:name w:val="网格型93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1">
    <w:name w:val="网格型103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1">
    <w:name w:val="网格型133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1">
    <w:name w:val="网格型143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1">
    <w:name w:val="网格型152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1">
    <w:name w:val="网格型162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21">
    <w:name w:val="Table Normal21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21">
    <w:name w:val="Table Normal11112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21">
    <w:name w:val="网格型22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网格型1121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1">
    <w:name w:val="网格型32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
    <w:name w:val="网格型121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1">
    <w:name w:val="网格型211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1">
    <w:name w:val="网格型311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1">
    <w:name w:val="网格型411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1">
    <w:name w:val="网格型5111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
    <w:name w:val="网格型611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
    <w:name w:val="网格型71112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1">
    <w:name w:val="网格型811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
    <w:name w:val="网格型1111112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1">
    <w:name w:val="网格型91112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1">
    <w:name w:val="网格型1011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1">
    <w:name w:val="网格型1311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1">
    <w:name w:val="网格型141112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彩色型 112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21">
    <w:name w:val="网格型3322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网格型3331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网格型39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网格型20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31">
    <w:name w:val="Table Normal5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31">
    <w:name w:val="Table Normal14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401">
    <w:name w:val="网格型40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网格型12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1">
    <w:name w:val="Table Normal9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81">
    <w:name w:val="Table Normal18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171">
    <w:name w:val="网格型217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网格型111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网格型310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网格型128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网格型218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网格型317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网格型47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网格型57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网格型6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网格型7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网格型87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网格型1118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网格型97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1">
    <w:name w:val="网格型107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
    <w:name w:val="网格型137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网格型147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1">
    <w:name w:val="网格型15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网格型16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1">
    <w:name w:val="Table Normal2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51">
    <w:name w:val="Table Normal11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51">
    <w:name w:val="网格型2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1">
    <w:name w:val="网格型112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网格型3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1">
    <w:name w:val="网格型12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网格型21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1">
    <w:name w:val="网格型31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网格型41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网格型5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1">
    <w:name w:val="网格型61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网格型71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1">
    <w:name w:val="网格型81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1">
    <w:name w:val="网格型11115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1">
    <w:name w:val="网格型91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1">
    <w:name w:val="网格型101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
    <w:name w:val="网格型131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1">
    <w:name w:val="网格型141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网格型17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网格型18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1">
    <w:name w:val="Table Normal3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41">
    <w:name w:val="Table Normal12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41">
    <w:name w:val="网格型2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网格型113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1">
    <w:name w:val="网格型3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
    <w:name w:val="网格型12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网格型21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1">
    <w:name w:val="网格型31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网格型42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1">
    <w:name w:val="网格型5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1">
    <w:name w:val="网格型62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1">
    <w:name w:val="网格型72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1">
    <w:name w:val="网格型82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1">
    <w:name w:val="网格型11124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1">
    <w:name w:val="网格型92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1">
    <w:name w:val="网格型102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1">
    <w:name w:val="网格型132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1">
    <w:name w:val="网格型142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1">
    <w:name w:val="网格型15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1">
    <w:name w:val="网格型16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网格型19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1">
    <w:name w:val="网格型110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41">
    <w:name w:val="Table Normal4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41">
    <w:name w:val="Table Normal13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41">
    <w:name w:val="网格型24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1">
    <w:name w:val="网格型114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1">
    <w:name w:val="网格型34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1">
    <w:name w:val="网格型12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1">
    <w:name w:val="网格型21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1">
    <w:name w:val="网格型31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网格型43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网格型53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1">
    <w:name w:val="网格型63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1">
    <w:name w:val="网格型73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1">
    <w:name w:val="网格型83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1">
    <w:name w:val="网格型11134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1">
    <w:name w:val="网格型93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1">
    <w:name w:val="网格型103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1">
    <w:name w:val="网格型133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1">
    <w:name w:val="网格型143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41">
    <w:name w:val="网格型152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1">
    <w:name w:val="网格型162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41">
    <w:name w:val="Table Normal21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41">
    <w:name w:val="Table Normal111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41">
    <w:name w:val="网格型22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1">
    <w:name w:val="网格型1121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1">
    <w:name w:val="网格型32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网格型121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1">
    <w:name w:val="网格型211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1">
    <w:name w:val="网格型311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网格型411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网格型5114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1">
    <w:name w:val="网格型611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网格型7114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1">
    <w:name w:val="网格型811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
    <w:name w:val="网格型111114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1">
    <w:name w:val="网格型911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1">
    <w:name w:val="网格型101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1">
    <w:name w:val="网格型131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1">
    <w:name w:val="网格型14114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9">
    <w:name w:val="彩色型 14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531">
    <w:name w:val="网格型115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网格型204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41">
    <w:name w:val="Table Normal5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441">
    <w:name w:val="Table Normal144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531">
    <w:name w:val="网格型25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1">
    <w:name w:val="网格型116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1">
    <w:name w:val="Table Normal6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531">
    <w:name w:val="Table Normal15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631">
    <w:name w:val="网格型26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1">
    <w:name w:val="网格型117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1">
    <w:name w:val="网格型35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1">
    <w:name w:val="网格型124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1">
    <w:name w:val="网格型214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1">
    <w:name w:val="网格型314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网格型44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1">
    <w:name w:val="网格型54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1">
    <w:name w:val="网格型64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1">
    <w:name w:val="网格型74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1">
    <w:name w:val="网格型84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1">
    <w:name w:val="网格型1114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1">
    <w:name w:val="网格型94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31">
    <w:name w:val="网格型104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1">
    <w:name w:val="网格型134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1">
    <w:name w:val="网格型144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1">
    <w:name w:val="网格型153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1">
    <w:name w:val="网格型163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31">
    <w:name w:val="Table Normal22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231">
    <w:name w:val="Table Normal112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231">
    <w:name w:val="网格型22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1">
    <w:name w:val="网格型1122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1">
    <w:name w:val="网格型32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网格型12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1">
    <w:name w:val="网格型21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1">
    <w:name w:val="网格型31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1">
    <w:name w:val="网格型41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1">
    <w:name w:val="网格型51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1">
    <w:name w:val="网格型612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
    <w:name w:val="网格型712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1">
    <w:name w:val="网格型81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1">
    <w:name w:val="网格型11112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31">
    <w:name w:val="网格型912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31">
    <w:name w:val="网格型1012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1">
    <w:name w:val="网格型1312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31">
    <w:name w:val="网格型1412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
    <w:name w:val="网格型17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1">
    <w:name w:val="网格型18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1">
    <w:name w:val="Table Normal3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131">
    <w:name w:val="Table Normal12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131">
    <w:name w:val="网格型2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1">
    <w:name w:val="网格型113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网格型3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1">
    <w:name w:val="网格型12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1">
    <w:name w:val="网格型21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1">
    <w:name w:val="网格型31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1">
    <w:name w:val="网格型42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1">
    <w:name w:val="网格型5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1">
    <w:name w:val="网格型62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1">
    <w:name w:val="网格型72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1">
    <w:name w:val="网格型82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1">
    <w:name w:val="网格型11121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1">
    <w:name w:val="网格型92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1">
    <w:name w:val="网格型102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1">
    <w:name w:val="网格型132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1">
    <w:name w:val="网格型142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1">
    <w:name w:val="网格型15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1">
    <w:name w:val="网格型16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1">
    <w:name w:val="网格型19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1">
    <w:name w:val="网格型110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31">
    <w:name w:val="Table Normal4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131">
    <w:name w:val="Table Normal13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131">
    <w:name w:val="网格型24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1">
    <w:name w:val="网格型114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1">
    <w:name w:val="网格型34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1">
    <w:name w:val="网格型12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1">
    <w:name w:val="网格型21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31">
    <w:name w:val="网格型31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1">
    <w:name w:val="网格型43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1">
    <w:name w:val="网格型53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1">
    <w:name w:val="网格型63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1">
    <w:name w:val="网格型73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1">
    <w:name w:val="网格型83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1">
    <w:name w:val="网格型11131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1">
    <w:name w:val="网格型93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1">
    <w:name w:val="网格型103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1">
    <w:name w:val="网格型133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1">
    <w:name w:val="网格型143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1">
    <w:name w:val="网格型152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1">
    <w:name w:val="网格型162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31">
    <w:name w:val="Table Normal21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131">
    <w:name w:val="Table Normal11113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131">
    <w:name w:val="网格型22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1">
    <w:name w:val="网格型1121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1">
    <w:name w:val="网格型32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1">
    <w:name w:val="网格型121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1">
    <w:name w:val="网格型211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31">
    <w:name w:val="网格型311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1">
    <w:name w:val="网格型411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1">
    <w:name w:val="网格型5111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1">
    <w:name w:val="网格型611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网格型71113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1">
    <w:name w:val="网格型811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
    <w:name w:val="网格型1111113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1">
    <w:name w:val="网格型91113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1">
    <w:name w:val="网格型1011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1">
    <w:name w:val="网格型1311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1">
    <w:name w:val="网格型141113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彩色型 1131"/>
    <w:basedOn w:val="a1"/>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33231">
    <w:name w:val="网格型3323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网格型27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网格型281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1">
    <w:name w:val="网格型20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1">
    <w:name w:val="网格型20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网格型48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1">
    <w:name w:val="网格型129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
    <w:name w:val="Table Normal10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91">
    <w:name w:val="Table Normal19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191">
    <w:name w:val="网格型219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网格型1119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网格型318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1">
    <w:name w:val="网格型1210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网格型2110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网格型319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网格型49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网格型58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网格型68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网格型78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网格型88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网格型11110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网格型98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1">
    <w:name w:val="网格型108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网格型138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1">
    <w:name w:val="网格型148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网格型157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1">
    <w:name w:val="网格型167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61">
    <w:name w:val="Table Normal116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61">
    <w:name w:val="网格型22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1">
    <w:name w:val="网格型112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1">
    <w:name w:val="网格型32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1">
    <w:name w:val="网格型12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网格型21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1">
    <w:name w:val="网格型31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网格型41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1">
    <w:name w:val="网格型51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1">
    <w:name w:val="网格型61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网格型716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1">
    <w:name w:val="网格型81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
    <w:name w:val="网格型11116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网格型916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61">
    <w:name w:val="网格型1016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1">
    <w:name w:val="网格型1316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1">
    <w:name w:val="网格型1416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网格型17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网格型18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51">
    <w:name w:val="Table Normal3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251">
    <w:name w:val="Table Normal12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351">
    <w:name w:val="网格型2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1">
    <w:name w:val="网格型113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1">
    <w:name w:val="网格型336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1">
    <w:name w:val="网格型12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网格型21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1">
    <w:name w:val="网格型31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1">
    <w:name w:val="网格型42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1">
    <w:name w:val="网格型5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1">
    <w:name w:val="网格型62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1">
    <w:name w:val="网格型72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1">
    <w:name w:val="网格型82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1">
    <w:name w:val="网格型11125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51">
    <w:name w:val="网格型92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51">
    <w:name w:val="网格型102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1">
    <w:name w:val="网格型132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51">
    <w:name w:val="网格型142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1">
    <w:name w:val="网格型15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1">
    <w:name w:val="网格型16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网格型19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1">
    <w:name w:val="网格型110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51">
    <w:name w:val="Table Normal4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351">
    <w:name w:val="Table Normal13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451">
    <w:name w:val="网格型24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1">
    <w:name w:val="网格型114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1">
    <w:name w:val="网格型34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1">
    <w:name w:val="网格型12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1">
    <w:name w:val="网格型21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51">
    <w:name w:val="网格型31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1">
    <w:name w:val="网格型43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1">
    <w:name w:val="网格型53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1">
    <w:name w:val="网格型63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1">
    <w:name w:val="网格型73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51">
    <w:name w:val="网格型83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1">
    <w:name w:val="网格型11135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51">
    <w:name w:val="网格型935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51">
    <w:name w:val="网格型103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1">
    <w:name w:val="网格型133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51">
    <w:name w:val="网格型14351"/>
    <w:basedOn w:val="a1"/>
    <w:uiPriority w:val="5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51">
    <w:name w:val="网格型152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51">
    <w:name w:val="网格型162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51">
    <w:name w:val="Table Normal21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TableNormal11151">
    <w:name w:val="Table Normal11151"/>
    <w:uiPriority w:val="2"/>
    <w:semiHidden/>
    <w:unhideWhenUsed/>
    <w:qFormat/>
    <w:pPr>
      <w:widowControl w:val="0"/>
    </w:pPr>
    <w:rPr>
      <w:sz w:val="22"/>
      <w:lang w:eastAsia="en-US"/>
    </w:rPr>
    <w:tblPr>
      <w:tblCellMar>
        <w:top w:w="0" w:type="dxa"/>
        <w:left w:w="0" w:type="dxa"/>
        <w:bottom w:w="0" w:type="dxa"/>
        <w:right w:w="0" w:type="dxa"/>
      </w:tblCellMar>
    </w:tblPr>
  </w:style>
  <w:style w:type="table" w:customStyle="1" w:styleId="22151">
    <w:name w:val="网格型22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1">
    <w:name w:val="网格型11215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1">
    <w:name w:val="网格型32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1">
    <w:name w:val="网格型121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1">
    <w:name w:val="网格型211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51">
    <w:name w:val="网格型31115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a">
    <w:name w:val="修订2"/>
    <w:hidden/>
    <w:uiPriority w:val="99"/>
    <w:semiHidden/>
    <w:qFormat/>
    <w:rPr>
      <w:rFonts w:asciiTheme="minorHAnsi" w:eastAsiaTheme="minorEastAsia" w:hAnsiTheme="minorHAnsi" w:cstheme="minorBidi"/>
      <w:kern w:val="2"/>
      <w:sz w:val="21"/>
      <w:szCs w:val="22"/>
    </w:rPr>
  </w:style>
  <w:style w:type="character" w:customStyle="1" w:styleId="3Char10">
    <w:name w:val="正文文本缩进 3 Char1"/>
    <w:uiPriority w:val="99"/>
    <w:semiHidden/>
    <w:rPr>
      <w:rFonts w:eastAsia="仿宋"/>
      <w:sz w:val="16"/>
      <w:szCs w:val="16"/>
    </w:rPr>
  </w:style>
  <w:style w:type="character" w:customStyle="1" w:styleId="1fff2">
    <w:name w:val="正文文本首行缩进 字符1"/>
    <w:uiPriority w:val="99"/>
    <w:semiHidden/>
    <w:rPr>
      <w:rFonts w:ascii="Times New Roman" w:eastAsia="仿宋" w:hAnsi="Times New Roman" w:cs="Times New Roman"/>
      <w:kern w:val="2"/>
      <w:sz w:val="28"/>
      <w:szCs w:val="22"/>
    </w:rPr>
  </w:style>
  <w:style w:type="character" w:customStyle="1" w:styleId="10Char1">
    <w:name w:val="样式10 Char1"/>
    <w:link w:val="10a"/>
    <w:semiHidden/>
    <w:qFormat/>
    <w:rsid w:val="008C1C67"/>
    <w:rPr>
      <w:rFonts w:ascii="Cambria" w:eastAsia="仿宋" w:hAnsi="Cambria"/>
      <w:sz w:val="21"/>
      <w:szCs w:val="21"/>
      <w:lang w:val="zh-CN" w:eastAsia="ar-SA"/>
    </w:rPr>
  </w:style>
  <w:style w:type="paragraph" w:customStyle="1" w:styleId="10a">
    <w:name w:val="样式10"/>
    <w:basedOn w:val="ae"/>
    <w:link w:val="10Char1"/>
    <w:semiHidden/>
    <w:qFormat/>
    <w:pPr>
      <w:pBdr>
        <w:bottom w:val="double" w:sz="0" w:space="1" w:color="000000"/>
      </w:pBdr>
      <w:tabs>
        <w:tab w:val="clear" w:pos="4153"/>
        <w:tab w:val="clear" w:pos="8306"/>
        <w:tab w:val="left" w:pos="3114"/>
        <w:tab w:val="center" w:pos="4432"/>
      </w:tabs>
      <w:suppressAutoHyphens/>
      <w:ind w:firstLine="560"/>
    </w:pPr>
    <w:rPr>
      <w:rFonts w:ascii="Cambria" w:eastAsia="仿宋" w:hAnsi="Cambria" w:cs="Times New Roman"/>
      <w:sz w:val="21"/>
      <w:szCs w:val="21"/>
      <w:lang w:val="zh-CN" w:eastAsia="ar-SA"/>
    </w:rPr>
  </w:style>
  <w:style w:type="character" w:customStyle="1" w:styleId="13Char">
    <w:name w:val="样式13 Char"/>
    <w:link w:val="13a"/>
    <w:semiHidden/>
    <w:rsid w:val="008C1C67"/>
    <w:rPr>
      <w:rFonts w:ascii="仿宋_GB2312" w:eastAsia="仿宋_GB2312" w:hAnsi="Arial Narrow" w:cs="仿宋_GB2312"/>
      <w:b/>
      <w:bCs/>
      <w:sz w:val="28"/>
      <w:szCs w:val="28"/>
      <w:lang w:val="zh-CN" w:eastAsia="ar-SA"/>
    </w:rPr>
  </w:style>
  <w:style w:type="paragraph" w:customStyle="1" w:styleId="13a">
    <w:name w:val="样式13"/>
    <w:basedOn w:val="5"/>
    <w:link w:val="13Char"/>
    <w:semiHidden/>
    <w:qFormat/>
    <w:pPr>
      <w:suppressAutoHyphens/>
      <w:snapToGrid w:val="0"/>
      <w:spacing w:before="0" w:after="0" w:line="300" w:lineRule="auto"/>
      <w:ind w:firstLine="561"/>
    </w:pPr>
    <w:rPr>
      <w:rFonts w:ascii="仿宋_GB2312" w:eastAsia="仿宋_GB2312" w:hAnsi="Arial Narrow" w:cs="仿宋_GB2312"/>
      <w:lang w:val="zh-CN" w:eastAsia="ar-SA"/>
    </w:rPr>
  </w:style>
  <w:style w:type="character" w:customStyle="1" w:styleId="zwChar">
    <w:name w:val="zw Char"/>
    <w:link w:val="zw"/>
    <w:semiHidden/>
    <w:rsid w:val="008C1C67"/>
    <w:rPr>
      <w:rFonts w:ascii="Arial Narrow" w:eastAsia="昆仑楷体" w:hAnsi="Calibri"/>
      <w:sz w:val="28"/>
    </w:rPr>
  </w:style>
  <w:style w:type="paragraph" w:customStyle="1" w:styleId="zw">
    <w:name w:val="zw"/>
    <w:basedOn w:val="a"/>
    <w:link w:val="zwChar"/>
    <w:semiHidden/>
    <w:qFormat/>
    <w:pPr>
      <w:adjustRightInd w:val="0"/>
      <w:spacing w:line="440" w:lineRule="atLeast"/>
      <w:ind w:firstLineChars="210" w:firstLine="601"/>
      <w:textAlignment w:val="baseline"/>
    </w:pPr>
    <w:rPr>
      <w:rFonts w:ascii="Arial Narrow" w:eastAsia="昆仑楷体" w:hAnsi="Calibri" w:cs="Times New Roman"/>
      <w:sz w:val="28"/>
      <w:szCs w:val="20"/>
    </w:rPr>
  </w:style>
  <w:style w:type="character" w:customStyle="1" w:styleId="WW-">
    <w:name w:val="WW-默认段落字体"/>
    <w:semiHidden/>
  </w:style>
  <w:style w:type="character" w:customStyle="1" w:styleId="Char19">
    <w:name w:val="文档结构图 Char1"/>
    <w:uiPriority w:val="99"/>
    <w:semiHidden/>
    <w:rPr>
      <w:rFonts w:ascii="宋体" w:eastAsia="宋体"/>
      <w:sz w:val="18"/>
      <w:szCs w:val="18"/>
    </w:rPr>
  </w:style>
  <w:style w:type="character" w:customStyle="1" w:styleId="Char1a">
    <w:name w:val="批注文字 Char1"/>
    <w:uiPriority w:val="99"/>
    <w:semiHidden/>
    <w:rPr>
      <w:rFonts w:eastAsia="仿宋"/>
      <w:sz w:val="28"/>
    </w:rPr>
  </w:style>
  <w:style w:type="character" w:customStyle="1" w:styleId="Charf5">
    <w:name w:val="中企华 Char"/>
    <w:link w:val="afff9"/>
    <w:semiHidden/>
    <w:rsid w:val="008C1C67"/>
    <w:rPr>
      <w:rFonts w:ascii="Arial Narrow" w:eastAsia="仿宋_GB2312" w:hAnsi="Arial Narrow" w:cs="Arial Narrow"/>
      <w:sz w:val="28"/>
      <w:szCs w:val="28"/>
    </w:rPr>
  </w:style>
  <w:style w:type="paragraph" w:customStyle="1" w:styleId="afff9">
    <w:name w:val="中企华"/>
    <w:basedOn w:val="a"/>
    <w:link w:val="Charf5"/>
    <w:semiHidden/>
    <w:qFormat/>
    <w:pPr>
      <w:snapToGrid w:val="0"/>
      <w:spacing w:line="300" w:lineRule="auto"/>
      <w:ind w:firstLineChars="200" w:firstLine="560"/>
    </w:pPr>
    <w:rPr>
      <w:rFonts w:ascii="Arial Narrow" w:eastAsia="仿宋_GB2312" w:hAnsi="Arial Narrow" w:cs="Arial Narrow"/>
      <w:sz w:val="28"/>
      <w:szCs w:val="28"/>
    </w:rPr>
  </w:style>
  <w:style w:type="character" w:customStyle="1" w:styleId="font31">
    <w:name w:val="font31"/>
    <w:semiHidden/>
    <w:qFormat/>
    <w:rPr>
      <w:rFonts w:ascii="宋体" w:eastAsia="宋体" w:hAnsi="宋体" w:cs="宋体" w:hint="eastAsia"/>
      <w:color w:val="000000"/>
      <w:sz w:val="20"/>
      <w:szCs w:val="20"/>
      <w:u w:val="none"/>
    </w:rPr>
  </w:style>
  <w:style w:type="character" w:customStyle="1" w:styleId="2Char12">
    <w:name w:val="标题 2 Char1"/>
    <w:semiHidden/>
    <w:rPr>
      <w:rFonts w:ascii="仿宋_GB2312" w:eastAsia="仿宋_GB2312" w:hAnsi="Cambria"/>
      <w:b/>
      <w:bCs/>
      <w:kern w:val="2"/>
      <w:sz w:val="28"/>
      <w:szCs w:val="32"/>
    </w:rPr>
  </w:style>
  <w:style w:type="character" w:customStyle="1" w:styleId="15Char">
    <w:name w:val="样式15 Char"/>
    <w:basedOn w:val="10Char1"/>
    <w:link w:val="15a"/>
    <w:semiHidden/>
    <w:rsid w:val="008C1C67"/>
    <w:rPr>
      <w:rFonts w:ascii="Cambria" w:eastAsia="仿宋" w:hAnsi="Cambria"/>
      <w:sz w:val="21"/>
      <w:szCs w:val="21"/>
      <w:lang w:val="zh-CN" w:eastAsia="ar-SA"/>
    </w:rPr>
  </w:style>
  <w:style w:type="paragraph" w:customStyle="1" w:styleId="15a">
    <w:name w:val="样式15"/>
    <w:basedOn w:val="10a"/>
    <w:link w:val="15Char"/>
    <w:semiHidden/>
    <w:qFormat/>
    <w:pPr>
      <w:pBdr>
        <w:bottom w:val="none" w:sz="0" w:space="0" w:color="auto"/>
      </w:pBdr>
    </w:pPr>
  </w:style>
  <w:style w:type="character" w:customStyle="1" w:styleId="14Char">
    <w:name w:val="样式14 Char"/>
    <w:link w:val="14a"/>
    <w:semiHidden/>
    <w:rsid w:val="008C1C67"/>
    <w:rPr>
      <w:rFonts w:ascii="Arial Narrow" w:eastAsia="仿宋_GB2312" w:hAnsi="Arial Narrow" w:cs="仿宋_GB2312"/>
      <w:sz w:val="28"/>
      <w:szCs w:val="28"/>
      <w:lang w:val="zh-CN" w:eastAsia="ar-SA"/>
    </w:rPr>
  </w:style>
  <w:style w:type="paragraph" w:customStyle="1" w:styleId="14a">
    <w:name w:val="样式14"/>
    <w:basedOn w:val="a"/>
    <w:link w:val="14Char"/>
    <w:semiHidden/>
    <w:qFormat/>
    <w:pPr>
      <w:pBdr>
        <w:bottom w:val="double" w:sz="4" w:space="1" w:color="auto"/>
      </w:pBdr>
      <w:suppressAutoHyphens/>
      <w:snapToGrid w:val="0"/>
      <w:spacing w:line="300" w:lineRule="auto"/>
      <w:ind w:firstLine="560"/>
    </w:pPr>
    <w:rPr>
      <w:rFonts w:ascii="Arial Narrow" w:eastAsia="仿宋_GB2312" w:hAnsi="Arial Narrow" w:cs="仿宋_GB2312"/>
      <w:sz w:val="28"/>
      <w:szCs w:val="28"/>
      <w:lang w:val="zh-CN" w:eastAsia="ar-SA"/>
    </w:rPr>
  </w:style>
  <w:style w:type="character" w:customStyle="1" w:styleId="1fff3">
    <w:name w:val="纯文本 字符1"/>
    <w:uiPriority w:val="99"/>
    <w:semiHidden/>
    <w:rPr>
      <w:rFonts w:ascii="宋体" w:hAnsi="Courier New" w:cs="Courier New"/>
      <w:kern w:val="2"/>
      <w:sz w:val="21"/>
      <w:szCs w:val="21"/>
    </w:rPr>
  </w:style>
  <w:style w:type="character" w:customStyle="1" w:styleId="font41">
    <w:name w:val="font41"/>
    <w:semiHidden/>
    <w:qFormat/>
    <w:rPr>
      <w:rFonts w:ascii="仿宋_GB2312" w:eastAsia="仿宋_GB2312" w:cs="仿宋_GB2312" w:hint="eastAsia"/>
      <w:color w:val="000000"/>
      <w:sz w:val="21"/>
      <w:szCs w:val="21"/>
      <w:u w:val="none"/>
    </w:rPr>
  </w:style>
  <w:style w:type="character" w:customStyle="1" w:styleId="16Char">
    <w:name w:val="样式16 Char"/>
    <w:link w:val="16a"/>
    <w:semiHidden/>
    <w:rsid w:val="008C1C67"/>
    <w:rPr>
      <w:rFonts w:ascii="Arial Narrow" w:eastAsia="仿宋_GB2312" w:hAnsi="Arial Narrow" w:cs="仿宋_GB2312"/>
      <w:sz w:val="18"/>
      <w:szCs w:val="18"/>
      <w:lang w:val="zh-CN" w:eastAsia="ar-SA"/>
    </w:rPr>
  </w:style>
  <w:style w:type="paragraph" w:customStyle="1" w:styleId="16a">
    <w:name w:val="样式16"/>
    <w:basedOn w:val="ad"/>
    <w:link w:val="16Char"/>
    <w:semiHidden/>
    <w:qFormat/>
    <w:rPr>
      <w:rFonts w:ascii="Arial Narrow" w:eastAsia="仿宋_GB2312" w:hAnsi="Arial Narrow" w:cs="仿宋_GB2312"/>
      <w:lang w:val="zh-CN" w:eastAsia="ar-SA"/>
    </w:rPr>
  </w:style>
  <w:style w:type="character" w:customStyle="1" w:styleId="font11">
    <w:name w:val="font11"/>
    <w:semiHidden/>
    <w:qFormat/>
    <w:rPr>
      <w:rFonts w:ascii="宋体" w:eastAsia="宋体" w:hAnsi="宋体" w:cs="宋体" w:hint="eastAsia"/>
      <w:b/>
      <w:color w:val="000000"/>
      <w:sz w:val="20"/>
      <w:szCs w:val="20"/>
      <w:u w:val="none"/>
    </w:rPr>
  </w:style>
  <w:style w:type="character" w:customStyle="1" w:styleId="3Char2">
    <w:name w:val="正文文本缩进 3 Char2"/>
    <w:basedOn w:val="a0"/>
    <w:uiPriority w:val="99"/>
    <w:semiHidden/>
    <w:rPr>
      <w:rFonts w:asciiTheme="minorHAnsi" w:eastAsiaTheme="minorEastAsia" w:hAnsiTheme="minorHAnsi" w:cstheme="minorBidi"/>
      <w:kern w:val="2"/>
      <w:sz w:val="16"/>
      <w:szCs w:val="16"/>
    </w:rPr>
  </w:style>
  <w:style w:type="character" w:customStyle="1" w:styleId="Char1b">
    <w:name w:val="正文首行缩进 Char1"/>
    <w:basedOn w:val="Char2"/>
    <w:uiPriority w:val="99"/>
    <w:semiHidden/>
    <w:rPr>
      <w:rFonts w:asciiTheme="minorHAnsi" w:eastAsiaTheme="minorEastAsia" w:hAnsiTheme="minorHAnsi" w:cstheme="minorBidi"/>
      <w:kern w:val="2"/>
      <w:sz w:val="21"/>
      <w:szCs w:val="22"/>
      <w:lang w:eastAsia="en-US"/>
    </w:rPr>
  </w:style>
  <w:style w:type="paragraph" w:customStyle="1" w:styleId="afffa">
    <w:name w:val="标签"/>
    <w:basedOn w:val="a"/>
    <w:uiPriority w:val="99"/>
    <w:semiHidden/>
    <w:qFormat/>
    <w:pPr>
      <w:suppressLineNumbers/>
      <w:suppressAutoHyphens/>
      <w:snapToGrid w:val="0"/>
      <w:spacing w:before="120" w:after="120" w:line="300" w:lineRule="auto"/>
      <w:ind w:firstLine="560"/>
    </w:pPr>
    <w:rPr>
      <w:rFonts w:ascii="Arial Narrow" w:eastAsia="仿宋_GB2312" w:hAnsi="Arial Narrow" w:cs="Tahoma"/>
      <w:i/>
      <w:iCs/>
      <w:lang w:val="zh-CN" w:eastAsia="ar-SA"/>
    </w:rPr>
  </w:style>
  <w:style w:type="paragraph" w:customStyle="1" w:styleId="8a">
    <w:name w:val="样式8"/>
    <w:basedOn w:val="ae"/>
    <w:uiPriority w:val="99"/>
    <w:semiHidden/>
    <w:qFormat/>
    <w:pPr>
      <w:pBdr>
        <w:bottom w:val="double" w:sz="0" w:space="1" w:color="000000"/>
      </w:pBdr>
      <w:tabs>
        <w:tab w:val="clear" w:pos="4153"/>
        <w:tab w:val="clear" w:pos="8306"/>
        <w:tab w:val="left" w:pos="3114"/>
        <w:tab w:val="center" w:pos="4432"/>
      </w:tabs>
      <w:suppressAutoHyphens/>
      <w:ind w:firstLine="560"/>
      <w:jc w:val="left"/>
    </w:pPr>
    <w:rPr>
      <w:rFonts w:ascii="Cambria" w:hAnsi="Cambria" w:cs="Times New Roman"/>
      <w:sz w:val="21"/>
      <w:szCs w:val="21"/>
      <w:lang w:val="zh-CN" w:eastAsia="ar-SA"/>
    </w:rPr>
  </w:style>
  <w:style w:type="paragraph" w:customStyle="1" w:styleId="H1">
    <w:name w:val="H1"/>
    <w:basedOn w:val="1"/>
    <w:uiPriority w:val="99"/>
    <w:semiHidden/>
    <w:qFormat/>
    <w:pPr>
      <w:keepNext w:val="0"/>
      <w:keepLines w:val="0"/>
      <w:tabs>
        <w:tab w:val="left" w:pos="432"/>
      </w:tabs>
      <w:suppressAutoHyphens/>
      <w:overflowPunct w:val="0"/>
      <w:autoSpaceDE w:val="0"/>
      <w:adjustRightInd w:val="0"/>
      <w:snapToGrid w:val="0"/>
      <w:spacing w:beforeLines="150" w:afterLines="150" w:line="360" w:lineRule="atLeast"/>
      <w:ind w:left="432" w:right="57" w:hanging="432"/>
      <w:textAlignment w:val="baseline"/>
      <w:outlineLvl w:val="9"/>
    </w:pPr>
    <w:rPr>
      <w:rFonts w:ascii="黑体" w:hAnsi="Times New Roman" w:cs="Times New Roman"/>
      <w:b w:val="0"/>
      <w:kern w:val="0"/>
      <w:sz w:val="30"/>
      <w:szCs w:val="20"/>
      <w:lang w:val="zh-CN" w:eastAsia="ar-SA"/>
    </w:rPr>
  </w:style>
  <w:style w:type="paragraph" w:customStyle="1" w:styleId="12a">
    <w:name w:val="样式12"/>
    <w:basedOn w:val="ae"/>
    <w:uiPriority w:val="99"/>
    <w:semiHidden/>
    <w:qFormat/>
    <w:pPr>
      <w:pBdr>
        <w:bottom w:val="none" w:sz="0" w:space="0" w:color="auto"/>
      </w:pBdr>
      <w:tabs>
        <w:tab w:val="clear" w:pos="4153"/>
        <w:tab w:val="clear" w:pos="8306"/>
        <w:tab w:val="left" w:pos="3114"/>
        <w:tab w:val="center" w:pos="4432"/>
      </w:tabs>
      <w:suppressAutoHyphens/>
      <w:ind w:firstLine="560"/>
      <w:jc w:val="left"/>
    </w:pPr>
    <w:rPr>
      <w:rFonts w:ascii="Cambria" w:hAnsi="Cambria" w:cs="Times New Roman"/>
      <w:sz w:val="21"/>
      <w:szCs w:val="21"/>
      <w:lang w:val="zh-CN" w:eastAsia="ar-SA"/>
    </w:rPr>
  </w:style>
  <w:style w:type="paragraph" w:customStyle="1" w:styleId="afffb">
    <w:name w:val="目录"/>
    <w:basedOn w:val="a"/>
    <w:uiPriority w:val="99"/>
    <w:semiHidden/>
    <w:qFormat/>
    <w:pPr>
      <w:suppressLineNumbers/>
      <w:suppressAutoHyphens/>
      <w:snapToGrid w:val="0"/>
      <w:spacing w:line="300" w:lineRule="auto"/>
      <w:ind w:firstLine="560"/>
    </w:pPr>
    <w:rPr>
      <w:rFonts w:ascii="Arial Narrow" w:eastAsia="仿宋_GB2312" w:hAnsi="Arial Narrow" w:cs="Tahoma"/>
      <w:sz w:val="28"/>
      <w:szCs w:val="28"/>
      <w:lang w:val="zh-CN" w:eastAsia="ar-SA"/>
    </w:rPr>
  </w:style>
  <w:style w:type="paragraph" w:customStyle="1" w:styleId="2fb">
    <w:name w:val="标题2"/>
    <w:basedOn w:val="a"/>
    <w:next w:val="a7"/>
    <w:uiPriority w:val="99"/>
    <w:semiHidden/>
    <w:qFormat/>
    <w:pPr>
      <w:keepNext/>
      <w:suppressAutoHyphens/>
      <w:snapToGrid w:val="0"/>
      <w:spacing w:before="240" w:after="120" w:line="300" w:lineRule="auto"/>
      <w:ind w:firstLine="560"/>
    </w:pPr>
    <w:rPr>
      <w:rFonts w:ascii="Arial" w:hAnsi="Arial" w:cs="Tahoma"/>
      <w:sz w:val="28"/>
      <w:szCs w:val="28"/>
      <w:lang w:val="zh-CN" w:eastAsia="ar-SA"/>
    </w:rPr>
  </w:style>
  <w:style w:type="paragraph" w:customStyle="1" w:styleId="2fc">
    <w:name w:val="2"/>
    <w:basedOn w:val="a"/>
    <w:uiPriority w:val="99"/>
    <w:semiHidden/>
    <w:qFormat/>
    <w:pPr>
      <w:spacing w:line="300" w:lineRule="auto"/>
      <w:ind w:firstLineChars="210" w:firstLine="210"/>
    </w:pPr>
    <w:rPr>
      <w:rFonts w:ascii="Tahoma" w:hAnsi="Tahoma" w:cs="Times New Roman"/>
      <w:szCs w:val="20"/>
    </w:rPr>
  </w:style>
  <w:style w:type="paragraph" w:customStyle="1" w:styleId="afffc">
    <w:name w:val="表格内容"/>
    <w:basedOn w:val="a"/>
    <w:uiPriority w:val="99"/>
    <w:semiHidden/>
    <w:qFormat/>
    <w:pPr>
      <w:suppressLineNumbers/>
      <w:suppressAutoHyphens/>
      <w:snapToGrid w:val="0"/>
      <w:spacing w:line="300" w:lineRule="auto"/>
      <w:ind w:firstLine="560"/>
    </w:pPr>
    <w:rPr>
      <w:rFonts w:ascii="Arial Narrow" w:eastAsia="仿宋_GB2312" w:hAnsi="Arial Narrow" w:cs="仿宋_GB2312"/>
      <w:sz w:val="28"/>
      <w:szCs w:val="28"/>
      <w:lang w:val="zh-CN" w:eastAsia="ar-SA"/>
    </w:rPr>
  </w:style>
  <w:style w:type="paragraph" w:customStyle="1" w:styleId="fig">
    <w:name w:val="fig"/>
    <w:basedOn w:val="a"/>
    <w:uiPriority w:val="99"/>
    <w:semiHidden/>
    <w:qFormat/>
    <w:pPr>
      <w:adjustRightInd w:val="0"/>
      <w:snapToGrid w:val="0"/>
      <w:spacing w:line="384" w:lineRule="auto"/>
      <w:ind w:firstLineChars="300" w:firstLine="630"/>
    </w:pPr>
    <w:rPr>
      <w:rFonts w:cs="Times New Roman"/>
      <w:szCs w:val="20"/>
    </w:rPr>
  </w:style>
  <w:style w:type="paragraph" w:customStyle="1" w:styleId="4b">
    <w:name w:val="样式4"/>
    <w:basedOn w:val="ad"/>
    <w:uiPriority w:val="99"/>
    <w:semiHidden/>
    <w:qFormat/>
  </w:style>
  <w:style w:type="paragraph" w:customStyle="1" w:styleId="HeadingDate">
    <w:name w:val="Heading Date"/>
    <w:basedOn w:val="ae"/>
    <w:uiPriority w:val="99"/>
    <w:semiHidden/>
    <w:qFormat/>
    <w:pPr>
      <w:pBdr>
        <w:bottom w:val="none" w:sz="0" w:space="0" w:color="auto"/>
      </w:pBdr>
      <w:tabs>
        <w:tab w:val="clear" w:pos="4153"/>
        <w:tab w:val="clear" w:pos="8306"/>
        <w:tab w:val="center" w:pos="4680"/>
        <w:tab w:val="right" w:pos="9360"/>
      </w:tabs>
      <w:snapToGrid/>
      <w:spacing w:line="300" w:lineRule="auto"/>
      <w:ind w:left="576" w:firstLineChars="210" w:firstLine="210"/>
      <w:jc w:val="left"/>
    </w:pPr>
    <w:rPr>
      <w:rFonts w:ascii="Cambria" w:eastAsia="Calibri" w:hAnsi="Cambria" w:cs="Times New Roman"/>
      <w:caps/>
      <w:color w:val="000000"/>
      <w:sz w:val="16"/>
      <w:szCs w:val="22"/>
      <w:lang w:eastAsia="en-US"/>
    </w:rPr>
  </w:style>
  <w:style w:type="paragraph" w:customStyle="1" w:styleId="5a">
    <w:name w:val="样式5"/>
    <w:basedOn w:val="ad"/>
    <w:uiPriority w:val="99"/>
    <w:semiHidden/>
    <w:qFormat/>
  </w:style>
  <w:style w:type="paragraph" w:customStyle="1" w:styleId="xl78">
    <w:name w:val="xl78"/>
    <w:basedOn w:val="a"/>
    <w:uiPriority w:val="99"/>
    <w:semiHidden/>
    <w:qFormat/>
    <w:pPr>
      <w:shd w:val="clear" w:color="auto" w:fill="FFFFFF"/>
      <w:spacing w:before="100" w:beforeAutospacing="1" w:after="100" w:afterAutospacing="1"/>
      <w:jc w:val="right"/>
    </w:pPr>
    <w:rPr>
      <w:rFonts w:ascii="仿宋_GB2312" w:eastAsia="仿宋_GB2312" w:hAnsi="Arial Unicode MS" w:cs="Arial Unicode MS" w:hint="eastAsia"/>
      <w:sz w:val="20"/>
      <w:szCs w:val="20"/>
    </w:rPr>
  </w:style>
  <w:style w:type="paragraph" w:customStyle="1" w:styleId="9a">
    <w:name w:val="样式9"/>
    <w:basedOn w:val="ad"/>
    <w:uiPriority w:val="99"/>
    <w:semiHidden/>
    <w:qFormat/>
  </w:style>
  <w:style w:type="paragraph" w:customStyle="1" w:styleId="xl59">
    <w:name w:val="xl59"/>
    <w:basedOn w:val="a"/>
    <w:uiPriority w:val="99"/>
    <w:semiHidden/>
    <w:qFormat/>
    <w:pPr>
      <w:pBdr>
        <w:left w:val="single" w:sz="4" w:space="0" w:color="auto"/>
        <w:bottom w:val="single" w:sz="4" w:space="0" w:color="auto"/>
        <w:right w:val="single" w:sz="4" w:space="0" w:color="auto"/>
      </w:pBdr>
      <w:spacing w:before="100" w:beforeAutospacing="1" w:after="100" w:afterAutospacing="1" w:line="300" w:lineRule="auto"/>
      <w:ind w:firstLineChars="210" w:firstLine="210"/>
      <w:textAlignment w:val="center"/>
    </w:pPr>
    <w:rPr>
      <w:rFonts w:ascii="Arial Narrow" w:hAnsi="Arial Narrow" w:cs="Times New Roman"/>
      <w:sz w:val="18"/>
      <w:szCs w:val="20"/>
    </w:rPr>
  </w:style>
  <w:style w:type="paragraph" w:customStyle="1" w:styleId="CharCharChar">
    <w:name w:val="Char Char Char"/>
    <w:basedOn w:val="a"/>
    <w:uiPriority w:val="99"/>
    <w:semiHidden/>
    <w:qFormat/>
    <w:pPr>
      <w:spacing w:line="300" w:lineRule="auto"/>
      <w:ind w:firstLineChars="210" w:firstLine="210"/>
    </w:pPr>
    <w:rPr>
      <w:rFonts w:ascii="Tahoma" w:hAnsi="Tahoma" w:cs="Times New Roman"/>
      <w:szCs w:val="20"/>
    </w:rPr>
  </w:style>
  <w:style w:type="paragraph" w:customStyle="1" w:styleId="CM5">
    <w:name w:val="CM5"/>
    <w:basedOn w:val="Default"/>
    <w:next w:val="Default"/>
    <w:uiPriority w:val="99"/>
    <w:semiHidden/>
    <w:qFormat/>
  </w:style>
  <w:style w:type="paragraph" w:customStyle="1" w:styleId="WW-0">
    <w:name w:val="WW-正文缩进"/>
    <w:basedOn w:val="a"/>
    <w:uiPriority w:val="99"/>
    <w:semiHidden/>
    <w:qFormat/>
    <w:pPr>
      <w:suppressAutoHyphens/>
      <w:overflowPunct w:val="0"/>
      <w:autoSpaceDE w:val="0"/>
      <w:spacing w:line="300" w:lineRule="auto"/>
      <w:ind w:firstLine="556"/>
      <w:textAlignment w:val="baseline"/>
    </w:pPr>
    <w:rPr>
      <w:rFonts w:ascii="仿宋_GB2312" w:eastAsia="仿宋_GB2312" w:hAnsi="仿宋_GB2312" w:cs="Times New Roman"/>
      <w:kern w:val="1"/>
      <w:sz w:val="28"/>
      <w:szCs w:val="20"/>
      <w:lang w:eastAsia="ar-SA"/>
    </w:rPr>
  </w:style>
  <w:style w:type="paragraph" w:customStyle="1" w:styleId="CharChar1Char">
    <w:name w:val="Char Char1 Char"/>
    <w:basedOn w:val="a5"/>
    <w:uiPriority w:val="99"/>
    <w:semiHidden/>
    <w:qFormat/>
  </w:style>
  <w:style w:type="paragraph" w:customStyle="1" w:styleId="font5">
    <w:name w:val="font5"/>
    <w:basedOn w:val="a"/>
    <w:uiPriority w:val="99"/>
    <w:semiHidden/>
    <w:qFormat/>
    <w:pPr>
      <w:spacing w:before="100" w:beforeAutospacing="1" w:after="100" w:afterAutospacing="1" w:line="300" w:lineRule="auto"/>
      <w:ind w:firstLineChars="210" w:firstLine="210"/>
    </w:pPr>
    <w:rPr>
      <w:rFonts w:cs="Times New Roman"/>
      <w:sz w:val="18"/>
      <w:szCs w:val="20"/>
    </w:rPr>
  </w:style>
  <w:style w:type="paragraph" w:customStyle="1" w:styleId="6a">
    <w:name w:val="样式6"/>
    <w:basedOn w:val="ae"/>
    <w:uiPriority w:val="99"/>
    <w:semiHidden/>
    <w:qFormat/>
    <w:pPr>
      <w:pBdr>
        <w:bottom w:val="double" w:sz="16" w:space="1" w:color="800000"/>
      </w:pBdr>
      <w:tabs>
        <w:tab w:val="clear" w:pos="4153"/>
        <w:tab w:val="clear" w:pos="8306"/>
        <w:tab w:val="left" w:pos="3114"/>
        <w:tab w:val="center" w:pos="4432"/>
      </w:tabs>
      <w:suppressAutoHyphens/>
      <w:ind w:firstLine="360"/>
      <w:jc w:val="left"/>
    </w:pPr>
    <w:rPr>
      <w:rFonts w:ascii="Cambria" w:hAnsi="Cambria" w:cs="Times New Roman"/>
      <w:sz w:val="21"/>
      <w:szCs w:val="21"/>
      <w:lang w:val="zh-CN" w:eastAsia="ar-SA"/>
    </w:rPr>
  </w:style>
  <w:style w:type="paragraph" w:customStyle="1" w:styleId="FDE21B788D38428EBB88308E46662AE9">
    <w:name w:val="FDE21B788D38428EBB88308E46662AE9"/>
    <w:uiPriority w:val="99"/>
    <w:semiHidden/>
    <w:qFormat/>
    <w:pPr>
      <w:spacing w:after="200" w:line="276" w:lineRule="auto"/>
      <w:ind w:firstLineChars="210" w:firstLine="210"/>
    </w:pPr>
    <w:rPr>
      <w:rFonts w:ascii="Calibri" w:hAnsi="Calibri"/>
      <w:sz w:val="22"/>
      <w:szCs w:val="22"/>
      <w:lang w:eastAsia="en-US"/>
    </w:rPr>
  </w:style>
  <w:style w:type="paragraph" w:customStyle="1" w:styleId="afffd">
    <w:name w:val="小标题"/>
    <w:basedOn w:val="a"/>
    <w:uiPriority w:val="99"/>
    <w:semiHidden/>
    <w:qFormat/>
    <w:pPr>
      <w:autoSpaceDE w:val="0"/>
      <w:autoSpaceDN w:val="0"/>
      <w:adjustRightInd w:val="0"/>
      <w:spacing w:before="360" w:after="360" w:line="440" w:lineRule="atLeast"/>
      <w:ind w:firstLineChars="210" w:firstLine="210"/>
      <w:textAlignment w:val="baseline"/>
    </w:pPr>
    <w:rPr>
      <w:rFonts w:ascii="黑体" w:eastAsia="黑体" w:hAnsi="Times New Roman" w:cs="Times New Roman"/>
      <w:b/>
      <w:spacing w:val="5"/>
      <w:sz w:val="32"/>
      <w:szCs w:val="20"/>
    </w:rPr>
  </w:style>
  <w:style w:type="paragraph" w:customStyle="1" w:styleId="CM2">
    <w:name w:val="CM2"/>
    <w:basedOn w:val="Default"/>
    <w:next w:val="Default"/>
    <w:uiPriority w:val="99"/>
    <w:semiHidden/>
    <w:qFormat/>
  </w:style>
  <w:style w:type="paragraph" w:customStyle="1" w:styleId="5b">
    <w:name w:val="正文5"/>
    <w:basedOn w:val="22"/>
    <w:uiPriority w:val="99"/>
    <w:semiHidden/>
    <w:qFormat/>
    <w:pPr>
      <w:spacing w:after="0" w:line="360" w:lineRule="auto"/>
      <w:ind w:leftChars="0" w:left="0" w:firstLineChars="210" w:firstLine="539"/>
    </w:pPr>
    <w:rPr>
      <w:rFonts w:ascii="Calibri" w:hAnsi="Calibri" w:cs="Times New Roman"/>
    </w:rPr>
  </w:style>
  <w:style w:type="paragraph" w:customStyle="1" w:styleId="3f4">
    <w:name w:val="标题3"/>
    <w:basedOn w:val="30"/>
    <w:uiPriority w:val="99"/>
    <w:semiHidden/>
    <w:qFormat/>
    <w:pPr>
      <w:suppressAutoHyphens/>
      <w:adjustRightInd w:val="0"/>
      <w:snapToGrid w:val="0"/>
      <w:spacing w:before="0" w:after="0" w:line="300" w:lineRule="auto"/>
      <w:ind w:firstLine="560"/>
    </w:pPr>
    <w:rPr>
      <w:rFonts w:ascii="仿宋_GB2312" w:eastAsia="仿宋_GB2312" w:hAnsi="Calibri" w:cs="Times New Roman"/>
      <w:b w:val="0"/>
      <w:bCs w:val="0"/>
      <w:snapToGrid w:val="0"/>
      <w:sz w:val="28"/>
      <w:szCs w:val="22"/>
    </w:rPr>
  </w:style>
  <w:style w:type="paragraph" w:customStyle="1" w:styleId="6AE78B3643DD4987A7BC90F412BB57A5">
    <w:name w:val="6AE78B3643DD4987A7BC90F412BB57A5"/>
    <w:uiPriority w:val="99"/>
    <w:semiHidden/>
    <w:qFormat/>
    <w:pPr>
      <w:spacing w:after="200" w:line="276" w:lineRule="auto"/>
      <w:ind w:firstLineChars="210" w:firstLine="210"/>
    </w:pPr>
    <w:rPr>
      <w:rFonts w:ascii="Calibri" w:hAnsi="Calibri"/>
      <w:sz w:val="22"/>
      <w:szCs w:val="22"/>
      <w:lang w:eastAsia="en-US"/>
    </w:rPr>
  </w:style>
  <w:style w:type="paragraph" w:customStyle="1" w:styleId="msonormal0">
    <w:name w:val="msonormal"/>
    <w:basedOn w:val="a"/>
    <w:uiPriority w:val="99"/>
    <w:semiHidden/>
    <w:qFormat/>
    <w:pPr>
      <w:suppressAutoHyphens/>
      <w:spacing w:before="280" w:after="280"/>
    </w:pPr>
    <w:rPr>
      <w:lang w:eastAsia="ar-SA"/>
    </w:rPr>
  </w:style>
  <w:style w:type="paragraph" w:customStyle="1" w:styleId="11d">
    <w:name w:val="样式11"/>
    <w:basedOn w:val="ad"/>
    <w:uiPriority w:val="99"/>
    <w:semiHidden/>
    <w:qFormat/>
  </w:style>
  <w:style w:type="paragraph" w:customStyle="1" w:styleId="TOC2">
    <w:name w:val="TOC 标题2"/>
    <w:basedOn w:val="1"/>
    <w:next w:val="a"/>
    <w:uiPriority w:val="99"/>
    <w:semiHidden/>
    <w:qFormat/>
    <w:pPr>
      <w:tabs>
        <w:tab w:val="left" w:pos="432"/>
      </w:tabs>
      <w:suppressAutoHyphens/>
      <w:overflowPunct w:val="0"/>
      <w:autoSpaceDE w:val="0"/>
      <w:adjustRightInd w:val="0"/>
      <w:snapToGrid w:val="0"/>
      <w:spacing w:beforeLines="150" w:afterLines="150" w:line="276" w:lineRule="auto"/>
      <w:ind w:left="432" w:hanging="432"/>
      <w:textAlignment w:val="baseline"/>
      <w:outlineLvl w:val="9"/>
    </w:pPr>
    <w:rPr>
      <w:rFonts w:ascii="Cambria" w:eastAsia="宋体" w:hAnsi="Cambria" w:cs="Times New Roman"/>
      <w:b w:val="0"/>
      <w:bCs w:val="0"/>
      <w:color w:val="376092"/>
      <w:kern w:val="0"/>
      <w:sz w:val="28"/>
      <w:szCs w:val="28"/>
      <w:lang w:val="zh-CN" w:eastAsia="ar-SA"/>
    </w:rPr>
  </w:style>
  <w:style w:type="paragraph" w:customStyle="1" w:styleId="3f5">
    <w:name w:val="修订3"/>
    <w:hidden/>
    <w:uiPriority w:val="99"/>
    <w:semiHidden/>
    <w:qFormat/>
    <w:rPr>
      <w:rFonts w:asciiTheme="minorHAnsi" w:eastAsiaTheme="minorEastAsia" w:hAnsiTheme="minorHAnsi" w:cstheme="minorBidi"/>
      <w:kern w:val="2"/>
      <w:sz w:val="21"/>
      <w:szCs w:val="22"/>
    </w:rPr>
  </w:style>
  <w:style w:type="character" w:customStyle="1" w:styleId="5c">
    <w:name w:val="未处理的提及5"/>
    <w:basedOn w:val="a0"/>
    <w:uiPriority w:val="99"/>
    <w:semiHidden/>
    <w:rPr>
      <w:color w:val="605E5C"/>
      <w:shd w:val="clear" w:color="auto" w:fill="E1DFDD"/>
    </w:rPr>
  </w:style>
  <w:style w:type="paragraph" w:customStyle="1" w:styleId="005">
    <w:name w:val="005正文"/>
    <w:basedOn w:val="a"/>
    <w:link w:val="005Char"/>
    <w:rsid w:val="008C1C67"/>
    <w:pPr>
      <w:widowControl w:val="0"/>
      <w:spacing w:beforeLines="50" w:before="50" w:afterLines="50" w:after="50" w:line="360" w:lineRule="auto"/>
      <w:ind w:firstLineChars="200" w:firstLine="200"/>
      <w:jc w:val="both"/>
    </w:pPr>
    <w:rPr>
      <w:rFonts w:ascii="Times New Roman" w:hAnsi="Times New Roman" w:cs="Times New Roman"/>
      <w:kern w:val="2"/>
      <w:szCs w:val="22"/>
    </w:rPr>
  </w:style>
  <w:style w:type="character" w:customStyle="1" w:styleId="005Char">
    <w:name w:val="005正文 Char"/>
    <w:link w:val="005"/>
    <w:qFormat/>
    <w:rsid w:val="008C1C67"/>
    <w:rPr>
      <w:kern w:val="2"/>
      <w:sz w:val="24"/>
      <w:szCs w:val="22"/>
    </w:rPr>
  </w:style>
  <w:style w:type="paragraph" w:customStyle="1" w:styleId="paragraph">
    <w:name w:val="paragraph"/>
    <w:basedOn w:val="a"/>
    <w:semiHidden/>
    <w:pPr>
      <w:spacing w:before="100" w:beforeAutospacing="1" w:after="100" w:afterAutospacing="1"/>
    </w:pPr>
  </w:style>
  <w:style w:type="table" w:customStyle="1" w:styleId="TableGrid">
    <w:name w:val="TableGrid"/>
    <w:rPr>
      <w:rFonts w:asciiTheme="minorHAnsi" w:eastAsiaTheme="minorEastAsia" w:hAnsiTheme="minorHAnsi" w:cstheme="minorBidi"/>
      <w:kern w:val="2"/>
      <w:sz w:val="21"/>
      <w:szCs w:val="24"/>
    </w:rPr>
    <w:tblPr>
      <w:tblCellMar>
        <w:top w:w="0" w:type="dxa"/>
        <w:left w:w="0" w:type="dxa"/>
        <w:bottom w:w="0" w:type="dxa"/>
        <w:right w:w="0" w:type="dxa"/>
      </w:tblCellMar>
    </w:tblPr>
  </w:style>
  <w:style w:type="character" w:customStyle="1" w:styleId="ZWChar0">
    <w:name w:val="ZW Char"/>
    <w:link w:val="ZW0"/>
    <w:semiHidden/>
    <w:qFormat/>
    <w:rsid w:val="008C1C67"/>
    <w:rPr>
      <w:rFonts w:ascii="Arial Narrow" w:eastAsia="昆仑楷体"/>
      <w:sz w:val="28"/>
    </w:rPr>
  </w:style>
  <w:style w:type="paragraph" w:customStyle="1" w:styleId="ZW0">
    <w:name w:val="ZW"/>
    <w:basedOn w:val="a"/>
    <w:link w:val="ZWChar0"/>
    <w:semiHidden/>
    <w:qFormat/>
    <w:pPr>
      <w:widowControl w:val="0"/>
      <w:adjustRightInd w:val="0"/>
      <w:spacing w:line="440" w:lineRule="atLeast"/>
      <w:ind w:firstLine="601"/>
      <w:jc w:val="both"/>
      <w:textAlignment w:val="baseline"/>
    </w:pPr>
    <w:rPr>
      <w:rFonts w:ascii="Arial Narrow" w:eastAsia="昆仑楷体" w:hAnsi="Times New Roman" w:cs="Times New Roman"/>
      <w:sz w:val="28"/>
      <w:szCs w:val="20"/>
    </w:rPr>
  </w:style>
  <w:style w:type="table" w:customStyle="1" w:styleId="afffe">
    <w:name w:val="东洲报告表格样式"/>
    <w:basedOn w:val="a1"/>
    <w:uiPriority w:val="99"/>
    <w:qFormat/>
    <w:tblPr>
      <w:tblBorders>
        <w:top w:val="single" w:sz="8" w:space="0" w:color="auto"/>
        <w:bottom w:val="single" w:sz="8" w:space="0" w:color="auto"/>
        <w:insideH w:val="dotted" w:sz="4" w:space="0" w:color="auto"/>
        <w:insideV w:val="dotted" w:sz="4" w:space="0" w:color="auto"/>
      </w:tblBorders>
    </w:tblPr>
    <w:tcPr>
      <w:vAlign w:val="center"/>
    </w:tcPr>
    <w:tblStylePr w:type="firstRow">
      <w:tblPr/>
      <w:trPr>
        <w:tblHeader/>
      </w:trPr>
    </w:tblStylePr>
  </w:style>
  <w:style w:type="paragraph" w:customStyle="1" w:styleId="1fff4">
    <w:name w:val="立信附注标题 [1级]"/>
    <w:next w:val="a"/>
    <w:link w:val="1Char1"/>
    <w:semiHidden/>
    <w:qFormat/>
    <w:pPr>
      <w:widowControl w:val="0"/>
      <w:tabs>
        <w:tab w:val="left" w:pos="714"/>
        <w:tab w:val="left" w:pos="850"/>
      </w:tabs>
      <w:adjustRightInd w:val="0"/>
      <w:snapToGrid w:val="0"/>
      <w:spacing w:line="400" w:lineRule="atLeast"/>
      <w:ind w:left="709" w:hanging="709"/>
      <w:jc w:val="both"/>
      <w:outlineLvl w:val="0"/>
    </w:pPr>
    <w:rPr>
      <w:b/>
      <w:color w:val="000000"/>
      <w:kern w:val="2"/>
      <w:sz w:val="21"/>
      <w:szCs w:val="21"/>
    </w:rPr>
  </w:style>
  <w:style w:type="paragraph" w:customStyle="1" w:styleId="2">
    <w:name w:val="立信附注标题 [2级]"/>
    <w:next w:val="a"/>
    <w:link w:val="2Char3"/>
    <w:semiHidden/>
    <w:qFormat/>
    <w:pPr>
      <w:widowControl w:val="0"/>
      <w:numPr>
        <w:ilvl w:val="1"/>
        <w:numId w:val="2"/>
      </w:numPr>
      <w:tabs>
        <w:tab w:val="left" w:pos="714"/>
        <w:tab w:val="left" w:pos="850"/>
      </w:tabs>
      <w:adjustRightInd w:val="0"/>
      <w:snapToGrid w:val="0"/>
      <w:spacing w:line="400" w:lineRule="atLeast"/>
      <w:jc w:val="both"/>
      <w:outlineLvl w:val="1"/>
    </w:pPr>
    <w:rPr>
      <w:b/>
      <w:color w:val="000000"/>
      <w:kern w:val="2"/>
      <w:sz w:val="21"/>
      <w:szCs w:val="21"/>
    </w:rPr>
  </w:style>
  <w:style w:type="character" w:customStyle="1" w:styleId="2Char3">
    <w:name w:val="立信附注标题 [2级] Char"/>
    <w:basedOn w:val="a0"/>
    <w:link w:val="2"/>
    <w:semiHidden/>
    <w:qFormat/>
    <w:rsid w:val="008C1C67"/>
    <w:rPr>
      <w:b/>
      <w:color w:val="000000"/>
      <w:kern w:val="2"/>
      <w:sz w:val="21"/>
      <w:szCs w:val="21"/>
    </w:rPr>
  </w:style>
  <w:style w:type="paragraph" w:customStyle="1" w:styleId="3">
    <w:name w:val="立信附注标题 [3级]"/>
    <w:next w:val="a"/>
    <w:link w:val="3Char3"/>
    <w:semiHidden/>
    <w:qFormat/>
    <w:pPr>
      <w:widowControl w:val="0"/>
      <w:numPr>
        <w:ilvl w:val="2"/>
        <w:numId w:val="2"/>
      </w:numPr>
      <w:tabs>
        <w:tab w:val="left" w:pos="0"/>
      </w:tabs>
      <w:adjustRightInd w:val="0"/>
      <w:snapToGrid w:val="0"/>
      <w:spacing w:line="400" w:lineRule="atLeast"/>
      <w:jc w:val="both"/>
      <w:outlineLvl w:val="2"/>
    </w:pPr>
    <w:rPr>
      <w:b/>
      <w:color w:val="000000"/>
      <w:kern w:val="2"/>
      <w:sz w:val="21"/>
      <w:szCs w:val="21"/>
    </w:rPr>
  </w:style>
  <w:style w:type="table" w:customStyle="1" w:styleId="2fd">
    <w:name w:val="立信年报表格 [2级]"/>
    <w:basedOn w:val="a1"/>
    <w:qFormat/>
    <w:pPr>
      <w:jc w:val="both"/>
    </w:pPr>
    <w:rPr>
      <w:color w:val="000000"/>
      <w:sz w:val="18"/>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character" w:customStyle="1" w:styleId="3Char3">
    <w:name w:val="立信附注标题 [3级] Char"/>
    <w:basedOn w:val="a0"/>
    <w:link w:val="3"/>
    <w:semiHidden/>
    <w:qFormat/>
    <w:rsid w:val="008C1C67"/>
    <w:rPr>
      <w:b/>
      <w:color w:val="000000"/>
      <w:kern w:val="2"/>
      <w:sz w:val="21"/>
      <w:szCs w:val="21"/>
    </w:rPr>
  </w:style>
  <w:style w:type="paragraph" w:customStyle="1" w:styleId="3f6">
    <w:name w:val="立信附注正文 [3级]"/>
    <w:link w:val="3Char4"/>
    <w:semiHidden/>
    <w:qFormat/>
    <w:pPr>
      <w:widowControl w:val="0"/>
      <w:tabs>
        <w:tab w:val="left" w:pos="0"/>
      </w:tabs>
      <w:adjustRightInd w:val="0"/>
      <w:snapToGrid w:val="0"/>
      <w:spacing w:line="400" w:lineRule="atLeast"/>
      <w:ind w:left="1276"/>
      <w:jc w:val="both"/>
    </w:pPr>
    <w:rPr>
      <w:color w:val="000000"/>
      <w:kern w:val="2"/>
      <w:sz w:val="21"/>
      <w:szCs w:val="21"/>
    </w:rPr>
  </w:style>
  <w:style w:type="character" w:customStyle="1" w:styleId="3Char4">
    <w:name w:val="立信附注正文 [3级] Char"/>
    <w:basedOn w:val="a0"/>
    <w:link w:val="3f6"/>
    <w:semiHidden/>
    <w:qFormat/>
    <w:rsid w:val="008C1C67"/>
    <w:rPr>
      <w:color w:val="000000"/>
      <w:kern w:val="2"/>
      <w:sz w:val="21"/>
      <w:szCs w:val="21"/>
    </w:rPr>
  </w:style>
  <w:style w:type="paragraph" w:customStyle="1" w:styleId="g">
    <w:name w:val="g表格首行"/>
    <w:basedOn w:val="a"/>
    <w:link w:val="g0"/>
    <w:semiHidden/>
    <w:qFormat/>
    <w:locked/>
    <w:pPr>
      <w:snapToGrid w:val="0"/>
      <w:jc w:val="center"/>
    </w:pPr>
    <w:rPr>
      <w:rFonts w:ascii="仿宋" w:eastAsia="等线" w:hAnsi="仿宋"/>
      <w:b/>
      <w:color w:val="000000"/>
      <w:sz w:val="20"/>
      <w:szCs w:val="20"/>
    </w:rPr>
  </w:style>
  <w:style w:type="character" w:customStyle="1" w:styleId="g0">
    <w:name w:val="g表格首行 字符"/>
    <w:link w:val="g"/>
    <w:semiHidden/>
    <w:rsid w:val="008C1C67"/>
    <w:rPr>
      <w:rFonts w:ascii="仿宋" w:eastAsia="等线" w:hAnsi="仿宋" w:cs="宋体"/>
      <w:b/>
      <w:color w:val="000000"/>
    </w:rPr>
  </w:style>
  <w:style w:type="character" w:customStyle="1" w:styleId="3Char0">
    <w:name w:val="正文文本 3 Char"/>
    <w:basedOn w:val="a0"/>
    <w:link w:val="31"/>
    <w:semiHidden/>
    <w:rsid w:val="008C1C67"/>
    <w:rPr>
      <w:rFonts w:asciiTheme="minorHAnsi" w:eastAsia="楷体" w:hAnsiTheme="minorHAnsi" w:cstheme="minorBidi"/>
      <w:kern w:val="2"/>
      <w:sz w:val="24"/>
      <w:szCs w:val="21"/>
    </w:rPr>
  </w:style>
  <w:style w:type="paragraph" w:customStyle="1" w:styleId="1fff5">
    <w:name w:val="批注框文本1"/>
    <w:basedOn w:val="a"/>
    <w:semiHidden/>
    <w:pPr>
      <w:spacing w:line="400" w:lineRule="atLeast"/>
    </w:pPr>
    <w:rPr>
      <w:rFonts w:asciiTheme="minorHAnsi" w:eastAsiaTheme="minorEastAsia" w:hAnsiTheme="minorHAnsi" w:cstheme="minorBidi"/>
      <w:kern w:val="2"/>
      <w:sz w:val="18"/>
      <w:szCs w:val="18"/>
    </w:rPr>
  </w:style>
  <w:style w:type="table" w:customStyle="1" w:styleId="affff">
    <w:name w:val="立信专用格式"/>
    <w:basedOn w:val="a1"/>
    <w:uiPriority w:val="99"/>
    <w:pPr>
      <w:spacing w:line="400" w:lineRule="exact"/>
    </w:pPr>
    <w:rPr>
      <w:rFonts w:asciiTheme="minorHAnsi" w:eastAsiaTheme="minorEastAsia" w:hAnsiTheme="minorHAnsi" w:cstheme="minorBidi"/>
      <w:kern w:val="2"/>
      <w:sz w:val="21"/>
      <w:szCs w:val="21"/>
    </w:rPr>
    <w:tblPr>
      <w:tblBorders>
        <w:top w:val="single" w:sz="12" w:space="0" w:color="auto"/>
        <w:bottom w:val="single" w:sz="12" w:space="0" w:color="auto"/>
        <w:insideH w:val="dotted" w:sz="4" w:space="0" w:color="auto"/>
        <w:insideV w:val="dotted" w:sz="4" w:space="0" w:color="auto"/>
      </w:tblBorders>
    </w:tblPr>
  </w:style>
  <w:style w:type="table" w:customStyle="1" w:styleId="2fe">
    <w:name w:val="立信年报表格[2级]"/>
    <w:basedOn w:val="a1"/>
    <w:pPr>
      <w:spacing w:line="400" w:lineRule="atLeast"/>
    </w:pPr>
    <w:rPr>
      <w:rFonts w:ascii="宋体" w:hAnsi="宋体" w:cstheme="minorBidi"/>
      <w:kern w:val="2"/>
      <w:sz w:val="18"/>
      <w:szCs w:val="21"/>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character" w:customStyle="1" w:styleId="1Char1">
    <w:name w:val="立信附注标题 [1级] Char"/>
    <w:basedOn w:val="a0"/>
    <w:link w:val="1fff4"/>
    <w:semiHidden/>
    <w:rsid w:val="008C1C67"/>
    <w:rPr>
      <w:b/>
      <w:color w:val="000000"/>
      <w:kern w:val="2"/>
      <w:sz w:val="21"/>
      <w:szCs w:val="21"/>
    </w:rPr>
  </w:style>
  <w:style w:type="paragraph" w:customStyle="1" w:styleId="2ff">
    <w:name w:val="立信附注正文 [2级]"/>
    <w:link w:val="2Char4"/>
    <w:semiHidden/>
    <w:qFormat/>
    <w:pPr>
      <w:widowControl w:val="0"/>
      <w:tabs>
        <w:tab w:val="left" w:pos="0"/>
      </w:tabs>
      <w:adjustRightInd w:val="0"/>
      <w:snapToGrid w:val="0"/>
      <w:spacing w:line="400" w:lineRule="atLeast"/>
      <w:ind w:left="714"/>
      <w:jc w:val="both"/>
    </w:pPr>
    <w:rPr>
      <w:color w:val="000000"/>
      <w:kern w:val="2"/>
      <w:sz w:val="21"/>
      <w:szCs w:val="21"/>
    </w:rPr>
  </w:style>
  <w:style w:type="character" w:customStyle="1" w:styleId="2Char4">
    <w:name w:val="立信附注正文 [2级] Char"/>
    <w:basedOn w:val="a0"/>
    <w:link w:val="2ff"/>
    <w:semiHidden/>
    <w:qFormat/>
    <w:rsid w:val="008C1C67"/>
    <w:rPr>
      <w:color w:val="000000"/>
      <w:kern w:val="2"/>
      <w:sz w:val="21"/>
      <w:szCs w:val="21"/>
    </w:rPr>
  </w:style>
  <w:style w:type="table" w:customStyle="1" w:styleId="3f7">
    <w:name w:val="立信年报表格 [3级]"/>
    <w:basedOn w:val="a1"/>
    <w:pPr>
      <w:spacing w:line="400" w:lineRule="atLeast"/>
      <w:jc w:val="both"/>
    </w:pPr>
    <w:rPr>
      <w:color w:val="000000"/>
      <w:kern w:val="2"/>
      <w:sz w:val="18"/>
      <w:szCs w:val="21"/>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1fff6">
    <w:name w:val="立信附注正文 [1级]"/>
    <w:link w:val="1Char2"/>
    <w:semiHidden/>
    <w:qFormat/>
    <w:pPr>
      <w:widowControl w:val="0"/>
      <w:tabs>
        <w:tab w:val="left" w:pos="0"/>
      </w:tabs>
      <w:adjustRightInd w:val="0"/>
      <w:snapToGrid w:val="0"/>
      <w:spacing w:line="400" w:lineRule="atLeast"/>
      <w:ind w:firstLine="567"/>
      <w:jc w:val="both"/>
    </w:pPr>
    <w:rPr>
      <w:color w:val="000000"/>
      <w:kern w:val="2"/>
      <w:sz w:val="28"/>
      <w:szCs w:val="21"/>
    </w:rPr>
  </w:style>
  <w:style w:type="character" w:customStyle="1" w:styleId="1Char2">
    <w:name w:val="立信附注正文 [1级] Char"/>
    <w:basedOn w:val="a0"/>
    <w:link w:val="1fff6"/>
    <w:semiHidden/>
    <w:qFormat/>
    <w:rsid w:val="008C1C67"/>
    <w:rPr>
      <w:color w:val="000000"/>
      <w:kern w:val="2"/>
      <w:sz w:val="28"/>
      <w:szCs w:val="21"/>
    </w:rPr>
  </w:style>
  <w:style w:type="table" w:customStyle="1" w:styleId="affff0">
    <w:name w:val="立信年报表格"/>
    <w:basedOn w:val="a1"/>
    <w:pPr>
      <w:spacing w:line="400" w:lineRule="atLeast"/>
      <w:jc w:val="both"/>
    </w:pPr>
    <w:rPr>
      <w:rFonts w:asciiTheme="minorHAnsi" w:eastAsiaTheme="minorEastAsia" w:hAnsiTheme="minorHAnsi" w:cstheme="minorBidi"/>
      <w:color w:val="000000"/>
      <w:kern w:val="2"/>
      <w:sz w:val="18"/>
      <w:szCs w:val="21"/>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affff1">
    <w:name w:val="附注三级正文"/>
    <w:basedOn w:val="a"/>
    <w:semiHidden/>
    <w:pPr>
      <w:widowControl w:val="0"/>
      <w:tabs>
        <w:tab w:val="left" w:pos="630"/>
      </w:tabs>
      <w:adjustRightInd w:val="0"/>
      <w:snapToGrid w:val="0"/>
      <w:spacing w:line="400" w:lineRule="atLeast"/>
      <w:ind w:leftChars="600" w:left="1260"/>
      <w:jc w:val="both"/>
    </w:pPr>
    <w:rPr>
      <w:rFonts w:cs="Times New Roman"/>
      <w:kern w:val="2"/>
      <w:sz w:val="21"/>
      <w:szCs w:val="21"/>
    </w:rPr>
  </w:style>
  <w:style w:type="paragraph" w:customStyle="1" w:styleId="affff2">
    <w:name w:val="附注二级正文"/>
    <w:basedOn w:val="a"/>
    <w:link w:val="Charf6"/>
    <w:semiHidden/>
    <w:pPr>
      <w:widowControl w:val="0"/>
      <w:adjustRightInd w:val="0"/>
      <w:snapToGrid w:val="0"/>
      <w:spacing w:line="400" w:lineRule="atLeast"/>
      <w:ind w:leftChars="342" w:left="718"/>
      <w:jc w:val="both"/>
    </w:pPr>
    <w:rPr>
      <w:rFonts w:cs="Times New Roman"/>
      <w:kern w:val="2"/>
      <w:sz w:val="21"/>
      <w:szCs w:val="21"/>
    </w:rPr>
  </w:style>
  <w:style w:type="character" w:customStyle="1" w:styleId="Charf6">
    <w:name w:val="附注二级正文 Char"/>
    <w:link w:val="affff2"/>
    <w:semiHidden/>
    <w:rsid w:val="008C1C67"/>
    <w:rPr>
      <w:rFonts w:ascii="宋体" w:hAnsi="宋体"/>
      <w:kern w:val="2"/>
      <w:sz w:val="21"/>
      <w:szCs w:val="21"/>
    </w:rPr>
  </w:style>
  <w:style w:type="paragraph" w:customStyle="1" w:styleId="11">
    <w:name w:val="审计报告标题1 [1级]"/>
    <w:link w:val="11Char"/>
    <w:semiHidden/>
    <w:pPr>
      <w:numPr>
        <w:numId w:val="3"/>
      </w:numPr>
      <w:adjustRightInd w:val="0"/>
      <w:snapToGrid w:val="0"/>
      <w:spacing w:line="400" w:lineRule="atLeast"/>
    </w:pPr>
    <w:rPr>
      <w:rFonts w:ascii="宋体" w:hAnsi="宋体" w:cstheme="minorBidi"/>
      <w:b/>
      <w:kern w:val="2"/>
      <w:sz w:val="28"/>
      <w:szCs w:val="21"/>
    </w:rPr>
  </w:style>
  <w:style w:type="character" w:customStyle="1" w:styleId="11Char">
    <w:name w:val="审计报告标题1 [1级] Char"/>
    <w:basedOn w:val="a0"/>
    <w:link w:val="11"/>
    <w:semiHidden/>
    <w:rsid w:val="008C1C67"/>
    <w:rPr>
      <w:rFonts w:ascii="宋体" w:hAnsi="宋体" w:cstheme="minorBidi"/>
      <w:b/>
      <w:kern w:val="2"/>
      <w:sz w:val="28"/>
      <w:szCs w:val="21"/>
    </w:rPr>
  </w:style>
  <w:style w:type="paragraph" w:customStyle="1" w:styleId="affff3">
    <w:name w:val="表格内"/>
    <w:basedOn w:val="a"/>
    <w:link w:val="Charf7"/>
    <w:semiHidden/>
    <w:qFormat/>
    <w:pPr>
      <w:widowControl w:val="0"/>
      <w:adjustRightInd w:val="0"/>
      <w:jc w:val="center"/>
      <w:textAlignment w:val="baseline"/>
    </w:pPr>
    <w:rPr>
      <w:rFonts w:asciiTheme="minorHAnsi" w:eastAsia="仿宋" w:hAnsiTheme="minorHAnsi" w:cstheme="minorBidi"/>
      <w:sz w:val="15"/>
      <w:szCs w:val="21"/>
    </w:rPr>
  </w:style>
  <w:style w:type="character" w:customStyle="1" w:styleId="Charf7">
    <w:name w:val="表格内 Char"/>
    <w:basedOn w:val="a0"/>
    <w:link w:val="affff3"/>
    <w:semiHidden/>
    <w:qFormat/>
    <w:rsid w:val="008C1C67"/>
    <w:rPr>
      <w:rFonts w:asciiTheme="minorHAnsi" w:eastAsia="仿宋" w:hAnsiTheme="minorHAnsi" w:cstheme="minorBidi"/>
      <w:sz w:val="15"/>
      <w:szCs w:val="21"/>
    </w:rPr>
  </w:style>
  <w:style w:type="character" w:customStyle="1" w:styleId="-Char">
    <w:name w:val="正文-东洲常标 Char"/>
    <w:basedOn w:val="a0"/>
    <w:link w:val="-"/>
    <w:semiHidden/>
    <w:qFormat/>
    <w:locked/>
    <w:rsid w:val="008C1C67"/>
    <w:rPr>
      <w:rFonts w:ascii="宋体" w:hAnsi="宋体" w:cs="Arial"/>
      <w:kern w:val="2"/>
      <w:sz w:val="24"/>
      <w:szCs w:val="24"/>
    </w:rPr>
  </w:style>
  <w:style w:type="paragraph" w:customStyle="1" w:styleId="-">
    <w:name w:val="正文-东洲常标"/>
    <w:basedOn w:val="a"/>
    <w:link w:val="-Char"/>
    <w:semiHidden/>
    <w:qFormat/>
    <w:pPr>
      <w:widowControl w:val="0"/>
      <w:adjustRightInd w:val="0"/>
      <w:snapToGrid w:val="0"/>
      <w:spacing w:afterLines="25" w:line="360" w:lineRule="auto"/>
      <w:ind w:firstLineChars="200" w:firstLine="200"/>
      <w:jc w:val="both"/>
    </w:pPr>
    <w:rPr>
      <w:rFonts w:cs="Arial"/>
      <w:kern w:val="2"/>
    </w:rPr>
  </w:style>
  <w:style w:type="table" w:customStyle="1" w:styleId="-0">
    <w:name w:val="表格-东洲标准"/>
    <w:basedOn w:val="a1"/>
    <w:uiPriority w:val="99"/>
    <w:qFormat/>
    <w:pPr>
      <w:adjustRightInd w:val="0"/>
      <w:snapToGrid w:val="0"/>
      <w:jc w:val="center"/>
    </w:pPr>
    <w:rPr>
      <w:rFonts w:ascii="宋体" w:hAnsi="宋体"/>
      <w:sz w:val="18"/>
    </w:rPr>
    <w:tblPr>
      <w:tblBorders>
        <w:top w:val="single" w:sz="8" w:space="0" w:color="auto"/>
        <w:left w:val="single" w:sz="6" w:space="0" w:color="auto"/>
        <w:bottom w:val="single" w:sz="8" w:space="0" w:color="auto"/>
        <w:right w:val="single" w:sz="6" w:space="0" w:color="auto"/>
        <w:insideH w:val="single" w:sz="6" w:space="0" w:color="auto"/>
        <w:insideV w:val="single" w:sz="6" w:space="0" w:color="auto"/>
      </w:tblBorders>
    </w:tblPr>
    <w:tcPr>
      <w:vAlign w:val="center"/>
    </w:tcPr>
    <w:tblStylePr w:type="firstRow">
      <w:pPr>
        <w:wordWrap/>
        <w:adjustRightInd w:val="0"/>
        <w:snapToGrid w:val="0"/>
        <w:spacing w:beforeLines="0" w:before="100" w:beforeAutospacing="1" w:afterLines="0" w:after="100" w:afterAutospacing="1" w:line="420" w:lineRule="auto"/>
      </w:pPr>
      <w:rPr>
        <w:rFonts w:ascii="黑体" w:eastAsia="宋体" w:hAnsi="黑体" w:cstheme="majorBidi" w:hint="eastAsia"/>
        <w:b/>
        <w:bCs/>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spacing w:beforeLines="0" w:before="0" w:beforeAutospacing="0" w:afterLines="0" w:after="0" w:afterAutospacing="0" w:line="240" w:lineRule="auto"/>
      </w:pPr>
      <w:rPr>
        <w:rFonts w:asciiTheme="majorHAnsi" w:eastAsia="宋体" w:hAnsiTheme="majorHAnsi" w:cstheme="majorBidi" w:hint="default"/>
        <w:b w:val="0"/>
        <w:bCs/>
        <w:sz w:val="18"/>
        <w:szCs w:val="18"/>
      </w:rPr>
      <w:tblPr/>
      <w:tcPr>
        <w:tcBorders>
          <w:top w:val="single" w:sz="4" w:space="0" w:color="auto"/>
          <w:left w:val="single" w:sz="4" w:space="0" w:color="auto"/>
          <w:bottom w:val="single" w:sz="4" w:space="0" w:color="auto"/>
          <w:right w:val="single" w:sz="4" w:space="0" w:color="auto"/>
          <w:insideH w:val="nil"/>
          <w:insideV w:val="single" w:sz="4" w:space="0" w:color="auto"/>
        </w:tcBorders>
      </w:tcPr>
    </w:tblStylePr>
    <w:tblStylePr w:type="firstCol">
      <w:rPr>
        <w:rFonts w:ascii="宋体" w:eastAsia="宋体" w:hAnsi="宋体" w:cstheme="majorBidi" w:hint="eastAsia"/>
        <w:b w:val="0"/>
        <w:bCs/>
        <w:i w:val="0"/>
        <w:sz w:val="18"/>
        <w:szCs w:val="18"/>
      </w:rPr>
    </w:tblStylePr>
    <w:tblStylePr w:type="lastCol">
      <w:rPr>
        <w:rFonts w:asciiTheme="majorHAnsi" w:eastAsia="宋体" w:hAnsiTheme="majorHAnsi" w:cstheme="majorBidi" w:hint="default"/>
        <w:b w:val="0"/>
        <w:bCs/>
        <w:sz w:val="18"/>
        <w:szCs w:val="18"/>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ascii="宋体" w:eastAsia="宋体" w:hAnsi="宋体" w:hint="eastAsia"/>
        <w:sz w:val="18"/>
        <w:szCs w:val="18"/>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2Vert">
      <w:rPr>
        <w:rFonts w:ascii="宋体" w:eastAsia="宋体" w:hAnsi="宋体" w:hint="eastAsia"/>
        <w:b w:val="0"/>
        <w:sz w:val="18"/>
        <w:szCs w:val="18"/>
      </w:rPr>
    </w:tblStylePr>
    <w:tblStylePr w:type="band1Horz">
      <w:rPr>
        <w:rFonts w:ascii="宋体" w:eastAsia="宋体" w:hAnsi="宋体" w:hint="eastAsia"/>
        <w:sz w:val="18"/>
        <w:szCs w:val="18"/>
      </w:rPr>
      <w:tblPr/>
      <w:tcPr>
        <w:tcBorders>
          <w:top w:val="single" w:sz="4" w:space="0" w:color="auto"/>
          <w:left w:val="single" w:sz="4" w:space="0" w:color="auto"/>
          <w:bottom w:val="single" w:sz="4" w:space="0" w:color="auto"/>
          <w:right w:val="single" w:sz="4" w:space="0" w:color="auto"/>
          <w:insideV w:val="single" w:sz="4" w:space="0" w:color="auto"/>
        </w:tcBorders>
      </w:tcPr>
    </w:tblStylePr>
    <w:tblStylePr w:type="band2Horz">
      <w:rPr>
        <w:rFonts w:ascii="宋体" w:eastAsia="宋体" w:hAnsi="宋体" w:hint="eastAsia"/>
        <w:sz w:val="18"/>
        <w:szCs w:val="18"/>
      </w:rPr>
      <w:tblPr/>
      <w:tcPr>
        <w:tcBorders>
          <w:top w:val="single" w:sz="4" w:space="0" w:color="auto"/>
          <w:left w:val="single" w:sz="4" w:space="0" w:color="auto"/>
          <w:bottom w:val="single" w:sz="4" w:space="0" w:color="auto"/>
          <w:right w:val="single" w:sz="4" w:space="0" w:color="auto"/>
          <w:insideV w:val="single" w:sz="4" w:space="0" w:color="auto"/>
        </w:tcBorders>
      </w:tcPr>
    </w:tblStylePr>
  </w:style>
  <w:style w:type="table" w:customStyle="1" w:styleId="26110">
    <w:name w:val="立信年报表格 [2级]611"/>
    <w:basedOn w:val="a1"/>
    <w:qFormat/>
    <w:pPr>
      <w:jc w:val="both"/>
    </w:pPr>
    <w:rPr>
      <w:color w:val="000000"/>
      <w:kern w:val="2"/>
      <w:sz w:val="18"/>
      <w:szCs w:val="22"/>
    </w:rPr>
    <w:tblPr>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paragraph" w:customStyle="1" w:styleId="affff4">
    <w:name w:val="表上单位"/>
    <w:basedOn w:val="a"/>
    <w:link w:val="Charf8"/>
    <w:semiHidden/>
    <w:qFormat/>
    <w:rsid w:val="00E65DBB"/>
    <w:pPr>
      <w:widowControl w:val="0"/>
      <w:adjustRightInd w:val="0"/>
      <w:snapToGrid w:val="0"/>
      <w:spacing w:line="360" w:lineRule="auto"/>
      <w:jc w:val="right"/>
    </w:pPr>
    <w:rPr>
      <w:rFonts w:cs="Times New Roman"/>
      <w:kern w:val="2"/>
      <w:sz w:val="18"/>
    </w:rPr>
  </w:style>
  <w:style w:type="character" w:customStyle="1" w:styleId="Charf8">
    <w:name w:val="表上单位 Char"/>
    <w:basedOn w:val="a0"/>
    <w:link w:val="affff4"/>
    <w:semiHidden/>
    <w:qFormat/>
    <w:rsid w:val="008C1C67"/>
    <w:rPr>
      <w:rFonts w:ascii="宋体" w:hAnsi="宋体"/>
      <w:kern w:val="2"/>
      <w:sz w:val="18"/>
      <w:szCs w:val="24"/>
    </w:rPr>
  </w:style>
  <w:style w:type="character" w:customStyle="1" w:styleId="6b">
    <w:name w:val="未处理的提及6"/>
    <w:basedOn w:val="a0"/>
    <w:uiPriority w:val="99"/>
    <w:semiHidden/>
    <w:rsid w:val="007915B4"/>
    <w:rPr>
      <w:color w:val="605E5C"/>
      <w:shd w:val="clear" w:color="auto" w:fill="E1DFDD"/>
    </w:rPr>
  </w:style>
  <w:style w:type="paragraph" w:styleId="affff5">
    <w:name w:val="Revision"/>
    <w:hidden/>
    <w:uiPriority w:val="99"/>
    <w:semiHidden/>
    <w:rsid w:val="00F974FA"/>
    <w:rPr>
      <w:rFonts w:ascii="宋体" w:hAnsi="宋体" w:cs="宋体"/>
      <w:sz w:val="24"/>
      <w:szCs w:val="24"/>
    </w:rPr>
  </w:style>
  <w:style w:type="paragraph" w:customStyle="1" w:styleId="04">
    <w:name w:val="04内文"/>
    <w:semiHidden/>
    <w:qFormat/>
    <w:rsid w:val="00E737F8"/>
    <w:pPr>
      <w:widowControl w:val="0"/>
      <w:adjustRightInd w:val="0"/>
      <w:snapToGrid w:val="0"/>
      <w:spacing w:beforeLines="50" w:before="50" w:afterLines="50" w:after="50" w:line="360" w:lineRule="auto"/>
      <w:ind w:firstLineChars="200" w:firstLine="200"/>
      <w:jc w:val="both"/>
    </w:pPr>
    <w:rPr>
      <w:rFonts w:asciiTheme="minorHAnsi" w:eastAsiaTheme="minorEastAsia" w:hAnsiTheme="minorHAnsi" w:cstheme="minorBidi"/>
      <w:kern w:val="2"/>
      <w:sz w:val="24"/>
      <w:szCs w:val="24"/>
    </w:rPr>
  </w:style>
  <w:style w:type="paragraph" w:customStyle="1" w:styleId="001">
    <w:name w:val="001一级标题"/>
    <w:basedOn w:val="a"/>
    <w:rsid w:val="002B0582"/>
    <w:pPr>
      <w:keepNext/>
      <w:keepLines/>
      <w:pageBreakBefore/>
      <w:widowControl w:val="0"/>
      <w:spacing w:beforeLines="150" w:before="150" w:afterLines="150" w:after="150" w:line="360" w:lineRule="auto"/>
      <w:jc w:val="center"/>
      <w:outlineLvl w:val="0"/>
    </w:pPr>
    <w:rPr>
      <w:rFonts w:ascii="Times New Roman" w:eastAsia="黑体" w:hAnsi="Times New Roman" w:cs="Times New Roman"/>
      <w:b/>
      <w:bCs/>
      <w:kern w:val="2"/>
      <w:sz w:val="32"/>
      <w:szCs w:val="28"/>
      <w:lang w:val="x-none" w:eastAsia="x-none"/>
    </w:rPr>
  </w:style>
  <w:style w:type="paragraph" w:customStyle="1" w:styleId="002">
    <w:name w:val="002二级标题"/>
    <w:rsid w:val="005860B4"/>
    <w:pPr>
      <w:keepNext/>
      <w:keepLines/>
      <w:spacing w:beforeLines="50" w:before="50" w:afterLines="50" w:after="50" w:line="360" w:lineRule="auto"/>
      <w:ind w:firstLineChars="200" w:firstLine="200"/>
      <w:jc w:val="both"/>
      <w:outlineLvl w:val="1"/>
    </w:pPr>
    <w:rPr>
      <w:rFonts w:eastAsia="黑体"/>
      <w:b/>
      <w:bCs/>
      <w:kern w:val="2"/>
      <w:sz w:val="28"/>
      <w:szCs w:val="28"/>
    </w:rPr>
  </w:style>
  <w:style w:type="paragraph" w:customStyle="1" w:styleId="003">
    <w:name w:val="003三级标题"/>
    <w:rsid w:val="005860B4"/>
    <w:pPr>
      <w:keepNext/>
      <w:keepLines/>
      <w:spacing w:beforeLines="50" w:before="50" w:line="360" w:lineRule="auto"/>
      <w:ind w:firstLineChars="200" w:firstLine="200"/>
      <w:outlineLvl w:val="2"/>
    </w:pPr>
    <w:rPr>
      <w:b/>
      <w:bCs/>
      <w:kern w:val="2"/>
      <w:sz w:val="24"/>
      <w:szCs w:val="28"/>
    </w:rPr>
  </w:style>
  <w:style w:type="paragraph" w:customStyle="1" w:styleId="004">
    <w:name w:val="004四级标题"/>
    <w:basedOn w:val="002"/>
    <w:rsid w:val="00031627"/>
    <w:pPr>
      <w:outlineLvl w:val="3"/>
    </w:pPr>
    <w:rPr>
      <w:rFonts w:eastAsia="宋体"/>
      <w:sz w:val="24"/>
    </w:rPr>
  </w:style>
  <w:style w:type="paragraph" w:customStyle="1" w:styleId="006">
    <w:name w:val="006备注"/>
    <w:basedOn w:val="a"/>
    <w:rsid w:val="005860B4"/>
    <w:pPr>
      <w:widowControl w:val="0"/>
      <w:adjustRightInd w:val="0"/>
      <w:ind w:firstLineChars="200" w:firstLine="200"/>
      <w:jc w:val="both"/>
    </w:pPr>
    <w:rPr>
      <w:rFonts w:ascii="Times New Roman" w:hAnsi="Times New Roman" w:cs="Arial"/>
      <w:bCs/>
      <w:kern w:val="2"/>
      <w:sz w:val="21"/>
      <w:szCs w:val="22"/>
    </w:rPr>
  </w:style>
  <w:style w:type="paragraph" w:customStyle="1" w:styleId="009">
    <w:name w:val="009单位"/>
    <w:rsid w:val="008C1C67"/>
    <w:pPr>
      <w:keepNext/>
      <w:jc w:val="right"/>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9416">
      <w:bodyDiv w:val="1"/>
      <w:marLeft w:val="0"/>
      <w:marRight w:val="0"/>
      <w:marTop w:val="0"/>
      <w:marBottom w:val="0"/>
      <w:divBdr>
        <w:top w:val="none" w:sz="0" w:space="0" w:color="auto"/>
        <w:left w:val="none" w:sz="0" w:space="0" w:color="auto"/>
        <w:bottom w:val="none" w:sz="0" w:space="0" w:color="auto"/>
        <w:right w:val="none" w:sz="0" w:space="0" w:color="auto"/>
      </w:divBdr>
    </w:div>
    <w:div w:id="29378346">
      <w:bodyDiv w:val="1"/>
      <w:marLeft w:val="0"/>
      <w:marRight w:val="0"/>
      <w:marTop w:val="0"/>
      <w:marBottom w:val="0"/>
      <w:divBdr>
        <w:top w:val="none" w:sz="0" w:space="0" w:color="auto"/>
        <w:left w:val="none" w:sz="0" w:space="0" w:color="auto"/>
        <w:bottom w:val="none" w:sz="0" w:space="0" w:color="auto"/>
        <w:right w:val="none" w:sz="0" w:space="0" w:color="auto"/>
      </w:divBdr>
    </w:div>
    <w:div w:id="32973307">
      <w:bodyDiv w:val="1"/>
      <w:marLeft w:val="0"/>
      <w:marRight w:val="0"/>
      <w:marTop w:val="0"/>
      <w:marBottom w:val="0"/>
      <w:divBdr>
        <w:top w:val="none" w:sz="0" w:space="0" w:color="auto"/>
        <w:left w:val="none" w:sz="0" w:space="0" w:color="auto"/>
        <w:bottom w:val="none" w:sz="0" w:space="0" w:color="auto"/>
        <w:right w:val="none" w:sz="0" w:space="0" w:color="auto"/>
      </w:divBdr>
    </w:div>
    <w:div w:id="39941493">
      <w:bodyDiv w:val="1"/>
      <w:marLeft w:val="0"/>
      <w:marRight w:val="0"/>
      <w:marTop w:val="0"/>
      <w:marBottom w:val="0"/>
      <w:divBdr>
        <w:top w:val="none" w:sz="0" w:space="0" w:color="auto"/>
        <w:left w:val="none" w:sz="0" w:space="0" w:color="auto"/>
        <w:bottom w:val="none" w:sz="0" w:space="0" w:color="auto"/>
        <w:right w:val="none" w:sz="0" w:space="0" w:color="auto"/>
      </w:divBdr>
    </w:div>
    <w:div w:id="41711882">
      <w:bodyDiv w:val="1"/>
      <w:marLeft w:val="0"/>
      <w:marRight w:val="0"/>
      <w:marTop w:val="0"/>
      <w:marBottom w:val="0"/>
      <w:divBdr>
        <w:top w:val="none" w:sz="0" w:space="0" w:color="auto"/>
        <w:left w:val="none" w:sz="0" w:space="0" w:color="auto"/>
        <w:bottom w:val="none" w:sz="0" w:space="0" w:color="auto"/>
        <w:right w:val="none" w:sz="0" w:space="0" w:color="auto"/>
      </w:divBdr>
    </w:div>
    <w:div w:id="148594877">
      <w:bodyDiv w:val="1"/>
      <w:marLeft w:val="0"/>
      <w:marRight w:val="0"/>
      <w:marTop w:val="0"/>
      <w:marBottom w:val="0"/>
      <w:divBdr>
        <w:top w:val="none" w:sz="0" w:space="0" w:color="auto"/>
        <w:left w:val="none" w:sz="0" w:space="0" w:color="auto"/>
        <w:bottom w:val="none" w:sz="0" w:space="0" w:color="auto"/>
        <w:right w:val="none" w:sz="0" w:space="0" w:color="auto"/>
      </w:divBdr>
    </w:div>
    <w:div w:id="176889904">
      <w:bodyDiv w:val="1"/>
      <w:marLeft w:val="0"/>
      <w:marRight w:val="0"/>
      <w:marTop w:val="0"/>
      <w:marBottom w:val="0"/>
      <w:divBdr>
        <w:top w:val="none" w:sz="0" w:space="0" w:color="auto"/>
        <w:left w:val="none" w:sz="0" w:space="0" w:color="auto"/>
        <w:bottom w:val="none" w:sz="0" w:space="0" w:color="auto"/>
        <w:right w:val="none" w:sz="0" w:space="0" w:color="auto"/>
      </w:divBdr>
    </w:div>
    <w:div w:id="181166366">
      <w:bodyDiv w:val="1"/>
      <w:marLeft w:val="0"/>
      <w:marRight w:val="0"/>
      <w:marTop w:val="0"/>
      <w:marBottom w:val="0"/>
      <w:divBdr>
        <w:top w:val="none" w:sz="0" w:space="0" w:color="auto"/>
        <w:left w:val="none" w:sz="0" w:space="0" w:color="auto"/>
        <w:bottom w:val="none" w:sz="0" w:space="0" w:color="auto"/>
        <w:right w:val="none" w:sz="0" w:space="0" w:color="auto"/>
      </w:divBdr>
    </w:div>
    <w:div w:id="190144705">
      <w:bodyDiv w:val="1"/>
      <w:marLeft w:val="0"/>
      <w:marRight w:val="0"/>
      <w:marTop w:val="0"/>
      <w:marBottom w:val="0"/>
      <w:divBdr>
        <w:top w:val="none" w:sz="0" w:space="0" w:color="auto"/>
        <w:left w:val="none" w:sz="0" w:space="0" w:color="auto"/>
        <w:bottom w:val="none" w:sz="0" w:space="0" w:color="auto"/>
        <w:right w:val="none" w:sz="0" w:space="0" w:color="auto"/>
      </w:divBdr>
    </w:div>
    <w:div w:id="227347637">
      <w:bodyDiv w:val="1"/>
      <w:marLeft w:val="0"/>
      <w:marRight w:val="0"/>
      <w:marTop w:val="0"/>
      <w:marBottom w:val="0"/>
      <w:divBdr>
        <w:top w:val="none" w:sz="0" w:space="0" w:color="auto"/>
        <w:left w:val="none" w:sz="0" w:space="0" w:color="auto"/>
        <w:bottom w:val="none" w:sz="0" w:space="0" w:color="auto"/>
        <w:right w:val="none" w:sz="0" w:space="0" w:color="auto"/>
      </w:divBdr>
    </w:div>
    <w:div w:id="279840269">
      <w:bodyDiv w:val="1"/>
      <w:marLeft w:val="0"/>
      <w:marRight w:val="0"/>
      <w:marTop w:val="0"/>
      <w:marBottom w:val="0"/>
      <w:divBdr>
        <w:top w:val="none" w:sz="0" w:space="0" w:color="auto"/>
        <w:left w:val="none" w:sz="0" w:space="0" w:color="auto"/>
        <w:bottom w:val="none" w:sz="0" w:space="0" w:color="auto"/>
        <w:right w:val="none" w:sz="0" w:space="0" w:color="auto"/>
      </w:divBdr>
    </w:div>
    <w:div w:id="353505632">
      <w:bodyDiv w:val="1"/>
      <w:marLeft w:val="0"/>
      <w:marRight w:val="0"/>
      <w:marTop w:val="0"/>
      <w:marBottom w:val="0"/>
      <w:divBdr>
        <w:top w:val="none" w:sz="0" w:space="0" w:color="auto"/>
        <w:left w:val="none" w:sz="0" w:space="0" w:color="auto"/>
        <w:bottom w:val="none" w:sz="0" w:space="0" w:color="auto"/>
        <w:right w:val="none" w:sz="0" w:space="0" w:color="auto"/>
      </w:divBdr>
    </w:div>
    <w:div w:id="353533817">
      <w:bodyDiv w:val="1"/>
      <w:marLeft w:val="0"/>
      <w:marRight w:val="0"/>
      <w:marTop w:val="0"/>
      <w:marBottom w:val="0"/>
      <w:divBdr>
        <w:top w:val="none" w:sz="0" w:space="0" w:color="auto"/>
        <w:left w:val="none" w:sz="0" w:space="0" w:color="auto"/>
        <w:bottom w:val="none" w:sz="0" w:space="0" w:color="auto"/>
        <w:right w:val="none" w:sz="0" w:space="0" w:color="auto"/>
      </w:divBdr>
    </w:div>
    <w:div w:id="388380440">
      <w:bodyDiv w:val="1"/>
      <w:marLeft w:val="0"/>
      <w:marRight w:val="0"/>
      <w:marTop w:val="0"/>
      <w:marBottom w:val="0"/>
      <w:divBdr>
        <w:top w:val="none" w:sz="0" w:space="0" w:color="auto"/>
        <w:left w:val="none" w:sz="0" w:space="0" w:color="auto"/>
        <w:bottom w:val="none" w:sz="0" w:space="0" w:color="auto"/>
        <w:right w:val="none" w:sz="0" w:space="0" w:color="auto"/>
      </w:divBdr>
    </w:div>
    <w:div w:id="422339362">
      <w:bodyDiv w:val="1"/>
      <w:marLeft w:val="0"/>
      <w:marRight w:val="0"/>
      <w:marTop w:val="0"/>
      <w:marBottom w:val="0"/>
      <w:divBdr>
        <w:top w:val="none" w:sz="0" w:space="0" w:color="auto"/>
        <w:left w:val="none" w:sz="0" w:space="0" w:color="auto"/>
        <w:bottom w:val="none" w:sz="0" w:space="0" w:color="auto"/>
        <w:right w:val="none" w:sz="0" w:space="0" w:color="auto"/>
      </w:divBdr>
    </w:div>
    <w:div w:id="451483282">
      <w:bodyDiv w:val="1"/>
      <w:marLeft w:val="0"/>
      <w:marRight w:val="0"/>
      <w:marTop w:val="0"/>
      <w:marBottom w:val="0"/>
      <w:divBdr>
        <w:top w:val="none" w:sz="0" w:space="0" w:color="auto"/>
        <w:left w:val="none" w:sz="0" w:space="0" w:color="auto"/>
        <w:bottom w:val="none" w:sz="0" w:space="0" w:color="auto"/>
        <w:right w:val="none" w:sz="0" w:space="0" w:color="auto"/>
      </w:divBdr>
    </w:div>
    <w:div w:id="471869336">
      <w:bodyDiv w:val="1"/>
      <w:marLeft w:val="0"/>
      <w:marRight w:val="0"/>
      <w:marTop w:val="0"/>
      <w:marBottom w:val="0"/>
      <w:divBdr>
        <w:top w:val="none" w:sz="0" w:space="0" w:color="auto"/>
        <w:left w:val="none" w:sz="0" w:space="0" w:color="auto"/>
        <w:bottom w:val="none" w:sz="0" w:space="0" w:color="auto"/>
        <w:right w:val="none" w:sz="0" w:space="0" w:color="auto"/>
      </w:divBdr>
    </w:div>
    <w:div w:id="478234703">
      <w:bodyDiv w:val="1"/>
      <w:marLeft w:val="0"/>
      <w:marRight w:val="0"/>
      <w:marTop w:val="0"/>
      <w:marBottom w:val="0"/>
      <w:divBdr>
        <w:top w:val="none" w:sz="0" w:space="0" w:color="auto"/>
        <w:left w:val="none" w:sz="0" w:space="0" w:color="auto"/>
        <w:bottom w:val="none" w:sz="0" w:space="0" w:color="auto"/>
        <w:right w:val="none" w:sz="0" w:space="0" w:color="auto"/>
      </w:divBdr>
    </w:div>
    <w:div w:id="501554572">
      <w:bodyDiv w:val="1"/>
      <w:marLeft w:val="0"/>
      <w:marRight w:val="0"/>
      <w:marTop w:val="0"/>
      <w:marBottom w:val="0"/>
      <w:divBdr>
        <w:top w:val="none" w:sz="0" w:space="0" w:color="auto"/>
        <w:left w:val="none" w:sz="0" w:space="0" w:color="auto"/>
        <w:bottom w:val="none" w:sz="0" w:space="0" w:color="auto"/>
        <w:right w:val="none" w:sz="0" w:space="0" w:color="auto"/>
      </w:divBdr>
    </w:div>
    <w:div w:id="539128906">
      <w:bodyDiv w:val="1"/>
      <w:marLeft w:val="0"/>
      <w:marRight w:val="0"/>
      <w:marTop w:val="0"/>
      <w:marBottom w:val="0"/>
      <w:divBdr>
        <w:top w:val="none" w:sz="0" w:space="0" w:color="auto"/>
        <w:left w:val="none" w:sz="0" w:space="0" w:color="auto"/>
        <w:bottom w:val="none" w:sz="0" w:space="0" w:color="auto"/>
        <w:right w:val="none" w:sz="0" w:space="0" w:color="auto"/>
      </w:divBdr>
    </w:div>
    <w:div w:id="550307996">
      <w:bodyDiv w:val="1"/>
      <w:marLeft w:val="0"/>
      <w:marRight w:val="0"/>
      <w:marTop w:val="0"/>
      <w:marBottom w:val="0"/>
      <w:divBdr>
        <w:top w:val="none" w:sz="0" w:space="0" w:color="auto"/>
        <w:left w:val="none" w:sz="0" w:space="0" w:color="auto"/>
        <w:bottom w:val="none" w:sz="0" w:space="0" w:color="auto"/>
        <w:right w:val="none" w:sz="0" w:space="0" w:color="auto"/>
      </w:divBdr>
    </w:div>
    <w:div w:id="563681128">
      <w:bodyDiv w:val="1"/>
      <w:marLeft w:val="0"/>
      <w:marRight w:val="0"/>
      <w:marTop w:val="0"/>
      <w:marBottom w:val="0"/>
      <w:divBdr>
        <w:top w:val="none" w:sz="0" w:space="0" w:color="auto"/>
        <w:left w:val="none" w:sz="0" w:space="0" w:color="auto"/>
        <w:bottom w:val="none" w:sz="0" w:space="0" w:color="auto"/>
        <w:right w:val="none" w:sz="0" w:space="0" w:color="auto"/>
      </w:divBdr>
    </w:div>
    <w:div w:id="564681523">
      <w:bodyDiv w:val="1"/>
      <w:marLeft w:val="0"/>
      <w:marRight w:val="0"/>
      <w:marTop w:val="0"/>
      <w:marBottom w:val="0"/>
      <w:divBdr>
        <w:top w:val="none" w:sz="0" w:space="0" w:color="auto"/>
        <w:left w:val="none" w:sz="0" w:space="0" w:color="auto"/>
        <w:bottom w:val="none" w:sz="0" w:space="0" w:color="auto"/>
        <w:right w:val="none" w:sz="0" w:space="0" w:color="auto"/>
      </w:divBdr>
    </w:div>
    <w:div w:id="573126055">
      <w:bodyDiv w:val="1"/>
      <w:marLeft w:val="0"/>
      <w:marRight w:val="0"/>
      <w:marTop w:val="0"/>
      <w:marBottom w:val="0"/>
      <w:divBdr>
        <w:top w:val="none" w:sz="0" w:space="0" w:color="auto"/>
        <w:left w:val="none" w:sz="0" w:space="0" w:color="auto"/>
        <w:bottom w:val="none" w:sz="0" w:space="0" w:color="auto"/>
        <w:right w:val="none" w:sz="0" w:space="0" w:color="auto"/>
      </w:divBdr>
    </w:div>
    <w:div w:id="595140627">
      <w:bodyDiv w:val="1"/>
      <w:marLeft w:val="0"/>
      <w:marRight w:val="0"/>
      <w:marTop w:val="0"/>
      <w:marBottom w:val="0"/>
      <w:divBdr>
        <w:top w:val="none" w:sz="0" w:space="0" w:color="auto"/>
        <w:left w:val="none" w:sz="0" w:space="0" w:color="auto"/>
        <w:bottom w:val="none" w:sz="0" w:space="0" w:color="auto"/>
        <w:right w:val="none" w:sz="0" w:space="0" w:color="auto"/>
      </w:divBdr>
    </w:div>
    <w:div w:id="657075954">
      <w:bodyDiv w:val="1"/>
      <w:marLeft w:val="0"/>
      <w:marRight w:val="0"/>
      <w:marTop w:val="0"/>
      <w:marBottom w:val="0"/>
      <w:divBdr>
        <w:top w:val="none" w:sz="0" w:space="0" w:color="auto"/>
        <w:left w:val="none" w:sz="0" w:space="0" w:color="auto"/>
        <w:bottom w:val="none" w:sz="0" w:space="0" w:color="auto"/>
        <w:right w:val="none" w:sz="0" w:space="0" w:color="auto"/>
      </w:divBdr>
    </w:div>
    <w:div w:id="716706081">
      <w:bodyDiv w:val="1"/>
      <w:marLeft w:val="0"/>
      <w:marRight w:val="0"/>
      <w:marTop w:val="0"/>
      <w:marBottom w:val="0"/>
      <w:divBdr>
        <w:top w:val="none" w:sz="0" w:space="0" w:color="auto"/>
        <w:left w:val="none" w:sz="0" w:space="0" w:color="auto"/>
        <w:bottom w:val="none" w:sz="0" w:space="0" w:color="auto"/>
        <w:right w:val="none" w:sz="0" w:space="0" w:color="auto"/>
      </w:divBdr>
    </w:div>
    <w:div w:id="718633330">
      <w:bodyDiv w:val="1"/>
      <w:marLeft w:val="0"/>
      <w:marRight w:val="0"/>
      <w:marTop w:val="0"/>
      <w:marBottom w:val="0"/>
      <w:divBdr>
        <w:top w:val="none" w:sz="0" w:space="0" w:color="auto"/>
        <w:left w:val="none" w:sz="0" w:space="0" w:color="auto"/>
        <w:bottom w:val="none" w:sz="0" w:space="0" w:color="auto"/>
        <w:right w:val="none" w:sz="0" w:space="0" w:color="auto"/>
      </w:divBdr>
    </w:div>
    <w:div w:id="721253218">
      <w:bodyDiv w:val="1"/>
      <w:marLeft w:val="0"/>
      <w:marRight w:val="0"/>
      <w:marTop w:val="0"/>
      <w:marBottom w:val="0"/>
      <w:divBdr>
        <w:top w:val="none" w:sz="0" w:space="0" w:color="auto"/>
        <w:left w:val="none" w:sz="0" w:space="0" w:color="auto"/>
        <w:bottom w:val="none" w:sz="0" w:space="0" w:color="auto"/>
        <w:right w:val="none" w:sz="0" w:space="0" w:color="auto"/>
      </w:divBdr>
    </w:div>
    <w:div w:id="725421142">
      <w:bodyDiv w:val="1"/>
      <w:marLeft w:val="0"/>
      <w:marRight w:val="0"/>
      <w:marTop w:val="0"/>
      <w:marBottom w:val="0"/>
      <w:divBdr>
        <w:top w:val="none" w:sz="0" w:space="0" w:color="auto"/>
        <w:left w:val="none" w:sz="0" w:space="0" w:color="auto"/>
        <w:bottom w:val="none" w:sz="0" w:space="0" w:color="auto"/>
        <w:right w:val="none" w:sz="0" w:space="0" w:color="auto"/>
      </w:divBdr>
    </w:div>
    <w:div w:id="750736309">
      <w:bodyDiv w:val="1"/>
      <w:marLeft w:val="0"/>
      <w:marRight w:val="0"/>
      <w:marTop w:val="0"/>
      <w:marBottom w:val="0"/>
      <w:divBdr>
        <w:top w:val="none" w:sz="0" w:space="0" w:color="auto"/>
        <w:left w:val="none" w:sz="0" w:space="0" w:color="auto"/>
        <w:bottom w:val="none" w:sz="0" w:space="0" w:color="auto"/>
        <w:right w:val="none" w:sz="0" w:space="0" w:color="auto"/>
      </w:divBdr>
    </w:div>
    <w:div w:id="780027080">
      <w:bodyDiv w:val="1"/>
      <w:marLeft w:val="0"/>
      <w:marRight w:val="0"/>
      <w:marTop w:val="0"/>
      <w:marBottom w:val="0"/>
      <w:divBdr>
        <w:top w:val="none" w:sz="0" w:space="0" w:color="auto"/>
        <w:left w:val="none" w:sz="0" w:space="0" w:color="auto"/>
        <w:bottom w:val="none" w:sz="0" w:space="0" w:color="auto"/>
        <w:right w:val="none" w:sz="0" w:space="0" w:color="auto"/>
      </w:divBdr>
    </w:div>
    <w:div w:id="780564257">
      <w:bodyDiv w:val="1"/>
      <w:marLeft w:val="0"/>
      <w:marRight w:val="0"/>
      <w:marTop w:val="0"/>
      <w:marBottom w:val="0"/>
      <w:divBdr>
        <w:top w:val="none" w:sz="0" w:space="0" w:color="auto"/>
        <w:left w:val="none" w:sz="0" w:space="0" w:color="auto"/>
        <w:bottom w:val="none" w:sz="0" w:space="0" w:color="auto"/>
        <w:right w:val="none" w:sz="0" w:space="0" w:color="auto"/>
      </w:divBdr>
    </w:div>
    <w:div w:id="803501830">
      <w:bodyDiv w:val="1"/>
      <w:marLeft w:val="0"/>
      <w:marRight w:val="0"/>
      <w:marTop w:val="0"/>
      <w:marBottom w:val="0"/>
      <w:divBdr>
        <w:top w:val="none" w:sz="0" w:space="0" w:color="auto"/>
        <w:left w:val="none" w:sz="0" w:space="0" w:color="auto"/>
        <w:bottom w:val="none" w:sz="0" w:space="0" w:color="auto"/>
        <w:right w:val="none" w:sz="0" w:space="0" w:color="auto"/>
      </w:divBdr>
    </w:div>
    <w:div w:id="833882231">
      <w:bodyDiv w:val="1"/>
      <w:marLeft w:val="0"/>
      <w:marRight w:val="0"/>
      <w:marTop w:val="0"/>
      <w:marBottom w:val="0"/>
      <w:divBdr>
        <w:top w:val="none" w:sz="0" w:space="0" w:color="auto"/>
        <w:left w:val="none" w:sz="0" w:space="0" w:color="auto"/>
        <w:bottom w:val="none" w:sz="0" w:space="0" w:color="auto"/>
        <w:right w:val="none" w:sz="0" w:space="0" w:color="auto"/>
      </w:divBdr>
    </w:div>
    <w:div w:id="849830230">
      <w:bodyDiv w:val="1"/>
      <w:marLeft w:val="0"/>
      <w:marRight w:val="0"/>
      <w:marTop w:val="0"/>
      <w:marBottom w:val="0"/>
      <w:divBdr>
        <w:top w:val="none" w:sz="0" w:space="0" w:color="auto"/>
        <w:left w:val="none" w:sz="0" w:space="0" w:color="auto"/>
        <w:bottom w:val="none" w:sz="0" w:space="0" w:color="auto"/>
        <w:right w:val="none" w:sz="0" w:space="0" w:color="auto"/>
      </w:divBdr>
    </w:div>
    <w:div w:id="875436444">
      <w:bodyDiv w:val="1"/>
      <w:marLeft w:val="0"/>
      <w:marRight w:val="0"/>
      <w:marTop w:val="0"/>
      <w:marBottom w:val="0"/>
      <w:divBdr>
        <w:top w:val="none" w:sz="0" w:space="0" w:color="auto"/>
        <w:left w:val="none" w:sz="0" w:space="0" w:color="auto"/>
        <w:bottom w:val="none" w:sz="0" w:space="0" w:color="auto"/>
        <w:right w:val="none" w:sz="0" w:space="0" w:color="auto"/>
      </w:divBdr>
    </w:div>
    <w:div w:id="898444452">
      <w:bodyDiv w:val="1"/>
      <w:marLeft w:val="0"/>
      <w:marRight w:val="0"/>
      <w:marTop w:val="0"/>
      <w:marBottom w:val="0"/>
      <w:divBdr>
        <w:top w:val="none" w:sz="0" w:space="0" w:color="auto"/>
        <w:left w:val="none" w:sz="0" w:space="0" w:color="auto"/>
        <w:bottom w:val="none" w:sz="0" w:space="0" w:color="auto"/>
        <w:right w:val="none" w:sz="0" w:space="0" w:color="auto"/>
      </w:divBdr>
    </w:div>
    <w:div w:id="941230893">
      <w:bodyDiv w:val="1"/>
      <w:marLeft w:val="0"/>
      <w:marRight w:val="0"/>
      <w:marTop w:val="0"/>
      <w:marBottom w:val="0"/>
      <w:divBdr>
        <w:top w:val="none" w:sz="0" w:space="0" w:color="auto"/>
        <w:left w:val="none" w:sz="0" w:space="0" w:color="auto"/>
        <w:bottom w:val="none" w:sz="0" w:space="0" w:color="auto"/>
        <w:right w:val="none" w:sz="0" w:space="0" w:color="auto"/>
      </w:divBdr>
    </w:div>
    <w:div w:id="946888686">
      <w:bodyDiv w:val="1"/>
      <w:marLeft w:val="0"/>
      <w:marRight w:val="0"/>
      <w:marTop w:val="0"/>
      <w:marBottom w:val="0"/>
      <w:divBdr>
        <w:top w:val="none" w:sz="0" w:space="0" w:color="auto"/>
        <w:left w:val="none" w:sz="0" w:space="0" w:color="auto"/>
        <w:bottom w:val="none" w:sz="0" w:space="0" w:color="auto"/>
        <w:right w:val="none" w:sz="0" w:space="0" w:color="auto"/>
      </w:divBdr>
    </w:div>
    <w:div w:id="963999395">
      <w:bodyDiv w:val="1"/>
      <w:marLeft w:val="0"/>
      <w:marRight w:val="0"/>
      <w:marTop w:val="0"/>
      <w:marBottom w:val="0"/>
      <w:divBdr>
        <w:top w:val="none" w:sz="0" w:space="0" w:color="auto"/>
        <w:left w:val="none" w:sz="0" w:space="0" w:color="auto"/>
        <w:bottom w:val="none" w:sz="0" w:space="0" w:color="auto"/>
        <w:right w:val="none" w:sz="0" w:space="0" w:color="auto"/>
      </w:divBdr>
    </w:div>
    <w:div w:id="975794229">
      <w:bodyDiv w:val="1"/>
      <w:marLeft w:val="0"/>
      <w:marRight w:val="0"/>
      <w:marTop w:val="0"/>
      <w:marBottom w:val="0"/>
      <w:divBdr>
        <w:top w:val="none" w:sz="0" w:space="0" w:color="auto"/>
        <w:left w:val="none" w:sz="0" w:space="0" w:color="auto"/>
        <w:bottom w:val="none" w:sz="0" w:space="0" w:color="auto"/>
        <w:right w:val="none" w:sz="0" w:space="0" w:color="auto"/>
      </w:divBdr>
    </w:div>
    <w:div w:id="990135761">
      <w:bodyDiv w:val="1"/>
      <w:marLeft w:val="0"/>
      <w:marRight w:val="0"/>
      <w:marTop w:val="0"/>
      <w:marBottom w:val="0"/>
      <w:divBdr>
        <w:top w:val="none" w:sz="0" w:space="0" w:color="auto"/>
        <w:left w:val="none" w:sz="0" w:space="0" w:color="auto"/>
        <w:bottom w:val="none" w:sz="0" w:space="0" w:color="auto"/>
        <w:right w:val="none" w:sz="0" w:space="0" w:color="auto"/>
      </w:divBdr>
    </w:div>
    <w:div w:id="992299484">
      <w:bodyDiv w:val="1"/>
      <w:marLeft w:val="0"/>
      <w:marRight w:val="0"/>
      <w:marTop w:val="0"/>
      <w:marBottom w:val="0"/>
      <w:divBdr>
        <w:top w:val="none" w:sz="0" w:space="0" w:color="auto"/>
        <w:left w:val="none" w:sz="0" w:space="0" w:color="auto"/>
        <w:bottom w:val="none" w:sz="0" w:space="0" w:color="auto"/>
        <w:right w:val="none" w:sz="0" w:space="0" w:color="auto"/>
      </w:divBdr>
    </w:div>
    <w:div w:id="1004437089">
      <w:bodyDiv w:val="1"/>
      <w:marLeft w:val="0"/>
      <w:marRight w:val="0"/>
      <w:marTop w:val="0"/>
      <w:marBottom w:val="0"/>
      <w:divBdr>
        <w:top w:val="none" w:sz="0" w:space="0" w:color="auto"/>
        <w:left w:val="none" w:sz="0" w:space="0" w:color="auto"/>
        <w:bottom w:val="none" w:sz="0" w:space="0" w:color="auto"/>
        <w:right w:val="none" w:sz="0" w:space="0" w:color="auto"/>
      </w:divBdr>
    </w:div>
    <w:div w:id="1083993542">
      <w:bodyDiv w:val="1"/>
      <w:marLeft w:val="0"/>
      <w:marRight w:val="0"/>
      <w:marTop w:val="0"/>
      <w:marBottom w:val="0"/>
      <w:divBdr>
        <w:top w:val="none" w:sz="0" w:space="0" w:color="auto"/>
        <w:left w:val="none" w:sz="0" w:space="0" w:color="auto"/>
        <w:bottom w:val="none" w:sz="0" w:space="0" w:color="auto"/>
        <w:right w:val="none" w:sz="0" w:space="0" w:color="auto"/>
      </w:divBdr>
    </w:div>
    <w:div w:id="1101142679">
      <w:bodyDiv w:val="1"/>
      <w:marLeft w:val="0"/>
      <w:marRight w:val="0"/>
      <w:marTop w:val="0"/>
      <w:marBottom w:val="0"/>
      <w:divBdr>
        <w:top w:val="none" w:sz="0" w:space="0" w:color="auto"/>
        <w:left w:val="none" w:sz="0" w:space="0" w:color="auto"/>
        <w:bottom w:val="none" w:sz="0" w:space="0" w:color="auto"/>
        <w:right w:val="none" w:sz="0" w:space="0" w:color="auto"/>
      </w:divBdr>
    </w:div>
    <w:div w:id="1101414254">
      <w:bodyDiv w:val="1"/>
      <w:marLeft w:val="0"/>
      <w:marRight w:val="0"/>
      <w:marTop w:val="0"/>
      <w:marBottom w:val="0"/>
      <w:divBdr>
        <w:top w:val="none" w:sz="0" w:space="0" w:color="auto"/>
        <w:left w:val="none" w:sz="0" w:space="0" w:color="auto"/>
        <w:bottom w:val="none" w:sz="0" w:space="0" w:color="auto"/>
        <w:right w:val="none" w:sz="0" w:space="0" w:color="auto"/>
      </w:divBdr>
    </w:div>
    <w:div w:id="1113087805">
      <w:bodyDiv w:val="1"/>
      <w:marLeft w:val="0"/>
      <w:marRight w:val="0"/>
      <w:marTop w:val="0"/>
      <w:marBottom w:val="0"/>
      <w:divBdr>
        <w:top w:val="none" w:sz="0" w:space="0" w:color="auto"/>
        <w:left w:val="none" w:sz="0" w:space="0" w:color="auto"/>
        <w:bottom w:val="none" w:sz="0" w:space="0" w:color="auto"/>
        <w:right w:val="none" w:sz="0" w:space="0" w:color="auto"/>
      </w:divBdr>
    </w:div>
    <w:div w:id="1126660727">
      <w:bodyDiv w:val="1"/>
      <w:marLeft w:val="0"/>
      <w:marRight w:val="0"/>
      <w:marTop w:val="0"/>
      <w:marBottom w:val="0"/>
      <w:divBdr>
        <w:top w:val="none" w:sz="0" w:space="0" w:color="auto"/>
        <w:left w:val="none" w:sz="0" w:space="0" w:color="auto"/>
        <w:bottom w:val="none" w:sz="0" w:space="0" w:color="auto"/>
        <w:right w:val="none" w:sz="0" w:space="0" w:color="auto"/>
      </w:divBdr>
    </w:div>
    <w:div w:id="1143545295">
      <w:bodyDiv w:val="1"/>
      <w:marLeft w:val="0"/>
      <w:marRight w:val="0"/>
      <w:marTop w:val="0"/>
      <w:marBottom w:val="0"/>
      <w:divBdr>
        <w:top w:val="none" w:sz="0" w:space="0" w:color="auto"/>
        <w:left w:val="none" w:sz="0" w:space="0" w:color="auto"/>
        <w:bottom w:val="none" w:sz="0" w:space="0" w:color="auto"/>
        <w:right w:val="none" w:sz="0" w:space="0" w:color="auto"/>
      </w:divBdr>
    </w:div>
    <w:div w:id="1174221897">
      <w:bodyDiv w:val="1"/>
      <w:marLeft w:val="0"/>
      <w:marRight w:val="0"/>
      <w:marTop w:val="0"/>
      <w:marBottom w:val="0"/>
      <w:divBdr>
        <w:top w:val="none" w:sz="0" w:space="0" w:color="auto"/>
        <w:left w:val="none" w:sz="0" w:space="0" w:color="auto"/>
        <w:bottom w:val="none" w:sz="0" w:space="0" w:color="auto"/>
        <w:right w:val="none" w:sz="0" w:space="0" w:color="auto"/>
      </w:divBdr>
    </w:div>
    <w:div w:id="1177231049">
      <w:bodyDiv w:val="1"/>
      <w:marLeft w:val="0"/>
      <w:marRight w:val="0"/>
      <w:marTop w:val="0"/>
      <w:marBottom w:val="0"/>
      <w:divBdr>
        <w:top w:val="none" w:sz="0" w:space="0" w:color="auto"/>
        <w:left w:val="none" w:sz="0" w:space="0" w:color="auto"/>
        <w:bottom w:val="none" w:sz="0" w:space="0" w:color="auto"/>
        <w:right w:val="none" w:sz="0" w:space="0" w:color="auto"/>
      </w:divBdr>
    </w:div>
    <w:div w:id="1188298762">
      <w:bodyDiv w:val="1"/>
      <w:marLeft w:val="0"/>
      <w:marRight w:val="0"/>
      <w:marTop w:val="0"/>
      <w:marBottom w:val="0"/>
      <w:divBdr>
        <w:top w:val="none" w:sz="0" w:space="0" w:color="auto"/>
        <w:left w:val="none" w:sz="0" w:space="0" w:color="auto"/>
        <w:bottom w:val="none" w:sz="0" w:space="0" w:color="auto"/>
        <w:right w:val="none" w:sz="0" w:space="0" w:color="auto"/>
      </w:divBdr>
    </w:div>
    <w:div w:id="1188828761">
      <w:bodyDiv w:val="1"/>
      <w:marLeft w:val="0"/>
      <w:marRight w:val="0"/>
      <w:marTop w:val="0"/>
      <w:marBottom w:val="0"/>
      <w:divBdr>
        <w:top w:val="none" w:sz="0" w:space="0" w:color="auto"/>
        <w:left w:val="none" w:sz="0" w:space="0" w:color="auto"/>
        <w:bottom w:val="none" w:sz="0" w:space="0" w:color="auto"/>
        <w:right w:val="none" w:sz="0" w:space="0" w:color="auto"/>
      </w:divBdr>
    </w:div>
    <w:div w:id="1195583361">
      <w:bodyDiv w:val="1"/>
      <w:marLeft w:val="0"/>
      <w:marRight w:val="0"/>
      <w:marTop w:val="0"/>
      <w:marBottom w:val="0"/>
      <w:divBdr>
        <w:top w:val="none" w:sz="0" w:space="0" w:color="auto"/>
        <w:left w:val="none" w:sz="0" w:space="0" w:color="auto"/>
        <w:bottom w:val="none" w:sz="0" w:space="0" w:color="auto"/>
        <w:right w:val="none" w:sz="0" w:space="0" w:color="auto"/>
      </w:divBdr>
    </w:div>
    <w:div w:id="1224178088">
      <w:bodyDiv w:val="1"/>
      <w:marLeft w:val="0"/>
      <w:marRight w:val="0"/>
      <w:marTop w:val="0"/>
      <w:marBottom w:val="0"/>
      <w:divBdr>
        <w:top w:val="none" w:sz="0" w:space="0" w:color="auto"/>
        <w:left w:val="none" w:sz="0" w:space="0" w:color="auto"/>
        <w:bottom w:val="none" w:sz="0" w:space="0" w:color="auto"/>
        <w:right w:val="none" w:sz="0" w:space="0" w:color="auto"/>
      </w:divBdr>
    </w:div>
    <w:div w:id="1259101028">
      <w:bodyDiv w:val="1"/>
      <w:marLeft w:val="0"/>
      <w:marRight w:val="0"/>
      <w:marTop w:val="0"/>
      <w:marBottom w:val="0"/>
      <w:divBdr>
        <w:top w:val="none" w:sz="0" w:space="0" w:color="auto"/>
        <w:left w:val="none" w:sz="0" w:space="0" w:color="auto"/>
        <w:bottom w:val="none" w:sz="0" w:space="0" w:color="auto"/>
        <w:right w:val="none" w:sz="0" w:space="0" w:color="auto"/>
      </w:divBdr>
    </w:div>
    <w:div w:id="1305811574">
      <w:bodyDiv w:val="1"/>
      <w:marLeft w:val="0"/>
      <w:marRight w:val="0"/>
      <w:marTop w:val="0"/>
      <w:marBottom w:val="0"/>
      <w:divBdr>
        <w:top w:val="none" w:sz="0" w:space="0" w:color="auto"/>
        <w:left w:val="none" w:sz="0" w:space="0" w:color="auto"/>
        <w:bottom w:val="none" w:sz="0" w:space="0" w:color="auto"/>
        <w:right w:val="none" w:sz="0" w:space="0" w:color="auto"/>
      </w:divBdr>
    </w:div>
    <w:div w:id="1324237226">
      <w:bodyDiv w:val="1"/>
      <w:marLeft w:val="0"/>
      <w:marRight w:val="0"/>
      <w:marTop w:val="0"/>
      <w:marBottom w:val="0"/>
      <w:divBdr>
        <w:top w:val="none" w:sz="0" w:space="0" w:color="auto"/>
        <w:left w:val="none" w:sz="0" w:space="0" w:color="auto"/>
        <w:bottom w:val="none" w:sz="0" w:space="0" w:color="auto"/>
        <w:right w:val="none" w:sz="0" w:space="0" w:color="auto"/>
      </w:divBdr>
    </w:div>
    <w:div w:id="1348408202">
      <w:bodyDiv w:val="1"/>
      <w:marLeft w:val="0"/>
      <w:marRight w:val="0"/>
      <w:marTop w:val="0"/>
      <w:marBottom w:val="0"/>
      <w:divBdr>
        <w:top w:val="none" w:sz="0" w:space="0" w:color="auto"/>
        <w:left w:val="none" w:sz="0" w:space="0" w:color="auto"/>
        <w:bottom w:val="none" w:sz="0" w:space="0" w:color="auto"/>
        <w:right w:val="none" w:sz="0" w:space="0" w:color="auto"/>
      </w:divBdr>
    </w:div>
    <w:div w:id="1398164668">
      <w:bodyDiv w:val="1"/>
      <w:marLeft w:val="0"/>
      <w:marRight w:val="0"/>
      <w:marTop w:val="0"/>
      <w:marBottom w:val="0"/>
      <w:divBdr>
        <w:top w:val="none" w:sz="0" w:space="0" w:color="auto"/>
        <w:left w:val="none" w:sz="0" w:space="0" w:color="auto"/>
        <w:bottom w:val="none" w:sz="0" w:space="0" w:color="auto"/>
        <w:right w:val="none" w:sz="0" w:space="0" w:color="auto"/>
      </w:divBdr>
    </w:div>
    <w:div w:id="1402292879">
      <w:bodyDiv w:val="1"/>
      <w:marLeft w:val="0"/>
      <w:marRight w:val="0"/>
      <w:marTop w:val="0"/>
      <w:marBottom w:val="0"/>
      <w:divBdr>
        <w:top w:val="none" w:sz="0" w:space="0" w:color="auto"/>
        <w:left w:val="none" w:sz="0" w:space="0" w:color="auto"/>
        <w:bottom w:val="none" w:sz="0" w:space="0" w:color="auto"/>
        <w:right w:val="none" w:sz="0" w:space="0" w:color="auto"/>
      </w:divBdr>
    </w:div>
    <w:div w:id="1435900689">
      <w:bodyDiv w:val="1"/>
      <w:marLeft w:val="0"/>
      <w:marRight w:val="0"/>
      <w:marTop w:val="0"/>
      <w:marBottom w:val="0"/>
      <w:divBdr>
        <w:top w:val="none" w:sz="0" w:space="0" w:color="auto"/>
        <w:left w:val="none" w:sz="0" w:space="0" w:color="auto"/>
        <w:bottom w:val="none" w:sz="0" w:space="0" w:color="auto"/>
        <w:right w:val="none" w:sz="0" w:space="0" w:color="auto"/>
      </w:divBdr>
    </w:div>
    <w:div w:id="1512334745">
      <w:bodyDiv w:val="1"/>
      <w:marLeft w:val="0"/>
      <w:marRight w:val="0"/>
      <w:marTop w:val="0"/>
      <w:marBottom w:val="0"/>
      <w:divBdr>
        <w:top w:val="none" w:sz="0" w:space="0" w:color="auto"/>
        <w:left w:val="none" w:sz="0" w:space="0" w:color="auto"/>
        <w:bottom w:val="none" w:sz="0" w:space="0" w:color="auto"/>
        <w:right w:val="none" w:sz="0" w:space="0" w:color="auto"/>
      </w:divBdr>
    </w:div>
    <w:div w:id="1513909086">
      <w:bodyDiv w:val="1"/>
      <w:marLeft w:val="0"/>
      <w:marRight w:val="0"/>
      <w:marTop w:val="0"/>
      <w:marBottom w:val="0"/>
      <w:divBdr>
        <w:top w:val="none" w:sz="0" w:space="0" w:color="auto"/>
        <w:left w:val="none" w:sz="0" w:space="0" w:color="auto"/>
        <w:bottom w:val="none" w:sz="0" w:space="0" w:color="auto"/>
        <w:right w:val="none" w:sz="0" w:space="0" w:color="auto"/>
      </w:divBdr>
    </w:div>
    <w:div w:id="1521892079">
      <w:bodyDiv w:val="1"/>
      <w:marLeft w:val="0"/>
      <w:marRight w:val="0"/>
      <w:marTop w:val="0"/>
      <w:marBottom w:val="0"/>
      <w:divBdr>
        <w:top w:val="none" w:sz="0" w:space="0" w:color="auto"/>
        <w:left w:val="none" w:sz="0" w:space="0" w:color="auto"/>
        <w:bottom w:val="none" w:sz="0" w:space="0" w:color="auto"/>
        <w:right w:val="none" w:sz="0" w:space="0" w:color="auto"/>
      </w:divBdr>
    </w:div>
    <w:div w:id="1541085726">
      <w:bodyDiv w:val="1"/>
      <w:marLeft w:val="0"/>
      <w:marRight w:val="0"/>
      <w:marTop w:val="0"/>
      <w:marBottom w:val="0"/>
      <w:divBdr>
        <w:top w:val="none" w:sz="0" w:space="0" w:color="auto"/>
        <w:left w:val="none" w:sz="0" w:space="0" w:color="auto"/>
        <w:bottom w:val="none" w:sz="0" w:space="0" w:color="auto"/>
        <w:right w:val="none" w:sz="0" w:space="0" w:color="auto"/>
      </w:divBdr>
    </w:div>
    <w:div w:id="1604070141">
      <w:bodyDiv w:val="1"/>
      <w:marLeft w:val="0"/>
      <w:marRight w:val="0"/>
      <w:marTop w:val="0"/>
      <w:marBottom w:val="0"/>
      <w:divBdr>
        <w:top w:val="none" w:sz="0" w:space="0" w:color="auto"/>
        <w:left w:val="none" w:sz="0" w:space="0" w:color="auto"/>
        <w:bottom w:val="none" w:sz="0" w:space="0" w:color="auto"/>
        <w:right w:val="none" w:sz="0" w:space="0" w:color="auto"/>
      </w:divBdr>
    </w:div>
    <w:div w:id="1626084309">
      <w:bodyDiv w:val="1"/>
      <w:marLeft w:val="0"/>
      <w:marRight w:val="0"/>
      <w:marTop w:val="0"/>
      <w:marBottom w:val="0"/>
      <w:divBdr>
        <w:top w:val="none" w:sz="0" w:space="0" w:color="auto"/>
        <w:left w:val="none" w:sz="0" w:space="0" w:color="auto"/>
        <w:bottom w:val="none" w:sz="0" w:space="0" w:color="auto"/>
        <w:right w:val="none" w:sz="0" w:space="0" w:color="auto"/>
      </w:divBdr>
    </w:div>
    <w:div w:id="1644697556">
      <w:bodyDiv w:val="1"/>
      <w:marLeft w:val="0"/>
      <w:marRight w:val="0"/>
      <w:marTop w:val="0"/>
      <w:marBottom w:val="0"/>
      <w:divBdr>
        <w:top w:val="none" w:sz="0" w:space="0" w:color="auto"/>
        <w:left w:val="none" w:sz="0" w:space="0" w:color="auto"/>
        <w:bottom w:val="none" w:sz="0" w:space="0" w:color="auto"/>
        <w:right w:val="none" w:sz="0" w:space="0" w:color="auto"/>
      </w:divBdr>
    </w:div>
    <w:div w:id="1665544656">
      <w:bodyDiv w:val="1"/>
      <w:marLeft w:val="0"/>
      <w:marRight w:val="0"/>
      <w:marTop w:val="0"/>
      <w:marBottom w:val="0"/>
      <w:divBdr>
        <w:top w:val="none" w:sz="0" w:space="0" w:color="auto"/>
        <w:left w:val="none" w:sz="0" w:space="0" w:color="auto"/>
        <w:bottom w:val="none" w:sz="0" w:space="0" w:color="auto"/>
        <w:right w:val="none" w:sz="0" w:space="0" w:color="auto"/>
      </w:divBdr>
    </w:div>
    <w:div w:id="1672874360">
      <w:bodyDiv w:val="1"/>
      <w:marLeft w:val="0"/>
      <w:marRight w:val="0"/>
      <w:marTop w:val="0"/>
      <w:marBottom w:val="0"/>
      <w:divBdr>
        <w:top w:val="none" w:sz="0" w:space="0" w:color="auto"/>
        <w:left w:val="none" w:sz="0" w:space="0" w:color="auto"/>
        <w:bottom w:val="none" w:sz="0" w:space="0" w:color="auto"/>
        <w:right w:val="none" w:sz="0" w:space="0" w:color="auto"/>
      </w:divBdr>
    </w:div>
    <w:div w:id="1786848465">
      <w:bodyDiv w:val="1"/>
      <w:marLeft w:val="0"/>
      <w:marRight w:val="0"/>
      <w:marTop w:val="0"/>
      <w:marBottom w:val="0"/>
      <w:divBdr>
        <w:top w:val="none" w:sz="0" w:space="0" w:color="auto"/>
        <w:left w:val="none" w:sz="0" w:space="0" w:color="auto"/>
        <w:bottom w:val="none" w:sz="0" w:space="0" w:color="auto"/>
        <w:right w:val="none" w:sz="0" w:space="0" w:color="auto"/>
      </w:divBdr>
    </w:div>
    <w:div w:id="1815951951">
      <w:bodyDiv w:val="1"/>
      <w:marLeft w:val="0"/>
      <w:marRight w:val="0"/>
      <w:marTop w:val="0"/>
      <w:marBottom w:val="0"/>
      <w:divBdr>
        <w:top w:val="none" w:sz="0" w:space="0" w:color="auto"/>
        <w:left w:val="none" w:sz="0" w:space="0" w:color="auto"/>
        <w:bottom w:val="none" w:sz="0" w:space="0" w:color="auto"/>
        <w:right w:val="none" w:sz="0" w:space="0" w:color="auto"/>
      </w:divBdr>
    </w:div>
    <w:div w:id="1829900102">
      <w:bodyDiv w:val="1"/>
      <w:marLeft w:val="0"/>
      <w:marRight w:val="0"/>
      <w:marTop w:val="0"/>
      <w:marBottom w:val="0"/>
      <w:divBdr>
        <w:top w:val="none" w:sz="0" w:space="0" w:color="auto"/>
        <w:left w:val="none" w:sz="0" w:space="0" w:color="auto"/>
        <w:bottom w:val="none" w:sz="0" w:space="0" w:color="auto"/>
        <w:right w:val="none" w:sz="0" w:space="0" w:color="auto"/>
      </w:divBdr>
    </w:div>
    <w:div w:id="1868517706">
      <w:bodyDiv w:val="1"/>
      <w:marLeft w:val="0"/>
      <w:marRight w:val="0"/>
      <w:marTop w:val="0"/>
      <w:marBottom w:val="0"/>
      <w:divBdr>
        <w:top w:val="none" w:sz="0" w:space="0" w:color="auto"/>
        <w:left w:val="none" w:sz="0" w:space="0" w:color="auto"/>
        <w:bottom w:val="none" w:sz="0" w:space="0" w:color="auto"/>
        <w:right w:val="none" w:sz="0" w:space="0" w:color="auto"/>
      </w:divBdr>
    </w:div>
    <w:div w:id="1869904202">
      <w:bodyDiv w:val="1"/>
      <w:marLeft w:val="0"/>
      <w:marRight w:val="0"/>
      <w:marTop w:val="0"/>
      <w:marBottom w:val="0"/>
      <w:divBdr>
        <w:top w:val="none" w:sz="0" w:space="0" w:color="auto"/>
        <w:left w:val="none" w:sz="0" w:space="0" w:color="auto"/>
        <w:bottom w:val="none" w:sz="0" w:space="0" w:color="auto"/>
        <w:right w:val="none" w:sz="0" w:space="0" w:color="auto"/>
      </w:divBdr>
    </w:div>
    <w:div w:id="1936740280">
      <w:bodyDiv w:val="1"/>
      <w:marLeft w:val="0"/>
      <w:marRight w:val="0"/>
      <w:marTop w:val="0"/>
      <w:marBottom w:val="0"/>
      <w:divBdr>
        <w:top w:val="none" w:sz="0" w:space="0" w:color="auto"/>
        <w:left w:val="none" w:sz="0" w:space="0" w:color="auto"/>
        <w:bottom w:val="none" w:sz="0" w:space="0" w:color="auto"/>
        <w:right w:val="none" w:sz="0" w:space="0" w:color="auto"/>
      </w:divBdr>
    </w:div>
    <w:div w:id="1944921588">
      <w:bodyDiv w:val="1"/>
      <w:marLeft w:val="0"/>
      <w:marRight w:val="0"/>
      <w:marTop w:val="0"/>
      <w:marBottom w:val="0"/>
      <w:divBdr>
        <w:top w:val="none" w:sz="0" w:space="0" w:color="auto"/>
        <w:left w:val="none" w:sz="0" w:space="0" w:color="auto"/>
        <w:bottom w:val="none" w:sz="0" w:space="0" w:color="auto"/>
        <w:right w:val="none" w:sz="0" w:space="0" w:color="auto"/>
      </w:divBdr>
    </w:div>
    <w:div w:id="1966497889">
      <w:bodyDiv w:val="1"/>
      <w:marLeft w:val="0"/>
      <w:marRight w:val="0"/>
      <w:marTop w:val="0"/>
      <w:marBottom w:val="0"/>
      <w:divBdr>
        <w:top w:val="none" w:sz="0" w:space="0" w:color="auto"/>
        <w:left w:val="none" w:sz="0" w:space="0" w:color="auto"/>
        <w:bottom w:val="none" w:sz="0" w:space="0" w:color="auto"/>
        <w:right w:val="none" w:sz="0" w:space="0" w:color="auto"/>
      </w:divBdr>
    </w:div>
    <w:div w:id="1977031137">
      <w:bodyDiv w:val="1"/>
      <w:marLeft w:val="0"/>
      <w:marRight w:val="0"/>
      <w:marTop w:val="0"/>
      <w:marBottom w:val="0"/>
      <w:divBdr>
        <w:top w:val="none" w:sz="0" w:space="0" w:color="auto"/>
        <w:left w:val="none" w:sz="0" w:space="0" w:color="auto"/>
        <w:bottom w:val="none" w:sz="0" w:space="0" w:color="auto"/>
        <w:right w:val="none" w:sz="0" w:space="0" w:color="auto"/>
      </w:divBdr>
    </w:div>
    <w:div w:id="1977296801">
      <w:bodyDiv w:val="1"/>
      <w:marLeft w:val="0"/>
      <w:marRight w:val="0"/>
      <w:marTop w:val="0"/>
      <w:marBottom w:val="0"/>
      <w:divBdr>
        <w:top w:val="none" w:sz="0" w:space="0" w:color="auto"/>
        <w:left w:val="none" w:sz="0" w:space="0" w:color="auto"/>
        <w:bottom w:val="none" w:sz="0" w:space="0" w:color="auto"/>
        <w:right w:val="none" w:sz="0" w:space="0" w:color="auto"/>
      </w:divBdr>
    </w:div>
    <w:div w:id="2005622058">
      <w:bodyDiv w:val="1"/>
      <w:marLeft w:val="0"/>
      <w:marRight w:val="0"/>
      <w:marTop w:val="0"/>
      <w:marBottom w:val="0"/>
      <w:divBdr>
        <w:top w:val="none" w:sz="0" w:space="0" w:color="auto"/>
        <w:left w:val="none" w:sz="0" w:space="0" w:color="auto"/>
        <w:bottom w:val="none" w:sz="0" w:space="0" w:color="auto"/>
        <w:right w:val="none" w:sz="0" w:space="0" w:color="auto"/>
      </w:divBdr>
    </w:div>
    <w:div w:id="2018576128">
      <w:bodyDiv w:val="1"/>
      <w:marLeft w:val="0"/>
      <w:marRight w:val="0"/>
      <w:marTop w:val="0"/>
      <w:marBottom w:val="0"/>
      <w:divBdr>
        <w:top w:val="none" w:sz="0" w:space="0" w:color="auto"/>
        <w:left w:val="none" w:sz="0" w:space="0" w:color="auto"/>
        <w:bottom w:val="none" w:sz="0" w:space="0" w:color="auto"/>
        <w:right w:val="none" w:sz="0" w:space="0" w:color="auto"/>
      </w:divBdr>
    </w:div>
    <w:div w:id="2025784665">
      <w:bodyDiv w:val="1"/>
      <w:marLeft w:val="0"/>
      <w:marRight w:val="0"/>
      <w:marTop w:val="0"/>
      <w:marBottom w:val="0"/>
      <w:divBdr>
        <w:top w:val="none" w:sz="0" w:space="0" w:color="auto"/>
        <w:left w:val="none" w:sz="0" w:space="0" w:color="auto"/>
        <w:bottom w:val="none" w:sz="0" w:space="0" w:color="auto"/>
        <w:right w:val="none" w:sz="0" w:space="0" w:color="auto"/>
      </w:divBdr>
    </w:div>
    <w:div w:id="2048792010">
      <w:bodyDiv w:val="1"/>
      <w:marLeft w:val="0"/>
      <w:marRight w:val="0"/>
      <w:marTop w:val="0"/>
      <w:marBottom w:val="0"/>
      <w:divBdr>
        <w:top w:val="none" w:sz="0" w:space="0" w:color="auto"/>
        <w:left w:val="none" w:sz="0" w:space="0" w:color="auto"/>
        <w:bottom w:val="none" w:sz="0" w:space="0" w:color="auto"/>
        <w:right w:val="none" w:sz="0" w:space="0" w:color="auto"/>
      </w:divBdr>
    </w:div>
    <w:div w:id="2084136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tang.com"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cpquery.sipo.gov.cn//javascript:;" TargetMode="External"/><Relationship Id="rId21" Type="http://schemas.openxmlformats.org/officeDocument/2006/relationships/image" Target="media/image6.png"/><Relationship Id="rId34" Type="http://schemas.openxmlformats.org/officeDocument/2006/relationships/hyperlink" Target="http://cpquery.sipo.gov.cn//javascript:;" TargetMode="External"/><Relationship Id="rId42" Type="http://schemas.openxmlformats.org/officeDocument/2006/relationships/hyperlink" Target="http://cpquery.sipo.gov.cn//javascript:;" TargetMode="External"/><Relationship Id="rId47" Type="http://schemas.openxmlformats.org/officeDocument/2006/relationships/hyperlink" Target="http://cpquery.sipo.gov.cn//javascript:;" TargetMode="External"/><Relationship Id="rId50" Type="http://schemas.openxmlformats.org/officeDocument/2006/relationships/oleObject" Target="embeddings/oleObject1.bin"/><Relationship Id="rId55"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image" Target="media/image27.wmf"/><Relationship Id="rId76" Type="http://schemas.openxmlformats.org/officeDocument/2006/relationships/image" Target="media/image34.png"/><Relationship Id="rId7" Type="http://schemas.openxmlformats.org/officeDocument/2006/relationships/webSettings" Target="web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iqicha.baidu.com/company_detail_20569499570731" TargetMode="External"/><Relationship Id="rId29" Type="http://schemas.openxmlformats.org/officeDocument/2006/relationships/hyperlink" Target="http://wcjs.sbj.cnipa.gov.cn/javascript:void(0);" TargetMode="Externa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yperlink" Target="http://cpquery.sipo.gov.cn/javascript:;" TargetMode="External"/><Relationship Id="rId37" Type="http://schemas.openxmlformats.org/officeDocument/2006/relationships/hyperlink" Target="http://cpquery.sipo.gov.cn//javascript:;" TargetMode="External"/><Relationship Id="rId40" Type="http://schemas.openxmlformats.org/officeDocument/2006/relationships/hyperlink" Target="http://cpquery.sipo.gov.cn//javascript:;" TargetMode="External"/><Relationship Id="rId45" Type="http://schemas.openxmlformats.org/officeDocument/2006/relationships/hyperlink" Target="http://cpquery.sipo.gov.cn//javascript:;" TargetMode="External"/><Relationship Id="rId53" Type="http://schemas.openxmlformats.org/officeDocument/2006/relationships/oleObject" Target="embeddings/oleObject3.bin"/><Relationship Id="rId58" Type="http://schemas.openxmlformats.org/officeDocument/2006/relationships/image" Target="media/image17.wmf"/><Relationship Id="rId66"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20.wmf"/><Relationship Id="rId10" Type="http://schemas.openxmlformats.org/officeDocument/2006/relationships/image" Target="media/image1.png"/><Relationship Id="rId19" Type="http://schemas.openxmlformats.org/officeDocument/2006/relationships/hyperlink" Target="https://www.tianyancha.com/company/3107933299" TargetMode="External"/><Relationship Id="rId31" Type="http://schemas.openxmlformats.org/officeDocument/2006/relationships/hyperlink" Target="http://cpquery.sipo.gov.cn/javascript:;" TargetMode="External"/><Relationship Id="rId44" Type="http://schemas.openxmlformats.org/officeDocument/2006/relationships/hyperlink" Target="http://cpquery.sipo.gov.cn//javascript:;" TargetMode="External"/><Relationship Id="rId52" Type="http://schemas.openxmlformats.org/officeDocument/2006/relationships/oleObject" Target="embeddings/oleObject2.bin"/><Relationship Id="rId60" Type="http://schemas.openxmlformats.org/officeDocument/2006/relationships/image" Target="media/image19.wmf"/><Relationship Id="rId65" Type="http://schemas.openxmlformats.org/officeDocument/2006/relationships/image" Target="media/image24.wmf"/><Relationship Id="rId73" Type="http://schemas.openxmlformats.org/officeDocument/2006/relationships/image" Target="media/image31.wmf"/><Relationship Id="rId78" Type="http://schemas.openxmlformats.org/officeDocument/2006/relationships/image" Target="media/image3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xin.baidu.com/company_detail_29959023171029" TargetMode="External"/><Relationship Id="rId22" Type="http://schemas.openxmlformats.org/officeDocument/2006/relationships/image" Target="media/image7.png"/><Relationship Id="rId27" Type="http://schemas.openxmlformats.org/officeDocument/2006/relationships/hyperlink" Target="http://wcjs.sbj.cnipa.gov.cn/javascript:void(0);" TargetMode="External"/><Relationship Id="rId30" Type="http://schemas.openxmlformats.org/officeDocument/2006/relationships/hyperlink" Target="http://cpquery.sipo.gov.cn/javascript:;" TargetMode="External"/><Relationship Id="rId35" Type="http://schemas.openxmlformats.org/officeDocument/2006/relationships/hyperlink" Target="http://cpquery.sipo.gov.cn//javascript:;" TargetMode="External"/><Relationship Id="rId43" Type="http://schemas.openxmlformats.org/officeDocument/2006/relationships/hyperlink" Target="http://cpquery.sipo.gov.cn//javascript:;" TargetMode="External"/><Relationship Id="rId48" Type="http://schemas.openxmlformats.org/officeDocument/2006/relationships/hyperlink" Target="http://cpquery.sipo.gov.cn/javascript:;" TargetMode="External"/><Relationship Id="rId56" Type="http://schemas.openxmlformats.org/officeDocument/2006/relationships/image" Target="media/image15.wmf"/><Relationship Id="rId64" Type="http://schemas.openxmlformats.org/officeDocument/2006/relationships/image" Target="media/image23.wmf"/><Relationship Id="rId69" Type="http://schemas.openxmlformats.org/officeDocument/2006/relationships/image" Target="media/image28.wmf"/><Relationship Id="rId77"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image" Target="media/image12.emf"/><Relationship Id="rId72" Type="http://schemas.openxmlformats.org/officeDocument/2006/relationships/image" Target="media/image30.wmf"/><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www.tianyancha.com/company/79872043" TargetMode="External"/><Relationship Id="rId33" Type="http://schemas.openxmlformats.org/officeDocument/2006/relationships/hyperlink" Target="http://cpquery.sipo.gov.cn/javascript:;" TargetMode="External"/><Relationship Id="rId38" Type="http://schemas.openxmlformats.org/officeDocument/2006/relationships/hyperlink" Target="http://cpquery.sipo.gov.cn//javascript:;" TargetMode="External"/><Relationship Id="rId46" Type="http://schemas.openxmlformats.org/officeDocument/2006/relationships/hyperlink" Target="http://cpquery.sipo.gov.cn//javascript:;" TargetMode="External"/><Relationship Id="rId59" Type="http://schemas.openxmlformats.org/officeDocument/2006/relationships/image" Target="media/image18.wmf"/><Relationship Id="rId67" Type="http://schemas.openxmlformats.org/officeDocument/2006/relationships/image" Target="media/image26.wmf"/><Relationship Id="rId20" Type="http://schemas.openxmlformats.org/officeDocument/2006/relationships/image" Target="media/image5.png"/><Relationship Id="rId41" Type="http://schemas.openxmlformats.org/officeDocument/2006/relationships/hyperlink" Target="http://cpquery.sipo.gov.cn//javascript:;" TargetMode="External"/><Relationship Id="rId54" Type="http://schemas.openxmlformats.org/officeDocument/2006/relationships/image" Target="media/image13.wmf"/><Relationship Id="rId62"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xin.baidu.com/company_detail_32334899933238" TargetMode="External"/><Relationship Id="rId23" Type="http://schemas.openxmlformats.org/officeDocument/2006/relationships/image" Target="media/image8.png"/><Relationship Id="rId28" Type="http://schemas.openxmlformats.org/officeDocument/2006/relationships/hyperlink" Target="http://wcjs.sbj.cnipa.gov.cn/javascript:void(0);" TargetMode="External"/><Relationship Id="rId36" Type="http://schemas.openxmlformats.org/officeDocument/2006/relationships/hyperlink" Target="http://cpquery.sipo.gov.cn//javascript:;" TargetMode="External"/><Relationship Id="rId49" Type="http://schemas.openxmlformats.org/officeDocument/2006/relationships/image" Target="media/image11.emf"/><Relationship Id="rId57" Type="http://schemas.openxmlformats.org/officeDocument/2006/relationships/image" Target="media/image1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AD59B-A050-446A-B18F-1C293B9CC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2999</TotalTime>
  <Pages>1</Pages>
  <Words>46312</Words>
  <Characters>263985</Characters>
  <Application>Microsoft Office Word</Application>
  <DocSecurity>0</DocSecurity>
  <Lines>2199</Lines>
  <Paragraphs>619</Paragraphs>
  <ScaleCrop>false</ScaleCrop>
  <Company>China</Company>
  <LinksUpToDate>false</LinksUpToDate>
  <CharactersWithSpaces>309678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詹科昂</dc:creator>
  <cp:lastModifiedBy>wangqingyu     王清宇</cp:lastModifiedBy>
  <cp:revision>228</cp:revision>
  <cp:lastPrinted>2021-06-27T03:32:00Z</cp:lastPrinted>
  <dcterms:created xsi:type="dcterms:W3CDTF">2021-08-09T03:14:00Z</dcterms:created>
  <dcterms:modified xsi:type="dcterms:W3CDTF">2021-08-27T10:42:00Z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102F1570CC884322A9372F0EC1EB1F2E</vt:lpwstr>
  </property>
</Properties>
</file>